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4E9F" w14:textId="1FAF4C69" w:rsidR="004F4BD9" w:rsidRPr="004F4BD9" w:rsidRDefault="009849E9" w:rsidP="00EC5F29">
      <w:pPr>
        <w:tabs>
          <w:tab w:val="left" w:pos="720"/>
        </w:tabs>
        <w:spacing w:after="120" w:line="240" w:lineRule="auto"/>
        <w:ind w:firstLine="0"/>
        <w:jc w:val="center"/>
        <w:rPr>
          <w:sz w:val="20"/>
        </w:rPr>
      </w:pPr>
      <w:r w:rsidRPr="004F4BD9">
        <w:rPr>
          <w:sz w:val="20"/>
        </w:rPr>
        <w:t>Filed 1/23/23</w:t>
      </w:r>
      <w:r w:rsidR="00D82400">
        <w:rPr>
          <w:sz w:val="20"/>
        </w:rPr>
        <w:t xml:space="preserve"> (unmodified opinion attached)</w:t>
      </w:r>
      <w:bookmarkStart w:id="0" w:name="_Hlk91684443"/>
      <w:r w:rsidR="00EC5F29" w:rsidRPr="00E06264">
        <w:rPr>
          <w:sz w:val="20"/>
        </w:rPr>
        <w:t>; REVIEW GRANTED.  See Cal. Rules of Court, rules 8.1105 and 8.1115 (and corresponding Comment, par. 2, concerning rule 8.1115(e)(3)).</w:t>
      </w:r>
      <w:bookmarkEnd w:id="0"/>
    </w:p>
    <w:p w14:paraId="256914D6" w14:textId="77777777" w:rsidR="004F4BD9" w:rsidRPr="004F4BD9" w:rsidRDefault="009849E9" w:rsidP="004F4BD9">
      <w:pPr>
        <w:tabs>
          <w:tab w:val="left" w:pos="720"/>
        </w:tabs>
        <w:spacing w:line="480" w:lineRule="auto"/>
        <w:ind w:firstLine="0"/>
        <w:jc w:val="center"/>
      </w:pPr>
      <w:r w:rsidRPr="004F4BD9">
        <w:rPr>
          <w:b/>
        </w:rPr>
        <w:t>CERTIFIED FOR PARTIAL PUBLICATION</w:t>
      </w:r>
      <w:r>
        <w:rPr>
          <w:b/>
          <w:vertAlign w:val="superscript"/>
        </w:rPr>
        <w:footnoteReference w:customMarkFollows="1" w:id="2"/>
        <w:t>*</w:t>
      </w:r>
    </w:p>
    <w:p w14:paraId="4B511EDF" w14:textId="77777777" w:rsidR="004F4BD9" w:rsidRPr="004F4BD9" w:rsidRDefault="009849E9" w:rsidP="004F4BD9">
      <w:pPr>
        <w:tabs>
          <w:tab w:val="left" w:pos="720"/>
        </w:tabs>
        <w:spacing w:line="240" w:lineRule="auto"/>
        <w:ind w:firstLine="0"/>
        <w:jc w:val="center"/>
      </w:pPr>
      <w:r w:rsidRPr="004F4BD9">
        <w:t>IN THE COURT OF APPEAL OF THE STATE OF CALIFORNIA</w:t>
      </w:r>
    </w:p>
    <w:p w14:paraId="021A35A5" w14:textId="77777777" w:rsidR="004F4BD9" w:rsidRPr="004F4BD9" w:rsidRDefault="004F4BD9" w:rsidP="004F4BD9">
      <w:pPr>
        <w:tabs>
          <w:tab w:val="left" w:pos="720"/>
        </w:tabs>
        <w:spacing w:line="240" w:lineRule="auto"/>
        <w:ind w:firstLine="0"/>
        <w:jc w:val="center"/>
      </w:pPr>
    </w:p>
    <w:p w14:paraId="4288AC3F" w14:textId="77777777" w:rsidR="004F4BD9" w:rsidRPr="004F4BD9" w:rsidRDefault="009849E9" w:rsidP="004F4BD9">
      <w:pPr>
        <w:tabs>
          <w:tab w:val="left" w:pos="720"/>
        </w:tabs>
        <w:spacing w:line="240" w:lineRule="auto"/>
        <w:ind w:firstLine="0"/>
        <w:jc w:val="center"/>
      </w:pPr>
      <w:r w:rsidRPr="004F4BD9">
        <w:t>FIRST APPELLATE DISTRICT</w:t>
      </w:r>
    </w:p>
    <w:p w14:paraId="1044B44D" w14:textId="77777777" w:rsidR="004F4BD9" w:rsidRPr="004F4BD9" w:rsidRDefault="004F4BD9" w:rsidP="004F4BD9">
      <w:pPr>
        <w:tabs>
          <w:tab w:val="left" w:pos="720"/>
        </w:tabs>
        <w:spacing w:line="240" w:lineRule="auto"/>
        <w:ind w:firstLine="0"/>
        <w:jc w:val="center"/>
      </w:pPr>
    </w:p>
    <w:p w14:paraId="36C5960F" w14:textId="77777777" w:rsidR="004F4BD9" w:rsidRPr="004F4BD9" w:rsidRDefault="009849E9" w:rsidP="004F4BD9">
      <w:pPr>
        <w:tabs>
          <w:tab w:val="left" w:pos="720"/>
        </w:tabs>
        <w:spacing w:line="240" w:lineRule="auto"/>
        <w:ind w:firstLine="0"/>
        <w:jc w:val="center"/>
      </w:pPr>
      <w:r w:rsidRPr="004F4BD9">
        <w:t>DIVISION FOUR</w:t>
      </w:r>
    </w:p>
    <w:p w14:paraId="551A9E1B" w14:textId="77777777" w:rsidR="004F4BD9" w:rsidRPr="004F4BD9" w:rsidRDefault="004F4BD9" w:rsidP="004F4BD9">
      <w:pPr>
        <w:tabs>
          <w:tab w:val="left" w:pos="720"/>
        </w:tabs>
        <w:spacing w:line="240" w:lineRule="auto"/>
        <w:ind w:firstLine="0"/>
        <w:jc w:val="center"/>
      </w:pPr>
    </w:p>
    <w:tbl>
      <w:tblPr>
        <w:tblW w:w="9720" w:type="dxa"/>
        <w:tblLayout w:type="fixed"/>
        <w:tblLook w:val="0000" w:firstRow="0" w:lastRow="0" w:firstColumn="0" w:lastColumn="0" w:noHBand="0" w:noVBand="0"/>
      </w:tblPr>
      <w:tblGrid>
        <w:gridCol w:w="4770"/>
        <w:gridCol w:w="4950"/>
      </w:tblGrid>
      <w:tr w:rsidR="00BE1F30" w14:paraId="4C4F36EB" w14:textId="77777777" w:rsidTr="003710A2">
        <w:tc>
          <w:tcPr>
            <w:tcW w:w="4770" w:type="dxa"/>
            <w:tcBorders>
              <w:bottom w:val="single" w:sz="4" w:space="0" w:color="auto"/>
              <w:right w:val="single" w:sz="4" w:space="0" w:color="auto"/>
            </w:tcBorders>
            <w:shd w:val="clear" w:color="auto" w:fill="auto"/>
          </w:tcPr>
          <w:p w14:paraId="793057C8" w14:textId="77777777" w:rsidR="004F4BD9" w:rsidRPr="004F4BD9" w:rsidRDefault="009849E9" w:rsidP="004F4BD9">
            <w:pPr>
              <w:tabs>
                <w:tab w:val="left" w:pos="720"/>
              </w:tabs>
              <w:spacing w:after="120" w:line="240" w:lineRule="auto"/>
              <w:ind w:firstLine="0"/>
            </w:pPr>
            <w:r w:rsidRPr="004F4BD9">
              <w:t>JOHN’S GRILL, INC., et al.,</w:t>
            </w:r>
          </w:p>
          <w:p w14:paraId="4EA49C06" w14:textId="77777777" w:rsidR="004F4BD9" w:rsidRPr="004F4BD9" w:rsidRDefault="009849E9" w:rsidP="004F4BD9">
            <w:pPr>
              <w:tabs>
                <w:tab w:val="left" w:pos="615"/>
              </w:tabs>
              <w:spacing w:after="120" w:line="240" w:lineRule="auto"/>
              <w:ind w:firstLine="0"/>
            </w:pPr>
            <w:r w:rsidRPr="004F4BD9">
              <w:tab/>
              <w:t>Plaintiffs and Appellants,</w:t>
            </w:r>
          </w:p>
          <w:p w14:paraId="1C028280" w14:textId="77777777" w:rsidR="004F4BD9" w:rsidRPr="004F4BD9" w:rsidRDefault="009849E9" w:rsidP="004F4BD9">
            <w:pPr>
              <w:tabs>
                <w:tab w:val="left" w:pos="1965"/>
              </w:tabs>
              <w:spacing w:after="120" w:line="240" w:lineRule="auto"/>
              <w:ind w:firstLine="0"/>
            </w:pPr>
            <w:r w:rsidRPr="004F4BD9">
              <w:tab/>
              <w:t>v.</w:t>
            </w:r>
          </w:p>
          <w:p w14:paraId="275526B1" w14:textId="77777777" w:rsidR="004F4BD9" w:rsidRPr="004F4BD9" w:rsidRDefault="009849E9" w:rsidP="004F4BD9">
            <w:pPr>
              <w:tabs>
                <w:tab w:val="left" w:pos="720"/>
              </w:tabs>
              <w:spacing w:after="120" w:line="240" w:lineRule="auto"/>
              <w:ind w:firstLine="0"/>
            </w:pPr>
            <w:r w:rsidRPr="004F4BD9">
              <w:t xml:space="preserve">THE HARTFORD </w:t>
            </w:r>
            <w:r w:rsidRPr="004F4BD9">
              <w:t>FINANCIAL SERVICES GROUP, INC., et al.,</w:t>
            </w:r>
          </w:p>
          <w:p w14:paraId="08BA2501" w14:textId="77777777" w:rsidR="004F4BD9" w:rsidRPr="004F4BD9" w:rsidRDefault="009849E9" w:rsidP="004F4BD9">
            <w:pPr>
              <w:tabs>
                <w:tab w:val="left" w:pos="615"/>
              </w:tabs>
              <w:spacing w:after="120" w:line="240" w:lineRule="auto"/>
              <w:ind w:firstLine="0"/>
            </w:pPr>
            <w:r w:rsidRPr="004F4BD9">
              <w:tab/>
              <w:t>Defendants and Respondents.</w:t>
            </w:r>
          </w:p>
        </w:tc>
        <w:tc>
          <w:tcPr>
            <w:tcW w:w="4950" w:type="dxa"/>
            <w:tcBorders>
              <w:left w:val="single" w:sz="4" w:space="0" w:color="auto"/>
            </w:tcBorders>
            <w:shd w:val="clear" w:color="auto" w:fill="auto"/>
          </w:tcPr>
          <w:p w14:paraId="682A3C87" w14:textId="77777777" w:rsidR="004F4BD9" w:rsidRPr="004F4BD9" w:rsidRDefault="004F4BD9" w:rsidP="004F4BD9">
            <w:pPr>
              <w:tabs>
                <w:tab w:val="left" w:pos="250"/>
              </w:tabs>
              <w:spacing w:line="240" w:lineRule="auto"/>
              <w:ind w:firstLine="0"/>
            </w:pPr>
          </w:p>
          <w:p w14:paraId="3760E47B" w14:textId="77777777" w:rsidR="004F4BD9" w:rsidRPr="004F4BD9" w:rsidRDefault="009849E9" w:rsidP="004F4BD9">
            <w:pPr>
              <w:tabs>
                <w:tab w:val="left" w:pos="250"/>
              </w:tabs>
              <w:spacing w:before="120" w:line="240" w:lineRule="auto"/>
              <w:ind w:firstLine="0"/>
            </w:pPr>
            <w:r w:rsidRPr="004F4BD9">
              <w:tab/>
              <w:t>A162709</w:t>
            </w:r>
          </w:p>
          <w:p w14:paraId="1B2A0991" w14:textId="77777777" w:rsidR="004F4BD9" w:rsidRPr="004F4BD9" w:rsidRDefault="009849E9" w:rsidP="004F4BD9">
            <w:pPr>
              <w:tabs>
                <w:tab w:val="left" w:pos="250"/>
              </w:tabs>
              <w:spacing w:before="120" w:line="240" w:lineRule="auto"/>
              <w:ind w:firstLine="0"/>
            </w:pPr>
            <w:r w:rsidRPr="004F4BD9">
              <w:tab/>
              <w:t>(San Francisco Super. Ct.</w:t>
            </w:r>
          </w:p>
          <w:p w14:paraId="36BDD312" w14:textId="77777777" w:rsidR="004F4BD9" w:rsidRPr="004F4BD9" w:rsidRDefault="009849E9" w:rsidP="004F4BD9">
            <w:pPr>
              <w:tabs>
                <w:tab w:val="left" w:pos="250"/>
              </w:tabs>
              <w:spacing w:after="120" w:line="240" w:lineRule="auto"/>
              <w:ind w:firstLine="0"/>
            </w:pPr>
            <w:r w:rsidRPr="004F4BD9">
              <w:tab/>
              <w:t>No. CGC-20-584184)</w:t>
            </w:r>
          </w:p>
          <w:p w14:paraId="2B5739C0" w14:textId="77777777" w:rsidR="004F4BD9" w:rsidRPr="004F4BD9" w:rsidRDefault="009849E9" w:rsidP="004F4BD9">
            <w:pPr>
              <w:tabs>
                <w:tab w:val="left" w:pos="250"/>
              </w:tabs>
              <w:spacing w:after="120" w:line="240" w:lineRule="auto"/>
              <w:ind w:firstLine="0"/>
            </w:pPr>
            <w:r w:rsidRPr="004F4BD9">
              <w:rPr>
                <w:b/>
                <w:bCs/>
              </w:rPr>
              <w:tab/>
              <w:t xml:space="preserve">ORDER MODIFYING OPINION; </w:t>
            </w:r>
            <w:r w:rsidRPr="004F4BD9">
              <w:rPr>
                <w:b/>
                <w:bCs/>
              </w:rPr>
              <w:tab/>
              <w:t>NO CHANGE IN JUDGMENT</w:t>
            </w:r>
          </w:p>
        </w:tc>
      </w:tr>
    </w:tbl>
    <w:p w14:paraId="15FAA9BE" w14:textId="77777777" w:rsidR="004F4BD9" w:rsidRPr="004F4BD9" w:rsidRDefault="004F4BD9" w:rsidP="004F4BD9">
      <w:pPr>
        <w:spacing w:before="120" w:after="120" w:line="240" w:lineRule="auto"/>
        <w:ind w:left="1170" w:hanging="450"/>
      </w:pPr>
    </w:p>
    <w:p w14:paraId="4C4EA5BB" w14:textId="77777777" w:rsidR="004F4BD9" w:rsidRPr="004F4BD9" w:rsidRDefault="009849E9" w:rsidP="004F4BD9">
      <w:pPr>
        <w:spacing w:before="120" w:after="120" w:line="240" w:lineRule="auto"/>
        <w:ind w:left="1170" w:hanging="450"/>
        <w:rPr>
          <w:rFonts w:cs="Times New Roman"/>
        </w:rPr>
      </w:pPr>
      <w:r w:rsidRPr="004F4BD9">
        <w:t xml:space="preserve">On its own motion, this court orders </w:t>
      </w:r>
      <w:r w:rsidRPr="004F4BD9">
        <w:rPr>
          <w:rFonts w:cs="Times New Roman"/>
        </w:rPr>
        <w:t xml:space="preserve">that the December 27, 2022 opinion be </w:t>
      </w:r>
      <w:r w:rsidRPr="004F4BD9">
        <w:rPr>
          <w:rFonts w:cs="Times New Roman"/>
        </w:rPr>
        <w:t>modified as follows:</w:t>
      </w:r>
    </w:p>
    <w:p w14:paraId="0038CA42" w14:textId="77777777" w:rsidR="004F4BD9" w:rsidRPr="004F4BD9" w:rsidRDefault="009849E9" w:rsidP="004F4BD9">
      <w:pPr>
        <w:numPr>
          <w:ilvl w:val="0"/>
          <w:numId w:val="38"/>
        </w:numPr>
        <w:tabs>
          <w:tab w:val="left" w:pos="720"/>
        </w:tabs>
        <w:spacing w:after="120" w:line="240" w:lineRule="auto"/>
        <w:ind w:left="1170" w:hanging="450"/>
        <w:rPr>
          <w:rFonts w:cs="Times New Roman"/>
        </w:rPr>
      </w:pPr>
      <w:r w:rsidRPr="004F4BD9">
        <w:rPr>
          <w:rFonts w:cs="Times New Roman"/>
        </w:rPr>
        <w:t>On page 10, in the first paragraph under subheading “1. Insurance Policy Interpretation”, in the parenthetical after the first sentence of text, insert as the first citation in the parenthetical, “</w:t>
      </w:r>
      <w:r w:rsidRPr="004F4BD9">
        <w:rPr>
          <w:i/>
          <w:iCs/>
        </w:rPr>
        <w:t>Yahoo Inc. v. National Union Fire Ins.</w:t>
      </w:r>
      <w:r w:rsidRPr="004F4BD9">
        <w:rPr>
          <w:i/>
          <w:iCs/>
        </w:rPr>
        <w:t xml:space="preserve"> Co.</w:t>
      </w:r>
      <w:r w:rsidRPr="004F4BD9">
        <w:t xml:space="preserve"> (2022) 14 Cal.5th 58, 67 (</w:t>
      </w:r>
      <w:r w:rsidRPr="004F4BD9">
        <w:rPr>
          <w:i/>
          <w:iCs/>
        </w:rPr>
        <w:t>Yahoo</w:t>
      </w:r>
      <w:r w:rsidRPr="004F4BD9">
        <w:t>);” so that the sentence and the following parenthetical read:</w:t>
      </w:r>
    </w:p>
    <w:p w14:paraId="1DB3F8DB" w14:textId="77777777" w:rsidR="004F4BD9" w:rsidRPr="004F4BD9" w:rsidRDefault="009849E9" w:rsidP="004F4BD9">
      <w:pPr>
        <w:spacing w:after="120" w:line="240" w:lineRule="auto"/>
        <w:ind w:left="1620" w:firstLine="0"/>
        <w:rPr>
          <w:rFonts w:eastAsia="Times New Roman" w:cs="Arial"/>
        </w:rPr>
      </w:pPr>
      <w:r w:rsidRPr="004F4BD9">
        <w:t>Because insurance policies are contracts, judicial interpretation of them, like any other contract, is a question of law.  (</w:t>
      </w:r>
      <w:r w:rsidRPr="004F4BD9">
        <w:rPr>
          <w:i/>
          <w:iCs/>
        </w:rPr>
        <w:t>Yahoo Inc. v. National Union Fire</w:t>
      </w:r>
      <w:r w:rsidRPr="004F4BD9">
        <w:rPr>
          <w:i/>
          <w:iCs/>
        </w:rPr>
        <w:t xml:space="preserve"> Ins. Co.</w:t>
      </w:r>
      <w:r w:rsidRPr="004F4BD9">
        <w:t xml:space="preserve"> (2022) 14 Cal.5th 58, 67 (</w:t>
      </w:r>
      <w:r w:rsidRPr="004F4BD9">
        <w:rPr>
          <w:i/>
          <w:iCs/>
        </w:rPr>
        <w:t>Yahoo</w:t>
      </w:r>
      <w:r w:rsidRPr="004F4BD9">
        <w:t xml:space="preserve">); </w:t>
      </w:r>
      <w:r w:rsidRPr="004F4BD9">
        <w:rPr>
          <w:i/>
          <w:iCs/>
        </w:rPr>
        <w:t>AIU Ins. Co. v. Superior Court</w:t>
      </w:r>
      <w:r w:rsidRPr="004F4BD9">
        <w:t xml:space="preserve"> (1990) 51 Cal.3d 807, 818; </w:t>
      </w:r>
      <w:r w:rsidRPr="004F4BD9">
        <w:rPr>
          <w:rFonts w:eastAsia="Times New Roman" w:cs="Arial"/>
          <w:i/>
          <w:iCs/>
          <w:bdr w:val="none" w:sz="0" w:space="0" w:color="auto" w:frame="1"/>
        </w:rPr>
        <w:t>Bank of the West v. Superior Court</w:t>
      </w:r>
      <w:r w:rsidRPr="004F4BD9">
        <w:rPr>
          <w:rFonts w:eastAsia="Times New Roman" w:cs="Arial"/>
        </w:rPr>
        <w:t xml:space="preserve"> (1992) 2 Cal.4th 1254, 1264 [“While insurance contracts have special features, they are still contracts to which the or</w:t>
      </w:r>
      <w:r w:rsidRPr="004F4BD9">
        <w:rPr>
          <w:rFonts w:eastAsia="Times New Roman" w:cs="Arial"/>
        </w:rPr>
        <w:t>dinary rules of contractual interpretation apply.”].)</w:t>
      </w:r>
    </w:p>
    <w:p w14:paraId="1C5EA9DA" w14:textId="77777777" w:rsidR="004F4BD9" w:rsidRPr="004F4BD9" w:rsidRDefault="009849E9" w:rsidP="004F4BD9">
      <w:pPr>
        <w:ind w:firstLine="0"/>
        <w:rPr>
          <w:rFonts w:eastAsia="Times New Roman" w:cs="Arial"/>
        </w:rPr>
      </w:pPr>
      <w:r w:rsidRPr="004F4BD9">
        <w:rPr>
          <w:rFonts w:eastAsia="Times New Roman" w:cs="Arial"/>
        </w:rPr>
        <w:br w:type="page"/>
      </w:r>
    </w:p>
    <w:p w14:paraId="76A6CC36" w14:textId="77777777" w:rsidR="004F4BD9" w:rsidRPr="004F4BD9" w:rsidRDefault="009849E9" w:rsidP="004F4BD9">
      <w:pPr>
        <w:numPr>
          <w:ilvl w:val="0"/>
          <w:numId w:val="38"/>
        </w:numPr>
        <w:tabs>
          <w:tab w:val="left" w:pos="720"/>
        </w:tabs>
        <w:spacing w:after="120" w:line="240" w:lineRule="auto"/>
        <w:ind w:left="1170" w:hanging="450"/>
        <w:rPr>
          <w:rFonts w:cs="Times New Roman"/>
        </w:rPr>
      </w:pPr>
      <w:r w:rsidRPr="004F4BD9">
        <w:rPr>
          <w:rFonts w:cs="Times New Roman"/>
        </w:rPr>
        <w:lastRenderedPageBreak/>
        <w:t>On page 10, also in the first paragraph under the subheading “1. Insurance Policy Interpretation”, in the parenthetical after the second and third sentences of text, insert as the second citation in t</w:t>
      </w:r>
      <w:r w:rsidRPr="004F4BD9">
        <w:rPr>
          <w:rFonts w:cs="Times New Roman"/>
        </w:rPr>
        <w:t>he parenthetical, “; </w:t>
      </w:r>
      <w:r w:rsidRPr="004F4BD9">
        <w:rPr>
          <w:rFonts w:cs="Times New Roman"/>
          <w:i/>
          <w:iCs/>
        </w:rPr>
        <w:t>Yahoo</w:t>
      </w:r>
      <w:r w:rsidRPr="004F4BD9">
        <w:rPr>
          <w:rFonts w:cs="Times New Roman"/>
        </w:rPr>
        <w:t xml:space="preserve">, </w:t>
      </w:r>
      <w:r w:rsidRPr="004F4BD9">
        <w:rPr>
          <w:rFonts w:cs="Times New Roman"/>
          <w:i/>
          <w:iCs/>
        </w:rPr>
        <w:t>supra</w:t>
      </w:r>
      <w:r w:rsidRPr="004F4BD9">
        <w:rPr>
          <w:rFonts w:cs="Times New Roman"/>
        </w:rPr>
        <w:t>, at p. 67” so that the sentences and the following parenthetical read:</w:t>
      </w:r>
    </w:p>
    <w:p w14:paraId="77F52069" w14:textId="77777777" w:rsidR="004F4BD9" w:rsidRPr="004F4BD9" w:rsidRDefault="009849E9" w:rsidP="004F4BD9">
      <w:pPr>
        <w:tabs>
          <w:tab w:val="left" w:pos="720"/>
        </w:tabs>
        <w:spacing w:after="120" w:line="240" w:lineRule="auto"/>
        <w:ind w:left="1620" w:firstLine="0"/>
      </w:pPr>
      <w:r w:rsidRPr="004F4BD9">
        <w:rPr>
          <w:rFonts w:eastAsia="Times New Roman" w:cs="Arial"/>
        </w:rPr>
        <w:t>T</w:t>
      </w:r>
      <w:r w:rsidRPr="004F4BD9">
        <w:t xml:space="preserve">he “mutual intention of the parties at the time the contract is formed governs interpretation.  [Citation.]  Such intent is to be inferred, if </w:t>
      </w:r>
      <w:r w:rsidRPr="004F4BD9">
        <w:t>possible, solely from the written provisions of the contract.”  (</w:t>
      </w:r>
      <w:r w:rsidRPr="004F4BD9">
        <w:rPr>
          <w:i/>
          <w:iCs/>
        </w:rPr>
        <w:t>AIU Ins. Co.</w:t>
      </w:r>
      <w:r w:rsidRPr="004F4BD9">
        <w:t xml:space="preserve">, at pp. 821–822; </w:t>
      </w:r>
      <w:r w:rsidRPr="004F4BD9">
        <w:rPr>
          <w:i/>
          <w:iCs/>
        </w:rPr>
        <w:t>Yahoo</w:t>
      </w:r>
      <w:r w:rsidRPr="004F4BD9">
        <w:t xml:space="preserve">, </w:t>
      </w:r>
      <w:r w:rsidRPr="004F4BD9">
        <w:rPr>
          <w:i/>
          <w:iCs/>
        </w:rPr>
        <w:t>supra</w:t>
      </w:r>
      <w:r w:rsidRPr="004F4BD9">
        <w:t>, at p. 67.)</w:t>
      </w:r>
    </w:p>
    <w:p w14:paraId="11E95276" w14:textId="77777777" w:rsidR="004F4BD9" w:rsidRPr="004F4BD9" w:rsidRDefault="009849E9" w:rsidP="004F4BD9">
      <w:pPr>
        <w:numPr>
          <w:ilvl w:val="0"/>
          <w:numId w:val="38"/>
        </w:numPr>
        <w:tabs>
          <w:tab w:val="left" w:pos="720"/>
        </w:tabs>
        <w:spacing w:after="120" w:line="240" w:lineRule="auto"/>
        <w:ind w:left="1170" w:hanging="450"/>
        <w:rPr>
          <w:rFonts w:cs="Times New Roman"/>
        </w:rPr>
      </w:pPr>
      <w:r w:rsidRPr="004F4BD9">
        <w:rPr>
          <w:rFonts w:cs="Times New Roman"/>
        </w:rPr>
        <w:t>On page 10, also in the first paragraph under the subheading “1. Insurance Policy Interpretation”, in the parenthetical at the end of th</w:t>
      </w:r>
      <w:r w:rsidRPr="004F4BD9">
        <w:rPr>
          <w:rFonts w:cs="Times New Roman"/>
        </w:rPr>
        <w:t>at paragraph, insert as the concluding citations in the parenthetical, “; </w:t>
      </w:r>
      <w:r w:rsidRPr="004F4BD9">
        <w:rPr>
          <w:rFonts w:cs="Times New Roman"/>
          <w:i/>
          <w:iCs/>
        </w:rPr>
        <w:t>Yahoo</w:t>
      </w:r>
      <w:r w:rsidRPr="004F4BD9">
        <w:rPr>
          <w:rFonts w:cs="Times New Roman"/>
        </w:rPr>
        <w:t xml:space="preserve">, </w:t>
      </w:r>
      <w:r w:rsidRPr="004F4BD9">
        <w:rPr>
          <w:rFonts w:cs="Times New Roman"/>
          <w:i/>
          <w:iCs/>
        </w:rPr>
        <w:t>supra</w:t>
      </w:r>
      <w:r w:rsidRPr="004F4BD9">
        <w:rPr>
          <w:rFonts w:cs="Times New Roman"/>
        </w:rPr>
        <w:t>, at p. 67 [if policy terms “ ‘are ambiguous [i.e., susceptible of more than one reasonable interpretation], we interpret them to protect “ ‘the objectively reasonable ex</w:t>
      </w:r>
      <w:r w:rsidRPr="004F4BD9">
        <w:rPr>
          <w:rFonts w:cs="Times New Roman"/>
        </w:rPr>
        <w:t xml:space="preserve">pectations of the insured.’ ”  [Citations.]  Only if these rules do not resolve a claimed ambiguity do we resort to the rule that ambiguities are to be resolved against the insurer.’ ”]; </w:t>
      </w:r>
      <w:r w:rsidRPr="004F4BD9">
        <w:rPr>
          <w:i/>
          <w:iCs/>
        </w:rPr>
        <w:t>Yahoo</w:t>
      </w:r>
      <w:r w:rsidRPr="004F4BD9">
        <w:t>,</w:t>
      </w:r>
      <w:r w:rsidRPr="004F4BD9">
        <w:rPr>
          <w:rFonts w:cs="Times New Roman"/>
        </w:rPr>
        <w:t xml:space="preserve"> at p. 69” so that the concluding sentence and the following pa</w:t>
      </w:r>
      <w:r w:rsidRPr="004F4BD9">
        <w:rPr>
          <w:rFonts w:cs="Times New Roman"/>
        </w:rPr>
        <w:t>renthetical read:</w:t>
      </w:r>
    </w:p>
    <w:p w14:paraId="3F0D2526" w14:textId="77777777" w:rsidR="004F4BD9" w:rsidRPr="004F4BD9" w:rsidRDefault="009849E9" w:rsidP="004F4BD9">
      <w:pPr>
        <w:tabs>
          <w:tab w:val="left" w:pos="720"/>
        </w:tabs>
        <w:spacing w:after="120" w:line="240" w:lineRule="auto"/>
        <w:ind w:left="1620" w:firstLine="0"/>
      </w:pPr>
      <w:r w:rsidRPr="004F4BD9">
        <w:t>Any ambiguous terms must be interpreted “in the sense [the insurer] believed [the insured] understood them at the time of formation,” and ambiguities must be resolved in favor of coverage.  (</w:t>
      </w:r>
      <w:r w:rsidRPr="004F4BD9">
        <w:rPr>
          <w:i/>
          <w:iCs/>
        </w:rPr>
        <w:t>AIU Ins. Co.</w:t>
      </w:r>
      <w:r w:rsidRPr="004F4BD9">
        <w:t>,</w:t>
      </w:r>
      <w:r w:rsidRPr="004F4BD9">
        <w:rPr>
          <w:i/>
          <w:iCs/>
        </w:rPr>
        <w:t xml:space="preserve"> </w:t>
      </w:r>
      <w:r w:rsidRPr="004F4BD9">
        <w:t>at p. 822, citing Civ. Code, § 16</w:t>
      </w:r>
      <w:r w:rsidRPr="004F4BD9">
        <w:t xml:space="preserve">49; </w:t>
      </w:r>
      <w:r w:rsidRPr="004F4BD9">
        <w:rPr>
          <w:i/>
          <w:iCs/>
        </w:rPr>
        <w:t>Yahoo</w:t>
      </w:r>
      <w:r w:rsidRPr="004F4BD9">
        <w:t xml:space="preserve">, </w:t>
      </w:r>
      <w:r w:rsidRPr="004F4BD9">
        <w:rPr>
          <w:i/>
          <w:iCs/>
        </w:rPr>
        <w:t>supra</w:t>
      </w:r>
      <w:r w:rsidRPr="004F4BD9">
        <w:t>, at p. 67 [if policy terms “ ‘are ambiguous [i.e., susceptible of more than one reasonable interpretation], we interpret them to protect “ ‘the objectively reasonable expectations of the insured.’ ”  [Citations.]  Only if these rules do no</w:t>
      </w:r>
      <w:r w:rsidRPr="004F4BD9">
        <w:t xml:space="preserve">t resolve a claimed ambiguity do we resort to the rule that ambiguities are to be resolved against the insurer.’ ”]; </w:t>
      </w:r>
      <w:r w:rsidRPr="004F4BD9">
        <w:rPr>
          <w:i/>
          <w:iCs/>
        </w:rPr>
        <w:t>Yahoo</w:t>
      </w:r>
      <w:r w:rsidRPr="004F4BD9">
        <w:t>, at p. 69.)</w:t>
      </w:r>
    </w:p>
    <w:p w14:paraId="76570A0E" w14:textId="77777777" w:rsidR="004F4BD9" w:rsidRPr="004F4BD9" w:rsidRDefault="009849E9" w:rsidP="004F4BD9">
      <w:pPr>
        <w:numPr>
          <w:ilvl w:val="0"/>
          <w:numId w:val="38"/>
        </w:numPr>
        <w:tabs>
          <w:tab w:val="left" w:pos="720"/>
        </w:tabs>
        <w:spacing w:after="120" w:line="240" w:lineRule="auto"/>
        <w:ind w:left="1170" w:hanging="450"/>
        <w:rPr>
          <w:rFonts w:cs="Times New Roman"/>
        </w:rPr>
      </w:pPr>
      <w:r w:rsidRPr="004F4BD9">
        <w:rPr>
          <w:rFonts w:cs="Times New Roman"/>
        </w:rPr>
        <w:t>On page 11, in the first paragraph (which begins, “ “The rules for recognizing ambiguity are . . .” ”), in the parentheti</w:t>
      </w:r>
      <w:r w:rsidRPr="004F4BD9">
        <w:rPr>
          <w:rFonts w:cs="Times New Roman"/>
        </w:rPr>
        <w:t>cal after the multi-sentence quotation, insert as the second citation in the parenthetical, “</w:t>
      </w:r>
      <w:r w:rsidRPr="004F4BD9">
        <w:rPr>
          <w:rFonts w:eastAsia="Times New Roman" w:cs="Times New Roman"/>
        </w:rPr>
        <w:t xml:space="preserve">; accord, </w:t>
      </w:r>
      <w:r w:rsidRPr="004F4BD9">
        <w:rPr>
          <w:rFonts w:eastAsia="Times New Roman" w:cs="Times New Roman"/>
          <w:i/>
          <w:iCs/>
        </w:rPr>
        <w:t>Yahoo</w:t>
      </w:r>
      <w:r w:rsidRPr="004F4BD9">
        <w:rPr>
          <w:rFonts w:eastAsia="Times New Roman" w:cs="Times New Roman"/>
        </w:rPr>
        <w:t xml:space="preserve">, </w:t>
      </w:r>
      <w:r w:rsidRPr="004F4BD9">
        <w:rPr>
          <w:rFonts w:eastAsia="Times New Roman" w:cs="Times New Roman"/>
          <w:i/>
          <w:iCs/>
        </w:rPr>
        <w:t>supra</w:t>
      </w:r>
      <w:r w:rsidRPr="004F4BD9">
        <w:rPr>
          <w:rFonts w:cs="Times New Roman"/>
        </w:rPr>
        <w:t>, 14 Cal.5th at p. 69 [“the meaning of the word or phrase must be considered in light of its context”]” so that the parenthetical reads:</w:t>
      </w:r>
    </w:p>
    <w:p w14:paraId="0429A078" w14:textId="77777777" w:rsidR="004F4BD9" w:rsidRPr="004F4BD9" w:rsidRDefault="009849E9" w:rsidP="004F4BD9">
      <w:pPr>
        <w:ind w:firstLine="0"/>
        <w:rPr>
          <w:rFonts w:cs="Times New Roman"/>
        </w:rPr>
      </w:pPr>
      <w:r w:rsidRPr="004F4BD9">
        <w:rPr>
          <w:rFonts w:cs="Times New Roman"/>
        </w:rPr>
        <w:br w:type="page"/>
      </w:r>
    </w:p>
    <w:p w14:paraId="4BFDC5EE" w14:textId="77777777" w:rsidR="004F4BD9" w:rsidRPr="004F4BD9" w:rsidRDefault="009849E9" w:rsidP="004F4BD9">
      <w:pPr>
        <w:tabs>
          <w:tab w:val="left" w:pos="720"/>
        </w:tabs>
        <w:spacing w:after="120" w:line="240" w:lineRule="auto"/>
        <w:ind w:left="1620" w:firstLine="0"/>
        <w:rPr>
          <w:rFonts w:eastAsia="Times New Roman" w:cs="Times New Roman"/>
        </w:rPr>
      </w:pPr>
      <w:r w:rsidRPr="004F4BD9">
        <w:rPr>
          <w:rFonts w:eastAsia="Times New Roman" w:cs="Times New Roman"/>
        </w:rPr>
        <w:lastRenderedPageBreak/>
        <w:t>(</w:t>
      </w:r>
      <w:r w:rsidRPr="004F4BD9">
        <w:rPr>
          <w:rFonts w:eastAsia="Times New Roman" w:cs="Times New Roman"/>
          <w:i/>
          <w:iCs/>
          <w:bdr w:val="none" w:sz="0" w:space="0" w:color="auto" w:frame="1"/>
        </w:rPr>
        <w:t>S</w:t>
      </w:r>
      <w:r w:rsidRPr="004F4BD9">
        <w:rPr>
          <w:rFonts w:eastAsia="Times New Roman" w:cs="Times New Roman"/>
          <w:i/>
          <w:iCs/>
          <w:bdr w:val="none" w:sz="0" w:space="0" w:color="auto" w:frame="1"/>
        </w:rPr>
        <w:t>hell Oil Co. v. Winterthur Swiss Ins. Co.</w:t>
      </w:r>
      <w:r w:rsidRPr="004F4BD9">
        <w:rPr>
          <w:rFonts w:eastAsia="Times New Roman" w:cs="Times New Roman"/>
        </w:rPr>
        <w:t xml:space="preserve"> (1993) 12 Cal.App.4th 715, 737; accord, </w:t>
      </w:r>
      <w:r w:rsidRPr="004F4BD9">
        <w:rPr>
          <w:rFonts w:eastAsia="Times New Roman" w:cs="Times New Roman"/>
          <w:i/>
          <w:iCs/>
        </w:rPr>
        <w:t>Yahoo</w:t>
      </w:r>
      <w:r w:rsidRPr="004F4BD9">
        <w:rPr>
          <w:rFonts w:eastAsia="Times New Roman" w:cs="Times New Roman"/>
        </w:rPr>
        <w:t xml:space="preserve">, </w:t>
      </w:r>
      <w:r w:rsidRPr="004F4BD9">
        <w:rPr>
          <w:rFonts w:eastAsia="Times New Roman" w:cs="Times New Roman"/>
          <w:i/>
          <w:iCs/>
        </w:rPr>
        <w:t>supra</w:t>
      </w:r>
      <w:r w:rsidRPr="004F4BD9">
        <w:rPr>
          <w:rFonts w:eastAsia="Times New Roman" w:cs="Times New Roman"/>
        </w:rPr>
        <w:t>, 14 Cal.5th at p. 69 [“the meaning of the word or phrase must be considered in light of its context”].)</w:t>
      </w:r>
    </w:p>
    <w:p w14:paraId="619F06FD" w14:textId="77777777" w:rsidR="004F4BD9" w:rsidRPr="004F4BD9" w:rsidRDefault="009849E9" w:rsidP="004F4BD9">
      <w:pPr>
        <w:numPr>
          <w:ilvl w:val="0"/>
          <w:numId w:val="38"/>
        </w:numPr>
        <w:tabs>
          <w:tab w:val="left" w:pos="720"/>
        </w:tabs>
        <w:spacing w:after="120" w:line="240" w:lineRule="auto"/>
        <w:ind w:left="1170" w:hanging="450"/>
        <w:rPr>
          <w:rFonts w:cs="Times New Roman"/>
        </w:rPr>
      </w:pPr>
      <w:r w:rsidRPr="004F4BD9">
        <w:rPr>
          <w:rFonts w:cs="Times New Roman"/>
        </w:rPr>
        <w:t>On page 11, in the second paragraph (which begins, “Insur</w:t>
      </w:r>
      <w:r w:rsidRPr="004F4BD9">
        <w:rPr>
          <w:rFonts w:cs="Times New Roman"/>
        </w:rPr>
        <w:t xml:space="preserve">ance policies typically contain”), in the parenthetical after the second sentence of text, insert as the second citation in the parenthetical, “; accord, </w:t>
      </w:r>
      <w:r w:rsidRPr="004F4BD9">
        <w:rPr>
          <w:rFonts w:cs="Times New Roman"/>
          <w:i/>
          <w:iCs/>
        </w:rPr>
        <w:t>Yahoo</w:t>
      </w:r>
      <w:r w:rsidRPr="004F4BD9">
        <w:rPr>
          <w:rFonts w:cs="Times New Roman"/>
        </w:rPr>
        <w:t xml:space="preserve">, </w:t>
      </w:r>
      <w:r w:rsidRPr="004F4BD9">
        <w:rPr>
          <w:rFonts w:cs="Times New Roman"/>
          <w:i/>
          <w:iCs/>
        </w:rPr>
        <w:t>supra</w:t>
      </w:r>
      <w:r w:rsidRPr="004F4BD9">
        <w:rPr>
          <w:rFonts w:cs="Times New Roman"/>
        </w:rPr>
        <w:t>, 14 Cal.5th at pp. 67, 69” so that the sentence and the following parenthetical read:</w:t>
      </w:r>
    </w:p>
    <w:p w14:paraId="2CDBF559" w14:textId="77777777" w:rsidR="004F4BD9" w:rsidRPr="004F4BD9" w:rsidRDefault="009849E9" w:rsidP="004F4BD9">
      <w:pPr>
        <w:tabs>
          <w:tab w:val="left" w:pos="720"/>
        </w:tabs>
        <w:spacing w:after="120" w:line="240" w:lineRule="auto"/>
        <w:ind w:left="1620" w:firstLine="0"/>
      </w:pPr>
      <w:r w:rsidRPr="004F4BD9">
        <w:t>The</w:t>
      </w:r>
      <w:r w:rsidRPr="004F4BD9">
        <w:t xml:space="preserve"> grant of coverage is generally interpreted broadly in favor of the insured to protect the objectively reasonable expectations of the insured.  (</w:t>
      </w:r>
      <w:r w:rsidRPr="004F4BD9">
        <w:rPr>
          <w:i/>
        </w:rPr>
        <w:t>AIU</w:t>
      </w:r>
      <w:r w:rsidRPr="004F4BD9">
        <w:rPr>
          <w:i/>
          <w:iCs/>
        </w:rPr>
        <w:t xml:space="preserve"> Ins. Co. v. Superior Court</w:t>
      </w:r>
      <w:r w:rsidRPr="004F4BD9">
        <w:t xml:space="preserve">, </w:t>
      </w:r>
      <w:r w:rsidRPr="004F4BD9">
        <w:rPr>
          <w:i/>
        </w:rPr>
        <w:t>supra</w:t>
      </w:r>
      <w:r w:rsidRPr="004F4BD9">
        <w:t xml:space="preserve">, 51 Cal.3d at p. 822; accord, </w:t>
      </w:r>
      <w:r w:rsidRPr="004F4BD9">
        <w:rPr>
          <w:i/>
          <w:iCs/>
        </w:rPr>
        <w:t>Yahoo</w:t>
      </w:r>
      <w:r w:rsidRPr="004F4BD9">
        <w:t xml:space="preserve">, </w:t>
      </w:r>
      <w:r w:rsidRPr="004F4BD9">
        <w:rPr>
          <w:i/>
          <w:iCs/>
        </w:rPr>
        <w:t>supra</w:t>
      </w:r>
      <w:r w:rsidRPr="004F4BD9">
        <w:t xml:space="preserve">, 14 Cal.5th at pp. 67, </w:t>
      </w:r>
      <w:r w:rsidRPr="004F4BD9">
        <w:t>69.)</w:t>
      </w:r>
    </w:p>
    <w:p w14:paraId="0D601E38" w14:textId="77777777" w:rsidR="004F4BD9" w:rsidRPr="004F4BD9" w:rsidRDefault="009849E9" w:rsidP="004F4BD9">
      <w:pPr>
        <w:numPr>
          <w:ilvl w:val="0"/>
          <w:numId w:val="38"/>
        </w:numPr>
        <w:tabs>
          <w:tab w:val="left" w:pos="720"/>
        </w:tabs>
        <w:spacing w:after="120" w:line="240" w:lineRule="auto"/>
        <w:ind w:left="1170" w:hanging="450"/>
        <w:rPr>
          <w:rFonts w:cs="Times New Roman"/>
        </w:rPr>
      </w:pPr>
      <w:r w:rsidRPr="004F4BD9">
        <w:rPr>
          <w:rFonts w:cs="Times New Roman"/>
        </w:rPr>
        <w:t>On page 12, in the first full paragraph (which begins, “The insurer bears the burden”), in the parenthetical after the first sentence, insert as the first citation in the parenthetical, “</w:t>
      </w:r>
      <w:r w:rsidRPr="004F4BD9">
        <w:rPr>
          <w:rFonts w:cs="Times New Roman"/>
          <w:i/>
          <w:iCs/>
        </w:rPr>
        <w:t>Yahoo</w:t>
      </w:r>
      <w:r w:rsidRPr="004F4BD9">
        <w:rPr>
          <w:rFonts w:cs="Times New Roman"/>
        </w:rPr>
        <w:t xml:space="preserve">, </w:t>
      </w:r>
      <w:r w:rsidRPr="004F4BD9">
        <w:rPr>
          <w:rFonts w:cs="Times New Roman"/>
          <w:i/>
          <w:iCs/>
        </w:rPr>
        <w:t>supra</w:t>
      </w:r>
      <w:r w:rsidRPr="004F4BD9">
        <w:rPr>
          <w:rFonts w:cs="Times New Roman"/>
        </w:rPr>
        <w:t>, 14 Cal.5th at p. 68;” so that the sentence and the</w:t>
      </w:r>
      <w:r w:rsidRPr="004F4BD9">
        <w:rPr>
          <w:rFonts w:cs="Times New Roman"/>
        </w:rPr>
        <w:t xml:space="preserve"> following parenthetical read:</w:t>
      </w:r>
    </w:p>
    <w:p w14:paraId="3B73F760" w14:textId="77777777" w:rsidR="004F4BD9" w:rsidRPr="004F4BD9" w:rsidRDefault="009849E9" w:rsidP="004F4BD9">
      <w:pPr>
        <w:tabs>
          <w:tab w:val="left" w:pos="720"/>
        </w:tabs>
        <w:spacing w:after="120" w:line="240" w:lineRule="auto"/>
        <w:ind w:left="1620" w:firstLine="0"/>
        <w:rPr>
          <w:rFonts w:eastAsia="Times New Roman" w:cs="Times New Roman"/>
        </w:rPr>
      </w:pPr>
      <w:r w:rsidRPr="004F4BD9">
        <w:rPr>
          <w:rFonts w:cs="Times New Roman"/>
        </w:rPr>
        <w:t>The insurer bears the burden of proving that an exclusionary clause applies.  (</w:t>
      </w:r>
      <w:r w:rsidRPr="004F4BD9">
        <w:rPr>
          <w:rFonts w:cs="Times New Roman"/>
          <w:i/>
          <w:iCs/>
        </w:rPr>
        <w:t>Yahoo</w:t>
      </w:r>
      <w:r w:rsidRPr="004F4BD9">
        <w:rPr>
          <w:rFonts w:cs="Times New Roman"/>
        </w:rPr>
        <w:t xml:space="preserve">, </w:t>
      </w:r>
      <w:r w:rsidRPr="004F4BD9">
        <w:rPr>
          <w:rFonts w:cs="Times New Roman"/>
          <w:i/>
          <w:iCs/>
        </w:rPr>
        <w:t>supra</w:t>
      </w:r>
      <w:r w:rsidRPr="004F4BD9">
        <w:rPr>
          <w:rFonts w:cs="Times New Roman"/>
        </w:rPr>
        <w:t xml:space="preserve">, 14 Cal.5th at p. 68; </w:t>
      </w:r>
      <w:r w:rsidRPr="004F4BD9">
        <w:rPr>
          <w:rFonts w:eastAsia="Times New Roman" w:cs="Times New Roman"/>
          <w:i/>
          <w:iCs/>
          <w:bdr w:val="none" w:sz="0" w:space="0" w:color="auto" w:frame="1"/>
        </w:rPr>
        <w:t>Travelers Casualty &amp; Surety Co. v. Superior Court</w:t>
      </w:r>
      <w:r w:rsidRPr="004F4BD9">
        <w:rPr>
          <w:rFonts w:eastAsia="Times New Roman" w:cs="Times New Roman"/>
        </w:rPr>
        <w:t xml:space="preserve"> (1998) 63 Cal.App.4th 1440, 1453.)</w:t>
      </w:r>
    </w:p>
    <w:p w14:paraId="6AE5FE15" w14:textId="77777777" w:rsidR="004F4BD9" w:rsidRPr="004F4BD9" w:rsidRDefault="009849E9" w:rsidP="004F4BD9">
      <w:pPr>
        <w:numPr>
          <w:ilvl w:val="0"/>
          <w:numId w:val="38"/>
        </w:numPr>
        <w:tabs>
          <w:tab w:val="left" w:pos="720"/>
        </w:tabs>
        <w:spacing w:after="120" w:line="240" w:lineRule="auto"/>
        <w:ind w:left="1170" w:hanging="450"/>
        <w:rPr>
          <w:rFonts w:cs="Times New Roman"/>
        </w:rPr>
      </w:pPr>
      <w:r w:rsidRPr="004F4BD9">
        <w:rPr>
          <w:rFonts w:cs="Times New Roman"/>
        </w:rPr>
        <w:t>On page 12, also in the fi</w:t>
      </w:r>
      <w:r w:rsidRPr="004F4BD9">
        <w:rPr>
          <w:rFonts w:cs="Times New Roman"/>
        </w:rPr>
        <w:t xml:space="preserve">rst full paragraph (which begins, “The insurer bears the burden”), in the parenthetical at the end of the paragraph, insert as the second citation in the parenthetical, “; accord, </w:t>
      </w:r>
      <w:r w:rsidRPr="004F4BD9">
        <w:rPr>
          <w:i/>
          <w:iCs/>
        </w:rPr>
        <w:t>Yahoo</w:t>
      </w:r>
      <w:r w:rsidRPr="004F4BD9">
        <w:rPr>
          <w:rFonts w:cs="Times New Roman"/>
        </w:rPr>
        <w:t xml:space="preserve">, </w:t>
      </w:r>
      <w:r w:rsidRPr="004F4BD9">
        <w:rPr>
          <w:i/>
          <w:iCs/>
        </w:rPr>
        <w:t>supra</w:t>
      </w:r>
      <w:r w:rsidRPr="004F4BD9">
        <w:rPr>
          <w:rFonts w:cs="Times New Roman"/>
        </w:rPr>
        <w:t>, at p. 68 [</w:t>
      </w:r>
      <w:r w:rsidRPr="004F4BD9">
        <w:t xml:space="preserve">“When coverage is in dispute, the initial burden is </w:t>
      </w:r>
      <w:r w:rsidRPr="004F4BD9">
        <w:t>on the insured . . . to prove that its claim falls within the scope of potential coverage.  [Citation.]  If the insured establishes that the policy provides at least the potential for coverage, the burden shifts to the insurer . . . to show the claim falls</w:t>
      </w:r>
      <w:r w:rsidRPr="004F4BD9">
        <w:t xml:space="preserve"> within one of the policy’s exclusions.”].)</w:t>
      </w:r>
      <w:r w:rsidRPr="004F4BD9">
        <w:rPr>
          <w:rFonts w:cs="Times New Roman"/>
        </w:rPr>
        <w:t>” so that the parenthetical reads:</w:t>
      </w:r>
    </w:p>
    <w:p w14:paraId="14514E2A" w14:textId="77777777" w:rsidR="004F4BD9" w:rsidRPr="004F4BD9" w:rsidRDefault="009849E9" w:rsidP="004F4BD9">
      <w:pPr>
        <w:tabs>
          <w:tab w:val="left" w:pos="720"/>
        </w:tabs>
        <w:spacing w:after="120" w:line="240" w:lineRule="auto"/>
        <w:ind w:left="1620" w:firstLine="0"/>
      </w:pPr>
      <w:r w:rsidRPr="004F4BD9">
        <w:t>(</w:t>
      </w:r>
      <w:r w:rsidRPr="004F4BD9">
        <w:rPr>
          <w:i/>
          <w:iCs/>
        </w:rPr>
        <w:t>Hallmark Ins. Co. v. Superior Court</w:t>
      </w:r>
      <w:r w:rsidRPr="004F4BD9">
        <w:t xml:space="preserve"> (1988) 201 Cal.App.3d 1014, 1017; accord, </w:t>
      </w:r>
      <w:r w:rsidRPr="004F4BD9">
        <w:rPr>
          <w:i/>
          <w:iCs/>
        </w:rPr>
        <w:t>Yahoo</w:t>
      </w:r>
      <w:r w:rsidRPr="004F4BD9">
        <w:t xml:space="preserve">, </w:t>
      </w:r>
      <w:r w:rsidRPr="004F4BD9">
        <w:rPr>
          <w:i/>
          <w:iCs/>
        </w:rPr>
        <w:t>supra</w:t>
      </w:r>
      <w:r w:rsidRPr="004F4BD9">
        <w:t>, at p. 68 [“When coverage is in dispute, the initial burden is on the insured . . . to</w:t>
      </w:r>
      <w:r w:rsidRPr="004F4BD9">
        <w:t xml:space="preserve"> prove that its claim falls within the scope of potential coverage.  [Citation.]  If the insured establishes that the policy provides at least the potential for coverage, the burden shifts to the insurer . . . to show the claim falls within one of the poli</w:t>
      </w:r>
      <w:r w:rsidRPr="004F4BD9">
        <w:t>cy’s exclusions.”].)</w:t>
      </w:r>
    </w:p>
    <w:p w14:paraId="0E304F58" w14:textId="77777777" w:rsidR="004F4BD9" w:rsidRPr="004F4BD9" w:rsidRDefault="009849E9" w:rsidP="004F4BD9">
      <w:pPr>
        <w:numPr>
          <w:ilvl w:val="0"/>
          <w:numId w:val="38"/>
        </w:numPr>
        <w:tabs>
          <w:tab w:val="left" w:pos="720"/>
        </w:tabs>
        <w:spacing w:after="120" w:line="240" w:lineRule="auto"/>
        <w:ind w:left="1170" w:hanging="450"/>
        <w:rPr>
          <w:rFonts w:cs="Times New Roman"/>
        </w:rPr>
      </w:pPr>
      <w:r w:rsidRPr="004F4BD9">
        <w:rPr>
          <w:rFonts w:cs="Times New Roman"/>
        </w:rPr>
        <w:lastRenderedPageBreak/>
        <w:t xml:space="preserve">On page 28, in the first full paragraph (which begins, “Sentinel acknowledges the more expansive breadth”), after the last sentence of the paragraph, insert a parenthetical stating, “(See </w:t>
      </w:r>
      <w:r w:rsidRPr="004F4BD9">
        <w:rPr>
          <w:i/>
          <w:iCs/>
        </w:rPr>
        <w:t>Yahoo</w:t>
      </w:r>
      <w:r w:rsidRPr="004F4BD9">
        <w:rPr>
          <w:rFonts w:cs="Times New Roman"/>
        </w:rPr>
        <w:t xml:space="preserve">, </w:t>
      </w:r>
      <w:r w:rsidRPr="004F4BD9">
        <w:rPr>
          <w:i/>
          <w:iCs/>
        </w:rPr>
        <w:t>supra</w:t>
      </w:r>
      <w:r w:rsidRPr="004F4BD9">
        <w:rPr>
          <w:rFonts w:cs="Times New Roman"/>
        </w:rPr>
        <w:t>, 14 Cal.5th at pp. 65, 68, 71, 72 [endorsement signific</w:t>
      </w:r>
      <w:r w:rsidRPr="004F4BD9">
        <w:rPr>
          <w:rFonts w:cs="Times New Roman"/>
        </w:rPr>
        <w:t>antly modified standard version of policy, including by removing an otherwise applicable exclusion].)” so that the sentence and the parenthetical citation read:</w:t>
      </w:r>
    </w:p>
    <w:p w14:paraId="6E608B47" w14:textId="77777777" w:rsidR="004F4BD9" w:rsidRPr="004F4BD9" w:rsidRDefault="009849E9" w:rsidP="004F4BD9">
      <w:pPr>
        <w:tabs>
          <w:tab w:val="left" w:pos="720"/>
        </w:tabs>
        <w:spacing w:after="120" w:line="240" w:lineRule="auto"/>
        <w:ind w:left="1620" w:firstLine="0"/>
      </w:pPr>
      <w:r w:rsidRPr="004F4BD9">
        <w:t>They modify the main body of an otherwise standardized form, thereby customizing it for purpose</w:t>
      </w:r>
      <w:r w:rsidRPr="004F4BD9">
        <w:t xml:space="preserve">s of the endorsement, which is an objective the parties to this insurance contract plainly had, given the tailored nature of several of the endorsements they agreed upon.  (See </w:t>
      </w:r>
      <w:r w:rsidRPr="004F4BD9">
        <w:rPr>
          <w:i/>
          <w:iCs/>
        </w:rPr>
        <w:t>Yahoo</w:t>
      </w:r>
      <w:r w:rsidRPr="004F4BD9">
        <w:t xml:space="preserve">, </w:t>
      </w:r>
      <w:r w:rsidRPr="004F4BD9">
        <w:rPr>
          <w:i/>
          <w:iCs/>
        </w:rPr>
        <w:t>supra</w:t>
      </w:r>
      <w:r w:rsidRPr="004F4BD9">
        <w:t>, 14 Cal.5th at pp. 65, 68, 71, 72 [endorsement significantly modif</w:t>
      </w:r>
      <w:r w:rsidRPr="004F4BD9">
        <w:t>ied standard version of policy, including by removing an otherwise applicable exclusion].)</w:t>
      </w:r>
    </w:p>
    <w:p w14:paraId="08CC185C" w14:textId="77777777" w:rsidR="004F4BD9" w:rsidRPr="004F4BD9" w:rsidRDefault="009849E9" w:rsidP="004F4BD9">
      <w:pPr>
        <w:numPr>
          <w:ilvl w:val="0"/>
          <w:numId w:val="38"/>
        </w:numPr>
        <w:tabs>
          <w:tab w:val="left" w:pos="720"/>
        </w:tabs>
        <w:spacing w:after="120" w:line="240" w:lineRule="auto"/>
        <w:ind w:left="1170" w:hanging="450"/>
        <w:rPr>
          <w:rFonts w:cs="Times New Roman"/>
        </w:rPr>
      </w:pPr>
      <w:r w:rsidRPr="004F4BD9">
        <w:rPr>
          <w:rFonts w:cs="Times New Roman"/>
        </w:rPr>
        <w:t>On page 30, in the paragraph that begins on page 29 with the words, “We are prepared to accept”, after the second sentence of text, insert a parenthetical stating, “</w:t>
      </w:r>
      <w:r w:rsidRPr="004F4BD9">
        <w:rPr>
          <w:rFonts w:cs="Times New Roman"/>
        </w:rPr>
        <w:t xml:space="preserve">(See </w:t>
      </w:r>
      <w:r w:rsidRPr="004F4BD9">
        <w:rPr>
          <w:i/>
          <w:iCs/>
        </w:rPr>
        <w:t>Yahoo</w:t>
      </w:r>
      <w:r w:rsidRPr="004F4BD9">
        <w:rPr>
          <w:rFonts w:cs="Times New Roman"/>
        </w:rPr>
        <w:t xml:space="preserve">, </w:t>
      </w:r>
      <w:r w:rsidRPr="004F4BD9">
        <w:rPr>
          <w:i/>
          <w:iCs/>
        </w:rPr>
        <w:t>supra</w:t>
      </w:r>
      <w:r w:rsidRPr="004F4BD9">
        <w:rPr>
          <w:rFonts w:cs="Times New Roman"/>
        </w:rPr>
        <w:t>, 14 Cal.5th at pp. 65, 68, 71, 72 [endorsement modified standard policy].)” so that the sentence and the parenthetical citation read:</w:t>
      </w:r>
    </w:p>
    <w:p w14:paraId="18CF34C0" w14:textId="77777777" w:rsidR="004F4BD9" w:rsidRPr="004F4BD9" w:rsidRDefault="009849E9" w:rsidP="004F4BD9">
      <w:pPr>
        <w:tabs>
          <w:tab w:val="left" w:pos="720"/>
        </w:tabs>
        <w:spacing w:after="120" w:line="240" w:lineRule="auto"/>
        <w:ind w:left="1620" w:firstLine="0"/>
      </w:pPr>
      <w:r w:rsidRPr="004F4BD9">
        <w:t>But at best for Sentinel, the Policy is ambiguous when read in light of the modifications made by the Li</w:t>
      </w:r>
      <w:r w:rsidRPr="004F4BD9">
        <w:t xml:space="preserve">mited Fungi or Virus Coverage Endorsement.  (See </w:t>
      </w:r>
      <w:r w:rsidRPr="004F4BD9">
        <w:rPr>
          <w:i/>
          <w:iCs/>
        </w:rPr>
        <w:t>Yahoo</w:t>
      </w:r>
      <w:r w:rsidRPr="004F4BD9">
        <w:t xml:space="preserve">, </w:t>
      </w:r>
      <w:r w:rsidRPr="004F4BD9">
        <w:rPr>
          <w:i/>
          <w:iCs/>
        </w:rPr>
        <w:t>supra</w:t>
      </w:r>
      <w:r w:rsidRPr="004F4BD9">
        <w:t>, 14 Cal.5th at pp. 65, 68, 71, 72 [endorsement modified standard policy].)</w:t>
      </w:r>
    </w:p>
    <w:p w14:paraId="60276D7C" w14:textId="77777777" w:rsidR="004F4BD9" w:rsidRPr="004F4BD9" w:rsidRDefault="009849E9" w:rsidP="004F4BD9">
      <w:pPr>
        <w:tabs>
          <w:tab w:val="left" w:pos="720"/>
        </w:tabs>
      </w:pPr>
      <w:r w:rsidRPr="004F4BD9">
        <w:t>The modifications effect no change in the judgment.</w:t>
      </w:r>
    </w:p>
    <w:p w14:paraId="63A00FAD" w14:textId="77777777" w:rsidR="004F4BD9" w:rsidRPr="004F4BD9" w:rsidRDefault="004F4BD9" w:rsidP="004F4BD9">
      <w:pPr>
        <w:tabs>
          <w:tab w:val="left" w:pos="720"/>
        </w:tabs>
      </w:pPr>
    </w:p>
    <w:p w14:paraId="0E8653B1" w14:textId="77777777" w:rsidR="004F4BD9" w:rsidRPr="004F4BD9" w:rsidRDefault="009849E9" w:rsidP="004F4BD9">
      <w:pPr>
        <w:tabs>
          <w:tab w:val="left" w:pos="5850"/>
        </w:tabs>
        <w:ind w:firstLine="0"/>
      </w:pPr>
      <w:r w:rsidRPr="004F4BD9">
        <w:t>Dated:  January 23, 2023</w:t>
      </w:r>
      <w:r w:rsidRPr="004F4BD9">
        <w:tab/>
        <w:t>STREETER, Acting P. J.</w:t>
      </w:r>
    </w:p>
    <w:p w14:paraId="524559BC" w14:textId="77777777" w:rsidR="004F4BD9" w:rsidRPr="004F4BD9" w:rsidRDefault="004F4BD9" w:rsidP="004F4BD9">
      <w:pPr>
        <w:tabs>
          <w:tab w:val="left" w:pos="5400"/>
        </w:tabs>
        <w:ind w:firstLine="0"/>
        <w:rPr>
          <w:b/>
          <w:bCs/>
          <w:color w:val="FF0000"/>
        </w:rPr>
        <w:sectPr w:rsidR="004F4BD9" w:rsidRPr="004F4BD9" w:rsidSect="007B73C1">
          <w:footerReference w:type="even" r:id="rId7"/>
          <w:footerReference w:type="default" r:id="rId8"/>
          <w:pgSz w:w="12240" w:h="15840"/>
          <w:pgMar w:top="1440" w:right="1440" w:bottom="1440" w:left="1440" w:header="720" w:footer="720" w:gutter="0"/>
          <w:cols w:space="720"/>
          <w:docGrid w:linePitch="360"/>
        </w:sectPr>
      </w:pPr>
    </w:p>
    <w:p w14:paraId="4990501F" w14:textId="77777777" w:rsidR="004F4BD9" w:rsidRPr="004F4BD9" w:rsidRDefault="009849E9" w:rsidP="004F4BD9">
      <w:pPr>
        <w:tabs>
          <w:tab w:val="left" w:pos="720"/>
          <w:tab w:val="left" w:pos="1620"/>
        </w:tabs>
        <w:spacing w:after="240" w:line="240" w:lineRule="auto"/>
        <w:ind w:left="2340" w:hanging="2340"/>
      </w:pPr>
      <w:r w:rsidRPr="004F4BD9">
        <w:lastRenderedPageBreak/>
        <w:t>Trial Court:</w:t>
      </w:r>
      <w:r w:rsidRPr="004F4BD9">
        <w:tab/>
        <w:t>Superior Court of California, County of San Francisco</w:t>
      </w:r>
    </w:p>
    <w:p w14:paraId="405E9266" w14:textId="77777777" w:rsidR="004F4BD9" w:rsidRPr="004F4BD9" w:rsidRDefault="009849E9" w:rsidP="004F4BD9">
      <w:pPr>
        <w:tabs>
          <w:tab w:val="left" w:pos="720"/>
          <w:tab w:val="left" w:pos="1620"/>
        </w:tabs>
        <w:spacing w:after="240" w:line="240" w:lineRule="auto"/>
        <w:ind w:left="2340" w:hanging="2340"/>
      </w:pPr>
      <w:r w:rsidRPr="004F4BD9">
        <w:t>Trial Judge:</w:t>
      </w:r>
      <w:r w:rsidRPr="004F4BD9">
        <w:tab/>
        <w:t>Hon. Ethan P. Schulman</w:t>
      </w:r>
    </w:p>
    <w:p w14:paraId="0723246E" w14:textId="77777777" w:rsidR="004F4BD9" w:rsidRPr="004F4BD9" w:rsidRDefault="009849E9" w:rsidP="004F4BD9">
      <w:pPr>
        <w:tabs>
          <w:tab w:val="left" w:pos="720"/>
          <w:tab w:val="left" w:pos="1620"/>
        </w:tabs>
        <w:spacing w:line="240" w:lineRule="auto"/>
        <w:ind w:left="1980" w:hanging="1980"/>
      </w:pPr>
      <w:r w:rsidRPr="004F4BD9">
        <w:t>Counsel:</w:t>
      </w:r>
      <w:r w:rsidRPr="004F4BD9">
        <w:tab/>
        <w:t>Cotchett, Pitre &amp; McCarthy, Nanci E. Nishimura, Brian Danitz, Andrew F. Kirtley, Julia Q. Peng</w:t>
      </w:r>
      <w:r w:rsidRPr="004F4BD9">
        <w:t>, for Plaintiffs and Appellants.</w:t>
      </w:r>
    </w:p>
    <w:p w14:paraId="6A394D7A" w14:textId="77777777" w:rsidR="004F4BD9" w:rsidRPr="004F4BD9" w:rsidRDefault="004F4BD9" w:rsidP="004F4BD9">
      <w:pPr>
        <w:tabs>
          <w:tab w:val="left" w:pos="720"/>
          <w:tab w:val="left" w:pos="1620"/>
        </w:tabs>
        <w:spacing w:line="240" w:lineRule="auto"/>
        <w:ind w:left="1980" w:hanging="1980"/>
      </w:pPr>
    </w:p>
    <w:p w14:paraId="335E2008" w14:textId="77777777" w:rsidR="004F4BD9" w:rsidRPr="004F4BD9" w:rsidRDefault="009849E9" w:rsidP="004F4BD9">
      <w:pPr>
        <w:tabs>
          <w:tab w:val="left" w:pos="720"/>
          <w:tab w:val="left" w:pos="1620"/>
        </w:tabs>
        <w:spacing w:line="240" w:lineRule="auto"/>
        <w:ind w:left="1980" w:hanging="1980"/>
      </w:pPr>
      <w:r w:rsidRPr="004F4BD9">
        <w:tab/>
      </w:r>
      <w:r w:rsidRPr="004F4BD9">
        <w:tab/>
        <w:t>Steptoe &amp; Johnson, Anthony J. Anscombe; Wiggin and Dana, Tadhg Dooley, David R. Roth, for Defendants and Respondents.</w:t>
      </w:r>
    </w:p>
    <w:p w14:paraId="78022CB3" w14:textId="77777777" w:rsidR="004F4BD9" w:rsidRDefault="004F4BD9" w:rsidP="00AD6149">
      <w:pPr>
        <w:spacing w:after="120" w:line="240" w:lineRule="auto"/>
        <w:ind w:firstLine="0"/>
        <w:rPr>
          <w:rFonts w:ascii="Times New Roman" w:hAnsi="Times New Roman" w:cs="Times New Roman"/>
          <w:sz w:val="20"/>
        </w:rPr>
        <w:sectPr w:rsidR="004F4BD9" w:rsidSect="000950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3CC97F4" w14:textId="4A9D2156" w:rsidR="00C20594" w:rsidRPr="004B1A3B" w:rsidRDefault="009849E9" w:rsidP="00AD6149">
      <w:pPr>
        <w:spacing w:after="120" w:line="240" w:lineRule="auto"/>
        <w:ind w:firstLine="0"/>
        <w:rPr>
          <w:rFonts w:ascii="Times New Roman" w:hAnsi="Times New Roman" w:cs="Times New Roman"/>
          <w:sz w:val="20"/>
        </w:rPr>
      </w:pPr>
      <w:r w:rsidRPr="004B1A3B">
        <w:rPr>
          <w:rFonts w:ascii="Times New Roman" w:hAnsi="Times New Roman" w:cs="Times New Roman"/>
          <w:sz w:val="20"/>
        </w:rPr>
        <w:lastRenderedPageBreak/>
        <w:t>Filed 12/27/22</w:t>
      </w:r>
      <w:r>
        <w:rPr>
          <w:rFonts w:ascii="Times New Roman" w:hAnsi="Times New Roman" w:cs="Times New Roman"/>
          <w:sz w:val="20"/>
        </w:rPr>
        <w:t xml:space="preserve"> (unmodified opinion)</w:t>
      </w:r>
    </w:p>
    <w:p w14:paraId="7AEE4208" w14:textId="77777777" w:rsidR="00C20594" w:rsidRPr="00C20594" w:rsidRDefault="009849E9" w:rsidP="00E43EB4">
      <w:pPr>
        <w:spacing w:after="120" w:line="240" w:lineRule="auto"/>
        <w:ind w:firstLine="0"/>
        <w:jc w:val="center"/>
      </w:pPr>
      <w:r>
        <w:rPr>
          <w:b/>
        </w:rPr>
        <w:t>CERTIFIED FOR PARTIAL PUBLICATION</w:t>
      </w:r>
      <w:r>
        <w:rPr>
          <w:rStyle w:val="FootnoteReference"/>
          <w:b/>
        </w:rPr>
        <w:footnoteReference w:customMarkFollows="1" w:id="3"/>
        <w:t>*</w:t>
      </w:r>
    </w:p>
    <w:p w14:paraId="2168174E" w14:textId="77777777" w:rsidR="00737B68" w:rsidRPr="00944C2C" w:rsidRDefault="009849E9" w:rsidP="00F85CE6">
      <w:pPr>
        <w:spacing w:line="480" w:lineRule="auto"/>
        <w:ind w:firstLine="0"/>
        <w:jc w:val="center"/>
      </w:pPr>
      <w:r w:rsidRPr="00944C2C">
        <w:t>IN THE COURT OF APPEAL OF THE STATE OF CALIFORNIA</w:t>
      </w:r>
    </w:p>
    <w:p w14:paraId="3152E27B" w14:textId="77777777" w:rsidR="00737B68" w:rsidRDefault="009849E9" w:rsidP="00F85CE6">
      <w:pPr>
        <w:spacing w:line="480" w:lineRule="auto"/>
        <w:ind w:firstLine="0"/>
        <w:jc w:val="center"/>
      </w:pPr>
      <w:r>
        <w:t>FIRST APPELLATE DISTRICT</w:t>
      </w:r>
    </w:p>
    <w:p w14:paraId="53C745AD" w14:textId="77777777" w:rsidR="00737B68" w:rsidRDefault="009849E9" w:rsidP="00F85CE6">
      <w:pPr>
        <w:spacing w:line="480" w:lineRule="auto"/>
        <w:ind w:firstLine="0"/>
        <w:jc w:val="center"/>
      </w:pPr>
      <w:r>
        <w:t>DIVISION FOUR</w:t>
      </w:r>
    </w:p>
    <w:tbl>
      <w:tblPr>
        <w:tblW w:w="0" w:type="auto"/>
        <w:tblLayout w:type="fixed"/>
        <w:tblLook w:val="0000" w:firstRow="0" w:lastRow="0" w:firstColumn="0" w:lastColumn="0" w:noHBand="0" w:noVBand="0"/>
      </w:tblPr>
      <w:tblGrid>
        <w:gridCol w:w="4680"/>
        <w:gridCol w:w="4680"/>
      </w:tblGrid>
      <w:tr w:rsidR="00BE1F30" w14:paraId="51470A6F" w14:textId="77777777">
        <w:tc>
          <w:tcPr>
            <w:tcW w:w="4680" w:type="dxa"/>
            <w:tcBorders>
              <w:bottom w:val="single" w:sz="4" w:space="0" w:color="auto"/>
              <w:right w:val="single" w:sz="4" w:space="0" w:color="auto"/>
            </w:tcBorders>
            <w:shd w:val="clear" w:color="auto" w:fill="auto"/>
          </w:tcPr>
          <w:p w14:paraId="1EC8D225" w14:textId="77777777" w:rsidR="00737B68" w:rsidRPr="000072F4" w:rsidRDefault="009849E9" w:rsidP="00F239EC">
            <w:pPr>
              <w:spacing w:after="120" w:line="240" w:lineRule="auto"/>
              <w:ind w:firstLine="0"/>
            </w:pPr>
            <w:r>
              <w:t>JOHN’S GRILL, INC.</w:t>
            </w:r>
            <w:r w:rsidRPr="000072F4">
              <w:t>,</w:t>
            </w:r>
            <w:r>
              <w:t xml:space="preserve"> et al.,</w:t>
            </w:r>
          </w:p>
          <w:p w14:paraId="1932962F" w14:textId="77777777" w:rsidR="00737B68" w:rsidRPr="006F4E4A" w:rsidRDefault="009849E9" w:rsidP="00DE2AC8">
            <w:pPr>
              <w:tabs>
                <w:tab w:val="left" w:pos="610"/>
              </w:tabs>
              <w:spacing w:after="120" w:line="240" w:lineRule="auto"/>
              <w:ind w:firstLine="0"/>
            </w:pPr>
            <w:r w:rsidRPr="000072F4">
              <w:tab/>
            </w:r>
            <w:r w:rsidRPr="006F4E4A">
              <w:t>Plaintiffs and Appellants,</w:t>
            </w:r>
          </w:p>
          <w:p w14:paraId="44B83A27" w14:textId="77777777" w:rsidR="00737B68" w:rsidRPr="006F4E4A" w:rsidRDefault="009849E9" w:rsidP="00283654">
            <w:pPr>
              <w:tabs>
                <w:tab w:val="left" w:pos="1944"/>
              </w:tabs>
              <w:spacing w:after="120" w:line="240" w:lineRule="auto"/>
              <w:ind w:firstLine="0"/>
            </w:pPr>
            <w:r w:rsidRPr="006F4E4A">
              <w:tab/>
              <w:t>v.</w:t>
            </w:r>
          </w:p>
          <w:p w14:paraId="6A9BC308" w14:textId="77777777" w:rsidR="00737B68" w:rsidRPr="006F4E4A" w:rsidRDefault="009849E9" w:rsidP="00F239EC">
            <w:pPr>
              <w:tabs>
                <w:tab w:val="left" w:pos="610"/>
              </w:tabs>
              <w:spacing w:line="240" w:lineRule="auto"/>
              <w:ind w:firstLine="0"/>
            </w:pPr>
            <w:r w:rsidRPr="006F4E4A">
              <w:t xml:space="preserve">THE HARTFORD FINANCIAL SERVICES GROUP, INC., et </w:t>
            </w:r>
            <w:r w:rsidRPr="006F4E4A">
              <w:t>al.,</w:t>
            </w:r>
          </w:p>
          <w:p w14:paraId="7495F414" w14:textId="77777777" w:rsidR="00737B68" w:rsidRPr="000072F4" w:rsidRDefault="009849E9" w:rsidP="00F239EC">
            <w:pPr>
              <w:tabs>
                <w:tab w:val="left" w:pos="610"/>
              </w:tabs>
              <w:spacing w:before="120" w:after="240" w:line="240" w:lineRule="auto"/>
              <w:ind w:firstLine="0"/>
            </w:pPr>
            <w:r w:rsidRPr="006F4E4A">
              <w:tab/>
              <w:t>Defendants and Respondents</w:t>
            </w:r>
            <w:r w:rsidRPr="000072F4">
              <w:t>.</w:t>
            </w:r>
          </w:p>
        </w:tc>
        <w:tc>
          <w:tcPr>
            <w:tcW w:w="4680" w:type="dxa"/>
            <w:tcBorders>
              <w:left w:val="single" w:sz="4" w:space="0" w:color="auto"/>
            </w:tcBorders>
            <w:shd w:val="clear" w:color="auto" w:fill="auto"/>
          </w:tcPr>
          <w:p w14:paraId="37C18BDE" w14:textId="77777777" w:rsidR="00737B68" w:rsidRPr="000072F4" w:rsidRDefault="00737B68" w:rsidP="00E7127E">
            <w:pPr>
              <w:spacing w:after="120" w:line="240" w:lineRule="auto"/>
              <w:ind w:firstLine="0"/>
            </w:pPr>
          </w:p>
          <w:p w14:paraId="171F8D02" w14:textId="77777777" w:rsidR="00737B68" w:rsidRPr="000072F4" w:rsidRDefault="009849E9" w:rsidP="00AF290D">
            <w:pPr>
              <w:tabs>
                <w:tab w:val="left" w:pos="346"/>
              </w:tabs>
              <w:spacing w:after="240" w:line="240" w:lineRule="auto"/>
              <w:ind w:firstLine="0"/>
            </w:pPr>
            <w:r w:rsidRPr="000072F4">
              <w:tab/>
              <w:t>A</w:t>
            </w:r>
            <w:r>
              <w:t>162709</w:t>
            </w:r>
          </w:p>
          <w:p w14:paraId="30713289" w14:textId="77777777" w:rsidR="00AF290D" w:rsidRDefault="009849E9" w:rsidP="00AF290D">
            <w:pPr>
              <w:tabs>
                <w:tab w:val="left" w:pos="346"/>
              </w:tabs>
              <w:spacing w:line="240" w:lineRule="auto"/>
              <w:ind w:firstLine="0"/>
            </w:pPr>
            <w:r w:rsidRPr="000072F4">
              <w:tab/>
              <w:t>(</w:t>
            </w:r>
            <w:r>
              <w:t xml:space="preserve">San Francisco </w:t>
            </w:r>
            <w:r w:rsidRPr="000072F4">
              <w:t>Super. Ct.</w:t>
            </w:r>
          </w:p>
          <w:p w14:paraId="01AC7D14" w14:textId="77777777" w:rsidR="00737B68" w:rsidRPr="000072F4" w:rsidRDefault="009849E9" w:rsidP="00E7127E">
            <w:pPr>
              <w:tabs>
                <w:tab w:val="left" w:pos="346"/>
              </w:tabs>
              <w:spacing w:line="240" w:lineRule="auto"/>
              <w:ind w:firstLine="0"/>
            </w:pPr>
            <w:r>
              <w:tab/>
            </w:r>
            <w:r w:rsidRPr="000072F4">
              <w:t>No. </w:t>
            </w:r>
            <w:r>
              <w:t>CGC-20-584184</w:t>
            </w:r>
            <w:r w:rsidRPr="000072F4">
              <w:t>)</w:t>
            </w:r>
          </w:p>
        </w:tc>
      </w:tr>
    </w:tbl>
    <w:p w14:paraId="2D681793" w14:textId="77777777" w:rsidR="000D391C" w:rsidRDefault="009849E9" w:rsidP="00E43EB4">
      <w:pPr>
        <w:spacing w:before="120"/>
      </w:pPr>
      <w:r>
        <w:t xml:space="preserve">John’s Grill, Inc. and its owner John Konstin (collectively, John’s Grill) appeal from the trial court’s orders (1) sustaining Sentinel Insurance Company, Ltd. </w:t>
      </w:r>
      <w:r>
        <w:t>(Sentinel)’s demurrer without leave to amend, and (2) granting The Hartford Financial Services Group, Inc. (HFSG)’s motion to quash service of summons.</w:t>
      </w:r>
    </w:p>
    <w:p w14:paraId="0D5D2551" w14:textId="77777777" w:rsidR="00C23C6B" w:rsidRDefault="009849E9" w:rsidP="00196251">
      <w:r>
        <w:t>John’s Grill alleges that Sentinel and HFSG wrongfully denied its claim for business interruption covera</w:t>
      </w:r>
      <w:r>
        <w:t>ge for losses sustained in connection with the COVID</w:t>
      </w:r>
      <w:r>
        <w:noBreakHyphen/>
        <w:t>19 pandemic.  The trial court sustained Sentinel’s demurrer on the ground that its business insurance policy affords no coverage for the claim, and granted the motion to quash on the ground that John’s G</w:t>
      </w:r>
      <w:r>
        <w:t>rill failed to show personal jurisdiction over HFSG.  In the unpublished portion of this opinion, we conclude that the trial court correctly granted the motion to quash, and in the published portion of the opinion, we conclude that the court erred in susta</w:t>
      </w:r>
      <w:r>
        <w:t>ining the demurrer without leave to amend.</w:t>
      </w:r>
    </w:p>
    <w:p w14:paraId="496D4FC5" w14:textId="77777777" w:rsidR="00B46DAD" w:rsidRDefault="009849E9" w:rsidP="00196251">
      <w:pPr>
        <w:rPr>
          <w:rFonts w:eastAsia="Times New Roman" w:cs="Arial"/>
          <w:color w:val="000000"/>
        </w:rPr>
      </w:pPr>
      <w:r>
        <w:lastRenderedPageBreak/>
        <w:t xml:space="preserve">On the merits, we write in a rapidly evolving area of law.  Over </w:t>
      </w:r>
      <w:r w:rsidRPr="00D32941">
        <w:t>the last</w:t>
      </w:r>
      <w:r>
        <w:t xml:space="preserve"> 18 </w:t>
      </w:r>
      <w:r w:rsidRPr="00D32941">
        <w:t xml:space="preserve">months, a nearly uniform </w:t>
      </w:r>
      <w:r>
        <w:t xml:space="preserve">line </w:t>
      </w:r>
      <w:r w:rsidRPr="00D32941">
        <w:t>of cases in California and across the country holds that temporary loss of use of property due to the COVI</w:t>
      </w:r>
      <w:r w:rsidRPr="00D32941">
        <w:t>D</w:t>
      </w:r>
      <w:r>
        <w:noBreakHyphen/>
      </w:r>
      <w:r w:rsidRPr="00D32941">
        <w:t>19 pandemic does not constitute “</w:t>
      </w:r>
      <w:r w:rsidRPr="00C97B4E">
        <w:t>direct physical loss of or damage to</w:t>
      </w:r>
      <w:r w:rsidRPr="000B3CBB">
        <w:t>” property</w:t>
      </w:r>
      <w:r>
        <w:t xml:space="preserve"> for </w:t>
      </w:r>
      <w:r w:rsidRPr="00A4511D">
        <w:t>purposes of first party insurance</w:t>
      </w:r>
      <w:r>
        <w:t xml:space="preserve"> coverage</w:t>
      </w:r>
      <w:r w:rsidRPr="00D32941">
        <w:t xml:space="preserve">.  (See </w:t>
      </w:r>
      <w:r w:rsidRPr="00497DB8">
        <w:rPr>
          <w:rFonts w:eastAsia="Times New Roman" w:cs="Times New Roman"/>
          <w:i/>
          <w:iCs/>
          <w:color w:val="000000"/>
          <w:bdr w:val="none" w:sz="0" w:space="0" w:color="auto" w:frame="1"/>
        </w:rPr>
        <w:t xml:space="preserve">Apple Annie, LLC v. Oregon Mutual </w:t>
      </w:r>
      <w:r>
        <w:rPr>
          <w:rFonts w:eastAsia="Times New Roman" w:cs="Times New Roman"/>
          <w:i/>
          <w:iCs/>
          <w:color w:val="000000"/>
          <w:bdr w:val="none" w:sz="0" w:space="0" w:color="auto" w:frame="1"/>
        </w:rPr>
        <w:t xml:space="preserve">Ins. </w:t>
      </w:r>
      <w:r w:rsidRPr="00497DB8">
        <w:rPr>
          <w:rFonts w:eastAsia="Times New Roman" w:cs="Times New Roman"/>
          <w:i/>
          <w:iCs/>
          <w:color w:val="000000"/>
          <w:bdr w:val="none" w:sz="0" w:space="0" w:color="auto" w:frame="1"/>
        </w:rPr>
        <w:t>Co.</w:t>
      </w:r>
      <w:r>
        <w:rPr>
          <w:rFonts w:eastAsia="Times New Roman" w:cs="Times New Roman"/>
          <w:color w:val="000000"/>
        </w:rPr>
        <w:t xml:space="preserve"> </w:t>
      </w:r>
      <w:r w:rsidRPr="00497DB8">
        <w:rPr>
          <w:rFonts w:eastAsia="Times New Roman" w:cs="Times New Roman"/>
          <w:color w:val="000000"/>
        </w:rPr>
        <w:t>(2022) 82</w:t>
      </w:r>
      <w:r>
        <w:rPr>
          <w:rFonts w:eastAsia="Times New Roman" w:cs="Times New Roman"/>
          <w:color w:val="000000"/>
        </w:rPr>
        <w:t> </w:t>
      </w:r>
      <w:r w:rsidRPr="00497DB8">
        <w:rPr>
          <w:rFonts w:eastAsia="Times New Roman" w:cs="Times New Roman"/>
          <w:color w:val="000000"/>
        </w:rPr>
        <w:t>Cal.App.5th 919</w:t>
      </w:r>
      <w:r w:rsidRPr="00D32941">
        <w:rPr>
          <w:rFonts w:eastAsia="Times New Roman" w:cs="Times New Roman"/>
          <w:color w:val="000000"/>
        </w:rPr>
        <w:t>, 930</w:t>
      </w:r>
      <w:r>
        <w:rPr>
          <w:rFonts w:eastAsia="Times New Roman" w:cs="Times New Roman"/>
          <w:color w:val="000000"/>
        </w:rPr>
        <w:t>–</w:t>
      </w:r>
      <w:r w:rsidRPr="00D32941">
        <w:rPr>
          <w:rFonts w:eastAsia="Times New Roman" w:cs="Times New Roman"/>
          <w:color w:val="000000"/>
        </w:rPr>
        <w:t xml:space="preserve">935 [summarizing cases].) </w:t>
      </w:r>
      <w:r>
        <w:rPr>
          <w:rFonts w:eastAsia="Times New Roman" w:cs="Times New Roman"/>
          <w:color w:val="000000"/>
        </w:rPr>
        <w:t xml:space="preserve"> But nearly all of these cases turn on standard form language that was not customized in any material way by modifying endorsement.</w:t>
      </w:r>
    </w:p>
    <w:p w14:paraId="019A0D04" w14:textId="77777777" w:rsidR="000210A3" w:rsidRDefault="009849E9" w:rsidP="00196251">
      <w:r>
        <w:t xml:space="preserve">The twist in this case is that Sentinel’s policy has customized trigger-of-coverage language that </w:t>
      </w:r>
      <w:r>
        <w:t xml:space="preserve">is virus-specific.  Unlike the undefined </w:t>
      </w:r>
      <w:r w:rsidRPr="005D4A83">
        <w:t>term “direct physical loss of or damage to” property in almost all of the COVID</w:t>
      </w:r>
      <w:r>
        <w:noBreakHyphen/>
      </w:r>
      <w:r w:rsidRPr="005D4A83">
        <w:t>19</w:t>
      </w:r>
      <w:r>
        <w:t xml:space="preserve"> business interruption cases decided to date, Sentinel’s policy, by endorsement, (1) contains an affirmative grant of coverage specif</w:t>
      </w:r>
      <w:r>
        <w:t xml:space="preserve">ically for “loss or damage” caused by a virus, and (2) a special definition of “loss or damage” that </w:t>
      </w:r>
      <w:r w:rsidRPr="00FD2CB0">
        <w:t>includes “[d]irect physical</w:t>
      </w:r>
      <w:r w:rsidRPr="005D4A83">
        <w:t xml:space="preserve"> loss or direct physical damage to” </w:t>
      </w:r>
      <w:r>
        <w:t>property, but is broad enough to encompass pervasive infiltration of virus particulates onto</w:t>
      </w:r>
      <w:r>
        <w:t xml:space="preserve"> the surfaces of covered property, which is what is alleged here.</w:t>
      </w:r>
    </w:p>
    <w:p w14:paraId="0DF1FAC5" w14:textId="77777777" w:rsidR="007E073B" w:rsidRDefault="009849E9" w:rsidP="00196251">
      <w:r>
        <w:t xml:space="preserve">Although Sentinel’s grant of coverage for property “loss or damage” caused by virus is expressly limited—principally by a condition that makes it applicable only if the </w:t>
      </w:r>
      <w:r w:rsidRPr="00DA683E">
        <w:t xml:space="preserve">virus is the “result </w:t>
      </w:r>
      <w:r w:rsidRPr="00DA683E">
        <w:t>o</w:t>
      </w:r>
      <w:r w:rsidRPr="00DA683E">
        <w:rPr>
          <w:spacing w:val="40"/>
        </w:rPr>
        <w:t>f</w:t>
      </w:r>
      <w:r w:rsidRPr="00DA683E">
        <w:t>” one of</w:t>
      </w:r>
      <w:r>
        <w:t xml:space="preserve"> a number of listed causes, none of which John’s Grill has alleged—the specified causes clause in Sentinel’s limited virus coverage endorsement, applied broadly, as Sentinel proposes to apply it here, effectively transforms the limited grant of c</w:t>
      </w:r>
      <w:r>
        <w:t>overage for virus-caused “loss or damage” into an empty promise.  On this record, we conclude that it is unenforceable under the illusory coverage doctrine.</w:t>
      </w:r>
    </w:p>
    <w:p w14:paraId="172E0068" w14:textId="77777777" w:rsidR="00E039CB" w:rsidRPr="0009332B" w:rsidRDefault="009849E9" w:rsidP="0009332B">
      <w:pPr>
        <w:pStyle w:val="Heading1"/>
      </w:pPr>
      <w:r w:rsidRPr="0009332B">
        <w:lastRenderedPageBreak/>
        <w:t>BACKGROUND</w:t>
      </w:r>
    </w:p>
    <w:p w14:paraId="5AD25488" w14:textId="77777777" w:rsidR="007E073B" w:rsidRDefault="009849E9" w:rsidP="007E073B">
      <w:pPr>
        <w:pStyle w:val="Heading2"/>
      </w:pPr>
      <w:r>
        <w:t xml:space="preserve"> The Parties and the Policy</w:t>
      </w:r>
    </w:p>
    <w:p w14:paraId="5201D72F" w14:textId="77777777" w:rsidR="00D1468F" w:rsidRDefault="009849E9" w:rsidP="00ED0CED">
      <w:r>
        <w:t xml:space="preserve">John’s Grill owns and operates a restaurant in downtown San </w:t>
      </w:r>
      <w:r>
        <w:t>Francisco.  On March 16, 2020, in response to the COVID</w:t>
      </w:r>
      <w:r>
        <w:noBreakHyphen/>
        <w:t>19 pandemic, the City and County of San Francisco issued a shelter-in-place order that required nonessential businesses to close and restaurants to suspend in-person dining.  Subsequent orders were is</w:t>
      </w:r>
      <w:r>
        <w:t>sued that permitted limited indoor and outdoor dining beginning in September 2020.  As a result of these orders and the presence of COVID</w:t>
      </w:r>
      <w:r>
        <w:noBreakHyphen/>
        <w:t>19 on its premises, John’s Grill either had to remain closed or operate at a limited capacity.</w:t>
      </w:r>
    </w:p>
    <w:p w14:paraId="2BA90C47" w14:textId="77777777" w:rsidR="001A5971" w:rsidRPr="00AA32FB" w:rsidRDefault="009849E9" w:rsidP="009A6767">
      <w:pPr>
        <w:rPr>
          <w:rFonts w:eastAsia="Times New Roman" w:cs="Times New Roman"/>
          <w:color w:val="000000"/>
        </w:rPr>
      </w:pPr>
      <w:r>
        <w:t>Sentinel issued a “Spec</w:t>
      </w:r>
      <w:r>
        <w:t xml:space="preserve">trum Business Owner’s Policy” to John’s Grill for the policy period of November 1, 2019 to November 1, 2020 (the Policy).  In a mammoth, 217-page document, the Policy provides a variety of different </w:t>
      </w:r>
      <w:r w:rsidRPr="00560E8E">
        <w:t>types</w:t>
      </w:r>
      <w:r>
        <w:t xml:space="preserve"> of commercial insurance to John’s Grill, including </w:t>
      </w:r>
      <w:r>
        <w:t>first party property coverage in a Special Property Coverage Form, third party liability coverage in a Business Liability Coverage Form, and umbrella liability coverage in an Umbrella Liability Supplemental Contract.  All of these coverages are preceded by</w:t>
      </w:r>
      <w:r>
        <w:t xml:space="preserve"> a Declarations summary stating per claim and per occurrence limitations, and by various Common Conditions of coverage.  Within each form of coverage is an insuring agreement, various standard definitions, exclusions, additional coverages</w:t>
      </w:r>
      <w:r w:rsidRPr="00853222">
        <w:t>,</w:t>
      </w:r>
      <w:r>
        <w:t xml:space="preserve"> and coverage extensions.  There are also modifying endorsements that customize the respective coverages in different ways, including a number of modifications tailored specially to a restaurant </w:t>
      </w:r>
      <w:r w:rsidRPr="009A6767">
        <w:t>business.</w:t>
      </w:r>
      <w:r>
        <w:rPr>
          <w:rStyle w:val="FootnoteReference"/>
        </w:rPr>
        <w:footnoteReference w:id="4"/>
      </w:r>
    </w:p>
    <w:p w14:paraId="0F48D058" w14:textId="77777777" w:rsidR="00735C5C" w:rsidRDefault="009849E9" w:rsidP="00217BF3">
      <w:r>
        <w:lastRenderedPageBreak/>
        <w:t xml:space="preserve">The Special Property Coverage Form is structured </w:t>
      </w:r>
      <w:r>
        <w:t xml:space="preserve">to provide all “Perils” coverage, meaning all risks of physical </w:t>
      </w:r>
      <w:r w:rsidRPr="009359FB">
        <w:t>loss or damage are covered unless subject to a specific exception or exclusion.</w:t>
      </w:r>
      <w:r>
        <w:rPr>
          <w:rStyle w:val="FootnoteReference"/>
        </w:rPr>
        <w:footnoteReference w:id="5"/>
      </w:r>
      <w:r w:rsidRPr="009359FB">
        <w:t xml:space="preserve">  At issue here is the first party property insurance provided under two endorsements that modify the Special P</w:t>
      </w:r>
      <w:r w:rsidRPr="009359FB">
        <w:t>roperty Coverage Form:  (1) an “Actual Loss Sustained Business Income &amp; Expense—Specified Limit</w:t>
      </w:r>
      <w:r>
        <w:t xml:space="preserve"> Coverage</w:t>
      </w:r>
      <w:r w:rsidRPr="009359FB">
        <w:t>” endorsement providing</w:t>
      </w:r>
      <w:r>
        <w:t xml:space="preserve"> coverage for losses due to suspended operations (the Lost Business Income and Extra Expense Endorsement), and (2) a “Limited Fun</w:t>
      </w:r>
      <w:r>
        <w:t>gi, Bacteria or Virus Coverage” endorsement (the Limited Fungi or Virus Coverage Endorsement).</w:t>
      </w:r>
    </w:p>
    <w:p w14:paraId="776D7D8F" w14:textId="77777777" w:rsidR="004460A5" w:rsidRDefault="009849E9" w:rsidP="007E073B">
      <w:r>
        <w:t>The most pertinent of these two endorsements is the Limited Fungi or Virus Coverage Endorsement, which includes provisions (1) that add limited coverage in certa</w:t>
      </w:r>
      <w:r>
        <w:t>in circumstances for “loss or damage” “caused by” “virus” (the Limited Virus Coverage), subject to certain conditions requiring that the virus was the “result o</w:t>
      </w:r>
      <w:r w:rsidRPr="0062235A">
        <w:rPr>
          <w:spacing w:val="40"/>
        </w:rPr>
        <w:t>f</w:t>
      </w:r>
      <w:r>
        <w:t>” one or more of a list of enumerated causes (the Specified Causes Clause), and (2) that exclud</w:t>
      </w:r>
      <w:r>
        <w:t>e any “</w:t>
      </w:r>
      <w:r w:rsidRPr="00A17B49">
        <w:t>loss or damage caused directly or indirectly by</w:t>
      </w:r>
      <w:r>
        <w:t>” the “[p]</w:t>
      </w:r>
      <w:r w:rsidRPr="006F3B01">
        <w:t xml:space="preserve">resence, growth, proliferation, spread or any activity of </w:t>
      </w:r>
      <w:r>
        <w:t>‘</w:t>
      </w:r>
      <w:r w:rsidRPr="006F3B01">
        <w:t>fungi</w:t>
      </w:r>
      <w:r>
        <w:t>’</w:t>
      </w:r>
      <w:r w:rsidRPr="006F3B01">
        <w:t>, wet rot, dry rot, bacteria or virus</w:t>
      </w:r>
      <w:r>
        <w:t>” (the Virus Exclusion), subject to an exception where the loss or damage falls within the</w:t>
      </w:r>
      <w:r>
        <w:t xml:space="preserve"> Limited Virus Coverage.  Although we are presented with an issue of personal jurisdiction as a threshold matter, how to reconcile the Limited Virus Coverage with the Virus Exclusion is at the heart of the appeal on the merits.</w:t>
      </w:r>
    </w:p>
    <w:p w14:paraId="3E76BCA1" w14:textId="77777777" w:rsidR="007E073B" w:rsidRDefault="009849E9" w:rsidP="007E073B">
      <w:pPr>
        <w:pStyle w:val="Heading2"/>
      </w:pPr>
      <w:r>
        <w:lastRenderedPageBreak/>
        <w:t>The Proceedings in the Trial</w:t>
      </w:r>
      <w:r>
        <w:t xml:space="preserve"> Court</w:t>
      </w:r>
    </w:p>
    <w:p w14:paraId="6C2F32B2" w14:textId="77777777" w:rsidR="008D077D" w:rsidRDefault="009849E9" w:rsidP="00ED0CED">
      <w:r>
        <w:t>Within days of what is now commonly known as the Great Shutdown due to the COVID</w:t>
      </w:r>
      <w:r>
        <w:noBreakHyphen/>
        <w:t xml:space="preserve">19 virus in late March 2020, John’s Grill submitted a claim to Sentinel for lost business income under the Lost Business Income </w:t>
      </w:r>
      <w:r w:rsidRPr="007B4755">
        <w:t>and Extra Expense</w:t>
      </w:r>
      <w:r>
        <w:t xml:space="preserve"> Endorsement.  The resp</w:t>
      </w:r>
      <w:r>
        <w:t>onse came rapidly.  On April 6, 2020, Sentinel issued a letter denying the claim.</w:t>
      </w:r>
    </w:p>
    <w:p w14:paraId="69B8B812" w14:textId="77777777" w:rsidR="00E440CE" w:rsidRDefault="009849E9" w:rsidP="00ED0CED">
      <w:r>
        <w:t xml:space="preserve">Sentinel’s declination letter explained that “since the </w:t>
      </w:r>
      <w:r w:rsidRPr="00FB35EC">
        <w:t>coronavirus did not</w:t>
      </w:r>
      <w:r>
        <w:t xml:space="preserve"> cause property damage at your place of business or in the immediate area, this business income los</w:t>
      </w:r>
      <w:r>
        <w:t>s is not covered.”  The letter further stated that even if there was property damage, such damage was excluded from the Policy and that the limited coverage for damage caused by virus did not apply.</w:t>
      </w:r>
    </w:p>
    <w:p w14:paraId="6E7A6978" w14:textId="77777777" w:rsidR="000C63FB" w:rsidRDefault="009849E9" w:rsidP="00ED0CED">
      <w:r w:rsidRPr="00545677">
        <w:t xml:space="preserve">On April 15, 2020, John’s Grill brought suit </w:t>
      </w:r>
      <w:r w:rsidRPr="00545677">
        <w:t>against</w:t>
      </w:r>
      <w:r>
        <w:t xml:space="preserve"> Sentinel and HFSG,</w:t>
      </w:r>
      <w:r>
        <w:rPr>
          <w:rStyle w:val="FootnoteReference"/>
        </w:rPr>
        <w:footnoteReference w:id="6"/>
      </w:r>
      <w:r>
        <w:t xml:space="preserve"> alleging causes of action for breach of contract, bad faith denial of insurance coverage, unfair </w:t>
      </w:r>
      <w:r w:rsidRPr="000A3A3B">
        <w:t xml:space="preserve">business practices, fraud, and declaratory relief.  John’s Grill claimed coverage under </w:t>
      </w:r>
      <w:r w:rsidRPr="005D4A83">
        <w:t>the Civil Authority, Limited Virus Coverag</w:t>
      </w:r>
      <w:r w:rsidRPr="005D4A83">
        <w:t>e, Lost Business Income and Extra Expense provisions of the Policy.  Its primary theory of loss was that government orders compelled a shutdown of business operations, but it alleged in the alternative that it suffered</w:t>
      </w:r>
      <w:r>
        <w:t xml:space="preserve"> sufficient coverage-triggering damage</w:t>
      </w:r>
      <w:r>
        <w:t xml:space="preserve"> or loss because “physical droplets containing COVID</w:t>
      </w:r>
      <w:r>
        <w:noBreakHyphen/>
        <w:t xml:space="preserve">19” that land on surfaces rendered its business premises </w:t>
      </w:r>
      <w:r>
        <w:lastRenderedPageBreak/>
        <w:t>“unusable” due to the “substantial risk of people getting sick, transmitting infection to others, and possibly dying as a result of touching those</w:t>
      </w:r>
      <w:r>
        <w:t xml:space="preserve"> surfaces.”</w:t>
      </w:r>
    </w:p>
    <w:p w14:paraId="692D261D" w14:textId="77777777" w:rsidR="000F7629" w:rsidRDefault="009849E9" w:rsidP="00ED0CED">
      <w:r>
        <w:t>Both Sentinel and HFSG filed demurrers.  HFSG also filed a motion to quash service of summons for lack of personal jurisdiction.  In its demurrer, Sentinel argued that the Virus Exclusion bars coverage for John’s Grill’s alleged losses and that</w:t>
      </w:r>
      <w:r>
        <w:t xml:space="preserve"> John’s Grill has not alleged any of the listed causes of virus in the Specified Causes Clause.  Sentinel further argued that there is no coverage under </w:t>
      </w:r>
      <w:r w:rsidRPr="00B82A32">
        <w:t>the Lost</w:t>
      </w:r>
      <w:r>
        <w:t xml:space="preserve"> Business Income and Extra Expense Endorsement because John’s Grill </w:t>
      </w:r>
      <w:r w:rsidRPr="00AA5C7C">
        <w:t>fails to allege</w:t>
      </w:r>
      <w:r>
        <w:t xml:space="preserve"> physical lo</w:t>
      </w:r>
      <w:r>
        <w:t>ss of or physical damage to property.</w:t>
      </w:r>
    </w:p>
    <w:p w14:paraId="041C1AC1" w14:textId="77777777" w:rsidR="003341C9" w:rsidRDefault="009849E9" w:rsidP="00ED0CED">
      <w:r>
        <w:t>In its motion to quash service of summons, HFSG argued that it is a holding company and parent corporation that does not underwrite any risks itself and is not authorized to do business in California.  It further argue</w:t>
      </w:r>
      <w:r>
        <w:t>d that “The Hartford” (as referenced throughout the Policy) is a trade name belonging to Hartford Fire Insurance Company, not HFSG, and is used by various entities, including Sentinel.</w:t>
      </w:r>
    </w:p>
    <w:p w14:paraId="453B0706" w14:textId="77777777" w:rsidR="00085ACA" w:rsidRDefault="009849E9" w:rsidP="00130713">
      <w:r>
        <w:t>Following a hearing, the trial court sustained Sentinel’s demurrer with</w:t>
      </w:r>
      <w:r>
        <w:t>out leave to amend.  The trial court held that (i) the Virus Exclusion’s plain and unambiguous language excludes coverage for losses caused by COVID</w:t>
      </w:r>
      <w:r>
        <w:noBreakHyphen/>
        <w:t>19; (ii) the Limited Virus Coverage does not apply because John’s Grill failed to allege the COVID</w:t>
      </w:r>
      <w:r>
        <w:noBreakHyphen/>
        <w:t>19 virus</w:t>
      </w:r>
      <w:r>
        <w:t xml:space="preserve"> “resulted from” a cause listed in the Specified Causes Clause; and (iii) the Specified Causes Clause, while perhaps difficult to meet, does not render the Limited Virus Coverage illusory.</w:t>
      </w:r>
    </w:p>
    <w:p w14:paraId="048951C4" w14:textId="77777777" w:rsidR="005070A2" w:rsidRDefault="009849E9" w:rsidP="00130713">
      <w:r>
        <w:t>The court also granted HFSG’s motion to quash service, holding that</w:t>
      </w:r>
      <w:r>
        <w:t xml:space="preserve"> John’s Grill failed to present sufficient evidence to support specific </w:t>
      </w:r>
      <w:r>
        <w:lastRenderedPageBreak/>
        <w:t>jurisdiction over HFSG.</w:t>
      </w:r>
      <w:r>
        <w:rPr>
          <w:rStyle w:val="FootnoteReference"/>
        </w:rPr>
        <w:footnoteReference w:id="7"/>
      </w:r>
      <w:r>
        <w:t xml:space="preserve">  Finally, the trial court ruled that HFSG’s demurrer was moot in light of its order granting the motion to quash.</w:t>
      </w:r>
    </w:p>
    <w:p w14:paraId="231284DA" w14:textId="77777777" w:rsidR="004F7EE0" w:rsidRPr="00A72855" w:rsidRDefault="009849E9" w:rsidP="00AA5C7C">
      <w:r>
        <w:t>Following the trial court’s dismissal of the</w:t>
      </w:r>
      <w:r>
        <w:t xml:space="preserve"> action with prejudice as to both Sentinel and HFSG, John’s Grill timely appealed.  In its appeal, John’s Grill argues that the trial court erred by sustaining Sentinel’s demurrer, and </w:t>
      </w:r>
      <w:r w:rsidRPr="00365F74">
        <w:t xml:space="preserve">by </w:t>
      </w:r>
      <w:r w:rsidRPr="00A72855">
        <w:t xml:space="preserve">granting HFSG’s motion to quash service of summons.  After full </w:t>
      </w:r>
      <w:r w:rsidRPr="00A72855">
        <w:t>briefing, argument and submission of the appeal, the parties notified us that they reached a settlement (</w:t>
      </w:r>
      <w:r>
        <w:t xml:space="preserve">Cal. </w:t>
      </w:r>
      <w:r w:rsidRPr="00A72855">
        <w:t>Rule</w:t>
      </w:r>
      <w:r>
        <w:t>s</w:t>
      </w:r>
      <w:r w:rsidRPr="00A72855">
        <w:t xml:space="preserve"> of Court, </w:t>
      </w:r>
      <w:r>
        <w:t xml:space="preserve">rule </w:t>
      </w:r>
      <w:r w:rsidRPr="00A72855">
        <w:t>8.244(a)) and stipulated to dismissal (</w:t>
      </w:r>
      <w:r w:rsidRPr="00912233">
        <w:rPr>
          <w:i/>
          <w:iCs/>
        </w:rPr>
        <w:t>id.</w:t>
      </w:r>
      <w:r w:rsidRPr="00A72855">
        <w:t xml:space="preserve">, </w:t>
      </w:r>
      <w:r>
        <w:t xml:space="preserve">rule </w:t>
      </w:r>
      <w:r w:rsidRPr="00A72855">
        <w:t>8.244(c)</w:t>
      </w:r>
      <w:r>
        <w:t>)</w:t>
      </w:r>
      <w:r w:rsidRPr="006225E7">
        <w:t>.</w:t>
      </w:r>
    </w:p>
    <w:p w14:paraId="187F5EF6" w14:textId="77777777" w:rsidR="00365F74" w:rsidRPr="00A72855" w:rsidRDefault="009849E9" w:rsidP="00130713">
      <w:pPr>
        <w:rPr>
          <w:rFonts w:eastAsia="Times New Roman" w:cs="Times New Roman"/>
          <w:color w:val="000000"/>
        </w:rPr>
      </w:pPr>
      <w:r w:rsidRPr="00A72855">
        <w:t>“</w:t>
      </w:r>
      <w:r w:rsidRPr="007844BA">
        <w:rPr>
          <w:color w:val="000000"/>
        </w:rPr>
        <w:t xml:space="preserve">On receipt of a request or stipulation to dismiss, the court </w:t>
      </w:r>
      <w:r w:rsidRPr="007844BA">
        <w:rPr>
          <w:i/>
          <w:color w:val="000000"/>
        </w:rPr>
        <w:t>may</w:t>
      </w:r>
      <w:r w:rsidRPr="007844BA">
        <w:rPr>
          <w:color w:val="000000"/>
        </w:rPr>
        <w:t xml:space="preserve"> dismiss the appeal and direct immediate issuance of the remittitur.”  </w:t>
      </w:r>
      <w:r w:rsidRPr="00CC1CA6">
        <w:t>(</w:t>
      </w:r>
      <w:r>
        <w:t xml:space="preserve">Cal. </w:t>
      </w:r>
      <w:r w:rsidRPr="00CC1CA6">
        <w:t>Rule</w:t>
      </w:r>
      <w:r>
        <w:t>s</w:t>
      </w:r>
      <w:r w:rsidRPr="00CC1CA6">
        <w:t xml:space="preserve"> of Court, </w:t>
      </w:r>
      <w:r>
        <w:t>rule </w:t>
      </w:r>
      <w:r w:rsidRPr="00CC1CA6">
        <w:t>8.244(c)</w:t>
      </w:r>
      <w:r>
        <w:t>(2), italics added;</w:t>
      </w:r>
      <w:r w:rsidRPr="007844BA">
        <w:rPr>
          <w:color w:val="000000"/>
        </w:rPr>
        <w:t xml:space="preserve"> see </w:t>
      </w:r>
      <w:r w:rsidRPr="00365F74">
        <w:rPr>
          <w:rFonts w:eastAsia="Times New Roman" w:cs="Times New Roman"/>
          <w:i/>
          <w:iCs/>
          <w:color w:val="000000"/>
          <w:bdr w:val="none" w:sz="0" w:space="0" w:color="auto" w:frame="1"/>
        </w:rPr>
        <w:t>City of Morgan Hill v. Brown</w:t>
      </w:r>
      <w:r>
        <w:rPr>
          <w:rFonts w:eastAsia="Times New Roman" w:cs="Times New Roman"/>
          <w:color w:val="000000"/>
        </w:rPr>
        <w:t xml:space="preserve"> </w:t>
      </w:r>
      <w:r w:rsidRPr="006225E7">
        <w:rPr>
          <w:rFonts w:eastAsia="Times New Roman" w:cs="Times New Roman"/>
          <w:color w:val="000000"/>
        </w:rPr>
        <w:t>(1999) 71</w:t>
      </w:r>
      <w:r>
        <w:rPr>
          <w:rFonts w:eastAsia="Times New Roman" w:cs="Times New Roman"/>
          <w:color w:val="000000"/>
        </w:rPr>
        <w:t> </w:t>
      </w:r>
      <w:r w:rsidRPr="006225E7">
        <w:rPr>
          <w:rFonts w:eastAsia="Times New Roman" w:cs="Times New Roman"/>
          <w:color w:val="000000"/>
        </w:rPr>
        <w:t>Cal.App.4th 1114, 1121</w:t>
      </w:r>
      <w:r>
        <w:rPr>
          <w:rFonts w:eastAsia="Times New Roman" w:cs="Times New Roman"/>
          <w:color w:val="000000"/>
        </w:rPr>
        <w:t>, fn. 5</w:t>
      </w:r>
      <w:r w:rsidRPr="006225E7">
        <w:rPr>
          <w:rFonts w:eastAsia="Times New Roman" w:cs="Times New Roman"/>
          <w:color w:val="000000"/>
        </w:rPr>
        <w:t xml:space="preserve"> [“</w:t>
      </w:r>
      <w:r w:rsidRPr="007844BA">
        <w:rPr>
          <w:rFonts w:eastAsia="Times New Roman" w:cs="Times New Roman"/>
          <w:color w:val="000000"/>
        </w:rPr>
        <w:t>After the record on appeal is filed, dismissal of the a</w:t>
      </w:r>
      <w:r w:rsidRPr="007844BA">
        <w:rPr>
          <w:rFonts w:eastAsia="Times New Roman" w:cs="Times New Roman"/>
          <w:color w:val="000000"/>
        </w:rPr>
        <w:t>ction based on abandonment or stipulation of the parties is discretionary, rather than mandatory.”].)</w:t>
      </w:r>
    </w:p>
    <w:p w14:paraId="696ACCF2" w14:textId="77777777" w:rsidR="00870144" w:rsidRDefault="009849E9" w:rsidP="00130713">
      <w:r>
        <w:t>Because this appeal raises issues “of continuing public interest which are likely to recur” (</w:t>
      </w:r>
      <w:r>
        <w:rPr>
          <w:i/>
          <w:iCs/>
          <w:color w:val="000000"/>
          <w:bdr w:val="none" w:sz="0" w:space="0" w:color="auto" w:frame="1"/>
        </w:rPr>
        <w:t>Bay Guardian Co. v. New Times Media LLC</w:t>
      </w:r>
      <w:r>
        <w:rPr>
          <w:color w:val="000000"/>
        </w:rPr>
        <w:t xml:space="preserve"> (2010) 187 Cal.App.4t</w:t>
      </w:r>
      <w:r>
        <w:rPr>
          <w:color w:val="000000"/>
        </w:rPr>
        <w:t>h 438, 445, fn. 2</w:t>
      </w:r>
      <w:r w:rsidRPr="00BA0FCB">
        <w:rPr>
          <w:color w:val="000000"/>
        </w:rPr>
        <w:t xml:space="preserve">; see </w:t>
      </w:r>
      <w:r w:rsidRPr="00BA0FCB">
        <w:rPr>
          <w:i/>
          <w:color w:val="000000"/>
          <w:bdr w:val="none" w:sz="0" w:space="0" w:color="auto" w:frame="1"/>
        </w:rPr>
        <w:t>Lucich</w:t>
      </w:r>
      <w:r w:rsidRPr="002C158B">
        <w:rPr>
          <w:i/>
          <w:color w:val="000000"/>
          <w:bdr w:val="none" w:sz="0" w:space="0" w:color="auto" w:frame="1"/>
        </w:rPr>
        <w:t xml:space="preserve"> v. City of Oakland</w:t>
      </w:r>
      <w:r w:rsidRPr="002C158B">
        <w:rPr>
          <w:color w:val="000000"/>
        </w:rPr>
        <w:t xml:space="preserve"> (1993) 19 Cal.App.4th 494, 500</w:t>
      </w:r>
      <w:r>
        <w:rPr>
          <w:color w:val="000000"/>
        </w:rPr>
        <w:t>–502</w:t>
      </w:r>
      <w:r w:rsidRPr="00791228">
        <w:rPr>
          <w:color w:val="000000"/>
        </w:rPr>
        <w:t>)</w:t>
      </w:r>
      <w:r>
        <w:rPr>
          <w:color w:val="000000"/>
        </w:rPr>
        <w:t xml:space="preserve">, </w:t>
      </w:r>
      <w:r>
        <w:t xml:space="preserve">we decline to dismiss at this late stage in the appellate proceedings and proceed to file our opinion.  Below, we </w:t>
      </w:r>
      <w:r w:rsidRPr="008D108D">
        <w:t xml:space="preserve">conclude that the court properly granted HFSG’s motion to quash, but that it erred in sustaining Sentinel’s </w:t>
      </w:r>
      <w:r w:rsidRPr="00423B59">
        <w:t>demurrer without leave to amend.</w:t>
      </w:r>
    </w:p>
    <w:p w14:paraId="414547FD" w14:textId="77777777" w:rsidR="004458E2" w:rsidRDefault="009849E9" w:rsidP="0009332B">
      <w:pPr>
        <w:pStyle w:val="Heading1"/>
      </w:pPr>
      <w:r w:rsidRPr="00377DA0">
        <w:lastRenderedPageBreak/>
        <w:t>A</w:t>
      </w:r>
      <w:r w:rsidRPr="00377DA0">
        <w:t>NALYSIS</w:t>
      </w:r>
    </w:p>
    <w:p w14:paraId="19E79A37" w14:textId="77777777" w:rsidR="00D722A4" w:rsidRDefault="009849E9" w:rsidP="00C3747F">
      <w:pPr>
        <w:pStyle w:val="Heading2"/>
        <w:numPr>
          <w:ilvl w:val="0"/>
          <w:numId w:val="33"/>
        </w:numPr>
      </w:pPr>
      <w:r>
        <w:t>The Motion T</w:t>
      </w:r>
      <w:r w:rsidRPr="00C3747F">
        <w:t>o</w:t>
      </w:r>
      <w:r>
        <w:t xml:space="preserve"> Quash</w:t>
      </w:r>
    </w:p>
    <w:p w14:paraId="6513F9A2" w14:textId="77777777" w:rsidR="00D722A4" w:rsidRDefault="009849E9" w:rsidP="00D722A4">
      <w:r>
        <w:t>We address first whether the trial court erred in granting HFSG’s motion to quash service of summons for lack of personal jurisdiction.  We hold that it did not.</w:t>
      </w:r>
    </w:p>
    <w:p w14:paraId="4A5CAAE5" w14:textId="77777777" w:rsidR="00D722A4" w:rsidRDefault="009849E9" w:rsidP="00D722A4">
      <w:r>
        <w:t>“The concept of minimum contacts embraces two types of jurisdictio</w:t>
      </w:r>
      <w:r>
        <w:t>n—general and specific.”  (</w:t>
      </w:r>
      <w:r w:rsidRPr="009602C7">
        <w:rPr>
          <w:i/>
          <w:iCs/>
        </w:rPr>
        <w:t>Sonora Diamond Corp. v. Superior Court</w:t>
      </w:r>
      <w:r>
        <w:t xml:space="preserve"> (2000) 83 Cal.App.4th 523, 536.)  The sole issue here is whether there is a basis to exercise specific jurisdiction.  S</w:t>
      </w:r>
      <w:r w:rsidRPr="00300AC6">
        <w:t>pecific jurisdiction exists if:  (1)</w:t>
      </w:r>
      <w:r>
        <w:t> </w:t>
      </w:r>
      <w:r w:rsidRPr="00300AC6">
        <w:t xml:space="preserve">the defendant has </w:t>
      </w:r>
      <w:r w:rsidRPr="00E02C8D">
        <w:t>purposefully</w:t>
      </w:r>
      <w:r w:rsidRPr="00300AC6">
        <w:t xml:space="preserve"> ava</w:t>
      </w:r>
      <w:r w:rsidRPr="00300AC6">
        <w:t>iled itself of forum benefits related to the matter in controversy; (2)</w:t>
      </w:r>
      <w:r>
        <w:t> </w:t>
      </w:r>
      <w:r w:rsidRPr="00300AC6">
        <w:t>the controversy relates to or arises out of the defendant’s contacts with the forum; and (3)</w:t>
      </w:r>
      <w:r>
        <w:t> </w:t>
      </w:r>
      <w:r w:rsidRPr="00300AC6">
        <w:t xml:space="preserve">the exercise of jurisdiction </w:t>
      </w:r>
      <w:r w:rsidRPr="00E84777">
        <w:t xml:space="preserve">would comport with fair play and substantial justice. </w:t>
      </w:r>
      <w:r>
        <w:t xml:space="preserve"> (</w:t>
      </w:r>
      <w:r w:rsidRPr="00C70AE4">
        <w:rPr>
          <w:i/>
          <w:iCs/>
        </w:rPr>
        <w:t xml:space="preserve">Van </w:t>
      </w:r>
      <w:r w:rsidRPr="002F157E">
        <w:rPr>
          <w:i/>
          <w:iCs/>
        </w:rPr>
        <w:t>Bu</w:t>
      </w:r>
      <w:r w:rsidRPr="002F157E">
        <w:rPr>
          <w:i/>
          <w:iCs/>
        </w:rPr>
        <w:t xml:space="preserve">skirk v. </w:t>
      </w:r>
      <w:r>
        <w:rPr>
          <w:i/>
          <w:iCs/>
        </w:rPr>
        <w:t>Van</w:t>
      </w:r>
      <w:r w:rsidRPr="002F157E">
        <w:rPr>
          <w:i/>
          <w:iCs/>
        </w:rPr>
        <w:t xml:space="preserve"> Buskirk</w:t>
      </w:r>
      <w:r w:rsidRPr="00E84777">
        <w:t xml:space="preserve"> (2020) 53</w:t>
      </w:r>
      <w:r>
        <w:t> </w:t>
      </w:r>
      <w:r w:rsidRPr="00E84777">
        <w:t>Cal.App.5th 523, 531.</w:t>
      </w:r>
      <w:r>
        <w:t xml:space="preserve">) </w:t>
      </w:r>
      <w:r w:rsidRPr="00E84777">
        <w:t xml:space="preserve"> </w:t>
      </w:r>
      <w:r>
        <w:t>T</w:t>
      </w:r>
      <w:r w:rsidRPr="00E84777">
        <w:t xml:space="preserve">he relationship between the defendant and the forum state “must arise out of contacts that the </w:t>
      </w:r>
      <w:r>
        <w:t>‘</w:t>
      </w:r>
      <w:r w:rsidRPr="00BC33FB">
        <w:t xml:space="preserve">defendant </w:t>
      </w:r>
      <w:r w:rsidRPr="00D94A07">
        <w:rPr>
          <w:i/>
        </w:rPr>
        <w:t>[it]sel</w:t>
      </w:r>
      <w:r w:rsidRPr="00D94A07">
        <w:rPr>
          <w:i/>
          <w:spacing w:val="40"/>
        </w:rPr>
        <w:t>f</w:t>
      </w:r>
      <w:r w:rsidRPr="00BC33FB">
        <w:t>’</w:t>
      </w:r>
      <w:r w:rsidRPr="00E84777">
        <w:t xml:space="preserve"> creates with the forum </w:t>
      </w:r>
      <w:r>
        <w:t>[s]</w:t>
      </w:r>
      <w:r w:rsidRPr="00E84777">
        <w:t>tate,</w:t>
      </w:r>
      <w:r>
        <w:t>”</w:t>
      </w:r>
      <w:r w:rsidRPr="00E84777">
        <w:t xml:space="preserve"> not out of “contacts between the plaintiff (or third parties) and the forum </w:t>
      </w:r>
      <w:r>
        <w:t>[</w:t>
      </w:r>
      <w:r w:rsidRPr="00E84777">
        <w:t>s</w:t>
      </w:r>
      <w:r>
        <w:t>]</w:t>
      </w:r>
      <w:r w:rsidRPr="00E84777">
        <w:t xml:space="preserve">tate.” </w:t>
      </w:r>
      <w:r>
        <w:t xml:space="preserve"> (</w:t>
      </w:r>
      <w:r w:rsidRPr="002F157E">
        <w:rPr>
          <w:i/>
          <w:iCs/>
        </w:rPr>
        <w:t>Walden v. Fiore</w:t>
      </w:r>
      <w:r w:rsidRPr="00E84777">
        <w:t xml:space="preserve"> (2014) 571</w:t>
      </w:r>
      <w:r>
        <w:t> </w:t>
      </w:r>
      <w:r w:rsidRPr="00E84777">
        <w:t>U.S. 277, 284</w:t>
      </w:r>
      <w:r>
        <w:t>.)</w:t>
      </w:r>
    </w:p>
    <w:p w14:paraId="6014F45F" w14:textId="77777777" w:rsidR="00D722A4" w:rsidRDefault="009849E9" w:rsidP="00D722A4">
      <w:r>
        <w:t>When, as here, a defendant has moved “to quash service of process</w:t>
      </w:r>
      <w:r w:rsidRPr="00202A56">
        <w:t xml:space="preserve"> </w:t>
      </w:r>
      <w:r>
        <w:t>on jurisdictional grounds, the plaintiff has the initial b</w:t>
      </w:r>
      <w:r>
        <w:t>urden of demonstrating facts justifying the exercise of jurisdiction” by a preponderance of the evidence.  (</w:t>
      </w:r>
      <w:r w:rsidRPr="00052D0B">
        <w:rPr>
          <w:i/>
          <w:iCs/>
        </w:rPr>
        <w:t>Vons Co</w:t>
      </w:r>
      <w:r>
        <w:rPr>
          <w:i/>
          <w:iCs/>
        </w:rPr>
        <w:t>mpanies</w:t>
      </w:r>
      <w:r w:rsidRPr="00052D0B">
        <w:rPr>
          <w:i/>
          <w:iCs/>
        </w:rPr>
        <w:t>, Inc. v. Seabest Foods, Inc.</w:t>
      </w:r>
      <w:r>
        <w:t xml:space="preserve"> (1996) 14 Cal.4th 434, 449; </w:t>
      </w:r>
      <w:r w:rsidRPr="00052D0B">
        <w:rPr>
          <w:i/>
          <w:iCs/>
        </w:rPr>
        <w:t>ViaView, Inc. v. Retzlaff</w:t>
      </w:r>
      <w:r>
        <w:t xml:space="preserve"> (2016) 1 Cal.App.5th 198, 209–210.)  To satisfy it</w:t>
      </w:r>
      <w:r>
        <w:t>s initial burden, a plaintiff “must come forward with affidavits and other competent evidence . . . and cannot simply rely on allegations in an unverified complaint.”  (</w:t>
      </w:r>
      <w:r w:rsidRPr="00A8670B">
        <w:rPr>
          <w:i/>
          <w:iCs/>
        </w:rPr>
        <w:t>ViaView, Inc. v. Retzlaff</w:t>
      </w:r>
      <w:r>
        <w:t xml:space="preserve">, </w:t>
      </w:r>
      <w:r w:rsidRPr="00A8670B">
        <w:rPr>
          <w:i/>
          <w:iCs/>
        </w:rPr>
        <w:t>supra</w:t>
      </w:r>
      <w:r>
        <w:t xml:space="preserve">, at p. 210; see </w:t>
      </w:r>
      <w:r w:rsidRPr="00991F29">
        <w:rPr>
          <w:i/>
          <w:iCs/>
        </w:rPr>
        <w:t>Rivelli v. Hemm</w:t>
      </w:r>
      <w:r w:rsidRPr="00991F29">
        <w:t xml:space="preserve"> (2021) 67</w:t>
      </w:r>
      <w:r>
        <w:t> </w:t>
      </w:r>
      <w:r w:rsidRPr="00991F29">
        <w:t xml:space="preserve">Cal.App.5th </w:t>
      </w:r>
      <w:r w:rsidRPr="00991F29">
        <w:t>380, 393</w:t>
      </w:r>
      <w:r>
        <w:t xml:space="preserve"> [jurisdictional allegations must be supported by “ ‘competent evidence of jurisdictional facts.  Allegations in an unverified complaint are insufficient to satisfy this burden of proo</w:t>
      </w:r>
      <w:r w:rsidRPr="003C2677">
        <w:rPr>
          <w:spacing w:val="40"/>
        </w:rPr>
        <w:t>f</w:t>
      </w:r>
      <w:r w:rsidRPr="003C2677">
        <w:t>’ </w:t>
      </w:r>
      <w:r>
        <w:t>”].)</w:t>
      </w:r>
    </w:p>
    <w:p w14:paraId="1EEFD0E8" w14:textId="77777777" w:rsidR="00D722A4" w:rsidRDefault="009849E9" w:rsidP="00D722A4">
      <w:r w:rsidRPr="00684897">
        <w:lastRenderedPageBreak/>
        <w:t xml:space="preserve">Here, the </w:t>
      </w:r>
      <w:r>
        <w:t>s</w:t>
      </w:r>
      <w:r w:rsidRPr="00684897">
        <w:t xml:space="preserve">uperior </w:t>
      </w:r>
      <w:r>
        <w:t>c</w:t>
      </w:r>
      <w:r w:rsidRPr="00684897">
        <w:t xml:space="preserve">ourt held that </w:t>
      </w:r>
      <w:r>
        <w:t xml:space="preserve">John’s Grill </w:t>
      </w:r>
      <w:r w:rsidRPr="00684897">
        <w:t>“fail[ed</w:t>
      </w:r>
      <w:r w:rsidRPr="00684897">
        <w:t xml:space="preserve">] to present sufficient evidence to show specific jurisdiction against HFSG.” </w:t>
      </w:r>
      <w:r>
        <w:t xml:space="preserve"> We agree.  HFSG is not a party to the Policy.  It is a holding company that indirectly owns Sentinel.  Without alleging or attempting to present proof that Sentinel is the mere </w:t>
      </w:r>
      <w:r>
        <w:t xml:space="preserve">alter ego of HFSG, John’s Grill alleges that HFSG’s corporate affiliation with Sentinel is enough to justify </w:t>
      </w:r>
      <w:r w:rsidRPr="00A51610">
        <w:t xml:space="preserve">the exercise </w:t>
      </w:r>
      <w:r>
        <w:t xml:space="preserve">of personal jurisdiction over HFSG.  According to John’s Grill, </w:t>
      </w:r>
      <w:r w:rsidRPr="00B707A1">
        <w:t xml:space="preserve">the Policy </w:t>
      </w:r>
      <w:r>
        <w:t>“</w:t>
      </w:r>
      <w:r w:rsidRPr="00B707A1">
        <w:t>is replete with references to and messages from ‘The Hartf</w:t>
      </w:r>
      <w:r w:rsidRPr="00B707A1">
        <w:t>ord</w:t>
      </w:r>
      <w:r>
        <w:t>’ ” and “The Hartford” maintains a website that invites California-</w:t>
      </w:r>
      <w:r w:rsidRPr="004278A6">
        <w:t>based businesses</w:t>
      </w:r>
      <w:r>
        <w:t xml:space="preserve"> to purchase insurance from it.</w:t>
      </w:r>
    </w:p>
    <w:p w14:paraId="712E1970" w14:textId="77777777" w:rsidR="00D722A4" w:rsidRPr="00D722A4" w:rsidRDefault="009849E9" w:rsidP="00D722A4">
      <w:r>
        <w:t>As the superior court found, however, The Hartford is</w:t>
      </w:r>
      <w:r w:rsidRPr="00810D9C">
        <w:t xml:space="preserve"> merely a trade name, used by multiple entities and owned by Hartford Fire Insurance </w:t>
      </w:r>
      <w:r w:rsidRPr="00810D9C">
        <w:t>Company, not HFSG.</w:t>
      </w:r>
      <w:r>
        <w:t xml:space="preserve">  The court also found that, since </w:t>
      </w:r>
      <w:r w:rsidRPr="000F5C35">
        <w:t>HFSG is not even authorized by the California Department of Insurance to do business in California</w:t>
      </w:r>
      <w:r>
        <w:t xml:space="preserve">, </w:t>
      </w:r>
      <w:r w:rsidRPr="000F5C35">
        <w:t xml:space="preserve">HFSG therefore cannot reasonably be confused with “The Hartford” that is referenced in </w:t>
      </w:r>
      <w:r>
        <w:t>Sentinel’s</w:t>
      </w:r>
      <w:r w:rsidRPr="000F5C35">
        <w:t xml:space="preserve"> Polic</w:t>
      </w:r>
      <w:r w:rsidRPr="000F5C35">
        <w:t xml:space="preserve">y.  </w:t>
      </w:r>
      <w:r>
        <w:t>The court also found that John’s Grill failed to show that “</w:t>
      </w:r>
      <w:r w:rsidRPr="00B34193">
        <w:t>discovery is likely to lead to the production of evidence of facts establishing jurisdiction</w:t>
      </w:r>
      <w:r>
        <w:t>,</w:t>
      </w:r>
      <w:r w:rsidRPr="00B34193">
        <w:t>”</w:t>
      </w:r>
      <w:r>
        <w:t xml:space="preserve"> and having so found, denied a request from John’s Grill for jurisdictional discovery.  All of these findings are supported by substantial evidence.</w:t>
      </w:r>
    </w:p>
    <w:p w14:paraId="1092D0A1" w14:textId="77777777" w:rsidR="0076004E" w:rsidRDefault="009849E9" w:rsidP="00C3747F">
      <w:pPr>
        <w:pStyle w:val="Heading2"/>
        <w:tabs>
          <w:tab w:val="left" w:pos="1170"/>
        </w:tabs>
      </w:pPr>
      <w:r>
        <w:t>The Demurrer</w:t>
      </w:r>
    </w:p>
    <w:p w14:paraId="6B5A7C8A" w14:textId="77777777" w:rsidR="00A103AB" w:rsidRPr="00E1741C" w:rsidRDefault="009849E9" w:rsidP="00A103AB">
      <w:r>
        <w:t>We review an order sustaining a demurrer de novo and exercise our independent judgment as to w</w:t>
      </w:r>
      <w:r>
        <w:t>hether the complaint states a cause of action as a matter of law.  (</w:t>
      </w:r>
      <w:r>
        <w:rPr>
          <w:i/>
          <w:iCs/>
        </w:rPr>
        <w:t>Moore v. Regents of University of California</w:t>
      </w:r>
      <w:r>
        <w:t xml:space="preserve"> (1990) 51 Cal.3d 120, 125.)  This extends “even as to matters not expressly ruled up</w:t>
      </w:r>
      <w:r w:rsidRPr="00D1790E">
        <w:t>on</w:t>
      </w:r>
      <w:r>
        <w:t xml:space="preserve"> by the trial court.”  (</w:t>
      </w:r>
      <w:r>
        <w:rPr>
          <w:i/>
          <w:iCs/>
        </w:rPr>
        <w:t>Hayter Trucking, Inc. v. Shell We</w:t>
      </w:r>
      <w:r>
        <w:rPr>
          <w:i/>
          <w:iCs/>
        </w:rPr>
        <w:t>stern E&amp;P, Inc.</w:t>
      </w:r>
      <w:r>
        <w:t xml:space="preserve"> (1993) 18 Cal.App.4th 1, 13.)  We accept as true all material facts properly pleaded and matters which may be judicially noticed but disregard </w:t>
      </w:r>
      <w:r>
        <w:lastRenderedPageBreak/>
        <w:t>contentions, deductions, or conclusions of fact or law.  (</w:t>
      </w:r>
      <w:r>
        <w:rPr>
          <w:i/>
          <w:iCs/>
        </w:rPr>
        <w:t>Blank v. Kirwan</w:t>
      </w:r>
      <w:r>
        <w:t xml:space="preserve"> (1985) 39 Cal.3d 311, 3</w:t>
      </w:r>
      <w:r>
        <w:t>18.)  We “give the complaint a reasonable interpretation, reading it as a whole and its parts in their context.”  (</w:t>
      </w:r>
      <w:r>
        <w:rPr>
          <w:i/>
          <w:iCs/>
        </w:rPr>
        <w:t>Ibid.</w:t>
      </w:r>
      <w:r>
        <w:t>)</w:t>
      </w:r>
    </w:p>
    <w:p w14:paraId="0968A1FD" w14:textId="77777777" w:rsidR="006119F6" w:rsidRPr="00C86A8C" w:rsidRDefault="009849E9" w:rsidP="00E34EE9">
      <w:r>
        <w:t>“When a demurrer is sustained without leave to amend, it is the duty of the reviewing court to decide whether there is a reasonable po</w:t>
      </w:r>
      <w:r>
        <w:t>ssibility that the defect can be cured by amendment.  If it can, the trial court has abused its discretion and we must reverse.  If it cannot be reasonably cured, there has been no abuse of discretion.  [Citation.]  It is the plaintif</w:t>
      </w:r>
      <w:r w:rsidRPr="007566C0">
        <w:rPr>
          <w:spacing w:val="20"/>
        </w:rPr>
        <w:t>f</w:t>
      </w:r>
      <w:r>
        <w:t>’s burden to show the</w:t>
      </w:r>
      <w:r>
        <w:t xml:space="preserve"> reviewing court how the complaint can be amended to state a cause of action.”  (</w:t>
      </w:r>
      <w:r w:rsidRPr="004B1B4B">
        <w:rPr>
          <w:i/>
          <w:iCs/>
        </w:rPr>
        <w:t>Michaelian</w:t>
      </w:r>
      <w:r>
        <w:rPr>
          <w:i/>
          <w:iCs/>
        </w:rPr>
        <w:t xml:space="preserve"> v. State Comp. Ins. Fund</w:t>
      </w:r>
      <w:r>
        <w:t xml:space="preserve"> (1996) 50 Cal.App.4th 1093, 1105.)</w:t>
      </w:r>
    </w:p>
    <w:p w14:paraId="0E1B1119" w14:textId="77777777" w:rsidR="0076004E" w:rsidRDefault="009849E9" w:rsidP="0004203D">
      <w:pPr>
        <w:pStyle w:val="Heading3"/>
      </w:pPr>
      <w:r>
        <w:t>Insurance Policy Interpretation</w:t>
      </w:r>
    </w:p>
    <w:p w14:paraId="3F6BA9AC" w14:textId="77777777" w:rsidR="006B21A1" w:rsidRPr="006A317A" w:rsidRDefault="009849E9" w:rsidP="0097432A">
      <w:pPr>
        <w:textAlignment w:val="baseline"/>
      </w:pPr>
      <w:r w:rsidRPr="00E53146">
        <w:t>Because insurance policies are contracts, judicial interpretation of the</w:t>
      </w:r>
      <w:r w:rsidRPr="00E53146">
        <w:t>m, like any other contract, is a question of law.  (</w:t>
      </w:r>
      <w:r w:rsidRPr="00E53146">
        <w:rPr>
          <w:i/>
          <w:iCs/>
        </w:rPr>
        <w:t>AIU</w:t>
      </w:r>
      <w:r>
        <w:rPr>
          <w:i/>
          <w:iCs/>
        </w:rPr>
        <w:t xml:space="preserve"> Ins. </w:t>
      </w:r>
      <w:r w:rsidRPr="00E53146">
        <w:rPr>
          <w:i/>
          <w:iCs/>
        </w:rPr>
        <w:t>Co. v. Superior Court</w:t>
      </w:r>
      <w:r w:rsidRPr="00E53146">
        <w:t xml:space="preserve"> (1990) 51</w:t>
      </w:r>
      <w:r>
        <w:t> </w:t>
      </w:r>
      <w:r w:rsidRPr="00E53146">
        <w:t xml:space="preserve">Cal.3d 807, 818; </w:t>
      </w:r>
      <w:r w:rsidRPr="00373E23">
        <w:rPr>
          <w:rFonts w:eastAsia="Times New Roman" w:cs="Arial"/>
          <w:i/>
          <w:iCs/>
          <w:color w:val="000000"/>
          <w:bdr w:val="none" w:sz="0" w:space="0" w:color="auto" w:frame="1"/>
        </w:rPr>
        <w:t>Bank of the West v. Superior Court</w:t>
      </w:r>
      <w:r>
        <w:rPr>
          <w:rFonts w:eastAsia="Times New Roman" w:cs="Arial"/>
          <w:color w:val="000000"/>
        </w:rPr>
        <w:t xml:space="preserve"> </w:t>
      </w:r>
      <w:r w:rsidRPr="00373E23">
        <w:rPr>
          <w:rFonts w:eastAsia="Times New Roman" w:cs="Arial"/>
          <w:color w:val="000000"/>
        </w:rPr>
        <w:t>(1992) 2</w:t>
      </w:r>
      <w:r>
        <w:rPr>
          <w:rFonts w:eastAsia="Times New Roman" w:cs="Arial"/>
          <w:color w:val="000000"/>
        </w:rPr>
        <w:t> </w:t>
      </w:r>
      <w:r w:rsidRPr="00373E23">
        <w:rPr>
          <w:rFonts w:eastAsia="Times New Roman" w:cs="Arial"/>
          <w:color w:val="000000"/>
        </w:rPr>
        <w:t>Cal.4th 1254, 1264</w:t>
      </w:r>
      <w:r w:rsidRPr="00E53146">
        <w:rPr>
          <w:rFonts w:eastAsia="Times New Roman" w:cs="Arial"/>
          <w:color w:val="000000"/>
        </w:rPr>
        <w:t xml:space="preserve"> [“</w:t>
      </w:r>
      <w:r w:rsidRPr="0097432A">
        <w:rPr>
          <w:rFonts w:eastAsia="Times New Roman" w:cs="Arial"/>
          <w:color w:val="000000"/>
        </w:rPr>
        <w:t>While insurance contracts have special features, they are still contracts to whic</w:t>
      </w:r>
      <w:r w:rsidRPr="0097432A">
        <w:rPr>
          <w:rFonts w:eastAsia="Times New Roman" w:cs="Arial"/>
          <w:color w:val="000000"/>
        </w:rPr>
        <w:t>h the ordinary rules of contractual interpretation apply.”].)  T</w:t>
      </w:r>
      <w:r w:rsidRPr="00E53146">
        <w:t xml:space="preserve">he “mutual intention of the parties at the time the contract is formed governs interpretation. </w:t>
      </w:r>
      <w:r>
        <w:t xml:space="preserve"> </w:t>
      </w:r>
      <w:r w:rsidRPr="00E53146">
        <w:t>[Citation.]</w:t>
      </w:r>
      <w:r>
        <w:t xml:space="preserve"> </w:t>
      </w:r>
      <w:r w:rsidRPr="00E53146">
        <w:t xml:space="preserve"> Such intent is to be inferred, if possible, solely from the written provisions of t</w:t>
      </w:r>
      <w:r w:rsidRPr="00E53146">
        <w:t>he contract.”  (</w:t>
      </w:r>
      <w:r w:rsidRPr="00CA429C">
        <w:rPr>
          <w:i/>
          <w:iCs/>
        </w:rPr>
        <w:t>AIU</w:t>
      </w:r>
      <w:r>
        <w:rPr>
          <w:i/>
          <w:iCs/>
        </w:rPr>
        <w:t> Ins. Co.</w:t>
      </w:r>
      <w:r w:rsidRPr="00E53146">
        <w:t>, at pp.</w:t>
      </w:r>
      <w:r>
        <w:t> </w:t>
      </w:r>
      <w:r w:rsidRPr="00E53146">
        <w:t>821</w:t>
      </w:r>
      <w:r>
        <w:t>–</w:t>
      </w:r>
      <w:r w:rsidRPr="00E53146">
        <w:t>822.)</w:t>
      </w:r>
      <w:r>
        <w:t xml:space="preserve">  </w:t>
      </w:r>
      <w:r w:rsidRPr="00E53146">
        <w:t xml:space="preserve">The words in the contract are to be interpreted in their “ordinary and popular sense” unless “used by the parties in a technical sense, or unless </w:t>
      </w:r>
      <w:r>
        <w:t>a</w:t>
      </w:r>
      <w:r w:rsidRPr="00E53146">
        <w:t xml:space="preserve"> special meaning is given to them by usage</w:t>
      </w:r>
      <w:r>
        <w:t>.</w:t>
      </w:r>
      <w:r w:rsidRPr="00E53146">
        <w:t>”</w:t>
      </w:r>
      <w:r>
        <w:t xml:space="preserve">  (Civ. Code, § 1644.)  Any ambiguous terms must be interpreted “</w:t>
      </w:r>
      <w:r>
        <w:t xml:space="preserve">in the sense [the insurer] believed [the insured] understood them at the time of formation,” and ambiguities must be resolved in favor of coverage.  </w:t>
      </w:r>
      <w:r w:rsidRPr="009A5F96">
        <w:t>(</w:t>
      </w:r>
      <w:r w:rsidRPr="009A5F96">
        <w:rPr>
          <w:i/>
          <w:iCs/>
        </w:rPr>
        <w:t>AIU</w:t>
      </w:r>
      <w:r>
        <w:rPr>
          <w:i/>
          <w:iCs/>
        </w:rPr>
        <w:t> Ins. Co.</w:t>
      </w:r>
      <w:r w:rsidRPr="009A5F96">
        <w:t>,</w:t>
      </w:r>
      <w:r w:rsidRPr="009A5F96">
        <w:rPr>
          <w:i/>
          <w:iCs/>
        </w:rPr>
        <w:t xml:space="preserve"> </w:t>
      </w:r>
      <w:r w:rsidRPr="006A317A">
        <w:t>at p. 822</w:t>
      </w:r>
      <w:r>
        <w:t>, citing Civ. Code, § 1649</w:t>
      </w:r>
      <w:r w:rsidRPr="006A317A">
        <w:t>.)</w:t>
      </w:r>
    </w:p>
    <w:p w14:paraId="2059112A" w14:textId="77777777" w:rsidR="000507B2" w:rsidRPr="000E3813" w:rsidRDefault="009849E9" w:rsidP="000E3813">
      <w:pPr>
        <w:rPr>
          <w:rFonts w:eastAsia="Times New Roman" w:cs="Times New Roman"/>
          <w:color w:val="000000"/>
        </w:rPr>
      </w:pPr>
      <w:r w:rsidRPr="0097432A">
        <w:rPr>
          <w:rFonts w:eastAsia="Times New Roman" w:cs="Times New Roman"/>
          <w:color w:val="000000"/>
        </w:rPr>
        <w:lastRenderedPageBreak/>
        <w:t xml:space="preserve">“The rules for recognizing ambiguity are . . . </w:t>
      </w:r>
      <w:r w:rsidRPr="0097432A">
        <w:rPr>
          <w:rFonts w:eastAsia="Times New Roman" w:cs="Times New Roman"/>
          <w:color w:val="000000"/>
        </w:rPr>
        <w:t>straightforward.  Ambiguity exists when an insurance policy provision is susceptible to two or more constructions that are reasonable and not based on strained interpretations.  (</w:t>
      </w:r>
      <w:r w:rsidRPr="000E3813">
        <w:rPr>
          <w:rFonts w:eastAsia="Times New Roman" w:cs="Times New Roman"/>
          <w:i/>
          <w:iCs/>
          <w:color w:val="000000"/>
          <w:bdr w:val="none" w:sz="0" w:space="0" w:color="auto" w:frame="1"/>
        </w:rPr>
        <w:t xml:space="preserve">Producers Dairy Delivery Co. v. Sentry </w:t>
      </w:r>
      <w:r>
        <w:rPr>
          <w:rFonts w:eastAsia="Times New Roman" w:cs="Times New Roman"/>
          <w:i/>
          <w:iCs/>
          <w:color w:val="000000"/>
          <w:bdr w:val="none" w:sz="0" w:space="0" w:color="auto" w:frame="1"/>
        </w:rPr>
        <w:t xml:space="preserve">Ins. </w:t>
      </w:r>
      <w:r w:rsidRPr="000E3813">
        <w:rPr>
          <w:rFonts w:eastAsia="Times New Roman" w:cs="Times New Roman"/>
          <w:i/>
          <w:iCs/>
          <w:color w:val="000000"/>
          <w:bdr w:val="none" w:sz="0" w:space="0" w:color="auto" w:frame="1"/>
        </w:rPr>
        <w:t>Co.</w:t>
      </w:r>
      <w:r w:rsidRPr="007844BA">
        <w:rPr>
          <w:rFonts w:eastAsia="Times New Roman" w:cs="Times New Roman"/>
          <w:color w:val="000000"/>
        </w:rPr>
        <w:t xml:space="preserve"> </w:t>
      </w:r>
      <w:r w:rsidRPr="0097432A">
        <w:rPr>
          <w:rFonts w:eastAsia="Times New Roman" w:cs="Times New Roman"/>
          <w:color w:val="000000"/>
        </w:rPr>
        <w:t xml:space="preserve">(1986) 41 Cal.3d 903, 912.)  </w:t>
      </w:r>
      <w:r w:rsidRPr="0097432A">
        <w:rPr>
          <w:rFonts w:eastAsia="Times New Roman" w:cs="Times New Roman"/>
          <w:color w:val="000000"/>
        </w:rPr>
        <w:t>Contract language interpretation involves considering the whole instrument and the circumstances of the case; ambiguity is not an abstract question.  (</w:t>
      </w:r>
      <w:r w:rsidRPr="000E3813">
        <w:rPr>
          <w:rFonts w:eastAsia="Times New Roman" w:cs="Times New Roman"/>
          <w:i/>
          <w:iCs/>
          <w:color w:val="000000"/>
          <w:bdr w:val="none" w:sz="0" w:space="0" w:color="auto" w:frame="1"/>
        </w:rPr>
        <w:t>Id.</w:t>
      </w:r>
      <w:r>
        <w:rPr>
          <w:rFonts w:eastAsia="Times New Roman" w:cs="Times New Roman"/>
          <w:i/>
          <w:iCs/>
          <w:color w:val="000000"/>
          <w:bdr w:val="none" w:sz="0" w:space="0" w:color="auto" w:frame="1"/>
        </w:rPr>
        <w:t xml:space="preserve"> </w:t>
      </w:r>
      <w:r w:rsidRPr="0097432A">
        <w:rPr>
          <w:rFonts w:eastAsia="Times New Roman" w:cs="Times New Roman"/>
          <w:color w:val="000000"/>
        </w:rPr>
        <w:t>at p. 916, fn. 7.)  ‘A word generally has several meanings, even in the dictionary.  You have to cons</w:t>
      </w:r>
      <w:r w:rsidRPr="0097432A">
        <w:rPr>
          <w:rFonts w:eastAsia="Times New Roman" w:cs="Times New Roman"/>
          <w:color w:val="000000"/>
        </w:rPr>
        <w:t xml:space="preserve">ider the sentence in which it stands to decide which of those meanings it bears in the particular case, and very likely will see that it there has a shade of significance more refined than any given in the wordbook.’  (Holmes, </w:t>
      </w:r>
      <w:r w:rsidRPr="000E3813">
        <w:rPr>
          <w:rFonts w:eastAsia="Times New Roman" w:cs="Times New Roman"/>
          <w:i/>
          <w:iCs/>
          <w:color w:val="000000"/>
          <w:bdr w:val="none" w:sz="0" w:space="0" w:color="auto" w:frame="1"/>
        </w:rPr>
        <w:t>The Theory of</w:t>
      </w:r>
      <w:r>
        <w:rPr>
          <w:rFonts w:eastAsia="Times New Roman" w:cs="Times New Roman"/>
          <w:i/>
          <w:iCs/>
          <w:color w:val="000000"/>
          <w:bdr w:val="none" w:sz="0" w:space="0" w:color="auto" w:frame="1"/>
        </w:rPr>
        <w:t xml:space="preserve"> </w:t>
      </w:r>
      <w:r w:rsidRPr="000E3813">
        <w:rPr>
          <w:rFonts w:eastAsia="Times New Roman" w:cs="Times New Roman"/>
          <w:i/>
          <w:iCs/>
          <w:color w:val="000000"/>
          <w:bdr w:val="none" w:sz="0" w:space="0" w:color="auto" w:frame="1"/>
        </w:rPr>
        <w:t>Legal Interpret</w:t>
      </w:r>
      <w:r w:rsidRPr="000E3813">
        <w:rPr>
          <w:rFonts w:eastAsia="Times New Roman" w:cs="Times New Roman"/>
          <w:i/>
          <w:iCs/>
          <w:color w:val="000000"/>
          <w:bdr w:val="none" w:sz="0" w:space="0" w:color="auto" w:frame="1"/>
        </w:rPr>
        <w:t>ation</w:t>
      </w:r>
      <w:r w:rsidRPr="0097432A">
        <w:rPr>
          <w:rFonts w:eastAsia="Times New Roman" w:cs="Times New Roman"/>
          <w:color w:val="000000"/>
        </w:rPr>
        <w:t xml:space="preserve"> (1899) 12 Harv.</w:t>
      </w:r>
      <w:r>
        <w:rPr>
          <w:rFonts w:eastAsia="Times New Roman" w:cs="Times New Roman"/>
          <w:color w:val="000000"/>
        </w:rPr>
        <w:t xml:space="preserve"> </w:t>
      </w:r>
      <w:r w:rsidRPr="0097432A">
        <w:rPr>
          <w:rFonts w:eastAsia="Times New Roman" w:cs="Times New Roman"/>
          <w:color w:val="000000"/>
        </w:rPr>
        <w:t>L.Rev. 417.)”  (</w:t>
      </w:r>
      <w:r w:rsidRPr="000E3813">
        <w:rPr>
          <w:rFonts w:eastAsia="Times New Roman" w:cs="Times New Roman"/>
          <w:i/>
          <w:iCs/>
          <w:color w:val="000000"/>
          <w:bdr w:val="none" w:sz="0" w:space="0" w:color="auto" w:frame="1"/>
        </w:rPr>
        <w:t xml:space="preserve">Shell Oil Co. v. Winterthur Swiss </w:t>
      </w:r>
      <w:r>
        <w:rPr>
          <w:rFonts w:eastAsia="Times New Roman" w:cs="Times New Roman"/>
          <w:i/>
          <w:iCs/>
          <w:color w:val="000000"/>
          <w:bdr w:val="none" w:sz="0" w:space="0" w:color="auto" w:frame="1"/>
        </w:rPr>
        <w:t xml:space="preserve">Ins. </w:t>
      </w:r>
      <w:r w:rsidRPr="000E3813">
        <w:rPr>
          <w:rFonts w:eastAsia="Times New Roman" w:cs="Times New Roman"/>
          <w:i/>
          <w:iCs/>
          <w:color w:val="000000"/>
          <w:bdr w:val="none" w:sz="0" w:space="0" w:color="auto" w:frame="1"/>
        </w:rPr>
        <w:t>Co.</w:t>
      </w:r>
      <w:r>
        <w:rPr>
          <w:rFonts w:eastAsia="Times New Roman" w:cs="Times New Roman"/>
          <w:color w:val="000000"/>
        </w:rPr>
        <w:t xml:space="preserve"> </w:t>
      </w:r>
      <w:r w:rsidRPr="000E3813">
        <w:rPr>
          <w:rFonts w:eastAsia="Times New Roman" w:cs="Times New Roman"/>
          <w:color w:val="000000"/>
        </w:rPr>
        <w:t>(1993) 12</w:t>
      </w:r>
      <w:r>
        <w:rPr>
          <w:rFonts w:eastAsia="Times New Roman" w:cs="Times New Roman"/>
          <w:color w:val="000000"/>
        </w:rPr>
        <w:t> </w:t>
      </w:r>
      <w:r w:rsidRPr="000E3813">
        <w:rPr>
          <w:rFonts w:eastAsia="Times New Roman" w:cs="Times New Roman"/>
          <w:color w:val="000000"/>
        </w:rPr>
        <w:t>Cal.App.4th 715, 737.)</w:t>
      </w:r>
      <w:r>
        <w:rPr>
          <w:rFonts w:eastAsia="Times New Roman" w:cs="Times New Roman"/>
          <w:color w:val="000000"/>
        </w:rPr>
        <w:t xml:space="preserve">  Under this basic precept, every insurance contract must be interpreted by its particular wording and read in its entirety, with careful atten</w:t>
      </w:r>
      <w:r>
        <w:rPr>
          <w:rFonts w:eastAsia="Times New Roman" w:cs="Times New Roman"/>
          <w:color w:val="000000"/>
        </w:rPr>
        <w:t>tion paid to context, the interrelationship of the provisions within the policy and how they work together, and the actual circumstances of the contracting parties.</w:t>
      </w:r>
    </w:p>
    <w:p w14:paraId="13F43E65" w14:textId="77777777" w:rsidR="0009457A" w:rsidRPr="00080D02" w:rsidRDefault="009849E9" w:rsidP="0092368E">
      <w:r w:rsidRPr="00080D02">
        <w:t xml:space="preserve">Insurance policies typically contain two main components:  </w:t>
      </w:r>
      <w:r>
        <w:t xml:space="preserve">on the one hand, </w:t>
      </w:r>
      <w:r w:rsidRPr="00080D02">
        <w:t>provisions that</w:t>
      </w:r>
      <w:r w:rsidRPr="00080D02">
        <w:t xml:space="preserve"> specify the risks being covered and thus that mark out the affirmative grant of coverage, and </w:t>
      </w:r>
      <w:r>
        <w:t>on the other hand,</w:t>
      </w:r>
      <w:r w:rsidRPr="00080D02">
        <w:t xml:space="preserve"> exclusionary provisions that “remove coverage for </w:t>
      </w:r>
      <w:r>
        <w:t xml:space="preserve">certain </w:t>
      </w:r>
      <w:r w:rsidRPr="00080D02">
        <w:t xml:space="preserve">risks </w:t>
      </w:r>
      <w:r>
        <w:t xml:space="preserve">which are initially within the </w:t>
      </w:r>
      <w:r w:rsidRPr="00080D02">
        <w:t>insuring clause.”  (</w:t>
      </w:r>
      <w:r w:rsidRPr="00080D02">
        <w:rPr>
          <w:i/>
          <w:iCs/>
        </w:rPr>
        <w:t xml:space="preserve">Collin v. American Empire </w:t>
      </w:r>
      <w:r>
        <w:rPr>
          <w:i/>
          <w:iCs/>
        </w:rPr>
        <w:t xml:space="preserve">Ins. </w:t>
      </w:r>
      <w:r w:rsidRPr="00080D02">
        <w:rPr>
          <w:i/>
          <w:iCs/>
        </w:rPr>
        <w:t>Co.</w:t>
      </w:r>
      <w:r w:rsidRPr="00080D02">
        <w:t xml:space="preserve"> (1994) 21 Cal.App.4th 787, 802–803.)  The grant of coverage is generally interpreted broadly in favor of the insured to protect the objectively reasonable expectations of the insured.  (</w:t>
      </w:r>
      <w:r w:rsidRPr="00C442B9">
        <w:rPr>
          <w:i/>
        </w:rPr>
        <w:t>AIU</w:t>
      </w:r>
      <w:r>
        <w:rPr>
          <w:i/>
          <w:iCs/>
        </w:rPr>
        <w:t xml:space="preserve"> Ins. Co. v. Superior Court</w:t>
      </w:r>
      <w:r>
        <w:t xml:space="preserve">, </w:t>
      </w:r>
      <w:r w:rsidRPr="00C442B9">
        <w:rPr>
          <w:i/>
        </w:rPr>
        <w:t>sup</w:t>
      </w:r>
      <w:r w:rsidRPr="00C442B9">
        <w:rPr>
          <w:i/>
        </w:rPr>
        <w:t>ra</w:t>
      </w:r>
      <w:r>
        <w:t xml:space="preserve">, </w:t>
      </w:r>
      <w:r w:rsidRPr="00E53146">
        <w:t>51</w:t>
      </w:r>
      <w:r>
        <w:t> </w:t>
      </w:r>
      <w:r w:rsidRPr="00E53146">
        <w:t xml:space="preserve">Cal.3d </w:t>
      </w:r>
      <w:r>
        <w:t>at p. 822.</w:t>
      </w:r>
      <w:r w:rsidRPr="00080D02">
        <w:t xml:space="preserve">)  </w:t>
      </w:r>
      <w:r>
        <w:t>And</w:t>
      </w:r>
      <w:r w:rsidRPr="00080D02">
        <w:t xml:space="preserve"> exclusionary provisions that limit or take away coverage are “strictly construed against the insurer and liberally interpreted in favor of </w:t>
      </w:r>
      <w:r w:rsidRPr="00080D02">
        <w:lastRenderedPageBreak/>
        <w:t>the insured” (</w:t>
      </w:r>
      <w:r w:rsidRPr="00080D02">
        <w:rPr>
          <w:i/>
          <w:iCs/>
        </w:rPr>
        <w:t xml:space="preserve">Delgado v. Heritage Life </w:t>
      </w:r>
      <w:r>
        <w:rPr>
          <w:i/>
          <w:iCs/>
        </w:rPr>
        <w:t xml:space="preserve">Ins. </w:t>
      </w:r>
      <w:r w:rsidRPr="00080D02">
        <w:rPr>
          <w:i/>
          <w:iCs/>
        </w:rPr>
        <w:t>Co.</w:t>
      </w:r>
      <w:r w:rsidRPr="00080D02">
        <w:t xml:space="preserve"> (1984) 157 Cal.</w:t>
      </w:r>
      <w:r>
        <w:t>App.</w:t>
      </w:r>
      <w:r w:rsidRPr="00080D02">
        <w:t>3d 262, 271),</w:t>
      </w:r>
      <w:r>
        <w:t xml:space="preserve"> </w:t>
      </w:r>
      <w:r w:rsidRPr="0097432A">
        <w:rPr>
          <w:rFonts w:eastAsia="Times New Roman" w:cs="Times New Roman"/>
          <w:color w:val="000000"/>
        </w:rPr>
        <w:t>while</w:t>
      </w:r>
      <w:r>
        <w:rPr>
          <w:rFonts w:eastAsia="Times New Roman" w:cs="Times New Roman"/>
          <w:color w:val="000000"/>
        </w:rPr>
        <w:t xml:space="preserve"> </w:t>
      </w:r>
      <w:r w:rsidRPr="0097432A">
        <w:rPr>
          <w:rFonts w:eastAsia="Times New Roman" w:cs="Times New Roman"/>
          <w:color w:val="000000"/>
          <w:bdr w:val="none" w:sz="0" w:space="0" w:color="auto" w:frame="1"/>
        </w:rPr>
        <w:t>exceptions</w:t>
      </w:r>
      <w:r>
        <w:rPr>
          <w:rFonts w:eastAsia="Times New Roman" w:cs="Times New Roman"/>
          <w:color w:val="000000"/>
        </w:rPr>
        <w:t xml:space="preserve"> </w:t>
      </w:r>
      <w:r w:rsidRPr="0097432A">
        <w:rPr>
          <w:rFonts w:eastAsia="Times New Roman" w:cs="Times New Roman"/>
          <w:color w:val="000000"/>
        </w:rPr>
        <w:t>to</w:t>
      </w:r>
      <w:r>
        <w:rPr>
          <w:rFonts w:eastAsia="Times New Roman" w:cs="Times New Roman"/>
          <w:color w:val="000000"/>
        </w:rPr>
        <w:t xml:space="preserve"> </w:t>
      </w:r>
      <w:r w:rsidRPr="0097432A">
        <w:rPr>
          <w:rFonts w:eastAsia="Times New Roman" w:cs="Times New Roman"/>
          <w:color w:val="000000"/>
          <w:bdr w:val="none" w:sz="0" w:space="0" w:color="auto" w:frame="1"/>
        </w:rPr>
        <w:t>exclusions</w:t>
      </w:r>
      <w:r>
        <w:rPr>
          <w:rFonts w:eastAsia="Times New Roman" w:cs="Times New Roman"/>
          <w:color w:val="000000"/>
        </w:rPr>
        <w:t xml:space="preserve"> </w:t>
      </w:r>
      <w:r w:rsidRPr="0097432A">
        <w:rPr>
          <w:rFonts w:eastAsia="Times New Roman" w:cs="Times New Roman"/>
          <w:color w:val="000000"/>
        </w:rPr>
        <w:t>are broadly construed in favor of the insured (</w:t>
      </w:r>
      <w:r w:rsidRPr="005C2A35">
        <w:rPr>
          <w:rFonts w:eastAsia="Times New Roman" w:cs="Times New Roman"/>
          <w:i/>
          <w:iCs/>
          <w:color w:val="000000"/>
          <w:bdr w:val="none" w:sz="0" w:space="0" w:color="auto" w:frame="1"/>
        </w:rPr>
        <w:t xml:space="preserve">E.M.M.I. Inc. v. Zurich American </w:t>
      </w:r>
      <w:r>
        <w:rPr>
          <w:rFonts w:eastAsia="Times New Roman" w:cs="Times New Roman"/>
          <w:i/>
          <w:iCs/>
          <w:color w:val="000000"/>
          <w:bdr w:val="none" w:sz="0" w:space="0" w:color="auto" w:frame="1"/>
        </w:rPr>
        <w:t xml:space="preserve">Ins. </w:t>
      </w:r>
      <w:r w:rsidRPr="005C2A35">
        <w:rPr>
          <w:rFonts w:eastAsia="Times New Roman" w:cs="Times New Roman"/>
          <w:i/>
          <w:iCs/>
          <w:color w:val="000000"/>
          <w:bdr w:val="none" w:sz="0" w:space="0" w:color="auto" w:frame="1"/>
        </w:rPr>
        <w:t>Co.</w:t>
      </w:r>
      <w:r>
        <w:rPr>
          <w:rFonts w:eastAsia="Times New Roman" w:cs="Times New Roman"/>
          <w:color w:val="000000"/>
        </w:rPr>
        <w:t xml:space="preserve"> </w:t>
      </w:r>
      <w:r w:rsidRPr="005C2A35">
        <w:rPr>
          <w:rFonts w:eastAsia="Times New Roman" w:cs="Times New Roman"/>
          <w:color w:val="000000"/>
        </w:rPr>
        <w:t>(2004) 32</w:t>
      </w:r>
      <w:r>
        <w:rPr>
          <w:rFonts w:eastAsia="Times New Roman" w:cs="Times New Roman"/>
          <w:color w:val="000000"/>
        </w:rPr>
        <w:t> </w:t>
      </w:r>
      <w:r w:rsidRPr="005C2A35">
        <w:rPr>
          <w:rFonts w:eastAsia="Times New Roman" w:cs="Times New Roman"/>
          <w:color w:val="000000"/>
        </w:rPr>
        <w:t>Cal.4th 465, 471</w:t>
      </w:r>
      <w:r w:rsidRPr="00080D02">
        <w:rPr>
          <w:rFonts w:eastAsia="Times New Roman" w:cs="Times New Roman"/>
          <w:color w:val="000000"/>
        </w:rPr>
        <w:t>)</w:t>
      </w:r>
      <w:r w:rsidRPr="00080D02">
        <w:t>.</w:t>
      </w:r>
    </w:p>
    <w:p w14:paraId="1C0A5CC5" w14:textId="77777777" w:rsidR="003428FF" w:rsidRDefault="009849E9" w:rsidP="00080D02">
      <w:r w:rsidRPr="00D17E29">
        <w:rPr>
          <w:rFonts w:cs="Times New Roman"/>
        </w:rPr>
        <w:t>The insurer bears the burden of proving that an exclusionary clause applies.  (</w:t>
      </w:r>
      <w:r w:rsidRPr="00D17E29">
        <w:rPr>
          <w:rFonts w:eastAsia="Times New Roman" w:cs="Times New Roman"/>
          <w:i/>
          <w:iCs/>
          <w:color w:val="000000"/>
          <w:bdr w:val="none" w:sz="0" w:space="0" w:color="auto" w:frame="1"/>
        </w:rPr>
        <w:t>Travelers Cas</w:t>
      </w:r>
      <w:r>
        <w:rPr>
          <w:rFonts w:eastAsia="Times New Roman" w:cs="Times New Roman"/>
          <w:i/>
          <w:iCs/>
          <w:color w:val="000000"/>
          <w:bdr w:val="none" w:sz="0" w:space="0" w:color="auto" w:frame="1"/>
        </w:rPr>
        <w:t>ualty</w:t>
      </w:r>
      <w:r w:rsidRPr="00D17E29">
        <w:rPr>
          <w:rFonts w:eastAsia="Times New Roman" w:cs="Times New Roman"/>
          <w:i/>
          <w:iCs/>
          <w:color w:val="000000"/>
          <w:bdr w:val="none" w:sz="0" w:space="0" w:color="auto" w:frame="1"/>
        </w:rPr>
        <w:t xml:space="preserve"> &amp; Sur</w:t>
      </w:r>
      <w:r>
        <w:rPr>
          <w:rFonts w:eastAsia="Times New Roman" w:cs="Times New Roman"/>
          <w:i/>
          <w:iCs/>
          <w:color w:val="000000"/>
          <w:bdr w:val="none" w:sz="0" w:space="0" w:color="auto" w:frame="1"/>
        </w:rPr>
        <w:t>ety</w:t>
      </w:r>
      <w:r w:rsidRPr="00D17E29">
        <w:rPr>
          <w:rFonts w:eastAsia="Times New Roman" w:cs="Times New Roman"/>
          <w:i/>
          <w:iCs/>
          <w:color w:val="000000"/>
          <w:bdr w:val="none" w:sz="0" w:space="0" w:color="auto" w:frame="1"/>
        </w:rPr>
        <w:t xml:space="preserve"> Co. v. Superior Court</w:t>
      </w:r>
      <w:r>
        <w:rPr>
          <w:rFonts w:eastAsia="Times New Roman" w:cs="Times New Roman"/>
          <w:color w:val="000000"/>
        </w:rPr>
        <w:t xml:space="preserve"> </w:t>
      </w:r>
      <w:r w:rsidRPr="00D17E29">
        <w:rPr>
          <w:rFonts w:eastAsia="Times New Roman" w:cs="Times New Roman"/>
          <w:color w:val="000000"/>
        </w:rPr>
        <w:t>(1998) 63</w:t>
      </w:r>
      <w:r>
        <w:rPr>
          <w:rFonts w:eastAsia="Times New Roman" w:cs="Times New Roman"/>
          <w:color w:val="000000"/>
        </w:rPr>
        <w:t> </w:t>
      </w:r>
      <w:r w:rsidRPr="00D17E29">
        <w:rPr>
          <w:rFonts w:eastAsia="Times New Roman" w:cs="Times New Roman"/>
          <w:color w:val="000000"/>
        </w:rPr>
        <w:t xml:space="preserve">Cal.App.4th 1440, 1453.) </w:t>
      </w:r>
      <w:r w:rsidRPr="00D17E29">
        <w:rPr>
          <w:rFonts w:cs="Times New Roman"/>
        </w:rPr>
        <w:t xml:space="preserve"> Before exclusionary provisions are even considered, however, “a court must</w:t>
      </w:r>
      <w:r w:rsidRPr="00080D02">
        <w:t xml:space="preserve"> examine the coverage provisions to determine whether a claim</w:t>
      </w:r>
      <w:r>
        <w:t xml:space="preserve"> falls within the potential ambit of the insurance.  [Citation</w:t>
      </w:r>
      <w:r>
        <w:t>s.]  Where the scope of the basic coverage itself clearly creates no potential liability under the policy, a court may not give it a ‘strained construction’ to impose on an insurer a liability the insurer has not assumed.  [Citation.]  The burden is on the</w:t>
      </w:r>
      <w:r>
        <w:t xml:space="preserve"> insured to prove that an event is a claim which falls within the basic coverage of the insurance.”  (</w:t>
      </w:r>
      <w:r>
        <w:rPr>
          <w:i/>
          <w:iCs/>
        </w:rPr>
        <w:t>Hallmark Ins. Co. v. Superior Court</w:t>
      </w:r>
      <w:r>
        <w:t xml:space="preserve"> (1988) 201 Cal.App.3d 1014, 1017.)</w:t>
      </w:r>
    </w:p>
    <w:p w14:paraId="5495AE42" w14:textId="77777777" w:rsidR="00A317CA" w:rsidRDefault="009849E9" w:rsidP="002274D3">
      <w:r w:rsidRPr="00B17588">
        <w:t>T</w:t>
      </w:r>
      <w:r w:rsidRPr="009A2CBC">
        <w:t xml:space="preserve">he </w:t>
      </w:r>
      <w:r w:rsidRPr="002526F1">
        <w:t>phrase “ ‘trigger of coverage’ ” is a “term of ‘convenience’ ” used to</w:t>
      </w:r>
      <w:r w:rsidRPr="009A2CBC">
        <w:t xml:space="preserve"> denote t</w:t>
      </w:r>
      <w:r w:rsidRPr="009A2CBC">
        <w:t>he occurrence of an event that “</w:t>
      </w:r>
      <w:r>
        <w:t> ‘</w:t>
      </w:r>
      <w:r w:rsidRPr="009A2CBC">
        <w:t xml:space="preserve">must happen in the policy period in order </w:t>
      </w:r>
      <w:r w:rsidRPr="003830F9">
        <w:t>for the potential of coverage</w:t>
      </w:r>
      <w:r w:rsidRPr="009A2CBC">
        <w:t xml:space="preserve"> </w:t>
      </w:r>
      <w:r w:rsidRPr="004A572D">
        <w:t xml:space="preserve">to arise.  </w:t>
      </w:r>
      <w:r w:rsidRPr="007844BA">
        <w:rPr>
          <w:rFonts w:eastAsia="Times New Roman" w:cs="Times New Roman"/>
          <w:color w:val="000000"/>
        </w:rPr>
        <w:t xml:space="preserve">The issue is largely one of timing—what must take place </w:t>
      </w:r>
      <w:r w:rsidRPr="004A572D">
        <w:rPr>
          <w:rFonts w:eastAsia="Times New Roman" w:cs="Times New Roman"/>
          <w:color w:val="000000"/>
          <w:bdr w:val="none" w:sz="0" w:space="0" w:color="auto" w:frame="1"/>
        </w:rPr>
        <w:t>within the policy’s effective dates</w:t>
      </w:r>
      <w:r w:rsidRPr="007844BA">
        <w:rPr>
          <w:rFonts w:eastAsia="Times New Roman" w:cs="Times New Roman"/>
          <w:color w:val="000000"/>
        </w:rPr>
        <w:t xml:space="preserve"> for the potential of coverage to be “triggered”</w:t>
      </w:r>
      <w:r w:rsidRPr="007844BA">
        <w:rPr>
          <w:rFonts w:eastAsia="Times New Roman" w:cs="Times New Roman"/>
          <w:color w:val="000000"/>
        </w:rPr>
        <w:t>?’ ”  (</w:t>
      </w:r>
      <w:r w:rsidRPr="004A6457">
        <w:rPr>
          <w:rFonts w:eastAsia="Times New Roman" w:cs="Times New Roman"/>
          <w:i/>
          <w:iCs/>
          <w:color w:val="000000"/>
          <w:bdr w:val="none" w:sz="0" w:space="0" w:color="auto" w:frame="1"/>
        </w:rPr>
        <w:t>State of California v. Continental Ins. Co.</w:t>
      </w:r>
      <w:r>
        <w:rPr>
          <w:rFonts w:eastAsia="Times New Roman" w:cs="Times New Roman"/>
          <w:color w:val="000000"/>
        </w:rPr>
        <w:t xml:space="preserve"> </w:t>
      </w:r>
      <w:r w:rsidRPr="004A6457">
        <w:rPr>
          <w:rFonts w:eastAsia="Times New Roman" w:cs="Times New Roman"/>
          <w:color w:val="000000"/>
        </w:rPr>
        <w:t>(2012) 55</w:t>
      </w:r>
      <w:r>
        <w:rPr>
          <w:rFonts w:eastAsia="Times New Roman" w:cs="Times New Roman"/>
          <w:color w:val="000000"/>
        </w:rPr>
        <w:t> </w:t>
      </w:r>
      <w:r w:rsidRPr="004A6457">
        <w:rPr>
          <w:rFonts w:eastAsia="Times New Roman" w:cs="Times New Roman"/>
          <w:color w:val="000000"/>
        </w:rPr>
        <w:t>Cal.4th 186, 196</w:t>
      </w:r>
      <w:r>
        <w:rPr>
          <w:rFonts w:eastAsia="Times New Roman" w:cs="Times New Roman"/>
          <w:color w:val="000000"/>
        </w:rPr>
        <w:t>, italics omitted</w:t>
      </w:r>
      <w:r w:rsidRPr="009A2CBC">
        <w:rPr>
          <w:rFonts w:eastAsia="Times New Roman" w:cs="Times New Roman"/>
          <w:color w:val="000000"/>
        </w:rPr>
        <w:t xml:space="preserve">; see </w:t>
      </w:r>
      <w:r w:rsidRPr="004A6457">
        <w:rPr>
          <w:rFonts w:eastAsia="Times New Roman" w:cs="Times New Roman"/>
          <w:i/>
          <w:iCs/>
          <w:color w:val="000000"/>
          <w:bdr w:val="none" w:sz="0" w:space="0" w:color="auto" w:frame="1"/>
        </w:rPr>
        <w:t>Montrose Chemical Corp. v. Admiral Ins. Co.</w:t>
      </w:r>
      <w:r>
        <w:rPr>
          <w:rFonts w:eastAsia="Times New Roman" w:cs="Times New Roman"/>
          <w:color w:val="000000"/>
        </w:rPr>
        <w:t xml:space="preserve"> </w:t>
      </w:r>
      <w:r w:rsidRPr="004A6457">
        <w:rPr>
          <w:rFonts w:eastAsia="Times New Roman" w:cs="Times New Roman"/>
          <w:color w:val="000000"/>
        </w:rPr>
        <w:t>(1995) 10</w:t>
      </w:r>
      <w:r>
        <w:rPr>
          <w:rFonts w:eastAsia="Times New Roman" w:cs="Times New Roman"/>
          <w:color w:val="000000"/>
        </w:rPr>
        <w:t> </w:t>
      </w:r>
      <w:r w:rsidRPr="004A6457">
        <w:rPr>
          <w:rFonts w:eastAsia="Times New Roman" w:cs="Times New Roman"/>
          <w:color w:val="000000"/>
        </w:rPr>
        <w:t>Cal.4th 645, 655</w:t>
      </w:r>
      <w:r>
        <w:rPr>
          <w:rFonts w:eastAsia="Times New Roman" w:cs="Times New Roman"/>
          <w:color w:val="000000"/>
        </w:rPr>
        <w:t>,</w:t>
      </w:r>
      <w:r w:rsidRPr="004A6457">
        <w:rPr>
          <w:rFonts w:eastAsia="Times New Roman" w:cs="Times New Roman"/>
          <w:color w:val="000000"/>
        </w:rPr>
        <w:t xml:space="preserve"> fn</w:t>
      </w:r>
      <w:r>
        <w:rPr>
          <w:rFonts w:eastAsia="Times New Roman" w:cs="Times New Roman"/>
          <w:color w:val="000000"/>
        </w:rPr>
        <w:t>. </w:t>
      </w:r>
      <w:r w:rsidRPr="004A6457">
        <w:rPr>
          <w:rFonts w:eastAsia="Times New Roman" w:cs="Times New Roman"/>
          <w:color w:val="000000"/>
        </w:rPr>
        <w:t xml:space="preserve">2.) </w:t>
      </w:r>
      <w:r>
        <w:t xml:space="preserve"> But the occurrence of a coverage-triggering event simply means the insured </w:t>
      </w:r>
      <w:r w:rsidRPr="004A6457">
        <w:rPr>
          <w:i/>
        </w:rPr>
        <w:t>may</w:t>
      </w:r>
      <w:r>
        <w:t xml:space="preserve"> be entitled to coverage benefits.  The remainder of the analysis requires consideration of whether limiting conditions to coverage have been satisfied or an exclusion applies. </w:t>
      </w:r>
      <w:r>
        <w:t xml:space="preserve"> There is no need to consider these additional issues </w:t>
      </w:r>
      <w:r>
        <w:lastRenderedPageBreak/>
        <w:t xml:space="preserve">when an occurrence is not within the scope of the insuring clause in the first instance.  </w:t>
      </w:r>
      <w:r w:rsidRPr="00341D17">
        <w:t>(</w:t>
      </w:r>
      <w:r>
        <w:rPr>
          <w:i/>
          <w:iCs/>
        </w:rPr>
        <w:t>Waller v. Truck Ins. Exchange, Inc.</w:t>
      </w:r>
      <w:r>
        <w:t xml:space="preserve"> (1995) </w:t>
      </w:r>
      <w:r w:rsidRPr="00DA1DED">
        <w:rPr>
          <w:rFonts w:cs="Times New Roman"/>
        </w:rPr>
        <w:t>11</w:t>
      </w:r>
      <w:r>
        <w:rPr>
          <w:rFonts w:cs="Times New Roman"/>
        </w:rPr>
        <w:t> </w:t>
      </w:r>
      <w:r w:rsidRPr="00DA1DED">
        <w:rPr>
          <w:rFonts w:cs="Times New Roman"/>
        </w:rPr>
        <w:t>Cal.4th 1,</w:t>
      </w:r>
      <w:r>
        <w:t xml:space="preserve"> 16.)</w:t>
      </w:r>
    </w:p>
    <w:p w14:paraId="0D4AF8C4" w14:textId="77777777" w:rsidR="00BF55AC" w:rsidRPr="009542C7" w:rsidRDefault="009849E9" w:rsidP="006F2DED">
      <w:pPr>
        <w:pStyle w:val="Heading3"/>
      </w:pPr>
      <w:r>
        <w:t>The Main Grant of First Party Coverage in the Spe</w:t>
      </w:r>
      <w:r>
        <w:t>cial Property Coverage Form</w:t>
      </w:r>
    </w:p>
    <w:p w14:paraId="10362211" w14:textId="77777777" w:rsidR="009E6765" w:rsidRDefault="009849E9" w:rsidP="00C764D2">
      <w:r>
        <w:t>The insuring agreement in the Special Property Coverage Form states that Sentinel “will pay for direct physical loss of or physical damage to Covered Property . . . caused by or resulting from a Covered Cause of Loss.”  The Poli</w:t>
      </w:r>
      <w:r>
        <w:t xml:space="preserve">cy provides additional coverages that supplement this basic grant of first party coverage, including under </w:t>
      </w:r>
      <w:r w:rsidRPr="00EC5756">
        <w:t>the Lost Business</w:t>
      </w:r>
      <w:r>
        <w:t xml:space="preserve"> Income and Extra Expense Endorsement.</w:t>
      </w:r>
      <w:r>
        <w:rPr>
          <w:rStyle w:val="FootnoteReference"/>
        </w:rPr>
        <w:footnoteReference w:id="8"/>
      </w:r>
      <w:r>
        <w:t xml:space="preserve">  When applicable, the </w:t>
      </w:r>
      <w:r w:rsidRPr="00D55190">
        <w:t>Lost</w:t>
      </w:r>
      <w:r>
        <w:t xml:space="preserve"> Business Income and </w:t>
      </w:r>
      <w:r>
        <w:lastRenderedPageBreak/>
        <w:t>Extra Expense Endorsement covers net busines</w:t>
      </w:r>
      <w:r>
        <w:t>s interruption losses—subject to specified limits—incurred due to suspended business operations caused by a covered event of “physical loss of or physical damage to” covered property, together with expenses incurred to mitigate such losses or damage.</w:t>
      </w:r>
    </w:p>
    <w:p w14:paraId="07C595C2" w14:textId="77777777" w:rsidR="004F5769" w:rsidRDefault="009849E9" w:rsidP="00C764D2">
      <w:r w:rsidRPr="005805EC">
        <w:t>The l</w:t>
      </w:r>
      <w:r w:rsidRPr="005805EC">
        <w:t xml:space="preserve">ost </w:t>
      </w:r>
      <w:r w:rsidRPr="006C1A01">
        <w:t>business income provision</w:t>
      </w:r>
      <w:r>
        <w:t xml:space="preserve"> affords coverage for “the actual loss of Business Income you sustain due to the necessary suspension of your ‘operations’ during the ‘period of restoration.’  The suspension must be caused by direct physical loss of or physica</w:t>
      </w:r>
      <w:r>
        <w:t>l damage to property at the ‘scheduled premises’ . . . caused by or resulting from a Covered Cause of Loss.”  The Extra Expense provision provides coverage for “reasonable and necessary Extra Expense you incur during the ‘period of restoration’ that you wo</w:t>
      </w:r>
      <w:r>
        <w:t>uld not have incurred if there had been no direct physical loss or physical damage to property . . . .”</w:t>
      </w:r>
      <w:r w:rsidRPr="008777BB">
        <w:rPr>
          <w:rStyle w:val="FootnoteReference"/>
        </w:rPr>
        <w:t xml:space="preserve"> </w:t>
      </w:r>
      <w:r>
        <w:t xml:space="preserve">  Thus, the grant of business interruption coverage in </w:t>
      </w:r>
      <w:r w:rsidRPr="00054511">
        <w:t>the Lost Business</w:t>
      </w:r>
      <w:r>
        <w:t xml:space="preserve"> Income and Extra Expense Endorsement—at least before customizing endorsement la</w:t>
      </w:r>
      <w:r>
        <w:t>nguage is considered—parallels the main grant of first party coverage by requiring “physical” impairment and by contemplating a “period of restoration” of physically impaired property.</w:t>
      </w:r>
    </w:p>
    <w:p w14:paraId="420EF411" w14:textId="77777777" w:rsidR="00E72E5E" w:rsidRDefault="009849E9" w:rsidP="00A103AB">
      <w:pPr>
        <w:rPr>
          <w:rFonts w:eastAsia="Times New Roman" w:cs="Times New Roman"/>
          <w:color w:val="000000"/>
        </w:rPr>
      </w:pPr>
      <w:r>
        <w:t>Faced with similar policy language in cases involving claims for busine</w:t>
      </w:r>
      <w:r>
        <w:t>ss interruption losses sustained during the COVID</w:t>
      </w:r>
      <w:r>
        <w:noBreakHyphen/>
        <w:t>19 pandemic, many courts have ruled for the insurer under California insurance coverage law.  These cases all conclude that “ ‘direct physical loss of or damage to’ property” requires a “ ‘distinct, demonst</w:t>
      </w:r>
      <w:r>
        <w:t>rable, physical alteration of the property’ ” and cannot be synonymous with mere “ ‘loss of use.’ ”  (</w:t>
      </w:r>
      <w:r>
        <w:rPr>
          <w:i/>
          <w:iCs/>
        </w:rPr>
        <w:t>Mudpie, Inc. v. Travelers Casualty Ins. Co.</w:t>
      </w:r>
      <w:r>
        <w:t xml:space="preserve"> (9th Cir. 2021) 15 F.4th 885, 892; </w:t>
      </w:r>
      <w:r w:rsidRPr="00A94D68">
        <w:t xml:space="preserve">see </w:t>
      </w:r>
      <w:r w:rsidRPr="00223578">
        <w:rPr>
          <w:i/>
          <w:iCs/>
        </w:rPr>
        <w:t>Apple Annie</w:t>
      </w:r>
      <w:r w:rsidRPr="00497DB8">
        <w:rPr>
          <w:rFonts w:eastAsia="Times New Roman" w:cs="Times New Roman"/>
          <w:i/>
          <w:color w:val="000000"/>
          <w:bdr w:val="none" w:sz="0" w:space="0" w:color="auto" w:frame="1"/>
        </w:rPr>
        <w:t xml:space="preserve">, </w:t>
      </w:r>
      <w:r w:rsidRPr="00497DB8">
        <w:rPr>
          <w:rFonts w:eastAsia="Times New Roman" w:cs="Times New Roman"/>
          <w:i/>
          <w:iCs/>
          <w:color w:val="000000"/>
          <w:bdr w:val="none" w:sz="0" w:space="0" w:color="auto" w:frame="1"/>
        </w:rPr>
        <w:t xml:space="preserve">LLC v. </w:t>
      </w:r>
      <w:r w:rsidRPr="00497DB8">
        <w:rPr>
          <w:rFonts w:eastAsia="Times New Roman" w:cs="Times New Roman"/>
          <w:i/>
          <w:iCs/>
          <w:color w:val="000000"/>
          <w:bdr w:val="none" w:sz="0" w:space="0" w:color="auto" w:frame="1"/>
        </w:rPr>
        <w:lastRenderedPageBreak/>
        <w:t xml:space="preserve">Oregon Mutual </w:t>
      </w:r>
      <w:r>
        <w:rPr>
          <w:rFonts w:eastAsia="Times New Roman" w:cs="Times New Roman"/>
          <w:i/>
          <w:iCs/>
          <w:color w:val="000000"/>
          <w:bdr w:val="none" w:sz="0" w:space="0" w:color="auto" w:frame="1"/>
        </w:rPr>
        <w:t xml:space="preserve">Ins. </w:t>
      </w:r>
      <w:r w:rsidRPr="00497DB8">
        <w:rPr>
          <w:rFonts w:eastAsia="Times New Roman" w:cs="Times New Roman"/>
          <w:i/>
          <w:iCs/>
          <w:color w:val="000000"/>
          <w:bdr w:val="none" w:sz="0" w:space="0" w:color="auto" w:frame="1"/>
        </w:rPr>
        <w:t>Co.</w:t>
      </w:r>
      <w:r>
        <w:t xml:space="preserve">, </w:t>
      </w:r>
      <w:r w:rsidRPr="00223578">
        <w:rPr>
          <w:i/>
          <w:iCs/>
        </w:rPr>
        <w:t>supra</w:t>
      </w:r>
      <w:r>
        <w:t xml:space="preserve">, </w:t>
      </w:r>
      <w:r w:rsidRPr="00497DB8">
        <w:rPr>
          <w:rFonts w:eastAsia="Times New Roman" w:cs="Times New Roman"/>
          <w:color w:val="000000"/>
        </w:rPr>
        <w:t>82</w:t>
      </w:r>
      <w:r>
        <w:rPr>
          <w:rFonts w:eastAsia="Times New Roman" w:cs="Times New Roman"/>
          <w:color w:val="000000"/>
        </w:rPr>
        <w:t> </w:t>
      </w:r>
      <w:r w:rsidRPr="00497DB8">
        <w:rPr>
          <w:rFonts w:eastAsia="Times New Roman" w:cs="Times New Roman"/>
          <w:color w:val="000000"/>
        </w:rPr>
        <w:t xml:space="preserve">Cal.App.5th </w:t>
      </w:r>
      <w:r>
        <w:rPr>
          <w:rFonts w:eastAsia="Times New Roman" w:cs="Times New Roman"/>
          <w:color w:val="000000"/>
        </w:rPr>
        <w:t>at pp. </w:t>
      </w:r>
      <w:r w:rsidRPr="00D32941">
        <w:rPr>
          <w:rFonts w:eastAsia="Times New Roman" w:cs="Times New Roman"/>
          <w:color w:val="000000"/>
        </w:rPr>
        <w:t>930</w:t>
      </w:r>
      <w:r>
        <w:rPr>
          <w:rFonts w:eastAsia="Times New Roman" w:cs="Times New Roman"/>
          <w:color w:val="000000"/>
        </w:rPr>
        <w:t>–</w:t>
      </w:r>
      <w:r w:rsidRPr="00D32941">
        <w:rPr>
          <w:rFonts w:eastAsia="Times New Roman" w:cs="Times New Roman"/>
          <w:color w:val="000000"/>
        </w:rPr>
        <w:t>935</w:t>
      </w:r>
      <w:r>
        <w:rPr>
          <w:rFonts w:eastAsia="Times New Roman" w:cs="Times New Roman"/>
          <w:color w:val="000000"/>
        </w:rPr>
        <w:t xml:space="preserve">; </w:t>
      </w:r>
      <w:r w:rsidRPr="000E3813">
        <w:rPr>
          <w:rFonts w:eastAsia="Times New Roman" w:cs="Arial"/>
          <w:i/>
          <w:iCs/>
          <w:color w:val="000000"/>
          <w:bdr w:val="none" w:sz="0" w:space="0" w:color="auto" w:frame="1"/>
        </w:rPr>
        <w:t>United Talent Agency v. Vigilant Ins</w:t>
      </w:r>
      <w:r>
        <w:rPr>
          <w:rFonts w:eastAsia="Times New Roman" w:cs="Arial"/>
          <w:i/>
          <w:iCs/>
          <w:color w:val="000000"/>
          <w:bdr w:val="none" w:sz="0" w:space="0" w:color="auto" w:frame="1"/>
        </w:rPr>
        <w:t>.</w:t>
      </w:r>
      <w:r w:rsidRPr="000E3813">
        <w:rPr>
          <w:rFonts w:eastAsia="Times New Roman" w:cs="Arial"/>
          <w:i/>
          <w:iCs/>
          <w:color w:val="000000"/>
          <w:bdr w:val="none" w:sz="0" w:space="0" w:color="auto" w:frame="1"/>
        </w:rPr>
        <w:t xml:space="preserve"> Co</w:t>
      </w:r>
      <w:r>
        <w:rPr>
          <w:rFonts w:eastAsia="Times New Roman" w:cs="Arial"/>
          <w:i/>
          <w:iCs/>
          <w:color w:val="000000"/>
          <w:bdr w:val="none" w:sz="0" w:space="0" w:color="auto" w:frame="1"/>
        </w:rPr>
        <w:t>.</w:t>
      </w:r>
      <w:r>
        <w:rPr>
          <w:rFonts w:eastAsia="Times New Roman" w:cs="Arial"/>
          <w:color w:val="000000"/>
        </w:rPr>
        <w:t xml:space="preserve"> </w:t>
      </w:r>
      <w:r w:rsidRPr="000E3813">
        <w:rPr>
          <w:rFonts w:eastAsia="Times New Roman" w:cs="Arial"/>
          <w:color w:val="000000"/>
        </w:rPr>
        <w:t>(2022) 77</w:t>
      </w:r>
      <w:r>
        <w:rPr>
          <w:rFonts w:eastAsia="Times New Roman" w:cs="Arial"/>
          <w:color w:val="000000"/>
        </w:rPr>
        <w:t> </w:t>
      </w:r>
      <w:r w:rsidRPr="000E3813">
        <w:rPr>
          <w:rFonts w:eastAsia="Times New Roman" w:cs="Arial"/>
          <w:color w:val="000000"/>
        </w:rPr>
        <w:t>Cal.App.5th 821, 830</w:t>
      </w:r>
      <w:r>
        <w:rPr>
          <w:rFonts w:eastAsia="Times New Roman" w:cs="Arial"/>
          <w:color w:val="000000"/>
        </w:rPr>
        <w:t>;</w:t>
      </w:r>
      <w:r>
        <w:rPr>
          <w:rFonts w:eastAsia="Times New Roman" w:cs="Times New Roman"/>
          <w:color w:val="000000"/>
        </w:rPr>
        <w:t xml:space="preserve"> </w:t>
      </w:r>
      <w:r>
        <w:rPr>
          <w:i/>
          <w:iCs/>
        </w:rPr>
        <w:t>Musso &amp; Frank Grill Co., Inc. v. Mitsui Sumitomo Ins. USA Inc.</w:t>
      </w:r>
      <w:r>
        <w:t xml:space="preserve"> (2022) 77 Cal.App.5th 753; </w:t>
      </w:r>
      <w:r>
        <w:rPr>
          <w:i/>
          <w:iCs/>
        </w:rPr>
        <w:t>Inns-by-the-Sea v. California Mutual Ins. Co.</w:t>
      </w:r>
      <w:r>
        <w:t xml:space="preserve"> (2021) 71 Cal.App.</w:t>
      </w:r>
      <w:r>
        <w:t xml:space="preserve">5th 688 </w:t>
      </w:r>
      <w:r w:rsidRPr="00160398">
        <w:t>(</w:t>
      </w:r>
      <w:r w:rsidRPr="00160398">
        <w:rPr>
          <w:i/>
        </w:rPr>
        <w:t>Inns-by-the-Sea</w:t>
      </w:r>
      <w:r w:rsidRPr="00160398">
        <w:t>)</w:t>
      </w:r>
      <w:r>
        <w:t>.</w:t>
      </w:r>
      <w:r>
        <w:rPr>
          <w:rStyle w:val="FootnoteReference"/>
        </w:rPr>
        <w:footnoteReference w:id="9"/>
      </w:r>
      <w:r>
        <w:t xml:space="preserve">  In recent months some courts have held that the issue of “physical” loss or damage cannot be decided as a pleading matter where the </w:t>
      </w:r>
      <w:r w:rsidRPr="001D401E">
        <w:t xml:space="preserve">insured alleges a scientifically supportable theory of virus-caused alteration of property (see </w:t>
      </w:r>
      <w:r w:rsidRPr="001D401E">
        <w:rPr>
          <w:rFonts w:eastAsia="Times New Roman" w:cs="Times New Roman"/>
          <w:i/>
          <w:color w:val="000000"/>
          <w:bdr w:val="none" w:sz="0" w:space="0" w:color="auto" w:frame="1"/>
        </w:rPr>
        <w:t>Marina Pacific Hotel &amp; Sui</w:t>
      </w:r>
      <w:r w:rsidRPr="001D401E">
        <w:rPr>
          <w:rFonts w:eastAsia="Times New Roman" w:cs="Times New Roman"/>
          <w:i/>
          <w:color w:val="000000"/>
          <w:bdr w:val="none" w:sz="0" w:space="0" w:color="auto" w:frame="1"/>
        </w:rPr>
        <w:t xml:space="preserve">tes, LLC v. </w:t>
      </w:r>
      <w:r w:rsidRPr="001D401E">
        <w:rPr>
          <w:rFonts w:eastAsia="Times New Roman" w:cs="Times New Roman"/>
          <w:i/>
          <w:iCs/>
          <w:color w:val="000000"/>
          <w:bdr w:val="none" w:sz="0" w:space="0" w:color="auto" w:frame="1"/>
        </w:rPr>
        <w:t>Fireman’s Fund Ins. Co.</w:t>
      </w:r>
      <w:r w:rsidRPr="001D401E">
        <w:rPr>
          <w:rFonts w:eastAsia="Times New Roman" w:cs="Times New Roman"/>
          <w:color w:val="000000"/>
        </w:rPr>
        <w:t xml:space="preserve"> (2022) 81 Cal.App.5th 96; cf. also </w:t>
      </w:r>
      <w:r w:rsidRPr="00E94A07">
        <w:rPr>
          <w:rFonts w:eastAsia="Times New Roman" w:cs="Times New Roman"/>
          <w:i/>
          <w:iCs/>
          <w:bdr w:val="none" w:sz="0" w:space="0" w:color="auto" w:frame="1"/>
        </w:rPr>
        <w:t xml:space="preserve">Huntington Ingalls Industries v. Ace American </w:t>
      </w:r>
      <w:r>
        <w:rPr>
          <w:rFonts w:eastAsia="Times New Roman" w:cs="Times New Roman"/>
          <w:i/>
          <w:iCs/>
          <w:bdr w:val="none" w:sz="0" w:space="0" w:color="auto" w:frame="1"/>
        </w:rPr>
        <w:t xml:space="preserve">Ins. </w:t>
      </w:r>
      <w:r w:rsidRPr="00E94A07">
        <w:rPr>
          <w:rFonts w:eastAsia="Times New Roman" w:cs="Times New Roman"/>
          <w:i/>
          <w:iCs/>
          <w:bdr w:val="none" w:sz="0" w:space="0" w:color="auto" w:frame="1"/>
        </w:rPr>
        <w:t>Co.</w:t>
      </w:r>
      <w:r>
        <w:rPr>
          <w:rFonts w:eastAsia="Times New Roman" w:cs="Times New Roman"/>
          <w:bdr w:val="none" w:sz="0" w:space="0" w:color="auto" w:frame="1"/>
        </w:rPr>
        <w:t xml:space="preserve">, 2022 VT 45 </w:t>
      </w:r>
      <w:r>
        <w:rPr>
          <w:rFonts w:eastAsia="Times New Roman" w:cs="Times New Roman"/>
          <w:color w:val="000000"/>
        </w:rPr>
        <w:t xml:space="preserve">[applying Vermont law]), but even this strain of authority accepts (or at least assumes) the </w:t>
      </w:r>
      <w:r w:rsidRPr="001E1B2C">
        <w:rPr>
          <w:rFonts w:eastAsia="Times New Roman" w:cs="Times New Roman"/>
          <w:i/>
          <w:iCs/>
          <w:color w:val="000000"/>
        </w:rPr>
        <w:t>Mudpie</w:t>
      </w:r>
      <w:r>
        <w:rPr>
          <w:rFonts w:eastAsia="Times New Roman" w:cs="Times New Roman"/>
          <w:color w:val="000000"/>
        </w:rPr>
        <w:t xml:space="preserve"> premise that cover</w:t>
      </w:r>
      <w:r>
        <w:rPr>
          <w:rFonts w:eastAsia="Times New Roman" w:cs="Times New Roman"/>
          <w:color w:val="000000"/>
        </w:rPr>
        <w:t>age can only be triggered by some form of physical alteration of property.</w:t>
      </w:r>
    </w:p>
    <w:p w14:paraId="52B5F9AE" w14:textId="77777777" w:rsidR="001642FC" w:rsidRDefault="009849E9" w:rsidP="00A103AB">
      <w:pPr>
        <w:rPr>
          <w:rFonts w:eastAsia="Times New Roman" w:cs="Times New Roman"/>
          <w:color w:val="000000"/>
        </w:rPr>
      </w:pPr>
      <w:r w:rsidRPr="00BD305A">
        <w:t>As one federal district court</w:t>
      </w:r>
      <w:r>
        <w:t xml:space="preserve"> in the </w:t>
      </w:r>
      <w:r w:rsidRPr="00996E37">
        <w:rPr>
          <w:i/>
          <w:iCs/>
        </w:rPr>
        <w:t>Mudpie</w:t>
      </w:r>
      <w:r>
        <w:t xml:space="preserve"> line recently put it, if “a sick person walked into one of Plaintiffs’ restaurants and left behind COVID</w:t>
      </w:r>
      <w:r>
        <w:noBreakHyphen/>
        <w:t>19 particulates on a countertop,</w:t>
      </w:r>
      <w:r>
        <w:t xml:space="preserve"> it would strain credulity to say that the countertop was damaged or physically altered as a result.”  (</w:t>
      </w:r>
      <w:r>
        <w:rPr>
          <w:i/>
          <w:iCs/>
        </w:rPr>
        <w:t xml:space="preserve">Unmasked Mngt. </w:t>
      </w:r>
      <w:r>
        <w:rPr>
          <w:i/>
          <w:iCs/>
        </w:rPr>
        <w:lastRenderedPageBreak/>
        <w:t>v. Century-National Insurance Co.</w:t>
      </w:r>
      <w:r>
        <w:t xml:space="preserve"> (S.D.Cal. 2021) 514 F.Supp.3d 1217, 1226.)  We know </w:t>
      </w:r>
      <w:r w:rsidRPr="00B15FAB">
        <w:t>by now that disinfectants provide no cure for the C</w:t>
      </w:r>
      <w:r w:rsidRPr="00B15FAB">
        <w:t>OVID</w:t>
      </w:r>
      <w:r>
        <w:noBreakHyphen/>
      </w:r>
      <w:r w:rsidRPr="00B15FAB">
        <w:t>19 virus itself—the “debate” about this issue was famously short-lived in 2020—</w:t>
      </w:r>
      <w:r>
        <w:t xml:space="preserve">but </w:t>
      </w:r>
      <w:r w:rsidRPr="00B15FAB">
        <w:t xml:space="preserve">we also know (and always did) that disinfectants and other cleaning methods can be used to eliminate the </w:t>
      </w:r>
      <w:r>
        <w:t xml:space="preserve">presence </w:t>
      </w:r>
      <w:r w:rsidRPr="00B15FAB">
        <w:t xml:space="preserve">of virus </w:t>
      </w:r>
      <w:r>
        <w:t xml:space="preserve">on physical </w:t>
      </w:r>
      <w:r w:rsidRPr="00B15FAB">
        <w:t>surfaces</w:t>
      </w:r>
      <w:r>
        <w:t xml:space="preserve">, which has been a </w:t>
      </w:r>
      <w:r w:rsidRPr="00FC2525">
        <w:t>common</w:t>
      </w:r>
      <w:r w:rsidRPr="00FC2525">
        <w:t>ly used</w:t>
      </w:r>
      <w:r>
        <w:t xml:space="preserve"> precautionary mitigation measure during the pandemic. </w:t>
      </w:r>
      <w:r w:rsidRPr="00B15FAB">
        <w:t xml:space="preserve"> </w:t>
      </w:r>
      <w:r>
        <w:t xml:space="preserve">But under the </w:t>
      </w:r>
      <w:r w:rsidRPr="00640FD1">
        <w:rPr>
          <w:i/>
          <w:iCs/>
        </w:rPr>
        <w:t>Mudpie</w:t>
      </w:r>
      <w:r>
        <w:t xml:space="preserve"> line of cases, as </w:t>
      </w:r>
      <w:r w:rsidRPr="00B15FAB">
        <w:t xml:space="preserve">the </w:t>
      </w:r>
      <w:r>
        <w:rPr>
          <w:i/>
          <w:iCs/>
        </w:rPr>
        <w:t>Unmasked Management</w:t>
      </w:r>
      <w:r w:rsidRPr="00B15FAB">
        <w:t xml:space="preserve"> court </w:t>
      </w:r>
      <w:r>
        <w:t>explained,</w:t>
      </w:r>
      <w:r w:rsidRPr="00B15FAB">
        <w:t xml:space="preserve"> </w:t>
      </w:r>
      <w:r w:rsidRPr="0097432A">
        <w:rPr>
          <w:color w:val="000000"/>
        </w:rPr>
        <w:t>allegations merely “showing the alleged presence of COVID</w:t>
      </w:r>
      <w:r w:rsidRPr="0097432A">
        <w:rPr>
          <w:color w:val="000000"/>
        </w:rPr>
        <w:noBreakHyphen/>
      </w:r>
      <w:r w:rsidRPr="0097432A">
        <w:rPr>
          <w:color w:val="000000"/>
        </w:rPr>
        <w:t xml:space="preserve">19 in or on the covered property are not sufficient to trigger coverage when direct physical loss of or damage to property is required” </w:t>
      </w:r>
      <w:r>
        <w:t>(</w:t>
      </w:r>
      <w:r>
        <w:rPr>
          <w:i/>
          <w:iCs/>
        </w:rPr>
        <w:t>id</w:t>
      </w:r>
      <w:r>
        <w:t>. at pp. 1225–1226), and thus whatever cleaning or detoxification efforts may be undertaken do not qualify as “restor</w:t>
      </w:r>
      <w:r>
        <w:t>ation” under standard first party insurance policies because of the absence of any “physical” alteration of property.</w:t>
      </w:r>
      <w:r>
        <w:rPr>
          <w:rStyle w:val="FootnoteReference"/>
        </w:rPr>
        <w:footnoteReference w:id="10"/>
      </w:r>
    </w:p>
    <w:p w14:paraId="2A386952" w14:textId="77777777" w:rsidR="003E55A2" w:rsidRDefault="009849E9" w:rsidP="00FB4711">
      <w:r>
        <w:rPr>
          <w:rFonts w:eastAsia="Times New Roman" w:cs="Times New Roman"/>
          <w:color w:val="000000"/>
        </w:rPr>
        <w:lastRenderedPageBreak/>
        <w:t xml:space="preserve">In this case, the trial court did not address the meaning </w:t>
      </w:r>
      <w:r w:rsidRPr="00CB533F">
        <w:rPr>
          <w:rFonts w:eastAsia="Times New Roman" w:cs="Times New Roman"/>
          <w:color w:val="000000"/>
        </w:rPr>
        <w:t>of “</w:t>
      </w:r>
      <w:r w:rsidRPr="00CB533F">
        <w:t>direct physical loss of or physical damage to” property in the Special Pro</w:t>
      </w:r>
      <w:r w:rsidRPr="00CB533F">
        <w:t>perty Coverage Form or in the Lost Business Income and Extra Expense</w:t>
      </w:r>
      <w:r>
        <w:t xml:space="preserve"> Endorsement.  Nor did it mention the </w:t>
      </w:r>
      <w:r w:rsidRPr="005E6FF4">
        <w:rPr>
          <w:i/>
          <w:iCs/>
        </w:rPr>
        <w:t>Mudpie</w:t>
      </w:r>
      <w:r>
        <w:t xml:space="preserve"> line of cases.  On appeal, Sentinel defends the order sustaining its demurrer primarily on the grounds the trial court relied upon—that the Vir</w:t>
      </w:r>
      <w:r>
        <w:t>us Exclusion bars coverage, and that John’s Grill has failed to allege the COVID</w:t>
      </w:r>
      <w:r>
        <w:noBreakHyphen/>
        <w:t>19 on its premises was the “result o</w:t>
      </w:r>
      <w:r w:rsidRPr="00DB4F87">
        <w:rPr>
          <w:spacing w:val="40"/>
        </w:rPr>
        <w:t>f</w:t>
      </w:r>
      <w:r>
        <w:t>” any of the causes in the Specified Causes Clause.  Even apart from the obstacles to coverage presented by the Virus Exclusion and the Sp</w:t>
      </w:r>
      <w:r>
        <w:t xml:space="preserve">ecified Causes Clause, Sentinel adds in a last line of argument, the operative complaint fails to allege direct physical loss of or physical damage to property, thus precluding coverage as a matter of law under the </w:t>
      </w:r>
      <w:r w:rsidRPr="00DD2B46">
        <w:rPr>
          <w:i/>
          <w:iCs/>
        </w:rPr>
        <w:t>Mudpie</w:t>
      </w:r>
      <w:r>
        <w:t xml:space="preserve"> line of cases.</w:t>
      </w:r>
    </w:p>
    <w:p w14:paraId="512D31D9" w14:textId="77777777" w:rsidR="00455B06" w:rsidRDefault="009849E9" w:rsidP="00FB4711">
      <w:r>
        <w:t>John’s Grill addres</w:t>
      </w:r>
      <w:r>
        <w:t xml:space="preserve">ses </w:t>
      </w:r>
      <w:r w:rsidRPr="005D1E5C">
        <w:rPr>
          <w:i/>
          <w:iCs/>
        </w:rPr>
        <w:t>Mudpie</w:t>
      </w:r>
      <w:r>
        <w:t xml:space="preserve"> in a similarly roundabout way, discussing the issue only in its reply brief and emphasizing that it did allege </w:t>
      </w:r>
      <w:r w:rsidRPr="00B103D5">
        <w:rPr>
          <w:color w:val="0F0F0F"/>
          <w:w w:val="105"/>
        </w:rPr>
        <w:t>“</w:t>
      </w:r>
      <w:r>
        <w:rPr>
          <w:color w:val="0F0F0F"/>
          <w:w w:val="105"/>
        </w:rPr>
        <w:t>direct physical loss of property in the form of deprivation, loss of use, and being unable to use the property for its intended purpo</w:t>
      </w:r>
      <w:r>
        <w:rPr>
          <w:color w:val="0F0F0F"/>
          <w:w w:val="105"/>
        </w:rPr>
        <w:t xml:space="preserve">se due to . . . the presence of the coronavirus.” </w:t>
      </w:r>
      <w:r>
        <w:rPr>
          <w:color w:val="0F0F0F"/>
          <w:spacing w:val="-4"/>
          <w:w w:val="105"/>
        </w:rPr>
        <w:t xml:space="preserve">  On the strength of that allegation, </w:t>
      </w:r>
      <w:r>
        <w:t>John’s Grill insists that it “</w:t>
      </w:r>
      <w:r w:rsidRPr="00706D22">
        <w:t>suffer</w:t>
      </w:r>
      <w:r>
        <w:t>[ed]</w:t>
      </w:r>
      <w:r w:rsidRPr="00706D22">
        <w:t xml:space="preserve"> physical loss of and damage to its property</w:t>
      </w:r>
      <w:r>
        <w:t>” within the meaning of the Special Property Coverage Form.  It also contends that t</w:t>
      </w:r>
      <w:r>
        <w:t xml:space="preserve">he depth of judicial consensus on the issue addressed in </w:t>
      </w:r>
      <w:r w:rsidRPr="002C373E">
        <w:rPr>
          <w:i/>
          <w:iCs/>
        </w:rPr>
        <w:t>Mudpie</w:t>
      </w:r>
      <w:r>
        <w:t xml:space="preserve"> is overstated by Sentinel.  But John’s Grill nonetheless urges us to avoid </w:t>
      </w:r>
      <w:r>
        <w:lastRenderedPageBreak/>
        <w:t xml:space="preserve">engaging with the </w:t>
      </w:r>
      <w:r w:rsidRPr="00C34C29">
        <w:rPr>
          <w:i/>
          <w:iCs/>
        </w:rPr>
        <w:t>Mudpie</w:t>
      </w:r>
      <w:r>
        <w:t xml:space="preserve"> line of cases because of “t</w:t>
      </w:r>
      <w:r w:rsidRPr="00706D22">
        <w:t>he absence of a pertinent ruling on the issue</w:t>
      </w:r>
      <w:r>
        <w:t>” and the limited br</w:t>
      </w:r>
      <w:r>
        <w:t>iefing on it.  We are told by John’s Grill that “</w:t>
      </w:r>
      <w:r w:rsidRPr="003E55A2">
        <w:t xml:space="preserve">this case </w:t>
      </w:r>
      <w:r>
        <w:t xml:space="preserve">[is] </w:t>
      </w:r>
      <w:r w:rsidRPr="003E55A2">
        <w:t>a poor vehicle for addressing this important issue of first impression</w:t>
      </w:r>
      <w:r>
        <w:t>” and that it “</w:t>
      </w:r>
      <w:r w:rsidRPr="003E55A2">
        <w:t>would be better addressed by this Court in the context of another pending case in which the physical loss o</w:t>
      </w:r>
      <w:r w:rsidRPr="003E55A2">
        <w:t>r damage issue was the basis of the decision below and the virtually exclusive focus of the parties’ briefing</w:t>
      </w:r>
      <w:r>
        <w:t>” on appeal</w:t>
      </w:r>
      <w:r w:rsidRPr="003E55A2">
        <w:t>.</w:t>
      </w:r>
    </w:p>
    <w:p w14:paraId="4DDE417A" w14:textId="77777777" w:rsidR="00272048" w:rsidRDefault="009849E9" w:rsidP="00D6631E">
      <w:r>
        <w:rPr>
          <w:rFonts w:eastAsia="Times New Roman" w:cs="Times New Roman"/>
          <w:color w:val="000000"/>
        </w:rPr>
        <w:t xml:space="preserve">Thus, while the parties joust with one another over the </w:t>
      </w:r>
      <w:r w:rsidRPr="00C777F1">
        <w:rPr>
          <w:rFonts w:eastAsia="Times New Roman" w:cs="Times New Roman"/>
          <w:i/>
          <w:iCs/>
          <w:color w:val="000000"/>
        </w:rPr>
        <w:t>Mudpie</w:t>
      </w:r>
      <w:r>
        <w:rPr>
          <w:rFonts w:eastAsia="Times New Roman" w:cs="Times New Roman"/>
          <w:color w:val="000000"/>
        </w:rPr>
        <w:t xml:space="preserve"> line of cases in indirect ways, for different reasons they each focus their attention primarily on the Virus Exclusion and the Limited Virus Coverage.  We largely accept that framing of the issues.  We say “largely” because the </w:t>
      </w:r>
      <w:r w:rsidRPr="00E60346">
        <w:rPr>
          <w:rFonts w:eastAsia="Times New Roman" w:cs="Times New Roman"/>
          <w:color w:val="000000"/>
        </w:rPr>
        <w:t>Limited Fungi or Virus Cove</w:t>
      </w:r>
      <w:r w:rsidRPr="00E60346">
        <w:rPr>
          <w:rFonts w:eastAsia="Times New Roman" w:cs="Times New Roman"/>
          <w:color w:val="000000"/>
        </w:rPr>
        <w:t xml:space="preserve">rage Endorsement must be construed together with the remainder of the Policy, and we think the </w:t>
      </w:r>
      <w:r w:rsidRPr="00E60346">
        <w:rPr>
          <w:rFonts w:eastAsia="Times New Roman" w:cs="Times New Roman"/>
          <w:i/>
          <w:iCs/>
          <w:color w:val="000000"/>
        </w:rPr>
        <w:t>Mudpie</w:t>
      </w:r>
      <w:r w:rsidRPr="005D1E5C">
        <w:rPr>
          <w:rFonts w:eastAsia="Times New Roman" w:cs="Times New Roman"/>
          <w:i/>
          <w:iCs/>
          <w:color w:val="000000"/>
        </w:rPr>
        <w:t xml:space="preserve"> </w:t>
      </w:r>
      <w:r>
        <w:rPr>
          <w:rFonts w:eastAsia="Times New Roman" w:cs="Times New Roman"/>
          <w:color w:val="000000"/>
        </w:rPr>
        <w:t>line of cases provides an important contextual backdrop and helps inform our analysis of the Policy as a whole.  Ultimately, however, we agree that we nee</w:t>
      </w:r>
      <w:r>
        <w:rPr>
          <w:rFonts w:eastAsia="Times New Roman" w:cs="Times New Roman"/>
          <w:color w:val="000000"/>
        </w:rPr>
        <w:t xml:space="preserve">d not </w:t>
      </w:r>
      <w:r>
        <w:t xml:space="preserve">join the fray over whether “ ‘distinct, demonstrable, physical alteration of . . . property’ ” is required to trigger coverage </w:t>
      </w:r>
      <w:r w:rsidRPr="00165ED1">
        <w:t>under a first party property insurance policy which uses the undefined phrase “physical loss of or damage to” property (</w:t>
      </w:r>
      <w:r w:rsidRPr="00165ED1">
        <w:rPr>
          <w:i/>
          <w:iCs/>
        </w:rPr>
        <w:t>Mud</w:t>
      </w:r>
      <w:r w:rsidRPr="00165ED1">
        <w:rPr>
          <w:i/>
          <w:iCs/>
        </w:rPr>
        <w:t>pie, Inc. v. Travelers Casualty Ins. Co.</w:t>
      </w:r>
      <w:r w:rsidRPr="00165ED1">
        <w:t xml:space="preserve">, </w:t>
      </w:r>
      <w:r w:rsidRPr="00165ED1">
        <w:rPr>
          <w:i/>
          <w:iCs/>
        </w:rPr>
        <w:t>supra</w:t>
      </w:r>
      <w:r w:rsidRPr="00165ED1">
        <w:t>, 15 F.4th at p. 892).</w:t>
      </w:r>
    </w:p>
    <w:p w14:paraId="6282B185" w14:textId="77777777" w:rsidR="005F7372" w:rsidRPr="00D50FCC" w:rsidRDefault="009849E9" w:rsidP="00D6631E">
      <w:pPr>
        <w:rPr>
          <w:rFonts w:cs="TimesNewRomanPSMT"/>
        </w:rPr>
      </w:pPr>
      <w:r>
        <w:t xml:space="preserve">We so conclude not because this appeal is a “poor vehicle” to decide the issues addressed in </w:t>
      </w:r>
      <w:r w:rsidRPr="005F0341">
        <w:rPr>
          <w:i/>
          <w:iCs/>
        </w:rPr>
        <w:t>Mudpie</w:t>
      </w:r>
      <w:r>
        <w:t>.  Obviously, we are not a court of discretionary jurisdiction with the ability to pick</w:t>
      </w:r>
      <w:r>
        <w:t xml:space="preserve"> and choose our cases, and where we wish to disregard nonbinding federal precedent or we have good reason to part ways with sister courts in California, we will not shrink from doing so.  But in this case, the </w:t>
      </w:r>
      <w:r w:rsidRPr="00910619">
        <w:rPr>
          <w:i/>
          <w:iCs/>
        </w:rPr>
        <w:t>Mudpie</w:t>
      </w:r>
      <w:r>
        <w:t xml:space="preserve"> line of cases may be dealt with in a mo</w:t>
      </w:r>
      <w:r>
        <w:t xml:space="preserve">re straightforward way:  It is distinguishable.  Because the Limited Fungi or </w:t>
      </w:r>
      <w:r>
        <w:lastRenderedPageBreak/>
        <w:t>Virus Coverage Endorsement adds virus-specific language to the Policy that is not present in COVID</w:t>
      </w:r>
      <w:r>
        <w:noBreakHyphen/>
        <w:t>19 business interruption insurance cases involving form language without materi</w:t>
      </w:r>
      <w:r>
        <w:t xml:space="preserve">al modification, those </w:t>
      </w:r>
      <w:r w:rsidRPr="009200D3">
        <w:t xml:space="preserve">cases </w:t>
      </w:r>
      <w:r w:rsidRPr="006E0819">
        <w:rPr>
          <w:rFonts w:eastAsia="Times New Roman" w:cs="Arial"/>
          <w:color w:val="000000"/>
        </w:rPr>
        <w:t>involve “very different policy provisions” and are not controlling here.  (</w:t>
      </w:r>
      <w:r w:rsidRPr="006E0819">
        <w:rPr>
          <w:rFonts w:eastAsia="Times New Roman" w:cs="Arial"/>
          <w:i/>
          <w:iCs/>
          <w:color w:val="000000"/>
          <w:bdr w:val="none" w:sz="0" w:space="0" w:color="auto" w:frame="1"/>
        </w:rPr>
        <w:t>Amy’s Kitchen, Inc. v. Fireman’s Fund Ins. Co.</w:t>
      </w:r>
      <w:r w:rsidRPr="006E0819">
        <w:rPr>
          <w:rFonts w:eastAsia="Times New Roman" w:cs="Arial"/>
          <w:color w:val="000000"/>
        </w:rPr>
        <w:t xml:space="preserve"> (2022) 83 Cal.App.5th 1062, 1069 (</w:t>
      </w:r>
      <w:r w:rsidRPr="006E0819">
        <w:rPr>
          <w:rFonts w:eastAsia="Times New Roman" w:cs="Arial"/>
          <w:i/>
          <w:iCs/>
          <w:color w:val="000000"/>
        </w:rPr>
        <w:t>Amy’s</w:t>
      </w:r>
      <w:r w:rsidRPr="00D50FCC">
        <w:rPr>
          <w:rFonts w:eastAsia="Times New Roman" w:cs="Arial"/>
          <w:i/>
          <w:iCs/>
          <w:color w:val="000000"/>
        </w:rPr>
        <w:t xml:space="preserve"> Kitchen</w:t>
      </w:r>
      <w:r w:rsidRPr="00D50FCC">
        <w:rPr>
          <w:rFonts w:eastAsia="Times New Roman" w:cs="Arial"/>
          <w:color w:val="000000"/>
        </w:rPr>
        <w:t>).)</w:t>
      </w:r>
    </w:p>
    <w:p w14:paraId="4AE1311A" w14:textId="77777777" w:rsidR="00676322" w:rsidRPr="00D50FCC" w:rsidRDefault="009849E9" w:rsidP="0015182E">
      <w:pPr>
        <w:pStyle w:val="Heading3"/>
      </w:pPr>
      <w:r w:rsidRPr="00D50FCC">
        <w:t xml:space="preserve">The Limited Fungi or Virus Coverage </w:t>
      </w:r>
      <w:r w:rsidRPr="00D50FCC">
        <w:t>Endorsement</w:t>
      </w:r>
    </w:p>
    <w:p w14:paraId="3C25A0F7" w14:textId="77777777" w:rsidR="005F0341" w:rsidRDefault="009849E9" w:rsidP="005F0341">
      <w:pPr>
        <w:pStyle w:val="Heading4"/>
      </w:pPr>
      <w:r>
        <w:t>Summary of Analysis</w:t>
      </w:r>
    </w:p>
    <w:p w14:paraId="0A9CFA80" w14:textId="77777777" w:rsidR="00CA4B2F" w:rsidRDefault="009849E9" w:rsidP="00BE778D">
      <w:pPr>
        <w:pStyle w:val="FootnoteText"/>
        <w:spacing w:after="0" w:line="360" w:lineRule="auto"/>
      </w:pPr>
      <w:r>
        <w:t>The trial court’s interpretation and application of the Limited Fungi or Virus Coverage Endorsement adopted the analytical framework Sentinel urged in support of the demurrer and continues to urge here on appeal.  We conclud</w:t>
      </w:r>
      <w:r>
        <w:t xml:space="preserve">e that that approach to analyzing </w:t>
      </w:r>
      <w:r w:rsidRPr="00D50FCC">
        <w:t>coverage</w:t>
      </w:r>
      <w:r>
        <w:t xml:space="preserve"> led to error.  According to Sentinel, the Virus </w:t>
      </w:r>
      <w:r w:rsidRPr="00D50FCC">
        <w:t>Exclusion</w:t>
      </w:r>
      <w:r>
        <w:t xml:space="preserve"> applies by its clear and unambiguous terms; John’s Grill fails to allege that any COVID</w:t>
      </w:r>
      <w:r>
        <w:noBreakHyphen/>
        <w:t>19 virus on its premises was the “result o</w:t>
      </w:r>
      <w:r w:rsidRPr="008E0B24">
        <w:rPr>
          <w:spacing w:val="40"/>
        </w:rPr>
        <w:t>f</w:t>
      </w:r>
      <w:r>
        <w:t>” some cause listed in t</w:t>
      </w:r>
      <w:r>
        <w:t>he Specified Causes Clause; and the argument from John’s Grill that the Specified Causes Clause is unenforceable under the illusory coverage doctrine lacks merit, just as “</w:t>
      </w:r>
      <w:r w:rsidRPr="002408E5">
        <w:t>every California court to address this argument has held</w:t>
      </w:r>
      <w:r>
        <w:t xml:space="preserve">.”  Only in an alternative, </w:t>
      </w:r>
      <w:r>
        <w:t xml:space="preserve">secondary line of reasoning does Sentinel attempt to deal with the scope of the Limited Virus Coverage grant, and then it circles back to the </w:t>
      </w:r>
      <w:r w:rsidRPr="00A2226B">
        <w:rPr>
          <w:i/>
          <w:iCs/>
        </w:rPr>
        <w:t>Mudpie</w:t>
      </w:r>
      <w:r>
        <w:t xml:space="preserve"> line of cases.</w:t>
      </w:r>
    </w:p>
    <w:p w14:paraId="4342C103" w14:textId="77777777" w:rsidR="00850030" w:rsidRDefault="009849E9" w:rsidP="00850030">
      <w:pPr>
        <w:pStyle w:val="FootnoteText"/>
        <w:spacing w:after="0" w:line="360" w:lineRule="auto"/>
      </w:pPr>
      <w:r>
        <w:t>By starting with the Virus Exclusion, focusing next on the Specified Causes Clause, and deal</w:t>
      </w:r>
      <w:r>
        <w:t xml:space="preserve">ing with the Limited Virus Coverage grant as an afterthought, Sentinel has the proper sequence of insurance coverage analysis backward.  There may be cases in which the plain </w:t>
      </w:r>
      <w:r w:rsidRPr="00A81AED">
        <w:t>terms</w:t>
      </w:r>
      <w:r>
        <w:t xml:space="preserve"> of an exclusion unequivocally </w:t>
      </w:r>
      <w:r w:rsidRPr="00A81AED">
        <w:t>foreclose</w:t>
      </w:r>
      <w:r>
        <w:t xml:space="preserve"> any potential for coverage, without</w:t>
      </w:r>
      <w:r>
        <w:t xml:space="preserve"> the need to consider anything else, but this is not one of them.  Here, the first question to address is whether the insured’s coverage claim falls within the scope of the pertinent insuring agreement.  And on this question, the reasoning in the </w:t>
      </w:r>
      <w:r w:rsidRPr="001F7957">
        <w:rPr>
          <w:i/>
          <w:iCs/>
        </w:rPr>
        <w:lastRenderedPageBreak/>
        <w:t>Mudpie</w:t>
      </w:r>
      <w:r>
        <w:t xml:space="preserve"> li</w:t>
      </w:r>
      <w:r>
        <w:t>ne of cases cannot be transposed onto the Limited Virus Coverage grant.  Unlike the undefined phrase “direct physical loss of or physical damage to” property in the Special Property Coverage Form, the key coverage-triggering phrase in the Limited Virus Cov</w:t>
      </w:r>
      <w:r>
        <w:t>erage grant is simply “loss or damage,” which is specially defined in a manner that not only contemplates the possibility a virus may “cause</w:t>
      </w:r>
      <w:r w:rsidRPr="00A54538">
        <w:rPr>
          <w:spacing w:val="20"/>
        </w:rPr>
        <w:t>[</w:t>
      </w:r>
      <w:r>
        <w:t>]” physical damage to covered property, but that includes the costs of “removal” of “virus”—a phrase capacious enou</w:t>
      </w:r>
      <w:r>
        <w:t>gh to include cleaning the surfaces of the property—as well as testing to detect whether virus is merely “present” on the property.</w:t>
      </w:r>
    </w:p>
    <w:p w14:paraId="72F378FD" w14:textId="77777777" w:rsidR="00BE778D" w:rsidRDefault="009849E9" w:rsidP="00BE778D">
      <w:pPr>
        <w:pStyle w:val="FootnoteText"/>
        <w:spacing w:after="0" w:line="360" w:lineRule="auto"/>
      </w:pPr>
      <w:r>
        <w:t xml:space="preserve">Analyzing the coverage issues in proper sequence, we conclude that (1) the insuring agreement in the Limited Virus </w:t>
      </w:r>
      <w:r>
        <w:t>Coverage, construed in accordance with the reasonable expectations of an insured in the position of John’s Grill, is broad enough to encompass forms of property “loss” that do not involve physical alteration of property; (2) John’s Grill has alleged enough</w:t>
      </w:r>
      <w:r>
        <w:t xml:space="preserve"> here to warrant giving it another opportunity to plead that its claim falls within the scope of the Limited Virus Coverage grant; (3) the Specified Causes Clause, construed and applied expansively, as Sentinel urges us to do, leaves John’s Grill with what</w:t>
      </w:r>
      <w:r>
        <w:t xml:space="preserve"> amounts to no virus coverage at all and thus is unenforceable under the illusory coverage doctrine; and (4) finally, turning to the exclusionary language Sentinel invokes</w:t>
      </w:r>
      <w:r>
        <w:rPr>
          <w:rFonts w:eastAsia="Times New Roman" w:cs="Times New Roman"/>
          <w:color w:val="000000"/>
        </w:rPr>
        <w:t>—</w:t>
      </w:r>
      <w:r>
        <w:t>not first in the sequence of coverage analysis, but last</w:t>
      </w:r>
      <w:r>
        <w:rPr>
          <w:rFonts w:eastAsia="Times New Roman" w:cs="Times New Roman"/>
          <w:color w:val="000000"/>
        </w:rPr>
        <w:t>—it is premature to say whet</w:t>
      </w:r>
      <w:r>
        <w:rPr>
          <w:rFonts w:eastAsia="Times New Roman" w:cs="Times New Roman"/>
          <w:color w:val="000000"/>
        </w:rPr>
        <w:t xml:space="preserve">her the </w:t>
      </w:r>
      <w:r>
        <w:t xml:space="preserve">Virus Exclusion applies, since that exclusion is subject to an exception wherever there is coverage under the Limited Virus Coverage provisions, and the applicability of this exception cannot be determined until the issue of coverage is ultimately </w:t>
      </w:r>
      <w:r>
        <w:t>decided.</w:t>
      </w:r>
    </w:p>
    <w:p w14:paraId="01756724" w14:textId="77777777" w:rsidR="00180ADA" w:rsidRPr="003E58A9" w:rsidRDefault="009849E9" w:rsidP="00F074BD">
      <w:pPr>
        <w:pStyle w:val="Heading4"/>
      </w:pPr>
      <w:r w:rsidRPr="003E58A9">
        <w:lastRenderedPageBreak/>
        <w:t>The Virus Exclusion and the Limited Virus Coverage Provisions:  Text and Structure</w:t>
      </w:r>
    </w:p>
    <w:p w14:paraId="100292D8" w14:textId="77777777" w:rsidR="00CD5B43" w:rsidRDefault="009849E9" w:rsidP="000E3813">
      <w:r>
        <w:t>We begin our analysis with some observations about the text of the Limited Fungi or Virus Coverage Endorsement.  Structurally, it has two parts.  First, to the list</w:t>
      </w:r>
      <w:r>
        <w:t xml:space="preserve"> of Exclusions set forth in the Special Property Coverage Form, Paragraph A of the Limited Fungi or Virus Coverage Endorsement adds a new exclusionary clause, the Virus Exclusion, specifying </w:t>
      </w:r>
      <w:r w:rsidRPr="00EF70CE">
        <w:t>that Sentinel “will not pay for loss or damage caused directly or</w:t>
      </w:r>
      <w:r w:rsidRPr="00EF70CE">
        <w:t xml:space="preserve"> indirectly by . . . [¶] . . . [the] [p]resence, growth, proliferation, spread or any activity of ‘fungi’, wet rot, dry rot, bacteria or virus.”</w:t>
      </w:r>
      <w:r>
        <w:rPr>
          <w:rStyle w:val="FootnoteReference"/>
        </w:rPr>
        <w:footnoteReference w:id="11"/>
      </w:r>
      <w:r w:rsidRPr="00EF70CE">
        <w:t xml:space="preserve"> </w:t>
      </w:r>
      <w:r>
        <w:t xml:space="preserve"> Second, to the list of Additional Coverages set forth in the Special Property Coverage Form, Paragraph B of </w:t>
      </w:r>
      <w:r>
        <w:t>the Limited Fungi or Virus Coverage Endorsement adds a series of subparagraphs (Subparagraph B.1.a.—Subparagraph B.1.f.) titled “Limited Coverage For ‘Fungi’, Wet Rot, Dry Rot, Bacteria and Virus,” which together set forth the terms of the Limited Virus Co</w:t>
      </w:r>
      <w:r>
        <w:t>verage.</w:t>
      </w:r>
    </w:p>
    <w:p w14:paraId="4DC815E0" w14:textId="77777777" w:rsidR="009547A1" w:rsidRDefault="009849E9" w:rsidP="00BE4874">
      <w:pPr>
        <w:pStyle w:val="FootnoteText"/>
        <w:spacing w:after="0" w:line="360" w:lineRule="auto"/>
      </w:pPr>
      <w:r>
        <w:t>The principal limitation placed on the Limited Virus Coverage is in the Specified Causes Clause, Subparagraph B.1.a. of the Limited Fungi or Virus Coverage Endorsement.  This limitation—which tracks counterpart language stated as an exception to th</w:t>
      </w:r>
      <w:r>
        <w:t xml:space="preserve">e Virus Exclusion </w:t>
      </w:r>
      <w:r w:rsidRPr="00586893">
        <w:t>(</w:t>
      </w:r>
      <w:r>
        <w:t>“</w:t>
      </w:r>
      <w:r w:rsidRPr="00920B04">
        <w:t xml:space="preserve">But if </w:t>
      </w:r>
      <w:r>
        <w:t>‘</w:t>
      </w:r>
      <w:r w:rsidRPr="00920B04">
        <w:t>fungi</w:t>
      </w:r>
      <w:r>
        <w:t>’</w:t>
      </w:r>
      <w:r w:rsidRPr="00920B04">
        <w:t xml:space="preserve">, wet rot, dry rot, bacteria or virus results in a </w:t>
      </w:r>
      <w:r>
        <w:t>‘</w:t>
      </w:r>
      <w:r w:rsidRPr="00920B04">
        <w:t>specified cause of loss</w:t>
      </w:r>
      <w:r>
        <w:t>’</w:t>
      </w:r>
      <w:r w:rsidRPr="00920B04">
        <w:t xml:space="preserve"> to Covered Property, we will pay for the loss or damage caused by that </w:t>
      </w:r>
      <w:r>
        <w:t>‘</w:t>
      </w:r>
      <w:r w:rsidRPr="00920B04">
        <w:t>specified cause of loss</w:t>
      </w:r>
      <w:r>
        <w:t xml:space="preserve">’ ”)—narrows the Limited Virus Coverage to </w:t>
      </w:r>
      <w:r>
        <w:t>circumstances where the virus is the “result o</w:t>
      </w:r>
      <w:r w:rsidRPr="00C0070F">
        <w:rPr>
          <w:spacing w:val="40"/>
        </w:rPr>
        <w:t>f</w:t>
      </w:r>
      <w:r>
        <w:t>” certain enumerated “causes.”  For purposes of the virus-caused risks, this effectively flips the all-perils structure of the Special Property Coverage Form.  The Specified Causes Clause states as follows:  T</w:t>
      </w:r>
      <w:r>
        <w:t xml:space="preserve">he Limited </w:t>
      </w:r>
      <w:r>
        <w:lastRenderedPageBreak/>
        <w:t xml:space="preserve">Virus Coverage grant “only applies when the ‘fungi’, wet or dry rot, bacteria or virus is </w:t>
      </w:r>
      <w:r w:rsidRPr="003F72B8">
        <w:rPr>
          <w:i/>
        </w:rPr>
        <w:t>the result of</w:t>
      </w:r>
      <w:r>
        <w:t xml:space="preserve"> one or more of the following causes that occurs during the policy period and only if all reasonable means were used to save and preserve the </w:t>
      </w:r>
      <w:r>
        <w:t>property from further damage at the time of and after that occurrence. [¶] (1) A ‘specified cause of loss’ other than fire or lightning; [¶] (2) Equipment Breakdown Accident occurs to Equipment Breakdown Property, if Equipment Breakdown applies to the affe</w:t>
      </w:r>
      <w:r>
        <w:t xml:space="preserve">cted premises.” </w:t>
      </w:r>
      <w:r w:rsidRPr="005C5EFE">
        <w:t xml:space="preserve"> </w:t>
      </w:r>
      <w:r>
        <w:t>(Italics added.)</w:t>
      </w:r>
    </w:p>
    <w:p w14:paraId="0FFC1A91" w14:textId="77777777" w:rsidR="004D41E6" w:rsidRDefault="009849E9" w:rsidP="004D41E6">
      <w:pPr>
        <w:pStyle w:val="FootnoteText"/>
        <w:spacing w:after="0" w:line="360" w:lineRule="auto"/>
      </w:pPr>
      <w:r>
        <w:t>“Specified Cause of Loss,” a defined term in Subparagraph G.19. of the Special Property Coverage Form (and the first of two conditions set forth in the Specified Causes Clause) means:  “</w:t>
      </w:r>
      <w:r w:rsidRPr="00186DBF">
        <w:t>Fire;</w:t>
      </w:r>
      <w:r>
        <w:t xml:space="preserve"> </w:t>
      </w:r>
      <w:r w:rsidRPr="00186DBF">
        <w:t>lightning; explosion, windstor</w:t>
      </w:r>
      <w:r w:rsidRPr="00186DBF">
        <w:t>m or hail; smoke; aircraft or vehicles; riot or civil commotion; vandalism; leakage from fire extinguishing equipment; sinkhole collapse; volcanic action; falling objects; weight of snow, ice or</w:t>
      </w:r>
      <w:r>
        <w:t xml:space="preserve"> </w:t>
      </w:r>
      <w:r w:rsidRPr="00186DBF">
        <w:t>sleet;</w:t>
      </w:r>
      <w:r>
        <w:t xml:space="preserve"> </w:t>
      </w:r>
      <w:r w:rsidRPr="00186DBF">
        <w:t>water</w:t>
      </w:r>
      <w:r>
        <w:t xml:space="preserve"> </w:t>
      </w:r>
      <w:r w:rsidRPr="00186DBF">
        <w:t>damage.</w:t>
      </w:r>
      <w:r>
        <w:t>”  “Equipment Breakdown Accident,” a defi</w:t>
      </w:r>
      <w:r>
        <w:t>ned term in Subparagraph A.5.c. of the Special Property Coverage Form (and the second of two conditions set forth in the Specified Causes Clause), means, slightly paraphrased:  “Mechanical breakdown,” including rupture or bursting caused by centrifugal for</w:t>
      </w:r>
      <w:r>
        <w:t xml:space="preserve">ce; “Artificially generated electric current” such as arcing or other electrical disturbance affecting electrical devices, appliances or wires; or “Explosion” of </w:t>
      </w:r>
      <w:r w:rsidRPr="00B36ED2">
        <w:t>or “Physical loss or physical damage” to steam boilers</w:t>
      </w:r>
      <w:r>
        <w:t>, steam piping, steam engines or steam t</w:t>
      </w:r>
      <w:r>
        <w:t>urbines or hot water boilers.</w:t>
      </w:r>
    </w:p>
    <w:p w14:paraId="5593E2EC" w14:textId="77777777" w:rsidR="00EB28BC" w:rsidRDefault="009849E9" w:rsidP="00BE4874">
      <w:pPr>
        <w:pStyle w:val="FootnoteText"/>
        <w:spacing w:after="0" w:line="360" w:lineRule="auto"/>
      </w:pPr>
      <w:r>
        <w:t xml:space="preserve">The precise wording of the Limited Virus Coverage grant in Subparagraph B.1.b. of the Limited Fungi or Virus Coverage Endorsement is </w:t>
      </w:r>
      <w:r>
        <w:lastRenderedPageBreak/>
        <w:t>as follows:  “We will pay for loss or damage by ‘fungi’,</w:t>
      </w:r>
      <w:r w:rsidRPr="00111615">
        <w:rPr>
          <w:vertAlign w:val="superscript"/>
        </w:rPr>
        <w:t>[</w:t>
      </w:r>
      <w:r>
        <w:rPr>
          <w:rStyle w:val="FootnoteReference"/>
        </w:rPr>
        <w:footnoteReference w:id="12"/>
      </w:r>
      <w:r w:rsidRPr="00111615">
        <w:rPr>
          <w:vertAlign w:val="superscript"/>
        </w:rPr>
        <w:t>]</w:t>
      </w:r>
      <w:r>
        <w:t xml:space="preserve"> wet rot, dry rot, bacteria and v</w:t>
      </w:r>
      <w:r>
        <w:t xml:space="preserve">irus.  As used in this Limited Coverage, the term </w:t>
      </w:r>
      <w:r w:rsidRPr="00442DE8">
        <w:rPr>
          <w:i/>
          <w:iCs/>
        </w:rPr>
        <w:t>loss or damage</w:t>
      </w:r>
      <w:r>
        <w:t xml:space="preserve"> means: </w:t>
      </w:r>
      <w:r>
        <w:rPr>
          <w:rFonts w:cs="ArialMT"/>
        </w:rPr>
        <w:t xml:space="preserve">[¶] </w:t>
      </w:r>
      <w:r>
        <w:t>(1) Direct physical loss or direct physical damage to Covered Property caused by ‘fungi’, wet rot, dry rot, bacteria or virus, including the cost of removal of the ‘fungi’, wet rot</w:t>
      </w:r>
      <w:r>
        <w:t xml:space="preserve">, dry rot, bacteria or virus; </w:t>
      </w:r>
      <w:r>
        <w:rPr>
          <w:rFonts w:cs="ArialMT"/>
        </w:rPr>
        <w:t>[¶]</w:t>
      </w:r>
      <w:r>
        <w:t xml:space="preserve"> (2) The cost to tear out and replace any part of the building or other property as needed to gain access to the ‘fungi’, wet rot, dry rot, bacteria or virus; and </w:t>
      </w:r>
      <w:r>
        <w:rPr>
          <w:rFonts w:cs="ArialMT"/>
        </w:rPr>
        <w:t>[¶]</w:t>
      </w:r>
      <w:r>
        <w:t xml:space="preserve"> (3) The cost of testing performed after removal, repair,</w:t>
      </w:r>
      <w:r>
        <w:t xml:space="preserve"> replacement or restoration of the damaged property is completed, provided there is a reason to believe that ‘fungi’, wet rot, dry rot, bacteria or virus are present.”  (Italics added.)</w:t>
      </w:r>
    </w:p>
    <w:p w14:paraId="2575650F" w14:textId="77777777" w:rsidR="00783FCC" w:rsidRPr="003E58A9" w:rsidRDefault="009849E9" w:rsidP="00F074BD">
      <w:pPr>
        <w:pStyle w:val="Heading4"/>
      </w:pPr>
      <w:r w:rsidRPr="003E58A9">
        <w:t xml:space="preserve">“Loss or Damage” as Specially Defined Within the Affirmative Grant of </w:t>
      </w:r>
      <w:r w:rsidRPr="003E58A9">
        <w:t>Coverage in the Limited Fungi or Virus Coverage Endorsement</w:t>
      </w:r>
    </w:p>
    <w:p w14:paraId="23B2A474" w14:textId="77777777" w:rsidR="00783FCC" w:rsidRDefault="009849E9" w:rsidP="00783FCC">
      <w:r>
        <w:t>The Limited Virus Coverage does more than simply restore pre-existing coverage that is taken away by the Virus Exclusion.  Not only does it contain an affirmatively phrased insuring agreement (“We</w:t>
      </w:r>
      <w:r>
        <w:t xml:space="preserve"> will pay for”), which is in line with the phrasing of other affirmative grants of coverage in the Policy,</w:t>
      </w:r>
      <w:r>
        <w:rPr>
          <w:rStyle w:val="FootnoteReference"/>
        </w:rPr>
        <w:footnoteReference w:id="13"/>
      </w:r>
      <w:r>
        <w:t xml:space="preserve"> </w:t>
      </w:r>
      <w:r>
        <w:lastRenderedPageBreak/>
        <w:t xml:space="preserve">but the triggering language in the insuring agreement for the Limited Virus Coverage (“loss or damage”) includes but is not restricted to “direct” </w:t>
      </w:r>
      <w:r>
        <w:t>and “physical” forms of loss or damage.</w:t>
      </w:r>
    </w:p>
    <w:p w14:paraId="175BABDE" w14:textId="77777777" w:rsidR="00783FCC" w:rsidRDefault="009849E9" w:rsidP="00783FCC">
      <w:r>
        <w:t xml:space="preserve">The term “loss or damage” is also specially defined in Subparagraph B.1.b. of the Limited Fungi or Virus Coverage Endorsement.  And this </w:t>
      </w:r>
      <w:r w:rsidRPr="005E6E16">
        <w:t>special definition is more expansive than the counterpart, undefined phrase “di</w:t>
      </w:r>
      <w:r w:rsidRPr="005E6E16">
        <w:t>rect physical loss of or physical damage to Covered Property” in the Special Property Coverage Form.  First, by stating that “[d]irect physical loss or direct physical damage to” property can be “caused by” “virus,”</w:t>
      </w:r>
      <w:r>
        <w:rPr>
          <w:rStyle w:val="FootnoteReference"/>
        </w:rPr>
        <w:footnoteReference w:id="14"/>
      </w:r>
      <w:r w:rsidRPr="005E6E16">
        <w:rPr>
          <w:rFonts w:eastAsia="Times New Roman" w:cs="Times New Roman"/>
          <w:color w:val="000000"/>
        </w:rPr>
        <w:t xml:space="preserve"> the special definition </w:t>
      </w:r>
      <w:r w:rsidRPr="005E6E16">
        <w:t>expressly conte</w:t>
      </w:r>
      <w:r w:rsidRPr="005E6E16">
        <w:t xml:space="preserve">mplates what the </w:t>
      </w:r>
      <w:r w:rsidRPr="005E6E16">
        <w:rPr>
          <w:i/>
          <w:iCs/>
        </w:rPr>
        <w:t>Mudpie</w:t>
      </w:r>
      <w:r w:rsidRPr="005E6E16">
        <w:t xml:space="preserve"> line of cases places</w:t>
      </w:r>
      <w:r>
        <w:t xml:space="preserve"> outside the ambit of standard form first party trigger of coverage language:  A virus can directly “cause” physical loss or physical damage to property in some circumstances.</w:t>
      </w:r>
    </w:p>
    <w:p w14:paraId="32DD2031" w14:textId="77777777" w:rsidR="00783FCC" w:rsidRDefault="009849E9" w:rsidP="00783FCC">
      <w:r>
        <w:t xml:space="preserve">Second, the language in a series of </w:t>
      </w:r>
      <w:r>
        <w:t xml:space="preserve">inclusively framed subparagraphs within the special definition of “loss or damage” extends beyond the limited scope of the trigger language </w:t>
      </w:r>
      <w:r w:rsidRPr="003F12A1">
        <w:t>in the Special Property Coverage Form in</w:t>
      </w:r>
      <w:r>
        <w:t xml:space="preserve"> several key respects.  These subparagraphs sweep within the special </w:t>
      </w:r>
      <w:r>
        <w:lastRenderedPageBreak/>
        <w:t>definit</w:t>
      </w:r>
      <w:r>
        <w:t>ion the costs of structural mitigation work such as “tear[ing] out” and “replace[ment]” of property,</w:t>
      </w:r>
      <w:r>
        <w:rPr>
          <w:rStyle w:val="FootnoteReference"/>
        </w:rPr>
        <w:footnoteReference w:id="15"/>
      </w:r>
      <w:r>
        <w:t xml:space="preserve"> but go further than that.  They also refer to “</w:t>
      </w:r>
      <w:r w:rsidRPr="00E81BE8">
        <w:t>removal</w:t>
      </w:r>
      <w:r>
        <w:t xml:space="preserve"> of the virus”</w:t>
      </w:r>
      <w:r>
        <w:rPr>
          <w:rStyle w:val="FootnoteReference"/>
        </w:rPr>
        <w:footnoteReference w:id="16"/>
      </w:r>
      <w:r>
        <w:t xml:space="preserve">—a phrase broad enough to encompass simply wiping and cleaning </w:t>
      </w:r>
      <w:r>
        <w:t>surfaces—and after the mitigating “repair,” “replacement” or “removal” work is done, the costs of “testing” for the “presen[ce]” of the virus is included as well, presumably to ensure that the mitigation was effective.</w:t>
      </w:r>
    </w:p>
    <w:p w14:paraId="6828C8A5" w14:textId="77777777" w:rsidR="00783FCC" w:rsidRDefault="009849E9" w:rsidP="00783FCC">
      <w:pPr>
        <w:pStyle w:val="FootnoteText"/>
        <w:spacing w:after="0" w:line="360" w:lineRule="auto"/>
      </w:pPr>
      <w:r>
        <w:t>We think an insured in the position o</w:t>
      </w:r>
      <w:r>
        <w:t xml:space="preserve">f John’s Grill could reasonably construe this trigger language to encompass what has been alleged here.  </w:t>
      </w:r>
      <w:r w:rsidRPr="00017A11">
        <w:rPr>
          <w:szCs w:val="26"/>
        </w:rPr>
        <w:t>The operative complaint a</w:t>
      </w:r>
      <w:r>
        <w:rPr>
          <w:szCs w:val="26"/>
        </w:rPr>
        <w:t>vers that</w:t>
      </w:r>
      <w:r w:rsidRPr="00017A11">
        <w:rPr>
          <w:szCs w:val="26"/>
        </w:rPr>
        <w:t xml:space="preserve"> </w:t>
      </w:r>
      <w:r>
        <w:rPr>
          <w:color w:val="0F0F0F"/>
        </w:rPr>
        <w:t>(1)</w:t>
      </w:r>
      <w:r w:rsidRPr="005D294D">
        <w:rPr>
          <w:color w:val="0F0F0F"/>
        </w:rPr>
        <w:t> </w:t>
      </w:r>
      <w:r>
        <w:rPr>
          <w:color w:val="0F0F0F"/>
        </w:rPr>
        <w:t>the COVID</w:t>
      </w:r>
      <w:r w:rsidRPr="005D294D">
        <w:rPr>
          <w:color w:val="0F0F0F"/>
        </w:rPr>
        <w:noBreakHyphen/>
      </w:r>
      <w:r>
        <w:rPr>
          <w:color w:val="0F0F0F"/>
        </w:rPr>
        <w:t>19 virus “</w:t>
      </w:r>
      <w:r w:rsidRPr="0085538A">
        <w:rPr>
          <w:color w:val="0F0F0F"/>
        </w:rPr>
        <w:t>can spread from person to</w:t>
      </w:r>
      <w:r w:rsidRPr="0085538A">
        <w:rPr>
          <w:color w:val="0F0F0F"/>
          <w:spacing w:val="43"/>
        </w:rPr>
        <w:t xml:space="preserve"> </w:t>
      </w:r>
      <w:r w:rsidRPr="0085538A">
        <w:rPr>
          <w:color w:val="0F0F0F"/>
        </w:rPr>
        <w:t xml:space="preserve">person through small </w:t>
      </w:r>
      <w:r w:rsidRPr="005D294D">
        <w:rPr>
          <w:color w:val="0F0F0F"/>
        </w:rPr>
        <w:t>droplets from the nose or mouth which are spr</w:t>
      </w:r>
      <w:r w:rsidRPr="005D294D">
        <w:rPr>
          <w:color w:val="0F0F0F"/>
        </w:rPr>
        <w:t>ead when a person with COVID</w:t>
      </w:r>
      <w:r w:rsidRPr="005D294D">
        <w:rPr>
          <w:color w:val="0F0F0F"/>
        </w:rPr>
        <w:noBreakHyphen/>
        <w:t>19 coughs</w:t>
      </w:r>
      <w:r w:rsidRPr="005D294D">
        <w:rPr>
          <w:color w:val="0F0F0F"/>
          <w:spacing w:val="5"/>
        </w:rPr>
        <w:t xml:space="preserve"> </w:t>
      </w:r>
      <w:r w:rsidRPr="005D294D">
        <w:rPr>
          <w:color w:val="0F0F0F"/>
        </w:rPr>
        <w:t>or exhales</w:t>
      </w:r>
      <w:r>
        <w:rPr>
          <w:color w:val="0F0F0F"/>
        </w:rPr>
        <w:t>,</w:t>
      </w:r>
      <w:r w:rsidRPr="005D294D">
        <w:rPr>
          <w:color w:val="0F0F0F"/>
        </w:rPr>
        <w:t>”</w:t>
      </w:r>
      <w:r w:rsidRPr="004E244D">
        <w:rPr>
          <w:color w:val="0F0F0F"/>
        </w:rPr>
        <w:t xml:space="preserve"> </w:t>
      </w:r>
      <w:r>
        <w:rPr>
          <w:color w:val="0F0F0F"/>
        </w:rPr>
        <w:t>(2</w:t>
      </w:r>
      <w:r w:rsidRPr="005D294D">
        <w:rPr>
          <w:color w:val="0F0F0F"/>
        </w:rPr>
        <w:t>)</w:t>
      </w:r>
      <w:r>
        <w:rPr>
          <w:color w:val="0F0F0F"/>
        </w:rPr>
        <w:t> </w:t>
      </w:r>
      <w:r w:rsidRPr="005D294D">
        <w:rPr>
          <w:color w:val="0F0F0F"/>
        </w:rPr>
        <w:t>“</w:t>
      </w:r>
      <w:r>
        <w:rPr>
          <w:color w:val="0F0F0F"/>
        </w:rPr>
        <w:t>[</w:t>
      </w:r>
      <w:r w:rsidRPr="005D294D">
        <w:rPr>
          <w:color w:val="0F0F0F"/>
        </w:rPr>
        <w:t>t</w:t>
      </w:r>
      <w:r>
        <w:rPr>
          <w:color w:val="0F0F0F"/>
        </w:rPr>
        <w:t>]</w:t>
      </w:r>
      <w:r w:rsidRPr="005D294D">
        <w:rPr>
          <w:color w:val="0F0F0F"/>
        </w:rPr>
        <w:t>hese droplets land on objects and surfaces around the person</w:t>
      </w:r>
      <w:r>
        <w:rPr>
          <w:color w:val="0F0F0F"/>
        </w:rPr>
        <w:t>,</w:t>
      </w:r>
      <w:r w:rsidRPr="005D294D">
        <w:rPr>
          <w:color w:val="0F0F0F"/>
        </w:rPr>
        <w:t>” (3)</w:t>
      </w:r>
      <w:r>
        <w:rPr>
          <w:color w:val="0F0F0F"/>
        </w:rPr>
        <w:t> </w:t>
      </w:r>
      <w:r w:rsidRPr="005D294D">
        <w:rPr>
          <w:color w:val="0F0F0F"/>
        </w:rPr>
        <w:t>the droplets “</w:t>
      </w:r>
      <w:r>
        <w:rPr>
          <w:color w:val="0F0F0F"/>
        </w:rPr>
        <w:t xml:space="preserve">land </w:t>
      </w:r>
      <w:r w:rsidRPr="00594E22">
        <w:rPr>
          <w:color w:val="0F0F0F"/>
        </w:rPr>
        <w:t xml:space="preserve">indiscriminately on </w:t>
      </w:r>
      <w:r w:rsidRPr="00413D53">
        <w:rPr>
          <w:color w:val="0F0F0F"/>
        </w:rPr>
        <w:t>the surfaces of</w:t>
      </w:r>
      <w:r w:rsidRPr="00594E22">
        <w:rPr>
          <w:color w:val="0F0F0F"/>
        </w:rPr>
        <w:t xml:space="preserve"> property</w:t>
      </w:r>
      <w:r>
        <w:rPr>
          <w:color w:val="0F0F0F"/>
        </w:rPr>
        <w:t xml:space="preserve"> with potentially fatal consequences,” </w:t>
      </w:r>
      <w:r w:rsidRPr="005D294D">
        <w:rPr>
          <w:color w:val="0F0F0F"/>
        </w:rPr>
        <w:t>(4)</w:t>
      </w:r>
      <w:r>
        <w:rPr>
          <w:color w:val="0F0F0F"/>
        </w:rPr>
        <w:t> </w:t>
      </w:r>
      <w:r>
        <w:rPr>
          <w:szCs w:val="26"/>
        </w:rPr>
        <w:t>the insidious nature of</w:t>
      </w:r>
      <w:r>
        <w:rPr>
          <w:szCs w:val="26"/>
        </w:rPr>
        <w:t xml:space="preserve"> the COVID</w:t>
      </w:r>
      <w:r>
        <w:rPr>
          <w:szCs w:val="26"/>
        </w:rPr>
        <w:noBreakHyphen/>
        <w:t xml:space="preserve">19 virus is </w:t>
      </w:r>
      <w:r w:rsidRPr="00C45B84">
        <w:rPr>
          <w:szCs w:val="26"/>
        </w:rPr>
        <w:t>that it can remain infectious on a variety of surfaces and objects from several hours to several</w:t>
      </w:r>
      <w:r>
        <w:rPr>
          <w:szCs w:val="26"/>
        </w:rPr>
        <w:t xml:space="preserve"> days, and (5) on the premises at John’s Grill, “every surface and object [was] implicated, including the doors and their parts, door jam</w:t>
      </w:r>
      <w:r>
        <w:rPr>
          <w:szCs w:val="26"/>
        </w:rPr>
        <w:t>bs, floors and carpeting, window panes, walls, countertops, light fixtures, the hostess desk, tables, chairs, dishes, drinking utensils, flatware, the entire kitchen and cookware, bathrooms, elevator, artwork and photos, and other fixtures and moveable per</w:t>
      </w:r>
      <w:r>
        <w:rPr>
          <w:szCs w:val="26"/>
        </w:rPr>
        <w:t>sonal property” inside the premises.</w:t>
      </w:r>
    </w:p>
    <w:p w14:paraId="7FA661C4" w14:textId="77777777" w:rsidR="00942F2C" w:rsidRDefault="009849E9" w:rsidP="003225B4">
      <w:pPr>
        <w:pStyle w:val="FootnoteText"/>
        <w:spacing w:after="0" w:line="360" w:lineRule="auto"/>
        <w:rPr>
          <w:rFonts w:eastAsia="Times New Roman" w:cs="Times New Roman"/>
          <w:color w:val="000000"/>
          <w:szCs w:val="26"/>
        </w:rPr>
      </w:pPr>
      <w:r>
        <w:lastRenderedPageBreak/>
        <w:t>It is important to bear in mind the commercial context we are dealing with.  Gathering people in a congregate setting is essential to the operation of John’s Grill’s business.  For an enterprise of that type, the allega</w:t>
      </w:r>
      <w:r>
        <w:t>tions of pervasive virus “presence” on property surfaces can reasonably be read to mean some type of “removal” of COVID</w:t>
      </w:r>
      <w:r>
        <w:noBreakHyphen/>
        <w:t xml:space="preserve">19 contamination by cleaning or </w:t>
      </w:r>
      <w:r w:rsidRPr="00A94D68">
        <w:rPr>
          <w:szCs w:val="26"/>
        </w:rPr>
        <w:t xml:space="preserve">detoxification was required, thus triggering Subparagraph B.1.b. of the Limited Virus Coverage </w:t>
      </w:r>
      <w:r>
        <w:rPr>
          <w:szCs w:val="26"/>
        </w:rPr>
        <w:t>provision</w:t>
      </w:r>
      <w:r>
        <w:rPr>
          <w:szCs w:val="26"/>
        </w:rPr>
        <w:t xml:space="preserve">s </w:t>
      </w:r>
      <w:r w:rsidRPr="00A94D68">
        <w:rPr>
          <w:szCs w:val="26"/>
        </w:rPr>
        <w:t>even if the mitigation step</w:t>
      </w:r>
      <w:r>
        <w:rPr>
          <w:szCs w:val="26"/>
        </w:rPr>
        <w:t>s</w:t>
      </w:r>
      <w:r w:rsidRPr="00A94D68">
        <w:rPr>
          <w:szCs w:val="26"/>
        </w:rPr>
        <w:t xml:space="preserve"> that had to be taken did not involve physical alteration of property. </w:t>
      </w:r>
      <w:r>
        <w:rPr>
          <w:szCs w:val="26"/>
        </w:rPr>
        <w:t xml:space="preserve"> </w:t>
      </w:r>
      <w:r w:rsidRPr="00717009">
        <w:t xml:space="preserve">As one of the leading cases in the </w:t>
      </w:r>
      <w:r w:rsidRPr="00717009">
        <w:rPr>
          <w:i/>
        </w:rPr>
        <w:t>Mudpie</w:t>
      </w:r>
      <w:r w:rsidRPr="00717009">
        <w:t xml:space="preserve"> line puts the issue, “ ‘</w:t>
      </w:r>
      <w:r w:rsidRPr="00717009">
        <w:rPr>
          <w:rFonts w:eastAsia="Times New Roman" w:cs="Times New Roman"/>
          <w:color w:val="000000"/>
        </w:rPr>
        <w:t xml:space="preserve">When the structure of the property itself is unchanged to the naked eye . . . and the insured alleges that its usefulness for its normal purposes has been destroyed or reduced, there are </w:t>
      </w:r>
      <w:r w:rsidRPr="00717009">
        <w:rPr>
          <w:rFonts w:eastAsia="Times New Roman" w:cs="Times New Roman"/>
          <w:color w:val="000000"/>
          <w:bdr w:val="none" w:sz="0" w:space="0" w:color="auto" w:frame="1"/>
        </w:rPr>
        <w:t>serious</w:t>
      </w:r>
      <w:r w:rsidRPr="00717009">
        <w:rPr>
          <w:rFonts w:eastAsia="Times New Roman" w:cs="Times New Roman"/>
          <w:color w:val="000000"/>
        </w:rPr>
        <w:t xml:space="preserve"> questions whether the alleged loss satisfies the policy trigg</w:t>
      </w:r>
      <w:r w:rsidRPr="00717009">
        <w:rPr>
          <w:rFonts w:eastAsia="Times New Roman" w:cs="Times New Roman"/>
          <w:color w:val="000000"/>
        </w:rPr>
        <w:t>er.’ ”  (</w:t>
      </w:r>
      <w:r w:rsidRPr="00717009">
        <w:rPr>
          <w:rFonts w:eastAsia="Times New Roman" w:cs="Times New Roman"/>
          <w:i/>
          <w:color w:val="000000"/>
          <w:bdr w:val="none" w:sz="0" w:space="0" w:color="auto" w:frame="1"/>
        </w:rPr>
        <w:t>Inns-by-the-Sea</w:t>
      </w:r>
      <w:r w:rsidRPr="00717009">
        <w:rPr>
          <w:rFonts w:eastAsia="Times New Roman" w:cs="Times New Roman"/>
          <w:color w:val="000000"/>
        </w:rPr>
        <w:t xml:space="preserve">, </w:t>
      </w:r>
      <w:r w:rsidRPr="00717009">
        <w:rPr>
          <w:rFonts w:eastAsia="Times New Roman" w:cs="Times New Roman"/>
          <w:i/>
          <w:color w:val="000000"/>
        </w:rPr>
        <w:t>supra</w:t>
      </w:r>
      <w:r w:rsidRPr="00717009">
        <w:rPr>
          <w:rFonts w:eastAsia="Times New Roman" w:cs="Times New Roman"/>
          <w:color w:val="000000"/>
        </w:rPr>
        <w:t>, 71 Cal.App.5th at p. 700</w:t>
      </w:r>
      <w:r>
        <w:rPr>
          <w:rFonts w:eastAsia="Times New Roman" w:cs="Times New Roman"/>
          <w:color w:val="000000"/>
        </w:rPr>
        <w:t xml:space="preserve">, </w:t>
      </w:r>
      <w:r w:rsidRPr="00717009">
        <w:rPr>
          <w:rFonts w:eastAsia="Times New Roman" w:cs="Times New Roman"/>
          <w:color w:val="000000"/>
        </w:rPr>
        <w:t>quoting 10A</w:t>
      </w:r>
      <w:r>
        <w:rPr>
          <w:rFonts w:eastAsia="Times New Roman" w:cs="Times New Roman"/>
          <w:color w:val="000000"/>
        </w:rPr>
        <w:t> </w:t>
      </w:r>
      <w:r w:rsidRPr="00717009">
        <w:rPr>
          <w:rFonts w:eastAsia="Times New Roman" w:cs="Times New Roman"/>
          <w:color w:val="000000"/>
        </w:rPr>
        <w:t>Couch</w:t>
      </w:r>
      <w:r>
        <w:rPr>
          <w:rFonts w:eastAsia="Times New Roman" w:cs="Times New Roman"/>
          <w:color w:val="000000"/>
        </w:rPr>
        <w:t xml:space="preserve"> on Insurance, </w:t>
      </w:r>
      <w:r w:rsidRPr="00355B54">
        <w:rPr>
          <w:rFonts w:eastAsia="Times New Roman" w:cs="Times New Roman"/>
          <w:i/>
          <w:iCs/>
          <w:color w:val="000000"/>
        </w:rPr>
        <w:t>supra</w:t>
      </w:r>
      <w:r w:rsidRPr="00717009">
        <w:rPr>
          <w:rFonts w:eastAsia="Times New Roman" w:cs="Times New Roman"/>
          <w:color w:val="000000"/>
        </w:rPr>
        <w:t xml:space="preserve">, </w:t>
      </w:r>
      <w:r w:rsidRPr="00717009">
        <w:rPr>
          <w:rFonts w:cs="TimesNewRomanPSMT"/>
        </w:rPr>
        <w:t>§ 148:46.)  The particular policy language in this case requires us to decide these questions in favor of the insured, just as we did in a case involving diff</w:t>
      </w:r>
      <w:r w:rsidRPr="00717009">
        <w:rPr>
          <w:rFonts w:cs="TimesNewRomanPSMT"/>
        </w:rPr>
        <w:t xml:space="preserve">erent but similarly customized language in </w:t>
      </w:r>
      <w:r w:rsidRPr="00717009">
        <w:rPr>
          <w:rFonts w:eastAsia="Times New Roman" w:cs="Arial"/>
          <w:i/>
          <w:color w:val="000000"/>
          <w:bdr w:val="none" w:sz="0" w:space="0" w:color="auto" w:frame="1"/>
        </w:rPr>
        <w:t>Amy’s Kitchen</w:t>
      </w:r>
      <w:r w:rsidRPr="00717009">
        <w:rPr>
          <w:rFonts w:eastAsia="Times New Roman" w:cs="Arial"/>
          <w:color w:val="000000"/>
        </w:rPr>
        <w:t xml:space="preserve">, </w:t>
      </w:r>
      <w:r w:rsidRPr="00717009">
        <w:rPr>
          <w:rFonts w:eastAsia="Times New Roman" w:cs="Arial"/>
          <w:i/>
          <w:color w:val="000000"/>
        </w:rPr>
        <w:t>supra</w:t>
      </w:r>
      <w:r w:rsidRPr="00717009">
        <w:rPr>
          <w:rFonts w:eastAsia="Times New Roman" w:cs="Arial"/>
          <w:color w:val="000000"/>
        </w:rPr>
        <w:t>, 83 Cal.App.5th at p. 1069</w:t>
      </w:r>
      <w:r w:rsidRPr="00717009">
        <w:rPr>
          <w:rFonts w:cs="TimesNewRomanPSMT"/>
        </w:rPr>
        <w:t>.</w:t>
      </w:r>
      <w:r>
        <w:rPr>
          <w:rStyle w:val="FootnoteReference"/>
          <w:szCs w:val="26"/>
        </w:rPr>
        <w:footnoteReference w:id="17"/>
      </w:r>
    </w:p>
    <w:p w14:paraId="2D0197C3" w14:textId="77777777" w:rsidR="00A94D68" w:rsidRPr="00DF04AC" w:rsidRDefault="009849E9" w:rsidP="003225B4">
      <w:pPr>
        <w:pStyle w:val="FootnoteText"/>
        <w:spacing w:after="0" w:line="360" w:lineRule="auto"/>
        <w:rPr>
          <w:rFonts w:eastAsia="Times New Roman" w:cs="Times New Roman"/>
          <w:color w:val="000000"/>
          <w:szCs w:val="26"/>
        </w:rPr>
      </w:pPr>
      <w:r>
        <w:rPr>
          <w:rFonts w:eastAsia="Times New Roman" w:cs="Times New Roman"/>
          <w:color w:val="000000"/>
          <w:szCs w:val="26"/>
        </w:rPr>
        <w:t xml:space="preserve">Wholly apart from the issue of whether John’s Grill </w:t>
      </w:r>
      <w:r w:rsidRPr="0072686B">
        <w:rPr>
          <w:rFonts w:eastAsia="Times New Roman" w:cs="Times New Roman"/>
          <w:color w:val="000000"/>
          <w:szCs w:val="26"/>
        </w:rPr>
        <w:t xml:space="preserve">alleged “[d]irect physical loss or direct physical damage to” property, Sentinel pointed out at oral argument </w:t>
      </w:r>
      <w:r w:rsidRPr="0072686B">
        <w:rPr>
          <w:rFonts w:eastAsia="Times New Roman" w:cs="Times New Roman"/>
          <w:color w:val="000000"/>
          <w:szCs w:val="26"/>
        </w:rPr>
        <w:t>that John’s Grill does not allege any mitigation</w:t>
      </w:r>
      <w:r>
        <w:rPr>
          <w:rFonts w:eastAsia="Times New Roman" w:cs="Times New Roman"/>
          <w:color w:val="000000"/>
          <w:szCs w:val="26"/>
        </w:rPr>
        <w:t xml:space="preserve"> </w:t>
      </w:r>
      <w:r w:rsidRPr="00E00264">
        <w:rPr>
          <w:rFonts w:eastAsia="Times New Roman" w:cs="Times New Roman"/>
          <w:color w:val="000000"/>
          <w:szCs w:val="26"/>
        </w:rPr>
        <w:t xml:space="preserve">steps were taken to </w:t>
      </w:r>
      <w:r>
        <w:rPr>
          <w:rFonts w:eastAsia="Times New Roman" w:cs="Times New Roman"/>
          <w:color w:val="000000"/>
          <w:szCs w:val="26"/>
        </w:rPr>
        <w:t xml:space="preserve">remove </w:t>
      </w:r>
      <w:r w:rsidRPr="00E00264">
        <w:rPr>
          <w:rFonts w:eastAsia="Times New Roman" w:cs="Times New Roman"/>
          <w:color w:val="000000"/>
          <w:szCs w:val="26"/>
        </w:rPr>
        <w:t>the alleged contamination</w:t>
      </w:r>
      <w:r>
        <w:rPr>
          <w:rFonts w:eastAsia="Times New Roman" w:cs="Times New Roman"/>
          <w:color w:val="000000"/>
          <w:szCs w:val="26"/>
        </w:rPr>
        <w:t xml:space="preserve"> on its premises.  In response, John’s Grill argued that, to the extent more facts are necessary to show “loss </w:t>
      </w:r>
      <w:r>
        <w:rPr>
          <w:rFonts w:eastAsia="Times New Roman" w:cs="Times New Roman"/>
          <w:color w:val="000000"/>
          <w:szCs w:val="26"/>
        </w:rPr>
        <w:lastRenderedPageBreak/>
        <w:t xml:space="preserve">or damage” within the special definition in </w:t>
      </w:r>
      <w:r>
        <w:t xml:space="preserve">Subparagraph B.1.b. of the Limited Fungi or Virus Coverage Endorsement, it </w:t>
      </w:r>
      <w:r>
        <w:rPr>
          <w:rFonts w:eastAsia="Times New Roman" w:cs="Times New Roman"/>
          <w:color w:val="000000"/>
          <w:szCs w:val="26"/>
        </w:rPr>
        <w:t>should have been given lea</w:t>
      </w:r>
      <w:r>
        <w:rPr>
          <w:rFonts w:eastAsia="Times New Roman" w:cs="Times New Roman"/>
          <w:color w:val="000000"/>
          <w:szCs w:val="26"/>
        </w:rPr>
        <w:t xml:space="preserve">ve to amend.  We must agree.  Because there is </w:t>
      </w:r>
      <w:r w:rsidRPr="00E00264">
        <w:rPr>
          <w:rFonts w:eastAsia="Times New Roman" w:cs="Times New Roman"/>
          <w:color w:val="000000"/>
          <w:szCs w:val="26"/>
        </w:rPr>
        <w:t xml:space="preserve">a </w:t>
      </w:r>
      <w:r w:rsidRPr="005E2F0E">
        <w:rPr>
          <w:rFonts w:eastAsia="Times New Roman" w:cs="Times New Roman"/>
          <w:color w:val="000000"/>
          <w:szCs w:val="26"/>
        </w:rPr>
        <w:t>reasonable possibility on this record that John’s Grill can allege that mitigation steps were taken to remove a virus that was present on its property, the trial court abused its discretion in sustaining Sen</w:t>
      </w:r>
      <w:r w:rsidRPr="005E2F0E">
        <w:rPr>
          <w:rFonts w:eastAsia="Times New Roman" w:cs="Times New Roman"/>
          <w:color w:val="000000"/>
          <w:szCs w:val="26"/>
        </w:rPr>
        <w:t>tinel’s demurrer without leave to amend.</w:t>
      </w:r>
    </w:p>
    <w:p w14:paraId="3127DB8C" w14:textId="77777777" w:rsidR="00783FCC" w:rsidRDefault="009849E9" w:rsidP="00207D55">
      <w:pPr>
        <w:pStyle w:val="Heading4"/>
        <w:numPr>
          <w:ilvl w:val="0"/>
          <w:numId w:val="31"/>
        </w:numPr>
      </w:pPr>
      <w:r>
        <w:t>The “Loss or Damage” Mitigation Provisions (Subparagraph B.1.b.) and the Business Interruption Provisions (Subparagraph B.1.f.) Are Linked Together</w:t>
      </w:r>
    </w:p>
    <w:p w14:paraId="611E5D2E" w14:textId="77777777" w:rsidR="002B1FED" w:rsidRDefault="009849E9" w:rsidP="00783FCC">
      <w:pPr>
        <w:rPr>
          <w:rFonts w:eastAsia="Times New Roman" w:cs="Times New Roman"/>
          <w:color w:val="000000"/>
        </w:rPr>
      </w:pPr>
      <w:r>
        <w:t xml:space="preserve">If the pervasive presence of a virus on the interior </w:t>
      </w:r>
      <w:r>
        <w:t>surfaces of John’s Grill’s premises led patrons to cease coming to its restaurant for a period of time due to the fear of contracting a potentially fatal illness—which is what is alleged here—</w:t>
      </w:r>
      <w:r w:rsidRPr="004911DC">
        <w:t>we believe a reasonable insured would also have an expectation o</w:t>
      </w:r>
      <w:r w:rsidRPr="004911DC">
        <w:t>f coverage under Subparagraph B.1.f. for the resulting loss of its ability to use the restaurant for its intended purpose</w:t>
      </w:r>
      <w:r w:rsidRPr="006C5AF6">
        <w:t xml:space="preserve">.  Subparagraph B.1.f. </w:t>
      </w:r>
      <w:r w:rsidRPr="004911DC">
        <w:t>covers business interruption losses during a “</w:t>
      </w:r>
      <w:r>
        <w:t> ‘p</w:t>
      </w:r>
      <w:r w:rsidRPr="004911DC">
        <w:t xml:space="preserve">eriod of </w:t>
      </w:r>
      <w:r>
        <w:t>r</w:t>
      </w:r>
      <w:r w:rsidRPr="004911DC">
        <w:t>estoration</w:t>
      </w:r>
      <w:r w:rsidRPr="006C5AF6">
        <w:t>.</w:t>
      </w:r>
      <w:r>
        <w:t>’ </w:t>
      </w:r>
      <w:r w:rsidRPr="004911DC">
        <w:t>”</w:t>
      </w:r>
      <w:r>
        <w:t xml:space="preserve">  A “Period of Restoration” is defined </w:t>
      </w:r>
      <w:r w:rsidRPr="0072686B">
        <w:t xml:space="preserve">in </w:t>
      </w:r>
      <w:r>
        <w:t>Subp</w:t>
      </w:r>
      <w:r w:rsidRPr="0072686B">
        <w:t>aragraph G.12. of the Special Property Coverage Form to begin on the date of “physical loss or physical damage caused by or resulting from a Covered Cause of Loss” and to end</w:t>
      </w:r>
      <w:r>
        <w:t xml:space="preserve"> when the property “should be repaired, rebuilt or replaced with reasonable</w:t>
      </w:r>
      <w:r>
        <w:t xml:space="preserve"> speed and similar quality” or the business resumes at a new location</w:t>
      </w:r>
      <w:r>
        <w:rPr>
          <w:rFonts w:eastAsia="Times New Roman" w:cs="Times New Roman"/>
          <w:color w:val="000000"/>
        </w:rPr>
        <w:t>.</w:t>
      </w:r>
    </w:p>
    <w:p w14:paraId="64E986F3" w14:textId="77777777" w:rsidR="00783FCC" w:rsidRDefault="009849E9" w:rsidP="00783FCC">
      <w:pPr>
        <w:rPr>
          <w:rFonts w:eastAsia="Times New Roman" w:cs="Times New Roman"/>
          <w:color w:val="000000"/>
        </w:rPr>
      </w:pPr>
      <w:r>
        <w:t xml:space="preserve">Subparagraphs B.1.b. and B.1.f. are part of the same series of clauses setting forth terms of the Limited Virus Coverage and are therefore </w:t>
      </w:r>
      <w:r>
        <w:rPr>
          <w:rFonts w:eastAsia="Times New Roman" w:cs="Times New Roman"/>
          <w:color w:val="000000"/>
        </w:rPr>
        <w:t>linked.  The specially defined term “loss or d</w:t>
      </w:r>
      <w:r>
        <w:rPr>
          <w:rFonts w:eastAsia="Times New Roman" w:cs="Times New Roman"/>
          <w:color w:val="000000"/>
        </w:rPr>
        <w:t>amage” appears in both of them.  S</w:t>
      </w:r>
      <w:r>
        <w:t xml:space="preserve">ubparagraph </w:t>
      </w:r>
      <w:r>
        <w:rPr>
          <w:rFonts w:eastAsia="Times New Roman" w:cs="Times New Roman"/>
          <w:color w:val="000000"/>
        </w:rPr>
        <w:t xml:space="preserve">B.1.f. </w:t>
      </w:r>
      <w:r w:rsidRPr="008C3390">
        <w:t xml:space="preserve">affords coverage “if a Time Element </w:t>
      </w:r>
      <w:r w:rsidRPr="00D140F5">
        <w:t>Coverage</w:t>
      </w:r>
      <w:r w:rsidRPr="008C3390">
        <w:t xml:space="preserve"> applies</w:t>
      </w:r>
      <w:r>
        <w:t xml:space="preserve"> to the ‘scheduled </w:t>
      </w:r>
      <w:r w:rsidRPr="009F68D6">
        <w:t>premises</w:t>
      </w:r>
      <w:r>
        <w:t xml:space="preserve">’ </w:t>
      </w:r>
      <w:r w:rsidRPr="0023793F">
        <w:t>and only if the suspension of ‘operations’ satisfies all the terms and conditions of the applicable Time Element Coverage</w:t>
      </w:r>
      <w:r>
        <w:t>.</w:t>
      </w:r>
      <w:r>
        <w:t xml:space="preserve">” </w:t>
      </w:r>
      <w:r w:rsidRPr="00BC10B4">
        <w:t xml:space="preserve"> As numerous courts that have </w:t>
      </w:r>
      <w:r w:rsidRPr="002F0095">
        <w:t>construed property insurance policies</w:t>
      </w:r>
      <w:r w:rsidRPr="00BC10B4">
        <w:t xml:space="preserve"> in the wake </w:t>
      </w:r>
      <w:r w:rsidRPr="00BC10B4">
        <w:lastRenderedPageBreak/>
        <w:t xml:space="preserve">of the pandemic have observed, Lost Business Income and Extra Expense coverages are forms of Time Element Coverage.  (See </w:t>
      </w:r>
      <w:r w:rsidRPr="00BC10B4">
        <w:rPr>
          <w:i/>
          <w:iCs/>
        </w:rPr>
        <w:t>Cosmetic</w:t>
      </w:r>
      <w:r w:rsidRPr="008927B3">
        <w:rPr>
          <w:i/>
          <w:iCs/>
        </w:rPr>
        <w:t xml:space="preserve"> Laser, Inc. v. Twin City Fire Insurance</w:t>
      </w:r>
      <w:r>
        <w:t xml:space="preserve"> </w:t>
      </w:r>
      <w:r w:rsidRPr="008927B3">
        <w:t>(D.Conn. 2021) 554</w:t>
      </w:r>
      <w:r>
        <w:t> </w:t>
      </w:r>
      <w:r w:rsidRPr="008927B3">
        <w:t>F.Supp.3d 389, 394</w:t>
      </w:r>
      <w:r>
        <w:t xml:space="preserve"> (</w:t>
      </w:r>
      <w:r w:rsidRPr="00426E13">
        <w:rPr>
          <w:i/>
          <w:iCs/>
        </w:rPr>
        <w:t>Cosmetic Laser</w:t>
      </w:r>
      <w:r>
        <w:t>)</w:t>
      </w:r>
      <w:r w:rsidRPr="001A4517">
        <w:t xml:space="preserve">; </w:t>
      </w:r>
      <w:r w:rsidRPr="00C07401">
        <w:rPr>
          <w:i/>
          <w:iCs/>
        </w:rPr>
        <w:t>Q Clothier New Orleans LLC v. Twin City Fire Ins.</w:t>
      </w:r>
      <w:r w:rsidRPr="00C07401">
        <w:t xml:space="preserve"> (E.D.La. 2021) 535 F.Supp.3d 574, </w:t>
      </w:r>
      <w:r w:rsidRPr="00ED2DDD">
        <w:t>585</w:t>
      </w:r>
      <w:r>
        <w:t>.)</w:t>
      </w:r>
    </w:p>
    <w:p w14:paraId="6DEAFEED" w14:textId="77777777" w:rsidR="00783FCC" w:rsidRDefault="009849E9" w:rsidP="00783FCC">
      <w:pPr>
        <w:pStyle w:val="FootnoteText"/>
        <w:spacing w:after="0" w:line="360" w:lineRule="auto"/>
      </w:pPr>
      <w:r>
        <w:t xml:space="preserve">Sentinel acknowledges the more expansive breadth of the trigger-of-coverage language in the specially defined </w:t>
      </w:r>
      <w:r>
        <w:t>phrase “loss or damage,” but tries to confine it strictly to Subparagraph B.1.b., leaving Subparagraph B.1.f. unaffected by the definition.  We reject that argument.  What Sentinel ignores is that the Limited Fungi or Virus Coverage Endorsement, by its ter</w:t>
      </w:r>
      <w:r>
        <w:t>ms—as stated in the lead</w:t>
      </w:r>
      <w:r>
        <w:noBreakHyphen/>
        <w:t xml:space="preserve">in sentence, following the title of the endorsement—“modifies insurance provided under the following: </w:t>
      </w:r>
      <w:r w:rsidRPr="001D3D84">
        <w:t>[¶]</w:t>
      </w:r>
      <w:r>
        <w:t xml:space="preserve"> Special Property Coverage Form . . . .”  That is what endorsements typically do.  They modify the main body of an otherwise s</w:t>
      </w:r>
      <w:r>
        <w:t>tandardized form, thereby customizing it for purposes of the endorsement, which is an objective the parties to this insurance contract plainly had, given the tailored nature of several of the endorsements they agreed upon.</w:t>
      </w:r>
    </w:p>
    <w:p w14:paraId="6B42C474" w14:textId="77777777" w:rsidR="00783FCC" w:rsidRDefault="009849E9" w:rsidP="00783FCC">
      <w:pPr>
        <w:pStyle w:val="FootnoteText"/>
        <w:spacing w:after="0" w:line="360" w:lineRule="auto"/>
        <w:rPr>
          <w:szCs w:val="26"/>
        </w:rPr>
      </w:pPr>
      <w:r>
        <w:t>We decline to read Subparagraph B</w:t>
      </w:r>
      <w:r>
        <w:t xml:space="preserve">.1.b. in isolation, which would effectively give the specially defined phrase “loss or damage” in Subparagraphs B.1.b. and B.1.f. two different meanings.  Instead, we think the special </w:t>
      </w:r>
      <w:r w:rsidRPr="00223ED1">
        <w:t>definition of “loss or damage” has the effect</w:t>
      </w:r>
      <w:r>
        <w:t xml:space="preserve"> of broadening the trigger</w:t>
      </w:r>
      <w:r>
        <w:t xml:space="preserve"> of coverage language in all provisions of the Limited Fungi or Virus Coverage Endorsement, and that the Limited Fungi or Virus Coverage Endorsement in turn modifies the Special Property Coverage Form for purposes of the endorsement—here specifically for r</w:t>
      </w:r>
      <w:r>
        <w:t>isks of loss or damage caused by virus.</w:t>
      </w:r>
    </w:p>
    <w:p w14:paraId="7B7787CE" w14:textId="77777777" w:rsidR="00E21A24" w:rsidRDefault="009849E9" w:rsidP="003B6E14">
      <w:pPr>
        <w:pStyle w:val="FootnoteText"/>
        <w:spacing w:after="0" w:line="360" w:lineRule="auto"/>
        <w:rPr>
          <w:rFonts w:eastAsia="Times New Roman" w:cs="Times New Roman"/>
          <w:color w:val="000000"/>
        </w:rPr>
      </w:pPr>
      <w:r>
        <w:rPr>
          <w:szCs w:val="26"/>
        </w:rPr>
        <w:lastRenderedPageBreak/>
        <w:t xml:space="preserve">In another effort to wall </w:t>
      </w:r>
      <w:r w:rsidRPr="00900487">
        <w:rPr>
          <w:szCs w:val="26"/>
        </w:rPr>
        <w:t>off the Lost Business Income and Extra Expense coverage afforded by Subparagraph B.1.f. from being affected by whatever interpretation we place on Subparagraph B.1.b., Sentinel</w:t>
      </w:r>
      <w:r>
        <w:rPr>
          <w:szCs w:val="26"/>
        </w:rPr>
        <w:t xml:space="preserve"> argues that T</w:t>
      </w:r>
      <w:r>
        <w:rPr>
          <w:szCs w:val="26"/>
        </w:rPr>
        <w:t xml:space="preserve">ime Element Coverage is </w:t>
      </w:r>
      <w:r w:rsidRPr="005D0A7C">
        <w:rPr>
          <w:szCs w:val="26"/>
        </w:rPr>
        <w:t>available only if “ ‘all the terms and conditions of the applicable Time Element Coverage’ ” are satisfied</w:t>
      </w:r>
      <w:r>
        <w:rPr>
          <w:szCs w:val="26"/>
        </w:rPr>
        <w:t xml:space="preserve">.  And since </w:t>
      </w:r>
      <w:r>
        <w:rPr>
          <w:rFonts w:eastAsia="Times New Roman" w:cs="Times New Roman"/>
          <w:color w:val="000000"/>
        </w:rPr>
        <w:t xml:space="preserve">John’s Grill has not </w:t>
      </w:r>
      <w:r w:rsidRPr="000C5FA7">
        <w:rPr>
          <w:rFonts w:eastAsia="Times New Roman" w:cs="Times New Roman"/>
          <w:color w:val="000000"/>
        </w:rPr>
        <w:t>alleged “direct physical loss of or physical damage to Covered Property” sufficient to trigg</w:t>
      </w:r>
      <w:r w:rsidRPr="000C5FA7">
        <w:rPr>
          <w:rFonts w:eastAsia="Times New Roman" w:cs="Times New Roman"/>
          <w:color w:val="000000"/>
        </w:rPr>
        <w:t>er</w:t>
      </w:r>
      <w:r>
        <w:rPr>
          <w:rFonts w:eastAsia="Times New Roman" w:cs="Times New Roman"/>
          <w:color w:val="000000"/>
        </w:rPr>
        <w:t xml:space="preserve"> coverage under the Special Property Coverage Form, so the argument goes, there cannot possibly be coverage under Subparagraph B.1.f. of the </w:t>
      </w:r>
      <w:r>
        <w:t>Limited Fungi or Virus Coverage Endorsement</w:t>
      </w:r>
      <w:r>
        <w:rPr>
          <w:rFonts w:eastAsia="Times New Roman" w:cs="Times New Roman"/>
          <w:color w:val="000000"/>
        </w:rPr>
        <w:t>.</w:t>
      </w:r>
    </w:p>
    <w:p w14:paraId="33A1D8CE" w14:textId="77777777" w:rsidR="00892123" w:rsidRDefault="009849E9" w:rsidP="00CC71CB">
      <w:pPr>
        <w:pStyle w:val="FootnoteText"/>
        <w:spacing w:after="0" w:line="360" w:lineRule="auto"/>
      </w:pPr>
      <w:r>
        <w:rPr>
          <w:rFonts w:eastAsia="Times New Roman" w:cs="Times New Roman"/>
          <w:color w:val="000000"/>
        </w:rPr>
        <w:t>This position—which is where Sentinel’s argument circles back to the</w:t>
      </w:r>
      <w:r>
        <w:rPr>
          <w:rFonts w:eastAsia="Times New Roman" w:cs="Times New Roman"/>
          <w:color w:val="000000"/>
        </w:rPr>
        <w:t xml:space="preserve"> </w:t>
      </w:r>
      <w:r w:rsidRPr="00B36DD4">
        <w:rPr>
          <w:rFonts w:eastAsia="Times New Roman" w:cs="Times New Roman"/>
          <w:i/>
          <w:iCs/>
          <w:color w:val="000000"/>
        </w:rPr>
        <w:t>Mudpie</w:t>
      </w:r>
      <w:r>
        <w:rPr>
          <w:rFonts w:eastAsia="Times New Roman" w:cs="Times New Roman"/>
          <w:color w:val="000000"/>
        </w:rPr>
        <w:t xml:space="preserve"> line of cases—runs as follows.  According to Sentinel, when, and only when, an event </w:t>
      </w:r>
      <w:r w:rsidRPr="00734A95">
        <w:rPr>
          <w:rFonts w:eastAsia="Times New Roman" w:cs="Times New Roman"/>
          <w:color w:val="000000"/>
        </w:rPr>
        <w:t>of “[d]irect physical loss of or physical damage to Covered Property” occurs,</w:t>
      </w:r>
      <w:r>
        <w:rPr>
          <w:rFonts w:eastAsia="Times New Roman" w:cs="Times New Roman"/>
          <w:color w:val="000000"/>
        </w:rPr>
        <w:t xml:space="preserve"> there may be coverage for the costs of tearing out or replacing property to gain acce</w:t>
      </w:r>
      <w:r>
        <w:rPr>
          <w:rFonts w:eastAsia="Times New Roman" w:cs="Times New Roman"/>
          <w:color w:val="000000"/>
        </w:rPr>
        <w:t xml:space="preserve">ss to a virus or to test for a virus.  Similarly, when, and only when, an </w:t>
      </w:r>
      <w:r w:rsidRPr="00734A95">
        <w:rPr>
          <w:rFonts w:eastAsia="Times New Roman" w:cs="Times New Roman"/>
          <w:color w:val="000000"/>
        </w:rPr>
        <w:t>event of “[d]irect physical loss of or physical damage to Covered Property”</w:t>
      </w:r>
      <w:r>
        <w:rPr>
          <w:rFonts w:eastAsia="Times New Roman" w:cs="Times New Roman"/>
          <w:color w:val="000000"/>
        </w:rPr>
        <w:t xml:space="preserve"> occurs which does not itself cause a suspension of business operations, but a virus does cause such a susp</w:t>
      </w:r>
      <w:r>
        <w:rPr>
          <w:rFonts w:eastAsia="Times New Roman" w:cs="Times New Roman"/>
          <w:color w:val="000000"/>
        </w:rPr>
        <w:t xml:space="preserve">ension, then </w:t>
      </w:r>
      <w:r w:rsidRPr="006724D9">
        <w:rPr>
          <w:rFonts w:eastAsia="Times New Roman" w:cs="Times New Roman"/>
          <w:color w:val="000000"/>
          <w:szCs w:val="26"/>
        </w:rPr>
        <w:t xml:space="preserve">there </w:t>
      </w:r>
      <w:r>
        <w:rPr>
          <w:rFonts w:eastAsia="Times New Roman" w:cs="Times New Roman"/>
          <w:color w:val="000000"/>
          <w:szCs w:val="26"/>
        </w:rPr>
        <w:t xml:space="preserve">may be </w:t>
      </w:r>
      <w:r w:rsidRPr="006724D9">
        <w:rPr>
          <w:rFonts w:eastAsia="Times New Roman" w:cs="Times New Roman"/>
          <w:color w:val="000000"/>
          <w:szCs w:val="26"/>
        </w:rPr>
        <w:t xml:space="preserve">coverage under the </w:t>
      </w:r>
      <w:r>
        <w:rPr>
          <w:rFonts w:eastAsia="Times New Roman" w:cs="Times New Roman"/>
          <w:color w:val="000000"/>
          <w:szCs w:val="26"/>
        </w:rPr>
        <w:t>Lost Business Income</w:t>
      </w:r>
      <w:r w:rsidRPr="006724D9">
        <w:rPr>
          <w:szCs w:val="26"/>
        </w:rPr>
        <w:t xml:space="preserve"> and Extra Expense Endorsement</w:t>
      </w:r>
      <w:r w:rsidRPr="006724D9">
        <w:rPr>
          <w:rFonts w:eastAsia="Times New Roman" w:cs="Times New Roman"/>
          <w:color w:val="000000"/>
          <w:szCs w:val="26"/>
        </w:rPr>
        <w:t xml:space="preserve"> (</w:t>
      </w:r>
      <w:r>
        <w:rPr>
          <w:rFonts w:eastAsia="Times New Roman" w:cs="Times New Roman"/>
          <w:color w:val="000000"/>
          <w:szCs w:val="26"/>
        </w:rPr>
        <w:t xml:space="preserve">a form of </w:t>
      </w:r>
      <w:r w:rsidRPr="006724D9">
        <w:rPr>
          <w:rFonts w:eastAsia="Times New Roman" w:cs="Times New Roman"/>
          <w:color w:val="000000"/>
          <w:szCs w:val="26"/>
        </w:rPr>
        <w:t>Time Element Coverage), subject to the specified limit</w:t>
      </w:r>
      <w:r>
        <w:rPr>
          <w:rFonts w:eastAsia="Times New Roman" w:cs="Times New Roman"/>
          <w:color w:val="000000"/>
          <w:szCs w:val="26"/>
        </w:rPr>
        <w:t>s</w:t>
      </w:r>
      <w:r w:rsidRPr="006724D9">
        <w:rPr>
          <w:rFonts w:eastAsia="Times New Roman" w:cs="Times New Roman"/>
          <w:color w:val="000000"/>
          <w:szCs w:val="26"/>
        </w:rPr>
        <w:t>.</w:t>
      </w:r>
    </w:p>
    <w:p w14:paraId="6307311F" w14:textId="77777777" w:rsidR="009479C2" w:rsidRDefault="009849E9" w:rsidP="00E625FA">
      <w:pPr>
        <w:pStyle w:val="FootnoteText"/>
        <w:spacing w:after="0" w:line="360" w:lineRule="auto"/>
      </w:pPr>
      <w:r>
        <w:t>We are prepared to accept, and we assume arguendo, that t</w:t>
      </w:r>
      <w:r>
        <w:rPr>
          <w:rFonts w:eastAsia="Times New Roman" w:cs="Times New Roman"/>
          <w:color w:val="000000"/>
        </w:rPr>
        <w:t xml:space="preserve">he insuring agreement in the </w:t>
      </w:r>
      <w:r>
        <w:rPr>
          <w:rFonts w:eastAsia="Times New Roman" w:cs="Times New Roman"/>
          <w:color w:val="000000"/>
        </w:rPr>
        <w:t>Special Property Coverage Form</w:t>
      </w:r>
      <w:r>
        <w:t>, read on its own, without change,</w:t>
      </w:r>
      <w:r>
        <w:rPr>
          <w:rFonts w:eastAsia="Times New Roman" w:cs="Times New Roman"/>
          <w:color w:val="000000"/>
        </w:rPr>
        <w:t xml:space="preserve"> would have established a baseline of coverage in accordance with the </w:t>
      </w:r>
      <w:r w:rsidRPr="0049519F">
        <w:rPr>
          <w:rFonts w:eastAsia="Times New Roman" w:cs="Times New Roman"/>
          <w:i/>
          <w:iCs/>
          <w:color w:val="000000"/>
        </w:rPr>
        <w:t>Mudpie</w:t>
      </w:r>
      <w:r>
        <w:rPr>
          <w:rFonts w:eastAsia="Times New Roman" w:cs="Times New Roman"/>
          <w:color w:val="000000"/>
        </w:rPr>
        <w:t xml:space="preserve"> rule limited to loss or damage of “a </w:t>
      </w:r>
      <w:r>
        <w:rPr>
          <w:i/>
          <w:iCs/>
        </w:rPr>
        <w:t>physical</w:t>
      </w:r>
      <w:r>
        <w:t xml:space="preserve"> nature that can be </w:t>
      </w:r>
      <w:r>
        <w:rPr>
          <w:i/>
          <w:iCs/>
        </w:rPr>
        <w:t>physically</w:t>
      </w:r>
      <w:r>
        <w:t xml:space="preserve"> fixed, or if incapable of being </w:t>
      </w:r>
      <w:r>
        <w:rPr>
          <w:i/>
          <w:iCs/>
        </w:rPr>
        <w:t>physica</w:t>
      </w:r>
      <w:r>
        <w:rPr>
          <w:i/>
          <w:iCs/>
        </w:rPr>
        <w:t>lly</w:t>
      </w:r>
      <w:r>
        <w:t xml:space="preserve"> fixed because it is so heavily destroyed, requires a complete move to a new location.”  (</w:t>
      </w:r>
      <w:r>
        <w:rPr>
          <w:i/>
          <w:iCs/>
        </w:rPr>
        <w:t>Inns-by-the-</w:t>
      </w:r>
      <w:r>
        <w:rPr>
          <w:i/>
          <w:iCs/>
        </w:rPr>
        <w:lastRenderedPageBreak/>
        <w:t>Sea</w:t>
      </w:r>
      <w:r w:rsidRPr="00F310D6">
        <w:t>,</w:t>
      </w:r>
      <w:r>
        <w:rPr>
          <w:i/>
          <w:iCs/>
        </w:rPr>
        <w:t xml:space="preserve"> supra</w:t>
      </w:r>
      <w:r>
        <w:t>, 71 Cal.App.5th at p. 707.)  But at best for Sentinel, the Policy is ambiguous when read in light of the modifications made by the Limited F</w:t>
      </w:r>
      <w:r>
        <w:t>ungi or Virus Coverage Endorsement.  Because the Limited Fungi or Virus Coverage Endorsement</w:t>
      </w:r>
      <w:r w:rsidRPr="00422CC1">
        <w:t xml:space="preserve"> </w:t>
      </w:r>
      <w:r>
        <w:t xml:space="preserve">contains an </w:t>
      </w:r>
      <w:r w:rsidRPr="00CC1CA6">
        <w:rPr>
          <w:i/>
          <w:iCs/>
        </w:rPr>
        <w:t>additional</w:t>
      </w:r>
      <w:r>
        <w:t xml:space="preserve"> affirmative grant of coverage, and because </w:t>
      </w:r>
      <w:r w:rsidRPr="00422CC1">
        <w:t>there is a special</w:t>
      </w:r>
      <w:r>
        <w:t xml:space="preserve"> definition of “loss or damage” in the triggering clause for that additional co</w:t>
      </w:r>
      <w:r>
        <w:t xml:space="preserve">verage, we cannot simply import the reasoning of the </w:t>
      </w:r>
      <w:r w:rsidRPr="005C7F8A">
        <w:rPr>
          <w:i/>
          <w:iCs/>
        </w:rPr>
        <w:t>Mudpie</w:t>
      </w:r>
      <w:r>
        <w:t xml:space="preserve"> line of cases.  What appears to have happened here is that the parties customized the first party insurance John’s Grill bought to </w:t>
      </w:r>
      <w:r w:rsidRPr="00017A11">
        <w:t xml:space="preserve">accommodate </w:t>
      </w:r>
      <w:r w:rsidRPr="006856F6">
        <w:t>additional</w:t>
      </w:r>
      <w:r w:rsidRPr="00540EE9">
        <w:t xml:space="preserve"> </w:t>
      </w:r>
      <w:r w:rsidRPr="00017A11">
        <w:t xml:space="preserve">coverage for </w:t>
      </w:r>
      <w:r>
        <w:t xml:space="preserve">losses caused by </w:t>
      </w:r>
      <w:r w:rsidRPr="00017A11">
        <w:t>insidious, d</w:t>
      </w:r>
      <w:r w:rsidRPr="00017A11">
        <w:t xml:space="preserve">ifficult to access and detect forms of property damage </w:t>
      </w:r>
      <w:r>
        <w:t xml:space="preserve">from </w:t>
      </w:r>
      <w:r w:rsidRPr="00017A11">
        <w:t>fungi, wet rot, dry rot, bacteria or virus</w:t>
      </w:r>
      <w:r>
        <w:t xml:space="preserve"> that may occur in a restaurant environment.  And under the endorsement language the parties agreed upon to accomplish this objective, the wording is broa</w:t>
      </w:r>
      <w:r>
        <w:t>d enough to bring within the scope of coverage loss of use of property.</w:t>
      </w:r>
    </w:p>
    <w:p w14:paraId="25F46DBF" w14:textId="77777777" w:rsidR="00783FCC" w:rsidRPr="00366D8E" w:rsidRDefault="009849E9" w:rsidP="00783FCC">
      <w:r w:rsidRPr="00EC4535">
        <w:t xml:space="preserve">Sentinel is adamant that a ruling for John’s Grill would run contrary to the avalanche of precedent nationwide agreeing with </w:t>
      </w:r>
      <w:r w:rsidRPr="00EC4535">
        <w:rPr>
          <w:i/>
        </w:rPr>
        <w:t>Mudpie</w:t>
      </w:r>
      <w:r w:rsidRPr="00EC4535">
        <w:t>, but we think not.  What we decide today does no mor</w:t>
      </w:r>
      <w:r w:rsidRPr="00EC4535">
        <w:t>e than follow the established principle that we must interpret the provisions of a contract to avoid rendering the instrument “illusory.”  (</w:t>
      </w:r>
      <w:r w:rsidRPr="00EC4535">
        <w:rPr>
          <w:i/>
        </w:rPr>
        <w:t>Scottsdale Ins. Co. v. Essex Ins</w:t>
      </w:r>
      <w:r>
        <w:rPr>
          <w:i/>
        </w:rPr>
        <w:t>.</w:t>
      </w:r>
      <w:r w:rsidRPr="00EC4535">
        <w:rPr>
          <w:i/>
        </w:rPr>
        <w:t xml:space="preserve"> Co. </w:t>
      </w:r>
      <w:r w:rsidRPr="00EC4535">
        <w:t>(2002) 98 Cal.App.4th 86, 94–95.)  Contracts of insurance do not enjoy any spe</w:t>
      </w:r>
      <w:r w:rsidRPr="00EC4535">
        <w:t xml:space="preserve">cial exemption from that basic principle.  </w:t>
      </w:r>
      <w:r>
        <w:t xml:space="preserve">By insisting that </w:t>
      </w:r>
      <w:r w:rsidRPr="00BD7E3A">
        <w:rPr>
          <w:i/>
        </w:rPr>
        <w:t>Mudpie</w:t>
      </w:r>
      <w:r>
        <w:t xml:space="preserve"> always supplies the bedrock rule despite the breadth of the particular insuring agreement we are dealing with, Sentinel’s interpretation violates </w:t>
      </w:r>
      <w:r w:rsidRPr="00282FCA">
        <w:t>“</w:t>
      </w:r>
      <w:r w:rsidRPr="00EC4535">
        <w:t xml:space="preserve">two related principles </w:t>
      </w:r>
      <w:r w:rsidRPr="00EC4535">
        <w:t>applicable to all insurance contracts:  first, that ‘the policy or its endorsements cannot be so interpreted as to become meaningless, or to withhold coverage which the [layperson] would normally expect from it . . . ,’ and second, that ‘ “. . . [t]he cour</w:t>
      </w:r>
      <w:r w:rsidRPr="00EC4535">
        <w:t xml:space="preserve">ts will not sanction a construction of the </w:t>
      </w:r>
      <w:r w:rsidRPr="00EC4535">
        <w:lastRenderedPageBreak/>
        <w:t>insurer’s language that will defeat the very purpose or object of the insurance.” ’ ”  (</w:t>
      </w:r>
      <w:r w:rsidRPr="00EC4535">
        <w:rPr>
          <w:i/>
        </w:rPr>
        <w:t xml:space="preserve">Howell v. State Farm Fire &amp; Casualty Co. </w:t>
      </w:r>
      <w:r w:rsidRPr="00EC4535">
        <w:t>(1990) 218 Cal.App.3d 1446, 1468 (conc. opn. of Barry-Deal, J.), disapproved on anot</w:t>
      </w:r>
      <w:r w:rsidRPr="00EC4535">
        <w:t xml:space="preserve">her issue, </w:t>
      </w:r>
      <w:r w:rsidRPr="00EC4535">
        <w:rPr>
          <w:i/>
        </w:rPr>
        <w:t>Reid v. Google</w:t>
      </w:r>
      <w:r>
        <w:rPr>
          <w:i/>
        </w:rPr>
        <w:t>, Inc.</w:t>
      </w:r>
      <w:r w:rsidRPr="00EC4535">
        <w:t xml:space="preserve"> (2010) 50 Cal.4th</w:t>
      </w:r>
      <w:r w:rsidRPr="00EC4535">
        <w:rPr>
          <w:vertAlign w:val="superscript"/>
        </w:rPr>
        <w:t xml:space="preserve"> </w:t>
      </w:r>
      <w:r w:rsidRPr="00EC4535">
        <w:t>512, 532, fn</w:t>
      </w:r>
      <w:r w:rsidRPr="00366D8E">
        <w:t>. 7.)</w:t>
      </w:r>
    </w:p>
    <w:p w14:paraId="2D22F90D" w14:textId="77777777" w:rsidR="00646BE3" w:rsidRDefault="009849E9" w:rsidP="00783FCC">
      <w:r w:rsidRPr="00366D8E">
        <w:t>Accordingly, we hold as follows:  Reading Subparagraphs B.1.b. and B.1.f. of the Limited Virus Coverage in harmony with each other, and consistently with the rest of the Policy, the specia</w:t>
      </w:r>
      <w:r w:rsidRPr="00366D8E">
        <w:t>lly defined triggering</w:t>
      </w:r>
      <w:r w:rsidRPr="00017A11">
        <w:t xml:space="preserve"> phrase “loss or damage” in each provision encompasses virus contamination so pervasive within a covered building that the virus </w:t>
      </w:r>
      <w:r>
        <w:t xml:space="preserve">is present </w:t>
      </w:r>
      <w:r w:rsidRPr="00017A11">
        <w:t>on surfaces throughout</w:t>
      </w:r>
      <w:r>
        <w:t xml:space="preserve"> the premises</w:t>
      </w:r>
      <w:r w:rsidRPr="00017A11">
        <w:t xml:space="preserve">, thereby </w:t>
      </w:r>
      <w:r>
        <w:t>requiring cleaning of the contaminated surfaces a</w:t>
      </w:r>
      <w:r>
        <w:t xml:space="preserve">nd </w:t>
      </w:r>
      <w:r w:rsidRPr="00017A11">
        <w:t xml:space="preserve">rendering </w:t>
      </w:r>
      <w:r>
        <w:t xml:space="preserve">the building </w:t>
      </w:r>
      <w:r w:rsidRPr="00017A11">
        <w:t>unfit for its intended purpose</w:t>
      </w:r>
      <w:r>
        <w:t>.  Under this reading of the Policy, when Subparagraph B.1.b. is triggered, so is Subparagraph B.1.f., since the special definition of “loss or damage” in the Limited Fungi or Virus Coverage Endorseme</w:t>
      </w:r>
      <w:r>
        <w:t>nt broadened the scope of the Special Property Coverage Form trigger language for purposes of virus risk.  Physical alteration of property is not required.</w:t>
      </w:r>
      <w:r>
        <w:rPr>
          <w:rStyle w:val="FootnoteReference"/>
        </w:rPr>
        <w:footnoteReference w:id="18"/>
      </w:r>
    </w:p>
    <w:p w14:paraId="31B93832" w14:textId="77777777" w:rsidR="00427306" w:rsidRDefault="009849E9" w:rsidP="00326971">
      <w:r>
        <w:t>To the extent the allegations of the operative complaint are inadequate to show other requisite el</w:t>
      </w:r>
      <w:r>
        <w:t xml:space="preserve">ements of Time Element Coverage under </w:t>
      </w:r>
      <w:r w:rsidRPr="008F40B5">
        <w:t>Subparagraph B.1.f.—</w:t>
      </w:r>
      <w:r>
        <w:t xml:space="preserve">such as whether there was </w:t>
      </w:r>
      <w:r w:rsidRPr="00900487">
        <w:t>a “period of restoration”</w:t>
      </w:r>
      <w:r>
        <w:t xml:space="preserve"> during which business operations were suspended—here again leave to amend should have been granted.  The operative complaint does allege generally</w:t>
      </w:r>
      <w:r>
        <w:t xml:space="preserve"> that “some or all of the period of John’s Grill’s </w:t>
      </w:r>
      <w:r w:rsidRPr="000B15CE">
        <w:t xml:space="preserve">closure [was] within </w:t>
      </w:r>
      <w:r w:rsidRPr="00900487">
        <w:t>the period of restoration under the Policy</w:t>
      </w:r>
      <w:r>
        <w:t xml:space="preserve">.”  It is reasonable to expect John’s Grill could have alleged further particulars showing that, after coverage was </w:t>
      </w:r>
      <w:r>
        <w:lastRenderedPageBreak/>
        <w:t xml:space="preserve">triggered under </w:t>
      </w:r>
      <w:r w:rsidRPr="008F40B5">
        <w:t>Subparagra</w:t>
      </w:r>
      <w:r w:rsidRPr="008F40B5">
        <w:t>ph B.1.b</w:t>
      </w:r>
      <w:r>
        <w:t xml:space="preserve">., the alleged period of closure lasted until it could complete </w:t>
      </w:r>
      <w:r w:rsidRPr="000B15CE">
        <w:t xml:space="preserve">whatever </w:t>
      </w:r>
      <w:r w:rsidRPr="00D32658">
        <w:t>“repair</w:t>
      </w:r>
      <w:r w:rsidRPr="00D32658">
        <w:rPr>
          <w:spacing w:val="20"/>
        </w:rPr>
        <w:t>[</w:t>
      </w:r>
      <w:r w:rsidRPr="00D32658">
        <w:t>],” “rebuil[ding],” or “replace[ment]”</w:t>
      </w:r>
      <w:r w:rsidRPr="000B15CE">
        <w:t xml:space="preserve"> was necessary to permit a resu</w:t>
      </w:r>
      <w:r>
        <w:t>mption of operations under safe conditions (such as the construction of a parklet or the reconfigu</w:t>
      </w:r>
      <w:r>
        <w:t xml:space="preserve">ration of its space to permit socially distanced dining).  Whether John’s Grill can add specific facts in support of its allegation that there </w:t>
      </w:r>
      <w:r w:rsidRPr="00900487">
        <w:t>was a “period of restoration,” we are unable</w:t>
      </w:r>
      <w:r>
        <w:t xml:space="preserve"> to say because the issue was not a focus of attention in the trial c</w:t>
      </w:r>
      <w:r>
        <w:t>ourt.  We simply hold it was entitled to try.</w:t>
      </w:r>
    </w:p>
    <w:p w14:paraId="29ADB327" w14:textId="77777777" w:rsidR="00C06DBC" w:rsidRPr="003E58A9" w:rsidRDefault="009849E9" w:rsidP="00F074BD">
      <w:pPr>
        <w:pStyle w:val="Heading4"/>
      </w:pPr>
      <w:r w:rsidRPr="003E58A9">
        <w:t>The Specified Causes Clause, as Sentinel Seeks To Apply It on This Record, Renders the Limited Virus Coverage “Virtually Illusory”</w:t>
      </w:r>
    </w:p>
    <w:p w14:paraId="07BEA29B" w14:textId="77777777" w:rsidR="002F6A63" w:rsidRDefault="009849E9" w:rsidP="00F1600E">
      <w:pPr>
        <w:rPr>
          <w:rFonts w:eastAsia="Times New Roman" w:cs="Times New Roman"/>
          <w:color w:val="000000"/>
        </w:rPr>
      </w:pPr>
      <w:r>
        <w:t>To plead there is coverage under a first party insurance policy, it is not enou</w:t>
      </w:r>
      <w:r>
        <w:t>gh for an insured merely to allege a triggering event.  All the “trigger of coverage” does, as we noted above in our summary of California insurance coverage principles, is show a potential for coverage.  If there are conditions attached to the grant of co</w:t>
      </w:r>
      <w:r>
        <w:t>verage, the insured must also plead that those conditions have been met.  For Sentinel, that is the crux of the matter regardless of how we interpret and apply the specially defined phrase “loss or damage” in the Limited Virus Coverage provisions.  Because</w:t>
      </w:r>
      <w:r>
        <w:t xml:space="preserve"> the operative complaint fails to allege any of the listed causes of virus in the Specified Causes Clause, we are told, John’s Grill is ineligible for coverage under the Limited Virus Coverage as a matter of law.  John’s Grill responds that the Specified C</w:t>
      </w:r>
      <w:r>
        <w:t xml:space="preserve">auses Clause is written so broadly that it is effectively impossible to meet.  As a result, John’s Grill argues, the Specified Causes Clause renders the Limited Virus </w:t>
      </w:r>
      <w:r w:rsidRPr="00042AC1">
        <w:t>Coverage virtually “illusory” (</w:t>
      </w:r>
      <w:r w:rsidRPr="00042AC1">
        <w:rPr>
          <w:rFonts w:eastAsia="Times New Roman" w:cs="Times New Roman"/>
          <w:i/>
          <w:iCs/>
          <w:color w:val="000000"/>
          <w:bdr w:val="none" w:sz="0" w:space="0" w:color="auto" w:frame="1"/>
        </w:rPr>
        <w:t>Julian v. Hartford Underwriters Ins. Co</w:t>
      </w:r>
      <w:r w:rsidRPr="00042AC1">
        <w:rPr>
          <w:rFonts w:eastAsia="Times New Roman" w:cs="Times New Roman"/>
          <w:color w:val="000000"/>
        </w:rPr>
        <w:t>. (2005) 35 Cal.4th</w:t>
      </w:r>
      <w:r w:rsidRPr="00042AC1">
        <w:rPr>
          <w:rFonts w:eastAsia="Times New Roman" w:cs="Times New Roman"/>
          <w:color w:val="000000"/>
        </w:rPr>
        <w:t xml:space="preserve"> 747, 760) and</w:t>
      </w:r>
      <w:r>
        <w:rPr>
          <w:rFonts w:eastAsia="Times New Roman" w:cs="Times New Roman"/>
          <w:color w:val="000000"/>
        </w:rPr>
        <w:t xml:space="preserve"> is therefore unenforceable.</w:t>
      </w:r>
    </w:p>
    <w:p w14:paraId="3770DA11" w14:textId="77777777" w:rsidR="00BF3AD1" w:rsidRDefault="009849E9" w:rsidP="00AF31C8">
      <w:pPr>
        <w:rPr>
          <w:rFonts w:eastAsia="Times New Roman" w:cs="Times New Roman"/>
          <w:color w:val="000000"/>
        </w:rPr>
      </w:pPr>
      <w:r>
        <w:rPr>
          <w:rFonts w:eastAsia="Times New Roman" w:cs="Times New Roman"/>
          <w:color w:val="000000"/>
        </w:rPr>
        <w:lastRenderedPageBreak/>
        <w:t xml:space="preserve">We agree with John’s Grill.  Under well-established principles of contract law, </w:t>
      </w:r>
      <w:r w:rsidRPr="0051737D">
        <w:rPr>
          <w:rFonts w:eastAsia="Times New Roman" w:cs="Times New Roman"/>
          <w:color w:val="000000"/>
        </w:rPr>
        <w:t>“</w:t>
      </w:r>
      <w:r>
        <w:rPr>
          <w:rFonts w:eastAsia="Times New Roman" w:cs="Times New Roman"/>
          <w:color w:val="000000"/>
        </w:rPr>
        <w:t> ‘</w:t>
      </w:r>
      <w:r w:rsidRPr="0051737D">
        <w:rPr>
          <w:rFonts w:eastAsia="Times New Roman" w:cs="Times New Roman"/>
          <w:color w:val="000000"/>
        </w:rPr>
        <w:t xml:space="preserve">Words of promise which by their terms make performance entirely optional </w:t>
      </w:r>
      <w:r w:rsidRPr="00C03933">
        <w:rPr>
          <w:rFonts w:eastAsia="Times New Roman" w:cs="Times New Roman"/>
          <w:color w:val="000000"/>
        </w:rPr>
        <w:t xml:space="preserve">with the </w:t>
      </w:r>
      <w:r w:rsidRPr="00993D51">
        <w:rPr>
          <w:rFonts w:eastAsia="Times New Roman" w:cs="Times New Roman"/>
          <w:color w:val="000000"/>
        </w:rPr>
        <w:t>“</w:t>
      </w:r>
      <w:r w:rsidRPr="00C03933">
        <w:rPr>
          <w:rFonts w:eastAsia="Times New Roman" w:cs="Times New Roman"/>
          <w:color w:val="000000"/>
        </w:rPr>
        <w:t>promisor” . . . do not</w:t>
      </w:r>
      <w:r w:rsidRPr="0051737D">
        <w:rPr>
          <w:rFonts w:eastAsia="Times New Roman" w:cs="Times New Roman"/>
          <w:color w:val="000000"/>
        </w:rPr>
        <w:t xml:space="preserve"> constitute a promise.</w:t>
      </w:r>
      <w:r>
        <w:rPr>
          <w:rFonts w:eastAsia="Times New Roman" w:cs="Times New Roman"/>
          <w:color w:val="000000"/>
        </w:rPr>
        <w:t>’ </w:t>
      </w:r>
      <w:r w:rsidRPr="0051737D">
        <w:rPr>
          <w:rFonts w:eastAsia="Times New Roman" w:cs="Times New Roman"/>
          <w:color w:val="000000"/>
        </w:rPr>
        <w:t>”  (</w:t>
      </w:r>
      <w:r w:rsidRPr="001D3624">
        <w:rPr>
          <w:rFonts w:eastAsia="Times New Roman" w:cs="Times New Roman"/>
          <w:i/>
          <w:iCs/>
          <w:color w:val="000000"/>
          <w:bdr w:val="none" w:sz="0" w:space="0" w:color="auto" w:frame="1"/>
        </w:rPr>
        <w:t>Peleg v. Neiman Marcus Group, Inc.</w:t>
      </w:r>
      <w:r>
        <w:rPr>
          <w:rFonts w:eastAsia="Times New Roman" w:cs="Times New Roman"/>
          <w:color w:val="000000"/>
        </w:rPr>
        <w:t xml:space="preserve"> </w:t>
      </w:r>
      <w:r w:rsidRPr="001D3624">
        <w:rPr>
          <w:rFonts w:eastAsia="Times New Roman" w:cs="Times New Roman"/>
          <w:color w:val="000000"/>
        </w:rPr>
        <w:t>(2012) 204</w:t>
      </w:r>
      <w:r>
        <w:rPr>
          <w:rFonts w:eastAsia="Times New Roman" w:cs="Times New Roman"/>
          <w:color w:val="000000"/>
        </w:rPr>
        <w:t> </w:t>
      </w:r>
      <w:r w:rsidRPr="001D3624">
        <w:rPr>
          <w:rFonts w:eastAsia="Times New Roman" w:cs="Times New Roman"/>
          <w:color w:val="000000"/>
        </w:rPr>
        <w:t>Cal.App.4th 1425, 143</w:t>
      </w:r>
      <w:r>
        <w:rPr>
          <w:rFonts w:eastAsia="Times New Roman" w:cs="Times New Roman"/>
          <w:color w:val="000000"/>
        </w:rPr>
        <w:t>8.</w:t>
      </w:r>
      <w:r w:rsidRPr="001C28BC">
        <w:rPr>
          <w:rFonts w:eastAsia="Times New Roman" w:cs="Times New Roman"/>
          <w:color w:val="000000"/>
        </w:rPr>
        <w:t>)</w:t>
      </w:r>
      <w:r>
        <w:rPr>
          <w:rStyle w:val="FootnoteReference"/>
          <w:rFonts w:eastAsia="Times New Roman" w:cs="Times New Roman"/>
          <w:color w:val="000000"/>
        </w:rPr>
        <w:footnoteReference w:id="19"/>
      </w:r>
      <w:r w:rsidRPr="006E30A0">
        <w:rPr>
          <w:rFonts w:eastAsia="Times New Roman" w:cs="Times New Roman"/>
          <w:color w:val="000000"/>
        </w:rPr>
        <w:t xml:space="preserve">  </w:t>
      </w:r>
      <w:r>
        <w:rPr>
          <w:rFonts w:eastAsia="Times New Roman" w:cs="Times New Roman"/>
          <w:color w:val="000000"/>
        </w:rPr>
        <w:t xml:space="preserve">Plain and clear coverage conditions or </w:t>
      </w:r>
      <w:r w:rsidRPr="001B163D">
        <w:rPr>
          <w:rFonts w:eastAsia="Times New Roman" w:cs="Times New Roman"/>
          <w:color w:val="000000"/>
        </w:rPr>
        <w:t>limitation</w:t>
      </w:r>
      <w:r w:rsidRPr="001B163D">
        <w:rPr>
          <w:rFonts w:eastAsia="Times New Roman" w:cs="Times New Roman"/>
          <w:color w:val="000000"/>
        </w:rPr>
        <w:t xml:space="preserve">s will always be enforced. </w:t>
      </w:r>
      <w:r>
        <w:rPr>
          <w:rFonts w:eastAsia="Times New Roman" w:cs="Times New Roman"/>
          <w:color w:val="000000"/>
        </w:rPr>
        <w:t xml:space="preserve"> (</w:t>
      </w:r>
      <w:r w:rsidRPr="00AE0C03">
        <w:rPr>
          <w:rFonts w:eastAsia="Times New Roman" w:cs="Times New Roman"/>
          <w:i/>
          <w:iCs/>
          <w:color w:val="000000"/>
          <w:bdr w:val="none" w:sz="0" w:space="0" w:color="auto" w:frame="1"/>
        </w:rPr>
        <w:t xml:space="preserve">Scottsdale </w:t>
      </w:r>
      <w:r>
        <w:rPr>
          <w:rFonts w:eastAsia="Times New Roman" w:cs="Times New Roman"/>
          <w:i/>
          <w:iCs/>
          <w:color w:val="000000"/>
          <w:bdr w:val="none" w:sz="0" w:space="0" w:color="auto" w:frame="1"/>
        </w:rPr>
        <w:t xml:space="preserve">Ins. </w:t>
      </w:r>
      <w:r w:rsidRPr="00AE0C03">
        <w:rPr>
          <w:rFonts w:eastAsia="Times New Roman" w:cs="Times New Roman"/>
          <w:i/>
          <w:iCs/>
          <w:color w:val="000000"/>
          <w:bdr w:val="none" w:sz="0" w:space="0" w:color="auto" w:frame="1"/>
        </w:rPr>
        <w:t xml:space="preserve">Co. v. Essex </w:t>
      </w:r>
      <w:r>
        <w:rPr>
          <w:rFonts w:eastAsia="Times New Roman" w:cs="Times New Roman"/>
          <w:i/>
          <w:iCs/>
          <w:color w:val="000000"/>
          <w:bdr w:val="none" w:sz="0" w:space="0" w:color="auto" w:frame="1"/>
        </w:rPr>
        <w:t xml:space="preserve">Ins. </w:t>
      </w:r>
      <w:r w:rsidRPr="00AE0C03">
        <w:rPr>
          <w:rFonts w:eastAsia="Times New Roman" w:cs="Times New Roman"/>
          <w:i/>
          <w:iCs/>
          <w:color w:val="000000"/>
          <w:bdr w:val="none" w:sz="0" w:space="0" w:color="auto" w:frame="1"/>
        </w:rPr>
        <w:t>Co.</w:t>
      </w:r>
      <w:r>
        <w:rPr>
          <w:rFonts w:eastAsia="Times New Roman" w:cs="Times New Roman"/>
          <w:color w:val="000000"/>
        </w:rPr>
        <w:t xml:space="preserve">, </w:t>
      </w:r>
      <w:r w:rsidRPr="00CC3389">
        <w:rPr>
          <w:rFonts w:eastAsia="Times New Roman" w:cs="Times New Roman"/>
          <w:i/>
          <w:iCs/>
          <w:color w:val="000000"/>
        </w:rPr>
        <w:t>supra</w:t>
      </w:r>
      <w:r>
        <w:rPr>
          <w:rFonts w:eastAsia="Times New Roman" w:cs="Times New Roman"/>
          <w:color w:val="000000"/>
        </w:rPr>
        <w:t>,</w:t>
      </w:r>
      <w:r w:rsidRPr="00AE0C03">
        <w:rPr>
          <w:rFonts w:eastAsia="Times New Roman" w:cs="Times New Roman"/>
          <w:color w:val="000000"/>
        </w:rPr>
        <w:t xml:space="preserve"> 98</w:t>
      </w:r>
      <w:r>
        <w:rPr>
          <w:rFonts w:eastAsia="Times New Roman" w:cs="Times New Roman"/>
          <w:color w:val="000000"/>
        </w:rPr>
        <w:t> </w:t>
      </w:r>
      <w:r w:rsidRPr="00AE0C03">
        <w:rPr>
          <w:rFonts w:eastAsia="Times New Roman" w:cs="Times New Roman"/>
          <w:color w:val="000000"/>
        </w:rPr>
        <w:t xml:space="preserve">Cal.App.4th </w:t>
      </w:r>
      <w:r>
        <w:rPr>
          <w:rFonts w:eastAsia="Times New Roman" w:cs="Times New Roman"/>
          <w:color w:val="000000"/>
        </w:rPr>
        <w:t>at p. </w:t>
      </w:r>
      <w:r w:rsidRPr="00AE0C03">
        <w:rPr>
          <w:rFonts w:eastAsia="Times New Roman" w:cs="Times New Roman"/>
          <w:color w:val="000000"/>
        </w:rPr>
        <w:t>94</w:t>
      </w:r>
      <w:r>
        <w:rPr>
          <w:rFonts w:eastAsia="Times New Roman" w:cs="Times New Roman"/>
          <w:color w:val="000000"/>
        </w:rPr>
        <w:t xml:space="preserve"> [“nonstandard but not unusual” clause obligating builder to obtain certificates of insurance from all subcontractors made coverage “conditional but not illusory”].)  But in construing ambiguous policy language, California courts eschew interpretations of </w:t>
      </w:r>
      <w:r>
        <w:rPr>
          <w:rFonts w:eastAsia="Times New Roman" w:cs="Times New Roman"/>
          <w:color w:val="000000"/>
        </w:rPr>
        <w:t>exclusionary or limiting language written so broadly as to make it optional for the insurer to recognize the existence of coverage.  That, in our view, is just what Sentinel’s proposed application of the Specified Causes Clause would do.</w:t>
      </w:r>
    </w:p>
    <w:p w14:paraId="7F6A9C22" w14:textId="77777777" w:rsidR="00B1427D" w:rsidRDefault="009849E9" w:rsidP="00AF31C8">
      <w:pPr>
        <w:rPr>
          <w:rFonts w:eastAsia="Times New Roman" w:cs="Times New Roman"/>
          <w:color w:val="000000"/>
        </w:rPr>
      </w:pPr>
      <w:r>
        <w:rPr>
          <w:rFonts w:eastAsia="Times New Roman" w:cs="Times New Roman"/>
          <w:color w:val="000000"/>
        </w:rPr>
        <w:t>Literally read, Su</w:t>
      </w:r>
      <w:r>
        <w:rPr>
          <w:rFonts w:eastAsia="Times New Roman" w:cs="Times New Roman"/>
          <w:color w:val="000000"/>
        </w:rPr>
        <w:t>bparagraph B.1.a. of the Limited Fungi or Virus Coverage Endorsement is indecipherable when applied to viruses.  The critical limiting phrase is that, for the Limited Virus Coverage to apply, the virus must be the “result o</w:t>
      </w:r>
      <w:r w:rsidRPr="003B48B3">
        <w:rPr>
          <w:rFonts w:eastAsia="Times New Roman" w:cs="Times New Roman"/>
          <w:color w:val="000000"/>
          <w:spacing w:val="40"/>
        </w:rPr>
        <w:t>f</w:t>
      </w:r>
      <w:r>
        <w:rPr>
          <w:rFonts w:eastAsia="Times New Roman" w:cs="Times New Roman"/>
          <w:color w:val="000000"/>
        </w:rPr>
        <w:t xml:space="preserve">” one of a number of enumerated </w:t>
      </w:r>
      <w:r>
        <w:rPr>
          <w:rFonts w:eastAsia="Times New Roman" w:cs="Times New Roman"/>
          <w:color w:val="000000"/>
        </w:rPr>
        <w:t xml:space="preserve">causes.  But </w:t>
      </w:r>
      <w:r>
        <w:rPr>
          <w:rFonts w:eastAsia="Times New Roman" w:cs="Times New Roman"/>
          <w:color w:val="000000"/>
        </w:rPr>
        <w:lastRenderedPageBreak/>
        <w:t>none of the listed causes has anything to do with the biological processes that actually cause a virus.  For some of the other listed perils in Subparagraph B.1.a., it is readily apparent how they might be the “result o</w:t>
      </w:r>
      <w:r w:rsidRPr="007D1B34">
        <w:rPr>
          <w:rFonts w:eastAsia="Times New Roman" w:cs="Times New Roman"/>
          <w:color w:val="000000"/>
          <w:spacing w:val="40"/>
        </w:rPr>
        <w:t>f</w:t>
      </w:r>
      <w:r>
        <w:rPr>
          <w:rFonts w:eastAsia="Times New Roman" w:cs="Times New Roman"/>
          <w:color w:val="000000"/>
        </w:rPr>
        <w:t>” an enumerated cause (</w:t>
      </w:r>
      <w:r>
        <w:rPr>
          <w:rFonts w:eastAsia="Times New Roman" w:cs="Times New Roman"/>
          <w:color w:val="000000"/>
        </w:rPr>
        <w:t xml:space="preserve">e.g., wet rot resulting from water damage).  Not so for viruses.  Only if the words are taken to refer to circumstances in which a specified cause is a </w:t>
      </w:r>
      <w:r w:rsidRPr="0099713C">
        <w:rPr>
          <w:rFonts w:eastAsia="Times New Roman" w:cs="Times New Roman"/>
          <w:i/>
          <w:iCs/>
          <w:color w:val="000000"/>
        </w:rPr>
        <w:t>vector for transmission of a virus</w:t>
      </w:r>
      <w:r>
        <w:rPr>
          <w:rFonts w:eastAsia="Times New Roman" w:cs="Times New Roman"/>
          <w:color w:val="000000"/>
        </w:rPr>
        <w:t xml:space="preserve"> does the language begin to make any sense in the context of this part</w:t>
      </w:r>
      <w:r>
        <w:rPr>
          <w:rFonts w:eastAsia="Times New Roman" w:cs="Times New Roman"/>
          <w:color w:val="000000"/>
        </w:rPr>
        <w:t>icular peril.  But that is not what the words say, and more importantly, it is not the only interpretation to which the phrase “result o</w:t>
      </w:r>
      <w:r w:rsidRPr="009A3654">
        <w:rPr>
          <w:rFonts w:eastAsia="Times New Roman" w:cs="Times New Roman"/>
          <w:color w:val="000000"/>
          <w:spacing w:val="40"/>
        </w:rPr>
        <w:t>f</w:t>
      </w:r>
      <w:r>
        <w:rPr>
          <w:rFonts w:eastAsia="Times New Roman" w:cs="Times New Roman"/>
          <w:color w:val="000000"/>
        </w:rPr>
        <w:t xml:space="preserve">” is reasonably </w:t>
      </w:r>
      <w:r w:rsidRPr="005712ED">
        <w:rPr>
          <w:rFonts w:eastAsia="Times New Roman" w:cs="Times New Roman"/>
          <w:color w:val="000000"/>
        </w:rPr>
        <w:t>susceptible.  Pathogenic causation</w:t>
      </w:r>
      <w:r w:rsidRPr="005712ED">
        <w:t>—</w:t>
      </w:r>
      <w:r w:rsidRPr="005712ED">
        <w:rPr>
          <w:rFonts w:eastAsia="Times New Roman" w:cs="Times New Roman"/>
          <w:color w:val="000000"/>
        </w:rPr>
        <w:t>in the sense that, say, cancer may be said to be the “result o</w:t>
      </w:r>
      <w:r w:rsidRPr="005712ED">
        <w:rPr>
          <w:rFonts w:eastAsia="Times New Roman" w:cs="Times New Roman"/>
          <w:color w:val="000000"/>
          <w:spacing w:val="40"/>
        </w:rPr>
        <w:t>f</w:t>
      </w:r>
      <w:r w:rsidRPr="005712ED">
        <w:rPr>
          <w:rFonts w:eastAsia="Times New Roman" w:cs="Times New Roman"/>
          <w:color w:val="000000"/>
        </w:rPr>
        <w:t>” a t</w:t>
      </w:r>
      <w:r w:rsidRPr="005712ED">
        <w:rPr>
          <w:rFonts w:eastAsia="Times New Roman" w:cs="Times New Roman"/>
          <w:color w:val="000000"/>
        </w:rPr>
        <w:t>oxic carcinogen</w:t>
      </w:r>
      <w:r w:rsidRPr="005712ED">
        <w:t>—</w:t>
      </w:r>
      <w:r w:rsidRPr="005712ED">
        <w:rPr>
          <w:rFonts w:eastAsia="Times New Roman" w:cs="Times New Roman"/>
          <w:color w:val="000000"/>
        </w:rPr>
        <w:t>is another perfectly reasonable interpretation that</w:t>
      </w:r>
      <w:r>
        <w:rPr>
          <w:rFonts w:eastAsia="Times New Roman" w:cs="Times New Roman"/>
          <w:color w:val="000000"/>
        </w:rPr>
        <w:t xml:space="preserve"> could be adopted,</w:t>
      </w:r>
      <w:r>
        <w:rPr>
          <w:rStyle w:val="FootnoteReference"/>
          <w:rFonts w:eastAsia="Times New Roman" w:cs="Times New Roman"/>
          <w:color w:val="000000"/>
        </w:rPr>
        <w:footnoteReference w:id="20"/>
      </w:r>
      <w:r>
        <w:rPr>
          <w:rFonts w:eastAsia="Times New Roman" w:cs="Times New Roman"/>
          <w:color w:val="000000"/>
        </w:rPr>
        <w:t xml:space="preserve"> and it tends to favor John’s Grill’s contention that the Specified Causes Clause is impossible to meet.  The applicable principles for interpreting insurance contracts </w:t>
      </w:r>
      <w:r>
        <w:rPr>
          <w:rFonts w:eastAsia="Times New Roman" w:cs="Times New Roman"/>
          <w:color w:val="000000"/>
        </w:rPr>
        <w:t>do not compel us to resolve the ambiguity by placing a gloss on the text of the Policy, friendly to Sentinel, so that Subparagraph B.1.a. makes sense as applied.</w:t>
      </w:r>
    </w:p>
    <w:p w14:paraId="37F4BC03" w14:textId="77777777" w:rsidR="00510444" w:rsidRDefault="009849E9" w:rsidP="00AF31C8">
      <w:r>
        <w:rPr>
          <w:rFonts w:eastAsia="Times New Roman" w:cs="Times New Roman"/>
          <w:color w:val="000000"/>
        </w:rPr>
        <w:t xml:space="preserve">Sentinel’s first pass at this issue is to wave it off by pointing out that </w:t>
      </w:r>
      <w:r>
        <w:t xml:space="preserve">we are dealing not </w:t>
      </w:r>
      <w:r>
        <w:t xml:space="preserve">just with virus coverage, but as more fully stated in the title of the endorsement, with “Limited Fungi, Bacteria </w:t>
      </w:r>
      <w:r>
        <w:rPr>
          <w:i/>
          <w:iCs/>
        </w:rPr>
        <w:t>o</w:t>
      </w:r>
      <w:r w:rsidRPr="00FC576E">
        <w:rPr>
          <w:i/>
          <w:iCs/>
        </w:rPr>
        <w:t>r</w:t>
      </w:r>
      <w:r>
        <w:t xml:space="preserve"> Virus Coverage” </w:t>
      </w:r>
      <w:r>
        <w:lastRenderedPageBreak/>
        <w:t>(italics added).  Given the disjunctive phrasing in the covered risks, Sentinel argues, so long as there is a possibility o</w:t>
      </w:r>
      <w:r>
        <w:t>f coverage under some combination of covered risks and specified causes (e.g., wet rot caused by water damage), the illusory coverage doctrine does not apply.  We reject that argument.  It not only flies in the face of the principle that we must give effec</w:t>
      </w:r>
      <w:r>
        <w:t xml:space="preserve">t to all the words of the </w:t>
      </w:r>
      <w:r w:rsidRPr="00F74599">
        <w:t xml:space="preserve">Policy, but is precisely the kind of “heads I win, tails you lose” position the illusory coverage doctrine forbids.  (Cf. </w:t>
      </w:r>
      <w:r w:rsidRPr="001B16B1">
        <w:rPr>
          <w:rFonts w:eastAsia="Times New Roman" w:cs="Times New Roman"/>
          <w:i/>
          <w:iCs/>
          <w:color w:val="000000"/>
          <w:bdr w:val="none" w:sz="0" w:space="0" w:color="auto" w:frame="1"/>
        </w:rPr>
        <w:t xml:space="preserve">Energy </w:t>
      </w:r>
      <w:r>
        <w:rPr>
          <w:rFonts w:eastAsia="Times New Roman" w:cs="Times New Roman"/>
          <w:i/>
          <w:iCs/>
          <w:color w:val="000000"/>
          <w:bdr w:val="none" w:sz="0" w:space="0" w:color="auto" w:frame="1"/>
        </w:rPr>
        <w:t>Ins.</w:t>
      </w:r>
      <w:r w:rsidRPr="001B16B1">
        <w:rPr>
          <w:rFonts w:eastAsia="Times New Roman" w:cs="Times New Roman"/>
          <w:i/>
          <w:iCs/>
          <w:color w:val="000000"/>
          <w:bdr w:val="none" w:sz="0" w:space="0" w:color="auto" w:frame="1"/>
        </w:rPr>
        <w:t xml:space="preserve"> Mutual Limited v. Ace American </w:t>
      </w:r>
      <w:r>
        <w:rPr>
          <w:rFonts w:eastAsia="Times New Roman" w:cs="Times New Roman"/>
          <w:i/>
          <w:iCs/>
          <w:color w:val="000000"/>
          <w:bdr w:val="none" w:sz="0" w:space="0" w:color="auto" w:frame="1"/>
        </w:rPr>
        <w:t>Ins.</w:t>
      </w:r>
      <w:r w:rsidRPr="001B16B1">
        <w:rPr>
          <w:rFonts w:eastAsia="Times New Roman" w:cs="Times New Roman"/>
          <w:i/>
          <w:iCs/>
          <w:color w:val="000000"/>
          <w:bdr w:val="none" w:sz="0" w:space="0" w:color="auto" w:frame="1"/>
        </w:rPr>
        <w:t xml:space="preserve"> Co.</w:t>
      </w:r>
      <w:r>
        <w:rPr>
          <w:rFonts w:eastAsia="Times New Roman" w:cs="Times New Roman"/>
          <w:color w:val="000000"/>
        </w:rPr>
        <w:t xml:space="preserve"> </w:t>
      </w:r>
      <w:r w:rsidRPr="001B16B1">
        <w:rPr>
          <w:rFonts w:eastAsia="Times New Roman" w:cs="Times New Roman"/>
          <w:color w:val="000000"/>
        </w:rPr>
        <w:t>(2017) 14</w:t>
      </w:r>
      <w:r>
        <w:rPr>
          <w:rFonts w:eastAsia="Times New Roman" w:cs="Times New Roman"/>
          <w:color w:val="000000"/>
        </w:rPr>
        <w:t> </w:t>
      </w:r>
      <w:r w:rsidRPr="001B16B1">
        <w:rPr>
          <w:rFonts w:eastAsia="Times New Roman" w:cs="Times New Roman"/>
          <w:color w:val="000000"/>
        </w:rPr>
        <w:t>Cal.App.5th 281, 306</w:t>
      </w:r>
      <w:r w:rsidRPr="00F74599">
        <w:rPr>
          <w:rFonts w:eastAsia="Times New Roman" w:cs="Times New Roman"/>
          <w:color w:val="000000"/>
        </w:rPr>
        <w:t xml:space="preserve"> [</w:t>
      </w:r>
      <w:r>
        <w:rPr>
          <w:rFonts w:eastAsia="Times New Roman" w:cs="Times New Roman"/>
          <w:color w:val="000000"/>
        </w:rPr>
        <w:t xml:space="preserve">comprehensive general liability </w:t>
      </w:r>
      <w:r w:rsidRPr="00F74599">
        <w:rPr>
          <w:rFonts w:eastAsia="Times New Roman" w:cs="Times New Roman"/>
          <w:color w:val="000000"/>
        </w:rPr>
        <w:t xml:space="preserve">coverage afforded </w:t>
      </w:r>
      <w:r>
        <w:rPr>
          <w:rFonts w:eastAsia="Times New Roman" w:cs="Times New Roman"/>
          <w:color w:val="000000"/>
        </w:rPr>
        <w:t xml:space="preserve">under umbrella liability </w:t>
      </w:r>
      <w:r w:rsidRPr="008454BD">
        <w:rPr>
          <w:rFonts w:eastAsia="Times New Roman" w:cs="Times New Roman"/>
          <w:color w:val="000000"/>
        </w:rPr>
        <w:t>policy not “completely withdraw[n]” for claims arising from failure to provide pr</w:t>
      </w:r>
      <w:r>
        <w:rPr>
          <w:rFonts w:eastAsia="Times New Roman" w:cs="Times New Roman"/>
          <w:color w:val="000000"/>
        </w:rPr>
        <w:t xml:space="preserve">ofessional services, </w:t>
      </w:r>
      <w:r w:rsidRPr="00F74599">
        <w:rPr>
          <w:rFonts w:eastAsia="Times New Roman" w:cs="Times New Roman"/>
          <w:color w:val="000000"/>
        </w:rPr>
        <w:t xml:space="preserve">since </w:t>
      </w:r>
      <w:r>
        <w:rPr>
          <w:rFonts w:eastAsia="Times New Roman" w:cs="Times New Roman"/>
          <w:color w:val="000000"/>
        </w:rPr>
        <w:t xml:space="preserve">grant of coverage was not for </w:t>
      </w:r>
      <w:r w:rsidRPr="00F74599">
        <w:rPr>
          <w:rFonts w:eastAsia="Times New Roman" w:cs="Times New Roman"/>
          <w:color w:val="000000"/>
        </w:rPr>
        <w:t>errors and omissions</w:t>
      </w:r>
      <w:r>
        <w:rPr>
          <w:rFonts w:eastAsia="Times New Roman" w:cs="Times New Roman"/>
          <w:color w:val="000000"/>
        </w:rPr>
        <w:t xml:space="preserve"> liability</w:t>
      </w:r>
      <w:r w:rsidRPr="00F74599">
        <w:rPr>
          <w:rFonts w:eastAsia="Times New Roman" w:cs="Times New Roman"/>
          <w:color w:val="000000"/>
        </w:rPr>
        <w:t>].)</w:t>
      </w:r>
      <w:r w:rsidRPr="00F74599">
        <w:rPr>
          <w:rFonts w:eastAsia="Times New Roman" w:cs="Times New Roman"/>
          <w:color w:val="000000"/>
          <w:sz w:val="24"/>
          <w:szCs w:val="24"/>
        </w:rPr>
        <w:t xml:space="preserve"> </w:t>
      </w:r>
      <w:r>
        <w:rPr>
          <w:rFonts w:eastAsia="Times New Roman" w:cs="Times New Roman"/>
          <w:color w:val="000000"/>
          <w:sz w:val="24"/>
          <w:szCs w:val="24"/>
        </w:rPr>
        <w:t xml:space="preserve"> </w:t>
      </w:r>
      <w:r>
        <w:t>Insurers</w:t>
      </w:r>
      <w:r>
        <w:t xml:space="preserve"> cannot take in premium for a coverage grant that names a specifically covered risk—here virus contamination—and then justify denying coverage for it under all circumstances because some other risk may be covered under the same coverage grant.</w:t>
      </w:r>
    </w:p>
    <w:p w14:paraId="42DD9C13" w14:textId="77777777" w:rsidR="00337A2F" w:rsidRDefault="009849E9" w:rsidP="00AF31C8">
      <w:r>
        <w:t>Sentinel’s f</w:t>
      </w:r>
      <w:r>
        <w:t xml:space="preserve">allback argument is that, if we squint hard enough, the Limited Virus Coverage grant, as narrowed by the Specified Causes Clause, does indeed provide for a sliver of coverage, which is why the coverage is described as “Limited.”  According to Sentinel, it </w:t>
      </w:r>
      <w:r>
        <w:t xml:space="preserve">is conceivable </w:t>
      </w:r>
      <w:r>
        <w:rPr>
          <w:rFonts w:eastAsia="Times New Roman" w:cs="Times New Roman"/>
          <w:color w:val="000000"/>
        </w:rPr>
        <w:t>a virus can be the “result o</w:t>
      </w:r>
      <w:r w:rsidRPr="005079FD">
        <w:rPr>
          <w:rFonts w:eastAsia="Times New Roman" w:cs="Times New Roman"/>
          <w:color w:val="000000"/>
          <w:spacing w:val="40"/>
        </w:rPr>
        <w:t>f</w:t>
      </w:r>
      <w:r>
        <w:rPr>
          <w:rFonts w:eastAsia="Times New Roman" w:cs="Times New Roman"/>
          <w:color w:val="000000"/>
        </w:rPr>
        <w:t xml:space="preserve">” one of the enumerated perils and then cause property loss or damage, though those circumstances may be exceedingly </w:t>
      </w:r>
      <w:r>
        <w:t>rare, even freakish.  We are then asked to imagine how.  “It is</w:t>
      </w:r>
      <w:r w:rsidRPr="005079FD">
        <w:t xml:space="preserve"> . . . </w:t>
      </w:r>
      <w:r>
        <w:t>easy to imagine a virus r</w:t>
      </w:r>
      <w:r>
        <w:t>esulting from other specified causes of loss,” Sentinel tells us.  “For example, ‘water damage’ could result in waterborne viruses infecting property, including plant[s] or animals.  ‘Vandalism’ might also cause a virus to spread on property, causing physi</w:t>
      </w:r>
      <w:r>
        <w:t xml:space="preserve">cal loss or damage to living property.  And even if it were impossible for a virus to result from a specified cause of loss, the </w:t>
      </w:r>
      <w:r>
        <w:lastRenderedPageBreak/>
        <w:t>Limited Coverage would still not be illusory if an equipment breakdown could cause a virus to spread on property.”</w:t>
      </w:r>
    </w:p>
    <w:p w14:paraId="4AB96EB3" w14:textId="77777777" w:rsidR="003C6640" w:rsidRDefault="009849E9" w:rsidP="00AF31C8">
      <w:r>
        <w:t xml:space="preserve">We do not </w:t>
      </w:r>
      <w:r>
        <w:t>think these possibilities are so easy to see.  Focusing on the precise text of the Specified Causes Clause, we explored some of them with counsel at oral argument.  The scenario of an equipment breakdown led nowhere, as it quickly became apparent during ou</w:t>
      </w:r>
      <w:r>
        <w:t>r colloquy with counsel that while, for example, a malfunctioning air conditioning system might in theory create a heightened risk of airborne disease transmission within a building (as with, say, Legionnaires’ disease), that scenario would involve risk to</w:t>
      </w:r>
      <w:r>
        <w:t xml:space="preserve"> people—and hence implicate liability coverage, not property coverage—so it led back to the essential problem of whether a virus can ever cause the alteration of, and thus damage to, property.  Other than problems with an air conditioning system, Sentinel </w:t>
      </w:r>
      <w:r>
        <w:t xml:space="preserve">has suggested no other scenario in which “Equipment Breakdown Accident” might lead to virus-caused loss or damage, presumably because the definition of “Equipment Breakdown Accident” speaks of explosions, electrical arcing, rupture, or bursting of various </w:t>
      </w:r>
      <w:r>
        <w:t>machinery, events which have no demonstrable connection to the spread of a virus or any other microbial phenomena, even if we were to interpret the phrase “result o</w:t>
      </w:r>
      <w:r w:rsidRPr="00EA378A">
        <w:rPr>
          <w:spacing w:val="40"/>
        </w:rPr>
        <w:t>f</w:t>
      </w:r>
      <w:r>
        <w:t>” generously to refer to vectors of virus transmission.</w:t>
      </w:r>
    </w:p>
    <w:p w14:paraId="46D8B526" w14:textId="77777777" w:rsidR="00CD4294" w:rsidRPr="00BE0FD1" w:rsidRDefault="009849E9" w:rsidP="00CD4294">
      <w:pPr>
        <w:rPr>
          <w:rFonts w:eastAsia="Times New Roman" w:cs="Times New Roman"/>
          <w:color w:val="000000"/>
          <w:shd w:val="clear" w:color="auto" w:fill="FFFFFF"/>
        </w:rPr>
      </w:pPr>
      <w:r>
        <w:t xml:space="preserve">When pressed for more and better examples at oral argument, Sentinel’s counsel retreated to the theme that there might be any number of scenarios in which a virus could </w:t>
      </w:r>
      <w:r w:rsidRPr="003A230C">
        <w:t>damage “living property.”  To illustrate</w:t>
      </w:r>
      <w:r>
        <w:t xml:space="preserve"> how this could occur, Sentinel’s counsel cited</w:t>
      </w:r>
      <w:r>
        <w:t xml:space="preserve"> </w:t>
      </w:r>
      <w:r w:rsidRPr="0095114D">
        <w:rPr>
          <w:rFonts w:eastAsia="Times New Roman" w:cs="Times New Roman"/>
          <w:i/>
          <w:iCs/>
          <w:color w:val="000000"/>
        </w:rPr>
        <w:t>Curtis</w:t>
      </w:r>
      <w:r>
        <w:rPr>
          <w:rFonts w:eastAsia="Times New Roman" w:cs="Times New Roman"/>
          <w:i/>
          <w:iCs/>
          <w:color w:val="000000"/>
        </w:rPr>
        <w:t> </w:t>
      </w:r>
      <w:r w:rsidRPr="0095114D">
        <w:rPr>
          <w:rFonts w:eastAsia="Times New Roman" w:cs="Times New Roman"/>
          <w:i/>
          <w:iCs/>
          <w:color w:val="000000"/>
        </w:rPr>
        <w:t>O. Griess &amp; Sons v. Farm Bur</w:t>
      </w:r>
      <w:r>
        <w:rPr>
          <w:rFonts w:eastAsia="Times New Roman" w:cs="Times New Roman"/>
          <w:i/>
          <w:iCs/>
          <w:color w:val="000000"/>
        </w:rPr>
        <w:t>.</w:t>
      </w:r>
      <w:r w:rsidRPr="0095114D">
        <w:rPr>
          <w:rFonts w:eastAsia="Times New Roman" w:cs="Times New Roman"/>
          <w:i/>
          <w:iCs/>
          <w:color w:val="000000"/>
        </w:rPr>
        <w:t xml:space="preserve"> Ins</w:t>
      </w:r>
      <w:r>
        <w:rPr>
          <w:rFonts w:eastAsia="Times New Roman" w:cs="Times New Roman"/>
          <w:i/>
          <w:iCs/>
          <w:color w:val="000000"/>
        </w:rPr>
        <w:t>.</w:t>
      </w:r>
      <w:r w:rsidRPr="0095114D">
        <w:rPr>
          <w:rFonts w:eastAsia="Times New Roman" w:cs="Times New Roman"/>
          <w:color w:val="000000"/>
        </w:rPr>
        <w:t xml:space="preserve"> (Neb. </w:t>
      </w:r>
      <w:r w:rsidRPr="00CD4294">
        <w:rPr>
          <w:rFonts w:eastAsia="Times New Roman" w:cs="Times New Roman"/>
          <w:color w:val="000000"/>
        </w:rPr>
        <w:t>1995) 528</w:t>
      </w:r>
      <w:r>
        <w:rPr>
          <w:rFonts w:eastAsia="Times New Roman" w:cs="Times New Roman"/>
          <w:color w:val="000000"/>
        </w:rPr>
        <w:t> </w:t>
      </w:r>
      <w:r w:rsidRPr="00CD4294">
        <w:rPr>
          <w:rFonts w:eastAsia="Times New Roman" w:cs="Times New Roman"/>
          <w:color w:val="000000"/>
        </w:rPr>
        <w:t>N.W.2d 329, a first</w:t>
      </w:r>
      <w:r>
        <w:rPr>
          <w:rFonts w:eastAsia="Times New Roman" w:cs="Times New Roman"/>
          <w:color w:val="000000"/>
        </w:rPr>
        <w:t xml:space="preserve"> </w:t>
      </w:r>
      <w:r w:rsidRPr="00CD4294">
        <w:rPr>
          <w:rFonts w:eastAsia="Times New Roman" w:cs="Times New Roman"/>
          <w:color w:val="000000"/>
        </w:rPr>
        <w:t xml:space="preserve">party insurance version of </w:t>
      </w:r>
      <w:r w:rsidRPr="00583EDE">
        <w:rPr>
          <w:rFonts w:eastAsia="Times New Roman" w:cs="Times New Roman"/>
          <w:i/>
          <w:iCs/>
          <w:color w:val="000000"/>
          <w:bdr w:val="none" w:sz="0" w:space="0" w:color="auto" w:frame="1"/>
        </w:rPr>
        <w:t>Palsgraf v. Long Isl</w:t>
      </w:r>
      <w:r>
        <w:rPr>
          <w:rFonts w:eastAsia="Times New Roman" w:cs="Times New Roman"/>
          <w:i/>
          <w:iCs/>
          <w:color w:val="000000"/>
          <w:bdr w:val="none" w:sz="0" w:space="0" w:color="auto" w:frame="1"/>
        </w:rPr>
        <w:t>a</w:t>
      </w:r>
      <w:r w:rsidRPr="00583EDE">
        <w:rPr>
          <w:rFonts w:eastAsia="Times New Roman" w:cs="Times New Roman"/>
          <w:i/>
          <w:iCs/>
          <w:color w:val="000000"/>
          <w:bdr w:val="none" w:sz="0" w:space="0" w:color="auto" w:frame="1"/>
        </w:rPr>
        <w:t>nd R</w:t>
      </w:r>
      <w:r>
        <w:rPr>
          <w:rFonts w:eastAsia="Times New Roman" w:cs="Times New Roman"/>
          <w:i/>
          <w:iCs/>
          <w:color w:val="000000"/>
          <w:bdr w:val="none" w:sz="0" w:space="0" w:color="auto" w:frame="1"/>
        </w:rPr>
        <w:t>.</w:t>
      </w:r>
      <w:r w:rsidRPr="00583EDE">
        <w:rPr>
          <w:rFonts w:eastAsia="Times New Roman" w:cs="Times New Roman"/>
          <w:i/>
          <w:iCs/>
          <w:color w:val="000000"/>
          <w:bdr w:val="none" w:sz="0" w:space="0" w:color="auto" w:frame="1"/>
        </w:rPr>
        <w:t xml:space="preserve"> Co.</w:t>
      </w:r>
      <w:r>
        <w:rPr>
          <w:rFonts w:eastAsia="Times New Roman" w:cs="Times New Roman"/>
          <w:color w:val="000000"/>
        </w:rPr>
        <w:t xml:space="preserve"> </w:t>
      </w:r>
      <w:r w:rsidRPr="00583EDE">
        <w:rPr>
          <w:rFonts w:eastAsia="Times New Roman" w:cs="Times New Roman"/>
          <w:color w:val="000000"/>
        </w:rPr>
        <w:t xml:space="preserve">(1928) </w:t>
      </w:r>
      <w:r>
        <w:rPr>
          <w:rFonts w:eastAsia="Times New Roman" w:cs="Times New Roman"/>
          <w:color w:val="000000"/>
        </w:rPr>
        <w:t xml:space="preserve">162 N.E. 99, but without the universally recognized legal significance that a weird causation scenario provided </w:t>
      </w:r>
      <w:r>
        <w:rPr>
          <w:rFonts w:eastAsia="Times New Roman" w:cs="Times New Roman"/>
          <w:color w:val="000000"/>
        </w:rPr>
        <w:t xml:space="preserve">there.  </w:t>
      </w:r>
      <w:r w:rsidRPr="00202D57">
        <w:rPr>
          <w:i/>
          <w:iCs/>
        </w:rPr>
        <w:t>Griess</w:t>
      </w:r>
      <w:r>
        <w:t xml:space="preserve">, a more quotidian case, is best limited to its peculiar </w:t>
      </w:r>
      <w:r>
        <w:lastRenderedPageBreak/>
        <w:t>factual context.  There, a farmer in Nebraska claimed coverage under a first party policy for the value of his pigs after the animals became sick and died when, due to a windstorm, a vi</w:t>
      </w:r>
      <w:r>
        <w:t xml:space="preserve">rus from a neighboring farm infected them.  </w:t>
      </w:r>
      <w:r w:rsidRPr="00BE0FD1">
        <w:t>The court held that, “</w:t>
      </w:r>
      <w:r w:rsidRPr="00273AB7">
        <w:rPr>
          <w:rFonts w:eastAsia="Times New Roman" w:cs="Times New Roman"/>
          <w:color w:val="000000"/>
        </w:rPr>
        <w:t xml:space="preserve">where a virus has been transmitted by means of a covered peril, the covered peril has been held to be the proximate cause of the loss,” citing an Iowa case, </w:t>
      </w:r>
      <w:r w:rsidRPr="00337A2F">
        <w:rPr>
          <w:rFonts w:eastAsia="Times New Roman" w:cs="Times New Roman"/>
          <w:i/>
          <w:iCs/>
          <w:color w:val="000000"/>
          <w:bdr w:val="none" w:sz="0" w:space="0" w:color="auto" w:frame="1"/>
        </w:rPr>
        <w:t>Qualls v. Farm Bureau Mut</w:t>
      </w:r>
      <w:r>
        <w:rPr>
          <w:rFonts w:eastAsia="Times New Roman" w:cs="Times New Roman"/>
          <w:i/>
          <w:iCs/>
          <w:color w:val="000000"/>
          <w:bdr w:val="none" w:sz="0" w:space="0" w:color="auto" w:frame="1"/>
        </w:rPr>
        <w:t>ual</w:t>
      </w:r>
      <w:r w:rsidRPr="00337A2F">
        <w:rPr>
          <w:rFonts w:eastAsia="Times New Roman" w:cs="Times New Roman"/>
          <w:i/>
          <w:iCs/>
          <w:color w:val="000000"/>
          <w:bdr w:val="none" w:sz="0" w:space="0" w:color="auto" w:frame="1"/>
        </w:rPr>
        <w:t xml:space="preserve"> </w:t>
      </w:r>
      <w:r>
        <w:rPr>
          <w:rFonts w:eastAsia="Times New Roman" w:cs="Times New Roman"/>
          <w:i/>
          <w:iCs/>
          <w:color w:val="000000"/>
          <w:bdr w:val="none" w:sz="0" w:space="0" w:color="auto" w:frame="1"/>
        </w:rPr>
        <w:t xml:space="preserve">Insurance </w:t>
      </w:r>
      <w:r w:rsidRPr="00337A2F">
        <w:rPr>
          <w:rFonts w:eastAsia="Times New Roman" w:cs="Times New Roman"/>
          <w:i/>
          <w:iCs/>
          <w:color w:val="000000"/>
          <w:bdr w:val="none" w:sz="0" w:space="0" w:color="auto" w:frame="1"/>
        </w:rPr>
        <w:t>Co</w:t>
      </w:r>
      <w:r>
        <w:rPr>
          <w:rFonts w:eastAsia="Times New Roman" w:cs="Times New Roman"/>
          <w:i/>
          <w:iCs/>
          <w:color w:val="000000"/>
          <w:bdr w:val="none" w:sz="0" w:space="0" w:color="auto" w:frame="1"/>
        </w:rPr>
        <w:t>mpany</w:t>
      </w:r>
      <w:r>
        <w:rPr>
          <w:rFonts w:eastAsia="Times New Roman" w:cs="Times New Roman"/>
          <w:color w:val="000000"/>
        </w:rPr>
        <w:t xml:space="preserve"> </w:t>
      </w:r>
      <w:r w:rsidRPr="00337A2F">
        <w:rPr>
          <w:rFonts w:eastAsia="Times New Roman" w:cs="Times New Roman"/>
          <w:color w:val="000000"/>
        </w:rPr>
        <w:t>(Iowa 1971) 184</w:t>
      </w:r>
      <w:r>
        <w:rPr>
          <w:rFonts w:eastAsia="Times New Roman" w:cs="Times New Roman"/>
          <w:color w:val="000000"/>
        </w:rPr>
        <w:t> </w:t>
      </w:r>
      <w:r w:rsidRPr="00337A2F">
        <w:rPr>
          <w:rFonts w:eastAsia="Times New Roman" w:cs="Times New Roman"/>
          <w:color w:val="000000"/>
        </w:rPr>
        <w:t>N.W.2d 710</w:t>
      </w:r>
      <w:r w:rsidRPr="00BE0FD1">
        <w:rPr>
          <w:rFonts w:eastAsia="Times New Roman" w:cs="Times New Roman"/>
          <w:color w:val="000000"/>
        </w:rPr>
        <w:t xml:space="preserve">, </w:t>
      </w:r>
      <w:r w:rsidRPr="00273AB7">
        <w:rPr>
          <w:rFonts w:eastAsia="Times New Roman" w:cs="Times New Roman"/>
          <w:color w:val="000000"/>
        </w:rPr>
        <w:t>in which “14 heifers owned by the insured died of pseudorabies transmitted by wild animals which had attacked the heifers.”  (</w:t>
      </w:r>
      <w:r w:rsidRPr="00174430">
        <w:rPr>
          <w:rFonts w:eastAsia="Times New Roman" w:cs="Times New Roman"/>
          <w:i/>
          <w:color w:val="000000"/>
        </w:rPr>
        <w:t>Gr</w:t>
      </w:r>
      <w:r>
        <w:rPr>
          <w:rFonts w:eastAsia="Times New Roman" w:cs="Times New Roman"/>
          <w:i/>
          <w:color w:val="000000"/>
        </w:rPr>
        <w:t>ie</w:t>
      </w:r>
      <w:r w:rsidRPr="00174430">
        <w:rPr>
          <w:rFonts w:eastAsia="Times New Roman" w:cs="Times New Roman"/>
          <w:i/>
          <w:color w:val="000000"/>
        </w:rPr>
        <w:t>ss</w:t>
      </w:r>
      <w:r w:rsidRPr="00273AB7">
        <w:rPr>
          <w:rFonts w:eastAsia="Times New Roman" w:cs="Times New Roman"/>
          <w:color w:val="000000"/>
        </w:rPr>
        <w:t xml:space="preserve">, </w:t>
      </w:r>
      <w:r w:rsidRPr="00174430">
        <w:rPr>
          <w:rFonts w:eastAsia="Times New Roman" w:cs="Times New Roman"/>
          <w:i/>
          <w:color w:val="000000"/>
        </w:rPr>
        <w:t>supra</w:t>
      </w:r>
      <w:r w:rsidRPr="00273AB7">
        <w:rPr>
          <w:rFonts w:eastAsia="Times New Roman" w:cs="Times New Roman"/>
          <w:color w:val="000000"/>
        </w:rPr>
        <w:t xml:space="preserve">, </w:t>
      </w:r>
      <w:r w:rsidRPr="00CD4294">
        <w:rPr>
          <w:rFonts w:eastAsia="Times New Roman" w:cs="Times New Roman"/>
          <w:color w:val="000000"/>
        </w:rPr>
        <w:t>528</w:t>
      </w:r>
      <w:r>
        <w:rPr>
          <w:rFonts w:eastAsia="Times New Roman" w:cs="Times New Roman"/>
          <w:color w:val="000000"/>
        </w:rPr>
        <w:t> </w:t>
      </w:r>
      <w:r w:rsidRPr="00CD4294">
        <w:rPr>
          <w:rFonts w:eastAsia="Times New Roman" w:cs="Times New Roman"/>
          <w:color w:val="000000"/>
        </w:rPr>
        <w:t xml:space="preserve">N.W.2d </w:t>
      </w:r>
      <w:r>
        <w:rPr>
          <w:rFonts w:eastAsia="Times New Roman" w:cs="Times New Roman"/>
          <w:color w:val="000000"/>
        </w:rPr>
        <w:t>at p. </w:t>
      </w:r>
      <w:r w:rsidRPr="00DA5DFE">
        <w:rPr>
          <w:rFonts w:eastAsia="Times New Roman" w:cs="Times New Roman"/>
          <w:color w:val="000000"/>
        </w:rPr>
        <w:t xml:space="preserve">333, quoting </w:t>
      </w:r>
      <w:r w:rsidRPr="00DA5DFE">
        <w:rPr>
          <w:rFonts w:eastAsia="Times New Roman" w:cs="Times New Roman"/>
          <w:i/>
          <w:color w:val="000000"/>
        </w:rPr>
        <w:t>Qualls</w:t>
      </w:r>
      <w:r>
        <w:rPr>
          <w:rFonts w:eastAsia="Times New Roman" w:cs="Times New Roman"/>
          <w:color w:val="000000"/>
        </w:rPr>
        <w:t xml:space="preserve">, </w:t>
      </w:r>
      <w:r w:rsidRPr="00174430">
        <w:rPr>
          <w:rFonts w:eastAsia="Times New Roman" w:cs="Times New Roman"/>
          <w:i/>
          <w:color w:val="000000"/>
        </w:rPr>
        <w:t>supra</w:t>
      </w:r>
      <w:r>
        <w:rPr>
          <w:rFonts w:eastAsia="Times New Roman" w:cs="Times New Roman"/>
          <w:color w:val="000000"/>
        </w:rPr>
        <w:t xml:space="preserve">, </w:t>
      </w:r>
      <w:r w:rsidRPr="00337A2F">
        <w:rPr>
          <w:rFonts w:eastAsia="Times New Roman" w:cs="Times New Roman"/>
          <w:color w:val="000000"/>
        </w:rPr>
        <w:t>184</w:t>
      </w:r>
      <w:r>
        <w:rPr>
          <w:rFonts w:eastAsia="Times New Roman" w:cs="Times New Roman"/>
          <w:color w:val="000000"/>
        </w:rPr>
        <w:t> </w:t>
      </w:r>
      <w:r w:rsidRPr="00337A2F">
        <w:rPr>
          <w:rFonts w:eastAsia="Times New Roman" w:cs="Times New Roman"/>
          <w:color w:val="000000"/>
        </w:rPr>
        <w:t>N.W</w:t>
      </w:r>
      <w:r w:rsidRPr="00033AE6">
        <w:rPr>
          <w:rFonts w:eastAsia="Times New Roman" w:cs="Times New Roman"/>
          <w:color w:val="000000"/>
        </w:rPr>
        <w:t xml:space="preserve">.2d at p. 712.)  </w:t>
      </w:r>
      <w:r w:rsidRPr="00033AE6">
        <w:rPr>
          <w:rFonts w:eastAsia="Times New Roman" w:cs="Times New Roman"/>
          <w:color w:val="000000"/>
        </w:rPr>
        <w:t>Under th</w:t>
      </w:r>
      <w:r w:rsidRPr="00273AB7">
        <w:rPr>
          <w:rFonts w:eastAsia="Times New Roman" w:cs="Times New Roman"/>
          <w:color w:val="000000"/>
        </w:rPr>
        <w:t xml:space="preserve">e efficient loss causation rule in those states, these courts found that there was coverage </w:t>
      </w:r>
      <w:r w:rsidRPr="00033AE6">
        <w:rPr>
          <w:rFonts w:eastAsia="Times New Roman" w:cs="Times New Roman"/>
          <w:color w:val="000000"/>
        </w:rPr>
        <w:t>for “living property”</w:t>
      </w:r>
      <w:r w:rsidRPr="00273AB7">
        <w:rPr>
          <w:rFonts w:eastAsia="Times New Roman" w:cs="Times New Roman"/>
          <w:color w:val="000000"/>
        </w:rPr>
        <w:t xml:space="preserve"> despite the attenuated chain of causation that led to the claimed losses at issue.</w:t>
      </w:r>
    </w:p>
    <w:p w14:paraId="02AA50C5" w14:textId="77777777" w:rsidR="00C53E6F" w:rsidRDefault="009849E9" w:rsidP="00AF31C8">
      <w:r>
        <w:rPr>
          <w:rFonts w:eastAsia="Times New Roman" w:cs="Times New Roman"/>
          <w:color w:val="000000"/>
        </w:rPr>
        <w:t>W</w:t>
      </w:r>
      <w:r w:rsidRPr="00273AB7">
        <w:rPr>
          <w:rFonts w:eastAsia="Times New Roman" w:cs="Times New Roman"/>
          <w:color w:val="000000"/>
        </w:rPr>
        <w:t>e fail to see what these oddball scenarios have to</w:t>
      </w:r>
      <w:r w:rsidRPr="00273AB7">
        <w:rPr>
          <w:rFonts w:eastAsia="Times New Roman" w:cs="Times New Roman"/>
          <w:color w:val="000000"/>
        </w:rPr>
        <w:t xml:space="preserve"> do with this case.  Even if </w:t>
      </w:r>
      <w:r w:rsidRPr="00273AB7">
        <w:rPr>
          <w:rFonts w:eastAsia="Times New Roman" w:cs="Times New Roman"/>
          <w:i/>
          <w:color w:val="000000"/>
        </w:rPr>
        <w:t>Gr</w:t>
      </w:r>
      <w:r>
        <w:rPr>
          <w:rFonts w:eastAsia="Times New Roman" w:cs="Times New Roman"/>
          <w:i/>
          <w:color w:val="000000"/>
        </w:rPr>
        <w:t>ie</w:t>
      </w:r>
      <w:r w:rsidRPr="00273AB7">
        <w:rPr>
          <w:rFonts w:eastAsia="Times New Roman" w:cs="Times New Roman"/>
          <w:i/>
          <w:color w:val="000000"/>
        </w:rPr>
        <w:t>ss</w:t>
      </w:r>
      <w:r w:rsidRPr="00273AB7">
        <w:rPr>
          <w:rFonts w:eastAsia="Times New Roman" w:cs="Times New Roman"/>
          <w:color w:val="000000"/>
        </w:rPr>
        <w:t xml:space="preserve"> could be read to support a reading of the phrase “result o</w:t>
      </w:r>
      <w:r w:rsidRPr="00436138">
        <w:rPr>
          <w:rFonts w:eastAsia="Times New Roman" w:cs="Times New Roman"/>
          <w:color w:val="000000"/>
          <w:spacing w:val="40"/>
        </w:rPr>
        <w:t>f</w:t>
      </w:r>
      <w:r w:rsidRPr="00273AB7">
        <w:rPr>
          <w:rFonts w:eastAsia="Times New Roman" w:cs="Times New Roman"/>
          <w:color w:val="000000"/>
        </w:rPr>
        <w:t xml:space="preserve">” that means vector of viral transmission, there is still the matter of finding some nexus to property loss or damage, which is presumably why Sentinel </w:t>
      </w:r>
      <w:r w:rsidRPr="00273AB7">
        <w:rPr>
          <w:rFonts w:eastAsia="Times New Roman" w:cs="Times New Roman"/>
          <w:color w:val="000000"/>
        </w:rPr>
        <w:t>emphasizes the risk to “living property</w:t>
      </w:r>
      <w:r>
        <w:rPr>
          <w:rFonts w:eastAsia="Times New Roman" w:cs="Times New Roman"/>
          <w:color w:val="000000"/>
        </w:rPr>
        <w:t>”</w:t>
      </w:r>
      <w:r w:rsidRPr="00273AB7">
        <w:rPr>
          <w:rFonts w:eastAsia="Times New Roman" w:cs="Times New Roman"/>
          <w:color w:val="000000"/>
        </w:rPr>
        <w:t xml:space="preserve"> that </w:t>
      </w:r>
      <w:r w:rsidRPr="00273AB7">
        <w:rPr>
          <w:rFonts w:eastAsia="Times New Roman" w:cs="Times New Roman"/>
          <w:i/>
          <w:color w:val="000000"/>
        </w:rPr>
        <w:t>Gr</w:t>
      </w:r>
      <w:r>
        <w:rPr>
          <w:rFonts w:eastAsia="Times New Roman" w:cs="Times New Roman"/>
          <w:i/>
          <w:color w:val="000000"/>
        </w:rPr>
        <w:t>ie</w:t>
      </w:r>
      <w:r w:rsidRPr="00273AB7">
        <w:rPr>
          <w:rFonts w:eastAsia="Times New Roman" w:cs="Times New Roman"/>
          <w:i/>
          <w:color w:val="000000"/>
        </w:rPr>
        <w:t>ss</w:t>
      </w:r>
      <w:r w:rsidRPr="00273AB7">
        <w:rPr>
          <w:rFonts w:eastAsia="Times New Roman" w:cs="Times New Roman"/>
          <w:color w:val="000000"/>
        </w:rPr>
        <w:t xml:space="preserve"> illustrates.  But </w:t>
      </w:r>
      <w:r>
        <w:t>John’s Grill is not a farm, and even assuming pets may be found on its premises from time to time, coverage is afforded for animals under the Policy only if “[t]</w:t>
      </w:r>
      <w:r w:rsidRPr="00417CD0">
        <w:t xml:space="preserve">hey are owned by others </w:t>
      </w:r>
      <w:r w:rsidRPr="00417CD0">
        <w:t>and boarded by you, or owned by you and held for sale or sold but not delivered</w:t>
      </w:r>
      <w:r>
        <w:t xml:space="preserve">.”  If John’s Grill were operating a dog kennel or a pet store, perhaps the </w:t>
      </w:r>
      <w:r w:rsidRPr="00900D9B">
        <w:rPr>
          <w:i/>
          <w:iCs/>
        </w:rPr>
        <w:t>Gr</w:t>
      </w:r>
      <w:r>
        <w:rPr>
          <w:i/>
          <w:iCs/>
        </w:rPr>
        <w:t>ie</w:t>
      </w:r>
      <w:r w:rsidRPr="00900D9B">
        <w:rPr>
          <w:i/>
          <w:iCs/>
        </w:rPr>
        <w:t xml:space="preserve">ss </w:t>
      </w:r>
      <w:r w:rsidRPr="002B4643">
        <w:t>case</w:t>
      </w:r>
      <w:r>
        <w:rPr>
          <w:i/>
          <w:iCs/>
        </w:rPr>
        <w:t xml:space="preserve"> </w:t>
      </w:r>
      <w:r>
        <w:t>might have some relevance, but not on the actual business circumstances we are dealing wi</w:t>
      </w:r>
      <w:r>
        <w:t>th here.  Nor is it self-evident to us that plant viruses may be transmitted through the same vectors of transmission that we intuitively associate with human disease (after all, plants do not ingest water or breathe in the same way humans do), but even if</w:t>
      </w:r>
      <w:r>
        <w:t xml:space="preserve"> plant viruses may be transmitted by air or water, we have no idea whether </w:t>
      </w:r>
      <w:r>
        <w:lastRenderedPageBreak/>
        <w:t xml:space="preserve">plants are, in fact, part of the covered property environment on John’s Grill’s premises.  So in the end, all </w:t>
      </w:r>
      <w:r w:rsidRPr="0051761E">
        <w:rPr>
          <w:i/>
          <w:iCs/>
        </w:rPr>
        <w:t>Gr</w:t>
      </w:r>
      <w:r>
        <w:rPr>
          <w:i/>
          <w:iCs/>
        </w:rPr>
        <w:t>ie</w:t>
      </w:r>
      <w:r w:rsidRPr="0051761E">
        <w:rPr>
          <w:i/>
          <w:iCs/>
        </w:rPr>
        <w:t>ss</w:t>
      </w:r>
      <w:r>
        <w:t xml:space="preserve"> shows is that it is possible to conjure up many scenarios that m</w:t>
      </w:r>
      <w:r>
        <w:t xml:space="preserve">ight notionally pose a risk of damage to some form of “living property” for some businesses.  But on this record, none of </w:t>
      </w:r>
      <w:r w:rsidRPr="00337A2F">
        <w:t>th</w:t>
      </w:r>
      <w:r>
        <w:t xml:space="preserve">ese abstract risks bear on the insurance policy </w:t>
      </w:r>
      <w:r w:rsidRPr="00337A2F">
        <w:t xml:space="preserve">Sentinel </w:t>
      </w:r>
      <w:r>
        <w:t xml:space="preserve">underwrote for </w:t>
      </w:r>
      <w:r w:rsidRPr="00337A2F">
        <w:rPr>
          <w:i/>
          <w:iCs/>
        </w:rPr>
        <w:t>this</w:t>
      </w:r>
      <w:r w:rsidRPr="00337A2F">
        <w:t xml:space="preserve"> insured.</w:t>
      </w:r>
    </w:p>
    <w:p w14:paraId="5AE94080" w14:textId="77777777" w:rsidR="0041285D" w:rsidRPr="00E1250A" w:rsidRDefault="009849E9" w:rsidP="00AF31C8">
      <w:r>
        <w:t>The parties argue back and forth about how unl</w:t>
      </w:r>
      <w:r>
        <w:t>ikely coverage must be in order to justify application of the illusory coverage doctrine.  Sentinel suggests that John’s Grill is simply complaining it is “hard” to show that a claim falls within the Limited Virus Coverage, while John’s Grill urges us to h</w:t>
      </w:r>
      <w:r>
        <w:t>old that it has “no realistic prospect” of benefitting from the Limited Virus Coverage.  According to John’s Grill, it “</w:t>
      </w:r>
      <w:r w:rsidRPr="0043347F">
        <w:t>is misleading and contrary to the reasonable expectations of</w:t>
      </w:r>
      <w:r>
        <w:t xml:space="preserve"> </w:t>
      </w:r>
      <w:r w:rsidRPr="0043347F">
        <w:t xml:space="preserve">the insured to market </w:t>
      </w:r>
      <w:r w:rsidRPr="00E1250A">
        <w:t xml:space="preserve">an endorsement” with the word virus in the “title if </w:t>
      </w:r>
      <w:r w:rsidRPr="00E1250A">
        <w:t>there is no realistic prospect it will ever pay out a claim for losses caused by virus.”  We are disinclined to transform the doctrine of illusory coverage into a species of false advertising by tying it to how a policy was “marketed,” but we agree that th</w:t>
      </w:r>
      <w:r w:rsidRPr="00E1250A">
        <w:t>e test for illusory coverage must focus on objective reality and the insured’s reasonable expectations of coverage.  (</w:t>
      </w:r>
      <w:r w:rsidRPr="00E1250A">
        <w:rPr>
          <w:rFonts w:eastAsia="Times New Roman" w:cs="Times New Roman"/>
          <w:i/>
          <w:iCs/>
          <w:color w:val="000000"/>
          <w:bdr w:val="none" w:sz="0" w:space="0" w:color="auto" w:frame="1"/>
        </w:rPr>
        <w:t>Shade Foods, Inc. v. Innovative Products Sales &amp; Marketing, Inc.</w:t>
      </w:r>
      <w:r>
        <w:rPr>
          <w:rFonts w:eastAsia="Times New Roman" w:cs="Times New Roman"/>
          <w:color w:val="000000"/>
        </w:rPr>
        <w:t xml:space="preserve"> </w:t>
      </w:r>
      <w:r w:rsidRPr="00E1250A">
        <w:rPr>
          <w:rFonts w:eastAsia="Times New Roman" w:cs="Times New Roman"/>
          <w:color w:val="000000"/>
        </w:rPr>
        <w:t>(2000) 78</w:t>
      </w:r>
      <w:r>
        <w:rPr>
          <w:rFonts w:eastAsia="Times New Roman" w:cs="Times New Roman"/>
          <w:color w:val="000000"/>
        </w:rPr>
        <w:t> </w:t>
      </w:r>
      <w:r w:rsidRPr="00E1250A">
        <w:rPr>
          <w:rFonts w:eastAsia="Times New Roman" w:cs="Times New Roman"/>
          <w:color w:val="000000"/>
        </w:rPr>
        <w:t xml:space="preserve">Cal.App.4th 847, 874.) </w:t>
      </w:r>
      <w:r w:rsidRPr="00E1250A">
        <w:t xml:space="preserve"> Imaginary exercises involving pigs caug</w:t>
      </w:r>
      <w:r w:rsidRPr="00E1250A">
        <w:t>ht in windstorms and cows encountering wild animals will not do.</w:t>
      </w:r>
    </w:p>
    <w:p w14:paraId="415C4B6A" w14:textId="77777777" w:rsidR="00F24231" w:rsidRDefault="009849E9" w:rsidP="00273AB7">
      <w:r w:rsidRPr="00337A2F">
        <w:rPr>
          <w:rFonts w:eastAsia="Times New Roman" w:cs="Times New Roman"/>
          <w:color w:val="000000"/>
        </w:rPr>
        <w:t>It takes more than a “</w:t>
      </w:r>
      <w:r w:rsidRPr="00273AB7">
        <w:rPr>
          <w:rFonts w:eastAsia="Times New Roman" w:cs="Times New Roman"/>
          <w:color w:val="000000"/>
        </w:rPr>
        <w:t>a mere</w:t>
      </w:r>
      <w:r>
        <w:rPr>
          <w:rFonts w:eastAsia="Times New Roman" w:cs="Times New Roman"/>
          <w:color w:val="000000"/>
        </w:rPr>
        <w:t xml:space="preserve"> </w:t>
      </w:r>
      <w:r w:rsidRPr="00273AB7">
        <w:rPr>
          <w:rFonts w:eastAsia="Times New Roman" w:cs="Times New Roman"/>
          <w:color w:val="000000"/>
          <w:bdr w:val="none" w:sz="0" w:space="0" w:color="auto" w:frame="1"/>
        </w:rPr>
        <w:t>drafting</w:t>
      </w:r>
      <w:r>
        <w:rPr>
          <w:rFonts w:eastAsia="Times New Roman" w:cs="Times New Roman"/>
          <w:color w:val="000000"/>
        </w:rPr>
        <w:t xml:space="preserve"> </w:t>
      </w:r>
      <w:r w:rsidRPr="00273AB7">
        <w:rPr>
          <w:rFonts w:eastAsia="Times New Roman" w:cs="Times New Roman"/>
          <w:color w:val="000000"/>
        </w:rPr>
        <w:t>fiction” to overcome a well-pleaded illusory coverage argument.  (</w:t>
      </w:r>
      <w:r w:rsidRPr="00337A2F">
        <w:rPr>
          <w:rFonts w:eastAsia="Times New Roman" w:cs="Times New Roman"/>
          <w:i/>
          <w:iCs/>
          <w:color w:val="000000"/>
          <w:bdr w:val="none" w:sz="0" w:space="0" w:color="auto" w:frame="1"/>
        </w:rPr>
        <w:t>Julian</w:t>
      </w:r>
      <w:r w:rsidRPr="00A44FD7">
        <w:rPr>
          <w:rFonts w:eastAsia="Times New Roman" w:cs="Times New Roman"/>
          <w:i/>
          <w:iCs/>
          <w:color w:val="000000"/>
          <w:bdr w:val="none" w:sz="0" w:space="0" w:color="auto" w:frame="1"/>
        </w:rPr>
        <w:t xml:space="preserve"> v. Hartford Underwriters </w:t>
      </w:r>
      <w:r>
        <w:rPr>
          <w:rFonts w:eastAsia="Times New Roman" w:cs="Times New Roman"/>
          <w:i/>
          <w:iCs/>
          <w:color w:val="000000"/>
          <w:bdr w:val="none" w:sz="0" w:space="0" w:color="auto" w:frame="1"/>
        </w:rPr>
        <w:t xml:space="preserve">Ins. </w:t>
      </w:r>
      <w:r w:rsidRPr="00A44FD7">
        <w:rPr>
          <w:rFonts w:eastAsia="Times New Roman" w:cs="Times New Roman"/>
          <w:i/>
          <w:iCs/>
          <w:color w:val="000000"/>
          <w:bdr w:val="none" w:sz="0" w:space="0" w:color="auto" w:frame="1"/>
        </w:rPr>
        <w:t>Co</w:t>
      </w:r>
      <w:r>
        <w:rPr>
          <w:rFonts w:eastAsia="Times New Roman" w:cs="Times New Roman"/>
          <w:color w:val="000000"/>
        </w:rPr>
        <w:t>.</w:t>
      </w:r>
      <w:r w:rsidRPr="00337A2F">
        <w:rPr>
          <w:rFonts w:eastAsia="Times New Roman" w:cs="Times New Roman"/>
          <w:color w:val="000000"/>
        </w:rPr>
        <w:t xml:space="preserve">, </w:t>
      </w:r>
      <w:r w:rsidRPr="00337A2F">
        <w:rPr>
          <w:rFonts w:eastAsia="Times New Roman" w:cs="Times New Roman"/>
          <w:i/>
          <w:iCs/>
          <w:color w:val="000000"/>
        </w:rPr>
        <w:t>supra</w:t>
      </w:r>
      <w:r w:rsidRPr="00337A2F">
        <w:rPr>
          <w:rFonts w:eastAsia="Times New Roman" w:cs="Times New Roman"/>
          <w:color w:val="000000"/>
        </w:rPr>
        <w:t>, 35</w:t>
      </w:r>
      <w:r>
        <w:rPr>
          <w:rFonts w:eastAsia="Times New Roman" w:cs="Times New Roman"/>
          <w:color w:val="000000"/>
        </w:rPr>
        <w:t> </w:t>
      </w:r>
      <w:r w:rsidRPr="00337A2F">
        <w:rPr>
          <w:rFonts w:eastAsia="Times New Roman" w:cs="Times New Roman"/>
          <w:color w:val="000000"/>
        </w:rPr>
        <w:t>Cal.4th at p.</w:t>
      </w:r>
      <w:r>
        <w:rPr>
          <w:rFonts w:eastAsia="Times New Roman" w:cs="Times New Roman"/>
          <w:color w:val="000000"/>
        </w:rPr>
        <w:t> </w:t>
      </w:r>
      <w:r w:rsidRPr="00337A2F">
        <w:rPr>
          <w:rFonts w:eastAsia="Times New Roman" w:cs="Times New Roman"/>
          <w:color w:val="000000"/>
        </w:rPr>
        <w:t xml:space="preserve">760.)  </w:t>
      </w:r>
      <w:r>
        <w:t xml:space="preserve">Where an </w:t>
      </w:r>
      <w:r>
        <w:t>insured properly raises the issue of illusory coverage, as John’s Grill has done here, unsubstantiated speculation, untethered to the insured’s actual business circumstances as underwritten by the insurer, is not enough to defeat the argument.  (</w:t>
      </w:r>
      <w:r w:rsidRPr="00C31F3A">
        <w:t xml:space="preserve">Cf. </w:t>
      </w:r>
      <w:r w:rsidRPr="007C70E6">
        <w:rPr>
          <w:rFonts w:eastAsia="Times New Roman" w:cs="Times New Roman"/>
          <w:i/>
          <w:iCs/>
          <w:color w:val="000000"/>
          <w:bdr w:val="none" w:sz="0" w:space="0" w:color="auto" w:frame="1"/>
        </w:rPr>
        <w:lastRenderedPageBreak/>
        <w:t>Blackh</w:t>
      </w:r>
      <w:r w:rsidRPr="007C70E6">
        <w:rPr>
          <w:rFonts w:eastAsia="Times New Roman" w:cs="Times New Roman"/>
          <w:i/>
          <w:iCs/>
          <w:color w:val="000000"/>
          <w:bdr w:val="none" w:sz="0" w:space="0" w:color="auto" w:frame="1"/>
        </w:rPr>
        <w:t xml:space="preserve">awk Corp. v. Gotham </w:t>
      </w:r>
      <w:r>
        <w:rPr>
          <w:rFonts w:eastAsia="Times New Roman" w:cs="Times New Roman"/>
          <w:i/>
          <w:iCs/>
          <w:color w:val="000000"/>
          <w:bdr w:val="none" w:sz="0" w:space="0" w:color="auto" w:frame="1"/>
        </w:rPr>
        <w:t xml:space="preserve">Ins. </w:t>
      </w:r>
      <w:r w:rsidRPr="007C70E6">
        <w:rPr>
          <w:rFonts w:eastAsia="Times New Roman" w:cs="Times New Roman"/>
          <w:i/>
          <w:iCs/>
          <w:color w:val="000000"/>
          <w:bdr w:val="none" w:sz="0" w:space="0" w:color="auto" w:frame="1"/>
        </w:rPr>
        <w:t>Co.</w:t>
      </w:r>
      <w:r>
        <w:rPr>
          <w:rFonts w:eastAsia="Times New Roman" w:cs="Times New Roman"/>
          <w:color w:val="000000"/>
        </w:rPr>
        <w:t xml:space="preserve"> </w:t>
      </w:r>
      <w:r w:rsidRPr="007C70E6">
        <w:rPr>
          <w:rFonts w:eastAsia="Times New Roman" w:cs="Times New Roman"/>
          <w:color w:val="000000"/>
        </w:rPr>
        <w:t>(1997) 54</w:t>
      </w:r>
      <w:r>
        <w:rPr>
          <w:rFonts w:eastAsia="Times New Roman" w:cs="Times New Roman"/>
          <w:color w:val="000000"/>
        </w:rPr>
        <w:t> </w:t>
      </w:r>
      <w:r w:rsidRPr="007C70E6">
        <w:rPr>
          <w:rFonts w:eastAsia="Times New Roman" w:cs="Times New Roman"/>
          <w:color w:val="000000"/>
        </w:rPr>
        <w:t>Cal.App.4th 1090,</w:t>
      </w:r>
      <w:r>
        <w:rPr>
          <w:rFonts w:eastAsia="Times New Roman" w:cs="Times New Roman"/>
          <w:color w:val="000000"/>
        </w:rPr>
        <w:t xml:space="preserve"> 1096–</w:t>
      </w:r>
      <w:r w:rsidRPr="007C70E6">
        <w:rPr>
          <w:rFonts w:eastAsia="Times New Roman" w:cs="Times New Roman"/>
          <w:color w:val="000000"/>
        </w:rPr>
        <w:t>1097</w:t>
      </w:r>
      <w:r w:rsidRPr="00C31F3A">
        <w:rPr>
          <w:rFonts w:eastAsia="Times New Roman" w:cs="Times New Roman"/>
          <w:color w:val="000000"/>
        </w:rPr>
        <w:t xml:space="preserve"> [in </w:t>
      </w:r>
      <w:r w:rsidRPr="00326068">
        <w:rPr>
          <w:rFonts w:eastAsia="Times New Roman" w:cs="Times New Roman"/>
          <w:color w:val="000000"/>
        </w:rPr>
        <w:t>light of insured’s</w:t>
      </w:r>
      <w:r w:rsidRPr="00C31F3A">
        <w:rPr>
          <w:rFonts w:eastAsia="Times New Roman" w:cs="Times New Roman"/>
          <w:color w:val="000000"/>
        </w:rPr>
        <w:t xml:space="preserve"> actual business “as developer of raw land,” </w:t>
      </w:r>
      <w:r>
        <w:rPr>
          <w:rFonts w:eastAsia="Times New Roman" w:cs="Times New Roman"/>
          <w:color w:val="000000"/>
        </w:rPr>
        <w:t xml:space="preserve">subsidence </w:t>
      </w:r>
      <w:r w:rsidRPr="00C31F3A">
        <w:rPr>
          <w:rFonts w:eastAsia="Times New Roman" w:cs="Times New Roman"/>
          <w:color w:val="000000"/>
        </w:rPr>
        <w:t>exclusion</w:t>
      </w:r>
      <w:r>
        <w:rPr>
          <w:rFonts w:eastAsia="Times New Roman" w:cs="Times New Roman"/>
          <w:color w:val="000000"/>
        </w:rPr>
        <w:t>s</w:t>
      </w:r>
      <w:r w:rsidRPr="00C31F3A">
        <w:rPr>
          <w:rFonts w:eastAsia="Times New Roman" w:cs="Times New Roman"/>
          <w:color w:val="000000"/>
        </w:rPr>
        <w:t xml:space="preserve"> not illusory when applied to housing development on property sold by insured].)  </w:t>
      </w:r>
      <w:r>
        <w:t xml:space="preserve">Because Sentinel has not proffered enough to demonstrate a realistic prospect of John’s Grill ever benefitting from the Limited Virus Coverage based on events </w:t>
      </w:r>
      <w:r w:rsidRPr="00FB6F88">
        <w:t>the parties</w:t>
      </w:r>
      <w:r>
        <w:t xml:space="preserve"> mig</w:t>
      </w:r>
      <w:r>
        <w:t xml:space="preserve">ht reasonably have anticipated during the Policy period, we agree that </w:t>
      </w:r>
      <w:r w:rsidRPr="00FB6F88">
        <w:t>Sentinel has, “t</w:t>
      </w:r>
      <w:r w:rsidRPr="00273AB7">
        <w:rPr>
          <w:color w:val="000000"/>
        </w:rPr>
        <w:t>hrough sweeping language,” rendered the Policy’s virus coverage terms</w:t>
      </w:r>
      <w:r>
        <w:rPr>
          <w:color w:val="000000"/>
        </w:rPr>
        <w:t xml:space="preserve"> </w:t>
      </w:r>
      <w:r w:rsidRPr="00273AB7">
        <w:rPr>
          <w:color w:val="000000"/>
        </w:rPr>
        <w:t>“</w:t>
      </w:r>
      <w:r w:rsidRPr="00273AB7">
        <w:rPr>
          <w:color w:val="000000"/>
          <w:bdr w:val="none" w:sz="0" w:space="0" w:color="auto" w:frame="1"/>
        </w:rPr>
        <w:t>virtually</w:t>
      </w:r>
      <w:r>
        <w:rPr>
          <w:color w:val="000000"/>
        </w:rPr>
        <w:t xml:space="preserve"> </w:t>
      </w:r>
      <w:r w:rsidRPr="00273AB7">
        <w:rPr>
          <w:color w:val="000000"/>
        </w:rPr>
        <w:t xml:space="preserve">illusory.”  </w:t>
      </w:r>
      <w:r w:rsidRPr="00273AB7">
        <w:rPr>
          <w:rFonts w:eastAsia="Times New Roman" w:cs="Times New Roman"/>
          <w:color w:val="000000"/>
        </w:rPr>
        <w:t>(</w:t>
      </w:r>
      <w:r w:rsidRPr="00337A2F">
        <w:rPr>
          <w:rFonts w:eastAsia="Times New Roman" w:cs="Times New Roman"/>
          <w:i/>
          <w:iCs/>
          <w:color w:val="000000"/>
          <w:bdr w:val="none" w:sz="0" w:space="0" w:color="auto" w:frame="1"/>
        </w:rPr>
        <w:t>Julian</w:t>
      </w:r>
      <w:r w:rsidRPr="00FB6F88">
        <w:rPr>
          <w:rFonts w:eastAsia="Times New Roman" w:cs="Times New Roman"/>
          <w:color w:val="000000"/>
        </w:rPr>
        <w:t xml:space="preserve">, </w:t>
      </w:r>
      <w:r w:rsidRPr="00FB6F88">
        <w:rPr>
          <w:rFonts w:eastAsia="Times New Roman" w:cs="Times New Roman"/>
          <w:i/>
          <w:iCs/>
          <w:color w:val="000000"/>
        </w:rPr>
        <w:t>supra</w:t>
      </w:r>
      <w:r w:rsidRPr="00FB6F88">
        <w:rPr>
          <w:rFonts w:eastAsia="Times New Roman" w:cs="Times New Roman"/>
          <w:color w:val="000000"/>
        </w:rPr>
        <w:t>,</w:t>
      </w:r>
      <w:r w:rsidRPr="00337A2F">
        <w:rPr>
          <w:rFonts w:eastAsia="Times New Roman" w:cs="Times New Roman"/>
          <w:color w:val="000000"/>
        </w:rPr>
        <w:t xml:space="preserve"> </w:t>
      </w:r>
      <w:r w:rsidRPr="00FB6F88">
        <w:rPr>
          <w:rFonts w:eastAsia="Times New Roman" w:cs="Times New Roman"/>
          <w:color w:val="000000"/>
        </w:rPr>
        <w:t>at p.</w:t>
      </w:r>
      <w:r>
        <w:rPr>
          <w:rFonts w:eastAsia="Times New Roman" w:cs="Times New Roman"/>
          <w:color w:val="000000"/>
        </w:rPr>
        <w:t> </w:t>
      </w:r>
      <w:r w:rsidRPr="00337A2F">
        <w:rPr>
          <w:rFonts w:eastAsia="Times New Roman" w:cs="Times New Roman"/>
          <w:color w:val="000000"/>
        </w:rPr>
        <w:t>7</w:t>
      </w:r>
      <w:r w:rsidRPr="00FB6F88">
        <w:rPr>
          <w:rFonts w:eastAsia="Times New Roman" w:cs="Times New Roman"/>
          <w:color w:val="000000"/>
        </w:rPr>
        <w:t>56.)</w:t>
      </w:r>
    </w:p>
    <w:p w14:paraId="0CC5F4FB" w14:textId="77777777" w:rsidR="00856D59" w:rsidRDefault="009849E9" w:rsidP="00783FCC">
      <w:pPr>
        <w:pStyle w:val="Heading4"/>
        <w:numPr>
          <w:ilvl w:val="0"/>
          <w:numId w:val="32"/>
        </w:numPr>
      </w:pPr>
      <w:r>
        <w:t>We Decline To Apply The Federal Case Law Cited b</w:t>
      </w:r>
      <w:r>
        <w:t>y Sentinel</w:t>
      </w:r>
    </w:p>
    <w:p w14:paraId="21540200" w14:textId="77777777" w:rsidR="00324F38" w:rsidRDefault="009849E9" w:rsidP="00856D59">
      <w:r>
        <w:t xml:space="preserve">Sentinel claims that “dozens of courts—in California and across the country—have agreed with the superior court that th[e] </w:t>
      </w:r>
      <w:r w:rsidRPr="009C107B">
        <w:rPr>
          <w:i/>
          <w:iCs/>
        </w:rPr>
        <w:t>exact</w:t>
      </w:r>
      <w:r>
        <w:t xml:space="preserve"> ‘Virus Exclusion’ ” found in its Policy “ ‘unambiguously forecloses coverage of . . . alleged losses due to either </w:t>
      </w:r>
      <w:r w:rsidRPr="00583760">
        <w:t>C</w:t>
      </w:r>
      <w:r w:rsidRPr="00583760">
        <w:t>OVID contamination or the</w:t>
      </w:r>
      <w:r>
        <w:t xml:space="preserve"> Closure Orders.’ ”  It claims further that “[t]hese decisions join dozens more that have found that similar ‘virus exclusions clearly and without doubt preclude coverage for the losses and expenses alleged by’ businesses forced to</w:t>
      </w:r>
      <w:r>
        <w:t xml:space="preserve"> shut down due to the coronavirus and related closure orders.”  Half of this argument is correct.  If all we had to do here was apply an absolute, unqualified exclusion, without an affirmative grant of coverage, the body of case law Sentinel relies upon wo</w:t>
      </w:r>
      <w:r>
        <w:t xml:space="preserve">uld likely be dispositive.  But we have more than that.  At oral argument,  Sentinel lowered the number of cases applying the same Limited Fungi or Virus Coverage Endorsement at issue in this case down from “dozens” </w:t>
      </w:r>
      <w:r w:rsidRPr="001D0444">
        <w:t>to seventeen in</w:t>
      </w:r>
      <w:r>
        <w:t xml:space="preserve"> total,</w:t>
      </w:r>
      <w:r>
        <w:rPr>
          <w:rStyle w:val="FootnoteReference"/>
        </w:rPr>
        <w:footnoteReference w:id="21"/>
      </w:r>
      <w:r>
        <w:t xml:space="preserve"> and of those </w:t>
      </w:r>
      <w:r w:rsidRPr="008016AB">
        <w:t xml:space="preserve">cases, </w:t>
      </w:r>
      <w:r>
        <w:t>nine</w:t>
      </w:r>
      <w:r w:rsidRPr="008016AB">
        <w:t xml:space="preserve"> have applied</w:t>
      </w:r>
      <w:r>
        <w:t xml:space="preserve"> California </w:t>
      </w:r>
      <w:r>
        <w:lastRenderedPageBreak/>
        <w:t>insurance coverage law.</w:t>
      </w:r>
      <w:r>
        <w:rPr>
          <w:rStyle w:val="FootnoteReference"/>
        </w:rPr>
        <w:footnoteReference w:id="22"/>
      </w:r>
      <w:r>
        <w:t xml:space="preserve">  This appears to be the body of case law to which Sentinel refers in claiming that “</w:t>
      </w:r>
      <w:r w:rsidRPr="002408E5">
        <w:t>every California court to address</w:t>
      </w:r>
      <w:r>
        <w:t>” the illusory coverage argument made by John’s Grill has rejec</w:t>
      </w:r>
      <w:r>
        <w:t>ted it.  The cases are all non-binding decisions from federal district judges sitting in diversity.</w:t>
      </w:r>
    </w:p>
    <w:p w14:paraId="2EDD720C" w14:textId="77777777" w:rsidR="004F56D2" w:rsidRDefault="009849E9" w:rsidP="009E6526">
      <w:r w:rsidRPr="00383F42">
        <w:t xml:space="preserve">The district judges in the </w:t>
      </w:r>
      <w:r>
        <w:t>nine</w:t>
      </w:r>
      <w:r w:rsidRPr="00383F42">
        <w:t xml:space="preserve"> cases</w:t>
      </w:r>
      <w:r>
        <w:t xml:space="preserve"> applying California law take various analytical routes to rejecting the coverage theory asserted by John’s Grill under</w:t>
      </w:r>
      <w:r>
        <w:t xml:space="preserve"> the Limited Fungi or Virus Coverage Endorsement.  Some of the opinions construe the Policy to </w:t>
      </w:r>
      <w:r w:rsidRPr="00E71A35">
        <w:t>require</w:t>
      </w:r>
      <w:r>
        <w:t xml:space="preserve"> physical alteration of property under the </w:t>
      </w:r>
      <w:r w:rsidRPr="0066120F">
        <w:rPr>
          <w:i/>
        </w:rPr>
        <w:t>Mudpie</w:t>
      </w:r>
      <w:r>
        <w:t xml:space="preserve"> line of cases, </w:t>
      </w:r>
      <w:r w:rsidRPr="00E71A35">
        <w:t xml:space="preserve">thus </w:t>
      </w:r>
      <w:r>
        <w:t xml:space="preserve">in effect </w:t>
      </w:r>
      <w:r w:rsidRPr="00E71A35">
        <w:t xml:space="preserve">giving </w:t>
      </w:r>
      <w:r>
        <w:t xml:space="preserve">the </w:t>
      </w:r>
      <w:r w:rsidRPr="00E71A35">
        <w:t xml:space="preserve">trigger clause </w:t>
      </w:r>
      <w:r>
        <w:t xml:space="preserve">in the Limited Virus Coverage </w:t>
      </w:r>
      <w:r w:rsidRPr="00E71A35">
        <w:t>no greater breadth</w:t>
      </w:r>
      <w:r w:rsidRPr="00E71A35">
        <w:t xml:space="preserve"> than the coverage trigger in the main first</w:t>
      </w:r>
      <w:r>
        <w:t xml:space="preserve"> party coverage grant, and failing to recognize that the special </w:t>
      </w:r>
      <w:r>
        <w:lastRenderedPageBreak/>
        <w:t>definition of “loss or damage” creates ambiguity.</w:t>
      </w:r>
      <w:r>
        <w:rPr>
          <w:rStyle w:val="FootnoteReference"/>
        </w:rPr>
        <w:footnoteReference w:id="23"/>
      </w:r>
      <w:r>
        <w:t xml:space="preserve">  Some say that any conceivable “possibility of coverage” is enough to defeat the illusory cover</w:t>
      </w:r>
      <w:r>
        <w:t xml:space="preserve">age doctrine, either accepting the </w:t>
      </w:r>
      <w:r w:rsidRPr="00BF7343">
        <w:rPr>
          <w:i/>
          <w:iCs/>
        </w:rPr>
        <w:t>Gr</w:t>
      </w:r>
      <w:r>
        <w:rPr>
          <w:i/>
          <w:iCs/>
        </w:rPr>
        <w:t>ie</w:t>
      </w:r>
      <w:r w:rsidRPr="00BF7343">
        <w:rPr>
          <w:i/>
          <w:iCs/>
        </w:rPr>
        <w:t>ss</w:t>
      </w:r>
      <w:r>
        <w:t xml:space="preserve"> case as an example of how the grant of Limited Virus Coverage might be triggered,</w:t>
      </w:r>
      <w:r>
        <w:rPr>
          <w:rStyle w:val="FootnoteReference"/>
        </w:rPr>
        <w:footnoteReference w:id="24"/>
      </w:r>
      <w:r>
        <w:t xml:space="preserve"> or accepting the idea that any potential for coverage for one peril in a multi-peril grant of coverage is enough to show the requi</w:t>
      </w:r>
      <w:r>
        <w:t>site possibility of coverage,</w:t>
      </w:r>
      <w:r>
        <w:rPr>
          <w:rStyle w:val="FootnoteReference"/>
        </w:rPr>
        <w:footnoteReference w:id="25"/>
      </w:r>
      <w:r>
        <w:t xml:space="preserve"> or both</w:t>
      </w:r>
      <w:r w:rsidRPr="00EA05CB">
        <w:t>.  Some complete their coverage analysis by invoking the Virus Exclusion without considering the principle that exclusions are construed narrowly and exceptions to exclusions are construed broadly, and without address</w:t>
      </w:r>
      <w:r w:rsidRPr="00EA05CB">
        <w:t>ing the illusory coverage doctrine at all.</w:t>
      </w:r>
      <w:r>
        <w:rPr>
          <w:rStyle w:val="FootnoteReference"/>
        </w:rPr>
        <w:footnoteReference w:id="26"/>
      </w:r>
      <w:r w:rsidRPr="00EA05CB">
        <w:t xml:space="preserve">  </w:t>
      </w:r>
      <w:r>
        <w:t>And some rule on a combination of these grounds, with most of the cases citing to one another.</w:t>
      </w:r>
      <w:r>
        <w:rPr>
          <w:rStyle w:val="FootnoteReference"/>
        </w:rPr>
        <w:footnoteReference w:id="27"/>
      </w:r>
    </w:p>
    <w:p w14:paraId="006D0B1C" w14:textId="77777777" w:rsidR="00923201" w:rsidRPr="0044120E" w:rsidRDefault="009849E9" w:rsidP="0044120E">
      <w:pPr>
        <w:rPr>
          <w:rFonts w:eastAsia="Times New Roman" w:cs="Times New Roman"/>
          <w:color w:val="000000"/>
        </w:rPr>
      </w:pPr>
      <w:r>
        <w:t xml:space="preserve">We reach a different conclusion at each step of the analysis.  </w:t>
      </w:r>
      <w:r w:rsidRPr="0044120E">
        <w:t xml:space="preserve">We recognize </w:t>
      </w:r>
      <w:r w:rsidRPr="006B6AE0">
        <w:t xml:space="preserve">that the </w:t>
      </w:r>
      <w:r>
        <w:t>nine</w:t>
      </w:r>
      <w:r w:rsidRPr="006B6AE0">
        <w:t xml:space="preserve"> cases Sentinel cites</w:t>
      </w:r>
      <w:r w:rsidRPr="0044120E">
        <w:t xml:space="preserve"> ar</w:t>
      </w:r>
      <w:r w:rsidRPr="0044120E">
        <w:t xml:space="preserve">e in line with </w:t>
      </w:r>
      <w:r>
        <w:t xml:space="preserve">a number of </w:t>
      </w:r>
      <w:r w:rsidRPr="0044120E">
        <w:t xml:space="preserve">federal </w:t>
      </w:r>
      <w:r>
        <w:t>di</w:t>
      </w:r>
      <w:r w:rsidRPr="0044120E">
        <w:t xml:space="preserve">strict court </w:t>
      </w:r>
      <w:r>
        <w:t xml:space="preserve">opinions in diversity </w:t>
      </w:r>
      <w:r w:rsidRPr="0044120E">
        <w:t>cases across the country</w:t>
      </w:r>
      <w:r>
        <w:t xml:space="preserve"> that have applied the same Limited Fungi or Virus Coverage Endorsement form we are dealing with</w:t>
      </w:r>
      <w:r w:rsidRPr="0044120E">
        <w:t xml:space="preserve">, but we </w:t>
      </w:r>
      <w:r>
        <w:t xml:space="preserve">find none of the others any more persuasive than the </w:t>
      </w:r>
      <w:r>
        <w:lastRenderedPageBreak/>
        <w:t>di</w:t>
      </w:r>
      <w:r>
        <w:t xml:space="preserve">versity cases from California.  </w:t>
      </w:r>
      <w:r>
        <w:rPr>
          <w:rFonts w:eastAsia="Times New Roman" w:cs="Times New Roman"/>
          <w:color w:val="000000"/>
        </w:rPr>
        <w:t xml:space="preserve">Rather than deal with all the non-California cases applying the Limited Fungi or Virus Coverage Endorsement form, we will treat one particular case, </w:t>
      </w:r>
      <w:r w:rsidRPr="008818A5">
        <w:rPr>
          <w:rFonts w:eastAsia="Times New Roman" w:cs="Times New Roman"/>
          <w:i/>
          <w:iCs/>
          <w:color w:val="000000"/>
          <w:bdr w:val="none" w:sz="0" w:space="0" w:color="auto" w:frame="1"/>
        </w:rPr>
        <w:t>Cosmetic Laser</w:t>
      </w:r>
      <w:r w:rsidRPr="00673224">
        <w:rPr>
          <w:rFonts w:eastAsia="Times New Roman" w:cs="Times New Roman"/>
          <w:color w:val="000000"/>
          <w:bdr w:val="none" w:sz="0" w:space="0" w:color="auto" w:frame="1"/>
        </w:rPr>
        <w:t>,</w:t>
      </w:r>
      <w:r w:rsidRPr="008818A5">
        <w:rPr>
          <w:rFonts w:eastAsia="Times New Roman" w:cs="Times New Roman"/>
          <w:i/>
          <w:iCs/>
          <w:color w:val="000000"/>
          <w:bdr w:val="none" w:sz="0" w:space="0" w:color="auto" w:frame="1"/>
        </w:rPr>
        <w:t xml:space="preserve"> </w:t>
      </w:r>
      <w:r>
        <w:rPr>
          <w:rFonts w:eastAsia="Times New Roman" w:cs="Times New Roman"/>
          <w:i/>
          <w:iCs/>
          <w:color w:val="000000"/>
          <w:bdr w:val="none" w:sz="0" w:space="0" w:color="auto" w:frame="1"/>
        </w:rPr>
        <w:t>supra</w:t>
      </w:r>
      <w:r w:rsidRPr="00673224">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w:t>
      </w:r>
      <w:r w:rsidRPr="008818A5">
        <w:rPr>
          <w:rFonts w:eastAsia="Times New Roman" w:cs="Times New Roman"/>
          <w:color w:val="000000"/>
        </w:rPr>
        <w:t>554</w:t>
      </w:r>
      <w:r>
        <w:rPr>
          <w:rFonts w:eastAsia="Times New Roman" w:cs="Times New Roman"/>
          <w:color w:val="000000"/>
        </w:rPr>
        <w:t> </w:t>
      </w:r>
      <w:r w:rsidRPr="008818A5">
        <w:rPr>
          <w:rFonts w:eastAsia="Times New Roman" w:cs="Times New Roman"/>
          <w:color w:val="000000"/>
        </w:rPr>
        <w:t>F.Supp.3d 389</w:t>
      </w:r>
      <w:r>
        <w:rPr>
          <w:rFonts w:eastAsia="Times New Roman" w:cs="Times New Roman"/>
          <w:color w:val="000000"/>
        </w:rPr>
        <w:t xml:space="preserve">, as </w:t>
      </w:r>
      <w:r w:rsidRPr="0044120E">
        <w:rPr>
          <w:rFonts w:eastAsia="Times New Roman" w:cs="Times New Roman"/>
          <w:color w:val="000000"/>
        </w:rPr>
        <w:t xml:space="preserve">illustrative because it is </w:t>
      </w:r>
      <w:r w:rsidRPr="00B822C2">
        <w:rPr>
          <w:rFonts w:eastAsia="Times New Roman" w:cs="Times New Roman"/>
          <w:color w:val="000000"/>
        </w:rPr>
        <w:t>one of the more thoroughly reasoned and frequently cited of the cases of its type.  In our view,</w:t>
      </w:r>
      <w:r>
        <w:rPr>
          <w:rFonts w:eastAsia="Times New Roman" w:cs="Times New Roman"/>
          <w:color w:val="000000"/>
        </w:rPr>
        <w:t xml:space="preserve"> </w:t>
      </w:r>
      <w:r w:rsidRPr="00716C9E">
        <w:rPr>
          <w:rFonts w:eastAsia="Times New Roman" w:cs="Times New Roman"/>
          <w:i/>
          <w:iCs/>
          <w:color w:val="000000"/>
        </w:rPr>
        <w:t>Cosmetic Laser</w:t>
      </w:r>
      <w:r>
        <w:rPr>
          <w:rFonts w:eastAsia="Times New Roman" w:cs="Times New Roman"/>
          <w:color w:val="000000"/>
        </w:rPr>
        <w:t xml:space="preserve"> </w:t>
      </w:r>
      <w:r w:rsidRPr="0044120E">
        <w:rPr>
          <w:rFonts w:eastAsia="Times New Roman" w:cs="Times New Roman"/>
          <w:color w:val="000000"/>
        </w:rPr>
        <w:t>highlights</w:t>
      </w:r>
      <w:r>
        <w:rPr>
          <w:rFonts w:eastAsia="Times New Roman" w:cs="Times New Roman"/>
          <w:color w:val="000000"/>
        </w:rPr>
        <w:t xml:space="preserve"> particularly well</w:t>
      </w:r>
      <w:r w:rsidRPr="0044120E">
        <w:rPr>
          <w:rFonts w:eastAsia="Times New Roman" w:cs="Times New Roman"/>
          <w:color w:val="000000"/>
        </w:rPr>
        <w:t xml:space="preserve"> wh</w:t>
      </w:r>
      <w:r>
        <w:rPr>
          <w:rFonts w:eastAsia="Times New Roman" w:cs="Times New Roman"/>
          <w:color w:val="000000"/>
        </w:rPr>
        <w:t>y this vein of precedent cannot be transplanted to California.</w:t>
      </w:r>
    </w:p>
    <w:p w14:paraId="724FCEFE" w14:textId="77777777" w:rsidR="00686EE7" w:rsidRDefault="009849E9" w:rsidP="00FD1735">
      <w:pPr>
        <w:rPr>
          <w:color w:val="000000"/>
          <w:shd w:val="clear" w:color="auto" w:fill="FFFFFF"/>
        </w:rPr>
      </w:pPr>
      <w:r w:rsidRPr="007A5DA9">
        <w:rPr>
          <w:rFonts w:eastAsia="Times New Roman" w:cs="Times New Roman"/>
          <w:color w:val="000000"/>
        </w:rPr>
        <w:t xml:space="preserve">Applying Connecticut </w:t>
      </w:r>
      <w:r>
        <w:rPr>
          <w:rFonts w:eastAsia="Times New Roman" w:cs="Times New Roman"/>
          <w:color w:val="000000"/>
        </w:rPr>
        <w:t>an</w:t>
      </w:r>
      <w:r>
        <w:rPr>
          <w:rFonts w:eastAsia="Times New Roman" w:cs="Times New Roman"/>
          <w:color w:val="000000"/>
        </w:rPr>
        <w:t xml:space="preserve">d Ohio </w:t>
      </w:r>
      <w:r w:rsidRPr="007A5DA9">
        <w:rPr>
          <w:rFonts w:eastAsia="Times New Roman" w:cs="Times New Roman"/>
          <w:color w:val="000000"/>
        </w:rPr>
        <w:t xml:space="preserve">law, </w:t>
      </w:r>
      <w:r>
        <w:rPr>
          <w:rFonts w:eastAsia="Times New Roman" w:cs="Times New Roman"/>
          <w:color w:val="000000"/>
        </w:rPr>
        <w:t xml:space="preserve">the </w:t>
      </w:r>
      <w:r w:rsidRPr="008818A5">
        <w:rPr>
          <w:rFonts w:eastAsia="Times New Roman" w:cs="Times New Roman"/>
          <w:i/>
          <w:iCs/>
          <w:color w:val="000000"/>
          <w:bdr w:val="none" w:sz="0" w:space="0" w:color="auto" w:frame="1"/>
        </w:rPr>
        <w:t>Cosmetic Laser</w:t>
      </w:r>
      <w:r>
        <w:rPr>
          <w:rFonts w:eastAsia="Times New Roman" w:cs="Times New Roman"/>
          <w:color w:val="000000"/>
        </w:rPr>
        <w:t xml:space="preserve"> court </w:t>
      </w:r>
      <w:r w:rsidRPr="007A5DA9">
        <w:rPr>
          <w:rFonts w:eastAsia="Times New Roman" w:cs="Times New Roman"/>
          <w:color w:val="000000"/>
        </w:rPr>
        <w:t>first analyzes</w:t>
      </w:r>
      <w:r>
        <w:t xml:space="preserve"> the Virus Exclusion, </w:t>
      </w:r>
      <w:r w:rsidRPr="007A5DA9">
        <w:t>and finds it</w:t>
      </w:r>
      <w:r>
        <w:t xml:space="preserve">s exclusionary language </w:t>
      </w:r>
      <w:r w:rsidRPr="007A5DA9">
        <w:t>clear and unambiguous</w:t>
      </w:r>
      <w:r>
        <w:t xml:space="preserve">.  </w:t>
      </w:r>
      <w:r w:rsidRPr="0096607D">
        <w:rPr>
          <w:color w:val="000000"/>
        </w:rPr>
        <w:t>(</w:t>
      </w:r>
      <w:r w:rsidRPr="00A86E6C">
        <w:rPr>
          <w:i/>
          <w:iCs/>
          <w:color w:val="000000"/>
        </w:rPr>
        <w:t>Cosmetic Laser</w:t>
      </w:r>
      <w:r>
        <w:rPr>
          <w:color w:val="000000"/>
        </w:rPr>
        <w:t xml:space="preserve">, </w:t>
      </w:r>
      <w:r w:rsidRPr="00A86E6C">
        <w:rPr>
          <w:i/>
          <w:iCs/>
          <w:color w:val="000000"/>
        </w:rPr>
        <w:t>supra</w:t>
      </w:r>
      <w:r>
        <w:rPr>
          <w:color w:val="000000"/>
        </w:rPr>
        <w:t xml:space="preserve">, 554 F.Supp.3d </w:t>
      </w:r>
      <w:r w:rsidRPr="0096607D">
        <w:rPr>
          <w:color w:val="000000"/>
        </w:rPr>
        <w:t>at p.</w:t>
      </w:r>
      <w:r>
        <w:rPr>
          <w:color w:val="000000"/>
        </w:rPr>
        <w:t> </w:t>
      </w:r>
      <w:r w:rsidRPr="009808A6">
        <w:rPr>
          <w:color w:val="000000"/>
        </w:rPr>
        <w:t>401</w:t>
      </w:r>
      <w:r>
        <w:rPr>
          <w:color w:val="000000"/>
        </w:rPr>
        <w:t xml:space="preserve"> &amp; fn. 9</w:t>
      </w:r>
      <w:r w:rsidRPr="009808A6">
        <w:rPr>
          <w:color w:val="000000"/>
        </w:rPr>
        <w:t xml:space="preserve">.) </w:t>
      </w:r>
      <w:r w:rsidRPr="009808A6">
        <w:t xml:space="preserve"> It</w:t>
      </w:r>
      <w:r>
        <w:t xml:space="preserve"> </w:t>
      </w:r>
      <w:r w:rsidRPr="007A5DA9">
        <w:t xml:space="preserve">then goes on to say that the insured’s proposed reading of </w:t>
      </w:r>
      <w:r>
        <w:t>Subparagraph B.1.f.—</w:t>
      </w:r>
      <w:r w:rsidRPr="007A5DA9">
        <w:t xml:space="preserve">the </w:t>
      </w:r>
      <w:r>
        <w:t>Time Element Coverage clause—“</w:t>
      </w:r>
      <w:r w:rsidRPr="009808A6">
        <w:rPr>
          <w:rFonts w:eastAsia="Times New Roman" w:cs="Times New Roman"/>
          <w:color w:val="000000"/>
        </w:rPr>
        <w:t xml:space="preserve">would </w:t>
      </w:r>
      <w:r w:rsidRPr="009808A6">
        <w:rPr>
          <w:rFonts w:eastAsia="Times New Roman" w:cs="Times New Roman"/>
          <w:color w:val="000000"/>
          <w:bdr w:val="none" w:sz="0" w:space="0" w:color="auto" w:frame="1"/>
        </w:rPr>
        <w:t>swallow</w:t>
      </w:r>
      <w:r w:rsidRPr="009808A6">
        <w:rPr>
          <w:rFonts w:eastAsia="Times New Roman" w:cs="Times New Roman"/>
          <w:color w:val="000000"/>
        </w:rPr>
        <w:t xml:space="preserve"> the Virus Exclusion as a whole.”</w:t>
      </w:r>
      <w:r w:rsidRPr="00605D40">
        <w:rPr>
          <w:rFonts w:eastAsia="Times New Roman" w:cs="Times New Roman"/>
          <w:color w:val="000000"/>
        </w:rPr>
        <w:t xml:space="preserve">  </w:t>
      </w:r>
      <w:r w:rsidRPr="007A3DCC">
        <w:rPr>
          <w:rFonts w:eastAsia="Times New Roman" w:cs="Times New Roman"/>
          <w:color w:val="000000"/>
        </w:rPr>
        <w:t>(</w:t>
      </w:r>
      <w:r w:rsidRPr="0069794F">
        <w:rPr>
          <w:rFonts w:eastAsia="Times New Roman" w:cs="Times New Roman"/>
          <w:i/>
          <w:iCs/>
          <w:color w:val="000000"/>
        </w:rPr>
        <w:t>Cosmetic Laser</w:t>
      </w:r>
      <w:r>
        <w:rPr>
          <w:rFonts w:eastAsia="Times New Roman" w:cs="Times New Roman"/>
          <w:color w:val="000000"/>
        </w:rPr>
        <w:t>,</w:t>
      </w:r>
      <w:r w:rsidRPr="007A3DCC">
        <w:rPr>
          <w:rFonts w:eastAsia="Times New Roman" w:cs="Times New Roman"/>
          <w:color w:val="000000"/>
        </w:rPr>
        <w:t xml:space="preserve"> at p. 404.)  The court explains:  “</w:t>
      </w:r>
      <w:r w:rsidRPr="007A3DCC">
        <w:rPr>
          <w:color w:val="000000"/>
        </w:rPr>
        <w:t>The Virus Exclusion begins by firmly statin</w:t>
      </w:r>
      <w:r w:rsidRPr="007A3DCC">
        <w:rPr>
          <w:color w:val="000000"/>
        </w:rPr>
        <w:t>g that loss or damage resulting from a virus ‘is excluded regardless of any other cause or event that contributes concurrently or in any sequence to the loss.’ ”  (</w:t>
      </w:r>
      <w:r w:rsidRPr="007A3DCC">
        <w:rPr>
          <w:i/>
          <w:iCs/>
          <w:color w:val="000000"/>
        </w:rPr>
        <w:t>Ibid</w:t>
      </w:r>
      <w:r w:rsidRPr="007A3DCC">
        <w:rPr>
          <w:color w:val="000000"/>
        </w:rPr>
        <w:t>.)  After observing that “</w:t>
      </w:r>
      <w:r w:rsidRPr="007A3DCC">
        <w:rPr>
          <w:rFonts w:eastAsia="Times New Roman" w:cs="Times New Roman"/>
          <w:color w:val="000000"/>
        </w:rPr>
        <w:t xml:space="preserve">Cosmetic </w:t>
      </w:r>
      <w:r w:rsidRPr="007A3DCC">
        <w:rPr>
          <w:rFonts w:eastAsia="Times New Roman" w:cs="Times New Roman"/>
          <w:color w:val="000000"/>
          <w:bdr w:val="none" w:sz="0" w:space="0" w:color="auto" w:frame="1"/>
        </w:rPr>
        <w:t>Laser’s</w:t>
      </w:r>
      <w:r w:rsidRPr="007A3DCC">
        <w:rPr>
          <w:rFonts w:eastAsia="Times New Roman" w:cs="Times New Roman"/>
          <w:color w:val="000000"/>
        </w:rPr>
        <w:t xml:space="preserve"> interpretation of Subsection B.1.f</w:t>
      </w:r>
      <w:r>
        <w:rPr>
          <w:rFonts w:eastAsia="Times New Roman" w:cs="Times New Roman"/>
          <w:color w:val="000000"/>
        </w:rPr>
        <w:t>.</w:t>
      </w:r>
      <w:r w:rsidRPr="007A3DCC">
        <w:rPr>
          <w:rFonts w:eastAsia="Times New Roman" w:cs="Times New Roman"/>
          <w:color w:val="000000"/>
        </w:rPr>
        <w:t xml:space="preserve"> would con</w:t>
      </w:r>
      <w:r w:rsidRPr="007A3DCC">
        <w:rPr>
          <w:rFonts w:eastAsia="Times New Roman" w:cs="Times New Roman"/>
          <w:color w:val="000000"/>
        </w:rPr>
        <w:t>flict with the function of the Virus Exclusion” (</w:t>
      </w:r>
      <w:r w:rsidRPr="007A3DCC">
        <w:rPr>
          <w:rFonts w:eastAsia="Times New Roman" w:cs="Times New Roman"/>
          <w:i/>
          <w:iCs/>
          <w:color w:val="000000"/>
        </w:rPr>
        <w:t>ibid</w:t>
      </w:r>
      <w:r w:rsidRPr="007A3DCC">
        <w:rPr>
          <w:rFonts w:eastAsia="Times New Roman" w:cs="Times New Roman"/>
          <w:color w:val="000000"/>
        </w:rPr>
        <w:t xml:space="preserve">.), the court concludes as follows: </w:t>
      </w:r>
      <w:r w:rsidRPr="007A3DCC">
        <w:rPr>
          <w:color w:val="000000"/>
        </w:rPr>
        <w:t xml:space="preserve"> “On [the insured’s proposed] reading, </w:t>
      </w:r>
      <w:r w:rsidRPr="007A3DCC">
        <w:rPr>
          <w:i/>
          <w:iCs/>
          <w:color w:val="000000"/>
        </w:rPr>
        <w:t>that same Virus Exclusion</w:t>
      </w:r>
      <w:r w:rsidRPr="007A3DCC">
        <w:rPr>
          <w:color w:val="000000"/>
        </w:rPr>
        <w:t xml:space="preserve">, just one page later, would grant coverage—without limitation—for suspension of business </w:t>
      </w:r>
      <w:r w:rsidRPr="007A3DCC">
        <w:rPr>
          <w:color w:val="000000"/>
        </w:rPr>
        <w:t>operations due to a virus.  I</w:t>
      </w:r>
      <w:r>
        <w:rPr>
          <w:color w:val="000000"/>
        </w:rPr>
        <w:t xml:space="preserve"> </w:t>
      </w:r>
      <w:r w:rsidRPr="007A3DCC">
        <w:rPr>
          <w:color w:val="000000"/>
        </w:rPr>
        <w:t>will not ‘read</w:t>
      </w:r>
      <w:r w:rsidRPr="007A3DCC">
        <w:rPr>
          <w:color w:val="000000"/>
          <w:spacing w:val="20"/>
        </w:rPr>
        <w:t>[</w:t>
      </w:r>
      <w:r w:rsidRPr="007A3DCC">
        <w:rPr>
          <w:color w:val="000000"/>
        </w:rPr>
        <w:t>] the Limited Coverage provision in the Virus Exclusion to subsume the Policy and the exclusion, itsel</w:t>
      </w:r>
      <w:r w:rsidRPr="008F7711">
        <w:rPr>
          <w:color w:val="000000"/>
          <w:spacing w:val="40"/>
        </w:rPr>
        <w:t>f</w:t>
      </w:r>
      <w:r w:rsidRPr="007A3DCC">
        <w:rPr>
          <w:color w:val="000000"/>
        </w:rPr>
        <w:t>’ ”</w:t>
      </w:r>
      <w:r>
        <w:rPr>
          <w:color w:val="000000"/>
        </w:rPr>
        <w:t xml:space="preserve"> (</w:t>
      </w:r>
      <w:r>
        <w:rPr>
          <w:i/>
          <w:iCs/>
          <w:color w:val="000000"/>
        </w:rPr>
        <w:t>i</w:t>
      </w:r>
      <w:r w:rsidRPr="007A3DCC">
        <w:rPr>
          <w:i/>
          <w:iCs/>
          <w:color w:val="000000"/>
        </w:rPr>
        <w:t>bid</w:t>
      </w:r>
      <w:r w:rsidRPr="007A3DCC">
        <w:rPr>
          <w:color w:val="000000"/>
        </w:rPr>
        <w:t>., italics added)</w:t>
      </w:r>
      <w:r>
        <w:rPr>
          <w:color w:val="000000"/>
        </w:rPr>
        <w:t>.</w:t>
      </w:r>
    </w:p>
    <w:p w14:paraId="7AC4CB5A" w14:textId="77777777" w:rsidR="00B25859" w:rsidRDefault="009849E9" w:rsidP="0032772D">
      <w:pPr>
        <w:rPr>
          <w:rFonts w:eastAsia="Times New Roman" w:cs="Times New Roman"/>
          <w:color w:val="000000"/>
        </w:rPr>
      </w:pPr>
      <w:r>
        <w:rPr>
          <w:rFonts w:eastAsia="Times New Roman" w:cs="Times New Roman"/>
          <w:color w:val="000000"/>
        </w:rPr>
        <w:t xml:space="preserve">We have no reason to delve into whether the principles of Connecticut law, Ohio </w:t>
      </w:r>
      <w:r>
        <w:rPr>
          <w:rFonts w:eastAsia="Times New Roman" w:cs="Times New Roman"/>
          <w:color w:val="000000"/>
        </w:rPr>
        <w:t xml:space="preserve">law, and California law are the same.  We also recognize that the insured in </w:t>
      </w:r>
      <w:r w:rsidRPr="007A3DCC">
        <w:rPr>
          <w:rFonts w:eastAsia="Times New Roman" w:cs="Times New Roman"/>
          <w:i/>
          <w:iCs/>
          <w:color w:val="000000"/>
        </w:rPr>
        <w:t>Cosmetic Laser</w:t>
      </w:r>
      <w:r>
        <w:rPr>
          <w:rFonts w:eastAsia="Times New Roman" w:cs="Times New Roman"/>
          <w:color w:val="000000"/>
        </w:rPr>
        <w:t xml:space="preserve"> made different arguments in favor of coverage than John’s Grill does, but t</w:t>
      </w:r>
      <w:r w:rsidRPr="00A22701">
        <w:rPr>
          <w:color w:val="000000"/>
        </w:rPr>
        <w:t xml:space="preserve">hat court’s conflation of the Virus Exclusion and </w:t>
      </w:r>
      <w:r w:rsidRPr="00A22701">
        <w:rPr>
          <w:color w:val="000000"/>
        </w:rPr>
        <w:lastRenderedPageBreak/>
        <w:t>the Limited Virus Coverage grant demons</w:t>
      </w:r>
      <w:r w:rsidRPr="00A22701">
        <w:rPr>
          <w:color w:val="000000"/>
        </w:rPr>
        <w:t xml:space="preserve">trates why a different analysis is required here.  What the </w:t>
      </w:r>
      <w:r w:rsidRPr="00A22701">
        <w:rPr>
          <w:rFonts w:eastAsia="Times New Roman" w:cs="Times New Roman"/>
          <w:i/>
          <w:iCs/>
          <w:color w:val="000000"/>
        </w:rPr>
        <w:t xml:space="preserve">Cosmetic </w:t>
      </w:r>
      <w:r w:rsidRPr="00CF2153">
        <w:rPr>
          <w:rFonts w:eastAsia="Times New Roman" w:cs="Times New Roman"/>
          <w:i/>
          <w:iCs/>
          <w:color w:val="000000"/>
        </w:rPr>
        <w:t>Laser</w:t>
      </w:r>
      <w:r>
        <w:rPr>
          <w:rFonts w:eastAsia="Times New Roman" w:cs="Times New Roman"/>
          <w:color w:val="000000"/>
        </w:rPr>
        <w:t xml:space="preserve"> court perceived as an internal conflict between the Virus Exclusion and the Limited Virus Coverage grant (at least as it was proposed to be construed by the insured there) is easily</w:t>
      </w:r>
      <w:r>
        <w:rPr>
          <w:rFonts w:eastAsia="Times New Roman" w:cs="Times New Roman"/>
          <w:color w:val="000000"/>
        </w:rPr>
        <w:t xml:space="preserve"> resolved under California law by giving primacy to the insuring agreement in the Limited Virus Coverage provisions, broadly read, and dealing with the Virus Exclusion, narrowly read, only after completing the first step of the analysis (since the Virus Ex</w:t>
      </w:r>
      <w:r>
        <w:rPr>
          <w:rFonts w:eastAsia="Times New Roman" w:cs="Times New Roman"/>
          <w:color w:val="000000"/>
        </w:rPr>
        <w:t>clusion is inapplicable by its plain terms wherever there is Limited Virus Coverage).</w:t>
      </w:r>
    </w:p>
    <w:p w14:paraId="6ABA226B" w14:textId="77777777" w:rsidR="0069778C" w:rsidRDefault="009849E9" w:rsidP="007A3DCC">
      <w:r>
        <w:rPr>
          <w:rFonts w:eastAsia="Times New Roman" w:cs="Times New Roman"/>
          <w:color w:val="000000"/>
        </w:rPr>
        <w:t xml:space="preserve">Instead, the </w:t>
      </w:r>
      <w:r w:rsidRPr="00525979">
        <w:rPr>
          <w:rFonts w:eastAsia="Times New Roman" w:cs="Times New Roman"/>
          <w:i/>
          <w:iCs/>
          <w:color w:val="000000"/>
        </w:rPr>
        <w:t>Cosmetic Laser</w:t>
      </w:r>
      <w:r>
        <w:rPr>
          <w:rFonts w:eastAsia="Times New Roman" w:cs="Times New Roman"/>
          <w:color w:val="000000"/>
        </w:rPr>
        <w:t xml:space="preserve"> court gave </w:t>
      </w:r>
      <w:r w:rsidRPr="00A22701">
        <w:rPr>
          <w:rFonts w:eastAsia="Times New Roman" w:cs="Times New Roman"/>
          <w:color w:val="000000"/>
        </w:rPr>
        <w:t xml:space="preserve">primacy to the Virus Exclusion, and went on from there, never </w:t>
      </w:r>
      <w:r>
        <w:rPr>
          <w:rFonts w:eastAsia="Times New Roman" w:cs="Times New Roman"/>
          <w:color w:val="000000"/>
        </w:rPr>
        <w:t xml:space="preserve">directly </w:t>
      </w:r>
      <w:r w:rsidRPr="00A22701">
        <w:rPr>
          <w:rFonts w:eastAsia="Times New Roman" w:cs="Times New Roman"/>
          <w:color w:val="000000"/>
        </w:rPr>
        <w:t xml:space="preserve">addressing the </w:t>
      </w:r>
      <w:r>
        <w:rPr>
          <w:rFonts w:eastAsia="Times New Roman" w:cs="Times New Roman"/>
          <w:color w:val="000000"/>
        </w:rPr>
        <w:t xml:space="preserve">full </w:t>
      </w:r>
      <w:r w:rsidRPr="00A22701">
        <w:rPr>
          <w:rFonts w:eastAsia="Times New Roman" w:cs="Times New Roman"/>
          <w:color w:val="000000"/>
        </w:rPr>
        <w:t>scope of the coverage</w:t>
      </w:r>
      <w:r>
        <w:rPr>
          <w:rFonts w:eastAsia="Times New Roman" w:cs="Times New Roman"/>
          <w:color w:val="000000"/>
          <w:shd w:val="clear" w:color="auto" w:fill="FFFFFF"/>
        </w:rPr>
        <w:t xml:space="preserve"> </w:t>
      </w:r>
      <w:r w:rsidRPr="00A22701">
        <w:rPr>
          <w:rFonts w:eastAsia="Times New Roman" w:cs="Times New Roman"/>
          <w:color w:val="000000"/>
        </w:rPr>
        <w:t>grant in the Limit</w:t>
      </w:r>
      <w:r w:rsidRPr="00A22701">
        <w:rPr>
          <w:rFonts w:eastAsia="Times New Roman" w:cs="Times New Roman"/>
          <w:color w:val="000000"/>
        </w:rPr>
        <w:t>ed Virus Coverage provisions.</w:t>
      </w:r>
      <w:r>
        <w:rPr>
          <w:rFonts w:eastAsia="Times New Roman" w:cs="Times New Roman"/>
          <w:color w:val="000000"/>
        </w:rPr>
        <w:t xml:space="preserve">  </w:t>
      </w:r>
      <w:r>
        <w:t xml:space="preserve">This approach to analyzing the Limited Fungi or Virus Coverage Endorsement—which happens to be the same general approach Sentinel persuaded the trial court to take in this case (probably not coincidentally, since counsel for the insurer in </w:t>
      </w:r>
      <w:r w:rsidRPr="00F96885">
        <w:rPr>
          <w:i/>
          <w:iCs/>
        </w:rPr>
        <w:t>Cosmetic Laser</w:t>
      </w:r>
      <w:r>
        <w:t xml:space="preserve"> i</w:t>
      </w:r>
      <w:r>
        <w:t>s also counsel for Sentinel in this case)—follows the organization of the endorsement itself:  Virus Exclusion first, Specified Causes Clause second, Limited Fungi or Virus Coverage provisions third.  But the layout of the Limited Fungi or Virus Coverage E</w:t>
      </w:r>
      <w:r>
        <w:t xml:space="preserve">ndorsement cannot dictate the proper approach to analyzing coverage.  The legal analysis we must apply is governed by settled principles of insurance contract interpretation, not by the format of the endorsement.  Using the Limited Fungi or Virus Coverage </w:t>
      </w:r>
      <w:r>
        <w:t>Endorsement as a self-contained map to the analysis effectively treats it in isolation from the rest of the Policy, contrary to those principles.</w:t>
      </w:r>
    </w:p>
    <w:p w14:paraId="01C76447" w14:textId="77777777" w:rsidR="0032772D" w:rsidRDefault="009849E9" w:rsidP="0032772D">
      <w:pPr>
        <w:rPr>
          <w:rFonts w:eastAsia="Times New Roman" w:cs="Times New Roman"/>
          <w:color w:val="000000"/>
          <w:shd w:val="clear" w:color="auto" w:fill="FFFFFF"/>
        </w:rPr>
      </w:pPr>
      <w:r w:rsidRPr="008F2938">
        <w:rPr>
          <w:rFonts w:eastAsia="Times New Roman" w:cs="Times New Roman"/>
          <w:color w:val="000000"/>
        </w:rPr>
        <w:t xml:space="preserve">That is not how we proceed in this state.  The sequence of analysis matters.  Because insuring agreements and </w:t>
      </w:r>
      <w:r w:rsidRPr="008F2938">
        <w:rPr>
          <w:rFonts w:eastAsia="Times New Roman" w:cs="Times New Roman"/>
          <w:color w:val="000000"/>
        </w:rPr>
        <w:t xml:space="preserve">exceptions to exclusions are to be </w:t>
      </w:r>
      <w:r w:rsidRPr="008F2938">
        <w:rPr>
          <w:rFonts w:eastAsia="Times New Roman" w:cs="Times New Roman"/>
          <w:color w:val="000000"/>
        </w:rPr>
        <w:lastRenderedPageBreak/>
        <w:t xml:space="preserve">read broadly in favor of coverage, the key question here is not whether the Limited Virus Coverage would swallow the Virus Exclusion, which was </w:t>
      </w:r>
      <w:r>
        <w:rPr>
          <w:rFonts w:eastAsia="Times New Roman" w:cs="Times New Roman"/>
          <w:color w:val="000000"/>
        </w:rPr>
        <w:t>a</w:t>
      </w:r>
      <w:r w:rsidRPr="008F2938">
        <w:rPr>
          <w:rFonts w:eastAsia="Times New Roman" w:cs="Times New Roman"/>
          <w:color w:val="000000"/>
        </w:rPr>
        <w:t xml:space="preserve"> stated concern of the </w:t>
      </w:r>
      <w:r w:rsidRPr="008F2938">
        <w:rPr>
          <w:rFonts w:eastAsia="Times New Roman" w:cs="Times New Roman"/>
          <w:i/>
          <w:color w:val="000000"/>
        </w:rPr>
        <w:t>Cosmetic Laser</w:t>
      </w:r>
      <w:r w:rsidRPr="008F2938">
        <w:rPr>
          <w:rFonts w:eastAsia="Times New Roman" w:cs="Times New Roman"/>
          <w:color w:val="000000"/>
        </w:rPr>
        <w:t xml:space="preserve"> court.  Rather, it is just the opposit</w:t>
      </w:r>
      <w:r w:rsidRPr="008F2938">
        <w:rPr>
          <w:rFonts w:eastAsia="Times New Roman" w:cs="Times New Roman"/>
          <w:color w:val="000000"/>
        </w:rPr>
        <w:t>e.  Under California law we are concerned with giving an affirmative grant of coverage its fullest reach, in accord with its text and structure, while bearing in mind that ambiguities must be resolved in accordance with the reasonable expectations of the i</w:t>
      </w:r>
      <w:r w:rsidRPr="008F2938">
        <w:rPr>
          <w:rFonts w:eastAsia="Times New Roman" w:cs="Times New Roman"/>
          <w:color w:val="000000"/>
        </w:rPr>
        <w:t>nsured.  The applicability of the Virus Exclusion may be determined only after that threshold question is answered, keeping in mind the exclusion is to be given narrow scope.</w:t>
      </w:r>
    </w:p>
    <w:p w14:paraId="595E9F81" w14:textId="77777777" w:rsidR="00D92215" w:rsidRPr="00325809" w:rsidRDefault="009849E9" w:rsidP="0009332B">
      <w:pPr>
        <w:pStyle w:val="Heading1"/>
      </w:pPr>
      <w:r w:rsidRPr="00325809">
        <w:t>DISPOSITION</w:t>
      </w:r>
    </w:p>
    <w:p w14:paraId="1E19FC0C" w14:textId="77777777" w:rsidR="00EC24E2" w:rsidRDefault="009849E9" w:rsidP="004F113E">
      <w:pPr>
        <w:keepNext/>
        <w:rPr>
          <w:rFonts w:cs="Times New Roman"/>
        </w:rPr>
      </w:pPr>
      <w:r>
        <w:t>The judgment is affirmed in part (as to HFSG) and reversed in part (a</w:t>
      </w:r>
      <w:r>
        <w:t>s to Sentinel) and remanded for further proceedings, if any are warranted following the reported settlement.  The parties are to bear their own costs on appeal.</w:t>
      </w:r>
    </w:p>
    <w:p w14:paraId="65E71D37" w14:textId="77777777" w:rsidR="006B3038" w:rsidRDefault="009849E9" w:rsidP="009E7801">
      <w:pPr>
        <w:keepNext/>
        <w:keepLines/>
        <w:tabs>
          <w:tab w:val="left" w:pos="6120"/>
        </w:tabs>
        <w:spacing w:line="240" w:lineRule="auto"/>
        <w:ind w:firstLine="0"/>
      </w:pPr>
      <w:r>
        <w:tab/>
        <w:t>STREETER, J.</w:t>
      </w:r>
    </w:p>
    <w:p w14:paraId="6E58C468" w14:textId="77777777" w:rsidR="006B3038" w:rsidRDefault="009849E9" w:rsidP="00E712B9">
      <w:pPr>
        <w:tabs>
          <w:tab w:val="left" w:pos="1620"/>
        </w:tabs>
        <w:spacing w:before="240" w:after="240" w:line="240" w:lineRule="auto"/>
        <w:ind w:firstLine="0"/>
      </w:pPr>
      <w:r>
        <w:t>WE CONCUR:</w:t>
      </w:r>
    </w:p>
    <w:p w14:paraId="5E73CC88" w14:textId="77777777" w:rsidR="006B3038" w:rsidRDefault="009849E9" w:rsidP="00E712B9">
      <w:pPr>
        <w:tabs>
          <w:tab w:val="left" w:pos="1620"/>
        </w:tabs>
        <w:spacing w:line="240" w:lineRule="auto"/>
        <w:ind w:firstLine="0"/>
      </w:pPr>
      <w:r>
        <w:t>POLLAK, P. J.</w:t>
      </w:r>
    </w:p>
    <w:p w14:paraId="1B7A55E6" w14:textId="77777777" w:rsidR="006B3038" w:rsidRDefault="009849E9" w:rsidP="00E712B9">
      <w:pPr>
        <w:tabs>
          <w:tab w:val="left" w:pos="1620"/>
        </w:tabs>
        <w:spacing w:line="240" w:lineRule="auto"/>
        <w:ind w:firstLine="0"/>
      </w:pPr>
      <w:r>
        <w:t>GOLDMAN, J.</w:t>
      </w:r>
    </w:p>
    <w:p w14:paraId="3F3E1FE3" w14:textId="77777777" w:rsidR="006B3038" w:rsidRDefault="006B3038">
      <w:pPr>
        <w:ind w:firstLine="0"/>
        <w:rPr>
          <w:rFonts w:cs="Times New Roman"/>
        </w:rPr>
        <w:sectPr w:rsidR="006B3038" w:rsidSect="004F4BD9">
          <w:pgSz w:w="12240" w:h="15840"/>
          <w:pgMar w:top="1440" w:right="1440" w:bottom="1440" w:left="1440" w:header="720" w:footer="720" w:gutter="0"/>
          <w:pgNumType w:start="1"/>
          <w:cols w:space="720"/>
          <w:docGrid w:linePitch="360"/>
        </w:sectPr>
      </w:pPr>
    </w:p>
    <w:p w14:paraId="4D5A1E4E" w14:textId="77777777" w:rsidR="00DA3736" w:rsidRPr="00E40344" w:rsidRDefault="009849E9" w:rsidP="008A4DDA">
      <w:pPr>
        <w:tabs>
          <w:tab w:val="left" w:pos="1620"/>
        </w:tabs>
        <w:spacing w:after="240" w:line="240" w:lineRule="auto"/>
        <w:ind w:left="2340" w:hanging="2340"/>
      </w:pPr>
      <w:r w:rsidRPr="00E40344">
        <w:lastRenderedPageBreak/>
        <w:t>Trial Court:</w:t>
      </w:r>
      <w:r w:rsidRPr="00E40344">
        <w:tab/>
      </w:r>
      <w:r w:rsidRPr="00DA3736">
        <w:t xml:space="preserve">Superior </w:t>
      </w:r>
      <w:r w:rsidRPr="00DA3736">
        <w:t>Court of California, County of San</w:t>
      </w:r>
      <w:r>
        <w:t xml:space="preserve"> Francisco</w:t>
      </w:r>
    </w:p>
    <w:p w14:paraId="1549842F" w14:textId="77777777" w:rsidR="00DA3736" w:rsidRPr="00E40344" w:rsidRDefault="009849E9" w:rsidP="008A4DDA">
      <w:pPr>
        <w:tabs>
          <w:tab w:val="left" w:pos="1620"/>
        </w:tabs>
        <w:spacing w:after="240" w:line="240" w:lineRule="auto"/>
        <w:ind w:left="2340" w:hanging="2340"/>
      </w:pPr>
      <w:r w:rsidRPr="00E40344">
        <w:t>Trial Judge:</w:t>
      </w:r>
      <w:r w:rsidRPr="00E40344">
        <w:tab/>
        <w:t>Hon</w:t>
      </w:r>
      <w:r>
        <w:t>. Ethan P. Schulman</w:t>
      </w:r>
    </w:p>
    <w:p w14:paraId="4060BD7D" w14:textId="77777777" w:rsidR="00DA3736" w:rsidRPr="00E5627B" w:rsidRDefault="009849E9" w:rsidP="008A4DDA">
      <w:pPr>
        <w:tabs>
          <w:tab w:val="left" w:pos="1620"/>
        </w:tabs>
        <w:spacing w:line="240" w:lineRule="auto"/>
        <w:ind w:left="1980" w:hanging="1980"/>
      </w:pPr>
      <w:r w:rsidRPr="00E40344">
        <w:t>Counsel:</w:t>
      </w:r>
      <w:r w:rsidRPr="00E40344">
        <w:tab/>
      </w:r>
      <w:r>
        <w:t xml:space="preserve">Cotchett, Pitre &amp; McCarthy, Nanci E. Nishimura, Brian Danitz, Andrew F. Kirtley, Julia Q. Peng, </w:t>
      </w:r>
      <w:r w:rsidRPr="00E5627B">
        <w:t>for</w:t>
      </w:r>
      <w:r>
        <w:t xml:space="preserve"> </w:t>
      </w:r>
      <w:r w:rsidRPr="00E5627B">
        <w:t>Plaintiffs and Appellants.</w:t>
      </w:r>
    </w:p>
    <w:p w14:paraId="5A524A03" w14:textId="77777777" w:rsidR="00DA3736" w:rsidRPr="00E5627B" w:rsidRDefault="00DA3736" w:rsidP="008A4DDA">
      <w:pPr>
        <w:tabs>
          <w:tab w:val="left" w:pos="1620"/>
        </w:tabs>
        <w:spacing w:line="240" w:lineRule="auto"/>
        <w:ind w:left="1980" w:hanging="1980"/>
      </w:pPr>
    </w:p>
    <w:p w14:paraId="21EE3A9F" w14:textId="77777777" w:rsidR="00D13F7E" w:rsidRDefault="009849E9" w:rsidP="00F80798">
      <w:pPr>
        <w:tabs>
          <w:tab w:val="left" w:pos="1620"/>
        </w:tabs>
        <w:spacing w:line="240" w:lineRule="auto"/>
        <w:ind w:left="1980" w:hanging="1980"/>
        <w:rPr>
          <w:rFonts w:cs="Times New Roman"/>
        </w:rPr>
      </w:pPr>
      <w:r w:rsidRPr="00E5627B">
        <w:tab/>
      </w:r>
      <w:r w:rsidRPr="00C77DB6">
        <w:t>S</w:t>
      </w:r>
      <w:r>
        <w:t>teptoe &amp; Johnson, Anthony J. Anscomb</w:t>
      </w:r>
      <w:r>
        <w:t>e;</w:t>
      </w:r>
      <w:r w:rsidRPr="00C77DB6">
        <w:t xml:space="preserve"> </w:t>
      </w:r>
      <w:r>
        <w:t xml:space="preserve">Wiggin and Dana, Tadhg Dooley, David R. Roth, </w:t>
      </w:r>
      <w:r w:rsidRPr="00E5627B">
        <w:t>for Defendants</w:t>
      </w:r>
      <w:r w:rsidRPr="004B4A1E">
        <w:t xml:space="preserve"> </w:t>
      </w:r>
      <w:r>
        <w:t xml:space="preserve">and </w:t>
      </w:r>
      <w:r w:rsidRPr="004B4A1E">
        <w:t>Respondent</w:t>
      </w:r>
      <w:r>
        <w:t>s</w:t>
      </w:r>
      <w:r w:rsidRPr="004B4A1E">
        <w:t>.</w:t>
      </w:r>
    </w:p>
    <w:sectPr w:rsidR="00D13F7E" w:rsidSect="007444E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84DB" w14:textId="77777777" w:rsidR="00000000" w:rsidRDefault="009849E9">
      <w:pPr>
        <w:spacing w:line="240" w:lineRule="auto"/>
      </w:pPr>
      <w:r>
        <w:separator/>
      </w:r>
    </w:p>
  </w:endnote>
  <w:endnote w:type="continuationSeparator" w:id="0">
    <w:p w14:paraId="2494D597" w14:textId="77777777" w:rsidR="00000000" w:rsidRDefault="00984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ArialMT">
    <w:altName w:val="Arial"/>
    <w:charset w:val="00"/>
    <w:family w:val="roman"/>
    <w:pitch w:val="default"/>
    <w:sig w:usb0="00000003" w:usb1="00000000" w:usb2="00000000" w:usb3="00000000" w:csb0="00000001" w:csb1="00000000"/>
  </w:font>
  <w:font w:name="Arial-BoldMT">
    <w:altName w:val="Arial"/>
    <w:charset w:val="00"/>
    <w:family w:val="swiss"/>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07F6" w14:textId="77777777" w:rsidR="004F4BD9" w:rsidRDefault="009849E9" w:rsidP="00E325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672896" w14:textId="77777777" w:rsidR="004F4BD9" w:rsidRDefault="004F4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41939"/>
      <w:docPartObj>
        <w:docPartGallery w:val="Page Numbers (Bottom of Page)"/>
        <w:docPartUnique/>
      </w:docPartObj>
    </w:sdtPr>
    <w:sdtEndPr>
      <w:rPr>
        <w:noProof/>
      </w:rPr>
    </w:sdtEndPr>
    <w:sdtContent>
      <w:p w14:paraId="484232E2" w14:textId="77777777" w:rsidR="004F4BD9" w:rsidRDefault="009849E9" w:rsidP="001027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7052" w14:textId="77777777" w:rsidR="00865119" w:rsidRDefault="008651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190405"/>
      <w:docPartObj>
        <w:docPartGallery w:val="Page Numbers (Bottom of Page)"/>
        <w:docPartUnique/>
      </w:docPartObj>
    </w:sdtPr>
    <w:sdtEndPr>
      <w:rPr>
        <w:noProof/>
      </w:rPr>
    </w:sdtEndPr>
    <w:sdtContent>
      <w:p w14:paraId="7B4FDB5F" w14:textId="77777777" w:rsidR="00E14808" w:rsidRDefault="009849E9" w:rsidP="00E2772A">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B6D9" w14:textId="77777777" w:rsidR="00865119" w:rsidRDefault="008651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375B" w14:textId="77777777" w:rsidR="00E14808" w:rsidRPr="00EA2738" w:rsidRDefault="009849E9" w:rsidP="00AC6AE7">
    <w:pPr>
      <w:pStyle w:val="Footer"/>
      <w:tabs>
        <w:tab w:val="clear" w:pos="720"/>
      </w:tabs>
      <w:ind w:firstLine="0"/>
      <w:rPr>
        <w:sz w:val="20"/>
        <w:szCs w:val="20"/>
      </w:rPr>
    </w:pPr>
    <w:r w:rsidRPr="00EA2738">
      <w:rPr>
        <w:i/>
        <w:iCs/>
        <w:sz w:val="20"/>
        <w:szCs w:val="20"/>
      </w:rPr>
      <w:t>John’s Grill, Inc., et al. v. The Hartford Financial Services Group, Inc., et al.</w:t>
    </w:r>
    <w:r w:rsidRPr="00EA2738">
      <w:rPr>
        <w:sz w:val="20"/>
        <w:szCs w:val="20"/>
      </w:rPr>
      <w:t xml:space="preserve"> - A162709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A2B0" w14:textId="77777777" w:rsidR="00A47156" w:rsidRDefault="009849E9" w:rsidP="003B2BC2">
      <w:pPr>
        <w:spacing w:line="240" w:lineRule="auto"/>
        <w:ind w:firstLine="0"/>
      </w:pPr>
      <w:r>
        <w:separator/>
      </w:r>
    </w:p>
  </w:footnote>
  <w:footnote w:type="continuationSeparator" w:id="0">
    <w:p w14:paraId="576D9E91" w14:textId="77777777" w:rsidR="00A47156" w:rsidRDefault="009849E9" w:rsidP="003B2BC2">
      <w:pPr>
        <w:spacing w:line="240" w:lineRule="auto"/>
        <w:ind w:firstLine="0"/>
      </w:pPr>
      <w:r>
        <w:continuationSeparator/>
      </w:r>
    </w:p>
  </w:footnote>
  <w:footnote w:type="continuationNotice" w:id="1">
    <w:p w14:paraId="0C84F575" w14:textId="77777777" w:rsidR="00A47156" w:rsidRDefault="009849E9">
      <w:pPr>
        <w:spacing w:line="240" w:lineRule="auto"/>
      </w:pPr>
    </w:p>
  </w:footnote>
  <w:footnote w:id="2">
    <w:p w14:paraId="3CFF9D29" w14:textId="77777777" w:rsidR="004F4BD9" w:rsidRDefault="009849E9" w:rsidP="004F4BD9">
      <w:pPr>
        <w:pStyle w:val="FootnoteText"/>
      </w:pPr>
      <w:r>
        <w:rPr>
          <w:rStyle w:val="FootnoteReference"/>
        </w:rPr>
        <w:t>*</w:t>
      </w:r>
      <w:r>
        <w:t xml:space="preserve"> Pursuant to California Rules of Court, rules 8.1105(b) and 8.1110, this </w:t>
      </w:r>
      <w:r w:rsidRPr="00CE7984">
        <w:t>opinion is certified for publication with the exception of part II.</w:t>
      </w:r>
      <w:r>
        <w:t>A</w:t>
      </w:r>
      <w:r w:rsidRPr="00CE7984">
        <w:t>.</w:t>
      </w:r>
    </w:p>
  </w:footnote>
  <w:footnote w:id="3">
    <w:p w14:paraId="3BED94BA" w14:textId="77777777" w:rsidR="00C20594" w:rsidRDefault="009849E9" w:rsidP="00AE0E1B">
      <w:pPr>
        <w:pStyle w:val="FootnoteText"/>
        <w:spacing w:after="0"/>
      </w:pPr>
      <w:r>
        <w:rPr>
          <w:rStyle w:val="FootnoteReference"/>
        </w:rPr>
        <w:t>*</w:t>
      </w:r>
      <w:r>
        <w:t xml:space="preserve"> Pursuant to California Rules of Court, rules 8.1105(b) and 8.1110, this opinion is certified for publication wi</w:t>
      </w:r>
      <w:r>
        <w:t xml:space="preserve">th </w:t>
      </w:r>
      <w:r w:rsidRPr="00A26F3C">
        <w:t>the exception of part II.A.</w:t>
      </w:r>
    </w:p>
  </w:footnote>
  <w:footnote w:id="4">
    <w:p w14:paraId="246F6FED" w14:textId="77777777" w:rsidR="009E1CAE" w:rsidRDefault="009849E9">
      <w:pPr>
        <w:pStyle w:val="FootnoteText"/>
      </w:pPr>
      <w:r>
        <w:rPr>
          <w:rStyle w:val="FootnoteReference"/>
        </w:rPr>
        <w:footnoteRef/>
      </w:r>
      <w:r>
        <w:t xml:space="preserve"> These modifications, set forth in an endorsement entitled “Super Stretch for Restaurants,” apply specifically to the Special Property Coverage Form.</w:t>
      </w:r>
    </w:p>
  </w:footnote>
  <w:footnote w:id="5">
    <w:p w14:paraId="62258E18" w14:textId="77777777" w:rsidR="00735C5C" w:rsidRDefault="009849E9" w:rsidP="00735C5C">
      <w:pPr>
        <w:pStyle w:val="FootnoteText"/>
      </w:pPr>
      <w:r>
        <w:rPr>
          <w:rStyle w:val="FootnoteReference"/>
        </w:rPr>
        <w:footnoteRef/>
      </w:r>
      <w:r>
        <w:t xml:space="preserve"> An endorsement entitled “Perils Specifically Excepted” provides that, “</w:t>
      </w:r>
      <w:r w:rsidRPr="004132C1">
        <w:t>A</w:t>
      </w:r>
      <w:r w:rsidRPr="004132C1">
        <w:t xml:space="preserve">s used herein, </w:t>
      </w:r>
      <w:r>
        <w:t>‘</w:t>
      </w:r>
      <w:r w:rsidRPr="004132C1">
        <w:t>Peril</w:t>
      </w:r>
      <w:r>
        <w:t>’</w:t>
      </w:r>
      <w:r w:rsidRPr="004132C1">
        <w:t xml:space="preserve"> means a cause of physical loss or damage to property.</w:t>
      </w:r>
      <w:r>
        <w:t>”  Paragraphs A and B of the endorsement go on to list a series of “excepted” “Perils.”  And Paragraph B of the Special Property Coverage Form sets forth a list of exclusions.</w:t>
      </w:r>
    </w:p>
  </w:footnote>
  <w:footnote w:id="6">
    <w:p w14:paraId="55C914FF" w14:textId="77777777" w:rsidR="003E4191" w:rsidRDefault="009849E9">
      <w:pPr>
        <w:pStyle w:val="FootnoteText"/>
      </w:pPr>
      <w:r>
        <w:rPr>
          <w:rStyle w:val="FootnoteReference"/>
        </w:rPr>
        <w:footnoteRef/>
      </w:r>
      <w:r>
        <w:t xml:space="preserve"> Se</w:t>
      </w:r>
      <w:r>
        <w:t xml:space="preserve">ntinel, not HFSG, is the insurer named on the Policy, but in its opposition to </w:t>
      </w:r>
      <w:r w:rsidRPr="00DD46E8">
        <w:t>HFSG’s motion to quash, John’s Grill argued the Policy was drafted and sold by The Hartford (the trade name that is commonly used for HFSG).  John’s Grill had also named as a de</w:t>
      </w:r>
      <w:r w:rsidRPr="00DD46E8">
        <w:t>fendant Norbay Insurance Services, Inc</w:t>
      </w:r>
      <w:r>
        <w:t>., the insurance broker that sold the Policy to it.  The trial court dismissed Norbay from the case in March 2021.  John’s Grill does not appeal this dismissal.</w:t>
      </w:r>
    </w:p>
  </w:footnote>
  <w:footnote w:id="7">
    <w:p w14:paraId="1E375228" w14:textId="77777777" w:rsidR="005A6D11" w:rsidRDefault="009849E9">
      <w:pPr>
        <w:pStyle w:val="FootnoteText"/>
      </w:pPr>
      <w:r>
        <w:rPr>
          <w:rStyle w:val="FootnoteReference"/>
        </w:rPr>
        <w:footnoteRef/>
      </w:r>
      <w:r>
        <w:t xml:space="preserve"> In its motion to quash, HFSG argued that the court lack</w:t>
      </w:r>
      <w:r>
        <w:t>ed both general jurisdiction and specific jurisdiction.  In its opposition and opening brief on appeal, John’s Grill only argues that specific jurisdiction exists over HFSG.  John’s Grill does not dispute that the court lacks general jurisdiction.</w:t>
      </w:r>
    </w:p>
  </w:footnote>
  <w:footnote w:id="8">
    <w:p w14:paraId="4B578200" w14:textId="77777777" w:rsidR="009A0DF1" w:rsidRDefault="009849E9" w:rsidP="00EF19CB">
      <w:pPr>
        <w:spacing w:after="120" w:line="240" w:lineRule="auto"/>
      </w:pPr>
      <w:r>
        <w:rPr>
          <w:rStyle w:val="FootnoteReference"/>
        </w:rPr>
        <w:footnoteRef/>
      </w:r>
      <w:r>
        <w:t xml:space="preserve"> John’s</w:t>
      </w:r>
      <w:r>
        <w:t xml:space="preserve"> Grill alleges that the </w:t>
      </w:r>
      <w:r w:rsidRPr="00795E7C">
        <w:t>Lost Business Income and Extra Expense coverages may be found at</w:t>
      </w:r>
      <w:r>
        <w:t xml:space="preserve"> </w:t>
      </w:r>
      <w:r w:rsidRPr="008C1794">
        <w:t>Subparagraphs A.5.o. and A</w:t>
      </w:r>
      <w:r w:rsidRPr="003E6135">
        <w:t>.5.q. of</w:t>
      </w:r>
      <w:r>
        <w:t xml:space="preserve"> the Special Property Coverage Form.  But the Policy itself—which is attached to and incorporated in the operative complaint—shows th</w:t>
      </w:r>
      <w:r>
        <w:t>at these provisions were replaced by an endorsement titled “Actual Loss Sustained Business Income &amp; Extra Expense—Specified Limit Coverage.”  Absent this modifying change, the business interruption coverage provided by the Special Property Coverage Form wa</w:t>
      </w:r>
      <w:r>
        <w:t>s “</w:t>
      </w:r>
      <w:r w:rsidRPr="00583F7A">
        <w:t>not subject to the Limits of Insurance</w:t>
      </w:r>
      <w:r>
        <w:t>” stated in the Declarations.  (See Subparagraph A.5.o.; see also Subparagraph A.5.p.(3)(c).</w:t>
      </w:r>
      <w:r w:rsidRPr="0072084A">
        <w:t>ii</w:t>
      </w:r>
      <w:r>
        <w:t>. [same for Extra Expenses].</w:t>
      </w:r>
      <w:r w:rsidRPr="0072084A">
        <w:t>)</w:t>
      </w:r>
      <w:r>
        <w:t xml:space="preserve">  Effectively, the applicable limit was temporal:  Lost Business Income and Extra Expense lo</w:t>
      </w:r>
      <w:r>
        <w:t>sses occurring “within 12 consecutive months after the date of direct physical loss or physical damage” and within 24 months after the inception of the Policy were covered.</w:t>
      </w:r>
    </w:p>
    <w:p w14:paraId="7723200D" w14:textId="77777777" w:rsidR="00D54B83" w:rsidRDefault="009849E9" w:rsidP="00D54B83">
      <w:pPr>
        <w:spacing w:line="240" w:lineRule="auto"/>
      </w:pPr>
      <w:r>
        <w:t>The language of the Lost Business Income and Extra Expense Endorsement tracks the o</w:t>
      </w:r>
      <w:r>
        <w:t xml:space="preserve">riginal form </w:t>
      </w:r>
      <w:r w:rsidRPr="00E658E6">
        <w:t xml:space="preserve">language </w:t>
      </w:r>
      <w:r w:rsidRPr="00346C44">
        <w:t xml:space="preserve">in </w:t>
      </w:r>
      <w:r>
        <w:t>Subp</w:t>
      </w:r>
      <w:r w:rsidRPr="00346C44">
        <w:t>aragraphs A.5.o. and A.5.q. of the Special Property Coverage Form, but modifies it by adding a “Specified Limit” ($50,000</w:t>
      </w:r>
      <w:r w:rsidRPr="00E658E6">
        <w:t xml:space="preserve"> per occurrence and $4,000,000 total) indicated in the Declarations summary.  The fact that the replacement language is virtually identical to the original form language presumably explains why in the main briefs none of the parties draws attention to it. </w:t>
      </w:r>
      <w:r w:rsidRPr="00E658E6">
        <w:t xml:space="preserve"> In a supplemental</w:t>
      </w:r>
      <w:r>
        <w:t xml:space="preserve"> briefing order, we asked the parties to address the Lost Business Income and Extra Expense Endorsement, among other things.  The supplemental briefs confirm that, while the parties disagree about whether John’s Grill’s claim in this case</w:t>
      </w:r>
      <w:r>
        <w:t xml:space="preserve"> is covered under any provisions of the Policy, there is no dispute that John’s Grill seeks coverage in this case under the Lost Business Income and Extra Expense Endorsement, not under Subparagraphs A.5.o. and A.5.q. of the Special Property Coverage Form.</w:t>
      </w:r>
    </w:p>
  </w:footnote>
  <w:footnote w:id="9">
    <w:p w14:paraId="19917BB3" w14:textId="77777777" w:rsidR="00605D40" w:rsidRPr="00CE296B" w:rsidRDefault="009849E9" w:rsidP="006B737C">
      <w:pPr>
        <w:pStyle w:val="NormalWeb"/>
        <w:spacing w:before="0" w:beforeAutospacing="0" w:after="0" w:afterAutospacing="0"/>
        <w:ind w:firstLine="720"/>
        <w:textAlignment w:val="baseline"/>
        <w:rPr>
          <w:rFonts w:ascii="Century Schoolbook" w:hAnsi="Century Schoolbook"/>
          <w:sz w:val="26"/>
          <w:szCs w:val="26"/>
        </w:rPr>
      </w:pPr>
      <w:r w:rsidRPr="00CE296B">
        <w:rPr>
          <w:rStyle w:val="FootnoteReference"/>
          <w:rFonts w:ascii="Century Schoolbook" w:hAnsi="Century Schoolbook"/>
          <w:sz w:val="26"/>
          <w:szCs w:val="26"/>
        </w:rPr>
        <w:footnoteRef/>
      </w:r>
      <w:r w:rsidRPr="00CE296B">
        <w:rPr>
          <w:rFonts w:ascii="Century Schoolbook" w:hAnsi="Century Schoolbook"/>
          <w:sz w:val="26"/>
          <w:szCs w:val="26"/>
        </w:rPr>
        <w:t xml:space="preserve"> The </w:t>
      </w:r>
      <w:r w:rsidRPr="00CE296B">
        <w:rPr>
          <w:rFonts w:ascii="Century Schoolbook" w:hAnsi="Century Schoolbook"/>
          <w:i/>
          <w:sz w:val="26"/>
          <w:szCs w:val="26"/>
        </w:rPr>
        <w:t>Mudpie</w:t>
      </w:r>
      <w:r w:rsidRPr="00CE296B">
        <w:rPr>
          <w:rFonts w:ascii="Century Schoolbook" w:hAnsi="Century Schoolbook"/>
          <w:sz w:val="26"/>
          <w:szCs w:val="26"/>
        </w:rPr>
        <w:t xml:space="preserve"> line of cases applying California law is consistent with a nearly uniform trend across the country, primarily in federal diversity cases.  </w:t>
      </w:r>
      <w:r>
        <w:rPr>
          <w:rFonts w:ascii="Century Schoolbook" w:hAnsi="Century Schoolbook"/>
          <w:sz w:val="26"/>
          <w:szCs w:val="26"/>
        </w:rPr>
        <w:t>(</w:t>
      </w:r>
      <w:r w:rsidRPr="00CE296B">
        <w:rPr>
          <w:rFonts w:ascii="Century Schoolbook" w:hAnsi="Century Schoolbook" w:cs="TimesNewRomanPSMT"/>
          <w:sz w:val="26"/>
          <w:szCs w:val="26"/>
        </w:rPr>
        <w:t xml:space="preserve">See, e.g., </w:t>
      </w:r>
      <w:r w:rsidRPr="00CE296B">
        <w:rPr>
          <w:rFonts w:ascii="Century Schoolbook" w:hAnsi="Century Schoolbook" w:cs="Calibri"/>
          <w:i/>
          <w:color w:val="000000"/>
          <w:sz w:val="26"/>
          <w:szCs w:val="26"/>
          <w:bdr w:val="none" w:sz="0" w:space="0" w:color="auto" w:frame="1"/>
        </w:rPr>
        <w:t>Q Clothier New Orleans v. Twin City Fire Ins.</w:t>
      </w:r>
      <w:r w:rsidRPr="00CE296B">
        <w:rPr>
          <w:rFonts w:ascii="Century Schoolbook" w:hAnsi="Century Schoolbook" w:cs="Calibri"/>
          <w:color w:val="000000"/>
          <w:sz w:val="26"/>
          <w:szCs w:val="26"/>
        </w:rPr>
        <w:t xml:space="preserve"> (5th Cir. 2022) 29 F.4th 252, 259; </w:t>
      </w:r>
      <w:r w:rsidRPr="00CE296B">
        <w:rPr>
          <w:rFonts w:ascii="Century Schoolbook" w:hAnsi="Century Schoolbook" w:cs="Calibri"/>
          <w:i/>
          <w:color w:val="000000"/>
          <w:sz w:val="26"/>
          <w:szCs w:val="26"/>
          <w:bdr w:val="none" w:sz="0" w:space="0" w:color="auto" w:frame="1"/>
        </w:rPr>
        <w:t>Uncork &amp; C</w:t>
      </w:r>
      <w:r w:rsidRPr="00CE296B">
        <w:rPr>
          <w:rFonts w:ascii="Century Schoolbook" w:hAnsi="Century Schoolbook" w:cs="Calibri"/>
          <w:i/>
          <w:color w:val="000000"/>
          <w:sz w:val="26"/>
          <w:szCs w:val="26"/>
          <w:bdr w:val="none" w:sz="0" w:space="0" w:color="auto" w:frame="1"/>
        </w:rPr>
        <w:t>reate LLC v. Cincinnati Ins</w:t>
      </w:r>
      <w:r>
        <w:rPr>
          <w:rFonts w:ascii="Century Schoolbook" w:hAnsi="Century Schoolbook" w:cs="Calibri"/>
          <w:i/>
          <w:color w:val="000000"/>
          <w:sz w:val="26"/>
          <w:szCs w:val="26"/>
          <w:bdr w:val="none" w:sz="0" w:space="0" w:color="auto" w:frame="1"/>
        </w:rPr>
        <w:t>.</w:t>
      </w:r>
      <w:r w:rsidRPr="00CE296B">
        <w:rPr>
          <w:rFonts w:ascii="Century Schoolbook" w:hAnsi="Century Schoolbook" w:cs="Calibri"/>
          <w:i/>
          <w:color w:val="000000"/>
          <w:sz w:val="26"/>
          <w:szCs w:val="26"/>
          <w:bdr w:val="none" w:sz="0" w:space="0" w:color="auto" w:frame="1"/>
        </w:rPr>
        <w:t xml:space="preserve"> Co.</w:t>
      </w:r>
      <w:r w:rsidRPr="00CE296B">
        <w:rPr>
          <w:rFonts w:ascii="Century Schoolbook" w:hAnsi="Century Schoolbook" w:cs="Calibri"/>
          <w:color w:val="000000"/>
          <w:sz w:val="26"/>
          <w:szCs w:val="26"/>
        </w:rPr>
        <w:t xml:space="preserve"> (4th Cir. 2022) 27 F.4th 926, 933–934; </w:t>
      </w:r>
      <w:r w:rsidRPr="00CE296B">
        <w:rPr>
          <w:rFonts w:ascii="Century Schoolbook" w:hAnsi="Century Schoolbook" w:cs="Calibri"/>
          <w:i/>
          <w:color w:val="000000"/>
          <w:sz w:val="26"/>
          <w:szCs w:val="26"/>
          <w:bdr w:val="none" w:sz="0" w:space="0" w:color="auto" w:frame="1"/>
        </w:rPr>
        <w:t>10012 Holdings, Inc. v. Sentinel Ins</w:t>
      </w:r>
      <w:r>
        <w:rPr>
          <w:rFonts w:ascii="Century Schoolbook" w:hAnsi="Century Schoolbook" w:cs="Calibri"/>
          <w:i/>
          <w:color w:val="000000"/>
          <w:sz w:val="26"/>
          <w:szCs w:val="26"/>
          <w:bdr w:val="none" w:sz="0" w:space="0" w:color="auto" w:frame="1"/>
        </w:rPr>
        <w:t>.</w:t>
      </w:r>
      <w:r w:rsidRPr="00CE296B">
        <w:rPr>
          <w:rFonts w:ascii="Century Schoolbook" w:hAnsi="Century Schoolbook" w:cs="Calibri"/>
          <w:i/>
          <w:color w:val="000000"/>
          <w:sz w:val="26"/>
          <w:szCs w:val="26"/>
          <w:bdr w:val="none" w:sz="0" w:space="0" w:color="auto" w:frame="1"/>
        </w:rPr>
        <w:t xml:space="preserve"> Co</w:t>
      </w:r>
      <w:r>
        <w:rPr>
          <w:rFonts w:ascii="Century Schoolbook" w:hAnsi="Century Schoolbook" w:cs="Calibri"/>
          <w:i/>
          <w:color w:val="000000"/>
          <w:sz w:val="26"/>
          <w:szCs w:val="26"/>
          <w:bdr w:val="none" w:sz="0" w:space="0" w:color="auto" w:frame="1"/>
        </w:rPr>
        <w:t>.</w:t>
      </w:r>
      <w:r w:rsidRPr="00CE296B">
        <w:rPr>
          <w:rFonts w:ascii="Century Schoolbook" w:hAnsi="Century Schoolbook" w:cs="Calibri"/>
          <w:color w:val="000000"/>
          <w:sz w:val="26"/>
          <w:szCs w:val="26"/>
        </w:rPr>
        <w:t xml:space="preserve"> (2d</w:t>
      </w:r>
      <w:r>
        <w:rPr>
          <w:rFonts w:ascii="Century Schoolbook" w:hAnsi="Century Schoolbook" w:cs="Calibri"/>
          <w:color w:val="000000"/>
          <w:sz w:val="26"/>
          <w:szCs w:val="26"/>
        </w:rPr>
        <w:t> </w:t>
      </w:r>
      <w:r w:rsidRPr="00CE296B">
        <w:rPr>
          <w:rFonts w:ascii="Century Schoolbook" w:hAnsi="Century Schoolbook" w:cs="Calibri"/>
          <w:color w:val="000000"/>
          <w:sz w:val="26"/>
          <w:szCs w:val="26"/>
        </w:rPr>
        <w:t xml:space="preserve">Cir. 2021) 21 F.4th 216, 220–223; </w:t>
      </w:r>
      <w:r w:rsidRPr="00CE296B">
        <w:rPr>
          <w:rFonts w:ascii="Century Schoolbook" w:hAnsi="Century Schoolbook" w:cs="Calibri"/>
          <w:i/>
          <w:color w:val="000000"/>
          <w:sz w:val="26"/>
          <w:szCs w:val="26"/>
          <w:bdr w:val="none" w:sz="0" w:space="0" w:color="auto" w:frame="1"/>
        </w:rPr>
        <w:t>Santo’s Italian Café LLC v. Acuity Ins</w:t>
      </w:r>
      <w:r>
        <w:rPr>
          <w:rFonts w:ascii="Century Schoolbook" w:hAnsi="Century Schoolbook" w:cs="Calibri"/>
          <w:i/>
          <w:color w:val="000000"/>
          <w:sz w:val="26"/>
          <w:szCs w:val="26"/>
          <w:bdr w:val="none" w:sz="0" w:space="0" w:color="auto" w:frame="1"/>
        </w:rPr>
        <w:t>.</w:t>
      </w:r>
      <w:r w:rsidRPr="00CE296B">
        <w:rPr>
          <w:rFonts w:ascii="Century Schoolbook" w:hAnsi="Century Schoolbook" w:cs="Calibri"/>
          <w:i/>
          <w:color w:val="000000"/>
          <w:sz w:val="26"/>
          <w:szCs w:val="26"/>
          <w:bdr w:val="none" w:sz="0" w:space="0" w:color="auto" w:frame="1"/>
        </w:rPr>
        <w:t xml:space="preserve"> Co. </w:t>
      </w:r>
      <w:r w:rsidRPr="00CE296B">
        <w:rPr>
          <w:rFonts w:ascii="Century Schoolbook" w:hAnsi="Century Schoolbook" w:cs="Calibri"/>
          <w:color w:val="000000"/>
          <w:sz w:val="26"/>
          <w:szCs w:val="26"/>
        </w:rPr>
        <w:t>(6th</w:t>
      </w:r>
      <w:r>
        <w:rPr>
          <w:rFonts w:ascii="Century Schoolbook" w:hAnsi="Century Schoolbook" w:cs="Calibri"/>
          <w:color w:val="000000"/>
          <w:sz w:val="26"/>
          <w:szCs w:val="26"/>
        </w:rPr>
        <w:t> </w:t>
      </w:r>
      <w:r w:rsidRPr="00CE296B">
        <w:rPr>
          <w:rFonts w:ascii="Century Schoolbook" w:hAnsi="Century Schoolbook" w:cs="Calibri"/>
          <w:color w:val="000000"/>
          <w:sz w:val="26"/>
          <w:szCs w:val="26"/>
        </w:rPr>
        <w:t xml:space="preserve">Cir. 2021) 15 F.4th 398, 401; </w:t>
      </w:r>
      <w:r w:rsidRPr="00CE296B">
        <w:rPr>
          <w:rFonts w:ascii="Century Schoolbook" w:hAnsi="Century Schoolbook" w:cs="Calibri"/>
          <w:i/>
          <w:color w:val="000000"/>
          <w:sz w:val="26"/>
          <w:szCs w:val="26"/>
          <w:bdr w:val="none" w:sz="0" w:space="0" w:color="auto" w:frame="1"/>
        </w:rPr>
        <w:t xml:space="preserve">Sandy Point Dental, P.C. </w:t>
      </w:r>
      <w:r w:rsidRPr="00CE296B">
        <w:rPr>
          <w:rFonts w:ascii="Century Schoolbook" w:hAnsi="Century Schoolbook" w:cs="Calibri"/>
          <w:i/>
          <w:color w:val="000000"/>
          <w:sz w:val="26"/>
          <w:szCs w:val="26"/>
          <w:bdr w:val="none" w:sz="0" w:space="0" w:color="auto" w:frame="1"/>
        </w:rPr>
        <w:t xml:space="preserve">v. Cincinnati Ins. Co. </w:t>
      </w:r>
      <w:r w:rsidRPr="00CE296B">
        <w:rPr>
          <w:rFonts w:ascii="Century Schoolbook" w:hAnsi="Century Schoolbook" w:cs="Calibri"/>
          <w:color w:val="000000"/>
          <w:sz w:val="26"/>
          <w:szCs w:val="26"/>
        </w:rPr>
        <w:t>(7th</w:t>
      </w:r>
      <w:r>
        <w:rPr>
          <w:rFonts w:ascii="Century Schoolbook" w:hAnsi="Century Schoolbook" w:cs="Calibri"/>
          <w:color w:val="000000"/>
          <w:sz w:val="26"/>
          <w:szCs w:val="26"/>
        </w:rPr>
        <w:t> </w:t>
      </w:r>
      <w:r w:rsidRPr="00CE296B">
        <w:rPr>
          <w:rFonts w:ascii="Century Schoolbook" w:hAnsi="Century Schoolbook" w:cs="Calibri"/>
          <w:color w:val="000000"/>
          <w:sz w:val="26"/>
          <w:szCs w:val="26"/>
        </w:rPr>
        <w:t xml:space="preserve">Cir. 2021) 20 F.4th 327, 335; </w:t>
      </w:r>
      <w:r w:rsidRPr="00CE296B">
        <w:rPr>
          <w:rFonts w:ascii="Century Schoolbook" w:hAnsi="Century Schoolbook" w:cs="Calibri"/>
          <w:i/>
          <w:color w:val="000000"/>
          <w:sz w:val="26"/>
          <w:szCs w:val="26"/>
          <w:bdr w:val="none" w:sz="0" w:space="0" w:color="auto" w:frame="1"/>
        </w:rPr>
        <w:t>Oral Surgeons, P.C. v. Cincinnati Ins</w:t>
      </w:r>
      <w:r>
        <w:rPr>
          <w:rFonts w:ascii="Century Schoolbook" w:hAnsi="Century Schoolbook" w:cs="Calibri"/>
          <w:i/>
          <w:color w:val="000000"/>
          <w:sz w:val="26"/>
          <w:szCs w:val="26"/>
          <w:bdr w:val="none" w:sz="0" w:space="0" w:color="auto" w:frame="1"/>
        </w:rPr>
        <w:t xml:space="preserve">. </w:t>
      </w:r>
      <w:r w:rsidRPr="00CE296B">
        <w:rPr>
          <w:rFonts w:ascii="Century Schoolbook" w:hAnsi="Century Schoolbook" w:cs="Calibri"/>
          <w:i/>
          <w:color w:val="000000"/>
          <w:sz w:val="26"/>
          <w:szCs w:val="26"/>
          <w:bdr w:val="none" w:sz="0" w:space="0" w:color="auto" w:frame="1"/>
        </w:rPr>
        <w:t>Co.</w:t>
      </w:r>
      <w:r w:rsidRPr="00CE296B">
        <w:rPr>
          <w:rFonts w:ascii="Century Schoolbook" w:hAnsi="Century Schoolbook" w:cs="Calibri"/>
          <w:color w:val="000000"/>
          <w:sz w:val="26"/>
          <w:szCs w:val="26"/>
          <w:bdr w:val="none" w:sz="0" w:space="0" w:color="auto" w:frame="1"/>
        </w:rPr>
        <w:t xml:space="preserve"> (8th</w:t>
      </w:r>
      <w:r>
        <w:rPr>
          <w:rFonts w:ascii="Century Schoolbook" w:hAnsi="Century Schoolbook" w:cs="Calibri"/>
          <w:color w:val="000000"/>
          <w:sz w:val="26"/>
          <w:szCs w:val="26"/>
          <w:bdr w:val="none" w:sz="0" w:space="0" w:color="auto" w:frame="1"/>
        </w:rPr>
        <w:t> </w:t>
      </w:r>
      <w:r w:rsidRPr="00CE296B">
        <w:rPr>
          <w:rFonts w:ascii="Century Schoolbook" w:hAnsi="Century Schoolbook" w:cs="Calibri"/>
          <w:color w:val="000000"/>
          <w:sz w:val="26"/>
          <w:szCs w:val="26"/>
          <w:bdr w:val="none" w:sz="0" w:space="0" w:color="auto" w:frame="1"/>
        </w:rPr>
        <w:t>Cir. 2021) 2 F.4th 1141, 1144, 1145, fn. 3</w:t>
      </w:r>
      <w:r w:rsidRPr="00CE296B">
        <w:rPr>
          <w:rFonts w:ascii="Century Schoolbook" w:hAnsi="Century Schoolbook" w:cs="Calibri"/>
          <w:color w:val="000000"/>
          <w:sz w:val="26"/>
          <w:szCs w:val="26"/>
        </w:rPr>
        <w:t xml:space="preserve">; </w:t>
      </w:r>
      <w:r w:rsidRPr="00CE296B">
        <w:rPr>
          <w:rFonts w:ascii="Century Schoolbook" w:hAnsi="Century Schoolbook" w:cs="Calibri"/>
          <w:i/>
          <w:color w:val="000000"/>
          <w:sz w:val="26"/>
          <w:szCs w:val="26"/>
          <w:bdr w:val="none" w:sz="0" w:space="0" w:color="auto" w:frame="1"/>
        </w:rPr>
        <w:t xml:space="preserve">Goodwill </w:t>
      </w:r>
      <w:r w:rsidRPr="00195908">
        <w:rPr>
          <w:rFonts w:ascii="Century Schoolbook" w:hAnsi="Century Schoolbook" w:cs="Calibri"/>
          <w:i/>
          <w:color w:val="000000"/>
          <w:sz w:val="26"/>
          <w:szCs w:val="26"/>
          <w:bdr w:val="none" w:sz="0" w:space="0" w:color="auto" w:frame="1"/>
        </w:rPr>
        <w:t>Industries v. Philadelphia Indemnity</w:t>
      </w:r>
      <w:r w:rsidRPr="00195908">
        <w:rPr>
          <w:rFonts w:ascii="Century Schoolbook" w:hAnsi="Century Schoolbook" w:cs="Calibri"/>
          <w:color w:val="000000"/>
          <w:sz w:val="26"/>
          <w:szCs w:val="26"/>
        </w:rPr>
        <w:t xml:space="preserve"> (10th</w:t>
      </w:r>
      <w:r>
        <w:rPr>
          <w:rFonts w:ascii="Century Schoolbook" w:hAnsi="Century Schoolbook" w:cs="Calibri"/>
          <w:color w:val="000000"/>
          <w:sz w:val="26"/>
          <w:szCs w:val="26"/>
        </w:rPr>
        <w:t> </w:t>
      </w:r>
      <w:r w:rsidRPr="00195908">
        <w:rPr>
          <w:rFonts w:ascii="Century Schoolbook" w:hAnsi="Century Schoolbook" w:cs="Calibri"/>
          <w:color w:val="000000"/>
          <w:sz w:val="26"/>
          <w:szCs w:val="26"/>
        </w:rPr>
        <w:t xml:space="preserve">Cir. 2021) 21 F.4th 704, 710; see also </w:t>
      </w:r>
      <w:r w:rsidRPr="00605D40">
        <w:rPr>
          <w:rFonts w:ascii="Century Schoolbook" w:hAnsi="Century Schoolbook"/>
          <w:i/>
          <w:iCs/>
          <w:color w:val="000000"/>
          <w:sz w:val="26"/>
          <w:szCs w:val="26"/>
          <w:bdr w:val="none" w:sz="0" w:space="0" w:color="auto" w:frame="1"/>
        </w:rPr>
        <w:t>Neuro-Communication Servs. v. Cincinnati Ins. Co.</w:t>
      </w:r>
      <w:r w:rsidRPr="00605D40">
        <w:rPr>
          <w:rFonts w:ascii="Century Schoolbook" w:hAnsi="Century Schoolbook"/>
          <w:color w:val="000000"/>
          <w:sz w:val="26"/>
          <w:szCs w:val="26"/>
          <w:bdr w:val="none" w:sz="0" w:space="0" w:color="auto" w:frame="1"/>
        </w:rPr>
        <w:t xml:space="preserve">, 2022-Ohio-4379, ¶ 17; </w:t>
      </w:r>
      <w:r w:rsidRPr="00CE296B">
        <w:rPr>
          <w:rFonts w:ascii="Century Schoolbook" w:hAnsi="Century Schoolbook" w:cs="Calibri"/>
          <w:i/>
          <w:color w:val="000000"/>
          <w:sz w:val="26"/>
          <w:szCs w:val="26"/>
          <w:bdr w:val="none" w:sz="0" w:space="0" w:color="auto" w:frame="1"/>
        </w:rPr>
        <w:t>Verveine Corp. v. Strathmore Ins</w:t>
      </w:r>
      <w:r>
        <w:rPr>
          <w:rFonts w:ascii="Century Schoolbook" w:hAnsi="Century Schoolbook" w:cs="Calibri"/>
          <w:i/>
          <w:iCs/>
          <w:color w:val="000000"/>
          <w:sz w:val="26"/>
          <w:szCs w:val="26"/>
        </w:rPr>
        <w:t>urance</w:t>
      </w:r>
      <w:r>
        <w:rPr>
          <w:rFonts w:ascii="Century Schoolbook" w:hAnsi="Century Schoolbook" w:cs="Calibri"/>
          <w:color w:val="000000"/>
          <w:sz w:val="26"/>
          <w:szCs w:val="26"/>
        </w:rPr>
        <w:t xml:space="preserve"> </w:t>
      </w:r>
      <w:r w:rsidRPr="00CE296B">
        <w:rPr>
          <w:rFonts w:ascii="Century Schoolbook" w:hAnsi="Century Schoolbook" w:cs="Calibri"/>
          <w:color w:val="000000"/>
          <w:sz w:val="26"/>
          <w:szCs w:val="26"/>
        </w:rPr>
        <w:t xml:space="preserve">(Mass. 2022) 184 N.E.3d 1266, </w:t>
      </w:r>
      <w:r>
        <w:rPr>
          <w:rFonts w:ascii="Century Schoolbook" w:hAnsi="Century Schoolbook" w:cs="Calibri"/>
          <w:color w:val="000000"/>
          <w:sz w:val="26"/>
          <w:szCs w:val="26"/>
        </w:rPr>
        <w:t>1275–1277</w:t>
      </w:r>
      <w:r w:rsidRPr="00CE296B">
        <w:rPr>
          <w:rFonts w:ascii="Century Schoolbook" w:hAnsi="Century Schoolbook" w:cs="Calibri"/>
          <w:color w:val="000000"/>
          <w:sz w:val="26"/>
          <w:szCs w:val="26"/>
        </w:rPr>
        <w:t xml:space="preserve">; </w:t>
      </w:r>
      <w:r w:rsidRPr="00CE296B">
        <w:rPr>
          <w:rFonts w:ascii="Century Schoolbook" w:hAnsi="Century Schoolbook" w:cs="Calibri"/>
          <w:i/>
          <w:color w:val="000000"/>
          <w:sz w:val="26"/>
          <w:szCs w:val="26"/>
          <w:bdr w:val="none" w:sz="0" w:space="0" w:color="auto" w:frame="1"/>
        </w:rPr>
        <w:t>AC</w:t>
      </w:r>
      <w:r>
        <w:rPr>
          <w:rFonts w:ascii="Century Schoolbook" w:hAnsi="Century Schoolbook" w:cs="Calibri"/>
          <w:i/>
          <w:color w:val="000000"/>
          <w:sz w:val="26"/>
          <w:szCs w:val="26"/>
          <w:bdr w:val="none" w:sz="0" w:space="0" w:color="auto" w:frame="1"/>
        </w:rPr>
        <w:t> </w:t>
      </w:r>
      <w:r w:rsidRPr="00CE296B">
        <w:rPr>
          <w:rFonts w:ascii="Century Schoolbook" w:hAnsi="Century Schoolbook" w:cs="Calibri"/>
          <w:i/>
          <w:color w:val="000000"/>
          <w:sz w:val="26"/>
          <w:szCs w:val="26"/>
          <w:bdr w:val="none" w:sz="0" w:space="0" w:color="auto" w:frame="1"/>
        </w:rPr>
        <w:t xml:space="preserve">Ocean Walk, LLC v. American Guarantee and Liability Ins. </w:t>
      </w:r>
      <w:r w:rsidRPr="00CE296B">
        <w:rPr>
          <w:rFonts w:ascii="Century Schoolbook" w:hAnsi="Century Schoolbook" w:cs="Calibri"/>
          <w:i/>
          <w:iCs/>
          <w:color w:val="000000"/>
          <w:sz w:val="26"/>
          <w:szCs w:val="26"/>
          <w:bdr w:val="none" w:sz="0" w:space="0" w:color="auto" w:frame="1"/>
        </w:rPr>
        <w:t>Co</w:t>
      </w:r>
      <w:r>
        <w:rPr>
          <w:rFonts w:ascii="Century Schoolbook" w:hAnsi="Century Schoolbook" w:cs="Calibri"/>
          <w:i/>
          <w:iCs/>
          <w:color w:val="000000"/>
          <w:sz w:val="26"/>
          <w:szCs w:val="26"/>
          <w:bdr w:val="none" w:sz="0" w:space="0" w:color="auto" w:frame="1"/>
        </w:rPr>
        <w:t>.</w:t>
      </w:r>
      <w:r w:rsidRPr="00CE296B">
        <w:rPr>
          <w:rFonts w:ascii="Century Schoolbook" w:hAnsi="Century Schoolbook" w:cs="Calibri"/>
          <w:color w:val="000000"/>
          <w:sz w:val="26"/>
          <w:szCs w:val="26"/>
        </w:rPr>
        <w:t xml:space="preserve"> (N.J. Super.Ct.App.Div., June 23, 2022, No. A</w:t>
      </w:r>
      <w:r w:rsidRPr="00CE296B">
        <w:rPr>
          <w:rFonts w:ascii="Century Schoolbook" w:hAnsi="Century Schoolbook" w:cs="Calibri"/>
          <w:color w:val="000000"/>
          <w:sz w:val="26"/>
          <w:szCs w:val="26"/>
        </w:rPr>
        <w:noBreakHyphen/>
        <w:t>1824</w:t>
      </w:r>
      <w:r w:rsidRPr="00CE296B">
        <w:rPr>
          <w:rFonts w:ascii="Century Schoolbook" w:hAnsi="Century Schoolbook" w:cs="Calibri"/>
          <w:color w:val="000000"/>
          <w:sz w:val="26"/>
          <w:szCs w:val="26"/>
        </w:rPr>
        <w:noBreakHyphen/>
        <w:t xml:space="preserve">21) 2022 WL 2254864, </w:t>
      </w:r>
      <w:r>
        <w:rPr>
          <w:rFonts w:ascii="Century Schoolbook" w:hAnsi="Century Schoolbook" w:cs="Calibri"/>
          <w:color w:val="000000"/>
          <w:sz w:val="26"/>
          <w:szCs w:val="26"/>
        </w:rPr>
        <w:br/>
      </w:r>
      <w:r w:rsidRPr="00CE296B">
        <w:rPr>
          <w:rFonts w:ascii="Century Schoolbook" w:hAnsi="Century Schoolbook" w:cs="Calibri"/>
          <w:color w:val="000000"/>
          <w:sz w:val="26"/>
          <w:szCs w:val="26"/>
        </w:rPr>
        <w:t>*11–*12.</w:t>
      </w:r>
      <w:r>
        <w:rPr>
          <w:rFonts w:ascii="Century Schoolbook" w:hAnsi="Century Schoolbook" w:cs="Calibri"/>
          <w:color w:val="000000"/>
          <w:sz w:val="26"/>
          <w:szCs w:val="26"/>
        </w:rPr>
        <w:t>)</w:t>
      </w:r>
    </w:p>
  </w:footnote>
  <w:footnote w:id="10">
    <w:p w14:paraId="7D4347EF" w14:textId="77777777" w:rsidR="000C6F90" w:rsidRPr="00F07DB0" w:rsidRDefault="009849E9" w:rsidP="004829EC">
      <w:pPr>
        <w:autoSpaceDE w:val="0"/>
        <w:autoSpaceDN w:val="0"/>
        <w:adjustRightInd w:val="0"/>
        <w:spacing w:after="120" w:line="240" w:lineRule="auto"/>
      </w:pPr>
      <w:r>
        <w:rPr>
          <w:rStyle w:val="FootnoteReference"/>
        </w:rPr>
        <w:footnoteRef/>
      </w:r>
      <w:r>
        <w:t xml:space="preserve"> There is a minority view.  Some </w:t>
      </w:r>
      <w:r>
        <w:rPr>
          <w:rFonts w:cs="TimesNewRomanPSMT"/>
        </w:rPr>
        <w:t>courts have concluded that “direct physical loss or damage” in COVID</w:t>
      </w:r>
      <w:r>
        <w:rPr>
          <w:rFonts w:cs="TimesNewRomanPSMT"/>
        </w:rPr>
        <w:noBreakHyphen/>
        <w:t>19 busine</w:t>
      </w:r>
      <w:r>
        <w:rPr>
          <w:rFonts w:cs="TimesNewRomanPSMT"/>
        </w:rPr>
        <w:t xml:space="preserve">ss interruption coverage cases does not require a distinct, demonstrable physical alteration of property (see, e.g., </w:t>
      </w:r>
      <w:r>
        <w:rPr>
          <w:rFonts w:cs="TimesNewRomanPSMT"/>
          <w:i/>
          <w:iCs/>
        </w:rPr>
        <w:t>Kingray Inc. v. Farmers Group Inc</w:t>
      </w:r>
      <w:r>
        <w:rPr>
          <w:rFonts w:cs="TimesNewRomanPSMT"/>
        </w:rPr>
        <w:t xml:space="preserve">. (C.D.Cal. 2021) </w:t>
      </w:r>
      <w:r w:rsidRPr="00A1482B">
        <w:rPr>
          <w:rFonts w:cs="TimesNewRomanPSMT"/>
        </w:rPr>
        <w:t>523</w:t>
      </w:r>
      <w:r>
        <w:rPr>
          <w:rFonts w:cs="TimesNewRomanPSMT"/>
        </w:rPr>
        <w:t> </w:t>
      </w:r>
      <w:r w:rsidRPr="00A1482B">
        <w:rPr>
          <w:rFonts w:cs="TimesNewRomanPSMT"/>
        </w:rPr>
        <w:t>F.Supp.3d 1163</w:t>
      </w:r>
      <w:r>
        <w:rPr>
          <w:rFonts w:cs="TimesNewRomanPSMT"/>
        </w:rPr>
        <w:t>, 1173–1174), but so far as we can discern all of the appellate preced</w:t>
      </w:r>
      <w:r>
        <w:rPr>
          <w:rFonts w:cs="TimesNewRomanPSMT"/>
        </w:rPr>
        <w:t xml:space="preserve">ent on this point has adopted the contrary view, consistent with </w:t>
      </w:r>
      <w:r>
        <w:rPr>
          <w:rFonts w:cs="TimesNewRomanPSMT"/>
          <w:i/>
          <w:iCs/>
        </w:rPr>
        <w:t xml:space="preserve">Mudpie </w:t>
      </w:r>
      <w:r w:rsidRPr="00F452C5">
        <w:rPr>
          <w:rFonts w:cs="TimesNewRomanPSMT"/>
        </w:rPr>
        <w:t>a</w:t>
      </w:r>
      <w:r>
        <w:rPr>
          <w:rFonts w:cs="TimesNewRomanPSMT"/>
        </w:rPr>
        <w:t>nd its progeny.  We are also aware that, in the fall of 2021, some noted insurance coverage commentators published an article arguing that courts across the country have, in effect, e</w:t>
      </w:r>
      <w:r>
        <w:rPr>
          <w:rFonts w:cs="TimesNewRomanPSMT"/>
        </w:rPr>
        <w:t>ngaged in a rush-to-judgment against policyholders in COVID</w:t>
      </w:r>
      <w:r>
        <w:rPr>
          <w:rFonts w:cs="TimesNewRomanPSMT"/>
        </w:rPr>
        <w:noBreakHyphen/>
        <w:t xml:space="preserve">19 business interruption coverage cases.  (See, e.g., Lewis et al., </w:t>
      </w:r>
      <w:r w:rsidRPr="00C50CA7">
        <w:rPr>
          <w:rFonts w:cs="TimesNewRomanPSMT"/>
          <w:i/>
          <w:iCs/>
        </w:rPr>
        <w:t>Couch’s “Physical Alteration” Fallacy:  Its Origins and Consequences</w:t>
      </w:r>
      <w:r>
        <w:rPr>
          <w:rFonts w:cs="TimesNewRomanPSMT"/>
        </w:rPr>
        <w:t xml:space="preserve"> (Fall 2021) 56 Tort Trial &amp; Ins. Prac. L.J. 621 [discussing 10A Couch on Insurance (</w:t>
      </w:r>
      <w:r w:rsidRPr="00773E52">
        <w:rPr>
          <w:rFonts w:cs="TimesNewRomanPSMT"/>
        </w:rPr>
        <w:t>3d ed. 2016) §</w:t>
      </w:r>
      <w:r>
        <w:rPr>
          <w:rFonts w:cs="TimesNewRomanPSMT"/>
        </w:rPr>
        <w:t xml:space="preserve"> 148:46].)  This article contends that the reasoning in cases like </w:t>
      </w:r>
      <w:r w:rsidRPr="00A97704">
        <w:rPr>
          <w:rFonts w:cs="TimesNewRomanPSMT"/>
          <w:i/>
          <w:iCs/>
        </w:rPr>
        <w:t>Mudpie</w:t>
      </w:r>
      <w:r>
        <w:rPr>
          <w:rFonts w:cs="TimesNewRomanPSMT"/>
        </w:rPr>
        <w:t xml:space="preserve"> is premised on a view expressed in a single treatise, </w:t>
      </w:r>
      <w:r w:rsidRPr="00F32D4D">
        <w:rPr>
          <w:rFonts w:cs="TimesNewRomanPSMT"/>
        </w:rPr>
        <w:t>Couch on Insurance</w:t>
      </w:r>
      <w:r>
        <w:rPr>
          <w:rFonts w:cs="TimesNewRomanPSMT"/>
        </w:rPr>
        <w:t>, that is c</w:t>
      </w:r>
      <w:r>
        <w:rPr>
          <w:rFonts w:cs="TimesNewRomanPSMT"/>
        </w:rPr>
        <w:t>ontrary to settled law in various areas of first party insurance coverage law predating the COVID</w:t>
      </w:r>
      <w:r>
        <w:rPr>
          <w:rFonts w:cs="TimesNewRomanPSMT"/>
        </w:rPr>
        <w:noBreakHyphen/>
        <w:t>19 pandemic.  (</w:t>
      </w:r>
      <w:r w:rsidRPr="00BC36E1">
        <w:rPr>
          <w:rFonts w:cs="TimesNewRomanPSMT"/>
        </w:rPr>
        <w:t>Lewis</w:t>
      </w:r>
      <w:r>
        <w:rPr>
          <w:rFonts w:cs="TimesNewRomanPSMT"/>
        </w:rPr>
        <w:t xml:space="preserve">, </w:t>
      </w:r>
      <w:r w:rsidRPr="00195A40">
        <w:rPr>
          <w:rFonts w:cs="TimesNewRomanPSMT"/>
          <w:i/>
          <w:iCs/>
        </w:rPr>
        <w:t>supra</w:t>
      </w:r>
      <w:r>
        <w:rPr>
          <w:rFonts w:cs="TimesNewRomanPSMT"/>
        </w:rPr>
        <w:t>, at p. 628 &amp; fn. 36 [discussing cases recognizing first party coverage of claimed losses due to asbestos, odors, and other types o</w:t>
      </w:r>
      <w:r>
        <w:rPr>
          <w:rFonts w:cs="TimesNewRomanPSMT"/>
        </w:rPr>
        <w:t xml:space="preserve">f environmental contamination]; see </w:t>
      </w:r>
      <w:r>
        <w:t>Windt, Insurance Claims and Disputes (6th ed. 2013) §§ 11:</w:t>
      </w:r>
      <w:r w:rsidRPr="00C77B0F">
        <w:t>40</w:t>
      </w:r>
      <w:r>
        <w:t>–11:41</w:t>
      </w:r>
      <w:r w:rsidRPr="00C77B0F">
        <w:t xml:space="preserve"> [disagreeing with the Couch view]</w:t>
      </w:r>
      <w:r w:rsidRPr="00C77B0F">
        <w:rPr>
          <w:rFonts w:cs="TimesNewRomanPSMT"/>
        </w:rPr>
        <w:t>.)  A similar critique of Couch was addressed and rejected by</w:t>
      </w:r>
      <w:r>
        <w:rPr>
          <w:rFonts w:cs="TimesNewRomanPSMT"/>
        </w:rPr>
        <w:t xml:space="preserve"> a Second District, Division Four </w:t>
      </w:r>
      <w:r w:rsidRPr="00102B76">
        <w:rPr>
          <w:rFonts w:cs="TimesNewRomanPSMT"/>
        </w:rPr>
        <w:t xml:space="preserve">panel in </w:t>
      </w:r>
      <w:r w:rsidRPr="00102B76">
        <w:rPr>
          <w:rFonts w:cs="TimesNewRomanPSMT"/>
          <w:i/>
          <w:iCs/>
        </w:rPr>
        <w:t>United Talent Ag</w:t>
      </w:r>
      <w:r w:rsidRPr="00102B76">
        <w:rPr>
          <w:rFonts w:cs="TimesNewRomanPSMT"/>
          <w:i/>
          <w:iCs/>
        </w:rPr>
        <w:t>ency</w:t>
      </w:r>
      <w:r w:rsidRPr="00102B76">
        <w:rPr>
          <w:rFonts w:eastAsia="Times New Roman" w:cs="Times New Roman"/>
          <w:color w:val="000000"/>
        </w:rPr>
        <w:t xml:space="preserve">, </w:t>
      </w:r>
      <w:r w:rsidRPr="00102B76">
        <w:rPr>
          <w:rFonts w:cs="TimesNewRomanPSMT"/>
          <w:i/>
          <w:iCs/>
        </w:rPr>
        <w:t>supra</w:t>
      </w:r>
      <w:r w:rsidRPr="00102B76">
        <w:rPr>
          <w:rFonts w:cs="TimesNewRomanPSMT"/>
        </w:rPr>
        <w:t>, 77 Cal.App.5th at p</w:t>
      </w:r>
      <w:r>
        <w:rPr>
          <w:rFonts w:cs="TimesNewRomanPSMT"/>
        </w:rPr>
        <w:t>ages</w:t>
      </w:r>
      <w:r w:rsidRPr="00102B76">
        <w:rPr>
          <w:rFonts w:cs="TimesNewRomanPSMT"/>
        </w:rPr>
        <w:t> 832–833 (“</w:t>
      </w:r>
      <w:r w:rsidRPr="00102B76">
        <w:rPr>
          <w:rFonts w:eastAsia="Times New Roman" w:cs="Times New Roman"/>
          <w:color w:val="000000"/>
        </w:rPr>
        <w:t xml:space="preserve">We . . . decline [the] invitation to depart from the </w:t>
      </w:r>
      <w:r w:rsidRPr="00102B76">
        <w:rPr>
          <w:rFonts w:eastAsia="Times New Roman" w:cs="Times New Roman"/>
          <w:color w:val="000000"/>
          <w:bdr w:val="none" w:sz="0" w:space="0" w:color="auto" w:frame="1"/>
        </w:rPr>
        <w:t>Couch</w:t>
      </w:r>
      <w:r w:rsidRPr="00102B76">
        <w:rPr>
          <w:rFonts w:eastAsia="Times New Roman" w:cs="Times New Roman"/>
          <w:color w:val="000000"/>
        </w:rPr>
        <w:t xml:space="preserve"> treatise and the case law that relies upon it</w:t>
      </w:r>
      <w:r>
        <w:rPr>
          <w:rFonts w:eastAsia="Times New Roman" w:cs="Times New Roman"/>
          <w:color w:val="000000"/>
        </w:rPr>
        <w:t>.</w:t>
      </w:r>
      <w:r w:rsidRPr="00102B76">
        <w:rPr>
          <w:rFonts w:eastAsia="Times New Roman" w:cs="Times New Roman"/>
          <w:color w:val="000000"/>
        </w:rPr>
        <w:t>”).</w:t>
      </w:r>
    </w:p>
  </w:footnote>
  <w:footnote w:id="11">
    <w:p w14:paraId="192B87B9" w14:textId="77777777" w:rsidR="005E10EC" w:rsidRPr="002A0BDD" w:rsidRDefault="009849E9" w:rsidP="007C24F6">
      <w:pPr>
        <w:autoSpaceDE w:val="0"/>
        <w:autoSpaceDN w:val="0"/>
        <w:adjustRightInd w:val="0"/>
        <w:spacing w:line="240" w:lineRule="auto"/>
      </w:pPr>
      <w:r w:rsidRPr="002A0BDD">
        <w:rPr>
          <w:rStyle w:val="FootnoteReference"/>
        </w:rPr>
        <w:footnoteRef/>
      </w:r>
      <w:r w:rsidRPr="00D84FFA">
        <w:t xml:space="preserve"> In a</w:t>
      </w:r>
      <w:r w:rsidRPr="00FE3F69">
        <w:t xml:space="preserve"> pr</w:t>
      </w:r>
      <w:r w:rsidRPr="00AE6D16">
        <w:t>oviso</w:t>
      </w:r>
      <w:r w:rsidRPr="001C7741">
        <w:t>, the Virus Ex</w:t>
      </w:r>
      <w:r w:rsidRPr="001D4784">
        <w:t>clusion states</w:t>
      </w:r>
      <w:r>
        <w:t>,</w:t>
      </w:r>
      <w:r w:rsidRPr="00D84FFA">
        <w:t xml:space="preserve"> </w:t>
      </w:r>
      <w:r w:rsidRPr="00FE3F69">
        <w:t>“</w:t>
      </w:r>
      <w:r w:rsidRPr="007C24F6">
        <w:rPr>
          <w:rFonts w:cs="ArialMT"/>
        </w:rPr>
        <w:t>Such loss or damage is excluded regardless of any other</w:t>
      </w:r>
      <w:r w:rsidRPr="007C24F6">
        <w:rPr>
          <w:rFonts w:cs="ArialMT"/>
        </w:rPr>
        <w:t xml:space="preserve"> cause or</w:t>
      </w:r>
      <w:r>
        <w:rPr>
          <w:rFonts w:cs="ArialMT"/>
        </w:rPr>
        <w:t xml:space="preserve"> </w:t>
      </w:r>
      <w:r w:rsidRPr="007C24F6">
        <w:rPr>
          <w:rFonts w:cs="ArialMT"/>
        </w:rPr>
        <w:t>event that contributes concurrently or in any sequence to the loss</w:t>
      </w:r>
      <w:r>
        <w:rPr>
          <w:rFonts w:cs="ArialMT"/>
        </w:rPr>
        <w:t>.</w:t>
      </w:r>
      <w:r w:rsidRPr="007C24F6">
        <w:rPr>
          <w:rFonts w:cs="ArialMT"/>
        </w:rPr>
        <w:t>”</w:t>
      </w:r>
    </w:p>
  </w:footnote>
  <w:footnote w:id="12">
    <w:p w14:paraId="36028D43" w14:textId="77777777" w:rsidR="00DD299C" w:rsidRDefault="009849E9">
      <w:pPr>
        <w:pStyle w:val="FootnoteText"/>
      </w:pPr>
      <w:r>
        <w:rPr>
          <w:rStyle w:val="FootnoteReference"/>
        </w:rPr>
        <w:footnoteRef/>
      </w:r>
      <w:r>
        <w:t xml:space="preserve"> “Fungi” is defined to mean “</w:t>
      </w:r>
      <w:r w:rsidRPr="00DD299C">
        <w:t>any type or form of fungus, including mold or mildew, and</w:t>
      </w:r>
      <w:r>
        <w:t xml:space="preserve"> </w:t>
      </w:r>
      <w:r w:rsidRPr="00DD299C">
        <w:t>any</w:t>
      </w:r>
      <w:r>
        <w:t xml:space="preserve"> </w:t>
      </w:r>
      <w:r w:rsidRPr="00DD299C">
        <w:t>mycotoxins, spores, scents or by-products produced or released</w:t>
      </w:r>
      <w:r>
        <w:t xml:space="preserve"> </w:t>
      </w:r>
      <w:r w:rsidRPr="00DD299C">
        <w:t>by</w:t>
      </w:r>
      <w:r>
        <w:t xml:space="preserve"> </w:t>
      </w:r>
      <w:r w:rsidRPr="00DD299C">
        <w:t>fungi.</w:t>
      </w:r>
      <w:r>
        <w:t xml:space="preserve">”  There is </w:t>
      </w:r>
      <w:r>
        <w:t>no definition of “virus” or any of the other perils listed in the Limited Virus Coverage grant.</w:t>
      </w:r>
    </w:p>
  </w:footnote>
  <w:footnote w:id="13">
    <w:p w14:paraId="1AF22101" w14:textId="77777777" w:rsidR="00783FCC" w:rsidRDefault="009849E9" w:rsidP="00872A4D">
      <w:pPr>
        <w:autoSpaceDE w:val="0"/>
        <w:autoSpaceDN w:val="0"/>
        <w:adjustRightInd w:val="0"/>
        <w:spacing w:after="120" w:line="240" w:lineRule="auto"/>
        <w:rPr>
          <w:rFonts w:cs="ArialMT"/>
        </w:rPr>
      </w:pPr>
      <w:r>
        <w:rPr>
          <w:rStyle w:val="FootnoteReference"/>
        </w:rPr>
        <w:footnoteRef/>
      </w:r>
      <w:r>
        <w:t xml:space="preserve"> Compare the language of the endorsement titled “Exclusion—Fungi, Bacteria and Viruses,” which modifies the Business Liability Coverage Form.  It provides as follows</w:t>
      </w:r>
      <w:r w:rsidRPr="003B09F7">
        <w:rPr>
          <w:rFonts w:cs="ArialMT"/>
        </w:rPr>
        <w:t>:</w:t>
      </w:r>
      <w:r>
        <w:rPr>
          <w:rFonts w:cs="ArialMT"/>
        </w:rPr>
        <w:t xml:space="preserve">  “This insurance does not apply to: [¶] </w:t>
      </w:r>
      <w:r w:rsidRPr="002D016C">
        <w:rPr>
          <w:rFonts w:cs="Arial-BoldMT"/>
        </w:rPr>
        <w:t>1</w:t>
      </w:r>
      <w:r w:rsidRPr="00122A9F">
        <w:rPr>
          <w:rFonts w:cs="Arial-BoldMT"/>
        </w:rPr>
        <w:t>.</w:t>
      </w:r>
      <w:r>
        <w:rPr>
          <w:rFonts w:cs="Arial-BoldMT"/>
        </w:rPr>
        <w:t> </w:t>
      </w:r>
      <w:r w:rsidRPr="003B09F7">
        <w:rPr>
          <w:rFonts w:cs="ArialMT"/>
        </w:rPr>
        <w:t xml:space="preserve">Injury or damage arising out of or related to </w:t>
      </w:r>
      <w:r w:rsidRPr="003B09F7">
        <w:rPr>
          <w:rFonts w:cs="ArialMT"/>
        </w:rPr>
        <w:t>the presence of, suspected presence of, or exposure to:</w:t>
      </w:r>
      <w:r>
        <w:rPr>
          <w:rFonts w:cs="ArialMT"/>
        </w:rPr>
        <w:t xml:space="preserve"> [¶] </w:t>
      </w:r>
      <w:r w:rsidRPr="002D016C">
        <w:rPr>
          <w:rFonts w:cs="Arial-BoldMT"/>
        </w:rPr>
        <w:t>a.</w:t>
      </w:r>
      <w:r w:rsidRPr="00FA0E34">
        <w:rPr>
          <w:rFonts w:cs="Arial-BoldMT"/>
        </w:rPr>
        <w:t> </w:t>
      </w:r>
      <w:r w:rsidRPr="003B09F7">
        <w:rPr>
          <w:rFonts w:cs="ArialMT"/>
        </w:rPr>
        <w:t>Fungi, including but not limited to mold, mildew, and yeast;</w:t>
      </w:r>
      <w:r>
        <w:rPr>
          <w:rFonts w:cs="ArialMT"/>
        </w:rPr>
        <w:t xml:space="preserve"> [¶] </w:t>
      </w:r>
      <w:r w:rsidRPr="002D016C">
        <w:rPr>
          <w:rFonts w:cs="Arial-BoldMT"/>
        </w:rPr>
        <w:t>b.</w:t>
      </w:r>
      <w:r w:rsidRPr="00FA0E34">
        <w:rPr>
          <w:rFonts w:cs="Arial-BoldMT"/>
        </w:rPr>
        <w:t> </w:t>
      </w:r>
      <w:r w:rsidRPr="003B09F7">
        <w:rPr>
          <w:rFonts w:cs="ArialMT"/>
        </w:rPr>
        <w:t>Bacteria;</w:t>
      </w:r>
      <w:r>
        <w:rPr>
          <w:rFonts w:cs="ArialMT"/>
        </w:rPr>
        <w:t xml:space="preserve"> [¶] c</w:t>
      </w:r>
      <w:r w:rsidRPr="00E365C2">
        <w:rPr>
          <w:rFonts w:cs="Arial-BoldMT"/>
        </w:rPr>
        <w:t>.</w:t>
      </w:r>
      <w:r>
        <w:rPr>
          <w:rFonts w:cs="Arial-BoldMT"/>
        </w:rPr>
        <w:t> </w:t>
      </w:r>
      <w:r w:rsidRPr="003B09F7">
        <w:rPr>
          <w:rFonts w:cs="ArialMT"/>
        </w:rPr>
        <w:t>Viruses; or</w:t>
      </w:r>
      <w:r>
        <w:rPr>
          <w:rFonts w:cs="ArialMT"/>
        </w:rPr>
        <w:t xml:space="preserve"> [¶] </w:t>
      </w:r>
      <w:r w:rsidRPr="002D016C">
        <w:rPr>
          <w:rFonts w:cs="Arial-BoldMT"/>
        </w:rPr>
        <w:t>d.</w:t>
      </w:r>
      <w:r w:rsidRPr="00FA0E34">
        <w:rPr>
          <w:rFonts w:cs="Arial-BoldMT"/>
        </w:rPr>
        <w:t> </w:t>
      </w:r>
      <w:r w:rsidRPr="003B09F7">
        <w:rPr>
          <w:rFonts w:cs="ArialMT"/>
        </w:rPr>
        <w:t xml:space="preserve">Dust, spores, odors, particulates or byproducts, including but not limited to mycotoxins </w:t>
      </w:r>
      <w:r w:rsidRPr="003B09F7">
        <w:rPr>
          <w:rFonts w:cs="ArialMT"/>
        </w:rPr>
        <w:t>and endotoxins,</w:t>
      </w:r>
      <w:r>
        <w:rPr>
          <w:rFonts w:cs="ArialMT"/>
        </w:rPr>
        <w:t xml:space="preserve"> </w:t>
      </w:r>
      <w:r w:rsidRPr="003B09F7">
        <w:rPr>
          <w:rFonts w:cs="ArialMT"/>
        </w:rPr>
        <w:t xml:space="preserve">resulting from any of the organisms listed in </w:t>
      </w:r>
      <w:r w:rsidRPr="00752ACF">
        <w:rPr>
          <w:rFonts w:cs="Arial-BoldMT"/>
        </w:rPr>
        <w:t>a</w:t>
      </w:r>
      <w:r w:rsidRPr="00E365C2">
        <w:rPr>
          <w:rFonts w:cs="Arial-BoldMT"/>
        </w:rPr>
        <w:t>.</w:t>
      </w:r>
      <w:r w:rsidRPr="003B09F7">
        <w:rPr>
          <w:rFonts w:cs="ArialMT"/>
        </w:rPr>
        <w:t xml:space="preserve">, </w:t>
      </w:r>
      <w:r w:rsidRPr="00D55E82">
        <w:rPr>
          <w:rFonts w:cs="Arial-BoldMT"/>
        </w:rPr>
        <w:t>b</w:t>
      </w:r>
      <w:r w:rsidRPr="00E365C2">
        <w:rPr>
          <w:rFonts w:cs="Arial-BoldMT"/>
        </w:rPr>
        <w:t>.</w:t>
      </w:r>
      <w:r w:rsidRPr="003B09F7">
        <w:rPr>
          <w:rFonts w:cs="ArialMT"/>
        </w:rPr>
        <w:t xml:space="preserve">, or </w:t>
      </w:r>
      <w:r w:rsidRPr="00E365C2">
        <w:rPr>
          <w:rFonts w:cs="Arial-BoldMT"/>
        </w:rPr>
        <w:t xml:space="preserve">c. </w:t>
      </w:r>
      <w:r w:rsidRPr="003B09F7">
        <w:rPr>
          <w:rFonts w:cs="ArialMT"/>
        </w:rPr>
        <w:t>above;</w:t>
      </w:r>
      <w:r>
        <w:rPr>
          <w:rFonts w:cs="ArialMT"/>
        </w:rPr>
        <w:t xml:space="preserve"> </w:t>
      </w:r>
      <w:r w:rsidRPr="003B09F7">
        <w:rPr>
          <w:rFonts w:cs="ArialMT"/>
        </w:rPr>
        <w:t>from any source whatsoever.</w:t>
      </w:r>
      <w:r w:rsidRPr="0049545E">
        <w:rPr>
          <w:rFonts w:cs="ArialMT"/>
        </w:rPr>
        <w:t xml:space="preserve"> </w:t>
      </w:r>
      <w:r>
        <w:rPr>
          <w:rFonts w:cs="ArialMT"/>
        </w:rPr>
        <w:t xml:space="preserve">[¶] </w:t>
      </w:r>
      <w:r w:rsidRPr="002D016C">
        <w:rPr>
          <w:rFonts w:cs="Arial-BoldMT"/>
        </w:rPr>
        <w:t>2.</w:t>
      </w:r>
      <w:r w:rsidRPr="00122A9F">
        <w:rPr>
          <w:rFonts w:cs="Arial-BoldMT"/>
        </w:rPr>
        <w:t> </w:t>
      </w:r>
      <w:r w:rsidRPr="003B09F7">
        <w:rPr>
          <w:rFonts w:cs="ArialMT"/>
        </w:rPr>
        <w:t>Any loss, cost or expense arising out of the testing for, monitoring of, cleaning up of, removal of, containment of,</w:t>
      </w:r>
      <w:r>
        <w:rPr>
          <w:rFonts w:cs="ArialMT"/>
        </w:rPr>
        <w:t xml:space="preserve"> </w:t>
      </w:r>
      <w:r w:rsidRPr="003B09F7">
        <w:rPr>
          <w:rFonts w:cs="ArialMT"/>
        </w:rPr>
        <w:t>treatment of, detoxif</w:t>
      </w:r>
      <w:r w:rsidRPr="003B09F7">
        <w:rPr>
          <w:rFonts w:cs="ArialMT"/>
        </w:rPr>
        <w:t>ication of, neutralization of, remediation of, disposal of, or any other response to or</w:t>
      </w:r>
      <w:r>
        <w:rPr>
          <w:rFonts w:cs="ArialMT"/>
        </w:rPr>
        <w:t xml:space="preserve"> </w:t>
      </w:r>
      <w:r w:rsidRPr="003B09F7">
        <w:rPr>
          <w:rFonts w:cs="ArialMT"/>
        </w:rPr>
        <w:t xml:space="preserve">assessment of, the effects of any of the items in </w:t>
      </w:r>
      <w:r w:rsidRPr="002D016C">
        <w:rPr>
          <w:rFonts w:cs="Arial-BoldMT"/>
        </w:rPr>
        <w:t>1.a.</w:t>
      </w:r>
      <w:r w:rsidRPr="002D016C">
        <w:rPr>
          <w:rFonts w:cs="ArialMT"/>
        </w:rPr>
        <w:t xml:space="preserve">, </w:t>
      </w:r>
      <w:r w:rsidRPr="002D016C">
        <w:rPr>
          <w:rFonts w:cs="Arial-BoldMT"/>
        </w:rPr>
        <w:t>b.</w:t>
      </w:r>
      <w:r w:rsidRPr="002D016C">
        <w:rPr>
          <w:rFonts w:cs="ArialMT"/>
        </w:rPr>
        <w:t xml:space="preserve">, </w:t>
      </w:r>
      <w:r w:rsidRPr="002D016C">
        <w:rPr>
          <w:rFonts w:cs="Arial-BoldMT"/>
        </w:rPr>
        <w:t xml:space="preserve">c. </w:t>
      </w:r>
      <w:r w:rsidRPr="002D016C">
        <w:rPr>
          <w:rFonts w:cs="ArialMT"/>
        </w:rPr>
        <w:t xml:space="preserve">or </w:t>
      </w:r>
      <w:r w:rsidRPr="002D016C">
        <w:rPr>
          <w:rFonts w:cs="Arial-BoldMT"/>
        </w:rPr>
        <w:t>d.</w:t>
      </w:r>
      <w:r w:rsidRPr="00122A9F">
        <w:rPr>
          <w:rFonts w:cs="Arial-BoldMT"/>
        </w:rPr>
        <w:t xml:space="preserve"> </w:t>
      </w:r>
      <w:r w:rsidRPr="003B09F7">
        <w:rPr>
          <w:rFonts w:cs="ArialMT"/>
        </w:rPr>
        <w:t>above, from any source whatsoever.</w:t>
      </w:r>
      <w:r>
        <w:rPr>
          <w:rFonts w:cs="ArialMT"/>
        </w:rPr>
        <w:t>”</w:t>
      </w:r>
    </w:p>
    <w:p w14:paraId="55E8D8C9" w14:textId="77777777" w:rsidR="00783FCC" w:rsidRPr="0009357D" w:rsidRDefault="009849E9" w:rsidP="00BB4E99">
      <w:pPr>
        <w:autoSpaceDE w:val="0"/>
        <w:autoSpaceDN w:val="0"/>
        <w:adjustRightInd w:val="0"/>
        <w:spacing w:after="120" w:line="240" w:lineRule="auto"/>
        <w:rPr>
          <w:rFonts w:cs="ArialMT"/>
        </w:rPr>
      </w:pPr>
      <w:r>
        <w:t xml:space="preserve">This third party liability virus exclusion is subject to a </w:t>
      </w:r>
      <w:r>
        <w:t>simply stated exception (the “</w:t>
      </w:r>
      <w:r w:rsidRPr="001A5A63">
        <w:t xml:space="preserve">exclusion does not apply to </w:t>
      </w:r>
      <w:r>
        <w:t>‘</w:t>
      </w:r>
      <w:r w:rsidRPr="001A5A63">
        <w:t>bodily injury</w:t>
      </w:r>
      <w:r>
        <w:t>’</w:t>
      </w:r>
      <w:r w:rsidRPr="001A5A63">
        <w:t xml:space="preserve"> or </w:t>
      </w:r>
      <w:r>
        <w:t>‘</w:t>
      </w:r>
      <w:r w:rsidRPr="001A5A63">
        <w:t>property damage</w:t>
      </w:r>
      <w:r>
        <w:t>’</w:t>
      </w:r>
      <w:r w:rsidRPr="001A5A63">
        <w:t xml:space="preserve"> caused by the ingestion of food</w:t>
      </w:r>
      <w:r>
        <w:t xml:space="preserve">”), but is otherwise absolute and contains no affirmative grant of coverage.  There is a virtually </w:t>
      </w:r>
      <w:r w:rsidRPr="002A3ED3">
        <w:t>identical, following</w:t>
      </w:r>
      <w:r>
        <w:t xml:space="preserve"> form exclu</w:t>
      </w:r>
      <w:r>
        <w:t xml:space="preserve">sion for virus risk in </w:t>
      </w:r>
      <w:r w:rsidRPr="008E733F">
        <w:t>the Umbrella Liability Supplemental Contract that also lacks an affirmative</w:t>
      </w:r>
      <w:r>
        <w:t xml:space="preserve"> grant of virus coverage.</w:t>
      </w:r>
    </w:p>
  </w:footnote>
  <w:footnote w:id="14">
    <w:p w14:paraId="60D1846A" w14:textId="77777777" w:rsidR="00783FCC" w:rsidRPr="005F5CDB" w:rsidRDefault="009849E9" w:rsidP="00783FCC">
      <w:pPr>
        <w:pStyle w:val="FootnoteText"/>
      </w:pPr>
      <w:r>
        <w:rPr>
          <w:rStyle w:val="FootnoteReference"/>
        </w:rPr>
        <w:footnoteRef/>
      </w:r>
      <w:r>
        <w:t xml:space="preserve"> Subp</w:t>
      </w:r>
      <w:r w:rsidRPr="006724D9">
        <w:rPr>
          <w:rFonts w:eastAsia="Times New Roman" w:cs="Times New Roman"/>
          <w:color w:val="000000"/>
          <w:szCs w:val="26"/>
        </w:rPr>
        <w:t xml:space="preserve">aragraph </w:t>
      </w:r>
      <w:r>
        <w:rPr>
          <w:rFonts w:eastAsia="Times New Roman" w:cs="Times New Roman"/>
          <w:color w:val="000000"/>
          <w:szCs w:val="26"/>
        </w:rPr>
        <w:t>B.1.b.(1). (“</w:t>
      </w:r>
      <w:r w:rsidRPr="00E6188E">
        <w:t xml:space="preserve">Direct physical loss or direct physical damage to Covered Property </w:t>
      </w:r>
      <w:r w:rsidRPr="00673486">
        <w:rPr>
          <w:i/>
          <w:iCs/>
        </w:rPr>
        <w:t>caused by</w:t>
      </w:r>
      <w:r>
        <w:rPr>
          <w:i/>
          <w:iCs/>
        </w:rPr>
        <w:t xml:space="preserve"> . . . </w:t>
      </w:r>
      <w:r w:rsidRPr="00E6188E">
        <w:t xml:space="preserve">virus, including the </w:t>
      </w:r>
      <w:r w:rsidRPr="00E6188E">
        <w:t xml:space="preserve">cost of removal of the </w:t>
      </w:r>
      <w:r>
        <w:t>‘</w:t>
      </w:r>
      <w:r w:rsidRPr="00E6188E">
        <w:t>fungi</w:t>
      </w:r>
      <w:r>
        <w:t>’</w:t>
      </w:r>
      <w:r w:rsidRPr="00E6188E">
        <w:t>, wet rot, dry rot, bacteria or virus</w:t>
      </w:r>
      <w:r w:rsidRPr="005F5CDB">
        <w:t>,” italics added)</w:t>
      </w:r>
      <w:r>
        <w:t>.</w:t>
      </w:r>
    </w:p>
  </w:footnote>
  <w:footnote w:id="15">
    <w:p w14:paraId="60D1B7D7" w14:textId="77777777" w:rsidR="00783FCC" w:rsidRDefault="009849E9" w:rsidP="00783FCC">
      <w:pPr>
        <w:pStyle w:val="FootnoteText"/>
      </w:pPr>
      <w:r w:rsidRPr="005F5CDB">
        <w:rPr>
          <w:rStyle w:val="FootnoteReference"/>
        </w:rPr>
        <w:footnoteRef/>
      </w:r>
      <w:r w:rsidRPr="005F5CDB">
        <w:t xml:space="preserve"> Subp</w:t>
      </w:r>
      <w:r w:rsidRPr="005F5CDB">
        <w:rPr>
          <w:rFonts w:eastAsia="Times New Roman" w:cs="Times New Roman"/>
          <w:color w:val="000000"/>
          <w:szCs w:val="26"/>
        </w:rPr>
        <w:t xml:space="preserve">aragraph B.1.b.(2). (“The cost to </w:t>
      </w:r>
      <w:r w:rsidRPr="005F5CDB">
        <w:rPr>
          <w:rFonts w:eastAsia="Times New Roman" w:cs="Times New Roman"/>
          <w:i/>
          <w:iCs/>
          <w:color w:val="000000"/>
          <w:szCs w:val="26"/>
        </w:rPr>
        <w:t>tear out</w:t>
      </w:r>
      <w:r w:rsidRPr="005F5CDB">
        <w:rPr>
          <w:rFonts w:eastAsia="Times New Roman" w:cs="Times New Roman"/>
          <w:color w:val="000000"/>
          <w:szCs w:val="26"/>
        </w:rPr>
        <w:t xml:space="preserve"> and </w:t>
      </w:r>
      <w:r w:rsidRPr="005F5CDB">
        <w:rPr>
          <w:rFonts w:eastAsia="Times New Roman" w:cs="Times New Roman"/>
          <w:i/>
          <w:iCs/>
          <w:color w:val="000000"/>
          <w:szCs w:val="26"/>
        </w:rPr>
        <w:t xml:space="preserve">replace </w:t>
      </w:r>
      <w:r w:rsidRPr="005F5CDB">
        <w:rPr>
          <w:rFonts w:eastAsia="Times New Roman" w:cs="Times New Roman"/>
          <w:color w:val="000000"/>
          <w:szCs w:val="26"/>
        </w:rPr>
        <w:t xml:space="preserve">any part of the building or other property as needed </w:t>
      </w:r>
      <w:r w:rsidRPr="005F5CDB">
        <w:rPr>
          <w:rFonts w:eastAsia="Times New Roman" w:cs="Times New Roman"/>
          <w:i/>
          <w:iCs/>
          <w:color w:val="000000"/>
          <w:szCs w:val="26"/>
        </w:rPr>
        <w:t>to</w:t>
      </w:r>
      <w:r w:rsidRPr="005F5CDB">
        <w:rPr>
          <w:rFonts w:eastAsia="Times New Roman" w:cs="Times New Roman"/>
          <w:color w:val="000000"/>
          <w:szCs w:val="26"/>
        </w:rPr>
        <w:t xml:space="preserve"> </w:t>
      </w:r>
      <w:r w:rsidRPr="005F5CDB">
        <w:rPr>
          <w:rFonts w:eastAsia="Times New Roman" w:cs="Times New Roman"/>
          <w:i/>
          <w:iCs/>
          <w:color w:val="000000"/>
          <w:szCs w:val="26"/>
        </w:rPr>
        <w:t>gain access to the . . . virus</w:t>
      </w:r>
      <w:r w:rsidRPr="005F5CDB">
        <w:rPr>
          <w:rFonts w:eastAsia="Times New Roman" w:cs="Times New Roman"/>
          <w:color w:val="000000"/>
          <w:szCs w:val="26"/>
        </w:rPr>
        <w:t>,” italics added</w:t>
      </w:r>
      <w:r w:rsidRPr="005F5CDB">
        <w:t>).</w:t>
      </w:r>
    </w:p>
  </w:footnote>
  <w:footnote w:id="16">
    <w:p w14:paraId="68868B12" w14:textId="77777777" w:rsidR="00783FCC" w:rsidRDefault="009849E9" w:rsidP="00783FCC">
      <w:pPr>
        <w:pStyle w:val="FootnoteText"/>
      </w:pPr>
      <w:r>
        <w:rPr>
          <w:rStyle w:val="FootnoteReference"/>
        </w:rPr>
        <w:footnoteRef/>
      </w:r>
      <w:r>
        <w:t xml:space="preserve"> Subp</w:t>
      </w:r>
      <w:r w:rsidRPr="006724D9">
        <w:rPr>
          <w:rFonts w:eastAsia="Times New Roman" w:cs="Times New Roman"/>
          <w:color w:val="000000"/>
          <w:szCs w:val="26"/>
        </w:rPr>
        <w:t xml:space="preserve">aragraph </w:t>
      </w:r>
      <w:r>
        <w:rPr>
          <w:rFonts w:eastAsia="Times New Roman" w:cs="Times New Roman"/>
          <w:color w:val="000000"/>
          <w:szCs w:val="26"/>
        </w:rPr>
        <w:t>B.1.b.(1). (“</w:t>
      </w:r>
      <w:r w:rsidRPr="00E6188E">
        <w:t xml:space="preserve">Direct physical loss or direct physical damage to Covered Property </w:t>
      </w:r>
      <w:r w:rsidRPr="00673486">
        <w:t>caused by</w:t>
      </w:r>
      <w:r w:rsidRPr="00E6188E">
        <w:t xml:space="preserve"> </w:t>
      </w:r>
      <w:r>
        <w:t>‘</w:t>
      </w:r>
      <w:r w:rsidRPr="00E6188E">
        <w:t>fungi</w:t>
      </w:r>
      <w:r>
        <w:t>’</w:t>
      </w:r>
      <w:r w:rsidRPr="00E6188E">
        <w:t xml:space="preserve">, wet rot, dry rot, bacteria or virus, </w:t>
      </w:r>
      <w:r w:rsidRPr="00CF4D85">
        <w:t>including</w:t>
      </w:r>
      <w:r w:rsidRPr="00673486">
        <w:rPr>
          <w:i/>
          <w:iCs/>
        </w:rPr>
        <w:t xml:space="preserve"> </w:t>
      </w:r>
      <w:r w:rsidRPr="00CF4D85">
        <w:t>the cost of</w:t>
      </w:r>
      <w:r>
        <w:t xml:space="preserve"> </w:t>
      </w:r>
      <w:r w:rsidRPr="00673486">
        <w:rPr>
          <w:i/>
          <w:iCs/>
        </w:rPr>
        <w:t>removal</w:t>
      </w:r>
      <w:r w:rsidRPr="00E6188E">
        <w:t xml:space="preserve"> </w:t>
      </w:r>
      <w:r w:rsidRPr="009F7CA8">
        <w:rPr>
          <w:i/>
          <w:iCs/>
        </w:rPr>
        <w:t>of the</w:t>
      </w:r>
      <w:r>
        <w:t xml:space="preserve"> . . . </w:t>
      </w:r>
      <w:r w:rsidRPr="00413D53">
        <w:rPr>
          <w:i/>
          <w:iCs/>
        </w:rPr>
        <w:t>virus</w:t>
      </w:r>
      <w:r w:rsidRPr="00413D53">
        <w:t>,” italics added).</w:t>
      </w:r>
    </w:p>
  </w:footnote>
  <w:footnote w:id="17">
    <w:p w14:paraId="0C9214D3" w14:textId="77777777" w:rsidR="00254100" w:rsidRDefault="009849E9" w:rsidP="00254100">
      <w:pPr>
        <w:pStyle w:val="FootnoteText"/>
      </w:pPr>
      <w:r>
        <w:rPr>
          <w:rStyle w:val="FootnoteReference"/>
        </w:rPr>
        <w:footnoteRef/>
      </w:r>
      <w:r>
        <w:t xml:space="preserve"> See </w:t>
      </w:r>
      <w:r w:rsidRPr="007C24F6">
        <w:rPr>
          <w:i/>
          <w:iCs/>
          <w:szCs w:val="26"/>
        </w:rPr>
        <w:t>Amy’s Kitchen</w:t>
      </w:r>
      <w:r w:rsidRPr="00A94D68">
        <w:rPr>
          <w:szCs w:val="26"/>
        </w:rPr>
        <w:t xml:space="preserve">, </w:t>
      </w:r>
      <w:r w:rsidRPr="007C24F6">
        <w:rPr>
          <w:i/>
          <w:iCs/>
          <w:szCs w:val="26"/>
        </w:rPr>
        <w:t>supra</w:t>
      </w:r>
      <w:r w:rsidRPr="00A94D68">
        <w:rPr>
          <w:szCs w:val="26"/>
        </w:rPr>
        <w:t>, 83</w:t>
      </w:r>
      <w:r>
        <w:rPr>
          <w:szCs w:val="26"/>
        </w:rPr>
        <w:t> </w:t>
      </w:r>
      <w:r w:rsidRPr="00A94D68">
        <w:rPr>
          <w:szCs w:val="26"/>
        </w:rPr>
        <w:t>Cal.App.</w:t>
      </w:r>
      <w:r>
        <w:rPr>
          <w:szCs w:val="26"/>
        </w:rPr>
        <w:t>5th</w:t>
      </w:r>
      <w:r w:rsidRPr="00A94D68">
        <w:rPr>
          <w:szCs w:val="26"/>
        </w:rPr>
        <w:t xml:space="preserve"> at p</w:t>
      </w:r>
      <w:r>
        <w:rPr>
          <w:szCs w:val="26"/>
        </w:rPr>
        <w:t>ages </w:t>
      </w:r>
      <w:r w:rsidRPr="00A94D68">
        <w:rPr>
          <w:szCs w:val="26"/>
        </w:rPr>
        <w:t>1069</w:t>
      </w:r>
      <w:r>
        <w:rPr>
          <w:szCs w:val="26"/>
        </w:rPr>
        <w:t>–</w:t>
      </w:r>
      <w:r w:rsidRPr="00A94D68">
        <w:rPr>
          <w:szCs w:val="26"/>
        </w:rPr>
        <w:t xml:space="preserve">1070 </w:t>
      </w:r>
      <w:r>
        <w:rPr>
          <w:szCs w:val="26"/>
        </w:rPr>
        <w:t>(</w:t>
      </w:r>
      <w:r w:rsidRPr="00A94D68">
        <w:rPr>
          <w:szCs w:val="26"/>
        </w:rPr>
        <w:t>COVID</w:t>
      </w:r>
      <w:r>
        <w:rPr>
          <w:szCs w:val="26"/>
        </w:rPr>
        <w:noBreakHyphen/>
      </w:r>
      <w:r w:rsidRPr="00A94D68">
        <w:rPr>
          <w:szCs w:val="26"/>
        </w:rPr>
        <w:t xml:space="preserve">19 </w:t>
      </w:r>
      <w:r w:rsidRPr="00BC26F8">
        <w:rPr>
          <w:szCs w:val="26"/>
        </w:rPr>
        <w:t>viru</w:t>
      </w:r>
      <w:r w:rsidRPr="00B36CA6">
        <w:rPr>
          <w:szCs w:val="26"/>
        </w:rPr>
        <w:t>s cont</w:t>
      </w:r>
      <w:r w:rsidRPr="005E10EC">
        <w:rPr>
          <w:szCs w:val="26"/>
        </w:rPr>
        <w:t xml:space="preserve">amination </w:t>
      </w:r>
      <w:r w:rsidRPr="002A0BDD">
        <w:rPr>
          <w:szCs w:val="26"/>
        </w:rPr>
        <w:t>falls within trigger-</w:t>
      </w:r>
      <w:r w:rsidRPr="007F16BA">
        <w:rPr>
          <w:szCs w:val="26"/>
        </w:rPr>
        <w:t>of-</w:t>
      </w:r>
      <w:r w:rsidRPr="0072686B">
        <w:rPr>
          <w:szCs w:val="26"/>
        </w:rPr>
        <w:t xml:space="preserve">coverage language in “communicable disease extension” specifying covered costs for </w:t>
      </w:r>
      <w:r w:rsidRPr="0072686B">
        <w:rPr>
          <w:rFonts w:eastAsia="Times New Roman" w:cs="Times New Roman"/>
          <w:color w:val="000000"/>
          <w:szCs w:val="26"/>
        </w:rPr>
        <w:t>“ ‘direct physical loss or damage’ ” to include “ ‘necessary costs incurred</w:t>
      </w:r>
      <w:r w:rsidRPr="00E55FA7">
        <w:rPr>
          <w:rFonts w:eastAsia="Times New Roman" w:cs="Times New Roman"/>
          <w:color w:val="000000"/>
          <w:szCs w:val="26"/>
        </w:rPr>
        <w:t xml:space="preserve"> to [¶] . . . [¶] (c) [m]itigate, contain, remediate, treat, clean, detoxify, disinfect, neutralize, cleanup, remove, dispose of, test for, monitor, and assess the effects [o</w:t>
      </w:r>
      <w:r w:rsidRPr="00E55FA7">
        <w:rPr>
          <w:rFonts w:eastAsia="Times New Roman" w:cs="Times New Roman"/>
          <w:color w:val="000000"/>
          <w:spacing w:val="20"/>
          <w:szCs w:val="26"/>
        </w:rPr>
        <w:t>f</w:t>
      </w:r>
      <w:r w:rsidRPr="00E55FA7">
        <w:rPr>
          <w:rFonts w:eastAsia="Times New Roman" w:cs="Times New Roman"/>
          <w:color w:val="000000"/>
          <w:szCs w:val="26"/>
        </w:rPr>
        <w:t>] the communicable disease’ ”).</w:t>
      </w:r>
    </w:p>
  </w:footnote>
  <w:footnote w:id="18">
    <w:p w14:paraId="5B35899D" w14:textId="77777777" w:rsidR="00AD0FD0" w:rsidRDefault="009849E9" w:rsidP="00AD0FD0">
      <w:pPr>
        <w:pStyle w:val="FootnoteText"/>
      </w:pPr>
      <w:r>
        <w:rPr>
          <w:rStyle w:val="FootnoteReference"/>
        </w:rPr>
        <w:footnoteRef/>
      </w:r>
      <w:r>
        <w:t xml:space="preserve"> We have no occasion to address the contention i</w:t>
      </w:r>
      <w:r>
        <w:t>n Sentinel’s supplemental briefing that Subparagraph B.1.f. does not supply an “independent” grant of coverage.  We do not suggest that it does.</w:t>
      </w:r>
    </w:p>
  </w:footnote>
  <w:footnote w:id="19">
    <w:p w14:paraId="2FED3742" w14:textId="77777777" w:rsidR="001D3624" w:rsidRDefault="009849E9" w:rsidP="001A7FB5">
      <w:pPr>
        <w:spacing w:line="240" w:lineRule="auto"/>
      </w:pPr>
      <w:r w:rsidRPr="001C28BC">
        <w:rPr>
          <w:rStyle w:val="FootnoteReference"/>
        </w:rPr>
        <w:footnoteRef/>
      </w:r>
      <w:r w:rsidRPr="001C28BC">
        <w:t xml:space="preserve"> </w:t>
      </w:r>
      <w:r w:rsidRPr="0051737D">
        <w:rPr>
          <w:rFonts w:eastAsia="Times New Roman" w:cs="Times New Roman"/>
          <w:color w:val="000000"/>
        </w:rPr>
        <w:t>“</w:t>
      </w:r>
      <w:r w:rsidRPr="00FC41A1">
        <w:rPr>
          <w:rFonts w:eastAsia="Times New Roman" w:cs="Times New Roman"/>
          <w:color w:val="000000"/>
        </w:rPr>
        <w:t> ‘</w:t>
      </w:r>
      <w:r w:rsidRPr="0051737D">
        <w:rPr>
          <w:rFonts w:eastAsia="Times New Roman" w:cs="Times New Roman"/>
          <w:color w:val="000000"/>
        </w:rPr>
        <w:t>Although such words are often referred to as forming an</w:t>
      </w:r>
      <w:r>
        <w:rPr>
          <w:rFonts w:eastAsia="Times New Roman" w:cs="Times New Roman"/>
          <w:color w:val="000000"/>
        </w:rPr>
        <w:t xml:space="preserve"> </w:t>
      </w:r>
      <w:r w:rsidRPr="0051737D">
        <w:rPr>
          <w:rFonts w:eastAsia="Times New Roman" w:cs="Times New Roman"/>
          <w:color w:val="000000"/>
          <w:bdr w:val="none" w:sz="0" w:space="0" w:color="auto" w:frame="1"/>
        </w:rPr>
        <w:t>illusory</w:t>
      </w:r>
      <w:r>
        <w:rPr>
          <w:rFonts w:eastAsia="Times New Roman" w:cs="Times New Roman"/>
          <w:color w:val="000000"/>
        </w:rPr>
        <w:t xml:space="preserve"> </w:t>
      </w:r>
      <w:r w:rsidRPr="0051737D">
        <w:rPr>
          <w:rFonts w:eastAsia="Times New Roman" w:cs="Times New Roman"/>
          <w:color w:val="000000"/>
        </w:rPr>
        <w:t>promise, they do not fall within the pres</w:t>
      </w:r>
      <w:r w:rsidRPr="0051737D">
        <w:rPr>
          <w:rFonts w:eastAsia="Times New Roman" w:cs="Times New Roman"/>
          <w:color w:val="000000"/>
        </w:rPr>
        <w:t>ent definition of promise.  They may not even manifest any intention on the part of the promisor.  Even if a present intention is manifested, the reservation of an option to change that intention means that there can be no promisee who is justified in an e</w:t>
      </w:r>
      <w:r w:rsidRPr="0051737D">
        <w:rPr>
          <w:rFonts w:eastAsia="Times New Roman" w:cs="Times New Roman"/>
          <w:color w:val="000000"/>
        </w:rPr>
        <w:t>xpectation of performance.</w:t>
      </w:r>
      <w:r w:rsidRPr="00FC41A1">
        <w:rPr>
          <w:rFonts w:eastAsia="Times New Roman" w:cs="Times New Roman"/>
          <w:color w:val="000000"/>
        </w:rPr>
        <w:t>’  (</w:t>
      </w:r>
      <w:r w:rsidRPr="0051737D">
        <w:rPr>
          <w:rFonts w:eastAsia="Times New Roman" w:cs="Times New Roman"/>
          <w:color w:val="000000"/>
        </w:rPr>
        <w:t>Rest.2d Contracts, §</w:t>
      </w:r>
      <w:r>
        <w:rPr>
          <w:rFonts w:eastAsia="Times New Roman" w:cs="Times New Roman"/>
          <w:color w:val="000000"/>
        </w:rPr>
        <w:t> </w:t>
      </w:r>
      <w:r w:rsidRPr="0051737D">
        <w:rPr>
          <w:rFonts w:eastAsia="Times New Roman" w:cs="Times New Roman"/>
          <w:color w:val="000000"/>
        </w:rPr>
        <w:t>2, com.</w:t>
      </w:r>
      <w:r>
        <w:rPr>
          <w:rFonts w:eastAsia="Times New Roman" w:cs="Times New Roman"/>
          <w:color w:val="000000"/>
        </w:rPr>
        <w:t> </w:t>
      </w:r>
      <w:r w:rsidRPr="0051737D">
        <w:rPr>
          <w:rFonts w:eastAsia="Times New Roman" w:cs="Times New Roman"/>
          <w:color w:val="000000"/>
        </w:rPr>
        <w:t>e, p.</w:t>
      </w:r>
      <w:r>
        <w:rPr>
          <w:rFonts w:eastAsia="Times New Roman" w:cs="Times New Roman"/>
          <w:color w:val="000000"/>
        </w:rPr>
        <w:t> </w:t>
      </w:r>
      <w:r w:rsidRPr="0051737D">
        <w:rPr>
          <w:rFonts w:eastAsia="Times New Roman" w:cs="Times New Roman"/>
          <w:color w:val="000000"/>
        </w:rPr>
        <w:t>10; accord,</w:t>
      </w:r>
      <w:r>
        <w:rPr>
          <w:rFonts w:eastAsia="Times New Roman" w:cs="Times New Roman"/>
          <w:color w:val="000000"/>
        </w:rPr>
        <w:t xml:space="preserve"> </w:t>
      </w:r>
      <w:r w:rsidRPr="001C28BC">
        <w:rPr>
          <w:rFonts w:eastAsia="Times New Roman" w:cs="Times New Roman"/>
          <w:i/>
          <w:iCs/>
          <w:color w:val="000000"/>
          <w:bdr w:val="none" w:sz="0" w:space="0" w:color="auto" w:frame="1"/>
        </w:rPr>
        <w:t>id</w:t>
      </w:r>
      <w:r w:rsidRPr="0051737D">
        <w:rPr>
          <w:rFonts w:eastAsia="Times New Roman" w:cs="Times New Roman"/>
          <w:color w:val="000000"/>
          <w:bdr w:val="none" w:sz="0" w:space="0" w:color="auto" w:frame="1"/>
        </w:rPr>
        <w:t>.,</w:t>
      </w:r>
      <w:r>
        <w:rPr>
          <w:rFonts w:eastAsia="Times New Roman" w:cs="Times New Roman"/>
          <w:color w:val="000000"/>
        </w:rPr>
        <w:t xml:space="preserve"> </w:t>
      </w:r>
      <w:r w:rsidRPr="0051737D">
        <w:rPr>
          <w:rFonts w:eastAsia="Times New Roman" w:cs="Times New Roman"/>
          <w:color w:val="000000"/>
        </w:rPr>
        <w:t>§</w:t>
      </w:r>
      <w:r>
        <w:rPr>
          <w:rFonts w:eastAsia="Times New Roman" w:cs="Times New Roman"/>
          <w:color w:val="000000"/>
        </w:rPr>
        <w:t> </w:t>
      </w:r>
      <w:r w:rsidRPr="0051737D">
        <w:rPr>
          <w:rFonts w:eastAsia="Times New Roman" w:cs="Times New Roman"/>
          <w:color w:val="000000"/>
        </w:rPr>
        <w:t>77, com.</w:t>
      </w:r>
      <w:r>
        <w:rPr>
          <w:rFonts w:eastAsia="Times New Roman" w:cs="Times New Roman"/>
          <w:color w:val="000000"/>
        </w:rPr>
        <w:t> </w:t>
      </w:r>
      <w:r w:rsidRPr="0051737D">
        <w:rPr>
          <w:rFonts w:eastAsia="Times New Roman" w:cs="Times New Roman"/>
          <w:color w:val="000000"/>
        </w:rPr>
        <w:t>a, p.</w:t>
      </w:r>
      <w:r>
        <w:rPr>
          <w:rFonts w:eastAsia="Times New Roman" w:cs="Times New Roman"/>
          <w:color w:val="000000"/>
        </w:rPr>
        <w:t> </w:t>
      </w:r>
      <w:r w:rsidRPr="0051737D">
        <w:rPr>
          <w:rFonts w:eastAsia="Times New Roman" w:cs="Times New Roman"/>
          <w:color w:val="000000"/>
        </w:rPr>
        <w:t>195; 1</w:t>
      </w:r>
      <w:r>
        <w:rPr>
          <w:rFonts w:eastAsia="Times New Roman" w:cs="Times New Roman"/>
          <w:color w:val="000000"/>
        </w:rPr>
        <w:t> </w:t>
      </w:r>
      <w:r w:rsidRPr="0051737D">
        <w:rPr>
          <w:rFonts w:eastAsia="Times New Roman" w:cs="Times New Roman"/>
          <w:color w:val="000000"/>
        </w:rPr>
        <w:t>Corbin on Contracts (rev. ed. 1993) §</w:t>
      </w:r>
      <w:r>
        <w:rPr>
          <w:rFonts w:eastAsia="Times New Roman" w:cs="Times New Roman"/>
          <w:color w:val="000000"/>
        </w:rPr>
        <w:t> </w:t>
      </w:r>
      <w:r w:rsidRPr="0051737D">
        <w:rPr>
          <w:rFonts w:eastAsia="Times New Roman" w:cs="Times New Roman"/>
          <w:color w:val="000000"/>
        </w:rPr>
        <w:t>1.17, p.</w:t>
      </w:r>
      <w:r>
        <w:rPr>
          <w:rFonts w:eastAsia="Times New Roman" w:cs="Times New Roman"/>
          <w:color w:val="000000"/>
        </w:rPr>
        <w:t> </w:t>
      </w:r>
      <w:r w:rsidRPr="0051737D">
        <w:rPr>
          <w:rFonts w:eastAsia="Times New Roman" w:cs="Times New Roman"/>
          <w:color w:val="000000"/>
        </w:rPr>
        <w:t xml:space="preserve">47.)  ‘One of the most common types of promise that is too indefinite for legal enforcement is the </w:t>
      </w:r>
      <w:r w:rsidRPr="0051737D">
        <w:rPr>
          <w:rFonts w:eastAsia="Times New Roman" w:cs="Times New Roman"/>
          <w:color w:val="000000"/>
        </w:rPr>
        <w:t>promise where the promisor retains an unlimited right to decide later the nature or extent of his or her performance.  This unlimited choice in effect destroys the promise and makes it</w:t>
      </w:r>
      <w:r>
        <w:rPr>
          <w:rFonts w:eastAsia="Times New Roman" w:cs="Times New Roman"/>
          <w:color w:val="000000"/>
        </w:rPr>
        <w:t xml:space="preserve"> </w:t>
      </w:r>
      <w:r w:rsidRPr="0051737D">
        <w:rPr>
          <w:rFonts w:eastAsia="Times New Roman" w:cs="Times New Roman"/>
          <w:color w:val="000000"/>
          <w:bdr w:val="none" w:sz="0" w:space="0" w:color="auto" w:frame="1"/>
        </w:rPr>
        <w:t>illusory</w:t>
      </w:r>
      <w:r w:rsidRPr="0051737D">
        <w:rPr>
          <w:rFonts w:eastAsia="Times New Roman" w:cs="Times New Roman"/>
          <w:color w:val="000000"/>
        </w:rPr>
        <w:t xml:space="preserve">.’ </w:t>
      </w:r>
      <w:r>
        <w:rPr>
          <w:rFonts w:eastAsia="Times New Roman" w:cs="Times New Roman"/>
          <w:color w:val="000000"/>
        </w:rPr>
        <w:t xml:space="preserve"> </w:t>
      </w:r>
      <w:r w:rsidRPr="0051737D">
        <w:rPr>
          <w:rFonts w:eastAsia="Times New Roman" w:cs="Times New Roman"/>
          <w:color w:val="000000"/>
        </w:rPr>
        <w:t>(1</w:t>
      </w:r>
      <w:r>
        <w:rPr>
          <w:rFonts w:eastAsia="Times New Roman" w:cs="Times New Roman"/>
          <w:color w:val="000000"/>
        </w:rPr>
        <w:t> </w:t>
      </w:r>
      <w:r w:rsidRPr="0051737D">
        <w:rPr>
          <w:rFonts w:eastAsia="Times New Roman" w:cs="Times New Roman"/>
          <w:color w:val="000000"/>
        </w:rPr>
        <w:t>Williston on Contracts (4th ed. 2007) §</w:t>
      </w:r>
      <w:r>
        <w:rPr>
          <w:rFonts w:eastAsia="Times New Roman" w:cs="Times New Roman"/>
          <w:color w:val="000000"/>
        </w:rPr>
        <w:t> </w:t>
      </w:r>
      <w:r w:rsidRPr="0051737D">
        <w:rPr>
          <w:rFonts w:eastAsia="Times New Roman" w:cs="Times New Roman"/>
          <w:color w:val="000000"/>
        </w:rPr>
        <w:t>4:27, pp.</w:t>
      </w:r>
      <w:r>
        <w:rPr>
          <w:rFonts w:eastAsia="Times New Roman" w:cs="Times New Roman"/>
          <w:color w:val="000000"/>
        </w:rPr>
        <w:t> </w:t>
      </w:r>
      <w:r w:rsidRPr="0051737D">
        <w:rPr>
          <w:rFonts w:eastAsia="Times New Roman" w:cs="Times New Roman"/>
          <w:color w:val="000000"/>
        </w:rPr>
        <w:t>804–80</w:t>
      </w:r>
      <w:r w:rsidRPr="0051737D">
        <w:rPr>
          <w:rFonts w:eastAsia="Times New Roman" w:cs="Times New Roman"/>
          <w:color w:val="000000"/>
        </w:rPr>
        <w:t>5, fns. omitted; accord, 1</w:t>
      </w:r>
      <w:r>
        <w:rPr>
          <w:rFonts w:eastAsia="Times New Roman" w:cs="Times New Roman"/>
          <w:color w:val="000000"/>
        </w:rPr>
        <w:t> </w:t>
      </w:r>
      <w:r w:rsidRPr="0051737D">
        <w:rPr>
          <w:rFonts w:eastAsia="Times New Roman" w:cs="Times New Roman"/>
          <w:color w:val="000000"/>
        </w:rPr>
        <w:t>Witkin, Summary of Cal. Law (10th ed. 2005) Contracts, §§</w:t>
      </w:r>
      <w:r>
        <w:rPr>
          <w:rFonts w:eastAsia="Times New Roman" w:cs="Times New Roman"/>
          <w:color w:val="000000"/>
        </w:rPr>
        <w:t> </w:t>
      </w:r>
      <w:r w:rsidRPr="0051737D">
        <w:rPr>
          <w:rFonts w:eastAsia="Times New Roman" w:cs="Times New Roman"/>
          <w:color w:val="000000"/>
        </w:rPr>
        <w:t>230–231, pp.</w:t>
      </w:r>
      <w:r>
        <w:rPr>
          <w:rFonts w:eastAsia="Times New Roman" w:cs="Times New Roman"/>
          <w:color w:val="000000"/>
        </w:rPr>
        <w:t> </w:t>
      </w:r>
      <w:r w:rsidRPr="0051737D">
        <w:rPr>
          <w:rFonts w:eastAsia="Times New Roman" w:cs="Times New Roman"/>
          <w:color w:val="000000"/>
        </w:rPr>
        <w:t>264–266.)”  (</w:t>
      </w:r>
      <w:r w:rsidRPr="001D3624">
        <w:rPr>
          <w:rFonts w:eastAsia="Times New Roman" w:cs="Times New Roman"/>
          <w:i/>
          <w:iCs/>
          <w:color w:val="000000"/>
          <w:bdr w:val="none" w:sz="0" w:space="0" w:color="auto" w:frame="1"/>
        </w:rPr>
        <w:t>Peleg</w:t>
      </w:r>
      <w:r>
        <w:rPr>
          <w:rFonts w:eastAsia="Times New Roman" w:cs="Times New Roman"/>
          <w:color w:val="000000"/>
        </w:rPr>
        <w:t xml:space="preserve">, </w:t>
      </w:r>
      <w:r w:rsidRPr="003F3E60">
        <w:rPr>
          <w:rFonts w:eastAsia="Times New Roman" w:cs="Times New Roman"/>
          <w:i/>
          <w:iCs/>
          <w:color w:val="000000"/>
        </w:rPr>
        <w:t>supra</w:t>
      </w:r>
      <w:r>
        <w:rPr>
          <w:rFonts w:eastAsia="Times New Roman" w:cs="Times New Roman"/>
          <w:color w:val="000000"/>
        </w:rPr>
        <w:t xml:space="preserve">, </w:t>
      </w:r>
      <w:r w:rsidRPr="001D3624">
        <w:rPr>
          <w:rFonts w:eastAsia="Times New Roman" w:cs="Times New Roman"/>
          <w:color w:val="000000"/>
        </w:rPr>
        <w:t>204</w:t>
      </w:r>
      <w:r>
        <w:rPr>
          <w:rFonts w:eastAsia="Times New Roman" w:cs="Times New Roman"/>
          <w:color w:val="000000"/>
        </w:rPr>
        <w:t> </w:t>
      </w:r>
      <w:r w:rsidRPr="001D3624">
        <w:rPr>
          <w:rFonts w:eastAsia="Times New Roman" w:cs="Times New Roman"/>
          <w:color w:val="000000"/>
        </w:rPr>
        <w:t xml:space="preserve">Cal.App.4th </w:t>
      </w:r>
      <w:r>
        <w:rPr>
          <w:rFonts w:eastAsia="Times New Roman" w:cs="Times New Roman"/>
          <w:color w:val="000000"/>
        </w:rPr>
        <w:t>at pp.</w:t>
      </w:r>
      <w:r w:rsidRPr="00E4425E">
        <w:rPr>
          <w:rFonts w:eastAsia="Times New Roman" w:cs="Times New Roman"/>
          <w:color w:val="000000"/>
        </w:rPr>
        <w:t> </w:t>
      </w:r>
      <w:r w:rsidRPr="001D3624">
        <w:rPr>
          <w:rFonts w:eastAsia="Times New Roman" w:cs="Times New Roman"/>
          <w:color w:val="000000"/>
        </w:rPr>
        <w:t>1438</w:t>
      </w:r>
      <w:r>
        <w:rPr>
          <w:rFonts w:eastAsia="Times New Roman" w:cs="Times New Roman"/>
          <w:color w:val="000000"/>
        </w:rPr>
        <w:t>–1439</w:t>
      </w:r>
      <w:r w:rsidRPr="001C28BC">
        <w:rPr>
          <w:rFonts w:eastAsia="Times New Roman" w:cs="Times New Roman"/>
          <w:color w:val="000000"/>
        </w:rPr>
        <w:t>.)</w:t>
      </w:r>
    </w:p>
  </w:footnote>
  <w:footnote w:id="20">
    <w:p w14:paraId="3A6DB60B" w14:textId="77777777" w:rsidR="000C653C" w:rsidRDefault="009849E9">
      <w:pPr>
        <w:pStyle w:val="FootnoteText"/>
      </w:pPr>
      <w:r>
        <w:rPr>
          <w:rStyle w:val="FootnoteReference"/>
        </w:rPr>
        <w:footnoteRef/>
      </w:r>
      <w:r>
        <w:t xml:space="preserve"> </w:t>
      </w:r>
      <w:r w:rsidRPr="001A6699">
        <w:rPr>
          <w:szCs w:val="26"/>
        </w:rPr>
        <w:t xml:space="preserve">Causation in the </w:t>
      </w:r>
      <w:r w:rsidRPr="005712ED">
        <w:rPr>
          <w:szCs w:val="26"/>
        </w:rPr>
        <w:t>pathogenic sense is a</w:t>
      </w:r>
      <w:r w:rsidRPr="001A6699">
        <w:rPr>
          <w:szCs w:val="26"/>
        </w:rPr>
        <w:t xml:space="preserve"> well-known standard in tort law scenarios where the decisional focus is on whether microscopic particulates “cause” disease. </w:t>
      </w:r>
      <w:r>
        <w:rPr>
          <w:szCs w:val="26"/>
        </w:rPr>
        <w:t xml:space="preserve"> </w:t>
      </w:r>
      <w:r w:rsidRPr="001A6699">
        <w:rPr>
          <w:szCs w:val="26"/>
        </w:rPr>
        <w:t xml:space="preserve">(See </w:t>
      </w:r>
      <w:r w:rsidRPr="001A6699">
        <w:rPr>
          <w:rFonts w:eastAsia="Times New Roman" w:cs="Times New Roman"/>
          <w:i/>
          <w:iCs/>
          <w:color w:val="000000"/>
          <w:szCs w:val="26"/>
          <w:bdr w:val="none" w:sz="0" w:space="0" w:color="auto" w:frame="1"/>
        </w:rPr>
        <w:t>Rutherford v. Owens-Illinois, Inc.</w:t>
      </w:r>
      <w:r>
        <w:rPr>
          <w:rFonts w:eastAsia="Times New Roman" w:cs="Times New Roman"/>
          <w:color w:val="000000"/>
          <w:szCs w:val="26"/>
        </w:rPr>
        <w:t xml:space="preserve"> </w:t>
      </w:r>
      <w:r w:rsidRPr="001A6699">
        <w:rPr>
          <w:rFonts w:eastAsia="Times New Roman" w:cs="Times New Roman"/>
          <w:color w:val="000000"/>
          <w:szCs w:val="26"/>
        </w:rPr>
        <w:t>(1997) 16</w:t>
      </w:r>
      <w:r>
        <w:rPr>
          <w:rFonts w:eastAsia="Times New Roman" w:cs="Times New Roman"/>
          <w:color w:val="000000"/>
          <w:szCs w:val="26"/>
        </w:rPr>
        <w:t> </w:t>
      </w:r>
      <w:r w:rsidRPr="001A6699">
        <w:rPr>
          <w:rFonts w:eastAsia="Times New Roman" w:cs="Times New Roman"/>
          <w:color w:val="000000"/>
          <w:szCs w:val="26"/>
        </w:rPr>
        <w:t>Cal.4th 953, 982 [asbestos exposure].)</w:t>
      </w:r>
      <w:r>
        <w:rPr>
          <w:rFonts w:eastAsia="Times New Roman" w:cs="Times New Roman"/>
          <w:color w:val="000000"/>
          <w:szCs w:val="26"/>
        </w:rPr>
        <w:t xml:space="preserve">  The operative complaint can be reasonab</w:t>
      </w:r>
      <w:r>
        <w:rPr>
          <w:rFonts w:eastAsia="Times New Roman" w:cs="Times New Roman"/>
          <w:color w:val="000000"/>
          <w:szCs w:val="26"/>
        </w:rPr>
        <w:t xml:space="preserve">ly read to rely upon this theory of causation.  </w:t>
      </w:r>
      <w:r>
        <w:t>John’s Grill alleges that “</w:t>
      </w:r>
      <w:r w:rsidRPr="008549DD">
        <w:t xml:space="preserve">viruses are unique in that they cannot reproduce without access to a living host cell, whereas the other agents covered by the </w:t>
      </w:r>
      <w:r w:rsidRPr="00CA2D89">
        <w:t>Policy’s [Limited Virus Coverage] can and often do rep</w:t>
      </w:r>
      <w:r w:rsidRPr="00CA2D89">
        <w:t>roduce outside a host organism, such as when fungus or mold spores land in a humid environment, reproduce, grow, and proliferate.  By contrast, a virus may survive briefly outs</w:t>
      </w:r>
      <w:r w:rsidRPr="008549DD">
        <w:t>ide a host organism (such as when virus is shed), but it cannot reproduce there</w:t>
      </w:r>
      <w:r>
        <w:t>.</w:t>
      </w:r>
      <w:r>
        <w:t>”</w:t>
      </w:r>
    </w:p>
  </w:footnote>
  <w:footnote w:id="21">
    <w:p w14:paraId="1DEDA063" w14:textId="77777777" w:rsidR="00C70983" w:rsidRDefault="009849E9">
      <w:pPr>
        <w:pStyle w:val="FootnoteText"/>
      </w:pPr>
      <w:r w:rsidRPr="003F5A35">
        <w:rPr>
          <w:rStyle w:val="FootnoteReference"/>
          <w:szCs w:val="26"/>
        </w:rPr>
        <w:footnoteRef/>
      </w:r>
      <w:r w:rsidRPr="003F5A35">
        <w:rPr>
          <w:szCs w:val="26"/>
        </w:rPr>
        <w:t xml:space="preserve"> All of these cases appear to involve Sentinel</w:t>
      </w:r>
      <w:r w:rsidRPr="00BE2303">
        <w:rPr>
          <w:szCs w:val="26"/>
        </w:rPr>
        <w:t xml:space="preserve">, </w:t>
      </w:r>
      <w:r w:rsidRPr="00AC58B3">
        <w:rPr>
          <w:szCs w:val="26"/>
        </w:rPr>
        <w:t>Twin City Fire Insurance Company</w:t>
      </w:r>
      <w:r w:rsidRPr="008F149B">
        <w:rPr>
          <w:szCs w:val="26"/>
        </w:rPr>
        <w:t>, or Hartford Fire Insurance Company</w:t>
      </w:r>
      <w:r w:rsidRPr="00CC3389">
        <w:rPr>
          <w:szCs w:val="26"/>
        </w:rPr>
        <w:t xml:space="preserve">, each of which is </w:t>
      </w:r>
      <w:r>
        <w:rPr>
          <w:szCs w:val="26"/>
        </w:rPr>
        <w:t xml:space="preserve">an affiliated company </w:t>
      </w:r>
      <w:r w:rsidRPr="00CC3389">
        <w:rPr>
          <w:szCs w:val="26"/>
        </w:rPr>
        <w:t xml:space="preserve">in </w:t>
      </w:r>
      <w:r w:rsidRPr="001F1358">
        <w:rPr>
          <w:szCs w:val="26"/>
        </w:rPr>
        <w:t>the HFSG family of Hartford companies, a finding</w:t>
      </w:r>
      <w:r w:rsidRPr="00CC3389">
        <w:rPr>
          <w:szCs w:val="26"/>
        </w:rPr>
        <w:t xml:space="preserve"> </w:t>
      </w:r>
      <w:r>
        <w:rPr>
          <w:szCs w:val="26"/>
        </w:rPr>
        <w:t xml:space="preserve">that </w:t>
      </w:r>
      <w:r w:rsidRPr="00375C3B">
        <w:rPr>
          <w:szCs w:val="26"/>
        </w:rPr>
        <w:t>the trial court</w:t>
      </w:r>
      <w:r w:rsidRPr="00186000">
        <w:rPr>
          <w:szCs w:val="26"/>
        </w:rPr>
        <w:t xml:space="preserve"> in this case made with </w:t>
      </w:r>
      <w:r w:rsidRPr="00186000">
        <w:rPr>
          <w:szCs w:val="26"/>
        </w:rPr>
        <w:t xml:space="preserve">respect to Sentinel and </w:t>
      </w:r>
      <w:r>
        <w:rPr>
          <w:szCs w:val="26"/>
        </w:rPr>
        <w:t xml:space="preserve">that we see </w:t>
      </w:r>
      <w:r w:rsidRPr="00AC58B3">
        <w:rPr>
          <w:szCs w:val="26"/>
        </w:rPr>
        <w:t xml:space="preserve">trial courts </w:t>
      </w:r>
      <w:r>
        <w:rPr>
          <w:szCs w:val="26"/>
        </w:rPr>
        <w:t xml:space="preserve">have </w:t>
      </w:r>
      <w:r w:rsidRPr="00AC58B3">
        <w:rPr>
          <w:szCs w:val="26"/>
        </w:rPr>
        <w:t xml:space="preserve">made </w:t>
      </w:r>
      <w:r>
        <w:rPr>
          <w:szCs w:val="26"/>
        </w:rPr>
        <w:t xml:space="preserve">elsewhere </w:t>
      </w:r>
      <w:r w:rsidRPr="00AC58B3">
        <w:rPr>
          <w:szCs w:val="26"/>
        </w:rPr>
        <w:t>with respect to Twin City Fire and Hartford Fire</w:t>
      </w:r>
      <w:r>
        <w:rPr>
          <w:szCs w:val="26"/>
        </w:rPr>
        <w:t>.</w:t>
      </w:r>
      <w:r w:rsidRPr="00BE2303">
        <w:rPr>
          <w:szCs w:val="26"/>
        </w:rPr>
        <w:t xml:space="preserve"> </w:t>
      </w:r>
      <w:r w:rsidRPr="00AC58B3">
        <w:rPr>
          <w:szCs w:val="26"/>
        </w:rPr>
        <w:t xml:space="preserve"> (See</w:t>
      </w:r>
      <w:r>
        <w:rPr>
          <w:szCs w:val="26"/>
        </w:rPr>
        <w:t>,</w:t>
      </w:r>
      <w:r w:rsidRPr="00AC58B3">
        <w:rPr>
          <w:szCs w:val="26"/>
        </w:rPr>
        <w:t xml:space="preserve"> e.g.</w:t>
      </w:r>
      <w:r>
        <w:rPr>
          <w:szCs w:val="26"/>
        </w:rPr>
        <w:t>,</w:t>
      </w:r>
      <w:r w:rsidRPr="00AC58B3">
        <w:rPr>
          <w:szCs w:val="26"/>
        </w:rPr>
        <w:t xml:space="preserve"> </w:t>
      </w:r>
      <w:r w:rsidRPr="00296607">
        <w:rPr>
          <w:rFonts w:eastAsia="Times New Roman" w:cs="Times New Roman"/>
          <w:i/>
          <w:color w:val="000000"/>
          <w:szCs w:val="26"/>
          <w:bdr w:val="none" w:sz="0" w:space="0" w:color="auto" w:frame="1"/>
        </w:rPr>
        <w:t>Rosalez v. Hartford Financial Services Group</w:t>
      </w:r>
      <w:r w:rsidRPr="00296607">
        <w:rPr>
          <w:rFonts w:eastAsia="Times New Roman" w:cs="Times New Roman"/>
          <w:i/>
          <w:iCs/>
          <w:color w:val="000000"/>
          <w:szCs w:val="26"/>
          <w:bdr w:val="none" w:sz="0" w:space="0" w:color="auto" w:frame="1"/>
        </w:rPr>
        <w:t>, Inc.</w:t>
      </w:r>
      <w:r w:rsidRPr="00296607">
        <w:rPr>
          <w:rFonts w:eastAsia="Times New Roman" w:cs="Times New Roman"/>
          <w:color w:val="000000"/>
          <w:szCs w:val="26"/>
        </w:rPr>
        <w:t xml:space="preserve"> (D.Ariz., </w:t>
      </w:r>
      <w:r w:rsidRPr="00605D40">
        <w:rPr>
          <w:color w:val="000000"/>
          <w:bdr w:val="none" w:sz="0" w:space="0" w:color="auto" w:frame="1"/>
        </w:rPr>
        <w:t>Feb. 3, 2021, No. CV-20-00766-PHX-JJT) 2021 WL 363856.</w:t>
      </w:r>
      <w:r w:rsidRPr="00605D40">
        <w:rPr>
          <w:rFonts w:eastAsia="Times New Roman" w:cs="Times New Roman"/>
          <w:color w:val="000000"/>
          <w:szCs w:val="26"/>
        </w:rPr>
        <w:t>)</w:t>
      </w:r>
    </w:p>
  </w:footnote>
  <w:footnote w:id="22">
    <w:p w14:paraId="402EA804" w14:textId="77777777" w:rsidR="00D91186" w:rsidRPr="002D7A14" w:rsidRDefault="009849E9" w:rsidP="00A85FE8">
      <w:pPr>
        <w:spacing w:after="120" w:line="240" w:lineRule="auto"/>
        <w:rPr>
          <w:rFonts w:eastAsia="Times New Roman" w:cs="Times New Roman"/>
          <w:color w:val="000000"/>
        </w:rPr>
      </w:pPr>
      <w:r w:rsidRPr="00AE6AA5">
        <w:rPr>
          <w:rStyle w:val="FootnoteReference"/>
        </w:rPr>
        <w:footnoteRef/>
      </w:r>
      <w:r w:rsidRPr="00AE6AA5">
        <w:rPr>
          <w:rFonts w:eastAsia="Times New Roman" w:cs="Times New Roman"/>
          <w:i/>
          <w:iCs/>
          <w:color w:val="000000"/>
          <w:bdr w:val="none" w:sz="0" w:space="0" w:color="auto" w:frame="1"/>
        </w:rPr>
        <w:t xml:space="preserve"> </w:t>
      </w:r>
      <w:r w:rsidRPr="00605D40">
        <w:rPr>
          <w:i/>
          <w:iCs/>
          <w:color w:val="000000"/>
          <w:bdr w:val="none" w:sz="0" w:space="0" w:color="auto" w:frame="1"/>
        </w:rPr>
        <w:t>Barbizon School of San Francisco, Inc. v. Sentinel Ins. Co., Ltd.</w:t>
      </w:r>
      <w:r w:rsidRPr="00605D40">
        <w:rPr>
          <w:color w:val="000000"/>
          <w:bdr w:val="none" w:sz="0" w:space="0" w:color="auto" w:frame="1"/>
        </w:rPr>
        <w:t xml:space="preserve"> (N.D.Cal., Dec. 3, 2021, No. 20</w:t>
      </w:r>
      <w:r w:rsidRPr="00605D40">
        <w:rPr>
          <w:color w:val="000000"/>
          <w:bdr w:val="none" w:sz="0" w:space="0" w:color="auto" w:frame="1"/>
        </w:rPr>
        <w:noBreakHyphen/>
        <w:t>cv</w:t>
      </w:r>
      <w:r w:rsidRPr="00605D40">
        <w:rPr>
          <w:color w:val="000000"/>
          <w:bdr w:val="none" w:sz="0" w:space="0" w:color="auto" w:frame="1"/>
        </w:rPr>
        <w:noBreakHyphen/>
        <w:t>08578</w:t>
      </w:r>
      <w:r w:rsidRPr="00605D40">
        <w:rPr>
          <w:color w:val="000000"/>
          <w:bdr w:val="none" w:sz="0" w:space="0" w:color="auto" w:frame="1"/>
        </w:rPr>
        <w:noBreakHyphen/>
        <w:t>TSH) 2021 WL 5758890</w:t>
      </w:r>
      <w:r w:rsidRPr="00AE6AA5">
        <w:rPr>
          <w:rFonts w:eastAsia="Times New Roman" w:cs="Times New Roman"/>
          <w:color w:val="000000"/>
        </w:rPr>
        <w:t xml:space="preserve">; </w:t>
      </w:r>
      <w:r w:rsidRPr="00AE6AA5">
        <w:rPr>
          <w:rFonts w:eastAsia="Times New Roman" w:cs="Times New Roman"/>
          <w:i/>
          <w:iCs/>
          <w:color w:val="000000"/>
          <w:bdr w:val="none" w:sz="0" w:space="0" w:color="auto" w:frame="1"/>
        </w:rPr>
        <w:t>Mostre Exhibits, LLC v. Sentinel Ins. Co., Ltd.</w:t>
      </w:r>
      <w:r w:rsidRPr="00AE6AA5">
        <w:rPr>
          <w:rFonts w:eastAsia="Times New Roman" w:cs="Times New Roman"/>
          <w:color w:val="000000"/>
        </w:rPr>
        <w:t xml:space="preserve"> (S.D.Cal., Oct. 15, 2021, No. 20-cv-1332-BAS-BLM) 2021 WL 4819411; </w:t>
      </w:r>
      <w:r w:rsidRPr="00AE6AA5">
        <w:rPr>
          <w:rFonts w:eastAsia="Times New Roman" w:cs="Times New Roman"/>
          <w:i/>
          <w:iCs/>
          <w:color w:val="000000"/>
        </w:rPr>
        <w:t>Protégé</w:t>
      </w:r>
      <w:r w:rsidRPr="00AE6AA5">
        <w:rPr>
          <w:rFonts w:eastAsia="Times New Roman" w:cs="Times New Roman"/>
          <w:i/>
          <w:iCs/>
          <w:color w:val="000000"/>
          <w:bdr w:val="none" w:sz="0" w:space="0" w:color="auto" w:frame="1"/>
        </w:rPr>
        <w:t xml:space="preserve"> Rest</w:t>
      </w:r>
      <w:r w:rsidRPr="00AE6AA5">
        <w:rPr>
          <w:rFonts w:eastAsia="Times New Roman" w:cs="Times New Roman"/>
          <w:i/>
          <w:iCs/>
          <w:color w:val="000000"/>
          <w:bdr w:val="none" w:sz="0" w:space="0" w:color="auto" w:frame="1"/>
        </w:rPr>
        <w:t>aurant Partners LLC v. Sentinel Ins. Co., Ltd.</w:t>
      </w:r>
      <w:r w:rsidRPr="00AE6AA5">
        <w:rPr>
          <w:rFonts w:eastAsia="Times New Roman" w:cs="Times New Roman"/>
          <w:color w:val="000000"/>
        </w:rPr>
        <w:t xml:space="preserve"> (N.D.Cal., Sept. 28, 2021, No. 20-cv-03674-BLF) 2021 WL 4442652, *4, </w:t>
      </w:r>
      <w:r w:rsidRPr="00AE6AA5">
        <w:rPr>
          <w:rFonts w:eastAsia="Times New Roman" w:cs="Times New Roman"/>
          <w:color w:val="000000"/>
          <w:bdr w:val="none" w:sz="0" w:space="0" w:color="auto" w:frame="1"/>
        </w:rPr>
        <w:t>affd. (9th Cir. 2022) 2022 WL 14476377</w:t>
      </w:r>
      <w:r w:rsidRPr="00AE6AA5">
        <w:rPr>
          <w:rFonts w:eastAsia="Times New Roman" w:cs="Times New Roman"/>
          <w:color w:val="000000"/>
        </w:rPr>
        <w:t xml:space="preserve"> (mem. opn.); </w:t>
      </w:r>
      <w:r w:rsidRPr="00AE6AA5">
        <w:rPr>
          <w:rFonts w:eastAsia="Times New Roman" w:cs="Times New Roman"/>
          <w:i/>
          <w:iCs/>
          <w:color w:val="000000"/>
          <w:bdr w:val="none" w:sz="0" w:space="0" w:color="auto" w:frame="1"/>
        </w:rPr>
        <w:t xml:space="preserve">Ets-Hokin v. </w:t>
      </w:r>
      <w:r w:rsidRPr="00C66734">
        <w:rPr>
          <w:rFonts w:eastAsia="Times New Roman" w:cs="Times New Roman"/>
          <w:i/>
          <w:iCs/>
          <w:color w:val="000000"/>
          <w:bdr w:val="none" w:sz="0" w:space="0" w:color="auto" w:frame="1"/>
        </w:rPr>
        <w:t>Sentinel Ins. Co., Ltd.</w:t>
      </w:r>
      <w:r w:rsidRPr="00C66734">
        <w:rPr>
          <w:rFonts w:eastAsia="Times New Roman" w:cs="Times New Roman"/>
          <w:color w:val="000000"/>
        </w:rPr>
        <w:t xml:space="preserve"> (N.D.Cal., Aug. 27, 2021, No. 20-cv-06518-JST) 2021 WL 4472692; </w:t>
      </w:r>
      <w:r w:rsidRPr="00C66734">
        <w:rPr>
          <w:rFonts w:eastAsia="Times New Roman" w:cs="Times New Roman"/>
          <w:i/>
          <w:iCs/>
          <w:color w:val="000000"/>
          <w:bdr w:val="none" w:sz="0" w:space="0" w:color="auto" w:frame="1"/>
        </w:rPr>
        <w:t>Hair Perfect International, Inc. v. Sentinel Ins. Co., Ltd.</w:t>
      </w:r>
      <w:r w:rsidRPr="00C66734">
        <w:rPr>
          <w:rFonts w:eastAsia="Times New Roman" w:cs="Times New Roman"/>
          <w:color w:val="000000"/>
        </w:rPr>
        <w:t xml:space="preserve"> (C.D.Cal., May 20, 2021, No. LA CV20-03729 JAK (KSx)) 2021 WL 2143459; </w:t>
      </w:r>
      <w:r w:rsidRPr="00C66734">
        <w:rPr>
          <w:rFonts w:eastAsia="Times New Roman" w:cs="Times New Roman"/>
          <w:i/>
          <w:iCs/>
          <w:color w:val="000000"/>
          <w:bdr w:val="none" w:sz="0" w:space="0" w:color="auto" w:frame="1"/>
        </w:rPr>
        <w:t>French Laundry Partners, LP v. Hartford Fire Ins. Co.</w:t>
      </w:r>
      <w:r w:rsidRPr="00C66734">
        <w:rPr>
          <w:rFonts w:eastAsia="Times New Roman" w:cs="Times New Roman"/>
          <w:color w:val="000000"/>
        </w:rPr>
        <w:t xml:space="preserve"> (N.D.C</w:t>
      </w:r>
      <w:r w:rsidRPr="00C66734">
        <w:rPr>
          <w:rFonts w:eastAsia="Times New Roman" w:cs="Times New Roman"/>
          <w:color w:val="000000"/>
        </w:rPr>
        <w:t>al. 2021) 535 F.Supp.3d 897</w:t>
      </w:r>
      <w:r w:rsidRPr="0003617A">
        <w:rPr>
          <w:rFonts w:eastAsia="Times New Roman" w:cs="Times New Roman"/>
          <w:color w:val="000000"/>
        </w:rPr>
        <w:t xml:space="preserve"> (</w:t>
      </w:r>
      <w:r w:rsidRPr="0003617A">
        <w:rPr>
          <w:rFonts w:eastAsia="Times New Roman" w:cs="Times New Roman"/>
          <w:i/>
          <w:iCs/>
          <w:color w:val="000000"/>
        </w:rPr>
        <w:t>French Laundry</w:t>
      </w:r>
      <w:r w:rsidRPr="0003617A">
        <w:rPr>
          <w:rFonts w:eastAsia="Times New Roman" w:cs="Times New Roman"/>
          <w:color w:val="000000"/>
        </w:rPr>
        <w:t>)</w:t>
      </w:r>
      <w:r w:rsidRPr="007402D9">
        <w:rPr>
          <w:rFonts w:eastAsia="Times New Roman" w:cs="Times New Roman"/>
          <w:color w:val="000000"/>
        </w:rPr>
        <w:t xml:space="preserve">; </w:t>
      </w:r>
      <w:r w:rsidRPr="007402D9">
        <w:rPr>
          <w:rFonts w:eastAsia="Times New Roman" w:cs="Times New Roman"/>
          <w:i/>
          <w:iCs/>
          <w:color w:val="000000"/>
          <w:bdr w:val="none" w:sz="0" w:space="0" w:color="auto" w:frame="1"/>
        </w:rPr>
        <w:t>Westside Head &amp; Neck v. Hartford Fin. Servs. Group</w:t>
      </w:r>
      <w:r w:rsidRPr="007402D9">
        <w:rPr>
          <w:rFonts w:eastAsia="Times New Roman" w:cs="Times New Roman"/>
          <w:color w:val="000000"/>
        </w:rPr>
        <w:t xml:space="preserve"> (C.D.Cal. 2021) 526 F.Supp.3d 727; </w:t>
      </w:r>
      <w:r w:rsidRPr="007402D9">
        <w:rPr>
          <w:rFonts w:eastAsia="Times New Roman" w:cs="Times New Roman"/>
          <w:i/>
          <w:iCs/>
          <w:color w:val="000000"/>
          <w:bdr w:val="none" w:sz="0" w:space="0" w:color="auto" w:frame="1"/>
        </w:rPr>
        <w:t>Colgan v. Sentinel Ins. Company, Ltd.</w:t>
      </w:r>
      <w:r w:rsidRPr="007402D9">
        <w:rPr>
          <w:rFonts w:eastAsia="Times New Roman" w:cs="Times New Roman"/>
          <w:color w:val="000000"/>
        </w:rPr>
        <w:t xml:space="preserve"> (N.D.Cal. 2021) 515 F.Supp.3d 1082</w:t>
      </w:r>
      <w:r>
        <w:rPr>
          <w:rFonts w:eastAsia="Times New Roman" w:cs="Times New Roman"/>
          <w:color w:val="000000"/>
        </w:rPr>
        <w:t xml:space="preserve"> (</w:t>
      </w:r>
      <w:r w:rsidRPr="00641D4A">
        <w:rPr>
          <w:rFonts w:eastAsia="Times New Roman" w:cs="Times New Roman"/>
          <w:i/>
          <w:iCs/>
          <w:color w:val="000000"/>
        </w:rPr>
        <w:t>Colgan</w:t>
      </w:r>
      <w:r>
        <w:rPr>
          <w:rFonts w:eastAsia="Times New Roman" w:cs="Times New Roman"/>
          <w:color w:val="000000"/>
        </w:rPr>
        <w:t>)</w:t>
      </w:r>
      <w:r w:rsidRPr="007402D9">
        <w:rPr>
          <w:rFonts w:eastAsia="Times New Roman" w:cs="Times New Roman"/>
          <w:color w:val="000000"/>
        </w:rPr>
        <w:t xml:space="preserve">; </w:t>
      </w:r>
      <w:r w:rsidRPr="007402D9">
        <w:rPr>
          <w:rFonts w:eastAsia="Times New Roman" w:cs="Times New Roman"/>
          <w:i/>
          <w:iCs/>
          <w:color w:val="000000"/>
          <w:bdr w:val="none" w:sz="0" w:space="0" w:color="auto" w:frame="1"/>
        </w:rPr>
        <w:t>Franklin EWC, Inc. v. Hartford Fin. Servs</w:t>
      </w:r>
      <w:r w:rsidRPr="007402D9">
        <w:rPr>
          <w:rFonts w:eastAsia="Times New Roman" w:cs="Times New Roman"/>
          <w:i/>
          <w:iCs/>
          <w:color w:val="000000"/>
          <w:bdr w:val="none" w:sz="0" w:space="0" w:color="auto" w:frame="1"/>
        </w:rPr>
        <w:t>. Group</w:t>
      </w:r>
      <w:r w:rsidRPr="007402D9">
        <w:rPr>
          <w:rFonts w:eastAsia="Times New Roman" w:cs="Times New Roman"/>
          <w:color w:val="000000"/>
        </w:rPr>
        <w:t xml:space="preserve"> (N.D.Cal. 2020) 506 F.Supp.3d 854</w:t>
      </w:r>
      <w:r>
        <w:rPr>
          <w:rFonts w:eastAsia="Times New Roman" w:cs="Times New Roman"/>
          <w:color w:val="000000"/>
        </w:rPr>
        <w:t xml:space="preserve"> (</w:t>
      </w:r>
      <w:r w:rsidRPr="008578BA">
        <w:rPr>
          <w:rFonts w:eastAsia="Times New Roman" w:cs="Times New Roman"/>
          <w:i/>
          <w:iCs/>
          <w:color w:val="000000"/>
        </w:rPr>
        <w:t>Franklin EW</w:t>
      </w:r>
      <w:r w:rsidRPr="008578BA">
        <w:rPr>
          <w:rFonts w:eastAsia="Times New Roman" w:cs="Times New Roman"/>
          <w:i/>
          <w:iCs/>
          <w:color w:val="000000"/>
          <w:spacing w:val="20"/>
        </w:rPr>
        <w:t>C</w:t>
      </w:r>
      <w:r>
        <w:rPr>
          <w:rFonts w:eastAsia="Times New Roman" w:cs="Times New Roman"/>
          <w:color w:val="000000"/>
        </w:rPr>
        <w:t>)</w:t>
      </w:r>
      <w:r w:rsidRPr="007402D9">
        <w:rPr>
          <w:rFonts w:eastAsia="Times New Roman" w:cs="Times New Roman"/>
          <w:color w:val="000000"/>
        </w:rPr>
        <w:t>.</w:t>
      </w:r>
    </w:p>
  </w:footnote>
  <w:footnote w:id="23">
    <w:p w14:paraId="58F0882E" w14:textId="77777777" w:rsidR="008D649B" w:rsidRPr="002311B2" w:rsidRDefault="009849E9" w:rsidP="00C32E77">
      <w:pPr>
        <w:spacing w:after="120" w:line="240" w:lineRule="auto"/>
        <w:rPr>
          <w:rFonts w:eastAsia="Times New Roman" w:cs="Times New Roman"/>
          <w:color w:val="000000"/>
        </w:rPr>
      </w:pPr>
      <w:r>
        <w:rPr>
          <w:rStyle w:val="FootnoteReference"/>
        </w:rPr>
        <w:footnoteRef/>
      </w:r>
      <w:r>
        <w:t xml:space="preserve"> </w:t>
      </w:r>
      <w:r w:rsidRPr="009808A6">
        <w:t>See</w:t>
      </w:r>
      <w:r>
        <w:t xml:space="preserve">, </w:t>
      </w:r>
      <w:r w:rsidRPr="009808A6">
        <w:t>e.g.</w:t>
      </w:r>
      <w:r>
        <w:t xml:space="preserve">, </w:t>
      </w:r>
      <w:r w:rsidRPr="00C92166">
        <w:rPr>
          <w:i/>
          <w:iCs/>
        </w:rPr>
        <w:t>Mostre Exhibits</w:t>
      </w:r>
      <w:r w:rsidRPr="00AE6AA5">
        <w:rPr>
          <w:rFonts w:eastAsia="Times New Roman" w:cs="Times New Roman"/>
          <w:i/>
          <w:iCs/>
          <w:color w:val="000000"/>
          <w:bdr w:val="none" w:sz="0" w:space="0" w:color="auto" w:frame="1"/>
        </w:rPr>
        <w:t>, LLC v. Sentinel Ins. Co., Ltd.</w:t>
      </w:r>
      <w:r>
        <w:rPr>
          <w:rFonts w:eastAsia="Times New Roman" w:cs="Times New Roman"/>
          <w:color w:val="000000"/>
        </w:rPr>
        <w:t xml:space="preserve">, </w:t>
      </w:r>
      <w:r w:rsidRPr="00122537">
        <w:rPr>
          <w:rFonts w:eastAsia="Times New Roman" w:cs="Times New Roman"/>
          <w:i/>
          <w:iCs/>
          <w:color w:val="000000"/>
        </w:rPr>
        <w:t>supra</w:t>
      </w:r>
      <w:r>
        <w:rPr>
          <w:rFonts w:eastAsia="Times New Roman" w:cs="Times New Roman"/>
          <w:color w:val="000000"/>
        </w:rPr>
        <w:t xml:space="preserve">, </w:t>
      </w:r>
      <w:r w:rsidRPr="00011C72">
        <w:rPr>
          <w:rFonts w:eastAsia="Times New Roman" w:cs="Times New Roman"/>
          <w:color w:val="000000"/>
        </w:rPr>
        <w:t>2021</w:t>
      </w:r>
      <w:r>
        <w:rPr>
          <w:rFonts w:eastAsia="Times New Roman" w:cs="Times New Roman"/>
          <w:color w:val="000000"/>
        </w:rPr>
        <w:t> </w:t>
      </w:r>
      <w:r w:rsidRPr="00011C72">
        <w:rPr>
          <w:rFonts w:eastAsia="Times New Roman" w:cs="Times New Roman"/>
          <w:color w:val="000000"/>
        </w:rPr>
        <w:t xml:space="preserve">WL </w:t>
      </w:r>
      <w:r w:rsidRPr="00E07D72">
        <w:rPr>
          <w:rFonts w:eastAsia="Times New Roman" w:cs="Times New Roman"/>
          <w:color w:val="000000"/>
        </w:rPr>
        <w:t>4819411 at pages *6, *</w:t>
      </w:r>
      <w:r w:rsidRPr="004B670F">
        <w:rPr>
          <w:rFonts w:eastAsia="Times New Roman" w:cs="Times New Roman"/>
          <w:color w:val="000000"/>
        </w:rPr>
        <w:t xml:space="preserve">8; </w:t>
      </w:r>
      <w:r w:rsidRPr="004B670F">
        <w:rPr>
          <w:i/>
          <w:iCs/>
        </w:rPr>
        <w:t>Colgan</w:t>
      </w:r>
      <w:r w:rsidRPr="004B670F">
        <w:t xml:space="preserve">, </w:t>
      </w:r>
      <w:r w:rsidRPr="004B670F">
        <w:rPr>
          <w:i/>
          <w:iCs/>
        </w:rPr>
        <w:t>supra</w:t>
      </w:r>
      <w:r w:rsidRPr="004B670F">
        <w:t xml:space="preserve">, </w:t>
      </w:r>
      <w:r w:rsidRPr="004B670F">
        <w:rPr>
          <w:rFonts w:eastAsia="Times New Roman" w:cs="Times New Roman"/>
          <w:color w:val="000000"/>
        </w:rPr>
        <w:t>515 F.Supp.3d at pages 1086–1087.</w:t>
      </w:r>
    </w:p>
  </w:footnote>
  <w:footnote w:id="24">
    <w:p w14:paraId="1EA527AD" w14:textId="77777777" w:rsidR="00041CE3" w:rsidRPr="00283B12" w:rsidRDefault="009849E9" w:rsidP="00041CE3">
      <w:pPr>
        <w:pStyle w:val="FootnoteText"/>
      </w:pPr>
      <w:r w:rsidRPr="00283B12">
        <w:rPr>
          <w:rStyle w:val="FootnoteReference"/>
        </w:rPr>
        <w:footnoteRef/>
      </w:r>
      <w:r w:rsidRPr="00283B12">
        <w:t xml:space="preserve"> </w:t>
      </w:r>
      <w:r w:rsidRPr="009808A6">
        <w:t>See</w:t>
      </w:r>
      <w:r>
        <w:t>,</w:t>
      </w:r>
      <w:r w:rsidRPr="009808A6">
        <w:t xml:space="preserve"> e.g.</w:t>
      </w:r>
      <w:r>
        <w:t>,</w:t>
      </w:r>
      <w:r w:rsidRPr="00283B12">
        <w:t xml:space="preserve"> </w:t>
      </w:r>
      <w:r w:rsidRPr="00283B12">
        <w:rPr>
          <w:rFonts w:eastAsia="Times New Roman" w:cs="Times New Roman"/>
          <w:i/>
          <w:iCs/>
          <w:color w:val="000000"/>
          <w:szCs w:val="26"/>
          <w:bdr w:val="none" w:sz="0" w:space="0" w:color="auto" w:frame="1"/>
        </w:rPr>
        <w:t>French Laundry</w:t>
      </w:r>
      <w:r w:rsidRPr="00283B12">
        <w:rPr>
          <w:rFonts w:eastAsia="Times New Roman" w:cs="Times New Roman"/>
          <w:color w:val="000000"/>
          <w:szCs w:val="26"/>
        </w:rPr>
        <w:t xml:space="preserve">, </w:t>
      </w:r>
      <w:r w:rsidRPr="00283B12">
        <w:rPr>
          <w:rFonts w:eastAsia="Times New Roman" w:cs="Times New Roman"/>
          <w:i/>
          <w:iCs/>
          <w:color w:val="000000"/>
          <w:szCs w:val="26"/>
        </w:rPr>
        <w:t>supra</w:t>
      </w:r>
      <w:r w:rsidRPr="00283B12">
        <w:rPr>
          <w:rFonts w:eastAsia="Times New Roman" w:cs="Times New Roman"/>
          <w:color w:val="000000"/>
          <w:szCs w:val="26"/>
        </w:rPr>
        <w:t>, 535</w:t>
      </w:r>
      <w:r>
        <w:rPr>
          <w:rFonts w:eastAsia="Times New Roman" w:cs="Times New Roman"/>
          <w:color w:val="000000"/>
          <w:szCs w:val="26"/>
        </w:rPr>
        <w:t> </w:t>
      </w:r>
      <w:r w:rsidRPr="00283B12">
        <w:rPr>
          <w:rFonts w:eastAsia="Times New Roman" w:cs="Times New Roman"/>
          <w:color w:val="000000"/>
          <w:szCs w:val="26"/>
        </w:rPr>
        <w:t xml:space="preserve">F.Supp.3d </w:t>
      </w:r>
      <w:r>
        <w:rPr>
          <w:rFonts w:eastAsia="Times New Roman" w:cs="Times New Roman"/>
          <w:color w:val="000000"/>
          <w:szCs w:val="26"/>
        </w:rPr>
        <w:t>at pages 903–904</w:t>
      </w:r>
      <w:r w:rsidRPr="00283B12">
        <w:rPr>
          <w:rFonts w:eastAsia="Times New Roman" w:cs="Times New Roman"/>
          <w:color w:val="000000"/>
          <w:szCs w:val="26"/>
        </w:rPr>
        <w:t xml:space="preserve">; </w:t>
      </w:r>
      <w:r w:rsidRPr="00351FCD">
        <w:rPr>
          <w:rFonts w:eastAsia="Times New Roman" w:cs="Times New Roman"/>
          <w:i/>
          <w:iCs/>
          <w:color w:val="000000"/>
          <w:bdr w:val="none" w:sz="0" w:space="0" w:color="auto" w:frame="1"/>
        </w:rPr>
        <w:t>Franklin EWC</w:t>
      </w:r>
      <w:r w:rsidRPr="00351FCD">
        <w:rPr>
          <w:rFonts w:eastAsia="Times New Roman" w:cs="Times New Roman"/>
          <w:color w:val="000000"/>
        </w:rPr>
        <w:t xml:space="preserve">, </w:t>
      </w:r>
      <w:r w:rsidRPr="00351FCD">
        <w:rPr>
          <w:rFonts w:eastAsia="Times New Roman" w:cs="Times New Roman"/>
          <w:i/>
          <w:iCs/>
          <w:color w:val="000000"/>
        </w:rPr>
        <w:t>supra</w:t>
      </w:r>
      <w:r w:rsidRPr="00351FCD">
        <w:rPr>
          <w:rFonts w:eastAsia="Times New Roman" w:cs="Times New Roman"/>
          <w:color w:val="000000"/>
        </w:rPr>
        <w:t>, 506 F.Supp.3d at page</w:t>
      </w:r>
      <w:r>
        <w:rPr>
          <w:rFonts w:eastAsia="Times New Roman" w:cs="Times New Roman"/>
          <w:color w:val="000000"/>
        </w:rPr>
        <w:t> </w:t>
      </w:r>
      <w:r w:rsidRPr="00351FCD">
        <w:rPr>
          <w:rFonts w:eastAsia="Times New Roman" w:cs="Times New Roman"/>
          <w:color w:val="000000"/>
        </w:rPr>
        <w:t>861.</w:t>
      </w:r>
    </w:p>
  </w:footnote>
  <w:footnote w:id="25">
    <w:p w14:paraId="40EFDEF4" w14:textId="77777777" w:rsidR="00041CE3" w:rsidRDefault="009849E9">
      <w:pPr>
        <w:pStyle w:val="FootnoteText"/>
      </w:pPr>
      <w:r>
        <w:rPr>
          <w:rStyle w:val="FootnoteReference"/>
        </w:rPr>
        <w:footnoteRef/>
      </w:r>
      <w:r>
        <w:t xml:space="preserve"> See, e.g., </w:t>
      </w:r>
      <w:r w:rsidRPr="00D91186">
        <w:rPr>
          <w:i/>
          <w:iCs/>
        </w:rPr>
        <w:t>Barbizon</w:t>
      </w:r>
      <w:r w:rsidRPr="00D35685">
        <w:rPr>
          <w:i/>
          <w:color w:val="000000"/>
          <w:bdr w:val="none" w:sz="0" w:space="0" w:color="auto" w:frame="1"/>
        </w:rPr>
        <w:t xml:space="preserve"> School of San Francisco, Inc. v. Sentinel Ins. Co., Ltd.</w:t>
      </w:r>
      <w:r w:rsidRPr="00605D40">
        <w:t xml:space="preserve">, </w:t>
      </w:r>
      <w:r w:rsidRPr="00D91186">
        <w:rPr>
          <w:i/>
          <w:iCs/>
        </w:rPr>
        <w:t>supra</w:t>
      </w:r>
      <w:r>
        <w:t xml:space="preserve">, </w:t>
      </w:r>
      <w:r w:rsidRPr="00D91186">
        <w:rPr>
          <w:rFonts w:eastAsia="Times New Roman" w:cs="Times New Roman"/>
          <w:color w:val="000000"/>
          <w:szCs w:val="26"/>
        </w:rPr>
        <w:t>2021 WL 5758890</w:t>
      </w:r>
      <w:r>
        <w:rPr>
          <w:rFonts w:eastAsia="Times New Roman" w:cs="Times New Roman"/>
          <w:color w:val="000000"/>
          <w:szCs w:val="26"/>
        </w:rPr>
        <w:t xml:space="preserve"> at page *9.</w:t>
      </w:r>
    </w:p>
  </w:footnote>
  <w:footnote w:id="26">
    <w:p w14:paraId="4D491EF1" w14:textId="77777777" w:rsidR="0040614A" w:rsidRDefault="009849E9" w:rsidP="0040614A">
      <w:pPr>
        <w:pStyle w:val="FootnoteText"/>
      </w:pPr>
      <w:r>
        <w:rPr>
          <w:rStyle w:val="FootnoteReference"/>
        </w:rPr>
        <w:footnoteRef/>
      </w:r>
      <w:r>
        <w:t xml:space="preserve"> </w:t>
      </w:r>
      <w:r w:rsidRPr="007A10D5">
        <w:t>See</w:t>
      </w:r>
      <w:r>
        <w:t>,</w:t>
      </w:r>
      <w:r w:rsidRPr="007A10D5">
        <w:t xml:space="preserve"> </w:t>
      </w:r>
      <w:r w:rsidRPr="00880F03">
        <w:t xml:space="preserve">e.g., </w:t>
      </w:r>
      <w:r w:rsidRPr="00880F03">
        <w:rPr>
          <w:i/>
          <w:iCs/>
        </w:rPr>
        <w:t>Colgan</w:t>
      </w:r>
      <w:r w:rsidRPr="00880F03">
        <w:t xml:space="preserve">, </w:t>
      </w:r>
      <w:r w:rsidRPr="00880F03">
        <w:rPr>
          <w:i/>
          <w:iCs/>
        </w:rPr>
        <w:t>supra</w:t>
      </w:r>
      <w:r w:rsidRPr="00880F03">
        <w:t xml:space="preserve">, </w:t>
      </w:r>
      <w:r w:rsidRPr="00880F03">
        <w:rPr>
          <w:rFonts w:eastAsia="Times New Roman" w:cs="Times New Roman"/>
          <w:color w:val="000000"/>
        </w:rPr>
        <w:t>515 F.Supp.3d at page</w:t>
      </w:r>
      <w:r>
        <w:rPr>
          <w:rFonts w:eastAsia="Times New Roman" w:cs="Times New Roman"/>
          <w:color w:val="000000"/>
        </w:rPr>
        <w:t> </w:t>
      </w:r>
      <w:r w:rsidRPr="00880F03">
        <w:rPr>
          <w:rFonts w:eastAsia="Times New Roman" w:cs="Times New Roman"/>
          <w:color w:val="000000"/>
        </w:rPr>
        <w:t>1088.</w:t>
      </w:r>
    </w:p>
  </w:footnote>
  <w:footnote w:id="27">
    <w:p w14:paraId="0934D766" w14:textId="77777777" w:rsidR="004311AC" w:rsidRDefault="009849E9">
      <w:pPr>
        <w:pStyle w:val="FootnoteText"/>
      </w:pPr>
      <w:r>
        <w:rPr>
          <w:rStyle w:val="FootnoteReference"/>
        </w:rPr>
        <w:footnoteRef/>
      </w:r>
      <w:r>
        <w:t xml:space="preserve"> </w:t>
      </w:r>
      <w:r w:rsidRPr="007A10D5">
        <w:t>See</w:t>
      </w:r>
      <w:r>
        <w:t>,</w:t>
      </w:r>
      <w:r w:rsidRPr="007A10D5">
        <w:t xml:space="preserve"> e.g</w:t>
      </w:r>
      <w:r w:rsidRPr="0044726D">
        <w:t>.</w:t>
      </w:r>
      <w:r>
        <w:t xml:space="preserve">, </w:t>
      </w:r>
      <w:r w:rsidRPr="002F5408">
        <w:rPr>
          <w:rFonts w:eastAsia="Times New Roman" w:cs="Times New Roman"/>
          <w:i/>
          <w:iCs/>
          <w:color w:val="000000"/>
          <w:szCs w:val="26"/>
          <w:bdr w:val="none" w:sz="0" w:space="0" w:color="auto" w:frame="1"/>
        </w:rPr>
        <w:t>Ets-Hoki</w:t>
      </w:r>
      <w:r>
        <w:rPr>
          <w:rFonts w:eastAsia="Times New Roman" w:cs="Times New Roman"/>
          <w:i/>
          <w:iCs/>
          <w:color w:val="000000"/>
          <w:bdr w:val="none" w:sz="0" w:space="0" w:color="auto" w:frame="1"/>
        </w:rPr>
        <w:t xml:space="preserve">n </w:t>
      </w:r>
      <w:r w:rsidRPr="002D7A14">
        <w:rPr>
          <w:rFonts w:eastAsia="Times New Roman" w:cs="Times New Roman"/>
          <w:i/>
          <w:iCs/>
          <w:color w:val="000000"/>
          <w:bdr w:val="none" w:sz="0" w:space="0" w:color="auto" w:frame="1"/>
        </w:rPr>
        <w:t>v. Sentinel Ins</w:t>
      </w:r>
      <w:r>
        <w:rPr>
          <w:rFonts w:eastAsia="Times New Roman" w:cs="Times New Roman"/>
          <w:i/>
          <w:iCs/>
          <w:color w:val="000000"/>
          <w:bdr w:val="none" w:sz="0" w:space="0" w:color="auto" w:frame="1"/>
        </w:rPr>
        <w:t>.</w:t>
      </w:r>
      <w:r w:rsidRPr="002D7A14">
        <w:rPr>
          <w:rFonts w:eastAsia="Times New Roman" w:cs="Times New Roman"/>
          <w:i/>
          <w:iCs/>
          <w:color w:val="000000"/>
          <w:bdr w:val="none" w:sz="0" w:space="0" w:color="auto" w:frame="1"/>
        </w:rPr>
        <w:t xml:space="preserve"> Co</w:t>
      </w:r>
      <w:r>
        <w:rPr>
          <w:rFonts w:eastAsia="Times New Roman" w:cs="Times New Roman"/>
          <w:i/>
          <w:iCs/>
          <w:color w:val="000000"/>
          <w:bdr w:val="none" w:sz="0" w:space="0" w:color="auto" w:frame="1"/>
        </w:rPr>
        <w:t>.</w:t>
      </w:r>
      <w:r w:rsidRPr="002D7A14">
        <w:rPr>
          <w:rFonts w:eastAsia="Times New Roman" w:cs="Times New Roman"/>
          <w:i/>
          <w:iCs/>
          <w:color w:val="000000"/>
          <w:bdr w:val="none" w:sz="0" w:space="0" w:color="auto" w:frame="1"/>
        </w:rPr>
        <w:t>, Ltd.</w:t>
      </w:r>
      <w:r>
        <w:rPr>
          <w:rFonts w:eastAsia="Times New Roman" w:cs="Times New Roman"/>
          <w:color w:val="000000"/>
        </w:rPr>
        <w:t xml:space="preserve">, </w:t>
      </w:r>
      <w:r w:rsidRPr="001745B6">
        <w:rPr>
          <w:rFonts w:eastAsia="Times New Roman" w:cs="Times New Roman"/>
          <w:i/>
          <w:iCs/>
          <w:color w:val="000000"/>
        </w:rPr>
        <w:t>supra</w:t>
      </w:r>
      <w:r>
        <w:rPr>
          <w:rFonts w:eastAsia="Times New Roman" w:cs="Times New Roman"/>
          <w:color w:val="000000"/>
        </w:rPr>
        <w:t>,</w:t>
      </w:r>
      <w:r w:rsidRPr="001F26C6">
        <w:rPr>
          <w:rFonts w:eastAsia="Times New Roman" w:cs="Times New Roman"/>
          <w:color w:val="000000"/>
          <w:szCs w:val="26"/>
        </w:rPr>
        <w:t xml:space="preserve"> </w:t>
      </w:r>
      <w:r w:rsidRPr="002F5408">
        <w:rPr>
          <w:rFonts w:eastAsia="Times New Roman" w:cs="Times New Roman"/>
          <w:color w:val="000000"/>
          <w:szCs w:val="26"/>
        </w:rPr>
        <w:t>2021</w:t>
      </w:r>
      <w:r>
        <w:rPr>
          <w:rFonts w:eastAsia="Times New Roman" w:cs="Times New Roman"/>
          <w:color w:val="000000"/>
          <w:szCs w:val="26"/>
        </w:rPr>
        <w:t> </w:t>
      </w:r>
      <w:r w:rsidRPr="002F5408">
        <w:rPr>
          <w:rFonts w:eastAsia="Times New Roman" w:cs="Times New Roman"/>
          <w:color w:val="000000"/>
          <w:szCs w:val="26"/>
        </w:rPr>
        <w:t xml:space="preserve">WL 4472692 at </w:t>
      </w:r>
      <w:r>
        <w:rPr>
          <w:rFonts w:eastAsia="Times New Roman" w:cs="Times New Roman"/>
          <w:color w:val="000000"/>
          <w:szCs w:val="26"/>
        </w:rPr>
        <w:t>page </w:t>
      </w:r>
      <w:r w:rsidRPr="002F5408">
        <w:rPr>
          <w:rFonts w:eastAsia="Times New Roman" w:cs="Times New Roman"/>
          <w:color w:val="000000"/>
          <w:szCs w:val="26"/>
        </w:rPr>
        <w:t>*2</w:t>
      </w:r>
      <w:r w:rsidRPr="001F26C6">
        <w:rPr>
          <w:rFonts w:eastAsia="Times New Roman" w:cs="Times New Roman"/>
          <w:color w:val="000000"/>
          <w:szCs w:val="26"/>
        </w:rPr>
        <w:t xml:space="preserve">; </w:t>
      </w:r>
      <w:r w:rsidRPr="00175AF2">
        <w:rPr>
          <w:rFonts w:eastAsia="Times New Roman" w:cs="Times New Roman"/>
          <w:i/>
          <w:iCs/>
          <w:color w:val="000000"/>
          <w:szCs w:val="26"/>
          <w:bdr w:val="none" w:sz="0" w:space="0" w:color="auto" w:frame="1"/>
        </w:rPr>
        <w:t>French Laundry</w:t>
      </w:r>
      <w:r w:rsidRPr="001F26C6">
        <w:rPr>
          <w:rFonts w:eastAsia="Times New Roman" w:cs="Times New Roman"/>
          <w:color w:val="000000"/>
          <w:szCs w:val="26"/>
        </w:rPr>
        <w:t xml:space="preserve">, </w:t>
      </w:r>
      <w:r w:rsidRPr="001F26C6">
        <w:rPr>
          <w:rFonts w:eastAsia="Times New Roman" w:cs="Times New Roman"/>
          <w:i/>
          <w:iCs/>
          <w:color w:val="000000"/>
          <w:szCs w:val="26"/>
        </w:rPr>
        <w:t>supra</w:t>
      </w:r>
      <w:r w:rsidRPr="001F26C6">
        <w:rPr>
          <w:rFonts w:eastAsia="Times New Roman" w:cs="Times New Roman"/>
          <w:color w:val="000000"/>
          <w:szCs w:val="26"/>
        </w:rPr>
        <w:t>,</w:t>
      </w:r>
      <w:r w:rsidRPr="00175AF2">
        <w:rPr>
          <w:rFonts w:eastAsia="Times New Roman" w:cs="Times New Roman"/>
          <w:color w:val="000000"/>
          <w:szCs w:val="26"/>
        </w:rPr>
        <w:t xml:space="preserve"> 535</w:t>
      </w:r>
      <w:r>
        <w:rPr>
          <w:rFonts w:eastAsia="Times New Roman" w:cs="Times New Roman"/>
          <w:color w:val="000000"/>
          <w:szCs w:val="26"/>
        </w:rPr>
        <w:t> </w:t>
      </w:r>
      <w:r w:rsidRPr="00175AF2">
        <w:rPr>
          <w:rFonts w:eastAsia="Times New Roman" w:cs="Times New Roman"/>
          <w:color w:val="000000"/>
          <w:szCs w:val="26"/>
        </w:rPr>
        <w:t>F.</w:t>
      </w:r>
      <w:r w:rsidRPr="00B75C4E">
        <w:rPr>
          <w:rFonts w:eastAsia="Times New Roman" w:cs="Times New Roman"/>
          <w:color w:val="000000"/>
          <w:szCs w:val="26"/>
        </w:rPr>
        <w:t xml:space="preserve">Supp.3d </w:t>
      </w:r>
      <w:r w:rsidRPr="00B75C4E">
        <w:rPr>
          <w:rFonts w:eastAsia="Times New Roman" w:cs="Times New Roman"/>
          <w:color w:val="000000"/>
        </w:rPr>
        <w:t>at pages 903–904</w:t>
      </w:r>
      <w:r w:rsidRPr="00B75C4E">
        <w:rPr>
          <w:rFonts w:eastAsia="Times New Roman" w:cs="Times New Roman"/>
          <w:color w:val="000000"/>
          <w:szCs w:val="26"/>
        </w:rPr>
        <w:t xml:space="preserve">; </w:t>
      </w:r>
      <w:r w:rsidRPr="00B75C4E">
        <w:rPr>
          <w:rFonts w:eastAsia="Times New Roman" w:cs="Times New Roman"/>
          <w:i/>
          <w:iCs/>
          <w:color w:val="000000"/>
          <w:szCs w:val="26"/>
          <w:bdr w:val="none" w:sz="0" w:space="0" w:color="auto" w:frame="1"/>
        </w:rPr>
        <w:t>Franklin EWC</w:t>
      </w:r>
      <w:r w:rsidRPr="00B75C4E">
        <w:rPr>
          <w:rFonts w:eastAsia="Times New Roman" w:cs="Times New Roman"/>
          <w:color w:val="000000"/>
          <w:szCs w:val="26"/>
        </w:rPr>
        <w:t xml:space="preserve">, </w:t>
      </w:r>
      <w:r w:rsidRPr="00B75C4E">
        <w:rPr>
          <w:rFonts w:eastAsia="Times New Roman" w:cs="Times New Roman"/>
          <w:i/>
          <w:iCs/>
          <w:color w:val="000000"/>
          <w:szCs w:val="26"/>
        </w:rPr>
        <w:t>supra</w:t>
      </w:r>
      <w:r w:rsidRPr="00B75C4E">
        <w:rPr>
          <w:rFonts w:eastAsia="Times New Roman" w:cs="Times New Roman"/>
          <w:color w:val="000000"/>
          <w:szCs w:val="26"/>
        </w:rPr>
        <w:t xml:space="preserve">, </w:t>
      </w:r>
      <w:r w:rsidRPr="00B75C4E">
        <w:rPr>
          <w:rFonts w:eastAsia="Times New Roman" w:cs="Times New Roman"/>
          <w:color w:val="000000"/>
        </w:rPr>
        <w:t xml:space="preserve">506 F.Supp.3d at pages 860–861; </w:t>
      </w:r>
      <w:r w:rsidRPr="00C66734">
        <w:rPr>
          <w:rFonts w:eastAsia="Times New Roman" w:cs="Times New Roman"/>
          <w:i/>
          <w:iCs/>
          <w:color w:val="000000"/>
          <w:bdr w:val="none" w:sz="0" w:space="0" w:color="auto" w:frame="1"/>
        </w:rPr>
        <w:t>Hair Perfect International, Inc. v. Sentinel Ins. Co., Ltd.</w:t>
      </w:r>
      <w:r w:rsidRPr="00B75C4E">
        <w:rPr>
          <w:rFonts w:eastAsia="Times New Roman" w:cs="Times New Roman"/>
          <w:color w:val="000000"/>
        </w:rPr>
        <w:t xml:space="preserve">, </w:t>
      </w:r>
      <w:r w:rsidRPr="00B75C4E">
        <w:rPr>
          <w:rFonts w:eastAsia="Times New Roman" w:cs="Times New Roman"/>
          <w:i/>
          <w:iCs/>
          <w:color w:val="000000"/>
        </w:rPr>
        <w:t>supra</w:t>
      </w:r>
      <w:r w:rsidRPr="00B75C4E">
        <w:rPr>
          <w:rFonts w:eastAsia="Times New Roman" w:cs="Times New Roman"/>
          <w:color w:val="000000"/>
        </w:rPr>
        <w:t xml:space="preserve">, </w:t>
      </w:r>
      <w:r w:rsidRPr="00B75C4E">
        <w:rPr>
          <w:rFonts w:eastAsia="Times New Roman" w:cs="Times New Roman"/>
          <w:color w:val="000000"/>
          <w:szCs w:val="26"/>
        </w:rPr>
        <w:t>2021</w:t>
      </w:r>
      <w:r>
        <w:rPr>
          <w:rFonts w:eastAsia="Times New Roman" w:cs="Times New Roman"/>
          <w:color w:val="000000"/>
          <w:szCs w:val="26"/>
        </w:rPr>
        <w:t> </w:t>
      </w:r>
      <w:r w:rsidRPr="001A329E">
        <w:rPr>
          <w:rFonts w:eastAsia="Times New Roman" w:cs="Times New Roman"/>
          <w:color w:val="000000"/>
          <w:szCs w:val="26"/>
        </w:rPr>
        <w:t>WL 2143459</w:t>
      </w:r>
      <w:r>
        <w:rPr>
          <w:rFonts w:eastAsia="Times New Roman" w:cs="Times New Roman"/>
          <w:color w:val="000000"/>
        </w:rPr>
        <w:t xml:space="preserve"> at page *9;</w:t>
      </w:r>
      <w:r w:rsidRPr="004311AC">
        <w:rPr>
          <w:rFonts w:eastAsia="Times New Roman" w:cs="Times New Roman"/>
          <w:i/>
          <w:iCs/>
          <w:color w:val="000000"/>
          <w:szCs w:val="26"/>
        </w:rPr>
        <w:t xml:space="preserve"> </w:t>
      </w:r>
      <w:r w:rsidRPr="00155064">
        <w:rPr>
          <w:rFonts w:eastAsia="Times New Roman" w:cs="Times New Roman"/>
          <w:i/>
          <w:iCs/>
          <w:color w:val="000000"/>
          <w:szCs w:val="26"/>
        </w:rPr>
        <w:t>Westside Head &amp; Neck</w:t>
      </w:r>
      <w:r w:rsidRPr="00FB5185">
        <w:rPr>
          <w:rFonts w:eastAsia="Times New Roman" w:cs="Times New Roman"/>
          <w:i/>
          <w:iCs/>
          <w:color w:val="000000"/>
          <w:bdr w:val="none" w:sz="0" w:space="0" w:color="auto" w:frame="1"/>
        </w:rPr>
        <w:t xml:space="preserve"> </w:t>
      </w:r>
      <w:r w:rsidRPr="0009155F">
        <w:rPr>
          <w:rFonts w:eastAsia="Times New Roman" w:cs="Times New Roman"/>
          <w:i/>
          <w:iCs/>
          <w:color w:val="000000"/>
          <w:bdr w:val="none" w:sz="0" w:space="0" w:color="auto" w:frame="1"/>
        </w:rPr>
        <w:t>v.</w:t>
      </w:r>
      <w:r w:rsidRPr="002D7A14">
        <w:rPr>
          <w:rFonts w:eastAsia="Times New Roman" w:cs="Times New Roman"/>
          <w:i/>
          <w:iCs/>
          <w:color w:val="000000"/>
          <w:bdr w:val="none" w:sz="0" w:space="0" w:color="auto" w:frame="1"/>
        </w:rPr>
        <w:t xml:space="preserve"> Hartford Fin</w:t>
      </w:r>
      <w:r>
        <w:rPr>
          <w:rFonts w:eastAsia="Times New Roman" w:cs="Times New Roman"/>
          <w:i/>
          <w:iCs/>
          <w:color w:val="000000"/>
          <w:bdr w:val="none" w:sz="0" w:space="0" w:color="auto" w:frame="1"/>
        </w:rPr>
        <w:t>.</w:t>
      </w:r>
      <w:r w:rsidRPr="002D7A14">
        <w:rPr>
          <w:rFonts w:eastAsia="Times New Roman" w:cs="Times New Roman"/>
          <w:i/>
          <w:iCs/>
          <w:color w:val="000000"/>
          <w:bdr w:val="none" w:sz="0" w:space="0" w:color="auto" w:frame="1"/>
        </w:rPr>
        <w:t xml:space="preserve"> Serv</w:t>
      </w:r>
      <w:r>
        <w:rPr>
          <w:rFonts w:eastAsia="Times New Roman" w:cs="Times New Roman"/>
          <w:i/>
          <w:iCs/>
          <w:color w:val="000000"/>
          <w:bdr w:val="none" w:sz="0" w:space="0" w:color="auto" w:frame="1"/>
        </w:rPr>
        <w:t>s.</w:t>
      </w:r>
      <w:r w:rsidRPr="002D7A14">
        <w:rPr>
          <w:rFonts w:eastAsia="Times New Roman" w:cs="Times New Roman"/>
          <w:i/>
          <w:iCs/>
          <w:color w:val="000000"/>
          <w:bdr w:val="none" w:sz="0" w:space="0" w:color="auto" w:frame="1"/>
        </w:rPr>
        <w:t xml:space="preserve"> Group</w:t>
      </w:r>
      <w:r>
        <w:rPr>
          <w:rFonts w:eastAsia="Times New Roman" w:cs="Times New Roman"/>
          <w:color w:val="000000"/>
          <w:szCs w:val="26"/>
        </w:rPr>
        <w:t xml:space="preserve">, </w:t>
      </w:r>
      <w:r w:rsidRPr="00155064">
        <w:rPr>
          <w:rFonts w:eastAsia="Times New Roman" w:cs="Times New Roman"/>
          <w:i/>
          <w:iCs/>
          <w:color w:val="000000"/>
          <w:szCs w:val="26"/>
        </w:rPr>
        <w:t>supra</w:t>
      </w:r>
      <w:r>
        <w:rPr>
          <w:rFonts w:eastAsia="Times New Roman" w:cs="Times New Roman"/>
          <w:color w:val="000000"/>
          <w:szCs w:val="26"/>
        </w:rPr>
        <w:t>, 526 F.Supp.3d at pages 733–734</w:t>
      </w:r>
      <w:r>
        <w:rPr>
          <w:rFonts w:eastAsia="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2014" w14:textId="77777777" w:rsidR="00865119" w:rsidRDefault="00865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5300" w14:textId="77777777" w:rsidR="16761DF4" w:rsidRPr="00C808E7" w:rsidRDefault="16761DF4" w:rsidP="00C808E7">
    <w:pPr>
      <w:pStyle w:val="Header"/>
      <w:ind w:firstLine="0"/>
      <w:rPr>
        <w:rFonts w:eastAsia="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BE01" w14:textId="77777777" w:rsidR="00865119" w:rsidRDefault="00865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75A"/>
    <w:multiLevelType w:val="hybridMultilevel"/>
    <w:tmpl w:val="E34A0C38"/>
    <w:lvl w:ilvl="0" w:tplc="B15495BE">
      <w:start w:val="11"/>
      <w:numFmt w:val="decimal"/>
      <w:lvlText w:val="%1"/>
      <w:lvlJc w:val="left"/>
      <w:pPr>
        <w:ind w:left="661" w:hanging="474"/>
      </w:pPr>
      <w:rPr>
        <w:rFonts w:ascii="Times New Roman" w:eastAsia="Times New Roman" w:hAnsi="Times New Roman" w:cs="Times New Roman" w:hint="default"/>
        <w:color w:val="0F0F0F"/>
        <w:w w:val="108"/>
        <w:sz w:val="20"/>
        <w:szCs w:val="20"/>
      </w:rPr>
    </w:lvl>
    <w:lvl w:ilvl="1" w:tplc="442A5CC8">
      <w:numFmt w:val="bullet"/>
      <w:lvlText w:val="•"/>
      <w:lvlJc w:val="left"/>
      <w:pPr>
        <w:ind w:left="1582" w:hanging="474"/>
      </w:pPr>
      <w:rPr>
        <w:rFonts w:hint="default"/>
      </w:rPr>
    </w:lvl>
    <w:lvl w:ilvl="2" w:tplc="D5A2675A">
      <w:numFmt w:val="bullet"/>
      <w:lvlText w:val="•"/>
      <w:lvlJc w:val="left"/>
      <w:pPr>
        <w:ind w:left="2504" w:hanging="474"/>
      </w:pPr>
      <w:rPr>
        <w:rFonts w:hint="default"/>
      </w:rPr>
    </w:lvl>
    <w:lvl w:ilvl="3" w:tplc="3E1E5C1E">
      <w:numFmt w:val="bullet"/>
      <w:lvlText w:val="•"/>
      <w:lvlJc w:val="left"/>
      <w:pPr>
        <w:ind w:left="3426" w:hanging="474"/>
      </w:pPr>
      <w:rPr>
        <w:rFonts w:hint="default"/>
      </w:rPr>
    </w:lvl>
    <w:lvl w:ilvl="4" w:tplc="67FA498E">
      <w:numFmt w:val="bullet"/>
      <w:lvlText w:val="•"/>
      <w:lvlJc w:val="left"/>
      <w:pPr>
        <w:ind w:left="4348" w:hanging="474"/>
      </w:pPr>
      <w:rPr>
        <w:rFonts w:hint="default"/>
      </w:rPr>
    </w:lvl>
    <w:lvl w:ilvl="5" w:tplc="55749638">
      <w:numFmt w:val="bullet"/>
      <w:lvlText w:val="•"/>
      <w:lvlJc w:val="left"/>
      <w:pPr>
        <w:ind w:left="5270" w:hanging="474"/>
      </w:pPr>
      <w:rPr>
        <w:rFonts w:hint="default"/>
      </w:rPr>
    </w:lvl>
    <w:lvl w:ilvl="6" w:tplc="53405048">
      <w:numFmt w:val="bullet"/>
      <w:lvlText w:val="•"/>
      <w:lvlJc w:val="left"/>
      <w:pPr>
        <w:ind w:left="6192" w:hanging="474"/>
      </w:pPr>
      <w:rPr>
        <w:rFonts w:hint="default"/>
      </w:rPr>
    </w:lvl>
    <w:lvl w:ilvl="7" w:tplc="481CD8BA">
      <w:numFmt w:val="bullet"/>
      <w:lvlText w:val="•"/>
      <w:lvlJc w:val="left"/>
      <w:pPr>
        <w:ind w:left="7114" w:hanging="474"/>
      </w:pPr>
      <w:rPr>
        <w:rFonts w:hint="default"/>
      </w:rPr>
    </w:lvl>
    <w:lvl w:ilvl="8" w:tplc="F4A6309A">
      <w:numFmt w:val="bullet"/>
      <w:lvlText w:val="•"/>
      <w:lvlJc w:val="left"/>
      <w:pPr>
        <w:ind w:left="8036" w:hanging="474"/>
      </w:pPr>
      <w:rPr>
        <w:rFonts w:hint="default"/>
      </w:rPr>
    </w:lvl>
  </w:abstractNum>
  <w:abstractNum w:abstractNumId="1" w15:restartNumberingAfterBreak="0">
    <w:nsid w:val="1B1E7D42"/>
    <w:multiLevelType w:val="hybridMultilevel"/>
    <w:tmpl w:val="A5B0FBD8"/>
    <w:lvl w:ilvl="0" w:tplc="F27C1EFE">
      <w:start w:val="1"/>
      <w:numFmt w:val="upperRoman"/>
      <w:lvlText w:val="%1."/>
      <w:lvlJc w:val="right"/>
      <w:pPr>
        <w:ind w:left="4032" w:hanging="72"/>
      </w:pPr>
      <w:rPr>
        <w:rFonts w:hint="default"/>
        <w:b/>
        <w:i w:val="0"/>
        <w:sz w:val="26"/>
      </w:rPr>
    </w:lvl>
    <w:lvl w:ilvl="1" w:tplc="65305F84" w:tentative="1">
      <w:start w:val="1"/>
      <w:numFmt w:val="lowerLetter"/>
      <w:lvlText w:val="%2."/>
      <w:lvlJc w:val="left"/>
      <w:pPr>
        <w:ind w:left="8010" w:hanging="360"/>
      </w:pPr>
    </w:lvl>
    <w:lvl w:ilvl="2" w:tplc="D3C4991C" w:tentative="1">
      <w:start w:val="1"/>
      <w:numFmt w:val="lowerRoman"/>
      <w:lvlText w:val="%3."/>
      <w:lvlJc w:val="right"/>
      <w:pPr>
        <w:ind w:left="8730" w:hanging="180"/>
      </w:pPr>
    </w:lvl>
    <w:lvl w:ilvl="3" w:tplc="301E37DA" w:tentative="1">
      <w:start w:val="1"/>
      <w:numFmt w:val="decimal"/>
      <w:lvlText w:val="%4."/>
      <w:lvlJc w:val="left"/>
      <w:pPr>
        <w:ind w:left="9450" w:hanging="360"/>
      </w:pPr>
    </w:lvl>
    <w:lvl w:ilvl="4" w:tplc="FBD6F960" w:tentative="1">
      <w:start w:val="1"/>
      <w:numFmt w:val="lowerLetter"/>
      <w:lvlText w:val="%5."/>
      <w:lvlJc w:val="left"/>
      <w:pPr>
        <w:ind w:left="10170" w:hanging="360"/>
      </w:pPr>
    </w:lvl>
    <w:lvl w:ilvl="5" w:tplc="87706F7E" w:tentative="1">
      <w:start w:val="1"/>
      <w:numFmt w:val="lowerRoman"/>
      <w:lvlText w:val="%6."/>
      <w:lvlJc w:val="right"/>
      <w:pPr>
        <w:ind w:left="10890" w:hanging="180"/>
      </w:pPr>
    </w:lvl>
    <w:lvl w:ilvl="6" w:tplc="A6687B0C" w:tentative="1">
      <w:start w:val="1"/>
      <w:numFmt w:val="decimal"/>
      <w:lvlText w:val="%7."/>
      <w:lvlJc w:val="left"/>
      <w:pPr>
        <w:ind w:left="11610" w:hanging="360"/>
      </w:pPr>
    </w:lvl>
    <w:lvl w:ilvl="7" w:tplc="FBB28400" w:tentative="1">
      <w:start w:val="1"/>
      <w:numFmt w:val="lowerLetter"/>
      <w:lvlText w:val="%8."/>
      <w:lvlJc w:val="left"/>
      <w:pPr>
        <w:ind w:left="12330" w:hanging="360"/>
      </w:pPr>
    </w:lvl>
    <w:lvl w:ilvl="8" w:tplc="77A0ADA2" w:tentative="1">
      <w:start w:val="1"/>
      <w:numFmt w:val="lowerRoman"/>
      <w:lvlText w:val="%9."/>
      <w:lvlJc w:val="right"/>
      <w:pPr>
        <w:ind w:left="13050" w:hanging="180"/>
      </w:pPr>
    </w:lvl>
  </w:abstractNum>
  <w:abstractNum w:abstractNumId="2" w15:restartNumberingAfterBreak="0">
    <w:nsid w:val="2AF3612D"/>
    <w:multiLevelType w:val="hybridMultilevel"/>
    <w:tmpl w:val="0C56AFBA"/>
    <w:lvl w:ilvl="0" w:tplc="67606B5C">
      <w:start w:val="1"/>
      <w:numFmt w:val="decimal"/>
      <w:lvlText w:val="%1."/>
      <w:lvlJc w:val="left"/>
      <w:pPr>
        <w:ind w:left="1080" w:hanging="360"/>
      </w:pPr>
      <w:rPr>
        <w:rFonts w:hint="default"/>
      </w:rPr>
    </w:lvl>
    <w:lvl w:ilvl="1" w:tplc="0FD23716" w:tentative="1">
      <w:start w:val="1"/>
      <w:numFmt w:val="lowerLetter"/>
      <w:lvlText w:val="%2."/>
      <w:lvlJc w:val="left"/>
      <w:pPr>
        <w:ind w:left="1800" w:hanging="360"/>
      </w:pPr>
    </w:lvl>
    <w:lvl w:ilvl="2" w:tplc="D10A036E" w:tentative="1">
      <w:start w:val="1"/>
      <w:numFmt w:val="lowerRoman"/>
      <w:lvlText w:val="%3."/>
      <w:lvlJc w:val="right"/>
      <w:pPr>
        <w:ind w:left="2520" w:hanging="180"/>
      </w:pPr>
    </w:lvl>
    <w:lvl w:ilvl="3" w:tplc="E548B45C" w:tentative="1">
      <w:start w:val="1"/>
      <w:numFmt w:val="decimal"/>
      <w:lvlText w:val="%4."/>
      <w:lvlJc w:val="left"/>
      <w:pPr>
        <w:ind w:left="3240" w:hanging="360"/>
      </w:pPr>
    </w:lvl>
    <w:lvl w:ilvl="4" w:tplc="A626A172" w:tentative="1">
      <w:start w:val="1"/>
      <w:numFmt w:val="lowerLetter"/>
      <w:lvlText w:val="%5."/>
      <w:lvlJc w:val="left"/>
      <w:pPr>
        <w:ind w:left="3960" w:hanging="360"/>
      </w:pPr>
    </w:lvl>
    <w:lvl w:ilvl="5" w:tplc="FACE5C62" w:tentative="1">
      <w:start w:val="1"/>
      <w:numFmt w:val="lowerRoman"/>
      <w:lvlText w:val="%6."/>
      <w:lvlJc w:val="right"/>
      <w:pPr>
        <w:ind w:left="4680" w:hanging="180"/>
      </w:pPr>
    </w:lvl>
    <w:lvl w:ilvl="6" w:tplc="B0C02286" w:tentative="1">
      <w:start w:val="1"/>
      <w:numFmt w:val="decimal"/>
      <w:lvlText w:val="%7."/>
      <w:lvlJc w:val="left"/>
      <w:pPr>
        <w:ind w:left="5400" w:hanging="360"/>
      </w:pPr>
    </w:lvl>
    <w:lvl w:ilvl="7" w:tplc="EBA818B0" w:tentative="1">
      <w:start w:val="1"/>
      <w:numFmt w:val="lowerLetter"/>
      <w:lvlText w:val="%8."/>
      <w:lvlJc w:val="left"/>
      <w:pPr>
        <w:ind w:left="6120" w:hanging="360"/>
      </w:pPr>
    </w:lvl>
    <w:lvl w:ilvl="8" w:tplc="5C545490" w:tentative="1">
      <w:start w:val="1"/>
      <w:numFmt w:val="lowerRoman"/>
      <w:lvlText w:val="%9."/>
      <w:lvlJc w:val="right"/>
      <w:pPr>
        <w:ind w:left="6840" w:hanging="180"/>
      </w:pPr>
    </w:lvl>
  </w:abstractNum>
  <w:abstractNum w:abstractNumId="3" w15:restartNumberingAfterBreak="0">
    <w:nsid w:val="34F2732E"/>
    <w:multiLevelType w:val="hybridMultilevel"/>
    <w:tmpl w:val="CA8E4FAE"/>
    <w:lvl w:ilvl="0" w:tplc="931AEA22">
      <w:start w:val="1"/>
      <w:numFmt w:val="decimal"/>
      <w:lvlText w:val="%1."/>
      <w:lvlJc w:val="left"/>
      <w:pPr>
        <w:ind w:left="1080" w:hanging="360"/>
      </w:pPr>
      <w:rPr>
        <w:rFonts w:hint="default"/>
      </w:rPr>
    </w:lvl>
    <w:lvl w:ilvl="1" w:tplc="C2E0B018" w:tentative="1">
      <w:start w:val="1"/>
      <w:numFmt w:val="lowerLetter"/>
      <w:lvlText w:val="%2."/>
      <w:lvlJc w:val="left"/>
      <w:pPr>
        <w:ind w:left="1800" w:hanging="360"/>
      </w:pPr>
    </w:lvl>
    <w:lvl w:ilvl="2" w:tplc="F4502716" w:tentative="1">
      <w:start w:val="1"/>
      <w:numFmt w:val="lowerRoman"/>
      <w:lvlText w:val="%3."/>
      <w:lvlJc w:val="right"/>
      <w:pPr>
        <w:ind w:left="2520" w:hanging="180"/>
      </w:pPr>
    </w:lvl>
    <w:lvl w:ilvl="3" w:tplc="D7488CF2" w:tentative="1">
      <w:start w:val="1"/>
      <w:numFmt w:val="decimal"/>
      <w:lvlText w:val="%4."/>
      <w:lvlJc w:val="left"/>
      <w:pPr>
        <w:ind w:left="3240" w:hanging="360"/>
      </w:pPr>
    </w:lvl>
    <w:lvl w:ilvl="4" w:tplc="9D6830CA" w:tentative="1">
      <w:start w:val="1"/>
      <w:numFmt w:val="lowerLetter"/>
      <w:lvlText w:val="%5."/>
      <w:lvlJc w:val="left"/>
      <w:pPr>
        <w:ind w:left="3960" w:hanging="360"/>
      </w:pPr>
    </w:lvl>
    <w:lvl w:ilvl="5" w:tplc="0A2E04CE" w:tentative="1">
      <w:start w:val="1"/>
      <w:numFmt w:val="lowerRoman"/>
      <w:lvlText w:val="%6."/>
      <w:lvlJc w:val="right"/>
      <w:pPr>
        <w:ind w:left="4680" w:hanging="180"/>
      </w:pPr>
    </w:lvl>
    <w:lvl w:ilvl="6" w:tplc="A08A7068" w:tentative="1">
      <w:start w:val="1"/>
      <w:numFmt w:val="decimal"/>
      <w:lvlText w:val="%7."/>
      <w:lvlJc w:val="left"/>
      <w:pPr>
        <w:ind w:left="5400" w:hanging="360"/>
      </w:pPr>
    </w:lvl>
    <w:lvl w:ilvl="7" w:tplc="9E384756" w:tentative="1">
      <w:start w:val="1"/>
      <w:numFmt w:val="lowerLetter"/>
      <w:lvlText w:val="%8."/>
      <w:lvlJc w:val="left"/>
      <w:pPr>
        <w:ind w:left="6120" w:hanging="360"/>
      </w:pPr>
    </w:lvl>
    <w:lvl w:ilvl="8" w:tplc="3C144AD6" w:tentative="1">
      <w:start w:val="1"/>
      <w:numFmt w:val="lowerRoman"/>
      <w:lvlText w:val="%9."/>
      <w:lvlJc w:val="right"/>
      <w:pPr>
        <w:ind w:left="6840" w:hanging="180"/>
      </w:pPr>
    </w:lvl>
  </w:abstractNum>
  <w:abstractNum w:abstractNumId="4" w15:restartNumberingAfterBreak="0">
    <w:nsid w:val="38555485"/>
    <w:multiLevelType w:val="hybridMultilevel"/>
    <w:tmpl w:val="5EAE9CCC"/>
    <w:lvl w:ilvl="0" w:tplc="3C504EA0">
      <w:start w:val="1"/>
      <w:numFmt w:val="decimal"/>
      <w:pStyle w:val="Heading3"/>
      <w:lvlText w:val="%1."/>
      <w:lvlJc w:val="left"/>
      <w:pPr>
        <w:ind w:left="1080" w:hanging="360"/>
      </w:pPr>
      <w:rPr>
        <w:rFonts w:hint="default"/>
        <w:b/>
        <w:bCs/>
      </w:rPr>
    </w:lvl>
    <w:lvl w:ilvl="1" w:tplc="B0A097F2" w:tentative="1">
      <w:start w:val="1"/>
      <w:numFmt w:val="lowerLetter"/>
      <w:lvlText w:val="%2."/>
      <w:lvlJc w:val="left"/>
      <w:pPr>
        <w:ind w:left="1800" w:hanging="360"/>
      </w:pPr>
    </w:lvl>
    <w:lvl w:ilvl="2" w:tplc="CD4ED2DC" w:tentative="1">
      <w:start w:val="1"/>
      <w:numFmt w:val="lowerRoman"/>
      <w:lvlText w:val="%3."/>
      <w:lvlJc w:val="right"/>
      <w:pPr>
        <w:ind w:left="2520" w:hanging="180"/>
      </w:pPr>
    </w:lvl>
    <w:lvl w:ilvl="3" w:tplc="D7428AAA" w:tentative="1">
      <w:start w:val="1"/>
      <w:numFmt w:val="decimal"/>
      <w:lvlText w:val="%4."/>
      <w:lvlJc w:val="left"/>
      <w:pPr>
        <w:ind w:left="3240" w:hanging="360"/>
      </w:pPr>
    </w:lvl>
    <w:lvl w:ilvl="4" w:tplc="192C2E48" w:tentative="1">
      <w:start w:val="1"/>
      <w:numFmt w:val="lowerLetter"/>
      <w:lvlText w:val="%5."/>
      <w:lvlJc w:val="left"/>
      <w:pPr>
        <w:ind w:left="3960" w:hanging="360"/>
      </w:pPr>
    </w:lvl>
    <w:lvl w:ilvl="5" w:tplc="F28CAEC2" w:tentative="1">
      <w:start w:val="1"/>
      <w:numFmt w:val="lowerRoman"/>
      <w:lvlText w:val="%6."/>
      <w:lvlJc w:val="right"/>
      <w:pPr>
        <w:ind w:left="4680" w:hanging="180"/>
      </w:pPr>
    </w:lvl>
    <w:lvl w:ilvl="6" w:tplc="E0F0E53A" w:tentative="1">
      <w:start w:val="1"/>
      <w:numFmt w:val="decimal"/>
      <w:lvlText w:val="%7."/>
      <w:lvlJc w:val="left"/>
      <w:pPr>
        <w:ind w:left="5400" w:hanging="360"/>
      </w:pPr>
    </w:lvl>
    <w:lvl w:ilvl="7" w:tplc="80025728" w:tentative="1">
      <w:start w:val="1"/>
      <w:numFmt w:val="lowerLetter"/>
      <w:lvlText w:val="%8."/>
      <w:lvlJc w:val="left"/>
      <w:pPr>
        <w:ind w:left="6120" w:hanging="360"/>
      </w:pPr>
    </w:lvl>
    <w:lvl w:ilvl="8" w:tplc="1D4C46F2" w:tentative="1">
      <w:start w:val="1"/>
      <w:numFmt w:val="lowerRoman"/>
      <w:lvlText w:val="%9."/>
      <w:lvlJc w:val="right"/>
      <w:pPr>
        <w:ind w:left="6840" w:hanging="180"/>
      </w:pPr>
    </w:lvl>
  </w:abstractNum>
  <w:abstractNum w:abstractNumId="5" w15:restartNumberingAfterBreak="0">
    <w:nsid w:val="3BC53C32"/>
    <w:multiLevelType w:val="hybridMultilevel"/>
    <w:tmpl w:val="FFF6061C"/>
    <w:lvl w:ilvl="0" w:tplc="3834B386">
      <w:start w:val="1"/>
      <w:numFmt w:val="upperLetter"/>
      <w:pStyle w:val="Heading2"/>
      <w:lvlText w:val="%1."/>
      <w:lvlJc w:val="left"/>
      <w:pPr>
        <w:ind w:left="720" w:hanging="360"/>
      </w:pPr>
      <w:rPr>
        <w:rFonts w:hint="default"/>
        <w:i w:val="0"/>
        <w:iCs/>
      </w:rPr>
    </w:lvl>
    <w:lvl w:ilvl="1" w:tplc="98768B5E" w:tentative="1">
      <w:start w:val="1"/>
      <w:numFmt w:val="lowerLetter"/>
      <w:lvlText w:val="%2."/>
      <w:lvlJc w:val="left"/>
      <w:pPr>
        <w:ind w:left="1440" w:hanging="360"/>
      </w:pPr>
    </w:lvl>
    <w:lvl w:ilvl="2" w:tplc="12303C82" w:tentative="1">
      <w:start w:val="1"/>
      <w:numFmt w:val="lowerRoman"/>
      <w:lvlText w:val="%3."/>
      <w:lvlJc w:val="right"/>
      <w:pPr>
        <w:ind w:left="2160" w:hanging="180"/>
      </w:pPr>
    </w:lvl>
    <w:lvl w:ilvl="3" w:tplc="A4C0CF22" w:tentative="1">
      <w:start w:val="1"/>
      <w:numFmt w:val="decimal"/>
      <w:lvlText w:val="%4."/>
      <w:lvlJc w:val="left"/>
      <w:pPr>
        <w:ind w:left="2880" w:hanging="360"/>
      </w:pPr>
    </w:lvl>
    <w:lvl w:ilvl="4" w:tplc="DCE272D0" w:tentative="1">
      <w:start w:val="1"/>
      <w:numFmt w:val="lowerLetter"/>
      <w:lvlText w:val="%5."/>
      <w:lvlJc w:val="left"/>
      <w:pPr>
        <w:ind w:left="3600" w:hanging="360"/>
      </w:pPr>
    </w:lvl>
    <w:lvl w:ilvl="5" w:tplc="0BD64C14" w:tentative="1">
      <w:start w:val="1"/>
      <w:numFmt w:val="lowerRoman"/>
      <w:lvlText w:val="%6."/>
      <w:lvlJc w:val="right"/>
      <w:pPr>
        <w:ind w:left="4320" w:hanging="180"/>
      </w:pPr>
    </w:lvl>
    <w:lvl w:ilvl="6" w:tplc="17E8A0E0" w:tentative="1">
      <w:start w:val="1"/>
      <w:numFmt w:val="decimal"/>
      <w:lvlText w:val="%7."/>
      <w:lvlJc w:val="left"/>
      <w:pPr>
        <w:ind w:left="5040" w:hanging="360"/>
      </w:pPr>
    </w:lvl>
    <w:lvl w:ilvl="7" w:tplc="53184464" w:tentative="1">
      <w:start w:val="1"/>
      <w:numFmt w:val="lowerLetter"/>
      <w:lvlText w:val="%8."/>
      <w:lvlJc w:val="left"/>
      <w:pPr>
        <w:ind w:left="5760" w:hanging="360"/>
      </w:pPr>
    </w:lvl>
    <w:lvl w:ilvl="8" w:tplc="0D8CFEE6" w:tentative="1">
      <w:start w:val="1"/>
      <w:numFmt w:val="lowerRoman"/>
      <w:lvlText w:val="%9."/>
      <w:lvlJc w:val="right"/>
      <w:pPr>
        <w:ind w:left="6480" w:hanging="180"/>
      </w:pPr>
    </w:lvl>
  </w:abstractNum>
  <w:abstractNum w:abstractNumId="6" w15:restartNumberingAfterBreak="0">
    <w:nsid w:val="3C1B132F"/>
    <w:multiLevelType w:val="hybridMultilevel"/>
    <w:tmpl w:val="1C16E5A2"/>
    <w:lvl w:ilvl="0" w:tplc="B48629A8">
      <w:start w:val="3"/>
      <w:numFmt w:val="lowerLetter"/>
      <w:lvlText w:val="%1."/>
      <w:lvlJc w:val="left"/>
      <w:pPr>
        <w:ind w:left="1800" w:hanging="360"/>
      </w:pPr>
      <w:rPr>
        <w:rFonts w:hint="default"/>
      </w:rPr>
    </w:lvl>
    <w:lvl w:ilvl="1" w:tplc="557A8E16" w:tentative="1">
      <w:start w:val="1"/>
      <w:numFmt w:val="lowerLetter"/>
      <w:lvlText w:val="%2."/>
      <w:lvlJc w:val="left"/>
      <w:pPr>
        <w:ind w:left="2520" w:hanging="360"/>
      </w:pPr>
    </w:lvl>
    <w:lvl w:ilvl="2" w:tplc="600E856A" w:tentative="1">
      <w:start w:val="1"/>
      <w:numFmt w:val="lowerRoman"/>
      <w:lvlText w:val="%3."/>
      <w:lvlJc w:val="right"/>
      <w:pPr>
        <w:ind w:left="3240" w:hanging="180"/>
      </w:pPr>
    </w:lvl>
    <w:lvl w:ilvl="3" w:tplc="9BE05D30" w:tentative="1">
      <w:start w:val="1"/>
      <w:numFmt w:val="decimal"/>
      <w:lvlText w:val="%4."/>
      <w:lvlJc w:val="left"/>
      <w:pPr>
        <w:ind w:left="3960" w:hanging="360"/>
      </w:pPr>
    </w:lvl>
    <w:lvl w:ilvl="4" w:tplc="713A4E3C" w:tentative="1">
      <w:start w:val="1"/>
      <w:numFmt w:val="lowerLetter"/>
      <w:lvlText w:val="%5."/>
      <w:lvlJc w:val="left"/>
      <w:pPr>
        <w:ind w:left="4680" w:hanging="360"/>
      </w:pPr>
    </w:lvl>
    <w:lvl w:ilvl="5" w:tplc="D45A2344" w:tentative="1">
      <w:start w:val="1"/>
      <w:numFmt w:val="lowerRoman"/>
      <w:lvlText w:val="%6."/>
      <w:lvlJc w:val="right"/>
      <w:pPr>
        <w:ind w:left="5400" w:hanging="180"/>
      </w:pPr>
    </w:lvl>
    <w:lvl w:ilvl="6" w:tplc="5C20B9D2" w:tentative="1">
      <w:start w:val="1"/>
      <w:numFmt w:val="decimal"/>
      <w:lvlText w:val="%7."/>
      <w:lvlJc w:val="left"/>
      <w:pPr>
        <w:ind w:left="6120" w:hanging="360"/>
      </w:pPr>
    </w:lvl>
    <w:lvl w:ilvl="7" w:tplc="1DCEB91E" w:tentative="1">
      <w:start w:val="1"/>
      <w:numFmt w:val="lowerLetter"/>
      <w:lvlText w:val="%8."/>
      <w:lvlJc w:val="left"/>
      <w:pPr>
        <w:ind w:left="6840" w:hanging="360"/>
      </w:pPr>
    </w:lvl>
    <w:lvl w:ilvl="8" w:tplc="6576EA2E" w:tentative="1">
      <w:start w:val="1"/>
      <w:numFmt w:val="lowerRoman"/>
      <w:lvlText w:val="%9."/>
      <w:lvlJc w:val="right"/>
      <w:pPr>
        <w:ind w:left="7560" w:hanging="180"/>
      </w:pPr>
    </w:lvl>
  </w:abstractNum>
  <w:abstractNum w:abstractNumId="7" w15:restartNumberingAfterBreak="0">
    <w:nsid w:val="3F4B65CD"/>
    <w:multiLevelType w:val="hybridMultilevel"/>
    <w:tmpl w:val="3A0895E0"/>
    <w:lvl w:ilvl="0" w:tplc="1038724A">
      <w:start w:val="3"/>
      <w:numFmt w:val="lowerLetter"/>
      <w:lvlText w:val="%1."/>
      <w:lvlJc w:val="left"/>
      <w:pPr>
        <w:ind w:left="1440" w:hanging="360"/>
      </w:pPr>
      <w:rPr>
        <w:rFonts w:hint="default"/>
      </w:rPr>
    </w:lvl>
    <w:lvl w:ilvl="1" w:tplc="E410F248" w:tentative="1">
      <w:start w:val="1"/>
      <w:numFmt w:val="lowerLetter"/>
      <w:lvlText w:val="%2."/>
      <w:lvlJc w:val="left"/>
      <w:pPr>
        <w:ind w:left="2160" w:hanging="360"/>
      </w:pPr>
    </w:lvl>
    <w:lvl w:ilvl="2" w:tplc="4EEC09A8" w:tentative="1">
      <w:start w:val="1"/>
      <w:numFmt w:val="lowerRoman"/>
      <w:lvlText w:val="%3."/>
      <w:lvlJc w:val="right"/>
      <w:pPr>
        <w:ind w:left="2880" w:hanging="180"/>
      </w:pPr>
    </w:lvl>
    <w:lvl w:ilvl="3" w:tplc="DDA6B9EE" w:tentative="1">
      <w:start w:val="1"/>
      <w:numFmt w:val="decimal"/>
      <w:lvlText w:val="%4."/>
      <w:lvlJc w:val="left"/>
      <w:pPr>
        <w:ind w:left="3600" w:hanging="360"/>
      </w:pPr>
    </w:lvl>
    <w:lvl w:ilvl="4" w:tplc="5958DFF0" w:tentative="1">
      <w:start w:val="1"/>
      <w:numFmt w:val="lowerLetter"/>
      <w:lvlText w:val="%5."/>
      <w:lvlJc w:val="left"/>
      <w:pPr>
        <w:ind w:left="4320" w:hanging="360"/>
      </w:pPr>
    </w:lvl>
    <w:lvl w:ilvl="5" w:tplc="80B085D6" w:tentative="1">
      <w:start w:val="1"/>
      <w:numFmt w:val="lowerRoman"/>
      <w:lvlText w:val="%6."/>
      <w:lvlJc w:val="right"/>
      <w:pPr>
        <w:ind w:left="5040" w:hanging="180"/>
      </w:pPr>
    </w:lvl>
    <w:lvl w:ilvl="6" w:tplc="C93241FA" w:tentative="1">
      <w:start w:val="1"/>
      <w:numFmt w:val="decimal"/>
      <w:lvlText w:val="%7."/>
      <w:lvlJc w:val="left"/>
      <w:pPr>
        <w:ind w:left="5760" w:hanging="360"/>
      </w:pPr>
    </w:lvl>
    <w:lvl w:ilvl="7" w:tplc="A814A14C" w:tentative="1">
      <w:start w:val="1"/>
      <w:numFmt w:val="lowerLetter"/>
      <w:lvlText w:val="%8."/>
      <w:lvlJc w:val="left"/>
      <w:pPr>
        <w:ind w:left="6480" w:hanging="360"/>
      </w:pPr>
    </w:lvl>
    <w:lvl w:ilvl="8" w:tplc="7A00CEEA" w:tentative="1">
      <w:start w:val="1"/>
      <w:numFmt w:val="lowerRoman"/>
      <w:lvlText w:val="%9."/>
      <w:lvlJc w:val="right"/>
      <w:pPr>
        <w:ind w:left="7200" w:hanging="180"/>
      </w:pPr>
    </w:lvl>
  </w:abstractNum>
  <w:abstractNum w:abstractNumId="8" w15:restartNumberingAfterBreak="0">
    <w:nsid w:val="40D56586"/>
    <w:multiLevelType w:val="hybridMultilevel"/>
    <w:tmpl w:val="4E72F52C"/>
    <w:lvl w:ilvl="0" w:tplc="4380D098">
      <w:start w:val="1"/>
      <w:numFmt w:val="upperRoman"/>
      <w:pStyle w:val="Heading1"/>
      <w:lvlText w:val="%1."/>
      <w:lvlJc w:val="right"/>
      <w:pPr>
        <w:ind w:left="720" w:hanging="360"/>
      </w:pPr>
      <w:rPr>
        <w:rFonts w:hint="default"/>
        <w:b/>
        <w:i w:val="0"/>
        <w:sz w:val="26"/>
      </w:rPr>
    </w:lvl>
    <w:lvl w:ilvl="1" w:tplc="F638589E" w:tentative="1">
      <w:start w:val="1"/>
      <w:numFmt w:val="lowerLetter"/>
      <w:lvlText w:val="%2."/>
      <w:lvlJc w:val="left"/>
      <w:pPr>
        <w:ind w:left="1440" w:hanging="360"/>
      </w:pPr>
    </w:lvl>
    <w:lvl w:ilvl="2" w:tplc="1F6A8854" w:tentative="1">
      <w:start w:val="1"/>
      <w:numFmt w:val="lowerRoman"/>
      <w:lvlText w:val="%3."/>
      <w:lvlJc w:val="right"/>
      <w:pPr>
        <w:ind w:left="2160" w:hanging="180"/>
      </w:pPr>
    </w:lvl>
    <w:lvl w:ilvl="3" w:tplc="A9F4788A" w:tentative="1">
      <w:start w:val="1"/>
      <w:numFmt w:val="decimal"/>
      <w:lvlText w:val="%4."/>
      <w:lvlJc w:val="left"/>
      <w:pPr>
        <w:ind w:left="2880" w:hanging="360"/>
      </w:pPr>
    </w:lvl>
    <w:lvl w:ilvl="4" w:tplc="C22A3EEC" w:tentative="1">
      <w:start w:val="1"/>
      <w:numFmt w:val="lowerLetter"/>
      <w:lvlText w:val="%5."/>
      <w:lvlJc w:val="left"/>
      <w:pPr>
        <w:ind w:left="3600" w:hanging="360"/>
      </w:pPr>
    </w:lvl>
    <w:lvl w:ilvl="5" w:tplc="76925496" w:tentative="1">
      <w:start w:val="1"/>
      <w:numFmt w:val="lowerRoman"/>
      <w:lvlText w:val="%6."/>
      <w:lvlJc w:val="right"/>
      <w:pPr>
        <w:ind w:left="4320" w:hanging="180"/>
      </w:pPr>
    </w:lvl>
    <w:lvl w:ilvl="6" w:tplc="8CEA7112" w:tentative="1">
      <w:start w:val="1"/>
      <w:numFmt w:val="decimal"/>
      <w:lvlText w:val="%7."/>
      <w:lvlJc w:val="left"/>
      <w:pPr>
        <w:ind w:left="5040" w:hanging="360"/>
      </w:pPr>
    </w:lvl>
    <w:lvl w:ilvl="7" w:tplc="1A9E8B1A" w:tentative="1">
      <w:start w:val="1"/>
      <w:numFmt w:val="lowerLetter"/>
      <w:lvlText w:val="%8."/>
      <w:lvlJc w:val="left"/>
      <w:pPr>
        <w:ind w:left="5760" w:hanging="360"/>
      </w:pPr>
    </w:lvl>
    <w:lvl w:ilvl="8" w:tplc="E8E2B616" w:tentative="1">
      <w:start w:val="1"/>
      <w:numFmt w:val="lowerRoman"/>
      <w:lvlText w:val="%9."/>
      <w:lvlJc w:val="right"/>
      <w:pPr>
        <w:ind w:left="6480" w:hanging="180"/>
      </w:pPr>
    </w:lvl>
  </w:abstractNum>
  <w:abstractNum w:abstractNumId="9" w15:restartNumberingAfterBreak="0">
    <w:nsid w:val="41A46018"/>
    <w:multiLevelType w:val="hybridMultilevel"/>
    <w:tmpl w:val="80A01946"/>
    <w:lvl w:ilvl="0" w:tplc="01F4274C">
      <w:start w:val="2"/>
      <w:numFmt w:val="decimal"/>
      <w:lvlText w:val="%1"/>
      <w:lvlJc w:val="left"/>
      <w:pPr>
        <w:ind w:left="647" w:hanging="369"/>
        <w:jc w:val="right"/>
      </w:pPr>
      <w:rPr>
        <w:rFonts w:ascii="Times New Roman" w:eastAsia="Times New Roman" w:hAnsi="Times New Roman" w:cs="Times New Roman" w:hint="default"/>
        <w:color w:val="0F0F0F"/>
        <w:w w:val="103"/>
        <w:sz w:val="21"/>
        <w:szCs w:val="21"/>
      </w:rPr>
    </w:lvl>
    <w:lvl w:ilvl="1" w:tplc="F566E502">
      <w:numFmt w:val="bullet"/>
      <w:lvlText w:val="•"/>
      <w:lvlJc w:val="left"/>
      <w:pPr>
        <w:ind w:left="1564" w:hanging="369"/>
      </w:pPr>
      <w:rPr>
        <w:rFonts w:hint="default"/>
      </w:rPr>
    </w:lvl>
    <w:lvl w:ilvl="2" w:tplc="12AA76BC">
      <w:numFmt w:val="bullet"/>
      <w:lvlText w:val="•"/>
      <w:lvlJc w:val="left"/>
      <w:pPr>
        <w:ind w:left="2488" w:hanging="369"/>
      </w:pPr>
      <w:rPr>
        <w:rFonts w:hint="default"/>
      </w:rPr>
    </w:lvl>
    <w:lvl w:ilvl="3" w:tplc="84681660">
      <w:numFmt w:val="bullet"/>
      <w:lvlText w:val="•"/>
      <w:lvlJc w:val="left"/>
      <w:pPr>
        <w:ind w:left="3412" w:hanging="369"/>
      </w:pPr>
      <w:rPr>
        <w:rFonts w:hint="default"/>
      </w:rPr>
    </w:lvl>
    <w:lvl w:ilvl="4" w:tplc="BD8E7376">
      <w:numFmt w:val="bullet"/>
      <w:lvlText w:val="•"/>
      <w:lvlJc w:val="left"/>
      <w:pPr>
        <w:ind w:left="4336" w:hanging="369"/>
      </w:pPr>
      <w:rPr>
        <w:rFonts w:hint="default"/>
      </w:rPr>
    </w:lvl>
    <w:lvl w:ilvl="5" w:tplc="0F6280A2">
      <w:numFmt w:val="bullet"/>
      <w:lvlText w:val="•"/>
      <w:lvlJc w:val="left"/>
      <w:pPr>
        <w:ind w:left="5260" w:hanging="369"/>
      </w:pPr>
      <w:rPr>
        <w:rFonts w:hint="default"/>
      </w:rPr>
    </w:lvl>
    <w:lvl w:ilvl="6" w:tplc="2716C82A">
      <w:numFmt w:val="bullet"/>
      <w:lvlText w:val="•"/>
      <w:lvlJc w:val="left"/>
      <w:pPr>
        <w:ind w:left="6184" w:hanging="369"/>
      </w:pPr>
      <w:rPr>
        <w:rFonts w:hint="default"/>
      </w:rPr>
    </w:lvl>
    <w:lvl w:ilvl="7" w:tplc="A30803E4">
      <w:numFmt w:val="bullet"/>
      <w:lvlText w:val="•"/>
      <w:lvlJc w:val="left"/>
      <w:pPr>
        <w:ind w:left="7108" w:hanging="369"/>
      </w:pPr>
      <w:rPr>
        <w:rFonts w:hint="default"/>
      </w:rPr>
    </w:lvl>
    <w:lvl w:ilvl="8" w:tplc="92008728">
      <w:numFmt w:val="bullet"/>
      <w:lvlText w:val="•"/>
      <w:lvlJc w:val="left"/>
      <w:pPr>
        <w:ind w:left="8032" w:hanging="369"/>
      </w:pPr>
      <w:rPr>
        <w:rFonts w:hint="default"/>
      </w:rPr>
    </w:lvl>
  </w:abstractNum>
  <w:abstractNum w:abstractNumId="10" w15:restartNumberingAfterBreak="0">
    <w:nsid w:val="4A7C30E2"/>
    <w:multiLevelType w:val="hybridMultilevel"/>
    <w:tmpl w:val="1FC2E096"/>
    <w:lvl w:ilvl="0" w:tplc="9EF482E0">
      <w:start w:val="1"/>
      <w:numFmt w:val="lowerLetter"/>
      <w:pStyle w:val="Heading4"/>
      <w:lvlText w:val="%1."/>
      <w:lvlJc w:val="left"/>
      <w:pPr>
        <w:ind w:left="1440" w:hanging="360"/>
      </w:pPr>
      <w:rPr>
        <w:rFonts w:hint="default"/>
        <w:i w:val="0"/>
        <w:iCs w:val="0"/>
      </w:rPr>
    </w:lvl>
    <w:lvl w:ilvl="1" w:tplc="73EEE610" w:tentative="1">
      <w:start w:val="1"/>
      <w:numFmt w:val="lowerLetter"/>
      <w:lvlText w:val="%2."/>
      <w:lvlJc w:val="left"/>
      <w:pPr>
        <w:ind w:left="2160" w:hanging="360"/>
      </w:pPr>
    </w:lvl>
    <w:lvl w:ilvl="2" w:tplc="936E5E3C" w:tentative="1">
      <w:start w:val="1"/>
      <w:numFmt w:val="lowerRoman"/>
      <w:lvlText w:val="%3."/>
      <w:lvlJc w:val="right"/>
      <w:pPr>
        <w:ind w:left="2880" w:hanging="180"/>
      </w:pPr>
    </w:lvl>
    <w:lvl w:ilvl="3" w:tplc="815ADD7C" w:tentative="1">
      <w:start w:val="1"/>
      <w:numFmt w:val="decimal"/>
      <w:lvlText w:val="%4."/>
      <w:lvlJc w:val="left"/>
      <w:pPr>
        <w:ind w:left="3600" w:hanging="360"/>
      </w:pPr>
    </w:lvl>
    <w:lvl w:ilvl="4" w:tplc="84727C0E" w:tentative="1">
      <w:start w:val="1"/>
      <w:numFmt w:val="lowerLetter"/>
      <w:lvlText w:val="%5."/>
      <w:lvlJc w:val="left"/>
      <w:pPr>
        <w:ind w:left="4320" w:hanging="360"/>
      </w:pPr>
    </w:lvl>
    <w:lvl w:ilvl="5" w:tplc="C81C5738" w:tentative="1">
      <w:start w:val="1"/>
      <w:numFmt w:val="lowerRoman"/>
      <w:lvlText w:val="%6."/>
      <w:lvlJc w:val="right"/>
      <w:pPr>
        <w:ind w:left="5040" w:hanging="180"/>
      </w:pPr>
    </w:lvl>
    <w:lvl w:ilvl="6" w:tplc="9A564B00" w:tentative="1">
      <w:start w:val="1"/>
      <w:numFmt w:val="decimal"/>
      <w:lvlText w:val="%7."/>
      <w:lvlJc w:val="left"/>
      <w:pPr>
        <w:ind w:left="5760" w:hanging="360"/>
      </w:pPr>
    </w:lvl>
    <w:lvl w:ilvl="7" w:tplc="9F785494" w:tentative="1">
      <w:start w:val="1"/>
      <w:numFmt w:val="lowerLetter"/>
      <w:lvlText w:val="%8."/>
      <w:lvlJc w:val="left"/>
      <w:pPr>
        <w:ind w:left="6480" w:hanging="360"/>
      </w:pPr>
    </w:lvl>
    <w:lvl w:ilvl="8" w:tplc="35380072" w:tentative="1">
      <w:start w:val="1"/>
      <w:numFmt w:val="lowerRoman"/>
      <w:lvlText w:val="%9."/>
      <w:lvlJc w:val="right"/>
      <w:pPr>
        <w:ind w:left="7200" w:hanging="180"/>
      </w:pPr>
    </w:lvl>
  </w:abstractNum>
  <w:abstractNum w:abstractNumId="11" w15:restartNumberingAfterBreak="0">
    <w:nsid w:val="533303C8"/>
    <w:multiLevelType w:val="hybridMultilevel"/>
    <w:tmpl w:val="4BF2D4C2"/>
    <w:lvl w:ilvl="0" w:tplc="7976436C">
      <w:start w:val="1"/>
      <w:numFmt w:val="decimal"/>
      <w:lvlText w:val="(%1)"/>
      <w:lvlJc w:val="left"/>
      <w:pPr>
        <w:ind w:left="1080" w:hanging="360"/>
      </w:pPr>
      <w:rPr>
        <w:rFonts w:hint="default"/>
      </w:rPr>
    </w:lvl>
    <w:lvl w:ilvl="1" w:tplc="DAA0BE06" w:tentative="1">
      <w:start w:val="1"/>
      <w:numFmt w:val="lowerLetter"/>
      <w:lvlText w:val="%2."/>
      <w:lvlJc w:val="left"/>
      <w:pPr>
        <w:ind w:left="1800" w:hanging="360"/>
      </w:pPr>
    </w:lvl>
    <w:lvl w:ilvl="2" w:tplc="8154D246" w:tentative="1">
      <w:start w:val="1"/>
      <w:numFmt w:val="lowerRoman"/>
      <w:lvlText w:val="%3."/>
      <w:lvlJc w:val="right"/>
      <w:pPr>
        <w:ind w:left="2520" w:hanging="180"/>
      </w:pPr>
    </w:lvl>
    <w:lvl w:ilvl="3" w:tplc="5C98B78A" w:tentative="1">
      <w:start w:val="1"/>
      <w:numFmt w:val="decimal"/>
      <w:lvlText w:val="%4."/>
      <w:lvlJc w:val="left"/>
      <w:pPr>
        <w:ind w:left="3240" w:hanging="360"/>
      </w:pPr>
    </w:lvl>
    <w:lvl w:ilvl="4" w:tplc="E10C2B0E" w:tentative="1">
      <w:start w:val="1"/>
      <w:numFmt w:val="lowerLetter"/>
      <w:lvlText w:val="%5."/>
      <w:lvlJc w:val="left"/>
      <w:pPr>
        <w:ind w:left="3960" w:hanging="360"/>
      </w:pPr>
    </w:lvl>
    <w:lvl w:ilvl="5" w:tplc="18B650F0" w:tentative="1">
      <w:start w:val="1"/>
      <w:numFmt w:val="lowerRoman"/>
      <w:lvlText w:val="%6."/>
      <w:lvlJc w:val="right"/>
      <w:pPr>
        <w:ind w:left="4680" w:hanging="180"/>
      </w:pPr>
    </w:lvl>
    <w:lvl w:ilvl="6" w:tplc="5A002804" w:tentative="1">
      <w:start w:val="1"/>
      <w:numFmt w:val="decimal"/>
      <w:lvlText w:val="%7."/>
      <w:lvlJc w:val="left"/>
      <w:pPr>
        <w:ind w:left="5400" w:hanging="360"/>
      </w:pPr>
    </w:lvl>
    <w:lvl w:ilvl="7" w:tplc="9C0034FC" w:tentative="1">
      <w:start w:val="1"/>
      <w:numFmt w:val="lowerLetter"/>
      <w:lvlText w:val="%8."/>
      <w:lvlJc w:val="left"/>
      <w:pPr>
        <w:ind w:left="6120" w:hanging="360"/>
      </w:pPr>
    </w:lvl>
    <w:lvl w:ilvl="8" w:tplc="1B48E3BE" w:tentative="1">
      <w:start w:val="1"/>
      <w:numFmt w:val="lowerRoman"/>
      <w:lvlText w:val="%9."/>
      <w:lvlJc w:val="right"/>
      <w:pPr>
        <w:ind w:left="6840" w:hanging="180"/>
      </w:pPr>
    </w:lvl>
  </w:abstractNum>
  <w:abstractNum w:abstractNumId="12" w15:restartNumberingAfterBreak="0">
    <w:nsid w:val="64893051"/>
    <w:multiLevelType w:val="hybridMultilevel"/>
    <w:tmpl w:val="5D002412"/>
    <w:lvl w:ilvl="0" w:tplc="212634CC">
      <w:start w:val="1"/>
      <w:numFmt w:val="decimal"/>
      <w:lvlText w:val="(%1)"/>
      <w:lvlJc w:val="left"/>
      <w:pPr>
        <w:ind w:left="720" w:hanging="360"/>
      </w:pPr>
      <w:rPr>
        <w:rFonts w:hint="default"/>
      </w:rPr>
    </w:lvl>
    <w:lvl w:ilvl="1" w:tplc="F85CA71C" w:tentative="1">
      <w:start w:val="1"/>
      <w:numFmt w:val="lowerLetter"/>
      <w:lvlText w:val="%2."/>
      <w:lvlJc w:val="left"/>
      <w:pPr>
        <w:ind w:left="1440" w:hanging="360"/>
      </w:pPr>
    </w:lvl>
    <w:lvl w:ilvl="2" w:tplc="4B6273F2" w:tentative="1">
      <w:start w:val="1"/>
      <w:numFmt w:val="lowerRoman"/>
      <w:lvlText w:val="%3."/>
      <w:lvlJc w:val="right"/>
      <w:pPr>
        <w:ind w:left="2160" w:hanging="180"/>
      </w:pPr>
    </w:lvl>
    <w:lvl w:ilvl="3" w:tplc="8C5643D2" w:tentative="1">
      <w:start w:val="1"/>
      <w:numFmt w:val="decimal"/>
      <w:lvlText w:val="%4."/>
      <w:lvlJc w:val="left"/>
      <w:pPr>
        <w:ind w:left="2880" w:hanging="360"/>
      </w:pPr>
    </w:lvl>
    <w:lvl w:ilvl="4" w:tplc="2DCA0AA6" w:tentative="1">
      <w:start w:val="1"/>
      <w:numFmt w:val="lowerLetter"/>
      <w:lvlText w:val="%5."/>
      <w:lvlJc w:val="left"/>
      <w:pPr>
        <w:ind w:left="3600" w:hanging="360"/>
      </w:pPr>
    </w:lvl>
    <w:lvl w:ilvl="5" w:tplc="06DA5428" w:tentative="1">
      <w:start w:val="1"/>
      <w:numFmt w:val="lowerRoman"/>
      <w:lvlText w:val="%6."/>
      <w:lvlJc w:val="right"/>
      <w:pPr>
        <w:ind w:left="4320" w:hanging="180"/>
      </w:pPr>
    </w:lvl>
    <w:lvl w:ilvl="6" w:tplc="F970DBE8" w:tentative="1">
      <w:start w:val="1"/>
      <w:numFmt w:val="decimal"/>
      <w:lvlText w:val="%7."/>
      <w:lvlJc w:val="left"/>
      <w:pPr>
        <w:ind w:left="5040" w:hanging="360"/>
      </w:pPr>
    </w:lvl>
    <w:lvl w:ilvl="7" w:tplc="F3F82D7C" w:tentative="1">
      <w:start w:val="1"/>
      <w:numFmt w:val="lowerLetter"/>
      <w:lvlText w:val="%8."/>
      <w:lvlJc w:val="left"/>
      <w:pPr>
        <w:ind w:left="5760" w:hanging="360"/>
      </w:pPr>
    </w:lvl>
    <w:lvl w:ilvl="8" w:tplc="6472C86A" w:tentative="1">
      <w:start w:val="1"/>
      <w:numFmt w:val="lowerRoman"/>
      <w:lvlText w:val="%9."/>
      <w:lvlJc w:val="right"/>
      <w:pPr>
        <w:ind w:left="6480" w:hanging="180"/>
      </w:pPr>
    </w:lvl>
  </w:abstractNum>
  <w:abstractNum w:abstractNumId="13" w15:restartNumberingAfterBreak="0">
    <w:nsid w:val="743E4A5E"/>
    <w:multiLevelType w:val="hybridMultilevel"/>
    <w:tmpl w:val="5E205996"/>
    <w:lvl w:ilvl="0" w:tplc="A538C232">
      <w:start w:val="2"/>
      <w:numFmt w:val="decimal"/>
      <w:lvlText w:val="%1"/>
      <w:lvlJc w:val="left"/>
      <w:pPr>
        <w:ind w:left="666" w:hanging="368"/>
      </w:pPr>
      <w:rPr>
        <w:rFonts w:ascii="Times New Roman" w:eastAsia="Times New Roman" w:hAnsi="Times New Roman" w:cs="Times New Roman" w:hint="default"/>
        <w:color w:val="0F0F0F"/>
        <w:w w:val="108"/>
        <w:sz w:val="20"/>
        <w:szCs w:val="20"/>
      </w:rPr>
    </w:lvl>
    <w:lvl w:ilvl="1" w:tplc="A7CE0B02">
      <w:numFmt w:val="bullet"/>
      <w:lvlText w:val="•"/>
      <w:lvlJc w:val="left"/>
      <w:pPr>
        <w:ind w:left="1582" w:hanging="368"/>
      </w:pPr>
      <w:rPr>
        <w:rFonts w:hint="default"/>
      </w:rPr>
    </w:lvl>
    <w:lvl w:ilvl="2" w:tplc="B100D68A">
      <w:numFmt w:val="bullet"/>
      <w:lvlText w:val="•"/>
      <w:lvlJc w:val="left"/>
      <w:pPr>
        <w:ind w:left="2504" w:hanging="368"/>
      </w:pPr>
      <w:rPr>
        <w:rFonts w:hint="default"/>
      </w:rPr>
    </w:lvl>
    <w:lvl w:ilvl="3" w:tplc="E946DF86">
      <w:numFmt w:val="bullet"/>
      <w:lvlText w:val="•"/>
      <w:lvlJc w:val="left"/>
      <w:pPr>
        <w:ind w:left="3426" w:hanging="368"/>
      </w:pPr>
      <w:rPr>
        <w:rFonts w:hint="default"/>
      </w:rPr>
    </w:lvl>
    <w:lvl w:ilvl="4" w:tplc="C8980EFC">
      <w:numFmt w:val="bullet"/>
      <w:lvlText w:val="•"/>
      <w:lvlJc w:val="left"/>
      <w:pPr>
        <w:ind w:left="4348" w:hanging="368"/>
      </w:pPr>
      <w:rPr>
        <w:rFonts w:hint="default"/>
      </w:rPr>
    </w:lvl>
    <w:lvl w:ilvl="5" w:tplc="168AFEB4">
      <w:numFmt w:val="bullet"/>
      <w:lvlText w:val="•"/>
      <w:lvlJc w:val="left"/>
      <w:pPr>
        <w:ind w:left="5270" w:hanging="368"/>
      </w:pPr>
      <w:rPr>
        <w:rFonts w:hint="default"/>
      </w:rPr>
    </w:lvl>
    <w:lvl w:ilvl="6" w:tplc="D6E003B0">
      <w:numFmt w:val="bullet"/>
      <w:lvlText w:val="•"/>
      <w:lvlJc w:val="left"/>
      <w:pPr>
        <w:ind w:left="6192" w:hanging="368"/>
      </w:pPr>
      <w:rPr>
        <w:rFonts w:hint="default"/>
      </w:rPr>
    </w:lvl>
    <w:lvl w:ilvl="7" w:tplc="DC5EB28A">
      <w:numFmt w:val="bullet"/>
      <w:lvlText w:val="•"/>
      <w:lvlJc w:val="left"/>
      <w:pPr>
        <w:ind w:left="7114" w:hanging="368"/>
      </w:pPr>
      <w:rPr>
        <w:rFonts w:hint="default"/>
      </w:rPr>
    </w:lvl>
    <w:lvl w:ilvl="8" w:tplc="CA3E2D4C">
      <w:numFmt w:val="bullet"/>
      <w:lvlText w:val="•"/>
      <w:lvlJc w:val="left"/>
      <w:pPr>
        <w:ind w:left="8036" w:hanging="368"/>
      </w:pPr>
      <w:rPr>
        <w:rFonts w:hint="default"/>
      </w:rPr>
    </w:lvl>
  </w:abstractNum>
  <w:abstractNum w:abstractNumId="14" w15:restartNumberingAfterBreak="0">
    <w:nsid w:val="77803D55"/>
    <w:multiLevelType w:val="hybridMultilevel"/>
    <w:tmpl w:val="6F765AFE"/>
    <w:lvl w:ilvl="0" w:tplc="5986BF72">
      <w:numFmt w:val="bullet"/>
      <w:lvlText w:val="-"/>
      <w:lvlJc w:val="left"/>
      <w:pPr>
        <w:ind w:left="720" w:hanging="360"/>
      </w:pPr>
      <w:rPr>
        <w:rFonts w:ascii="Lato" w:eastAsiaTheme="minorHAnsi" w:hAnsi="Lato" w:cstheme="minorBidi" w:hint="default"/>
        <w:color w:val="212121"/>
        <w:sz w:val="27"/>
      </w:rPr>
    </w:lvl>
    <w:lvl w:ilvl="1" w:tplc="27A2C8E0" w:tentative="1">
      <w:start w:val="1"/>
      <w:numFmt w:val="bullet"/>
      <w:lvlText w:val="o"/>
      <w:lvlJc w:val="left"/>
      <w:pPr>
        <w:ind w:left="1440" w:hanging="360"/>
      </w:pPr>
      <w:rPr>
        <w:rFonts w:ascii="Courier New" w:hAnsi="Courier New" w:cs="Courier New" w:hint="default"/>
      </w:rPr>
    </w:lvl>
    <w:lvl w:ilvl="2" w:tplc="DA3E2EA8" w:tentative="1">
      <w:start w:val="1"/>
      <w:numFmt w:val="bullet"/>
      <w:lvlText w:val=""/>
      <w:lvlJc w:val="left"/>
      <w:pPr>
        <w:ind w:left="2160" w:hanging="360"/>
      </w:pPr>
      <w:rPr>
        <w:rFonts w:ascii="Wingdings" w:hAnsi="Wingdings" w:hint="default"/>
      </w:rPr>
    </w:lvl>
    <w:lvl w:ilvl="3" w:tplc="52562A48" w:tentative="1">
      <w:start w:val="1"/>
      <w:numFmt w:val="bullet"/>
      <w:lvlText w:val=""/>
      <w:lvlJc w:val="left"/>
      <w:pPr>
        <w:ind w:left="2880" w:hanging="360"/>
      </w:pPr>
      <w:rPr>
        <w:rFonts w:ascii="Symbol" w:hAnsi="Symbol" w:hint="default"/>
      </w:rPr>
    </w:lvl>
    <w:lvl w:ilvl="4" w:tplc="57B06824" w:tentative="1">
      <w:start w:val="1"/>
      <w:numFmt w:val="bullet"/>
      <w:lvlText w:val="o"/>
      <w:lvlJc w:val="left"/>
      <w:pPr>
        <w:ind w:left="3600" w:hanging="360"/>
      </w:pPr>
      <w:rPr>
        <w:rFonts w:ascii="Courier New" w:hAnsi="Courier New" w:cs="Courier New" w:hint="default"/>
      </w:rPr>
    </w:lvl>
    <w:lvl w:ilvl="5" w:tplc="9A44BCD0" w:tentative="1">
      <w:start w:val="1"/>
      <w:numFmt w:val="bullet"/>
      <w:lvlText w:val=""/>
      <w:lvlJc w:val="left"/>
      <w:pPr>
        <w:ind w:left="4320" w:hanging="360"/>
      </w:pPr>
      <w:rPr>
        <w:rFonts w:ascii="Wingdings" w:hAnsi="Wingdings" w:hint="default"/>
      </w:rPr>
    </w:lvl>
    <w:lvl w:ilvl="6" w:tplc="F06883B2" w:tentative="1">
      <w:start w:val="1"/>
      <w:numFmt w:val="bullet"/>
      <w:lvlText w:val=""/>
      <w:lvlJc w:val="left"/>
      <w:pPr>
        <w:ind w:left="5040" w:hanging="360"/>
      </w:pPr>
      <w:rPr>
        <w:rFonts w:ascii="Symbol" w:hAnsi="Symbol" w:hint="default"/>
      </w:rPr>
    </w:lvl>
    <w:lvl w:ilvl="7" w:tplc="AA12E03A" w:tentative="1">
      <w:start w:val="1"/>
      <w:numFmt w:val="bullet"/>
      <w:lvlText w:val="o"/>
      <w:lvlJc w:val="left"/>
      <w:pPr>
        <w:ind w:left="5760" w:hanging="360"/>
      </w:pPr>
      <w:rPr>
        <w:rFonts w:ascii="Courier New" w:hAnsi="Courier New" w:cs="Courier New" w:hint="default"/>
      </w:rPr>
    </w:lvl>
    <w:lvl w:ilvl="8" w:tplc="C040D354" w:tentative="1">
      <w:start w:val="1"/>
      <w:numFmt w:val="bullet"/>
      <w:lvlText w:val=""/>
      <w:lvlJc w:val="left"/>
      <w:pPr>
        <w:ind w:left="6480" w:hanging="360"/>
      </w:pPr>
      <w:rPr>
        <w:rFonts w:ascii="Wingdings" w:hAnsi="Wingdings" w:hint="default"/>
      </w:rPr>
    </w:lvl>
  </w:abstractNum>
  <w:abstractNum w:abstractNumId="15" w15:restartNumberingAfterBreak="0">
    <w:nsid w:val="799D5D8E"/>
    <w:multiLevelType w:val="hybridMultilevel"/>
    <w:tmpl w:val="32C65164"/>
    <w:lvl w:ilvl="0" w:tplc="64FC9416">
      <w:start w:val="1"/>
      <w:numFmt w:val="decimal"/>
      <w:lvlText w:val="%1."/>
      <w:lvlJc w:val="left"/>
      <w:pPr>
        <w:ind w:left="1080" w:hanging="360"/>
      </w:pPr>
      <w:rPr>
        <w:rFonts w:hint="default"/>
      </w:rPr>
    </w:lvl>
    <w:lvl w:ilvl="1" w:tplc="815ABC5E" w:tentative="1">
      <w:start w:val="1"/>
      <w:numFmt w:val="lowerLetter"/>
      <w:lvlText w:val="%2."/>
      <w:lvlJc w:val="left"/>
      <w:pPr>
        <w:ind w:left="1800" w:hanging="360"/>
      </w:pPr>
    </w:lvl>
    <w:lvl w:ilvl="2" w:tplc="E00607E6" w:tentative="1">
      <w:start w:val="1"/>
      <w:numFmt w:val="lowerRoman"/>
      <w:lvlText w:val="%3."/>
      <w:lvlJc w:val="right"/>
      <w:pPr>
        <w:ind w:left="2520" w:hanging="180"/>
      </w:pPr>
    </w:lvl>
    <w:lvl w:ilvl="3" w:tplc="5F40921E" w:tentative="1">
      <w:start w:val="1"/>
      <w:numFmt w:val="decimal"/>
      <w:lvlText w:val="%4."/>
      <w:lvlJc w:val="left"/>
      <w:pPr>
        <w:ind w:left="3240" w:hanging="360"/>
      </w:pPr>
    </w:lvl>
    <w:lvl w:ilvl="4" w:tplc="1C5408B6" w:tentative="1">
      <w:start w:val="1"/>
      <w:numFmt w:val="lowerLetter"/>
      <w:lvlText w:val="%5."/>
      <w:lvlJc w:val="left"/>
      <w:pPr>
        <w:ind w:left="3960" w:hanging="360"/>
      </w:pPr>
    </w:lvl>
    <w:lvl w:ilvl="5" w:tplc="9E94F9C8" w:tentative="1">
      <w:start w:val="1"/>
      <w:numFmt w:val="lowerRoman"/>
      <w:lvlText w:val="%6."/>
      <w:lvlJc w:val="right"/>
      <w:pPr>
        <w:ind w:left="4680" w:hanging="180"/>
      </w:pPr>
    </w:lvl>
    <w:lvl w:ilvl="6" w:tplc="0B529BF4" w:tentative="1">
      <w:start w:val="1"/>
      <w:numFmt w:val="decimal"/>
      <w:lvlText w:val="%7."/>
      <w:lvlJc w:val="left"/>
      <w:pPr>
        <w:ind w:left="5400" w:hanging="360"/>
      </w:pPr>
    </w:lvl>
    <w:lvl w:ilvl="7" w:tplc="5BF89BB8" w:tentative="1">
      <w:start w:val="1"/>
      <w:numFmt w:val="lowerLetter"/>
      <w:lvlText w:val="%8."/>
      <w:lvlJc w:val="left"/>
      <w:pPr>
        <w:ind w:left="6120" w:hanging="360"/>
      </w:pPr>
    </w:lvl>
    <w:lvl w:ilvl="8" w:tplc="8C1EBB5C" w:tentative="1">
      <w:start w:val="1"/>
      <w:numFmt w:val="lowerRoman"/>
      <w:lvlText w:val="%9."/>
      <w:lvlJc w:val="right"/>
      <w:pPr>
        <w:ind w:left="6840" w:hanging="180"/>
      </w:pPr>
    </w:lvl>
  </w:abstractNum>
  <w:abstractNum w:abstractNumId="16" w15:restartNumberingAfterBreak="0">
    <w:nsid w:val="7EA136AA"/>
    <w:multiLevelType w:val="hybridMultilevel"/>
    <w:tmpl w:val="B68EDDB4"/>
    <w:lvl w:ilvl="0" w:tplc="3D88F5A6">
      <w:start w:val="1"/>
      <w:numFmt w:val="decimal"/>
      <w:lvlText w:val="%1."/>
      <w:lvlJc w:val="left"/>
      <w:pPr>
        <w:ind w:left="720" w:hanging="360"/>
      </w:pPr>
      <w:rPr>
        <w:rFonts w:hint="default"/>
      </w:rPr>
    </w:lvl>
    <w:lvl w:ilvl="1" w:tplc="6B6454D0" w:tentative="1">
      <w:start w:val="1"/>
      <w:numFmt w:val="lowerLetter"/>
      <w:lvlText w:val="%2."/>
      <w:lvlJc w:val="left"/>
      <w:pPr>
        <w:ind w:left="1440" w:hanging="360"/>
      </w:pPr>
    </w:lvl>
    <w:lvl w:ilvl="2" w:tplc="3DB49F46" w:tentative="1">
      <w:start w:val="1"/>
      <w:numFmt w:val="lowerRoman"/>
      <w:lvlText w:val="%3."/>
      <w:lvlJc w:val="right"/>
      <w:pPr>
        <w:ind w:left="2160" w:hanging="180"/>
      </w:pPr>
    </w:lvl>
    <w:lvl w:ilvl="3" w:tplc="E242A128" w:tentative="1">
      <w:start w:val="1"/>
      <w:numFmt w:val="decimal"/>
      <w:lvlText w:val="%4."/>
      <w:lvlJc w:val="left"/>
      <w:pPr>
        <w:ind w:left="2880" w:hanging="360"/>
      </w:pPr>
    </w:lvl>
    <w:lvl w:ilvl="4" w:tplc="EDD233C0" w:tentative="1">
      <w:start w:val="1"/>
      <w:numFmt w:val="lowerLetter"/>
      <w:lvlText w:val="%5."/>
      <w:lvlJc w:val="left"/>
      <w:pPr>
        <w:ind w:left="3600" w:hanging="360"/>
      </w:pPr>
    </w:lvl>
    <w:lvl w:ilvl="5" w:tplc="D7CA1E78" w:tentative="1">
      <w:start w:val="1"/>
      <w:numFmt w:val="lowerRoman"/>
      <w:lvlText w:val="%6."/>
      <w:lvlJc w:val="right"/>
      <w:pPr>
        <w:ind w:left="4320" w:hanging="180"/>
      </w:pPr>
    </w:lvl>
    <w:lvl w:ilvl="6" w:tplc="66EAB772" w:tentative="1">
      <w:start w:val="1"/>
      <w:numFmt w:val="decimal"/>
      <w:lvlText w:val="%7."/>
      <w:lvlJc w:val="left"/>
      <w:pPr>
        <w:ind w:left="5040" w:hanging="360"/>
      </w:pPr>
    </w:lvl>
    <w:lvl w:ilvl="7" w:tplc="0484AAD2" w:tentative="1">
      <w:start w:val="1"/>
      <w:numFmt w:val="lowerLetter"/>
      <w:lvlText w:val="%8."/>
      <w:lvlJc w:val="left"/>
      <w:pPr>
        <w:ind w:left="5760" w:hanging="360"/>
      </w:pPr>
    </w:lvl>
    <w:lvl w:ilvl="8" w:tplc="EA22A9FE" w:tentative="1">
      <w:start w:val="1"/>
      <w:numFmt w:val="lowerRoman"/>
      <w:lvlText w:val="%9."/>
      <w:lvlJc w:val="right"/>
      <w:pPr>
        <w:ind w:left="6480" w:hanging="180"/>
      </w:pPr>
    </w:lvl>
  </w:abstractNum>
  <w:num w:numId="1" w16cid:durableId="1980334003">
    <w:abstractNumId w:val="1"/>
  </w:num>
  <w:num w:numId="2" w16cid:durableId="1969047140">
    <w:abstractNumId w:val="5"/>
  </w:num>
  <w:num w:numId="3" w16cid:durableId="1817138959">
    <w:abstractNumId w:val="4"/>
  </w:num>
  <w:num w:numId="4" w16cid:durableId="1314481490">
    <w:abstractNumId w:val="10"/>
  </w:num>
  <w:num w:numId="5" w16cid:durableId="908418036">
    <w:abstractNumId w:val="1"/>
    <w:lvlOverride w:ilvl="0">
      <w:startOverride w:val="1"/>
    </w:lvlOverride>
  </w:num>
  <w:num w:numId="6" w16cid:durableId="1551847107">
    <w:abstractNumId w:val="1"/>
    <w:lvlOverride w:ilvl="0">
      <w:startOverride w:val="1"/>
    </w:lvlOverride>
  </w:num>
  <w:num w:numId="7" w16cid:durableId="467862646">
    <w:abstractNumId w:val="1"/>
    <w:lvlOverride w:ilvl="0">
      <w:startOverride w:val="1"/>
    </w:lvlOverride>
  </w:num>
  <w:num w:numId="8" w16cid:durableId="217087199">
    <w:abstractNumId w:val="1"/>
    <w:lvlOverride w:ilvl="0">
      <w:startOverride w:val="1"/>
    </w:lvlOverride>
  </w:num>
  <w:num w:numId="9" w16cid:durableId="2040232674">
    <w:abstractNumId w:val="1"/>
    <w:lvlOverride w:ilvl="0">
      <w:startOverride w:val="1"/>
    </w:lvlOverride>
  </w:num>
  <w:num w:numId="10" w16cid:durableId="1009065079">
    <w:abstractNumId w:val="1"/>
    <w:lvlOverride w:ilvl="0">
      <w:startOverride w:val="1"/>
    </w:lvlOverride>
  </w:num>
  <w:num w:numId="11" w16cid:durableId="487787225">
    <w:abstractNumId w:val="1"/>
    <w:lvlOverride w:ilvl="0">
      <w:startOverride w:val="1"/>
    </w:lvlOverride>
  </w:num>
  <w:num w:numId="12" w16cid:durableId="1945767910">
    <w:abstractNumId w:val="1"/>
    <w:lvlOverride w:ilvl="0">
      <w:startOverride w:val="1"/>
    </w:lvlOverride>
  </w:num>
  <w:num w:numId="13" w16cid:durableId="1397583980">
    <w:abstractNumId w:val="1"/>
    <w:lvlOverride w:ilvl="0">
      <w:startOverride w:val="1"/>
    </w:lvlOverride>
  </w:num>
  <w:num w:numId="14" w16cid:durableId="992610608">
    <w:abstractNumId w:val="1"/>
    <w:lvlOverride w:ilvl="0">
      <w:startOverride w:val="1"/>
    </w:lvlOverride>
  </w:num>
  <w:num w:numId="15" w16cid:durableId="1960604560">
    <w:abstractNumId w:val="1"/>
    <w:lvlOverride w:ilvl="0">
      <w:startOverride w:val="1"/>
    </w:lvlOverride>
  </w:num>
  <w:num w:numId="16" w16cid:durableId="1951275270">
    <w:abstractNumId w:val="1"/>
    <w:lvlOverride w:ilvl="0">
      <w:startOverride w:val="1"/>
    </w:lvlOverride>
  </w:num>
  <w:num w:numId="17" w16cid:durableId="1863204844">
    <w:abstractNumId w:val="1"/>
    <w:lvlOverride w:ilvl="0">
      <w:startOverride w:val="1"/>
    </w:lvlOverride>
  </w:num>
  <w:num w:numId="18" w16cid:durableId="1820919880">
    <w:abstractNumId w:val="4"/>
    <w:lvlOverride w:ilvl="0">
      <w:startOverride w:val="1"/>
    </w:lvlOverride>
  </w:num>
  <w:num w:numId="19" w16cid:durableId="1912153938">
    <w:abstractNumId w:val="14"/>
  </w:num>
  <w:num w:numId="20" w16cid:durableId="1989168280">
    <w:abstractNumId w:val="8"/>
  </w:num>
  <w:num w:numId="21" w16cid:durableId="26418822">
    <w:abstractNumId w:val="5"/>
  </w:num>
  <w:num w:numId="22" w16cid:durableId="1378815219">
    <w:abstractNumId w:val="3"/>
  </w:num>
  <w:num w:numId="23" w16cid:durableId="321079901">
    <w:abstractNumId w:val="0"/>
  </w:num>
  <w:num w:numId="24" w16cid:durableId="1512182947">
    <w:abstractNumId w:val="13"/>
  </w:num>
  <w:num w:numId="25" w16cid:durableId="158616557">
    <w:abstractNumId w:val="9"/>
  </w:num>
  <w:num w:numId="26" w16cid:durableId="978069625">
    <w:abstractNumId w:val="5"/>
    <w:lvlOverride w:ilvl="0">
      <w:startOverride w:val="2"/>
    </w:lvlOverride>
  </w:num>
  <w:num w:numId="27" w16cid:durableId="929891676">
    <w:abstractNumId w:val="6"/>
  </w:num>
  <w:num w:numId="28" w16cid:durableId="1657145816">
    <w:abstractNumId w:val="7"/>
  </w:num>
  <w:num w:numId="29" w16cid:durableId="178352250">
    <w:abstractNumId w:val="10"/>
  </w:num>
  <w:num w:numId="30" w16cid:durableId="1555778328">
    <w:abstractNumId w:val="10"/>
    <w:lvlOverride w:ilvl="0">
      <w:startOverride w:val="4"/>
    </w:lvlOverride>
  </w:num>
  <w:num w:numId="31" w16cid:durableId="498693086">
    <w:abstractNumId w:val="10"/>
    <w:lvlOverride w:ilvl="0">
      <w:startOverride w:val="4"/>
    </w:lvlOverride>
  </w:num>
  <w:num w:numId="32" w16cid:durableId="786772457">
    <w:abstractNumId w:val="10"/>
    <w:lvlOverride w:ilvl="0">
      <w:startOverride w:val="6"/>
    </w:lvlOverride>
  </w:num>
  <w:num w:numId="33" w16cid:durableId="399451719">
    <w:abstractNumId w:val="5"/>
    <w:lvlOverride w:ilvl="0">
      <w:startOverride w:val="1"/>
    </w:lvlOverride>
  </w:num>
  <w:num w:numId="34" w16cid:durableId="1082987309">
    <w:abstractNumId w:val="2"/>
  </w:num>
  <w:num w:numId="35" w16cid:durableId="1530148091">
    <w:abstractNumId w:val="11"/>
  </w:num>
  <w:num w:numId="36" w16cid:durableId="869343837">
    <w:abstractNumId w:val="12"/>
  </w:num>
  <w:num w:numId="37" w16cid:durableId="425880886">
    <w:abstractNumId w:val="16"/>
  </w:num>
  <w:num w:numId="38" w16cid:durableId="1267052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ED"/>
    <w:rsid w:val="000072F4"/>
    <w:rsid w:val="00011C72"/>
    <w:rsid w:val="00017A11"/>
    <w:rsid w:val="000210A3"/>
    <w:rsid w:val="00033AE6"/>
    <w:rsid w:val="0003617A"/>
    <w:rsid w:val="00041CE3"/>
    <w:rsid w:val="0004203D"/>
    <w:rsid w:val="00042AC1"/>
    <w:rsid w:val="000507B2"/>
    <w:rsid w:val="00052D0B"/>
    <w:rsid w:val="00054511"/>
    <w:rsid w:val="00080D02"/>
    <w:rsid w:val="00085ACA"/>
    <w:rsid w:val="0009155F"/>
    <w:rsid w:val="0009332B"/>
    <w:rsid w:val="0009357D"/>
    <w:rsid w:val="0009457A"/>
    <w:rsid w:val="000A3A3B"/>
    <w:rsid w:val="000B15CE"/>
    <w:rsid w:val="000B3CBB"/>
    <w:rsid w:val="000C5FA7"/>
    <w:rsid w:val="000C63FB"/>
    <w:rsid w:val="000C653C"/>
    <w:rsid w:val="000C6F90"/>
    <w:rsid w:val="000D391C"/>
    <w:rsid w:val="000E3813"/>
    <w:rsid w:val="000F5C35"/>
    <w:rsid w:val="000F7629"/>
    <w:rsid w:val="0010278D"/>
    <w:rsid w:val="00102B76"/>
    <w:rsid w:val="00111615"/>
    <w:rsid w:val="00122537"/>
    <w:rsid w:val="00122A9F"/>
    <w:rsid w:val="00130713"/>
    <w:rsid w:val="0015182E"/>
    <w:rsid w:val="00155064"/>
    <w:rsid w:val="00160398"/>
    <w:rsid w:val="001642FC"/>
    <w:rsid w:val="00165ED1"/>
    <w:rsid w:val="00174430"/>
    <w:rsid w:val="001745B6"/>
    <w:rsid w:val="00175AF2"/>
    <w:rsid w:val="00180ADA"/>
    <w:rsid w:val="00186000"/>
    <w:rsid w:val="00186DBF"/>
    <w:rsid w:val="00195908"/>
    <w:rsid w:val="00195A40"/>
    <w:rsid w:val="00196251"/>
    <w:rsid w:val="001A329E"/>
    <w:rsid w:val="001A4517"/>
    <w:rsid w:val="001A5971"/>
    <w:rsid w:val="001A5A63"/>
    <w:rsid w:val="001A6699"/>
    <w:rsid w:val="001A7FB5"/>
    <w:rsid w:val="001B163D"/>
    <w:rsid w:val="001B16B1"/>
    <w:rsid w:val="001C28BC"/>
    <w:rsid w:val="001C7741"/>
    <w:rsid w:val="001D0444"/>
    <w:rsid w:val="001D3624"/>
    <w:rsid w:val="001D3D84"/>
    <w:rsid w:val="001D401E"/>
    <w:rsid w:val="001D4784"/>
    <w:rsid w:val="001E1B2C"/>
    <w:rsid w:val="001F1358"/>
    <w:rsid w:val="001F26C6"/>
    <w:rsid w:val="001F7957"/>
    <w:rsid w:val="00202A56"/>
    <w:rsid w:val="00202D57"/>
    <w:rsid w:val="00207D55"/>
    <w:rsid w:val="00217BF3"/>
    <w:rsid w:val="00223578"/>
    <w:rsid w:val="00223ED1"/>
    <w:rsid w:val="002274D3"/>
    <w:rsid w:val="002311B2"/>
    <w:rsid w:val="0023793F"/>
    <w:rsid w:val="002408E5"/>
    <w:rsid w:val="002526F1"/>
    <w:rsid w:val="00254100"/>
    <w:rsid w:val="00272048"/>
    <w:rsid w:val="00273AB7"/>
    <w:rsid w:val="00282FCA"/>
    <w:rsid w:val="00283654"/>
    <w:rsid w:val="00283B12"/>
    <w:rsid w:val="00296607"/>
    <w:rsid w:val="002A0BDD"/>
    <w:rsid w:val="002A3ED3"/>
    <w:rsid w:val="002B1FED"/>
    <w:rsid w:val="002B4643"/>
    <w:rsid w:val="002C158B"/>
    <w:rsid w:val="002C373E"/>
    <w:rsid w:val="002D016C"/>
    <w:rsid w:val="002D7A14"/>
    <w:rsid w:val="002F0095"/>
    <w:rsid w:val="002F157E"/>
    <w:rsid w:val="002F5408"/>
    <w:rsid w:val="002F6A63"/>
    <w:rsid w:val="00300AC6"/>
    <w:rsid w:val="003225B4"/>
    <w:rsid w:val="00324F38"/>
    <w:rsid w:val="00325809"/>
    <w:rsid w:val="00326068"/>
    <w:rsid w:val="00326971"/>
    <w:rsid w:val="0032772D"/>
    <w:rsid w:val="003341C9"/>
    <w:rsid w:val="00337A2F"/>
    <w:rsid w:val="00341D17"/>
    <w:rsid w:val="003428FF"/>
    <w:rsid w:val="00346C44"/>
    <w:rsid w:val="00351FCD"/>
    <w:rsid w:val="00355B54"/>
    <w:rsid w:val="00356255"/>
    <w:rsid w:val="00365F74"/>
    <w:rsid w:val="00366D8E"/>
    <w:rsid w:val="00373E23"/>
    <w:rsid w:val="00375C3B"/>
    <w:rsid w:val="00377DA0"/>
    <w:rsid w:val="003830F9"/>
    <w:rsid w:val="00383F42"/>
    <w:rsid w:val="003A230C"/>
    <w:rsid w:val="003B09F7"/>
    <w:rsid w:val="003B48B3"/>
    <w:rsid w:val="003B6E14"/>
    <w:rsid w:val="003C2677"/>
    <w:rsid w:val="003C6640"/>
    <w:rsid w:val="003E4191"/>
    <w:rsid w:val="003E55A2"/>
    <w:rsid w:val="003E58A9"/>
    <w:rsid w:val="003E6135"/>
    <w:rsid w:val="003F12A1"/>
    <w:rsid w:val="003F3E60"/>
    <w:rsid w:val="003F5A35"/>
    <w:rsid w:val="003F72B8"/>
    <w:rsid w:val="0040614A"/>
    <w:rsid w:val="0041285D"/>
    <w:rsid w:val="004132C1"/>
    <w:rsid w:val="00413D53"/>
    <w:rsid w:val="00417CD0"/>
    <w:rsid w:val="00422CC1"/>
    <w:rsid w:val="00423B59"/>
    <w:rsid w:val="00426E13"/>
    <w:rsid w:val="00427306"/>
    <w:rsid w:val="004278A6"/>
    <w:rsid w:val="004311AC"/>
    <w:rsid w:val="0043347F"/>
    <w:rsid w:val="00436138"/>
    <w:rsid w:val="0044120E"/>
    <w:rsid w:val="00442DE8"/>
    <w:rsid w:val="004458E2"/>
    <w:rsid w:val="004460A5"/>
    <w:rsid w:val="0044726D"/>
    <w:rsid w:val="00455B06"/>
    <w:rsid w:val="004829EC"/>
    <w:rsid w:val="004911DC"/>
    <w:rsid w:val="0049519F"/>
    <w:rsid w:val="0049545E"/>
    <w:rsid w:val="00497DB8"/>
    <w:rsid w:val="004A572D"/>
    <w:rsid w:val="004A6457"/>
    <w:rsid w:val="004B1A3B"/>
    <w:rsid w:val="004B1B4B"/>
    <w:rsid w:val="004B4A1E"/>
    <w:rsid w:val="004B670F"/>
    <w:rsid w:val="004D41E6"/>
    <w:rsid w:val="004E244D"/>
    <w:rsid w:val="004F113E"/>
    <w:rsid w:val="004F1524"/>
    <w:rsid w:val="004F4BD9"/>
    <w:rsid w:val="004F56D2"/>
    <w:rsid w:val="004F5769"/>
    <w:rsid w:val="004F7EE0"/>
    <w:rsid w:val="005070A2"/>
    <w:rsid w:val="005079FD"/>
    <w:rsid w:val="00510444"/>
    <w:rsid w:val="0051737D"/>
    <w:rsid w:val="0051761E"/>
    <w:rsid w:val="00525979"/>
    <w:rsid w:val="00540EE9"/>
    <w:rsid w:val="00545677"/>
    <w:rsid w:val="00560E8E"/>
    <w:rsid w:val="005712ED"/>
    <w:rsid w:val="005805EC"/>
    <w:rsid w:val="00583760"/>
    <w:rsid w:val="00583EDE"/>
    <w:rsid w:val="00583F7A"/>
    <w:rsid w:val="00586893"/>
    <w:rsid w:val="00594E22"/>
    <w:rsid w:val="005A6D11"/>
    <w:rsid w:val="005C2A35"/>
    <w:rsid w:val="005C5EFE"/>
    <w:rsid w:val="005C7F8A"/>
    <w:rsid w:val="005D0A7C"/>
    <w:rsid w:val="005D1E5C"/>
    <w:rsid w:val="005D294D"/>
    <w:rsid w:val="005D4A83"/>
    <w:rsid w:val="005E10EC"/>
    <w:rsid w:val="005E2F0E"/>
    <w:rsid w:val="005E6E16"/>
    <w:rsid w:val="005E6FF4"/>
    <w:rsid w:val="005F0341"/>
    <w:rsid w:val="005F5CDB"/>
    <w:rsid w:val="005F7372"/>
    <w:rsid w:val="00605D40"/>
    <w:rsid w:val="006119F6"/>
    <w:rsid w:val="0062235A"/>
    <w:rsid w:val="006225E7"/>
    <w:rsid w:val="00640FD1"/>
    <w:rsid w:val="00641D4A"/>
    <w:rsid w:val="00646BE3"/>
    <w:rsid w:val="0066120F"/>
    <w:rsid w:val="006724D9"/>
    <w:rsid w:val="00673224"/>
    <w:rsid w:val="00673486"/>
    <w:rsid w:val="00676322"/>
    <w:rsid w:val="00684897"/>
    <w:rsid w:val="006856F6"/>
    <w:rsid w:val="00686EE7"/>
    <w:rsid w:val="0069778C"/>
    <w:rsid w:val="0069794F"/>
    <w:rsid w:val="006A317A"/>
    <w:rsid w:val="006B21A1"/>
    <w:rsid w:val="006B3038"/>
    <w:rsid w:val="006B6AE0"/>
    <w:rsid w:val="006B737C"/>
    <w:rsid w:val="006C1A01"/>
    <w:rsid w:val="006C5AF6"/>
    <w:rsid w:val="006E0819"/>
    <w:rsid w:val="006E30A0"/>
    <w:rsid w:val="006F2DED"/>
    <w:rsid w:val="006F3B01"/>
    <w:rsid w:val="006F4E4A"/>
    <w:rsid w:val="00706D22"/>
    <w:rsid w:val="00716C9E"/>
    <w:rsid w:val="00717009"/>
    <w:rsid w:val="0072084A"/>
    <w:rsid w:val="0072686B"/>
    <w:rsid w:val="00734A95"/>
    <w:rsid w:val="00735C5C"/>
    <w:rsid w:val="00737B68"/>
    <w:rsid w:val="007402D9"/>
    <w:rsid w:val="00752ACF"/>
    <w:rsid w:val="007566C0"/>
    <w:rsid w:val="0076004E"/>
    <w:rsid w:val="00773E52"/>
    <w:rsid w:val="00783FCC"/>
    <w:rsid w:val="007844BA"/>
    <w:rsid w:val="00791228"/>
    <w:rsid w:val="00795E7C"/>
    <w:rsid w:val="007A10D5"/>
    <w:rsid w:val="007A3DCC"/>
    <w:rsid w:val="007A5DA9"/>
    <w:rsid w:val="007B4755"/>
    <w:rsid w:val="007C24F6"/>
    <w:rsid w:val="007C70E6"/>
    <w:rsid w:val="007D1B34"/>
    <w:rsid w:val="007E073B"/>
    <w:rsid w:val="007F16BA"/>
    <w:rsid w:val="008016AB"/>
    <w:rsid w:val="00810D9C"/>
    <w:rsid w:val="008454BD"/>
    <w:rsid w:val="00850030"/>
    <w:rsid w:val="00853222"/>
    <w:rsid w:val="008549DD"/>
    <w:rsid w:val="0085538A"/>
    <w:rsid w:val="00856D59"/>
    <w:rsid w:val="008578BA"/>
    <w:rsid w:val="00861DED"/>
    <w:rsid w:val="00865119"/>
    <w:rsid w:val="00870144"/>
    <w:rsid w:val="00872A4D"/>
    <w:rsid w:val="008777BB"/>
    <w:rsid w:val="00880F03"/>
    <w:rsid w:val="008818A5"/>
    <w:rsid w:val="00892123"/>
    <w:rsid w:val="008927B3"/>
    <w:rsid w:val="008A4DDA"/>
    <w:rsid w:val="008C1794"/>
    <w:rsid w:val="008C3390"/>
    <w:rsid w:val="008D077D"/>
    <w:rsid w:val="008D108D"/>
    <w:rsid w:val="008D649B"/>
    <w:rsid w:val="008E0B24"/>
    <w:rsid w:val="008E733F"/>
    <w:rsid w:val="008F149B"/>
    <w:rsid w:val="008F2938"/>
    <w:rsid w:val="008F40B5"/>
    <w:rsid w:val="008F4118"/>
    <w:rsid w:val="008F7711"/>
    <w:rsid w:val="00900487"/>
    <w:rsid w:val="00900D9B"/>
    <w:rsid w:val="00910619"/>
    <w:rsid w:val="00912233"/>
    <w:rsid w:val="009200D3"/>
    <w:rsid w:val="00920B04"/>
    <w:rsid w:val="00923201"/>
    <w:rsid w:val="0092368E"/>
    <w:rsid w:val="009359FB"/>
    <w:rsid w:val="00942F2C"/>
    <w:rsid w:val="00944C2C"/>
    <w:rsid w:val="009479C2"/>
    <w:rsid w:val="0095114D"/>
    <w:rsid w:val="009542C7"/>
    <w:rsid w:val="009547A1"/>
    <w:rsid w:val="009602C7"/>
    <w:rsid w:val="0096607D"/>
    <w:rsid w:val="0097432A"/>
    <w:rsid w:val="009808A6"/>
    <w:rsid w:val="009849E9"/>
    <w:rsid w:val="00991F29"/>
    <w:rsid w:val="00993D51"/>
    <w:rsid w:val="00996E37"/>
    <w:rsid w:val="0099713C"/>
    <w:rsid w:val="009A0DF1"/>
    <w:rsid w:val="009A2CBC"/>
    <w:rsid w:val="009A3654"/>
    <w:rsid w:val="009A5F96"/>
    <w:rsid w:val="009A6767"/>
    <w:rsid w:val="009C107B"/>
    <w:rsid w:val="009E1CAE"/>
    <w:rsid w:val="009E6526"/>
    <w:rsid w:val="009E6765"/>
    <w:rsid w:val="009E7801"/>
    <w:rsid w:val="009F68D6"/>
    <w:rsid w:val="009F7CA8"/>
    <w:rsid w:val="00A103AB"/>
    <w:rsid w:val="00A1482B"/>
    <w:rsid w:val="00A17B49"/>
    <w:rsid w:val="00A2226B"/>
    <w:rsid w:val="00A22701"/>
    <w:rsid w:val="00A26F3C"/>
    <w:rsid w:val="00A317CA"/>
    <w:rsid w:val="00A44FD7"/>
    <w:rsid w:val="00A4511D"/>
    <w:rsid w:val="00A51610"/>
    <w:rsid w:val="00A54538"/>
    <w:rsid w:val="00A72855"/>
    <w:rsid w:val="00A81AED"/>
    <w:rsid w:val="00A85FE8"/>
    <w:rsid w:val="00A8670B"/>
    <w:rsid w:val="00A86E6C"/>
    <w:rsid w:val="00A94D68"/>
    <w:rsid w:val="00A97704"/>
    <w:rsid w:val="00AA32FB"/>
    <w:rsid w:val="00AA5C7C"/>
    <w:rsid w:val="00AC58B3"/>
    <w:rsid w:val="00AC6AE7"/>
    <w:rsid w:val="00AD0FD0"/>
    <w:rsid w:val="00AD6149"/>
    <w:rsid w:val="00AE0C03"/>
    <w:rsid w:val="00AE0E1B"/>
    <w:rsid w:val="00AE6AA5"/>
    <w:rsid w:val="00AE6D16"/>
    <w:rsid w:val="00AF290D"/>
    <w:rsid w:val="00AF31C8"/>
    <w:rsid w:val="00B103D5"/>
    <w:rsid w:val="00B1427D"/>
    <w:rsid w:val="00B15FAB"/>
    <w:rsid w:val="00B17588"/>
    <w:rsid w:val="00B25859"/>
    <w:rsid w:val="00B34193"/>
    <w:rsid w:val="00B36CA6"/>
    <w:rsid w:val="00B36DD4"/>
    <w:rsid w:val="00B36ED2"/>
    <w:rsid w:val="00B46DAD"/>
    <w:rsid w:val="00B707A1"/>
    <w:rsid w:val="00B75C4E"/>
    <w:rsid w:val="00B822C2"/>
    <w:rsid w:val="00B82A32"/>
    <w:rsid w:val="00BA0FCB"/>
    <w:rsid w:val="00BB4E99"/>
    <w:rsid w:val="00BC10B4"/>
    <w:rsid w:val="00BC26F8"/>
    <w:rsid w:val="00BC33FB"/>
    <w:rsid w:val="00BC36E1"/>
    <w:rsid w:val="00BC5041"/>
    <w:rsid w:val="00BD305A"/>
    <w:rsid w:val="00BD7E3A"/>
    <w:rsid w:val="00BE0FD1"/>
    <w:rsid w:val="00BE1F30"/>
    <w:rsid w:val="00BE2303"/>
    <w:rsid w:val="00BE4874"/>
    <w:rsid w:val="00BE778D"/>
    <w:rsid w:val="00BF3AD1"/>
    <w:rsid w:val="00BF55AC"/>
    <w:rsid w:val="00BF7343"/>
    <w:rsid w:val="00C0070F"/>
    <w:rsid w:val="00C03933"/>
    <w:rsid w:val="00C06DBC"/>
    <w:rsid w:val="00C07401"/>
    <w:rsid w:val="00C20594"/>
    <w:rsid w:val="00C23C6B"/>
    <w:rsid w:val="00C31F3A"/>
    <w:rsid w:val="00C32E77"/>
    <w:rsid w:val="00C34C29"/>
    <w:rsid w:val="00C3747F"/>
    <w:rsid w:val="00C442B9"/>
    <w:rsid w:val="00C45B84"/>
    <w:rsid w:val="00C50CA7"/>
    <w:rsid w:val="00C53E6F"/>
    <w:rsid w:val="00C66734"/>
    <w:rsid w:val="00C70983"/>
    <w:rsid w:val="00C70AE4"/>
    <w:rsid w:val="00C764D2"/>
    <w:rsid w:val="00C777F1"/>
    <w:rsid w:val="00C77B0F"/>
    <w:rsid w:val="00C77DB6"/>
    <w:rsid w:val="00C808E7"/>
    <w:rsid w:val="00C86A8C"/>
    <w:rsid w:val="00C92166"/>
    <w:rsid w:val="00C97B4E"/>
    <w:rsid w:val="00CA2D89"/>
    <w:rsid w:val="00CA429C"/>
    <w:rsid w:val="00CA4B2F"/>
    <w:rsid w:val="00CB52A6"/>
    <w:rsid w:val="00CB533F"/>
    <w:rsid w:val="00CC1CA6"/>
    <w:rsid w:val="00CC3389"/>
    <w:rsid w:val="00CC71CB"/>
    <w:rsid w:val="00CD4294"/>
    <w:rsid w:val="00CD5B43"/>
    <w:rsid w:val="00CE296B"/>
    <w:rsid w:val="00CE7984"/>
    <w:rsid w:val="00CF2153"/>
    <w:rsid w:val="00CF4D85"/>
    <w:rsid w:val="00D13F7E"/>
    <w:rsid w:val="00D140F5"/>
    <w:rsid w:val="00D1468F"/>
    <w:rsid w:val="00D1790E"/>
    <w:rsid w:val="00D17E29"/>
    <w:rsid w:val="00D32658"/>
    <w:rsid w:val="00D32941"/>
    <w:rsid w:val="00D35685"/>
    <w:rsid w:val="00D50FCC"/>
    <w:rsid w:val="00D54B83"/>
    <w:rsid w:val="00D55190"/>
    <w:rsid w:val="00D55E82"/>
    <w:rsid w:val="00D6631E"/>
    <w:rsid w:val="00D722A4"/>
    <w:rsid w:val="00D82400"/>
    <w:rsid w:val="00D84FFA"/>
    <w:rsid w:val="00D91186"/>
    <w:rsid w:val="00D92215"/>
    <w:rsid w:val="00D94A07"/>
    <w:rsid w:val="00DA1DED"/>
    <w:rsid w:val="00DA3736"/>
    <w:rsid w:val="00DA5DFE"/>
    <w:rsid w:val="00DA683E"/>
    <w:rsid w:val="00DB4F87"/>
    <w:rsid w:val="00DD299C"/>
    <w:rsid w:val="00DD2B46"/>
    <w:rsid w:val="00DD46E8"/>
    <w:rsid w:val="00DE2AC8"/>
    <w:rsid w:val="00DF04AC"/>
    <w:rsid w:val="00E00264"/>
    <w:rsid w:val="00E02C8D"/>
    <w:rsid w:val="00E039CB"/>
    <w:rsid w:val="00E07D72"/>
    <w:rsid w:val="00E1250A"/>
    <w:rsid w:val="00E14808"/>
    <w:rsid w:val="00E1741C"/>
    <w:rsid w:val="00E21A24"/>
    <w:rsid w:val="00E2772A"/>
    <w:rsid w:val="00E32513"/>
    <w:rsid w:val="00E34EE9"/>
    <w:rsid w:val="00E365C2"/>
    <w:rsid w:val="00E40344"/>
    <w:rsid w:val="00E43EB4"/>
    <w:rsid w:val="00E440CE"/>
    <w:rsid w:val="00E4425E"/>
    <w:rsid w:val="00E53146"/>
    <w:rsid w:val="00E55FA7"/>
    <w:rsid w:val="00E5627B"/>
    <w:rsid w:val="00E60346"/>
    <w:rsid w:val="00E6188E"/>
    <w:rsid w:val="00E625FA"/>
    <w:rsid w:val="00E658E6"/>
    <w:rsid w:val="00E7127E"/>
    <w:rsid w:val="00E712B9"/>
    <w:rsid w:val="00E71A35"/>
    <w:rsid w:val="00E72E5E"/>
    <w:rsid w:val="00E81BE8"/>
    <w:rsid w:val="00E84777"/>
    <w:rsid w:val="00E94A07"/>
    <w:rsid w:val="00EA05CB"/>
    <w:rsid w:val="00EA2738"/>
    <w:rsid w:val="00EA378A"/>
    <w:rsid w:val="00EB28BC"/>
    <w:rsid w:val="00EC24E2"/>
    <w:rsid w:val="00EC4535"/>
    <w:rsid w:val="00EC5756"/>
    <w:rsid w:val="00EC5F29"/>
    <w:rsid w:val="00ED0CED"/>
    <w:rsid w:val="00ED2DDD"/>
    <w:rsid w:val="00EF19CB"/>
    <w:rsid w:val="00EF70CE"/>
    <w:rsid w:val="00F074BD"/>
    <w:rsid w:val="00F07DB0"/>
    <w:rsid w:val="00F1600E"/>
    <w:rsid w:val="00F239EC"/>
    <w:rsid w:val="00F24231"/>
    <w:rsid w:val="00F310D6"/>
    <w:rsid w:val="00F32D4D"/>
    <w:rsid w:val="00F452C5"/>
    <w:rsid w:val="00F74599"/>
    <w:rsid w:val="00F80798"/>
    <w:rsid w:val="00F85CE6"/>
    <w:rsid w:val="00F96885"/>
    <w:rsid w:val="00FA0E34"/>
    <w:rsid w:val="00FB35EC"/>
    <w:rsid w:val="00FB4711"/>
    <w:rsid w:val="00FB5185"/>
    <w:rsid w:val="00FB6F88"/>
    <w:rsid w:val="00FC2525"/>
    <w:rsid w:val="00FC41A1"/>
    <w:rsid w:val="00FC576E"/>
    <w:rsid w:val="00FD1735"/>
    <w:rsid w:val="00FD2CB0"/>
    <w:rsid w:val="00FE3F69"/>
    <w:rsid w:val="16761D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E033BF"/>
    <w:pPr>
      <w:keepNext/>
      <w:numPr>
        <w:numId w:val="20"/>
      </w:numPr>
      <w:spacing w:after="120" w:line="240" w:lineRule="auto"/>
      <w:ind w:left="86" w:hanging="86"/>
      <w:jc w:val="center"/>
      <w:outlineLvl w:val="0"/>
    </w:pPr>
    <w:rPr>
      <w:b/>
      <w:bC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9542C7"/>
    <w:pPr>
      <w:keepNext/>
      <w:numPr>
        <w:numId w:val="18"/>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332B"/>
    <w:rPr>
      <w:b/>
      <w:bC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542C7"/>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1"/>
    <w:qFormat/>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paragraph" w:styleId="BalloonText">
    <w:name w:val="Balloon Text"/>
    <w:basedOn w:val="Normal"/>
    <w:link w:val="BalloonTextChar"/>
    <w:uiPriority w:val="99"/>
    <w:semiHidden/>
    <w:unhideWhenUsed/>
    <w:rsid w:val="004020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DF"/>
    <w:rPr>
      <w:rFonts w:ascii="Segoe UI" w:hAnsi="Segoe UI" w:cs="Segoe UI"/>
      <w:sz w:val="18"/>
      <w:szCs w:val="18"/>
    </w:rPr>
  </w:style>
  <w:style w:type="character" w:customStyle="1" w:styleId="costarpage">
    <w:name w:val="co_starpage"/>
    <w:basedOn w:val="DefaultParagraphFont"/>
    <w:rsid w:val="00373E23"/>
  </w:style>
  <w:style w:type="character" w:customStyle="1" w:styleId="copinpointicon">
    <w:name w:val="co_pinpointicon"/>
    <w:basedOn w:val="DefaultParagraphFont"/>
    <w:rsid w:val="00373E23"/>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17BD2"/>
    <w:rPr>
      <w:sz w:val="16"/>
      <w:szCs w:val="16"/>
    </w:rPr>
  </w:style>
  <w:style w:type="paragraph" w:styleId="CommentText">
    <w:name w:val="annotation text"/>
    <w:basedOn w:val="Normal"/>
    <w:link w:val="CommentTextChar"/>
    <w:uiPriority w:val="99"/>
    <w:unhideWhenUsed/>
    <w:rsid w:val="00A17BD2"/>
    <w:pPr>
      <w:spacing w:line="240" w:lineRule="auto"/>
    </w:pPr>
    <w:rPr>
      <w:sz w:val="20"/>
      <w:szCs w:val="20"/>
    </w:rPr>
  </w:style>
  <w:style w:type="character" w:customStyle="1" w:styleId="CommentTextChar">
    <w:name w:val="Comment Text Char"/>
    <w:basedOn w:val="DefaultParagraphFont"/>
    <w:link w:val="CommentText"/>
    <w:uiPriority w:val="99"/>
    <w:rsid w:val="00A17BD2"/>
    <w:rPr>
      <w:sz w:val="20"/>
      <w:szCs w:val="20"/>
    </w:rPr>
  </w:style>
  <w:style w:type="paragraph" w:styleId="CommentSubject">
    <w:name w:val="annotation subject"/>
    <w:basedOn w:val="CommentText"/>
    <w:next w:val="CommentText"/>
    <w:link w:val="CommentSubjectChar"/>
    <w:uiPriority w:val="99"/>
    <w:semiHidden/>
    <w:unhideWhenUsed/>
    <w:rsid w:val="00A17BD2"/>
    <w:rPr>
      <w:b/>
      <w:bCs/>
    </w:rPr>
  </w:style>
  <w:style w:type="character" w:customStyle="1" w:styleId="CommentSubjectChar">
    <w:name w:val="Comment Subject Char"/>
    <w:basedOn w:val="CommentTextChar"/>
    <w:link w:val="CommentSubject"/>
    <w:uiPriority w:val="99"/>
    <w:semiHidden/>
    <w:rsid w:val="00A17BD2"/>
    <w:rPr>
      <w:b/>
      <w:bCs/>
      <w:sz w:val="20"/>
      <w:szCs w:val="20"/>
    </w:rPr>
  </w:style>
  <w:style w:type="paragraph" w:styleId="Revision">
    <w:name w:val="Revision"/>
    <w:hidden/>
    <w:uiPriority w:val="99"/>
    <w:semiHidden/>
    <w:rsid w:val="000578C1"/>
    <w:pPr>
      <w:spacing w:line="240" w:lineRule="auto"/>
    </w:pPr>
  </w:style>
  <w:style w:type="character" w:styleId="Hyperlink">
    <w:name w:val="Hyperlink"/>
    <w:basedOn w:val="DefaultParagraphFont"/>
    <w:uiPriority w:val="99"/>
    <w:unhideWhenUsed/>
    <w:rsid w:val="005E06BE"/>
    <w:rPr>
      <w:color w:val="0000FF"/>
      <w:u w:val="single"/>
    </w:rPr>
  </w:style>
  <w:style w:type="character" w:styleId="FollowedHyperlink">
    <w:name w:val="FollowedHyperlink"/>
    <w:basedOn w:val="DefaultParagraphFont"/>
    <w:uiPriority w:val="99"/>
    <w:semiHidden/>
    <w:unhideWhenUsed/>
    <w:rsid w:val="007F1AEB"/>
    <w:rPr>
      <w:color w:val="954F72" w:themeColor="followedHyperlink"/>
      <w:u w:val="single"/>
    </w:rPr>
  </w:style>
  <w:style w:type="character" w:styleId="Emphasis">
    <w:name w:val="Emphasis"/>
    <w:basedOn w:val="DefaultParagraphFont"/>
    <w:uiPriority w:val="20"/>
    <w:qFormat/>
    <w:rsid w:val="00855E9C"/>
    <w:rPr>
      <w:i/>
      <w:iCs/>
    </w:rPr>
  </w:style>
  <w:style w:type="character" w:customStyle="1" w:styleId="cohighlightpoints">
    <w:name w:val="co_highlightpoints"/>
    <w:basedOn w:val="DefaultParagraphFont"/>
    <w:rsid w:val="00ED3532"/>
  </w:style>
  <w:style w:type="character" w:customStyle="1" w:styleId="coconcept2223">
    <w:name w:val="co_concept_22_23"/>
    <w:basedOn w:val="DefaultParagraphFont"/>
    <w:rsid w:val="00E261A9"/>
  </w:style>
  <w:style w:type="character" w:customStyle="1" w:styleId="ssit">
    <w:name w:val="ss_it"/>
    <w:basedOn w:val="DefaultParagraphFont"/>
    <w:rsid w:val="00880B2D"/>
  </w:style>
  <w:style w:type="character" w:customStyle="1" w:styleId="coconcept2128">
    <w:name w:val="co_concept_21_28"/>
    <w:basedOn w:val="DefaultParagraphFont"/>
    <w:rsid w:val="00AF31C8"/>
  </w:style>
  <w:style w:type="paragraph" w:styleId="NormalWeb">
    <w:name w:val="Normal (Web)"/>
    <w:basedOn w:val="Normal"/>
    <w:uiPriority w:val="99"/>
    <w:unhideWhenUsed/>
    <w:rsid w:val="00C04298"/>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36F0F"/>
    <w:pPr>
      <w:widowControl w:val="0"/>
      <w:autoSpaceDE w:val="0"/>
      <w:autoSpaceDN w:val="0"/>
      <w:spacing w:line="240" w:lineRule="auto"/>
      <w:ind w:firstLine="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36F0F"/>
    <w:rPr>
      <w:rFonts w:ascii="Times New Roman" w:eastAsia="Times New Roman" w:hAnsi="Times New Roman" w:cs="Times New Roman"/>
      <w:sz w:val="21"/>
      <w:szCs w:val="21"/>
    </w:rPr>
  </w:style>
  <w:style w:type="character" w:customStyle="1" w:styleId="coconcept15">
    <w:name w:val="co_concept_1_5"/>
    <w:basedOn w:val="DefaultParagraphFont"/>
    <w:rsid w:val="00497672"/>
  </w:style>
  <w:style w:type="character" w:customStyle="1" w:styleId="coconcept1014">
    <w:name w:val="co_concept_10_14"/>
    <w:basedOn w:val="DefaultParagraphFont"/>
    <w:rsid w:val="00497672"/>
  </w:style>
  <w:style w:type="character" w:customStyle="1" w:styleId="coconcept110">
    <w:name w:val="co_concept_1_10"/>
    <w:basedOn w:val="DefaultParagraphFont"/>
    <w:rsid w:val="00283AB1"/>
  </w:style>
  <w:style w:type="character" w:customStyle="1" w:styleId="coconcept1524">
    <w:name w:val="co_concept_15_24"/>
    <w:basedOn w:val="DefaultParagraphFont"/>
    <w:rsid w:val="00283AB1"/>
  </w:style>
  <w:style w:type="character" w:customStyle="1" w:styleId="mswsearchterm">
    <w:name w:val="mswsearchterm"/>
    <w:basedOn w:val="DefaultParagraphFont"/>
    <w:rsid w:val="000366E0"/>
  </w:style>
  <w:style w:type="character" w:customStyle="1" w:styleId="UnresolvedMention1">
    <w:name w:val="Unresolved Mention1"/>
    <w:basedOn w:val="DefaultParagraphFont"/>
    <w:uiPriority w:val="99"/>
    <w:semiHidden/>
    <w:unhideWhenUsed/>
    <w:rsid w:val="000650A6"/>
    <w:rPr>
      <w:color w:val="605E5C"/>
      <w:shd w:val="clear" w:color="auto" w:fill="E1DFDD"/>
    </w:rPr>
  </w:style>
  <w:style w:type="character" w:customStyle="1" w:styleId="acb">
    <w:name w:val="acb"/>
    <w:basedOn w:val="DefaultParagraphFont"/>
    <w:rsid w:val="005A10DB"/>
  </w:style>
  <w:style w:type="character" w:customStyle="1" w:styleId="sssh">
    <w:name w:val="ss_sh"/>
    <w:basedOn w:val="DefaultParagraphFont"/>
    <w:rsid w:val="005A10DB"/>
  </w:style>
  <w:style w:type="character" w:styleId="PageNumber">
    <w:name w:val="page number"/>
    <w:basedOn w:val="DefaultParagraphFont"/>
    <w:uiPriority w:val="99"/>
    <w:semiHidden/>
    <w:unhideWhenUsed/>
    <w:rsid w:val="004F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12788</Words>
  <Characters>66930</Characters>
  <Application>Microsoft Office Word</Application>
  <DocSecurity>0</DocSecurity>
  <Lines>1186</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2023-04-05T16:19:00Z</dcterms:created>
  <dcterms:modified xsi:type="dcterms:W3CDTF">2023-04-05T16:19:00Z</dcterms:modified>
  <cp:category/>
</cp:coreProperties>
</file>