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A4794" w14:textId="178FC14C" w:rsidR="004A77CA" w:rsidRDefault="00D673FD" w:rsidP="009441CC">
      <w:pPr>
        <w:spacing w:after="120" w:line="240" w:lineRule="auto"/>
        <w:ind w:firstLine="0"/>
        <w:jc w:val="center"/>
        <w:rPr>
          <w:sz w:val="20"/>
        </w:rPr>
      </w:pPr>
      <w:r>
        <w:rPr>
          <w:sz w:val="20"/>
        </w:rPr>
        <w:t>Filed 10/</w:t>
      </w:r>
      <w:r w:rsidR="00603238">
        <w:rPr>
          <w:sz w:val="20"/>
        </w:rPr>
        <w:t>26</w:t>
      </w:r>
      <w:r>
        <w:rPr>
          <w:sz w:val="20"/>
        </w:rPr>
        <w:t>/22</w:t>
      </w:r>
      <w:bookmarkStart w:id="0" w:name="_Hlk91684443"/>
      <w:r w:rsidR="009441CC" w:rsidRPr="00CF06F7">
        <w:rPr>
          <w:rFonts w:cs="Times New Roman"/>
          <w:sz w:val="20"/>
        </w:rPr>
        <w:t>; REVIEW GRANTED.  See Cal. Rules of Court, rules 8.1105 and 8.1115 (and corresponding Comment, par. 2, concerning rule 8.1115(e)(3)).</w:t>
      </w:r>
      <w:bookmarkEnd w:id="0"/>
    </w:p>
    <w:p w14:paraId="703B1697" w14:textId="77777777" w:rsidR="004A77CA" w:rsidRDefault="00D673FD" w:rsidP="004A77CA">
      <w:pPr>
        <w:spacing w:line="240" w:lineRule="auto"/>
        <w:ind w:firstLine="0"/>
        <w:jc w:val="center"/>
        <w:rPr>
          <w:b/>
        </w:rPr>
      </w:pPr>
      <w:r>
        <w:rPr>
          <w:b/>
        </w:rPr>
        <w:t>CERTIFIED FOR PUBLICATION</w:t>
      </w:r>
    </w:p>
    <w:p w14:paraId="66FF05FD" w14:textId="77777777" w:rsidR="004A77CA" w:rsidRDefault="004A77CA" w:rsidP="004A77CA">
      <w:pPr>
        <w:spacing w:line="240" w:lineRule="auto"/>
        <w:ind w:firstLine="0"/>
        <w:jc w:val="center"/>
      </w:pPr>
    </w:p>
    <w:p w14:paraId="1CB90AA7" w14:textId="37775F85" w:rsidR="00737B68" w:rsidRPr="00944C2C" w:rsidRDefault="00D673FD" w:rsidP="004A77CA">
      <w:pPr>
        <w:spacing w:line="480" w:lineRule="auto"/>
        <w:ind w:firstLine="0"/>
        <w:jc w:val="center"/>
      </w:pPr>
      <w:r w:rsidRPr="00944C2C">
        <w:t>IN THE COURT OF APPEAL OF THE STATE OF CALIFORNIA</w:t>
      </w:r>
    </w:p>
    <w:p w14:paraId="64EB656E" w14:textId="68FCAE17" w:rsidR="00737B68" w:rsidRDefault="00D673FD" w:rsidP="00F85CE6">
      <w:pPr>
        <w:spacing w:line="480" w:lineRule="auto"/>
        <w:ind w:firstLine="0"/>
        <w:jc w:val="center"/>
      </w:pPr>
      <w:r>
        <w:t>FIRST APPELLATE DISTRICT</w:t>
      </w:r>
    </w:p>
    <w:p w14:paraId="359F27C5" w14:textId="3679BD73" w:rsidR="00737B68" w:rsidRDefault="00D673FD" w:rsidP="00F85CE6">
      <w:pPr>
        <w:spacing w:line="480" w:lineRule="auto"/>
        <w:ind w:firstLine="0"/>
        <w:jc w:val="center"/>
      </w:pPr>
      <w:r>
        <w:t>DIVISION FOUR</w:t>
      </w:r>
    </w:p>
    <w:p w14:paraId="74AF3CB8" w14:textId="77777777" w:rsidR="00737B68" w:rsidRDefault="00737B68" w:rsidP="00F85CE6">
      <w:pPr>
        <w:spacing w:line="240" w:lineRule="auto"/>
        <w:ind w:firstLine="0"/>
        <w:jc w:val="center"/>
      </w:pPr>
    </w:p>
    <w:tbl>
      <w:tblPr>
        <w:tblW w:w="0" w:type="auto"/>
        <w:tblLayout w:type="fixed"/>
        <w:tblLook w:val="0000" w:firstRow="0" w:lastRow="0" w:firstColumn="0" w:lastColumn="0" w:noHBand="0" w:noVBand="0"/>
      </w:tblPr>
      <w:tblGrid>
        <w:gridCol w:w="4680"/>
        <w:gridCol w:w="4680"/>
      </w:tblGrid>
      <w:tr w:rsidR="005447C4" w14:paraId="6A8F53CE" w14:textId="77777777" w:rsidTr="00B05622">
        <w:tc>
          <w:tcPr>
            <w:tcW w:w="4680" w:type="dxa"/>
            <w:tcBorders>
              <w:bottom w:val="single" w:sz="4" w:space="0" w:color="auto"/>
              <w:right w:val="single" w:sz="4" w:space="0" w:color="auto"/>
            </w:tcBorders>
            <w:shd w:val="clear" w:color="auto" w:fill="auto"/>
          </w:tcPr>
          <w:p w14:paraId="01B95ED3" w14:textId="5DE349D5" w:rsidR="00737B68" w:rsidRPr="00C35824" w:rsidRDefault="00D673FD" w:rsidP="00F239EC">
            <w:pPr>
              <w:spacing w:after="120" w:line="240" w:lineRule="auto"/>
              <w:ind w:firstLine="0"/>
            </w:pPr>
            <w:r w:rsidRPr="00C35824">
              <w:t>SOBITA DHITAL et al.,</w:t>
            </w:r>
          </w:p>
          <w:p w14:paraId="3F77816B" w14:textId="4A9403E6" w:rsidR="00737B68" w:rsidRPr="00C35824" w:rsidRDefault="00D673FD" w:rsidP="00F239EC">
            <w:pPr>
              <w:tabs>
                <w:tab w:val="left" w:pos="610"/>
              </w:tabs>
              <w:spacing w:after="120" w:line="240" w:lineRule="auto"/>
              <w:ind w:firstLine="0"/>
            </w:pPr>
            <w:r w:rsidRPr="00C35824">
              <w:tab/>
              <w:t>Plaintiff</w:t>
            </w:r>
            <w:r w:rsidR="00C35824" w:rsidRPr="00C35824">
              <w:t>s</w:t>
            </w:r>
            <w:r w:rsidRPr="00C35824">
              <w:t xml:space="preserve"> and </w:t>
            </w:r>
            <w:r w:rsidR="00C74553" w:rsidRPr="00C35824">
              <w:t>Appellant</w:t>
            </w:r>
            <w:r w:rsidR="00C35824" w:rsidRPr="00C35824">
              <w:t>s</w:t>
            </w:r>
            <w:r w:rsidRPr="00C35824">
              <w:t>,</w:t>
            </w:r>
          </w:p>
          <w:p w14:paraId="66ACCBA0" w14:textId="12BB1823" w:rsidR="00737B68" w:rsidRPr="00C35824" w:rsidRDefault="00D673FD" w:rsidP="00F239EC">
            <w:pPr>
              <w:tabs>
                <w:tab w:val="left" w:pos="1870"/>
              </w:tabs>
              <w:spacing w:after="120" w:line="240" w:lineRule="auto"/>
              <w:ind w:firstLine="0"/>
            </w:pPr>
            <w:r w:rsidRPr="00C35824">
              <w:tab/>
              <w:t>v.</w:t>
            </w:r>
          </w:p>
          <w:p w14:paraId="0E0C9D3C" w14:textId="598086B7" w:rsidR="00737B68" w:rsidRPr="00C35824" w:rsidRDefault="00D673FD" w:rsidP="00F239EC">
            <w:pPr>
              <w:tabs>
                <w:tab w:val="left" w:pos="610"/>
              </w:tabs>
              <w:spacing w:line="240" w:lineRule="auto"/>
              <w:ind w:firstLine="0"/>
            </w:pPr>
            <w:r w:rsidRPr="00C35824">
              <w:t>NISSAN NORTH AMERICA, INC.</w:t>
            </w:r>
            <w:r w:rsidR="00FC250E" w:rsidRPr="00C35824">
              <w:t>,</w:t>
            </w:r>
          </w:p>
          <w:p w14:paraId="14F8ADB0" w14:textId="138E883B" w:rsidR="00737B68" w:rsidRPr="00C35824" w:rsidRDefault="00D673FD" w:rsidP="00F239EC">
            <w:pPr>
              <w:tabs>
                <w:tab w:val="left" w:pos="610"/>
              </w:tabs>
              <w:spacing w:before="120" w:after="240" w:line="240" w:lineRule="auto"/>
              <w:ind w:firstLine="0"/>
            </w:pPr>
            <w:r w:rsidRPr="00C35824">
              <w:tab/>
              <w:t>Defendant and</w:t>
            </w:r>
            <w:r w:rsidR="00FC250E" w:rsidRPr="00C35824">
              <w:t xml:space="preserve"> </w:t>
            </w:r>
            <w:r w:rsidR="00C74553" w:rsidRPr="00C35824">
              <w:t>Respondent</w:t>
            </w:r>
            <w:r w:rsidRPr="00C35824">
              <w:t>.</w:t>
            </w:r>
          </w:p>
        </w:tc>
        <w:tc>
          <w:tcPr>
            <w:tcW w:w="4680" w:type="dxa"/>
            <w:tcBorders>
              <w:left w:val="single" w:sz="4" w:space="0" w:color="auto"/>
            </w:tcBorders>
            <w:shd w:val="clear" w:color="auto" w:fill="auto"/>
          </w:tcPr>
          <w:p w14:paraId="232BF6D5" w14:textId="11E1F78A" w:rsidR="00737B68" w:rsidRPr="00C35824" w:rsidRDefault="00737B68" w:rsidP="001F4CFB">
            <w:pPr>
              <w:tabs>
                <w:tab w:val="left" w:pos="2901"/>
              </w:tabs>
              <w:spacing w:after="120" w:line="240" w:lineRule="auto"/>
              <w:ind w:firstLine="0"/>
            </w:pPr>
          </w:p>
          <w:p w14:paraId="68A8FE34" w14:textId="281B6784" w:rsidR="00737B68" w:rsidRPr="00C35824" w:rsidRDefault="00D673FD" w:rsidP="00AF290D">
            <w:pPr>
              <w:tabs>
                <w:tab w:val="left" w:pos="346"/>
              </w:tabs>
              <w:spacing w:after="240" w:line="240" w:lineRule="auto"/>
              <w:ind w:firstLine="0"/>
            </w:pPr>
            <w:r w:rsidRPr="00C35824">
              <w:tab/>
            </w:r>
            <w:r w:rsidR="00FC250E" w:rsidRPr="00C35824">
              <w:t>A</w:t>
            </w:r>
            <w:r w:rsidR="00C35824" w:rsidRPr="00C35824">
              <w:t>162817</w:t>
            </w:r>
          </w:p>
          <w:p w14:paraId="06597BB3" w14:textId="12478B13" w:rsidR="00AF290D" w:rsidRPr="00C35824" w:rsidRDefault="00D673FD" w:rsidP="00AF290D">
            <w:pPr>
              <w:tabs>
                <w:tab w:val="left" w:pos="346"/>
              </w:tabs>
              <w:spacing w:line="240" w:lineRule="auto"/>
              <w:ind w:firstLine="0"/>
            </w:pPr>
            <w:r w:rsidRPr="00C35824">
              <w:tab/>
              <w:t>(</w:t>
            </w:r>
            <w:r w:rsidR="00C35824" w:rsidRPr="00C35824">
              <w:t>Alameda</w:t>
            </w:r>
            <w:r w:rsidRPr="00C35824">
              <w:t xml:space="preserve"> </w:t>
            </w:r>
            <w:r w:rsidR="009D4144" w:rsidRPr="00C35824">
              <w:t>County Super</w:t>
            </w:r>
            <w:r w:rsidR="003E3477" w:rsidRPr="00C35824">
              <w:t>.</w:t>
            </w:r>
            <w:r w:rsidR="009D4144" w:rsidRPr="00C35824">
              <w:t xml:space="preserve"> C</w:t>
            </w:r>
            <w:r w:rsidR="003E3477" w:rsidRPr="00C35824">
              <w:t>t.</w:t>
            </w:r>
          </w:p>
          <w:p w14:paraId="1835FF49" w14:textId="4AC1043F" w:rsidR="00737B68" w:rsidRPr="00C35824" w:rsidRDefault="00D673FD" w:rsidP="00E7127E">
            <w:pPr>
              <w:tabs>
                <w:tab w:val="left" w:pos="346"/>
              </w:tabs>
              <w:spacing w:line="240" w:lineRule="auto"/>
              <w:ind w:firstLine="0"/>
            </w:pPr>
            <w:r w:rsidRPr="00C35824">
              <w:tab/>
            </w:r>
            <w:r w:rsidR="009D4144" w:rsidRPr="00C35824">
              <w:t>No.</w:t>
            </w:r>
            <w:r w:rsidR="00C35824" w:rsidRPr="00C35824">
              <w:t xml:space="preserve"> RG19009260</w:t>
            </w:r>
            <w:r w:rsidRPr="00C35824">
              <w:t>)</w:t>
            </w:r>
          </w:p>
        </w:tc>
      </w:tr>
    </w:tbl>
    <w:p w14:paraId="178F0032" w14:textId="3D6685CB" w:rsidR="00737B68" w:rsidRDefault="00737B68" w:rsidP="00B05622">
      <w:pPr>
        <w:spacing w:line="240" w:lineRule="auto"/>
      </w:pPr>
    </w:p>
    <w:p w14:paraId="0D6C3BC5" w14:textId="5F356AB2" w:rsidR="00D60CEE" w:rsidRDefault="00D673FD" w:rsidP="00394626">
      <w:r>
        <w:t>P</w:t>
      </w:r>
      <w:r w:rsidR="009B1468">
        <w:t xml:space="preserve">laintiffs Sobita Dhital and </w:t>
      </w:r>
      <w:r w:rsidR="00D5319A">
        <w:t>Daniel Newman</w:t>
      </w:r>
      <w:r w:rsidR="00A3044D">
        <w:t xml:space="preserve"> </w:t>
      </w:r>
      <w:r w:rsidR="00BA5D30">
        <w:t>sued defendant Nissan North America, Inc. (Nissan)</w:t>
      </w:r>
      <w:r w:rsidR="00E8286D">
        <w:t xml:space="preserve">, </w:t>
      </w:r>
      <w:r>
        <w:t xml:space="preserve">alleging </w:t>
      </w:r>
      <w:r w:rsidR="0016242C">
        <w:t xml:space="preserve">the transmission in a 2013 Nissan Sentra they purchased was defective.  </w:t>
      </w:r>
      <w:r w:rsidR="003D5773">
        <w:t>In their operative second amended complaint (SAC), p</w:t>
      </w:r>
      <w:r w:rsidR="0016242C">
        <w:t xml:space="preserve">laintiffs </w:t>
      </w:r>
      <w:r w:rsidR="00E8286D">
        <w:t>assert</w:t>
      </w:r>
      <w:r w:rsidR="0016242C">
        <w:t>ed</w:t>
      </w:r>
      <w:r w:rsidR="00E8286D">
        <w:t xml:space="preserve"> </w:t>
      </w:r>
      <w:r w:rsidR="00231958">
        <w:t>statutory</w:t>
      </w:r>
      <w:r w:rsidR="00B36711">
        <w:t xml:space="preserve"> </w:t>
      </w:r>
      <w:r w:rsidR="00E8286D">
        <w:t>claims</w:t>
      </w:r>
      <w:r w:rsidR="00B36711">
        <w:t xml:space="preserve"> under the Song-Beverly </w:t>
      </w:r>
      <w:r w:rsidR="00CC16A6">
        <w:t xml:space="preserve">Consumer </w:t>
      </w:r>
      <w:r w:rsidR="009805E6">
        <w:t xml:space="preserve">Warranty </w:t>
      </w:r>
      <w:r w:rsidR="00B36711">
        <w:t xml:space="preserve">Act </w:t>
      </w:r>
      <w:r w:rsidR="009805E6">
        <w:t xml:space="preserve">(Song-Beverly Act) (Civ. Code, § 1790 et seq.) </w:t>
      </w:r>
      <w:r w:rsidR="00B36711">
        <w:t xml:space="preserve">and a common law </w:t>
      </w:r>
      <w:r w:rsidR="002A685D">
        <w:t xml:space="preserve">fraud </w:t>
      </w:r>
      <w:r w:rsidR="00B36711">
        <w:t xml:space="preserve">claim </w:t>
      </w:r>
      <w:r w:rsidR="002A685D">
        <w:t xml:space="preserve">alleging </w:t>
      </w:r>
      <w:r w:rsidR="000111A4">
        <w:t xml:space="preserve">that </w:t>
      </w:r>
      <w:r w:rsidR="005D2D70">
        <w:t xml:space="preserve">Nissan, by </w:t>
      </w:r>
      <w:r w:rsidR="00B36711">
        <w:t>fraudulent</w:t>
      </w:r>
      <w:r w:rsidR="005D2D70">
        <w:t>ly concealing the defect</w:t>
      </w:r>
      <w:r w:rsidR="00554053">
        <w:t>s</w:t>
      </w:r>
      <w:r w:rsidR="005D2D70">
        <w:t>,</w:t>
      </w:r>
      <w:r w:rsidR="00B36711">
        <w:t xml:space="preserve"> induce</w:t>
      </w:r>
      <w:r w:rsidR="005D2D70">
        <w:t>d them to purchase the car.</w:t>
      </w:r>
    </w:p>
    <w:p w14:paraId="25FF42D7" w14:textId="1F4B1FBC" w:rsidR="009334BF" w:rsidRDefault="00D673FD" w:rsidP="00394626">
      <w:r>
        <w:t>The trial court sustained Nissan’s demurrer to the fraudulent inducement claim</w:t>
      </w:r>
      <w:r w:rsidR="00C57269">
        <w:t xml:space="preserve"> </w:t>
      </w:r>
      <w:r w:rsidR="00EB709F">
        <w:t xml:space="preserve">(the fourth cause of action in the SAC) </w:t>
      </w:r>
      <w:r w:rsidR="00C57269">
        <w:t>without leave to</w:t>
      </w:r>
      <w:r>
        <w:t xml:space="preserve"> amend</w:t>
      </w:r>
      <w:r w:rsidR="00C57269">
        <w:t xml:space="preserve">, holding the </w:t>
      </w:r>
      <w:r w:rsidR="003169D8">
        <w:t xml:space="preserve">claim was barred by the </w:t>
      </w:r>
      <w:r w:rsidR="00C57269">
        <w:t xml:space="preserve">“economic loss rule” </w:t>
      </w:r>
      <w:r w:rsidR="00334C67">
        <w:t xml:space="preserve">discussed in </w:t>
      </w:r>
      <w:r w:rsidR="00334C67" w:rsidRPr="002248BD">
        <w:rPr>
          <w:i/>
          <w:iCs/>
        </w:rPr>
        <w:t xml:space="preserve">Robinson </w:t>
      </w:r>
      <w:r w:rsidR="00A4607F" w:rsidRPr="002248BD">
        <w:rPr>
          <w:i/>
          <w:iCs/>
        </w:rPr>
        <w:t>Helicopter</w:t>
      </w:r>
      <w:r w:rsidR="003169D8" w:rsidRPr="002248BD">
        <w:rPr>
          <w:i/>
          <w:iCs/>
        </w:rPr>
        <w:t xml:space="preserve"> Co., Inc. v. </w:t>
      </w:r>
      <w:r w:rsidR="002248BD" w:rsidRPr="002248BD">
        <w:rPr>
          <w:i/>
          <w:iCs/>
        </w:rPr>
        <w:t>Dana Corp.</w:t>
      </w:r>
      <w:r w:rsidR="002248BD">
        <w:t xml:space="preserve"> (2004) 34</w:t>
      </w:r>
      <w:r w:rsidR="00876652">
        <w:t> </w:t>
      </w:r>
      <w:r w:rsidR="002248BD">
        <w:t>Cal.4th 979 (</w:t>
      </w:r>
      <w:r w:rsidR="002248BD" w:rsidRPr="002248BD">
        <w:rPr>
          <w:i/>
          <w:iCs/>
        </w:rPr>
        <w:t>Robinson</w:t>
      </w:r>
      <w:r w:rsidR="002248BD">
        <w:t>)</w:t>
      </w:r>
      <w:r w:rsidR="00C57269">
        <w:t>.</w:t>
      </w:r>
      <w:r w:rsidR="000111D8">
        <w:t xml:space="preserve"> </w:t>
      </w:r>
      <w:r w:rsidR="00C57269">
        <w:t xml:space="preserve"> The court also </w:t>
      </w:r>
      <w:r w:rsidR="007915C6">
        <w:t>granted an accompanying motion to strike plaintiffs’ request for punitive damages.</w:t>
      </w:r>
      <w:r>
        <w:t xml:space="preserve">  Plaintiffs dismissed their remaining claims with prejudice, and the court entered judgment for Nissan.</w:t>
      </w:r>
    </w:p>
    <w:p w14:paraId="7C663D9E" w14:textId="228B3730" w:rsidR="00B95424" w:rsidRDefault="00D673FD" w:rsidP="00394626">
      <w:r>
        <w:lastRenderedPageBreak/>
        <w:t xml:space="preserve">Plaintiffs </w:t>
      </w:r>
      <w:r w:rsidR="00EB1073">
        <w:t xml:space="preserve">appeal, contending the court erred by applying the economic loss rule to bar their </w:t>
      </w:r>
      <w:r w:rsidR="00A057B2">
        <w:t xml:space="preserve">fraudulent inducement </w:t>
      </w:r>
      <w:r w:rsidR="00EB1073">
        <w:t>claim</w:t>
      </w:r>
      <w:r w:rsidR="00A057B2">
        <w:t xml:space="preserve">.  Nissan argues the court correctly applied the economic loss rule.  Nissan alternatively </w:t>
      </w:r>
      <w:r w:rsidR="0015469E">
        <w:t>urges this court to affirm on the ground plaintiffs did not plead the fraudulent inducement claim with sufficient particularity, a ground for demurrer not reached by the trial court.</w:t>
      </w:r>
    </w:p>
    <w:p w14:paraId="65A2EA86" w14:textId="51A36B38" w:rsidR="00D92215" w:rsidRDefault="00D673FD" w:rsidP="00C130F1">
      <w:r>
        <w:t xml:space="preserve">We conclude </w:t>
      </w:r>
      <w:r w:rsidR="000B6DFE">
        <w:t xml:space="preserve">that, under California law, </w:t>
      </w:r>
      <w:r>
        <w:t xml:space="preserve">the economic loss rule does not </w:t>
      </w:r>
      <w:r w:rsidR="00B95424">
        <w:t>bar plaintiffs’ fraudulent inducement claim</w:t>
      </w:r>
      <w:r w:rsidR="000B6DFE">
        <w:t xml:space="preserve">.  We also </w:t>
      </w:r>
      <w:r w:rsidR="00391D9A">
        <w:t xml:space="preserve">reject Nissan’s argument that </w:t>
      </w:r>
      <w:r w:rsidR="00EE67DA">
        <w:t xml:space="preserve">plaintiffs did </w:t>
      </w:r>
      <w:r w:rsidR="00391D9A">
        <w:t xml:space="preserve">not </w:t>
      </w:r>
      <w:r w:rsidR="00B95424">
        <w:t>adequately plead</w:t>
      </w:r>
      <w:r w:rsidR="00EE67DA">
        <w:t xml:space="preserve"> a claim for fraudulent inducement</w:t>
      </w:r>
      <w:r w:rsidR="00B95424">
        <w:t xml:space="preserve">.  We therefore </w:t>
      </w:r>
      <w:r w:rsidR="000B6DFE">
        <w:t>reverse the judgment</w:t>
      </w:r>
      <w:r w:rsidR="00C130F1">
        <w:t xml:space="preserve"> entered in favor of Nissan and remand for further proceedings on plaintiffs’ fraudulent inducement claim.</w:t>
      </w:r>
      <w:r>
        <w:rPr>
          <w:rStyle w:val="FootnoteReference"/>
        </w:rPr>
        <w:footnoteReference w:id="2"/>
      </w:r>
    </w:p>
    <w:p w14:paraId="1E76CC8A" w14:textId="5E410D84" w:rsidR="00D92215" w:rsidRDefault="00D673FD" w:rsidP="00394626">
      <w:pPr>
        <w:pStyle w:val="Heading1"/>
      </w:pPr>
      <w:r w:rsidRPr="00D92215">
        <w:t>BACKGROUND</w:t>
      </w:r>
    </w:p>
    <w:p w14:paraId="0B63B3CB" w14:textId="7CBCBBD4" w:rsidR="00B20884" w:rsidRPr="00B121FD" w:rsidRDefault="00D673FD" w:rsidP="006D5E06">
      <w:pPr>
        <w:pStyle w:val="Heading2"/>
      </w:pPr>
      <w:r w:rsidRPr="00B121FD">
        <w:t xml:space="preserve">The </w:t>
      </w:r>
      <w:r w:rsidR="002717E6" w:rsidRPr="00B121FD">
        <w:t>SAC</w:t>
      </w:r>
      <w:r w:rsidR="000F310C" w:rsidRPr="00B121FD">
        <w:t>:  Plaintiffs</w:t>
      </w:r>
      <w:r w:rsidR="002717E6" w:rsidRPr="00B121FD">
        <w:t xml:space="preserve">’ </w:t>
      </w:r>
      <w:r w:rsidRPr="00B121FD">
        <w:t xml:space="preserve">Allegations </w:t>
      </w:r>
      <w:r w:rsidR="002717E6" w:rsidRPr="00B121FD">
        <w:t>About the Allegedly Defective Transmission</w:t>
      </w:r>
      <w:r w:rsidR="006F738A" w:rsidRPr="00B121FD">
        <w:t xml:space="preserve"> and</w:t>
      </w:r>
      <w:r w:rsidR="000F310C" w:rsidRPr="00B121FD">
        <w:t xml:space="preserve"> Nissan’s Alleged Fraud</w:t>
      </w:r>
    </w:p>
    <w:p w14:paraId="23FBE398" w14:textId="65473B5B" w:rsidR="002071D6" w:rsidRDefault="00D673FD" w:rsidP="002071D6">
      <w:r>
        <w:t>“Because this matter comes to us after the trial court sustained the defendant’s demurrer, ‘we must, under established principles, assume the truth of all properly pleaded material allegations of the complaint in evalu</w:t>
      </w:r>
      <w:r>
        <w:t>ating the validity’ of the decision below.”  (</w:t>
      </w:r>
      <w:r w:rsidRPr="002071D6">
        <w:rPr>
          <w:i/>
          <w:iCs/>
        </w:rPr>
        <w:t>Lazar v. Superior Court</w:t>
      </w:r>
      <w:r>
        <w:t xml:space="preserve"> (1996) 12</w:t>
      </w:r>
      <w:r w:rsidR="00876652">
        <w:t> </w:t>
      </w:r>
      <w:r>
        <w:t>Cal.4th 631, 635.)</w:t>
      </w:r>
    </w:p>
    <w:p w14:paraId="0E8BDF40" w14:textId="16F1BB0D" w:rsidR="00C800F7" w:rsidRDefault="00D673FD" w:rsidP="002D2325">
      <w:r>
        <w:t xml:space="preserve">In the SAC, plaintiffs alleged </w:t>
      </w:r>
      <w:r w:rsidR="00981E0C">
        <w:t>that, o</w:t>
      </w:r>
      <w:r w:rsidR="002F3267">
        <w:t xml:space="preserve">n November 4, 2012, </w:t>
      </w:r>
      <w:r w:rsidR="00981E0C">
        <w:t>they</w:t>
      </w:r>
      <w:r w:rsidR="002F3267">
        <w:t xml:space="preserve"> purchased a new 2013 Nissan Sentra</w:t>
      </w:r>
      <w:r w:rsidR="00946502">
        <w:t xml:space="preserve"> from a Nissan dealership in San Leandro</w:t>
      </w:r>
      <w:r w:rsidR="00A40C9B">
        <w:t xml:space="preserve">. </w:t>
      </w:r>
      <w:r w:rsidR="00663DDF">
        <w:t xml:space="preserve"> </w:t>
      </w:r>
      <w:r w:rsidR="000F1CD8">
        <w:t xml:space="preserve">On three occasions in </w:t>
      </w:r>
      <w:r w:rsidR="00F51499">
        <w:t>2015</w:t>
      </w:r>
      <w:r w:rsidR="000F1CD8">
        <w:t xml:space="preserve">, plaintiffs took the car </w:t>
      </w:r>
      <w:r w:rsidR="00DA704B">
        <w:t>to an authorized Nissan repair facility because of transmission problems</w:t>
      </w:r>
      <w:r w:rsidR="00001203">
        <w:t xml:space="preserve">, including stalling, jerking, </w:t>
      </w:r>
      <w:r w:rsidR="00426722">
        <w:t>and lack of power</w:t>
      </w:r>
      <w:r w:rsidR="00DA704B">
        <w:t xml:space="preserve">.  </w:t>
      </w:r>
      <w:r w:rsidR="00606889">
        <w:t xml:space="preserve">They eventually decided to stop </w:t>
      </w:r>
      <w:r w:rsidR="009F0273">
        <w:t xml:space="preserve">using the car </w:t>
      </w:r>
      <w:r w:rsidR="006B375E">
        <w:t xml:space="preserve">due </w:t>
      </w:r>
      <w:r w:rsidR="006B375E">
        <w:lastRenderedPageBreak/>
        <w:t xml:space="preserve">to </w:t>
      </w:r>
      <w:r>
        <w:t xml:space="preserve">their </w:t>
      </w:r>
      <w:r w:rsidR="006B375E">
        <w:t xml:space="preserve">concern </w:t>
      </w:r>
      <w:r w:rsidR="007D5B5C">
        <w:t>it posed a risk to their safety and the safety of others</w:t>
      </w:r>
      <w:r w:rsidR="00F96895">
        <w:t xml:space="preserve">, </w:t>
      </w:r>
      <w:r w:rsidR="00F96895" w:rsidRPr="0092137A">
        <w:t>because “[u]ncertain and unpredictable performance of a vehicle’s engine and transmission can result in sudden and unexpected movements or stalling that greatly increase the risk of a motor vehicle accident.”</w:t>
      </w:r>
    </w:p>
    <w:p w14:paraId="75DA206C" w14:textId="3F771DEE" w:rsidR="00413159" w:rsidRDefault="00D673FD" w:rsidP="00022A71">
      <w:r>
        <w:t xml:space="preserve">Plaintiffs alleged </w:t>
      </w:r>
      <w:r w:rsidR="00BA0240">
        <w:t xml:space="preserve">Nissan </w:t>
      </w:r>
      <w:r w:rsidR="00656F28">
        <w:t xml:space="preserve">manufactured or distributed more than </w:t>
      </w:r>
      <w:r w:rsidR="006236D5">
        <w:t>500,000</w:t>
      </w:r>
      <w:r w:rsidR="00656F28">
        <w:t xml:space="preserve"> vehicles in the United States that were equipped with </w:t>
      </w:r>
      <w:r w:rsidR="00E068C4">
        <w:t>defective continuously variable transmissions (CV</w:t>
      </w:r>
      <w:r w:rsidR="00E068C4" w:rsidRPr="00917A39">
        <w:rPr>
          <w:spacing w:val="20"/>
        </w:rPr>
        <w:t>T</w:t>
      </w:r>
      <w:r w:rsidR="00917A39">
        <w:t>’s)</w:t>
      </w:r>
      <w:r w:rsidR="004E3D82">
        <w:t xml:space="preserve">, including plaintiffs’ Sentra and other </w:t>
      </w:r>
      <w:r w:rsidR="00BA0240">
        <w:t xml:space="preserve">Sentras </w:t>
      </w:r>
      <w:r w:rsidR="004E3D82">
        <w:t>for model years 2013</w:t>
      </w:r>
      <w:r w:rsidR="007D2D54">
        <w:t xml:space="preserve"> through </w:t>
      </w:r>
      <w:r w:rsidR="004E3D82">
        <w:t xml:space="preserve">2017.  </w:t>
      </w:r>
      <w:r w:rsidR="00022A71">
        <w:t xml:space="preserve">The SAC alleged:  </w:t>
      </w:r>
      <w:r w:rsidR="00383A49">
        <w:t>“The CVT is defective in that it causes hesitation from a stop before acceleration; sudden, hard shaking during deceleration; sudden, hard shaking and violent jerking (commonly known as ‘juddering’ or ‘shuddering’) during acceleration; and complete failure to function, each and all of</w:t>
      </w:r>
      <w:r w:rsidR="0076064A">
        <w:t xml:space="preserve"> </w:t>
      </w:r>
      <w:r w:rsidR="00383A49">
        <w:t>which prevent a CVT-equipped vehicle from operating as intended by the driver, especially during</w:t>
      </w:r>
      <w:r w:rsidR="0076064A">
        <w:t xml:space="preserve"> </w:t>
      </w:r>
      <w:r w:rsidR="00383A49">
        <w:t>acceleration from a complete stop.</w:t>
      </w:r>
      <w:r w:rsidR="0076064A">
        <w:t xml:space="preserve">” </w:t>
      </w:r>
      <w:r w:rsidR="00FF3C42">
        <w:t xml:space="preserve"> </w:t>
      </w:r>
      <w:r w:rsidR="00022A71">
        <w:t>The SAC continued:  “</w:t>
      </w:r>
      <w:r w:rsidR="00FF3C42">
        <w:t>This transmission defect creates unreasonably dangerous situations while driving and</w:t>
      </w:r>
      <w:r w:rsidR="00022A71">
        <w:t xml:space="preserve"> </w:t>
      </w:r>
      <w:r w:rsidR="00FF3C42">
        <w:t>increases the risk of a crash when trying to accelerate from a stop; at low speeds when drivers intend</w:t>
      </w:r>
      <w:r w:rsidR="00022A71">
        <w:t xml:space="preserve"> </w:t>
      </w:r>
      <w:r w:rsidR="00FF3C42">
        <w:t xml:space="preserve">to accelerate to merge with highway traffic; and when attempting to drive uphill. </w:t>
      </w:r>
      <w:r w:rsidR="00022A71">
        <w:t xml:space="preserve"> </w:t>
      </w:r>
      <w:r w:rsidR="00FF3C42">
        <w:t>The transmission defect creates a serious safety risk that can lead to accidents, injuries, or even death to the driver, the</w:t>
      </w:r>
      <w:r w:rsidR="00022A71">
        <w:t xml:space="preserve"> </w:t>
      </w:r>
      <w:r w:rsidR="00FF3C42">
        <w:t>vehicles</w:t>
      </w:r>
      <w:r w:rsidR="00022A71">
        <w:t>’</w:t>
      </w:r>
      <w:r w:rsidR="00FF3C42">
        <w:t xml:space="preserve"> occupants, other drivers, and pedestrians.</w:t>
      </w:r>
      <w:r w:rsidR="00022A71">
        <w:t>”</w:t>
      </w:r>
    </w:p>
    <w:p w14:paraId="53721825" w14:textId="57C40C06" w:rsidR="003335E9" w:rsidRDefault="00D673FD" w:rsidP="00D340C2">
      <w:r>
        <w:t xml:space="preserve">As to Nissan’s knowledge </w:t>
      </w:r>
      <w:r w:rsidR="00C77B1D">
        <w:t>that the transmissions were defective, p</w:t>
      </w:r>
      <w:r>
        <w:t xml:space="preserve">laintiffs alleged </w:t>
      </w:r>
      <w:r w:rsidR="00C77B1D">
        <w:t xml:space="preserve">in part that </w:t>
      </w:r>
      <w:r>
        <w:t xml:space="preserve">Nissan </w:t>
      </w:r>
      <w:r w:rsidR="00E13ABA">
        <w:t>“</w:t>
      </w:r>
      <w:r w:rsidR="00AF692B">
        <w:t>knew</w:t>
      </w:r>
      <w:r w:rsidR="00A91D5C">
        <w:t xml:space="preserve"> or should have known about the safety hazard posed by the defective transmissions before the sale of CVT-equipped vehicles from premarket testing, consumer</w:t>
      </w:r>
      <w:r w:rsidR="00E13ABA">
        <w:t xml:space="preserve"> </w:t>
      </w:r>
      <w:r w:rsidR="00A91D5C">
        <w:t>complaints to the National Highway Traffic Safety Administration (</w:t>
      </w:r>
      <w:r w:rsidR="00E13ABA">
        <w:t>‘</w:t>
      </w:r>
      <w:r w:rsidR="00A91D5C">
        <w:t>NHTSA</w:t>
      </w:r>
      <w:r w:rsidR="00E13ABA">
        <w:t>’</w:t>
      </w:r>
      <w:r w:rsidR="00A91D5C">
        <w:t>), consumer</w:t>
      </w:r>
      <w:r w:rsidR="00E13ABA">
        <w:t xml:space="preserve"> </w:t>
      </w:r>
      <w:r w:rsidR="00A91D5C">
        <w:t xml:space="preserve">complaints made directly to </w:t>
      </w:r>
      <w:r w:rsidR="00E13ABA">
        <w:t>Nissan</w:t>
      </w:r>
      <w:r w:rsidR="00A91D5C">
        <w:t xml:space="preserve"> and its dealers, and other sources which drove </w:t>
      </w:r>
      <w:r w:rsidR="00E13ABA">
        <w:t>Nissan</w:t>
      </w:r>
      <w:r w:rsidR="00A91D5C">
        <w:t xml:space="preserve"> to issue Technical Service Bulletins acknowledging the </w:t>
      </w:r>
      <w:r w:rsidR="00A91D5C">
        <w:lastRenderedPageBreak/>
        <w:t>transmission</w:t>
      </w:r>
      <w:r>
        <w:t>’</w:t>
      </w:r>
      <w:r w:rsidR="00A91D5C">
        <w:t xml:space="preserve">s defect. </w:t>
      </w:r>
      <w:r>
        <w:t xml:space="preserve"> Nissan</w:t>
      </w:r>
      <w:r w:rsidR="00A91D5C">
        <w:t xml:space="preserve"> should not</w:t>
      </w:r>
      <w:r>
        <w:t xml:space="preserve"> </w:t>
      </w:r>
      <w:r w:rsidR="00A91D5C">
        <w:t>have sold, leased, or marketed the CVT-equipped vehicles without a full and complete disclosure of</w:t>
      </w:r>
      <w:r>
        <w:t xml:space="preserve"> </w:t>
      </w:r>
      <w:r w:rsidR="00A91D5C">
        <w:t>the transmission defect, and should have voluntarily recalled all CVT-equipped vehicles long ago.</w:t>
      </w:r>
      <w:r>
        <w:t>”</w:t>
      </w:r>
    </w:p>
    <w:p w14:paraId="25DB8328" w14:textId="03FE748F" w:rsidR="00D15108" w:rsidRDefault="00D673FD" w:rsidP="00B61C6C">
      <w:r>
        <w:t xml:space="preserve">In their </w:t>
      </w:r>
      <w:r w:rsidR="001D423B">
        <w:t xml:space="preserve">statutory </w:t>
      </w:r>
      <w:r>
        <w:t>claims under the Song-Beverly Act</w:t>
      </w:r>
      <w:r w:rsidR="004F150B">
        <w:t xml:space="preserve"> (the first, second</w:t>
      </w:r>
      <w:r w:rsidR="009A7864">
        <w:t>,</w:t>
      </w:r>
      <w:r w:rsidR="004F150B">
        <w:t xml:space="preserve"> and third causes of action in the SAC)</w:t>
      </w:r>
      <w:r>
        <w:t>, p</w:t>
      </w:r>
      <w:r w:rsidR="00961A37">
        <w:t xml:space="preserve">laintiffs alleged </w:t>
      </w:r>
      <w:r>
        <w:t>Nissan breached express and implied warranties</w:t>
      </w:r>
      <w:r w:rsidR="00FD2E1B">
        <w:t xml:space="preserve"> and failed to repair the car within a reasonable period of time. </w:t>
      </w:r>
      <w:r w:rsidR="004F150B">
        <w:t xml:space="preserve"> </w:t>
      </w:r>
      <w:r w:rsidR="00B52534">
        <w:t xml:space="preserve">In </w:t>
      </w:r>
      <w:r w:rsidR="004F150B">
        <w:t xml:space="preserve">the </w:t>
      </w:r>
      <w:r w:rsidR="001D423B">
        <w:t xml:space="preserve">common law </w:t>
      </w:r>
      <w:r w:rsidR="004F150B">
        <w:t>fraud</w:t>
      </w:r>
      <w:r w:rsidR="00470B52">
        <w:t xml:space="preserve"> </w:t>
      </w:r>
      <w:r w:rsidR="00137B0E">
        <w:t xml:space="preserve">claim </w:t>
      </w:r>
      <w:r w:rsidR="00470B52">
        <w:t>that is at issue in this appeal</w:t>
      </w:r>
      <w:r w:rsidR="00B52534">
        <w:t xml:space="preserve"> (</w:t>
      </w:r>
      <w:r w:rsidR="001D423B">
        <w:t xml:space="preserve">the </w:t>
      </w:r>
      <w:r w:rsidR="00470B52">
        <w:t>SAC’s fourth cause of action</w:t>
      </w:r>
      <w:r w:rsidR="00137B0E">
        <w:t xml:space="preserve">, entitled </w:t>
      </w:r>
      <w:r w:rsidR="00137B0E" w:rsidRPr="00733631">
        <w:t>“</w:t>
      </w:r>
      <w:r w:rsidR="006D2BFE" w:rsidRPr="00000E3D">
        <w:t>F</w:t>
      </w:r>
      <w:r w:rsidR="00137B0E" w:rsidRPr="00000E3D">
        <w:t xml:space="preserve">raudulent </w:t>
      </w:r>
      <w:r w:rsidR="006D2BFE" w:rsidRPr="00000E3D">
        <w:t>I</w:t>
      </w:r>
      <w:r w:rsidR="00137B0E" w:rsidRPr="00000E3D">
        <w:t>nducement—</w:t>
      </w:r>
      <w:r w:rsidR="006D2BFE" w:rsidRPr="00000E3D">
        <w:t>C</w:t>
      </w:r>
      <w:r w:rsidR="00137B0E" w:rsidRPr="00000E3D">
        <w:t>oncealment</w:t>
      </w:r>
      <w:r w:rsidR="00137B0E" w:rsidRPr="00733631">
        <w:t>”</w:t>
      </w:r>
      <w:r w:rsidR="00B52534" w:rsidRPr="00733631">
        <w:t xml:space="preserve">), </w:t>
      </w:r>
      <w:r w:rsidR="001D423B">
        <w:t xml:space="preserve">plaintiffs </w:t>
      </w:r>
      <w:r w:rsidR="00470B52">
        <w:t xml:space="preserve">alleged </w:t>
      </w:r>
      <w:r w:rsidR="00911B31">
        <w:t xml:space="preserve">in part that </w:t>
      </w:r>
      <w:r w:rsidR="00B52534" w:rsidRPr="00B926DF">
        <w:t>“</w:t>
      </w:r>
      <w:r w:rsidR="00000E3D" w:rsidRPr="00B926DF">
        <w:t>[</w:t>
      </w:r>
      <w:r w:rsidR="00470B52" w:rsidRPr="00B926DF">
        <w:t>Nissan</w:t>
      </w:r>
      <w:r w:rsidR="00000E3D" w:rsidRPr="00B926DF">
        <w:t>]</w:t>
      </w:r>
      <w:r w:rsidR="00C360C7" w:rsidRPr="00B926DF">
        <w:t xml:space="preserve"> and its agents intentionally concealed and failed to disclose facts relating to the defective transmission”</w:t>
      </w:r>
      <w:r w:rsidR="00911B31" w:rsidRPr="00B926DF">
        <w:t>;</w:t>
      </w:r>
      <w:r w:rsidR="00B52534" w:rsidRPr="00B926DF">
        <w:t xml:space="preserve"> </w:t>
      </w:r>
      <w:r w:rsidR="007E5DA5" w:rsidRPr="00B926DF">
        <w:t>Nissan had exclusive knowledge of the defect</w:t>
      </w:r>
      <w:r w:rsidR="00B158AE" w:rsidRPr="00B926DF">
        <w:t xml:space="preserve"> and did not disclose that information to </w:t>
      </w:r>
      <w:r w:rsidR="00B158AE" w:rsidRPr="00B22C12">
        <w:t>plaintiffs;</w:t>
      </w:r>
      <w:r w:rsidR="00B158AE" w:rsidRPr="00B926DF">
        <w:t xml:space="preserve"> </w:t>
      </w:r>
      <w:r w:rsidR="00AA697D" w:rsidRPr="00B926DF">
        <w:t>“</w:t>
      </w:r>
      <w:r w:rsidR="00902D8D" w:rsidRPr="00B926DF">
        <w:t xml:space="preserve">Nissan intended to deceive </w:t>
      </w:r>
      <w:r w:rsidR="00EE57B6" w:rsidRPr="00B926DF">
        <w:t>[</w:t>
      </w:r>
      <w:r w:rsidR="00902D8D" w:rsidRPr="00B926DF">
        <w:t>plaintiffs</w:t>
      </w:r>
      <w:r w:rsidR="00AA697D" w:rsidRPr="00B926DF">
        <w:t>]</w:t>
      </w:r>
      <w:r w:rsidR="00902D8D" w:rsidRPr="00B926DF">
        <w:t xml:space="preserve"> by concealing the </w:t>
      </w:r>
      <w:r w:rsidR="004D1C26" w:rsidRPr="00B926DF">
        <w:t xml:space="preserve">known issues with the CVT transmission in an effort to sell the </w:t>
      </w:r>
      <w:r w:rsidR="00AA697D" w:rsidRPr="00B926DF">
        <w:t>[</w:t>
      </w:r>
      <w:r w:rsidR="004D1C26" w:rsidRPr="00B926DF">
        <w:t>car</w:t>
      </w:r>
      <w:r w:rsidR="00AA697D" w:rsidRPr="00B926DF">
        <w:t>]</w:t>
      </w:r>
      <w:r w:rsidR="004D1C26" w:rsidRPr="00B926DF">
        <w:t xml:space="preserve"> at a maximum price</w:t>
      </w:r>
      <w:r w:rsidR="00AA697D" w:rsidRPr="00B926DF">
        <w:t>”</w:t>
      </w:r>
      <w:r w:rsidR="004D1C26" w:rsidRPr="00B926DF">
        <w:t xml:space="preserve">; </w:t>
      </w:r>
      <w:r w:rsidR="005A2F5D" w:rsidRPr="00B926DF">
        <w:t>“</w:t>
      </w:r>
      <w:r w:rsidR="00B926DF" w:rsidRPr="00B926DF">
        <w:t>[</w:t>
      </w:r>
      <w:r w:rsidR="005A2F5D" w:rsidRPr="00B926DF">
        <w:t>Nissan</w:t>
      </w:r>
      <w:r w:rsidR="00B926DF" w:rsidRPr="00B926DF">
        <w:t>]</w:t>
      </w:r>
      <w:r w:rsidR="005A2F5D" w:rsidRPr="00B926DF">
        <w:t xml:space="preserve"> fraudule</w:t>
      </w:r>
      <w:r w:rsidR="005A2F5D">
        <w:t xml:space="preserve">ntly </w:t>
      </w:r>
      <w:r w:rsidR="005A2F5D" w:rsidRPr="00510BA4">
        <w:t xml:space="preserve">induced </w:t>
      </w:r>
      <w:r w:rsidR="00B61C6C" w:rsidRPr="00510BA4">
        <w:t>[p</w:t>
      </w:r>
      <w:r w:rsidR="005A2F5D" w:rsidRPr="00510BA4">
        <w:t>laintiffs</w:t>
      </w:r>
      <w:r w:rsidR="00B61C6C" w:rsidRPr="00510BA4">
        <w:t>]</w:t>
      </w:r>
      <w:r w:rsidR="005A2F5D" w:rsidRPr="00510BA4">
        <w:t xml:space="preserve"> to</w:t>
      </w:r>
      <w:r w:rsidR="005A2F5D">
        <w:t xml:space="preserve"> enter into a contract they would not have</w:t>
      </w:r>
      <w:r w:rsidR="00B61C6C">
        <w:t xml:space="preserve"> </w:t>
      </w:r>
      <w:r w:rsidR="005A2F5D">
        <w:t xml:space="preserve">entered into but </w:t>
      </w:r>
      <w:r w:rsidR="005A2F5D" w:rsidRPr="00510BA4">
        <w:t xml:space="preserve">for </w:t>
      </w:r>
      <w:r w:rsidR="00B61C6C" w:rsidRPr="00510BA4">
        <w:t>[Nissan’s]</w:t>
      </w:r>
      <w:r w:rsidR="005A2F5D">
        <w:t xml:space="preserve"> concealment of the defective nature of the CVT transmission</w:t>
      </w:r>
      <w:r w:rsidR="00E23643">
        <w:t>”</w:t>
      </w:r>
      <w:r w:rsidR="009C28F2">
        <w:t>;</w:t>
      </w:r>
      <w:r w:rsidR="00B61C6C">
        <w:t xml:space="preserve"> </w:t>
      </w:r>
      <w:r w:rsidR="00F82AFE">
        <w:t xml:space="preserve">if plaintiffs had known of the defect, </w:t>
      </w:r>
      <w:r w:rsidR="00F176F1">
        <w:t>they would not have purchased the car;</w:t>
      </w:r>
      <w:r w:rsidR="00804414">
        <w:t xml:space="preserve"> and plaintiffs suffered damages </w:t>
      </w:r>
      <w:r w:rsidR="004B404C">
        <w:t>in the form of money paid to purchase the car.</w:t>
      </w:r>
    </w:p>
    <w:p w14:paraId="37F45722" w14:textId="4034F731" w:rsidR="00413159" w:rsidRDefault="00D673FD" w:rsidP="00B61C6C">
      <w:r>
        <w:t>Plaintiffs alleged the defect</w:t>
      </w:r>
      <w:r w:rsidR="00E07DA7">
        <w:t xml:space="preserve"> and the </w:t>
      </w:r>
      <w:r w:rsidR="00E07DA7" w:rsidRPr="005956AD">
        <w:t>resulting “</w:t>
      </w:r>
      <w:r w:rsidR="004C4DFE" w:rsidRPr="005956AD">
        <w:t>[</w:t>
      </w:r>
      <w:r w:rsidR="00E07DA7" w:rsidRPr="005956AD">
        <w:t>u</w:t>
      </w:r>
      <w:r w:rsidR="004C4DFE" w:rsidRPr="005956AD">
        <w:t>]</w:t>
      </w:r>
      <w:r w:rsidR="00E07DA7" w:rsidRPr="005956AD">
        <w:t>ncertain</w:t>
      </w:r>
      <w:r w:rsidR="00E07DA7">
        <w:t xml:space="preserve"> and unpredictable performance” of the transmission</w:t>
      </w:r>
      <w:r>
        <w:t xml:space="preserve"> </w:t>
      </w:r>
      <w:r w:rsidR="00E04275">
        <w:t xml:space="preserve">increased the risk of an accident and thus </w:t>
      </w:r>
      <w:r>
        <w:t xml:space="preserve">placed them at risk </w:t>
      </w:r>
      <w:r w:rsidR="0061424B">
        <w:t xml:space="preserve">of physical harm.  </w:t>
      </w:r>
      <w:r w:rsidR="00E07DA7">
        <w:t>But a</w:t>
      </w:r>
      <w:r w:rsidR="00D2712A">
        <w:t>s the trial court later noted, p</w:t>
      </w:r>
      <w:r w:rsidR="00994F8F">
        <w:t xml:space="preserve">laintiffs did not allege the defect caused </w:t>
      </w:r>
      <w:r w:rsidR="009D1BC6">
        <w:t xml:space="preserve">any </w:t>
      </w:r>
      <w:r w:rsidR="00994F8F">
        <w:t>personal injury</w:t>
      </w:r>
      <w:r w:rsidR="00D2712A">
        <w:t xml:space="preserve"> or </w:t>
      </w:r>
      <w:r w:rsidR="009D1BC6">
        <w:t xml:space="preserve">any </w:t>
      </w:r>
      <w:r w:rsidR="00D2712A">
        <w:t>damage to property other than the car.</w:t>
      </w:r>
    </w:p>
    <w:p w14:paraId="727C7CA6" w14:textId="11257AAC" w:rsidR="00427C4D" w:rsidRDefault="00D673FD" w:rsidP="002D2325">
      <w:r>
        <w:t>In the SAC’s prayer for relief, plaintiffs sought</w:t>
      </w:r>
      <w:r w:rsidR="005A265E">
        <w:t xml:space="preserve"> </w:t>
      </w:r>
      <w:r w:rsidR="00BC04D9" w:rsidRPr="00BC04D9">
        <w:t xml:space="preserve">special and actual damages, rescission of the purchase contract and restitution of all </w:t>
      </w:r>
      <w:r w:rsidR="00336436">
        <w:t xml:space="preserve">amounts </w:t>
      </w:r>
      <w:r w:rsidR="00336436">
        <w:lastRenderedPageBreak/>
        <w:t>paid</w:t>
      </w:r>
      <w:r w:rsidR="00BC04D9" w:rsidRPr="00BC04D9">
        <w:t xml:space="preserve">, </w:t>
      </w:r>
      <w:r w:rsidR="00D6596C">
        <w:t>“</w:t>
      </w:r>
      <w:r w:rsidR="00BC04D9" w:rsidRPr="00BC04D9">
        <w:t>diminution in value,</w:t>
      </w:r>
      <w:r w:rsidR="00D6596C">
        <w:t>”</w:t>
      </w:r>
      <w:r w:rsidR="00BC04D9" w:rsidRPr="00BC04D9">
        <w:t xml:space="preserve"> incidental and consequential damages, civil penalties</w:t>
      </w:r>
      <w:r w:rsidR="00D6596C">
        <w:t>,</w:t>
      </w:r>
      <w:r w:rsidR="00BC04D9" w:rsidRPr="00BC04D9">
        <w:t xml:space="preserve"> punitive damages, prejudgment interest</w:t>
      </w:r>
      <w:r w:rsidR="00D6596C">
        <w:t>,</w:t>
      </w:r>
      <w:r w:rsidR="00BC04D9" w:rsidRPr="00BC04D9">
        <w:t xml:space="preserve"> and attorney fees.</w:t>
      </w:r>
    </w:p>
    <w:p w14:paraId="64134413" w14:textId="6341C2EB" w:rsidR="00427C4D" w:rsidRDefault="00D673FD" w:rsidP="006D5E06">
      <w:pPr>
        <w:pStyle w:val="Heading2"/>
      </w:pPr>
      <w:r>
        <w:t>Procedural Background</w:t>
      </w:r>
    </w:p>
    <w:p w14:paraId="0711216B" w14:textId="6BE999E3" w:rsidR="00B9223E" w:rsidRDefault="00D673FD" w:rsidP="002D2325">
      <w:r>
        <w:t>Prior to the filing of the SAC</w:t>
      </w:r>
      <w:r w:rsidR="00DA6D10">
        <w:t xml:space="preserve">, the </w:t>
      </w:r>
      <w:r w:rsidR="00DA6D10" w:rsidRPr="009B35E0">
        <w:t>court</w:t>
      </w:r>
      <w:r w:rsidR="007925E9" w:rsidRPr="009B35E0">
        <w:t xml:space="preserve"> (Hon. </w:t>
      </w:r>
      <w:r w:rsidR="00292EF4" w:rsidRPr="009B35E0">
        <w:t>Jo</w:t>
      </w:r>
      <w:r w:rsidR="00DA32A8" w:rsidRPr="009B35E0">
        <w:noBreakHyphen/>
      </w:r>
      <w:r w:rsidR="00292EF4" w:rsidRPr="009B35E0">
        <w:t>Lynne</w:t>
      </w:r>
      <w:r w:rsidR="00DA32A8" w:rsidRPr="009B35E0">
        <w:t> </w:t>
      </w:r>
      <w:r w:rsidR="00292EF4" w:rsidRPr="009B35E0">
        <w:t>Q. Lee)</w:t>
      </w:r>
      <w:r w:rsidR="00DA6D10">
        <w:t xml:space="preserve"> </w:t>
      </w:r>
      <w:r w:rsidR="005A54D1">
        <w:t>(1) </w:t>
      </w:r>
      <w:r w:rsidR="00DA6D10">
        <w:t>sustained</w:t>
      </w:r>
      <w:r w:rsidR="005A54D1">
        <w:t>, with leave to amend,</w:t>
      </w:r>
      <w:r w:rsidR="00DA6D10">
        <w:t xml:space="preserve"> </w:t>
      </w:r>
      <w:r w:rsidR="005A54D1">
        <w:t xml:space="preserve">Nissan’s </w:t>
      </w:r>
      <w:r w:rsidR="00DA6D10">
        <w:t xml:space="preserve">demurrers to the </w:t>
      </w:r>
      <w:r w:rsidR="000227EF">
        <w:t xml:space="preserve">claims for </w:t>
      </w:r>
      <w:r w:rsidR="00DA6D10" w:rsidRPr="000227EF">
        <w:t xml:space="preserve">fraudulent inducement—concealment </w:t>
      </w:r>
      <w:r w:rsidR="00DA6D10">
        <w:t>in plaintiffs’ original and first amended complaints</w:t>
      </w:r>
      <w:r w:rsidR="005A54D1">
        <w:t>,</w:t>
      </w:r>
      <w:r w:rsidR="00CE5D26">
        <w:t xml:space="preserve"> </w:t>
      </w:r>
      <w:r w:rsidR="00AA3085">
        <w:t xml:space="preserve">and </w:t>
      </w:r>
      <w:r w:rsidR="005A54D1">
        <w:t>(2) </w:t>
      </w:r>
      <w:r w:rsidR="00AA3085" w:rsidRPr="003D1A71">
        <w:t>granted</w:t>
      </w:r>
      <w:r w:rsidR="005A54D1">
        <w:t>, also with leave to amend,</w:t>
      </w:r>
      <w:r w:rsidR="00AA3085">
        <w:t xml:space="preserve"> Nissan’s motion to strike the punitive damages requests in those complaints</w:t>
      </w:r>
      <w:r w:rsidR="005A54D1">
        <w:t>.</w:t>
      </w:r>
    </w:p>
    <w:p w14:paraId="1103560E" w14:textId="516ED2FD" w:rsidR="00CE5D26" w:rsidRDefault="00D673FD" w:rsidP="002D2325">
      <w:r>
        <w:t>In its demurrer to the fraud claim in plaintiffs’ original complaint,</w:t>
      </w:r>
      <w:r w:rsidRPr="005D5750">
        <w:t xml:space="preserve"> </w:t>
      </w:r>
      <w:r>
        <w:t>Nissan did not contend the economic loss rule barred the claim, arguing on</w:t>
      </w:r>
      <w:r>
        <w:t xml:space="preserve"> other grounds that plaintiffs had not stated a cause of action.  </w:t>
      </w:r>
      <w:r w:rsidR="00F24A6E">
        <w:t>But t</w:t>
      </w:r>
      <w:r>
        <w:t>he trial court requested supplemental briefing on the economic loss rule and sustained the demurrer (with leave to amend) on the basis of that rule, concluding in part that “[t]</w:t>
      </w:r>
      <w:r w:rsidRPr="002C7BE7">
        <w:t xml:space="preserve">he only </w:t>
      </w:r>
      <w:r w:rsidRPr="002C7BE7">
        <w:t>injury</w:t>
      </w:r>
      <w:r w:rsidRPr="009C3BE2">
        <w:t xml:space="preserve"> </w:t>
      </w:r>
      <w:r>
        <w:t>identified by Plaintiffs is that they have purchase[d] a vehicle they would not have otherwise bought if they knew of its alleged defects.  Such an injury is insufficient to overcome the economic loss rule.”</w:t>
      </w:r>
    </w:p>
    <w:p w14:paraId="72EBF8DA" w14:textId="226D0BBF" w:rsidR="00445C38" w:rsidRDefault="00D673FD" w:rsidP="002D2325">
      <w:r>
        <w:t>I</w:t>
      </w:r>
      <w:r w:rsidR="009073CD">
        <w:t xml:space="preserve">n </w:t>
      </w:r>
      <w:r>
        <w:t>its order addressing Nissan’s motion to strike portions of plaintiffs’ original complaint, the court declined to strike certain passages throughout the complaint that Nissan had alleged were irrelevant, but granted the motion (with leave to amend) as to th</w:t>
      </w:r>
      <w:r>
        <w:t>e punitive damages allegations.  The court concluded the complaint did not include sufficient allegations to support a claim for punitive damages against a corporation, stating “the allegations in the Complaint are insufficient to establish that ‘the advan</w:t>
      </w:r>
      <w:r>
        <w:t xml:space="preserve">ce knowledge and conscious disregard, authorization, ratification or act of oppression, fraud, or malice [is] on the </w:t>
      </w:r>
      <w:r w:rsidRPr="002B5708">
        <w:t>part of an officer, director,</w:t>
      </w:r>
      <w:r>
        <w:t xml:space="preserve"> or managing agent of the corporation</w:t>
      </w:r>
      <w:r w:rsidRPr="003C13CF">
        <w:t>.’</w:t>
      </w:r>
      <w:r w:rsidR="00D77756" w:rsidRPr="003C13CF">
        <w:t xml:space="preserve"> </w:t>
      </w:r>
      <w:r w:rsidRPr="003C13CF">
        <w:t xml:space="preserve"> </w:t>
      </w:r>
      <w:r w:rsidR="00C25881" w:rsidRPr="003C13CF">
        <w:t>(</w:t>
      </w:r>
      <w:r w:rsidRPr="003C13CF">
        <w:t>[Civ. Code,</w:t>
      </w:r>
      <w:r w:rsidR="00C25881" w:rsidRPr="003C13CF">
        <w:t>]</w:t>
      </w:r>
      <w:r w:rsidRPr="003C13CF">
        <w:t xml:space="preserve"> § 3294, </w:t>
      </w:r>
      <w:r w:rsidR="00E258BC" w:rsidRPr="003C13CF">
        <w:t>[</w:t>
      </w:r>
      <w:r w:rsidRPr="003C13CF">
        <w:t>subd.</w:t>
      </w:r>
      <w:r w:rsidR="00E258BC" w:rsidRPr="003C13CF">
        <w:t>]</w:t>
      </w:r>
      <w:r w:rsidRPr="003C13CF">
        <w:t> (b)</w:t>
      </w:r>
      <w:r w:rsidR="00FE5F5E" w:rsidRPr="003C13CF">
        <w:t>.)</w:t>
      </w:r>
      <w:r w:rsidRPr="003C13CF">
        <w:t>”</w:t>
      </w:r>
    </w:p>
    <w:p w14:paraId="7D04ED61" w14:textId="5921BBCD" w:rsidR="003E17DD" w:rsidRDefault="00D673FD" w:rsidP="002D2325">
      <w:r>
        <w:lastRenderedPageBreak/>
        <w:t>Plaintiffs filed the SAC in Janu</w:t>
      </w:r>
      <w:r>
        <w:t xml:space="preserve">ary 2020. </w:t>
      </w:r>
      <w:r w:rsidR="00A356EE">
        <w:t xml:space="preserve"> Nissan again demurred to the </w:t>
      </w:r>
      <w:r w:rsidR="00EF396A">
        <w:t xml:space="preserve">claim for </w:t>
      </w:r>
      <w:r w:rsidR="009777A8" w:rsidRPr="003C13CF">
        <w:t xml:space="preserve">fraudulent inducement—concealment </w:t>
      </w:r>
      <w:r w:rsidR="009777A8">
        <w:t xml:space="preserve">(the </w:t>
      </w:r>
      <w:r w:rsidR="004F61B8">
        <w:t xml:space="preserve">fourth cause of action </w:t>
      </w:r>
      <w:r w:rsidR="009777A8">
        <w:t>in the SAC</w:t>
      </w:r>
      <w:r w:rsidR="002662F7">
        <w:t xml:space="preserve">) and moved to strike </w:t>
      </w:r>
      <w:r w:rsidR="00795BEF">
        <w:t xml:space="preserve">portions of the SAC, including </w:t>
      </w:r>
      <w:r w:rsidR="002662F7">
        <w:t xml:space="preserve">the punitive damages allegations. </w:t>
      </w:r>
      <w:r w:rsidR="00B0491A">
        <w:t xml:space="preserve"> </w:t>
      </w:r>
      <w:r w:rsidR="00F566A7">
        <w:t>In its demurrer, Nissan argued</w:t>
      </w:r>
      <w:r w:rsidR="00A34B76">
        <w:t xml:space="preserve"> </w:t>
      </w:r>
      <w:r w:rsidR="00F566A7">
        <w:t>plaintiffs’ fraud claim was barred by the economic loss rule</w:t>
      </w:r>
      <w:r w:rsidR="00A34B76">
        <w:t xml:space="preserve"> and </w:t>
      </w:r>
      <w:r w:rsidR="00AA22FD">
        <w:t>was not pleaded with sufficient specificity</w:t>
      </w:r>
      <w:r w:rsidR="00F566A7">
        <w:t xml:space="preserve">.  </w:t>
      </w:r>
      <w:r w:rsidR="005627A7">
        <w:t xml:space="preserve">Nissan contended in its motion to strike that the SAC’s allegations supporting corporate liability for punitive damages </w:t>
      </w:r>
      <w:r w:rsidR="008A140F">
        <w:t>were still insufficient</w:t>
      </w:r>
      <w:r w:rsidR="00837DEE">
        <w:t xml:space="preserve">, and that </w:t>
      </w:r>
      <w:r w:rsidR="00D74FEA">
        <w:t>plaintiffs had not adequately pleaded a fraud claim that would support an award of punitive damages</w:t>
      </w:r>
      <w:r w:rsidR="008A140F">
        <w:t xml:space="preserve">.  </w:t>
      </w:r>
      <w:r w:rsidR="005302F1">
        <w:t xml:space="preserve">A hearing </w:t>
      </w:r>
      <w:r w:rsidR="00B7606B" w:rsidRPr="00217032">
        <w:t>on the demurrer</w:t>
      </w:r>
      <w:r w:rsidR="00B7606B">
        <w:t xml:space="preserve"> </w:t>
      </w:r>
      <w:r w:rsidR="00217032">
        <w:t xml:space="preserve">and the motion to strike </w:t>
      </w:r>
      <w:r w:rsidR="005302F1">
        <w:t xml:space="preserve">was set for May 2020, but </w:t>
      </w:r>
      <w:r w:rsidR="009E6DD3">
        <w:t xml:space="preserve">the matter was taken under submission without hearing because </w:t>
      </w:r>
      <w:r w:rsidR="005302F1">
        <w:t>plaintiffs did not contest the tentative ruling against them.</w:t>
      </w:r>
    </w:p>
    <w:p w14:paraId="649F4242" w14:textId="1CBB178C" w:rsidR="00C10DCD" w:rsidRDefault="00D673FD" w:rsidP="002D2325">
      <w:r>
        <w:t xml:space="preserve">The </w:t>
      </w:r>
      <w:r w:rsidRPr="00A36DCE">
        <w:t xml:space="preserve">court (Hon. Richard Seabolt) </w:t>
      </w:r>
      <w:r w:rsidR="008E32DD" w:rsidRPr="00A36DCE">
        <w:t>sustained</w:t>
      </w:r>
      <w:r w:rsidR="008E32DD">
        <w:t xml:space="preserve"> the demurrer to the fraud cause of action, this time without leave to amend</w:t>
      </w:r>
      <w:r w:rsidR="00592EBC">
        <w:t xml:space="preserve">.  </w:t>
      </w:r>
      <w:r w:rsidR="00193BFA">
        <w:t xml:space="preserve">The court held the fraud claim was barred by the economic loss rule </w:t>
      </w:r>
      <w:r w:rsidR="00AF730E">
        <w:t xml:space="preserve">because plaintiffs did </w:t>
      </w:r>
      <w:r w:rsidR="002A6E80">
        <w:t xml:space="preserve">not allege the defective transmission in their car caused any personal injury or </w:t>
      </w:r>
      <w:r w:rsidR="003E17DD">
        <w:t xml:space="preserve">any </w:t>
      </w:r>
      <w:r w:rsidR="002A6E80">
        <w:t>damage to property other than the car</w:t>
      </w:r>
      <w:r w:rsidR="001B0731">
        <w:t xml:space="preserve">.  </w:t>
      </w:r>
      <w:r w:rsidR="003E17DD">
        <w:t>The court concluded p</w:t>
      </w:r>
      <w:r w:rsidR="001B0731">
        <w:t xml:space="preserve">laintiffs’ claim did not fall within </w:t>
      </w:r>
      <w:r w:rsidR="00882A2C">
        <w:t xml:space="preserve">“the ‘narrow’ exception to the economic loss rule” discussed by the Supreme Court in </w:t>
      </w:r>
      <w:r w:rsidR="00882A2C" w:rsidRPr="001F5713">
        <w:rPr>
          <w:i/>
          <w:iCs/>
        </w:rPr>
        <w:t xml:space="preserve">Robinson </w:t>
      </w:r>
      <w:r w:rsidR="000E6600">
        <w:t>(a</w:t>
      </w:r>
      <w:r w:rsidR="00406D43">
        <w:t xml:space="preserve"> decision </w:t>
      </w:r>
      <w:r w:rsidR="000E6600">
        <w:t xml:space="preserve">we discuss </w:t>
      </w:r>
      <w:r w:rsidR="0084375F">
        <w:t>in pt</w:t>
      </w:r>
      <w:r w:rsidR="00A825E7">
        <w:t>.</w:t>
      </w:r>
      <w:r w:rsidR="001069E2">
        <w:t> </w:t>
      </w:r>
      <w:r w:rsidR="00A825E7">
        <w:t>II.B</w:t>
      </w:r>
      <w:r w:rsidR="007A27F2">
        <w:t>.</w:t>
      </w:r>
      <w:r w:rsidR="0084375F">
        <w:t xml:space="preserve">, </w:t>
      </w:r>
      <w:r w:rsidR="0084375F" w:rsidRPr="007A27F2">
        <w:rPr>
          <w:i/>
          <w:iCs/>
        </w:rPr>
        <w:t>post</w:t>
      </w:r>
      <w:r w:rsidR="0084375F">
        <w:t>)</w:t>
      </w:r>
      <w:r w:rsidR="001F5713">
        <w:t xml:space="preserve">, because </w:t>
      </w:r>
      <w:r w:rsidR="00162ED3">
        <w:t>(1) </w:t>
      </w:r>
      <w:r w:rsidR="00534E81">
        <w:t xml:space="preserve">the claim rests on </w:t>
      </w:r>
      <w:r w:rsidR="00BC43D1">
        <w:t>alleged concealment, rather than affirmative misrepresentations, and (2) </w:t>
      </w:r>
      <w:r w:rsidR="00241C56">
        <w:t>plaintiffs did not “plausibly allege ‘damages independent of [their] economic loss.’ ”</w:t>
      </w:r>
    </w:p>
    <w:p w14:paraId="29F3288B" w14:textId="5214CB5B" w:rsidR="00C10DCD" w:rsidRDefault="00D673FD" w:rsidP="002D2325">
      <w:r>
        <w:t>The court also granted</w:t>
      </w:r>
      <w:r w:rsidR="005241D7">
        <w:t>, without leave to amend,</w:t>
      </w:r>
      <w:r>
        <w:t xml:space="preserve"> the motion to strike the punitive damages </w:t>
      </w:r>
      <w:r w:rsidR="00384A14">
        <w:t>allegations</w:t>
      </w:r>
      <w:r w:rsidR="007B3CAA">
        <w:t xml:space="preserve">.  It reasoned that </w:t>
      </w:r>
      <w:r w:rsidR="001173AB">
        <w:t>plaintiffs</w:t>
      </w:r>
      <w:r w:rsidR="00E42EF2">
        <w:t xml:space="preserve"> d</w:t>
      </w:r>
      <w:r w:rsidR="00CE37A0">
        <w:t>o</w:t>
      </w:r>
      <w:r w:rsidR="00E42EF2">
        <w:t xml:space="preserve"> not have a viable fraud claim that would support a</w:t>
      </w:r>
      <w:r w:rsidR="006411C7">
        <w:t>n award of</w:t>
      </w:r>
      <w:r w:rsidR="00E42EF2">
        <w:t xml:space="preserve"> punitive damages</w:t>
      </w:r>
      <w:r w:rsidR="009C7CD3">
        <w:t xml:space="preserve">, and </w:t>
      </w:r>
      <w:r w:rsidR="007B3CAA">
        <w:t xml:space="preserve">that </w:t>
      </w:r>
      <w:r w:rsidR="009C7CD3">
        <w:t xml:space="preserve">such </w:t>
      </w:r>
      <w:r w:rsidR="009F42F4">
        <w:t xml:space="preserve">damages </w:t>
      </w:r>
      <w:r w:rsidR="007B3CAA">
        <w:t xml:space="preserve">are </w:t>
      </w:r>
      <w:r w:rsidR="009F42F4">
        <w:t xml:space="preserve">not an available remedy for </w:t>
      </w:r>
      <w:r w:rsidR="00224941">
        <w:t>plaintiffs’</w:t>
      </w:r>
      <w:r w:rsidR="009F42F4">
        <w:t xml:space="preserve"> remaining claims under </w:t>
      </w:r>
      <w:r w:rsidR="00E11925">
        <w:t>the Song-Beverly Act</w:t>
      </w:r>
      <w:r w:rsidR="007B3CAA">
        <w:t xml:space="preserve">.  It also explained that </w:t>
      </w:r>
      <w:r>
        <w:t xml:space="preserve">the FAC’s </w:t>
      </w:r>
      <w:r>
        <w:lastRenderedPageBreak/>
        <w:t>allegations remained insufficie</w:t>
      </w:r>
      <w:r>
        <w:t>nt to establish ratification by a senior corporate official as required to support a claim for punitive damages against a corporation (Civ. Code, § 3294, subd. (b)).</w:t>
      </w:r>
    </w:p>
    <w:p w14:paraId="4682B78F" w14:textId="253A6347" w:rsidR="00110CDF" w:rsidRDefault="00D673FD" w:rsidP="002D2325">
      <w:r>
        <w:t xml:space="preserve">Following the court’s ruling, plaintiffs dismissed their remaining claims with prejudice, </w:t>
      </w:r>
      <w:r>
        <w:t>and the court entered judgment for Nissan</w:t>
      </w:r>
      <w:r w:rsidR="00C5421C">
        <w:t xml:space="preserve"> in April 2021</w:t>
      </w:r>
      <w:r>
        <w:t>.</w:t>
      </w:r>
    </w:p>
    <w:p w14:paraId="00DB2E3B" w14:textId="4BFF64C0" w:rsidR="00402F66" w:rsidRDefault="00D673FD" w:rsidP="00402F66">
      <w:r>
        <w:t>Plaintiffs appealed.</w:t>
      </w:r>
    </w:p>
    <w:p w14:paraId="3FB6CA55" w14:textId="5004AB6E" w:rsidR="00CB0FE2" w:rsidRDefault="00D673FD" w:rsidP="00394626">
      <w:pPr>
        <w:pStyle w:val="Heading1"/>
      </w:pPr>
      <w:r>
        <w:t>DISCUSSION</w:t>
      </w:r>
    </w:p>
    <w:p w14:paraId="439F8ADF" w14:textId="25D186C4" w:rsidR="003F490F" w:rsidRPr="006D5E06" w:rsidRDefault="00D673FD" w:rsidP="00DF2D5D">
      <w:pPr>
        <w:pStyle w:val="Heading2"/>
        <w:numPr>
          <w:ilvl w:val="0"/>
          <w:numId w:val="40"/>
        </w:numPr>
        <w:ind w:left="720"/>
      </w:pPr>
      <w:r w:rsidRPr="006D5E06">
        <w:t>Standard of Review</w:t>
      </w:r>
    </w:p>
    <w:p w14:paraId="4CBE110F" w14:textId="61B8C71E" w:rsidR="00D20183" w:rsidRDefault="00D673FD" w:rsidP="00E64F71">
      <w:r>
        <w:t>“ ‘In reviewing an order sustaining a demurrer, we examine the operative complaint de novo to determine whether it alleges facts sufficient to state</w:t>
      </w:r>
      <w:r>
        <w:t xml:space="preserve"> a cause of action under any legal theory.’  [Citation.]  ‘</w:t>
      </w:r>
      <w:r w:rsidR="00565AC4">
        <w:t> </w:t>
      </w:r>
      <w:r>
        <w:t>“</w:t>
      </w:r>
      <w:r w:rsidR="00565AC4">
        <w:t> </w:t>
      </w:r>
      <w:r>
        <w:t>‘</w:t>
      </w:r>
      <w:r w:rsidR="00565AC4">
        <w:t> “</w:t>
      </w:r>
      <w:r>
        <w:t xml:space="preserve">We treat the demurrer as admitting all material facts properly pleaded, but not contentions, deductions or conclusions of fact or law. </w:t>
      </w:r>
      <w:r w:rsidR="007B56BA">
        <w:t xml:space="preserve">. . . </w:t>
      </w:r>
      <w:r>
        <w:t>We also consider matters which may be judicially n</w:t>
      </w:r>
      <w:r>
        <w:t>oticed.</w:t>
      </w:r>
      <w:r w:rsidR="00C139E3">
        <w:t>”</w:t>
      </w:r>
      <w:r>
        <w:t xml:space="preserve"> </w:t>
      </w:r>
      <w:r w:rsidR="00C139E3">
        <w:t>. . .</w:t>
      </w:r>
      <w:r>
        <w:t xml:space="preserve"> Further, we give the complaint a reasonable interpretation, reading it as a whole and its parts in their context.</w:t>
      </w:r>
      <w:r w:rsidR="0063159D">
        <w:t>’ </w:t>
      </w:r>
      <w:r>
        <w:t>”</w:t>
      </w:r>
      <w:r w:rsidR="0063159D">
        <w:t> </w:t>
      </w:r>
      <w:r>
        <w:t>’</w:t>
      </w:r>
      <w:r w:rsidR="0063159D">
        <w:t> </w:t>
      </w:r>
      <w:r>
        <w:t>”  (</w:t>
      </w:r>
      <w:r w:rsidRPr="00D20183">
        <w:rPr>
          <w:i/>
          <w:iCs/>
        </w:rPr>
        <w:t>Mathews v. Becerra</w:t>
      </w:r>
      <w:r>
        <w:t xml:space="preserve"> (2019) 8</w:t>
      </w:r>
      <w:r w:rsidR="005A16C6">
        <w:t> </w:t>
      </w:r>
      <w:r>
        <w:t>Cal.5th 756, 768.)</w:t>
      </w:r>
      <w:r w:rsidR="00930E95">
        <w:t xml:space="preserve">  </w:t>
      </w:r>
      <w:r w:rsidR="009C7F76">
        <w:t>“</w:t>
      </w:r>
      <w:r w:rsidR="005D1703">
        <w:t> ‘</w:t>
      </w:r>
      <w:r w:rsidR="009C7F76">
        <w:t>In considering a trial court</w:t>
      </w:r>
      <w:r w:rsidR="005D1703">
        <w:t>’</w:t>
      </w:r>
      <w:r w:rsidR="009C7F76">
        <w:t>s order sustaining a demurrer without leave to amend, “</w:t>
      </w:r>
      <w:r w:rsidR="005D1703">
        <w:t> ‘</w:t>
      </w:r>
      <w:r w:rsidR="009C7F76">
        <w:t>we review the trial court</w:t>
      </w:r>
      <w:r w:rsidR="005D1703">
        <w:t>’</w:t>
      </w:r>
      <w:r w:rsidR="009C7F76">
        <w:t>s result for error, and not its legal reasoning.</w:t>
      </w:r>
      <w:r w:rsidR="005D1703">
        <w:t>’ </w:t>
      </w:r>
      <w:r w:rsidR="009C7F76">
        <w:t>”</w:t>
      </w:r>
      <w:r w:rsidR="00E0148B">
        <w:t> </w:t>
      </w:r>
      <w:r w:rsidR="009C7F76">
        <w:t>’</w:t>
      </w:r>
      <w:r w:rsidR="004538B9">
        <w:t xml:space="preserve">  [Citation.]</w:t>
      </w:r>
      <w:r w:rsidR="009C7F76">
        <w:t xml:space="preserve">  We ‘</w:t>
      </w:r>
      <w:r w:rsidR="00434677">
        <w:t> “</w:t>
      </w:r>
      <w:r w:rsidR="009C7F76">
        <w:t>affirm the judgment if it is correct on any theory.</w:t>
      </w:r>
      <w:r w:rsidR="00434677">
        <w:t>” </w:t>
      </w:r>
      <w:r w:rsidR="009C7F76">
        <w:t>’</w:t>
      </w:r>
      <w:r w:rsidR="00E64F71">
        <w:t> </w:t>
      </w:r>
      <w:r w:rsidR="009C7F76">
        <w:t xml:space="preserve">” </w:t>
      </w:r>
      <w:r w:rsidR="00E64F71">
        <w:t xml:space="preserve"> (</w:t>
      </w:r>
      <w:r w:rsidR="009C7F76" w:rsidRPr="00E64F71">
        <w:rPr>
          <w:i/>
          <w:iCs/>
        </w:rPr>
        <w:t>Munoz v. Patel</w:t>
      </w:r>
      <w:r w:rsidR="009C7F76">
        <w:t xml:space="preserve"> </w:t>
      </w:r>
      <w:r w:rsidR="00E64F71">
        <w:t xml:space="preserve">(2022) </w:t>
      </w:r>
      <w:r w:rsidR="009C7F76">
        <w:t>81</w:t>
      </w:r>
      <w:r w:rsidR="00C23530">
        <w:t> </w:t>
      </w:r>
      <w:r w:rsidR="009C7F76">
        <w:t>Cal.App.5th 761</w:t>
      </w:r>
      <w:r w:rsidR="00D8185F">
        <w:t xml:space="preserve">, </w:t>
      </w:r>
      <w:r w:rsidR="00930E95">
        <w:t>771.)</w:t>
      </w:r>
    </w:p>
    <w:p w14:paraId="706FAF19" w14:textId="32783865" w:rsidR="004F36EF" w:rsidRDefault="00D673FD" w:rsidP="004F36EF">
      <w:r>
        <w:t>Similarly, “</w:t>
      </w:r>
      <w:r w:rsidR="003B4A9F">
        <w:t> ‘[t]</w:t>
      </w:r>
      <w:r>
        <w:t xml:space="preserve">he standard of review for an order on a motion to strike punitive damages allegations is de novo. </w:t>
      </w:r>
      <w:r w:rsidR="003B4A9F">
        <w:t xml:space="preserve"> </w:t>
      </w:r>
      <w:r>
        <w:t xml:space="preserve">[Citation.] </w:t>
      </w:r>
      <w:r w:rsidR="003B4A9F">
        <w:t xml:space="preserve"> “</w:t>
      </w:r>
      <w:r>
        <w:t>In passing on the correctness of a ruling on a motion to strike, judges read allegations of a pleading subject to a motion to strike as a whole</w:t>
      </w:r>
      <w:r>
        <w:t>, all parts in their context, and assume their truth</w:t>
      </w:r>
      <w:r w:rsidRPr="005569C7">
        <w:t>.</w:t>
      </w:r>
      <w:r w:rsidR="003A6FCD" w:rsidRPr="005569C7">
        <w:t>”</w:t>
      </w:r>
      <w:r w:rsidR="00B25F1F">
        <w:t> </w:t>
      </w:r>
      <w:r w:rsidRPr="005569C7">
        <w:t>’</w:t>
      </w:r>
      <w:r w:rsidR="003A6FCD" w:rsidRPr="005569C7">
        <w:t> </w:t>
      </w:r>
      <w:r w:rsidRPr="005569C7">
        <w:t>”</w:t>
      </w:r>
      <w:r w:rsidR="0003389A" w:rsidRPr="005569C7">
        <w:t xml:space="preserve">  (</w:t>
      </w:r>
      <w:r w:rsidRPr="005569C7">
        <w:rPr>
          <w:i/>
          <w:iCs/>
        </w:rPr>
        <w:t>Kaiser</w:t>
      </w:r>
      <w:r w:rsidRPr="0003389A">
        <w:rPr>
          <w:i/>
          <w:iCs/>
        </w:rPr>
        <w:t xml:space="preserve"> Found</w:t>
      </w:r>
      <w:r w:rsidR="0003389A" w:rsidRPr="0003389A">
        <w:rPr>
          <w:i/>
          <w:iCs/>
        </w:rPr>
        <w:t>ation</w:t>
      </w:r>
      <w:r w:rsidRPr="0003389A">
        <w:rPr>
          <w:i/>
          <w:iCs/>
        </w:rPr>
        <w:t xml:space="preserve"> Health Plan, Inc. v. Superior C</w:t>
      </w:r>
      <w:r w:rsidR="0003389A" w:rsidRPr="0003389A">
        <w:rPr>
          <w:i/>
          <w:iCs/>
        </w:rPr>
        <w:t>our</w:t>
      </w:r>
      <w:r w:rsidRPr="0003389A">
        <w:rPr>
          <w:i/>
          <w:iCs/>
        </w:rPr>
        <w:t>t</w:t>
      </w:r>
      <w:r>
        <w:t xml:space="preserve"> </w:t>
      </w:r>
      <w:r w:rsidR="0003389A">
        <w:t xml:space="preserve">(2012) </w:t>
      </w:r>
      <w:r>
        <w:t>203</w:t>
      </w:r>
      <w:r w:rsidR="00C23530">
        <w:t> </w:t>
      </w:r>
      <w:r>
        <w:t>Cal.App.4th 696, 704</w:t>
      </w:r>
      <w:r w:rsidR="0003389A">
        <w:t>.)</w:t>
      </w:r>
    </w:p>
    <w:p w14:paraId="5A65851C" w14:textId="0342A83F" w:rsidR="00151662" w:rsidRDefault="00D673FD" w:rsidP="00B756BE">
      <w:r>
        <w:t>W</w:t>
      </w:r>
      <w:r w:rsidR="00291F3A">
        <w:t>e review the court’s denial of leave to amend for abuse of discretion.</w:t>
      </w:r>
      <w:r w:rsidR="00C55120">
        <w:t xml:space="preserve">  </w:t>
      </w:r>
      <w:r w:rsidR="00C55120" w:rsidRPr="004F7394">
        <w:t>(</w:t>
      </w:r>
      <w:r w:rsidR="00C55120" w:rsidRPr="00C55120">
        <w:rPr>
          <w:i/>
          <w:iCs/>
        </w:rPr>
        <w:t>Schifando v. City of Los Angeles</w:t>
      </w:r>
      <w:r w:rsidR="00C55120">
        <w:t xml:space="preserve"> (2003) 31</w:t>
      </w:r>
      <w:r w:rsidR="00C23530">
        <w:t> </w:t>
      </w:r>
      <w:r w:rsidR="00C55120">
        <w:t>Cal.4th 1074, 1081</w:t>
      </w:r>
      <w:r w:rsidR="0057597B">
        <w:t>.)</w:t>
      </w:r>
      <w:r w:rsidR="003104A5">
        <w:t xml:space="preserve">  “[W]e must </w:t>
      </w:r>
      <w:r w:rsidR="003104A5">
        <w:lastRenderedPageBreak/>
        <w:t>decide whether there is a reasonable possibility the plaintiff could cure the defect with an amendment.  [Citation.]  If we find that an amendment could cure the defect, we conclude that the trial court abused its discretion and we reverse; if not, no abuse of discretion has occurred.  [Citation.]  The plaintiff has the burden of proving that an amendment would cure the defect.”  (</w:t>
      </w:r>
      <w:r w:rsidR="003104A5">
        <w:rPr>
          <w:i/>
        </w:rPr>
        <w:t>Ibid.</w:t>
      </w:r>
      <w:r w:rsidR="003104A5">
        <w:t>)</w:t>
      </w:r>
    </w:p>
    <w:p w14:paraId="18CA087E" w14:textId="0FCC388A" w:rsidR="004E7158" w:rsidRDefault="00D673FD" w:rsidP="006D5E06">
      <w:pPr>
        <w:pStyle w:val="Heading2"/>
      </w:pPr>
      <w:r>
        <w:t>The Economic Loss Rule</w:t>
      </w:r>
    </w:p>
    <w:p w14:paraId="6FA71FF2" w14:textId="4B8C6B1B" w:rsidR="004B42A7" w:rsidRDefault="00D673FD" w:rsidP="00A7512F">
      <w:r>
        <w:t>As noted, t</w:t>
      </w:r>
      <w:r w:rsidR="00C56D03">
        <w:t>he trial court</w:t>
      </w:r>
      <w:r>
        <w:t xml:space="preserve"> sustained Nissan’s demurrer </w:t>
      </w:r>
      <w:r>
        <w:t xml:space="preserve">to plaintiffs’ claim </w:t>
      </w:r>
      <w:r w:rsidRPr="00017F2F">
        <w:t>for fraudulent inducement—concealment on the</w:t>
      </w:r>
      <w:r>
        <w:t xml:space="preserve"> ground it was barred by the economic loss rule. </w:t>
      </w:r>
      <w:r w:rsidR="008644EA">
        <w:t xml:space="preserve"> </w:t>
      </w:r>
      <w:r w:rsidR="00C04779">
        <w:t>W</w:t>
      </w:r>
      <w:r w:rsidR="00465391">
        <w:t xml:space="preserve">e conclude the </w:t>
      </w:r>
      <w:r w:rsidR="00C04779">
        <w:t xml:space="preserve">economic loss </w:t>
      </w:r>
      <w:r w:rsidR="00465391">
        <w:t>rule does not bar plaintiffs’ fraud claim.</w:t>
      </w:r>
      <w:r>
        <w:rPr>
          <w:rStyle w:val="FootnoteReference"/>
        </w:rPr>
        <w:footnoteReference w:id="3"/>
      </w:r>
    </w:p>
    <w:p w14:paraId="03F3B3E3" w14:textId="38378F38" w:rsidR="00533EF2" w:rsidRDefault="00D673FD" w:rsidP="00C6164A">
      <w:r>
        <w:t xml:space="preserve">The economic loss rule provides that, “[i]n general, </w:t>
      </w:r>
      <w:r w:rsidR="008D74D7">
        <w:t xml:space="preserve">there is no recovery in tort for </w:t>
      </w:r>
      <w:r w:rsidR="008D74D7" w:rsidRPr="00EB7E7F">
        <w:t>negligently inflicted</w:t>
      </w:r>
      <w:r w:rsidR="008D74D7">
        <w:t xml:space="preserve"> ‘purely economic losses,’ meaning financial harm unaccompanied by physical or property damage.”</w:t>
      </w:r>
      <w:r w:rsidR="008D74D7">
        <w:rPr>
          <w:iCs/>
        </w:rPr>
        <w:t xml:space="preserve">  (</w:t>
      </w:r>
      <w:r w:rsidR="008D74D7" w:rsidRPr="00CE7161">
        <w:rPr>
          <w:i/>
          <w:iCs/>
        </w:rPr>
        <w:t>Sheen v. Wells Fargo Bank, N.A.</w:t>
      </w:r>
      <w:r w:rsidR="008D74D7">
        <w:t xml:space="preserve"> (2022) 12</w:t>
      </w:r>
      <w:r w:rsidR="00F23F40">
        <w:t> </w:t>
      </w:r>
      <w:r w:rsidR="008D74D7">
        <w:t>Cal.5th 905, 922 (</w:t>
      </w:r>
      <w:r w:rsidR="008D74D7" w:rsidRPr="00BC3B77">
        <w:rPr>
          <w:i/>
          <w:iCs/>
        </w:rPr>
        <w:t>Sheen</w:t>
      </w:r>
      <w:r w:rsidR="008D74D7">
        <w:t xml:space="preserve">).)  </w:t>
      </w:r>
      <w:r w:rsidR="00AD021D">
        <w:t xml:space="preserve">For </w:t>
      </w:r>
      <w:r w:rsidR="005513A8">
        <w:t>claims arising from alleged product defects</w:t>
      </w:r>
      <w:r w:rsidR="008D74D7">
        <w:t>, “[e]conomic loss consists of ‘ “ ‘ “damages for inadequate value, costs of repair and replacement of the defective product or consequent loss of profits—without any claim of personal injury or damages to other property</w:t>
      </w:r>
      <w:r w:rsidR="00CA0D8D">
        <w:t> </w:t>
      </w:r>
      <w:r w:rsidR="008D74D7">
        <w:t>. . . .” ’ ” ’ ”  (</w:t>
      </w:r>
      <w:r w:rsidR="008D74D7" w:rsidRPr="007A251D">
        <w:rPr>
          <w:i/>
          <w:iCs/>
        </w:rPr>
        <w:t>Robinson</w:t>
      </w:r>
      <w:r w:rsidR="008D74D7">
        <w:t xml:space="preserve">, </w:t>
      </w:r>
      <w:r w:rsidR="008D74D7" w:rsidRPr="007A251D">
        <w:rPr>
          <w:i/>
          <w:iCs/>
        </w:rPr>
        <w:t>supra</w:t>
      </w:r>
      <w:r w:rsidR="008D74D7">
        <w:t>, 34</w:t>
      </w:r>
      <w:r w:rsidR="00F23F40">
        <w:t> </w:t>
      </w:r>
      <w:r w:rsidR="008D74D7">
        <w:t>Cal.4th at p. 988.)</w:t>
      </w:r>
    </w:p>
    <w:p w14:paraId="4E28A7CB" w14:textId="16BF0243" w:rsidR="00B55F5F" w:rsidRDefault="00D673FD" w:rsidP="002027ED">
      <w:r>
        <w:t xml:space="preserve">The </w:t>
      </w:r>
      <w:r w:rsidRPr="00DB0DBB">
        <w:rPr>
          <w:i/>
          <w:iCs/>
        </w:rPr>
        <w:t>Sheen</w:t>
      </w:r>
      <w:r>
        <w:t xml:space="preserve"> court </w:t>
      </w:r>
      <w:r w:rsidR="00D2572A">
        <w:t>noted the economic loss</w:t>
      </w:r>
      <w:r w:rsidR="0004419C">
        <w:t xml:space="preserve"> rule</w:t>
      </w:r>
      <w:r w:rsidR="00664763">
        <w:t xml:space="preserve"> </w:t>
      </w:r>
      <w:r w:rsidR="00D90D33">
        <w:t>“</w:t>
      </w:r>
      <w:r w:rsidR="00664763">
        <w:t xml:space="preserve">has been applied </w:t>
      </w:r>
      <w:r w:rsidR="00D90D33">
        <w:t xml:space="preserve">in various contexts.  </w:t>
      </w:r>
      <w:r w:rsidR="00EA538A">
        <w:t xml:space="preserve">First, it carries force when courts are concerned about </w:t>
      </w:r>
      <w:r w:rsidR="00EA538A" w:rsidRPr="003E67C5">
        <w:t>imposing ‘ “lia</w:t>
      </w:r>
      <w:r w:rsidR="00EA538A">
        <w:t xml:space="preserve">bility in an indeterminate amount for an indeterminate time to </w:t>
      </w:r>
      <w:r w:rsidR="00EA538A">
        <w:lastRenderedPageBreak/>
        <w:t>an indeterminate class.” ’</w:t>
      </w:r>
      <w:r w:rsidR="005C64AD">
        <w:t> ”  (</w:t>
      </w:r>
      <w:r w:rsidR="0025162B" w:rsidRPr="001D5D66">
        <w:rPr>
          <w:i/>
          <w:iCs/>
        </w:rPr>
        <w:t>Sheen</w:t>
      </w:r>
      <w:r w:rsidR="0025162B">
        <w:t xml:space="preserve">, </w:t>
      </w:r>
      <w:r w:rsidR="0025162B" w:rsidRPr="001D5D66">
        <w:rPr>
          <w:i/>
          <w:iCs/>
        </w:rPr>
        <w:t>supra</w:t>
      </w:r>
      <w:r w:rsidR="0025162B">
        <w:t>, 12</w:t>
      </w:r>
      <w:r w:rsidR="00F23F40">
        <w:t> </w:t>
      </w:r>
      <w:r w:rsidR="0025162B">
        <w:t>Cal.5th at p. 922</w:t>
      </w:r>
      <w:r w:rsidR="005C64AD">
        <w:t xml:space="preserve">, quoting </w:t>
      </w:r>
      <w:r w:rsidR="00D07213" w:rsidRPr="00B85F2F">
        <w:rPr>
          <w:i/>
        </w:rPr>
        <w:t xml:space="preserve">Southern California </w:t>
      </w:r>
      <w:r w:rsidR="00EA538A" w:rsidRPr="00B85F2F">
        <w:rPr>
          <w:i/>
        </w:rPr>
        <w:t>Gas Leak Cases</w:t>
      </w:r>
      <w:r w:rsidR="00B85F2F">
        <w:t xml:space="preserve"> (2019)</w:t>
      </w:r>
      <w:r w:rsidR="00EA538A">
        <w:t xml:space="preserve"> 7</w:t>
      </w:r>
      <w:r w:rsidR="00F23F40">
        <w:t> </w:t>
      </w:r>
      <w:r w:rsidR="00EA538A">
        <w:t xml:space="preserve">Cal.5th </w:t>
      </w:r>
      <w:r w:rsidR="00B85F2F">
        <w:t xml:space="preserve">391, </w:t>
      </w:r>
      <w:r w:rsidR="00EA538A">
        <w:t>414.)</w:t>
      </w:r>
    </w:p>
    <w:p w14:paraId="0012898D" w14:textId="7B90D936" w:rsidR="004B5BEA" w:rsidRDefault="00D673FD" w:rsidP="002027ED">
      <w:r>
        <w:t xml:space="preserve">Second, </w:t>
      </w:r>
      <w:r w:rsidR="00C6164A">
        <w:t>“</w:t>
      </w:r>
      <w:r>
        <w:t>[i]</w:t>
      </w:r>
      <w:r w:rsidR="008D4AB3">
        <w:t>n another recurring set of circumstances, the rule functions to bar claims in negligence for pure economic losses in deference to a contract between litigating parties.</w:t>
      </w:r>
      <w:r w:rsidR="00932528">
        <w:t>”</w:t>
      </w:r>
      <w:r w:rsidR="00932528" w:rsidRPr="00932528">
        <w:t xml:space="preserve"> </w:t>
      </w:r>
      <w:r w:rsidR="00932528">
        <w:t xml:space="preserve"> (</w:t>
      </w:r>
      <w:r w:rsidR="00932528" w:rsidRPr="001D5D66">
        <w:rPr>
          <w:i/>
          <w:iCs/>
        </w:rPr>
        <w:t>Sheen</w:t>
      </w:r>
      <w:r w:rsidR="00932528">
        <w:t xml:space="preserve">, </w:t>
      </w:r>
      <w:r w:rsidR="00932528" w:rsidRPr="001D5D66">
        <w:rPr>
          <w:i/>
          <w:iCs/>
        </w:rPr>
        <w:t>supra</w:t>
      </w:r>
      <w:r w:rsidR="00932528">
        <w:t>, 12</w:t>
      </w:r>
      <w:r w:rsidR="00F23F40">
        <w:t> </w:t>
      </w:r>
      <w:r w:rsidR="00932528">
        <w:t>Cal.5th at p. 922</w:t>
      </w:r>
      <w:r w:rsidR="00A439FA">
        <w:t xml:space="preserve">, citing </w:t>
      </w:r>
      <w:r w:rsidR="00A439FA" w:rsidRPr="0087641B">
        <w:rPr>
          <w:i/>
          <w:iCs/>
        </w:rPr>
        <w:t>Robinson</w:t>
      </w:r>
      <w:r w:rsidR="00A439FA">
        <w:t xml:space="preserve">, </w:t>
      </w:r>
      <w:r w:rsidR="00A439FA" w:rsidRPr="0087641B">
        <w:rPr>
          <w:i/>
          <w:iCs/>
        </w:rPr>
        <w:t>supra</w:t>
      </w:r>
      <w:r w:rsidR="00A439FA">
        <w:t xml:space="preserve">, </w:t>
      </w:r>
      <w:r w:rsidR="0087641B">
        <w:t>34</w:t>
      </w:r>
      <w:r w:rsidR="00EA38EF">
        <w:t> </w:t>
      </w:r>
      <w:r w:rsidR="0087641B">
        <w:t>Cal.4th at p. 988, and other cases</w:t>
      </w:r>
      <w:r w:rsidR="003A2D8D">
        <w:t>.)</w:t>
      </w:r>
      <w:r w:rsidR="00557561">
        <w:t xml:space="preserve">  </w:t>
      </w:r>
      <w:r w:rsidR="00B81F41">
        <w:t xml:space="preserve">The Restatement states this form of the economic loss rule </w:t>
      </w:r>
      <w:r w:rsidR="007259EC">
        <w:t>as follows</w:t>
      </w:r>
      <w:r w:rsidR="00B81F41">
        <w:t xml:space="preserve">: </w:t>
      </w:r>
      <w:r w:rsidR="007259EC">
        <w:t xml:space="preserve"> </w:t>
      </w:r>
      <w:r w:rsidR="00B81F41">
        <w:t>“</w:t>
      </w:r>
      <w:r w:rsidR="008D54EB">
        <w:t>[T]</w:t>
      </w:r>
      <w:r w:rsidR="00B81F41">
        <w:t xml:space="preserve">here is no liability in tort for economic loss caused by negligence in the performance or negotiation of a contract between the parties.” </w:t>
      </w:r>
      <w:r w:rsidR="008D54EB">
        <w:t xml:space="preserve"> </w:t>
      </w:r>
      <w:r w:rsidR="00B81F41">
        <w:t>(Rest.3d Torts, Liability for Economic Harm</w:t>
      </w:r>
      <w:r w:rsidR="00610315">
        <w:t>,</w:t>
      </w:r>
      <w:r w:rsidR="00B81F41">
        <w:t xml:space="preserve"> §</w:t>
      </w:r>
      <w:r w:rsidR="00EA38EF">
        <w:t> </w:t>
      </w:r>
      <w:r w:rsidR="00B81F41">
        <w:t xml:space="preserve">3; </w:t>
      </w:r>
      <w:r w:rsidR="00351E13">
        <w:t xml:space="preserve">see </w:t>
      </w:r>
      <w:r w:rsidR="00B81F41" w:rsidRPr="00DF6C35">
        <w:rPr>
          <w:i/>
          <w:iCs/>
        </w:rPr>
        <w:t>Sheen</w:t>
      </w:r>
      <w:r w:rsidR="00B81F41">
        <w:t xml:space="preserve">, </w:t>
      </w:r>
      <w:r w:rsidR="00B81F41" w:rsidRPr="00DF6C35">
        <w:rPr>
          <w:i/>
          <w:iCs/>
        </w:rPr>
        <w:t>supra</w:t>
      </w:r>
      <w:r w:rsidR="00B81F41">
        <w:t>, at p.</w:t>
      </w:r>
      <w:r w:rsidR="00EA38EF">
        <w:t> </w:t>
      </w:r>
      <w:r w:rsidR="00B81F41">
        <w:t>923.)</w:t>
      </w:r>
    </w:p>
    <w:p w14:paraId="5A13287B" w14:textId="226C2CC2" w:rsidR="005C4507" w:rsidRDefault="00D673FD" w:rsidP="00F945DB">
      <w:r>
        <w:t>T</w:t>
      </w:r>
      <w:r w:rsidR="00D827D7">
        <w:t>he</w:t>
      </w:r>
      <w:r w:rsidR="0047569D">
        <w:t xml:space="preserve"> </w:t>
      </w:r>
      <w:r w:rsidR="00D827D7" w:rsidRPr="00D827D7">
        <w:rPr>
          <w:i/>
          <w:iCs/>
        </w:rPr>
        <w:t>Robinson</w:t>
      </w:r>
      <w:r w:rsidR="00D827D7">
        <w:t xml:space="preserve"> </w:t>
      </w:r>
      <w:r w:rsidR="00EB641F">
        <w:t xml:space="preserve">court </w:t>
      </w:r>
      <w:r w:rsidR="00D827D7">
        <w:t xml:space="preserve">explained:  </w:t>
      </w:r>
      <w:r w:rsidR="007E534F">
        <w:t>“ ‘ “ ‘[W]here a purchaser’s expectations in a sale are frustrated because the product he bought is not working properly, his remedy is said to be in contract alone, for he has suffered only “economic” losses.’ ”. . .</w:t>
      </w:r>
      <w:r w:rsidR="007961D5">
        <w:t xml:space="preserve">’  [Citation.]  </w:t>
      </w:r>
      <w:r w:rsidR="007E534F">
        <w:t>The economic loss rule requires a purchaser to recover in contract for purely economic loss due to disappointed expectations, unless he can demonstrate harm above and beyond a broken contractual promise.</w:t>
      </w:r>
      <w:r w:rsidR="00694471">
        <w:t xml:space="preserve">  [Citation.]</w:t>
      </w:r>
      <w:r w:rsidR="00D93E87">
        <w:t xml:space="preserve">  </w:t>
      </w:r>
      <w:r w:rsidR="004F38B0">
        <w:t>Quite simply, the economic loss rule ‘prevent[s] the law of contract and the law of tort from dissolving one into the other.’ ”</w:t>
      </w:r>
      <w:r w:rsidR="00395FB7">
        <w:t xml:space="preserve"> </w:t>
      </w:r>
      <w:r w:rsidR="00F20CD2">
        <w:t xml:space="preserve"> (</w:t>
      </w:r>
      <w:r w:rsidR="00F20CD2" w:rsidRPr="00F20CD2">
        <w:rPr>
          <w:i/>
          <w:iCs/>
        </w:rPr>
        <w:t>Robinson</w:t>
      </w:r>
      <w:r w:rsidR="00F20CD2">
        <w:t xml:space="preserve">, </w:t>
      </w:r>
      <w:r w:rsidR="00F20CD2" w:rsidRPr="00F20CD2">
        <w:rPr>
          <w:i/>
          <w:iCs/>
        </w:rPr>
        <w:t>supra</w:t>
      </w:r>
      <w:r w:rsidR="00F20CD2">
        <w:t>, 34</w:t>
      </w:r>
      <w:r w:rsidR="008C0981">
        <w:t> </w:t>
      </w:r>
      <w:r w:rsidR="00F20CD2">
        <w:t>Cal.4th at p. 988.)</w:t>
      </w:r>
    </w:p>
    <w:p w14:paraId="67E56A7B" w14:textId="2204B39A" w:rsidR="00D55BF9" w:rsidRDefault="00D673FD" w:rsidP="00D55BF9">
      <w:r>
        <w:t xml:space="preserve">The </w:t>
      </w:r>
      <w:r w:rsidRPr="009155D5">
        <w:rPr>
          <w:i/>
          <w:iCs/>
        </w:rPr>
        <w:t>Robinson</w:t>
      </w:r>
      <w:r>
        <w:t xml:space="preserve"> court also described instances where tort damages are permitted in contract cases.</w:t>
      </w:r>
      <w:r>
        <w:rPr>
          <w:rStyle w:val="FootnoteReference"/>
        </w:rPr>
        <w:footnoteReference w:id="4"/>
      </w:r>
      <w:r>
        <w:t xml:space="preserve">  “ ‘Tort damages have been permitted in contract </w:t>
      </w:r>
      <w:r>
        <w:lastRenderedPageBreak/>
        <w:t>cases where a breach of duty directly causes physical injury [citation]; for breach of the covenant of good faith and fai</w:t>
      </w:r>
      <w:r>
        <w:t>r dealing in insurance contracts [citation]; for wrongful discharge in violation of fundamental public policy [citation]; or where the contract was fraudulently induced.  [Citation.]’  [Citation.]  ‘[I]n each of these cases, the duty that gives rise to tor</w:t>
      </w:r>
      <w:r>
        <w:t xml:space="preserve">t liability is either completely independent of the contract or arises from conduct which is both intentional and intended to </w:t>
      </w:r>
      <w:r w:rsidRPr="00152778">
        <w:t>harm.’ ”  (</w:t>
      </w:r>
      <w:r w:rsidRPr="00152778">
        <w:rPr>
          <w:i/>
          <w:iCs/>
        </w:rPr>
        <w:t>Robinson</w:t>
      </w:r>
      <w:r>
        <w:t xml:space="preserve">, </w:t>
      </w:r>
      <w:r w:rsidRPr="008A4BA8">
        <w:rPr>
          <w:i/>
          <w:iCs/>
        </w:rPr>
        <w:t>supra</w:t>
      </w:r>
      <w:r>
        <w:t>, 34</w:t>
      </w:r>
      <w:r w:rsidR="005866AC">
        <w:t> </w:t>
      </w:r>
      <w:r>
        <w:t>Cal.4th at pp.</w:t>
      </w:r>
      <w:r w:rsidR="00817B25">
        <w:t> </w:t>
      </w:r>
      <w:r>
        <w:t>989</w:t>
      </w:r>
      <w:r w:rsidR="005866AC">
        <w:t>–</w:t>
      </w:r>
      <w:r>
        <w:t>990.)</w:t>
      </w:r>
    </w:p>
    <w:p w14:paraId="5FBBA5E1" w14:textId="7A83818B" w:rsidR="00350C77" w:rsidRDefault="00D673FD" w:rsidP="00F751CF">
      <w:r>
        <w:t xml:space="preserve">Here, the fraudulent inducement exception to the economic loss rule applies.  </w:t>
      </w:r>
      <w:r w:rsidR="00326EEF">
        <w:t>P</w:t>
      </w:r>
      <w:r w:rsidR="009D4546">
        <w:t>laintiffs allege</w:t>
      </w:r>
      <w:r w:rsidR="00157999">
        <w:t xml:space="preserve"> that</w:t>
      </w:r>
      <w:r w:rsidR="009D4546">
        <w:t xml:space="preserve"> </w:t>
      </w:r>
      <w:r w:rsidR="00EC0A6D">
        <w:t xml:space="preserve">Nissan, by </w:t>
      </w:r>
      <w:r w:rsidR="006C1096">
        <w:t xml:space="preserve">intentionally </w:t>
      </w:r>
      <w:r w:rsidR="00EC0A6D">
        <w:t>concealing</w:t>
      </w:r>
      <w:r w:rsidR="006C1096">
        <w:t xml:space="preserve"> facts about the defective transmission</w:t>
      </w:r>
      <w:r w:rsidR="00D44B06">
        <w:t>,</w:t>
      </w:r>
      <w:r w:rsidR="00EC0A6D">
        <w:t xml:space="preserve"> fraudulently induced them</w:t>
      </w:r>
      <w:r w:rsidR="00D44B06">
        <w:t xml:space="preserve"> </w:t>
      </w:r>
      <w:r w:rsidR="00906314">
        <w:t xml:space="preserve">to purchase </w:t>
      </w:r>
      <w:r w:rsidR="00B4519A">
        <w:t xml:space="preserve">a </w:t>
      </w:r>
      <w:r w:rsidR="00403B2C">
        <w:t>car</w:t>
      </w:r>
      <w:r w:rsidR="00B4519A">
        <w:t xml:space="preserve">. </w:t>
      </w:r>
      <w:r w:rsidR="007B3B4B">
        <w:t xml:space="preserve"> </w:t>
      </w:r>
      <w:r w:rsidR="007D0189">
        <w:t xml:space="preserve">Fraudulent inducement </w:t>
      </w:r>
      <w:r w:rsidR="003316DC">
        <w:t xml:space="preserve">is a viable tort claim under California law.  </w:t>
      </w:r>
      <w:r w:rsidR="00553E45">
        <w:t>“</w:t>
      </w:r>
      <w:r w:rsidR="00C340DC">
        <w:t xml:space="preserve">The elements of fraud are (a) a misrepresentation (false representation, concealment, or nondisclosure); (b) scienter or knowledge of its falsity; (c) intent to induce reliance; (d) justifiable reliance; and (e) resulting damage.  [Citations.]  </w:t>
      </w:r>
      <w:r w:rsidR="007B3B4B">
        <w:t xml:space="preserve">Fraud in the inducement is a subset of the tort of fraud. </w:t>
      </w:r>
      <w:r w:rsidR="00553E45">
        <w:t xml:space="preserve"> </w:t>
      </w:r>
      <w:r w:rsidR="007B3B4B">
        <w:t xml:space="preserve">It </w:t>
      </w:r>
      <w:r w:rsidR="00553E45">
        <w:t>‘</w:t>
      </w:r>
      <w:r w:rsidR="007B3B4B">
        <w:t xml:space="preserve">occurs when </w:t>
      </w:r>
      <w:r w:rsidR="00553E45">
        <w:t>“ ‘</w:t>
      </w:r>
      <w:r w:rsidR="007B3B4B">
        <w:t>the promisor knows what he is signing but his consent is induced by fraud, mutual assent is present and a contract is formed, which, by reason of the fraud, is voidable.</w:t>
      </w:r>
      <w:r w:rsidR="00553E45">
        <w:t>’ </w:t>
      </w:r>
      <w:r w:rsidR="007B3B4B">
        <w:t>”</w:t>
      </w:r>
      <w:r w:rsidR="00553E45">
        <w:t> </w:t>
      </w:r>
      <w:r w:rsidR="007B3B4B">
        <w:t>’</w:t>
      </w:r>
      <w:r w:rsidR="00553E45">
        <w:t> </w:t>
      </w:r>
      <w:r w:rsidR="007B3B4B">
        <w:t xml:space="preserve">” </w:t>
      </w:r>
      <w:r w:rsidR="00CB6255">
        <w:t xml:space="preserve"> (</w:t>
      </w:r>
      <w:r w:rsidR="007B3B4B" w:rsidRPr="00CB6255">
        <w:rPr>
          <w:i/>
          <w:iCs/>
        </w:rPr>
        <w:t>Hinesley v. Oakshade Town C</w:t>
      </w:r>
      <w:r w:rsidR="00CB6255" w:rsidRPr="00CB6255">
        <w:rPr>
          <w:i/>
          <w:iCs/>
        </w:rPr>
        <w:t>en</w:t>
      </w:r>
      <w:r w:rsidR="007B3B4B" w:rsidRPr="00CB6255">
        <w:rPr>
          <w:i/>
          <w:iCs/>
        </w:rPr>
        <w:t>t</w:t>
      </w:r>
      <w:r w:rsidR="00CB6255" w:rsidRPr="00CB6255">
        <w:rPr>
          <w:i/>
          <w:iCs/>
        </w:rPr>
        <w:t>e</w:t>
      </w:r>
      <w:r w:rsidR="007B3B4B" w:rsidRPr="00CB6255">
        <w:rPr>
          <w:i/>
          <w:iCs/>
        </w:rPr>
        <w:t>r</w:t>
      </w:r>
      <w:r w:rsidR="007B3B4B">
        <w:t xml:space="preserve"> </w:t>
      </w:r>
      <w:r w:rsidR="00CB6255">
        <w:t xml:space="preserve">(2005) </w:t>
      </w:r>
      <w:r w:rsidR="007B3B4B">
        <w:t>135</w:t>
      </w:r>
      <w:r w:rsidR="009A189C">
        <w:t> </w:t>
      </w:r>
      <w:r w:rsidR="007B3B4B">
        <w:t>Cal.App.4th 289, 294–</w:t>
      </w:r>
      <w:r w:rsidR="00CB6255">
        <w:t>2</w:t>
      </w:r>
      <w:r w:rsidR="007B3B4B">
        <w:t>95</w:t>
      </w:r>
      <w:r w:rsidR="00CB6255">
        <w:t xml:space="preserve">; </w:t>
      </w:r>
      <w:r w:rsidR="007B6FC6">
        <w:t xml:space="preserve">accord, </w:t>
      </w:r>
      <w:r w:rsidR="007B6FC6" w:rsidRPr="007B6FC6">
        <w:rPr>
          <w:i/>
          <w:iCs/>
        </w:rPr>
        <w:t>Geraghty v. Shalizi</w:t>
      </w:r>
      <w:r w:rsidR="007B6FC6">
        <w:t xml:space="preserve"> (2017) 8</w:t>
      </w:r>
      <w:r w:rsidR="009A189C">
        <w:t> </w:t>
      </w:r>
      <w:r w:rsidR="007B6FC6">
        <w:t>Cal.App.5th 593, 597</w:t>
      </w:r>
      <w:r>
        <w:t>.</w:t>
      </w:r>
      <w:r w:rsidR="00F751CF">
        <w:t>)</w:t>
      </w:r>
    </w:p>
    <w:p w14:paraId="7887BA02" w14:textId="5570B890" w:rsidR="00C54F61" w:rsidRDefault="00D673FD" w:rsidP="00D55BF9">
      <w:r>
        <w:t>To hold</w:t>
      </w:r>
      <w:r w:rsidR="00B62E50">
        <w:t xml:space="preserve">, at the demurrer stage, that plaintiffs’ </w:t>
      </w:r>
      <w:r w:rsidR="00903B6E">
        <w:t xml:space="preserve">fraud </w:t>
      </w:r>
      <w:r w:rsidR="001F4774">
        <w:t xml:space="preserve">claim is barred </w:t>
      </w:r>
      <w:r>
        <w:t>by the economic loss rule</w:t>
      </w:r>
      <w:r w:rsidR="000A5F08">
        <w:t xml:space="preserve">, we would need to conclude, as Nissan urges us to do, </w:t>
      </w:r>
      <w:r w:rsidR="000A5F08">
        <w:lastRenderedPageBreak/>
        <w:t xml:space="preserve">that </w:t>
      </w:r>
      <w:r w:rsidR="00F3488F">
        <w:t>(1)</w:t>
      </w:r>
      <w:r w:rsidR="0047318D">
        <w:t> </w:t>
      </w:r>
      <w:r w:rsidR="00224EA9">
        <w:t xml:space="preserve">despite the Supreme Court’s statement in </w:t>
      </w:r>
      <w:r w:rsidR="00224EA9" w:rsidRPr="00224EA9">
        <w:rPr>
          <w:i/>
          <w:iCs/>
        </w:rPr>
        <w:t>Robinson</w:t>
      </w:r>
      <w:r w:rsidR="00224EA9">
        <w:t>, there is no</w:t>
      </w:r>
      <w:r w:rsidR="00A40483">
        <w:t xml:space="preserve"> exception to the economic loss rule for fraudulent inducement claims</w:t>
      </w:r>
      <w:r w:rsidR="00A52207">
        <w:t xml:space="preserve"> (or at least no exception that encompasses </w:t>
      </w:r>
      <w:r w:rsidR="005D1F1F">
        <w:t xml:space="preserve">the claim </w:t>
      </w:r>
      <w:r w:rsidR="00A52207">
        <w:t>plaintiffs</w:t>
      </w:r>
      <w:r w:rsidR="005D1F1F">
        <w:t xml:space="preserve"> </w:t>
      </w:r>
      <w:r w:rsidR="00CF44A8">
        <w:t>allege in the SAC</w:t>
      </w:r>
      <w:r w:rsidR="00A52207">
        <w:t>)</w:t>
      </w:r>
      <w:r w:rsidR="0047318D">
        <w:t>,</w:t>
      </w:r>
      <w:r w:rsidR="00E619F6">
        <w:t xml:space="preserve"> </w:t>
      </w:r>
      <w:r w:rsidR="004B65DD">
        <w:t>or</w:t>
      </w:r>
      <w:r w:rsidR="00F37311">
        <w:t> </w:t>
      </w:r>
      <w:r w:rsidR="004B65DD">
        <w:t>(2) </w:t>
      </w:r>
      <w:r w:rsidR="0047318D">
        <w:t>plaintiffs have not adequately pleaded a claim for fraudulent inducement under California law (a question we address in pt</w:t>
      </w:r>
      <w:r w:rsidR="00DF2A3F">
        <w:t>.</w:t>
      </w:r>
      <w:r w:rsidR="00D81558">
        <w:t> </w:t>
      </w:r>
      <w:r w:rsidR="00DF2A3F">
        <w:t>II.C</w:t>
      </w:r>
      <w:r w:rsidR="00E5367E">
        <w:t>.</w:t>
      </w:r>
      <w:r w:rsidR="0047318D">
        <w:t xml:space="preserve">, </w:t>
      </w:r>
      <w:r w:rsidR="0047318D" w:rsidRPr="00E5367E">
        <w:rPr>
          <w:i/>
          <w:iCs/>
        </w:rPr>
        <w:t>post</w:t>
      </w:r>
      <w:r w:rsidR="0047318D">
        <w:t>)</w:t>
      </w:r>
      <w:r w:rsidR="004B65DD">
        <w:t xml:space="preserve">. </w:t>
      </w:r>
      <w:r w:rsidR="00345066">
        <w:t xml:space="preserve"> </w:t>
      </w:r>
      <w:r>
        <w:t xml:space="preserve">We reject both arguments and conclude the economic loss rule does not bar plaintiffs’ </w:t>
      </w:r>
      <w:r>
        <w:t>claim.</w:t>
      </w:r>
    </w:p>
    <w:p w14:paraId="70E46DDA" w14:textId="22165702" w:rsidR="00E74176" w:rsidRDefault="00D673FD" w:rsidP="00FF7ACF">
      <w:r>
        <w:t xml:space="preserve">Nissan contends that, under </w:t>
      </w:r>
      <w:r w:rsidRPr="00472F7C">
        <w:rPr>
          <w:i/>
          <w:iCs/>
        </w:rPr>
        <w:t>Robinson</w:t>
      </w:r>
      <w:r>
        <w:t xml:space="preserve">, </w:t>
      </w:r>
      <w:r w:rsidR="009078C2">
        <w:t>fraud claims between contracting parties “</w:t>
      </w:r>
      <w:r w:rsidR="00FF7ACF">
        <w:t>can proceed only if they are truly independent of the contract and involve affirmative misrepresentations,”</w:t>
      </w:r>
      <w:r w:rsidR="006C3B38">
        <w:t xml:space="preserve"> and that plaintiffs’ fraud claim </w:t>
      </w:r>
      <w:r w:rsidR="001D6B8F">
        <w:t xml:space="preserve">(based on concealment) </w:t>
      </w:r>
      <w:r w:rsidR="006C3B38">
        <w:t xml:space="preserve">does not satisfy either condition. </w:t>
      </w:r>
      <w:r w:rsidR="00F709A7">
        <w:t xml:space="preserve"> The trial court </w:t>
      </w:r>
      <w:r w:rsidR="00F05C95">
        <w:t xml:space="preserve">applied the same two requirements, holding </w:t>
      </w:r>
      <w:r w:rsidR="00EB5CD8">
        <w:t xml:space="preserve">plaintiffs’ fraud claim was barred because </w:t>
      </w:r>
      <w:r w:rsidR="00AC3FB3">
        <w:t xml:space="preserve">it involved concealment (rather than affirmative misrepresentations) and </w:t>
      </w:r>
      <w:r w:rsidR="005561C0">
        <w:t xml:space="preserve">because plaintiffs </w:t>
      </w:r>
      <w:r w:rsidR="00E65772">
        <w:t xml:space="preserve">did not allege damages independent of </w:t>
      </w:r>
      <w:r w:rsidR="005561C0">
        <w:t>their economic loss.</w:t>
      </w:r>
    </w:p>
    <w:p w14:paraId="4E888A8B" w14:textId="2DFB530A" w:rsidR="00A7621F" w:rsidRDefault="00D673FD" w:rsidP="00FF7ACF">
      <w:r>
        <w:t>We do not agree</w:t>
      </w:r>
      <w:r w:rsidR="003C0DE0">
        <w:t xml:space="preserve"> with the trial court’s and Nissan’s reading </w:t>
      </w:r>
      <w:r w:rsidR="00737119">
        <w:t xml:space="preserve">and application </w:t>
      </w:r>
      <w:r w:rsidR="003C0DE0">
        <w:t xml:space="preserve">of </w:t>
      </w:r>
      <w:r w:rsidR="003C0DE0" w:rsidRPr="003C0DE0">
        <w:rPr>
          <w:i/>
          <w:iCs/>
        </w:rPr>
        <w:t>Robinson</w:t>
      </w:r>
      <w:r w:rsidR="003C0DE0">
        <w:t>.</w:t>
      </w:r>
      <w:r w:rsidR="00E74176">
        <w:t xml:space="preserve">  </w:t>
      </w:r>
      <w:r w:rsidR="00E74176" w:rsidRPr="00F43E2A">
        <w:rPr>
          <w:i/>
          <w:iCs/>
        </w:rPr>
        <w:t>Robinson</w:t>
      </w:r>
      <w:r w:rsidR="00E74176">
        <w:t xml:space="preserve"> did not</w:t>
      </w:r>
      <w:r w:rsidR="00F43E2A">
        <w:t xml:space="preserve"> hold that any claims for fraudulent inducement are barred by the economic loss rule.</w:t>
      </w:r>
      <w:r w:rsidR="003B6302">
        <w:t xml:space="preserve">  </w:t>
      </w:r>
      <w:r w:rsidR="00B800FA">
        <w:t>Quite the contrary</w:t>
      </w:r>
      <w:r w:rsidR="00E847E1">
        <w:t xml:space="preserve">, </w:t>
      </w:r>
      <w:r w:rsidR="003B6302">
        <w:t xml:space="preserve">the </w:t>
      </w:r>
      <w:r w:rsidR="00BE422C" w:rsidRPr="00BE422C">
        <w:rPr>
          <w:i/>
          <w:iCs/>
        </w:rPr>
        <w:t>Robinson</w:t>
      </w:r>
      <w:r w:rsidR="00BE422C">
        <w:t xml:space="preserve"> </w:t>
      </w:r>
      <w:r w:rsidR="003B6302">
        <w:t xml:space="preserve">court </w:t>
      </w:r>
      <w:r w:rsidR="00BE422C">
        <w:t xml:space="preserve">affirmed that tort damages </w:t>
      </w:r>
      <w:r w:rsidR="00BE422C" w:rsidRPr="00E847E1">
        <w:rPr>
          <w:i/>
          <w:iCs/>
        </w:rPr>
        <w:t>are</w:t>
      </w:r>
      <w:r w:rsidR="00BE422C">
        <w:t xml:space="preserve"> available in contract cases where the contract was fraudulently induced</w:t>
      </w:r>
      <w:r w:rsidR="00A94954">
        <w:t xml:space="preserve">.  </w:t>
      </w:r>
      <w:r w:rsidR="00451D4D">
        <w:t>(</w:t>
      </w:r>
      <w:r w:rsidR="00451D4D" w:rsidRPr="00191F26">
        <w:rPr>
          <w:i/>
          <w:iCs/>
        </w:rPr>
        <w:t>Robinson</w:t>
      </w:r>
      <w:r w:rsidR="00451D4D">
        <w:t xml:space="preserve">, </w:t>
      </w:r>
      <w:r w:rsidR="00451D4D" w:rsidRPr="00191F26">
        <w:rPr>
          <w:i/>
          <w:iCs/>
        </w:rPr>
        <w:t>supra</w:t>
      </w:r>
      <w:r w:rsidR="00451D4D">
        <w:t xml:space="preserve">, </w:t>
      </w:r>
      <w:r w:rsidR="00191F26">
        <w:t>34</w:t>
      </w:r>
      <w:r w:rsidR="004C2959">
        <w:t> </w:t>
      </w:r>
      <w:r w:rsidR="00191F26">
        <w:t>Cal.4th at pp. 989</w:t>
      </w:r>
      <w:r w:rsidR="004C2959">
        <w:t>–</w:t>
      </w:r>
      <w:r w:rsidR="00191F26">
        <w:t>990.)</w:t>
      </w:r>
      <w:r w:rsidR="00E847E1">
        <w:t xml:space="preserve">  The </w:t>
      </w:r>
      <w:r w:rsidR="00352214" w:rsidRPr="00352214">
        <w:rPr>
          <w:i/>
          <w:iCs/>
        </w:rPr>
        <w:t>Robinson</w:t>
      </w:r>
      <w:r w:rsidR="00352214">
        <w:t xml:space="preserve"> </w:t>
      </w:r>
      <w:r w:rsidR="00E847E1">
        <w:t xml:space="preserve">court then addressed </w:t>
      </w:r>
      <w:r w:rsidR="006B3F0E">
        <w:t xml:space="preserve">the fraud claims </w:t>
      </w:r>
      <w:r w:rsidR="00352214">
        <w:t xml:space="preserve">that were </w:t>
      </w:r>
      <w:r w:rsidR="002A3E32">
        <w:t>presented</w:t>
      </w:r>
      <w:r w:rsidR="00352214">
        <w:t xml:space="preserve"> </w:t>
      </w:r>
      <w:r w:rsidR="006B3F0E">
        <w:t xml:space="preserve">in </w:t>
      </w:r>
      <w:r w:rsidR="00BC1CE8">
        <w:t xml:space="preserve">that case, involving </w:t>
      </w:r>
      <w:r w:rsidR="002A3E32">
        <w:t xml:space="preserve">alleged </w:t>
      </w:r>
      <w:r w:rsidR="008F3FAA">
        <w:t xml:space="preserve">fraud (both </w:t>
      </w:r>
      <w:r w:rsidR="00544C33">
        <w:t xml:space="preserve">affirmative </w:t>
      </w:r>
      <w:r w:rsidR="00BC1CE8">
        <w:t xml:space="preserve">misrepresentations and </w:t>
      </w:r>
      <w:r w:rsidR="008F3FAA">
        <w:t xml:space="preserve">intentional </w:t>
      </w:r>
      <w:r w:rsidR="00BC1CE8">
        <w:t>concealment</w:t>
      </w:r>
      <w:r w:rsidR="008F3FAA">
        <w:t>) that occurred</w:t>
      </w:r>
      <w:r w:rsidR="00BC1CE8">
        <w:t xml:space="preserve"> </w:t>
      </w:r>
      <w:r w:rsidR="00BC1CE8" w:rsidRPr="008F3FAA">
        <w:rPr>
          <w:i/>
          <w:iCs/>
        </w:rPr>
        <w:t>during the performance</w:t>
      </w:r>
      <w:r w:rsidR="00BC1CE8">
        <w:t xml:space="preserve"> of a contract</w:t>
      </w:r>
      <w:r w:rsidR="00AE579C">
        <w:t>—</w:t>
      </w:r>
      <w:r w:rsidR="002203CC">
        <w:t xml:space="preserve">Dana, </w:t>
      </w:r>
      <w:r w:rsidR="00AE579C">
        <w:t>a supplier of helicopter parts</w:t>
      </w:r>
      <w:r w:rsidR="00A5674B">
        <w:t xml:space="preserve"> </w:t>
      </w:r>
      <w:r w:rsidR="00E87C76">
        <w:t>(1) </w:t>
      </w:r>
      <w:r w:rsidR="00AE579C">
        <w:t xml:space="preserve">provided false </w:t>
      </w:r>
      <w:r w:rsidR="00A529B2">
        <w:t>“</w:t>
      </w:r>
      <w:r w:rsidR="00AE579C">
        <w:t>certificates of conformance</w:t>
      </w:r>
      <w:r w:rsidR="00A529B2">
        <w:t xml:space="preserve">” </w:t>
      </w:r>
      <w:r w:rsidR="006B2E9F">
        <w:t xml:space="preserve">to the manufacturer </w:t>
      </w:r>
      <w:r w:rsidR="002203CC">
        <w:t xml:space="preserve">(Robinson) </w:t>
      </w:r>
      <w:r w:rsidR="00A529B2">
        <w:t xml:space="preserve">stating the parts </w:t>
      </w:r>
      <w:r w:rsidR="009E433C">
        <w:t xml:space="preserve">conformed </w:t>
      </w:r>
      <w:r w:rsidR="00D85716">
        <w:t xml:space="preserve">to </w:t>
      </w:r>
      <w:r w:rsidR="00057C74">
        <w:t>contractual requirements</w:t>
      </w:r>
      <w:r w:rsidR="00AE579C">
        <w:t xml:space="preserve"> </w:t>
      </w:r>
      <w:r w:rsidR="0038054B">
        <w:t xml:space="preserve">and </w:t>
      </w:r>
      <w:r w:rsidR="00E87C76">
        <w:lastRenderedPageBreak/>
        <w:t>(2) </w:t>
      </w:r>
      <w:r w:rsidR="000E20A0">
        <w:t xml:space="preserve">allegedly </w:t>
      </w:r>
      <w:r w:rsidR="0038054B">
        <w:t xml:space="preserve">concealed </w:t>
      </w:r>
      <w:r w:rsidR="000E20A0">
        <w:t>information about the parts</w:t>
      </w:r>
      <w:r w:rsidR="00BC1CE8">
        <w:t>.</w:t>
      </w:r>
      <w:r w:rsidR="002A3E32">
        <w:t xml:space="preserve">  (</w:t>
      </w:r>
      <w:r w:rsidR="002A3E32" w:rsidRPr="002A3E32">
        <w:rPr>
          <w:i/>
          <w:iCs/>
        </w:rPr>
        <w:t>Id.</w:t>
      </w:r>
      <w:r w:rsidR="002A3E32">
        <w:t xml:space="preserve"> at p. </w:t>
      </w:r>
      <w:r w:rsidR="00ED672D">
        <w:t>990</w:t>
      </w:r>
      <w:r w:rsidR="004024FD">
        <w:t xml:space="preserve">; see </w:t>
      </w:r>
      <w:r w:rsidR="004024FD" w:rsidRPr="004024FD">
        <w:rPr>
          <w:i/>
          <w:iCs/>
        </w:rPr>
        <w:t>id.</w:t>
      </w:r>
      <w:r w:rsidR="004024FD">
        <w:t xml:space="preserve"> at p</w:t>
      </w:r>
      <w:r w:rsidR="00786BFC">
        <w:t>p</w:t>
      </w:r>
      <w:r w:rsidR="004024FD">
        <w:t>. </w:t>
      </w:r>
      <w:r w:rsidR="00786BFC">
        <w:t>986</w:t>
      </w:r>
      <w:r w:rsidR="004C2959">
        <w:t>–</w:t>
      </w:r>
      <w:r w:rsidR="008D0CF3">
        <w:t>987</w:t>
      </w:r>
      <w:r w:rsidR="00ED672D">
        <w:t>.)</w:t>
      </w:r>
    </w:p>
    <w:p w14:paraId="4815EF84" w14:textId="76460C05" w:rsidR="008C62BD" w:rsidRDefault="00D673FD" w:rsidP="008C62BD">
      <w:r>
        <w:t xml:space="preserve">As to those claims, the court </w:t>
      </w:r>
      <w:r w:rsidR="007637A7">
        <w:t xml:space="preserve">focused on </w:t>
      </w:r>
      <w:r w:rsidR="002203CC">
        <w:t>Robinson’s</w:t>
      </w:r>
      <w:r w:rsidR="00E87C76">
        <w:t xml:space="preserve"> </w:t>
      </w:r>
      <w:r w:rsidR="00A44FB9">
        <w:t xml:space="preserve">“fraud and misrepresentation claim </w:t>
      </w:r>
      <w:r w:rsidR="00B53B83">
        <w:t xml:space="preserve">based on </w:t>
      </w:r>
      <w:r w:rsidR="002203CC">
        <w:t>Dana’s</w:t>
      </w:r>
      <w:r w:rsidR="0000707E">
        <w:t xml:space="preserve"> provision of </w:t>
      </w:r>
      <w:r w:rsidR="00B53B83">
        <w:t>the false certificates of conformance.</w:t>
      </w:r>
      <w:r w:rsidR="0000707E">
        <w:t>”</w:t>
      </w:r>
      <w:r w:rsidR="00B53B83">
        <w:t xml:space="preserve">  (</w:t>
      </w:r>
      <w:r w:rsidR="00B53B83" w:rsidRPr="00A44FB9">
        <w:rPr>
          <w:i/>
          <w:iCs/>
        </w:rPr>
        <w:t>Robinson</w:t>
      </w:r>
      <w:r w:rsidR="00B53B83">
        <w:t xml:space="preserve">, </w:t>
      </w:r>
      <w:r w:rsidR="00B53B83" w:rsidRPr="00A44FB9">
        <w:rPr>
          <w:i/>
          <w:iCs/>
        </w:rPr>
        <w:t>supra</w:t>
      </w:r>
      <w:r w:rsidR="00B53B83">
        <w:t>, 34</w:t>
      </w:r>
      <w:r w:rsidR="004C2959">
        <w:t> </w:t>
      </w:r>
      <w:r w:rsidR="00B53B83">
        <w:t xml:space="preserve">Cal.4th at </w:t>
      </w:r>
      <w:r w:rsidR="00A44FB9">
        <w:t>p. 990.)</w:t>
      </w:r>
      <w:r w:rsidR="009A491C">
        <w:t xml:space="preserve">  The court concluded </w:t>
      </w:r>
      <w:r w:rsidR="003B6629">
        <w:t xml:space="preserve">this tortious conduct “was separate from” </w:t>
      </w:r>
      <w:r w:rsidR="002203CC">
        <w:t>Dana’s</w:t>
      </w:r>
      <w:r w:rsidR="003B6629">
        <w:t xml:space="preserve"> breach of contract, which </w:t>
      </w:r>
      <w:r w:rsidR="009822CC">
        <w:t xml:space="preserve">involved its provision of the nonconforming parts.  </w:t>
      </w:r>
      <w:r w:rsidR="004A20EB">
        <w:t>(</w:t>
      </w:r>
      <w:r w:rsidR="004A20EB" w:rsidRPr="004A20EB">
        <w:rPr>
          <w:i/>
          <w:iCs/>
        </w:rPr>
        <w:t>Id.</w:t>
      </w:r>
      <w:r w:rsidR="004A20EB">
        <w:t xml:space="preserve"> at p. 991.)  </w:t>
      </w:r>
      <w:r w:rsidR="002E10D7">
        <w:t xml:space="preserve">In addition, </w:t>
      </w:r>
      <w:r w:rsidR="002203CC">
        <w:t>Dana’s</w:t>
      </w:r>
      <w:r w:rsidR="00E540C3">
        <w:t xml:space="preserve"> provision of faulty parts exposed </w:t>
      </w:r>
      <w:r w:rsidR="002203CC">
        <w:t>Robinson</w:t>
      </w:r>
      <w:r w:rsidR="00E540C3">
        <w:t xml:space="preserve"> to liability for personal damages if a helicopter crashed</w:t>
      </w:r>
      <w:r w:rsidR="008277E5">
        <w:t>.  (</w:t>
      </w:r>
      <w:r w:rsidR="008277E5">
        <w:rPr>
          <w:i/>
        </w:rPr>
        <w:t>Ibid.</w:t>
      </w:r>
      <w:r w:rsidR="008277E5">
        <w:t xml:space="preserve">)  </w:t>
      </w:r>
      <w:r w:rsidR="00022990">
        <w:t>T</w:t>
      </w:r>
      <w:r w:rsidR="005B3C95">
        <w:t xml:space="preserve">he court </w:t>
      </w:r>
      <w:r w:rsidR="00022990">
        <w:t xml:space="preserve">thus </w:t>
      </w:r>
      <w:r w:rsidR="00170AB4">
        <w:t>held</w:t>
      </w:r>
      <w:r w:rsidR="005322AC">
        <w:t xml:space="preserve"> that </w:t>
      </w:r>
      <w:r w:rsidR="00C04384">
        <w:t>“</w:t>
      </w:r>
      <w:r w:rsidR="005B3C95">
        <w:t xml:space="preserve">the economic loss </w:t>
      </w:r>
      <w:r w:rsidR="00155D13">
        <w:t xml:space="preserve">rule </w:t>
      </w:r>
      <w:r w:rsidR="00C04384">
        <w:t>does not bar Robinson</w:t>
      </w:r>
      <w:r w:rsidR="00E9772C">
        <w:t>’</w:t>
      </w:r>
      <w:r w:rsidR="00C04384">
        <w:t>s fraud and intentional misrepresentation claims because they were independent of Dana</w:t>
      </w:r>
      <w:r w:rsidR="00E9772C">
        <w:t>’</w:t>
      </w:r>
      <w:r w:rsidR="00C04384">
        <w:t>s breach of contract.</w:t>
      </w:r>
      <w:r w:rsidR="00E9772C">
        <w:t xml:space="preserve">”  </w:t>
      </w:r>
      <w:r w:rsidR="008E5F67">
        <w:t>(</w:t>
      </w:r>
      <w:r w:rsidR="008E5F67">
        <w:rPr>
          <w:i/>
        </w:rPr>
        <w:t>Ibid.</w:t>
      </w:r>
      <w:r w:rsidR="008E5F67">
        <w:t>)</w:t>
      </w:r>
      <w:r w:rsidR="00D26B97">
        <w:t xml:space="preserve">  And “[b]ecause </w:t>
      </w:r>
      <w:r>
        <w:t xml:space="preserve">Dana’s affirmative intentional </w:t>
      </w:r>
      <w:r>
        <w:t>misrepresentations of fact (i.e., the issuance of the false certificates of conformance) are dispositive fraudulent conduct related to the performance of the contract,</w:t>
      </w:r>
      <w:r w:rsidR="00AD6705">
        <w:t xml:space="preserve">” the court stated that </w:t>
      </w:r>
      <w:r w:rsidR="00D20C3D">
        <w:t>“</w:t>
      </w:r>
      <w:r>
        <w:t>we need not address the issue of whether Dana</w:t>
      </w:r>
      <w:r w:rsidR="00D20C3D">
        <w:t>’</w:t>
      </w:r>
      <w:r>
        <w:t>s intentional conc</w:t>
      </w:r>
      <w:r>
        <w:t>ealment constitutes an independent tort.</w:t>
      </w:r>
      <w:r w:rsidR="00D20C3D">
        <w:t>”</w:t>
      </w:r>
      <w:r>
        <w:rPr>
          <w:rStyle w:val="FootnoteReference"/>
        </w:rPr>
        <w:footnoteReference w:id="5"/>
      </w:r>
      <w:r w:rsidR="00D20C3D">
        <w:t xml:space="preserve">  </w:t>
      </w:r>
      <w:r w:rsidR="007D42AD">
        <w:t>(</w:t>
      </w:r>
      <w:r w:rsidR="007D42AD" w:rsidRPr="000E0DDE">
        <w:rPr>
          <w:i/>
          <w:iCs/>
        </w:rPr>
        <w:t>Robinson</w:t>
      </w:r>
      <w:r w:rsidR="007D42AD">
        <w:t>, at p.</w:t>
      </w:r>
      <w:r w:rsidR="00DD00F3">
        <w:t> </w:t>
      </w:r>
      <w:r w:rsidR="000022A6">
        <w:t>991</w:t>
      </w:r>
      <w:r w:rsidR="00D20C3D">
        <w:t>.)</w:t>
      </w:r>
      <w:r w:rsidR="00EA0B2D">
        <w:t xml:space="preserve"> </w:t>
      </w:r>
    </w:p>
    <w:p w14:paraId="04E4E76E" w14:textId="5E8347DC" w:rsidR="00853522" w:rsidRDefault="00D673FD" w:rsidP="00853522">
      <w:r>
        <w:t>T</w:t>
      </w:r>
      <w:r w:rsidR="00CB35F8">
        <w:t xml:space="preserve">he </w:t>
      </w:r>
      <w:r w:rsidR="00CB35F8" w:rsidRPr="00B35C66">
        <w:rPr>
          <w:i/>
          <w:iCs/>
        </w:rPr>
        <w:t>Robinson</w:t>
      </w:r>
      <w:r w:rsidR="00CB35F8">
        <w:t xml:space="preserve"> court explained </w:t>
      </w:r>
      <w:r w:rsidR="00250D98">
        <w:t xml:space="preserve">that </w:t>
      </w:r>
      <w:r w:rsidR="00A8204D">
        <w:t xml:space="preserve">its holding was strongly supported by </w:t>
      </w:r>
      <w:r w:rsidR="00250D98">
        <w:t>California</w:t>
      </w:r>
      <w:r w:rsidR="00AF00C1">
        <w:t>’s</w:t>
      </w:r>
      <w:r w:rsidR="00250D98">
        <w:t xml:space="preserve"> public policy</w:t>
      </w:r>
      <w:r w:rsidR="00AF00C1">
        <w:t xml:space="preserve"> </w:t>
      </w:r>
      <w:r w:rsidR="00C30AB5">
        <w:t xml:space="preserve">favoring the </w:t>
      </w:r>
      <w:r w:rsidR="00804879">
        <w:t>punish</w:t>
      </w:r>
      <w:r w:rsidR="00C30AB5">
        <w:t>ment</w:t>
      </w:r>
      <w:r w:rsidR="00804879">
        <w:t xml:space="preserve"> and deter</w:t>
      </w:r>
      <w:r w:rsidR="00C30AB5">
        <w:t>rence of</w:t>
      </w:r>
      <w:r w:rsidR="00804879">
        <w:t xml:space="preserve"> fraud.  (</w:t>
      </w:r>
      <w:r w:rsidR="00804879" w:rsidRPr="00804879">
        <w:rPr>
          <w:i/>
          <w:iCs/>
        </w:rPr>
        <w:t>Robinson</w:t>
      </w:r>
      <w:r w:rsidR="00804879">
        <w:t xml:space="preserve">, </w:t>
      </w:r>
      <w:r w:rsidR="00804879" w:rsidRPr="00804879">
        <w:rPr>
          <w:i/>
          <w:iCs/>
        </w:rPr>
        <w:t>supra</w:t>
      </w:r>
      <w:r w:rsidR="00804879">
        <w:t>, 34</w:t>
      </w:r>
      <w:r w:rsidR="003A0A12">
        <w:t> </w:t>
      </w:r>
      <w:r w:rsidR="00804879">
        <w:t>Cal.4th at pp. 991</w:t>
      </w:r>
      <w:r w:rsidR="003A0A12">
        <w:t>–</w:t>
      </w:r>
      <w:r w:rsidR="00804879">
        <w:t>992.)</w:t>
      </w:r>
      <w:r w:rsidR="00C30AB5">
        <w:t xml:space="preserve">  The court rejected </w:t>
      </w:r>
      <w:r w:rsidR="007D13C4">
        <w:t xml:space="preserve">Dana’s </w:t>
      </w:r>
      <w:r w:rsidR="007D13C4">
        <w:lastRenderedPageBreak/>
        <w:t xml:space="preserve">argument that </w:t>
      </w:r>
      <w:r w:rsidR="009C1666">
        <w:t xml:space="preserve">a breach of </w:t>
      </w:r>
      <w:r w:rsidR="007D13C4">
        <w:t xml:space="preserve">contract </w:t>
      </w:r>
      <w:r w:rsidR="009C1666">
        <w:t xml:space="preserve">remedy was sufficient, noting </w:t>
      </w:r>
      <w:r w:rsidR="00536A73">
        <w:t xml:space="preserve">that, while contracting parties </w:t>
      </w:r>
      <w:r w:rsidR="00C54338">
        <w:t xml:space="preserve">generally </w:t>
      </w:r>
      <w:r w:rsidR="00300117">
        <w:t>can agree to allocate their risks</w:t>
      </w:r>
      <w:r w:rsidR="00C54338">
        <w:t>, benefits,</w:t>
      </w:r>
      <w:r w:rsidR="00300117">
        <w:t xml:space="preserve"> and obligations as they see fit, </w:t>
      </w:r>
      <w:r>
        <w:t xml:space="preserve">“ ‘[a] party to a contract </w:t>
      </w:r>
      <w:r>
        <w:t>cannot rationally calculate the possibility that the other party will deliberately misrepresent terms critical to that contract.’  [Citation.]  No rational party would enter into a contract anticipating that they are or will be lied to.”</w:t>
      </w:r>
      <w:r w:rsidR="00523549">
        <w:t xml:space="preserve">  (</w:t>
      </w:r>
      <w:r w:rsidR="00523549" w:rsidRPr="00523549">
        <w:rPr>
          <w:i/>
          <w:iCs/>
        </w:rPr>
        <w:t>Id.</w:t>
      </w:r>
      <w:r w:rsidR="00523549">
        <w:t xml:space="preserve"> at p. 993.)</w:t>
      </w:r>
    </w:p>
    <w:p w14:paraId="37603F53" w14:textId="1542330C" w:rsidR="003D15E7" w:rsidRDefault="00D673FD" w:rsidP="003D15E7">
      <w:r>
        <w:t xml:space="preserve">Finally, the </w:t>
      </w:r>
      <w:r w:rsidRPr="003D15E7">
        <w:rPr>
          <w:i/>
          <w:iCs/>
        </w:rPr>
        <w:t>Robinson</w:t>
      </w:r>
      <w:r>
        <w:t xml:space="preserve"> court </w:t>
      </w:r>
      <w:r w:rsidR="00AF4849">
        <w:t xml:space="preserve">noted </w:t>
      </w:r>
      <w:r w:rsidR="005578C5">
        <w:t xml:space="preserve">its holding was </w:t>
      </w:r>
      <w:r w:rsidR="00B37820">
        <w:t>“</w:t>
      </w:r>
      <w:r w:rsidR="005578C5">
        <w:t>narrow</w:t>
      </w:r>
      <w:r w:rsidR="005B2CE7">
        <w:t>,</w:t>
      </w:r>
      <w:r w:rsidR="00B37820">
        <w:t>”</w:t>
      </w:r>
      <w:r w:rsidR="005B2CE7">
        <w:t xml:space="preserve"> in part because it had only reached the question whether Robinson’s affirmative misrepresentation claims</w:t>
      </w:r>
      <w:r w:rsidR="00B37820">
        <w:t xml:space="preserve"> were viable. </w:t>
      </w:r>
      <w:r w:rsidR="005578C5">
        <w:t xml:space="preserve"> </w:t>
      </w:r>
      <w:r w:rsidR="00F32D58">
        <w:t>(</w:t>
      </w:r>
      <w:r w:rsidR="00F32D58" w:rsidRPr="00F32D58">
        <w:rPr>
          <w:i/>
          <w:iCs/>
        </w:rPr>
        <w:t>Robinson</w:t>
      </w:r>
      <w:r w:rsidR="00F32D58">
        <w:t xml:space="preserve">, </w:t>
      </w:r>
      <w:r w:rsidR="00F32D58" w:rsidRPr="00F32D58">
        <w:rPr>
          <w:i/>
          <w:iCs/>
        </w:rPr>
        <w:t>supra</w:t>
      </w:r>
      <w:r w:rsidR="00F32D58">
        <w:t>, 34</w:t>
      </w:r>
      <w:r w:rsidR="003A0A12">
        <w:t> </w:t>
      </w:r>
      <w:r w:rsidR="00F32D58">
        <w:t xml:space="preserve">Cal.4th at p. 993.)  </w:t>
      </w:r>
      <w:r w:rsidR="00B37820">
        <w:t>The court stated:  “</w:t>
      </w:r>
      <w:r>
        <w:t>Nor do we belie</w:t>
      </w:r>
      <w:r>
        <w:t xml:space="preserve">ve that our decision will open the floodgates to future litigation. </w:t>
      </w:r>
      <w:r w:rsidR="00924154">
        <w:t xml:space="preserve"> </w:t>
      </w:r>
      <w:r>
        <w:t>Our holding today is narrow in scope and limited to a defendant</w:t>
      </w:r>
      <w:r w:rsidR="00B37820">
        <w:t>’</w:t>
      </w:r>
      <w:r>
        <w:t>s affirmative misrepresentations on which a plaintiff relies and which expose a plaintiff to liability for personal damages</w:t>
      </w:r>
      <w:r>
        <w:t xml:space="preserve"> independent of the plaintif</w:t>
      </w:r>
      <w:r w:rsidRPr="003A0A12">
        <w:rPr>
          <w:spacing w:val="20"/>
        </w:rPr>
        <w:t>f</w:t>
      </w:r>
      <w:r w:rsidR="00924154">
        <w:t>’</w:t>
      </w:r>
      <w:r>
        <w:t xml:space="preserve">s economic loss. </w:t>
      </w:r>
      <w:r w:rsidR="00924154">
        <w:t xml:space="preserve"> </w:t>
      </w:r>
      <w:r>
        <w:t xml:space="preserve">In addition, </w:t>
      </w:r>
      <w:r w:rsidR="00924154">
        <w:t>‘</w:t>
      </w:r>
      <w:r>
        <w:t>[i]n California, fraud must be pled specifically; general and conclusory allegations do not suffice</w:t>
      </w:r>
      <w:r w:rsidRPr="0072141A">
        <w:t>.</w:t>
      </w:r>
      <w:r w:rsidR="00A20C23" w:rsidRPr="0072141A">
        <w:t xml:space="preserve">  [Citations</w:t>
      </w:r>
      <w:r w:rsidR="007C04FB" w:rsidRPr="0072141A">
        <w:t>.</w:t>
      </w:r>
      <w:r w:rsidR="00BF6EF7" w:rsidRPr="0072141A">
        <w:t>]</w:t>
      </w:r>
      <w:r w:rsidR="00C52BEE" w:rsidRPr="0072141A">
        <w:t>’</w:t>
      </w:r>
      <w:r w:rsidR="00E952F8" w:rsidRPr="0072141A">
        <w:t xml:space="preserve"> .</w:t>
      </w:r>
      <w:r w:rsidR="003A0A12" w:rsidRPr="0072141A">
        <w:t> </w:t>
      </w:r>
      <w:r w:rsidR="00E952F8" w:rsidRPr="0072141A">
        <w:t>.</w:t>
      </w:r>
      <w:r w:rsidR="003A0A12" w:rsidRPr="0072141A">
        <w:t> </w:t>
      </w:r>
      <w:r w:rsidR="00E952F8" w:rsidRPr="0072141A">
        <w:t xml:space="preserve">. </w:t>
      </w:r>
      <w:r w:rsidRPr="0072141A">
        <w:t>We trust</w:t>
      </w:r>
      <w:r>
        <w:t xml:space="preserve"> the trial courts of this state to enforce this pleading requirement.</w:t>
      </w:r>
      <w:r w:rsidR="001C7776">
        <w:t>”</w:t>
      </w:r>
      <w:r w:rsidR="00FC6206">
        <w:t xml:space="preserve">  (</w:t>
      </w:r>
      <w:r w:rsidR="00FC6206">
        <w:rPr>
          <w:i/>
        </w:rPr>
        <w:t>Ibid.</w:t>
      </w:r>
      <w:r w:rsidR="00FC6206">
        <w:t>)</w:t>
      </w:r>
    </w:p>
    <w:p w14:paraId="60FF5720" w14:textId="332B832D" w:rsidR="00091B00" w:rsidRDefault="00D673FD" w:rsidP="009C1D79">
      <w:r w:rsidRPr="0023636E">
        <w:t xml:space="preserve">Applying </w:t>
      </w:r>
      <w:r w:rsidRPr="0023636E">
        <w:rPr>
          <w:i/>
        </w:rPr>
        <w:t>Robinson</w:t>
      </w:r>
      <w:r w:rsidRPr="0023636E">
        <w:t xml:space="preserve"> here (and cognizant that </w:t>
      </w:r>
      <w:r w:rsidR="00C848DF" w:rsidRPr="0023636E">
        <w:t xml:space="preserve">our Supreme Court may soon provide </w:t>
      </w:r>
      <w:r w:rsidRPr="0023636E">
        <w:t>additional guidance),</w:t>
      </w:r>
      <w:r w:rsidR="00E96EFF" w:rsidRPr="0023636E">
        <w:t xml:space="preserve"> we conclude plaintiffs’ claim for fraudulent inducement by concealment is not </w:t>
      </w:r>
      <w:r w:rsidR="00B64136" w:rsidRPr="0023636E">
        <w:t xml:space="preserve">subject to demurrer on the ground it is </w:t>
      </w:r>
      <w:r w:rsidR="00E96EFF" w:rsidRPr="0023636E">
        <w:t xml:space="preserve">barred by the economic loss rule.  </w:t>
      </w:r>
      <w:r w:rsidR="006A1094" w:rsidRPr="0023636E">
        <w:rPr>
          <w:rFonts w:cs="Times New Roman"/>
          <w:i/>
          <w:color w:val="000000"/>
          <w:sz w:val="27"/>
          <w:szCs w:val="27"/>
        </w:rPr>
        <w:t>Robinson</w:t>
      </w:r>
      <w:r w:rsidR="006A1094" w:rsidRPr="0023636E">
        <w:rPr>
          <w:rFonts w:cs="Times New Roman"/>
          <w:color w:val="000000"/>
          <w:sz w:val="27"/>
          <w:szCs w:val="27"/>
        </w:rPr>
        <w:t xml:space="preserve"> left undecided whether </w:t>
      </w:r>
      <w:r w:rsidR="0061214A" w:rsidRPr="0023636E">
        <w:rPr>
          <w:rFonts w:cs="Times New Roman"/>
          <w:color w:val="000000"/>
          <w:sz w:val="27"/>
          <w:szCs w:val="27"/>
        </w:rPr>
        <w:t xml:space="preserve">concealment-based claims </w:t>
      </w:r>
      <w:r w:rsidR="00D11CC5" w:rsidRPr="0023636E">
        <w:rPr>
          <w:rFonts w:cs="Times New Roman"/>
          <w:color w:val="000000"/>
          <w:sz w:val="27"/>
          <w:szCs w:val="27"/>
        </w:rPr>
        <w:t xml:space="preserve">are </w:t>
      </w:r>
      <w:r w:rsidR="00C70C5F" w:rsidRPr="0023636E">
        <w:rPr>
          <w:rFonts w:cs="Times New Roman"/>
          <w:color w:val="000000"/>
          <w:sz w:val="27"/>
          <w:szCs w:val="27"/>
        </w:rPr>
        <w:t>barred by the economic loss rule.</w:t>
      </w:r>
      <w:r w:rsidR="00F46EA5">
        <w:rPr>
          <w:rFonts w:cs="Times New Roman"/>
          <w:color w:val="000000"/>
          <w:sz w:val="27"/>
          <w:szCs w:val="27"/>
        </w:rPr>
        <w:t xml:space="preserve"> </w:t>
      </w:r>
      <w:r w:rsidR="00D11CC5" w:rsidRPr="0023636E">
        <w:rPr>
          <w:rFonts w:cs="Times New Roman"/>
          <w:color w:val="000000"/>
          <w:sz w:val="27"/>
          <w:szCs w:val="27"/>
        </w:rPr>
        <w:t xml:space="preserve"> What follows from its analysis</w:t>
      </w:r>
      <w:r w:rsidR="00AA0284" w:rsidRPr="0023636E">
        <w:rPr>
          <w:rFonts w:cs="Times New Roman"/>
          <w:color w:val="000000"/>
          <w:sz w:val="27"/>
          <w:szCs w:val="27"/>
        </w:rPr>
        <w:t xml:space="preserve">, however, is that </w:t>
      </w:r>
      <w:r w:rsidR="00D11CC5" w:rsidRPr="0023636E">
        <w:rPr>
          <w:rFonts w:cs="Times New Roman"/>
          <w:color w:val="000000"/>
          <w:sz w:val="27"/>
          <w:szCs w:val="27"/>
        </w:rPr>
        <w:t xml:space="preserve">concealment-based claims for fraudulent inducement are </w:t>
      </w:r>
      <w:r w:rsidR="00E45F3D" w:rsidRPr="0023636E">
        <w:rPr>
          <w:rFonts w:cs="Times New Roman"/>
          <w:color w:val="000000"/>
          <w:sz w:val="27"/>
          <w:szCs w:val="27"/>
        </w:rPr>
        <w:t xml:space="preserve">not </w:t>
      </w:r>
      <w:r w:rsidR="00D11CC5" w:rsidRPr="0023636E">
        <w:rPr>
          <w:rFonts w:cs="Times New Roman"/>
          <w:color w:val="000000"/>
          <w:sz w:val="27"/>
          <w:szCs w:val="27"/>
        </w:rPr>
        <w:t xml:space="preserve">barred by the economic loss rule.  The reasoning in </w:t>
      </w:r>
      <w:r w:rsidR="00D11CC5" w:rsidRPr="0023636E">
        <w:rPr>
          <w:rFonts w:cs="Times New Roman"/>
          <w:i/>
          <w:iCs/>
          <w:color w:val="000000"/>
          <w:sz w:val="27"/>
          <w:szCs w:val="27"/>
        </w:rPr>
        <w:t>Robinson</w:t>
      </w:r>
      <w:r w:rsidR="00AA0284" w:rsidRPr="0023636E">
        <w:rPr>
          <w:rFonts w:cs="Times New Roman"/>
          <w:i/>
          <w:color w:val="000000"/>
          <w:sz w:val="27"/>
          <w:szCs w:val="27"/>
        </w:rPr>
        <w:t xml:space="preserve"> </w:t>
      </w:r>
      <w:r w:rsidR="00AA0284" w:rsidRPr="0023636E">
        <w:rPr>
          <w:rFonts w:cs="Times New Roman"/>
          <w:color w:val="000000"/>
          <w:sz w:val="27"/>
          <w:szCs w:val="27"/>
        </w:rPr>
        <w:t xml:space="preserve">affirmatively places fraudulent inducement by concealment outside the coverage of the economic loss rule.  </w:t>
      </w:r>
      <w:r w:rsidR="00D11CC5" w:rsidRPr="0023636E">
        <w:rPr>
          <w:rFonts w:cs="Times New Roman"/>
          <w:color w:val="000000"/>
          <w:sz w:val="27"/>
          <w:szCs w:val="27"/>
        </w:rPr>
        <w:t>We now</w:t>
      </w:r>
      <w:r w:rsidR="0066200D" w:rsidRPr="0023636E">
        <w:rPr>
          <w:rFonts w:cs="Times New Roman"/>
          <w:color w:val="000000"/>
          <w:sz w:val="27"/>
          <w:szCs w:val="27"/>
        </w:rPr>
        <w:t xml:space="preserve"> hold that the economic loss rule does not cover such claims.  </w:t>
      </w:r>
      <w:r w:rsidR="0016288F" w:rsidRPr="0023636E">
        <w:t>First, a</w:t>
      </w:r>
      <w:r w:rsidR="00E96EFF" w:rsidRPr="0023636E">
        <w:t xml:space="preserve">s discussed, </w:t>
      </w:r>
      <w:r w:rsidR="00E96EFF" w:rsidRPr="0023636E">
        <w:rPr>
          <w:i/>
        </w:rPr>
        <w:lastRenderedPageBreak/>
        <w:t>Robinson</w:t>
      </w:r>
      <w:r w:rsidR="00E96EFF" w:rsidRPr="0023636E">
        <w:t xml:space="preserve"> </w:t>
      </w:r>
      <w:r w:rsidR="00745833" w:rsidRPr="0023636E">
        <w:t xml:space="preserve">identified </w:t>
      </w:r>
      <w:r w:rsidR="00E96EFF" w:rsidRPr="0023636E">
        <w:t>fraudulent inducement</w:t>
      </w:r>
      <w:r w:rsidR="00745833" w:rsidRPr="0023636E">
        <w:t xml:space="preserve"> as an existing exception to the economic loss rule, before it proceeded to analyze </w:t>
      </w:r>
      <w:r w:rsidR="00D30CE7" w:rsidRPr="0023636E">
        <w:t xml:space="preserve">the particular claims </w:t>
      </w:r>
      <w:r w:rsidR="00C4004F" w:rsidRPr="0023636E">
        <w:t xml:space="preserve">at issue in that case </w:t>
      </w:r>
      <w:r w:rsidR="00D30CE7" w:rsidRPr="0023636E">
        <w:t xml:space="preserve">relating to fraud during the performance of a contract.  </w:t>
      </w:r>
      <w:r w:rsidR="006C384B" w:rsidRPr="0023636E">
        <w:t>(</w:t>
      </w:r>
      <w:r w:rsidR="006C384B" w:rsidRPr="0023636E">
        <w:rPr>
          <w:i/>
        </w:rPr>
        <w:t>Robinson</w:t>
      </w:r>
      <w:r w:rsidR="006C384B" w:rsidRPr="0023636E">
        <w:t xml:space="preserve">, </w:t>
      </w:r>
      <w:r w:rsidR="006C384B" w:rsidRPr="0023636E">
        <w:rPr>
          <w:i/>
        </w:rPr>
        <w:t>supra</w:t>
      </w:r>
      <w:r w:rsidR="006C384B" w:rsidRPr="0023636E">
        <w:t>, 34</w:t>
      </w:r>
      <w:r w:rsidR="00EE35AE" w:rsidRPr="0023636E">
        <w:t> </w:t>
      </w:r>
      <w:r w:rsidR="006C384B" w:rsidRPr="0023636E">
        <w:t>Cal.4th at pp. 989</w:t>
      </w:r>
      <w:r w:rsidR="00EE35AE" w:rsidRPr="0023636E">
        <w:t>–</w:t>
      </w:r>
      <w:r w:rsidR="006C384B" w:rsidRPr="0023636E">
        <w:t>990.)</w:t>
      </w:r>
      <w:r w:rsidR="00CF1E7F" w:rsidRPr="0023636E">
        <w:t xml:space="preserve">  </w:t>
      </w:r>
      <w:r w:rsidR="00DD18B8" w:rsidRPr="0023636E">
        <w:t>For</w:t>
      </w:r>
      <w:r w:rsidR="009C1D79" w:rsidRPr="0023636E">
        <w:t xml:space="preserve"> f</w:t>
      </w:r>
      <w:r w:rsidR="004C6748" w:rsidRPr="0023636E">
        <w:t xml:space="preserve">raudulent inducement and the other </w:t>
      </w:r>
      <w:r w:rsidR="00D57A71" w:rsidRPr="0023636E">
        <w:t>existing exceptions</w:t>
      </w:r>
      <w:r w:rsidR="004C6748" w:rsidRPr="0023636E">
        <w:t xml:space="preserve"> listed in </w:t>
      </w:r>
      <w:r w:rsidR="004C6748" w:rsidRPr="0023636E">
        <w:rPr>
          <w:i/>
        </w:rPr>
        <w:t>Robinson</w:t>
      </w:r>
      <w:r w:rsidR="009C1D79" w:rsidRPr="0023636E">
        <w:t xml:space="preserve">, </w:t>
      </w:r>
      <w:r w:rsidR="00D1088D" w:rsidRPr="0023636E">
        <w:t>“ ‘</w:t>
      </w:r>
      <w:r w:rsidR="009C1D79" w:rsidRPr="0023636E">
        <w:t>the duty that gives rise to tort liability is either completely independent of the contract or arises from conduct which is both intentional and intended to harm.</w:t>
      </w:r>
      <w:r w:rsidR="00D1088D" w:rsidRPr="0023636E">
        <w:t>’ ”</w:t>
      </w:r>
      <w:r w:rsidR="00F66632" w:rsidRPr="0023636E">
        <w:t xml:space="preserve">  (</w:t>
      </w:r>
      <w:r w:rsidR="00F66632" w:rsidRPr="0023636E">
        <w:rPr>
          <w:i/>
        </w:rPr>
        <w:t>Id.</w:t>
      </w:r>
      <w:r w:rsidR="00F66632" w:rsidRPr="0023636E">
        <w:t xml:space="preserve"> at p. 990.)</w:t>
      </w:r>
    </w:p>
    <w:p w14:paraId="48AA8164" w14:textId="1D319CE8" w:rsidR="003025A8" w:rsidRDefault="00D673FD" w:rsidP="003025A8">
      <w:r>
        <w:t>In our view, t</w:t>
      </w:r>
      <w:r w:rsidR="00CD2F3B">
        <w:t xml:space="preserve">hat </w:t>
      </w:r>
      <w:r w:rsidR="00DD18B8">
        <w:t xml:space="preserve">independence </w:t>
      </w:r>
      <w:r w:rsidR="00CD2F3B">
        <w:t xml:space="preserve">is </w:t>
      </w:r>
      <w:r w:rsidR="00DD18B8">
        <w:t>present in the case of</w:t>
      </w:r>
      <w:r w:rsidR="00CD2F3B">
        <w:t xml:space="preserve"> </w:t>
      </w:r>
      <w:r w:rsidR="002E3359">
        <w:t xml:space="preserve">fraudulent inducement (whether </w:t>
      </w:r>
      <w:r>
        <w:t xml:space="preserve">it is achieved </w:t>
      </w:r>
      <w:r w:rsidR="002E3359">
        <w:t xml:space="preserve">by </w:t>
      </w:r>
      <w:r w:rsidR="00EB215C">
        <w:t xml:space="preserve">intentional </w:t>
      </w:r>
      <w:r w:rsidR="002E3359">
        <w:t xml:space="preserve">concealment or by </w:t>
      </w:r>
      <w:r w:rsidR="00EB215C">
        <w:t xml:space="preserve">intentional </w:t>
      </w:r>
      <w:r w:rsidR="002E3359">
        <w:t>affirmative misrepresentations)</w:t>
      </w:r>
      <w:r w:rsidR="00CC360A">
        <w:t>, because</w:t>
      </w:r>
      <w:r w:rsidR="000C305B">
        <w:t xml:space="preserve"> </w:t>
      </w:r>
      <w:r w:rsidR="00AB3D69">
        <w:t>a defendant’s</w:t>
      </w:r>
      <w:r w:rsidR="000C305B">
        <w:t xml:space="preserve"> conduct in fraudulently inducing </w:t>
      </w:r>
      <w:r w:rsidR="0035162E">
        <w:t xml:space="preserve">someone to enter a contract is separate from </w:t>
      </w:r>
      <w:r w:rsidR="00AB3D69">
        <w:t xml:space="preserve">the defendant’s </w:t>
      </w:r>
      <w:r w:rsidR="0035162E">
        <w:t xml:space="preserve">later breach of </w:t>
      </w:r>
      <w:r w:rsidR="00F2077F">
        <w:t xml:space="preserve">the </w:t>
      </w:r>
      <w:r w:rsidR="0035162E">
        <w:t>contract or warranty</w:t>
      </w:r>
      <w:r w:rsidR="00F2077F">
        <w:t xml:space="preserve"> provisions that were agreed to</w:t>
      </w:r>
      <w:r w:rsidR="0035162E">
        <w:t>.</w:t>
      </w:r>
      <w:r w:rsidR="00E82D04">
        <w:t xml:space="preserve">  In </w:t>
      </w:r>
      <w:r w:rsidR="00E82D04" w:rsidRPr="00E82D04">
        <w:rPr>
          <w:i/>
          <w:iCs/>
        </w:rPr>
        <w:t>Anderson</w:t>
      </w:r>
      <w:r w:rsidR="00E82D04">
        <w:t xml:space="preserve">, </w:t>
      </w:r>
      <w:r w:rsidR="00E82D04" w:rsidRPr="00E82D04">
        <w:rPr>
          <w:i/>
          <w:iCs/>
        </w:rPr>
        <w:t>supra</w:t>
      </w:r>
      <w:r w:rsidR="00E82D04">
        <w:t>, 74</w:t>
      </w:r>
      <w:r w:rsidR="00EE35AE">
        <w:t> </w:t>
      </w:r>
      <w:r w:rsidR="00E82D04">
        <w:t xml:space="preserve">Cal.App.5th </w:t>
      </w:r>
      <w:r w:rsidR="00203040">
        <w:t xml:space="preserve">946, the Court of Appeal </w:t>
      </w:r>
      <w:r w:rsidR="00636B44">
        <w:t>contrasted t</w:t>
      </w:r>
      <w:r w:rsidR="006C147C">
        <w:t>hese two types of conduct</w:t>
      </w:r>
      <w:r w:rsidR="00203040">
        <w:t>, although not in the context of determining the applicability of the economic loss rule.</w:t>
      </w:r>
      <w:r w:rsidR="006C147C">
        <w:t xml:space="preserve">  </w:t>
      </w:r>
      <w:r w:rsidR="007344F8">
        <w:t>(</w:t>
      </w:r>
      <w:r w:rsidR="007344F8" w:rsidRPr="007344F8">
        <w:rPr>
          <w:i/>
          <w:iCs/>
        </w:rPr>
        <w:t>Id.</w:t>
      </w:r>
      <w:r w:rsidR="007344F8">
        <w:t xml:space="preserve"> at pp. 966</w:t>
      </w:r>
      <w:r w:rsidR="00EE35AE">
        <w:t>–</w:t>
      </w:r>
      <w:r w:rsidR="007344F8">
        <w:t xml:space="preserve">967.)  </w:t>
      </w:r>
      <w:r w:rsidR="006C147C">
        <w:t xml:space="preserve">In </w:t>
      </w:r>
      <w:r w:rsidR="006C147C" w:rsidRPr="006C147C">
        <w:rPr>
          <w:i/>
          <w:iCs/>
        </w:rPr>
        <w:t>Anderson</w:t>
      </w:r>
      <w:r w:rsidR="006C147C">
        <w:t xml:space="preserve">, </w:t>
      </w:r>
      <w:r w:rsidR="00D755D9">
        <w:t xml:space="preserve">after purchasing a </w:t>
      </w:r>
      <w:r w:rsidR="00A71B1E">
        <w:t>pickup truck that</w:t>
      </w:r>
      <w:r w:rsidR="00D755D9">
        <w:t xml:space="preserve"> </w:t>
      </w:r>
      <w:r w:rsidR="00EC5E47">
        <w:t xml:space="preserve">turned out to be </w:t>
      </w:r>
      <w:r w:rsidR="00D755D9">
        <w:t xml:space="preserve">defective, </w:t>
      </w:r>
      <w:r w:rsidR="006C147C">
        <w:t xml:space="preserve">the plaintiffs </w:t>
      </w:r>
      <w:r w:rsidR="003C6BA2">
        <w:t xml:space="preserve">sued Ford and </w:t>
      </w:r>
      <w:r w:rsidR="006C147C">
        <w:t xml:space="preserve">prevailed at trial on </w:t>
      </w:r>
      <w:r w:rsidR="00F14E73">
        <w:t xml:space="preserve">both a Song-Beverly Act </w:t>
      </w:r>
      <w:r w:rsidR="00A71B1E">
        <w:t xml:space="preserve">warranty </w:t>
      </w:r>
      <w:r w:rsidR="00F14E73">
        <w:t>cause of action and a cause</w:t>
      </w:r>
      <w:r w:rsidR="00A71B1E">
        <w:t xml:space="preserve"> of action </w:t>
      </w:r>
      <w:r w:rsidR="00A71B1E" w:rsidRPr="00FA10F1">
        <w:t xml:space="preserve">for </w:t>
      </w:r>
      <w:r w:rsidR="00170508" w:rsidRPr="00FA10F1">
        <w:t>“</w:t>
      </w:r>
      <w:r w:rsidR="00A71B1E" w:rsidRPr="00FA10F1">
        <w:t xml:space="preserve">fraud </w:t>
      </w:r>
      <w:r w:rsidR="00170508" w:rsidRPr="00FA10F1">
        <w:t>in the inducement—concealment</w:t>
      </w:r>
      <w:r w:rsidR="007C02BD" w:rsidRPr="00FA10F1">
        <w:t>.</w:t>
      </w:r>
      <w:r w:rsidR="00170508" w:rsidRPr="00FA10F1">
        <w:t>”  (</w:t>
      </w:r>
      <w:r w:rsidR="00170508" w:rsidRPr="00FA10F1">
        <w:rPr>
          <w:i/>
        </w:rPr>
        <w:t>Id.</w:t>
      </w:r>
      <w:r w:rsidR="00170508" w:rsidRPr="00FA10F1">
        <w:t xml:space="preserve"> at p. </w:t>
      </w:r>
      <w:r w:rsidR="003C6BA2" w:rsidRPr="00FA10F1">
        <w:t>950.)</w:t>
      </w:r>
    </w:p>
    <w:p w14:paraId="18891351" w14:textId="42C7A919" w:rsidR="00BA6A95" w:rsidRDefault="00D673FD" w:rsidP="00BA6A95">
      <w:r>
        <w:t>On appeal, Ford argued the plaintiffs could not recover both a</w:t>
      </w:r>
      <w:r>
        <w:t xml:space="preserve"> statutory civil penalty under the Song-Beverly Act </w:t>
      </w:r>
      <w:r w:rsidR="007A3A82">
        <w:t xml:space="preserve">and punitive damages (the latter being based on the fraud claim and a claim under the Consumers Legal Remedies </w:t>
      </w:r>
      <w:r w:rsidR="007A3A82" w:rsidRPr="004011CB">
        <w:t>Act</w:t>
      </w:r>
      <w:r w:rsidR="00C246DC" w:rsidRPr="004011CB">
        <w:t xml:space="preserve"> (CLRA) (Civ</w:t>
      </w:r>
      <w:r w:rsidR="00C246DC">
        <w:t>. Code, § 1750 et seq.))</w:t>
      </w:r>
      <w:r w:rsidR="00BF5CEF">
        <w:t xml:space="preserve">; Ford argued both awards were based on </w:t>
      </w:r>
      <w:r w:rsidR="00D365D6">
        <w:t xml:space="preserve">“ ‘substantially </w:t>
      </w:r>
      <w:r w:rsidR="005F1AB7">
        <w:t>the same conduct.</w:t>
      </w:r>
      <w:r w:rsidR="00D365D6">
        <w:t>’ ”</w:t>
      </w:r>
      <w:r w:rsidR="005F1AB7">
        <w:t xml:space="preserve">  </w:t>
      </w:r>
      <w:r w:rsidR="005248FF">
        <w:t>(</w:t>
      </w:r>
      <w:r w:rsidR="005248FF" w:rsidRPr="005248FF">
        <w:rPr>
          <w:i/>
          <w:iCs/>
        </w:rPr>
        <w:t>Anderson</w:t>
      </w:r>
      <w:r w:rsidR="005248FF">
        <w:t xml:space="preserve">, </w:t>
      </w:r>
      <w:r w:rsidR="005248FF" w:rsidRPr="005248FF">
        <w:rPr>
          <w:i/>
          <w:iCs/>
        </w:rPr>
        <w:t>supra</w:t>
      </w:r>
      <w:r w:rsidR="005248FF">
        <w:t xml:space="preserve">, </w:t>
      </w:r>
      <w:r w:rsidR="0084708D">
        <w:t>74</w:t>
      </w:r>
      <w:r w:rsidR="009A331F">
        <w:t> </w:t>
      </w:r>
      <w:r w:rsidR="0084708D">
        <w:t xml:space="preserve">Cal.App.5th </w:t>
      </w:r>
      <w:r w:rsidR="005248FF">
        <w:t>at pp. 950</w:t>
      </w:r>
      <w:r w:rsidR="00590BD3">
        <w:t xml:space="preserve">; </w:t>
      </w:r>
      <w:r w:rsidR="00590BD3" w:rsidRPr="00590BD3">
        <w:rPr>
          <w:i/>
          <w:iCs/>
        </w:rPr>
        <w:t>id</w:t>
      </w:r>
      <w:r w:rsidR="00590BD3">
        <w:t>. at pp. </w:t>
      </w:r>
      <w:r w:rsidR="00A1562D">
        <w:t xml:space="preserve">961, </w:t>
      </w:r>
      <w:r w:rsidR="00ED0051">
        <w:t>966.)</w:t>
      </w:r>
      <w:r w:rsidR="003025A8">
        <w:t xml:space="preserve">  The appellate court disagreed and explained </w:t>
      </w:r>
      <w:r w:rsidR="00A66BB7">
        <w:t xml:space="preserve">that </w:t>
      </w:r>
      <w:r w:rsidR="009D4E35">
        <w:t>“</w:t>
      </w:r>
      <w:r w:rsidR="0063782B">
        <w:t xml:space="preserve">the punitive damages and </w:t>
      </w:r>
      <w:r w:rsidR="009D4E35">
        <w:t xml:space="preserve">statutory penalties were based </w:t>
      </w:r>
      <w:r w:rsidR="009D4E35">
        <w:lastRenderedPageBreak/>
        <w:t>on different conduct that took place at different times.</w:t>
      </w:r>
      <w:r w:rsidR="00414ED0">
        <w:t xml:space="preserve">  T</w:t>
      </w:r>
      <w:r w:rsidR="00965477">
        <w:t xml:space="preserve">he punitive damages were based on conduct underlying the </w:t>
      </w:r>
      <w:r w:rsidR="00965477" w:rsidRPr="004011CB">
        <w:t>fraud/CLRA causes</w:t>
      </w:r>
      <w:r w:rsidR="00965477">
        <w:t xml:space="preserve"> of action and took place before the sale.  The civil penalty was based on </w:t>
      </w:r>
      <w:r w:rsidR="00965477" w:rsidRPr="00B20038">
        <w:t xml:space="preserve">defendant’s postsale </w:t>
      </w:r>
      <w:r w:rsidR="00965477">
        <w:t xml:space="preserve">failure to comply with its Song-Beverly Act obligations to replace the vehicle or make restitution when reasonable attempts to repair had failed.” </w:t>
      </w:r>
      <w:r w:rsidR="00965477" w:rsidRPr="00443D5B">
        <w:t xml:space="preserve"> </w:t>
      </w:r>
      <w:r w:rsidR="00965477">
        <w:t>(</w:t>
      </w:r>
      <w:r w:rsidR="00965477">
        <w:rPr>
          <w:i/>
        </w:rPr>
        <w:t>Id.</w:t>
      </w:r>
      <w:r w:rsidR="00965477">
        <w:t xml:space="preserve"> at p. 966.)</w:t>
      </w:r>
    </w:p>
    <w:p w14:paraId="43B2E46E" w14:textId="2E876B5B" w:rsidR="00BA6A95" w:rsidRDefault="00D673FD" w:rsidP="00BA6A95">
      <w:r>
        <w:t xml:space="preserve">Similarly, here, </w:t>
      </w:r>
      <w:r w:rsidR="00563472">
        <w:t>plaintiffs</w:t>
      </w:r>
      <w:r w:rsidR="00650F50">
        <w:t>’ fraudulent inducement claim</w:t>
      </w:r>
      <w:r w:rsidR="00563472">
        <w:t xml:space="preserve"> </w:t>
      </w:r>
      <w:r w:rsidR="00563472" w:rsidRPr="00B20038">
        <w:t>allege</w:t>
      </w:r>
      <w:r w:rsidR="00650F50" w:rsidRPr="00B20038">
        <w:t>s</w:t>
      </w:r>
      <w:r w:rsidR="00563472" w:rsidRPr="00B20038">
        <w:t xml:space="preserve"> presale </w:t>
      </w:r>
      <w:r w:rsidR="00563472">
        <w:t xml:space="preserve">conduct by Nissan </w:t>
      </w:r>
      <w:r w:rsidR="008C19F4">
        <w:t xml:space="preserve">(concealment) </w:t>
      </w:r>
      <w:r w:rsidR="00650F50">
        <w:t xml:space="preserve">that </w:t>
      </w:r>
      <w:r w:rsidR="008C19F4">
        <w:t xml:space="preserve">is distinct from </w:t>
      </w:r>
      <w:r w:rsidR="00894D47">
        <w:t xml:space="preserve">Nissan’s alleged subsequent </w:t>
      </w:r>
      <w:r w:rsidR="008C19F4">
        <w:t>conduct</w:t>
      </w:r>
      <w:r w:rsidR="00EE0445">
        <w:t xml:space="preserve"> in breaching its warranty obligations. </w:t>
      </w:r>
      <w:r w:rsidR="0039501E">
        <w:t xml:space="preserve"> </w:t>
      </w:r>
      <w:r w:rsidR="009E5F19">
        <w:t xml:space="preserve">As Nissan notes, </w:t>
      </w:r>
      <w:r w:rsidR="00AF18A6">
        <w:t xml:space="preserve">plaintiffs’ SAC includes some allegations that do not fall neatly into </w:t>
      </w:r>
      <w:r w:rsidR="00D61591">
        <w:t xml:space="preserve">one of </w:t>
      </w:r>
      <w:r w:rsidR="00AF18A6">
        <w:t>these two categories</w:t>
      </w:r>
      <w:r w:rsidR="009B6134">
        <w:t xml:space="preserve">.  For example, </w:t>
      </w:r>
      <w:r w:rsidR="00AF18A6">
        <w:t>in their fraudulent inducement cause of action, plaintiffs</w:t>
      </w:r>
      <w:r w:rsidR="009B6134">
        <w:t xml:space="preserve"> include some allegations about the failure of Nissan </w:t>
      </w:r>
      <w:r w:rsidR="00256261">
        <w:t xml:space="preserve">to make disclosures </w:t>
      </w:r>
      <w:r w:rsidR="007942E1">
        <w:t xml:space="preserve">“on the date of each of the </w:t>
      </w:r>
      <w:r w:rsidR="007942E1" w:rsidRPr="00C24F84">
        <w:t xml:space="preserve">[postsale] repair attempts,” </w:t>
      </w:r>
      <w:r w:rsidR="00454F5A" w:rsidRPr="00C24F84">
        <w:t xml:space="preserve">in addition to alleging </w:t>
      </w:r>
      <w:r w:rsidR="00ED4E7D" w:rsidRPr="00C24F84">
        <w:t xml:space="preserve">presale </w:t>
      </w:r>
      <w:r w:rsidR="00454F5A" w:rsidRPr="00C24F84">
        <w:t>concealment</w:t>
      </w:r>
      <w:r w:rsidR="00ED4E7D" w:rsidRPr="00C24F84">
        <w:t xml:space="preserve">. </w:t>
      </w:r>
      <w:r w:rsidR="00944A81" w:rsidRPr="00C24F84">
        <w:t xml:space="preserve"> But at the pleading stage, </w:t>
      </w:r>
      <w:r w:rsidR="004F3209" w:rsidRPr="00C24F84">
        <w:t>we decline to hold plaintiffs’ fraud claim (based in part on presale concealment) is barred by the</w:t>
      </w:r>
      <w:r w:rsidR="00CF4A36" w:rsidRPr="00C24F84">
        <w:t xml:space="preserve"> economic loss rule.</w:t>
      </w:r>
      <w:r>
        <w:rPr>
          <w:rStyle w:val="FootnoteReference"/>
        </w:rPr>
        <w:footnoteReference w:id="6"/>
      </w:r>
      <w:r w:rsidR="00856409" w:rsidRPr="00C24F84">
        <w:t xml:space="preserve">  And contrary to Nissan’s</w:t>
      </w:r>
      <w:r w:rsidR="00856409">
        <w:t xml:space="preserve"> view,</w:t>
      </w:r>
      <w:r w:rsidR="003C193C">
        <w:t xml:space="preserve"> we do not read </w:t>
      </w:r>
      <w:r w:rsidR="003C193C" w:rsidRPr="00C359B0">
        <w:rPr>
          <w:i/>
          <w:iCs/>
        </w:rPr>
        <w:t>Robinson</w:t>
      </w:r>
      <w:r w:rsidR="003C193C">
        <w:t xml:space="preserve">’s discussion of the claims </w:t>
      </w:r>
      <w:r w:rsidR="00C359B0">
        <w:t>there involving fraud during contractual performance</w:t>
      </w:r>
      <w:r w:rsidR="00524E9F">
        <w:t xml:space="preserve"> </w:t>
      </w:r>
      <w:r w:rsidR="003C193C">
        <w:lastRenderedPageBreak/>
        <w:t>(</w:t>
      </w:r>
      <w:r w:rsidR="00524E9F">
        <w:t>and, within th</w:t>
      </w:r>
      <w:r w:rsidR="00132EC5">
        <w:t>at</w:t>
      </w:r>
      <w:r w:rsidR="00524E9F">
        <w:t xml:space="preserve"> category, </w:t>
      </w:r>
      <w:r w:rsidR="003C193C">
        <w:t xml:space="preserve">permitting </w:t>
      </w:r>
      <w:r w:rsidR="00524E9F">
        <w:t xml:space="preserve">certain </w:t>
      </w:r>
      <w:r w:rsidR="003C193C">
        <w:t xml:space="preserve">claims </w:t>
      </w:r>
      <w:r w:rsidR="00C359B0">
        <w:t>alleging affirmative misrepresentations</w:t>
      </w:r>
      <w:r w:rsidR="0081400E">
        <w:t xml:space="preserve"> but </w:t>
      </w:r>
      <w:r w:rsidR="00C359B0">
        <w:t xml:space="preserve">not reaching the </w:t>
      </w:r>
      <w:r w:rsidR="002541F1">
        <w:t xml:space="preserve">viability of </w:t>
      </w:r>
      <w:r w:rsidR="00042886">
        <w:t xml:space="preserve">the accompanying intentional concealment </w:t>
      </w:r>
      <w:r w:rsidR="002541F1">
        <w:t xml:space="preserve">claims) as </w:t>
      </w:r>
      <w:r w:rsidR="009D0246">
        <w:t>a narrowing or limitation of the existing exception for fraudulent inducement claims</w:t>
      </w:r>
      <w:r w:rsidR="006A05C3">
        <w:t xml:space="preserve"> or a requirement that all </w:t>
      </w:r>
      <w:r w:rsidR="0017147B">
        <w:t>inducement</w:t>
      </w:r>
      <w:r w:rsidR="006A05C3">
        <w:t xml:space="preserve"> claims must be supported by allegations of affirmative misrepresentations</w:t>
      </w:r>
      <w:r w:rsidR="009D0246">
        <w:t>.</w:t>
      </w:r>
      <w:r w:rsidR="00755E78">
        <w:t xml:space="preserve">  (</w:t>
      </w:r>
      <w:r w:rsidR="00755E78" w:rsidRPr="006C384B">
        <w:rPr>
          <w:i/>
          <w:iCs/>
        </w:rPr>
        <w:t>Robinson</w:t>
      </w:r>
      <w:r w:rsidR="00755E78">
        <w:t xml:space="preserve">, </w:t>
      </w:r>
      <w:r w:rsidR="00755E78" w:rsidRPr="006C384B">
        <w:rPr>
          <w:i/>
          <w:iCs/>
        </w:rPr>
        <w:t>supra</w:t>
      </w:r>
      <w:r w:rsidR="00755E78">
        <w:t>, 34</w:t>
      </w:r>
      <w:r w:rsidR="00020824">
        <w:t> </w:t>
      </w:r>
      <w:r w:rsidR="00755E78">
        <w:t>Cal.4th at pp. 9</w:t>
      </w:r>
      <w:r w:rsidR="00CD2E25">
        <w:t>8</w:t>
      </w:r>
      <w:r w:rsidR="00755E78">
        <w:t>9</w:t>
      </w:r>
      <w:r w:rsidR="00020824">
        <w:t>–</w:t>
      </w:r>
      <w:r w:rsidR="006900D7">
        <w:t>991</w:t>
      </w:r>
      <w:r w:rsidR="00755E78">
        <w:t>.)</w:t>
      </w:r>
    </w:p>
    <w:p w14:paraId="15E991AF" w14:textId="5A1CCA3A" w:rsidR="00D715D9" w:rsidRDefault="00D673FD" w:rsidP="00F7725F">
      <w:r>
        <w:t>As the parties note and as the Ninth Circuit outlined in</w:t>
      </w:r>
      <w:r w:rsidR="00733914">
        <w:t xml:space="preserve"> </w:t>
      </w:r>
      <w:r w:rsidR="00733914" w:rsidRPr="00313050">
        <w:rPr>
          <w:i/>
          <w:iCs/>
        </w:rPr>
        <w:t>Rattagan</w:t>
      </w:r>
      <w:r w:rsidR="00733914" w:rsidRPr="00033B09">
        <w:t>,</w:t>
      </w:r>
      <w:r w:rsidR="00733914">
        <w:rPr>
          <w:i/>
          <w:iCs/>
        </w:rPr>
        <w:t xml:space="preserve"> supra</w:t>
      </w:r>
      <w:r w:rsidR="00733914" w:rsidRPr="00033B09">
        <w:t>,</w:t>
      </w:r>
      <w:r w:rsidR="00733914">
        <w:t xml:space="preserve"> 19</w:t>
      </w:r>
      <w:r w:rsidR="00033B09">
        <w:t> </w:t>
      </w:r>
      <w:r w:rsidR="00733914">
        <w:t xml:space="preserve">F.4th </w:t>
      </w:r>
      <w:r w:rsidR="00005BF1">
        <w:t>at pp. </w:t>
      </w:r>
      <w:r w:rsidR="006D05D8">
        <w:t>1191</w:t>
      </w:r>
      <w:r w:rsidR="00033B09">
        <w:t>–</w:t>
      </w:r>
      <w:r w:rsidR="006D05D8">
        <w:t xml:space="preserve">1192, </w:t>
      </w:r>
      <w:r w:rsidR="001F4AA9">
        <w:t xml:space="preserve">courts in </w:t>
      </w:r>
      <w:r w:rsidR="00665343">
        <w:t>other states</w:t>
      </w:r>
      <w:r w:rsidR="002945B4">
        <w:t xml:space="preserve"> </w:t>
      </w:r>
      <w:r w:rsidR="001F4AA9">
        <w:t>have reached differing conclusions as to the scope of the economic loss rule and the extent to which it precludes fraud claims.</w:t>
      </w:r>
      <w:r w:rsidR="00711B70">
        <w:t xml:space="preserve"> </w:t>
      </w:r>
      <w:r w:rsidR="00A66056">
        <w:t xml:space="preserve"> (</w:t>
      </w:r>
      <w:r w:rsidR="004E1E1E">
        <w:t xml:space="preserve">Compare, </w:t>
      </w:r>
      <w:r w:rsidR="00572566">
        <w:t>e</w:t>
      </w:r>
      <w:r w:rsidR="00A66056">
        <w:t>.g.,</w:t>
      </w:r>
      <w:r w:rsidR="00A957C6">
        <w:t xml:space="preserve"> </w:t>
      </w:r>
      <w:r w:rsidR="00A957C6" w:rsidRPr="001143F9">
        <w:rPr>
          <w:i/>
          <w:iCs/>
        </w:rPr>
        <w:t>Milan Supply Chain Solutions v. Navistar, Inc.</w:t>
      </w:r>
      <w:r w:rsidR="00A957C6">
        <w:t xml:space="preserve"> </w:t>
      </w:r>
      <w:r w:rsidR="001143F9">
        <w:t>(Tenn. 2021) 627</w:t>
      </w:r>
      <w:r w:rsidR="003C6E02">
        <w:t> </w:t>
      </w:r>
      <w:r w:rsidR="001143F9">
        <w:t>S.W.3d 125, 15</w:t>
      </w:r>
      <w:r w:rsidR="001143F9" w:rsidRPr="003C6E02">
        <w:rPr>
          <w:spacing w:val="20"/>
        </w:rPr>
        <w:t>3</w:t>
      </w:r>
      <w:r w:rsidR="003C6E02" w:rsidRPr="003C6E02">
        <w:rPr>
          <w:spacing w:val="-20"/>
        </w:rPr>
        <w:t>–</w:t>
      </w:r>
      <w:r w:rsidR="00716CC1">
        <w:t xml:space="preserve">154 [declining to adopt </w:t>
      </w:r>
      <w:r w:rsidR="0014076E">
        <w:t>“</w:t>
      </w:r>
      <w:r w:rsidR="00716CC1">
        <w:t xml:space="preserve">a broad </w:t>
      </w:r>
      <w:r w:rsidR="0014076E">
        <w:t>rule either extending the economic loss rule to all fraud claims or exempting</w:t>
      </w:r>
      <w:r w:rsidR="00F24FBF">
        <w:t xml:space="preserve"> all fraud claims from the economic loss rule,” but holding fraudulent inducement claims </w:t>
      </w:r>
      <w:r w:rsidR="005F2C8C">
        <w:t xml:space="preserve">are barred by the rule if the only misrepresentations concern the quality </w:t>
      </w:r>
      <w:r w:rsidR="00F05E5B">
        <w:t xml:space="preserve">or character </w:t>
      </w:r>
      <w:r w:rsidR="005F2C8C">
        <w:t xml:space="preserve">of the goods sold and the contract is </w:t>
      </w:r>
      <w:r w:rsidR="00A523AB">
        <w:t>“</w:t>
      </w:r>
      <w:r w:rsidR="00F24FBF">
        <w:t>between sophisticated commercial business entities</w:t>
      </w:r>
      <w:r w:rsidR="00A523AB">
        <w:t>”</w:t>
      </w:r>
      <w:r w:rsidR="00F24FBF">
        <w:t>]</w:t>
      </w:r>
      <w:r w:rsidR="004E1E1E">
        <w:t xml:space="preserve">, with, e.g., </w:t>
      </w:r>
      <w:r w:rsidR="00A77945" w:rsidRPr="005039DD">
        <w:rPr>
          <w:i/>
          <w:iCs/>
        </w:rPr>
        <w:t>Van Rees v. Unleaded</w:t>
      </w:r>
      <w:r w:rsidR="005039DD" w:rsidRPr="005039DD">
        <w:rPr>
          <w:i/>
          <w:iCs/>
        </w:rPr>
        <w:t xml:space="preserve"> Software, Inc.</w:t>
      </w:r>
      <w:r w:rsidR="005039DD">
        <w:t xml:space="preserve"> (Colo. 2016) 373</w:t>
      </w:r>
      <w:r w:rsidR="003C6E02">
        <w:t> </w:t>
      </w:r>
      <w:r w:rsidR="005039DD">
        <w:t>P.3d 603, 608 [</w:t>
      </w:r>
      <w:r w:rsidR="00AC1A5A">
        <w:t>economic loss rule did not bar fraud</w:t>
      </w:r>
      <w:r w:rsidR="001B4674">
        <w:t>ulent inducement claims</w:t>
      </w:r>
      <w:r w:rsidR="004217DE">
        <w:t xml:space="preserve">; “The court of appeals seemed concerned that if it did not affirm the dismissal of the tort claims in this case, the purposes underlying the economic loss rule would not be served, as tort law would swallow contract law. </w:t>
      </w:r>
      <w:r w:rsidR="006C72FB">
        <w:t xml:space="preserve"> [Citation.]</w:t>
      </w:r>
      <w:r w:rsidR="004217DE">
        <w:t xml:space="preserve"> </w:t>
      </w:r>
      <w:r w:rsidR="006C72FB">
        <w:t xml:space="preserve"> </w:t>
      </w:r>
      <w:r w:rsidR="004217DE">
        <w:t>However, we also must be cautious of the corollary potential for contract law to swallow tort law.</w:t>
      </w:r>
      <w:r w:rsidR="006C72FB">
        <w:t>”]</w:t>
      </w:r>
      <w:r w:rsidR="002945B4">
        <w:t>.)</w:t>
      </w:r>
    </w:p>
    <w:p w14:paraId="7F017DDC" w14:textId="637FDFF4" w:rsidR="00A129B4" w:rsidRDefault="00D673FD" w:rsidP="00020124">
      <w:r>
        <w:t>Similarly</w:t>
      </w:r>
      <w:r w:rsidR="00234F55">
        <w:t xml:space="preserve"> (as also outlined by the parties and the Ninth Circuit)</w:t>
      </w:r>
      <w:r>
        <w:t xml:space="preserve">, </w:t>
      </w:r>
      <w:r w:rsidR="00D846BE">
        <w:t>federal district courts applying California law have diverged on this point.  (</w:t>
      </w:r>
      <w:r w:rsidR="00C37B70" w:rsidRPr="00680552">
        <w:t>Compare,</w:t>
      </w:r>
      <w:r w:rsidR="00C37B70">
        <w:t xml:space="preserve"> e</w:t>
      </w:r>
      <w:r w:rsidR="00D846BE">
        <w:t xml:space="preserve">.g., </w:t>
      </w:r>
      <w:r w:rsidR="00AD23D9" w:rsidRPr="00C02BAC">
        <w:rPr>
          <w:i/>
          <w:iCs/>
        </w:rPr>
        <w:t>White v. FCA US LLC</w:t>
      </w:r>
      <w:r w:rsidR="00AD23D9">
        <w:t xml:space="preserve"> (N.D.Cal. 2022) 2022</w:t>
      </w:r>
      <w:r w:rsidR="00ED65BE">
        <w:t> </w:t>
      </w:r>
      <w:r w:rsidR="00BC3721">
        <w:t>U.S.Dist.LEXIS</w:t>
      </w:r>
      <w:r w:rsidR="00AD23D9">
        <w:t xml:space="preserve"> </w:t>
      </w:r>
      <w:r w:rsidR="00C37B70">
        <w:t>146604</w:t>
      </w:r>
      <w:r w:rsidR="00AD23D9">
        <w:t>, *</w:t>
      </w:r>
      <w:r w:rsidR="00F805A7" w:rsidRPr="00A60DA2">
        <w:rPr>
          <w:spacing w:val="20"/>
        </w:rPr>
        <w:t>9</w:t>
      </w:r>
      <w:r w:rsidR="00ED65BE">
        <w:t>–</w:t>
      </w:r>
      <w:r w:rsidR="00AD23D9">
        <w:t>*</w:t>
      </w:r>
      <w:r w:rsidR="00FE4EE8">
        <w:t>13</w:t>
      </w:r>
      <w:r w:rsidR="00AD23D9">
        <w:t xml:space="preserve"> [under California law</w:t>
      </w:r>
      <w:r w:rsidR="00121FED">
        <w:t xml:space="preserve">, </w:t>
      </w:r>
      <w:r w:rsidR="00AD23D9">
        <w:t xml:space="preserve">fraudulent </w:t>
      </w:r>
      <w:r w:rsidR="00AD23D9" w:rsidRPr="004732FE">
        <w:rPr>
          <w:i/>
          <w:iCs/>
        </w:rPr>
        <w:t>inducement</w:t>
      </w:r>
      <w:r w:rsidR="00AD23D9">
        <w:t xml:space="preserve"> claims fall within a well-recognized exception to the economic loss rule</w:t>
      </w:r>
      <w:r w:rsidR="00AD342B">
        <w:t xml:space="preserve"> that is </w:t>
      </w:r>
      <w:r w:rsidR="00B17C75">
        <w:t xml:space="preserve">separate </w:t>
      </w:r>
      <w:r w:rsidR="00B17C75">
        <w:lastRenderedPageBreak/>
        <w:t xml:space="preserve">from the additional exception </w:t>
      </w:r>
      <w:r w:rsidR="004732FE">
        <w:t xml:space="preserve">discussed in </w:t>
      </w:r>
      <w:r w:rsidR="004732FE" w:rsidRPr="00AD342B">
        <w:rPr>
          <w:i/>
          <w:iCs/>
        </w:rPr>
        <w:t>Robinson</w:t>
      </w:r>
      <w:r w:rsidR="004732FE">
        <w:t xml:space="preserve"> </w:t>
      </w:r>
      <w:r w:rsidR="00B17C75">
        <w:t xml:space="preserve">for some </w:t>
      </w:r>
      <w:r w:rsidR="00AD342B">
        <w:t xml:space="preserve">fraudulent </w:t>
      </w:r>
      <w:r w:rsidR="00AD342B" w:rsidRPr="004732FE">
        <w:rPr>
          <w:i/>
          <w:iCs/>
        </w:rPr>
        <w:t>performance</w:t>
      </w:r>
      <w:r w:rsidR="00AD342B">
        <w:t xml:space="preserve"> </w:t>
      </w:r>
      <w:r w:rsidR="0078636F">
        <w:t>claims</w:t>
      </w:r>
      <w:r w:rsidR="00AD23D9" w:rsidRPr="00680552">
        <w:t>]</w:t>
      </w:r>
      <w:r w:rsidR="00C37B70" w:rsidRPr="00680552">
        <w:t>, with, e.g.,</w:t>
      </w:r>
      <w:r w:rsidR="00AD23D9">
        <w:t xml:space="preserve"> </w:t>
      </w:r>
      <w:r w:rsidR="002D0687" w:rsidRPr="0064580B">
        <w:rPr>
          <w:i/>
          <w:iCs/>
        </w:rPr>
        <w:t>In</w:t>
      </w:r>
      <w:r w:rsidR="00491093">
        <w:rPr>
          <w:i/>
          <w:iCs/>
        </w:rPr>
        <w:t> </w:t>
      </w:r>
      <w:r w:rsidR="002D0687" w:rsidRPr="0064580B">
        <w:rPr>
          <w:i/>
          <w:iCs/>
        </w:rPr>
        <w:t>re Ford Motor Co. DPS6 Powershift Transmission Products Liability Litigation</w:t>
      </w:r>
      <w:r w:rsidR="003B5554">
        <w:t xml:space="preserve"> (C.D.Cal. 2020) 483</w:t>
      </w:r>
      <w:r w:rsidR="00491093">
        <w:t> </w:t>
      </w:r>
      <w:r w:rsidR="003B5554">
        <w:t>F.</w:t>
      </w:r>
      <w:r w:rsidR="0064580B">
        <w:t>Supp</w:t>
      </w:r>
      <w:r w:rsidR="006C72FB">
        <w:t>.</w:t>
      </w:r>
      <w:r w:rsidR="0064580B">
        <w:t>3d 838, 84</w:t>
      </w:r>
      <w:r w:rsidR="0064580B" w:rsidRPr="00A60DA2">
        <w:rPr>
          <w:spacing w:val="20"/>
        </w:rPr>
        <w:t>8</w:t>
      </w:r>
      <w:r w:rsidR="00491093">
        <w:t>–</w:t>
      </w:r>
      <w:r w:rsidR="000E7106">
        <w:t>850</w:t>
      </w:r>
      <w:r w:rsidR="0064580B">
        <w:t xml:space="preserve"> </w:t>
      </w:r>
      <w:r w:rsidR="00FD6D52">
        <w:t>[</w:t>
      </w:r>
      <w:r w:rsidR="009521B4">
        <w:t>under</w:t>
      </w:r>
      <w:r w:rsidR="00A6172C">
        <w:t xml:space="preserve"> California law</w:t>
      </w:r>
      <w:r w:rsidR="00CF5D0C">
        <w:t xml:space="preserve">, </w:t>
      </w:r>
      <w:r w:rsidR="000E7106">
        <w:t xml:space="preserve">claim for </w:t>
      </w:r>
      <w:r w:rsidR="00130ED3">
        <w:t xml:space="preserve">fraudulent </w:t>
      </w:r>
      <w:r w:rsidR="000E7106">
        <w:t xml:space="preserve">inducement by </w:t>
      </w:r>
      <w:r w:rsidR="00CF5D0C">
        <w:t>omission w</w:t>
      </w:r>
      <w:r w:rsidR="000E7106">
        <w:t>as</w:t>
      </w:r>
      <w:r w:rsidR="00CF5D0C">
        <w:t xml:space="preserve"> barred by economic loss rule</w:t>
      </w:r>
      <w:r w:rsidR="00FD6D52">
        <w:t>]</w:t>
      </w:r>
      <w:r w:rsidR="0002646C">
        <w:t>; see</w:t>
      </w:r>
      <w:r w:rsidR="00EA174D">
        <w:t xml:space="preserve"> </w:t>
      </w:r>
      <w:r w:rsidR="0002646C" w:rsidRPr="00313050">
        <w:rPr>
          <w:i/>
          <w:iCs/>
        </w:rPr>
        <w:t>Rattagan</w:t>
      </w:r>
      <w:r w:rsidR="0002646C" w:rsidRPr="00491093">
        <w:t>,</w:t>
      </w:r>
      <w:r w:rsidR="0002646C">
        <w:rPr>
          <w:i/>
          <w:iCs/>
        </w:rPr>
        <w:t xml:space="preserve"> supra</w:t>
      </w:r>
      <w:r w:rsidR="0002646C" w:rsidRPr="00491093">
        <w:t>,</w:t>
      </w:r>
      <w:r w:rsidR="0002646C">
        <w:t xml:space="preserve"> 19</w:t>
      </w:r>
      <w:r w:rsidR="00491093">
        <w:t> </w:t>
      </w:r>
      <w:r w:rsidR="0002646C">
        <w:t>F.4th at pp. 1191</w:t>
      </w:r>
      <w:r w:rsidR="00491093">
        <w:t>–</w:t>
      </w:r>
      <w:r w:rsidR="0002646C">
        <w:t>1192 [</w:t>
      </w:r>
      <w:r w:rsidR="00A35366">
        <w:t xml:space="preserve">noting district courts have reached different conclusions as to whether the economic loss rule </w:t>
      </w:r>
      <w:r w:rsidR="00EA174D">
        <w:t>bars claims of fraudulent concealment</w:t>
      </w:r>
      <w:r w:rsidR="0002646C">
        <w:t>]</w:t>
      </w:r>
      <w:r w:rsidR="005F4670">
        <w:t>.</w:t>
      </w:r>
      <w:r w:rsidR="00020124">
        <w:t>)</w:t>
      </w:r>
    </w:p>
    <w:p w14:paraId="227560A8" w14:textId="23333DD2" w:rsidR="00BA6013" w:rsidRDefault="00D673FD" w:rsidP="00345551">
      <w:r>
        <w:t xml:space="preserve">We </w:t>
      </w:r>
      <w:r w:rsidR="006076AA">
        <w:t xml:space="preserve">acknowledge the differing views taken by courts that have considered </w:t>
      </w:r>
      <w:r w:rsidR="00AA5E9F">
        <w:t xml:space="preserve">this issue.  </w:t>
      </w:r>
      <w:r w:rsidR="00B829A2">
        <w:t>But f</w:t>
      </w:r>
      <w:r w:rsidR="00793243">
        <w:t xml:space="preserve">or the reasons </w:t>
      </w:r>
      <w:r w:rsidR="00D715D9">
        <w:t xml:space="preserve">we have </w:t>
      </w:r>
      <w:r w:rsidR="00CF05D8">
        <w:t xml:space="preserve">discussed </w:t>
      </w:r>
      <w:r w:rsidR="00793243">
        <w:t xml:space="preserve">above, we </w:t>
      </w:r>
      <w:r w:rsidR="008132AD">
        <w:t>conclude that, under California law, the economic loss rule does not</w:t>
      </w:r>
      <w:r w:rsidR="0002291C">
        <w:t xml:space="preserve"> bar plaintiffs’ claim here for fraudulent inducement by concealment.</w:t>
      </w:r>
      <w:r w:rsidR="00774754">
        <w:t xml:space="preserve">  </w:t>
      </w:r>
      <w:r w:rsidR="00F93B5F">
        <w:t xml:space="preserve">Fraudulent inducement </w:t>
      </w:r>
      <w:r w:rsidR="00774754">
        <w:t>claim</w:t>
      </w:r>
      <w:r w:rsidR="00F93B5F">
        <w:t>s</w:t>
      </w:r>
      <w:r w:rsidR="00774754">
        <w:t xml:space="preserve"> fall within an exception to the economic loss rule recognized by our Supreme Court (</w:t>
      </w:r>
      <w:r w:rsidR="00774754" w:rsidRPr="00F93B5F">
        <w:rPr>
          <w:i/>
          <w:iCs/>
        </w:rPr>
        <w:t>Robinson</w:t>
      </w:r>
      <w:r w:rsidR="00774754">
        <w:t xml:space="preserve">, </w:t>
      </w:r>
      <w:r w:rsidR="00774754" w:rsidRPr="00F93B5F">
        <w:rPr>
          <w:i/>
          <w:iCs/>
        </w:rPr>
        <w:t>supra</w:t>
      </w:r>
      <w:r w:rsidR="00774754">
        <w:t>, 34</w:t>
      </w:r>
      <w:r w:rsidR="00D6114C">
        <w:t> </w:t>
      </w:r>
      <w:r w:rsidR="00774754">
        <w:t xml:space="preserve">Cal.4th </w:t>
      </w:r>
      <w:r w:rsidR="001A7EC8">
        <w:t>at pp. 989</w:t>
      </w:r>
      <w:r w:rsidR="00D6114C">
        <w:t>–</w:t>
      </w:r>
      <w:r w:rsidR="001A7EC8">
        <w:t>990)</w:t>
      </w:r>
      <w:r w:rsidR="00A3540F">
        <w:t xml:space="preserve">, and plaintiffs allege </w:t>
      </w:r>
      <w:r w:rsidR="009607A4">
        <w:t>fraudulent conduct that is independent of Nissan’s alleged warranty breaches.</w:t>
      </w:r>
      <w:r>
        <w:rPr>
          <w:rStyle w:val="FootnoteReference"/>
        </w:rPr>
        <w:footnoteReference w:id="7"/>
      </w:r>
      <w:r w:rsidR="00DF7C79">
        <w:t xml:space="preserve">  </w:t>
      </w:r>
      <w:r w:rsidR="00E4046F">
        <w:t>The trial court erred by sustaining Nissan’s demurrer to plaintiffs’ fraud claim on the ground it was barred by the economic loss rule.</w:t>
      </w:r>
    </w:p>
    <w:p w14:paraId="377A0B05" w14:textId="56406080" w:rsidR="004E7158" w:rsidRDefault="00D673FD" w:rsidP="006D5E06">
      <w:pPr>
        <w:pStyle w:val="Heading2"/>
      </w:pPr>
      <w:r>
        <w:t>The Sufficiency of the Allegations in the SAC</w:t>
      </w:r>
    </w:p>
    <w:p w14:paraId="53F371DE" w14:textId="041DA665" w:rsidR="00584527" w:rsidRDefault="00D673FD" w:rsidP="00394626">
      <w:r>
        <w:t xml:space="preserve">As an alternative ground for affirmance, </w:t>
      </w:r>
      <w:r w:rsidR="00A11186">
        <w:t>Nissan argues</w:t>
      </w:r>
      <w:r>
        <w:t xml:space="preserve"> p</w:t>
      </w:r>
      <w:r>
        <w:t xml:space="preserve">laintiffs did not plead their </w:t>
      </w:r>
      <w:r w:rsidR="003877CC">
        <w:t xml:space="preserve">claim for </w:t>
      </w:r>
      <w:r>
        <w:t>fraudulent inducement</w:t>
      </w:r>
      <w:r w:rsidR="003877CC">
        <w:t xml:space="preserve"> by </w:t>
      </w:r>
      <w:r>
        <w:t xml:space="preserve">concealment </w:t>
      </w:r>
      <w:r w:rsidR="0060347B">
        <w:t xml:space="preserve">with </w:t>
      </w:r>
      <w:r w:rsidR="0060347B">
        <w:lastRenderedPageBreak/>
        <w:t xml:space="preserve">sufficient specificity. </w:t>
      </w:r>
      <w:r w:rsidR="00F236A0">
        <w:t xml:space="preserve"> The trial court did not reach this ground for demurrer. </w:t>
      </w:r>
      <w:r w:rsidR="0004668C">
        <w:t xml:space="preserve"> </w:t>
      </w:r>
      <w:r>
        <w:t>We conclude the claim is adequately pleaded.</w:t>
      </w:r>
    </w:p>
    <w:p w14:paraId="2B059DB6" w14:textId="37C0041B" w:rsidR="00F031FC" w:rsidRDefault="00D673FD" w:rsidP="0090030A">
      <w:r>
        <w:t xml:space="preserve">“As with all fraud claims, the </w:t>
      </w:r>
      <w:r>
        <w:t>necessary elements of a concealment/suppression claim consist of ‘ “(1)</w:t>
      </w:r>
      <w:r w:rsidR="00BD1F97">
        <w:t> </w:t>
      </w:r>
      <w:r>
        <w:t>misrepresentation (false representation, concealment, or nondisclosure); (2)</w:t>
      </w:r>
      <w:r w:rsidR="00BD1F97">
        <w:t> </w:t>
      </w:r>
      <w:r>
        <w:t>knowledge of falsity (scienter); (3)</w:t>
      </w:r>
      <w:r w:rsidR="00BD1F97">
        <w:t> </w:t>
      </w:r>
      <w:r>
        <w:t>intent to defraud (i.e., to induce reliance); (4)</w:t>
      </w:r>
      <w:r w:rsidR="00BD1F97">
        <w:t> </w:t>
      </w:r>
      <w:r>
        <w:t>justifiable reliance</w:t>
      </w:r>
      <w:r>
        <w:t>; and (5)</w:t>
      </w:r>
      <w:r w:rsidR="00BD1F97">
        <w:t> </w:t>
      </w:r>
      <w:r>
        <w:t>resulting damage.</w:t>
      </w:r>
      <w:r w:rsidR="00BD1F97">
        <w:t>”</w:t>
      </w:r>
      <w:r w:rsidR="009361B2">
        <w:t> </w:t>
      </w:r>
      <w:r>
        <w:t>’</w:t>
      </w:r>
      <w:r w:rsidR="00BD1F97">
        <w:t> ”</w:t>
      </w:r>
      <w:r>
        <w:t xml:space="preserve"> </w:t>
      </w:r>
      <w:r w:rsidR="00BD1F97">
        <w:t xml:space="preserve"> (</w:t>
      </w:r>
      <w:r w:rsidRPr="00C00F73">
        <w:rPr>
          <w:i/>
          <w:iCs/>
        </w:rPr>
        <w:t>Hoffman v. 162</w:t>
      </w:r>
      <w:r w:rsidR="009F4C65">
        <w:rPr>
          <w:i/>
          <w:iCs/>
        </w:rPr>
        <w:t> </w:t>
      </w:r>
      <w:r w:rsidRPr="00C00F73">
        <w:rPr>
          <w:i/>
          <w:iCs/>
        </w:rPr>
        <w:t>N</w:t>
      </w:r>
      <w:r w:rsidR="00C00F73">
        <w:rPr>
          <w:i/>
          <w:iCs/>
        </w:rPr>
        <w:t>orth</w:t>
      </w:r>
      <w:r w:rsidRPr="00C00F73">
        <w:rPr>
          <w:i/>
          <w:iCs/>
        </w:rPr>
        <w:t xml:space="preserve"> Wolfe LLC</w:t>
      </w:r>
      <w:r>
        <w:t xml:space="preserve"> </w:t>
      </w:r>
      <w:r w:rsidR="00C00F73">
        <w:t xml:space="preserve">(2014) </w:t>
      </w:r>
      <w:r>
        <w:t>228</w:t>
      </w:r>
      <w:r w:rsidR="009F4C65">
        <w:t> </w:t>
      </w:r>
      <w:r>
        <w:t>Cal.App.4th 1178, 118</w:t>
      </w:r>
      <w:r w:rsidRPr="009F4C65">
        <w:rPr>
          <w:spacing w:val="20"/>
        </w:rPr>
        <w:t>5</w:t>
      </w:r>
      <w:r w:rsidRPr="009F4C65">
        <w:rPr>
          <w:spacing w:val="-20"/>
        </w:rPr>
        <w:t>–</w:t>
      </w:r>
      <w:r w:rsidR="008B5563">
        <w:t>11</w:t>
      </w:r>
      <w:r>
        <w:t>86</w:t>
      </w:r>
      <w:r w:rsidR="008B5563">
        <w:t>.</w:t>
      </w:r>
      <w:r>
        <w:t>)</w:t>
      </w:r>
      <w:r w:rsidR="00FF2F1E">
        <w:t xml:space="preserve">  </w:t>
      </w:r>
      <w:r w:rsidR="0007374E">
        <w:t xml:space="preserve">Suppression of a material fact is actionable when there is a </w:t>
      </w:r>
      <w:r w:rsidR="00FF2F1E">
        <w:t xml:space="preserve">duty </w:t>
      </w:r>
      <w:r w:rsidR="003A52A7">
        <w:t xml:space="preserve">of disclosure, which </w:t>
      </w:r>
      <w:r w:rsidR="00FF2F1E">
        <w:t>may arise from a relationship between the parties, such as a buyer-seller relationship.</w:t>
      </w:r>
      <w:r w:rsidR="003A52A7">
        <w:t xml:space="preserve">  </w:t>
      </w:r>
      <w:r w:rsidR="00B11715">
        <w:t>(</w:t>
      </w:r>
      <w:r w:rsidR="00B11715">
        <w:rPr>
          <w:i/>
        </w:rPr>
        <w:t>Id.</w:t>
      </w:r>
      <w:r w:rsidR="00B11715">
        <w:t xml:space="preserve"> at pp. 118</w:t>
      </w:r>
      <w:r w:rsidR="00B11715" w:rsidRPr="009F4C65">
        <w:rPr>
          <w:spacing w:val="20"/>
        </w:rPr>
        <w:t>6</w:t>
      </w:r>
      <w:r w:rsidR="009F4C65" w:rsidRPr="009F4C65">
        <w:rPr>
          <w:spacing w:val="-20"/>
        </w:rPr>
        <w:t>–</w:t>
      </w:r>
      <w:r w:rsidR="00B11715">
        <w:t>1187.)</w:t>
      </w:r>
      <w:r w:rsidR="005F7383">
        <w:t xml:space="preserve">  Fraud, including concealment, must be pleaded with specificity.  (</w:t>
      </w:r>
      <w:r w:rsidR="005F7383" w:rsidRPr="00F031FC">
        <w:rPr>
          <w:i/>
          <w:iCs/>
        </w:rPr>
        <w:t>Linear Technology Corp. v. Applied Materials, Inc.</w:t>
      </w:r>
      <w:r w:rsidR="005F7383">
        <w:t xml:space="preserve"> </w:t>
      </w:r>
      <w:r w:rsidR="00040B28">
        <w:t>(2007) 152</w:t>
      </w:r>
      <w:r w:rsidR="009F4C65">
        <w:t> </w:t>
      </w:r>
      <w:r w:rsidR="00040B28">
        <w:t xml:space="preserve">Cal.App.4th 115, </w:t>
      </w:r>
      <w:r>
        <w:t>132.)</w:t>
      </w:r>
    </w:p>
    <w:p w14:paraId="5B370388" w14:textId="16A1D91E" w:rsidR="0046542E" w:rsidRDefault="00D673FD" w:rsidP="0090030A">
      <w:r>
        <w:t>P</w:t>
      </w:r>
      <w:r w:rsidR="00B96423">
        <w:t>laintiffs alleged</w:t>
      </w:r>
      <w:r>
        <w:t xml:space="preserve"> the</w:t>
      </w:r>
      <w:r w:rsidR="00510474">
        <w:t xml:space="preserve"> above</w:t>
      </w:r>
      <w:r>
        <w:t xml:space="preserve"> elements </w:t>
      </w:r>
      <w:r w:rsidR="00510474">
        <w:t xml:space="preserve">of fraud </w:t>
      </w:r>
      <w:r>
        <w:t xml:space="preserve">in the SAC.  As </w:t>
      </w:r>
      <w:r w:rsidR="00903260">
        <w:t>we have discussed</w:t>
      </w:r>
      <w:r>
        <w:t xml:space="preserve">, plaintiffs alleged </w:t>
      </w:r>
      <w:r w:rsidR="00C56CBF">
        <w:t xml:space="preserve">the </w:t>
      </w:r>
      <w:r w:rsidR="00AA7DFE">
        <w:t xml:space="preserve">CVT transmissions </w:t>
      </w:r>
      <w:r w:rsidR="00735FDF">
        <w:t xml:space="preserve">installed </w:t>
      </w:r>
      <w:r w:rsidR="00C56CBF">
        <w:t>in numerous Nissan vehicles</w:t>
      </w:r>
      <w:r w:rsidR="00C12F53">
        <w:t xml:space="preserve"> (including the one plaintiffs purchased) were defective</w:t>
      </w:r>
      <w:r w:rsidR="00C4569D">
        <w:t>;</w:t>
      </w:r>
      <w:r w:rsidR="00C12F53">
        <w:t xml:space="preserve"> Nissan </w:t>
      </w:r>
      <w:r>
        <w:t xml:space="preserve">knew </w:t>
      </w:r>
      <w:r w:rsidR="00AC4203">
        <w:t>of the defects</w:t>
      </w:r>
      <w:r w:rsidR="00E76DF9">
        <w:t xml:space="preserve"> and the hazards they posed</w:t>
      </w:r>
      <w:r w:rsidR="006D4927">
        <w:t>;</w:t>
      </w:r>
      <w:r w:rsidR="002257EB">
        <w:t xml:space="preserve"> Nissan </w:t>
      </w:r>
      <w:r w:rsidR="00B229F1">
        <w:t xml:space="preserve">had exclusive knowledge of the defects but </w:t>
      </w:r>
      <w:r w:rsidR="002257EB">
        <w:t>intentionally concealed</w:t>
      </w:r>
      <w:r w:rsidR="00B229F1">
        <w:t xml:space="preserve"> and failed to disclose </w:t>
      </w:r>
      <w:r w:rsidR="008832BC">
        <w:t>that information</w:t>
      </w:r>
      <w:r w:rsidR="006D4927">
        <w:t>;</w:t>
      </w:r>
      <w:r w:rsidR="00FF531A">
        <w:t xml:space="preserve"> Nissan intended to deceive plaintiffs by concealing known transmission problems;</w:t>
      </w:r>
      <w:r w:rsidR="007718F8">
        <w:t xml:space="preserve"> plaintiffs would not have purchased the car if they had known of the defects; and</w:t>
      </w:r>
      <w:r w:rsidR="00E76DF9">
        <w:t xml:space="preserve"> </w:t>
      </w:r>
      <w:r w:rsidR="0005754C">
        <w:t xml:space="preserve">plaintiffs suffered damages in the form of money </w:t>
      </w:r>
      <w:r>
        <w:t>paid to purchase the car.</w:t>
      </w:r>
    </w:p>
    <w:p w14:paraId="3FFC857F" w14:textId="26875129" w:rsidR="0003194A" w:rsidRDefault="00D673FD" w:rsidP="0090030A">
      <w:r>
        <w:t xml:space="preserve">In its short argument on this point in its appellate brief, Nissan argues plaintiffs did not adequately </w:t>
      </w:r>
      <w:r w:rsidR="00AA229D">
        <w:t>plead the existence of a buyer-seller relationship between the parties</w:t>
      </w:r>
      <w:r w:rsidR="00F513B7">
        <w:t>, because plaintiffs bought the car from a Nissan dealership</w:t>
      </w:r>
      <w:r w:rsidR="005543F5">
        <w:t xml:space="preserve"> (not from Nissan itsel</w:t>
      </w:r>
      <w:r w:rsidR="005543F5" w:rsidRPr="00DC2CDD">
        <w:rPr>
          <w:spacing w:val="40"/>
        </w:rPr>
        <w:t>f</w:t>
      </w:r>
      <w:r w:rsidR="005543F5">
        <w:t>)</w:t>
      </w:r>
      <w:r w:rsidR="00AA229D">
        <w:t xml:space="preserve">. </w:t>
      </w:r>
      <w:r w:rsidR="005543F5">
        <w:t xml:space="preserve"> </w:t>
      </w:r>
      <w:r w:rsidR="00D61D02">
        <w:t xml:space="preserve">At the pleading stage (and in the absence of a more developed argument by Nissan on this point), we conclude </w:t>
      </w:r>
      <w:r w:rsidR="00D61D02">
        <w:lastRenderedPageBreak/>
        <w:t>plaintiffs’ allegations are sufficient.  Plaintiffs</w:t>
      </w:r>
      <w:r w:rsidR="00C31BA4">
        <w:t xml:space="preserve"> alleged </w:t>
      </w:r>
      <w:r w:rsidR="000A5C64">
        <w:t xml:space="preserve">that </w:t>
      </w:r>
      <w:r w:rsidR="00835153">
        <w:t>t</w:t>
      </w:r>
      <w:r w:rsidR="00C31BA4">
        <w:t>hey bought the car from a Nissan dealership</w:t>
      </w:r>
      <w:r w:rsidR="000A5C64">
        <w:t>,</w:t>
      </w:r>
      <w:r w:rsidR="001A2C63">
        <w:t xml:space="preserve"> </w:t>
      </w:r>
      <w:r w:rsidR="000A5C64">
        <w:t xml:space="preserve">that </w:t>
      </w:r>
      <w:r w:rsidR="001A2C63">
        <w:t>Nissan</w:t>
      </w:r>
      <w:r w:rsidR="00835153">
        <w:t xml:space="preserve"> backed the car with an express warranty</w:t>
      </w:r>
      <w:r w:rsidR="000A5C64">
        <w:t>,</w:t>
      </w:r>
      <w:r w:rsidR="00835153">
        <w:t xml:space="preserve"> and</w:t>
      </w:r>
      <w:r w:rsidR="000F5AEB">
        <w:t xml:space="preserve"> </w:t>
      </w:r>
      <w:r w:rsidR="000A5C64">
        <w:t xml:space="preserve">that </w:t>
      </w:r>
      <w:r w:rsidR="0084670A">
        <w:t xml:space="preserve">Nissan’s authorized dealerships are its agents for purposes </w:t>
      </w:r>
      <w:r w:rsidR="007E34E9">
        <w:t xml:space="preserve">of </w:t>
      </w:r>
      <w:r w:rsidR="000A5C64">
        <w:t xml:space="preserve">the sale of Nissan vehicles to consumers.  </w:t>
      </w:r>
      <w:r w:rsidR="002A37DB">
        <w:t>In light of these allegations, w</w:t>
      </w:r>
      <w:r w:rsidR="00BF62A4">
        <w:t>e decline to hold</w:t>
      </w:r>
      <w:r w:rsidR="007B00A9">
        <w:t xml:space="preserve"> plaintiffs’ claim is barred on the ground</w:t>
      </w:r>
      <w:r w:rsidR="007F61AC">
        <w:t xml:space="preserve"> </w:t>
      </w:r>
      <w:r w:rsidR="00792606">
        <w:t xml:space="preserve">there was no relationship </w:t>
      </w:r>
      <w:r w:rsidR="007E34E9">
        <w:t xml:space="preserve">requiring </w:t>
      </w:r>
      <w:r w:rsidR="007F61AC">
        <w:t>Nissan to disclose known defects.</w:t>
      </w:r>
    </w:p>
    <w:p w14:paraId="2EB9BDE1" w14:textId="216831E5" w:rsidR="00390E27" w:rsidRDefault="00D673FD" w:rsidP="0090030A">
      <w:r>
        <w:t xml:space="preserve">Nissan also contends plaintiffs did not </w:t>
      </w:r>
      <w:r w:rsidR="00CA50C6">
        <w:t>provide specifics about what Nissan should have disclosed</w:t>
      </w:r>
      <w:r w:rsidR="001A6448">
        <w:t xml:space="preserve">.  But plaintiffs </w:t>
      </w:r>
      <w:r w:rsidR="00480E3C">
        <w:t xml:space="preserve">alleged </w:t>
      </w:r>
      <w:r w:rsidR="006F5319">
        <w:t xml:space="preserve">the CVT transmissions were defective in that they caused </w:t>
      </w:r>
      <w:r w:rsidR="003B75F5">
        <w:t xml:space="preserve">such </w:t>
      </w:r>
      <w:r w:rsidR="006F5319">
        <w:t xml:space="preserve">problems </w:t>
      </w:r>
      <w:r w:rsidR="003B75F5">
        <w:t xml:space="preserve">as </w:t>
      </w:r>
      <w:r w:rsidR="006F6892">
        <w:t>hesitation, shaking, jerking, and failure to function.  The SAC also alleged Nissan was aware of the</w:t>
      </w:r>
      <w:r w:rsidR="00A83262">
        <w:t xml:space="preserve"> defects</w:t>
      </w:r>
      <w:r w:rsidR="006F6892">
        <w:t xml:space="preserve"> </w:t>
      </w:r>
      <w:r w:rsidR="00136122">
        <w:t xml:space="preserve">as a result </w:t>
      </w:r>
      <w:r w:rsidR="00136122" w:rsidRPr="00555ACA">
        <w:t>of premarket testing</w:t>
      </w:r>
      <w:r w:rsidR="00136122">
        <w:t xml:space="preserve"> and consumer complaints</w:t>
      </w:r>
      <w:r w:rsidR="00BF4038">
        <w:t xml:space="preserve"> that were made</w:t>
      </w:r>
      <w:r w:rsidR="00136122">
        <w:t xml:space="preserve"> both to NHTSA and to Nissan</w:t>
      </w:r>
      <w:r w:rsidR="009D318E">
        <w:t xml:space="preserve"> and its dealers</w:t>
      </w:r>
      <w:r w:rsidR="00136122">
        <w:t xml:space="preserve">. </w:t>
      </w:r>
      <w:r w:rsidR="005B2740">
        <w:t xml:space="preserve"> </w:t>
      </w:r>
      <w:r>
        <w:t>It is not clear what additional information Nissan believes should have been included.</w:t>
      </w:r>
      <w:r>
        <w:rPr>
          <w:rStyle w:val="FootnoteReference"/>
        </w:rPr>
        <w:footnoteReference w:id="8"/>
      </w:r>
      <w:r>
        <w:t xml:space="preserve">  </w:t>
      </w:r>
      <w:r w:rsidR="00E47B96">
        <w:t>We decline to hold (again in the absence of a more developed argument on this point) that p</w:t>
      </w:r>
      <w:r w:rsidR="005B2740">
        <w:t xml:space="preserve">laintiffs </w:t>
      </w:r>
      <w:r w:rsidR="00FF209A">
        <w:t>were required to</w:t>
      </w:r>
      <w:r w:rsidR="0026331D">
        <w:t xml:space="preserve"> </w:t>
      </w:r>
      <w:r w:rsidR="00CE6315">
        <w:t xml:space="preserve">include in the SAC </w:t>
      </w:r>
      <w:r>
        <w:t xml:space="preserve">more detailed allegations </w:t>
      </w:r>
      <w:r w:rsidR="00884696">
        <w:t xml:space="preserve">about </w:t>
      </w:r>
      <w:r w:rsidR="00680E6B">
        <w:t xml:space="preserve">the alleged defects in the </w:t>
      </w:r>
      <w:r w:rsidR="00BE2EA8">
        <w:t>CVT</w:t>
      </w:r>
      <w:r>
        <w:t>.</w:t>
      </w:r>
      <w:r w:rsidR="00105BAA">
        <w:t xml:space="preserve">  </w:t>
      </w:r>
      <w:r w:rsidR="00C35C69">
        <w:t>We conclude plaintiffs’ fraud claim was adequately pleaded.</w:t>
      </w:r>
    </w:p>
    <w:p w14:paraId="37037C2C" w14:textId="354EE2C0" w:rsidR="00390E27" w:rsidRDefault="00D673FD" w:rsidP="0090030A">
      <w:r>
        <w:t xml:space="preserve">For the foregoing reasons, we will reverse the trial court’s order sustaining Nissan’s demurrer to the </w:t>
      </w:r>
      <w:r w:rsidR="00047FAF">
        <w:t>SAC’s fourth cause of action</w:t>
      </w:r>
      <w:r w:rsidR="00105BAA">
        <w:t xml:space="preserve"> (</w:t>
      </w:r>
      <w:r w:rsidR="00047FAF">
        <w:t xml:space="preserve">the claim for </w:t>
      </w:r>
      <w:r w:rsidR="00105BAA">
        <w:t>fraudulent inducement by concealment).</w:t>
      </w:r>
      <w:r w:rsidR="00087481">
        <w:t xml:space="preserve">  </w:t>
      </w:r>
      <w:r w:rsidR="00C000FC">
        <w:t xml:space="preserve">We will also reverse the </w:t>
      </w:r>
      <w:r w:rsidR="00D01A0A">
        <w:t xml:space="preserve">court’s </w:t>
      </w:r>
      <w:r w:rsidR="00C000FC">
        <w:lastRenderedPageBreak/>
        <w:t xml:space="preserve">order granting Nissan’s motion to strike </w:t>
      </w:r>
      <w:r w:rsidR="00D01A0A">
        <w:t xml:space="preserve">plaintiffs’ </w:t>
      </w:r>
      <w:r w:rsidR="00C000FC">
        <w:t>punitive damages allegations</w:t>
      </w:r>
      <w:r w:rsidR="00794CCA">
        <w:t>, as the basis for th</w:t>
      </w:r>
      <w:r w:rsidR="00194F17">
        <w:t>at</w:t>
      </w:r>
      <w:r w:rsidR="00794CCA">
        <w:t xml:space="preserve"> order was </w:t>
      </w:r>
      <w:r w:rsidR="00194F17">
        <w:t>the court’s</w:t>
      </w:r>
      <w:r w:rsidR="00794CCA">
        <w:t xml:space="preserve"> conclusion </w:t>
      </w:r>
      <w:r w:rsidR="00194F17">
        <w:t xml:space="preserve">that </w:t>
      </w:r>
      <w:r w:rsidR="00923A58">
        <w:t>plaintiffs had not stated a viable fraud claim</w:t>
      </w:r>
      <w:r w:rsidR="00C000FC">
        <w:t>.</w:t>
      </w:r>
      <w:r>
        <w:rPr>
          <w:rStyle w:val="FootnoteReference"/>
        </w:rPr>
        <w:footnoteReference w:id="9"/>
      </w:r>
    </w:p>
    <w:p w14:paraId="25661089" w14:textId="2CA3B2EC" w:rsidR="00D92215" w:rsidRDefault="00D673FD" w:rsidP="00394626">
      <w:pPr>
        <w:pStyle w:val="Heading1"/>
      </w:pPr>
      <w:r>
        <w:t>DISPOSITION</w:t>
      </w:r>
    </w:p>
    <w:p w14:paraId="04C9C3C7" w14:textId="4601B4AD" w:rsidR="00C202CB" w:rsidRDefault="00D673FD" w:rsidP="00394626">
      <w:r>
        <w:t xml:space="preserve">The </w:t>
      </w:r>
      <w:r w:rsidR="0031770D">
        <w:t xml:space="preserve">April 2021 </w:t>
      </w:r>
      <w:r>
        <w:t>judgment is reversed</w:t>
      </w:r>
      <w:r w:rsidR="007F3963">
        <w:t xml:space="preserve">.  </w:t>
      </w:r>
      <w:r w:rsidR="002E0107">
        <w:t>The trial court</w:t>
      </w:r>
      <w:r w:rsidR="0061338F">
        <w:t>’s</w:t>
      </w:r>
      <w:r w:rsidR="00EB7E9B">
        <w:t xml:space="preserve"> </w:t>
      </w:r>
      <w:r w:rsidR="002E0107">
        <w:t>order</w:t>
      </w:r>
      <w:r w:rsidR="004E4E48">
        <w:t>s</w:t>
      </w:r>
      <w:r w:rsidR="002E0107">
        <w:t xml:space="preserve"> </w:t>
      </w:r>
      <w:r w:rsidR="004E4E48">
        <w:t>(1) </w:t>
      </w:r>
      <w:r w:rsidR="002E0107">
        <w:t>sustaining Nissan’s demurrer to plaintiffs’ claim for fraudulent inducement by concealment (the fourth cause of action in the SAC)</w:t>
      </w:r>
      <w:r w:rsidR="004E4E48">
        <w:t>, and (2) granting Nissan’s motion to strike the SAC’s punitive damages allegations,</w:t>
      </w:r>
      <w:r w:rsidR="002E0107">
        <w:t xml:space="preserve"> </w:t>
      </w:r>
      <w:r w:rsidR="004E4E48">
        <w:t>are</w:t>
      </w:r>
      <w:r w:rsidR="002E0107">
        <w:t xml:space="preserve"> reversed</w:t>
      </w:r>
      <w:r w:rsidR="004E4E48">
        <w:t xml:space="preserve">. </w:t>
      </w:r>
      <w:r>
        <w:t xml:space="preserve"> </w:t>
      </w:r>
      <w:r w:rsidR="00C91CFD">
        <w:t xml:space="preserve">The </w:t>
      </w:r>
      <w:r w:rsidR="00014FBB">
        <w:t xml:space="preserve">trial </w:t>
      </w:r>
      <w:r w:rsidR="00C91CFD">
        <w:t xml:space="preserve">court </w:t>
      </w:r>
      <w:r w:rsidR="00014FBB">
        <w:t xml:space="preserve">is directed to </w:t>
      </w:r>
      <w:r w:rsidR="00C91CFD">
        <w:t xml:space="preserve">enter a new order or orders overruling the demurrer and denying the motion to strike.  </w:t>
      </w:r>
      <w:r w:rsidR="004E4E48">
        <w:t>T</w:t>
      </w:r>
      <w:r>
        <w:t>he case is remanded for further proceedings on plaintiffs’ claim for fraudulent inducement by concealment</w:t>
      </w:r>
      <w:r w:rsidR="006D3B16">
        <w:t>, plaintiffs having dismissed their other claims with prejudice</w:t>
      </w:r>
      <w:r>
        <w:t>.  Plaintiffs s</w:t>
      </w:r>
      <w:r>
        <w:t>hall recover their costs on appeal.</w:t>
      </w:r>
    </w:p>
    <w:p w14:paraId="715A858A" w14:textId="57030106" w:rsidR="005436C1" w:rsidRDefault="00D673FD" w:rsidP="00A35660">
      <w:pPr>
        <w:tabs>
          <w:tab w:val="left" w:pos="6120"/>
        </w:tabs>
        <w:spacing w:before="240" w:line="240" w:lineRule="auto"/>
        <w:ind w:firstLine="0"/>
      </w:pPr>
      <w:r>
        <w:tab/>
        <w:t>STREETER, J.</w:t>
      </w:r>
      <w:r w:rsidR="002809A6">
        <w:t xml:space="preserve"> </w:t>
      </w:r>
    </w:p>
    <w:p w14:paraId="38C1F033" w14:textId="77777777" w:rsidR="005436C1" w:rsidRDefault="00D673FD" w:rsidP="00A35660">
      <w:pPr>
        <w:tabs>
          <w:tab w:val="left" w:pos="1620"/>
        </w:tabs>
        <w:spacing w:before="240" w:after="240" w:line="240" w:lineRule="auto"/>
        <w:ind w:firstLine="0"/>
      </w:pPr>
      <w:r>
        <w:t>WE CONCUR:</w:t>
      </w:r>
    </w:p>
    <w:p w14:paraId="0328B21E" w14:textId="77777777" w:rsidR="005436C1" w:rsidRDefault="00D673FD" w:rsidP="00A35660">
      <w:pPr>
        <w:tabs>
          <w:tab w:val="left" w:pos="1620"/>
        </w:tabs>
        <w:spacing w:line="240" w:lineRule="auto"/>
        <w:ind w:firstLine="0"/>
      </w:pPr>
      <w:r>
        <w:t>POLLAK, P. J.</w:t>
      </w:r>
    </w:p>
    <w:p w14:paraId="4B45D75B" w14:textId="77777777" w:rsidR="005436C1" w:rsidRDefault="00D673FD" w:rsidP="00A35660">
      <w:pPr>
        <w:tabs>
          <w:tab w:val="left" w:pos="1620"/>
        </w:tabs>
        <w:spacing w:line="240" w:lineRule="auto"/>
        <w:ind w:firstLine="0"/>
      </w:pPr>
      <w:r>
        <w:t>GOLDMAN, J.</w:t>
      </w:r>
    </w:p>
    <w:p w14:paraId="5951612B" w14:textId="77777777" w:rsidR="00DF1C03" w:rsidRDefault="00DF1C03" w:rsidP="00394626">
      <w:pPr>
        <w:ind w:firstLine="0"/>
        <w:rPr>
          <w:rFonts w:cs="Times New Roman"/>
        </w:rPr>
      </w:pPr>
    </w:p>
    <w:p w14:paraId="014B98E7" w14:textId="77777777" w:rsidR="004F6169" w:rsidRDefault="004F6169" w:rsidP="00394626">
      <w:pPr>
        <w:ind w:firstLine="0"/>
        <w:rPr>
          <w:rFonts w:cs="Times New Roman"/>
        </w:rPr>
        <w:sectPr w:rsidR="004F6169" w:rsidSect="00B0562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383BDE35" w14:textId="4943E749" w:rsidR="00372AA6" w:rsidRPr="00E40344" w:rsidRDefault="00D673FD">
      <w:pPr>
        <w:tabs>
          <w:tab w:val="left" w:pos="1620"/>
        </w:tabs>
        <w:spacing w:after="240" w:line="240" w:lineRule="auto"/>
        <w:ind w:left="2340" w:hanging="2340"/>
      </w:pPr>
      <w:r w:rsidRPr="00E40344">
        <w:lastRenderedPageBreak/>
        <w:t>Trial Court:</w:t>
      </w:r>
      <w:r w:rsidRPr="00E40344">
        <w:tab/>
      </w:r>
      <w:r w:rsidRPr="00572318">
        <w:t xml:space="preserve">Superior Court of California, County of </w:t>
      </w:r>
      <w:r w:rsidR="00AE137F" w:rsidRPr="00572318">
        <w:t>Alameda</w:t>
      </w:r>
    </w:p>
    <w:p w14:paraId="6BC876C9" w14:textId="4D14B701" w:rsidR="00372AA6" w:rsidRPr="00E40344" w:rsidRDefault="00D673FD">
      <w:pPr>
        <w:tabs>
          <w:tab w:val="left" w:pos="1620"/>
        </w:tabs>
        <w:spacing w:after="240" w:line="240" w:lineRule="auto"/>
        <w:ind w:left="2340" w:hanging="2340"/>
      </w:pPr>
      <w:r w:rsidRPr="00E40344">
        <w:t>Trial Judge:</w:t>
      </w:r>
      <w:r w:rsidRPr="00E40344">
        <w:tab/>
        <w:t>Hon</w:t>
      </w:r>
      <w:r>
        <w:t>. </w:t>
      </w:r>
      <w:r w:rsidR="00AE137F" w:rsidRPr="00C35824">
        <w:t>Richard Seabolt</w:t>
      </w:r>
      <w:r w:rsidR="00975867">
        <w:t xml:space="preserve"> </w:t>
      </w:r>
    </w:p>
    <w:p w14:paraId="0481ED91" w14:textId="7C1CDA96" w:rsidR="00372AA6" w:rsidRDefault="00D673FD" w:rsidP="00770CC0">
      <w:pPr>
        <w:tabs>
          <w:tab w:val="left" w:pos="1620"/>
        </w:tabs>
        <w:spacing w:line="240" w:lineRule="auto"/>
        <w:ind w:left="1980" w:hanging="1980"/>
      </w:pPr>
      <w:r w:rsidRPr="00E40344">
        <w:t>Counsel:</w:t>
      </w:r>
      <w:r w:rsidRPr="00E40344">
        <w:tab/>
      </w:r>
      <w:r w:rsidR="00B90537">
        <w:t>K</w:t>
      </w:r>
      <w:r w:rsidR="008F21A3">
        <w:t>night</w:t>
      </w:r>
      <w:r w:rsidR="00B90537">
        <w:t xml:space="preserve"> L</w:t>
      </w:r>
      <w:r w:rsidR="008F21A3">
        <w:t>aw</w:t>
      </w:r>
      <w:r w:rsidR="00B90537">
        <w:t xml:space="preserve"> G</w:t>
      </w:r>
      <w:r w:rsidR="008F21A3">
        <w:t xml:space="preserve">roup, </w:t>
      </w:r>
      <w:r w:rsidR="00B90537">
        <w:t>Steve Mikhov, Christopher Swanson</w:t>
      </w:r>
      <w:r w:rsidR="009E6531">
        <w:t>, Roger R. Kirnos</w:t>
      </w:r>
      <w:r w:rsidR="00036AD9">
        <w:t xml:space="preserve">; </w:t>
      </w:r>
      <w:r w:rsidR="0079658A">
        <w:t>Greines, M</w:t>
      </w:r>
      <w:r w:rsidR="00916B10">
        <w:t>artin, Stein</w:t>
      </w:r>
      <w:r w:rsidR="0079658A">
        <w:t xml:space="preserve"> &amp; R</w:t>
      </w:r>
      <w:r w:rsidR="00126465">
        <w:t xml:space="preserve">ichland, </w:t>
      </w:r>
      <w:r w:rsidR="0079658A">
        <w:t>Cynthia</w:t>
      </w:r>
      <w:r w:rsidR="00F708E7">
        <w:t> </w:t>
      </w:r>
      <w:r w:rsidR="0079658A">
        <w:t>E. Tobisman, Marc J. Poster</w:t>
      </w:r>
      <w:r w:rsidR="00912AB6">
        <w:t>, Alana H. Rotter</w:t>
      </w:r>
      <w:r w:rsidR="00770CC0">
        <w:t xml:space="preserve"> </w:t>
      </w:r>
      <w:r w:rsidRPr="006908FD">
        <w:t>for Plaintiff</w:t>
      </w:r>
      <w:r w:rsidR="006908FD" w:rsidRPr="006908FD">
        <w:t>s</w:t>
      </w:r>
      <w:r w:rsidR="00F83534">
        <w:t xml:space="preserve"> </w:t>
      </w:r>
      <w:r w:rsidRPr="006908FD">
        <w:t>and Appellant</w:t>
      </w:r>
      <w:r w:rsidR="006908FD" w:rsidRPr="006908FD">
        <w:t>s</w:t>
      </w:r>
      <w:r w:rsidRPr="006908FD">
        <w:t>.</w:t>
      </w:r>
    </w:p>
    <w:p w14:paraId="07C60F1F" w14:textId="77777777" w:rsidR="00372AA6" w:rsidRPr="00E40344" w:rsidRDefault="00372AA6" w:rsidP="00A53B64">
      <w:pPr>
        <w:tabs>
          <w:tab w:val="left" w:pos="1620"/>
        </w:tabs>
        <w:spacing w:line="240" w:lineRule="auto"/>
        <w:ind w:firstLine="0"/>
      </w:pPr>
    </w:p>
    <w:p w14:paraId="3E2B03CE" w14:textId="540A8A87" w:rsidR="00D84710" w:rsidRPr="00FF23E0" w:rsidRDefault="00D673FD" w:rsidP="00FF23E0">
      <w:pPr>
        <w:tabs>
          <w:tab w:val="left" w:pos="1620"/>
        </w:tabs>
        <w:spacing w:line="240" w:lineRule="auto"/>
        <w:ind w:left="1980" w:hanging="1980"/>
      </w:pPr>
      <w:r w:rsidRPr="00E40344">
        <w:tab/>
      </w:r>
      <w:r w:rsidR="002A3B02">
        <w:t xml:space="preserve">Shook, Hardy &amp; </w:t>
      </w:r>
      <w:r w:rsidR="00682D46">
        <w:t xml:space="preserve">Bacon, </w:t>
      </w:r>
      <w:r w:rsidR="002A3B02">
        <w:t>Amir Nassihi</w:t>
      </w:r>
      <w:r w:rsidR="00682D46">
        <w:t xml:space="preserve">, </w:t>
      </w:r>
      <w:r w:rsidR="002A3B02">
        <w:t>M.</w:t>
      </w:r>
      <w:r w:rsidR="00682D46">
        <w:t> </w:t>
      </w:r>
      <w:r w:rsidR="002A3B02">
        <w:t xml:space="preserve">Kevin Underhill </w:t>
      </w:r>
      <w:r w:rsidRPr="004B4A1E">
        <w:t xml:space="preserve">for </w:t>
      </w:r>
      <w:r w:rsidRPr="006908FD">
        <w:t>Defendant and Respondent</w:t>
      </w:r>
      <w:r w:rsidRPr="004B4A1E">
        <w:t>.</w:t>
      </w:r>
    </w:p>
    <w:sectPr w:rsidR="00D84710" w:rsidRPr="00FF23E0" w:rsidSect="00B05622">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8E96" w14:textId="77777777" w:rsidR="00000000" w:rsidRDefault="00D673FD">
      <w:pPr>
        <w:spacing w:line="240" w:lineRule="auto"/>
      </w:pPr>
      <w:r>
        <w:separator/>
      </w:r>
    </w:p>
  </w:endnote>
  <w:endnote w:type="continuationSeparator" w:id="0">
    <w:p w14:paraId="7CB54C4F" w14:textId="77777777" w:rsidR="00000000" w:rsidRDefault="00D673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EF9BD" w14:textId="77777777" w:rsidR="00ED26E3" w:rsidRDefault="00ED2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891619"/>
      <w:docPartObj>
        <w:docPartGallery w:val="Page Numbers (Bottom of Page)"/>
        <w:docPartUnique/>
      </w:docPartObj>
    </w:sdtPr>
    <w:sdtEndPr>
      <w:rPr>
        <w:noProof/>
      </w:rPr>
    </w:sdtEndPr>
    <w:sdtContent>
      <w:p w14:paraId="61691297" w14:textId="77777777" w:rsidR="00B05622" w:rsidRDefault="00D673FD" w:rsidP="00E2772A">
        <w:pPr>
          <w:pStyle w:val="Footer"/>
          <w:tabs>
            <w:tab w:val="clear" w:pos="720"/>
          </w:tabs>
          <w:ind w:firstLine="0"/>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6997" w14:textId="77777777" w:rsidR="00ED26E3" w:rsidRDefault="00ED26E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E830" w14:textId="6E57FD07" w:rsidR="00A940AE" w:rsidRPr="002A1E5F" w:rsidRDefault="00D673FD" w:rsidP="002A1E5F">
    <w:pPr>
      <w:pStyle w:val="Footer"/>
      <w:ind w:firstLine="0"/>
      <w:rPr>
        <w:sz w:val="20"/>
        <w:szCs w:val="20"/>
      </w:rPr>
    </w:pPr>
    <w:r w:rsidRPr="002A1E5F">
      <w:rPr>
        <w:i/>
        <w:iCs/>
        <w:sz w:val="20"/>
        <w:szCs w:val="20"/>
      </w:rPr>
      <w:t xml:space="preserve">Dhital </w:t>
    </w:r>
    <w:r w:rsidR="002A1E5F" w:rsidRPr="002A1E5F">
      <w:rPr>
        <w:i/>
        <w:iCs/>
        <w:sz w:val="20"/>
        <w:szCs w:val="20"/>
      </w:rPr>
      <w:t>v. Nissan North America, Inc.</w:t>
    </w:r>
    <w:r w:rsidR="002A1E5F" w:rsidRPr="002A1E5F">
      <w:rPr>
        <w:sz w:val="20"/>
        <w:szCs w:val="20"/>
      </w:rPr>
      <w:t xml:space="preserve"> - A162817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59F24" w14:textId="77777777" w:rsidR="0060483B" w:rsidRDefault="00D673FD" w:rsidP="003B2BC2">
      <w:pPr>
        <w:spacing w:line="240" w:lineRule="auto"/>
        <w:ind w:firstLine="0"/>
      </w:pPr>
      <w:r>
        <w:separator/>
      </w:r>
    </w:p>
  </w:footnote>
  <w:footnote w:type="continuationSeparator" w:id="0">
    <w:p w14:paraId="2A1D25D8" w14:textId="77777777" w:rsidR="0060483B" w:rsidRDefault="00D673FD" w:rsidP="003B2BC2">
      <w:pPr>
        <w:spacing w:line="240" w:lineRule="auto"/>
        <w:ind w:firstLine="0"/>
      </w:pPr>
      <w:r>
        <w:continuationSeparator/>
      </w:r>
    </w:p>
  </w:footnote>
  <w:footnote w:type="continuationNotice" w:id="1">
    <w:p w14:paraId="5CAADFAD" w14:textId="77777777" w:rsidR="0060483B" w:rsidRDefault="0060483B">
      <w:pPr>
        <w:spacing w:line="240" w:lineRule="auto"/>
      </w:pPr>
    </w:p>
  </w:footnote>
  <w:footnote w:id="2">
    <w:p w14:paraId="3F1330B6" w14:textId="418096C4" w:rsidR="00CA26EE" w:rsidRPr="009534C5" w:rsidRDefault="00D673FD">
      <w:pPr>
        <w:pStyle w:val="FootnoteText"/>
      </w:pPr>
      <w:r>
        <w:rPr>
          <w:rStyle w:val="FootnoteReference"/>
        </w:rPr>
        <w:footnoteRef/>
      </w:r>
      <w:r>
        <w:t xml:space="preserve"> We grant plaintiffs’ unopposed request that we take judicial notice of </w:t>
      </w:r>
      <w:r w:rsidR="009534C5">
        <w:t>(1) </w:t>
      </w:r>
      <w:r>
        <w:t xml:space="preserve">a brief filed in </w:t>
      </w:r>
      <w:r w:rsidR="009534C5">
        <w:t xml:space="preserve">the Supreme Court in </w:t>
      </w:r>
      <w:r w:rsidR="009534C5" w:rsidRPr="009534C5">
        <w:rPr>
          <w:i/>
          <w:iCs/>
        </w:rPr>
        <w:t>Robinson</w:t>
      </w:r>
      <w:r w:rsidR="009534C5">
        <w:t xml:space="preserve">, and (2) a </w:t>
      </w:r>
      <w:r w:rsidR="000924D1">
        <w:t>California superior court order discussing the economic loss rule.</w:t>
      </w:r>
    </w:p>
  </w:footnote>
  <w:footnote w:id="3">
    <w:p w14:paraId="5200DFB1" w14:textId="64F5D641" w:rsidR="00D777E8" w:rsidRDefault="00D673FD" w:rsidP="00FC65F6">
      <w:pPr>
        <w:pStyle w:val="FootnoteText"/>
      </w:pPr>
      <w:r>
        <w:rPr>
          <w:rStyle w:val="FootnoteReference"/>
        </w:rPr>
        <w:footnoteRef/>
      </w:r>
      <w:r>
        <w:t xml:space="preserve"> </w:t>
      </w:r>
      <w:r w:rsidR="009F3E44">
        <w:t xml:space="preserve">We note that, in </w:t>
      </w:r>
      <w:r w:rsidR="009F3E44" w:rsidRPr="00313050">
        <w:rPr>
          <w:i/>
          <w:iCs/>
        </w:rPr>
        <w:t>Rattagan v. Uber Technologies, Inc.</w:t>
      </w:r>
      <w:r w:rsidR="009F3E44">
        <w:t xml:space="preserve"> (9th Cir. 2021) 19</w:t>
      </w:r>
      <w:r w:rsidR="00C23530">
        <w:t> </w:t>
      </w:r>
      <w:r w:rsidR="009F3E44">
        <w:t xml:space="preserve">F.4th 1188, </w:t>
      </w:r>
      <w:r w:rsidR="009F3E44" w:rsidRPr="003176C9">
        <w:t>1193</w:t>
      </w:r>
      <w:r w:rsidR="000C51EA" w:rsidRPr="003176C9">
        <w:t xml:space="preserve"> (</w:t>
      </w:r>
      <w:r w:rsidR="000C51EA" w:rsidRPr="003176C9">
        <w:rPr>
          <w:i/>
          <w:iCs/>
        </w:rPr>
        <w:t>Rattagan</w:t>
      </w:r>
      <w:r w:rsidR="000C51EA" w:rsidRPr="003176C9">
        <w:t>)</w:t>
      </w:r>
      <w:r w:rsidR="009F3E44" w:rsidRPr="003176C9">
        <w:t>, the United</w:t>
      </w:r>
      <w:r w:rsidR="009F3E44">
        <w:t xml:space="preserve"> States Court of Appeals for the Ninth Circuit certified to the California Supreme Court the following question:  “Under California law, are claims for fraudulent concealment exempted from the economic loss rule?”  (Cal. Rules of Court, rule 8.548.)  The California Supreme Court granted the Ninth Circuit’s request for certification, and the case is currently </w:t>
      </w:r>
      <w:r w:rsidR="009F3E44" w:rsidRPr="00D968C7">
        <w:t>pending.  (</w:t>
      </w:r>
      <w:r w:rsidR="009F3E44" w:rsidRPr="00D968C7">
        <w:rPr>
          <w:i/>
        </w:rPr>
        <w:t>Rattagan</w:t>
      </w:r>
      <w:r w:rsidR="009F3E44" w:rsidRPr="00D968C7">
        <w:rPr>
          <w:i/>
          <w:iCs/>
        </w:rPr>
        <w:t xml:space="preserve"> v. Uber Technologies</w:t>
      </w:r>
      <w:r w:rsidR="009F3E44" w:rsidRPr="00D968C7">
        <w:t>, request for certification granted Feb. 9, 2022, S272113.)</w:t>
      </w:r>
    </w:p>
  </w:footnote>
  <w:footnote w:id="4">
    <w:p w14:paraId="1933D908" w14:textId="5DCDBA35" w:rsidR="00487650" w:rsidRDefault="00D673FD" w:rsidP="0041258A">
      <w:pPr>
        <w:pStyle w:val="FootnoteText"/>
      </w:pPr>
      <w:r>
        <w:rPr>
          <w:rStyle w:val="FootnoteReference"/>
        </w:rPr>
        <w:footnoteRef/>
      </w:r>
      <w:r>
        <w:t xml:space="preserve"> Like the trial court and the parties, we will </w:t>
      </w:r>
      <w:r w:rsidR="007C29AB">
        <w:t xml:space="preserve">treat plaintiffs’ statutory warranty claims </w:t>
      </w:r>
      <w:r w:rsidR="00F4731D">
        <w:t xml:space="preserve">under the Song-Beverly Act </w:t>
      </w:r>
      <w:r w:rsidR="007C29AB">
        <w:t>as the equivalent of contract claims for purposes of determining whether the economic loss rule applies</w:t>
      </w:r>
      <w:r w:rsidR="00EC4538">
        <w:t xml:space="preserve"> to bar their (allegedly overlapping) fraud claim</w:t>
      </w:r>
      <w:r w:rsidR="007C29AB">
        <w:t xml:space="preserve">. </w:t>
      </w:r>
      <w:r w:rsidR="000657EF">
        <w:t xml:space="preserve"> </w:t>
      </w:r>
      <w:r w:rsidR="00CE42A8">
        <w:t xml:space="preserve">But </w:t>
      </w:r>
      <w:r w:rsidR="00882C15">
        <w:t>we note t</w:t>
      </w:r>
      <w:r w:rsidR="00571D63">
        <w:t>he assumption on which th</w:t>
      </w:r>
      <w:r w:rsidR="00DC70D5">
        <w:t xml:space="preserve">is </w:t>
      </w:r>
      <w:r w:rsidR="0080694F">
        <w:t xml:space="preserve">approach to </w:t>
      </w:r>
      <w:r w:rsidR="00DE51DB">
        <w:t>plaintiffs’ claims rests—tha</w:t>
      </w:r>
      <w:r w:rsidR="00073AF8">
        <w:t xml:space="preserve">t </w:t>
      </w:r>
      <w:r w:rsidR="007D4D2B">
        <w:t xml:space="preserve">the economic loss rule </w:t>
      </w:r>
      <w:r w:rsidR="00252918">
        <w:t xml:space="preserve">may be applied </w:t>
      </w:r>
      <w:r w:rsidR="00CC4EAF">
        <w:t xml:space="preserve">to </w:t>
      </w:r>
      <w:r w:rsidR="00CA3A35">
        <w:t xml:space="preserve">statutory claims </w:t>
      </w:r>
      <w:r w:rsidR="00431BAC">
        <w:t>of this kind</w:t>
      </w:r>
      <w:r w:rsidR="005A7D9F">
        <w:t xml:space="preserve">—is not </w:t>
      </w:r>
      <w:r w:rsidR="00E459B1">
        <w:t xml:space="preserve">one we necessarily </w:t>
      </w:r>
      <w:r w:rsidR="001E2774">
        <w:t xml:space="preserve">accept, and nothing in this opinion should be read as passing on it. </w:t>
      </w:r>
      <w:r w:rsidR="000657EF">
        <w:t xml:space="preserve"> </w:t>
      </w:r>
      <w:r w:rsidR="0041258A">
        <w:t xml:space="preserve">We note that the Song-Beverly Act states the remedies available for violations are nonexclusive.  The </w:t>
      </w:r>
      <w:r w:rsidR="002E3237">
        <w:t>statute</w:t>
      </w:r>
      <w:r w:rsidR="0041258A">
        <w:t xml:space="preserve"> provides in pertinent part:  “The remedies provided by this chapter are cumulative and shall not be construed as restricting any remedy that is otherwise available.” </w:t>
      </w:r>
      <w:r w:rsidR="00272FB5">
        <w:t xml:space="preserve"> </w:t>
      </w:r>
      <w:r w:rsidR="0041258A">
        <w:t>(§</w:t>
      </w:r>
      <w:r w:rsidR="005866AC">
        <w:t> </w:t>
      </w:r>
      <w:r w:rsidR="0041258A">
        <w:t>1790.4</w:t>
      </w:r>
      <w:r w:rsidR="00272FB5">
        <w:t xml:space="preserve">; see </w:t>
      </w:r>
      <w:r w:rsidR="00BC0DAA" w:rsidRPr="00BC0DAA">
        <w:rPr>
          <w:i/>
          <w:iCs/>
        </w:rPr>
        <w:t>A</w:t>
      </w:r>
      <w:r w:rsidR="0041258A" w:rsidRPr="00BC0DAA">
        <w:rPr>
          <w:i/>
          <w:iCs/>
        </w:rPr>
        <w:t>nderson v. Ford Motor Co</w:t>
      </w:r>
      <w:r w:rsidR="00BC0DAA">
        <w:rPr>
          <w:i/>
          <w:iCs/>
        </w:rPr>
        <w:t>mpany</w:t>
      </w:r>
      <w:r w:rsidR="0041258A">
        <w:t xml:space="preserve"> </w:t>
      </w:r>
      <w:r w:rsidR="00BC0DAA">
        <w:t xml:space="preserve">(2022) </w:t>
      </w:r>
      <w:r w:rsidR="0041258A">
        <w:t>74</w:t>
      </w:r>
      <w:r w:rsidR="005866AC">
        <w:t> </w:t>
      </w:r>
      <w:r w:rsidR="0041258A">
        <w:t>Cal.App.5th 946, 968</w:t>
      </w:r>
      <w:r w:rsidR="00FE5F31">
        <w:t>, fn. 12</w:t>
      </w:r>
      <w:r w:rsidR="005248FF">
        <w:t xml:space="preserve"> (</w:t>
      </w:r>
      <w:r w:rsidR="005248FF" w:rsidRPr="005248FF">
        <w:rPr>
          <w:i/>
          <w:iCs/>
        </w:rPr>
        <w:t>Anderson</w:t>
      </w:r>
      <w:r w:rsidR="005248FF">
        <w:t>)</w:t>
      </w:r>
      <w:r w:rsidR="00FE5F31">
        <w:t>.</w:t>
      </w:r>
      <w:r w:rsidR="0041258A">
        <w:t>)</w:t>
      </w:r>
    </w:p>
  </w:footnote>
  <w:footnote w:id="5">
    <w:p w14:paraId="1398C932" w14:textId="6060615E" w:rsidR="004A5ECB" w:rsidRDefault="00D673FD">
      <w:pPr>
        <w:pStyle w:val="FootnoteText"/>
      </w:pPr>
      <w:r>
        <w:rPr>
          <w:rStyle w:val="FootnoteReference"/>
        </w:rPr>
        <w:footnoteRef/>
      </w:r>
      <w:r>
        <w:t xml:space="preserve"> Nissan is thus incorrect in </w:t>
      </w:r>
      <w:r w:rsidR="00657FB0">
        <w:t>asserting</w:t>
      </w:r>
      <w:r>
        <w:t xml:space="preserve"> </w:t>
      </w:r>
      <w:r w:rsidR="00CA62C6">
        <w:t xml:space="preserve">that </w:t>
      </w:r>
      <w:r w:rsidR="00371D2F">
        <w:t xml:space="preserve">the </w:t>
      </w:r>
      <w:r w:rsidR="00CA62C6" w:rsidRPr="00CA62C6">
        <w:rPr>
          <w:i/>
          <w:iCs/>
        </w:rPr>
        <w:t>Robinson</w:t>
      </w:r>
      <w:r w:rsidR="00CA62C6">
        <w:t xml:space="preserve"> </w:t>
      </w:r>
      <w:r w:rsidR="00C47691">
        <w:t>court “</w:t>
      </w:r>
      <w:r w:rsidR="00CA62C6">
        <w:t>held</w:t>
      </w:r>
      <w:r w:rsidR="00C47691">
        <w:t>”</w:t>
      </w:r>
      <w:r w:rsidR="00CA62C6">
        <w:t xml:space="preserve"> fraud claims involving affirmative misrepresentations are the only ones that survive the economic loss rule. </w:t>
      </w:r>
      <w:r w:rsidR="00657FB0">
        <w:t xml:space="preserve"> </w:t>
      </w:r>
      <w:r w:rsidR="00E51E9B">
        <w:t>Instead, t</w:t>
      </w:r>
      <w:r w:rsidR="00EA7565">
        <w:t xml:space="preserve">he </w:t>
      </w:r>
      <w:r w:rsidR="00C47691" w:rsidRPr="00C47691">
        <w:rPr>
          <w:i/>
          <w:iCs/>
        </w:rPr>
        <w:t>Robinson</w:t>
      </w:r>
      <w:r w:rsidR="00C47691">
        <w:t xml:space="preserve"> </w:t>
      </w:r>
      <w:r w:rsidR="00EA7565">
        <w:t xml:space="preserve">court did not reach the question whether </w:t>
      </w:r>
      <w:r w:rsidR="00F13726">
        <w:t xml:space="preserve">the </w:t>
      </w:r>
      <w:r w:rsidR="00EA7565">
        <w:t xml:space="preserve">concealment claims </w:t>
      </w:r>
      <w:r w:rsidR="00F13726">
        <w:t xml:space="preserve">presented in that case </w:t>
      </w:r>
      <w:r w:rsidR="00EA7565">
        <w:t>were independent</w:t>
      </w:r>
      <w:r w:rsidR="00F13726">
        <w:t xml:space="preserve"> of the contract claims</w:t>
      </w:r>
      <w:r w:rsidR="00EA7565">
        <w:t>.</w:t>
      </w:r>
      <w:r w:rsidR="00C47691">
        <w:t xml:space="preserve">  (</w:t>
      </w:r>
      <w:r w:rsidR="00C47691" w:rsidRPr="00C47691">
        <w:rPr>
          <w:i/>
          <w:iCs/>
        </w:rPr>
        <w:t>Robinson</w:t>
      </w:r>
      <w:r w:rsidR="00C47691">
        <w:t xml:space="preserve">, </w:t>
      </w:r>
      <w:r w:rsidR="00C47691" w:rsidRPr="00C47691">
        <w:rPr>
          <w:i/>
          <w:iCs/>
        </w:rPr>
        <w:t>supra</w:t>
      </w:r>
      <w:r w:rsidR="00C47691">
        <w:t>, 34</w:t>
      </w:r>
      <w:r w:rsidR="003A0A12">
        <w:t> </w:t>
      </w:r>
      <w:r w:rsidR="00C47691">
        <w:t>Cal.4th at</w:t>
      </w:r>
      <w:r w:rsidR="00693214">
        <w:t xml:space="preserve"> p. 991.)</w:t>
      </w:r>
      <w:r w:rsidR="0073631A">
        <w:t xml:space="preserve">  For that reason, </w:t>
      </w:r>
      <w:r w:rsidR="00523DB1">
        <w:t xml:space="preserve">as noted, </w:t>
      </w:r>
      <w:r w:rsidR="0073631A">
        <w:t xml:space="preserve">the Ninth Circuit </w:t>
      </w:r>
      <w:r w:rsidR="00523DB1">
        <w:t xml:space="preserve">recently concluded it was </w:t>
      </w:r>
      <w:r w:rsidR="0073631A">
        <w:t>an open question</w:t>
      </w:r>
      <w:r w:rsidR="00523DB1">
        <w:t xml:space="preserve"> whether fraudulent concealment claims </w:t>
      </w:r>
      <w:r w:rsidR="00F94A91">
        <w:t>are “exempt</w:t>
      </w:r>
      <w:r w:rsidR="0059591C">
        <w:t>ed</w:t>
      </w:r>
      <w:r w:rsidR="00F94A91">
        <w:t xml:space="preserve">” from the economic loss rule </w:t>
      </w:r>
      <w:r w:rsidR="00523DB1">
        <w:t>under California law and certified that question to the California Supreme Court.  (</w:t>
      </w:r>
      <w:r w:rsidR="00523DB1" w:rsidRPr="00313050">
        <w:rPr>
          <w:i/>
          <w:iCs/>
        </w:rPr>
        <w:t>Rattagan</w:t>
      </w:r>
      <w:r w:rsidR="00523DB1" w:rsidRPr="003A0A12">
        <w:t>,</w:t>
      </w:r>
      <w:r w:rsidR="00523DB1">
        <w:rPr>
          <w:i/>
          <w:iCs/>
        </w:rPr>
        <w:t xml:space="preserve"> supra</w:t>
      </w:r>
      <w:r w:rsidR="00523DB1" w:rsidRPr="003A0A12">
        <w:t>,</w:t>
      </w:r>
      <w:r w:rsidR="00523DB1">
        <w:t xml:space="preserve"> 19</w:t>
      </w:r>
      <w:r w:rsidR="003A0A12">
        <w:t> </w:t>
      </w:r>
      <w:r w:rsidR="00523DB1">
        <w:t>F.4th at pp. 1191</w:t>
      </w:r>
      <w:r w:rsidR="003A0A12">
        <w:t>–</w:t>
      </w:r>
      <w:r w:rsidR="00523DB1">
        <w:t>1193</w:t>
      </w:r>
      <w:r w:rsidR="00697FC0">
        <w:t>.)</w:t>
      </w:r>
    </w:p>
  </w:footnote>
  <w:footnote w:id="6">
    <w:p w14:paraId="33E1676D" w14:textId="7006BDBF" w:rsidR="00F31826" w:rsidRDefault="00D673FD">
      <w:pPr>
        <w:pStyle w:val="FootnoteText"/>
      </w:pPr>
      <w:r>
        <w:rPr>
          <w:rStyle w:val="FootnoteReference"/>
        </w:rPr>
        <w:footnoteRef/>
      </w:r>
      <w:r>
        <w:t xml:space="preserve"> We do not preclude the possibility </w:t>
      </w:r>
      <w:r w:rsidR="00A76836">
        <w:t xml:space="preserve">that, depending </w:t>
      </w:r>
      <w:r w:rsidR="00990883">
        <w:t>on the evidentiary record</w:t>
      </w:r>
      <w:r w:rsidR="00C9414E">
        <w:t xml:space="preserve"> developed at summary judgment or trial</w:t>
      </w:r>
      <w:r w:rsidR="00990883">
        <w:t xml:space="preserve">, a fraudulent inducement </w:t>
      </w:r>
      <w:r w:rsidR="005D69F8">
        <w:t xml:space="preserve">claim </w:t>
      </w:r>
      <w:r w:rsidR="00990883">
        <w:t>could be</w:t>
      </w:r>
      <w:r w:rsidR="00B339F0">
        <w:t xml:space="preserve"> found not to be independent of a plaintif</w:t>
      </w:r>
      <w:r w:rsidR="00B339F0" w:rsidRPr="00136346">
        <w:rPr>
          <w:spacing w:val="20"/>
        </w:rPr>
        <w:t>f</w:t>
      </w:r>
      <w:r w:rsidR="00B339F0">
        <w:t xml:space="preserve">’s contract </w:t>
      </w:r>
      <w:r w:rsidR="004A5EEA">
        <w:t xml:space="preserve">or warranty </w:t>
      </w:r>
      <w:r w:rsidR="00B339F0">
        <w:t>claims</w:t>
      </w:r>
      <w:r>
        <w:t>.  (See</w:t>
      </w:r>
      <w:r w:rsidR="00A04344">
        <w:t xml:space="preserve"> </w:t>
      </w:r>
      <w:r w:rsidR="00A04344" w:rsidRPr="005248FF">
        <w:rPr>
          <w:i/>
          <w:iCs/>
        </w:rPr>
        <w:t>Anderson</w:t>
      </w:r>
      <w:r w:rsidR="00A04344">
        <w:t xml:space="preserve">, </w:t>
      </w:r>
      <w:r w:rsidR="00A04344" w:rsidRPr="005248FF">
        <w:rPr>
          <w:i/>
          <w:iCs/>
        </w:rPr>
        <w:t>supra</w:t>
      </w:r>
      <w:r w:rsidR="00A04344">
        <w:t>, 74</w:t>
      </w:r>
      <w:r w:rsidR="00136346">
        <w:t> </w:t>
      </w:r>
      <w:r w:rsidR="00A04344">
        <w:t>Cal.App.5th at p.</w:t>
      </w:r>
      <w:r w:rsidR="000C6081">
        <w:t xml:space="preserve"> 967 [appellate court’s determination </w:t>
      </w:r>
      <w:r w:rsidR="009C6AFF">
        <w:t>as to which conduct supported plaintiffs’ claims was “[b]ased on the pleadings and the trial evidence”</w:t>
      </w:r>
      <w:r w:rsidR="000C6081">
        <w:t>]</w:t>
      </w:r>
      <w:r w:rsidR="00296004">
        <w:t xml:space="preserve">; </w:t>
      </w:r>
      <w:r w:rsidR="0004638B" w:rsidRPr="00DD6974">
        <w:rPr>
          <w:i/>
          <w:iCs/>
        </w:rPr>
        <w:t>Santana v. FCA US, LLC</w:t>
      </w:r>
      <w:r w:rsidR="0004638B">
        <w:t xml:space="preserve"> (</w:t>
      </w:r>
      <w:r w:rsidR="00A57FEE">
        <w:t>2020) 56</w:t>
      </w:r>
      <w:r w:rsidR="00136346">
        <w:t> </w:t>
      </w:r>
      <w:r w:rsidR="00A57FEE">
        <w:t>Cal.App.5th 334, 345</w:t>
      </w:r>
      <w:r w:rsidR="00136346">
        <w:t>–</w:t>
      </w:r>
      <w:r w:rsidR="00A57FEE">
        <w:t xml:space="preserve">346 [cited by Nissan; </w:t>
      </w:r>
      <w:r w:rsidR="00E47AF5">
        <w:t xml:space="preserve">trial evidence did not show </w:t>
      </w:r>
      <w:r w:rsidR="00DD6974">
        <w:t xml:space="preserve">defendant </w:t>
      </w:r>
      <w:r w:rsidR="00EF1684">
        <w:t xml:space="preserve">intentionally concealed a </w:t>
      </w:r>
      <w:r w:rsidR="00DD6974">
        <w:t>defect prior to plaintif</w:t>
      </w:r>
      <w:r w:rsidR="00DD6974" w:rsidRPr="00136346">
        <w:rPr>
          <w:spacing w:val="20"/>
        </w:rPr>
        <w:t>f</w:t>
      </w:r>
      <w:r w:rsidR="00DD6974">
        <w:t xml:space="preserve">’s purchase of vehicle]; </w:t>
      </w:r>
      <w:r w:rsidR="00296004" w:rsidRPr="00296004">
        <w:rPr>
          <w:i/>
          <w:iCs/>
        </w:rPr>
        <w:t>Food Safety Net Services v. Eco Safe System</w:t>
      </w:r>
      <w:r w:rsidR="00037212" w:rsidRPr="008715BD">
        <w:rPr>
          <w:i/>
          <w:iCs/>
        </w:rPr>
        <w:t>s</w:t>
      </w:r>
      <w:r w:rsidR="00296004" w:rsidRPr="00296004">
        <w:rPr>
          <w:i/>
          <w:iCs/>
        </w:rPr>
        <w:t xml:space="preserve"> USA, Inc.</w:t>
      </w:r>
      <w:r w:rsidR="00296004">
        <w:t xml:space="preserve"> (2012) 209</w:t>
      </w:r>
      <w:r w:rsidR="00136346">
        <w:t> </w:t>
      </w:r>
      <w:r w:rsidR="00296004">
        <w:t xml:space="preserve">Cal.App.4th </w:t>
      </w:r>
      <w:r w:rsidR="00CE4E4A">
        <w:t xml:space="preserve">1118, </w:t>
      </w:r>
      <w:r w:rsidR="007B50DB">
        <w:t>113</w:t>
      </w:r>
      <w:r w:rsidR="004938AE" w:rsidRPr="00136346">
        <w:rPr>
          <w:spacing w:val="20"/>
        </w:rPr>
        <w:t>0</w:t>
      </w:r>
      <w:r w:rsidR="00136346" w:rsidRPr="00136346">
        <w:rPr>
          <w:spacing w:val="-20"/>
        </w:rPr>
        <w:t>–</w:t>
      </w:r>
      <w:r w:rsidR="007B50DB">
        <w:t>1</w:t>
      </w:r>
      <w:r w:rsidR="005B64D0">
        <w:t>1</w:t>
      </w:r>
      <w:r w:rsidR="007B50DB">
        <w:t>32</w:t>
      </w:r>
      <w:r w:rsidR="005B64D0">
        <w:t xml:space="preserve"> [trial court properly </w:t>
      </w:r>
      <w:r w:rsidR="005372C4">
        <w:t xml:space="preserve">relied on economic loss rule in </w:t>
      </w:r>
      <w:r w:rsidR="005B64D0">
        <w:t>grant</w:t>
      </w:r>
      <w:r w:rsidR="005372C4">
        <w:t>ing</w:t>
      </w:r>
      <w:r w:rsidR="005B64D0">
        <w:t xml:space="preserve"> summary judgment on fraudulent inducement claim</w:t>
      </w:r>
      <w:r w:rsidR="007D4362">
        <w:t xml:space="preserve"> </w:t>
      </w:r>
      <w:r w:rsidR="00BC5CE6">
        <w:t xml:space="preserve">in connection with contract </w:t>
      </w:r>
      <w:r w:rsidR="008E4FCB">
        <w:t>to perform a study of food disinfection equipment</w:t>
      </w:r>
      <w:r w:rsidR="00B37260">
        <w:t xml:space="preserve">; </w:t>
      </w:r>
      <w:r w:rsidR="00B37260" w:rsidRPr="009B0873">
        <w:t>“[b]</w:t>
      </w:r>
      <w:r w:rsidR="005372C4" w:rsidRPr="009B0873">
        <w:t xml:space="preserve">ecause </w:t>
      </w:r>
      <w:r w:rsidR="00B37260" w:rsidRPr="009B0873">
        <w:t xml:space="preserve">Eco Safe’s showing bore only </w:t>
      </w:r>
      <w:r w:rsidR="001F5FF9" w:rsidRPr="009B0873">
        <w:t>on Food Safety’s actual performance under the contract, it does not demonstrate fraudulent inducement”]</w:t>
      </w:r>
      <w:r w:rsidR="00A04344" w:rsidRPr="009B0873">
        <w:t>.)</w:t>
      </w:r>
    </w:p>
  </w:footnote>
  <w:footnote w:id="7">
    <w:p w14:paraId="709212A1" w14:textId="72B521B3" w:rsidR="00DF7C79" w:rsidRDefault="00D673FD" w:rsidP="00B554C3">
      <w:pPr>
        <w:pStyle w:val="FootnoteText"/>
      </w:pPr>
      <w:r>
        <w:rPr>
          <w:rStyle w:val="FootnoteReference"/>
        </w:rPr>
        <w:footnoteRef/>
      </w:r>
      <w:r>
        <w:t xml:space="preserve"> </w:t>
      </w:r>
      <w:r w:rsidR="00513225">
        <w:t>We note the Restatement</w:t>
      </w:r>
      <w:r w:rsidR="00E916FB">
        <w:t xml:space="preserve"> </w:t>
      </w:r>
      <w:r w:rsidR="00352770">
        <w:t xml:space="preserve">takes the view that </w:t>
      </w:r>
      <w:r w:rsidR="00392CCC">
        <w:t xml:space="preserve">the </w:t>
      </w:r>
      <w:r w:rsidR="002E0BB0">
        <w:t xml:space="preserve">economic loss </w:t>
      </w:r>
      <w:r w:rsidR="00392CCC">
        <w:t>rule</w:t>
      </w:r>
      <w:r w:rsidR="009853A4">
        <w:t xml:space="preserve"> generally does not bar fraud claims (although it </w:t>
      </w:r>
      <w:r w:rsidR="00370353">
        <w:t>preclud</w:t>
      </w:r>
      <w:r w:rsidR="009853A4">
        <w:t>es</w:t>
      </w:r>
      <w:r w:rsidR="00370353">
        <w:t xml:space="preserve"> most contract-related </w:t>
      </w:r>
      <w:r w:rsidR="00370353" w:rsidRPr="009853A4">
        <w:rPr>
          <w:i/>
          <w:iCs/>
        </w:rPr>
        <w:t>negligence</w:t>
      </w:r>
      <w:r w:rsidR="00370353">
        <w:t xml:space="preserve"> claims</w:t>
      </w:r>
      <w:r w:rsidR="009853A4">
        <w:t>)</w:t>
      </w:r>
      <w:r w:rsidR="00392CCC">
        <w:t xml:space="preserve">.  </w:t>
      </w:r>
      <w:r w:rsidR="002B71CE">
        <w:t>(Rest.3d Torts, Liability for Economic Harm</w:t>
      </w:r>
      <w:r w:rsidR="00DE3987">
        <w:t xml:space="preserve">, </w:t>
      </w:r>
      <w:r w:rsidR="00DE3987" w:rsidRPr="00DE3987">
        <w:rPr>
          <w:i/>
          <w:iCs/>
        </w:rPr>
        <w:t>supra</w:t>
      </w:r>
      <w:r w:rsidR="00DE3987">
        <w:t>, § </w:t>
      </w:r>
      <w:r w:rsidR="00DE3987" w:rsidRPr="00633D46">
        <w:t>9, c</w:t>
      </w:r>
      <w:r w:rsidR="00F263B7" w:rsidRPr="00633D46">
        <w:t>om</w:t>
      </w:r>
      <w:r w:rsidR="00DE3987" w:rsidRPr="00633D46">
        <w:t>.</w:t>
      </w:r>
      <w:r w:rsidR="00F33347" w:rsidRPr="00633D46">
        <w:t> </w:t>
      </w:r>
      <w:r w:rsidR="00074AEA" w:rsidRPr="00633D46">
        <w:t>a</w:t>
      </w:r>
      <w:r w:rsidR="002B71CE" w:rsidRPr="00633D46">
        <w:t xml:space="preserve"> </w:t>
      </w:r>
      <w:r w:rsidR="00CE66DE" w:rsidRPr="00633D46">
        <w:t>[“</w:t>
      </w:r>
      <w:r w:rsidR="00790877" w:rsidRPr="00633D46">
        <w:t xml:space="preserve">The economic-loss rule is meant to protect contractual allocations of risk against interference by the law of tort. </w:t>
      </w:r>
      <w:r w:rsidR="00CE66DE" w:rsidRPr="00633D46">
        <w:t xml:space="preserve"> </w:t>
      </w:r>
      <w:r w:rsidR="00790877" w:rsidRPr="00633D46">
        <w:t xml:space="preserve">Claims for fraud rarely cause such interference because parties to a contract do not usually treat the chance that they are lying to each other as a risk for their contract to allocate. </w:t>
      </w:r>
      <w:r w:rsidR="00CE66DE" w:rsidRPr="00633D46">
        <w:t xml:space="preserve">. . . </w:t>
      </w:r>
      <w:r w:rsidR="00790877" w:rsidRPr="00633D46">
        <w:t>Liability in tort for fraud thus helps to protect the integrity of the contractual process and sometimes furnishes useful remedies that the law of contract does not as readily provide.</w:t>
      </w:r>
      <w:r w:rsidR="00904084" w:rsidRPr="00633D46">
        <w:t xml:space="preserve">”]; </w:t>
      </w:r>
      <w:r w:rsidR="00242124" w:rsidRPr="00633D46">
        <w:t xml:space="preserve">see </w:t>
      </w:r>
      <w:r w:rsidR="00904084" w:rsidRPr="00633D46">
        <w:rPr>
          <w:i/>
          <w:iCs/>
        </w:rPr>
        <w:t>id.</w:t>
      </w:r>
      <w:r w:rsidR="00904084" w:rsidRPr="00633D46">
        <w:t>, § 3, c</w:t>
      </w:r>
      <w:r w:rsidR="00F263B7" w:rsidRPr="00633D46">
        <w:t>om</w:t>
      </w:r>
      <w:r w:rsidR="00904084" w:rsidRPr="00633D46">
        <w:t>. </w:t>
      </w:r>
      <w:r w:rsidR="008D3A5D" w:rsidRPr="00633D46">
        <w:t>d</w:t>
      </w:r>
      <w:r w:rsidR="00242124" w:rsidRPr="00633D46">
        <w:t>.)</w:t>
      </w:r>
    </w:p>
  </w:footnote>
  <w:footnote w:id="8">
    <w:p w14:paraId="79C20F7F" w14:textId="019B3AFC" w:rsidR="008475D9" w:rsidRDefault="00D673FD" w:rsidP="00426320">
      <w:pPr>
        <w:pStyle w:val="FootnoteText"/>
      </w:pPr>
      <w:r>
        <w:rPr>
          <w:rStyle w:val="FootnoteReference"/>
        </w:rPr>
        <w:footnoteRef/>
      </w:r>
      <w:r>
        <w:t xml:space="preserve"> </w:t>
      </w:r>
      <w:r w:rsidR="00C35053">
        <w:t xml:space="preserve">Nissan </w:t>
      </w:r>
      <w:r w:rsidR="007C4F8A">
        <w:t xml:space="preserve">does </w:t>
      </w:r>
      <w:r w:rsidR="00F85A5C">
        <w:t>note</w:t>
      </w:r>
      <w:r w:rsidR="009A2D19">
        <w:t xml:space="preserve"> that, </w:t>
      </w:r>
      <w:r w:rsidR="00F85A5C">
        <w:t xml:space="preserve">in </w:t>
      </w:r>
      <w:r w:rsidR="00F85A5C" w:rsidRPr="00F85A5C">
        <w:rPr>
          <w:i/>
          <w:iCs/>
        </w:rPr>
        <w:t>Santana</w:t>
      </w:r>
      <w:r w:rsidR="004E1114">
        <w:rPr>
          <w:i/>
          <w:iCs/>
        </w:rPr>
        <w:t xml:space="preserve"> v. FCA US, LLC</w:t>
      </w:r>
      <w:r w:rsidR="004E1114" w:rsidRPr="00BA0F2E">
        <w:t>,</w:t>
      </w:r>
      <w:r w:rsidR="004E1114">
        <w:rPr>
          <w:i/>
          <w:iCs/>
        </w:rPr>
        <w:t xml:space="preserve"> supra</w:t>
      </w:r>
      <w:r w:rsidR="004E1114" w:rsidRPr="00BA0F2E">
        <w:t>,</w:t>
      </w:r>
      <w:r w:rsidR="004E1114">
        <w:rPr>
          <w:i/>
          <w:iCs/>
        </w:rPr>
        <w:t xml:space="preserve"> </w:t>
      </w:r>
      <w:r w:rsidR="004E1114">
        <w:t>56</w:t>
      </w:r>
      <w:r w:rsidR="00BA0F2E">
        <w:t> </w:t>
      </w:r>
      <w:r w:rsidR="004E1114">
        <w:t>Cal.App.5th at pp. 345</w:t>
      </w:r>
      <w:r w:rsidR="00BA0F2E">
        <w:t>–</w:t>
      </w:r>
      <w:r w:rsidR="004E1114">
        <w:t>346</w:t>
      </w:r>
      <w:r w:rsidR="00BD3414">
        <w:t xml:space="preserve"> (</w:t>
      </w:r>
      <w:r w:rsidR="009A2D19">
        <w:t>an appeal after a jury verdict</w:t>
      </w:r>
      <w:r w:rsidR="00BD3414">
        <w:t>)</w:t>
      </w:r>
      <w:r w:rsidR="00CC41E8">
        <w:t>, the appellate court</w:t>
      </w:r>
      <w:r w:rsidR="009A2D19">
        <w:t xml:space="preserve"> </w:t>
      </w:r>
      <w:r w:rsidR="004E1114">
        <w:t xml:space="preserve">stated </w:t>
      </w:r>
      <w:r w:rsidR="009A2D19">
        <w:t xml:space="preserve">the evidence of fraudulent inducement presented at trial </w:t>
      </w:r>
      <w:r w:rsidR="00CC41E8">
        <w:t xml:space="preserve">was insufficient, in part because there was no </w:t>
      </w:r>
      <w:r w:rsidR="003962AC">
        <w:t>“evidence that, prior to Santana’s purchase of the vehicle, Chrysler was aware of a defect in the [</w:t>
      </w:r>
      <w:r w:rsidR="003D3D00">
        <w:t xml:space="preserve">engine component at issue] </w:t>
      </w:r>
      <w:r w:rsidR="003962AC">
        <w:t xml:space="preserve">that it was either </w:t>
      </w:r>
      <w:r w:rsidR="003962AC" w:rsidRPr="006B5C0E">
        <w:rPr>
          <w:i/>
          <w:iCs/>
        </w:rPr>
        <w:t>unwilling or unable to fix</w:t>
      </w:r>
      <w:r w:rsidR="003962AC">
        <w:t>.</w:t>
      </w:r>
      <w:r w:rsidR="003D3D00">
        <w:t>”</w:t>
      </w:r>
      <w:r w:rsidR="005F79BD">
        <w:t xml:space="preserve">  </w:t>
      </w:r>
      <w:r w:rsidR="006B5C0E">
        <w:t xml:space="preserve">(Italics added.)  </w:t>
      </w:r>
      <w:r w:rsidR="005F79BD">
        <w:t>We decline to hold, based on t</w:t>
      </w:r>
      <w:r w:rsidR="006A04A9">
        <w:t xml:space="preserve">he </w:t>
      </w:r>
      <w:r w:rsidR="006A04A9" w:rsidRPr="006A04A9">
        <w:rPr>
          <w:i/>
          <w:iCs/>
        </w:rPr>
        <w:t>Santana</w:t>
      </w:r>
      <w:r w:rsidR="006A04A9">
        <w:t xml:space="preserve"> court’s </w:t>
      </w:r>
      <w:r w:rsidR="005F79BD">
        <w:t xml:space="preserve">brief discussion and Nissan’s </w:t>
      </w:r>
      <w:r w:rsidR="00915CCE">
        <w:t xml:space="preserve">reference to it, that </w:t>
      </w:r>
      <w:r w:rsidR="00426320">
        <w:t>it is essential for a plaintif</w:t>
      </w:r>
      <w:r w:rsidR="00426320" w:rsidRPr="00BA0F2E">
        <w:rPr>
          <w:spacing w:val="20"/>
        </w:rPr>
        <w:t>f</w:t>
      </w:r>
      <w:r w:rsidR="00426320">
        <w:t>’s allegations to include this language at the pleading stage.</w:t>
      </w:r>
    </w:p>
  </w:footnote>
  <w:footnote w:id="9">
    <w:p w14:paraId="78D52C98" w14:textId="41B49E56" w:rsidR="00194F17" w:rsidRDefault="00D673FD">
      <w:pPr>
        <w:pStyle w:val="FootnoteText"/>
      </w:pPr>
      <w:r>
        <w:rPr>
          <w:rStyle w:val="FootnoteReference"/>
        </w:rPr>
        <w:footnoteRef/>
      </w:r>
      <w:r>
        <w:t xml:space="preserve"> </w:t>
      </w:r>
      <w:r w:rsidR="005A4833">
        <w:t>As noted, i</w:t>
      </w:r>
      <w:r w:rsidR="00F12A98">
        <w:t>n its motion to strike</w:t>
      </w:r>
      <w:r w:rsidR="005A4833">
        <w:t xml:space="preserve"> filed in the trial court</w:t>
      </w:r>
      <w:r w:rsidR="00F12A98">
        <w:t xml:space="preserve">, Nissan </w:t>
      </w:r>
      <w:r w:rsidR="005A4833">
        <w:t xml:space="preserve">also </w:t>
      </w:r>
      <w:r w:rsidR="003D4111">
        <w:t>contended</w:t>
      </w:r>
      <w:r w:rsidR="005A4833">
        <w:t xml:space="preserve"> the </w:t>
      </w:r>
      <w:r w:rsidR="00F30663">
        <w:t xml:space="preserve">SAC’s </w:t>
      </w:r>
      <w:r w:rsidR="005A4833">
        <w:t>allegations</w:t>
      </w:r>
      <w:r w:rsidR="00EA4CB1">
        <w:t xml:space="preserve"> </w:t>
      </w:r>
      <w:r w:rsidR="00F30663">
        <w:t xml:space="preserve">were not sufficient to support corporate liability for punitive damages. </w:t>
      </w:r>
      <w:r w:rsidR="00097A5A">
        <w:t xml:space="preserve"> The trial court did not reach that </w:t>
      </w:r>
      <w:r w:rsidR="003D4111">
        <w:t>question</w:t>
      </w:r>
      <w:r w:rsidR="00987D90">
        <w:t xml:space="preserve"> in striking the </w:t>
      </w:r>
      <w:r w:rsidR="00811B54">
        <w:t>SAC’s punitive damages allegations</w:t>
      </w:r>
      <w:r w:rsidR="00097A5A">
        <w:t xml:space="preserve">, and Nissan does not develop on appeal an argument that </w:t>
      </w:r>
      <w:r w:rsidR="003D4111">
        <w:t xml:space="preserve">this court should </w:t>
      </w:r>
      <w:r w:rsidR="000F0B15">
        <w:t xml:space="preserve">affirm the striking of the punitive damages allegations </w:t>
      </w:r>
      <w:r w:rsidR="007F03C3">
        <w:t xml:space="preserve">on that alternative ground (touching on this point only briefly in a footnote). </w:t>
      </w:r>
      <w:r w:rsidR="00F30663">
        <w:t xml:space="preserve"> </w:t>
      </w:r>
      <w:r w:rsidR="0035754E">
        <w:t>We decline to address this question.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CED3" w14:textId="77777777" w:rsidR="00ED26E3" w:rsidRDefault="00ED2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85D4" w14:textId="77777777" w:rsidR="00ED26E3" w:rsidRDefault="00ED2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7909" w14:textId="77777777" w:rsidR="00ED26E3" w:rsidRDefault="00ED2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D5C"/>
    <w:multiLevelType w:val="hybridMultilevel"/>
    <w:tmpl w:val="AA9814D6"/>
    <w:lvl w:ilvl="0" w:tplc="23F82B34">
      <w:start w:val="1"/>
      <w:numFmt w:val="bullet"/>
      <w:lvlText w:val=""/>
      <w:lvlJc w:val="left"/>
      <w:pPr>
        <w:ind w:left="1440" w:hanging="360"/>
      </w:pPr>
      <w:rPr>
        <w:rFonts w:ascii="Symbol" w:hAnsi="Symbol" w:hint="default"/>
      </w:rPr>
    </w:lvl>
    <w:lvl w:ilvl="1" w:tplc="F1086A4A" w:tentative="1">
      <w:start w:val="1"/>
      <w:numFmt w:val="bullet"/>
      <w:lvlText w:val="o"/>
      <w:lvlJc w:val="left"/>
      <w:pPr>
        <w:ind w:left="2160" w:hanging="360"/>
      </w:pPr>
      <w:rPr>
        <w:rFonts w:ascii="Courier New" w:hAnsi="Courier New" w:cs="Courier New" w:hint="default"/>
      </w:rPr>
    </w:lvl>
    <w:lvl w:ilvl="2" w:tplc="11EE1886" w:tentative="1">
      <w:start w:val="1"/>
      <w:numFmt w:val="bullet"/>
      <w:lvlText w:val=""/>
      <w:lvlJc w:val="left"/>
      <w:pPr>
        <w:ind w:left="2880" w:hanging="360"/>
      </w:pPr>
      <w:rPr>
        <w:rFonts w:ascii="Wingdings" w:hAnsi="Wingdings" w:hint="default"/>
      </w:rPr>
    </w:lvl>
    <w:lvl w:ilvl="3" w:tplc="2DEC3566" w:tentative="1">
      <w:start w:val="1"/>
      <w:numFmt w:val="bullet"/>
      <w:lvlText w:val=""/>
      <w:lvlJc w:val="left"/>
      <w:pPr>
        <w:ind w:left="3600" w:hanging="360"/>
      </w:pPr>
      <w:rPr>
        <w:rFonts w:ascii="Symbol" w:hAnsi="Symbol" w:hint="default"/>
      </w:rPr>
    </w:lvl>
    <w:lvl w:ilvl="4" w:tplc="0F8243A6" w:tentative="1">
      <w:start w:val="1"/>
      <w:numFmt w:val="bullet"/>
      <w:lvlText w:val="o"/>
      <w:lvlJc w:val="left"/>
      <w:pPr>
        <w:ind w:left="4320" w:hanging="360"/>
      </w:pPr>
      <w:rPr>
        <w:rFonts w:ascii="Courier New" w:hAnsi="Courier New" w:cs="Courier New" w:hint="default"/>
      </w:rPr>
    </w:lvl>
    <w:lvl w:ilvl="5" w:tplc="A4EED26C" w:tentative="1">
      <w:start w:val="1"/>
      <w:numFmt w:val="bullet"/>
      <w:lvlText w:val=""/>
      <w:lvlJc w:val="left"/>
      <w:pPr>
        <w:ind w:left="5040" w:hanging="360"/>
      </w:pPr>
      <w:rPr>
        <w:rFonts w:ascii="Wingdings" w:hAnsi="Wingdings" w:hint="default"/>
      </w:rPr>
    </w:lvl>
    <w:lvl w:ilvl="6" w:tplc="171CD9F4" w:tentative="1">
      <w:start w:val="1"/>
      <w:numFmt w:val="bullet"/>
      <w:lvlText w:val=""/>
      <w:lvlJc w:val="left"/>
      <w:pPr>
        <w:ind w:left="5760" w:hanging="360"/>
      </w:pPr>
      <w:rPr>
        <w:rFonts w:ascii="Symbol" w:hAnsi="Symbol" w:hint="default"/>
      </w:rPr>
    </w:lvl>
    <w:lvl w:ilvl="7" w:tplc="E5242DC8" w:tentative="1">
      <w:start w:val="1"/>
      <w:numFmt w:val="bullet"/>
      <w:lvlText w:val="o"/>
      <w:lvlJc w:val="left"/>
      <w:pPr>
        <w:ind w:left="6480" w:hanging="360"/>
      </w:pPr>
      <w:rPr>
        <w:rFonts w:ascii="Courier New" w:hAnsi="Courier New" w:cs="Courier New" w:hint="default"/>
      </w:rPr>
    </w:lvl>
    <w:lvl w:ilvl="8" w:tplc="BCCEB246" w:tentative="1">
      <w:start w:val="1"/>
      <w:numFmt w:val="bullet"/>
      <w:lvlText w:val=""/>
      <w:lvlJc w:val="left"/>
      <w:pPr>
        <w:ind w:left="7200" w:hanging="360"/>
      </w:pPr>
      <w:rPr>
        <w:rFonts w:ascii="Wingdings" w:hAnsi="Wingdings" w:hint="default"/>
      </w:rPr>
    </w:lvl>
  </w:abstractNum>
  <w:abstractNum w:abstractNumId="1" w15:restartNumberingAfterBreak="0">
    <w:nsid w:val="086365A6"/>
    <w:multiLevelType w:val="hybridMultilevel"/>
    <w:tmpl w:val="95F8CD36"/>
    <w:lvl w:ilvl="0" w:tplc="2182CBF0">
      <w:start w:val="1"/>
      <w:numFmt w:val="bullet"/>
      <w:lvlText w:val=""/>
      <w:lvlJc w:val="left"/>
      <w:pPr>
        <w:ind w:left="1440" w:hanging="360"/>
      </w:pPr>
      <w:rPr>
        <w:rFonts w:ascii="Symbol" w:hAnsi="Symbol" w:hint="default"/>
      </w:rPr>
    </w:lvl>
    <w:lvl w:ilvl="1" w:tplc="44BA0160" w:tentative="1">
      <w:start w:val="1"/>
      <w:numFmt w:val="bullet"/>
      <w:lvlText w:val="o"/>
      <w:lvlJc w:val="left"/>
      <w:pPr>
        <w:ind w:left="2160" w:hanging="360"/>
      </w:pPr>
      <w:rPr>
        <w:rFonts w:ascii="Courier New" w:hAnsi="Courier New" w:cs="Courier New" w:hint="default"/>
      </w:rPr>
    </w:lvl>
    <w:lvl w:ilvl="2" w:tplc="36A02948" w:tentative="1">
      <w:start w:val="1"/>
      <w:numFmt w:val="bullet"/>
      <w:lvlText w:val=""/>
      <w:lvlJc w:val="left"/>
      <w:pPr>
        <w:ind w:left="2880" w:hanging="360"/>
      </w:pPr>
      <w:rPr>
        <w:rFonts w:ascii="Wingdings" w:hAnsi="Wingdings" w:hint="default"/>
      </w:rPr>
    </w:lvl>
    <w:lvl w:ilvl="3" w:tplc="0808794A" w:tentative="1">
      <w:start w:val="1"/>
      <w:numFmt w:val="bullet"/>
      <w:lvlText w:val=""/>
      <w:lvlJc w:val="left"/>
      <w:pPr>
        <w:ind w:left="3600" w:hanging="360"/>
      </w:pPr>
      <w:rPr>
        <w:rFonts w:ascii="Symbol" w:hAnsi="Symbol" w:hint="default"/>
      </w:rPr>
    </w:lvl>
    <w:lvl w:ilvl="4" w:tplc="84449A48" w:tentative="1">
      <w:start w:val="1"/>
      <w:numFmt w:val="bullet"/>
      <w:lvlText w:val="o"/>
      <w:lvlJc w:val="left"/>
      <w:pPr>
        <w:ind w:left="4320" w:hanging="360"/>
      </w:pPr>
      <w:rPr>
        <w:rFonts w:ascii="Courier New" w:hAnsi="Courier New" w:cs="Courier New" w:hint="default"/>
      </w:rPr>
    </w:lvl>
    <w:lvl w:ilvl="5" w:tplc="2460CB8A" w:tentative="1">
      <w:start w:val="1"/>
      <w:numFmt w:val="bullet"/>
      <w:lvlText w:val=""/>
      <w:lvlJc w:val="left"/>
      <w:pPr>
        <w:ind w:left="5040" w:hanging="360"/>
      </w:pPr>
      <w:rPr>
        <w:rFonts w:ascii="Wingdings" w:hAnsi="Wingdings" w:hint="default"/>
      </w:rPr>
    </w:lvl>
    <w:lvl w:ilvl="6" w:tplc="0FD0F74E" w:tentative="1">
      <w:start w:val="1"/>
      <w:numFmt w:val="bullet"/>
      <w:lvlText w:val=""/>
      <w:lvlJc w:val="left"/>
      <w:pPr>
        <w:ind w:left="5760" w:hanging="360"/>
      </w:pPr>
      <w:rPr>
        <w:rFonts w:ascii="Symbol" w:hAnsi="Symbol" w:hint="default"/>
      </w:rPr>
    </w:lvl>
    <w:lvl w:ilvl="7" w:tplc="10BAF2CA" w:tentative="1">
      <w:start w:val="1"/>
      <w:numFmt w:val="bullet"/>
      <w:lvlText w:val="o"/>
      <w:lvlJc w:val="left"/>
      <w:pPr>
        <w:ind w:left="6480" w:hanging="360"/>
      </w:pPr>
      <w:rPr>
        <w:rFonts w:ascii="Courier New" w:hAnsi="Courier New" w:cs="Courier New" w:hint="default"/>
      </w:rPr>
    </w:lvl>
    <w:lvl w:ilvl="8" w:tplc="ECDC533A" w:tentative="1">
      <w:start w:val="1"/>
      <w:numFmt w:val="bullet"/>
      <w:lvlText w:val=""/>
      <w:lvlJc w:val="left"/>
      <w:pPr>
        <w:ind w:left="7200" w:hanging="360"/>
      </w:pPr>
      <w:rPr>
        <w:rFonts w:ascii="Wingdings" w:hAnsi="Wingdings" w:hint="default"/>
      </w:rPr>
    </w:lvl>
  </w:abstractNum>
  <w:abstractNum w:abstractNumId="2" w15:restartNumberingAfterBreak="0">
    <w:nsid w:val="0FDB6D9D"/>
    <w:multiLevelType w:val="hybridMultilevel"/>
    <w:tmpl w:val="F7C4E078"/>
    <w:lvl w:ilvl="0" w:tplc="89A02666">
      <w:start w:val="1"/>
      <w:numFmt w:val="bullet"/>
      <w:lvlText w:val=""/>
      <w:lvlJc w:val="left"/>
      <w:pPr>
        <w:ind w:left="1440" w:hanging="360"/>
      </w:pPr>
      <w:rPr>
        <w:rFonts w:ascii="Symbol" w:hAnsi="Symbol" w:hint="default"/>
      </w:rPr>
    </w:lvl>
    <w:lvl w:ilvl="1" w:tplc="76FC41B2">
      <w:start w:val="1"/>
      <w:numFmt w:val="bullet"/>
      <w:lvlText w:val="o"/>
      <w:lvlJc w:val="left"/>
      <w:pPr>
        <w:ind w:left="2160" w:hanging="360"/>
      </w:pPr>
      <w:rPr>
        <w:rFonts w:ascii="Courier New" w:hAnsi="Courier New" w:cs="Courier New" w:hint="default"/>
      </w:rPr>
    </w:lvl>
    <w:lvl w:ilvl="2" w:tplc="A5FE8198" w:tentative="1">
      <w:start w:val="1"/>
      <w:numFmt w:val="bullet"/>
      <w:lvlText w:val=""/>
      <w:lvlJc w:val="left"/>
      <w:pPr>
        <w:ind w:left="2880" w:hanging="360"/>
      </w:pPr>
      <w:rPr>
        <w:rFonts w:ascii="Wingdings" w:hAnsi="Wingdings" w:hint="default"/>
      </w:rPr>
    </w:lvl>
    <w:lvl w:ilvl="3" w:tplc="0C0C6B04" w:tentative="1">
      <w:start w:val="1"/>
      <w:numFmt w:val="bullet"/>
      <w:lvlText w:val=""/>
      <w:lvlJc w:val="left"/>
      <w:pPr>
        <w:ind w:left="3600" w:hanging="360"/>
      </w:pPr>
      <w:rPr>
        <w:rFonts w:ascii="Symbol" w:hAnsi="Symbol" w:hint="default"/>
      </w:rPr>
    </w:lvl>
    <w:lvl w:ilvl="4" w:tplc="047EA908" w:tentative="1">
      <w:start w:val="1"/>
      <w:numFmt w:val="bullet"/>
      <w:lvlText w:val="o"/>
      <w:lvlJc w:val="left"/>
      <w:pPr>
        <w:ind w:left="4320" w:hanging="360"/>
      </w:pPr>
      <w:rPr>
        <w:rFonts w:ascii="Courier New" w:hAnsi="Courier New" w:cs="Courier New" w:hint="default"/>
      </w:rPr>
    </w:lvl>
    <w:lvl w:ilvl="5" w:tplc="41BAE9EA" w:tentative="1">
      <w:start w:val="1"/>
      <w:numFmt w:val="bullet"/>
      <w:lvlText w:val=""/>
      <w:lvlJc w:val="left"/>
      <w:pPr>
        <w:ind w:left="5040" w:hanging="360"/>
      </w:pPr>
      <w:rPr>
        <w:rFonts w:ascii="Wingdings" w:hAnsi="Wingdings" w:hint="default"/>
      </w:rPr>
    </w:lvl>
    <w:lvl w:ilvl="6" w:tplc="4D563202" w:tentative="1">
      <w:start w:val="1"/>
      <w:numFmt w:val="bullet"/>
      <w:lvlText w:val=""/>
      <w:lvlJc w:val="left"/>
      <w:pPr>
        <w:ind w:left="5760" w:hanging="360"/>
      </w:pPr>
      <w:rPr>
        <w:rFonts w:ascii="Symbol" w:hAnsi="Symbol" w:hint="default"/>
      </w:rPr>
    </w:lvl>
    <w:lvl w:ilvl="7" w:tplc="FAA40756" w:tentative="1">
      <w:start w:val="1"/>
      <w:numFmt w:val="bullet"/>
      <w:lvlText w:val="o"/>
      <w:lvlJc w:val="left"/>
      <w:pPr>
        <w:ind w:left="6480" w:hanging="360"/>
      </w:pPr>
      <w:rPr>
        <w:rFonts w:ascii="Courier New" w:hAnsi="Courier New" w:cs="Courier New" w:hint="default"/>
      </w:rPr>
    </w:lvl>
    <w:lvl w:ilvl="8" w:tplc="E996CF90" w:tentative="1">
      <w:start w:val="1"/>
      <w:numFmt w:val="bullet"/>
      <w:lvlText w:val=""/>
      <w:lvlJc w:val="left"/>
      <w:pPr>
        <w:ind w:left="7200" w:hanging="360"/>
      </w:pPr>
      <w:rPr>
        <w:rFonts w:ascii="Wingdings" w:hAnsi="Wingdings" w:hint="default"/>
      </w:rPr>
    </w:lvl>
  </w:abstractNum>
  <w:abstractNum w:abstractNumId="3" w15:restartNumberingAfterBreak="0">
    <w:nsid w:val="14D847AF"/>
    <w:multiLevelType w:val="hybridMultilevel"/>
    <w:tmpl w:val="AE9E7500"/>
    <w:lvl w:ilvl="0" w:tplc="D4C4F9C4">
      <w:start w:val="1"/>
      <w:numFmt w:val="bullet"/>
      <w:lvlText w:val=""/>
      <w:lvlJc w:val="left"/>
      <w:pPr>
        <w:ind w:left="1440" w:hanging="360"/>
      </w:pPr>
      <w:rPr>
        <w:rFonts w:ascii="Symbol" w:hAnsi="Symbol" w:hint="default"/>
      </w:rPr>
    </w:lvl>
    <w:lvl w:ilvl="1" w:tplc="A06CF826">
      <w:start w:val="1"/>
      <w:numFmt w:val="bullet"/>
      <w:lvlText w:val="o"/>
      <w:lvlJc w:val="left"/>
      <w:pPr>
        <w:ind w:left="2160" w:hanging="360"/>
      </w:pPr>
      <w:rPr>
        <w:rFonts w:ascii="Courier New" w:hAnsi="Courier New" w:cs="Courier New" w:hint="default"/>
      </w:rPr>
    </w:lvl>
    <w:lvl w:ilvl="2" w:tplc="6220E2C6" w:tentative="1">
      <w:start w:val="1"/>
      <w:numFmt w:val="bullet"/>
      <w:lvlText w:val=""/>
      <w:lvlJc w:val="left"/>
      <w:pPr>
        <w:ind w:left="2880" w:hanging="360"/>
      </w:pPr>
      <w:rPr>
        <w:rFonts w:ascii="Wingdings" w:hAnsi="Wingdings" w:hint="default"/>
      </w:rPr>
    </w:lvl>
    <w:lvl w:ilvl="3" w:tplc="564881DC" w:tentative="1">
      <w:start w:val="1"/>
      <w:numFmt w:val="bullet"/>
      <w:lvlText w:val=""/>
      <w:lvlJc w:val="left"/>
      <w:pPr>
        <w:ind w:left="3600" w:hanging="360"/>
      </w:pPr>
      <w:rPr>
        <w:rFonts w:ascii="Symbol" w:hAnsi="Symbol" w:hint="default"/>
      </w:rPr>
    </w:lvl>
    <w:lvl w:ilvl="4" w:tplc="32E60BB2" w:tentative="1">
      <w:start w:val="1"/>
      <w:numFmt w:val="bullet"/>
      <w:lvlText w:val="o"/>
      <w:lvlJc w:val="left"/>
      <w:pPr>
        <w:ind w:left="4320" w:hanging="360"/>
      </w:pPr>
      <w:rPr>
        <w:rFonts w:ascii="Courier New" w:hAnsi="Courier New" w:cs="Courier New" w:hint="default"/>
      </w:rPr>
    </w:lvl>
    <w:lvl w:ilvl="5" w:tplc="0ECE50E6" w:tentative="1">
      <w:start w:val="1"/>
      <w:numFmt w:val="bullet"/>
      <w:lvlText w:val=""/>
      <w:lvlJc w:val="left"/>
      <w:pPr>
        <w:ind w:left="5040" w:hanging="360"/>
      </w:pPr>
      <w:rPr>
        <w:rFonts w:ascii="Wingdings" w:hAnsi="Wingdings" w:hint="default"/>
      </w:rPr>
    </w:lvl>
    <w:lvl w:ilvl="6" w:tplc="F8CAED56" w:tentative="1">
      <w:start w:val="1"/>
      <w:numFmt w:val="bullet"/>
      <w:lvlText w:val=""/>
      <w:lvlJc w:val="left"/>
      <w:pPr>
        <w:ind w:left="5760" w:hanging="360"/>
      </w:pPr>
      <w:rPr>
        <w:rFonts w:ascii="Symbol" w:hAnsi="Symbol" w:hint="default"/>
      </w:rPr>
    </w:lvl>
    <w:lvl w:ilvl="7" w:tplc="B1884A86" w:tentative="1">
      <w:start w:val="1"/>
      <w:numFmt w:val="bullet"/>
      <w:lvlText w:val="o"/>
      <w:lvlJc w:val="left"/>
      <w:pPr>
        <w:ind w:left="6480" w:hanging="360"/>
      </w:pPr>
      <w:rPr>
        <w:rFonts w:ascii="Courier New" w:hAnsi="Courier New" w:cs="Courier New" w:hint="default"/>
      </w:rPr>
    </w:lvl>
    <w:lvl w:ilvl="8" w:tplc="6F188768" w:tentative="1">
      <w:start w:val="1"/>
      <w:numFmt w:val="bullet"/>
      <w:lvlText w:val=""/>
      <w:lvlJc w:val="left"/>
      <w:pPr>
        <w:ind w:left="7200" w:hanging="360"/>
      </w:pPr>
      <w:rPr>
        <w:rFonts w:ascii="Wingdings" w:hAnsi="Wingdings" w:hint="default"/>
      </w:rPr>
    </w:lvl>
  </w:abstractNum>
  <w:abstractNum w:abstractNumId="4" w15:restartNumberingAfterBreak="0">
    <w:nsid w:val="1B1E7D42"/>
    <w:multiLevelType w:val="hybridMultilevel"/>
    <w:tmpl w:val="A8CC11C4"/>
    <w:lvl w:ilvl="0" w:tplc="8DE294F4">
      <w:start w:val="1"/>
      <w:numFmt w:val="upperRoman"/>
      <w:pStyle w:val="Heading1"/>
      <w:lvlText w:val="%1."/>
      <w:lvlJc w:val="right"/>
      <w:pPr>
        <w:ind w:left="72" w:hanging="72"/>
      </w:pPr>
      <w:rPr>
        <w:rFonts w:hint="default"/>
        <w:b/>
        <w:i w:val="0"/>
        <w:sz w:val="26"/>
      </w:rPr>
    </w:lvl>
    <w:lvl w:ilvl="1" w:tplc="FEE2AD60" w:tentative="1">
      <w:start w:val="1"/>
      <w:numFmt w:val="lowerLetter"/>
      <w:lvlText w:val="%2."/>
      <w:lvlJc w:val="left"/>
      <w:pPr>
        <w:ind w:left="8010" w:hanging="360"/>
      </w:pPr>
    </w:lvl>
    <w:lvl w:ilvl="2" w:tplc="B2D41E8A" w:tentative="1">
      <w:start w:val="1"/>
      <w:numFmt w:val="lowerRoman"/>
      <w:lvlText w:val="%3."/>
      <w:lvlJc w:val="right"/>
      <w:pPr>
        <w:ind w:left="8730" w:hanging="180"/>
      </w:pPr>
    </w:lvl>
    <w:lvl w:ilvl="3" w:tplc="0ED69952" w:tentative="1">
      <w:start w:val="1"/>
      <w:numFmt w:val="decimal"/>
      <w:lvlText w:val="%4."/>
      <w:lvlJc w:val="left"/>
      <w:pPr>
        <w:ind w:left="9450" w:hanging="360"/>
      </w:pPr>
    </w:lvl>
    <w:lvl w:ilvl="4" w:tplc="8C90E346" w:tentative="1">
      <w:start w:val="1"/>
      <w:numFmt w:val="lowerLetter"/>
      <w:lvlText w:val="%5."/>
      <w:lvlJc w:val="left"/>
      <w:pPr>
        <w:ind w:left="10170" w:hanging="360"/>
      </w:pPr>
    </w:lvl>
    <w:lvl w:ilvl="5" w:tplc="99920AFE" w:tentative="1">
      <w:start w:val="1"/>
      <w:numFmt w:val="lowerRoman"/>
      <w:lvlText w:val="%6."/>
      <w:lvlJc w:val="right"/>
      <w:pPr>
        <w:ind w:left="10890" w:hanging="180"/>
      </w:pPr>
    </w:lvl>
    <w:lvl w:ilvl="6" w:tplc="1ADA7360" w:tentative="1">
      <w:start w:val="1"/>
      <w:numFmt w:val="decimal"/>
      <w:lvlText w:val="%7."/>
      <w:lvlJc w:val="left"/>
      <w:pPr>
        <w:ind w:left="11610" w:hanging="360"/>
      </w:pPr>
    </w:lvl>
    <w:lvl w:ilvl="7" w:tplc="B52A7CA4" w:tentative="1">
      <w:start w:val="1"/>
      <w:numFmt w:val="lowerLetter"/>
      <w:lvlText w:val="%8."/>
      <w:lvlJc w:val="left"/>
      <w:pPr>
        <w:ind w:left="12330" w:hanging="360"/>
      </w:pPr>
    </w:lvl>
    <w:lvl w:ilvl="8" w:tplc="0960F30E" w:tentative="1">
      <w:start w:val="1"/>
      <w:numFmt w:val="lowerRoman"/>
      <w:lvlText w:val="%9."/>
      <w:lvlJc w:val="right"/>
      <w:pPr>
        <w:ind w:left="13050" w:hanging="180"/>
      </w:pPr>
    </w:lvl>
  </w:abstractNum>
  <w:abstractNum w:abstractNumId="5" w15:restartNumberingAfterBreak="0">
    <w:nsid w:val="32F5203D"/>
    <w:multiLevelType w:val="hybridMultilevel"/>
    <w:tmpl w:val="E1AAB3D8"/>
    <w:lvl w:ilvl="0" w:tplc="18B2C2C4">
      <w:start w:val="1"/>
      <w:numFmt w:val="bullet"/>
      <w:lvlText w:val=""/>
      <w:lvlJc w:val="left"/>
      <w:pPr>
        <w:ind w:left="1440" w:hanging="360"/>
      </w:pPr>
      <w:rPr>
        <w:rFonts w:ascii="Symbol" w:hAnsi="Symbol" w:hint="default"/>
      </w:rPr>
    </w:lvl>
    <w:lvl w:ilvl="1" w:tplc="4DDC728E" w:tentative="1">
      <w:start w:val="1"/>
      <w:numFmt w:val="bullet"/>
      <w:lvlText w:val="o"/>
      <w:lvlJc w:val="left"/>
      <w:pPr>
        <w:ind w:left="2160" w:hanging="360"/>
      </w:pPr>
      <w:rPr>
        <w:rFonts w:ascii="Courier New" w:hAnsi="Courier New" w:cs="Courier New" w:hint="default"/>
      </w:rPr>
    </w:lvl>
    <w:lvl w:ilvl="2" w:tplc="2A5ECCC6" w:tentative="1">
      <w:start w:val="1"/>
      <w:numFmt w:val="bullet"/>
      <w:lvlText w:val=""/>
      <w:lvlJc w:val="left"/>
      <w:pPr>
        <w:ind w:left="2880" w:hanging="360"/>
      </w:pPr>
      <w:rPr>
        <w:rFonts w:ascii="Wingdings" w:hAnsi="Wingdings" w:hint="default"/>
      </w:rPr>
    </w:lvl>
    <w:lvl w:ilvl="3" w:tplc="77B85916" w:tentative="1">
      <w:start w:val="1"/>
      <w:numFmt w:val="bullet"/>
      <w:lvlText w:val=""/>
      <w:lvlJc w:val="left"/>
      <w:pPr>
        <w:ind w:left="3600" w:hanging="360"/>
      </w:pPr>
      <w:rPr>
        <w:rFonts w:ascii="Symbol" w:hAnsi="Symbol" w:hint="default"/>
      </w:rPr>
    </w:lvl>
    <w:lvl w:ilvl="4" w:tplc="2B0E373A" w:tentative="1">
      <w:start w:val="1"/>
      <w:numFmt w:val="bullet"/>
      <w:lvlText w:val="o"/>
      <w:lvlJc w:val="left"/>
      <w:pPr>
        <w:ind w:left="4320" w:hanging="360"/>
      </w:pPr>
      <w:rPr>
        <w:rFonts w:ascii="Courier New" w:hAnsi="Courier New" w:cs="Courier New" w:hint="default"/>
      </w:rPr>
    </w:lvl>
    <w:lvl w:ilvl="5" w:tplc="2AE86462" w:tentative="1">
      <w:start w:val="1"/>
      <w:numFmt w:val="bullet"/>
      <w:lvlText w:val=""/>
      <w:lvlJc w:val="left"/>
      <w:pPr>
        <w:ind w:left="5040" w:hanging="360"/>
      </w:pPr>
      <w:rPr>
        <w:rFonts w:ascii="Wingdings" w:hAnsi="Wingdings" w:hint="default"/>
      </w:rPr>
    </w:lvl>
    <w:lvl w:ilvl="6" w:tplc="6F243644" w:tentative="1">
      <w:start w:val="1"/>
      <w:numFmt w:val="bullet"/>
      <w:lvlText w:val=""/>
      <w:lvlJc w:val="left"/>
      <w:pPr>
        <w:ind w:left="5760" w:hanging="360"/>
      </w:pPr>
      <w:rPr>
        <w:rFonts w:ascii="Symbol" w:hAnsi="Symbol" w:hint="default"/>
      </w:rPr>
    </w:lvl>
    <w:lvl w:ilvl="7" w:tplc="4C664A9A" w:tentative="1">
      <w:start w:val="1"/>
      <w:numFmt w:val="bullet"/>
      <w:lvlText w:val="o"/>
      <w:lvlJc w:val="left"/>
      <w:pPr>
        <w:ind w:left="6480" w:hanging="360"/>
      </w:pPr>
      <w:rPr>
        <w:rFonts w:ascii="Courier New" w:hAnsi="Courier New" w:cs="Courier New" w:hint="default"/>
      </w:rPr>
    </w:lvl>
    <w:lvl w:ilvl="8" w:tplc="7AA21BB4" w:tentative="1">
      <w:start w:val="1"/>
      <w:numFmt w:val="bullet"/>
      <w:lvlText w:val=""/>
      <w:lvlJc w:val="left"/>
      <w:pPr>
        <w:ind w:left="7200" w:hanging="360"/>
      </w:pPr>
      <w:rPr>
        <w:rFonts w:ascii="Wingdings" w:hAnsi="Wingdings" w:hint="default"/>
      </w:rPr>
    </w:lvl>
  </w:abstractNum>
  <w:abstractNum w:abstractNumId="6" w15:restartNumberingAfterBreak="0">
    <w:nsid w:val="38555485"/>
    <w:multiLevelType w:val="hybridMultilevel"/>
    <w:tmpl w:val="95B0E46E"/>
    <w:lvl w:ilvl="0" w:tplc="1638B34A">
      <w:start w:val="1"/>
      <w:numFmt w:val="decimal"/>
      <w:pStyle w:val="Heading3"/>
      <w:lvlText w:val="%1."/>
      <w:lvlJc w:val="left"/>
      <w:pPr>
        <w:ind w:left="1080" w:hanging="360"/>
      </w:pPr>
      <w:rPr>
        <w:rFonts w:hint="default"/>
      </w:rPr>
    </w:lvl>
    <w:lvl w:ilvl="1" w:tplc="BCFA7DB8" w:tentative="1">
      <w:start w:val="1"/>
      <w:numFmt w:val="lowerLetter"/>
      <w:lvlText w:val="%2."/>
      <w:lvlJc w:val="left"/>
      <w:pPr>
        <w:ind w:left="1800" w:hanging="360"/>
      </w:pPr>
    </w:lvl>
    <w:lvl w:ilvl="2" w:tplc="5FEEA588" w:tentative="1">
      <w:start w:val="1"/>
      <w:numFmt w:val="lowerRoman"/>
      <w:lvlText w:val="%3."/>
      <w:lvlJc w:val="right"/>
      <w:pPr>
        <w:ind w:left="2520" w:hanging="180"/>
      </w:pPr>
    </w:lvl>
    <w:lvl w:ilvl="3" w:tplc="EBE09F26" w:tentative="1">
      <w:start w:val="1"/>
      <w:numFmt w:val="decimal"/>
      <w:lvlText w:val="%4."/>
      <w:lvlJc w:val="left"/>
      <w:pPr>
        <w:ind w:left="3240" w:hanging="360"/>
      </w:pPr>
    </w:lvl>
    <w:lvl w:ilvl="4" w:tplc="FE6E58C4" w:tentative="1">
      <w:start w:val="1"/>
      <w:numFmt w:val="lowerLetter"/>
      <w:lvlText w:val="%5."/>
      <w:lvlJc w:val="left"/>
      <w:pPr>
        <w:ind w:left="3960" w:hanging="360"/>
      </w:pPr>
    </w:lvl>
    <w:lvl w:ilvl="5" w:tplc="B9244D5A" w:tentative="1">
      <w:start w:val="1"/>
      <w:numFmt w:val="lowerRoman"/>
      <w:lvlText w:val="%6."/>
      <w:lvlJc w:val="right"/>
      <w:pPr>
        <w:ind w:left="4680" w:hanging="180"/>
      </w:pPr>
    </w:lvl>
    <w:lvl w:ilvl="6" w:tplc="E45AFF20" w:tentative="1">
      <w:start w:val="1"/>
      <w:numFmt w:val="decimal"/>
      <w:lvlText w:val="%7."/>
      <w:lvlJc w:val="left"/>
      <w:pPr>
        <w:ind w:left="5400" w:hanging="360"/>
      </w:pPr>
    </w:lvl>
    <w:lvl w:ilvl="7" w:tplc="254AFC92" w:tentative="1">
      <w:start w:val="1"/>
      <w:numFmt w:val="lowerLetter"/>
      <w:lvlText w:val="%8."/>
      <w:lvlJc w:val="left"/>
      <w:pPr>
        <w:ind w:left="6120" w:hanging="360"/>
      </w:pPr>
    </w:lvl>
    <w:lvl w:ilvl="8" w:tplc="0138FB20" w:tentative="1">
      <w:start w:val="1"/>
      <w:numFmt w:val="lowerRoman"/>
      <w:lvlText w:val="%9."/>
      <w:lvlJc w:val="right"/>
      <w:pPr>
        <w:ind w:left="6840" w:hanging="180"/>
      </w:pPr>
    </w:lvl>
  </w:abstractNum>
  <w:abstractNum w:abstractNumId="7" w15:restartNumberingAfterBreak="0">
    <w:nsid w:val="3BC53C32"/>
    <w:multiLevelType w:val="hybridMultilevel"/>
    <w:tmpl w:val="9166663E"/>
    <w:lvl w:ilvl="0" w:tplc="ADAC11F4">
      <w:start w:val="1"/>
      <w:numFmt w:val="upperLetter"/>
      <w:pStyle w:val="Heading2"/>
      <w:lvlText w:val="%1."/>
      <w:lvlJc w:val="left"/>
      <w:pPr>
        <w:ind w:left="810" w:hanging="360"/>
      </w:pPr>
      <w:rPr>
        <w:rFonts w:hint="default"/>
        <w:i w:val="0"/>
        <w:iCs/>
      </w:rPr>
    </w:lvl>
    <w:lvl w:ilvl="1" w:tplc="0082F90A" w:tentative="1">
      <w:start w:val="1"/>
      <w:numFmt w:val="lowerLetter"/>
      <w:lvlText w:val="%2."/>
      <w:lvlJc w:val="left"/>
      <w:pPr>
        <w:ind w:left="1440" w:hanging="360"/>
      </w:pPr>
    </w:lvl>
    <w:lvl w:ilvl="2" w:tplc="889402C8" w:tentative="1">
      <w:start w:val="1"/>
      <w:numFmt w:val="lowerRoman"/>
      <w:lvlText w:val="%3."/>
      <w:lvlJc w:val="right"/>
      <w:pPr>
        <w:ind w:left="2160" w:hanging="180"/>
      </w:pPr>
    </w:lvl>
    <w:lvl w:ilvl="3" w:tplc="EAECF906" w:tentative="1">
      <w:start w:val="1"/>
      <w:numFmt w:val="decimal"/>
      <w:lvlText w:val="%4."/>
      <w:lvlJc w:val="left"/>
      <w:pPr>
        <w:ind w:left="2880" w:hanging="360"/>
      </w:pPr>
    </w:lvl>
    <w:lvl w:ilvl="4" w:tplc="10500814" w:tentative="1">
      <w:start w:val="1"/>
      <w:numFmt w:val="lowerLetter"/>
      <w:lvlText w:val="%5."/>
      <w:lvlJc w:val="left"/>
      <w:pPr>
        <w:ind w:left="3600" w:hanging="360"/>
      </w:pPr>
    </w:lvl>
    <w:lvl w:ilvl="5" w:tplc="48FECCC2" w:tentative="1">
      <w:start w:val="1"/>
      <w:numFmt w:val="lowerRoman"/>
      <w:lvlText w:val="%6."/>
      <w:lvlJc w:val="right"/>
      <w:pPr>
        <w:ind w:left="4320" w:hanging="180"/>
      </w:pPr>
    </w:lvl>
    <w:lvl w:ilvl="6" w:tplc="D07E1606" w:tentative="1">
      <w:start w:val="1"/>
      <w:numFmt w:val="decimal"/>
      <w:lvlText w:val="%7."/>
      <w:lvlJc w:val="left"/>
      <w:pPr>
        <w:ind w:left="5040" w:hanging="360"/>
      </w:pPr>
    </w:lvl>
    <w:lvl w:ilvl="7" w:tplc="474A4198" w:tentative="1">
      <w:start w:val="1"/>
      <w:numFmt w:val="lowerLetter"/>
      <w:lvlText w:val="%8."/>
      <w:lvlJc w:val="left"/>
      <w:pPr>
        <w:ind w:left="5760" w:hanging="360"/>
      </w:pPr>
    </w:lvl>
    <w:lvl w:ilvl="8" w:tplc="C7CA34DE" w:tentative="1">
      <w:start w:val="1"/>
      <w:numFmt w:val="lowerRoman"/>
      <w:lvlText w:val="%9."/>
      <w:lvlJc w:val="right"/>
      <w:pPr>
        <w:ind w:left="6480" w:hanging="180"/>
      </w:pPr>
    </w:lvl>
  </w:abstractNum>
  <w:abstractNum w:abstractNumId="8" w15:restartNumberingAfterBreak="0">
    <w:nsid w:val="4A7C30E2"/>
    <w:multiLevelType w:val="hybridMultilevel"/>
    <w:tmpl w:val="1FC2E096"/>
    <w:lvl w:ilvl="0" w:tplc="AE8EF590">
      <w:start w:val="1"/>
      <w:numFmt w:val="lowerLetter"/>
      <w:pStyle w:val="Heading4"/>
      <w:lvlText w:val="%1."/>
      <w:lvlJc w:val="left"/>
      <w:pPr>
        <w:ind w:left="1440" w:hanging="360"/>
      </w:pPr>
      <w:rPr>
        <w:rFonts w:hint="default"/>
        <w:i w:val="0"/>
        <w:iCs w:val="0"/>
      </w:rPr>
    </w:lvl>
    <w:lvl w:ilvl="1" w:tplc="2E6AE51A" w:tentative="1">
      <w:start w:val="1"/>
      <w:numFmt w:val="lowerLetter"/>
      <w:lvlText w:val="%2."/>
      <w:lvlJc w:val="left"/>
      <w:pPr>
        <w:ind w:left="2160" w:hanging="360"/>
      </w:pPr>
    </w:lvl>
    <w:lvl w:ilvl="2" w:tplc="B9766862" w:tentative="1">
      <w:start w:val="1"/>
      <w:numFmt w:val="lowerRoman"/>
      <w:lvlText w:val="%3."/>
      <w:lvlJc w:val="right"/>
      <w:pPr>
        <w:ind w:left="2880" w:hanging="180"/>
      </w:pPr>
    </w:lvl>
    <w:lvl w:ilvl="3" w:tplc="1716243A" w:tentative="1">
      <w:start w:val="1"/>
      <w:numFmt w:val="decimal"/>
      <w:lvlText w:val="%4."/>
      <w:lvlJc w:val="left"/>
      <w:pPr>
        <w:ind w:left="3600" w:hanging="360"/>
      </w:pPr>
    </w:lvl>
    <w:lvl w:ilvl="4" w:tplc="09821168" w:tentative="1">
      <w:start w:val="1"/>
      <w:numFmt w:val="lowerLetter"/>
      <w:lvlText w:val="%5."/>
      <w:lvlJc w:val="left"/>
      <w:pPr>
        <w:ind w:left="4320" w:hanging="360"/>
      </w:pPr>
    </w:lvl>
    <w:lvl w:ilvl="5" w:tplc="2CD69BA0" w:tentative="1">
      <w:start w:val="1"/>
      <w:numFmt w:val="lowerRoman"/>
      <w:lvlText w:val="%6."/>
      <w:lvlJc w:val="right"/>
      <w:pPr>
        <w:ind w:left="5040" w:hanging="180"/>
      </w:pPr>
    </w:lvl>
    <w:lvl w:ilvl="6" w:tplc="EA2E9D30" w:tentative="1">
      <w:start w:val="1"/>
      <w:numFmt w:val="decimal"/>
      <w:lvlText w:val="%7."/>
      <w:lvlJc w:val="left"/>
      <w:pPr>
        <w:ind w:left="5760" w:hanging="360"/>
      </w:pPr>
    </w:lvl>
    <w:lvl w:ilvl="7" w:tplc="CE7043B4" w:tentative="1">
      <w:start w:val="1"/>
      <w:numFmt w:val="lowerLetter"/>
      <w:lvlText w:val="%8."/>
      <w:lvlJc w:val="left"/>
      <w:pPr>
        <w:ind w:left="6480" w:hanging="360"/>
      </w:pPr>
    </w:lvl>
    <w:lvl w:ilvl="8" w:tplc="A3A47D76" w:tentative="1">
      <w:start w:val="1"/>
      <w:numFmt w:val="lowerRoman"/>
      <w:lvlText w:val="%9."/>
      <w:lvlJc w:val="right"/>
      <w:pPr>
        <w:ind w:left="7200" w:hanging="180"/>
      </w:pPr>
    </w:lvl>
  </w:abstractNum>
  <w:abstractNum w:abstractNumId="9" w15:restartNumberingAfterBreak="0">
    <w:nsid w:val="53C73F96"/>
    <w:multiLevelType w:val="hybridMultilevel"/>
    <w:tmpl w:val="194CE3A6"/>
    <w:lvl w:ilvl="0" w:tplc="0B7A85AE">
      <w:start w:val="1"/>
      <w:numFmt w:val="bullet"/>
      <w:lvlText w:val=""/>
      <w:lvlJc w:val="left"/>
      <w:pPr>
        <w:ind w:left="1440" w:hanging="360"/>
      </w:pPr>
      <w:rPr>
        <w:rFonts w:ascii="Symbol" w:hAnsi="Symbol" w:hint="default"/>
      </w:rPr>
    </w:lvl>
    <w:lvl w:ilvl="1" w:tplc="D7127FD6" w:tentative="1">
      <w:start w:val="1"/>
      <w:numFmt w:val="bullet"/>
      <w:lvlText w:val="o"/>
      <w:lvlJc w:val="left"/>
      <w:pPr>
        <w:ind w:left="2160" w:hanging="360"/>
      </w:pPr>
      <w:rPr>
        <w:rFonts w:ascii="Courier New" w:hAnsi="Courier New" w:cs="Courier New" w:hint="default"/>
      </w:rPr>
    </w:lvl>
    <w:lvl w:ilvl="2" w:tplc="C1683700" w:tentative="1">
      <w:start w:val="1"/>
      <w:numFmt w:val="bullet"/>
      <w:lvlText w:val=""/>
      <w:lvlJc w:val="left"/>
      <w:pPr>
        <w:ind w:left="2880" w:hanging="360"/>
      </w:pPr>
      <w:rPr>
        <w:rFonts w:ascii="Wingdings" w:hAnsi="Wingdings" w:hint="default"/>
      </w:rPr>
    </w:lvl>
    <w:lvl w:ilvl="3" w:tplc="70944092" w:tentative="1">
      <w:start w:val="1"/>
      <w:numFmt w:val="bullet"/>
      <w:lvlText w:val=""/>
      <w:lvlJc w:val="left"/>
      <w:pPr>
        <w:ind w:left="3600" w:hanging="360"/>
      </w:pPr>
      <w:rPr>
        <w:rFonts w:ascii="Symbol" w:hAnsi="Symbol" w:hint="default"/>
      </w:rPr>
    </w:lvl>
    <w:lvl w:ilvl="4" w:tplc="88A4699C" w:tentative="1">
      <w:start w:val="1"/>
      <w:numFmt w:val="bullet"/>
      <w:lvlText w:val="o"/>
      <w:lvlJc w:val="left"/>
      <w:pPr>
        <w:ind w:left="4320" w:hanging="360"/>
      </w:pPr>
      <w:rPr>
        <w:rFonts w:ascii="Courier New" w:hAnsi="Courier New" w:cs="Courier New" w:hint="default"/>
      </w:rPr>
    </w:lvl>
    <w:lvl w:ilvl="5" w:tplc="0486F48A" w:tentative="1">
      <w:start w:val="1"/>
      <w:numFmt w:val="bullet"/>
      <w:lvlText w:val=""/>
      <w:lvlJc w:val="left"/>
      <w:pPr>
        <w:ind w:left="5040" w:hanging="360"/>
      </w:pPr>
      <w:rPr>
        <w:rFonts w:ascii="Wingdings" w:hAnsi="Wingdings" w:hint="default"/>
      </w:rPr>
    </w:lvl>
    <w:lvl w:ilvl="6" w:tplc="E324A190" w:tentative="1">
      <w:start w:val="1"/>
      <w:numFmt w:val="bullet"/>
      <w:lvlText w:val=""/>
      <w:lvlJc w:val="left"/>
      <w:pPr>
        <w:ind w:left="5760" w:hanging="360"/>
      </w:pPr>
      <w:rPr>
        <w:rFonts w:ascii="Symbol" w:hAnsi="Symbol" w:hint="default"/>
      </w:rPr>
    </w:lvl>
    <w:lvl w:ilvl="7" w:tplc="8474EFCE" w:tentative="1">
      <w:start w:val="1"/>
      <w:numFmt w:val="bullet"/>
      <w:lvlText w:val="o"/>
      <w:lvlJc w:val="left"/>
      <w:pPr>
        <w:ind w:left="6480" w:hanging="360"/>
      </w:pPr>
      <w:rPr>
        <w:rFonts w:ascii="Courier New" w:hAnsi="Courier New" w:cs="Courier New" w:hint="default"/>
      </w:rPr>
    </w:lvl>
    <w:lvl w:ilvl="8" w:tplc="7B5CDB90" w:tentative="1">
      <w:start w:val="1"/>
      <w:numFmt w:val="bullet"/>
      <w:lvlText w:val=""/>
      <w:lvlJc w:val="left"/>
      <w:pPr>
        <w:ind w:left="7200" w:hanging="360"/>
      </w:pPr>
      <w:rPr>
        <w:rFonts w:ascii="Wingdings" w:hAnsi="Wingdings" w:hint="default"/>
      </w:rPr>
    </w:lvl>
  </w:abstractNum>
  <w:abstractNum w:abstractNumId="10" w15:restartNumberingAfterBreak="0">
    <w:nsid w:val="53C74FDE"/>
    <w:multiLevelType w:val="hybridMultilevel"/>
    <w:tmpl w:val="F94C8910"/>
    <w:lvl w:ilvl="0" w:tplc="80EC607A">
      <w:start w:val="1"/>
      <w:numFmt w:val="bullet"/>
      <w:lvlText w:val=""/>
      <w:lvlJc w:val="left"/>
      <w:pPr>
        <w:ind w:left="1440" w:hanging="360"/>
      </w:pPr>
      <w:rPr>
        <w:rFonts w:ascii="Symbol" w:hAnsi="Symbol" w:hint="default"/>
      </w:rPr>
    </w:lvl>
    <w:lvl w:ilvl="1" w:tplc="AF666A8A">
      <w:start w:val="1"/>
      <w:numFmt w:val="bullet"/>
      <w:lvlText w:val="o"/>
      <w:lvlJc w:val="left"/>
      <w:pPr>
        <w:ind w:left="2160" w:hanging="360"/>
      </w:pPr>
      <w:rPr>
        <w:rFonts w:ascii="Courier New" w:hAnsi="Courier New" w:cs="Courier New" w:hint="default"/>
      </w:rPr>
    </w:lvl>
    <w:lvl w:ilvl="2" w:tplc="C0FE7A4C" w:tentative="1">
      <w:start w:val="1"/>
      <w:numFmt w:val="bullet"/>
      <w:lvlText w:val=""/>
      <w:lvlJc w:val="left"/>
      <w:pPr>
        <w:ind w:left="2880" w:hanging="360"/>
      </w:pPr>
      <w:rPr>
        <w:rFonts w:ascii="Wingdings" w:hAnsi="Wingdings" w:hint="default"/>
      </w:rPr>
    </w:lvl>
    <w:lvl w:ilvl="3" w:tplc="549EA596" w:tentative="1">
      <w:start w:val="1"/>
      <w:numFmt w:val="bullet"/>
      <w:lvlText w:val=""/>
      <w:lvlJc w:val="left"/>
      <w:pPr>
        <w:ind w:left="3600" w:hanging="360"/>
      </w:pPr>
      <w:rPr>
        <w:rFonts w:ascii="Symbol" w:hAnsi="Symbol" w:hint="default"/>
      </w:rPr>
    </w:lvl>
    <w:lvl w:ilvl="4" w:tplc="18946E72" w:tentative="1">
      <w:start w:val="1"/>
      <w:numFmt w:val="bullet"/>
      <w:lvlText w:val="o"/>
      <w:lvlJc w:val="left"/>
      <w:pPr>
        <w:ind w:left="4320" w:hanging="360"/>
      </w:pPr>
      <w:rPr>
        <w:rFonts w:ascii="Courier New" w:hAnsi="Courier New" w:cs="Courier New" w:hint="default"/>
      </w:rPr>
    </w:lvl>
    <w:lvl w:ilvl="5" w:tplc="6F4661AA" w:tentative="1">
      <w:start w:val="1"/>
      <w:numFmt w:val="bullet"/>
      <w:lvlText w:val=""/>
      <w:lvlJc w:val="left"/>
      <w:pPr>
        <w:ind w:left="5040" w:hanging="360"/>
      </w:pPr>
      <w:rPr>
        <w:rFonts w:ascii="Wingdings" w:hAnsi="Wingdings" w:hint="default"/>
      </w:rPr>
    </w:lvl>
    <w:lvl w:ilvl="6" w:tplc="3288E2E2" w:tentative="1">
      <w:start w:val="1"/>
      <w:numFmt w:val="bullet"/>
      <w:lvlText w:val=""/>
      <w:lvlJc w:val="left"/>
      <w:pPr>
        <w:ind w:left="5760" w:hanging="360"/>
      </w:pPr>
      <w:rPr>
        <w:rFonts w:ascii="Symbol" w:hAnsi="Symbol" w:hint="default"/>
      </w:rPr>
    </w:lvl>
    <w:lvl w:ilvl="7" w:tplc="AF863438" w:tentative="1">
      <w:start w:val="1"/>
      <w:numFmt w:val="bullet"/>
      <w:lvlText w:val="o"/>
      <w:lvlJc w:val="left"/>
      <w:pPr>
        <w:ind w:left="6480" w:hanging="360"/>
      </w:pPr>
      <w:rPr>
        <w:rFonts w:ascii="Courier New" w:hAnsi="Courier New" w:cs="Courier New" w:hint="default"/>
      </w:rPr>
    </w:lvl>
    <w:lvl w:ilvl="8" w:tplc="93049584" w:tentative="1">
      <w:start w:val="1"/>
      <w:numFmt w:val="bullet"/>
      <w:lvlText w:val=""/>
      <w:lvlJc w:val="left"/>
      <w:pPr>
        <w:ind w:left="7200" w:hanging="360"/>
      </w:pPr>
      <w:rPr>
        <w:rFonts w:ascii="Wingdings" w:hAnsi="Wingdings" w:hint="default"/>
      </w:rPr>
    </w:lvl>
  </w:abstractNum>
  <w:abstractNum w:abstractNumId="11" w15:restartNumberingAfterBreak="0">
    <w:nsid w:val="5B4E7DB3"/>
    <w:multiLevelType w:val="hybridMultilevel"/>
    <w:tmpl w:val="11BCDC1E"/>
    <w:lvl w:ilvl="0" w:tplc="09D22E22">
      <w:start w:val="1"/>
      <w:numFmt w:val="bullet"/>
      <w:lvlText w:val=""/>
      <w:lvlJc w:val="left"/>
      <w:pPr>
        <w:ind w:left="1440" w:hanging="360"/>
      </w:pPr>
      <w:rPr>
        <w:rFonts w:ascii="Symbol" w:hAnsi="Symbol" w:hint="default"/>
      </w:rPr>
    </w:lvl>
    <w:lvl w:ilvl="1" w:tplc="1A1C1CC6" w:tentative="1">
      <w:start w:val="1"/>
      <w:numFmt w:val="bullet"/>
      <w:lvlText w:val="o"/>
      <w:lvlJc w:val="left"/>
      <w:pPr>
        <w:ind w:left="2160" w:hanging="360"/>
      </w:pPr>
      <w:rPr>
        <w:rFonts w:ascii="Courier New" w:hAnsi="Courier New" w:cs="Courier New" w:hint="default"/>
      </w:rPr>
    </w:lvl>
    <w:lvl w:ilvl="2" w:tplc="4A16A482" w:tentative="1">
      <w:start w:val="1"/>
      <w:numFmt w:val="bullet"/>
      <w:lvlText w:val=""/>
      <w:lvlJc w:val="left"/>
      <w:pPr>
        <w:ind w:left="2880" w:hanging="360"/>
      </w:pPr>
      <w:rPr>
        <w:rFonts w:ascii="Wingdings" w:hAnsi="Wingdings" w:hint="default"/>
      </w:rPr>
    </w:lvl>
    <w:lvl w:ilvl="3" w:tplc="AA089F4E" w:tentative="1">
      <w:start w:val="1"/>
      <w:numFmt w:val="bullet"/>
      <w:lvlText w:val=""/>
      <w:lvlJc w:val="left"/>
      <w:pPr>
        <w:ind w:left="3600" w:hanging="360"/>
      </w:pPr>
      <w:rPr>
        <w:rFonts w:ascii="Symbol" w:hAnsi="Symbol" w:hint="default"/>
      </w:rPr>
    </w:lvl>
    <w:lvl w:ilvl="4" w:tplc="1FBCCE78" w:tentative="1">
      <w:start w:val="1"/>
      <w:numFmt w:val="bullet"/>
      <w:lvlText w:val="o"/>
      <w:lvlJc w:val="left"/>
      <w:pPr>
        <w:ind w:left="4320" w:hanging="360"/>
      </w:pPr>
      <w:rPr>
        <w:rFonts w:ascii="Courier New" w:hAnsi="Courier New" w:cs="Courier New" w:hint="default"/>
      </w:rPr>
    </w:lvl>
    <w:lvl w:ilvl="5" w:tplc="57B2B7BE" w:tentative="1">
      <w:start w:val="1"/>
      <w:numFmt w:val="bullet"/>
      <w:lvlText w:val=""/>
      <w:lvlJc w:val="left"/>
      <w:pPr>
        <w:ind w:left="5040" w:hanging="360"/>
      </w:pPr>
      <w:rPr>
        <w:rFonts w:ascii="Wingdings" w:hAnsi="Wingdings" w:hint="default"/>
      </w:rPr>
    </w:lvl>
    <w:lvl w:ilvl="6" w:tplc="895E6654" w:tentative="1">
      <w:start w:val="1"/>
      <w:numFmt w:val="bullet"/>
      <w:lvlText w:val=""/>
      <w:lvlJc w:val="left"/>
      <w:pPr>
        <w:ind w:left="5760" w:hanging="360"/>
      </w:pPr>
      <w:rPr>
        <w:rFonts w:ascii="Symbol" w:hAnsi="Symbol" w:hint="default"/>
      </w:rPr>
    </w:lvl>
    <w:lvl w:ilvl="7" w:tplc="24A66C42" w:tentative="1">
      <w:start w:val="1"/>
      <w:numFmt w:val="bullet"/>
      <w:lvlText w:val="o"/>
      <w:lvlJc w:val="left"/>
      <w:pPr>
        <w:ind w:left="6480" w:hanging="360"/>
      </w:pPr>
      <w:rPr>
        <w:rFonts w:ascii="Courier New" w:hAnsi="Courier New" w:cs="Courier New" w:hint="default"/>
      </w:rPr>
    </w:lvl>
    <w:lvl w:ilvl="8" w:tplc="B40A59C2" w:tentative="1">
      <w:start w:val="1"/>
      <w:numFmt w:val="bullet"/>
      <w:lvlText w:val=""/>
      <w:lvlJc w:val="left"/>
      <w:pPr>
        <w:ind w:left="7200" w:hanging="360"/>
      </w:pPr>
      <w:rPr>
        <w:rFonts w:ascii="Wingdings" w:hAnsi="Wingdings" w:hint="default"/>
      </w:rPr>
    </w:lvl>
  </w:abstractNum>
  <w:abstractNum w:abstractNumId="12" w15:restartNumberingAfterBreak="0">
    <w:nsid w:val="66547B67"/>
    <w:multiLevelType w:val="hybridMultilevel"/>
    <w:tmpl w:val="CBE0CCAC"/>
    <w:lvl w:ilvl="0" w:tplc="1DAA693E">
      <w:start w:val="1"/>
      <w:numFmt w:val="bullet"/>
      <w:lvlText w:val=""/>
      <w:lvlJc w:val="left"/>
      <w:pPr>
        <w:ind w:left="2160" w:hanging="360"/>
      </w:pPr>
      <w:rPr>
        <w:rFonts w:ascii="Symbol" w:hAnsi="Symbol" w:hint="default"/>
      </w:rPr>
    </w:lvl>
    <w:lvl w:ilvl="1" w:tplc="E6665EFC" w:tentative="1">
      <w:start w:val="1"/>
      <w:numFmt w:val="bullet"/>
      <w:lvlText w:val="o"/>
      <w:lvlJc w:val="left"/>
      <w:pPr>
        <w:ind w:left="2880" w:hanging="360"/>
      </w:pPr>
      <w:rPr>
        <w:rFonts w:ascii="Courier New" w:hAnsi="Courier New" w:cs="Courier New" w:hint="default"/>
      </w:rPr>
    </w:lvl>
    <w:lvl w:ilvl="2" w:tplc="796488CE" w:tentative="1">
      <w:start w:val="1"/>
      <w:numFmt w:val="bullet"/>
      <w:lvlText w:val=""/>
      <w:lvlJc w:val="left"/>
      <w:pPr>
        <w:ind w:left="3600" w:hanging="360"/>
      </w:pPr>
      <w:rPr>
        <w:rFonts w:ascii="Wingdings" w:hAnsi="Wingdings" w:hint="default"/>
      </w:rPr>
    </w:lvl>
    <w:lvl w:ilvl="3" w:tplc="D63C7246" w:tentative="1">
      <w:start w:val="1"/>
      <w:numFmt w:val="bullet"/>
      <w:lvlText w:val=""/>
      <w:lvlJc w:val="left"/>
      <w:pPr>
        <w:ind w:left="4320" w:hanging="360"/>
      </w:pPr>
      <w:rPr>
        <w:rFonts w:ascii="Symbol" w:hAnsi="Symbol" w:hint="default"/>
      </w:rPr>
    </w:lvl>
    <w:lvl w:ilvl="4" w:tplc="4B72BC6A" w:tentative="1">
      <w:start w:val="1"/>
      <w:numFmt w:val="bullet"/>
      <w:lvlText w:val="o"/>
      <w:lvlJc w:val="left"/>
      <w:pPr>
        <w:ind w:left="5040" w:hanging="360"/>
      </w:pPr>
      <w:rPr>
        <w:rFonts w:ascii="Courier New" w:hAnsi="Courier New" w:cs="Courier New" w:hint="default"/>
      </w:rPr>
    </w:lvl>
    <w:lvl w:ilvl="5" w:tplc="C98CABB8" w:tentative="1">
      <w:start w:val="1"/>
      <w:numFmt w:val="bullet"/>
      <w:lvlText w:val=""/>
      <w:lvlJc w:val="left"/>
      <w:pPr>
        <w:ind w:left="5760" w:hanging="360"/>
      </w:pPr>
      <w:rPr>
        <w:rFonts w:ascii="Wingdings" w:hAnsi="Wingdings" w:hint="default"/>
      </w:rPr>
    </w:lvl>
    <w:lvl w:ilvl="6" w:tplc="4FD658B0" w:tentative="1">
      <w:start w:val="1"/>
      <w:numFmt w:val="bullet"/>
      <w:lvlText w:val=""/>
      <w:lvlJc w:val="left"/>
      <w:pPr>
        <w:ind w:left="6480" w:hanging="360"/>
      </w:pPr>
      <w:rPr>
        <w:rFonts w:ascii="Symbol" w:hAnsi="Symbol" w:hint="default"/>
      </w:rPr>
    </w:lvl>
    <w:lvl w:ilvl="7" w:tplc="EB5250B6" w:tentative="1">
      <w:start w:val="1"/>
      <w:numFmt w:val="bullet"/>
      <w:lvlText w:val="o"/>
      <w:lvlJc w:val="left"/>
      <w:pPr>
        <w:ind w:left="7200" w:hanging="360"/>
      </w:pPr>
      <w:rPr>
        <w:rFonts w:ascii="Courier New" w:hAnsi="Courier New" w:cs="Courier New" w:hint="default"/>
      </w:rPr>
    </w:lvl>
    <w:lvl w:ilvl="8" w:tplc="AC4EC194" w:tentative="1">
      <w:start w:val="1"/>
      <w:numFmt w:val="bullet"/>
      <w:lvlText w:val=""/>
      <w:lvlJc w:val="left"/>
      <w:pPr>
        <w:ind w:left="7920" w:hanging="360"/>
      </w:pPr>
      <w:rPr>
        <w:rFonts w:ascii="Wingdings" w:hAnsi="Wingdings" w:hint="default"/>
      </w:rPr>
    </w:lvl>
  </w:abstractNum>
  <w:abstractNum w:abstractNumId="13" w15:restartNumberingAfterBreak="0">
    <w:nsid w:val="6D44204A"/>
    <w:multiLevelType w:val="hybridMultilevel"/>
    <w:tmpl w:val="E5E8AB82"/>
    <w:lvl w:ilvl="0" w:tplc="A336C98C">
      <w:start w:val="1"/>
      <w:numFmt w:val="bullet"/>
      <w:lvlText w:val=""/>
      <w:lvlJc w:val="left"/>
      <w:pPr>
        <w:ind w:left="1440" w:hanging="360"/>
      </w:pPr>
      <w:rPr>
        <w:rFonts w:ascii="Symbol" w:hAnsi="Symbol" w:hint="default"/>
      </w:rPr>
    </w:lvl>
    <w:lvl w:ilvl="1" w:tplc="9FF0604C" w:tentative="1">
      <w:start w:val="1"/>
      <w:numFmt w:val="bullet"/>
      <w:lvlText w:val="o"/>
      <w:lvlJc w:val="left"/>
      <w:pPr>
        <w:ind w:left="2160" w:hanging="360"/>
      </w:pPr>
      <w:rPr>
        <w:rFonts w:ascii="Courier New" w:hAnsi="Courier New" w:cs="Courier New" w:hint="default"/>
      </w:rPr>
    </w:lvl>
    <w:lvl w:ilvl="2" w:tplc="BA46BDA2" w:tentative="1">
      <w:start w:val="1"/>
      <w:numFmt w:val="bullet"/>
      <w:lvlText w:val=""/>
      <w:lvlJc w:val="left"/>
      <w:pPr>
        <w:ind w:left="2880" w:hanging="360"/>
      </w:pPr>
      <w:rPr>
        <w:rFonts w:ascii="Wingdings" w:hAnsi="Wingdings" w:hint="default"/>
      </w:rPr>
    </w:lvl>
    <w:lvl w:ilvl="3" w:tplc="6BD2DF18" w:tentative="1">
      <w:start w:val="1"/>
      <w:numFmt w:val="bullet"/>
      <w:lvlText w:val=""/>
      <w:lvlJc w:val="left"/>
      <w:pPr>
        <w:ind w:left="3600" w:hanging="360"/>
      </w:pPr>
      <w:rPr>
        <w:rFonts w:ascii="Symbol" w:hAnsi="Symbol" w:hint="default"/>
      </w:rPr>
    </w:lvl>
    <w:lvl w:ilvl="4" w:tplc="4A8C5AEA" w:tentative="1">
      <w:start w:val="1"/>
      <w:numFmt w:val="bullet"/>
      <w:lvlText w:val="o"/>
      <w:lvlJc w:val="left"/>
      <w:pPr>
        <w:ind w:left="4320" w:hanging="360"/>
      </w:pPr>
      <w:rPr>
        <w:rFonts w:ascii="Courier New" w:hAnsi="Courier New" w:cs="Courier New" w:hint="default"/>
      </w:rPr>
    </w:lvl>
    <w:lvl w:ilvl="5" w:tplc="5DECA408" w:tentative="1">
      <w:start w:val="1"/>
      <w:numFmt w:val="bullet"/>
      <w:lvlText w:val=""/>
      <w:lvlJc w:val="left"/>
      <w:pPr>
        <w:ind w:left="5040" w:hanging="360"/>
      </w:pPr>
      <w:rPr>
        <w:rFonts w:ascii="Wingdings" w:hAnsi="Wingdings" w:hint="default"/>
      </w:rPr>
    </w:lvl>
    <w:lvl w:ilvl="6" w:tplc="67D8498A" w:tentative="1">
      <w:start w:val="1"/>
      <w:numFmt w:val="bullet"/>
      <w:lvlText w:val=""/>
      <w:lvlJc w:val="left"/>
      <w:pPr>
        <w:ind w:left="5760" w:hanging="360"/>
      </w:pPr>
      <w:rPr>
        <w:rFonts w:ascii="Symbol" w:hAnsi="Symbol" w:hint="default"/>
      </w:rPr>
    </w:lvl>
    <w:lvl w:ilvl="7" w:tplc="83280978" w:tentative="1">
      <w:start w:val="1"/>
      <w:numFmt w:val="bullet"/>
      <w:lvlText w:val="o"/>
      <w:lvlJc w:val="left"/>
      <w:pPr>
        <w:ind w:left="6480" w:hanging="360"/>
      </w:pPr>
      <w:rPr>
        <w:rFonts w:ascii="Courier New" w:hAnsi="Courier New" w:cs="Courier New" w:hint="default"/>
      </w:rPr>
    </w:lvl>
    <w:lvl w:ilvl="8" w:tplc="9C9EC98E" w:tentative="1">
      <w:start w:val="1"/>
      <w:numFmt w:val="bullet"/>
      <w:lvlText w:val=""/>
      <w:lvlJc w:val="left"/>
      <w:pPr>
        <w:ind w:left="7200" w:hanging="360"/>
      </w:pPr>
      <w:rPr>
        <w:rFonts w:ascii="Wingdings" w:hAnsi="Wingdings" w:hint="default"/>
      </w:rPr>
    </w:lvl>
  </w:abstractNum>
  <w:abstractNum w:abstractNumId="14" w15:restartNumberingAfterBreak="0">
    <w:nsid w:val="721D089E"/>
    <w:multiLevelType w:val="hybridMultilevel"/>
    <w:tmpl w:val="9ED4D682"/>
    <w:lvl w:ilvl="0" w:tplc="DB9443D0">
      <w:start w:val="1"/>
      <w:numFmt w:val="bullet"/>
      <w:lvlText w:val=""/>
      <w:lvlJc w:val="left"/>
      <w:pPr>
        <w:ind w:left="1440" w:hanging="360"/>
      </w:pPr>
      <w:rPr>
        <w:rFonts w:ascii="Symbol" w:hAnsi="Symbol" w:hint="default"/>
      </w:rPr>
    </w:lvl>
    <w:lvl w:ilvl="1" w:tplc="D318F10C">
      <w:start w:val="1"/>
      <w:numFmt w:val="bullet"/>
      <w:lvlText w:val="o"/>
      <w:lvlJc w:val="left"/>
      <w:pPr>
        <w:ind w:left="2160" w:hanging="360"/>
      </w:pPr>
      <w:rPr>
        <w:rFonts w:ascii="Courier New" w:hAnsi="Courier New" w:cs="Courier New" w:hint="default"/>
      </w:rPr>
    </w:lvl>
    <w:lvl w:ilvl="2" w:tplc="F314E5AC">
      <w:start w:val="1"/>
      <w:numFmt w:val="bullet"/>
      <w:lvlText w:val=""/>
      <w:lvlJc w:val="left"/>
      <w:pPr>
        <w:ind w:left="2880" w:hanging="360"/>
      </w:pPr>
      <w:rPr>
        <w:rFonts w:ascii="Wingdings" w:hAnsi="Wingdings" w:hint="default"/>
      </w:rPr>
    </w:lvl>
    <w:lvl w:ilvl="3" w:tplc="93746928" w:tentative="1">
      <w:start w:val="1"/>
      <w:numFmt w:val="bullet"/>
      <w:lvlText w:val=""/>
      <w:lvlJc w:val="left"/>
      <w:pPr>
        <w:ind w:left="3600" w:hanging="360"/>
      </w:pPr>
      <w:rPr>
        <w:rFonts w:ascii="Symbol" w:hAnsi="Symbol" w:hint="default"/>
      </w:rPr>
    </w:lvl>
    <w:lvl w:ilvl="4" w:tplc="B7CED6F6" w:tentative="1">
      <w:start w:val="1"/>
      <w:numFmt w:val="bullet"/>
      <w:lvlText w:val="o"/>
      <w:lvlJc w:val="left"/>
      <w:pPr>
        <w:ind w:left="4320" w:hanging="360"/>
      </w:pPr>
      <w:rPr>
        <w:rFonts w:ascii="Courier New" w:hAnsi="Courier New" w:cs="Courier New" w:hint="default"/>
      </w:rPr>
    </w:lvl>
    <w:lvl w:ilvl="5" w:tplc="30CA33FE" w:tentative="1">
      <w:start w:val="1"/>
      <w:numFmt w:val="bullet"/>
      <w:lvlText w:val=""/>
      <w:lvlJc w:val="left"/>
      <w:pPr>
        <w:ind w:left="5040" w:hanging="360"/>
      </w:pPr>
      <w:rPr>
        <w:rFonts w:ascii="Wingdings" w:hAnsi="Wingdings" w:hint="default"/>
      </w:rPr>
    </w:lvl>
    <w:lvl w:ilvl="6" w:tplc="DFAA11E6" w:tentative="1">
      <w:start w:val="1"/>
      <w:numFmt w:val="bullet"/>
      <w:lvlText w:val=""/>
      <w:lvlJc w:val="left"/>
      <w:pPr>
        <w:ind w:left="5760" w:hanging="360"/>
      </w:pPr>
      <w:rPr>
        <w:rFonts w:ascii="Symbol" w:hAnsi="Symbol" w:hint="default"/>
      </w:rPr>
    </w:lvl>
    <w:lvl w:ilvl="7" w:tplc="0474412A" w:tentative="1">
      <w:start w:val="1"/>
      <w:numFmt w:val="bullet"/>
      <w:lvlText w:val="o"/>
      <w:lvlJc w:val="left"/>
      <w:pPr>
        <w:ind w:left="6480" w:hanging="360"/>
      </w:pPr>
      <w:rPr>
        <w:rFonts w:ascii="Courier New" w:hAnsi="Courier New" w:cs="Courier New" w:hint="default"/>
      </w:rPr>
    </w:lvl>
    <w:lvl w:ilvl="8" w:tplc="4C302EDA" w:tentative="1">
      <w:start w:val="1"/>
      <w:numFmt w:val="bullet"/>
      <w:lvlText w:val=""/>
      <w:lvlJc w:val="left"/>
      <w:pPr>
        <w:ind w:left="7200" w:hanging="360"/>
      </w:pPr>
      <w:rPr>
        <w:rFonts w:ascii="Wingdings" w:hAnsi="Wingdings" w:hint="default"/>
      </w:rPr>
    </w:lvl>
  </w:abstractNum>
  <w:abstractNum w:abstractNumId="15" w15:restartNumberingAfterBreak="0">
    <w:nsid w:val="7A363D43"/>
    <w:multiLevelType w:val="hybridMultilevel"/>
    <w:tmpl w:val="09F093D8"/>
    <w:lvl w:ilvl="0" w:tplc="4DA2CE90">
      <w:start w:val="1"/>
      <w:numFmt w:val="bullet"/>
      <w:lvlText w:val=""/>
      <w:lvlJc w:val="left"/>
      <w:pPr>
        <w:ind w:left="1440" w:hanging="360"/>
      </w:pPr>
      <w:rPr>
        <w:rFonts w:ascii="Symbol" w:hAnsi="Symbol" w:hint="default"/>
      </w:rPr>
    </w:lvl>
    <w:lvl w:ilvl="1" w:tplc="E8A254BE" w:tentative="1">
      <w:start w:val="1"/>
      <w:numFmt w:val="bullet"/>
      <w:lvlText w:val="o"/>
      <w:lvlJc w:val="left"/>
      <w:pPr>
        <w:ind w:left="2160" w:hanging="360"/>
      </w:pPr>
      <w:rPr>
        <w:rFonts w:ascii="Courier New" w:hAnsi="Courier New" w:cs="Courier New" w:hint="default"/>
      </w:rPr>
    </w:lvl>
    <w:lvl w:ilvl="2" w:tplc="5B983CEE" w:tentative="1">
      <w:start w:val="1"/>
      <w:numFmt w:val="bullet"/>
      <w:lvlText w:val=""/>
      <w:lvlJc w:val="left"/>
      <w:pPr>
        <w:ind w:left="2880" w:hanging="360"/>
      </w:pPr>
      <w:rPr>
        <w:rFonts w:ascii="Wingdings" w:hAnsi="Wingdings" w:hint="default"/>
      </w:rPr>
    </w:lvl>
    <w:lvl w:ilvl="3" w:tplc="EECE060C" w:tentative="1">
      <w:start w:val="1"/>
      <w:numFmt w:val="bullet"/>
      <w:lvlText w:val=""/>
      <w:lvlJc w:val="left"/>
      <w:pPr>
        <w:ind w:left="3600" w:hanging="360"/>
      </w:pPr>
      <w:rPr>
        <w:rFonts w:ascii="Symbol" w:hAnsi="Symbol" w:hint="default"/>
      </w:rPr>
    </w:lvl>
    <w:lvl w:ilvl="4" w:tplc="73E6D384" w:tentative="1">
      <w:start w:val="1"/>
      <w:numFmt w:val="bullet"/>
      <w:lvlText w:val="o"/>
      <w:lvlJc w:val="left"/>
      <w:pPr>
        <w:ind w:left="4320" w:hanging="360"/>
      </w:pPr>
      <w:rPr>
        <w:rFonts w:ascii="Courier New" w:hAnsi="Courier New" w:cs="Courier New" w:hint="default"/>
      </w:rPr>
    </w:lvl>
    <w:lvl w:ilvl="5" w:tplc="0024D436" w:tentative="1">
      <w:start w:val="1"/>
      <w:numFmt w:val="bullet"/>
      <w:lvlText w:val=""/>
      <w:lvlJc w:val="left"/>
      <w:pPr>
        <w:ind w:left="5040" w:hanging="360"/>
      </w:pPr>
      <w:rPr>
        <w:rFonts w:ascii="Wingdings" w:hAnsi="Wingdings" w:hint="default"/>
      </w:rPr>
    </w:lvl>
    <w:lvl w:ilvl="6" w:tplc="DDC0C706" w:tentative="1">
      <w:start w:val="1"/>
      <w:numFmt w:val="bullet"/>
      <w:lvlText w:val=""/>
      <w:lvlJc w:val="left"/>
      <w:pPr>
        <w:ind w:left="5760" w:hanging="360"/>
      </w:pPr>
      <w:rPr>
        <w:rFonts w:ascii="Symbol" w:hAnsi="Symbol" w:hint="default"/>
      </w:rPr>
    </w:lvl>
    <w:lvl w:ilvl="7" w:tplc="E3C46E68" w:tentative="1">
      <w:start w:val="1"/>
      <w:numFmt w:val="bullet"/>
      <w:lvlText w:val="o"/>
      <w:lvlJc w:val="left"/>
      <w:pPr>
        <w:ind w:left="6480" w:hanging="360"/>
      </w:pPr>
      <w:rPr>
        <w:rFonts w:ascii="Courier New" w:hAnsi="Courier New" w:cs="Courier New" w:hint="default"/>
      </w:rPr>
    </w:lvl>
    <w:lvl w:ilvl="8" w:tplc="06AA2072" w:tentative="1">
      <w:start w:val="1"/>
      <w:numFmt w:val="bullet"/>
      <w:lvlText w:val=""/>
      <w:lvlJc w:val="left"/>
      <w:pPr>
        <w:ind w:left="7200" w:hanging="360"/>
      </w:pPr>
      <w:rPr>
        <w:rFonts w:ascii="Wingdings" w:hAnsi="Wingdings" w:hint="default"/>
      </w:rPr>
    </w:lvl>
  </w:abstractNum>
  <w:num w:numId="1" w16cid:durableId="395593806">
    <w:abstractNumId w:val="4"/>
  </w:num>
  <w:num w:numId="2" w16cid:durableId="1167747240">
    <w:abstractNumId w:val="7"/>
  </w:num>
  <w:num w:numId="3" w16cid:durableId="1068459851">
    <w:abstractNumId w:val="6"/>
  </w:num>
  <w:num w:numId="4" w16cid:durableId="1105466390">
    <w:abstractNumId w:val="8"/>
  </w:num>
  <w:num w:numId="5" w16cid:durableId="1557935521">
    <w:abstractNumId w:val="4"/>
    <w:lvlOverride w:ilvl="0">
      <w:startOverride w:val="1"/>
    </w:lvlOverride>
  </w:num>
  <w:num w:numId="6" w16cid:durableId="1851020959">
    <w:abstractNumId w:val="4"/>
    <w:lvlOverride w:ilvl="0">
      <w:startOverride w:val="1"/>
    </w:lvlOverride>
  </w:num>
  <w:num w:numId="7" w16cid:durableId="1702630754">
    <w:abstractNumId w:val="4"/>
    <w:lvlOverride w:ilvl="0">
      <w:startOverride w:val="1"/>
    </w:lvlOverride>
  </w:num>
  <w:num w:numId="8" w16cid:durableId="1226990150">
    <w:abstractNumId w:val="4"/>
    <w:lvlOverride w:ilvl="0">
      <w:startOverride w:val="1"/>
    </w:lvlOverride>
  </w:num>
  <w:num w:numId="9" w16cid:durableId="1435323758">
    <w:abstractNumId w:val="4"/>
    <w:lvlOverride w:ilvl="0">
      <w:startOverride w:val="1"/>
    </w:lvlOverride>
  </w:num>
  <w:num w:numId="10" w16cid:durableId="1588886696">
    <w:abstractNumId w:val="4"/>
    <w:lvlOverride w:ilvl="0">
      <w:startOverride w:val="1"/>
    </w:lvlOverride>
  </w:num>
  <w:num w:numId="11" w16cid:durableId="488256913">
    <w:abstractNumId w:val="4"/>
    <w:lvlOverride w:ilvl="0">
      <w:startOverride w:val="1"/>
    </w:lvlOverride>
  </w:num>
  <w:num w:numId="12" w16cid:durableId="2072387294">
    <w:abstractNumId w:val="4"/>
    <w:lvlOverride w:ilvl="0">
      <w:startOverride w:val="1"/>
    </w:lvlOverride>
  </w:num>
  <w:num w:numId="13" w16cid:durableId="958950325">
    <w:abstractNumId w:val="4"/>
    <w:lvlOverride w:ilvl="0">
      <w:startOverride w:val="1"/>
    </w:lvlOverride>
  </w:num>
  <w:num w:numId="14" w16cid:durableId="1767264968">
    <w:abstractNumId w:val="4"/>
    <w:lvlOverride w:ilvl="0">
      <w:startOverride w:val="1"/>
    </w:lvlOverride>
  </w:num>
  <w:num w:numId="15" w16cid:durableId="1522276156">
    <w:abstractNumId w:val="4"/>
    <w:lvlOverride w:ilvl="0">
      <w:startOverride w:val="1"/>
    </w:lvlOverride>
  </w:num>
  <w:num w:numId="16" w16cid:durableId="2067678362">
    <w:abstractNumId w:val="4"/>
    <w:lvlOverride w:ilvl="0">
      <w:startOverride w:val="1"/>
    </w:lvlOverride>
  </w:num>
  <w:num w:numId="17" w16cid:durableId="2095661721">
    <w:abstractNumId w:val="4"/>
    <w:lvlOverride w:ilvl="0">
      <w:startOverride w:val="1"/>
    </w:lvlOverride>
  </w:num>
  <w:num w:numId="18" w16cid:durableId="811485787">
    <w:abstractNumId w:val="1"/>
  </w:num>
  <w:num w:numId="19" w16cid:durableId="118301761">
    <w:abstractNumId w:val="12"/>
  </w:num>
  <w:num w:numId="20" w16cid:durableId="495145901">
    <w:abstractNumId w:val="9"/>
  </w:num>
  <w:num w:numId="21" w16cid:durableId="1545604959">
    <w:abstractNumId w:val="5"/>
  </w:num>
  <w:num w:numId="22" w16cid:durableId="653144526">
    <w:abstractNumId w:val="10"/>
  </w:num>
  <w:num w:numId="23" w16cid:durableId="1108084174">
    <w:abstractNumId w:val="15"/>
  </w:num>
  <w:num w:numId="24" w16cid:durableId="1932198482">
    <w:abstractNumId w:val="11"/>
  </w:num>
  <w:num w:numId="25" w16cid:durableId="1457487688">
    <w:abstractNumId w:val="7"/>
    <w:lvlOverride w:ilvl="0">
      <w:startOverride w:val="1"/>
    </w:lvlOverride>
  </w:num>
  <w:num w:numId="26" w16cid:durableId="813838355">
    <w:abstractNumId w:val="2"/>
  </w:num>
  <w:num w:numId="27" w16cid:durableId="940450859">
    <w:abstractNumId w:val="3"/>
  </w:num>
  <w:num w:numId="28" w16cid:durableId="963196367">
    <w:abstractNumId w:val="13"/>
  </w:num>
  <w:num w:numId="29" w16cid:durableId="1624193398">
    <w:abstractNumId w:val="0"/>
  </w:num>
  <w:num w:numId="30" w16cid:durableId="125241968">
    <w:abstractNumId w:val="14"/>
  </w:num>
  <w:num w:numId="31" w16cid:durableId="249435354">
    <w:abstractNumId w:val="7"/>
    <w:lvlOverride w:ilvl="0">
      <w:startOverride w:val="1"/>
    </w:lvlOverride>
  </w:num>
  <w:num w:numId="32" w16cid:durableId="1467158623">
    <w:abstractNumId w:val="7"/>
    <w:lvlOverride w:ilvl="0">
      <w:startOverride w:val="1"/>
    </w:lvlOverride>
  </w:num>
  <w:num w:numId="33" w16cid:durableId="1141339112">
    <w:abstractNumId w:val="7"/>
    <w:lvlOverride w:ilvl="0">
      <w:startOverride w:val="1"/>
    </w:lvlOverride>
  </w:num>
  <w:num w:numId="34" w16cid:durableId="1239095688">
    <w:abstractNumId w:val="7"/>
    <w:lvlOverride w:ilvl="0">
      <w:startOverride w:val="1"/>
    </w:lvlOverride>
  </w:num>
  <w:num w:numId="35" w16cid:durableId="412971309">
    <w:abstractNumId w:val="7"/>
    <w:lvlOverride w:ilvl="0">
      <w:startOverride w:val="1"/>
    </w:lvlOverride>
  </w:num>
  <w:num w:numId="36" w16cid:durableId="883639330">
    <w:abstractNumId w:val="7"/>
    <w:lvlOverride w:ilvl="0">
      <w:startOverride w:val="1"/>
    </w:lvlOverride>
  </w:num>
  <w:num w:numId="37" w16cid:durableId="1786539225">
    <w:abstractNumId w:val="7"/>
    <w:lvlOverride w:ilvl="0">
      <w:startOverride w:val="1"/>
    </w:lvlOverride>
  </w:num>
  <w:num w:numId="38" w16cid:durableId="2077580464">
    <w:abstractNumId w:val="7"/>
    <w:lvlOverride w:ilvl="0">
      <w:startOverride w:val="1"/>
    </w:lvlOverride>
  </w:num>
  <w:num w:numId="39" w16cid:durableId="1004938777">
    <w:abstractNumId w:val="7"/>
    <w:lvlOverride w:ilvl="0">
      <w:startOverride w:val="1"/>
    </w:lvlOverride>
  </w:num>
  <w:num w:numId="40" w16cid:durableId="1385566704">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B68"/>
    <w:rsid w:val="000003B0"/>
    <w:rsid w:val="00000A30"/>
    <w:rsid w:val="00000E3D"/>
    <w:rsid w:val="00000EA0"/>
    <w:rsid w:val="00001203"/>
    <w:rsid w:val="00001946"/>
    <w:rsid w:val="000022A6"/>
    <w:rsid w:val="000027E8"/>
    <w:rsid w:val="0000300A"/>
    <w:rsid w:val="00003C48"/>
    <w:rsid w:val="00004C57"/>
    <w:rsid w:val="00005091"/>
    <w:rsid w:val="00005BF1"/>
    <w:rsid w:val="00005F0E"/>
    <w:rsid w:val="00006DFC"/>
    <w:rsid w:val="0000707E"/>
    <w:rsid w:val="000072F4"/>
    <w:rsid w:val="000111A4"/>
    <w:rsid w:val="000111D8"/>
    <w:rsid w:val="00011B4E"/>
    <w:rsid w:val="0001334D"/>
    <w:rsid w:val="00013549"/>
    <w:rsid w:val="00014002"/>
    <w:rsid w:val="00014FBB"/>
    <w:rsid w:val="000178B7"/>
    <w:rsid w:val="00017F2F"/>
    <w:rsid w:val="00020124"/>
    <w:rsid w:val="00020363"/>
    <w:rsid w:val="00020824"/>
    <w:rsid w:val="0002106A"/>
    <w:rsid w:val="000226EF"/>
    <w:rsid w:val="000227EF"/>
    <w:rsid w:val="0002291C"/>
    <w:rsid w:val="00022990"/>
    <w:rsid w:val="00022A71"/>
    <w:rsid w:val="00022FBE"/>
    <w:rsid w:val="00025BCE"/>
    <w:rsid w:val="0002646C"/>
    <w:rsid w:val="00026DDF"/>
    <w:rsid w:val="0003194A"/>
    <w:rsid w:val="00032042"/>
    <w:rsid w:val="00033541"/>
    <w:rsid w:val="0003389A"/>
    <w:rsid w:val="00033B09"/>
    <w:rsid w:val="00036AD9"/>
    <w:rsid w:val="00037212"/>
    <w:rsid w:val="00040146"/>
    <w:rsid w:val="00040B28"/>
    <w:rsid w:val="00041766"/>
    <w:rsid w:val="000419AD"/>
    <w:rsid w:val="00042886"/>
    <w:rsid w:val="0004419C"/>
    <w:rsid w:val="0004441D"/>
    <w:rsid w:val="0004446A"/>
    <w:rsid w:val="00045223"/>
    <w:rsid w:val="0004638B"/>
    <w:rsid w:val="0004668C"/>
    <w:rsid w:val="00046A94"/>
    <w:rsid w:val="00047F7D"/>
    <w:rsid w:val="00047F8B"/>
    <w:rsid w:val="00047FAF"/>
    <w:rsid w:val="00050D75"/>
    <w:rsid w:val="000516C4"/>
    <w:rsid w:val="00052885"/>
    <w:rsid w:val="00054F40"/>
    <w:rsid w:val="00055514"/>
    <w:rsid w:val="00055C6C"/>
    <w:rsid w:val="0005754C"/>
    <w:rsid w:val="00057C74"/>
    <w:rsid w:val="00057DB5"/>
    <w:rsid w:val="00057EAB"/>
    <w:rsid w:val="00060FD3"/>
    <w:rsid w:val="00061A04"/>
    <w:rsid w:val="00061D56"/>
    <w:rsid w:val="00061EE3"/>
    <w:rsid w:val="00064380"/>
    <w:rsid w:val="000657EF"/>
    <w:rsid w:val="00067E3C"/>
    <w:rsid w:val="00071499"/>
    <w:rsid w:val="000724F4"/>
    <w:rsid w:val="0007374E"/>
    <w:rsid w:val="00073AF8"/>
    <w:rsid w:val="00073EFF"/>
    <w:rsid w:val="00074AEA"/>
    <w:rsid w:val="00074CD3"/>
    <w:rsid w:val="00074E78"/>
    <w:rsid w:val="00076692"/>
    <w:rsid w:val="000775C3"/>
    <w:rsid w:val="00080364"/>
    <w:rsid w:val="00083DB2"/>
    <w:rsid w:val="0008549E"/>
    <w:rsid w:val="00085B97"/>
    <w:rsid w:val="00085E42"/>
    <w:rsid w:val="00086361"/>
    <w:rsid w:val="00086B5F"/>
    <w:rsid w:val="00086D8C"/>
    <w:rsid w:val="00087481"/>
    <w:rsid w:val="00087A57"/>
    <w:rsid w:val="00091B00"/>
    <w:rsid w:val="00092086"/>
    <w:rsid w:val="000924D1"/>
    <w:rsid w:val="0009272B"/>
    <w:rsid w:val="00094E9E"/>
    <w:rsid w:val="00095E64"/>
    <w:rsid w:val="0009682A"/>
    <w:rsid w:val="00096A14"/>
    <w:rsid w:val="00097560"/>
    <w:rsid w:val="00097A5A"/>
    <w:rsid w:val="000A01D7"/>
    <w:rsid w:val="000A1AC2"/>
    <w:rsid w:val="000A22B2"/>
    <w:rsid w:val="000A296E"/>
    <w:rsid w:val="000A32F5"/>
    <w:rsid w:val="000A40A6"/>
    <w:rsid w:val="000A4E09"/>
    <w:rsid w:val="000A5C62"/>
    <w:rsid w:val="000A5C64"/>
    <w:rsid w:val="000A5F08"/>
    <w:rsid w:val="000A6839"/>
    <w:rsid w:val="000A7525"/>
    <w:rsid w:val="000B2471"/>
    <w:rsid w:val="000B3AFB"/>
    <w:rsid w:val="000B3D4F"/>
    <w:rsid w:val="000B408E"/>
    <w:rsid w:val="000B45DD"/>
    <w:rsid w:val="000B4EAB"/>
    <w:rsid w:val="000B60EC"/>
    <w:rsid w:val="000B6DFE"/>
    <w:rsid w:val="000B749F"/>
    <w:rsid w:val="000C001F"/>
    <w:rsid w:val="000C0421"/>
    <w:rsid w:val="000C0BAD"/>
    <w:rsid w:val="000C2873"/>
    <w:rsid w:val="000C305B"/>
    <w:rsid w:val="000C349E"/>
    <w:rsid w:val="000C3FEA"/>
    <w:rsid w:val="000C454E"/>
    <w:rsid w:val="000C51EA"/>
    <w:rsid w:val="000C52E3"/>
    <w:rsid w:val="000C6081"/>
    <w:rsid w:val="000C62F0"/>
    <w:rsid w:val="000C7690"/>
    <w:rsid w:val="000C7B2B"/>
    <w:rsid w:val="000D025F"/>
    <w:rsid w:val="000D0752"/>
    <w:rsid w:val="000D12C4"/>
    <w:rsid w:val="000D14BB"/>
    <w:rsid w:val="000D34F7"/>
    <w:rsid w:val="000D56BE"/>
    <w:rsid w:val="000D596A"/>
    <w:rsid w:val="000D6334"/>
    <w:rsid w:val="000D75BA"/>
    <w:rsid w:val="000E0DDE"/>
    <w:rsid w:val="000E20A0"/>
    <w:rsid w:val="000E38E8"/>
    <w:rsid w:val="000E3B98"/>
    <w:rsid w:val="000E41A5"/>
    <w:rsid w:val="000E4846"/>
    <w:rsid w:val="000E5222"/>
    <w:rsid w:val="000E5AD1"/>
    <w:rsid w:val="000E5EA2"/>
    <w:rsid w:val="000E65E8"/>
    <w:rsid w:val="000E6600"/>
    <w:rsid w:val="000E7081"/>
    <w:rsid w:val="000E7106"/>
    <w:rsid w:val="000E7DC7"/>
    <w:rsid w:val="000F04CD"/>
    <w:rsid w:val="000F0B15"/>
    <w:rsid w:val="000F0D0D"/>
    <w:rsid w:val="000F18CB"/>
    <w:rsid w:val="000F1CD8"/>
    <w:rsid w:val="000F310C"/>
    <w:rsid w:val="000F32D1"/>
    <w:rsid w:val="000F3C38"/>
    <w:rsid w:val="000F444B"/>
    <w:rsid w:val="000F4EE5"/>
    <w:rsid w:val="000F5AEB"/>
    <w:rsid w:val="000F650C"/>
    <w:rsid w:val="000F679A"/>
    <w:rsid w:val="000F73F5"/>
    <w:rsid w:val="001013CB"/>
    <w:rsid w:val="00102641"/>
    <w:rsid w:val="001034E5"/>
    <w:rsid w:val="00103CBA"/>
    <w:rsid w:val="00105BAA"/>
    <w:rsid w:val="001069E2"/>
    <w:rsid w:val="00107651"/>
    <w:rsid w:val="00110CDF"/>
    <w:rsid w:val="0011126E"/>
    <w:rsid w:val="00111990"/>
    <w:rsid w:val="00111F20"/>
    <w:rsid w:val="0011223E"/>
    <w:rsid w:val="00112ED6"/>
    <w:rsid w:val="00113021"/>
    <w:rsid w:val="00113339"/>
    <w:rsid w:val="00113E94"/>
    <w:rsid w:val="00113FD4"/>
    <w:rsid w:val="001143F9"/>
    <w:rsid w:val="00114D5E"/>
    <w:rsid w:val="00115800"/>
    <w:rsid w:val="00116730"/>
    <w:rsid w:val="00116D5F"/>
    <w:rsid w:val="001173AB"/>
    <w:rsid w:val="00120E12"/>
    <w:rsid w:val="00121239"/>
    <w:rsid w:val="00121CC8"/>
    <w:rsid w:val="00121FED"/>
    <w:rsid w:val="00125C31"/>
    <w:rsid w:val="001261F9"/>
    <w:rsid w:val="00126301"/>
    <w:rsid w:val="00126465"/>
    <w:rsid w:val="0012720C"/>
    <w:rsid w:val="00127C3B"/>
    <w:rsid w:val="00127F7B"/>
    <w:rsid w:val="00130ED3"/>
    <w:rsid w:val="00132EC5"/>
    <w:rsid w:val="00133181"/>
    <w:rsid w:val="00133EA3"/>
    <w:rsid w:val="00134511"/>
    <w:rsid w:val="00134DCC"/>
    <w:rsid w:val="00136122"/>
    <w:rsid w:val="00136346"/>
    <w:rsid w:val="001368B8"/>
    <w:rsid w:val="00137119"/>
    <w:rsid w:val="001378D2"/>
    <w:rsid w:val="00137B0E"/>
    <w:rsid w:val="0014076E"/>
    <w:rsid w:val="00140EFD"/>
    <w:rsid w:val="00144897"/>
    <w:rsid w:val="00144FD6"/>
    <w:rsid w:val="001456D2"/>
    <w:rsid w:val="00146202"/>
    <w:rsid w:val="001463F1"/>
    <w:rsid w:val="00146B86"/>
    <w:rsid w:val="00147A3F"/>
    <w:rsid w:val="00151662"/>
    <w:rsid w:val="00152778"/>
    <w:rsid w:val="001535EF"/>
    <w:rsid w:val="0015469E"/>
    <w:rsid w:val="001555EA"/>
    <w:rsid w:val="00155D13"/>
    <w:rsid w:val="00157999"/>
    <w:rsid w:val="001606A7"/>
    <w:rsid w:val="0016242C"/>
    <w:rsid w:val="0016288F"/>
    <w:rsid w:val="00162ED3"/>
    <w:rsid w:val="001637F4"/>
    <w:rsid w:val="001643B9"/>
    <w:rsid w:val="00166396"/>
    <w:rsid w:val="00167674"/>
    <w:rsid w:val="00170508"/>
    <w:rsid w:val="00170A85"/>
    <w:rsid w:val="00170AB4"/>
    <w:rsid w:val="0017147B"/>
    <w:rsid w:val="001719AB"/>
    <w:rsid w:val="001736FE"/>
    <w:rsid w:val="00174086"/>
    <w:rsid w:val="001743CA"/>
    <w:rsid w:val="001754B3"/>
    <w:rsid w:val="00177B13"/>
    <w:rsid w:val="00181DDD"/>
    <w:rsid w:val="001825D5"/>
    <w:rsid w:val="00183972"/>
    <w:rsid w:val="00183CDB"/>
    <w:rsid w:val="00184777"/>
    <w:rsid w:val="00184EF2"/>
    <w:rsid w:val="001860FE"/>
    <w:rsid w:val="001861A0"/>
    <w:rsid w:val="0018780C"/>
    <w:rsid w:val="00187CE7"/>
    <w:rsid w:val="00191F26"/>
    <w:rsid w:val="001920B6"/>
    <w:rsid w:val="00192D92"/>
    <w:rsid w:val="00193390"/>
    <w:rsid w:val="001934EC"/>
    <w:rsid w:val="00193BAA"/>
    <w:rsid w:val="00193BFA"/>
    <w:rsid w:val="00194F17"/>
    <w:rsid w:val="00195CEE"/>
    <w:rsid w:val="00196932"/>
    <w:rsid w:val="00196CD5"/>
    <w:rsid w:val="001A15B7"/>
    <w:rsid w:val="001A22EA"/>
    <w:rsid w:val="001A2C63"/>
    <w:rsid w:val="001A3011"/>
    <w:rsid w:val="001A3FC9"/>
    <w:rsid w:val="001A4EF7"/>
    <w:rsid w:val="001A5166"/>
    <w:rsid w:val="001A6253"/>
    <w:rsid w:val="001A6448"/>
    <w:rsid w:val="001A705E"/>
    <w:rsid w:val="001A7EC8"/>
    <w:rsid w:val="001B0731"/>
    <w:rsid w:val="001B0A4D"/>
    <w:rsid w:val="001B1432"/>
    <w:rsid w:val="001B156F"/>
    <w:rsid w:val="001B1765"/>
    <w:rsid w:val="001B17AA"/>
    <w:rsid w:val="001B2914"/>
    <w:rsid w:val="001B2DAF"/>
    <w:rsid w:val="001B4674"/>
    <w:rsid w:val="001B5133"/>
    <w:rsid w:val="001B63FB"/>
    <w:rsid w:val="001B6BD8"/>
    <w:rsid w:val="001B6FF1"/>
    <w:rsid w:val="001C27E4"/>
    <w:rsid w:val="001C2980"/>
    <w:rsid w:val="001C3513"/>
    <w:rsid w:val="001C36F2"/>
    <w:rsid w:val="001C4258"/>
    <w:rsid w:val="001C5EAD"/>
    <w:rsid w:val="001C61AF"/>
    <w:rsid w:val="001C7776"/>
    <w:rsid w:val="001C7A1F"/>
    <w:rsid w:val="001D1D68"/>
    <w:rsid w:val="001D1F6F"/>
    <w:rsid w:val="001D2D08"/>
    <w:rsid w:val="001D423B"/>
    <w:rsid w:val="001D4971"/>
    <w:rsid w:val="001D5800"/>
    <w:rsid w:val="001D5CE9"/>
    <w:rsid w:val="001D5D66"/>
    <w:rsid w:val="001D6B8F"/>
    <w:rsid w:val="001D7792"/>
    <w:rsid w:val="001E2774"/>
    <w:rsid w:val="001E3EF4"/>
    <w:rsid w:val="001E6C52"/>
    <w:rsid w:val="001E6F6F"/>
    <w:rsid w:val="001E75A7"/>
    <w:rsid w:val="001E7734"/>
    <w:rsid w:val="001F01CD"/>
    <w:rsid w:val="001F0708"/>
    <w:rsid w:val="001F10A0"/>
    <w:rsid w:val="001F2B32"/>
    <w:rsid w:val="001F3B28"/>
    <w:rsid w:val="001F3FF6"/>
    <w:rsid w:val="001F4774"/>
    <w:rsid w:val="001F4AA9"/>
    <w:rsid w:val="001F4CFB"/>
    <w:rsid w:val="001F5713"/>
    <w:rsid w:val="001F592B"/>
    <w:rsid w:val="001F5FF9"/>
    <w:rsid w:val="001F6B24"/>
    <w:rsid w:val="0020147F"/>
    <w:rsid w:val="00201666"/>
    <w:rsid w:val="0020178D"/>
    <w:rsid w:val="00201ADE"/>
    <w:rsid w:val="00201FFA"/>
    <w:rsid w:val="002022FB"/>
    <w:rsid w:val="002023C2"/>
    <w:rsid w:val="002027ED"/>
    <w:rsid w:val="00203040"/>
    <w:rsid w:val="002067C9"/>
    <w:rsid w:val="002071D6"/>
    <w:rsid w:val="00207D75"/>
    <w:rsid w:val="0021063D"/>
    <w:rsid w:val="00211093"/>
    <w:rsid w:val="00211A19"/>
    <w:rsid w:val="00212660"/>
    <w:rsid w:val="00213FED"/>
    <w:rsid w:val="0021441C"/>
    <w:rsid w:val="0021518D"/>
    <w:rsid w:val="00216631"/>
    <w:rsid w:val="00216D0C"/>
    <w:rsid w:val="00217032"/>
    <w:rsid w:val="002200D4"/>
    <w:rsid w:val="002201AD"/>
    <w:rsid w:val="002203CC"/>
    <w:rsid w:val="002246E8"/>
    <w:rsid w:val="002248BD"/>
    <w:rsid w:val="00224941"/>
    <w:rsid w:val="00224EA9"/>
    <w:rsid w:val="002254FB"/>
    <w:rsid w:val="0022565C"/>
    <w:rsid w:val="002257EB"/>
    <w:rsid w:val="00226730"/>
    <w:rsid w:val="002305FE"/>
    <w:rsid w:val="00231958"/>
    <w:rsid w:val="002327F8"/>
    <w:rsid w:val="00234F55"/>
    <w:rsid w:val="002355F2"/>
    <w:rsid w:val="00235A2E"/>
    <w:rsid w:val="00236166"/>
    <w:rsid w:val="0023636E"/>
    <w:rsid w:val="00236D70"/>
    <w:rsid w:val="0024083F"/>
    <w:rsid w:val="00241886"/>
    <w:rsid w:val="00241C56"/>
    <w:rsid w:val="00241CD3"/>
    <w:rsid w:val="00242124"/>
    <w:rsid w:val="002421A4"/>
    <w:rsid w:val="00242871"/>
    <w:rsid w:val="00246075"/>
    <w:rsid w:val="002474B6"/>
    <w:rsid w:val="002501D5"/>
    <w:rsid w:val="00250D98"/>
    <w:rsid w:val="00251531"/>
    <w:rsid w:val="0025162B"/>
    <w:rsid w:val="00252918"/>
    <w:rsid w:val="00253330"/>
    <w:rsid w:val="002540CD"/>
    <w:rsid w:val="002541F1"/>
    <w:rsid w:val="00255108"/>
    <w:rsid w:val="00255311"/>
    <w:rsid w:val="00256021"/>
    <w:rsid w:val="002561ED"/>
    <w:rsid w:val="00256261"/>
    <w:rsid w:val="002566A5"/>
    <w:rsid w:val="00256FA1"/>
    <w:rsid w:val="002574E1"/>
    <w:rsid w:val="0026103D"/>
    <w:rsid w:val="0026154D"/>
    <w:rsid w:val="002615DD"/>
    <w:rsid w:val="00261C3E"/>
    <w:rsid w:val="00262A8B"/>
    <w:rsid w:val="0026331D"/>
    <w:rsid w:val="00263EAA"/>
    <w:rsid w:val="002644EA"/>
    <w:rsid w:val="00264DBF"/>
    <w:rsid w:val="002662B4"/>
    <w:rsid w:val="002662F7"/>
    <w:rsid w:val="00267022"/>
    <w:rsid w:val="002717E6"/>
    <w:rsid w:val="00272FB5"/>
    <w:rsid w:val="002733B4"/>
    <w:rsid w:val="002734A2"/>
    <w:rsid w:val="00273D82"/>
    <w:rsid w:val="002748D0"/>
    <w:rsid w:val="00275081"/>
    <w:rsid w:val="00275DB9"/>
    <w:rsid w:val="00276A2F"/>
    <w:rsid w:val="002801D8"/>
    <w:rsid w:val="002804EF"/>
    <w:rsid w:val="002809A6"/>
    <w:rsid w:val="00281B98"/>
    <w:rsid w:val="0028217F"/>
    <w:rsid w:val="002822F2"/>
    <w:rsid w:val="00283790"/>
    <w:rsid w:val="00283AF1"/>
    <w:rsid w:val="00284D1D"/>
    <w:rsid w:val="002853A9"/>
    <w:rsid w:val="00285C33"/>
    <w:rsid w:val="00290827"/>
    <w:rsid w:val="00290CEF"/>
    <w:rsid w:val="00290F90"/>
    <w:rsid w:val="00291724"/>
    <w:rsid w:val="00291960"/>
    <w:rsid w:val="00291D67"/>
    <w:rsid w:val="00291F3A"/>
    <w:rsid w:val="00292EF4"/>
    <w:rsid w:val="0029312D"/>
    <w:rsid w:val="00293D85"/>
    <w:rsid w:val="002945B4"/>
    <w:rsid w:val="00294F1C"/>
    <w:rsid w:val="002951D9"/>
    <w:rsid w:val="00296004"/>
    <w:rsid w:val="00296E2E"/>
    <w:rsid w:val="00296FA3"/>
    <w:rsid w:val="002A1E5F"/>
    <w:rsid w:val="002A37DB"/>
    <w:rsid w:val="002A3B02"/>
    <w:rsid w:val="002A3DB1"/>
    <w:rsid w:val="002A3E32"/>
    <w:rsid w:val="002A563D"/>
    <w:rsid w:val="002A6526"/>
    <w:rsid w:val="002A685D"/>
    <w:rsid w:val="002A6E80"/>
    <w:rsid w:val="002A7404"/>
    <w:rsid w:val="002B15DC"/>
    <w:rsid w:val="002B48CA"/>
    <w:rsid w:val="002B567F"/>
    <w:rsid w:val="002B5708"/>
    <w:rsid w:val="002B71CE"/>
    <w:rsid w:val="002B74DB"/>
    <w:rsid w:val="002B77FB"/>
    <w:rsid w:val="002C06D7"/>
    <w:rsid w:val="002C08BE"/>
    <w:rsid w:val="002C0F0A"/>
    <w:rsid w:val="002C11E4"/>
    <w:rsid w:val="002C1A66"/>
    <w:rsid w:val="002C1BF8"/>
    <w:rsid w:val="002C3060"/>
    <w:rsid w:val="002C4381"/>
    <w:rsid w:val="002C43C9"/>
    <w:rsid w:val="002C5F8B"/>
    <w:rsid w:val="002C6549"/>
    <w:rsid w:val="002C6A45"/>
    <w:rsid w:val="002C6BEC"/>
    <w:rsid w:val="002C7BE7"/>
    <w:rsid w:val="002C7DE0"/>
    <w:rsid w:val="002D0687"/>
    <w:rsid w:val="002D0A51"/>
    <w:rsid w:val="002D0B90"/>
    <w:rsid w:val="002D2325"/>
    <w:rsid w:val="002D46A2"/>
    <w:rsid w:val="002D51E4"/>
    <w:rsid w:val="002D5F33"/>
    <w:rsid w:val="002D6396"/>
    <w:rsid w:val="002D778C"/>
    <w:rsid w:val="002D7927"/>
    <w:rsid w:val="002E0107"/>
    <w:rsid w:val="002E0BB0"/>
    <w:rsid w:val="002E10D7"/>
    <w:rsid w:val="002E1CEF"/>
    <w:rsid w:val="002E3237"/>
    <w:rsid w:val="002E3359"/>
    <w:rsid w:val="002E3A79"/>
    <w:rsid w:val="002E4796"/>
    <w:rsid w:val="002E54DC"/>
    <w:rsid w:val="002E589C"/>
    <w:rsid w:val="002E6499"/>
    <w:rsid w:val="002E715D"/>
    <w:rsid w:val="002F0F6B"/>
    <w:rsid w:val="002F1A4D"/>
    <w:rsid w:val="002F3267"/>
    <w:rsid w:val="002F35D8"/>
    <w:rsid w:val="002F4A86"/>
    <w:rsid w:val="002F5C03"/>
    <w:rsid w:val="002F72DB"/>
    <w:rsid w:val="002F77DB"/>
    <w:rsid w:val="002F7B73"/>
    <w:rsid w:val="00300117"/>
    <w:rsid w:val="003002E4"/>
    <w:rsid w:val="003004BA"/>
    <w:rsid w:val="00300A97"/>
    <w:rsid w:val="0030147D"/>
    <w:rsid w:val="00301B09"/>
    <w:rsid w:val="00301DA2"/>
    <w:rsid w:val="003025A8"/>
    <w:rsid w:val="003028EE"/>
    <w:rsid w:val="003030AB"/>
    <w:rsid w:val="0030410E"/>
    <w:rsid w:val="00304932"/>
    <w:rsid w:val="00305C3F"/>
    <w:rsid w:val="00307F6B"/>
    <w:rsid w:val="00310178"/>
    <w:rsid w:val="003104A5"/>
    <w:rsid w:val="00313050"/>
    <w:rsid w:val="00313D16"/>
    <w:rsid w:val="00315D7C"/>
    <w:rsid w:val="00315F17"/>
    <w:rsid w:val="003169D8"/>
    <w:rsid w:val="003176C9"/>
    <w:rsid w:val="0031770D"/>
    <w:rsid w:val="00317BFD"/>
    <w:rsid w:val="003218C9"/>
    <w:rsid w:val="00322154"/>
    <w:rsid w:val="00324826"/>
    <w:rsid w:val="00326EEF"/>
    <w:rsid w:val="003270DD"/>
    <w:rsid w:val="003316DC"/>
    <w:rsid w:val="003335E9"/>
    <w:rsid w:val="00333705"/>
    <w:rsid w:val="003343A3"/>
    <w:rsid w:val="00334BF0"/>
    <w:rsid w:val="00334C67"/>
    <w:rsid w:val="003355C2"/>
    <w:rsid w:val="0033567E"/>
    <w:rsid w:val="00336019"/>
    <w:rsid w:val="00336436"/>
    <w:rsid w:val="00337393"/>
    <w:rsid w:val="003374BE"/>
    <w:rsid w:val="00341210"/>
    <w:rsid w:val="00341D88"/>
    <w:rsid w:val="00342E43"/>
    <w:rsid w:val="00345066"/>
    <w:rsid w:val="003450E0"/>
    <w:rsid w:val="00345551"/>
    <w:rsid w:val="003464F6"/>
    <w:rsid w:val="00350C77"/>
    <w:rsid w:val="00350F90"/>
    <w:rsid w:val="0035162E"/>
    <w:rsid w:val="00351E13"/>
    <w:rsid w:val="00352214"/>
    <w:rsid w:val="00352470"/>
    <w:rsid w:val="00352770"/>
    <w:rsid w:val="00353654"/>
    <w:rsid w:val="00353700"/>
    <w:rsid w:val="00354429"/>
    <w:rsid w:val="00355492"/>
    <w:rsid w:val="00355CDD"/>
    <w:rsid w:val="00355DF9"/>
    <w:rsid w:val="00355F5C"/>
    <w:rsid w:val="0035754E"/>
    <w:rsid w:val="0035785F"/>
    <w:rsid w:val="00357CDE"/>
    <w:rsid w:val="0036113B"/>
    <w:rsid w:val="003627EF"/>
    <w:rsid w:val="00363AA3"/>
    <w:rsid w:val="003650A7"/>
    <w:rsid w:val="003665C0"/>
    <w:rsid w:val="00367CF3"/>
    <w:rsid w:val="00370353"/>
    <w:rsid w:val="003718BC"/>
    <w:rsid w:val="00371AFF"/>
    <w:rsid w:val="00371BEB"/>
    <w:rsid w:val="00371D2F"/>
    <w:rsid w:val="0037269C"/>
    <w:rsid w:val="00372AA6"/>
    <w:rsid w:val="003744B0"/>
    <w:rsid w:val="0037605C"/>
    <w:rsid w:val="00380494"/>
    <w:rsid w:val="0038054B"/>
    <w:rsid w:val="00382A14"/>
    <w:rsid w:val="00382ED1"/>
    <w:rsid w:val="00383A49"/>
    <w:rsid w:val="00384A14"/>
    <w:rsid w:val="00386376"/>
    <w:rsid w:val="0038704A"/>
    <w:rsid w:val="00387371"/>
    <w:rsid w:val="003877CC"/>
    <w:rsid w:val="003901F1"/>
    <w:rsid w:val="00390E27"/>
    <w:rsid w:val="00391D9A"/>
    <w:rsid w:val="003926C6"/>
    <w:rsid w:val="00392827"/>
    <w:rsid w:val="00392CCC"/>
    <w:rsid w:val="00394139"/>
    <w:rsid w:val="00394626"/>
    <w:rsid w:val="003949B1"/>
    <w:rsid w:val="0039501E"/>
    <w:rsid w:val="00395576"/>
    <w:rsid w:val="00395FB7"/>
    <w:rsid w:val="003962AC"/>
    <w:rsid w:val="00396455"/>
    <w:rsid w:val="003A021D"/>
    <w:rsid w:val="003A0A12"/>
    <w:rsid w:val="003A0E4F"/>
    <w:rsid w:val="003A18DA"/>
    <w:rsid w:val="003A1A1E"/>
    <w:rsid w:val="003A1E3C"/>
    <w:rsid w:val="003A2975"/>
    <w:rsid w:val="003A2C08"/>
    <w:rsid w:val="003A2CC8"/>
    <w:rsid w:val="003A2D8D"/>
    <w:rsid w:val="003A3A3B"/>
    <w:rsid w:val="003A3F5C"/>
    <w:rsid w:val="003A41CB"/>
    <w:rsid w:val="003A52A7"/>
    <w:rsid w:val="003A6076"/>
    <w:rsid w:val="003A6242"/>
    <w:rsid w:val="003A68D8"/>
    <w:rsid w:val="003A69E1"/>
    <w:rsid w:val="003A6FCD"/>
    <w:rsid w:val="003A7A0A"/>
    <w:rsid w:val="003A7C87"/>
    <w:rsid w:val="003B0213"/>
    <w:rsid w:val="003B02B2"/>
    <w:rsid w:val="003B0696"/>
    <w:rsid w:val="003B07AC"/>
    <w:rsid w:val="003B1BFC"/>
    <w:rsid w:val="003B2A88"/>
    <w:rsid w:val="003B2BC2"/>
    <w:rsid w:val="003B2C52"/>
    <w:rsid w:val="003B2EB4"/>
    <w:rsid w:val="003B3FA8"/>
    <w:rsid w:val="003B4A9F"/>
    <w:rsid w:val="003B4C88"/>
    <w:rsid w:val="003B5554"/>
    <w:rsid w:val="003B5AE1"/>
    <w:rsid w:val="003B6302"/>
    <w:rsid w:val="003B6629"/>
    <w:rsid w:val="003B7102"/>
    <w:rsid w:val="003B75F5"/>
    <w:rsid w:val="003B7FF1"/>
    <w:rsid w:val="003C0DE0"/>
    <w:rsid w:val="003C11BF"/>
    <w:rsid w:val="003C13CF"/>
    <w:rsid w:val="003C193C"/>
    <w:rsid w:val="003C1A40"/>
    <w:rsid w:val="003C1C39"/>
    <w:rsid w:val="003C61FB"/>
    <w:rsid w:val="003C69B2"/>
    <w:rsid w:val="003C6BA2"/>
    <w:rsid w:val="003C6C5B"/>
    <w:rsid w:val="003C6E02"/>
    <w:rsid w:val="003C6EBC"/>
    <w:rsid w:val="003D14C5"/>
    <w:rsid w:val="003D15E7"/>
    <w:rsid w:val="003D1A71"/>
    <w:rsid w:val="003D3D00"/>
    <w:rsid w:val="003D4111"/>
    <w:rsid w:val="003D4862"/>
    <w:rsid w:val="003D5773"/>
    <w:rsid w:val="003D5F1C"/>
    <w:rsid w:val="003D6B3C"/>
    <w:rsid w:val="003D7592"/>
    <w:rsid w:val="003E17DD"/>
    <w:rsid w:val="003E2187"/>
    <w:rsid w:val="003E241D"/>
    <w:rsid w:val="003E2DF6"/>
    <w:rsid w:val="003E3477"/>
    <w:rsid w:val="003E3D7A"/>
    <w:rsid w:val="003E3FCB"/>
    <w:rsid w:val="003E4F44"/>
    <w:rsid w:val="003E67C5"/>
    <w:rsid w:val="003E7E8B"/>
    <w:rsid w:val="003F18E3"/>
    <w:rsid w:val="003F1C51"/>
    <w:rsid w:val="003F3B51"/>
    <w:rsid w:val="003F490F"/>
    <w:rsid w:val="003F5497"/>
    <w:rsid w:val="0040020D"/>
    <w:rsid w:val="004011CB"/>
    <w:rsid w:val="004024FD"/>
    <w:rsid w:val="00402F66"/>
    <w:rsid w:val="00403181"/>
    <w:rsid w:val="00403569"/>
    <w:rsid w:val="00403B2C"/>
    <w:rsid w:val="00404656"/>
    <w:rsid w:val="00404778"/>
    <w:rsid w:val="00405670"/>
    <w:rsid w:val="00405B10"/>
    <w:rsid w:val="00405BE8"/>
    <w:rsid w:val="00406D43"/>
    <w:rsid w:val="00406F58"/>
    <w:rsid w:val="0041057E"/>
    <w:rsid w:val="00410FF7"/>
    <w:rsid w:val="004115BB"/>
    <w:rsid w:val="0041258A"/>
    <w:rsid w:val="00412A61"/>
    <w:rsid w:val="00412F96"/>
    <w:rsid w:val="00413159"/>
    <w:rsid w:val="00413AE2"/>
    <w:rsid w:val="00414A74"/>
    <w:rsid w:val="00414ED0"/>
    <w:rsid w:val="004152B4"/>
    <w:rsid w:val="00415DA0"/>
    <w:rsid w:val="00416B7B"/>
    <w:rsid w:val="00421752"/>
    <w:rsid w:val="004217DE"/>
    <w:rsid w:val="0042481B"/>
    <w:rsid w:val="00425066"/>
    <w:rsid w:val="004256D2"/>
    <w:rsid w:val="00426238"/>
    <w:rsid w:val="00426320"/>
    <w:rsid w:val="00426722"/>
    <w:rsid w:val="00426D60"/>
    <w:rsid w:val="00427B8B"/>
    <w:rsid w:val="00427C4D"/>
    <w:rsid w:val="00427D15"/>
    <w:rsid w:val="00431BAC"/>
    <w:rsid w:val="00432061"/>
    <w:rsid w:val="00434677"/>
    <w:rsid w:val="00436653"/>
    <w:rsid w:val="00436704"/>
    <w:rsid w:val="00437EA4"/>
    <w:rsid w:val="00440A37"/>
    <w:rsid w:val="004413CF"/>
    <w:rsid w:val="00442875"/>
    <w:rsid w:val="004431BE"/>
    <w:rsid w:val="0044325F"/>
    <w:rsid w:val="00443D5B"/>
    <w:rsid w:val="00445C38"/>
    <w:rsid w:val="00447010"/>
    <w:rsid w:val="00447807"/>
    <w:rsid w:val="00451D4D"/>
    <w:rsid w:val="0045311D"/>
    <w:rsid w:val="004538B9"/>
    <w:rsid w:val="00453A24"/>
    <w:rsid w:val="00454690"/>
    <w:rsid w:val="00454AF2"/>
    <w:rsid w:val="00454F5A"/>
    <w:rsid w:val="00457424"/>
    <w:rsid w:val="00460B96"/>
    <w:rsid w:val="004623D0"/>
    <w:rsid w:val="00464216"/>
    <w:rsid w:val="00465391"/>
    <w:rsid w:val="0046542E"/>
    <w:rsid w:val="00466367"/>
    <w:rsid w:val="00470B52"/>
    <w:rsid w:val="00472019"/>
    <w:rsid w:val="004724F1"/>
    <w:rsid w:val="004727CC"/>
    <w:rsid w:val="00472F7C"/>
    <w:rsid w:val="0047318D"/>
    <w:rsid w:val="004732FE"/>
    <w:rsid w:val="004742D5"/>
    <w:rsid w:val="0047569D"/>
    <w:rsid w:val="0047595D"/>
    <w:rsid w:val="004760F8"/>
    <w:rsid w:val="00480E3C"/>
    <w:rsid w:val="0048111F"/>
    <w:rsid w:val="0048133D"/>
    <w:rsid w:val="00481A21"/>
    <w:rsid w:val="00481EAD"/>
    <w:rsid w:val="004828D2"/>
    <w:rsid w:val="00483292"/>
    <w:rsid w:val="004837DB"/>
    <w:rsid w:val="004838C2"/>
    <w:rsid w:val="00484AB6"/>
    <w:rsid w:val="00485ED4"/>
    <w:rsid w:val="004864CC"/>
    <w:rsid w:val="0048659C"/>
    <w:rsid w:val="00487650"/>
    <w:rsid w:val="00487F5D"/>
    <w:rsid w:val="00491093"/>
    <w:rsid w:val="00491579"/>
    <w:rsid w:val="004938AE"/>
    <w:rsid w:val="0049466C"/>
    <w:rsid w:val="00494F6A"/>
    <w:rsid w:val="00496194"/>
    <w:rsid w:val="00496195"/>
    <w:rsid w:val="0049628B"/>
    <w:rsid w:val="004A16EB"/>
    <w:rsid w:val="004A20EB"/>
    <w:rsid w:val="004A22F1"/>
    <w:rsid w:val="004A2AFF"/>
    <w:rsid w:val="004A3AF4"/>
    <w:rsid w:val="004A3DC2"/>
    <w:rsid w:val="004A422D"/>
    <w:rsid w:val="004A4BE9"/>
    <w:rsid w:val="004A57B1"/>
    <w:rsid w:val="004A5ECB"/>
    <w:rsid w:val="004A5EEA"/>
    <w:rsid w:val="004A6007"/>
    <w:rsid w:val="004A7753"/>
    <w:rsid w:val="004A77CA"/>
    <w:rsid w:val="004B0B83"/>
    <w:rsid w:val="004B182F"/>
    <w:rsid w:val="004B1F2A"/>
    <w:rsid w:val="004B252E"/>
    <w:rsid w:val="004B404C"/>
    <w:rsid w:val="004B42A7"/>
    <w:rsid w:val="004B4822"/>
    <w:rsid w:val="004B4A1E"/>
    <w:rsid w:val="004B5BEA"/>
    <w:rsid w:val="004B5C47"/>
    <w:rsid w:val="004B65DD"/>
    <w:rsid w:val="004B73B2"/>
    <w:rsid w:val="004B77A5"/>
    <w:rsid w:val="004B79BB"/>
    <w:rsid w:val="004B7B74"/>
    <w:rsid w:val="004B7FD6"/>
    <w:rsid w:val="004C18BC"/>
    <w:rsid w:val="004C20F3"/>
    <w:rsid w:val="004C24C2"/>
    <w:rsid w:val="004C2959"/>
    <w:rsid w:val="004C3964"/>
    <w:rsid w:val="004C430B"/>
    <w:rsid w:val="004C4DFE"/>
    <w:rsid w:val="004C5DC7"/>
    <w:rsid w:val="004C6748"/>
    <w:rsid w:val="004C6E38"/>
    <w:rsid w:val="004C75E9"/>
    <w:rsid w:val="004C778B"/>
    <w:rsid w:val="004D09C7"/>
    <w:rsid w:val="004D1C26"/>
    <w:rsid w:val="004D3DA6"/>
    <w:rsid w:val="004D42D6"/>
    <w:rsid w:val="004D6915"/>
    <w:rsid w:val="004D736A"/>
    <w:rsid w:val="004D7F20"/>
    <w:rsid w:val="004E02E2"/>
    <w:rsid w:val="004E1114"/>
    <w:rsid w:val="004E13D9"/>
    <w:rsid w:val="004E1CFA"/>
    <w:rsid w:val="004E1E1E"/>
    <w:rsid w:val="004E3003"/>
    <w:rsid w:val="004E3222"/>
    <w:rsid w:val="004E3939"/>
    <w:rsid w:val="004E3D82"/>
    <w:rsid w:val="004E4DC1"/>
    <w:rsid w:val="004E4E48"/>
    <w:rsid w:val="004E4E5C"/>
    <w:rsid w:val="004E6C54"/>
    <w:rsid w:val="004E6F52"/>
    <w:rsid w:val="004E7158"/>
    <w:rsid w:val="004E7E97"/>
    <w:rsid w:val="004E7EC6"/>
    <w:rsid w:val="004E7F9B"/>
    <w:rsid w:val="004F150B"/>
    <w:rsid w:val="004F160B"/>
    <w:rsid w:val="004F164C"/>
    <w:rsid w:val="004F3209"/>
    <w:rsid w:val="004F36EF"/>
    <w:rsid w:val="004F38B0"/>
    <w:rsid w:val="004F54E9"/>
    <w:rsid w:val="004F6169"/>
    <w:rsid w:val="004F61B8"/>
    <w:rsid w:val="004F62A1"/>
    <w:rsid w:val="004F66E4"/>
    <w:rsid w:val="004F7394"/>
    <w:rsid w:val="005039DD"/>
    <w:rsid w:val="00505D0C"/>
    <w:rsid w:val="00506025"/>
    <w:rsid w:val="00507D33"/>
    <w:rsid w:val="00510474"/>
    <w:rsid w:val="00510BA4"/>
    <w:rsid w:val="00510DD5"/>
    <w:rsid w:val="00512C14"/>
    <w:rsid w:val="00512D3F"/>
    <w:rsid w:val="00513034"/>
    <w:rsid w:val="00513225"/>
    <w:rsid w:val="005151A7"/>
    <w:rsid w:val="00516141"/>
    <w:rsid w:val="005231C1"/>
    <w:rsid w:val="005231E9"/>
    <w:rsid w:val="00523549"/>
    <w:rsid w:val="00523DB1"/>
    <w:rsid w:val="00523E93"/>
    <w:rsid w:val="0052410D"/>
    <w:rsid w:val="005241D7"/>
    <w:rsid w:val="005248FF"/>
    <w:rsid w:val="00524D27"/>
    <w:rsid w:val="00524E9F"/>
    <w:rsid w:val="00525095"/>
    <w:rsid w:val="005253BE"/>
    <w:rsid w:val="005260E4"/>
    <w:rsid w:val="005302F1"/>
    <w:rsid w:val="005310E2"/>
    <w:rsid w:val="00531B8D"/>
    <w:rsid w:val="005322AC"/>
    <w:rsid w:val="005322C0"/>
    <w:rsid w:val="0053292E"/>
    <w:rsid w:val="00533159"/>
    <w:rsid w:val="00533EF2"/>
    <w:rsid w:val="00533F59"/>
    <w:rsid w:val="00534E81"/>
    <w:rsid w:val="00535D81"/>
    <w:rsid w:val="00536A73"/>
    <w:rsid w:val="005372C4"/>
    <w:rsid w:val="00537AA9"/>
    <w:rsid w:val="005418F2"/>
    <w:rsid w:val="0054360C"/>
    <w:rsid w:val="005436C1"/>
    <w:rsid w:val="005447C4"/>
    <w:rsid w:val="00544C33"/>
    <w:rsid w:val="00547573"/>
    <w:rsid w:val="00547A7D"/>
    <w:rsid w:val="00550346"/>
    <w:rsid w:val="00550CA7"/>
    <w:rsid w:val="005513A8"/>
    <w:rsid w:val="00551A8F"/>
    <w:rsid w:val="00551C00"/>
    <w:rsid w:val="005524AF"/>
    <w:rsid w:val="0055282E"/>
    <w:rsid w:val="00553658"/>
    <w:rsid w:val="0055383D"/>
    <w:rsid w:val="00553E45"/>
    <w:rsid w:val="00554053"/>
    <w:rsid w:val="005543F5"/>
    <w:rsid w:val="00555ACA"/>
    <w:rsid w:val="005561C0"/>
    <w:rsid w:val="005569C7"/>
    <w:rsid w:val="00557286"/>
    <w:rsid w:val="00557561"/>
    <w:rsid w:val="005578C5"/>
    <w:rsid w:val="005610B9"/>
    <w:rsid w:val="005627A7"/>
    <w:rsid w:val="00562934"/>
    <w:rsid w:val="005632BA"/>
    <w:rsid w:val="00563472"/>
    <w:rsid w:val="00565AC4"/>
    <w:rsid w:val="00566274"/>
    <w:rsid w:val="00566C5E"/>
    <w:rsid w:val="00566FBB"/>
    <w:rsid w:val="005677E4"/>
    <w:rsid w:val="005718C1"/>
    <w:rsid w:val="00571B4C"/>
    <w:rsid w:val="00571D63"/>
    <w:rsid w:val="00571FBE"/>
    <w:rsid w:val="005720EA"/>
    <w:rsid w:val="00572318"/>
    <w:rsid w:val="00572566"/>
    <w:rsid w:val="00572E36"/>
    <w:rsid w:val="005734C2"/>
    <w:rsid w:val="00573E0D"/>
    <w:rsid w:val="00575689"/>
    <w:rsid w:val="0057597B"/>
    <w:rsid w:val="005767F1"/>
    <w:rsid w:val="00576FA8"/>
    <w:rsid w:val="005778D3"/>
    <w:rsid w:val="00577CFD"/>
    <w:rsid w:val="0058062A"/>
    <w:rsid w:val="00582C76"/>
    <w:rsid w:val="00582EFA"/>
    <w:rsid w:val="00583345"/>
    <w:rsid w:val="00584527"/>
    <w:rsid w:val="0058501C"/>
    <w:rsid w:val="005866AC"/>
    <w:rsid w:val="00586AB5"/>
    <w:rsid w:val="005876FC"/>
    <w:rsid w:val="00587988"/>
    <w:rsid w:val="00587B38"/>
    <w:rsid w:val="005908AC"/>
    <w:rsid w:val="00590BD3"/>
    <w:rsid w:val="00591C52"/>
    <w:rsid w:val="00592223"/>
    <w:rsid w:val="00592391"/>
    <w:rsid w:val="00592EBC"/>
    <w:rsid w:val="005946DA"/>
    <w:rsid w:val="0059502E"/>
    <w:rsid w:val="005956AD"/>
    <w:rsid w:val="0059591C"/>
    <w:rsid w:val="0059624D"/>
    <w:rsid w:val="005966C8"/>
    <w:rsid w:val="005A0B27"/>
    <w:rsid w:val="005A16C6"/>
    <w:rsid w:val="005A1DAD"/>
    <w:rsid w:val="005A2448"/>
    <w:rsid w:val="005A265E"/>
    <w:rsid w:val="005A2F5D"/>
    <w:rsid w:val="005A4833"/>
    <w:rsid w:val="005A54D1"/>
    <w:rsid w:val="005A796B"/>
    <w:rsid w:val="005A7D9F"/>
    <w:rsid w:val="005B0C82"/>
    <w:rsid w:val="005B193C"/>
    <w:rsid w:val="005B19BE"/>
    <w:rsid w:val="005B2740"/>
    <w:rsid w:val="005B2CE7"/>
    <w:rsid w:val="005B3C95"/>
    <w:rsid w:val="005B3E55"/>
    <w:rsid w:val="005B4172"/>
    <w:rsid w:val="005B64D0"/>
    <w:rsid w:val="005B6DA8"/>
    <w:rsid w:val="005C2571"/>
    <w:rsid w:val="005C2F77"/>
    <w:rsid w:val="005C445E"/>
    <w:rsid w:val="005C4507"/>
    <w:rsid w:val="005C4B60"/>
    <w:rsid w:val="005C511F"/>
    <w:rsid w:val="005C623F"/>
    <w:rsid w:val="005C64AD"/>
    <w:rsid w:val="005C658A"/>
    <w:rsid w:val="005C6A47"/>
    <w:rsid w:val="005D0F25"/>
    <w:rsid w:val="005D1703"/>
    <w:rsid w:val="005D1771"/>
    <w:rsid w:val="005D1AC4"/>
    <w:rsid w:val="005D1F1F"/>
    <w:rsid w:val="005D2314"/>
    <w:rsid w:val="005D27FB"/>
    <w:rsid w:val="005D2D70"/>
    <w:rsid w:val="005D30C0"/>
    <w:rsid w:val="005D5078"/>
    <w:rsid w:val="005D5750"/>
    <w:rsid w:val="005D5A5A"/>
    <w:rsid w:val="005D5C94"/>
    <w:rsid w:val="005D6491"/>
    <w:rsid w:val="005D65C0"/>
    <w:rsid w:val="005D69F8"/>
    <w:rsid w:val="005D6A40"/>
    <w:rsid w:val="005E0316"/>
    <w:rsid w:val="005E1C82"/>
    <w:rsid w:val="005E25C1"/>
    <w:rsid w:val="005E2687"/>
    <w:rsid w:val="005E3176"/>
    <w:rsid w:val="005E431D"/>
    <w:rsid w:val="005E46AC"/>
    <w:rsid w:val="005E4C4D"/>
    <w:rsid w:val="005E4CF7"/>
    <w:rsid w:val="005E6BA0"/>
    <w:rsid w:val="005E6CD1"/>
    <w:rsid w:val="005E71A8"/>
    <w:rsid w:val="005E7590"/>
    <w:rsid w:val="005E772A"/>
    <w:rsid w:val="005F07A4"/>
    <w:rsid w:val="005F13E9"/>
    <w:rsid w:val="005F1AB7"/>
    <w:rsid w:val="005F25B9"/>
    <w:rsid w:val="005F2C8C"/>
    <w:rsid w:val="005F3198"/>
    <w:rsid w:val="005F4670"/>
    <w:rsid w:val="005F4672"/>
    <w:rsid w:val="005F6B12"/>
    <w:rsid w:val="005F6B4A"/>
    <w:rsid w:val="005F7383"/>
    <w:rsid w:val="005F79BD"/>
    <w:rsid w:val="005F7FE2"/>
    <w:rsid w:val="00600816"/>
    <w:rsid w:val="00601118"/>
    <w:rsid w:val="006011E6"/>
    <w:rsid w:val="00601D67"/>
    <w:rsid w:val="00602905"/>
    <w:rsid w:val="00602F6A"/>
    <w:rsid w:val="00603218"/>
    <w:rsid w:val="00603238"/>
    <w:rsid w:val="0060347B"/>
    <w:rsid w:val="00603789"/>
    <w:rsid w:val="0060483B"/>
    <w:rsid w:val="00604CFB"/>
    <w:rsid w:val="00604E77"/>
    <w:rsid w:val="006059D1"/>
    <w:rsid w:val="00606545"/>
    <w:rsid w:val="00606889"/>
    <w:rsid w:val="006076AA"/>
    <w:rsid w:val="00610315"/>
    <w:rsid w:val="006109D8"/>
    <w:rsid w:val="0061130B"/>
    <w:rsid w:val="00611685"/>
    <w:rsid w:val="0061183B"/>
    <w:rsid w:val="0061214A"/>
    <w:rsid w:val="0061338F"/>
    <w:rsid w:val="006138E8"/>
    <w:rsid w:val="00613C45"/>
    <w:rsid w:val="0061424B"/>
    <w:rsid w:val="0061559C"/>
    <w:rsid w:val="00615D0C"/>
    <w:rsid w:val="006172AC"/>
    <w:rsid w:val="00617563"/>
    <w:rsid w:val="006175F5"/>
    <w:rsid w:val="00617661"/>
    <w:rsid w:val="00620395"/>
    <w:rsid w:val="00622065"/>
    <w:rsid w:val="006226DD"/>
    <w:rsid w:val="00622E2F"/>
    <w:rsid w:val="006236D5"/>
    <w:rsid w:val="00623F02"/>
    <w:rsid w:val="00624470"/>
    <w:rsid w:val="0062551F"/>
    <w:rsid w:val="0062662B"/>
    <w:rsid w:val="0063159D"/>
    <w:rsid w:val="00631728"/>
    <w:rsid w:val="006325AC"/>
    <w:rsid w:val="00632BBB"/>
    <w:rsid w:val="0063311D"/>
    <w:rsid w:val="00633D46"/>
    <w:rsid w:val="00634860"/>
    <w:rsid w:val="0063597E"/>
    <w:rsid w:val="00635B77"/>
    <w:rsid w:val="00636B44"/>
    <w:rsid w:val="0063740B"/>
    <w:rsid w:val="006375D3"/>
    <w:rsid w:val="0063782B"/>
    <w:rsid w:val="00637F1D"/>
    <w:rsid w:val="00640B29"/>
    <w:rsid w:val="006411C7"/>
    <w:rsid w:val="00642213"/>
    <w:rsid w:val="00643D16"/>
    <w:rsid w:val="006447D1"/>
    <w:rsid w:val="006452B5"/>
    <w:rsid w:val="0064580B"/>
    <w:rsid w:val="00645D59"/>
    <w:rsid w:val="006505D1"/>
    <w:rsid w:val="00650F50"/>
    <w:rsid w:val="00654842"/>
    <w:rsid w:val="006568A4"/>
    <w:rsid w:val="00656F28"/>
    <w:rsid w:val="00657E5F"/>
    <w:rsid w:val="00657FB0"/>
    <w:rsid w:val="0066163C"/>
    <w:rsid w:val="00661B59"/>
    <w:rsid w:val="0066200D"/>
    <w:rsid w:val="006628AA"/>
    <w:rsid w:val="00663DDF"/>
    <w:rsid w:val="00663E79"/>
    <w:rsid w:val="00664763"/>
    <w:rsid w:val="00665343"/>
    <w:rsid w:val="00666A42"/>
    <w:rsid w:val="00666A75"/>
    <w:rsid w:val="00667DE1"/>
    <w:rsid w:val="00671BD0"/>
    <w:rsid w:val="0067327E"/>
    <w:rsid w:val="00676AFB"/>
    <w:rsid w:val="006804AD"/>
    <w:rsid w:val="00680552"/>
    <w:rsid w:val="00680E6B"/>
    <w:rsid w:val="0068197F"/>
    <w:rsid w:val="00682A4F"/>
    <w:rsid w:val="00682D46"/>
    <w:rsid w:val="00683D64"/>
    <w:rsid w:val="0068426A"/>
    <w:rsid w:val="006865C7"/>
    <w:rsid w:val="006869C4"/>
    <w:rsid w:val="006900D7"/>
    <w:rsid w:val="00690778"/>
    <w:rsid w:val="006908FD"/>
    <w:rsid w:val="00691D2F"/>
    <w:rsid w:val="00691EF3"/>
    <w:rsid w:val="00693214"/>
    <w:rsid w:val="00694445"/>
    <w:rsid w:val="00694471"/>
    <w:rsid w:val="00694608"/>
    <w:rsid w:val="00694CE6"/>
    <w:rsid w:val="00694DBB"/>
    <w:rsid w:val="00697FC0"/>
    <w:rsid w:val="006A03A3"/>
    <w:rsid w:val="006A04A9"/>
    <w:rsid w:val="006A051E"/>
    <w:rsid w:val="006A05C3"/>
    <w:rsid w:val="006A1094"/>
    <w:rsid w:val="006A1969"/>
    <w:rsid w:val="006A1DDF"/>
    <w:rsid w:val="006A2CBF"/>
    <w:rsid w:val="006A32ED"/>
    <w:rsid w:val="006A3F5E"/>
    <w:rsid w:val="006A442B"/>
    <w:rsid w:val="006A478B"/>
    <w:rsid w:val="006A4ED5"/>
    <w:rsid w:val="006A7F55"/>
    <w:rsid w:val="006B043C"/>
    <w:rsid w:val="006B11F3"/>
    <w:rsid w:val="006B2E9F"/>
    <w:rsid w:val="006B339B"/>
    <w:rsid w:val="006B375E"/>
    <w:rsid w:val="006B387A"/>
    <w:rsid w:val="006B3C79"/>
    <w:rsid w:val="006B3F0E"/>
    <w:rsid w:val="006B5C0E"/>
    <w:rsid w:val="006C058C"/>
    <w:rsid w:val="006C1096"/>
    <w:rsid w:val="006C147C"/>
    <w:rsid w:val="006C167E"/>
    <w:rsid w:val="006C3759"/>
    <w:rsid w:val="006C384B"/>
    <w:rsid w:val="006C3B38"/>
    <w:rsid w:val="006C3EC4"/>
    <w:rsid w:val="006C4C37"/>
    <w:rsid w:val="006C57F8"/>
    <w:rsid w:val="006C688C"/>
    <w:rsid w:val="006C6E5D"/>
    <w:rsid w:val="006C72FB"/>
    <w:rsid w:val="006D05D8"/>
    <w:rsid w:val="006D0669"/>
    <w:rsid w:val="006D08C6"/>
    <w:rsid w:val="006D1EFF"/>
    <w:rsid w:val="006D23E9"/>
    <w:rsid w:val="006D2BFE"/>
    <w:rsid w:val="006D3985"/>
    <w:rsid w:val="006D3B16"/>
    <w:rsid w:val="006D4927"/>
    <w:rsid w:val="006D5E06"/>
    <w:rsid w:val="006D71AE"/>
    <w:rsid w:val="006D75A4"/>
    <w:rsid w:val="006E1F1A"/>
    <w:rsid w:val="006E2B95"/>
    <w:rsid w:val="006E37A1"/>
    <w:rsid w:val="006E42CC"/>
    <w:rsid w:val="006F0A3D"/>
    <w:rsid w:val="006F0F01"/>
    <w:rsid w:val="006F3E88"/>
    <w:rsid w:val="006F44E6"/>
    <w:rsid w:val="006F5319"/>
    <w:rsid w:val="006F55E2"/>
    <w:rsid w:val="006F6892"/>
    <w:rsid w:val="006F738A"/>
    <w:rsid w:val="00700243"/>
    <w:rsid w:val="00700CD8"/>
    <w:rsid w:val="00703BD8"/>
    <w:rsid w:val="00705164"/>
    <w:rsid w:val="00706583"/>
    <w:rsid w:val="00707BFF"/>
    <w:rsid w:val="00710248"/>
    <w:rsid w:val="00710A96"/>
    <w:rsid w:val="00711B70"/>
    <w:rsid w:val="00712521"/>
    <w:rsid w:val="00713628"/>
    <w:rsid w:val="00713AEF"/>
    <w:rsid w:val="00713FEF"/>
    <w:rsid w:val="00714590"/>
    <w:rsid w:val="007145F2"/>
    <w:rsid w:val="00716CC1"/>
    <w:rsid w:val="00720EE9"/>
    <w:rsid w:val="0072126B"/>
    <w:rsid w:val="0072141A"/>
    <w:rsid w:val="00721528"/>
    <w:rsid w:val="00721AC2"/>
    <w:rsid w:val="00721AC3"/>
    <w:rsid w:val="0072204B"/>
    <w:rsid w:val="007222A6"/>
    <w:rsid w:val="00722DF7"/>
    <w:rsid w:val="00722F5D"/>
    <w:rsid w:val="00723A41"/>
    <w:rsid w:val="007259EC"/>
    <w:rsid w:val="00726251"/>
    <w:rsid w:val="00726A35"/>
    <w:rsid w:val="0072709D"/>
    <w:rsid w:val="0072727D"/>
    <w:rsid w:val="00727EDF"/>
    <w:rsid w:val="00730813"/>
    <w:rsid w:val="007312BB"/>
    <w:rsid w:val="0073185C"/>
    <w:rsid w:val="00731EB3"/>
    <w:rsid w:val="00732A0C"/>
    <w:rsid w:val="00733631"/>
    <w:rsid w:val="00733914"/>
    <w:rsid w:val="00733A98"/>
    <w:rsid w:val="007344F8"/>
    <w:rsid w:val="00735608"/>
    <w:rsid w:val="00735FDF"/>
    <w:rsid w:val="0073631A"/>
    <w:rsid w:val="00737119"/>
    <w:rsid w:val="00737B68"/>
    <w:rsid w:val="00740E63"/>
    <w:rsid w:val="007420B6"/>
    <w:rsid w:val="007428D5"/>
    <w:rsid w:val="00742B42"/>
    <w:rsid w:val="00742DBD"/>
    <w:rsid w:val="0074392C"/>
    <w:rsid w:val="00745833"/>
    <w:rsid w:val="00746117"/>
    <w:rsid w:val="00750DF6"/>
    <w:rsid w:val="007513EA"/>
    <w:rsid w:val="0075211E"/>
    <w:rsid w:val="0075218B"/>
    <w:rsid w:val="00752CC5"/>
    <w:rsid w:val="00752D71"/>
    <w:rsid w:val="0075408B"/>
    <w:rsid w:val="0075431F"/>
    <w:rsid w:val="007556A1"/>
    <w:rsid w:val="00755E78"/>
    <w:rsid w:val="007561CA"/>
    <w:rsid w:val="007565F8"/>
    <w:rsid w:val="007569F0"/>
    <w:rsid w:val="007605E8"/>
    <w:rsid w:val="0076064A"/>
    <w:rsid w:val="00760B64"/>
    <w:rsid w:val="00762701"/>
    <w:rsid w:val="00762CBB"/>
    <w:rsid w:val="007637A7"/>
    <w:rsid w:val="00766136"/>
    <w:rsid w:val="00766B2E"/>
    <w:rsid w:val="007672AD"/>
    <w:rsid w:val="00770CC0"/>
    <w:rsid w:val="007717BD"/>
    <w:rsid w:val="007718F8"/>
    <w:rsid w:val="007733C9"/>
    <w:rsid w:val="00774754"/>
    <w:rsid w:val="00774F96"/>
    <w:rsid w:val="00775944"/>
    <w:rsid w:val="00775D4B"/>
    <w:rsid w:val="00776A4C"/>
    <w:rsid w:val="00777C98"/>
    <w:rsid w:val="007805D4"/>
    <w:rsid w:val="00783C61"/>
    <w:rsid w:val="00784801"/>
    <w:rsid w:val="0078636F"/>
    <w:rsid w:val="00786B5A"/>
    <w:rsid w:val="00786BFC"/>
    <w:rsid w:val="00786E7A"/>
    <w:rsid w:val="007871D6"/>
    <w:rsid w:val="00790877"/>
    <w:rsid w:val="007915C6"/>
    <w:rsid w:val="00791D3B"/>
    <w:rsid w:val="00791DC2"/>
    <w:rsid w:val="007925E9"/>
    <w:rsid w:val="00792606"/>
    <w:rsid w:val="00793243"/>
    <w:rsid w:val="007942E1"/>
    <w:rsid w:val="00794432"/>
    <w:rsid w:val="00794CCA"/>
    <w:rsid w:val="00795BEF"/>
    <w:rsid w:val="007961D5"/>
    <w:rsid w:val="0079658A"/>
    <w:rsid w:val="00796CCB"/>
    <w:rsid w:val="007970BA"/>
    <w:rsid w:val="007A058B"/>
    <w:rsid w:val="007A1F54"/>
    <w:rsid w:val="007A251D"/>
    <w:rsid w:val="007A27F2"/>
    <w:rsid w:val="007A2A64"/>
    <w:rsid w:val="007A2F98"/>
    <w:rsid w:val="007A3A82"/>
    <w:rsid w:val="007B005C"/>
    <w:rsid w:val="007B00A9"/>
    <w:rsid w:val="007B0968"/>
    <w:rsid w:val="007B181D"/>
    <w:rsid w:val="007B35FC"/>
    <w:rsid w:val="007B371A"/>
    <w:rsid w:val="007B3B4B"/>
    <w:rsid w:val="007B3BC6"/>
    <w:rsid w:val="007B3CAA"/>
    <w:rsid w:val="007B50DB"/>
    <w:rsid w:val="007B56BA"/>
    <w:rsid w:val="007B6FC6"/>
    <w:rsid w:val="007B7567"/>
    <w:rsid w:val="007B7711"/>
    <w:rsid w:val="007B787C"/>
    <w:rsid w:val="007C02BD"/>
    <w:rsid w:val="007C04FB"/>
    <w:rsid w:val="007C29AB"/>
    <w:rsid w:val="007C330C"/>
    <w:rsid w:val="007C375B"/>
    <w:rsid w:val="007C46D8"/>
    <w:rsid w:val="007C4F8A"/>
    <w:rsid w:val="007C544E"/>
    <w:rsid w:val="007C5799"/>
    <w:rsid w:val="007C6649"/>
    <w:rsid w:val="007C77F8"/>
    <w:rsid w:val="007C7CBC"/>
    <w:rsid w:val="007D0189"/>
    <w:rsid w:val="007D0B33"/>
    <w:rsid w:val="007D0BDF"/>
    <w:rsid w:val="007D13C4"/>
    <w:rsid w:val="007D149F"/>
    <w:rsid w:val="007D1D82"/>
    <w:rsid w:val="007D2D54"/>
    <w:rsid w:val="007D2FA8"/>
    <w:rsid w:val="007D3E6E"/>
    <w:rsid w:val="007D42AD"/>
    <w:rsid w:val="007D4362"/>
    <w:rsid w:val="007D4988"/>
    <w:rsid w:val="007D4D2B"/>
    <w:rsid w:val="007D4F5E"/>
    <w:rsid w:val="007D5B5C"/>
    <w:rsid w:val="007E1334"/>
    <w:rsid w:val="007E1CEF"/>
    <w:rsid w:val="007E2E62"/>
    <w:rsid w:val="007E3001"/>
    <w:rsid w:val="007E34E9"/>
    <w:rsid w:val="007E3CC1"/>
    <w:rsid w:val="007E4537"/>
    <w:rsid w:val="007E534F"/>
    <w:rsid w:val="007E548A"/>
    <w:rsid w:val="007E5C9D"/>
    <w:rsid w:val="007E5DA5"/>
    <w:rsid w:val="007E6D06"/>
    <w:rsid w:val="007E7EC0"/>
    <w:rsid w:val="007F03C3"/>
    <w:rsid w:val="007F058D"/>
    <w:rsid w:val="007F1FD7"/>
    <w:rsid w:val="007F3759"/>
    <w:rsid w:val="007F3963"/>
    <w:rsid w:val="007F4669"/>
    <w:rsid w:val="007F51BE"/>
    <w:rsid w:val="007F61AC"/>
    <w:rsid w:val="00801870"/>
    <w:rsid w:val="00802C71"/>
    <w:rsid w:val="00804312"/>
    <w:rsid w:val="00804414"/>
    <w:rsid w:val="00804879"/>
    <w:rsid w:val="0080598D"/>
    <w:rsid w:val="00806362"/>
    <w:rsid w:val="0080694F"/>
    <w:rsid w:val="00806C96"/>
    <w:rsid w:val="00807213"/>
    <w:rsid w:val="00810D61"/>
    <w:rsid w:val="00811B54"/>
    <w:rsid w:val="00813130"/>
    <w:rsid w:val="008132AD"/>
    <w:rsid w:val="00813365"/>
    <w:rsid w:val="0081400E"/>
    <w:rsid w:val="0081427D"/>
    <w:rsid w:val="00814C04"/>
    <w:rsid w:val="00815246"/>
    <w:rsid w:val="00817B25"/>
    <w:rsid w:val="00820604"/>
    <w:rsid w:val="00820BF4"/>
    <w:rsid w:val="00821377"/>
    <w:rsid w:val="008217AC"/>
    <w:rsid w:val="0082191A"/>
    <w:rsid w:val="008219FC"/>
    <w:rsid w:val="00823D7E"/>
    <w:rsid w:val="00823FE7"/>
    <w:rsid w:val="00824BA1"/>
    <w:rsid w:val="00825591"/>
    <w:rsid w:val="008255BC"/>
    <w:rsid w:val="00825CB7"/>
    <w:rsid w:val="0082600E"/>
    <w:rsid w:val="00826E8E"/>
    <w:rsid w:val="0082712B"/>
    <w:rsid w:val="008277E5"/>
    <w:rsid w:val="0083096D"/>
    <w:rsid w:val="008314B0"/>
    <w:rsid w:val="00831C0E"/>
    <w:rsid w:val="00831DD1"/>
    <w:rsid w:val="00834F57"/>
    <w:rsid w:val="00835013"/>
    <w:rsid w:val="00835153"/>
    <w:rsid w:val="00837565"/>
    <w:rsid w:val="00837DEE"/>
    <w:rsid w:val="00837FF2"/>
    <w:rsid w:val="008405D1"/>
    <w:rsid w:val="00840B85"/>
    <w:rsid w:val="00842E28"/>
    <w:rsid w:val="0084375F"/>
    <w:rsid w:val="008444BD"/>
    <w:rsid w:val="0084595B"/>
    <w:rsid w:val="0084670A"/>
    <w:rsid w:val="00846FCA"/>
    <w:rsid w:val="0084708D"/>
    <w:rsid w:val="008473A4"/>
    <w:rsid w:val="008475D9"/>
    <w:rsid w:val="00850BCC"/>
    <w:rsid w:val="008518F7"/>
    <w:rsid w:val="00853111"/>
    <w:rsid w:val="00853522"/>
    <w:rsid w:val="00855BDE"/>
    <w:rsid w:val="00856409"/>
    <w:rsid w:val="00856C2A"/>
    <w:rsid w:val="008601A0"/>
    <w:rsid w:val="0086187A"/>
    <w:rsid w:val="0086347F"/>
    <w:rsid w:val="008644EA"/>
    <w:rsid w:val="00864F05"/>
    <w:rsid w:val="00865EF8"/>
    <w:rsid w:val="008663A3"/>
    <w:rsid w:val="00870015"/>
    <w:rsid w:val="0087067A"/>
    <w:rsid w:val="008715BD"/>
    <w:rsid w:val="00871BBF"/>
    <w:rsid w:val="00872721"/>
    <w:rsid w:val="00872859"/>
    <w:rsid w:val="00872ABC"/>
    <w:rsid w:val="0087382D"/>
    <w:rsid w:val="0087552F"/>
    <w:rsid w:val="0087641B"/>
    <w:rsid w:val="00876652"/>
    <w:rsid w:val="00876F1A"/>
    <w:rsid w:val="00877A41"/>
    <w:rsid w:val="008810FB"/>
    <w:rsid w:val="008819C5"/>
    <w:rsid w:val="008819C8"/>
    <w:rsid w:val="0088222A"/>
    <w:rsid w:val="0088265B"/>
    <w:rsid w:val="00882A2C"/>
    <w:rsid w:val="00882C15"/>
    <w:rsid w:val="0088300C"/>
    <w:rsid w:val="008832BC"/>
    <w:rsid w:val="00884696"/>
    <w:rsid w:val="00886F5B"/>
    <w:rsid w:val="00891832"/>
    <w:rsid w:val="008922B8"/>
    <w:rsid w:val="008931E9"/>
    <w:rsid w:val="00894D47"/>
    <w:rsid w:val="00895A6D"/>
    <w:rsid w:val="00895EA3"/>
    <w:rsid w:val="008965F4"/>
    <w:rsid w:val="00896E3A"/>
    <w:rsid w:val="008978B2"/>
    <w:rsid w:val="00897BA9"/>
    <w:rsid w:val="008A11A9"/>
    <w:rsid w:val="008A140F"/>
    <w:rsid w:val="008A16E2"/>
    <w:rsid w:val="008A1F00"/>
    <w:rsid w:val="008A222A"/>
    <w:rsid w:val="008A2B5C"/>
    <w:rsid w:val="008A2FE2"/>
    <w:rsid w:val="008A3E1C"/>
    <w:rsid w:val="008A43D6"/>
    <w:rsid w:val="008A4484"/>
    <w:rsid w:val="008A4BA8"/>
    <w:rsid w:val="008A5102"/>
    <w:rsid w:val="008A659D"/>
    <w:rsid w:val="008B011C"/>
    <w:rsid w:val="008B1115"/>
    <w:rsid w:val="008B112E"/>
    <w:rsid w:val="008B1EC9"/>
    <w:rsid w:val="008B2A16"/>
    <w:rsid w:val="008B326D"/>
    <w:rsid w:val="008B5563"/>
    <w:rsid w:val="008B7C58"/>
    <w:rsid w:val="008C0981"/>
    <w:rsid w:val="008C19F4"/>
    <w:rsid w:val="008C1D37"/>
    <w:rsid w:val="008C1E7F"/>
    <w:rsid w:val="008C4A7D"/>
    <w:rsid w:val="008C5827"/>
    <w:rsid w:val="008C62BD"/>
    <w:rsid w:val="008C6DFA"/>
    <w:rsid w:val="008D0233"/>
    <w:rsid w:val="008D0CF3"/>
    <w:rsid w:val="008D24C2"/>
    <w:rsid w:val="008D2504"/>
    <w:rsid w:val="008D2743"/>
    <w:rsid w:val="008D342D"/>
    <w:rsid w:val="008D3A5D"/>
    <w:rsid w:val="008D4AB3"/>
    <w:rsid w:val="008D54EB"/>
    <w:rsid w:val="008D59C3"/>
    <w:rsid w:val="008D74D7"/>
    <w:rsid w:val="008D7572"/>
    <w:rsid w:val="008D76BD"/>
    <w:rsid w:val="008D77AC"/>
    <w:rsid w:val="008D7A1A"/>
    <w:rsid w:val="008E07E0"/>
    <w:rsid w:val="008E32DD"/>
    <w:rsid w:val="008E373B"/>
    <w:rsid w:val="008E3BED"/>
    <w:rsid w:val="008E40CA"/>
    <w:rsid w:val="008E4FCB"/>
    <w:rsid w:val="008E5F67"/>
    <w:rsid w:val="008E6A76"/>
    <w:rsid w:val="008E6F91"/>
    <w:rsid w:val="008F1493"/>
    <w:rsid w:val="008F1717"/>
    <w:rsid w:val="008F17B8"/>
    <w:rsid w:val="008F1845"/>
    <w:rsid w:val="008F21A3"/>
    <w:rsid w:val="008F2BD5"/>
    <w:rsid w:val="008F2EF9"/>
    <w:rsid w:val="008F2F20"/>
    <w:rsid w:val="008F3FAA"/>
    <w:rsid w:val="008F5B33"/>
    <w:rsid w:val="008F5CDD"/>
    <w:rsid w:val="008F6CB2"/>
    <w:rsid w:val="008F79EA"/>
    <w:rsid w:val="0090030A"/>
    <w:rsid w:val="00901303"/>
    <w:rsid w:val="00902D8D"/>
    <w:rsid w:val="00903260"/>
    <w:rsid w:val="009037F9"/>
    <w:rsid w:val="00903B6E"/>
    <w:rsid w:val="00904084"/>
    <w:rsid w:val="00905021"/>
    <w:rsid w:val="009054C9"/>
    <w:rsid w:val="00905B0F"/>
    <w:rsid w:val="00906314"/>
    <w:rsid w:val="00906F1C"/>
    <w:rsid w:val="009073CD"/>
    <w:rsid w:val="009078C2"/>
    <w:rsid w:val="00907CDD"/>
    <w:rsid w:val="00910704"/>
    <w:rsid w:val="00910D5D"/>
    <w:rsid w:val="00911418"/>
    <w:rsid w:val="00911497"/>
    <w:rsid w:val="00911B31"/>
    <w:rsid w:val="00912AB6"/>
    <w:rsid w:val="00914170"/>
    <w:rsid w:val="009155D5"/>
    <w:rsid w:val="00915CCE"/>
    <w:rsid w:val="00915F9A"/>
    <w:rsid w:val="00916B10"/>
    <w:rsid w:val="00917A39"/>
    <w:rsid w:val="0092137A"/>
    <w:rsid w:val="00921C0A"/>
    <w:rsid w:val="0092266D"/>
    <w:rsid w:val="009234D5"/>
    <w:rsid w:val="00923530"/>
    <w:rsid w:val="009239B0"/>
    <w:rsid w:val="00923A58"/>
    <w:rsid w:val="00924154"/>
    <w:rsid w:val="0092433D"/>
    <w:rsid w:val="009249B7"/>
    <w:rsid w:val="009279B8"/>
    <w:rsid w:val="0093070D"/>
    <w:rsid w:val="00930E95"/>
    <w:rsid w:val="00931EE4"/>
    <w:rsid w:val="00932112"/>
    <w:rsid w:val="00932236"/>
    <w:rsid w:val="00932528"/>
    <w:rsid w:val="00933318"/>
    <w:rsid w:val="009334BF"/>
    <w:rsid w:val="009361B2"/>
    <w:rsid w:val="009430F0"/>
    <w:rsid w:val="009441CC"/>
    <w:rsid w:val="00944A81"/>
    <w:rsid w:val="00944C0F"/>
    <w:rsid w:val="00944C2C"/>
    <w:rsid w:val="00946502"/>
    <w:rsid w:val="009507F7"/>
    <w:rsid w:val="00950BBD"/>
    <w:rsid w:val="00951B11"/>
    <w:rsid w:val="009521B4"/>
    <w:rsid w:val="0095338C"/>
    <w:rsid w:val="009534C5"/>
    <w:rsid w:val="009538BA"/>
    <w:rsid w:val="00954E70"/>
    <w:rsid w:val="00955843"/>
    <w:rsid w:val="009575E7"/>
    <w:rsid w:val="009607A4"/>
    <w:rsid w:val="00961495"/>
    <w:rsid w:val="00961A37"/>
    <w:rsid w:val="009620CF"/>
    <w:rsid w:val="0096213F"/>
    <w:rsid w:val="00963BB5"/>
    <w:rsid w:val="00964278"/>
    <w:rsid w:val="00965477"/>
    <w:rsid w:val="0096634B"/>
    <w:rsid w:val="009705A4"/>
    <w:rsid w:val="00973348"/>
    <w:rsid w:val="00973B84"/>
    <w:rsid w:val="009748FE"/>
    <w:rsid w:val="00975867"/>
    <w:rsid w:val="009777A8"/>
    <w:rsid w:val="00980493"/>
    <w:rsid w:val="009805E6"/>
    <w:rsid w:val="00981E0C"/>
    <w:rsid w:val="009822CC"/>
    <w:rsid w:val="009826AA"/>
    <w:rsid w:val="00983761"/>
    <w:rsid w:val="00984FC1"/>
    <w:rsid w:val="009853A4"/>
    <w:rsid w:val="00985ED3"/>
    <w:rsid w:val="00986F82"/>
    <w:rsid w:val="00987875"/>
    <w:rsid w:val="00987D90"/>
    <w:rsid w:val="009902D8"/>
    <w:rsid w:val="00990883"/>
    <w:rsid w:val="00990DFD"/>
    <w:rsid w:val="00993A65"/>
    <w:rsid w:val="00994F8F"/>
    <w:rsid w:val="00995EBA"/>
    <w:rsid w:val="00996057"/>
    <w:rsid w:val="009971AE"/>
    <w:rsid w:val="009A0805"/>
    <w:rsid w:val="009A189C"/>
    <w:rsid w:val="009A1A6C"/>
    <w:rsid w:val="009A1DD7"/>
    <w:rsid w:val="009A2D19"/>
    <w:rsid w:val="009A302D"/>
    <w:rsid w:val="009A331F"/>
    <w:rsid w:val="009A3D36"/>
    <w:rsid w:val="009A3D44"/>
    <w:rsid w:val="009A491C"/>
    <w:rsid w:val="009A5562"/>
    <w:rsid w:val="009A5615"/>
    <w:rsid w:val="009A634D"/>
    <w:rsid w:val="009A7864"/>
    <w:rsid w:val="009A7B9D"/>
    <w:rsid w:val="009B0421"/>
    <w:rsid w:val="009B0873"/>
    <w:rsid w:val="009B0FA8"/>
    <w:rsid w:val="009B1468"/>
    <w:rsid w:val="009B1C39"/>
    <w:rsid w:val="009B1C57"/>
    <w:rsid w:val="009B35E0"/>
    <w:rsid w:val="009B414C"/>
    <w:rsid w:val="009B416C"/>
    <w:rsid w:val="009B6134"/>
    <w:rsid w:val="009C1666"/>
    <w:rsid w:val="009C1D79"/>
    <w:rsid w:val="009C265C"/>
    <w:rsid w:val="009C28F2"/>
    <w:rsid w:val="009C304F"/>
    <w:rsid w:val="009C3B49"/>
    <w:rsid w:val="009C3BE2"/>
    <w:rsid w:val="009C51C1"/>
    <w:rsid w:val="009C6AFF"/>
    <w:rsid w:val="009C7211"/>
    <w:rsid w:val="009C7CD3"/>
    <w:rsid w:val="009C7F76"/>
    <w:rsid w:val="009D018B"/>
    <w:rsid w:val="009D0246"/>
    <w:rsid w:val="009D146D"/>
    <w:rsid w:val="009D1BC6"/>
    <w:rsid w:val="009D1EEA"/>
    <w:rsid w:val="009D318E"/>
    <w:rsid w:val="009D4144"/>
    <w:rsid w:val="009D42ED"/>
    <w:rsid w:val="009D4546"/>
    <w:rsid w:val="009D4E35"/>
    <w:rsid w:val="009D55E6"/>
    <w:rsid w:val="009E07B6"/>
    <w:rsid w:val="009E25C9"/>
    <w:rsid w:val="009E2DC7"/>
    <w:rsid w:val="009E433C"/>
    <w:rsid w:val="009E5F19"/>
    <w:rsid w:val="009E6531"/>
    <w:rsid w:val="009E6DD3"/>
    <w:rsid w:val="009E6F0D"/>
    <w:rsid w:val="009E7362"/>
    <w:rsid w:val="009E75C6"/>
    <w:rsid w:val="009E7A6B"/>
    <w:rsid w:val="009F0273"/>
    <w:rsid w:val="009F0416"/>
    <w:rsid w:val="009F06C2"/>
    <w:rsid w:val="009F13A6"/>
    <w:rsid w:val="009F1857"/>
    <w:rsid w:val="009F18C9"/>
    <w:rsid w:val="009F303D"/>
    <w:rsid w:val="009F3E44"/>
    <w:rsid w:val="009F42F4"/>
    <w:rsid w:val="009F4C65"/>
    <w:rsid w:val="009F5005"/>
    <w:rsid w:val="009F5590"/>
    <w:rsid w:val="009F60E9"/>
    <w:rsid w:val="009F7229"/>
    <w:rsid w:val="00A000C9"/>
    <w:rsid w:val="00A00314"/>
    <w:rsid w:val="00A003EB"/>
    <w:rsid w:val="00A03FC5"/>
    <w:rsid w:val="00A04344"/>
    <w:rsid w:val="00A04736"/>
    <w:rsid w:val="00A053C2"/>
    <w:rsid w:val="00A05555"/>
    <w:rsid w:val="00A057B2"/>
    <w:rsid w:val="00A05985"/>
    <w:rsid w:val="00A06CD0"/>
    <w:rsid w:val="00A11186"/>
    <w:rsid w:val="00A129B4"/>
    <w:rsid w:val="00A1562D"/>
    <w:rsid w:val="00A1607A"/>
    <w:rsid w:val="00A16564"/>
    <w:rsid w:val="00A20263"/>
    <w:rsid w:val="00A20C23"/>
    <w:rsid w:val="00A212B4"/>
    <w:rsid w:val="00A22951"/>
    <w:rsid w:val="00A23338"/>
    <w:rsid w:val="00A2344E"/>
    <w:rsid w:val="00A23A5E"/>
    <w:rsid w:val="00A2419C"/>
    <w:rsid w:val="00A259D7"/>
    <w:rsid w:val="00A260C2"/>
    <w:rsid w:val="00A27800"/>
    <w:rsid w:val="00A27C60"/>
    <w:rsid w:val="00A3022C"/>
    <w:rsid w:val="00A3044D"/>
    <w:rsid w:val="00A32272"/>
    <w:rsid w:val="00A338DD"/>
    <w:rsid w:val="00A34908"/>
    <w:rsid w:val="00A34B76"/>
    <w:rsid w:val="00A35366"/>
    <w:rsid w:val="00A3540F"/>
    <w:rsid w:val="00A35660"/>
    <w:rsid w:val="00A356EE"/>
    <w:rsid w:val="00A35743"/>
    <w:rsid w:val="00A35C26"/>
    <w:rsid w:val="00A35C63"/>
    <w:rsid w:val="00A36164"/>
    <w:rsid w:val="00A3667F"/>
    <w:rsid w:val="00A36DCE"/>
    <w:rsid w:val="00A37030"/>
    <w:rsid w:val="00A37CDD"/>
    <w:rsid w:val="00A40483"/>
    <w:rsid w:val="00A40707"/>
    <w:rsid w:val="00A40C9B"/>
    <w:rsid w:val="00A40FF4"/>
    <w:rsid w:val="00A42CC2"/>
    <w:rsid w:val="00A439FA"/>
    <w:rsid w:val="00A43ADE"/>
    <w:rsid w:val="00A44FB9"/>
    <w:rsid w:val="00A4595A"/>
    <w:rsid w:val="00A4607F"/>
    <w:rsid w:val="00A461E7"/>
    <w:rsid w:val="00A46707"/>
    <w:rsid w:val="00A515D0"/>
    <w:rsid w:val="00A52207"/>
    <w:rsid w:val="00A523AB"/>
    <w:rsid w:val="00A529B2"/>
    <w:rsid w:val="00A53B64"/>
    <w:rsid w:val="00A5432B"/>
    <w:rsid w:val="00A5674B"/>
    <w:rsid w:val="00A57FEE"/>
    <w:rsid w:val="00A60DA2"/>
    <w:rsid w:val="00A615B1"/>
    <w:rsid w:val="00A6172C"/>
    <w:rsid w:val="00A61A41"/>
    <w:rsid w:val="00A6207D"/>
    <w:rsid w:val="00A6230F"/>
    <w:rsid w:val="00A628FC"/>
    <w:rsid w:val="00A63556"/>
    <w:rsid w:val="00A63BF9"/>
    <w:rsid w:val="00A66056"/>
    <w:rsid w:val="00A66A09"/>
    <w:rsid w:val="00A66BB7"/>
    <w:rsid w:val="00A676E8"/>
    <w:rsid w:val="00A67A4B"/>
    <w:rsid w:val="00A67DB8"/>
    <w:rsid w:val="00A707AA"/>
    <w:rsid w:val="00A71B1E"/>
    <w:rsid w:val="00A73085"/>
    <w:rsid w:val="00A7355C"/>
    <w:rsid w:val="00A74FB7"/>
    <w:rsid w:val="00A7512F"/>
    <w:rsid w:val="00A75372"/>
    <w:rsid w:val="00A75FC1"/>
    <w:rsid w:val="00A7621F"/>
    <w:rsid w:val="00A7622C"/>
    <w:rsid w:val="00A76478"/>
    <w:rsid w:val="00A76689"/>
    <w:rsid w:val="00A76836"/>
    <w:rsid w:val="00A778A0"/>
    <w:rsid w:val="00A77945"/>
    <w:rsid w:val="00A77F95"/>
    <w:rsid w:val="00A80369"/>
    <w:rsid w:val="00A8204D"/>
    <w:rsid w:val="00A825E7"/>
    <w:rsid w:val="00A82780"/>
    <w:rsid w:val="00A82E20"/>
    <w:rsid w:val="00A83262"/>
    <w:rsid w:val="00A83A40"/>
    <w:rsid w:val="00A845EB"/>
    <w:rsid w:val="00A863F4"/>
    <w:rsid w:val="00A87428"/>
    <w:rsid w:val="00A9097E"/>
    <w:rsid w:val="00A91D5C"/>
    <w:rsid w:val="00A93326"/>
    <w:rsid w:val="00A93E02"/>
    <w:rsid w:val="00A940AE"/>
    <w:rsid w:val="00A94739"/>
    <w:rsid w:val="00A94954"/>
    <w:rsid w:val="00A94AA2"/>
    <w:rsid w:val="00A95745"/>
    <w:rsid w:val="00A957C6"/>
    <w:rsid w:val="00A95AC5"/>
    <w:rsid w:val="00A95C04"/>
    <w:rsid w:val="00A96EB6"/>
    <w:rsid w:val="00A97357"/>
    <w:rsid w:val="00A9743D"/>
    <w:rsid w:val="00AA0284"/>
    <w:rsid w:val="00AA0C89"/>
    <w:rsid w:val="00AA2130"/>
    <w:rsid w:val="00AA229D"/>
    <w:rsid w:val="00AA22FD"/>
    <w:rsid w:val="00AA2439"/>
    <w:rsid w:val="00AA3085"/>
    <w:rsid w:val="00AA3E01"/>
    <w:rsid w:val="00AA402D"/>
    <w:rsid w:val="00AA4E36"/>
    <w:rsid w:val="00AA530B"/>
    <w:rsid w:val="00AA5E9F"/>
    <w:rsid w:val="00AA697D"/>
    <w:rsid w:val="00AA7DFE"/>
    <w:rsid w:val="00AB0DA5"/>
    <w:rsid w:val="00AB323B"/>
    <w:rsid w:val="00AB3D01"/>
    <w:rsid w:val="00AB3D69"/>
    <w:rsid w:val="00AB450E"/>
    <w:rsid w:val="00AB64B7"/>
    <w:rsid w:val="00AC0033"/>
    <w:rsid w:val="00AC05A1"/>
    <w:rsid w:val="00AC0D1A"/>
    <w:rsid w:val="00AC1A5A"/>
    <w:rsid w:val="00AC3585"/>
    <w:rsid w:val="00AC3DB7"/>
    <w:rsid w:val="00AC3FB3"/>
    <w:rsid w:val="00AC4203"/>
    <w:rsid w:val="00AC5C52"/>
    <w:rsid w:val="00AC5DEE"/>
    <w:rsid w:val="00AC6697"/>
    <w:rsid w:val="00AC6D1B"/>
    <w:rsid w:val="00AD007D"/>
    <w:rsid w:val="00AD021D"/>
    <w:rsid w:val="00AD0306"/>
    <w:rsid w:val="00AD0927"/>
    <w:rsid w:val="00AD170D"/>
    <w:rsid w:val="00AD23D9"/>
    <w:rsid w:val="00AD2E0D"/>
    <w:rsid w:val="00AD342B"/>
    <w:rsid w:val="00AD4295"/>
    <w:rsid w:val="00AD4D12"/>
    <w:rsid w:val="00AD618E"/>
    <w:rsid w:val="00AD6705"/>
    <w:rsid w:val="00AE03C4"/>
    <w:rsid w:val="00AE04A1"/>
    <w:rsid w:val="00AE07B5"/>
    <w:rsid w:val="00AE0E43"/>
    <w:rsid w:val="00AE137F"/>
    <w:rsid w:val="00AE2264"/>
    <w:rsid w:val="00AE2ABE"/>
    <w:rsid w:val="00AE4812"/>
    <w:rsid w:val="00AE579C"/>
    <w:rsid w:val="00AF00C1"/>
    <w:rsid w:val="00AF03F0"/>
    <w:rsid w:val="00AF18A6"/>
    <w:rsid w:val="00AF1B80"/>
    <w:rsid w:val="00AF290D"/>
    <w:rsid w:val="00AF3550"/>
    <w:rsid w:val="00AF4849"/>
    <w:rsid w:val="00AF62F8"/>
    <w:rsid w:val="00AF692B"/>
    <w:rsid w:val="00AF730E"/>
    <w:rsid w:val="00AF7FA9"/>
    <w:rsid w:val="00B0491A"/>
    <w:rsid w:val="00B05622"/>
    <w:rsid w:val="00B0598A"/>
    <w:rsid w:val="00B06D10"/>
    <w:rsid w:val="00B06F31"/>
    <w:rsid w:val="00B10275"/>
    <w:rsid w:val="00B11331"/>
    <w:rsid w:val="00B11715"/>
    <w:rsid w:val="00B121FD"/>
    <w:rsid w:val="00B122C0"/>
    <w:rsid w:val="00B12BD5"/>
    <w:rsid w:val="00B13597"/>
    <w:rsid w:val="00B14B1D"/>
    <w:rsid w:val="00B158AE"/>
    <w:rsid w:val="00B16DB0"/>
    <w:rsid w:val="00B17C75"/>
    <w:rsid w:val="00B20037"/>
    <w:rsid w:val="00B20038"/>
    <w:rsid w:val="00B20884"/>
    <w:rsid w:val="00B20D70"/>
    <w:rsid w:val="00B21C4C"/>
    <w:rsid w:val="00B22326"/>
    <w:rsid w:val="00B2249C"/>
    <w:rsid w:val="00B227A5"/>
    <w:rsid w:val="00B229F1"/>
    <w:rsid w:val="00B22C12"/>
    <w:rsid w:val="00B23574"/>
    <w:rsid w:val="00B24BA6"/>
    <w:rsid w:val="00B25061"/>
    <w:rsid w:val="00B252BF"/>
    <w:rsid w:val="00B25F1F"/>
    <w:rsid w:val="00B2606E"/>
    <w:rsid w:val="00B26275"/>
    <w:rsid w:val="00B30273"/>
    <w:rsid w:val="00B30423"/>
    <w:rsid w:val="00B334C7"/>
    <w:rsid w:val="00B339F0"/>
    <w:rsid w:val="00B3520A"/>
    <w:rsid w:val="00B35C66"/>
    <w:rsid w:val="00B36711"/>
    <w:rsid w:val="00B36F00"/>
    <w:rsid w:val="00B3700B"/>
    <w:rsid w:val="00B37260"/>
    <w:rsid w:val="00B37820"/>
    <w:rsid w:val="00B379E7"/>
    <w:rsid w:val="00B41565"/>
    <w:rsid w:val="00B42BA4"/>
    <w:rsid w:val="00B441EA"/>
    <w:rsid w:val="00B44759"/>
    <w:rsid w:val="00B45003"/>
    <w:rsid w:val="00B4519A"/>
    <w:rsid w:val="00B45454"/>
    <w:rsid w:val="00B457D8"/>
    <w:rsid w:val="00B45A30"/>
    <w:rsid w:val="00B510F6"/>
    <w:rsid w:val="00B52534"/>
    <w:rsid w:val="00B53B83"/>
    <w:rsid w:val="00B53D29"/>
    <w:rsid w:val="00B554C3"/>
    <w:rsid w:val="00B55B04"/>
    <w:rsid w:val="00B55F5F"/>
    <w:rsid w:val="00B561B7"/>
    <w:rsid w:val="00B6034B"/>
    <w:rsid w:val="00B60E88"/>
    <w:rsid w:val="00B61B45"/>
    <w:rsid w:val="00B61C6C"/>
    <w:rsid w:val="00B62C0A"/>
    <w:rsid w:val="00B62E50"/>
    <w:rsid w:val="00B63BD2"/>
    <w:rsid w:val="00B63F06"/>
    <w:rsid w:val="00B64136"/>
    <w:rsid w:val="00B64824"/>
    <w:rsid w:val="00B650C7"/>
    <w:rsid w:val="00B65A38"/>
    <w:rsid w:val="00B65F09"/>
    <w:rsid w:val="00B66AF4"/>
    <w:rsid w:val="00B66BB5"/>
    <w:rsid w:val="00B67B12"/>
    <w:rsid w:val="00B70281"/>
    <w:rsid w:val="00B72123"/>
    <w:rsid w:val="00B73CF7"/>
    <w:rsid w:val="00B74347"/>
    <w:rsid w:val="00B75239"/>
    <w:rsid w:val="00B756BE"/>
    <w:rsid w:val="00B7606B"/>
    <w:rsid w:val="00B800FA"/>
    <w:rsid w:val="00B81F41"/>
    <w:rsid w:val="00B829A2"/>
    <w:rsid w:val="00B8594D"/>
    <w:rsid w:val="00B85F2F"/>
    <w:rsid w:val="00B866E0"/>
    <w:rsid w:val="00B86AE8"/>
    <w:rsid w:val="00B87712"/>
    <w:rsid w:val="00B87963"/>
    <w:rsid w:val="00B87DB7"/>
    <w:rsid w:val="00B90537"/>
    <w:rsid w:val="00B90633"/>
    <w:rsid w:val="00B9223E"/>
    <w:rsid w:val="00B92478"/>
    <w:rsid w:val="00B92576"/>
    <w:rsid w:val="00B926DF"/>
    <w:rsid w:val="00B92DBE"/>
    <w:rsid w:val="00B93294"/>
    <w:rsid w:val="00B93C29"/>
    <w:rsid w:val="00B9426D"/>
    <w:rsid w:val="00B94567"/>
    <w:rsid w:val="00B95424"/>
    <w:rsid w:val="00B95B52"/>
    <w:rsid w:val="00B96423"/>
    <w:rsid w:val="00B96E88"/>
    <w:rsid w:val="00BA0240"/>
    <w:rsid w:val="00BA0683"/>
    <w:rsid w:val="00BA0AFF"/>
    <w:rsid w:val="00BA0F2E"/>
    <w:rsid w:val="00BA2D3C"/>
    <w:rsid w:val="00BA347A"/>
    <w:rsid w:val="00BA3B66"/>
    <w:rsid w:val="00BA3E8A"/>
    <w:rsid w:val="00BA5583"/>
    <w:rsid w:val="00BA5D30"/>
    <w:rsid w:val="00BA6013"/>
    <w:rsid w:val="00BA6A95"/>
    <w:rsid w:val="00BA7C7A"/>
    <w:rsid w:val="00BB1889"/>
    <w:rsid w:val="00BB21F5"/>
    <w:rsid w:val="00BB2B65"/>
    <w:rsid w:val="00BB32BE"/>
    <w:rsid w:val="00BB4A44"/>
    <w:rsid w:val="00BB53AB"/>
    <w:rsid w:val="00BB5704"/>
    <w:rsid w:val="00BB756A"/>
    <w:rsid w:val="00BC04D9"/>
    <w:rsid w:val="00BC07B5"/>
    <w:rsid w:val="00BC0A19"/>
    <w:rsid w:val="00BC0B7D"/>
    <w:rsid w:val="00BC0DAA"/>
    <w:rsid w:val="00BC0F0A"/>
    <w:rsid w:val="00BC1363"/>
    <w:rsid w:val="00BC1CE8"/>
    <w:rsid w:val="00BC21B4"/>
    <w:rsid w:val="00BC30F0"/>
    <w:rsid w:val="00BC3721"/>
    <w:rsid w:val="00BC3B77"/>
    <w:rsid w:val="00BC43D1"/>
    <w:rsid w:val="00BC4B4C"/>
    <w:rsid w:val="00BC5962"/>
    <w:rsid w:val="00BC5CE6"/>
    <w:rsid w:val="00BD0031"/>
    <w:rsid w:val="00BD0608"/>
    <w:rsid w:val="00BD0E86"/>
    <w:rsid w:val="00BD10BC"/>
    <w:rsid w:val="00BD13A4"/>
    <w:rsid w:val="00BD1F97"/>
    <w:rsid w:val="00BD3414"/>
    <w:rsid w:val="00BD3DAA"/>
    <w:rsid w:val="00BD695C"/>
    <w:rsid w:val="00BD75D8"/>
    <w:rsid w:val="00BD7DDE"/>
    <w:rsid w:val="00BE1647"/>
    <w:rsid w:val="00BE1D11"/>
    <w:rsid w:val="00BE2EA8"/>
    <w:rsid w:val="00BE422C"/>
    <w:rsid w:val="00BE441C"/>
    <w:rsid w:val="00BE4A02"/>
    <w:rsid w:val="00BE4F86"/>
    <w:rsid w:val="00BE5F57"/>
    <w:rsid w:val="00BE6F71"/>
    <w:rsid w:val="00BF1031"/>
    <w:rsid w:val="00BF301D"/>
    <w:rsid w:val="00BF4038"/>
    <w:rsid w:val="00BF4AB0"/>
    <w:rsid w:val="00BF5CEF"/>
    <w:rsid w:val="00BF5E4A"/>
    <w:rsid w:val="00BF62A4"/>
    <w:rsid w:val="00BF6E74"/>
    <w:rsid w:val="00BF6EF7"/>
    <w:rsid w:val="00BF7A06"/>
    <w:rsid w:val="00C000FC"/>
    <w:rsid w:val="00C00F73"/>
    <w:rsid w:val="00C02BAC"/>
    <w:rsid w:val="00C03A41"/>
    <w:rsid w:val="00C03DD0"/>
    <w:rsid w:val="00C04060"/>
    <w:rsid w:val="00C04384"/>
    <w:rsid w:val="00C04779"/>
    <w:rsid w:val="00C04C1F"/>
    <w:rsid w:val="00C07E0D"/>
    <w:rsid w:val="00C10150"/>
    <w:rsid w:val="00C10DCD"/>
    <w:rsid w:val="00C10E19"/>
    <w:rsid w:val="00C1136E"/>
    <w:rsid w:val="00C12D55"/>
    <w:rsid w:val="00C12F53"/>
    <w:rsid w:val="00C130F1"/>
    <w:rsid w:val="00C139E3"/>
    <w:rsid w:val="00C160B2"/>
    <w:rsid w:val="00C16886"/>
    <w:rsid w:val="00C17944"/>
    <w:rsid w:val="00C20098"/>
    <w:rsid w:val="00C202CB"/>
    <w:rsid w:val="00C20502"/>
    <w:rsid w:val="00C21DE5"/>
    <w:rsid w:val="00C21E2E"/>
    <w:rsid w:val="00C22ACD"/>
    <w:rsid w:val="00C23530"/>
    <w:rsid w:val="00C246DC"/>
    <w:rsid w:val="00C248E1"/>
    <w:rsid w:val="00C24B3C"/>
    <w:rsid w:val="00C24ED8"/>
    <w:rsid w:val="00C24F84"/>
    <w:rsid w:val="00C256D2"/>
    <w:rsid w:val="00C25881"/>
    <w:rsid w:val="00C26851"/>
    <w:rsid w:val="00C26A7F"/>
    <w:rsid w:val="00C27391"/>
    <w:rsid w:val="00C30AB5"/>
    <w:rsid w:val="00C31BA4"/>
    <w:rsid w:val="00C329D5"/>
    <w:rsid w:val="00C331AB"/>
    <w:rsid w:val="00C340DC"/>
    <w:rsid w:val="00C34B76"/>
    <w:rsid w:val="00C35053"/>
    <w:rsid w:val="00C355CD"/>
    <w:rsid w:val="00C35824"/>
    <w:rsid w:val="00C359B0"/>
    <w:rsid w:val="00C35C69"/>
    <w:rsid w:val="00C3607E"/>
    <w:rsid w:val="00C360C7"/>
    <w:rsid w:val="00C36682"/>
    <w:rsid w:val="00C3791E"/>
    <w:rsid w:val="00C37B70"/>
    <w:rsid w:val="00C4004F"/>
    <w:rsid w:val="00C40482"/>
    <w:rsid w:val="00C40A8C"/>
    <w:rsid w:val="00C43AA9"/>
    <w:rsid w:val="00C44C8F"/>
    <w:rsid w:val="00C44CC5"/>
    <w:rsid w:val="00C4569D"/>
    <w:rsid w:val="00C47691"/>
    <w:rsid w:val="00C47C65"/>
    <w:rsid w:val="00C51002"/>
    <w:rsid w:val="00C523D0"/>
    <w:rsid w:val="00C52B23"/>
    <w:rsid w:val="00C52BA8"/>
    <w:rsid w:val="00C52BEE"/>
    <w:rsid w:val="00C5421C"/>
    <w:rsid w:val="00C54338"/>
    <w:rsid w:val="00C549E6"/>
    <w:rsid w:val="00C54F61"/>
    <w:rsid w:val="00C55120"/>
    <w:rsid w:val="00C558B2"/>
    <w:rsid w:val="00C5629A"/>
    <w:rsid w:val="00C56450"/>
    <w:rsid w:val="00C56CBF"/>
    <w:rsid w:val="00C56D03"/>
    <w:rsid w:val="00C57269"/>
    <w:rsid w:val="00C57E86"/>
    <w:rsid w:val="00C60503"/>
    <w:rsid w:val="00C609B7"/>
    <w:rsid w:val="00C6164A"/>
    <w:rsid w:val="00C61A4E"/>
    <w:rsid w:val="00C63E72"/>
    <w:rsid w:val="00C66A38"/>
    <w:rsid w:val="00C66D92"/>
    <w:rsid w:val="00C70C5F"/>
    <w:rsid w:val="00C718A3"/>
    <w:rsid w:val="00C720E8"/>
    <w:rsid w:val="00C73662"/>
    <w:rsid w:val="00C74553"/>
    <w:rsid w:val="00C7603E"/>
    <w:rsid w:val="00C76236"/>
    <w:rsid w:val="00C76982"/>
    <w:rsid w:val="00C77027"/>
    <w:rsid w:val="00C77A68"/>
    <w:rsid w:val="00C77B1D"/>
    <w:rsid w:val="00C800F7"/>
    <w:rsid w:val="00C804EB"/>
    <w:rsid w:val="00C80D64"/>
    <w:rsid w:val="00C8108F"/>
    <w:rsid w:val="00C813BB"/>
    <w:rsid w:val="00C82A60"/>
    <w:rsid w:val="00C83DFE"/>
    <w:rsid w:val="00C848DF"/>
    <w:rsid w:val="00C84EFF"/>
    <w:rsid w:val="00C85580"/>
    <w:rsid w:val="00C85A37"/>
    <w:rsid w:val="00C85BC7"/>
    <w:rsid w:val="00C901FB"/>
    <w:rsid w:val="00C91CFD"/>
    <w:rsid w:val="00C92DFA"/>
    <w:rsid w:val="00C93711"/>
    <w:rsid w:val="00C93A6F"/>
    <w:rsid w:val="00C9414E"/>
    <w:rsid w:val="00C94567"/>
    <w:rsid w:val="00C9498E"/>
    <w:rsid w:val="00C9561D"/>
    <w:rsid w:val="00C95D4D"/>
    <w:rsid w:val="00C9681C"/>
    <w:rsid w:val="00C96A9D"/>
    <w:rsid w:val="00C97B41"/>
    <w:rsid w:val="00CA0316"/>
    <w:rsid w:val="00CA0D8C"/>
    <w:rsid w:val="00CA0D8D"/>
    <w:rsid w:val="00CA26EE"/>
    <w:rsid w:val="00CA27C2"/>
    <w:rsid w:val="00CA347B"/>
    <w:rsid w:val="00CA3A35"/>
    <w:rsid w:val="00CA3B10"/>
    <w:rsid w:val="00CA430E"/>
    <w:rsid w:val="00CA4467"/>
    <w:rsid w:val="00CA455F"/>
    <w:rsid w:val="00CA4637"/>
    <w:rsid w:val="00CA4E8A"/>
    <w:rsid w:val="00CA50C6"/>
    <w:rsid w:val="00CA62C6"/>
    <w:rsid w:val="00CA6C47"/>
    <w:rsid w:val="00CA721F"/>
    <w:rsid w:val="00CA7544"/>
    <w:rsid w:val="00CB0317"/>
    <w:rsid w:val="00CB07F4"/>
    <w:rsid w:val="00CB0818"/>
    <w:rsid w:val="00CB0FE2"/>
    <w:rsid w:val="00CB1DFC"/>
    <w:rsid w:val="00CB35F8"/>
    <w:rsid w:val="00CB3826"/>
    <w:rsid w:val="00CB39DC"/>
    <w:rsid w:val="00CB45EC"/>
    <w:rsid w:val="00CB5113"/>
    <w:rsid w:val="00CB6255"/>
    <w:rsid w:val="00CB6CB5"/>
    <w:rsid w:val="00CB7CBB"/>
    <w:rsid w:val="00CC01D7"/>
    <w:rsid w:val="00CC0A61"/>
    <w:rsid w:val="00CC16A6"/>
    <w:rsid w:val="00CC29A2"/>
    <w:rsid w:val="00CC2C05"/>
    <w:rsid w:val="00CC317C"/>
    <w:rsid w:val="00CC360A"/>
    <w:rsid w:val="00CC3739"/>
    <w:rsid w:val="00CC3A29"/>
    <w:rsid w:val="00CC41E8"/>
    <w:rsid w:val="00CC4EAF"/>
    <w:rsid w:val="00CC512B"/>
    <w:rsid w:val="00CC7F0B"/>
    <w:rsid w:val="00CD1029"/>
    <w:rsid w:val="00CD1A57"/>
    <w:rsid w:val="00CD2E25"/>
    <w:rsid w:val="00CD2F3B"/>
    <w:rsid w:val="00CD3547"/>
    <w:rsid w:val="00CD3940"/>
    <w:rsid w:val="00CD3C1D"/>
    <w:rsid w:val="00CD3CE4"/>
    <w:rsid w:val="00CD40A2"/>
    <w:rsid w:val="00CD4C6D"/>
    <w:rsid w:val="00CD5B67"/>
    <w:rsid w:val="00CD6041"/>
    <w:rsid w:val="00CD65B6"/>
    <w:rsid w:val="00CD66E0"/>
    <w:rsid w:val="00CD711C"/>
    <w:rsid w:val="00CE37A0"/>
    <w:rsid w:val="00CE3B48"/>
    <w:rsid w:val="00CE42A8"/>
    <w:rsid w:val="00CE459F"/>
    <w:rsid w:val="00CE4E4A"/>
    <w:rsid w:val="00CE5D26"/>
    <w:rsid w:val="00CE6315"/>
    <w:rsid w:val="00CE6343"/>
    <w:rsid w:val="00CE66DE"/>
    <w:rsid w:val="00CE7161"/>
    <w:rsid w:val="00CE787B"/>
    <w:rsid w:val="00CF05D8"/>
    <w:rsid w:val="00CF19EA"/>
    <w:rsid w:val="00CF1E7F"/>
    <w:rsid w:val="00CF3498"/>
    <w:rsid w:val="00CF35F3"/>
    <w:rsid w:val="00CF4129"/>
    <w:rsid w:val="00CF44A8"/>
    <w:rsid w:val="00CF4A36"/>
    <w:rsid w:val="00CF5159"/>
    <w:rsid w:val="00CF557C"/>
    <w:rsid w:val="00CF5D0C"/>
    <w:rsid w:val="00CF6A93"/>
    <w:rsid w:val="00D00528"/>
    <w:rsid w:val="00D00E1C"/>
    <w:rsid w:val="00D01A0A"/>
    <w:rsid w:val="00D01B66"/>
    <w:rsid w:val="00D0200D"/>
    <w:rsid w:val="00D02BF9"/>
    <w:rsid w:val="00D03635"/>
    <w:rsid w:val="00D03928"/>
    <w:rsid w:val="00D03B37"/>
    <w:rsid w:val="00D044B9"/>
    <w:rsid w:val="00D07213"/>
    <w:rsid w:val="00D075B0"/>
    <w:rsid w:val="00D07E24"/>
    <w:rsid w:val="00D104EB"/>
    <w:rsid w:val="00D1088D"/>
    <w:rsid w:val="00D11CC5"/>
    <w:rsid w:val="00D122AA"/>
    <w:rsid w:val="00D1235D"/>
    <w:rsid w:val="00D12906"/>
    <w:rsid w:val="00D148FF"/>
    <w:rsid w:val="00D15108"/>
    <w:rsid w:val="00D16629"/>
    <w:rsid w:val="00D20183"/>
    <w:rsid w:val="00D2031E"/>
    <w:rsid w:val="00D20C3D"/>
    <w:rsid w:val="00D20F68"/>
    <w:rsid w:val="00D2270B"/>
    <w:rsid w:val="00D22A5D"/>
    <w:rsid w:val="00D2318F"/>
    <w:rsid w:val="00D244ED"/>
    <w:rsid w:val="00D2572A"/>
    <w:rsid w:val="00D25954"/>
    <w:rsid w:val="00D25B34"/>
    <w:rsid w:val="00D26B97"/>
    <w:rsid w:val="00D2712A"/>
    <w:rsid w:val="00D30CE7"/>
    <w:rsid w:val="00D318E1"/>
    <w:rsid w:val="00D3245C"/>
    <w:rsid w:val="00D33B2F"/>
    <w:rsid w:val="00D340C2"/>
    <w:rsid w:val="00D351BB"/>
    <w:rsid w:val="00D36129"/>
    <w:rsid w:val="00D36522"/>
    <w:rsid w:val="00D365D6"/>
    <w:rsid w:val="00D40772"/>
    <w:rsid w:val="00D40CE5"/>
    <w:rsid w:val="00D41C4D"/>
    <w:rsid w:val="00D4395A"/>
    <w:rsid w:val="00D43D03"/>
    <w:rsid w:val="00D44B06"/>
    <w:rsid w:val="00D44C9E"/>
    <w:rsid w:val="00D456A3"/>
    <w:rsid w:val="00D4626C"/>
    <w:rsid w:val="00D4709E"/>
    <w:rsid w:val="00D50981"/>
    <w:rsid w:val="00D5319A"/>
    <w:rsid w:val="00D5370A"/>
    <w:rsid w:val="00D547A2"/>
    <w:rsid w:val="00D54913"/>
    <w:rsid w:val="00D54C41"/>
    <w:rsid w:val="00D55BF9"/>
    <w:rsid w:val="00D57A71"/>
    <w:rsid w:val="00D57C0C"/>
    <w:rsid w:val="00D6066D"/>
    <w:rsid w:val="00D60863"/>
    <w:rsid w:val="00D60CEE"/>
    <w:rsid w:val="00D610F8"/>
    <w:rsid w:val="00D6114C"/>
    <w:rsid w:val="00D61591"/>
    <w:rsid w:val="00D61D02"/>
    <w:rsid w:val="00D63A8D"/>
    <w:rsid w:val="00D64675"/>
    <w:rsid w:val="00D64C08"/>
    <w:rsid w:val="00D6536A"/>
    <w:rsid w:val="00D657E1"/>
    <w:rsid w:val="00D6596C"/>
    <w:rsid w:val="00D66FB6"/>
    <w:rsid w:val="00D673FD"/>
    <w:rsid w:val="00D67BDD"/>
    <w:rsid w:val="00D701BC"/>
    <w:rsid w:val="00D707E2"/>
    <w:rsid w:val="00D715D9"/>
    <w:rsid w:val="00D71FC8"/>
    <w:rsid w:val="00D725B1"/>
    <w:rsid w:val="00D73BA0"/>
    <w:rsid w:val="00D73CFF"/>
    <w:rsid w:val="00D74FEA"/>
    <w:rsid w:val="00D755D9"/>
    <w:rsid w:val="00D766C1"/>
    <w:rsid w:val="00D77756"/>
    <w:rsid w:val="00D777E8"/>
    <w:rsid w:val="00D80215"/>
    <w:rsid w:val="00D81558"/>
    <w:rsid w:val="00D8185F"/>
    <w:rsid w:val="00D81948"/>
    <w:rsid w:val="00D822DD"/>
    <w:rsid w:val="00D827D7"/>
    <w:rsid w:val="00D830EF"/>
    <w:rsid w:val="00D83573"/>
    <w:rsid w:val="00D83595"/>
    <w:rsid w:val="00D846BE"/>
    <w:rsid w:val="00D846E4"/>
    <w:rsid w:val="00D84710"/>
    <w:rsid w:val="00D8567D"/>
    <w:rsid w:val="00D85716"/>
    <w:rsid w:val="00D87212"/>
    <w:rsid w:val="00D8734E"/>
    <w:rsid w:val="00D877B2"/>
    <w:rsid w:val="00D8788D"/>
    <w:rsid w:val="00D87AC6"/>
    <w:rsid w:val="00D90D33"/>
    <w:rsid w:val="00D914FE"/>
    <w:rsid w:val="00D916A3"/>
    <w:rsid w:val="00D92213"/>
    <w:rsid w:val="00D92215"/>
    <w:rsid w:val="00D92D68"/>
    <w:rsid w:val="00D93E87"/>
    <w:rsid w:val="00D968C7"/>
    <w:rsid w:val="00D979A7"/>
    <w:rsid w:val="00D97B7B"/>
    <w:rsid w:val="00DA023D"/>
    <w:rsid w:val="00DA0EB0"/>
    <w:rsid w:val="00DA1B85"/>
    <w:rsid w:val="00DA1DAA"/>
    <w:rsid w:val="00DA1F14"/>
    <w:rsid w:val="00DA283D"/>
    <w:rsid w:val="00DA32A8"/>
    <w:rsid w:val="00DA4940"/>
    <w:rsid w:val="00DA6D10"/>
    <w:rsid w:val="00DA704B"/>
    <w:rsid w:val="00DA7B10"/>
    <w:rsid w:val="00DB0ADC"/>
    <w:rsid w:val="00DB0DBB"/>
    <w:rsid w:val="00DB0E83"/>
    <w:rsid w:val="00DB1662"/>
    <w:rsid w:val="00DB1A92"/>
    <w:rsid w:val="00DB1D0A"/>
    <w:rsid w:val="00DB4631"/>
    <w:rsid w:val="00DB4BA8"/>
    <w:rsid w:val="00DB4C8A"/>
    <w:rsid w:val="00DC107B"/>
    <w:rsid w:val="00DC2CDD"/>
    <w:rsid w:val="00DC4E7F"/>
    <w:rsid w:val="00DC58F8"/>
    <w:rsid w:val="00DC6799"/>
    <w:rsid w:val="00DC6963"/>
    <w:rsid w:val="00DC70D5"/>
    <w:rsid w:val="00DC72AB"/>
    <w:rsid w:val="00DD00F3"/>
    <w:rsid w:val="00DD139A"/>
    <w:rsid w:val="00DD18B8"/>
    <w:rsid w:val="00DD65A9"/>
    <w:rsid w:val="00DD6974"/>
    <w:rsid w:val="00DE0CBD"/>
    <w:rsid w:val="00DE1F3B"/>
    <w:rsid w:val="00DE27F7"/>
    <w:rsid w:val="00DE3987"/>
    <w:rsid w:val="00DE4040"/>
    <w:rsid w:val="00DE4D94"/>
    <w:rsid w:val="00DE51DB"/>
    <w:rsid w:val="00DE5D0B"/>
    <w:rsid w:val="00DE6306"/>
    <w:rsid w:val="00DE7C56"/>
    <w:rsid w:val="00DF02EA"/>
    <w:rsid w:val="00DF1746"/>
    <w:rsid w:val="00DF18C1"/>
    <w:rsid w:val="00DF1A0D"/>
    <w:rsid w:val="00DF1C03"/>
    <w:rsid w:val="00DF2335"/>
    <w:rsid w:val="00DF2A3F"/>
    <w:rsid w:val="00DF2D5D"/>
    <w:rsid w:val="00DF3814"/>
    <w:rsid w:val="00DF4224"/>
    <w:rsid w:val="00DF42F0"/>
    <w:rsid w:val="00DF4475"/>
    <w:rsid w:val="00DF4ADC"/>
    <w:rsid w:val="00DF617F"/>
    <w:rsid w:val="00DF6C35"/>
    <w:rsid w:val="00DF787E"/>
    <w:rsid w:val="00DF7C79"/>
    <w:rsid w:val="00E00B97"/>
    <w:rsid w:val="00E00FE1"/>
    <w:rsid w:val="00E0148B"/>
    <w:rsid w:val="00E039A7"/>
    <w:rsid w:val="00E04275"/>
    <w:rsid w:val="00E05217"/>
    <w:rsid w:val="00E06025"/>
    <w:rsid w:val="00E061E8"/>
    <w:rsid w:val="00E06828"/>
    <w:rsid w:val="00E068C4"/>
    <w:rsid w:val="00E07DA7"/>
    <w:rsid w:val="00E07EE3"/>
    <w:rsid w:val="00E10043"/>
    <w:rsid w:val="00E10A2C"/>
    <w:rsid w:val="00E114D3"/>
    <w:rsid w:val="00E11925"/>
    <w:rsid w:val="00E12FF6"/>
    <w:rsid w:val="00E13ABA"/>
    <w:rsid w:val="00E1469C"/>
    <w:rsid w:val="00E15FDC"/>
    <w:rsid w:val="00E179E1"/>
    <w:rsid w:val="00E17C8E"/>
    <w:rsid w:val="00E17D3F"/>
    <w:rsid w:val="00E2068A"/>
    <w:rsid w:val="00E23173"/>
    <w:rsid w:val="00E23643"/>
    <w:rsid w:val="00E23ABC"/>
    <w:rsid w:val="00E258BC"/>
    <w:rsid w:val="00E2772A"/>
    <w:rsid w:val="00E32FF9"/>
    <w:rsid w:val="00E3352C"/>
    <w:rsid w:val="00E347AB"/>
    <w:rsid w:val="00E3553F"/>
    <w:rsid w:val="00E35AC8"/>
    <w:rsid w:val="00E360E6"/>
    <w:rsid w:val="00E36CB9"/>
    <w:rsid w:val="00E37895"/>
    <w:rsid w:val="00E40344"/>
    <w:rsid w:val="00E4046F"/>
    <w:rsid w:val="00E40810"/>
    <w:rsid w:val="00E415F6"/>
    <w:rsid w:val="00E42EF2"/>
    <w:rsid w:val="00E42F86"/>
    <w:rsid w:val="00E4349B"/>
    <w:rsid w:val="00E43E32"/>
    <w:rsid w:val="00E43F7C"/>
    <w:rsid w:val="00E447FD"/>
    <w:rsid w:val="00E459B1"/>
    <w:rsid w:val="00E45F3D"/>
    <w:rsid w:val="00E468C8"/>
    <w:rsid w:val="00E47AF5"/>
    <w:rsid w:val="00E47B96"/>
    <w:rsid w:val="00E50F21"/>
    <w:rsid w:val="00E5157F"/>
    <w:rsid w:val="00E51E9B"/>
    <w:rsid w:val="00E52A52"/>
    <w:rsid w:val="00E52D84"/>
    <w:rsid w:val="00E5367E"/>
    <w:rsid w:val="00E540C3"/>
    <w:rsid w:val="00E54215"/>
    <w:rsid w:val="00E54C10"/>
    <w:rsid w:val="00E551B4"/>
    <w:rsid w:val="00E56CC7"/>
    <w:rsid w:val="00E57123"/>
    <w:rsid w:val="00E579E3"/>
    <w:rsid w:val="00E60390"/>
    <w:rsid w:val="00E61954"/>
    <w:rsid w:val="00E619F6"/>
    <w:rsid w:val="00E61F17"/>
    <w:rsid w:val="00E621E5"/>
    <w:rsid w:val="00E621F6"/>
    <w:rsid w:val="00E639CC"/>
    <w:rsid w:val="00E64BFD"/>
    <w:rsid w:val="00E64C8B"/>
    <w:rsid w:val="00E64F71"/>
    <w:rsid w:val="00E65004"/>
    <w:rsid w:val="00E654B7"/>
    <w:rsid w:val="00E65772"/>
    <w:rsid w:val="00E66BAD"/>
    <w:rsid w:val="00E66DE2"/>
    <w:rsid w:val="00E675B6"/>
    <w:rsid w:val="00E7127E"/>
    <w:rsid w:val="00E71680"/>
    <w:rsid w:val="00E71BC8"/>
    <w:rsid w:val="00E71C4E"/>
    <w:rsid w:val="00E71E06"/>
    <w:rsid w:val="00E723DB"/>
    <w:rsid w:val="00E72814"/>
    <w:rsid w:val="00E73838"/>
    <w:rsid w:val="00E738A2"/>
    <w:rsid w:val="00E7399D"/>
    <w:rsid w:val="00E74176"/>
    <w:rsid w:val="00E741BE"/>
    <w:rsid w:val="00E76DEE"/>
    <w:rsid w:val="00E76DF9"/>
    <w:rsid w:val="00E772BE"/>
    <w:rsid w:val="00E80B10"/>
    <w:rsid w:val="00E817E8"/>
    <w:rsid w:val="00E82469"/>
    <w:rsid w:val="00E8286D"/>
    <w:rsid w:val="00E82D04"/>
    <w:rsid w:val="00E8308E"/>
    <w:rsid w:val="00E830EB"/>
    <w:rsid w:val="00E84458"/>
    <w:rsid w:val="00E847E1"/>
    <w:rsid w:val="00E85C96"/>
    <w:rsid w:val="00E85E46"/>
    <w:rsid w:val="00E86D78"/>
    <w:rsid w:val="00E87100"/>
    <w:rsid w:val="00E87582"/>
    <w:rsid w:val="00E87C76"/>
    <w:rsid w:val="00E916FB"/>
    <w:rsid w:val="00E93167"/>
    <w:rsid w:val="00E94114"/>
    <w:rsid w:val="00E952F8"/>
    <w:rsid w:val="00E96EFF"/>
    <w:rsid w:val="00E9772C"/>
    <w:rsid w:val="00EA05CA"/>
    <w:rsid w:val="00EA05D6"/>
    <w:rsid w:val="00EA09F5"/>
    <w:rsid w:val="00EA0B2D"/>
    <w:rsid w:val="00EA0B7E"/>
    <w:rsid w:val="00EA0BDC"/>
    <w:rsid w:val="00EA174D"/>
    <w:rsid w:val="00EA1BBB"/>
    <w:rsid w:val="00EA2B15"/>
    <w:rsid w:val="00EA2B62"/>
    <w:rsid w:val="00EA30F6"/>
    <w:rsid w:val="00EA38EF"/>
    <w:rsid w:val="00EA3BF6"/>
    <w:rsid w:val="00EA4CB1"/>
    <w:rsid w:val="00EA538A"/>
    <w:rsid w:val="00EA65E2"/>
    <w:rsid w:val="00EA7102"/>
    <w:rsid w:val="00EA7565"/>
    <w:rsid w:val="00EA78DE"/>
    <w:rsid w:val="00EB04E1"/>
    <w:rsid w:val="00EB0CCE"/>
    <w:rsid w:val="00EB0D38"/>
    <w:rsid w:val="00EB1073"/>
    <w:rsid w:val="00EB215C"/>
    <w:rsid w:val="00EB26F6"/>
    <w:rsid w:val="00EB3A3E"/>
    <w:rsid w:val="00EB50AE"/>
    <w:rsid w:val="00EB5CD8"/>
    <w:rsid w:val="00EB641F"/>
    <w:rsid w:val="00EB709F"/>
    <w:rsid w:val="00EB726A"/>
    <w:rsid w:val="00EB7E7F"/>
    <w:rsid w:val="00EB7E9B"/>
    <w:rsid w:val="00EC0A6D"/>
    <w:rsid w:val="00EC331B"/>
    <w:rsid w:val="00EC3B05"/>
    <w:rsid w:val="00EC4538"/>
    <w:rsid w:val="00EC553D"/>
    <w:rsid w:val="00EC5599"/>
    <w:rsid w:val="00EC5C3F"/>
    <w:rsid w:val="00EC5E47"/>
    <w:rsid w:val="00EC5F61"/>
    <w:rsid w:val="00EC60A3"/>
    <w:rsid w:val="00EC78A5"/>
    <w:rsid w:val="00EC7D1D"/>
    <w:rsid w:val="00EC7DAC"/>
    <w:rsid w:val="00ED0051"/>
    <w:rsid w:val="00ED026A"/>
    <w:rsid w:val="00ED0FF2"/>
    <w:rsid w:val="00ED1594"/>
    <w:rsid w:val="00ED26E3"/>
    <w:rsid w:val="00ED2C1A"/>
    <w:rsid w:val="00ED2C1C"/>
    <w:rsid w:val="00ED35B0"/>
    <w:rsid w:val="00ED3A8F"/>
    <w:rsid w:val="00ED4E7D"/>
    <w:rsid w:val="00ED51BA"/>
    <w:rsid w:val="00ED65BE"/>
    <w:rsid w:val="00ED672D"/>
    <w:rsid w:val="00ED7079"/>
    <w:rsid w:val="00EE0445"/>
    <w:rsid w:val="00EE0C3D"/>
    <w:rsid w:val="00EE123F"/>
    <w:rsid w:val="00EE35AE"/>
    <w:rsid w:val="00EE3688"/>
    <w:rsid w:val="00EE36DF"/>
    <w:rsid w:val="00EE3984"/>
    <w:rsid w:val="00EE4C3B"/>
    <w:rsid w:val="00EE57B6"/>
    <w:rsid w:val="00EE67DA"/>
    <w:rsid w:val="00EE6AFE"/>
    <w:rsid w:val="00EF007F"/>
    <w:rsid w:val="00EF1684"/>
    <w:rsid w:val="00EF2691"/>
    <w:rsid w:val="00EF28D9"/>
    <w:rsid w:val="00EF37BA"/>
    <w:rsid w:val="00EF396A"/>
    <w:rsid w:val="00EF40DE"/>
    <w:rsid w:val="00EF4D31"/>
    <w:rsid w:val="00EF6939"/>
    <w:rsid w:val="00EF6A44"/>
    <w:rsid w:val="00EF6EBB"/>
    <w:rsid w:val="00EF6EDB"/>
    <w:rsid w:val="00EF7996"/>
    <w:rsid w:val="00F01CFC"/>
    <w:rsid w:val="00F01EB7"/>
    <w:rsid w:val="00F01ED9"/>
    <w:rsid w:val="00F031FC"/>
    <w:rsid w:val="00F03996"/>
    <w:rsid w:val="00F0506F"/>
    <w:rsid w:val="00F05C95"/>
    <w:rsid w:val="00F05E5B"/>
    <w:rsid w:val="00F106C7"/>
    <w:rsid w:val="00F11496"/>
    <w:rsid w:val="00F126D8"/>
    <w:rsid w:val="00F12A98"/>
    <w:rsid w:val="00F13726"/>
    <w:rsid w:val="00F1374A"/>
    <w:rsid w:val="00F14E73"/>
    <w:rsid w:val="00F15FF4"/>
    <w:rsid w:val="00F17265"/>
    <w:rsid w:val="00F172C4"/>
    <w:rsid w:val="00F176F1"/>
    <w:rsid w:val="00F177EB"/>
    <w:rsid w:val="00F17A4B"/>
    <w:rsid w:val="00F201C1"/>
    <w:rsid w:val="00F2077F"/>
    <w:rsid w:val="00F20789"/>
    <w:rsid w:val="00F20CD2"/>
    <w:rsid w:val="00F2189E"/>
    <w:rsid w:val="00F21D64"/>
    <w:rsid w:val="00F22E3E"/>
    <w:rsid w:val="00F236A0"/>
    <w:rsid w:val="00F239EC"/>
    <w:rsid w:val="00F23F40"/>
    <w:rsid w:val="00F24A66"/>
    <w:rsid w:val="00F24A6E"/>
    <w:rsid w:val="00F24FBF"/>
    <w:rsid w:val="00F258C8"/>
    <w:rsid w:val="00F262BF"/>
    <w:rsid w:val="00F263B7"/>
    <w:rsid w:val="00F26527"/>
    <w:rsid w:val="00F26569"/>
    <w:rsid w:val="00F26673"/>
    <w:rsid w:val="00F2796A"/>
    <w:rsid w:val="00F27E78"/>
    <w:rsid w:val="00F30663"/>
    <w:rsid w:val="00F30B36"/>
    <w:rsid w:val="00F31826"/>
    <w:rsid w:val="00F32693"/>
    <w:rsid w:val="00F32D58"/>
    <w:rsid w:val="00F33347"/>
    <w:rsid w:val="00F337F3"/>
    <w:rsid w:val="00F34155"/>
    <w:rsid w:val="00F347CD"/>
    <w:rsid w:val="00F3488F"/>
    <w:rsid w:val="00F36747"/>
    <w:rsid w:val="00F368AC"/>
    <w:rsid w:val="00F3696C"/>
    <w:rsid w:val="00F37311"/>
    <w:rsid w:val="00F4044C"/>
    <w:rsid w:val="00F43E2A"/>
    <w:rsid w:val="00F453CB"/>
    <w:rsid w:val="00F45493"/>
    <w:rsid w:val="00F46EA5"/>
    <w:rsid w:val="00F4731D"/>
    <w:rsid w:val="00F476F6"/>
    <w:rsid w:val="00F479A0"/>
    <w:rsid w:val="00F513B7"/>
    <w:rsid w:val="00F51499"/>
    <w:rsid w:val="00F51C59"/>
    <w:rsid w:val="00F5291C"/>
    <w:rsid w:val="00F52E8D"/>
    <w:rsid w:val="00F53B69"/>
    <w:rsid w:val="00F54B4B"/>
    <w:rsid w:val="00F55377"/>
    <w:rsid w:val="00F553CD"/>
    <w:rsid w:val="00F56375"/>
    <w:rsid w:val="00F566A7"/>
    <w:rsid w:val="00F57625"/>
    <w:rsid w:val="00F6109A"/>
    <w:rsid w:val="00F61490"/>
    <w:rsid w:val="00F616C3"/>
    <w:rsid w:val="00F641F2"/>
    <w:rsid w:val="00F64F75"/>
    <w:rsid w:val="00F651B6"/>
    <w:rsid w:val="00F656F9"/>
    <w:rsid w:val="00F66632"/>
    <w:rsid w:val="00F67602"/>
    <w:rsid w:val="00F6796A"/>
    <w:rsid w:val="00F708E7"/>
    <w:rsid w:val="00F709A7"/>
    <w:rsid w:val="00F70DC7"/>
    <w:rsid w:val="00F71615"/>
    <w:rsid w:val="00F72A92"/>
    <w:rsid w:val="00F73237"/>
    <w:rsid w:val="00F7498D"/>
    <w:rsid w:val="00F751CF"/>
    <w:rsid w:val="00F76D68"/>
    <w:rsid w:val="00F7725F"/>
    <w:rsid w:val="00F805A7"/>
    <w:rsid w:val="00F816A4"/>
    <w:rsid w:val="00F818E8"/>
    <w:rsid w:val="00F82AFE"/>
    <w:rsid w:val="00F83534"/>
    <w:rsid w:val="00F85A5C"/>
    <w:rsid w:val="00F85CE6"/>
    <w:rsid w:val="00F85EAB"/>
    <w:rsid w:val="00F868D7"/>
    <w:rsid w:val="00F9162B"/>
    <w:rsid w:val="00F918E4"/>
    <w:rsid w:val="00F91ADA"/>
    <w:rsid w:val="00F91C50"/>
    <w:rsid w:val="00F93599"/>
    <w:rsid w:val="00F93B5F"/>
    <w:rsid w:val="00F945DB"/>
    <w:rsid w:val="00F94A91"/>
    <w:rsid w:val="00F953EC"/>
    <w:rsid w:val="00F95D04"/>
    <w:rsid w:val="00F96346"/>
    <w:rsid w:val="00F96895"/>
    <w:rsid w:val="00F97851"/>
    <w:rsid w:val="00F97AE1"/>
    <w:rsid w:val="00FA00B4"/>
    <w:rsid w:val="00FA094C"/>
    <w:rsid w:val="00FA10F1"/>
    <w:rsid w:val="00FA18A9"/>
    <w:rsid w:val="00FA2297"/>
    <w:rsid w:val="00FA3155"/>
    <w:rsid w:val="00FA5F76"/>
    <w:rsid w:val="00FA79C9"/>
    <w:rsid w:val="00FA7DDE"/>
    <w:rsid w:val="00FB03C2"/>
    <w:rsid w:val="00FB0A85"/>
    <w:rsid w:val="00FB27CB"/>
    <w:rsid w:val="00FC0060"/>
    <w:rsid w:val="00FC083A"/>
    <w:rsid w:val="00FC250E"/>
    <w:rsid w:val="00FC480B"/>
    <w:rsid w:val="00FC55DC"/>
    <w:rsid w:val="00FC6206"/>
    <w:rsid w:val="00FC65F6"/>
    <w:rsid w:val="00FC7776"/>
    <w:rsid w:val="00FD0215"/>
    <w:rsid w:val="00FD2856"/>
    <w:rsid w:val="00FD2DBE"/>
    <w:rsid w:val="00FD2E1B"/>
    <w:rsid w:val="00FD450C"/>
    <w:rsid w:val="00FD5347"/>
    <w:rsid w:val="00FD621F"/>
    <w:rsid w:val="00FD6C7F"/>
    <w:rsid w:val="00FD6D52"/>
    <w:rsid w:val="00FD772A"/>
    <w:rsid w:val="00FD7DA2"/>
    <w:rsid w:val="00FE3CA6"/>
    <w:rsid w:val="00FE3EF9"/>
    <w:rsid w:val="00FE4DFE"/>
    <w:rsid w:val="00FE4EE8"/>
    <w:rsid w:val="00FE5CE7"/>
    <w:rsid w:val="00FE5E75"/>
    <w:rsid w:val="00FE5F31"/>
    <w:rsid w:val="00FE5F5E"/>
    <w:rsid w:val="00FF0335"/>
    <w:rsid w:val="00FF0A15"/>
    <w:rsid w:val="00FF205C"/>
    <w:rsid w:val="00FF209A"/>
    <w:rsid w:val="00FF23E0"/>
    <w:rsid w:val="00FF2865"/>
    <w:rsid w:val="00FF2AC1"/>
    <w:rsid w:val="00FF2F1E"/>
    <w:rsid w:val="00FF3C42"/>
    <w:rsid w:val="00FF531A"/>
    <w:rsid w:val="00FF5F15"/>
    <w:rsid w:val="00FF72D4"/>
    <w:rsid w:val="00FF7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BB"/>
    <w:pPr>
      <w:ind w:firstLine="720"/>
    </w:pPr>
  </w:style>
  <w:style w:type="paragraph" w:styleId="Heading1">
    <w:name w:val="heading 1"/>
    <w:basedOn w:val="Normal"/>
    <w:next w:val="Normal"/>
    <w:link w:val="Heading1Char"/>
    <w:uiPriority w:val="1"/>
    <w:qFormat/>
    <w:rsid w:val="009B1C57"/>
    <w:pPr>
      <w:keepNext/>
      <w:numPr>
        <w:numId w:val="17"/>
      </w:numPr>
      <w:spacing w:after="120" w:line="240" w:lineRule="auto"/>
      <w:jc w:val="center"/>
      <w:outlineLvl w:val="0"/>
    </w:pPr>
    <w:rPr>
      <w:rFonts w:cs="Times New Roman"/>
      <w:b/>
      <w:bCs/>
      <w:caps/>
    </w:rPr>
  </w:style>
  <w:style w:type="paragraph" w:styleId="Heading2">
    <w:name w:val="heading 2"/>
    <w:basedOn w:val="ListParagraph"/>
    <w:next w:val="Normal"/>
    <w:link w:val="Heading2Char"/>
    <w:uiPriority w:val="2"/>
    <w:qFormat/>
    <w:rsid w:val="006D5E06"/>
    <w:pPr>
      <w:keepNext/>
      <w:numPr>
        <w:numId w:val="2"/>
      </w:numPr>
      <w:tabs>
        <w:tab w:val="left" w:pos="360"/>
      </w:tabs>
      <w:spacing w:after="120" w:line="240" w:lineRule="auto"/>
      <w:ind w:left="720"/>
      <w:outlineLvl w:val="1"/>
    </w:pPr>
    <w:rPr>
      <w:rFonts w:cs="Times New Roman"/>
      <w:b/>
      <w:i/>
    </w:rPr>
  </w:style>
  <w:style w:type="paragraph" w:styleId="Heading3">
    <w:name w:val="heading 3"/>
    <w:basedOn w:val="ListParagraph"/>
    <w:next w:val="Normal"/>
    <w:link w:val="Heading3Char"/>
    <w:uiPriority w:val="3"/>
    <w:qFormat/>
    <w:rsid w:val="000775C3"/>
    <w:pPr>
      <w:keepNext/>
      <w:numPr>
        <w:numId w:val="3"/>
      </w:numPr>
      <w:spacing w:after="120" w:line="240" w:lineRule="auto"/>
      <w:outlineLvl w:val="2"/>
    </w:pPr>
    <w:rPr>
      <w:rFonts w:cs="Times New Roman"/>
      <w:b/>
    </w:rPr>
  </w:style>
  <w:style w:type="paragraph" w:styleId="Heading4">
    <w:name w:val="heading 4"/>
    <w:basedOn w:val="ListParagraph"/>
    <w:next w:val="Normal"/>
    <w:link w:val="Heading4Char"/>
    <w:uiPriority w:val="4"/>
    <w:qFormat/>
    <w:rsid w:val="000775C3"/>
    <w:pPr>
      <w:keepNext/>
      <w:numPr>
        <w:numId w:val="4"/>
      </w:numPr>
      <w:spacing w:after="120" w:line="240" w:lineRule="auto"/>
      <w:outlineLvl w:val="3"/>
    </w:pPr>
    <w:rPr>
      <w:rFonts w:cs="Times New Roman"/>
      <w:i/>
      <w:iCs/>
    </w:rPr>
  </w:style>
  <w:style w:type="paragraph" w:styleId="Heading5">
    <w:name w:val="heading 5"/>
    <w:basedOn w:val="Normal"/>
    <w:next w:val="Normal"/>
    <w:link w:val="Heading5Char"/>
    <w:uiPriority w:val="9"/>
    <w:unhideWhenUsed/>
    <w:rsid w:val="000775C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B1C57"/>
    <w:rPr>
      <w:rFonts w:cs="Times New Roman"/>
      <w:b/>
      <w:bCs/>
      <w:caps/>
    </w:rPr>
  </w:style>
  <w:style w:type="paragraph" w:styleId="Header">
    <w:name w:val="header"/>
    <w:basedOn w:val="Normal"/>
    <w:link w:val="HeaderChar"/>
    <w:uiPriority w:val="99"/>
    <w:unhideWhenUsed/>
    <w:rsid w:val="00737B68"/>
    <w:pPr>
      <w:tabs>
        <w:tab w:val="left" w:pos="720"/>
        <w:tab w:val="center" w:pos="4680"/>
        <w:tab w:val="right" w:pos="9360"/>
      </w:tabs>
      <w:spacing w:line="240" w:lineRule="auto"/>
    </w:pPr>
    <w:rPr>
      <w:rFonts w:cs="Times New Roman"/>
    </w:rPr>
  </w:style>
  <w:style w:type="character" w:customStyle="1" w:styleId="HeaderChar">
    <w:name w:val="Header Char"/>
    <w:basedOn w:val="DefaultParagraphFont"/>
    <w:link w:val="Header"/>
    <w:uiPriority w:val="99"/>
    <w:rsid w:val="00737B68"/>
    <w:rPr>
      <w:rFonts w:cs="Times New Roman"/>
    </w:rPr>
  </w:style>
  <w:style w:type="paragraph" w:styleId="Footer">
    <w:name w:val="footer"/>
    <w:basedOn w:val="Normal"/>
    <w:link w:val="FooterChar"/>
    <w:uiPriority w:val="99"/>
    <w:unhideWhenUsed/>
    <w:rsid w:val="00737B68"/>
    <w:pPr>
      <w:tabs>
        <w:tab w:val="left" w:pos="720"/>
        <w:tab w:val="center" w:pos="4680"/>
        <w:tab w:val="right" w:pos="9360"/>
      </w:tabs>
      <w:spacing w:line="240" w:lineRule="auto"/>
    </w:pPr>
    <w:rPr>
      <w:rFonts w:cs="Times New Roman"/>
    </w:rPr>
  </w:style>
  <w:style w:type="character" w:customStyle="1" w:styleId="FooterChar">
    <w:name w:val="Footer Char"/>
    <w:basedOn w:val="DefaultParagraphFont"/>
    <w:link w:val="Footer"/>
    <w:uiPriority w:val="99"/>
    <w:rsid w:val="00737B68"/>
    <w:rPr>
      <w:rFonts w:cs="Times New Roman"/>
    </w:rPr>
  </w:style>
  <w:style w:type="character" w:customStyle="1" w:styleId="Heading2Char">
    <w:name w:val="Heading 2 Char"/>
    <w:basedOn w:val="DefaultParagraphFont"/>
    <w:link w:val="Heading2"/>
    <w:uiPriority w:val="2"/>
    <w:rsid w:val="006D5E06"/>
    <w:rPr>
      <w:rFonts w:cs="Times New Roman"/>
      <w:b/>
      <w:i/>
    </w:rPr>
  </w:style>
  <w:style w:type="character" w:customStyle="1" w:styleId="Heading3Char">
    <w:name w:val="Heading 3 Char"/>
    <w:basedOn w:val="DefaultParagraphFont"/>
    <w:link w:val="Heading3"/>
    <w:uiPriority w:val="3"/>
    <w:rsid w:val="00944C2C"/>
    <w:rPr>
      <w:rFonts w:cs="Times New Roman"/>
      <w:b/>
    </w:rPr>
  </w:style>
  <w:style w:type="character" w:customStyle="1" w:styleId="Heading4Char">
    <w:name w:val="Heading 4 Char"/>
    <w:basedOn w:val="DefaultParagraphFont"/>
    <w:link w:val="Heading4"/>
    <w:uiPriority w:val="4"/>
    <w:rsid w:val="00944C2C"/>
    <w:rPr>
      <w:rFonts w:cs="Times New Roman"/>
      <w:i/>
      <w:iCs/>
    </w:rPr>
  </w:style>
  <w:style w:type="paragraph" w:styleId="FootnoteText">
    <w:name w:val="footnote text"/>
    <w:basedOn w:val="Normal"/>
    <w:link w:val="FootnoteTextChar"/>
    <w:uiPriority w:val="99"/>
    <w:unhideWhenUsed/>
    <w:rsid w:val="00DB0E83"/>
    <w:pPr>
      <w:spacing w:after="120" w:line="240" w:lineRule="auto"/>
    </w:pPr>
    <w:rPr>
      <w:szCs w:val="20"/>
    </w:rPr>
  </w:style>
  <w:style w:type="character" w:customStyle="1" w:styleId="FootnoteTextChar">
    <w:name w:val="Footnote Text Char"/>
    <w:basedOn w:val="DefaultParagraphFont"/>
    <w:link w:val="FootnoteText"/>
    <w:uiPriority w:val="99"/>
    <w:rsid w:val="00DB0E83"/>
    <w:rPr>
      <w:szCs w:val="20"/>
    </w:rPr>
  </w:style>
  <w:style w:type="character" w:styleId="FootnoteReference">
    <w:name w:val="footnote reference"/>
    <w:basedOn w:val="DefaultParagraphFont"/>
    <w:uiPriority w:val="99"/>
    <w:semiHidden/>
    <w:unhideWhenUsed/>
    <w:rsid w:val="00737B68"/>
    <w:rPr>
      <w:vertAlign w:val="superscript"/>
    </w:rPr>
  </w:style>
  <w:style w:type="paragraph" w:styleId="ListParagraph">
    <w:name w:val="List Paragraph"/>
    <w:basedOn w:val="Normal"/>
    <w:uiPriority w:val="34"/>
    <w:rsid w:val="000775C3"/>
    <w:pPr>
      <w:ind w:left="720"/>
      <w:contextualSpacing/>
    </w:pPr>
  </w:style>
  <w:style w:type="paragraph" w:customStyle="1" w:styleId="Footnote">
    <w:name w:val="Footnote"/>
    <w:basedOn w:val="FootnoteText"/>
    <w:link w:val="FootnoteChar"/>
    <w:uiPriority w:val="9"/>
    <w:qFormat/>
    <w:rsid w:val="00750DF6"/>
    <w:rPr>
      <w:szCs w:val="26"/>
    </w:rPr>
  </w:style>
  <w:style w:type="character" w:customStyle="1" w:styleId="Heading5Char">
    <w:name w:val="Heading 5 Char"/>
    <w:basedOn w:val="DefaultParagraphFont"/>
    <w:link w:val="Heading5"/>
    <w:uiPriority w:val="9"/>
    <w:rsid w:val="000775C3"/>
    <w:rPr>
      <w:rFonts w:asciiTheme="majorHAnsi" w:eastAsiaTheme="majorEastAsia" w:hAnsiTheme="majorHAnsi" w:cstheme="majorBidi"/>
      <w:color w:val="2F5496" w:themeColor="accent1" w:themeShade="BF"/>
    </w:rPr>
  </w:style>
  <w:style w:type="character" w:customStyle="1" w:styleId="FootnoteChar">
    <w:name w:val="Footnote Char"/>
    <w:basedOn w:val="FootnoteTextChar"/>
    <w:link w:val="Footnote"/>
    <w:uiPriority w:val="9"/>
    <w:rsid w:val="00750DF6"/>
    <w:rPr>
      <w:szCs w:val="20"/>
    </w:rPr>
  </w:style>
  <w:style w:type="paragraph" w:customStyle="1" w:styleId="FootnoteText0">
    <w:name w:val="FootnoteText"/>
    <w:basedOn w:val="ListParagraph"/>
    <w:uiPriority w:val="99"/>
    <w:semiHidden/>
    <w:rsid w:val="00146202"/>
  </w:style>
  <w:style w:type="character" w:styleId="CommentReference">
    <w:name w:val="annotation reference"/>
    <w:basedOn w:val="DefaultParagraphFont"/>
    <w:uiPriority w:val="99"/>
    <w:semiHidden/>
    <w:unhideWhenUsed/>
    <w:rsid w:val="00F56375"/>
    <w:rPr>
      <w:sz w:val="16"/>
      <w:szCs w:val="16"/>
    </w:rPr>
  </w:style>
  <w:style w:type="paragraph" w:styleId="CommentText">
    <w:name w:val="annotation text"/>
    <w:basedOn w:val="Normal"/>
    <w:link w:val="CommentTextChar"/>
    <w:uiPriority w:val="99"/>
    <w:unhideWhenUsed/>
    <w:rsid w:val="00F56375"/>
    <w:pPr>
      <w:spacing w:line="240" w:lineRule="auto"/>
    </w:pPr>
    <w:rPr>
      <w:sz w:val="20"/>
      <w:szCs w:val="20"/>
    </w:rPr>
  </w:style>
  <w:style w:type="character" w:customStyle="1" w:styleId="CommentTextChar">
    <w:name w:val="Comment Text Char"/>
    <w:basedOn w:val="DefaultParagraphFont"/>
    <w:link w:val="CommentText"/>
    <w:uiPriority w:val="99"/>
    <w:rsid w:val="00F56375"/>
    <w:rPr>
      <w:sz w:val="20"/>
      <w:szCs w:val="20"/>
    </w:rPr>
  </w:style>
  <w:style w:type="paragraph" w:styleId="CommentSubject">
    <w:name w:val="annotation subject"/>
    <w:basedOn w:val="CommentText"/>
    <w:next w:val="CommentText"/>
    <w:link w:val="CommentSubjectChar"/>
    <w:uiPriority w:val="99"/>
    <w:semiHidden/>
    <w:unhideWhenUsed/>
    <w:rsid w:val="00F56375"/>
    <w:rPr>
      <w:b/>
      <w:bCs/>
    </w:rPr>
  </w:style>
  <w:style w:type="character" w:customStyle="1" w:styleId="CommentSubjectChar">
    <w:name w:val="Comment Subject Char"/>
    <w:basedOn w:val="CommentTextChar"/>
    <w:link w:val="CommentSubject"/>
    <w:uiPriority w:val="99"/>
    <w:semiHidden/>
    <w:rsid w:val="00F56375"/>
    <w:rPr>
      <w:b/>
      <w:bCs/>
      <w:sz w:val="20"/>
      <w:szCs w:val="20"/>
    </w:rPr>
  </w:style>
  <w:style w:type="paragraph" w:styleId="Revision">
    <w:name w:val="Revision"/>
    <w:hidden/>
    <w:uiPriority w:val="99"/>
    <w:semiHidden/>
    <w:rsid w:val="009F13A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0B91E-9B44-4130-AE4A-E9654B8B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5134</Words>
  <Characters>28000</Characters>
  <Application>Microsoft Office Word</Application>
  <DocSecurity>0</DocSecurity>
  <Lines>497</Lines>
  <Paragraphs>78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2023-02-02T20:56:00Z</dcterms:created>
  <dcterms:modified xsi:type="dcterms:W3CDTF">2023-02-02T20:56:00Z</dcterms:modified>
  <cp:category/>
</cp:coreProperties>
</file>