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A02F" w14:textId="3255A9C2" w:rsidR="00C65C70" w:rsidRPr="007B6137" w:rsidRDefault="00962968" w:rsidP="00BC1B67">
      <w:pPr>
        <w:spacing w:line="240" w:lineRule="auto"/>
        <w:jc w:val="center"/>
        <w:rPr>
          <w:sz w:val="20"/>
          <w:szCs w:val="26"/>
        </w:rPr>
      </w:pPr>
      <w:r w:rsidRPr="007B6137">
        <w:rPr>
          <w:sz w:val="20"/>
          <w:szCs w:val="26"/>
        </w:rPr>
        <w:t>Filed 6/28/22</w:t>
      </w:r>
      <w:bookmarkStart w:id="0" w:name="_Hlk91684443"/>
      <w:r w:rsidR="00BC1B67" w:rsidRPr="00FC016A">
        <w:rPr>
          <w:sz w:val="20"/>
        </w:rPr>
        <w:t>; REVIEW GRANTED.  See Cal. Rules of Court, rules 8.1105 and 8.1115 (and corresponding Comment, par. 2, concerning rule 8.1115(e)(3)).</w:t>
      </w:r>
      <w:bookmarkEnd w:id="0"/>
    </w:p>
    <w:p w14:paraId="601E298D" w14:textId="77777777" w:rsidR="00C65C70" w:rsidRDefault="00962968" w:rsidP="00C65C70">
      <w:pPr>
        <w:spacing w:line="240" w:lineRule="auto"/>
        <w:jc w:val="center"/>
        <w:rPr>
          <w:rFonts w:ascii="Century Schoolbook" w:hAnsi="Century Schoolbook"/>
          <w:b/>
          <w:szCs w:val="26"/>
        </w:rPr>
      </w:pPr>
      <w:r>
        <w:rPr>
          <w:rFonts w:ascii="Century Schoolbook" w:hAnsi="Century Schoolbook"/>
          <w:b/>
          <w:szCs w:val="26"/>
        </w:rPr>
        <w:t>CERTIFIED FOR PUBLICATION</w:t>
      </w:r>
    </w:p>
    <w:p w14:paraId="002CF772" w14:textId="77777777" w:rsidR="00C65C70" w:rsidRDefault="00962968" w:rsidP="00C65C70">
      <w:pPr>
        <w:spacing w:line="240" w:lineRule="auto"/>
        <w:jc w:val="center"/>
        <w:rPr>
          <w:rFonts w:ascii="Century Schoolbook" w:hAnsi="Century Schoolbook"/>
          <w:szCs w:val="26"/>
        </w:rPr>
      </w:pPr>
    </w:p>
    <w:p w14:paraId="581D6F22" w14:textId="77777777" w:rsidR="00F94B28" w:rsidRPr="003C38B8" w:rsidRDefault="00962968" w:rsidP="00C65C70">
      <w:pPr>
        <w:spacing w:line="240" w:lineRule="auto"/>
        <w:jc w:val="center"/>
        <w:rPr>
          <w:rFonts w:ascii="Century Schoolbook" w:hAnsi="Century Schoolbook"/>
          <w:szCs w:val="26"/>
        </w:rPr>
      </w:pPr>
      <w:r w:rsidRPr="003C38B8">
        <w:rPr>
          <w:rFonts w:ascii="Century Schoolbook" w:hAnsi="Century Schoolbook"/>
          <w:szCs w:val="26"/>
        </w:rPr>
        <w:t>IN THE COURT OF APPEAL OF THE STATE OF CALIFORNIA</w:t>
      </w:r>
    </w:p>
    <w:p w14:paraId="7C3D5752" w14:textId="77777777" w:rsidR="00C0565C" w:rsidRPr="003C38B8" w:rsidRDefault="00962968" w:rsidP="00C0565C">
      <w:pPr>
        <w:spacing w:line="240" w:lineRule="auto"/>
        <w:jc w:val="center"/>
        <w:rPr>
          <w:rFonts w:ascii="Century Schoolbook" w:hAnsi="Century Schoolbook"/>
          <w:szCs w:val="26"/>
        </w:rPr>
      </w:pPr>
    </w:p>
    <w:p w14:paraId="584BE990" w14:textId="77777777" w:rsidR="00C0565C" w:rsidRPr="003C38B8" w:rsidRDefault="00962968" w:rsidP="00C0565C">
      <w:pPr>
        <w:spacing w:line="240" w:lineRule="auto"/>
        <w:jc w:val="center"/>
        <w:rPr>
          <w:rFonts w:ascii="Century Schoolbook" w:hAnsi="Century Schoolbook"/>
          <w:szCs w:val="26"/>
        </w:rPr>
      </w:pPr>
      <w:r w:rsidRPr="003C38B8">
        <w:rPr>
          <w:rFonts w:ascii="Century Schoolbook" w:hAnsi="Century Schoolbook"/>
          <w:szCs w:val="26"/>
        </w:rPr>
        <w:t>FIRST APPELLATE DISTRICT</w:t>
      </w:r>
    </w:p>
    <w:p w14:paraId="734C0E0E" w14:textId="77777777" w:rsidR="00C0565C" w:rsidRPr="003C38B8" w:rsidRDefault="00962968" w:rsidP="00C0565C">
      <w:pPr>
        <w:spacing w:line="240" w:lineRule="auto"/>
        <w:jc w:val="center"/>
        <w:rPr>
          <w:rFonts w:ascii="Century Schoolbook" w:hAnsi="Century Schoolbook"/>
          <w:szCs w:val="26"/>
        </w:rPr>
      </w:pPr>
    </w:p>
    <w:p w14:paraId="47C419A2" w14:textId="77777777" w:rsidR="00C0565C" w:rsidRPr="003C38B8" w:rsidRDefault="00962968" w:rsidP="00C0565C">
      <w:pPr>
        <w:spacing w:line="240" w:lineRule="auto"/>
        <w:jc w:val="center"/>
        <w:rPr>
          <w:rFonts w:ascii="Century Schoolbook" w:hAnsi="Century Schoolbook"/>
          <w:szCs w:val="26"/>
        </w:rPr>
      </w:pPr>
      <w:r w:rsidRPr="003C38B8">
        <w:rPr>
          <w:rFonts w:ascii="Century Schoolbook" w:hAnsi="Century Schoolbook"/>
          <w:szCs w:val="26"/>
        </w:rPr>
        <w:t>DIVISION ONE</w:t>
      </w:r>
    </w:p>
    <w:p w14:paraId="42858551" w14:textId="77777777" w:rsidR="00C0565C" w:rsidRPr="003C38B8" w:rsidRDefault="00962968" w:rsidP="00C0565C">
      <w:pPr>
        <w:spacing w:line="240" w:lineRule="auto"/>
        <w:jc w:val="center"/>
        <w:rPr>
          <w:rFonts w:ascii="Century Schoolbook" w:hAnsi="Century Schoolbook"/>
          <w:szCs w:val="26"/>
        </w:rPr>
      </w:pPr>
    </w:p>
    <w:tbl>
      <w:tblPr>
        <w:tblW w:w="0" w:type="auto"/>
        <w:tblLayout w:type="fixed"/>
        <w:tblLook w:val="0000" w:firstRow="0" w:lastRow="0" w:firstColumn="0" w:lastColumn="0" w:noHBand="0" w:noVBand="0"/>
      </w:tblPr>
      <w:tblGrid>
        <w:gridCol w:w="4680"/>
        <w:gridCol w:w="4680"/>
      </w:tblGrid>
      <w:tr w:rsidR="00282865" w14:paraId="24067FEE" w14:textId="77777777" w:rsidTr="00C0565C">
        <w:tc>
          <w:tcPr>
            <w:tcW w:w="4680" w:type="dxa"/>
            <w:tcBorders>
              <w:bottom w:val="single" w:sz="4" w:space="0" w:color="auto"/>
              <w:right w:val="single" w:sz="4" w:space="0" w:color="auto"/>
            </w:tcBorders>
            <w:shd w:val="clear" w:color="auto" w:fill="auto"/>
          </w:tcPr>
          <w:p w14:paraId="1758413B" w14:textId="77777777" w:rsidR="00C0565C" w:rsidRPr="003C38B8" w:rsidRDefault="00962968" w:rsidP="00C0565C">
            <w:pPr>
              <w:spacing w:after="120" w:line="240" w:lineRule="auto"/>
              <w:rPr>
                <w:rFonts w:ascii="Century Schoolbook" w:hAnsi="Century Schoolbook"/>
                <w:szCs w:val="26"/>
              </w:rPr>
            </w:pPr>
            <w:r>
              <w:rPr>
                <w:rFonts w:ascii="Century Schoolbook" w:hAnsi="Century Schoolbook"/>
                <w:szCs w:val="26"/>
              </w:rPr>
              <w:t>ELSIE SEVIOUR-ILOFF</w:t>
            </w:r>
            <w:r w:rsidRPr="003C38B8">
              <w:rPr>
                <w:rFonts w:ascii="Century Schoolbook" w:hAnsi="Century Schoolbook"/>
                <w:szCs w:val="26"/>
              </w:rPr>
              <w:t>,</w:t>
            </w:r>
          </w:p>
          <w:p w14:paraId="2FCB2EE1" w14:textId="77777777" w:rsidR="00C0565C" w:rsidRPr="003C38B8" w:rsidRDefault="00962968" w:rsidP="00C0565C">
            <w:pPr>
              <w:spacing w:after="120" w:line="240" w:lineRule="auto"/>
              <w:rPr>
                <w:rFonts w:ascii="Century Schoolbook" w:hAnsi="Century Schoolbook"/>
                <w:szCs w:val="26"/>
              </w:rPr>
            </w:pPr>
            <w:r w:rsidRPr="003C38B8">
              <w:rPr>
                <w:rFonts w:ascii="Century Schoolbook" w:hAnsi="Century Schoolbook"/>
                <w:szCs w:val="26"/>
              </w:rPr>
              <w:tab/>
              <w:t xml:space="preserve">Plaintiff and </w:t>
            </w:r>
            <w:r>
              <w:rPr>
                <w:rFonts w:ascii="Century Schoolbook" w:hAnsi="Century Schoolbook"/>
                <w:szCs w:val="26"/>
              </w:rPr>
              <w:t>Appellant</w:t>
            </w:r>
            <w:r w:rsidRPr="003C38B8">
              <w:rPr>
                <w:rFonts w:ascii="Century Schoolbook" w:hAnsi="Century Schoolbook"/>
                <w:szCs w:val="26"/>
              </w:rPr>
              <w:t>,</w:t>
            </w:r>
          </w:p>
          <w:p w14:paraId="20D23B4B" w14:textId="77777777" w:rsidR="00C0565C" w:rsidRPr="003C38B8" w:rsidRDefault="00962968" w:rsidP="00C0565C">
            <w:pPr>
              <w:spacing w:after="120" w:line="240" w:lineRule="auto"/>
              <w:rPr>
                <w:rFonts w:ascii="Century Schoolbook" w:hAnsi="Century Schoolbook"/>
                <w:szCs w:val="26"/>
              </w:rPr>
            </w:pPr>
            <w:r w:rsidRPr="003C38B8">
              <w:rPr>
                <w:rFonts w:ascii="Century Schoolbook" w:hAnsi="Century Schoolbook"/>
                <w:szCs w:val="26"/>
              </w:rPr>
              <w:t>v.</w:t>
            </w:r>
          </w:p>
          <w:p w14:paraId="3C395FA6" w14:textId="77777777" w:rsidR="00C0565C" w:rsidRPr="003C38B8" w:rsidRDefault="00962968" w:rsidP="00C0565C">
            <w:pPr>
              <w:spacing w:after="120" w:line="240" w:lineRule="auto"/>
              <w:rPr>
                <w:rFonts w:ascii="Century Schoolbook" w:hAnsi="Century Schoolbook"/>
                <w:szCs w:val="26"/>
              </w:rPr>
            </w:pPr>
            <w:r>
              <w:rPr>
                <w:rFonts w:ascii="Century Schoolbook" w:hAnsi="Century Schoolbook"/>
                <w:szCs w:val="26"/>
              </w:rPr>
              <w:t>CYNTHIA L</w:t>
            </w:r>
            <w:r w:rsidRPr="00BB6A52">
              <w:rPr>
                <w:rFonts w:ascii="Century Schoolbook" w:hAnsi="Century Schoolbook"/>
                <w:smallCaps/>
                <w:szCs w:val="26"/>
              </w:rPr>
              <w:t>a</w:t>
            </w:r>
            <w:r>
              <w:rPr>
                <w:rFonts w:ascii="Century Schoolbook" w:hAnsi="Century Schoolbook"/>
                <w:szCs w:val="26"/>
              </w:rPr>
              <w:t>PAILLE et al.</w:t>
            </w:r>
            <w:r w:rsidRPr="003C38B8">
              <w:rPr>
                <w:rFonts w:ascii="Century Schoolbook" w:hAnsi="Century Schoolbook"/>
                <w:szCs w:val="26"/>
              </w:rPr>
              <w:t>,</w:t>
            </w:r>
          </w:p>
          <w:p w14:paraId="00172E03" w14:textId="77777777" w:rsidR="00C0565C" w:rsidRPr="003C38B8" w:rsidRDefault="00962968" w:rsidP="00C0565C">
            <w:pPr>
              <w:spacing w:after="120" w:line="240" w:lineRule="auto"/>
              <w:rPr>
                <w:rFonts w:ascii="Century Schoolbook" w:hAnsi="Century Schoolbook"/>
                <w:szCs w:val="26"/>
              </w:rPr>
            </w:pPr>
            <w:r w:rsidRPr="003C38B8">
              <w:rPr>
                <w:rFonts w:ascii="Century Schoolbook" w:hAnsi="Century Schoolbook"/>
                <w:szCs w:val="26"/>
              </w:rPr>
              <w:tab/>
              <w:t>Defendant</w:t>
            </w:r>
            <w:r>
              <w:rPr>
                <w:rFonts w:ascii="Century Schoolbook" w:hAnsi="Century Schoolbook"/>
                <w:szCs w:val="26"/>
              </w:rPr>
              <w:t>s</w:t>
            </w:r>
            <w:r w:rsidRPr="003C38B8">
              <w:rPr>
                <w:rFonts w:ascii="Century Schoolbook" w:hAnsi="Century Schoolbook"/>
                <w:szCs w:val="26"/>
              </w:rPr>
              <w:t xml:space="preserve"> and </w:t>
            </w:r>
            <w:r>
              <w:rPr>
                <w:rFonts w:ascii="Century Schoolbook" w:hAnsi="Century Schoolbook"/>
                <w:szCs w:val="26"/>
              </w:rPr>
              <w:t>Respondents.</w:t>
            </w:r>
          </w:p>
        </w:tc>
        <w:tc>
          <w:tcPr>
            <w:tcW w:w="4680" w:type="dxa"/>
            <w:tcBorders>
              <w:left w:val="single" w:sz="4" w:space="0" w:color="auto"/>
            </w:tcBorders>
            <w:shd w:val="clear" w:color="auto" w:fill="auto"/>
          </w:tcPr>
          <w:p w14:paraId="144CE03D" w14:textId="77777777" w:rsidR="00C0565C" w:rsidRPr="003C38B8" w:rsidRDefault="00962968" w:rsidP="00C0565C">
            <w:pPr>
              <w:spacing w:line="240" w:lineRule="auto"/>
              <w:rPr>
                <w:rFonts w:ascii="Century Schoolbook" w:hAnsi="Century Schoolbook"/>
                <w:szCs w:val="26"/>
              </w:rPr>
            </w:pPr>
          </w:p>
          <w:p w14:paraId="64435203" w14:textId="77777777" w:rsidR="00C0565C" w:rsidRPr="003C38B8" w:rsidRDefault="00962968" w:rsidP="00C0565C">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A163503</w:t>
            </w:r>
          </w:p>
          <w:p w14:paraId="05AE1A06" w14:textId="77777777" w:rsidR="00C0565C" w:rsidRPr="003C38B8" w:rsidRDefault="00962968" w:rsidP="00C0565C">
            <w:pPr>
              <w:spacing w:line="240" w:lineRule="auto"/>
              <w:rPr>
                <w:rFonts w:ascii="Century Schoolbook" w:hAnsi="Century Schoolbook"/>
                <w:szCs w:val="26"/>
              </w:rPr>
            </w:pPr>
          </w:p>
          <w:p w14:paraId="03290CC9" w14:textId="77777777" w:rsidR="00C0565C" w:rsidRPr="003C38B8" w:rsidRDefault="00962968" w:rsidP="00C0565C">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 xml:space="preserve">Humboldt </w:t>
            </w:r>
            <w:r w:rsidRPr="003C38B8">
              <w:rPr>
                <w:rFonts w:ascii="Century Schoolbook" w:hAnsi="Century Schoolbook"/>
                <w:szCs w:val="26"/>
              </w:rPr>
              <w:t>County</w:t>
            </w:r>
          </w:p>
          <w:p w14:paraId="58DC1BC3" w14:textId="77777777" w:rsidR="00C0565C" w:rsidRPr="003C38B8" w:rsidRDefault="00962968" w:rsidP="00C0565C">
            <w:pPr>
              <w:spacing w:line="240" w:lineRule="auto"/>
              <w:rPr>
                <w:rFonts w:ascii="Century Schoolbook" w:hAnsi="Century Schoolbook"/>
                <w:szCs w:val="26"/>
              </w:rPr>
            </w:pPr>
            <w:r w:rsidRPr="003C38B8">
              <w:rPr>
                <w:rFonts w:ascii="Century Schoolbook" w:hAnsi="Century Schoolbook"/>
                <w:szCs w:val="26"/>
              </w:rPr>
              <w:t xml:space="preserve">      Super. Ct. No. </w:t>
            </w:r>
            <w:r>
              <w:rPr>
                <w:rFonts w:ascii="Century Schoolbook" w:hAnsi="Century Schoolbook"/>
                <w:szCs w:val="26"/>
              </w:rPr>
              <w:t>CV2000530</w:t>
            </w:r>
            <w:r w:rsidRPr="003C38B8">
              <w:rPr>
                <w:rFonts w:ascii="Century Schoolbook" w:hAnsi="Century Schoolbook"/>
                <w:szCs w:val="26"/>
              </w:rPr>
              <w:t>)</w:t>
            </w:r>
          </w:p>
          <w:p w14:paraId="0F21F025" w14:textId="77777777" w:rsidR="00307786" w:rsidRPr="003C38B8" w:rsidRDefault="00962968" w:rsidP="00C0565C">
            <w:pPr>
              <w:spacing w:line="240" w:lineRule="auto"/>
              <w:rPr>
                <w:rFonts w:ascii="Century Schoolbook" w:hAnsi="Century Schoolbook"/>
                <w:szCs w:val="26"/>
              </w:rPr>
            </w:pPr>
          </w:p>
        </w:tc>
      </w:tr>
      <w:tr w:rsidR="00282865" w14:paraId="2225BDC3" w14:textId="77777777" w:rsidTr="00307786">
        <w:tc>
          <w:tcPr>
            <w:tcW w:w="4680" w:type="dxa"/>
            <w:tcBorders>
              <w:bottom w:val="single" w:sz="4" w:space="0" w:color="auto"/>
              <w:right w:val="single" w:sz="4" w:space="0" w:color="auto"/>
            </w:tcBorders>
            <w:shd w:val="clear" w:color="auto" w:fill="auto"/>
          </w:tcPr>
          <w:p w14:paraId="286681B0" w14:textId="77777777" w:rsidR="00307786" w:rsidRPr="003C38B8" w:rsidRDefault="00962968" w:rsidP="007B18C9">
            <w:pPr>
              <w:spacing w:before="120" w:after="120" w:line="240" w:lineRule="auto"/>
              <w:rPr>
                <w:rFonts w:ascii="Century Schoolbook" w:hAnsi="Century Schoolbook"/>
                <w:szCs w:val="26"/>
              </w:rPr>
            </w:pPr>
            <w:r>
              <w:rPr>
                <w:rFonts w:ascii="Century Schoolbook" w:hAnsi="Century Schoolbook"/>
                <w:szCs w:val="26"/>
              </w:rPr>
              <w:t>LAURANCE ILOFF</w:t>
            </w:r>
            <w:r w:rsidRPr="003C38B8">
              <w:rPr>
                <w:rFonts w:ascii="Century Schoolbook" w:hAnsi="Century Schoolbook"/>
                <w:szCs w:val="26"/>
              </w:rPr>
              <w:t>,</w:t>
            </w:r>
          </w:p>
          <w:p w14:paraId="7F8A0790" w14:textId="77777777" w:rsidR="00307786" w:rsidRPr="003C38B8" w:rsidRDefault="00962968" w:rsidP="00FE28EB">
            <w:pPr>
              <w:spacing w:after="120" w:line="240" w:lineRule="auto"/>
              <w:rPr>
                <w:rFonts w:ascii="Century Schoolbook" w:hAnsi="Century Schoolbook"/>
                <w:szCs w:val="26"/>
              </w:rPr>
            </w:pPr>
            <w:r w:rsidRPr="003C38B8">
              <w:rPr>
                <w:rFonts w:ascii="Century Schoolbook" w:hAnsi="Century Schoolbook"/>
                <w:szCs w:val="26"/>
              </w:rPr>
              <w:tab/>
              <w:t xml:space="preserve">Plaintiff and </w:t>
            </w:r>
            <w:r>
              <w:rPr>
                <w:rFonts w:ascii="Century Schoolbook" w:hAnsi="Century Schoolbook"/>
                <w:szCs w:val="26"/>
              </w:rPr>
              <w:t>Appellant</w:t>
            </w:r>
            <w:r w:rsidRPr="003C38B8">
              <w:rPr>
                <w:rFonts w:ascii="Century Schoolbook" w:hAnsi="Century Schoolbook"/>
                <w:szCs w:val="26"/>
              </w:rPr>
              <w:t>,</w:t>
            </w:r>
          </w:p>
          <w:p w14:paraId="6D511C37" w14:textId="77777777" w:rsidR="00307786" w:rsidRPr="003C38B8" w:rsidRDefault="00962968" w:rsidP="00FE28EB">
            <w:pPr>
              <w:spacing w:after="120" w:line="240" w:lineRule="auto"/>
              <w:rPr>
                <w:rFonts w:ascii="Century Schoolbook" w:hAnsi="Century Schoolbook"/>
                <w:szCs w:val="26"/>
              </w:rPr>
            </w:pPr>
            <w:r w:rsidRPr="003C38B8">
              <w:rPr>
                <w:rFonts w:ascii="Century Schoolbook" w:hAnsi="Century Schoolbook"/>
                <w:szCs w:val="26"/>
              </w:rPr>
              <w:t>v.</w:t>
            </w:r>
          </w:p>
          <w:p w14:paraId="5BB46264" w14:textId="77777777" w:rsidR="00307786" w:rsidRPr="003C38B8" w:rsidRDefault="00962968" w:rsidP="00FE28EB">
            <w:pPr>
              <w:spacing w:after="120" w:line="240" w:lineRule="auto"/>
              <w:rPr>
                <w:rFonts w:ascii="Century Schoolbook" w:hAnsi="Century Schoolbook"/>
                <w:szCs w:val="26"/>
              </w:rPr>
            </w:pPr>
            <w:r>
              <w:rPr>
                <w:rFonts w:ascii="Century Schoolbook" w:hAnsi="Century Schoolbook"/>
                <w:szCs w:val="26"/>
              </w:rPr>
              <w:t>CYNTHIA L</w:t>
            </w:r>
            <w:r w:rsidRPr="00BB6A52">
              <w:rPr>
                <w:rFonts w:ascii="Century Schoolbook" w:hAnsi="Century Schoolbook"/>
                <w:smallCaps/>
                <w:szCs w:val="26"/>
              </w:rPr>
              <w:t>a</w:t>
            </w:r>
            <w:r>
              <w:rPr>
                <w:rFonts w:ascii="Century Schoolbook" w:hAnsi="Century Schoolbook"/>
                <w:szCs w:val="26"/>
              </w:rPr>
              <w:t>PAILLE et al.</w:t>
            </w:r>
            <w:r w:rsidRPr="003C38B8">
              <w:rPr>
                <w:rFonts w:ascii="Century Schoolbook" w:hAnsi="Century Schoolbook"/>
                <w:szCs w:val="26"/>
              </w:rPr>
              <w:t>,</w:t>
            </w:r>
          </w:p>
          <w:p w14:paraId="322F6C46" w14:textId="77777777" w:rsidR="00307786" w:rsidRPr="003C38B8" w:rsidRDefault="00962968" w:rsidP="00FE28EB">
            <w:pPr>
              <w:spacing w:after="120" w:line="240" w:lineRule="auto"/>
              <w:rPr>
                <w:rFonts w:ascii="Century Schoolbook" w:hAnsi="Century Schoolbook"/>
                <w:szCs w:val="26"/>
              </w:rPr>
            </w:pPr>
            <w:r w:rsidRPr="003C38B8">
              <w:rPr>
                <w:rFonts w:ascii="Century Schoolbook" w:hAnsi="Century Schoolbook"/>
                <w:szCs w:val="26"/>
              </w:rPr>
              <w:tab/>
              <w:t>Defendant</w:t>
            </w:r>
            <w:r>
              <w:rPr>
                <w:rFonts w:ascii="Century Schoolbook" w:hAnsi="Century Schoolbook"/>
                <w:szCs w:val="26"/>
              </w:rPr>
              <w:t>s</w:t>
            </w:r>
            <w:r w:rsidRPr="003C38B8">
              <w:rPr>
                <w:rFonts w:ascii="Century Schoolbook" w:hAnsi="Century Schoolbook"/>
                <w:szCs w:val="26"/>
              </w:rPr>
              <w:t xml:space="preserve"> and </w:t>
            </w:r>
            <w:r>
              <w:rPr>
                <w:rFonts w:ascii="Century Schoolbook" w:hAnsi="Century Schoolbook"/>
                <w:szCs w:val="26"/>
              </w:rPr>
              <w:t>Respondents</w:t>
            </w:r>
            <w:r w:rsidRPr="003C38B8">
              <w:rPr>
                <w:rFonts w:ascii="Century Schoolbook" w:hAnsi="Century Schoolbook"/>
                <w:szCs w:val="26"/>
              </w:rPr>
              <w:t>.</w:t>
            </w:r>
          </w:p>
        </w:tc>
        <w:tc>
          <w:tcPr>
            <w:tcW w:w="4680" w:type="dxa"/>
            <w:tcBorders>
              <w:left w:val="single" w:sz="4" w:space="0" w:color="auto"/>
            </w:tcBorders>
            <w:shd w:val="clear" w:color="auto" w:fill="auto"/>
          </w:tcPr>
          <w:p w14:paraId="60597A04" w14:textId="77777777" w:rsidR="00307786" w:rsidRPr="003C38B8" w:rsidRDefault="00962968" w:rsidP="00FE28EB">
            <w:pPr>
              <w:spacing w:line="240" w:lineRule="auto"/>
              <w:rPr>
                <w:rFonts w:ascii="Century Schoolbook" w:hAnsi="Century Schoolbook"/>
                <w:szCs w:val="26"/>
              </w:rPr>
            </w:pPr>
          </w:p>
          <w:p w14:paraId="63AADB52" w14:textId="77777777" w:rsidR="00DA44D0" w:rsidRPr="003C38B8" w:rsidRDefault="00962968" w:rsidP="00BB6A52">
            <w:pPr>
              <w:tabs>
                <w:tab w:val="clear" w:pos="720"/>
                <w:tab w:val="left" w:pos="434"/>
              </w:tabs>
              <w:spacing w:line="240" w:lineRule="auto"/>
              <w:rPr>
                <w:rFonts w:ascii="Century Schoolbook" w:hAnsi="Century Schoolbook"/>
                <w:szCs w:val="26"/>
              </w:rPr>
            </w:pPr>
            <w:r>
              <w:rPr>
                <w:rFonts w:ascii="Century Schoolbook" w:hAnsi="Century Schoolbook"/>
                <w:szCs w:val="26"/>
              </w:rPr>
              <w:tab/>
              <w:t>A163504</w:t>
            </w:r>
          </w:p>
          <w:p w14:paraId="2CACB9E6" w14:textId="77777777" w:rsidR="00DA44D0" w:rsidRPr="003C38B8" w:rsidRDefault="00962968" w:rsidP="00DA44D0">
            <w:pPr>
              <w:spacing w:line="240" w:lineRule="auto"/>
              <w:rPr>
                <w:rFonts w:ascii="Century Schoolbook" w:hAnsi="Century Schoolbook"/>
                <w:szCs w:val="26"/>
              </w:rPr>
            </w:pPr>
          </w:p>
          <w:p w14:paraId="79646F9D" w14:textId="77777777" w:rsidR="00DA44D0" w:rsidRPr="003C38B8" w:rsidRDefault="00962968" w:rsidP="00DA44D0">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 xml:space="preserve">Humboldt </w:t>
            </w:r>
            <w:r w:rsidRPr="003C38B8">
              <w:rPr>
                <w:rFonts w:ascii="Century Schoolbook" w:hAnsi="Century Schoolbook"/>
                <w:szCs w:val="26"/>
              </w:rPr>
              <w:t>County</w:t>
            </w:r>
          </w:p>
          <w:p w14:paraId="1D1AC9AE" w14:textId="77777777" w:rsidR="00DA44D0" w:rsidRPr="003C38B8" w:rsidRDefault="00962968" w:rsidP="00DA44D0">
            <w:pPr>
              <w:spacing w:line="240" w:lineRule="auto"/>
              <w:rPr>
                <w:rFonts w:ascii="Century Schoolbook" w:hAnsi="Century Schoolbook"/>
                <w:szCs w:val="26"/>
              </w:rPr>
            </w:pPr>
            <w:r w:rsidRPr="003C38B8">
              <w:rPr>
                <w:rFonts w:ascii="Century Schoolbook" w:hAnsi="Century Schoolbook"/>
                <w:szCs w:val="26"/>
              </w:rPr>
              <w:t xml:space="preserve">      Super. Ct. No. </w:t>
            </w:r>
            <w:r>
              <w:rPr>
                <w:rFonts w:ascii="Century Schoolbook" w:hAnsi="Century Schoolbook"/>
                <w:szCs w:val="26"/>
              </w:rPr>
              <w:t>CV2000529</w:t>
            </w:r>
            <w:r w:rsidRPr="003C38B8">
              <w:rPr>
                <w:rFonts w:ascii="Century Schoolbook" w:hAnsi="Century Schoolbook"/>
                <w:szCs w:val="26"/>
              </w:rPr>
              <w:t>)</w:t>
            </w:r>
          </w:p>
          <w:p w14:paraId="27B7E491" w14:textId="77777777" w:rsidR="00307786" w:rsidRPr="003C38B8" w:rsidRDefault="00962968" w:rsidP="00FE28EB">
            <w:pPr>
              <w:spacing w:line="240" w:lineRule="auto"/>
              <w:rPr>
                <w:rFonts w:ascii="Century Schoolbook" w:hAnsi="Century Schoolbook"/>
                <w:szCs w:val="26"/>
              </w:rPr>
            </w:pPr>
          </w:p>
          <w:p w14:paraId="54C845AC" w14:textId="77777777" w:rsidR="00307786" w:rsidRPr="003C38B8" w:rsidRDefault="00962968" w:rsidP="00FE28EB">
            <w:pPr>
              <w:spacing w:line="240" w:lineRule="auto"/>
              <w:rPr>
                <w:rFonts w:ascii="Century Schoolbook" w:hAnsi="Century Schoolbook"/>
                <w:szCs w:val="26"/>
              </w:rPr>
            </w:pPr>
          </w:p>
        </w:tc>
      </w:tr>
    </w:tbl>
    <w:p w14:paraId="1CEDB95C" w14:textId="77777777" w:rsidR="00C0565C" w:rsidRPr="003C38B8" w:rsidRDefault="00962968" w:rsidP="00C0565C">
      <w:pPr>
        <w:spacing w:line="360" w:lineRule="auto"/>
        <w:rPr>
          <w:rFonts w:ascii="Century Schoolbook" w:hAnsi="Century Schoolbook"/>
          <w:szCs w:val="26"/>
        </w:rPr>
      </w:pPr>
    </w:p>
    <w:p w14:paraId="66ECB7E4" w14:textId="77777777" w:rsidR="00BB5997" w:rsidRDefault="00962968" w:rsidP="00FE28EB">
      <w:pPr>
        <w:spacing w:line="360" w:lineRule="auto"/>
        <w:rPr>
          <w:rFonts w:ascii="Century Schoolbook" w:hAnsi="Century Schoolbook"/>
          <w:szCs w:val="26"/>
        </w:rPr>
      </w:pPr>
      <w:r w:rsidRPr="003C38B8">
        <w:rPr>
          <w:rFonts w:ascii="Century Schoolbook" w:hAnsi="Century Schoolbook"/>
          <w:szCs w:val="26"/>
        </w:rPr>
        <w:tab/>
      </w:r>
      <w:r>
        <w:rPr>
          <w:rFonts w:ascii="Century Schoolbook" w:hAnsi="Century Schoolbook"/>
          <w:szCs w:val="26"/>
        </w:rPr>
        <w:t xml:space="preserve">Plaintiffs </w:t>
      </w:r>
      <w:r>
        <w:rPr>
          <w:rFonts w:ascii="Century Schoolbook" w:hAnsi="Century Schoolbook"/>
          <w:szCs w:val="26"/>
        </w:rPr>
        <w:t>Elsie Seviour-Iloff and Laurance Iloff</w:t>
      </w:r>
      <w:r>
        <w:rPr>
          <w:rStyle w:val="FootnoteReference"/>
          <w:szCs w:val="26"/>
        </w:rPr>
        <w:footnoteReference w:id="1"/>
      </w:r>
      <w:r>
        <w:rPr>
          <w:rFonts w:ascii="Century Schoolbook" w:hAnsi="Century Schoolbook"/>
          <w:szCs w:val="26"/>
        </w:rPr>
        <w:t xml:space="preserve"> (jointly, plaintiffs) filed wage claims with the Division of Labor Standards Enforcement (DLSE) against defendants Cynthia LaPaille and Bridgeville Properties, Inc. (BPI) for unpaid wages in violation of the Labor C</w:t>
      </w:r>
      <w:r>
        <w:rPr>
          <w:rFonts w:ascii="Century Schoolbook" w:hAnsi="Century Schoolbook"/>
          <w:szCs w:val="26"/>
        </w:rPr>
        <w:t>ode.  Plaintiffs received a favorable order from the Labor Commissioner, and BPI appealed to the superior court.  Following a de novo trial on the wage claims, the superior court found plaintiffs were entitled to unpaid wages and certain penalties but reje</w:t>
      </w:r>
      <w:r>
        <w:rPr>
          <w:rFonts w:ascii="Century Schoolbook" w:hAnsi="Century Schoolbook"/>
          <w:szCs w:val="26"/>
        </w:rPr>
        <w:t xml:space="preserve">cted plaintiffs’ unfair competition law (UCL; Bus. &amp; Prof. Code, § 17200 </w:t>
      </w:r>
      <w:r>
        <w:rPr>
          <w:rFonts w:ascii="Century Schoolbook" w:hAnsi="Century Schoolbook"/>
          <w:szCs w:val="26"/>
        </w:rPr>
        <w:lastRenderedPageBreak/>
        <w:t xml:space="preserve">et seq.) claims, declined to award other penalties, and did not impose personal liability on Cynthia LaPaille, the chief executive officer of BPI. </w:t>
      </w:r>
    </w:p>
    <w:p w14:paraId="22578BE2" w14:textId="77777777" w:rsidR="00FE28EB" w:rsidRPr="003C38B8" w:rsidRDefault="00962968" w:rsidP="00C06F45">
      <w:pPr>
        <w:spacing w:line="360" w:lineRule="auto"/>
        <w:rPr>
          <w:rFonts w:ascii="Century Schoolbook" w:hAnsi="Century Schoolbook"/>
          <w:szCs w:val="26"/>
        </w:rPr>
      </w:pPr>
      <w:r>
        <w:rPr>
          <w:rFonts w:ascii="Century Schoolbook" w:hAnsi="Century Schoolbook"/>
          <w:szCs w:val="26"/>
        </w:rPr>
        <w:tab/>
        <w:t xml:space="preserve">On appeal, plaintiffs </w:t>
      </w:r>
      <w:r>
        <w:rPr>
          <w:rFonts w:ascii="Century Schoolbook" w:hAnsi="Century Schoolbook"/>
          <w:szCs w:val="26"/>
        </w:rPr>
        <w:t>contend the trial court (1) miscalculated the statute of limitations when awarding unpaid wages, (2) erred in declining to impose personal liability on LaPaille, (3) erred in declining to award liquidated damages under Labor Code</w:t>
      </w:r>
      <w:r>
        <w:rPr>
          <w:rStyle w:val="FootnoteReference"/>
          <w:szCs w:val="26"/>
        </w:rPr>
        <w:footnoteReference w:id="2"/>
      </w:r>
      <w:r>
        <w:rPr>
          <w:rFonts w:ascii="Century Schoolbook" w:hAnsi="Century Schoolbook"/>
          <w:szCs w:val="26"/>
        </w:rPr>
        <w:t xml:space="preserve"> section 1194.2 or admini</w:t>
      </w:r>
      <w:r>
        <w:rPr>
          <w:rFonts w:ascii="Century Schoolbook" w:hAnsi="Century Schoolbook"/>
          <w:szCs w:val="26"/>
        </w:rPr>
        <w:t xml:space="preserve">strative penalties under section </w:t>
      </w:r>
      <w:r>
        <w:rPr>
          <w:rFonts w:ascii="Century Schoolbook" w:hAnsi="Century Schoolbook"/>
          <w:iCs/>
          <w:szCs w:val="26"/>
        </w:rPr>
        <w:t>248.5</w:t>
      </w:r>
      <w:r>
        <w:rPr>
          <w:rFonts w:ascii="Century Schoolbook" w:hAnsi="Century Schoolbook"/>
          <w:szCs w:val="26"/>
        </w:rPr>
        <w:t>, (4) abused its discretion in denying their UCL claims, and (5) miscalculated the waiting time penalties.  We conclude the trial court miscalculated the statute of limitations, and erred in declining to impose persona</w:t>
      </w:r>
      <w:r>
        <w:rPr>
          <w:rFonts w:ascii="Century Schoolbook" w:hAnsi="Century Schoolbook"/>
          <w:szCs w:val="26"/>
        </w:rPr>
        <w:t xml:space="preserve">l liability on LaPaille.  We further conclude the trial court failed to properly calculate the waiting time penalties owed to plaintiffs, and remand to the trial court to recalculate those penalties in accordance with this opinion.  In all other respects, </w:t>
      </w:r>
      <w:r>
        <w:rPr>
          <w:rFonts w:ascii="Century Schoolbook" w:hAnsi="Century Schoolbook"/>
          <w:szCs w:val="26"/>
        </w:rPr>
        <w:t>we affirm the judgment.</w:t>
      </w:r>
      <w:r>
        <w:rPr>
          <w:rStyle w:val="FootnoteReference"/>
          <w:szCs w:val="26"/>
        </w:rPr>
        <w:footnoteReference w:id="3"/>
      </w:r>
    </w:p>
    <w:p w14:paraId="139E1FB7" w14:textId="77777777" w:rsidR="00C34761" w:rsidRDefault="00962968" w:rsidP="00BB6A52">
      <w:pPr>
        <w:keepNext/>
        <w:spacing w:line="360" w:lineRule="auto"/>
        <w:jc w:val="center"/>
        <w:rPr>
          <w:rFonts w:ascii="Century Schoolbook" w:hAnsi="Century Schoolbook"/>
          <w:b/>
          <w:bCs/>
          <w:szCs w:val="26"/>
        </w:rPr>
      </w:pPr>
      <w:r w:rsidRPr="003C38B8">
        <w:rPr>
          <w:rFonts w:ascii="Century Schoolbook" w:hAnsi="Century Schoolbook"/>
          <w:b/>
          <w:bCs/>
          <w:szCs w:val="26"/>
        </w:rPr>
        <w:t>I.</w:t>
      </w:r>
    </w:p>
    <w:p w14:paraId="34337551" w14:textId="77777777" w:rsidR="00FE28EB" w:rsidRPr="003C38B8" w:rsidRDefault="00962968" w:rsidP="00BB6A52">
      <w:pPr>
        <w:keepNext/>
        <w:spacing w:line="360" w:lineRule="auto"/>
        <w:jc w:val="center"/>
        <w:rPr>
          <w:rFonts w:ascii="Century Schoolbook" w:hAnsi="Century Schoolbook"/>
          <w:b/>
          <w:bCs/>
          <w:szCs w:val="26"/>
        </w:rPr>
      </w:pPr>
      <w:r w:rsidRPr="003C38B8">
        <w:rPr>
          <w:rFonts w:ascii="Century Schoolbook" w:hAnsi="Century Schoolbook"/>
          <w:b/>
          <w:bCs/>
          <w:szCs w:val="26"/>
        </w:rPr>
        <w:t>BACKGROUND</w:t>
      </w:r>
    </w:p>
    <w:p w14:paraId="352862FE" w14:textId="77777777" w:rsidR="00FE28EB" w:rsidRPr="0007436A" w:rsidRDefault="00962968" w:rsidP="00BB6A52">
      <w:pPr>
        <w:keepNext/>
        <w:spacing w:line="360" w:lineRule="auto"/>
        <w:rPr>
          <w:rFonts w:ascii="Century Schoolbook" w:hAnsi="Century Schoolbook"/>
          <w:szCs w:val="26"/>
        </w:rPr>
      </w:pPr>
      <w:r w:rsidRPr="002046B4">
        <w:rPr>
          <w:rFonts w:ascii="Century Schoolbook" w:hAnsi="Century Schoolbook"/>
          <w:b/>
          <w:bCs/>
          <w:i/>
          <w:szCs w:val="26"/>
        </w:rPr>
        <w:t>A.</w:t>
      </w:r>
      <w:r>
        <w:rPr>
          <w:rFonts w:ascii="Century Schoolbook" w:hAnsi="Century Schoolbook"/>
          <w:b/>
          <w:bCs/>
          <w:i/>
          <w:szCs w:val="26"/>
        </w:rPr>
        <w:tab/>
      </w:r>
      <w:r w:rsidRPr="003C38B8">
        <w:rPr>
          <w:rFonts w:ascii="Century Schoolbook" w:hAnsi="Century Schoolbook"/>
          <w:b/>
          <w:bCs/>
          <w:i/>
          <w:iCs/>
          <w:szCs w:val="26"/>
        </w:rPr>
        <w:t>Statement of Facts</w:t>
      </w:r>
    </w:p>
    <w:p w14:paraId="696A7773" w14:textId="77777777" w:rsidR="00FE28EB" w:rsidRPr="005A4CDF" w:rsidRDefault="00962968" w:rsidP="00FE28EB">
      <w:pPr>
        <w:spacing w:line="360" w:lineRule="auto"/>
        <w:rPr>
          <w:rFonts w:ascii="Century Schoolbook" w:hAnsi="Century Schoolbook"/>
          <w:szCs w:val="26"/>
        </w:rPr>
      </w:pPr>
      <w:r w:rsidRPr="003C38B8">
        <w:rPr>
          <w:rFonts w:ascii="Century Schoolbook" w:hAnsi="Century Schoolbook"/>
          <w:szCs w:val="26"/>
        </w:rPr>
        <w:tab/>
      </w:r>
      <w:r>
        <w:rPr>
          <w:rFonts w:ascii="Century Schoolbook" w:hAnsi="Century Schoolbook"/>
          <w:szCs w:val="26"/>
        </w:rPr>
        <w:t xml:space="preserve">BPI owned property in unincorporated Humboldt County, California, which included eight rental units, a post office, and its own water system.  </w:t>
      </w:r>
      <w:r>
        <w:rPr>
          <w:rFonts w:ascii="Century Schoolbook" w:hAnsi="Century Schoolbook"/>
          <w:szCs w:val="26"/>
        </w:rPr>
        <w:lastRenderedPageBreak/>
        <w:t>LaPaille served as chief executive officer and chi</w:t>
      </w:r>
      <w:r>
        <w:rPr>
          <w:rFonts w:ascii="Century Schoolbook" w:hAnsi="Century Schoolbook"/>
          <w:szCs w:val="26"/>
        </w:rPr>
        <w:t>ef financial officer of BPI during the relevant time period.  Laurance requested free rent if he kept the water system running, maintained the weeds, and provided general handyman services.  Between 2009 and 2016, Laurance and Elsie performed various tasks</w:t>
      </w:r>
      <w:r>
        <w:rPr>
          <w:rFonts w:ascii="Century Schoolbook" w:hAnsi="Century Schoolbook"/>
          <w:szCs w:val="26"/>
        </w:rPr>
        <w:t xml:space="preserve"> for BPI, such as managing the water system and serving rent notices.  BPI terminated plaintiffs’ work when it suspected Laurance was not performing his maintenance jobs, was stealing equipment and supplies from BPI, and was using BPI’s water rights for a </w:t>
      </w:r>
      <w:r>
        <w:rPr>
          <w:rFonts w:ascii="Century Schoolbook" w:hAnsi="Century Schoolbook"/>
          <w:szCs w:val="26"/>
        </w:rPr>
        <w:t xml:space="preserve">private venture.  BPI acknowledged plaintiffs were not paid for any work they performed for BPI apart from receiving free rent. </w:t>
      </w:r>
    </w:p>
    <w:p w14:paraId="34755410" w14:textId="77777777" w:rsidR="00FE28EB" w:rsidRPr="003C38B8" w:rsidRDefault="00962968" w:rsidP="00DF687C">
      <w:pPr>
        <w:keepNext/>
        <w:spacing w:line="360" w:lineRule="auto"/>
        <w:rPr>
          <w:rFonts w:ascii="Century Schoolbook" w:hAnsi="Century Schoolbook"/>
          <w:b/>
          <w:bCs/>
          <w:szCs w:val="26"/>
        </w:rPr>
      </w:pPr>
      <w:r w:rsidRPr="002046B4">
        <w:rPr>
          <w:rFonts w:ascii="Century Schoolbook" w:hAnsi="Century Schoolbook"/>
          <w:b/>
          <w:bCs/>
          <w:i/>
          <w:szCs w:val="26"/>
        </w:rPr>
        <w:t>B.</w:t>
      </w:r>
      <w:r>
        <w:rPr>
          <w:rFonts w:ascii="Century Schoolbook" w:hAnsi="Century Schoolbook"/>
          <w:b/>
          <w:bCs/>
          <w:i/>
          <w:szCs w:val="26"/>
        </w:rPr>
        <w:tab/>
      </w:r>
      <w:r w:rsidRPr="003C38B8">
        <w:rPr>
          <w:rFonts w:ascii="Century Schoolbook" w:hAnsi="Century Schoolbook"/>
          <w:b/>
          <w:bCs/>
          <w:i/>
          <w:iCs/>
          <w:szCs w:val="26"/>
        </w:rPr>
        <w:t>Procedural Background</w:t>
      </w:r>
    </w:p>
    <w:p w14:paraId="1426C920" w14:textId="77777777" w:rsidR="00E178CE" w:rsidRDefault="00962968" w:rsidP="00E178CE">
      <w:pPr>
        <w:spacing w:line="360" w:lineRule="auto"/>
        <w:rPr>
          <w:rFonts w:ascii="Century Schoolbook" w:hAnsi="Century Schoolbook"/>
          <w:szCs w:val="26"/>
        </w:rPr>
      </w:pPr>
      <w:r w:rsidRPr="00602436">
        <w:rPr>
          <w:rFonts w:ascii="Century Schoolbook" w:hAnsi="Century Schoolbook"/>
          <w:szCs w:val="26"/>
        </w:rPr>
        <w:tab/>
      </w:r>
      <w:r>
        <w:rPr>
          <w:rFonts w:ascii="Century Schoolbook" w:hAnsi="Century Schoolbook"/>
          <w:szCs w:val="26"/>
        </w:rPr>
        <w:t xml:space="preserve">On January 31, 2017, plaintiffs each filed DLSE form 1, entitled “Initial Report or Claim,” with the Labor Commissioner (Initial Report or Claim).  The form identified the employer, set forth wage information, and identified hours worked.  Both plaintiffs </w:t>
      </w:r>
      <w:r>
        <w:rPr>
          <w:rFonts w:ascii="Century Schoolbook" w:hAnsi="Century Schoolbook"/>
          <w:szCs w:val="26"/>
        </w:rPr>
        <w:t xml:space="preserve">alleged being owed $132,880.  </w:t>
      </w:r>
    </w:p>
    <w:p w14:paraId="2EFE85E6" w14:textId="77777777" w:rsidR="00F167EC" w:rsidRDefault="00962968" w:rsidP="00E178CE">
      <w:pPr>
        <w:spacing w:line="360" w:lineRule="auto"/>
        <w:rPr>
          <w:rFonts w:ascii="Century Schoolbook" w:hAnsi="Century Schoolbook"/>
          <w:szCs w:val="26"/>
        </w:rPr>
      </w:pPr>
      <w:r>
        <w:rPr>
          <w:rFonts w:ascii="Century Schoolbook" w:hAnsi="Century Schoolbook"/>
          <w:szCs w:val="26"/>
        </w:rPr>
        <w:tab/>
        <w:t>On May 17, 2017, plaintiffs each executed a form entitled “Complaint,” which set forth the claimed regular and overtime wages contained in the Initial Report or Claim forms, but also included a request for liquidated damages</w:t>
      </w:r>
      <w:r>
        <w:rPr>
          <w:rFonts w:ascii="Century Schoolbook" w:hAnsi="Century Schoolbook"/>
          <w:szCs w:val="26"/>
        </w:rPr>
        <w:t xml:space="preserve"> and waiting time penalties. </w:t>
      </w:r>
    </w:p>
    <w:p w14:paraId="7563A803" w14:textId="77777777" w:rsidR="003F6876" w:rsidRDefault="00962968" w:rsidP="00E178CE">
      <w:pPr>
        <w:spacing w:line="36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The Labor Commissioner conducted a hearing on plaintiffs’ claims.  He concluded LaPaille and plaintiffs entered into oral employment agreements that Laurance would manage the water system and Elsie would serve as town manager in lieu of paying their monthl</w:t>
      </w:r>
      <w:r>
        <w:rPr>
          <w:rFonts w:ascii="Century Schoolbook" w:hAnsi="Century Schoolbook"/>
          <w:szCs w:val="26"/>
        </w:rPr>
        <w:t>y $650 rent.  The Labor Commissioner concluded Laurance worked an average of four hours per day and Elsie worked an average of 10 hours per day pursuant to those agreements.  The Labor Commissioner further concluded plaintiffs were entitled to recover regu</w:t>
      </w:r>
      <w:r>
        <w:rPr>
          <w:rFonts w:ascii="Century Schoolbook" w:hAnsi="Century Schoolbook"/>
          <w:szCs w:val="26"/>
        </w:rPr>
        <w:t xml:space="preserve">lar wages, overtime wages, liquidated damages, </w:t>
      </w:r>
      <w:r>
        <w:rPr>
          <w:rFonts w:ascii="Century Schoolbook" w:hAnsi="Century Schoolbook"/>
          <w:szCs w:val="26"/>
        </w:rPr>
        <w:lastRenderedPageBreak/>
        <w:t xml:space="preserve">interest, and waiting time penalties, and LaPaille was personally liable for those amounts.  </w:t>
      </w:r>
    </w:p>
    <w:p w14:paraId="0B3164AB" w14:textId="77777777" w:rsidR="009E6105" w:rsidRDefault="00962968" w:rsidP="00E178CE">
      <w:pPr>
        <w:spacing w:line="360" w:lineRule="auto"/>
        <w:rPr>
          <w:rFonts w:ascii="Century Schoolbook" w:hAnsi="Century Schoolbook"/>
          <w:szCs w:val="26"/>
        </w:rPr>
      </w:pPr>
      <w:r>
        <w:rPr>
          <w:rFonts w:ascii="Century Schoolbook" w:hAnsi="Century Schoolbook"/>
          <w:szCs w:val="26"/>
        </w:rPr>
        <w:tab/>
        <w:t>LaPaille and BPI appealed from the Labor Commissioner’s order to the superior court.  LaPaille and BPI contested p</w:t>
      </w:r>
      <w:r>
        <w:rPr>
          <w:rFonts w:ascii="Century Schoolbook" w:hAnsi="Century Schoolbook"/>
          <w:szCs w:val="26"/>
        </w:rPr>
        <w:t xml:space="preserve">laintiffs’ claims, asserting the number of hours plaintiffs claimed to have worked were “unbelievable,” Laurance did not provide handyman services, and other individuals and entities completed work for which plaintiffs sought payment.  </w:t>
      </w:r>
    </w:p>
    <w:p w14:paraId="00EFA50E" w14:textId="77777777" w:rsidR="00A62B43" w:rsidRDefault="00962968" w:rsidP="00E178CE">
      <w:pPr>
        <w:spacing w:line="360" w:lineRule="auto"/>
        <w:rPr>
          <w:rFonts w:ascii="Century Schoolbook" w:hAnsi="Century Schoolbook"/>
          <w:szCs w:val="26"/>
        </w:rPr>
      </w:pPr>
      <w:r>
        <w:rPr>
          <w:rFonts w:ascii="Century Schoolbook" w:hAnsi="Century Schoolbook"/>
          <w:szCs w:val="26"/>
        </w:rPr>
        <w:tab/>
        <w:t>Following a five-d</w:t>
      </w:r>
      <w:r>
        <w:rPr>
          <w:rFonts w:ascii="Century Schoolbook" w:hAnsi="Century Schoolbook"/>
          <w:szCs w:val="26"/>
        </w:rPr>
        <w:t>ay trial, the superior court concluded plaintiffs were employees of BPI.  Upon reviewing the evidence, the court concluded Elsie was entitled to unpaid minimum wages for 20 hours per week and Laurance was entitled to unpaid minimum wages for five hours per</w:t>
      </w:r>
      <w:r>
        <w:rPr>
          <w:rFonts w:ascii="Century Schoolbook" w:hAnsi="Century Schoolbook"/>
          <w:szCs w:val="26"/>
        </w:rPr>
        <w:t xml:space="preserve"> week, along with interest on those amounts.  It also awarded plaintiffs statutory damages for BPI’s failure to provide a wage statement, waiting time damages, and travel expense reimbursements.  However, the court concluded BPI’s failure to pay plaintiffs</w:t>
      </w:r>
      <w:r>
        <w:rPr>
          <w:rFonts w:ascii="Century Schoolbook" w:hAnsi="Century Schoolbook"/>
          <w:szCs w:val="26"/>
        </w:rPr>
        <w:t xml:space="preserve"> was in good faith, and it had reasonable grounds to believe it was not violating the Labor Code.  Accordingly, the court declined to award liquidated damages pursuant to section 1194.2.  It also declined to award penalties for violations of sick leave not</w:t>
      </w:r>
      <w:r>
        <w:rPr>
          <w:rFonts w:ascii="Century Schoolbook" w:hAnsi="Century Schoolbook"/>
          <w:szCs w:val="26"/>
        </w:rPr>
        <w:t xml:space="preserve">ice requirements and concluded LaPaille was not personally liable for BPI’s failure to pay wages. </w:t>
      </w:r>
    </w:p>
    <w:p w14:paraId="049BAEA8" w14:textId="77777777" w:rsidR="00FE28EB" w:rsidRPr="003C38B8" w:rsidRDefault="00962968" w:rsidP="00FE28EB">
      <w:pPr>
        <w:spacing w:line="360" w:lineRule="auto"/>
        <w:rPr>
          <w:rFonts w:ascii="Century Schoolbook" w:hAnsi="Century Schoolbook"/>
          <w:szCs w:val="26"/>
        </w:rPr>
      </w:pPr>
      <w:r>
        <w:rPr>
          <w:rFonts w:ascii="Century Schoolbook" w:hAnsi="Century Schoolbook"/>
          <w:szCs w:val="26"/>
        </w:rPr>
        <w:tab/>
        <w:t>Plaintiffs objected to the court’s statement of decision.  Plaintiffs argued the court failed to explain why it rejected January 31, 2017 as the filing date</w:t>
      </w:r>
      <w:r>
        <w:rPr>
          <w:rFonts w:ascii="Century Schoolbook" w:hAnsi="Century Schoolbook"/>
          <w:szCs w:val="26"/>
        </w:rPr>
        <w:t xml:space="preserve"> of their claims and did not address the paid sick leave claim under section 248.5, subdivision (b)(1)(3) or whether the court found LaPaille to be “an employer or other person acting on behalf of an employer, who violates, or causes to be violated, any pr</w:t>
      </w:r>
      <w:r>
        <w:rPr>
          <w:rFonts w:ascii="Century Schoolbook" w:hAnsi="Century Schoolbook"/>
          <w:szCs w:val="26"/>
        </w:rPr>
        <w:t xml:space="preserve">ovision regulating minimum wages . . . .”  Laurance also took issue with alleged ambiguities regarding the manner in which certain wages, interest, and penalties were calculated.  The court </w:t>
      </w:r>
      <w:r>
        <w:rPr>
          <w:rFonts w:ascii="Century Schoolbook" w:hAnsi="Century Schoolbook"/>
          <w:szCs w:val="26"/>
        </w:rPr>
        <w:lastRenderedPageBreak/>
        <w:t>overruled these objections apart from modifying the statement of d</w:t>
      </w:r>
      <w:r>
        <w:rPr>
          <w:rFonts w:ascii="Century Schoolbook" w:hAnsi="Century Schoolbook"/>
          <w:szCs w:val="26"/>
        </w:rPr>
        <w:t xml:space="preserve">ecision to award Laurance interest on unreimbursed expenses.  The court subsequently entered judgment for plaintiffs. </w:t>
      </w:r>
      <w:r w:rsidRPr="00BC052F">
        <w:rPr>
          <w:rFonts w:ascii="Century Schoolbook" w:hAnsi="Century Schoolbook"/>
          <w:szCs w:val="26"/>
        </w:rPr>
        <w:t xml:space="preserve"> The court awarded Laurance $16,341 plus additional prejudgment interest at $2.01 per day from March 3, 2021 to the date of judgment, and </w:t>
      </w:r>
      <w:r w:rsidRPr="00BC052F">
        <w:rPr>
          <w:rFonts w:ascii="Century Schoolbook" w:hAnsi="Century Schoolbook"/>
          <w:szCs w:val="26"/>
        </w:rPr>
        <w:t xml:space="preserve">it awarded Elsie $38,738 plus additional prejudgment interest at $5.96 per day from March 3, 2021 to the date of judgment. </w:t>
      </w:r>
      <w:r>
        <w:rPr>
          <w:rFonts w:ascii="Century Schoolbook" w:hAnsi="Century Schoolbook"/>
          <w:b/>
          <w:bCs/>
          <w:szCs w:val="26"/>
        </w:rPr>
        <w:t xml:space="preserve"> </w:t>
      </w:r>
      <w:r>
        <w:rPr>
          <w:rFonts w:ascii="Century Schoolbook" w:hAnsi="Century Schoolbook"/>
          <w:szCs w:val="26"/>
        </w:rPr>
        <w:t xml:space="preserve">Plaintiffs timely appealed. </w:t>
      </w:r>
    </w:p>
    <w:p w14:paraId="638808B8" w14:textId="77777777" w:rsidR="00C34761" w:rsidRDefault="00962968" w:rsidP="00FE28EB">
      <w:pPr>
        <w:keepNext/>
        <w:spacing w:line="360" w:lineRule="auto"/>
        <w:jc w:val="center"/>
        <w:rPr>
          <w:rFonts w:ascii="Century Schoolbook" w:hAnsi="Century Schoolbook"/>
          <w:b/>
          <w:bCs/>
          <w:szCs w:val="26"/>
        </w:rPr>
      </w:pPr>
      <w:r w:rsidRPr="003C38B8">
        <w:rPr>
          <w:rFonts w:ascii="Century Schoolbook" w:hAnsi="Century Schoolbook"/>
          <w:b/>
          <w:bCs/>
          <w:szCs w:val="26"/>
        </w:rPr>
        <w:t>II.</w:t>
      </w:r>
    </w:p>
    <w:p w14:paraId="74C36E30" w14:textId="77777777" w:rsidR="00FE28EB" w:rsidRPr="003C38B8" w:rsidRDefault="00962968" w:rsidP="00FE28EB">
      <w:pPr>
        <w:keepNext/>
        <w:spacing w:line="360" w:lineRule="auto"/>
        <w:jc w:val="center"/>
        <w:rPr>
          <w:rFonts w:ascii="Century Schoolbook" w:hAnsi="Century Schoolbook"/>
          <w:szCs w:val="26"/>
        </w:rPr>
      </w:pPr>
      <w:r w:rsidRPr="003C38B8">
        <w:rPr>
          <w:rFonts w:ascii="Century Schoolbook" w:hAnsi="Century Schoolbook"/>
          <w:b/>
          <w:bCs/>
          <w:szCs w:val="26"/>
        </w:rPr>
        <w:t>DISCUSSION</w:t>
      </w:r>
    </w:p>
    <w:p w14:paraId="0867253F" w14:textId="77777777" w:rsidR="00462CED" w:rsidRPr="00462CED" w:rsidRDefault="00962968" w:rsidP="00FE28EB">
      <w:pPr>
        <w:spacing w:line="360" w:lineRule="auto"/>
        <w:rPr>
          <w:rFonts w:ascii="Century Schoolbook" w:hAnsi="Century Schoolbook"/>
          <w:iCs/>
          <w:szCs w:val="26"/>
        </w:rPr>
      </w:pPr>
      <w:r>
        <w:rPr>
          <w:rFonts w:ascii="Century Schoolbook" w:hAnsi="Century Schoolbook"/>
          <w:iCs/>
          <w:szCs w:val="26"/>
        </w:rPr>
        <w:tab/>
        <w:t>On appeal, plaintiffs raise six arguments: (1) the court utilized the wrong date when c</w:t>
      </w:r>
      <w:r>
        <w:rPr>
          <w:rFonts w:ascii="Century Schoolbook" w:hAnsi="Century Schoolbook"/>
          <w:iCs/>
          <w:szCs w:val="26"/>
        </w:rPr>
        <w:t>alculating the statute of limitations for their unpaid wage claims; (2) the court abused its discretion in denying plaintiffs’ UCL claims; (3) the court lacked discretion to excuse LaPaille from personal liability; (4) the court erred in concluding LaPaill</w:t>
      </w:r>
      <w:r>
        <w:rPr>
          <w:rFonts w:ascii="Century Schoolbook" w:hAnsi="Century Schoolbook"/>
          <w:iCs/>
          <w:szCs w:val="26"/>
        </w:rPr>
        <w:t>e established a good faith defense to plaintiffs’ liquidated damages claims; (5) the court erred in declining to award administrative damages under section 248.5; and (6) the court failed to incorporate the rental value of plaintiffs’ house when calculatin</w:t>
      </w:r>
      <w:r>
        <w:rPr>
          <w:rFonts w:ascii="Century Schoolbook" w:hAnsi="Century Schoolbook"/>
          <w:iCs/>
          <w:szCs w:val="26"/>
        </w:rPr>
        <w:t>g waiting time penalties.  We address each argument in turn.</w:t>
      </w:r>
    </w:p>
    <w:p w14:paraId="780C9476" w14:textId="77777777" w:rsidR="00CD77B2" w:rsidRPr="00CD77B2" w:rsidRDefault="00962968" w:rsidP="00FE28EB">
      <w:pPr>
        <w:spacing w:line="360" w:lineRule="auto"/>
        <w:rPr>
          <w:rFonts w:ascii="Century Schoolbook" w:hAnsi="Century Schoolbook"/>
          <w:b/>
          <w:bCs/>
          <w:szCs w:val="26"/>
        </w:rPr>
      </w:pPr>
      <w:r w:rsidRPr="002046B4">
        <w:rPr>
          <w:rFonts w:ascii="Century Schoolbook" w:hAnsi="Century Schoolbook"/>
          <w:b/>
          <w:bCs/>
          <w:i/>
          <w:szCs w:val="26"/>
        </w:rPr>
        <w:t>A.</w:t>
      </w:r>
      <w:r>
        <w:rPr>
          <w:rFonts w:ascii="Century Schoolbook" w:hAnsi="Century Schoolbook"/>
          <w:b/>
          <w:bCs/>
          <w:i/>
          <w:szCs w:val="26"/>
        </w:rPr>
        <w:tab/>
      </w:r>
      <w:r>
        <w:rPr>
          <w:rFonts w:ascii="Century Schoolbook" w:hAnsi="Century Schoolbook"/>
          <w:b/>
          <w:bCs/>
          <w:i/>
          <w:iCs/>
          <w:szCs w:val="26"/>
        </w:rPr>
        <w:t>Statute of Limitations</w:t>
      </w:r>
    </w:p>
    <w:p w14:paraId="15A86403" w14:textId="77777777" w:rsidR="00CD77B2" w:rsidRDefault="00962968" w:rsidP="00FE28EB">
      <w:pPr>
        <w:spacing w:line="360" w:lineRule="auto"/>
        <w:rPr>
          <w:rFonts w:ascii="Century Schoolbook" w:hAnsi="Century Schoolbook"/>
          <w:szCs w:val="26"/>
        </w:rPr>
      </w:pPr>
      <w:r w:rsidRPr="003C38B8">
        <w:rPr>
          <w:rFonts w:ascii="Century Schoolbook" w:hAnsi="Century Schoolbook"/>
          <w:szCs w:val="26"/>
        </w:rPr>
        <w:tab/>
      </w:r>
      <w:r>
        <w:rPr>
          <w:rFonts w:ascii="Century Schoolbook" w:hAnsi="Century Schoolbook"/>
          <w:szCs w:val="26"/>
        </w:rPr>
        <w:t xml:space="preserve">Plaintiffs contend the trial court erred by calculating the statute of limitations from the date they filed complaints with the Labor Commissioner rather than the date </w:t>
      </w:r>
      <w:r>
        <w:rPr>
          <w:rFonts w:ascii="Century Schoolbook" w:hAnsi="Century Schoolbook"/>
          <w:szCs w:val="26"/>
        </w:rPr>
        <w:t xml:space="preserve">they filed their Initial Report or Claim forms with the Labor Commissioner.  They argue, pursuant to </w:t>
      </w:r>
      <w:r>
        <w:rPr>
          <w:rFonts w:ascii="Century Schoolbook" w:hAnsi="Century Schoolbook"/>
          <w:i/>
          <w:iCs/>
          <w:szCs w:val="26"/>
        </w:rPr>
        <w:t>Cuadra v. Millan</w:t>
      </w:r>
      <w:r>
        <w:rPr>
          <w:rFonts w:ascii="Century Schoolbook" w:hAnsi="Century Schoolbook"/>
          <w:szCs w:val="26"/>
        </w:rPr>
        <w:t xml:space="preserve"> (1998) 17 Cal.4th 855 (</w:t>
      </w:r>
      <w:r>
        <w:rPr>
          <w:rFonts w:ascii="Century Schoolbook" w:hAnsi="Century Schoolbook"/>
          <w:i/>
          <w:iCs/>
          <w:szCs w:val="26"/>
        </w:rPr>
        <w:t>Cuadra</w:t>
      </w:r>
      <w:r>
        <w:rPr>
          <w:rFonts w:ascii="Century Schoolbook" w:hAnsi="Century Schoolbook"/>
          <w:szCs w:val="26"/>
        </w:rPr>
        <w:t xml:space="preserve">), the filing of the “Initial Report or Claim” form initiates the </w:t>
      </w:r>
      <w:r w:rsidRPr="00462CED">
        <w:rPr>
          <w:rFonts w:ascii="Century Schoolbook" w:hAnsi="Century Schoolbook"/>
          <w:szCs w:val="26"/>
        </w:rPr>
        <w:t>Berman</w:t>
      </w:r>
      <w:r>
        <w:rPr>
          <w:rStyle w:val="FootnoteReference"/>
          <w:szCs w:val="26"/>
        </w:rPr>
        <w:footnoteReference w:id="4"/>
      </w:r>
      <w:r w:rsidRPr="00462CED">
        <w:rPr>
          <w:rFonts w:ascii="Century Schoolbook" w:hAnsi="Century Schoolbook"/>
          <w:szCs w:val="26"/>
        </w:rPr>
        <w:t xml:space="preserve"> </w:t>
      </w:r>
      <w:r>
        <w:rPr>
          <w:rFonts w:ascii="Century Schoolbook" w:hAnsi="Century Schoolbook"/>
          <w:szCs w:val="26"/>
        </w:rPr>
        <w:t>hearing procedure.  We agree.</w:t>
      </w:r>
    </w:p>
    <w:p w14:paraId="7811855A" w14:textId="77777777" w:rsidR="00462CED" w:rsidRPr="00436EA2" w:rsidRDefault="00962968" w:rsidP="00530FED">
      <w:pPr>
        <w:keepNext/>
        <w:spacing w:line="360" w:lineRule="auto"/>
        <w:rPr>
          <w:rFonts w:ascii="Century Schoolbook" w:hAnsi="Century Schoolbook"/>
          <w:b/>
          <w:bCs/>
          <w:i/>
          <w:iCs/>
          <w:szCs w:val="26"/>
        </w:rPr>
      </w:pPr>
      <w:r w:rsidRPr="00436EA2">
        <w:rPr>
          <w:rFonts w:ascii="Century Schoolbook" w:hAnsi="Century Schoolbook"/>
          <w:b/>
          <w:bCs/>
          <w:i/>
          <w:iCs/>
          <w:szCs w:val="26"/>
        </w:rPr>
        <w:lastRenderedPageBreak/>
        <w:tab/>
        <w:t>1.</w:t>
      </w:r>
      <w:r>
        <w:rPr>
          <w:rFonts w:ascii="Century Schoolbook" w:hAnsi="Century Schoolbook"/>
          <w:b/>
          <w:bCs/>
          <w:i/>
          <w:iCs/>
          <w:szCs w:val="26"/>
        </w:rPr>
        <w:tab/>
      </w:r>
      <w:r w:rsidRPr="00436EA2">
        <w:rPr>
          <w:rFonts w:ascii="Century Schoolbook" w:hAnsi="Century Schoolbook"/>
          <w:b/>
          <w:bCs/>
          <w:i/>
          <w:iCs/>
          <w:szCs w:val="26"/>
        </w:rPr>
        <w:t>Relevant Statutory Background</w:t>
      </w:r>
    </w:p>
    <w:p w14:paraId="5335CBB9" w14:textId="77777777" w:rsidR="00A53ECF" w:rsidRDefault="00962968" w:rsidP="00FE28EB">
      <w:pPr>
        <w:spacing w:line="360" w:lineRule="auto"/>
        <w:rPr>
          <w:rFonts w:ascii="Century Schoolbook" w:hAnsi="Century Schoolbook"/>
          <w:szCs w:val="26"/>
        </w:rPr>
      </w:pPr>
      <w:r>
        <w:rPr>
          <w:rFonts w:ascii="Century Schoolbook" w:hAnsi="Century Schoolbook"/>
          <w:szCs w:val="26"/>
        </w:rPr>
        <w:tab/>
        <w:t>Section 98, subdivision (a), authorizes the Labor Commissioner to “investigate employee complaints.”  Subdivision (a</w:t>
      </w:r>
      <w:r>
        <w:rPr>
          <w:rFonts w:ascii="Century Schoolbook" w:hAnsi="Century Schoolbook"/>
          <w:szCs w:val="26"/>
        </w:rPr>
        <w:t>) further states:  “W</w:t>
      </w:r>
      <w:r w:rsidRPr="003A553C">
        <w:rPr>
          <w:rFonts w:ascii="Century Schoolbook" w:hAnsi="Century Schoolbook"/>
          <w:szCs w:val="26"/>
        </w:rPr>
        <w:t>ithin 30 days of the filing of the complaint, the Labor Commissioner shall notify the parties as to whether a hearing will be held, whether action will be taken in accordance with Section 98.3, or whether no further action will be take</w:t>
      </w:r>
      <w:r w:rsidRPr="003A553C">
        <w:rPr>
          <w:rFonts w:ascii="Century Schoolbook" w:hAnsi="Century Schoolbook"/>
          <w:szCs w:val="26"/>
        </w:rPr>
        <w:t xml:space="preserve">n on the complaint. </w:t>
      </w:r>
      <w:r>
        <w:rPr>
          <w:rFonts w:ascii="Century Schoolbook" w:hAnsi="Century Schoolbook"/>
          <w:szCs w:val="26"/>
        </w:rPr>
        <w:t xml:space="preserve"> </w:t>
      </w:r>
      <w:r w:rsidRPr="003A553C">
        <w:rPr>
          <w:rFonts w:ascii="Century Schoolbook" w:hAnsi="Century Schoolbook"/>
          <w:szCs w:val="26"/>
        </w:rPr>
        <w:t>If the determination is made by the Labor Commissioner to hold a hearing, the hearing shall be held within 90 days of the date of that determination.</w:t>
      </w:r>
      <w:r>
        <w:rPr>
          <w:rFonts w:ascii="Century Schoolbook" w:hAnsi="Century Schoolbook"/>
          <w:szCs w:val="26"/>
        </w:rPr>
        <w:t xml:space="preserve">”  </w:t>
      </w:r>
    </w:p>
    <w:p w14:paraId="51D56620" w14:textId="77777777" w:rsidR="00BB1EC1" w:rsidRDefault="00962968" w:rsidP="00FE28EB">
      <w:pPr>
        <w:spacing w:line="360" w:lineRule="auto"/>
        <w:rPr>
          <w:rFonts w:ascii="Century Schoolbook" w:hAnsi="Century Schoolbook"/>
          <w:szCs w:val="26"/>
        </w:rPr>
      </w:pPr>
      <w:r>
        <w:rPr>
          <w:rFonts w:ascii="Century Schoolbook" w:hAnsi="Century Schoolbook"/>
          <w:szCs w:val="26"/>
        </w:rPr>
        <w:tab/>
        <w:t>The California Code of Regulations expands upon this provision:  “</w:t>
      </w:r>
      <w:r w:rsidRPr="003A553C">
        <w:rPr>
          <w:rFonts w:ascii="Century Schoolbook" w:hAnsi="Century Schoolbook"/>
          <w:szCs w:val="26"/>
        </w:rPr>
        <w:t>An employee com</w:t>
      </w:r>
      <w:r w:rsidRPr="003A553C">
        <w:rPr>
          <w:rFonts w:ascii="Century Schoolbook" w:hAnsi="Century Schoolbook"/>
          <w:szCs w:val="26"/>
        </w:rPr>
        <w:t xml:space="preserve">plaint or claim for wages, penalties or other demand for compensation properly before the </w:t>
      </w:r>
      <w:r>
        <w:rPr>
          <w:rFonts w:ascii="Century Schoolbook" w:hAnsi="Century Schoolbook"/>
          <w:szCs w:val="26"/>
        </w:rPr>
        <w:t>[DLSE]</w:t>
      </w:r>
      <w:r w:rsidRPr="003A553C">
        <w:rPr>
          <w:rFonts w:ascii="Century Schoolbook" w:hAnsi="Century Schoolbook"/>
          <w:szCs w:val="26"/>
        </w:rPr>
        <w:t xml:space="preserve"> or the Labor Commissioner</w:t>
      </w:r>
      <w:r>
        <w:rPr>
          <w:rFonts w:ascii="Century Schoolbook" w:hAnsi="Century Schoolbook"/>
          <w:szCs w:val="26"/>
        </w:rPr>
        <w:t xml:space="preserve"> . . . </w:t>
      </w:r>
      <w:r w:rsidRPr="003A553C">
        <w:rPr>
          <w:rFonts w:ascii="Century Schoolbook" w:hAnsi="Century Schoolbook"/>
          <w:szCs w:val="26"/>
        </w:rPr>
        <w:t>under Labor Code Section 98</w:t>
      </w:r>
      <w:r>
        <w:rPr>
          <w:rFonts w:ascii="Century Schoolbook" w:hAnsi="Century Schoolbook"/>
          <w:szCs w:val="26"/>
        </w:rPr>
        <w:t>[, subdivision ]</w:t>
      </w:r>
      <w:r w:rsidRPr="003A553C">
        <w:rPr>
          <w:rFonts w:ascii="Century Schoolbook" w:hAnsi="Century Schoolbook"/>
          <w:szCs w:val="26"/>
        </w:rPr>
        <w:t>(a) shall be initiated by the filing of a complaint on the form prescribed herein in</w:t>
      </w:r>
      <w:r w:rsidRPr="003A553C">
        <w:rPr>
          <w:rFonts w:ascii="Century Schoolbook" w:hAnsi="Century Schoolbook"/>
          <w:szCs w:val="26"/>
        </w:rPr>
        <w:t xml:space="preserve"> any District Office of the </w:t>
      </w:r>
      <w:r>
        <w:rPr>
          <w:rFonts w:ascii="Century Schoolbook" w:hAnsi="Century Schoolbook"/>
          <w:szCs w:val="26"/>
        </w:rPr>
        <w:t>[DLSE]</w:t>
      </w:r>
      <w:r w:rsidRPr="003A553C">
        <w:rPr>
          <w:rFonts w:ascii="Century Schoolbook" w:hAnsi="Century Schoolbook"/>
          <w:szCs w:val="26"/>
        </w:rPr>
        <w:t>.</w:t>
      </w:r>
      <w:r>
        <w:rPr>
          <w:rFonts w:ascii="Century Schoolbook" w:hAnsi="Century Schoolbook"/>
          <w:szCs w:val="26"/>
        </w:rPr>
        <w:t xml:space="preserve">”  (Cal. Code Regs., tit. 8, § 13501.)  The California Code of Regulations further provides a sample “complaint,” and states “[t]he complaint contemplated by Labor Code Section 98 and filed with the [DLSE] </w:t>
      </w:r>
      <w:r w:rsidRPr="006717CB">
        <w:rPr>
          <w:rFonts w:ascii="Century Schoolbook" w:hAnsi="Century Schoolbook"/>
          <w:szCs w:val="26"/>
        </w:rPr>
        <w:t>shall be in wri</w:t>
      </w:r>
      <w:r w:rsidRPr="006717CB">
        <w:rPr>
          <w:rFonts w:ascii="Century Schoolbook" w:hAnsi="Century Schoolbook"/>
          <w:szCs w:val="26"/>
        </w:rPr>
        <w:t>ting and substantially</w:t>
      </w:r>
      <w:r>
        <w:rPr>
          <w:rFonts w:ascii="Century Schoolbook" w:hAnsi="Century Schoolbook"/>
          <w:szCs w:val="26"/>
        </w:rPr>
        <w:t xml:space="preserve"> in” that form.  (Cal. Code Regs., tit. 8, § 13501.5.)  The sample complaint requires the claimant to identify the scope of services, time of service, promised rate of compensation, and the amount of wages, penalties, and other compen</w:t>
      </w:r>
      <w:r>
        <w:rPr>
          <w:rFonts w:ascii="Century Schoolbook" w:hAnsi="Century Schoolbook"/>
          <w:szCs w:val="26"/>
        </w:rPr>
        <w:t>sation sought from the employer.  (</w:t>
      </w:r>
      <w:r>
        <w:rPr>
          <w:rFonts w:ascii="Century Schoolbook" w:hAnsi="Century Schoolbook"/>
          <w:i/>
          <w:iCs/>
          <w:szCs w:val="26"/>
        </w:rPr>
        <w:t>Ibid.</w:t>
      </w:r>
      <w:r>
        <w:rPr>
          <w:rFonts w:ascii="Century Schoolbook" w:hAnsi="Century Schoolbook"/>
          <w:szCs w:val="26"/>
        </w:rPr>
        <w:t>)</w:t>
      </w:r>
    </w:p>
    <w:p w14:paraId="02BBC560" w14:textId="77777777" w:rsidR="00BB1EC1" w:rsidRPr="003A553C" w:rsidRDefault="00962968" w:rsidP="00C65C70">
      <w:pPr>
        <w:keepNext/>
        <w:spacing w:line="360" w:lineRule="auto"/>
        <w:rPr>
          <w:rFonts w:ascii="Century Schoolbook" w:hAnsi="Century Schoolbook"/>
          <w:b/>
          <w:bCs/>
          <w:i/>
          <w:iCs/>
          <w:szCs w:val="26"/>
        </w:rPr>
      </w:pPr>
      <w:r w:rsidRPr="003A553C">
        <w:rPr>
          <w:rFonts w:ascii="Century Schoolbook" w:hAnsi="Century Schoolbook"/>
          <w:b/>
          <w:bCs/>
          <w:i/>
          <w:iCs/>
          <w:szCs w:val="26"/>
        </w:rPr>
        <w:lastRenderedPageBreak/>
        <w:tab/>
        <w:t>2.</w:t>
      </w:r>
      <w:r>
        <w:rPr>
          <w:rFonts w:ascii="Century Schoolbook" w:hAnsi="Century Schoolbook"/>
          <w:b/>
          <w:bCs/>
          <w:i/>
          <w:iCs/>
          <w:szCs w:val="26"/>
        </w:rPr>
        <w:tab/>
      </w:r>
      <w:r w:rsidRPr="003A553C">
        <w:rPr>
          <w:rFonts w:ascii="Century Schoolbook" w:hAnsi="Century Schoolbook"/>
          <w:b/>
          <w:bCs/>
          <w:i/>
          <w:iCs/>
          <w:szCs w:val="26"/>
        </w:rPr>
        <w:t>Analysis</w:t>
      </w:r>
    </w:p>
    <w:p w14:paraId="788FAEFE" w14:textId="77777777" w:rsidR="00A53ECF" w:rsidRDefault="00962968" w:rsidP="004924A8">
      <w:pPr>
        <w:spacing w:line="36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 xml:space="preserve">Plaintiffs assert the statute of limitations should run from the filing of the Initial Report or Claim form filed with the DLSE.  In response, defendants assert only the “complaint” initiates the Berman hearing process.  </w:t>
      </w:r>
    </w:p>
    <w:p w14:paraId="3B392C2E" w14:textId="77777777" w:rsidR="007404AB" w:rsidRDefault="00962968" w:rsidP="004924A8">
      <w:pPr>
        <w:spacing w:line="360" w:lineRule="auto"/>
        <w:rPr>
          <w:rFonts w:ascii="Century Schoolbook" w:hAnsi="Century Schoolbook"/>
          <w:szCs w:val="26"/>
        </w:rPr>
      </w:pPr>
      <w:r>
        <w:rPr>
          <w:rFonts w:ascii="Century Schoolbook" w:hAnsi="Century Schoolbook"/>
          <w:szCs w:val="26"/>
        </w:rPr>
        <w:tab/>
        <w:t>Nothing in the California Code of</w:t>
      </w:r>
      <w:r>
        <w:rPr>
          <w:rFonts w:ascii="Century Schoolbook" w:hAnsi="Century Schoolbook"/>
          <w:szCs w:val="26"/>
        </w:rPr>
        <w:t xml:space="preserve"> Regulations, which expands upon the form of complaint required by section 98, excludes plaintiffs’ initial filing with the DLSE from the definition of “complaint.”  Rather, Code of Regulations, title 8, section 13501.5 only requires that the complaint be </w:t>
      </w:r>
      <w:r>
        <w:rPr>
          <w:rFonts w:ascii="Century Schoolbook" w:hAnsi="Century Schoolbook"/>
          <w:szCs w:val="26"/>
        </w:rPr>
        <w:t>“substantially” in the form provided.  Here, plaintiffs used a form provided to them by the DLSE to initiate a wage claim.  That form contains substantially the same information as in the form set forth in the Code of Regulations, including employee and em</w:t>
      </w:r>
      <w:r>
        <w:rPr>
          <w:rFonts w:ascii="Century Schoolbook" w:hAnsi="Century Schoolbook"/>
          <w:szCs w:val="26"/>
        </w:rPr>
        <w:t xml:space="preserve">ployer information, wage compensation, hours worked, and scope of wages, compensation, and penalties sought. </w:t>
      </w:r>
    </w:p>
    <w:p w14:paraId="1B60AC77" w14:textId="77777777" w:rsidR="00844B47" w:rsidRDefault="00962968" w:rsidP="004924A8">
      <w:pPr>
        <w:spacing w:line="360" w:lineRule="auto"/>
        <w:rPr>
          <w:rFonts w:ascii="Century Schoolbook" w:hAnsi="Century Schoolbook"/>
        </w:rPr>
      </w:pPr>
      <w:r>
        <w:rPr>
          <w:rFonts w:ascii="Century Schoolbook" w:hAnsi="Century Schoolbook"/>
          <w:szCs w:val="26"/>
        </w:rPr>
        <w:tab/>
        <w:t>Calculating the statute of limitations from the initial claim filing is in accord with California Supreme Court precedent and the purpose of sect</w:t>
      </w:r>
      <w:r>
        <w:rPr>
          <w:rFonts w:ascii="Century Schoolbook" w:hAnsi="Century Schoolbook"/>
          <w:szCs w:val="26"/>
        </w:rPr>
        <w:t xml:space="preserve">ion 98.  In </w:t>
      </w:r>
      <w:r>
        <w:rPr>
          <w:rFonts w:ascii="Century Schoolbook" w:hAnsi="Century Schoolbook"/>
          <w:i/>
          <w:iCs/>
          <w:szCs w:val="26"/>
        </w:rPr>
        <w:t>Cuadra</w:t>
      </w:r>
      <w:r>
        <w:rPr>
          <w:rFonts w:ascii="Century Schoolbook" w:hAnsi="Century Schoolbook"/>
          <w:szCs w:val="26"/>
        </w:rPr>
        <w:t>, the California Supreme Court addressed whether the statute of limitations for unpaid wages sought pursuant to section 98 ran from the date of the hearing or the date the plaintiffs filed their claims with the DLSE.  (</w:t>
      </w:r>
      <w:r w:rsidRPr="004F452D">
        <w:rPr>
          <w:rFonts w:ascii="Century Schoolbook" w:hAnsi="Century Schoolbook"/>
          <w:i/>
          <w:iCs/>
          <w:szCs w:val="26"/>
        </w:rPr>
        <w:t>Cuadra</w:t>
      </w:r>
      <w:r>
        <w:rPr>
          <w:rFonts w:ascii="Century Schoolbook" w:hAnsi="Century Schoolbook"/>
          <w:szCs w:val="26"/>
        </w:rPr>
        <w:t xml:space="preserve">, </w:t>
      </w:r>
      <w:r w:rsidRPr="004F452D">
        <w:rPr>
          <w:rFonts w:ascii="Century Schoolbook" w:hAnsi="Century Schoolbook"/>
          <w:i/>
          <w:iCs/>
          <w:szCs w:val="26"/>
        </w:rPr>
        <w:t>supra</w:t>
      </w:r>
      <w:r>
        <w:rPr>
          <w:rFonts w:ascii="Century Schoolbook" w:hAnsi="Century Schoolbook"/>
          <w:szCs w:val="26"/>
        </w:rPr>
        <w:t>, 17 C</w:t>
      </w:r>
      <w:r>
        <w:rPr>
          <w:rFonts w:ascii="Century Schoolbook" w:hAnsi="Century Schoolbook"/>
          <w:szCs w:val="26"/>
        </w:rPr>
        <w:t>al.4th at p. 857.)  T</w:t>
      </w:r>
      <w:r w:rsidRPr="004924A8">
        <w:rPr>
          <w:rFonts w:ascii="Century Schoolbook" w:hAnsi="Century Schoolbook"/>
          <w:szCs w:val="26"/>
        </w:rPr>
        <w:t xml:space="preserve">he </w:t>
      </w:r>
      <w:r>
        <w:rPr>
          <w:rFonts w:ascii="Century Schoolbook" w:hAnsi="Century Schoolbook"/>
          <w:szCs w:val="26"/>
        </w:rPr>
        <w:t>Labor C</w:t>
      </w:r>
      <w:r w:rsidRPr="004924A8">
        <w:rPr>
          <w:rFonts w:ascii="Century Schoolbook" w:hAnsi="Century Schoolbook"/>
          <w:szCs w:val="26"/>
        </w:rPr>
        <w:t xml:space="preserve">ommissioner </w:t>
      </w:r>
      <w:r>
        <w:rPr>
          <w:rFonts w:ascii="Century Schoolbook" w:hAnsi="Century Schoolbook"/>
          <w:szCs w:val="26"/>
        </w:rPr>
        <w:t xml:space="preserve">argued in part that </w:t>
      </w:r>
      <w:r w:rsidRPr="004924A8">
        <w:rPr>
          <w:rFonts w:ascii="Century Schoolbook" w:hAnsi="Century Schoolbook"/>
          <w:szCs w:val="26"/>
        </w:rPr>
        <w:t xml:space="preserve">the statute of limitations should not run from the filing date because </w:t>
      </w:r>
      <w:r>
        <w:rPr>
          <w:rFonts w:ascii="Century Schoolbook" w:hAnsi="Century Schoolbook"/>
          <w:szCs w:val="26"/>
        </w:rPr>
        <w:t xml:space="preserve">there is </w:t>
      </w:r>
      <w:r w:rsidRPr="004924A8">
        <w:rPr>
          <w:rFonts w:ascii="Century Schoolbook" w:hAnsi="Century Schoolbook"/>
          <w:szCs w:val="26"/>
        </w:rPr>
        <w:t>a statutory duty to first conduct a preliminary investigation as to the merits of the claim.  (</w:t>
      </w:r>
      <w:r w:rsidRPr="004924A8">
        <w:rPr>
          <w:rFonts w:ascii="Century Schoolbook" w:hAnsi="Century Schoolbook"/>
          <w:i/>
          <w:iCs/>
          <w:szCs w:val="26"/>
        </w:rPr>
        <w:t>Id.</w:t>
      </w:r>
      <w:r>
        <w:rPr>
          <w:rFonts w:ascii="Century Schoolbook" w:hAnsi="Century Schoolbook"/>
          <w:i/>
          <w:iCs/>
          <w:szCs w:val="26"/>
        </w:rPr>
        <w:t xml:space="preserve"> </w:t>
      </w:r>
      <w:r w:rsidRPr="004924A8">
        <w:rPr>
          <w:rFonts w:ascii="Century Schoolbook" w:hAnsi="Century Schoolbook"/>
        </w:rPr>
        <w:t xml:space="preserve">at p. 868.)  </w:t>
      </w:r>
      <w:r>
        <w:rPr>
          <w:rFonts w:ascii="Century Schoolbook" w:hAnsi="Century Schoolbook"/>
        </w:rPr>
        <w:t>T</w:t>
      </w:r>
      <w:r>
        <w:rPr>
          <w:rFonts w:ascii="Century Schoolbook" w:hAnsi="Century Schoolbook"/>
        </w:rPr>
        <w:t>he Labor Commissioner asserted in part that “ ‘</w:t>
      </w:r>
      <w:r w:rsidRPr="004924A8">
        <w:rPr>
          <w:rFonts w:ascii="Century Schoolbook" w:hAnsi="Century Schoolbook"/>
        </w:rPr>
        <w:t>toll</w:t>
      </w:r>
      <w:r>
        <w:rPr>
          <w:rFonts w:ascii="Century Schoolbook" w:hAnsi="Century Schoolbook"/>
        </w:rPr>
        <w:t>[ing]</w:t>
      </w:r>
      <w:r w:rsidRPr="004924A8">
        <w:rPr>
          <w:rFonts w:ascii="Century Schoolbook" w:hAnsi="Century Schoolbook"/>
        </w:rPr>
        <w:t xml:space="preserve"> the statute of limitations</w:t>
      </w:r>
      <w:r>
        <w:rPr>
          <w:rFonts w:ascii="Century Schoolbook" w:hAnsi="Century Schoolbook"/>
        </w:rPr>
        <w:t>’</w:t>
      </w:r>
      <w:r w:rsidRPr="004924A8">
        <w:rPr>
          <w:rFonts w:ascii="Century Schoolbook" w:hAnsi="Century Schoolbook"/>
        </w:rPr>
        <w:t xml:space="preserve"> upon the initial presentation of the claim—i.e., to calculate backpay from that date—would be unfair to the employer because it would compel the commissioner to notify the</w:t>
      </w:r>
      <w:r w:rsidRPr="004924A8">
        <w:rPr>
          <w:rFonts w:ascii="Century Schoolbook" w:hAnsi="Century Schoolbook"/>
        </w:rPr>
        <w:t xml:space="preserve"> employer of the claim immediately, which in turn would compel the employer to incur legal expenses in preparing a defense </w:t>
      </w:r>
      <w:r w:rsidRPr="004924A8">
        <w:rPr>
          <w:rFonts w:ascii="Century Schoolbook" w:hAnsi="Century Schoolbook"/>
        </w:rPr>
        <w:lastRenderedPageBreak/>
        <w:t xml:space="preserve">before the commissioner has determined through his </w:t>
      </w:r>
      <w:r>
        <w:rPr>
          <w:rFonts w:ascii="Century Schoolbook" w:hAnsi="Century Schoolbook"/>
        </w:rPr>
        <w:t xml:space="preserve">[or her] </w:t>
      </w:r>
      <w:r w:rsidRPr="004924A8">
        <w:rPr>
          <w:rFonts w:ascii="Century Schoolbook" w:hAnsi="Century Schoolbook"/>
        </w:rPr>
        <w:t xml:space="preserve">investigation that he </w:t>
      </w:r>
      <w:r>
        <w:rPr>
          <w:rFonts w:ascii="Century Schoolbook" w:hAnsi="Century Schoolbook"/>
        </w:rPr>
        <w:t xml:space="preserve">[or she] </w:t>
      </w:r>
      <w:r w:rsidRPr="004924A8">
        <w:rPr>
          <w:rFonts w:ascii="Century Schoolbook" w:hAnsi="Century Schoolbook"/>
        </w:rPr>
        <w:t xml:space="preserve">does have jurisdiction and that the claim </w:t>
      </w:r>
      <w:r w:rsidRPr="004924A8">
        <w:rPr>
          <w:rFonts w:ascii="Century Schoolbook" w:hAnsi="Century Schoolbook"/>
        </w:rPr>
        <w:t>is facially valid.</w:t>
      </w:r>
      <w:r>
        <w:rPr>
          <w:rFonts w:ascii="Century Schoolbook" w:hAnsi="Century Schoolbook"/>
        </w:rPr>
        <w:t>”  (</w:t>
      </w:r>
      <w:r>
        <w:rPr>
          <w:rFonts w:ascii="Century Schoolbook" w:hAnsi="Century Schoolbook"/>
          <w:i/>
          <w:iCs/>
        </w:rPr>
        <w:t>Ibid.</w:t>
      </w:r>
      <w:r>
        <w:rPr>
          <w:rFonts w:ascii="Century Schoolbook" w:hAnsi="Century Schoolbook"/>
        </w:rPr>
        <w:t xml:space="preserve">)  </w:t>
      </w:r>
    </w:p>
    <w:p w14:paraId="66C51D35" w14:textId="77777777" w:rsidR="00997E3D" w:rsidRDefault="00962968" w:rsidP="004924A8">
      <w:pPr>
        <w:spacing w:line="360" w:lineRule="auto"/>
        <w:rPr>
          <w:rFonts w:ascii="Century Schoolbook" w:hAnsi="Century Schoolbook"/>
          <w:iCs/>
          <w:szCs w:val="26"/>
        </w:rPr>
      </w:pPr>
      <w:r>
        <w:rPr>
          <w:rFonts w:ascii="Century Schoolbook" w:hAnsi="Century Schoolbook"/>
        </w:rPr>
        <w:tab/>
        <w:t xml:space="preserve">The court rejected this argument, </w:t>
      </w:r>
      <w:r>
        <w:rPr>
          <w:rFonts w:ascii="Century Schoolbook" w:hAnsi="Century Schoolbook"/>
          <w:szCs w:val="26"/>
        </w:rPr>
        <w:t>concluding the intent of section 98 “</w:t>
      </w:r>
      <w:r w:rsidRPr="004924A8">
        <w:rPr>
          <w:rFonts w:ascii="Century Schoolbook" w:hAnsi="Century Schoolbook"/>
          <w:szCs w:val="26"/>
        </w:rPr>
        <w:t>is best served, as we have seen, by calculating backpay from the filing date of the claim itself.”  (</w:t>
      </w:r>
      <w:r>
        <w:rPr>
          <w:rFonts w:ascii="Century Schoolbook" w:hAnsi="Century Schoolbook"/>
          <w:i/>
          <w:iCs/>
          <w:szCs w:val="26"/>
        </w:rPr>
        <w:t>Cuadra</w:t>
      </w:r>
      <w:r w:rsidRPr="00844B47">
        <w:rPr>
          <w:rFonts w:ascii="Century Schoolbook" w:hAnsi="Century Schoolbook"/>
          <w:szCs w:val="26"/>
        </w:rPr>
        <w:t>,</w:t>
      </w:r>
      <w:r>
        <w:rPr>
          <w:rFonts w:ascii="Century Schoolbook" w:hAnsi="Century Schoolbook"/>
          <w:szCs w:val="26"/>
        </w:rPr>
        <w:t xml:space="preserve"> </w:t>
      </w:r>
      <w:r>
        <w:rPr>
          <w:rFonts w:ascii="Century Schoolbook" w:hAnsi="Century Schoolbook"/>
          <w:i/>
          <w:iCs/>
          <w:szCs w:val="26"/>
        </w:rPr>
        <w:t>supra</w:t>
      </w:r>
      <w:r>
        <w:rPr>
          <w:rFonts w:ascii="Century Schoolbook" w:hAnsi="Century Schoolbook"/>
          <w:szCs w:val="26"/>
        </w:rPr>
        <w:t>, 17 Cal.4th</w:t>
      </w:r>
      <w:r w:rsidRPr="004924A8">
        <w:rPr>
          <w:rFonts w:ascii="Century Schoolbook" w:hAnsi="Century Schoolbook"/>
          <w:szCs w:val="26"/>
        </w:rPr>
        <w:t xml:space="preserve"> at p. 867.)  </w:t>
      </w:r>
      <w:r>
        <w:rPr>
          <w:rFonts w:ascii="Century Schoolbook" w:hAnsi="Century Schoolbook"/>
          <w:szCs w:val="26"/>
        </w:rPr>
        <w:t>And it implic</w:t>
      </w:r>
      <w:r>
        <w:rPr>
          <w:rFonts w:ascii="Century Schoolbook" w:hAnsi="Century Schoolbook"/>
          <w:szCs w:val="26"/>
        </w:rPr>
        <w:t>itly considered the filing of the initial claim as the relevant date.  T</w:t>
      </w:r>
      <w:r>
        <w:rPr>
          <w:rFonts w:ascii="Century Schoolbook" w:hAnsi="Century Schoolbook"/>
          <w:iCs/>
          <w:szCs w:val="26"/>
        </w:rPr>
        <w:t xml:space="preserve">he court discussed a hypothetical in which it noted if the limitations period ran from the hearing date, a worker who invoked the Berman hearing procedure would receive 14 </w:t>
      </w:r>
      <w:r>
        <w:rPr>
          <w:rFonts w:ascii="Century Schoolbook" w:hAnsi="Century Schoolbook"/>
          <w:iCs/>
          <w:szCs w:val="26"/>
        </w:rPr>
        <w:t>percent less wages than one who filed a civil lawsuit.  (</w:t>
      </w:r>
      <w:r>
        <w:rPr>
          <w:rFonts w:ascii="Century Schoolbook" w:hAnsi="Century Schoolbook"/>
          <w:i/>
          <w:szCs w:val="26"/>
        </w:rPr>
        <w:t>Id.</w:t>
      </w:r>
      <w:r>
        <w:rPr>
          <w:rFonts w:ascii="Century Schoolbook" w:hAnsi="Century Schoolbook"/>
          <w:iCs/>
          <w:szCs w:val="26"/>
        </w:rPr>
        <w:t xml:space="preserve"> at p. 862.)  In reaching that calculation, the court incorporated (1) the 30 days between the filing of the initial claim and holding a settlement conference, (2) the 30 days between filing the c</w:t>
      </w:r>
      <w:r>
        <w:rPr>
          <w:rFonts w:ascii="Century Schoolbook" w:hAnsi="Century Schoolbook"/>
          <w:iCs/>
          <w:szCs w:val="26"/>
        </w:rPr>
        <w:t>omplaint (postsettlement) and notifying the parties whether the commissioner would hold a hearing, and (3) the 90 days within which to hold that hearing.  (</w:t>
      </w:r>
      <w:r>
        <w:rPr>
          <w:rFonts w:ascii="Century Schoolbook" w:hAnsi="Century Schoolbook"/>
          <w:i/>
          <w:szCs w:val="26"/>
        </w:rPr>
        <w:t>Id.</w:t>
      </w:r>
      <w:r>
        <w:rPr>
          <w:rFonts w:ascii="Century Schoolbook" w:hAnsi="Century Schoolbook"/>
          <w:iCs/>
          <w:szCs w:val="26"/>
        </w:rPr>
        <w:t xml:space="preserve"> at pp. 861–862.)  Presumably, if the filing of the initial claim would not trigger the limitatio</w:t>
      </w:r>
      <w:r>
        <w:rPr>
          <w:rFonts w:ascii="Century Schoolbook" w:hAnsi="Century Schoolbook"/>
          <w:iCs/>
          <w:szCs w:val="26"/>
        </w:rPr>
        <w:t>ns period, the court would not have included the first 30-day period in its hypothetical.  Likewise, the court commented that it interpreted the Court of Appeals’ opinion as running the limitations period from the filing of the initial report or claim.  (</w:t>
      </w:r>
      <w:r w:rsidRPr="004E5410">
        <w:rPr>
          <w:rFonts w:ascii="Century Schoolbook" w:hAnsi="Century Schoolbook"/>
          <w:i/>
          <w:szCs w:val="26"/>
        </w:rPr>
        <w:t>I</w:t>
      </w:r>
      <w:r w:rsidRPr="004E5410">
        <w:rPr>
          <w:rFonts w:ascii="Century Schoolbook" w:hAnsi="Century Schoolbook"/>
          <w:i/>
          <w:szCs w:val="26"/>
        </w:rPr>
        <w:t>d</w:t>
      </w:r>
      <w:r w:rsidRPr="004E5410">
        <w:rPr>
          <w:rFonts w:ascii="Century Schoolbook" w:hAnsi="Century Schoolbook"/>
          <w:iCs/>
          <w:szCs w:val="26"/>
        </w:rPr>
        <w:t xml:space="preserve">. at p. </w:t>
      </w:r>
      <w:r>
        <w:rPr>
          <w:rFonts w:ascii="Century Schoolbook" w:hAnsi="Century Schoolbook"/>
          <w:iCs/>
          <w:szCs w:val="26"/>
        </w:rPr>
        <w:t>864</w:t>
      </w:r>
      <w:r w:rsidRPr="004E5410">
        <w:rPr>
          <w:rFonts w:ascii="Century Schoolbook" w:hAnsi="Century Schoolbook"/>
          <w:iCs/>
          <w:szCs w:val="26"/>
        </w:rPr>
        <w:t>, fn. 9</w:t>
      </w:r>
      <w:r>
        <w:rPr>
          <w:rFonts w:ascii="Century Schoolbook" w:hAnsi="Century Schoolbook"/>
          <w:iCs/>
          <w:szCs w:val="26"/>
        </w:rPr>
        <w:t>.)  And it affirmed that judgment.</w:t>
      </w:r>
      <w:r>
        <w:rPr>
          <w:rStyle w:val="FootnoteReference"/>
        </w:rPr>
        <w:footnoteReference w:id="5"/>
      </w:r>
      <w:r>
        <w:rPr>
          <w:rFonts w:ascii="Century Schoolbook" w:hAnsi="Century Schoolbook"/>
          <w:iCs/>
          <w:szCs w:val="26"/>
        </w:rPr>
        <w:t xml:space="preserve">  (</w:t>
      </w:r>
      <w:r>
        <w:rPr>
          <w:rFonts w:ascii="Century Schoolbook" w:hAnsi="Century Schoolbook"/>
          <w:i/>
          <w:szCs w:val="26"/>
        </w:rPr>
        <w:t>Cuadra</w:t>
      </w:r>
      <w:r>
        <w:rPr>
          <w:rFonts w:ascii="Century Schoolbook" w:hAnsi="Century Schoolbook"/>
          <w:iCs/>
          <w:szCs w:val="26"/>
        </w:rPr>
        <w:t xml:space="preserve">, at p. 872.)  </w:t>
      </w:r>
    </w:p>
    <w:p w14:paraId="32FE5B23" w14:textId="77777777" w:rsidR="00B41C8B" w:rsidRPr="00997E3D" w:rsidRDefault="00962968" w:rsidP="0067498B">
      <w:pPr>
        <w:spacing w:line="360" w:lineRule="auto"/>
        <w:rPr>
          <w:rFonts w:ascii="Century Schoolbook" w:hAnsi="Century Schoolbook"/>
          <w:szCs w:val="26"/>
        </w:rPr>
      </w:pPr>
      <w:r>
        <w:rPr>
          <w:rFonts w:ascii="Century Schoolbook" w:hAnsi="Century Schoolbook"/>
        </w:rPr>
        <w:lastRenderedPageBreak/>
        <w:tab/>
        <w:t>Finally, we note t</w:t>
      </w:r>
      <w:r w:rsidRPr="0067498B">
        <w:rPr>
          <w:rFonts w:ascii="Century Schoolbook" w:hAnsi="Century Schoolbook"/>
        </w:rPr>
        <w:t xml:space="preserve">he Berman hearing procedure is designed to </w:t>
      </w:r>
      <w:r w:rsidRPr="0067498B">
        <w:rPr>
          <w:rFonts w:ascii="Century Schoolbook" w:hAnsi="Century Schoolbook"/>
          <w:iCs/>
          <w:szCs w:val="26"/>
        </w:rPr>
        <w:t xml:space="preserve">“provide ‘an accessible, informal, and affordable’ avenue for employees to seek resolution, with assistance available if necessary.” </w:t>
      </w:r>
      <w:r w:rsidRPr="0067498B">
        <w:rPr>
          <w:rFonts w:ascii="Century Schoolbook" w:hAnsi="Century Schoolbook"/>
        </w:rPr>
        <w:t xml:space="preserve"> (</w:t>
      </w:r>
      <w:r w:rsidRPr="0067498B">
        <w:rPr>
          <w:rFonts w:ascii="Century Schoolbook" w:hAnsi="Century Schoolbook"/>
          <w:i/>
          <w:iCs/>
        </w:rPr>
        <w:t>OTO, L.L.C. v. Kho</w:t>
      </w:r>
      <w:r w:rsidRPr="0067498B">
        <w:rPr>
          <w:rFonts w:ascii="Century Schoolbook" w:hAnsi="Century Schoolbook"/>
        </w:rPr>
        <w:t xml:space="preserve"> (2019) 8 Cal.5th 111, 123.)  Highly technical requirements, such as requiring a wage claimant to file </w:t>
      </w:r>
      <w:r w:rsidRPr="0067498B">
        <w:rPr>
          <w:rFonts w:ascii="Century Schoolbook" w:hAnsi="Century Schoolbook"/>
        </w:rPr>
        <w:t>the DSLE</w:t>
      </w:r>
      <w:r>
        <w:rPr>
          <w:rFonts w:ascii="Century Schoolbook" w:hAnsi="Century Schoolbook"/>
        </w:rPr>
        <w:t xml:space="preserve"> form</w:t>
      </w:r>
      <w:r w:rsidRPr="0067498B">
        <w:rPr>
          <w:rFonts w:ascii="Century Schoolbook" w:hAnsi="Century Schoolbook"/>
        </w:rPr>
        <w:t xml:space="preserve"> 530 “</w:t>
      </w:r>
      <w:r>
        <w:rPr>
          <w:rFonts w:ascii="Century Schoolbook" w:hAnsi="Century Schoolbook"/>
        </w:rPr>
        <w:t>C</w:t>
      </w:r>
      <w:r w:rsidRPr="0067498B">
        <w:rPr>
          <w:rFonts w:ascii="Century Schoolbook" w:hAnsi="Century Schoolbook"/>
        </w:rPr>
        <w:t xml:space="preserve">omplaint” form to halt the running of the statute of limitations in lieu of the DSLE </w:t>
      </w:r>
      <w:r>
        <w:rPr>
          <w:rFonts w:ascii="Century Schoolbook" w:hAnsi="Century Schoolbook"/>
        </w:rPr>
        <w:t xml:space="preserve">form </w:t>
      </w:r>
      <w:r w:rsidRPr="0067498B">
        <w:rPr>
          <w:rFonts w:ascii="Century Schoolbook" w:hAnsi="Century Schoolbook"/>
        </w:rPr>
        <w:t xml:space="preserve">1 </w:t>
      </w:r>
      <w:r>
        <w:rPr>
          <w:rFonts w:ascii="Century Schoolbook" w:hAnsi="Century Schoolbook"/>
        </w:rPr>
        <w:t>i</w:t>
      </w:r>
      <w:r w:rsidRPr="0067498B">
        <w:rPr>
          <w:rFonts w:ascii="Century Schoolbook" w:hAnsi="Century Schoolbook"/>
        </w:rPr>
        <w:t xml:space="preserve">nitial </w:t>
      </w:r>
      <w:r>
        <w:rPr>
          <w:rFonts w:ascii="Century Schoolbook" w:hAnsi="Century Schoolbook"/>
        </w:rPr>
        <w:t>r</w:t>
      </w:r>
      <w:r w:rsidRPr="0067498B">
        <w:rPr>
          <w:rFonts w:ascii="Century Schoolbook" w:hAnsi="Century Schoolbook"/>
        </w:rPr>
        <w:t xml:space="preserve">eport or </w:t>
      </w:r>
      <w:r>
        <w:rPr>
          <w:rFonts w:ascii="Century Schoolbook" w:hAnsi="Century Schoolbook"/>
        </w:rPr>
        <w:t>c</w:t>
      </w:r>
      <w:r w:rsidRPr="0067498B">
        <w:rPr>
          <w:rFonts w:ascii="Century Schoolbook" w:hAnsi="Century Schoolbook"/>
        </w:rPr>
        <w:t>laim form—especially when the</w:t>
      </w:r>
      <w:r>
        <w:rPr>
          <w:rFonts w:ascii="Century Schoolbook" w:hAnsi="Century Schoolbook"/>
        </w:rPr>
        <w:t xml:space="preserve"> Labor</w:t>
      </w:r>
      <w:r w:rsidRPr="0067498B">
        <w:rPr>
          <w:rFonts w:ascii="Century Schoolbook" w:hAnsi="Century Schoolbook"/>
        </w:rPr>
        <w:t xml:space="preserve"> </w:t>
      </w:r>
      <w:r>
        <w:rPr>
          <w:rFonts w:ascii="Century Schoolbook" w:hAnsi="Century Schoolbook"/>
        </w:rPr>
        <w:t>C</w:t>
      </w:r>
      <w:r w:rsidRPr="0067498B">
        <w:rPr>
          <w:rFonts w:ascii="Century Schoolbook" w:hAnsi="Century Schoolbook"/>
        </w:rPr>
        <w:t xml:space="preserve">ommissioner instructs employees to file </w:t>
      </w:r>
      <w:r>
        <w:rPr>
          <w:rFonts w:ascii="Century Schoolbook" w:hAnsi="Century Schoolbook"/>
        </w:rPr>
        <w:t xml:space="preserve">the </w:t>
      </w:r>
      <w:r w:rsidRPr="0067498B">
        <w:rPr>
          <w:rFonts w:ascii="Century Schoolbook" w:hAnsi="Century Schoolbook"/>
        </w:rPr>
        <w:t xml:space="preserve">DSLE 1 </w:t>
      </w:r>
      <w:r>
        <w:rPr>
          <w:rFonts w:ascii="Century Schoolbook" w:hAnsi="Century Schoolbook"/>
        </w:rPr>
        <w:t xml:space="preserve">form </w:t>
      </w:r>
      <w:r w:rsidRPr="0067498B">
        <w:rPr>
          <w:rFonts w:ascii="Century Schoolbook" w:hAnsi="Century Schoolbook"/>
        </w:rPr>
        <w:t>to initiate the Berman hearing p</w:t>
      </w:r>
      <w:r w:rsidRPr="0067498B">
        <w:rPr>
          <w:rFonts w:ascii="Century Schoolbook" w:hAnsi="Century Schoolbook"/>
        </w:rPr>
        <w:t>rocess</w:t>
      </w:r>
      <w:r>
        <w:rPr>
          <w:rFonts w:ascii="Century Schoolbook" w:hAnsi="Century Schoolbook"/>
        </w:rPr>
        <w:t>—</w:t>
      </w:r>
      <w:r w:rsidRPr="0067498B">
        <w:rPr>
          <w:rFonts w:ascii="Century Schoolbook" w:hAnsi="Century Schoolbook"/>
        </w:rPr>
        <w:t>runs counter to the goal of an accessible forum.</w:t>
      </w:r>
      <w:r>
        <w:rPr>
          <w:rFonts w:ascii="Century Schoolbook" w:hAnsi="Century Schoolbook"/>
          <w:iCs/>
          <w:szCs w:val="26"/>
        </w:rPr>
        <w:t xml:space="preserve">  Accordingly, the court should have calculated the statute of limitations from the filing date of the Initial Report or Claim, which the record indicates was filed on January 31, 2017. </w:t>
      </w:r>
    </w:p>
    <w:p w14:paraId="62FB223B" w14:textId="77777777" w:rsidR="0067498B" w:rsidRPr="0067498B" w:rsidRDefault="00962968" w:rsidP="0067498B">
      <w:pPr>
        <w:spacing w:line="360" w:lineRule="auto"/>
        <w:rPr>
          <w:rFonts w:ascii="Century Schoolbook" w:hAnsi="Century Schoolbook"/>
          <w:b/>
          <w:bCs/>
          <w:i/>
          <w:szCs w:val="26"/>
        </w:rPr>
      </w:pPr>
      <w:r w:rsidRPr="0067498B">
        <w:rPr>
          <w:rFonts w:ascii="Century Schoolbook" w:hAnsi="Century Schoolbook"/>
          <w:b/>
          <w:bCs/>
          <w:i/>
          <w:szCs w:val="26"/>
        </w:rPr>
        <w:t>B.</w:t>
      </w:r>
      <w:r>
        <w:rPr>
          <w:rFonts w:ascii="Century Schoolbook" w:hAnsi="Century Schoolbook"/>
          <w:b/>
          <w:bCs/>
          <w:i/>
          <w:szCs w:val="26"/>
        </w:rPr>
        <w:tab/>
        <w:t>Plaintiffs’</w:t>
      </w:r>
      <w:r w:rsidRPr="0067498B">
        <w:rPr>
          <w:rFonts w:ascii="Century Schoolbook" w:hAnsi="Century Schoolbook"/>
          <w:b/>
          <w:bCs/>
          <w:i/>
          <w:szCs w:val="26"/>
        </w:rPr>
        <w:t xml:space="preserve"> U</w:t>
      </w:r>
      <w:r>
        <w:rPr>
          <w:rFonts w:ascii="Century Schoolbook" w:hAnsi="Century Schoolbook"/>
          <w:b/>
          <w:bCs/>
          <w:i/>
          <w:szCs w:val="26"/>
        </w:rPr>
        <w:t xml:space="preserve">nfair </w:t>
      </w:r>
      <w:r w:rsidRPr="0067498B">
        <w:rPr>
          <w:rFonts w:ascii="Century Schoolbook" w:hAnsi="Century Schoolbook"/>
          <w:b/>
          <w:bCs/>
          <w:i/>
          <w:szCs w:val="26"/>
        </w:rPr>
        <w:t>C</w:t>
      </w:r>
      <w:r>
        <w:rPr>
          <w:rFonts w:ascii="Century Schoolbook" w:hAnsi="Century Schoolbook"/>
          <w:b/>
          <w:bCs/>
          <w:i/>
          <w:szCs w:val="26"/>
        </w:rPr>
        <w:t xml:space="preserve">ompetition </w:t>
      </w:r>
      <w:r w:rsidRPr="0067498B">
        <w:rPr>
          <w:rFonts w:ascii="Century Schoolbook" w:hAnsi="Century Schoolbook"/>
          <w:b/>
          <w:bCs/>
          <w:i/>
          <w:szCs w:val="26"/>
        </w:rPr>
        <w:t>L</w:t>
      </w:r>
      <w:r>
        <w:rPr>
          <w:rFonts w:ascii="Century Schoolbook" w:hAnsi="Century Schoolbook"/>
          <w:b/>
          <w:bCs/>
          <w:i/>
          <w:szCs w:val="26"/>
        </w:rPr>
        <w:t>aw</w:t>
      </w:r>
      <w:r w:rsidRPr="0067498B">
        <w:rPr>
          <w:rFonts w:ascii="Century Schoolbook" w:hAnsi="Century Schoolbook"/>
          <w:b/>
          <w:bCs/>
          <w:i/>
          <w:szCs w:val="26"/>
        </w:rPr>
        <w:t xml:space="preserve"> Claims</w:t>
      </w:r>
    </w:p>
    <w:p w14:paraId="575D2D70" w14:textId="77777777" w:rsidR="0067498B" w:rsidRDefault="00962968" w:rsidP="00F47413">
      <w:pPr>
        <w:spacing w:line="360" w:lineRule="auto"/>
        <w:rPr>
          <w:rFonts w:ascii="Century Schoolbook" w:hAnsi="Century Schoolbook"/>
          <w:iCs/>
          <w:szCs w:val="26"/>
        </w:rPr>
      </w:pPr>
      <w:r>
        <w:rPr>
          <w:rFonts w:ascii="Century Schoolbook" w:hAnsi="Century Schoolbook"/>
          <w:iCs/>
          <w:szCs w:val="26"/>
        </w:rPr>
        <w:tab/>
        <w:t>Plaintiffs assert the trial court abused its discretion in denying them any relief under the UCL.  They contend the trial court failed to fully consider the equities in denying relief, such as BPI’s lengthy labor law violati</w:t>
      </w:r>
      <w:r>
        <w:rPr>
          <w:rFonts w:ascii="Century Schoolbook" w:hAnsi="Century Schoolbook"/>
          <w:iCs/>
          <w:szCs w:val="26"/>
        </w:rPr>
        <w:t xml:space="preserve">ons and the lack of remedy available to plaintiffs for part of their employment period. </w:t>
      </w:r>
    </w:p>
    <w:p w14:paraId="2CA51321" w14:textId="77777777" w:rsidR="008D383F" w:rsidRDefault="00962968" w:rsidP="002749E0">
      <w:pPr>
        <w:spacing w:line="360" w:lineRule="auto"/>
        <w:rPr>
          <w:rFonts w:ascii="Century Schoolbook" w:hAnsi="Century Schoolbook"/>
          <w:iCs/>
          <w:szCs w:val="26"/>
        </w:rPr>
      </w:pPr>
      <w:r>
        <w:rPr>
          <w:rFonts w:ascii="Century Schoolbook" w:hAnsi="Century Schoolbook"/>
          <w:iCs/>
          <w:szCs w:val="26"/>
        </w:rPr>
        <w:tab/>
        <w:t>As plaintiffs acknowledge, relief under the UCL “</w:t>
      </w:r>
      <w:r w:rsidRPr="004470DE">
        <w:rPr>
          <w:rFonts w:ascii="Century Schoolbook" w:hAnsi="Century Schoolbook"/>
          <w:iCs/>
          <w:szCs w:val="26"/>
        </w:rPr>
        <w:t>is purely equitable.</w:t>
      </w:r>
      <w:r>
        <w:rPr>
          <w:rFonts w:ascii="Century Schoolbook" w:hAnsi="Century Schoolbook"/>
          <w:iCs/>
          <w:szCs w:val="26"/>
        </w:rPr>
        <w:t xml:space="preserve"> </w:t>
      </w:r>
      <w:r w:rsidRPr="004470DE">
        <w:rPr>
          <w:rFonts w:ascii="Century Schoolbook" w:hAnsi="Century Schoolbook"/>
          <w:iCs/>
          <w:szCs w:val="26"/>
        </w:rPr>
        <w:t xml:space="preserve"> Therefore, determination of the appropriate remedy is left to the sound discretion of the trial</w:t>
      </w:r>
      <w:r w:rsidRPr="004470DE">
        <w:rPr>
          <w:rFonts w:ascii="Century Schoolbook" w:hAnsi="Century Schoolbook"/>
          <w:iCs/>
          <w:szCs w:val="26"/>
        </w:rPr>
        <w:t xml:space="preserve"> court in the exercise of that court</w:t>
      </w:r>
      <w:r>
        <w:rPr>
          <w:rFonts w:ascii="Century Schoolbook" w:hAnsi="Century Schoolbook"/>
          <w:iCs/>
          <w:szCs w:val="26"/>
        </w:rPr>
        <w:t>’</w:t>
      </w:r>
      <w:r w:rsidRPr="004470DE">
        <w:rPr>
          <w:rFonts w:ascii="Century Schoolbook" w:hAnsi="Century Schoolbook"/>
          <w:iCs/>
          <w:szCs w:val="26"/>
        </w:rPr>
        <w:t>s power to grant equitable relief.</w:t>
      </w:r>
      <w:r>
        <w:rPr>
          <w:rFonts w:ascii="Century Schoolbook" w:hAnsi="Century Schoolbook"/>
          <w:iCs/>
          <w:szCs w:val="26"/>
        </w:rPr>
        <w:t>”  (</w:t>
      </w:r>
      <w:r w:rsidRPr="004470DE">
        <w:rPr>
          <w:rFonts w:ascii="Century Schoolbook" w:hAnsi="Century Schoolbook"/>
          <w:i/>
          <w:szCs w:val="26"/>
        </w:rPr>
        <w:t>Cortez v. Purolator Air Filtration Prod</w:t>
      </w:r>
      <w:r>
        <w:rPr>
          <w:rFonts w:ascii="Century Schoolbook" w:hAnsi="Century Schoolbook"/>
          <w:i/>
          <w:szCs w:val="26"/>
        </w:rPr>
        <w:t>ucts</w:t>
      </w:r>
      <w:r w:rsidRPr="004470DE">
        <w:rPr>
          <w:rFonts w:ascii="Century Schoolbook" w:hAnsi="Century Schoolbook"/>
          <w:i/>
          <w:szCs w:val="26"/>
        </w:rPr>
        <w:t xml:space="preserve"> Co</w:t>
      </w:r>
      <w:r w:rsidRPr="004470DE">
        <w:rPr>
          <w:rFonts w:ascii="Century Schoolbook" w:hAnsi="Century Schoolbook"/>
          <w:iCs/>
          <w:szCs w:val="26"/>
        </w:rPr>
        <w:t xml:space="preserve">. </w:t>
      </w:r>
      <w:r>
        <w:rPr>
          <w:rFonts w:ascii="Century Schoolbook" w:hAnsi="Century Schoolbook"/>
          <w:iCs/>
          <w:szCs w:val="26"/>
        </w:rPr>
        <w:t xml:space="preserve">(2000) </w:t>
      </w:r>
      <w:r w:rsidRPr="004470DE">
        <w:rPr>
          <w:rFonts w:ascii="Century Schoolbook" w:hAnsi="Century Schoolbook"/>
          <w:iCs/>
          <w:szCs w:val="26"/>
        </w:rPr>
        <w:t>23</w:t>
      </w:r>
      <w:r>
        <w:rPr>
          <w:rFonts w:ascii="Century Schoolbook" w:hAnsi="Century Schoolbook"/>
          <w:iCs/>
          <w:szCs w:val="26"/>
        </w:rPr>
        <w:t> </w:t>
      </w:r>
      <w:r w:rsidRPr="004470DE">
        <w:rPr>
          <w:rFonts w:ascii="Century Schoolbook" w:hAnsi="Century Schoolbook"/>
          <w:iCs/>
          <w:szCs w:val="26"/>
        </w:rPr>
        <w:t>Cal.4th 163, 179</w:t>
      </w:r>
      <w:r>
        <w:rPr>
          <w:rFonts w:ascii="Century Schoolbook" w:hAnsi="Century Schoolbook"/>
          <w:iCs/>
          <w:szCs w:val="26"/>
        </w:rPr>
        <w:t>.</w:t>
      </w:r>
      <w:r w:rsidRPr="004470DE">
        <w:rPr>
          <w:rFonts w:ascii="Century Schoolbook" w:hAnsi="Century Schoolbook"/>
          <w:iCs/>
          <w:szCs w:val="26"/>
        </w:rPr>
        <w:t>)</w:t>
      </w:r>
      <w:r>
        <w:rPr>
          <w:rFonts w:ascii="Century Schoolbook" w:hAnsi="Century Schoolbook"/>
          <w:iCs/>
          <w:szCs w:val="26"/>
        </w:rPr>
        <w:t xml:space="preserve">  And the court’s discretion is “very </w:t>
      </w:r>
      <w:r w:rsidRPr="008D383F">
        <w:rPr>
          <w:rFonts w:ascii="Century Schoolbook" w:hAnsi="Century Schoolbook"/>
          <w:iCs/>
          <w:szCs w:val="26"/>
        </w:rPr>
        <w:t>broad.”  (</w:t>
      </w:r>
      <w:r w:rsidRPr="008D383F">
        <w:rPr>
          <w:rFonts w:ascii="Century Schoolbook" w:hAnsi="Century Schoolbook"/>
          <w:i/>
          <w:szCs w:val="26"/>
        </w:rPr>
        <w:t xml:space="preserve">Id. </w:t>
      </w:r>
      <w:r w:rsidRPr="008D383F">
        <w:rPr>
          <w:rFonts w:ascii="Century Schoolbook" w:hAnsi="Century Schoolbook"/>
        </w:rPr>
        <w:t>at p. 180.)</w:t>
      </w:r>
      <w:r>
        <w:rPr>
          <w:rFonts w:ascii="Century Schoolbook" w:hAnsi="Century Schoolbook"/>
        </w:rPr>
        <w:t xml:space="preserve">  </w:t>
      </w:r>
      <w:r>
        <w:rPr>
          <w:rFonts w:ascii="Century Schoolbook" w:hAnsi="Century Schoolbook"/>
          <w:iCs/>
          <w:szCs w:val="26"/>
        </w:rPr>
        <w:t>“</w:t>
      </w:r>
      <w:r w:rsidRPr="008D383F">
        <w:rPr>
          <w:rFonts w:ascii="Century Schoolbook" w:hAnsi="Century Schoolbook"/>
          <w:iCs/>
          <w:szCs w:val="26"/>
        </w:rPr>
        <w:t>UCL remedies are cumulative to remedies</w:t>
      </w:r>
      <w:r w:rsidRPr="008D383F">
        <w:rPr>
          <w:rFonts w:ascii="Century Schoolbook" w:hAnsi="Century Schoolbook"/>
          <w:iCs/>
          <w:szCs w:val="26"/>
        </w:rPr>
        <w:t xml:space="preserve"> available under other </w:t>
      </w:r>
      <w:r w:rsidRPr="008D383F">
        <w:rPr>
          <w:rFonts w:ascii="Century Schoolbook" w:hAnsi="Century Schoolbook"/>
          <w:iCs/>
          <w:szCs w:val="26"/>
        </w:rPr>
        <w:lastRenderedPageBreak/>
        <w:t xml:space="preserve">laws </w:t>
      </w:r>
      <w:r>
        <w:rPr>
          <w:rFonts w:ascii="Century Schoolbook" w:hAnsi="Century Schoolbook"/>
          <w:iCs/>
          <w:szCs w:val="26"/>
        </w:rPr>
        <w:t>[citation]</w:t>
      </w:r>
      <w:r w:rsidRPr="008D383F">
        <w:rPr>
          <w:rFonts w:ascii="Century Schoolbook" w:hAnsi="Century Schoolbook"/>
          <w:iCs/>
          <w:szCs w:val="26"/>
        </w:rPr>
        <w:t xml:space="preserve"> and, as section 17203 indicates, have an independent purpose–deterrence of and restitution for unfair business practices.</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179.)</w:t>
      </w:r>
    </w:p>
    <w:p w14:paraId="53DBB2FA" w14:textId="77777777" w:rsidR="002749E0" w:rsidRPr="008D383F" w:rsidRDefault="00962968" w:rsidP="00543F81">
      <w:pPr>
        <w:spacing w:line="360" w:lineRule="auto"/>
        <w:rPr>
          <w:rFonts w:ascii="Century Schoolbook" w:hAnsi="Century Schoolbook"/>
          <w:iCs/>
          <w:szCs w:val="26"/>
        </w:rPr>
      </w:pPr>
      <w:r>
        <w:rPr>
          <w:rFonts w:ascii="Century Schoolbook" w:hAnsi="Century Schoolbook"/>
          <w:iCs/>
          <w:szCs w:val="26"/>
        </w:rPr>
        <w:tab/>
        <w:t>Here, the court considered the “fundamental polices behind the Labor Code’s</w:t>
      </w:r>
      <w:r>
        <w:rPr>
          <w:rFonts w:ascii="Century Schoolbook" w:hAnsi="Century Schoolbook"/>
          <w:iCs/>
          <w:szCs w:val="26"/>
        </w:rPr>
        <w:t xml:space="preserve"> requirement for prompt payment of wages,” and concluded “the equities on both sides of this dispute . . . weigh in favor of not awarding additional relief” under the UCL.  In assessing those equities, the court primarily focused on the lack of expectation</w:t>
      </w:r>
      <w:r>
        <w:rPr>
          <w:rFonts w:ascii="Century Schoolbook" w:hAnsi="Century Schoolbook"/>
          <w:iCs/>
          <w:szCs w:val="26"/>
        </w:rPr>
        <w:t xml:space="preserve"> or understanding by all parties that wages were required to be paid.  While plaintiffs believe the court should have focused on other factors, we will not replace the trial court’s assessment of the equities with our own.  (</w:t>
      </w:r>
      <w:r w:rsidRPr="00543F81">
        <w:rPr>
          <w:rFonts w:ascii="Century Schoolbook" w:hAnsi="Century Schoolbook"/>
          <w:i/>
          <w:szCs w:val="26"/>
        </w:rPr>
        <w:t>People ex rel. Harris v. Aguayo</w:t>
      </w:r>
      <w:r w:rsidRPr="00543F81">
        <w:rPr>
          <w:rFonts w:ascii="Century Schoolbook" w:hAnsi="Century Schoolbook"/>
          <w:iCs/>
          <w:szCs w:val="26"/>
        </w:rPr>
        <w:t xml:space="preserve"> </w:t>
      </w:r>
      <w:r>
        <w:rPr>
          <w:rFonts w:ascii="Century Schoolbook" w:hAnsi="Century Schoolbook"/>
          <w:iCs/>
          <w:szCs w:val="26"/>
        </w:rPr>
        <w:t xml:space="preserve">(2017) </w:t>
      </w:r>
      <w:r w:rsidRPr="00543F81">
        <w:rPr>
          <w:rFonts w:ascii="Century Schoolbook" w:hAnsi="Century Schoolbook"/>
          <w:iCs/>
          <w:szCs w:val="26"/>
        </w:rPr>
        <w:t>11</w:t>
      </w:r>
      <w:r>
        <w:rPr>
          <w:rFonts w:ascii="Century Schoolbook" w:hAnsi="Century Schoolbook"/>
          <w:iCs/>
          <w:szCs w:val="26"/>
        </w:rPr>
        <w:t> </w:t>
      </w:r>
      <w:r w:rsidRPr="00543F81">
        <w:rPr>
          <w:rFonts w:ascii="Century Schoolbook" w:hAnsi="Century Schoolbook"/>
          <w:iCs/>
          <w:szCs w:val="26"/>
        </w:rPr>
        <w:t>Cal.App.5th 1150, 1160</w:t>
      </w:r>
      <w:r>
        <w:rPr>
          <w:rFonts w:ascii="Century Schoolbook" w:hAnsi="Century Schoolbook"/>
          <w:iCs/>
          <w:szCs w:val="26"/>
        </w:rPr>
        <w:t xml:space="preserve"> [“</w:t>
      </w:r>
      <w:r w:rsidRPr="00543F81">
        <w:rPr>
          <w:rFonts w:ascii="Century Schoolbook" w:hAnsi="Century Schoolbook"/>
          <w:iCs/>
          <w:szCs w:val="26"/>
        </w:rPr>
        <w:t>Where ‘</w:t>
      </w:r>
      <w:r>
        <w:rPr>
          <w:rFonts w:ascii="Century Schoolbook" w:hAnsi="Century Schoolbook"/>
          <w:iCs/>
          <w:szCs w:val="26"/>
        </w:rPr>
        <w:t> “</w:t>
      </w:r>
      <w:r w:rsidRPr="00543F81">
        <w:rPr>
          <w:rFonts w:ascii="Century Schoolbook" w:hAnsi="Century Schoolbook"/>
          <w:iCs/>
          <w:szCs w:val="26"/>
        </w:rPr>
        <w:t>there is a [legal] basis for the trial court</w:t>
      </w:r>
      <w:r>
        <w:rPr>
          <w:rFonts w:ascii="Century Schoolbook" w:hAnsi="Century Schoolbook"/>
          <w:iCs/>
          <w:szCs w:val="26"/>
        </w:rPr>
        <w:t>’</w:t>
      </w:r>
      <w:r w:rsidRPr="00543F81">
        <w:rPr>
          <w:rFonts w:ascii="Century Schoolbook" w:hAnsi="Century Schoolbook"/>
          <w:iCs/>
          <w:szCs w:val="26"/>
        </w:rPr>
        <w:t>s ruling and it is supported by the evidence, a reviewing court will not substitute its opinion for that of the trial court.</w:t>
      </w:r>
      <w:r>
        <w:rPr>
          <w:rFonts w:ascii="Century Schoolbook" w:hAnsi="Century Schoolbook"/>
          <w:iCs/>
          <w:szCs w:val="26"/>
        </w:rPr>
        <w:t>” ’ </w:t>
      </w:r>
      <w:r w:rsidRPr="00543F81">
        <w:rPr>
          <w:rFonts w:ascii="Century Schoolbook" w:hAnsi="Century Schoolbook"/>
          <w:iCs/>
          <w:szCs w:val="26"/>
        </w:rPr>
        <w:t>”</w:t>
      </w:r>
      <w:r>
        <w:rPr>
          <w:rFonts w:ascii="Century Schoolbook" w:hAnsi="Century Schoolbook"/>
          <w:iCs/>
          <w:szCs w:val="26"/>
        </w:rPr>
        <w:t xml:space="preserve">].)  Based on the record, we </w:t>
      </w:r>
      <w:r>
        <w:rPr>
          <w:rFonts w:ascii="Century Schoolbook" w:hAnsi="Century Schoolbook"/>
          <w:iCs/>
          <w:szCs w:val="26"/>
        </w:rPr>
        <w:t>cannot conclude the trial court abused its discretion in denying relief under the UCL.</w:t>
      </w:r>
    </w:p>
    <w:p w14:paraId="2E6E006E" w14:textId="77777777" w:rsidR="008D383F" w:rsidRPr="00543F81" w:rsidRDefault="00962968" w:rsidP="00543F81">
      <w:pPr>
        <w:spacing w:line="360" w:lineRule="auto"/>
        <w:rPr>
          <w:rFonts w:ascii="Century Schoolbook" w:hAnsi="Century Schoolbook"/>
          <w:b/>
          <w:bCs/>
          <w:i/>
          <w:szCs w:val="26"/>
        </w:rPr>
      </w:pPr>
      <w:r w:rsidRPr="00543F81">
        <w:rPr>
          <w:rFonts w:ascii="Century Schoolbook" w:hAnsi="Century Schoolbook"/>
          <w:b/>
          <w:bCs/>
          <w:i/>
          <w:szCs w:val="26"/>
        </w:rPr>
        <w:t>C.</w:t>
      </w:r>
      <w:r>
        <w:rPr>
          <w:rFonts w:ascii="Century Schoolbook" w:hAnsi="Century Schoolbook"/>
          <w:b/>
          <w:bCs/>
          <w:i/>
          <w:szCs w:val="26"/>
        </w:rPr>
        <w:tab/>
      </w:r>
      <w:r w:rsidRPr="00543F81">
        <w:rPr>
          <w:rFonts w:ascii="Century Schoolbook" w:hAnsi="Century Schoolbook"/>
          <w:b/>
          <w:bCs/>
          <w:i/>
          <w:szCs w:val="26"/>
        </w:rPr>
        <w:t>LaPaille’s Individual Liability</w:t>
      </w:r>
    </w:p>
    <w:p w14:paraId="4D134D1C" w14:textId="77777777" w:rsidR="00E30CC8" w:rsidRDefault="00962968" w:rsidP="002C1935">
      <w:pPr>
        <w:spacing w:line="360" w:lineRule="auto"/>
        <w:rPr>
          <w:rFonts w:ascii="Century Schoolbook" w:hAnsi="Century Schoolbook"/>
          <w:iCs/>
          <w:szCs w:val="26"/>
        </w:rPr>
      </w:pPr>
      <w:r>
        <w:rPr>
          <w:rFonts w:ascii="Century Schoolbook" w:hAnsi="Century Schoolbook"/>
          <w:iCs/>
          <w:szCs w:val="26"/>
        </w:rPr>
        <w:tab/>
        <w:t>Plaintiffs next argue the trial court erred by interpreting section 558.1</w:t>
      </w:r>
      <w:r w:rsidRPr="00BB6A52">
        <w:rPr>
          <w:rFonts w:ascii="Century Schoolbook" w:hAnsi="Century Schoolbook"/>
          <w:iCs/>
          <w:szCs w:val="26"/>
        </w:rPr>
        <w:t xml:space="preserve">, </w:t>
      </w:r>
      <w:r w:rsidRPr="0032587D">
        <w:rPr>
          <w:rFonts w:ascii="Century Schoolbook" w:hAnsi="Century Schoolbook"/>
          <w:iCs/>
          <w:szCs w:val="26"/>
        </w:rPr>
        <w:t>which under certain circumstances imposes liability on a “</w:t>
      </w:r>
      <w:r w:rsidRPr="0032587D">
        <w:rPr>
          <w:rFonts w:ascii="Century Schoolbook" w:hAnsi="Century Schoolbook"/>
          <w:iCs/>
          <w:szCs w:val="26"/>
        </w:rPr>
        <w:t>person acting on behalf of an employer” who violates the Labor Code,</w:t>
      </w:r>
      <w:r>
        <w:rPr>
          <w:rFonts w:ascii="Century Schoolbook" w:hAnsi="Century Schoolbook"/>
          <w:iCs/>
          <w:szCs w:val="26"/>
        </w:rPr>
        <w:t xml:space="preserve"> as granting it discretion to decide whether to impose </w:t>
      </w:r>
      <w:r w:rsidRPr="0032587D">
        <w:rPr>
          <w:rFonts w:ascii="Century Schoolbook" w:hAnsi="Century Schoolbook"/>
          <w:iCs/>
          <w:szCs w:val="26"/>
        </w:rPr>
        <w:t>such</w:t>
      </w:r>
      <w:r>
        <w:rPr>
          <w:rFonts w:ascii="Century Schoolbook" w:hAnsi="Century Schoolbook"/>
          <w:iCs/>
          <w:szCs w:val="26"/>
        </w:rPr>
        <w:t xml:space="preserve"> individual liability on LaPaille.  In response, defendants argue section 558.1 does not provide for a private right of action an</w:t>
      </w:r>
      <w:r>
        <w:rPr>
          <w:rFonts w:ascii="Century Schoolbook" w:hAnsi="Century Schoolbook"/>
          <w:iCs/>
          <w:szCs w:val="26"/>
        </w:rPr>
        <w:t xml:space="preserve">d, in any event, the court properly exercised its discretion. </w:t>
      </w:r>
    </w:p>
    <w:p w14:paraId="7881FA25" w14:textId="77777777" w:rsidR="00E30CC8" w:rsidRPr="00E30CC8" w:rsidRDefault="00962968" w:rsidP="00C9097B">
      <w:pPr>
        <w:keepNext/>
        <w:spacing w:line="360" w:lineRule="auto"/>
        <w:rPr>
          <w:rFonts w:ascii="Century Schoolbook" w:hAnsi="Century Schoolbook"/>
          <w:b/>
          <w:bCs/>
          <w:i/>
          <w:szCs w:val="26"/>
        </w:rPr>
      </w:pPr>
      <w:r w:rsidRPr="00E30CC8">
        <w:rPr>
          <w:rFonts w:ascii="Century Schoolbook" w:hAnsi="Century Schoolbook"/>
          <w:b/>
          <w:bCs/>
          <w:i/>
          <w:szCs w:val="26"/>
        </w:rPr>
        <w:tab/>
        <w:t>1.</w:t>
      </w:r>
      <w:r>
        <w:rPr>
          <w:rFonts w:ascii="Century Schoolbook" w:hAnsi="Century Schoolbook"/>
          <w:b/>
          <w:bCs/>
          <w:i/>
          <w:szCs w:val="26"/>
        </w:rPr>
        <w:tab/>
      </w:r>
      <w:r w:rsidRPr="00E30CC8">
        <w:rPr>
          <w:rFonts w:ascii="Century Schoolbook" w:hAnsi="Century Schoolbook"/>
          <w:b/>
          <w:bCs/>
          <w:i/>
          <w:szCs w:val="26"/>
        </w:rPr>
        <w:t>Private Right of Action</w:t>
      </w:r>
    </w:p>
    <w:p w14:paraId="2D664884" w14:textId="77777777" w:rsidR="00AB2E64" w:rsidRDefault="00962968" w:rsidP="00D60A99">
      <w:pPr>
        <w:spacing w:line="360" w:lineRule="auto"/>
        <w:rPr>
          <w:rFonts w:ascii="Century Schoolbook" w:hAnsi="Century Schoolbook"/>
          <w:iCs/>
          <w:szCs w:val="26"/>
        </w:rPr>
      </w:pPr>
      <w:r>
        <w:rPr>
          <w:rFonts w:ascii="Century Schoolbook" w:hAnsi="Century Schoolbook"/>
          <w:iCs/>
          <w:szCs w:val="26"/>
        </w:rPr>
        <w:tab/>
        <w:t>Defendants contend section 558.1 does not explicitly authorize a private right of action, and the statute contains “ ‘a comprehensive scheme for enforcement by an a</w:t>
      </w:r>
      <w:r>
        <w:rPr>
          <w:rFonts w:ascii="Century Schoolbook" w:hAnsi="Century Schoolbook"/>
          <w:iCs/>
          <w:szCs w:val="26"/>
        </w:rPr>
        <w:t xml:space="preserve">dministrative agency.’ ” </w:t>
      </w:r>
    </w:p>
    <w:p w14:paraId="47F8B928" w14:textId="77777777" w:rsidR="00E30CC8" w:rsidRDefault="00962968" w:rsidP="00D60A99">
      <w:pPr>
        <w:spacing w:line="360" w:lineRule="auto"/>
        <w:rPr>
          <w:rFonts w:ascii="Century Schoolbook" w:hAnsi="Century Schoolbook"/>
          <w:iCs/>
          <w:szCs w:val="26"/>
        </w:rPr>
      </w:pPr>
      <w:r>
        <w:rPr>
          <w:rFonts w:ascii="Century Schoolbook" w:hAnsi="Century Schoolbook"/>
          <w:iCs/>
          <w:szCs w:val="26"/>
        </w:rPr>
        <w:lastRenderedPageBreak/>
        <w:tab/>
        <w:t>Undoubtedly, “ ‘[a]</w:t>
      </w:r>
      <w:r w:rsidRPr="00D60A99">
        <w:rPr>
          <w:rFonts w:ascii="Century Schoolbook" w:hAnsi="Century Schoolbook"/>
          <w:iCs/>
          <w:szCs w:val="26"/>
        </w:rPr>
        <w:t xml:space="preserve"> violation of a state statute does not necessarily give rise to a private cause of action. </w:t>
      </w:r>
      <w:r>
        <w:rPr>
          <w:rFonts w:ascii="Century Schoolbook" w:hAnsi="Century Schoolbook"/>
          <w:iCs/>
          <w:szCs w:val="26"/>
        </w:rPr>
        <w:t xml:space="preserve"> </w:t>
      </w:r>
      <w:r w:rsidRPr="00D60A99">
        <w:rPr>
          <w:rFonts w:ascii="Century Schoolbook" w:hAnsi="Century Schoolbook"/>
          <w:iCs/>
          <w:szCs w:val="26"/>
        </w:rPr>
        <w:t>[Citation.]</w:t>
      </w:r>
      <w:r>
        <w:rPr>
          <w:rFonts w:ascii="Century Schoolbook" w:hAnsi="Century Schoolbook"/>
          <w:iCs/>
          <w:szCs w:val="26"/>
        </w:rPr>
        <w:t xml:space="preserve"> </w:t>
      </w:r>
      <w:r w:rsidRPr="00D60A99">
        <w:rPr>
          <w:rFonts w:ascii="Century Schoolbook" w:hAnsi="Century Schoolbook"/>
          <w:iCs/>
          <w:szCs w:val="26"/>
        </w:rPr>
        <w:t xml:space="preserve"> Instead, whether a party has a right to sue depends on whether the Legislature has </w:t>
      </w:r>
      <w:r>
        <w:rPr>
          <w:rFonts w:ascii="Century Schoolbook" w:hAnsi="Century Schoolbook"/>
          <w:iCs/>
          <w:szCs w:val="26"/>
        </w:rPr>
        <w:t>“</w:t>
      </w:r>
      <w:r w:rsidRPr="00D60A99">
        <w:rPr>
          <w:rFonts w:ascii="Century Schoolbook" w:hAnsi="Century Schoolbook"/>
          <w:iCs/>
          <w:szCs w:val="26"/>
        </w:rPr>
        <w:t xml:space="preserve">manifested an intent </w:t>
      </w:r>
      <w:r w:rsidRPr="00D60A99">
        <w:rPr>
          <w:rFonts w:ascii="Century Schoolbook" w:hAnsi="Century Schoolbook"/>
          <w:iCs/>
          <w:szCs w:val="26"/>
        </w:rPr>
        <w:t>to create such a private cause of action</w:t>
      </w:r>
      <w:r>
        <w:rPr>
          <w:rFonts w:ascii="Century Schoolbook" w:hAnsi="Century Schoolbook"/>
          <w:iCs/>
          <w:szCs w:val="26"/>
        </w:rPr>
        <w:t>”</w:t>
      </w:r>
      <w:r w:rsidRPr="00D60A99">
        <w:rPr>
          <w:rFonts w:ascii="Century Schoolbook" w:hAnsi="Century Schoolbook"/>
          <w:iCs/>
          <w:szCs w:val="26"/>
        </w:rPr>
        <w:t xml:space="preserve"> under the statute.</w:t>
      </w:r>
      <w:r>
        <w:rPr>
          <w:rFonts w:ascii="Century Schoolbook" w:hAnsi="Century Schoolbook"/>
          <w:iCs/>
          <w:szCs w:val="26"/>
        </w:rPr>
        <w:t xml:space="preserve"> </w:t>
      </w:r>
      <w:r w:rsidRPr="00D60A99">
        <w:rPr>
          <w:rFonts w:ascii="Century Schoolbook" w:hAnsi="Century Schoolbook"/>
          <w:iCs/>
          <w:szCs w:val="26"/>
        </w:rPr>
        <w:t xml:space="preserve"> [Citations.] </w:t>
      </w:r>
      <w:r>
        <w:rPr>
          <w:rFonts w:ascii="Century Schoolbook" w:hAnsi="Century Schoolbook"/>
          <w:iCs/>
          <w:szCs w:val="26"/>
        </w:rPr>
        <w:t xml:space="preserve"> </w:t>
      </w:r>
      <w:r w:rsidRPr="00D60A99">
        <w:rPr>
          <w:rFonts w:ascii="Century Schoolbook" w:hAnsi="Century Schoolbook"/>
          <w:iCs/>
          <w:szCs w:val="26"/>
        </w:rPr>
        <w:t>Such legislative intent, if any, is revealed through the language of the statute and its legislative history.</w:t>
      </w:r>
      <w:r>
        <w:rPr>
          <w:rFonts w:ascii="Century Schoolbook" w:hAnsi="Century Schoolbook"/>
          <w:iCs/>
          <w:szCs w:val="26"/>
        </w:rPr>
        <w:t>’</w:t>
      </w:r>
      <w:r w:rsidRPr="00D60A99">
        <w:rPr>
          <w:rFonts w:ascii="Century Schoolbook" w:hAnsi="Century Schoolbook"/>
          <w:iCs/>
          <w:szCs w:val="26"/>
        </w:rPr>
        <w:t xml:space="preserve"> </w:t>
      </w:r>
      <w:r>
        <w:rPr>
          <w:rFonts w:ascii="Century Schoolbook" w:hAnsi="Century Schoolbook"/>
          <w:iCs/>
          <w:szCs w:val="26"/>
        </w:rPr>
        <w:t xml:space="preserve"> [Citation.] </w:t>
      </w:r>
      <w:r w:rsidRPr="00D60A99">
        <w:rPr>
          <w:rFonts w:ascii="Century Schoolbook" w:hAnsi="Century Schoolbook"/>
          <w:iCs/>
          <w:szCs w:val="26"/>
        </w:rPr>
        <w:t xml:space="preserve"> </w:t>
      </w:r>
      <w:r>
        <w:rPr>
          <w:rFonts w:ascii="Century Schoolbook" w:hAnsi="Century Schoolbook"/>
          <w:iCs/>
          <w:szCs w:val="26"/>
        </w:rPr>
        <w:t>‘</w:t>
      </w:r>
      <w:r w:rsidRPr="00D60A99">
        <w:rPr>
          <w:rFonts w:ascii="Century Schoolbook" w:hAnsi="Century Schoolbook"/>
          <w:iCs/>
          <w:szCs w:val="26"/>
        </w:rPr>
        <w:t>[W]e consider the statute</w:t>
      </w:r>
      <w:r>
        <w:rPr>
          <w:rFonts w:ascii="Century Schoolbook" w:hAnsi="Century Schoolbook"/>
          <w:iCs/>
          <w:szCs w:val="26"/>
        </w:rPr>
        <w:t>’</w:t>
      </w:r>
      <w:r w:rsidRPr="00D60A99">
        <w:rPr>
          <w:rFonts w:ascii="Century Schoolbook" w:hAnsi="Century Schoolbook"/>
          <w:iCs/>
          <w:szCs w:val="26"/>
        </w:rPr>
        <w:t xml:space="preserve">s language first, as it is </w:t>
      </w:r>
      <w:r w:rsidRPr="00D60A99">
        <w:rPr>
          <w:rFonts w:ascii="Century Schoolbook" w:hAnsi="Century Schoolbook"/>
          <w:iCs/>
          <w:szCs w:val="26"/>
        </w:rPr>
        <w:t>the best indicator of whether a private right to sue exists.</w:t>
      </w:r>
      <w:r>
        <w:rPr>
          <w:rFonts w:ascii="Century Schoolbook" w:hAnsi="Century Schoolbook"/>
          <w:iCs/>
          <w:szCs w:val="26"/>
        </w:rPr>
        <w:t xml:space="preserve">’ </w:t>
      </w:r>
      <w:r w:rsidRPr="00D60A99">
        <w:rPr>
          <w:rFonts w:ascii="Century Schoolbook" w:hAnsi="Century Schoolbook"/>
          <w:iCs/>
          <w:szCs w:val="26"/>
        </w:rPr>
        <w:t xml:space="preserve"> </w:t>
      </w:r>
      <w:r>
        <w:rPr>
          <w:rFonts w:ascii="Century Schoolbook" w:hAnsi="Century Schoolbook"/>
          <w:iCs/>
          <w:szCs w:val="26"/>
        </w:rPr>
        <w:t xml:space="preserve">[Citation.] </w:t>
      </w:r>
      <w:r w:rsidRPr="00D60A99">
        <w:rPr>
          <w:rFonts w:ascii="Century Schoolbook" w:hAnsi="Century Schoolbook"/>
          <w:iCs/>
          <w:szCs w:val="26"/>
        </w:rPr>
        <w:t xml:space="preserve"> </w:t>
      </w:r>
      <w:r>
        <w:rPr>
          <w:rFonts w:ascii="Century Schoolbook" w:hAnsi="Century Schoolbook"/>
          <w:iCs/>
          <w:szCs w:val="26"/>
        </w:rPr>
        <w:t>‘</w:t>
      </w:r>
      <w:r w:rsidRPr="00D60A99">
        <w:rPr>
          <w:rFonts w:ascii="Century Schoolbook" w:hAnsi="Century Schoolbook"/>
          <w:iCs/>
          <w:szCs w:val="26"/>
        </w:rPr>
        <w:t>A statute may contain “</w:t>
      </w:r>
      <w:r>
        <w:rPr>
          <w:rFonts w:ascii="Century Schoolbook" w:hAnsi="Century Schoolbook"/>
          <w:iCs/>
          <w:szCs w:val="26"/>
        </w:rPr>
        <w:t> ‘</w:t>
      </w:r>
      <w:r w:rsidRPr="00D60A99">
        <w:rPr>
          <w:rFonts w:ascii="Century Schoolbook" w:hAnsi="Century Schoolbook"/>
          <w:iCs/>
          <w:szCs w:val="26"/>
        </w:rPr>
        <w:t>clear, understandable, unmistakable terms,</w:t>
      </w:r>
      <w:r>
        <w:rPr>
          <w:rFonts w:ascii="Century Schoolbook" w:hAnsi="Century Schoolbook"/>
          <w:iCs/>
          <w:szCs w:val="26"/>
        </w:rPr>
        <w:t>’ </w:t>
      </w:r>
      <w:r w:rsidRPr="00D60A99">
        <w:rPr>
          <w:rFonts w:ascii="Century Schoolbook" w:hAnsi="Century Schoolbook"/>
          <w:iCs/>
          <w:szCs w:val="26"/>
        </w:rPr>
        <w:t xml:space="preserve">” which strongly and directly indicate that the Legislature intended to create a private cause of action. </w:t>
      </w:r>
      <w:r>
        <w:rPr>
          <w:rFonts w:ascii="Century Schoolbook" w:hAnsi="Century Schoolbook"/>
          <w:iCs/>
          <w:szCs w:val="26"/>
        </w:rPr>
        <w:t xml:space="preserve"> </w:t>
      </w:r>
      <w:r w:rsidRPr="00D60A99">
        <w:rPr>
          <w:rFonts w:ascii="Century Schoolbook" w:hAnsi="Century Schoolbook"/>
          <w:iCs/>
          <w:szCs w:val="26"/>
        </w:rPr>
        <w:t>[Ci</w:t>
      </w:r>
      <w:r w:rsidRPr="00D60A99">
        <w:rPr>
          <w:rFonts w:ascii="Century Schoolbook" w:hAnsi="Century Schoolbook"/>
          <w:iCs/>
          <w:szCs w:val="26"/>
        </w:rPr>
        <w:t xml:space="preserve">tation.] </w:t>
      </w:r>
      <w:r>
        <w:rPr>
          <w:rFonts w:ascii="Century Schoolbook" w:hAnsi="Century Schoolbook"/>
          <w:iCs/>
          <w:szCs w:val="26"/>
        </w:rPr>
        <w:t xml:space="preserve"> </w:t>
      </w:r>
      <w:r w:rsidRPr="00D60A99">
        <w:rPr>
          <w:rFonts w:ascii="Century Schoolbook" w:hAnsi="Century Schoolbook"/>
          <w:iCs/>
          <w:szCs w:val="26"/>
        </w:rPr>
        <w:t>For instance, the statute may expressly state that a person has or is liable [</w:t>
      </w:r>
      <w:r w:rsidRPr="00BB6A52">
        <w:rPr>
          <w:rFonts w:ascii="Century Schoolbook" w:hAnsi="Century Schoolbook"/>
          <w:i/>
          <w:szCs w:val="26"/>
        </w:rPr>
        <w:t>sic</w:t>
      </w:r>
      <w:r w:rsidRPr="00D60A99">
        <w:rPr>
          <w:rFonts w:ascii="Century Schoolbook" w:hAnsi="Century Schoolbook"/>
          <w:iCs/>
          <w:szCs w:val="26"/>
        </w:rPr>
        <w:t xml:space="preserve">] for a cause of action for a particular violation. </w:t>
      </w:r>
      <w:r>
        <w:rPr>
          <w:rFonts w:ascii="Century Schoolbook" w:hAnsi="Century Schoolbook"/>
          <w:iCs/>
          <w:szCs w:val="26"/>
        </w:rPr>
        <w:t xml:space="preserve"> </w:t>
      </w:r>
      <w:r w:rsidRPr="00D60A99">
        <w:rPr>
          <w:rFonts w:ascii="Century Schoolbook" w:hAnsi="Century Schoolbook"/>
          <w:iCs/>
          <w:szCs w:val="26"/>
        </w:rPr>
        <w:t>[Citations.]</w:t>
      </w:r>
      <w:r>
        <w:rPr>
          <w:rFonts w:ascii="Century Schoolbook" w:hAnsi="Century Schoolbook"/>
          <w:iCs/>
          <w:szCs w:val="26"/>
        </w:rPr>
        <w:t xml:space="preserve"> </w:t>
      </w:r>
      <w:r w:rsidRPr="00D60A99">
        <w:rPr>
          <w:rFonts w:ascii="Century Schoolbook" w:hAnsi="Century Schoolbook"/>
          <w:iCs/>
          <w:szCs w:val="26"/>
        </w:rPr>
        <w:t xml:space="preserve"> Or, more commonly, a statute may refer to a remedy or means of enforcing its substantive provision</w:t>
      </w:r>
      <w:r w:rsidRPr="00D60A99">
        <w:rPr>
          <w:rFonts w:ascii="Century Schoolbook" w:hAnsi="Century Schoolbook"/>
          <w:iCs/>
          <w:szCs w:val="26"/>
        </w:rPr>
        <w:t>s, i.e., by way of an action. [Citations.]</w:t>
      </w:r>
      <w:r>
        <w:rPr>
          <w:rFonts w:ascii="Century Schoolbook" w:hAnsi="Century Schoolbook"/>
          <w:iCs/>
          <w:szCs w:val="26"/>
        </w:rPr>
        <w:t xml:space="preserve">’ </w:t>
      </w:r>
      <w:r w:rsidRPr="00D60A99">
        <w:rPr>
          <w:rFonts w:ascii="Century Schoolbook" w:hAnsi="Century Schoolbook"/>
          <w:iCs/>
          <w:szCs w:val="26"/>
        </w:rPr>
        <w:t xml:space="preserve"> </w:t>
      </w:r>
      <w:r>
        <w:rPr>
          <w:rFonts w:ascii="Century Schoolbook" w:hAnsi="Century Schoolbook"/>
          <w:iCs/>
          <w:szCs w:val="26"/>
        </w:rPr>
        <w:t xml:space="preserve">[Citation.]  </w:t>
      </w:r>
      <w:r w:rsidRPr="00D60A99">
        <w:rPr>
          <w:rFonts w:ascii="Century Schoolbook" w:hAnsi="Century Schoolbook"/>
          <w:iCs/>
          <w:szCs w:val="26"/>
        </w:rPr>
        <w:t xml:space="preserve">If the statute </w:t>
      </w:r>
      <w:r>
        <w:rPr>
          <w:rFonts w:ascii="Century Schoolbook" w:hAnsi="Century Schoolbook"/>
          <w:iCs/>
          <w:szCs w:val="26"/>
        </w:rPr>
        <w:t>‘</w:t>
      </w:r>
      <w:r w:rsidRPr="00D60A99">
        <w:rPr>
          <w:rFonts w:ascii="Century Schoolbook" w:hAnsi="Century Schoolbook"/>
          <w:iCs/>
          <w:szCs w:val="26"/>
        </w:rPr>
        <w:t>does not include explicit language regarding a private cause of action, [but contains] provisions [that] create some ambiguity, [courts may] look .</w:t>
      </w:r>
      <w:r>
        <w:rPr>
          <w:rFonts w:ascii="Century Schoolbook" w:hAnsi="Century Schoolbook"/>
          <w:iCs/>
          <w:szCs w:val="26"/>
        </w:rPr>
        <w:t> </w:t>
      </w:r>
      <w:r w:rsidRPr="00D60A99">
        <w:rPr>
          <w:rFonts w:ascii="Century Schoolbook" w:hAnsi="Century Schoolbook"/>
          <w:iCs/>
          <w:szCs w:val="26"/>
        </w:rPr>
        <w:t>.</w:t>
      </w:r>
      <w:r>
        <w:rPr>
          <w:rFonts w:ascii="Century Schoolbook" w:hAnsi="Century Schoolbook"/>
          <w:iCs/>
          <w:szCs w:val="26"/>
        </w:rPr>
        <w:t> </w:t>
      </w:r>
      <w:r w:rsidRPr="00D60A99">
        <w:rPr>
          <w:rFonts w:ascii="Century Schoolbook" w:hAnsi="Century Schoolbook"/>
          <w:iCs/>
          <w:szCs w:val="26"/>
        </w:rPr>
        <w:t>. to legislative history for gre</w:t>
      </w:r>
      <w:r w:rsidRPr="00D60A99">
        <w:rPr>
          <w:rFonts w:ascii="Century Schoolbook" w:hAnsi="Century Schoolbook"/>
          <w:iCs/>
          <w:szCs w:val="26"/>
        </w:rPr>
        <w:t>ater insight.</w:t>
      </w:r>
      <w:r>
        <w:rPr>
          <w:rFonts w:ascii="Century Schoolbook" w:hAnsi="Century Schoolbook"/>
          <w:iCs/>
          <w:szCs w:val="26"/>
        </w:rPr>
        <w:t>’ ”  (</w:t>
      </w:r>
      <w:r w:rsidRPr="00D60A99">
        <w:rPr>
          <w:rFonts w:ascii="Century Schoolbook" w:hAnsi="Century Schoolbook"/>
          <w:i/>
          <w:szCs w:val="26"/>
        </w:rPr>
        <w:t xml:space="preserve">Noe v. Superior </w:t>
      </w:r>
      <w:r>
        <w:rPr>
          <w:rFonts w:ascii="Century Schoolbook" w:hAnsi="Century Schoolbook"/>
          <w:i/>
          <w:szCs w:val="26"/>
        </w:rPr>
        <w:t>Court</w:t>
      </w:r>
      <w:r w:rsidRPr="00D60A99">
        <w:rPr>
          <w:rFonts w:ascii="Century Schoolbook" w:hAnsi="Century Schoolbook"/>
          <w:iCs/>
          <w:szCs w:val="26"/>
        </w:rPr>
        <w:t xml:space="preserve"> </w:t>
      </w:r>
      <w:r>
        <w:rPr>
          <w:rFonts w:ascii="Century Schoolbook" w:hAnsi="Century Schoolbook"/>
          <w:iCs/>
          <w:szCs w:val="26"/>
        </w:rPr>
        <w:t xml:space="preserve">(2015) </w:t>
      </w:r>
      <w:r w:rsidRPr="00D60A99">
        <w:rPr>
          <w:rFonts w:ascii="Century Schoolbook" w:hAnsi="Century Schoolbook"/>
          <w:iCs/>
          <w:szCs w:val="26"/>
        </w:rPr>
        <w:t>237 Cal.App.4th 316, 336</w:t>
      </w:r>
      <w:r>
        <w:rPr>
          <w:rFonts w:ascii="Century Schoolbook" w:hAnsi="Century Schoolbook"/>
          <w:iCs/>
          <w:szCs w:val="26"/>
        </w:rPr>
        <w:t>.</w:t>
      </w:r>
      <w:r w:rsidRPr="00D60A99">
        <w:rPr>
          <w:rFonts w:ascii="Century Schoolbook" w:hAnsi="Century Schoolbook"/>
          <w:iCs/>
          <w:szCs w:val="26"/>
        </w:rPr>
        <w:t>)</w:t>
      </w:r>
    </w:p>
    <w:p w14:paraId="2BE41F21" w14:textId="77777777" w:rsidR="00AB2E64" w:rsidRDefault="00962968" w:rsidP="00D60A99">
      <w:pPr>
        <w:spacing w:line="360" w:lineRule="auto"/>
        <w:rPr>
          <w:rFonts w:ascii="Century Schoolbook" w:hAnsi="Century Schoolbook"/>
          <w:iCs/>
          <w:szCs w:val="26"/>
        </w:rPr>
      </w:pPr>
      <w:r>
        <w:rPr>
          <w:rFonts w:ascii="Century Schoolbook" w:hAnsi="Century Schoolbook"/>
          <w:iCs/>
          <w:szCs w:val="26"/>
        </w:rPr>
        <w:tab/>
        <w:t xml:space="preserve">Here, there is no exclusive enforcement scheme by an administrative agency.  While the Labor Commissioner is empowered to enforce California’s labor laws, the Legislature </w:t>
      </w:r>
      <w:r w:rsidRPr="00BA55B7">
        <w:rPr>
          <w:rFonts w:ascii="Century Schoolbook" w:hAnsi="Century Schoolbook"/>
          <w:iCs/>
          <w:szCs w:val="26"/>
        </w:rPr>
        <w:t xml:space="preserve">also has </w:t>
      </w:r>
      <w:r w:rsidRPr="00BA55B7">
        <w:rPr>
          <w:rFonts w:ascii="Century Schoolbook" w:hAnsi="Century Schoolbook"/>
          <w:iCs/>
          <w:szCs w:val="26"/>
        </w:rPr>
        <w:t xml:space="preserve">provided California </w:t>
      </w:r>
      <w:r>
        <w:rPr>
          <w:rFonts w:ascii="Century Schoolbook" w:hAnsi="Century Schoolbook"/>
          <w:iCs/>
          <w:szCs w:val="26"/>
        </w:rPr>
        <w:t>employees</w:t>
      </w:r>
      <w:r w:rsidRPr="00BA55B7">
        <w:rPr>
          <w:rFonts w:ascii="Century Schoolbook" w:hAnsi="Century Schoolbook"/>
          <w:iCs/>
          <w:szCs w:val="26"/>
        </w:rPr>
        <w:t xml:space="preserve"> a private right of action to vindicate </w:t>
      </w:r>
      <w:r>
        <w:rPr>
          <w:rFonts w:ascii="Century Schoolbook" w:hAnsi="Century Schoolbook"/>
          <w:iCs/>
          <w:szCs w:val="26"/>
        </w:rPr>
        <w:t>unpaid wages</w:t>
      </w:r>
      <w:r w:rsidRPr="00BA55B7">
        <w:rPr>
          <w:rFonts w:ascii="Century Schoolbook" w:hAnsi="Century Schoolbook"/>
          <w:iCs/>
          <w:szCs w:val="26"/>
        </w:rPr>
        <w:t xml:space="preserve">. </w:t>
      </w:r>
      <w:r>
        <w:rPr>
          <w:rFonts w:ascii="Century Schoolbook" w:hAnsi="Century Schoolbook"/>
          <w:iCs/>
          <w:szCs w:val="26"/>
        </w:rPr>
        <w:t xml:space="preserve"> </w:t>
      </w:r>
      <w:r w:rsidRPr="00BA55B7">
        <w:rPr>
          <w:rFonts w:ascii="Century Schoolbook" w:hAnsi="Century Schoolbook"/>
          <w:iCs/>
          <w:szCs w:val="26"/>
        </w:rPr>
        <w:t>(See §</w:t>
      </w:r>
      <w:r>
        <w:rPr>
          <w:rFonts w:ascii="Century Schoolbook" w:hAnsi="Century Schoolbook"/>
          <w:iCs/>
          <w:szCs w:val="26"/>
        </w:rPr>
        <w:t> </w:t>
      </w:r>
      <w:r w:rsidRPr="00BA55B7">
        <w:rPr>
          <w:rFonts w:ascii="Century Schoolbook" w:hAnsi="Century Schoolbook"/>
          <w:iCs/>
          <w:szCs w:val="26"/>
        </w:rPr>
        <w:t>1194, subd. (a).)</w:t>
      </w:r>
      <w:r>
        <w:rPr>
          <w:rFonts w:ascii="Century Schoolbook" w:hAnsi="Century Schoolbook"/>
          <w:iCs/>
          <w:szCs w:val="26"/>
        </w:rPr>
        <w:t xml:space="preserve">  Section 1194, subdivision (a) provides “</w:t>
      </w:r>
      <w:r w:rsidRPr="00BA55B7">
        <w:rPr>
          <w:rFonts w:ascii="Century Schoolbook" w:hAnsi="Century Schoolbook"/>
          <w:iCs/>
          <w:szCs w:val="26"/>
        </w:rPr>
        <w:t>any employee receiving less than the legal minimum wage</w:t>
      </w:r>
      <w:r>
        <w:rPr>
          <w:rFonts w:ascii="Century Schoolbook" w:hAnsi="Century Schoolbook"/>
          <w:iCs/>
          <w:szCs w:val="26"/>
        </w:rPr>
        <w:t xml:space="preserve"> . . . </w:t>
      </w:r>
      <w:r w:rsidRPr="00BA55B7">
        <w:rPr>
          <w:rFonts w:ascii="Century Schoolbook" w:hAnsi="Century Schoolbook"/>
          <w:iCs/>
          <w:szCs w:val="26"/>
        </w:rPr>
        <w:t>is entitled to recover in a civil action the</w:t>
      </w:r>
      <w:r w:rsidRPr="00BA55B7">
        <w:rPr>
          <w:rFonts w:ascii="Century Schoolbook" w:hAnsi="Century Schoolbook"/>
          <w:iCs/>
          <w:szCs w:val="26"/>
        </w:rPr>
        <w:t xml:space="preserve"> unpaid balance of the full amount of this minimum wage or overtime compensation, including interest thereon, reasonable attorney</w:t>
      </w:r>
      <w:r>
        <w:rPr>
          <w:rFonts w:ascii="Century Schoolbook" w:hAnsi="Century Schoolbook"/>
          <w:iCs/>
          <w:szCs w:val="26"/>
        </w:rPr>
        <w:t>’</w:t>
      </w:r>
      <w:r w:rsidRPr="00BA55B7">
        <w:rPr>
          <w:rFonts w:ascii="Century Schoolbook" w:hAnsi="Century Schoolbook"/>
          <w:iCs/>
          <w:szCs w:val="26"/>
        </w:rPr>
        <w:t>s fees, and costs of suit</w:t>
      </w:r>
      <w:r>
        <w:rPr>
          <w:rFonts w:ascii="Century Schoolbook" w:hAnsi="Century Schoolbook"/>
          <w:iCs/>
          <w:szCs w:val="26"/>
        </w:rPr>
        <w:t>.”  In doing so, it makes little sense for the Legislature to authorize the Labor Commissioner to enf</w:t>
      </w:r>
      <w:r>
        <w:rPr>
          <w:rFonts w:ascii="Century Schoolbook" w:hAnsi="Century Schoolbook"/>
          <w:iCs/>
          <w:szCs w:val="26"/>
        </w:rPr>
        <w:t xml:space="preserve">orce actions against individuals but bar such recovery for </w:t>
      </w:r>
      <w:r>
        <w:rPr>
          <w:rFonts w:ascii="Century Schoolbook" w:hAnsi="Century Schoolbook"/>
          <w:iCs/>
          <w:szCs w:val="26"/>
        </w:rPr>
        <w:lastRenderedPageBreak/>
        <w:t>employees simply because they may opt to pursue a civil action.  Moreover, even if employees opted to pursue relief through agency action—i.e., by initiating the Berman hearing process—employers ar</w:t>
      </w:r>
      <w:r>
        <w:rPr>
          <w:rFonts w:ascii="Century Schoolbook" w:hAnsi="Century Schoolbook"/>
          <w:iCs/>
          <w:szCs w:val="26"/>
        </w:rPr>
        <w:t>e automatically entitled to appeal any agency decision to the superior court</w:t>
      </w:r>
      <w:r w:rsidRPr="00927906">
        <w:rPr>
          <w:rFonts w:ascii="Century Schoolbook" w:hAnsi="Century Schoolbook"/>
          <w:iCs/>
          <w:szCs w:val="26"/>
        </w:rPr>
        <w:t>.  (§ 98.2</w:t>
      </w:r>
      <w:r>
        <w:rPr>
          <w:rFonts w:ascii="Century Schoolbook" w:hAnsi="Century Schoolbook"/>
          <w:iCs/>
          <w:szCs w:val="26"/>
        </w:rPr>
        <w:t>, subd. (a)</w:t>
      </w:r>
      <w:r w:rsidRPr="00927906">
        <w:rPr>
          <w:rFonts w:ascii="Century Schoolbook" w:hAnsi="Century Schoolbook"/>
          <w:iCs/>
          <w:szCs w:val="26"/>
        </w:rPr>
        <w:t>.)</w:t>
      </w:r>
      <w:r>
        <w:rPr>
          <w:rFonts w:ascii="Century Schoolbook" w:hAnsi="Century Schoolbook"/>
          <w:iCs/>
          <w:szCs w:val="26"/>
        </w:rPr>
        <w:t xml:space="preserve">  Which, according to defendants’ argument, would then void the employee’s ability to pursue relief against an individual.  Thus, defendants’ position would allow individuals to avoid liability despite the passage of section 558.1.  </w:t>
      </w:r>
    </w:p>
    <w:p w14:paraId="698B0888" w14:textId="77777777" w:rsidR="006A2C36" w:rsidRDefault="00962968" w:rsidP="002C1935">
      <w:pPr>
        <w:spacing w:line="360" w:lineRule="auto"/>
        <w:rPr>
          <w:rFonts w:ascii="Century Schoolbook" w:hAnsi="Century Schoolbook"/>
          <w:iCs/>
          <w:szCs w:val="26"/>
        </w:rPr>
      </w:pPr>
      <w:r>
        <w:rPr>
          <w:rFonts w:ascii="Century Schoolbook" w:hAnsi="Century Schoolbook"/>
          <w:iCs/>
          <w:szCs w:val="26"/>
        </w:rPr>
        <w:tab/>
        <w:t xml:space="preserve">Individual liability </w:t>
      </w:r>
      <w:r>
        <w:rPr>
          <w:rFonts w:ascii="Century Schoolbook" w:hAnsi="Century Schoolbook"/>
          <w:iCs/>
          <w:szCs w:val="26"/>
        </w:rPr>
        <w:t>that is, in effect, unenforceable could not have been the Legislature’s intent.  “[W]</w:t>
      </w:r>
      <w:r w:rsidRPr="007B03DE">
        <w:rPr>
          <w:rFonts w:ascii="Century Schoolbook" w:hAnsi="Century Schoolbook"/>
          <w:iCs/>
          <w:szCs w:val="26"/>
        </w:rPr>
        <w:t xml:space="preserve">e are careful to uphold our duty to </w:t>
      </w:r>
      <w:r>
        <w:rPr>
          <w:rFonts w:ascii="Century Schoolbook" w:hAnsi="Century Schoolbook"/>
          <w:iCs/>
          <w:szCs w:val="26"/>
        </w:rPr>
        <w:t>‘</w:t>
      </w:r>
      <w:r w:rsidRPr="007B03DE">
        <w:rPr>
          <w:rFonts w:ascii="Century Schoolbook" w:hAnsi="Century Schoolbook"/>
          <w:iCs/>
          <w:szCs w:val="26"/>
        </w:rPr>
        <w:t>harmonize and reconcile [potentially conflicting statutory provisions] so as to carry out the overriding legislative purpose of the st</w:t>
      </w:r>
      <w:r w:rsidRPr="007B03DE">
        <w:rPr>
          <w:rFonts w:ascii="Century Schoolbook" w:hAnsi="Century Schoolbook"/>
          <w:iCs/>
          <w:szCs w:val="26"/>
        </w:rPr>
        <w:t>atutory scheme as a whole.</w:t>
      </w:r>
      <w:r>
        <w:rPr>
          <w:rFonts w:ascii="Century Schoolbook" w:hAnsi="Century Schoolbook"/>
          <w:iCs/>
          <w:szCs w:val="26"/>
        </w:rPr>
        <w:t xml:space="preserve">’ </w:t>
      </w:r>
      <w:r w:rsidRPr="007B03DE">
        <w:rPr>
          <w:rFonts w:ascii="Century Schoolbook" w:hAnsi="Century Schoolbook"/>
          <w:iCs/>
          <w:szCs w:val="26"/>
        </w:rPr>
        <w:t xml:space="preserve"> </w:t>
      </w:r>
      <w:r>
        <w:rPr>
          <w:rFonts w:ascii="Century Schoolbook" w:hAnsi="Century Schoolbook"/>
          <w:iCs/>
          <w:szCs w:val="26"/>
        </w:rPr>
        <w:t>[Citation.] . . .</w:t>
      </w:r>
      <w:r w:rsidRPr="007B03DE">
        <w:rPr>
          <w:rFonts w:ascii="Century Schoolbook" w:hAnsi="Century Schoolbook"/>
          <w:iCs/>
          <w:szCs w:val="26"/>
        </w:rPr>
        <w:t xml:space="preserve"> </w:t>
      </w:r>
      <w:r>
        <w:rPr>
          <w:rFonts w:ascii="Century Schoolbook" w:hAnsi="Century Schoolbook"/>
          <w:iCs/>
          <w:szCs w:val="26"/>
        </w:rPr>
        <w:t>‘</w:t>
      </w:r>
      <w:r w:rsidRPr="007B03DE">
        <w:rPr>
          <w:rFonts w:ascii="Century Schoolbook" w:hAnsi="Century Schoolbook"/>
          <w:iCs/>
          <w:szCs w:val="26"/>
        </w:rPr>
        <w:t xml:space="preserve">State wage and hour laws </w:t>
      </w:r>
      <w:r>
        <w:rPr>
          <w:rFonts w:ascii="Century Schoolbook" w:hAnsi="Century Schoolbook"/>
          <w:iCs/>
          <w:szCs w:val="26"/>
        </w:rPr>
        <w:t>“</w:t>
      </w:r>
      <w:r w:rsidRPr="007B03DE">
        <w:rPr>
          <w:rFonts w:ascii="Century Schoolbook" w:hAnsi="Century Schoolbook"/>
          <w:iCs/>
          <w:szCs w:val="26"/>
        </w:rPr>
        <w:t>reflect the strong public policy favoring protection of workers</w:t>
      </w:r>
      <w:r>
        <w:rPr>
          <w:rFonts w:ascii="Century Schoolbook" w:hAnsi="Century Schoolbook"/>
          <w:iCs/>
          <w:szCs w:val="26"/>
        </w:rPr>
        <w:t>’</w:t>
      </w:r>
      <w:r w:rsidRPr="007B03DE">
        <w:rPr>
          <w:rFonts w:ascii="Century Schoolbook" w:hAnsi="Century Schoolbook"/>
          <w:iCs/>
          <w:szCs w:val="26"/>
        </w:rPr>
        <w:t xml:space="preserve"> general welfare and </w:t>
      </w:r>
      <w:r>
        <w:rPr>
          <w:rFonts w:ascii="Century Schoolbook" w:hAnsi="Century Schoolbook"/>
          <w:iCs/>
          <w:szCs w:val="26"/>
        </w:rPr>
        <w:t>‘</w:t>
      </w:r>
      <w:r w:rsidRPr="007B03DE">
        <w:rPr>
          <w:rFonts w:ascii="Century Schoolbook" w:hAnsi="Century Schoolbook"/>
          <w:iCs/>
          <w:szCs w:val="26"/>
        </w:rPr>
        <w:t>society</w:t>
      </w:r>
      <w:r>
        <w:rPr>
          <w:rFonts w:ascii="Century Schoolbook" w:hAnsi="Century Schoolbook"/>
          <w:iCs/>
          <w:szCs w:val="26"/>
        </w:rPr>
        <w:t>’</w:t>
      </w:r>
      <w:r w:rsidRPr="007B03DE">
        <w:rPr>
          <w:rFonts w:ascii="Century Schoolbook" w:hAnsi="Century Schoolbook"/>
          <w:iCs/>
          <w:szCs w:val="26"/>
        </w:rPr>
        <w:t>s interest in a stable job market.</w:t>
      </w:r>
      <w:r>
        <w:rPr>
          <w:rFonts w:ascii="Century Schoolbook" w:hAnsi="Century Schoolbook"/>
          <w:iCs/>
          <w:szCs w:val="26"/>
        </w:rPr>
        <w:t xml:space="preserve">’ </w:t>
      </w:r>
      <w:r w:rsidRPr="007B03DE">
        <w:rPr>
          <w:rFonts w:ascii="Century Schoolbook" w:hAnsi="Century Schoolbook"/>
          <w:iCs/>
          <w:szCs w:val="26"/>
        </w:rPr>
        <w:t xml:space="preserve"> [Citations.]</w:t>
      </w:r>
      <w:r>
        <w:rPr>
          <w:rFonts w:ascii="Century Schoolbook" w:hAnsi="Century Schoolbook"/>
          <w:iCs/>
          <w:szCs w:val="26"/>
        </w:rPr>
        <w:t xml:space="preserve">” </w:t>
      </w:r>
      <w:r w:rsidRPr="007B03DE">
        <w:rPr>
          <w:rFonts w:ascii="Century Schoolbook" w:hAnsi="Century Schoolbook"/>
          <w:iCs/>
          <w:szCs w:val="26"/>
        </w:rPr>
        <w:t xml:space="preserve"> [Citations.]</w:t>
      </w:r>
      <w:r>
        <w:rPr>
          <w:rFonts w:ascii="Century Schoolbook" w:hAnsi="Century Schoolbook"/>
          <w:iCs/>
          <w:szCs w:val="26"/>
        </w:rPr>
        <w:t xml:space="preserve">’ </w:t>
      </w:r>
      <w:r w:rsidRPr="007B03DE">
        <w:rPr>
          <w:rFonts w:ascii="Century Schoolbook" w:hAnsi="Century Schoolbook"/>
          <w:iCs/>
          <w:szCs w:val="26"/>
        </w:rPr>
        <w:t xml:space="preserve"> </w:t>
      </w:r>
      <w:r>
        <w:rPr>
          <w:rFonts w:ascii="Century Schoolbook" w:hAnsi="Century Schoolbook"/>
          <w:iCs/>
          <w:szCs w:val="26"/>
        </w:rPr>
        <w:t xml:space="preserve">[Citation.] </w:t>
      </w:r>
      <w:r w:rsidRPr="007B03DE">
        <w:rPr>
          <w:rFonts w:ascii="Century Schoolbook" w:hAnsi="Century Schoolbook"/>
          <w:iCs/>
          <w:szCs w:val="26"/>
        </w:rPr>
        <w:t xml:space="preserve"> For this</w:t>
      </w:r>
      <w:r w:rsidRPr="007B03DE">
        <w:rPr>
          <w:rFonts w:ascii="Century Schoolbook" w:hAnsi="Century Schoolbook"/>
          <w:iCs/>
          <w:szCs w:val="26"/>
        </w:rPr>
        <w:t xml:space="preserve"> reason, ‘</w:t>
      </w:r>
      <w:r>
        <w:rPr>
          <w:rFonts w:ascii="Century Schoolbook" w:hAnsi="Century Schoolbook"/>
          <w:iCs/>
          <w:szCs w:val="26"/>
        </w:rPr>
        <w:t> “</w:t>
      </w:r>
      <w:r w:rsidRPr="007B03DE">
        <w:rPr>
          <w:rFonts w:ascii="Century Schoolbook" w:hAnsi="Century Schoolbook"/>
          <w:iCs/>
          <w:szCs w:val="26"/>
        </w:rPr>
        <w:t>the statutory provisions are to be liberally construed with an eye to promoting such protection.</w:t>
      </w:r>
      <w:r>
        <w:rPr>
          <w:rFonts w:ascii="Century Schoolbook" w:hAnsi="Century Schoolbook"/>
          <w:iCs/>
          <w:szCs w:val="26"/>
        </w:rPr>
        <w:t>” ’ </w:t>
      </w:r>
      <w:r w:rsidRPr="007B03DE">
        <w:rPr>
          <w:rFonts w:ascii="Century Schoolbook" w:hAnsi="Century Schoolbook"/>
          <w:iCs/>
          <w:szCs w:val="26"/>
        </w:rPr>
        <w:t>”</w:t>
      </w:r>
      <w:r>
        <w:rPr>
          <w:rFonts w:ascii="Century Schoolbook" w:hAnsi="Century Schoolbook"/>
          <w:iCs/>
          <w:szCs w:val="26"/>
        </w:rPr>
        <w:t xml:space="preserve">  (</w:t>
      </w:r>
      <w:r w:rsidRPr="007B03DE">
        <w:rPr>
          <w:rFonts w:ascii="Century Schoolbook" w:hAnsi="Century Schoolbook"/>
          <w:i/>
          <w:szCs w:val="26"/>
        </w:rPr>
        <w:t xml:space="preserve">Gutierrez v. Brand Energy </w:t>
      </w:r>
      <w:r>
        <w:rPr>
          <w:rFonts w:ascii="Century Schoolbook" w:hAnsi="Century Schoolbook"/>
          <w:i/>
          <w:szCs w:val="26"/>
        </w:rPr>
        <w:t>Services</w:t>
      </w:r>
      <w:r w:rsidRPr="007B03DE">
        <w:rPr>
          <w:rFonts w:ascii="Century Schoolbook" w:hAnsi="Century Schoolbook"/>
          <w:i/>
          <w:szCs w:val="26"/>
        </w:rPr>
        <w:t xml:space="preserve"> of California, Inc</w:t>
      </w:r>
      <w:r w:rsidRPr="007B03DE">
        <w:rPr>
          <w:rFonts w:ascii="Century Schoolbook" w:hAnsi="Century Schoolbook"/>
          <w:iCs/>
          <w:szCs w:val="26"/>
        </w:rPr>
        <w:t>.</w:t>
      </w:r>
      <w:r>
        <w:rPr>
          <w:rFonts w:ascii="Century Schoolbook" w:hAnsi="Century Schoolbook"/>
          <w:iCs/>
          <w:szCs w:val="26"/>
        </w:rPr>
        <w:t xml:space="preserve"> (2020)</w:t>
      </w:r>
      <w:r w:rsidRPr="007B03DE">
        <w:rPr>
          <w:rFonts w:ascii="Century Schoolbook" w:hAnsi="Century Schoolbook"/>
          <w:iCs/>
          <w:szCs w:val="26"/>
        </w:rPr>
        <w:t xml:space="preserve"> 50 Cal.App.5th 786, 803</w:t>
      </w:r>
      <w:r>
        <w:rPr>
          <w:rFonts w:ascii="Century Schoolbook" w:hAnsi="Century Schoolbook"/>
          <w:iCs/>
          <w:szCs w:val="26"/>
        </w:rPr>
        <w:t>.</w:t>
      </w:r>
      <w:r w:rsidRPr="007B03DE">
        <w:rPr>
          <w:rFonts w:ascii="Century Schoolbook" w:hAnsi="Century Schoolbook"/>
          <w:iCs/>
          <w:szCs w:val="26"/>
        </w:rPr>
        <w:t>)</w:t>
      </w:r>
      <w:r>
        <w:rPr>
          <w:rFonts w:ascii="Century Schoolbook" w:hAnsi="Century Schoolbook"/>
          <w:iCs/>
          <w:szCs w:val="26"/>
        </w:rPr>
        <w:t xml:space="preserve">  </w:t>
      </w:r>
    </w:p>
    <w:p w14:paraId="15D3378E" w14:textId="77777777" w:rsidR="006A2C36" w:rsidRDefault="00962968" w:rsidP="006A2C36">
      <w:pPr>
        <w:spacing w:line="360" w:lineRule="auto"/>
        <w:rPr>
          <w:rFonts w:ascii="Century Schoolbook" w:hAnsi="Century Schoolbook"/>
          <w:iCs/>
          <w:szCs w:val="26"/>
        </w:rPr>
      </w:pPr>
      <w:r>
        <w:rPr>
          <w:rFonts w:ascii="Century Schoolbook" w:hAnsi="Century Schoolbook"/>
          <w:iCs/>
          <w:szCs w:val="26"/>
        </w:rPr>
        <w:tab/>
        <w:t>Nothing in the legislative history supports defen</w:t>
      </w:r>
      <w:r>
        <w:rPr>
          <w:rFonts w:ascii="Century Schoolbook" w:hAnsi="Century Schoolbook"/>
          <w:iCs/>
          <w:szCs w:val="26"/>
        </w:rPr>
        <w:t xml:space="preserve">dants’ interpretation.  Rather, the legislative history demonstrates that the Legislature was concerned with addressing “wage theft,” noting only a small percentage of employees who prevailed in their wage claims were actually able to recover unpaid wages </w:t>
      </w:r>
      <w:r>
        <w:rPr>
          <w:rFonts w:ascii="Century Schoolbook" w:hAnsi="Century Schoolbook"/>
          <w:iCs/>
          <w:szCs w:val="26"/>
        </w:rPr>
        <w:t>and, even then, only a small percentage of the amount owed.  (Sen. Rules Com., Off. of Sen. Floor Analyses, Rep. on Sen. Bill 588 Sept. 8, 2015, p. 8.)  The Legislature thus enacted various provisions to discourage employers from defaulting on such judgmen</w:t>
      </w:r>
      <w:r>
        <w:rPr>
          <w:rFonts w:ascii="Century Schoolbook" w:hAnsi="Century Schoolbook"/>
          <w:iCs/>
          <w:szCs w:val="26"/>
        </w:rPr>
        <w:t>ts, primarily by “updat[ing] and improv[ing]” the Labor Commissioner’s collection methods.  (See Sen. Com. on Judiciary, Analysis of Sen. Bill. 588 as amended Apr. 20, 2015, p. 12</w:t>
      </w:r>
      <w:r w:rsidRPr="000E634F">
        <w:rPr>
          <w:rFonts w:ascii="Century Schoolbook" w:hAnsi="Century Schoolbook"/>
          <w:iCs/>
          <w:szCs w:val="26"/>
        </w:rPr>
        <w:t xml:space="preserve">.)  The </w:t>
      </w:r>
      <w:r w:rsidRPr="000E634F">
        <w:rPr>
          <w:rFonts w:ascii="Century Schoolbook" w:hAnsi="Century Schoolbook"/>
          <w:iCs/>
          <w:szCs w:val="26"/>
        </w:rPr>
        <w:lastRenderedPageBreak/>
        <w:t>California Committee Report explained:  “This bill . . . gives the La</w:t>
      </w:r>
      <w:r w:rsidRPr="000E634F">
        <w:rPr>
          <w:rFonts w:ascii="Century Schoolbook" w:hAnsi="Century Schoolbook"/>
          <w:iCs/>
          <w:szCs w:val="26"/>
        </w:rPr>
        <w:t>bor Commissioner the authority to hold individual business owners accountable for their debts to workers.  This will discourage business owners from rolling up their operations and walking away from their debts to workers and starting a new company.”  (Cal</w:t>
      </w:r>
      <w:r w:rsidRPr="000E634F">
        <w:rPr>
          <w:rFonts w:ascii="Century Schoolbook" w:hAnsi="Century Schoolbook"/>
          <w:iCs/>
          <w:szCs w:val="26"/>
        </w:rPr>
        <w:t>. Com. Rep., 3d reading analysis of Sen. Bill 588 Sept. 4, 2015, p. 8.)</w:t>
      </w:r>
      <w:r>
        <w:rPr>
          <w:rStyle w:val="FootnoteReference"/>
          <w:iCs/>
          <w:szCs w:val="26"/>
        </w:rPr>
        <w:footnoteReference w:id="6"/>
      </w:r>
    </w:p>
    <w:p w14:paraId="6306F682" w14:textId="77777777" w:rsidR="007B03DE" w:rsidRDefault="00962968" w:rsidP="002C1935">
      <w:pPr>
        <w:spacing w:line="360" w:lineRule="auto"/>
        <w:rPr>
          <w:rFonts w:ascii="Century Schoolbook" w:hAnsi="Century Schoolbook"/>
          <w:iCs/>
          <w:szCs w:val="26"/>
        </w:rPr>
      </w:pPr>
      <w:r>
        <w:rPr>
          <w:rFonts w:ascii="Century Schoolbook" w:hAnsi="Century Schoolbook"/>
          <w:iCs/>
          <w:szCs w:val="26"/>
        </w:rPr>
        <w:tab/>
        <w:t>As relevant to this dispute, the statutory language achieved these goals by (1) allowing employees to hold certain individuals liable for wage violations; and (2) empowering the Lab</w:t>
      </w:r>
      <w:r>
        <w:rPr>
          <w:rFonts w:ascii="Century Schoolbook" w:hAnsi="Century Schoolbook"/>
          <w:iCs/>
          <w:szCs w:val="26"/>
        </w:rPr>
        <w:t>or Commissioner to assist employees in collecting on the resulting judgments, including against liable individuals.  Accordingly, section 558.1 must be interpreted as allowing for a private right of action.</w:t>
      </w:r>
      <w:r>
        <w:rPr>
          <w:rStyle w:val="FootnoteReference"/>
          <w:iCs/>
          <w:szCs w:val="26"/>
        </w:rPr>
        <w:footnoteReference w:id="7"/>
      </w:r>
    </w:p>
    <w:p w14:paraId="1D2BD4B6" w14:textId="77777777" w:rsidR="00E30CC8" w:rsidRPr="00E30CC8" w:rsidRDefault="00962968" w:rsidP="001362BA">
      <w:pPr>
        <w:keepNext/>
        <w:spacing w:line="360" w:lineRule="auto"/>
        <w:rPr>
          <w:rFonts w:ascii="Century Schoolbook" w:hAnsi="Century Schoolbook"/>
          <w:b/>
          <w:bCs/>
          <w:i/>
          <w:szCs w:val="26"/>
        </w:rPr>
      </w:pPr>
      <w:r w:rsidRPr="00E30CC8">
        <w:rPr>
          <w:rFonts w:ascii="Century Schoolbook" w:hAnsi="Century Schoolbook"/>
          <w:b/>
          <w:bCs/>
          <w:i/>
          <w:szCs w:val="26"/>
        </w:rPr>
        <w:lastRenderedPageBreak/>
        <w:tab/>
        <w:t>2.</w:t>
      </w:r>
      <w:r>
        <w:rPr>
          <w:rFonts w:ascii="Century Schoolbook" w:hAnsi="Century Schoolbook"/>
          <w:b/>
          <w:bCs/>
          <w:i/>
          <w:szCs w:val="26"/>
        </w:rPr>
        <w:tab/>
      </w:r>
      <w:r w:rsidRPr="00E30CC8">
        <w:rPr>
          <w:rFonts w:ascii="Century Schoolbook" w:hAnsi="Century Schoolbook"/>
          <w:b/>
          <w:bCs/>
          <w:i/>
          <w:szCs w:val="26"/>
        </w:rPr>
        <w:t>Discretion Under Section 558.1</w:t>
      </w:r>
    </w:p>
    <w:p w14:paraId="358C0AC8" w14:textId="77777777" w:rsidR="00EC7436" w:rsidRDefault="00962968" w:rsidP="002C1935">
      <w:pPr>
        <w:spacing w:line="360" w:lineRule="auto"/>
        <w:rPr>
          <w:rFonts w:ascii="Century Schoolbook" w:hAnsi="Century Schoolbook"/>
          <w:iCs/>
          <w:szCs w:val="26"/>
        </w:rPr>
      </w:pPr>
      <w:r>
        <w:rPr>
          <w:rFonts w:ascii="Century Schoolbook" w:hAnsi="Century Schoolbook"/>
          <w:iCs/>
          <w:szCs w:val="26"/>
        </w:rPr>
        <w:tab/>
      </w:r>
      <w:r>
        <w:rPr>
          <w:rFonts w:ascii="Century Schoolbook" w:hAnsi="Century Schoolbook"/>
          <w:iCs/>
          <w:szCs w:val="26"/>
        </w:rPr>
        <w:t xml:space="preserve">We next address whether section 558.1 provides courts with discretion as to whether to impose individual liability.  </w:t>
      </w:r>
      <w:r w:rsidRPr="002C1935">
        <w:rPr>
          <w:rFonts w:ascii="Century Schoolbook" w:hAnsi="Century Schoolbook"/>
          <w:iCs/>
          <w:szCs w:val="26"/>
        </w:rPr>
        <w:t>Section 558.1 provides:</w:t>
      </w:r>
      <w:r>
        <w:rPr>
          <w:rFonts w:ascii="Century Schoolbook" w:hAnsi="Century Schoolbook"/>
          <w:iCs/>
          <w:szCs w:val="26"/>
        </w:rPr>
        <w:t xml:space="preserve"> </w:t>
      </w:r>
      <w:r w:rsidRPr="002C1935">
        <w:rPr>
          <w:rFonts w:ascii="Century Schoolbook" w:hAnsi="Century Schoolbook"/>
          <w:iCs/>
          <w:szCs w:val="26"/>
        </w:rPr>
        <w:t xml:space="preserve"> “(a) Any employer or other person acting on behalf of an employer, who violates, or causes to be violated, any pro</w:t>
      </w:r>
      <w:r w:rsidRPr="002C1935">
        <w:rPr>
          <w:rFonts w:ascii="Century Schoolbook" w:hAnsi="Century Schoolbook"/>
          <w:iCs/>
          <w:szCs w:val="26"/>
        </w:rPr>
        <w:t xml:space="preserve">vision regulating minimum wages </w:t>
      </w:r>
      <w:r>
        <w:rPr>
          <w:rFonts w:ascii="Century Schoolbook" w:hAnsi="Century Schoolbook"/>
          <w:iCs/>
          <w:szCs w:val="26"/>
        </w:rPr>
        <w:t>. . .</w:t>
      </w:r>
      <w:r w:rsidRPr="002C1935">
        <w:rPr>
          <w:rFonts w:ascii="Century Schoolbook" w:hAnsi="Century Schoolbook"/>
          <w:iCs/>
          <w:szCs w:val="26"/>
        </w:rPr>
        <w:t xml:space="preserve"> </w:t>
      </w:r>
      <w:r w:rsidRPr="00EC7436">
        <w:rPr>
          <w:rFonts w:ascii="Century Schoolbook" w:hAnsi="Century Schoolbook"/>
          <w:i/>
          <w:szCs w:val="26"/>
        </w:rPr>
        <w:t>may</w:t>
      </w:r>
      <w:r w:rsidRPr="002C1935">
        <w:rPr>
          <w:rFonts w:ascii="Century Schoolbook" w:hAnsi="Century Schoolbook"/>
          <w:iCs/>
          <w:szCs w:val="26"/>
        </w:rPr>
        <w:t xml:space="preserve"> be held liable as the employer for such violation.</w:t>
      </w:r>
      <w:r>
        <w:rPr>
          <w:rFonts w:ascii="Century Schoolbook" w:hAnsi="Century Schoolbook"/>
          <w:iCs/>
          <w:szCs w:val="26"/>
        </w:rPr>
        <w:t xml:space="preserve">”  (Italics added.)  Plaintiffs allege the trial court erroneously interpreted the word “may” in section 558.1 as providing the court with discretion as to whether </w:t>
      </w:r>
      <w:r>
        <w:rPr>
          <w:rFonts w:ascii="Century Schoolbook" w:hAnsi="Century Schoolbook"/>
          <w:iCs/>
          <w:szCs w:val="26"/>
        </w:rPr>
        <w:t xml:space="preserve">to impose such liability.  Plaintiffs assert the term “may” is granting prosecutorial discretion, rather than judicial discretion. </w:t>
      </w:r>
    </w:p>
    <w:p w14:paraId="58866B21" w14:textId="77777777" w:rsidR="00CB581E" w:rsidRDefault="00962968" w:rsidP="002C1935">
      <w:pPr>
        <w:spacing w:line="360" w:lineRule="auto"/>
        <w:rPr>
          <w:rFonts w:ascii="Century Schoolbook" w:hAnsi="Century Schoolbook"/>
          <w:iCs/>
          <w:szCs w:val="26"/>
        </w:rPr>
      </w:pPr>
      <w:r>
        <w:rPr>
          <w:rFonts w:ascii="Century Schoolbook" w:hAnsi="Century Schoolbook"/>
          <w:iCs/>
          <w:szCs w:val="26"/>
        </w:rPr>
        <w:tab/>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‘As in any case involving statutory interpretation, our fundamental task .</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 is to determine the Legislature</w:t>
      </w:r>
      <w:r>
        <w:rPr>
          <w:rFonts w:ascii="Century Schoolbook" w:hAnsi="Century Schoolbook"/>
          <w:iCs/>
          <w:szCs w:val="26"/>
        </w:rPr>
        <w:t>’</w:t>
      </w:r>
      <w:r w:rsidRPr="00CB581E">
        <w:rPr>
          <w:rFonts w:ascii="Century Schoolbook" w:hAnsi="Century Schoolbook"/>
          <w:iCs/>
          <w:szCs w:val="26"/>
        </w:rPr>
        <w:t>s inte</w:t>
      </w:r>
      <w:r w:rsidRPr="00CB581E">
        <w:rPr>
          <w:rFonts w:ascii="Century Schoolbook" w:hAnsi="Century Schoolbook"/>
          <w:iCs/>
          <w:szCs w:val="26"/>
        </w:rPr>
        <w:t>nt so as to effectuate the law</w:t>
      </w:r>
      <w:r>
        <w:rPr>
          <w:rFonts w:ascii="Century Schoolbook" w:hAnsi="Century Schoolbook"/>
          <w:iCs/>
          <w:szCs w:val="26"/>
        </w:rPr>
        <w:t>’</w:t>
      </w:r>
      <w:r w:rsidRPr="00CB581E">
        <w:rPr>
          <w:rFonts w:ascii="Century Schoolbook" w:hAnsi="Century Schoolbook"/>
          <w:iCs/>
          <w:szCs w:val="26"/>
        </w:rPr>
        <w:t xml:space="preserve">s purpose. </w:t>
      </w:r>
      <w:r>
        <w:rPr>
          <w:rFonts w:ascii="Century Schoolbook" w:hAnsi="Century Schoolbook"/>
          <w:iCs/>
          <w:szCs w:val="26"/>
        </w:rPr>
        <w:t xml:space="preserve"> </w:t>
      </w:r>
      <w:r w:rsidRPr="00CB581E">
        <w:rPr>
          <w:rFonts w:ascii="Century Schoolbook" w:hAnsi="Century Schoolbook"/>
          <w:iCs/>
          <w:szCs w:val="26"/>
        </w:rPr>
        <w:t>[Citation.]</w:t>
      </w:r>
      <w:r>
        <w:rPr>
          <w:rFonts w:ascii="Century Schoolbook" w:hAnsi="Century Schoolbook"/>
          <w:iCs/>
          <w:szCs w:val="26"/>
        </w:rPr>
        <w:t xml:space="preserve"> </w:t>
      </w:r>
      <w:r w:rsidRPr="00CB581E">
        <w:rPr>
          <w:rFonts w:ascii="Century Schoolbook" w:hAnsi="Century Schoolbook"/>
          <w:iCs/>
          <w:szCs w:val="26"/>
        </w:rPr>
        <w:t xml:space="preserve"> We begin by examining the statute</w:t>
      </w:r>
      <w:r>
        <w:rPr>
          <w:rFonts w:ascii="Century Schoolbook" w:hAnsi="Century Schoolbook"/>
          <w:iCs/>
          <w:szCs w:val="26"/>
        </w:rPr>
        <w:t>’</w:t>
      </w:r>
      <w:r w:rsidRPr="00CB581E">
        <w:rPr>
          <w:rFonts w:ascii="Century Schoolbook" w:hAnsi="Century Schoolbook"/>
          <w:iCs/>
          <w:szCs w:val="26"/>
        </w:rPr>
        <w:t>s words, giving them a plain and commonsense meaning.’</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xml:space="preserve"> </w:t>
      </w:r>
      <w:r w:rsidRPr="00CB581E">
        <w:rPr>
          <w:rFonts w:ascii="Century Schoolbook" w:hAnsi="Century Schoolbook"/>
          <w:iCs/>
          <w:szCs w:val="26"/>
        </w:rPr>
        <w:t xml:space="preserve"> [Citation.]</w:t>
      </w:r>
      <w:r>
        <w:rPr>
          <w:rFonts w:ascii="Century Schoolbook" w:hAnsi="Century Schoolbook"/>
          <w:iCs/>
          <w:szCs w:val="26"/>
        </w:rPr>
        <w:t xml:space="preserve"> </w:t>
      </w:r>
      <w:r w:rsidRPr="00CB581E">
        <w:rPr>
          <w:rFonts w:ascii="Century Schoolbook" w:hAnsi="Century Schoolbook"/>
          <w:iCs/>
          <w:szCs w:val="26"/>
        </w:rPr>
        <w:t xml:space="preserve"> ‘[W]e consider the language of the entire scheme and related statutes, harmonizing the terms </w:t>
      </w:r>
      <w:r w:rsidRPr="00CB581E">
        <w:rPr>
          <w:rFonts w:ascii="Century Schoolbook" w:hAnsi="Century Schoolbook"/>
          <w:iCs/>
          <w:szCs w:val="26"/>
        </w:rPr>
        <w:t>when possible.’</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xml:space="preserve"> </w:t>
      </w:r>
      <w:r w:rsidRPr="00CB581E">
        <w:rPr>
          <w:rFonts w:ascii="Century Schoolbook" w:hAnsi="Century Schoolbook"/>
          <w:iCs/>
          <w:szCs w:val="26"/>
        </w:rPr>
        <w:t xml:space="preserve"> (</w:t>
      </w:r>
      <w:r w:rsidRPr="00CB581E">
        <w:rPr>
          <w:rFonts w:ascii="Century Schoolbook" w:hAnsi="Century Schoolbook"/>
          <w:i/>
          <w:szCs w:val="26"/>
        </w:rPr>
        <w:t xml:space="preserve">People v. Gonzalez </w:t>
      </w:r>
      <w:r w:rsidRPr="00CB581E">
        <w:rPr>
          <w:rFonts w:ascii="Century Schoolbook" w:hAnsi="Century Schoolbook"/>
          <w:iCs/>
          <w:szCs w:val="26"/>
        </w:rPr>
        <w:t>(2017) 2 Cal.5th 1138,</w:t>
      </w:r>
      <w:r>
        <w:rPr>
          <w:rFonts w:ascii="Century Schoolbook" w:hAnsi="Century Schoolbook"/>
          <w:i/>
          <w:szCs w:val="26"/>
        </w:rPr>
        <w:t xml:space="preserve"> </w:t>
      </w:r>
      <w:r w:rsidRPr="00CB581E">
        <w:rPr>
          <w:rFonts w:ascii="Century Schoolbook" w:hAnsi="Century Schoolbook"/>
          <w:iCs/>
          <w:szCs w:val="26"/>
        </w:rPr>
        <w:t xml:space="preserve">1141; </w:t>
      </w:r>
      <w:r w:rsidRPr="00CB581E">
        <w:rPr>
          <w:rFonts w:ascii="Century Schoolbook" w:hAnsi="Century Schoolbook"/>
          <w:i/>
          <w:szCs w:val="26"/>
        </w:rPr>
        <w:t>People v. Valencia</w:t>
      </w:r>
      <w:r w:rsidRPr="00CB581E">
        <w:rPr>
          <w:rFonts w:ascii="Century Schoolbook" w:hAnsi="Century Schoolbook"/>
          <w:iCs/>
          <w:szCs w:val="26"/>
        </w:rPr>
        <w:t xml:space="preserve"> (2017) 3 Cal.5th 347, 357 [“</w:t>
      </w:r>
      <w:r>
        <w:rPr>
          <w:rFonts w:ascii="Century Schoolbook" w:hAnsi="Century Schoolbook"/>
          <w:iCs/>
          <w:szCs w:val="26"/>
        </w:rPr>
        <w:t> </w:t>
      </w:r>
      <w:r w:rsidRPr="00CB581E">
        <w:rPr>
          <w:rFonts w:ascii="Century Schoolbook" w:hAnsi="Century Schoolbook"/>
          <w:iCs/>
          <w:szCs w:val="26"/>
        </w:rPr>
        <w:t>‘[t]he words of the statute must be construed in context, keeping in mind the statutory purpose, and statutes or statutory sections relating</w:t>
      </w:r>
      <w:r w:rsidRPr="00CB581E">
        <w:rPr>
          <w:rFonts w:ascii="Century Schoolbook" w:hAnsi="Century Schoolbook"/>
          <w:iCs/>
          <w:szCs w:val="26"/>
        </w:rPr>
        <w:t xml:space="preserve"> to the same subject must be harmonized, both internally and with each other, to the extent possible’</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xml:space="preserve"> </w:t>
      </w:r>
      <w:r w:rsidRPr="00CB581E">
        <w:rPr>
          <w:rFonts w:ascii="Century Schoolbook" w:hAnsi="Century Schoolbook"/>
          <w:iCs/>
          <w:szCs w:val="26"/>
        </w:rPr>
        <w:t xml:space="preserve"> If the language of the statute is clear and unambiguous, there is no need for judicial construction and our task is at an end. </w:t>
      </w:r>
      <w:r>
        <w:rPr>
          <w:rFonts w:ascii="Century Schoolbook" w:hAnsi="Century Schoolbook"/>
          <w:iCs/>
          <w:szCs w:val="26"/>
        </w:rPr>
        <w:t xml:space="preserve"> </w:t>
      </w:r>
      <w:r w:rsidRPr="00CB581E">
        <w:rPr>
          <w:rFonts w:ascii="Century Schoolbook" w:hAnsi="Century Schoolbook"/>
          <w:iCs/>
          <w:szCs w:val="26"/>
        </w:rPr>
        <w:t xml:space="preserve">If the language is reasonably susceptible of more than one meaning, however, we may examine extrinsic aids such as the apparent purpose of the statute, the legislative history, the canons of statutory construction, and public policy. </w:t>
      </w:r>
      <w:r>
        <w:rPr>
          <w:rFonts w:ascii="Century Schoolbook" w:hAnsi="Century Schoolbook"/>
          <w:iCs/>
          <w:szCs w:val="26"/>
        </w:rPr>
        <w:t xml:space="preserve"> </w:t>
      </w:r>
      <w:r w:rsidRPr="00CB581E">
        <w:rPr>
          <w:rFonts w:ascii="Century Schoolbook" w:hAnsi="Century Schoolbook"/>
          <w:iCs/>
          <w:szCs w:val="26"/>
        </w:rPr>
        <w:t>(</w:t>
      </w:r>
      <w:r w:rsidRPr="00CB581E">
        <w:rPr>
          <w:rFonts w:ascii="Century Schoolbook" w:hAnsi="Century Schoolbook"/>
          <w:i/>
          <w:szCs w:val="26"/>
        </w:rPr>
        <w:t>Even Zohar Construct</w:t>
      </w:r>
      <w:r w:rsidRPr="00CB581E">
        <w:rPr>
          <w:rFonts w:ascii="Century Schoolbook" w:hAnsi="Century Schoolbook"/>
          <w:i/>
          <w:szCs w:val="26"/>
        </w:rPr>
        <w:t>ion &amp; Remodeling, Inc. v. Bellaire Townhouses, LLC</w:t>
      </w:r>
      <w:r w:rsidRPr="00CB581E">
        <w:rPr>
          <w:rFonts w:ascii="Century Schoolbook" w:hAnsi="Century Schoolbook"/>
          <w:iCs/>
          <w:szCs w:val="26"/>
        </w:rPr>
        <w:t xml:space="preserve"> (2015) 61 Cal.4th 830, 838</w:t>
      </w:r>
      <w:r>
        <w:rPr>
          <w:rFonts w:ascii="Century Schoolbook" w:hAnsi="Century Schoolbook"/>
          <w:iCs/>
          <w:szCs w:val="26"/>
        </w:rPr>
        <w:t>.)</w:t>
      </w:r>
    </w:p>
    <w:p w14:paraId="37C8ADFA" w14:textId="77777777" w:rsidR="00CB581E" w:rsidRDefault="00962968" w:rsidP="002C1935">
      <w:pPr>
        <w:spacing w:line="360" w:lineRule="auto"/>
        <w:rPr>
          <w:rFonts w:ascii="Century Schoolbook" w:hAnsi="Century Schoolbook"/>
          <w:iCs/>
          <w:szCs w:val="26"/>
        </w:rPr>
      </w:pPr>
      <w:r>
        <w:rPr>
          <w:rFonts w:ascii="Century Schoolbook" w:hAnsi="Century Schoolbook"/>
          <w:iCs/>
          <w:szCs w:val="26"/>
        </w:rPr>
        <w:lastRenderedPageBreak/>
        <w:tab/>
        <w:t>We first turn to the plain language of the statute.  As noted above, section 558.1 states a “</w:t>
      </w:r>
      <w:r w:rsidRPr="002C1935">
        <w:rPr>
          <w:rFonts w:ascii="Century Schoolbook" w:hAnsi="Century Schoolbook"/>
          <w:iCs/>
          <w:szCs w:val="26"/>
        </w:rPr>
        <w:t>person acting on behalf of an employer, who violates, or causes to be violated, an</w:t>
      </w:r>
      <w:r w:rsidRPr="002C1935">
        <w:rPr>
          <w:rFonts w:ascii="Century Schoolbook" w:hAnsi="Century Schoolbook"/>
          <w:iCs/>
          <w:szCs w:val="26"/>
        </w:rPr>
        <w:t xml:space="preserve">y provision regulating minimum wages </w:t>
      </w:r>
      <w:r>
        <w:rPr>
          <w:rFonts w:ascii="Century Schoolbook" w:hAnsi="Century Schoolbook"/>
          <w:iCs/>
          <w:szCs w:val="26"/>
        </w:rPr>
        <w:t>. . .</w:t>
      </w:r>
      <w:r w:rsidRPr="002C1935">
        <w:rPr>
          <w:rFonts w:ascii="Century Schoolbook" w:hAnsi="Century Schoolbook"/>
          <w:iCs/>
          <w:szCs w:val="26"/>
        </w:rPr>
        <w:t xml:space="preserve"> </w:t>
      </w:r>
      <w:r w:rsidRPr="00CB581E">
        <w:rPr>
          <w:rFonts w:ascii="Century Schoolbook" w:hAnsi="Century Schoolbook"/>
          <w:iCs/>
          <w:szCs w:val="26"/>
        </w:rPr>
        <w:t>may</w:t>
      </w:r>
      <w:r w:rsidRPr="002C1935">
        <w:rPr>
          <w:rFonts w:ascii="Century Schoolbook" w:hAnsi="Century Schoolbook"/>
          <w:iCs/>
          <w:szCs w:val="26"/>
        </w:rPr>
        <w:t xml:space="preserve"> be held liable as the employer for such violation.</w:t>
      </w:r>
      <w:r>
        <w:rPr>
          <w:rFonts w:ascii="Century Schoolbook" w:hAnsi="Century Schoolbook"/>
          <w:iCs/>
          <w:szCs w:val="26"/>
        </w:rPr>
        <w:t xml:space="preserve">”  (§ 558.1, subd. (a).)  The parties do not disagree that the word “may” implies a degree of discretion.  Rather, they disagree as to whether such discretion </w:t>
      </w:r>
      <w:r>
        <w:rPr>
          <w:rFonts w:ascii="Century Schoolbook" w:hAnsi="Century Schoolbook"/>
          <w:iCs/>
          <w:szCs w:val="26"/>
        </w:rPr>
        <w:t xml:space="preserve">may be exercised by a court or the party prosecuting the action.  </w:t>
      </w:r>
    </w:p>
    <w:p w14:paraId="28C71342" w14:textId="77777777" w:rsidR="00533C5D" w:rsidRDefault="00962968" w:rsidP="002C1935">
      <w:pPr>
        <w:spacing w:line="360" w:lineRule="auto"/>
        <w:rPr>
          <w:rFonts w:ascii="Century Schoolbook" w:hAnsi="Century Schoolbook"/>
          <w:iCs/>
          <w:szCs w:val="26"/>
        </w:rPr>
      </w:pPr>
      <w:r>
        <w:rPr>
          <w:rFonts w:ascii="Century Schoolbook" w:hAnsi="Century Schoolbook"/>
          <w:iCs/>
          <w:szCs w:val="26"/>
        </w:rPr>
        <w:tab/>
        <w:t xml:space="preserve">On this question, we find </w:t>
      </w:r>
      <w:r>
        <w:rPr>
          <w:rFonts w:ascii="Century Schoolbook" w:hAnsi="Century Schoolbook"/>
          <w:i/>
          <w:szCs w:val="26"/>
        </w:rPr>
        <w:t>Jones v. Tracy School District</w:t>
      </w:r>
      <w:r>
        <w:rPr>
          <w:rFonts w:ascii="Century Schoolbook" w:hAnsi="Century Schoolbook"/>
          <w:iCs/>
          <w:szCs w:val="26"/>
        </w:rPr>
        <w:t xml:space="preserve"> (1980) 27 Cal.3d 99 instructive.  As relevant to this appeal, the Supreme Court evaluated subdivision (g) of former section 1197.5, which provided that </w:t>
      </w:r>
      <w:r w:rsidRPr="00744F5C">
        <w:rPr>
          <w:rFonts w:ascii="Century Schoolbook" w:hAnsi="Century Schoolbook"/>
          <w:iCs/>
          <w:szCs w:val="26"/>
        </w:rPr>
        <w:t>an “</w:t>
      </w:r>
      <w:r>
        <w:rPr>
          <w:rFonts w:ascii="Century Schoolbook" w:hAnsi="Century Schoolbook"/>
          <w:iCs/>
          <w:szCs w:val="26"/>
        </w:rPr>
        <w:t> ‘</w:t>
      </w:r>
      <w:r w:rsidRPr="00744F5C">
        <w:rPr>
          <w:rFonts w:ascii="Century Schoolbook" w:hAnsi="Century Schoolbook"/>
          <w:iCs/>
          <w:szCs w:val="26"/>
        </w:rPr>
        <w:t>employee receiving less than the wage to which the employee is entitled .</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 may recover in a ci</w:t>
      </w:r>
      <w:r w:rsidRPr="00744F5C">
        <w:rPr>
          <w:rFonts w:ascii="Century Schoolbook" w:hAnsi="Century Schoolbook"/>
          <w:iCs/>
          <w:szCs w:val="26"/>
        </w:rPr>
        <w:t>vil action the balance of such wages, including interest thereon, together with the costs of the suit and reasonable attorney</w:t>
      </w:r>
      <w:r>
        <w:rPr>
          <w:rFonts w:ascii="Century Schoolbook" w:hAnsi="Century Schoolbook"/>
          <w:iCs/>
          <w:szCs w:val="26"/>
        </w:rPr>
        <w:t>’</w:t>
      </w:r>
      <w:r w:rsidRPr="00744F5C">
        <w:rPr>
          <w:rFonts w:ascii="Century Schoolbook" w:hAnsi="Century Schoolbook"/>
          <w:iCs/>
          <w:szCs w:val="26"/>
        </w:rPr>
        <w:t xml:space="preserve">s fees </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xml:space="preserve">  (</w:t>
      </w:r>
      <w:r>
        <w:rPr>
          <w:rFonts w:ascii="Century Schoolbook" w:hAnsi="Century Schoolbook"/>
          <w:i/>
          <w:szCs w:val="26"/>
        </w:rPr>
        <w:t>Jones</w:t>
      </w:r>
      <w:r>
        <w:rPr>
          <w:rFonts w:ascii="Century Schoolbook" w:hAnsi="Century Schoolbook"/>
          <w:iCs/>
          <w:szCs w:val="26"/>
        </w:rPr>
        <w:t>, at p. 109.)  The parties disagreed as to whether the court had discretion to deny attorney fees based o</w:t>
      </w:r>
      <w:r>
        <w:rPr>
          <w:rFonts w:ascii="Century Schoolbook" w:hAnsi="Century Schoolbook"/>
          <w:iCs/>
          <w:szCs w:val="26"/>
        </w:rPr>
        <w:t>n the use of “may” in the statute.  (</w:t>
      </w:r>
      <w:r>
        <w:rPr>
          <w:rFonts w:ascii="Century Schoolbook" w:hAnsi="Century Schoolbook"/>
          <w:i/>
          <w:szCs w:val="26"/>
        </w:rPr>
        <w:t>Ibid.</w:t>
      </w:r>
      <w:r>
        <w:rPr>
          <w:rFonts w:ascii="Century Schoolbook" w:hAnsi="Century Schoolbook"/>
          <w:iCs/>
          <w:szCs w:val="26"/>
        </w:rPr>
        <w:t>)  The Supreme Court concluded the statute “</w:t>
      </w:r>
      <w:r w:rsidRPr="00A91674">
        <w:rPr>
          <w:rFonts w:ascii="Century Schoolbook" w:hAnsi="Century Schoolbook"/>
          <w:iCs/>
          <w:szCs w:val="26"/>
        </w:rPr>
        <w:t>must be construed to require an award of attorney</w:t>
      </w:r>
      <w:r>
        <w:rPr>
          <w:rFonts w:ascii="Century Schoolbook" w:hAnsi="Century Schoolbook"/>
          <w:iCs/>
          <w:szCs w:val="26"/>
        </w:rPr>
        <w:t>’</w:t>
      </w:r>
      <w:r w:rsidRPr="00A91674">
        <w:rPr>
          <w:rFonts w:ascii="Century Schoolbook" w:hAnsi="Century Schoolbook"/>
          <w:iCs/>
          <w:szCs w:val="26"/>
        </w:rPr>
        <w:t>s fees</w:t>
      </w:r>
      <w:r>
        <w:rPr>
          <w:rFonts w:ascii="Century Schoolbook" w:hAnsi="Century Schoolbook"/>
          <w:iCs/>
          <w:szCs w:val="26"/>
        </w:rPr>
        <w:t>.”  (</w:t>
      </w:r>
      <w:r>
        <w:rPr>
          <w:rFonts w:ascii="Century Schoolbook" w:hAnsi="Century Schoolbook"/>
          <w:i/>
          <w:szCs w:val="26"/>
        </w:rPr>
        <w:t>Ibid.</w:t>
      </w:r>
      <w:r>
        <w:rPr>
          <w:rFonts w:ascii="Century Schoolbook" w:hAnsi="Century Schoolbook"/>
          <w:iCs/>
          <w:szCs w:val="26"/>
        </w:rPr>
        <w:t>)  It explained while the word “may” is usually permissive, “I</w:t>
      </w:r>
      <w:r w:rsidRPr="00A91674">
        <w:rPr>
          <w:rFonts w:ascii="Century Schoolbook" w:hAnsi="Century Schoolbook"/>
          <w:iCs/>
          <w:szCs w:val="26"/>
        </w:rPr>
        <w:t xml:space="preserve">n the present case, however, the word </w:t>
      </w:r>
      <w:r>
        <w:rPr>
          <w:rFonts w:ascii="Century Schoolbook" w:hAnsi="Century Schoolbook"/>
          <w:iCs/>
          <w:szCs w:val="26"/>
        </w:rPr>
        <w:t>‘</w:t>
      </w:r>
      <w:r w:rsidRPr="00A91674">
        <w:rPr>
          <w:rFonts w:ascii="Century Schoolbook" w:hAnsi="Century Schoolbook"/>
          <w:iCs/>
          <w:szCs w:val="26"/>
        </w:rPr>
        <w:t>may</w:t>
      </w:r>
      <w:r>
        <w:rPr>
          <w:rFonts w:ascii="Century Schoolbook" w:hAnsi="Century Schoolbook"/>
          <w:iCs/>
          <w:szCs w:val="26"/>
        </w:rPr>
        <w:t>’</w:t>
      </w:r>
      <w:r w:rsidRPr="00A91674">
        <w:rPr>
          <w:rFonts w:ascii="Century Schoolbook" w:hAnsi="Century Schoolbook"/>
          <w:iCs/>
          <w:szCs w:val="26"/>
        </w:rPr>
        <w:t xml:space="preserve"> is not directed to the trial court, but to the complaining party.</w:t>
      </w:r>
      <w:r>
        <w:rPr>
          <w:rFonts w:ascii="Century Schoolbook" w:hAnsi="Century Schoolbook"/>
          <w:iCs/>
          <w:szCs w:val="26"/>
        </w:rPr>
        <w:t xml:space="preserve"> </w:t>
      </w:r>
      <w:r w:rsidRPr="00A91674">
        <w:rPr>
          <w:rFonts w:ascii="Century Schoolbook" w:hAnsi="Century Schoolbook"/>
          <w:iCs/>
          <w:szCs w:val="26"/>
        </w:rPr>
        <w:t xml:space="preserve"> It indicates that the plaintiff may choose among several alternative forms of relief.</w:t>
      </w:r>
      <w:r>
        <w:rPr>
          <w:rFonts w:ascii="Century Schoolbook" w:hAnsi="Century Schoolbook"/>
          <w:iCs/>
          <w:szCs w:val="26"/>
        </w:rPr>
        <w:t>”  (</w:t>
      </w:r>
      <w:r>
        <w:rPr>
          <w:rFonts w:ascii="Century Schoolbook" w:hAnsi="Century Schoolbook"/>
          <w:i/>
          <w:szCs w:val="26"/>
        </w:rPr>
        <w:t>Ibid.</w:t>
      </w:r>
      <w:r>
        <w:rPr>
          <w:rFonts w:ascii="Century Schoolbook" w:hAnsi="Century Schoolbook"/>
          <w:iCs/>
          <w:szCs w:val="26"/>
        </w:rPr>
        <w:t>)  “</w:t>
      </w:r>
      <w:r w:rsidRPr="00A91674">
        <w:rPr>
          <w:rFonts w:ascii="Century Schoolbook" w:hAnsi="Century Schoolbook"/>
          <w:iCs/>
          <w:szCs w:val="26"/>
        </w:rPr>
        <w:t xml:space="preserve">The use of the word </w:t>
      </w:r>
      <w:r>
        <w:rPr>
          <w:rFonts w:ascii="Century Schoolbook" w:hAnsi="Century Schoolbook"/>
          <w:iCs/>
          <w:szCs w:val="26"/>
        </w:rPr>
        <w:t>‘</w:t>
      </w:r>
      <w:r w:rsidRPr="00A91674">
        <w:rPr>
          <w:rFonts w:ascii="Century Schoolbook" w:hAnsi="Century Schoolbook"/>
          <w:iCs/>
          <w:szCs w:val="26"/>
        </w:rPr>
        <w:t>may</w:t>
      </w:r>
      <w:r>
        <w:rPr>
          <w:rFonts w:ascii="Century Schoolbook" w:hAnsi="Century Schoolbook"/>
          <w:iCs/>
          <w:szCs w:val="26"/>
        </w:rPr>
        <w:t>’</w:t>
      </w:r>
      <w:r w:rsidRPr="00A91674">
        <w:rPr>
          <w:rFonts w:ascii="Century Schoolbook" w:hAnsi="Century Schoolbook"/>
          <w:iCs/>
          <w:szCs w:val="26"/>
        </w:rPr>
        <w:t xml:space="preserve"> does not demonstrate an intent to give the trial court discreti</w:t>
      </w:r>
      <w:r w:rsidRPr="00A91674">
        <w:rPr>
          <w:rFonts w:ascii="Century Schoolbook" w:hAnsi="Century Schoolbook"/>
          <w:iCs/>
          <w:szCs w:val="26"/>
        </w:rPr>
        <w:t>on to award attorney</w:t>
      </w:r>
      <w:r>
        <w:rPr>
          <w:rFonts w:ascii="Century Schoolbook" w:hAnsi="Century Schoolbook"/>
          <w:iCs/>
          <w:szCs w:val="26"/>
        </w:rPr>
        <w:t>’</w:t>
      </w:r>
      <w:r w:rsidRPr="00A91674">
        <w:rPr>
          <w:rFonts w:ascii="Century Schoolbook" w:hAnsi="Century Schoolbook"/>
          <w:iCs/>
          <w:szCs w:val="26"/>
        </w:rPr>
        <w:t>s fees, but merely establishes the plaintiff</w:t>
      </w:r>
      <w:r>
        <w:rPr>
          <w:rFonts w:ascii="Century Schoolbook" w:hAnsi="Century Schoolbook"/>
          <w:iCs/>
          <w:szCs w:val="26"/>
        </w:rPr>
        <w:t>’</w:t>
      </w:r>
      <w:r w:rsidRPr="00A91674">
        <w:rPr>
          <w:rFonts w:ascii="Century Schoolbook" w:hAnsi="Century Schoolbook"/>
          <w:iCs/>
          <w:szCs w:val="26"/>
        </w:rPr>
        <w:t xml:space="preserve">s </w:t>
      </w:r>
      <w:r w:rsidRPr="00CC558A">
        <w:rPr>
          <w:rFonts w:ascii="Century Schoolbook" w:hAnsi="Century Schoolbook"/>
          <w:i/>
          <w:szCs w:val="26"/>
        </w:rPr>
        <w:t>right</w:t>
      </w:r>
      <w:r w:rsidRPr="00A91674">
        <w:rPr>
          <w:rFonts w:ascii="Century Schoolbook" w:hAnsi="Century Schoolbook"/>
          <w:iCs/>
          <w:szCs w:val="26"/>
        </w:rPr>
        <w:t xml:space="preserve"> to such an award should </w:t>
      </w:r>
      <w:r>
        <w:rPr>
          <w:rFonts w:ascii="Century Schoolbook" w:hAnsi="Century Schoolbook"/>
          <w:iCs/>
          <w:szCs w:val="26"/>
        </w:rPr>
        <w:t xml:space="preserve">[he or] </w:t>
      </w:r>
      <w:r w:rsidRPr="00A91674">
        <w:rPr>
          <w:rFonts w:ascii="Century Schoolbook" w:hAnsi="Century Schoolbook"/>
          <w:iCs/>
          <w:szCs w:val="26"/>
        </w:rPr>
        <w:t>she elect to pursue the civil remedy.</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110.)</w:t>
      </w:r>
    </w:p>
    <w:p w14:paraId="783A90BB" w14:textId="77777777" w:rsidR="00A91674" w:rsidRDefault="00962968" w:rsidP="002C1935">
      <w:pPr>
        <w:spacing w:line="360" w:lineRule="auto"/>
        <w:rPr>
          <w:rFonts w:ascii="Century Schoolbook" w:hAnsi="Century Schoolbook"/>
          <w:iCs/>
          <w:szCs w:val="26"/>
        </w:rPr>
      </w:pPr>
      <w:r>
        <w:rPr>
          <w:rFonts w:ascii="Century Schoolbook" w:hAnsi="Century Schoolbook"/>
          <w:iCs/>
          <w:szCs w:val="26"/>
        </w:rPr>
        <w:tab/>
        <w:t xml:space="preserve">We find a similar interpretation of the word “may” is appropriate as to section 558.1.  In </w:t>
      </w:r>
      <w:r>
        <w:rPr>
          <w:rFonts w:ascii="Century Schoolbook" w:hAnsi="Century Schoolbook"/>
          <w:iCs/>
          <w:szCs w:val="26"/>
        </w:rPr>
        <w:t xml:space="preserve">the event an employer attempts to avoid a judgment arising from a wage violation, the employee or the Labor Commissioner is entitled to </w:t>
      </w:r>
      <w:r>
        <w:rPr>
          <w:rFonts w:ascii="Century Schoolbook" w:hAnsi="Century Schoolbook"/>
          <w:iCs/>
          <w:szCs w:val="26"/>
        </w:rPr>
        <w:lastRenderedPageBreak/>
        <w:t>enforce such liability against those individuals who “violates, or causes to be violated” the minimum wage laws.  (See §</w:t>
      </w:r>
      <w:r>
        <w:rPr>
          <w:rFonts w:ascii="Century Schoolbook" w:hAnsi="Century Schoolbook"/>
          <w:iCs/>
          <w:szCs w:val="26"/>
        </w:rPr>
        <w:t> 558.1, subd. (a).)  However, such liability may not be necessary if the employee is able to collect his or her unpaid wages from the employer.</w:t>
      </w:r>
    </w:p>
    <w:p w14:paraId="79CF5A41" w14:textId="77777777" w:rsidR="00167463" w:rsidRDefault="00962968" w:rsidP="00167463">
      <w:pPr>
        <w:spacing w:line="360" w:lineRule="auto"/>
        <w:rPr>
          <w:rFonts w:ascii="Century Schoolbook" w:hAnsi="Century Schoolbook"/>
          <w:iCs/>
          <w:szCs w:val="26"/>
        </w:rPr>
      </w:pPr>
      <w:r>
        <w:rPr>
          <w:rFonts w:ascii="Century Schoolbook" w:hAnsi="Century Schoolbook"/>
          <w:iCs/>
          <w:szCs w:val="26"/>
        </w:rPr>
        <w:tab/>
        <w:t>This interpretation also is in accord with the Legislative Counsel’s Digest describing Senate Bill 588.  That d</w:t>
      </w:r>
      <w:r>
        <w:rPr>
          <w:rFonts w:ascii="Century Schoolbook" w:hAnsi="Century Schoolbook"/>
          <w:iCs/>
          <w:szCs w:val="26"/>
        </w:rPr>
        <w:t xml:space="preserve">igest states the “bill would provide that any employer or other person acting on behalf of an employer . . . who violates, or causes to be violated, any provision regulating minimum wages . . . is </w:t>
      </w:r>
      <w:r>
        <w:rPr>
          <w:rFonts w:ascii="Century Schoolbook" w:hAnsi="Century Schoolbook"/>
          <w:i/>
          <w:szCs w:val="26"/>
        </w:rPr>
        <w:t xml:space="preserve">authorized </w:t>
      </w:r>
      <w:r>
        <w:rPr>
          <w:rFonts w:ascii="Century Schoolbook" w:hAnsi="Century Schoolbook"/>
          <w:iCs/>
          <w:szCs w:val="26"/>
        </w:rPr>
        <w:t>to be held liable as the employer for such viola</w:t>
      </w:r>
      <w:r>
        <w:rPr>
          <w:rFonts w:ascii="Century Schoolbook" w:hAnsi="Century Schoolbook"/>
          <w:iCs/>
          <w:szCs w:val="26"/>
        </w:rPr>
        <w:t>tion.”  (Legis. Counsel’s Dig., Sen. Bill 588.)  Our interpretation also is supported by the purpose of Senate Bill 588.  Senate Bill 588 “ ‘</w:t>
      </w:r>
      <w:r w:rsidRPr="00811504">
        <w:rPr>
          <w:rFonts w:ascii="Century Schoolbook" w:hAnsi="Century Schoolbook"/>
          <w:iCs/>
          <w:szCs w:val="26"/>
        </w:rPr>
        <w:t>targets individual officers who are involved in the failure to pay wages</w:t>
      </w:r>
      <w:r>
        <w:rPr>
          <w:rFonts w:ascii="Century Schoolbook" w:hAnsi="Century Schoolbook"/>
          <w:iCs/>
          <w:szCs w:val="26"/>
        </w:rPr>
        <w:t>’ ” and “</w:t>
      </w:r>
      <w:r w:rsidRPr="00811504">
        <w:rPr>
          <w:rFonts w:ascii="Century Schoolbook" w:hAnsi="Century Schoolbook"/>
          <w:iCs/>
          <w:szCs w:val="26"/>
        </w:rPr>
        <w:t xml:space="preserve">sought to </w:t>
      </w:r>
      <w:r>
        <w:rPr>
          <w:rFonts w:ascii="Century Schoolbook" w:hAnsi="Century Schoolbook"/>
          <w:iCs/>
          <w:szCs w:val="26"/>
        </w:rPr>
        <w:t>‘ “</w:t>
      </w:r>
      <w:r w:rsidRPr="00811504">
        <w:rPr>
          <w:rFonts w:ascii="Century Schoolbook" w:hAnsi="Century Schoolbook"/>
          <w:iCs/>
          <w:szCs w:val="26"/>
        </w:rPr>
        <w:t>discourage [such indi</w:t>
      </w:r>
      <w:r w:rsidRPr="00811504">
        <w:rPr>
          <w:rFonts w:ascii="Century Schoolbook" w:hAnsi="Century Schoolbook"/>
          <w:iCs/>
          <w:szCs w:val="26"/>
        </w:rPr>
        <w:t>viduals] from rolling up their operations and walking away from their debts to workers and starting a new company.</w:t>
      </w:r>
      <w:r>
        <w:rPr>
          <w:rFonts w:ascii="Century Schoolbook" w:hAnsi="Century Schoolbook"/>
          <w:iCs/>
          <w:szCs w:val="26"/>
        </w:rPr>
        <w:t xml:space="preserve">” ’ ” </w:t>
      </w:r>
      <w:r w:rsidRPr="00811504">
        <w:rPr>
          <w:rFonts w:ascii="Century Schoolbook" w:hAnsi="Century Schoolbook"/>
          <w:iCs/>
          <w:szCs w:val="26"/>
        </w:rPr>
        <w:t xml:space="preserve"> </w:t>
      </w:r>
      <w:r>
        <w:rPr>
          <w:rFonts w:ascii="Century Schoolbook" w:hAnsi="Century Schoolbook"/>
          <w:iCs/>
          <w:szCs w:val="26"/>
        </w:rPr>
        <w:t>(</w:t>
      </w:r>
      <w:r w:rsidRPr="002C1935">
        <w:rPr>
          <w:rFonts w:ascii="Century Schoolbook" w:hAnsi="Century Schoolbook"/>
          <w:i/>
          <w:szCs w:val="26"/>
        </w:rPr>
        <w:t>Usher v. White</w:t>
      </w:r>
      <w:r w:rsidRPr="002C1935">
        <w:rPr>
          <w:rFonts w:ascii="Century Schoolbook" w:hAnsi="Century Schoolbook"/>
          <w:iCs/>
          <w:szCs w:val="26"/>
        </w:rPr>
        <w:t xml:space="preserve"> </w:t>
      </w:r>
      <w:r>
        <w:rPr>
          <w:rFonts w:ascii="Century Schoolbook" w:hAnsi="Century Schoolbook"/>
          <w:iCs/>
          <w:szCs w:val="26"/>
        </w:rPr>
        <w:t xml:space="preserve">(2021) </w:t>
      </w:r>
      <w:r w:rsidRPr="002C1935">
        <w:rPr>
          <w:rFonts w:ascii="Century Schoolbook" w:hAnsi="Century Schoolbook"/>
          <w:iCs/>
          <w:szCs w:val="26"/>
        </w:rPr>
        <w:t xml:space="preserve">64 Cal.App.5th 883, </w:t>
      </w:r>
      <w:r>
        <w:rPr>
          <w:rFonts w:ascii="Century Schoolbook" w:hAnsi="Century Schoolbook"/>
          <w:iCs/>
          <w:szCs w:val="26"/>
        </w:rPr>
        <w:t>8</w:t>
      </w:r>
      <w:r w:rsidRPr="002C1935">
        <w:rPr>
          <w:rFonts w:ascii="Century Schoolbook" w:hAnsi="Century Schoolbook"/>
          <w:iCs/>
          <w:szCs w:val="26"/>
        </w:rPr>
        <w:t>94</w:t>
      </w:r>
      <w:r>
        <w:rPr>
          <w:rFonts w:ascii="Century Schoolbook" w:hAnsi="Century Schoolbook"/>
          <w:iCs/>
          <w:szCs w:val="26"/>
        </w:rPr>
        <w:t>.</w:t>
      </w:r>
      <w:r w:rsidRPr="002C1935">
        <w:rPr>
          <w:rFonts w:ascii="Century Schoolbook" w:hAnsi="Century Schoolbook"/>
          <w:iCs/>
          <w:szCs w:val="26"/>
        </w:rPr>
        <w:t>)</w:t>
      </w:r>
      <w:r>
        <w:rPr>
          <w:rFonts w:ascii="Century Schoolbook" w:hAnsi="Century Schoolbook"/>
          <w:iCs/>
          <w:szCs w:val="26"/>
        </w:rPr>
        <w:t xml:space="preserve">  Allowing courts to excuse such individual liability would undermine the purpose of Se</w:t>
      </w:r>
      <w:r>
        <w:rPr>
          <w:rFonts w:ascii="Century Schoolbook" w:hAnsi="Century Schoolbook"/>
          <w:iCs/>
          <w:szCs w:val="26"/>
        </w:rPr>
        <w:t>nate Bill 588—to facilitate an employee’s ability to recover unpaid wages.</w:t>
      </w:r>
    </w:p>
    <w:p w14:paraId="22C6676D" w14:textId="77777777" w:rsidR="00167463" w:rsidRPr="00A0114F" w:rsidRDefault="00962968" w:rsidP="00167463">
      <w:pPr>
        <w:spacing w:line="360" w:lineRule="auto"/>
        <w:rPr>
          <w:rFonts w:ascii="Century Schoolbook" w:hAnsi="Century Schoolbook"/>
          <w:iCs/>
          <w:szCs w:val="26"/>
        </w:rPr>
      </w:pPr>
      <w:r>
        <w:rPr>
          <w:rFonts w:ascii="Century Schoolbook" w:hAnsi="Century Schoolbook"/>
          <w:iCs/>
          <w:szCs w:val="26"/>
        </w:rPr>
        <w:tab/>
        <w:t xml:space="preserve">LaPaille solely relies on </w:t>
      </w:r>
      <w:r>
        <w:rPr>
          <w:rFonts w:ascii="Century Schoolbook" w:hAnsi="Century Schoolbook"/>
          <w:i/>
          <w:szCs w:val="26"/>
        </w:rPr>
        <w:t>Usher v. White</w:t>
      </w:r>
      <w:r>
        <w:rPr>
          <w:rFonts w:ascii="Century Schoolbook" w:hAnsi="Century Schoolbook"/>
          <w:iCs/>
          <w:szCs w:val="26"/>
        </w:rPr>
        <w:t>.  In that case, the court resolved a different issue: when an owner could be deemed to have “caused” a Labor Code violation.  The court con</w:t>
      </w:r>
      <w:r>
        <w:rPr>
          <w:rFonts w:ascii="Century Schoolbook" w:hAnsi="Century Schoolbook"/>
          <w:iCs/>
          <w:szCs w:val="26"/>
        </w:rPr>
        <w:t>cluded, absent personal involvement in the violation, the owner must have “</w:t>
      </w:r>
      <w:r w:rsidRPr="00167463">
        <w:rPr>
          <w:rFonts w:ascii="Century Schoolbook" w:hAnsi="Century Schoolbook"/>
          <w:iCs/>
          <w:szCs w:val="26"/>
        </w:rPr>
        <w:t>had sufficient participation in the activities of the employer, including, for example, over those responsible for the alleged wage and hour violations, such that the ‘owner’ may be</w:t>
      </w:r>
      <w:r w:rsidRPr="00167463">
        <w:rPr>
          <w:rFonts w:ascii="Century Schoolbook" w:hAnsi="Century Schoolbook"/>
          <w:iCs/>
          <w:szCs w:val="26"/>
        </w:rPr>
        <w:t xml:space="preserve"> deemed to have contributed to, and thus for purposes of this statute, ‘cause[d]’ a violation.” </w:t>
      </w:r>
      <w:r>
        <w:rPr>
          <w:rFonts w:ascii="Century Schoolbook" w:hAnsi="Century Schoolbook"/>
          <w:iCs/>
          <w:szCs w:val="26"/>
        </w:rPr>
        <w:t xml:space="preserve"> </w:t>
      </w:r>
      <w:r w:rsidRPr="00167463">
        <w:rPr>
          <w:rFonts w:ascii="Century Schoolbook" w:hAnsi="Century Schoolbook"/>
          <w:iCs/>
          <w:szCs w:val="26"/>
        </w:rPr>
        <w:t>(</w:t>
      </w:r>
      <w:r w:rsidRPr="00C34761">
        <w:rPr>
          <w:rFonts w:ascii="Century Schoolbook" w:hAnsi="Century Schoolbook"/>
          <w:i/>
          <w:szCs w:val="26"/>
        </w:rPr>
        <w:t>Usher v. White</w:t>
      </w:r>
      <w:r>
        <w:rPr>
          <w:rFonts w:ascii="Century Schoolbook" w:hAnsi="Century Schoolbook"/>
          <w:iCs/>
          <w:szCs w:val="26"/>
        </w:rPr>
        <w:t xml:space="preserve">, </w:t>
      </w:r>
      <w:r>
        <w:rPr>
          <w:rFonts w:ascii="Century Schoolbook" w:hAnsi="Century Schoolbook"/>
          <w:i/>
          <w:szCs w:val="26"/>
        </w:rPr>
        <w:t>supra</w:t>
      </w:r>
      <w:r>
        <w:rPr>
          <w:rFonts w:ascii="Century Schoolbook" w:hAnsi="Century Schoolbook"/>
          <w:iCs/>
          <w:szCs w:val="26"/>
        </w:rPr>
        <w:t xml:space="preserve">, 64 Cal.App.5th </w:t>
      </w:r>
      <w:r w:rsidRPr="00167463">
        <w:rPr>
          <w:rFonts w:ascii="Century Schoolbook" w:hAnsi="Century Schoolbook"/>
          <w:iCs/>
          <w:szCs w:val="26"/>
        </w:rPr>
        <w:t>at pp. 896</w:t>
      </w:r>
      <w:r>
        <w:rPr>
          <w:rFonts w:ascii="Century Schoolbook" w:hAnsi="Century Schoolbook"/>
          <w:iCs/>
          <w:szCs w:val="26"/>
        </w:rPr>
        <w:t>–</w:t>
      </w:r>
      <w:r w:rsidRPr="00167463">
        <w:rPr>
          <w:rFonts w:ascii="Century Schoolbook" w:hAnsi="Century Schoolbook"/>
          <w:iCs/>
          <w:szCs w:val="26"/>
        </w:rPr>
        <w:t>897</w:t>
      </w:r>
      <w:r>
        <w:rPr>
          <w:rFonts w:ascii="Century Schoolbook" w:hAnsi="Century Schoolbook"/>
          <w:iCs/>
          <w:szCs w:val="26"/>
        </w:rPr>
        <w:t>.)  The court explained this assessment of an individual’s participation “</w:t>
      </w:r>
      <w:r w:rsidRPr="00A0114F">
        <w:rPr>
          <w:rFonts w:ascii="Century Schoolbook" w:hAnsi="Century Schoolbook"/>
          <w:iCs/>
          <w:szCs w:val="26"/>
        </w:rPr>
        <w:t>cannot be determined by any brig</w:t>
      </w:r>
      <w:r w:rsidRPr="00A0114F">
        <w:rPr>
          <w:rFonts w:ascii="Century Schoolbook" w:hAnsi="Century Schoolbook"/>
          <w:iCs/>
          <w:szCs w:val="26"/>
        </w:rPr>
        <w:t xml:space="preserve">ht-line rule, as this inquiry requires an examination of the particular </w:t>
      </w:r>
      <w:r w:rsidRPr="00A0114F">
        <w:rPr>
          <w:rFonts w:ascii="Century Schoolbook" w:hAnsi="Century Schoolbook"/>
          <w:iCs/>
          <w:szCs w:val="26"/>
        </w:rPr>
        <w:lastRenderedPageBreak/>
        <w:t xml:space="preserve">facts in light of the conduct, or lack thereof, attributable to the [individual].” </w:t>
      </w:r>
      <w:r>
        <w:rPr>
          <w:rFonts w:ascii="Century Schoolbook" w:hAnsi="Century Schoolbook"/>
          <w:iCs/>
          <w:szCs w:val="26"/>
        </w:rPr>
        <w:t xml:space="preserve"> </w:t>
      </w:r>
      <w:r w:rsidRPr="00A0114F">
        <w:rPr>
          <w:rFonts w:ascii="Century Schoolbook" w:hAnsi="Century Schoolbook"/>
          <w:iCs/>
          <w:szCs w:val="26"/>
        </w:rPr>
        <w:t>(</w:t>
      </w:r>
      <w:r w:rsidRPr="00A0114F">
        <w:rPr>
          <w:rFonts w:ascii="Century Schoolbook" w:hAnsi="Century Schoolbook"/>
          <w:i/>
          <w:szCs w:val="26"/>
        </w:rPr>
        <w:t>Id</w:t>
      </w:r>
      <w:r w:rsidRPr="00A0114F">
        <w:rPr>
          <w:rFonts w:ascii="Century Schoolbook" w:hAnsi="Century Schoolbook"/>
          <w:iCs/>
          <w:szCs w:val="26"/>
        </w:rPr>
        <w:t>. at p. 897</w:t>
      </w:r>
      <w:r>
        <w:rPr>
          <w:rFonts w:ascii="Century Schoolbook" w:hAnsi="Century Schoolbook"/>
          <w:iCs/>
          <w:szCs w:val="26"/>
        </w:rPr>
        <w:t xml:space="preserve">.)  While </w:t>
      </w:r>
      <w:r>
        <w:rPr>
          <w:rFonts w:ascii="Century Schoolbook" w:hAnsi="Century Schoolbook"/>
          <w:i/>
          <w:szCs w:val="26"/>
        </w:rPr>
        <w:t>Usher</w:t>
      </w:r>
      <w:r>
        <w:rPr>
          <w:rFonts w:ascii="Century Schoolbook" w:hAnsi="Century Schoolbook"/>
          <w:iCs/>
          <w:szCs w:val="26"/>
        </w:rPr>
        <w:t xml:space="preserve"> is useful to evaluate whether an individual falls within the scope of section 558.1 as a “</w:t>
      </w:r>
      <w:r w:rsidRPr="00A0114F">
        <w:rPr>
          <w:rFonts w:ascii="Century Schoolbook" w:hAnsi="Century Schoolbook"/>
          <w:iCs/>
          <w:szCs w:val="26"/>
        </w:rPr>
        <w:t>person acting on behalf of an employer, who violates, or causes to be violated, any provision regulating minimum wages</w:t>
      </w:r>
      <w:r>
        <w:rPr>
          <w:rFonts w:ascii="Century Schoolbook" w:hAnsi="Century Schoolbook"/>
          <w:iCs/>
          <w:szCs w:val="26"/>
        </w:rPr>
        <w:t>,” it does not address the issue presented in t</w:t>
      </w:r>
      <w:r>
        <w:rPr>
          <w:rFonts w:ascii="Century Schoolbook" w:hAnsi="Century Schoolbook"/>
          <w:iCs/>
          <w:szCs w:val="26"/>
        </w:rPr>
        <w:t>his appeal: whether courts have discretion to deny liability if the individual is, in fact, someone who “violates, or causes to be violated” minimum wage laws.  Accordingly, it does not resolve how “may” should be interpreted.</w:t>
      </w:r>
    </w:p>
    <w:p w14:paraId="307A8529" w14:textId="77777777" w:rsidR="00A0114F" w:rsidRDefault="00962968" w:rsidP="00A0114F">
      <w:pPr>
        <w:spacing w:line="360" w:lineRule="auto"/>
        <w:rPr>
          <w:rFonts w:ascii="Century Schoolbook" w:hAnsi="Century Schoolbook"/>
          <w:iCs/>
          <w:szCs w:val="26"/>
        </w:rPr>
      </w:pPr>
      <w:r>
        <w:rPr>
          <w:rFonts w:ascii="Century Schoolbook" w:hAnsi="Century Schoolbook"/>
          <w:iCs/>
          <w:szCs w:val="26"/>
        </w:rPr>
        <w:tab/>
        <w:t>Based on the foregoing, we c</w:t>
      </w:r>
      <w:r>
        <w:rPr>
          <w:rFonts w:ascii="Century Schoolbook" w:hAnsi="Century Schoolbook"/>
          <w:iCs/>
          <w:szCs w:val="26"/>
        </w:rPr>
        <w:t>onclude the Legislature’s use of the term “may” does not grant judicial discretion in imposing liability.  Rather, we interpret the term as reflecting a recognition by the Legislature that the party prosecuting the wage violation may not need to pursue suc</w:t>
      </w:r>
      <w:r>
        <w:rPr>
          <w:rFonts w:ascii="Century Schoolbook" w:hAnsi="Century Schoolbook"/>
          <w:iCs/>
          <w:szCs w:val="26"/>
        </w:rPr>
        <w:t>h liability in the event the employer satisfies any outstanding judgment.  The trial court erred in concluding LaPaille was not liable for the wage violations under section 558.1.</w:t>
      </w:r>
      <w:r>
        <w:rPr>
          <w:rStyle w:val="FootnoteReference"/>
          <w:iCs/>
          <w:szCs w:val="26"/>
        </w:rPr>
        <w:footnoteReference w:id="8"/>
      </w:r>
    </w:p>
    <w:p w14:paraId="67533116" w14:textId="77777777" w:rsidR="00F47413" w:rsidRPr="00A0114F" w:rsidRDefault="00962968" w:rsidP="00C34761">
      <w:pPr>
        <w:keepNext/>
        <w:spacing w:line="360" w:lineRule="auto"/>
        <w:rPr>
          <w:rFonts w:ascii="Century Schoolbook" w:hAnsi="Century Schoolbook"/>
          <w:b/>
          <w:bCs/>
          <w:i/>
          <w:szCs w:val="26"/>
        </w:rPr>
      </w:pPr>
      <w:r w:rsidRPr="00A0114F">
        <w:rPr>
          <w:rFonts w:ascii="Century Schoolbook" w:hAnsi="Century Schoolbook"/>
          <w:b/>
          <w:bCs/>
          <w:i/>
          <w:szCs w:val="26"/>
        </w:rPr>
        <w:tab/>
        <w:t>3.</w:t>
      </w:r>
      <w:r>
        <w:rPr>
          <w:rFonts w:ascii="Century Schoolbook" w:hAnsi="Century Schoolbook"/>
          <w:b/>
          <w:bCs/>
          <w:i/>
          <w:szCs w:val="26"/>
        </w:rPr>
        <w:tab/>
      </w:r>
      <w:r w:rsidRPr="00A0114F">
        <w:rPr>
          <w:rFonts w:ascii="Century Schoolbook" w:hAnsi="Century Schoolbook"/>
          <w:b/>
          <w:bCs/>
          <w:i/>
          <w:szCs w:val="26"/>
        </w:rPr>
        <w:t>Retroactivity</w:t>
      </w:r>
    </w:p>
    <w:p w14:paraId="7D8F05DC" w14:textId="77777777" w:rsidR="00A0114F" w:rsidRDefault="00962968" w:rsidP="00F47413">
      <w:pPr>
        <w:spacing w:line="360" w:lineRule="auto"/>
        <w:rPr>
          <w:rFonts w:ascii="Century Schoolbook" w:hAnsi="Century Schoolbook"/>
          <w:iCs/>
          <w:szCs w:val="26"/>
        </w:rPr>
      </w:pPr>
      <w:r>
        <w:rPr>
          <w:rFonts w:ascii="Century Schoolbook" w:hAnsi="Century Schoolbook"/>
          <w:iCs/>
          <w:szCs w:val="26"/>
        </w:rPr>
        <w:tab/>
        <w:t>Finally, LaPaille argues section 558.1 does not operate</w:t>
      </w:r>
      <w:r>
        <w:rPr>
          <w:rFonts w:ascii="Century Schoolbook" w:hAnsi="Century Schoolbook"/>
          <w:iCs/>
          <w:szCs w:val="26"/>
        </w:rPr>
        <w:t xml:space="preserve"> retroactively.  Plaintiffs do not dispute this, but assert liability for minimum wages extends back to 2013, when section 1197.1—which first provided for individual liability for minimum wages—was enacted. </w:t>
      </w:r>
    </w:p>
    <w:p w14:paraId="72E0C633" w14:textId="77777777" w:rsidR="00782998" w:rsidRDefault="00962968" w:rsidP="00F47413">
      <w:pPr>
        <w:spacing w:line="360" w:lineRule="auto"/>
        <w:rPr>
          <w:rFonts w:ascii="Century Schoolbook" w:hAnsi="Century Schoolbook"/>
          <w:iCs/>
          <w:szCs w:val="26"/>
        </w:rPr>
      </w:pPr>
      <w:r>
        <w:rPr>
          <w:rFonts w:ascii="Century Schoolbook" w:hAnsi="Century Schoolbook"/>
          <w:iCs/>
          <w:szCs w:val="26"/>
        </w:rPr>
        <w:tab/>
        <w:t>We agree with the parties that section 558.1 is</w:t>
      </w:r>
      <w:r>
        <w:rPr>
          <w:rFonts w:ascii="Century Schoolbook" w:hAnsi="Century Schoolbook"/>
          <w:iCs/>
          <w:szCs w:val="26"/>
        </w:rPr>
        <w:t xml:space="preserve"> not retroactive.  </w:t>
      </w:r>
      <w:r w:rsidRPr="00782998">
        <w:rPr>
          <w:rFonts w:ascii="Century Schoolbook" w:hAnsi="Century Schoolbook"/>
          <w:iCs/>
          <w:szCs w:val="26"/>
        </w:rPr>
        <w:t xml:space="preserve">In California, “[a] statute is presumed to operate prospectively unless there is ‘an express declaration of retrospectivity or a clear indication’ that the Legislature intended otherwise.” </w:t>
      </w:r>
      <w:r>
        <w:rPr>
          <w:rFonts w:ascii="Century Schoolbook" w:hAnsi="Century Schoolbook"/>
          <w:iCs/>
          <w:szCs w:val="26"/>
        </w:rPr>
        <w:t xml:space="preserve"> (</w:t>
      </w:r>
      <w:r w:rsidRPr="00782998">
        <w:rPr>
          <w:rFonts w:ascii="Century Schoolbook" w:hAnsi="Century Schoolbook"/>
          <w:i/>
          <w:szCs w:val="26"/>
        </w:rPr>
        <w:t>Preston v. State Bd. of Equalization</w:t>
      </w:r>
      <w:r w:rsidRPr="00782998">
        <w:rPr>
          <w:rFonts w:ascii="Century Schoolbook" w:hAnsi="Century Schoolbook"/>
          <w:iCs/>
          <w:szCs w:val="26"/>
        </w:rPr>
        <w:t xml:space="preserve"> </w:t>
      </w:r>
      <w:r>
        <w:rPr>
          <w:rFonts w:ascii="Century Schoolbook" w:hAnsi="Century Schoolbook"/>
          <w:iCs/>
          <w:szCs w:val="26"/>
        </w:rPr>
        <w:t xml:space="preserve">(2001) </w:t>
      </w:r>
      <w:r w:rsidRPr="00782998">
        <w:rPr>
          <w:rFonts w:ascii="Century Schoolbook" w:hAnsi="Century Schoolbook"/>
          <w:iCs/>
          <w:szCs w:val="26"/>
        </w:rPr>
        <w:lastRenderedPageBreak/>
        <w:t>25</w:t>
      </w:r>
      <w:r w:rsidRPr="00782998">
        <w:rPr>
          <w:rFonts w:ascii="Century Schoolbook" w:hAnsi="Century Schoolbook"/>
          <w:iCs/>
          <w:szCs w:val="26"/>
        </w:rPr>
        <w:t xml:space="preserve"> Cal.4th 197, 228</w:t>
      </w:r>
      <w:r>
        <w:rPr>
          <w:rFonts w:ascii="Century Schoolbook" w:hAnsi="Century Schoolbook"/>
          <w:iCs/>
          <w:szCs w:val="26"/>
        </w:rPr>
        <w:t>.</w:t>
      </w:r>
      <w:r w:rsidRPr="00782998">
        <w:rPr>
          <w:rFonts w:ascii="Century Schoolbook" w:hAnsi="Century Schoolbook"/>
          <w:iCs/>
          <w:szCs w:val="26"/>
        </w:rPr>
        <w:t>)</w:t>
      </w:r>
      <w:r>
        <w:rPr>
          <w:rFonts w:ascii="Century Schoolbook" w:hAnsi="Century Schoolbook"/>
          <w:iCs/>
          <w:szCs w:val="26"/>
        </w:rPr>
        <w:t xml:space="preserve">  </w:t>
      </w:r>
      <w:r w:rsidRPr="00782998">
        <w:rPr>
          <w:rFonts w:ascii="Century Schoolbook" w:hAnsi="Century Schoolbook"/>
          <w:iCs/>
          <w:szCs w:val="26"/>
        </w:rPr>
        <w:t xml:space="preserve">Plaintiffs have not </w:t>
      </w:r>
      <w:r>
        <w:rPr>
          <w:rFonts w:ascii="Century Schoolbook" w:hAnsi="Century Schoolbook"/>
          <w:iCs/>
          <w:szCs w:val="26"/>
        </w:rPr>
        <w:t>identified</w:t>
      </w:r>
      <w:r w:rsidRPr="00782998">
        <w:rPr>
          <w:rFonts w:ascii="Century Schoolbook" w:hAnsi="Century Schoolbook"/>
          <w:iCs/>
          <w:szCs w:val="26"/>
        </w:rPr>
        <w:t xml:space="preserve"> any express declaration or clear indication from the Legislature that it intended section 558.1 to operate retrospectively.</w:t>
      </w:r>
      <w:r>
        <w:rPr>
          <w:rFonts w:ascii="Century Schoolbook" w:hAnsi="Century Schoolbook"/>
          <w:iCs/>
          <w:szCs w:val="26"/>
        </w:rPr>
        <w:t xml:space="preserve"> </w:t>
      </w:r>
      <w:r w:rsidRPr="00782998">
        <w:rPr>
          <w:rFonts w:ascii="Century Schoolbook" w:hAnsi="Century Schoolbook"/>
          <w:iCs/>
          <w:szCs w:val="26"/>
        </w:rPr>
        <w:t xml:space="preserve"> </w:t>
      </w:r>
      <w:r>
        <w:rPr>
          <w:rFonts w:ascii="Century Schoolbook" w:hAnsi="Century Schoolbook"/>
          <w:iCs/>
          <w:szCs w:val="26"/>
        </w:rPr>
        <w:t xml:space="preserve">Nor are we aware of such intent.  </w:t>
      </w:r>
      <w:r w:rsidRPr="00782998">
        <w:rPr>
          <w:rFonts w:ascii="Century Schoolbook" w:hAnsi="Century Schoolbook"/>
          <w:iCs/>
          <w:szCs w:val="26"/>
        </w:rPr>
        <w:t>Therefore</w:t>
      </w:r>
      <w:r>
        <w:rPr>
          <w:rFonts w:ascii="Century Schoolbook" w:hAnsi="Century Schoolbook"/>
          <w:iCs/>
          <w:szCs w:val="26"/>
        </w:rPr>
        <w:t>, we conclude it is only prospective</w:t>
      </w:r>
      <w:r>
        <w:rPr>
          <w:rFonts w:ascii="Century Schoolbook" w:hAnsi="Century Schoolbook"/>
          <w:iCs/>
          <w:szCs w:val="26"/>
        </w:rPr>
        <w:t xml:space="preserve"> in application.</w:t>
      </w:r>
    </w:p>
    <w:p w14:paraId="34208757" w14:textId="77777777" w:rsidR="00782998" w:rsidRDefault="00962968" w:rsidP="00F47413">
      <w:pPr>
        <w:spacing w:line="360" w:lineRule="auto"/>
        <w:rPr>
          <w:rFonts w:ascii="Century Schoolbook" w:hAnsi="Century Schoolbook"/>
          <w:iCs/>
          <w:szCs w:val="26"/>
        </w:rPr>
      </w:pPr>
      <w:r>
        <w:rPr>
          <w:rFonts w:ascii="Century Schoolbook" w:hAnsi="Century Schoolbook"/>
          <w:iCs/>
          <w:szCs w:val="26"/>
        </w:rPr>
        <w:tab/>
        <w:t>However, plaintiffs argue section 1197.1, which took effect in 2012, already imposed individual liability for wage claims, and Senate Bill 588 merely duplicated that substantive individual liability for wage claims and provided a procedur</w:t>
      </w:r>
      <w:r>
        <w:rPr>
          <w:rFonts w:ascii="Century Schoolbook" w:hAnsi="Century Schoolbook"/>
          <w:iCs/>
          <w:szCs w:val="26"/>
        </w:rPr>
        <w:t xml:space="preserve">al expansion.  In other words, Senate Bill 588 created new mechanisms for enforcing the individual liability for wage claims that already existed under section 1197.1.  Plaintiffs argue such procedural changes apply to all subsequent or pending cases, and </w:t>
      </w:r>
      <w:r>
        <w:rPr>
          <w:rFonts w:ascii="Century Schoolbook" w:hAnsi="Century Schoolbook"/>
          <w:iCs/>
          <w:szCs w:val="26"/>
        </w:rPr>
        <w:t xml:space="preserve">simply allow future enforcement of preexisting liability.  LaPaille does not respond to this argument.  </w:t>
      </w:r>
    </w:p>
    <w:p w14:paraId="5EF4F556" w14:textId="77777777" w:rsidR="00291731" w:rsidRDefault="00962968" w:rsidP="00F47413">
      <w:pPr>
        <w:spacing w:line="360" w:lineRule="auto"/>
        <w:rPr>
          <w:rFonts w:ascii="Century Schoolbook" w:hAnsi="Century Schoolbook"/>
          <w:iCs/>
          <w:szCs w:val="26"/>
        </w:rPr>
      </w:pPr>
      <w:r>
        <w:rPr>
          <w:rFonts w:ascii="Century Schoolbook" w:hAnsi="Century Schoolbook"/>
          <w:iCs/>
          <w:szCs w:val="26"/>
        </w:rPr>
        <w:tab/>
        <w:t>Section 1197.1 sets forth a civil penalty structure applicable to “[a]</w:t>
      </w:r>
      <w:r w:rsidRPr="00951376">
        <w:rPr>
          <w:rFonts w:ascii="Century Schoolbook" w:hAnsi="Century Schoolbook"/>
          <w:iCs/>
          <w:szCs w:val="26"/>
        </w:rPr>
        <w:t xml:space="preserve">ny employer or other person acting either individually or as an officer, agent, </w:t>
      </w:r>
      <w:r w:rsidRPr="00951376">
        <w:rPr>
          <w:rFonts w:ascii="Century Schoolbook" w:hAnsi="Century Schoolbook"/>
          <w:iCs/>
          <w:szCs w:val="26"/>
        </w:rPr>
        <w:t>or employee of another person, who pays or causes to be paid to any employee a wage less than the minimum fixed by an applicable state or local law, or by an order of the commission</w:t>
      </w:r>
      <w:r>
        <w:rPr>
          <w:rFonts w:ascii="Century Schoolbook" w:hAnsi="Century Schoolbook"/>
          <w:iCs/>
          <w:szCs w:val="26"/>
        </w:rPr>
        <w:t xml:space="preserve"> . . . .”  (§ 1197.1, subd. (a).)  As with section 558.1, it provides for recovery of underpaid wages.  (Compare § 1197.1, subd. (a), with § 558.1, subd. (a).)  </w:t>
      </w:r>
    </w:p>
    <w:p w14:paraId="7674D12F" w14:textId="77777777" w:rsidR="0012544F" w:rsidRDefault="00962968" w:rsidP="00F47413">
      <w:pPr>
        <w:spacing w:line="360" w:lineRule="auto"/>
        <w:rPr>
          <w:rFonts w:ascii="Century Schoolbook" w:hAnsi="Century Schoolbook"/>
          <w:iCs/>
          <w:szCs w:val="26"/>
        </w:rPr>
      </w:pPr>
      <w:r>
        <w:rPr>
          <w:rFonts w:ascii="Century Schoolbook" w:hAnsi="Century Schoolbook"/>
          <w:iCs/>
          <w:szCs w:val="26"/>
        </w:rPr>
        <w:tab/>
        <w:t xml:space="preserve">In </w:t>
      </w:r>
      <w:r>
        <w:rPr>
          <w:rFonts w:ascii="Century Schoolbook" w:hAnsi="Century Schoolbook"/>
          <w:i/>
          <w:szCs w:val="26"/>
        </w:rPr>
        <w:t>Tapia v. Superior Court</w:t>
      </w:r>
      <w:r>
        <w:rPr>
          <w:rFonts w:ascii="Century Schoolbook" w:hAnsi="Century Schoolbook"/>
          <w:iCs/>
          <w:szCs w:val="26"/>
        </w:rPr>
        <w:t xml:space="preserve"> (1991) 53 Cal.3d 282, the California Supreme Court addressed when </w:t>
      </w:r>
      <w:r>
        <w:rPr>
          <w:rFonts w:ascii="Century Schoolbook" w:hAnsi="Century Schoolbook"/>
          <w:iCs/>
          <w:szCs w:val="26"/>
        </w:rPr>
        <w:t>a legislative enactment is considered to have a prospective or retroactive impact.  The court explained “</w:t>
      </w:r>
      <w:r w:rsidRPr="00286C63">
        <w:rPr>
          <w:rFonts w:ascii="Century Schoolbook" w:hAnsi="Century Schoolbook"/>
          <w:iCs/>
          <w:szCs w:val="26"/>
        </w:rPr>
        <w:t>a law is retrospective if it defines past conduct as a crime, increases the punishment for such conduct, or eliminates a defense to a criminal charge b</w:t>
      </w:r>
      <w:r w:rsidRPr="00286C63">
        <w:rPr>
          <w:rFonts w:ascii="Century Schoolbook" w:hAnsi="Century Schoolbook"/>
          <w:iCs/>
          <w:szCs w:val="26"/>
        </w:rPr>
        <w:t>ased on such conduct.</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288.)  However, in the example of trials still to occur, “[s]uch </w:t>
      </w:r>
      <w:r w:rsidRPr="00286C63">
        <w:rPr>
          <w:rFonts w:ascii="Century Schoolbook" w:hAnsi="Century Schoolbook"/>
          <w:iCs/>
          <w:szCs w:val="26"/>
        </w:rPr>
        <w:t>a statute ‘</w:t>
      </w:r>
      <w:r>
        <w:rPr>
          <w:rFonts w:ascii="Century Schoolbook" w:hAnsi="Century Schoolbook"/>
          <w:iCs/>
          <w:szCs w:val="26"/>
        </w:rPr>
        <w:t> “</w:t>
      </w:r>
      <w:r w:rsidRPr="00286C63">
        <w:rPr>
          <w:rFonts w:ascii="Century Schoolbook" w:hAnsi="Century Schoolbook"/>
          <w:iCs/>
          <w:szCs w:val="26"/>
        </w:rPr>
        <w:t xml:space="preserve">is not made retroactive merely because it draws upon facts </w:t>
      </w:r>
      <w:r w:rsidRPr="00286C63">
        <w:rPr>
          <w:rFonts w:ascii="Century Schoolbook" w:hAnsi="Century Schoolbook"/>
          <w:iCs/>
          <w:szCs w:val="26"/>
        </w:rPr>
        <w:lastRenderedPageBreak/>
        <w:t>existing prior to its enactment</w:t>
      </w:r>
      <w:r>
        <w:rPr>
          <w:rFonts w:ascii="Century Schoolbook" w:hAnsi="Century Schoolbook"/>
          <w:iCs/>
          <w:szCs w:val="26"/>
        </w:rPr>
        <w:t xml:space="preserve"> </w:t>
      </w:r>
      <w:r w:rsidRPr="00286C63">
        <w:rPr>
          <w:rFonts w:ascii="Century Schoolbook" w:hAnsi="Century Schoolbook"/>
          <w:iCs/>
          <w:szCs w:val="26"/>
        </w:rPr>
        <w:t>.</w:t>
      </w:r>
      <w:r>
        <w:rPr>
          <w:rFonts w:ascii="Century Schoolbook" w:hAnsi="Century Schoolbook"/>
          <w:iCs/>
          <w:szCs w:val="26"/>
        </w:rPr>
        <w:t> </w:t>
      </w:r>
      <w:r w:rsidRPr="00286C63">
        <w:rPr>
          <w:rFonts w:ascii="Century Schoolbook" w:hAnsi="Century Schoolbook"/>
          <w:iCs/>
          <w:szCs w:val="26"/>
        </w:rPr>
        <w:t>.</w:t>
      </w:r>
      <w:r>
        <w:rPr>
          <w:rFonts w:ascii="Century Schoolbook" w:hAnsi="Century Schoolbook"/>
          <w:iCs/>
          <w:szCs w:val="26"/>
        </w:rPr>
        <w:t> </w:t>
      </w:r>
      <w:r w:rsidRPr="00286C63">
        <w:rPr>
          <w:rFonts w:ascii="Century Schoolbook" w:hAnsi="Century Schoolbook"/>
          <w:iCs/>
          <w:szCs w:val="26"/>
        </w:rPr>
        <w:t>.</w:t>
      </w:r>
      <w:r>
        <w:rPr>
          <w:rFonts w:ascii="Century Schoolbook" w:hAnsi="Century Schoolbook"/>
          <w:iCs/>
          <w:szCs w:val="26"/>
        </w:rPr>
        <w:t> </w:t>
      </w:r>
      <w:r w:rsidRPr="00286C63">
        <w:rPr>
          <w:rFonts w:ascii="Century Schoolbook" w:hAnsi="Century Schoolbook"/>
          <w:iCs/>
          <w:szCs w:val="26"/>
        </w:rPr>
        <w:t xml:space="preserve">. [Instead,] [t]he effect of such statutes is </w:t>
      </w:r>
      <w:r w:rsidRPr="00286C63">
        <w:rPr>
          <w:rFonts w:ascii="Century Schoolbook" w:hAnsi="Century Schoolbook"/>
          <w:iCs/>
          <w:szCs w:val="26"/>
        </w:rPr>
        <w:t>actually prospective in nature since they relate to the procedure to be followed in the future.</w:t>
      </w:r>
      <w:r>
        <w:rPr>
          <w:rFonts w:ascii="Century Schoolbook" w:hAnsi="Century Schoolbook"/>
          <w:iCs/>
          <w:szCs w:val="26"/>
        </w:rPr>
        <w:t>[</w:t>
      </w:r>
      <w:r w:rsidRPr="00286C63">
        <w:rPr>
          <w:rFonts w:ascii="Century Schoolbook" w:hAnsi="Century Schoolbook"/>
          <w:iCs/>
          <w:szCs w:val="26"/>
        </w:rPr>
        <w:t>”</w:t>
      </w:r>
      <w:r>
        <w:rPr>
          <w:rFonts w:ascii="Century Schoolbook" w:hAnsi="Century Schoolbook"/>
          <w:iCs/>
          <w:szCs w:val="26"/>
        </w:rPr>
        <w:t>] ’ ”  (</w:t>
      </w:r>
      <w:r>
        <w:rPr>
          <w:rFonts w:ascii="Century Schoolbook" w:hAnsi="Century Schoolbook"/>
          <w:i/>
          <w:szCs w:val="26"/>
        </w:rPr>
        <w:t>Ibid.</w:t>
      </w:r>
      <w:r>
        <w:rPr>
          <w:rFonts w:ascii="Century Schoolbook" w:hAnsi="Century Schoolbook"/>
          <w:iCs/>
          <w:szCs w:val="26"/>
        </w:rPr>
        <w:t>)  The court noted a law is retroactive if it “ ‘</w:t>
      </w:r>
      <w:r w:rsidRPr="00286C63">
        <w:rPr>
          <w:rFonts w:ascii="Century Schoolbook" w:hAnsi="Century Schoolbook"/>
          <w:iCs/>
          <w:szCs w:val="26"/>
        </w:rPr>
        <w:t>impose</w:t>
      </w:r>
      <w:r>
        <w:rPr>
          <w:rFonts w:ascii="Century Schoolbook" w:hAnsi="Century Schoolbook"/>
          <w:iCs/>
          <w:szCs w:val="26"/>
        </w:rPr>
        <w:t>s a</w:t>
      </w:r>
      <w:r w:rsidRPr="00286C63">
        <w:rPr>
          <w:rFonts w:ascii="Century Schoolbook" w:hAnsi="Century Schoolbook"/>
          <w:iCs/>
          <w:szCs w:val="26"/>
        </w:rPr>
        <w:t xml:space="preserve"> new or additional liability and substantially affect</w:t>
      </w:r>
      <w:r>
        <w:rPr>
          <w:rFonts w:ascii="Century Schoolbook" w:hAnsi="Century Schoolbook"/>
          <w:iCs/>
          <w:szCs w:val="26"/>
        </w:rPr>
        <w:t>s</w:t>
      </w:r>
      <w:r w:rsidRPr="00286C63">
        <w:rPr>
          <w:rFonts w:ascii="Century Schoolbook" w:hAnsi="Century Schoolbook"/>
          <w:iCs/>
          <w:szCs w:val="26"/>
        </w:rPr>
        <w:t xml:space="preserve"> existing rights and obligations.</w:t>
      </w:r>
      <w:r>
        <w:rPr>
          <w:rFonts w:ascii="Century Schoolbook" w:hAnsi="Century Schoolbook"/>
          <w:iCs/>
          <w:szCs w:val="26"/>
        </w:rPr>
        <w:t>’</w:t>
      </w:r>
      <w:r>
        <w:rPr>
          <w:rFonts w:ascii="Century Schoolbook" w:hAnsi="Century Schoolbook"/>
          <w:iCs/>
          <w:szCs w:val="26"/>
        </w:rPr>
        <w:t> </w:t>
      </w:r>
      <w:r w:rsidRPr="00286C63">
        <w:rPr>
          <w:rFonts w:ascii="Century Schoolbook" w:hAnsi="Century Schoolbook"/>
          <w:iCs/>
          <w:szCs w:val="26"/>
        </w:rPr>
        <w:t>”</w:t>
      </w:r>
      <w:r>
        <w:rPr>
          <w:rFonts w:ascii="Century Schoolbook" w:hAnsi="Century Schoolbook"/>
          <w:iCs/>
          <w:szCs w:val="26"/>
        </w:rPr>
        <w:t xml:space="preserve">  (</w:t>
      </w:r>
      <w:r>
        <w:rPr>
          <w:rFonts w:ascii="Century Schoolbook" w:hAnsi="Century Schoolbook"/>
          <w:i/>
          <w:szCs w:val="26"/>
        </w:rPr>
        <w:t>Id.</w:t>
      </w:r>
      <w:r>
        <w:rPr>
          <w:rFonts w:ascii="Century Schoolbook" w:hAnsi="Century Schoolbook"/>
          <w:iCs/>
          <w:szCs w:val="26"/>
        </w:rPr>
        <w:t xml:space="preserve"> at p. 290.)</w:t>
      </w:r>
    </w:p>
    <w:p w14:paraId="7A89FC52" w14:textId="77777777" w:rsidR="00951376" w:rsidRDefault="00962968" w:rsidP="00F47413">
      <w:pPr>
        <w:spacing w:line="360" w:lineRule="auto"/>
        <w:rPr>
          <w:rFonts w:ascii="Century Schoolbook" w:hAnsi="Century Schoolbook"/>
          <w:iCs/>
          <w:szCs w:val="26"/>
        </w:rPr>
      </w:pPr>
      <w:r>
        <w:rPr>
          <w:rFonts w:ascii="Century Schoolbook" w:hAnsi="Century Schoolbook"/>
          <w:iCs/>
          <w:szCs w:val="26"/>
        </w:rPr>
        <w:tab/>
        <w:t xml:space="preserve">In </w:t>
      </w:r>
      <w:r w:rsidRPr="0012544F">
        <w:rPr>
          <w:rFonts w:ascii="Century Schoolbook" w:hAnsi="Century Schoolbook"/>
          <w:i/>
          <w:szCs w:val="26"/>
        </w:rPr>
        <w:t>City of Clovis v. County of Fresno</w:t>
      </w:r>
      <w:r w:rsidRPr="0012544F">
        <w:rPr>
          <w:rFonts w:ascii="Century Schoolbook" w:hAnsi="Century Schoolbook"/>
          <w:iCs/>
          <w:szCs w:val="26"/>
        </w:rPr>
        <w:t xml:space="preserve"> (2014) 222 Cal.App.4th 1469, </w:t>
      </w:r>
      <w:r>
        <w:rPr>
          <w:rFonts w:ascii="Century Schoolbook" w:hAnsi="Century Schoolbook"/>
          <w:iCs/>
          <w:szCs w:val="26"/>
        </w:rPr>
        <w:t xml:space="preserve">the parties disagreed regarding a </w:t>
      </w:r>
      <w:r w:rsidRPr="0012544F">
        <w:rPr>
          <w:rFonts w:ascii="Century Schoolbook" w:hAnsi="Century Schoolbook"/>
          <w:iCs/>
          <w:szCs w:val="26"/>
        </w:rPr>
        <w:t>fee the county withh</w:t>
      </w:r>
      <w:r>
        <w:rPr>
          <w:rFonts w:ascii="Century Schoolbook" w:hAnsi="Century Schoolbook"/>
          <w:iCs/>
          <w:szCs w:val="26"/>
        </w:rPr>
        <w:t>eld</w:t>
      </w:r>
      <w:r w:rsidRPr="0012544F">
        <w:rPr>
          <w:rFonts w:ascii="Century Schoolbook" w:hAnsi="Century Schoolbook"/>
          <w:iCs/>
          <w:szCs w:val="26"/>
        </w:rPr>
        <w:t xml:space="preserve"> for the service of collecting property taxes</w:t>
      </w:r>
      <w:r>
        <w:rPr>
          <w:rFonts w:ascii="Century Schoolbook" w:hAnsi="Century Schoolbook"/>
          <w:iCs/>
          <w:szCs w:val="26"/>
        </w:rPr>
        <w:t>.  (</w:t>
      </w:r>
      <w:r>
        <w:rPr>
          <w:rFonts w:ascii="Century Schoolbook" w:hAnsi="Century Schoolbook"/>
          <w:i/>
          <w:szCs w:val="26"/>
        </w:rPr>
        <w:t xml:space="preserve">Id. </w:t>
      </w:r>
      <w:r>
        <w:rPr>
          <w:rFonts w:ascii="Century Schoolbook" w:hAnsi="Century Schoolbook"/>
          <w:iCs/>
          <w:szCs w:val="26"/>
        </w:rPr>
        <w:t>at p. 1472.)  The trial court ordered the county to apply</w:t>
      </w:r>
      <w:r>
        <w:rPr>
          <w:rFonts w:ascii="Century Schoolbook" w:hAnsi="Century Schoolbook"/>
          <w:iCs/>
          <w:szCs w:val="26"/>
        </w:rPr>
        <w:t xml:space="preserve"> a different methodology for calculating the fee, repay owed amounts to the plaintiffs, and pay prejudgment and postjudgment interest.  (</w:t>
      </w:r>
      <w:r>
        <w:rPr>
          <w:rFonts w:ascii="Century Schoolbook" w:hAnsi="Century Schoolbook"/>
          <w:i/>
          <w:szCs w:val="26"/>
        </w:rPr>
        <w:t>Id.</w:t>
      </w:r>
      <w:r>
        <w:rPr>
          <w:rFonts w:ascii="Century Schoolbook" w:hAnsi="Century Schoolbook"/>
          <w:iCs/>
          <w:szCs w:val="26"/>
        </w:rPr>
        <w:t xml:space="preserve"> at p. 1473</w:t>
      </w:r>
      <w:r>
        <w:rPr>
          <w:rFonts w:ascii="Century Schoolbook" w:hAnsi="Century Schoolbook"/>
          <w:i/>
          <w:szCs w:val="26"/>
        </w:rPr>
        <w:t>.</w:t>
      </w:r>
      <w:r>
        <w:rPr>
          <w:rFonts w:ascii="Century Schoolbook" w:hAnsi="Century Schoolbook"/>
          <w:iCs/>
          <w:szCs w:val="26"/>
        </w:rPr>
        <w:t>)  On appeal, the county challenged the award of prejudgment and postjudgment interest based on then-rec</w:t>
      </w:r>
      <w:r>
        <w:rPr>
          <w:rFonts w:ascii="Century Schoolbook" w:hAnsi="Century Schoolbook"/>
          <w:iCs/>
          <w:szCs w:val="26"/>
        </w:rPr>
        <w:t>ent statutes that altered the applicable interest rates.  (</w:t>
      </w:r>
      <w:r>
        <w:rPr>
          <w:rFonts w:ascii="Century Schoolbook" w:hAnsi="Century Schoolbook"/>
          <w:i/>
          <w:szCs w:val="26"/>
        </w:rPr>
        <w:t>Ibid</w:t>
      </w:r>
      <w:r>
        <w:rPr>
          <w:rFonts w:ascii="Century Schoolbook" w:hAnsi="Century Schoolbook"/>
          <w:iCs/>
          <w:szCs w:val="26"/>
        </w:rPr>
        <w:t>.)  In concluding the new interest rates should be applied to the judgment, the court noted interest, albeit at a different rate, was already awardable under prior law.  (</w:t>
      </w:r>
      <w:r>
        <w:rPr>
          <w:rFonts w:ascii="Century Schoolbook" w:hAnsi="Century Schoolbook"/>
          <w:i/>
          <w:szCs w:val="26"/>
        </w:rPr>
        <w:t>Id.</w:t>
      </w:r>
      <w:r>
        <w:rPr>
          <w:rFonts w:ascii="Century Schoolbook" w:hAnsi="Century Schoolbook"/>
          <w:iCs/>
          <w:szCs w:val="26"/>
        </w:rPr>
        <w:t xml:space="preserve"> at p. 1478.)  The </w:t>
      </w:r>
      <w:r>
        <w:rPr>
          <w:rFonts w:ascii="Century Schoolbook" w:hAnsi="Century Schoolbook"/>
          <w:iCs/>
          <w:szCs w:val="26"/>
        </w:rPr>
        <w:t>court thus concluded the new interest rate statute applied to the parties’ dispute “</w:t>
      </w:r>
      <w:r w:rsidRPr="0012544F">
        <w:rPr>
          <w:rFonts w:ascii="Century Schoolbook" w:hAnsi="Century Schoolbook"/>
          <w:iCs/>
          <w:szCs w:val="26"/>
        </w:rPr>
        <w:t>because it is a remedial or procedural statute and will be in effect when the judgment becomes final</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1483.)  The court explained, “T</w:t>
      </w:r>
      <w:r w:rsidRPr="0012544F">
        <w:rPr>
          <w:rFonts w:ascii="Century Schoolbook" w:hAnsi="Century Schoolbook"/>
          <w:iCs/>
          <w:szCs w:val="26"/>
        </w:rPr>
        <w:t>he application of new proc</w:t>
      </w:r>
      <w:r w:rsidRPr="0012544F">
        <w:rPr>
          <w:rFonts w:ascii="Century Schoolbook" w:hAnsi="Century Schoolbook"/>
          <w:iCs/>
          <w:szCs w:val="26"/>
        </w:rPr>
        <w:t xml:space="preserve">edural or remedial statutes to cases still pending on appeal when they become effective is </w:t>
      </w:r>
      <w:r w:rsidRPr="00CC558A">
        <w:rPr>
          <w:rFonts w:ascii="Century Schoolbook" w:hAnsi="Century Schoolbook"/>
          <w:i/>
          <w:szCs w:val="26"/>
        </w:rPr>
        <w:t>deemed not to be retroactive</w:t>
      </w:r>
      <w:r w:rsidRPr="0012544F">
        <w:rPr>
          <w:rFonts w:ascii="Century Schoolbook" w:hAnsi="Century Schoolbook"/>
          <w:iCs/>
          <w:szCs w:val="26"/>
        </w:rPr>
        <w:t>—even though the cause of action arose earlier—because the change in the law affects only the conduct of the litigation and the provision</w:t>
      </w:r>
      <w:r w:rsidRPr="0012544F">
        <w:rPr>
          <w:rFonts w:ascii="Century Schoolbook" w:hAnsi="Century Schoolbook"/>
          <w:iCs/>
          <w:szCs w:val="26"/>
        </w:rPr>
        <w:t xml:space="preserve"> of a remedy going forward, not the rights and duties of the parties in the past. </w:t>
      </w:r>
      <w:r>
        <w:rPr>
          <w:rFonts w:ascii="Century Schoolbook" w:hAnsi="Century Schoolbook"/>
          <w:iCs/>
          <w:szCs w:val="26"/>
        </w:rPr>
        <w:t xml:space="preserve"> </w:t>
      </w:r>
      <w:r w:rsidRPr="0012544F">
        <w:rPr>
          <w:rFonts w:ascii="Century Schoolbook" w:hAnsi="Century Schoolbook"/>
          <w:iCs/>
          <w:szCs w:val="26"/>
        </w:rPr>
        <w:t xml:space="preserve">[Citation.] </w:t>
      </w:r>
      <w:r>
        <w:rPr>
          <w:rFonts w:ascii="Century Schoolbook" w:hAnsi="Century Schoolbook"/>
          <w:iCs/>
          <w:szCs w:val="26"/>
        </w:rPr>
        <w:t xml:space="preserve"> </w:t>
      </w:r>
      <w:r w:rsidRPr="0012544F">
        <w:rPr>
          <w:rFonts w:ascii="Century Schoolbook" w:hAnsi="Century Schoolbook"/>
          <w:iCs/>
          <w:szCs w:val="26"/>
        </w:rPr>
        <w:t xml:space="preserve">New procedural or remedial laws are consistently applied to cases not yet final when they become effective, unless the Legislature expresses an intent [not] to so apply them.” </w:t>
      </w:r>
      <w:r>
        <w:rPr>
          <w:rFonts w:ascii="Century Schoolbook" w:hAnsi="Century Schoolbook"/>
          <w:iCs/>
          <w:szCs w:val="26"/>
        </w:rPr>
        <w:t xml:space="preserve"> (</w:t>
      </w:r>
      <w:r w:rsidRPr="0012544F">
        <w:rPr>
          <w:rFonts w:ascii="Century Schoolbook" w:hAnsi="Century Schoolbook"/>
          <w:i/>
          <w:szCs w:val="26"/>
        </w:rPr>
        <w:t>Id</w:t>
      </w:r>
      <w:r>
        <w:rPr>
          <w:rFonts w:ascii="Century Schoolbook" w:hAnsi="Century Schoolbook"/>
          <w:iCs/>
          <w:szCs w:val="26"/>
        </w:rPr>
        <w:t>. at p. </w:t>
      </w:r>
      <w:r w:rsidRPr="0012544F">
        <w:rPr>
          <w:rFonts w:ascii="Century Schoolbook" w:hAnsi="Century Schoolbook"/>
          <w:iCs/>
          <w:szCs w:val="26"/>
        </w:rPr>
        <w:t xml:space="preserve"> 1484</w:t>
      </w:r>
      <w:r>
        <w:rPr>
          <w:rFonts w:ascii="Century Schoolbook" w:hAnsi="Century Schoolbook"/>
          <w:iCs/>
          <w:szCs w:val="26"/>
        </w:rPr>
        <w:t>.)</w:t>
      </w:r>
    </w:p>
    <w:p w14:paraId="1AA1C68F" w14:textId="77777777" w:rsidR="00BE5093" w:rsidRDefault="00962968" w:rsidP="00F47413">
      <w:pPr>
        <w:spacing w:line="360" w:lineRule="auto"/>
        <w:rPr>
          <w:rFonts w:ascii="Century Schoolbook" w:hAnsi="Century Schoolbook"/>
          <w:iCs/>
          <w:szCs w:val="26"/>
        </w:rPr>
      </w:pPr>
      <w:r>
        <w:rPr>
          <w:rFonts w:ascii="Century Schoolbook" w:hAnsi="Century Schoolbook"/>
          <w:iCs/>
          <w:szCs w:val="26"/>
        </w:rPr>
        <w:lastRenderedPageBreak/>
        <w:tab/>
        <w:t>Here, individual liability for underpaid wages existed prio</w:t>
      </w:r>
      <w:r>
        <w:rPr>
          <w:rFonts w:ascii="Century Schoolbook" w:hAnsi="Century Schoolbook"/>
          <w:iCs/>
          <w:szCs w:val="26"/>
        </w:rPr>
        <w:t>r to the enactment of Senate Bill 588.  Senate Bill 588 did not impact an individual’s rights or duties, but rather allowed an employee to enforce such liability rather than relying on the Labor Commissioner to do so.  Accordingly, to the extent LaPaille i</w:t>
      </w:r>
      <w:r>
        <w:rPr>
          <w:rFonts w:ascii="Century Schoolbook" w:hAnsi="Century Schoolbook"/>
          <w:iCs/>
          <w:szCs w:val="26"/>
        </w:rPr>
        <w:t>s liable for underpaid wages pursuant to section 588.1, that liability extends back to the enactment of section 1197.1.</w:t>
      </w:r>
      <w:r>
        <w:rPr>
          <w:rStyle w:val="FootnoteReference"/>
          <w:iCs/>
          <w:szCs w:val="26"/>
        </w:rPr>
        <w:footnoteReference w:id="9"/>
      </w:r>
    </w:p>
    <w:p w14:paraId="4B4B1DA9" w14:textId="77777777" w:rsidR="00701F78" w:rsidRPr="00701F78" w:rsidRDefault="00962968" w:rsidP="00F47413">
      <w:pPr>
        <w:spacing w:line="360" w:lineRule="auto"/>
        <w:rPr>
          <w:rFonts w:ascii="Century Schoolbook" w:hAnsi="Century Schoolbook"/>
          <w:b/>
          <w:bCs/>
          <w:i/>
          <w:szCs w:val="26"/>
        </w:rPr>
      </w:pPr>
      <w:r w:rsidRPr="00701F78">
        <w:rPr>
          <w:rFonts w:ascii="Century Schoolbook" w:hAnsi="Century Schoolbook"/>
          <w:b/>
          <w:bCs/>
          <w:i/>
          <w:szCs w:val="26"/>
        </w:rPr>
        <w:t>D.</w:t>
      </w:r>
      <w:r>
        <w:rPr>
          <w:rFonts w:ascii="Century Schoolbook" w:hAnsi="Century Schoolbook"/>
          <w:b/>
          <w:bCs/>
          <w:i/>
          <w:szCs w:val="26"/>
        </w:rPr>
        <w:tab/>
      </w:r>
      <w:r w:rsidRPr="00701F78">
        <w:rPr>
          <w:rFonts w:ascii="Century Schoolbook" w:hAnsi="Century Schoolbook"/>
          <w:b/>
          <w:bCs/>
          <w:i/>
          <w:szCs w:val="26"/>
        </w:rPr>
        <w:t>Liquidated Damages</w:t>
      </w:r>
    </w:p>
    <w:p w14:paraId="1BBDC1B3" w14:textId="77777777" w:rsidR="00701F78" w:rsidRDefault="00962968" w:rsidP="00F47413">
      <w:pPr>
        <w:spacing w:line="360" w:lineRule="auto"/>
        <w:rPr>
          <w:rFonts w:ascii="Century Schoolbook" w:hAnsi="Century Schoolbook"/>
          <w:iCs/>
          <w:szCs w:val="26"/>
        </w:rPr>
      </w:pPr>
      <w:r>
        <w:rPr>
          <w:rFonts w:ascii="Century Schoolbook" w:hAnsi="Century Schoolbook"/>
          <w:iCs/>
          <w:szCs w:val="26"/>
        </w:rPr>
        <w:tab/>
        <w:t>Plaintiffs assert the trial court erred in denying them an award of liquidated damages under section 1194.2 bas</w:t>
      </w:r>
      <w:r>
        <w:rPr>
          <w:rFonts w:ascii="Century Schoolbook" w:hAnsi="Century Schoolbook"/>
          <w:iCs/>
          <w:szCs w:val="26"/>
        </w:rPr>
        <w:t xml:space="preserve">ed on a finding of good faith.  Plaintiffs argue an employer must demonstrate a subjective belief that is objectively reasonable in order to successfully assert a good faith defense.  They contend ignorance of the law fails to meet this test.  </w:t>
      </w:r>
    </w:p>
    <w:p w14:paraId="59BCB9AE" w14:textId="77777777" w:rsidR="00E01E8E" w:rsidRDefault="00962968" w:rsidP="00F47413">
      <w:pPr>
        <w:spacing w:line="360" w:lineRule="auto"/>
        <w:rPr>
          <w:rFonts w:ascii="Century Schoolbook" w:hAnsi="Century Schoolbook"/>
          <w:iCs/>
          <w:szCs w:val="26"/>
        </w:rPr>
      </w:pPr>
      <w:r>
        <w:rPr>
          <w:rFonts w:ascii="Century Schoolbook" w:hAnsi="Century Schoolbook"/>
          <w:iCs/>
          <w:szCs w:val="26"/>
        </w:rPr>
        <w:tab/>
        <w:t>Section 11</w:t>
      </w:r>
      <w:r>
        <w:rPr>
          <w:rFonts w:ascii="Century Schoolbook" w:hAnsi="Century Schoolbook"/>
          <w:iCs/>
          <w:szCs w:val="26"/>
        </w:rPr>
        <w:t xml:space="preserve">94.2 </w:t>
      </w:r>
      <w:r w:rsidRPr="00B26060">
        <w:rPr>
          <w:rFonts w:ascii="Century Schoolbook" w:hAnsi="Century Schoolbook"/>
          <w:iCs/>
          <w:szCs w:val="26"/>
        </w:rPr>
        <w:t xml:space="preserve">provides for liquidated damages where an employer has failed to pay the minimum wage. </w:t>
      </w:r>
      <w:r>
        <w:rPr>
          <w:rFonts w:ascii="Century Schoolbook" w:hAnsi="Century Schoolbook"/>
          <w:iCs/>
          <w:szCs w:val="26"/>
        </w:rPr>
        <w:t xml:space="preserve"> </w:t>
      </w:r>
      <w:r w:rsidRPr="00B26060">
        <w:rPr>
          <w:rFonts w:ascii="Century Schoolbook" w:hAnsi="Century Schoolbook"/>
          <w:iCs/>
          <w:szCs w:val="26"/>
        </w:rPr>
        <w:t>(§</w:t>
      </w:r>
      <w:r>
        <w:rPr>
          <w:rFonts w:ascii="Century Schoolbook" w:hAnsi="Century Schoolbook"/>
          <w:iCs/>
          <w:szCs w:val="26"/>
        </w:rPr>
        <w:t> </w:t>
      </w:r>
      <w:r w:rsidRPr="00B26060">
        <w:rPr>
          <w:rFonts w:ascii="Century Schoolbook" w:hAnsi="Century Schoolbook"/>
          <w:iCs/>
          <w:szCs w:val="26"/>
        </w:rPr>
        <w:t xml:space="preserve">1194.2, subd. (a).) </w:t>
      </w:r>
      <w:r>
        <w:rPr>
          <w:rFonts w:ascii="Century Schoolbook" w:hAnsi="Century Schoolbook"/>
          <w:iCs/>
          <w:szCs w:val="26"/>
        </w:rPr>
        <w:t xml:space="preserve"> </w:t>
      </w:r>
      <w:r w:rsidRPr="00B26060">
        <w:rPr>
          <w:rFonts w:ascii="Century Schoolbook" w:hAnsi="Century Schoolbook"/>
          <w:iCs/>
          <w:szCs w:val="26"/>
        </w:rPr>
        <w:t>If the employer demonstrates it acted in good faith, the court may, in its discretion, reduce or refuse</w:t>
      </w:r>
      <w:r>
        <w:rPr>
          <w:rFonts w:ascii="Century Schoolbook" w:hAnsi="Century Schoolbook"/>
          <w:iCs/>
          <w:szCs w:val="26"/>
        </w:rPr>
        <w:t xml:space="preserve"> to award</w:t>
      </w:r>
      <w:r w:rsidRPr="00B26060">
        <w:rPr>
          <w:rFonts w:ascii="Century Schoolbook" w:hAnsi="Century Schoolbook"/>
          <w:iCs/>
          <w:szCs w:val="26"/>
        </w:rPr>
        <w:t xml:space="preserve"> liquidated damages. </w:t>
      </w:r>
      <w:r>
        <w:rPr>
          <w:rFonts w:ascii="Century Schoolbook" w:hAnsi="Century Schoolbook"/>
          <w:iCs/>
          <w:szCs w:val="26"/>
        </w:rPr>
        <w:t xml:space="preserve"> </w:t>
      </w:r>
      <w:r w:rsidRPr="00B26060">
        <w:rPr>
          <w:rFonts w:ascii="Century Schoolbook" w:hAnsi="Century Schoolbook"/>
          <w:iCs/>
          <w:szCs w:val="26"/>
        </w:rPr>
        <w:t>(</w:t>
      </w:r>
      <w:r>
        <w:rPr>
          <w:rFonts w:ascii="Century Schoolbook" w:hAnsi="Century Schoolbook"/>
          <w:i/>
          <w:szCs w:val="26"/>
        </w:rPr>
        <w:t>Id.</w:t>
      </w:r>
      <w:r w:rsidRPr="00B26060">
        <w:rPr>
          <w:rFonts w:ascii="Century Schoolbook" w:hAnsi="Century Schoolbook"/>
          <w:iCs/>
          <w:szCs w:val="26"/>
        </w:rPr>
        <w:t xml:space="preserve">, </w:t>
      </w:r>
      <w:r w:rsidRPr="00B26060">
        <w:rPr>
          <w:rFonts w:ascii="Century Schoolbook" w:hAnsi="Century Schoolbook"/>
          <w:iCs/>
          <w:szCs w:val="26"/>
        </w:rPr>
        <w:t>subd. (b).)</w:t>
      </w:r>
      <w:r>
        <w:rPr>
          <w:rFonts w:ascii="Century Schoolbook" w:hAnsi="Century Schoolbook"/>
          <w:iCs/>
          <w:szCs w:val="26"/>
        </w:rPr>
        <w:t xml:space="preserve">  </w:t>
      </w:r>
    </w:p>
    <w:p w14:paraId="382C3741" w14:textId="77777777" w:rsidR="00735252" w:rsidRPr="00BC052F" w:rsidRDefault="00962968" w:rsidP="00E50F75">
      <w:pPr>
        <w:spacing w:line="360" w:lineRule="auto"/>
        <w:rPr>
          <w:rFonts w:ascii="Century Schoolbook" w:hAnsi="Century Schoolbook"/>
          <w:iCs/>
          <w:szCs w:val="26"/>
        </w:rPr>
      </w:pPr>
      <w:r w:rsidRPr="003E33A8">
        <w:rPr>
          <w:rFonts w:ascii="Century Schoolbook" w:hAnsi="Century Schoolbook"/>
          <w:b/>
          <w:bCs/>
          <w:iCs/>
          <w:szCs w:val="26"/>
        </w:rPr>
        <w:tab/>
      </w:r>
      <w:r w:rsidRPr="00BC052F">
        <w:rPr>
          <w:rFonts w:ascii="Century Schoolbook" w:hAnsi="Century Schoolbook"/>
          <w:iCs/>
          <w:szCs w:val="26"/>
        </w:rPr>
        <w:t>Plaintiffs contend section 1194.2 should be interpreted in accord with the “parallel” federal Fair Labor Standards Act</w:t>
      </w:r>
      <w:r>
        <w:rPr>
          <w:rFonts w:ascii="Century Schoolbook" w:hAnsi="Century Schoolbook"/>
          <w:iCs/>
          <w:szCs w:val="26"/>
        </w:rPr>
        <w:t xml:space="preserve"> of 1938</w:t>
      </w:r>
      <w:r w:rsidRPr="00BC052F">
        <w:rPr>
          <w:rFonts w:ascii="Century Schoolbook" w:hAnsi="Century Schoolbook"/>
          <w:iCs/>
          <w:szCs w:val="26"/>
        </w:rPr>
        <w:t xml:space="preserve"> (FLSA</w:t>
      </w:r>
      <w:r>
        <w:rPr>
          <w:rFonts w:ascii="Century Schoolbook" w:hAnsi="Century Schoolbook"/>
          <w:iCs/>
          <w:szCs w:val="26"/>
        </w:rPr>
        <w:t>; 29 U.S.C. § 201 et seq.</w:t>
      </w:r>
      <w:r w:rsidRPr="00BC052F">
        <w:rPr>
          <w:rFonts w:ascii="Century Schoolbook" w:hAnsi="Century Schoolbook"/>
          <w:iCs/>
          <w:szCs w:val="26"/>
        </w:rPr>
        <w:t xml:space="preserve">).  While the language of the two statutes are similar, there are important differences in the intent behind their enactment.  As plaintiffs note, the FLSA is designed to serve as compensation for delayed payment </w:t>
      </w:r>
      <w:r w:rsidRPr="00BC052F">
        <w:rPr>
          <w:rFonts w:ascii="Century Schoolbook" w:hAnsi="Century Schoolbook"/>
          <w:iCs/>
          <w:szCs w:val="26"/>
        </w:rPr>
        <w:lastRenderedPageBreak/>
        <w:t xml:space="preserve">rather than serve as a penalty.  (See </w:t>
      </w:r>
      <w:r>
        <w:rPr>
          <w:rFonts w:ascii="Century Schoolbook" w:hAnsi="Century Schoolbook"/>
          <w:i/>
          <w:szCs w:val="26"/>
        </w:rPr>
        <w:t>U.S.</w:t>
      </w:r>
      <w:r w:rsidRPr="00BC052F">
        <w:rPr>
          <w:rFonts w:ascii="Century Schoolbook" w:hAnsi="Century Schoolbook"/>
          <w:i/>
          <w:szCs w:val="26"/>
        </w:rPr>
        <w:t xml:space="preserve"> </w:t>
      </w:r>
      <w:r w:rsidRPr="00BC052F">
        <w:rPr>
          <w:rFonts w:ascii="Century Schoolbook" w:hAnsi="Century Schoolbook"/>
          <w:i/>
          <w:szCs w:val="26"/>
        </w:rPr>
        <w:t>v. Sabhnani</w:t>
      </w:r>
      <w:r w:rsidRPr="00BC052F">
        <w:rPr>
          <w:rFonts w:ascii="Century Schoolbook" w:hAnsi="Century Schoolbook"/>
          <w:iCs/>
          <w:szCs w:val="26"/>
        </w:rPr>
        <w:t xml:space="preserve"> (2d Cir. 2010) 599 F.3d 215, 260.)  Accordingly, under the FLSA, liquidated damages are provided in lieu of interest.  (See, e.g., </w:t>
      </w:r>
      <w:r w:rsidRPr="00BC052F">
        <w:rPr>
          <w:rFonts w:ascii="Century Schoolbook" w:hAnsi="Century Schoolbook"/>
          <w:i/>
          <w:szCs w:val="26"/>
        </w:rPr>
        <w:t xml:space="preserve">Evans v. Loveland </w:t>
      </w:r>
      <w:r>
        <w:rPr>
          <w:rFonts w:ascii="Century Schoolbook" w:hAnsi="Century Schoolbook"/>
          <w:i/>
          <w:szCs w:val="26"/>
        </w:rPr>
        <w:t>Automotive Investments</w:t>
      </w:r>
      <w:r w:rsidRPr="00BC052F">
        <w:rPr>
          <w:rFonts w:ascii="Century Schoolbook" w:hAnsi="Century Schoolbook"/>
          <w:i/>
          <w:szCs w:val="26"/>
        </w:rPr>
        <w:t>, Inc</w:t>
      </w:r>
      <w:r w:rsidRPr="00BC052F">
        <w:rPr>
          <w:rFonts w:ascii="Century Schoolbook" w:hAnsi="Century Schoolbook"/>
          <w:iCs/>
          <w:szCs w:val="26"/>
        </w:rPr>
        <w:t>. (10th Cir. 2015) 632 Fed.Appx. 496, 499 [“</w:t>
      </w:r>
      <w:r>
        <w:rPr>
          <w:rFonts w:ascii="Century Schoolbook" w:hAnsi="Century Schoolbook"/>
          <w:iCs/>
          <w:szCs w:val="26"/>
        </w:rPr>
        <w:t> ‘</w:t>
      </w:r>
      <w:r w:rsidRPr="00BC052F">
        <w:rPr>
          <w:rFonts w:ascii="Century Schoolbook" w:hAnsi="Century Schoolbook"/>
          <w:iCs/>
          <w:szCs w:val="26"/>
        </w:rPr>
        <w:t>a party may not recove</w:t>
      </w:r>
      <w:r w:rsidRPr="00BC052F">
        <w:rPr>
          <w:rFonts w:ascii="Century Schoolbook" w:hAnsi="Century Schoolbook"/>
          <w:iCs/>
          <w:szCs w:val="26"/>
        </w:rPr>
        <w:t>r both liquidated damages and prejudgment interest under the FLSA</w:t>
      </w:r>
      <w:r>
        <w:rPr>
          <w:rFonts w:ascii="Century Schoolbook" w:hAnsi="Century Schoolbook"/>
          <w:iCs/>
          <w:szCs w:val="26"/>
        </w:rPr>
        <w:t>’ </w:t>
      </w:r>
      <w:r w:rsidRPr="00BC052F">
        <w:rPr>
          <w:rFonts w:ascii="Century Schoolbook" w:hAnsi="Century Schoolbook"/>
          <w:iCs/>
          <w:szCs w:val="26"/>
        </w:rPr>
        <w:t>”].)  Conversely, the California Supreme Court has noted “[t]he ‘liquidated damages’ allowed in section 1194.2 are in effect a penalty equal to the amount of unpaid minimum wages.”  (</w:t>
      </w:r>
      <w:r w:rsidRPr="00BC052F">
        <w:rPr>
          <w:rFonts w:ascii="Century Schoolbook" w:hAnsi="Century Schoolbook"/>
          <w:i/>
          <w:szCs w:val="26"/>
        </w:rPr>
        <w:t>Martin</w:t>
      </w:r>
      <w:r w:rsidRPr="00BC052F">
        <w:rPr>
          <w:rFonts w:ascii="Century Schoolbook" w:hAnsi="Century Schoolbook"/>
          <w:i/>
          <w:szCs w:val="26"/>
        </w:rPr>
        <w:t>ez v. Combs</w:t>
      </w:r>
      <w:r w:rsidRPr="00BC052F">
        <w:rPr>
          <w:rFonts w:ascii="Century Schoolbook" w:hAnsi="Century Schoolbook"/>
          <w:iCs/>
          <w:szCs w:val="26"/>
        </w:rPr>
        <w:t xml:space="preserve"> (2010) 49 Cal.4th 35, 48, fn. 8.)  Thus, under California law plaintiffs may recover liquidated damages </w:t>
      </w:r>
      <w:r w:rsidRPr="00BC052F">
        <w:rPr>
          <w:rFonts w:ascii="Century Schoolbook" w:hAnsi="Century Schoolbook"/>
          <w:i/>
          <w:szCs w:val="26"/>
        </w:rPr>
        <w:t xml:space="preserve">and </w:t>
      </w:r>
      <w:r w:rsidRPr="00BC052F">
        <w:rPr>
          <w:rFonts w:ascii="Century Schoolbook" w:hAnsi="Century Schoolbook"/>
          <w:iCs/>
          <w:szCs w:val="26"/>
        </w:rPr>
        <w:t xml:space="preserve">prejudgment interest.  </w:t>
      </w:r>
    </w:p>
    <w:p w14:paraId="135099CC" w14:textId="77777777" w:rsidR="00700DE3" w:rsidRPr="00BC052F" w:rsidRDefault="00962968" w:rsidP="00E50F75">
      <w:pPr>
        <w:spacing w:line="360" w:lineRule="auto"/>
        <w:rPr>
          <w:rFonts w:ascii="Century Schoolbook" w:hAnsi="Century Schoolbook"/>
          <w:iCs/>
          <w:szCs w:val="26"/>
        </w:rPr>
      </w:pPr>
      <w:r w:rsidRPr="00BC052F">
        <w:rPr>
          <w:rFonts w:ascii="Century Schoolbook" w:hAnsi="Century Schoolbook"/>
          <w:iCs/>
          <w:szCs w:val="26"/>
        </w:rPr>
        <w:tab/>
        <w:t>Here, the court awarded plaintiffs prejudgment interest for their delayed wages.  For Laurance, who was awarded</w:t>
      </w:r>
      <w:r w:rsidRPr="00BC052F">
        <w:rPr>
          <w:rFonts w:ascii="Century Schoolbook" w:hAnsi="Century Schoolbook"/>
          <w:iCs/>
          <w:szCs w:val="26"/>
        </w:rPr>
        <w:t xml:space="preserve"> $4,950 in unpaid wages, he received prejudgment interest</w:t>
      </w:r>
      <w:r>
        <w:rPr>
          <w:rStyle w:val="FootnoteReference"/>
          <w:iCs/>
          <w:szCs w:val="26"/>
        </w:rPr>
        <w:footnoteReference w:id="10"/>
      </w:r>
      <w:r w:rsidRPr="00BC052F">
        <w:rPr>
          <w:rFonts w:ascii="Century Schoolbook" w:hAnsi="Century Schoolbook"/>
          <w:iCs/>
          <w:szCs w:val="26"/>
        </w:rPr>
        <w:t xml:space="preserve"> in the amount of $3,019</w:t>
      </w:r>
      <w:r>
        <w:rPr>
          <w:rFonts w:ascii="Century Schoolbook" w:hAnsi="Century Schoolbook"/>
          <w:iCs/>
          <w:szCs w:val="26"/>
        </w:rPr>
        <w:t>,</w:t>
      </w:r>
      <w:r w:rsidRPr="00BC052F">
        <w:rPr>
          <w:rFonts w:ascii="Century Schoolbook" w:hAnsi="Century Schoolbook"/>
          <w:iCs/>
          <w:szCs w:val="26"/>
        </w:rPr>
        <w:t xml:space="preserve"> </w:t>
      </w:r>
      <w:r w:rsidRPr="00BC052F">
        <w:rPr>
          <w:rFonts w:ascii="Century Schoolbook" w:hAnsi="Century Schoolbook"/>
          <w:szCs w:val="26"/>
        </w:rPr>
        <w:t>plus additional prejudgment interest at $1.36 per day from March 3, 2021 to the date of judgment</w:t>
      </w:r>
      <w:r w:rsidRPr="00BC052F">
        <w:rPr>
          <w:rFonts w:ascii="Century Schoolbook" w:hAnsi="Century Schoolbook"/>
          <w:iCs/>
          <w:szCs w:val="26"/>
        </w:rPr>
        <w:t>.  For Elsie, who was awarded $21,750 in unpaid wages, she received prejudg</w:t>
      </w:r>
      <w:r w:rsidRPr="00BC052F">
        <w:rPr>
          <w:rFonts w:ascii="Century Schoolbook" w:hAnsi="Century Schoolbook"/>
          <w:iCs/>
          <w:szCs w:val="26"/>
        </w:rPr>
        <w:t>ment interest in the amount of $11,788</w:t>
      </w:r>
      <w:r>
        <w:rPr>
          <w:rFonts w:ascii="Century Schoolbook" w:hAnsi="Century Schoolbook"/>
          <w:iCs/>
          <w:szCs w:val="26"/>
        </w:rPr>
        <w:t>,</w:t>
      </w:r>
      <w:r w:rsidRPr="00BC052F">
        <w:rPr>
          <w:rFonts w:ascii="Century Schoolbook" w:hAnsi="Century Schoolbook"/>
          <w:iCs/>
          <w:szCs w:val="26"/>
        </w:rPr>
        <w:t xml:space="preserve"> </w:t>
      </w:r>
      <w:r w:rsidRPr="00BC052F">
        <w:rPr>
          <w:rFonts w:ascii="Century Schoolbook" w:hAnsi="Century Schoolbook"/>
          <w:szCs w:val="26"/>
        </w:rPr>
        <w:t>plus additional prejudgment interest at $5.96 per day from March 3, 2021 to the date of judgment</w:t>
      </w:r>
      <w:r w:rsidRPr="00BC052F">
        <w:rPr>
          <w:rFonts w:ascii="Century Schoolbook" w:hAnsi="Century Schoolbook"/>
          <w:iCs/>
          <w:szCs w:val="26"/>
        </w:rPr>
        <w:t>.  The motivation under the FLSA—to compensate for delayed wages—is thus not present in the current case.  Rather, the q</w:t>
      </w:r>
      <w:r w:rsidRPr="00BC052F">
        <w:rPr>
          <w:rFonts w:ascii="Century Schoolbook" w:hAnsi="Century Schoolbook"/>
          <w:iCs/>
          <w:szCs w:val="26"/>
        </w:rPr>
        <w:t xml:space="preserve">uestion is simply whether LaPaille should be subject to an additional penalty in the form of liquidated damages, which is an issue not addressed by federal law.  </w:t>
      </w:r>
    </w:p>
    <w:p w14:paraId="1628F124" w14:textId="77777777" w:rsidR="000757E6" w:rsidRPr="00BC052F" w:rsidRDefault="00962968" w:rsidP="009B66AD">
      <w:pPr>
        <w:spacing w:line="360" w:lineRule="auto"/>
        <w:rPr>
          <w:rFonts w:ascii="Century Schoolbook" w:hAnsi="Century Schoolbook"/>
          <w:iCs/>
          <w:szCs w:val="26"/>
        </w:rPr>
      </w:pPr>
      <w:r>
        <w:rPr>
          <w:rFonts w:ascii="Century Schoolbook" w:hAnsi="Century Schoolbook"/>
          <w:b/>
          <w:bCs/>
          <w:iCs/>
          <w:szCs w:val="26"/>
        </w:rPr>
        <w:tab/>
      </w:r>
      <w:r w:rsidRPr="00BC052F">
        <w:rPr>
          <w:rFonts w:ascii="Century Schoolbook" w:hAnsi="Century Schoolbook"/>
          <w:iCs/>
          <w:szCs w:val="26"/>
        </w:rPr>
        <w:t>Moreover, the federal cases cited by plaintiffs involve a clear employment relationship, wit</w:t>
      </w:r>
      <w:r w:rsidRPr="00BC052F">
        <w:rPr>
          <w:rFonts w:ascii="Century Schoolbook" w:hAnsi="Century Schoolbook"/>
          <w:iCs/>
          <w:szCs w:val="26"/>
        </w:rPr>
        <w:t xml:space="preserve">h the issues involving whether those employees are entitled to specific forms of compensation such as lunch breaks or overtime.  (See, e.g., </w:t>
      </w:r>
      <w:r w:rsidRPr="00BC052F">
        <w:rPr>
          <w:rFonts w:ascii="Century Schoolbook" w:hAnsi="Century Schoolbook"/>
          <w:i/>
          <w:szCs w:val="26"/>
        </w:rPr>
        <w:t xml:space="preserve">Reich v. </w:t>
      </w:r>
      <w:r>
        <w:rPr>
          <w:rFonts w:ascii="Century Schoolbook" w:hAnsi="Century Schoolbook"/>
          <w:i/>
          <w:szCs w:val="26"/>
        </w:rPr>
        <w:t>Southern</w:t>
      </w:r>
      <w:r w:rsidRPr="00BC052F">
        <w:rPr>
          <w:rFonts w:ascii="Century Schoolbook" w:hAnsi="Century Schoolbook"/>
          <w:i/>
          <w:szCs w:val="26"/>
        </w:rPr>
        <w:t xml:space="preserve"> New England Telecommunications</w:t>
      </w:r>
      <w:r w:rsidRPr="00BC052F">
        <w:rPr>
          <w:rFonts w:ascii="Century Schoolbook" w:hAnsi="Century Schoolbook"/>
          <w:iCs/>
          <w:szCs w:val="26"/>
        </w:rPr>
        <w:t xml:space="preserve"> </w:t>
      </w:r>
      <w:r w:rsidRPr="00BC052F">
        <w:rPr>
          <w:rFonts w:ascii="Century Schoolbook" w:hAnsi="Century Schoolbook"/>
          <w:iCs/>
          <w:szCs w:val="26"/>
        </w:rPr>
        <w:lastRenderedPageBreak/>
        <w:t>(2d</w:t>
      </w:r>
      <w:r>
        <w:rPr>
          <w:rFonts w:ascii="Century Schoolbook" w:hAnsi="Century Schoolbook"/>
          <w:iCs/>
          <w:szCs w:val="26"/>
        </w:rPr>
        <w:t> </w:t>
      </w:r>
      <w:r w:rsidRPr="00BC052F">
        <w:rPr>
          <w:rFonts w:ascii="Century Schoolbook" w:hAnsi="Century Schoolbook"/>
          <w:iCs/>
          <w:szCs w:val="26"/>
        </w:rPr>
        <w:t xml:space="preserve">Cir. 1997) 121 F.3d 58, 61 [addressing failure to compensate </w:t>
      </w:r>
      <w:r>
        <w:rPr>
          <w:rFonts w:ascii="Century Schoolbook" w:hAnsi="Century Schoolbook"/>
          <w:iCs/>
          <w:szCs w:val="26"/>
        </w:rPr>
        <w:t>e</w:t>
      </w:r>
      <w:r>
        <w:rPr>
          <w:rFonts w:ascii="Century Schoolbook" w:hAnsi="Century Schoolbook"/>
          <w:iCs/>
          <w:szCs w:val="26"/>
        </w:rPr>
        <w:t>mployees</w:t>
      </w:r>
      <w:r w:rsidRPr="00BC052F">
        <w:rPr>
          <w:rFonts w:ascii="Century Schoolbook" w:hAnsi="Century Schoolbook"/>
          <w:iCs/>
          <w:szCs w:val="26"/>
        </w:rPr>
        <w:t xml:space="preserve"> for lunch breaks during which they were required to perform certain work functions]; </w:t>
      </w:r>
      <w:r w:rsidRPr="00BC052F">
        <w:rPr>
          <w:rFonts w:ascii="Century Schoolbook" w:hAnsi="Century Schoolbook"/>
          <w:i/>
          <w:szCs w:val="26"/>
        </w:rPr>
        <w:t>Herman v. RSR Sec. Servs. Ltd</w:t>
      </w:r>
      <w:r w:rsidRPr="00BC052F">
        <w:rPr>
          <w:rFonts w:ascii="Century Schoolbook" w:hAnsi="Century Schoolbook"/>
          <w:iCs/>
          <w:szCs w:val="26"/>
        </w:rPr>
        <w:t>. (2d Cir. 1999) 172 F.3d 132, 135 [addressing whether chairman of the board was liable as an employer for the company’s FLSA violati</w:t>
      </w:r>
      <w:r w:rsidRPr="00BC052F">
        <w:rPr>
          <w:rFonts w:ascii="Century Schoolbook" w:hAnsi="Century Schoolbook"/>
          <w:iCs/>
          <w:szCs w:val="26"/>
        </w:rPr>
        <w:t xml:space="preserve">ons]; </w:t>
      </w:r>
      <w:r w:rsidRPr="00BC052F">
        <w:rPr>
          <w:rFonts w:ascii="Century Schoolbook" w:hAnsi="Century Schoolbook"/>
          <w:i/>
          <w:szCs w:val="26"/>
        </w:rPr>
        <w:t>Alvarez v. IBP, Inc</w:t>
      </w:r>
      <w:r w:rsidRPr="00BC052F">
        <w:rPr>
          <w:rFonts w:ascii="Century Schoolbook" w:hAnsi="Century Schoolbook"/>
          <w:iCs/>
          <w:szCs w:val="26"/>
        </w:rPr>
        <w:t xml:space="preserve">. (9th Cir. 2003) 339 F.3d 894, 897 [whether employer required to compensate employees for time expended changing into protective clothing]; </w:t>
      </w:r>
      <w:r w:rsidRPr="00BC052F">
        <w:rPr>
          <w:rFonts w:ascii="Century Schoolbook" w:hAnsi="Century Schoolbook"/>
          <w:i/>
          <w:szCs w:val="26"/>
        </w:rPr>
        <w:t>Chao v. A</w:t>
      </w:r>
      <w:r>
        <w:rPr>
          <w:rFonts w:ascii="Century Schoolbook" w:hAnsi="Century Schoolbook"/>
          <w:i/>
          <w:szCs w:val="26"/>
        </w:rPr>
        <w:t>–</w:t>
      </w:r>
      <w:r w:rsidRPr="00BC052F">
        <w:rPr>
          <w:rFonts w:ascii="Century Schoolbook" w:hAnsi="Century Schoolbook"/>
          <w:i/>
          <w:szCs w:val="26"/>
        </w:rPr>
        <w:t xml:space="preserve">One </w:t>
      </w:r>
      <w:r>
        <w:rPr>
          <w:rFonts w:ascii="Century Schoolbook" w:hAnsi="Century Schoolbook"/>
          <w:i/>
          <w:szCs w:val="26"/>
        </w:rPr>
        <w:t>Medical Services</w:t>
      </w:r>
      <w:r w:rsidRPr="00BC052F">
        <w:rPr>
          <w:rFonts w:ascii="Century Schoolbook" w:hAnsi="Century Schoolbook"/>
          <w:i/>
          <w:szCs w:val="26"/>
        </w:rPr>
        <w:t>, Inc</w:t>
      </w:r>
      <w:r w:rsidRPr="00BC052F">
        <w:rPr>
          <w:rFonts w:ascii="Century Schoolbook" w:hAnsi="Century Schoolbook"/>
          <w:iCs/>
          <w:szCs w:val="26"/>
        </w:rPr>
        <w:t xml:space="preserve">. (9th Cir. 2003) 346 F.3d 908, 911 [action to recover </w:t>
      </w:r>
      <w:r w:rsidRPr="00BC052F">
        <w:rPr>
          <w:rFonts w:ascii="Century Schoolbook" w:hAnsi="Century Schoolbook"/>
          <w:iCs/>
          <w:szCs w:val="26"/>
        </w:rPr>
        <w:t xml:space="preserve">unpaid overtime wages]; </w:t>
      </w:r>
      <w:r w:rsidRPr="00BC052F">
        <w:rPr>
          <w:rFonts w:ascii="Century Schoolbook" w:hAnsi="Century Schoolbook"/>
          <w:i/>
          <w:szCs w:val="26"/>
        </w:rPr>
        <w:t>Block v. City of Los Angeles</w:t>
      </w:r>
      <w:r w:rsidRPr="00BC052F">
        <w:rPr>
          <w:rFonts w:ascii="Century Schoolbook" w:hAnsi="Century Schoolbook"/>
          <w:iCs/>
          <w:szCs w:val="26"/>
        </w:rPr>
        <w:t xml:space="preserve"> (9th Cir. 2001)  253 F.3d 410, 413 [dispute regarding whether employees entitled to overtime wages].)  </w:t>
      </w:r>
    </w:p>
    <w:p w14:paraId="3BB7B73D" w14:textId="77777777" w:rsidR="003E33A8" w:rsidRPr="00BC052F" w:rsidRDefault="00962968" w:rsidP="009B66AD">
      <w:pPr>
        <w:spacing w:line="360" w:lineRule="auto"/>
        <w:rPr>
          <w:rFonts w:ascii="Century Schoolbook" w:hAnsi="Century Schoolbook"/>
          <w:iCs/>
          <w:szCs w:val="26"/>
        </w:rPr>
      </w:pPr>
      <w:r w:rsidRPr="00BC052F">
        <w:rPr>
          <w:rFonts w:ascii="Century Schoolbook" w:hAnsi="Century Schoolbook"/>
          <w:iCs/>
          <w:szCs w:val="26"/>
        </w:rPr>
        <w:tab/>
        <w:t xml:space="preserve">Here, we are presented with a very distinct set of facts unlike those in the cases cited by </w:t>
      </w:r>
      <w:r w:rsidRPr="00BC052F">
        <w:rPr>
          <w:rFonts w:ascii="Century Schoolbook" w:hAnsi="Century Schoolbook"/>
          <w:iCs/>
          <w:szCs w:val="26"/>
        </w:rPr>
        <w:t>plaintiffs.  LaPaille testified Laurance approached her and proposed, in essence, a barter situation in which plaintiffs would receive free rent in exchange for Laurance performing certain maintenance tasks.  Laurance informed LaPaille he had his own handy</w:t>
      </w:r>
      <w:r w:rsidRPr="00BC052F">
        <w:rPr>
          <w:rFonts w:ascii="Century Schoolbook" w:hAnsi="Century Schoolbook"/>
          <w:iCs/>
          <w:szCs w:val="26"/>
        </w:rPr>
        <w:t>man business and his own tools with which to perform the maintenance tasks.  LaPaille accepted this arrangement, and all parties treated the exchange as an independent contractor relationship rather than an employment relationship.  Accordingly, the presen</w:t>
      </w:r>
      <w:r w:rsidRPr="00BC052F">
        <w:rPr>
          <w:rFonts w:ascii="Century Schoolbook" w:hAnsi="Century Schoolbook"/>
          <w:iCs/>
          <w:szCs w:val="26"/>
        </w:rPr>
        <w:t>t matter does not merely arise from a dispute regarding what compensation is owed, but the parties’ ambiguity about the employment relationship itself.</w:t>
      </w:r>
      <w:r>
        <w:rPr>
          <w:rStyle w:val="FootnoteReference"/>
          <w:iCs/>
          <w:szCs w:val="26"/>
        </w:rPr>
        <w:footnoteReference w:id="11"/>
      </w:r>
      <w:r w:rsidRPr="00BC052F">
        <w:rPr>
          <w:rFonts w:ascii="Century Schoolbook" w:hAnsi="Century Schoolbook"/>
          <w:iCs/>
          <w:szCs w:val="26"/>
        </w:rPr>
        <w:t xml:space="preserve">  While the trial court concluded plaintiffs </w:t>
      </w:r>
      <w:r w:rsidRPr="00BC052F">
        <w:rPr>
          <w:rFonts w:ascii="Century Schoolbook" w:hAnsi="Century Schoolbook"/>
          <w:iCs/>
          <w:szCs w:val="26"/>
        </w:rPr>
        <w:lastRenderedPageBreak/>
        <w:t>were employees—a ruling not before this court—the circumstances giving rise to the relationship and the conduct of the parties during that relationship are relevant to the inquiry of whether LaPaille acted in go</w:t>
      </w:r>
      <w:r w:rsidRPr="00BC052F">
        <w:rPr>
          <w:rFonts w:ascii="Century Schoolbook" w:hAnsi="Century Schoolbook"/>
          <w:iCs/>
          <w:szCs w:val="26"/>
        </w:rPr>
        <w:t>od faith.  In light of the different role of liquidated damages under federal and California law and the unique facts presented here, we do not find authority for awarding liquidated damages under FLSA instructive in this instance.</w:t>
      </w:r>
    </w:p>
    <w:p w14:paraId="11FD6BBD" w14:textId="77777777" w:rsidR="003E33A8" w:rsidRPr="00BC052F" w:rsidRDefault="00962968" w:rsidP="00F47413">
      <w:pPr>
        <w:spacing w:line="360" w:lineRule="auto"/>
        <w:rPr>
          <w:rFonts w:ascii="Century Schoolbook" w:hAnsi="Century Schoolbook"/>
          <w:iCs/>
          <w:szCs w:val="26"/>
        </w:rPr>
      </w:pPr>
      <w:r w:rsidRPr="00BC052F">
        <w:rPr>
          <w:rFonts w:ascii="Century Schoolbook" w:hAnsi="Century Schoolbook"/>
          <w:iCs/>
          <w:szCs w:val="26"/>
        </w:rPr>
        <w:tab/>
        <w:t>Likewise, we do not fin</w:t>
      </w:r>
      <w:r w:rsidRPr="00BC052F">
        <w:rPr>
          <w:rFonts w:ascii="Century Schoolbook" w:hAnsi="Century Schoolbook"/>
          <w:iCs/>
          <w:szCs w:val="26"/>
        </w:rPr>
        <w:t>d the award of damages under section 203 determinative.  While both sections 1194.2 and 203 provide for a good faith defense, section 203</w:t>
      </w:r>
      <w:r>
        <w:rPr>
          <w:rStyle w:val="FootnoteReference"/>
          <w:iCs/>
          <w:szCs w:val="26"/>
        </w:rPr>
        <w:footnoteReference w:id="12"/>
      </w:r>
      <w:r w:rsidRPr="00BC052F">
        <w:rPr>
          <w:rFonts w:ascii="Century Schoolbook" w:hAnsi="Century Schoolbook"/>
          <w:iCs/>
          <w:szCs w:val="26"/>
        </w:rPr>
        <w:t xml:space="preserve"> allows employers to avoid waiting time penalties if they demonstrate a “good faith dispute.”  (Cal. Code Regs. tit. </w:t>
      </w:r>
      <w:r w:rsidRPr="00BC052F">
        <w:rPr>
          <w:rFonts w:ascii="Century Schoolbook" w:hAnsi="Century Schoolbook"/>
          <w:iCs/>
          <w:szCs w:val="26"/>
        </w:rPr>
        <w:t>8, § 13520.)  Courts have concluded a good faith dispute arises when “an employer presents a defense, based in law or fact which, if successful, would preclude any recovery on the part of the employee.”  (</w:t>
      </w:r>
      <w:r w:rsidRPr="00BC052F">
        <w:rPr>
          <w:rFonts w:ascii="Century Schoolbook" w:hAnsi="Century Schoolbook"/>
          <w:i/>
          <w:szCs w:val="26"/>
        </w:rPr>
        <w:t>Id</w:t>
      </w:r>
      <w:r w:rsidRPr="00BC052F">
        <w:rPr>
          <w:rFonts w:ascii="Century Schoolbook" w:hAnsi="Century Schoolbook"/>
          <w:iCs/>
          <w:szCs w:val="26"/>
        </w:rPr>
        <w:t>., subd. (a).)  The fact that a defense ultimatel</w:t>
      </w:r>
      <w:r w:rsidRPr="00BC052F">
        <w:rPr>
          <w:rFonts w:ascii="Century Schoolbook" w:hAnsi="Century Schoolbook"/>
          <w:iCs/>
          <w:szCs w:val="26"/>
        </w:rPr>
        <w:t>y fails “</w:t>
      </w:r>
      <w:r>
        <w:rPr>
          <w:rFonts w:ascii="Century Schoolbook" w:hAnsi="Century Schoolbook"/>
          <w:iCs/>
          <w:szCs w:val="26"/>
        </w:rPr>
        <w:t xml:space="preserve">will </w:t>
      </w:r>
      <w:r w:rsidRPr="00BC052F">
        <w:rPr>
          <w:rFonts w:ascii="Century Schoolbook" w:hAnsi="Century Schoolbook"/>
          <w:iCs/>
          <w:szCs w:val="26"/>
        </w:rPr>
        <w:t>not preclude a finding that a good faith dispute did exist.”  (</w:t>
      </w:r>
      <w:r w:rsidRPr="00BC052F">
        <w:rPr>
          <w:rFonts w:ascii="Century Schoolbook" w:hAnsi="Century Schoolbook"/>
          <w:i/>
          <w:szCs w:val="26"/>
        </w:rPr>
        <w:t>Ibid.</w:t>
      </w:r>
      <w:r w:rsidRPr="00BC052F">
        <w:rPr>
          <w:rFonts w:ascii="Century Schoolbook" w:hAnsi="Century Schoolbook"/>
          <w:iCs/>
          <w:szCs w:val="26"/>
        </w:rPr>
        <w:t>)  Under section 1194.2, however, there is no required showing of a dispute between the parties.  Rather, it simply allows a court to exercise discretion in awarding liquidat</w:t>
      </w:r>
      <w:r w:rsidRPr="00BC052F">
        <w:rPr>
          <w:rFonts w:ascii="Century Schoolbook" w:hAnsi="Century Schoolbook"/>
          <w:iCs/>
          <w:szCs w:val="26"/>
        </w:rPr>
        <w:t>ed damages if the employer “demonstrates to the satisfaction of the court . . . that the act or omission . . . was in good faith and that the employer had reasonable grounds for believing that the act or omission was not a violation of any provision of the</w:t>
      </w:r>
      <w:r w:rsidRPr="00BC052F">
        <w:rPr>
          <w:rFonts w:ascii="Century Schoolbook" w:hAnsi="Century Schoolbook"/>
          <w:iCs/>
          <w:szCs w:val="26"/>
        </w:rPr>
        <w:t xml:space="preserve"> Labor Code . . . .”  (§ 1194.2, subd. (b).)  </w:t>
      </w:r>
    </w:p>
    <w:p w14:paraId="421AFD90" w14:textId="77777777" w:rsidR="007378A8" w:rsidRPr="00CC558A" w:rsidRDefault="00962968" w:rsidP="00DA6C67">
      <w:pPr>
        <w:spacing w:line="360" w:lineRule="auto"/>
        <w:rPr>
          <w:rFonts w:ascii="Century Schoolbook" w:hAnsi="Century Schoolbook"/>
          <w:iCs/>
          <w:szCs w:val="26"/>
        </w:rPr>
      </w:pPr>
      <w:r w:rsidRPr="00CC558A">
        <w:rPr>
          <w:rFonts w:ascii="Century Schoolbook" w:hAnsi="Century Schoolbook"/>
          <w:iCs/>
          <w:szCs w:val="26"/>
        </w:rPr>
        <w:lastRenderedPageBreak/>
        <w:tab/>
        <w:t>No case suggests that section 1194.2 should be construed other than in accord with its plain language, giving the trial court considerable latitude to exercise its discretion and requiring only that the emplo</w:t>
      </w:r>
      <w:r w:rsidRPr="00CC558A">
        <w:rPr>
          <w:rFonts w:ascii="Century Schoolbook" w:hAnsi="Century Schoolbook"/>
          <w:iCs/>
          <w:szCs w:val="26"/>
        </w:rPr>
        <w:t>yer demonstrate good faith and reasonableness “to the satisfaction of the court.”  Here, the court primarily focused on the lack of expectation or understanding by all parties that wages were required to be paid.  As noted above, Laurance proposed the work</w:t>
      </w:r>
      <w:r w:rsidRPr="00CC558A">
        <w:rPr>
          <w:rFonts w:ascii="Century Schoolbook" w:hAnsi="Century Schoolbook"/>
          <w:iCs/>
          <w:szCs w:val="26"/>
        </w:rPr>
        <w:t>-for-free-rent arrangement, and both parties believed plaintiffs were independent contractors.  While there are certainly facts that weigh in favor of classifying plaintiffs as employees, there are some facts that could suggest otherwise, and we will not r</w:t>
      </w:r>
      <w:r w:rsidRPr="00CC558A">
        <w:rPr>
          <w:rFonts w:ascii="Century Schoolbook" w:hAnsi="Century Schoolbook"/>
          <w:iCs/>
          <w:szCs w:val="26"/>
        </w:rPr>
        <w:t xml:space="preserve">eplace the trial court’s assessment of LaPaille’s conduct under the unique circumstances here with our own.  (See </w:t>
      </w:r>
      <w:r w:rsidRPr="00CC558A">
        <w:rPr>
          <w:rFonts w:ascii="Century Schoolbook" w:hAnsi="Century Schoolbook"/>
          <w:i/>
          <w:szCs w:val="26"/>
        </w:rPr>
        <w:t>People ex rel. Harris v. Aguayo</w:t>
      </w:r>
      <w:r w:rsidRPr="00CC558A">
        <w:rPr>
          <w:rFonts w:ascii="Century Schoolbook" w:hAnsi="Century Schoolbook"/>
          <w:iCs/>
          <w:szCs w:val="26"/>
        </w:rPr>
        <w:t xml:space="preserve">, </w:t>
      </w:r>
      <w:r w:rsidRPr="00CC558A">
        <w:rPr>
          <w:rFonts w:ascii="Century Schoolbook" w:hAnsi="Century Schoolbook"/>
          <w:i/>
          <w:szCs w:val="26"/>
        </w:rPr>
        <w:t>supra</w:t>
      </w:r>
      <w:r w:rsidRPr="00CC558A">
        <w:rPr>
          <w:rFonts w:ascii="Century Schoolbook" w:hAnsi="Century Schoolbook"/>
          <w:iCs/>
          <w:szCs w:val="26"/>
        </w:rPr>
        <w:t>, 11 Cal.App.5th at p. 1160 [“Where ‘ “there is a [legal] basis for the trial court’s ruling and it is s</w:t>
      </w:r>
      <w:r w:rsidRPr="00CC558A">
        <w:rPr>
          <w:rFonts w:ascii="Century Schoolbook" w:hAnsi="Century Schoolbook"/>
          <w:iCs/>
          <w:szCs w:val="26"/>
        </w:rPr>
        <w:t>upported by the evidence, a reviewing court will not substitute its opinion for that of the trial court.” ’ ”].)  Accordingly, we cannot conclude the trial court erred in declining to award, in addition to the wages owed plus interest, the additional penal</w:t>
      </w:r>
      <w:r w:rsidRPr="00CC558A">
        <w:rPr>
          <w:rFonts w:ascii="Century Schoolbook" w:hAnsi="Century Schoolbook"/>
          <w:iCs/>
          <w:szCs w:val="26"/>
        </w:rPr>
        <w:t>ty of liquidated damages.</w:t>
      </w:r>
    </w:p>
    <w:p w14:paraId="207E573B" w14:textId="77777777" w:rsidR="0088287F" w:rsidRPr="007378A8" w:rsidRDefault="00962968" w:rsidP="004D74D6">
      <w:pPr>
        <w:spacing w:line="360" w:lineRule="auto"/>
        <w:rPr>
          <w:rFonts w:ascii="Century Schoolbook" w:hAnsi="Century Schoolbook"/>
          <w:b/>
          <w:bCs/>
          <w:i/>
          <w:szCs w:val="26"/>
        </w:rPr>
      </w:pPr>
      <w:r w:rsidRPr="007378A8">
        <w:rPr>
          <w:rFonts w:ascii="Century Schoolbook" w:hAnsi="Century Schoolbook"/>
          <w:b/>
          <w:bCs/>
          <w:i/>
          <w:szCs w:val="26"/>
        </w:rPr>
        <w:t>E.</w:t>
      </w:r>
      <w:r>
        <w:rPr>
          <w:rFonts w:ascii="Century Schoolbook" w:hAnsi="Century Schoolbook"/>
          <w:b/>
          <w:bCs/>
          <w:i/>
          <w:szCs w:val="26"/>
        </w:rPr>
        <w:tab/>
      </w:r>
      <w:r w:rsidRPr="007378A8">
        <w:rPr>
          <w:rFonts w:ascii="Century Schoolbook" w:hAnsi="Century Schoolbook"/>
          <w:b/>
          <w:bCs/>
          <w:i/>
          <w:szCs w:val="26"/>
        </w:rPr>
        <w:t xml:space="preserve">Healthy </w:t>
      </w:r>
      <w:r>
        <w:rPr>
          <w:rFonts w:ascii="Century Schoolbook" w:hAnsi="Century Schoolbook"/>
          <w:b/>
          <w:bCs/>
          <w:i/>
          <w:szCs w:val="26"/>
        </w:rPr>
        <w:t>Workplaces,</w:t>
      </w:r>
      <w:r w:rsidRPr="007378A8">
        <w:rPr>
          <w:rFonts w:ascii="Century Schoolbook" w:hAnsi="Century Schoolbook"/>
          <w:b/>
          <w:bCs/>
          <w:i/>
          <w:szCs w:val="26"/>
        </w:rPr>
        <w:t xml:space="preserve"> Health</w:t>
      </w:r>
      <w:r>
        <w:rPr>
          <w:rFonts w:ascii="Century Schoolbook" w:hAnsi="Century Schoolbook"/>
          <w:b/>
          <w:bCs/>
          <w:i/>
          <w:szCs w:val="26"/>
        </w:rPr>
        <w:t>y Families</w:t>
      </w:r>
      <w:r w:rsidRPr="007378A8">
        <w:rPr>
          <w:rFonts w:ascii="Century Schoolbook" w:hAnsi="Century Schoolbook"/>
          <w:b/>
          <w:bCs/>
          <w:i/>
          <w:szCs w:val="26"/>
        </w:rPr>
        <w:t xml:space="preserve"> Act</w:t>
      </w:r>
      <w:r>
        <w:rPr>
          <w:rFonts w:ascii="Century Schoolbook" w:hAnsi="Century Schoolbook"/>
          <w:b/>
          <w:bCs/>
          <w:i/>
          <w:szCs w:val="26"/>
        </w:rPr>
        <w:t xml:space="preserve"> of 2014</w:t>
      </w:r>
    </w:p>
    <w:p w14:paraId="29E524B6" w14:textId="77777777" w:rsidR="007378A8" w:rsidRPr="004D74D6" w:rsidRDefault="00962968" w:rsidP="004D74D6">
      <w:pPr>
        <w:spacing w:line="360" w:lineRule="auto"/>
        <w:rPr>
          <w:rFonts w:ascii="Century Schoolbook" w:hAnsi="Century Schoolbook"/>
          <w:iCs/>
          <w:szCs w:val="26"/>
        </w:rPr>
      </w:pPr>
      <w:r>
        <w:rPr>
          <w:rFonts w:ascii="Century Schoolbook" w:hAnsi="Century Schoolbook"/>
          <w:iCs/>
          <w:szCs w:val="26"/>
        </w:rPr>
        <w:tab/>
        <w:t xml:space="preserve">Plaintiffs note LaPaille failed to provide them with paid sick leave as required by the Healthy Workplaces, Healthy Families Act of 2014 (§ 245 </w:t>
      </w:r>
      <w:r w:rsidRPr="00BB6A52">
        <w:rPr>
          <w:rFonts w:ascii="Century Schoolbook" w:hAnsi="Century Schoolbook"/>
          <w:iCs/>
          <w:szCs w:val="26"/>
        </w:rPr>
        <w:t>et seq.</w:t>
      </w:r>
      <w:r>
        <w:rPr>
          <w:rFonts w:ascii="Century Schoolbook" w:hAnsi="Century Schoolbook"/>
          <w:iCs/>
          <w:szCs w:val="26"/>
        </w:rPr>
        <w:t xml:space="preserve">).  Plaintiffs thus argue </w:t>
      </w:r>
      <w:r>
        <w:rPr>
          <w:rFonts w:ascii="Century Schoolbook" w:hAnsi="Century Schoolbook"/>
          <w:iCs/>
          <w:szCs w:val="26"/>
        </w:rPr>
        <w:t xml:space="preserve">they are entitled to seek administrative penalties as a result of this violation as part of their civil action.  Defendants contend only the Labor Commissioner or the Attorney General is authorized to enforce the Healthy Workplaces, Healthy Families Act. </w:t>
      </w:r>
    </w:p>
    <w:p w14:paraId="56BE2F62" w14:textId="77777777" w:rsidR="00E01E8E" w:rsidRDefault="00962968" w:rsidP="00F47413">
      <w:pPr>
        <w:spacing w:line="360" w:lineRule="auto"/>
        <w:rPr>
          <w:rFonts w:ascii="Century Schoolbook" w:hAnsi="Century Schoolbook"/>
          <w:iCs/>
          <w:szCs w:val="26"/>
        </w:rPr>
      </w:pPr>
      <w:r>
        <w:rPr>
          <w:rFonts w:ascii="Century Schoolbook" w:hAnsi="Century Schoolbook"/>
          <w:iCs/>
          <w:szCs w:val="26"/>
        </w:rPr>
        <w:tab/>
        <w:t xml:space="preserve">The plain language of section 248.5 contradicts plaintiffs’ position.  Section 248.5, entitled </w:t>
      </w:r>
      <w:r w:rsidRPr="00E23764">
        <w:rPr>
          <w:rFonts w:ascii="Century Schoolbook" w:hAnsi="Century Schoolbook"/>
          <w:iCs/>
          <w:szCs w:val="26"/>
        </w:rPr>
        <w:t xml:space="preserve">“Enforcement of </w:t>
      </w:r>
      <w:r>
        <w:rPr>
          <w:rFonts w:ascii="Century Schoolbook" w:hAnsi="Century Schoolbook"/>
          <w:iCs/>
          <w:szCs w:val="26"/>
        </w:rPr>
        <w:t>a</w:t>
      </w:r>
      <w:r w:rsidRPr="00E23764">
        <w:rPr>
          <w:rFonts w:ascii="Century Schoolbook" w:hAnsi="Century Schoolbook"/>
          <w:iCs/>
          <w:szCs w:val="26"/>
        </w:rPr>
        <w:t>rticle</w:t>
      </w:r>
      <w:r>
        <w:rPr>
          <w:rFonts w:ascii="Century Schoolbook" w:hAnsi="Century Schoolbook"/>
          <w:iCs/>
          <w:szCs w:val="26"/>
        </w:rPr>
        <w:t>; Violation,</w:t>
      </w:r>
      <w:r w:rsidRPr="00E23764">
        <w:rPr>
          <w:rFonts w:ascii="Century Schoolbook" w:hAnsi="Century Schoolbook"/>
          <w:iCs/>
          <w:szCs w:val="26"/>
        </w:rPr>
        <w:t>”</w:t>
      </w:r>
      <w:r>
        <w:rPr>
          <w:rFonts w:ascii="Century Schoolbook" w:hAnsi="Century Schoolbook"/>
          <w:iCs/>
          <w:szCs w:val="26"/>
        </w:rPr>
        <w:t xml:space="preserve"> begins by stating, “The Labor Commissioner shall enforce this article, including investigating </w:t>
      </w:r>
      <w:r>
        <w:rPr>
          <w:rFonts w:ascii="Century Schoolbook" w:hAnsi="Century Schoolbook"/>
          <w:iCs/>
          <w:szCs w:val="26"/>
        </w:rPr>
        <w:lastRenderedPageBreak/>
        <w:t>an alleged violation, and or</w:t>
      </w:r>
      <w:r>
        <w:rPr>
          <w:rFonts w:ascii="Century Schoolbook" w:hAnsi="Century Schoolbook"/>
          <w:iCs/>
          <w:szCs w:val="26"/>
        </w:rPr>
        <w:t>dering appropriate temporary relief to mitigate the violation or to maintain the status quo pending the completion of a full investigation or hearing through the procedures set forth in Sections 98, 98.3, 98.7, 98.74, or 1197.1 . . . .”  (§ 248.5, subd. (a</w:t>
      </w:r>
      <w:r>
        <w:rPr>
          <w:rFonts w:ascii="Century Schoolbook" w:hAnsi="Century Schoolbook"/>
          <w:iCs/>
          <w:szCs w:val="26"/>
        </w:rPr>
        <w:t>).)  Subdivisions</w:t>
      </w:r>
      <w:r w:rsidRPr="00E23764">
        <w:rPr>
          <w:rFonts w:ascii="Century Schoolbook" w:hAnsi="Century Schoolbook"/>
          <w:iCs/>
          <w:szCs w:val="26"/>
        </w:rPr>
        <w:t xml:space="preserve"> </w:t>
      </w:r>
      <w:r>
        <w:rPr>
          <w:rFonts w:ascii="Century Schoolbook" w:hAnsi="Century Schoolbook"/>
          <w:iCs/>
          <w:szCs w:val="26"/>
        </w:rPr>
        <w:t>(</w:t>
      </w:r>
      <w:r w:rsidRPr="00E23764">
        <w:rPr>
          <w:rFonts w:ascii="Century Schoolbook" w:hAnsi="Century Schoolbook"/>
          <w:iCs/>
          <w:szCs w:val="26"/>
        </w:rPr>
        <w:t>b)</w:t>
      </w:r>
      <w:r>
        <w:rPr>
          <w:rFonts w:ascii="Century Schoolbook" w:hAnsi="Century Schoolbook"/>
          <w:iCs/>
          <w:szCs w:val="26"/>
        </w:rPr>
        <w:t xml:space="preserve"> through (d) further </w:t>
      </w:r>
      <w:r w:rsidRPr="00E23764">
        <w:rPr>
          <w:rFonts w:ascii="Century Schoolbook" w:hAnsi="Century Schoolbook"/>
          <w:iCs/>
          <w:szCs w:val="26"/>
        </w:rPr>
        <w:t>outline the role of the Labor Commissioner</w:t>
      </w:r>
      <w:r>
        <w:rPr>
          <w:rFonts w:ascii="Century Schoolbook" w:hAnsi="Century Schoolbook"/>
          <w:iCs/>
          <w:szCs w:val="26"/>
        </w:rPr>
        <w:t>.  Subdivision (e) then provides, “T</w:t>
      </w:r>
      <w:r w:rsidRPr="00E23764">
        <w:rPr>
          <w:rFonts w:ascii="Century Schoolbook" w:hAnsi="Century Schoolbook"/>
          <w:iCs/>
          <w:szCs w:val="26"/>
        </w:rPr>
        <w:t>he Labor Commissioner or the Attorney General may bring a civil action in a court of competent jurisdiction against the employer or othe</w:t>
      </w:r>
      <w:r w:rsidRPr="00E23764">
        <w:rPr>
          <w:rFonts w:ascii="Century Schoolbook" w:hAnsi="Century Schoolbook"/>
          <w:iCs/>
          <w:szCs w:val="26"/>
        </w:rPr>
        <w:t>r person violating this article</w:t>
      </w:r>
      <w:r>
        <w:rPr>
          <w:rFonts w:ascii="Century Schoolbook" w:hAnsi="Century Schoolbook"/>
          <w:iCs/>
          <w:szCs w:val="26"/>
        </w:rPr>
        <w:t xml:space="preserve"> . . . .”  (§ 248.5, subd. (e).)  Nothing in this language indicates a private right of action.  (</w:t>
      </w:r>
      <w:r w:rsidRPr="00F77C40">
        <w:rPr>
          <w:rFonts w:ascii="Century Schoolbook" w:hAnsi="Century Schoolbook"/>
          <w:i/>
          <w:szCs w:val="26"/>
        </w:rPr>
        <w:t xml:space="preserve">Vikco Ins. </w:t>
      </w:r>
      <w:r>
        <w:rPr>
          <w:rFonts w:ascii="Century Schoolbook" w:hAnsi="Century Schoolbook"/>
          <w:i/>
          <w:szCs w:val="26"/>
        </w:rPr>
        <w:t>Services</w:t>
      </w:r>
      <w:r w:rsidRPr="00F77C40">
        <w:rPr>
          <w:rFonts w:ascii="Century Schoolbook" w:hAnsi="Century Schoolbook"/>
          <w:i/>
          <w:szCs w:val="26"/>
        </w:rPr>
        <w:t xml:space="preserve">, Inc. v. Ohio </w:t>
      </w:r>
      <w:r>
        <w:rPr>
          <w:rFonts w:ascii="Century Schoolbook" w:hAnsi="Century Schoolbook"/>
          <w:i/>
          <w:szCs w:val="26"/>
        </w:rPr>
        <w:t>Indemnity</w:t>
      </w:r>
      <w:r w:rsidRPr="00F77C40">
        <w:rPr>
          <w:rFonts w:ascii="Century Schoolbook" w:hAnsi="Century Schoolbook"/>
          <w:i/>
          <w:szCs w:val="26"/>
        </w:rPr>
        <w:t xml:space="preserve"> Co</w:t>
      </w:r>
      <w:r w:rsidRPr="00F77C40">
        <w:rPr>
          <w:rFonts w:ascii="Century Schoolbook" w:hAnsi="Century Schoolbook"/>
          <w:iCs/>
          <w:szCs w:val="26"/>
        </w:rPr>
        <w:t xml:space="preserve">. </w:t>
      </w:r>
      <w:r>
        <w:rPr>
          <w:rFonts w:ascii="Century Schoolbook" w:hAnsi="Century Schoolbook"/>
          <w:iCs/>
          <w:szCs w:val="26"/>
        </w:rPr>
        <w:t xml:space="preserve">(1999) </w:t>
      </w:r>
      <w:r w:rsidRPr="00F77C40">
        <w:rPr>
          <w:rFonts w:ascii="Century Schoolbook" w:hAnsi="Century Schoolbook"/>
          <w:iCs/>
          <w:szCs w:val="26"/>
        </w:rPr>
        <w:t>70</w:t>
      </w:r>
      <w:r>
        <w:rPr>
          <w:rFonts w:ascii="Century Schoolbook" w:hAnsi="Century Schoolbook"/>
          <w:iCs/>
          <w:szCs w:val="26"/>
        </w:rPr>
        <w:t> </w:t>
      </w:r>
      <w:r w:rsidRPr="00F77C40">
        <w:rPr>
          <w:rFonts w:ascii="Century Schoolbook" w:hAnsi="Century Schoolbook"/>
          <w:iCs/>
          <w:szCs w:val="26"/>
        </w:rPr>
        <w:t xml:space="preserve">Cal.App.4th 55, 62 </w:t>
      </w:r>
      <w:r>
        <w:rPr>
          <w:rFonts w:ascii="Century Schoolbook" w:hAnsi="Century Schoolbook"/>
          <w:iCs/>
          <w:szCs w:val="26"/>
        </w:rPr>
        <w:t>[</w:t>
      </w:r>
      <w:r w:rsidRPr="00F77C40">
        <w:rPr>
          <w:rFonts w:ascii="Century Schoolbook" w:hAnsi="Century Schoolbook"/>
          <w:iCs/>
          <w:szCs w:val="26"/>
        </w:rPr>
        <w:t>“</w:t>
      </w:r>
      <w:r>
        <w:rPr>
          <w:rFonts w:ascii="Century Schoolbook" w:hAnsi="Century Schoolbook"/>
          <w:iCs/>
          <w:szCs w:val="26"/>
        </w:rPr>
        <w:t>a</w:t>
      </w:r>
      <w:r w:rsidRPr="00F77C40">
        <w:rPr>
          <w:rFonts w:ascii="Century Schoolbook" w:hAnsi="Century Schoolbook"/>
          <w:iCs/>
          <w:szCs w:val="26"/>
        </w:rPr>
        <w:t xml:space="preserve"> private right of action exists only if the lan</w:t>
      </w:r>
      <w:r w:rsidRPr="00F77C40">
        <w:rPr>
          <w:rFonts w:ascii="Century Schoolbook" w:hAnsi="Century Schoolbook"/>
          <w:iCs/>
          <w:szCs w:val="26"/>
        </w:rPr>
        <w:t xml:space="preserve">guage of the statute or its legislative history clearly indicates the Legislature </w:t>
      </w:r>
      <w:r w:rsidRPr="00BB6A52">
        <w:rPr>
          <w:rFonts w:ascii="Century Schoolbook" w:hAnsi="Century Schoolbook"/>
          <w:i/>
          <w:szCs w:val="26"/>
        </w:rPr>
        <w:t>intended</w:t>
      </w:r>
      <w:r w:rsidRPr="00F77C40">
        <w:rPr>
          <w:rFonts w:ascii="Century Schoolbook" w:hAnsi="Century Schoolbook"/>
          <w:iCs/>
          <w:szCs w:val="26"/>
        </w:rPr>
        <w:t xml:space="preserve"> to create such a right”</w:t>
      </w:r>
      <w:r>
        <w:rPr>
          <w:rFonts w:ascii="Century Schoolbook" w:hAnsi="Century Schoolbook"/>
          <w:iCs/>
          <w:szCs w:val="26"/>
        </w:rPr>
        <w:t>]</w:t>
      </w:r>
      <w:r w:rsidRPr="00F77C40">
        <w:rPr>
          <w:rFonts w:ascii="Century Schoolbook" w:hAnsi="Century Schoolbook"/>
          <w:iCs/>
          <w:szCs w:val="26"/>
        </w:rPr>
        <w:t>.</w:t>
      </w:r>
      <w:r>
        <w:rPr>
          <w:rFonts w:ascii="Century Schoolbook" w:hAnsi="Century Schoolbook"/>
          <w:iCs/>
          <w:szCs w:val="26"/>
        </w:rPr>
        <w:t>)</w:t>
      </w:r>
    </w:p>
    <w:p w14:paraId="592CB790" w14:textId="77777777" w:rsidR="00133125" w:rsidRDefault="00962968" w:rsidP="00F47413">
      <w:pPr>
        <w:spacing w:line="360" w:lineRule="auto"/>
        <w:rPr>
          <w:rFonts w:ascii="Century Schoolbook" w:hAnsi="Century Schoolbook"/>
          <w:iCs/>
          <w:szCs w:val="26"/>
        </w:rPr>
      </w:pPr>
      <w:r>
        <w:rPr>
          <w:rFonts w:ascii="Century Schoolbook" w:hAnsi="Century Schoolbook"/>
          <w:iCs/>
          <w:szCs w:val="26"/>
        </w:rPr>
        <w:tab/>
        <w:t>Plaintiffs argue a private right of action must be read into the statute because subdivision (a) of section 248.5 references various stat</w:t>
      </w:r>
      <w:r>
        <w:rPr>
          <w:rFonts w:ascii="Century Schoolbook" w:hAnsi="Century Schoolbook"/>
          <w:iCs/>
          <w:szCs w:val="26"/>
        </w:rPr>
        <w:t>utes by which the Labor Commissioner may enforce the Healthy Workplaces, Healthy Families Act, including section 98, the Berman hearing process.  Plaintiffs argue the trial court judgment, which gives rise to this appeal, was part of that process.   We dis</w:t>
      </w:r>
      <w:r>
        <w:rPr>
          <w:rFonts w:ascii="Century Schoolbook" w:hAnsi="Century Schoolbook"/>
          <w:iCs/>
          <w:szCs w:val="26"/>
        </w:rPr>
        <w:t>agree.  The right to appeal from a Berman hearing and have a trial court decide the matter de novo does not arise from section 98.  Rather, that right to appeal is set forth in section 98.2.  (See § 98.2, subd. (a) [“</w:t>
      </w:r>
      <w:r w:rsidRPr="00F77C40">
        <w:rPr>
          <w:rFonts w:ascii="Century Schoolbook" w:hAnsi="Century Schoolbook"/>
          <w:iCs/>
          <w:szCs w:val="26"/>
        </w:rPr>
        <w:t xml:space="preserve">Within 10 days after service of notice </w:t>
      </w:r>
      <w:r w:rsidRPr="00F77C40">
        <w:rPr>
          <w:rFonts w:ascii="Century Schoolbook" w:hAnsi="Century Schoolbook"/>
          <w:iCs/>
          <w:szCs w:val="26"/>
        </w:rPr>
        <w:t>of an order, decision, or award the parties may seek review by filing an appeal to the superior court, where the appeal shall be heard de novo.</w:t>
      </w:r>
      <w:r>
        <w:rPr>
          <w:rFonts w:ascii="Century Schoolbook" w:hAnsi="Century Schoolbook"/>
          <w:iCs/>
          <w:szCs w:val="26"/>
        </w:rPr>
        <w:t>”].)  Section 98.2 is notably absent from the list of statutes by which the Labor Commissioner is authorized to e</w:t>
      </w:r>
      <w:r>
        <w:rPr>
          <w:rFonts w:ascii="Century Schoolbook" w:hAnsi="Century Schoolbook"/>
          <w:iCs/>
          <w:szCs w:val="26"/>
        </w:rPr>
        <w:t>nforce the Healthy Workplaces, Healthy Families Act.  (See § 248.5, subd. (a) [listing “Sections 98, 98.3, 98.7, 98.74, or 1197.1”].)  We cannot interpret section 248.5 to include enforcement via section 98.2.  (</w:t>
      </w:r>
      <w:r w:rsidRPr="004D2914">
        <w:rPr>
          <w:rFonts w:ascii="Century Schoolbook" w:hAnsi="Century Schoolbook"/>
          <w:i/>
          <w:szCs w:val="26"/>
        </w:rPr>
        <w:t>Kunde v. Seiler</w:t>
      </w:r>
      <w:r w:rsidRPr="004D2914">
        <w:rPr>
          <w:rFonts w:ascii="Century Schoolbook" w:hAnsi="Century Schoolbook"/>
          <w:iCs/>
          <w:szCs w:val="26"/>
        </w:rPr>
        <w:t xml:space="preserve"> (2011) </w:t>
      </w:r>
      <w:r w:rsidRPr="004D2914">
        <w:rPr>
          <w:rFonts w:ascii="Century Schoolbook" w:hAnsi="Century Schoolbook"/>
          <w:iCs/>
          <w:szCs w:val="26"/>
        </w:rPr>
        <w:lastRenderedPageBreak/>
        <w:t>197</w:t>
      </w:r>
      <w:r>
        <w:rPr>
          <w:rFonts w:ascii="Century Schoolbook" w:hAnsi="Century Schoolbook"/>
          <w:iCs/>
          <w:szCs w:val="26"/>
        </w:rPr>
        <w:t> </w:t>
      </w:r>
      <w:r w:rsidRPr="004D2914">
        <w:rPr>
          <w:rFonts w:ascii="Century Schoolbook" w:hAnsi="Century Schoolbook"/>
          <w:iCs/>
          <w:szCs w:val="26"/>
        </w:rPr>
        <w:t xml:space="preserve">Cal.App.4th 518, </w:t>
      </w:r>
      <w:r w:rsidRPr="004D2914">
        <w:rPr>
          <w:rFonts w:ascii="Century Schoolbook" w:hAnsi="Century Schoolbook"/>
          <w:iCs/>
          <w:szCs w:val="26"/>
        </w:rPr>
        <w:t>531 [“</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“[I]f a statute enumerates the persons or things to be affected by its provisions, there is an implied exclusion of others</w:t>
      </w:r>
      <w:r>
        <w:rPr>
          <w:rFonts w:ascii="Century Schoolbook" w:hAnsi="Century Schoolbook"/>
          <w:iCs/>
          <w:szCs w:val="26"/>
        </w:rPr>
        <w:t xml:space="preserve">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 It is an elementary rule of construction that the expression of one excludes the other.</w:t>
      </w:r>
      <w:r>
        <w:rPr>
          <w:rFonts w:ascii="Century Schoolbook" w:hAnsi="Century Schoolbook"/>
          <w:iCs/>
          <w:szCs w:val="26"/>
        </w:rPr>
        <w:t xml:space="preserve"> </w:t>
      </w:r>
      <w:r w:rsidRPr="004D2914">
        <w:rPr>
          <w:rFonts w:ascii="Century Schoolbook" w:hAnsi="Century Schoolbook"/>
          <w:iCs/>
          <w:szCs w:val="26"/>
        </w:rPr>
        <w:t xml:space="preserve"> And it is equally well sett</w:t>
      </w:r>
      <w:r w:rsidRPr="004D2914">
        <w:rPr>
          <w:rFonts w:ascii="Century Schoolbook" w:hAnsi="Century Schoolbook"/>
          <w:iCs/>
          <w:szCs w:val="26"/>
        </w:rPr>
        <w:t>led that the court is without power to supply an omission.”</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w:t>
      </w:r>
      <w:r>
        <w:rPr>
          <w:rStyle w:val="FootnoteReference"/>
          <w:iCs/>
          <w:szCs w:val="26"/>
        </w:rPr>
        <w:footnoteReference w:id="13"/>
      </w:r>
      <w:r>
        <w:rPr>
          <w:rFonts w:ascii="Century Schoolbook" w:hAnsi="Century Schoolbook"/>
          <w:iCs/>
          <w:szCs w:val="26"/>
        </w:rPr>
        <w:t xml:space="preserve">  Accordingly, we conclude there is no private right of action to seek administrative penalties under section 248.5.</w:t>
      </w:r>
    </w:p>
    <w:p w14:paraId="238AFDE9" w14:textId="77777777" w:rsidR="00701F78" w:rsidRPr="004D2914" w:rsidRDefault="00962968" w:rsidP="00F47413">
      <w:pPr>
        <w:spacing w:line="360" w:lineRule="auto"/>
        <w:rPr>
          <w:rFonts w:ascii="Century Schoolbook" w:hAnsi="Century Schoolbook"/>
          <w:b/>
          <w:bCs/>
          <w:i/>
          <w:szCs w:val="26"/>
        </w:rPr>
      </w:pPr>
      <w:r w:rsidRPr="004D2914">
        <w:rPr>
          <w:rFonts w:ascii="Century Schoolbook" w:hAnsi="Century Schoolbook"/>
          <w:b/>
          <w:bCs/>
          <w:i/>
          <w:szCs w:val="26"/>
        </w:rPr>
        <w:t>F.</w:t>
      </w:r>
      <w:r>
        <w:rPr>
          <w:rFonts w:ascii="Century Schoolbook" w:hAnsi="Century Schoolbook"/>
          <w:b/>
          <w:bCs/>
          <w:i/>
          <w:szCs w:val="26"/>
        </w:rPr>
        <w:tab/>
      </w:r>
      <w:r w:rsidRPr="004D2914">
        <w:rPr>
          <w:rFonts w:ascii="Century Schoolbook" w:hAnsi="Century Schoolbook"/>
          <w:b/>
          <w:bCs/>
          <w:i/>
          <w:szCs w:val="26"/>
        </w:rPr>
        <w:t>Waiting Time Penalties</w:t>
      </w:r>
    </w:p>
    <w:p w14:paraId="263B8B05" w14:textId="77777777" w:rsidR="00D00721" w:rsidRDefault="00962968" w:rsidP="0067498B">
      <w:pPr>
        <w:spacing w:line="360" w:lineRule="auto"/>
        <w:rPr>
          <w:rFonts w:ascii="Century Schoolbook" w:hAnsi="Century Schoolbook"/>
          <w:iCs/>
          <w:szCs w:val="26"/>
        </w:rPr>
      </w:pPr>
      <w:r>
        <w:rPr>
          <w:rFonts w:ascii="Century Schoolbook" w:hAnsi="Century Schoolbook"/>
          <w:iCs/>
          <w:szCs w:val="26"/>
        </w:rPr>
        <w:tab/>
        <w:t>Plaintiffs argue the trial court’s award of waiting time penalties pursuant to section 203 failed to include the</w:t>
      </w:r>
      <w:r>
        <w:rPr>
          <w:rFonts w:ascii="Century Schoolbook" w:hAnsi="Century Schoolbook"/>
          <w:iCs/>
          <w:szCs w:val="26"/>
        </w:rPr>
        <w:t xml:space="preserve"> value of their housing when calculating the daily rate of pay.  We agree.</w:t>
      </w:r>
    </w:p>
    <w:p w14:paraId="5550FB35" w14:textId="77777777" w:rsidR="00B00008" w:rsidRDefault="00962968" w:rsidP="00462649">
      <w:pPr>
        <w:spacing w:line="360" w:lineRule="auto"/>
        <w:rPr>
          <w:rFonts w:ascii="Century Schoolbook" w:hAnsi="Century Schoolbook"/>
          <w:iCs/>
          <w:szCs w:val="26"/>
        </w:rPr>
      </w:pPr>
      <w:r>
        <w:rPr>
          <w:rFonts w:ascii="Century Schoolbook" w:hAnsi="Century Schoolbook"/>
          <w:iCs/>
          <w:szCs w:val="26"/>
        </w:rPr>
        <w:tab/>
        <w:t>“</w:t>
      </w:r>
      <w:r w:rsidRPr="00462649">
        <w:rPr>
          <w:rFonts w:ascii="Century Schoolbook" w:hAnsi="Century Schoolbook"/>
          <w:iCs/>
          <w:szCs w:val="26"/>
        </w:rPr>
        <w:t xml:space="preserve">Penalties under Labor Code section 203 are properly awarded when an employer </w:t>
      </w:r>
      <w:r>
        <w:rPr>
          <w:rFonts w:ascii="Century Schoolbook" w:hAnsi="Century Schoolbook"/>
          <w:iCs/>
          <w:szCs w:val="26"/>
        </w:rPr>
        <w:t>‘</w:t>
      </w:r>
      <w:r w:rsidRPr="00462649">
        <w:rPr>
          <w:rFonts w:ascii="Century Schoolbook" w:hAnsi="Century Schoolbook"/>
          <w:iCs/>
          <w:szCs w:val="26"/>
        </w:rPr>
        <w:t>willfully fails to pay</w:t>
      </w:r>
      <w:r>
        <w:rPr>
          <w:rFonts w:ascii="Century Schoolbook" w:hAnsi="Century Schoolbook"/>
          <w:iCs/>
          <w:szCs w:val="26"/>
        </w:rPr>
        <w:t>’</w:t>
      </w:r>
      <w:r w:rsidRPr="00462649">
        <w:rPr>
          <w:rFonts w:ascii="Century Schoolbook" w:hAnsi="Century Schoolbook"/>
          <w:iCs/>
          <w:szCs w:val="26"/>
        </w:rPr>
        <w:t xml:space="preserve"> an employee all wages owed at the times specified in Labor Code section 201, </w:t>
      </w:r>
      <w:r w:rsidRPr="00462649">
        <w:rPr>
          <w:rFonts w:ascii="Century Schoolbook" w:hAnsi="Century Schoolbook"/>
          <w:iCs/>
          <w:szCs w:val="26"/>
        </w:rPr>
        <w:t>for discharged employees, and in Labor Code section 202, for employees who quit.</w:t>
      </w:r>
      <w:r>
        <w:rPr>
          <w:rFonts w:ascii="Century Schoolbook" w:hAnsi="Century Schoolbook"/>
          <w:iCs/>
          <w:szCs w:val="26"/>
        </w:rPr>
        <w:t>”  (</w:t>
      </w:r>
      <w:r w:rsidRPr="00462649">
        <w:rPr>
          <w:rFonts w:ascii="Century Schoolbook" w:hAnsi="Century Schoolbook"/>
          <w:i/>
          <w:szCs w:val="26"/>
        </w:rPr>
        <w:t>Gonzalez v. Downtown LA Motors, LP</w:t>
      </w:r>
      <w:r w:rsidRPr="00462649">
        <w:rPr>
          <w:rFonts w:ascii="Century Schoolbook" w:hAnsi="Century Schoolbook"/>
          <w:iCs/>
          <w:szCs w:val="26"/>
        </w:rPr>
        <w:t xml:space="preserve"> </w:t>
      </w:r>
      <w:r>
        <w:rPr>
          <w:rFonts w:ascii="Century Schoolbook" w:hAnsi="Century Schoolbook"/>
          <w:iCs/>
          <w:szCs w:val="26"/>
        </w:rPr>
        <w:t xml:space="preserve">(2013) </w:t>
      </w:r>
      <w:r w:rsidRPr="00462649">
        <w:rPr>
          <w:rFonts w:ascii="Century Schoolbook" w:hAnsi="Century Schoolbook"/>
          <w:iCs/>
          <w:szCs w:val="26"/>
        </w:rPr>
        <w:t>215 Cal.App.4th 36, 54</w:t>
      </w:r>
      <w:r>
        <w:rPr>
          <w:rFonts w:ascii="Century Schoolbook" w:hAnsi="Century Schoolbook"/>
          <w:iCs/>
          <w:szCs w:val="26"/>
        </w:rPr>
        <w:t>.</w:t>
      </w:r>
      <w:r w:rsidRPr="00462649">
        <w:rPr>
          <w:rFonts w:ascii="Century Schoolbook" w:hAnsi="Century Schoolbook"/>
          <w:iCs/>
          <w:szCs w:val="26"/>
        </w:rPr>
        <w:t>)</w:t>
      </w:r>
      <w:r>
        <w:rPr>
          <w:rFonts w:ascii="Century Schoolbook" w:hAnsi="Century Schoolbook"/>
          <w:iCs/>
          <w:szCs w:val="26"/>
        </w:rPr>
        <w:t xml:space="preserve">  At issue is whether this amount must include plaintiffs’ free rent.  </w:t>
      </w:r>
    </w:p>
    <w:p w14:paraId="1EC20988" w14:textId="77777777" w:rsidR="00D00721" w:rsidRDefault="00962968" w:rsidP="00462649">
      <w:pPr>
        <w:spacing w:line="360" w:lineRule="auto"/>
        <w:rPr>
          <w:rFonts w:ascii="Century Schoolbook" w:hAnsi="Century Schoolbook"/>
          <w:iCs/>
          <w:szCs w:val="26"/>
        </w:rPr>
      </w:pPr>
      <w:r>
        <w:rPr>
          <w:rFonts w:ascii="Century Schoolbook" w:hAnsi="Century Schoolbook"/>
          <w:iCs/>
          <w:szCs w:val="26"/>
        </w:rPr>
        <w:tab/>
        <w:t xml:space="preserve">In </w:t>
      </w:r>
      <w:r w:rsidRPr="009530E7">
        <w:rPr>
          <w:rFonts w:ascii="Century Schoolbook" w:hAnsi="Century Schoolbook"/>
          <w:i/>
          <w:szCs w:val="26"/>
        </w:rPr>
        <w:t xml:space="preserve">Nishiki v. Danko Meredith, </w:t>
      </w:r>
      <w:r>
        <w:rPr>
          <w:rFonts w:ascii="Century Schoolbook" w:hAnsi="Century Schoolbook"/>
          <w:i/>
          <w:szCs w:val="26"/>
        </w:rPr>
        <w:t>P.C</w:t>
      </w:r>
      <w:r>
        <w:rPr>
          <w:rFonts w:ascii="Century Schoolbook" w:hAnsi="Century Schoolbook"/>
          <w:i/>
          <w:szCs w:val="26"/>
        </w:rPr>
        <w:t>.</w:t>
      </w:r>
      <w:r w:rsidRPr="009530E7">
        <w:rPr>
          <w:rFonts w:ascii="Century Schoolbook" w:hAnsi="Century Schoolbook"/>
          <w:iCs/>
          <w:szCs w:val="26"/>
        </w:rPr>
        <w:t xml:space="preserve"> </w:t>
      </w:r>
      <w:r>
        <w:rPr>
          <w:rFonts w:ascii="Century Schoolbook" w:hAnsi="Century Schoolbook"/>
          <w:iCs/>
          <w:szCs w:val="26"/>
        </w:rPr>
        <w:t xml:space="preserve">(2018) </w:t>
      </w:r>
      <w:r w:rsidRPr="009530E7">
        <w:rPr>
          <w:rFonts w:ascii="Century Schoolbook" w:hAnsi="Century Schoolbook"/>
          <w:iCs/>
          <w:szCs w:val="26"/>
        </w:rPr>
        <w:t>25 Cal.App.5th 883</w:t>
      </w:r>
      <w:r>
        <w:rPr>
          <w:rFonts w:ascii="Century Schoolbook" w:hAnsi="Century Schoolbook"/>
          <w:iCs/>
          <w:szCs w:val="26"/>
        </w:rPr>
        <w:t>, the employer underpaid a former employee by $80 and subsequently delayed in paying the employee that amount.  (</w:t>
      </w:r>
      <w:r>
        <w:rPr>
          <w:rFonts w:ascii="Century Schoolbook" w:hAnsi="Century Schoolbook"/>
          <w:i/>
          <w:szCs w:val="26"/>
        </w:rPr>
        <w:t>Id.</w:t>
      </w:r>
      <w:r>
        <w:rPr>
          <w:rFonts w:ascii="Century Schoolbook" w:hAnsi="Century Schoolbook"/>
          <w:iCs/>
          <w:szCs w:val="26"/>
        </w:rPr>
        <w:t xml:space="preserve"> at pp. 892–893.)  In addressing the amount of penalties under section 203, the employer argued the employee was </w:t>
      </w:r>
      <w:r>
        <w:rPr>
          <w:rFonts w:ascii="Century Schoolbook" w:hAnsi="Century Schoolbook"/>
          <w:iCs/>
          <w:szCs w:val="26"/>
        </w:rPr>
        <w:t>only entitled to $80 per day—the amount of the underpayment.  (</w:t>
      </w:r>
      <w:r>
        <w:rPr>
          <w:rFonts w:ascii="Century Schoolbook" w:hAnsi="Century Schoolbook"/>
          <w:i/>
          <w:szCs w:val="26"/>
        </w:rPr>
        <w:t>Nishiki</w:t>
      </w:r>
      <w:r>
        <w:rPr>
          <w:rFonts w:ascii="Century Schoolbook" w:hAnsi="Century Schoolbook"/>
          <w:iCs/>
          <w:szCs w:val="26"/>
        </w:rPr>
        <w:t>, at p. 893.)  Our colleagues in Division Four rejected this argument, concluding, “</w:t>
      </w:r>
      <w:r w:rsidRPr="009530E7">
        <w:rPr>
          <w:rFonts w:ascii="Century Schoolbook" w:hAnsi="Century Schoolbook"/>
          <w:iCs/>
          <w:szCs w:val="26"/>
        </w:rPr>
        <w:t>Section 203</w:t>
      </w:r>
      <w:r>
        <w:rPr>
          <w:rFonts w:ascii="Century Schoolbook" w:hAnsi="Century Schoolbook"/>
          <w:iCs/>
          <w:szCs w:val="26"/>
        </w:rPr>
        <w:t>,</w:t>
      </w:r>
      <w:r w:rsidRPr="009530E7">
        <w:rPr>
          <w:rFonts w:ascii="Century Schoolbook" w:hAnsi="Century Schoolbook"/>
          <w:iCs/>
          <w:szCs w:val="26"/>
        </w:rPr>
        <w:t xml:space="preserve"> subdivision (a) provides that if an employer willfully fails to pay the wages of an emplo</w:t>
      </w:r>
      <w:r w:rsidRPr="009530E7">
        <w:rPr>
          <w:rFonts w:ascii="Century Schoolbook" w:hAnsi="Century Schoolbook"/>
          <w:iCs/>
          <w:szCs w:val="26"/>
        </w:rPr>
        <w:t xml:space="preserve">yee who is discharged or who quits, </w:t>
      </w:r>
      <w:r>
        <w:rPr>
          <w:rFonts w:ascii="Century Schoolbook" w:hAnsi="Century Schoolbook"/>
          <w:iCs/>
          <w:szCs w:val="26"/>
        </w:rPr>
        <w:t>‘</w:t>
      </w:r>
      <w:r w:rsidRPr="009530E7">
        <w:rPr>
          <w:rFonts w:ascii="Century Schoolbook" w:hAnsi="Century Schoolbook"/>
          <w:iCs/>
          <w:szCs w:val="26"/>
        </w:rPr>
        <w:t xml:space="preserve">the </w:t>
      </w:r>
      <w:r w:rsidRPr="009530E7">
        <w:rPr>
          <w:rFonts w:ascii="Century Schoolbook" w:hAnsi="Century Schoolbook"/>
          <w:iCs/>
          <w:szCs w:val="26"/>
        </w:rPr>
        <w:lastRenderedPageBreak/>
        <w:t>wages of the employee shall continue as a penalty from the due date thereof at the same rate until paid.</w:t>
      </w:r>
      <w:r>
        <w:rPr>
          <w:rFonts w:ascii="Century Schoolbook" w:hAnsi="Century Schoolbook"/>
          <w:iCs/>
          <w:szCs w:val="26"/>
        </w:rPr>
        <w:t xml:space="preserve">’ </w:t>
      </w:r>
      <w:r w:rsidRPr="009530E7">
        <w:rPr>
          <w:rFonts w:ascii="Century Schoolbook" w:hAnsi="Century Schoolbook"/>
          <w:iCs/>
          <w:szCs w:val="26"/>
        </w:rPr>
        <w:t xml:space="preserve"> This provision has been interpreted to mean the penalty is an amount </w:t>
      </w:r>
      <w:r>
        <w:rPr>
          <w:rFonts w:ascii="Century Schoolbook" w:hAnsi="Century Schoolbook"/>
          <w:iCs/>
          <w:szCs w:val="26"/>
        </w:rPr>
        <w:t>‘</w:t>
      </w:r>
      <w:r w:rsidRPr="009530E7">
        <w:rPr>
          <w:rFonts w:ascii="Century Schoolbook" w:hAnsi="Century Schoolbook"/>
          <w:iCs/>
          <w:szCs w:val="26"/>
        </w:rPr>
        <w:t>equal to the employee</w:t>
      </w:r>
      <w:r>
        <w:rPr>
          <w:rFonts w:ascii="Century Schoolbook" w:hAnsi="Century Schoolbook"/>
          <w:iCs/>
          <w:szCs w:val="26"/>
        </w:rPr>
        <w:t>’</w:t>
      </w:r>
      <w:r w:rsidRPr="009530E7">
        <w:rPr>
          <w:rFonts w:ascii="Century Schoolbook" w:hAnsi="Century Schoolbook"/>
          <w:iCs/>
          <w:szCs w:val="26"/>
        </w:rPr>
        <w:t xml:space="preserve">s daily </w:t>
      </w:r>
      <w:r w:rsidRPr="009530E7">
        <w:rPr>
          <w:rFonts w:ascii="Century Schoolbook" w:hAnsi="Century Schoolbook"/>
          <w:iCs/>
          <w:szCs w:val="26"/>
        </w:rPr>
        <w:t>wages for each day .</w:t>
      </w:r>
      <w:r>
        <w:rPr>
          <w:rFonts w:ascii="Century Schoolbook" w:hAnsi="Century Schoolbook"/>
          <w:iCs/>
          <w:szCs w:val="26"/>
        </w:rPr>
        <w:t> </w:t>
      </w:r>
      <w:r w:rsidRPr="009530E7">
        <w:rPr>
          <w:rFonts w:ascii="Century Schoolbook" w:hAnsi="Century Schoolbook"/>
          <w:iCs/>
          <w:szCs w:val="26"/>
        </w:rPr>
        <w:t>.</w:t>
      </w:r>
      <w:r>
        <w:rPr>
          <w:rFonts w:ascii="Century Schoolbook" w:hAnsi="Century Schoolbook"/>
          <w:iCs/>
          <w:szCs w:val="26"/>
        </w:rPr>
        <w:t> </w:t>
      </w:r>
      <w:r w:rsidRPr="009530E7">
        <w:rPr>
          <w:rFonts w:ascii="Century Schoolbook" w:hAnsi="Century Schoolbook"/>
          <w:iCs/>
          <w:szCs w:val="26"/>
        </w:rPr>
        <w:t>. that the wages are unpaid.</w:t>
      </w:r>
      <w:r>
        <w:rPr>
          <w:rFonts w:ascii="Century Schoolbook" w:hAnsi="Century Schoolbook"/>
          <w:iCs/>
          <w:szCs w:val="26"/>
        </w:rPr>
        <w:t>’ </w:t>
      </w:r>
      <w:r w:rsidRPr="009530E7">
        <w:rPr>
          <w:rFonts w:ascii="Century Schoolbook" w:hAnsi="Century Schoolbook"/>
          <w:iCs/>
          <w:szCs w:val="26"/>
        </w:rPr>
        <w:t>”</w:t>
      </w:r>
      <w:r>
        <w:rPr>
          <w:rFonts w:ascii="Century Schoolbook" w:hAnsi="Century Schoolbook"/>
          <w:iCs/>
          <w:szCs w:val="26"/>
        </w:rPr>
        <w:t xml:space="preserve">  (</w:t>
      </w:r>
      <w:r>
        <w:rPr>
          <w:rFonts w:ascii="Century Schoolbook" w:hAnsi="Century Schoolbook"/>
          <w:i/>
          <w:szCs w:val="26"/>
        </w:rPr>
        <w:t>Ibid</w:t>
      </w:r>
      <w:r>
        <w:rPr>
          <w:rFonts w:ascii="Century Schoolbook" w:hAnsi="Century Schoolbook"/>
          <w:iCs/>
          <w:szCs w:val="26"/>
        </w:rPr>
        <w:t>.</w:t>
      </w:r>
      <w:r w:rsidRPr="009530E7">
        <w:rPr>
          <w:rFonts w:ascii="Century Schoolbook" w:hAnsi="Century Schoolbook"/>
          <w:iCs/>
          <w:szCs w:val="26"/>
        </w:rPr>
        <w:t>)</w:t>
      </w:r>
      <w:r>
        <w:rPr>
          <w:rFonts w:ascii="Century Schoolbook" w:hAnsi="Century Schoolbook"/>
          <w:iCs/>
          <w:szCs w:val="26"/>
        </w:rPr>
        <w:t xml:space="preserve">  The court thus calculated the statutory penalties based on the amount of the employee’s entire daily wage.  (</w:t>
      </w:r>
      <w:r>
        <w:rPr>
          <w:rFonts w:ascii="Century Schoolbook" w:hAnsi="Century Schoolbook"/>
          <w:i/>
          <w:szCs w:val="26"/>
        </w:rPr>
        <w:t>Ibid.</w:t>
      </w:r>
      <w:r>
        <w:rPr>
          <w:rFonts w:ascii="Century Schoolbook" w:hAnsi="Century Schoolbook"/>
          <w:iCs/>
          <w:szCs w:val="26"/>
        </w:rPr>
        <w:t>)</w:t>
      </w:r>
    </w:p>
    <w:p w14:paraId="14F461C1" w14:textId="77777777" w:rsidR="008B0CE6" w:rsidRPr="00922FA2" w:rsidRDefault="00962968" w:rsidP="00462649">
      <w:pPr>
        <w:spacing w:line="360" w:lineRule="auto"/>
        <w:rPr>
          <w:rFonts w:ascii="Century Schoolbook" w:hAnsi="Century Schoolbook"/>
          <w:iCs/>
          <w:szCs w:val="26"/>
        </w:rPr>
      </w:pPr>
      <w:r>
        <w:rPr>
          <w:rFonts w:ascii="Century Schoolbook" w:hAnsi="Century Schoolbook"/>
          <w:iCs/>
          <w:szCs w:val="26"/>
        </w:rPr>
        <w:tab/>
        <w:t>The Labor Code defines w</w:t>
      </w:r>
      <w:r w:rsidRPr="00D635EF">
        <w:rPr>
          <w:rFonts w:ascii="Century Schoolbook" w:hAnsi="Century Schoolbook"/>
          <w:iCs/>
          <w:szCs w:val="26"/>
        </w:rPr>
        <w:t xml:space="preserve">ages </w:t>
      </w:r>
      <w:r>
        <w:rPr>
          <w:rFonts w:ascii="Century Schoolbook" w:hAnsi="Century Schoolbook"/>
          <w:iCs/>
          <w:szCs w:val="26"/>
        </w:rPr>
        <w:t>as</w:t>
      </w:r>
      <w:r w:rsidRPr="00D635EF">
        <w:rPr>
          <w:rFonts w:ascii="Century Schoolbook" w:hAnsi="Century Schoolbook"/>
          <w:iCs/>
          <w:szCs w:val="26"/>
        </w:rPr>
        <w:t xml:space="preserve"> “all amounts for labor performed by employ</w:t>
      </w:r>
      <w:r w:rsidRPr="00D635EF">
        <w:rPr>
          <w:rFonts w:ascii="Century Schoolbook" w:hAnsi="Century Schoolbook"/>
          <w:iCs/>
          <w:szCs w:val="26"/>
        </w:rPr>
        <w:t xml:space="preserve">ees of every description, whether the amount is fixed or ascertained by the standard of time, task, piece, commission basis, or other method of calculation.” </w:t>
      </w:r>
      <w:r>
        <w:rPr>
          <w:rFonts w:ascii="Century Schoolbook" w:hAnsi="Century Schoolbook"/>
          <w:iCs/>
          <w:szCs w:val="26"/>
        </w:rPr>
        <w:t xml:space="preserve"> </w:t>
      </w:r>
      <w:r w:rsidRPr="00D635EF">
        <w:rPr>
          <w:rFonts w:ascii="Century Schoolbook" w:hAnsi="Century Schoolbook"/>
          <w:iCs/>
          <w:szCs w:val="26"/>
        </w:rPr>
        <w:t>(§</w:t>
      </w:r>
      <w:r>
        <w:rPr>
          <w:rFonts w:ascii="Century Schoolbook" w:hAnsi="Century Schoolbook"/>
          <w:iCs/>
          <w:szCs w:val="26"/>
        </w:rPr>
        <w:t> </w:t>
      </w:r>
      <w:r w:rsidRPr="00D635EF">
        <w:rPr>
          <w:rFonts w:ascii="Century Schoolbook" w:hAnsi="Century Schoolbook"/>
          <w:iCs/>
          <w:szCs w:val="26"/>
        </w:rPr>
        <w:t>200</w:t>
      </w:r>
      <w:r>
        <w:rPr>
          <w:rFonts w:ascii="Century Schoolbook" w:hAnsi="Century Schoolbook"/>
          <w:iCs/>
          <w:szCs w:val="26"/>
        </w:rPr>
        <w:t>, subd. (a)</w:t>
      </w:r>
      <w:r w:rsidRPr="00D635EF">
        <w:rPr>
          <w:rFonts w:ascii="Century Schoolbook" w:hAnsi="Century Schoolbook"/>
          <w:iCs/>
          <w:szCs w:val="26"/>
        </w:rPr>
        <w:t>.)</w:t>
      </w:r>
      <w:r>
        <w:rPr>
          <w:rFonts w:ascii="Century Schoolbook" w:hAnsi="Century Schoolbook"/>
          <w:iCs/>
          <w:szCs w:val="26"/>
        </w:rPr>
        <w:t xml:space="preserve"> </w:t>
      </w:r>
      <w:r w:rsidRPr="00D635EF">
        <w:rPr>
          <w:rFonts w:ascii="Century Schoolbook" w:hAnsi="Century Schoolbook"/>
          <w:iCs/>
          <w:szCs w:val="26"/>
        </w:rPr>
        <w:t xml:space="preserve"> </w:t>
      </w:r>
      <w:r w:rsidRPr="006159EE">
        <w:rPr>
          <w:rFonts w:ascii="Century Schoolbook" w:hAnsi="Century Schoolbook"/>
          <w:iCs/>
          <w:szCs w:val="26"/>
        </w:rPr>
        <w:t xml:space="preserve">“The term </w:t>
      </w:r>
      <w:r>
        <w:rPr>
          <w:rFonts w:ascii="Century Schoolbook" w:hAnsi="Century Schoolbook"/>
          <w:iCs/>
          <w:szCs w:val="26"/>
        </w:rPr>
        <w:t>‘</w:t>
      </w:r>
      <w:r w:rsidRPr="006159EE">
        <w:rPr>
          <w:rFonts w:ascii="Century Schoolbook" w:hAnsi="Century Schoolbook"/>
          <w:iCs/>
          <w:szCs w:val="26"/>
        </w:rPr>
        <w:t>wages</w:t>
      </w:r>
      <w:r>
        <w:rPr>
          <w:rFonts w:ascii="Century Schoolbook" w:hAnsi="Century Schoolbook"/>
          <w:iCs/>
          <w:szCs w:val="26"/>
        </w:rPr>
        <w:t>’</w:t>
      </w:r>
      <w:r w:rsidRPr="006159EE">
        <w:rPr>
          <w:rFonts w:ascii="Century Schoolbook" w:hAnsi="Century Schoolbook"/>
          <w:iCs/>
          <w:szCs w:val="26"/>
        </w:rPr>
        <w:t xml:space="preserve"> has been held to include money as well as other value give</w:t>
      </w:r>
      <w:r w:rsidRPr="006159EE">
        <w:rPr>
          <w:rFonts w:ascii="Century Schoolbook" w:hAnsi="Century Schoolbook"/>
          <w:iCs/>
          <w:szCs w:val="26"/>
        </w:rPr>
        <w:t>n, including room, board and clothes.”  (</w:t>
      </w:r>
      <w:r>
        <w:rPr>
          <w:rFonts w:ascii="Century Schoolbook" w:hAnsi="Century Schoolbook"/>
          <w:i/>
          <w:szCs w:val="26"/>
        </w:rPr>
        <w:t>Department</w:t>
      </w:r>
      <w:r w:rsidRPr="006159EE">
        <w:rPr>
          <w:rFonts w:ascii="Century Schoolbook" w:hAnsi="Century Schoolbook"/>
          <w:i/>
          <w:szCs w:val="26"/>
        </w:rPr>
        <w:t xml:space="preserve"> of Indus</w:t>
      </w:r>
      <w:r>
        <w:rPr>
          <w:rFonts w:ascii="Century Schoolbook" w:hAnsi="Century Schoolbook"/>
          <w:i/>
          <w:szCs w:val="26"/>
        </w:rPr>
        <w:t>trial</w:t>
      </w:r>
      <w:r w:rsidRPr="006159EE">
        <w:rPr>
          <w:rFonts w:ascii="Century Schoolbook" w:hAnsi="Century Schoolbook"/>
          <w:i/>
          <w:szCs w:val="26"/>
        </w:rPr>
        <w:t xml:space="preserve"> Rel</w:t>
      </w:r>
      <w:r>
        <w:rPr>
          <w:rFonts w:ascii="Century Schoolbook" w:hAnsi="Century Schoolbook"/>
          <w:i/>
          <w:szCs w:val="26"/>
        </w:rPr>
        <w:t>ation</w:t>
      </w:r>
      <w:r w:rsidRPr="006159EE">
        <w:rPr>
          <w:rFonts w:ascii="Century Schoolbook" w:hAnsi="Century Schoolbook"/>
          <w:i/>
          <w:szCs w:val="26"/>
        </w:rPr>
        <w:t>s v. UI Video Stores, Inc</w:t>
      </w:r>
      <w:r w:rsidRPr="006159EE">
        <w:rPr>
          <w:rFonts w:ascii="Century Schoolbook" w:hAnsi="Century Schoolbook"/>
          <w:iCs/>
          <w:szCs w:val="26"/>
        </w:rPr>
        <w:t>.</w:t>
      </w:r>
      <w:r>
        <w:rPr>
          <w:rFonts w:ascii="Century Schoolbook" w:hAnsi="Century Schoolbook"/>
          <w:iCs/>
          <w:szCs w:val="26"/>
        </w:rPr>
        <w:t xml:space="preserve"> (1997)</w:t>
      </w:r>
      <w:r w:rsidRPr="006159EE">
        <w:rPr>
          <w:rFonts w:ascii="Century Schoolbook" w:hAnsi="Century Schoolbook"/>
          <w:iCs/>
          <w:szCs w:val="26"/>
        </w:rPr>
        <w:t xml:space="preserve"> 55</w:t>
      </w:r>
      <w:r>
        <w:rPr>
          <w:rFonts w:ascii="Century Schoolbook" w:hAnsi="Century Schoolbook"/>
          <w:iCs/>
          <w:szCs w:val="26"/>
        </w:rPr>
        <w:t> </w:t>
      </w:r>
      <w:r w:rsidRPr="006159EE">
        <w:rPr>
          <w:rFonts w:ascii="Century Schoolbook" w:hAnsi="Century Schoolbook"/>
          <w:iCs/>
          <w:szCs w:val="26"/>
        </w:rPr>
        <w:t>Cal.App.4th 1084, 1091</w:t>
      </w:r>
      <w:r>
        <w:rPr>
          <w:rFonts w:ascii="Century Schoolbook" w:hAnsi="Century Schoolbook"/>
          <w:iCs/>
          <w:szCs w:val="26"/>
        </w:rPr>
        <w:t xml:space="preserve">; see also </w:t>
      </w:r>
      <w:r w:rsidRPr="00F259F4">
        <w:rPr>
          <w:rFonts w:ascii="Century Schoolbook" w:hAnsi="Century Schoolbook"/>
          <w:i/>
          <w:szCs w:val="26"/>
        </w:rPr>
        <w:t xml:space="preserve">Murphy v. Kenneth Cole </w:t>
      </w:r>
      <w:r>
        <w:rPr>
          <w:rFonts w:ascii="Century Schoolbook" w:hAnsi="Century Schoolbook"/>
          <w:i/>
          <w:szCs w:val="26"/>
        </w:rPr>
        <w:t>Productions</w:t>
      </w:r>
      <w:r w:rsidRPr="00F259F4">
        <w:rPr>
          <w:rFonts w:ascii="Century Schoolbook" w:hAnsi="Century Schoolbook"/>
          <w:i/>
          <w:szCs w:val="26"/>
        </w:rPr>
        <w:t>, Inc</w:t>
      </w:r>
      <w:r w:rsidRPr="00F259F4">
        <w:rPr>
          <w:rFonts w:ascii="Century Schoolbook" w:hAnsi="Century Schoolbook"/>
          <w:iCs/>
          <w:szCs w:val="26"/>
        </w:rPr>
        <w:t xml:space="preserve">. </w:t>
      </w:r>
      <w:r>
        <w:rPr>
          <w:rFonts w:ascii="Century Schoolbook" w:hAnsi="Century Schoolbook"/>
          <w:iCs/>
          <w:szCs w:val="26"/>
        </w:rPr>
        <w:t xml:space="preserve">(2007) </w:t>
      </w:r>
      <w:r w:rsidRPr="00F259F4">
        <w:rPr>
          <w:rFonts w:ascii="Century Schoolbook" w:hAnsi="Century Schoolbook"/>
          <w:iCs/>
          <w:szCs w:val="26"/>
        </w:rPr>
        <w:t>40 Cal.4th 1094, 1103</w:t>
      </w:r>
      <w:r>
        <w:rPr>
          <w:rFonts w:ascii="Century Schoolbook" w:hAnsi="Century Schoolbook"/>
          <w:iCs/>
          <w:szCs w:val="26"/>
        </w:rPr>
        <w:t xml:space="preserve"> [“</w:t>
      </w:r>
      <w:r w:rsidRPr="00F259F4">
        <w:rPr>
          <w:rFonts w:ascii="Century Schoolbook" w:hAnsi="Century Schoolbook"/>
          <w:iCs/>
          <w:szCs w:val="26"/>
        </w:rPr>
        <w:t xml:space="preserve">Courts have recognized that </w:t>
      </w:r>
      <w:r>
        <w:rPr>
          <w:rFonts w:ascii="Century Schoolbook" w:hAnsi="Century Schoolbook"/>
          <w:iCs/>
          <w:szCs w:val="26"/>
        </w:rPr>
        <w:t>‘</w:t>
      </w:r>
      <w:r w:rsidRPr="00F259F4">
        <w:rPr>
          <w:rFonts w:ascii="Century Schoolbook" w:hAnsi="Century Schoolbook"/>
          <w:iCs/>
          <w:szCs w:val="26"/>
        </w:rPr>
        <w:t>wages</w:t>
      </w:r>
      <w:r>
        <w:rPr>
          <w:rFonts w:ascii="Century Schoolbook" w:hAnsi="Century Schoolbook"/>
          <w:iCs/>
          <w:szCs w:val="26"/>
        </w:rPr>
        <w:t>’</w:t>
      </w:r>
      <w:r w:rsidRPr="00F259F4">
        <w:rPr>
          <w:rFonts w:ascii="Century Schoolbook" w:hAnsi="Century Schoolbook"/>
          <w:iCs/>
          <w:szCs w:val="26"/>
        </w:rPr>
        <w:t xml:space="preserve"> also</w:t>
      </w:r>
      <w:r w:rsidRPr="00F259F4">
        <w:rPr>
          <w:rFonts w:ascii="Century Schoolbook" w:hAnsi="Century Schoolbook"/>
          <w:iCs/>
          <w:szCs w:val="26"/>
        </w:rPr>
        <w:t xml:space="preserve"> include those benefits to which an employee is entitled as a part of his or her compensation, including money, room, board, clothing, vacation pay, and sick pay.</w:t>
      </w:r>
      <w:r>
        <w:rPr>
          <w:rFonts w:ascii="Century Schoolbook" w:hAnsi="Century Schoolbook"/>
          <w:iCs/>
          <w:szCs w:val="26"/>
        </w:rPr>
        <w:t>”].)</w:t>
      </w:r>
    </w:p>
    <w:p w14:paraId="7E56D731" w14:textId="77777777" w:rsidR="004D2914" w:rsidRPr="007404AB" w:rsidRDefault="00962968" w:rsidP="0067498B">
      <w:pPr>
        <w:spacing w:line="360" w:lineRule="auto"/>
        <w:rPr>
          <w:rFonts w:ascii="Century Schoolbook" w:hAnsi="Century Schoolbook"/>
          <w:iCs/>
          <w:szCs w:val="26"/>
        </w:rPr>
      </w:pPr>
      <w:r>
        <w:rPr>
          <w:rFonts w:ascii="Century Schoolbook" w:hAnsi="Century Schoolbook"/>
          <w:iCs/>
          <w:szCs w:val="26"/>
        </w:rPr>
        <w:tab/>
        <w:t xml:space="preserve">Here, it is undisputed that rent was provided to plaintiffs as compensation for </w:t>
      </w:r>
      <w:r>
        <w:rPr>
          <w:rFonts w:ascii="Century Schoolbook" w:hAnsi="Century Schoolbook"/>
          <w:iCs/>
          <w:szCs w:val="26"/>
        </w:rPr>
        <w:t>their work.  Accordingly, it should have been incorporated into the calculation of plaintiffs’ daily wages for purposes of calculating the amount of penalties under section 203.  As noted by plaintiffs, the daily rate, incorporating rent, could vary depend</w:t>
      </w:r>
      <w:r>
        <w:rPr>
          <w:rFonts w:ascii="Century Schoolbook" w:hAnsi="Century Schoolbook"/>
          <w:iCs/>
          <w:szCs w:val="26"/>
        </w:rPr>
        <w:t>ing on how the weekly hours are spread throughout the week.  Accordingly, we remand to the trial court to calculate the section 203 waiting penalties, with a daily rate incorporating rent, in the first instance.</w:t>
      </w:r>
    </w:p>
    <w:p w14:paraId="648A67D6" w14:textId="77777777" w:rsidR="00C34761" w:rsidRDefault="00962968" w:rsidP="00E951BD">
      <w:pPr>
        <w:keepNext/>
        <w:spacing w:line="360" w:lineRule="auto"/>
        <w:jc w:val="center"/>
        <w:rPr>
          <w:rFonts w:ascii="Century Schoolbook" w:hAnsi="Century Schoolbook"/>
          <w:b/>
          <w:bCs/>
          <w:szCs w:val="26"/>
        </w:rPr>
      </w:pPr>
      <w:r w:rsidRPr="003C38B8">
        <w:rPr>
          <w:rFonts w:ascii="Century Schoolbook" w:hAnsi="Century Schoolbook"/>
          <w:b/>
          <w:bCs/>
          <w:szCs w:val="26"/>
        </w:rPr>
        <w:lastRenderedPageBreak/>
        <w:t>III.</w:t>
      </w:r>
    </w:p>
    <w:p w14:paraId="2CBE7275" w14:textId="77777777" w:rsidR="00FE28EB" w:rsidRPr="003C38B8" w:rsidRDefault="00962968" w:rsidP="00E951BD">
      <w:pPr>
        <w:keepNext/>
        <w:spacing w:line="360" w:lineRule="auto"/>
        <w:jc w:val="center"/>
        <w:rPr>
          <w:rFonts w:ascii="Century Schoolbook" w:hAnsi="Century Schoolbook"/>
          <w:b/>
          <w:bCs/>
          <w:szCs w:val="26"/>
        </w:rPr>
      </w:pPr>
      <w:r w:rsidRPr="003C38B8">
        <w:rPr>
          <w:rFonts w:ascii="Century Schoolbook" w:hAnsi="Century Schoolbook"/>
          <w:b/>
          <w:bCs/>
          <w:szCs w:val="26"/>
        </w:rPr>
        <w:t>DISPOSITION</w:t>
      </w:r>
    </w:p>
    <w:p w14:paraId="2139B3B2" w14:textId="77777777" w:rsidR="005F7104" w:rsidRDefault="00962968" w:rsidP="00FE28EB">
      <w:pPr>
        <w:spacing w:line="360" w:lineRule="auto"/>
        <w:rPr>
          <w:rFonts w:ascii="Century Schoolbook" w:hAnsi="Century Schoolbook"/>
          <w:szCs w:val="26"/>
        </w:rPr>
      </w:pPr>
      <w:r w:rsidRPr="003C38B8">
        <w:rPr>
          <w:rFonts w:ascii="Century Schoolbook" w:hAnsi="Century Schoolbook"/>
          <w:b/>
          <w:bCs/>
          <w:szCs w:val="26"/>
        </w:rPr>
        <w:tab/>
      </w:r>
      <w:r w:rsidRPr="00813745">
        <w:rPr>
          <w:rFonts w:ascii="Century Schoolbook" w:hAnsi="Century Schoolbook"/>
          <w:szCs w:val="26"/>
        </w:rPr>
        <w:t>The</w:t>
      </w:r>
      <w:r w:rsidRPr="00813745">
        <w:rPr>
          <w:rFonts w:ascii="Century Schoolbook" w:hAnsi="Century Schoolbook"/>
          <w:b/>
          <w:bCs/>
          <w:szCs w:val="26"/>
        </w:rPr>
        <w:t xml:space="preserve"> </w:t>
      </w:r>
      <w:r w:rsidRPr="00813745">
        <w:rPr>
          <w:rFonts w:ascii="Century Schoolbook" w:hAnsi="Century Schoolbook"/>
          <w:szCs w:val="26"/>
        </w:rPr>
        <w:t>judgment is reversed a</w:t>
      </w:r>
      <w:r w:rsidRPr="00813745">
        <w:rPr>
          <w:rFonts w:ascii="Century Schoolbook" w:hAnsi="Century Schoolbook"/>
          <w:szCs w:val="26"/>
        </w:rPr>
        <w:t>s to the calculation of unpaid wages, the denial of individual liability as to defendant Cynthia LaPaille, and the calculation of waiting time penalties under Labor Code section 203.  The judgment is affirmed in all other respects.  We remand the matter to</w:t>
      </w:r>
      <w:r w:rsidRPr="00813745">
        <w:rPr>
          <w:rFonts w:ascii="Century Schoolbook" w:hAnsi="Century Schoolbook"/>
          <w:szCs w:val="26"/>
        </w:rPr>
        <w:t xml:space="preserve"> the trial court to recalculate the unpaid wages and waiting time penalties in accordance with this opinion.  </w:t>
      </w:r>
      <w:r>
        <w:rPr>
          <w:rFonts w:ascii="Century Schoolbook" w:hAnsi="Century Schoolbook"/>
          <w:szCs w:val="26"/>
        </w:rPr>
        <w:t>The parties are to bear their own costs on appeal.  (Cal. Rules of Court, rule 8.278(a)(3).)</w:t>
      </w:r>
    </w:p>
    <w:p w14:paraId="3DAF6830" w14:textId="77777777" w:rsidR="00813745" w:rsidRDefault="00962968" w:rsidP="00FE28EB">
      <w:pPr>
        <w:spacing w:line="360" w:lineRule="auto"/>
        <w:rPr>
          <w:rFonts w:ascii="Century Schoolbook" w:hAnsi="Century Schoolbook"/>
          <w:szCs w:val="26"/>
        </w:rPr>
      </w:pPr>
    </w:p>
    <w:p w14:paraId="0D3CDFF1" w14:textId="77777777" w:rsidR="00813745" w:rsidRDefault="00962968" w:rsidP="00BB6A52">
      <w:pPr>
        <w:spacing w:line="240" w:lineRule="auto"/>
        <w:rPr>
          <w:rFonts w:ascii="Century Schoolbook" w:hAnsi="Century Schoolbook"/>
          <w:szCs w:val="26"/>
        </w:rPr>
      </w:pPr>
    </w:p>
    <w:p w14:paraId="7367E69B" w14:textId="77777777" w:rsidR="004D6EDA" w:rsidRDefault="00962968" w:rsidP="00BB6A52">
      <w:pPr>
        <w:spacing w:line="240" w:lineRule="auto"/>
        <w:rPr>
          <w:rFonts w:ascii="Century Schoolbook" w:hAnsi="Century Schoolbook"/>
          <w:szCs w:val="26"/>
        </w:rPr>
      </w:pPr>
    </w:p>
    <w:p w14:paraId="7406C224" w14:textId="77777777" w:rsidR="00207A2E" w:rsidRDefault="00962968">
      <w:pPr>
        <w:tabs>
          <w:tab w:val="clear" w:pos="720"/>
        </w:tabs>
        <w:spacing w:after="160" w:line="259" w:lineRule="auto"/>
        <w:rPr>
          <w:rFonts w:ascii="Century Schoolbook" w:hAnsi="Century Schoolbook"/>
          <w:szCs w:val="26"/>
        </w:rPr>
      </w:pPr>
      <w:r>
        <w:rPr>
          <w:rFonts w:ascii="Century Schoolbook" w:hAnsi="Century Schoolbook"/>
          <w:szCs w:val="26"/>
        </w:rPr>
        <w:br w:type="page"/>
      </w:r>
    </w:p>
    <w:p w14:paraId="4252C668" w14:textId="77777777" w:rsidR="00207A2E" w:rsidRPr="00207A2E" w:rsidRDefault="00962968" w:rsidP="00207A2E">
      <w:pPr>
        <w:spacing w:line="240" w:lineRule="auto"/>
        <w:rPr>
          <w:rFonts w:ascii="Century Schoolbook" w:hAnsi="Century Schoolbook"/>
          <w:szCs w:val="26"/>
        </w:rPr>
      </w:pPr>
    </w:p>
    <w:p w14:paraId="7C9249D6" w14:textId="77777777" w:rsidR="00207A2E" w:rsidRPr="00207A2E" w:rsidRDefault="00962968" w:rsidP="00207A2E">
      <w:pPr>
        <w:spacing w:line="240" w:lineRule="auto"/>
        <w:rPr>
          <w:rFonts w:ascii="Century Schoolbook" w:hAnsi="Century Schoolbook"/>
          <w:szCs w:val="26"/>
        </w:rPr>
      </w:pPr>
    </w:p>
    <w:p w14:paraId="13279094" w14:textId="77777777" w:rsidR="00207A2E" w:rsidRPr="00207A2E" w:rsidRDefault="00962968" w:rsidP="00207A2E">
      <w:pPr>
        <w:spacing w:line="240" w:lineRule="auto"/>
        <w:rPr>
          <w:rFonts w:ascii="Century Schoolbook" w:hAnsi="Century Schoolbook"/>
          <w:szCs w:val="26"/>
        </w:rPr>
      </w:pPr>
    </w:p>
    <w:p w14:paraId="6FE23EBA" w14:textId="77777777" w:rsidR="00207A2E" w:rsidRPr="00207A2E" w:rsidRDefault="00962968" w:rsidP="00207A2E">
      <w:pPr>
        <w:spacing w:line="240" w:lineRule="auto"/>
        <w:rPr>
          <w:rFonts w:ascii="Century Schoolbook" w:hAnsi="Century Schoolbook"/>
          <w:szCs w:val="26"/>
        </w:rPr>
      </w:pPr>
    </w:p>
    <w:p w14:paraId="558D51EA" w14:textId="77777777" w:rsidR="00207A2E" w:rsidRPr="00207A2E" w:rsidRDefault="00962968" w:rsidP="00207A2E">
      <w:pPr>
        <w:spacing w:line="240" w:lineRule="auto"/>
        <w:rPr>
          <w:rFonts w:ascii="Century Schoolbook" w:hAnsi="Century Schoolbook"/>
          <w:smallCaps/>
          <w:szCs w:val="26"/>
        </w:rPr>
      </w:pP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mallCaps/>
          <w:szCs w:val="26"/>
        </w:rPr>
        <w:t>Margulies, J.</w:t>
      </w:r>
    </w:p>
    <w:p w14:paraId="298C7106" w14:textId="77777777" w:rsidR="00207A2E" w:rsidRPr="00207A2E" w:rsidRDefault="00962968" w:rsidP="00207A2E">
      <w:pPr>
        <w:spacing w:line="240" w:lineRule="auto"/>
        <w:rPr>
          <w:rFonts w:ascii="Century Schoolbook" w:hAnsi="Century Schoolbook"/>
          <w:szCs w:val="26"/>
        </w:rPr>
      </w:pPr>
    </w:p>
    <w:p w14:paraId="0BD8C60E" w14:textId="77777777" w:rsidR="00207A2E" w:rsidRPr="00207A2E" w:rsidRDefault="00962968" w:rsidP="00207A2E">
      <w:pPr>
        <w:spacing w:line="240" w:lineRule="auto"/>
        <w:rPr>
          <w:rFonts w:ascii="Century Schoolbook" w:hAnsi="Century Schoolbook"/>
          <w:szCs w:val="26"/>
        </w:rPr>
      </w:pPr>
    </w:p>
    <w:p w14:paraId="1632B685" w14:textId="77777777" w:rsidR="00207A2E" w:rsidRPr="00207A2E" w:rsidRDefault="00962968" w:rsidP="00207A2E">
      <w:pPr>
        <w:spacing w:line="240" w:lineRule="auto"/>
        <w:rPr>
          <w:rFonts w:ascii="Century Schoolbook" w:hAnsi="Century Schoolbook"/>
          <w:szCs w:val="26"/>
        </w:rPr>
      </w:pPr>
    </w:p>
    <w:p w14:paraId="3290BEF8" w14:textId="77777777" w:rsidR="00207A2E" w:rsidRPr="00207A2E" w:rsidRDefault="00962968" w:rsidP="00207A2E">
      <w:pPr>
        <w:spacing w:line="240" w:lineRule="auto"/>
        <w:rPr>
          <w:rFonts w:ascii="Century Schoolbook" w:hAnsi="Century Schoolbook"/>
          <w:szCs w:val="26"/>
        </w:rPr>
      </w:pPr>
      <w:r w:rsidRPr="00207A2E">
        <w:rPr>
          <w:rFonts w:ascii="Century Schoolbook" w:hAnsi="Century Schoolbook"/>
          <w:szCs w:val="26"/>
        </w:rPr>
        <w:t>WE CONCUR:</w:t>
      </w:r>
    </w:p>
    <w:p w14:paraId="75FB01D6" w14:textId="77777777" w:rsidR="00207A2E" w:rsidRPr="00207A2E" w:rsidRDefault="00962968" w:rsidP="00207A2E">
      <w:pPr>
        <w:spacing w:line="240" w:lineRule="auto"/>
        <w:rPr>
          <w:rFonts w:ascii="Century Schoolbook" w:hAnsi="Century Schoolbook"/>
          <w:szCs w:val="26"/>
        </w:rPr>
      </w:pPr>
    </w:p>
    <w:p w14:paraId="39827577" w14:textId="77777777" w:rsidR="00207A2E" w:rsidRPr="00207A2E" w:rsidRDefault="00962968" w:rsidP="00207A2E">
      <w:pPr>
        <w:spacing w:line="240" w:lineRule="auto"/>
        <w:rPr>
          <w:rFonts w:ascii="Century Schoolbook" w:hAnsi="Century Schoolbook"/>
          <w:szCs w:val="26"/>
        </w:rPr>
      </w:pPr>
    </w:p>
    <w:p w14:paraId="5CE1207C" w14:textId="77777777" w:rsidR="00207A2E" w:rsidRPr="00207A2E" w:rsidRDefault="00962968" w:rsidP="00207A2E">
      <w:pPr>
        <w:spacing w:line="240" w:lineRule="auto"/>
        <w:rPr>
          <w:rFonts w:ascii="Century Schoolbook" w:hAnsi="Century Schoolbook"/>
          <w:szCs w:val="26"/>
        </w:rPr>
      </w:pPr>
    </w:p>
    <w:p w14:paraId="43A80F1C" w14:textId="77777777" w:rsidR="00207A2E" w:rsidRPr="00207A2E" w:rsidRDefault="00962968" w:rsidP="00207A2E">
      <w:pPr>
        <w:spacing w:line="240" w:lineRule="auto"/>
        <w:rPr>
          <w:rFonts w:ascii="Century Schoolbook" w:hAnsi="Century Schoolbook"/>
          <w:smallCaps/>
          <w:szCs w:val="26"/>
        </w:rPr>
      </w:pPr>
      <w:r w:rsidRPr="00207A2E">
        <w:rPr>
          <w:rFonts w:ascii="Century Schoolbook" w:hAnsi="Century Schoolbook"/>
          <w:smallCaps/>
          <w:szCs w:val="26"/>
        </w:rPr>
        <w:t>Humes, P. J.</w:t>
      </w:r>
    </w:p>
    <w:p w14:paraId="21588BC0" w14:textId="77777777" w:rsidR="00207A2E" w:rsidRPr="00207A2E" w:rsidRDefault="00962968" w:rsidP="00207A2E">
      <w:pPr>
        <w:spacing w:line="240" w:lineRule="auto"/>
        <w:rPr>
          <w:rFonts w:ascii="Century Schoolbook" w:hAnsi="Century Schoolbook"/>
          <w:smallCaps/>
          <w:szCs w:val="26"/>
        </w:rPr>
      </w:pPr>
    </w:p>
    <w:p w14:paraId="5CF611C6" w14:textId="77777777" w:rsidR="00207A2E" w:rsidRPr="00207A2E" w:rsidRDefault="00962968" w:rsidP="00207A2E">
      <w:pPr>
        <w:spacing w:line="240" w:lineRule="auto"/>
        <w:rPr>
          <w:rFonts w:ascii="Century Schoolbook" w:hAnsi="Century Schoolbook"/>
          <w:smallCaps/>
          <w:szCs w:val="26"/>
        </w:rPr>
      </w:pPr>
    </w:p>
    <w:p w14:paraId="6714CEA4" w14:textId="77777777" w:rsidR="00207A2E" w:rsidRPr="00207A2E" w:rsidRDefault="00962968" w:rsidP="00207A2E">
      <w:pPr>
        <w:spacing w:line="240" w:lineRule="auto"/>
        <w:rPr>
          <w:rFonts w:ascii="Century Schoolbook" w:hAnsi="Century Schoolbook"/>
          <w:smallCaps/>
          <w:szCs w:val="26"/>
        </w:rPr>
      </w:pPr>
    </w:p>
    <w:p w14:paraId="24485122" w14:textId="77777777" w:rsidR="00207A2E" w:rsidRPr="00207A2E" w:rsidRDefault="00962968" w:rsidP="00207A2E">
      <w:pPr>
        <w:spacing w:line="240" w:lineRule="auto"/>
        <w:rPr>
          <w:rFonts w:ascii="Century Schoolbook" w:hAnsi="Century Schoolbook"/>
          <w:smallCaps/>
          <w:szCs w:val="26"/>
        </w:rPr>
      </w:pPr>
    </w:p>
    <w:p w14:paraId="055D39E1" w14:textId="77777777" w:rsidR="00207A2E" w:rsidRPr="00207A2E" w:rsidRDefault="00962968" w:rsidP="00207A2E">
      <w:pPr>
        <w:spacing w:line="240" w:lineRule="auto"/>
        <w:rPr>
          <w:rFonts w:ascii="Century Schoolbook" w:hAnsi="Century Schoolbook"/>
          <w:smallCaps/>
          <w:szCs w:val="26"/>
        </w:rPr>
      </w:pPr>
      <w:r w:rsidRPr="00207A2E">
        <w:rPr>
          <w:rFonts w:ascii="Century Schoolbook" w:hAnsi="Century Schoolbook"/>
          <w:smallCaps/>
          <w:szCs w:val="26"/>
        </w:rPr>
        <w:t>Banke, J.</w:t>
      </w:r>
    </w:p>
    <w:p w14:paraId="64822CE0" w14:textId="77777777" w:rsidR="00207A2E" w:rsidRPr="00207A2E" w:rsidRDefault="00962968" w:rsidP="00207A2E">
      <w:pPr>
        <w:spacing w:line="240" w:lineRule="auto"/>
        <w:rPr>
          <w:rFonts w:ascii="Century Schoolbook" w:hAnsi="Century Schoolbook"/>
          <w:szCs w:val="26"/>
        </w:rPr>
      </w:pPr>
    </w:p>
    <w:p w14:paraId="710079CB" w14:textId="77777777" w:rsidR="00207A2E" w:rsidRPr="00207A2E" w:rsidRDefault="00962968" w:rsidP="00207A2E">
      <w:pPr>
        <w:spacing w:line="240" w:lineRule="auto"/>
        <w:rPr>
          <w:rFonts w:ascii="Century Schoolbook" w:hAnsi="Century Schoolbook"/>
          <w:szCs w:val="26"/>
        </w:rPr>
      </w:pPr>
    </w:p>
    <w:p w14:paraId="3A4D5A95" w14:textId="77777777" w:rsidR="00207A2E" w:rsidRPr="00207A2E" w:rsidRDefault="00962968" w:rsidP="00207A2E">
      <w:pPr>
        <w:spacing w:line="240" w:lineRule="auto"/>
        <w:rPr>
          <w:rFonts w:ascii="Century Schoolbook" w:hAnsi="Century Schoolbook"/>
          <w:szCs w:val="26"/>
        </w:rPr>
      </w:pPr>
    </w:p>
    <w:p w14:paraId="4498C717" w14:textId="77777777" w:rsidR="00207A2E" w:rsidRPr="00207A2E" w:rsidRDefault="00962968" w:rsidP="00207A2E">
      <w:pPr>
        <w:spacing w:line="240" w:lineRule="auto"/>
        <w:rPr>
          <w:rFonts w:ascii="Century Schoolbook" w:hAnsi="Century Schoolbook"/>
          <w:szCs w:val="26"/>
        </w:rPr>
      </w:pPr>
    </w:p>
    <w:p w14:paraId="341AA9B4" w14:textId="77777777" w:rsidR="00207A2E" w:rsidRPr="00207A2E" w:rsidRDefault="00962968" w:rsidP="00207A2E">
      <w:pPr>
        <w:spacing w:line="240" w:lineRule="auto"/>
        <w:rPr>
          <w:rFonts w:ascii="Century Schoolbook" w:hAnsi="Century Schoolbook"/>
          <w:szCs w:val="26"/>
        </w:rPr>
      </w:pPr>
    </w:p>
    <w:p w14:paraId="7DED2AE4" w14:textId="77777777" w:rsidR="00207A2E" w:rsidRPr="00207A2E" w:rsidRDefault="00962968" w:rsidP="00207A2E">
      <w:pPr>
        <w:spacing w:line="240" w:lineRule="auto"/>
        <w:rPr>
          <w:rFonts w:ascii="Century Schoolbook" w:hAnsi="Century Schoolbook"/>
          <w:szCs w:val="26"/>
        </w:rPr>
      </w:pPr>
    </w:p>
    <w:p w14:paraId="0E935821" w14:textId="77777777" w:rsidR="00207A2E" w:rsidRPr="00207A2E" w:rsidRDefault="00962968" w:rsidP="00207A2E">
      <w:pPr>
        <w:spacing w:line="240" w:lineRule="auto"/>
        <w:rPr>
          <w:rFonts w:ascii="Century Schoolbook" w:hAnsi="Century Schoolbook"/>
          <w:szCs w:val="26"/>
        </w:rPr>
      </w:pPr>
    </w:p>
    <w:p w14:paraId="45A8A1A9" w14:textId="77777777" w:rsidR="00207A2E" w:rsidRPr="00207A2E" w:rsidRDefault="00962968" w:rsidP="00207A2E">
      <w:pPr>
        <w:spacing w:line="240" w:lineRule="auto"/>
        <w:rPr>
          <w:rFonts w:ascii="Century Schoolbook" w:hAnsi="Century Schoolbook"/>
          <w:szCs w:val="26"/>
        </w:rPr>
      </w:pPr>
    </w:p>
    <w:p w14:paraId="714EA8A8" w14:textId="77777777" w:rsidR="00207A2E" w:rsidRPr="00207A2E" w:rsidRDefault="00962968" w:rsidP="00207A2E">
      <w:pPr>
        <w:spacing w:line="240" w:lineRule="auto"/>
        <w:rPr>
          <w:rFonts w:ascii="Century Schoolbook" w:hAnsi="Century Schoolbook"/>
          <w:szCs w:val="26"/>
        </w:rPr>
      </w:pPr>
    </w:p>
    <w:p w14:paraId="71A9342F" w14:textId="77777777" w:rsidR="00207A2E" w:rsidRPr="00207A2E" w:rsidRDefault="00962968" w:rsidP="00207A2E">
      <w:pPr>
        <w:spacing w:line="240" w:lineRule="auto"/>
        <w:rPr>
          <w:rFonts w:ascii="Century Schoolbook" w:hAnsi="Century Schoolbook"/>
          <w:szCs w:val="26"/>
        </w:rPr>
      </w:pPr>
    </w:p>
    <w:p w14:paraId="0343D25C" w14:textId="77777777" w:rsidR="00207A2E" w:rsidRPr="00207A2E" w:rsidRDefault="00962968" w:rsidP="00207A2E">
      <w:pPr>
        <w:spacing w:line="240" w:lineRule="auto"/>
        <w:rPr>
          <w:rFonts w:ascii="Century Schoolbook" w:hAnsi="Century Schoolbook"/>
          <w:szCs w:val="26"/>
        </w:rPr>
      </w:pPr>
    </w:p>
    <w:p w14:paraId="5BE9BA75" w14:textId="77777777" w:rsidR="00207A2E" w:rsidRPr="00207A2E" w:rsidRDefault="00962968" w:rsidP="00207A2E">
      <w:pPr>
        <w:spacing w:line="240" w:lineRule="auto"/>
        <w:rPr>
          <w:rFonts w:ascii="Century Schoolbook" w:hAnsi="Century Schoolbook"/>
          <w:szCs w:val="26"/>
        </w:rPr>
      </w:pPr>
    </w:p>
    <w:p w14:paraId="30A30CB3" w14:textId="77777777" w:rsidR="00207A2E" w:rsidRPr="00207A2E" w:rsidRDefault="00962968" w:rsidP="00207A2E">
      <w:pPr>
        <w:spacing w:line="240" w:lineRule="auto"/>
        <w:rPr>
          <w:rFonts w:ascii="Century Schoolbook" w:hAnsi="Century Schoolbook"/>
          <w:szCs w:val="26"/>
        </w:rPr>
      </w:pPr>
      <w:r w:rsidRPr="00207A2E">
        <w:rPr>
          <w:rFonts w:ascii="Century Schoolbook" w:hAnsi="Century Schoolbook"/>
          <w:szCs w:val="26"/>
        </w:rPr>
        <w:t>A163503, A163504</w:t>
      </w:r>
    </w:p>
    <w:p w14:paraId="7A2AF29C" w14:textId="77777777" w:rsidR="00207A2E" w:rsidRPr="00207A2E" w:rsidRDefault="00962968" w:rsidP="00207A2E">
      <w:pPr>
        <w:spacing w:line="240" w:lineRule="auto"/>
        <w:rPr>
          <w:rFonts w:ascii="Century Schoolbook" w:hAnsi="Century Schoolbook"/>
          <w:i/>
          <w:szCs w:val="26"/>
        </w:rPr>
      </w:pPr>
    </w:p>
    <w:p w14:paraId="5CAA44BB" w14:textId="77777777" w:rsidR="00207A2E" w:rsidRPr="00207A2E" w:rsidRDefault="00962968" w:rsidP="00207A2E">
      <w:pPr>
        <w:spacing w:line="240" w:lineRule="auto"/>
        <w:rPr>
          <w:rFonts w:ascii="Century Schoolbook" w:hAnsi="Century Schoolbook"/>
          <w:iCs/>
          <w:szCs w:val="26"/>
        </w:rPr>
      </w:pPr>
    </w:p>
    <w:p w14:paraId="0B1B8FBB" w14:textId="77777777" w:rsidR="00A57C25" w:rsidRDefault="00962968">
      <w:pPr>
        <w:tabs>
          <w:tab w:val="clear" w:pos="720"/>
        </w:tabs>
        <w:spacing w:after="160" w:line="259" w:lineRule="auto"/>
        <w:rPr>
          <w:rFonts w:ascii="Century Schoolbook" w:hAnsi="Century Schoolbook"/>
          <w:szCs w:val="26"/>
        </w:rPr>
      </w:pPr>
      <w:r>
        <w:rPr>
          <w:rFonts w:ascii="Century Schoolbook" w:hAnsi="Century Schoolbook"/>
          <w:szCs w:val="26"/>
        </w:rPr>
        <w:br w:type="page"/>
      </w:r>
    </w:p>
    <w:p w14:paraId="3B65AB96" w14:textId="77777777" w:rsidR="00A57C25" w:rsidRPr="00801B4D" w:rsidRDefault="00962968" w:rsidP="0025232B">
      <w:pPr>
        <w:spacing w:line="240" w:lineRule="auto"/>
        <w:rPr>
          <w:rFonts w:ascii="Century Schoolbook" w:hAnsi="Century Schoolbook"/>
        </w:rPr>
      </w:pPr>
      <w:r w:rsidRPr="00801B4D">
        <w:rPr>
          <w:rFonts w:ascii="Century Schoolbook" w:hAnsi="Century Schoolbook"/>
        </w:rPr>
        <w:lastRenderedPageBreak/>
        <w:t>Trial Court:</w:t>
      </w:r>
      <w:r w:rsidRPr="00801B4D">
        <w:rPr>
          <w:rFonts w:ascii="Century Schoolbook" w:hAnsi="Century Schoolbook"/>
        </w:rPr>
        <w:tab/>
        <w:t xml:space="preserve"> </w:t>
      </w:r>
      <w:r>
        <w:rPr>
          <w:rFonts w:ascii="Century Schoolbook" w:hAnsi="Century Schoolbook"/>
        </w:rPr>
        <w:tab/>
        <w:t>Superior Court of Humboldt County</w:t>
      </w:r>
    </w:p>
    <w:p w14:paraId="46746B3D" w14:textId="77777777" w:rsidR="00A57C25" w:rsidRPr="00801B4D" w:rsidRDefault="00962968" w:rsidP="0025232B">
      <w:pPr>
        <w:spacing w:line="240" w:lineRule="auto"/>
        <w:rPr>
          <w:rFonts w:ascii="Century Schoolbook" w:hAnsi="Century Schoolbook"/>
        </w:rPr>
      </w:pPr>
    </w:p>
    <w:p w14:paraId="7B42E384" w14:textId="77777777" w:rsidR="00A57C25" w:rsidRPr="00801B4D" w:rsidRDefault="00962968" w:rsidP="0025232B">
      <w:pPr>
        <w:spacing w:line="240" w:lineRule="auto"/>
        <w:rPr>
          <w:rFonts w:ascii="Century Schoolbook" w:hAnsi="Century Schoolbook"/>
        </w:rPr>
      </w:pPr>
      <w:r w:rsidRPr="00801B4D">
        <w:rPr>
          <w:rFonts w:ascii="Century Schoolbook" w:hAnsi="Century Schoolbook"/>
        </w:rPr>
        <w:t xml:space="preserve">Trial Judge: </w:t>
      </w:r>
      <w:r w:rsidRPr="00801B4D">
        <w:rPr>
          <w:rFonts w:ascii="Century Schoolbook" w:hAnsi="Century Schoolbook"/>
        </w:rPr>
        <w:tab/>
      </w:r>
      <w:r>
        <w:rPr>
          <w:rFonts w:ascii="Century Schoolbook" w:hAnsi="Century Schoolbook"/>
        </w:rPr>
        <w:t>Timothy A. Canning, Judge</w:t>
      </w:r>
    </w:p>
    <w:p w14:paraId="501F2F6B" w14:textId="77777777" w:rsidR="00A57C25" w:rsidRPr="00801B4D" w:rsidRDefault="00962968" w:rsidP="0025232B">
      <w:pPr>
        <w:spacing w:line="240" w:lineRule="auto"/>
        <w:rPr>
          <w:rFonts w:ascii="Century Schoolbook" w:hAnsi="Century Schoolbook"/>
        </w:rPr>
      </w:pPr>
    </w:p>
    <w:p w14:paraId="576B0E6F" w14:textId="77777777" w:rsidR="00A57C25" w:rsidRPr="00801B4D" w:rsidRDefault="00962968" w:rsidP="0025232B">
      <w:pPr>
        <w:spacing w:line="240" w:lineRule="auto"/>
        <w:rPr>
          <w:rFonts w:ascii="Century Schoolbook" w:hAnsi="Century Schoolbook"/>
        </w:rPr>
      </w:pPr>
      <w:r w:rsidRPr="00801B4D">
        <w:rPr>
          <w:rFonts w:ascii="Century Schoolbook" w:hAnsi="Century Schoolbook"/>
        </w:rPr>
        <w:t xml:space="preserve">Counsel:  </w:t>
      </w:r>
    </w:p>
    <w:p w14:paraId="4115AE1D" w14:textId="77777777" w:rsidR="00A57C25" w:rsidRPr="00801B4D" w:rsidRDefault="00962968" w:rsidP="0025232B">
      <w:pPr>
        <w:spacing w:line="240" w:lineRule="auto"/>
        <w:rPr>
          <w:rFonts w:ascii="Century Schoolbook" w:hAnsi="Century Schoolbook"/>
        </w:rPr>
      </w:pPr>
    </w:p>
    <w:p w14:paraId="77C556B0" w14:textId="77777777" w:rsidR="00A57C25" w:rsidRPr="00801B4D" w:rsidRDefault="00962968" w:rsidP="0025232B">
      <w:pPr>
        <w:spacing w:line="240" w:lineRule="auto"/>
        <w:rPr>
          <w:rFonts w:ascii="Century Schoolbook" w:hAnsi="Century Schoolbook"/>
        </w:rPr>
      </w:pPr>
      <w:r>
        <w:rPr>
          <w:rFonts w:ascii="Century Schoolbook" w:hAnsi="Century Schoolbook"/>
        </w:rPr>
        <w:t xml:space="preserve">Department of Labor Relations, Division of Labor Standards Enforcement and David M. Balter </w:t>
      </w:r>
      <w:r w:rsidRPr="00801B4D">
        <w:rPr>
          <w:rFonts w:ascii="Century Schoolbook" w:hAnsi="Century Schoolbook"/>
        </w:rPr>
        <w:t xml:space="preserve"> for Plaintiff</w:t>
      </w:r>
      <w:r>
        <w:rPr>
          <w:rFonts w:ascii="Century Schoolbook" w:hAnsi="Century Schoolbook"/>
        </w:rPr>
        <w:t>s</w:t>
      </w:r>
      <w:r w:rsidRPr="00801B4D">
        <w:rPr>
          <w:rFonts w:ascii="Century Schoolbook" w:hAnsi="Century Schoolbook"/>
        </w:rPr>
        <w:t xml:space="preserve"> and Appellant</w:t>
      </w:r>
      <w:r>
        <w:rPr>
          <w:rFonts w:ascii="Century Schoolbook" w:hAnsi="Century Schoolbook"/>
        </w:rPr>
        <w:t>s</w:t>
      </w:r>
      <w:r w:rsidRPr="00801B4D">
        <w:rPr>
          <w:rFonts w:ascii="Century Schoolbook" w:hAnsi="Century Schoolbook"/>
        </w:rPr>
        <w:t>.</w:t>
      </w:r>
    </w:p>
    <w:p w14:paraId="689B9B11" w14:textId="77777777" w:rsidR="00A57C25" w:rsidRPr="00801B4D" w:rsidRDefault="00962968" w:rsidP="0025232B">
      <w:pPr>
        <w:spacing w:line="240" w:lineRule="auto"/>
        <w:rPr>
          <w:rFonts w:ascii="Century Schoolbook" w:hAnsi="Century Schoolbook"/>
        </w:rPr>
      </w:pPr>
    </w:p>
    <w:p w14:paraId="3498C234" w14:textId="77777777" w:rsidR="00A57C25" w:rsidRPr="00801B4D" w:rsidRDefault="00962968" w:rsidP="6B4F90DA">
      <w:pPr>
        <w:spacing w:line="240" w:lineRule="auto"/>
        <w:rPr>
          <w:rFonts w:ascii="Century Schoolbook" w:hAnsi="Century Schoolbook"/>
        </w:rPr>
      </w:pPr>
      <w:r>
        <w:rPr>
          <w:rFonts w:ascii="Century Schoolbook" w:hAnsi="Century Schoolbook"/>
        </w:rPr>
        <w:t>Janssen Malloy and Amelia F. Burrough</w:t>
      </w:r>
      <w:r w:rsidRPr="00801B4D">
        <w:rPr>
          <w:rFonts w:ascii="Century Schoolbook" w:hAnsi="Century Schoolbook"/>
        </w:rPr>
        <w:t xml:space="preserve"> for Defendant</w:t>
      </w:r>
      <w:r>
        <w:rPr>
          <w:rFonts w:ascii="Century Schoolbook" w:hAnsi="Century Schoolbook"/>
        </w:rPr>
        <w:t>s</w:t>
      </w:r>
      <w:r w:rsidRPr="00801B4D">
        <w:rPr>
          <w:rFonts w:ascii="Century Schoolbook" w:hAnsi="Century Schoolbook"/>
        </w:rPr>
        <w:t xml:space="preserve"> and Respondent</w:t>
      </w:r>
      <w:r>
        <w:rPr>
          <w:rFonts w:ascii="Century Schoolbook" w:hAnsi="Century Schoolbook"/>
        </w:rPr>
        <w:t>s</w:t>
      </w:r>
      <w:r w:rsidRPr="00801B4D">
        <w:rPr>
          <w:rFonts w:ascii="Century Schoolbook" w:hAnsi="Century Schoolbook"/>
        </w:rPr>
        <w:t>.</w:t>
      </w:r>
    </w:p>
    <w:p w14:paraId="635F155D" w14:textId="77777777" w:rsidR="00A57C25" w:rsidRPr="00801B4D" w:rsidRDefault="00962968" w:rsidP="0025232B">
      <w:pPr>
        <w:spacing w:line="240" w:lineRule="auto"/>
        <w:rPr>
          <w:rFonts w:ascii="Century Schoolbook" w:hAnsi="Century Schoolbook"/>
        </w:rPr>
      </w:pPr>
    </w:p>
    <w:p w14:paraId="51C36DC5" w14:textId="77777777" w:rsidR="00A57C25" w:rsidRPr="00801B4D" w:rsidRDefault="00962968" w:rsidP="009A6360">
      <w:pPr>
        <w:spacing w:line="240" w:lineRule="auto"/>
        <w:rPr>
          <w:rFonts w:ascii="Century Schoolbook" w:hAnsi="Century Schoolbook"/>
        </w:rPr>
      </w:pPr>
    </w:p>
    <w:p w14:paraId="5157085D" w14:textId="77777777" w:rsidR="00A57C25" w:rsidRPr="00801B4D" w:rsidRDefault="00962968">
      <w:pPr>
        <w:rPr>
          <w:rFonts w:ascii="Century Schoolbook" w:hAnsi="Century Schoolbook"/>
        </w:rPr>
      </w:pPr>
    </w:p>
    <w:p w14:paraId="12E8C3E9" w14:textId="77777777" w:rsidR="004D6EDA" w:rsidRPr="004D6EDA" w:rsidRDefault="00962968" w:rsidP="00BB6A52">
      <w:pPr>
        <w:spacing w:line="240" w:lineRule="auto"/>
        <w:rPr>
          <w:rFonts w:ascii="Century Schoolbook" w:hAnsi="Century Schoolbook"/>
          <w:szCs w:val="26"/>
        </w:rPr>
      </w:pPr>
    </w:p>
    <w:sectPr w:rsidR="004D6EDA" w:rsidRPr="004D6EDA" w:rsidSect="00E337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AB4E" w14:textId="77777777" w:rsidR="00000000" w:rsidRDefault="00962968">
      <w:pPr>
        <w:spacing w:line="240" w:lineRule="auto"/>
      </w:pPr>
      <w:r>
        <w:separator/>
      </w:r>
    </w:p>
  </w:endnote>
  <w:endnote w:type="continuationSeparator" w:id="0">
    <w:p w14:paraId="30C7F0C5" w14:textId="77777777" w:rsidR="00000000" w:rsidRDefault="00962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27E5" w14:textId="77777777" w:rsidR="00955E5B" w:rsidRDefault="00962968" w:rsidP="00B442F1">
    <w:pPr>
      <w:pStyle w:val="Footer"/>
      <w:framePr w:wrap="around" w:vAnchor="text" w:hAnchor="margin" w:xAlign="center" w:y="1"/>
      <w:rPr>
        <w:rStyle w:val="PageNumber"/>
      </w:rPr>
    </w:pPr>
  </w:p>
  <w:p w14:paraId="21B25A27" w14:textId="77777777" w:rsidR="00955E5B" w:rsidRDefault="00962968" w:rsidP="00B442F1">
    <w:pPr>
      <w:pStyle w:val="Footer"/>
      <w:framePr w:wrap="around" w:vAnchor="text" w:hAnchor="margin" w:xAlign="center" w:y="1"/>
      <w:rPr>
        <w:rStyle w:val="PageNumber"/>
      </w:rPr>
    </w:pPr>
  </w:p>
  <w:p w14:paraId="52395B77" w14:textId="77777777" w:rsidR="00955E5B" w:rsidRDefault="00962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05350"/>
      <w:docPartObj>
        <w:docPartGallery w:val="Page Numbers (Bottom of Page)"/>
        <w:docPartUnique/>
      </w:docPartObj>
    </w:sdtPr>
    <w:sdtEndPr>
      <w:rPr>
        <w:noProof/>
      </w:rPr>
    </w:sdtEndPr>
    <w:sdtContent>
      <w:p w14:paraId="4FDC64E8" w14:textId="77777777" w:rsidR="00955E5B" w:rsidRDefault="0096296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5180899" w14:textId="77777777" w:rsidR="00955E5B" w:rsidRPr="008A7AA0" w:rsidRDefault="00962968" w:rsidP="008A7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B5" w14:textId="77777777" w:rsidR="00955E5B" w:rsidRPr="00E3374C" w:rsidRDefault="00962968">
    <w:pPr>
      <w:pStyle w:val="Footer"/>
      <w:jc w:val="center"/>
      <w:rPr>
        <w:rFonts w:ascii="Century Schoolbook" w:hAnsi="Century Schoolbook"/>
      </w:rPr>
    </w:pPr>
  </w:p>
  <w:p w14:paraId="023E47A4" w14:textId="77777777" w:rsidR="00955E5B" w:rsidRPr="00E3374C" w:rsidRDefault="00962968">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793F" w14:textId="77777777" w:rsidR="00855820" w:rsidRDefault="00962968" w:rsidP="00C0565C">
      <w:pPr>
        <w:spacing w:line="240" w:lineRule="auto"/>
      </w:pPr>
      <w:r>
        <w:separator/>
      </w:r>
    </w:p>
  </w:footnote>
  <w:footnote w:type="continuationSeparator" w:id="0">
    <w:p w14:paraId="0B1A2534" w14:textId="77777777" w:rsidR="00855820" w:rsidRDefault="00962968" w:rsidP="00C0565C">
      <w:pPr>
        <w:spacing w:line="240" w:lineRule="auto"/>
      </w:pPr>
      <w:r>
        <w:continuationSeparator/>
      </w:r>
    </w:p>
  </w:footnote>
  <w:footnote w:id="1">
    <w:p w14:paraId="21089446" w14:textId="77777777" w:rsidR="000F3D0D" w:rsidRDefault="00962968">
      <w:pPr>
        <w:pStyle w:val="FootnoteText"/>
      </w:pPr>
      <w:r>
        <w:rPr>
          <w:rStyle w:val="FootnoteReference"/>
        </w:rPr>
        <w:footnoteRef/>
      </w:r>
      <w:r>
        <w:t xml:space="preserve"> </w:t>
      </w:r>
      <w:r w:rsidRPr="001034F8">
        <w:t xml:space="preserve">When we refer to </w:t>
      </w:r>
      <w:r>
        <w:t>plaintiffs</w:t>
      </w:r>
      <w:r w:rsidRPr="001034F8">
        <w:t xml:space="preserve"> individually, we use their first names to avoid confusion. </w:t>
      </w:r>
      <w:r>
        <w:t xml:space="preserve"> </w:t>
      </w:r>
      <w:r w:rsidRPr="001034F8">
        <w:t>We intend no disrespect in doing so.</w:t>
      </w:r>
    </w:p>
  </w:footnote>
  <w:footnote w:id="2">
    <w:p w14:paraId="612D0CBB" w14:textId="77777777" w:rsidR="00E46753" w:rsidRDefault="00962968">
      <w:pPr>
        <w:pStyle w:val="FootnoteText"/>
      </w:pPr>
      <w:r>
        <w:rPr>
          <w:rStyle w:val="FootnoteReference"/>
        </w:rPr>
        <w:footnoteRef/>
      </w:r>
      <w:r>
        <w:t xml:space="preserve"> All statutory references are to the Labor Code unless otherwise noted.</w:t>
      </w:r>
    </w:p>
  </w:footnote>
  <w:footnote w:id="3">
    <w:p w14:paraId="184E50D5" w14:textId="77777777" w:rsidR="00DF687C" w:rsidRPr="00520B1E" w:rsidRDefault="00962968" w:rsidP="00520B1E">
      <w:pPr>
        <w:pStyle w:val="FootnoteText"/>
        <w:rPr>
          <w:szCs w:val="26"/>
        </w:rPr>
      </w:pPr>
      <w:r>
        <w:rPr>
          <w:rStyle w:val="FootnoteReference"/>
        </w:rPr>
        <w:footnoteRef/>
      </w:r>
      <w:r>
        <w:t xml:space="preserve"> On November 8, 2021, plaintiffs filed a request for judicial notice, which they subsequently amended on November 24, 2021.  This request sought judicial notice of legislative materia</w:t>
      </w:r>
      <w:r>
        <w:t>ls related to Senate Bill No. 955 (Reg. Sess. 1991), Senate Bill No. 588 (Reg. Sess. 2015–2016) (Senate Bill 588), and Assembly Bill No. 970 (Reg. Sess. 2015–2016).  On February 9, 2022, plaintiffs filed a second request for judicial notice of two webpages</w:t>
      </w:r>
      <w:r>
        <w:t xml:space="preserve"> maintained by the DLSE, entitled “Policies and Procedures for Wage Claim Processing” and “How to File a Wage Claim,” and DLSE form 1, entitled “Initial Report or Claim.”  Defendants have not opposed either request.  Finding the documents submitted to be a</w:t>
      </w:r>
      <w:r>
        <w:t xml:space="preserve">ppropriate for judicial notice, we grant plaintiffs’ requests.  </w:t>
      </w:r>
      <w:r w:rsidRPr="00F93EF6">
        <w:t>(Evid. Code, §§</w:t>
      </w:r>
      <w:r>
        <w:t> </w:t>
      </w:r>
      <w:r w:rsidRPr="00F93EF6">
        <w:t xml:space="preserve">452, subds. (c), </w:t>
      </w:r>
      <w:r>
        <w:t xml:space="preserve">(h), </w:t>
      </w:r>
      <w:r w:rsidRPr="00F93EF6">
        <w:t>459, subd. (a).)</w:t>
      </w:r>
      <w:r>
        <w:t xml:space="preserve"> </w:t>
      </w:r>
    </w:p>
  </w:footnote>
  <w:footnote w:id="4">
    <w:p w14:paraId="0F7FA844" w14:textId="77777777" w:rsidR="00462CED" w:rsidRPr="004D183C" w:rsidRDefault="00962968" w:rsidP="004D183C">
      <w:pPr>
        <w:pStyle w:val="FootnoteText"/>
      </w:pPr>
      <w:r>
        <w:rPr>
          <w:rStyle w:val="FootnoteReference"/>
        </w:rPr>
        <w:footnoteRef/>
      </w:r>
      <w:r>
        <w:t xml:space="preserve"> </w:t>
      </w:r>
      <w:r w:rsidRPr="004D183C">
        <w:t xml:space="preserve">If an employer fails to pay wages in the amount, time or manner required by contract or by statute, </w:t>
      </w:r>
      <w:r>
        <w:t>an employee can, among other optio</w:t>
      </w:r>
      <w:r>
        <w:t xml:space="preserve">ns, seek administrative relief </w:t>
      </w:r>
      <w:r w:rsidRPr="004D183C">
        <w:t>by filing a wage claim with the commissioner pursuant to a special statutory scheme codified in sections 98 to 98.8.</w:t>
      </w:r>
      <w:r>
        <w:t xml:space="preserve">  This legislation, enacted in 1976 </w:t>
      </w:r>
      <w:r w:rsidRPr="004D183C">
        <w:t>(Stats.</w:t>
      </w:r>
      <w:r>
        <w:t xml:space="preserve"> </w:t>
      </w:r>
      <w:r w:rsidRPr="004D183C">
        <w:t>1976, ch. 1190, §§</w:t>
      </w:r>
      <w:r>
        <w:t> </w:t>
      </w:r>
      <w:r w:rsidRPr="004D183C">
        <w:t>4–11, pp. 5368–5371)</w:t>
      </w:r>
      <w:r>
        <w:t>, is commonly known as a “</w:t>
      </w:r>
      <w:r>
        <w:t>Berman” hearing procedure after the name of its sponsor</w:t>
      </w:r>
      <w:r w:rsidRPr="004D183C">
        <w:t>.</w:t>
      </w:r>
      <w:r>
        <w:t xml:space="preserve">  (</w:t>
      </w:r>
      <w:r>
        <w:rPr>
          <w:i/>
          <w:iCs/>
        </w:rPr>
        <w:t>Cuadra</w:t>
      </w:r>
      <w:r>
        <w:t xml:space="preserve">, </w:t>
      </w:r>
      <w:r>
        <w:rPr>
          <w:i/>
          <w:iCs/>
        </w:rPr>
        <w:t>supra</w:t>
      </w:r>
      <w:r>
        <w:t>, 17 Cal.4th at p. 858.)</w:t>
      </w:r>
    </w:p>
  </w:footnote>
  <w:footnote w:id="5">
    <w:p w14:paraId="2F66E49D" w14:textId="77777777" w:rsidR="00997E3D" w:rsidRPr="00A57CB8" w:rsidRDefault="00962968" w:rsidP="00997E3D">
      <w:pPr>
        <w:pStyle w:val="FootnoteText"/>
      </w:pPr>
      <w:r>
        <w:rPr>
          <w:rStyle w:val="FootnoteReference"/>
        </w:rPr>
        <w:footnoteRef/>
      </w:r>
      <w:r>
        <w:t xml:space="preserve"> In discussing the Berman hearing process, the Supreme Court commented “</w:t>
      </w:r>
      <w:r w:rsidRPr="001C153D">
        <w:t>DLSE prepares and causes the employee to execute and file the above mentioned ‘Complai</w:t>
      </w:r>
      <w:r w:rsidRPr="001C153D">
        <w:t>nt’ form (DLSE 530)</w:t>
      </w:r>
      <w:r>
        <w:t>,” which the commissioner “</w:t>
      </w:r>
      <w:r w:rsidRPr="001C153D">
        <w:t xml:space="preserve">treats </w:t>
      </w:r>
      <w:r>
        <w:t xml:space="preserve">. . . </w:t>
      </w:r>
      <w:r w:rsidRPr="001C153D">
        <w:t>as finally initiating the complaint process referred to in [section</w:t>
      </w:r>
      <w:r>
        <w:t> </w:t>
      </w:r>
      <w:r w:rsidRPr="001C153D">
        <w:t>98].</w:t>
      </w:r>
      <w:r>
        <w:t>”  (</w:t>
      </w:r>
      <w:r>
        <w:rPr>
          <w:i/>
          <w:iCs/>
        </w:rPr>
        <w:t>Cuadra</w:t>
      </w:r>
      <w:r>
        <w:t xml:space="preserve">, </w:t>
      </w:r>
      <w:r w:rsidRPr="00A57CB8">
        <w:rPr>
          <w:i/>
          <w:iCs/>
        </w:rPr>
        <w:t>supra</w:t>
      </w:r>
      <w:r>
        <w:t xml:space="preserve">, 17 Cal.4th at p. 861.)  However, the court does not reconcile this statement with its holding, affirming the Court of Appeals’ opinion calculating the statute of limitations from the filing of the initial report or claim form.  (See </w:t>
      </w:r>
      <w:r>
        <w:rPr>
          <w:i/>
          <w:iCs/>
        </w:rPr>
        <w:t>id.</w:t>
      </w:r>
      <w:r>
        <w:t xml:space="preserve"> at p. 864, fn. 9 </w:t>
      </w:r>
      <w:r>
        <w:t>[“</w:t>
      </w:r>
      <w:r w:rsidRPr="00A57CB8">
        <w:t xml:space="preserve">We infer that by </w:t>
      </w:r>
      <w:r>
        <w:t>‘</w:t>
      </w:r>
      <w:r w:rsidRPr="00A57CB8">
        <w:t>the date of the claim filing</w:t>
      </w:r>
      <w:r>
        <w:t>’</w:t>
      </w:r>
      <w:r w:rsidRPr="00A57CB8">
        <w:t xml:space="preserve"> the </w:t>
      </w:r>
      <w:r>
        <w:t>[C]</w:t>
      </w:r>
      <w:r w:rsidRPr="00A57CB8">
        <w:t>ourt</w:t>
      </w:r>
      <w:r>
        <w:t xml:space="preserve"> [of Appeal]</w:t>
      </w:r>
      <w:r w:rsidRPr="00A57CB8">
        <w:t xml:space="preserve"> meant the date on which the employee first presents his written claim or complaint to the DLSE, however the agency labels that form. </w:t>
      </w:r>
      <w:r>
        <w:t xml:space="preserve"> </w:t>
      </w:r>
      <w:r w:rsidRPr="00A57CB8">
        <w:t>In the case of plaintiff Cuadra, for example, th</w:t>
      </w:r>
      <w:r w:rsidRPr="00A57CB8">
        <w:t xml:space="preserve">at date was November 8, 1994, the date on which she filed her </w:t>
      </w:r>
      <w:r>
        <w:t>‘</w:t>
      </w:r>
      <w:r w:rsidRPr="00A57CB8">
        <w:t>Initial Report or Claim</w:t>
      </w:r>
      <w:r>
        <w:t>’</w:t>
      </w:r>
      <w:r w:rsidRPr="00A57CB8">
        <w:t xml:space="preserve"> (DLSE 1).</w:t>
      </w:r>
      <w:r>
        <w:t xml:space="preserve">”]; </w:t>
      </w:r>
      <w:r>
        <w:rPr>
          <w:i/>
          <w:iCs/>
        </w:rPr>
        <w:t>id.</w:t>
      </w:r>
      <w:r>
        <w:t xml:space="preserve"> at p. 872 [affirming judgment].)</w:t>
      </w:r>
    </w:p>
  </w:footnote>
  <w:footnote w:id="6">
    <w:p w14:paraId="195D1F73" w14:textId="77777777" w:rsidR="00A57A70" w:rsidRDefault="00962968" w:rsidP="00A57A70">
      <w:pPr>
        <w:pStyle w:val="FootnoteText"/>
      </w:pPr>
      <w:r>
        <w:rPr>
          <w:rStyle w:val="FootnoteReference"/>
        </w:rPr>
        <w:footnoteRef/>
      </w:r>
      <w:r>
        <w:t xml:space="preserve"> Defendants argue the other 12 new or amended statutory sections that also were part of Senate Bill 588 all reference</w:t>
      </w:r>
      <w:r>
        <w:t>d the powers of the Labor Commissioner.  They assert section 558.1’s failure to do so “suggest[s] mere oversight.”  We disagree.  To the contrary, the Legislature’s omission of such language, while using it with other statutes enacted as part of the same b</w:t>
      </w:r>
      <w:r>
        <w:t xml:space="preserve">ill, suggests such omission was intentional.  (See </w:t>
      </w:r>
      <w:r w:rsidRPr="00E073E7">
        <w:rPr>
          <w:i/>
          <w:iCs/>
        </w:rPr>
        <w:t>People v. Trevino</w:t>
      </w:r>
      <w:r w:rsidRPr="00E073E7">
        <w:t xml:space="preserve"> (2001) 26 Cal.4th 237, 242 [“When the Legislature uses materially different language in statutory provisions addressing the same subject or related subjects, the normal inference is that </w:t>
      </w:r>
      <w:r w:rsidRPr="00E073E7">
        <w:t>the Legislature intended a difference in meaning.”]</w:t>
      </w:r>
      <w:r>
        <w:t xml:space="preserve">; accord, </w:t>
      </w:r>
      <w:r w:rsidRPr="00E073E7">
        <w:rPr>
          <w:i/>
          <w:iCs/>
        </w:rPr>
        <w:t>Digital Realty Trust, Inc. v. Somers</w:t>
      </w:r>
      <w:r w:rsidRPr="00E073E7">
        <w:t xml:space="preserve"> (2018) </w:t>
      </w:r>
      <w:r>
        <w:t>___</w:t>
      </w:r>
      <w:r w:rsidRPr="00E073E7">
        <w:t xml:space="preserve"> U.S.</w:t>
      </w:r>
      <w:r>
        <w:t>___</w:t>
      </w:r>
      <w:r w:rsidRPr="00E073E7">
        <w:t>, [138</w:t>
      </w:r>
      <w:r>
        <w:t> </w:t>
      </w:r>
      <w:r w:rsidRPr="00E073E7">
        <w:t>S.Ct. 767, 777] [“</w:t>
      </w:r>
      <w:r>
        <w:t> </w:t>
      </w:r>
      <w:r w:rsidRPr="00E073E7">
        <w:t>‘[W]hen Congress includes particular language in one section of a statute but omits it in another[,] .</w:t>
      </w:r>
      <w:r>
        <w:t> </w:t>
      </w:r>
      <w:r w:rsidRPr="00E073E7">
        <w:t>.</w:t>
      </w:r>
      <w:r>
        <w:t> </w:t>
      </w:r>
      <w:r w:rsidRPr="00E073E7">
        <w:t>. this Co</w:t>
      </w:r>
      <w:r w:rsidRPr="00E073E7">
        <w:t>urt presumes that Congress intended a difference in meaning.’</w:t>
      </w:r>
      <w:r>
        <w:t> </w:t>
      </w:r>
      <w:r w:rsidRPr="00E073E7">
        <w:t>”]</w:t>
      </w:r>
      <w:r>
        <w:t>.)</w:t>
      </w:r>
    </w:p>
  </w:footnote>
  <w:footnote w:id="7">
    <w:p w14:paraId="248C2C09" w14:textId="77777777" w:rsidR="006B183A" w:rsidRDefault="00962968">
      <w:pPr>
        <w:pStyle w:val="FootnoteText"/>
      </w:pPr>
      <w:r>
        <w:rPr>
          <w:rStyle w:val="FootnoteReference"/>
        </w:rPr>
        <w:footnoteRef/>
      </w:r>
      <w:r>
        <w:t xml:space="preserve"> While not binding on this court, we note at least two district courts have likewise concluded section 558.1 provides a private right of action.  (See, e.g., </w:t>
      </w:r>
      <w:r w:rsidRPr="006B183A">
        <w:rPr>
          <w:i/>
          <w:iCs/>
        </w:rPr>
        <w:t>Roush v. MSI Inventory Serv</w:t>
      </w:r>
      <w:r>
        <w:rPr>
          <w:i/>
          <w:iCs/>
        </w:rPr>
        <w:t>ice</w:t>
      </w:r>
      <w:r w:rsidRPr="006B183A">
        <w:rPr>
          <w:i/>
          <w:iCs/>
        </w:rPr>
        <w:t xml:space="preserve"> Corp</w:t>
      </w:r>
      <w:r w:rsidRPr="006B183A">
        <w:t>.</w:t>
      </w:r>
      <w:r>
        <w:t xml:space="preserve"> </w:t>
      </w:r>
      <w:r w:rsidRPr="006B183A">
        <w:t xml:space="preserve">(E.D.Cal. July 30, 2018) 2018 WL 3637066, at </w:t>
      </w:r>
      <w:r>
        <w:t>pp. </w:t>
      </w:r>
      <w:r w:rsidRPr="006B183A">
        <w:t>*2</w:t>
      </w:r>
      <w:r>
        <w:t>–*</w:t>
      </w:r>
      <w:r w:rsidRPr="006B183A">
        <w:t xml:space="preserve">3; </w:t>
      </w:r>
      <w:r w:rsidRPr="006B183A">
        <w:rPr>
          <w:i/>
          <w:iCs/>
        </w:rPr>
        <w:t>Carter v. Rasier-CA, LLC</w:t>
      </w:r>
      <w:r>
        <w:t xml:space="preserve"> </w:t>
      </w:r>
      <w:r w:rsidRPr="006B183A">
        <w:t xml:space="preserve">(N.D.Cal. Sept. 15, 2017) 2017 WL 4098858, at </w:t>
      </w:r>
      <w:r>
        <w:t>p. </w:t>
      </w:r>
      <w:r w:rsidRPr="006B183A">
        <w:t>*5</w:t>
      </w:r>
      <w:r>
        <w:t>,</w:t>
      </w:r>
      <w:r w:rsidRPr="006B183A">
        <w:t xml:space="preserve"> </w:t>
      </w:r>
      <w:r>
        <w:t>f</w:t>
      </w:r>
      <w:r w:rsidRPr="006B183A">
        <w:t>n.</w:t>
      </w:r>
      <w:r>
        <w:t> </w:t>
      </w:r>
      <w:r w:rsidRPr="006B183A">
        <w:t xml:space="preserve">1 </w:t>
      </w:r>
      <w:r>
        <w:t>[</w:t>
      </w:r>
      <w:r w:rsidRPr="006B183A">
        <w:t>concluding that limiting § 558.1’s enforcement to actions by the Labor Commissioner would go against the lan</w:t>
      </w:r>
      <w:r w:rsidRPr="006B183A">
        <w:t>guage of the provision itself</w:t>
      </w:r>
      <w:r>
        <w:t>].</w:t>
      </w:r>
      <w:r w:rsidRPr="006B183A">
        <w:t>)</w:t>
      </w:r>
    </w:p>
  </w:footnote>
  <w:footnote w:id="8">
    <w:p w14:paraId="30822405" w14:textId="77777777" w:rsidR="008A7FCF" w:rsidRDefault="00962968">
      <w:pPr>
        <w:pStyle w:val="FootnoteText"/>
      </w:pPr>
      <w:r>
        <w:rPr>
          <w:rStyle w:val="FootnoteReference"/>
        </w:rPr>
        <w:footnoteRef/>
      </w:r>
      <w:r>
        <w:t xml:space="preserve"> LaPaille does not argue she did not “</w:t>
      </w:r>
      <w:r w:rsidRPr="00A0114F">
        <w:rPr>
          <w:iCs/>
          <w:szCs w:val="26"/>
        </w:rPr>
        <w:t>violate</w:t>
      </w:r>
      <w:r>
        <w:rPr>
          <w:iCs/>
          <w:szCs w:val="26"/>
        </w:rPr>
        <w:t>[]</w:t>
      </w:r>
      <w:r w:rsidRPr="00A0114F">
        <w:rPr>
          <w:iCs/>
          <w:szCs w:val="26"/>
        </w:rPr>
        <w:t>, or cause</w:t>
      </w:r>
      <w:r>
        <w:rPr>
          <w:iCs/>
          <w:szCs w:val="26"/>
        </w:rPr>
        <w:t>[]</w:t>
      </w:r>
      <w:r w:rsidRPr="00A0114F">
        <w:rPr>
          <w:iCs/>
          <w:szCs w:val="26"/>
        </w:rPr>
        <w:t xml:space="preserve"> to be violated</w:t>
      </w:r>
      <w:r>
        <w:rPr>
          <w:iCs/>
          <w:szCs w:val="26"/>
        </w:rPr>
        <w:t>”</w:t>
      </w:r>
      <w:r>
        <w:t xml:space="preserve"> a minimum wage provision.  And the trial court’s conclusion that plaintiffs were employees in part due to their “constant contact with [LaPaille]” demonstrates her involvement in the wage violations. </w:t>
      </w:r>
    </w:p>
  </w:footnote>
  <w:footnote w:id="9">
    <w:p w14:paraId="0BACA9FD" w14:textId="77777777" w:rsidR="00BE5093" w:rsidRDefault="00962968">
      <w:pPr>
        <w:pStyle w:val="FootnoteText"/>
      </w:pPr>
      <w:r>
        <w:rPr>
          <w:rStyle w:val="FootnoteReference"/>
        </w:rPr>
        <w:footnoteRef/>
      </w:r>
      <w:r>
        <w:t xml:space="preserve"> We recognize statutes generally do not apply retroac</w:t>
      </w:r>
      <w:r>
        <w:t>tively if they create a new cause of action, and section 1197.1 does not provide a private right of action for recovery of underpaid wages.  (</w:t>
      </w:r>
      <w:r>
        <w:rPr>
          <w:i/>
          <w:iCs/>
        </w:rPr>
        <w:t xml:space="preserve">Atempa v. Pedrazzani </w:t>
      </w:r>
      <w:r>
        <w:t>(2018) 27 Cal.App.5th 809, 826.)  In this instance, however, we conclude section 558.1’s allo</w:t>
      </w:r>
      <w:r>
        <w:t>wance of private rights of action to enforce individual liability for wage violations operates more as a procedural method of enforcement rather than a new cause of action.  (</w:t>
      </w:r>
      <w:r>
        <w:rPr>
          <w:iCs/>
          <w:szCs w:val="26"/>
        </w:rPr>
        <w:t>See Sen. Com. on Judiciary, Analysis of Sen. Bill 588 as amended Apr. 20, 2015, p</w:t>
      </w:r>
      <w:r>
        <w:rPr>
          <w:iCs/>
          <w:szCs w:val="26"/>
        </w:rPr>
        <w:t>. 15</w:t>
      </w:r>
      <w:r>
        <w:t>.)</w:t>
      </w:r>
    </w:p>
  </w:footnote>
  <w:footnote w:id="10">
    <w:p w14:paraId="7A01FE09" w14:textId="77777777" w:rsidR="002F3D71" w:rsidRPr="00CC558A" w:rsidRDefault="00962968">
      <w:pPr>
        <w:pStyle w:val="FootnoteText"/>
      </w:pPr>
      <w:r w:rsidRPr="00CC558A">
        <w:rPr>
          <w:rStyle w:val="FootnoteReference"/>
        </w:rPr>
        <w:footnoteRef/>
      </w:r>
      <w:r w:rsidRPr="00CC558A">
        <w:t xml:space="preserve"> He also received a separate prejudgment interest award on his claim for failure to reimburse expenses.</w:t>
      </w:r>
    </w:p>
  </w:footnote>
  <w:footnote w:id="11">
    <w:p w14:paraId="397BA923" w14:textId="77777777" w:rsidR="00CC6DE9" w:rsidRPr="00CC558A" w:rsidRDefault="00962968">
      <w:pPr>
        <w:pStyle w:val="FootnoteText"/>
      </w:pPr>
      <w:r w:rsidRPr="00CC558A">
        <w:rPr>
          <w:rStyle w:val="FootnoteReference"/>
        </w:rPr>
        <w:footnoteRef/>
      </w:r>
      <w:r w:rsidRPr="00CC558A">
        <w:t xml:space="preserve"> We note that when the relationship commenced, in 2009, the controlling case on the employment relationship was </w:t>
      </w:r>
      <w:r w:rsidRPr="00CC558A">
        <w:rPr>
          <w:i/>
          <w:iCs/>
        </w:rPr>
        <w:t>S. G. Borello &amp; Sons, Inc. v. D</w:t>
      </w:r>
      <w:r w:rsidRPr="00CC558A">
        <w:rPr>
          <w:i/>
          <w:iCs/>
        </w:rPr>
        <w:t>epartment of Industrial Relations</w:t>
      </w:r>
      <w:r w:rsidRPr="00CC558A">
        <w:t xml:space="preserve"> (1989) 48 Cal.3d 341.  The year the relationship ended, 2018, the Supreme Court, in </w:t>
      </w:r>
      <w:r w:rsidRPr="00CC558A">
        <w:rPr>
          <w:i/>
          <w:iCs/>
        </w:rPr>
        <w:t>Dynamex Operations West, Inc. v. Superior Court</w:t>
      </w:r>
      <w:r w:rsidRPr="00CC558A">
        <w:t xml:space="preserve"> (2018) 4 Cal.5th 903, adopted the “ABC” test for assessing whether an individual is an emp</w:t>
      </w:r>
      <w:r w:rsidRPr="00CC558A">
        <w:t xml:space="preserve">loyee or independent contractor.  Certain aspects of the “ABC” test overlap with the </w:t>
      </w:r>
      <w:r w:rsidRPr="00CC558A">
        <w:rPr>
          <w:i/>
          <w:iCs/>
        </w:rPr>
        <w:t>Borello</w:t>
      </w:r>
      <w:r w:rsidRPr="00CC558A">
        <w:t xml:space="preserve"> standard, and for several years the application of </w:t>
      </w:r>
      <w:r w:rsidRPr="00CC558A">
        <w:rPr>
          <w:i/>
          <w:iCs/>
        </w:rPr>
        <w:t>Dynamex</w:t>
      </w:r>
      <w:r w:rsidRPr="00CC558A">
        <w:t xml:space="preserve"> remained unsettled, with several courts holding the “ABC” test applied only to claims based on wage orde</w:t>
      </w:r>
      <w:r w:rsidRPr="00CC558A">
        <w:t xml:space="preserve">rs, not the common law, as are the claims here.  (See </w:t>
      </w:r>
      <w:r w:rsidRPr="00CC558A">
        <w:rPr>
          <w:i/>
          <w:iCs/>
        </w:rPr>
        <w:t>Parada v. East Coast Transport Inc</w:t>
      </w:r>
      <w:r w:rsidRPr="00CC558A">
        <w:t xml:space="preserve">. (2021) 62 Cal.App.5th 692, 699, fn. 2.)  In 2020, the Legislature adopted the “ABC” standard for purposes of the entire Labor Code.  (Lab. Code, § 2775; </w:t>
      </w:r>
      <w:r w:rsidRPr="00CC558A">
        <w:rPr>
          <w:i/>
          <w:iCs/>
        </w:rPr>
        <w:t>Parada</w:t>
      </w:r>
      <w:r w:rsidRPr="00CC558A">
        <w:t>, at p.</w:t>
      </w:r>
      <w:r w:rsidRPr="00CC558A">
        <w:t> 699, fn. 2.)  In short, during the relevant time period, the law was not entirely settled.</w:t>
      </w:r>
    </w:p>
  </w:footnote>
  <w:footnote w:id="12">
    <w:p w14:paraId="581485F2" w14:textId="77777777" w:rsidR="00F35986" w:rsidRDefault="00962968" w:rsidP="00F35986">
      <w:pPr>
        <w:pStyle w:val="FootnoteText"/>
        <w:tabs>
          <w:tab w:val="left" w:pos="8226"/>
        </w:tabs>
      </w:pPr>
      <w:r>
        <w:rPr>
          <w:rStyle w:val="FootnoteReference"/>
        </w:rPr>
        <w:footnoteRef/>
      </w:r>
      <w:r>
        <w:t xml:space="preserve"> As discussed in greater detail in part II.F., </w:t>
      </w:r>
      <w:r>
        <w:rPr>
          <w:i/>
          <w:iCs/>
        </w:rPr>
        <w:t>post</w:t>
      </w:r>
      <w:r>
        <w:t>, section 203 provides for waiting time penalties when an employer “</w:t>
      </w:r>
      <w:r w:rsidRPr="00DD27BE">
        <w:t>willfully fails to pay</w:t>
      </w:r>
      <w:r>
        <w:t xml:space="preserve"> . . . </w:t>
      </w:r>
      <w:r w:rsidRPr="00DD27BE">
        <w:t>any wages of an</w:t>
      </w:r>
      <w:r w:rsidRPr="00DD27BE">
        <w:t xml:space="preserve"> employee who is discharged or who quits</w:t>
      </w:r>
      <w:r>
        <w:t>.”  (§ 203, subd. (a).)</w:t>
      </w:r>
    </w:p>
  </w:footnote>
  <w:footnote w:id="13">
    <w:p w14:paraId="266373C6" w14:textId="77777777" w:rsidR="004D2914" w:rsidRDefault="00962968">
      <w:pPr>
        <w:pStyle w:val="FootnoteText"/>
      </w:pPr>
      <w:r>
        <w:rPr>
          <w:rStyle w:val="FootnoteReference"/>
        </w:rPr>
        <w:footnoteRef/>
      </w:r>
      <w:r>
        <w:t xml:space="preserve"> Because we conclude plaintiffs are not authorized to pursue remedies under the Healthy Workplaces, Healthy Families Act in this action, we need not address plaintiffs’ argument regarding the</w:t>
      </w:r>
      <w:r>
        <w:t xml:space="preserve"> appropriate amount of administrative penalties.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F3CD" w14:textId="77777777" w:rsidR="009F6ECA" w:rsidRDefault="00962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C5B" w14:textId="77777777" w:rsidR="009F6ECA" w:rsidRDefault="00962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169" w14:textId="77777777" w:rsidR="009F6ECA" w:rsidRDefault="0096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BD4"/>
    <w:multiLevelType w:val="hybridMultilevel"/>
    <w:tmpl w:val="96083068"/>
    <w:lvl w:ilvl="0" w:tplc="A6463804">
      <w:start w:val="2"/>
      <w:numFmt w:val="bullet"/>
      <w:lvlText w:val="-"/>
      <w:lvlJc w:val="left"/>
      <w:pPr>
        <w:ind w:left="1080" w:hanging="360"/>
      </w:pPr>
      <w:rPr>
        <w:rFonts w:ascii="Century Schoolbook" w:eastAsiaTheme="minorHAnsi" w:hAnsi="Century Schoolbook" w:cs="Times New Roman" w:hint="default"/>
      </w:rPr>
    </w:lvl>
    <w:lvl w:ilvl="1" w:tplc="8428709E" w:tentative="1">
      <w:start w:val="1"/>
      <w:numFmt w:val="bullet"/>
      <w:lvlText w:val="o"/>
      <w:lvlJc w:val="left"/>
      <w:pPr>
        <w:ind w:left="1800" w:hanging="360"/>
      </w:pPr>
      <w:rPr>
        <w:rFonts w:ascii="Courier New" w:hAnsi="Courier New" w:cs="Courier New" w:hint="default"/>
      </w:rPr>
    </w:lvl>
    <w:lvl w:ilvl="2" w:tplc="D83CF848" w:tentative="1">
      <w:start w:val="1"/>
      <w:numFmt w:val="bullet"/>
      <w:lvlText w:val=""/>
      <w:lvlJc w:val="left"/>
      <w:pPr>
        <w:ind w:left="2520" w:hanging="360"/>
      </w:pPr>
      <w:rPr>
        <w:rFonts w:ascii="Wingdings" w:hAnsi="Wingdings" w:hint="default"/>
      </w:rPr>
    </w:lvl>
    <w:lvl w:ilvl="3" w:tplc="8878E8E8" w:tentative="1">
      <w:start w:val="1"/>
      <w:numFmt w:val="bullet"/>
      <w:lvlText w:val=""/>
      <w:lvlJc w:val="left"/>
      <w:pPr>
        <w:ind w:left="3240" w:hanging="360"/>
      </w:pPr>
      <w:rPr>
        <w:rFonts w:ascii="Symbol" w:hAnsi="Symbol" w:hint="default"/>
      </w:rPr>
    </w:lvl>
    <w:lvl w:ilvl="4" w:tplc="D11A7E5C" w:tentative="1">
      <w:start w:val="1"/>
      <w:numFmt w:val="bullet"/>
      <w:lvlText w:val="o"/>
      <w:lvlJc w:val="left"/>
      <w:pPr>
        <w:ind w:left="3960" w:hanging="360"/>
      </w:pPr>
      <w:rPr>
        <w:rFonts w:ascii="Courier New" w:hAnsi="Courier New" w:cs="Courier New" w:hint="default"/>
      </w:rPr>
    </w:lvl>
    <w:lvl w:ilvl="5" w:tplc="1A5A33C6" w:tentative="1">
      <w:start w:val="1"/>
      <w:numFmt w:val="bullet"/>
      <w:lvlText w:val=""/>
      <w:lvlJc w:val="left"/>
      <w:pPr>
        <w:ind w:left="4680" w:hanging="360"/>
      </w:pPr>
      <w:rPr>
        <w:rFonts w:ascii="Wingdings" w:hAnsi="Wingdings" w:hint="default"/>
      </w:rPr>
    </w:lvl>
    <w:lvl w:ilvl="6" w:tplc="92BE1488" w:tentative="1">
      <w:start w:val="1"/>
      <w:numFmt w:val="bullet"/>
      <w:lvlText w:val=""/>
      <w:lvlJc w:val="left"/>
      <w:pPr>
        <w:ind w:left="5400" w:hanging="360"/>
      </w:pPr>
      <w:rPr>
        <w:rFonts w:ascii="Symbol" w:hAnsi="Symbol" w:hint="default"/>
      </w:rPr>
    </w:lvl>
    <w:lvl w:ilvl="7" w:tplc="F5C8BFB6" w:tentative="1">
      <w:start w:val="1"/>
      <w:numFmt w:val="bullet"/>
      <w:lvlText w:val="o"/>
      <w:lvlJc w:val="left"/>
      <w:pPr>
        <w:ind w:left="6120" w:hanging="360"/>
      </w:pPr>
      <w:rPr>
        <w:rFonts w:ascii="Courier New" w:hAnsi="Courier New" w:cs="Courier New" w:hint="default"/>
      </w:rPr>
    </w:lvl>
    <w:lvl w:ilvl="8" w:tplc="508C70D6" w:tentative="1">
      <w:start w:val="1"/>
      <w:numFmt w:val="bullet"/>
      <w:lvlText w:val=""/>
      <w:lvlJc w:val="left"/>
      <w:pPr>
        <w:ind w:left="6840" w:hanging="360"/>
      </w:pPr>
      <w:rPr>
        <w:rFonts w:ascii="Wingdings" w:hAnsi="Wingdings" w:hint="default"/>
      </w:rPr>
    </w:lvl>
  </w:abstractNum>
  <w:abstractNum w:abstractNumId="1" w15:restartNumberingAfterBreak="0">
    <w:nsid w:val="23CB6CA6"/>
    <w:multiLevelType w:val="hybridMultilevel"/>
    <w:tmpl w:val="AD703D2A"/>
    <w:lvl w:ilvl="0" w:tplc="430A45DC">
      <w:start w:val="1"/>
      <w:numFmt w:val="upperLetter"/>
      <w:lvlText w:val="%1."/>
      <w:lvlJc w:val="left"/>
      <w:pPr>
        <w:ind w:left="720" w:hanging="360"/>
      </w:pPr>
      <w:rPr>
        <w:rFonts w:hint="default"/>
      </w:rPr>
    </w:lvl>
    <w:lvl w:ilvl="1" w:tplc="61322A24" w:tentative="1">
      <w:start w:val="1"/>
      <w:numFmt w:val="lowerLetter"/>
      <w:lvlText w:val="%2."/>
      <w:lvlJc w:val="left"/>
      <w:pPr>
        <w:ind w:left="1440" w:hanging="360"/>
      </w:pPr>
    </w:lvl>
    <w:lvl w:ilvl="2" w:tplc="F67A6FEE" w:tentative="1">
      <w:start w:val="1"/>
      <w:numFmt w:val="lowerRoman"/>
      <w:lvlText w:val="%3."/>
      <w:lvlJc w:val="right"/>
      <w:pPr>
        <w:ind w:left="2160" w:hanging="180"/>
      </w:pPr>
    </w:lvl>
    <w:lvl w:ilvl="3" w:tplc="6EC4BC48" w:tentative="1">
      <w:start w:val="1"/>
      <w:numFmt w:val="decimal"/>
      <w:lvlText w:val="%4."/>
      <w:lvlJc w:val="left"/>
      <w:pPr>
        <w:ind w:left="2880" w:hanging="360"/>
      </w:pPr>
    </w:lvl>
    <w:lvl w:ilvl="4" w:tplc="92B83D6E" w:tentative="1">
      <w:start w:val="1"/>
      <w:numFmt w:val="lowerLetter"/>
      <w:lvlText w:val="%5."/>
      <w:lvlJc w:val="left"/>
      <w:pPr>
        <w:ind w:left="3600" w:hanging="360"/>
      </w:pPr>
    </w:lvl>
    <w:lvl w:ilvl="5" w:tplc="385203E8" w:tentative="1">
      <w:start w:val="1"/>
      <w:numFmt w:val="lowerRoman"/>
      <w:lvlText w:val="%6."/>
      <w:lvlJc w:val="right"/>
      <w:pPr>
        <w:ind w:left="4320" w:hanging="180"/>
      </w:pPr>
    </w:lvl>
    <w:lvl w:ilvl="6" w:tplc="57B2C2B0" w:tentative="1">
      <w:start w:val="1"/>
      <w:numFmt w:val="decimal"/>
      <w:lvlText w:val="%7."/>
      <w:lvlJc w:val="left"/>
      <w:pPr>
        <w:ind w:left="5040" w:hanging="360"/>
      </w:pPr>
    </w:lvl>
    <w:lvl w:ilvl="7" w:tplc="77F428D2" w:tentative="1">
      <w:start w:val="1"/>
      <w:numFmt w:val="lowerLetter"/>
      <w:lvlText w:val="%8."/>
      <w:lvlJc w:val="left"/>
      <w:pPr>
        <w:ind w:left="5760" w:hanging="360"/>
      </w:pPr>
    </w:lvl>
    <w:lvl w:ilvl="8" w:tplc="7B0C1C14" w:tentative="1">
      <w:start w:val="1"/>
      <w:numFmt w:val="lowerRoman"/>
      <w:lvlText w:val="%9."/>
      <w:lvlJc w:val="right"/>
      <w:pPr>
        <w:ind w:left="6480" w:hanging="180"/>
      </w:pPr>
    </w:lvl>
  </w:abstractNum>
  <w:abstractNum w:abstractNumId="2" w15:restartNumberingAfterBreak="0">
    <w:nsid w:val="341A0468"/>
    <w:multiLevelType w:val="hybridMultilevel"/>
    <w:tmpl w:val="A888E776"/>
    <w:lvl w:ilvl="0" w:tplc="23F82BD8">
      <w:start w:val="1"/>
      <w:numFmt w:val="upperLetter"/>
      <w:lvlText w:val="%1."/>
      <w:lvlJc w:val="left"/>
      <w:pPr>
        <w:ind w:left="720" w:hanging="360"/>
      </w:pPr>
      <w:rPr>
        <w:rFonts w:hint="default"/>
        <w:b w:val="0"/>
      </w:rPr>
    </w:lvl>
    <w:lvl w:ilvl="1" w:tplc="6E226A06" w:tentative="1">
      <w:start w:val="1"/>
      <w:numFmt w:val="lowerLetter"/>
      <w:lvlText w:val="%2."/>
      <w:lvlJc w:val="left"/>
      <w:pPr>
        <w:ind w:left="1440" w:hanging="360"/>
      </w:pPr>
    </w:lvl>
    <w:lvl w:ilvl="2" w:tplc="0472F948" w:tentative="1">
      <w:start w:val="1"/>
      <w:numFmt w:val="lowerRoman"/>
      <w:lvlText w:val="%3."/>
      <w:lvlJc w:val="right"/>
      <w:pPr>
        <w:ind w:left="2160" w:hanging="180"/>
      </w:pPr>
    </w:lvl>
    <w:lvl w:ilvl="3" w:tplc="02FE4692" w:tentative="1">
      <w:start w:val="1"/>
      <w:numFmt w:val="decimal"/>
      <w:lvlText w:val="%4."/>
      <w:lvlJc w:val="left"/>
      <w:pPr>
        <w:ind w:left="2880" w:hanging="360"/>
      </w:pPr>
    </w:lvl>
    <w:lvl w:ilvl="4" w:tplc="E468F83E" w:tentative="1">
      <w:start w:val="1"/>
      <w:numFmt w:val="lowerLetter"/>
      <w:lvlText w:val="%5."/>
      <w:lvlJc w:val="left"/>
      <w:pPr>
        <w:ind w:left="3600" w:hanging="360"/>
      </w:pPr>
    </w:lvl>
    <w:lvl w:ilvl="5" w:tplc="F9246FE2" w:tentative="1">
      <w:start w:val="1"/>
      <w:numFmt w:val="lowerRoman"/>
      <w:lvlText w:val="%6."/>
      <w:lvlJc w:val="right"/>
      <w:pPr>
        <w:ind w:left="4320" w:hanging="180"/>
      </w:pPr>
    </w:lvl>
    <w:lvl w:ilvl="6" w:tplc="B4FE175A" w:tentative="1">
      <w:start w:val="1"/>
      <w:numFmt w:val="decimal"/>
      <w:lvlText w:val="%7."/>
      <w:lvlJc w:val="left"/>
      <w:pPr>
        <w:ind w:left="5040" w:hanging="360"/>
      </w:pPr>
    </w:lvl>
    <w:lvl w:ilvl="7" w:tplc="54D4DD92" w:tentative="1">
      <w:start w:val="1"/>
      <w:numFmt w:val="lowerLetter"/>
      <w:lvlText w:val="%8."/>
      <w:lvlJc w:val="left"/>
      <w:pPr>
        <w:ind w:left="5760" w:hanging="360"/>
      </w:pPr>
    </w:lvl>
    <w:lvl w:ilvl="8" w:tplc="ABFA3EE0" w:tentative="1">
      <w:start w:val="1"/>
      <w:numFmt w:val="lowerRoman"/>
      <w:lvlText w:val="%9."/>
      <w:lvlJc w:val="right"/>
      <w:pPr>
        <w:ind w:left="6480" w:hanging="180"/>
      </w:pPr>
    </w:lvl>
  </w:abstractNum>
  <w:abstractNum w:abstractNumId="3" w15:restartNumberingAfterBreak="0">
    <w:nsid w:val="5B7904BE"/>
    <w:multiLevelType w:val="hybridMultilevel"/>
    <w:tmpl w:val="1A86E83E"/>
    <w:lvl w:ilvl="0" w:tplc="67547C06">
      <w:start w:val="1"/>
      <w:numFmt w:val="bullet"/>
      <w:lvlText w:val="-"/>
      <w:lvlJc w:val="left"/>
      <w:pPr>
        <w:ind w:left="1080" w:hanging="360"/>
      </w:pPr>
      <w:rPr>
        <w:rFonts w:ascii="Century Schoolbook" w:eastAsiaTheme="minorHAnsi" w:hAnsi="Century Schoolbook" w:cs="Times New Roman" w:hint="default"/>
      </w:rPr>
    </w:lvl>
    <w:lvl w:ilvl="1" w:tplc="87B805E2">
      <w:start w:val="1"/>
      <w:numFmt w:val="bullet"/>
      <w:lvlText w:val="o"/>
      <w:lvlJc w:val="left"/>
      <w:pPr>
        <w:ind w:left="1800" w:hanging="360"/>
      </w:pPr>
      <w:rPr>
        <w:rFonts w:ascii="Courier New" w:hAnsi="Courier New" w:cs="Courier New" w:hint="default"/>
      </w:rPr>
    </w:lvl>
    <w:lvl w:ilvl="2" w:tplc="007E2636">
      <w:start w:val="1"/>
      <w:numFmt w:val="bullet"/>
      <w:lvlText w:val=""/>
      <w:lvlJc w:val="left"/>
      <w:pPr>
        <w:ind w:left="2520" w:hanging="360"/>
      </w:pPr>
      <w:rPr>
        <w:rFonts w:ascii="Wingdings" w:hAnsi="Wingdings" w:hint="default"/>
      </w:rPr>
    </w:lvl>
    <w:lvl w:ilvl="3" w:tplc="564E58DC" w:tentative="1">
      <w:start w:val="1"/>
      <w:numFmt w:val="bullet"/>
      <w:lvlText w:val=""/>
      <w:lvlJc w:val="left"/>
      <w:pPr>
        <w:ind w:left="3240" w:hanging="360"/>
      </w:pPr>
      <w:rPr>
        <w:rFonts w:ascii="Symbol" w:hAnsi="Symbol" w:hint="default"/>
      </w:rPr>
    </w:lvl>
    <w:lvl w:ilvl="4" w:tplc="5E20481E" w:tentative="1">
      <w:start w:val="1"/>
      <w:numFmt w:val="bullet"/>
      <w:lvlText w:val="o"/>
      <w:lvlJc w:val="left"/>
      <w:pPr>
        <w:ind w:left="3960" w:hanging="360"/>
      </w:pPr>
      <w:rPr>
        <w:rFonts w:ascii="Courier New" w:hAnsi="Courier New" w:cs="Courier New" w:hint="default"/>
      </w:rPr>
    </w:lvl>
    <w:lvl w:ilvl="5" w:tplc="0DDAD6B0" w:tentative="1">
      <w:start w:val="1"/>
      <w:numFmt w:val="bullet"/>
      <w:lvlText w:val=""/>
      <w:lvlJc w:val="left"/>
      <w:pPr>
        <w:ind w:left="4680" w:hanging="360"/>
      </w:pPr>
      <w:rPr>
        <w:rFonts w:ascii="Wingdings" w:hAnsi="Wingdings" w:hint="default"/>
      </w:rPr>
    </w:lvl>
    <w:lvl w:ilvl="6" w:tplc="C59EC9F6" w:tentative="1">
      <w:start w:val="1"/>
      <w:numFmt w:val="bullet"/>
      <w:lvlText w:val=""/>
      <w:lvlJc w:val="left"/>
      <w:pPr>
        <w:ind w:left="5400" w:hanging="360"/>
      </w:pPr>
      <w:rPr>
        <w:rFonts w:ascii="Symbol" w:hAnsi="Symbol" w:hint="default"/>
      </w:rPr>
    </w:lvl>
    <w:lvl w:ilvl="7" w:tplc="5588CB14" w:tentative="1">
      <w:start w:val="1"/>
      <w:numFmt w:val="bullet"/>
      <w:lvlText w:val="o"/>
      <w:lvlJc w:val="left"/>
      <w:pPr>
        <w:ind w:left="6120" w:hanging="360"/>
      </w:pPr>
      <w:rPr>
        <w:rFonts w:ascii="Courier New" w:hAnsi="Courier New" w:cs="Courier New" w:hint="default"/>
      </w:rPr>
    </w:lvl>
    <w:lvl w:ilvl="8" w:tplc="67827A8C" w:tentative="1">
      <w:start w:val="1"/>
      <w:numFmt w:val="bullet"/>
      <w:lvlText w:val=""/>
      <w:lvlJc w:val="left"/>
      <w:pPr>
        <w:ind w:left="6840" w:hanging="360"/>
      </w:pPr>
      <w:rPr>
        <w:rFonts w:ascii="Wingdings" w:hAnsi="Wingdings" w:hint="default"/>
      </w:rPr>
    </w:lvl>
  </w:abstractNum>
  <w:abstractNum w:abstractNumId="4" w15:restartNumberingAfterBreak="0">
    <w:nsid w:val="63B448BC"/>
    <w:multiLevelType w:val="hybridMultilevel"/>
    <w:tmpl w:val="EB5010D6"/>
    <w:lvl w:ilvl="0" w:tplc="EE1A1138">
      <w:start w:val="1"/>
      <w:numFmt w:val="upperLetter"/>
      <w:lvlText w:val="%1."/>
      <w:lvlJc w:val="left"/>
      <w:pPr>
        <w:ind w:left="1080" w:hanging="360"/>
      </w:pPr>
      <w:rPr>
        <w:rFonts w:hint="default"/>
      </w:rPr>
    </w:lvl>
    <w:lvl w:ilvl="1" w:tplc="06681ECE" w:tentative="1">
      <w:start w:val="1"/>
      <w:numFmt w:val="lowerLetter"/>
      <w:lvlText w:val="%2."/>
      <w:lvlJc w:val="left"/>
      <w:pPr>
        <w:ind w:left="1800" w:hanging="360"/>
      </w:pPr>
    </w:lvl>
    <w:lvl w:ilvl="2" w:tplc="4694F6DE" w:tentative="1">
      <w:start w:val="1"/>
      <w:numFmt w:val="lowerRoman"/>
      <w:lvlText w:val="%3."/>
      <w:lvlJc w:val="right"/>
      <w:pPr>
        <w:ind w:left="2520" w:hanging="180"/>
      </w:pPr>
    </w:lvl>
    <w:lvl w:ilvl="3" w:tplc="4E6853EC" w:tentative="1">
      <w:start w:val="1"/>
      <w:numFmt w:val="decimal"/>
      <w:lvlText w:val="%4."/>
      <w:lvlJc w:val="left"/>
      <w:pPr>
        <w:ind w:left="3240" w:hanging="360"/>
      </w:pPr>
    </w:lvl>
    <w:lvl w:ilvl="4" w:tplc="EAA667FA" w:tentative="1">
      <w:start w:val="1"/>
      <w:numFmt w:val="lowerLetter"/>
      <w:lvlText w:val="%5."/>
      <w:lvlJc w:val="left"/>
      <w:pPr>
        <w:ind w:left="3960" w:hanging="360"/>
      </w:pPr>
    </w:lvl>
    <w:lvl w:ilvl="5" w:tplc="59A0DB5A" w:tentative="1">
      <w:start w:val="1"/>
      <w:numFmt w:val="lowerRoman"/>
      <w:lvlText w:val="%6."/>
      <w:lvlJc w:val="right"/>
      <w:pPr>
        <w:ind w:left="4680" w:hanging="180"/>
      </w:pPr>
    </w:lvl>
    <w:lvl w:ilvl="6" w:tplc="CC3E0FC8" w:tentative="1">
      <w:start w:val="1"/>
      <w:numFmt w:val="decimal"/>
      <w:lvlText w:val="%7."/>
      <w:lvlJc w:val="left"/>
      <w:pPr>
        <w:ind w:left="5400" w:hanging="360"/>
      </w:pPr>
    </w:lvl>
    <w:lvl w:ilvl="7" w:tplc="AE00C594" w:tentative="1">
      <w:start w:val="1"/>
      <w:numFmt w:val="lowerLetter"/>
      <w:lvlText w:val="%8."/>
      <w:lvlJc w:val="left"/>
      <w:pPr>
        <w:ind w:left="6120" w:hanging="360"/>
      </w:pPr>
    </w:lvl>
    <w:lvl w:ilvl="8" w:tplc="6EDEADA8" w:tentative="1">
      <w:start w:val="1"/>
      <w:numFmt w:val="lowerRoman"/>
      <w:lvlText w:val="%9."/>
      <w:lvlJc w:val="right"/>
      <w:pPr>
        <w:ind w:left="6840" w:hanging="180"/>
      </w:pPr>
    </w:lvl>
  </w:abstractNum>
  <w:abstractNum w:abstractNumId="5" w15:restartNumberingAfterBreak="0">
    <w:nsid w:val="7CA463CF"/>
    <w:multiLevelType w:val="hybridMultilevel"/>
    <w:tmpl w:val="9830F976"/>
    <w:lvl w:ilvl="0" w:tplc="DA00C1A2">
      <w:start w:val="2"/>
      <w:numFmt w:val="bullet"/>
      <w:lvlText w:val="-"/>
      <w:lvlJc w:val="left"/>
      <w:pPr>
        <w:ind w:left="1080" w:hanging="360"/>
      </w:pPr>
      <w:rPr>
        <w:rFonts w:ascii="Times New Roman" w:eastAsiaTheme="minorHAnsi" w:hAnsi="Times New Roman" w:cs="Times New Roman" w:hint="default"/>
      </w:rPr>
    </w:lvl>
    <w:lvl w:ilvl="1" w:tplc="FC46B238" w:tentative="1">
      <w:start w:val="1"/>
      <w:numFmt w:val="bullet"/>
      <w:lvlText w:val="o"/>
      <w:lvlJc w:val="left"/>
      <w:pPr>
        <w:ind w:left="1800" w:hanging="360"/>
      </w:pPr>
      <w:rPr>
        <w:rFonts w:ascii="Courier New" w:hAnsi="Courier New" w:cs="Courier New" w:hint="default"/>
      </w:rPr>
    </w:lvl>
    <w:lvl w:ilvl="2" w:tplc="88186542" w:tentative="1">
      <w:start w:val="1"/>
      <w:numFmt w:val="bullet"/>
      <w:lvlText w:val=""/>
      <w:lvlJc w:val="left"/>
      <w:pPr>
        <w:ind w:left="2520" w:hanging="360"/>
      </w:pPr>
      <w:rPr>
        <w:rFonts w:ascii="Wingdings" w:hAnsi="Wingdings" w:hint="default"/>
      </w:rPr>
    </w:lvl>
    <w:lvl w:ilvl="3" w:tplc="253269E2" w:tentative="1">
      <w:start w:val="1"/>
      <w:numFmt w:val="bullet"/>
      <w:lvlText w:val=""/>
      <w:lvlJc w:val="left"/>
      <w:pPr>
        <w:ind w:left="3240" w:hanging="360"/>
      </w:pPr>
      <w:rPr>
        <w:rFonts w:ascii="Symbol" w:hAnsi="Symbol" w:hint="default"/>
      </w:rPr>
    </w:lvl>
    <w:lvl w:ilvl="4" w:tplc="5CBE564E" w:tentative="1">
      <w:start w:val="1"/>
      <w:numFmt w:val="bullet"/>
      <w:lvlText w:val="o"/>
      <w:lvlJc w:val="left"/>
      <w:pPr>
        <w:ind w:left="3960" w:hanging="360"/>
      </w:pPr>
      <w:rPr>
        <w:rFonts w:ascii="Courier New" w:hAnsi="Courier New" w:cs="Courier New" w:hint="default"/>
      </w:rPr>
    </w:lvl>
    <w:lvl w:ilvl="5" w:tplc="82B4C5C2" w:tentative="1">
      <w:start w:val="1"/>
      <w:numFmt w:val="bullet"/>
      <w:lvlText w:val=""/>
      <w:lvlJc w:val="left"/>
      <w:pPr>
        <w:ind w:left="4680" w:hanging="360"/>
      </w:pPr>
      <w:rPr>
        <w:rFonts w:ascii="Wingdings" w:hAnsi="Wingdings" w:hint="default"/>
      </w:rPr>
    </w:lvl>
    <w:lvl w:ilvl="6" w:tplc="20C0DF84" w:tentative="1">
      <w:start w:val="1"/>
      <w:numFmt w:val="bullet"/>
      <w:lvlText w:val=""/>
      <w:lvlJc w:val="left"/>
      <w:pPr>
        <w:ind w:left="5400" w:hanging="360"/>
      </w:pPr>
      <w:rPr>
        <w:rFonts w:ascii="Symbol" w:hAnsi="Symbol" w:hint="default"/>
      </w:rPr>
    </w:lvl>
    <w:lvl w:ilvl="7" w:tplc="62BC5812" w:tentative="1">
      <w:start w:val="1"/>
      <w:numFmt w:val="bullet"/>
      <w:lvlText w:val="o"/>
      <w:lvlJc w:val="left"/>
      <w:pPr>
        <w:ind w:left="6120" w:hanging="360"/>
      </w:pPr>
      <w:rPr>
        <w:rFonts w:ascii="Courier New" w:hAnsi="Courier New" w:cs="Courier New" w:hint="default"/>
      </w:rPr>
    </w:lvl>
    <w:lvl w:ilvl="8" w:tplc="3B466EDC"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65"/>
    <w:rsid w:val="00282865"/>
    <w:rsid w:val="00962968"/>
    <w:rsid w:val="00BC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65C"/>
    <w:pPr>
      <w:tabs>
        <w:tab w:val="center" w:pos="4680"/>
        <w:tab w:val="right" w:pos="9360"/>
      </w:tabs>
      <w:spacing w:line="240" w:lineRule="auto"/>
    </w:pPr>
  </w:style>
  <w:style w:type="character" w:customStyle="1" w:styleId="HeaderChar">
    <w:name w:val="Header Char"/>
    <w:basedOn w:val="DefaultParagraphFont"/>
    <w:link w:val="Header"/>
    <w:uiPriority w:val="99"/>
    <w:rsid w:val="00C0565C"/>
  </w:style>
  <w:style w:type="paragraph" w:styleId="Footer">
    <w:name w:val="footer"/>
    <w:basedOn w:val="Normal"/>
    <w:link w:val="FooterChar"/>
    <w:uiPriority w:val="99"/>
    <w:unhideWhenUsed/>
    <w:rsid w:val="00C0565C"/>
    <w:pPr>
      <w:tabs>
        <w:tab w:val="center" w:pos="4680"/>
        <w:tab w:val="right" w:pos="9360"/>
      </w:tabs>
      <w:spacing w:line="240" w:lineRule="auto"/>
    </w:pPr>
  </w:style>
  <w:style w:type="character" w:customStyle="1" w:styleId="FooterChar">
    <w:name w:val="Footer Char"/>
    <w:basedOn w:val="DefaultParagraphFont"/>
    <w:link w:val="Footer"/>
    <w:uiPriority w:val="99"/>
    <w:rsid w:val="00C0565C"/>
  </w:style>
  <w:style w:type="character" w:styleId="PageNumber">
    <w:name w:val="page number"/>
    <w:basedOn w:val="DefaultParagraphFont"/>
    <w:uiPriority w:val="99"/>
    <w:semiHidden/>
    <w:unhideWhenUsed/>
    <w:rsid w:val="00C0565C"/>
  </w:style>
  <w:style w:type="paragraph" w:styleId="FootnoteText">
    <w:name w:val="footnote text"/>
    <w:link w:val="FootnoteTextChar"/>
    <w:uiPriority w:val="99"/>
    <w:unhideWhenUsed/>
    <w:rsid w:val="00387DAB"/>
    <w:pPr>
      <w:spacing w:after="120" w:line="240" w:lineRule="auto"/>
      <w:ind w:firstLine="720"/>
    </w:pPr>
    <w:rPr>
      <w:rFonts w:ascii="Century Schoolbook" w:hAnsi="Century Schoolbook" w:cs="Times New Roman"/>
      <w:sz w:val="26"/>
      <w:szCs w:val="20"/>
    </w:rPr>
  </w:style>
  <w:style w:type="character" w:customStyle="1" w:styleId="FootnoteTextChar">
    <w:name w:val="Footnote Text Char"/>
    <w:basedOn w:val="DefaultParagraphFont"/>
    <w:link w:val="FootnoteText"/>
    <w:uiPriority w:val="99"/>
    <w:rsid w:val="00387DAB"/>
    <w:rPr>
      <w:rFonts w:ascii="Century Schoolbook" w:hAnsi="Century Schoolbook" w:cs="Times New Roman"/>
      <w:sz w:val="26"/>
      <w:szCs w:val="20"/>
    </w:rPr>
  </w:style>
  <w:style w:type="character" w:styleId="FootnoteReference">
    <w:name w:val="footnote reference"/>
    <w:basedOn w:val="DefaultParagraphFont"/>
    <w:uiPriority w:val="99"/>
    <w:unhideWhenUsed/>
    <w:rsid w:val="003C38B8"/>
    <w:rPr>
      <w:rFonts w:ascii="Century Schoolbook" w:hAnsi="Century Schoolbook"/>
      <w:vertAlign w:val="superscript"/>
    </w:rPr>
  </w:style>
  <w:style w:type="paragraph" w:styleId="ListParagraph">
    <w:name w:val="List Paragraph"/>
    <w:basedOn w:val="Normal"/>
    <w:uiPriority w:val="34"/>
    <w:qFormat/>
    <w:rsid w:val="00BE0B5D"/>
    <w:pPr>
      <w:ind w:left="720"/>
      <w:contextualSpacing/>
    </w:pPr>
  </w:style>
  <w:style w:type="character" w:styleId="CommentReference">
    <w:name w:val="annotation reference"/>
    <w:basedOn w:val="DefaultParagraphFont"/>
    <w:uiPriority w:val="99"/>
    <w:semiHidden/>
    <w:unhideWhenUsed/>
    <w:rsid w:val="00AF1947"/>
    <w:rPr>
      <w:sz w:val="16"/>
      <w:szCs w:val="16"/>
    </w:rPr>
  </w:style>
  <w:style w:type="paragraph" w:styleId="CommentText">
    <w:name w:val="annotation text"/>
    <w:basedOn w:val="Normal"/>
    <w:link w:val="CommentTextChar"/>
    <w:uiPriority w:val="99"/>
    <w:semiHidden/>
    <w:unhideWhenUsed/>
    <w:rsid w:val="00AF1947"/>
    <w:pPr>
      <w:spacing w:line="240" w:lineRule="auto"/>
    </w:pPr>
    <w:rPr>
      <w:sz w:val="20"/>
      <w:szCs w:val="20"/>
    </w:rPr>
  </w:style>
  <w:style w:type="character" w:customStyle="1" w:styleId="CommentTextChar">
    <w:name w:val="Comment Text Char"/>
    <w:basedOn w:val="DefaultParagraphFont"/>
    <w:link w:val="CommentText"/>
    <w:uiPriority w:val="99"/>
    <w:semiHidden/>
    <w:rsid w:val="00AF19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947"/>
    <w:rPr>
      <w:b/>
      <w:bCs/>
    </w:rPr>
  </w:style>
  <w:style w:type="character" w:customStyle="1" w:styleId="CommentSubjectChar">
    <w:name w:val="Comment Subject Char"/>
    <w:basedOn w:val="CommentTextChar"/>
    <w:link w:val="CommentSubject"/>
    <w:uiPriority w:val="99"/>
    <w:semiHidden/>
    <w:rsid w:val="00AF194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F19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7395</Words>
  <Characters>38905</Characters>
  <Application>Microsoft Office Word</Application>
  <DocSecurity>0</DocSecurity>
  <Lines>730</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2022-10-27T20:52:00Z</dcterms:created>
  <dcterms:modified xsi:type="dcterms:W3CDTF">2022-10-27T20:52:00Z</dcterms:modified>
  <cp:category/>
</cp:coreProperties>
</file>