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BEF1" w14:textId="36470DDB" w:rsidR="003E4633" w:rsidRDefault="00570B35" w:rsidP="00570B35">
      <w:pPr>
        <w:spacing w:line="240" w:lineRule="auto"/>
        <w:jc w:val="center"/>
        <w:rPr>
          <w:sz w:val="20"/>
        </w:rPr>
      </w:pPr>
      <w:r w:rsidRPr="00D31344">
        <w:rPr>
          <w:sz w:val="20"/>
        </w:rPr>
        <w:t xml:space="preserve">Filed </w:t>
      </w:r>
      <w:r>
        <w:rPr>
          <w:sz w:val="20"/>
        </w:rPr>
        <w:t xml:space="preserve">4/12/23 (unmodified </w:t>
      </w:r>
      <w:proofErr w:type="spellStart"/>
      <w:r>
        <w:rPr>
          <w:sz w:val="20"/>
        </w:rPr>
        <w:t>opn</w:t>
      </w:r>
      <w:proofErr w:type="spellEnd"/>
      <w:r>
        <w:rPr>
          <w:sz w:val="20"/>
        </w:rPr>
        <w:t>. attached)</w:t>
      </w:r>
      <w:r w:rsidRPr="00570B35">
        <w:rPr>
          <w:sz w:val="20"/>
        </w:rPr>
        <w:t>; REVIEW GRANTED.  See Cal. Rules of Court, rules 8.1105 and 8.1115 (and corresponding Comment, par. 2, concerning rule 8.1115(e)(3)).</w:t>
      </w:r>
    </w:p>
    <w:p w14:paraId="2091F18E" w14:textId="77777777" w:rsidR="003E4633" w:rsidRPr="00D31344" w:rsidRDefault="003E4633" w:rsidP="003E4633">
      <w:pPr>
        <w:spacing w:line="240" w:lineRule="auto"/>
        <w:rPr>
          <w:sz w:val="20"/>
        </w:rPr>
      </w:pPr>
    </w:p>
    <w:p w14:paraId="19EC8B70" w14:textId="77777777" w:rsidR="003E4633" w:rsidRPr="00D31344" w:rsidRDefault="00570B35" w:rsidP="003E4633">
      <w:pPr>
        <w:spacing w:line="240" w:lineRule="auto"/>
        <w:jc w:val="center"/>
        <w:rPr>
          <w:b/>
        </w:rPr>
      </w:pPr>
      <w:r w:rsidRPr="00D31344">
        <w:rPr>
          <w:b/>
        </w:rPr>
        <w:t>CERTIFIED FOR PUBLICATION</w:t>
      </w:r>
    </w:p>
    <w:p w14:paraId="22ADF9AB" w14:textId="77777777" w:rsidR="003E4633" w:rsidRPr="00D31344" w:rsidRDefault="003E4633" w:rsidP="003E4633">
      <w:pPr>
        <w:spacing w:line="240" w:lineRule="auto"/>
      </w:pPr>
    </w:p>
    <w:p w14:paraId="074FCE85" w14:textId="77777777" w:rsidR="003E4633" w:rsidRPr="00D31344" w:rsidRDefault="00570B35" w:rsidP="003E4633">
      <w:pPr>
        <w:spacing w:line="240" w:lineRule="auto"/>
        <w:jc w:val="center"/>
      </w:pPr>
      <w:r w:rsidRPr="00D31344">
        <w:t>IN THE COURT OF APPEAL OF THE STATE OF CALIFORNIA</w:t>
      </w:r>
    </w:p>
    <w:p w14:paraId="1BB27D0A" w14:textId="77777777" w:rsidR="003E4633" w:rsidRPr="00D31344" w:rsidRDefault="003E4633" w:rsidP="003E4633">
      <w:pPr>
        <w:spacing w:line="240" w:lineRule="auto"/>
        <w:jc w:val="center"/>
      </w:pPr>
    </w:p>
    <w:p w14:paraId="561B6E9B" w14:textId="04978FD7" w:rsidR="003E4633" w:rsidRPr="00D31344" w:rsidRDefault="00570B35" w:rsidP="00570B35">
      <w:pPr>
        <w:spacing w:line="240" w:lineRule="auto"/>
        <w:jc w:val="center"/>
      </w:pPr>
      <w:r w:rsidRPr="00D31344">
        <w:t>FIRST APPELLATE DISTRICT</w:t>
      </w:r>
    </w:p>
    <w:p w14:paraId="4215AC42" w14:textId="5EEB5137" w:rsidR="003E4633" w:rsidRPr="00D31344" w:rsidRDefault="00570B35" w:rsidP="00570B35">
      <w:pPr>
        <w:spacing w:line="240" w:lineRule="auto"/>
        <w:jc w:val="center"/>
      </w:pPr>
      <w:r w:rsidRPr="00D31344">
        <w:t>DIVISION FOUR</w:t>
      </w:r>
    </w:p>
    <w:p w14:paraId="547E3B77" w14:textId="77777777" w:rsidR="003E4633" w:rsidRPr="00D31344" w:rsidRDefault="003E4633" w:rsidP="003E4633">
      <w:pPr>
        <w:spacing w:line="240" w:lineRule="auto"/>
        <w:jc w:val="center"/>
      </w:pPr>
    </w:p>
    <w:tbl>
      <w:tblPr>
        <w:tblW w:w="0" w:type="auto"/>
        <w:tblLayout w:type="fixed"/>
        <w:tblLook w:val="0000" w:firstRow="0" w:lastRow="0" w:firstColumn="0" w:lastColumn="0" w:noHBand="0" w:noVBand="0"/>
      </w:tblPr>
      <w:tblGrid>
        <w:gridCol w:w="3960"/>
        <w:gridCol w:w="3960"/>
      </w:tblGrid>
      <w:tr w:rsidR="00815C05" w14:paraId="506D1E85" w14:textId="77777777" w:rsidTr="00DB122B">
        <w:tc>
          <w:tcPr>
            <w:tcW w:w="3960" w:type="dxa"/>
            <w:tcBorders>
              <w:bottom w:val="single" w:sz="4" w:space="0" w:color="auto"/>
              <w:right w:val="single" w:sz="4" w:space="0" w:color="auto"/>
            </w:tcBorders>
            <w:shd w:val="clear" w:color="auto" w:fill="auto"/>
          </w:tcPr>
          <w:p w14:paraId="09BC15C2" w14:textId="77777777" w:rsidR="003E4633" w:rsidRPr="00D31344" w:rsidRDefault="00570B35" w:rsidP="00DB122B">
            <w:pPr>
              <w:spacing w:after="120" w:line="240" w:lineRule="auto"/>
            </w:pPr>
            <w:r w:rsidRPr="00D31344">
              <w:t>HECTOR CASTELLANOS et al.,</w:t>
            </w:r>
          </w:p>
          <w:p w14:paraId="0F9B5892" w14:textId="77777777" w:rsidR="003E4633" w:rsidRPr="00D31344" w:rsidRDefault="00570B35" w:rsidP="00DB122B">
            <w:pPr>
              <w:spacing w:after="120" w:line="240" w:lineRule="auto"/>
            </w:pPr>
            <w:r w:rsidRPr="00D31344">
              <w:tab/>
              <w:t>Plaintiffs and Respondents,</w:t>
            </w:r>
          </w:p>
          <w:p w14:paraId="55A18924" w14:textId="77777777" w:rsidR="003E4633" w:rsidRPr="00D31344" w:rsidRDefault="00570B35" w:rsidP="00DB122B">
            <w:pPr>
              <w:spacing w:after="120" w:line="240" w:lineRule="auto"/>
            </w:pPr>
            <w:r w:rsidRPr="00D31344">
              <w:t>v.</w:t>
            </w:r>
          </w:p>
          <w:p w14:paraId="31171B72" w14:textId="77777777" w:rsidR="003E4633" w:rsidRPr="00D31344" w:rsidRDefault="00570B35" w:rsidP="00DB122B">
            <w:pPr>
              <w:spacing w:after="120" w:line="240" w:lineRule="auto"/>
            </w:pPr>
            <w:r w:rsidRPr="00D31344">
              <w:t>STATE OF CALIFORNIA et al.,</w:t>
            </w:r>
          </w:p>
          <w:p w14:paraId="5E84B76F" w14:textId="77777777" w:rsidR="003E4633" w:rsidRPr="00D31344" w:rsidRDefault="00570B35" w:rsidP="00DB122B">
            <w:pPr>
              <w:spacing w:line="240" w:lineRule="auto"/>
            </w:pPr>
            <w:r w:rsidRPr="00D31344">
              <w:tab/>
            </w:r>
            <w:r w:rsidRPr="00D31344">
              <w:t xml:space="preserve">Defendants and </w:t>
            </w:r>
            <w:proofErr w:type="gramStart"/>
            <w:r w:rsidRPr="00D31344">
              <w:t>Appellants</w:t>
            </w:r>
            <w:r>
              <w:t>;</w:t>
            </w:r>
            <w:proofErr w:type="gramEnd"/>
          </w:p>
          <w:p w14:paraId="247E010E" w14:textId="77777777" w:rsidR="003E4633" w:rsidRPr="00D31344" w:rsidRDefault="003E4633" w:rsidP="00DB122B">
            <w:pPr>
              <w:spacing w:line="240" w:lineRule="auto"/>
            </w:pPr>
          </w:p>
          <w:p w14:paraId="10FB46DD" w14:textId="77777777" w:rsidR="003E4633" w:rsidRPr="00D31344" w:rsidRDefault="00570B35" w:rsidP="00DB122B">
            <w:pPr>
              <w:spacing w:after="120" w:line="240" w:lineRule="auto"/>
            </w:pPr>
            <w:r w:rsidRPr="00D31344">
              <w:t>PROTECT APP-BASED DRIVERS AND SERVICES et al.,</w:t>
            </w:r>
          </w:p>
          <w:p w14:paraId="12DA386C" w14:textId="77777777" w:rsidR="003E4633" w:rsidRPr="00D31344" w:rsidRDefault="00570B35" w:rsidP="00DB122B">
            <w:pPr>
              <w:spacing w:after="120" w:line="240" w:lineRule="auto"/>
            </w:pPr>
            <w:r w:rsidRPr="00D31344">
              <w:tab/>
              <w:t>Interveners and Appellants.</w:t>
            </w:r>
          </w:p>
        </w:tc>
        <w:tc>
          <w:tcPr>
            <w:tcW w:w="3960" w:type="dxa"/>
            <w:tcBorders>
              <w:left w:val="single" w:sz="4" w:space="0" w:color="auto"/>
            </w:tcBorders>
            <w:shd w:val="clear" w:color="auto" w:fill="auto"/>
          </w:tcPr>
          <w:p w14:paraId="58B33A2F" w14:textId="77777777" w:rsidR="003E4633" w:rsidRPr="00D31344" w:rsidRDefault="003E4633" w:rsidP="00DB122B">
            <w:pPr>
              <w:tabs>
                <w:tab w:val="clear" w:pos="720"/>
                <w:tab w:val="left" w:pos="321"/>
              </w:tabs>
              <w:spacing w:line="240" w:lineRule="auto"/>
            </w:pPr>
          </w:p>
          <w:p w14:paraId="6ECC0AB1" w14:textId="77777777" w:rsidR="003E4633" w:rsidRPr="00D31344" w:rsidRDefault="003E4633" w:rsidP="00DB122B">
            <w:pPr>
              <w:tabs>
                <w:tab w:val="clear" w:pos="720"/>
                <w:tab w:val="left" w:pos="74"/>
                <w:tab w:val="left" w:pos="321"/>
              </w:tabs>
              <w:spacing w:after="120" w:line="240" w:lineRule="auto"/>
            </w:pPr>
          </w:p>
          <w:p w14:paraId="24C31E8A" w14:textId="77777777" w:rsidR="003E4633" w:rsidRPr="00D31344" w:rsidRDefault="00570B35" w:rsidP="00DB122B">
            <w:pPr>
              <w:tabs>
                <w:tab w:val="clear" w:pos="720"/>
                <w:tab w:val="left" w:pos="321"/>
              </w:tabs>
              <w:spacing w:line="240" w:lineRule="auto"/>
            </w:pPr>
            <w:r>
              <w:tab/>
            </w:r>
            <w:r w:rsidRPr="00D31344">
              <w:t>A163655</w:t>
            </w:r>
          </w:p>
          <w:p w14:paraId="6C775FE2" w14:textId="77777777" w:rsidR="003E4633" w:rsidRPr="00D31344" w:rsidRDefault="003E4633" w:rsidP="00DB122B">
            <w:pPr>
              <w:tabs>
                <w:tab w:val="clear" w:pos="720"/>
                <w:tab w:val="left" w:pos="74"/>
                <w:tab w:val="left" w:pos="164"/>
                <w:tab w:val="left" w:pos="321"/>
              </w:tabs>
              <w:spacing w:line="240" w:lineRule="auto"/>
            </w:pPr>
          </w:p>
          <w:p w14:paraId="3AA65371" w14:textId="77777777" w:rsidR="003E4633" w:rsidRPr="00D31344" w:rsidRDefault="00570B35" w:rsidP="00DB122B">
            <w:pPr>
              <w:tabs>
                <w:tab w:val="clear" w:pos="720"/>
                <w:tab w:val="left" w:pos="321"/>
              </w:tabs>
              <w:spacing w:line="240" w:lineRule="auto"/>
            </w:pPr>
            <w:r>
              <w:tab/>
            </w:r>
            <w:r w:rsidRPr="00D31344">
              <w:t>(Alameda County</w:t>
            </w:r>
          </w:p>
          <w:p w14:paraId="19DBF716" w14:textId="77777777" w:rsidR="003E4633" w:rsidRDefault="00570B35" w:rsidP="00DB122B">
            <w:pPr>
              <w:tabs>
                <w:tab w:val="clear" w:pos="720"/>
                <w:tab w:val="left" w:pos="321"/>
              </w:tabs>
              <w:spacing w:line="240" w:lineRule="auto"/>
            </w:pPr>
            <w:r>
              <w:tab/>
            </w:r>
            <w:r w:rsidRPr="00D31344">
              <w:t>Super. Ct. No.</w:t>
            </w:r>
            <w:r>
              <w:t xml:space="preserve"> </w:t>
            </w:r>
            <w:r w:rsidRPr="00D31344">
              <w:t>RG21088725)</w:t>
            </w:r>
          </w:p>
          <w:p w14:paraId="26A2C316" w14:textId="77777777" w:rsidR="003E4633" w:rsidRDefault="003E4633" w:rsidP="00DB122B">
            <w:pPr>
              <w:tabs>
                <w:tab w:val="clear" w:pos="720"/>
                <w:tab w:val="left" w:pos="321"/>
              </w:tabs>
              <w:spacing w:line="240" w:lineRule="auto"/>
            </w:pPr>
          </w:p>
          <w:p w14:paraId="4D22F065" w14:textId="77777777" w:rsidR="003E4633" w:rsidRPr="00202759" w:rsidRDefault="00570B35" w:rsidP="00DB122B">
            <w:pPr>
              <w:tabs>
                <w:tab w:val="clear" w:pos="720"/>
                <w:tab w:val="left" w:pos="321"/>
                <w:tab w:val="left" w:pos="429"/>
              </w:tabs>
              <w:spacing w:before="120" w:line="240" w:lineRule="auto"/>
              <w:rPr>
                <w:b/>
                <w:bCs/>
              </w:rPr>
            </w:pPr>
            <w:r>
              <w:tab/>
            </w:r>
            <w:r w:rsidRPr="00202759">
              <w:rPr>
                <w:b/>
                <w:bCs/>
              </w:rPr>
              <w:t xml:space="preserve">ORDER MODIFYING </w:t>
            </w:r>
            <w:r w:rsidRPr="00202759">
              <w:rPr>
                <w:b/>
                <w:bCs/>
              </w:rPr>
              <w:tab/>
            </w:r>
            <w:r w:rsidRPr="0024652C">
              <w:rPr>
                <w:b/>
                <w:bCs/>
              </w:rPr>
              <w:t>OPINION; NO</w:t>
            </w:r>
            <w:r w:rsidRPr="00202759">
              <w:rPr>
                <w:b/>
                <w:bCs/>
              </w:rPr>
              <w:t xml:space="preserve"> CHANGE </w:t>
            </w:r>
            <w:r w:rsidRPr="00202759">
              <w:rPr>
                <w:b/>
                <w:bCs/>
              </w:rPr>
              <w:tab/>
              <w:t>IN JUDGMENT</w:t>
            </w:r>
          </w:p>
        </w:tc>
      </w:tr>
    </w:tbl>
    <w:p w14:paraId="0538A744" w14:textId="77777777" w:rsidR="003E4633" w:rsidRDefault="00570B35" w:rsidP="003E4633">
      <w:pPr>
        <w:tabs>
          <w:tab w:val="clear" w:pos="720"/>
          <w:tab w:val="left" w:pos="1080"/>
        </w:tabs>
        <w:spacing w:before="120" w:after="120" w:line="240" w:lineRule="auto"/>
        <w:ind w:left="720"/>
        <w:rPr>
          <w:rFonts w:eastAsia="Times New Roman" w:cs="Times New Roman"/>
          <w:color w:val="000000"/>
        </w:rPr>
      </w:pPr>
      <w:r>
        <w:rPr>
          <w:rFonts w:eastAsia="Times New Roman" w:cs="Times New Roman"/>
          <w:color w:val="000000"/>
        </w:rPr>
        <w:t>THE COURT</w:t>
      </w:r>
      <w:r>
        <w:rPr>
          <w:rStyle w:val="FootnoteReference"/>
          <w:rFonts w:eastAsia="Times New Roman" w:cs="Times New Roman"/>
          <w:color w:val="000000"/>
        </w:rPr>
        <w:footnoteReference w:customMarkFollows="1" w:id="2"/>
        <w:t>*</w:t>
      </w:r>
      <w:r>
        <w:rPr>
          <w:rFonts w:eastAsia="Times New Roman" w:cs="Times New Roman"/>
          <w:color w:val="000000"/>
        </w:rPr>
        <w:t>:</w:t>
      </w:r>
    </w:p>
    <w:p w14:paraId="69759219" w14:textId="77777777" w:rsidR="003E4633" w:rsidRDefault="00570B35" w:rsidP="003E4633">
      <w:pPr>
        <w:tabs>
          <w:tab w:val="clear" w:pos="720"/>
        </w:tabs>
        <w:spacing w:after="120" w:line="240" w:lineRule="auto"/>
        <w:ind w:left="1260" w:hanging="540"/>
        <w:rPr>
          <w:rFonts w:eastAsia="Times New Roman" w:cs="Times New Roman"/>
          <w:color w:val="000000"/>
        </w:rPr>
      </w:pPr>
      <w:r>
        <w:rPr>
          <w:rFonts w:eastAsia="Times New Roman" w:cs="Times New Roman"/>
          <w:color w:val="000000"/>
        </w:rPr>
        <w:t xml:space="preserve">The concurrence and </w:t>
      </w:r>
      <w:r>
        <w:rPr>
          <w:rFonts w:eastAsia="Times New Roman" w:cs="Times New Roman"/>
          <w:color w:val="000000"/>
        </w:rPr>
        <w:t>dissent to this opinion filed on March 13, 2023, is modified as follows:</w:t>
      </w:r>
    </w:p>
    <w:p w14:paraId="5E72C456" w14:textId="77777777" w:rsidR="003E4633" w:rsidRDefault="00570B35" w:rsidP="003E4633">
      <w:pPr>
        <w:tabs>
          <w:tab w:val="clear" w:pos="720"/>
          <w:tab w:val="left" w:pos="1620"/>
        </w:tabs>
        <w:spacing w:after="120" w:line="240" w:lineRule="auto"/>
        <w:ind w:left="1620" w:hanging="360"/>
      </w:pPr>
      <w:r>
        <w:t>1.</w:t>
      </w:r>
      <w:r>
        <w:tab/>
        <w:t>On page 18 of the concurrence and dissent, in second full paragraph (which begins</w:t>
      </w:r>
      <w:proofErr w:type="gramStart"/>
      <w:r>
        <w:t>:  “</w:t>
      </w:r>
      <w:proofErr w:type="gramEnd"/>
      <w:r>
        <w:t>The deficiency I see here is structural.”), in the last sentence of text, change the state cons</w:t>
      </w:r>
      <w:r>
        <w:t xml:space="preserve">titutional </w:t>
      </w:r>
      <w:r>
        <w:lastRenderedPageBreak/>
        <w:t>reference at the end of that sentence from “article XIV, section 4” to “article XII, section 5” so the sentence reads:</w:t>
      </w:r>
    </w:p>
    <w:p w14:paraId="73E30FB9" w14:textId="77777777" w:rsidR="003E4633" w:rsidRDefault="00570B35" w:rsidP="003E4633">
      <w:pPr>
        <w:tabs>
          <w:tab w:val="clear" w:pos="720"/>
          <w:tab w:val="left" w:pos="1620"/>
        </w:tabs>
        <w:spacing w:after="120" w:line="240" w:lineRule="auto"/>
        <w:ind w:left="1980"/>
        <w:rPr>
          <w:rFonts w:eastAsia="Times New Roman" w:cs="Times New Roman"/>
          <w:color w:val="000000"/>
        </w:rPr>
      </w:pPr>
      <w:r>
        <w:t>Because voter “</w:t>
      </w:r>
      <w:r w:rsidRPr="00FB6FFD">
        <w:t>electors</w:t>
      </w:r>
      <w:r>
        <w:t>”</w:t>
      </w:r>
      <w:r w:rsidRPr="00FB6FFD">
        <w:t xml:space="preserve"> and the </w:t>
      </w:r>
      <w:r>
        <w:t>“</w:t>
      </w:r>
      <w:r w:rsidRPr="00FB6FFD">
        <w:t>Legislature</w:t>
      </w:r>
      <w:r>
        <w:t xml:space="preserve">” share the police power, they may each legislate </w:t>
      </w:r>
      <w:proofErr w:type="gramStart"/>
      <w:r>
        <w:t>on the subject of workers’</w:t>
      </w:r>
      <w:proofErr w:type="gramEnd"/>
      <w:r>
        <w:t xml:space="preserve"> comp</w:t>
      </w:r>
      <w:r>
        <w:t xml:space="preserve">ensation, which is why our Supreme Court has held that </w:t>
      </w:r>
      <w:r>
        <w:rPr>
          <w:rFonts w:eastAsia="Times New Roman" w:cs="Times New Roman"/>
          <w:color w:val="000000"/>
        </w:rPr>
        <w:t xml:space="preserve">the </w:t>
      </w:r>
      <w:r w:rsidRPr="002E4E12">
        <w:rPr>
          <w:rFonts w:eastAsia="Times New Roman" w:cs="Times New Roman"/>
          <w:color w:val="000000"/>
        </w:rPr>
        <w:t>article</w:t>
      </w:r>
      <w:r>
        <w:rPr>
          <w:rFonts w:eastAsia="Times New Roman" w:cs="Times New Roman"/>
          <w:color w:val="000000"/>
        </w:rPr>
        <w:t> </w:t>
      </w:r>
      <w:r w:rsidRPr="002E4E12">
        <w:rPr>
          <w:rFonts w:eastAsia="Times New Roman" w:cs="Times New Roman"/>
          <w:color w:val="000000"/>
        </w:rPr>
        <w:t>II, section 8(a)</w:t>
      </w:r>
      <w:r>
        <w:rPr>
          <w:rFonts w:eastAsia="Times New Roman" w:cs="Times New Roman"/>
          <w:color w:val="000000"/>
        </w:rPr>
        <w:t xml:space="preserve"> power to adopt initiative statutes is “encompass[ed]” within the </w:t>
      </w:r>
      <w:r w:rsidRPr="00B439F2">
        <w:rPr>
          <w:rFonts w:eastAsia="Times New Roman" w:cs="Times New Roman"/>
          <w:color w:val="000000"/>
        </w:rPr>
        <w:t>Legislature’s article</w:t>
      </w:r>
      <w:r>
        <w:rPr>
          <w:rFonts w:eastAsia="Times New Roman" w:cs="Times New Roman"/>
          <w:color w:val="000000"/>
        </w:rPr>
        <w:t> </w:t>
      </w:r>
      <w:r w:rsidRPr="00B439F2">
        <w:rPr>
          <w:rFonts w:eastAsia="Times New Roman" w:cs="Times New Roman"/>
          <w:color w:val="000000"/>
        </w:rPr>
        <w:t>XII, section 5 power</w:t>
      </w:r>
      <w:r>
        <w:rPr>
          <w:rFonts w:eastAsia="Times New Roman" w:cs="Times New Roman"/>
          <w:color w:val="000000"/>
        </w:rPr>
        <w:t>.</w:t>
      </w:r>
    </w:p>
    <w:p w14:paraId="68DF2F68" w14:textId="77777777" w:rsidR="003E4633" w:rsidRDefault="00570B35" w:rsidP="003E4633">
      <w:pPr>
        <w:tabs>
          <w:tab w:val="clear" w:pos="720"/>
          <w:tab w:val="left" w:pos="1620"/>
        </w:tabs>
        <w:spacing w:after="120" w:line="240" w:lineRule="auto"/>
        <w:ind w:left="1620" w:hanging="360"/>
        <w:rPr>
          <w:rFonts w:eastAsia="Times New Roman" w:cs="Times New Roman"/>
          <w:color w:val="000000"/>
        </w:rPr>
      </w:pPr>
      <w:r>
        <w:rPr>
          <w:rFonts w:eastAsia="Times New Roman" w:cs="Times New Roman"/>
          <w:color w:val="000000"/>
        </w:rPr>
        <w:t>2.</w:t>
      </w:r>
      <w:r>
        <w:rPr>
          <w:rFonts w:eastAsia="Times New Roman" w:cs="Times New Roman"/>
          <w:color w:val="000000"/>
        </w:rPr>
        <w:tab/>
        <w:t>On page 20 of the concurrence and dissent, in the partial pa</w:t>
      </w:r>
      <w:r>
        <w:rPr>
          <w:rFonts w:eastAsia="Times New Roman" w:cs="Times New Roman"/>
          <w:color w:val="000000"/>
        </w:rPr>
        <w:t>ragraph at the top of the page, delete the phrase “workers’ compensation matters” and insert in its place the phrase “matters falling within the scope of that provision” so that it reads:</w:t>
      </w:r>
    </w:p>
    <w:p w14:paraId="552A84B8" w14:textId="77777777" w:rsidR="003E4633" w:rsidRPr="00F838E1" w:rsidRDefault="00570B35" w:rsidP="003E4633">
      <w:pPr>
        <w:tabs>
          <w:tab w:val="clear" w:pos="720"/>
          <w:tab w:val="left" w:pos="1620"/>
        </w:tabs>
        <w:spacing w:after="120" w:line="240" w:lineRule="auto"/>
        <w:ind w:left="1980"/>
      </w:pPr>
      <w:r w:rsidRPr="005F73C0">
        <w:t>pointed out that the electors’ ability to adopt statutes by initiati</w:t>
      </w:r>
      <w:r w:rsidRPr="005F73C0">
        <w:t>ve is a “similar power” to that of the Legislature under article XII, section 5 (</w:t>
      </w:r>
      <w:r w:rsidRPr="001B248F">
        <w:rPr>
          <w:i/>
          <w:iCs/>
        </w:rPr>
        <w:t>McPherson</w:t>
      </w:r>
      <w:r w:rsidRPr="005F73C0">
        <w:t xml:space="preserve">, </w:t>
      </w:r>
      <w:r w:rsidRPr="001B248F">
        <w:rPr>
          <w:i/>
          <w:iCs/>
        </w:rPr>
        <w:t>supra</w:t>
      </w:r>
      <w:r w:rsidRPr="005F73C0">
        <w:t xml:space="preserve">, 38 Cal.4th at p. 1033), not that the electors are “the Legislature” when they legislate on matters falling within the scope of that provision, having simply </w:t>
      </w:r>
      <w:r w:rsidRPr="005F73C0">
        <w:t>stepped into the shoes of the Legislature, clothed with article</w:t>
      </w:r>
      <w:r>
        <w:t> </w:t>
      </w:r>
      <w:r w:rsidRPr="005F73C0">
        <w:t>XII, section 5, authority.</w:t>
      </w:r>
    </w:p>
    <w:p w14:paraId="5B325BD0" w14:textId="77777777" w:rsidR="003E4633" w:rsidRDefault="00570B35" w:rsidP="003E4633">
      <w:pPr>
        <w:tabs>
          <w:tab w:val="clear" w:pos="720"/>
          <w:tab w:val="left" w:pos="1620"/>
        </w:tabs>
        <w:spacing w:after="120" w:line="240" w:lineRule="auto"/>
        <w:ind w:left="1620" w:hanging="360"/>
        <w:rPr>
          <w:rFonts w:eastAsia="Times New Roman" w:cs="Times New Roman"/>
          <w:color w:val="000000"/>
        </w:rPr>
      </w:pPr>
      <w:r>
        <w:rPr>
          <w:rFonts w:eastAsia="Times New Roman" w:cs="Times New Roman"/>
          <w:color w:val="000000"/>
        </w:rPr>
        <w:t>3.</w:t>
      </w:r>
      <w:r>
        <w:rPr>
          <w:rFonts w:eastAsia="Times New Roman" w:cs="Times New Roman"/>
          <w:color w:val="000000"/>
        </w:rPr>
        <w:tab/>
        <w:t>On page 43 of the concurrence and dissent, in the first full paragraph (which begins</w:t>
      </w:r>
      <w:proofErr w:type="gramStart"/>
      <w:r>
        <w:rPr>
          <w:rFonts w:eastAsia="Times New Roman" w:cs="Times New Roman"/>
          <w:color w:val="000000"/>
        </w:rPr>
        <w:t>:  “</w:t>
      </w:r>
      <w:proofErr w:type="gramEnd"/>
      <w:r>
        <w:rPr>
          <w:rFonts w:eastAsia="Times New Roman" w:cs="Times New Roman"/>
          <w:color w:val="000000"/>
        </w:rPr>
        <w:t xml:space="preserve">Disagreeing with me on this point, . . .”), in the last sentence of text, </w:t>
      </w:r>
      <w:r>
        <w:rPr>
          <w:rFonts w:eastAsia="Times New Roman" w:cs="Times New Roman"/>
          <w:color w:val="000000"/>
        </w:rPr>
        <w:t>change the word “appeared” to “appears” so that it reads:</w:t>
      </w:r>
    </w:p>
    <w:p w14:paraId="35F913A7" w14:textId="77777777" w:rsidR="003E4633" w:rsidRPr="00D31344" w:rsidRDefault="00570B35" w:rsidP="003E4633">
      <w:pPr>
        <w:tabs>
          <w:tab w:val="clear" w:pos="720"/>
          <w:tab w:val="left" w:pos="1620"/>
        </w:tabs>
        <w:spacing w:after="120" w:line="240" w:lineRule="auto"/>
        <w:ind w:left="1980"/>
      </w:pPr>
      <w:r w:rsidRPr="0019202F">
        <w:t>Nor do these cases give any reason for why the binding effect clause should be read as an implicit partial definition of “employer,” a term that appears nowhere in the constitutional language and wa</w:t>
      </w:r>
      <w:r w:rsidRPr="0019202F">
        <w:t>s already fully defined in the statutory scheme the voters ratified in 1918.</w:t>
      </w:r>
    </w:p>
    <w:p w14:paraId="2F73C662" w14:textId="77777777" w:rsidR="003E4633" w:rsidRDefault="00570B35" w:rsidP="003E4633">
      <w:pPr>
        <w:tabs>
          <w:tab w:val="left" w:pos="5760"/>
        </w:tabs>
        <w:spacing w:after="120" w:line="240" w:lineRule="auto"/>
      </w:pPr>
      <w:r>
        <w:tab/>
        <w:t>The modifications effect no change in the judgment.</w:t>
      </w:r>
    </w:p>
    <w:p w14:paraId="078E79D8" w14:textId="77777777" w:rsidR="003E4633" w:rsidRPr="00D31344" w:rsidRDefault="00570B35" w:rsidP="003E4633">
      <w:pPr>
        <w:tabs>
          <w:tab w:val="left" w:pos="5760"/>
        </w:tabs>
        <w:spacing w:line="240" w:lineRule="auto"/>
      </w:pPr>
      <w:r>
        <w:t>Dated:  April 12, 2023</w:t>
      </w:r>
    </w:p>
    <w:p w14:paraId="7FE4F795" w14:textId="77777777" w:rsidR="003E4633" w:rsidRPr="00D31344" w:rsidRDefault="003E4633" w:rsidP="003E4633">
      <w:pPr>
        <w:tabs>
          <w:tab w:val="left" w:pos="5760"/>
        </w:tabs>
        <w:spacing w:line="240" w:lineRule="auto"/>
        <w:sectPr w:rsidR="003E4633" w:rsidRPr="00D31344" w:rsidSect="008C15C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2160" w:bottom="1440" w:left="2160" w:header="720" w:footer="720" w:gutter="0"/>
          <w:pgNumType w:start="1"/>
          <w:cols w:space="720"/>
          <w:docGrid w:linePitch="360"/>
        </w:sectPr>
      </w:pPr>
    </w:p>
    <w:p w14:paraId="0DFAFE1A" w14:textId="77777777" w:rsidR="003E4633" w:rsidRPr="00D31344" w:rsidRDefault="00570B35" w:rsidP="003E4633">
      <w:pPr>
        <w:tabs>
          <w:tab w:val="left" w:pos="1620"/>
        </w:tabs>
        <w:spacing w:line="240" w:lineRule="auto"/>
      </w:pPr>
      <w:r w:rsidRPr="00D31344">
        <w:lastRenderedPageBreak/>
        <w:t>Trial Court:</w:t>
      </w:r>
      <w:r w:rsidRPr="00D31344">
        <w:tab/>
        <w:t>Superior Court of California, County of Alameda</w:t>
      </w:r>
    </w:p>
    <w:p w14:paraId="70F2DF5E" w14:textId="77777777" w:rsidR="003E4633" w:rsidRPr="00D31344" w:rsidRDefault="003E4633" w:rsidP="003E4633">
      <w:pPr>
        <w:tabs>
          <w:tab w:val="clear" w:pos="720"/>
          <w:tab w:val="left" w:pos="1620"/>
        </w:tabs>
        <w:spacing w:line="240" w:lineRule="auto"/>
        <w:ind w:left="2160" w:hanging="2160"/>
      </w:pPr>
    </w:p>
    <w:p w14:paraId="307014A2" w14:textId="77777777" w:rsidR="003E4633" w:rsidRPr="00D31344" w:rsidRDefault="00570B35" w:rsidP="003E4633">
      <w:pPr>
        <w:tabs>
          <w:tab w:val="clear" w:pos="720"/>
          <w:tab w:val="left" w:pos="1620"/>
        </w:tabs>
        <w:spacing w:line="240" w:lineRule="auto"/>
        <w:ind w:left="2160" w:hanging="2160"/>
      </w:pPr>
      <w:r w:rsidRPr="00D31344">
        <w:t>Trial Judge:</w:t>
      </w:r>
      <w:r w:rsidRPr="00D31344">
        <w:tab/>
        <w:t xml:space="preserve">Hon. Frank </w:t>
      </w:r>
      <w:proofErr w:type="spellStart"/>
      <w:r w:rsidRPr="00D31344">
        <w:t>Roesch</w:t>
      </w:r>
      <w:proofErr w:type="spellEnd"/>
    </w:p>
    <w:p w14:paraId="56D44B83" w14:textId="77777777" w:rsidR="003E4633" w:rsidRPr="00D31344" w:rsidRDefault="003E4633" w:rsidP="003E4633">
      <w:pPr>
        <w:tabs>
          <w:tab w:val="clear" w:pos="720"/>
          <w:tab w:val="left" w:pos="1620"/>
        </w:tabs>
        <w:spacing w:line="240" w:lineRule="auto"/>
        <w:ind w:left="2160" w:hanging="2160"/>
      </w:pPr>
    </w:p>
    <w:p w14:paraId="2961D76E" w14:textId="77777777" w:rsidR="003E4633" w:rsidRPr="00D31344" w:rsidRDefault="00570B35" w:rsidP="003E4633">
      <w:pPr>
        <w:tabs>
          <w:tab w:val="clear" w:pos="720"/>
          <w:tab w:val="left" w:pos="1620"/>
        </w:tabs>
        <w:spacing w:line="240" w:lineRule="auto"/>
        <w:ind w:left="2160" w:hanging="2160"/>
      </w:pPr>
      <w:r w:rsidRPr="00D31344">
        <w:t>Counsel:</w:t>
      </w:r>
      <w:r w:rsidRPr="00D31344">
        <w:tab/>
        <w:t xml:space="preserve">Rob Bonta, Attorney General, Thomas S. Patterson, Senior Assistant Attorney General, Mark </w:t>
      </w:r>
      <w:proofErr w:type="spellStart"/>
      <w:r w:rsidRPr="00D31344">
        <w:t>Beckington</w:t>
      </w:r>
      <w:proofErr w:type="spellEnd"/>
      <w:r w:rsidRPr="00D31344">
        <w:t xml:space="preserve">, Supervising Deputy Attorney General and Jose A. </w:t>
      </w:r>
      <w:proofErr w:type="spellStart"/>
      <w:r w:rsidRPr="00D31344">
        <w:t>Zel</w:t>
      </w:r>
      <w:r w:rsidRPr="00D31344">
        <w:t>idon</w:t>
      </w:r>
      <w:proofErr w:type="spellEnd"/>
      <w:r w:rsidRPr="00D31344">
        <w:t>-Zepeda, Deputy Attorney General, for Defendants and Appellants.</w:t>
      </w:r>
    </w:p>
    <w:p w14:paraId="29924D96" w14:textId="77777777" w:rsidR="003E4633" w:rsidRPr="00D31344" w:rsidRDefault="003E4633" w:rsidP="003E4633">
      <w:pPr>
        <w:tabs>
          <w:tab w:val="clear" w:pos="720"/>
          <w:tab w:val="left" w:pos="1620"/>
        </w:tabs>
        <w:spacing w:line="240" w:lineRule="auto"/>
        <w:ind w:left="2160" w:hanging="2160"/>
      </w:pPr>
    </w:p>
    <w:p w14:paraId="6CB736ED" w14:textId="77777777" w:rsidR="003E4633" w:rsidRPr="00D31344" w:rsidRDefault="00570B35" w:rsidP="003E4633">
      <w:pPr>
        <w:tabs>
          <w:tab w:val="clear" w:pos="720"/>
          <w:tab w:val="left" w:pos="1620"/>
        </w:tabs>
        <w:spacing w:line="240" w:lineRule="auto"/>
        <w:ind w:left="2160" w:hanging="2160"/>
      </w:pPr>
      <w:r w:rsidRPr="00D31344">
        <w:tab/>
        <w:t xml:space="preserve">O’Melveny &amp; Myers, Jeffery L. Fisher; Nielsen </w:t>
      </w:r>
      <w:proofErr w:type="spellStart"/>
      <w:r w:rsidRPr="00D31344">
        <w:t>Merksamer</w:t>
      </w:r>
      <w:proofErr w:type="spellEnd"/>
      <w:r w:rsidRPr="00D31344">
        <w:t xml:space="preserve"> </w:t>
      </w:r>
      <w:proofErr w:type="spellStart"/>
      <w:r w:rsidRPr="00D31344">
        <w:t>Parrinello</w:t>
      </w:r>
      <w:proofErr w:type="spellEnd"/>
      <w:r w:rsidRPr="00D31344">
        <w:t xml:space="preserve"> Gross &amp; Leoni, Arthur G. Scotland, Sean P. Welch, Kurt R. </w:t>
      </w:r>
      <w:proofErr w:type="spellStart"/>
      <w:proofErr w:type="gramStart"/>
      <w:r w:rsidRPr="00D31344">
        <w:t>Oneto</w:t>
      </w:r>
      <w:proofErr w:type="spellEnd"/>
      <w:proofErr w:type="gramEnd"/>
      <w:r w:rsidRPr="00D31344">
        <w:t xml:space="preserve"> and David J. Lazarus, for Interveners and Appellants.</w:t>
      </w:r>
    </w:p>
    <w:p w14:paraId="4BC30E38" w14:textId="77777777" w:rsidR="003E4633" w:rsidRPr="00D31344" w:rsidRDefault="003E4633" w:rsidP="003E4633">
      <w:pPr>
        <w:tabs>
          <w:tab w:val="clear" w:pos="720"/>
          <w:tab w:val="left" w:pos="1620"/>
        </w:tabs>
        <w:spacing w:line="240" w:lineRule="auto"/>
        <w:ind w:left="2160" w:hanging="2160"/>
      </w:pPr>
    </w:p>
    <w:p w14:paraId="15055862" w14:textId="77777777" w:rsidR="003E4633" w:rsidRPr="00D31344" w:rsidRDefault="00570B35" w:rsidP="003E4633">
      <w:pPr>
        <w:tabs>
          <w:tab w:val="clear" w:pos="720"/>
          <w:tab w:val="left" w:pos="1620"/>
        </w:tabs>
        <w:spacing w:line="240" w:lineRule="auto"/>
        <w:ind w:left="2160" w:hanging="2160"/>
      </w:pPr>
      <w:r w:rsidRPr="00D31344">
        <w:tab/>
        <w:t xml:space="preserve">DLA Piper, Stanley J. </w:t>
      </w:r>
      <w:proofErr w:type="spellStart"/>
      <w:r w:rsidRPr="00D31344">
        <w:t>Panikowski</w:t>
      </w:r>
      <w:proofErr w:type="spellEnd"/>
      <w:r w:rsidRPr="00D31344">
        <w:t xml:space="preserve"> and Justin R. </w:t>
      </w:r>
      <w:proofErr w:type="spellStart"/>
      <w:r w:rsidRPr="00D31344">
        <w:t>Sarno</w:t>
      </w:r>
      <w:proofErr w:type="spellEnd"/>
      <w:r w:rsidRPr="00D31344">
        <w:t xml:space="preserve"> for Former Attorney General of California Daniel E. Lungren as Amicus Curiae on behalf of Defendants and Appellants.</w:t>
      </w:r>
    </w:p>
    <w:p w14:paraId="091C5982" w14:textId="77777777" w:rsidR="003E4633" w:rsidRPr="00D31344" w:rsidRDefault="003E4633" w:rsidP="003E4633">
      <w:pPr>
        <w:tabs>
          <w:tab w:val="clear" w:pos="720"/>
          <w:tab w:val="left" w:pos="1620"/>
        </w:tabs>
        <w:spacing w:line="240" w:lineRule="auto"/>
      </w:pPr>
    </w:p>
    <w:p w14:paraId="1FA282A8" w14:textId="77777777" w:rsidR="003E4633" w:rsidRPr="00D31344" w:rsidRDefault="00570B35" w:rsidP="003E4633">
      <w:pPr>
        <w:tabs>
          <w:tab w:val="clear" w:pos="720"/>
          <w:tab w:val="left" w:pos="1620"/>
        </w:tabs>
        <w:spacing w:line="240" w:lineRule="auto"/>
        <w:ind w:left="2160" w:hanging="2160"/>
      </w:pPr>
      <w:r w:rsidRPr="00D31344">
        <w:tab/>
      </w:r>
      <w:proofErr w:type="spellStart"/>
      <w:r w:rsidRPr="00D31344">
        <w:t>Eimer</w:t>
      </w:r>
      <w:proofErr w:type="spellEnd"/>
      <w:r w:rsidRPr="00D31344">
        <w:t xml:space="preserve"> Stahl, Robert E. Dunn and Collin J. </w:t>
      </w:r>
      <w:proofErr w:type="spellStart"/>
      <w:r w:rsidRPr="00D31344">
        <w:t>Vierra</w:t>
      </w:r>
      <w:proofErr w:type="spellEnd"/>
      <w:r w:rsidRPr="00D31344">
        <w:t xml:space="preserve"> for Citizens in Charge as Amicus </w:t>
      </w:r>
      <w:r w:rsidRPr="00D31344">
        <w:t>Curiae on behalf of Defendants and Appellants.</w:t>
      </w:r>
    </w:p>
    <w:p w14:paraId="387B23E0" w14:textId="77777777" w:rsidR="003E4633" w:rsidRPr="00D31344" w:rsidRDefault="003E4633" w:rsidP="003E4633">
      <w:pPr>
        <w:tabs>
          <w:tab w:val="clear" w:pos="720"/>
          <w:tab w:val="left" w:pos="1620"/>
        </w:tabs>
        <w:spacing w:line="240" w:lineRule="auto"/>
        <w:ind w:left="2160" w:hanging="2160"/>
      </w:pPr>
    </w:p>
    <w:p w14:paraId="671C0EBB" w14:textId="77777777" w:rsidR="003E4633" w:rsidRPr="00D31344" w:rsidRDefault="00570B35" w:rsidP="003E4633">
      <w:pPr>
        <w:tabs>
          <w:tab w:val="clear" w:pos="720"/>
          <w:tab w:val="left" w:pos="1620"/>
        </w:tabs>
        <w:spacing w:line="240" w:lineRule="auto"/>
        <w:ind w:left="2160" w:hanging="2160"/>
      </w:pPr>
      <w:r w:rsidRPr="00D31344">
        <w:tab/>
        <w:t xml:space="preserve">David A. Carrillo, California Constitution Center, University of California, Berkeley; Benbrook Law Group, Stephen M. Duvernay for California Constitution Center as Amicus Curiae on behalf of Defendants and </w:t>
      </w:r>
      <w:r w:rsidRPr="00D31344">
        <w:t>Appellants.</w:t>
      </w:r>
    </w:p>
    <w:p w14:paraId="3A6E0B47" w14:textId="77777777" w:rsidR="003E4633" w:rsidRPr="00D31344" w:rsidRDefault="003E4633" w:rsidP="003E4633">
      <w:pPr>
        <w:tabs>
          <w:tab w:val="clear" w:pos="720"/>
          <w:tab w:val="left" w:pos="1620"/>
        </w:tabs>
        <w:spacing w:line="240" w:lineRule="auto"/>
        <w:ind w:left="2160" w:hanging="2160"/>
      </w:pPr>
    </w:p>
    <w:p w14:paraId="2AB3797D" w14:textId="77777777" w:rsidR="003E4633" w:rsidRPr="00D31344" w:rsidRDefault="00570B35" w:rsidP="003E4633">
      <w:pPr>
        <w:tabs>
          <w:tab w:val="clear" w:pos="720"/>
          <w:tab w:val="left" w:pos="1620"/>
        </w:tabs>
        <w:spacing w:line="240" w:lineRule="auto"/>
        <w:ind w:left="2160" w:hanging="2160"/>
      </w:pPr>
      <w:r w:rsidRPr="00D31344">
        <w:tab/>
        <w:t xml:space="preserve">Davis Wright Tremaine, Rochelle L. </w:t>
      </w:r>
      <w:proofErr w:type="gramStart"/>
      <w:r w:rsidRPr="00D31344">
        <w:t>Wilcox</w:t>
      </w:r>
      <w:proofErr w:type="gramEnd"/>
      <w:r w:rsidRPr="00D31344">
        <w:t xml:space="preserve"> and Alexa A. </w:t>
      </w:r>
      <w:proofErr w:type="spellStart"/>
      <w:r w:rsidRPr="00D31344">
        <w:t>Graumlich</w:t>
      </w:r>
      <w:proofErr w:type="spellEnd"/>
      <w:r w:rsidRPr="00D31344">
        <w:t xml:space="preserve"> for California Chamber of Commerce as Amicus Curiae on behalf of Defendants and Appellants and Interveners and Appellants.</w:t>
      </w:r>
    </w:p>
    <w:p w14:paraId="424869F5" w14:textId="77777777" w:rsidR="003E4633" w:rsidRPr="00D31344" w:rsidRDefault="00570B35" w:rsidP="003E4633">
      <w:pPr>
        <w:keepNext/>
        <w:keepLines/>
        <w:tabs>
          <w:tab w:val="clear" w:pos="720"/>
          <w:tab w:val="left" w:pos="1620"/>
        </w:tabs>
        <w:spacing w:line="240" w:lineRule="auto"/>
        <w:ind w:left="2160" w:hanging="2160"/>
      </w:pPr>
      <w:r w:rsidRPr="00D31344">
        <w:lastRenderedPageBreak/>
        <w:tab/>
        <w:t xml:space="preserve">Holtzman Vogel Baran Torchinsky </w:t>
      </w:r>
      <w:proofErr w:type="spellStart"/>
      <w:r w:rsidRPr="00D31344">
        <w:t>Josefiak</w:t>
      </w:r>
      <w:proofErr w:type="spellEnd"/>
      <w:r w:rsidRPr="00D31344">
        <w:t>, Alex Vogel,</w:t>
      </w:r>
      <w:r w:rsidRPr="00D31344">
        <w:t xml:space="preserve"> Edward M. </w:t>
      </w:r>
      <w:proofErr w:type="gramStart"/>
      <w:r w:rsidRPr="00D31344">
        <w:t>Wenger</w:t>
      </w:r>
      <w:proofErr w:type="gramEnd"/>
      <w:r w:rsidRPr="00D31344">
        <w:t xml:space="preserve"> and Andrew </w:t>
      </w:r>
      <w:proofErr w:type="spellStart"/>
      <w:r w:rsidRPr="00D31344">
        <w:t>Pardue</w:t>
      </w:r>
      <w:proofErr w:type="spellEnd"/>
      <w:r w:rsidRPr="00D31344">
        <w:t xml:space="preserve"> for California Policy Center as Amicus Curiae on behalf of the Defendants and Appellants and Interveners and Appellants. </w:t>
      </w:r>
    </w:p>
    <w:p w14:paraId="6F15A2A9" w14:textId="77777777" w:rsidR="003E4633" w:rsidRPr="00D31344" w:rsidRDefault="003E4633" w:rsidP="003E4633">
      <w:pPr>
        <w:tabs>
          <w:tab w:val="clear" w:pos="720"/>
          <w:tab w:val="left" w:pos="1620"/>
        </w:tabs>
        <w:spacing w:line="240" w:lineRule="auto"/>
        <w:ind w:left="2160" w:hanging="2160"/>
      </w:pPr>
    </w:p>
    <w:p w14:paraId="2C0E1240" w14:textId="77777777" w:rsidR="003E4633" w:rsidRPr="00D31344" w:rsidRDefault="00570B35" w:rsidP="003E4633">
      <w:pPr>
        <w:tabs>
          <w:tab w:val="clear" w:pos="720"/>
          <w:tab w:val="left" w:pos="1620"/>
        </w:tabs>
        <w:spacing w:line="240" w:lineRule="auto"/>
        <w:ind w:left="2160" w:hanging="2160"/>
      </w:pPr>
      <w:r w:rsidRPr="00D31344">
        <w:tab/>
      </w:r>
      <w:proofErr w:type="spellStart"/>
      <w:r w:rsidRPr="00D31344">
        <w:t>Willenken</w:t>
      </w:r>
      <w:proofErr w:type="spellEnd"/>
      <w:r w:rsidRPr="00D31344">
        <w:t>, Kenneth M. Trujillo-Jamison for California Asian Pacific Chamber of Commerce, Califor</w:t>
      </w:r>
      <w:r w:rsidRPr="00D31344">
        <w:t>nia Hispanic Chambers of Commerce, Los Angeles Metropolitan Churches, National Action Network Los Angeles, National Action Network Sacramento Chapter Inc., National Asian American Coalition, and National Diversity Coalition (“Communities-of-Color Organizat</w:t>
      </w:r>
      <w:r w:rsidRPr="00D31344">
        <w:t>ions”) as Amici Curiae on behalf of Defendants and Appellants and Interveners and Appellants.</w:t>
      </w:r>
    </w:p>
    <w:p w14:paraId="32DEE79C" w14:textId="77777777" w:rsidR="003E4633" w:rsidRPr="00D31344" w:rsidRDefault="003E4633" w:rsidP="003E4633">
      <w:pPr>
        <w:tabs>
          <w:tab w:val="clear" w:pos="720"/>
          <w:tab w:val="left" w:pos="1620"/>
        </w:tabs>
        <w:spacing w:line="240" w:lineRule="auto"/>
        <w:ind w:left="2160" w:hanging="2160"/>
      </w:pPr>
    </w:p>
    <w:p w14:paraId="2C6814A7" w14:textId="77777777" w:rsidR="003E4633" w:rsidRPr="00D31344" w:rsidRDefault="00570B35" w:rsidP="003E4633">
      <w:pPr>
        <w:tabs>
          <w:tab w:val="clear" w:pos="720"/>
          <w:tab w:val="left" w:pos="1620"/>
        </w:tabs>
        <w:spacing w:line="240" w:lineRule="auto"/>
        <w:ind w:left="2160" w:hanging="2160"/>
      </w:pPr>
      <w:r w:rsidRPr="00D31344">
        <w:tab/>
        <w:t>Baker Botts, Michael W. Ward for Arnold Schwarzenegger as Amicus Curiae on behalf of Defendants and Appellants and Interveners and Appellants.</w:t>
      </w:r>
    </w:p>
    <w:p w14:paraId="2FED215C" w14:textId="77777777" w:rsidR="003E4633" w:rsidRPr="00D31344" w:rsidRDefault="003E4633" w:rsidP="003E4633">
      <w:pPr>
        <w:tabs>
          <w:tab w:val="clear" w:pos="720"/>
          <w:tab w:val="left" w:pos="1620"/>
        </w:tabs>
        <w:spacing w:line="240" w:lineRule="auto"/>
        <w:ind w:left="2160" w:hanging="2160"/>
      </w:pPr>
    </w:p>
    <w:p w14:paraId="3725A655" w14:textId="77777777" w:rsidR="003E4633" w:rsidRPr="00D31344" w:rsidRDefault="00570B35" w:rsidP="003E4633">
      <w:pPr>
        <w:tabs>
          <w:tab w:val="clear" w:pos="720"/>
          <w:tab w:val="left" w:pos="1620"/>
        </w:tabs>
        <w:spacing w:line="240" w:lineRule="auto"/>
        <w:ind w:left="2160" w:hanging="2160"/>
      </w:pPr>
      <w:r w:rsidRPr="00D31344">
        <w:tab/>
        <w:t xml:space="preserve">Howard </w:t>
      </w:r>
      <w:r w:rsidRPr="00D31344">
        <w:t xml:space="preserve">Jarvis Taxpayers Foundation, Jonathan M. </w:t>
      </w:r>
      <w:proofErr w:type="spellStart"/>
      <w:r w:rsidRPr="00D31344">
        <w:t>Coupal</w:t>
      </w:r>
      <w:proofErr w:type="spellEnd"/>
      <w:r w:rsidRPr="00D31344">
        <w:t xml:space="preserve">, Timothy A. </w:t>
      </w:r>
      <w:proofErr w:type="spellStart"/>
      <w:r w:rsidRPr="00D31344">
        <w:t>Bittle</w:t>
      </w:r>
      <w:proofErr w:type="spellEnd"/>
      <w:r w:rsidRPr="00D31344">
        <w:t xml:space="preserve"> and Laura E. Dougherty for Howard Jarvis Taxpayers Association as Amicus Curiae on behalf of Defendants and Appellants and Interveners and Appellants.</w:t>
      </w:r>
    </w:p>
    <w:p w14:paraId="3A6AD189" w14:textId="77777777" w:rsidR="003E4633" w:rsidRPr="00D31344" w:rsidRDefault="003E4633" w:rsidP="003E4633">
      <w:pPr>
        <w:tabs>
          <w:tab w:val="clear" w:pos="720"/>
          <w:tab w:val="left" w:pos="1620"/>
        </w:tabs>
        <w:spacing w:line="240" w:lineRule="auto"/>
        <w:ind w:left="2160" w:hanging="2160"/>
      </w:pPr>
    </w:p>
    <w:p w14:paraId="2EF559A0" w14:textId="77777777" w:rsidR="003E4633" w:rsidRDefault="00570B35" w:rsidP="003E4633">
      <w:pPr>
        <w:tabs>
          <w:tab w:val="clear" w:pos="720"/>
          <w:tab w:val="left" w:pos="1620"/>
        </w:tabs>
        <w:spacing w:line="240" w:lineRule="auto"/>
        <w:ind w:left="2160" w:hanging="2160"/>
      </w:pPr>
      <w:r w:rsidRPr="00D31344">
        <w:tab/>
        <w:t xml:space="preserve">Jenner &amp; Block, Laurie J. </w:t>
      </w:r>
      <w:proofErr w:type="gramStart"/>
      <w:r w:rsidRPr="00D31344">
        <w:t>Edelstein</w:t>
      </w:r>
      <w:proofErr w:type="gramEnd"/>
      <w:r w:rsidRPr="00D31344">
        <w:t xml:space="preserve"> </w:t>
      </w:r>
      <w:r w:rsidRPr="00D31344">
        <w:t xml:space="preserve">and Adam G. </w:t>
      </w:r>
      <w:proofErr w:type="spellStart"/>
      <w:r w:rsidRPr="00D31344">
        <w:t>Unikowsky</w:t>
      </w:r>
      <w:proofErr w:type="spellEnd"/>
      <w:r w:rsidRPr="00D31344">
        <w:t xml:space="preserve"> for Chamber of Commerce of the United States of America as Amicus Curiae on behalf of Defendants and Appellants and Interveners and Appellants.</w:t>
      </w:r>
    </w:p>
    <w:p w14:paraId="157C1556" w14:textId="77777777" w:rsidR="003E4633" w:rsidRDefault="003E4633" w:rsidP="003E4633">
      <w:pPr>
        <w:tabs>
          <w:tab w:val="clear" w:pos="720"/>
          <w:tab w:val="left" w:pos="1620"/>
        </w:tabs>
        <w:spacing w:line="240" w:lineRule="auto"/>
        <w:ind w:left="2160" w:hanging="2160"/>
      </w:pPr>
    </w:p>
    <w:p w14:paraId="544B3F49" w14:textId="77777777" w:rsidR="003E4633" w:rsidRPr="00D31344" w:rsidRDefault="003E4633" w:rsidP="003E4633">
      <w:pPr>
        <w:tabs>
          <w:tab w:val="clear" w:pos="720"/>
          <w:tab w:val="left" w:pos="1620"/>
        </w:tabs>
        <w:spacing w:line="240" w:lineRule="auto"/>
        <w:ind w:left="2160" w:hanging="2160"/>
      </w:pPr>
    </w:p>
    <w:p w14:paraId="65C7B274" w14:textId="77777777" w:rsidR="003E4633" w:rsidRPr="00D31344" w:rsidRDefault="00570B35" w:rsidP="003E4633">
      <w:pPr>
        <w:keepNext/>
        <w:keepLines/>
        <w:tabs>
          <w:tab w:val="clear" w:pos="720"/>
          <w:tab w:val="left" w:pos="1620"/>
        </w:tabs>
        <w:spacing w:line="240" w:lineRule="auto"/>
        <w:ind w:left="2160" w:hanging="2160"/>
      </w:pPr>
      <w:r w:rsidRPr="00D31344">
        <w:lastRenderedPageBreak/>
        <w:tab/>
        <w:t xml:space="preserve">King &amp; Spalding, Albert </w:t>
      </w:r>
      <w:proofErr w:type="spellStart"/>
      <w:r w:rsidRPr="00D31344">
        <w:t>Giang</w:t>
      </w:r>
      <w:proofErr w:type="spellEnd"/>
      <w:r w:rsidRPr="00D31344">
        <w:t xml:space="preserve">, Jeffery Hammer and Ramon A. </w:t>
      </w:r>
      <w:proofErr w:type="spellStart"/>
      <w:r w:rsidRPr="00D31344">
        <w:t>Miyar</w:t>
      </w:r>
      <w:proofErr w:type="spellEnd"/>
      <w:r w:rsidRPr="00D31344">
        <w:t xml:space="preserve"> for Marketplace Indust</w:t>
      </w:r>
      <w:r w:rsidRPr="00D31344">
        <w:t>ry Association, Inc. as Amicus Curiae on behalf of Defendants and Appellants and Interveners and Appellants.</w:t>
      </w:r>
    </w:p>
    <w:p w14:paraId="3915EB4D" w14:textId="77777777" w:rsidR="003E4633" w:rsidRPr="00D31344" w:rsidRDefault="003E4633" w:rsidP="003E4633">
      <w:pPr>
        <w:tabs>
          <w:tab w:val="clear" w:pos="720"/>
          <w:tab w:val="left" w:pos="1620"/>
        </w:tabs>
        <w:spacing w:line="240" w:lineRule="auto"/>
        <w:ind w:left="2160" w:hanging="2160"/>
      </w:pPr>
    </w:p>
    <w:p w14:paraId="18F0B6AD" w14:textId="77777777" w:rsidR="003E4633" w:rsidRPr="00D31344" w:rsidRDefault="00570B35" w:rsidP="003E4633">
      <w:pPr>
        <w:tabs>
          <w:tab w:val="clear" w:pos="720"/>
          <w:tab w:val="left" w:pos="1620"/>
        </w:tabs>
        <w:spacing w:line="240" w:lineRule="auto"/>
        <w:ind w:left="2160" w:hanging="2160"/>
      </w:pPr>
      <w:r w:rsidRPr="00D31344">
        <w:tab/>
      </w:r>
      <w:proofErr w:type="spellStart"/>
      <w:r w:rsidRPr="00D31344">
        <w:t>Buchalter</w:t>
      </w:r>
      <w:proofErr w:type="spellEnd"/>
      <w:r w:rsidRPr="00D31344">
        <w:t xml:space="preserve">, Steven G. Churchwell and Berit Elam for Daniel </w:t>
      </w:r>
      <w:proofErr w:type="spellStart"/>
      <w:r w:rsidRPr="00D31344">
        <w:t>Schnur</w:t>
      </w:r>
      <w:proofErr w:type="spellEnd"/>
      <w:r w:rsidRPr="00D31344">
        <w:t xml:space="preserve">, T. Anthony </w:t>
      </w:r>
      <w:proofErr w:type="gramStart"/>
      <w:r w:rsidRPr="00D31344">
        <w:t>Quinn</w:t>
      </w:r>
      <w:proofErr w:type="gramEnd"/>
      <w:r w:rsidRPr="00D31344">
        <w:t xml:space="preserve"> and Robert M. Stern as Amici Curiae on behalf of Defendants an</w:t>
      </w:r>
      <w:r w:rsidRPr="00D31344">
        <w:t>d Appellants and Interveners and Appellants.</w:t>
      </w:r>
    </w:p>
    <w:p w14:paraId="659CCC2F" w14:textId="77777777" w:rsidR="003E4633" w:rsidRPr="00D31344" w:rsidRDefault="003E4633" w:rsidP="003E4633">
      <w:pPr>
        <w:tabs>
          <w:tab w:val="clear" w:pos="720"/>
          <w:tab w:val="left" w:pos="1620"/>
        </w:tabs>
        <w:spacing w:line="240" w:lineRule="auto"/>
        <w:ind w:left="2160" w:hanging="2160"/>
      </w:pPr>
    </w:p>
    <w:p w14:paraId="4B520FE6" w14:textId="77777777" w:rsidR="003E4633" w:rsidRPr="00D31344" w:rsidRDefault="00570B35" w:rsidP="003E4633">
      <w:pPr>
        <w:tabs>
          <w:tab w:val="clear" w:pos="720"/>
          <w:tab w:val="left" w:pos="1620"/>
        </w:tabs>
        <w:spacing w:line="240" w:lineRule="auto"/>
        <w:ind w:left="2160" w:hanging="2160"/>
      </w:pPr>
      <w:r w:rsidRPr="00D31344">
        <w:tab/>
      </w:r>
      <w:proofErr w:type="spellStart"/>
      <w:r w:rsidRPr="00D31344">
        <w:t>weintraub</w:t>
      </w:r>
      <w:proofErr w:type="spellEnd"/>
      <w:r w:rsidRPr="00D31344">
        <w:t xml:space="preserve"> </w:t>
      </w:r>
      <w:proofErr w:type="spellStart"/>
      <w:r w:rsidRPr="00D31344">
        <w:t>tobin</w:t>
      </w:r>
      <w:proofErr w:type="spellEnd"/>
      <w:r w:rsidRPr="00D31344">
        <w:t xml:space="preserve"> </w:t>
      </w:r>
      <w:proofErr w:type="spellStart"/>
      <w:r w:rsidRPr="00D31344">
        <w:t>chediak</w:t>
      </w:r>
      <w:proofErr w:type="spellEnd"/>
      <w:r w:rsidRPr="00D31344">
        <w:t xml:space="preserve"> </w:t>
      </w:r>
      <w:proofErr w:type="spellStart"/>
      <w:r w:rsidRPr="00D31344">
        <w:t>coleman</w:t>
      </w:r>
      <w:proofErr w:type="spellEnd"/>
      <w:r w:rsidRPr="00D31344">
        <w:t xml:space="preserve"> </w:t>
      </w:r>
      <w:proofErr w:type="spellStart"/>
      <w:r w:rsidRPr="00D31344">
        <w:t>grodin</w:t>
      </w:r>
      <w:proofErr w:type="spellEnd"/>
      <w:r w:rsidRPr="00D31344">
        <w:t xml:space="preserve">, Brendan J. Begley for Independent Drivers Alliance of California, Kelly Rickert, Ali </w:t>
      </w:r>
      <w:proofErr w:type="spellStart"/>
      <w:r w:rsidRPr="00D31344">
        <w:t>Mazhin</w:t>
      </w:r>
      <w:proofErr w:type="spellEnd"/>
      <w:r w:rsidRPr="00D31344">
        <w:t xml:space="preserve"> and Stephanie Whitfield as Amici Curiae on behalf of Defendants and </w:t>
      </w:r>
      <w:r w:rsidRPr="00D31344">
        <w:t>Appellants and Interveners and Appellants.</w:t>
      </w:r>
    </w:p>
    <w:p w14:paraId="2638C8D1" w14:textId="77777777" w:rsidR="003E4633" w:rsidRPr="00D31344" w:rsidRDefault="003E4633" w:rsidP="003E4633">
      <w:pPr>
        <w:tabs>
          <w:tab w:val="clear" w:pos="720"/>
          <w:tab w:val="left" w:pos="1620"/>
        </w:tabs>
        <w:spacing w:line="240" w:lineRule="auto"/>
        <w:ind w:left="2160" w:hanging="2160"/>
      </w:pPr>
    </w:p>
    <w:p w14:paraId="6B7CC0BB" w14:textId="77777777" w:rsidR="003E4633" w:rsidRPr="00D31344" w:rsidRDefault="00570B35" w:rsidP="003E4633">
      <w:pPr>
        <w:tabs>
          <w:tab w:val="clear" w:pos="720"/>
          <w:tab w:val="left" w:pos="1620"/>
        </w:tabs>
        <w:spacing w:line="240" w:lineRule="auto"/>
        <w:ind w:left="2160" w:hanging="2160"/>
      </w:pPr>
      <w:r w:rsidRPr="00D31344">
        <w:tab/>
        <w:t xml:space="preserve">Olson </w:t>
      </w:r>
      <w:proofErr w:type="spellStart"/>
      <w:r w:rsidRPr="00D31344">
        <w:t>Remcho</w:t>
      </w:r>
      <w:proofErr w:type="spellEnd"/>
      <w:r w:rsidRPr="00D31344">
        <w:t xml:space="preserve">, Robin B. Johansen, Richard R. Rios, Deborah B.  Caplan, Benjamin N. </w:t>
      </w:r>
      <w:proofErr w:type="spellStart"/>
      <w:r w:rsidRPr="00D31344">
        <w:t>Gevercer</w:t>
      </w:r>
      <w:proofErr w:type="spellEnd"/>
      <w:r w:rsidRPr="00D31344">
        <w:t xml:space="preserve">; </w:t>
      </w:r>
      <w:proofErr w:type="spellStart"/>
      <w:r w:rsidRPr="00D31344">
        <w:t>Altshuler</w:t>
      </w:r>
      <w:proofErr w:type="spellEnd"/>
      <w:r w:rsidRPr="00D31344">
        <w:t xml:space="preserve"> </w:t>
      </w:r>
      <w:proofErr w:type="spellStart"/>
      <w:r w:rsidRPr="00D31344">
        <w:t>Berzon</w:t>
      </w:r>
      <w:proofErr w:type="spellEnd"/>
      <w:r w:rsidRPr="00D31344">
        <w:t xml:space="preserve">, Stephen P </w:t>
      </w:r>
      <w:proofErr w:type="spellStart"/>
      <w:r w:rsidRPr="00D31344">
        <w:t>Berzon</w:t>
      </w:r>
      <w:proofErr w:type="spellEnd"/>
      <w:r w:rsidRPr="00D31344">
        <w:t xml:space="preserve">, Scott A. </w:t>
      </w:r>
      <w:proofErr w:type="spellStart"/>
      <w:r w:rsidRPr="00D31344">
        <w:t>Kronland</w:t>
      </w:r>
      <w:proofErr w:type="spellEnd"/>
      <w:r w:rsidRPr="00D31344">
        <w:t xml:space="preserve">, Stacey M. Leyton, </w:t>
      </w:r>
      <w:proofErr w:type="spellStart"/>
      <w:r w:rsidRPr="00D31344">
        <w:t>Juhyung</w:t>
      </w:r>
      <w:proofErr w:type="spellEnd"/>
      <w:r w:rsidRPr="00D31344">
        <w:t xml:space="preserve"> Harold Lee for Plaintiffs and Responde</w:t>
      </w:r>
      <w:r w:rsidRPr="00D31344">
        <w:t>nts Hector Castellanos, Joseph Delgado, Saori Okawa and Michael Robinson.</w:t>
      </w:r>
    </w:p>
    <w:p w14:paraId="2BFAB8BA" w14:textId="77777777" w:rsidR="003E4633" w:rsidRPr="00D31344" w:rsidRDefault="003E4633" w:rsidP="003E4633">
      <w:pPr>
        <w:tabs>
          <w:tab w:val="clear" w:pos="720"/>
          <w:tab w:val="left" w:pos="1620"/>
        </w:tabs>
        <w:spacing w:line="240" w:lineRule="auto"/>
        <w:ind w:left="2160" w:hanging="2160"/>
      </w:pPr>
    </w:p>
    <w:p w14:paraId="4C8D7589" w14:textId="77777777" w:rsidR="003E4633" w:rsidRPr="00D31344" w:rsidRDefault="00570B35" w:rsidP="003E4633">
      <w:pPr>
        <w:tabs>
          <w:tab w:val="clear" w:pos="720"/>
          <w:tab w:val="left" w:pos="1620"/>
        </w:tabs>
        <w:spacing w:line="240" w:lineRule="auto"/>
        <w:ind w:left="2160" w:hanging="2160"/>
      </w:pPr>
      <w:r w:rsidRPr="00D31344">
        <w:tab/>
        <w:t xml:space="preserve">Service Employees International Union, Nicole G. Berner and Steven K. </w:t>
      </w:r>
      <w:proofErr w:type="spellStart"/>
      <w:r w:rsidRPr="00D31344">
        <w:t>Ury</w:t>
      </w:r>
      <w:proofErr w:type="spellEnd"/>
      <w:r w:rsidRPr="00D31344">
        <w:t xml:space="preserve"> for Plaintiff and Respondent Service Employees International Union.</w:t>
      </w:r>
    </w:p>
    <w:p w14:paraId="69E2EAEC" w14:textId="77777777" w:rsidR="003E4633" w:rsidRPr="00D31344" w:rsidRDefault="003E4633" w:rsidP="003E4633">
      <w:pPr>
        <w:tabs>
          <w:tab w:val="clear" w:pos="720"/>
          <w:tab w:val="left" w:pos="1620"/>
        </w:tabs>
        <w:spacing w:line="240" w:lineRule="auto"/>
        <w:ind w:left="2160" w:hanging="2160"/>
      </w:pPr>
    </w:p>
    <w:p w14:paraId="415B5DFD" w14:textId="77777777" w:rsidR="003E4633" w:rsidRPr="00D31344" w:rsidRDefault="00570B35" w:rsidP="003E4633">
      <w:pPr>
        <w:tabs>
          <w:tab w:val="clear" w:pos="720"/>
          <w:tab w:val="left" w:pos="1620"/>
        </w:tabs>
        <w:spacing w:line="240" w:lineRule="auto"/>
        <w:ind w:left="2160" w:hanging="2160"/>
      </w:pPr>
      <w:r w:rsidRPr="00D31344">
        <w:tab/>
        <w:t xml:space="preserve">Richard L. </w:t>
      </w:r>
      <w:proofErr w:type="spellStart"/>
      <w:r w:rsidRPr="00D31344">
        <w:t>Hasen</w:t>
      </w:r>
      <w:proofErr w:type="spellEnd"/>
      <w:r w:rsidRPr="00D31344">
        <w:t>; Public Counsel, Ma</w:t>
      </w:r>
      <w:r w:rsidRPr="00D31344">
        <w:t xml:space="preserve">rk D. </w:t>
      </w:r>
      <w:proofErr w:type="gramStart"/>
      <w:r w:rsidRPr="00D31344">
        <w:t>Rosenbaum</w:t>
      </w:r>
      <w:proofErr w:type="gramEnd"/>
      <w:r w:rsidRPr="00D31344">
        <w:t xml:space="preserve"> and Kathryn </w:t>
      </w:r>
      <w:proofErr w:type="spellStart"/>
      <w:r w:rsidRPr="00D31344">
        <w:t>Eidmann</w:t>
      </w:r>
      <w:proofErr w:type="spellEnd"/>
      <w:r w:rsidRPr="00D31344">
        <w:t xml:space="preserve"> for California Election Law Professors as Amicus Curiae on behalf of Plaintiffs and Respondents.</w:t>
      </w:r>
    </w:p>
    <w:p w14:paraId="69318F38" w14:textId="77777777" w:rsidR="003E4633" w:rsidRPr="00D31344" w:rsidRDefault="00570B35" w:rsidP="003E4633">
      <w:pPr>
        <w:keepNext/>
        <w:keepLines/>
        <w:tabs>
          <w:tab w:val="clear" w:pos="720"/>
          <w:tab w:val="left" w:pos="1620"/>
        </w:tabs>
        <w:spacing w:line="240" w:lineRule="auto"/>
        <w:ind w:left="2160" w:hanging="2160"/>
      </w:pPr>
      <w:r w:rsidRPr="00D31344">
        <w:lastRenderedPageBreak/>
        <w:tab/>
      </w:r>
      <w:proofErr w:type="spellStart"/>
      <w:r w:rsidRPr="00D31344">
        <w:t>Hina</w:t>
      </w:r>
      <w:proofErr w:type="spellEnd"/>
      <w:r w:rsidRPr="00D31344">
        <w:t xml:space="preserve"> B. Shah, Women’s Employment Rights Clinic, Golden Gate University School of Law Benjamin Beach, </w:t>
      </w:r>
      <w:proofErr w:type="spellStart"/>
      <w:r w:rsidRPr="00D31344">
        <w:t>PowerSwitch</w:t>
      </w:r>
      <w:proofErr w:type="spellEnd"/>
      <w:r w:rsidRPr="00D31344">
        <w:t xml:space="preserve"> Action; N</w:t>
      </w:r>
      <w:r w:rsidRPr="00D31344">
        <w:t xml:space="preserve">ayantara Mehta and Brian Chen, National Employment Law Project, for Gig Workers Rising, Mobile Workers Alliance, Rideshare Drivers United-California, We Drive Progress, A Better Balance, </w:t>
      </w:r>
      <w:proofErr w:type="spellStart"/>
      <w:r w:rsidRPr="00D31344">
        <w:t>ACCE</w:t>
      </w:r>
      <w:proofErr w:type="spellEnd"/>
      <w:r w:rsidRPr="00D31344">
        <w:t xml:space="preserve"> Institute, Action Center on Race &amp; the Economy, Asian Americans </w:t>
      </w:r>
      <w:r w:rsidRPr="00D31344">
        <w:t xml:space="preserve">Advancing Justice – Los Angeles, Bet Tzedek, California Employment Lawyers Association, California Immigrant Policy Center, Centro Legal de la Raza, Chinese Progressive Association, Economic Policy Institute, Jobs With Justice Education Fund and Jobs With </w:t>
      </w:r>
      <w:r w:rsidRPr="00D31344">
        <w:t>Justice San Francisco, Lawyers Committee for Civil Rights of the San Francisco Bay Area, Legal Aid at Work, Los Angeles Black Worker Center, Maintenance Cooperation Trust Fund, National Black Worker Center, National Council for Occupational Safety and Heal</w:t>
      </w:r>
      <w:r w:rsidRPr="00D31344">
        <w:t xml:space="preserve">th, National Domestic Workers Alliance, National Employment Law Project, Pilipino Workers Center, </w:t>
      </w:r>
      <w:proofErr w:type="spellStart"/>
      <w:r w:rsidRPr="00D31344">
        <w:t>PowerSwitch</w:t>
      </w:r>
      <w:proofErr w:type="spellEnd"/>
      <w:r w:rsidRPr="00D31344">
        <w:t xml:space="preserve"> Action, Public Rights Project, Santa Clara County Wage Theft Coalition, Women’s Employment Rights Clinic of Golden Gate University School of Law a</w:t>
      </w:r>
      <w:r w:rsidRPr="00D31344">
        <w:t xml:space="preserve">nd </w:t>
      </w:r>
      <w:proofErr w:type="spellStart"/>
      <w:r w:rsidRPr="00D31344">
        <w:t>Worksafe</w:t>
      </w:r>
      <w:proofErr w:type="spellEnd"/>
      <w:r w:rsidRPr="00D31344">
        <w:t>, as Amici Curiae on behalf of Plaintiffs and Respondents.</w:t>
      </w:r>
    </w:p>
    <w:p w14:paraId="2D504F28" w14:textId="77777777" w:rsidR="003E4633" w:rsidRPr="00D31344" w:rsidRDefault="003E4633" w:rsidP="003E4633">
      <w:pPr>
        <w:tabs>
          <w:tab w:val="clear" w:pos="720"/>
          <w:tab w:val="left" w:pos="1620"/>
        </w:tabs>
        <w:spacing w:line="240" w:lineRule="auto"/>
      </w:pPr>
    </w:p>
    <w:p w14:paraId="7CF97603" w14:textId="77777777" w:rsidR="003E4633" w:rsidRPr="00D31344" w:rsidRDefault="00570B35" w:rsidP="003E4633">
      <w:pPr>
        <w:tabs>
          <w:tab w:val="clear" w:pos="720"/>
          <w:tab w:val="left" w:pos="1620"/>
        </w:tabs>
        <w:spacing w:line="240" w:lineRule="auto"/>
        <w:ind w:left="2160" w:hanging="2160"/>
      </w:pPr>
      <w:r w:rsidRPr="00D31344">
        <w:tab/>
        <w:t>Bush Gottlieb, Julie Gutman Dickinson, Hector De </w:t>
      </w:r>
      <w:proofErr w:type="spellStart"/>
      <w:r w:rsidRPr="00D31344">
        <w:t>Haro</w:t>
      </w:r>
      <w:proofErr w:type="spellEnd"/>
      <w:r w:rsidRPr="00D31344">
        <w:t xml:space="preserve">, and Luke Taylor for International Brotherhood of Teamsters Local 848 and The Los Angeles County Federation of Labor, AFL-CIO, as </w:t>
      </w:r>
      <w:r w:rsidRPr="00D31344">
        <w:t>Amici Curiae on behalf of Plaintiffs and Respondents.</w:t>
      </w:r>
    </w:p>
    <w:p w14:paraId="0931520C" w14:textId="77777777" w:rsidR="003E4633" w:rsidRPr="00D31344" w:rsidRDefault="00570B35" w:rsidP="003E4633">
      <w:pPr>
        <w:keepNext/>
        <w:keepLines/>
        <w:tabs>
          <w:tab w:val="clear" w:pos="720"/>
          <w:tab w:val="left" w:pos="1620"/>
        </w:tabs>
        <w:spacing w:line="240" w:lineRule="auto"/>
        <w:ind w:left="2160" w:hanging="2160"/>
      </w:pPr>
      <w:r w:rsidRPr="00D31344">
        <w:lastRenderedPageBreak/>
        <w:tab/>
        <w:t>City of San Francisco, David Chiu, City Attorney, Sara J. Eisenberg, Chief of Complex and Affirmative Litigation, and Molly J. Alarcon Deputy City Attorney; City of Oakland, Barbara J. Parker, City Att</w:t>
      </w:r>
      <w:r w:rsidRPr="00D31344">
        <w:t xml:space="preserve">orney, Maria Bee, Chief Assistant City Attorney, Zoe </w:t>
      </w:r>
      <w:proofErr w:type="spellStart"/>
      <w:r w:rsidRPr="00D31344">
        <w:t>Savitsky</w:t>
      </w:r>
      <w:proofErr w:type="spellEnd"/>
      <w:r w:rsidRPr="00D31344">
        <w:t xml:space="preserve">, Supervising Deputy City Attorney and Katherine Read, Fellowship Attorney; City of Los Angeles, Michael N. Feuer, City Attorney, Kathleen </w:t>
      </w:r>
      <w:proofErr w:type="spellStart"/>
      <w:r w:rsidRPr="00D31344">
        <w:t>Kenealy</w:t>
      </w:r>
      <w:proofErr w:type="spellEnd"/>
      <w:r w:rsidRPr="00D31344">
        <w:t>, Chief Assistant City Attorney, and Michael J. B</w:t>
      </w:r>
      <w:r w:rsidRPr="00D31344">
        <w:t>ostrom, Senior Assistant City Attorney for the Cities of San Francisco, Oakland and Los Angeles as Amici Curiae on behalf of Plaintiffs and Respondents.</w:t>
      </w:r>
    </w:p>
    <w:p w14:paraId="44253AB3" w14:textId="77777777" w:rsidR="003E4633" w:rsidRPr="00D31344" w:rsidRDefault="003E4633" w:rsidP="003E4633">
      <w:pPr>
        <w:tabs>
          <w:tab w:val="clear" w:pos="720"/>
          <w:tab w:val="left" w:pos="1620"/>
        </w:tabs>
        <w:spacing w:line="240" w:lineRule="auto"/>
        <w:ind w:left="2160" w:hanging="2160"/>
      </w:pPr>
    </w:p>
    <w:p w14:paraId="6349C289" w14:textId="77777777" w:rsidR="003E4633" w:rsidRPr="00D31344" w:rsidRDefault="00570B35" w:rsidP="003E4633">
      <w:pPr>
        <w:tabs>
          <w:tab w:val="clear" w:pos="720"/>
          <w:tab w:val="left" w:pos="1620"/>
        </w:tabs>
        <w:spacing w:line="240" w:lineRule="auto"/>
        <w:ind w:left="2160" w:hanging="2160"/>
      </w:pPr>
      <w:r w:rsidRPr="00D31344">
        <w:tab/>
        <w:t xml:space="preserve">Eric M. Overholt and Andrew W. Lockard for California Applicants’ Attorneys Association as </w:t>
      </w:r>
      <w:r w:rsidRPr="00D31344">
        <w:t>Amicus Curiae on behalf of Plaintiffs and Respondents.</w:t>
      </w:r>
    </w:p>
    <w:p w14:paraId="1FB8F5FC" w14:textId="77777777" w:rsidR="003E4633" w:rsidRPr="00D31344" w:rsidRDefault="003E4633" w:rsidP="003E4633">
      <w:pPr>
        <w:tabs>
          <w:tab w:val="clear" w:pos="720"/>
          <w:tab w:val="left" w:pos="1620"/>
        </w:tabs>
        <w:spacing w:line="240" w:lineRule="auto"/>
        <w:ind w:left="2160" w:hanging="2160"/>
      </w:pPr>
    </w:p>
    <w:p w14:paraId="15C193D3" w14:textId="77777777" w:rsidR="003E4633" w:rsidRPr="00D31344" w:rsidRDefault="00570B35" w:rsidP="003E4633">
      <w:pPr>
        <w:tabs>
          <w:tab w:val="clear" w:pos="720"/>
          <w:tab w:val="left" w:pos="1620"/>
        </w:tabs>
        <w:spacing w:line="240" w:lineRule="auto"/>
        <w:ind w:left="2160" w:hanging="2160"/>
      </w:pPr>
      <w:r w:rsidRPr="00D31344">
        <w:tab/>
        <w:t xml:space="preserve">Catherine L. Fisk, University of California, Berkeley; Veena </w:t>
      </w:r>
      <w:proofErr w:type="spellStart"/>
      <w:r w:rsidRPr="00D31344">
        <w:t>Dubal</w:t>
      </w:r>
      <w:proofErr w:type="spellEnd"/>
      <w:r w:rsidRPr="00D31344">
        <w:t xml:space="preserve"> and Joseph </w:t>
      </w:r>
      <w:proofErr w:type="spellStart"/>
      <w:r w:rsidRPr="00D31344">
        <w:t>Grodin</w:t>
      </w:r>
      <w:proofErr w:type="spellEnd"/>
      <w:r w:rsidRPr="00D31344">
        <w:t xml:space="preserve">, Emeritus Professor of Law, University of California, Hastings College of Law, for Labor Law Professors Sameer </w:t>
      </w:r>
      <w:proofErr w:type="spellStart"/>
      <w:r w:rsidRPr="00D31344">
        <w:t>Ash</w:t>
      </w:r>
      <w:r w:rsidRPr="00D31344">
        <w:t>ar</w:t>
      </w:r>
      <w:proofErr w:type="spellEnd"/>
      <w:r w:rsidRPr="00D31344">
        <w:t xml:space="preserve">, Veena </w:t>
      </w:r>
      <w:proofErr w:type="spellStart"/>
      <w:r w:rsidRPr="00D31344">
        <w:t>Dubal</w:t>
      </w:r>
      <w:proofErr w:type="spellEnd"/>
      <w:r w:rsidRPr="00D31344">
        <w:t xml:space="preserve">, Catherine Fisk, Charlotte Garden, Joseph </w:t>
      </w:r>
      <w:proofErr w:type="spellStart"/>
      <w:r w:rsidRPr="00D31344">
        <w:t>Grodin</w:t>
      </w:r>
      <w:proofErr w:type="spellEnd"/>
      <w:r w:rsidRPr="00D31344">
        <w:t xml:space="preserve">, William B. Gould IV, Stephen Lee, Sanjukta Paul, Leticia Saucedo, Reuel Schiller, Katherine Stone and Noah D. </w:t>
      </w:r>
      <w:proofErr w:type="spellStart"/>
      <w:r w:rsidRPr="00D31344">
        <w:t>Zatz</w:t>
      </w:r>
      <w:proofErr w:type="spellEnd"/>
      <w:r w:rsidRPr="00D31344">
        <w:t xml:space="preserve"> as Amici Curiae on behalf of Plaintiffs and Respondents.</w:t>
      </w:r>
    </w:p>
    <w:p w14:paraId="5CE0678A" w14:textId="77777777" w:rsidR="003E4633" w:rsidRDefault="003E4633" w:rsidP="00603647">
      <w:pPr>
        <w:spacing w:line="240" w:lineRule="auto"/>
        <w:rPr>
          <w:sz w:val="20"/>
        </w:rPr>
        <w:sectPr w:rsidR="003E4633" w:rsidSect="00765C02">
          <w:headerReference w:type="even" r:id="rId14"/>
          <w:headerReference w:type="default" r:id="rId15"/>
          <w:footerReference w:type="even" r:id="rId16"/>
          <w:footerReference w:type="default" r:id="rId17"/>
          <w:headerReference w:type="first" r:id="rId18"/>
          <w:footerReference w:type="first" r:id="rId19"/>
          <w:pgSz w:w="12240" w:h="15840"/>
          <w:pgMar w:top="1440" w:right="2160" w:bottom="1440" w:left="2160" w:header="720" w:footer="720" w:gutter="0"/>
          <w:cols w:space="720"/>
          <w:docGrid w:linePitch="360"/>
        </w:sectPr>
      </w:pPr>
    </w:p>
    <w:p w14:paraId="5F00FF2E" w14:textId="78AC6329" w:rsidR="00F255B6" w:rsidRPr="00D31344" w:rsidRDefault="00570B35" w:rsidP="00603647">
      <w:pPr>
        <w:spacing w:line="240" w:lineRule="auto"/>
        <w:rPr>
          <w:sz w:val="20"/>
        </w:rPr>
      </w:pPr>
      <w:r w:rsidRPr="00D31344">
        <w:rPr>
          <w:sz w:val="20"/>
        </w:rPr>
        <w:lastRenderedPageBreak/>
        <w:t xml:space="preserve">Filed </w:t>
      </w:r>
      <w:r w:rsidR="00930F9D" w:rsidRPr="00D31344">
        <w:rPr>
          <w:sz w:val="20"/>
        </w:rPr>
        <w:t>3/</w:t>
      </w:r>
      <w:r w:rsidR="008E416C" w:rsidRPr="00D31344">
        <w:rPr>
          <w:sz w:val="20"/>
        </w:rPr>
        <w:t>13</w:t>
      </w:r>
      <w:r w:rsidR="00930F9D" w:rsidRPr="00D31344">
        <w:rPr>
          <w:sz w:val="20"/>
        </w:rPr>
        <w:t>/23</w:t>
      </w:r>
      <w:r w:rsidR="003E4633">
        <w:rPr>
          <w:sz w:val="20"/>
        </w:rPr>
        <w:t xml:space="preserve"> (unmodified opinion)</w:t>
      </w:r>
    </w:p>
    <w:p w14:paraId="3A5BDEE7" w14:textId="71832A31" w:rsidR="00603647" w:rsidRPr="00D31344" w:rsidRDefault="00570B35" w:rsidP="00603647">
      <w:pPr>
        <w:spacing w:line="240" w:lineRule="auto"/>
        <w:jc w:val="center"/>
        <w:rPr>
          <w:b/>
        </w:rPr>
      </w:pPr>
      <w:r w:rsidRPr="00D31344">
        <w:rPr>
          <w:b/>
        </w:rPr>
        <w:t>CERTIFIED FOR PUBLICATION</w:t>
      </w:r>
    </w:p>
    <w:p w14:paraId="22E44F56" w14:textId="77777777" w:rsidR="00603647" w:rsidRPr="00D31344" w:rsidRDefault="00603647" w:rsidP="000B3E7F">
      <w:pPr>
        <w:spacing w:line="240" w:lineRule="auto"/>
      </w:pPr>
    </w:p>
    <w:p w14:paraId="320B578F" w14:textId="4A66A627" w:rsidR="008C69C3" w:rsidRPr="00D31344" w:rsidRDefault="00570B35" w:rsidP="00765C02">
      <w:pPr>
        <w:spacing w:line="240" w:lineRule="auto"/>
        <w:jc w:val="center"/>
      </w:pPr>
      <w:r w:rsidRPr="00D31344">
        <w:t>IN THE COURT OF APPEAL OF THE STATE OF CALIFORNIA</w:t>
      </w:r>
    </w:p>
    <w:p w14:paraId="1B241403" w14:textId="04B000FA" w:rsidR="00765C02" w:rsidRPr="00D31344" w:rsidRDefault="00765C02" w:rsidP="00765C02">
      <w:pPr>
        <w:spacing w:line="240" w:lineRule="auto"/>
        <w:jc w:val="center"/>
      </w:pPr>
    </w:p>
    <w:p w14:paraId="6F2217B6" w14:textId="3FADF31F" w:rsidR="00765C02" w:rsidRPr="00D31344" w:rsidRDefault="00570B35" w:rsidP="00765C02">
      <w:pPr>
        <w:spacing w:line="240" w:lineRule="auto"/>
        <w:jc w:val="center"/>
      </w:pPr>
      <w:r w:rsidRPr="00D31344">
        <w:t>FIRST APPELLATE DISTRICT</w:t>
      </w:r>
    </w:p>
    <w:p w14:paraId="6D9F7C8A" w14:textId="1A799B05" w:rsidR="00765C02" w:rsidRPr="00D31344" w:rsidRDefault="00765C02" w:rsidP="00765C02">
      <w:pPr>
        <w:spacing w:line="240" w:lineRule="auto"/>
        <w:jc w:val="center"/>
      </w:pPr>
    </w:p>
    <w:p w14:paraId="463CBD0C" w14:textId="3FADF31F" w:rsidR="00765C02" w:rsidRPr="00D31344" w:rsidRDefault="00570B35" w:rsidP="00765C02">
      <w:pPr>
        <w:spacing w:line="240" w:lineRule="auto"/>
        <w:jc w:val="center"/>
      </w:pPr>
      <w:r w:rsidRPr="00D31344">
        <w:t>DIVISION FOUR</w:t>
      </w:r>
    </w:p>
    <w:p w14:paraId="6E1AB0DE" w14:textId="1100371A" w:rsidR="00765C02" w:rsidRPr="00D31344" w:rsidRDefault="00765C02" w:rsidP="00765C02">
      <w:pPr>
        <w:spacing w:line="240" w:lineRule="auto"/>
        <w:jc w:val="center"/>
      </w:pPr>
    </w:p>
    <w:p w14:paraId="504E9D10" w14:textId="72EC46A0" w:rsidR="00765C02" w:rsidRPr="00D31344" w:rsidRDefault="00765C02" w:rsidP="00765C02">
      <w:pPr>
        <w:spacing w:line="240" w:lineRule="auto"/>
        <w:jc w:val="center"/>
      </w:pPr>
    </w:p>
    <w:tbl>
      <w:tblPr>
        <w:tblW w:w="0" w:type="auto"/>
        <w:tblLayout w:type="fixed"/>
        <w:tblLook w:val="0000" w:firstRow="0" w:lastRow="0" w:firstColumn="0" w:lastColumn="0" w:noHBand="0" w:noVBand="0"/>
      </w:tblPr>
      <w:tblGrid>
        <w:gridCol w:w="3960"/>
        <w:gridCol w:w="3960"/>
      </w:tblGrid>
      <w:tr w:rsidR="00815C05" w14:paraId="416DB3F5" w14:textId="77777777" w:rsidTr="00765C02">
        <w:tc>
          <w:tcPr>
            <w:tcW w:w="3960" w:type="dxa"/>
            <w:tcBorders>
              <w:bottom w:val="single" w:sz="4" w:space="0" w:color="auto"/>
              <w:right w:val="single" w:sz="4" w:space="0" w:color="auto"/>
            </w:tcBorders>
            <w:shd w:val="clear" w:color="auto" w:fill="auto"/>
          </w:tcPr>
          <w:p w14:paraId="6003D275" w14:textId="66E83C54" w:rsidR="00765C02" w:rsidRPr="00D31344" w:rsidRDefault="00570B35" w:rsidP="00765C02">
            <w:pPr>
              <w:spacing w:after="120" w:line="240" w:lineRule="auto"/>
            </w:pPr>
            <w:r w:rsidRPr="00D31344">
              <w:t xml:space="preserve">HECTOR CASTELLANOS </w:t>
            </w:r>
            <w:r w:rsidR="00D456B6" w:rsidRPr="00D31344">
              <w:t>et</w:t>
            </w:r>
            <w:r w:rsidR="00DE7A65" w:rsidRPr="00D31344">
              <w:t> </w:t>
            </w:r>
            <w:r w:rsidR="00D456B6" w:rsidRPr="00D31344">
              <w:t>al</w:t>
            </w:r>
            <w:r w:rsidRPr="00D31344">
              <w:t>.,</w:t>
            </w:r>
          </w:p>
          <w:p w14:paraId="72E1F9EF" w14:textId="420BCCCF" w:rsidR="00765C02" w:rsidRPr="00D31344" w:rsidRDefault="00570B35" w:rsidP="00765C02">
            <w:pPr>
              <w:spacing w:after="120" w:line="240" w:lineRule="auto"/>
            </w:pPr>
            <w:r w:rsidRPr="00D31344">
              <w:tab/>
            </w:r>
            <w:r w:rsidRPr="00D31344">
              <w:t>Plaintiffs and Respondents,</w:t>
            </w:r>
          </w:p>
          <w:p w14:paraId="1DB409F5" w14:textId="6D9B45D7" w:rsidR="00765C02" w:rsidRPr="00D31344" w:rsidRDefault="00570B35" w:rsidP="00765C02">
            <w:pPr>
              <w:spacing w:after="120" w:line="240" w:lineRule="auto"/>
            </w:pPr>
            <w:r w:rsidRPr="00D31344">
              <w:t>v.</w:t>
            </w:r>
          </w:p>
          <w:p w14:paraId="3BAD2806" w14:textId="66E83C54" w:rsidR="00765C02" w:rsidRPr="00D31344" w:rsidRDefault="00570B35" w:rsidP="00765C02">
            <w:pPr>
              <w:spacing w:after="120" w:line="240" w:lineRule="auto"/>
            </w:pPr>
            <w:r w:rsidRPr="00D31344">
              <w:t>STATE OF CALIFORNIA</w:t>
            </w:r>
            <w:r w:rsidR="0009059C" w:rsidRPr="00D31344">
              <w:t xml:space="preserve"> </w:t>
            </w:r>
            <w:r w:rsidR="0072241D" w:rsidRPr="00D31344">
              <w:t>et al.,</w:t>
            </w:r>
          </w:p>
          <w:p w14:paraId="72C3A750" w14:textId="77777777" w:rsidR="00D15285" w:rsidRPr="00D31344" w:rsidRDefault="00570B35" w:rsidP="001F69B5">
            <w:pPr>
              <w:spacing w:line="240" w:lineRule="auto"/>
            </w:pPr>
            <w:r w:rsidRPr="00D31344">
              <w:tab/>
              <w:t>Defendants and Appellants,</w:t>
            </w:r>
          </w:p>
          <w:p w14:paraId="50A79EC1" w14:textId="77777777" w:rsidR="00D15285" w:rsidRPr="00D31344" w:rsidRDefault="00D15285" w:rsidP="001F69B5">
            <w:pPr>
              <w:spacing w:line="240" w:lineRule="auto"/>
            </w:pPr>
          </w:p>
          <w:p w14:paraId="3CC28107" w14:textId="66E83C54" w:rsidR="00D15285" w:rsidRPr="00D31344" w:rsidRDefault="00570B35" w:rsidP="00765C02">
            <w:pPr>
              <w:spacing w:after="120" w:line="240" w:lineRule="auto"/>
            </w:pPr>
            <w:r w:rsidRPr="00D31344">
              <w:t>PROTECT APP-BASED DRIVERS AND SERVICES e</w:t>
            </w:r>
            <w:r w:rsidR="002759BA" w:rsidRPr="00D31344">
              <w:t>t </w:t>
            </w:r>
            <w:r w:rsidRPr="00D31344">
              <w:t>al.,</w:t>
            </w:r>
          </w:p>
          <w:p w14:paraId="502962D6" w14:textId="56476FD8" w:rsidR="00765C02" w:rsidRPr="00D31344" w:rsidRDefault="00570B35" w:rsidP="00765C02">
            <w:pPr>
              <w:spacing w:after="120" w:line="240" w:lineRule="auto"/>
            </w:pPr>
            <w:r w:rsidRPr="00D31344">
              <w:tab/>
              <w:t>Interven</w:t>
            </w:r>
            <w:r w:rsidR="0010201C" w:rsidRPr="00D31344">
              <w:t>e</w:t>
            </w:r>
            <w:r w:rsidRPr="00D31344">
              <w:t>rs and Appellants.</w:t>
            </w:r>
          </w:p>
        </w:tc>
        <w:tc>
          <w:tcPr>
            <w:tcW w:w="3960" w:type="dxa"/>
            <w:tcBorders>
              <w:left w:val="single" w:sz="4" w:space="0" w:color="auto"/>
            </w:tcBorders>
            <w:shd w:val="clear" w:color="auto" w:fill="auto"/>
          </w:tcPr>
          <w:p w14:paraId="6B396BA3" w14:textId="77777777" w:rsidR="00765C02" w:rsidRPr="00D31344" w:rsidRDefault="00765C02" w:rsidP="00765C02">
            <w:pPr>
              <w:spacing w:line="240" w:lineRule="auto"/>
            </w:pPr>
          </w:p>
          <w:p w14:paraId="6A48E38C" w14:textId="77777777" w:rsidR="00765C02" w:rsidRPr="00D31344" w:rsidRDefault="00765C02" w:rsidP="00765C02">
            <w:pPr>
              <w:spacing w:line="240" w:lineRule="auto"/>
            </w:pPr>
          </w:p>
          <w:p w14:paraId="18566CA3" w14:textId="6D9B45D7" w:rsidR="00765C02" w:rsidRPr="00D31344" w:rsidRDefault="00570B35" w:rsidP="00765C02">
            <w:pPr>
              <w:spacing w:line="240" w:lineRule="auto"/>
            </w:pPr>
            <w:r w:rsidRPr="00D31344">
              <w:t xml:space="preserve">      A163655</w:t>
            </w:r>
          </w:p>
          <w:p w14:paraId="79EEED77" w14:textId="77777777" w:rsidR="00765C02" w:rsidRPr="00D31344" w:rsidRDefault="00765C02" w:rsidP="00765C02">
            <w:pPr>
              <w:spacing w:line="240" w:lineRule="auto"/>
            </w:pPr>
          </w:p>
          <w:p w14:paraId="29127448" w14:textId="6D9B45D7" w:rsidR="00765C02" w:rsidRPr="00D31344" w:rsidRDefault="00570B35" w:rsidP="00765C02">
            <w:pPr>
              <w:spacing w:line="240" w:lineRule="auto"/>
            </w:pPr>
            <w:r w:rsidRPr="00D31344">
              <w:t xml:space="preserve">      (Alameda County</w:t>
            </w:r>
          </w:p>
          <w:p w14:paraId="5170B29B" w14:textId="6D9B45D7" w:rsidR="00D61663" w:rsidRPr="00D31344" w:rsidRDefault="00570B35" w:rsidP="00765C02">
            <w:pPr>
              <w:spacing w:line="240" w:lineRule="auto"/>
            </w:pPr>
            <w:r w:rsidRPr="00D31344">
              <w:t xml:space="preserve">      Super. Ct. No. </w:t>
            </w:r>
          </w:p>
          <w:p w14:paraId="67E19AB2" w14:textId="66E83C54" w:rsidR="00765C02" w:rsidRPr="00D31344" w:rsidRDefault="00570B35" w:rsidP="00765C02">
            <w:pPr>
              <w:spacing w:line="240" w:lineRule="auto"/>
            </w:pPr>
            <w:r w:rsidRPr="00D31344">
              <w:t xml:space="preserve">      RG21088725)</w:t>
            </w:r>
          </w:p>
          <w:p w14:paraId="5EC1873A" w14:textId="5ACF9059" w:rsidR="00765C02" w:rsidRPr="00D31344" w:rsidRDefault="00765C02" w:rsidP="00765C02">
            <w:pPr>
              <w:spacing w:line="240" w:lineRule="auto"/>
            </w:pPr>
          </w:p>
        </w:tc>
      </w:tr>
    </w:tbl>
    <w:p w14:paraId="6D5E63D4" w14:textId="54F87BE0" w:rsidR="00765C02" w:rsidRPr="00D31344" w:rsidRDefault="00765C02" w:rsidP="00765C02">
      <w:pPr>
        <w:spacing w:line="360" w:lineRule="auto"/>
      </w:pPr>
    </w:p>
    <w:p w14:paraId="25478CB6" w14:textId="0B46B65C" w:rsidR="001E158D" w:rsidRPr="00D31344" w:rsidRDefault="00570B35" w:rsidP="006631FF">
      <w:pPr>
        <w:spacing w:line="360" w:lineRule="auto"/>
      </w:pPr>
      <w:r w:rsidRPr="00D31344">
        <w:tab/>
      </w:r>
      <w:r w:rsidR="00CD670B" w:rsidRPr="00D31344">
        <w:t xml:space="preserve">In November 2020, the voters </w:t>
      </w:r>
      <w:r w:rsidR="00BB2686" w:rsidRPr="00D31344">
        <w:t xml:space="preserve">approved </w:t>
      </w:r>
      <w:r w:rsidR="001C7C41" w:rsidRPr="00D31344">
        <w:t xml:space="preserve">Proposition 22, </w:t>
      </w:r>
      <w:r w:rsidR="00BB2686" w:rsidRPr="00D31344">
        <w:t>the Protect App-Based Drivers and Services Act</w:t>
      </w:r>
      <w:r w:rsidR="0068541C" w:rsidRPr="00D31344">
        <w:t xml:space="preserve"> (Proposition 22)</w:t>
      </w:r>
      <w:r w:rsidR="00107CFE" w:rsidRPr="00D31344">
        <w:t>.</w:t>
      </w:r>
      <w:r w:rsidR="00AA4C07" w:rsidRPr="00D31344">
        <w:t xml:space="preserve">  </w:t>
      </w:r>
      <w:r w:rsidR="00684F1F" w:rsidRPr="00D31344">
        <w:t>(</w:t>
      </w:r>
      <w:r w:rsidR="008F4C58" w:rsidRPr="00D31344">
        <w:t>Bus. &amp; Prof.</w:t>
      </w:r>
      <w:r w:rsidR="006A3A34" w:rsidRPr="00D31344">
        <w:t xml:space="preserve"> Code,</w:t>
      </w:r>
      <w:r w:rsidR="00B0017E" w:rsidRPr="00D31344">
        <w:rPr>
          <w:rStyle w:val="FootnoteReference"/>
        </w:rPr>
        <w:t xml:space="preserve"> </w:t>
      </w:r>
      <w:r>
        <w:rPr>
          <w:rStyle w:val="FootnoteReference"/>
        </w:rPr>
        <w:footnoteReference w:id="3"/>
      </w:r>
      <w:r w:rsidR="006A3A34" w:rsidRPr="00D31344">
        <w:t xml:space="preserve"> §</w:t>
      </w:r>
      <w:r w:rsidR="00207C4B" w:rsidRPr="00D31344">
        <w:t>§</w:t>
      </w:r>
      <w:r w:rsidR="006A3A34" w:rsidRPr="00D31344">
        <w:t> </w:t>
      </w:r>
      <w:r w:rsidR="009F16F5" w:rsidRPr="00D31344">
        <w:t>7448</w:t>
      </w:r>
      <w:r w:rsidR="00207C4B" w:rsidRPr="00D31344">
        <w:t>–7467</w:t>
      </w:r>
      <w:r w:rsidR="00061BA5" w:rsidRPr="00D31344">
        <w:t xml:space="preserve">, </w:t>
      </w:r>
      <w:r w:rsidR="007A5E81" w:rsidRPr="00D31344">
        <w:t xml:space="preserve">as added by Prop. </w:t>
      </w:r>
      <w:r w:rsidR="00281454" w:rsidRPr="00D31344">
        <w:t>22, approved by the voters at Gen. Elec. (Nov. 3, 2020).</w:t>
      </w:r>
      <w:r w:rsidR="0060181A" w:rsidRPr="00D31344">
        <w:t>)</w:t>
      </w:r>
      <w:r w:rsidR="00A0601B" w:rsidRPr="00D31344">
        <w:t xml:space="preserve">  </w:t>
      </w:r>
      <w:r w:rsidR="004F11AD" w:rsidRPr="00D31344">
        <w:t xml:space="preserve">Shortly afterwards, </w:t>
      </w:r>
      <w:r w:rsidR="001D6966" w:rsidRPr="00D31344">
        <w:t xml:space="preserve">Hector Castellanos, Joseph Delgado, Saori Okawa, Michael Robinson, Service Employees International Union </w:t>
      </w:r>
      <w:r w:rsidR="001D6966" w:rsidRPr="00D31344">
        <w:lastRenderedPageBreak/>
        <w:t xml:space="preserve">California State Council, and Service Employees International Union (SEIU; collectively, plaintiffs) filed a petition for writ of mandate seeking a declaration that </w:t>
      </w:r>
      <w:r w:rsidR="001736C0" w:rsidRPr="00D31344">
        <w:t xml:space="preserve">Proposition 22 </w:t>
      </w:r>
      <w:r w:rsidR="00D63914" w:rsidRPr="00D31344">
        <w:t>i</w:t>
      </w:r>
      <w:r w:rsidR="001736C0" w:rsidRPr="00D31344">
        <w:t xml:space="preserve">s invalid </w:t>
      </w:r>
      <w:r w:rsidR="00CE3A9F" w:rsidRPr="00D31344">
        <w:t>because it violate</w:t>
      </w:r>
      <w:r w:rsidR="00D63914" w:rsidRPr="00D31344">
        <w:t>s</w:t>
      </w:r>
      <w:r w:rsidR="00CE3A9F" w:rsidRPr="00D31344">
        <w:t xml:space="preserve"> the California Constitution.</w:t>
      </w:r>
      <w:r>
        <w:rPr>
          <w:rStyle w:val="FootnoteReference"/>
        </w:rPr>
        <w:footnoteReference w:id="4"/>
      </w:r>
      <w:r w:rsidR="00CE3A9F" w:rsidRPr="00D31344">
        <w:t xml:space="preserve"> </w:t>
      </w:r>
      <w:r w:rsidRPr="00D31344">
        <w:t xml:space="preserve"> </w:t>
      </w:r>
      <w:r w:rsidR="001736C0" w:rsidRPr="00D31344">
        <w:t>The trial court granted the petition, ruling that the</w:t>
      </w:r>
      <w:r w:rsidR="00CE3A9F" w:rsidRPr="00D31344">
        <w:t xml:space="preserve"> proposition </w:t>
      </w:r>
      <w:r w:rsidR="000A3949" w:rsidRPr="00D31344">
        <w:t>(1)</w:t>
      </w:r>
      <w:r w:rsidR="00055E68" w:rsidRPr="00D31344">
        <w:t> </w:t>
      </w:r>
      <w:r w:rsidR="00D63914" w:rsidRPr="00D31344">
        <w:t>i</w:t>
      </w:r>
      <w:r w:rsidR="00A742EF" w:rsidRPr="00D31344">
        <w:t xml:space="preserve">s invalid in its entirety because it </w:t>
      </w:r>
      <w:r w:rsidR="00CE3A9F" w:rsidRPr="00D31344">
        <w:t>intrude</w:t>
      </w:r>
      <w:r w:rsidR="00D63914" w:rsidRPr="00D31344">
        <w:t>s</w:t>
      </w:r>
      <w:r w:rsidR="00CE3A9F" w:rsidRPr="00D31344">
        <w:t xml:space="preserve"> on the Legislature’s exclusive authority to </w:t>
      </w:r>
      <w:r w:rsidR="00280F0D" w:rsidRPr="00D31344">
        <w:t>create worker</w:t>
      </w:r>
      <w:r w:rsidR="00D20B2E" w:rsidRPr="00D31344">
        <w:t>s’</w:t>
      </w:r>
      <w:r w:rsidR="00280F0D" w:rsidRPr="00D31344">
        <w:t xml:space="preserve"> compensation laws</w:t>
      </w:r>
      <w:r w:rsidR="00092389" w:rsidRPr="00D31344">
        <w:t>; (2)</w:t>
      </w:r>
      <w:r w:rsidR="00055E68" w:rsidRPr="00D31344">
        <w:t> </w:t>
      </w:r>
      <w:r w:rsidR="00D63914" w:rsidRPr="00D31344">
        <w:t>i</w:t>
      </w:r>
      <w:r w:rsidR="00A742EF" w:rsidRPr="00D31344">
        <w:t xml:space="preserve">s invalid to the extent that it </w:t>
      </w:r>
      <w:r w:rsidR="00013C3C" w:rsidRPr="00D31344">
        <w:t>limit</w:t>
      </w:r>
      <w:r w:rsidR="00D63914" w:rsidRPr="00D31344">
        <w:t>s</w:t>
      </w:r>
      <w:r w:rsidR="00013C3C" w:rsidRPr="00D31344">
        <w:t xml:space="preserve"> the Legislature’s authority to enact legislation that would not constitute an amendment to Proposition 22, and </w:t>
      </w:r>
      <w:r w:rsidR="000A3949" w:rsidRPr="00D31344">
        <w:t>(3)</w:t>
      </w:r>
      <w:r w:rsidR="00055E68" w:rsidRPr="00D31344">
        <w:t> </w:t>
      </w:r>
      <w:r w:rsidR="00D63914" w:rsidRPr="00D31344">
        <w:t>i</w:t>
      </w:r>
      <w:r w:rsidR="00A742EF" w:rsidRPr="00D31344">
        <w:t xml:space="preserve">s invalid in its entirety because it </w:t>
      </w:r>
      <w:r w:rsidR="000A3949" w:rsidRPr="00D31344">
        <w:t>violate</w:t>
      </w:r>
      <w:r w:rsidR="00D63914" w:rsidRPr="00D31344">
        <w:t>s</w:t>
      </w:r>
      <w:r w:rsidR="000A3949" w:rsidRPr="00D31344">
        <w:t xml:space="preserve"> the single-subject rule for initiative statutes. </w:t>
      </w:r>
      <w:r w:rsidR="00CD2309" w:rsidRPr="00D31344">
        <w:t xml:space="preserve"> </w:t>
      </w:r>
    </w:p>
    <w:p w14:paraId="0CA0D960" w14:textId="25202F31" w:rsidR="00883867" w:rsidRPr="00D31344" w:rsidRDefault="00570B35" w:rsidP="006631FF">
      <w:pPr>
        <w:spacing w:line="360" w:lineRule="auto"/>
      </w:pPr>
      <w:r w:rsidRPr="00D31344">
        <w:tab/>
      </w:r>
      <w:r w:rsidR="00CD2309" w:rsidRPr="00D31344">
        <w:t xml:space="preserve">Proposition 22’s proponents and the </w:t>
      </w:r>
      <w:r w:rsidR="004A786F" w:rsidRPr="00D31344">
        <w:t>s</w:t>
      </w:r>
      <w:r w:rsidR="00CD2309" w:rsidRPr="00D31344">
        <w:t xml:space="preserve">tate appeal, arguing the trial court was mistaken on all three points.  We agree </w:t>
      </w:r>
      <w:r w:rsidR="00525832" w:rsidRPr="00D31344">
        <w:t>that Proposition 22 does not intrude on the Legislature’s worker</w:t>
      </w:r>
      <w:r w:rsidR="00816E11" w:rsidRPr="00D31344">
        <w:t>s’</w:t>
      </w:r>
      <w:r w:rsidR="00525832" w:rsidRPr="00D31344">
        <w:t xml:space="preserve"> compensation authority</w:t>
      </w:r>
      <w:r w:rsidR="0023350D" w:rsidRPr="00D31344">
        <w:t xml:space="preserve"> or violate the single-subject rule</w:t>
      </w:r>
      <w:r w:rsidR="00525832" w:rsidRPr="00D31344">
        <w:t xml:space="preserve">, but </w:t>
      </w:r>
      <w:r w:rsidR="00C34CE9" w:rsidRPr="00D31344">
        <w:t xml:space="preserve">we conclude </w:t>
      </w:r>
      <w:r w:rsidR="004A4114" w:rsidRPr="00D31344">
        <w:t xml:space="preserve">that </w:t>
      </w:r>
      <w:r w:rsidR="00C34CE9" w:rsidRPr="00D31344">
        <w:t>the initiative</w:t>
      </w:r>
      <w:r w:rsidR="00C71274" w:rsidRPr="00D31344">
        <w:t>’s definition of what constitutes an amendment</w:t>
      </w:r>
      <w:r w:rsidR="009E5B7F" w:rsidRPr="00D31344">
        <w:t xml:space="preserve"> </w:t>
      </w:r>
      <w:r w:rsidR="00C34CE9" w:rsidRPr="00D31344">
        <w:t xml:space="preserve">violates separation of powers principles.  </w:t>
      </w:r>
      <w:r w:rsidR="00200664" w:rsidRPr="00D31344">
        <w:t>Because th</w:t>
      </w:r>
      <w:r w:rsidR="003C51D1" w:rsidRPr="00D31344">
        <w:t>e</w:t>
      </w:r>
      <w:r w:rsidR="005B3128" w:rsidRPr="00D31344">
        <w:t xml:space="preserve"> </w:t>
      </w:r>
      <w:r w:rsidR="00200664" w:rsidRPr="00D31344">
        <w:t>unconstitutional provision</w:t>
      </w:r>
      <w:r w:rsidR="009F1091" w:rsidRPr="00D31344">
        <w:t>s</w:t>
      </w:r>
      <w:r w:rsidR="00200664" w:rsidRPr="00D31344">
        <w:t xml:space="preserve"> can be severed from the rest of the </w:t>
      </w:r>
      <w:r w:rsidR="001F689D" w:rsidRPr="00D31344">
        <w:t>initiative</w:t>
      </w:r>
      <w:r w:rsidR="00200664" w:rsidRPr="00D31344">
        <w:t xml:space="preserve">, </w:t>
      </w:r>
      <w:r w:rsidR="009918A8" w:rsidRPr="00D31344">
        <w:t xml:space="preserve">we </w:t>
      </w:r>
      <w:r w:rsidR="00F91847" w:rsidRPr="00D31344">
        <w:t>affirm the judgment insofar as</w:t>
      </w:r>
      <w:r w:rsidR="00C945E2" w:rsidRPr="00D31344">
        <w:t xml:space="preserve"> it </w:t>
      </w:r>
      <w:r w:rsidR="00A742EF" w:rsidRPr="00D31344">
        <w:t>declare</w:t>
      </w:r>
      <w:r w:rsidR="00C945E2" w:rsidRPr="00D31344">
        <w:t xml:space="preserve">s </w:t>
      </w:r>
      <w:r w:rsidR="00A742EF" w:rsidRPr="00D31344">
        <w:t>th</w:t>
      </w:r>
      <w:r w:rsidR="009F1091" w:rsidRPr="00D31344">
        <w:t>ose</w:t>
      </w:r>
      <w:r w:rsidR="00A742EF" w:rsidRPr="00D31344">
        <w:t xml:space="preserve"> provision</w:t>
      </w:r>
      <w:r w:rsidR="009F1091" w:rsidRPr="00D31344">
        <w:t>s</w:t>
      </w:r>
      <w:r w:rsidR="00A742EF" w:rsidRPr="00D31344">
        <w:t xml:space="preserve"> invalid</w:t>
      </w:r>
      <w:r w:rsidR="00F26A84" w:rsidRPr="00D31344">
        <w:t xml:space="preserve"> and to the </w:t>
      </w:r>
      <w:r w:rsidR="005A7AAF" w:rsidRPr="00D31344">
        <w:t xml:space="preserve">extent the trial court retained jurisdiction to consider an award of attorney’s </w:t>
      </w:r>
      <w:r w:rsidR="00920781" w:rsidRPr="00D31344">
        <w:t>fees, and otherwise reverse</w:t>
      </w:r>
      <w:r w:rsidR="00C945E2" w:rsidRPr="00D31344">
        <w:t>.</w:t>
      </w:r>
    </w:p>
    <w:p w14:paraId="0A16947C" w14:textId="6D9B45D7" w:rsidR="00883867" w:rsidRPr="00D31344" w:rsidRDefault="00570B35" w:rsidP="006631FF">
      <w:pPr>
        <w:pStyle w:val="Heading1"/>
      </w:pPr>
      <w:r w:rsidRPr="00D31344">
        <w:t>BACKGROUND</w:t>
      </w:r>
    </w:p>
    <w:p w14:paraId="23B69E09" w14:textId="22BF5CC3" w:rsidR="0060181A" w:rsidRPr="00D31344" w:rsidRDefault="00570B35" w:rsidP="00A742EF">
      <w:pPr>
        <w:pStyle w:val="Header"/>
        <w:spacing w:line="360" w:lineRule="auto"/>
      </w:pPr>
      <w:r w:rsidRPr="00D31344">
        <w:tab/>
      </w:r>
      <w:r w:rsidR="009572D1" w:rsidRPr="00D31344">
        <w:t xml:space="preserve">In </w:t>
      </w:r>
      <w:r w:rsidR="000B54BF" w:rsidRPr="00D31344">
        <w:t xml:space="preserve">2019, the Legislature enacted Assembly Bill </w:t>
      </w:r>
      <w:r w:rsidR="00362520" w:rsidRPr="00D31344">
        <w:t>No. </w:t>
      </w:r>
      <w:r w:rsidR="000B54BF" w:rsidRPr="00D31344">
        <w:t xml:space="preserve">5 </w:t>
      </w:r>
      <w:r w:rsidR="001C64C0" w:rsidRPr="00D31344">
        <w:t>(</w:t>
      </w:r>
      <w:r w:rsidR="000B54BF" w:rsidRPr="00D31344">
        <w:t>201</w:t>
      </w:r>
      <w:r w:rsidR="0011465C" w:rsidRPr="00D31344">
        <w:t>9–2020</w:t>
      </w:r>
      <w:r w:rsidR="000B54BF" w:rsidRPr="00D31344">
        <w:t xml:space="preserve"> Reg. Sess.</w:t>
      </w:r>
      <w:r w:rsidR="00F575EE" w:rsidRPr="00D31344">
        <w:t>)</w:t>
      </w:r>
      <w:r w:rsidR="00A742EF" w:rsidRPr="00D31344">
        <w:t xml:space="preserve">, which established a new </w:t>
      </w:r>
      <w:r w:rsidR="009572D1" w:rsidRPr="00D31344">
        <w:t xml:space="preserve">test </w:t>
      </w:r>
      <w:r w:rsidR="00CE57E7" w:rsidRPr="00D31344">
        <w:t xml:space="preserve">for </w:t>
      </w:r>
      <w:r w:rsidR="00A643C8" w:rsidRPr="00D31344">
        <w:lastRenderedPageBreak/>
        <w:t xml:space="preserve">distinguishing between employees and independent contractors for the </w:t>
      </w:r>
      <w:r w:rsidR="00CE57E7" w:rsidRPr="00D31344">
        <w:t>purposes of the Labor Code</w:t>
      </w:r>
      <w:r w:rsidR="00A643C8" w:rsidRPr="00D31344">
        <w:t xml:space="preserve"> and</w:t>
      </w:r>
      <w:r w:rsidR="00CE57E7" w:rsidRPr="00D31344">
        <w:t xml:space="preserve"> Unemployment Insurance Code</w:t>
      </w:r>
      <w:r w:rsidR="00A643C8" w:rsidRPr="00D31344">
        <w:t>.  (</w:t>
      </w:r>
      <w:r w:rsidR="005F426D" w:rsidRPr="00D31344">
        <w:t xml:space="preserve">Stats. 2019, </w:t>
      </w:r>
      <w:proofErr w:type="spellStart"/>
      <w:r w:rsidR="005F426D" w:rsidRPr="00D31344">
        <w:t>ch.</w:t>
      </w:r>
      <w:proofErr w:type="spellEnd"/>
      <w:r w:rsidR="00077E03" w:rsidRPr="00D31344">
        <w:t> </w:t>
      </w:r>
      <w:r w:rsidR="005F426D" w:rsidRPr="00D31344">
        <w:t>296</w:t>
      </w:r>
      <w:r w:rsidR="00A742EF" w:rsidRPr="00D31344">
        <w:t xml:space="preserve">; </w:t>
      </w:r>
      <w:r w:rsidR="00340230" w:rsidRPr="00D31344">
        <w:t xml:space="preserve">Lab. Code, § 2775, </w:t>
      </w:r>
      <w:proofErr w:type="spellStart"/>
      <w:r w:rsidR="00340230" w:rsidRPr="00D31344">
        <w:t>subd</w:t>
      </w:r>
      <w:proofErr w:type="spellEnd"/>
      <w:r w:rsidR="00340230" w:rsidRPr="00D31344">
        <w:t>.</w:t>
      </w:r>
      <w:r w:rsidR="00077E03" w:rsidRPr="00D31344">
        <w:t> </w:t>
      </w:r>
      <w:r w:rsidR="00340230" w:rsidRPr="00D31344">
        <w:t xml:space="preserve">(b)(1); </w:t>
      </w:r>
      <w:r w:rsidR="00A742EF" w:rsidRPr="00D31344">
        <w:rPr>
          <w:i/>
        </w:rPr>
        <w:t>People v. Uber Technologies, Inc.</w:t>
      </w:r>
      <w:r w:rsidR="00A742EF" w:rsidRPr="00D31344">
        <w:t xml:space="preserve"> (2020) 56</w:t>
      </w:r>
      <w:r w:rsidR="00077E03" w:rsidRPr="00D31344">
        <w:t> </w:t>
      </w:r>
      <w:r w:rsidR="00A742EF" w:rsidRPr="00D31344">
        <w:t xml:space="preserve">Cal.App.5th 266, 274–277 [describing background of </w:t>
      </w:r>
      <w:r w:rsidR="00AF7FF8" w:rsidRPr="00D31344">
        <w:t>statute</w:t>
      </w:r>
      <w:r w:rsidR="00A742EF" w:rsidRPr="00D31344">
        <w:t>]</w:t>
      </w:r>
      <w:r w:rsidR="005F426D" w:rsidRPr="00D31344">
        <w:t>.)</w:t>
      </w:r>
      <w:r w:rsidR="00A742EF" w:rsidRPr="00D31344">
        <w:t xml:space="preserve">  </w:t>
      </w:r>
    </w:p>
    <w:p w14:paraId="6E19F876" w14:textId="2821BD24" w:rsidR="00A92504" w:rsidRPr="00D31344" w:rsidRDefault="00570B35" w:rsidP="00A742EF">
      <w:pPr>
        <w:pStyle w:val="Header"/>
        <w:spacing w:line="360" w:lineRule="auto"/>
      </w:pPr>
      <w:r w:rsidRPr="00D31344">
        <w:tab/>
      </w:r>
      <w:r w:rsidR="008C760D" w:rsidRPr="00D31344">
        <w:t xml:space="preserve">In response, </w:t>
      </w:r>
      <w:r w:rsidR="00665C67" w:rsidRPr="00D31344">
        <w:t xml:space="preserve">Davis White and Keith </w:t>
      </w:r>
      <w:proofErr w:type="spellStart"/>
      <w:r w:rsidR="00665C67" w:rsidRPr="00D31344">
        <w:t>Yandell</w:t>
      </w:r>
      <w:proofErr w:type="spellEnd"/>
      <w:r w:rsidR="00346CED" w:rsidRPr="00D31344">
        <w:t>, supported by a</w:t>
      </w:r>
      <w:r w:rsidR="006B4B49" w:rsidRPr="00D31344">
        <w:t xml:space="preserve"> group </w:t>
      </w:r>
      <w:r w:rsidR="00346CED" w:rsidRPr="00D31344">
        <w:t>called Protect App-Based Drivers and Services</w:t>
      </w:r>
      <w:r w:rsidR="00576DD7" w:rsidRPr="00D31344">
        <w:t xml:space="preserve"> (Protect Drivers</w:t>
      </w:r>
      <w:r w:rsidR="05949CE1" w:rsidRPr="00D31344">
        <w:t xml:space="preserve">; </w:t>
      </w:r>
      <w:r w:rsidR="009D2876" w:rsidRPr="00D31344">
        <w:t xml:space="preserve">collectively, </w:t>
      </w:r>
      <w:r w:rsidR="00C434C4" w:rsidRPr="00D31344">
        <w:t>i</w:t>
      </w:r>
      <w:r w:rsidR="0068546D" w:rsidRPr="00D31344">
        <w:t>nterveners</w:t>
      </w:r>
      <w:r w:rsidR="00576DD7" w:rsidRPr="00D31344">
        <w:t>)</w:t>
      </w:r>
      <w:r w:rsidR="00346CED" w:rsidRPr="00D31344">
        <w:t xml:space="preserve">, </w:t>
      </w:r>
      <w:r w:rsidR="00436CE5" w:rsidRPr="00D31344">
        <w:t>proposed Proposition 22</w:t>
      </w:r>
      <w:r w:rsidR="00C25E08" w:rsidRPr="00D31344">
        <w:t xml:space="preserve">.  </w:t>
      </w:r>
      <w:r w:rsidR="00136612" w:rsidRPr="00D31344">
        <w:t>(§</w:t>
      </w:r>
      <w:r w:rsidR="00616066" w:rsidRPr="00D31344">
        <w:t> </w:t>
      </w:r>
      <w:r w:rsidRPr="00D31344">
        <w:t>744</w:t>
      </w:r>
      <w:r w:rsidR="00616066" w:rsidRPr="00D31344">
        <w:t xml:space="preserve">9, </w:t>
      </w:r>
      <w:proofErr w:type="spellStart"/>
      <w:r w:rsidR="00616066" w:rsidRPr="00D31344">
        <w:t>subd</w:t>
      </w:r>
      <w:proofErr w:type="spellEnd"/>
      <w:r w:rsidR="00616066" w:rsidRPr="00D31344">
        <w:t>.</w:t>
      </w:r>
      <w:r w:rsidR="007004C0" w:rsidRPr="00D31344">
        <w:t> </w:t>
      </w:r>
      <w:r w:rsidR="00616066" w:rsidRPr="00D31344">
        <w:t xml:space="preserve">(d).)  </w:t>
      </w:r>
      <w:r w:rsidR="0033032A" w:rsidRPr="00D31344">
        <w:t xml:space="preserve">An </w:t>
      </w:r>
      <w:r w:rsidR="004A4114" w:rsidRPr="00D31344">
        <w:t>“[</w:t>
      </w:r>
      <w:r w:rsidR="0033032A" w:rsidRPr="00D31344">
        <w:t>a</w:t>
      </w:r>
      <w:r w:rsidR="004A4114" w:rsidRPr="00D31344">
        <w:t>]</w:t>
      </w:r>
      <w:r w:rsidR="0033032A" w:rsidRPr="00D31344">
        <w:t>pp-based driver</w:t>
      </w:r>
      <w:r w:rsidR="004A4114" w:rsidRPr="00D31344">
        <w:t>”</w:t>
      </w:r>
      <w:r w:rsidR="0033032A" w:rsidRPr="00D31344">
        <w:t xml:space="preserve"> is a </w:t>
      </w:r>
      <w:r w:rsidR="00BB6CB7" w:rsidRPr="00D31344">
        <w:t xml:space="preserve">person </w:t>
      </w:r>
      <w:r w:rsidR="0033032A" w:rsidRPr="00D31344">
        <w:t xml:space="preserve">who works as a driver or courier for transportation or delivery network companies, which are businesses that operate transportation or delivery services using an electronic application or platform to connect passengers seeking transportation or customers seeking delivery of goods to drivers or couriers willing to provide those services with their personal vehicles.  (§ 7463, </w:t>
      </w:r>
      <w:proofErr w:type="spellStart"/>
      <w:r w:rsidR="0033032A" w:rsidRPr="00D31344">
        <w:t>subds</w:t>
      </w:r>
      <w:proofErr w:type="spellEnd"/>
      <w:r w:rsidR="0033032A" w:rsidRPr="00D31344">
        <w:t>.</w:t>
      </w:r>
      <w:r w:rsidR="00665024" w:rsidRPr="00D31344">
        <w:t> </w:t>
      </w:r>
      <w:r w:rsidR="0033032A" w:rsidRPr="00D31344">
        <w:t xml:space="preserve">(a), (f), </w:t>
      </w:r>
      <w:r w:rsidR="00BB6CB7" w:rsidRPr="00D31344">
        <w:t>(</w:t>
      </w:r>
      <w:proofErr w:type="spellStart"/>
      <w:r w:rsidR="00BB6CB7" w:rsidRPr="00D31344">
        <w:t>i</w:t>
      </w:r>
      <w:proofErr w:type="spellEnd"/>
      <w:r w:rsidR="00BB6CB7" w:rsidRPr="00D31344">
        <w:t xml:space="preserve">), </w:t>
      </w:r>
      <w:r w:rsidR="0033032A" w:rsidRPr="00D31344">
        <w:t xml:space="preserve">(q).)  </w:t>
      </w:r>
      <w:r w:rsidR="00A972C3" w:rsidRPr="00D31344">
        <w:t xml:space="preserve">Among the supporters of Protect Drivers and Proposition 22 were rideshare and delivery network companies such as Uber Technologies, Inc., Lyft, Inc., and </w:t>
      </w:r>
      <w:proofErr w:type="spellStart"/>
      <w:r w:rsidR="00A972C3" w:rsidRPr="00D31344">
        <w:t>DoorDash</w:t>
      </w:r>
      <w:proofErr w:type="spellEnd"/>
      <w:r w:rsidR="00A972C3" w:rsidRPr="00D31344">
        <w:t xml:space="preserve">, Inc. </w:t>
      </w:r>
    </w:p>
    <w:p w14:paraId="2F3680A5" w14:textId="705B57DA" w:rsidR="00140133" w:rsidRPr="00D31344" w:rsidRDefault="00570B35" w:rsidP="00140133">
      <w:pPr>
        <w:spacing w:line="360" w:lineRule="auto"/>
      </w:pPr>
      <w:r w:rsidRPr="00D31344">
        <w:tab/>
        <w:t xml:space="preserve">When interveners requested a title and summary of the measure so they could </w:t>
      </w:r>
      <w:r w:rsidRPr="00D31344">
        <w:t>gather the necessary signatures to qualify it for the ballot, the Attorney General gave it the title “Changes Employment Classification Rules for App-Based Transportation and Delivery Drivers.</w:t>
      </w:r>
      <w:r w:rsidR="00114701" w:rsidRPr="00D31344">
        <w:t>”</w:t>
      </w:r>
      <w:r w:rsidRPr="00D31344">
        <w:t xml:space="preserve">  The Attorney General later modified the title for the purpose</w:t>
      </w:r>
      <w:r w:rsidRPr="00D31344">
        <w:t>s of the voter information guide, titling it “Exempts App-Based Transportation and Delivery Companies from Providing Employee Benefits to Certain Drivers.”  (Voter Information Guide, Gen. Elec. (Nov.</w:t>
      </w:r>
      <w:r w:rsidR="00565D2C" w:rsidRPr="00D31344">
        <w:t> </w:t>
      </w:r>
      <w:r w:rsidRPr="00D31344">
        <w:t>3, 2020)</w:t>
      </w:r>
      <w:r w:rsidR="003D1BBF" w:rsidRPr="00D31344">
        <w:t xml:space="preserve"> title and </w:t>
      </w:r>
      <w:r w:rsidR="00503931" w:rsidRPr="00D31344">
        <w:t xml:space="preserve">summary </w:t>
      </w:r>
      <w:r w:rsidR="00503931" w:rsidRPr="00D31344">
        <w:lastRenderedPageBreak/>
        <w:t>of Prop. 22,</w:t>
      </w:r>
      <w:r w:rsidRPr="00D31344">
        <w:t xml:space="preserve"> p.</w:t>
      </w:r>
      <w:r w:rsidR="00565D2C" w:rsidRPr="00D31344">
        <w:t> </w:t>
      </w:r>
      <w:r w:rsidRPr="00D31344">
        <w:t>56 (Voter Gui</w:t>
      </w:r>
      <w:r w:rsidRPr="00D31344">
        <w:t xml:space="preserve">de).)  White and Protect Drivers filed a petition for writ of mandate in Sacramento County Superior Court to compel the Attorney General to revise the title and summary, but that court denied the petition. </w:t>
      </w:r>
    </w:p>
    <w:p w14:paraId="7835ED94" w14:textId="156FD091" w:rsidR="00E64F2A" w:rsidRPr="00D31344" w:rsidRDefault="00570B35" w:rsidP="006631FF">
      <w:pPr>
        <w:spacing w:line="360" w:lineRule="auto"/>
      </w:pPr>
      <w:r w:rsidRPr="00D31344">
        <w:tab/>
      </w:r>
      <w:r w:rsidR="00C25E08" w:rsidRPr="00D31344">
        <w:t xml:space="preserve">Proposition 22 </w:t>
      </w:r>
      <w:r w:rsidR="00F628F3" w:rsidRPr="00D31344">
        <w:t>added sections</w:t>
      </w:r>
      <w:r w:rsidR="009050AE" w:rsidRPr="00D31344">
        <w:t xml:space="preserve"> 7448 to 7467</w:t>
      </w:r>
      <w:r w:rsidR="00F628F3" w:rsidRPr="00D31344">
        <w:t xml:space="preserve"> to the Business and Professions Code</w:t>
      </w:r>
      <w:r w:rsidR="009050AE" w:rsidRPr="00D31344">
        <w:t>.  (</w:t>
      </w:r>
      <w:r w:rsidR="008F0577" w:rsidRPr="00D31344">
        <w:t xml:space="preserve">Proposition 22, § 1, available at </w:t>
      </w:r>
      <w:r w:rsidR="006D2283" w:rsidRPr="00D31344">
        <w:t>&lt;</w:t>
      </w:r>
      <w:r w:rsidR="00B84AFA" w:rsidRPr="00D31344">
        <w:t>https://repository.uchastings.edu/ca_ballot_inits/2165/</w:t>
      </w:r>
      <w:r w:rsidR="006D2283" w:rsidRPr="00D31344">
        <w:rPr>
          <w:rStyle w:val="Hyperlink"/>
          <w:color w:val="auto"/>
          <w:u w:val="none"/>
        </w:rPr>
        <w:t>&gt;</w:t>
      </w:r>
      <w:r w:rsidR="0037607E" w:rsidRPr="00D31344">
        <w:rPr>
          <w:rStyle w:val="Hyperlink"/>
          <w:color w:val="auto"/>
          <w:u w:val="none"/>
        </w:rPr>
        <w:t xml:space="preserve"> [as of</w:t>
      </w:r>
      <w:r w:rsidR="0037607E" w:rsidRPr="00D31344">
        <w:rPr>
          <w:rStyle w:val="Hyperlink"/>
          <w:color w:val="auto"/>
        </w:rPr>
        <w:t xml:space="preserve"> </w:t>
      </w:r>
      <w:r w:rsidR="00EF5A54" w:rsidRPr="00D31344">
        <w:rPr>
          <w:rStyle w:val="Hyperlink"/>
          <w:color w:val="auto"/>
          <w:u w:val="none"/>
        </w:rPr>
        <w:t>Mar. </w:t>
      </w:r>
      <w:r w:rsidR="007423F1" w:rsidRPr="00D31344">
        <w:rPr>
          <w:rStyle w:val="Hyperlink"/>
          <w:color w:val="auto"/>
          <w:u w:val="none"/>
        </w:rPr>
        <w:t>1</w:t>
      </w:r>
      <w:r w:rsidR="00EF5A54" w:rsidRPr="00D31344">
        <w:rPr>
          <w:rStyle w:val="Hyperlink"/>
          <w:color w:val="auto"/>
          <w:u w:val="none"/>
        </w:rPr>
        <w:t>3</w:t>
      </w:r>
      <w:r w:rsidR="00816CA3" w:rsidRPr="00D31344">
        <w:rPr>
          <w:rStyle w:val="Hyperlink"/>
          <w:color w:val="auto"/>
          <w:u w:val="none"/>
        </w:rPr>
        <w:t>, 2023]</w:t>
      </w:r>
      <w:r w:rsidR="008F0577" w:rsidRPr="00D31344">
        <w:t>.)</w:t>
      </w:r>
      <w:r w:rsidR="001958FE" w:rsidRPr="00D31344">
        <w:t xml:space="preserve">  </w:t>
      </w:r>
      <w:r w:rsidR="009050AE" w:rsidRPr="00D31344">
        <w:t>Section 7450 state</w:t>
      </w:r>
      <w:r w:rsidR="008F0577" w:rsidRPr="00D31344">
        <w:t>s</w:t>
      </w:r>
      <w:r w:rsidR="0033032A" w:rsidRPr="00D31344">
        <w:t xml:space="preserve"> </w:t>
      </w:r>
      <w:r w:rsidR="009050AE" w:rsidRPr="00D31344">
        <w:t xml:space="preserve">the </w:t>
      </w:r>
      <w:r w:rsidR="0063629F" w:rsidRPr="00D31344">
        <w:t>initiative’s</w:t>
      </w:r>
      <w:r w:rsidR="009050AE" w:rsidRPr="00D31344">
        <w:t xml:space="preserve"> </w:t>
      </w:r>
      <w:r w:rsidR="0033032A" w:rsidRPr="00D31344">
        <w:t xml:space="preserve">purposes </w:t>
      </w:r>
      <w:r w:rsidR="008F0577" w:rsidRPr="00D31344">
        <w:t xml:space="preserve">are </w:t>
      </w:r>
      <w:r w:rsidR="009050AE" w:rsidRPr="00D31344">
        <w:t xml:space="preserve">to </w:t>
      </w:r>
      <w:r w:rsidR="005B0D9F" w:rsidRPr="00D31344">
        <w:t>(1)</w:t>
      </w:r>
      <w:r w:rsidR="001A28E5" w:rsidRPr="00D31344">
        <w:t> </w:t>
      </w:r>
      <w:r w:rsidR="009050AE" w:rsidRPr="00D31344">
        <w:t>“protect the basic legal right of Californians to choose to work as independent contractors with rideshare and delivery network companies”</w:t>
      </w:r>
      <w:r w:rsidR="005B0D9F" w:rsidRPr="00D31344">
        <w:t>; (2)</w:t>
      </w:r>
      <w:r w:rsidR="001A28E5" w:rsidRPr="00D31344">
        <w:t> </w:t>
      </w:r>
      <w:r w:rsidR="009050AE" w:rsidRPr="00D31344">
        <w:t>“protect the individual right of every app-based rideshare and delivery driver to have the flexibility to set their own hours for when, where, and how they work”</w:t>
      </w:r>
      <w:r w:rsidR="001E5416" w:rsidRPr="00D31344">
        <w:t>; (3)</w:t>
      </w:r>
      <w:r w:rsidR="001A28E5" w:rsidRPr="00D31344">
        <w:t> </w:t>
      </w:r>
      <w:r w:rsidR="009050AE" w:rsidRPr="00D31344">
        <w:t>“require rideshare and delivery network companies to offer new protections and benefits for app-based rideshare and delivery drivers”</w:t>
      </w:r>
      <w:r w:rsidR="001E5416" w:rsidRPr="00D31344">
        <w:t>; and (4)</w:t>
      </w:r>
      <w:r w:rsidR="001A28E5" w:rsidRPr="00D31344">
        <w:t> </w:t>
      </w:r>
      <w:r w:rsidR="009050AE" w:rsidRPr="00D31344">
        <w:t>“improve public safety by requiring criminal background checks, driver safety training, and other safety provisions to help ensure app-based rideshare and delivery drivers do not pose a threat to customers or the public</w:t>
      </w:r>
      <w:r w:rsidR="005B0D9F" w:rsidRPr="00D31344">
        <w:t>.</w:t>
      </w:r>
      <w:r w:rsidR="009050AE" w:rsidRPr="00D31344">
        <w:t>”</w:t>
      </w:r>
      <w:r w:rsidR="005B0D9F" w:rsidRPr="00D31344">
        <w:t xml:space="preserve">  (§ 7450</w:t>
      </w:r>
      <w:r w:rsidR="008B16CB" w:rsidRPr="00D31344">
        <w:t>.)</w:t>
      </w:r>
    </w:p>
    <w:p w14:paraId="2B8CE7F1" w14:textId="720F7321" w:rsidR="00A33E21" w:rsidRPr="00D31344" w:rsidRDefault="00570B35" w:rsidP="006631FF">
      <w:pPr>
        <w:pStyle w:val="Header"/>
        <w:spacing w:line="360" w:lineRule="auto"/>
      </w:pPr>
      <w:r w:rsidRPr="00D31344">
        <w:tab/>
        <w:t>To achieve the</w:t>
      </w:r>
      <w:r w:rsidR="00961592" w:rsidRPr="00D31344">
        <w:t>se purposes</w:t>
      </w:r>
      <w:r w:rsidRPr="00D31344">
        <w:t xml:space="preserve">, </w:t>
      </w:r>
      <w:r w:rsidR="00E404D2" w:rsidRPr="00D31344">
        <w:t xml:space="preserve">section 7451, titled “Protecting Independence,” </w:t>
      </w:r>
      <w:r w:rsidR="00FF4FC7" w:rsidRPr="00D31344">
        <w:t>provide</w:t>
      </w:r>
      <w:r w:rsidR="00CC4CDF" w:rsidRPr="00D31344">
        <w:t>s</w:t>
      </w:r>
      <w:r w:rsidR="00E404D2" w:rsidRPr="00D31344">
        <w:t xml:space="preserve">, </w:t>
      </w:r>
      <w:r w:rsidR="00B718FF" w:rsidRPr="00D31344">
        <w:t>“</w:t>
      </w:r>
      <w:r w:rsidR="00E404D2" w:rsidRPr="00D31344">
        <w:t xml:space="preserve">Notwithstanding any other provision of law, including, but not limited to, the Labor Code, the Unemployment Insurance Code, and any orders, regulations, or opinions of the Department of Industrial Relations or any board, division, or commission within the Department of Industrial Relations, an app-based driver is an independent contractor and not an employee or agent with respect to the app-based driver’s </w:t>
      </w:r>
      <w:r w:rsidR="00E404D2" w:rsidRPr="00D31344">
        <w:lastRenderedPageBreak/>
        <w:t>relationship with a network company” if</w:t>
      </w:r>
      <w:r w:rsidR="001824E3" w:rsidRPr="00D31344">
        <w:t xml:space="preserve"> </w:t>
      </w:r>
      <w:r w:rsidR="00C81A0C" w:rsidRPr="00D31344">
        <w:t xml:space="preserve">the </w:t>
      </w:r>
      <w:r w:rsidR="006C26D6" w:rsidRPr="00D31344">
        <w:t xml:space="preserve">company </w:t>
      </w:r>
      <w:r w:rsidR="001824E3" w:rsidRPr="00D31344">
        <w:t xml:space="preserve">does not </w:t>
      </w:r>
      <w:r w:rsidR="00CC4E55" w:rsidRPr="00D31344">
        <w:t>control the drivers in certain specified ways</w:t>
      </w:r>
      <w:r w:rsidR="00C81A0C" w:rsidRPr="00D31344">
        <w:t>.  (§ 7451.)</w:t>
      </w:r>
      <w:r>
        <w:rPr>
          <w:rStyle w:val="FootnoteReference"/>
        </w:rPr>
        <w:footnoteReference w:id="5"/>
      </w:r>
      <w:r w:rsidR="00B808D4" w:rsidRPr="00D31344">
        <w:t xml:space="preserve">  </w:t>
      </w:r>
      <w:r w:rsidR="005B208C" w:rsidRPr="00D31344">
        <w:t xml:space="preserve">Proposition 22 then </w:t>
      </w:r>
      <w:r w:rsidR="00B808D4" w:rsidRPr="00D31344">
        <w:t>detail</w:t>
      </w:r>
      <w:r w:rsidR="005B4771" w:rsidRPr="00D31344">
        <w:t>s</w:t>
      </w:r>
      <w:r w:rsidR="00B808D4" w:rsidRPr="00D31344">
        <w:t xml:space="preserve"> certain benefits to which drivers </w:t>
      </w:r>
      <w:r w:rsidR="00EE795A" w:rsidRPr="00D31344">
        <w:t>are</w:t>
      </w:r>
      <w:r w:rsidR="00B808D4" w:rsidRPr="00D31344">
        <w:t xml:space="preserve"> entitled, including a </w:t>
      </w:r>
      <w:r w:rsidR="001F2DB5" w:rsidRPr="00D31344">
        <w:t xml:space="preserve">health </w:t>
      </w:r>
      <w:r w:rsidR="00301E28" w:rsidRPr="00D31344">
        <w:t>care subsidy</w:t>
      </w:r>
      <w:r w:rsidR="00F43B6D" w:rsidRPr="00D31344">
        <w:t xml:space="preserve"> for drivers meeting certain minimum requirements for hours spent providing services (as opposed to waiting to provide services)</w:t>
      </w:r>
      <w:r w:rsidR="004A4114" w:rsidRPr="00D31344">
        <w:t>;</w:t>
      </w:r>
      <w:r w:rsidR="001F2DB5" w:rsidRPr="00D31344">
        <w:t xml:space="preserve"> a minimum earnings guarantee</w:t>
      </w:r>
      <w:r w:rsidR="00EB361D" w:rsidRPr="00D31344">
        <w:t xml:space="preserve"> based on</w:t>
      </w:r>
      <w:r w:rsidR="005E4DE2" w:rsidRPr="00D31344">
        <w:t xml:space="preserve"> time spent providing services</w:t>
      </w:r>
      <w:r w:rsidR="004A4114" w:rsidRPr="00D31344">
        <w:t>;</w:t>
      </w:r>
      <w:r w:rsidR="00301E28" w:rsidRPr="00D31344">
        <w:t xml:space="preserve"> </w:t>
      </w:r>
      <w:r w:rsidR="00B24F99" w:rsidRPr="00D31344">
        <w:t>occupational accident insurance</w:t>
      </w:r>
      <w:r w:rsidR="004A4114" w:rsidRPr="00D31344">
        <w:t>;</w:t>
      </w:r>
      <w:r w:rsidR="00B24F99" w:rsidRPr="00D31344">
        <w:t xml:space="preserve"> </w:t>
      </w:r>
      <w:r w:rsidR="00EE554D" w:rsidRPr="00D31344">
        <w:t>and contract, anti-discrimination, and termination</w:t>
      </w:r>
      <w:r w:rsidR="00EB361D" w:rsidRPr="00D31344">
        <w:t xml:space="preserve"> rights.  (§§</w:t>
      </w:r>
      <w:r w:rsidR="003763AE" w:rsidRPr="00D31344">
        <w:t> </w:t>
      </w:r>
      <w:r w:rsidR="00EB361D" w:rsidRPr="00D31344">
        <w:t>745</w:t>
      </w:r>
      <w:r w:rsidR="00ED107E" w:rsidRPr="00D31344">
        <w:t>2</w:t>
      </w:r>
      <w:r w:rsidR="00EB361D" w:rsidRPr="00D31344">
        <w:t>–745</w:t>
      </w:r>
      <w:r w:rsidR="006C1802" w:rsidRPr="00D31344">
        <w:t>6</w:t>
      </w:r>
      <w:r w:rsidR="00F43B6D" w:rsidRPr="00D31344">
        <w:t xml:space="preserve">, </w:t>
      </w:r>
      <w:r w:rsidR="00D40493" w:rsidRPr="00D31344">
        <w:t>746</w:t>
      </w:r>
      <w:r w:rsidR="00331417" w:rsidRPr="00D31344">
        <w:t xml:space="preserve">3, </w:t>
      </w:r>
      <w:proofErr w:type="spellStart"/>
      <w:r w:rsidR="00331417" w:rsidRPr="00D31344">
        <w:t>subd</w:t>
      </w:r>
      <w:proofErr w:type="spellEnd"/>
      <w:r w:rsidR="00331417" w:rsidRPr="00D31344">
        <w:t>.</w:t>
      </w:r>
      <w:r w:rsidR="003763AE" w:rsidRPr="00D31344">
        <w:t> </w:t>
      </w:r>
      <w:r w:rsidR="00331417" w:rsidRPr="00D31344">
        <w:t>(</w:t>
      </w:r>
      <w:r w:rsidR="007A588D" w:rsidRPr="00D31344">
        <w:t>j</w:t>
      </w:r>
      <w:r w:rsidR="00331417" w:rsidRPr="00D31344">
        <w:t>)</w:t>
      </w:r>
      <w:r w:rsidR="00F43B6D" w:rsidRPr="00D31344">
        <w:t>.</w:t>
      </w:r>
      <w:r w:rsidR="00331417" w:rsidRPr="00D31344">
        <w:t>)</w:t>
      </w:r>
      <w:r w:rsidRPr="00D31344">
        <w:t xml:space="preserve">  The initiative also include</w:t>
      </w:r>
      <w:r w:rsidR="004D1BC9" w:rsidRPr="00D31344">
        <w:t>s</w:t>
      </w:r>
      <w:r w:rsidRPr="00D31344">
        <w:t xml:space="preserve"> various </w:t>
      </w:r>
      <w:r w:rsidR="006C1802" w:rsidRPr="00D31344">
        <w:t>obligations for drivers</w:t>
      </w:r>
      <w:r w:rsidRPr="00D31344">
        <w:t xml:space="preserve"> relating to safety</w:t>
      </w:r>
      <w:r w:rsidR="006F69EC" w:rsidRPr="00D31344">
        <w:t>, such as background check and rest requirements.  (§</w:t>
      </w:r>
      <w:r w:rsidR="00BE1A97" w:rsidRPr="00D31344">
        <w:t>§ 7458, 7461.)</w:t>
      </w:r>
    </w:p>
    <w:p w14:paraId="0F339BB9" w14:textId="63A4EFBD" w:rsidR="0058080E" w:rsidRPr="00D31344" w:rsidRDefault="00570B35" w:rsidP="006631FF">
      <w:pPr>
        <w:pStyle w:val="Header"/>
        <w:spacing w:line="360" w:lineRule="auto"/>
      </w:pPr>
      <w:r w:rsidRPr="00D31344">
        <w:tab/>
      </w:r>
      <w:r w:rsidR="00EF3411" w:rsidRPr="00D31344">
        <w:t xml:space="preserve">Section 7465 </w:t>
      </w:r>
      <w:r w:rsidR="00FA6C65" w:rsidRPr="00D31344">
        <w:t xml:space="preserve">is the only section </w:t>
      </w:r>
      <w:r w:rsidR="00EF3411" w:rsidRPr="00D31344">
        <w:t>contained in a</w:t>
      </w:r>
      <w:r w:rsidR="005023A0" w:rsidRPr="00D31344">
        <w:t xml:space="preserve">rticle </w:t>
      </w:r>
      <w:r w:rsidR="00EF3411" w:rsidRPr="00D31344">
        <w:t xml:space="preserve">9, which is </w:t>
      </w:r>
      <w:r w:rsidR="005023A0" w:rsidRPr="00D31344">
        <w:t>titled “Amendment”</w:t>
      </w:r>
      <w:r w:rsidR="00EF367B" w:rsidRPr="00D31344">
        <w:t>;</w:t>
      </w:r>
      <w:r w:rsidR="005023A0" w:rsidRPr="00D31344">
        <w:t xml:space="preserve"> </w:t>
      </w:r>
      <w:r w:rsidR="00EF367B" w:rsidRPr="00D31344">
        <w:t>it</w:t>
      </w:r>
      <w:r w:rsidR="00FA6C65" w:rsidRPr="00D31344">
        <w:t xml:space="preserve"> </w:t>
      </w:r>
      <w:r w:rsidR="005023A0" w:rsidRPr="00D31344">
        <w:t>descri</w:t>
      </w:r>
      <w:r w:rsidR="009D1D9F" w:rsidRPr="00D31344">
        <w:t>b</w:t>
      </w:r>
      <w:r w:rsidR="00A55484" w:rsidRPr="00D31344">
        <w:t>es</w:t>
      </w:r>
      <w:r w:rsidR="009D1D9F" w:rsidRPr="00D31344">
        <w:t xml:space="preserve"> the circumstances in which the Legislature </w:t>
      </w:r>
      <w:r w:rsidR="004D1BC9" w:rsidRPr="00D31344">
        <w:t>can</w:t>
      </w:r>
      <w:r w:rsidR="009D1D9F" w:rsidRPr="00D31344">
        <w:t xml:space="preserve"> amend </w:t>
      </w:r>
      <w:r w:rsidR="00A55484" w:rsidRPr="00D31344">
        <w:t>Proposition 22</w:t>
      </w:r>
      <w:r w:rsidR="00ED2D5A" w:rsidRPr="00D31344">
        <w:t xml:space="preserve"> without voter approval</w:t>
      </w:r>
      <w:r w:rsidR="009D1D9F" w:rsidRPr="00D31344">
        <w:t xml:space="preserve">.  </w:t>
      </w:r>
      <w:r w:rsidR="008F0577" w:rsidRPr="00D31344">
        <w:t xml:space="preserve">(§ 7465.)  </w:t>
      </w:r>
      <w:r w:rsidR="00B339D0" w:rsidRPr="00D31344">
        <w:t xml:space="preserve">As relevant here, </w:t>
      </w:r>
      <w:r w:rsidR="00EF367B" w:rsidRPr="00D31344">
        <w:t>section 7465</w:t>
      </w:r>
      <w:r w:rsidR="00711B55" w:rsidRPr="00D31344">
        <w:t xml:space="preserve"> state</w:t>
      </w:r>
      <w:r w:rsidR="004D1BC9" w:rsidRPr="00D31344">
        <w:t>s</w:t>
      </w:r>
      <w:r w:rsidR="00711B55" w:rsidRPr="00D31344">
        <w:t xml:space="preserve"> that the </w:t>
      </w:r>
      <w:r w:rsidR="00711B55" w:rsidRPr="00D31344">
        <w:lastRenderedPageBreak/>
        <w:t xml:space="preserve">Legislature </w:t>
      </w:r>
      <w:r w:rsidR="004D1BC9" w:rsidRPr="00D31344">
        <w:t>can</w:t>
      </w:r>
      <w:r w:rsidR="00711B55" w:rsidRPr="00D31344">
        <w:t xml:space="preserve"> amend </w:t>
      </w:r>
      <w:r w:rsidR="00E920DE" w:rsidRPr="00D31344">
        <w:t xml:space="preserve">Proposition 22’s </w:t>
      </w:r>
      <w:r w:rsidR="00711B55" w:rsidRPr="00D31344">
        <w:t xml:space="preserve">provisions </w:t>
      </w:r>
      <w:r w:rsidR="00237214" w:rsidRPr="00D31344">
        <w:t xml:space="preserve">with a </w:t>
      </w:r>
      <w:r w:rsidR="009B6FC1" w:rsidRPr="00D31344">
        <w:t xml:space="preserve">statute passed by a </w:t>
      </w:r>
      <w:r w:rsidR="00237214" w:rsidRPr="00D31344">
        <w:t xml:space="preserve">seven-eighths </w:t>
      </w:r>
      <w:r w:rsidR="009B6FC1" w:rsidRPr="00D31344">
        <w:t xml:space="preserve">majority in both houses, </w:t>
      </w:r>
      <w:r w:rsidR="00183A47" w:rsidRPr="00D31344">
        <w:t xml:space="preserve">so long as the statute </w:t>
      </w:r>
      <w:r w:rsidR="004D1BC9" w:rsidRPr="00D31344">
        <w:t>is</w:t>
      </w:r>
      <w:r w:rsidR="00183A47" w:rsidRPr="00D31344">
        <w:t xml:space="preserve"> “consistent with, and furthers the purpose of,” the initiative</w:t>
      </w:r>
      <w:r w:rsidR="008D1FFC" w:rsidRPr="00D31344">
        <w:t xml:space="preserve"> and the Legislature complies with certain procedural requirements</w:t>
      </w:r>
      <w:r w:rsidR="00183A47" w:rsidRPr="00D31344">
        <w:t>.</w:t>
      </w:r>
      <w:r w:rsidR="009E022B" w:rsidRPr="00D31344">
        <w:t xml:space="preserve">  (§ 7465, </w:t>
      </w:r>
      <w:proofErr w:type="spellStart"/>
      <w:r w:rsidR="009E022B" w:rsidRPr="00D31344">
        <w:t>subd</w:t>
      </w:r>
      <w:proofErr w:type="spellEnd"/>
      <w:r w:rsidR="009E022B" w:rsidRPr="00D31344">
        <w:t>.</w:t>
      </w:r>
      <w:r w:rsidR="0054625D" w:rsidRPr="00D31344">
        <w:t> </w:t>
      </w:r>
      <w:r w:rsidR="009E022B" w:rsidRPr="00D31344">
        <w:t xml:space="preserve">(a).)  </w:t>
      </w:r>
      <w:r w:rsidR="00EF3411" w:rsidRPr="00D31344">
        <w:t>Section 7465</w:t>
      </w:r>
      <w:r w:rsidR="00C0781A" w:rsidRPr="00D31344">
        <w:t>, subdivision</w:t>
      </w:r>
      <w:r w:rsidR="007F40CF" w:rsidRPr="00D31344">
        <w:t> </w:t>
      </w:r>
      <w:r w:rsidR="00C0781A" w:rsidRPr="00D31344">
        <w:t xml:space="preserve">(c) </w:t>
      </w:r>
      <w:r w:rsidR="00912B46" w:rsidRPr="00D31344">
        <w:t>(</w:t>
      </w:r>
      <w:r w:rsidR="00DC6E50" w:rsidRPr="00D31344">
        <w:t>section</w:t>
      </w:r>
      <w:r w:rsidR="00912B46" w:rsidRPr="00D31344">
        <w:t xml:space="preserve"> 7465(c)) </w:t>
      </w:r>
      <w:r w:rsidR="00C0781A" w:rsidRPr="00D31344">
        <w:t>then addresses</w:t>
      </w:r>
      <w:r w:rsidR="00912B46" w:rsidRPr="00D31344">
        <w:t xml:space="preserve"> the application of these requirements.</w:t>
      </w:r>
      <w:r w:rsidR="00EF3411" w:rsidRPr="00D31344">
        <w:t xml:space="preserve"> </w:t>
      </w:r>
      <w:r w:rsidR="00291AEE" w:rsidRPr="00D31344">
        <w:t xml:space="preserve"> </w:t>
      </w:r>
      <w:r w:rsidR="004F61C7" w:rsidRPr="00D31344">
        <w:t xml:space="preserve">Section 7465(c)(1) states that the initiative’s purposes are described in </w:t>
      </w:r>
      <w:r w:rsidR="004F154A" w:rsidRPr="00D31344">
        <w:t xml:space="preserve">sections 7448 to 7450.  </w:t>
      </w:r>
      <w:r w:rsidR="00291AEE" w:rsidRPr="00D31344">
        <w:t>Section 7465(c)(</w:t>
      </w:r>
      <w:r w:rsidR="004F61C7" w:rsidRPr="00D31344">
        <w:t>2</w:t>
      </w:r>
      <w:r w:rsidR="00291AEE" w:rsidRPr="00D31344">
        <w:t>)</w:t>
      </w:r>
      <w:r w:rsidR="00EF3411" w:rsidRPr="00D31344">
        <w:t xml:space="preserve"> states that a</w:t>
      </w:r>
      <w:r w:rsidR="00BC7237" w:rsidRPr="00D31344">
        <w:t xml:space="preserve">ny statute that amends </w:t>
      </w:r>
      <w:r w:rsidR="00FC19FB" w:rsidRPr="00D31344">
        <w:t xml:space="preserve">the definition of app-based drivers as independent contractors </w:t>
      </w:r>
      <w:r w:rsidR="00070874" w:rsidRPr="00D31344">
        <w:t xml:space="preserve">in section 7451 </w:t>
      </w:r>
      <w:r w:rsidR="00FC19FB" w:rsidRPr="00D31344">
        <w:t>does not further th</w:t>
      </w:r>
      <w:r w:rsidR="00D801D9" w:rsidRPr="00D31344">
        <w:t>ose</w:t>
      </w:r>
      <w:r w:rsidR="00FC19FB" w:rsidRPr="00D31344">
        <w:t xml:space="preserve"> purpose</w:t>
      </w:r>
      <w:r w:rsidR="00270C0D" w:rsidRPr="00D31344">
        <w:t>s</w:t>
      </w:r>
      <w:r w:rsidR="00FC19FB" w:rsidRPr="00D31344">
        <w:t xml:space="preserve">, effectively </w:t>
      </w:r>
      <w:r w:rsidR="00814398" w:rsidRPr="00D31344">
        <w:t>preventing the Legislature from amending that section</w:t>
      </w:r>
      <w:r w:rsidR="00B155D5" w:rsidRPr="00D31344">
        <w:t xml:space="preserve"> without voter approval</w:t>
      </w:r>
      <w:r w:rsidR="00814398" w:rsidRPr="00D31344">
        <w:t xml:space="preserve">.  </w:t>
      </w:r>
      <w:r w:rsidR="00292B06" w:rsidRPr="00D31344">
        <w:t>Section 7465</w:t>
      </w:r>
      <w:r w:rsidR="00291AEE" w:rsidRPr="00D31344">
        <w:t xml:space="preserve">(c)(3) </w:t>
      </w:r>
      <w:r w:rsidR="00292B06" w:rsidRPr="00D31344">
        <w:t xml:space="preserve">declares </w:t>
      </w:r>
      <w:r w:rsidR="00F97B94" w:rsidRPr="00D31344">
        <w:t xml:space="preserve">that any statute that places unequal regulatory burdens on app-based drivers, such as </w:t>
      </w:r>
      <w:r w:rsidR="00270C0D" w:rsidRPr="00D31344">
        <w:t>a rule</w:t>
      </w:r>
      <w:r w:rsidR="00F97B94" w:rsidRPr="00D31344">
        <w:t xml:space="preserve"> that prohibits </w:t>
      </w:r>
      <w:r w:rsidR="005D2011" w:rsidRPr="00D31344">
        <w:t xml:space="preserve">only app-based drivers from performing </w:t>
      </w:r>
      <w:proofErr w:type="gramStart"/>
      <w:r w:rsidR="005D2011" w:rsidRPr="00D31344">
        <w:t>particular services</w:t>
      </w:r>
      <w:proofErr w:type="gramEnd"/>
      <w:r w:rsidR="005D2011" w:rsidRPr="00D31344">
        <w:t>, const</w:t>
      </w:r>
      <w:r w:rsidR="00DC664D" w:rsidRPr="00D31344">
        <w:t xml:space="preserve">itutes an amendment of the initiative.  </w:t>
      </w:r>
      <w:r w:rsidR="00291AEE" w:rsidRPr="00D31344">
        <w:t xml:space="preserve">And section 7465(c)(4) </w:t>
      </w:r>
      <w:r w:rsidR="000D6DB0" w:rsidRPr="00D31344">
        <w:t xml:space="preserve">declares that a statute </w:t>
      </w:r>
      <w:r w:rsidR="001D28C9" w:rsidRPr="00D31344">
        <w:t>constitutes</w:t>
      </w:r>
      <w:r w:rsidR="000D6DB0" w:rsidRPr="00D31344">
        <w:t xml:space="preserve"> an amendment if it “authorizes any entity or organization to represent the interests of app-based drivers in connection with drivers’ contractual relationships with network companies, or drivers’ compensation, benefits, or working conditions.”</w:t>
      </w:r>
    </w:p>
    <w:p w14:paraId="63E1868B" w14:textId="1DEB9451" w:rsidR="00B339D0" w:rsidRPr="00D31344" w:rsidRDefault="00570B35" w:rsidP="006631FF">
      <w:pPr>
        <w:pStyle w:val="Header"/>
        <w:spacing w:line="360" w:lineRule="auto"/>
      </w:pPr>
      <w:r w:rsidRPr="00D31344">
        <w:tab/>
        <w:t xml:space="preserve">Proposition 22 contains a severability clause declaring that </w:t>
      </w:r>
      <w:r w:rsidR="00252392" w:rsidRPr="00D31344">
        <w:t xml:space="preserve">if any provision is held to be invalid, the remainder of the initiative </w:t>
      </w:r>
      <w:r w:rsidR="000A63E2" w:rsidRPr="00D31344">
        <w:t xml:space="preserve">shall remain valid, except that the invalidity of anything in section </w:t>
      </w:r>
      <w:r w:rsidR="00605031" w:rsidRPr="00D31344">
        <w:t>7451</w:t>
      </w:r>
      <w:r w:rsidR="0059281C" w:rsidRPr="00D31344">
        <w:t xml:space="preserve">—which declares </w:t>
      </w:r>
      <w:r w:rsidR="000A63E2" w:rsidRPr="00D31344">
        <w:t xml:space="preserve">drivers to be independent contractors and not employees </w:t>
      </w:r>
      <w:r w:rsidR="0059281C" w:rsidRPr="00D31344">
        <w:t>under certain conditions—</w:t>
      </w:r>
      <w:r w:rsidR="000A63E2" w:rsidRPr="00D31344">
        <w:t>would invalidate the entire init</w:t>
      </w:r>
      <w:r w:rsidR="00454D71" w:rsidRPr="00D31344">
        <w:t>i</w:t>
      </w:r>
      <w:r w:rsidR="000A63E2" w:rsidRPr="00D31344">
        <w:t>ative.  (§ 7467.)</w:t>
      </w:r>
      <w:r w:rsidR="00454D71" w:rsidRPr="00D31344">
        <w:t xml:space="preserve">  </w:t>
      </w:r>
    </w:p>
    <w:p w14:paraId="221BDD41" w14:textId="63F3CF27" w:rsidR="00472819" w:rsidRPr="00D31344" w:rsidRDefault="00570B35" w:rsidP="006631FF">
      <w:pPr>
        <w:pStyle w:val="Header"/>
        <w:tabs>
          <w:tab w:val="clear" w:pos="4680"/>
          <w:tab w:val="clear" w:pos="9360"/>
        </w:tabs>
        <w:spacing w:line="360" w:lineRule="auto"/>
      </w:pPr>
      <w:r w:rsidRPr="00D31344">
        <w:lastRenderedPageBreak/>
        <w:tab/>
        <w:t>The voters approved Proposition 22</w:t>
      </w:r>
      <w:r w:rsidR="002E19AE" w:rsidRPr="00D31344">
        <w:t xml:space="preserve"> in November 2020</w:t>
      </w:r>
      <w:r w:rsidR="003436D6" w:rsidRPr="00D31344">
        <w:t xml:space="preserve">, with </w:t>
      </w:r>
      <w:r w:rsidR="00590601" w:rsidRPr="00D31344">
        <w:t>58.6 percent of vote</w:t>
      </w:r>
      <w:r w:rsidR="00553EA7" w:rsidRPr="00D31344">
        <w:t>r</w:t>
      </w:r>
      <w:r w:rsidR="00590601" w:rsidRPr="00D31344">
        <w:t>s in favor and 41.4 percent opposed</w:t>
      </w:r>
      <w:r w:rsidR="00360B3B" w:rsidRPr="00D31344">
        <w:t xml:space="preserve">. </w:t>
      </w:r>
    </w:p>
    <w:p w14:paraId="2894CE26" w14:textId="3A258F7F" w:rsidR="00A7707C" w:rsidRPr="00D31344" w:rsidRDefault="00570B35" w:rsidP="006631FF">
      <w:pPr>
        <w:pStyle w:val="Header"/>
        <w:spacing w:line="360" w:lineRule="auto"/>
      </w:pPr>
      <w:r w:rsidRPr="00D31344">
        <w:tab/>
        <w:t xml:space="preserve">In January 2021, </w:t>
      </w:r>
      <w:r w:rsidR="00C41ADC" w:rsidRPr="00D31344">
        <w:t xml:space="preserve">plaintiffs filed a petition for writ of mandate </w:t>
      </w:r>
      <w:r w:rsidR="00D1711A" w:rsidRPr="00D31344">
        <w:t>in the California Supreme Court</w:t>
      </w:r>
      <w:r w:rsidR="00C21C6C" w:rsidRPr="00D31344">
        <w:t xml:space="preserve"> </w:t>
      </w:r>
      <w:r w:rsidR="00553EA7" w:rsidRPr="00D31344">
        <w:t xml:space="preserve">seeking a declaration that </w:t>
      </w:r>
      <w:r w:rsidR="00B333E3" w:rsidRPr="00D31344">
        <w:t>Proposition 22</w:t>
      </w:r>
      <w:r w:rsidR="00553EA7" w:rsidRPr="00D31344">
        <w:t xml:space="preserve"> </w:t>
      </w:r>
      <w:r w:rsidR="00BB09E0" w:rsidRPr="00D31344">
        <w:t>i</w:t>
      </w:r>
      <w:r w:rsidR="00553EA7" w:rsidRPr="00D31344">
        <w:t>s invalid</w:t>
      </w:r>
      <w:r w:rsidR="00B333E3" w:rsidRPr="00D31344">
        <w:t xml:space="preserve">.  </w:t>
      </w:r>
      <w:r w:rsidRPr="00D31344">
        <w:t xml:space="preserve">The Supreme Court denied the petition in February 2021 “without prejudice to refiling in an appropriate court,” though two justices </w:t>
      </w:r>
      <w:proofErr w:type="gramStart"/>
      <w:r w:rsidRPr="00D31344">
        <w:t>were of the opinion that</w:t>
      </w:r>
      <w:proofErr w:type="gramEnd"/>
      <w:r w:rsidRPr="00D31344">
        <w:t xml:space="preserve"> the </w:t>
      </w:r>
      <w:r w:rsidR="00C230AC" w:rsidRPr="00D31344">
        <w:t>c</w:t>
      </w:r>
      <w:r w:rsidRPr="00D31344">
        <w:t xml:space="preserve">ourt should have issued an order to show cause.  </w:t>
      </w:r>
      <w:r w:rsidR="00511CC0" w:rsidRPr="00D31344">
        <w:t>(</w:t>
      </w:r>
      <w:r w:rsidR="00511CC0" w:rsidRPr="00D31344">
        <w:rPr>
          <w:i/>
          <w:iCs/>
        </w:rPr>
        <w:t>Castellanos v. State of California</w:t>
      </w:r>
      <w:r w:rsidR="00511CC0" w:rsidRPr="00D31344">
        <w:t xml:space="preserve">, S266551, Supreme Ct. Mins., Feb. 3, 2021.)  </w:t>
      </w:r>
    </w:p>
    <w:p w14:paraId="11BDEC52" w14:textId="36EF051F" w:rsidR="00632C7F" w:rsidRPr="00D31344" w:rsidRDefault="00570B35" w:rsidP="006631FF">
      <w:pPr>
        <w:pStyle w:val="Header"/>
        <w:spacing w:line="360" w:lineRule="auto"/>
      </w:pPr>
      <w:r w:rsidRPr="00D31344">
        <w:tab/>
      </w:r>
      <w:r w:rsidR="00230F27" w:rsidRPr="00D31344">
        <w:t xml:space="preserve">A week later, plaintiffs filed a petition for writ of mandate in Alameda County Superior Court. </w:t>
      </w:r>
      <w:r w:rsidR="00575EA9" w:rsidRPr="00D31344">
        <w:t xml:space="preserve"> </w:t>
      </w:r>
      <w:r w:rsidRPr="00D31344">
        <w:t>Plaintiffs named as defendants the State of California and Katie Hagen as the director of the Department of Industrial Re</w:t>
      </w:r>
      <w:r w:rsidRPr="00D31344">
        <w:t xml:space="preserve">lations (defendants).  </w:t>
      </w:r>
      <w:r w:rsidR="007D7669" w:rsidRPr="00D31344">
        <w:t xml:space="preserve">By </w:t>
      </w:r>
      <w:r w:rsidR="001619E0" w:rsidRPr="00D31344">
        <w:t>stipulat</w:t>
      </w:r>
      <w:r w:rsidR="007D7669" w:rsidRPr="00D31344">
        <w:t xml:space="preserve">ion, the </w:t>
      </w:r>
      <w:r w:rsidR="00B23EB7" w:rsidRPr="00D31344">
        <w:t xml:space="preserve">trial court granted </w:t>
      </w:r>
      <w:r w:rsidR="001619E0" w:rsidRPr="00D31344">
        <w:t>i</w:t>
      </w:r>
      <w:r w:rsidR="0062399E" w:rsidRPr="00D31344">
        <w:t>nterveners</w:t>
      </w:r>
      <w:r w:rsidR="007D7669" w:rsidRPr="00D31344">
        <w:t xml:space="preserve"> leave to </w:t>
      </w:r>
      <w:r w:rsidRPr="00D31344">
        <w:t>intervene to oppose the petition</w:t>
      </w:r>
      <w:r w:rsidR="005924F0" w:rsidRPr="00D31344">
        <w:t xml:space="preserve"> as real parties in interest</w:t>
      </w:r>
      <w:r w:rsidRPr="00D31344">
        <w:t xml:space="preserve">. </w:t>
      </w:r>
    </w:p>
    <w:p w14:paraId="1FDF291F" w14:textId="7FD159AC" w:rsidR="003246C1" w:rsidRPr="00D31344" w:rsidRDefault="00570B35" w:rsidP="006631FF">
      <w:pPr>
        <w:pStyle w:val="Header"/>
        <w:spacing w:line="360" w:lineRule="auto"/>
      </w:pPr>
      <w:r w:rsidRPr="00D31344">
        <w:tab/>
        <w:t xml:space="preserve">Plaintiffs </w:t>
      </w:r>
      <w:r w:rsidR="00C41ADC" w:rsidRPr="00D31344">
        <w:t>alleg</w:t>
      </w:r>
      <w:r w:rsidR="00230F27" w:rsidRPr="00D31344">
        <w:t>ed</w:t>
      </w:r>
      <w:r w:rsidR="00575EA9" w:rsidRPr="00D31344">
        <w:t xml:space="preserve"> </w:t>
      </w:r>
      <w:r w:rsidR="00C41ADC" w:rsidRPr="00D31344">
        <w:t xml:space="preserve">that Proposition 22 </w:t>
      </w:r>
      <w:r w:rsidR="00BE18CF" w:rsidRPr="00D31344">
        <w:t>i</w:t>
      </w:r>
      <w:r w:rsidR="00C41ADC" w:rsidRPr="00D31344">
        <w:t xml:space="preserve">s invalid </w:t>
      </w:r>
      <w:r w:rsidR="001F1E9C" w:rsidRPr="00D31344">
        <w:t>for four reasons.  First, they argued</w:t>
      </w:r>
      <w:r w:rsidR="00590C6C" w:rsidRPr="00D31344">
        <w:t xml:space="preserve"> </w:t>
      </w:r>
      <w:r w:rsidR="000B017A" w:rsidRPr="00D31344">
        <w:t>it improperly limit</w:t>
      </w:r>
      <w:r w:rsidR="00BE18CF" w:rsidRPr="00D31344">
        <w:t>s</w:t>
      </w:r>
      <w:r w:rsidR="000B017A" w:rsidRPr="00D31344">
        <w:t xml:space="preserve"> the Legislature’s authority </w:t>
      </w:r>
      <w:r w:rsidR="000E5E08" w:rsidRPr="00D31344">
        <w:t>in article XIV, section 4 of the California Constitut</w:t>
      </w:r>
      <w:r w:rsidR="0001463C" w:rsidRPr="00D31344">
        <w:t>i</w:t>
      </w:r>
      <w:r w:rsidR="000E5E08" w:rsidRPr="00D31344">
        <w:t xml:space="preserve">on </w:t>
      </w:r>
      <w:r w:rsidR="000B017A" w:rsidRPr="00D31344">
        <w:t>to create a workers’ compensation system.</w:t>
      </w:r>
      <w:r>
        <w:rPr>
          <w:rStyle w:val="FootnoteReference"/>
        </w:rPr>
        <w:footnoteReference w:id="6"/>
      </w:r>
      <w:r w:rsidR="000B017A" w:rsidRPr="00D31344">
        <w:t xml:space="preserve">  </w:t>
      </w:r>
      <w:r w:rsidR="00B814C5" w:rsidRPr="00D31344">
        <w:t>Second, plaintiffs alleged</w:t>
      </w:r>
      <w:r w:rsidR="00297CB2" w:rsidRPr="00D31344">
        <w:t xml:space="preserve"> </w:t>
      </w:r>
      <w:r w:rsidR="00A47901" w:rsidRPr="00D31344">
        <w:t xml:space="preserve">that </w:t>
      </w:r>
      <w:r w:rsidR="00297CB2" w:rsidRPr="00D31344">
        <w:t>Propositio</w:t>
      </w:r>
      <w:r w:rsidR="005E47CD" w:rsidRPr="00D31344">
        <w:t>n 22</w:t>
      </w:r>
      <w:r w:rsidR="00297CB2" w:rsidRPr="00D31344">
        <w:t>’s</w:t>
      </w:r>
      <w:r w:rsidR="005E47CD" w:rsidRPr="00D31344">
        <w:t xml:space="preserve"> </w:t>
      </w:r>
      <w:r w:rsidR="007F7A74" w:rsidRPr="00D31344">
        <w:t xml:space="preserve">provision </w:t>
      </w:r>
      <w:r w:rsidR="00EE63FD" w:rsidRPr="00D31344">
        <w:t xml:space="preserve">defining what </w:t>
      </w:r>
      <w:r w:rsidR="008623B2" w:rsidRPr="00D31344">
        <w:t xml:space="preserve">types of </w:t>
      </w:r>
      <w:r w:rsidR="00EE63FD" w:rsidRPr="00D31344">
        <w:lastRenderedPageBreak/>
        <w:t xml:space="preserve">statutes would constitute amendments to the initiative </w:t>
      </w:r>
      <w:r w:rsidR="00201886" w:rsidRPr="00D31344">
        <w:t>violate</w:t>
      </w:r>
      <w:r w:rsidR="0051175A" w:rsidRPr="00D31344">
        <w:t>s</w:t>
      </w:r>
      <w:r w:rsidR="00201886" w:rsidRPr="00D31344">
        <w:t xml:space="preserve"> </w:t>
      </w:r>
      <w:r w:rsidR="00A47901" w:rsidRPr="00D31344">
        <w:t xml:space="preserve">the </w:t>
      </w:r>
      <w:r w:rsidR="00201886" w:rsidRPr="00D31344">
        <w:t xml:space="preserve">separation of powers </w:t>
      </w:r>
      <w:r w:rsidR="00B718FF" w:rsidRPr="00D31344">
        <w:t xml:space="preserve">doctrine </w:t>
      </w:r>
      <w:r w:rsidR="00201886" w:rsidRPr="00D31344">
        <w:t xml:space="preserve">because </w:t>
      </w:r>
      <w:r w:rsidR="0051175A" w:rsidRPr="00D31344">
        <w:t xml:space="preserve">it </w:t>
      </w:r>
      <w:r w:rsidR="00201886" w:rsidRPr="00D31344">
        <w:t>restrict</w:t>
      </w:r>
      <w:r w:rsidR="0051175A" w:rsidRPr="00D31344">
        <w:t>s</w:t>
      </w:r>
      <w:r w:rsidR="00201886" w:rsidRPr="00D31344">
        <w:t xml:space="preserve"> the courts’ authority to </w:t>
      </w:r>
      <w:r w:rsidR="009214CD" w:rsidRPr="00D31344">
        <w:t xml:space="preserve">interpret the Constitution.  Third, they alleged </w:t>
      </w:r>
      <w:r w:rsidR="00A47901" w:rsidRPr="00D31344">
        <w:t xml:space="preserve">that </w:t>
      </w:r>
      <w:r w:rsidR="007F7A74" w:rsidRPr="00D31344">
        <w:t>th</w:t>
      </w:r>
      <w:r w:rsidR="00662B9B" w:rsidRPr="00D31344">
        <w:t xml:space="preserve">e amendment </w:t>
      </w:r>
      <w:r w:rsidR="007F7A74" w:rsidRPr="00D31344">
        <w:t>provision violate</w:t>
      </w:r>
      <w:r w:rsidR="00CB3572" w:rsidRPr="00D31344">
        <w:t>s</w:t>
      </w:r>
      <w:r w:rsidR="007F7A74" w:rsidRPr="00D31344">
        <w:t xml:space="preserve"> </w:t>
      </w:r>
      <w:r w:rsidR="00A47901" w:rsidRPr="00D31344">
        <w:t xml:space="preserve">the </w:t>
      </w:r>
      <w:r w:rsidR="007F7A74" w:rsidRPr="00D31344">
        <w:t>separation of powers</w:t>
      </w:r>
      <w:r w:rsidR="00414004" w:rsidRPr="00D31344">
        <w:t xml:space="preserve"> because </w:t>
      </w:r>
      <w:r w:rsidR="00CB3572" w:rsidRPr="00D31344">
        <w:t xml:space="preserve">it </w:t>
      </w:r>
      <w:r w:rsidR="00414004" w:rsidRPr="00D31344">
        <w:t>attempt</w:t>
      </w:r>
      <w:r w:rsidR="00CB3572" w:rsidRPr="00D31344">
        <w:t>s</w:t>
      </w:r>
      <w:r w:rsidR="00414004" w:rsidRPr="00D31344">
        <w:t xml:space="preserve"> to prevent the Legislature from enacting laws on matters not substantively addressed within the measure. </w:t>
      </w:r>
      <w:r w:rsidR="00161D64" w:rsidRPr="00D31344">
        <w:t xml:space="preserve"> </w:t>
      </w:r>
      <w:r w:rsidR="00414004" w:rsidRPr="00D31344">
        <w:t xml:space="preserve">Fourth, plaintiffs alleged </w:t>
      </w:r>
      <w:r w:rsidR="00A47901" w:rsidRPr="00D31344">
        <w:t xml:space="preserve">that </w:t>
      </w:r>
      <w:r w:rsidR="005C76F9" w:rsidRPr="00D31344">
        <w:t xml:space="preserve">one aspect of </w:t>
      </w:r>
      <w:r w:rsidR="00662B9B" w:rsidRPr="00D31344">
        <w:t>the amendment provision violate</w:t>
      </w:r>
      <w:r w:rsidR="005C76F9" w:rsidRPr="00D31344">
        <w:t>s</w:t>
      </w:r>
      <w:r w:rsidR="00662B9B" w:rsidRPr="00D31344">
        <w:t xml:space="preserve"> the </w:t>
      </w:r>
      <w:r w:rsidR="00A22F48" w:rsidRPr="00D31344">
        <w:t xml:space="preserve">rule in article II, section 8 of the Constitution limiting initiatives to a single subject because </w:t>
      </w:r>
      <w:r w:rsidR="005C76F9" w:rsidRPr="00D31344">
        <w:t>it</w:t>
      </w:r>
      <w:r w:rsidR="00ED0C4D" w:rsidRPr="00D31344">
        <w:t xml:space="preserve"> impose</w:t>
      </w:r>
      <w:r w:rsidR="005C76F9" w:rsidRPr="00D31344">
        <w:t>s</w:t>
      </w:r>
      <w:r w:rsidR="00ED0C4D" w:rsidRPr="00D31344">
        <w:t xml:space="preserve"> restrictions on subjects not substantively addressed in the initiative and </w:t>
      </w:r>
      <w:r w:rsidR="00216360" w:rsidRPr="00D31344">
        <w:t xml:space="preserve">it </w:t>
      </w:r>
      <w:r w:rsidRPr="00D31344">
        <w:t>deceived voters into adopting restrictions that they did not underst</w:t>
      </w:r>
      <w:r w:rsidRPr="00D31344">
        <w:t>and.</w:t>
      </w:r>
      <w:r w:rsidR="00C41ADC" w:rsidRPr="00D31344">
        <w:t xml:space="preserve"> </w:t>
      </w:r>
    </w:p>
    <w:p w14:paraId="0A4654B0" w14:textId="092E1247" w:rsidR="00632C7F" w:rsidRPr="00D31344" w:rsidRDefault="00570B35" w:rsidP="006631FF">
      <w:pPr>
        <w:pStyle w:val="Header"/>
        <w:spacing w:line="360" w:lineRule="auto"/>
      </w:pPr>
      <w:r w:rsidRPr="00D31344">
        <w:tab/>
      </w:r>
      <w:r w:rsidR="00F77335" w:rsidRPr="00D31344">
        <w:t>In August 2021, t</w:t>
      </w:r>
      <w:r w:rsidRPr="00D31344">
        <w:t xml:space="preserve">he trial court agreed with </w:t>
      </w:r>
      <w:r w:rsidR="00E25A37" w:rsidRPr="00D31344">
        <w:t>plaintiffs’</w:t>
      </w:r>
      <w:r w:rsidRPr="00D31344">
        <w:t xml:space="preserve"> first, third, and fourth arguments. </w:t>
      </w:r>
      <w:r w:rsidR="00485553" w:rsidRPr="00D31344">
        <w:t xml:space="preserve"> </w:t>
      </w:r>
      <w:r w:rsidR="003D5DF9" w:rsidRPr="00D31344">
        <w:t>It issued a judgment</w:t>
      </w:r>
      <w:r w:rsidR="00F77335" w:rsidRPr="00D31344">
        <w:t xml:space="preserve"> in September 2021</w:t>
      </w:r>
      <w:r w:rsidR="003D5DF9" w:rsidRPr="00D31344">
        <w:t xml:space="preserve"> declaring Proposition 22 invalid in its entirety and ordering </w:t>
      </w:r>
      <w:r w:rsidRPr="00D31344">
        <w:t>Hagen, as director of the Department of Industrial Rela</w:t>
      </w:r>
      <w:r w:rsidRPr="00D31344">
        <w:t xml:space="preserve">tions, not to enforce any of Proposition 22’s provisions. </w:t>
      </w:r>
    </w:p>
    <w:p w14:paraId="608B3B89" w14:textId="58A9C364" w:rsidR="00045151" w:rsidRPr="00D31344" w:rsidRDefault="00570B35" w:rsidP="00FB4D8B">
      <w:pPr>
        <w:pStyle w:val="Heading1"/>
      </w:pPr>
      <w:r w:rsidRPr="00D31344">
        <w:t>DISCUSSION</w:t>
      </w:r>
    </w:p>
    <w:p w14:paraId="10890037" w14:textId="58A9C364" w:rsidR="00A03974" w:rsidRPr="00D31344" w:rsidRDefault="00570B35" w:rsidP="001D500B">
      <w:pPr>
        <w:pStyle w:val="Heading2"/>
      </w:pPr>
      <w:r w:rsidRPr="00D31344">
        <w:t xml:space="preserve">General </w:t>
      </w:r>
      <w:r w:rsidR="00071858" w:rsidRPr="00D31344">
        <w:t>L</w:t>
      </w:r>
      <w:r w:rsidRPr="00D31344">
        <w:t xml:space="preserve">egal </w:t>
      </w:r>
      <w:r w:rsidR="00071858" w:rsidRPr="00D31344">
        <w:t>P</w:t>
      </w:r>
      <w:r w:rsidRPr="00D31344">
        <w:t xml:space="preserve">rinciples and </w:t>
      </w:r>
      <w:r w:rsidR="00071858" w:rsidRPr="00D31344">
        <w:t>S</w:t>
      </w:r>
      <w:r w:rsidRPr="00D31344">
        <w:t xml:space="preserve">tandard of </w:t>
      </w:r>
      <w:r w:rsidR="00071858" w:rsidRPr="00D31344">
        <w:t>R</w:t>
      </w:r>
      <w:r w:rsidRPr="00D31344">
        <w:t>eview</w:t>
      </w:r>
      <w:r w:rsidR="00210BB1" w:rsidRPr="00D31344">
        <w:t xml:space="preserve"> </w:t>
      </w:r>
    </w:p>
    <w:p w14:paraId="3428694A" w14:textId="4A61C837" w:rsidR="00A03974" w:rsidRPr="00D31344" w:rsidRDefault="00570B35" w:rsidP="006631FF">
      <w:pPr>
        <w:pStyle w:val="Header"/>
        <w:spacing w:line="360" w:lineRule="auto"/>
      </w:pPr>
      <w:r w:rsidRPr="00D31344">
        <w:rPr>
          <w:b/>
          <w:bCs/>
        </w:rPr>
        <w:tab/>
      </w:r>
      <w:r w:rsidR="00BD1266" w:rsidRPr="00D31344">
        <w:t xml:space="preserve">The trial court’s ruling that </w:t>
      </w:r>
      <w:proofErr w:type="gramStart"/>
      <w:r w:rsidR="004B5604" w:rsidRPr="00D31344">
        <w:t>Proposition</w:t>
      </w:r>
      <w:proofErr w:type="gramEnd"/>
      <w:r w:rsidR="004B5604" w:rsidRPr="00D31344">
        <w:t xml:space="preserve"> 22 </w:t>
      </w:r>
      <w:r w:rsidR="00BD1266" w:rsidRPr="00D31344">
        <w:t xml:space="preserve">is unconstitutional </w:t>
      </w:r>
      <w:r w:rsidR="004B5604" w:rsidRPr="00D31344">
        <w:t>turn</w:t>
      </w:r>
      <w:r w:rsidR="00BD1266" w:rsidRPr="00D31344">
        <w:t>s</w:t>
      </w:r>
      <w:r w:rsidR="004B5604" w:rsidRPr="00D31344">
        <w:t xml:space="preserve"> on the interplay between </w:t>
      </w:r>
      <w:r w:rsidR="00C21ADF" w:rsidRPr="00D31344">
        <w:t xml:space="preserve">the language of Proposition 22 and constitutional provisions governing workers’ compensation law, the initiative power, and </w:t>
      </w:r>
      <w:r w:rsidR="00EC31F6" w:rsidRPr="00D31344">
        <w:t xml:space="preserve">the </w:t>
      </w:r>
      <w:r w:rsidR="00976827" w:rsidRPr="00D31344">
        <w:t xml:space="preserve">separation of powers.  </w:t>
      </w:r>
      <w:r w:rsidR="006643E7" w:rsidRPr="00D31344">
        <w:t xml:space="preserve">“We apply similar principles when construing constitutional provisions and statutes, including those enacted through voter initiative. </w:t>
      </w:r>
      <w:r w:rsidR="00A408E5" w:rsidRPr="00D31344">
        <w:t xml:space="preserve"> [Citation.]  </w:t>
      </w:r>
      <w:r w:rsidR="006643E7" w:rsidRPr="00D31344">
        <w:t>Our primary concern is giving effect to the intended purpose of the provisions at issue.</w:t>
      </w:r>
      <w:r w:rsidR="00A408E5" w:rsidRPr="00D31344">
        <w:t xml:space="preserve">  </w:t>
      </w:r>
      <w:r w:rsidR="00A408E5" w:rsidRPr="00D31344">
        <w:lastRenderedPageBreak/>
        <w:t xml:space="preserve">[Citation.] </w:t>
      </w:r>
      <w:r w:rsidR="006643E7" w:rsidRPr="00D31344">
        <w:t xml:space="preserve"> In doing so, we first analyze provisions’ text in their relevant context, which is typically the best and most reliable indicator of purpose. </w:t>
      </w:r>
      <w:r w:rsidR="00FE10EC" w:rsidRPr="00D31344">
        <w:t xml:space="preserve"> </w:t>
      </w:r>
      <w:r w:rsidR="004E79F0" w:rsidRPr="00D31344">
        <w:t>[Citations.]</w:t>
      </w:r>
      <w:r w:rsidR="001360B7" w:rsidRPr="00D31344">
        <w:t xml:space="preserve"> </w:t>
      </w:r>
      <w:r w:rsidR="006643E7" w:rsidRPr="00D31344">
        <w:t xml:space="preserve"> We start by ascribing to words their ordinary meaning, while taking account of related provisions and the structure of the relevant statutory and constitutional scheme. </w:t>
      </w:r>
      <w:r w:rsidR="001360B7" w:rsidRPr="00D31344">
        <w:t xml:space="preserve"> [Citations.] </w:t>
      </w:r>
      <w:r w:rsidR="006643E7" w:rsidRPr="00D31344">
        <w:t xml:space="preserve"> If the provisions’ intended purpose nonetheless remains opaque, we may consider extrinsic sources, such as an initiative’s ballot materials. </w:t>
      </w:r>
      <w:r w:rsidR="001360B7" w:rsidRPr="00D31344">
        <w:t xml:space="preserve"> [Citation.] </w:t>
      </w:r>
      <w:r w:rsidR="006643E7" w:rsidRPr="00D31344">
        <w:t xml:space="preserve"> Moreover, when construing initiatives, we generally presume electors are aware of existing law. </w:t>
      </w:r>
      <w:r w:rsidR="00047B21" w:rsidRPr="00D31344">
        <w:t xml:space="preserve"> [Citation.]  </w:t>
      </w:r>
      <w:r w:rsidR="006643E7" w:rsidRPr="00D31344">
        <w:t>Finally, we apply independent judgment when construing constitutional and statutory provisions.</w:t>
      </w:r>
      <w:r w:rsidR="00960A3B" w:rsidRPr="00D31344">
        <w:t>”</w:t>
      </w:r>
      <w:r w:rsidR="00047B21" w:rsidRPr="00D31344">
        <w:t xml:space="preserve">  (</w:t>
      </w:r>
      <w:r w:rsidR="00AB5FB8" w:rsidRPr="00D31344">
        <w:rPr>
          <w:i/>
        </w:rPr>
        <w:t>California Cannabis Coalition v. City of Upland</w:t>
      </w:r>
      <w:r w:rsidR="00AB5FB8" w:rsidRPr="00D31344">
        <w:t xml:space="preserve"> (2017) 3</w:t>
      </w:r>
      <w:r w:rsidR="00047DDD" w:rsidRPr="00D31344">
        <w:t> </w:t>
      </w:r>
      <w:r w:rsidR="00AB5FB8" w:rsidRPr="00D31344">
        <w:t>Cal.5th 924, 933–934.)</w:t>
      </w:r>
    </w:p>
    <w:p w14:paraId="06E35DB4" w14:textId="223CAF40" w:rsidR="0012251E" w:rsidRPr="00D31344" w:rsidRDefault="00570B35" w:rsidP="006631FF">
      <w:pPr>
        <w:pStyle w:val="Header"/>
        <w:tabs>
          <w:tab w:val="clear" w:pos="4680"/>
          <w:tab w:val="clear" w:pos="9360"/>
        </w:tabs>
        <w:spacing w:line="360" w:lineRule="auto"/>
      </w:pPr>
      <w:r w:rsidRPr="00D31344">
        <w:tab/>
      </w:r>
      <w:proofErr w:type="gramStart"/>
      <w:r w:rsidR="00F74A32" w:rsidRPr="00D31344">
        <w:t>“</w:t>
      </w:r>
      <w:r w:rsidR="004D5A07" w:rsidRPr="00D31344">
        <w:t> </w:t>
      </w:r>
      <w:r w:rsidR="00F74A32" w:rsidRPr="00D31344">
        <w:t>‘</w:t>
      </w:r>
      <w:proofErr w:type="gramEnd"/>
      <w:r w:rsidR="00F74A32" w:rsidRPr="00D31344">
        <w:t>[T]he Constitution</w:t>
      </w:r>
      <w:r w:rsidR="00341A32" w:rsidRPr="00D31344">
        <w:t>’</w:t>
      </w:r>
      <w:r w:rsidR="00F74A32" w:rsidRPr="00D31344">
        <w:t>s initiative and referendum provisions should be liberally construed to maintain maximum power in the people.’</w:t>
      </w:r>
      <w:r w:rsidR="004D5A07" w:rsidRPr="00D31344">
        <w:t> </w:t>
      </w:r>
      <w:r w:rsidR="00F74A32" w:rsidRPr="00D31344">
        <w:t xml:space="preserve">” </w:t>
      </w:r>
      <w:r w:rsidR="00BB09E0" w:rsidRPr="00D31344">
        <w:t xml:space="preserve"> </w:t>
      </w:r>
      <w:r w:rsidR="00F74A32" w:rsidRPr="00D31344">
        <w:t>(</w:t>
      </w:r>
      <w:r w:rsidR="00F74A32" w:rsidRPr="00D31344">
        <w:rPr>
          <w:i/>
        </w:rPr>
        <w:t>Independent Energy Producers Assn. v. McPherson</w:t>
      </w:r>
      <w:r w:rsidR="00F74A32" w:rsidRPr="00D31344">
        <w:t xml:space="preserve"> (2006) 38</w:t>
      </w:r>
      <w:r w:rsidR="004D5A07" w:rsidRPr="00D31344">
        <w:t> </w:t>
      </w:r>
      <w:r w:rsidR="00F74A32" w:rsidRPr="00D31344">
        <w:t>Cal.4th 1020, 1032 (</w:t>
      </w:r>
      <w:r w:rsidR="00F74A32" w:rsidRPr="00D31344">
        <w:rPr>
          <w:i/>
        </w:rPr>
        <w:t>McPherson</w:t>
      </w:r>
      <w:r w:rsidR="00F74A32" w:rsidRPr="00D31344">
        <w:t xml:space="preserve">).)  </w:t>
      </w:r>
      <w:r w:rsidR="00C83E5B" w:rsidRPr="00D31344">
        <w:t xml:space="preserve">The Supreme Court has declared it the courts’ </w:t>
      </w:r>
      <w:proofErr w:type="gramStart"/>
      <w:r w:rsidR="00C83E5B" w:rsidRPr="00D31344">
        <w:t>“ ‘</w:t>
      </w:r>
      <w:proofErr w:type="gramEnd"/>
      <w:r w:rsidRPr="00D31344">
        <w:t xml:space="preserve">solemn duty to jealously guard the precious initiative power, and </w:t>
      </w:r>
      <w:r w:rsidRPr="00D31344">
        <w:t>to resolve any reasonable doubts in favor of its exercise.’ ”  (</w:t>
      </w:r>
      <w:r w:rsidR="00B731CC" w:rsidRPr="00D31344">
        <w:rPr>
          <w:i/>
        </w:rPr>
        <w:t>Briggs v. Brown</w:t>
      </w:r>
      <w:r w:rsidR="00B731CC" w:rsidRPr="00D31344">
        <w:t xml:space="preserve"> (2017) 3</w:t>
      </w:r>
      <w:r w:rsidR="002849A8" w:rsidRPr="00D31344">
        <w:t> </w:t>
      </w:r>
      <w:r w:rsidR="00B731CC" w:rsidRPr="00D31344">
        <w:t>Cal.5th 808, 827 (</w:t>
      </w:r>
      <w:r w:rsidR="00B731CC" w:rsidRPr="00D31344">
        <w:rPr>
          <w:i/>
        </w:rPr>
        <w:t>Briggs</w:t>
      </w:r>
      <w:r w:rsidR="00B731CC" w:rsidRPr="00D31344">
        <w:t>)</w:t>
      </w:r>
      <w:r w:rsidR="008F25C2" w:rsidRPr="00D31344">
        <w:t>.)</w:t>
      </w:r>
      <w:r w:rsidR="00C6677A" w:rsidRPr="00D31344">
        <w:t xml:space="preserve"> </w:t>
      </w:r>
      <w:r w:rsidR="009E3CEE" w:rsidRPr="00D31344">
        <w:t xml:space="preserve"> </w:t>
      </w:r>
      <w:proofErr w:type="gramStart"/>
      <w:r w:rsidR="006C31C5" w:rsidRPr="00D31344">
        <w:t>“</w:t>
      </w:r>
      <w:r w:rsidR="009E3CEE" w:rsidRPr="00D31344">
        <w:t> </w:t>
      </w:r>
      <w:r w:rsidR="006C31C5" w:rsidRPr="00D31344">
        <w:t>‘</w:t>
      </w:r>
      <w:proofErr w:type="gramEnd"/>
      <w:r w:rsidR="006C31C5" w:rsidRPr="00D31344">
        <w:t> “We do not consider or weigh the economic or social wisdom or general propriety of the initiative.  Rather, our sole function is to evaluate [it] legally in the light of established constitutional standards.</w:t>
      </w:r>
      <w:proofErr w:type="gramStart"/>
      <w:r w:rsidR="006C31C5" w:rsidRPr="00D31344">
        <w:t>” ’</w:t>
      </w:r>
      <w:proofErr w:type="gramEnd"/>
      <w:r w:rsidR="006C31C5" w:rsidRPr="00D31344">
        <w:t xml:space="preserve">  [Citations.]  </w:t>
      </w:r>
      <w:proofErr w:type="gramStart"/>
      <w:r w:rsidR="006C31C5" w:rsidRPr="00D31344">
        <w:t>‘ “</w:t>
      </w:r>
      <w:proofErr w:type="gramEnd"/>
      <w:r w:rsidR="006C31C5" w:rsidRPr="00D31344">
        <w:t>[A]</w:t>
      </w:r>
      <w:proofErr w:type="spellStart"/>
      <w:r w:rsidR="006C31C5" w:rsidRPr="00D31344">
        <w:t>ll</w:t>
      </w:r>
      <w:proofErr w:type="spellEnd"/>
      <w:r w:rsidR="006C31C5" w:rsidRPr="00D31344">
        <w:t xml:space="preserve"> presumptions and intendments favor the validity of a statute and mere doubt does not afford sufficient reason for a judicial declaration of invalidity. </w:t>
      </w:r>
      <w:r w:rsidR="009E3CEE" w:rsidRPr="00D31344">
        <w:t xml:space="preserve"> </w:t>
      </w:r>
      <w:r w:rsidR="006C31C5" w:rsidRPr="00D31344">
        <w:t xml:space="preserve">Statutes must be upheld unless their unconstitutionality clearly, </w:t>
      </w:r>
      <w:r w:rsidR="006C31C5" w:rsidRPr="00D31344">
        <w:lastRenderedPageBreak/>
        <w:t>positively, and unmistakably appears.”  [Citations.]  If the validity of the measure is “fairly debatable,” it must be sustained.</w:t>
      </w:r>
      <w:proofErr w:type="gramStart"/>
      <w:r w:rsidR="006C31C5" w:rsidRPr="00D31344">
        <w:t>’ ”</w:t>
      </w:r>
      <w:proofErr w:type="gramEnd"/>
      <w:r w:rsidR="006C31C5" w:rsidRPr="00D31344">
        <w:t xml:space="preserve">  (</w:t>
      </w:r>
      <w:r w:rsidR="006C31C5" w:rsidRPr="00D31344">
        <w:rPr>
          <w:i/>
          <w:iCs/>
        </w:rPr>
        <w:t>Id.</w:t>
      </w:r>
      <w:r w:rsidR="00723BA1" w:rsidRPr="00D31344">
        <w:rPr>
          <w:i/>
          <w:iCs/>
        </w:rPr>
        <w:t xml:space="preserve"> </w:t>
      </w:r>
      <w:r w:rsidR="00723BA1" w:rsidRPr="00D31344">
        <w:t>at p.</w:t>
      </w:r>
      <w:r w:rsidR="00B24BB2" w:rsidRPr="00D31344">
        <w:t> </w:t>
      </w:r>
      <w:r w:rsidR="00723BA1" w:rsidRPr="00D31344">
        <w:t>828.</w:t>
      </w:r>
      <w:r w:rsidR="006C31C5" w:rsidRPr="00D31344">
        <w:t>)</w:t>
      </w:r>
    </w:p>
    <w:p w14:paraId="61122E93" w14:textId="75F0C3B0" w:rsidR="00BE6D20" w:rsidRPr="00D31344" w:rsidRDefault="00570B35" w:rsidP="00BE6D20">
      <w:pPr>
        <w:pStyle w:val="Header"/>
        <w:spacing w:line="360" w:lineRule="auto"/>
      </w:pPr>
      <w:r w:rsidRPr="00D31344">
        <w:tab/>
      </w:r>
      <w:r w:rsidRPr="00D31344">
        <w:tab/>
        <w:t>“We consider only the objections raised</w:t>
      </w:r>
      <w:r w:rsidRPr="00D31344">
        <w:t xml:space="preserve"> by the </w:t>
      </w:r>
      <w:r w:rsidR="00E5459E" w:rsidRPr="00D31344">
        <w:t>[case]</w:t>
      </w:r>
      <w:r w:rsidRPr="00D31344">
        <w:t xml:space="preserve"> before us.  ‘We have no occasion at this time to consider other possible attacks,’ and ‘except as necessary to resolve the basic questions before us, we do not consider in this case possible interpretive or analytical problems’ that might ar</w:t>
      </w:r>
      <w:r w:rsidRPr="00D31344">
        <w:t>ise from the measure in the future.</w:t>
      </w:r>
      <w:r w:rsidR="003364E3" w:rsidRPr="00D31344">
        <w:t>”</w:t>
      </w:r>
      <w:r w:rsidRPr="00D31344">
        <w:t xml:space="preserve">  </w:t>
      </w:r>
      <w:r w:rsidR="003364E3" w:rsidRPr="00D31344">
        <w:t>(</w:t>
      </w:r>
      <w:r w:rsidR="003364E3" w:rsidRPr="00D31344">
        <w:rPr>
          <w:i/>
          <w:iCs/>
        </w:rPr>
        <w:t>Briggs</w:t>
      </w:r>
      <w:r w:rsidR="003364E3" w:rsidRPr="00D31344">
        <w:t xml:space="preserve">, </w:t>
      </w:r>
      <w:r w:rsidR="003364E3" w:rsidRPr="00D31344">
        <w:rPr>
          <w:i/>
          <w:iCs/>
        </w:rPr>
        <w:t>supra</w:t>
      </w:r>
      <w:r w:rsidR="003364E3" w:rsidRPr="00D31344">
        <w:t>, 3</w:t>
      </w:r>
      <w:r w:rsidR="00B24BB2" w:rsidRPr="00D31344">
        <w:t> </w:t>
      </w:r>
      <w:r w:rsidR="003364E3" w:rsidRPr="00D31344">
        <w:t>Cal.5th at p.</w:t>
      </w:r>
      <w:r w:rsidR="00B24BB2" w:rsidRPr="00D31344">
        <w:t> </w:t>
      </w:r>
      <w:r w:rsidR="003364E3" w:rsidRPr="00D31344">
        <w:t xml:space="preserve">827.)  </w:t>
      </w:r>
      <w:r w:rsidRPr="00D31344">
        <w:t>We review here a facial challenge to the constitutionality of Proposition 22, and we express no view on claims</w:t>
      </w:r>
      <w:r w:rsidR="00954F4F" w:rsidRPr="00D31344">
        <w:t xml:space="preserve"> that might be asserted in specific applications of the initiative</w:t>
      </w:r>
      <w:r w:rsidRPr="00D31344">
        <w:t>.</w:t>
      </w:r>
    </w:p>
    <w:p w14:paraId="38978891" w14:textId="58A9C364" w:rsidR="00C64FB0" w:rsidRPr="00D31344" w:rsidRDefault="00570B35" w:rsidP="001D500B">
      <w:pPr>
        <w:pStyle w:val="Heading2"/>
      </w:pPr>
      <w:r w:rsidRPr="00D31344">
        <w:t xml:space="preserve">Article XIV, </w:t>
      </w:r>
      <w:r w:rsidR="00456E6B" w:rsidRPr="00D31344">
        <w:t>S</w:t>
      </w:r>
      <w:r w:rsidRPr="00D31344">
        <w:t>ection 4 of the California Constitution</w:t>
      </w:r>
    </w:p>
    <w:p w14:paraId="0A757484" w14:textId="473E1A1A" w:rsidR="007270CF" w:rsidRPr="00D31344" w:rsidRDefault="00570B35" w:rsidP="006631FF">
      <w:pPr>
        <w:pStyle w:val="Header"/>
        <w:spacing w:line="360" w:lineRule="auto"/>
      </w:pPr>
      <w:r w:rsidRPr="00D31344">
        <w:tab/>
      </w:r>
      <w:r w:rsidR="00FF1497" w:rsidRPr="00D31344">
        <w:t xml:space="preserve">Article XIV, section 4 of the California Constitution </w:t>
      </w:r>
      <w:r w:rsidR="00900343" w:rsidRPr="00D31344">
        <w:t>begins</w:t>
      </w:r>
      <w:r w:rsidR="00FF1497" w:rsidRPr="00D31344">
        <w:t>, “The Legislature is hereby expressly vested with plenary power, unlimited by any provision of this Constitution, to create, and enforce a complete system of workers</w:t>
      </w:r>
      <w:r w:rsidR="00655772" w:rsidRPr="00D31344">
        <w:t>’</w:t>
      </w:r>
      <w:r w:rsidR="00FF1497" w:rsidRPr="00D31344">
        <w:t xml:space="preserve"> compensation, by appropriate legislation, and in that behalf to create and enforce a liability on the part of any or all persons to compensate any or all of their workers for injury or disability, and their dependents for death incurred or sustained by the said workers in the course of their employment, irrespective of the fault of any party.”  (</w:t>
      </w:r>
      <w:r w:rsidR="007F0B0E" w:rsidRPr="00D31344">
        <w:t>Cal. Const., a</w:t>
      </w:r>
      <w:r w:rsidR="005D7547" w:rsidRPr="00D31344">
        <w:t>rt.</w:t>
      </w:r>
      <w:r w:rsidR="00FF1497" w:rsidRPr="00D31344">
        <w:t xml:space="preserve"> XIV, § 4.)</w:t>
      </w:r>
      <w:r>
        <w:rPr>
          <w:rStyle w:val="FootnoteReference"/>
        </w:rPr>
        <w:footnoteReference w:id="7"/>
      </w:r>
    </w:p>
    <w:p w14:paraId="4CF6D8F0" w14:textId="16DA230A" w:rsidR="00704DAD" w:rsidRPr="00D31344" w:rsidRDefault="00570B35" w:rsidP="006631FF">
      <w:pPr>
        <w:pStyle w:val="Header"/>
        <w:spacing w:line="360" w:lineRule="auto"/>
      </w:pPr>
      <w:r w:rsidRPr="00D31344">
        <w:tab/>
      </w:r>
      <w:r w:rsidR="00625E61" w:rsidRPr="00D31344">
        <w:t xml:space="preserve">The trial court’s ruling </w:t>
      </w:r>
      <w:r w:rsidR="00243030" w:rsidRPr="00D31344">
        <w:t xml:space="preserve">based on this provision is straightforward.  </w:t>
      </w:r>
      <w:r w:rsidR="00F17DCF" w:rsidRPr="00D31344">
        <w:t xml:space="preserve">Article </w:t>
      </w:r>
      <w:r w:rsidR="009A631C" w:rsidRPr="00D31344">
        <w:t>II, section 10</w:t>
      </w:r>
      <w:r w:rsidR="00B26923" w:rsidRPr="00D31344">
        <w:t>, subdivision (c)</w:t>
      </w:r>
      <w:r w:rsidR="009A631C" w:rsidRPr="00D31344">
        <w:t xml:space="preserve"> </w:t>
      </w:r>
      <w:r w:rsidR="0001560F" w:rsidRPr="00D31344">
        <w:t>(</w:t>
      </w:r>
      <w:r w:rsidR="005A59B7" w:rsidRPr="00D31344">
        <w:t xml:space="preserve">Cal. </w:t>
      </w:r>
      <w:r w:rsidR="005A59B7" w:rsidRPr="00D31344">
        <w:lastRenderedPageBreak/>
        <w:t xml:space="preserve">Const., </w:t>
      </w:r>
      <w:r w:rsidR="001F7E7F" w:rsidRPr="00D31344">
        <w:t xml:space="preserve">art. II, </w:t>
      </w:r>
      <w:r w:rsidR="00EB507C" w:rsidRPr="00D31344">
        <w:t>§</w:t>
      </w:r>
      <w:r w:rsidR="001F7E7F" w:rsidRPr="00D31344">
        <w:t> </w:t>
      </w:r>
      <w:r w:rsidR="0001560F" w:rsidRPr="00D31344">
        <w:t xml:space="preserve">10(c)) </w:t>
      </w:r>
      <w:r w:rsidR="00627054" w:rsidRPr="00D31344">
        <w:t xml:space="preserve">allows </w:t>
      </w:r>
      <w:r w:rsidR="00F17DCF" w:rsidRPr="00D31344">
        <w:t xml:space="preserve">the Legislature </w:t>
      </w:r>
      <w:r w:rsidR="00627054" w:rsidRPr="00D31344">
        <w:t>to amend an initiative statute only if the voters</w:t>
      </w:r>
      <w:r w:rsidR="00863100" w:rsidRPr="00D31344">
        <w:t xml:space="preserve"> approve the amendment, unless the initiative permits amendment without voters’ approval</w:t>
      </w:r>
      <w:r w:rsidR="00290180" w:rsidRPr="00D31344">
        <w:t>, in which case the Legislature must comply with any conditions the voters impose</w:t>
      </w:r>
      <w:r w:rsidR="004951E8" w:rsidRPr="00D31344">
        <w:t>.</w:t>
      </w:r>
      <w:r>
        <w:rPr>
          <w:rStyle w:val="FootnoteReference"/>
        </w:rPr>
        <w:footnoteReference w:id="8"/>
      </w:r>
      <w:r w:rsidR="004951E8" w:rsidRPr="00D31344">
        <w:t xml:space="preserve">  </w:t>
      </w:r>
      <w:r w:rsidR="00EB507C" w:rsidRPr="00D31344">
        <w:t xml:space="preserve">Because of this authority, </w:t>
      </w:r>
      <w:r w:rsidR="004951E8" w:rsidRPr="00D31344">
        <w:t xml:space="preserve">the Legislature </w:t>
      </w:r>
      <w:r w:rsidR="00EB507C" w:rsidRPr="00D31344">
        <w:t xml:space="preserve">cannot </w:t>
      </w:r>
      <w:r w:rsidR="0020659D" w:rsidRPr="00D31344">
        <w:t>amend or repeal section 7451 at all to</w:t>
      </w:r>
      <w:r w:rsidR="00EB507C" w:rsidRPr="00D31344">
        <w:t xml:space="preserve"> </w:t>
      </w:r>
      <w:r w:rsidR="004951E8" w:rsidRPr="00D31344">
        <w:t>classify app-based drivers as employees for the purposes of worker</w:t>
      </w:r>
      <w:r w:rsidR="00816E11" w:rsidRPr="00D31344">
        <w:t>s’</w:t>
      </w:r>
      <w:r w:rsidR="004951E8" w:rsidRPr="00D31344">
        <w:t xml:space="preserve"> compensation</w:t>
      </w:r>
      <w:r w:rsidR="00060BD8" w:rsidRPr="00D31344">
        <w:t xml:space="preserve"> </w:t>
      </w:r>
      <w:r w:rsidR="00EB507C" w:rsidRPr="00D31344">
        <w:t>or</w:t>
      </w:r>
      <w:r w:rsidR="00060BD8" w:rsidRPr="00D31344">
        <w:t xml:space="preserve"> amend the </w:t>
      </w:r>
      <w:r w:rsidR="00290180" w:rsidRPr="00D31344">
        <w:t xml:space="preserve">initiative </w:t>
      </w:r>
      <w:r w:rsidR="00060BD8" w:rsidRPr="00D31344">
        <w:t>in any other respect without a seven-eighths majority</w:t>
      </w:r>
      <w:r w:rsidR="00290180" w:rsidRPr="00D31344">
        <w:t xml:space="preserve"> or the approval of the voters</w:t>
      </w:r>
      <w:r w:rsidR="004951E8" w:rsidRPr="00D31344">
        <w:t xml:space="preserve">.  </w:t>
      </w:r>
      <w:r w:rsidR="005108A2" w:rsidRPr="00D31344">
        <w:t>The trial court concluded</w:t>
      </w:r>
      <w:r w:rsidRPr="00D31344">
        <w:t xml:space="preserve"> th</w:t>
      </w:r>
      <w:r w:rsidR="000B76D1" w:rsidRPr="00D31344">
        <w:t>e</w:t>
      </w:r>
      <w:r w:rsidR="00127B92" w:rsidRPr="00D31344">
        <w:t>se</w:t>
      </w:r>
      <w:r w:rsidR="000B76D1" w:rsidRPr="00D31344">
        <w:t xml:space="preserve"> restrictions on the Legislature</w:t>
      </w:r>
      <w:r w:rsidRPr="00D31344">
        <w:t xml:space="preserve"> </w:t>
      </w:r>
      <w:r w:rsidR="000B76D1" w:rsidRPr="00D31344">
        <w:t xml:space="preserve">are </w:t>
      </w:r>
      <w:r w:rsidRPr="00D31344">
        <w:t>contrary to article XIV, section</w:t>
      </w:r>
      <w:r w:rsidR="00A24A91" w:rsidRPr="00D31344">
        <w:t> </w:t>
      </w:r>
      <w:r w:rsidRPr="00D31344">
        <w:t>4’s statement that the Legislat</w:t>
      </w:r>
      <w:r w:rsidRPr="00D31344">
        <w:t>ure’s power to create a worker</w:t>
      </w:r>
      <w:r w:rsidR="00816E11" w:rsidRPr="00D31344">
        <w:t>s’</w:t>
      </w:r>
      <w:r w:rsidRPr="00D31344">
        <w:t xml:space="preserve"> compensation system is </w:t>
      </w:r>
      <w:r w:rsidR="00507CE8" w:rsidRPr="00D31344">
        <w:t>“</w:t>
      </w:r>
      <w:r w:rsidR="00902E1C" w:rsidRPr="00D31344">
        <w:t>plenary</w:t>
      </w:r>
      <w:r w:rsidR="00507CE8" w:rsidRPr="00D31344">
        <w:t>”</w:t>
      </w:r>
      <w:r w:rsidR="00902E1C" w:rsidRPr="00D31344">
        <w:t xml:space="preserve"> and </w:t>
      </w:r>
      <w:r w:rsidRPr="00D31344">
        <w:t>“unlimited by any provision of this Constitution.”</w:t>
      </w:r>
      <w:r w:rsidR="008B4267" w:rsidRPr="00D31344">
        <w:t xml:space="preserve"> </w:t>
      </w:r>
      <w:r w:rsidR="003D09F7" w:rsidRPr="00D31344">
        <w:t xml:space="preserve"> T</w:t>
      </w:r>
      <w:r w:rsidR="005108A2" w:rsidRPr="00D31344">
        <w:t xml:space="preserve">he trial court </w:t>
      </w:r>
      <w:r w:rsidR="00F218CE" w:rsidRPr="00D31344">
        <w:t>point</w:t>
      </w:r>
      <w:r w:rsidR="005108A2" w:rsidRPr="00D31344">
        <w:t>ed</w:t>
      </w:r>
      <w:r w:rsidR="00F218CE" w:rsidRPr="00D31344">
        <w:t xml:space="preserve"> out that t</w:t>
      </w:r>
      <w:r w:rsidR="008D580D" w:rsidRPr="00D31344">
        <w:t>he voters added the phrase “unlimited by any provision of this Constitution” to article XIV, section</w:t>
      </w:r>
      <w:r w:rsidR="006312CC" w:rsidRPr="00D31344">
        <w:t xml:space="preserve"> </w:t>
      </w:r>
      <w:r w:rsidR="008D580D" w:rsidRPr="00D31344">
        <w:t xml:space="preserve">4, in a constitutional amendment in 1918, seven years after they amended the </w:t>
      </w:r>
      <w:r w:rsidR="00204266" w:rsidRPr="00D31344">
        <w:t>C</w:t>
      </w:r>
      <w:r w:rsidR="008D580D" w:rsidRPr="00D31344">
        <w:t xml:space="preserve">onstitution to allow for voter initiatives. </w:t>
      </w:r>
      <w:r w:rsidR="00033D64" w:rsidRPr="00D31344">
        <w:t xml:space="preserve"> </w:t>
      </w:r>
      <w:r w:rsidR="003D09F7" w:rsidRPr="00D31344">
        <w:t xml:space="preserve">It </w:t>
      </w:r>
      <w:r w:rsidR="00CD6BE7" w:rsidRPr="00D31344">
        <w:t xml:space="preserve">concluded the plain meaning of article XIV, section 4 prevailed over the more general provision in article II, section 10(c). </w:t>
      </w:r>
      <w:r w:rsidR="00EC16DF" w:rsidRPr="00D31344">
        <w:t xml:space="preserve"> </w:t>
      </w:r>
      <w:r w:rsidR="002E26C7" w:rsidRPr="00D31344">
        <w:t xml:space="preserve">Finally, </w:t>
      </w:r>
      <w:r w:rsidR="0020659D" w:rsidRPr="00D31344">
        <w:t>b</w:t>
      </w:r>
      <w:r w:rsidR="002E26C7" w:rsidRPr="00D31344">
        <w:t xml:space="preserve">ecause Proposition 22 states that any invalidation of </w:t>
      </w:r>
      <w:r w:rsidR="0020659D" w:rsidRPr="00D31344">
        <w:t xml:space="preserve">section </w:t>
      </w:r>
      <w:r w:rsidR="00F2238D" w:rsidRPr="00D31344">
        <w:t xml:space="preserve">7451 </w:t>
      </w:r>
      <w:r w:rsidR="002E26C7" w:rsidRPr="00D31344">
        <w:t xml:space="preserve">invalidates the entire initiative, </w:t>
      </w:r>
      <w:r w:rsidR="0020659D" w:rsidRPr="00D31344">
        <w:t xml:space="preserve">the trial court </w:t>
      </w:r>
      <w:r w:rsidR="00EB509F" w:rsidRPr="00D31344">
        <w:t xml:space="preserve">found the constitutional conflict </w:t>
      </w:r>
      <w:r w:rsidR="00F2238D" w:rsidRPr="00D31344">
        <w:t>render</w:t>
      </w:r>
      <w:r w:rsidR="00CC5FBC" w:rsidRPr="00D31344">
        <w:t>s</w:t>
      </w:r>
      <w:r w:rsidR="00F2238D" w:rsidRPr="00D31344">
        <w:t xml:space="preserve"> </w:t>
      </w:r>
      <w:r w:rsidR="002E26C7" w:rsidRPr="00D31344">
        <w:t xml:space="preserve">Proposition 22 invalid in its entirety. </w:t>
      </w:r>
    </w:p>
    <w:p w14:paraId="3DB9DD2C" w14:textId="5AC2D6BB" w:rsidR="00FC40F8" w:rsidRPr="00D31344" w:rsidRDefault="00570B35" w:rsidP="006631FF">
      <w:pPr>
        <w:pStyle w:val="Header"/>
        <w:spacing w:line="360" w:lineRule="auto"/>
      </w:pPr>
      <w:r w:rsidRPr="00D31344">
        <w:lastRenderedPageBreak/>
        <w:tab/>
      </w:r>
      <w:r w:rsidR="003E73FC" w:rsidRPr="00D31344">
        <w:t xml:space="preserve">The Supreme Court’s </w:t>
      </w:r>
      <w:r w:rsidR="002E7A65" w:rsidRPr="00D31344">
        <w:t xml:space="preserve">decision </w:t>
      </w:r>
      <w:r w:rsidR="003E73FC" w:rsidRPr="00D31344">
        <w:t xml:space="preserve">in </w:t>
      </w:r>
      <w:r w:rsidR="003E73FC" w:rsidRPr="00D31344">
        <w:rPr>
          <w:i/>
          <w:iCs/>
        </w:rPr>
        <w:t>McPherson</w:t>
      </w:r>
      <w:r w:rsidR="003E73FC" w:rsidRPr="00D31344">
        <w:t xml:space="preserve">, </w:t>
      </w:r>
      <w:r w:rsidR="003E73FC" w:rsidRPr="00D31344">
        <w:rPr>
          <w:i/>
          <w:iCs/>
        </w:rPr>
        <w:t>supra</w:t>
      </w:r>
      <w:r w:rsidR="003E73FC" w:rsidRPr="00D31344">
        <w:t>, 38</w:t>
      </w:r>
      <w:r w:rsidR="00773AFD" w:rsidRPr="00D31344">
        <w:t> </w:t>
      </w:r>
      <w:r w:rsidR="003E73FC" w:rsidRPr="00D31344">
        <w:t>Cal.4th 1020</w:t>
      </w:r>
      <w:r w:rsidR="002E7A65" w:rsidRPr="00D31344">
        <w:t>, which involved a provision worded similarly to</w:t>
      </w:r>
      <w:r w:rsidR="00081130" w:rsidRPr="00D31344">
        <w:t xml:space="preserve"> </w:t>
      </w:r>
      <w:r w:rsidR="002E7A65" w:rsidRPr="00D31344">
        <w:t xml:space="preserve">article XIV, section 4, </w:t>
      </w:r>
      <w:r w:rsidR="003D09F7" w:rsidRPr="00D31344">
        <w:t>is contrary to the trial court’s ruling</w:t>
      </w:r>
      <w:r w:rsidR="008E079F" w:rsidRPr="00D31344">
        <w:t>, so we discuss it in some detail</w:t>
      </w:r>
      <w:r w:rsidR="003E73FC" w:rsidRPr="00D31344">
        <w:t xml:space="preserve">.  </w:t>
      </w:r>
      <w:r w:rsidRPr="00D31344">
        <w:t xml:space="preserve">At issue </w:t>
      </w:r>
      <w:r w:rsidR="003E73FC" w:rsidRPr="00D31344">
        <w:t>there</w:t>
      </w:r>
      <w:r w:rsidRPr="00D31344">
        <w:t xml:space="preserve"> was </w:t>
      </w:r>
      <w:r w:rsidR="00060BD8" w:rsidRPr="00D31344">
        <w:t>article XII, section 5, which states, “The Legislature has plenary power, unlimited by the other provisions of this constitution but consistent with this article, to confer additional authority and jurisdiction upon the [Public Utilities Commission</w:t>
      </w:r>
      <w:r w:rsidR="007465C7" w:rsidRPr="00D31344">
        <w:t xml:space="preserve"> (PUC)</w:t>
      </w:r>
      <w:r w:rsidR="00060BD8" w:rsidRPr="00D31344">
        <w:t xml:space="preserve">], to establish the manner and scope of review of commission action in a court of record, and to enable it to fix just compensation for utility property taken by eminent domain.”  </w:t>
      </w:r>
      <w:r w:rsidR="00140081" w:rsidRPr="00D31344">
        <w:t>(</w:t>
      </w:r>
      <w:r w:rsidR="00140081" w:rsidRPr="00D31344">
        <w:rPr>
          <w:i/>
          <w:iCs/>
        </w:rPr>
        <w:t>McPherson</w:t>
      </w:r>
      <w:r w:rsidR="00140081" w:rsidRPr="00D31344">
        <w:t>, at p.</w:t>
      </w:r>
      <w:r w:rsidR="001471A9" w:rsidRPr="00D31344">
        <w:t> </w:t>
      </w:r>
      <w:r w:rsidR="00140081" w:rsidRPr="00D31344">
        <w:t xml:space="preserve">1032.)  </w:t>
      </w:r>
      <w:r w:rsidR="00060BD8" w:rsidRPr="00D31344">
        <w:t>A</w:t>
      </w:r>
      <w:r w:rsidRPr="00D31344">
        <w:t xml:space="preserve">n initiative </w:t>
      </w:r>
      <w:r w:rsidR="00910E12" w:rsidRPr="00D31344">
        <w:t xml:space="preserve">statute </w:t>
      </w:r>
      <w:r w:rsidRPr="00D31344">
        <w:t>would have expand</w:t>
      </w:r>
      <w:r w:rsidR="00910E12" w:rsidRPr="00D31344">
        <w:t>ed</w:t>
      </w:r>
      <w:r w:rsidRPr="00D31344">
        <w:t xml:space="preserve"> the </w:t>
      </w:r>
      <w:r w:rsidR="007465C7" w:rsidRPr="00D31344">
        <w:t>PUC</w:t>
      </w:r>
      <w:r w:rsidRPr="00D31344">
        <w:t>’s authority over electric service providers.  (</w:t>
      </w:r>
      <w:r w:rsidRPr="00D31344">
        <w:rPr>
          <w:i/>
          <w:iCs/>
        </w:rPr>
        <w:t xml:space="preserve">Id. </w:t>
      </w:r>
      <w:r w:rsidRPr="00D31344">
        <w:t>at p.</w:t>
      </w:r>
      <w:r w:rsidR="00301443" w:rsidRPr="00D31344">
        <w:t> </w:t>
      </w:r>
      <w:r w:rsidRPr="00D31344">
        <w:t>1026.</w:t>
      </w:r>
      <w:r w:rsidR="00910E12" w:rsidRPr="00D31344">
        <w:t>)</w:t>
      </w:r>
      <w:r w:rsidRPr="00D31344">
        <w:t xml:space="preserve">  Opponents of the initiative argued that the initiative statute violated </w:t>
      </w:r>
      <w:r w:rsidR="00060BD8" w:rsidRPr="00D31344">
        <w:t>the Legislature’s exclusive authority to expand the PUC’s authority.  (</w:t>
      </w:r>
      <w:r w:rsidR="00060BD8" w:rsidRPr="00D31344">
        <w:rPr>
          <w:i/>
          <w:iCs/>
        </w:rPr>
        <w:t xml:space="preserve">Id. </w:t>
      </w:r>
      <w:r w:rsidR="00060BD8" w:rsidRPr="00D31344">
        <w:t>at p.</w:t>
      </w:r>
      <w:r w:rsidR="00301443" w:rsidRPr="00D31344">
        <w:t> </w:t>
      </w:r>
      <w:r w:rsidR="00060BD8" w:rsidRPr="00D31344">
        <w:t>1027.)</w:t>
      </w:r>
    </w:p>
    <w:p w14:paraId="21B434B9" w14:textId="6F3B6FD3" w:rsidR="00714451" w:rsidRPr="00D31344" w:rsidRDefault="00570B35" w:rsidP="006631FF">
      <w:pPr>
        <w:pStyle w:val="Header"/>
        <w:tabs>
          <w:tab w:val="clear" w:pos="4680"/>
          <w:tab w:val="clear" w:pos="9360"/>
        </w:tabs>
        <w:spacing w:line="360" w:lineRule="auto"/>
      </w:pPr>
      <w:r w:rsidRPr="00D31344">
        <w:tab/>
        <w:t xml:space="preserve">The Court of Appeal held that </w:t>
      </w:r>
      <w:r w:rsidR="00174A32" w:rsidRPr="00D31344">
        <w:t xml:space="preserve">this constitutional provision </w:t>
      </w:r>
      <w:r w:rsidRPr="00D31344">
        <w:t xml:space="preserve">was clear and unambiguous and dictated that only the Legislature could confer additional authority on the </w:t>
      </w:r>
      <w:r w:rsidR="007465C7" w:rsidRPr="00D31344">
        <w:t>PUC</w:t>
      </w:r>
      <w:r w:rsidRPr="00D31344">
        <w:t>, not the voters</w:t>
      </w:r>
      <w:r w:rsidR="00174A32" w:rsidRPr="00D31344">
        <w:t>.</w:t>
      </w:r>
      <w:r w:rsidRPr="00D31344">
        <w:t xml:space="preserve"> </w:t>
      </w:r>
      <w:r w:rsidR="00174A32" w:rsidRPr="00D31344">
        <w:t xml:space="preserve"> </w:t>
      </w:r>
      <w:r w:rsidRPr="00D31344">
        <w:t>(</w:t>
      </w:r>
      <w:r w:rsidRPr="00D31344">
        <w:rPr>
          <w:i/>
          <w:iCs/>
        </w:rPr>
        <w:t>McPherson</w:t>
      </w:r>
      <w:r w:rsidRPr="00D31344">
        <w:t xml:space="preserve">, </w:t>
      </w:r>
      <w:r w:rsidRPr="00D31344">
        <w:rPr>
          <w:i/>
          <w:iCs/>
        </w:rPr>
        <w:t>supra</w:t>
      </w:r>
      <w:r w:rsidRPr="00D31344">
        <w:t>, 38</w:t>
      </w:r>
      <w:r w:rsidR="00747D0A" w:rsidRPr="00D31344">
        <w:t> </w:t>
      </w:r>
      <w:r w:rsidRPr="00D31344">
        <w:t>Cal.4th at p.</w:t>
      </w:r>
      <w:r w:rsidR="00747D0A" w:rsidRPr="00D31344">
        <w:t> </w:t>
      </w:r>
      <w:r w:rsidRPr="00D31344">
        <w:t>103</w:t>
      </w:r>
      <w:r w:rsidR="00A84E31" w:rsidRPr="00D31344">
        <w:t>2</w:t>
      </w:r>
      <w:r w:rsidRPr="00D31344">
        <w:t>.)  The Court of Appeal recognized that courts had previously held that references in th</w:t>
      </w:r>
      <w:r w:rsidRPr="00D31344">
        <w:t>e Constitution to the Legislature having a power did not deprive the voters of their initiative power.  (</w:t>
      </w:r>
      <w:r w:rsidR="00E451AB" w:rsidRPr="00D31344">
        <w:rPr>
          <w:i/>
          <w:iCs/>
        </w:rPr>
        <w:t>McPherson</w:t>
      </w:r>
      <w:r w:rsidR="00335A6D" w:rsidRPr="00D31344">
        <w:t>,</w:t>
      </w:r>
      <w:r w:rsidRPr="00D31344">
        <w:rPr>
          <w:i/>
          <w:iCs/>
        </w:rPr>
        <w:t xml:space="preserve"> </w:t>
      </w:r>
      <w:r w:rsidRPr="00D31344">
        <w:t xml:space="preserve">at </w:t>
      </w:r>
      <w:r w:rsidR="00EB410B" w:rsidRPr="00D31344">
        <w:t>p</w:t>
      </w:r>
      <w:r w:rsidRPr="00D31344">
        <w:t>p.</w:t>
      </w:r>
      <w:r w:rsidR="00335A6D" w:rsidRPr="00D31344">
        <w:t> </w:t>
      </w:r>
      <w:r w:rsidR="00EB410B" w:rsidRPr="00D31344">
        <w:t>103</w:t>
      </w:r>
      <w:r w:rsidR="001F2B1F" w:rsidRPr="00D31344">
        <w:t>3–</w:t>
      </w:r>
      <w:r w:rsidRPr="00D31344">
        <w:t>103</w:t>
      </w:r>
      <w:r w:rsidR="001F2B1F" w:rsidRPr="00D31344">
        <w:t>5</w:t>
      </w:r>
      <w:r w:rsidRPr="00D31344">
        <w:t xml:space="preserve">.)  </w:t>
      </w:r>
      <w:r w:rsidR="00190685" w:rsidRPr="00D31344">
        <w:t>But t</w:t>
      </w:r>
      <w:r w:rsidRPr="00D31344">
        <w:t xml:space="preserve">he Court of Appeal found those cases distinguishable because article XII, section 5 gave the Legislature </w:t>
      </w:r>
      <w:r w:rsidRPr="00D31344">
        <w:t xml:space="preserve">“plenary” power that was </w:t>
      </w:r>
      <w:proofErr w:type="gramStart"/>
      <w:r w:rsidRPr="00D31344">
        <w:t>“</w:t>
      </w:r>
      <w:r w:rsidR="00AE3D4D" w:rsidRPr="00D31344">
        <w:t> ‘</w:t>
      </w:r>
      <w:proofErr w:type="gramEnd"/>
      <w:r w:rsidRPr="00D31344">
        <w:t>unlimited by the other provisions of this constitution.</w:t>
      </w:r>
      <w:r w:rsidR="00AE3D4D" w:rsidRPr="00D31344">
        <w:t>’ </w:t>
      </w:r>
      <w:r w:rsidRPr="00D31344">
        <w:t>”  (</w:t>
      </w:r>
      <w:r w:rsidR="002D410E" w:rsidRPr="00D31344">
        <w:rPr>
          <w:i/>
          <w:iCs/>
        </w:rPr>
        <w:t>McPherson</w:t>
      </w:r>
      <w:r w:rsidR="002D410E" w:rsidRPr="00D31344">
        <w:t>,</w:t>
      </w:r>
      <w:r w:rsidRPr="00D31344">
        <w:rPr>
          <w:i/>
          <w:iCs/>
        </w:rPr>
        <w:t xml:space="preserve"> </w:t>
      </w:r>
      <w:r w:rsidRPr="00D31344">
        <w:t>at p.</w:t>
      </w:r>
      <w:r w:rsidR="006B3989" w:rsidRPr="00D31344">
        <w:t> </w:t>
      </w:r>
      <w:r w:rsidRPr="00D31344">
        <w:t>1035.)</w:t>
      </w:r>
      <w:r w:rsidR="002D410E" w:rsidRPr="00D31344">
        <w:t xml:space="preserve"> </w:t>
      </w:r>
    </w:p>
    <w:p w14:paraId="1877BE72" w14:textId="193FD7D0" w:rsidR="00FC40F8" w:rsidRPr="00D31344" w:rsidRDefault="00570B35" w:rsidP="006631FF">
      <w:pPr>
        <w:pStyle w:val="Header"/>
        <w:tabs>
          <w:tab w:val="clear" w:pos="4680"/>
          <w:tab w:val="clear" w:pos="9360"/>
        </w:tabs>
        <w:spacing w:line="360" w:lineRule="auto"/>
      </w:pPr>
      <w:r w:rsidRPr="00D31344">
        <w:lastRenderedPageBreak/>
        <w:tab/>
      </w:r>
      <w:r w:rsidR="008E079F" w:rsidRPr="00D31344">
        <w:t>Before the Supreme Court, t</w:t>
      </w:r>
      <w:r w:rsidRPr="00D31344">
        <w:t>he proponents of the initiative challenged th</w:t>
      </w:r>
      <w:r w:rsidR="00634CD4" w:rsidRPr="00D31344">
        <w:t>e Court of Appeal’s reasoning</w:t>
      </w:r>
      <w:r w:rsidRPr="00D31344">
        <w:t xml:space="preserve"> </w:t>
      </w:r>
      <w:r w:rsidR="00976B74" w:rsidRPr="00D31344">
        <w:t>by pointing out that</w:t>
      </w:r>
      <w:r w:rsidRPr="00D31344">
        <w:t xml:space="preserve"> </w:t>
      </w:r>
      <w:r w:rsidR="000C05E6" w:rsidRPr="00D31344">
        <w:t xml:space="preserve">a </w:t>
      </w:r>
      <w:r w:rsidRPr="00D31344">
        <w:t>“plenary</w:t>
      </w:r>
      <w:r w:rsidR="000C05E6" w:rsidRPr="00D31344">
        <w:t xml:space="preserve"> power</w:t>
      </w:r>
      <w:r w:rsidRPr="00D31344">
        <w:t xml:space="preserve">” </w:t>
      </w:r>
      <w:r w:rsidR="00E118BE" w:rsidRPr="00D31344">
        <w:t xml:space="preserve">is </w:t>
      </w:r>
      <w:r w:rsidRPr="00D31344">
        <w:t>complete</w:t>
      </w:r>
      <w:r w:rsidR="00976B74" w:rsidRPr="00D31344">
        <w:t xml:space="preserve"> </w:t>
      </w:r>
      <w:r w:rsidRPr="00D31344">
        <w:t xml:space="preserve">but </w:t>
      </w:r>
      <w:r w:rsidR="001F2B1F" w:rsidRPr="00D31344">
        <w:t xml:space="preserve">is </w:t>
      </w:r>
      <w:r w:rsidR="00976B74" w:rsidRPr="00D31344">
        <w:t xml:space="preserve">not </w:t>
      </w:r>
      <w:r w:rsidR="00E118BE" w:rsidRPr="00D31344">
        <w:t xml:space="preserve">necessarily </w:t>
      </w:r>
      <w:r w:rsidRPr="00D31344">
        <w:t>exclusive.  (</w:t>
      </w:r>
      <w:r w:rsidR="003F073F" w:rsidRPr="00D31344">
        <w:rPr>
          <w:i/>
          <w:iCs/>
        </w:rPr>
        <w:t>McPherson</w:t>
      </w:r>
      <w:r w:rsidR="003F073F" w:rsidRPr="00D31344">
        <w:t xml:space="preserve">, </w:t>
      </w:r>
      <w:r w:rsidR="003F073F" w:rsidRPr="00D31344">
        <w:rPr>
          <w:i/>
          <w:iCs/>
        </w:rPr>
        <w:t>supra</w:t>
      </w:r>
      <w:r w:rsidR="003F073F" w:rsidRPr="00D31344">
        <w:t>, 38</w:t>
      </w:r>
      <w:r w:rsidR="00EB04A2" w:rsidRPr="00D31344">
        <w:t> </w:t>
      </w:r>
      <w:r w:rsidR="003F073F" w:rsidRPr="00D31344">
        <w:t>Cal.4th at p.</w:t>
      </w:r>
      <w:r w:rsidR="00EB04A2" w:rsidRPr="00D31344">
        <w:t> </w:t>
      </w:r>
      <w:r w:rsidRPr="00D31344">
        <w:t>103</w:t>
      </w:r>
      <w:r w:rsidR="001F2B1F" w:rsidRPr="00D31344">
        <w:t>5</w:t>
      </w:r>
      <w:r w:rsidRPr="00D31344">
        <w:t xml:space="preserve">.)  They also noted that the Court of Appeal’s </w:t>
      </w:r>
      <w:r w:rsidR="007465C7" w:rsidRPr="00D31344">
        <w:t xml:space="preserve">broad </w:t>
      </w:r>
      <w:r w:rsidRPr="00D31344">
        <w:t xml:space="preserve">interpretation of the “unlimited” </w:t>
      </w:r>
      <w:r w:rsidR="007465C7" w:rsidRPr="00D31344">
        <w:t xml:space="preserve">clause </w:t>
      </w:r>
      <w:r w:rsidRPr="00D31344">
        <w:t xml:space="preserve">logically would have meant “that a statute passed by the Legislature pursuant to article XII, section 5 would not be subject to </w:t>
      </w:r>
      <w:r w:rsidRPr="00D31344">
        <w:rPr>
          <w:i/>
        </w:rPr>
        <w:t>any</w:t>
      </w:r>
      <w:r w:rsidRPr="00D31344">
        <w:t xml:space="preserve"> provision of the California Constitution, including, for example, the provision authorizing the Governor to veto a bill appr</w:t>
      </w:r>
      <w:r w:rsidRPr="00D31344">
        <w:t>oved by the Legislature.”  (</w:t>
      </w:r>
      <w:r w:rsidRPr="00D31344">
        <w:rPr>
          <w:i/>
          <w:iCs/>
        </w:rPr>
        <w:t>Id.</w:t>
      </w:r>
      <w:r w:rsidR="004B44FB" w:rsidRPr="00D31344">
        <w:rPr>
          <w:i/>
          <w:iCs/>
        </w:rPr>
        <w:t xml:space="preserve"> </w:t>
      </w:r>
      <w:r w:rsidR="004B44FB" w:rsidRPr="00D31344">
        <w:t>at p.</w:t>
      </w:r>
      <w:r w:rsidR="005149C5" w:rsidRPr="00D31344">
        <w:t> </w:t>
      </w:r>
      <w:r w:rsidR="004B44FB" w:rsidRPr="00D31344">
        <w:t>1036.</w:t>
      </w:r>
      <w:r w:rsidRPr="00D31344">
        <w:t xml:space="preserve">)  The Supreme Court agreed that these arguments showed </w:t>
      </w:r>
      <w:r w:rsidR="007465C7" w:rsidRPr="00D31344">
        <w:t xml:space="preserve">that </w:t>
      </w:r>
      <w:r w:rsidRPr="00D31344">
        <w:t>article XII, section 5 was not unambiguous, “[p]</w:t>
      </w:r>
      <w:proofErr w:type="spellStart"/>
      <w:r w:rsidRPr="00D31344">
        <w:t>articularly</w:t>
      </w:r>
      <w:proofErr w:type="spellEnd"/>
      <w:r w:rsidRPr="00D31344">
        <w:t xml:space="preserve"> in light of the numerous past California authorities holding that constitutional references </w:t>
      </w:r>
      <w:r w:rsidRPr="00D31344">
        <w:t>to the Legislature</w:t>
      </w:r>
      <w:r w:rsidR="00FA7B09" w:rsidRPr="00D31344">
        <w:t>’</w:t>
      </w:r>
      <w:r w:rsidRPr="00D31344">
        <w:t>s authority to take specified action generally are not interpreted to limit the initiative power.”  (</w:t>
      </w:r>
      <w:r w:rsidR="00D6163A" w:rsidRPr="00D31344">
        <w:rPr>
          <w:i/>
          <w:iCs/>
        </w:rPr>
        <w:t>McPherson</w:t>
      </w:r>
      <w:r w:rsidR="00D6163A" w:rsidRPr="00D31344">
        <w:t>,</w:t>
      </w:r>
      <w:r w:rsidR="00345DA6" w:rsidRPr="00D31344">
        <w:t xml:space="preserve"> at p. 1036</w:t>
      </w:r>
      <w:r w:rsidR="00403452" w:rsidRPr="00D31344">
        <w:t>.</w:t>
      </w:r>
      <w:r w:rsidRPr="00D31344">
        <w:t xml:space="preserve">)  The </w:t>
      </w:r>
      <w:r w:rsidR="00C1383D" w:rsidRPr="00D31344">
        <w:t>c</w:t>
      </w:r>
      <w:r w:rsidRPr="00D31344">
        <w:t>ourt therefore considered the origin and background of the constitutional language</w:t>
      </w:r>
      <w:r w:rsidR="00210529" w:rsidRPr="00D31344">
        <w:t>.  (</w:t>
      </w:r>
      <w:r w:rsidR="00210529" w:rsidRPr="00D31344">
        <w:rPr>
          <w:i/>
          <w:iCs/>
        </w:rPr>
        <w:t>Id.</w:t>
      </w:r>
      <w:r w:rsidR="00BB2595" w:rsidRPr="00D31344">
        <w:rPr>
          <w:i/>
          <w:iCs/>
        </w:rPr>
        <w:t xml:space="preserve"> </w:t>
      </w:r>
      <w:r w:rsidR="00BB2595" w:rsidRPr="00D31344">
        <w:t>at pp.</w:t>
      </w:r>
      <w:r w:rsidR="00996E79" w:rsidRPr="00D31344">
        <w:t> </w:t>
      </w:r>
      <w:r w:rsidR="00BB2595" w:rsidRPr="00D31344">
        <w:t>1036–1037.</w:t>
      </w:r>
      <w:r w:rsidR="00210529" w:rsidRPr="00D31344">
        <w:t xml:space="preserve">) </w:t>
      </w:r>
      <w:r w:rsidRPr="00D31344">
        <w:t xml:space="preserve"> </w:t>
      </w:r>
      <w:r w:rsidR="00210529" w:rsidRPr="00D31344">
        <w:t>T</w:t>
      </w:r>
      <w:r w:rsidRPr="00D31344">
        <w:t xml:space="preserve">he voters </w:t>
      </w:r>
      <w:r w:rsidR="00210529" w:rsidRPr="00D31344">
        <w:t xml:space="preserve">had </w:t>
      </w:r>
      <w:r w:rsidRPr="00D31344">
        <w:t>added t</w:t>
      </w:r>
      <w:r w:rsidR="00546E39" w:rsidRPr="00D31344">
        <w:t>he language t</w:t>
      </w:r>
      <w:r w:rsidRPr="00D31344">
        <w:t>o the Constitution in 1911, the same year as the initiative power.  (</w:t>
      </w:r>
      <w:r w:rsidR="00431CAF" w:rsidRPr="00D31344">
        <w:rPr>
          <w:i/>
          <w:iCs/>
        </w:rPr>
        <w:t>McPherson</w:t>
      </w:r>
      <w:r w:rsidR="00431CAF" w:rsidRPr="00D31344">
        <w:t>,</w:t>
      </w:r>
      <w:r w:rsidRPr="00D31344">
        <w:rPr>
          <w:i/>
          <w:iCs/>
        </w:rPr>
        <w:t xml:space="preserve"> </w:t>
      </w:r>
      <w:r w:rsidRPr="00D31344">
        <w:t>at pp.</w:t>
      </w:r>
      <w:r w:rsidR="00431CAF" w:rsidRPr="00D31344">
        <w:t> </w:t>
      </w:r>
      <w:r w:rsidRPr="00D31344">
        <w:t>103</w:t>
      </w:r>
      <w:r w:rsidR="005F5EFA" w:rsidRPr="00D31344">
        <w:t>7</w:t>
      </w:r>
      <w:r w:rsidRPr="00D31344">
        <w:t xml:space="preserve">–1041.)  Because both the initiative power and the language allowing the Legislature to expand the authority of the PUC were part of the reform program of the progressive movement, the </w:t>
      </w:r>
      <w:r w:rsidR="00DA7835" w:rsidRPr="00D31344">
        <w:t>c</w:t>
      </w:r>
      <w:r w:rsidRPr="00D31344">
        <w:t xml:space="preserve">ourt found it </w:t>
      </w:r>
      <w:r w:rsidR="00324147" w:rsidRPr="00D31344">
        <w:t>“</w:t>
      </w:r>
      <w:r w:rsidR="00DA3CD6" w:rsidRPr="00D31344">
        <w:t xml:space="preserve">most </w:t>
      </w:r>
      <w:r w:rsidRPr="00D31344">
        <w:t>improbable</w:t>
      </w:r>
      <w:r w:rsidR="00324147" w:rsidRPr="00D31344">
        <w:t>”</w:t>
      </w:r>
      <w:r w:rsidRPr="00D31344">
        <w:t xml:space="preserve"> that the voters intended the amendment</w:t>
      </w:r>
      <w:r w:rsidRPr="00D31344">
        <w:t xml:space="preserve"> to article XII, section 5 to limit the scope of the initiative power they approved simultaneously, </w:t>
      </w:r>
      <w:r w:rsidR="00DA3CD6" w:rsidRPr="00D31344">
        <w:t>“</w:t>
      </w:r>
      <w:r w:rsidRPr="00D31344">
        <w:t>without any direct or explicit statement to this effect.”  (</w:t>
      </w:r>
      <w:r w:rsidR="00997923" w:rsidRPr="00D31344">
        <w:rPr>
          <w:i/>
          <w:iCs/>
        </w:rPr>
        <w:t>McPherson</w:t>
      </w:r>
      <w:r w:rsidR="00997923" w:rsidRPr="00D31344">
        <w:t>,</w:t>
      </w:r>
      <w:r w:rsidRPr="00D31344">
        <w:rPr>
          <w:i/>
          <w:iCs/>
        </w:rPr>
        <w:t xml:space="preserve"> </w:t>
      </w:r>
      <w:r w:rsidRPr="00D31344">
        <w:t>at p.</w:t>
      </w:r>
      <w:r w:rsidR="00B66C20" w:rsidRPr="00D31344">
        <w:t> </w:t>
      </w:r>
      <w:r w:rsidRPr="00D31344">
        <w:t>1042.)</w:t>
      </w:r>
      <w:r w:rsidR="00D543FC" w:rsidRPr="00D31344">
        <w:t xml:space="preserve"> </w:t>
      </w:r>
    </w:p>
    <w:p w14:paraId="57DF04AA" w14:textId="6CE53140" w:rsidR="004A2A30" w:rsidRPr="00D31344" w:rsidRDefault="00570B35" w:rsidP="00151906">
      <w:pPr>
        <w:pStyle w:val="Header"/>
        <w:spacing w:line="360" w:lineRule="auto"/>
      </w:pPr>
      <w:r w:rsidRPr="00D31344">
        <w:lastRenderedPageBreak/>
        <w:tab/>
      </w:r>
      <w:r w:rsidR="000B170D" w:rsidRPr="00D31344">
        <w:rPr>
          <w:i/>
          <w:iCs/>
        </w:rPr>
        <w:t>McPherson</w:t>
      </w:r>
      <w:r w:rsidR="000B170D" w:rsidRPr="00D31344">
        <w:t xml:space="preserve"> reveals two flaws in </w:t>
      </w:r>
      <w:r w:rsidR="003A34B8" w:rsidRPr="00D31344">
        <w:t>the trial court’s ruling</w:t>
      </w:r>
      <w:r w:rsidR="000B170D" w:rsidRPr="00D31344">
        <w:t xml:space="preserve">.  First, </w:t>
      </w:r>
      <w:r w:rsidR="00990C51" w:rsidRPr="00D31344">
        <w:rPr>
          <w:i/>
          <w:iCs/>
        </w:rPr>
        <w:t>McPherson</w:t>
      </w:r>
      <w:r w:rsidR="00D965B2" w:rsidRPr="00D31344">
        <w:t xml:space="preserve"> </w:t>
      </w:r>
      <w:r w:rsidR="007465C7" w:rsidRPr="00D31344">
        <w:t>expressly approved “</w:t>
      </w:r>
      <w:r w:rsidR="00981617" w:rsidRPr="00D31344">
        <w:t>long-standing California decisions establishing that references in the California Constitution to the authority of the Legislature to enact specified legislation generally are interpreted to include the people’s reserved right to legislate through the initiative power</w:t>
      </w:r>
      <w:r w:rsidR="00D965B2" w:rsidRPr="00D31344">
        <w:t>.</w:t>
      </w:r>
      <w:r w:rsidR="00981617" w:rsidRPr="00D31344">
        <w:t>”</w:t>
      </w:r>
      <w:r w:rsidR="007465C7" w:rsidRPr="00D31344">
        <w:t xml:space="preserve"> </w:t>
      </w:r>
      <w:r w:rsidR="00D965B2" w:rsidRPr="00D31344">
        <w:t xml:space="preserve"> </w:t>
      </w:r>
      <w:r w:rsidR="007465C7" w:rsidRPr="00D31344">
        <w:t>(</w:t>
      </w:r>
      <w:r w:rsidR="007465C7" w:rsidRPr="00D31344">
        <w:rPr>
          <w:i/>
          <w:iCs/>
        </w:rPr>
        <w:t xml:space="preserve">McPherson, supra, </w:t>
      </w:r>
      <w:r w:rsidR="007465C7" w:rsidRPr="00D31344">
        <w:t>38</w:t>
      </w:r>
      <w:r w:rsidR="00C47768" w:rsidRPr="00D31344">
        <w:t> </w:t>
      </w:r>
      <w:r w:rsidR="007465C7" w:rsidRPr="00D31344">
        <w:t>Cal.4th at p.</w:t>
      </w:r>
      <w:r w:rsidR="00C47768" w:rsidRPr="00D31344">
        <w:t> </w:t>
      </w:r>
      <w:r w:rsidR="007465C7" w:rsidRPr="00D31344">
        <w:t xml:space="preserve">1043.) </w:t>
      </w:r>
      <w:r w:rsidR="00981617" w:rsidRPr="00D31344">
        <w:t xml:space="preserve"> </w:t>
      </w:r>
      <w:r w:rsidR="007465C7" w:rsidRPr="00D31344">
        <w:t>This principle—which plaintiffs do not dispute—</w:t>
      </w:r>
      <w:r w:rsidR="00981617" w:rsidRPr="00D31344">
        <w:t xml:space="preserve">deprives </w:t>
      </w:r>
      <w:r w:rsidRPr="00D31344">
        <w:t>the trial court’s</w:t>
      </w:r>
      <w:r w:rsidR="00981617" w:rsidRPr="00D31344">
        <w:t xml:space="preserve"> </w:t>
      </w:r>
      <w:r w:rsidR="00955F70" w:rsidRPr="00D31344">
        <w:t xml:space="preserve">textual argument of much of its force.  </w:t>
      </w:r>
      <w:r w:rsidR="00F24EBF" w:rsidRPr="00D31344">
        <w:t>Rather than read article XIV, section 4 as conferring plenary, unlimited power on the Legislature</w:t>
      </w:r>
      <w:r w:rsidR="00A02B42" w:rsidRPr="00D31344">
        <w:t xml:space="preserve"> and only the Legislature</w:t>
      </w:r>
      <w:r w:rsidR="00F24EBF" w:rsidRPr="00D31344">
        <w:t xml:space="preserve">, </w:t>
      </w:r>
      <w:r w:rsidR="00E65751" w:rsidRPr="00D31344">
        <w:rPr>
          <w:i/>
          <w:iCs/>
        </w:rPr>
        <w:t>McPherson</w:t>
      </w:r>
      <w:r w:rsidR="00F24EBF" w:rsidRPr="00D31344">
        <w:rPr>
          <w:i/>
          <w:iCs/>
        </w:rPr>
        <w:t xml:space="preserve"> </w:t>
      </w:r>
      <w:r w:rsidR="007465C7" w:rsidRPr="00D31344">
        <w:t xml:space="preserve">requires </w:t>
      </w:r>
      <w:r w:rsidR="00F24EBF" w:rsidRPr="00D31344">
        <w:t>that w</w:t>
      </w:r>
      <w:r w:rsidR="004C01A5" w:rsidRPr="00D31344">
        <w:t xml:space="preserve">e </w:t>
      </w:r>
      <w:r w:rsidR="00E65751" w:rsidRPr="00D31344">
        <w:t xml:space="preserve">read </w:t>
      </w:r>
      <w:r w:rsidR="00370ADD" w:rsidRPr="00D31344">
        <w:t>article XIV, section 4</w:t>
      </w:r>
      <w:r w:rsidR="00990C51" w:rsidRPr="00D31344">
        <w:t xml:space="preserve"> as </w:t>
      </w:r>
      <w:r w:rsidR="004C01A5" w:rsidRPr="00D31344">
        <w:t>though it said, “</w:t>
      </w:r>
      <w:r w:rsidR="00334006" w:rsidRPr="00D31344">
        <w:t>T</w:t>
      </w:r>
      <w:r w:rsidR="004C01A5" w:rsidRPr="00D31344">
        <w:t xml:space="preserve">he Legislature </w:t>
      </w:r>
      <w:r w:rsidR="004C01A5" w:rsidRPr="00D31344">
        <w:rPr>
          <w:i/>
          <w:iCs/>
        </w:rPr>
        <w:t xml:space="preserve">or the </w:t>
      </w:r>
      <w:r w:rsidR="00C22A5C" w:rsidRPr="00D31344">
        <w:rPr>
          <w:i/>
          <w:iCs/>
        </w:rPr>
        <w:t>electorate</w:t>
      </w:r>
      <w:r w:rsidR="004C01A5" w:rsidRPr="00D31344">
        <w:rPr>
          <w:i/>
          <w:iCs/>
        </w:rPr>
        <w:t xml:space="preserve"> acting through the initiative</w:t>
      </w:r>
      <w:r w:rsidR="004C01A5" w:rsidRPr="00D31344">
        <w:t xml:space="preserve"> </w:t>
      </w:r>
      <w:r w:rsidR="004C01A5" w:rsidRPr="00D31344">
        <w:rPr>
          <w:i/>
          <w:iCs/>
        </w:rPr>
        <w:t>power</w:t>
      </w:r>
      <w:r w:rsidR="004C01A5" w:rsidRPr="00D31344">
        <w:t xml:space="preserve"> </w:t>
      </w:r>
      <w:r w:rsidR="00D15B96" w:rsidRPr="00D31344">
        <w:rPr>
          <w:i/>
          <w:iCs/>
        </w:rPr>
        <w:t>are</w:t>
      </w:r>
      <w:r w:rsidR="004C01A5" w:rsidRPr="00D31344">
        <w:t xml:space="preserve"> hereby expressly vested with plenary power, unlimited by any provision of this </w:t>
      </w:r>
      <w:r w:rsidR="00856B5D" w:rsidRPr="00D31344">
        <w:t>c</w:t>
      </w:r>
      <w:r w:rsidR="004C01A5" w:rsidRPr="00D31344">
        <w:t>onstitution, to create, and enforce a complete system of workers’ compensation</w:t>
      </w:r>
      <w:r w:rsidR="00F7756F" w:rsidRPr="00D31344">
        <w:t> </w:t>
      </w:r>
      <w:proofErr w:type="gramStart"/>
      <w:r w:rsidR="00370ADD" w:rsidRPr="00D31344">
        <w:t>. . . </w:t>
      </w:r>
      <w:r w:rsidR="00E76ED7" w:rsidRPr="00D31344">
        <w:t>.</w:t>
      </w:r>
      <w:proofErr w:type="gramEnd"/>
      <w:r w:rsidR="004C01A5" w:rsidRPr="00D31344">
        <w:t xml:space="preserve">”  </w:t>
      </w:r>
      <w:r w:rsidR="00A02B42" w:rsidRPr="00D31344">
        <w:t>(</w:t>
      </w:r>
      <w:r w:rsidR="0005015C" w:rsidRPr="00D31344">
        <w:t xml:space="preserve">See </w:t>
      </w:r>
      <w:r w:rsidR="00A02B42" w:rsidRPr="00D31344">
        <w:rPr>
          <w:i/>
          <w:iCs/>
        </w:rPr>
        <w:t>McPherson</w:t>
      </w:r>
      <w:r w:rsidR="00A02B42" w:rsidRPr="00D31344">
        <w:t xml:space="preserve">, </w:t>
      </w:r>
      <w:r w:rsidR="00A02B42" w:rsidRPr="00D31344">
        <w:rPr>
          <w:i/>
          <w:iCs/>
        </w:rPr>
        <w:t>supra</w:t>
      </w:r>
      <w:r w:rsidR="00A02B42" w:rsidRPr="00D31344">
        <w:t xml:space="preserve">, </w:t>
      </w:r>
      <w:r w:rsidR="00747EB3" w:rsidRPr="00D31344">
        <w:t>38</w:t>
      </w:r>
      <w:r w:rsidR="00270BFE" w:rsidRPr="00D31344">
        <w:t> </w:t>
      </w:r>
      <w:r w:rsidR="00747EB3" w:rsidRPr="00D31344">
        <w:t>Cal.4th at p</w:t>
      </w:r>
      <w:r w:rsidR="0005015C" w:rsidRPr="00D31344">
        <w:t>p</w:t>
      </w:r>
      <w:r w:rsidR="00747EB3" w:rsidRPr="00D31344">
        <w:t>.</w:t>
      </w:r>
      <w:r w:rsidR="00270BFE" w:rsidRPr="00D31344">
        <w:t> </w:t>
      </w:r>
      <w:r w:rsidR="0005015C" w:rsidRPr="00D31344">
        <w:t xml:space="preserve">1032 </w:t>
      </w:r>
      <w:proofErr w:type="gramStart"/>
      <w:r w:rsidR="0005015C" w:rsidRPr="00D31344">
        <w:t>[“ ‘</w:t>
      </w:r>
      <w:proofErr w:type="gramEnd"/>
      <w:r w:rsidR="0005015C" w:rsidRPr="00D31344">
        <w:t xml:space="preserve">the power of the people [to enact statutes] through the statutory initiative </w:t>
      </w:r>
      <w:r w:rsidR="0005015C" w:rsidRPr="00D31344">
        <w:rPr>
          <w:i/>
        </w:rPr>
        <w:t>is coextensive</w:t>
      </w:r>
      <w:r w:rsidR="0005015C" w:rsidRPr="00D31344">
        <w:t xml:space="preserve"> with the power of the Legislature’ ”]</w:t>
      </w:r>
      <w:r w:rsidR="00B6245E" w:rsidRPr="00D31344">
        <w:t>,</w:t>
      </w:r>
      <w:r w:rsidR="0005015C" w:rsidRPr="00D31344">
        <w:t xml:space="preserve"> 1033</w:t>
      </w:r>
      <w:r w:rsidR="004664E7" w:rsidRPr="00D31344">
        <w:t xml:space="preserve">, </w:t>
      </w:r>
      <w:r w:rsidR="00B6245E" w:rsidRPr="00D31344">
        <w:t>1042–1043</w:t>
      </w:r>
      <w:r w:rsidR="0005015C" w:rsidRPr="00D31344">
        <w:t xml:space="preserve"> [</w:t>
      </w:r>
      <w:r w:rsidR="006834A5" w:rsidRPr="00D31344">
        <w:t>reading article XII, section 5 as though it referred to the electorate’s initiative power]</w:t>
      </w:r>
      <w:r w:rsidR="00151906" w:rsidRPr="00D31344">
        <w:t>.)</w:t>
      </w:r>
      <w:r>
        <w:rPr>
          <w:rStyle w:val="FootnoteReference"/>
        </w:rPr>
        <w:footnoteReference w:id="9"/>
      </w:r>
    </w:p>
    <w:p w14:paraId="04FA6DCE" w14:textId="203B8C2D" w:rsidR="00EB3C3C" w:rsidRPr="00D31344" w:rsidRDefault="00570B35" w:rsidP="006631FF">
      <w:pPr>
        <w:pStyle w:val="Header"/>
        <w:spacing w:line="360" w:lineRule="auto"/>
      </w:pPr>
      <w:r w:rsidRPr="00D31344">
        <w:lastRenderedPageBreak/>
        <w:tab/>
      </w:r>
      <w:r w:rsidR="007465C7" w:rsidRPr="00D31344">
        <w:t xml:space="preserve">Given that </w:t>
      </w:r>
      <w:r w:rsidR="00920C3E" w:rsidRPr="00D31344">
        <w:t xml:space="preserve">article XIV, section 4 </w:t>
      </w:r>
      <w:r w:rsidR="007465C7" w:rsidRPr="00D31344">
        <w:t xml:space="preserve">must be construed </w:t>
      </w:r>
      <w:r w:rsidR="00880378" w:rsidRPr="00D31344">
        <w:t>to grant lawmaking authority to both the Legislature and the electorate</w:t>
      </w:r>
      <w:r w:rsidR="003440D9" w:rsidRPr="00D31344">
        <w:t xml:space="preserve">, it is not significant </w:t>
      </w:r>
      <w:r w:rsidR="006F476A" w:rsidRPr="00D31344">
        <w:t xml:space="preserve">that article XIV, section 4 confers plenary power, nor </w:t>
      </w:r>
      <w:r w:rsidR="003440D9" w:rsidRPr="00D31344">
        <w:t xml:space="preserve">that the </w:t>
      </w:r>
      <w:r w:rsidR="00E864FD" w:rsidRPr="00D31344">
        <w:t xml:space="preserve">people may exercise their </w:t>
      </w:r>
      <w:r w:rsidR="003440D9" w:rsidRPr="00D31344">
        <w:t xml:space="preserve">initiative power </w:t>
      </w:r>
      <w:r w:rsidR="00E864FD" w:rsidRPr="00D31344">
        <w:t xml:space="preserve">in a way that </w:t>
      </w:r>
      <w:r w:rsidR="00334006" w:rsidRPr="00D31344">
        <w:t>limits the Legislature’s authority</w:t>
      </w:r>
      <w:r w:rsidR="006F476A" w:rsidRPr="00D31344">
        <w:t xml:space="preserve"> under </w:t>
      </w:r>
      <w:r w:rsidR="00E864FD" w:rsidRPr="00D31344">
        <w:t>article XIV, section 4</w:t>
      </w:r>
      <w:r w:rsidR="00334006" w:rsidRPr="00D31344">
        <w:t>.</w:t>
      </w:r>
      <w:r w:rsidR="00920C3E" w:rsidRPr="00D31344">
        <w:t xml:space="preserve">  </w:t>
      </w:r>
      <w:r w:rsidR="00370ADD" w:rsidRPr="00D31344">
        <w:t>A</w:t>
      </w:r>
      <w:r w:rsidR="00A678F6" w:rsidRPr="00D31344">
        <w:t xml:space="preserve">rticle XIV, section 4 </w:t>
      </w:r>
      <w:r w:rsidR="00D45297" w:rsidRPr="00D31344">
        <w:t xml:space="preserve">is not concerned with the </w:t>
      </w:r>
      <w:r w:rsidRPr="00D31344">
        <w:t xml:space="preserve">allocation of power </w:t>
      </w:r>
      <w:r w:rsidR="006F476A" w:rsidRPr="00D31344">
        <w:t xml:space="preserve">between </w:t>
      </w:r>
      <w:r w:rsidR="00D45297" w:rsidRPr="00D31344">
        <w:t xml:space="preserve">the </w:t>
      </w:r>
      <w:r w:rsidR="0059661F" w:rsidRPr="00D31344">
        <w:t>Legislature</w:t>
      </w:r>
      <w:r w:rsidRPr="00D31344">
        <w:t xml:space="preserve"> </w:t>
      </w:r>
      <w:r w:rsidR="006F476A" w:rsidRPr="00D31344">
        <w:t xml:space="preserve">and </w:t>
      </w:r>
      <w:r w:rsidR="00A678F6" w:rsidRPr="00D31344">
        <w:t>the electorate</w:t>
      </w:r>
      <w:r w:rsidR="0059661F" w:rsidRPr="00D31344">
        <w:t xml:space="preserve">, but rather with </w:t>
      </w:r>
      <w:r w:rsidR="004366DE" w:rsidRPr="00D31344">
        <w:t>ensuring that</w:t>
      </w:r>
      <w:r w:rsidRPr="00D31344">
        <w:t xml:space="preserve"> </w:t>
      </w:r>
      <w:r w:rsidR="006F476A" w:rsidRPr="00D31344">
        <w:t>the</w:t>
      </w:r>
      <w:r w:rsidRPr="00D31344">
        <w:t xml:space="preserve"> </w:t>
      </w:r>
      <w:r w:rsidR="004366DE" w:rsidRPr="00D31344">
        <w:t>la</w:t>
      </w:r>
      <w:r w:rsidR="00A678F6" w:rsidRPr="00D31344">
        <w:t>w</w:t>
      </w:r>
      <w:r w:rsidR="004366DE" w:rsidRPr="00D31344">
        <w:t>making bod</w:t>
      </w:r>
      <w:r w:rsidR="005D7547" w:rsidRPr="00D31344">
        <w:t>ies</w:t>
      </w:r>
      <w:r w:rsidR="008029FD" w:rsidRPr="00D31344">
        <w:t xml:space="preserve"> jointly and severally</w:t>
      </w:r>
      <w:r w:rsidR="00370ADD" w:rsidRPr="00D31344">
        <w:t xml:space="preserve"> </w:t>
      </w:r>
      <w:r w:rsidR="00AE221E" w:rsidRPr="00D31344">
        <w:t>ha</w:t>
      </w:r>
      <w:r w:rsidR="005D7547" w:rsidRPr="00D31344">
        <w:t>ve</w:t>
      </w:r>
      <w:r w:rsidR="00AE221E" w:rsidRPr="00D31344">
        <w:t xml:space="preserve"> </w:t>
      </w:r>
      <w:r w:rsidR="0059661F" w:rsidRPr="00D31344">
        <w:t xml:space="preserve">authority to </w:t>
      </w:r>
      <w:r w:rsidR="004366DE" w:rsidRPr="00D31344">
        <w:t>create a worker</w:t>
      </w:r>
      <w:r w:rsidR="00816E11" w:rsidRPr="00D31344">
        <w:t>s’</w:t>
      </w:r>
      <w:r w:rsidR="004366DE" w:rsidRPr="00D31344">
        <w:t xml:space="preserve"> compensation system</w:t>
      </w:r>
      <w:r w:rsidR="00AE221E" w:rsidRPr="00D31344">
        <w:t xml:space="preserve">.  </w:t>
      </w:r>
      <w:r w:rsidR="00C7495B" w:rsidRPr="00D31344">
        <w:t>If the people enact an initiative statute to create or modify the worker</w:t>
      </w:r>
      <w:r w:rsidR="00816E11" w:rsidRPr="00D31344">
        <w:t>s’</w:t>
      </w:r>
      <w:r w:rsidR="00C7495B" w:rsidRPr="00D31344">
        <w:t xml:space="preserve"> compensation system, they have exercised the plenary</w:t>
      </w:r>
      <w:r w:rsidR="006F476A" w:rsidRPr="00D31344">
        <w:t>, unlimited</w:t>
      </w:r>
      <w:r w:rsidR="00C7495B" w:rsidRPr="00D31344">
        <w:t xml:space="preserve"> authority that article XIV, section 4 confers </w:t>
      </w:r>
      <w:r w:rsidRPr="00D31344">
        <w:t xml:space="preserve">and satisfied that aspect of the </w:t>
      </w:r>
      <w:r w:rsidR="00906EFF" w:rsidRPr="00D31344">
        <w:t>C</w:t>
      </w:r>
      <w:r w:rsidRPr="00D31344">
        <w:t>onstitution</w:t>
      </w:r>
      <w:r w:rsidR="00370ADD" w:rsidRPr="00D31344">
        <w:t>.</w:t>
      </w:r>
      <w:r w:rsidR="00D27380" w:rsidRPr="00D31344">
        <w:t xml:space="preserve">  </w:t>
      </w:r>
      <w:r w:rsidR="00880378" w:rsidRPr="00D31344">
        <w:t>As</w:t>
      </w:r>
      <w:r w:rsidR="00D27380" w:rsidRPr="00D31344">
        <w:t xml:space="preserve"> </w:t>
      </w:r>
      <w:r w:rsidR="00F46E70" w:rsidRPr="00D31344">
        <w:t xml:space="preserve">courts must liberally construe the initiative power and resolve </w:t>
      </w:r>
      <w:r w:rsidR="00453847" w:rsidRPr="00D31344">
        <w:t xml:space="preserve">doubts in favor of the use of the initiative wherever reasonable, this is the interpretation of article XIV, section 4 that we must adopt.  </w:t>
      </w:r>
      <w:r w:rsidR="00AB4838" w:rsidRPr="00D31344">
        <w:t>(</w:t>
      </w:r>
      <w:r w:rsidR="00AB4838" w:rsidRPr="00D31344">
        <w:rPr>
          <w:i/>
          <w:iCs/>
        </w:rPr>
        <w:t>Briggs</w:t>
      </w:r>
      <w:r w:rsidR="00AB4838" w:rsidRPr="00D31344">
        <w:t xml:space="preserve">, </w:t>
      </w:r>
      <w:r w:rsidR="00AB4838" w:rsidRPr="00D31344">
        <w:rPr>
          <w:i/>
          <w:iCs/>
        </w:rPr>
        <w:t>supra</w:t>
      </w:r>
      <w:r w:rsidR="00AB4838" w:rsidRPr="00D31344">
        <w:t>, 3</w:t>
      </w:r>
      <w:r w:rsidR="002D0C0A" w:rsidRPr="00D31344">
        <w:t> </w:t>
      </w:r>
      <w:r w:rsidR="00AB4838" w:rsidRPr="00D31344">
        <w:t xml:space="preserve">Cal.5th at </w:t>
      </w:r>
      <w:r w:rsidR="00662A0C" w:rsidRPr="00D31344">
        <w:t>p</w:t>
      </w:r>
      <w:r w:rsidR="00AB4838" w:rsidRPr="00D31344">
        <w:t>p.</w:t>
      </w:r>
      <w:r w:rsidR="002D0C0A" w:rsidRPr="00D31344">
        <w:t> </w:t>
      </w:r>
      <w:r w:rsidR="00662A0C" w:rsidRPr="00D31344">
        <w:t>827–</w:t>
      </w:r>
      <w:r w:rsidR="00AB4838" w:rsidRPr="00D31344">
        <w:t>828.)</w:t>
      </w:r>
    </w:p>
    <w:p w14:paraId="72F2D893" w14:textId="40B238F9" w:rsidR="00E72594" w:rsidRPr="00D31344" w:rsidRDefault="00570B35" w:rsidP="00E72594">
      <w:pPr>
        <w:pStyle w:val="Header"/>
        <w:spacing w:line="360" w:lineRule="auto"/>
      </w:pPr>
      <w:r w:rsidRPr="00D31344">
        <w:tab/>
      </w:r>
      <w:r w:rsidR="00414F01" w:rsidRPr="00D31344">
        <w:t xml:space="preserve">Second, </w:t>
      </w:r>
      <w:r w:rsidRPr="00D31344">
        <w:rPr>
          <w:i/>
          <w:iCs/>
        </w:rPr>
        <w:t>McPherson</w:t>
      </w:r>
      <w:r w:rsidRPr="00D31344">
        <w:t xml:space="preserve"> </w:t>
      </w:r>
      <w:r w:rsidR="00414F01" w:rsidRPr="00D31344">
        <w:t xml:space="preserve">shows that </w:t>
      </w:r>
      <w:r w:rsidR="003A3D57" w:rsidRPr="00D31344">
        <w:t xml:space="preserve">the trial </w:t>
      </w:r>
      <w:r w:rsidR="00FE4F90" w:rsidRPr="00D31344">
        <w:t>court erred when it read</w:t>
      </w:r>
      <w:r w:rsidR="003A3D57" w:rsidRPr="00D31344">
        <w:t xml:space="preserve"> </w:t>
      </w:r>
      <w:r w:rsidRPr="00D31344">
        <w:t xml:space="preserve">article XIV, section 4 </w:t>
      </w:r>
      <w:r w:rsidR="003A3D57" w:rsidRPr="00D31344">
        <w:t>a</w:t>
      </w:r>
      <w:r w:rsidRPr="00D31344">
        <w:t>s a</w:t>
      </w:r>
      <w:r w:rsidR="00E02173" w:rsidRPr="00D31344">
        <w:t xml:space="preserve"> plain statement prevailing over the </w:t>
      </w:r>
      <w:r w:rsidR="00DB30A9" w:rsidRPr="00D31344">
        <w:t>initiative power</w:t>
      </w:r>
      <w:r w:rsidR="00B86093" w:rsidRPr="00D31344">
        <w:t xml:space="preserve"> and </w:t>
      </w:r>
      <w:r w:rsidR="00FE4F90" w:rsidRPr="00D31344">
        <w:t>that plaintiffs likewise err when reading it</w:t>
      </w:r>
      <w:r w:rsidR="00D965B2" w:rsidRPr="00D31344">
        <w:t xml:space="preserve"> </w:t>
      </w:r>
      <w:r w:rsidR="00B86093" w:rsidRPr="00D31344">
        <w:t>as an express repeal of the initiative power</w:t>
      </w:r>
      <w:r w:rsidR="00DB30A9" w:rsidRPr="00D31344">
        <w:t xml:space="preserve">.  </w:t>
      </w:r>
      <w:r w:rsidRPr="00D31344">
        <w:rPr>
          <w:i/>
          <w:iCs/>
        </w:rPr>
        <w:t>McPherson</w:t>
      </w:r>
      <w:r w:rsidRPr="00D31344">
        <w:t xml:space="preserve"> held that </w:t>
      </w:r>
      <w:r w:rsidR="00FE4F90" w:rsidRPr="00D31344">
        <w:t xml:space="preserve">nearly </w:t>
      </w:r>
      <w:r w:rsidR="00510FE1" w:rsidRPr="00D31344">
        <w:t xml:space="preserve">identical </w:t>
      </w:r>
      <w:r w:rsidR="00414F01" w:rsidRPr="00D31344">
        <w:t xml:space="preserve">language </w:t>
      </w:r>
      <w:r w:rsidR="00FE4F90" w:rsidRPr="00D31344">
        <w:t xml:space="preserve">regarding </w:t>
      </w:r>
      <w:r w:rsidRPr="00D31344">
        <w:t>the Legislature</w:t>
      </w:r>
      <w:r w:rsidR="00510FE1" w:rsidRPr="00D31344">
        <w:t xml:space="preserve">’s </w:t>
      </w:r>
      <w:r w:rsidRPr="00D31344">
        <w:t xml:space="preserve">power </w:t>
      </w:r>
      <w:r w:rsidR="00FE4F90" w:rsidRPr="00D31344">
        <w:t xml:space="preserve">vis à vis the PUC </w:t>
      </w:r>
      <w:r w:rsidR="00264305" w:rsidRPr="00D31344">
        <w:t xml:space="preserve">was </w:t>
      </w:r>
      <w:r w:rsidR="00FE4F90" w:rsidRPr="00D31344">
        <w:t>“</w:t>
      </w:r>
      <w:r w:rsidR="00264305" w:rsidRPr="00D31344">
        <w:t>at most ambiguous</w:t>
      </w:r>
      <w:r w:rsidRPr="00D31344">
        <w:t>.</w:t>
      </w:r>
      <w:r w:rsidR="00FE4F90" w:rsidRPr="00D31344">
        <w:t>”</w:t>
      </w:r>
      <w:r w:rsidRPr="00D31344">
        <w:t xml:space="preserve">  (</w:t>
      </w:r>
      <w:r w:rsidRPr="00D31344">
        <w:rPr>
          <w:i/>
          <w:iCs/>
        </w:rPr>
        <w:t>McPherson</w:t>
      </w:r>
      <w:r w:rsidRPr="00D31344">
        <w:t xml:space="preserve">, </w:t>
      </w:r>
      <w:r w:rsidRPr="00D31344">
        <w:rPr>
          <w:i/>
          <w:iCs/>
        </w:rPr>
        <w:t>supra</w:t>
      </w:r>
      <w:r w:rsidRPr="00D31344">
        <w:t>, 38 Cal.4th at p.</w:t>
      </w:r>
      <w:r w:rsidR="00350AB7" w:rsidRPr="00D31344">
        <w:t> </w:t>
      </w:r>
      <w:r w:rsidR="00050E43" w:rsidRPr="00D31344">
        <w:t>1025</w:t>
      </w:r>
      <w:r w:rsidRPr="00D31344">
        <w:t xml:space="preserve">.)  It reached that conclusion in part </w:t>
      </w:r>
      <w:r w:rsidR="00FE4F90" w:rsidRPr="00D31344">
        <w:t>based on its reasoning</w:t>
      </w:r>
      <w:r w:rsidRPr="00D31344">
        <w:t xml:space="preserve"> that applying the “unlimited” language literally would mean that the Legislature could enact a law without having to comply with provisions of the Constitution like the one </w:t>
      </w:r>
      <w:r w:rsidRPr="00D31344">
        <w:lastRenderedPageBreak/>
        <w:t>that gives the Governor the right to veto legislation.  (</w:t>
      </w:r>
      <w:r w:rsidR="00A26AAA" w:rsidRPr="00D31344">
        <w:rPr>
          <w:i/>
          <w:iCs/>
        </w:rPr>
        <w:t>McPherson</w:t>
      </w:r>
      <w:r w:rsidR="00365D3D" w:rsidRPr="00D31344">
        <w:t>, at p.</w:t>
      </w:r>
      <w:r w:rsidR="00905FDF" w:rsidRPr="00D31344">
        <w:t> </w:t>
      </w:r>
      <w:r w:rsidR="00365D3D" w:rsidRPr="00D31344">
        <w:t>1036.</w:t>
      </w:r>
      <w:r w:rsidRPr="00D31344">
        <w:t>)</w:t>
      </w:r>
      <w:r w:rsidR="00491E5A" w:rsidRPr="00D31344">
        <w:t xml:space="preserve"> </w:t>
      </w:r>
    </w:p>
    <w:p w14:paraId="587078A5" w14:textId="3F084688" w:rsidR="00E72594" w:rsidRPr="00D31344" w:rsidRDefault="00570B35" w:rsidP="00E72594">
      <w:pPr>
        <w:pStyle w:val="Header"/>
        <w:spacing w:line="360" w:lineRule="auto"/>
      </w:pPr>
      <w:r w:rsidRPr="00D31344">
        <w:tab/>
      </w:r>
      <w:r w:rsidR="00D901FA" w:rsidRPr="00D31344">
        <w:t>The same rationale applies here</w:t>
      </w:r>
      <w:r w:rsidRPr="00D31344">
        <w:t>.</w:t>
      </w:r>
      <w:r w:rsidR="00D901FA" w:rsidRPr="00D31344">
        <w:t xml:space="preserve">  </w:t>
      </w:r>
      <w:r w:rsidRPr="00D31344">
        <w:t xml:space="preserve">Since </w:t>
      </w:r>
      <w:r w:rsidR="00D901FA" w:rsidRPr="00D31344">
        <w:t>article XIV, section</w:t>
      </w:r>
      <w:r w:rsidR="00560EE3" w:rsidRPr="00D31344">
        <w:t> </w:t>
      </w:r>
      <w:r w:rsidR="00D901FA" w:rsidRPr="00D31344">
        <w:t>4’s “unlimited” clause</w:t>
      </w:r>
      <w:r w:rsidRPr="00D31344">
        <w:t xml:space="preserve"> cannot mean that workers’ compensation laws are exempt from every other aspect of the Constitution,</w:t>
      </w:r>
      <w:r w:rsidR="00FE4F90" w:rsidRPr="00D31344">
        <w:t xml:space="preserve"> </w:t>
      </w:r>
      <w:r w:rsidRPr="00D31344">
        <w:t xml:space="preserve">it is ambiguous </w:t>
      </w:r>
      <w:r w:rsidR="00FE4F90" w:rsidRPr="00D31344">
        <w:t xml:space="preserve">as to </w:t>
      </w:r>
      <w:r w:rsidRPr="00D31344">
        <w:t>which aspects of the Constitution cont</w:t>
      </w:r>
      <w:r w:rsidRPr="00D31344">
        <w:t xml:space="preserve">inue to apply and which do not.  As in </w:t>
      </w:r>
      <w:r w:rsidRPr="00D31344">
        <w:rPr>
          <w:i/>
          <w:iCs/>
        </w:rPr>
        <w:t>McPherson</w:t>
      </w:r>
      <w:r w:rsidRPr="00D31344">
        <w:t xml:space="preserve">, this finding of ambiguity </w:t>
      </w:r>
      <w:r w:rsidR="008D7172" w:rsidRPr="00D31344">
        <w:t xml:space="preserve">would </w:t>
      </w:r>
      <w:r w:rsidRPr="00D31344">
        <w:t xml:space="preserve">require us to consult the ballot materials from the election in 1918 at which the voters </w:t>
      </w:r>
      <w:r w:rsidR="007A5E81" w:rsidRPr="00D31344">
        <w:t>a</w:t>
      </w:r>
      <w:r w:rsidRPr="00D31344">
        <w:t xml:space="preserve">dded the “unlimited” language to article XIV, section 4, </w:t>
      </w:r>
      <w:proofErr w:type="gramStart"/>
      <w:r w:rsidRPr="00D31344">
        <w:t>in order to</w:t>
      </w:r>
      <w:proofErr w:type="gramEnd"/>
      <w:r w:rsidRPr="00D31344">
        <w:t xml:space="preserve"> discern the int</w:t>
      </w:r>
      <w:r w:rsidRPr="00D31344">
        <w:t>ent behind it.</w:t>
      </w:r>
      <w:r w:rsidR="005554A0" w:rsidRPr="00D31344">
        <w:t xml:space="preserve">  </w:t>
      </w:r>
      <w:r w:rsidR="00C81656" w:rsidRPr="00D31344">
        <w:t>The initiative power was already part of the Constitution</w:t>
      </w:r>
      <w:r w:rsidR="003739AC" w:rsidRPr="00D31344">
        <w:t xml:space="preserve"> at that time</w:t>
      </w:r>
      <w:r w:rsidR="00C81656" w:rsidRPr="00D31344">
        <w:t xml:space="preserve">, as the trial court noted.  But </w:t>
      </w:r>
      <w:r w:rsidR="005554A0" w:rsidRPr="00D31344">
        <w:t xml:space="preserve">the </w:t>
      </w:r>
      <w:r w:rsidRPr="00D31344">
        <w:t xml:space="preserve">Supreme Court has already concluded that the </w:t>
      </w:r>
      <w:r w:rsidR="005554A0" w:rsidRPr="00D31344">
        <w:t xml:space="preserve">history of article XIV, section 4 shows the </w:t>
      </w:r>
      <w:r w:rsidRPr="00D31344">
        <w:t>provision “was added to the Constitution and</w:t>
      </w:r>
      <w:r w:rsidRPr="00D31344">
        <w:t xml:space="preserve"> then amended for the </w:t>
      </w:r>
      <w:r w:rsidRPr="00D31344">
        <w:rPr>
          <w:i/>
          <w:iCs/>
        </w:rPr>
        <w:t>sole purpose</w:t>
      </w:r>
      <w:r w:rsidRPr="00D31344">
        <w:t xml:space="preserve"> of removing all doubts as to the constitutionality of the then existing workmen’s compensation statutes.”  (</w:t>
      </w:r>
      <w:r w:rsidRPr="00D31344">
        <w:rPr>
          <w:i/>
          <w:iCs/>
        </w:rPr>
        <w:t>Mathews</w:t>
      </w:r>
      <w:r w:rsidRPr="00D31344">
        <w:t xml:space="preserve">, </w:t>
      </w:r>
      <w:r w:rsidRPr="00D31344">
        <w:rPr>
          <w:i/>
          <w:iCs/>
        </w:rPr>
        <w:t>supra</w:t>
      </w:r>
      <w:r w:rsidRPr="00D31344">
        <w:t>, 6</w:t>
      </w:r>
      <w:r w:rsidR="0085593E" w:rsidRPr="00D31344">
        <w:t> </w:t>
      </w:r>
      <w:r w:rsidRPr="00D31344">
        <w:t>Cal.3d at pp.</w:t>
      </w:r>
      <w:r w:rsidR="0085593E" w:rsidRPr="00D31344">
        <w:t> </w:t>
      </w:r>
      <w:r w:rsidRPr="00D31344">
        <w:t>734–735</w:t>
      </w:r>
      <w:r w:rsidR="00C81656" w:rsidRPr="00D31344">
        <w:t>, italics added</w:t>
      </w:r>
      <w:r w:rsidRPr="00D31344">
        <w:t>.)</w:t>
      </w:r>
      <w:r>
        <w:rPr>
          <w:rStyle w:val="FootnoteReference"/>
        </w:rPr>
        <w:footnoteReference w:id="10"/>
      </w:r>
      <w:r w:rsidRPr="00D31344">
        <w:t xml:space="preserve">  </w:t>
      </w:r>
      <w:bookmarkStart w:id="1" w:name="_Hlk127107868"/>
      <w:r w:rsidR="00B91F94" w:rsidRPr="00D31344">
        <w:t>P</w:t>
      </w:r>
      <w:r w:rsidRPr="00D31344">
        <w:t>laintiffs</w:t>
      </w:r>
      <w:r w:rsidR="00C81656" w:rsidRPr="00D31344">
        <w:t xml:space="preserve"> </w:t>
      </w:r>
      <w:r w:rsidRPr="00D31344">
        <w:t>cite</w:t>
      </w:r>
      <w:r w:rsidR="00C81656" w:rsidRPr="00D31344">
        <w:t xml:space="preserve"> </w:t>
      </w:r>
      <w:r w:rsidR="00B91F94" w:rsidRPr="00D31344">
        <w:t xml:space="preserve">no </w:t>
      </w:r>
      <w:r w:rsidRPr="00D31344">
        <w:t xml:space="preserve">authority or </w:t>
      </w:r>
      <w:r w:rsidRPr="00D31344">
        <w:lastRenderedPageBreak/>
        <w:t xml:space="preserve">evidence </w:t>
      </w:r>
      <w:r w:rsidRPr="00D31344">
        <w:t>indicating to the contrary that article</w:t>
      </w:r>
      <w:r w:rsidR="00FE4F90" w:rsidRPr="00D31344">
        <w:t xml:space="preserve"> II, section</w:t>
      </w:r>
      <w:r w:rsidR="005E536D" w:rsidRPr="00D31344">
        <w:t>s</w:t>
      </w:r>
      <w:r w:rsidR="00FE4F90" w:rsidRPr="00D31344">
        <w:t xml:space="preserve"> 8 </w:t>
      </w:r>
      <w:r w:rsidR="005E536D" w:rsidRPr="00D31344">
        <w:t xml:space="preserve">and 10 </w:t>
      </w:r>
      <w:r w:rsidR="00FE4F90" w:rsidRPr="00D31344">
        <w:t>and article IV, section 1</w:t>
      </w:r>
      <w:r w:rsidR="002E37E0" w:rsidRPr="00D31344">
        <w:t xml:space="preserve">—relating to the initiative power—were </w:t>
      </w:r>
      <w:r w:rsidRPr="00D31344">
        <w:t>provisions from which the voters intended to free the Legislature when enacting worker</w:t>
      </w:r>
      <w:r w:rsidR="00816E11" w:rsidRPr="00D31344">
        <w:t>s’</w:t>
      </w:r>
      <w:r w:rsidRPr="00D31344">
        <w:t xml:space="preserve"> compensation laws</w:t>
      </w:r>
      <w:bookmarkEnd w:id="1"/>
      <w:r w:rsidRPr="00D31344">
        <w:t>.  Absent such evidence,</w:t>
      </w:r>
      <w:r w:rsidRPr="00D31344">
        <w:t xml:space="preserve"> </w:t>
      </w:r>
      <w:r w:rsidR="00536B9F" w:rsidRPr="00D31344">
        <w:t>the notion</w:t>
      </w:r>
      <w:r w:rsidRPr="00D31344">
        <w:t xml:space="preserve"> that article XIV, section 4 should be read as limiting the voters’ initiative power falls </w:t>
      </w:r>
      <w:r w:rsidR="00536B9F" w:rsidRPr="00D31344">
        <w:t>a</w:t>
      </w:r>
      <w:r w:rsidRPr="00D31344">
        <w:t>part.</w:t>
      </w:r>
      <w:r>
        <w:rPr>
          <w:rStyle w:val="FootnoteReference"/>
        </w:rPr>
        <w:footnoteReference w:id="11"/>
      </w:r>
      <w:r w:rsidR="003D1892" w:rsidRPr="00D31344">
        <w:t xml:space="preserve">  To </w:t>
      </w:r>
      <w:r w:rsidR="003D1892" w:rsidRPr="00D31344">
        <w:lastRenderedPageBreak/>
        <w:t xml:space="preserve">paraphrase </w:t>
      </w:r>
      <w:r w:rsidR="003D1892" w:rsidRPr="00D31344">
        <w:rPr>
          <w:i/>
        </w:rPr>
        <w:t>McPherson</w:t>
      </w:r>
      <w:r w:rsidR="003D1892" w:rsidRPr="00D31344">
        <w:t xml:space="preserve">, it is “most improbable” that the voters in 1918—seven years after they “approved a far-reaching measure incorporating a broad initiative power as part of the California Constitution”—would have intended, “without any direct or explicit statement to this effect, to </w:t>
      </w:r>
      <w:r w:rsidR="003D1892" w:rsidRPr="00D31344">
        <w:rPr>
          <w:i/>
        </w:rPr>
        <w:t>limit</w:t>
      </w:r>
      <w:r w:rsidR="003D1892" w:rsidRPr="00D31344">
        <w:t xml:space="preserve"> the use of the initiative power by virtue of the language” in article XIV, section 4.  (</w:t>
      </w:r>
      <w:r w:rsidR="003D1892" w:rsidRPr="00D31344">
        <w:rPr>
          <w:i/>
        </w:rPr>
        <w:t>McPherson</w:t>
      </w:r>
      <w:r w:rsidR="003D1892" w:rsidRPr="00D31344">
        <w:t xml:space="preserve">, </w:t>
      </w:r>
      <w:r w:rsidR="003D1892" w:rsidRPr="00D31344">
        <w:rPr>
          <w:i/>
        </w:rPr>
        <w:t>supra</w:t>
      </w:r>
      <w:r w:rsidR="003D1892" w:rsidRPr="00D31344">
        <w:t>, 38</w:t>
      </w:r>
      <w:r w:rsidR="00001C53" w:rsidRPr="00D31344">
        <w:t> </w:t>
      </w:r>
      <w:r w:rsidR="003D1892" w:rsidRPr="00D31344">
        <w:t>Cal.4th at p.</w:t>
      </w:r>
      <w:r w:rsidR="00CA72F9" w:rsidRPr="00D31344">
        <w:t> </w:t>
      </w:r>
      <w:r w:rsidR="003D1892" w:rsidRPr="00D31344">
        <w:t>1042.)</w:t>
      </w:r>
    </w:p>
    <w:p w14:paraId="755E10DF" w14:textId="3B869EC2" w:rsidR="00546412" w:rsidRPr="00D31344" w:rsidRDefault="00570B35" w:rsidP="006631FF">
      <w:pPr>
        <w:pStyle w:val="Header"/>
        <w:spacing w:line="360" w:lineRule="auto"/>
      </w:pPr>
      <w:r w:rsidRPr="00D31344">
        <w:tab/>
      </w:r>
      <w:r w:rsidR="00C330AC" w:rsidRPr="00D31344">
        <w:t>P</w:t>
      </w:r>
      <w:r w:rsidRPr="00D31344">
        <w:t xml:space="preserve">laintiffs </w:t>
      </w:r>
      <w:r w:rsidR="009717FC" w:rsidRPr="00D31344">
        <w:t xml:space="preserve">do not agree that </w:t>
      </w:r>
      <w:r w:rsidR="00B54110" w:rsidRPr="00D31344">
        <w:rPr>
          <w:i/>
          <w:iCs/>
        </w:rPr>
        <w:t>McPherson</w:t>
      </w:r>
      <w:r w:rsidR="009717FC" w:rsidRPr="00D31344">
        <w:rPr>
          <w:i/>
          <w:iCs/>
        </w:rPr>
        <w:t xml:space="preserve"> </w:t>
      </w:r>
      <w:r w:rsidR="009717FC" w:rsidRPr="00D31344">
        <w:t>controls here</w:t>
      </w:r>
      <w:r w:rsidR="0004088F" w:rsidRPr="00D31344">
        <w:t xml:space="preserve">.  </w:t>
      </w:r>
      <w:r w:rsidR="00536B9F" w:rsidRPr="00D31344">
        <w:t>Like the trial court, t</w:t>
      </w:r>
      <w:r w:rsidR="0004088F" w:rsidRPr="00D31344">
        <w:t xml:space="preserve">hey rely on footnote 9 of </w:t>
      </w:r>
      <w:r w:rsidR="006D6DF2" w:rsidRPr="00D31344">
        <w:t>that decision, where the Supreme Court “emphasize[d]” that its holding was “limited to a determination that the provisions of article XII, section 5 do not preclude the use of the initiative process to enact statutes conferring additional authority upon the PUC.”  (</w:t>
      </w:r>
      <w:r w:rsidR="006D6DF2" w:rsidRPr="00D31344">
        <w:rPr>
          <w:i/>
          <w:iCs/>
        </w:rPr>
        <w:t>McPherson</w:t>
      </w:r>
      <w:r w:rsidR="006D6DF2" w:rsidRPr="00D31344">
        <w:t xml:space="preserve">, </w:t>
      </w:r>
      <w:r w:rsidR="006D6DF2" w:rsidRPr="00D31344">
        <w:rPr>
          <w:i/>
          <w:iCs/>
        </w:rPr>
        <w:t>supra</w:t>
      </w:r>
      <w:r w:rsidR="006D6DF2" w:rsidRPr="00D31344">
        <w:t>, 38</w:t>
      </w:r>
      <w:r w:rsidR="005F1F50" w:rsidRPr="00D31344">
        <w:t> </w:t>
      </w:r>
      <w:r w:rsidR="006D6DF2" w:rsidRPr="00D31344">
        <w:t>Cal.4th at p.</w:t>
      </w:r>
      <w:r w:rsidR="0052552A" w:rsidRPr="00D31344">
        <w:t> </w:t>
      </w:r>
      <w:r w:rsidR="006D6DF2" w:rsidRPr="00D31344">
        <w:t>1044, fn.</w:t>
      </w:r>
      <w:r w:rsidR="0052552A" w:rsidRPr="00D31344">
        <w:t> </w:t>
      </w:r>
      <w:r w:rsidR="006D6DF2" w:rsidRPr="00D31344">
        <w:t xml:space="preserve">9.)  The </w:t>
      </w:r>
      <w:r w:rsidR="005A3D14" w:rsidRPr="00D31344">
        <w:t>c</w:t>
      </w:r>
      <w:r w:rsidR="006D6DF2" w:rsidRPr="00D31344">
        <w:t xml:space="preserve">ourt continued, “We have no occasion in this case to consider whether an initiative measure relating to the PUC may be challenged on the ground that it improperly </w:t>
      </w:r>
      <w:r w:rsidR="006D6DF2" w:rsidRPr="00D31344">
        <w:rPr>
          <w:i/>
        </w:rPr>
        <w:t>limits</w:t>
      </w:r>
      <w:r w:rsidR="006D6DF2" w:rsidRPr="00D31344">
        <w:t xml:space="preserve"> the PUC’s authority </w:t>
      </w:r>
      <w:r w:rsidR="006D6DF2" w:rsidRPr="00D31344">
        <w:rPr>
          <w:i/>
          <w:iCs/>
        </w:rPr>
        <w:t>or improperly conflicts with the Legislature’s exercise of its authority to expand the PUC’s jurisdiction or authority</w:t>
      </w:r>
      <w:r w:rsidR="006D6DF2" w:rsidRPr="00D31344">
        <w:t>.  Should these or other issues arise in the future, they may be resolved through application of the relevant constitutional provision or provisions to the terms of the specific legislation at issue.”  (</w:t>
      </w:r>
      <w:r w:rsidR="006D6DF2" w:rsidRPr="00D31344">
        <w:rPr>
          <w:i/>
          <w:iCs/>
        </w:rPr>
        <w:t>Ibid.</w:t>
      </w:r>
      <w:r w:rsidR="007F293A" w:rsidRPr="00D31344">
        <w:t xml:space="preserve">, </w:t>
      </w:r>
      <w:r w:rsidR="008634E3" w:rsidRPr="00D31344">
        <w:t xml:space="preserve">second </w:t>
      </w:r>
      <w:r w:rsidR="007F293A" w:rsidRPr="00D31344">
        <w:t>italics added.</w:t>
      </w:r>
      <w:r w:rsidR="006D6DF2" w:rsidRPr="00D31344">
        <w:t>)</w:t>
      </w:r>
    </w:p>
    <w:p w14:paraId="788C35A4" w14:textId="5938E571" w:rsidR="006D6DF2" w:rsidRPr="00D31344" w:rsidRDefault="00570B35" w:rsidP="006631FF">
      <w:pPr>
        <w:pStyle w:val="Header"/>
        <w:spacing w:line="360" w:lineRule="auto"/>
      </w:pPr>
      <w:r w:rsidRPr="00D31344">
        <w:tab/>
      </w:r>
      <w:r w:rsidR="00D372D9" w:rsidRPr="00D31344">
        <w:t xml:space="preserve">Plaintiffs </w:t>
      </w:r>
      <w:r w:rsidR="008578DF" w:rsidRPr="00D31344">
        <w:t xml:space="preserve">assert </w:t>
      </w:r>
      <w:r w:rsidR="003D320D" w:rsidRPr="00D31344">
        <w:t>that</w:t>
      </w:r>
      <w:r w:rsidR="008578DF" w:rsidRPr="00D31344">
        <w:t xml:space="preserve"> their challenge to Proposition 22 </w:t>
      </w:r>
      <w:r w:rsidR="003D320D" w:rsidRPr="00D31344">
        <w:t xml:space="preserve">raises the type of conflict that </w:t>
      </w:r>
      <w:r w:rsidR="003D320D" w:rsidRPr="00D31344">
        <w:rPr>
          <w:i/>
          <w:iCs/>
        </w:rPr>
        <w:t>McPherson</w:t>
      </w:r>
      <w:r w:rsidR="003D320D" w:rsidRPr="00D31344">
        <w:t xml:space="preserve"> foresaw and about which it reserved judgment</w:t>
      </w:r>
      <w:r w:rsidR="004E7D01" w:rsidRPr="00D31344">
        <w:t xml:space="preserve">, since they contend Proposition 22 </w:t>
      </w:r>
      <w:r w:rsidR="00EA69F8" w:rsidRPr="00D31344">
        <w:lastRenderedPageBreak/>
        <w:t>improperly conflicts with the Legislature’s exercise of its authority to enact worker</w:t>
      </w:r>
      <w:r w:rsidR="00816E11" w:rsidRPr="00D31344">
        <w:t>s’</w:t>
      </w:r>
      <w:r w:rsidR="00EA69F8" w:rsidRPr="00D31344">
        <w:t xml:space="preserve"> compensation laws</w:t>
      </w:r>
      <w:r w:rsidR="003D320D" w:rsidRPr="00D31344">
        <w:t xml:space="preserve">.  </w:t>
      </w:r>
      <w:r w:rsidR="00E97E7F" w:rsidRPr="00D31344">
        <w:t xml:space="preserve">Moreover, </w:t>
      </w:r>
      <w:r w:rsidR="00AA22E8" w:rsidRPr="00D31344">
        <w:t xml:space="preserve">according to </w:t>
      </w:r>
      <w:r w:rsidR="00E97E7F" w:rsidRPr="00D31344">
        <w:t>plaintiffs</w:t>
      </w:r>
      <w:r w:rsidR="00AA22E8" w:rsidRPr="00D31344">
        <w:t>,</w:t>
      </w:r>
      <w:r w:rsidR="00E97E7F" w:rsidRPr="00D31344">
        <w:t xml:space="preserve"> applying </w:t>
      </w:r>
      <w:r w:rsidR="00E97E7F" w:rsidRPr="00D31344">
        <w:rPr>
          <w:i/>
          <w:iCs/>
        </w:rPr>
        <w:t>McPherson</w:t>
      </w:r>
      <w:r w:rsidR="00E97E7F" w:rsidRPr="00D31344">
        <w:t xml:space="preserve">’s logic to decide </w:t>
      </w:r>
      <w:r w:rsidR="00AA22E8" w:rsidRPr="00D31344">
        <w:t xml:space="preserve">that a voter initiative </w:t>
      </w:r>
      <w:r w:rsidR="002E37E0" w:rsidRPr="00D31344">
        <w:t>relating to worker</w:t>
      </w:r>
      <w:r w:rsidR="00816E11" w:rsidRPr="00D31344">
        <w:t>s’</w:t>
      </w:r>
      <w:r w:rsidR="002E37E0" w:rsidRPr="00D31344">
        <w:t xml:space="preserve"> compensation</w:t>
      </w:r>
      <w:r w:rsidR="00AA22E8" w:rsidRPr="00D31344">
        <w:t xml:space="preserve"> can conflict with the Legislature’s authority under</w:t>
      </w:r>
      <w:r w:rsidR="00AD7A1D" w:rsidRPr="00D31344">
        <w:t xml:space="preserve"> </w:t>
      </w:r>
      <w:r w:rsidR="002E37E0" w:rsidRPr="00D31344">
        <w:t>article XIV, section 4</w:t>
      </w:r>
      <w:r w:rsidR="00AD7A1D" w:rsidRPr="00D31344">
        <w:t xml:space="preserve"> would be contrary to </w:t>
      </w:r>
      <w:r w:rsidR="00AD7A1D" w:rsidRPr="00D31344">
        <w:rPr>
          <w:i/>
          <w:iCs/>
        </w:rPr>
        <w:t>McPherson</w:t>
      </w:r>
      <w:r w:rsidR="00AD7A1D" w:rsidRPr="00D31344">
        <w:t>’s instruction t</w:t>
      </w:r>
      <w:r w:rsidR="004360E1" w:rsidRPr="00D31344">
        <w:t xml:space="preserve">hat a </w:t>
      </w:r>
      <w:r w:rsidR="00AD7A1D" w:rsidRPr="00D31344">
        <w:t xml:space="preserve">challenge </w:t>
      </w:r>
      <w:r w:rsidR="004360E1" w:rsidRPr="00D31344">
        <w:t xml:space="preserve">to the Legislature’s plenary, unlimited power under article XII, section 5 should be resolved </w:t>
      </w:r>
      <w:r w:rsidR="00AD7A1D" w:rsidRPr="00D31344">
        <w:t>“through application of the relevant constitutional provision or provisions to the terms of the specific legislation at issue.”  (</w:t>
      </w:r>
      <w:r w:rsidR="009857B6" w:rsidRPr="00D31344">
        <w:rPr>
          <w:i/>
          <w:iCs/>
        </w:rPr>
        <w:t>McPherson</w:t>
      </w:r>
      <w:r w:rsidR="009857B6" w:rsidRPr="00D31344">
        <w:t xml:space="preserve">, </w:t>
      </w:r>
      <w:r w:rsidR="009857B6" w:rsidRPr="00D31344">
        <w:rPr>
          <w:i/>
          <w:iCs/>
        </w:rPr>
        <w:t>supra</w:t>
      </w:r>
      <w:r w:rsidR="009857B6" w:rsidRPr="00D31344">
        <w:t>, 38</w:t>
      </w:r>
      <w:r w:rsidR="00B3230A" w:rsidRPr="00D31344">
        <w:t> </w:t>
      </w:r>
      <w:r w:rsidR="009857B6" w:rsidRPr="00D31344">
        <w:t>Cal.4th at p.</w:t>
      </w:r>
      <w:r w:rsidR="00B3230A" w:rsidRPr="00D31344">
        <w:t> </w:t>
      </w:r>
      <w:r w:rsidR="009857B6" w:rsidRPr="00D31344">
        <w:t>1044, fn.</w:t>
      </w:r>
      <w:r w:rsidR="008D1896" w:rsidRPr="00D31344">
        <w:t> </w:t>
      </w:r>
      <w:r w:rsidR="009857B6" w:rsidRPr="00D31344">
        <w:t>9.</w:t>
      </w:r>
      <w:r w:rsidR="00AD7A1D" w:rsidRPr="00D31344">
        <w:t xml:space="preserve">) </w:t>
      </w:r>
      <w:r w:rsidR="002E37E0" w:rsidRPr="00D31344">
        <w:t xml:space="preserve"> According to plaintiffs, there would have been no reason for our Supreme Court to include this footnote if a voter initiative </w:t>
      </w:r>
      <w:r w:rsidR="00D965B2" w:rsidRPr="00D31344">
        <w:t>can</w:t>
      </w:r>
      <w:r w:rsidR="002E37E0" w:rsidRPr="00D31344">
        <w:t xml:space="preserve"> always undo what the Legislature </w:t>
      </w:r>
      <w:r w:rsidR="00D965B2" w:rsidRPr="00D31344">
        <w:t>does</w:t>
      </w:r>
      <w:r w:rsidR="004360E1" w:rsidRPr="00D31344">
        <w:t xml:space="preserve"> with plenary, unlimited power, like that which</w:t>
      </w:r>
      <w:r w:rsidR="002E37E0" w:rsidRPr="00D31344">
        <w:t xml:space="preserve"> article XIV, section 4</w:t>
      </w:r>
      <w:r w:rsidR="004360E1" w:rsidRPr="00D31344">
        <w:t xml:space="preserve"> provides</w:t>
      </w:r>
      <w:r w:rsidR="002E37E0" w:rsidRPr="00D31344">
        <w:t xml:space="preserve">. </w:t>
      </w:r>
    </w:p>
    <w:p w14:paraId="63854419" w14:textId="5323306C" w:rsidR="008215C3" w:rsidRPr="00D31344" w:rsidRDefault="00570B35" w:rsidP="00F2391E">
      <w:pPr>
        <w:pStyle w:val="Header"/>
        <w:spacing w:line="360" w:lineRule="auto"/>
      </w:pPr>
      <w:r w:rsidRPr="00D31344">
        <w:tab/>
      </w:r>
      <w:r w:rsidR="002B6E45" w:rsidRPr="00D31344">
        <w:t>We do not read</w:t>
      </w:r>
      <w:r w:rsidR="004A08EA" w:rsidRPr="00D31344">
        <w:t xml:space="preserve"> </w:t>
      </w:r>
      <w:r w:rsidR="004A08EA" w:rsidRPr="00D31344">
        <w:rPr>
          <w:i/>
          <w:iCs/>
        </w:rPr>
        <w:t>McPherson</w:t>
      </w:r>
      <w:r w:rsidR="004A08EA" w:rsidRPr="00D31344">
        <w:t>’s</w:t>
      </w:r>
      <w:r w:rsidR="002B6E45" w:rsidRPr="00D31344">
        <w:t xml:space="preserve"> footnote </w:t>
      </w:r>
      <w:r w:rsidR="00264B36" w:rsidRPr="00D31344">
        <w:t xml:space="preserve">9 </w:t>
      </w:r>
      <w:r w:rsidR="002B6E45" w:rsidRPr="00D31344">
        <w:t>as broadly as plaintiffs</w:t>
      </w:r>
      <w:r w:rsidR="00BD1266" w:rsidRPr="00D31344">
        <w:t xml:space="preserve"> or the trial court</w:t>
      </w:r>
      <w:r w:rsidR="002B6E45" w:rsidRPr="00D31344">
        <w:t xml:space="preserve">.  </w:t>
      </w:r>
      <w:r w:rsidR="00264B36" w:rsidRPr="00D31344">
        <w:t>That f</w:t>
      </w:r>
      <w:r w:rsidR="002B6E45" w:rsidRPr="00D31344">
        <w:t xml:space="preserve">ootnote states only that the </w:t>
      </w:r>
      <w:r w:rsidR="00DA7835" w:rsidRPr="00D31344">
        <w:t>c</w:t>
      </w:r>
      <w:r w:rsidR="61BE9B62" w:rsidRPr="00D31344">
        <w:t>ourt</w:t>
      </w:r>
      <w:r w:rsidR="002B6E45" w:rsidRPr="00D31344">
        <w:t xml:space="preserve"> </w:t>
      </w:r>
      <w:r w:rsidR="006B30E1" w:rsidRPr="00D31344">
        <w:t xml:space="preserve">had “no occasion” to </w:t>
      </w:r>
      <w:r w:rsidR="002B6E45" w:rsidRPr="00D31344">
        <w:t xml:space="preserve">address a </w:t>
      </w:r>
      <w:r w:rsidR="00CC0B28" w:rsidRPr="00D31344">
        <w:t xml:space="preserve">challenge </w:t>
      </w:r>
      <w:r w:rsidR="002B6E45" w:rsidRPr="00D31344">
        <w:t xml:space="preserve">like the one </w:t>
      </w:r>
      <w:r w:rsidR="00FC5EF4" w:rsidRPr="00D31344">
        <w:t>in this case</w:t>
      </w:r>
      <w:r w:rsidR="006B30E1" w:rsidRPr="00D31344">
        <w:t xml:space="preserve">, meaning </w:t>
      </w:r>
      <w:r w:rsidR="004B2F7A" w:rsidRPr="00D31344">
        <w:t xml:space="preserve">the </w:t>
      </w:r>
      <w:r w:rsidR="13FD2AAA" w:rsidRPr="00D31344">
        <w:t>c</w:t>
      </w:r>
      <w:r w:rsidR="6F186C82" w:rsidRPr="00D31344">
        <w:t>ourt</w:t>
      </w:r>
      <w:r w:rsidR="004B2F7A" w:rsidRPr="00D31344">
        <w:t xml:space="preserve"> </w:t>
      </w:r>
      <w:r w:rsidR="006B30E1" w:rsidRPr="00D31344">
        <w:t xml:space="preserve">was not </w:t>
      </w:r>
      <w:r w:rsidR="0026077A" w:rsidRPr="00D31344">
        <w:t>resolving such challenges either way</w:t>
      </w:r>
      <w:r w:rsidR="00FC5EF4" w:rsidRPr="00D31344">
        <w:t>.</w:t>
      </w:r>
      <w:r w:rsidR="00A403E7" w:rsidRPr="00D31344">
        <w:t xml:space="preserve">  </w:t>
      </w:r>
      <w:r w:rsidR="00234BEB" w:rsidRPr="00D31344">
        <w:t>(</w:t>
      </w:r>
      <w:r w:rsidR="00234BEB" w:rsidRPr="00D31344">
        <w:rPr>
          <w:i/>
          <w:iCs/>
        </w:rPr>
        <w:t>McPherson</w:t>
      </w:r>
      <w:r w:rsidR="00234BEB" w:rsidRPr="00D31344">
        <w:t xml:space="preserve">, </w:t>
      </w:r>
      <w:r w:rsidR="00234BEB" w:rsidRPr="00D31344">
        <w:rPr>
          <w:i/>
          <w:iCs/>
        </w:rPr>
        <w:t>supra</w:t>
      </w:r>
      <w:r w:rsidR="00234BEB" w:rsidRPr="00D31344">
        <w:t>, 38</w:t>
      </w:r>
      <w:r w:rsidR="00ED49F3" w:rsidRPr="00D31344">
        <w:t> </w:t>
      </w:r>
      <w:r w:rsidR="00234BEB" w:rsidRPr="00D31344">
        <w:t>Cal.4th at p.</w:t>
      </w:r>
      <w:r w:rsidR="00762271" w:rsidRPr="00D31344">
        <w:t> </w:t>
      </w:r>
      <w:r w:rsidR="00234BEB" w:rsidRPr="00D31344">
        <w:t>1044, fn.</w:t>
      </w:r>
      <w:r w:rsidR="00762271" w:rsidRPr="00D31344">
        <w:t> </w:t>
      </w:r>
      <w:r w:rsidR="00234BEB" w:rsidRPr="00D31344">
        <w:t xml:space="preserve">9.)  </w:t>
      </w:r>
      <w:r w:rsidR="00C54AF5" w:rsidRPr="00D31344">
        <w:t xml:space="preserve">The </w:t>
      </w:r>
      <w:r w:rsidR="13FD2AAA" w:rsidRPr="00D31344">
        <w:t>c</w:t>
      </w:r>
      <w:r w:rsidR="00C54AF5" w:rsidRPr="00D31344">
        <w:t xml:space="preserve">ourt’s </w:t>
      </w:r>
      <w:r w:rsidR="00EA5108" w:rsidRPr="00D31344">
        <w:t xml:space="preserve">generalized </w:t>
      </w:r>
      <w:r w:rsidR="00CC0B28" w:rsidRPr="00D31344">
        <w:t xml:space="preserve">instruction to </w:t>
      </w:r>
      <w:r w:rsidR="0026077A" w:rsidRPr="00D31344">
        <w:t xml:space="preserve">resolve such challenges “through application of the relevant constitutional provision or provisions to the terms of the specific legislation at issue” </w:t>
      </w:r>
      <w:r w:rsidR="00975474" w:rsidRPr="00D31344">
        <w:t xml:space="preserve">did not </w:t>
      </w:r>
      <w:r w:rsidR="00F20E9B" w:rsidRPr="00D31344">
        <w:t xml:space="preserve">imply that the principles </w:t>
      </w:r>
      <w:r w:rsidR="007D46DD" w:rsidRPr="00D31344">
        <w:t xml:space="preserve">it had enunciated and applied in </w:t>
      </w:r>
      <w:r w:rsidR="00975474" w:rsidRPr="00D31344">
        <w:rPr>
          <w:i/>
          <w:iCs/>
        </w:rPr>
        <w:t>McPherson</w:t>
      </w:r>
      <w:r w:rsidR="00F20E9B" w:rsidRPr="00D31344">
        <w:t xml:space="preserve"> would have no bearing on such challenges. </w:t>
      </w:r>
      <w:r w:rsidR="00095578" w:rsidRPr="00D31344">
        <w:t xml:space="preserve"> </w:t>
      </w:r>
      <w:r w:rsidR="00234BEB" w:rsidRPr="00D31344">
        <w:t>(</w:t>
      </w:r>
      <w:r w:rsidR="00234BEB" w:rsidRPr="00D31344">
        <w:rPr>
          <w:i/>
          <w:iCs/>
        </w:rPr>
        <w:t>Ibid.</w:t>
      </w:r>
      <w:r w:rsidR="00234BEB" w:rsidRPr="00D31344">
        <w:t xml:space="preserve">)  </w:t>
      </w:r>
      <w:r w:rsidR="00427A56" w:rsidRPr="00D31344">
        <w:t>T</w:t>
      </w:r>
      <w:r w:rsidR="00295922" w:rsidRPr="00D31344">
        <w:t xml:space="preserve">he </w:t>
      </w:r>
      <w:r w:rsidR="00295922" w:rsidRPr="00D31344">
        <w:rPr>
          <w:i/>
          <w:iCs/>
        </w:rPr>
        <w:t>McPherson</w:t>
      </w:r>
      <w:r w:rsidR="00295922" w:rsidRPr="00D31344">
        <w:t xml:space="preserve"> court may have wanted to leave open</w:t>
      </w:r>
      <w:r w:rsidR="00C804BC" w:rsidRPr="00D31344">
        <w:t>, as a precedential matter,</w:t>
      </w:r>
      <w:r w:rsidR="00295922" w:rsidRPr="00D31344">
        <w:t xml:space="preserve"> the possibility that an argument could be </w:t>
      </w:r>
      <w:r w:rsidR="00427A56" w:rsidRPr="00D31344">
        <w:t xml:space="preserve">made that an initiative statute improperly limited the </w:t>
      </w:r>
      <w:r w:rsidR="00427A56" w:rsidRPr="00D31344">
        <w:lastRenderedPageBreak/>
        <w:t>Legislature’s authority in some fashion</w:t>
      </w:r>
      <w:r w:rsidR="00D96BA6" w:rsidRPr="00D31344">
        <w:t xml:space="preserve">.  But plaintiffs have failed to offer any argument to overcome the implications of </w:t>
      </w:r>
      <w:r w:rsidR="00234BEB" w:rsidRPr="00D31344">
        <w:rPr>
          <w:i/>
          <w:iCs/>
        </w:rPr>
        <w:t>McPherson</w:t>
      </w:r>
      <w:r w:rsidR="00234BEB" w:rsidRPr="00D31344">
        <w:t xml:space="preserve">’s </w:t>
      </w:r>
      <w:r w:rsidR="00D96BA6" w:rsidRPr="00D31344">
        <w:t>reasoning on this question</w:t>
      </w:r>
      <w:r w:rsidRPr="00D31344">
        <w:t>, which we do not lightly cast aside</w:t>
      </w:r>
      <w:r w:rsidR="00D96BA6" w:rsidRPr="00D31344">
        <w:t>.</w:t>
      </w:r>
      <w:r w:rsidRPr="00D31344">
        <w:t xml:space="preserve">  </w:t>
      </w:r>
      <w:r w:rsidR="00F2391E" w:rsidRPr="00D31344">
        <w:t xml:space="preserve">(Cf. </w:t>
      </w:r>
      <w:r w:rsidR="00F2391E" w:rsidRPr="00D31344">
        <w:rPr>
          <w:i/>
        </w:rPr>
        <w:t>City and County of San Francisco v. All Persons Interested in Matter of Proposition C</w:t>
      </w:r>
      <w:r w:rsidR="00F2391E" w:rsidRPr="00D31344">
        <w:t xml:space="preserve"> (2020) 51</w:t>
      </w:r>
      <w:r w:rsidR="00B8487F" w:rsidRPr="00D31344">
        <w:t> </w:t>
      </w:r>
      <w:r w:rsidR="00F2391E" w:rsidRPr="00D31344">
        <w:t>Cal.App.5th 703, 715–717 [</w:t>
      </w:r>
      <w:r w:rsidR="001F7E7F" w:rsidRPr="00D31344">
        <w:t xml:space="preserve">interpreting constitutional provision by applying reasoning and principles from </w:t>
      </w:r>
      <w:r w:rsidR="00F2391E" w:rsidRPr="00D31344">
        <w:t xml:space="preserve">Supreme Court </w:t>
      </w:r>
      <w:r w:rsidR="001F7E7F" w:rsidRPr="00D31344">
        <w:t xml:space="preserve">decision interpreting separate but similar constitutional provision].)  </w:t>
      </w:r>
      <w:r w:rsidRPr="00D31344">
        <w:t>We see no justification for reaching a different in</w:t>
      </w:r>
      <w:r w:rsidRPr="00D31344">
        <w:t xml:space="preserve">terpretation </w:t>
      </w:r>
      <w:r w:rsidR="007E6E9A" w:rsidRPr="00D31344">
        <w:t xml:space="preserve">than </w:t>
      </w:r>
      <w:r w:rsidR="007E6E9A" w:rsidRPr="00D31344">
        <w:rPr>
          <w:i/>
          <w:iCs/>
        </w:rPr>
        <w:t>McPherson</w:t>
      </w:r>
      <w:r w:rsidR="007E6E9A" w:rsidRPr="00D31344">
        <w:t xml:space="preserve"> reached with respect to </w:t>
      </w:r>
      <w:r w:rsidR="00D924A8" w:rsidRPr="00D31344">
        <w:t xml:space="preserve">virtually identical </w:t>
      </w:r>
      <w:r w:rsidR="007E6E9A" w:rsidRPr="00D31344">
        <w:t>language</w:t>
      </w:r>
      <w:r w:rsidRPr="00D31344">
        <w:t>.</w:t>
      </w:r>
    </w:p>
    <w:p w14:paraId="0A925D69" w14:textId="4D36516D" w:rsidR="008215C3" w:rsidRPr="00D31344" w:rsidRDefault="00570B35" w:rsidP="008215C3">
      <w:pPr>
        <w:pStyle w:val="Header"/>
        <w:spacing w:line="360" w:lineRule="auto"/>
      </w:pPr>
      <w:r w:rsidRPr="00D31344">
        <w:tab/>
      </w:r>
      <w:r w:rsidR="00AF5969" w:rsidRPr="00D31344">
        <w:t>S</w:t>
      </w:r>
      <w:r w:rsidRPr="00D31344">
        <w:t>eek</w:t>
      </w:r>
      <w:r w:rsidR="00AF5969" w:rsidRPr="00D31344">
        <w:t>ing</w:t>
      </w:r>
      <w:r w:rsidRPr="00D31344">
        <w:t xml:space="preserve"> to distinguish </w:t>
      </w:r>
      <w:r w:rsidRPr="00D31344">
        <w:rPr>
          <w:i/>
          <w:iCs/>
        </w:rPr>
        <w:t>McPherson</w:t>
      </w:r>
      <w:r w:rsidRPr="00D31344">
        <w:t xml:space="preserve"> and its point </w:t>
      </w:r>
      <w:r w:rsidR="00AF5969" w:rsidRPr="00D31344">
        <w:t xml:space="preserve">that </w:t>
      </w:r>
      <w:r w:rsidRPr="00D31344">
        <w:t xml:space="preserve">a literal reading of “unlimited” </w:t>
      </w:r>
      <w:r w:rsidR="00AF5969" w:rsidRPr="00D31344">
        <w:t xml:space="preserve">would exclude </w:t>
      </w:r>
      <w:r w:rsidRPr="00D31344">
        <w:t>the veto power</w:t>
      </w:r>
      <w:r w:rsidR="00AF5969" w:rsidRPr="00D31344">
        <w:t xml:space="preserve">, plaintiffs argue </w:t>
      </w:r>
      <w:r w:rsidRPr="00D31344">
        <w:t>that article XIV, section 4, unlike the P</w:t>
      </w:r>
      <w:r w:rsidRPr="00D31344">
        <w:t xml:space="preserve">UC-related provision at issue in </w:t>
      </w:r>
      <w:r w:rsidRPr="00D31344">
        <w:rPr>
          <w:i/>
          <w:iCs/>
        </w:rPr>
        <w:t>McPherson</w:t>
      </w:r>
      <w:r w:rsidRPr="00D31344">
        <w:t>, states that the Legislature’s power to enact worker</w:t>
      </w:r>
      <w:r w:rsidR="00104B3C" w:rsidRPr="00D31344">
        <w:t>s’</w:t>
      </w:r>
      <w:r w:rsidRPr="00D31344">
        <w:t xml:space="preserve"> compensation laws must be exercised “by appropriate legislation.”  They argue that appropriate legislation must be enacted </w:t>
      </w:r>
      <w:proofErr w:type="spellStart"/>
      <w:r w:rsidR="00C80647" w:rsidRPr="00D31344">
        <w:t>bicamerally</w:t>
      </w:r>
      <w:proofErr w:type="spellEnd"/>
      <w:r w:rsidR="00C80647" w:rsidRPr="00D31344">
        <w:t xml:space="preserve"> </w:t>
      </w:r>
      <w:r w:rsidRPr="00D31344">
        <w:t xml:space="preserve">and presented to the Governor for veto.  </w:t>
      </w:r>
    </w:p>
    <w:p w14:paraId="193846B5" w14:textId="37DEA9ED" w:rsidR="00AB55D2" w:rsidRPr="00D31344" w:rsidRDefault="00570B35" w:rsidP="008215C3">
      <w:pPr>
        <w:pStyle w:val="Header"/>
        <w:spacing w:line="360" w:lineRule="auto"/>
      </w:pPr>
      <w:r w:rsidRPr="00D31344">
        <w:tab/>
        <w:t>Framing the inquiry in terms of “appropriate legislation” does not change the analysis.  If we followed plaintiffs’ argument, we would still have to determine what makes legislation appropriate or inappropriate, w</w:t>
      </w:r>
      <w:r w:rsidRPr="00D31344">
        <w:t>hich would entail choosing which constitutional provisions would apply and which would not.  It is not clear why the veto power and the initiative power would fall on different sides of that line.  Plaintiffs characterize the veto as part of the “normal le</w:t>
      </w:r>
      <w:r w:rsidRPr="00D31344">
        <w:t xml:space="preserve">gislative process” and </w:t>
      </w:r>
      <w:r w:rsidR="001F7E7F" w:rsidRPr="00D31344">
        <w:t xml:space="preserve">article II, </w:t>
      </w:r>
      <w:r w:rsidR="00AF5969" w:rsidRPr="00D31344">
        <w:t xml:space="preserve">section 10(c)’s </w:t>
      </w:r>
      <w:r w:rsidRPr="00D31344">
        <w:t xml:space="preserve">voter-approval requirement for amendments to initiative </w:t>
      </w:r>
      <w:r w:rsidRPr="00D31344">
        <w:lastRenderedPageBreak/>
        <w:t>statutes as a “special limitation” on the Legislature’s power.  But plaintiffs cite nothing to support this distinction; both such limitations derive</w:t>
      </w:r>
      <w:r w:rsidRPr="00D31344">
        <w:t xml:space="preserve"> from the Constitution and have equal force.  Plaintiffs’ distinction is also inconsistent with the principle that </w:t>
      </w:r>
      <w:proofErr w:type="gramStart"/>
      <w:r w:rsidRPr="00D31344">
        <w:t>“</w:t>
      </w:r>
      <w:r w:rsidR="00E5565D" w:rsidRPr="00D31344">
        <w:t> ‘</w:t>
      </w:r>
      <w:proofErr w:type="gramEnd"/>
      <w:r w:rsidRPr="00D31344">
        <w:t>the Constitution’s initiative and referendum provisions should be liberally construed to maintain maximum power in the people.’</w:t>
      </w:r>
      <w:r w:rsidR="00805C5F" w:rsidRPr="00D31344">
        <w:t> </w:t>
      </w:r>
      <w:r w:rsidRPr="00D31344">
        <w:t xml:space="preserve">” </w:t>
      </w:r>
      <w:r w:rsidR="00AF5969" w:rsidRPr="00D31344">
        <w:t xml:space="preserve"> </w:t>
      </w:r>
      <w:r w:rsidRPr="00D31344">
        <w:t>(</w:t>
      </w:r>
      <w:r w:rsidRPr="00D31344">
        <w:rPr>
          <w:i/>
          <w:iCs/>
        </w:rPr>
        <w:t>McPher</w:t>
      </w:r>
      <w:r w:rsidRPr="00D31344">
        <w:rPr>
          <w:i/>
          <w:iCs/>
        </w:rPr>
        <w:t>son</w:t>
      </w:r>
      <w:r w:rsidRPr="00D31344">
        <w:t xml:space="preserve">, </w:t>
      </w:r>
      <w:r w:rsidRPr="00D31344">
        <w:rPr>
          <w:i/>
          <w:iCs/>
        </w:rPr>
        <w:t>supra</w:t>
      </w:r>
      <w:r w:rsidRPr="00D31344">
        <w:t>, 38</w:t>
      </w:r>
      <w:r w:rsidR="00751EBF" w:rsidRPr="00D31344">
        <w:t> </w:t>
      </w:r>
      <w:r w:rsidRPr="00D31344">
        <w:t>Cal.4th at p.</w:t>
      </w:r>
      <w:r w:rsidR="00751EBF" w:rsidRPr="00D31344">
        <w:t> </w:t>
      </w:r>
      <w:r w:rsidRPr="00D31344">
        <w:t xml:space="preserve">1032.)  </w:t>
      </w:r>
    </w:p>
    <w:p w14:paraId="7A539BBE" w14:textId="462DF4E0" w:rsidR="00E85C16" w:rsidRPr="00D31344" w:rsidRDefault="00570B35" w:rsidP="00E85C16">
      <w:pPr>
        <w:pStyle w:val="Header"/>
        <w:spacing w:line="360" w:lineRule="auto"/>
      </w:pPr>
      <w:r w:rsidRPr="00D31344">
        <w:tab/>
      </w:r>
      <w:r w:rsidR="008215C3" w:rsidRPr="00D31344">
        <w:t xml:space="preserve">Rather than take up such free-floating standards, we adhere </w:t>
      </w:r>
      <w:r w:rsidRPr="00D31344">
        <w:t xml:space="preserve">instead </w:t>
      </w:r>
      <w:r w:rsidR="008215C3" w:rsidRPr="00D31344">
        <w:t xml:space="preserve">to </w:t>
      </w:r>
      <w:proofErr w:type="spellStart"/>
      <w:r w:rsidR="00546412" w:rsidRPr="00D31344">
        <w:rPr>
          <w:i/>
        </w:rPr>
        <w:t>Hustedt</w:t>
      </w:r>
      <w:proofErr w:type="spellEnd"/>
      <w:r w:rsidR="00546412" w:rsidRPr="00D31344">
        <w:rPr>
          <w:i/>
        </w:rPr>
        <w:t xml:space="preserve"> v. Workers’ Comp. Appeals Bd.</w:t>
      </w:r>
      <w:r w:rsidR="00546412" w:rsidRPr="00D31344">
        <w:t xml:space="preserve"> (1981) 30</w:t>
      </w:r>
      <w:r w:rsidR="00636867" w:rsidRPr="00D31344">
        <w:t> </w:t>
      </w:r>
      <w:r w:rsidR="00546412" w:rsidRPr="00D31344">
        <w:t xml:space="preserve">Cal.3d 329. </w:t>
      </w:r>
      <w:r w:rsidR="00E728E7" w:rsidRPr="00D31344">
        <w:t xml:space="preserve"> </w:t>
      </w:r>
      <w:r w:rsidR="00546412" w:rsidRPr="00D31344">
        <w:t xml:space="preserve">The Supreme Court there </w:t>
      </w:r>
      <w:r w:rsidR="005E2BDD" w:rsidRPr="00D31344">
        <w:t>affirmed</w:t>
      </w:r>
      <w:r w:rsidR="00546412" w:rsidRPr="00D31344">
        <w:t xml:space="preserve"> that “the adoption of article XIV, section 4 ‘effected a repeal </w:t>
      </w:r>
      <w:r w:rsidR="00546412" w:rsidRPr="00D31344">
        <w:rPr>
          <w:i/>
          <w:iCs/>
        </w:rPr>
        <w:t>pro tanto</w:t>
      </w:r>
      <w:r w:rsidR="00546412" w:rsidRPr="00D31344">
        <w:t>’ of any state constitutional provisions which conflicted with that amendment.  [Citation</w:t>
      </w:r>
      <w:r w:rsidR="005D0748" w:rsidRPr="00D31344">
        <w:t>s</w:t>
      </w:r>
      <w:r w:rsidR="00546412" w:rsidRPr="00D31344">
        <w:t xml:space="preserve">.]  A </w:t>
      </w:r>
      <w:r w:rsidR="00546412" w:rsidRPr="00D31344">
        <w:rPr>
          <w:i/>
        </w:rPr>
        <w:t>pro tanto</w:t>
      </w:r>
      <w:r w:rsidR="00546412" w:rsidRPr="00D31344">
        <w:t xml:space="preserve"> repeal of conflicting state constitutional provisions removes ‘insofar as necessary’ any restrictions which would prohibit the realization of the objectives of the new article.”  </w:t>
      </w:r>
      <w:r w:rsidR="00077BB3" w:rsidRPr="00D31344">
        <w:t>(</w:t>
      </w:r>
      <w:r w:rsidR="00077BB3" w:rsidRPr="00D31344">
        <w:rPr>
          <w:i/>
          <w:iCs/>
        </w:rPr>
        <w:t>Id</w:t>
      </w:r>
      <w:r w:rsidR="00077BB3" w:rsidRPr="00D31344">
        <w:t>.</w:t>
      </w:r>
      <w:r w:rsidR="00077BB3" w:rsidRPr="00D31344">
        <w:rPr>
          <w:i/>
          <w:iCs/>
        </w:rPr>
        <w:t xml:space="preserve"> </w:t>
      </w:r>
      <w:r w:rsidR="00077BB3" w:rsidRPr="00D31344">
        <w:t xml:space="preserve">at p. </w:t>
      </w:r>
      <w:r w:rsidR="00546412" w:rsidRPr="00D31344">
        <w:t>343</w:t>
      </w:r>
      <w:r w:rsidR="00432BF7" w:rsidRPr="00D31344">
        <w:t xml:space="preserve">; see </w:t>
      </w:r>
      <w:r w:rsidR="00432BF7" w:rsidRPr="00D31344">
        <w:rPr>
          <w:i/>
          <w:iCs/>
        </w:rPr>
        <w:t xml:space="preserve">id. </w:t>
      </w:r>
      <w:r w:rsidR="00432BF7" w:rsidRPr="00D31344">
        <w:t>at pp. 343–344</w:t>
      </w:r>
      <w:r w:rsidR="001C1908" w:rsidRPr="00D31344">
        <w:t xml:space="preserve"> [</w:t>
      </w:r>
      <w:r w:rsidR="00432BF7" w:rsidRPr="00D31344">
        <w:t xml:space="preserve">article XIV, section 4 did not </w:t>
      </w:r>
      <w:proofErr w:type="gramStart"/>
      <w:r w:rsidR="00432BF7" w:rsidRPr="00D31344">
        <w:t>effect</w:t>
      </w:r>
      <w:proofErr w:type="gramEnd"/>
      <w:r w:rsidR="00432BF7" w:rsidRPr="00D31344">
        <w:t xml:space="preserve"> a </w:t>
      </w:r>
      <w:r w:rsidR="00432BF7" w:rsidRPr="00D31344">
        <w:rPr>
          <w:i/>
        </w:rPr>
        <w:t>pro tanto</w:t>
      </w:r>
      <w:r w:rsidR="00432BF7" w:rsidRPr="00D31344">
        <w:t xml:space="preserve"> repeal of the judiciary’s constitutional authority to discipline attorneys because </w:t>
      </w:r>
      <w:r w:rsidR="001C1908" w:rsidRPr="00D31344">
        <w:t>permitting the W</w:t>
      </w:r>
      <w:r w:rsidR="00432BF7" w:rsidRPr="00D31344">
        <w:t>orkers’ Compensation Appeal Board</w:t>
      </w:r>
      <w:r w:rsidR="001C1908" w:rsidRPr="00D31344">
        <w:t xml:space="preserve"> </w:t>
      </w:r>
      <w:r w:rsidR="003D1892" w:rsidRPr="00D31344">
        <w:t xml:space="preserve">(WCAB) </w:t>
      </w:r>
      <w:r w:rsidR="001C1908" w:rsidRPr="00D31344">
        <w:t xml:space="preserve">to discipline attorneys </w:t>
      </w:r>
      <w:r w:rsidR="00432BF7" w:rsidRPr="00D31344">
        <w:t>was not necessary to effectuate the objectives of article XIV, section 4]</w:t>
      </w:r>
      <w:r w:rsidR="00077BB3" w:rsidRPr="00D31344">
        <w:t>.)</w:t>
      </w:r>
      <w:r w:rsidR="00546412" w:rsidRPr="00D31344">
        <w:t xml:space="preserve"> </w:t>
      </w:r>
      <w:r w:rsidR="00077BB3" w:rsidRPr="00D31344">
        <w:t xml:space="preserve"> </w:t>
      </w:r>
      <w:r w:rsidRPr="00D31344">
        <w:t xml:space="preserve">Because </w:t>
      </w:r>
      <w:r w:rsidRPr="00D31344">
        <w:rPr>
          <w:i/>
          <w:iCs/>
        </w:rPr>
        <w:t>McPher</w:t>
      </w:r>
      <w:r w:rsidRPr="00D31344">
        <w:rPr>
          <w:i/>
          <w:iCs/>
        </w:rPr>
        <w:t>son</w:t>
      </w:r>
      <w:r w:rsidRPr="00D31344">
        <w:t xml:space="preserve"> teaches that article XIV, section 4’s objective was not to give the Legislature </w:t>
      </w:r>
      <w:r w:rsidR="00432BF7" w:rsidRPr="00D31344">
        <w:t xml:space="preserve">exclusive </w:t>
      </w:r>
      <w:r w:rsidRPr="00D31344">
        <w:t>authority over worker</w:t>
      </w:r>
      <w:r w:rsidR="00104B3C" w:rsidRPr="00D31344">
        <w:t>s’</w:t>
      </w:r>
      <w:r w:rsidRPr="00D31344">
        <w:t xml:space="preserve"> compensation laws, but rather to give such authority to the Legislature or the voters, </w:t>
      </w:r>
      <w:proofErr w:type="spellStart"/>
      <w:r w:rsidR="0088777D" w:rsidRPr="00D31344">
        <w:rPr>
          <w:i/>
          <w:iCs/>
        </w:rPr>
        <w:t>Hustedt</w:t>
      </w:r>
      <w:proofErr w:type="spellEnd"/>
      <w:r w:rsidR="002D1269" w:rsidRPr="00D31344">
        <w:t xml:space="preserve"> </w:t>
      </w:r>
      <w:r w:rsidR="00BB449D" w:rsidRPr="00D31344">
        <w:t>dictates</w:t>
      </w:r>
      <w:r w:rsidR="00C27944" w:rsidRPr="00D31344">
        <w:t xml:space="preserve"> that article XIV, section 4 did not repeal the voters’ </w:t>
      </w:r>
      <w:r w:rsidR="00C27944" w:rsidRPr="00D31344">
        <w:lastRenderedPageBreak/>
        <w:t>initiative power to enact legislation concerning worker</w:t>
      </w:r>
      <w:r w:rsidR="00104B3C" w:rsidRPr="00D31344">
        <w:t>s’</w:t>
      </w:r>
      <w:r w:rsidR="00C27944" w:rsidRPr="00D31344">
        <w:t xml:space="preserve"> compensation.</w:t>
      </w:r>
      <w:r>
        <w:rPr>
          <w:rStyle w:val="FootnoteReference"/>
        </w:rPr>
        <w:footnoteReference w:id="12"/>
      </w:r>
    </w:p>
    <w:p w14:paraId="17976396" w14:textId="4DBDEA94" w:rsidR="00337825" w:rsidRPr="00D31344" w:rsidRDefault="00570B35" w:rsidP="00E35752">
      <w:pPr>
        <w:pStyle w:val="Header"/>
        <w:spacing w:line="360" w:lineRule="auto"/>
      </w:pPr>
      <w:r w:rsidRPr="00D31344">
        <w:tab/>
        <w:t>It is also important to remember that</w:t>
      </w:r>
      <w:r w:rsidR="00432BF7" w:rsidRPr="00D31344">
        <w:t>,</w:t>
      </w:r>
      <w:r w:rsidRPr="00D31344">
        <w:t xml:space="preserve"> by its nature</w:t>
      </w:r>
      <w:r w:rsidR="00432BF7" w:rsidRPr="00D31344">
        <w:t>,</w:t>
      </w:r>
      <w:r w:rsidRPr="00D31344">
        <w:t xml:space="preserve"> </w:t>
      </w:r>
      <w:proofErr w:type="gramStart"/>
      <w:r w:rsidRPr="00D31344">
        <w:t>“</w:t>
      </w:r>
      <w:r w:rsidR="00FA4897" w:rsidRPr="00D31344">
        <w:t> ‘</w:t>
      </w:r>
      <w:proofErr w:type="gramEnd"/>
      <w:r w:rsidRPr="00D31344">
        <w:t xml:space="preserve">the California Legislature possesses </w:t>
      </w:r>
      <w:r w:rsidRPr="00D31344">
        <w:rPr>
          <w:i/>
        </w:rPr>
        <w:t>plenary</w:t>
      </w:r>
      <w:r w:rsidRPr="00D31344">
        <w:t xml:space="preserve"> legislative authority except as specifically limited by th</w:t>
      </w:r>
      <w:r w:rsidRPr="00D31344">
        <w:t>e California Constitution.</w:t>
      </w:r>
      <w:r w:rsidR="00FA4897" w:rsidRPr="00D31344">
        <w:t>’ </w:t>
      </w:r>
      <w:r w:rsidRPr="00D31344">
        <w:t>”  (</w:t>
      </w:r>
      <w:r w:rsidRPr="00D31344">
        <w:rPr>
          <w:i/>
        </w:rPr>
        <w:t>Howard Jarvis Taxpayers Assn. v. Padilla</w:t>
      </w:r>
      <w:r w:rsidRPr="00D31344">
        <w:t xml:space="preserve"> (2016) 62</w:t>
      </w:r>
      <w:r w:rsidR="00497D8B" w:rsidRPr="00D31344">
        <w:t> </w:t>
      </w:r>
      <w:r w:rsidRPr="00D31344">
        <w:t xml:space="preserve">Cal.4th 486, 498; see </w:t>
      </w:r>
      <w:r w:rsidRPr="00D31344">
        <w:rPr>
          <w:i/>
        </w:rPr>
        <w:t>Yosemite L</w:t>
      </w:r>
      <w:r w:rsidR="00AB41A3" w:rsidRPr="00D31344">
        <w:rPr>
          <w:i/>
        </w:rPr>
        <w:t>.</w:t>
      </w:r>
      <w:r w:rsidRPr="00D31344">
        <w:rPr>
          <w:i/>
        </w:rPr>
        <w:t xml:space="preserve"> Co. v. Industrial Acc. Com</w:t>
      </w:r>
      <w:r w:rsidR="00F257F1" w:rsidRPr="00D31344">
        <w:t xml:space="preserve">. </w:t>
      </w:r>
      <w:r w:rsidRPr="00D31344">
        <w:t>(1922) 187</w:t>
      </w:r>
      <w:r w:rsidR="00497D8B" w:rsidRPr="00D31344">
        <w:t> </w:t>
      </w:r>
      <w:r w:rsidRPr="00D31344">
        <w:t xml:space="preserve">Cal. 774, 780 [“Nothing is added to the force of </w:t>
      </w:r>
      <w:r w:rsidR="006876E9" w:rsidRPr="00D31344">
        <w:t>[article XIV, section 4]</w:t>
      </w:r>
      <w:r w:rsidRPr="00D31344">
        <w:t xml:space="preserve"> </w:t>
      </w:r>
      <w:proofErr w:type="gramStart"/>
      <w:r w:rsidRPr="00D31344">
        <w:t>by the use of</w:t>
      </w:r>
      <w:proofErr w:type="gramEnd"/>
      <w:r w:rsidRPr="00D31344">
        <w:t xml:space="preserve"> the word </w:t>
      </w:r>
      <w:r w:rsidR="001F7E7F" w:rsidRPr="00D31344">
        <w:t>‘</w:t>
      </w:r>
      <w:r w:rsidRPr="00D31344">
        <w:t>plenary.</w:t>
      </w:r>
      <w:r w:rsidR="001F7E7F" w:rsidRPr="00D31344">
        <w:t>’</w:t>
      </w:r>
      <w:r w:rsidRPr="00D31344">
        <w:t xml:space="preserve">  If the legislature has power to do a certain thing, its power to do it is always plenary.  It is merely surplus verbiage”].)  Thus, unlike grants of power to Congress in the United States Constitution, the voters had no </w:t>
      </w:r>
      <w:r w:rsidRPr="00D31344">
        <w:t>need to give a specific power to the Legislature to allow that body to legislate on worker</w:t>
      </w:r>
      <w:r w:rsidR="00104B3C" w:rsidRPr="00D31344">
        <w:t>s’</w:t>
      </w:r>
      <w:r w:rsidRPr="00D31344">
        <w:t xml:space="preserve"> compensation.  </w:t>
      </w:r>
      <w:r w:rsidR="00405AC1" w:rsidRPr="00D31344">
        <w:t>(</w:t>
      </w:r>
      <w:r w:rsidR="00405AC1" w:rsidRPr="00D31344">
        <w:rPr>
          <w:i/>
          <w:iCs/>
        </w:rPr>
        <w:t>City and County of San Francisco v. Workers’ Comp. Appeals Bd.</w:t>
      </w:r>
      <w:r w:rsidR="0092181C" w:rsidRPr="00D31344">
        <w:t>,</w:t>
      </w:r>
      <w:r w:rsidR="0092181C" w:rsidRPr="00D31344">
        <w:rPr>
          <w:i/>
          <w:iCs/>
        </w:rPr>
        <w:t xml:space="preserve"> </w:t>
      </w:r>
      <w:r w:rsidR="00C669A0" w:rsidRPr="00D31344">
        <w:rPr>
          <w:i/>
          <w:iCs/>
        </w:rPr>
        <w:t>supra</w:t>
      </w:r>
      <w:r w:rsidR="00C669A0" w:rsidRPr="00D31344">
        <w:t>,</w:t>
      </w:r>
      <w:r w:rsidR="00405AC1" w:rsidRPr="00D31344">
        <w:t xml:space="preserve"> 22</w:t>
      </w:r>
      <w:r w:rsidR="00C669A0" w:rsidRPr="00D31344">
        <w:t> </w:t>
      </w:r>
      <w:r w:rsidR="00405AC1" w:rsidRPr="00D31344">
        <w:t xml:space="preserve">Cal.3d </w:t>
      </w:r>
      <w:r w:rsidR="0025021F" w:rsidRPr="00D31344">
        <w:t>at p.</w:t>
      </w:r>
      <w:r w:rsidR="003F0233" w:rsidRPr="00D31344">
        <w:t> </w:t>
      </w:r>
      <w:r w:rsidR="00405AC1" w:rsidRPr="00D31344">
        <w:t>114 [“[e]</w:t>
      </w:r>
      <w:proofErr w:type="spellStart"/>
      <w:r w:rsidR="00405AC1" w:rsidRPr="00D31344">
        <w:t>ven</w:t>
      </w:r>
      <w:proofErr w:type="spellEnd"/>
      <w:r w:rsidR="00405AC1" w:rsidRPr="00D31344">
        <w:t xml:space="preserve"> without such specific authorization</w:t>
      </w:r>
      <w:r w:rsidR="0082383E" w:rsidRPr="00D31344">
        <w:t xml:space="preserve"> [in article XIV, </w:t>
      </w:r>
      <w:r w:rsidR="0082383E" w:rsidRPr="00D31344">
        <w:lastRenderedPageBreak/>
        <w:t>section 4]</w:t>
      </w:r>
      <w:r w:rsidR="00405AC1" w:rsidRPr="00D31344">
        <w:t xml:space="preserve">, the Legislature possesses the authority, under the now firmly established view of the concept of the police power, to adopt appropriate legislative measures for the protection of employees and their dependents”].)  </w:t>
      </w:r>
      <w:r w:rsidRPr="00D31344">
        <w:t>The only reason to enac</w:t>
      </w:r>
      <w:r w:rsidRPr="00D31344">
        <w:t xml:space="preserve">t article XIV, section 4 was to create an exemption from </w:t>
      </w:r>
      <w:r w:rsidR="00405AC1" w:rsidRPr="00D31344">
        <w:t xml:space="preserve">provisions </w:t>
      </w:r>
      <w:r w:rsidRPr="00D31344">
        <w:t xml:space="preserve">elsewhere in the Constitution that </w:t>
      </w:r>
      <w:r w:rsidR="00405AC1" w:rsidRPr="00D31344">
        <w:t xml:space="preserve">might have been viewed </w:t>
      </w:r>
      <w:r w:rsidR="00883A89" w:rsidRPr="00D31344">
        <w:t xml:space="preserve">at the time </w:t>
      </w:r>
      <w:r w:rsidR="00405AC1" w:rsidRPr="00D31344">
        <w:t xml:space="preserve">as </w:t>
      </w:r>
      <w:r w:rsidRPr="00D31344">
        <w:t>prevent</w:t>
      </w:r>
      <w:r w:rsidR="00405AC1" w:rsidRPr="00D31344">
        <w:t>ing</w:t>
      </w:r>
      <w:r w:rsidRPr="00D31344">
        <w:t xml:space="preserve"> the enactment of certain features of such legislation.  </w:t>
      </w:r>
      <w:r w:rsidR="00405AC1" w:rsidRPr="00D31344">
        <w:t>(</w:t>
      </w:r>
      <w:r w:rsidR="00E35752" w:rsidRPr="00D31344">
        <w:t xml:space="preserve">See </w:t>
      </w:r>
      <w:r w:rsidR="00E35752" w:rsidRPr="00D31344">
        <w:rPr>
          <w:i/>
        </w:rPr>
        <w:t>Western Indem</w:t>
      </w:r>
      <w:r w:rsidR="00FB4F33" w:rsidRPr="00D31344">
        <w:rPr>
          <w:i/>
        </w:rPr>
        <w:t>nity</w:t>
      </w:r>
      <w:r w:rsidR="00E35752" w:rsidRPr="00D31344">
        <w:rPr>
          <w:i/>
        </w:rPr>
        <w:t xml:space="preserve"> Co. v. Pillsbury</w:t>
      </w:r>
      <w:r w:rsidR="00E35752" w:rsidRPr="00D31344">
        <w:t xml:space="preserve"> (1915) 170</w:t>
      </w:r>
      <w:r w:rsidR="00497D8B" w:rsidRPr="00D31344">
        <w:t> </w:t>
      </w:r>
      <w:r w:rsidR="00E35752" w:rsidRPr="00D31344">
        <w:t>Cal. 686, 725 (dis</w:t>
      </w:r>
      <w:r w:rsidR="002D0482" w:rsidRPr="00D31344">
        <w:t xml:space="preserve">. </w:t>
      </w:r>
      <w:proofErr w:type="spellStart"/>
      <w:r w:rsidR="002D0482" w:rsidRPr="00D31344">
        <w:t>opn</w:t>
      </w:r>
      <w:proofErr w:type="spellEnd"/>
      <w:r w:rsidR="002D0482" w:rsidRPr="00D31344">
        <w:t>. of Henshaw, J.) [</w:t>
      </w:r>
      <w:r w:rsidR="0082383E" w:rsidRPr="00D31344">
        <w:t xml:space="preserve">espousing view that </w:t>
      </w:r>
      <w:r w:rsidR="002D0482" w:rsidRPr="00D31344">
        <w:t>worker</w:t>
      </w:r>
      <w:r w:rsidR="00104B3C" w:rsidRPr="00D31344">
        <w:t>s’</w:t>
      </w:r>
      <w:r w:rsidR="002D0482" w:rsidRPr="00D31344">
        <w:t xml:space="preserve"> compensation statute under prior version of art.</w:t>
      </w:r>
      <w:r w:rsidR="00302395" w:rsidRPr="00D31344">
        <w:t> </w:t>
      </w:r>
      <w:r w:rsidR="002D0482" w:rsidRPr="00D31344">
        <w:t xml:space="preserve">XIV, § 4 violated 14th Amendment of United States Constitution]; </w:t>
      </w:r>
      <w:r w:rsidR="00883A89" w:rsidRPr="00D31344">
        <w:t xml:space="preserve">see also </w:t>
      </w:r>
      <w:r w:rsidR="00E35752" w:rsidRPr="00D31344">
        <w:rPr>
          <w:i/>
        </w:rPr>
        <w:t xml:space="preserve">Bixby v. </w:t>
      </w:r>
      <w:proofErr w:type="spellStart"/>
      <w:r w:rsidR="00E35752" w:rsidRPr="00D31344">
        <w:rPr>
          <w:i/>
        </w:rPr>
        <w:t>Pierno</w:t>
      </w:r>
      <w:proofErr w:type="spellEnd"/>
      <w:r w:rsidR="00E35752" w:rsidRPr="00D31344">
        <w:t xml:space="preserve"> (1971) 4</w:t>
      </w:r>
      <w:r w:rsidR="0090768C" w:rsidRPr="00D31344">
        <w:t> </w:t>
      </w:r>
      <w:r w:rsidR="00E35752" w:rsidRPr="00D31344">
        <w:t xml:space="preserve">Cal.3d 130, 142 [describing courts’ </w:t>
      </w:r>
      <w:r w:rsidR="002D0482" w:rsidRPr="00D31344">
        <w:t xml:space="preserve">shift </w:t>
      </w:r>
      <w:r w:rsidR="0082383E" w:rsidRPr="00D31344">
        <w:t xml:space="preserve">over time </w:t>
      </w:r>
      <w:r w:rsidR="00E35752" w:rsidRPr="00D31344">
        <w:t>to giv</w:t>
      </w:r>
      <w:r w:rsidR="0082383E" w:rsidRPr="00D31344">
        <w:t xml:space="preserve">e </w:t>
      </w:r>
      <w:r w:rsidR="00E35752" w:rsidRPr="00D31344">
        <w:t>“less emphasis to outmoded rights of property and to shibboleths of freedom of contract”]</w:t>
      </w:r>
      <w:r w:rsidR="002D0482" w:rsidRPr="00D31344">
        <w:t xml:space="preserve">; </w:t>
      </w:r>
      <w:r w:rsidR="0067446D" w:rsidRPr="00D31344">
        <w:t>Proposed Amendments to the Constitution of the State of California, with Legislative Reasons for and against Adoption Thereof</w:t>
      </w:r>
      <w:r w:rsidR="00883A89" w:rsidRPr="00D31344">
        <w:t xml:space="preserve">, </w:t>
      </w:r>
      <w:r w:rsidR="0067446D" w:rsidRPr="00D31344">
        <w:t>Gen. Elec.</w:t>
      </w:r>
      <w:r w:rsidR="00883A89" w:rsidRPr="00D31344">
        <w:t xml:space="preserve"> (</w:t>
      </w:r>
      <w:r w:rsidR="0067446D" w:rsidRPr="00D31344">
        <w:t>Oct.</w:t>
      </w:r>
      <w:r w:rsidR="00E63E67" w:rsidRPr="00D31344">
        <w:t> </w:t>
      </w:r>
      <w:r w:rsidR="0067446D" w:rsidRPr="00D31344">
        <w:t xml:space="preserve">10, 1911), </w:t>
      </w:r>
      <w:r w:rsidR="00883A89" w:rsidRPr="00D31344">
        <w:t xml:space="preserve">argument in favor of Sen. Const. </w:t>
      </w:r>
      <w:proofErr w:type="spellStart"/>
      <w:r w:rsidR="00883A89" w:rsidRPr="00D31344">
        <w:t>Amdt</w:t>
      </w:r>
      <w:proofErr w:type="spellEnd"/>
      <w:r w:rsidR="00883A89" w:rsidRPr="00D31344">
        <w:t>. No.</w:t>
      </w:r>
      <w:r w:rsidR="00E63E67" w:rsidRPr="00D31344">
        <w:t> </w:t>
      </w:r>
      <w:r w:rsidR="00883A89" w:rsidRPr="00D31344">
        <w:t>32 [prior version of art.</w:t>
      </w:r>
      <w:r w:rsidR="00E63E67" w:rsidRPr="00D31344">
        <w:t> </w:t>
      </w:r>
      <w:r w:rsidR="00883A89" w:rsidRPr="00D31344">
        <w:t>XIV, § 4 was enacted to abrogate court decisions holding that compulsory worker</w:t>
      </w:r>
      <w:r w:rsidR="00104B3C" w:rsidRPr="00D31344">
        <w:t>s’</w:t>
      </w:r>
      <w:r w:rsidR="00883A89" w:rsidRPr="00D31344">
        <w:t xml:space="preserve"> compensation law was a taking of property without due process], </w:t>
      </w:r>
      <w:r w:rsidR="0067446D" w:rsidRPr="00D31344">
        <w:t xml:space="preserve">available at </w:t>
      </w:r>
      <w:r w:rsidR="00CB6726" w:rsidRPr="00D31344">
        <w:t>&lt;https://repository.uchastings.edu/ca</w:t>
      </w:r>
      <w:r w:rsidR="00266B97" w:rsidRPr="00D31344">
        <w:t>_</w:t>
      </w:r>
      <w:r w:rsidR="00CB6726" w:rsidRPr="00D31344">
        <w:t>ballot</w:t>
      </w:r>
      <w:r w:rsidR="00266B97" w:rsidRPr="00D31344">
        <w:t>_</w:t>
      </w:r>
      <w:r w:rsidR="00CB6726" w:rsidRPr="00D31344">
        <w:t>props/24/&gt;</w:t>
      </w:r>
      <w:r w:rsidR="00CF05B2" w:rsidRPr="00D31344">
        <w:t xml:space="preserve"> [as</w:t>
      </w:r>
      <w:r w:rsidR="00792649" w:rsidRPr="00D31344">
        <w:t xml:space="preserve"> of </w:t>
      </w:r>
      <w:r w:rsidR="00EE44C1" w:rsidRPr="00D31344">
        <w:t xml:space="preserve">Mar. </w:t>
      </w:r>
      <w:r w:rsidR="009327DC" w:rsidRPr="00D31344">
        <w:t>1</w:t>
      </w:r>
      <w:r w:rsidR="00EE44C1" w:rsidRPr="00D31344">
        <w:t>3</w:t>
      </w:r>
      <w:r w:rsidR="00792649" w:rsidRPr="00D31344">
        <w:t>, 2023]</w:t>
      </w:r>
      <w:r w:rsidR="00E35752" w:rsidRPr="00D31344">
        <w:t>.)</w:t>
      </w:r>
      <w:r w:rsidR="00715E80" w:rsidRPr="00D31344">
        <w:t xml:space="preserve"> </w:t>
      </w:r>
      <w:r w:rsidR="00E35752" w:rsidRPr="00D31344">
        <w:t xml:space="preserve"> </w:t>
      </w:r>
      <w:r w:rsidRPr="00D31344">
        <w:t>Nothing in the initiative power otherwise prevented the enactment of worker</w:t>
      </w:r>
      <w:r w:rsidR="00104B3C" w:rsidRPr="00D31344">
        <w:t>s’</w:t>
      </w:r>
      <w:r w:rsidRPr="00D31344">
        <w:t xml:space="preserve"> compensation legislation, so article XIV, section 4 </w:t>
      </w:r>
      <w:r w:rsidR="00C12134" w:rsidRPr="00D31344">
        <w:t>did not</w:t>
      </w:r>
      <w:r w:rsidRPr="00D31344">
        <w:t xml:space="preserve"> </w:t>
      </w:r>
      <w:proofErr w:type="spellStart"/>
      <w:r w:rsidRPr="00D31344">
        <w:t>repeal</w:t>
      </w:r>
      <w:proofErr w:type="spellEnd"/>
      <w:r w:rsidRPr="00D31344">
        <w:t xml:space="preserve"> any </w:t>
      </w:r>
      <w:r w:rsidR="00813678" w:rsidRPr="00D31344">
        <w:t xml:space="preserve">aspect </w:t>
      </w:r>
      <w:r w:rsidRPr="00D31344">
        <w:t xml:space="preserve">of the initiative power.  </w:t>
      </w:r>
    </w:p>
    <w:p w14:paraId="69A3461E" w14:textId="6F5AD242" w:rsidR="00F473E4" w:rsidRPr="00D31344" w:rsidRDefault="00570B35" w:rsidP="00E85C16">
      <w:pPr>
        <w:pStyle w:val="Header"/>
        <w:spacing w:line="360" w:lineRule="auto"/>
      </w:pPr>
      <w:r w:rsidRPr="00D31344">
        <w:tab/>
      </w:r>
      <w:r w:rsidR="00BA4E86" w:rsidRPr="00D31344">
        <w:t>To p</w:t>
      </w:r>
      <w:r w:rsidRPr="00D31344">
        <w:t>laintiffs</w:t>
      </w:r>
      <w:r w:rsidR="00BA4E86" w:rsidRPr="00D31344">
        <w:t xml:space="preserve">, </w:t>
      </w:r>
      <w:r w:rsidRPr="00D31344">
        <w:t>Proposition 22 is inconsistent with article XIV, section 4 because the benefits that Proposition 22 gives app-</w:t>
      </w:r>
      <w:r w:rsidRPr="00D31344">
        <w:lastRenderedPageBreak/>
        <w:t>based drivers do not amo</w:t>
      </w:r>
      <w:r w:rsidRPr="00D31344">
        <w:t>unt to a “complete system of worker</w:t>
      </w:r>
      <w:r w:rsidR="00104B3C" w:rsidRPr="00D31344">
        <w:t>s’</w:t>
      </w:r>
      <w:r w:rsidRPr="00D31344">
        <w:t xml:space="preserve"> compensation” as defined in article XIV, section 4.</w:t>
      </w:r>
      <w:r>
        <w:rPr>
          <w:rStyle w:val="FootnoteReference"/>
        </w:rPr>
        <w:footnoteReference w:id="13"/>
      </w:r>
      <w:r w:rsidRPr="00D31344">
        <w:t xml:space="preserve">  But article XIV, section 4 does not require every worker to be covered by worker</w:t>
      </w:r>
      <w:r w:rsidR="00104B3C" w:rsidRPr="00D31344">
        <w:t>s’</w:t>
      </w:r>
      <w:r w:rsidRPr="00D31344">
        <w:t xml:space="preserve"> compensation.  (</w:t>
      </w:r>
      <w:r w:rsidRPr="00D31344">
        <w:rPr>
          <w:i/>
        </w:rPr>
        <w:t>Facundo-Guerrero v. Workers’ Comp. Appeals Bd.</w:t>
      </w:r>
      <w:r w:rsidRPr="00D31344">
        <w:t xml:space="preserve"> (2008) 163</w:t>
      </w:r>
      <w:r w:rsidR="00C35AA1" w:rsidRPr="00D31344">
        <w:t> </w:t>
      </w:r>
      <w:r w:rsidRPr="00D31344">
        <w:t>Cal.Ap</w:t>
      </w:r>
      <w:r w:rsidRPr="00D31344">
        <w:t>p.4th 640, 650 [intent of article XIV, section 4 “was not to impose a lawmaking mandate upon the Legislature, but to endow that body expressly with exclusive and ‘plenary’ authority to determine the contours and content of our state’s workers’ compensation</w:t>
      </w:r>
      <w:r w:rsidRPr="00D31344">
        <w:t xml:space="preserve"> system, including the power to </w:t>
      </w:r>
      <w:r w:rsidRPr="00D31344">
        <w:lastRenderedPageBreak/>
        <w:t xml:space="preserve">limit benefits”]; </w:t>
      </w:r>
      <w:r w:rsidRPr="00D31344">
        <w:rPr>
          <w:i/>
        </w:rPr>
        <w:t>Wal-Mart Stores v. Workers’ Comp. Appeals Bd.</w:t>
      </w:r>
      <w:r w:rsidRPr="00D31344">
        <w:t xml:space="preserve"> (2003) 112</w:t>
      </w:r>
      <w:r w:rsidR="00C35AA1" w:rsidRPr="00D31344">
        <w:t> </w:t>
      </w:r>
      <w:r w:rsidRPr="00D31344">
        <w:t>Cal.App.4th 1435, 1442 [Constitution does not make a right to worker</w:t>
      </w:r>
      <w:r w:rsidR="00104B3C" w:rsidRPr="00D31344">
        <w:t>s’</w:t>
      </w:r>
      <w:r w:rsidRPr="00D31344">
        <w:t xml:space="preserve"> compensation benefits “absolute”; Legislature can choose to exclude certain wo</w:t>
      </w:r>
      <w:r w:rsidRPr="00D31344">
        <w:t>rkers].)</w:t>
      </w:r>
      <w:r>
        <w:rPr>
          <w:rStyle w:val="FootnoteReference"/>
        </w:rPr>
        <w:footnoteReference w:id="14"/>
      </w:r>
      <w:r w:rsidRPr="00D31344">
        <w:t xml:space="preserve">  The Legislature or the voters </w:t>
      </w:r>
      <w:r w:rsidR="002D3F0C" w:rsidRPr="00D31344">
        <w:t xml:space="preserve">may </w:t>
      </w:r>
      <w:r w:rsidRPr="00D31344">
        <w:t>exclude app-based drivers entirely from workers’ compensation benefits</w:t>
      </w:r>
      <w:r w:rsidR="00396684" w:rsidRPr="00D31344">
        <w:t xml:space="preserve"> (cf. Lab</w:t>
      </w:r>
      <w:r w:rsidR="00767236" w:rsidRPr="00D31344">
        <w:t>.</w:t>
      </w:r>
      <w:r w:rsidR="00396684" w:rsidRPr="00D31344">
        <w:t xml:space="preserve"> Code, § 3352, </w:t>
      </w:r>
      <w:proofErr w:type="spellStart"/>
      <w:r w:rsidR="00396684" w:rsidRPr="00D31344">
        <w:t>subd</w:t>
      </w:r>
      <w:proofErr w:type="spellEnd"/>
      <w:r w:rsidR="00396684" w:rsidRPr="00D31344">
        <w:t xml:space="preserve">. (a) [excluding various types of workers from the definition of “employee” for </w:t>
      </w:r>
      <w:r w:rsidR="00396684" w:rsidRPr="00D31344">
        <w:lastRenderedPageBreak/>
        <w:t>purposes of worker</w:t>
      </w:r>
      <w:r w:rsidR="00104B3C" w:rsidRPr="00D31344">
        <w:t>s’</w:t>
      </w:r>
      <w:r w:rsidR="00396684" w:rsidRPr="00D31344">
        <w:t xml:space="preserve"> compensation])</w:t>
      </w:r>
      <w:r w:rsidRPr="00D31344">
        <w:t xml:space="preserve">, so the relative insufficiency of Proposition 22’s benefits is </w:t>
      </w:r>
      <w:r w:rsidR="002D3F0C" w:rsidRPr="00D31344">
        <w:t>of no constitutional moment</w:t>
      </w:r>
      <w:r w:rsidRPr="00D31344">
        <w:t>.</w:t>
      </w:r>
    </w:p>
    <w:p w14:paraId="061CD698" w14:textId="01562F4F" w:rsidR="004808F0" w:rsidRPr="00D31344" w:rsidRDefault="00570B35" w:rsidP="006631FF">
      <w:pPr>
        <w:pStyle w:val="Header"/>
        <w:spacing w:line="360" w:lineRule="auto"/>
      </w:pPr>
      <w:r w:rsidRPr="00D31344">
        <w:tab/>
      </w:r>
      <w:r w:rsidR="00636178" w:rsidRPr="00D31344">
        <w:t>In their last argument, plaintiffs contend</w:t>
      </w:r>
      <w:r w:rsidRPr="00D31344">
        <w:t xml:space="preserve"> that </w:t>
      </w:r>
      <w:r w:rsidR="00C33CA8" w:rsidRPr="00D31344">
        <w:t>article XIV, section 4’s reference to the Legislature should not be rea</w:t>
      </w:r>
      <w:r w:rsidR="00A34B68" w:rsidRPr="00D31344">
        <w:t>d as including the initiative power because doing so changes the scope of the article XIV, section 4 power</w:t>
      </w:r>
      <w:r w:rsidR="002558DA" w:rsidRPr="00D31344">
        <w:t xml:space="preserve">.  They reason that </w:t>
      </w:r>
      <w:r w:rsidR="00A34B68" w:rsidRPr="00D31344">
        <w:t>the Legislature on its own could not restrict its own future power</w:t>
      </w:r>
      <w:r w:rsidR="00A9725C" w:rsidRPr="00D31344">
        <w:t xml:space="preserve">, </w:t>
      </w:r>
      <w:r w:rsidR="00996F3D" w:rsidRPr="00D31344">
        <w:t>while</w:t>
      </w:r>
      <w:r w:rsidR="00A9725C" w:rsidRPr="00D31344">
        <w:t xml:space="preserve"> an initiative like Proposition 22 </w:t>
      </w:r>
      <w:r w:rsidR="00996F3D" w:rsidRPr="00D31344">
        <w:t>can</w:t>
      </w:r>
      <w:r w:rsidR="00A34B68" w:rsidRPr="00D31344">
        <w:t xml:space="preserve">. </w:t>
      </w:r>
      <w:r w:rsidRPr="00D31344">
        <w:t xml:space="preserve"> (</w:t>
      </w:r>
      <w:r w:rsidR="006A6385" w:rsidRPr="00D31344">
        <w:rPr>
          <w:i/>
        </w:rPr>
        <w:t>In </w:t>
      </w:r>
      <w:r w:rsidR="004B79A1" w:rsidRPr="00D31344">
        <w:rPr>
          <w:i/>
        </w:rPr>
        <w:t>re</w:t>
      </w:r>
      <w:r w:rsidRPr="00D31344">
        <w:rPr>
          <w:i/>
        </w:rPr>
        <w:t xml:space="preserve"> Collie</w:t>
      </w:r>
      <w:r w:rsidRPr="00D31344">
        <w:t xml:space="preserve"> (1952) 38</w:t>
      </w:r>
      <w:r w:rsidR="004B79A1" w:rsidRPr="00D31344">
        <w:t> </w:t>
      </w:r>
      <w:r w:rsidRPr="00D31344">
        <w:t>Cal.2d 396, 398.)</w:t>
      </w:r>
      <w:r w:rsidR="00A9725C" w:rsidRPr="00D31344">
        <w:t xml:space="preserve">  Initiatives do bind the Legislature by virtue of article II, section 10(c), discussed further, </w:t>
      </w:r>
      <w:r w:rsidR="00A9725C" w:rsidRPr="00D31344">
        <w:rPr>
          <w:i/>
          <w:iCs/>
        </w:rPr>
        <w:t>post</w:t>
      </w:r>
      <w:r w:rsidR="00A9725C" w:rsidRPr="00D31344">
        <w:t xml:space="preserve">, in a way that the Legislature </w:t>
      </w:r>
      <w:r w:rsidR="00D51FE1" w:rsidRPr="00D31344">
        <w:t>can</w:t>
      </w:r>
      <w:r w:rsidR="00A9725C" w:rsidRPr="00D31344">
        <w:t>not bind itself</w:t>
      </w:r>
      <w:r w:rsidR="002C57E3" w:rsidRPr="00D31344">
        <w:t xml:space="preserve">.  </w:t>
      </w:r>
      <w:r w:rsidR="00996F3D" w:rsidRPr="00D31344">
        <w:t>(</w:t>
      </w:r>
      <w:r w:rsidR="00996F3D" w:rsidRPr="00D31344">
        <w:rPr>
          <w:i/>
        </w:rPr>
        <w:t>Rossi v. Brown</w:t>
      </w:r>
      <w:r w:rsidR="00996F3D" w:rsidRPr="00D31344">
        <w:t xml:space="preserve"> (1995) 9</w:t>
      </w:r>
      <w:r w:rsidR="00606F5E" w:rsidRPr="00D31344">
        <w:t> </w:t>
      </w:r>
      <w:r w:rsidR="00996F3D" w:rsidRPr="00D31344">
        <w:t xml:space="preserve">Cal.4th 688, 715–716.)  </w:t>
      </w:r>
      <w:r w:rsidR="009A0DFA" w:rsidRPr="00D31344">
        <w:t xml:space="preserve">But </w:t>
      </w:r>
      <w:r w:rsidR="00FC2515" w:rsidRPr="00D31344">
        <w:t>the same argument c</w:t>
      </w:r>
      <w:r w:rsidR="00A672F9" w:rsidRPr="00D31344">
        <w:t xml:space="preserve">ould </w:t>
      </w:r>
      <w:r w:rsidR="00FC2515" w:rsidRPr="00D31344">
        <w:t xml:space="preserve">be made about any reference to the Legislature in </w:t>
      </w:r>
      <w:r w:rsidR="00A672F9" w:rsidRPr="00D31344">
        <w:t>the Constitution</w:t>
      </w:r>
      <w:r w:rsidR="00FC2515" w:rsidRPr="00D31344">
        <w:t>, which would</w:t>
      </w:r>
      <w:r w:rsidR="00A672F9" w:rsidRPr="00D31344">
        <w:t xml:space="preserve"> completely defeat th</w:t>
      </w:r>
      <w:r w:rsidR="004E769F" w:rsidRPr="00D31344">
        <w:t>e long-</w:t>
      </w:r>
      <w:r w:rsidR="00803FA5" w:rsidRPr="00D31344">
        <w:t>established rule that references to the Legislature should be read as including the initiative power</w:t>
      </w:r>
      <w:r w:rsidR="005648E9" w:rsidRPr="00D31344">
        <w:t>.</w:t>
      </w:r>
      <w:r w:rsidR="00FC2515" w:rsidRPr="00D31344">
        <w:t xml:space="preserve">  </w:t>
      </w:r>
      <w:r w:rsidR="00B92716" w:rsidRPr="00D31344">
        <w:t>(</w:t>
      </w:r>
      <w:r w:rsidR="00B92716" w:rsidRPr="00D31344">
        <w:rPr>
          <w:i/>
          <w:iCs/>
        </w:rPr>
        <w:t xml:space="preserve">McPherson, supra, </w:t>
      </w:r>
      <w:r w:rsidR="00B92716" w:rsidRPr="00D31344">
        <w:t>38</w:t>
      </w:r>
      <w:r w:rsidR="00A66529" w:rsidRPr="00D31344">
        <w:t> </w:t>
      </w:r>
      <w:r w:rsidR="00B92716" w:rsidRPr="00D31344">
        <w:t>Cal.4th at p.</w:t>
      </w:r>
      <w:r w:rsidR="00A66529" w:rsidRPr="00D31344">
        <w:t> </w:t>
      </w:r>
      <w:r w:rsidR="00B92716" w:rsidRPr="00D31344">
        <w:t xml:space="preserve">1043.)  </w:t>
      </w:r>
      <w:r w:rsidR="00FC2515" w:rsidRPr="00D31344">
        <w:t>We therefore reject this argument.</w:t>
      </w:r>
    </w:p>
    <w:p w14:paraId="54CFCFBA" w14:textId="386C2042" w:rsidR="008E1EF6" w:rsidRPr="00D31344" w:rsidRDefault="00570B35" w:rsidP="00C16AEE">
      <w:pPr>
        <w:pStyle w:val="Header"/>
        <w:spacing w:line="360" w:lineRule="auto"/>
      </w:pPr>
      <w:r w:rsidRPr="00D31344">
        <w:tab/>
      </w:r>
      <w:r w:rsidR="00636178" w:rsidRPr="00D31344">
        <w:t>We turn finally</w:t>
      </w:r>
      <w:r w:rsidRPr="00D31344">
        <w:t xml:space="preserve"> to what the dissenting opinion deems article XIV, section 4’s “</w:t>
      </w:r>
      <w:r w:rsidR="003A59B2" w:rsidRPr="00D31344">
        <w:t>particularly notable</w:t>
      </w:r>
      <w:r w:rsidRPr="00D31344">
        <w:t xml:space="preserve">” declaration that the workers’ compensation scheme shall be “binding upon all departments of the </w:t>
      </w:r>
      <w:r w:rsidR="005F3AA4" w:rsidRPr="00D31344">
        <w:t>s</w:t>
      </w:r>
      <w:r w:rsidRPr="00D31344">
        <w:t xml:space="preserve">tate government.” </w:t>
      </w:r>
      <w:r w:rsidR="00636178" w:rsidRPr="00D31344">
        <w:t xml:space="preserve"> </w:t>
      </w:r>
      <w:r w:rsidRPr="00D31344">
        <w:t>(</w:t>
      </w:r>
      <w:r w:rsidR="00A53456" w:rsidRPr="00D31344">
        <w:t>Conc. &amp; d</w:t>
      </w:r>
      <w:r w:rsidRPr="00D31344">
        <w:t>is</w:t>
      </w:r>
      <w:r w:rsidR="00BF1AD4" w:rsidRPr="00D31344">
        <w:t xml:space="preserve">. </w:t>
      </w:r>
      <w:proofErr w:type="spellStart"/>
      <w:r w:rsidR="00BF1AD4" w:rsidRPr="00D31344">
        <w:t>opn</w:t>
      </w:r>
      <w:proofErr w:type="spellEnd"/>
      <w:r w:rsidR="00BF1AD4" w:rsidRPr="00D31344">
        <w:t xml:space="preserve">., </w:t>
      </w:r>
      <w:r w:rsidR="001C5D25" w:rsidRPr="00D31344">
        <w:rPr>
          <w:i/>
          <w:iCs/>
        </w:rPr>
        <w:t>post</w:t>
      </w:r>
      <w:r w:rsidR="001C5D25" w:rsidRPr="00D31344">
        <w:t>,</w:t>
      </w:r>
      <w:r w:rsidRPr="00D31344">
        <w:t xml:space="preserve"> at p. </w:t>
      </w:r>
      <w:r w:rsidR="003A59B2" w:rsidRPr="00D31344">
        <w:t>3</w:t>
      </w:r>
      <w:r w:rsidR="00762C26" w:rsidRPr="00D31344">
        <w:t>9</w:t>
      </w:r>
      <w:r w:rsidRPr="00D31344">
        <w:t xml:space="preserve">, quoting </w:t>
      </w:r>
      <w:r w:rsidR="00303B20" w:rsidRPr="00D31344">
        <w:t xml:space="preserve">Cal. Const., </w:t>
      </w:r>
      <w:r w:rsidRPr="00D31344">
        <w:t>art</w:t>
      </w:r>
      <w:r w:rsidR="00300F41" w:rsidRPr="00D31344">
        <w:t>.</w:t>
      </w:r>
      <w:r w:rsidR="0090391C" w:rsidRPr="00D31344">
        <w:t> </w:t>
      </w:r>
      <w:r w:rsidRPr="00D31344">
        <w:t>XIV, §</w:t>
      </w:r>
      <w:r w:rsidR="00015615" w:rsidRPr="00D31344">
        <w:t> </w:t>
      </w:r>
      <w:r w:rsidRPr="00D31344">
        <w:t xml:space="preserve">4).  Based on </w:t>
      </w:r>
      <w:r w:rsidR="00303B20" w:rsidRPr="00D31344">
        <w:t xml:space="preserve">its interpretation of </w:t>
      </w:r>
      <w:r w:rsidRPr="00D31344">
        <w:t xml:space="preserve">that phrase, the dissent asserts </w:t>
      </w:r>
      <w:r w:rsidRPr="00D31344">
        <w:t>that when the people adopt an initiative statute, they “</w:t>
      </w:r>
      <w:r w:rsidR="003A59B2" w:rsidRPr="00D31344">
        <w:t xml:space="preserve">are encompassed within the phrase </w:t>
      </w:r>
      <w:r w:rsidR="00BB5220" w:rsidRPr="00D31344">
        <w:t>‘</w:t>
      </w:r>
      <w:r w:rsidR="003A59B2" w:rsidRPr="00D31344">
        <w:t xml:space="preserve">all </w:t>
      </w:r>
      <w:r w:rsidRPr="00D31344">
        <w:t>department</w:t>
      </w:r>
      <w:r w:rsidR="003A59B2" w:rsidRPr="00D31344">
        <w:t>s</w:t>
      </w:r>
      <w:r w:rsidRPr="00D31344">
        <w:t xml:space="preserve"> of </w:t>
      </w:r>
      <w:r w:rsidR="003A59B2" w:rsidRPr="00D31344">
        <w:t>S</w:t>
      </w:r>
      <w:r w:rsidRPr="00D31344">
        <w:t xml:space="preserve">tate </w:t>
      </w:r>
      <w:r w:rsidR="003A59B2" w:rsidRPr="00D31344">
        <w:t>G</w:t>
      </w:r>
      <w:r w:rsidRPr="00D31344">
        <w:t>overnment</w:t>
      </w:r>
      <w:r w:rsidR="00303B20" w:rsidRPr="00D31344">
        <w:t>.</w:t>
      </w:r>
      <w:proofErr w:type="gramStart"/>
      <w:r w:rsidRPr="00D31344">
        <w:t>’</w:t>
      </w:r>
      <w:r w:rsidR="00C169FC" w:rsidRPr="00D31344">
        <w:t> </w:t>
      </w:r>
      <w:r w:rsidRPr="00D31344">
        <w:t>”</w:t>
      </w:r>
      <w:proofErr w:type="gramEnd"/>
      <w:r w:rsidRPr="00D31344">
        <w:t xml:space="preserve"> </w:t>
      </w:r>
      <w:r w:rsidR="00303B20" w:rsidRPr="00D31344">
        <w:t xml:space="preserve"> </w:t>
      </w:r>
      <w:r w:rsidRPr="00D31344">
        <w:t>(</w:t>
      </w:r>
      <w:r w:rsidR="00A53456" w:rsidRPr="00D31344">
        <w:t>Conc. &amp; d</w:t>
      </w:r>
      <w:r w:rsidR="007175BB" w:rsidRPr="00D31344">
        <w:t xml:space="preserve">is. </w:t>
      </w:r>
      <w:proofErr w:type="spellStart"/>
      <w:r w:rsidR="007175BB" w:rsidRPr="00D31344">
        <w:t>opn</w:t>
      </w:r>
      <w:proofErr w:type="spellEnd"/>
      <w:r w:rsidR="007175BB" w:rsidRPr="00D31344">
        <w:t xml:space="preserve">., </w:t>
      </w:r>
      <w:r w:rsidR="007175BB" w:rsidRPr="00D31344">
        <w:rPr>
          <w:i/>
          <w:iCs/>
        </w:rPr>
        <w:t>post</w:t>
      </w:r>
      <w:r w:rsidR="007175BB" w:rsidRPr="00D31344">
        <w:t>,</w:t>
      </w:r>
      <w:r w:rsidRPr="00D31344">
        <w:t xml:space="preserve"> at p</w:t>
      </w:r>
      <w:r w:rsidR="00303B20" w:rsidRPr="00D31344">
        <w:t>.</w:t>
      </w:r>
      <w:r w:rsidR="00C74B50" w:rsidRPr="00D31344">
        <w:t> </w:t>
      </w:r>
      <w:r w:rsidR="008D3A21" w:rsidRPr="00D31344">
        <w:t>39</w:t>
      </w:r>
      <w:r w:rsidR="00C74B50" w:rsidRPr="00D31344">
        <w:t>.</w:t>
      </w:r>
      <w:r w:rsidRPr="00D31344">
        <w:t>)</w:t>
      </w:r>
      <w:r w:rsidR="00303B20" w:rsidRPr="00D31344">
        <w:t xml:space="preserve">  F</w:t>
      </w:r>
      <w:r w:rsidRPr="00D31344">
        <w:t xml:space="preserve">rom </w:t>
      </w:r>
      <w:r w:rsidR="00636178" w:rsidRPr="00D31344">
        <w:t>that premise</w:t>
      </w:r>
      <w:r w:rsidRPr="00D31344">
        <w:t xml:space="preserve">, the dissent </w:t>
      </w:r>
      <w:r w:rsidR="00303B20" w:rsidRPr="00D31344">
        <w:t xml:space="preserve">then </w:t>
      </w:r>
      <w:r w:rsidRPr="00D31344">
        <w:t xml:space="preserve">concludes that when there is a conflict </w:t>
      </w:r>
      <w:r w:rsidRPr="00D31344">
        <w:t xml:space="preserve">between a legislative </w:t>
      </w:r>
      <w:r w:rsidRPr="00D31344">
        <w:lastRenderedPageBreak/>
        <w:t>enactment and an initiative statute relating to workers’ compensation, the electorate</w:t>
      </w:r>
      <w:r w:rsidR="00A04A43" w:rsidRPr="00D31344">
        <w:t xml:space="preserve"> is bound by </w:t>
      </w:r>
      <w:r w:rsidRPr="00D31344">
        <w:t>the Legislature</w:t>
      </w:r>
      <w:r w:rsidR="00A04A43" w:rsidRPr="00D31344">
        <w:t>’s view of workers’ compensation policy</w:t>
      </w:r>
      <w:r w:rsidRPr="00D31344">
        <w:t>.  (</w:t>
      </w:r>
      <w:r w:rsidR="00636178" w:rsidRPr="00D31344">
        <w:rPr>
          <w:i/>
        </w:rPr>
        <w:t>I</w:t>
      </w:r>
      <w:r w:rsidRPr="00D31344">
        <w:rPr>
          <w:i/>
        </w:rPr>
        <w:t>d.</w:t>
      </w:r>
      <w:r w:rsidRPr="00D31344">
        <w:t xml:space="preserve"> at </w:t>
      </w:r>
      <w:r w:rsidR="00B5654C" w:rsidRPr="00D31344">
        <w:t>p</w:t>
      </w:r>
      <w:r w:rsidRPr="00D31344">
        <w:t>p.</w:t>
      </w:r>
      <w:r w:rsidR="00683A0F" w:rsidRPr="00D31344">
        <w:t> </w:t>
      </w:r>
      <w:r w:rsidR="008A7FF4" w:rsidRPr="00D31344">
        <w:t>40</w:t>
      </w:r>
      <w:r w:rsidR="009E0764" w:rsidRPr="00D31344">
        <w:t>–41</w:t>
      </w:r>
      <w:r w:rsidR="00F251C2" w:rsidRPr="00D31344">
        <w:t xml:space="preserve">, </w:t>
      </w:r>
      <w:r w:rsidR="00683A0F" w:rsidRPr="00D31344">
        <w:t>4</w:t>
      </w:r>
      <w:r w:rsidR="009E0764" w:rsidRPr="00D31344">
        <w:t>4</w:t>
      </w:r>
      <w:r w:rsidRPr="00D31344">
        <w:t xml:space="preserve">.)  </w:t>
      </w:r>
      <w:r w:rsidR="00001C53" w:rsidRPr="00D31344">
        <w:t>T</w:t>
      </w:r>
      <w:r w:rsidR="00735010" w:rsidRPr="00D31344">
        <w:t>he dissent</w:t>
      </w:r>
      <w:r w:rsidR="00001C53" w:rsidRPr="00D31344">
        <w:t>ing opinion</w:t>
      </w:r>
      <w:r w:rsidR="00735010" w:rsidRPr="00D31344">
        <w:t xml:space="preserve"> </w:t>
      </w:r>
      <w:r w:rsidRPr="00D31344">
        <w:t xml:space="preserve">cites nothing to support </w:t>
      </w:r>
      <w:r w:rsidR="00735010" w:rsidRPr="00D31344">
        <w:t>its</w:t>
      </w:r>
      <w:r w:rsidRPr="00D31344">
        <w:t xml:space="preserve"> as</w:t>
      </w:r>
      <w:r w:rsidRPr="00D31344">
        <w:t xml:space="preserve">sertion that the people enacting an initiative constitute a “department of the </w:t>
      </w:r>
      <w:r w:rsidR="005E472F" w:rsidRPr="00D31344">
        <w:t>s</w:t>
      </w:r>
      <w:r w:rsidRPr="00D31344">
        <w:t>tate government”</w:t>
      </w:r>
      <w:r w:rsidR="00303B20" w:rsidRPr="00D31344">
        <w:t xml:space="preserve"> </w:t>
      </w:r>
      <w:r w:rsidR="00001C53" w:rsidRPr="00D31344">
        <w:t>or</w:t>
      </w:r>
      <w:r w:rsidR="00303B20" w:rsidRPr="00D31344">
        <w:t xml:space="preserve"> its conclusion that the phrase “binding upon all departments of the </w:t>
      </w:r>
      <w:r w:rsidR="0060745D" w:rsidRPr="00D31344">
        <w:t>s</w:t>
      </w:r>
      <w:r w:rsidR="00303B20" w:rsidRPr="00D31344">
        <w:t>tate government” was intended to convey a limitation on the initiative power.</w:t>
      </w:r>
      <w:r w:rsidRPr="00D31344">
        <w:t xml:space="preserve">  </w:t>
      </w:r>
      <w:proofErr w:type="gramStart"/>
      <w:r w:rsidR="00001C53" w:rsidRPr="00D31344">
        <w:t>In actuality, this</w:t>
      </w:r>
      <w:proofErr w:type="gramEnd"/>
      <w:r w:rsidR="00001C53" w:rsidRPr="00D31344">
        <w:t xml:space="preserve"> phrase appears to have been intended only to mean that the workers’ compensation system applies to the state and local governments as employers.  (</w:t>
      </w:r>
      <w:r w:rsidR="00001C53" w:rsidRPr="00D31344">
        <w:rPr>
          <w:i/>
        </w:rPr>
        <w:t>Bautista v. State of California</w:t>
      </w:r>
      <w:r w:rsidR="00001C53" w:rsidRPr="00D31344">
        <w:t xml:space="preserve"> (2011) 201 Cal.App.4th 716, 726; </w:t>
      </w:r>
      <w:r w:rsidR="00001C53" w:rsidRPr="00D31344">
        <w:rPr>
          <w:i/>
        </w:rPr>
        <w:t>Sacramento v. Industrial Acc. Com.</w:t>
      </w:r>
      <w:r w:rsidR="00001C53" w:rsidRPr="00D31344">
        <w:t xml:space="preserve"> (1925) 74 </w:t>
      </w:r>
      <w:proofErr w:type="spellStart"/>
      <w:r w:rsidR="00001C53" w:rsidRPr="00D31344">
        <w:t>Cal.App</w:t>
      </w:r>
      <w:proofErr w:type="spellEnd"/>
      <w:r w:rsidR="00001C53" w:rsidRPr="00D31344">
        <w:t>. 386, 395.)</w:t>
      </w:r>
    </w:p>
    <w:p w14:paraId="436104B0" w14:textId="11F5876E" w:rsidR="008E1EF6" w:rsidRPr="00D31344" w:rsidRDefault="00570B35" w:rsidP="00DC52B4">
      <w:pPr>
        <w:spacing w:line="360" w:lineRule="auto"/>
        <w:ind w:firstLine="720"/>
      </w:pPr>
      <w:r w:rsidRPr="00D31344">
        <w:t>A second, more fundamental problem is that construing “department</w:t>
      </w:r>
      <w:r w:rsidR="0018681F" w:rsidRPr="00D31344">
        <w:t>s</w:t>
      </w:r>
      <w:r w:rsidRPr="00D31344">
        <w:t xml:space="preserve"> of the </w:t>
      </w:r>
      <w:r w:rsidR="007C39AB" w:rsidRPr="00D31344">
        <w:t>S</w:t>
      </w:r>
      <w:r w:rsidRPr="00D31344">
        <w:t>tate government” to include the electorate—</w:t>
      </w:r>
      <w:r w:rsidR="00001C53" w:rsidRPr="00D31344">
        <w:t>one</w:t>
      </w:r>
      <w:r w:rsidRPr="00D31344">
        <w:t xml:space="preserve"> </w:t>
      </w:r>
      <w:r w:rsidR="00001C53" w:rsidRPr="00D31344">
        <w:t xml:space="preserve">premise </w:t>
      </w:r>
      <w:r w:rsidRPr="00D31344">
        <w:t>for the dissent</w:t>
      </w:r>
      <w:r w:rsidR="00001C53" w:rsidRPr="00D31344">
        <w:t>ing opinion</w:t>
      </w:r>
      <w:r w:rsidRPr="00D31344">
        <w:t>’s conclusion that article XIV, section 4 limits the initiative</w:t>
      </w:r>
      <w:r w:rsidRPr="00D31344">
        <w:t xml:space="preserve"> power—runs afoul of </w:t>
      </w:r>
      <w:r w:rsidRPr="00D31344">
        <w:rPr>
          <w:i/>
          <w:iCs/>
        </w:rPr>
        <w:t xml:space="preserve">California Cannabis </w:t>
      </w:r>
      <w:r w:rsidR="00C13434" w:rsidRPr="00D31344">
        <w:rPr>
          <w:i/>
          <w:iCs/>
        </w:rPr>
        <w:t>Coalition</w:t>
      </w:r>
      <w:r w:rsidRPr="00D31344">
        <w:rPr>
          <w:i/>
          <w:iCs/>
        </w:rPr>
        <w:t xml:space="preserve"> v. City of Upland</w:t>
      </w:r>
      <w:r w:rsidR="00715E65" w:rsidRPr="00D31344">
        <w:t xml:space="preserve">, </w:t>
      </w:r>
      <w:r w:rsidR="00715E65" w:rsidRPr="00D31344">
        <w:rPr>
          <w:i/>
          <w:iCs/>
        </w:rPr>
        <w:t>supra</w:t>
      </w:r>
      <w:r w:rsidR="00715E65" w:rsidRPr="00D31344">
        <w:t>,</w:t>
      </w:r>
      <w:r w:rsidRPr="00D31344">
        <w:t xml:space="preserve"> 3</w:t>
      </w:r>
      <w:r w:rsidR="005E6701" w:rsidRPr="00D31344">
        <w:t> </w:t>
      </w:r>
      <w:r w:rsidRPr="00D31344">
        <w:t>Cal.5th 924.  There, our Supreme Court rejected the City’s contention that a constitutional provision limiting the authority of “local government” with respect to taxes should b</w:t>
      </w:r>
      <w:r w:rsidRPr="00D31344">
        <w:t xml:space="preserve">e construed to mean that such a limitation applies to the </w:t>
      </w:r>
      <w:r w:rsidRPr="00D31344">
        <w:rPr>
          <w:i/>
          <w:iCs/>
        </w:rPr>
        <w:t>electorate</w:t>
      </w:r>
      <w:r w:rsidRPr="00D31344">
        <w:t xml:space="preserve"> when it enacts a tax-related initiative statute.  (</w:t>
      </w:r>
      <w:r w:rsidRPr="00D31344">
        <w:rPr>
          <w:i/>
          <w:iCs/>
        </w:rPr>
        <w:t xml:space="preserve">Id. </w:t>
      </w:r>
      <w:r w:rsidRPr="00D31344">
        <w:t>at pp. 930–931 [construing article XIII C]</w:t>
      </w:r>
      <w:r w:rsidR="00F559E3" w:rsidRPr="00D31344">
        <w:t>.</w:t>
      </w:r>
      <w:r w:rsidRPr="00D31344">
        <w:t xml:space="preserve">)  Not only did the </w:t>
      </w:r>
      <w:r w:rsidR="2119C056" w:rsidRPr="00D31344">
        <w:t>c</w:t>
      </w:r>
      <w:r w:rsidR="686BFFB0" w:rsidRPr="00D31344">
        <w:t>ourt</w:t>
      </w:r>
      <w:r w:rsidRPr="00D31344">
        <w:t xml:space="preserve"> reason that construing “local government” to include the electo</w:t>
      </w:r>
      <w:r w:rsidRPr="00D31344">
        <w:t>rate was contrary to the term’s common understanding (</w:t>
      </w:r>
      <w:r w:rsidR="00134FA5" w:rsidRPr="00D31344">
        <w:rPr>
          <w:i/>
          <w:iCs/>
        </w:rPr>
        <w:t>California Cannabis Coalition</w:t>
      </w:r>
      <w:r w:rsidR="00134FA5" w:rsidRPr="00D31344">
        <w:t>,</w:t>
      </w:r>
      <w:r w:rsidRPr="00D31344">
        <w:rPr>
          <w:i/>
          <w:iCs/>
        </w:rPr>
        <w:t xml:space="preserve"> </w:t>
      </w:r>
      <w:r w:rsidRPr="00D31344">
        <w:t xml:space="preserve">at p. 937), the </w:t>
      </w:r>
      <w:r w:rsidR="2119C056" w:rsidRPr="00D31344">
        <w:t>c</w:t>
      </w:r>
      <w:r w:rsidR="686BFFB0" w:rsidRPr="00D31344">
        <w:t>ourt</w:t>
      </w:r>
      <w:r w:rsidRPr="00D31344">
        <w:t xml:space="preserve"> also repeatedly </w:t>
      </w:r>
      <w:r w:rsidRPr="00D31344">
        <w:lastRenderedPageBreak/>
        <w:t xml:space="preserve">instructed that there must be some “unambiguous indication that a provision’s purpose was to </w:t>
      </w:r>
      <w:r w:rsidR="00A47F64" w:rsidRPr="00D31344">
        <w:t>con</w:t>
      </w:r>
      <w:r w:rsidR="00001C53" w:rsidRPr="00D31344">
        <w:t>s</w:t>
      </w:r>
      <w:r w:rsidRPr="00D31344">
        <w:t xml:space="preserve">train the initiative power” </w:t>
      </w:r>
      <w:r w:rsidRPr="00D31344">
        <w:t>before such a limitation would be imposed.  (</w:t>
      </w:r>
      <w:r w:rsidRPr="00D31344">
        <w:rPr>
          <w:i/>
          <w:iCs/>
        </w:rPr>
        <w:t>Id</w:t>
      </w:r>
      <w:r w:rsidRPr="00D31344">
        <w:t>. at p.</w:t>
      </w:r>
      <w:r w:rsidR="00540E41" w:rsidRPr="00D31344">
        <w:t> </w:t>
      </w:r>
      <w:r w:rsidRPr="00D31344">
        <w:t>945</w:t>
      </w:r>
      <w:r w:rsidR="00813396" w:rsidRPr="00D31344">
        <w:t xml:space="preserve">; </w:t>
      </w:r>
      <w:r w:rsidR="00D34B57" w:rsidRPr="00D31344">
        <w:t xml:space="preserve">see </w:t>
      </w:r>
      <w:r w:rsidR="00813396" w:rsidRPr="00D31344">
        <w:rPr>
          <w:i/>
        </w:rPr>
        <w:t>id</w:t>
      </w:r>
      <w:r w:rsidR="00813396" w:rsidRPr="00D31344">
        <w:t>. at p.</w:t>
      </w:r>
      <w:r w:rsidRPr="00D31344">
        <w:t xml:space="preserve"> 9</w:t>
      </w:r>
      <w:r w:rsidR="009A21F3" w:rsidRPr="00D31344">
        <w:t>4</w:t>
      </w:r>
      <w:r w:rsidRPr="00D31344">
        <w:t xml:space="preserve">6 [“the best way to implement our oft-repeated references to the importance of the initiative is to avoid presuming that a provision constrains that power without a </w:t>
      </w:r>
      <w:r w:rsidRPr="00D31344">
        <w:rPr>
          <w:i/>
          <w:iCs/>
        </w:rPr>
        <w:t>clear statement</w:t>
      </w:r>
      <w:r w:rsidRPr="00D31344">
        <w:rPr>
          <w:i/>
          <w:iCs/>
        </w:rPr>
        <w:t xml:space="preserve"> or equivalent evidence</w:t>
      </w:r>
      <w:r w:rsidRPr="00D31344">
        <w:t xml:space="preserve"> that such was the provision’s intended purpose” </w:t>
      </w:r>
      <w:r w:rsidR="00E33BF3" w:rsidRPr="00D31344">
        <w:t>(</w:t>
      </w:r>
      <w:r w:rsidRPr="00D31344">
        <w:t>italics added</w:t>
      </w:r>
      <w:r w:rsidR="00E33BF3" w:rsidRPr="00D31344">
        <w:t>)</w:t>
      </w:r>
      <w:r w:rsidRPr="00D31344">
        <w:t xml:space="preserve">], 948 [“Unless a provision </w:t>
      </w:r>
      <w:r w:rsidRPr="00D31344">
        <w:rPr>
          <w:i/>
          <w:iCs/>
        </w:rPr>
        <w:t>explicitly constrains</w:t>
      </w:r>
      <w:r w:rsidRPr="00D31344">
        <w:t xml:space="preserve"> the initiative power or otherwise provides a </w:t>
      </w:r>
      <w:r w:rsidRPr="00D31344">
        <w:rPr>
          <w:i/>
          <w:iCs/>
        </w:rPr>
        <w:t>similarly clear indication</w:t>
      </w:r>
      <w:r w:rsidRPr="00D31344">
        <w:t xml:space="preserve"> that its purpose includes constraining the vote</w:t>
      </w:r>
      <w:r w:rsidRPr="00D31344">
        <w:t xml:space="preserve">rs’ initiative power, we will not construe provisions as imposing such limitations” </w:t>
      </w:r>
      <w:r w:rsidR="000273C3" w:rsidRPr="00D31344">
        <w:t>(</w:t>
      </w:r>
      <w:r w:rsidRPr="00D31344">
        <w:t>italics added</w:t>
      </w:r>
      <w:r w:rsidR="000273C3" w:rsidRPr="00D31344">
        <w:t>)</w:t>
      </w:r>
      <w:r w:rsidRPr="00D31344">
        <w:t xml:space="preserve">].)  </w:t>
      </w:r>
    </w:p>
    <w:p w14:paraId="562A338B" w14:textId="2F21C4E3" w:rsidR="008E1EF6" w:rsidRPr="00D31344" w:rsidRDefault="00570B35" w:rsidP="00DC52B4">
      <w:pPr>
        <w:spacing w:line="360" w:lineRule="auto"/>
      </w:pPr>
      <w:r w:rsidRPr="00D31344">
        <w:tab/>
      </w:r>
      <w:proofErr w:type="gramStart"/>
      <w:r w:rsidR="00135E4F" w:rsidRPr="00D31344">
        <w:t>Similar to</w:t>
      </w:r>
      <w:proofErr w:type="gramEnd"/>
      <w:r w:rsidRPr="00D31344">
        <w:t xml:space="preserve"> the phrase “local government” in the constitutional provision at issue in </w:t>
      </w:r>
      <w:r w:rsidRPr="00D31344">
        <w:rPr>
          <w:i/>
          <w:iCs/>
        </w:rPr>
        <w:t>California Cannabis</w:t>
      </w:r>
      <w:r w:rsidR="003B5590" w:rsidRPr="00D31344">
        <w:rPr>
          <w:i/>
          <w:iCs/>
        </w:rPr>
        <w:t xml:space="preserve"> Coalition</w:t>
      </w:r>
      <w:r w:rsidRPr="00D31344">
        <w:t>, article XIV, section 4’s reference</w:t>
      </w:r>
      <w:r w:rsidRPr="00D31344">
        <w:t xml:space="preserve"> to </w:t>
      </w:r>
      <w:r w:rsidR="00303B20" w:rsidRPr="00D31344">
        <w:t>“</w:t>
      </w:r>
      <w:r w:rsidRPr="00D31344">
        <w:t xml:space="preserve">departments of the </w:t>
      </w:r>
      <w:r w:rsidR="00D759F0" w:rsidRPr="00D31344">
        <w:t>s</w:t>
      </w:r>
      <w:r w:rsidRPr="00D31344">
        <w:t>tate government” contains no unambiguous indication that the phrase was intended to include the electorate and thereby constrain the people’s initiative power.</w:t>
      </w:r>
      <w:r w:rsidR="00001C53" w:rsidRPr="00D31344">
        <w:t xml:space="preserve">  This does not make the voters “exogenous” to our plan of government (</w:t>
      </w:r>
      <w:r w:rsidR="0025021F" w:rsidRPr="00D31344">
        <w:t xml:space="preserve">conc. &amp; dis. </w:t>
      </w:r>
      <w:proofErr w:type="spellStart"/>
      <w:r w:rsidR="0025021F" w:rsidRPr="00D31344">
        <w:t>opn</w:t>
      </w:r>
      <w:proofErr w:type="spellEnd"/>
      <w:r w:rsidR="0025021F" w:rsidRPr="00D31344">
        <w:t xml:space="preserve">., </w:t>
      </w:r>
      <w:r w:rsidR="0025021F" w:rsidRPr="00D31344">
        <w:rPr>
          <w:i/>
          <w:iCs/>
        </w:rPr>
        <w:t>post</w:t>
      </w:r>
      <w:r w:rsidR="0025021F" w:rsidRPr="00D31344">
        <w:t>, at p.</w:t>
      </w:r>
      <w:r w:rsidR="004752D5" w:rsidRPr="00D31344">
        <w:t> 3</w:t>
      </w:r>
      <w:r w:rsidR="000B56D7" w:rsidRPr="00D31344">
        <w:t>9</w:t>
      </w:r>
      <w:r w:rsidR="00001C53" w:rsidRPr="00D31344">
        <w:t>); the California Constitution plainly provides for the initiative power, after all.  This merely recognizes that a reference to “State government” or its departments does not naturally include the voters.</w:t>
      </w:r>
    </w:p>
    <w:p w14:paraId="7BFD9FE9" w14:textId="671C580E" w:rsidR="008E1EF6" w:rsidRPr="00D31344" w:rsidRDefault="00570B35" w:rsidP="00DC52B4">
      <w:pPr>
        <w:spacing w:after="240" w:line="360" w:lineRule="auto"/>
      </w:pPr>
      <w:r w:rsidRPr="00D31344">
        <w:tab/>
        <w:t xml:space="preserve">We </w:t>
      </w:r>
      <w:r w:rsidRPr="00D31344">
        <w:t>therefore conclude that Proposition 22 does not violate article XIV, section 4.</w:t>
      </w:r>
    </w:p>
    <w:p w14:paraId="1B612F68" w14:textId="0697161D" w:rsidR="004808F0" w:rsidRPr="00D31344" w:rsidRDefault="00570B35" w:rsidP="001D500B">
      <w:pPr>
        <w:pStyle w:val="Heading2"/>
      </w:pPr>
      <w:r w:rsidRPr="00D31344">
        <w:lastRenderedPageBreak/>
        <w:t>Single-</w:t>
      </w:r>
      <w:r w:rsidR="00CC32DB" w:rsidRPr="00D31344">
        <w:t>s</w:t>
      </w:r>
      <w:r w:rsidRPr="00D31344">
        <w:t>ubject Rule</w:t>
      </w:r>
    </w:p>
    <w:p w14:paraId="7A64665E" w14:textId="532897EE" w:rsidR="004808F0" w:rsidRPr="00D31344" w:rsidRDefault="00570B35" w:rsidP="004808F0">
      <w:pPr>
        <w:spacing w:line="360" w:lineRule="auto"/>
      </w:pPr>
      <w:r w:rsidRPr="00D31344">
        <w:tab/>
        <w:t xml:space="preserve">In addition to challenging </w:t>
      </w:r>
      <w:r w:rsidR="00B402B9" w:rsidRPr="00D31344">
        <w:t>the entirety of Proposition 22 based on article XIV, section 4</w:t>
      </w:r>
      <w:r w:rsidRPr="00D31344">
        <w:t>, plaintiffs a</w:t>
      </w:r>
      <w:r w:rsidR="00694E76" w:rsidRPr="00D31344">
        <w:t xml:space="preserve">rgued below </w:t>
      </w:r>
      <w:r w:rsidRPr="00D31344">
        <w:t xml:space="preserve">that </w:t>
      </w:r>
      <w:r w:rsidR="00BC58D7" w:rsidRPr="00D31344">
        <w:t>section 7465(c)(4)</w:t>
      </w:r>
      <w:r w:rsidRPr="00D31344">
        <w:t xml:space="preserve"> violates </w:t>
      </w:r>
      <w:r w:rsidR="00172A5D" w:rsidRPr="00D31344">
        <w:t>a</w:t>
      </w:r>
      <w:r w:rsidRPr="00D31344">
        <w:t>rticle</w:t>
      </w:r>
      <w:r w:rsidRPr="00D31344">
        <w:t xml:space="preserve"> II, section 8, subdivision (d)</w:t>
      </w:r>
      <w:r w:rsidR="00874792" w:rsidRPr="00D31344">
        <w:t xml:space="preserve"> of the Constitution</w:t>
      </w:r>
      <w:r w:rsidR="00172A5D" w:rsidRPr="00D31344">
        <w:t>, which</w:t>
      </w:r>
      <w:r w:rsidRPr="00D31344">
        <w:t xml:space="preserve"> provides that “[a]n initiative measure embracing more than one subject may not be submitted to the electors or have any effect.”  Plaintiffs assert</w:t>
      </w:r>
      <w:r w:rsidR="00F34408" w:rsidRPr="00D31344">
        <w:t>ed</w:t>
      </w:r>
      <w:r w:rsidRPr="00D31344">
        <w:t xml:space="preserve"> that </w:t>
      </w:r>
      <w:r w:rsidR="00172A5D" w:rsidRPr="00D31344">
        <w:t>section 7465(c)(4)</w:t>
      </w:r>
      <w:r w:rsidR="005D09A2" w:rsidRPr="00D31344">
        <w:t xml:space="preserve"> </w:t>
      </w:r>
      <w:r w:rsidRPr="00D31344">
        <w:t xml:space="preserve">violates this </w:t>
      </w:r>
      <w:r w:rsidR="00172A5D" w:rsidRPr="00D31344">
        <w:t xml:space="preserve">single-subject </w:t>
      </w:r>
      <w:r w:rsidRPr="00D31344">
        <w:t xml:space="preserve">rule because </w:t>
      </w:r>
      <w:r w:rsidR="0008263C" w:rsidRPr="00D31344">
        <w:t>it</w:t>
      </w:r>
      <w:r w:rsidRPr="00D31344">
        <w:t xml:space="preserve"> </w:t>
      </w:r>
      <w:r w:rsidR="006028D3" w:rsidRPr="00D31344">
        <w:t>is not reasonably germane</w:t>
      </w:r>
      <w:r w:rsidRPr="00D31344">
        <w:t xml:space="preserve"> to the </w:t>
      </w:r>
      <w:r w:rsidR="006028D3" w:rsidRPr="00D31344">
        <w:t>purpose</w:t>
      </w:r>
      <w:r w:rsidRPr="00D31344">
        <w:t xml:space="preserve"> of Proposition 22</w:t>
      </w:r>
      <w:r w:rsidR="006028D3" w:rsidRPr="00D31344">
        <w:t xml:space="preserve"> and imposes restrictions not substanti</w:t>
      </w:r>
      <w:r w:rsidR="00271728" w:rsidRPr="00D31344">
        <w:t>vely addressed in the initiative</w:t>
      </w:r>
      <w:r w:rsidRPr="00D31344">
        <w:t xml:space="preserve">.  </w:t>
      </w:r>
      <w:r w:rsidR="00172A5D" w:rsidRPr="00D31344">
        <w:t xml:space="preserve">While directed at only </w:t>
      </w:r>
      <w:r w:rsidR="002D07B7" w:rsidRPr="00D31344">
        <w:t xml:space="preserve">section 7465(c)(4), </w:t>
      </w:r>
      <w:r w:rsidR="00172A5D" w:rsidRPr="00D31344">
        <w:t xml:space="preserve">plaintiffs’ </w:t>
      </w:r>
      <w:r w:rsidR="00271728" w:rsidRPr="00D31344">
        <w:t>challenge</w:t>
      </w:r>
      <w:r w:rsidR="00172A5D" w:rsidRPr="00D31344">
        <w:t xml:space="preserve"> still </w:t>
      </w:r>
      <w:r w:rsidR="00271728" w:rsidRPr="00D31344">
        <w:t xml:space="preserve">aims at the </w:t>
      </w:r>
      <w:r w:rsidR="00172A5D" w:rsidRPr="00D31344">
        <w:t xml:space="preserve">complete invalidation </w:t>
      </w:r>
      <w:r w:rsidR="00685FDB" w:rsidRPr="00D31344">
        <w:t xml:space="preserve">of Proposition 22 </w:t>
      </w:r>
      <w:r w:rsidR="006A1720" w:rsidRPr="00D31344">
        <w:t xml:space="preserve">because “when an initiative measure violates the single-subject rule, severance is not an available remedy.”  </w:t>
      </w:r>
      <w:r w:rsidRPr="00D31344">
        <w:t xml:space="preserve">(See </w:t>
      </w:r>
      <w:r w:rsidRPr="00D31344">
        <w:rPr>
          <w:i/>
        </w:rPr>
        <w:t>Senate of</w:t>
      </w:r>
      <w:r w:rsidR="0006237A" w:rsidRPr="00D31344">
        <w:rPr>
          <w:i/>
        </w:rPr>
        <w:t xml:space="preserve"> the</w:t>
      </w:r>
      <w:r w:rsidRPr="00D31344">
        <w:rPr>
          <w:i/>
        </w:rPr>
        <w:t xml:space="preserve"> State of Cal. v. Jones </w:t>
      </w:r>
      <w:r w:rsidRPr="00D31344">
        <w:t>(1999) 21</w:t>
      </w:r>
      <w:r w:rsidR="00972B6E" w:rsidRPr="00D31344">
        <w:t> </w:t>
      </w:r>
      <w:r w:rsidRPr="00D31344">
        <w:t>Cal.4th 1142, 1168.)</w:t>
      </w:r>
    </w:p>
    <w:p w14:paraId="174E1F4E" w14:textId="60AB5D42" w:rsidR="00F90985" w:rsidRPr="00D31344" w:rsidRDefault="00570B35" w:rsidP="004808F0">
      <w:pPr>
        <w:spacing w:line="360" w:lineRule="auto"/>
      </w:pPr>
      <w:r w:rsidRPr="00D31344">
        <w:tab/>
        <w:t xml:space="preserve">The Supreme Court’s “jurisprudence in this area </w:t>
      </w:r>
      <w:r w:rsidRPr="00D31344">
        <w:t>is well developed.”  (</w:t>
      </w:r>
      <w:r w:rsidRPr="00D31344">
        <w:rPr>
          <w:i/>
        </w:rPr>
        <w:t>Briggs, supra</w:t>
      </w:r>
      <w:r w:rsidRPr="00D31344">
        <w:t>, 3</w:t>
      </w:r>
      <w:r w:rsidR="00C53219" w:rsidRPr="00D31344">
        <w:t> </w:t>
      </w:r>
      <w:r w:rsidRPr="00D31344">
        <w:t>Cal.5th at p.</w:t>
      </w:r>
      <w:r w:rsidR="00C53219" w:rsidRPr="00D31344">
        <w:t> </w:t>
      </w:r>
      <w:r w:rsidRPr="00D31344">
        <w:t xml:space="preserve">828.)  It has </w:t>
      </w:r>
      <w:proofErr w:type="gramStart"/>
      <w:r w:rsidRPr="00D31344">
        <w:t>“</w:t>
      </w:r>
      <w:r w:rsidR="00345D03" w:rsidRPr="00D31344">
        <w:t> </w:t>
      </w:r>
      <w:r w:rsidRPr="00D31344">
        <w:t>‘</w:t>
      </w:r>
      <w:proofErr w:type="gramEnd"/>
      <w:r w:rsidRPr="00D31344">
        <w:t>upheld a variety of initiative measures in the face of a single-subject challenge, emphasizing that the initiative process occupies an important and favored status in the California cons</w:t>
      </w:r>
      <w:r w:rsidRPr="00D31344">
        <w:t>titutional scheme and that the single-subject requirement should not be interpreted in an unduly narrow or restrictive fashion that would preclude the use of the initiative process to accomplish comprehensive, broad-based reform in a particular area of pub</w:t>
      </w:r>
      <w:r w:rsidRPr="00D31344">
        <w:t>lic concern.’</w:t>
      </w:r>
      <w:r w:rsidR="00345D03" w:rsidRPr="00D31344">
        <w:t> </w:t>
      </w:r>
      <w:r w:rsidRPr="00D31344">
        <w:t>”  (</w:t>
      </w:r>
      <w:r w:rsidRPr="00D31344">
        <w:rPr>
          <w:i/>
        </w:rPr>
        <w:t>Ibid</w:t>
      </w:r>
      <w:r w:rsidRPr="00D31344">
        <w:t xml:space="preserve">.)  </w:t>
      </w:r>
      <w:proofErr w:type="gramStart"/>
      <w:r w:rsidRPr="00D31344">
        <w:t>“</w:t>
      </w:r>
      <w:r w:rsidR="00C73556" w:rsidRPr="00D31344">
        <w:t> </w:t>
      </w:r>
      <w:r w:rsidRPr="00D31344">
        <w:t>‘</w:t>
      </w:r>
      <w:proofErr w:type="gramEnd"/>
      <w:r w:rsidRPr="00D31344">
        <w:t xml:space="preserve">[T]he single-subject provision does not require that each of the provisions of a measure effectively interlock in a functional relationship. </w:t>
      </w:r>
      <w:r w:rsidR="00DB5154" w:rsidRPr="00D31344">
        <w:t xml:space="preserve"> </w:t>
      </w:r>
      <w:r w:rsidRPr="00D31344">
        <w:t>[Citation.]</w:t>
      </w:r>
      <w:r w:rsidR="00DB5154" w:rsidRPr="00D31344">
        <w:t xml:space="preserve"> </w:t>
      </w:r>
      <w:r w:rsidRPr="00D31344">
        <w:t xml:space="preserve"> It is enough </w:t>
      </w:r>
      <w:r w:rsidRPr="00D31344">
        <w:lastRenderedPageBreak/>
        <w:t>that the various provisions are reasonably related to a com</w:t>
      </w:r>
      <w:r w:rsidRPr="00D31344">
        <w:t>mon theme or purpose.</w:t>
      </w:r>
      <w:proofErr w:type="gramStart"/>
      <w:r w:rsidRPr="00D31344">
        <w:t>’</w:t>
      </w:r>
      <w:r w:rsidR="00C73556" w:rsidRPr="00D31344">
        <w:t> </w:t>
      </w:r>
      <w:r w:rsidRPr="00D31344">
        <w:t>”</w:t>
      </w:r>
      <w:proofErr w:type="gramEnd"/>
      <w:r w:rsidRPr="00D31344">
        <w:t xml:space="preserve">  (</w:t>
      </w:r>
      <w:r w:rsidRPr="00D31344">
        <w:rPr>
          <w:i/>
        </w:rPr>
        <w:t>Ibid</w:t>
      </w:r>
      <w:r w:rsidRPr="00D31344">
        <w:t>.)  “The ‘reasonably germane’ standard is applied ‘in an accommodating and lenient manner so as not to unduly restrict .</w:t>
      </w:r>
      <w:r w:rsidR="00545887" w:rsidRPr="00D31344">
        <w:t> </w:t>
      </w:r>
      <w:r w:rsidRPr="00D31344">
        <w:t>.</w:t>
      </w:r>
      <w:r w:rsidR="00545887" w:rsidRPr="00D31344">
        <w:t> </w:t>
      </w:r>
      <w:r w:rsidRPr="00D31344">
        <w:t>. the people’s right to package provisions in a single bill or initiative.</w:t>
      </w:r>
      <w:proofErr w:type="gramStart"/>
      <w:r w:rsidRPr="00D31344">
        <w:t>’</w:t>
      </w:r>
      <w:r w:rsidR="00545887" w:rsidRPr="00D31344">
        <w:t> </w:t>
      </w:r>
      <w:r w:rsidRPr="00D31344">
        <w:t>”</w:t>
      </w:r>
      <w:proofErr w:type="gramEnd"/>
      <w:r w:rsidRPr="00D31344">
        <w:t xml:space="preserve">  (</w:t>
      </w:r>
      <w:r w:rsidRPr="00D31344">
        <w:rPr>
          <w:i/>
        </w:rPr>
        <w:t>Id.</w:t>
      </w:r>
      <w:r w:rsidRPr="00D31344">
        <w:t xml:space="preserve"> at p</w:t>
      </w:r>
      <w:r w:rsidR="0053776E" w:rsidRPr="00D31344">
        <w:t>.</w:t>
      </w:r>
      <w:r w:rsidR="00C853EC" w:rsidRPr="00D31344">
        <w:t> </w:t>
      </w:r>
      <w:r w:rsidRPr="00D31344">
        <w:t>829.)</w:t>
      </w:r>
      <w:r w:rsidR="005D2195" w:rsidRPr="00D31344">
        <w:t xml:space="preserve"> </w:t>
      </w:r>
    </w:p>
    <w:p w14:paraId="359925EF" w14:textId="5EB33A50" w:rsidR="00BD58B5" w:rsidRPr="00D31344" w:rsidRDefault="00570B35" w:rsidP="00B97EFF">
      <w:pPr>
        <w:spacing w:line="360" w:lineRule="auto"/>
      </w:pPr>
      <w:r w:rsidRPr="00D31344">
        <w:tab/>
      </w:r>
      <w:r w:rsidR="006B22BA" w:rsidRPr="00D31344">
        <w:t xml:space="preserve">Section 7465 </w:t>
      </w:r>
      <w:r w:rsidR="00D51FE1" w:rsidRPr="00D31344">
        <w:t xml:space="preserve">is the only statutory section in </w:t>
      </w:r>
      <w:r w:rsidRPr="00D31344">
        <w:t xml:space="preserve">the </w:t>
      </w:r>
      <w:r w:rsidR="00C274E8" w:rsidRPr="00D31344">
        <w:t xml:space="preserve">article </w:t>
      </w:r>
      <w:r w:rsidR="00066214" w:rsidRPr="00D31344">
        <w:t>titled “Amendment</w:t>
      </w:r>
      <w:r w:rsidRPr="00D31344">
        <w:t>.</w:t>
      </w:r>
      <w:r w:rsidR="00066214" w:rsidRPr="00D31344">
        <w:t xml:space="preserve">”  </w:t>
      </w:r>
      <w:r w:rsidR="00D51FE1" w:rsidRPr="00D31344">
        <w:t xml:space="preserve">Subdivision (a) of section 7465 allows the Legislature to amend </w:t>
      </w:r>
      <w:r w:rsidRPr="00D31344">
        <w:t>Proposition 22</w:t>
      </w:r>
      <w:r w:rsidR="00D51FE1" w:rsidRPr="00D31344">
        <w:t xml:space="preserve"> under certain conditions, </w:t>
      </w:r>
      <w:r w:rsidRPr="00D31344">
        <w:t>including</w:t>
      </w:r>
      <w:r w:rsidR="00D51FE1" w:rsidRPr="00D31344">
        <w:t xml:space="preserve"> that any amendments </w:t>
      </w:r>
      <w:r w:rsidR="003336CA" w:rsidRPr="00D31344">
        <w:t xml:space="preserve">must be enacted by a seven-eighths majority and </w:t>
      </w:r>
      <w:r w:rsidR="00D51FE1" w:rsidRPr="00D31344">
        <w:t xml:space="preserve">must further the purpose of the initiative.  (§ 7465, </w:t>
      </w:r>
      <w:proofErr w:type="spellStart"/>
      <w:r w:rsidR="00D51FE1" w:rsidRPr="00D31344">
        <w:t>subd</w:t>
      </w:r>
      <w:proofErr w:type="spellEnd"/>
      <w:r w:rsidR="00D51FE1" w:rsidRPr="00D31344">
        <w:t>.</w:t>
      </w:r>
      <w:r w:rsidR="00A36EE4" w:rsidRPr="00D31344">
        <w:t> </w:t>
      </w:r>
      <w:r w:rsidR="00D51FE1" w:rsidRPr="00D31344">
        <w:t>(a).)</w:t>
      </w:r>
      <w:r w:rsidR="006C663D" w:rsidRPr="00D31344">
        <w:t xml:space="preserve"> </w:t>
      </w:r>
      <w:r w:rsidR="00D51FE1" w:rsidRPr="00D31344">
        <w:t xml:space="preserve"> </w:t>
      </w:r>
      <w:r w:rsidR="00882E77" w:rsidRPr="00D31344">
        <w:t>U</w:t>
      </w:r>
      <w:r w:rsidR="00D91BE6" w:rsidRPr="00D31344">
        <w:t>nder</w:t>
      </w:r>
      <w:r w:rsidR="00474C46" w:rsidRPr="00D31344">
        <w:t xml:space="preserve"> the Constitution, the Legislature may also amend an initiative statute if the voters subsequently approve it.  (Cal. Const., art.</w:t>
      </w:r>
      <w:r w:rsidR="00CA6681" w:rsidRPr="00D31344">
        <w:t> </w:t>
      </w:r>
      <w:r w:rsidR="00474C46" w:rsidRPr="00D31344">
        <w:t xml:space="preserve">II, § 10, </w:t>
      </w:r>
      <w:proofErr w:type="spellStart"/>
      <w:r w:rsidR="00474C46" w:rsidRPr="00D31344">
        <w:t>subd</w:t>
      </w:r>
      <w:proofErr w:type="spellEnd"/>
      <w:r w:rsidR="00474C46" w:rsidRPr="00D31344">
        <w:t>.</w:t>
      </w:r>
      <w:r w:rsidR="00CA6681" w:rsidRPr="00D31344">
        <w:t> </w:t>
      </w:r>
      <w:r w:rsidR="00474C46" w:rsidRPr="00D31344">
        <w:t xml:space="preserve">(c).)  </w:t>
      </w:r>
    </w:p>
    <w:p w14:paraId="00321D5F" w14:textId="57595DCD" w:rsidR="006C01D6" w:rsidRPr="00D31344" w:rsidRDefault="00570B35" w:rsidP="00B97EFF">
      <w:pPr>
        <w:spacing w:line="360" w:lineRule="auto"/>
      </w:pPr>
      <w:r w:rsidRPr="00D31344">
        <w:tab/>
      </w:r>
      <w:r w:rsidR="006C663D" w:rsidRPr="00D31344">
        <w:t>Section 7465(c)(4)</w:t>
      </w:r>
      <w:r w:rsidR="006B22BA" w:rsidRPr="00D31344">
        <w:t xml:space="preserve"> </w:t>
      </w:r>
      <w:r w:rsidR="00D51FE1" w:rsidRPr="00D31344">
        <w:t xml:space="preserve">defines a </w:t>
      </w:r>
      <w:r w:rsidRPr="00D31344">
        <w:t xml:space="preserve">specific </w:t>
      </w:r>
      <w:r w:rsidR="00D51FE1" w:rsidRPr="00D31344">
        <w:t xml:space="preserve">type of legislation that </w:t>
      </w:r>
      <w:r w:rsidR="00D946F0" w:rsidRPr="00D31344">
        <w:t xml:space="preserve">would </w:t>
      </w:r>
      <w:r w:rsidR="00D51FE1" w:rsidRPr="00D31344">
        <w:t>constitute an amendment</w:t>
      </w:r>
      <w:r w:rsidRPr="00D31344">
        <w:t xml:space="preserve"> of Proposition 22</w:t>
      </w:r>
      <w:r w:rsidR="00D51FE1" w:rsidRPr="00D31344">
        <w:t xml:space="preserve">, stating, </w:t>
      </w:r>
      <w:r w:rsidR="006B22BA" w:rsidRPr="00D31344">
        <w:t>“Any statute that authorizes any entity or organization to represent the interests of app-based drivers in connection with driver</w:t>
      </w:r>
      <w:r w:rsidR="00CA6681" w:rsidRPr="00D31344">
        <w:t>s</w:t>
      </w:r>
      <w:r w:rsidR="003B664F" w:rsidRPr="00D31344">
        <w:t>’</w:t>
      </w:r>
      <w:r w:rsidR="006B22BA" w:rsidRPr="00D31344">
        <w:t xml:space="preserve"> contractual relationships with network companies, or drivers’ compensation, benefits, or working conditions, constitutes an amendment” </w:t>
      </w:r>
      <w:r w:rsidR="00474C46" w:rsidRPr="00D31344">
        <w:t>to the initiative</w:t>
      </w:r>
      <w:r w:rsidR="006B22BA" w:rsidRPr="00D31344">
        <w:t>.</w:t>
      </w:r>
      <w:r w:rsidR="0008498B" w:rsidRPr="00D31344">
        <w:t xml:space="preserve"> </w:t>
      </w:r>
      <w:r w:rsidR="006B22BA" w:rsidRPr="00D31344">
        <w:t xml:space="preserve"> Section 7465(c)(4)’s language is broad, but it is undisputed that</w:t>
      </w:r>
      <w:r w:rsidRPr="00D31344">
        <w:t xml:space="preserve"> if the Legislature</w:t>
      </w:r>
      <w:r w:rsidRPr="00D31344">
        <w:t xml:space="preserve"> seeks to enact a law allowing app-based drivers to collectively bargain, it must </w:t>
      </w:r>
      <w:r w:rsidR="00474C46" w:rsidRPr="00D31344">
        <w:t>comply with the requirements for amendments to the initiative</w:t>
      </w:r>
      <w:r w:rsidR="006B22BA" w:rsidRPr="00D31344">
        <w:t xml:space="preserve">.  Such a </w:t>
      </w:r>
      <w:r w:rsidR="00D946F0" w:rsidRPr="00D31344">
        <w:t xml:space="preserve">legislative enactment </w:t>
      </w:r>
      <w:r w:rsidR="006B22BA" w:rsidRPr="00D31344">
        <w:t>would be necessary for drivers to collectively bargain because antitrust law prevents independent contractors from doing so unless they obtain specific state authorization.  (</w:t>
      </w:r>
      <w:r w:rsidR="006B22BA" w:rsidRPr="00D31344">
        <w:rPr>
          <w:i/>
        </w:rPr>
        <w:t xml:space="preserve">Chamber of Commerce of the USA v. City of </w:t>
      </w:r>
      <w:r w:rsidR="006B22BA" w:rsidRPr="00D31344">
        <w:rPr>
          <w:i/>
        </w:rPr>
        <w:lastRenderedPageBreak/>
        <w:t>Seattle</w:t>
      </w:r>
      <w:r w:rsidR="006B22BA" w:rsidRPr="00D31344">
        <w:t xml:space="preserve"> (9th Cir. 2018) 890</w:t>
      </w:r>
      <w:r w:rsidR="006F3586" w:rsidRPr="00D31344">
        <w:t> </w:t>
      </w:r>
      <w:r w:rsidR="006B22BA" w:rsidRPr="00D31344">
        <w:t>F.3d 769, 780–790 (</w:t>
      </w:r>
      <w:r w:rsidR="006B22BA" w:rsidRPr="00D31344">
        <w:rPr>
          <w:i/>
        </w:rPr>
        <w:t>Chamber of Commerce</w:t>
      </w:r>
      <w:r w:rsidR="006B22BA" w:rsidRPr="00D31344">
        <w:t>); 15</w:t>
      </w:r>
      <w:r w:rsidR="006F3586" w:rsidRPr="00D31344">
        <w:t> </w:t>
      </w:r>
      <w:r w:rsidR="006B22BA" w:rsidRPr="00D31344">
        <w:t>U.S.C. § 17.)</w:t>
      </w:r>
    </w:p>
    <w:p w14:paraId="3ADE8E9D" w14:textId="1A70613C" w:rsidR="006C01D6" w:rsidRPr="00D31344" w:rsidRDefault="00570B35" w:rsidP="004808F0">
      <w:pPr>
        <w:spacing w:line="360" w:lineRule="auto"/>
      </w:pPr>
      <w:r w:rsidRPr="00D31344">
        <w:tab/>
        <w:t xml:space="preserve">Plaintiffs </w:t>
      </w:r>
      <w:r w:rsidR="00271728" w:rsidRPr="00D31344">
        <w:t>alleged</w:t>
      </w:r>
      <w:r w:rsidRPr="00D31344">
        <w:t xml:space="preserve"> and the trial </w:t>
      </w:r>
      <w:r w:rsidRPr="00D31344">
        <w:t xml:space="preserve">court agreed that </w:t>
      </w:r>
      <w:r w:rsidR="0027290B" w:rsidRPr="00D31344">
        <w:t>section 7465(c)(4)</w:t>
      </w:r>
      <w:r w:rsidRPr="00D31344">
        <w:t xml:space="preserve"> does not relate to the purposes of Proposition 22, </w:t>
      </w:r>
      <w:r w:rsidR="00694E76" w:rsidRPr="00D31344">
        <w:t>as</w:t>
      </w:r>
      <w:r w:rsidR="008256B9" w:rsidRPr="00D31344">
        <w:t xml:space="preserve"> specifically set forth in section 7450:</w:t>
      </w:r>
      <w:r w:rsidRPr="00D31344">
        <w:t xml:space="preserve"> </w:t>
      </w:r>
      <w:r w:rsidR="008256B9" w:rsidRPr="00D31344">
        <w:t xml:space="preserve"> </w:t>
      </w:r>
      <w:r w:rsidRPr="00D31344">
        <w:t xml:space="preserve">protecting app-based drivers’ rights to work as independent contractors, protecting their right to have flexibility in their schedules and locations, offering them new benefits and protections, and improving public safety relating to app-based drivers. </w:t>
      </w:r>
      <w:r w:rsidR="00C22491" w:rsidRPr="00D31344">
        <w:t xml:space="preserve"> </w:t>
      </w:r>
      <w:r w:rsidR="008256B9" w:rsidRPr="00D31344">
        <w:t xml:space="preserve">(§ 7450, </w:t>
      </w:r>
      <w:proofErr w:type="spellStart"/>
      <w:r w:rsidR="008256B9" w:rsidRPr="00D31344">
        <w:t>subds</w:t>
      </w:r>
      <w:proofErr w:type="spellEnd"/>
      <w:r w:rsidR="008256B9" w:rsidRPr="00D31344">
        <w:t>.</w:t>
      </w:r>
      <w:r w:rsidR="0084759F" w:rsidRPr="00D31344">
        <w:t> </w:t>
      </w:r>
      <w:r w:rsidR="008256B9" w:rsidRPr="00D31344">
        <w:t>(a)–(d).)</w:t>
      </w:r>
      <w:r w:rsidR="00F45ABD" w:rsidRPr="00D31344">
        <w:t xml:space="preserve"> </w:t>
      </w:r>
      <w:r w:rsidR="008256B9" w:rsidRPr="00D31344">
        <w:t xml:space="preserve"> </w:t>
      </w:r>
      <w:r w:rsidR="00C22491" w:rsidRPr="00D31344">
        <w:t xml:space="preserve">We conclude to the contrary that </w:t>
      </w:r>
      <w:r w:rsidR="002F41CA" w:rsidRPr="00D31344">
        <w:t xml:space="preserve">section 7465(c)(4) is </w:t>
      </w:r>
      <w:proofErr w:type="gramStart"/>
      <w:r w:rsidR="002F41CA" w:rsidRPr="00D31344">
        <w:t>“ ‘</w:t>
      </w:r>
      <w:proofErr w:type="gramEnd"/>
      <w:r w:rsidR="002F41CA" w:rsidRPr="00D31344">
        <w:t xml:space="preserve">reasonably related to a common theme or purpose’ ” of the initiative and </w:t>
      </w:r>
      <w:r w:rsidR="008256B9" w:rsidRPr="00D31344">
        <w:t xml:space="preserve">thus </w:t>
      </w:r>
      <w:r w:rsidR="002F41CA" w:rsidRPr="00D31344">
        <w:t>satisfies the single-subject rule, given the accommodating and lenient fashion in which the Supreme Court has instructed us to apply it.  (</w:t>
      </w:r>
      <w:r w:rsidR="002F41CA" w:rsidRPr="00D31344">
        <w:rPr>
          <w:i/>
        </w:rPr>
        <w:t>Briggs</w:t>
      </w:r>
      <w:r w:rsidR="002F41CA" w:rsidRPr="00D31344">
        <w:t xml:space="preserve">, </w:t>
      </w:r>
      <w:r w:rsidR="002F41CA" w:rsidRPr="00D31344">
        <w:rPr>
          <w:i/>
        </w:rPr>
        <w:t>supra</w:t>
      </w:r>
      <w:r w:rsidR="002F41CA" w:rsidRPr="00D31344">
        <w:t>, 3</w:t>
      </w:r>
      <w:r w:rsidR="00AA2D2A" w:rsidRPr="00D31344">
        <w:t> </w:t>
      </w:r>
      <w:r w:rsidR="002F41CA" w:rsidRPr="00D31344">
        <w:t>Cal.5th at p.</w:t>
      </w:r>
      <w:r w:rsidR="00B17DB7" w:rsidRPr="00D31344">
        <w:t> </w:t>
      </w:r>
      <w:r w:rsidR="002F41CA" w:rsidRPr="00D31344">
        <w:t>828.)</w:t>
      </w:r>
    </w:p>
    <w:p w14:paraId="022461B3" w14:textId="43E0FC0C" w:rsidR="00E977AE" w:rsidRPr="00D31344" w:rsidRDefault="00570B35" w:rsidP="002A074A">
      <w:pPr>
        <w:spacing w:line="360" w:lineRule="auto"/>
      </w:pPr>
      <w:r w:rsidRPr="00D31344">
        <w:tab/>
        <w:t xml:space="preserve">Proposition 22’s </w:t>
      </w:r>
      <w:r w:rsidR="00D946F0" w:rsidRPr="00D31344">
        <w:t xml:space="preserve">common </w:t>
      </w:r>
      <w:r w:rsidRPr="00D31344">
        <w:t>theme or purpose is</w:t>
      </w:r>
      <w:r w:rsidR="00D42994" w:rsidRPr="00D31344">
        <w:t xml:space="preserve">, as </w:t>
      </w:r>
      <w:r w:rsidR="00821BB2" w:rsidRPr="00D31344">
        <w:t>i</w:t>
      </w:r>
      <w:r w:rsidR="00D42994" w:rsidRPr="00D31344">
        <w:t xml:space="preserve">nterveners argue, </w:t>
      </w:r>
      <w:r w:rsidR="00CF38A8" w:rsidRPr="00D31344">
        <w:t>the creation</w:t>
      </w:r>
      <w:r w:rsidRPr="00D31344">
        <w:t xml:space="preserve"> of a new </w:t>
      </w:r>
      <w:r w:rsidR="006E5A8D" w:rsidRPr="00D31344">
        <w:t>balance</w:t>
      </w:r>
      <w:r w:rsidRPr="00D31344">
        <w:t xml:space="preserve"> of benefits and obligations for app-based drivers </w:t>
      </w:r>
      <w:r w:rsidR="00D946F0" w:rsidRPr="00D31344">
        <w:t xml:space="preserve">in lieu of either </w:t>
      </w:r>
      <w:r w:rsidRPr="00D31344">
        <w:t>tradition</w:t>
      </w:r>
      <w:r w:rsidRPr="00D31344">
        <w:t>al employment or traditional independent contractor status.  Section 7465(c)(4)</w:t>
      </w:r>
      <w:r w:rsidR="002E211E" w:rsidRPr="00D31344">
        <w:t xml:space="preserve"> </w:t>
      </w:r>
      <w:r w:rsidR="0001278A" w:rsidRPr="00D31344">
        <w:t>is reasonably germane to this subject because it</w:t>
      </w:r>
      <w:r w:rsidR="00D42994" w:rsidRPr="00D31344">
        <w:t xml:space="preserve"> </w:t>
      </w:r>
      <w:r w:rsidR="00D946F0" w:rsidRPr="00D31344">
        <w:t>relates to</w:t>
      </w:r>
      <w:r w:rsidR="009D4B84" w:rsidRPr="00D31344">
        <w:t xml:space="preserve"> drivers</w:t>
      </w:r>
      <w:r w:rsidR="00D946F0" w:rsidRPr="00D31344">
        <w:t>’ ability</w:t>
      </w:r>
      <w:r w:rsidR="009D4B84" w:rsidRPr="00D31344">
        <w:t xml:space="preserve"> to change </w:t>
      </w:r>
      <w:r w:rsidR="00474C46" w:rsidRPr="00D31344">
        <w:t>that</w:t>
      </w:r>
      <w:r w:rsidR="009D4B84" w:rsidRPr="00D31344">
        <w:t xml:space="preserve"> </w:t>
      </w:r>
      <w:r w:rsidR="006E5A8D" w:rsidRPr="00D31344">
        <w:t>balance</w:t>
      </w:r>
      <w:r w:rsidR="00606983" w:rsidRPr="00D31344">
        <w:t xml:space="preserve"> by </w:t>
      </w:r>
      <w:r w:rsidR="00931A77" w:rsidRPr="00D31344">
        <w:t>limiting</w:t>
      </w:r>
      <w:r w:rsidR="00D42994" w:rsidRPr="00D31344">
        <w:t xml:space="preserve"> </w:t>
      </w:r>
      <w:r w:rsidRPr="00D31344">
        <w:t>the Legislature</w:t>
      </w:r>
      <w:r w:rsidR="007B462C" w:rsidRPr="00D31344">
        <w:t xml:space="preserve">’s ability </w:t>
      </w:r>
      <w:r w:rsidR="00D946F0" w:rsidRPr="00D31344">
        <w:t xml:space="preserve">to </w:t>
      </w:r>
      <w:r w:rsidR="00606983" w:rsidRPr="00D31344">
        <w:t>authoriz</w:t>
      </w:r>
      <w:r w:rsidR="002F7FEE" w:rsidRPr="00D31344">
        <w:t>e</w:t>
      </w:r>
      <w:r w:rsidR="00606983" w:rsidRPr="00D31344">
        <w:t xml:space="preserve"> collective bargaining</w:t>
      </w:r>
      <w:r w:rsidRPr="00D31344">
        <w:t xml:space="preserve"> over </w:t>
      </w:r>
      <w:r w:rsidR="00B87346" w:rsidRPr="00D31344">
        <w:t>drivers’</w:t>
      </w:r>
      <w:r w:rsidR="00A92FC3" w:rsidRPr="00D31344">
        <w:t xml:space="preserve"> </w:t>
      </w:r>
      <w:r w:rsidRPr="00D31344">
        <w:t xml:space="preserve">compensation, benefits, or working conditions.  </w:t>
      </w:r>
      <w:r w:rsidR="00B87346" w:rsidRPr="00D31344">
        <w:t xml:space="preserve">Stated </w:t>
      </w:r>
      <w:r w:rsidR="00D17AC9" w:rsidRPr="00D31344">
        <w:t>slightly more generally</w:t>
      </w:r>
      <w:r w:rsidR="00B87346" w:rsidRPr="00D31344">
        <w:t xml:space="preserve">, </w:t>
      </w:r>
      <w:r w:rsidR="000E380C" w:rsidRPr="00D31344">
        <w:t>Proposition 22’s overarching single subject is regulation of the relationship</w:t>
      </w:r>
      <w:r w:rsidR="00CF3053" w:rsidRPr="00D31344">
        <w:t>s</w:t>
      </w:r>
      <w:r w:rsidR="000E380C" w:rsidRPr="00D31344">
        <w:t xml:space="preserve"> between app-based drivers and </w:t>
      </w:r>
      <w:r w:rsidR="00335265" w:rsidRPr="00D31344">
        <w:t>network</w:t>
      </w:r>
      <w:r w:rsidR="000E380C" w:rsidRPr="00D31344">
        <w:t xml:space="preserve"> companies, and section 7465(c)(4)</w:t>
      </w:r>
      <w:r w:rsidR="00753B45" w:rsidRPr="00D31344">
        <w:t>’s</w:t>
      </w:r>
      <w:r w:rsidR="000E380C" w:rsidRPr="00D31344">
        <w:t xml:space="preserve"> </w:t>
      </w:r>
      <w:r w:rsidR="00931A77" w:rsidRPr="00D31344">
        <w:t>restrictions</w:t>
      </w:r>
      <w:r w:rsidR="00753B45" w:rsidRPr="00D31344">
        <w:t xml:space="preserve"> on the Legislature’s ability to allow </w:t>
      </w:r>
      <w:r w:rsidR="007306A0" w:rsidRPr="00D31344">
        <w:t xml:space="preserve">drivers to </w:t>
      </w:r>
      <w:r w:rsidR="00753B45" w:rsidRPr="00D31344">
        <w:t>collective</w:t>
      </w:r>
      <w:r w:rsidR="007306A0" w:rsidRPr="00D31344">
        <w:t>ly</w:t>
      </w:r>
      <w:r w:rsidR="00753B45" w:rsidRPr="00D31344">
        <w:t xml:space="preserve"> bargain </w:t>
      </w:r>
      <w:r w:rsidR="004A64E9" w:rsidRPr="00D31344">
        <w:t>relate to th</w:t>
      </w:r>
      <w:r w:rsidR="00CF3053" w:rsidRPr="00D31344">
        <w:t>ose</w:t>
      </w:r>
      <w:r w:rsidR="004A64E9" w:rsidRPr="00D31344">
        <w:t xml:space="preserve"> relationship</w:t>
      </w:r>
      <w:r w:rsidR="00CF3053" w:rsidRPr="00D31344">
        <w:t>s</w:t>
      </w:r>
      <w:r w:rsidR="004A64E9" w:rsidRPr="00D31344">
        <w:t>.</w:t>
      </w:r>
      <w:r w:rsidR="00C52249" w:rsidRPr="00D31344">
        <w:t xml:space="preserve"> </w:t>
      </w:r>
    </w:p>
    <w:p w14:paraId="48C4C00E" w14:textId="36F43F43" w:rsidR="00E977AE" w:rsidRPr="00D31344" w:rsidRDefault="00570B35" w:rsidP="00E977AE">
      <w:pPr>
        <w:pStyle w:val="Header"/>
        <w:spacing w:line="360" w:lineRule="auto"/>
      </w:pPr>
      <w:r w:rsidRPr="00D31344">
        <w:lastRenderedPageBreak/>
        <w:tab/>
      </w:r>
      <w:r w:rsidR="00CA0321" w:rsidRPr="00D31344">
        <w:t xml:space="preserve">The trial court took a </w:t>
      </w:r>
      <w:r w:rsidRPr="00D31344">
        <w:t>different approach to the analysis</w:t>
      </w:r>
      <w:r w:rsidR="00425D64" w:rsidRPr="00D31344">
        <w:t>,</w:t>
      </w:r>
      <w:r w:rsidR="00AB3FBA" w:rsidRPr="00D31344">
        <w:t xml:space="preserve"> which plaintiffs support on appeal.</w:t>
      </w:r>
      <w:r w:rsidRPr="00D31344">
        <w:t xml:space="preserve">  Rather than identify</w:t>
      </w:r>
      <w:r w:rsidR="00B62AC3" w:rsidRPr="00D31344">
        <w:t>ing</w:t>
      </w:r>
      <w:r w:rsidRPr="00D31344">
        <w:t xml:space="preserve"> a single purpose for the entire law, </w:t>
      </w:r>
      <w:r w:rsidR="008938A8" w:rsidRPr="00D31344">
        <w:t>plaintiffs</w:t>
      </w:r>
      <w:r w:rsidRPr="00D31344">
        <w:t xml:space="preserve"> recite Proposition 22</w:t>
      </w:r>
      <w:r w:rsidR="006F2F63" w:rsidRPr="00D31344">
        <w:t>’s four declared purposes</w:t>
      </w:r>
      <w:r w:rsidRPr="00D31344">
        <w:t>: classifying drivers as independent contractors, protecting driver independence, providing new bene</w:t>
      </w:r>
      <w:r w:rsidRPr="00D31344">
        <w:t xml:space="preserve">fits, and protecting public safety.  (§ 7450, </w:t>
      </w:r>
      <w:proofErr w:type="spellStart"/>
      <w:r w:rsidRPr="00D31344">
        <w:t>subds</w:t>
      </w:r>
      <w:proofErr w:type="spellEnd"/>
      <w:r w:rsidRPr="00D31344">
        <w:t xml:space="preserve">. (a)–(d).)  </w:t>
      </w:r>
      <w:r w:rsidR="008938A8" w:rsidRPr="00D31344">
        <w:t xml:space="preserve">Like the trial court, they </w:t>
      </w:r>
      <w:r w:rsidR="008A090F" w:rsidRPr="00D31344">
        <w:t xml:space="preserve">point out that section 7465(c)(4)’s restrictions on </w:t>
      </w:r>
      <w:r w:rsidR="00CA51A8" w:rsidRPr="00D31344">
        <w:t xml:space="preserve">the enactment of laws allowing </w:t>
      </w:r>
      <w:r w:rsidR="008A090F" w:rsidRPr="00D31344">
        <w:t xml:space="preserve">collective bargaining </w:t>
      </w:r>
      <w:proofErr w:type="gramStart"/>
      <w:r w:rsidR="008A090F" w:rsidRPr="00D31344">
        <w:t>have</w:t>
      </w:r>
      <w:proofErr w:type="gramEnd"/>
      <w:r w:rsidR="008A090F" w:rsidRPr="00D31344">
        <w:t xml:space="preserve"> no relationship to the rest of the initiative’s sections and are not necessary to achieve </w:t>
      </w:r>
      <w:r w:rsidR="00EB7908" w:rsidRPr="00D31344">
        <w:t>its</w:t>
      </w:r>
      <w:r w:rsidR="008A090F" w:rsidRPr="00D31344">
        <w:t xml:space="preserve"> four </w:t>
      </w:r>
      <w:r w:rsidR="00841A34" w:rsidRPr="00D31344">
        <w:t xml:space="preserve">stated </w:t>
      </w:r>
      <w:r w:rsidR="008A090F" w:rsidRPr="00D31344">
        <w:t xml:space="preserve">purposes.  </w:t>
      </w:r>
      <w:r w:rsidR="00594B20" w:rsidRPr="00D31344">
        <w:t>Plaintiffs</w:t>
      </w:r>
      <w:r w:rsidRPr="00D31344">
        <w:t xml:space="preserve"> resist </w:t>
      </w:r>
      <w:r w:rsidR="00715130" w:rsidRPr="00D31344">
        <w:t>i</w:t>
      </w:r>
      <w:r w:rsidRPr="00D31344">
        <w:t>nterveners’</w:t>
      </w:r>
      <w:r w:rsidR="00EB7908" w:rsidRPr="00D31344">
        <w:t xml:space="preserve"> de</w:t>
      </w:r>
      <w:r w:rsidR="00F836DC" w:rsidRPr="00D31344">
        <w:t>finition</w:t>
      </w:r>
      <w:r w:rsidR="00DC7B61" w:rsidRPr="00D31344">
        <w:t xml:space="preserve"> of</w:t>
      </w:r>
      <w:r w:rsidRPr="00D31344">
        <w:t xml:space="preserve"> Proposition 22</w:t>
      </w:r>
      <w:r w:rsidR="00DC7B61" w:rsidRPr="00D31344">
        <w:t>’s purpose</w:t>
      </w:r>
      <w:r w:rsidRPr="00D31344">
        <w:t xml:space="preserve"> as comprehensive reform of app-based drivers’ relationship</w:t>
      </w:r>
      <w:r w:rsidR="00EB7908" w:rsidRPr="00D31344">
        <w:t>s</w:t>
      </w:r>
      <w:r w:rsidRPr="00D31344">
        <w:t xml:space="preserve"> with network companies, arguing that we should rely only on the </w:t>
      </w:r>
      <w:r w:rsidRPr="00D31344">
        <w:t xml:space="preserve">express </w:t>
      </w:r>
      <w:r w:rsidR="00841A34" w:rsidRPr="00D31344">
        <w:t>statements</w:t>
      </w:r>
      <w:r w:rsidRPr="00D31344">
        <w:t xml:space="preserve"> of Proposition 22’s purpose in its title, findings, and declarations.  </w:t>
      </w:r>
    </w:p>
    <w:p w14:paraId="3F08C37D" w14:textId="532BB7E5" w:rsidR="00E977AE" w:rsidRPr="00D31344" w:rsidRDefault="00570B35" w:rsidP="00E977AE">
      <w:pPr>
        <w:pStyle w:val="Header"/>
        <w:spacing w:line="360" w:lineRule="auto"/>
      </w:pPr>
      <w:r w:rsidRPr="00D31344">
        <w:tab/>
      </w:r>
      <w:r w:rsidR="00AD1864" w:rsidRPr="00D31344">
        <w:t xml:space="preserve">Given their </w:t>
      </w:r>
      <w:r w:rsidR="00991281" w:rsidRPr="00D31344">
        <w:t>argument</w:t>
      </w:r>
      <w:r w:rsidR="00AD1864" w:rsidRPr="00D31344">
        <w:t xml:space="preserve"> here, p</w:t>
      </w:r>
      <w:r w:rsidRPr="00D31344">
        <w:t xml:space="preserve">laintiffs are correct that we should draw Proposition 22’s theme or purpose from its stated </w:t>
      </w:r>
      <w:r w:rsidR="00841A34" w:rsidRPr="00D31344">
        <w:t>aims</w:t>
      </w:r>
      <w:r w:rsidRPr="00D31344">
        <w:t xml:space="preserve">, but </w:t>
      </w:r>
      <w:r w:rsidR="0049510A" w:rsidRPr="00D31344">
        <w:t>plaintiffs’</w:t>
      </w:r>
      <w:r w:rsidR="00991281" w:rsidRPr="00D31344">
        <w:t xml:space="preserve"> framing of </w:t>
      </w:r>
      <w:r w:rsidR="0049510A" w:rsidRPr="00D31344">
        <w:t>their</w:t>
      </w:r>
      <w:r w:rsidRPr="00D31344">
        <w:t xml:space="preserve"> singl</w:t>
      </w:r>
      <w:r w:rsidRPr="00D31344">
        <w:t xml:space="preserve">e-subject </w:t>
      </w:r>
      <w:r w:rsidR="00991281" w:rsidRPr="00D31344">
        <w:t>challenge</w:t>
      </w:r>
      <w:r w:rsidRPr="00D31344">
        <w:t xml:space="preserve"> requires us to summarize </w:t>
      </w:r>
      <w:r w:rsidR="00841A34" w:rsidRPr="00D31344">
        <w:t>and</w:t>
      </w:r>
      <w:r w:rsidRPr="00D31344">
        <w:t xml:space="preserve"> </w:t>
      </w:r>
      <w:r w:rsidR="00841A34" w:rsidRPr="00D31344">
        <w:t>derive from</w:t>
      </w:r>
      <w:r w:rsidRPr="00D31344">
        <w:t xml:space="preserve"> </w:t>
      </w:r>
      <w:r w:rsidR="000C36F6" w:rsidRPr="00D31344">
        <w:t>Proposition 22’s</w:t>
      </w:r>
      <w:r w:rsidRPr="00D31344">
        <w:t xml:space="preserve"> multiple purposes a single, overarching theme or </w:t>
      </w:r>
      <w:r w:rsidR="00841A34" w:rsidRPr="00D31344">
        <w:t>purpose</w:t>
      </w:r>
      <w:r w:rsidRPr="00D31344">
        <w:t xml:space="preserve"> against which to measure section 7465(c)(4).  This is how the Supreme Court has conducted </w:t>
      </w:r>
      <w:r w:rsidR="00E57957" w:rsidRPr="00D31344">
        <w:t>the single-subject</w:t>
      </w:r>
      <w:r w:rsidRPr="00D31344">
        <w:t xml:space="preserve"> analysis, </w:t>
      </w:r>
      <w:r w:rsidR="006F2F63" w:rsidRPr="00D31344">
        <w:t>including</w:t>
      </w:r>
      <w:r w:rsidRPr="00D31344">
        <w:t xml:space="preserve"> in the cases that plaintiffs cite in support of their argument.  (</w:t>
      </w:r>
      <w:r w:rsidRPr="00D31344">
        <w:rPr>
          <w:i/>
          <w:iCs/>
        </w:rPr>
        <w:t>Briggs</w:t>
      </w:r>
      <w:r w:rsidRPr="00D31344">
        <w:t xml:space="preserve">, </w:t>
      </w:r>
      <w:r w:rsidRPr="00D31344">
        <w:rPr>
          <w:i/>
          <w:iCs/>
        </w:rPr>
        <w:t>supra</w:t>
      </w:r>
      <w:r w:rsidRPr="00D31344">
        <w:t>, 3</w:t>
      </w:r>
      <w:r w:rsidR="00B83D6D" w:rsidRPr="00D31344">
        <w:t> </w:t>
      </w:r>
      <w:r w:rsidRPr="00D31344">
        <w:t>Cal.5th at p.</w:t>
      </w:r>
      <w:r w:rsidR="00B83D6D" w:rsidRPr="00D31344">
        <w:t> </w:t>
      </w:r>
      <w:r w:rsidRPr="00D31344">
        <w:t xml:space="preserve">831 [identifying </w:t>
      </w:r>
      <w:r w:rsidR="006F2F63" w:rsidRPr="00D31344">
        <w:t xml:space="preserve">initiative’s </w:t>
      </w:r>
      <w:r w:rsidRPr="00D31344">
        <w:t xml:space="preserve">purpose as “an extensive reform of the entire system of capital punishment to make it more efficient, less expensive, and more responsive to the rights of victims”]; </w:t>
      </w:r>
      <w:proofErr w:type="spellStart"/>
      <w:r w:rsidRPr="00D31344">
        <w:rPr>
          <w:i/>
        </w:rPr>
        <w:t>Manduley</w:t>
      </w:r>
      <w:proofErr w:type="spellEnd"/>
      <w:r w:rsidRPr="00D31344">
        <w:rPr>
          <w:i/>
        </w:rPr>
        <w:t xml:space="preserve"> v. Superior Court</w:t>
      </w:r>
      <w:r w:rsidRPr="00D31344">
        <w:t xml:space="preserve"> (2002) 27</w:t>
      </w:r>
      <w:r w:rsidR="007047B8" w:rsidRPr="00D31344">
        <w:t> </w:t>
      </w:r>
      <w:r w:rsidRPr="00D31344">
        <w:t xml:space="preserve">Cal.4th </w:t>
      </w:r>
      <w:r w:rsidR="00183750" w:rsidRPr="00D31344">
        <w:lastRenderedPageBreak/>
        <w:t>537</w:t>
      </w:r>
      <w:r w:rsidRPr="00D31344">
        <w:t>, 576 [“Addressing the problem of juvenil</w:t>
      </w:r>
      <w:r w:rsidRPr="00D31344">
        <w:t xml:space="preserve">e crime and gang-related crime properly can be considered the common purpose of Proposition 21”]; </w:t>
      </w:r>
      <w:r w:rsidRPr="00D31344">
        <w:rPr>
          <w:i/>
        </w:rPr>
        <w:t>Legislature v. Eu</w:t>
      </w:r>
      <w:r w:rsidRPr="00D31344">
        <w:t xml:space="preserve"> (1991) 54</w:t>
      </w:r>
      <w:r w:rsidR="005A19E5" w:rsidRPr="00D31344">
        <w:t> </w:t>
      </w:r>
      <w:r w:rsidRPr="00D31344">
        <w:t xml:space="preserve">Cal.3d 492, 512 [“The unifying theme or common purpose of Proposition 140 is incumbency reform”].)  </w:t>
      </w:r>
      <w:r w:rsidRPr="00D31344">
        <w:rPr>
          <w:i/>
        </w:rPr>
        <w:t>League of Women Voters v. Eu</w:t>
      </w:r>
      <w:r w:rsidRPr="00D31344">
        <w:t xml:space="preserve"> (</w:t>
      </w:r>
      <w:r w:rsidRPr="00D31344">
        <w:t>1992)</w:t>
      </w:r>
      <w:r w:rsidR="00C21072" w:rsidRPr="00D31344">
        <w:t xml:space="preserve"> 7 Cal.App.</w:t>
      </w:r>
      <w:r w:rsidR="009E2591" w:rsidRPr="00D31344">
        <w:t>4th 649,</w:t>
      </w:r>
      <w:r w:rsidRPr="00D31344">
        <w:t xml:space="preserve"> 654–655, which plaintiffs </w:t>
      </w:r>
      <w:r w:rsidR="006F2F63" w:rsidRPr="00D31344">
        <w:t xml:space="preserve">also </w:t>
      </w:r>
      <w:r w:rsidR="00A70C59" w:rsidRPr="00D31344">
        <w:t>claim supports their position</w:t>
      </w:r>
      <w:r w:rsidRPr="00D31344">
        <w:t xml:space="preserve">, compared the process of identifying a measure’s purpose to the arithmetic involved in adding unlike fractions, </w:t>
      </w:r>
      <w:r w:rsidR="00023C94" w:rsidRPr="00D31344">
        <w:t>in that</w:t>
      </w:r>
      <w:r w:rsidRPr="00D31344">
        <w:t xml:space="preserve"> courts should “identify the lowest common denomina</w:t>
      </w:r>
      <w:r w:rsidRPr="00D31344">
        <w:t>tor of the various provisions of the initiative, i.e., the most narrowly defined object or purpose which nevertheless is sufficiently broad to encompass all such provisions.”  (</w:t>
      </w:r>
      <w:r w:rsidRPr="00D31344">
        <w:rPr>
          <w:i/>
          <w:iCs/>
        </w:rPr>
        <w:t xml:space="preserve">Id. </w:t>
      </w:r>
      <w:r w:rsidRPr="00D31344">
        <w:t>at p.</w:t>
      </w:r>
      <w:r w:rsidR="00673E6B" w:rsidRPr="00D31344">
        <w:t> </w:t>
      </w:r>
      <w:r w:rsidRPr="00D31344">
        <w:t>659.)  Such an approach starts with the provisions of an initiative a</w:t>
      </w:r>
      <w:r w:rsidRPr="00D31344">
        <w:t xml:space="preserve">nd </w:t>
      </w:r>
      <w:r w:rsidR="00D1216E" w:rsidRPr="00D31344">
        <w:t>draws</w:t>
      </w:r>
      <w:r w:rsidRPr="00D31344">
        <w:t xml:space="preserve"> from them the overall theme or purpose of the entire measure.</w:t>
      </w:r>
    </w:p>
    <w:p w14:paraId="15D0E418" w14:textId="69026885" w:rsidR="00E977AE" w:rsidRPr="00D31344" w:rsidRDefault="00570B35" w:rsidP="00E977AE">
      <w:pPr>
        <w:pStyle w:val="Header"/>
        <w:spacing w:line="360" w:lineRule="auto"/>
      </w:pPr>
      <w:r w:rsidRPr="00D31344">
        <w:tab/>
        <w:t xml:space="preserve">Plaintiffs’ piecemeal comparison of section 7465(c)(4) to each of the initiative’s separate purposes misses the forest for the trees.  Two of </w:t>
      </w:r>
      <w:r w:rsidR="006F2F63" w:rsidRPr="00D31344">
        <w:t>Proposition 22’s stated purposes</w:t>
      </w:r>
      <w:r w:rsidRPr="00D31344">
        <w:t>, classifi</w:t>
      </w:r>
      <w:r w:rsidRPr="00D31344">
        <w:t xml:space="preserve">cation of drivers as independent contractors and protecting driver independence, relate to each other, but the other two, driver benefits and public safety, do not.  </w:t>
      </w:r>
      <w:r w:rsidR="000D0AB0" w:rsidRPr="00D31344">
        <w:t>(</w:t>
      </w:r>
      <w:r w:rsidR="00DF5614" w:rsidRPr="00D31344">
        <w:t xml:space="preserve">§ 7450, </w:t>
      </w:r>
      <w:proofErr w:type="spellStart"/>
      <w:r w:rsidR="00DF5614" w:rsidRPr="00D31344">
        <w:t>subds</w:t>
      </w:r>
      <w:proofErr w:type="spellEnd"/>
      <w:r w:rsidR="00DF5614" w:rsidRPr="00D31344">
        <w:t>. (a)–(d).</w:t>
      </w:r>
      <w:r w:rsidR="000D0AB0" w:rsidRPr="00D31344">
        <w:t xml:space="preserve">)  </w:t>
      </w:r>
      <w:r w:rsidR="00783328" w:rsidRPr="00D31344">
        <w:t xml:space="preserve">We therefore cannot </w:t>
      </w:r>
      <w:r w:rsidR="005476FD" w:rsidRPr="00D31344">
        <w:t xml:space="preserve">give </w:t>
      </w:r>
      <w:r w:rsidRPr="00D31344">
        <w:t xml:space="preserve">each of these </w:t>
      </w:r>
      <w:proofErr w:type="gramStart"/>
      <w:r w:rsidRPr="00D31344">
        <w:t>purposes</w:t>
      </w:r>
      <w:proofErr w:type="gramEnd"/>
      <w:r w:rsidRPr="00D31344">
        <w:t xml:space="preserve"> equal significance, </w:t>
      </w:r>
      <w:r w:rsidR="005476FD" w:rsidRPr="00D31344">
        <w:t xml:space="preserve">as plaintiffs </w:t>
      </w:r>
      <w:r w:rsidR="00EA29F7" w:rsidRPr="00D31344">
        <w:t>urge us to do</w:t>
      </w:r>
      <w:r w:rsidR="005476FD" w:rsidRPr="00D31344">
        <w:t xml:space="preserve">, </w:t>
      </w:r>
      <w:r w:rsidR="00783328" w:rsidRPr="00D31344">
        <w:t xml:space="preserve">because </w:t>
      </w:r>
      <w:r w:rsidR="00841A34" w:rsidRPr="00D31344">
        <w:t xml:space="preserve">doing so </w:t>
      </w:r>
      <w:r w:rsidRPr="00D31344">
        <w:t xml:space="preserve">would </w:t>
      </w:r>
      <w:r w:rsidR="005476FD" w:rsidRPr="00D31344">
        <w:t xml:space="preserve">mean Proposition 22 </w:t>
      </w:r>
      <w:r w:rsidRPr="00D31344">
        <w:t>has three purposes and therefore three subjects</w:t>
      </w:r>
      <w:r w:rsidR="00783328" w:rsidRPr="00D31344">
        <w:t xml:space="preserve">.  Additionally, </w:t>
      </w:r>
      <w:r w:rsidRPr="00D31344">
        <w:t xml:space="preserve">plaintiffs’ approach would make the </w:t>
      </w:r>
      <w:r w:rsidR="00783328" w:rsidRPr="00D31344">
        <w:t>single</w:t>
      </w:r>
      <w:r w:rsidR="00841A34" w:rsidRPr="00D31344">
        <w:t>-</w:t>
      </w:r>
      <w:r w:rsidR="00783328" w:rsidRPr="00D31344">
        <w:t xml:space="preserve">subject </w:t>
      </w:r>
      <w:r w:rsidRPr="00D31344">
        <w:t>inquiry unworkable.  Initi</w:t>
      </w:r>
      <w:r w:rsidRPr="00D31344">
        <w:t>atives commonly state multiple purposes or motivating concerns, between their titles, preambles, findings, declarations</w:t>
      </w:r>
      <w:r w:rsidR="008B7A1E" w:rsidRPr="00D31344">
        <w:t>, and substantive provisions</w:t>
      </w:r>
      <w:r w:rsidRPr="00D31344">
        <w:t xml:space="preserve">.  Proposition 22 </w:t>
      </w:r>
      <w:r w:rsidRPr="00D31344">
        <w:lastRenderedPageBreak/>
        <w:t>is relatively simple in this regard</w:t>
      </w:r>
      <w:r w:rsidR="006F2F63" w:rsidRPr="00D31344">
        <w:t xml:space="preserve"> with four purposes</w:t>
      </w:r>
      <w:r w:rsidR="00420CF4" w:rsidRPr="00D31344">
        <w:t xml:space="preserve">. </w:t>
      </w:r>
      <w:r w:rsidRPr="00D31344">
        <w:t xml:space="preserve"> </w:t>
      </w:r>
      <w:r w:rsidR="00420CF4" w:rsidRPr="00D31344">
        <w:t>O</w:t>
      </w:r>
      <w:r w:rsidRPr="00D31344">
        <w:t>ther initiatives state many more,</w:t>
      </w:r>
      <w:r w:rsidRPr="00D31344">
        <w:t xml:space="preserve"> like the proposition at issue in </w:t>
      </w:r>
      <w:r w:rsidRPr="00D31344">
        <w:rPr>
          <w:i/>
          <w:iCs/>
        </w:rPr>
        <w:t>Briggs</w:t>
      </w:r>
      <w:r w:rsidRPr="00D31344">
        <w:t xml:space="preserve">, which </w:t>
      </w:r>
      <w:r w:rsidR="003D1B5C" w:rsidRPr="00D31344">
        <w:t>set out</w:t>
      </w:r>
      <w:r w:rsidRPr="00D31344">
        <w:t xml:space="preserve"> 11 findings and declarations.  (</w:t>
      </w:r>
      <w:r w:rsidRPr="00D31344">
        <w:rPr>
          <w:i/>
          <w:iCs/>
        </w:rPr>
        <w:t>Briggs</w:t>
      </w:r>
      <w:r w:rsidRPr="00D31344">
        <w:t xml:space="preserve">, </w:t>
      </w:r>
      <w:r w:rsidRPr="00D31344">
        <w:rPr>
          <w:i/>
          <w:iCs/>
        </w:rPr>
        <w:t>supra</w:t>
      </w:r>
      <w:r w:rsidRPr="00D31344">
        <w:t>, 3</w:t>
      </w:r>
      <w:r w:rsidR="00F15EAA" w:rsidRPr="00D31344">
        <w:t> </w:t>
      </w:r>
      <w:r w:rsidRPr="00D31344">
        <w:t>Cal.5th at p.</w:t>
      </w:r>
      <w:r w:rsidR="00F15EAA" w:rsidRPr="00D31344">
        <w:t> </w:t>
      </w:r>
      <w:r w:rsidRPr="00D31344">
        <w:t>823; Voter Information Guide, Gen. Elec. (Nov.</w:t>
      </w:r>
      <w:r w:rsidR="007C10F8" w:rsidRPr="00D31344">
        <w:t> </w:t>
      </w:r>
      <w:r w:rsidRPr="00D31344">
        <w:t>8, 2016)</w:t>
      </w:r>
      <w:r w:rsidR="003D2E65" w:rsidRPr="00D31344">
        <w:t xml:space="preserve"> text of</w:t>
      </w:r>
      <w:r w:rsidR="0071723A" w:rsidRPr="00D31344">
        <w:t xml:space="preserve"> </w:t>
      </w:r>
      <w:r w:rsidR="00B727B7" w:rsidRPr="00D31344">
        <w:t xml:space="preserve">Prop. </w:t>
      </w:r>
      <w:r w:rsidR="00DF170A" w:rsidRPr="00D31344">
        <w:t>66</w:t>
      </w:r>
      <w:r w:rsidR="00AB53AB" w:rsidRPr="00D31344">
        <w:t>,</w:t>
      </w:r>
      <w:r w:rsidRPr="00D31344">
        <w:t xml:space="preserve"> §</w:t>
      </w:r>
      <w:r w:rsidR="00F15EAA" w:rsidRPr="00D31344">
        <w:t> </w:t>
      </w:r>
      <w:r w:rsidRPr="00D31344">
        <w:t>2, pp.</w:t>
      </w:r>
      <w:r w:rsidR="00F15EAA" w:rsidRPr="00D31344">
        <w:t> </w:t>
      </w:r>
      <w:r w:rsidRPr="00D31344">
        <w:t xml:space="preserve">212–213.)  </w:t>
      </w:r>
      <w:r w:rsidR="00963D24" w:rsidRPr="00D31344">
        <w:t>Eschewing the identification of initiatives’</w:t>
      </w:r>
      <w:r w:rsidRPr="00D31344">
        <w:t xml:space="preserve"> common or dominant purpose</w:t>
      </w:r>
      <w:r w:rsidR="00963D24" w:rsidRPr="00D31344">
        <w:t xml:space="preserve"> and conducting</w:t>
      </w:r>
      <w:r w:rsidRPr="00D31344">
        <w:t xml:space="preserve"> </w:t>
      </w:r>
      <w:r w:rsidR="00DF22AD" w:rsidRPr="00D31344">
        <w:t>a</w:t>
      </w:r>
      <w:r w:rsidRPr="00D31344">
        <w:t xml:space="preserve"> multivariate analysis</w:t>
      </w:r>
      <w:r w:rsidR="00B62AC3" w:rsidRPr="00D31344">
        <w:t xml:space="preserve">, </w:t>
      </w:r>
      <w:r w:rsidR="00DF22AD" w:rsidRPr="00D31344">
        <w:t xml:space="preserve">as </w:t>
      </w:r>
      <w:r w:rsidR="003D1B5C" w:rsidRPr="00D31344">
        <w:t>plaintiffs advocate</w:t>
      </w:r>
      <w:r w:rsidR="00B62AC3" w:rsidRPr="00D31344">
        <w:t>,</w:t>
      </w:r>
      <w:r w:rsidR="003D1B5C" w:rsidRPr="00D31344">
        <w:t xml:space="preserve"> </w:t>
      </w:r>
      <w:r w:rsidR="00901432" w:rsidRPr="00D31344">
        <w:t>is not feasible</w:t>
      </w:r>
      <w:r w:rsidRPr="00D31344">
        <w:t>.</w:t>
      </w:r>
      <w:r w:rsidR="00783328" w:rsidRPr="00D31344">
        <w:t xml:space="preserve">  </w:t>
      </w:r>
      <w:r w:rsidR="00AD1864" w:rsidRPr="00D31344">
        <w:t xml:space="preserve">To assess their claim that section 7465(c)(4) </w:t>
      </w:r>
      <w:r w:rsidR="00814538" w:rsidRPr="00D31344">
        <w:t>represents</w:t>
      </w:r>
      <w:r w:rsidR="00AD1864" w:rsidRPr="00D31344">
        <w:t xml:space="preserve"> a different subject </w:t>
      </w:r>
      <w:r w:rsidR="00814538" w:rsidRPr="00D31344">
        <w:t xml:space="preserve">than </w:t>
      </w:r>
      <w:r w:rsidR="00AD1864" w:rsidRPr="00D31344">
        <w:t>the remainder of the initiative, w</w:t>
      </w:r>
      <w:r w:rsidR="00783328" w:rsidRPr="00D31344">
        <w:t xml:space="preserve">e must elucidate from the </w:t>
      </w:r>
      <w:r w:rsidR="00AD1864" w:rsidRPr="00D31344">
        <w:t xml:space="preserve">initiative’s </w:t>
      </w:r>
      <w:r w:rsidR="00783328" w:rsidRPr="00D31344">
        <w:t>stated purposes a single theme or subject against which we can evaluate section 7465(c)(4).</w:t>
      </w:r>
    </w:p>
    <w:p w14:paraId="09CB1B7A" w14:textId="4F3A9BC4" w:rsidR="00E977AE" w:rsidRPr="00D31344" w:rsidRDefault="00570B35" w:rsidP="00E977AE">
      <w:pPr>
        <w:pStyle w:val="Header"/>
        <w:spacing w:line="360" w:lineRule="auto"/>
      </w:pPr>
      <w:r w:rsidRPr="00D31344">
        <w:tab/>
        <w:t xml:space="preserve">In a fallback argument, plaintiffs contend that even if Proposition 22’s </w:t>
      </w:r>
      <w:r w:rsidR="0009077E" w:rsidRPr="00D31344">
        <w:t xml:space="preserve">theme or </w:t>
      </w:r>
      <w:r w:rsidRPr="00D31344">
        <w:t xml:space="preserve">subject can be isolated from its stated purposes, its </w:t>
      </w:r>
      <w:r w:rsidR="006F2F63" w:rsidRPr="00D31344">
        <w:t>theme</w:t>
      </w:r>
      <w:r w:rsidRPr="00D31344">
        <w:t xml:space="preserve"> </w:t>
      </w:r>
      <w:r w:rsidRPr="00D31344">
        <w:t xml:space="preserve">is the classification of app-based drivers for purposes of employment law and section 7465(c)(4) does not relate to classification.  </w:t>
      </w:r>
      <w:r w:rsidR="00783328" w:rsidRPr="00D31344">
        <w:t>This description of Proposition 22’s subject is too narrow.  Classification is just one of the initiative’s stated purposes, and only t</w:t>
      </w:r>
      <w:r w:rsidRPr="00D31344">
        <w:t xml:space="preserve">wo of </w:t>
      </w:r>
      <w:r w:rsidR="00DB1BFF" w:rsidRPr="00D31344">
        <w:t xml:space="preserve">the </w:t>
      </w:r>
      <w:r w:rsidR="003D1BB2" w:rsidRPr="00D31344">
        <w:t xml:space="preserve">initiative’s </w:t>
      </w:r>
      <w:r w:rsidR="00DB1BFF" w:rsidRPr="00D31344">
        <w:t xml:space="preserve">statutory sections </w:t>
      </w:r>
      <w:r w:rsidRPr="00D31344">
        <w:t xml:space="preserve">relate to </w:t>
      </w:r>
      <w:r w:rsidR="00BC514E" w:rsidRPr="00D31344">
        <w:t>it</w:t>
      </w:r>
      <w:r w:rsidRPr="00D31344">
        <w:t>.  (§§ 7451 [reclassifying drivers], 7452.5 [no</w:t>
      </w:r>
      <w:r w:rsidR="00CA608D" w:rsidRPr="00D31344">
        <w:t xml:space="preserve">thing else in </w:t>
      </w:r>
      <w:r w:rsidR="00DC46EA" w:rsidRPr="00D31344">
        <w:t xml:space="preserve">Proposition 22 </w:t>
      </w:r>
      <w:r w:rsidR="006F2F63" w:rsidRPr="00D31344">
        <w:t xml:space="preserve">should be construed as altering </w:t>
      </w:r>
      <w:r w:rsidRPr="00D31344">
        <w:t>the classification of app-based drivers as independent contractors].)  Most of the</w:t>
      </w:r>
      <w:r w:rsidRPr="00D31344">
        <w:t xml:space="preserve"> rest of the initiative</w:t>
      </w:r>
      <w:r w:rsidR="00BC514E" w:rsidRPr="00D31344">
        <w:t xml:space="preserve">’s statutory sections </w:t>
      </w:r>
      <w:r w:rsidR="00D60F4B" w:rsidRPr="00D31344">
        <w:t>are</w:t>
      </w:r>
      <w:r w:rsidRPr="00D31344">
        <w:t xml:space="preserve"> devoted to </w:t>
      </w:r>
      <w:r w:rsidR="00783328" w:rsidRPr="00D31344">
        <w:t xml:space="preserve">achieving </w:t>
      </w:r>
      <w:r w:rsidR="00613C3F" w:rsidRPr="00D31344">
        <w:t>its</w:t>
      </w:r>
      <w:r w:rsidR="00783328" w:rsidRPr="00D31344">
        <w:t xml:space="preserve"> other stated purposes by </w:t>
      </w:r>
      <w:r w:rsidR="00613C3F" w:rsidRPr="00D31344">
        <w:t>detailing the</w:t>
      </w:r>
      <w:r w:rsidRPr="00D31344">
        <w:t xml:space="preserve"> benefits that app-based drivers must receive and public safety requirements</w:t>
      </w:r>
      <w:r w:rsidR="00467E78" w:rsidRPr="00D31344">
        <w:t xml:space="preserve"> with which they must comply</w:t>
      </w:r>
      <w:r w:rsidRPr="00D31344">
        <w:t xml:space="preserve">.  (§§ 7454–7462.)  </w:t>
      </w:r>
      <w:r w:rsidR="00BC514E" w:rsidRPr="00D31344">
        <w:t>These sections do not relate to classification</w:t>
      </w:r>
      <w:r w:rsidRPr="00D31344">
        <w:t>.</w:t>
      </w:r>
      <w:r w:rsidR="002E5642" w:rsidRPr="00D31344">
        <w:t xml:space="preserve">  Because these provisions represent the bulk of the initiative, </w:t>
      </w:r>
      <w:r w:rsidR="00E27101" w:rsidRPr="00D31344">
        <w:t xml:space="preserve">plaintiffs’ </w:t>
      </w:r>
      <w:r w:rsidR="00E27101" w:rsidRPr="00D31344">
        <w:lastRenderedPageBreak/>
        <w:t xml:space="preserve">statement of the initiative’s overall subject cannot be correct. </w:t>
      </w:r>
      <w:r w:rsidRPr="00D31344">
        <w:t xml:space="preserve"> </w:t>
      </w:r>
      <w:r w:rsidR="00841A34" w:rsidRPr="00D31344">
        <w:t>Moreover</w:t>
      </w:r>
      <w:r w:rsidRPr="00D31344">
        <w:t xml:space="preserve">, </w:t>
      </w:r>
      <w:r w:rsidR="00BC514E" w:rsidRPr="00D31344">
        <w:t xml:space="preserve">even if classification could be said to be Proposition 22’s single subject, </w:t>
      </w:r>
      <w:r w:rsidR="00B62AC3" w:rsidRPr="00D31344">
        <w:t xml:space="preserve">that determination </w:t>
      </w:r>
      <w:r w:rsidR="00BC514E" w:rsidRPr="00D31344">
        <w:t>would not help plaintiff</w:t>
      </w:r>
      <w:r w:rsidR="0052614F" w:rsidRPr="00D31344">
        <w:t>s.</w:t>
      </w:r>
      <w:r w:rsidR="00BC514E" w:rsidRPr="00D31344">
        <w:t xml:space="preserve"> </w:t>
      </w:r>
      <w:r w:rsidR="0052614F" w:rsidRPr="00D31344">
        <w:t xml:space="preserve"> </w:t>
      </w:r>
      <w:r w:rsidR="00BC514E" w:rsidRPr="00D31344">
        <w:t xml:space="preserve">If the initiative’s benefits and public safety requirements sections </w:t>
      </w:r>
      <w:r w:rsidRPr="00D31344">
        <w:t>relate to classification</w:t>
      </w:r>
      <w:r w:rsidR="005C00C9" w:rsidRPr="00D31344">
        <w:t xml:space="preserve"> </w:t>
      </w:r>
      <w:r w:rsidR="00841A34" w:rsidRPr="00D31344">
        <w:t>(</w:t>
      </w:r>
      <w:r w:rsidR="005C00C9" w:rsidRPr="00D31344">
        <w:t>perhaps</w:t>
      </w:r>
      <w:r w:rsidRPr="00D31344">
        <w:t xml:space="preserve"> because they provide benefits and obligations </w:t>
      </w:r>
      <w:r w:rsidR="00841A34" w:rsidRPr="00D31344">
        <w:t>t</w:t>
      </w:r>
      <w:r w:rsidR="00B62AC3" w:rsidRPr="00D31344">
        <w:t>o</w:t>
      </w:r>
      <w:r w:rsidR="00841A34" w:rsidRPr="00D31344">
        <w:t xml:space="preserve"> replace </w:t>
      </w:r>
      <w:r w:rsidRPr="00D31344">
        <w:t xml:space="preserve">those that app-based drivers would </w:t>
      </w:r>
      <w:r w:rsidRPr="00D31344">
        <w:t>have as employees</w:t>
      </w:r>
      <w:r w:rsidR="00841A34" w:rsidRPr="00D31344">
        <w:t>)</w:t>
      </w:r>
      <w:r w:rsidRPr="00D31344">
        <w:t>, then section 7465(c)(4), too, relate</w:t>
      </w:r>
      <w:r w:rsidR="00582F48" w:rsidRPr="00D31344">
        <w:t>s</w:t>
      </w:r>
      <w:r w:rsidRPr="00D31344">
        <w:t xml:space="preserve"> to classification because it concerns </w:t>
      </w:r>
      <w:r w:rsidR="00582F48" w:rsidRPr="00D31344">
        <w:t xml:space="preserve">the </w:t>
      </w:r>
      <w:r w:rsidR="001071E0" w:rsidRPr="00D31344">
        <w:t xml:space="preserve">Legislature’s authority to change the </w:t>
      </w:r>
      <w:r w:rsidR="00582F48" w:rsidRPr="00D31344">
        <w:t xml:space="preserve">procedures by which </w:t>
      </w:r>
      <w:r w:rsidRPr="00D31344">
        <w:t>drivers can increase the replacement benefits.</w:t>
      </w:r>
    </w:p>
    <w:p w14:paraId="4FE9D7FC" w14:textId="1676844C" w:rsidR="00E977AE" w:rsidRPr="00D31344" w:rsidRDefault="00570B35" w:rsidP="00015FEA">
      <w:pPr>
        <w:pStyle w:val="Header"/>
        <w:spacing w:line="360" w:lineRule="auto"/>
      </w:pPr>
      <w:r w:rsidRPr="00D31344">
        <w:tab/>
        <w:t xml:space="preserve">Plaintiffs’ remaining arguments </w:t>
      </w:r>
      <w:r w:rsidR="00496BA6" w:rsidRPr="00D31344">
        <w:t>are unavailing</w:t>
      </w:r>
      <w:r w:rsidRPr="00D31344">
        <w:t>.  F</w:t>
      </w:r>
      <w:r w:rsidRPr="00D31344">
        <w:t xml:space="preserve">irst, they argue that section 7465(c)(4) </w:t>
      </w:r>
      <w:r w:rsidR="00E679C7" w:rsidRPr="00D31344">
        <w:t>restrict</w:t>
      </w:r>
      <w:r w:rsidR="00BC514E" w:rsidRPr="00D31344">
        <w:t>s</w:t>
      </w:r>
      <w:r w:rsidR="00E679C7" w:rsidRPr="00D31344">
        <w:t xml:space="preserve"> </w:t>
      </w:r>
      <w:r w:rsidR="001351AD" w:rsidRPr="00D31344">
        <w:t xml:space="preserve">the Legislature’s power to allow </w:t>
      </w:r>
      <w:r w:rsidR="00E679C7" w:rsidRPr="00D31344">
        <w:t>drivers</w:t>
      </w:r>
      <w:r w:rsidRPr="00D31344">
        <w:t xml:space="preserve"> </w:t>
      </w:r>
      <w:r w:rsidR="0065462B" w:rsidRPr="00D31344">
        <w:t xml:space="preserve">to </w:t>
      </w:r>
      <w:r w:rsidRPr="00D31344">
        <w:t>collective</w:t>
      </w:r>
      <w:r w:rsidR="0065462B" w:rsidRPr="00D31344">
        <w:t>ly</w:t>
      </w:r>
      <w:r w:rsidRPr="00D31344">
        <w:t xml:space="preserve"> bargain even though the rest of the initiative, which plaintiffs describe as its </w:t>
      </w:r>
      <w:r w:rsidR="00B50A3C" w:rsidRPr="00D31344">
        <w:t>“</w:t>
      </w:r>
      <w:r w:rsidRPr="00D31344">
        <w:t>operative</w:t>
      </w:r>
      <w:r w:rsidR="00B50A3C" w:rsidRPr="00D31344">
        <w:t>”</w:t>
      </w:r>
      <w:r w:rsidRPr="00D31344">
        <w:t xml:space="preserve"> provisions, does not mention representation of drivers,</w:t>
      </w:r>
      <w:r w:rsidRPr="00D31344">
        <w:t xml:space="preserve"> either individually or collectively.  We have more to say about the relationship between section 7465(c)(4) and the rest of Proposition 22, </w:t>
      </w:r>
      <w:r w:rsidRPr="00D31344">
        <w:rPr>
          <w:i/>
          <w:iCs/>
        </w:rPr>
        <w:t>post</w:t>
      </w:r>
      <w:r w:rsidRPr="00D31344">
        <w:t xml:space="preserve">, but for purposes of the single-subject rule, plaintiffs’ distinction between </w:t>
      </w:r>
      <w:r w:rsidR="00DF327B" w:rsidRPr="00D31344">
        <w:t xml:space="preserve">section 7465(c)(4) and </w:t>
      </w:r>
      <w:r w:rsidRPr="00D31344">
        <w:t xml:space="preserve">the </w:t>
      </w:r>
      <w:r w:rsidRPr="00D31344">
        <w:t>initiative’s operative provisions is irrelevant.  Plaintiffs cite no authority that requires different provisions of an initiative to cross-reference each other</w:t>
      </w:r>
      <w:r w:rsidR="004D7EEB" w:rsidRPr="00D31344">
        <w:t>, and the law is to the contrary</w:t>
      </w:r>
      <w:r w:rsidRPr="00D31344">
        <w:t xml:space="preserve">.  </w:t>
      </w:r>
      <w:r w:rsidR="00015FEA" w:rsidRPr="00D31344">
        <w:t>“[A] measure’s separate provisions have been considered to be reasonably germane to each other within the meaning of the standard so long as all of the provisions are reasonably germane to a single common theme, purpose, or subject.”</w:t>
      </w:r>
      <w:r w:rsidR="00656A87" w:rsidRPr="00D31344">
        <w:t xml:space="preserve"> </w:t>
      </w:r>
      <w:r w:rsidRPr="00D31344">
        <w:t xml:space="preserve"> </w:t>
      </w:r>
      <w:r w:rsidR="008E5DDE" w:rsidRPr="00D31344">
        <w:t>(</w:t>
      </w:r>
      <w:r w:rsidR="008E5DDE" w:rsidRPr="00D31344">
        <w:rPr>
          <w:i/>
        </w:rPr>
        <w:t>Californians for an Open Primary v. McPherson</w:t>
      </w:r>
      <w:r w:rsidR="008E5DDE" w:rsidRPr="00D31344">
        <w:t xml:space="preserve"> (2006) 38</w:t>
      </w:r>
      <w:r w:rsidR="00B1010B" w:rsidRPr="00D31344">
        <w:t> </w:t>
      </w:r>
      <w:r w:rsidR="008E5DDE" w:rsidRPr="00D31344">
        <w:t>Cal.4th 735, 764, fn.</w:t>
      </w:r>
      <w:r w:rsidR="00B1010B" w:rsidRPr="00D31344">
        <w:t> </w:t>
      </w:r>
      <w:r w:rsidR="008E5DDE" w:rsidRPr="00D31344">
        <w:t>29</w:t>
      </w:r>
      <w:r w:rsidR="000816C2" w:rsidRPr="00D31344">
        <w:t>, italics omitted</w:t>
      </w:r>
      <w:r w:rsidRPr="00D31344">
        <w:t>.)</w:t>
      </w:r>
    </w:p>
    <w:p w14:paraId="590FAF05" w14:textId="5BBE2622" w:rsidR="00E977AE" w:rsidRPr="00D31344" w:rsidRDefault="00570B35" w:rsidP="00E040A4">
      <w:pPr>
        <w:pStyle w:val="Header"/>
        <w:spacing w:line="360" w:lineRule="auto"/>
      </w:pPr>
      <w:r w:rsidRPr="00D31344">
        <w:lastRenderedPageBreak/>
        <w:tab/>
        <w:t>Second, plaintiffs contend</w:t>
      </w:r>
      <w:r w:rsidR="007868F2" w:rsidRPr="00D31344">
        <w:t xml:space="preserve"> that</w:t>
      </w:r>
      <w:r w:rsidRPr="00D31344">
        <w:t xml:space="preserve"> collective bargaining is </w:t>
      </w:r>
      <w:r w:rsidR="00656A87" w:rsidRPr="00D31344">
        <w:t xml:space="preserve">a </w:t>
      </w:r>
      <w:r w:rsidRPr="00D31344">
        <w:t xml:space="preserve">separate </w:t>
      </w:r>
      <w:r w:rsidR="00656A87" w:rsidRPr="00D31344">
        <w:t xml:space="preserve">subject </w:t>
      </w:r>
      <w:r w:rsidRPr="00D31344">
        <w:t>because collective bargaining would not impair drivers’ ability to set their own hours or work independently, and collective bargaining for increased benefits w</w:t>
      </w:r>
      <w:r w:rsidRPr="00D31344">
        <w:t>ould not conflict with the benefits Proposition 22 provides, which are established as minimum benefits.  (See, e.g., §</w:t>
      </w:r>
      <w:r w:rsidR="006A7E29" w:rsidRPr="00D31344">
        <w:t>§</w:t>
      </w:r>
      <w:r w:rsidRPr="00D31344">
        <w:t xml:space="preserve"> 7454, </w:t>
      </w:r>
      <w:proofErr w:type="spellStart"/>
      <w:r w:rsidRPr="00D31344">
        <w:t>subd</w:t>
      </w:r>
      <w:proofErr w:type="spellEnd"/>
      <w:r w:rsidRPr="00D31344">
        <w:t>.</w:t>
      </w:r>
      <w:r w:rsidR="002A18DB" w:rsidRPr="00D31344">
        <w:t> </w:t>
      </w:r>
      <w:r w:rsidRPr="00D31344">
        <w:t>(a)(1)</w:t>
      </w:r>
      <w:proofErr w:type="gramStart"/>
      <w:r w:rsidRPr="00D31344">
        <w:t>–(</w:t>
      </w:r>
      <w:proofErr w:type="gramEnd"/>
      <w:r w:rsidRPr="00D31344">
        <w:t xml:space="preserve">2) [requiring health care subsidy “greater than or equal to” certain reference standards], 7455, </w:t>
      </w:r>
      <w:proofErr w:type="spellStart"/>
      <w:r w:rsidRPr="00D31344">
        <w:t>subd</w:t>
      </w:r>
      <w:proofErr w:type="spellEnd"/>
      <w:r w:rsidRPr="00D31344">
        <w:t>.</w:t>
      </w:r>
      <w:r w:rsidR="0095667C" w:rsidRPr="00D31344">
        <w:t> </w:t>
      </w:r>
      <w:r w:rsidRPr="00D31344">
        <w:t xml:space="preserve">(a) [setting </w:t>
      </w:r>
      <w:r w:rsidRPr="00D31344">
        <w:t xml:space="preserve">“minimum” coverage for insurance].)  But the single-subject test </w:t>
      </w:r>
      <w:r w:rsidR="00AB31DF" w:rsidRPr="00D31344">
        <w:t xml:space="preserve">does not look at </w:t>
      </w:r>
      <w:r w:rsidRPr="00D31344">
        <w:t xml:space="preserve">whether </w:t>
      </w:r>
      <w:r w:rsidR="00AB31DF" w:rsidRPr="00D31344">
        <w:t xml:space="preserve">a provision is </w:t>
      </w:r>
      <w:r w:rsidRPr="00D31344">
        <w:t xml:space="preserve">necessary </w:t>
      </w:r>
      <w:r w:rsidR="00AB31DF" w:rsidRPr="00D31344">
        <w:t>for the rest of an initiative to function</w:t>
      </w:r>
      <w:r w:rsidRPr="00D31344">
        <w:t xml:space="preserve">.  Plaintiffs are in effect seeking to impose a requirement that </w:t>
      </w:r>
      <w:r w:rsidR="009307F3" w:rsidRPr="00D31344">
        <w:t xml:space="preserve">an </w:t>
      </w:r>
      <w:r w:rsidR="00BA41CF" w:rsidRPr="00D31344">
        <w:t>initiative</w:t>
      </w:r>
      <w:r w:rsidR="009307F3" w:rsidRPr="00D31344">
        <w:t>’s</w:t>
      </w:r>
      <w:r w:rsidR="00AF3289" w:rsidRPr="00D31344">
        <w:t xml:space="preserve"> provisions </w:t>
      </w:r>
      <w:r w:rsidR="00BA41CF" w:rsidRPr="00D31344">
        <w:t xml:space="preserve">must </w:t>
      </w:r>
      <w:r w:rsidR="00AF3289" w:rsidRPr="00D31344">
        <w:t xml:space="preserve">all </w:t>
      </w:r>
      <w:r w:rsidR="00D330B2" w:rsidRPr="00D31344">
        <w:t>functionally relate to one another</w:t>
      </w:r>
      <w:r w:rsidR="00A72C59" w:rsidRPr="00D31344">
        <w:t>.  T</w:t>
      </w:r>
      <w:r w:rsidRPr="00D31344">
        <w:t xml:space="preserve">he Supreme Court has </w:t>
      </w:r>
      <w:r w:rsidR="003C1C80" w:rsidRPr="00D31344">
        <w:t>already rejected</w:t>
      </w:r>
      <w:r w:rsidR="00A72C59" w:rsidRPr="00D31344">
        <w:t xml:space="preserve"> this</w:t>
      </w:r>
      <w:r w:rsidR="00BA41CF" w:rsidRPr="00D31344">
        <w:t xml:space="preserve"> argument</w:t>
      </w:r>
      <w:r w:rsidR="003C1C80" w:rsidRPr="00D31344">
        <w:t xml:space="preserve">.  </w:t>
      </w:r>
      <w:r w:rsidRPr="00D31344">
        <w:t>(</w:t>
      </w:r>
      <w:r w:rsidRPr="00D31344">
        <w:rPr>
          <w:i/>
          <w:iCs/>
        </w:rPr>
        <w:t>Briggs</w:t>
      </w:r>
      <w:r w:rsidRPr="00D31344">
        <w:t xml:space="preserve">, </w:t>
      </w:r>
      <w:r w:rsidRPr="00D31344">
        <w:rPr>
          <w:i/>
          <w:iCs/>
        </w:rPr>
        <w:t>supra</w:t>
      </w:r>
      <w:r w:rsidRPr="00D31344">
        <w:t>, 3</w:t>
      </w:r>
      <w:r w:rsidR="005D10D9" w:rsidRPr="00D31344">
        <w:t> </w:t>
      </w:r>
      <w:r w:rsidRPr="00D31344">
        <w:t>Cal.5th at p.</w:t>
      </w:r>
      <w:r w:rsidR="005D10D9" w:rsidRPr="00D31344">
        <w:t> </w:t>
      </w:r>
      <w:r w:rsidRPr="00D31344">
        <w:t>828</w:t>
      </w:r>
      <w:r w:rsidR="003C1C80" w:rsidRPr="00D31344">
        <w:t xml:space="preserve"> </w:t>
      </w:r>
      <w:proofErr w:type="gramStart"/>
      <w:r w:rsidR="003C1C80" w:rsidRPr="00D31344">
        <w:t>[</w:t>
      </w:r>
      <w:r w:rsidR="00E040A4" w:rsidRPr="00D31344">
        <w:t>“ ‘</w:t>
      </w:r>
      <w:proofErr w:type="gramEnd"/>
      <w:r w:rsidR="00E040A4" w:rsidRPr="00D31344">
        <w:t>[T]he single-subject provision does not require that each of the provisions of a measure effectively interlock in a functional relationship’ ”].)</w:t>
      </w:r>
    </w:p>
    <w:p w14:paraId="49BA2FCD" w14:textId="28C9CDFB" w:rsidR="00E977AE" w:rsidRPr="00D31344" w:rsidRDefault="00570B35" w:rsidP="00E977AE">
      <w:pPr>
        <w:pStyle w:val="Header"/>
        <w:spacing w:line="360" w:lineRule="auto"/>
      </w:pPr>
      <w:r w:rsidRPr="00D31344">
        <w:tab/>
        <w:t xml:space="preserve">Third, plaintiffs compare this case to </w:t>
      </w:r>
      <w:r w:rsidRPr="00D31344">
        <w:rPr>
          <w:i/>
        </w:rPr>
        <w:t>California Trial Lawyers Assn. v. Eu</w:t>
      </w:r>
      <w:r w:rsidRPr="00D31344">
        <w:t xml:space="preserve"> (1988) 200</w:t>
      </w:r>
      <w:r w:rsidR="005B5B39" w:rsidRPr="00D31344">
        <w:t> </w:t>
      </w:r>
      <w:r w:rsidRPr="00D31344">
        <w:t>Cal.App.3d 351, 358 (</w:t>
      </w:r>
      <w:r w:rsidRPr="00D31344">
        <w:rPr>
          <w:i/>
        </w:rPr>
        <w:t>Trial</w:t>
      </w:r>
      <w:r w:rsidRPr="00D31344">
        <w:t xml:space="preserve"> </w:t>
      </w:r>
      <w:r w:rsidRPr="00D31344">
        <w:rPr>
          <w:i/>
        </w:rPr>
        <w:t>Lawyers</w:t>
      </w:r>
      <w:r w:rsidRPr="00D31344">
        <w:t>),</w:t>
      </w:r>
      <w:r w:rsidR="007C1920" w:rsidRPr="00D31344">
        <w:t xml:space="preserve"> </w:t>
      </w:r>
      <w:r w:rsidRPr="00D31344">
        <w:t>which held that an initiative violated the single-subject rule</w:t>
      </w:r>
      <w:r w:rsidR="007868F2" w:rsidRPr="00D31344">
        <w:t>.  T</w:t>
      </w:r>
      <w:r w:rsidRPr="00D31344">
        <w:t xml:space="preserve">he comparison is not </w:t>
      </w:r>
      <w:r w:rsidR="008D6D04" w:rsidRPr="00D31344">
        <w:t>apt</w:t>
      </w:r>
      <w:r w:rsidRPr="00D31344">
        <w:t xml:space="preserve">.  </w:t>
      </w:r>
      <w:r w:rsidRPr="00D31344">
        <w:rPr>
          <w:i/>
          <w:iCs/>
        </w:rPr>
        <w:t>Trial La</w:t>
      </w:r>
      <w:r w:rsidRPr="00D31344">
        <w:rPr>
          <w:i/>
          <w:iCs/>
        </w:rPr>
        <w:t>wyers</w:t>
      </w:r>
      <w:r w:rsidRPr="00D31344">
        <w:t xml:space="preserve"> involved a challenge to an initiative titled “Insurance Cost Control Initiative of 1988,” which consisted of 120 pages covering 67 sections.  (</w:t>
      </w:r>
      <w:r w:rsidR="008672CE" w:rsidRPr="00D31344">
        <w:rPr>
          <w:i/>
          <w:iCs/>
        </w:rPr>
        <w:t>Trial Lawyers</w:t>
      </w:r>
      <w:r w:rsidR="00FC7173" w:rsidRPr="00D31344">
        <w:t>,</w:t>
      </w:r>
      <w:r w:rsidRPr="00D31344">
        <w:rPr>
          <w:i/>
          <w:iCs/>
        </w:rPr>
        <w:t xml:space="preserve"> </w:t>
      </w:r>
      <w:r w:rsidRPr="00D31344">
        <w:t>at pp.</w:t>
      </w:r>
      <w:r w:rsidR="00FC7173" w:rsidRPr="00D31344">
        <w:t> </w:t>
      </w:r>
      <w:r w:rsidRPr="00D31344">
        <w:t>354–355.)  The initiative would have created “revolutionary” changes in insurance law</w:t>
      </w:r>
      <w:r w:rsidRPr="00D31344">
        <w:t xml:space="preserve">, including </w:t>
      </w:r>
      <w:r w:rsidR="007868F2" w:rsidRPr="00D31344">
        <w:t>cr</w:t>
      </w:r>
      <w:r w:rsidR="00E6660D" w:rsidRPr="00D31344">
        <w:t>eation of</w:t>
      </w:r>
      <w:r w:rsidR="007868F2" w:rsidRPr="00D31344">
        <w:t xml:space="preserve"> </w:t>
      </w:r>
      <w:r w:rsidRPr="00D31344">
        <w:t>no</w:t>
      </w:r>
      <w:r w:rsidR="007868F2" w:rsidRPr="00D31344">
        <w:t>-</w:t>
      </w:r>
      <w:r w:rsidRPr="00D31344">
        <w:t>fault insurance for auto accidents, limiting recovery for injuries beyond the no</w:t>
      </w:r>
      <w:r w:rsidR="007868F2" w:rsidRPr="00D31344">
        <w:t>-</w:t>
      </w:r>
      <w:r w:rsidRPr="00D31344">
        <w:t xml:space="preserve">fault limits, reducing premiums for certain coverages, and limiting future insurance </w:t>
      </w:r>
      <w:r w:rsidRPr="00D31344">
        <w:lastRenderedPageBreak/>
        <w:t>regulation legislation.  (</w:t>
      </w:r>
      <w:r w:rsidRPr="00D31344">
        <w:rPr>
          <w:i/>
          <w:iCs/>
        </w:rPr>
        <w:t xml:space="preserve">Id. </w:t>
      </w:r>
      <w:r w:rsidRPr="00D31344">
        <w:t xml:space="preserve">at pp. 355–356.)  One </w:t>
      </w:r>
      <w:r w:rsidR="008F6F38" w:rsidRPr="00D31344">
        <w:t>section of the initiative</w:t>
      </w:r>
      <w:r w:rsidRPr="00D31344">
        <w:t xml:space="preserve">, located </w:t>
      </w:r>
      <w:r w:rsidR="008F6F38" w:rsidRPr="00D31344">
        <w:t xml:space="preserve">“inconspicuously” </w:t>
      </w:r>
      <w:r w:rsidRPr="00D31344">
        <w:t xml:space="preserve">at pages 52 and 53 of the measure, would have </w:t>
      </w:r>
      <w:r w:rsidR="008F6F38" w:rsidRPr="00D31344">
        <w:t>enacted a statute providing that public officials would not be required to disqualify themselves from any decisions affecting an insurer’s interests based upon the insurer’s</w:t>
      </w:r>
      <w:r w:rsidRPr="00D31344">
        <w:t xml:space="preserve"> </w:t>
      </w:r>
      <w:r w:rsidR="008F6F38" w:rsidRPr="00D31344">
        <w:t xml:space="preserve">campaign </w:t>
      </w:r>
      <w:r w:rsidRPr="00D31344">
        <w:t>contributions.  (</w:t>
      </w:r>
      <w:r w:rsidRPr="00D31344">
        <w:rPr>
          <w:i/>
          <w:iCs/>
        </w:rPr>
        <w:t xml:space="preserve">Id. </w:t>
      </w:r>
      <w:r w:rsidRPr="00D31344">
        <w:t>at p.</w:t>
      </w:r>
      <w:r w:rsidR="00743E3C" w:rsidRPr="00D31344">
        <w:t> </w:t>
      </w:r>
      <w:r w:rsidRPr="00D31344">
        <w:t>356.)  The court found no possible connection between avoiding such disqualification and the</w:t>
      </w:r>
      <w:r w:rsidR="009D554D" w:rsidRPr="00D31344">
        <w:t xml:space="preserve"> general object and purpose</w:t>
      </w:r>
      <w:r w:rsidRPr="00D31344">
        <w:t xml:space="preserve"> of the initiative.  (</w:t>
      </w:r>
      <w:r w:rsidRPr="00D31344">
        <w:rPr>
          <w:i/>
          <w:iCs/>
        </w:rPr>
        <w:t xml:space="preserve">Id. </w:t>
      </w:r>
      <w:r w:rsidRPr="00D31344">
        <w:t>at p.</w:t>
      </w:r>
      <w:r w:rsidR="00743E3C" w:rsidRPr="00D31344">
        <w:t> </w:t>
      </w:r>
      <w:r w:rsidRPr="00D31344">
        <w:t xml:space="preserve">359.)  The court rejected the initiative supporter’s </w:t>
      </w:r>
      <w:r w:rsidRPr="00D31344">
        <w:t>argument that the provision was germane because both it and the rest of the initiative dealt generally with regulation of insurance industry practices.  (</w:t>
      </w:r>
      <w:r w:rsidRPr="00D31344">
        <w:rPr>
          <w:i/>
          <w:iCs/>
        </w:rPr>
        <w:t xml:space="preserve">Id. </w:t>
      </w:r>
      <w:r w:rsidRPr="00D31344">
        <w:t>at pp.</w:t>
      </w:r>
      <w:r w:rsidR="00743E3C" w:rsidRPr="00D31344">
        <w:t> </w:t>
      </w:r>
      <w:r w:rsidRPr="00D31344">
        <w:t xml:space="preserve">359–360.)  </w:t>
      </w:r>
      <w:r w:rsidR="008F6F38" w:rsidRPr="00D31344">
        <w:t>The court</w:t>
      </w:r>
      <w:r w:rsidRPr="00D31344">
        <w:t xml:space="preserve"> </w:t>
      </w:r>
      <w:r w:rsidR="008F6F38" w:rsidRPr="00D31344">
        <w:t xml:space="preserve">first </w:t>
      </w:r>
      <w:r w:rsidRPr="00D31344">
        <w:t xml:space="preserve">noted that the </w:t>
      </w:r>
      <w:r w:rsidR="008F6F38" w:rsidRPr="00D31344">
        <w:t>express</w:t>
      </w:r>
      <w:r w:rsidRPr="00D31344">
        <w:t xml:space="preserve"> purpose of the initiative was </w:t>
      </w:r>
      <w:r w:rsidR="008F6F38" w:rsidRPr="00D31344">
        <w:t>to</w:t>
      </w:r>
      <w:r w:rsidRPr="00D31344">
        <w:t xml:space="preserve"> control </w:t>
      </w:r>
      <w:r w:rsidRPr="00D31344">
        <w:t>insurance costs.  (</w:t>
      </w:r>
      <w:r w:rsidRPr="00D31344">
        <w:rPr>
          <w:i/>
          <w:iCs/>
        </w:rPr>
        <w:t xml:space="preserve">Id. </w:t>
      </w:r>
      <w:r w:rsidRPr="00D31344">
        <w:t>at p.</w:t>
      </w:r>
      <w:r w:rsidR="00743E3C" w:rsidRPr="00D31344">
        <w:t> </w:t>
      </w:r>
      <w:r w:rsidRPr="00D31344">
        <w:t>360.)  The court further concluded that the supporter’s argument would mean that any two provisions that affected the business of insurance would comply with the single-subject rule, which the court found would</w:t>
      </w:r>
      <w:r w:rsidR="008F6F38" w:rsidRPr="00D31344">
        <w:t xml:space="preserve"> “render </w:t>
      </w:r>
      <w:r w:rsidRPr="00D31344">
        <w:t xml:space="preserve">the </w:t>
      </w:r>
      <w:r w:rsidR="008F6F38" w:rsidRPr="00D31344">
        <w:t xml:space="preserve">constitutional </w:t>
      </w:r>
      <w:r w:rsidRPr="00D31344">
        <w:t xml:space="preserve">single-subject </w:t>
      </w:r>
      <w:r w:rsidR="008F6F38" w:rsidRPr="00D31344">
        <w:t>limitation nugatory.”</w:t>
      </w:r>
      <w:r w:rsidRPr="00D31344">
        <w:t xml:space="preserve">  (</w:t>
      </w:r>
      <w:r w:rsidRPr="00D31344">
        <w:rPr>
          <w:i/>
          <w:iCs/>
        </w:rPr>
        <w:t>Ibid.</w:t>
      </w:r>
      <w:r w:rsidRPr="00D31344">
        <w:t>)</w:t>
      </w:r>
    </w:p>
    <w:p w14:paraId="06C8B546" w14:textId="05B5FCCB" w:rsidR="00E977AE" w:rsidRPr="00D31344" w:rsidRDefault="00570B35" w:rsidP="00E977AE">
      <w:pPr>
        <w:pStyle w:val="Header"/>
        <w:spacing w:line="360" w:lineRule="auto"/>
      </w:pPr>
      <w:r w:rsidRPr="00D31344">
        <w:tab/>
        <w:t xml:space="preserve">Proposition 22 is not </w:t>
      </w:r>
      <w:r w:rsidR="006918F6" w:rsidRPr="00D31344">
        <w:t>like</w:t>
      </w:r>
      <w:r w:rsidRPr="00D31344">
        <w:t xml:space="preserve"> the measure at issue in </w:t>
      </w:r>
      <w:r w:rsidRPr="00D31344">
        <w:rPr>
          <w:i/>
          <w:iCs/>
        </w:rPr>
        <w:t>Trial Lawyers</w:t>
      </w:r>
      <w:r w:rsidRPr="00D31344">
        <w:t>.  The only discernable relationship between the anti-disqualification provision of that initiative and the rest of the measure was th</w:t>
      </w:r>
      <w:r w:rsidRPr="00D31344">
        <w:t>at both had some effect on the business of insurance.  (</w:t>
      </w:r>
      <w:r w:rsidRPr="00D31344">
        <w:rPr>
          <w:i/>
          <w:iCs/>
        </w:rPr>
        <w:t>Trial Lawyers</w:t>
      </w:r>
      <w:r w:rsidRPr="00D31344">
        <w:t xml:space="preserve">, </w:t>
      </w:r>
      <w:r w:rsidRPr="00D31344">
        <w:rPr>
          <w:i/>
          <w:iCs/>
        </w:rPr>
        <w:t>supra</w:t>
      </w:r>
      <w:r w:rsidRPr="00D31344">
        <w:t>, 200</w:t>
      </w:r>
      <w:r w:rsidR="00743E3C" w:rsidRPr="00D31344">
        <w:t> </w:t>
      </w:r>
      <w:r w:rsidRPr="00D31344">
        <w:t>Cal.App.3d at p.</w:t>
      </w:r>
      <w:r w:rsidR="00743E3C" w:rsidRPr="00D31344">
        <w:t> </w:t>
      </w:r>
      <w:r w:rsidRPr="00D31344">
        <w:t>360.)  But as just discussed, section 7465(c)(4) relate</w:t>
      </w:r>
      <w:r w:rsidR="006918F6" w:rsidRPr="00D31344">
        <w:t>s</w:t>
      </w:r>
      <w:r w:rsidRPr="00D31344">
        <w:t xml:space="preserve"> to the rest of Proposition 22 because both concern the subject of app-based drivers’ benefits, with </w:t>
      </w:r>
      <w:r w:rsidRPr="00D31344">
        <w:t xml:space="preserve">the bulk of Proposition 22 establishing that drivers would not receive employee benefits and providing a </w:t>
      </w:r>
      <w:r w:rsidRPr="00D31344">
        <w:lastRenderedPageBreak/>
        <w:t xml:space="preserve">replacement </w:t>
      </w:r>
      <w:r w:rsidR="005D3CA4" w:rsidRPr="00D31344">
        <w:t>set</w:t>
      </w:r>
      <w:r w:rsidRPr="00D31344">
        <w:t xml:space="preserve"> of benefits, and section 7465(c)(4) restricting </w:t>
      </w:r>
      <w:r w:rsidR="004F6545" w:rsidRPr="00D31344">
        <w:t>the Legislature’s ability to all</w:t>
      </w:r>
      <w:r w:rsidRPr="00D31344">
        <w:t xml:space="preserve">ow drivers </w:t>
      </w:r>
      <w:r w:rsidR="004F6545" w:rsidRPr="00D31344">
        <w:t xml:space="preserve">to </w:t>
      </w:r>
      <w:r w:rsidRPr="00D31344">
        <w:t xml:space="preserve">negotiate </w:t>
      </w:r>
      <w:r w:rsidR="004F6545" w:rsidRPr="00D31344">
        <w:t xml:space="preserve">collectively </w:t>
      </w:r>
      <w:r w:rsidRPr="00D31344">
        <w:t xml:space="preserve">to </w:t>
      </w:r>
      <w:r w:rsidR="00E4045E" w:rsidRPr="00D31344">
        <w:t>increase</w:t>
      </w:r>
      <w:r w:rsidRPr="00D31344">
        <w:t xml:space="preserve"> those </w:t>
      </w:r>
      <w:r w:rsidRPr="00D31344">
        <w:t xml:space="preserve">benefits.  Because of the “undeniably liberal nature of the standards which have been formulated” in the Supreme Court’s cases, this </w:t>
      </w:r>
      <w:r w:rsidR="00F41FE1" w:rsidRPr="00D31344">
        <w:t xml:space="preserve">connection </w:t>
      </w:r>
      <w:r w:rsidRPr="00D31344">
        <w:t>is sufficient.  (</w:t>
      </w:r>
      <w:r w:rsidR="00D06234" w:rsidRPr="00D31344">
        <w:rPr>
          <w:i/>
          <w:iCs/>
        </w:rPr>
        <w:t>Trial Lawyers</w:t>
      </w:r>
      <w:r w:rsidR="00DC30DB" w:rsidRPr="00D31344">
        <w:rPr>
          <w:i/>
          <w:iCs/>
        </w:rPr>
        <w:t>,</w:t>
      </w:r>
      <w:r w:rsidRPr="00D31344">
        <w:rPr>
          <w:i/>
          <w:iCs/>
        </w:rPr>
        <w:t xml:space="preserve"> </w:t>
      </w:r>
      <w:r w:rsidRPr="00D31344">
        <w:t>at p.</w:t>
      </w:r>
      <w:r w:rsidR="008C6EB2" w:rsidRPr="00D31344">
        <w:t> </w:t>
      </w:r>
      <w:r w:rsidRPr="00D31344">
        <w:t>359.)</w:t>
      </w:r>
    </w:p>
    <w:p w14:paraId="7C60C6DF" w14:textId="6B4BBC3A" w:rsidR="00C83BF4" w:rsidRPr="00D31344" w:rsidRDefault="00570B35" w:rsidP="00464AEB">
      <w:pPr>
        <w:spacing w:line="360" w:lineRule="auto"/>
      </w:pPr>
      <w:r w:rsidRPr="00D31344">
        <w:tab/>
      </w:r>
      <w:r w:rsidRPr="00D31344">
        <w:t xml:space="preserve">Finally, plaintiffs seek to buttress their arguments by </w:t>
      </w:r>
      <w:r w:rsidR="00997217" w:rsidRPr="00D31344">
        <w:t>pointing out</w:t>
      </w:r>
      <w:r w:rsidRPr="00D31344">
        <w:t xml:space="preserve"> that</w:t>
      </w:r>
      <w:r w:rsidR="00464AEB" w:rsidRPr="00D31344">
        <w:t xml:space="preserve"> the single-subject rule </w:t>
      </w:r>
      <w:r w:rsidR="00F826B0" w:rsidRPr="00D31344">
        <w:t xml:space="preserve">is intended to </w:t>
      </w:r>
      <w:r w:rsidR="00D75AB4" w:rsidRPr="00D31344">
        <w:t xml:space="preserve">avoid </w:t>
      </w:r>
      <w:r w:rsidR="00464AEB" w:rsidRPr="00D31344">
        <w:t>voter confusion</w:t>
      </w:r>
      <w:r w:rsidR="00F826B0" w:rsidRPr="00D31344">
        <w:t xml:space="preserve"> and the exploitation of the initiative process </w:t>
      </w:r>
      <w:r w:rsidR="00D75AB4" w:rsidRPr="00D31344">
        <w:t xml:space="preserve">through the combination of disparate </w:t>
      </w:r>
      <w:r w:rsidR="00F826B0" w:rsidRPr="00D31344">
        <w:t>provisions which might not have commanded majority support if considered separately, which is known as logrolling</w:t>
      </w:r>
      <w:r w:rsidR="00464AEB" w:rsidRPr="00D31344">
        <w:t xml:space="preserve">. </w:t>
      </w:r>
      <w:r w:rsidR="006D2BA4" w:rsidRPr="00D31344">
        <w:t xml:space="preserve"> </w:t>
      </w:r>
      <w:r w:rsidR="00464AEB" w:rsidRPr="00D31344">
        <w:t>(</w:t>
      </w:r>
      <w:r w:rsidR="001E1E56" w:rsidRPr="00D31344">
        <w:rPr>
          <w:i/>
        </w:rPr>
        <w:t>Amador Valley Joint Union High Sch. Dist. v. State Bd. of Equalization</w:t>
      </w:r>
      <w:r w:rsidR="001E1E56" w:rsidRPr="00D31344">
        <w:t xml:space="preserve"> (1978) 22</w:t>
      </w:r>
      <w:r w:rsidR="00A471E5" w:rsidRPr="00D31344">
        <w:t> </w:t>
      </w:r>
      <w:r w:rsidR="001E1E56" w:rsidRPr="00D31344">
        <w:t>Cal.3d 208, 231</w:t>
      </w:r>
      <w:r w:rsidR="00EA1663" w:rsidRPr="00D31344">
        <w:t>–232</w:t>
      </w:r>
      <w:r w:rsidR="001E1E56" w:rsidRPr="00D31344">
        <w:t>.)</w:t>
      </w:r>
      <w:r w:rsidR="00896A2A" w:rsidRPr="00D31344">
        <w:t xml:space="preserve"> </w:t>
      </w:r>
      <w:r w:rsidRPr="00D31344">
        <w:t xml:space="preserve"> </w:t>
      </w:r>
      <w:r w:rsidR="004F62FF" w:rsidRPr="00D31344">
        <w:t xml:space="preserve">However, </w:t>
      </w:r>
      <w:r w:rsidR="008563E1" w:rsidRPr="00D31344">
        <w:t>as plaintiffs admit,</w:t>
      </w:r>
      <w:r w:rsidRPr="00D31344">
        <w:t xml:space="preserve"> voter confusion</w:t>
      </w:r>
      <w:r w:rsidR="00604FB3" w:rsidRPr="00D31344">
        <w:t xml:space="preserve"> and</w:t>
      </w:r>
      <w:r w:rsidRPr="00D31344">
        <w:t xml:space="preserve"> logrolling are not sta</w:t>
      </w:r>
      <w:r w:rsidRPr="00D31344">
        <w:t xml:space="preserve">ndalone bases for invalidating an initiative.  “The single-subject rule is the method by which the state Constitution guards against” those risks, so we </w:t>
      </w:r>
      <w:r w:rsidR="00D572A9" w:rsidRPr="00D31344">
        <w:t xml:space="preserve">may </w:t>
      </w:r>
      <w:r w:rsidRPr="00D31344">
        <w:t xml:space="preserve">examine </w:t>
      </w:r>
      <w:r w:rsidR="00D572A9" w:rsidRPr="00D31344">
        <w:t xml:space="preserve">only </w:t>
      </w:r>
      <w:r w:rsidRPr="00D31344">
        <w:t>whether Proposition 22 satisfies the rule, without also examining whether it satisfies</w:t>
      </w:r>
      <w:r w:rsidRPr="00D31344">
        <w:t xml:space="preserve"> the purposes behind the rule.  (</w:t>
      </w:r>
      <w:r w:rsidRPr="00D31344">
        <w:rPr>
          <w:i/>
        </w:rPr>
        <w:t>Kennedy Wholesale, Inc. v. State Bd. of Equalization</w:t>
      </w:r>
      <w:r w:rsidRPr="00D31344">
        <w:t xml:space="preserve"> (1991) 53</w:t>
      </w:r>
      <w:r w:rsidR="00BE0E4F" w:rsidRPr="00D31344">
        <w:t> </w:t>
      </w:r>
      <w:r w:rsidRPr="00D31344">
        <w:t xml:space="preserve">Cal.3d 245, 255; accord, </w:t>
      </w:r>
      <w:r w:rsidRPr="00D31344">
        <w:rPr>
          <w:i/>
        </w:rPr>
        <w:t>California Gillnetters Assn. v. Department of Fish &amp; Game</w:t>
      </w:r>
      <w:r w:rsidRPr="00D31344">
        <w:t xml:space="preserve"> (1995) 39</w:t>
      </w:r>
      <w:r w:rsidR="00BE0E4F" w:rsidRPr="00D31344">
        <w:t> </w:t>
      </w:r>
      <w:r w:rsidRPr="00D31344">
        <w:t>Cal.App.4th 1145, 1162</w:t>
      </w:r>
      <w:r w:rsidR="00CA5444" w:rsidRPr="00D31344">
        <w:t xml:space="preserve"> &amp; fn.</w:t>
      </w:r>
      <w:r w:rsidR="00BE0E4F" w:rsidRPr="00D31344">
        <w:t> </w:t>
      </w:r>
      <w:r w:rsidR="00CA5444" w:rsidRPr="00D31344">
        <w:t>11</w:t>
      </w:r>
      <w:r w:rsidRPr="00D31344">
        <w:t xml:space="preserve">.)  </w:t>
      </w:r>
      <w:r w:rsidR="005D3CA4" w:rsidRPr="00D31344">
        <w:t>W</w:t>
      </w:r>
      <w:r w:rsidRPr="00D31344">
        <w:t xml:space="preserve">hile </w:t>
      </w:r>
      <w:r w:rsidR="008563E1" w:rsidRPr="00D31344">
        <w:t xml:space="preserve">concerns about voters’ understanding of </w:t>
      </w:r>
      <w:r w:rsidRPr="00D31344">
        <w:t xml:space="preserve">section 7465(c)(4) may bear on our </w:t>
      </w:r>
      <w:r w:rsidR="00FF5412" w:rsidRPr="00D31344">
        <w:t xml:space="preserve">interpretation </w:t>
      </w:r>
      <w:r w:rsidR="00C618A0" w:rsidRPr="00D31344">
        <w:t xml:space="preserve">of the statute for the purposes of plaintiffs’ </w:t>
      </w:r>
      <w:r w:rsidRPr="00D31344">
        <w:t xml:space="preserve">separation of powers </w:t>
      </w:r>
      <w:r w:rsidR="00C618A0" w:rsidRPr="00D31344">
        <w:t>challenge</w:t>
      </w:r>
      <w:r w:rsidRPr="00D31344">
        <w:t>,</w:t>
      </w:r>
      <w:r w:rsidR="00E42670" w:rsidRPr="00D31344">
        <w:t xml:space="preserve"> as we discuss</w:t>
      </w:r>
      <w:r w:rsidRPr="00D31344">
        <w:t xml:space="preserve"> </w:t>
      </w:r>
      <w:r w:rsidRPr="00D31344">
        <w:rPr>
          <w:i/>
          <w:iCs/>
        </w:rPr>
        <w:t>post</w:t>
      </w:r>
      <w:r w:rsidRPr="00D31344">
        <w:t>,</w:t>
      </w:r>
      <w:r w:rsidR="003C3CCF" w:rsidRPr="00D31344">
        <w:t xml:space="preserve"> </w:t>
      </w:r>
      <w:r w:rsidR="00496BA6" w:rsidRPr="00D31344">
        <w:t>these</w:t>
      </w:r>
      <w:r w:rsidRPr="00D31344">
        <w:t xml:space="preserve"> </w:t>
      </w:r>
      <w:r w:rsidR="009A2AD6" w:rsidRPr="00D31344">
        <w:t xml:space="preserve">concerns </w:t>
      </w:r>
      <w:r w:rsidRPr="00D31344">
        <w:t xml:space="preserve">are not sufficient to </w:t>
      </w:r>
      <w:r w:rsidR="003C3CCF" w:rsidRPr="00D31344">
        <w:t xml:space="preserve">rescue plaintiffs’ otherwise </w:t>
      </w:r>
      <w:r w:rsidR="009F158A" w:rsidRPr="00D31344">
        <w:t>unpersuasive</w:t>
      </w:r>
      <w:r w:rsidR="003C3CCF" w:rsidRPr="00D31344">
        <w:t xml:space="preserve"> </w:t>
      </w:r>
      <w:r w:rsidRPr="00D31344">
        <w:t>single-subject rule</w:t>
      </w:r>
      <w:r w:rsidR="003C3CCF" w:rsidRPr="00D31344">
        <w:t xml:space="preserve"> argument</w:t>
      </w:r>
      <w:r w:rsidRPr="00D31344">
        <w:t>.</w:t>
      </w:r>
    </w:p>
    <w:p w14:paraId="4EC9796B" w14:textId="348468D5" w:rsidR="00034046" w:rsidRPr="00D31344" w:rsidRDefault="00570B35" w:rsidP="00E25949">
      <w:pPr>
        <w:pStyle w:val="Header"/>
        <w:keepNext/>
        <w:numPr>
          <w:ilvl w:val="0"/>
          <w:numId w:val="1"/>
        </w:numPr>
        <w:tabs>
          <w:tab w:val="clear" w:pos="4680"/>
          <w:tab w:val="clear" w:pos="9360"/>
        </w:tabs>
        <w:spacing w:line="360" w:lineRule="auto"/>
        <w:rPr>
          <w:b/>
          <w:bCs/>
        </w:rPr>
      </w:pPr>
      <w:r w:rsidRPr="00D31344">
        <w:rPr>
          <w:b/>
          <w:bCs/>
        </w:rPr>
        <w:lastRenderedPageBreak/>
        <w:t>Se</w:t>
      </w:r>
      <w:r w:rsidR="00D51E02" w:rsidRPr="00D31344">
        <w:rPr>
          <w:b/>
          <w:bCs/>
        </w:rPr>
        <w:t>paration of Powers</w:t>
      </w:r>
    </w:p>
    <w:p w14:paraId="3A29D982" w14:textId="1398B99A" w:rsidR="002F5E91" w:rsidRPr="00D31344" w:rsidRDefault="00570B35" w:rsidP="00E44ED2">
      <w:pPr>
        <w:pStyle w:val="Header"/>
        <w:spacing w:line="360" w:lineRule="auto"/>
      </w:pPr>
      <w:r w:rsidRPr="00D31344">
        <w:tab/>
      </w:r>
      <w:r w:rsidR="00956188" w:rsidRPr="00D31344">
        <w:t xml:space="preserve">We turn now to </w:t>
      </w:r>
      <w:r w:rsidR="00B64EFE" w:rsidRPr="00D31344">
        <w:t>plaintiffs’ separation of powers challenge with respect to section</w:t>
      </w:r>
      <w:r w:rsidR="006544DA" w:rsidRPr="00D31344">
        <w:t>s</w:t>
      </w:r>
      <w:r w:rsidR="00B64EFE" w:rsidRPr="00D31344">
        <w:t xml:space="preserve"> 7465(c)(3) and (4). </w:t>
      </w:r>
      <w:r w:rsidR="00956188" w:rsidRPr="00D31344">
        <w:t xml:space="preserve"> We have already discussed section 7465(c)(4) in detail in relation to the single-subject rule.  Section 7465(c)(3) defines another class of legislation that </w:t>
      </w:r>
      <w:r w:rsidR="00B64EFE" w:rsidRPr="00D31344">
        <w:t>constitutes</w:t>
      </w:r>
      <w:r w:rsidR="00956188" w:rsidRPr="00D31344">
        <w:t xml:space="preserve"> an amendment to Proposition 22, namely, “[a]</w:t>
      </w:r>
      <w:proofErr w:type="spellStart"/>
      <w:r w:rsidR="00956188" w:rsidRPr="00D31344">
        <w:t>ny</w:t>
      </w:r>
      <w:proofErr w:type="spellEnd"/>
      <w:r w:rsidR="00956188" w:rsidRPr="00D31344">
        <w:t xml:space="preserve"> statute that prohibits app-based drivers from performing a particular rideshare service or delivery service while allowing other individuals or entities to perform the same rideshare service or delivery service, or otherwise imposes unequal regulatory burdens upon app-based drivers based on their classification status.”  </w:t>
      </w:r>
      <w:r w:rsidRPr="00D31344">
        <w:t>Plaintiffs argued in their petition that</w:t>
      </w:r>
      <w:r w:rsidRPr="00D31344">
        <w:rPr>
          <w:b/>
          <w:bCs/>
        </w:rPr>
        <w:t xml:space="preserve"> </w:t>
      </w:r>
      <w:r w:rsidRPr="00D31344">
        <w:t>section</w:t>
      </w:r>
      <w:r w:rsidR="00CD46D2" w:rsidRPr="00D31344">
        <w:t>s</w:t>
      </w:r>
      <w:r w:rsidRPr="00D31344">
        <w:t xml:space="preserve"> 7465(c)(3) and (4) </w:t>
      </w:r>
      <w:r w:rsidR="00B64EFE" w:rsidRPr="00D31344">
        <w:t>are facially unconstitutional because they</w:t>
      </w:r>
      <w:r w:rsidRPr="00D31344">
        <w:t xml:space="preserve"> intrude on the judiciary’s power to define </w:t>
      </w:r>
      <w:r w:rsidR="0079315E" w:rsidRPr="00D31344">
        <w:t xml:space="preserve">what constitutes an amendment to </w:t>
      </w:r>
      <w:r w:rsidRPr="00D31344">
        <w:t>Proposition 22</w:t>
      </w:r>
      <w:r w:rsidR="00B64EFE" w:rsidRPr="00D31344">
        <w:t>,</w:t>
      </w:r>
      <w:r w:rsidRPr="00D31344">
        <w:t xml:space="preserve"> and </w:t>
      </w:r>
      <w:r w:rsidR="00B64EFE" w:rsidRPr="00D31344">
        <w:t xml:space="preserve">that </w:t>
      </w:r>
      <w:r w:rsidRPr="00D31344">
        <w:t xml:space="preserve">section 7465(c)(4) </w:t>
      </w:r>
      <w:r w:rsidR="00725CE2" w:rsidRPr="00D31344">
        <w:t xml:space="preserve">on its face </w:t>
      </w:r>
      <w:r w:rsidR="000D596D" w:rsidRPr="00D31344">
        <w:t>unconstitutionally limits</w:t>
      </w:r>
      <w:r w:rsidRPr="00D31344">
        <w:t xml:space="preserve"> the Legislature’s </w:t>
      </w:r>
      <w:r w:rsidR="00C4744E" w:rsidRPr="00D31344">
        <w:t>authority</w:t>
      </w:r>
      <w:r w:rsidRPr="00D31344">
        <w:t xml:space="preserve"> </w:t>
      </w:r>
      <w:r w:rsidR="008947D6" w:rsidRPr="00D31344">
        <w:t>to enact related but distinct legislation</w:t>
      </w:r>
      <w:r w:rsidRPr="00D31344">
        <w:t xml:space="preserve">.  </w:t>
      </w:r>
      <w:r w:rsidR="00704EF0" w:rsidRPr="00D31344">
        <w:t xml:space="preserve">The trial court found that section 7465(c)(3) passes constitutional muster but concluded that section 7465(c)(4) is invalid because it violates the separation of powers by intruding </w:t>
      </w:r>
      <w:r w:rsidRPr="00D31344">
        <w:t xml:space="preserve">on the Legislature’s powers. </w:t>
      </w:r>
    </w:p>
    <w:p w14:paraId="6AF6A6B8" w14:textId="2DE15A14" w:rsidR="00CF7F1B" w:rsidRPr="00D31344" w:rsidRDefault="00570B35" w:rsidP="00E44ED2">
      <w:pPr>
        <w:pStyle w:val="Header"/>
        <w:spacing w:line="360" w:lineRule="auto"/>
      </w:pPr>
      <w:r w:rsidRPr="00D31344">
        <w:tab/>
      </w:r>
      <w:r w:rsidR="005D3CA4" w:rsidRPr="00D31344">
        <w:t xml:space="preserve">As </w:t>
      </w:r>
      <w:proofErr w:type="gramStart"/>
      <w:r w:rsidR="005D3CA4" w:rsidRPr="00D31344">
        <w:t>noted</w:t>
      </w:r>
      <w:proofErr w:type="gramEnd"/>
      <w:r w:rsidR="005D3CA4" w:rsidRPr="00D31344">
        <w:t xml:space="preserve"> </w:t>
      </w:r>
      <w:r w:rsidR="005D3CA4" w:rsidRPr="00D31344">
        <w:rPr>
          <w:i/>
          <w:iCs/>
        </w:rPr>
        <w:t>ante</w:t>
      </w:r>
      <w:r w:rsidR="005D3CA4" w:rsidRPr="00D31344">
        <w:t>, s</w:t>
      </w:r>
      <w:r w:rsidR="00115640" w:rsidRPr="00D31344">
        <w:t xml:space="preserve">ection 7465 </w:t>
      </w:r>
      <w:r w:rsidR="000942E5" w:rsidRPr="00D31344">
        <w:t>represents</w:t>
      </w:r>
      <w:r w:rsidR="00115640" w:rsidRPr="00D31344">
        <w:t xml:space="preserve"> an exercise of t</w:t>
      </w:r>
      <w:r w:rsidR="00214CDB" w:rsidRPr="00D31344">
        <w:t xml:space="preserve">he voters’ power </w:t>
      </w:r>
      <w:r w:rsidR="00DB74AE" w:rsidRPr="00D31344">
        <w:t xml:space="preserve">under article II, section 10(c) </w:t>
      </w:r>
      <w:r w:rsidR="00321194" w:rsidRPr="00D31344">
        <w:t>“to decide whether or not the Legislature can amend or repeal initiative statutes</w:t>
      </w:r>
      <w:r w:rsidR="00ED0C11" w:rsidRPr="00D31344">
        <w:t>.  This power</w:t>
      </w:r>
      <w:r w:rsidR="00321194" w:rsidRPr="00D31344">
        <w:t> </w:t>
      </w:r>
      <w:r w:rsidR="00214CDB" w:rsidRPr="00D31344">
        <w:t>is absolute and includes the power to enable legislative amendment subject to conditions attached by the voters.”  (</w:t>
      </w:r>
      <w:r w:rsidR="00214CDB" w:rsidRPr="00D31344">
        <w:rPr>
          <w:i/>
        </w:rPr>
        <w:t>California Common Cause v. Fair Political Practices Com.</w:t>
      </w:r>
      <w:r w:rsidR="00214CDB" w:rsidRPr="00D31344">
        <w:t xml:space="preserve"> (1990) 221</w:t>
      </w:r>
      <w:r w:rsidR="00562820" w:rsidRPr="00D31344">
        <w:t> </w:t>
      </w:r>
      <w:r w:rsidR="00214CDB" w:rsidRPr="00D31344">
        <w:t>Cal.App.3d 647, 652</w:t>
      </w:r>
      <w:r w:rsidR="00863EF1" w:rsidRPr="00D31344">
        <w:t>, italics omitted</w:t>
      </w:r>
      <w:r w:rsidR="00214CDB" w:rsidRPr="00D31344">
        <w:t>.)</w:t>
      </w:r>
      <w:r w:rsidR="001D5943" w:rsidRPr="00D31344">
        <w:t xml:space="preserve">  For lack of a better </w:t>
      </w:r>
      <w:r w:rsidR="001D5943" w:rsidRPr="00D31344">
        <w:lastRenderedPageBreak/>
        <w:t xml:space="preserve">term, we will refer to the area of law in which an initiative </w:t>
      </w:r>
      <w:r w:rsidR="000526DF" w:rsidRPr="00D31344">
        <w:t xml:space="preserve">constrains the </w:t>
      </w:r>
      <w:r w:rsidR="001D5943" w:rsidRPr="00D31344">
        <w:t>Legislature</w:t>
      </w:r>
      <w:r w:rsidR="000526DF" w:rsidRPr="00D31344">
        <w:t>’s legislative actions</w:t>
      </w:r>
      <w:r w:rsidR="001D5943" w:rsidRPr="00D31344">
        <w:t xml:space="preserve"> as the initiative’s </w:t>
      </w:r>
      <w:r w:rsidR="00F47102" w:rsidRPr="00D31344">
        <w:t>article II, section 10(c)</w:t>
      </w:r>
      <w:r w:rsidR="001D5943" w:rsidRPr="00D31344">
        <w:t xml:space="preserve"> shadow.</w:t>
      </w:r>
    </w:p>
    <w:p w14:paraId="7FB7CC3E" w14:textId="1F92E662" w:rsidR="0086051A" w:rsidRPr="00D31344" w:rsidRDefault="00570B35" w:rsidP="00656371">
      <w:pPr>
        <w:pStyle w:val="Heading3"/>
      </w:pPr>
      <w:r w:rsidRPr="00D31344">
        <w:t>Facial challenge</w:t>
      </w:r>
    </w:p>
    <w:p w14:paraId="49235591" w14:textId="6514F527" w:rsidR="0086051A" w:rsidRPr="00D31344" w:rsidRDefault="00570B35" w:rsidP="0058460E">
      <w:pPr>
        <w:pStyle w:val="Header"/>
        <w:tabs>
          <w:tab w:val="clear" w:pos="4680"/>
          <w:tab w:val="clear" w:pos="9360"/>
        </w:tabs>
        <w:spacing w:line="360" w:lineRule="auto"/>
      </w:pPr>
      <w:r w:rsidRPr="00D31344">
        <w:tab/>
      </w:r>
      <w:r w:rsidR="0058460E" w:rsidRPr="00D31344">
        <w:t xml:space="preserve">Interveners and the </w:t>
      </w:r>
      <w:r w:rsidR="00011536" w:rsidRPr="00D31344">
        <w:t>s</w:t>
      </w:r>
      <w:r w:rsidR="0058460E" w:rsidRPr="00D31344">
        <w:t xml:space="preserve">tate </w:t>
      </w:r>
      <w:r w:rsidR="00514960" w:rsidRPr="00D31344">
        <w:t xml:space="preserve">first </w:t>
      </w:r>
      <w:r w:rsidR="0058460E" w:rsidRPr="00D31344">
        <w:t xml:space="preserve">contend the trial court erred </w:t>
      </w:r>
      <w:r w:rsidR="00A84556" w:rsidRPr="00D31344">
        <w:t>in holding section 7465(c)(4) invalid</w:t>
      </w:r>
      <w:r w:rsidR="0058460E" w:rsidRPr="00D31344">
        <w:t xml:space="preserve"> </w:t>
      </w:r>
      <w:r w:rsidR="00514960" w:rsidRPr="00D31344">
        <w:t xml:space="preserve">because </w:t>
      </w:r>
      <w:r w:rsidRPr="00D31344">
        <w:t>plaintiffs</w:t>
      </w:r>
      <w:r w:rsidR="00514960" w:rsidRPr="00D31344">
        <w:t xml:space="preserve"> fail to </w:t>
      </w:r>
      <w:r w:rsidRPr="00D31344">
        <w:t>meet the</w:t>
      </w:r>
      <w:r w:rsidRPr="00D31344">
        <w:t xml:space="preserve"> standard for facial challenges</w:t>
      </w:r>
      <w:r w:rsidR="00514960" w:rsidRPr="00D31344">
        <w:t>, as they cannot</w:t>
      </w:r>
      <w:r w:rsidRPr="00D31344">
        <w:t xml:space="preserve"> show </w:t>
      </w:r>
      <w:r w:rsidR="00514960" w:rsidRPr="00D31344">
        <w:t xml:space="preserve">that </w:t>
      </w:r>
      <w:r w:rsidRPr="00D31344">
        <w:t xml:space="preserve">section 7465(c)(4) </w:t>
      </w:r>
      <w:r w:rsidR="00514960" w:rsidRPr="00D31344">
        <w:t xml:space="preserve">is </w:t>
      </w:r>
      <w:r w:rsidRPr="00D31344">
        <w:t xml:space="preserve">unconstitutional in all or almost </w:t>
      </w:r>
      <w:proofErr w:type="gramStart"/>
      <w:r w:rsidRPr="00D31344">
        <w:t>all of</w:t>
      </w:r>
      <w:proofErr w:type="gramEnd"/>
      <w:r w:rsidRPr="00D31344">
        <w:t xml:space="preserve"> its applications.  We disagree.</w:t>
      </w:r>
    </w:p>
    <w:p w14:paraId="6B967D01" w14:textId="067D67DB" w:rsidR="0086051A" w:rsidRPr="00D31344" w:rsidRDefault="00570B35" w:rsidP="0086051A">
      <w:pPr>
        <w:pStyle w:val="Header"/>
        <w:spacing w:line="360" w:lineRule="auto"/>
      </w:pPr>
      <w:r w:rsidRPr="00D31344">
        <w:tab/>
        <w:t xml:space="preserve">“The standard for a facial constitutional challenge to a statute is exacting.  It is also the subject </w:t>
      </w:r>
      <w:r w:rsidRPr="00D31344">
        <w:t>of some uncertainty.”  (</w:t>
      </w:r>
      <w:r w:rsidRPr="00D31344">
        <w:rPr>
          <w:i/>
        </w:rPr>
        <w:t>Today’s Fresh Start, Inc. v. Los Angeles County Office of Education</w:t>
      </w:r>
      <w:r w:rsidRPr="00D31344">
        <w:t xml:space="preserve"> (2013) 57</w:t>
      </w:r>
      <w:r w:rsidR="00FF7EB6" w:rsidRPr="00D31344">
        <w:t> </w:t>
      </w:r>
      <w:r w:rsidRPr="00D31344">
        <w:t>Cal.4th 197, 218.)  In the stricter formulation of the standard, “legislation is invalid only if it presents a total and fatal conflict with applicable co</w:t>
      </w:r>
      <w:r w:rsidRPr="00D31344">
        <w:t>nstitutional prohibitions.”</w:t>
      </w:r>
      <w:r w:rsidR="00827CE4" w:rsidRPr="00D31344">
        <w:t xml:space="preserve"> </w:t>
      </w:r>
      <w:r w:rsidRPr="00D31344">
        <w:t xml:space="preserve"> (</w:t>
      </w:r>
      <w:r w:rsidRPr="00D31344">
        <w:rPr>
          <w:i/>
        </w:rPr>
        <w:t>T-Mobile West LLC v. City and County of San Francisco</w:t>
      </w:r>
      <w:r w:rsidRPr="00D31344">
        <w:t xml:space="preserve"> (2019) 6</w:t>
      </w:r>
      <w:r w:rsidR="0058656C" w:rsidRPr="00D31344">
        <w:t> </w:t>
      </w:r>
      <w:r w:rsidRPr="00D31344">
        <w:t>Cal.5th 1107, 1117</w:t>
      </w:r>
      <w:r w:rsidR="00827CE4" w:rsidRPr="00D31344">
        <w:t>, fn.</w:t>
      </w:r>
      <w:r w:rsidR="0058656C" w:rsidRPr="00D31344">
        <w:t> </w:t>
      </w:r>
      <w:r w:rsidR="00827CE4" w:rsidRPr="00D31344">
        <w:t>6</w:t>
      </w:r>
      <w:r w:rsidRPr="00D31344">
        <w:t xml:space="preserve">.)  This standard requires a challenger to </w:t>
      </w:r>
      <w:proofErr w:type="gramStart"/>
      <w:r w:rsidRPr="00D31344">
        <w:t>“ ‘</w:t>
      </w:r>
      <w:proofErr w:type="gramEnd"/>
      <w:r w:rsidRPr="00D31344">
        <w:t> “ ‘establish that no set of circumstances exists under which the [law] would be valid.’ ” ’</w:t>
      </w:r>
      <w:r w:rsidRPr="00D31344">
        <w:t> ”  (</w:t>
      </w:r>
      <w:r w:rsidRPr="00D31344">
        <w:rPr>
          <w:i/>
        </w:rPr>
        <w:t xml:space="preserve">American Civil Rights Foundation v. Berkeley Unified School Dist. </w:t>
      </w:r>
      <w:r w:rsidRPr="00D31344">
        <w:t>(2009) 172</w:t>
      </w:r>
      <w:r w:rsidR="00642F05" w:rsidRPr="00D31344">
        <w:t> </w:t>
      </w:r>
      <w:r w:rsidRPr="00D31344">
        <w:t xml:space="preserve">Cal.App.4th 207, 216.)  But other cases have </w:t>
      </w:r>
      <w:proofErr w:type="gramStart"/>
      <w:r w:rsidRPr="00D31344">
        <w:t>“ ‘</w:t>
      </w:r>
      <w:proofErr w:type="gramEnd"/>
      <w:r w:rsidRPr="00D31344">
        <w:t>applied a more lenient standard, asking whether the statute is unconstitutional “in the generality or great majority of cases.</w:t>
      </w:r>
      <w:r w:rsidRPr="00D31344">
        <w:t>” ’</w:t>
      </w:r>
      <w:r w:rsidR="00F92929" w:rsidRPr="00D31344">
        <w:t> </w:t>
      </w:r>
      <w:r w:rsidRPr="00D31344">
        <w:t>”  (</w:t>
      </w:r>
      <w:r w:rsidRPr="00D31344">
        <w:rPr>
          <w:i/>
        </w:rPr>
        <w:t>California School Boards Assn. v. State of California</w:t>
      </w:r>
      <w:r w:rsidRPr="00D31344">
        <w:t xml:space="preserve"> (2019) 8</w:t>
      </w:r>
      <w:r w:rsidR="00F92929" w:rsidRPr="00D31344">
        <w:t> </w:t>
      </w:r>
      <w:r w:rsidRPr="00D31344">
        <w:t xml:space="preserve">Cal.5th 713, 724.)  “Either way, we consider only the text and purpose of the statute, and </w:t>
      </w:r>
      <w:r w:rsidR="00B03A33" w:rsidRPr="00D31344">
        <w:t>‘</w:t>
      </w:r>
      <w:r w:rsidRPr="00D31344">
        <w:t xml:space="preserve">[plaintiffs] cannot prevail by suggesting that in some future hypothetical situation </w:t>
      </w:r>
      <w:r w:rsidRPr="00D31344">
        <w:lastRenderedPageBreak/>
        <w:t>constitu</w:t>
      </w:r>
      <w:r w:rsidRPr="00D31344">
        <w:t>tional problems may possibly arise as to the particular application of the statute.</w:t>
      </w:r>
      <w:proofErr w:type="gramStart"/>
      <w:r w:rsidRPr="00D31344">
        <w:t>’ ”</w:t>
      </w:r>
      <w:proofErr w:type="gramEnd"/>
      <w:r w:rsidRPr="00D31344">
        <w:t xml:space="preserve">  (</w:t>
      </w:r>
      <w:r w:rsidRPr="00D31344">
        <w:rPr>
          <w:i/>
          <w:iCs/>
        </w:rPr>
        <w:t>Ibid.</w:t>
      </w:r>
      <w:r w:rsidRPr="00D31344">
        <w:t>, italics omitted.)</w:t>
      </w:r>
    </w:p>
    <w:p w14:paraId="07468DB2" w14:textId="59905A46" w:rsidR="0086051A" w:rsidRPr="00D31344" w:rsidRDefault="00570B35" w:rsidP="0086051A">
      <w:pPr>
        <w:pStyle w:val="Header"/>
        <w:tabs>
          <w:tab w:val="clear" w:pos="4680"/>
          <w:tab w:val="clear" w:pos="9360"/>
        </w:tabs>
        <w:spacing w:line="360" w:lineRule="auto"/>
      </w:pPr>
      <w:r w:rsidRPr="00D31344">
        <w:tab/>
      </w:r>
      <w:r w:rsidRPr="00D31344">
        <w:t>Interveners press for the application of the stricter standard and argue it is not met because they can imagine collective bargaining laws that would constitute amendments to Proposition 22, demonstrating that section 7465(c)(4) has at least some constitut</w:t>
      </w:r>
      <w:r w:rsidRPr="00D31344">
        <w:t xml:space="preserve">ional applications.  For example, interveners argue that section 7465(c)(4) would be constitutional as applied to a statute authorizing mandatory collective bargaining over minimum hours that app-based drivers must work (see </w:t>
      </w:r>
      <w:r w:rsidRPr="00D31344">
        <w:rPr>
          <w:i/>
          <w:iCs/>
        </w:rPr>
        <w:t>Chamber of Commerce</w:t>
      </w:r>
      <w:r w:rsidRPr="00D31344">
        <w:t>,</w:t>
      </w:r>
      <w:r w:rsidRPr="00D31344">
        <w:rPr>
          <w:i/>
          <w:iCs/>
        </w:rPr>
        <w:t xml:space="preserve"> supra</w:t>
      </w:r>
      <w:r w:rsidRPr="00D31344">
        <w:t>, 890</w:t>
      </w:r>
      <w:r w:rsidR="00145BD5" w:rsidRPr="00D31344">
        <w:t> </w:t>
      </w:r>
      <w:r w:rsidRPr="00D31344">
        <w:t>F.3d at pp.</w:t>
      </w:r>
      <w:r w:rsidR="00145BD5" w:rsidRPr="00D31344">
        <w:t> </w:t>
      </w:r>
      <w:r w:rsidRPr="00D31344">
        <w:t>777–778), since such a statute would amend Proposition 22 by taking away “the individual right of every app-based rideshare and delivery driver to have the flexibility to set their own hours</w:t>
      </w:r>
      <w:r w:rsidR="00E37696" w:rsidRPr="00D31344">
        <w:t xml:space="preserve"> for when, where, and how they work</w:t>
      </w:r>
      <w:r w:rsidRPr="00D31344">
        <w:t>.”</w:t>
      </w:r>
      <w:r>
        <w:rPr>
          <w:rStyle w:val="FootnoteReference"/>
        </w:rPr>
        <w:footnoteReference w:id="15"/>
      </w:r>
      <w:r w:rsidRPr="00D31344">
        <w:t xml:space="preserve"> </w:t>
      </w:r>
      <w:r w:rsidR="00F83CE6" w:rsidRPr="00D31344">
        <w:t xml:space="preserve"> </w:t>
      </w:r>
      <w:r w:rsidRPr="00D31344">
        <w:t xml:space="preserve">(§ 7450, </w:t>
      </w:r>
      <w:proofErr w:type="spellStart"/>
      <w:r w:rsidRPr="00D31344">
        <w:t>sub</w:t>
      </w:r>
      <w:r w:rsidRPr="00D31344">
        <w:t>d</w:t>
      </w:r>
      <w:proofErr w:type="spellEnd"/>
      <w:r w:rsidRPr="00D31344">
        <w:t xml:space="preserve">. (b).) </w:t>
      </w:r>
    </w:p>
    <w:p w14:paraId="197308A1" w14:textId="11E4260B" w:rsidR="00FA31C2" w:rsidRPr="00D31344" w:rsidRDefault="00570B35" w:rsidP="0086051A">
      <w:pPr>
        <w:pStyle w:val="Header"/>
        <w:tabs>
          <w:tab w:val="clear" w:pos="4680"/>
          <w:tab w:val="clear" w:pos="9360"/>
        </w:tabs>
        <w:spacing w:line="360" w:lineRule="auto"/>
      </w:pPr>
      <w:r w:rsidRPr="00D31344">
        <w:tab/>
      </w:r>
      <w:r w:rsidR="005F12C8" w:rsidRPr="00D31344">
        <w:t>As they did below</w:t>
      </w:r>
      <w:r w:rsidR="00834AFD" w:rsidRPr="00D31344">
        <w:t>, p</w:t>
      </w:r>
      <w:r w:rsidR="002D12F1" w:rsidRPr="00D31344">
        <w:t xml:space="preserve">laintiffs </w:t>
      </w:r>
      <w:r w:rsidR="005F12C8" w:rsidRPr="00D31344">
        <w:t>argue</w:t>
      </w:r>
      <w:r w:rsidR="002D12F1" w:rsidRPr="00D31344">
        <w:t xml:space="preserve"> that </w:t>
      </w:r>
      <w:r w:rsidR="00F32FAE" w:rsidRPr="00D31344">
        <w:t xml:space="preserve">by attempting to define what constitutes an amendment, </w:t>
      </w:r>
      <w:r w:rsidR="002D12F1" w:rsidRPr="00D31344">
        <w:t>section</w:t>
      </w:r>
      <w:r w:rsidR="00CD46D2" w:rsidRPr="00D31344">
        <w:t>s</w:t>
      </w:r>
      <w:r w:rsidR="002D12F1" w:rsidRPr="00D31344">
        <w:t xml:space="preserve"> 7465(c)(3) and (4) intrude on the judiciary’s power to define Proposition 22’s article II, section 10(c) shadow. </w:t>
      </w:r>
      <w:r w:rsidR="003009BD" w:rsidRPr="00D31344">
        <w:t xml:space="preserve"> </w:t>
      </w:r>
      <w:r w:rsidRPr="00D31344">
        <w:t xml:space="preserve">Interveners’ </w:t>
      </w:r>
      <w:r w:rsidR="00346BFD" w:rsidRPr="00D31344">
        <w:t>contention</w:t>
      </w:r>
      <w:r w:rsidRPr="00D31344">
        <w:t xml:space="preserve"> th</w:t>
      </w:r>
      <w:r w:rsidRPr="00D31344">
        <w:t xml:space="preserve">at plaintiffs’ separation of powers challenge is </w:t>
      </w:r>
      <w:r w:rsidR="00080FDC" w:rsidRPr="00D31344">
        <w:t>not</w:t>
      </w:r>
      <w:r w:rsidRPr="00D31344">
        <w:t xml:space="preserve"> facial ignores</w:t>
      </w:r>
      <w:r w:rsidR="003009BD" w:rsidRPr="00D31344">
        <w:t xml:space="preserve"> this </w:t>
      </w:r>
      <w:r w:rsidR="003009BD" w:rsidRPr="00D31344">
        <w:lastRenderedPageBreak/>
        <w:t>aspect of plaintiffs’ argument</w:t>
      </w:r>
      <w:r w:rsidR="00E65782" w:rsidRPr="00D31344">
        <w:t xml:space="preserve">, which </w:t>
      </w:r>
      <w:r w:rsidRPr="00D31344">
        <w:t xml:space="preserve">does not depend on the content of any specific piece of legislation; </w:t>
      </w:r>
      <w:r w:rsidR="00834AFD" w:rsidRPr="00D31344">
        <w:t xml:space="preserve">rather, </w:t>
      </w:r>
      <w:r w:rsidR="00F579A7" w:rsidRPr="00D31344">
        <w:t xml:space="preserve">the mere existence of </w:t>
      </w:r>
      <w:r w:rsidRPr="00D31344">
        <w:t>section</w:t>
      </w:r>
      <w:r w:rsidR="00CD46D2" w:rsidRPr="00D31344">
        <w:t>s</w:t>
      </w:r>
      <w:r w:rsidRPr="00D31344">
        <w:t xml:space="preserve"> 7465(c)</w:t>
      </w:r>
      <w:r w:rsidR="00F579A7" w:rsidRPr="00D31344">
        <w:t xml:space="preserve">(3) and (4) </w:t>
      </w:r>
      <w:r w:rsidRPr="00D31344">
        <w:t xml:space="preserve">completes the </w:t>
      </w:r>
      <w:r w:rsidR="00E65782" w:rsidRPr="00D31344">
        <w:t xml:space="preserve">alleged </w:t>
      </w:r>
      <w:r w:rsidRPr="00D31344">
        <w:t>intrusion.  In other words, even if section</w:t>
      </w:r>
      <w:r w:rsidR="00CD46D2" w:rsidRPr="00D31344">
        <w:t>s</w:t>
      </w:r>
      <w:r w:rsidRPr="00D31344">
        <w:t xml:space="preserve"> 7465(c)</w:t>
      </w:r>
      <w:r w:rsidR="00F579A7" w:rsidRPr="00D31344">
        <w:t xml:space="preserve">(3) and </w:t>
      </w:r>
      <w:r w:rsidRPr="00D31344">
        <w:t xml:space="preserve">(4) would correctly declare </w:t>
      </w:r>
      <w:r w:rsidR="00F579A7" w:rsidRPr="00D31344">
        <w:t xml:space="preserve">some </w:t>
      </w:r>
      <w:r w:rsidRPr="00D31344">
        <w:t>statute</w:t>
      </w:r>
      <w:r w:rsidR="00F579A7" w:rsidRPr="00D31344">
        <w:t>s</w:t>
      </w:r>
      <w:r w:rsidRPr="00D31344">
        <w:t xml:space="preserve"> to be amendment</w:t>
      </w:r>
      <w:r w:rsidR="00F579A7" w:rsidRPr="00D31344">
        <w:t>s</w:t>
      </w:r>
      <w:r w:rsidRPr="00D31344">
        <w:t xml:space="preserve"> to</w:t>
      </w:r>
      <w:r w:rsidR="00F579A7" w:rsidRPr="00D31344">
        <w:t xml:space="preserve"> Proposition 22</w:t>
      </w:r>
      <w:r w:rsidRPr="00D31344">
        <w:t>, section</w:t>
      </w:r>
      <w:r w:rsidR="00CD46D2" w:rsidRPr="00D31344">
        <w:t>s</w:t>
      </w:r>
      <w:r w:rsidRPr="00D31344">
        <w:t xml:space="preserve"> 7465(c)</w:t>
      </w:r>
      <w:r w:rsidR="00F579A7" w:rsidRPr="00D31344">
        <w:t xml:space="preserve">(3) and </w:t>
      </w:r>
      <w:r w:rsidRPr="00D31344">
        <w:t xml:space="preserve">(4) would still violate the judiciary’s </w:t>
      </w:r>
      <w:r w:rsidR="00537295" w:rsidRPr="00D31344">
        <w:t xml:space="preserve">exclusive </w:t>
      </w:r>
      <w:r w:rsidRPr="00D31344">
        <w:t xml:space="preserve">right to make such determinations.  Plaintiffs’ separation of powers challenge based on </w:t>
      </w:r>
      <w:r w:rsidR="00834AFD" w:rsidRPr="00D31344">
        <w:t xml:space="preserve">this intrusion on </w:t>
      </w:r>
      <w:r w:rsidRPr="00D31344">
        <w:t xml:space="preserve">the judiciary’s power is therefore a facial one, even under </w:t>
      </w:r>
      <w:r w:rsidR="00715130" w:rsidRPr="00D31344">
        <w:t>i</w:t>
      </w:r>
      <w:r w:rsidRPr="00D31344">
        <w:t>nterveners’ argument.</w:t>
      </w:r>
    </w:p>
    <w:p w14:paraId="38B6A2BB" w14:textId="29369FE3" w:rsidR="0086051A" w:rsidRPr="00D31344" w:rsidRDefault="00570B35" w:rsidP="0086051A">
      <w:pPr>
        <w:pStyle w:val="Header"/>
        <w:tabs>
          <w:tab w:val="clear" w:pos="4680"/>
          <w:tab w:val="clear" w:pos="9360"/>
        </w:tabs>
        <w:spacing w:line="360" w:lineRule="auto"/>
      </w:pPr>
      <w:r w:rsidRPr="00D31344">
        <w:tab/>
        <w:t>As for plaintiffs’ argument that section 7465(c)(4) intrudes on th</w:t>
      </w:r>
      <w:r w:rsidRPr="00D31344">
        <w:t xml:space="preserve">e Legislature’s power, </w:t>
      </w:r>
      <w:r w:rsidR="00537295" w:rsidRPr="00D31344">
        <w:t>p</w:t>
      </w:r>
      <w:r w:rsidRPr="00D31344">
        <w:t xml:space="preserve">laintiffs concede that </w:t>
      </w:r>
      <w:r w:rsidR="00086BFB" w:rsidRPr="00D31344">
        <w:t>i</w:t>
      </w:r>
      <w:r w:rsidRPr="00D31344">
        <w:t xml:space="preserve">nterveners’ hypothetical statute </w:t>
      </w:r>
      <w:r w:rsidR="00537295" w:rsidRPr="00D31344">
        <w:t xml:space="preserve">authorizing mandatory collective bargaining over minimum hours that app-based drivers must work </w:t>
      </w:r>
      <w:r w:rsidRPr="00D31344">
        <w:t>would constitute an amendment to Proposition 22.</w:t>
      </w:r>
      <w:r>
        <w:rPr>
          <w:rStyle w:val="FootnoteReference"/>
        </w:rPr>
        <w:footnoteReference w:id="16"/>
      </w:r>
      <w:r w:rsidRPr="00D31344">
        <w:t xml:space="preserve">  But they argue it would be </w:t>
      </w:r>
      <w:r w:rsidRPr="00D31344">
        <w:t>an amendment even in the absence of section 7465(c)(4), so section 7465(c)(4) would be irrelevant in such a scenario.  They urge us to disregard such situations and focus only on scenarios in which section 7465(c)(4) would be relevant.  Thus, plaintiffs’ f</w:t>
      </w:r>
      <w:r w:rsidRPr="00D31344">
        <w:t xml:space="preserve">acial attack on section 7465(c)(4) is more accurately described as an attack on section 7465(c)(4) in all instances in which it would declare a collective bargaining statute to be an amendment of </w:t>
      </w:r>
      <w:r w:rsidRPr="00D31344">
        <w:lastRenderedPageBreak/>
        <w:t>Proposition 22 that would not otherwise constitute an amendm</w:t>
      </w:r>
      <w:r w:rsidRPr="00D31344">
        <w:t>ent.  Or, using the terminology we have adopted here, it is an attack on section 7465(c)(4) in every instance in which it affects Proposition 22’s article II, section 10(c) shadow.</w:t>
      </w:r>
    </w:p>
    <w:p w14:paraId="518DBB32" w14:textId="6A2AC17F" w:rsidR="0086051A" w:rsidRPr="00D31344" w:rsidRDefault="00570B35" w:rsidP="0086051A">
      <w:pPr>
        <w:pStyle w:val="Header"/>
        <w:spacing w:line="360" w:lineRule="auto"/>
      </w:pPr>
      <w:r w:rsidRPr="00D31344">
        <w:tab/>
        <w:t xml:space="preserve">The Supreme Court endorsed plaintiffs’ </w:t>
      </w:r>
      <w:r w:rsidR="00975C85" w:rsidRPr="00D31344">
        <w:t xml:space="preserve">approach </w:t>
      </w:r>
      <w:r w:rsidRPr="00D31344">
        <w:t>in a slightly different co</w:t>
      </w:r>
      <w:r w:rsidRPr="00D31344">
        <w:t xml:space="preserve">ntext in </w:t>
      </w:r>
      <w:r w:rsidRPr="00D31344">
        <w:rPr>
          <w:i/>
        </w:rPr>
        <w:t>American Academy of Pediatrics v. Lungren</w:t>
      </w:r>
      <w:r w:rsidRPr="00D31344">
        <w:t xml:space="preserve"> (1997) 16 Cal.4th 307 (</w:t>
      </w:r>
      <w:proofErr w:type="spellStart"/>
      <w:r w:rsidRPr="00D31344">
        <w:t>plur</w:t>
      </w:r>
      <w:proofErr w:type="spellEnd"/>
      <w:r w:rsidRPr="00D31344">
        <w:t xml:space="preserve">. </w:t>
      </w:r>
      <w:proofErr w:type="spellStart"/>
      <w:r w:rsidRPr="00D31344">
        <w:t>opn</w:t>
      </w:r>
      <w:proofErr w:type="spellEnd"/>
      <w:r w:rsidRPr="00D31344">
        <w:t>. of George, C.</w:t>
      </w:r>
      <w:r w:rsidR="00273636" w:rsidRPr="00D31344">
        <w:t> </w:t>
      </w:r>
      <w:r w:rsidRPr="00D31344">
        <w:t xml:space="preserve">J.).  There, the Supreme Court noted, </w:t>
      </w:r>
      <w:proofErr w:type="gramStart"/>
      <w:r w:rsidRPr="00D31344">
        <w:t>“ ‘</w:t>
      </w:r>
      <w:proofErr w:type="gramEnd"/>
      <w:r w:rsidRPr="00D31344">
        <w:t>[l]</w:t>
      </w:r>
      <w:proofErr w:type="spellStart"/>
      <w:r w:rsidRPr="00D31344">
        <w:t>egislation</w:t>
      </w:r>
      <w:proofErr w:type="spellEnd"/>
      <w:r w:rsidRPr="00D31344">
        <w:t xml:space="preserve"> is measured for consistency with the Constitution by its impact on those whose conduct it affects. . .</w:t>
      </w:r>
      <w:r w:rsidRPr="00D31344">
        <w:t> . The proper focus of constitutional inquiry is the group for whom the law is a restriction, not the group for whom the law is irrelevant.</w:t>
      </w:r>
      <w:proofErr w:type="gramStart"/>
      <w:r w:rsidRPr="00D31344">
        <w:t>’ ”</w:t>
      </w:r>
      <w:proofErr w:type="gramEnd"/>
      <w:r w:rsidRPr="00D31344">
        <w:t xml:space="preserve">  (</w:t>
      </w:r>
      <w:r w:rsidRPr="00D31344">
        <w:rPr>
          <w:i/>
          <w:iCs/>
        </w:rPr>
        <w:t xml:space="preserve">Id. </w:t>
      </w:r>
      <w:r w:rsidRPr="00D31344">
        <w:t>at p.</w:t>
      </w:r>
      <w:r w:rsidR="00E578AF" w:rsidRPr="00D31344">
        <w:t> </w:t>
      </w:r>
      <w:r w:rsidRPr="00D31344">
        <w:t>345.)</w:t>
      </w:r>
    </w:p>
    <w:p w14:paraId="45535025" w14:textId="23DE9CBB" w:rsidR="0086051A" w:rsidRPr="00D31344" w:rsidRDefault="00570B35" w:rsidP="0086051A">
      <w:pPr>
        <w:pStyle w:val="Header"/>
        <w:spacing w:line="360" w:lineRule="auto"/>
      </w:pPr>
      <w:r w:rsidRPr="00D31344">
        <w:tab/>
      </w:r>
      <w:r w:rsidR="00EF084D" w:rsidRPr="00D31344">
        <w:rPr>
          <w:i/>
          <w:iCs/>
        </w:rPr>
        <w:t xml:space="preserve">American Academy of Pediatrics v. </w:t>
      </w:r>
      <w:r w:rsidRPr="00D31344">
        <w:rPr>
          <w:i/>
          <w:iCs/>
        </w:rPr>
        <w:t>Lungren</w:t>
      </w:r>
      <w:r w:rsidRPr="00D31344">
        <w:t xml:space="preserve"> paired this rationale with its discussion of the mor</w:t>
      </w:r>
      <w:r w:rsidRPr="00D31344">
        <w:t xml:space="preserve">e lenient standard for facial challenges, which some Courts of Appeal view as applicable only in fundamental rights cases, but the Supreme Court continues to treat the standard of review for facial challenges as generally unsettled.  (E.g., </w:t>
      </w:r>
      <w:r w:rsidRPr="00D31344">
        <w:rPr>
          <w:i/>
        </w:rPr>
        <w:t>T</w:t>
      </w:r>
      <w:r w:rsidR="007076D4" w:rsidRPr="00D31344">
        <w:rPr>
          <w:i/>
        </w:rPr>
        <w:noBreakHyphen/>
      </w:r>
      <w:r w:rsidRPr="00D31344">
        <w:rPr>
          <w:i/>
        </w:rPr>
        <w:t>Mobile West L</w:t>
      </w:r>
      <w:r w:rsidRPr="00D31344">
        <w:rPr>
          <w:i/>
        </w:rPr>
        <w:t>LC v. City and County of San Francisco</w:t>
      </w:r>
      <w:r w:rsidRPr="00D31344">
        <w:t xml:space="preserve"> (2016) 3</w:t>
      </w:r>
      <w:r w:rsidR="00590C8A" w:rsidRPr="00D31344">
        <w:t> </w:t>
      </w:r>
      <w:r w:rsidRPr="00D31344">
        <w:t>Cal.App.5th 334, 345, fn.</w:t>
      </w:r>
      <w:r w:rsidR="00590C8A" w:rsidRPr="00D31344">
        <w:t> </w:t>
      </w:r>
      <w:r w:rsidRPr="00D31344">
        <w:t xml:space="preserve">12 [rejecting application of lenient standard as appropriate only for First Amendment and abortion rights], </w:t>
      </w:r>
      <w:proofErr w:type="spellStart"/>
      <w:r w:rsidRPr="00D31344">
        <w:t>affd</w:t>
      </w:r>
      <w:proofErr w:type="spellEnd"/>
      <w:r w:rsidR="00F2435F" w:rsidRPr="00D31344">
        <w:t>.</w:t>
      </w:r>
      <w:r w:rsidRPr="00D31344">
        <w:t xml:space="preserve"> (2019) 6</w:t>
      </w:r>
      <w:r w:rsidR="00AA6B89" w:rsidRPr="00D31344">
        <w:t> </w:t>
      </w:r>
      <w:r w:rsidRPr="00D31344">
        <w:t xml:space="preserve">Cal.5th 1107; </w:t>
      </w:r>
      <w:r w:rsidRPr="00D31344">
        <w:rPr>
          <w:i/>
        </w:rPr>
        <w:t>T</w:t>
      </w:r>
      <w:r w:rsidR="004A037B" w:rsidRPr="00D31344">
        <w:rPr>
          <w:i/>
        </w:rPr>
        <w:noBreakHyphen/>
      </w:r>
      <w:r w:rsidRPr="00D31344">
        <w:rPr>
          <w:i/>
          <w:iCs/>
        </w:rPr>
        <w:t xml:space="preserve">Mobile West LLC v. City and County of </w:t>
      </w:r>
      <w:r w:rsidRPr="00D31344">
        <w:rPr>
          <w:i/>
          <w:iCs/>
        </w:rPr>
        <w:t>San Francisco</w:t>
      </w:r>
      <w:r w:rsidR="00672E31" w:rsidRPr="00D31344">
        <w:t xml:space="preserve">, </w:t>
      </w:r>
      <w:r w:rsidR="00672E31" w:rsidRPr="00D31344">
        <w:rPr>
          <w:i/>
          <w:iCs/>
        </w:rPr>
        <w:t>supra</w:t>
      </w:r>
      <w:r w:rsidR="00672E31" w:rsidRPr="00D31344">
        <w:t>,</w:t>
      </w:r>
      <w:r w:rsidRPr="00D31344">
        <w:t xml:space="preserve"> 6 Cal.5th </w:t>
      </w:r>
      <w:r w:rsidR="00610B33" w:rsidRPr="00D31344">
        <w:t>at p.</w:t>
      </w:r>
      <w:r w:rsidR="00CF6FD9" w:rsidRPr="00D31344">
        <w:t> </w:t>
      </w:r>
      <w:r w:rsidRPr="00D31344">
        <w:t>1117, fn.</w:t>
      </w:r>
      <w:r w:rsidR="00CF6FD9" w:rsidRPr="00D31344">
        <w:t> </w:t>
      </w:r>
      <w:r w:rsidRPr="00D31344">
        <w:t xml:space="preserve">6 [declining to settle on a “precise formulation of the applicable standard”].)  Because plaintiffs’ argument fits squarely within the rationale expressed in </w:t>
      </w:r>
      <w:r w:rsidR="00EF084D" w:rsidRPr="00D31344">
        <w:rPr>
          <w:i/>
          <w:iCs/>
        </w:rPr>
        <w:t xml:space="preserve">American Academy of Pediatrics v. </w:t>
      </w:r>
      <w:r w:rsidRPr="00D31344">
        <w:rPr>
          <w:i/>
          <w:iCs/>
        </w:rPr>
        <w:t xml:space="preserve">Lungren </w:t>
      </w:r>
      <w:r w:rsidRPr="00D31344">
        <w:t>for meas</w:t>
      </w:r>
      <w:r w:rsidRPr="00D31344">
        <w:t xml:space="preserve">uring the constitutionality of statutes by looking only at the behavior they </w:t>
      </w:r>
      <w:r w:rsidRPr="00D31344">
        <w:lastRenderedPageBreak/>
        <w:t xml:space="preserve">restrict, and nothing about that rationale is logically or inherently related to fundamental rights or the more lenient facial standard, </w:t>
      </w:r>
      <w:r w:rsidR="00EF084D" w:rsidRPr="00D31344">
        <w:rPr>
          <w:i/>
          <w:iCs/>
        </w:rPr>
        <w:t xml:space="preserve">American Academy of Pediatrics v. </w:t>
      </w:r>
      <w:r w:rsidRPr="00D31344">
        <w:rPr>
          <w:i/>
          <w:iCs/>
        </w:rPr>
        <w:t>Lungren</w:t>
      </w:r>
      <w:r w:rsidRPr="00D31344">
        <w:t xml:space="preserve"> </w:t>
      </w:r>
      <w:r w:rsidRPr="00D31344">
        <w:t xml:space="preserve">supports </w:t>
      </w:r>
      <w:r w:rsidR="00975C85" w:rsidRPr="00D31344">
        <w:t xml:space="preserve">our conclusion </w:t>
      </w:r>
      <w:r w:rsidR="00712BE7" w:rsidRPr="00D31344">
        <w:t xml:space="preserve">that </w:t>
      </w:r>
      <w:r w:rsidRPr="00D31344">
        <w:t xml:space="preserve">plaintiffs’ challenge to section 7465(c)(4) </w:t>
      </w:r>
      <w:r w:rsidR="00712BE7" w:rsidRPr="00D31344">
        <w:t>may</w:t>
      </w:r>
      <w:r w:rsidRPr="00D31344">
        <w:t xml:space="preserve"> proceed</w:t>
      </w:r>
      <w:r w:rsidR="00712BE7" w:rsidRPr="00D31344">
        <w:t xml:space="preserve"> as a facial attack</w:t>
      </w:r>
      <w:r w:rsidRPr="00D31344">
        <w:t>.</w:t>
      </w:r>
      <w:r>
        <w:rPr>
          <w:rStyle w:val="FootnoteReference"/>
        </w:rPr>
        <w:footnoteReference w:id="17"/>
      </w:r>
      <w:r w:rsidRPr="00D31344">
        <w:t xml:space="preserve">  (Cf. </w:t>
      </w:r>
      <w:r w:rsidRPr="00D31344">
        <w:rPr>
          <w:i/>
        </w:rPr>
        <w:t>San Francisco Apartment Assn. v. City and County of San Francisco</w:t>
      </w:r>
      <w:r w:rsidRPr="00D31344">
        <w:t xml:space="preserve"> (2016) 3</w:t>
      </w:r>
      <w:r w:rsidR="002316D5" w:rsidRPr="00D31344">
        <w:t> </w:t>
      </w:r>
      <w:r w:rsidRPr="00D31344">
        <w:t>Cal.App.5th 463, 486–488 [</w:t>
      </w:r>
      <w:r w:rsidR="00712BE7" w:rsidRPr="00D31344">
        <w:t>finding that plaintiffs had mounted a successful facial challenge to a local ordinance on preemption grounds by focusing</w:t>
      </w:r>
      <w:r w:rsidR="00B2701E" w:rsidRPr="00D31344">
        <w:t xml:space="preserve"> on</w:t>
      </w:r>
      <w:r w:rsidR="00712BE7" w:rsidRPr="00D31344">
        <w:t xml:space="preserve"> the instances where the local ordinance would in fact impermissibly impact plaintiffs’ exercise of state law rights, not the ordinance in isolation].)</w:t>
      </w:r>
    </w:p>
    <w:p w14:paraId="28367342" w14:textId="2FA09099" w:rsidR="0086051A" w:rsidRPr="00D31344" w:rsidRDefault="00570B35" w:rsidP="0086051A">
      <w:pPr>
        <w:pStyle w:val="Header"/>
        <w:spacing w:line="360" w:lineRule="auto"/>
      </w:pPr>
      <w:r w:rsidRPr="00D31344">
        <w:tab/>
        <w:t>Our acceptance of plai</w:t>
      </w:r>
      <w:r w:rsidRPr="00D31344">
        <w:t>ntiffs’ challenge as a facial one does not, as interveners argue, make a facial challenge the easiest challenge to assert rather than the hardest by ignoring the constitutional applications of the statute and focusing only on the unconstitutional ones.  We</w:t>
      </w:r>
      <w:r w:rsidRPr="00D31344">
        <w:t xml:space="preserve"> are not ignoring the constitutional applications of the statute, but rather ignoring the applications where the statute would be irrelevant or, perhaps more accurately, immaterial.  If every instance in which section 7465(c)(4) has a material impact is al</w:t>
      </w:r>
      <w:r w:rsidRPr="00D31344">
        <w:t xml:space="preserve">so one in which it is unconstitutional, then the law is </w:t>
      </w:r>
      <w:r w:rsidR="004069B8" w:rsidRPr="00D31344">
        <w:t xml:space="preserve">facially </w:t>
      </w:r>
      <w:r w:rsidRPr="00D31344">
        <w:t xml:space="preserve">infirm, </w:t>
      </w:r>
      <w:r w:rsidR="0027798E" w:rsidRPr="00D31344">
        <w:t>even if it could be constitutionally applied as surplusage in other instances.</w:t>
      </w:r>
    </w:p>
    <w:p w14:paraId="1EF2DD57" w14:textId="1F92E662" w:rsidR="00CA3386" w:rsidRPr="00D31344" w:rsidRDefault="00570B35" w:rsidP="00285CA8">
      <w:pPr>
        <w:pStyle w:val="Heading3"/>
      </w:pPr>
      <w:r w:rsidRPr="00D31344">
        <w:lastRenderedPageBreak/>
        <w:t>Ripeness</w:t>
      </w:r>
    </w:p>
    <w:p w14:paraId="0776C1DD" w14:textId="3DD7FBD9" w:rsidR="0049737A" w:rsidRPr="00D31344" w:rsidRDefault="00570B35" w:rsidP="006631FF">
      <w:pPr>
        <w:pStyle w:val="Header"/>
        <w:tabs>
          <w:tab w:val="clear" w:pos="4680"/>
          <w:tab w:val="clear" w:pos="9360"/>
        </w:tabs>
        <w:spacing w:line="360" w:lineRule="auto"/>
      </w:pPr>
      <w:r w:rsidRPr="00D31344">
        <w:rPr>
          <w:b/>
          <w:bCs/>
        </w:rPr>
        <w:tab/>
      </w:r>
      <w:r w:rsidR="0058460E" w:rsidRPr="00D31344">
        <w:t xml:space="preserve">Interveners and the </w:t>
      </w:r>
      <w:r w:rsidR="005B44A4" w:rsidRPr="00D31344">
        <w:t>s</w:t>
      </w:r>
      <w:r w:rsidR="0058460E" w:rsidRPr="00D31344">
        <w:t xml:space="preserve">tate next contend plaintiffs’ separation of powers challenge </w:t>
      </w:r>
      <w:r w:rsidRPr="00D31344">
        <w:t>is not ripe because the Legislature has not enacted any legislation that might constitute an amendment</w:t>
      </w:r>
      <w:r w:rsidR="007E26DA" w:rsidRPr="00D31344">
        <w:t xml:space="preserve"> to Proposition 22</w:t>
      </w:r>
      <w:r w:rsidRPr="00D31344">
        <w:t>.  “The ripeness requirement, a branch of the doctrine of justiciability, p</w:t>
      </w:r>
      <w:r w:rsidRPr="00D31344">
        <w:t xml:space="preserve">revents courts from issuing purely advisory opinions. </w:t>
      </w:r>
      <w:r w:rsidR="00D129FE" w:rsidRPr="00D31344">
        <w:t xml:space="preserve"> [Citation.] </w:t>
      </w:r>
      <w:r w:rsidRPr="00D31344">
        <w:t xml:space="preserve"> It is rooted in the fundamental concept that the proper role of the judiciary does not extend to the resolution of abstract differences of legal opinion. </w:t>
      </w:r>
      <w:r w:rsidR="00D129FE" w:rsidRPr="00D31344">
        <w:t xml:space="preserve"> </w:t>
      </w:r>
      <w:r w:rsidRPr="00D31344">
        <w:t>It is in part designed to regulat</w:t>
      </w:r>
      <w:r w:rsidRPr="00D31344">
        <w:t xml:space="preserve">e the workload of courts by preventing judicial consideration of lawsuits that seek only to obtain general guidance, rather than to resolve specific legal disputes. </w:t>
      </w:r>
      <w:r w:rsidR="00D129FE" w:rsidRPr="00D31344">
        <w:t xml:space="preserve"> </w:t>
      </w:r>
      <w:r w:rsidRPr="00D31344">
        <w:t xml:space="preserve">However, the ripeness doctrine is primarily bottomed on the recognition that judicial </w:t>
      </w:r>
      <w:proofErr w:type="spellStart"/>
      <w:r w:rsidRPr="00D31344">
        <w:t>deci</w:t>
      </w:r>
      <w:r w:rsidRPr="00D31344">
        <w:t>sionmaking</w:t>
      </w:r>
      <w:proofErr w:type="spellEnd"/>
      <w:r w:rsidRPr="00D31344">
        <w:t xml:space="preserve"> is best conducted in the context of an actual set of facts so that the issues will be framed with sufficient definiteness to enable the court to make a decree finally disposing of the controversy. </w:t>
      </w:r>
      <w:r w:rsidR="00D129FE" w:rsidRPr="00D31344">
        <w:t xml:space="preserve"> </w:t>
      </w:r>
      <w:r w:rsidRPr="00D31344">
        <w:t>On the other hand, the requirement should not p</w:t>
      </w:r>
      <w:r w:rsidRPr="00D31344">
        <w:t>revent courts from resolving concrete disputes if the consequence of a deferred decision will be lingering uncertainty in the law, especially when there is widespread public interest in the answer to a particular legal question.”</w:t>
      </w:r>
      <w:r w:rsidR="00D129FE" w:rsidRPr="00D31344">
        <w:t xml:space="preserve">  (</w:t>
      </w:r>
      <w:r w:rsidRPr="00D31344">
        <w:rPr>
          <w:i/>
        </w:rPr>
        <w:t>Pacific Legal Foundation</w:t>
      </w:r>
      <w:r w:rsidRPr="00D31344">
        <w:rPr>
          <w:i/>
        </w:rPr>
        <w:t xml:space="preserve"> v. California Coastal Com.</w:t>
      </w:r>
      <w:r w:rsidRPr="00D31344">
        <w:t xml:space="preserve"> (1982) 33</w:t>
      </w:r>
      <w:r w:rsidR="00D33D7F" w:rsidRPr="00D31344">
        <w:t> </w:t>
      </w:r>
      <w:r w:rsidRPr="00D31344">
        <w:t>Cal.3d 158, 170</w:t>
      </w:r>
      <w:r w:rsidR="00D129FE" w:rsidRPr="00D31344">
        <w:t>.)</w:t>
      </w:r>
    </w:p>
    <w:p w14:paraId="52FE188E" w14:textId="69A97090" w:rsidR="00D129FE" w:rsidRPr="00D31344" w:rsidRDefault="00570B35" w:rsidP="006631FF">
      <w:pPr>
        <w:pStyle w:val="Header"/>
        <w:spacing w:line="360" w:lineRule="auto"/>
      </w:pPr>
      <w:r w:rsidRPr="00D31344">
        <w:tab/>
      </w:r>
      <w:r w:rsidR="00AB5359" w:rsidRPr="00D31344">
        <w:t>T</w:t>
      </w:r>
      <w:r w:rsidR="00B47A2F" w:rsidRPr="00D31344">
        <w:t xml:space="preserve">he Supreme Court </w:t>
      </w:r>
      <w:r w:rsidR="00AB5359" w:rsidRPr="00D31344">
        <w:t xml:space="preserve">has </w:t>
      </w:r>
      <w:r w:rsidR="00B47A2F" w:rsidRPr="00D31344">
        <w:t>applied a</w:t>
      </w:r>
      <w:r w:rsidR="00AC788B" w:rsidRPr="00D31344">
        <w:t xml:space="preserve"> </w:t>
      </w:r>
      <w:r w:rsidRPr="00D31344">
        <w:t xml:space="preserve">two-prong test </w:t>
      </w:r>
      <w:r w:rsidR="00052790" w:rsidRPr="00D31344">
        <w:t>for</w:t>
      </w:r>
      <w:r w:rsidRPr="00D31344">
        <w:t xml:space="preserve"> decid</w:t>
      </w:r>
      <w:r w:rsidR="00052790" w:rsidRPr="00D31344">
        <w:t>ing</w:t>
      </w:r>
      <w:r w:rsidRPr="00D31344">
        <w:t xml:space="preserve"> whether a </w:t>
      </w:r>
      <w:r w:rsidR="00AB5359" w:rsidRPr="00D31344">
        <w:t xml:space="preserve">dispute is ripe, </w:t>
      </w:r>
      <w:r w:rsidR="00052790" w:rsidRPr="00D31344">
        <w:t xml:space="preserve">examining </w:t>
      </w:r>
      <w:proofErr w:type="gramStart"/>
      <w:r w:rsidR="00052790" w:rsidRPr="00D31344">
        <w:t>“ ‘</w:t>
      </w:r>
      <w:proofErr w:type="gramEnd"/>
      <w:r w:rsidR="00052790" w:rsidRPr="00D31344">
        <w:t xml:space="preserve">the fitness of the issues for judicial decision and the hardship to the parties of withholding court consideration.’ ” </w:t>
      </w:r>
      <w:r w:rsidR="00AB5359" w:rsidRPr="00D31344">
        <w:t xml:space="preserve"> (</w:t>
      </w:r>
      <w:r w:rsidR="00AB5359" w:rsidRPr="00D31344">
        <w:rPr>
          <w:i/>
          <w:iCs/>
        </w:rPr>
        <w:t xml:space="preserve">Pacific Legal Foundation v. </w:t>
      </w:r>
      <w:r w:rsidR="00AB5359" w:rsidRPr="00D31344">
        <w:rPr>
          <w:i/>
          <w:iCs/>
        </w:rPr>
        <w:lastRenderedPageBreak/>
        <w:t>California Coastal Com.</w:t>
      </w:r>
      <w:r w:rsidR="004238CA" w:rsidRPr="00D31344">
        <w:t>,</w:t>
      </w:r>
      <w:r w:rsidR="00AB5359" w:rsidRPr="00D31344">
        <w:rPr>
          <w:i/>
          <w:iCs/>
        </w:rPr>
        <w:t xml:space="preserve"> supra</w:t>
      </w:r>
      <w:r w:rsidR="00AB5359" w:rsidRPr="00D31344">
        <w:t>, 33</w:t>
      </w:r>
      <w:r w:rsidR="0088191E" w:rsidRPr="00D31344">
        <w:t> </w:t>
      </w:r>
      <w:r w:rsidR="00AB5359" w:rsidRPr="00D31344">
        <w:t>Cal.3d at pp.</w:t>
      </w:r>
      <w:r w:rsidR="0088191E" w:rsidRPr="00D31344">
        <w:t> </w:t>
      </w:r>
      <w:r w:rsidR="00AB5359" w:rsidRPr="00D31344">
        <w:t>171–174</w:t>
      </w:r>
      <w:r w:rsidR="00B2701E" w:rsidRPr="00D31344">
        <w:t>, italics omitted</w:t>
      </w:r>
      <w:r w:rsidR="00AB5359" w:rsidRPr="00D31344">
        <w:t xml:space="preserve">.)  </w:t>
      </w:r>
      <w:proofErr w:type="gramStart"/>
      <w:r w:rsidR="00052790" w:rsidRPr="00D31344">
        <w:t>“ ‘</w:t>
      </w:r>
      <w:proofErr w:type="gramEnd"/>
      <w:r w:rsidR="00052790" w:rsidRPr="00D31344">
        <w:t>Under the first prong, the courts will decline to adjudicate a dispute if “the abstract posture of [the] proceeding makes it difficult to evaluate . . . the issues” [citation], if the court is asked to speculate on the resolution of hypothetical situations [citation], or if the case presents a “contrived inquiry” [citation].  Under the second prong, the courts will not intervene merely to settle a difference of opinion; there must be an imminent and significant hardship inherent in further delay.</w:t>
      </w:r>
      <w:proofErr w:type="gramStart"/>
      <w:r w:rsidR="00052790" w:rsidRPr="00D31344">
        <w:t>’ ”</w:t>
      </w:r>
      <w:proofErr w:type="gramEnd"/>
      <w:r w:rsidR="00052790" w:rsidRPr="00D31344">
        <w:t xml:space="preserve">  (</w:t>
      </w:r>
      <w:r w:rsidR="00052790" w:rsidRPr="00D31344">
        <w:rPr>
          <w:i/>
        </w:rPr>
        <w:t>Communities for a Better Environment v. State Energy Resources Conservation &amp; Development Com.</w:t>
      </w:r>
      <w:r w:rsidR="00052790" w:rsidRPr="00D31344">
        <w:t xml:space="preserve"> (2017) 19</w:t>
      </w:r>
      <w:r w:rsidR="005B2FAD" w:rsidRPr="00D31344">
        <w:t> </w:t>
      </w:r>
      <w:r w:rsidR="00052790" w:rsidRPr="00D31344">
        <w:t>Cal.App.5th 725, 733–734.)</w:t>
      </w:r>
    </w:p>
    <w:p w14:paraId="7725081D" w14:textId="7E2574E7" w:rsidR="008420AE" w:rsidRPr="00D31344" w:rsidRDefault="00570B35" w:rsidP="006631FF">
      <w:pPr>
        <w:pStyle w:val="Header"/>
        <w:spacing w:line="360" w:lineRule="auto"/>
      </w:pPr>
      <w:r w:rsidRPr="00D31344">
        <w:tab/>
      </w:r>
      <w:r w:rsidR="006E1EB9" w:rsidRPr="00D31344">
        <w:t>T</w:t>
      </w:r>
      <w:r w:rsidRPr="00D31344">
        <w:t>he fitness prong</w:t>
      </w:r>
      <w:r w:rsidR="006E1EB9" w:rsidRPr="00D31344">
        <w:t xml:space="preserve"> of this test</w:t>
      </w:r>
      <w:r w:rsidR="002F46A1" w:rsidRPr="00D31344">
        <w:t xml:space="preserve"> indicates </w:t>
      </w:r>
      <w:r w:rsidRPr="00D31344">
        <w:t>plaintiffs</w:t>
      </w:r>
      <w:r w:rsidR="00E9216B" w:rsidRPr="00D31344">
        <w:t>’</w:t>
      </w:r>
      <w:r w:rsidRPr="00D31344">
        <w:t xml:space="preserve"> separation of powers challenge </w:t>
      </w:r>
      <w:r w:rsidR="00DE1878" w:rsidRPr="00D31344">
        <w:t xml:space="preserve">to </w:t>
      </w:r>
      <w:r w:rsidR="00204E23" w:rsidRPr="00D31344">
        <w:t xml:space="preserve">the initiative </w:t>
      </w:r>
      <w:r w:rsidRPr="00D31344">
        <w:t xml:space="preserve">is ripe because the voters have already approved </w:t>
      </w:r>
      <w:r w:rsidR="00DE1878" w:rsidRPr="00D31344">
        <w:t>Proposition 22</w:t>
      </w:r>
      <w:r w:rsidRPr="00D31344">
        <w:t xml:space="preserve"> </w:t>
      </w:r>
      <w:r w:rsidR="00E9216B" w:rsidRPr="00D31344">
        <w:t>and</w:t>
      </w:r>
      <w:r w:rsidR="00204E23" w:rsidRPr="00D31344">
        <w:t xml:space="preserve">, as discussed </w:t>
      </w:r>
      <w:r w:rsidR="00204E23" w:rsidRPr="00D31344">
        <w:rPr>
          <w:i/>
          <w:iCs/>
        </w:rPr>
        <w:t>ante</w:t>
      </w:r>
      <w:r w:rsidR="00204E23" w:rsidRPr="00D31344">
        <w:t>,</w:t>
      </w:r>
      <w:r w:rsidR="00E9216B" w:rsidRPr="00D31344">
        <w:t xml:space="preserve"> plaintiffs’</w:t>
      </w:r>
      <w:r w:rsidRPr="00D31344">
        <w:t xml:space="preserve"> challenge to it is a facial one for which concrete facts are unnecessary.  </w:t>
      </w:r>
      <w:r w:rsidR="00A8499B" w:rsidRPr="00D31344">
        <w:t>(</w:t>
      </w:r>
      <w:r w:rsidR="00A8499B" w:rsidRPr="00D31344">
        <w:rPr>
          <w:i/>
        </w:rPr>
        <w:t>Alliance for Responsible Planning v. Taylor</w:t>
      </w:r>
      <w:r w:rsidR="00A8499B" w:rsidRPr="00D31344">
        <w:t xml:space="preserve"> (2021) 63</w:t>
      </w:r>
      <w:r w:rsidR="00261DE1" w:rsidRPr="00D31344">
        <w:t> </w:t>
      </w:r>
      <w:r w:rsidR="00A8499B" w:rsidRPr="00D31344">
        <w:t xml:space="preserve">Cal.App.5th 1072, 1082 [“Nothing precludes resolution of the controversy, as the facial allegation does not depend on the application of the measure to a particular petitioner or future County interpretation”].)  </w:t>
      </w:r>
      <w:r w:rsidR="003E3CA2" w:rsidRPr="00D31344">
        <w:t xml:space="preserve">Interveners emphasize that the Legislature has not enacted a statute that plausibly amends Proposition 22, so there is no statutory text to interpret to determine whether it changes the scope and effect of the initiative.  </w:t>
      </w:r>
      <w:r w:rsidR="00E9216B" w:rsidRPr="00D31344">
        <w:t>But p</w:t>
      </w:r>
      <w:r w:rsidR="003E3CA2" w:rsidRPr="00D31344">
        <w:t xml:space="preserve">laintiffs contend </w:t>
      </w:r>
      <w:r w:rsidR="00A950D8" w:rsidRPr="00D31344">
        <w:t>the definition</w:t>
      </w:r>
      <w:r w:rsidR="0093626C" w:rsidRPr="00D31344">
        <w:t>s</w:t>
      </w:r>
      <w:r w:rsidR="00A950D8" w:rsidRPr="00D31344">
        <w:t xml:space="preserve"> of amendment</w:t>
      </w:r>
      <w:r w:rsidR="005B63BC" w:rsidRPr="00D31344">
        <w:t>s</w:t>
      </w:r>
      <w:r w:rsidR="00A950D8" w:rsidRPr="00D31344">
        <w:t xml:space="preserve"> in </w:t>
      </w:r>
      <w:r w:rsidR="003E3CA2" w:rsidRPr="00D31344">
        <w:t>section</w:t>
      </w:r>
      <w:r w:rsidR="0021000E" w:rsidRPr="00D31344">
        <w:t>s</w:t>
      </w:r>
      <w:r w:rsidR="003E3CA2" w:rsidRPr="00D31344">
        <w:t xml:space="preserve"> 7465(c)</w:t>
      </w:r>
      <w:r w:rsidR="00204E23" w:rsidRPr="00D31344">
        <w:t xml:space="preserve">(3) and </w:t>
      </w:r>
      <w:r w:rsidR="003E3CA2" w:rsidRPr="00D31344">
        <w:t xml:space="preserve">(4) violate </w:t>
      </w:r>
      <w:r w:rsidR="00AC17E6" w:rsidRPr="00D31344">
        <w:t xml:space="preserve">the </w:t>
      </w:r>
      <w:r w:rsidR="003E3CA2" w:rsidRPr="00D31344">
        <w:t>separation of powers</w:t>
      </w:r>
      <w:r w:rsidR="009E4171" w:rsidRPr="00D31344">
        <w:t xml:space="preserve"> on </w:t>
      </w:r>
      <w:r w:rsidR="00D55A39" w:rsidRPr="00D31344">
        <w:t xml:space="preserve">their </w:t>
      </w:r>
      <w:r w:rsidR="009E4171" w:rsidRPr="00D31344">
        <w:t>face, so the</w:t>
      </w:r>
      <w:r w:rsidRPr="00D31344">
        <w:t>r</w:t>
      </w:r>
      <w:r w:rsidR="009E4171" w:rsidRPr="00D31344">
        <w:t>e is no need to wait for the Legislature to enact a specific statute to evaluate plaintiffs’ arguments.</w:t>
      </w:r>
    </w:p>
    <w:p w14:paraId="413A6F97" w14:textId="0E01391B" w:rsidR="00DE1878" w:rsidRPr="00D31344" w:rsidRDefault="00570B35" w:rsidP="006631FF">
      <w:pPr>
        <w:pStyle w:val="Header"/>
        <w:spacing w:line="360" w:lineRule="auto"/>
      </w:pPr>
      <w:r w:rsidRPr="00D31344">
        <w:lastRenderedPageBreak/>
        <w:tab/>
        <w:t xml:space="preserve">The hardship prong </w:t>
      </w:r>
      <w:r w:rsidR="00E9216B" w:rsidRPr="00D31344">
        <w:t xml:space="preserve">also </w:t>
      </w:r>
      <w:r w:rsidR="00AC17E6" w:rsidRPr="00D31344">
        <w:t>militates in favor of finding</w:t>
      </w:r>
      <w:r w:rsidR="00E9216B" w:rsidRPr="00D31344">
        <w:t xml:space="preserve"> ripeness.  Section</w:t>
      </w:r>
      <w:r w:rsidR="0021000E" w:rsidRPr="00D31344">
        <w:t>s</w:t>
      </w:r>
      <w:r w:rsidR="00E9216B" w:rsidRPr="00D31344">
        <w:t xml:space="preserve"> 7465(c)</w:t>
      </w:r>
      <w:r w:rsidR="00204E23" w:rsidRPr="00D31344">
        <w:t xml:space="preserve">(3) and </w:t>
      </w:r>
      <w:r w:rsidR="00E9216B" w:rsidRPr="00D31344">
        <w:t xml:space="preserve">(4) </w:t>
      </w:r>
      <w:r w:rsidR="00834AFD" w:rsidRPr="00D31344">
        <w:t>are</w:t>
      </w:r>
      <w:r w:rsidR="00E9216B" w:rsidRPr="00D31344">
        <w:t xml:space="preserve"> in effect, so </w:t>
      </w:r>
      <w:r w:rsidR="00834AFD" w:rsidRPr="00D31344">
        <w:t>they are</w:t>
      </w:r>
      <w:r w:rsidR="00F579A7" w:rsidRPr="00D31344">
        <w:t xml:space="preserve"> </w:t>
      </w:r>
      <w:r w:rsidR="00E9216B" w:rsidRPr="00D31344">
        <w:t xml:space="preserve">already </w:t>
      </w:r>
      <w:r w:rsidR="00F579A7" w:rsidRPr="00D31344">
        <w:t xml:space="preserve">intruding on the judiciary’s powers.  </w:t>
      </w:r>
      <w:r w:rsidR="00E5176E" w:rsidRPr="00D31344">
        <w:t xml:space="preserve">Section 7465(c)(4) </w:t>
      </w:r>
      <w:r w:rsidR="00F579A7" w:rsidRPr="00D31344">
        <w:t xml:space="preserve">can also </w:t>
      </w:r>
      <w:r w:rsidR="00E9216B" w:rsidRPr="00D31344">
        <w:t>affect the Legislature’s and stakeholders’ political calculations</w:t>
      </w:r>
      <w:r w:rsidR="00736177" w:rsidRPr="00D31344">
        <w:t xml:space="preserve">, including </w:t>
      </w:r>
      <w:r w:rsidR="00AC17E6" w:rsidRPr="00D31344">
        <w:t xml:space="preserve">those of </w:t>
      </w:r>
      <w:r w:rsidR="00736177" w:rsidRPr="00D31344">
        <w:t xml:space="preserve">labor organizations like </w:t>
      </w:r>
      <w:r w:rsidR="000A7E31" w:rsidRPr="00D31344">
        <w:t>plaintiff SEIU,</w:t>
      </w:r>
      <w:r w:rsidR="00E9216B" w:rsidRPr="00D31344">
        <w:t xml:space="preserve"> about whether to try to pass a law allowing app-based drivers to collectively bargain</w:t>
      </w:r>
      <w:r w:rsidR="00527E04" w:rsidRPr="00D31344">
        <w:t xml:space="preserve"> or </w:t>
      </w:r>
      <w:r w:rsidR="00AC17E6" w:rsidRPr="00D31344">
        <w:t xml:space="preserve">authorizing </w:t>
      </w:r>
      <w:r w:rsidR="00527E04" w:rsidRPr="00D31344">
        <w:t>some other form of representation of individual drivers</w:t>
      </w:r>
      <w:r w:rsidR="00E9216B" w:rsidRPr="00D31344">
        <w:t xml:space="preserve">.  </w:t>
      </w:r>
      <w:r w:rsidR="007D56CF" w:rsidRPr="00D31344">
        <w:t xml:space="preserve">The </w:t>
      </w:r>
      <w:r w:rsidR="00DC4096" w:rsidRPr="00D31344">
        <w:t xml:space="preserve">only three avenues for </w:t>
      </w:r>
      <w:r w:rsidR="00FE73F9" w:rsidRPr="00D31344">
        <w:t xml:space="preserve">such </w:t>
      </w:r>
      <w:r w:rsidR="00DC4096" w:rsidRPr="00D31344">
        <w:t xml:space="preserve">legislation to </w:t>
      </w:r>
      <w:r w:rsidR="007D56CF" w:rsidRPr="00D31344">
        <w:t xml:space="preserve">become </w:t>
      </w:r>
      <w:r w:rsidR="00FE73F9" w:rsidRPr="00D31344">
        <w:t>effect</w:t>
      </w:r>
      <w:r w:rsidR="007D56CF" w:rsidRPr="00D31344">
        <w:t>ive</w:t>
      </w:r>
      <w:r w:rsidR="00FE73F9" w:rsidRPr="00D31344">
        <w:t xml:space="preserve"> </w:t>
      </w:r>
      <w:r w:rsidR="00DC4096" w:rsidRPr="00D31344">
        <w:t>would be if the Legislature submit</w:t>
      </w:r>
      <w:r w:rsidR="00F85A9A" w:rsidRPr="00D31344">
        <w:t>s</w:t>
      </w:r>
      <w:r w:rsidR="00DC4096" w:rsidRPr="00D31344">
        <w:t xml:space="preserve"> the legislation to the voters for approval, which is a costly undertaking; if the Legislature approve</w:t>
      </w:r>
      <w:r w:rsidR="00F85A9A" w:rsidRPr="00D31344">
        <w:t>s</w:t>
      </w:r>
      <w:r w:rsidR="00DC4096" w:rsidRPr="00D31344">
        <w:t xml:space="preserve"> the legislation by a seven-eighths majority, which is a bar so high as to be virtually insurmountable; or if the </w:t>
      </w:r>
      <w:r w:rsidR="007D56CF" w:rsidRPr="00D31344">
        <w:t xml:space="preserve">Legislature passes such legislation by </w:t>
      </w:r>
      <w:r w:rsidR="00F85A9A" w:rsidRPr="00D31344">
        <w:t xml:space="preserve">less than </w:t>
      </w:r>
      <w:r w:rsidR="007D56CF" w:rsidRPr="00D31344">
        <w:t xml:space="preserve">a </w:t>
      </w:r>
      <w:r w:rsidR="00F85A9A" w:rsidRPr="00D31344">
        <w:t xml:space="preserve">seven-eighths </w:t>
      </w:r>
      <w:r w:rsidR="007D56CF" w:rsidRPr="00D31344">
        <w:t xml:space="preserve">majority and the </w:t>
      </w:r>
      <w:r w:rsidR="00DC4096" w:rsidRPr="00D31344">
        <w:t xml:space="preserve">courts subsequently agree that section 7465(c)(4) is unconstitutional, which is </w:t>
      </w:r>
      <w:r w:rsidR="007D56CF" w:rsidRPr="00D31344">
        <w:t xml:space="preserve">both time-consuming and </w:t>
      </w:r>
      <w:r w:rsidR="00DC4096" w:rsidRPr="00D31344">
        <w:t xml:space="preserve">difficult to predict.  Given these </w:t>
      </w:r>
      <w:r w:rsidR="007D56CF" w:rsidRPr="00D31344">
        <w:t>problematic paths to effective legislation</w:t>
      </w:r>
      <w:r w:rsidR="00DC4096" w:rsidRPr="00D31344">
        <w:t xml:space="preserve">, the most likely outcome is that legislators would not even undertake the effort.  </w:t>
      </w:r>
      <w:r w:rsidR="004128F7" w:rsidRPr="00D31344">
        <w:t>This is a significant hardship justifying judicial resolution</w:t>
      </w:r>
      <w:r w:rsidR="007D56CF" w:rsidRPr="00D31344">
        <w:t xml:space="preserve"> at this stage</w:t>
      </w:r>
      <w:r w:rsidR="004128F7" w:rsidRPr="00D31344">
        <w:t>.</w:t>
      </w:r>
    </w:p>
    <w:p w14:paraId="53389D15" w14:textId="7E02C617" w:rsidR="00DE1878" w:rsidRPr="00D31344" w:rsidRDefault="00570B35" w:rsidP="006631FF">
      <w:pPr>
        <w:pStyle w:val="Header"/>
        <w:spacing w:line="360" w:lineRule="auto"/>
      </w:pPr>
      <w:r w:rsidRPr="00D31344">
        <w:tab/>
      </w:r>
      <w:r w:rsidR="00DC4096" w:rsidRPr="00D31344">
        <w:t xml:space="preserve">Interveners and the </w:t>
      </w:r>
      <w:r w:rsidR="0043091F" w:rsidRPr="00D31344">
        <w:t>s</w:t>
      </w:r>
      <w:r w:rsidR="00DC4096" w:rsidRPr="00D31344">
        <w:t xml:space="preserve">tate argue that this type of chilling effect is </w:t>
      </w:r>
      <w:r w:rsidR="00C47CB7" w:rsidRPr="00D31344">
        <w:t>insignificant</w:t>
      </w:r>
      <w:r w:rsidR="00065FF7" w:rsidRPr="00D31344">
        <w:t xml:space="preserve"> </w:t>
      </w:r>
      <w:r w:rsidR="004128F7" w:rsidRPr="00D31344">
        <w:t>because</w:t>
      </w:r>
      <w:r w:rsidR="00065FF7" w:rsidRPr="00D31344">
        <w:t xml:space="preserve"> the Legislature regularly enacts laws </w:t>
      </w:r>
      <w:r w:rsidR="00FA579B" w:rsidRPr="00D31344">
        <w:t>even though</w:t>
      </w:r>
      <w:r w:rsidR="00065FF7" w:rsidRPr="00D31344">
        <w:t xml:space="preserve"> the courts might find </w:t>
      </w:r>
      <w:r w:rsidR="00FA579B" w:rsidRPr="00D31344">
        <w:t xml:space="preserve">them </w:t>
      </w:r>
      <w:r w:rsidR="00065FF7" w:rsidRPr="00D31344">
        <w:t xml:space="preserve">to be amendments to initiatives.  </w:t>
      </w:r>
      <w:r w:rsidR="004128F7" w:rsidRPr="00D31344">
        <w:t xml:space="preserve">(See, e.g., </w:t>
      </w:r>
      <w:proofErr w:type="spellStart"/>
      <w:r w:rsidR="004128F7" w:rsidRPr="00D31344">
        <w:rPr>
          <w:i/>
        </w:rPr>
        <w:t>Amwest</w:t>
      </w:r>
      <w:proofErr w:type="spellEnd"/>
      <w:r w:rsidR="004128F7" w:rsidRPr="00D31344">
        <w:rPr>
          <w:i/>
        </w:rPr>
        <w:t xml:space="preserve"> Surety Ins. Co. v. Wilson</w:t>
      </w:r>
      <w:r w:rsidR="004128F7" w:rsidRPr="00D31344">
        <w:t xml:space="preserve"> (1995) 11</w:t>
      </w:r>
      <w:r w:rsidR="000701AA" w:rsidRPr="00D31344">
        <w:t> </w:t>
      </w:r>
      <w:r w:rsidR="004128F7" w:rsidRPr="00D31344">
        <w:t xml:space="preserve">Cal.4th 1243, 1261 [rejecting Legislature’s stated claim that a statute </w:t>
      </w:r>
      <w:r w:rsidR="00762FEE" w:rsidRPr="00D31344">
        <w:t xml:space="preserve">merely </w:t>
      </w:r>
      <w:r w:rsidR="004128F7" w:rsidRPr="00D31344">
        <w:t xml:space="preserve">clarified the scope of an initiative].)  However, interveners do not cite any law requiring a seven-eighths majority </w:t>
      </w:r>
      <w:r w:rsidR="00140B46" w:rsidRPr="00D31344">
        <w:t>for passage</w:t>
      </w:r>
      <w:r w:rsidR="004128F7" w:rsidRPr="00D31344">
        <w:t xml:space="preserve">, </w:t>
      </w:r>
      <w:r w:rsidR="00FE73F9" w:rsidRPr="00D31344">
        <w:t>which imposes a</w:t>
      </w:r>
      <w:r w:rsidR="00711C8D" w:rsidRPr="00D31344">
        <w:t>n apparently unique</w:t>
      </w:r>
      <w:r w:rsidR="00ED4D1C" w:rsidRPr="00D31344">
        <w:t>ly high</w:t>
      </w:r>
      <w:r w:rsidR="00711C8D" w:rsidRPr="00D31344">
        <w:t xml:space="preserve"> </w:t>
      </w:r>
      <w:r w:rsidR="00711C8D" w:rsidRPr="00D31344">
        <w:lastRenderedPageBreak/>
        <w:t>barrier to legislative action.</w:t>
      </w:r>
      <w:r w:rsidR="004128F7" w:rsidRPr="00D31344">
        <w:t xml:space="preserve">  Besides, even if the chilling effect were not a </w:t>
      </w:r>
      <w:r w:rsidR="00C47CB7" w:rsidRPr="00D31344">
        <w:t xml:space="preserve">significant </w:t>
      </w:r>
      <w:r w:rsidR="004128F7" w:rsidRPr="00D31344">
        <w:t>hardship, th</w:t>
      </w:r>
      <w:r w:rsidR="00C47CB7" w:rsidRPr="00D31344">
        <w:t xml:space="preserve">e concrete nature of the parties’ arguments here </w:t>
      </w:r>
      <w:r w:rsidR="004128F7" w:rsidRPr="00D31344">
        <w:t xml:space="preserve">would still </w:t>
      </w:r>
      <w:r w:rsidR="00C47CB7" w:rsidRPr="00D31344">
        <w:t xml:space="preserve">make the issue </w:t>
      </w:r>
      <w:r w:rsidR="004128F7" w:rsidRPr="00D31344">
        <w:t>ripe for our resolution.  T</w:t>
      </w:r>
      <w:r w:rsidR="00065FF7" w:rsidRPr="00D31344">
        <w:t xml:space="preserve">he Supreme Court has held that “the ripeness requirement does not prevent </w:t>
      </w:r>
      <w:r w:rsidR="00A23585" w:rsidRPr="00D31344">
        <w:t>[</w:t>
      </w:r>
      <w:r w:rsidR="00587F2F" w:rsidRPr="00D31344">
        <w:t>the courts]</w:t>
      </w:r>
      <w:r w:rsidR="00065FF7" w:rsidRPr="00D31344">
        <w:t xml:space="preserve"> from resolving a concrete dispute if the consequence of a deferred decision will be lingering uncertainty in the law, especially when there is widespread public interest in the answer to a particular legal question.”  (</w:t>
      </w:r>
      <w:r w:rsidR="00065FF7" w:rsidRPr="00D31344">
        <w:rPr>
          <w:i/>
        </w:rPr>
        <w:t>Hunt v. Superior Court</w:t>
      </w:r>
      <w:r w:rsidR="00065FF7" w:rsidRPr="00D31344">
        <w:t xml:space="preserve"> (1999) 21</w:t>
      </w:r>
      <w:r w:rsidR="00D571EE" w:rsidRPr="00D31344">
        <w:t> </w:t>
      </w:r>
      <w:r w:rsidR="00065FF7" w:rsidRPr="00D31344">
        <w:t xml:space="preserve">Cal.4th 984, 998.)  Because the parties’ dispute </w:t>
      </w:r>
      <w:r w:rsidR="00A65E98" w:rsidRPr="00D31344">
        <w:t xml:space="preserve">has enough specificity </w:t>
      </w:r>
      <w:r w:rsidR="00065FF7" w:rsidRPr="00D31344">
        <w:t xml:space="preserve">for judicial resolution at present, the uncertainty in the law </w:t>
      </w:r>
      <w:r w:rsidR="00923310" w:rsidRPr="00D31344">
        <w:t>that section</w:t>
      </w:r>
      <w:r w:rsidR="0021000E" w:rsidRPr="00D31344">
        <w:t>s</w:t>
      </w:r>
      <w:r w:rsidR="00923310" w:rsidRPr="00D31344">
        <w:t xml:space="preserve"> 7465(c)</w:t>
      </w:r>
      <w:r w:rsidR="00204E23" w:rsidRPr="00D31344">
        <w:t xml:space="preserve">(3) and </w:t>
      </w:r>
      <w:r w:rsidR="00923310" w:rsidRPr="00D31344">
        <w:t xml:space="preserve">(4) </w:t>
      </w:r>
      <w:r w:rsidR="00E07516" w:rsidRPr="00D31344">
        <w:t>create</w:t>
      </w:r>
      <w:r w:rsidR="00065FF7" w:rsidRPr="00D31344">
        <w:t>, as well as the public interest in the validity of Proposition 22, counsel in favor of proceeding to the merits of plaintiffs’ arguments.</w:t>
      </w:r>
    </w:p>
    <w:p w14:paraId="09C7143E" w14:textId="1F92E662" w:rsidR="007E1BB2" w:rsidRPr="00D31344" w:rsidRDefault="00570B35" w:rsidP="00285CA8">
      <w:pPr>
        <w:pStyle w:val="Heading3"/>
      </w:pPr>
      <w:r w:rsidRPr="00D31344">
        <w:t>Merits</w:t>
      </w:r>
    </w:p>
    <w:p w14:paraId="27B4F2AF" w14:textId="43B5B945" w:rsidR="007E1BB2" w:rsidRPr="00D31344" w:rsidRDefault="00570B35" w:rsidP="007E1BB2">
      <w:pPr>
        <w:pStyle w:val="Header"/>
        <w:keepNext/>
        <w:tabs>
          <w:tab w:val="clear" w:pos="4680"/>
          <w:tab w:val="clear" w:pos="9360"/>
        </w:tabs>
        <w:spacing w:line="360" w:lineRule="auto"/>
        <w:rPr>
          <w:b/>
          <w:bCs/>
        </w:rPr>
      </w:pPr>
      <w:r w:rsidRPr="00D31344">
        <w:rPr>
          <w:b/>
          <w:bCs/>
        </w:rPr>
        <w:tab/>
      </w:r>
      <w:r w:rsidRPr="00D31344">
        <w:t xml:space="preserve">Having disposed of </w:t>
      </w:r>
      <w:proofErr w:type="gramStart"/>
      <w:r w:rsidRPr="00D31344">
        <w:t>interveners’</w:t>
      </w:r>
      <w:proofErr w:type="gramEnd"/>
      <w:r w:rsidRPr="00D31344">
        <w:t xml:space="preserve"> and the </w:t>
      </w:r>
      <w:r w:rsidR="0043091F" w:rsidRPr="00D31344">
        <w:t>s</w:t>
      </w:r>
      <w:r w:rsidRPr="00D31344">
        <w:t xml:space="preserve">tate’s prefatory arguments, we turn now to the merits of plaintiffs’ separation of powers challenge to sections 7465(c)(3) and (4).  </w:t>
      </w:r>
    </w:p>
    <w:p w14:paraId="5C405380" w14:textId="1F92E662" w:rsidR="00CA3386" w:rsidRPr="00D31344" w:rsidRDefault="00570B35" w:rsidP="00285CA8">
      <w:pPr>
        <w:pStyle w:val="Heading4"/>
      </w:pPr>
      <w:r w:rsidRPr="00D31344">
        <w:t xml:space="preserve">Intrusion on judicial </w:t>
      </w:r>
      <w:r w:rsidR="0016397C" w:rsidRPr="00D31344">
        <w:t>powers</w:t>
      </w:r>
    </w:p>
    <w:p w14:paraId="78D4F111" w14:textId="4B764A14" w:rsidR="00214CDB" w:rsidRPr="00D31344" w:rsidRDefault="00570B35" w:rsidP="006631FF">
      <w:pPr>
        <w:spacing w:line="360" w:lineRule="auto"/>
      </w:pPr>
      <w:r w:rsidRPr="00D31344">
        <w:tab/>
      </w:r>
      <w:r w:rsidR="007E1BB2" w:rsidRPr="00D31344">
        <w:t>Plaintiffs</w:t>
      </w:r>
      <w:r w:rsidR="0001560F" w:rsidRPr="00D31344">
        <w:t xml:space="preserve"> first argue that </w:t>
      </w:r>
      <w:r w:rsidR="007E1BB2" w:rsidRPr="00D31344">
        <w:t xml:space="preserve">sections 7465(c)(3) and (c)(4)’s </w:t>
      </w:r>
      <w:r w:rsidR="0001560F" w:rsidRPr="00D31344">
        <w:t>definition</w:t>
      </w:r>
      <w:r w:rsidR="00A376D0" w:rsidRPr="00D31344">
        <w:t>s</w:t>
      </w:r>
      <w:r w:rsidR="0001560F" w:rsidRPr="00D31344">
        <w:t xml:space="preserve"> of</w:t>
      </w:r>
      <w:r w:rsidR="007E1BB2" w:rsidRPr="00D31344">
        <w:t xml:space="preserve"> </w:t>
      </w:r>
      <w:r w:rsidR="0001560F" w:rsidRPr="00D31344">
        <w:t>amendment</w:t>
      </w:r>
      <w:r w:rsidR="00C20BDB" w:rsidRPr="00D31344">
        <w:t xml:space="preserve">s </w:t>
      </w:r>
      <w:r w:rsidR="0001560F" w:rsidRPr="00D31344">
        <w:t xml:space="preserve">intrude on the judiciary’s power because </w:t>
      </w:r>
      <w:r w:rsidR="00F038A0" w:rsidRPr="00D31344">
        <w:t xml:space="preserve">only </w:t>
      </w:r>
      <w:r w:rsidR="0001560F" w:rsidRPr="00D31344">
        <w:t xml:space="preserve">the judiciary has the authority to </w:t>
      </w:r>
      <w:r w:rsidR="007E1BB2" w:rsidRPr="00D31344">
        <w:t>say</w:t>
      </w:r>
      <w:r w:rsidR="0001560F" w:rsidRPr="00D31344">
        <w:t xml:space="preserve"> what constitutes an amendment within the meaning of article II, section 10(c). </w:t>
      </w:r>
    </w:p>
    <w:p w14:paraId="53974BD9" w14:textId="7C0CE8B4" w:rsidR="00663DDA" w:rsidRPr="00D31344" w:rsidRDefault="00570B35" w:rsidP="00663DDA">
      <w:pPr>
        <w:spacing w:line="360" w:lineRule="auto"/>
      </w:pPr>
      <w:r w:rsidRPr="00D31344">
        <w:tab/>
      </w:r>
      <w:r w:rsidR="004B31D7" w:rsidRPr="00D31344">
        <w:t xml:space="preserve">“The powers of state government are legislative, executive, and judicial. </w:t>
      </w:r>
      <w:r w:rsidR="00922A67" w:rsidRPr="00D31344">
        <w:t xml:space="preserve"> </w:t>
      </w:r>
      <w:r w:rsidR="004B31D7" w:rsidRPr="00D31344">
        <w:t xml:space="preserve">Persons charged with the exercise of one power may not exercise either of the others except as permitted by this </w:t>
      </w:r>
      <w:r w:rsidR="004B31D7" w:rsidRPr="00D31344">
        <w:lastRenderedPageBreak/>
        <w:t>Constitution.”  (Cal. Const., art.</w:t>
      </w:r>
      <w:r w:rsidR="009250A4" w:rsidRPr="00D31344">
        <w:t> </w:t>
      </w:r>
      <w:r w:rsidR="004B31D7" w:rsidRPr="00D31344">
        <w:t>III, §</w:t>
      </w:r>
      <w:r w:rsidR="009250A4" w:rsidRPr="00D31344">
        <w:t> </w:t>
      </w:r>
      <w:r w:rsidR="004B31D7" w:rsidRPr="00D31344">
        <w:t>3.)</w:t>
      </w:r>
      <w:r w:rsidR="00A03565" w:rsidRPr="00D31344">
        <w:t xml:space="preserve">  </w:t>
      </w:r>
      <w:proofErr w:type="gramStart"/>
      <w:r w:rsidR="00A03565" w:rsidRPr="00D31344">
        <w:t>“ ‘</w:t>
      </w:r>
      <w:proofErr w:type="gramEnd"/>
      <w:r w:rsidR="00A03565" w:rsidRPr="00D31344">
        <w:t>The judicial power is conferred upon the courts by the Constitution and, in the absence of a constitutional provision, cannot be exercised by any other body.’ ”  (</w:t>
      </w:r>
      <w:r w:rsidR="00A03565" w:rsidRPr="00D31344">
        <w:rPr>
          <w:i/>
        </w:rPr>
        <w:t>McClung v. Employment Development Dept.</w:t>
      </w:r>
      <w:r w:rsidR="00A03565" w:rsidRPr="00D31344">
        <w:t xml:space="preserve"> (2004) 34</w:t>
      </w:r>
      <w:r w:rsidR="008A1399" w:rsidRPr="00D31344">
        <w:t> </w:t>
      </w:r>
      <w:r w:rsidR="00A03565" w:rsidRPr="00D31344">
        <w:t>Cal.4th 467, 472.)</w:t>
      </w:r>
      <w:r w:rsidR="002719A7" w:rsidRPr="00D31344">
        <w:t xml:space="preserve">  </w:t>
      </w:r>
      <w:r w:rsidRPr="00D31344">
        <w:t>“[I]t is well esta</w:t>
      </w:r>
      <w:r w:rsidRPr="00D31344">
        <w:t>blished that it is a judicial function to interpret the law, including the Constitution.”  (</w:t>
      </w:r>
      <w:proofErr w:type="spellStart"/>
      <w:r w:rsidRPr="00D31344">
        <w:rPr>
          <w:i/>
        </w:rPr>
        <w:t>Schabarum</w:t>
      </w:r>
      <w:proofErr w:type="spellEnd"/>
      <w:r w:rsidRPr="00D31344">
        <w:rPr>
          <w:i/>
        </w:rPr>
        <w:t xml:space="preserve"> v. California Legislature</w:t>
      </w:r>
      <w:r w:rsidRPr="00D31344">
        <w:t xml:space="preserve"> (1998) 60</w:t>
      </w:r>
      <w:r w:rsidR="00064751" w:rsidRPr="00D31344">
        <w:t> </w:t>
      </w:r>
      <w:r w:rsidRPr="00D31344">
        <w:t xml:space="preserve">Cal.App.4th 1205, 1213; accord, </w:t>
      </w:r>
      <w:r w:rsidRPr="00D31344">
        <w:rPr>
          <w:i/>
        </w:rPr>
        <w:t>Raven v. Deukmejian</w:t>
      </w:r>
      <w:r w:rsidRPr="00D31344">
        <w:t xml:space="preserve"> (1990) 52</w:t>
      </w:r>
      <w:r w:rsidR="00365132" w:rsidRPr="00D31344">
        <w:t> </w:t>
      </w:r>
      <w:r w:rsidRPr="00D31344">
        <w:t xml:space="preserve">Cal.3d 336, 354 </w:t>
      </w:r>
      <w:proofErr w:type="gramStart"/>
      <w:r w:rsidRPr="00D31344">
        <w:t>[“ ‘</w:t>
      </w:r>
      <w:proofErr w:type="gramEnd"/>
      <w:r w:rsidRPr="00D31344">
        <w:t xml:space="preserve">The judiciary, from the very nature </w:t>
      </w:r>
      <w:r w:rsidRPr="00D31344">
        <w:t>of its powers and means given it by the Constitution, must possess the right to construe the Constitution in the last resor</w:t>
      </w:r>
      <w:r w:rsidR="00350AD8" w:rsidRPr="00D31344">
        <w:t>t</w:t>
      </w:r>
      <w:r w:rsidRPr="00D31344">
        <w:t>’ ”</w:t>
      </w:r>
      <w:r w:rsidR="00350AD8" w:rsidRPr="00D31344">
        <w:t>]</w:t>
      </w:r>
      <w:r w:rsidR="006A02B1" w:rsidRPr="00D31344">
        <w:t>.)</w:t>
      </w:r>
    </w:p>
    <w:p w14:paraId="359C1092" w14:textId="1404C67F" w:rsidR="0001560F" w:rsidRPr="00D31344" w:rsidRDefault="00570B35" w:rsidP="00D81164">
      <w:pPr>
        <w:pStyle w:val="Header"/>
        <w:tabs>
          <w:tab w:val="clear" w:pos="4680"/>
          <w:tab w:val="clear" w:pos="9360"/>
        </w:tabs>
        <w:spacing w:line="360" w:lineRule="auto"/>
      </w:pPr>
      <w:r w:rsidRPr="00D31344">
        <w:tab/>
      </w:r>
      <w:r w:rsidR="00512A7B" w:rsidRPr="00D31344">
        <w:t xml:space="preserve">Because </w:t>
      </w:r>
      <w:r w:rsidR="0090222B" w:rsidRPr="00D31344">
        <w:t>the definition</w:t>
      </w:r>
      <w:r w:rsidR="00A376D0" w:rsidRPr="00D31344">
        <w:t>s</w:t>
      </w:r>
      <w:r w:rsidR="0090222B" w:rsidRPr="00D31344">
        <w:t xml:space="preserve"> in section</w:t>
      </w:r>
      <w:r w:rsidR="003720CE" w:rsidRPr="00D31344">
        <w:t>s</w:t>
      </w:r>
      <w:r w:rsidR="0090222B" w:rsidRPr="00D31344">
        <w:t xml:space="preserve"> 7465(c)</w:t>
      </w:r>
      <w:r w:rsidR="00204E23" w:rsidRPr="00D31344">
        <w:t xml:space="preserve">(3) and </w:t>
      </w:r>
      <w:r w:rsidR="0090222B" w:rsidRPr="00D31344">
        <w:t xml:space="preserve">(4) </w:t>
      </w:r>
      <w:r w:rsidR="00512A7B" w:rsidRPr="00D31344">
        <w:t xml:space="preserve">constitute an </w:t>
      </w:r>
      <w:r w:rsidR="00303078" w:rsidRPr="00D31344">
        <w:t xml:space="preserve">attempt to </w:t>
      </w:r>
      <w:r w:rsidR="009720AB" w:rsidRPr="00D31344">
        <w:t xml:space="preserve">define the boundaries of </w:t>
      </w:r>
      <w:r w:rsidR="002975AF" w:rsidRPr="00D31344">
        <w:t xml:space="preserve">Proposition 22’s </w:t>
      </w:r>
      <w:r w:rsidR="009720AB" w:rsidRPr="00D31344">
        <w:t>article II, section 10(c) shadow</w:t>
      </w:r>
      <w:r w:rsidR="00512A7B" w:rsidRPr="00D31344">
        <w:t xml:space="preserve">, </w:t>
      </w:r>
      <w:r w:rsidR="00FF1B29" w:rsidRPr="00D31344">
        <w:t>section</w:t>
      </w:r>
      <w:r w:rsidR="003720CE" w:rsidRPr="00D31344">
        <w:t>s</w:t>
      </w:r>
      <w:r w:rsidR="00FF1B29" w:rsidRPr="00D31344">
        <w:t xml:space="preserve"> 7465(c)</w:t>
      </w:r>
      <w:r w:rsidR="00204E23" w:rsidRPr="00D31344">
        <w:t xml:space="preserve">(3) and </w:t>
      </w:r>
      <w:r w:rsidR="00FF1B29" w:rsidRPr="00D31344">
        <w:t xml:space="preserve">(4) on </w:t>
      </w:r>
      <w:r w:rsidR="00D17764" w:rsidRPr="00D31344">
        <w:t xml:space="preserve">their </w:t>
      </w:r>
      <w:r w:rsidR="00FF1B29" w:rsidRPr="00D31344">
        <w:t xml:space="preserve">face </w:t>
      </w:r>
      <w:r w:rsidR="00512A7B" w:rsidRPr="00D31344">
        <w:t>intrude on the judiciary’s authority to define th</w:t>
      </w:r>
      <w:r w:rsidR="009720AB" w:rsidRPr="00D31344">
        <w:t xml:space="preserve">e meaning of “amendment” </w:t>
      </w:r>
      <w:r w:rsidR="00512A7B" w:rsidRPr="00D31344">
        <w:t xml:space="preserve">in </w:t>
      </w:r>
      <w:r w:rsidR="009720AB" w:rsidRPr="00D31344">
        <w:t xml:space="preserve">that section of the </w:t>
      </w:r>
      <w:r w:rsidR="00512A7B" w:rsidRPr="00D31344">
        <w:t>Constitution.</w:t>
      </w:r>
      <w:r w:rsidR="00132D7C" w:rsidRPr="00D31344">
        <w:t xml:space="preserve">  </w:t>
      </w:r>
      <w:r w:rsidRPr="00D31344">
        <w:t xml:space="preserve">The trial court </w:t>
      </w:r>
      <w:r w:rsidR="00046904" w:rsidRPr="00D31344">
        <w:t>determined otherwise</w:t>
      </w:r>
      <w:r w:rsidR="00132D7C" w:rsidRPr="00D31344">
        <w:t xml:space="preserve"> </w:t>
      </w:r>
      <w:r w:rsidRPr="00D31344">
        <w:t>because it read section</w:t>
      </w:r>
      <w:r w:rsidR="003720CE" w:rsidRPr="00D31344">
        <w:t>s</w:t>
      </w:r>
      <w:r w:rsidRPr="00D31344">
        <w:t xml:space="preserve"> 7465(c)</w:t>
      </w:r>
      <w:r w:rsidR="00226C1A" w:rsidRPr="00D31344">
        <w:t>(3) and (4)</w:t>
      </w:r>
      <w:r w:rsidRPr="00D31344">
        <w:t xml:space="preserve"> as defining </w:t>
      </w:r>
      <w:r w:rsidR="00640F74" w:rsidRPr="00D31344">
        <w:t xml:space="preserve">“amendment” </w:t>
      </w:r>
      <w:r w:rsidRPr="00D31344">
        <w:t xml:space="preserve">only </w:t>
      </w:r>
      <w:r w:rsidR="00640F74" w:rsidRPr="00D31344">
        <w:t xml:space="preserve">for purposes of </w:t>
      </w:r>
      <w:r w:rsidRPr="00D31344">
        <w:t xml:space="preserve">the optional, seven-eighths majority procedure in section 7465, subdivision (a), not </w:t>
      </w:r>
      <w:r w:rsidR="00E75A9F" w:rsidRPr="00D31344">
        <w:t>for</w:t>
      </w:r>
      <w:r w:rsidRPr="00D31344">
        <w:t xml:space="preserve"> article II, section 10(c).  </w:t>
      </w:r>
      <w:r w:rsidR="00AA6B29" w:rsidRPr="00D31344">
        <w:t>The trial court is correct that section</w:t>
      </w:r>
      <w:r w:rsidR="003720CE" w:rsidRPr="00D31344">
        <w:t>s</w:t>
      </w:r>
      <w:r w:rsidR="00AA6B29" w:rsidRPr="00D31344">
        <w:t xml:space="preserve"> 7465(c)</w:t>
      </w:r>
      <w:r w:rsidR="00226C1A" w:rsidRPr="00D31344">
        <w:t xml:space="preserve">(3) and </w:t>
      </w:r>
      <w:r w:rsidR="00AA6B29" w:rsidRPr="00D31344">
        <w:t xml:space="preserve">(4) only </w:t>
      </w:r>
      <w:r w:rsidR="00B90CD0" w:rsidRPr="00D31344">
        <w:t xml:space="preserve">govern which </w:t>
      </w:r>
      <w:r w:rsidR="00AA6B29" w:rsidRPr="00D31344">
        <w:t xml:space="preserve">amendments </w:t>
      </w:r>
      <w:r w:rsidR="00B90CD0" w:rsidRPr="00D31344">
        <w:t xml:space="preserve">must comply with </w:t>
      </w:r>
      <w:r w:rsidR="00AA6B29" w:rsidRPr="00D31344">
        <w:t>the conditions established in section 7465</w:t>
      </w:r>
      <w:r w:rsidR="00B90CD0" w:rsidRPr="00D31344">
        <w:t xml:space="preserve">, subdivision </w:t>
      </w:r>
      <w:r w:rsidR="00AA6B29" w:rsidRPr="00D31344">
        <w:t>(a)</w:t>
      </w:r>
      <w:r w:rsidR="002A5DB8" w:rsidRPr="00D31344">
        <w:t xml:space="preserve">.  But </w:t>
      </w:r>
      <w:r w:rsidRPr="00D31344">
        <w:t>section 7465</w:t>
      </w:r>
      <w:r w:rsidR="008D1FFC" w:rsidRPr="00D31344">
        <w:t xml:space="preserve">, subdivision </w:t>
      </w:r>
      <w:r w:rsidRPr="00D31344">
        <w:t>(a)</w:t>
      </w:r>
      <w:r w:rsidR="0088417D" w:rsidRPr="00D31344">
        <w:t>’s power</w:t>
      </w:r>
      <w:r w:rsidRPr="00D31344">
        <w:t xml:space="preserve"> to </w:t>
      </w:r>
      <w:r w:rsidR="0088417D" w:rsidRPr="00D31344">
        <w:t xml:space="preserve">set conditions on </w:t>
      </w:r>
      <w:r w:rsidRPr="00D31344">
        <w:t xml:space="preserve">the Legislature’s enactment of future legislation </w:t>
      </w:r>
      <w:r w:rsidR="00AA6B29" w:rsidRPr="00D31344">
        <w:t xml:space="preserve">is the authority </w:t>
      </w:r>
      <w:r w:rsidR="0088417D" w:rsidRPr="00D31344">
        <w:t xml:space="preserve">conferred by </w:t>
      </w:r>
      <w:r w:rsidRPr="00D31344">
        <w:t>article II, section</w:t>
      </w:r>
      <w:r w:rsidRPr="00D31344">
        <w:t xml:space="preserve"> 10(c)</w:t>
      </w:r>
      <w:r w:rsidR="00AA6B29" w:rsidRPr="00D31344">
        <w:t xml:space="preserve">.  If a statute does not qualify as an amendment of Proposition 22 within the meaning of the Constitution, the Legislature need </w:t>
      </w:r>
      <w:r w:rsidR="00AA6B29" w:rsidRPr="00D31344">
        <w:lastRenderedPageBreak/>
        <w:t>neither secure the voters’ approval nor comply with the conditions</w:t>
      </w:r>
      <w:r w:rsidR="002A5DB8" w:rsidRPr="00D31344">
        <w:t xml:space="preserve"> in section 7465, subdivision (a).</w:t>
      </w:r>
      <w:r w:rsidR="00AA6B29" w:rsidRPr="00D31344">
        <w:t xml:space="preserve">  </w:t>
      </w:r>
      <w:r w:rsidR="00740F42" w:rsidRPr="00D31344">
        <w:t>S</w:t>
      </w:r>
      <w:r w:rsidR="00AA6B29" w:rsidRPr="00D31344">
        <w:t>ection</w:t>
      </w:r>
      <w:r w:rsidR="003720CE" w:rsidRPr="00D31344">
        <w:t>s</w:t>
      </w:r>
      <w:r w:rsidR="00AA6B29" w:rsidRPr="00D31344">
        <w:t xml:space="preserve"> 7465(c)</w:t>
      </w:r>
      <w:r w:rsidR="00AA69E0" w:rsidRPr="00D31344">
        <w:t xml:space="preserve">(3) and </w:t>
      </w:r>
      <w:r w:rsidR="00AA6B29" w:rsidRPr="00D31344">
        <w:t>(4)’s definition</w:t>
      </w:r>
      <w:r w:rsidR="00AA69E0" w:rsidRPr="00D31344">
        <w:t>s</w:t>
      </w:r>
      <w:r w:rsidR="00AA6B29" w:rsidRPr="00D31344">
        <w:t xml:space="preserve"> of </w:t>
      </w:r>
      <w:r w:rsidR="00F87B51" w:rsidRPr="00D31344">
        <w:t>“</w:t>
      </w:r>
      <w:r w:rsidR="00AA6B29" w:rsidRPr="00D31344">
        <w:t>amendment</w:t>
      </w:r>
      <w:r w:rsidR="00F87B51" w:rsidRPr="00D31344">
        <w:t>”</w:t>
      </w:r>
      <w:r w:rsidR="00AA6B29" w:rsidRPr="00D31344">
        <w:t xml:space="preserve"> as used in section 7465</w:t>
      </w:r>
      <w:r w:rsidR="008D1FFC" w:rsidRPr="00D31344">
        <w:t xml:space="preserve">, subdivision </w:t>
      </w:r>
      <w:r w:rsidR="00AA6B29" w:rsidRPr="00D31344">
        <w:t xml:space="preserve">(a) </w:t>
      </w:r>
      <w:r w:rsidR="00AA69E0" w:rsidRPr="00D31344">
        <w:t>are</w:t>
      </w:r>
      <w:r w:rsidR="00AA6B29" w:rsidRPr="00D31344">
        <w:t xml:space="preserve"> </w:t>
      </w:r>
      <w:r w:rsidR="00D12C8C" w:rsidRPr="00D31344">
        <w:t xml:space="preserve">thus </w:t>
      </w:r>
      <w:r w:rsidR="00AA6B29" w:rsidRPr="00D31344">
        <w:t>necessarily also a</w:t>
      </w:r>
      <w:r w:rsidR="006652DE" w:rsidRPr="00D31344">
        <w:t>n attempt to</w:t>
      </w:r>
      <w:r w:rsidR="00AA6B29" w:rsidRPr="00D31344">
        <w:t xml:space="preserve"> defin</w:t>
      </w:r>
      <w:r w:rsidR="006652DE" w:rsidRPr="00D31344">
        <w:t>e</w:t>
      </w:r>
      <w:r w:rsidR="00AA6B29" w:rsidRPr="00D31344">
        <w:t xml:space="preserve"> </w:t>
      </w:r>
      <w:r w:rsidR="006652DE" w:rsidRPr="00D31344">
        <w:t>“</w:t>
      </w:r>
      <w:r w:rsidR="00AA6B29" w:rsidRPr="00D31344">
        <w:t>amendment</w:t>
      </w:r>
      <w:r w:rsidR="00D12C8C" w:rsidRPr="00D31344">
        <w:t>”</w:t>
      </w:r>
      <w:r w:rsidR="00AA6B29" w:rsidRPr="00D31344">
        <w:t xml:space="preserve"> as used in article II, section 10(c)</w:t>
      </w:r>
      <w:r w:rsidR="006652DE" w:rsidRPr="00D31344">
        <w:t>, which is impermissible because such authority rests solely with the judiciary</w:t>
      </w:r>
      <w:r w:rsidR="00AA6B29" w:rsidRPr="00D31344">
        <w:t>.</w:t>
      </w:r>
    </w:p>
    <w:p w14:paraId="659611A9" w14:textId="4D80391A" w:rsidR="0022620C" w:rsidRPr="00D31344" w:rsidRDefault="00570B35" w:rsidP="00285CA8">
      <w:pPr>
        <w:pStyle w:val="Heading4"/>
      </w:pPr>
      <w:r w:rsidRPr="00D31344">
        <w:t>Intrusion on legislative powers</w:t>
      </w:r>
    </w:p>
    <w:p w14:paraId="127B2211" w14:textId="25A24375" w:rsidR="003C24EF" w:rsidRPr="00D31344" w:rsidRDefault="00570B35" w:rsidP="00F425EF">
      <w:pPr>
        <w:spacing w:line="360" w:lineRule="auto"/>
      </w:pPr>
      <w:r w:rsidRPr="00D31344">
        <w:tab/>
      </w:r>
      <w:r w:rsidR="00740F05" w:rsidRPr="00D31344">
        <w:t xml:space="preserve">Plaintiffs’ argument that </w:t>
      </w:r>
      <w:proofErr w:type="gramStart"/>
      <w:r w:rsidR="00740F05" w:rsidRPr="00D31344">
        <w:t>section</w:t>
      </w:r>
      <w:proofErr w:type="gramEnd"/>
      <w:r w:rsidR="00740F05" w:rsidRPr="00D31344">
        <w:t xml:space="preserve"> 7465(c)(4) intrudes on the Legislature’s authority</w:t>
      </w:r>
      <w:r w:rsidR="009C1191" w:rsidRPr="00D31344">
        <w:t>, with which the trial court agreed,</w:t>
      </w:r>
      <w:r w:rsidR="00740F05" w:rsidRPr="00D31344">
        <w:t xml:space="preserve"> is slightly more intricate but also </w:t>
      </w:r>
      <w:r w:rsidR="00DB02CF" w:rsidRPr="00D31344">
        <w:t>has merit</w:t>
      </w:r>
      <w:r w:rsidR="00740F05" w:rsidRPr="00D31344">
        <w:t>.</w:t>
      </w:r>
      <w:r w:rsidR="00914F96" w:rsidRPr="00D31344">
        <w:t xml:space="preserve"> </w:t>
      </w:r>
      <w:r w:rsidR="005650D1" w:rsidRPr="00D31344">
        <w:t xml:space="preserve"> </w:t>
      </w:r>
      <w:r w:rsidR="005C3EE3" w:rsidRPr="00D31344">
        <w:t>In determining whether the Legislature has intruded on the voters’ initiative power, courts</w:t>
      </w:r>
      <w:r w:rsidR="00E511DA" w:rsidRPr="00D31344">
        <w:t xml:space="preserve"> have </w:t>
      </w:r>
      <w:r w:rsidR="0007611B" w:rsidRPr="00D31344">
        <w:t xml:space="preserve">devised several different definitions of what constitutes an amendment of an initiative </w:t>
      </w:r>
      <w:r w:rsidR="009447DB" w:rsidRPr="00D31344">
        <w:t>under article II, section 10(c)</w:t>
      </w:r>
      <w:r w:rsidR="0007611B" w:rsidRPr="00D31344">
        <w:t xml:space="preserve">.  </w:t>
      </w:r>
      <w:r w:rsidR="009447DB" w:rsidRPr="00D31344">
        <w:t>Decisions have defined a</w:t>
      </w:r>
      <w:r w:rsidR="00E511DA" w:rsidRPr="00D31344">
        <w:t>n amendment variously as “ ‘a legislative act designed to change an existing initiative statute by adding or taking from it some particular provision’ ” (</w:t>
      </w:r>
      <w:r w:rsidR="00E511DA" w:rsidRPr="00D31344">
        <w:rPr>
          <w:i/>
        </w:rPr>
        <w:t xml:space="preserve">People v. Superior Court </w:t>
      </w:r>
      <w:r w:rsidR="00E511DA" w:rsidRPr="00D31344">
        <w:t>(</w:t>
      </w:r>
      <w:r w:rsidR="00E511DA" w:rsidRPr="00D31344">
        <w:rPr>
          <w:i/>
        </w:rPr>
        <w:t>Pearson</w:t>
      </w:r>
      <w:r w:rsidR="00E511DA" w:rsidRPr="00D31344">
        <w:t>) (2010) 48</w:t>
      </w:r>
      <w:r w:rsidR="006F45B8" w:rsidRPr="00D31344">
        <w:t> </w:t>
      </w:r>
      <w:r w:rsidR="00E511DA" w:rsidRPr="00D31344">
        <w:t>Cal.4th 564, 571), one that “prohibits what [an] initiative authorizes, or authorizes what the initiative prohibits</w:t>
      </w:r>
      <w:r w:rsidR="00637124" w:rsidRPr="00D31344">
        <w:t>”</w:t>
      </w:r>
      <w:r w:rsidR="00E511DA" w:rsidRPr="00D31344">
        <w:t xml:space="preserve"> (</w:t>
      </w:r>
      <w:r w:rsidR="00E511DA" w:rsidRPr="00D31344">
        <w:rPr>
          <w:i/>
          <w:iCs/>
        </w:rPr>
        <w:t>ibid.</w:t>
      </w:r>
      <w:r w:rsidR="00E511DA" w:rsidRPr="00D31344">
        <w:t xml:space="preserve">), or </w:t>
      </w:r>
      <w:r w:rsidR="00202922" w:rsidRPr="00D31344">
        <w:t xml:space="preserve">one that </w:t>
      </w:r>
      <w:r w:rsidR="00E511DA" w:rsidRPr="00D31344">
        <w:t xml:space="preserve">“changes </w:t>
      </w:r>
      <w:r w:rsidR="00202922" w:rsidRPr="00D31344">
        <w:t xml:space="preserve">its </w:t>
      </w:r>
      <w:r w:rsidR="00E511DA" w:rsidRPr="00D31344">
        <w:t xml:space="preserve">scope </w:t>
      </w:r>
      <w:r w:rsidR="00202922" w:rsidRPr="00D31344">
        <w:t xml:space="preserve">and </w:t>
      </w:r>
      <w:r w:rsidR="00E511DA" w:rsidRPr="00D31344">
        <w:t>effect” (</w:t>
      </w:r>
      <w:r w:rsidR="00E511DA" w:rsidRPr="00D31344">
        <w:rPr>
          <w:i/>
        </w:rPr>
        <w:t>Proposition 103 Enforcement Project v. Quackenbush</w:t>
      </w:r>
      <w:r w:rsidR="00E511DA" w:rsidRPr="00D31344">
        <w:t xml:space="preserve"> (1998) 64</w:t>
      </w:r>
      <w:r w:rsidR="000D7CF7" w:rsidRPr="00D31344">
        <w:t> </w:t>
      </w:r>
      <w:r w:rsidR="00E511DA" w:rsidRPr="00D31344">
        <w:t xml:space="preserve">Cal.App.4th 1473, 1486).  </w:t>
      </w:r>
      <w:r w:rsidR="00A21736" w:rsidRPr="00D31344">
        <w:t>But t</w:t>
      </w:r>
      <w:r w:rsidR="0053035E" w:rsidRPr="00D31344">
        <w:t>he Supreme Court</w:t>
      </w:r>
      <w:r w:rsidR="007B3D6D" w:rsidRPr="00D31344">
        <w:t xml:space="preserve"> </w:t>
      </w:r>
      <w:r w:rsidR="00451B31" w:rsidRPr="00D31344">
        <w:t xml:space="preserve">has cautioned </w:t>
      </w:r>
      <w:r w:rsidR="007B3D6D" w:rsidRPr="00D31344">
        <w:t xml:space="preserve">against using too broad of a </w:t>
      </w:r>
      <w:r w:rsidR="00451B31" w:rsidRPr="00D31344">
        <w:t>formulation</w:t>
      </w:r>
      <w:r w:rsidR="00687E4B" w:rsidRPr="00D31344">
        <w:t xml:space="preserve"> because, “despite the strict bar on the Legislature’s authority to amend initiative statutes, judicial decisions have observed that this body is not thereby precluded from enacting laws addressing the general subject matter of an initiative.  The </w:t>
      </w:r>
      <w:r w:rsidR="00687E4B" w:rsidRPr="00D31344">
        <w:lastRenderedPageBreak/>
        <w:t xml:space="preserve">Legislature remains free to address a </w:t>
      </w:r>
      <w:proofErr w:type="gramStart"/>
      <w:r w:rsidR="00F80BB1" w:rsidRPr="00D31344">
        <w:t>‘ </w:t>
      </w:r>
      <w:r w:rsidR="00687E4B" w:rsidRPr="00D31344">
        <w:t>“</w:t>
      </w:r>
      <w:proofErr w:type="gramEnd"/>
      <w:r w:rsidR="00687E4B" w:rsidRPr="00D31344">
        <w:t>related but distinct area</w:t>
      </w:r>
      <w:r w:rsidR="00F80BB1" w:rsidRPr="00D31344">
        <w:t>” </w:t>
      </w:r>
      <w:r w:rsidR="00687E4B" w:rsidRPr="00D31344">
        <w:t xml:space="preserve">’ [citations] or a matter that an initiative measure </w:t>
      </w:r>
      <w:r w:rsidR="00F80BB1" w:rsidRPr="00D31344">
        <w:t>‘</w:t>
      </w:r>
      <w:r w:rsidR="00687E4B" w:rsidRPr="00D31344">
        <w:t>does not specifically authorize or prohibit.</w:t>
      </w:r>
      <w:r w:rsidR="00F80BB1" w:rsidRPr="00D31344">
        <w:t>’ </w:t>
      </w:r>
      <w:r w:rsidR="00687E4B" w:rsidRPr="00D31344">
        <w:t>”  (</w:t>
      </w:r>
      <w:r w:rsidR="00687E4B" w:rsidRPr="00D31344">
        <w:rPr>
          <w:i/>
        </w:rPr>
        <w:t>People v. Kelly</w:t>
      </w:r>
      <w:r w:rsidR="00687E4B" w:rsidRPr="00D31344">
        <w:t xml:space="preserve"> (2010) 47 Cal.4th 1008, 1025–1026</w:t>
      </w:r>
      <w:r w:rsidR="00F7145F" w:rsidRPr="00D31344">
        <w:t xml:space="preserve"> &amp; fn. 19</w:t>
      </w:r>
      <w:r w:rsidR="00687E4B" w:rsidRPr="00D31344">
        <w:t>, italics omitted</w:t>
      </w:r>
      <w:r w:rsidR="00CF67D4" w:rsidRPr="00D31344">
        <w:t xml:space="preserve"> (</w:t>
      </w:r>
      <w:r w:rsidR="00CF67D4" w:rsidRPr="00D31344">
        <w:rPr>
          <w:i/>
        </w:rPr>
        <w:t>Kelly</w:t>
      </w:r>
      <w:r w:rsidR="00CF67D4" w:rsidRPr="00D31344">
        <w:t>)</w:t>
      </w:r>
      <w:r w:rsidR="00687E4B" w:rsidRPr="00D31344">
        <w:t>.)</w:t>
      </w:r>
      <w:r w:rsidR="007C3772" w:rsidRPr="00D31344">
        <w:t xml:space="preserve">  This admonition implicitly recognizes that the definition of </w:t>
      </w:r>
      <w:r w:rsidR="00F76575" w:rsidRPr="00D31344">
        <w:t>an</w:t>
      </w:r>
      <w:r w:rsidR="007C3772" w:rsidRPr="00D31344">
        <w:t xml:space="preserve"> amendment</w:t>
      </w:r>
      <w:r w:rsidR="00F76575" w:rsidRPr="00D31344">
        <w:t xml:space="preserve"> for the purposes of</w:t>
      </w:r>
      <w:r w:rsidR="007C3772" w:rsidRPr="00D31344">
        <w:t xml:space="preserve"> article II, section 10(c) </w:t>
      </w:r>
      <w:r w:rsidR="00F76575" w:rsidRPr="00D31344">
        <w:t xml:space="preserve">operates both to prevent the Legislature from </w:t>
      </w:r>
      <w:proofErr w:type="gramStart"/>
      <w:r w:rsidR="00F76575" w:rsidRPr="00D31344">
        <w:t>“ ‘</w:t>
      </w:r>
      <w:proofErr w:type="gramEnd"/>
      <w:r w:rsidR="00F76575" w:rsidRPr="00D31344">
        <w:t> “undoing what the people have done, without the electorate’s consent” ’ ” (</w:t>
      </w:r>
      <w:r w:rsidR="00653676" w:rsidRPr="00D31344">
        <w:rPr>
          <w:i/>
          <w:iCs/>
        </w:rPr>
        <w:t>Kelly</w:t>
      </w:r>
      <w:r w:rsidR="00653676" w:rsidRPr="00D31344">
        <w:t>,</w:t>
      </w:r>
      <w:r w:rsidR="00F76575" w:rsidRPr="00D31344">
        <w:rPr>
          <w:i/>
          <w:iCs/>
        </w:rPr>
        <w:t xml:space="preserve"> </w:t>
      </w:r>
      <w:r w:rsidR="00F76575" w:rsidRPr="00D31344">
        <w:t>at p.</w:t>
      </w:r>
      <w:r w:rsidR="00C225A1" w:rsidRPr="00D31344">
        <w:t> </w:t>
      </w:r>
      <w:r w:rsidR="00F76575" w:rsidRPr="00D31344">
        <w:t xml:space="preserve">1025) </w:t>
      </w:r>
      <w:r w:rsidR="0016397C" w:rsidRPr="00D31344">
        <w:t>and</w:t>
      </w:r>
      <w:r w:rsidR="00F76575" w:rsidRPr="00D31344">
        <w:t xml:space="preserve"> to demarcate the boundaries of the restrictions that an initiative places on the Legislature’s broad authority to legislate.</w:t>
      </w:r>
    </w:p>
    <w:p w14:paraId="07578AC8" w14:textId="6336BAC7" w:rsidR="006B19E9" w:rsidRPr="00D31344" w:rsidRDefault="00570B35" w:rsidP="009E5AD0">
      <w:pPr>
        <w:spacing w:line="360" w:lineRule="auto"/>
      </w:pPr>
      <w:r w:rsidRPr="00D31344">
        <w:tab/>
      </w:r>
      <w:r w:rsidR="00365133" w:rsidRPr="00D31344">
        <w:t xml:space="preserve">Collective bargaining legislation would not necessarily amend Proposition 22 under any of these </w:t>
      </w:r>
      <w:r w:rsidR="002C39D9" w:rsidRPr="00D31344">
        <w:t>definition</w:t>
      </w:r>
      <w:r w:rsidR="00365133" w:rsidRPr="00D31344">
        <w:t xml:space="preserve">s. </w:t>
      </w:r>
      <w:r w:rsidR="00D71027" w:rsidRPr="00D31344">
        <w:t xml:space="preserve"> </w:t>
      </w:r>
      <w:r w:rsidR="00B94EA9" w:rsidRPr="00D31344">
        <w:t>A</w:t>
      </w:r>
      <w:r w:rsidRPr="00D31344">
        <w:t xml:space="preserve">part from section </w:t>
      </w:r>
      <w:r w:rsidRPr="00D31344">
        <w:t xml:space="preserve">7465(c)(4), no other provision of Proposition 22 </w:t>
      </w:r>
      <w:r w:rsidR="0040603E" w:rsidRPr="00D31344">
        <w:t xml:space="preserve">directly </w:t>
      </w:r>
      <w:r w:rsidR="007C3772" w:rsidRPr="00D31344">
        <w:t>concerns</w:t>
      </w:r>
      <w:r w:rsidR="0040603E" w:rsidRPr="00D31344">
        <w:t xml:space="preserve"> the procedures for</w:t>
      </w:r>
      <w:r w:rsidRPr="00D31344">
        <w:t xml:space="preserve"> driver representation or collective bargaining.  </w:t>
      </w:r>
      <w:r w:rsidR="00DB001A" w:rsidRPr="00D31344">
        <w:t>The mere classification of drivers as independent contractors is not determinative of their ability to collectively bargain</w:t>
      </w:r>
      <w:r w:rsidR="00164B54" w:rsidRPr="00D31344">
        <w:t>, as</w:t>
      </w:r>
      <w:r w:rsidR="00DB001A" w:rsidRPr="00D31344">
        <w:t xml:space="preserve"> </w:t>
      </w:r>
      <w:r w:rsidR="00164B54" w:rsidRPr="00D31344">
        <w:t>i</w:t>
      </w:r>
      <w:r w:rsidR="00DB001A" w:rsidRPr="00D31344">
        <w:t xml:space="preserve">ndependent contractors can, in some circumstances, collectively bargain.  (See </w:t>
      </w:r>
      <w:r w:rsidR="00DB001A" w:rsidRPr="00D31344">
        <w:rPr>
          <w:i/>
          <w:iCs/>
        </w:rPr>
        <w:t>Chamber of Commerce</w:t>
      </w:r>
      <w:r w:rsidR="00DB001A" w:rsidRPr="00D31344">
        <w:t xml:space="preserve">, </w:t>
      </w:r>
      <w:r w:rsidR="00DB001A" w:rsidRPr="00D31344">
        <w:rPr>
          <w:i/>
          <w:iCs/>
        </w:rPr>
        <w:t>supra</w:t>
      </w:r>
      <w:r w:rsidR="00DB001A" w:rsidRPr="00D31344">
        <w:t>, 890 F.3d at pp. 7</w:t>
      </w:r>
      <w:r w:rsidR="00D02BC3" w:rsidRPr="00D31344">
        <w:t>80</w:t>
      </w:r>
      <w:r w:rsidR="00DB001A" w:rsidRPr="00D31344">
        <w:t xml:space="preserve">–790; </w:t>
      </w:r>
      <w:proofErr w:type="spellStart"/>
      <w:r w:rsidR="00DB001A" w:rsidRPr="00D31344">
        <w:t>Welf</w:t>
      </w:r>
      <w:proofErr w:type="spellEnd"/>
      <w:r w:rsidR="00DB001A" w:rsidRPr="00D31344">
        <w:t xml:space="preserve">. &amp; Inst. Code, §§ 10420.5, 10423 [authorizing family </w:t>
      </w:r>
      <w:proofErr w:type="gramStart"/>
      <w:r w:rsidR="00DB001A" w:rsidRPr="00D31344">
        <w:t>child care</w:t>
      </w:r>
      <w:proofErr w:type="gramEnd"/>
      <w:r w:rsidR="00DB001A" w:rsidRPr="00D31344">
        <w:t xml:space="preserve"> providers to appoint organization</w:t>
      </w:r>
      <w:r w:rsidR="0043655A" w:rsidRPr="00D31344">
        <w:t>s</w:t>
      </w:r>
      <w:r w:rsidR="00DB001A" w:rsidRPr="00D31344">
        <w:t xml:space="preserve"> to represent them without making such providers employees].)  </w:t>
      </w:r>
      <w:r w:rsidR="00323F40" w:rsidRPr="00D31344">
        <w:t>Likewise, t</w:t>
      </w:r>
      <w:r w:rsidRPr="00D31344">
        <w:t xml:space="preserve">he benefits </w:t>
      </w:r>
      <w:r w:rsidR="001072A4" w:rsidRPr="00D31344">
        <w:t xml:space="preserve">and obligations </w:t>
      </w:r>
      <w:r w:rsidRPr="00D31344">
        <w:t xml:space="preserve">that Proposition 22 provides </w:t>
      </w:r>
      <w:r w:rsidR="001072A4" w:rsidRPr="00D31344">
        <w:t xml:space="preserve">and imposes </w:t>
      </w:r>
      <w:r w:rsidRPr="00D31344">
        <w:t>are established as minimum</w:t>
      </w:r>
      <w:r w:rsidR="001072A4" w:rsidRPr="00D31344">
        <w:t>s</w:t>
      </w:r>
      <w:r w:rsidRPr="00D31344">
        <w:t>, not maximums</w:t>
      </w:r>
      <w:r w:rsidR="00562507" w:rsidRPr="00D31344">
        <w:t xml:space="preserve">, </w:t>
      </w:r>
      <w:r w:rsidR="005A6344" w:rsidRPr="00D31344">
        <w:t>so</w:t>
      </w:r>
      <w:r w:rsidR="00562507" w:rsidRPr="00D31344">
        <w:t xml:space="preserve"> nothing prevents drivers from negotiating for more</w:t>
      </w:r>
      <w:r w:rsidR="005A6344" w:rsidRPr="00D31344">
        <w:t xml:space="preserve">, </w:t>
      </w:r>
      <w:proofErr w:type="gramStart"/>
      <w:r w:rsidR="005A6344" w:rsidRPr="00D31344">
        <w:t>collectively</w:t>
      </w:r>
      <w:proofErr w:type="gramEnd"/>
      <w:r w:rsidR="005A6344" w:rsidRPr="00D31344">
        <w:t xml:space="preserve"> or individually</w:t>
      </w:r>
      <w:r w:rsidR="00562507" w:rsidRPr="00D31344">
        <w:t xml:space="preserve">. </w:t>
      </w:r>
      <w:r w:rsidRPr="00D31344">
        <w:t xml:space="preserve"> (See, e.g., §</w:t>
      </w:r>
      <w:r w:rsidR="00141085" w:rsidRPr="00D31344">
        <w:t>§</w:t>
      </w:r>
      <w:r w:rsidRPr="00D31344">
        <w:t xml:space="preserve"> 7454, </w:t>
      </w:r>
      <w:proofErr w:type="spellStart"/>
      <w:r w:rsidRPr="00D31344">
        <w:t>subd</w:t>
      </w:r>
      <w:proofErr w:type="spellEnd"/>
      <w:r w:rsidRPr="00D31344">
        <w:t>.</w:t>
      </w:r>
      <w:r w:rsidR="00EB16E8" w:rsidRPr="00D31344">
        <w:t> </w:t>
      </w:r>
      <w:r w:rsidRPr="00D31344">
        <w:t>(a)(1)</w:t>
      </w:r>
      <w:proofErr w:type="gramStart"/>
      <w:r w:rsidRPr="00D31344">
        <w:t>–(</w:t>
      </w:r>
      <w:proofErr w:type="gramEnd"/>
      <w:r w:rsidRPr="00D31344">
        <w:t xml:space="preserve">2) [requiring health care subsidy “greater than or equal to” certain </w:t>
      </w:r>
      <w:r w:rsidR="00462277" w:rsidRPr="00D31344">
        <w:t>amounts</w:t>
      </w:r>
      <w:r w:rsidRPr="00D31344">
        <w:t xml:space="preserve">], 7455, </w:t>
      </w:r>
      <w:proofErr w:type="spellStart"/>
      <w:r w:rsidRPr="00D31344">
        <w:t>subd</w:t>
      </w:r>
      <w:proofErr w:type="spellEnd"/>
      <w:r w:rsidRPr="00D31344">
        <w:t>.</w:t>
      </w:r>
      <w:r w:rsidR="00EB16E8" w:rsidRPr="00D31344">
        <w:t> </w:t>
      </w:r>
      <w:r w:rsidRPr="00D31344">
        <w:t>(a) [setting “minimum” coverage</w:t>
      </w:r>
      <w:r w:rsidR="00E5536A" w:rsidRPr="00D31344">
        <w:t>s</w:t>
      </w:r>
      <w:r w:rsidRPr="00D31344">
        <w:t xml:space="preserve"> </w:t>
      </w:r>
      <w:r w:rsidRPr="00D31344">
        <w:lastRenderedPageBreak/>
        <w:t>for insurance</w:t>
      </w:r>
      <w:r w:rsidRPr="00D31344">
        <w:t>]</w:t>
      </w:r>
      <w:r w:rsidR="001F13F9" w:rsidRPr="00D31344">
        <w:t xml:space="preserve">, 7458, </w:t>
      </w:r>
      <w:proofErr w:type="spellStart"/>
      <w:r w:rsidR="001F13F9" w:rsidRPr="00D31344">
        <w:t>subd</w:t>
      </w:r>
      <w:proofErr w:type="spellEnd"/>
      <w:r w:rsidR="001F13F9" w:rsidRPr="00D31344">
        <w:t>.</w:t>
      </w:r>
      <w:r w:rsidR="00EB16E8" w:rsidRPr="00D31344">
        <w:t> </w:t>
      </w:r>
      <w:r w:rsidR="001F13F9" w:rsidRPr="00D31344">
        <w:t xml:space="preserve">(e) [nothing in statute </w:t>
      </w:r>
      <w:r w:rsidR="00834D81" w:rsidRPr="00D31344">
        <w:t>“shall be interpreted to prevent a network company from imposing additional standards relating to criminal history”].)</w:t>
      </w:r>
      <w:r w:rsidRPr="00D31344">
        <w:t xml:space="preserve">  </w:t>
      </w:r>
      <w:r w:rsidR="00717B65" w:rsidRPr="00D31344">
        <w:t xml:space="preserve">By extending Proposition 22’s </w:t>
      </w:r>
      <w:r w:rsidR="004616F5" w:rsidRPr="00D31344">
        <w:t xml:space="preserve">article II, section 10(c) shadow </w:t>
      </w:r>
      <w:r w:rsidR="00717B65" w:rsidRPr="00D31344">
        <w:t>to bar legislation</w:t>
      </w:r>
      <w:r w:rsidR="00914F96" w:rsidRPr="00D31344">
        <w:t xml:space="preserve"> </w:t>
      </w:r>
      <w:r w:rsidR="00562507" w:rsidRPr="00D31344">
        <w:t>on subject</w:t>
      </w:r>
      <w:r w:rsidR="00737F1D" w:rsidRPr="00D31344">
        <w:t>s</w:t>
      </w:r>
      <w:r w:rsidR="00562507" w:rsidRPr="00D31344">
        <w:t xml:space="preserve"> which </w:t>
      </w:r>
      <w:r w:rsidR="00914F96" w:rsidRPr="00D31344">
        <w:t>Proposition 22</w:t>
      </w:r>
      <w:r w:rsidR="00562507" w:rsidRPr="00D31344">
        <w:t xml:space="preserve"> </w:t>
      </w:r>
      <w:r w:rsidR="0043655A" w:rsidRPr="00D31344">
        <w:t xml:space="preserve">does not </w:t>
      </w:r>
      <w:r w:rsidR="00737F1D" w:rsidRPr="00D31344">
        <w:t>otherwise</w:t>
      </w:r>
      <w:r w:rsidR="00562507" w:rsidRPr="00D31344">
        <w:t xml:space="preserve"> </w:t>
      </w:r>
      <w:r w:rsidR="0043655A" w:rsidRPr="00D31344">
        <w:t>directly address</w:t>
      </w:r>
      <w:r w:rsidR="00717B65" w:rsidRPr="00D31344">
        <w:t xml:space="preserve">, section 7465(c)(4) </w:t>
      </w:r>
      <w:r w:rsidR="001C39E6" w:rsidRPr="00D31344">
        <w:t xml:space="preserve">intrudes on the Legislature’s authority </w:t>
      </w:r>
      <w:r w:rsidR="0032229D" w:rsidRPr="00D31344">
        <w:t xml:space="preserve">to address a </w:t>
      </w:r>
      <w:proofErr w:type="gramStart"/>
      <w:r w:rsidR="0032229D" w:rsidRPr="00D31344">
        <w:t>“ ‘</w:t>
      </w:r>
      <w:proofErr w:type="gramEnd"/>
      <w:r w:rsidR="00AB28BA" w:rsidRPr="00D31344">
        <w:t> “</w:t>
      </w:r>
      <w:r w:rsidR="0032229D" w:rsidRPr="00D31344">
        <w:t>related but distinct area</w:t>
      </w:r>
      <w:r w:rsidR="00AB28BA" w:rsidRPr="00D31344">
        <w:t>” </w:t>
      </w:r>
      <w:r w:rsidR="0032229D" w:rsidRPr="00D31344">
        <w:t xml:space="preserve">’ ” or a matter that </w:t>
      </w:r>
      <w:r w:rsidR="00B11E92" w:rsidRPr="00D31344">
        <w:t xml:space="preserve">Proposition 22 </w:t>
      </w:r>
      <w:r w:rsidR="0032229D" w:rsidRPr="00D31344">
        <w:t>“</w:t>
      </w:r>
      <w:r w:rsidR="00AB28BA" w:rsidRPr="00D31344">
        <w:t> ‘</w:t>
      </w:r>
      <w:r w:rsidR="0032229D" w:rsidRPr="00D31344">
        <w:t>does not specifically authorize or prohibit.</w:t>
      </w:r>
      <w:r w:rsidR="00AB28BA" w:rsidRPr="00D31344">
        <w:t>’ </w:t>
      </w:r>
      <w:r w:rsidR="0032229D" w:rsidRPr="00D31344">
        <w:t>” (</w:t>
      </w:r>
      <w:r w:rsidR="0032229D" w:rsidRPr="00D31344">
        <w:rPr>
          <w:i/>
          <w:iCs/>
        </w:rPr>
        <w:t>Kelly</w:t>
      </w:r>
      <w:r w:rsidR="00D76062" w:rsidRPr="00D31344">
        <w:t xml:space="preserve">, </w:t>
      </w:r>
      <w:r w:rsidR="00D76062" w:rsidRPr="00D31344">
        <w:rPr>
          <w:i/>
          <w:iCs/>
        </w:rPr>
        <w:t>supra</w:t>
      </w:r>
      <w:r w:rsidR="00D76062" w:rsidRPr="00D31344">
        <w:t>,</w:t>
      </w:r>
      <w:r w:rsidR="0032229D" w:rsidRPr="00D31344">
        <w:t xml:space="preserve"> 47</w:t>
      </w:r>
      <w:r w:rsidR="00897A3F" w:rsidRPr="00D31344">
        <w:t> </w:t>
      </w:r>
      <w:r w:rsidR="0032229D" w:rsidRPr="00D31344">
        <w:t xml:space="preserve">Cal.4th </w:t>
      </w:r>
      <w:r w:rsidR="00D76062" w:rsidRPr="00D31344">
        <w:t>at pp.</w:t>
      </w:r>
      <w:r w:rsidR="00897A3F" w:rsidRPr="00D31344">
        <w:t> </w:t>
      </w:r>
      <w:r w:rsidR="0032229D" w:rsidRPr="00D31344">
        <w:t>1025–1026</w:t>
      </w:r>
      <w:r w:rsidR="00D76062" w:rsidRPr="00D31344">
        <w:t>, italics omitted</w:t>
      </w:r>
      <w:r w:rsidR="00DF4D01" w:rsidRPr="00D31344">
        <w:t xml:space="preserve">; cf. </w:t>
      </w:r>
      <w:r w:rsidR="00DF4D01" w:rsidRPr="00D31344">
        <w:rPr>
          <w:i/>
        </w:rPr>
        <w:t>People v. Nash</w:t>
      </w:r>
      <w:r w:rsidR="00DF4D01" w:rsidRPr="00D31344">
        <w:t xml:space="preserve"> (2020) 52</w:t>
      </w:r>
      <w:r w:rsidR="00F4042A" w:rsidRPr="00D31344">
        <w:t> </w:t>
      </w:r>
      <w:r w:rsidR="00DF4D01" w:rsidRPr="00D31344">
        <w:t>Cal.App.5th 1041, 1059–1060 [legislation changing the bases for murder liability did not amend initiative that mandated increased sentences for murder convictions]</w:t>
      </w:r>
      <w:r w:rsidR="0032229D" w:rsidRPr="00D31344">
        <w:t>.</w:t>
      </w:r>
      <w:r w:rsidR="00914F96" w:rsidRPr="00D31344">
        <w:t>)</w:t>
      </w:r>
      <w:r w:rsidR="00AB0FA3" w:rsidRPr="00D31344">
        <w:t xml:space="preserve">  </w:t>
      </w:r>
      <w:r w:rsidR="001B6462" w:rsidRPr="00D31344">
        <w:t xml:space="preserve">On its face, section 7465(c)(4) </w:t>
      </w:r>
      <w:r w:rsidR="00AB0FA3" w:rsidRPr="00D31344">
        <w:t>therefore violates the separation of powers for this reason as well.</w:t>
      </w:r>
    </w:p>
    <w:p w14:paraId="17C5E30F" w14:textId="4D80391A" w:rsidR="0022620C" w:rsidRPr="00D31344" w:rsidRDefault="00570B35" w:rsidP="0096446A">
      <w:pPr>
        <w:pStyle w:val="Heading4"/>
      </w:pPr>
      <w:proofErr w:type="gramStart"/>
      <w:r w:rsidRPr="00D31344">
        <w:t>Interveners’</w:t>
      </w:r>
      <w:proofErr w:type="gramEnd"/>
      <w:r w:rsidRPr="00D31344">
        <w:t xml:space="preserve"> and the </w:t>
      </w:r>
      <w:r w:rsidR="008D39BB" w:rsidRPr="00D31344">
        <w:t>s</w:t>
      </w:r>
      <w:r w:rsidRPr="00D31344">
        <w:t>tate’s arguments</w:t>
      </w:r>
    </w:p>
    <w:p w14:paraId="40C05872" w14:textId="4B6EA9AD" w:rsidR="006341A7" w:rsidRPr="00D31344" w:rsidRDefault="00570B35" w:rsidP="006631FF">
      <w:pPr>
        <w:spacing w:line="360" w:lineRule="auto"/>
      </w:pPr>
      <w:r w:rsidRPr="00D31344">
        <w:tab/>
      </w:r>
      <w:r w:rsidR="005800A5" w:rsidRPr="00D31344">
        <w:t xml:space="preserve">Interveners </w:t>
      </w:r>
      <w:r w:rsidR="00F50ACF" w:rsidRPr="00D31344">
        <w:t xml:space="preserve">do not defend </w:t>
      </w:r>
      <w:r w:rsidR="005800A5" w:rsidRPr="00D31344">
        <w:t>section</w:t>
      </w:r>
      <w:r w:rsidR="005E18BC" w:rsidRPr="00D31344">
        <w:t>s</w:t>
      </w:r>
      <w:r w:rsidR="005800A5" w:rsidRPr="00D31344">
        <w:t xml:space="preserve"> 7465(c)</w:t>
      </w:r>
      <w:r w:rsidR="00156FAB" w:rsidRPr="00D31344">
        <w:t xml:space="preserve">(3) and </w:t>
      </w:r>
      <w:r w:rsidR="005800A5" w:rsidRPr="00D31344">
        <w:t xml:space="preserve">(4) </w:t>
      </w:r>
      <w:r w:rsidR="009F252E" w:rsidRPr="00D31344">
        <w:t xml:space="preserve">as written and </w:t>
      </w:r>
      <w:r w:rsidR="007C6EA9" w:rsidRPr="00D31344">
        <w:t>instead</w:t>
      </w:r>
      <w:r w:rsidR="009F252E" w:rsidRPr="00D31344">
        <w:t xml:space="preserve"> downplay </w:t>
      </w:r>
      <w:r w:rsidR="005E18BC" w:rsidRPr="00D31344">
        <w:t>them</w:t>
      </w:r>
      <w:r w:rsidR="009F252E" w:rsidRPr="00D31344">
        <w:t xml:space="preserve"> by </w:t>
      </w:r>
      <w:r w:rsidR="00776834" w:rsidRPr="00D31344">
        <w:t>constru</w:t>
      </w:r>
      <w:r w:rsidR="009F252E" w:rsidRPr="00D31344">
        <w:t xml:space="preserve">ing </w:t>
      </w:r>
      <w:r w:rsidR="005E18BC" w:rsidRPr="00D31344">
        <w:t>them</w:t>
      </w:r>
      <w:r w:rsidR="00776834" w:rsidRPr="00D31344">
        <w:t xml:space="preserve"> as</w:t>
      </w:r>
      <w:r w:rsidR="005800A5" w:rsidRPr="00D31344">
        <w:t xml:space="preserve"> merely statement</w:t>
      </w:r>
      <w:r w:rsidR="005E18BC" w:rsidRPr="00D31344">
        <w:t>s</w:t>
      </w:r>
      <w:r w:rsidR="005800A5" w:rsidRPr="00D31344">
        <w:t xml:space="preserve"> of intent, precatory declaration</w:t>
      </w:r>
      <w:r w:rsidR="005E18BC" w:rsidRPr="00D31344">
        <w:t>s</w:t>
      </w:r>
      <w:r w:rsidR="005800A5" w:rsidRPr="00D31344">
        <w:t xml:space="preserve"> of the voters’ views of what constitute</w:t>
      </w:r>
      <w:r w:rsidR="00ED7F5A" w:rsidRPr="00D31344">
        <w:t>s</w:t>
      </w:r>
      <w:r w:rsidR="005800A5" w:rsidRPr="00D31344">
        <w:t xml:space="preserve"> an amendment</w:t>
      </w:r>
      <w:r w:rsidR="009F252E" w:rsidRPr="00D31344">
        <w:t>.</w:t>
      </w:r>
      <w:r>
        <w:rPr>
          <w:rStyle w:val="FootnoteReference"/>
        </w:rPr>
        <w:footnoteReference w:id="18"/>
      </w:r>
      <w:r w:rsidR="009F252E" w:rsidRPr="00D31344">
        <w:t xml:space="preserve">  Interveners </w:t>
      </w:r>
      <w:r w:rsidR="00ED7F5A" w:rsidRPr="00D31344">
        <w:t>analogize</w:t>
      </w:r>
      <w:r w:rsidR="009F252E" w:rsidRPr="00D31344">
        <w:t xml:space="preserve"> </w:t>
      </w:r>
      <w:r w:rsidR="005E18BC" w:rsidRPr="00D31344">
        <w:t>sections 7465(c)(3) and (4)</w:t>
      </w:r>
      <w:r w:rsidR="009F252E" w:rsidRPr="00D31344">
        <w:t xml:space="preserve"> to </w:t>
      </w:r>
      <w:r w:rsidR="00BC4A13" w:rsidRPr="00D31344">
        <w:t xml:space="preserve">provisions </w:t>
      </w:r>
      <w:r w:rsidR="00BB43EC" w:rsidRPr="00D31344">
        <w:t xml:space="preserve">the Legislature commonly </w:t>
      </w:r>
      <w:r w:rsidRPr="00D31344">
        <w:t>deploys when amending initiative statutes</w:t>
      </w:r>
      <w:r w:rsidR="005800A5" w:rsidRPr="00D31344">
        <w:t xml:space="preserve">.  </w:t>
      </w:r>
      <w:r w:rsidR="007726F3" w:rsidRPr="00D31344">
        <w:t xml:space="preserve">They cite, for example, </w:t>
      </w:r>
      <w:proofErr w:type="spellStart"/>
      <w:r w:rsidR="007726F3" w:rsidRPr="00D31344">
        <w:rPr>
          <w:i/>
          <w:iCs/>
        </w:rPr>
        <w:t>Amwest</w:t>
      </w:r>
      <w:proofErr w:type="spellEnd"/>
      <w:r w:rsidR="007726F3" w:rsidRPr="00D31344">
        <w:rPr>
          <w:i/>
          <w:iCs/>
        </w:rPr>
        <w:t xml:space="preserve"> Surety Ins. Co. v. Wilson</w:t>
      </w:r>
      <w:r w:rsidR="007726F3" w:rsidRPr="00D31344">
        <w:t xml:space="preserve">, </w:t>
      </w:r>
      <w:r w:rsidR="007726F3" w:rsidRPr="00D31344">
        <w:rPr>
          <w:i/>
          <w:iCs/>
        </w:rPr>
        <w:t>supra</w:t>
      </w:r>
      <w:r w:rsidR="007726F3" w:rsidRPr="00D31344">
        <w:t>, 11</w:t>
      </w:r>
      <w:r w:rsidR="00FE06B3" w:rsidRPr="00D31344">
        <w:t> </w:t>
      </w:r>
      <w:r w:rsidR="007726F3" w:rsidRPr="00D31344">
        <w:t xml:space="preserve">Cal.4th </w:t>
      </w:r>
      <w:r w:rsidR="007726F3" w:rsidRPr="00D31344">
        <w:lastRenderedPageBreak/>
        <w:t>at p</w:t>
      </w:r>
      <w:r w:rsidR="00225FD9" w:rsidRPr="00D31344">
        <w:t>age</w:t>
      </w:r>
      <w:r w:rsidR="007726F3" w:rsidRPr="00D31344">
        <w:t xml:space="preserve"> 1260</w:t>
      </w:r>
      <w:r w:rsidR="00225FD9" w:rsidRPr="00D31344">
        <w:t xml:space="preserve">, </w:t>
      </w:r>
      <w:r w:rsidR="002C19EE" w:rsidRPr="00D31344">
        <w:t xml:space="preserve">which dealt with a statute declaring </w:t>
      </w:r>
      <w:r w:rsidR="007726F3" w:rsidRPr="00D31344">
        <w:t>“that the act ‘furthers the purpose of Proposition 103 by clarifying the applicability of the proposition to surety insurance</w:t>
      </w:r>
      <w:r w:rsidR="002C19EE" w:rsidRPr="00D31344">
        <w:t>.</w:t>
      </w:r>
      <w:proofErr w:type="gramStart"/>
      <w:r w:rsidR="007726F3" w:rsidRPr="00D31344">
        <w:t>’ ”</w:t>
      </w:r>
      <w:proofErr w:type="gramEnd"/>
      <w:r w:rsidR="00737F1D" w:rsidRPr="00D31344">
        <w:t xml:space="preserve"> </w:t>
      </w:r>
      <w:r w:rsidR="00225A40" w:rsidRPr="00D31344">
        <w:t xml:space="preserve"> </w:t>
      </w:r>
      <w:r w:rsidR="00737F1D" w:rsidRPr="00D31344">
        <w:t xml:space="preserve">(See </w:t>
      </w:r>
      <w:r w:rsidR="007726F3" w:rsidRPr="00D31344">
        <w:rPr>
          <w:i/>
          <w:iCs/>
        </w:rPr>
        <w:t>Proposition 103 Enforcement Project v. Quackenbush</w:t>
      </w:r>
      <w:r w:rsidR="00373F1B" w:rsidRPr="00D31344">
        <w:t xml:space="preserve">, </w:t>
      </w:r>
      <w:r w:rsidR="00373F1B" w:rsidRPr="00D31344">
        <w:rPr>
          <w:i/>
          <w:iCs/>
        </w:rPr>
        <w:t>supra</w:t>
      </w:r>
      <w:r w:rsidR="00373F1B" w:rsidRPr="00D31344">
        <w:t>,</w:t>
      </w:r>
      <w:r w:rsidR="007726F3" w:rsidRPr="00D31344">
        <w:t xml:space="preserve"> 64</w:t>
      </w:r>
      <w:r w:rsidR="00373F1B" w:rsidRPr="00D31344">
        <w:t> </w:t>
      </w:r>
      <w:r w:rsidR="007726F3" w:rsidRPr="00D31344">
        <w:t xml:space="preserve">Cal.App.4th </w:t>
      </w:r>
      <w:r w:rsidR="004C006E" w:rsidRPr="00D31344">
        <w:t>at p.</w:t>
      </w:r>
      <w:r w:rsidR="00EE6326" w:rsidRPr="00D31344">
        <w:t> </w:t>
      </w:r>
      <w:r w:rsidR="007726F3" w:rsidRPr="00D31344">
        <w:t>1481</w:t>
      </w:r>
      <w:r w:rsidR="00737F1D" w:rsidRPr="00D31344">
        <w:t xml:space="preserve"> [</w:t>
      </w:r>
      <w:r w:rsidR="00C57C91" w:rsidRPr="00D31344">
        <w:t>consider</w:t>
      </w:r>
      <w:r w:rsidR="00737F1D" w:rsidRPr="00D31344">
        <w:t>ing</w:t>
      </w:r>
      <w:r w:rsidR="00C57C91" w:rsidRPr="00D31344">
        <w:t xml:space="preserve"> a statute stating, </w:t>
      </w:r>
      <w:proofErr w:type="gramStart"/>
      <w:r w:rsidR="007726F3" w:rsidRPr="00D31344">
        <w:t>“ ‘</w:t>
      </w:r>
      <w:proofErr w:type="gramEnd"/>
      <w:r w:rsidR="007726F3" w:rsidRPr="00D31344">
        <w:t>The Legislature finds and declares that this statute furthers the purpose of Proposition 103</w:t>
      </w:r>
      <w:r w:rsidR="005A3FB1" w:rsidRPr="00D31344">
        <w:t>,</w:t>
      </w:r>
      <w:r w:rsidR="007726F3" w:rsidRPr="00D31344">
        <w:t>’ ”</w:t>
      </w:r>
      <w:r w:rsidR="005A3FB1" w:rsidRPr="00D31344">
        <w:t xml:space="preserve"> italics omitted</w:t>
      </w:r>
      <w:r w:rsidR="00737F1D" w:rsidRPr="00D31344">
        <w:t>].)</w:t>
      </w:r>
    </w:p>
    <w:p w14:paraId="52CA54F1" w14:textId="4376FAD6" w:rsidR="00B1363D" w:rsidRPr="00D31344" w:rsidRDefault="00570B35" w:rsidP="006631FF">
      <w:pPr>
        <w:spacing w:line="360" w:lineRule="auto"/>
      </w:pPr>
      <w:r w:rsidRPr="00D31344">
        <w:tab/>
        <w:t>I</w:t>
      </w:r>
      <w:r w:rsidR="00BB43EC" w:rsidRPr="00D31344">
        <w:t>nterveners’ construction of section</w:t>
      </w:r>
      <w:r w:rsidR="005E18BC" w:rsidRPr="00D31344">
        <w:t>s</w:t>
      </w:r>
      <w:r w:rsidR="00BB43EC" w:rsidRPr="00D31344">
        <w:t xml:space="preserve"> 7465(c)</w:t>
      </w:r>
      <w:r w:rsidR="00017E77" w:rsidRPr="00D31344">
        <w:t xml:space="preserve">(3) and </w:t>
      </w:r>
      <w:r w:rsidR="00BB43EC" w:rsidRPr="00D31344">
        <w:t xml:space="preserve">(4) is not plausible.  </w:t>
      </w:r>
      <w:r w:rsidR="007440A3" w:rsidRPr="00D31344">
        <w:t xml:space="preserve">Questions of purpose are suitable for precatory </w:t>
      </w:r>
      <w:proofErr w:type="gramStart"/>
      <w:r w:rsidR="007440A3" w:rsidRPr="00D31344">
        <w:t>declarations, since</w:t>
      </w:r>
      <w:proofErr w:type="gramEnd"/>
      <w:r w:rsidR="007440A3" w:rsidRPr="00D31344">
        <w:t xml:space="preserve"> they turn on questions of legislative intent and </w:t>
      </w:r>
      <w:r w:rsidR="00BF170D" w:rsidRPr="00D31344">
        <w:t>will vary from one initiative to another.  T</w:t>
      </w:r>
      <w:r w:rsidR="007440A3" w:rsidRPr="00D31344">
        <w:t xml:space="preserve">he Legislature’s or the voters’ input could be </w:t>
      </w:r>
      <w:r w:rsidR="00BF170D" w:rsidRPr="00D31344">
        <w:t>relevant</w:t>
      </w:r>
      <w:r w:rsidR="007440A3" w:rsidRPr="00D31344">
        <w:t xml:space="preserve"> when discerning such intent.  </w:t>
      </w:r>
      <w:r w:rsidRPr="00D31344">
        <w:t>Thus,</w:t>
      </w:r>
      <w:r w:rsidR="00C14449" w:rsidRPr="00D31344">
        <w:t xml:space="preserve"> there is no apparent issue with</w:t>
      </w:r>
      <w:r w:rsidRPr="00D31344">
        <w:t xml:space="preserve"> section 7465(c)(1)</w:t>
      </w:r>
      <w:r w:rsidR="000061FC" w:rsidRPr="00D31344">
        <w:t xml:space="preserve">’s </w:t>
      </w:r>
      <w:r w:rsidRPr="00D31344">
        <w:t xml:space="preserve">definition of </w:t>
      </w:r>
      <w:r w:rsidR="004A1FC3" w:rsidRPr="00D31344">
        <w:t>Proposition 22’s</w:t>
      </w:r>
      <w:r w:rsidRPr="00D31344">
        <w:t xml:space="preserve"> purposes and </w:t>
      </w:r>
      <w:r w:rsidR="000061FC" w:rsidRPr="00D31344">
        <w:t xml:space="preserve">section 7465(c)(2)’s </w:t>
      </w:r>
      <w:r w:rsidRPr="00D31344">
        <w:t>declaration that a statute that amends section 7451</w:t>
      </w:r>
      <w:r w:rsidR="000061FC" w:rsidRPr="00D31344">
        <w:t>—</w:t>
      </w:r>
      <w:r w:rsidRPr="00D31344">
        <w:t>which defines app-based dr</w:t>
      </w:r>
      <w:r w:rsidRPr="00D31344">
        <w:t>ivers as independent contractors</w:t>
      </w:r>
      <w:r w:rsidR="000061FC" w:rsidRPr="00D31344">
        <w:t>—</w:t>
      </w:r>
      <w:r w:rsidRPr="00D31344">
        <w:t xml:space="preserve">does not further those purposes.  </w:t>
      </w:r>
    </w:p>
    <w:p w14:paraId="4F146563" w14:textId="38C9171B" w:rsidR="00512A7B" w:rsidRPr="00D31344" w:rsidRDefault="00570B35" w:rsidP="00675AE8">
      <w:pPr>
        <w:spacing w:line="360" w:lineRule="auto"/>
      </w:pPr>
      <w:r w:rsidRPr="00D31344">
        <w:tab/>
      </w:r>
      <w:r w:rsidR="00EA02F4" w:rsidRPr="00D31344">
        <w:t>U</w:t>
      </w:r>
      <w:r w:rsidR="00225A40" w:rsidRPr="00D31344">
        <w:t xml:space="preserve">nlike </w:t>
      </w:r>
      <w:r w:rsidR="00EA02F4" w:rsidRPr="00D31344">
        <w:t>section</w:t>
      </w:r>
      <w:r w:rsidR="00C11734" w:rsidRPr="00D31344">
        <w:t>s</w:t>
      </w:r>
      <w:r w:rsidR="00EA02F4" w:rsidRPr="00D31344">
        <w:t xml:space="preserve"> 7465(c)(1) and (2) or </w:t>
      </w:r>
      <w:r w:rsidR="00225A40" w:rsidRPr="00D31344">
        <w:t xml:space="preserve">the </w:t>
      </w:r>
      <w:r w:rsidR="000061FC" w:rsidRPr="00D31344">
        <w:t xml:space="preserve">legislative </w:t>
      </w:r>
      <w:r w:rsidR="00225A40" w:rsidRPr="00D31344">
        <w:t xml:space="preserve">statements </w:t>
      </w:r>
      <w:r w:rsidR="00EA02F4" w:rsidRPr="00D31344">
        <w:t>that</w:t>
      </w:r>
      <w:r w:rsidR="00225A40" w:rsidRPr="00D31344">
        <w:t xml:space="preserve"> interveners </w:t>
      </w:r>
      <w:r w:rsidR="00EA02F4" w:rsidRPr="00D31344">
        <w:t>cite</w:t>
      </w:r>
      <w:r w:rsidR="00225A40" w:rsidRPr="00D31344">
        <w:t xml:space="preserve">, </w:t>
      </w:r>
      <w:r w:rsidR="000061FC" w:rsidRPr="00D31344">
        <w:t xml:space="preserve">however, </w:t>
      </w:r>
      <w:r w:rsidR="00B96ED6" w:rsidRPr="00D31344">
        <w:t>s</w:t>
      </w:r>
      <w:r w:rsidRPr="00D31344">
        <w:t>ection</w:t>
      </w:r>
      <w:r w:rsidR="0022620C" w:rsidRPr="00D31344">
        <w:t>s</w:t>
      </w:r>
      <w:r w:rsidRPr="00D31344">
        <w:t xml:space="preserve"> 7465(c)</w:t>
      </w:r>
      <w:r w:rsidR="00017E77" w:rsidRPr="00D31344">
        <w:t xml:space="preserve">(3) and </w:t>
      </w:r>
      <w:r w:rsidRPr="00D31344">
        <w:t>(4)</w:t>
      </w:r>
      <w:r w:rsidR="001A52C9" w:rsidRPr="00D31344">
        <w:t xml:space="preserve"> do not </w:t>
      </w:r>
      <w:r w:rsidR="00EA02F4" w:rsidRPr="00D31344">
        <w:t>concern</w:t>
      </w:r>
      <w:r w:rsidR="001A52C9" w:rsidRPr="00D31344">
        <w:t xml:space="preserve"> Proposition 22</w:t>
      </w:r>
      <w:r w:rsidR="00EA02F4" w:rsidRPr="00D31344">
        <w:t>’s purpose</w:t>
      </w:r>
      <w:r w:rsidR="00BF08C7" w:rsidRPr="00D31344">
        <w:t>s</w:t>
      </w:r>
      <w:r w:rsidR="001A52C9" w:rsidRPr="00D31344">
        <w:t xml:space="preserve"> or what would further </w:t>
      </w:r>
      <w:r w:rsidR="00BF08C7" w:rsidRPr="00D31344">
        <w:t>those</w:t>
      </w:r>
      <w:r w:rsidR="001A52C9" w:rsidRPr="00D31344">
        <w:t xml:space="preserve"> purpose</w:t>
      </w:r>
      <w:r w:rsidR="00BF08C7" w:rsidRPr="00D31344">
        <w:t>s</w:t>
      </w:r>
      <w:r w:rsidR="001A52C9" w:rsidRPr="00D31344">
        <w:t xml:space="preserve">.  </w:t>
      </w:r>
      <w:r w:rsidR="00DB7B9F" w:rsidRPr="00D31344">
        <w:t>Section</w:t>
      </w:r>
      <w:r w:rsidR="0022620C" w:rsidRPr="00D31344">
        <w:t>s</w:t>
      </w:r>
      <w:r w:rsidR="00DB7B9F" w:rsidRPr="00D31344">
        <w:t xml:space="preserve"> 7465(c)</w:t>
      </w:r>
      <w:r w:rsidR="00017E77" w:rsidRPr="00D31344">
        <w:t xml:space="preserve">(3) and </w:t>
      </w:r>
      <w:r w:rsidR="00DB7B9F" w:rsidRPr="00D31344">
        <w:t>(4</w:t>
      </w:r>
      <w:r w:rsidR="00F039D5" w:rsidRPr="00D31344">
        <w:t>)</w:t>
      </w:r>
      <w:r w:rsidR="00DB7B9F" w:rsidRPr="00D31344">
        <w:t xml:space="preserve"> </w:t>
      </w:r>
      <w:r w:rsidR="00EA02F4" w:rsidRPr="00D31344">
        <w:t>address</w:t>
      </w:r>
      <w:r w:rsidR="00DB7B9F" w:rsidRPr="00D31344">
        <w:t xml:space="preserve"> </w:t>
      </w:r>
      <w:r w:rsidR="008B6912" w:rsidRPr="00D31344">
        <w:t>the distinct question of what constitute</w:t>
      </w:r>
      <w:r w:rsidR="007440A3" w:rsidRPr="00D31344">
        <w:t>s</w:t>
      </w:r>
      <w:r w:rsidR="008B6912" w:rsidRPr="00D31344">
        <w:t xml:space="preserve"> an amendment</w:t>
      </w:r>
      <w:r w:rsidR="007440A3" w:rsidRPr="00D31344">
        <w:t xml:space="preserve"> of Proposition 22</w:t>
      </w:r>
      <w:r w:rsidR="008B6912" w:rsidRPr="00D31344">
        <w:t xml:space="preserve">.  </w:t>
      </w:r>
      <w:r w:rsidR="00346ACB" w:rsidRPr="00D31344">
        <w:t xml:space="preserve">(See </w:t>
      </w:r>
      <w:r w:rsidR="00675AE8" w:rsidRPr="00D31344">
        <w:rPr>
          <w:i/>
        </w:rPr>
        <w:t>O.G. v. Superior Court</w:t>
      </w:r>
      <w:r w:rsidR="00675AE8" w:rsidRPr="00D31344">
        <w:t xml:space="preserve"> (2021) 11</w:t>
      </w:r>
      <w:r w:rsidR="007D729C" w:rsidRPr="00D31344">
        <w:t> </w:t>
      </w:r>
      <w:r w:rsidR="00675AE8" w:rsidRPr="00D31344">
        <w:t>Cal.5th 82, 99</w:t>
      </w:r>
      <w:r w:rsidR="00BD08AE" w:rsidRPr="00D31344">
        <w:t>–100</w:t>
      </w:r>
      <w:r w:rsidR="00675AE8" w:rsidRPr="00D31344">
        <w:t xml:space="preserve"> [issues of whether a statute amends an initiative and whether </w:t>
      </w:r>
      <w:r w:rsidR="00DD6039" w:rsidRPr="00D31344">
        <w:t xml:space="preserve">amendments further initiative’s purpose </w:t>
      </w:r>
      <w:proofErr w:type="gramStart"/>
      <w:r w:rsidR="00DD6039" w:rsidRPr="00D31344">
        <w:t>are</w:t>
      </w:r>
      <w:proofErr w:type="gramEnd"/>
      <w:r w:rsidR="00DD6039" w:rsidRPr="00D31344">
        <w:t xml:space="preserve"> separate].)  </w:t>
      </w:r>
      <w:r w:rsidR="00CE6487" w:rsidRPr="00D31344">
        <w:t xml:space="preserve">That </w:t>
      </w:r>
      <w:r w:rsidR="001A52C9" w:rsidRPr="00D31344">
        <w:t xml:space="preserve">question is governed by standards </w:t>
      </w:r>
      <w:r w:rsidR="002E5281" w:rsidRPr="00D31344">
        <w:t xml:space="preserve">announced in </w:t>
      </w:r>
      <w:r w:rsidR="001A52C9" w:rsidRPr="00D31344">
        <w:t xml:space="preserve">numerous judicial decisions over the years.  By </w:t>
      </w:r>
      <w:r w:rsidR="00CE6487" w:rsidRPr="00D31344">
        <w:t xml:space="preserve">purporting </w:t>
      </w:r>
      <w:r w:rsidR="001A52C9" w:rsidRPr="00D31344">
        <w:t xml:space="preserve">to declare what </w:t>
      </w:r>
      <w:r w:rsidR="001A52C9" w:rsidRPr="00D31344">
        <w:lastRenderedPageBreak/>
        <w:t xml:space="preserve">types of enactments would </w:t>
      </w:r>
      <w:r w:rsidR="00CE6487" w:rsidRPr="00D31344">
        <w:t xml:space="preserve">constitute </w:t>
      </w:r>
      <w:r w:rsidR="00C660CB" w:rsidRPr="00D31344">
        <w:t xml:space="preserve">amendments </w:t>
      </w:r>
      <w:r w:rsidR="001A52C9" w:rsidRPr="00D31344">
        <w:t xml:space="preserve">subject </w:t>
      </w:r>
      <w:r w:rsidR="00891CA0" w:rsidRPr="00D31344">
        <w:t xml:space="preserve">either </w:t>
      </w:r>
      <w:r w:rsidR="001A52C9" w:rsidRPr="00D31344">
        <w:t xml:space="preserve">to </w:t>
      </w:r>
      <w:r w:rsidR="0022620C" w:rsidRPr="00D31344">
        <w:t xml:space="preserve">the constitutional alternative of voter approval or </w:t>
      </w:r>
      <w:r w:rsidR="00C660CB" w:rsidRPr="00D31344">
        <w:t>section 7465</w:t>
      </w:r>
      <w:r w:rsidR="008D1FFC" w:rsidRPr="00D31344">
        <w:t xml:space="preserve">, subdivision </w:t>
      </w:r>
      <w:r w:rsidR="00C660CB" w:rsidRPr="00D31344">
        <w:t>(a)’s</w:t>
      </w:r>
      <w:r w:rsidR="001A52C9" w:rsidRPr="00D31344">
        <w:t xml:space="preserve"> strict seven-eighths </w:t>
      </w:r>
      <w:r w:rsidR="00C660CB" w:rsidRPr="00D31344">
        <w:t xml:space="preserve">majority </w:t>
      </w:r>
      <w:r w:rsidR="00CE6487" w:rsidRPr="00D31344">
        <w:t xml:space="preserve">requirement </w:t>
      </w:r>
      <w:r w:rsidR="007B4243" w:rsidRPr="00D31344">
        <w:t>(</w:t>
      </w:r>
      <w:r w:rsidR="00BF08C7" w:rsidRPr="00D31344">
        <w:t xml:space="preserve">and </w:t>
      </w:r>
      <w:r w:rsidR="00CE6487" w:rsidRPr="00D31344">
        <w:t xml:space="preserve">associated </w:t>
      </w:r>
      <w:r w:rsidR="00BF08C7" w:rsidRPr="00D31344">
        <w:t>procedural condition</w:t>
      </w:r>
      <w:r w:rsidR="0022620C" w:rsidRPr="00D31344">
        <w:t>s</w:t>
      </w:r>
      <w:r w:rsidR="007B4243" w:rsidRPr="00D31344">
        <w:t>)</w:t>
      </w:r>
      <w:r w:rsidR="001A52C9" w:rsidRPr="00D31344">
        <w:t>, section</w:t>
      </w:r>
      <w:r w:rsidR="0022620C" w:rsidRPr="00D31344">
        <w:t>s</w:t>
      </w:r>
      <w:r w:rsidR="001A52C9" w:rsidRPr="00D31344">
        <w:t xml:space="preserve"> 7465(c)</w:t>
      </w:r>
      <w:r w:rsidR="00017E77" w:rsidRPr="00D31344">
        <w:t xml:space="preserve">(3) and </w:t>
      </w:r>
      <w:r w:rsidR="001A52C9" w:rsidRPr="00D31344">
        <w:t xml:space="preserve">(4) seek to </w:t>
      </w:r>
      <w:r w:rsidR="00C660CB" w:rsidRPr="00D31344">
        <w:t xml:space="preserve">bypass </w:t>
      </w:r>
      <w:r w:rsidR="001A52C9" w:rsidRPr="00D31344">
        <w:t xml:space="preserve">this jurisprudence </w:t>
      </w:r>
      <w:r w:rsidR="00C660CB" w:rsidRPr="00D31344">
        <w:t xml:space="preserve">or declare what satisfies it, to the exclusion of the courts.  </w:t>
      </w:r>
      <w:r w:rsidR="00C874BB" w:rsidRPr="00D31344">
        <w:t xml:space="preserve">To the extent that </w:t>
      </w:r>
      <w:r w:rsidR="00885BA3" w:rsidRPr="00D31344">
        <w:t xml:space="preserve">section 7465(c)(4) </w:t>
      </w:r>
      <w:r w:rsidR="00CE6487" w:rsidRPr="00D31344">
        <w:t xml:space="preserve">seeks to cast </w:t>
      </w:r>
      <w:r w:rsidR="00885BA3" w:rsidRPr="00D31344">
        <w:t xml:space="preserve">a broader </w:t>
      </w:r>
      <w:r w:rsidR="004616F5" w:rsidRPr="00D31344">
        <w:t xml:space="preserve">article II, section 10(c) shadow </w:t>
      </w:r>
      <w:r w:rsidR="00885BA3" w:rsidRPr="00D31344">
        <w:t xml:space="preserve">than the </w:t>
      </w:r>
      <w:r w:rsidR="005008AC" w:rsidRPr="00D31344">
        <w:t xml:space="preserve">otherwise applicable </w:t>
      </w:r>
      <w:r w:rsidR="00885BA3" w:rsidRPr="00D31344">
        <w:t xml:space="preserve">judicial definitions of </w:t>
      </w:r>
      <w:r w:rsidR="005008AC" w:rsidRPr="00D31344">
        <w:t xml:space="preserve">legislative </w:t>
      </w:r>
      <w:r w:rsidR="00885BA3" w:rsidRPr="00D31344">
        <w:t>amendment</w:t>
      </w:r>
      <w:r w:rsidR="005008AC" w:rsidRPr="00D31344">
        <w:t>s</w:t>
      </w:r>
      <w:r w:rsidR="00885BA3" w:rsidRPr="00D31344">
        <w:t>, it also intrudes on the Legislature’s authority.</w:t>
      </w:r>
    </w:p>
    <w:p w14:paraId="7E2D54E9" w14:textId="0DA88357" w:rsidR="00650D00" w:rsidRPr="00D31344" w:rsidRDefault="00570B35" w:rsidP="00492681">
      <w:pPr>
        <w:spacing w:line="360" w:lineRule="auto"/>
      </w:pPr>
      <w:r w:rsidRPr="00D31344">
        <w:tab/>
        <w:t xml:space="preserve">Interveners also </w:t>
      </w:r>
      <w:r w:rsidR="00DF2413" w:rsidRPr="00D31344">
        <w:t>contend</w:t>
      </w:r>
      <w:r w:rsidRPr="00D31344">
        <w:t xml:space="preserve"> that </w:t>
      </w:r>
      <w:r w:rsidR="00DF2413" w:rsidRPr="00D31344">
        <w:t>plaintiffs’ argument</w:t>
      </w:r>
      <w:r w:rsidR="00176011" w:rsidRPr="00D31344">
        <w:t xml:space="preserve"> that </w:t>
      </w:r>
      <w:r w:rsidR="00136E7A" w:rsidRPr="00D31344">
        <w:t xml:space="preserve">section 7465(c)(4) </w:t>
      </w:r>
      <w:r w:rsidR="00176011" w:rsidRPr="00D31344">
        <w:t xml:space="preserve">intrudes on the Legislature’s authority </w:t>
      </w:r>
      <w:r w:rsidR="00136E7A" w:rsidRPr="00D31344">
        <w:t>is</w:t>
      </w:r>
      <w:r w:rsidR="0061700E" w:rsidRPr="00D31344">
        <w:t xml:space="preserve"> a single-subject argument in disguise</w:t>
      </w:r>
      <w:r w:rsidR="00CE5F48" w:rsidRPr="00D31344">
        <w:t xml:space="preserve"> and a</w:t>
      </w:r>
      <w:r w:rsidR="0061700E" w:rsidRPr="00D31344">
        <w:t>n attempt to sidestep the lenient</w:t>
      </w:r>
      <w:r w:rsidR="00176011" w:rsidRPr="00D31344">
        <w:t xml:space="preserve"> single-subject </w:t>
      </w:r>
      <w:r w:rsidR="0061700E" w:rsidRPr="00D31344">
        <w:t>standard in favor</w:t>
      </w:r>
      <w:r w:rsidR="00230C33" w:rsidRPr="00D31344">
        <w:t xml:space="preserve"> of a </w:t>
      </w:r>
      <w:r w:rsidR="004D5405" w:rsidRPr="00D31344">
        <w:t>“</w:t>
      </w:r>
      <w:r w:rsidR="00230C33" w:rsidRPr="00D31344">
        <w:t xml:space="preserve">stricter </w:t>
      </w:r>
      <w:r w:rsidR="004D5405" w:rsidRPr="00D31344">
        <w:t>(</w:t>
      </w:r>
      <w:r w:rsidR="00230C33" w:rsidRPr="00D31344">
        <w:t>but undefined and unprecedented</w:t>
      </w:r>
      <w:r w:rsidR="004D5405" w:rsidRPr="00D31344">
        <w:t>)</w:t>
      </w:r>
      <w:r w:rsidR="00230C33" w:rsidRPr="00D31344">
        <w:t xml:space="preserve"> </w:t>
      </w:r>
      <w:r w:rsidR="004D5405" w:rsidRPr="00D31344">
        <w:t>subject-based limitation on the initiative power</w:t>
      </w:r>
      <w:r w:rsidR="00176011" w:rsidRPr="00D31344">
        <w:t>.</w:t>
      </w:r>
      <w:r w:rsidR="004D5405" w:rsidRPr="00D31344">
        <w:t>”</w:t>
      </w:r>
      <w:r w:rsidR="00176011" w:rsidRPr="00D31344">
        <w:t xml:space="preserve">  </w:t>
      </w:r>
      <w:r w:rsidR="00302E98" w:rsidRPr="00D31344">
        <w:t xml:space="preserve">They contend that if section 7465(c)(4) satisfies the </w:t>
      </w:r>
      <w:r w:rsidR="00673C5D" w:rsidRPr="00D31344">
        <w:t>single-subject rule, there is no basis to distinguish it from the rest of the initiative for</w:t>
      </w:r>
      <w:r w:rsidR="0022620C" w:rsidRPr="00D31344">
        <w:t xml:space="preserve"> purposes of the</w:t>
      </w:r>
      <w:r w:rsidR="00673C5D" w:rsidRPr="00D31344">
        <w:t xml:space="preserve"> separation of powers </w:t>
      </w:r>
      <w:r w:rsidR="0022620C" w:rsidRPr="00D31344">
        <w:t>analysis</w:t>
      </w:r>
      <w:r w:rsidR="00673C5D" w:rsidRPr="00D31344">
        <w:t xml:space="preserve">.  </w:t>
      </w:r>
      <w:r w:rsidR="004F34E7" w:rsidRPr="00D31344">
        <w:t>But t</w:t>
      </w:r>
      <w:r w:rsidR="0085527C" w:rsidRPr="00D31344">
        <w:t xml:space="preserve">he Supreme Court </w:t>
      </w:r>
      <w:r w:rsidR="00D149EB" w:rsidRPr="00D31344">
        <w:t xml:space="preserve">in </w:t>
      </w:r>
      <w:r w:rsidR="00D149EB" w:rsidRPr="00D31344">
        <w:rPr>
          <w:i/>
          <w:iCs/>
        </w:rPr>
        <w:t>Kelly</w:t>
      </w:r>
      <w:r w:rsidR="00D149EB" w:rsidRPr="00D31344">
        <w:t xml:space="preserve">, </w:t>
      </w:r>
      <w:r w:rsidR="00D149EB" w:rsidRPr="00D31344">
        <w:rPr>
          <w:i/>
          <w:iCs/>
        </w:rPr>
        <w:t>supra</w:t>
      </w:r>
      <w:r w:rsidR="00D149EB" w:rsidRPr="00D31344">
        <w:t>, 47</w:t>
      </w:r>
      <w:r w:rsidR="00C87615" w:rsidRPr="00D31344">
        <w:t> </w:t>
      </w:r>
      <w:r w:rsidR="00D149EB" w:rsidRPr="00D31344">
        <w:t>Cal.4th at p</w:t>
      </w:r>
      <w:r w:rsidR="00C87615" w:rsidRPr="00D31344">
        <w:t>ages</w:t>
      </w:r>
      <w:r w:rsidR="00D149EB" w:rsidRPr="00D31344">
        <w:t xml:space="preserve"> 1025–1026 </w:t>
      </w:r>
      <w:r w:rsidR="00023790" w:rsidRPr="00D31344">
        <w:t>and</w:t>
      </w:r>
      <w:r w:rsidR="00D149EB" w:rsidRPr="00D31344">
        <w:t xml:space="preserve"> f</w:t>
      </w:r>
      <w:r w:rsidR="00C712FB" w:rsidRPr="00D31344">
        <w:t>ootnote</w:t>
      </w:r>
      <w:r w:rsidR="00267E66" w:rsidRPr="00D31344">
        <w:t> </w:t>
      </w:r>
      <w:r w:rsidR="00D149EB" w:rsidRPr="00D31344">
        <w:t>19</w:t>
      </w:r>
      <w:r w:rsidR="00E92052" w:rsidRPr="00D31344">
        <w:t>,</w:t>
      </w:r>
      <w:r w:rsidR="00D149EB" w:rsidRPr="00D31344">
        <w:t xml:space="preserve"> </w:t>
      </w:r>
      <w:r w:rsidR="003031FB" w:rsidRPr="00D31344">
        <w:t>recognized</w:t>
      </w:r>
      <w:r w:rsidR="0085527C" w:rsidRPr="00D31344">
        <w:t xml:space="preserve"> the</w:t>
      </w:r>
      <w:r w:rsidR="00E37F67" w:rsidRPr="00D31344">
        <w:t xml:space="preserve"> “related but distinct” standard </w:t>
      </w:r>
      <w:r w:rsidR="00F14833" w:rsidRPr="00D31344">
        <w:t xml:space="preserve">and </w:t>
      </w:r>
      <w:r w:rsidR="0022620C" w:rsidRPr="00D31344">
        <w:t xml:space="preserve">both </w:t>
      </w:r>
      <w:r w:rsidR="00E377E7" w:rsidRPr="00D31344">
        <w:t xml:space="preserve">the Supreme Court and </w:t>
      </w:r>
      <w:r w:rsidR="00F14833" w:rsidRPr="00D31344">
        <w:t xml:space="preserve">the Courts of Appeal continue to apply it, </w:t>
      </w:r>
      <w:r w:rsidR="00E00502" w:rsidRPr="00D31344">
        <w:t xml:space="preserve">so it is hardly </w:t>
      </w:r>
      <w:r w:rsidR="004F34E7" w:rsidRPr="00D31344">
        <w:t xml:space="preserve">undefined or </w:t>
      </w:r>
      <w:r w:rsidR="00E00502" w:rsidRPr="00D31344">
        <w:t xml:space="preserve">unprecedented.  </w:t>
      </w:r>
      <w:r w:rsidR="00F14833" w:rsidRPr="00D31344">
        <w:t>(</w:t>
      </w:r>
      <w:r w:rsidR="001159E8" w:rsidRPr="00D31344">
        <w:t xml:space="preserve">E.g., </w:t>
      </w:r>
      <w:r w:rsidR="0076023E" w:rsidRPr="00D31344">
        <w:rPr>
          <w:i/>
          <w:iCs/>
        </w:rPr>
        <w:t>People v. Superior Court</w:t>
      </w:r>
      <w:r w:rsidR="0076023E" w:rsidRPr="00D31344">
        <w:t xml:space="preserve"> (</w:t>
      </w:r>
      <w:r w:rsidR="0076023E" w:rsidRPr="00D31344">
        <w:rPr>
          <w:i/>
          <w:iCs/>
        </w:rPr>
        <w:t>Pearson</w:t>
      </w:r>
      <w:r w:rsidR="0076023E" w:rsidRPr="00D31344">
        <w:t>)</w:t>
      </w:r>
      <w:r w:rsidR="00A62674" w:rsidRPr="00D31344">
        <w:t xml:space="preserve">, </w:t>
      </w:r>
      <w:r w:rsidR="00A62674" w:rsidRPr="00D31344">
        <w:rPr>
          <w:i/>
          <w:iCs/>
        </w:rPr>
        <w:t>supra</w:t>
      </w:r>
      <w:r w:rsidR="00A62674" w:rsidRPr="00D31344">
        <w:t>,</w:t>
      </w:r>
      <w:r w:rsidR="0076023E" w:rsidRPr="00D31344">
        <w:t xml:space="preserve"> 48</w:t>
      </w:r>
      <w:r w:rsidR="007647B1" w:rsidRPr="00D31344">
        <w:t> </w:t>
      </w:r>
      <w:r w:rsidR="0076023E" w:rsidRPr="00D31344">
        <w:t xml:space="preserve">Cal.4th </w:t>
      </w:r>
      <w:r w:rsidR="00830A11" w:rsidRPr="00D31344">
        <w:t>at p</w:t>
      </w:r>
      <w:r w:rsidR="00A86E45" w:rsidRPr="00D31344">
        <w:t>. </w:t>
      </w:r>
      <w:r w:rsidR="0076023E" w:rsidRPr="00D31344">
        <w:t xml:space="preserve">573; </w:t>
      </w:r>
      <w:r w:rsidR="00357401" w:rsidRPr="00D31344">
        <w:rPr>
          <w:i/>
        </w:rPr>
        <w:t>People v. Steward</w:t>
      </w:r>
      <w:r w:rsidR="00357401" w:rsidRPr="00D31344">
        <w:t xml:space="preserve"> (2021) 63</w:t>
      </w:r>
      <w:r w:rsidR="00CD37BC" w:rsidRPr="00D31344">
        <w:t> </w:t>
      </w:r>
      <w:r w:rsidR="00357401" w:rsidRPr="00D31344">
        <w:t xml:space="preserve">Cal.App.5th 895, 899.)  </w:t>
      </w:r>
      <w:r w:rsidR="0022620C" w:rsidRPr="00D31344">
        <w:t>In addition, t</w:t>
      </w:r>
      <w:r w:rsidR="0085527C" w:rsidRPr="00D31344">
        <w:t xml:space="preserve">he </w:t>
      </w:r>
      <w:r w:rsidR="006D655F" w:rsidRPr="00D31344">
        <w:t xml:space="preserve">single-subject rule and the separation of powers </w:t>
      </w:r>
      <w:r w:rsidR="004F34E7" w:rsidRPr="00D31344">
        <w:t xml:space="preserve">are </w:t>
      </w:r>
      <w:r w:rsidR="00673C5D" w:rsidRPr="00D31344">
        <w:t>analytically distinct</w:t>
      </w:r>
      <w:r w:rsidR="00F11F4C" w:rsidRPr="00D31344">
        <w:t xml:space="preserve"> and serve different purposes, so there is no reason to allow the former to swallow the latter</w:t>
      </w:r>
      <w:r w:rsidR="00244952" w:rsidRPr="00D31344">
        <w:t>.</w:t>
      </w:r>
      <w:r w:rsidR="00471293" w:rsidRPr="00D31344">
        <w:t xml:space="preserve">  </w:t>
      </w:r>
      <w:r w:rsidR="006D655F" w:rsidRPr="00D31344">
        <w:t>T</w:t>
      </w:r>
      <w:r w:rsidR="00FA7939" w:rsidRPr="00D31344">
        <w:t xml:space="preserve">he single-subject analysis </w:t>
      </w:r>
      <w:r w:rsidR="006D655F" w:rsidRPr="00D31344">
        <w:t xml:space="preserve">intentionally </w:t>
      </w:r>
      <w:r w:rsidR="00FA1F2C" w:rsidRPr="00D31344">
        <w:t xml:space="preserve">“is applied ‘in an </w:t>
      </w:r>
      <w:r w:rsidR="00FA1F2C" w:rsidRPr="00D31344">
        <w:lastRenderedPageBreak/>
        <w:t>accommodating and lenient manner so as not to unduly restrict</w:t>
      </w:r>
      <w:r w:rsidR="00BC7C0D" w:rsidRPr="00D31344">
        <w:t> </w:t>
      </w:r>
      <w:r w:rsidR="00FA1F2C" w:rsidRPr="00D31344">
        <w:t>.</w:t>
      </w:r>
      <w:r w:rsidR="00C22998" w:rsidRPr="00D31344">
        <w:t> </w:t>
      </w:r>
      <w:r w:rsidR="00FA1F2C" w:rsidRPr="00D31344">
        <w:t>.</w:t>
      </w:r>
      <w:r w:rsidR="00C22998" w:rsidRPr="00D31344">
        <w:t> </w:t>
      </w:r>
      <w:r w:rsidR="00FA1F2C" w:rsidRPr="00D31344">
        <w:t>. the people’s right to package provisions in a single bill or initiative.</w:t>
      </w:r>
      <w:proofErr w:type="gramStart"/>
      <w:r w:rsidR="00FA1F2C" w:rsidRPr="00D31344">
        <w:t>’</w:t>
      </w:r>
      <w:r w:rsidR="00FC6343" w:rsidRPr="00D31344">
        <w:t> </w:t>
      </w:r>
      <w:r w:rsidR="00FA1F2C" w:rsidRPr="00D31344">
        <w:t>”</w:t>
      </w:r>
      <w:proofErr w:type="gramEnd"/>
      <w:r w:rsidR="00FA1F2C" w:rsidRPr="00D31344">
        <w:t xml:space="preserve">  (</w:t>
      </w:r>
      <w:r w:rsidR="00CC2F20" w:rsidRPr="00D31344">
        <w:rPr>
          <w:i/>
          <w:iCs/>
        </w:rPr>
        <w:t>Briggs, supra</w:t>
      </w:r>
      <w:r w:rsidR="00CC2F20" w:rsidRPr="00D31344">
        <w:t>, 3</w:t>
      </w:r>
      <w:r w:rsidR="005036AB" w:rsidRPr="00D31344">
        <w:t> </w:t>
      </w:r>
      <w:r w:rsidR="00CC2F20" w:rsidRPr="00D31344">
        <w:t xml:space="preserve">Cal.5th at </w:t>
      </w:r>
      <w:r w:rsidR="00FA1F2C" w:rsidRPr="00D31344">
        <w:t>p.</w:t>
      </w:r>
      <w:r w:rsidR="005036AB" w:rsidRPr="00D31344">
        <w:t> </w:t>
      </w:r>
      <w:r w:rsidR="00FA1F2C" w:rsidRPr="00D31344">
        <w:t>829.)</w:t>
      </w:r>
      <w:r w:rsidR="00CC2F20" w:rsidRPr="00D31344">
        <w:t xml:space="preserve">  By contrast, </w:t>
      </w:r>
      <w:r w:rsidR="00FA1F2C" w:rsidRPr="00D31344">
        <w:t xml:space="preserve">the separation of powers doctrine is intended </w:t>
      </w:r>
      <w:r w:rsidR="00891CA0" w:rsidRPr="00D31344">
        <w:t>to protect the Legislature’s sphere</w:t>
      </w:r>
      <w:r w:rsidR="00704EF0" w:rsidRPr="00D31344">
        <w:t xml:space="preserve"> of control</w:t>
      </w:r>
      <w:r w:rsidR="00FA1F2C" w:rsidRPr="00D31344">
        <w:t xml:space="preserve">, to ensure that </w:t>
      </w:r>
      <w:r w:rsidR="00891CA0" w:rsidRPr="00D31344">
        <w:t xml:space="preserve">it </w:t>
      </w:r>
      <w:r w:rsidR="00FA1F2C" w:rsidRPr="00D31344">
        <w:t>“remains free to enact laws addressing the general subject matter of an initiative, or a ‘related but distinct area’ of law that an initiative measure ‘does not specifically authorize or prohibit.</w:t>
      </w:r>
      <w:proofErr w:type="gramStart"/>
      <w:r w:rsidR="00FA1F2C" w:rsidRPr="00D31344">
        <w:t>’ ”</w:t>
      </w:r>
      <w:proofErr w:type="gramEnd"/>
      <w:r w:rsidR="00CC2F20" w:rsidRPr="00D31344">
        <w:t xml:space="preserve">  (</w:t>
      </w:r>
      <w:r w:rsidR="00CC2F20" w:rsidRPr="00D31344">
        <w:rPr>
          <w:i/>
          <w:iCs/>
        </w:rPr>
        <w:t>Kelly</w:t>
      </w:r>
      <w:r w:rsidR="00CC2F20" w:rsidRPr="00D31344">
        <w:t>, at p.</w:t>
      </w:r>
      <w:r w:rsidR="0089484C" w:rsidRPr="00D31344">
        <w:t> </w:t>
      </w:r>
      <w:r w:rsidR="00EF0D8A" w:rsidRPr="00D31344">
        <w:t>1026, fn.</w:t>
      </w:r>
      <w:r w:rsidR="0089484C" w:rsidRPr="00D31344">
        <w:t> </w:t>
      </w:r>
      <w:r w:rsidR="00EF0D8A" w:rsidRPr="00D31344">
        <w:t>19</w:t>
      </w:r>
      <w:r w:rsidR="007F2F27" w:rsidRPr="00D31344">
        <w:t>, italics omitted</w:t>
      </w:r>
      <w:r w:rsidR="00EF0D8A" w:rsidRPr="00D31344">
        <w:t xml:space="preserve">.)  Our agreement </w:t>
      </w:r>
      <w:r w:rsidR="00AA2158" w:rsidRPr="00D31344">
        <w:t xml:space="preserve">with </w:t>
      </w:r>
      <w:r w:rsidR="00156C1E" w:rsidRPr="00D31344">
        <w:t>i</w:t>
      </w:r>
      <w:r w:rsidR="00AA2158" w:rsidRPr="00D31344">
        <w:t xml:space="preserve">nterveners </w:t>
      </w:r>
      <w:r w:rsidR="00EF0D8A" w:rsidRPr="00D31344">
        <w:t>that Proposition 22 complies with the single-subject rule does not free us of our obligation to enforce the separation of powers.</w:t>
      </w:r>
    </w:p>
    <w:p w14:paraId="0783DF10" w14:textId="70AF778D" w:rsidR="00F42717" w:rsidRPr="00D31344" w:rsidRDefault="00570B35" w:rsidP="00125BAA">
      <w:pPr>
        <w:spacing w:line="360" w:lineRule="auto"/>
      </w:pPr>
      <w:r w:rsidRPr="00D31344">
        <w:tab/>
        <w:t>Interveners</w:t>
      </w:r>
      <w:r w:rsidR="00EE0DE2" w:rsidRPr="00D31344">
        <w:t xml:space="preserve"> further</w:t>
      </w:r>
      <w:r w:rsidRPr="00D31344">
        <w:t xml:space="preserve"> </w:t>
      </w:r>
      <w:r w:rsidR="00DF2413" w:rsidRPr="00D31344">
        <w:t xml:space="preserve">argue </w:t>
      </w:r>
      <w:r w:rsidRPr="00D31344">
        <w:t xml:space="preserve">that prohibiting the voters from expressing their views on the types of legislation that would be subject to an initiative’s amendment process will discourage voters from allowing amendments </w:t>
      </w:r>
      <w:r w:rsidR="00B4436F" w:rsidRPr="00D31344">
        <w:t xml:space="preserve">at all </w:t>
      </w:r>
      <w:r w:rsidRPr="00D31344">
        <w:t xml:space="preserve">in the future, but we are not convinced.  </w:t>
      </w:r>
      <w:r w:rsidR="006F7B8C" w:rsidRPr="00D31344">
        <w:t>S</w:t>
      </w:r>
      <w:r w:rsidRPr="00D31344">
        <w:t>ection</w:t>
      </w:r>
      <w:r w:rsidR="0022620C" w:rsidRPr="00D31344">
        <w:t>s</w:t>
      </w:r>
      <w:r w:rsidRPr="00D31344">
        <w:t xml:space="preserve"> 7465(c)</w:t>
      </w:r>
      <w:r w:rsidR="00156FAB" w:rsidRPr="00D31344">
        <w:t xml:space="preserve">(3) and </w:t>
      </w:r>
      <w:r w:rsidRPr="00D31344">
        <w:t xml:space="preserve">(4) </w:t>
      </w:r>
      <w:r w:rsidR="00891CA0" w:rsidRPr="00D31344">
        <w:t>are</w:t>
      </w:r>
      <w:r w:rsidRPr="00D31344">
        <w:t xml:space="preserve"> </w:t>
      </w:r>
      <w:r w:rsidR="004D15AA" w:rsidRPr="00D31344">
        <w:t xml:space="preserve">apparently </w:t>
      </w:r>
      <w:r w:rsidRPr="00D31344">
        <w:t xml:space="preserve">unique in the annals </w:t>
      </w:r>
      <w:r w:rsidR="00B74FF1" w:rsidRPr="00D31344">
        <w:t xml:space="preserve">of </w:t>
      </w:r>
      <w:r w:rsidRPr="00D31344">
        <w:t>initiative statutes.  Voters chose to permit amendments of initiatives for decades before Proposition 22</w:t>
      </w:r>
      <w:r w:rsidR="007122E0" w:rsidRPr="00D31344">
        <w:t>.  It</w:t>
      </w:r>
      <w:r w:rsidRPr="00D31344">
        <w:t xml:space="preserve"> seems likely they will continue do so</w:t>
      </w:r>
      <w:r w:rsidRPr="00D31344">
        <w:t xml:space="preserve"> </w:t>
      </w:r>
      <w:r w:rsidR="00EF3C15" w:rsidRPr="00D31344">
        <w:t xml:space="preserve">even </w:t>
      </w:r>
      <w:r w:rsidR="00B1510F" w:rsidRPr="00D31344">
        <w:t>though we now</w:t>
      </w:r>
      <w:r w:rsidR="00EF3C15" w:rsidRPr="00D31344">
        <w:t xml:space="preserve"> d</w:t>
      </w:r>
      <w:r w:rsidR="007122E0" w:rsidRPr="00D31344">
        <w:t xml:space="preserve">eclare </w:t>
      </w:r>
      <w:r w:rsidRPr="00D31344">
        <w:t>section</w:t>
      </w:r>
      <w:r w:rsidR="0022620C" w:rsidRPr="00D31344">
        <w:t>s</w:t>
      </w:r>
      <w:r w:rsidRPr="00D31344">
        <w:t xml:space="preserve"> 7465(c)</w:t>
      </w:r>
      <w:r w:rsidR="00156FAB" w:rsidRPr="00D31344">
        <w:t xml:space="preserve">(3) and </w:t>
      </w:r>
      <w:r w:rsidRPr="00D31344">
        <w:t>(4)</w:t>
      </w:r>
      <w:r w:rsidR="007122E0" w:rsidRPr="00D31344">
        <w:t xml:space="preserve"> invalid</w:t>
      </w:r>
      <w:r w:rsidR="00EF3C15" w:rsidRPr="00D31344">
        <w:t>.</w:t>
      </w:r>
      <w:r w:rsidRPr="00D31344">
        <w:t xml:space="preserve">  </w:t>
      </w:r>
      <w:r w:rsidR="00B1510F" w:rsidRPr="00D31344">
        <w:t>W</w:t>
      </w:r>
      <w:r w:rsidR="00B4436F" w:rsidRPr="00D31344">
        <w:t xml:space="preserve">e </w:t>
      </w:r>
      <w:r w:rsidR="00B1510F" w:rsidRPr="00D31344">
        <w:t xml:space="preserve">also </w:t>
      </w:r>
      <w:r w:rsidR="00B4436F" w:rsidRPr="00D31344">
        <w:t xml:space="preserve">question whether </w:t>
      </w:r>
      <w:r w:rsidRPr="00D31344">
        <w:t xml:space="preserve">voters allow the Legislature to amend their initiative measures as a </w:t>
      </w:r>
      <w:r w:rsidR="00F90815" w:rsidRPr="00D31344">
        <w:t xml:space="preserve">sort of </w:t>
      </w:r>
      <w:r w:rsidRPr="00D31344">
        <w:t>gift or a consolation prize, as interveners’ argument implies</w:t>
      </w:r>
      <w:r w:rsidR="00BA563E" w:rsidRPr="00D31344">
        <w:t>.  Rather, v</w:t>
      </w:r>
      <w:r w:rsidRPr="00D31344">
        <w:t>oters likely pe</w:t>
      </w:r>
      <w:r w:rsidRPr="00D31344">
        <w:t xml:space="preserve">rmit amendments so that the Legislature can close loopholes, fix problems, and tweak initiative statutes to meet </w:t>
      </w:r>
      <w:r w:rsidR="00B75551" w:rsidRPr="00D31344">
        <w:t>unexpected</w:t>
      </w:r>
      <w:r w:rsidRPr="00D31344">
        <w:t xml:space="preserve"> circumstances.  </w:t>
      </w:r>
      <w:r w:rsidR="00FB7037" w:rsidRPr="00D31344">
        <w:t>Declaring</w:t>
      </w:r>
      <w:r w:rsidR="002F4977" w:rsidRPr="00D31344">
        <w:t xml:space="preserve"> </w:t>
      </w:r>
      <w:r w:rsidR="009A5D6B" w:rsidRPr="00D31344">
        <w:t>section</w:t>
      </w:r>
      <w:r w:rsidR="0022620C" w:rsidRPr="00D31344">
        <w:t>s</w:t>
      </w:r>
      <w:r w:rsidR="009A5D6B" w:rsidRPr="00D31344">
        <w:t xml:space="preserve"> 7465(c)</w:t>
      </w:r>
      <w:r w:rsidR="002F4977" w:rsidRPr="00D31344">
        <w:t xml:space="preserve">(3) and </w:t>
      </w:r>
      <w:r w:rsidR="009A5D6B" w:rsidRPr="00D31344">
        <w:t xml:space="preserve">(4) </w:t>
      </w:r>
      <w:r w:rsidR="002F4977" w:rsidRPr="00D31344">
        <w:t>to be</w:t>
      </w:r>
      <w:r w:rsidR="009A5D6B" w:rsidRPr="00D31344">
        <w:t xml:space="preserve"> unconstitutional attempt</w:t>
      </w:r>
      <w:r w:rsidR="006C4D6C" w:rsidRPr="00D31344">
        <w:t>s</w:t>
      </w:r>
      <w:r w:rsidR="009A5D6B" w:rsidRPr="00D31344">
        <w:t xml:space="preserve"> to expand </w:t>
      </w:r>
      <w:r w:rsidR="009A5D6B" w:rsidRPr="00D31344">
        <w:lastRenderedPageBreak/>
        <w:t xml:space="preserve">Proposition 22’s </w:t>
      </w:r>
      <w:r w:rsidR="004616F5" w:rsidRPr="00D31344">
        <w:t>article II, section 10(c) shadow</w:t>
      </w:r>
      <w:r w:rsidR="009A5D6B" w:rsidRPr="00D31344">
        <w:t xml:space="preserve"> </w:t>
      </w:r>
      <w:r w:rsidR="00BA563E" w:rsidRPr="00D31344">
        <w:t>will not</w:t>
      </w:r>
      <w:r w:rsidRPr="00D31344">
        <w:t xml:space="preserve"> </w:t>
      </w:r>
      <w:r w:rsidR="004D08B5" w:rsidRPr="00D31344">
        <w:t>eliminate or reduce</w:t>
      </w:r>
      <w:r w:rsidRPr="00D31344">
        <w:t xml:space="preserve"> these incentives.</w:t>
      </w:r>
    </w:p>
    <w:p w14:paraId="161BA5FA" w14:textId="6CE31D56" w:rsidR="00BE4AB8" w:rsidRPr="00D31344" w:rsidRDefault="00570B35" w:rsidP="006631FF">
      <w:pPr>
        <w:spacing w:line="360" w:lineRule="auto"/>
      </w:pPr>
      <w:r w:rsidRPr="00D31344">
        <w:tab/>
      </w:r>
      <w:r w:rsidR="005008AC" w:rsidRPr="00D31344">
        <w:t>For its part, t</w:t>
      </w:r>
      <w:r w:rsidR="00E92D21" w:rsidRPr="00D31344">
        <w:t xml:space="preserve">he </w:t>
      </w:r>
      <w:r w:rsidR="00344820" w:rsidRPr="00D31344">
        <w:t>s</w:t>
      </w:r>
      <w:r w:rsidR="00E92D21" w:rsidRPr="00D31344">
        <w:t>tate</w:t>
      </w:r>
      <w:r w:rsidR="00FA65F4" w:rsidRPr="00D31344">
        <w:t xml:space="preserve"> </w:t>
      </w:r>
      <w:r w:rsidR="004F4377" w:rsidRPr="00D31344">
        <w:t>at least</w:t>
      </w:r>
      <w:r w:rsidR="00FA65F4" w:rsidRPr="00D31344">
        <w:t xml:space="preserve"> reads </w:t>
      </w:r>
      <w:r w:rsidR="007C7C58" w:rsidRPr="00D31344">
        <w:t>section</w:t>
      </w:r>
      <w:r w:rsidR="0022620C" w:rsidRPr="00D31344">
        <w:t>s</w:t>
      </w:r>
      <w:r w:rsidR="007C7C58" w:rsidRPr="00D31344">
        <w:t xml:space="preserve"> 7465(c)</w:t>
      </w:r>
      <w:r w:rsidR="003408E2" w:rsidRPr="00D31344">
        <w:t>(3) and</w:t>
      </w:r>
      <w:r w:rsidR="000F5D59" w:rsidRPr="00D31344">
        <w:t> </w:t>
      </w:r>
      <w:r w:rsidR="007C7C58" w:rsidRPr="00D31344">
        <w:t xml:space="preserve">(4) </w:t>
      </w:r>
      <w:r w:rsidR="00FA65F4" w:rsidRPr="00D31344">
        <w:t xml:space="preserve">as exactly what </w:t>
      </w:r>
      <w:r w:rsidR="00B5689A" w:rsidRPr="00D31344">
        <w:t>they</w:t>
      </w:r>
      <w:r w:rsidR="00FA65F4" w:rsidRPr="00D31344">
        <w:t xml:space="preserve"> purport</w:t>
      </w:r>
      <w:r w:rsidR="00B5689A" w:rsidRPr="00D31344">
        <w:t xml:space="preserve"> </w:t>
      </w:r>
      <w:r w:rsidR="00FA65F4" w:rsidRPr="00D31344">
        <w:t>to be</w:t>
      </w:r>
      <w:r w:rsidR="00640D71" w:rsidRPr="00D31344">
        <w:t xml:space="preserve">: </w:t>
      </w:r>
      <w:r w:rsidR="00B5689A" w:rsidRPr="00D31344">
        <w:t xml:space="preserve"> </w:t>
      </w:r>
      <w:r w:rsidR="004F4377" w:rsidRPr="00D31344">
        <w:t>attempt</w:t>
      </w:r>
      <w:r w:rsidR="007B4243" w:rsidRPr="00D31344">
        <w:t>s</w:t>
      </w:r>
      <w:r w:rsidR="004F4377" w:rsidRPr="00D31344">
        <w:t xml:space="preserve"> to define</w:t>
      </w:r>
      <w:r w:rsidR="004D08B5" w:rsidRPr="00D31344">
        <w:t xml:space="preserve"> certain</w:t>
      </w:r>
      <w:r w:rsidR="00640D71" w:rsidRPr="00D31344">
        <w:t xml:space="preserve"> types of legislation </w:t>
      </w:r>
      <w:r w:rsidR="004D08B5" w:rsidRPr="00D31344">
        <w:t xml:space="preserve">that </w:t>
      </w:r>
      <w:r w:rsidR="00A06B9C" w:rsidRPr="00D31344">
        <w:t>will constitute amendment</w:t>
      </w:r>
      <w:r w:rsidR="00711937" w:rsidRPr="00D31344">
        <w:t>s</w:t>
      </w:r>
      <w:r w:rsidR="00A06B9C" w:rsidRPr="00D31344">
        <w:t xml:space="preserve"> of</w:t>
      </w:r>
      <w:r w:rsidR="00640D71" w:rsidRPr="00D31344">
        <w:t xml:space="preserve"> the initiative.  </w:t>
      </w:r>
      <w:r w:rsidR="00DC06CF" w:rsidRPr="00D31344">
        <w:t xml:space="preserve">But the </w:t>
      </w:r>
      <w:r w:rsidR="00323C8A" w:rsidRPr="00D31344">
        <w:t>s</w:t>
      </w:r>
      <w:r w:rsidR="00DC06CF" w:rsidRPr="00D31344">
        <w:t xml:space="preserve">tate </w:t>
      </w:r>
      <w:r w:rsidR="005970FD" w:rsidRPr="00D31344">
        <w:t xml:space="preserve">strays when it </w:t>
      </w:r>
      <w:r w:rsidR="007E5453" w:rsidRPr="00D31344">
        <w:t xml:space="preserve">maintains that </w:t>
      </w:r>
      <w:r w:rsidR="007B744C" w:rsidRPr="00D31344">
        <w:t>section</w:t>
      </w:r>
      <w:r w:rsidR="0022620C" w:rsidRPr="00D31344">
        <w:t>s</w:t>
      </w:r>
      <w:r w:rsidR="007B744C" w:rsidRPr="00D31344">
        <w:t xml:space="preserve"> 7465(c)</w:t>
      </w:r>
      <w:r w:rsidR="00063C33" w:rsidRPr="00D31344">
        <w:t xml:space="preserve">(3) and </w:t>
      </w:r>
      <w:r w:rsidR="007B744C" w:rsidRPr="00D31344">
        <w:t>(4)</w:t>
      </w:r>
      <w:r w:rsidR="007E5453" w:rsidRPr="00D31344">
        <w:t xml:space="preserve"> </w:t>
      </w:r>
      <w:r w:rsidR="00B5689A" w:rsidRPr="00D31344">
        <w:t>are</w:t>
      </w:r>
      <w:r w:rsidR="005970FD" w:rsidRPr="00D31344">
        <w:t xml:space="preserve"> nonetheless</w:t>
      </w:r>
      <w:r w:rsidR="007E5453" w:rsidRPr="00D31344">
        <w:t xml:space="preserve"> proper.  The </w:t>
      </w:r>
      <w:r w:rsidR="007E7FEB" w:rsidRPr="00D31344">
        <w:t>s</w:t>
      </w:r>
      <w:r w:rsidR="007E5453" w:rsidRPr="00D31344">
        <w:t xml:space="preserve">tate </w:t>
      </w:r>
      <w:r w:rsidR="005008AC" w:rsidRPr="00D31344">
        <w:t xml:space="preserve">contends </w:t>
      </w:r>
      <w:r w:rsidR="00D76542" w:rsidRPr="00D31344">
        <w:t xml:space="preserve">that legislation </w:t>
      </w:r>
      <w:r w:rsidR="00410FC3" w:rsidRPr="00D31344">
        <w:t>can amend</w:t>
      </w:r>
      <w:r w:rsidR="00D76542" w:rsidRPr="00D31344">
        <w:t xml:space="preserve"> </w:t>
      </w:r>
      <w:r w:rsidR="00410FC3" w:rsidRPr="00D31344">
        <w:t>an initiative even without altering its text</w:t>
      </w:r>
      <w:r w:rsidR="00462837" w:rsidRPr="00D31344">
        <w:t xml:space="preserve"> and</w:t>
      </w:r>
      <w:r w:rsidR="007E5453" w:rsidRPr="00D31344">
        <w:t xml:space="preserve"> </w:t>
      </w:r>
      <w:r w:rsidR="007B744C" w:rsidRPr="00D31344">
        <w:t>Proposition 22 regulate</w:t>
      </w:r>
      <w:r w:rsidR="00DF0202" w:rsidRPr="00D31344">
        <w:t>s</w:t>
      </w:r>
      <w:r w:rsidR="007B744C" w:rsidRPr="00D31344">
        <w:t xml:space="preserve"> collective bargaining</w:t>
      </w:r>
      <w:r w:rsidR="00EB531E" w:rsidRPr="00D31344">
        <w:t xml:space="preserve"> </w:t>
      </w:r>
      <w:r w:rsidR="005008AC" w:rsidRPr="00D31344">
        <w:t>(</w:t>
      </w:r>
      <w:r w:rsidR="00EB531E" w:rsidRPr="00D31344">
        <w:t>albeit without</w:t>
      </w:r>
      <w:r w:rsidRPr="00D31344">
        <w:t xml:space="preserve"> saying so directly</w:t>
      </w:r>
      <w:r w:rsidR="005008AC" w:rsidRPr="00D31344">
        <w:t>)</w:t>
      </w:r>
      <w:r w:rsidRPr="00D31344">
        <w:t xml:space="preserve">, so </w:t>
      </w:r>
      <w:r w:rsidR="00E65E1B" w:rsidRPr="00D31344">
        <w:t xml:space="preserve">section 7465(c)(4) </w:t>
      </w:r>
      <w:r w:rsidR="005008AC" w:rsidRPr="00D31344">
        <w:t>appropriately</w:t>
      </w:r>
      <w:r w:rsidR="00E65E1B" w:rsidRPr="00D31344">
        <w:t xml:space="preserve"> declare</w:t>
      </w:r>
      <w:r w:rsidR="005008AC" w:rsidRPr="00D31344">
        <w:t>s</w:t>
      </w:r>
      <w:r w:rsidR="00E65E1B" w:rsidRPr="00D31344">
        <w:t xml:space="preserve"> that </w:t>
      </w:r>
      <w:r w:rsidRPr="00D31344">
        <w:t xml:space="preserve">new legislation authorizing collective bargaining would change the </w:t>
      </w:r>
      <w:r w:rsidR="00462837" w:rsidRPr="00D31344">
        <w:t xml:space="preserve">initiative’s </w:t>
      </w:r>
      <w:r w:rsidRPr="00D31344">
        <w:t>effect.</w:t>
      </w:r>
      <w:r>
        <w:rPr>
          <w:rStyle w:val="FootnoteReference"/>
        </w:rPr>
        <w:footnoteReference w:id="19"/>
      </w:r>
      <w:r w:rsidR="00DD276F" w:rsidRPr="00D31344">
        <w:t xml:space="preserve">  </w:t>
      </w:r>
      <w:r w:rsidRPr="00D31344">
        <w:t xml:space="preserve">The </w:t>
      </w:r>
      <w:r w:rsidR="00323C8A" w:rsidRPr="00D31344">
        <w:t>s</w:t>
      </w:r>
      <w:r w:rsidRPr="00D31344">
        <w:t>tate believes</w:t>
      </w:r>
      <w:r w:rsidR="00A02288" w:rsidRPr="00D31344">
        <w:t xml:space="preserve"> </w:t>
      </w:r>
      <w:r w:rsidR="00DD276F" w:rsidRPr="00D31344">
        <w:t xml:space="preserve">Proposition 22 </w:t>
      </w:r>
      <w:r w:rsidR="00E5511E" w:rsidRPr="00D31344">
        <w:t>regulate</w:t>
      </w:r>
      <w:r w:rsidR="00DF0202" w:rsidRPr="00D31344">
        <w:t>s</w:t>
      </w:r>
      <w:r w:rsidR="00E5511E" w:rsidRPr="00D31344">
        <w:t xml:space="preserve"> </w:t>
      </w:r>
      <w:r w:rsidR="00DD276F" w:rsidRPr="00D31344">
        <w:t>app-based drivers</w:t>
      </w:r>
      <w:r w:rsidR="00E5511E" w:rsidRPr="00D31344">
        <w:t>’ ability to collectively bargain</w:t>
      </w:r>
      <w:r w:rsidR="002C6164" w:rsidRPr="00D31344">
        <w:t xml:space="preserve"> by classifying them as independent contractors</w:t>
      </w:r>
      <w:r w:rsidR="007B744C" w:rsidRPr="00D31344">
        <w:t xml:space="preserve">, </w:t>
      </w:r>
      <w:r w:rsidR="00E5511E" w:rsidRPr="00D31344">
        <w:t xml:space="preserve">who, as a matter of law, cannot collectively bargain.  </w:t>
      </w:r>
    </w:p>
    <w:p w14:paraId="1931D5AA" w14:textId="146317AC" w:rsidR="00065ECA" w:rsidRPr="00D31344" w:rsidRDefault="00570B35" w:rsidP="00443D0B">
      <w:pPr>
        <w:spacing w:line="360" w:lineRule="auto"/>
      </w:pPr>
      <w:r w:rsidRPr="00D31344">
        <w:tab/>
        <w:t xml:space="preserve">The </w:t>
      </w:r>
      <w:r w:rsidR="00443074" w:rsidRPr="00D31344">
        <w:t>s</w:t>
      </w:r>
      <w:r w:rsidRPr="00D31344">
        <w:t>tate</w:t>
      </w:r>
      <w:r w:rsidR="00D41AD2" w:rsidRPr="00D31344">
        <w:t xml:space="preserve"> does not meaningfully respond to plaintiffs’ argument that </w:t>
      </w:r>
      <w:r w:rsidR="00B5689A" w:rsidRPr="00D31344">
        <w:t>section</w:t>
      </w:r>
      <w:r w:rsidR="003976B1" w:rsidRPr="00D31344">
        <w:t>s</w:t>
      </w:r>
      <w:r w:rsidR="00B5689A" w:rsidRPr="00D31344">
        <w:t xml:space="preserve"> 7465(c)(3) and (c)(4)</w:t>
      </w:r>
      <w:r w:rsidR="00F847C0" w:rsidRPr="00D31344">
        <w:t xml:space="preserve"> </w:t>
      </w:r>
      <w:r w:rsidR="00D41AD2" w:rsidRPr="00D31344">
        <w:t xml:space="preserve">interfere with </w:t>
      </w:r>
      <w:r w:rsidR="002D66B2" w:rsidRPr="00D31344">
        <w:t xml:space="preserve">the judiciary’s role to determine what constitutes an amendment </w:t>
      </w:r>
      <w:r w:rsidR="00D41AD2" w:rsidRPr="00D31344">
        <w:t>within the meaning of article II, section 10(c)</w:t>
      </w:r>
      <w:r w:rsidR="002D66B2" w:rsidRPr="00D31344">
        <w:t xml:space="preserve">.  </w:t>
      </w:r>
      <w:r w:rsidR="00665EDE" w:rsidRPr="00D31344">
        <w:t>And t</w:t>
      </w:r>
      <w:r w:rsidR="00D41AD2" w:rsidRPr="00D31344">
        <w:t xml:space="preserve">he </w:t>
      </w:r>
      <w:r w:rsidR="001F1269" w:rsidRPr="00D31344">
        <w:t>s</w:t>
      </w:r>
      <w:r w:rsidR="00D41AD2" w:rsidRPr="00D31344">
        <w:t xml:space="preserve">tate’s attempt to rebut </w:t>
      </w:r>
      <w:r w:rsidR="002D66B2" w:rsidRPr="00D31344">
        <w:t xml:space="preserve">plaintiffs’ argument </w:t>
      </w:r>
      <w:r w:rsidR="00B5689A" w:rsidRPr="00D31344">
        <w:t>regarding</w:t>
      </w:r>
      <w:r w:rsidR="002D66B2" w:rsidRPr="00D31344">
        <w:t xml:space="preserve"> section 7465(c)(4)’s infringement on the Legislature’s powers</w:t>
      </w:r>
      <w:r w:rsidR="00D41AD2" w:rsidRPr="00D31344">
        <w:t xml:space="preserve"> </w:t>
      </w:r>
      <w:r w:rsidRPr="00D31344">
        <w:t xml:space="preserve">is flawed.  We have no quarrel with the </w:t>
      </w:r>
      <w:r w:rsidR="00663988" w:rsidRPr="00D31344">
        <w:t>principle</w:t>
      </w:r>
      <w:r w:rsidRPr="00D31344">
        <w:t xml:space="preserve"> that legislation can amend an initiative without expressly </w:t>
      </w:r>
      <w:r w:rsidR="00663988" w:rsidRPr="00D31344">
        <w:t>changing its wording,</w:t>
      </w:r>
      <w:r w:rsidR="006438F1" w:rsidRPr="00D31344">
        <w:t xml:space="preserve"> </w:t>
      </w:r>
      <w:r w:rsidR="00663988" w:rsidRPr="00D31344">
        <w:t xml:space="preserve">but that </w:t>
      </w:r>
      <w:r w:rsidR="00663988" w:rsidRPr="00D31344">
        <w:lastRenderedPageBreak/>
        <w:t>principle has no application here</w:t>
      </w:r>
      <w:r w:rsidR="00EF69EA" w:rsidRPr="00D31344">
        <w:t xml:space="preserve">.  </w:t>
      </w:r>
      <w:r w:rsidR="00396594" w:rsidRPr="00D31344">
        <w:t xml:space="preserve">As </w:t>
      </w:r>
      <w:proofErr w:type="gramStart"/>
      <w:r w:rsidR="00396594" w:rsidRPr="00D31344">
        <w:t>discussed</w:t>
      </w:r>
      <w:proofErr w:type="gramEnd"/>
      <w:r w:rsidR="00396594" w:rsidRPr="00D31344">
        <w:t xml:space="preserve"> </w:t>
      </w:r>
      <w:r w:rsidR="00396594" w:rsidRPr="00D31344">
        <w:rPr>
          <w:i/>
          <w:iCs/>
        </w:rPr>
        <w:t>ante</w:t>
      </w:r>
      <w:r w:rsidR="00396594" w:rsidRPr="00D31344">
        <w:t xml:space="preserve">, </w:t>
      </w:r>
      <w:r w:rsidR="00663988" w:rsidRPr="00D31344">
        <w:t>Proposition 22 d</w:t>
      </w:r>
      <w:r w:rsidR="007225A2" w:rsidRPr="00D31344">
        <w:t>oes</w:t>
      </w:r>
      <w:r w:rsidR="00663988" w:rsidRPr="00D31344">
        <w:t xml:space="preserve"> not </w:t>
      </w:r>
      <w:r w:rsidR="00A961B8" w:rsidRPr="00D31344">
        <w:t xml:space="preserve">directly </w:t>
      </w:r>
      <w:r w:rsidR="00663988" w:rsidRPr="00D31344">
        <w:t>regulat</w:t>
      </w:r>
      <w:r w:rsidR="00EB60A7" w:rsidRPr="00D31344">
        <w:t>e collective bargaining</w:t>
      </w:r>
      <w:r w:rsidR="00A219BA" w:rsidRPr="00D31344">
        <w:t>.</w:t>
      </w:r>
      <w:r w:rsidR="002D014A" w:rsidRPr="00D31344">
        <w:t xml:space="preserve">  </w:t>
      </w:r>
      <w:r w:rsidR="005008AC" w:rsidRPr="00D31344">
        <w:t>A</w:t>
      </w:r>
      <w:r w:rsidR="007C3772" w:rsidRPr="00D31344">
        <w:t>nd a</w:t>
      </w:r>
      <w:r w:rsidR="005008AC" w:rsidRPr="00D31344">
        <w:t xml:space="preserve">s noted, independent </w:t>
      </w:r>
      <w:r w:rsidR="007E28D5" w:rsidRPr="00D31344">
        <w:t xml:space="preserve">contractors are not entirely barred from collectively bargaining, </w:t>
      </w:r>
      <w:r w:rsidR="005008AC" w:rsidRPr="00D31344">
        <w:t xml:space="preserve">so long as </w:t>
      </w:r>
      <w:r w:rsidR="005C17F5" w:rsidRPr="00D31344">
        <w:t>the Legislature enacts a law that satisfies</w:t>
      </w:r>
      <w:r w:rsidR="007E28D5" w:rsidRPr="00D31344">
        <w:t xml:space="preserve"> </w:t>
      </w:r>
      <w:r w:rsidR="002C7C02" w:rsidRPr="00D31344">
        <w:t xml:space="preserve">the requirements for state action immunity to antitrust law.  </w:t>
      </w:r>
      <w:r w:rsidR="002D014A" w:rsidRPr="00D31344">
        <w:t xml:space="preserve">Section 7465(c)(4) therefore </w:t>
      </w:r>
      <w:r w:rsidR="00635E1B" w:rsidRPr="00D31344">
        <w:t xml:space="preserve">extends more broadly than </w:t>
      </w:r>
      <w:r w:rsidR="002D014A" w:rsidRPr="00D31344">
        <w:t>Proposition 22’</w:t>
      </w:r>
      <w:r w:rsidR="007C3772" w:rsidRPr="00D31344">
        <w:t xml:space="preserve">s </w:t>
      </w:r>
      <w:r w:rsidR="001E30B3" w:rsidRPr="00D31344">
        <w:t xml:space="preserve">natural </w:t>
      </w:r>
      <w:r w:rsidR="007C3772" w:rsidRPr="00D31344">
        <w:t>article II, section 10(c) shadow</w:t>
      </w:r>
      <w:r w:rsidR="002D014A" w:rsidRPr="00D31344">
        <w:t>.</w:t>
      </w:r>
      <w:r w:rsidR="00B6646D" w:rsidRPr="00D31344">
        <w:t xml:space="preserve">  Additionally, a</w:t>
      </w:r>
      <w:r w:rsidR="007116BF" w:rsidRPr="00D31344">
        <w:t xml:space="preserve">s several election law professors point out in an amicus brief, the voters would have had little reason to </w:t>
      </w:r>
      <w:r w:rsidR="00EF640C" w:rsidRPr="00D31344">
        <w:t>obliquely</w:t>
      </w:r>
      <w:r w:rsidR="007116BF" w:rsidRPr="00D31344">
        <w:t xml:space="preserve"> call out </w:t>
      </w:r>
      <w:r w:rsidR="00A37677" w:rsidRPr="00D31344">
        <w:t xml:space="preserve">potential </w:t>
      </w:r>
      <w:r w:rsidR="007116BF" w:rsidRPr="00D31344">
        <w:t>collective bargaining</w:t>
      </w:r>
      <w:r w:rsidR="00EF640C" w:rsidRPr="00D31344">
        <w:t xml:space="preserve"> statute</w:t>
      </w:r>
      <w:r w:rsidR="00A37677" w:rsidRPr="00D31344">
        <w:t>s</w:t>
      </w:r>
      <w:r w:rsidR="007116BF" w:rsidRPr="00D31344">
        <w:t xml:space="preserve"> in section 7465(c)(4)</w:t>
      </w:r>
      <w:r w:rsidR="00A37677" w:rsidRPr="00D31344">
        <w:t xml:space="preserve"> as amendments to the initiative</w:t>
      </w:r>
      <w:r w:rsidR="007116BF" w:rsidRPr="00D31344">
        <w:t xml:space="preserve"> </w:t>
      </w:r>
      <w:r w:rsidR="00EF640C" w:rsidRPr="00D31344">
        <w:t xml:space="preserve">if </w:t>
      </w:r>
      <w:r w:rsidR="00A37677" w:rsidRPr="00D31344">
        <w:t xml:space="preserve">Proposition 22’s substantive provisions already </w:t>
      </w:r>
      <w:r w:rsidR="000B00FB" w:rsidRPr="00D31344">
        <w:t xml:space="preserve">addressed that issue.  </w:t>
      </w:r>
      <w:r w:rsidR="0005770C" w:rsidRPr="00D31344">
        <w:t>I</w:t>
      </w:r>
      <w:r w:rsidR="000B00FB" w:rsidRPr="00D31344">
        <w:t>f there were any doubt about whether the initiative</w:t>
      </w:r>
      <w:r w:rsidR="00627700" w:rsidRPr="00D31344">
        <w:t>’s</w:t>
      </w:r>
      <w:r w:rsidR="000B00FB" w:rsidRPr="00D31344">
        <w:t xml:space="preserve"> </w:t>
      </w:r>
      <w:r w:rsidR="000641E9" w:rsidRPr="00D31344">
        <w:t xml:space="preserve">classification of app-based drivers as independent contractors </w:t>
      </w:r>
      <w:r w:rsidR="00627700" w:rsidRPr="00D31344">
        <w:t xml:space="preserve">foreclosed the possibility of collective bargaining, the far more direct way to address the issue would be to add a provision </w:t>
      </w:r>
      <w:r w:rsidR="005008AC" w:rsidRPr="00D31344">
        <w:t xml:space="preserve">expressly </w:t>
      </w:r>
      <w:r w:rsidR="00627700" w:rsidRPr="00D31344">
        <w:t xml:space="preserve">saying </w:t>
      </w:r>
      <w:r w:rsidR="005008AC" w:rsidRPr="00D31344">
        <w:t>so</w:t>
      </w:r>
      <w:r w:rsidR="00627700" w:rsidRPr="00D31344">
        <w:t xml:space="preserve">.  </w:t>
      </w:r>
      <w:r w:rsidR="000B00FB" w:rsidRPr="00D31344">
        <w:t xml:space="preserve">The only </w:t>
      </w:r>
      <w:r w:rsidR="00627700" w:rsidRPr="00D31344">
        <w:t>discernable reason to include</w:t>
      </w:r>
      <w:r w:rsidR="000B00FB" w:rsidRPr="00D31344">
        <w:t xml:space="preserve"> section 7465(c)(4) </w:t>
      </w:r>
      <w:r w:rsidR="00267F01" w:rsidRPr="00D31344">
        <w:t>was</w:t>
      </w:r>
      <w:r w:rsidR="00627700" w:rsidRPr="00D31344">
        <w:t xml:space="preserve"> </w:t>
      </w:r>
      <w:r w:rsidR="000B00FB" w:rsidRPr="00D31344">
        <w:t xml:space="preserve">to expand the scope of </w:t>
      </w:r>
      <w:r w:rsidR="00627700" w:rsidRPr="00D31344">
        <w:t>the initiative</w:t>
      </w:r>
      <w:r w:rsidR="0070515E" w:rsidRPr="00D31344">
        <w:t>’s article II, section 10(c) shadow</w:t>
      </w:r>
      <w:r w:rsidR="00627700" w:rsidRPr="00D31344">
        <w:t xml:space="preserve"> beyond </w:t>
      </w:r>
      <w:r w:rsidR="004A4CCE" w:rsidRPr="00D31344">
        <w:t xml:space="preserve">Proposition 22’s </w:t>
      </w:r>
      <w:r w:rsidR="00267F01" w:rsidRPr="00D31344">
        <w:t>substantive provisions.</w:t>
      </w:r>
    </w:p>
    <w:p w14:paraId="39B4E834" w14:textId="388FCCA5" w:rsidR="004C2CAD" w:rsidRPr="00D31344" w:rsidRDefault="00570B35" w:rsidP="006631FF">
      <w:pPr>
        <w:spacing w:line="360" w:lineRule="auto"/>
      </w:pPr>
      <w:r w:rsidRPr="00D31344">
        <w:tab/>
      </w:r>
      <w:r w:rsidR="005D3D01" w:rsidRPr="00D31344">
        <w:t xml:space="preserve">In </w:t>
      </w:r>
      <w:r w:rsidRPr="00D31344">
        <w:t xml:space="preserve">a </w:t>
      </w:r>
      <w:r w:rsidR="0065726D" w:rsidRPr="00D31344">
        <w:t xml:space="preserve">variation on the </w:t>
      </w:r>
      <w:r w:rsidR="001F1269" w:rsidRPr="00D31344">
        <w:t>s</w:t>
      </w:r>
      <w:r w:rsidR="0065726D" w:rsidRPr="00D31344">
        <w:t>tate’s argument</w:t>
      </w:r>
      <w:r w:rsidR="00574A33" w:rsidRPr="00D31344">
        <w:t xml:space="preserve">, </w:t>
      </w:r>
      <w:r w:rsidR="005D3D01" w:rsidRPr="00D31344">
        <w:t xml:space="preserve">interveners </w:t>
      </w:r>
      <w:r w:rsidR="00F5095D" w:rsidRPr="00D31344">
        <w:t>contend</w:t>
      </w:r>
      <w:r w:rsidR="00574A33" w:rsidRPr="00D31344">
        <w:t xml:space="preserve"> </w:t>
      </w:r>
      <w:r w:rsidR="00D51550" w:rsidRPr="00D31344">
        <w:t xml:space="preserve">in their reply brief that </w:t>
      </w:r>
      <w:r w:rsidR="00B75144" w:rsidRPr="00D31344">
        <w:t xml:space="preserve">we could interpret </w:t>
      </w:r>
      <w:r w:rsidR="00F8155A" w:rsidRPr="00D31344">
        <w:t>section 7465(c)(4) itself</w:t>
      </w:r>
      <w:r w:rsidR="00B75144" w:rsidRPr="00D31344">
        <w:t xml:space="preserve"> as a form of substantive regulation</w:t>
      </w:r>
      <w:r w:rsidR="00030E3B" w:rsidRPr="00D31344">
        <w:t xml:space="preserve">. </w:t>
      </w:r>
      <w:r w:rsidR="00B75144" w:rsidRPr="00D31344">
        <w:t xml:space="preserve"> In this view, </w:t>
      </w:r>
      <w:r w:rsidR="00E71C28" w:rsidRPr="00D31344">
        <w:t xml:space="preserve">because </w:t>
      </w:r>
      <w:r w:rsidR="006344AA" w:rsidRPr="00D31344">
        <w:t xml:space="preserve">app-based </w:t>
      </w:r>
      <w:r w:rsidR="00E71C28" w:rsidRPr="00D31344">
        <w:t xml:space="preserve">drivers </w:t>
      </w:r>
      <w:r w:rsidR="006344AA" w:rsidRPr="00D31344">
        <w:t>can</w:t>
      </w:r>
      <w:r w:rsidR="00E71C28" w:rsidRPr="00D31344">
        <w:t>not collectively bargain in the absence of an authorizing statute</w:t>
      </w:r>
      <w:r w:rsidR="006344AA" w:rsidRPr="00D31344">
        <w:t xml:space="preserve"> and there is presently no such </w:t>
      </w:r>
      <w:r w:rsidR="00C53F87" w:rsidRPr="00D31344">
        <w:t xml:space="preserve">law, section 7465(c)(4)’s restriction on the enactment of such a law </w:t>
      </w:r>
      <w:r w:rsidRPr="00D31344">
        <w:t xml:space="preserve">effectively </w:t>
      </w:r>
      <w:r w:rsidR="006344AA" w:rsidRPr="00D31344">
        <w:t xml:space="preserve">locks in </w:t>
      </w:r>
      <w:r w:rsidRPr="00D31344">
        <w:t xml:space="preserve">place </w:t>
      </w:r>
      <w:r w:rsidR="006344AA" w:rsidRPr="00D31344">
        <w:t>the status quo of drivers not being able to collectively bargain.</w:t>
      </w:r>
    </w:p>
    <w:p w14:paraId="4AA42EDE" w14:textId="75B27732" w:rsidR="00211ED3" w:rsidRPr="00D31344" w:rsidRDefault="00570B35" w:rsidP="006631FF">
      <w:pPr>
        <w:spacing w:line="360" w:lineRule="auto"/>
      </w:pPr>
      <w:r w:rsidRPr="00D31344">
        <w:lastRenderedPageBreak/>
        <w:tab/>
        <w:t>T</w:t>
      </w:r>
      <w:r w:rsidR="00853FAB" w:rsidRPr="00D31344">
        <w:t>reat</w:t>
      </w:r>
      <w:r w:rsidRPr="00D31344">
        <w:t>ing</w:t>
      </w:r>
      <w:r w:rsidR="00853FAB" w:rsidRPr="00D31344">
        <w:t xml:space="preserve"> section 7465(c)(4) as equivalent to </w:t>
      </w:r>
      <w:r w:rsidRPr="00D31344">
        <w:t xml:space="preserve">a </w:t>
      </w:r>
      <w:r w:rsidR="00853FAB" w:rsidRPr="00D31344">
        <w:t xml:space="preserve">direct pronouncement that app-based drivers cannot collectively bargain presents </w:t>
      </w:r>
      <w:r w:rsidR="0095725E" w:rsidRPr="00D31344">
        <w:t>even more difficulties than the other</w:t>
      </w:r>
      <w:r w:rsidRPr="00D31344">
        <w:t xml:space="preserve"> interpretations</w:t>
      </w:r>
      <w:r w:rsidR="0095725E" w:rsidRPr="00D31344">
        <w:t xml:space="preserve">.  </w:t>
      </w:r>
      <w:r w:rsidR="005970FD" w:rsidRPr="00D31344">
        <w:t xml:space="preserve">To begin with, </w:t>
      </w:r>
      <w:r w:rsidRPr="00D31344">
        <w:t>this approach</w:t>
      </w:r>
      <w:r w:rsidR="00F56FCD" w:rsidRPr="00D31344">
        <w:t xml:space="preserve"> is </w:t>
      </w:r>
      <w:r w:rsidR="009E381B" w:rsidRPr="00D31344">
        <w:t>inconsistent with</w:t>
      </w:r>
      <w:r w:rsidR="0050196F" w:rsidRPr="00D31344">
        <w:t xml:space="preserve"> the</w:t>
      </w:r>
      <w:r w:rsidR="009E381B" w:rsidRPr="00D31344">
        <w:t xml:space="preserve"> text</w:t>
      </w:r>
      <w:r w:rsidR="0050196F" w:rsidRPr="00D31344">
        <w:t xml:space="preserve"> of the initiative</w:t>
      </w:r>
      <w:r w:rsidR="009E381B" w:rsidRPr="00D31344">
        <w:t xml:space="preserve">.  Section 7465(c)(4) is </w:t>
      </w:r>
      <w:r w:rsidR="00FA6C65" w:rsidRPr="00D31344">
        <w:t xml:space="preserve">the only section </w:t>
      </w:r>
      <w:r w:rsidR="009E381B" w:rsidRPr="00D31344">
        <w:t>contained in an article titled “Amendment.”</w:t>
      </w:r>
      <w:r w:rsidR="008853EE" w:rsidRPr="00D31344">
        <w:t xml:space="preserve"> </w:t>
      </w:r>
      <w:r w:rsidR="009E381B" w:rsidRPr="00D31344">
        <w:t xml:space="preserve"> (</w:t>
      </w:r>
      <w:r w:rsidR="009E381B" w:rsidRPr="00D31344">
        <w:rPr>
          <w:i/>
        </w:rPr>
        <w:t>People v. Garfield</w:t>
      </w:r>
      <w:r w:rsidR="009E381B" w:rsidRPr="00D31344">
        <w:t xml:space="preserve"> (1985) 40</w:t>
      </w:r>
      <w:r w:rsidR="004C0EC5" w:rsidRPr="00D31344">
        <w:t> </w:t>
      </w:r>
      <w:r w:rsidR="009E381B" w:rsidRPr="00D31344">
        <w:t xml:space="preserve">Cal.3d 192, 199 [titles are “a useful guide in determining the intended scope of legislation,” but not the only one].)  </w:t>
      </w:r>
      <w:r w:rsidR="0050196F" w:rsidRPr="00D31344">
        <w:t>And by</w:t>
      </w:r>
      <w:r w:rsidR="009E381B" w:rsidRPr="00D31344">
        <w:t xml:space="preserve"> its terms, section 7465(c)(4) discusses only the content of future legislation.  It does not affirmatively state that app-based drivers cannot collectively bargain or that the Legislature cannot allow a public entity to represent them on an individual basis</w:t>
      </w:r>
      <w:r w:rsidR="00E43608" w:rsidRPr="00D31344">
        <w:t>.</w:t>
      </w:r>
    </w:p>
    <w:p w14:paraId="3142DB75" w14:textId="1D61DDC1" w:rsidR="00A02A7D" w:rsidRPr="00D31344" w:rsidRDefault="00570B35" w:rsidP="00A02A7D">
      <w:pPr>
        <w:spacing w:line="360" w:lineRule="auto"/>
      </w:pPr>
      <w:r w:rsidRPr="00D31344">
        <w:tab/>
      </w:r>
      <w:r w:rsidR="003A49EF" w:rsidRPr="00D31344">
        <w:t xml:space="preserve">Even if </w:t>
      </w:r>
      <w:r w:rsidR="002D0D97" w:rsidRPr="00D31344">
        <w:t xml:space="preserve">section 7465(c)(4)’s text could be read to imply that drivers may not collectively bargain, </w:t>
      </w:r>
      <w:r w:rsidR="00CA104B" w:rsidRPr="00D31344">
        <w:t xml:space="preserve">there is no indication that </w:t>
      </w:r>
      <w:r w:rsidR="00C82180" w:rsidRPr="00D31344">
        <w:t>the voters intended section 7465(c)(4) to operate in this fashion.</w:t>
      </w:r>
      <w:r w:rsidR="00811DA3" w:rsidRPr="00D31344">
        <w:t xml:space="preserve"> </w:t>
      </w:r>
      <w:r w:rsidR="00C82180" w:rsidRPr="00D31344">
        <w:t xml:space="preserve"> </w:t>
      </w:r>
      <w:proofErr w:type="gramStart"/>
      <w:r w:rsidR="007B1339" w:rsidRPr="00D31344">
        <w:t>“ ‘</w:t>
      </w:r>
      <w:proofErr w:type="gramEnd"/>
      <w:r w:rsidR="007B1339" w:rsidRPr="00D31344">
        <w:t> “[I]n the case of a voters’ initiative statute</w:t>
      </w:r>
      <w:r w:rsidR="00B67D81" w:rsidRPr="00D31344">
        <w:t> </w:t>
      </w:r>
      <w:r w:rsidR="007B1339" w:rsidRPr="00D31344">
        <w:t>. . .</w:t>
      </w:r>
      <w:r w:rsidR="00B67D81" w:rsidRPr="00D31344">
        <w:t xml:space="preserve"> </w:t>
      </w:r>
      <w:r w:rsidR="007B1339" w:rsidRPr="00D31344">
        <w:t xml:space="preserve">we may not properly interpret the measure in a way that the electorate did not contemplate: </w:t>
      </w:r>
      <w:r w:rsidR="00923D75" w:rsidRPr="00D31344">
        <w:t xml:space="preserve"> </w:t>
      </w:r>
      <w:r w:rsidR="007B1339" w:rsidRPr="00D31344">
        <w:t>the voters should get what they enacted, not more and not less.” ’ ”  (</w:t>
      </w:r>
      <w:r w:rsidR="007B1339" w:rsidRPr="00D31344">
        <w:rPr>
          <w:i/>
        </w:rPr>
        <w:t>People v. Valencia</w:t>
      </w:r>
      <w:r w:rsidR="00EA3387" w:rsidRPr="00D31344">
        <w:t xml:space="preserve"> (2017)</w:t>
      </w:r>
      <w:r w:rsidR="007B1339" w:rsidRPr="00D31344">
        <w:t xml:space="preserve"> 3</w:t>
      </w:r>
      <w:r w:rsidR="00EA3387" w:rsidRPr="00D31344">
        <w:t> </w:t>
      </w:r>
      <w:r w:rsidR="007B1339" w:rsidRPr="00D31344">
        <w:t xml:space="preserve">Cal.5th </w:t>
      </w:r>
      <w:r w:rsidR="00721677" w:rsidRPr="00D31344">
        <w:t>347,</w:t>
      </w:r>
      <w:r w:rsidR="007B1339" w:rsidRPr="00D31344">
        <w:t xml:space="preserve"> 375.) </w:t>
      </w:r>
      <w:r w:rsidR="00C82180" w:rsidRPr="00D31344">
        <w:t xml:space="preserve"> </w:t>
      </w:r>
      <w:r w:rsidR="00C87262" w:rsidRPr="00D31344">
        <w:t>S</w:t>
      </w:r>
      <w:r w:rsidRPr="00D31344">
        <w:t xml:space="preserve">ection 7465(c)(4) does not use the phrase </w:t>
      </w:r>
      <w:r w:rsidR="006F7340" w:rsidRPr="00D31344">
        <w:t>“</w:t>
      </w:r>
      <w:r w:rsidRPr="00D31344">
        <w:t>collective bargaining,</w:t>
      </w:r>
      <w:r w:rsidR="006F7340" w:rsidRPr="00D31344">
        <w:t>”</w:t>
      </w:r>
      <w:r w:rsidRPr="00D31344">
        <w:t xml:space="preserve"> even though </w:t>
      </w:r>
      <w:r w:rsidR="00FA1FF6" w:rsidRPr="00D31344">
        <w:t>all the parties here</w:t>
      </w:r>
      <w:r w:rsidRPr="00D31344">
        <w:t xml:space="preserve"> acknowledge that </w:t>
      </w:r>
      <w:r w:rsidR="006F7340" w:rsidRPr="00D31344">
        <w:t>restricting collective bargaining was the provision’s aim.</w:t>
      </w:r>
      <w:r w:rsidRPr="00D31344">
        <w:t xml:space="preserve">  No</w:t>
      </w:r>
      <w:r w:rsidR="00FA1FF6" w:rsidRPr="00D31344">
        <w:t xml:space="preserve">r does such an intent appear in </w:t>
      </w:r>
      <w:r w:rsidRPr="00D31344">
        <w:t>Proposition 22’s prefatory findings and statements of purpose.  The Attorney General did not identify such a restriction as one of the initiativ</w:t>
      </w:r>
      <w:r w:rsidRPr="00D31344">
        <w:t xml:space="preserve">e’s effects, either in the original circulating title and summary or in the revised </w:t>
      </w:r>
      <w:r w:rsidRPr="00D31344">
        <w:lastRenderedPageBreak/>
        <w:t xml:space="preserve">title and summary included in the voter guide. </w:t>
      </w:r>
      <w:r w:rsidR="003128CF" w:rsidRPr="00D31344">
        <w:t xml:space="preserve"> (Proposition 22, </w:t>
      </w:r>
      <w:r w:rsidR="00625193" w:rsidRPr="00D31344">
        <w:t>at p.</w:t>
      </w:r>
      <w:r w:rsidR="005D4B36" w:rsidRPr="00D31344">
        <w:t> </w:t>
      </w:r>
      <w:r w:rsidR="00625193" w:rsidRPr="00D31344">
        <w:t xml:space="preserve">2, </w:t>
      </w:r>
      <w:r w:rsidR="003128CF" w:rsidRPr="00D31344">
        <w:t xml:space="preserve">available at </w:t>
      </w:r>
      <w:r w:rsidR="00AD66AD" w:rsidRPr="00D31344">
        <w:t>&lt;</w:t>
      </w:r>
      <w:r w:rsidR="009219FA" w:rsidRPr="00D31344">
        <w:t>https://repository.uchastings.edu/ca_ballot_inits/2165/</w:t>
      </w:r>
      <w:r w:rsidR="00AD66AD" w:rsidRPr="00D31344">
        <w:rPr>
          <w:rStyle w:val="Hyperlink"/>
          <w:color w:val="auto"/>
          <w:u w:val="none"/>
        </w:rPr>
        <w:t>&gt;</w:t>
      </w:r>
      <w:r w:rsidR="00B72433" w:rsidRPr="00D31344">
        <w:rPr>
          <w:rStyle w:val="Hyperlink"/>
          <w:color w:val="auto"/>
          <w:u w:val="none"/>
        </w:rPr>
        <w:t xml:space="preserve"> </w:t>
      </w:r>
      <w:r w:rsidR="00B3248E" w:rsidRPr="00D31344">
        <w:rPr>
          <w:rStyle w:val="Hyperlink"/>
          <w:color w:val="auto"/>
          <w:u w:val="none"/>
        </w:rPr>
        <w:t>[as of</w:t>
      </w:r>
      <w:r w:rsidR="00CC4160" w:rsidRPr="00D31344">
        <w:rPr>
          <w:rStyle w:val="Hyperlink"/>
          <w:color w:val="auto"/>
        </w:rPr>
        <w:t xml:space="preserve"> </w:t>
      </w:r>
      <w:r w:rsidR="00CC4160" w:rsidRPr="00D31344">
        <w:rPr>
          <w:rStyle w:val="Hyperlink"/>
          <w:color w:val="auto"/>
          <w:u w:val="none"/>
        </w:rPr>
        <w:t>Mar</w:t>
      </w:r>
      <w:r w:rsidR="00FB54CB" w:rsidRPr="00D31344">
        <w:rPr>
          <w:rStyle w:val="Hyperlink"/>
          <w:color w:val="auto"/>
          <w:u w:val="none"/>
        </w:rPr>
        <w:t>.</w:t>
      </w:r>
      <w:r w:rsidR="00CC4160" w:rsidRPr="00D31344">
        <w:rPr>
          <w:rStyle w:val="Hyperlink"/>
          <w:color w:val="auto"/>
          <w:u w:val="none"/>
        </w:rPr>
        <w:t> </w:t>
      </w:r>
      <w:r w:rsidR="00810602" w:rsidRPr="00D31344">
        <w:rPr>
          <w:rStyle w:val="Hyperlink"/>
          <w:color w:val="auto"/>
          <w:u w:val="none"/>
        </w:rPr>
        <w:t>1</w:t>
      </w:r>
      <w:r w:rsidR="00C0106A" w:rsidRPr="00D31344">
        <w:rPr>
          <w:rStyle w:val="Hyperlink"/>
          <w:color w:val="auto"/>
          <w:u w:val="none"/>
        </w:rPr>
        <w:t>3</w:t>
      </w:r>
      <w:r w:rsidR="00CC4160" w:rsidRPr="00D31344">
        <w:rPr>
          <w:rStyle w:val="Hyperlink"/>
          <w:color w:val="auto"/>
          <w:u w:val="none"/>
        </w:rPr>
        <w:t xml:space="preserve">, </w:t>
      </w:r>
      <w:r w:rsidR="00B3248E" w:rsidRPr="00D31344">
        <w:rPr>
          <w:rStyle w:val="Hyperlink"/>
          <w:color w:val="auto"/>
          <w:u w:val="none"/>
        </w:rPr>
        <w:t>2023]</w:t>
      </w:r>
      <w:r w:rsidR="008A7FC8" w:rsidRPr="00D31344">
        <w:t xml:space="preserve">; Voter </w:t>
      </w:r>
      <w:r w:rsidR="007E2508" w:rsidRPr="00D31344">
        <w:t>G</w:t>
      </w:r>
      <w:r w:rsidR="008A7FC8" w:rsidRPr="00D31344">
        <w:t>uide,</w:t>
      </w:r>
      <w:r w:rsidR="00B4291E" w:rsidRPr="00D31344">
        <w:t xml:space="preserve"> </w:t>
      </w:r>
      <w:r w:rsidR="00B4291E" w:rsidRPr="00D31344">
        <w:rPr>
          <w:i/>
          <w:iCs/>
        </w:rPr>
        <w:t>supra</w:t>
      </w:r>
      <w:r w:rsidR="00B4291E" w:rsidRPr="00D31344">
        <w:t>,</w:t>
      </w:r>
      <w:r w:rsidR="00521E35" w:rsidRPr="00D31344">
        <w:t xml:space="preserve"> </w:t>
      </w:r>
      <w:r w:rsidR="00E040ED" w:rsidRPr="00D31344">
        <w:t xml:space="preserve">title and </w:t>
      </w:r>
      <w:r w:rsidR="00521E35" w:rsidRPr="00D31344">
        <w:t>summary</w:t>
      </w:r>
      <w:r w:rsidR="0055538A" w:rsidRPr="00D31344">
        <w:t xml:space="preserve"> of Prop. 22</w:t>
      </w:r>
      <w:r w:rsidR="00047C52" w:rsidRPr="00D31344">
        <w:t xml:space="preserve">, </w:t>
      </w:r>
      <w:r w:rsidR="008A7FC8" w:rsidRPr="00D31344">
        <w:t>p.</w:t>
      </w:r>
      <w:r w:rsidR="002D58D4" w:rsidRPr="00D31344">
        <w:t> </w:t>
      </w:r>
      <w:r w:rsidR="000435B6" w:rsidRPr="00D31344">
        <w:t>56.</w:t>
      </w:r>
      <w:r w:rsidR="003128CF" w:rsidRPr="00D31344">
        <w:t>)</w:t>
      </w:r>
      <w:r w:rsidRPr="00D31344">
        <w:t xml:space="preserve">  </w:t>
      </w:r>
      <w:r w:rsidR="00855915" w:rsidRPr="00D31344">
        <w:t>Nor did t</w:t>
      </w:r>
      <w:r w:rsidRPr="00D31344">
        <w:t>he Legislative Analys</w:t>
      </w:r>
      <w:r w:rsidR="00625193" w:rsidRPr="00D31344">
        <w:t>t</w:t>
      </w:r>
      <w:r w:rsidRPr="00D31344">
        <w:t>.  (</w:t>
      </w:r>
      <w:r w:rsidR="009E4F35" w:rsidRPr="00D31344">
        <w:t>Voter Guide</w:t>
      </w:r>
      <w:r w:rsidR="00384CBA" w:rsidRPr="00D31344">
        <w:t>,</w:t>
      </w:r>
      <w:r w:rsidR="0045690B" w:rsidRPr="00D31344">
        <w:t xml:space="preserve"> </w:t>
      </w:r>
      <w:r w:rsidR="0045690B" w:rsidRPr="00D31344">
        <w:rPr>
          <w:i/>
          <w:iCs/>
        </w:rPr>
        <w:t>supra</w:t>
      </w:r>
      <w:r w:rsidR="0045690B" w:rsidRPr="00D31344">
        <w:t>,</w:t>
      </w:r>
      <w:r w:rsidR="00384CBA" w:rsidRPr="00D31344">
        <w:t xml:space="preserve"> </w:t>
      </w:r>
      <w:r w:rsidR="00992E15" w:rsidRPr="00D31344">
        <w:t>analysis of Prop. 22</w:t>
      </w:r>
      <w:r w:rsidR="00DF252E" w:rsidRPr="00D31344">
        <w:t xml:space="preserve">, </w:t>
      </w:r>
      <w:r w:rsidRPr="00D31344">
        <w:t>pp.</w:t>
      </w:r>
      <w:r w:rsidR="0083691E" w:rsidRPr="00D31344">
        <w:t> </w:t>
      </w:r>
      <w:r w:rsidRPr="00D31344">
        <w:t xml:space="preserve">56–57.)  </w:t>
      </w:r>
      <w:r w:rsidR="008B3939" w:rsidRPr="00D31344">
        <w:t>Nor did</w:t>
      </w:r>
      <w:r w:rsidRPr="00D31344">
        <w:t xml:space="preserve"> the arguments </w:t>
      </w:r>
      <w:r w:rsidR="00855915" w:rsidRPr="00D31344">
        <w:t xml:space="preserve">for and against </w:t>
      </w:r>
      <w:r w:rsidRPr="00D31344">
        <w:t>the initiative.</w:t>
      </w:r>
      <w:r>
        <w:rPr>
          <w:rStyle w:val="FootnoteReference"/>
        </w:rPr>
        <w:footnoteReference w:id="20"/>
      </w:r>
      <w:r w:rsidRPr="00D31344">
        <w:t xml:space="preserve">  (</w:t>
      </w:r>
      <w:r w:rsidRPr="00D31344">
        <w:rPr>
          <w:i/>
          <w:iCs/>
        </w:rPr>
        <w:t xml:space="preserve">Id. </w:t>
      </w:r>
      <w:r w:rsidRPr="00D31344">
        <w:t>at pp.</w:t>
      </w:r>
      <w:r w:rsidR="00C948F8" w:rsidRPr="00D31344">
        <w:t> </w:t>
      </w:r>
      <w:r w:rsidRPr="00D31344">
        <w:t>58–59.)</w:t>
      </w:r>
    </w:p>
    <w:p w14:paraId="310BA9FF" w14:textId="7649D3B8" w:rsidR="00244B4E" w:rsidRPr="00D31344" w:rsidRDefault="00570B35" w:rsidP="00244B4E">
      <w:pPr>
        <w:spacing w:line="360" w:lineRule="auto"/>
      </w:pPr>
      <w:r w:rsidRPr="00D31344">
        <w:tab/>
      </w:r>
      <w:r w:rsidR="00D41AD2" w:rsidRPr="00D31344">
        <w:t xml:space="preserve">To paraphrase our Supreme Court’s remarks about a different initiative, </w:t>
      </w:r>
      <w:r w:rsidRPr="00D31344">
        <w:t>“</w:t>
      </w:r>
      <w:r w:rsidR="00D41AD2" w:rsidRPr="00D31344">
        <w:t>[w]</w:t>
      </w:r>
      <w:r w:rsidRPr="00D31344">
        <w:t xml:space="preserve">e </w:t>
      </w:r>
      <w:proofErr w:type="gramStart"/>
      <w:r w:rsidRPr="00D31344">
        <w:t>recognize</w:t>
      </w:r>
      <w:proofErr w:type="gramEnd"/>
      <w:r w:rsidRPr="00D31344">
        <w:t xml:space="preserve"> that the materials in the ballot pamphlet may not touch on every aspect of an initiative, no </w:t>
      </w:r>
      <w:r w:rsidRPr="00D31344">
        <w:lastRenderedPageBreak/>
        <w:t>matter how minor.  ‘A statute, of course, must prevail over any summary.</w:t>
      </w:r>
      <w:r w:rsidR="000D1F26" w:rsidRPr="00D31344">
        <w:t xml:space="preserve"> </w:t>
      </w:r>
      <w:r w:rsidRPr="00D31344">
        <w:t xml:space="preserve"> W</w:t>
      </w:r>
      <w:r w:rsidRPr="00D31344">
        <w:t xml:space="preserve">ere it not so, no statute could ever be enacted whole and entire. </w:t>
      </w:r>
      <w:r w:rsidR="000D1F26" w:rsidRPr="00D31344">
        <w:t xml:space="preserve"> </w:t>
      </w:r>
      <w:r w:rsidRPr="00D31344">
        <w:t>For every summary, by definition, is incomplete.’  [Citation.]  When, for example, an initiative contains a clear and unambiguous provision that, because of its relatively limited significa</w:t>
      </w:r>
      <w:r w:rsidRPr="00D31344">
        <w:t>nce, is not mentioned in ballot summary or arguments, the absence of such a reference will not nullify its effectiveness.</w:t>
      </w:r>
      <w:r w:rsidR="00AA59FF" w:rsidRPr="00D31344">
        <w:t xml:space="preserve">  Here, however, the language of Proposition [22] is not free from ambiguity.  And the application of its definition of [an amendment</w:t>
      </w:r>
      <w:r w:rsidR="00DB2550" w:rsidRPr="00D31344">
        <w:t xml:space="preserve"> </w:t>
      </w:r>
      <w:r w:rsidR="006D6525" w:rsidRPr="00D31344">
        <w:t>regulating</w:t>
      </w:r>
      <w:r w:rsidR="00DB2550" w:rsidRPr="00D31344">
        <w:t xml:space="preserve"> </w:t>
      </w:r>
      <w:r w:rsidR="0011548A" w:rsidRPr="00D31344">
        <w:t xml:space="preserve">app-drivers’ ability to </w:t>
      </w:r>
      <w:r w:rsidR="00DB2550" w:rsidRPr="00D31344">
        <w:t>collective</w:t>
      </w:r>
      <w:r w:rsidR="0011548A" w:rsidRPr="00D31344">
        <w:t>ly</w:t>
      </w:r>
      <w:r w:rsidR="00DB2550" w:rsidRPr="00D31344">
        <w:t xml:space="preserve"> bargain</w:t>
      </w:r>
      <w:r w:rsidR="00AA59FF" w:rsidRPr="00D31344">
        <w:t xml:space="preserve">] is a matter of such substantial import that the voters could reasonably expect that, if Proposition </w:t>
      </w:r>
      <w:r w:rsidR="00DB2550" w:rsidRPr="00D31344">
        <w:t>[22]</w:t>
      </w:r>
      <w:r w:rsidR="00AA59FF" w:rsidRPr="00D31344">
        <w:t xml:space="preserve"> applied </w:t>
      </w:r>
      <w:r w:rsidR="00DB2550" w:rsidRPr="00D31344">
        <w:t>[in such a way]</w:t>
      </w:r>
      <w:r w:rsidR="00AA59FF" w:rsidRPr="00D31344">
        <w:t>, the ballot materials would mention it.</w:t>
      </w:r>
      <w:r w:rsidRPr="00D31344">
        <w:t>”  (</w:t>
      </w:r>
      <w:r w:rsidRPr="00D31344">
        <w:rPr>
          <w:i/>
          <w:iCs/>
        </w:rPr>
        <w:t>People v. Valencia</w:t>
      </w:r>
      <w:r w:rsidRPr="00D31344">
        <w:t xml:space="preserve">, </w:t>
      </w:r>
      <w:r w:rsidRPr="00D31344">
        <w:rPr>
          <w:i/>
          <w:iCs/>
        </w:rPr>
        <w:t>supra</w:t>
      </w:r>
      <w:r w:rsidRPr="00D31344">
        <w:t>, 3</w:t>
      </w:r>
      <w:r w:rsidRPr="00D31344">
        <w:t xml:space="preserve"> Cal.5th at p. 364</w:t>
      </w:r>
      <w:r w:rsidR="00974C18" w:rsidRPr="00D31344">
        <w:t>, fn. 6</w:t>
      </w:r>
      <w:r w:rsidRPr="00D31344">
        <w:t>.)</w:t>
      </w:r>
    </w:p>
    <w:p w14:paraId="5F92E345" w14:textId="77777777" w:rsidR="008908B2" w:rsidRPr="00D31344" w:rsidRDefault="00570B35" w:rsidP="006631FF">
      <w:pPr>
        <w:spacing w:line="360" w:lineRule="auto"/>
      </w:pPr>
      <w:r w:rsidRPr="00D31344">
        <w:tab/>
        <w:t xml:space="preserve">Finally, </w:t>
      </w:r>
      <w:r w:rsidR="00D57FD5" w:rsidRPr="00D31344">
        <w:t xml:space="preserve">we are reluctant to </w:t>
      </w:r>
      <w:r w:rsidRPr="00D31344">
        <w:t xml:space="preserve">accept section 7465(c)(4) as an </w:t>
      </w:r>
      <w:r w:rsidR="003A08EE" w:rsidRPr="00D31344">
        <w:t xml:space="preserve">indirect form of substantive regulation </w:t>
      </w:r>
      <w:r w:rsidR="00D57FD5" w:rsidRPr="00D31344">
        <w:t xml:space="preserve">because of the </w:t>
      </w:r>
      <w:r w:rsidR="003A08EE" w:rsidRPr="00D31344">
        <w:t xml:space="preserve">troubling </w:t>
      </w:r>
      <w:r w:rsidR="00D57FD5" w:rsidRPr="00D31344">
        <w:t>implications</w:t>
      </w:r>
      <w:r w:rsidR="003A08EE" w:rsidRPr="00D31344">
        <w:t xml:space="preserve"> for the initiative</w:t>
      </w:r>
      <w:r w:rsidR="00D57FD5" w:rsidRPr="00D31344">
        <w:t xml:space="preserve"> process</w:t>
      </w:r>
      <w:r w:rsidR="003A08EE" w:rsidRPr="00D31344">
        <w:t xml:space="preserve">.  </w:t>
      </w:r>
      <w:r w:rsidRPr="00D31344">
        <w:t>Treating</w:t>
      </w:r>
      <w:r w:rsidR="00F01383" w:rsidRPr="00D31344">
        <w:t xml:space="preserve"> section 7465(c)(4)’s ostensibly procedural regulation of the amendment process as equivalent to a direct statement that app-based drivers cannot collectively bargain </w:t>
      </w:r>
      <w:r w:rsidR="003A08EE" w:rsidRPr="00D31344">
        <w:t>would encourage gamesmanship and reward initiative proponents for drafting confusing, or even outright misleading, initiatives.</w:t>
      </w:r>
      <w:r w:rsidR="00CD20A4" w:rsidRPr="00D31344">
        <w:t xml:space="preserve">  </w:t>
      </w:r>
      <w:r w:rsidR="00C40C14" w:rsidRPr="00D31344">
        <w:t xml:space="preserve">Adhering to </w:t>
      </w:r>
      <w:r w:rsidR="00DA0F4F" w:rsidRPr="00D31344">
        <w:t xml:space="preserve">the plain text of </w:t>
      </w:r>
      <w:r w:rsidR="00D55340" w:rsidRPr="00D31344">
        <w:t xml:space="preserve">initiatives’ enactments </w:t>
      </w:r>
      <w:r w:rsidR="00DA0F4F" w:rsidRPr="00D31344">
        <w:t xml:space="preserve">will </w:t>
      </w:r>
      <w:r w:rsidR="00C40C14" w:rsidRPr="00D31344">
        <w:t xml:space="preserve">instead </w:t>
      </w:r>
      <w:r w:rsidR="00DA0F4F" w:rsidRPr="00D31344">
        <w:t>help ensure that</w:t>
      </w:r>
      <w:r w:rsidR="00D55340" w:rsidRPr="00D31344">
        <w:t xml:space="preserve"> proponents draft </w:t>
      </w:r>
      <w:r w:rsidR="00C40C14" w:rsidRPr="00D31344">
        <w:t xml:space="preserve">clear and intelligible </w:t>
      </w:r>
      <w:r w:rsidR="00D55340" w:rsidRPr="00D31344">
        <w:t>proposals for the voters’ consideration.</w:t>
      </w:r>
    </w:p>
    <w:p w14:paraId="6F9EF14B" w14:textId="4FFE7628" w:rsidR="00FC20F0" w:rsidRPr="00D31344" w:rsidRDefault="00570B35" w:rsidP="006631FF">
      <w:pPr>
        <w:spacing w:line="360" w:lineRule="auto"/>
      </w:pPr>
      <w:r w:rsidRPr="00D31344">
        <w:tab/>
      </w:r>
      <w:r w:rsidR="00215E98" w:rsidRPr="00D31344">
        <w:t xml:space="preserve">The </w:t>
      </w:r>
      <w:r w:rsidR="001F1269" w:rsidRPr="00D31344">
        <w:t>s</w:t>
      </w:r>
      <w:r w:rsidR="00215E98" w:rsidRPr="00D31344">
        <w:t xml:space="preserve">tate and interveners </w:t>
      </w:r>
      <w:r w:rsidR="003D4183" w:rsidRPr="00D31344">
        <w:t xml:space="preserve">emphasize </w:t>
      </w:r>
      <w:r w:rsidR="00DB7508" w:rsidRPr="00D31344">
        <w:t xml:space="preserve">that we must </w:t>
      </w:r>
      <w:r w:rsidRPr="00D31344">
        <w:t>j</w:t>
      </w:r>
      <w:r w:rsidRPr="00D31344">
        <w:t>ealously guard</w:t>
      </w:r>
      <w:r w:rsidR="003D4183" w:rsidRPr="00D31344">
        <w:t xml:space="preserve"> the initiative power</w:t>
      </w:r>
      <w:r w:rsidRPr="00D31344">
        <w:t xml:space="preserve">.  But </w:t>
      </w:r>
      <w:r w:rsidR="00B455DD" w:rsidRPr="00D31344">
        <w:t xml:space="preserve">our </w:t>
      </w:r>
      <w:r w:rsidRPr="00D31344">
        <w:t xml:space="preserve">duty </w:t>
      </w:r>
      <w:r w:rsidR="00B455DD" w:rsidRPr="00D31344">
        <w:t xml:space="preserve">to guard the </w:t>
      </w:r>
      <w:r w:rsidR="00B455DD" w:rsidRPr="00D31344">
        <w:lastRenderedPageBreak/>
        <w:t xml:space="preserve">initiative power </w:t>
      </w:r>
      <w:r w:rsidRPr="00D31344">
        <w:t xml:space="preserve">works both ways; “we guard this power with both sword and shield.  We must not only protect against interference with its proper </w:t>
      </w:r>
      <w:proofErr w:type="gramStart"/>
      <w:r w:rsidRPr="00D31344">
        <w:t>exercise, but</w:t>
      </w:r>
      <w:proofErr w:type="gramEnd"/>
      <w:r w:rsidRPr="00D31344">
        <w:t xml:space="preserve"> must also strike down efforts to</w:t>
      </w:r>
      <w:r w:rsidRPr="00D31344">
        <w:t xml:space="preserve"> exploit the power for an improper purpose.”  (</w:t>
      </w:r>
      <w:proofErr w:type="spellStart"/>
      <w:r w:rsidRPr="00D31344">
        <w:rPr>
          <w:i/>
        </w:rPr>
        <w:t>Widders</w:t>
      </w:r>
      <w:proofErr w:type="spellEnd"/>
      <w:r w:rsidRPr="00D31344">
        <w:rPr>
          <w:i/>
        </w:rPr>
        <w:t xml:space="preserve"> v. </w:t>
      </w:r>
      <w:proofErr w:type="spellStart"/>
      <w:r w:rsidRPr="00D31344">
        <w:rPr>
          <w:i/>
        </w:rPr>
        <w:t>Furchtenicht</w:t>
      </w:r>
      <w:proofErr w:type="spellEnd"/>
      <w:r w:rsidRPr="00D31344">
        <w:t xml:space="preserve"> (2008) 167</w:t>
      </w:r>
      <w:r w:rsidR="00C175FE" w:rsidRPr="00D31344">
        <w:t> </w:t>
      </w:r>
      <w:r w:rsidRPr="00D31344">
        <w:t xml:space="preserve">Cal.App.4th 769, 785.)  We do the voters no favors by upholding a provision that </w:t>
      </w:r>
      <w:r w:rsidR="00DB7508" w:rsidRPr="00D31344">
        <w:t xml:space="preserve">either </w:t>
      </w:r>
      <w:r w:rsidR="00822020" w:rsidRPr="00D31344">
        <w:t xml:space="preserve">unconstitutionally intrudes on the powers of the judiciary and the Legislature or </w:t>
      </w:r>
      <w:r w:rsidR="00097AC8" w:rsidRPr="00D31344">
        <w:t xml:space="preserve">whose </w:t>
      </w:r>
      <w:r w:rsidR="00525344" w:rsidRPr="00D31344">
        <w:t xml:space="preserve">effect </w:t>
      </w:r>
      <w:r w:rsidR="00097AC8" w:rsidRPr="00D31344">
        <w:t xml:space="preserve">was unclear and </w:t>
      </w:r>
      <w:r w:rsidRPr="00D31344">
        <w:t xml:space="preserve">not </w:t>
      </w:r>
      <w:r w:rsidR="00525344" w:rsidRPr="00D31344">
        <w:t xml:space="preserve">called </w:t>
      </w:r>
      <w:r w:rsidRPr="00D31344">
        <w:t>to their attention.</w:t>
      </w:r>
    </w:p>
    <w:p w14:paraId="6D460490" w14:textId="76788350" w:rsidR="003B564B" w:rsidRPr="00D31344" w:rsidRDefault="00570B35" w:rsidP="006631FF">
      <w:pPr>
        <w:spacing w:line="360" w:lineRule="auto"/>
      </w:pPr>
      <w:r w:rsidRPr="00D31344">
        <w:tab/>
        <w:t xml:space="preserve">The </w:t>
      </w:r>
      <w:r w:rsidR="001F1269" w:rsidRPr="00D31344">
        <w:t>s</w:t>
      </w:r>
      <w:r w:rsidRPr="00D31344">
        <w:t>tate and interveners also invoke the doctrine of constitutional avoidance</w:t>
      </w:r>
      <w:r w:rsidR="00525344" w:rsidRPr="00D31344">
        <w:t>,</w:t>
      </w:r>
      <w:r w:rsidRPr="00D31344">
        <w:t xml:space="preserve"> ask</w:t>
      </w:r>
      <w:r w:rsidR="00525344" w:rsidRPr="00D31344">
        <w:t>ing</w:t>
      </w:r>
      <w:r w:rsidRPr="00D31344">
        <w:t xml:space="preserve"> us to resolve all doubts in favor of the validity of section 7465(c) and </w:t>
      </w:r>
      <w:r w:rsidR="00834797" w:rsidRPr="00D31344">
        <w:t xml:space="preserve">to </w:t>
      </w:r>
      <w:r w:rsidRPr="00D31344">
        <w:t xml:space="preserve">construe it in a way that avoids constitutional </w:t>
      </w:r>
      <w:r w:rsidR="007136DF" w:rsidRPr="00D31344">
        <w:t>conflicts</w:t>
      </w:r>
      <w:r w:rsidRPr="00D31344">
        <w:t xml:space="preserve">. </w:t>
      </w:r>
      <w:r w:rsidR="0044421A" w:rsidRPr="00D31344">
        <w:t xml:space="preserve"> </w:t>
      </w:r>
      <w:r w:rsidR="00727A4A" w:rsidRPr="00D31344">
        <w:t>(</w:t>
      </w:r>
      <w:r w:rsidR="00727A4A" w:rsidRPr="00D31344">
        <w:rPr>
          <w:i/>
        </w:rPr>
        <w:t xml:space="preserve">California Redevelopment Assn. v. </w:t>
      </w:r>
      <w:proofErr w:type="spellStart"/>
      <w:r w:rsidR="00727A4A" w:rsidRPr="00D31344">
        <w:rPr>
          <w:i/>
        </w:rPr>
        <w:t>Matosantos</w:t>
      </w:r>
      <w:proofErr w:type="spellEnd"/>
      <w:r w:rsidR="00727A4A" w:rsidRPr="00D31344">
        <w:t xml:space="preserve"> (2011) 53</w:t>
      </w:r>
      <w:r w:rsidR="00CC34EC" w:rsidRPr="00D31344">
        <w:t> </w:t>
      </w:r>
      <w:r w:rsidR="00727A4A" w:rsidRPr="00D31344">
        <w:t xml:space="preserve">Cal.4th 231, 253 [courts avoid “constitutional conflicts whenever possible by construing legislative enactments strictly against the impairment of [courts’] constitutional jurisdiction”]; </w:t>
      </w:r>
      <w:r w:rsidR="00727A4A" w:rsidRPr="00D31344">
        <w:rPr>
          <w:i/>
          <w:iCs/>
        </w:rPr>
        <w:t>Briggs</w:t>
      </w:r>
      <w:r w:rsidR="00727A4A" w:rsidRPr="00D31344">
        <w:t xml:space="preserve">, </w:t>
      </w:r>
      <w:r w:rsidR="00727A4A" w:rsidRPr="00D31344">
        <w:rPr>
          <w:i/>
          <w:iCs/>
        </w:rPr>
        <w:t>supra</w:t>
      </w:r>
      <w:r w:rsidR="00727A4A" w:rsidRPr="00D31344">
        <w:t>, 3</w:t>
      </w:r>
      <w:r w:rsidR="00CC34EC" w:rsidRPr="00D31344">
        <w:t> </w:t>
      </w:r>
      <w:r w:rsidR="00727A4A" w:rsidRPr="00D31344">
        <w:t>Cal.5th at pp.</w:t>
      </w:r>
      <w:r w:rsidR="00D5618C" w:rsidRPr="00D31344">
        <w:t> </w:t>
      </w:r>
      <w:r w:rsidR="00727A4A" w:rsidRPr="00D31344">
        <w:t>857–85</w:t>
      </w:r>
      <w:r w:rsidR="00826221" w:rsidRPr="00D31344">
        <w:t>9</w:t>
      </w:r>
      <w:r w:rsidR="00727A4A" w:rsidRPr="00D31344">
        <w:t xml:space="preserve"> [construing </w:t>
      </w:r>
      <w:r w:rsidR="00CB03A4" w:rsidRPr="00D31344">
        <w:t xml:space="preserve">plainly </w:t>
      </w:r>
      <w:r w:rsidR="00727A4A" w:rsidRPr="00D31344">
        <w:t>mandatory provision in initiative as directive, in part to avoid separation of powers concerns].)</w:t>
      </w:r>
      <w:r w:rsidR="00D506B0" w:rsidRPr="00D31344">
        <w:t xml:space="preserve">  </w:t>
      </w:r>
      <w:r w:rsidRPr="00D31344">
        <w:t xml:space="preserve">But </w:t>
      </w:r>
      <w:r w:rsidR="009C5161" w:rsidRPr="00D31344">
        <w:t xml:space="preserve">this does not allow us to </w:t>
      </w:r>
      <w:r w:rsidRPr="00D31344">
        <w:t xml:space="preserve">simply </w:t>
      </w:r>
      <w:r w:rsidR="003D24E5" w:rsidRPr="00D31344">
        <w:t>pretend that</w:t>
      </w:r>
      <w:r w:rsidRPr="00D31344">
        <w:t xml:space="preserve"> Proposition 22 </w:t>
      </w:r>
      <w:r w:rsidR="003D24E5" w:rsidRPr="00D31344">
        <w:t xml:space="preserve">regulates </w:t>
      </w:r>
      <w:r w:rsidRPr="00D31344">
        <w:t>collective bargaining</w:t>
      </w:r>
      <w:r w:rsidR="00940FD6" w:rsidRPr="00D31344">
        <w:t>,</w:t>
      </w:r>
      <w:r w:rsidRPr="00D31344">
        <w:t xml:space="preserve"> </w:t>
      </w:r>
      <w:r w:rsidR="000365DC" w:rsidRPr="00D31344">
        <w:t xml:space="preserve">as the </w:t>
      </w:r>
      <w:r w:rsidR="001F1269" w:rsidRPr="00D31344">
        <w:t>s</w:t>
      </w:r>
      <w:r w:rsidR="000365DC" w:rsidRPr="00D31344">
        <w:t xml:space="preserve">tate suggests, when the </w:t>
      </w:r>
      <w:r w:rsidR="003D24E5" w:rsidRPr="00D31344">
        <w:t xml:space="preserve">text </w:t>
      </w:r>
      <w:r w:rsidR="000365DC" w:rsidRPr="00D31344">
        <w:t xml:space="preserve">does </w:t>
      </w:r>
      <w:r w:rsidR="003D24E5" w:rsidRPr="00D31344">
        <w:t xml:space="preserve">not </w:t>
      </w:r>
      <w:r w:rsidR="000F4BF2" w:rsidRPr="00D31344">
        <w:t xml:space="preserve">reasonably </w:t>
      </w:r>
      <w:r w:rsidR="003D24E5" w:rsidRPr="00D31344">
        <w:t>admit of such a construction</w:t>
      </w:r>
      <w:r w:rsidR="000365DC" w:rsidRPr="00D31344">
        <w:t>.</w:t>
      </w:r>
      <w:r w:rsidRPr="00D31344">
        <w:t xml:space="preserve"> </w:t>
      </w:r>
      <w:r w:rsidR="000365DC" w:rsidRPr="00D31344">
        <w:t xml:space="preserve"> </w:t>
      </w:r>
      <w:r w:rsidR="003D24E5" w:rsidRPr="00D31344">
        <w:t>The</w:t>
      </w:r>
      <w:r w:rsidR="000365DC" w:rsidRPr="00D31344">
        <w:t xml:space="preserve"> doctrine of constitutional avoidance</w:t>
      </w:r>
      <w:r w:rsidR="003D24E5" w:rsidRPr="00D31344">
        <w:t xml:space="preserve"> does not allow us to clothe the emperor </w:t>
      </w:r>
      <w:r w:rsidR="00525344" w:rsidRPr="00D31344">
        <w:t xml:space="preserve">in such a </w:t>
      </w:r>
      <w:r w:rsidR="002019BA" w:rsidRPr="00D31344">
        <w:t>fashion</w:t>
      </w:r>
      <w:r w:rsidR="000365DC" w:rsidRPr="00D31344">
        <w:t>.</w:t>
      </w:r>
    </w:p>
    <w:p w14:paraId="764E482B" w14:textId="4DB2AA30" w:rsidR="00134474" w:rsidRPr="00D31344" w:rsidRDefault="00570B35" w:rsidP="006631FF">
      <w:pPr>
        <w:spacing w:line="360" w:lineRule="auto"/>
      </w:pPr>
      <w:r w:rsidRPr="00D31344">
        <w:tab/>
      </w:r>
      <w:r w:rsidR="00272248" w:rsidRPr="00D31344">
        <w:t xml:space="preserve">We could </w:t>
      </w:r>
      <w:r w:rsidR="00D51D5E" w:rsidRPr="00D31344">
        <w:t>perhaps</w:t>
      </w:r>
      <w:r w:rsidR="00272248" w:rsidRPr="00D31344">
        <w:t xml:space="preserve"> c</w:t>
      </w:r>
      <w:r w:rsidRPr="00D31344">
        <w:t>onstru</w:t>
      </w:r>
      <w:r w:rsidR="00940FD6" w:rsidRPr="00D31344">
        <w:t>e</w:t>
      </w:r>
      <w:r w:rsidRPr="00D31344">
        <w:t xml:space="preserve"> section 7465(c)(4) as precatory, as interveners urge, </w:t>
      </w:r>
      <w:r w:rsidR="00A7196D" w:rsidRPr="00D31344">
        <w:t>even though</w:t>
      </w:r>
      <w:r w:rsidR="00D51D5E" w:rsidRPr="00D31344">
        <w:t xml:space="preserve"> its plain </w:t>
      </w:r>
      <w:r w:rsidR="00272248" w:rsidRPr="00D31344">
        <w:t xml:space="preserve">language </w:t>
      </w:r>
      <w:r w:rsidR="00D51D5E" w:rsidRPr="00D31344">
        <w:t xml:space="preserve">is </w:t>
      </w:r>
      <w:r w:rsidR="00272248" w:rsidRPr="00D31344">
        <w:t xml:space="preserve">to the contrary.  </w:t>
      </w:r>
      <w:r w:rsidR="00FC0355" w:rsidRPr="00D31344">
        <w:t>(</w:t>
      </w:r>
      <w:r w:rsidR="00CB03A4" w:rsidRPr="00D31344">
        <w:t>See</w:t>
      </w:r>
      <w:r w:rsidR="00FC0355" w:rsidRPr="00D31344">
        <w:t xml:space="preserve"> </w:t>
      </w:r>
      <w:r w:rsidR="00D51D5E" w:rsidRPr="00D31344">
        <w:rPr>
          <w:i/>
          <w:iCs/>
        </w:rPr>
        <w:t>Briggs</w:t>
      </w:r>
      <w:r w:rsidR="00D51D5E" w:rsidRPr="00D31344">
        <w:t xml:space="preserve">, </w:t>
      </w:r>
      <w:r w:rsidR="00D51D5E" w:rsidRPr="00D31344">
        <w:rPr>
          <w:i/>
          <w:iCs/>
        </w:rPr>
        <w:t>supra</w:t>
      </w:r>
      <w:r w:rsidR="00D51D5E" w:rsidRPr="00D31344">
        <w:t>, 3</w:t>
      </w:r>
      <w:r w:rsidR="008D738B" w:rsidRPr="00D31344">
        <w:t> </w:t>
      </w:r>
      <w:r w:rsidR="00D51D5E" w:rsidRPr="00D31344">
        <w:t>Cal.5th at pp.</w:t>
      </w:r>
      <w:r w:rsidR="00D5618C" w:rsidRPr="00D31344">
        <w:t> </w:t>
      </w:r>
      <w:r w:rsidR="00D51D5E" w:rsidRPr="00D31344">
        <w:t xml:space="preserve">857–859.)  </w:t>
      </w:r>
      <w:r w:rsidR="00272248" w:rsidRPr="00D31344">
        <w:t xml:space="preserve">But that </w:t>
      </w:r>
      <w:r w:rsidRPr="00D31344">
        <w:t xml:space="preserve">would </w:t>
      </w:r>
      <w:r w:rsidR="00A71CB4" w:rsidRPr="00D31344">
        <w:t>not meaningfully change the result</w:t>
      </w:r>
      <w:r w:rsidR="003345F5" w:rsidRPr="00D31344">
        <w:t>.  I</w:t>
      </w:r>
      <w:r w:rsidR="00453591" w:rsidRPr="00D31344">
        <w:t xml:space="preserve">f </w:t>
      </w:r>
      <w:r w:rsidRPr="00D31344">
        <w:t xml:space="preserve">section 7465(c)(4) </w:t>
      </w:r>
      <w:r w:rsidR="00453591" w:rsidRPr="00D31344">
        <w:lastRenderedPageBreak/>
        <w:t xml:space="preserve">were </w:t>
      </w:r>
      <w:r w:rsidRPr="00D31344">
        <w:t xml:space="preserve">a </w:t>
      </w:r>
      <w:r w:rsidR="00D0387E" w:rsidRPr="00D31344">
        <w:t xml:space="preserve">mere </w:t>
      </w:r>
      <w:r w:rsidRPr="00D31344">
        <w:t xml:space="preserve">declaration of </w:t>
      </w:r>
      <w:r w:rsidR="00D0387E" w:rsidRPr="00D31344">
        <w:t xml:space="preserve">the voters’ </w:t>
      </w:r>
      <w:r w:rsidRPr="00D31344">
        <w:t>intent t</w:t>
      </w:r>
      <w:r w:rsidR="00AB4D83" w:rsidRPr="00D31344">
        <w:t xml:space="preserve">hat the initiative </w:t>
      </w:r>
      <w:r w:rsidRPr="00D31344">
        <w:t>forbid</w:t>
      </w:r>
      <w:r w:rsidR="00AB4D83" w:rsidRPr="00D31344">
        <w:t xml:space="preserve">s </w:t>
      </w:r>
      <w:r w:rsidR="008C2DCE" w:rsidRPr="00D31344">
        <w:t xml:space="preserve">app-based drivers from </w:t>
      </w:r>
      <w:r w:rsidRPr="00D31344">
        <w:t>collective</w:t>
      </w:r>
      <w:r w:rsidR="008C2DCE" w:rsidRPr="00D31344">
        <w:t>ly</w:t>
      </w:r>
      <w:r w:rsidRPr="00D31344">
        <w:t xml:space="preserve"> bargaining, </w:t>
      </w:r>
      <w:r w:rsidR="00437DBC" w:rsidRPr="00D31344">
        <w:t>it might survive constitutional scrutiny on its face.  However, any court to e</w:t>
      </w:r>
      <w:r w:rsidR="00BF3B68" w:rsidRPr="00D31344">
        <w:t xml:space="preserve">xamine the question of whether Proposition 22 </w:t>
      </w:r>
      <w:proofErr w:type="gramStart"/>
      <w:r w:rsidR="00717C07" w:rsidRPr="00D31344">
        <w:t>actually restricts</w:t>
      </w:r>
      <w:proofErr w:type="gramEnd"/>
      <w:r w:rsidR="00717C07" w:rsidRPr="00D31344">
        <w:t xml:space="preserve"> the Legislature’s authority to authorize</w:t>
      </w:r>
      <w:r w:rsidR="00BF3B68" w:rsidRPr="00D31344">
        <w:t xml:space="preserve"> collective bargaining </w:t>
      </w:r>
      <w:r w:rsidR="00437DBC" w:rsidRPr="00D31344">
        <w:t xml:space="preserve">would </w:t>
      </w:r>
      <w:r w:rsidR="00717C07" w:rsidRPr="00D31344">
        <w:t xml:space="preserve">very </w:t>
      </w:r>
      <w:r w:rsidR="00437DBC" w:rsidRPr="00D31344">
        <w:t xml:space="preserve">likely disregard </w:t>
      </w:r>
      <w:r w:rsidR="00BF3B68" w:rsidRPr="00D31344">
        <w:t>such a statement of intent, since</w:t>
      </w:r>
      <w:r w:rsidR="00EC55CB" w:rsidRPr="00D31344">
        <w:t xml:space="preserve"> nothing in </w:t>
      </w:r>
      <w:r w:rsidR="00437DBC" w:rsidRPr="00D31344">
        <w:t>the text of the rest of the initiative</w:t>
      </w:r>
      <w:r w:rsidR="00EC55CB" w:rsidRPr="00D31344">
        <w:t xml:space="preserve"> supports it, as discussed </w:t>
      </w:r>
      <w:r w:rsidR="00EC55CB" w:rsidRPr="00D31344">
        <w:rPr>
          <w:i/>
          <w:iCs/>
        </w:rPr>
        <w:t>ante</w:t>
      </w:r>
      <w:r w:rsidR="00437DBC" w:rsidRPr="00D31344">
        <w:t xml:space="preserve">.  </w:t>
      </w:r>
      <w:r w:rsidR="00D51D5E" w:rsidRPr="00D31344">
        <w:t>(</w:t>
      </w:r>
      <w:r w:rsidR="00D51D5E" w:rsidRPr="00D31344">
        <w:rPr>
          <w:i/>
          <w:iCs/>
        </w:rPr>
        <w:t>O.G. v. Superior Court</w:t>
      </w:r>
      <w:r w:rsidR="00DB60DE" w:rsidRPr="00D31344">
        <w:t xml:space="preserve">, </w:t>
      </w:r>
      <w:r w:rsidR="00DB60DE" w:rsidRPr="00D31344">
        <w:rPr>
          <w:i/>
          <w:iCs/>
        </w:rPr>
        <w:t>supra</w:t>
      </w:r>
      <w:r w:rsidR="00DB60DE" w:rsidRPr="00D31344">
        <w:t>,</w:t>
      </w:r>
      <w:r w:rsidR="00D51D5E" w:rsidRPr="00D31344">
        <w:rPr>
          <w:i/>
          <w:iCs/>
        </w:rPr>
        <w:t xml:space="preserve"> </w:t>
      </w:r>
      <w:r w:rsidR="00D51D5E" w:rsidRPr="00D31344">
        <w:t>11</w:t>
      </w:r>
      <w:r w:rsidR="005A2F64" w:rsidRPr="00D31344">
        <w:t> </w:t>
      </w:r>
      <w:r w:rsidR="00D51D5E" w:rsidRPr="00D31344">
        <w:t>Cal.5th at p</w:t>
      </w:r>
      <w:r w:rsidR="00942B13" w:rsidRPr="00D31344">
        <w:t>.</w:t>
      </w:r>
      <w:r w:rsidR="00D5618C" w:rsidRPr="00D31344">
        <w:t> </w:t>
      </w:r>
      <w:r w:rsidR="00942B13" w:rsidRPr="00D31344">
        <w:t xml:space="preserve">91 [“In discerning the purposes of a proposition, </w:t>
      </w:r>
      <w:r w:rsidR="00556E7D" w:rsidRPr="00D31344">
        <w:t>‘</w:t>
      </w:r>
      <w:r w:rsidR="00942B13" w:rsidRPr="00D31344">
        <w:t>we are guided by, but are not limited to, the general statement of purpose found in the initiative</w:t>
      </w:r>
      <w:proofErr w:type="gramStart"/>
      <w:r w:rsidR="00556E7D" w:rsidRPr="00D31344">
        <w:t>’ </w:t>
      </w:r>
      <w:r w:rsidR="00942B13" w:rsidRPr="00D31344">
        <w:t>”</w:t>
      </w:r>
      <w:proofErr w:type="gramEnd"/>
      <w:r w:rsidR="00556E7D" w:rsidRPr="00D31344">
        <w:t>]</w:t>
      </w:r>
      <w:r w:rsidR="00D51D5E" w:rsidRPr="00D31344">
        <w:t xml:space="preserve">.)  </w:t>
      </w:r>
      <w:r w:rsidRPr="00D31344">
        <w:t xml:space="preserve">We see little reason </w:t>
      </w:r>
      <w:r w:rsidR="00717C07" w:rsidRPr="00D31344">
        <w:t xml:space="preserve">to </w:t>
      </w:r>
      <w:r w:rsidRPr="00D31344">
        <w:t xml:space="preserve">uphold section 7465(c)(4) by </w:t>
      </w:r>
      <w:r w:rsidR="004D15AA" w:rsidRPr="00D31344">
        <w:t xml:space="preserve">using the fig leaf of </w:t>
      </w:r>
      <w:r w:rsidRPr="00D31344">
        <w:t xml:space="preserve">construing it as precatory, when such a construction would </w:t>
      </w:r>
      <w:r w:rsidR="00293F4D" w:rsidRPr="00D31344">
        <w:t xml:space="preserve">render it just as ineffectual as </w:t>
      </w:r>
      <w:r w:rsidR="00C87C3B" w:rsidRPr="00D31344">
        <w:t>declar</w:t>
      </w:r>
      <w:r w:rsidR="008C2DCE" w:rsidRPr="00D31344">
        <w:t xml:space="preserve">ing it </w:t>
      </w:r>
      <w:r w:rsidR="004D15AA" w:rsidRPr="00D31344">
        <w:t xml:space="preserve">facially </w:t>
      </w:r>
      <w:r w:rsidR="008C2DCE" w:rsidRPr="00D31344">
        <w:t>invalid</w:t>
      </w:r>
      <w:r w:rsidRPr="00D31344">
        <w:t>.</w:t>
      </w:r>
    </w:p>
    <w:p w14:paraId="4E675909" w14:textId="08529611" w:rsidR="00525344" w:rsidRPr="00D31344" w:rsidRDefault="00570B35" w:rsidP="006631FF">
      <w:pPr>
        <w:spacing w:line="360" w:lineRule="auto"/>
      </w:pPr>
      <w:r w:rsidRPr="00D31344">
        <w:tab/>
        <w:t xml:space="preserve">In sum, we conclude that </w:t>
      </w:r>
      <w:r w:rsidRPr="00D31344">
        <w:t>section</w:t>
      </w:r>
      <w:r w:rsidR="00751B53" w:rsidRPr="00D31344">
        <w:t>s</w:t>
      </w:r>
      <w:r w:rsidRPr="00D31344">
        <w:t xml:space="preserve"> 7465(c)</w:t>
      </w:r>
      <w:r w:rsidR="004A4C87" w:rsidRPr="00D31344">
        <w:t xml:space="preserve">(3) and </w:t>
      </w:r>
      <w:r w:rsidRPr="00D31344">
        <w:t>(4)</w:t>
      </w:r>
      <w:r w:rsidR="00B5689A" w:rsidRPr="00D31344">
        <w:t xml:space="preserve"> are</w:t>
      </w:r>
      <w:r w:rsidR="004A4C87" w:rsidRPr="00D31344">
        <w:t xml:space="preserve"> facially invalid on separation of powers grounds because </w:t>
      </w:r>
      <w:r w:rsidR="00B5689A" w:rsidRPr="00D31344">
        <w:t>they</w:t>
      </w:r>
      <w:r w:rsidR="004A4C87" w:rsidRPr="00D31344">
        <w:t xml:space="preserve"> </w:t>
      </w:r>
      <w:r w:rsidRPr="00D31344">
        <w:t xml:space="preserve">intrude on </w:t>
      </w:r>
      <w:r w:rsidR="004A4C87" w:rsidRPr="00D31344">
        <w:t xml:space="preserve">the </w:t>
      </w:r>
      <w:r w:rsidRPr="00D31344">
        <w:t>judicia</w:t>
      </w:r>
      <w:r w:rsidR="005363DF" w:rsidRPr="00D31344">
        <w:t>ry’s</w:t>
      </w:r>
      <w:r w:rsidRPr="00D31344">
        <w:t xml:space="preserve"> authority to determine what constitutes an amendment to Proposition 22</w:t>
      </w:r>
      <w:r w:rsidR="00642C6B" w:rsidRPr="00D31344">
        <w:t>,</w:t>
      </w:r>
      <w:r w:rsidRPr="00D31344">
        <w:t xml:space="preserve"> and </w:t>
      </w:r>
      <w:r w:rsidR="003455C7" w:rsidRPr="00D31344">
        <w:t xml:space="preserve">section 7465(c)(4) </w:t>
      </w:r>
      <w:r w:rsidR="00642C6B" w:rsidRPr="00D31344">
        <w:t xml:space="preserve">fails for the additional reason that it </w:t>
      </w:r>
      <w:r w:rsidR="004A4C87" w:rsidRPr="00D31344">
        <w:t>intrudes on the Legislature’s authority by artificially expanding Proposition 22’s article II, section 10(c) shadow</w:t>
      </w:r>
      <w:r w:rsidRPr="00D31344">
        <w:t>.  As the trial court ruled and the parties agree, the proper remedy for th</w:t>
      </w:r>
      <w:r w:rsidR="00642C6B" w:rsidRPr="00D31344">
        <w:t>e separation of powers</w:t>
      </w:r>
      <w:r w:rsidRPr="00D31344">
        <w:t xml:space="preserve"> violation is to sever section 7465(c)</w:t>
      </w:r>
      <w:r w:rsidR="003455C7" w:rsidRPr="00D31344">
        <w:t xml:space="preserve">(3) and </w:t>
      </w:r>
      <w:r w:rsidRPr="00D31344">
        <w:t xml:space="preserve">(4) and allow the rest of Proposition 22 to remain in effect, as the voters indicated they wished.  (§ 7467, </w:t>
      </w:r>
      <w:proofErr w:type="spellStart"/>
      <w:r w:rsidRPr="00D31344">
        <w:t>subd</w:t>
      </w:r>
      <w:proofErr w:type="spellEnd"/>
      <w:r w:rsidRPr="00D31344">
        <w:t>. (a).)</w:t>
      </w:r>
    </w:p>
    <w:p w14:paraId="73BC8EDD" w14:textId="14695C18" w:rsidR="00045151" w:rsidRPr="00D31344" w:rsidRDefault="00570B35" w:rsidP="00426F7F">
      <w:pPr>
        <w:pStyle w:val="Heading1"/>
      </w:pPr>
      <w:r w:rsidRPr="00D31344">
        <w:lastRenderedPageBreak/>
        <w:t>DISPOSITION</w:t>
      </w:r>
    </w:p>
    <w:p w14:paraId="2412A4B5" w14:textId="6AB5EE2F" w:rsidR="00045151" w:rsidRPr="00D31344" w:rsidRDefault="00570B35" w:rsidP="00961BFA">
      <w:r w:rsidRPr="00D31344">
        <w:tab/>
      </w:r>
      <w:r w:rsidR="00961BFA" w:rsidRPr="00D31344">
        <w:t xml:space="preserve">The judgment is affirmed to the extent it declared sections 7465(c)(3) and (c)(4) invalid and to the extent the trial court retained jurisdiction to consider a motion for attorney fees under Code of Civil Procedure section 1021.5.  In all other respects, the judgment is reversed.  The matter is remanded to the trial court with instructions to enter a new judgment not inconsistent with this opinion.  </w:t>
      </w:r>
      <w:r w:rsidR="00FE5224" w:rsidRPr="00D31344">
        <w:t>All parties</w:t>
      </w:r>
      <w:r w:rsidR="00F66D21" w:rsidRPr="00D31344">
        <w:t xml:space="preserve"> shall bear their own costs on appeal.</w:t>
      </w:r>
    </w:p>
    <w:p w14:paraId="060B0853" w14:textId="77777777" w:rsidR="00FE76E9" w:rsidRPr="00D31344" w:rsidRDefault="00FE76E9">
      <w:pPr>
        <w:tabs>
          <w:tab w:val="left" w:pos="6120"/>
        </w:tabs>
        <w:spacing w:line="240" w:lineRule="auto"/>
      </w:pPr>
    </w:p>
    <w:p w14:paraId="1F0A48F6" w14:textId="79C65B47" w:rsidR="00FE76E9" w:rsidRPr="00D31344" w:rsidRDefault="00570B35" w:rsidP="00FE76E9">
      <w:pPr>
        <w:tabs>
          <w:tab w:val="left" w:pos="4680"/>
        </w:tabs>
        <w:spacing w:line="240" w:lineRule="auto"/>
      </w:pPr>
      <w:r w:rsidRPr="00D31344">
        <w:tab/>
      </w:r>
      <w:r w:rsidRPr="00D31344">
        <w:tab/>
        <w:t>BROWN, Acting P. J.</w:t>
      </w:r>
    </w:p>
    <w:p w14:paraId="689DCDE5" w14:textId="14695C18" w:rsidR="00FE76E9" w:rsidRPr="00D31344" w:rsidRDefault="00570B35">
      <w:pPr>
        <w:tabs>
          <w:tab w:val="left" w:pos="5760"/>
        </w:tabs>
        <w:spacing w:before="240" w:after="240" w:line="240" w:lineRule="auto"/>
      </w:pPr>
      <w:r w:rsidRPr="00D31344">
        <w:t>WE CONCUR:</w:t>
      </w:r>
    </w:p>
    <w:p w14:paraId="08F0C3CE" w14:textId="14695C18" w:rsidR="00FE76E9" w:rsidRPr="00D31344" w:rsidRDefault="00570B35">
      <w:pPr>
        <w:tabs>
          <w:tab w:val="left" w:pos="5760"/>
        </w:tabs>
        <w:spacing w:line="240" w:lineRule="auto"/>
      </w:pPr>
      <w:r w:rsidRPr="00D31344">
        <w:t>STREETER, J.</w:t>
      </w:r>
    </w:p>
    <w:p w14:paraId="6C7C6DAE" w14:textId="77777777" w:rsidR="00204446" w:rsidRPr="00D31344" w:rsidRDefault="00570B35" w:rsidP="00204446">
      <w:pPr>
        <w:tabs>
          <w:tab w:val="left" w:pos="5760"/>
        </w:tabs>
        <w:spacing w:line="240" w:lineRule="auto"/>
        <w:rPr>
          <w:rStyle w:val="FootnoteReference"/>
        </w:rPr>
        <w:sectPr w:rsidR="00204446" w:rsidRPr="00D31344" w:rsidSect="003E4633">
          <w:pgSz w:w="12240" w:h="15840"/>
          <w:pgMar w:top="1440" w:right="2160" w:bottom="1440" w:left="2160" w:header="720" w:footer="720" w:gutter="0"/>
          <w:pgNumType w:start="1"/>
          <w:cols w:space="720"/>
          <w:docGrid w:linePitch="360"/>
        </w:sectPr>
      </w:pPr>
      <w:r w:rsidRPr="00D31344">
        <w:t>POLLAK, J.</w:t>
      </w:r>
      <w:r>
        <w:rPr>
          <w:rStyle w:val="FootnoteReference"/>
        </w:rPr>
        <w:footnoteReference w:customMarkFollows="1" w:id="21"/>
        <w:t>*</w:t>
      </w:r>
    </w:p>
    <w:p w14:paraId="09C1AA26" w14:textId="77777777" w:rsidR="00AB000C" w:rsidRDefault="00570B35" w:rsidP="00AB000C">
      <w:r>
        <w:lastRenderedPageBreak/>
        <w:t>STREETER, J., Concurring and Dissenting.</w:t>
      </w:r>
    </w:p>
    <w:p w14:paraId="65A933DE" w14:textId="77777777" w:rsidR="00AB000C" w:rsidRPr="007A2CBC" w:rsidRDefault="00570B35" w:rsidP="00AB000C">
      <w:pPr>
        <w:keepNext/>
        <w:spacing w:before="120" w:after="120" w:line="240" w:lineRule="auto"/>
        <w:rPr>
          <w:b/>
          <w:bCs/>
        </w:rPr>
      </w:pPr>
      <w:r w:rsidRPr="002816E4">
        <w:rPr>
          <w:b/>
        </w:rPr>
        <w:t>I.</w:t>
      </w:r>
      <w:r w:rsidRPr="002816E4">
        <w:rPr>
          <w:b/>
        </w:rPr>
        <w:tab/>
        <w:t>Introduction</w:t>
      </w:r>
    </w:p>
    <w:p w14:paraId="2737B11A" w14:textId="77777777" w:rsidR="00AB000C" w:rsidRDefault="00570B35" w:rsidP="00AB000C">
      <w:pPr>
        <w:ind w:firstLine="720"/>
      </w:pPr>
      <w:r w:rsidRPr="003C6972">
        <w:t xml:space="preserve">I concur in Justice Brown’s opinion </w:t>
      </w:r>
      <w:r>
        <w:t xml:space="preserve">except </w:t>
      </w:r>
      <w:r w:rsidRPr="003C6972">
        <w:t xml:space="preserve">for one </w:t>
      </w:r>
      <w:r>
        <w:t xml:space="preserve">key </w:t>
      </w:r>
      <w:r w:rsidRPr="003C6972">
        <w:t xml:space="preserve">aspect of </w:t>
      </w:r>
      <w:r w:rsidRPr="008701E2">
        <w:t>part II</w:t>
      </w:r>
      <w:r w:rsidRPr="00881D01">
        <w:t xml:space="preserve"> of her discussion</w:t>
      </w:r>
      <w:r w:rsidRPr="00F41956">
        <w:t xml:space="preserve"> for</w:t>
      </w:r>
      <w:r>
        <w:t xml:space="preserve"> the majority</w:t>
      </w:r>
      <w:r w:rsidRPr="008701E2">
        <w:t xml:space="preserve"> </w:t>
      </w:r>
      <w:r w:rsidRPr="003C6972">
        <w:t>addressing article</w:t>
      </w:r>
      <w:r>
        <w:t xml:space="preserve"> </w:t>
      </w:r>
      <w:r w:rsidRPr="003C6972">
        <w:t>XIV, section</w:t>
      </w:r>
      <w:r>
        <w:t> </w:t>
      </w:r>
      <w:r w:rsidRPr="003C6972">
        <w:t xml:space="preserve">4 of the California Constitution, which vests the Legislature with “plenary power, unlimited by any </w:t>
      </w:r>
      <w:r w:rsidRPr="003C6972">
        <w:t>provision of this Constitution, to create, and enforce a complete system of workers’ compensation, by appropriate legislation</w:t>
      </w:r>
      <w:r>
        <w:t xml:space="preserve"> . . . .</w:t>
      </w:r>
      <w:r w:rsidRPr="003C6972">
        <w:t>”</w:t>
      </w:r>
      <w:r>
        <w:rPr>
          <w:rStyle w:val="FootnoteReference"/>
        </w:rPr>
        <w:footnoteReference w:id="22"/>
      </w:r>
      <w:r>
        <w:t xml:space="preserve">  </w:t>
      </w:r>
      <w:r w:rsidRPr="003C6972">
        <w:t>My disagreement on this point leads me to a different overall result.  I would affirm the judgment</w:t>
      </w:r>
      <w:r>
        <w:t>,</w:t>
      </w:r>
      <w:r w:rsidRPr="003C6972">
        <w:t xml:space="preserve"> but I prefer to go</w:t>
      </w:r>
      <w:r w:rsidRPr="003C6972">
        <w:t xml:space="preserve"> further.  I </w:t>
      </w:r>
      <w:r>
        <w:t xml:space="preserve">believe we must invalidate </w:t>
      </w:r>
      <w:r w:rsidRPr="003C6972">
        <w:t>Proposition</w:t>
      </w:r>
      <w:r>
        <w:t> </w:t>
      </w:r>
      <w:r w:rsidRPr="003C6972">
        <w:t>22</w:t>
      </w:r>
      <w:r>
        <w:rPr>
          <w:rStyle w:val="FootnoteReference"/>
        </w:rPr>
        <w:footnoteReference w:id="23"/>
      </w:r>
      <w:r w:rsidRPr="003C6972">
        <w:t xml:space="preserve"> in its entirety.</w:t>
      </w:r>
    </w:p>
    <w:p w14:paraId="1E920A0A" w14:textId="77777777" w:rsidR="00AB000C" w:rsidRDefault="00570B35" w:rsidP="00AB000C">
      <w:pPr>
        <w:ind w:firstLine="720"/>
      </w:pPr>
      <w:r>
        <w:t>All legislative power—whether exercised by the Legislature, or by the voters acting as “electors” when they enact an initiative statute—must abide by constitutional limits, federal a</w:t>
      </w:r>
      <w:r>
        <w:t>nd state.  (</w:t>
      </w:r>
      <w:r w:rsidRPr="00473214">
        <w:rPr>
          <w:i/>
          <w:iCs/>
        </w:rPr>
        <w:t>In</w:t>
      </w:r>
      <w:r>
        <w:rPr>
          <w:i/>
          <w:iCs/>
        </w:rPr>
        <w:t> </w:t>
      </w:r>
      <w:r w:rsidRPr="00473214">
        <w:rPr>
          <w:i/>
          <w:iCs/>
        </w:rPr>
        <w:t>re Marriage Cases</w:t>
      </w:r>
      <w:r w:rsidRPr="00811308">
        <w:t xml:space="preserve"> (2008) 43</w:t>
      </w:r>
      <w:r>
        <w:t> </w:t>
      </w:r>
      <w:r w:rsidRPr="00811308">
        <w:t>Cal.4th 757, 851</w:t>
      </w:r>
      <w:r>
        <w:t>.)  In addition to the article III, section 3 separation of powers problem identified by Justice Brown based on what she terms the “shadow” effect of the initiative (tying the hands of the Legislat</w:t>
      </w:r>
      <w:r>
        <w:t>ure in the distinct and unrelated area of collective bargaining representation), Proposition 22 violates the California Constitution on three other grounds as well.</w:t>
      </w:r>
    </w:p>
    <w:p w14:paraId="6397E212" w14:textId="77777777" w:rsidR="00AB000C" w:rsidRDefault="00570B35" w:rsidP="00AB000C">
      <w:pPr>
        <w:ind w:firstLine="720"/>
      </w:pPr>
      <w:r w:rsidRPr="00CB30AB">
        <w:rPr>
          <w:i/>
          <w:iCs/>
        </w:rPr>
        <w:lastRenderedPageBreak/>
        <w:t>First</w:t>
      </w:r>
      <w:r>
        <w:t>, by undermining the “complete system of workers’ compensation” that the people have e</w:t>
      </w:r>
      <w:r>
        <w:t xml:space="preserve">xpressly defined in article XIV, section 4, Proposition 22 constitutes a sub rosa attempt to amend the Constitution in the guise of statutory change.  </w:t>
      </w:r>
      <w:r w:rsidRPr="00CB30AB">
        <w:rPr>
          <w:i/>
          <w:iCs/>
        </w:rPr>
        <w:t>Second</w:t>
      </w:r>
      <w:r>
        <w:t>, article XIV, section 4, delegates to the Legislature—not the voter electors—specific lawmaking po</w:t>
      </w:r>
      <w:r>
        <w:t xml:space="preserve">wer to “create” and “enforce” a “complete system of workers’ compensation.”  This case presents a direct conflict between the voter electors’ power to adopt initiative statutes and the Legislature’s power under article XIV, section 4, and on this </w:t>
      </w:r>
      <w:proofErr w:type="gramStart"/>
      <w:r>
        <w:t>record</w:t>
      </w:r>
      <w:proofErr w:type="gramEnd"/>
      <w:r>
        <w:t xml:space="preserve"> we</w:t>
      </w:r>
      <w:r>
        <w:t xml:space="preserve"> must resolve that conflict in favor of the Legislature.  So long as the Legislature has acted within the scope of its authority under article XIV, section 4, voter electors may not countermand a prior determination by the Legislature about what the Consti</w:t>
      </w:r>
      <w:r>
        <w:t xml:space="preserve">tution requires.  </w:t>
      </w:r>
      <w:r w:rsidRPr="00CB30AB">
        <w:rPr>
          <w:i/>
          <w:iCs/>
        </w:rPr>
        <w:t>Third</w:t>
      </w:r>
      <w:r>
        <w:t>, Proposition 22 usurps a “core” or “essential” governmental function provided for in article XIV, section 4—judicial power—in violation of article III, section 3.</w:t>
      </w:r>
    </w:p>
    <w:p w14:paraId="54C8AE78" w14:textId="77777777" w:rsidR="00AB000C" w:rsidRPr="002A678D" w:rsidRDefault="00570B35" w:rsidP="00AB000C">
      <w:pPr>
        <w:keepNext/>
        <w:spacing w:before="120" w:after="120" w:line="240" w:lineRule="auto"/>
        <w:ind w:left="720" w:hanging="720"/>
        <w:rPr>
          <w:b/>
          <w:bCs/>
        </w:rPr>
      </w:pPr>
      <w:r w:rsidRPr="005D0E8A">
        <w:rPr>
          <w:b/>
        </w:rPr>
        <w:t>II.</w:t>
      </w:r>
      <w:r w:rsidRPr="005D0E8A">
        <w:rPr>
          <w:b/>
        </w:rPr>
        <w:tab/>
        <w:t xml:space="preserve">Proposition 22 Violates Article XIV, Section 4, </w:t>
      </w:r>
      <w:r>
        <w:rPr>
          <w:b/>
          <w:bCs/>
        </w:rPr>
        <w:t>i</w:t>
      </w:r>
      <w:r w:rsidRPr="005D0E8A">
        <w:rPr>
          <w:b/>
          <w:bCs/>
        </w:rPr>
        <w:t>n</w:t>
      </w:r>
      <w:r w:rsidRPr="005D0E8A">
        <w:rPr>
          <w:b/>
        </w:rPr>
        <w:t> Two Respects</w:t>
      </w:r>
    </w:p>
    <w:p w14:paraId="31DA1AF2" w14:textId="77777777" w:rsidR="00AB000C" w:rsidRDefault="00570B35" w:rsidP="00AB000C">
      <w:pPr>
        <w:ind w:firstLine="720"/>
      </w:pPr>
      <w:r w:rsidRPr="00FB6FFD">
        <w:t>U</w:t>
      </w:r>
      <w:r w:rsidRPr="00FB6FFD">
        <w:t xml:space="preserve">nlike the petitioners in </w:t>
      </w:r>
      <w:r w:rsidRPr="48F193B8">
        <w:rPr>
          <w:rFonts w:eastAsia="Times New Roman" w:cs="Times New Roman"/>
          <w:i/>
          <w:iCs/>
          <w:color w:val="000000"/>
          <w:bdr w:val="none" w:sz="0" w:space="0" w:color="auto" w:frame="1"/>
        </w:rPr>
        <w:t>Independent Energy Producers Assn. v. McPherson</w:t>
      </w:r>
      <w:r w:rsidRPr="002151F2">
        <w:rPr>
          <w:rFonts w:eastAsia="Times New Roman" w:cs="Times New Roman"/>
          <w:color w:val="000000"/>
        </w:rPr>
        <w:t xml:space="preserve"> (2006) 38 Cal.4th 1020 (</w:t>
      </w:r>
      <w:r w:rsidRPr="48F193B8">
        <w:rPr>
          <w:rFonts w:eastAsia="Times New Roman" w:cs="Times New Roman"/>
          <w:i/>
          <w:iCs/>
          <w:color w:val="000000"/>
        </w:rPr>
        <w:t>McPherson</w:t>
      </w:r>
      <w:r w:rsidRPr="002151F2">
        <w:rPr>
          <w:rFonts w:eastAsia="Times New Roman" w:cs="Times New Roman"/>
          <w:color w:val="000000"/>
        </w:rPr>
        <w:t>)</w:t>
      </w:r>
      <w:r w:rsidRPr="00FB6FFD">
        <w:t xml:space="preserve">, </w:t>
      </w:r>
      <w:r>
        <w:t xml:space="preserve">respondents </w:t>
      </w:r>
      <w:r w:rsidRPr="00FB6FFD">
        <w:t xml:space="preserve">do not argue that a specific constitutional grant of lawmaking authority to the Legislature categorically precludes any use of the </w:t>
      </w:r>
      <w:r w:rsidRPr="00FB6FFD">
        <w:t>initiative power to legislate on the subject</w:t>
      </w:r>
      <w:r>
        <w:t xml:space="preserve"> addressed by that grant</w:t>
      </w:r>
      <w:r w:rsidRPr="00FB6FFD">
        <w:t xml:space="preserve">.  </w:t>
      </w:r>
      <w:r>
        <w:t xml:space="preserve">Their complaint is different.  They say </w:t>
      </w:r>
      <w:r w:rsidRPr="00FB6FFD">
        <w:t>Proposition</w:t>
      </w:r>
      <w:r>
        <w:t> </w:t>
      </w:r>
      <w:r w:rsidRPr="00FB6FFD">
        <w:t xml:space="preserve">22 so fundamentally undermines the </w:t>
      </w:r>
      <w:r>
        <w:t>worker</w:t>
      </w:r>
      <w:r w:rsidRPr="00FB6FFD">
        <w:t>s</w:t>
      </w:r>
      <w:r>
        <w:t>’ compensation s</w:t>
      </w:r>
      <w:r w:rsidRPr="00FB6FFD">
        <w:t xml:space="preserve">ystem the Legislature created </w:t>
      </w:r>
      <w:r>
        <w:t xml:space="preserve">prior to 1918 </w:t>
      </w:r>
      <w:r w:rsidRPr="00FB6FFD">
        <w:t xml:space="preserve">that it </w:t>
      </w:r>
      <w:r>
        <w:lastRenderedPageBreak/>
        <w:t>transgresses a</w:t>
      </w:r>
      <w:r w:rsidRPr="00FB6FFD">
        <w:t>rticle</w:t>
      </w:r>
      <w:r>
        <w:t xml:space="preserve"> </w:t>
      </w:r>
      <w:r w:rsidRPr="00FB6FFD">
        <w:t>XI</w:t>
      </w:r>
      <w:r w:rsidRPr="00FB6FFD">
        <w:t>V</w:t>
      </w:r>
      <w:r>
        <w:t>, section 4, and</w:t>
      </w:r>
      <w:r w:rsidRPr="00FB6FFD">
        <w:t xml:space="preserve"> thus could </w:t>
      </w:r>
      <w:r w:rsidRPr="009E6CDC">
        <w:t xml:space="preserve">only have been adopted validly by ballot amendment to the </w:t>
      </w:r>
      <w:r>
        <w:t>C</w:t>
      </w:r>
      <w:r w:rsidRPr="009E6CDC">
        <w:t>onstitution.</w:t>
      </w:r>
    </w:p>
    <w:p w14:paraId="1748783A" w14:textId="77777777" w:rsidR="00AB000C" w:rsidRDefault="00570B35" w:rsidP="00AB000C">
      <w:pPr>
        <w:ind w:firstLine="720"/>
      </w:pPr>
      <w:r w:rsidRPr="009E6CDC">
        <w:t>I believe the argument is well</w:t>
      </w:r>
      <w:r>
        <w:t xml:space="preserve"> </w:t>
      </w:r>
      <w:r w:rsidRPr="009E6CDC">
        <w:t>taken</w:t>
      </w:r>
      <w:r>
        <w:t>.</w:t>
      </w:r>
    </w:p>
    <w:p w14:paraId="52391965" w14:textId="77777777" w:rsidR="00AB000C" w:rsidRDefault="00570B35" w:rsidP="00AB000C">
      <w:pPr>
        <w:ind w:firstLine="720"/>
        <w:rPr>
          <w:shd w:val="clear" w:color="auto" w:fill="FFFFFF"/>
        </w:rPr>
      </w:pPr>
      <w:r w:rsidRPr="002151F2">
        <w:rPr>
          <w:color w:val="000000"/>
          <w:shd w:val="clear" w:color="auto" w:fill="FFFFFF"/>
        </w:rPr>
        <w:t xml:space="preserve">Proposition 22 removes </w:t>
      </w:r>
      <w:r>
        <w:rPr>
          <w:color w:val="000000"/>
          <w:shd w:val="clear" w:color="auto" w:fill="FFFFFF"/>
        </w:rPr>
        <w:t>app</w:t>
      </w:r>
      <w:r w:rsidRPr="002151F2">
        <w:rPr>
          <w:color w:val="000000"/>
          <w:shd w:val="clear" w:color="auto" w:fill="FFFFFF"/>
        </w:rPr>
        <w:t>-based drivers from the constitutionally mandated workers’ compensation system and substitu</w:t>
      </w:r>
      <w:r w:rsidRPr="002151F2">
        <w:rPr>
          <w:color w:val="000000"/>
          <w:shd w:val="clear" w:color="auto" w:fill="FFFFFF"/>
        </w:rPr>
        <w:t xml:space="preserve">tes a private accident insurance mandate.  (Bus. &amp; Prof. Code, §§ 7451, 7455, </w:t>
      </w:r>
      <w:proofErr w:type="spellStart"/>
      <w:r w:rsidRPr="002151F2">
        <w:rPr>
          <w:color w:val="000000"/>
          <w:shd w:val="clear" w:color="auto" w:fill="FFFFFF"/>
        </w:rPr>
        <w:t>subd</w:t>
      </w:r>
      <w:proofErr w:type="spellEnd"/>
      <w:r w:rsidRPr="002151F2">
        <w:rPr>
          <w:color w:val="000000"/>
          <w:shd w:val="clear" w:color="auto" w:fill="FFFFFF"/>
        </w:rPr>
        <w:t>. (a).)  The linchpin of Proposition</w:t>
      </w:r>
      <w:r>
        <w:rPr>
          <w:color w:val="000000"/>
          <w:shd w:val="clear" w:color="auto" w:fill="FFFFFF"/>
        </w:rPr>
        <w:t> </w:t>
      </w:r>
      <w:r w:rsidRPr="002151F2">
        <w:rPr>
          <w:color w:val="000000"/>
          <w:shd w:val="clear" w:color="auto" w:fill="FFFFFF"/>
        </w:rPr>
        <w:t xml:space="preserve">22 is </w:t>
      </w:r>
      <w:r w:rsidRPr="002151F2">
        <w:rPr>
          <w:shd w:val="clear" w:color="auto" w:fill="FFFFFF"/>
        </w:rPr>
        <w:t xml:space="preserve">the “independent contractor” definition in Business &amp; Professions Code section 7451.  </w:t>
      </w:r>
      <w:r w:rsidRPr="002151F2">
        <w:rPr>
          <w:color w:val="000000"/>
          <w:shd w:val="clear" w:color="auto" w:fill="FFFFFF"/>
        </w:rPr>
        <w:t>Proposition</w:t>
      </w:r>
      <w:r>
        <w:rPr>
          <w:color w:val="000000"/>
          <w:shd w:val="clear" w:color="auto" w:fill="FFFFFF"/>
        </w:rPr>
        <w:t> </w:t>
      </w:r>
      <w:r w:rsidRPr="002151F2">
        <w:rPr>
          <w:color w:val="000000"/>
          <w:shd w:val="clear" w:color="auto" w:fill="FFFFFF"/>
        </w:rPr>
        <w:t>22 reversed the Legislature’s jud</w:t>
      </w:r>
      <w:r w:rsidRPr="002151F2">
        <w:rPr>
          <w:color w:val="000000"/>
          <w:shd w:val="clear" w:color="auto" w:fill="FFFFFF"/>
        </w:rPr>
        <w:t>gment on this issue</w:t>
      </w:r>
      <w:r>
        <w:rPr>
          <w:rStyle w:val="FootnoteReference"/>
          <w:color w:val="000000"/>
          <w:shd w:val="clear" w:color="auto" w:fill="FFFFFF"/>
        </w:rPr>
        <w:footnoteReference w:id="24"/>
      </w:r>
      <w:r>
        <w:rPr>
          <w:color w:val="000000"/>
          <w:shd w:val="clear" w:color="auto" w:fill="FFFFFF"/>
        </w:rPr>
        <w:t xml:space="preserve"> </w:t>
      </w:r>
      <w:r w:rsidRPr="002151F2">
        <w:rPr>
          <w:color w:val="000000"/>
          <w:shd w:val="clear" w:color="auto" w:fill="FFFFFF"/>
        </w:rPr>
        <w:t xml:space="preserve">by redefining </w:t>
      </w:r>
      <w:r>
        <w:rPr>
          <w:color w:val="000000"/>
          <w:shd w:val="clear" w:color="auto" w:fill="FFFFFF"/>
        </w:rPr>
        <w:t xml:space="preserve">the scope of “employment,” </w:t>
      </w:r>
      <w:r w:rsidRPr="002151F2">
        <w:rPr>
          <w:color w:val="000000"/>
          <w:shd w:val="clear" w:color="auto" w:fill="FFFFFF"/>
        </w:rPr>
        <w:t>a term that is used in the language of article</w:t>
      </w:r>
      <w:r>
        <w:rPr>
          <w:color w:val="000000"/>
          <w:shd w:val="clear" w:color="auto" w:fill="FFFFFF"/>
        </w:rPr>
        <w:t xml:space="preserve"> </w:t>
      </w:r>
      <w:r w:rsidRPr="002151F2">
        <w:rPr>
          <w:color w:val="000000"/>
          <w:shd w:val="clear" w:color="auto" w:fill="FFFFFF"/>
        </w:rPr>
        <w:t>XIV, section</w:t>
      </w:r>
      <w:r>
        <w:rPr>
          <w:color w:val="000000"/>
          <w:shd w:val="clear" w:color="auto" w:fill="FFFFFF"/>
        </w:rPr>
        <w:t> </w:t>
      </w:r>
      <w:r w:rsidRPr="002151F2">
        <w:rPr>
          <w:color w:val="000000"/>
          <w:shd w:val="clear" w:color="auto" w:fill="FFFFFF"/>
        </w:rPr>
        <w:t>4.  No one disputes that the effect of the “independent contractor” definition in Proposition</w:t>
      </w:r>
      <w:r>
        <w:rPr>
          <w:color w:val="000000"/>
          <w:shd w:val="clear" w:color="auto" w:fill="FFFFFF"/>
        </w:rPr>
        <w:t> </w:t>
      </w:r>
      <w:r w:rsidRPr="002151F2">
        <w:rPr>
          <w:color w:val="000000"/>
          <w:shd w:val="clear" w:color="auto" w:fill="FFFFFF"/>
        </w:rPr>
        <w:t xml:space="preserve">22 is to expel </w:t>
      </w:r>
      <w:r>
        <w:rPr>
          <w:color w:val="000000"/>
          <w:shd w:val="clear" w:color="auto" w:fill="FFFFFF"/>
        </w:rPr>
        <w:t>app-based</w:t>
      </w:r>
      <w:r w:rsidRPr="002151F2">
        <w:rPr>
          <w:color w:val="000000"/>
          <w:shd w:val="clear" w:color="auto" w:fill="FFFFFF"/>
        </w:rPr>
        <w:t xml:space="preserve"> drivers, as a </w:t>
      </w:r>
      <w:r w:rsidRPr="002151F2">
        <w:rPr>
          <w:color w:val="000000"/>
          <w:shd w:val="clear" w:color="auto" w:fill="FFFFFF"/>
        </w:rPr>
        <w:t xml:space="preserve">class, </w:t>
      </w:r>
      <w:r w:rsidRPr="002151F2">
        <w:rPr>
          <w:shd w:val="clear" w:color="auto" w:fill="FFFFFF"/>
        </w:rPr>
        <w:t>from the “complete system of workers’ compensation” established by the Legislature more than a century ago</w:t>
      </w:r>
      <w:r>
        <w:rPr>
          <w:shd w:val="clear" w:color="auto" w:fill="FFFFFF"/>
        </w:rPr>
        <w:t>.  Because the basic architecture of that system was literally written into the Constitution in 1918, statutory changes to it must be closely s</w:t>
      </w:r>
      <w:r>
        <w:rPr>
          <w:shd w:val="clear" w:color="auto" w:fill="FFFFFF"/>
        </w:rPr>
        <w:t>crutinized for compatibility with article XIV, section 4.</w:t>
      </w:r>
    </w:p>
    <w:p w14:paraId="739006BD" w14:textId="77777777" w:rsidR="00AB000C" w:rsidRPr="00687AB9" w:rsidRDefault="00570B35" w:rsidP="00AB000C">
      <w:pPr>
        <w:ind w:firstLine="720"/>
      </w:pPr>
      <w:r w:rsidRPr="00C46840">
        <w:rPr>
          <w:shd w:val="clear" w:color="auto" w:fill="FFFFFF"/>
        </w:rPr>
        <w:t>Proposition</w:t>
      </w:r>
      <w:r>
        <w:rPr>
          <w:shd w:val="clear" w:color="auto" w:fill="FFFFFF"/>
        </w:rPr>
        <w:t> </w:t>
      </w:r>
      <w:r w:rsidRPr="00C46840">
        <w:rPr>
          <w:shd w:val="clear" w:color="auto" w:fill="FFFFFF"/>
        </w:rPr>
        <w:t>22 cannot withstand that scrutiny</w:t>
      </w:r>
      <w:r>
        <w:rPr>
          <w:shd w:val="clear" w:color="auto" w:fill="FFFFFF"/>
        </w:rPr>
        <w:t xml:space="preserve"> in two respects, the first detailed in </w:t>
      </w:r>
      <w:r w:rsidRPr="001145CA">
        <w:rPr>
          <w:shd w:val="clear" w:color="auto" w:fill="FFFFFF"/>
        </w:rPr>
        <w:t xml:space="preserve">parts </w:t>
      </w:r>
      <w:proofErr w:type="spellStart"/>
      <w:r w:rsidRPr="001145CA">
        <w:rPr>
          <w:shd w:val="clear" w:color="auto" w:fill="FFFFFF"/>
        </w:rPr>
        <w:t>II.A</w:t>
      </w:r>
      <w:proofErr w:type="spellEnd"/>
      <w:r w:rsidRPr="001145CA">
        <w:rPr>
          <w:shd w:val="clear" w:color="auto" w:fill="FFFFFF"/>
        </w:rPr>
        <w:t>.–</w:t>
      </w:r>
      <w:proofErr w:type="spellStart"/>
      <w:r w:rsidRPr="001145CA">
        <w:rPr>
          <w:shd w:val="clear" w:color="auto" w:fill="FFFFFF"/>
        </w:rPr>
        <w:t>II.B</w:t>
      </w:r>
      <w:proofErr w:type="spellEnd"/>
      <w:r w:rsidRPr="001145CA">
        <w:rPr>
          <w:shd w:val="clear" w:color="auto" w:fill="FFFFFF"/>
        </w:rPr>
        <w:t>.</w:t>
      </w:r>
      <w:r>
        <w:rPr>
          <w:shd w:val="clear" w:color="auto" w:fill="FFFFFF"/>
        </w:rPr>
        <w:t xml:space="preserve"> and the second in </w:t>
      </w:r>
      <w:r w:rsidRPr="001145CA">
        <w:rPr>
          <w:shd w:val="clear" w:color="auto" w:fill="FFFFFF"/>
        </w:rPr>
        <w:t xml:space="preserve">parts </w:t>
      </w:r>
      <w:proofErr w:type="spellStart"/>
      <w:r w:rsidRPr="001145CA">
        <w:rPr>
          <w:shd w:val="clear" w:color="auto" w:fill="FFFFFF"/>
        </w:rPr>
        <w:t>II.C</w:t>
      </w:r>
      <w:proofErr w:type="spellEnd"/>
      <w:r w:rsidRPr="001145CA">
        <w:rPr>
          <w:shd w:val="clear" w:color="auto" w:fill="FFFFFF"/>
        </w:rPr>
        <w:t>.–</w:t>
      </w:r>
      <w:proofErr w:type="spellStart"/>
      <w:r w:rsidRPr="001145CA">
        <w:rPr>
          <w:shd w:val="clear" w:color="auto" w:fill="FFFFFF"/>
        </w:rPr>
        <w:t>II.D</w:t>
      </w:r>
      <w:proofErr w:type="spellEnd"/>
      <w:r w:rsidRPr="001145CA">
        <w:rPr>
          <w:shd w:val="clear" w:color="auto" w:fill="FFFFFF"/>
        </w:rPr>
        <w:t>.</w:t>
      </w:r>
    </w:p>
    <w:p w14:paraId="775F72B3" w14:textId="77777777" w:rsidR="00AB000C" w:rsidRPr="00343572" w:rsidRDefault="00570B35" w:rsidP="00AB000C">
      <w:pPr>
        <w:keepNext/>
        <w:tabs>
          <w:tab w:val="left" w:pos="360"/>
        </w:tabs>
        <w:spacing w:before="120" w:after="120" w:line="240" w:lineRule="auto"/>
        <w:ind w:left="720" w:hanging="720"/>
        <w:rPr>
          <w:b/>
          <w:bCs/>
          <w:i/>
          <w:iCs/>
          <w:color w:val="000000"/>
          <w:shd w:val="clear" w:color="auto" w:fill="FFFFFF"/>
        </w:rPr>
      </w:pPr>
      <w:r w:rsidRPr="00343572">
        <w:rPr>
          <w:b/>
          <w:bCs/>
          <w:color w:val="000000"/>
          <w:shd w:val="clear" w:color="auto" w:fill="FFFFFF"/>
        </w:rPr>
        <w:lastRenderedPageBreak/>
        <w:tab/>
      </w:r>
      <w:r w:rsidRPr="005F7226">
        <w:rPr>
          <w:b/>
          <w:color w:val="000000"/>
          <w:shd w:val="clear" w:color="auto" w:fill="FFFFFF"/>
        </w:rPr>
        <w:t>A.</w:t>
      </w:r>
      <w:r w:rsidRPr="005F7226">
        <w:rPr>
          <w:b/>
          <w:color w:val="000000"/>
          <w:shd w:val="clear" w:color="auto" w:fill="FFFFFF"/>
        </w:rPr>
        <w:tab/>
      </w:r>
      <w:r w:rsidRPr="005F7226">
        <w:rPr>
          <w:b/>
          <w:i/>
          <w:color w:val="000000"/>
          <w:shd w:val="clear" w:color="auto" w:fill="FFFFFF"/>
        </w:rPr>
        <w:t xml:space="preserve">Certain “Basic Features” of the “Complete System of </w:t>
      </w:r>
      <w:r w:rsidRPr="005F7226">
        <w:rPr>
          <w:b/>
          <w:i/>
          <w:color w:val="000000"/>
          <w:shd w:val="clear" w:color="auto" w:fill="FFFFFF"/>
        </w:rPr>
        <w:t>Workers</w:t>
      </w:r>
      <w:r>
        <w:rPr>
          <w:b/>
          <w:i/>
          <w:color w:val="000000"/>
          <w:shd w:val="clear" w:color="auto" w:fill="FFFFFF"/>
        </w:rPr>
        <w:t>’</w:t>
      </w:r>
      <w:r w:rsidRPr="005F7226">
        <w:rPr>
          <w:b/>
          <w:i/>
          <w:color w:val="000000"/>
          <w:shd w:val="clear" w:color="auto" w:fill="FFFFFF"/>
        </w:rPr>
        <w:t xml:space="preserve"> Compensation” Mandated by Article XIV, Section 4, Cannot Be Revised by Statute</w:t>
      </w:r>
    </w:p>
    <w:p w14:paraId="23C0288D" w14:textId="77777777" w:rsidR="00AB000C" w:rsidRDefault="00570B35" w:rsidP="00AB000C">
      <w:pPr>
        <w:ind w:firstLine="720"/>
        <w:rPr>
          <w:color w:val="000000"/>
          <w:shd w:val="clear" w:color="auto" w:fill="FFFFFF"/>
        </w:rPr>
      </w:pPr>
      <w:r>
        <w:rPr>
          <w:color w:val="000000"/>
          <w:shd w:val="clear" w:color="auto" w:fill="FFFFFF"/>
        </w:rPr>
        <w:t>A</w:t>
      </w:r>
      <w:r w:rsidRPr="000E1C52">
        <w:rPr>
          <w:color w:val="000000"/>
          <w:shd w:val="clear" w:color="auto" w:fill="FFFFFF"/>
        </w:rPr>
        <w:t>rticle XIV, section</w:t>
      </w:r>
      <w:r>
        <w:rPr>
          <w:color w:val="000000"/>
          <w:shd w:val="clear" w:color="auto" w:fill="FFFFFF"/>
        </w:rPr>
        <w:t> </w:t>
      </w:r>
      <w:r w:rsidRPr="000E1C52">
        <w:rPr>
          <w:color w:val="000000"/>
          <w:shd w:val="clear" w:color="auto" w:fill="FFFFFF"/>
        </w:rPr>
        <w:t xml:space="preserve">4, by its express terms, </w:t>
      </w:r>
      <w:r>
        <w:rPr>
          <w:color w:val="000000"/>
          <w:shd w:val="clear" w:color="auto" w:fill="FFFFFF"/>
        </w:rPr>
        <w:t xml:space="preserve">defines in detail what must be in a “complete system of workers’ compensation,” and the new </w:t>
      </w:r>
      <w:r w:rsidRPr="000E1C52">
        <w:rPr>
          <w:color w:val="000000"/>
          <w:shd w:val="clear" w:color="auto" w:fill="FFFFFF"/>
        </w:rPr>
        <w:t>privatized s</w:t>
      </w:r>
      <w:r>
        <w:rPr>
          <w:color w:val="000000"/>
          <w:shd w:val="clear" w:color="auto" w:fill="FFFFFF"/>
        </w:rPr>
        <w:t>cheme for app-base</w:t>
      </w:r>
      <w:r>
        <w:rPr>
          <w:color w:val="000000"/>
          <w:shd w:val="clear" w:color="auto" w:fill="FFFFFF"/>
        </w:rPr>
        <w:t>d drivers falls far short.</w:t>
      </w:r>
      <w:r w:rsidRPr="000E1C52">
        <w:rPr>
          <w:color w:val="000000"/>
          <w:shd w:val="clear" w:color="auto" w:fill="FFFFFF"/>
        </w:rPr>
        <w:t xml:space="preserve">  There are no safety</w:t>
      </w:r>
      <w:r w:rsidRPr="00845C5C">
        <w:rPr>
          <w:color w:val="000000"/>
          <w:shd w:val="clear" w:color="auto" w:fill="FFFFFF"/>
        </w:rPr>
        <w:t xml:space="preserve"> and health provision</w:t>
      </w:r>
      <w:r w:rsidRPr="00C81F1B">
        <w:rPr>
          <w:color w:val="000000"/>
          <w:shd w:val="clear" w:color="auto" w:fill="FFFFFF"/>
        </w:rPr>
        <w:t>s</w:t>
      </w:r>
      <w:r>
        <w:rPr>
          <w:color w:val="000000"/>
          <w:shd w:val="clear" w:color="auto" w:fill="FFFFFF"/>
        </w:rPr>
        <w:t>;</w:t>
      </w:r>
      <w:r w:rsidRPr="00845C5C">
        <w:rPr>
          <w:color w:val="000000"/>
          <w:shd w:val="clear" w:color="auto" w:fill="FFFFFF"/>
        </w:rPr>
        <w:t xml:space="preserve"> no provisions for vocational training if a driver cannot return to work</w:t>
      </w:r>
      <w:r>
        <w:rPr>
          <w:color w:val="000000"/>
          <w:shd w:val="clear" w:color="auto" w:fill="FFFFFF"/>
        </w:rPr>
        <w:t>;</w:t>
      </w:r>
      <w:r w:rsidRPr="00845C5C">
        <w:rPr>
          <w:color w:val="000000"/>
          <w:shd w:val="clear" w:color="auto" w:fill="FFFFFF"/>
        </w:rPr>
        <w:t xml:space="preserve"> no compensation</w:t>
      </w:r>
      <w:r>
        <w:rPr>
          <w:color w:val="000000"/>
          <w:shd w:val="clear" w:color="auto" w:fill="FFFFFF"/>
        </w:rPr>
        <w:t xml:space="preserve"> provisions</w:t>
      </w:r>
      <w:r w:rsidRPr="00845C5C">
        <w:rPr>
          <w:color w:val="000000"/>
          <w:shd w:val="clear" w:color="auto" w:fill="FFFFFF"/>
        </w:rPr>
        <w:t xml:space="preserve"> for permanent disability</w:t>
      </w:r>
      <w:r>
        <w:rPr>
          <w:color w:val="000000"/>
          <w:shd w:val="clear" w:color="auto" w:fill="FFFFFF"/>
        </w:rPr>
        <w:t>;</w:t>
      </w:r>
      <w:r w:rsidRPr="00845C5C">
        <w:rPr>
          <w:color w:val="000000"/>
          <w:shd w:val="clear" w:color="auto" w:fill="FFFFFF"/>
        </w:rPr>
        <w:t xml:space="preserve"> and no provision</w:t>
      </w:r>
      <w:r>
        <w:rPr>
          <w:color w:val="000000"/>
          <w:shd w:val="clear" w:color="auto" w:fill="FFFFFF"/>
        </w:rPr>
        <w:t>s</w:t>
      </w:r>
      <w:r w:rsidRPr="00845C5C">
        <w:rPr>
          <w:color w:val="000000"/>
          <w:shd w:val="clear" w:color="auto" w:fill="FFFFFF"/>
        </w:rPr>
        <w:t xml:space="preserve"> for an administrative body </w:t>
      </w:r>
      <w:r>
        <w:rPr>
          <w:color w:val="000000"/>
          <w:shd w:val="clear" w:color="auto" w:fill="FFFFFF"/>
        </w:rPr>
        <w:t xml:space="preserve">exercising judicial power </w:t>
      </w:r>
      <w:r w:rsidRPr="00845C5C">
        <w:rPr>
          <w:color w:val="000000"/>
          <w:shd w:val="clear" w:color="auto" w:fill="FFFFFF"/>
        </w:rPr>
        <w:t>to resolve disputes</w:t>
      </w:r>
      <w:r>
        <w:rPr>
          <w:color w:val="000000"/>
          <w:shd w:val="clear" w:color="auto" w:fill="FFFFFF"/>
        </w:rPr>
        <w:t xml:space="preserve"> expeditiously, with direct review in the Court of Appeal</w:t>
      </w:r>
      <w:r w:rsidRPr="00845C5C">
        <w:rPr>
          <w:color w:val="000000"/>
          <w:shd w:val="clear" w:color="auto" w:fill="FFFFFF"/>
        </w:rPr>
        <w:t xml:space="preserve">.  </w:t>
      </w:r>
      <w:r>
        <w:rPr>
          <w:color w:val="000000"/>
          <w:shd w:val="clear" w:color="auto" w:fill="FFFFFF"/>
        </w:rPr>
        <w:t>At best, app-based drivers are left with a breach of contract remedy for any deprivation of workplace accident benefits, an</w:t>
      </w:r>
      <w:r>
        <w:rPr>
          <w:color w:val="000000"/>
          <w:shd w:val="clear" w:color="auto" w:fill="FFFFFF"/>
        </w:rPr>
        <w:t>d the value of even that is dubious since these workers (like so many these days) must sign form contracts that force them into arbitration, without access to judicial review.</w:t>
      </w:r>
    </w:p>
    <w:p w14:paraId="1DE075E0" w14:textId="77777777" w:rsidR="00AB000C" w:rsidRDefault="00570B35" w:rsidP="00AB000C">
      <w:pPr>
        <w:ind w:firstLine="720"/>
        <w:rPr>
          <w:color w:val="000000"/>
          <w:shd w:val="clear" w:color="auto" w:fill="FFFFFF"/>
        </w:rPr>
      </w:pPr>
      <w:r w:rsidRPr="005600CC">
        <w:rPr>
          <w:color w:val="000000"/>
          <w:shd w:val="clear" w:color="auto" w:fill="FFFFFF"/>
        </w:rPr>
        <w:t>Proposition</w:t>
      </w:r>
      <w:r>
        <w:rPr>
          <w:color w:val="000000"/>
          <w:shd w:val="clear" w:color="auto" w:fill="FFFFFF"/>
        </w:rPr>
        <w:t> </w:t>
      </w:r>
      <w:r w:rsidRPr="005600CC">
        <w:rPr>
          <w:color w:val="000000"/>
          <w:shd w:val="clear" w:color="auto" w:fill="FFFFFF"/>
        </w:rPr>
        <w:t xml:space="preserve">22 </w:t>
      </w:r>
      <w:r>
        <w:rPr>
          <w:color w:val="000000"/>
          <w:shd w:val="clear" w:color="auto" w:fill="FFFFFF"/>
        </w:rPr>
        <w:t xml:space="preserve">also </w:t>
      </w:r>
      <w:r w:rsidRPr="005600CC">
        <w:rPr>
          <w:color w:val="000000"/>
          <w:shd w:val="clear" w:color="auto" w:fill="FFFFFF"/>
        </w:rPr>
        <w:t xml:space="preserve">permanently withdraws the Legislature’s authority to </w:t>
      </w:r>
      <w:r>
        <w:rPr>
          <w:color w:val="000000"/>
          <w:shd w:val="clear" w:color="auto" w:fill="FFFFFF"/>
        </w:rPr>
        <w:t>address</w:t>
      </w:r>
      <w:r>
        <w:rPr>
          <w:color w:val="000000"/>
          <w:shd w:val="clear" w:color="auto" w:fill="FFFFFF"/>
        </w:rPr>
        <w:t xml:space="preserve"> these deficiencies by restoring article XIV, section 4’s </w:t>
      </w:r>
      <w:r w:rsidRPr="005600CC">
        <w:rPr>
          <w:color w:val="000000"/>
          <w:shd w:val="clear" w:color="auto" w:fill="FFFFFF"/>
        </w:rPr>
        <w:t xml:space="preserve">protections </w:t>
      </w:r>
      <w:r>
        <w:rPr>
          <w:color w:val="000000"/>
          <w:shd w:val="clear" w:color="auto" w:fill="FFFFFF"/>
        </w:rPr>
        <w:t xml:space="preserve">to this class </w:t>
      </w:r>
      <w:r w:rsidRPr="005600CC">
        <w:rPr>
          <w:color w:val="000000"/>
          <w:shd w:val="clear" w:color="auto" w:fill="FFFFFF"/>
        </w:rPr>
        <w:t xml:space="preserve">of </w:t>
      </w:r>
      <w:r>
        <w:rPr>
          <w:color w:val="000000"/>
          <w:shd w:val="clear" w:color="auto" w:fill="FFFFFF"/>
        </w:rPr>
        <w:t>workers.  It </w:t>
      </w:r>
      <w:r w:rsidRPr="005600CC">
        <w:rPr>
          <w:color w:val="000000"/>
          <w:shd w:val="clear" w:color="auto" w:fill="FFFFFF"/>
        </w:rPr>
        <w:t xml:space="preserve">allows </w:t>
      </w:r>
      <w:r>
        <w:rPr>
          <w:color w:val="000000"/>
          <w:shd w:val="clear" w:color="auto" w:fill="FFFFFF"/>
        </w:rPr>
        <w:t xml:space="preserve">no </w:t>
      </w:r>
      <w:r w:rsidRPr="005600CC">
        <w:rPr>
          <w:color w:val="000000"/>
          <w:shd w:val="clear" w:color="auto" w:fill="FFFFFF"/>
        </w:rPr>
        <w:t xml:space="preserve">legislative amendments </w:t>
      </w:r>
      <w:r>
        <w:rPr>
          <w:color w:val="000000"/>
          <w:shd w:val="clear" w:color="auto" w:fill="FFFFFF"/>
        </w:rPr>
        <w:t xml:space="preserve">unless passed </w:t>
      </w:r>
      <w:r w:rsidRPr="005600CC">
        <w:rPr>
          <w:color w:val="000000"/>
          <w:shd w:val="clear" w:color="auto" w:fill="FFFFFF"/>
        </w:rPr>
        <w:t xml:space="preserve">by seven-eighths vote of both houses of the Legislature, </w:t>
      </w:r>
      <w:r>
        <w:rPr>
          <w:color w:val="000000"/>
          <w:shd w:val="clear" w:color="auto" w:fill="FFFFFF"/>
        </w:rPr>
        <w:t>and even then any amendment must be “consistent with</w:t>
      </w:r>
      <w:r>
        <w:rPr>
          <w:color w:val="000000"/>
          <w:shd w:val="clear" w:color="auto" w:fill="FFFFFF"/>
        </w:rPr>
        <w:t xml:space="preserve">, and </w:t>
      </w:r>
      <w:proofErr w:type="gramStart"/>
      <w:r w:rsidRPr="005600CC">
        <w:rPr>
          <w:color w:val="000000"/>
          <w:shd w:val="clear" w:color="auto" w:fill="FFFFFF"/>
        </w:rPr>
        <w:t>further</w:t>
      </w:r>
      <w:r w:rsidRPr="00FE7D9A">
        <w:rPr>
          <w:color w:val="000000"/>
          <w:spacing w:val="20"/>
          <w:shd w:val="clear" w:color="auto" w:fill="FFFFFF"/>
        </w:rPr>
        <w:t>[</w:t>
      </w:r>
      <w:proofErr w:type="gramEnd"/>
      <w:r w:rsidRPr="005600CC">
        <w:rPr>
          <w:color w:val="000000"/>
          <w:shd w:val="clear" w:color="auto" w:fill="FFFFFF"/>
        </w:rPr>
        <w:t>] the purpose of [Proposition</w:t>
      </w:r>
      <w:r>
        <w:rPr>
          <w:color w:val="000000"/>
          <w:shd w:val="clear" w:color="auto" w:fill="FFFFFF"/>
        </w:rPr>
        <w:t> </w:t>
      </w:r>
      <w:r w:rsidRPr="005600CC">
        <w:rPr>
          <w:color w:val="000000"/>
          <w:shd w:val="clear" w:color="auto" w:fill="FFFFFF"/>
        </w:rPr>
        <w:t>22].”  (</w:t>
      </w:r>
      <w:r>
        <w:rPr>
          <w:color w:val="000000"/>
          <w:shd w:val="clear" w:color="auto" w:fill="FFFFFF"/>
        </w:rPr>
        <w:t xml:space="preserve">Bus. &amp; Prof. Code, </w:t>
      </w:r>
      <w:r w:rsidRPr="005600CC">
        <w:rPr>
          <w:color w:val="000000"/>
          <w:shd w:val="clear" w:color="auto" w:fill="FFFFFF"/>
        </w:rPr>
        <w:t>§</w:t>
      </w:r>
      <w:r>
        <w:rPr>
          <w:color w:val="000000"/>
          <w:shd w:val="clear" w:color="auto" w:fill="FFFFFF"/>
        </w:rPr>
        <w:t> </w:t>
      </w:r>
      <w:r w:rsidRPr="005600CC">
        <w:rPr>
          <w:color w:val="000000"/>
          <w:shd w:val="clear" w:color="auto" w:fill="FFFFFF"/>
        </w:rPr>
        <w:t xml:space="preserve">7465, </w:t>
      </w:r>
      <w:proofErr w:type="spellStart"/>
      <w:r w:rsidRPr="005600CC">
        <w:rPr>
          <w:color w:val="000000"/>
          <w:shd w:val="clear" w:color="auto" w:fill="FFFFFF"/>
        </w:rPr>
        <w:t>subd</w:t>
      </w:r>
      <w:proofErr w:type="spellEnd"/>
      <w:r w:rsidRPr="005600CC">
        <w:rPr>
          <w:color w:val="000000"/>
          <w:shd w:val="clear" w:color="auto" w:fill="FFFFFF"/>
        </w:rPr>
        <w:t>.</w:t>
      </w:r>
      <w:r>
        <w:rPr>
          <w:color w:val="000000"/>
          <w:shd w:val="clear" w:color="auto" w:fill="FFFFFF"/>
        </w:rPr>
        <w:t> </w:t>
      </w:r>
      <w:r w:rsidRPr="005600CC">
        <w:rPr>
          <w:color w:val="000000"/>
          <w:shd w:val="clear" w:color="auto" w:fill="FFFFFF"/>
        </w:rPr>
        <w:t xml:space="preserve">(a).)  </w:t>
      </w:r>
      <w:r>
        <w:rPr>
          <w:color w:val="000000"/>
          <w:shd w:val="clear" w:color="auto" w:fill="FFFFFF"/>
        </w:rPr>
        <w:t xml:space="preserve">It also </w:t>
      </w:r>
      <w:r w:rsidRPr="005600CC">
        <w:rPr>
          <w:color w:val="000000"/>
          <w:shd w:val="clear" w:color="auto" w:fill="FFFFFF"/>
        </w:rPr>
        <w:t>provides that “[a]</w:t>
      </w:r>
      <w:proofErr w:type="spellStart"/>
      <w:r w:rsidRPr="005600CC">
        <w:rPr>
          <w:color w:val="000000"/>
          <w:shd w:val="clear" w:color="auto" w:fill="FFFFFF"/>
        </w:rPr>
        <w:t>ny</w:t>
      </w:r>
      <w:proofErr w:type="spellEnd"/>
      <w:r w:rsidRPr="005600CC">
        <w:rPr>
          <w:color w:val="000000"/>
          <w:shd w:val="clear" w:color="auto" w:fill="FFFFFF"/>
        </w:rPr>
        <w:t xml:space="preserve"> statute that amends Section 7451”—the provision that removes </w:t>
      </w:r>
      <w:r>
        <w:rPr>
          <w:color w:val="000000"/>
          <w:shd w:val="clear" w:color="auto" w:fill="FFFFFF"/>
        </w:rPr>
        <w:t>app-based</w:t>
      </w:r>
      <w:r w:rsidRPr="005600CC">
        <w:rPr>
          <w:color w:val="000000"/>
          <w:shd w:val="clear" w:color="auto" w:fill="FFFFFF"/>
        </w:rPr>
        <w:t xml:space="preserve"> drivers from the workers’ compensation system (as well as from o</w:t>
      </w:r>
      <w:r w:rsidRPr="005600CC">
        <w:rPr>
          <w:color w:val="000000"/>
          <w:shd w:val="clear" w:color="auto" w:fill="FFFFFF"/>
        </w:rPr>
        <w:t>ther worker protections)</w:t>
      </w:r>
      <w:proofErr w:type="gramStart"/>
      <w:r w:rsidRPr="005600CC">
        <w:rPr>
          <w:color w:val="000000"/>
          <w:shd w:val="clear" w:color="auto" w:fill="FFFFFF"/>
        </w:rPr>
        <w:t>—“</w:t>
      </w:r>
      <w:proofErr w:type="gramEnd"/>
      <w:r w:rsidRPr="005600CC">
        <w:rPr>
          <w:color w:val="000000"/>
          <w:shd w:val="clear" w:color="auto" w:fill="FFFFFF"/>
        </w:rPr>
        <w:t>does not further the purposes o</w:t>
      </w:r>
      <w:r w:rsidRPr="00FE7D9A">
        <w:rPr>
          <w:color w:val="000000"/>
          <w:spacing w:val="40"/>
          <w:shd w:val="clear" w:color="auto" w:fill="FFFFFF"/>
        </w:rPr>
        <w:t>f</w:t>
      </w:r>
      <w:r w:rsidRPr="005600CC">
        <w:rPr>
          <w:color w:val="000000"/>
          <w:shd w:val="clear" w:color="auto" w:fill="FFFFFF"/>
        </w:rPr>
        <w:t>” Proposition</w:t>
      </w:r>
      <w:r>
        <w:rPr>
          <w:color w:val="000000"/>
          <w:shd w:val="clear" w:color="auto" w:fill="FFFFFF"/>
        </w:rPr>
        <w:t> </w:t>
      </w:r>
      <w:r w:rsidRPr="005600CC">
        <w:rPr>
          <w:color w:val="000000"/>
          <w:shd w:val="clear" w:color="auto" w:fill="FFFFFF"/>
        </w:rPr>
        <w:t>22.</w:t>
      </w:r>
      <w:r>
        <w:rPr>
          <w:color w:val="000000"/>
          <w:shd w:val="clear" w:color="auto" w:fill="FFFFFF"/>
        </w:rPr>
        <w:t xml:space="preserve">  </w:t>
      </w:r>
      <w:r w:rsidRPr="005600CC">
        <w:rPr>
          <w:color w:val="000000"/>
          <w:shd w:val="clear" w:color="auto" w:fill="FFFFFF"/>
        </w:rPr>
        <w:t>(</w:t>
      </w:r>
      <w:r w:rsidRPr="000D31E3">
        <w:rPr>
          <w:color w:val="000000"/>
          <w:shd w:val="clear" w:color="auto" w:fill="FFFFFF"/>
        </w:rPr>
        <w:t xml:space="preserve">Bus. &amp; Prof. </w:t>
      </w:r>
      <w:r w:rsidRPr="000D31E3">
        <w:rPr>
          <w:color w:val="000000"/>
          <w:shd w:val="clear" w:color="auto" w:fill="FFFFFF"/>
        </w:rPr>
        <w:lastRenderedPageBreak/>
        <w:t>Code</w:t>
      </w:r>
      <w:r w:rsidRPr="006D795C">
        <w:rPr>
          <w:color w:val="000000"/>
          <w:shd w:val="clear" w:color="auto" w:fill="FFFFFF"/>
        </w:rPr>
        <w:t>,</w:t>
      </w:r>
      <w:r w:rsidRPr="005600CC">
        <w:rPr>
          <w:color w:val="000000"/>
          <w:shd w:val="clear" w:color="auto" w:fill="FFFFFF"/>
        </w:rPr>
        <w:t xml:space="preserve"> </w:t>
      </w:r>
      <w:r>
        <w:rPr>
          <w:color w:val="000000"/>
          <w:shd w:val="clear" w:color="auto" w:fill="FFFFFF"/>
        </w:rPr>
        <w:t xml:space="preserve">§ 7465, </w:t>
      </w:r>
      <w:proofErr w:type="spellStart"/>
      <w:r w:rsidRPr="005600CC">
        <w:rPr>
          <w:color w:val="000000"/>
          <w:shd w:val="clear" w:color="auto" w:fill="FFFFFF"/>
        </w:rPr>
        <w:t>subd</w:t>
      </w:r>
      <w:proofErr w:type="spellEnd"/>
      <w:r w:rsidRPr="005600CC">
        <w:rPr>
          <w:color w:val="000000"/>
          <w:shd w:val="clear" w:color="auto" w:fill="FFFFFF"/>
        </w:rPr>
        <w:t>.</w:t>
      </w:r>
      <w:r>
        <w:rPr>
          <w:color w:val="000000"/>
          <w:shd w:val="clear" w:color="auto" w:fill="FFFFFF"/>
        </w:rPr>
        <w:t> </w:t>
      </w:r>
      <w:r w:rsidRPr="005600CC">
        <w:rPr>
          <w:color w:val="000000"/>
          <w:shd w:val="clear" w:color="auto" w:fill="FFFFFF"/>
        </w:rPr>
        <w:t xml:space="preserve">(c)(2).)  </w:t>
      </w:r>
      <w:r>
        <w:rPr>
          <w:color w:val="000000"/>
          <w:shd w:val="clear" w:color="auto" w:fill="FFFFFF"/>
        </w:rPr>
        <w:t>As a result,</w:t>
      </w:r>
      <w:r w:rsidRPr="005600CC">
        <w:rPr>
          <w:color w:val="000000"/>
          <w:shd w:val="clear" w:color="auto" w:fill="FFFFFF"/>
        </w:rPr>
        <w:t xml:space="preserve"> Proposition</w:t>
      </w:r>
      <w:r>
        <w:rPr>
          <w:color w:val="000000"/>
          <w:shd w:val="clear" w:color="auto" w:fill="FFFFFF"/>
        </w:rPr>
        <w:t> </w:t>
      </w:r>
      <w:r w:rsidRPr="005600CC">
        <w:rPr>
          <w:color w:val="000000"/>
          <w:shd w:val="clear" w:color="auto" w:fill="FFFFFF"/>
        </w:rPr>
        <w:t>22</w:t>
      </w:r>
      <w:r>
        <w:rPr>
          <w:color w:val="000000"/>
          <w:shd w:val="clear" w:color="auto" w:fill="FFFFFF"/>
        </w:rPr>
        <w:t xml:space="preserve"> not only adopts an incomplete system of workers’ compensation that fails to meet article XIV, section 4’s constitutional requirements, it prevents </w:t>
      </w:r>
      <w:r w:rsidRPr="005600CC">
        <w:rPr>
          <w:color w:val="000000"/>
          <w:shd w:val="clear" w:color="auto" w:fill="FFFFFF"/>
        </w:rPr>
        <w:t xml:space="preserve">the Legislature </w:t>
      </w:r>
      <w:r>
        <w:rPr>
          <w:color w:val="000000"/>
          <w:shd w:val="clear" w:color="auto" w:fill="FFFFFF"/>
        </w:rPr>
        <w:t>from acting to rectify the situation.</w:t>
      </w:r>
    </w:p>
    <w:p w14:paraId="4716E53F" w14:textId="77777777" w:rsidR="00AB000C" w:rsidRPr="00755863" w:rsidRDefault="00570B35" w:rsidP="00AB000C">
      <w:pPr>
        <w:ind w:firstLine="720"/>
        <w:rPr>
          <w:rFonts w:eastAsia="Times New Roman" w:cs="Times New Roman"/>
          <w:color w:val="000000"/>
        </w:rPr>
      </w:pPr>
      <w:r>
        <w:t>The Constitution, plainly read, prohibits all of this.</w:t>
      </w:r>
      <w:r>
        <w:t xml:space="preserve">  It is well established that article XIV, section 4, places substantive limits on </w:t>
      </w:r>
      <w:r w:rsidRPr="009C1F46">
        <w:rPr>
          <w:i/>
          <w:iCs/>
        </w:rPr>
        <w:t>any</w:t>
      </w:r>
      <w:r>
        <w:t xml:space="preserve"> exercise of </w:t>
      </w:r>
      <w:r w:rsidRPr="003C6972">
        <w:t xml:space="preserve">legislative power, whether </w:t>
      </w:r>
      <w:r>
        <w:t xml:space="preserve">exercised </w:t>
      </w:r>
      <w:r w:rsidRPr="003C6972">
        <w:t>by initiative statute or by enactment of the Legislature.</w:t>
      </w:r>
      <w:r>
        <w:t xml:space="preserve">  The definition of “complete system of workers’ compensation” </w:t>
      </w:r>
      <w:r>
        <w:t>in article XIV, section 4, tracks the statutory workers’ compensation system that existed in 1918.  As early as 1922, the Supreme Court made clear that the Legislature has no power to go beyond the pre</w:t>
      </w:r>
      <w:r>
        <w:noBreakHyphen/>
        <w:t xml:space="preserve">1918 scheme and create new elements of a “complete </w:t>
      </w:r>
      <w:r w:rsidRPr="0088618D">
        <w:t>sys</w:t>
      </w:r>
      <w:r w:rsidRPr="0088618D">
        <w:t xml:space="preserve">tem of </w:t>
      </w:r>
      <w:r w:rsidRPr="00302C46">
        <w:t>workmen’s</w:t>
      </w:r>
      <w:r w:rsidRPr="0088618D">
        <w:t xml:space="preserve"> compensation</w:t>
      </w:r>
      <w:r w:rsidRPr="00DD76CB">
        <w:t xml:space="preserve">” not mentioned in the constitutional language. </w:t>
      </w:r>
      <w:r>
        <w:t xml:space="preserve"> </w:t>
      </w:r>
      <w:r w:rsidRPr="00DD76CB">
        <w:t>(</w:t>
      </w:r>
      <w:r>
        <w:rPr>
          <w:rFonts w:eastAsia="Times New Roman" w:cs="Times New Roman"/>
          <w:i/>
          <w:iCs/>
          <w:color w:val="000000"/>
          <w:bdr w:val="none" w:sz="0" w:space="0" w:color="auto" w:frame="1"/>
        </w:rPr>
        <w:t xml:space="preserve">Yosemite </w:t>
      </w:r>
      <w:r w:rsidRPr="00C06756">
        <w:rPr>
          <w:rFonts w:eastAsia="Times New Roman" w:cs="Times New Roman"/>
          <w:i/>
          <w:iCs/>
          <w:color w:val="000000"/>
          <w:bdr w:val="none" w:sz="0" w:space="0" w:color="auto" w:frame="1"/>
        </w:rPr>
        <w:t>L</w:t>
      </w:r>
      <w:r>
        <w:rPr>
          <w:rFonts w:eastAsia="Times New Roman" w:cs="Times New Roman"/>
          <w:i/>
          <w:iCs/>
          <w:color w:val="000000"/>
          <w:bdr w:val="none" w:sz="0" w:space="0" w:color="auto" w:frame="1"/>
        </w:rPr>
        <w:t>.</w:t>
      </w:r>
      <w:r w:rsidRPr="00C06756">
        <w:rPr>
          <w:rFonts w:eastAsia="Times New Roman" w:cs="Times New Roman"/>
          <w:i/>
          <w:iCs/>
          <w:color w:val="000000"/>
          <w:bdr w:val="none" w:sz="0" w:space="0" w:color="auto" w:frame="1"/>
        </w:rPr>
        <w:t xml:space="preserve"> Co. v. Industrial Acc</w:t>
      </w:r>
      <w:r>
        <w:rPr>
          <w:rFonts w:eastAsia="Times New Roman" w:cs="Times New Roman"/>
          <w:i/>
          <w:iCs/>
          <w:color w:val="000000"/>
          <w:bdr w:val="none" w:sz="0" w:space="0" w:color="auto" w:frame="1"/>
        </w:rPr>
        <w:t xml:space="preserve">. </w:t>
      </w:r>
      <w:r w:rsidRPr="00C06756">
        <w:rPr>
          <w:rFonts w:eastAsia="Times New Roman" w:cs="Times New Roman"/>
          <w:i/>
          <w:iCs/>
          <w:color w:val="000000"/>
          <w:bdr w:val="none" w:sz="0" w:space="0" w:color="auto" w:frame="1"/>
        </w:rPr>
        <w:t>Com</w:t>
      </w:r>
      <w:r>
        <w:rPr>
          <w:rFonts w:eastAsia="Times New Roman" w:cs="Times New Roman"/>
          <w:i/>
          <w:iCs/>
          <w:color w:val="000000"/>
          <w:bdr w:val="none" w:sz="0" w:space="0" w:color="auto" w:frame="1"/>
        </w:rPr>
        <w:t>.</w:t>
      </w:r>
      <w:r w:rsidRPr="00C06756">
        <w:rPr>
          <w:rFonts w:eastAsia="Times New Roman" w:cs="Times New Roman"/>
          <w:i/>
          <w:iCs/>
          <w:color w:val="000000"/>
          <w:bdr w:val="none" w:sz="0" w:space="0" w:color="auto" w:frame="1"/>
        </w:rPr>
        <w:t xml:space="preserve"> </w:t>
      </w:r>
      <w:r w:rsidRPr="00C06756">
        <w:rPr>
          <w:rFonts w:eastAsia="Times New Roman" w:cs="Times New Roman"/>
          <w:color w:val="000000"/>
        </w:rPr>
        <w:t xml:space="preserve">(1922) </w:t>
      </w:r>
      <w:r>
        <w:rPr>
          <w:rFonts w:eastAsia="Times New Roman" w:cs="Times New Roman"/>
          <w:color w:val="000000"/>
        </w:rPr>
        <w:t>187 </w:t>
      </w:r>
      <w:r w:rsidRPr="00C06756">
        <w:rPr>
          <w:rFonts w:eastAsia="Times New Roman" w:cs="Times New Roman"/>
          <w:color w:val="000000"/>
        </w:rPr>
        <w:t>Cal. 774, 780</w:t>
      </w:r>
      <w:r>
        <w:rPr>
          <w:rFonts w:eastAsia="Times New Roman" w:cs="Times New Roman"/>
          <w:color w:val="000000"/>
        </w:rPr>
        <w:t xml:space="preserve"> (</w:t>
      </w:r>
      <w:r>
        <w:rPr>
          <w:rFonts w:eastAsia="Times New Roman" w:cs="Times New Roman"/>
          <w:i/>
          <w:iCs/>
          <w:color w:val="000000"/>
        </w:rPr>
        <w:t>Yosemite Lumber</w:t>
      </w:r>
      <w:r>
        <w:rPr>
          <w:rFonts w:eastAsia="Times New Roman" w:cs="Times New Roman"/>
          <w:color w:val="000000"/>
        </w:rPr>
        <w:t xml:space="preserve">) [construing former article XX, section 21, adopted in November 1918, later </w:t>
      </w:r>
      <w:r>
        <w:rPr>
          <w:rFonts w:eastAsia="Times New Roman" w:cs="Times New Roman"/>
          <w:color w:val="000000"/>
        </w:rPr>
        <w:t>renumbered article XIV, section 4]</w:t>
      </w:r>
      <w:r w:rsidRPr="00DD76CB">
        <w:rPr>
          <w:rFonts w:eastAsia="Times New Roman" w:cs="Times New Roman"/>
          <w:color w:val="000000"/>
        </w:rPr>
        <w:t>.)</w:t>
      </w:r>
      <w:r>
        <w:rPr>
          <w:rStyle w:val="FootnoteReference"/>
          <w:color w:val="000000"/>
          <w:shd w:val="clear" w:color="auto" w:fill="FFFFFF"/>
        </w:rPr>
        <w:footnoteReference w:id="25"/>
      </w:r>
      <w:r w:rsidRPr="00EA19E4">
        <w:rPr>
          <w:rFonts w:eastAsia="Times New Roman" w:cs="Times New Roman"/>
          <w:color w:val="000000"/>
        </w:rPr>
        <w:t xml:space="preserve">  </w:t>
      </w:r>
      <w:r w:rsidRPr="00613C7E">
        <w:rPr>
          <w:rFonts w:eastAsia="Times New Roman" w:cs="Times New Roman"/>
          <w:color w:val="000000"/>
        </w:rPr>
        <w:t>Th</w:t>
      </w:r>
      <w:r>
        <w:rPr>
          <w:rFonts w:eastAsia="Times New Roman" w:cs="Times New Roman"/>
          <w:color w:val="000000"/>
        </w:rPr>
        <w:t xml:space="preserve">at </w:t>
      </w:r>
      <w:r w:rsidRPr="00613C7E">
        <w:rPr>
          <w:rFonts w:eastAsia="Times New Roman" w:cs="Times New Roman"/>
          <w:color w:val="000000"/>
        </w:rPr>
        <w:t xml:space="preserve">foundational </w:t>
      </w:r>
      <w:r w:rsidRPr="00613C7E">
        <w:rPr>
          <w:rFonts w:eastAsia="Times New Roman" w:cs="Times New Roman"/>
          <w:color w:val="000000"/>
        </w:rPr>
        <w:lastRenderedPageBreak/>
        <w:t xml:space="preserve">limitation precludes any legislative attempt to </w:t>
      </w:r>
      <w:r>
        <w:rPr>
          <w:rFonts w:eastAsia="Times New Roman" w:cs="Times New Roman"/>
          <w:color w:val="000000"/>
        </w:rPr>
        <w:t xml:space="preserve">revise the basic outline of </w:t>
      </w:r>
      <w:r w:rsidRPr="00613C7E">
        <w:rPr>
          <w:rFonts w:eastAsia="Times New Roman" w:cs="Times New Roman"/>
          <w:color w:val="000000"/>
        </w:rPr>
        <w:t xml:space="preserve">the </w:t>
      </w:r>
      <w:r>
        <w:rPr>
          <w:rFonts w:eastAsia="Times New Roman" w:cs="Times New Roman"/>
          <w:color w:val="000000"/>
        </w:rPr>
        <w:t>constitutionally mandated scheme</w:t>
      </w:r>
      <w:r w:rsidRPr="00613C7E">
        <w:rPr>
          <w:rFonts w:eastAsia="Times New Roman" w:cs="Times New Roman"/>
          <w:color w:val="000000"/>
        </w:rPr>
        <w:t xml:space="preserve"> </w:t>
      </w:r>
      <w:r>
        <w:rPr>
          <w:rFonts w:eastAsia="Times New Roman" w:cs="Times New Roman"/>
          <w:color w:val="000000"/>
        </w:rPr>
        <w:t>for compensating workers injured or killed while engaged in “employment.”</w:t>
      </w:r>
      <w:r>
        <w:rPr>
          <w:rStyle w:val="FootnoteReference"/>
          <w:rFonts w:eastAsia="Times New Roman" w:cs="Times New Roman"/>
          <w:color w:val="000000"/>
        </w:rPr>
        <w:footnoteReference w:id="26"/>
      </w:r>
    </w:p>
    <w:p w14:paraId="546577AE" w14:textId="77777777" w:rsidR="00AB000C" w:rsidRDefault="00570B35" w:rsidP="00AB000C">
      <w:pPr>
        <w:ind w:firstLine="720"/>
        <w:rPr>
          <w:rFonts w:eastAsia="Times New Roman" w:cs="Times New Roman"/>
          <w:color w:val="000000"/>
        </w:rPr>
      </w:pPr>
      <w:r w:rsidRPr="0051562C">
        <w:rPr>
          <w:i/>
          <w:iCs/>
        </w:rPr>
        <w:t xml:space="preserve">Yosemite </w:t>
      </w:r>
      <w:r w:rsidRPr="0051562C">
        <w:rPr>
          <w:i/>
          <w:iCs/>
        </w:rPr>
        <w:t>Lumber</w:t>
      </w:r>
      <w:r>
        <w:t xml:space="preserve"> and other early cases applying this principle to what is now article XIV, section 4, have continuing force today.  In the 1970’s and 1980’s the Supreme Court confirmed that, while legislation consistent with the constitutionally mandated pre</w:t>
      </w:r>
      <w:r>
        <w:noBreakHyphen/>
        <w:t>1918 st</w:t>
      </w:r>
      <w:r>
        <w:t>atutory scheme is permissible, statutory revisions altering the “basic features” of the scheme are not.  (</w:t>
      </w:r>
      <w:r w:rsidRPr="003C6972">
        <w:rPr>
          <w:rFonts w:eastAsia="Times New Roman" w:cs="Times New Roman"/>
          <w:i/>
          <w:iCs/>
          <w:color w:val="000000"/>
          <w:bdr w:val="none" w:sz="0" w:space="0" w:color="auto" w:frame="1"/>
        </w:rPr>
        <w:t>Mathews v. Workmen</w:t>
      </w:r>
      <w:r>
        <w:rPr>
          <w:rFonts w:eastAsia="Times New Roman" w:cs="Times New Roman"/>
          <w:i/>
          <w:iCs/>
          <w:color w:val="000000"/>
          <w:bdr w:val="none" w:sz="0" w:space="0" w:color="auto" w:frame="1"/>
        </w:rPr>
        <w:t>’</w:t>
      </w:r>
      <w:r w:rsidRPr="003C6972">
        <w:rPr>
          <w:rFonts w:eastAsia="Times New Roman" w:cs="Times New Roman"/>
          <w:i/>
          <w:iCs/>
          <w:color w:val="000000"/>
          <w:bdr w:val="none" w:sz="0" w:space="0" w:color="auto" w:frame="1"/>
        </w:rPr>
        <w:t>s Comp</w:t>
      </w:r>
      <w:r>
        <w:rPr>
          <w:rFonts w:eastAsia="Times New Roman" w:cs="Times New Roman"/>
          <w:i/>
          <w:iCs/>
          <w:color w:val="000000"/>
          <w:bdr w:val="none" w:sz="0" w:space="0" w:color="auto" w:frame="1"/>
        </w:rPr>
        <w:t>.</w:t>
      </w:r>
      <w:r w:rsidRPr="003C6972">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3C6972">
        <w:rPr>
          <w:rFonts w:eastAsia="Times New Roman" w:cs="Times New Roman"/>
          <w:color w:val="000000"/>
        </w:rPr>
        <w:t>(1972) 6</w:t>
      </w:r>
      <w:r>
        <w:rPr>
          <w:rFonts w:eastAsia="Times New Roman" w:cs="Times New Roman"/>
          <w:color w:val="000000"/>
        </w:rPr>
        <w:t> </w:t>
      </w:r>
      <w:r w:rsidRPr="003C6972">
        <w:rPr>
          <w:rFonts w:eastAsia="Times New Roman" w:cs="Times New Roman"/>
          <w:color w:val="000000"/>
        </w:rPr>
        <w:t xml:space="preserve">Cal.3d 719, </w:t>
      </w:r>
      <w:r>
        <w:rPr>
          <w:rFonts w:eastAsia="Times New Roman" w:cs="Times New Roman"/>
          <w:color w:val="000000"/>
        </w:rPr>
        <w:t>734–</w:t>
      </w:r>
      <w:r w:rsidRPr="003C6972">
        <w:rPr>
          <w:rFonts w:eastAsia="Times New Roman" w:cs="Times New Roman"/>
          <w:color w:val="000000"/>
        </w:rPr>
        <w:t>735</w:t>
      </w:r>
      <w:r>
        <w:rPr>
          <w:rFonts w:eastAsia="Times New Roman" w:cs="Times New Roman"/>
          <w:color w:val="000000"/>
        </w:rPr>
        <w:t xml:space="preserve"> (</w:t>
      </w:r>
      <w:r w:rsidRPr="007639C0">
        <w:rPr>
          <w:rFonts w:eastAsia="Times New Roman" w:cs="Times New Roman"/>
          <w:i/>
          <w:iCs/>
          <w:color w:val="000000"/>
        </w:rPr>
        <w:t>Mathews</w:t>
      </w:r>
      <w:r>
        <w:rPr>
          <w:rFonts w:eastAsia="Times New Roman" w:cs="Times New Roman"/>
          <w:color w:val="000000"/>
        </w:rPr>
        <w:t>) [statute conditioning the right to compensation on the absence of willfu</w:t>
      </w:r>
      <w:r>
        <w:rPr>
          <w:rFonts w:eastAsia="Times New Roman" w:cs="Times New Roman"/>
          <w:color w:val="000000"/>
        </w:rPr>
        <w:t>l misconduct held to be valid because it was consistent with “basic features” of the pre</w:t>
      </w:r>
      <w:r>
        <w:rPr>
          <w:rFonts w:eastAsia="Times New Roman" w:cs="Times New Roman"/>
          <w:color w:val="000000"/>
        </w:rPr>
        <w:noBreakHyphen/>
        <w:t xml:space="preserve">1918 statutory scheme]; see </w:t>
      </w:r>
      <w:proofErr w:type="spellStart"/>
      <w:r w:rsidRPr="00154E0B">
        <w:rPr>
          <w:rFonts w:eastAsia="Times New Roman" w:cs="Times New Roman"/>
          <w:i/>
          <w:iCs/>
          <w:color w:val="000000"/>
          <w:bdr w:val="none" w:sz="0" w:space="0" w:color="auto" w:frame="1"/>
        </w:rPr>
        <w:t>Hustedt</w:t>
      </w:r>
      <w:proofErr w:type="spellEnd"/>
      <w:r w:rsidRPr="00154E0B">
        <w:rPr>
          <w:rFonts w:eastAsia="Times New Roman" w:cs="Times New Roman"/>
          <w:i/>
          <w:iCs/>
          <w:color w:val="000000"/>
          <w:bdr w:val="none" w:sz="0" w:space="0" w:color="auto" w:frame="1"/>
        </w:rPr>
        <w:t xml:space="preserve"> v. Workers</w:t>
      </w:r>
      <w:r>
        <w:rPr>
          <w:rFonts w:eastAsia="Times New Roman" w:cs="Times New Roman"/>
          <w:i/>
          <w:iCs/>
          <w:color w:val="000000"/>
          <w:bdr w:val="none" w:sz="0" w:space="0" w:color="auto" w:frame="1"/>
        </w:rPr>
        <w:t>’</w:t>
      </w:r>
      <w:r w:rsidRPr="00154E0B">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154E0B">
        <w:rPr>
          <w:rFonts w:eastAsia="Times New Roman" w:cs="Times New Roman"/>
          <w:i/>
          <w:iCs/>
          <w:color w:val="000000"/>
          <w:bdr w:val="none" w:sz="0" w:space="0" w:color="auto" w:frame="1"/>
        </w:rPr>
        <w:t xml:space="preserve"> </w:t>
      </w:r>
      <w:r w:rsidRPr="00154E0B">
        <w:rPr>
          <w:rFonts w:eastAsia="Times New Roman" w:cs="Times New Roman"/>
          <w:i/>
          <w:iCs/>
          <w:color w:val="000000"/>
          <w:bdr w:val="none" w:sz="0" w:space="0" w:color="auto" w:frame="1"/>
        </w:rPr>
        <w:lastRenderedPageBreak/>
        <w:t>Appeals Bd.</w:t>
      </w:r>
      <w:r>
        <w:rPr>
          <w:rFonts w:eastAsia="Times New Roman" w:cs="Times New Roman"/>
          <w:color w:val="000000"/>
        </w:rPr>
        <w:t xml:space="preserve"> </w:t>
      </w:r>
      <w:r w:rsidRPr="00154E0B">
        <w:rPr>
          <w:rFonts w:eastAsia="Times New Roman" w:cs="Times New Roman"/>
          <w:color w:val="000000"/>
        </w:rPr>
        <w:t>(1981) 30</w:t>
      </w:r>
      <w:r>
        <w:rPr>
          <w:rFonts w:eastAsia="Times New Roman" w:cs="Times New Roman"/>
          <w:color w:val="000000"/>
        </w:rPr>
        <w:t> </w:t>
      </w:r>
      <w:r w:rsidRPr="00154E0B">
        <w:rPr>
          <w:rFonts w:eastAsia="Times New Roman" w:cs="Times New Roman"/>
          <w:color w:val="000000"/>
        </w:rPr>
        <w:t>Cal.3d 329, 34</w:t>
      </w:r>
      <w:r>
        <w:rPr>
          <w:rFonts w:eastAsia="Times New Roman" w:cs="Times New Roman"/>
          <w:color w:val="000000"/>
        </w:rPr>
        <w:t xml:space="preserve">1–346 &amp; </w:t>
      </w:r>
      <w:r w:rsidRPr="00613C7E">
        <w:rPr>
          <w:rFonts w:eastAsia="Times New Roman" w:cs="Times New Roman"/>
          <w:color w:val="000000"/>
        </w:rPr>
        <w:t>fn.</w:t>
      </w:r>
      <w:r>
        <w:rPr>
          <w:rFonts w:eastAsia="Times New Roman" w:cs="Times New Roman"/>
          <w:color w:val="000000"/>
        </w:rPr>
        <w:t> </w:t>
      </w:r>
      <w:r w:rsidRPr="00613C7E">
        <w:rPr>
          <w:rFonts w:eastAsia="Times New Roman" w:cs="Times New Roman"/>
          <w:color w:val="000000"/>
        </w:rPr>
        <w:t>11</w:t>
      </w:r>
      <w:r>
        <w:rPr>
          <w:rFonts w:eastAsia="Times New Roman" w:cs="Times New Roman"/>
          <w:color w:val="000000"/>
        </w:rPr>
        <w:t xml:space="preserve"> (</w:t>
      </w:r>
      <w:proofErr w:type="spellStart"/>
      <w:r w:rsidRPr="00924EB1">
        <w:rPr>
          <w:rFonts w:eastAsia="Times New Roman" w:cs="Times New Roman"/>
          <w:i/>
          <w:iCs/>
          <w:color w:val="000000"/>
        </w:rPr>
        <w:t>Hustedt</w:t>
      </w:r>
      <w:proofErr w:type="spellEnd"/>
      <w:r w:rsidRPr="00613C7E">
        <w:rPr>
          <w:rFonts w:eastAsia="Times New Roman" w:cs="Times New Roman"/>
          <w:color w:val="000000"/>
        </w:rPr>
        <w:t>)</w:t>
      </w:r>
      <w:r>
        <w:rPr>
          <w:rFonts w:eastAsia="Times New Roman" w:cs="Times New Roman"/>
          <w:color w:val="000000"/>
        </w:rPr>
        <w:t xml:space="preserve"> [statute conferring power on Workers’ Compensation Appeals Board to discipline attorneys invalid because it was not a “basic feature” of the pre</w:t>
      </w:r>
      <w:r>
        <w:rPr>
          <w:rFonts w:eastAsia="Times New Roman" w:cs="Times New Roman"/>
          <w:color w:val="000000"/>
        </w:rPr>
        <w:noBreakHyphen/>
        <w:t>1918 statutory scheme].</w:t>
      </w:r>
      <w:r w:rsidRPr="00613C7E">
        <w:rPr>
          <w:rFonts w:eastAsia="Times New Roman" w:cs="Times New Roman"/>
          <w:color w:val="000000"/>
        </w:rPr>
        <w:t>)</w:t>
      </w:r>
    </w:p>
    <w:p w14:paraId="53AD273A" w14:textId="77777777" w:rsidR="00AB000C" w:rsidRDefault="00570B35" w:rsidP="00AB000C">
      <w:pPr>
        <w:ind w:firstLine="720"/>
      </w:pPr>
      <w:r>
        <w:t xml:space="preserve">Of course, </w:t>
      </w:r>
      <w:proofErr w:type="gramStart"/>
      <w:r>
        <w:t>“ ‘</w:t>
      </w:r>
      <w:proofErr w:type="gramEnd"/>
      <w:r>
        <w:t>[a] statute cannot trump the Constitution.’ ”  (</w:t>
      </w:r>
      <w:r>
        <w:rPr>
          <w:i/>
          <w:iCs/>
        </w:rPr>
        <w:t>City of San Diego v. Sh</w:t>
      </w:r>
      <w:r>
        <w:rPr>
          <w:i/>
          <w:iCs/>
        </w:rPr>
        <w:t xml:space="preserve">apiro </w:t>
      </w:r>
      <w:r>
        <w:t xml:space="preserve">(2014) 228 Cal.App.4th 756, 788.)  </w:t>
      </w:r>
      <w:r>
        <w:rPr>
          <w:rFonts w:eastAsia="Times New Roman" w:cs="Times New Roman"/>
          <w:color w:val="000000"/>
        </w:rPr>
        <w:t>“[O]</w:t>
      </w:r>
      <w:proofErr w:type="spellStart"/>
      <w:r>
        <w:rPr>
          <w:rFonts w:eastAsia="Times New Roman" w:cs="Times New Roman"/>
          <w:color w:val="000000"/>
        </w:rPr>
        <w:t>ur</w:t>
      </w:r>
      <w:proofErr w:type="spellEnd"/>
      <w:r>
        <w:rPr>
          <w:rFonts w:eastAsia="Times New Roman" w:cs="Times New Roman"/>
          <w:color w:val="000000"/>
        </w:rPr>
        <w:t xml:space="preserve"> state Constitution is the highest expression of the will of the people acting in their sovereign capacity as to matters of state law.  When the Constitution speaks plainly on a particular matter, it must be g</w:t>
      </w:r>
      <w:r>
        <w:rPr>
          <w:rFonts w:eastAsia="Times New Roman" w:cs="Times New Roman"/>
          <w:color w:val="000000"/>
        </w:rPr>
        <w:t>iven effect as the paramount law of the state.”  (</w:t>
      </w:r>
      <w:r>
        <w:rPr>
          <w:rFonts w:eastAsia="Times New Roman" w:cs="Times New Roman"/>
          <w:i/>
          <w:iCs/>
          <w:color w:val="000000"/>
        </w:rPr>
        <w:t xml:space="preserve">Playboy Enterprises, Inc. v. Superior Court </w:t>
      </w:r>
      <w:r>
        <w:rPr>
          <w:rFonts w:eastAsia="Times New Roman" w:cs="Times New Roman"/>
          <w:color w:val="000000"/>
        </w:rPr>
        <w:t xml:space="preserve">(1984) 154 Cal.App.3d 14, 28, citing </w:t>
      </w:r>
      <w:r w:rsidRPr="00A51DF4">
        <w:rPr>
          <w:rFonts w:eastAsia="Times New Roman" w:cs="Times New Roman"/>
          <w:i/>
          <w:iCs/>
          <w:color w:val="000000"/>
        </w:rPr>
        <w:t>Ex</w:t>
      </w:r>
      <w:r>
        <w:rPr>
          <w:rFonts w:eastAsia="Times New Roman" w:cs="Times New Roman"/>
          <w:i/>
          <w:iCs/>
          <w:color w:val="000000"/>
        </w:rPr>
        <w:t> </w:t>
      </w:r>
      <w:proofErr w:type="spellStart"/>
      <w:r w:rsidRPr="00A51DF4">
        <w:rPr>
          <w:rFonts w:eastAsia="Times New Roman" w:cs="Times New Roman"/>
          <w:i/>
          <w:iCs/>
          <w:color w:val="000000"/>
        </w:rPr>
        <w:t>Parte</w:t>
      </w:r>
      <w:proofErr w:type="spellEnd"/>
      <w:r w:rsidRPr="00A51DF4">
        <w:rPr>
          <w:rFonts w:eastAsia="Times New Roman" w:cs="Times New Roman"/>
          <w:i/>
          <w:iCs/>
          <w:color w:val="000000"/>
        </w:rPr>
        <w:t xml:space="preserve"> Braun</w:t>
      </w:r>
      <w:r w:rsidRPr="00C42D37">
        <w:rPr>
          <w:rFonts w:eastAsia="Times New Roman" w:cs="Times New Roman"/>
          <w:color w:val="000000"/>
        </w:rPr>
        <w:t xml:space="preserve"> (1903) 141</w:t>
      </w:r>
      <w:r>
        <w:rPr>
          <w:rFonts w:eastAsia="Times New Roman" w:cs="Times New Roman"/>
          <w:color w:val="000000"/>
        </w:rPr>
        <w:t> </w:t>
      </w:r>
      <w:r w:rsidRPr="00C42D37">
        <w:rPr>
          <w:rFonts w:eastAsia="Times New Roman" w:cs="Times New Roman"/>
          <w:color w:val="000000"/>
        </w:rPr>
        <w:t xml:space="preserve">Cal. 204, 211; </w:t>
      </w:r>
      <w:r w:rsidRPr="00A51DF4">
        <w:rPr>
          <w:rFonts w:eastAsia="Times New Roman" w:cs="Times New Roman"/>
          <w:i/>
          <w:iCs/>
          <w:color w:val="000000"/>
        </w:rPr>
        <w:t>People v. Parks</w:t>
      </w:r>
      <w:r w:rsidRPr="00C42D37">
        <w:rPr>
          <w:rFonts w:eastAsia="Times New Roman" w:cs="Times New Roman"/>
          <w:color w:val="000000"/>
        </w:rPr>
        <w:t xml:space="preserve"> (1881) 58</w:t>
      </w:r>
      <w:r>
        <w:rPr>
          <w:rFonts w:eastAsia="Times New Roman" w:cs="Times New Roman"/>
          <w:color w:val="000000"/>
        </w:rPr>
        <w:t> </w:t>
      </w:r>
      <w:r w:rsidRPr="00C42D37">
        <w:rPr>
          <w:rFonts w:eastAsia="Times New Roman" w:cs="Times New Roman"/>
          <w:color w:val="000000"/>
        </w:rPr>
        <w:t xml:space="preserve">Cal. 624, 635; </w:t>
      </w:r>
      <w:r w:rsidRPr="00A51DF4">
        <w:rPr>
          <w:rFonts w:eastAsia="Times New Roman" w:cs="Times New Roman"/>
          <w:i/>
          <w:iCs/>
          <w:color w:val="000000"/>
        </w:rPr>
        <w:t>Dye v. Council of the City of Compton</w:t>
      </w:r>
      <w:r w:rsidRPr="00C42D37">
        <w:rPr>
          <w:rFonts w:eastAsia="Times New Roman" w:cs="Times New Roman"/>
          <w:color w:val="000000"/>
        </w:rPr>
        <w:t xml:space="preserve"> (1947</w:t>
      </w:r>
      <w:r w:rsidRPr="00C42D37">
        <w:rPr>
          <w:rFonts w:eastAsia="Times New Roman" w:cs="Times New Roman"/>
          <w:color w:val="000000"/>
        </w:rPr>
        <w:t>) 80</w:t>
      </w:r>
      <w:r>
        <w:rPr>
          <w:rFonts w:eastAsia="Times New Roman" w:cs="Times New Roman"/>
          <w:color w:val="000000"/>
        </w:rPr>
        <w:t> </w:t>
      </w:r>
      <w:r w:rsidRPr="00C42D37">
        <w:rPr>
          <w:rFonts w:eastAsia="Times New Roman" w:cs="Times New Roman"/>
          <w:color w:val="000000"/>
        </w:rPr>
        <w:t xml:space="preserve">Cal.App.2d 486, 490; </w:t>
      </w:r>
      <w:r w:rsidRPr="00A51DF4">
        <w:rPr>
          <w:rFonts w:eastAsia="Times New Roman" w:cs="Times New Roman"/>
          <w:i/>
          <w:iCs/>
          <w:color w:val="000000"/>
        </w:rPr>
        <w:t xml:space="preserve">McMillan v. </w:t>
      </w:r>
      <w:proofErr w:type="spellStart"/>
      <w:r w:rsidRPr="00A51DF4">
        <w:rPr>
          <w:rFonts w:eastAsia="Times New Roman" w:cs="Times New Roman"/>
          <w:i/>
          <w:iCs/>
          <w:color w:val="000000"/>
        </w:rPr>
        <w:t>Siemon</w:t>
      </w:r>
      <w:proofErr w:type="spellEnd"/>
      <w:r w:rsidRPr="00C42D37">
        <w:rPr>
          <w:rFonts w:eastAsia="Times New Roman" w:cs="Times New Roman"/>
          <w:color w:val="000000"/>
        </w:rPr>
        <w:t xml:space="preserve"> (1940) 36</w:t>
      </w:r>
      <w:r>
        <w:rPr>
          <w:rFonts w:eastAsia="Times New Roman" w:cs="Times New Roman"/>
          <w:color w:val="000000"/>
        </w:rPr>
        <w:t> </w:t>
      </w:r>
      <w:r w:rsidRPr="00C42D37">
        <w:rPr>
          <w:rFonts w:eastAsia="Times New Roman" w:cs="Times New Roman"/>
          <w:color w:val="000000"/>
        </w:rPr>
        <w:t>Cal.App.2d 721, 725.)</w:t>
      </w:r>
      <w:r>
        <w:rPr>
          <w:rFonts w:eastAsia="Times New Roman" w:cs="Times New Roman"/>
          <w:color w:val="000000"/>
        </w:rPr>
        <w:t xml:space="preserve">  </w:t>
      </w:r>
      <w:r>
        <w:t>Thus, voter electors legislating by initiative, and the Legislature enacting statutes, can only act within the powers afforded to them by the people in article XIV, section 4.</w:t>
      </w:r>
      <w:r>
        <w:rPr>
          <w:rStyle w:val="FootnoteReference"/>
        </w:rPr>
        <w:footnoteReference w:id="27"/>
      </w:r>
    </w:p>
    <w:p w14:paraId="34C6ADD1" w14:textId="77777777" w:rsidR="00AB000C" w:rsidRDefault="00570B35" w:rsidP="00AB000C">
      <w:pPr>
        <w:ind w:firstLine="720"/>
        <w:rPr>
          <w:color w:val="000000"/>
          <w:shd w:val="clear" w:color="auto" w:fill="FFFFFF"/>
        </w:rPr>
      </w:pPr>
      <w:r>
        <w:rPr>
          <w:color w:val="000000"/>
          <w:shd w:val="clear" w:color="auto" w:fill="FFFFFF"/>
        </w:rPr>
        <w:lastRenderedPageBreak/>
        <w:t>What this means here, as a practical matter, is that there is a minimum constitutional baseline to our workers’ compensation system no statute can go below.  If, after adoption of article XIV, section 4—which codified in the Constitution itself what a “co</w:t>
      </w:r>
      <w:r>
        <w:rPr>
          <w:color w:val="000000"/>
          <w:shd w:val="clear" w:color="auto" w:fill="FFFFFF"/>
        </w:rPr>
        <w:t xml:space="preserve">mplete system of workers’ compensation” meant prior to 1918—the Legislature had </w:t>
      </w:r>
      <w:r w:rsidRPr="001238A5">
        <w:rPr>
          <w:color w:val="000000"/>
          <w:shd w:val="clear" w:color="auto" w:fill="FFFFFF"/>
        </w:rPr>
        <w:t>attempted to create</w:t>
      </w:r>
      <w:r>
        <w:rPr>
          <w:color w:val="000000"/>
          <w:shd w:val="clear" w:color="auto" w:fill="FFFFFF"/>
        </w:rPr>
        <w:t xml:space="preserve"> a different </w:t>
      </w:r>
      <w:r w:rsidRPr="00390A73">
        <w:rPr>
          <w:color w:val="000000"/>
          <w:shd w:val="clear" w:color="auto" w:fill="FFFFFF"/>
        </w:rPr>
        <w:t xml:space="preserve">statutory </w:t>
      </w:r>
      <w:r>
        <w:rPr>
          <w:color w:val="000000"/>
          <w:shd w:val="clear" w:color="auto" w:fill="FFFFFF"/>
        </w:rPr>
        <w:t xml:space="preserve">scheme by lopping off some of </w:t>
      </w:r>
      <w:r w:rsidRPr="00390A73">
        <w:rPr>
          <w:color w:val="000000"/>
          <w:shd w:val="clear" w:color="auto" w:fill="FFFFFF"/>
        </w:rPr>
        <w:t>the “basic features” of th</w:t>
      </w:r>
      <w:r>
        <w:rPr>
          <w:color w:val="000000"/>
          <w:shd w:val="clear" w:color="auto" w:fill="FFFFFF"/>
        </w:rPr>
        <w:t xml:space="preserve">at </w:t>
      </w:r>
      <w:r w:rsidRPr="00390A73">
        <w:rPr>
          <w:color w:val="000000"/>
          <w:shd w:val="clear" w:color="auto" w:fill="FFFFFF"/>
        </w:rPr>
        <w:t>system</w:t>
      </w:r>
      <w:r>
        <w:rPr>
          <w:color w:val="000000"/>
          <w:shd w:val="clear" w:color="auto" w:fill="FFFFFF"/>
        </w:rPr>
        <w:t xml:space="preserve"> </w:t>
      </w:r>
      <w:r w:rsidRPr="00390A73">
        <w:rPr>
          <w:shd w:val="clear" w:color="auto" w:fill="FFFFFF"/>
        </w:rPr>
        <w:t>(</w:t>
      </w:r>
      <w:r w:rsidRPr="00390A73">
        <w:rPr>
          <w:i/>
          <w:iCs/>
          <w:shd w:val="clear" w:color="auto" w:fill="FFFFFF"/>
        </w:rPr>
        <w:t>Mathews</w:t>
      </w:r>
      <w:r w:rsidRPr="00390A73">
        <w:rPr>
          <w:shd w:val="clear" w:color="auto" w:fill="FFFFFF"/>
        </w:rPr>
        <w:t xml:space="preserve">, </w:t>
      </w:r>
      <w:r w:rsidRPr="00390A73">
        <w:rPr>
          <w:i/>
          <w:iCs/>
          <w:shd w:val="clear" w:color="auto" w:fill="FFFFFF"/>
        </w:rPr>
        <w:t>supra</w:t>
      </w:r>
      <w:r w:rsidRPr="00390A73">
        <w:rPr>
          <w:shd w:val="clear" w:color="auto" w:fill="FFFFFF"/>
        </w:rPr>
        <w:t xml:space="preserve">, </w:t>
      </w:r>
      <w:r w:rsidRPr="00390A73">
        <w:rPr>
          <w:rFonts w:eastAsia="Times New Roman" w:cs="Times New Roman"/>
        </w:rPr>
        <w:t>6</w:t>
      </w:r>
      <w:r>
        <w:rPr>
          <w:rFonts w:eastAsia="Times New Roman" w:cs="Times New Roman"/>
        </w:rPr>
        <w:t> </w:t>
      </w:r>
      <w:r w:rsidRPr="00390A73">
        <w:rPr>
          <w:rFonts w:eastAsia="Times New Roman" w:cs="Times New Roman"/>
        </w:rPr>
        <w:t>Cal.3d at p.</w:t>
      </w:r>
      <w:r>
        <w:rPr>
          <w:rFonts w:eastAsia="Times New Roman" w:cs="Times New Roman"/>
        </w:rPr>
        <w:t> </w:t>
      </w:r>
      <w:r w:rsidRPr="00390A73">
        <w:rPr>
          <w:rFonts w:eastAsia="Times New Roman" w:cs="Times New Roman"/>
        </w:rPr>
        <w:t>735)</w:t>
      </w:r>
      <w:r w:rsidRPr="00390A73">
        <w:rPr>
          <w:color w:val="000000"/>
          <w:shd w:val="clear" w:color="auto" w:fill="FFFFFF"/>
        </w:rPr>
        <w:t>, the statute</w:t>
      </w:r>
      <w:r>
        <w:rPr>
          <w:color w:val="000000"/>
          <w:shd w:val="clear" w:color="auto" w:fill="FFFFFF"/>
        </w:rPr>
        <w:t xml:space="preserve"> would have been in</w:t>
      </w:r>
      <w:r>
        <w:rPr>
          <w:color w:val="000000"/>
          <w:shd w:val="clear" w:color="auto" w:fill="FFFFFF"/>
        </w:rPr>
        <w:t xml:space="preserve">valid.  </w:t>
      </w:r>
      <w:r w:rsidRPr="00390A73">
        <w:rPr>
          <w:color w:val="000000"/>
          <w:shd w:val="clear" w:color="auto" w:fill="FFFFFF"/>
        </w:rPr>
        <w:t>Nothing could be more “basic” to the system of workers</w:t>
      </w:r>
      <w:r>
        <w:rPr>
          <w:color w:val="000000"/>
          <w:shd w:val="clear" w:color="auto" w:fill="FFFFFF"/>
        </w:rPr>
        <w:t>’</w:t>
      </w:r>
      <w:r w:rsidRPr="00390A73">
        <w:rPr>
          <w:color w:val="000000"/>
          <w:shd w:val="clear" w:color="auto" w:fill="FFFFFF"/>
        </w:rPr>
        <w:t xml:space="preserve"> compensation than the scope of the </w:t>
      </w:r>
      <w:r>
        <w:rPr>
          <w:color w:val="000000"/>
          <w:shd w:val="clear" w:color="auto" w:fill="FFFFFF"/>
        </w:rPr>
        <w:t>“</w:t>
      </w:r>
      <w:r w:rsidRPr="00390A73">
        <w:rPr>
          <w:color w:val="000000"/>
          <w:shd w:val="clear" w:color="auto" w:fill="FFFFFF"/>
        </w:rPr>
        <w:t>employ</w:t>
      </w:r>
      <w:r>
        <w:rPr>
          <w:color w:val="000000"/>
          <w:shd w:val="clear" w:color="auto" w:fill="FFFFFF"/>
        </w:rPr>
        <w:t xml:space="preserve">ment” </w:t>
      </w:r>
      <w:r w:rsidRPr="00390A73">
        <w:rPr>
          <w:color w:val="000000"/>
          <w:shd w:val="clear" w:color="auto" w:fill="FFFFFF"/>
        </w:rPr>
        <w:t>relationship.  Because Proposition</w:t>
      </w:r>
      <w:r>
        <w:rPr>
          <w:color w:val="000000"/>
          <w:shd w:val="clear" w:color="auto" w:fill="FFFFFF"/>
        </w:rPr>
        <w:t> </w:t>
      </w:r>
      <w:r w:rsidRPr="00390A73">
        <w:rPr>
          <w:color w:val="000000"/>
          <w:shd w:val="clear" w:color="auto" w:fill="FFFFFF"/>
        </w:rPr>
        <w:t xml:space="preserve">22 attempts to redefine </w:t>
      </w:r>
      <w:r>
        <w:rPr>
          <w:color w:val="000000"/>
          <w:shd w:val="clear" w:color="auto" w:fill="FFFFFF"/>
        </w:rPr>
        <w:t xml:space="preserve">that term </w:t>
      </w:r>
      <w:r w:rsidRPr="00390A73">
        <w:rPr>
          <w:shd w:val="clear" w:color="auto" w:fill="FFFFFF"/>
        </w:rPr>
        <w:t xml:space="preserve">in a manner </w:t>
      </w:r>
      <w:r>
        <w:rPr>
          <w:shd w:val="clear" w:color="auto" w:fill="FFFFFF"/>
        </w:rPr>
        <w:t xml:space="preserve">that is contrary to the laws of </w:t>
      </w:r>
      <w:r w:rsidRPr="00390A73">
        <w:rPr>
          <w:shd w:val="clear" w:color="auto" w:fill="FFFFFF"/>
        </w:rPr>
        <w:t>workplace accident protection a</w:t>
      </w:r>
      <w:r w:rsidRPr="00390A73">
        <w:rPr>
          <w:shd w:val="clear" w:color="auto" w:fill="FFFFFF"/>
        </w:rPr>
        <w:t>s “those laws</w:t>
      </w:r>
      <w:r>
        <w:rPr>
          <w:shd w:val="clear" w:color="auto" w:fill="FFFFFF"/>
        </w:rPr>
        <w:t xml:space="preserve"> . . . </w:t>
      </w:r>
      <w:r w:rsidRPr="00390A73">
        <w:rPr>
          <w:shd w:val="clear" w:color="auto" w:fill="FFFFFF"/>
        </w:rPr>
        <w:t>have existed since 1911” (</w:t>
      </w:r>
      <w:r w:rsidRPr="0068358C">
        <w:rPr>
          <w:i/>
          <w:iCs/>
          <w:shd w:val="clear" w:color="auto" w:fill="FFFFFF"/>
        </w:rPr>
        <w:t>Mathews</w:t>
      </w:r>
      <w:r>
        <w:rPr>
          <w:shd w:val="clear" w:color="auto" w:fill="FFFFFF"/>
        </w:rPr>
        <w:t xml:space="preserve">, </w:t>
      </w:r>
      <w:r w:rsidRPr="00390A73">
        <w:rPr>
          <w:rFonts w:eastAsia="Times New Roman" w:cs="Times New Roman"/>
        </w:rPr>
        <w:t>at p.</w:t>
      </w:r>
      <w:r>
        <w:rPr>
          <w:rFonts w:eastAsia="Times New Roman" w:cs="Times New Roman"/>
        </w:rPr>
        <w:t> </w:t>
      </w:r>
      <w:r w:rsidRPr="00390A73">
        <w:rPr>
          <w:rFonts w:eastAsia="Times New Roman" w:cs="Times New Roman"/>
        </w:rPr>
        <w:t>735)</w:t>
      </w:r>
      <w:r w:rsidRPr="00390A73">
        <w:rPr>
          <w:shd w:val="clear" w:color="auto" w:fill="FFFFFF"/>
        </w:rPr>
        <w:t>, I believe it is unconstitutional</w:t>
      </w:r>
      <w:r w:rsidRPr="00390A73">
        <w:rPr>
          <w:color w:val="000000"/>
          <w:shd w:val="clear" w:color="auto" w:fill="FFFFFF"/>
        </w:rPr>
        <w:t>.</w:t>
      </w:r>
    </w:p>
    <w:p w14:paraId="45070B49" w14:textId="77777777" w:rsidR="00AB000C" w:rsidRPr="00EA1857" w:rsidRDefault="00570B35" w:rsidP="00AB000C">
      <w:pPr>
        <w:keepNext/>
        <w:tabs>
          <w:tab w:val="left" w:pos="360"/>
        </w:tabs>
        <w:spacing w:before="120" w:after="120" w:line="240" w:lineRule="auto"/>
        <w:ind w:left="720" w:hanging="720"/>
        <w:rPr>
          <w:b/>
        </w:rPr>
      </w:pPr>
      <w:r w:rsidRPr="00EA1857">
        <w:rPr>
          <w:b/>
          <w:bCs/>
        </w:rPr>
        <w:tab/>
      </w:r>
      <w:r w:rsidRPr="00BD4483">
        <w:rPr>
          <w:b/>
        </w:rPr>
        <w:t>B.</w:t>
      </w:r>
      <w:r w:rsidRPr="00BD4483">
        <w:rPr>
          <w:b/>
        </w:rPr>
        <w:tab/>
      </w:r>
      <w:r w:rsidRPr="00BD4483">
        <w:rPr>
          <w:b/>
          <w:i/>
        </w:rPr>
        <w:t>Article XIV, Section 4, Has Continuing Vitality Today</w:t>
      </w:r>
    </w:p>
    <w:p w14:paraId="3A48B9A0" w14:textId="77777777" w:rsidR="00AB000C" w:rsidRDefault="00570B35" w:rsidP="00AB000C">
      <w:pPr>
        <w:ind w:firstLine="720"/>
      </w:pPr>
      <w:r w:rsidRPr="008A2325">
        <w:t>Insisting upon a narrow reading that gives article XIV, section</w:t>
      </w:r>
      <w:r>
        <w:t> </w:t>
      </w:r>
      <w:r w:rsidRPr="008A2325">
        <w:t>4</w:t>
      </w:r>
      <w:r>
        <w:t>,</w:t>
      </w:r>
      <w:r w:rsidRPr="008A2325">
        <w:t xml:space="preserve"> no </w:t>
      </w:r>
      <w:r>
        <w:t xml:space="preserve">contemporary </w:t>
      </w:r>
      <w:r w:rsidRPr="008A2325">
        <w:t>substance</w:t>
      </w:r>
      <w:r>
        <w:t xml:space="preserve"> at all, </w:t>
      </w:r>
      <w:r w:rsidRPr="008A2325">
        <w:t>the Attorney General and the interven</w:t>
      </w:r>
      <w:r>
        <w:t>e</w:t>
      </w:r>
      <w:r w:rsidRPr="008A2325">
        <w:t xml:space="preserve">rs </w:t>
      </w:r>
      <w:r>
        <w:t xml:space="preserve">(collectively, the Proposition 22 proponents) </w:t>
      </w:r>
      <w:r w:rsidRPr="008A2325">
        <w:lastRenderedPageBreak/>
        <w:t xml:space="preserve">cite </w:t>
      </w:r>
      <w:r w:rsidRPr="008A2325">
        <w:rPr>
          <w:i/>
          <w:iCs/>
        </w:rPr>
        <w:t>Mathews</w:t>
      </w:r>
      <w:r w:rsidRPr="008A2325">
        <w:t xml:space="preserve"> for the idea that the </w:t>
      </w:r>
      <w:r>
        <w:t xml:space="preserve">only </w:t>
      </w:r>
      <w:r w:rsidRPr="008A2325">
        <w:t xml:space="preserve">purpose of </w:t>
      </w:r>
      <w:r>
        <w:t>a</w:t>
      </w:r>
      <w:r w:rsidRPr="008A2325">
        <w:t>rticle XIV, section</w:t>
      </w:r>
      <w:r>
        <w:t> </w:t>
      </w:r>
      <w:r w:rsidRPr="008A2325">
        <w:t>4</w:t>
      </w:r>
      <w:r>
        <w:t>,</w:t>
      </w:r>
      <w:r w:rsidRPr="008A2325">
        <w:t xml:space="preserve"> was to provide constitutional armor against</w:t>
      </w:r>
      <w:r>
        <w:t xml:space="preserve"> judicial invalidation by </w:t>
      </w:r>
      <w:r w:rsidRPr="00DC3321">
        <w:rPr>
          <w:i/>
          <w:iCs/>
        </w:rPr>
        <w:t>Lochner</w:t>
      </w:r>
      <w:r>
        <w:t xml:space="preserve"> era courts.</w:t>
      </w:r>
      <w:r>
        <w:rPr>
          <w:rStyle w:val="FootnoteReference"/>
          <w:color w:val="000000"/>
          <w:shd w:val="clear" w:color="auto" w:fill="FFFFFF"/>
        </w:rPr>
        <w:footnoteReference w:id="28"/>
      </w:r>
      <w:r>
        <w:rPr>
          <w:color w:val="000000"/>
          <w:shd w:val="clear" w:color="auto" w:fill="FFFFFF"/>
        </w:rPr>
        <w:t xml:space="preserve">  While there is a grain of truth to this line of argument, </w:t>
      </w:r>
      <w:r w:rsidRPr="008A2325">
        <w:t xml:space="preserve">the </w:t>
      </w:r>
      <w:r>
        <w:t>Proposition 22 proponents take the idea too far.  O</w:t>
      </w:r>
      <w:r>
        <w:rPr>
          <w:color w:val="000000"/>
          <w:shd w:val="clear" w:color="auto" w:fill="FFFFFF"/>
        </w:rPr>
        <w:t>ur Supreme Court has indeed recognized t</w:t>
      </w:r>
      <w:r w:rsidRPr="00006455">
        <w:rPr>
          <w:color w:val="000000"/>
          <w:shd w:val="clear" w:color="auto" w:fill="FFFFFF"/>
        </w:rPr>
        <w:t xml:space="preserve">hat </w:t>
      </w:r>
      <w:r>
        <w:rPr>
          <w:color w:val="000000"/>
          <w:shd w:val="clear" w:color="auto" w:fill="FFFFFF"/>
        </w:rPr>
        <w:t>the “sole purpose” of article XIV, section 4, was to put to rest “all doubts” about</w:t>
      </w:r>
      <w:r>
        <w:rPr>
          <w:color w:val="000000"/>
          <w:shd w:val="clear" w:color="auto" w:fill="FFFFFF"/>
        </w:rPr>
        <w:t xml:space="preserve"> the constitutionality of the existing statutory workers’ compensation scheme in 1918.  </w:t>
      </w:r>
      <w:r w:rsidRPr="00006455">
        <w:t>(</w:t>
      </w:r>
      <w:r w:rsidRPr="00006455">
        <w:rPr>
          <w:i/>
          <w:iCs/>
        </w:rPr>
        <w:t>Mathews</w:t>
      </w:r>
      <w:r w:rsidRPr="00006455">
        <w:t xml:space="preserve">, </w:t>
      </w:r>
      <w:r w:rsidRPr="00006455">
        <w:rPr>
          <w:i/>
          <w:iCs/>
        </w:rPr>
        <w:t>supra</w:t>
      </w:r>
      <w:r w:rsidRPr="00006455">
        <w:t>, 6</w:t>
      </w:r>
      <w:r>
        <w:t> </w:t>
      </w:r>
      <w:r w:rsidRPr="00006455">
        <w:t>Cal.3d at p.</w:t>
      </w:r>
      <w:r>
        <w:t> </w:t>
      </w:r>
      <w:r w:rsidRPr="00006455">
        <w:t xml:space="preserve">734; </w:t>
      </w:r>
      <w:r w:rsidRPr="00006455">
        <w:rPr>
          <w:rFonts w:eastAsia="Times New Roman" w:cs="Times New Roman"/>
          <w:i/>
          <w:iCs/>
          <w:color w:val="000000"/>
          <w:bdr w:val="none" w:sz="0" w:space="0" w:color="auto" w:frame="1"/>
        </w:rPr>
        <w:t>City and County of San Francisco v. Workers</w:t>
      </w:r>
      <w:r>
        <w:rPr>
          <w:rFonts w:eastAsia="Times New Roman" w:cs="Times New Roman"/>
          <w:i/>
          <w:iCs/>
          <w:color w:val="000000"/>
          <w:bdr w:val="none" w:sz="0" w:space="0" w:color="auto" w:frame="1"/>
        </w:rPr>
        <w:t>’</w:t>
      </w:r>
      <w:r w:rsidRPr="00006455">
        <w:rPr>
          <w:rFonts w:eastAsia="Times New Roman" w:cs="Times New Roman"/>
          <w:i/>
          <w:iCs/>
          <w:color w:val="000000"/>
          <w:bdr w:val="none" w:sz="0" w:space="0" w:color="auto" w:frame="1"/>
        </w:rPr>
        <w:t xml:space="preserve"> Comp</w:t>
      </w:r>
      <w:r>
        <w:rPr>
          <w:rFonts w:eastAsia="Times New Roman" w:cs="Times New Roman"/>
          <w:i/>
          <w:iCs/>
          <w:color w:val="000000"/>
          <w:bdr w:val="none" w:sz="0" w:space="0" w:color="auto" w:frame="1"/>
        </w:rPr>
        <w:t>.</w:t>
      </w:r>
      <w:r w:rsidRPr="00006455">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006455">
        <w:rPr>
          <w:rFonts w:eastAsia="Times New Roman" w:cs="Times New Roman"/>
          <w:color w:val="000000"/>
        </w:rPr>
        <w:t>(1978) 22</w:t>
      </w:r>
      <w:r>
        <w:rPr>
          <w:rFonts w:eastAsia="Times New Roman" w:cs="Times New Roman"/>
          <w:color w:val="000000"/>
        </w:rPr>
        <w:t> </w:t>
      </w:r>
      <w:r w:rsidRPr="00006455">
        <w:rPr>
          <w:rFonts w:eastAsia="Times New Roman" w:cs="Times New Roman"/>
          <w:color w:val="000000"/>
        </w:rPr>
        <w:t>Cal.3d 103, 114</w:t>
      </w:r>
      <w:r>
        <w:t xml:space="preserve">.)  But the </w:t>
      </w:r>
      <w:r w:rsidRPr="006315FC">
        <w:rPr>
          <w:i/>
          <w:iCs/>
        </w:rPr>
        <w:t>Mathews</w:t>
      </w:r>
      <w:r>
        <w:t xml:space="preserve"> court said nothing </w:t>
      </w:r>
      <w:r w:rsidRPr="007E098F">
        <w:t xml:space="preserve">about </w:t>
      </w:r>
      <w:r w:rsidRPr="007E098F">
        <w:rPr>
          <w:i/>
          <w:iCs/>
        </w:rPr>
        <w:t>Lochner</w:t>
      </w:r>
      <w:r w:rsidRPr="007E098F">
        <w:t xml:space="preserve"> or </w:t>
      </w:r>
      <w:proofErr w:type="spellStart"/>
      <w:r w:rsidRPr="007E098F">
        <w:rPr>
          <w:i/>
          <w:iCs/>
        </w:rPr>
        <w:t>Lochnerism</w:t>
      </w:r>
      <w:proofErr w:type="spellEnd"/>
      <w:r>
        <w:t>, and understandably so, because there is considerably more to the origin story of article XIV, section 4, than that.</w:t>
      </w:r>
    </w:p>
    <w:p w14:paraId="1305FB41" w14:textId="77777777" w:rsidR="00AB000C" w:rsidRDefault="00570B35" w:rsidP="00AB000C">
      <w:pPr>
        <w:ind w:firstLine="720"/>
      </w:pPr>
      <w:r>
        <w:t xml:space="preserve">For proper perspective, some historical background is necessary.  </w:t>
      </w:r>
      <w:r w:rsidRPr="00724CE2">
        <w:t xml:space="preserve">By 1918, </w:t>
      </w:r>
      <w:r>
        <w:t xml:space="preserve">our </w:t>
      </w:r>
      <w:r w:rsidRPr="00724CE2">
        <w:t xml:space="preserve">Legislature </w:t>
      </w:r>
      <w:r w:rsidRPr="00724CE2">
        <w:t xml:space="preserve">had passed </w:t>
      </w:r>
      <w:r>
        <w:t xml:space="preserve">three </w:t>
      </w:r>
      <w:r w:rsidRPr="00724CE2">
        <w:t xml:space="preserve">versions of </w:t>
      </w:r>
      <w:r>
        <w:t>a</w:t>
      </w:r>
      <w:r w:rsidRPr="00724CE2">
        <w:t xml:space="preserve"> statutory workers</w:t>
      </w:r>
      <w:r>
        <w:t>’</w:t>
      </w:r>
      <w:r w:rsidRPr="00724CE2">
        <w:t xml:space="preserve"> compensation scheme</w:t>
      </w:r>
      <w:r>
        <w:t>, each building on the last one in sequence.  These schemes—which were viewed as “radical,” even “revolutionary,” at the time (</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sidRPr="006304E8">
        <w:rPr>
          <w:rFonts w:eastAsia="Times New Roman" w:cs="Times New Roman"/>
          <w:i/>
          <w:iCs/>
          <w:color w:val="000000"/>
          <w:bdr w:val="none" w:sz="0" w:space="0" w:color="auto" w:frame="1"/>
        </w:rPr>
        <w:t xml:space="preserve"> Co. v. Pillsbury</w:t>
      </w:r>
      <w:r>
        <w:rPr>
          <w:rFonts w:eastAsia="Times New Roman" w:cs="Times New Roman"/>
          <w:color w:val="000000"/>
        </w:rPr>
        <w:t xml:space="preserve"> </w:t>
      </w:r>
      <w:r w:rsidRPr="006304E8">
        <w:rPr>
          <w:rFonts w:eastAsia="Times New Roman" w:cs="Times New Roman"/>
          <w:color w:val="000000"/>
        </w:rPr>
        <w:t>(1915) 170</w:t>
      </w:r>
      <w:r>
        <w:rPr>
          <w:rFonts w:eastAsia="Times New Roman" w:cs="Times New Roman"/>
          <w:color w:val="000000"/>
        </w:rPr>
        <w:t> </w:t>
      </w:r>
      <w:r w:rsidRPr="006304E8">
        <w:rPr>
          <w:rFonts w:eastAsia="Times New Roman" w:cs="Times New Roman"/>
          <w:color w:val="000000"/>
        </w:rPr>
        <w:t>Cal. 686</w:t>
      </w:r>
      <w:r>
        <w:rPr>
          <w:rFonts w:eastAsia="Times New Roman" w:cs="Times New Roman"/>
          <w:color w:val="000000"/>
        </w:rPr>
        <w:t>, 692</w:t>
      </w:r>
      <w:r w:rsidRPr="00CC253C">
        <w:rPr>
          <w:rFonts w:eastAsia="Times New Roman" w:cs="Times New Roman"/>
          <w:color w:val="000000"/>
        </w:rPr>
        <w:t xml:space="preserve"> </w:t>
      </w:r>
      <w:r w:rsidRPr="00CC253C">
        <w:rPr>
          <w:rFonts w:eastAsia="Times New Roman" w:cs="Times New Roman"/>
          <w:color w:val="000000"/>
        </w:rPr>
        <w:t>(</w:t>
      </w:r>
      <w:r w:rsidRPr="00CC253C">
        <w:rPr>
          <w:rFonts w:eastAsia="Times New Roman" w:cs="Times New Roman"/>
          <w:i/>
          <w:iCs/>
          <w:color w:val="000000"/>
        </w:rPr>
        <w:t>Western Indemnity</w:t>
      </w:r>
      <w:r>
        <w:rPr>
          <w:rFonts w:eastAsia="Times New Roman" w:cs="Times New Roman"/>
          <w:i/>
          <w:iCs/>
          <w:color w:val="000000"/>
        </w:rPr>
        <w:t> </w:t>
      </w:r>
      <w:r w:rsidRPr="0018687E">
        <w:rPr>
          <w:rFonts w:eastAsia="Times New Roman" w:cs="Times New Roman"/>
          <w:i/>
          <w:iCs/>
          <w:color w:val="000000"/>
          <w:spacing w:val="40"/>
        </w:rPr>
        <w:t>I</w:t>
      </w:r>
      <w:r w:rsidRPr="00CC253C">
        <w:rPr>
          <w:rFonts w:eastAsia="Times New Roman" w:cs="Times New Roman"/>
          <w:color w:val="000000"/>
        </w:rPr>
        <w:t>)</w:t>
      </w:r>
      <w:r>
        <w:rPr>
          <w:rFonts w:eastAsia="Times New Roman" w:cs="Times New Roman"/>
          <w:color w:val="000000"/>
        </w:rPr>
        <w:t>)</w:t>
      </w:r>
      <w:r>
        <w:t>—eliminated employers’ common law tort defenses against employee workplace accident claims and created an administrative system for adjudicating and enforcing such claims on a no-fault liability basis.  T</w:t>
      </w:r>
      <w:r w:rsidRPr="00724CE2">
        <w:t>he first</w:t>
      </w:r>
      <w:r>
        <w:t xml:space="preserve">, passed </w:t>
      </w:r>
      <w:r w:rsidRPr="00724CE2">
        <w:t>in 1911</w:t>
      </w:r>
      <w:r>
        <w:t xml:space="preserve"> and </w:t>
      </w:r>
      <w:r>
        <w:rPr>
          <w:color w:val="000000"/>
          <w:shd w:val="clear" w:color="auto" w:fill="FFFFFF"/>
        </w:rPr>
        <w:t xml:space="preserve">known as the </w:t>
      </w:r>
      <w:r w:rsidRPr="006243F4">
        <w:t>Roseville Act</w:t>
      </w:r>
      <w:r w:rsidRPr="00724CE2">
        <w:t xml:space="preserve"> </w:t>
      </w:r>
      <w:r>
        <w:t>(</w:t>
      </w:r>
      <w:r w:rsidRPr="00724CE2">
        <w:rPr>
          <w:color w:val="000000"/>
          <w:shd w:val="clear" w:color="auto" w:fill="FFFFFF"/>
        </w:rPr>
        <w:t>Stats.</w:t>
      </w:r>
      <w:r>
        <w:rPr>
          <w:color w:val="000000"/>
          <w:shd w:val="clear" w:color="auto" w:fill="FFFFFF"/>
        </w:rPr>
        <w:t xml:space="preserve"> </w:t>
      </w:r>
      <w:r w:rsidRPr="00724CE2">
        <w:rPr>
          <w:color w:val="000000"/>
          <w:shd w:val="clear" w:color="auto" w:fill="FFFFFF"/>
        </w:rPr>
        <w:t xml:space="preserve">1911, </w:t>
      </w:r>
      <w:proofErr w:type="spellStart"/>
      <w:r w:rsidRPr="00724CE2">
        <w:rPr>
          <w:color w:val="000000"/>
          <w:shd w:val="clear" w:color="auto" w:fill="FFFFFF"/>
        </w:rPr>
        <w:t>ch.</w:t>
      </w:r>
      <w:proofErr w:type="spellEnd"/>
      <w:r>
        <w:rPr>
          <w:color w:val="000000"/>
          <w:shd w:val="clear" w:color="auto" w:fill="FFFFFF"/>
        </w:rPr>
        <w:t> </w:t>
      </w:r>
      <w:r w:rsidRPr="00724CE2">
        <w:rPr>
          <w:color w:val="000000"/>
          <w:shd w:val="clear" w:color="auto" w:fill="FFFFFF"/>
        </w:rPr>
        <w:t xml:space="preserve">399, </w:t>
      </w:r>
      <w:r w:rsidRPr="006243F4">
        <w:rPr>
          <w:color w:val="000000"/>
          <w:shd w:val="clear" w:color="auto" w:fill="FFFFFF"/>
        </w:rPr>
        <w:t>§§ 1–31,</w:t>
      </w:r>
      <w:r>
        <w:rPr>
          <w:color w:val="000000"/>
          <w:shd w:val="clear" w:color="auto" w:fill="FFFFFF"/>
        </w:rPr>
        <w:t xml:space="preserve"> </w:t>
      </w:r>
      <w:r w:rsidRPr="00724CE2">
        <w:rPr>
          <w:color w:val="000000"/>
          <w:shd w:val="clear" w:color="auto" w:fill="FFFFFF"/>
        </w:rPr>
        <w:t>p</w:t>
      </w:r>
      <w:r>
        <w:rPr>
          <w:color w:val="000000"/>
          <w:shd w:val="clear" w:color="auto" w:fill="FFFFFF"/>
        </w:rPr>
        <w:t>p</w:t>
      </w:r>
      <w:r w:rsidRPr="00724CE2">
        <w:rPr>
          <w:color w:val="000000"/>
          <w:shd w:val="clear" w:color="auto" w:fill="FFFFFF"/>
        </w:rPr>
        <w:t>.</w:t>
      </w:r>
      <w:r>
        <w:rPr>
          <w:color w:val="000000"/>
          <w:shd w:val="clear" w:color="auto" w:fill="FFFFFF"/>
        </w:rPr>
        <w:t> </w:t>
      </w:r>
      <w:r w:rsidRPr="00724CE2">
        <w:rPr>
          <w:color w:val="000000"/>
          <w:shd w:val="clear" w:color="auto" w:fill="FFFFFF"/>
        </w:rPr>
        <w:t>796</w:t>
      </w:r>
      <w:r>
        <w:rPr>
          <w:color w:val="000000"/>
          <w:shd w:val="clear" w:color="auto" w:fill="FFFFFF"/>
        </w:rPr>
        <w:t xml:space="preserve">–806), </w:t>
      </w:r>
      <w:r>
        <w:lastRenderedPageBreak/>
        <w:t xml:space="preserve">was purely voluntary; the second, passed </w:t>
      </w:r>
      <w:r w:rsidRPr="00724CE2">
        <w:t>in 1913</w:t>
      </w:r>
      <w:r>
        <w:t xml:space="preserve"> and</w:t>
      </w:r>
      <w:r w:rsidRPr="00724CE2">
        <w:t xml:space="preserve"> </w:t>
      </w:r>
      <w:r>
        <w:rPr>
          <w:color w:val="000000"/>
          <w:shd w:val="clear" w:color="auto" w:fill="FFFFFF"/>
        </w:rPr>
        <w:t xml:space="preserve">known as </w:t>
      </w:r>
      <w:r w:rsidRPr="00724CE2">
        <w:t xml:space="preserve">the </w:t>
      </w:r>
      <w:r w:rsidRPr="006243F4">
        <w:t>Boynton Act</w:t>
      </w:r>
      <w:r w:rsidRPr="00724CE2">
        <w:t xml:space="preserve"> (</w:t>
      </w:r>
      <w:r w:rsidRPr="00724CE2">
        <w:rPr>
          <w:color w:val="000000"/>
          <w:shd w:val="clear" w:color="auto" w:fill="FFFFFF"/>
        </w:rPr>
        <w:t>Stats.</w:t>
      </w:r>
      <w:r>
        <w:rPr>
          <w:color w:val="000000"/>
          <w:shd w:val="clear" w:color="auto" w:fill="FFFFFF"/>
        </w:rPr>
        <w:t xml:space="preserve"> </w:t>
      </w:r>
      <w:r w:rsidRPr="00724CE2">
        <w:rPr>
          <w:color w:val="000000"/>
          <w:shd w:val="clear" w:color="auto" w:fill="FFFFFF"/>
        </w:rPr>
        <w:t xml:space="preserve">1913, </w:t>
      </w:r>
      <w:proofErr w:type="spellStart"/>
      <w:r w:rsidRPr="00724CE2">
        <w:rPr>
          <w:color w:val="000000"/>
          <w:shd w:val="clear" w:color="auto" w:fill="FFFFFF"/>
        </w:rPr>
        <w:t>ch.</w:t>
      </w:r>
      <w:proofErr w:type="spellEnd"/>
      <w:r>
        <w:rPr>
          <w:color w:val="000000"/>
          <w:shd w:val="clear" w:color="auto" w:fill="FFFFFF"/>
        </w:rPr>
        <w:t> </w:t>
      </w:r>
      <w:r w:rsidRPr="00724CE2">
        <w:rPr>
          <w:color w:val="000000"/>
          <w:shd w:val="clear" w:color="auto" w:fill="FFFFFF"/>
        </w:rPr>
        <w:t xml:space="preserve">176, </w:t>
      </w:r>
      <w:r w:rsidRPr="006243F4">
        <w:rPr>
          <w:color w:val="000000"/>
          <w:shd w:val="clear" w:color="auto" w:fill="FFFFFF"/>
        </w:rPr>
        <w:t>§§ 1–92,</w:t>
      </w:r>
      <w:r>
        <w:rPr>
          <w:color w:val="000000"/>
          <w:shd w:val="clear" w:color="auto" w:fill="FFFFFF"/>
        </w:rPr>
        <w:t xml:space="preserve"> </w:t>
      </w:r>
      <w:r w:rsidRPr="006243F4">
        <w:rPr>
          <w:color w:val="000000"/>
          <w:shd w:val="clear" w:color="auto" w:fill="FFFFFF"/>
        </w:rPr>
        <w:t>pp</w:t>
      </w:r>
      <w:r w:rsidRPr="00724CE2">
        <w:rPr>
          <w:color w:val="000000"/>
          <w:shd w:val="clear" w:color="auto" w:fill="FFFFFF"/>
        </w:rPr>
        <w:t>.</w:t>
      </w:r>
      <w:r>
        <w:rPr>
          <w:color w:val="000000"/>
          <w:shd w:val="clear" w:color="auto" w:fill="FFFFFF"/>
        </w:rPr>
        <w:t> </w:t>
      </w:r>
      <w:r w:rsidRPr="00724CE2">
        <w:rPr>
          <w:color w:val="000000"/>
          <w:shd w:val="clear" w:color="auto" w:fill="FFFFFF"/>
        </w:rPr>
        <w:t>279</w:t>
      </w:r>
      <w:r w:rsidRPr="006243F4">
        <w:rPr>
          <w:color w:val="000000"/>
          <w:shd w:val="clear" w:color="auto" w:fill="FFFFFF"/>
        </w:rPr>
        <w:t>–320</w:t>
      </w:r>
      <w:r>
        <w:rPr>
          <w:color w:val="000000"/>
          <w:shd w:val="clear" w:color="auto" w:fill="FFFFFF"/>
        </w:rPr>
        <w:t>), was compulsory.  R</w:t>
      </w:r>
      <w:r w:rsidRPr="00724CE2">
        <w:t xml:space="preserve">efinements </w:t>
      </w:r>
      <w:r>
        <w:t xml:space="preserve">were made </w:t>
      </w:r>
      <w:r w:rsidRPr="00724CE2">
        <w:t xml:space="preserve">in </w:t>
      </w:r>
      <w:r w:rsidRPr="00B5119C">
        <w:t xml:space="preserve">the </w:t>
      </w:r>
      <w:r w:rsidRPr="006243F4">
        <w:t>“w</w:t>
      </w:r>
      <w:r w:rsidRPr="006243F4">
        <w:rPr>
          <w:color w:val="000000"/>
          <w:shd w:val="clear" w:color="auto" w:fill="FFFFFF"/>
        </w:rPr>
        <w:t>orkmen</w:t>
      </w:r>
      <w:r w:rsidRPr="006243F4">
        <w:rPr>
          <w:color w:val="000000"/>
          <w:shd w:val="clear" w:color="auto" w:fill="FFFFFF"/>
        </w:rPr>
        <w:t>’s compensation, insurance</w:t>
      </w:r>
      <w:r w:rsidRPr="00426E08">
        <w:rPr>
          <w:color w:val="000000"/>
          <w:shd w:val="clear" w:color="auto" w:fill="FFFFFF"/>
        </w:rPr>
        <w:t xml:space="preserve"> and </w:t>
      </w:r>
      <w:r w:rsidRPr="006243F4">
        <w:rPr>
          <w:color w:val="000000"/>
          <w:shd w:val="clear" w:color="auto" w:fill="FFFFFF"/>
        </w:rPr>
        <w:t>safety act</w:t>
      </w:r>
      <w:r w:rsidRPr="00426E08">
        <w:rPr>
          <w:color w:val="000000"/>
          <w:shd w:val="clear" w:color="auto" w:fill="FFFFFF"/>
        </w:rPr>
        <w:t xml:space="preserve"> of 1917</w:t>
      </w:r>
      <w:r w:rsidRPr="006243F4">
        <w:rPr>
          <w:color w:val="000000"/>
          <w:shd w:val="clear" w:color="auto" w:fill="FFFFFF"/>
        </w:rPr>
        <w:t>”</w:t>
      </w:r>
      <w:r w:rsidRPr="00B5119C">
        <w:t xml:space="preserve"> </w:t>
      </w:r>
      <w:r w:rsidRPr="00724CE2">
        <w:t>(</w:t>
      </w:r>
      <w:r w:rsidRPr="00724CE2">
        <w:rPr>
          <w:color w:val="000000"/>
          <w:shd w:val="clear" w:color="auto" w:fill="FFFFFF"/>
        </w:rPr>
        <w:t>Stats.</w:t>
      </w:r>
      <w:r>
        <w:rPr>
          <w:color w:val="000000"/>
          <w:shd w:val="clear" w:color="auto" w:fill="FFFFFF"/>
        </w:rPr>
        <w:t xml:space="preserve"> </w:t>
      </w:r>
      <w:r w:rsidRPr="00724CE2">
        <w:rPr>
          <w:color w:val="000000"/>
          <w:bdr w:val="none" w:sz="0" w:space="0" w:color="auto" w:frame="1"/>
          <w:shd w:val="clear" w:color="auto" w:fill="FFFFFF"/>
        </w:rPr>
        <w:t>1917</w:t>
      </w:r>
      <w:r w:rsidRPr="00724CE2">
        <w:rPr>
          <w:color w:val="000000"/>
          <w:shd w:val="clear" w:color="auto" w:fill="FFFFFF"/>
        </w:rPr>
        <w:t xml:space="preserve">, </w:t>
      </w:r>
      <w:proofErr w:type="spellStart"/>
      <w:r w:rsidRPr="00724CE2">
        <w:rPr>
          <w:color w:val="000000"/>
          <w:shd w:val="clear" w:color="auto" w:fill="FFFFFF"/>
        </w:rPr>
        <w:t>ch.</w:t>
      </w:r>
      <w:proofErr w:type="spellEnd"/>
      <w:r>
        <w:rPr>
          <w:color w:val="000000"/>
          <w:shd w:val="clear" w:color="auto" w:fill="FFFFFF"/>
        </w:rPr>
        <w:t> </w:t>
      </w:r>
      <w:r w:rsidRPr="006243F4">
        <w:rPr>
          <w:color w:val="000000"/>
          <w:shd w:val="clear" w:color="auto" w:fill="FFFFFF"/>
        </w:rPr>
        <w:t>586, §§ 1–74, pp. 831–879</w:t>
      </w:r>
      <w:r>
        <w:rPr>
          <w:color w:val="000000"/>
          <w:shd w:val="clear" w:color="auto" w:fill="FFFFFF"/>
        </w:rPr>
        <w:t xml:space="preserve"> (</w:t>
      </w:r>
      <w:r w:rsidRPr="006243F4">
        <w:rPr>
          <w:color w:val="000000"/>
          <w:shd w:val="clear" w:color="auto" w:fill="FFFFFF"/>
        </w:rPr>
        <w:t>the 1917 Act</w:t>
      </w:r>
      <w:r>
        <w:rPr>
          <w:color w:val="000000"/>
          <w:shd w:val="clear" w:color="auto" w:fill="FFFFFF"/>
        </w:rPr>
        <w:t>)</w:t>
      </w:r>
      <w:r w:rsidRPr="00B5119C">
        <w:rPr>
          <w:color w:val="000000"/>
          <w:shd w:val="clear" w:color="auto" w:fill="FFFFFF"/>
        </w:rPr>
        <w:t>)</w:t>
      </w:r>
      <w:r>
        <w:rPr>
          <w:color w:val="000000"/>
          <w:shd w:val="clear" w:color="auto" w:fill="FFFFFF"/>
        </w:rPr>
        <w:t xml:space="preserve">, which partially repealed and restated the Boynton Act (1917 Act, at </w:t>
      </w:r>
      <w:r>
        <w:rPr>
          <w:color w:val="000000"/>
          <w:shd w:val="clear" w:color="auto" w:fill="FFFFFF"/>
        </w:rPr>
        <w:br/>
        <w:t>pp. 831–832)</w:t>
      </w:r>
      <w:r w:rsidRPr="00B5119C">
        <w:rPr>
          <w:color w:val="000000"/>
          <w:shd w:val="clear" w:color="auto" w:fill="FFFFFF"/>
        </w:rPr>
        <w:t>.</w:t>
      </w:r>
      <w:r>
        <w:rPr>
          <w:rStyle w:val="FootnoteReference"/>
        </w:rPr>
        <w:footnoteReference w:id="29"/>
      </w:r>
      <w:r>
        <w:rPr>
          <w:color w:val="000000"/>
          <w:shd w:val="clear" w:color="auto" w:fill="FFFFFF"/>
        </w:rPr>
        <w:t xml:space="preserve">  </w:t>
      </w:r>
      <w:r>
        <w:t xml:space="preserve">This series of enactments </w:t>
      </w:r>
      <w:r w:rsidRPr="00724CE2">
        <w:t xml:space="preserve">reflected the cumulative statutory evolution </w:t>
      </w:r>
      <w:r>
        <w:t xml:space="preserve">of </w:t>
      </w:r>
      <w:r w:rsidRPr="00724CE2">
        <w:t xml:space="preserve">the </w:t>
      </w:r>
      <w:r>
        <w:t>pre</w:t>
      </w:r>
      <w:r>
        <w:noBreakHyphen/>
        <w:t xml:space="preserve">1918 workers’ compensation system. </w:t>
      </w:r>
      <w:r w:rsidRPr="00724CE2">
        <w:t xml:space="preserve"> Th</w:t>
      </w:r>
      <w:r>
        <w:t xml:space="preserve">ese statutes are what the </w:t>
      </w:r>
      <w:r w:rsidRPr="00724CE2">
        <w:rPr>
          <w:i/>
          <w:iCs/>
        </w:rPr>
        <w:t>Mathews</w:t>
      </w:r>
      <w:r w:rsidRPr="00724CE2">
        <w:t xml:space="preserve"> court refers </w:t>
      </w:r>
      <w:r>
        <w:t xml:space="preserve">to </w:t>
      </w:r>
      <w:r w:rsidRPr="00724CE2">
        <w:t xml:space="preserve">when it speaks of the </w:t>
      </w:r>
      <w:r>
        <w:t>“</w:t>
      </w:r>
      <w:r w:rsidRPr="00724CE2">
        <w:t>basic features of those laws as they have existed since 1911.”</w:t>
      </w:r>
      <w:r>
        <w:t xml:space="preserve">  (</w:t>
      </w:r>
      <w:r w:rsidRPr="00051CBA">
        <w:rPr>
          <w:i/>
          <w:iCs/>
        </w:rPr>
        <w:t>Mathews</w:t>
      </w:r>
      <w:r>
        <w:t xml:space="preserve">, </w:t>
      </w:r>
      <w:r w:rsidRPr="00051CBA">
        <w:rPr>
          <w:i/>
          <w:iCs/>
        </w:rPr>
        <w:t>supra</w:t>
      </w:r>
      <w:r>
        <w:t>, 6 Cal. 3</w:t>
      </w:r>
      <w:r>
        <w:t>d at p. 735.)</w:t>
      </w:r>
      <w:r>
        <w:rPr>
          <w:rStyle w:val="FootnoteReference"/>
        </w:rPr>
        <w:footnoteReference w:id="30"/>
      </w:r>
    </w:p>
    <w:p w14:paraId="6784B511" w14:textId="77777777" w:rsidR="00AB000C" w:rsidRDefault="00570B35" w:rsidP="00AB000C">
      <w:pPr>
        <w:ind w:firstLine="720"/>
        <w:rPr>
          <w:color w:val="000000"/>
          <w:shd w:val="clear" w:color="auto" w:fill="FFFFFF"/>
        </w:rPr>
      </w:pPr>
      <w:r>
        <w:t xml:space="preserve">Article XIV, section 4, evolved along a parallel path, also in two steps.  First, by ballot initiative in 1911—in fact, at the same special election that brought us </w:t>
      </w:r>
      <w:r>
        <w:rPr>
          <w:color w:val="000000"/>
          <w:shd w:val="clear" w:color="auto" w:fill="FFFFFF"/>
        </w:rPr>
        <w:t xml:space="preserve">the powers of initiative, </w:t>
      </w:r>
      <w:proofErr w:type="gramStart"/>
      <w:r>
        <w:rPr>
          <w:color w:val="000000"/>
          <w:shd w:val="clear" w:color="auto" w:fill="FFFFFF"/>
        </w:rPr>
        <w:lastRenderedPageBreak/>
        <w:t>referendum</w:t>
      </w:r>
      <w:proofErr w:type="gramEnd"/>
      <w:r>
        <w:rPr>
          <w:color w:val="000000"/>
          <w:shd w:val="clear" w:color="auto" w:fill="FFFFFF"/>
        </w:rPr>
        <w:t xml:space="preserve"> and recall—the voters laid a constitut</w:t>
      </w:r>
      <w:r>
        <w:rPr>
          <w:color w:val="000000"/>
          <w:shd w:val="clear" w:color="auto" w:fill="FFFFFF"/>
        </w:rPr>
        <w:t xml:space="preserve">ional foundation for the Roseville Act by adding former article XX, section 21, to the Constitution.  Framed in abbreviated language compared to what later became article XIV, section 4, as we now know it, that amendment gave the Legislature plenary power </w:t>
      </w:r>
      <w:r>
        <w:rPr>
          <w:color w:val="000000"/>
          <w:shd w:val="clear" w:color="auto" w:fill="FFFFFF"/>
        </w:rPr>
        <w:t xml:space="preserve">to create and enforce a system of liability without fault for workers injured in the workplace.  Second, seven years later, in November 1918, the Legislature by joint resolution proposed the </w:t>
      </w:r>
      <w:r w:rsidRPr="009A339C">
        <w:rPr>
          <w:color w:val="000000"/>
          <w:shd w:val="clear" w:color="auto" w:fill="FFFFFF"/>
        </w:rPr>
        <w:t>adoption</w:t>
      </w:r>
      <w:r>
        <w:rPr>
          <w:color w:val="000000"/>
          <w:shd w:val="clear" w:color="auto" w:fill="FFFFFF"/>
        </w:rPr>
        <w:t xml:space="preserve"> of an amendment to the 1911 version of former article XX, section 21 (</w:t>
      </w:r>
      <w:r w:rsidRPr="00A20AAE">
        <w:rPr>
          <w:i/>
          <w:iCs/>
          <w:color w:val="000000"/>
          <w:shd w:val="clear" w:color="auto" w:fill="FFFFFF"/>
        </w:rPr>
        <w:t>Mathews</w:t>
      </w:r>
      <w:r>
        <w:rPr>
          <w:color w:val="000000"/>
          <w:shd w:val="clear" w:color="auto" w:fill="FFFFFF"/>
        </w:rPr>
        <w:t xml:space="preserve">, </w:t>
      </w:r>
      <w:r w:rsidRPr="00A20AAE">
        <w:rPr>
          <w:i/>
          <w:iCs/>
          <w:color w:val="000000"/>
          <w:shd w:val="clear" w:color="auto" w:fill="FFFFFF"/>
        </w:rPr>
        <w:t>supra</w:t>
      </w:r>
      <w:r>
        <w:rPr>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Pr>
          <w:rFonts w:eastAsia="Times New Roman" w:cs="Times New Roman"/>
          <w:color w:val="000000"/>
        </w:rPr>
        <w:t>at p. </w:t>
      </w:r>
      <w:r w:rsidRPr="003C6972">
        <w:rPr>
          <w:rFonts w:eastAsia="Times New Roman" w:cs="Times New Roman"/>
          <w:color w:val="000000"/>
        </w:rPr>
        <w:t>73</w:t>
      </w:r>
      <w:r>
        <w:rPr>
          <w:rFonts w:eastAsia="Times New Roman" w:cs="Times New Roman"/>
          <w:color w:val="000000"/>
        </w:rPr>
        <w:t>3)</w:t>
      </w:r>
      <w:r>
        <w:rPr>
          <w:color w:val="000000"/>
          <w:shd w:val="clear" w:color="auto" w:fill="FFFFFF"/>
        </w:rPr>
        <w:t>, this time adding much greater specificity and detail.  The 1918 amendment augmenting former article XX, section 21, is in all material respects what</w:t>
      </w:r>
      <w:r>
        <w:rPr>
          <w:color w:val="000000"/>
          <w:shd w:val="clear" w:color="auto" w:fill="FFFFFF"/>
        </w:rPr>
        <w:t xml:space="preserve"> we now have in article XIV, section 4.</w:t>
      </w:r>
    </w:p>
    <w:p w14:paraId="69233FD0" w14:textId="77777777" w:rsidR="00AB000C" w:rsidRPr="007D22C6" w:rsidRDefault="00570B35" w:rsidP="00AB000C">
      <w:pPr>
        <w:ind w:firstLine="720"/>
        <w:rPr>
          <w:color w:val="000000"/>
          <w:shd w:val="clear" w:color="auto" w:fill="FFFFFF"/>
        </w:rPr>
      </w:pPr>
      <w:r w:rsidRPr="000965DF">
        <w:rPr>
          <w:color w:val="000000"/>
          <w:shd w:val="clear" w:color="auto" w:fill="FFFFFF"/>
        </w:rPr>
        <w:t xml:space="preserve">The </w:t>
      </w:r>
      <w:r>
        <w:rPr>
          <w:color w:val="000000"/>
          <w:shd w:val="clear" w:color="auto" w:fill="FFFFFF"/>
        </w:rPr>
        <w:t xml:space="preserve">amended language </w:t>
      </w:r>
      <w:r w:rsidRPr="009A339C">
        <w:rPr>
          <w:color w:val="000000"/>
          <w:shd w:val="clear" w:color="auto" w:fill="FFFFFF"/>
        </w:rPr>
        <w:t>adopted</w:t>
      </w:r>
      <w:r>
        <w:rPr>
          <w:color w:val="000000"/>
          <w:shd w:val="clear" w:color="auto" w:fill="FFFFFF"/>
        </w:rPr>
        <w:t xml:space="preserve"> in 1918 delineates with particularity </w:t>
      </w:r>
      <w:r w:rsidRPr="000965DF">
        <w:rPr>
          <w:color w:val="000000"/>
          <w:shd w:val="clear" w:color="auto" w:fill="FFFFFF"/>
        </w:rPr>
        <w:t xml:space="preserve">the Legislature’s </w:t>
      </w:r>
      <w:r>
        <w:rPr>
          <w:color w:val="000000"/>
          <w:shd w:val="clear" w:color="auto" w:fill="FFFFFF"/>
        </w:rPr>
        <w:t xml:space="preserve">authority to </w:t>
      </w:r>
      <w:r w:rsidRPr="000965DF">
        <w:rPr>
          <w:color w:val="000000"/>
          <w:shd w:val="clear" w:color="auto" w:fill="FFFFFF"/>
        </w:rPr>
        <w:t>make “adequate provisions” for relieving workers and their families of the “</w:t>
      </w:r>
      <w:r w:rsidRPr="008465EB">
        <w:rPr>
          <w:rFonts w:eastAsia="Times New Roman" w:cs="Times New Roman"/>
          <w:color w:val="000000"/>
          <w:shd w:val="clear" w:color="auto" w:fill="FFFFFF"/>
        </w:rPr>
        <w:t>consequences of any injury or death incurr</w:t>
      </w:r>
      <w:r w:rsidRPr="008465EB">
        <w:rPr>
          <w:rFonts w:eastAsia="Times New Roman" w:cs="Times New Roman"/>
          <w:color w:val="000000"/>
          <w:shd w:val="clear" w:color="auto" w:fill="FFFFFF"/>
        </w:rPr>
        <w:t xml:space="preserve">ed or sustained by </w:t>
      </w:r>
      <w:r w:rsidRPr="00383248">
        <w:rPr>
          <w:rFonts w:eastAsia="Times New Roman" w:cs="Times New Roman"/>
          <w:color w:val="000000"/>
          <w:shd w:val="clear" w:color="auto" w:fill="FFFFFF"/>
        </w:rPr>
        <w:t>work</w:t>
      </w:r>
      <w:r w:rsidRPr="006F30E3">
        <w:rPr>
          <w:rFonts w:eastAsia="Times New Roman" w:cs="Times New Roman"/>
          <w:color w:val="000000"/>
          <w:shd w:val="clear" w:color="auto" w:fill="FFFFFF"/>
        </w:rPr>
        <w:t>men</w:t>
      </w:r>
      <w:r w:rsidRPr="008465EB">
        <w:rPr>
          <w:rFonts w:eastAsia="Times New Roman" w:cs="Times New Roman"/>
          <w:color w:val="000000"/>
          <w:shd w:val="clear" w:color="auto" w:fill="FFFFFF"/>
        </w:rPr>
        <w:t xml:space="preserve"> in the course of their employment, irrespective of the fault of any party”; “</w:t>
      </w:r>
      <w:r w:rsidRPr="008465EB">
        <w:rPr>
          <w:color w:val="000000"/>
          <w:shd w:val="clear" w:color="auto" w:fill="FFFFFF"/>
        </w:rPr>
        <w:t>full provision for securing safety in places of employment</w:t>
      </w:r>
      <w:r>
        <w:rPr>
          <w:color w:val="000000"/>
          <w:shd w:val="clear" w:color="auto" w:fill="FFFFFF"/>
        </w:rPr>
        <w:t>”</w:t>
      </w:r>
      <w:r w:rsidRPr="008465EB">
        <w:rPr>
          <w:color w:val="000000"/>
          <w:shd w:val="clear" w:color="auto" w:fill="FFFFFF"/>
        </w:rPr>
        <w:t xml:space="preserve">; </w:t>
      </w:r>
      <w:r>
        <w:rPr>
          <w:color w:val="000000"/>
          <w:shd w:val="clear" w:color="auto" w:fill="FFFFFF"/>
        </w:rPr>
        <w:t>“</w:t>
      </w:r>
      <w:r w:rsidRPr="008465EB">
        <w:rPr>
          <w:color w:val="000000"/>
          <w:shd w:val="clear" w:color="auto" w:fill="FFFFFF"/>
        </w:rPr>
        <w:t>full provision for such medical, surgical, hospital and other remedial treatment as is req</w:t>
      </w:r>
      <w:r w:rsidRPr="008465EB">
        <w:rPr>
          <w:color w:val="000000"/>
          <w:shd w:val="clear" w:color="auto" w:fill="FFFFFF"/>
        </w:rPr>
        <w:t xml:space="preserve">uisite to cure and relieve from the effects of such injury”; “full provision for adequate insurance coverage against liability to pay or furnish </w:t>
      </w:r>
      <w:r w:rsidRPr="00F960E8">
        <w:rPr>
          <w:color w:val="000000"/>
          <w:shd w:val="clear" w:color="auto" w:fill="FFFFFF"/>
        </w:rPr>
        <w:t>compensation”; “</w:t>
      </w:r>
      <w:r w:rsidRPr="007D22C6">
        <w:rPr>
          <w:color w:val="000000"/>
          <w:shd w:val="clear" w:color="auto" w:fill="FFFFFF"/>
        </w:rPr>
        <w:t xml:space="preserve">full provision for otherwise securing the payment of compensation”; and </w:t>
      </w:r>
      <w:r>
        <w:rPr>
          <w:color w:val="000000"/>
          <w:shd w:val="clear" w:color="auto" w:fill="FFFFFF"/>
        </w:rPr>
        <w:t>“</w:t>
      </w:r>
      <w:r w:rsidRPr="007D22C6">
        <w:rPr>
          <w:color w:val="000000"/>
          <w:shd w:val="clear" w:color="auto" w:fill="FFFFFF"/>
        </w:rPr>
        <w:t xml:space="preserve">full </w:t>
      </w:r>
      <w:r w:rsidRPr="007D22C6">
        <w:rPr>
          <w:color w:val="000000"/>
          <w:shd w:val="clear" w:color="auto" w:fill="FFFFFF"/>
        </w:rPr>
        <w:t xml:space="preserve">provision for vesting power, authority and jurisdiction in an administrative body with all the requisite governmental functions to determine any dispute or matter </w:t>
      </w:r>
      <w:r w:rsidRPr="007D22C6">
        <w:rPr>
          <w:color w:val="000000"/>
          <w:shd w:val="clear" w:color="auto" w:fill="FFFFFF"/>
        </w:rPr>
        <w:lastRenderedPageBreak/>
        <w:t>arising under such legislation</w:t>
      </w:r>
      <w:r>
        <w:rPr>
          <w:color w:val="000000"/>
          <w:shd w:val="clear" w:color="auto" w:fill="FFFFFF"/>
        </w:rPr>
        <w:t>, . . </w:t>
      </w:r>
      <w:r w:rsidRPr="007D22C6">
        <w:rPr>
          <w:color w:val="000000"/>
          <w:shd w:val="clear" w:color="auto" w:fill="FFFFFF"/>
        </w:rPr>
        <w:t xml:space="preserve">.”  </w:t>
      </w:r>
      <w:r w:rsidRPr="00CD6BD8">
        <w:rPr>
          <w:color w:val="000000"/>
          <w:shd w:val="clear" w:color="auto" w:fill="FFFFFF"/>
        </w:rPr>
        <w:t>(Former art. XX, § 21, amended by Prop. 23, Gen. Elec</w:t>
      </w:r>
      <w:r w:rsidRPr="00CD6BD8">
        <w:rPr>
          <w:color w:val="000000"/>
          <w:shd w:val="clear" w:color="auto" w:fill="FFFFFF"/>
        </w:rPr>
        <w:t>tion (Nov. 5, 1918).)</w:t>
      </w:r>
    </w:p>
    <w:p w14:paraId="08540B52" w14:textId="77777777" w:rsidR="00AB000C" w:rsidRDefault="00570B35" w:rsidP="00AB000C">
      <w:pPr>
        <w:ind w:firstLine="720"/>
        <w:rPr>
          <w:color w:val="000000"/>
          <w:shd w:val="clear" w:color="auto" w:fill="FFFFFF"/>
        </w:rPr>
      </w:pPr>
      <w:r w:rsidRPr="00364F07">
        <w:rPr>
          <w:color w:val="000000"/>
          <w:shd w:val="clear" w:color="auto" w:fill="FFFFFF"/>
        </w:rPr>
        <w:t xml:space="preserve">Of particular significance here—because </w:t>
      </w:r>
      <w:r>
        <w:rPr>
          <w:color w:val="000000"/>
          <w:shd w:val="clear" w:color="auto" w:fill="FFFFFF"/>
        </w:rPr>
        <w:t xml:space="preserve">this </w:t>
      </w:r>
      <w:r w:rsidRPr="00364F07">
        <w:rPr>
          <w:color w:val="000000"/>
          <w:shd w:val="clear" w:color="auto" w:fill="FFFFFF"/>
        </w:rPr>
        <w:t xml:space="preserve">reflects </w:t>
      </w:r>
      <w:r>
        <w:rPr>
          <w:color w:val="000000"/>
          <w:shd w:val="clear" w:color="auto" w:fill="FFFFFF"/>
        </w:rPr>
        <w:t xml:space="preserve">the </w:t>
      </w:r>
      <w:r w:rsidRPr="00364F07">
        <w:rPr>
          <w:color w:val="000000"/>
          <w:shd w:val="clear" w:color="auto" w:fill="FFFFFF"/>
        </w:rPr>
        <w:t>superior position article XIV, section</w:t>
      </w:r>
      <w:r>
        <w:rPr>
          <w:color w:val="000000"/>
          <w:shd w:val="clear" w:color="auto" w:fill="FFFFFF"/>
        </w:rPr>
        <w:t> </w:t>
      </w:r>
      <w:r w:rsidRPr="00364F07">
        <w:rPr>
          <w:color w:val="000000"/>
          <w:shd w:val="clear" w:color="auto" w:fill="FFFFFF"/>
        </w:rPr>
        <w:t xml:space="preserve">4, </w:t>
      </w:r>
      <w:r>
        <w:rPr>
          <w:color w:val="000000"/>
          <w:shd w:val="clear" w:color="auto" w:fill="FFFFFF"/>
        </w:rPr>
        <w:t xml:space="preserve">enjoys relative to other provisions within the Constitution, </w:t>
      </w:r>
      <w:r w:rsidRPr="00364F07">
        <w:rPr>
          <w:color w:val="000000"/>
          <w:shd w:val="clear" w:color="auto" w:fill="FFFFFF"/>
        </w:rPr>
        <w:t xml:space="preserve">as </w:t>
      </w:r>
      <w:r>
        <w:rPr>
          <w:color w:val="000000"/>
          <w:shd w:val="clear" w:color="auto" w:fill="FFFFFF"/>
        </w:rPr>
        <w:t xml:space="preserve">well as </w:t>
      </w:r>
      <w:r w:rsidRPr="00364F07">
        <w:rPr>
          <w:color w:val="000000"/>
          <w:shd w:val="clear" w:color="auto" w:fill="FFFFFF"/>
        </w:rPr>
        <w:t xml:space="preserve">the preeminent role the Legislature has in making “social </w:t>
      </w:r>
      <w:r>
        <w:rPr>
          <w:color w:val="000000"/>
          <w:shd w:val="clear" w:color="auto" w:fill="FFFFFF"/>
        </w:rPr>
        <w:t>publ</w:t>
      </w:r>
      <w:r>
        <w:rPr>
          <w:color w:val="000000"/>
          <w:shd w:val="clear" w:color="auto" w:fill="FFFFFF"/>
        </w:rPr>
        <w:t xml:space="preserve">ic </w:t>
      </w:r>
      <w:r w:rsidRPr="00364F07">
        <w:rPr>
          <w:color w:val="000000"/>
          <w:shd w:val="clear" w:color="auto" w:fill="FFFFFF"/>
        </w:rPr>
        <w:t>policy” pertaining to workers’ compensation vis-</w:t>
      </w:r>
      <w:r>
        <w:rPr>
          <w:color w:val="000000"/>
          <w:shd w:val="clear" w:color="auto" w:fill="FFFFFF"/>
        </w:rPr>
        <w:t>à</w:t>
      </w:r>
      <w:r w:rsidRPr="00364F07">
        <w:rPr>
          <w:color w:val="000000"/>
          <w:shd w:val="clear" w:color="auto" w:fill="FFFFFF"/>
        </w:rPr>
        <w:t>-vis other governmental actors—</w:t>
      </w:r>
      <w:r>
        <w:rPr>
          <w:color w:val="000000"/>
          <w:shd w:val="clear" w:color="auto" w:fill="FFFFFF"/>
        </w:rPr>
        <w:t xml:space="preserve">the amended language </w:t>
      </w:r>
      <w:r w:rsidRPr="00364F07">
        <w:rPr>
          <w:color w:val="000000"/>
          <w:shd w:val="clear" w:color="auto" w:fill="FFFFFF"/>
        </w:rPr>
        <w:t>ma</w:t>
      </w:r>
      <w:r>
        <w:rPr>
          <w:color w:val="000000"/>
          <w:shd w:val="clear" w:color="auto" w:fill="FFFFFF"/>
        </w:rPr>
        <w:t xml:space="preserve">kes </w:t>
      </w:r>
      <w:r w:rsidRPr="00364F07">
        <w:rPr>
          <w:color w:val="000000"/>
          <w:shd w:val="clear" w:color="auto" w:fill="FFFFFF"/>
        </w:rPr>
        <w:t>clear</w:t>
      </w:r>
      <w:r>
        <w:rPr>
          <w:color w:val="000000"/>
          <w:shd w:val="clear" w:color="auto" w:fill="FFFFFF"/>
        </w:rPr>
        <w:t xml:space="preserve"> for the first time</w:t>
      </w:r>
      <w:r w:rsidRPr="00364F07">
        <w:rPr>
          <w:color w:val="000000"/>
          <w:shd w:val="clear" w:color="auto" w:fill="FFFFFF"/>
        </w:rPr>
        <w:t xml:space="preserve"> </w:t>
      </w:r>
      <w:r>
        <w:rPr>
          <w:color w:val="000000"/>
          <w:shd w:val="clear" w:color="auto" w:fill="FFFFFF"/>
        </w:rPr>
        <w:t>that</w:t>
      </w:r>
      <w:r w:rsidRPr="00364F07">
        <w:rPr>
          <w:color w:val="000000"/>
          <w:shd w:val="clear" w:color="auto" w:fill="FFFFFF"/>
        </w:rPr>
        <w:t xml:space="preserve"> </w:t>
      </w:r>
      <w:r>
        <w:rPr>
          <w:color w:val="000000"/>
          <w:shd w:val="clear" w:color="auto" w:fill="FFFFFF"/>
        </w:rPr>
        <w:t>(1) </w:t>
      </w:r>
      <w:r w:rsidRPr="00364F07">
        <w:rPr>
          <w:color w:val="000000"/>
          <w:shd w:val="clear" w:color="auto" w:fill="FFFFFF"/>
        </w:rPr>
        <w:t xml:space="preserve">the Legislature’s “plenary” power to </w:t>
      </w:r>
      <w:r>
        <w:rPr>
          <w:color w:val="000000"/>
          <w:shd w:val="clear" w:color="auto" w:fill="FFFFFF"/>
        </w:rPr>
        <w:t xml:space="preserve">do all of the above-listed </w:t>
      </w:r>
      <w:r w:rsidRPr="00364F07">
        <w:rPr>
          <w:color w:val="000000"/>
          <w:shd w:val="clear" w:color="auto" w:fill="FFFFFF"/>
        </w:rPr>
        <w:t xml:space="preserve">things </w:t>
      </w:r>
      <w:r>
        <w:rPr>
          <w:color w:val="000000"/>
          <w:shd w:val="clear" w:color="auto" w:fill="FFFFFF"/>
        </w:rPr>
        <w:t xml:space="preserve">is </w:t>
      </w:r>
      <w:r w:rsidRPr="00364F07">
        <w:rPr>
          <w:color w:val="000000"/>
          <w:shd w:val="clear" w:color="auto" w:fill="FFFFFF"/>
        </w:rPr>
        <w:t xml:space="preserve">“unlimited by any provision of this </w:t>
      </w:r>
      <w:r>
        <w:rPr>
          <w:color w:val="000000"/>
          <w:shd w:val="clear" w:color="auto" w:fill="FFFFFF"/>
        </w:rPr>
        <w:t>c</w:t>
      </w:r>
      <w:r w:rsidRPr="00364F07">
        <w:rPr>
          <w:color w:val="000000"/>
          <w:shd w:val="clear" w:color="auto" w:fill="FFFFFF"/>
        </w:rPr>
        <w:t>o</w:t>
      </w:r>
      <w:r w:rsidRPr="00364F07">
        <w:rPr>
          <w:color w:val="000000"/>
          <w:shd w:val="clear" w:color="auto" w:fill="FFFFFF"/>
        </w:rPr>
        <w:t>nstitution”</w:t>
      </w:r>
      <w:r>
        <w:rPr>
          <w:color w:val="000000"/>
          <w:shd w:val="clear" w:color="auto" w:fill="FFFFFF"/>
        </w:rPr>
        <w:t xml:space="preserve"> and (2) </w:t>
      </w:r>
      <w:r w:rsidRPr="00364F07">
        <w:rPr>
          <w:color w:val="000000"/>
          <w:shd w:val="clear" w:color="auto" w:fill="FFFFFF"/>
        </w:rPr>
        <w:t xml:space="preserve">the “social </w:t>
      </w:r>
      <w:r>
        <w:rPr>
          <w:color w:val="000000"/>
          <w:shd w:val="clear" w:color="auto" w:fill="FFFFFF"/>
        </w:rPr>
        <w:t xml:space="preserve">public </w:t>
      </w:r>
      <w:r w:rsidRPr="00364F07">
        <w:rPr>
          <w:color w:val="000000"/>
          <w:shd w:val="clear" w:color="auto" w:fill="FFFFFF"/>
        </w:rPr>
        <w:t xml:space="preserve">policy” reflected in the system of workers’ compensation established by the Legislature pursuant to this authority </w:t>
      </w:r>
      <w:r>
        <w:rPr>
          <w:color w:val="000000"/>
          <w:shd w:val="clear" w:color="auto" w:fill="FFFFFF"/>
        </w:rPr>
        <w:t xml:space="preserve">is </w:t>
      </w:r>
      <w:r w:rsidRPr="00364F07">
        <w:rPr>
          <w:color w:val="000000"/>
          <w:shd w:val="clear" w:color="auto" w:fill="FFFFFF"/>
        </w:rPr>
        <w:t xml:space="preserve">“binding </w:t>
      </w:r>
      <w:r>
        <w:rPr>
          <w:color w:val="000000"/>
          <w:shd w:val="clear" w:color="auto" w:fill="FFFFFF"/>
        </w:rPr>
        <w:t>up</w:t>
      </w:r>
      <w:r w:rsidRPr="00364F07">
        <w:rPr>
          <w:color w:val="000000"/>
          <w:shd w:val="clear" w:color="auto" w:fill="FFFFFF"/>
        </w:rPr>
        <w:t xml:space="preserve">on all departments of </w:t>
      </w:r>
      <w:r>
        <w:rPr>
          <w:color w:val="000000"/>
          <w:shd w:val="clear" w:color="auto" w:fill="FFFFFF"/>
        </w:rPr>
        <w:t>the s</w:t>
      </w:r>
      <w:r w:rsidRPr="00364F07">
        <w:rPr>
          <w:color w:val="000000"/>
          <w:shd w:val="clear" w:color="auto" w:fill="FFFFFF"/>
        </w:rPr>
        <w:t>tate government.”</w:t>
      </w:r>
      <w:r>
        <w:rPr>
          <w:color w:val="000000"/>
          <w:shd w:val="clear" w:color="auto" w:fill="FFFFFF"/>
        </w:rPr>
        <w:t xml:space="preserve">  (Former art. XX, § 21, amended by Prop. 23</w:t>
      </w:r>
      <w:r>
        <w:rPr>
          <w:color w:val="000000"/>
          <w:shd w:val="clear" w:color="auto" w:fill="FFFFFF"/>
        </w:rPr>
        <w:t>, Gen. Election (Nov. 5, 1918).)</w:t>
      </w:r>
    </w:p>
    <w:p w14:paraId="1B430CD4" w14:textId="77777777" w:rsidR="00AB000C" w:rsidRPr="00ED0F57" w:rsidRDefault="00570B35" w:rsidP="00AB000C">
      <w:pPr>
        <w:ind w:firstLine="720"/>
        <w:rPr>
          <w:color w:val="000000"/>
          <w:shd w:val="clear" w:color="auto" w:fill="FFFFFF"/>
        </w:rPr>
      </w:pPr>
      <w:r>
        <w:rPr>
          <w:color w:val="000000"/>
          <w:shd w:val="clear" w:color="auto" w:fill="FFFFFF"/>
        </w:rPr>
        <w:t>Stepping back for a moment to</w:t>
      </w:r>
      <w:r>
        <w:t xml:space="preserve"> understand why a second ballot amendment was necessary in 1918, we must look to case law developments.  In 1915, </w:t>
      </w:r>
      <w:r>
        <w:rPr>
          <w:rFonts w:eastAsia="Times New Roman" w:cs="Times New Roman"/>
          <w:color w:val="000000"/>
        </w:rPr>
        <w:t xml:space="preserve">our Supreme Court </w:t>
      </w:r>
      <w:r w:rsidRPr="00CC253C">
        <w:rPr>
          <w:color w:val="000000"/>
          <w:shd w:val="clear" w:color="auto" w:fill="FFFFFF"/>
        </w:rPr>
        <w:t xml:space="preserve">upheld the </w:t>
      </w:r>
      <w:r>
        <w:rPr>
          <w:color w:val="000000"/>
          <w:shd w:val="clear" w:color="auto" w:fill="FFFFFF"/>
        </w:rPr>
        <w:t>Boynton Act a</w:t>
      </w:r>
      <w:r w:rsidRPr="00CC253C">
        <w:rPr>
          <w:color w:val="000000"/>
          <w:shd w:val="clear" w:color="auto" w:fill="FFFFFF"/>
        </w:rPr>
        <w:t>gainst constitutional attack</w:t>
      </w:r>
      <w:r>
        <w:rPr>
          <w:color w:val="000000"/>
          <w:shd w:val="clear" w:color="auto" w:fill="FFFFFF"/>
        </w:rPr>
        <w:t xml:space="preserve"> in </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Pr>
          <w:rFonts w:eastAsia="Times New Roman" w:cs="Times New Roman"/>
          <w:color w:val="000000"/>
          <w:bdr w:val="none" w:sz="0" w:space="0" w:color="auto" w:frame="1"/>
        </w:rPr>
        <w:t xml:space="preserve"> </w:t>
      </w:r>
      <w:r>
        <w:rPr>
          <w:rFonts w:eastAsia="Times New Roman" w:cs="Times New Roman"/>
          <w:color w:val="000000"/>
        </w:rPr>
        <w:t xml:space="preserve">over </w:t>
      </w:r>
      <w:r>
        <w:rPr>
          <w:color w:val="000000"/>
          <w:shd w:val="clear" w:color="auto" w:fill="FFFFFF"/>
        </w:rPr>
        <w:t xml:space="preserve">a vigorous dissent </w:t>
      </w:r>
      <w:r w:rsidRPr="00E7063C">
        <w:rPr>
          <w:color w:val="000000"/>
          <w:shd w:val="clear" w:color="auto" w:fill="FFFFFF"/>
        </w:rPr>
        <w:t>by Justice Henshaw, who predicted that “</w:t>
      </w:r>
      <w:r w:rsidRPr="00E7063C">
        <w:rPr>
          <w:rFonts w:cs="Arial"/>
          <w:color w:val="000000"/>
          <w:shd w:val="clear" w:color="auto" w:fill="FFFFFF"/>
        </w:rPr>
        <w:t xml:space="preserve">the decision in this case will doubtless pass under the scrutiny of the </w:t>
      </w:r>
      <w:r>
        <w:rPr>
          <w:rFonts w:cs="Arial"/>
          <w:color w:val="000000"/>
          <w:shd w:val="clear" w:color="auto" w:fill="FFFFFF"/>
        </w:rPr>
        <w:t>s</w:t>
      </w:r>
      <w:r w:rsidRPr="00E7063C">
        <w:rPr>
          <w:rFonts w:cs="Arial"/>
          <w:color w:val="000000"/>
          <w:shd w:val="clear" w:color="auto" w:fill="FFFFFF"/>
        </w:rPr>
        <w:t xml:space="preserve">upreme </w:t>
      </w:r>
      <w:r>
        <w:rPr>
          <w:rFonts w:cs="Arial"/>
          <w:color w:val="000000"/>
          <w:shd w:val="clear" w:color="auto" w:fill="FFFFFF"/>
        </w:rPr>
        <w:t>c</w:t>
      </w:r>
      <w:r w:rsidRPr="00E7063C">
        <w:rPr>
          <w:rFonts w:cs="Arial"/>
          <w:color w:val="000000"/>
          <w:shd w:val="clear" w:color="auto" w:fill="FFFFFF"/>
        </w:rPr>
        <w:t xml:space="preserve">ourt of the United States” </w:t>
      </w:r>
      <w:r w:rsidRPr="00E7063C">
        <w:rPr>
          <w:color w:val="000000"/>
          <w:shd w:val="clear" w:color="auto" w:fill="FFFFFF"/>
        </w:rPr>
        <w:t>(</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Pr>
          <w:rFonts w:eastAsia="Times New Roman" w:cs="Times New Roman"/>
          <w:color w:val="000000"/>
          <w:bdr w:val="none" w:sz="0" w:space="0" w:color="auto" w:frame="1"/>
        </w:rPr>
        <w:t xml:space="preserve">, </w:t>
      </w:r>
      <w:r w:rsidRPr="00304FEB">
        <w:rPr>
          <w:rFonts w:eastAsia="Times New Roman" w:cs="Times New Roman"/>
          <w:i/>
          <w:iCs/>
          <w:color w:val="000000"/>
          <w:bdr w:val="none" w:sz="0" w:space="0" w:color="auto" w:frame="1"/>
        </w:rPr>
        <w:t>supra</w:t>
      </w:r>
      <w:r>
        <w:rPr>
          <w:rFonts w:eastAsia="Times New Roman" w:cs="Times New Roman"/>
          <w:color w:val="000000"/>
          <w:bdr w:val="none" w:sz="0" w:space="0" w:color="auto" w:frame="1"/>
        </w:rPr>
        <w:t xml:space="preserve">, </w:t>
      </w:r>
      <w:r w:rsidRPr="006304E8">
        <w:rPr>
          <w:rFonts w:eastAsia="Times New Roman" w:cs="Times New Roman"/>
          <w:color w:val="000000"/>
        </w:rPr>
        <w:t>170</w:t>
      </w:r>
      <w:r>
        <w:rPr>
          <w:rFonts w:eastAsia="Times New Roman" w:cs="Times New Roman"/>
          <w:color w:val="000000"/>
        </w:rPr>
        <w:t> </w:t>
      </w:r>
      <w:r w:rsidRPr="006304E8">
        <w:rPr>
          <w:rFonts w:eastAsia="Times New Roman" w:cs="Times New Roman"/>
          <w:color w:val="000000"/>
        </w:rPr>
        <w:t xml:space="preserve">Cal. </w:t>
      </w:r>
      <w:r w:rsidRPr="00E7063C">
        <w:rPr>
          <w:color w:val="000000"/>
          <w:shd w:val="clear" w:color="auto" w:fill="FFFFFF"/>
        </w:rPr>
        <w:t xml:space="preserve">at p. 721 (dis. </w:t>
      </w:r>
      <w:proofErr w:type="spellStart"/>
      <w:r>
        <w:rPr>
          <w:color w:val="000000"/>
          <w:shd w:val="clear" w:color="auto" w:fill="FFFFFF"/>
        </w:rPr>
        <w:t>o</w:t>
      </w:r>
      <w:r w:rsidRPr="00E7063C">
        <w:rPr>
          <w:color w:val="000000"/>
          <w:shd w:val="clear" w:color="auto" w:fill="FFFFFF"/>
        </w:rPr>
        <w:t>pn</w:t>
      </w:r>
      <w:proofErr w:type="spellEnd"/>
      <w:r w:rsidRPr="00E7063C">
        <w:rPr>
          <w:color w:val="000000"/>
          <w:shd w:val="clear" w:color="auto" w:fill="FFFFFF"/>
        </w:rPr>
        <w:t xml:space="preserve">. of Henshaw, J.)). </w:t>
      </w:r>
      <w:r>
        <w:rPr>
          <w:color w:val="000000"/>
          <w:shd w:val="clear" w:color="auto" w:fill="FFFFFF"/>
        </w:rPr>
        <w:t xml:space="preserve"> The </w:t>
      </w:r>
      <w:r>
        <w:rPr>
          <w:rFonts w:eastAsia="Times New Roman" w:cs="Times New Roman"/>
          <w:color w:val="000000"/>
        </w:rPr>
        <w:t>Henshaw</w:t>
      </w:r>
      <w:r>
        <w:rPr>
          <w:color w:val="000000"/>
          <w:shd w:val="clear" w:color="auto" w:fill="FFFFFF"/>
        </w:rPr>
        <w:t xml:space="preserve"> dissent in </w:t>
      </w:r>
      <w:r w:rsidRPr="00CC253C">
        <w:rPr>
          <w:rFonts w:eastAsia="Times New Roman" w:cs="Times New Roman"/>
          <w:i/>
          <w:iCs/>
          <w:color w:val="000000"/>
        </w:rPr>
        <w:t>Western Indemnity</w:t>
      </w:r>
      <w:r>
        <w:rPr>
          <w:rFonts w:eastAsia="Times New Roman" w:cs="Times New Roman"/>
          <w:i/>
          <w:iCs/>
          <w:color w:val="000000"/>
        </w:rPr>
        <w:t> </w:t>
      </w:r>
      <w:r w:rsidRPr="0018687E">
        <w:rPr>
          <w:rFonts w:eastAsia="Times New Roman" w:cs="Times New Roman"/>
          <w:i/>
          <w:iCs/>
          <w:color w:val="000000"/>
          <w:spacing w:val="40"/>
        </w:rPr>
        <w:t>I</w:t>
      </w:r>
      <w:r>
        <w:rPr>
          <w:rFonts w:eastAsia="Times New Roman" w:cs="Times New Roman"/>
          <w:color w:val="000000"/>
        </w:rPr>
        <w:t xml:space="preserve"> </w:t>
      </w:r>
      <w:r>
        <w:rPr>
          <w:color w:val="000000"/>
          <w:shd w:val="clear" w:color="auto" w:fill="FFFFFF"/>
        </w:rPr>
        <w:t>was wide-ranging.  It attacked the Boynton Act as an unreasonable exercise of the police power</w:t>
      </w:r>
      <w:r>
        <w:t>—</w:t>
      </w:r>
      <w:r>
        <w:rPr>
          <w:color w:val="000000"/>
          <w:shd w:val="clear" w:color="auto" w:fill="FFFFFF"/>
        </w:rPr>
        <w:t xml:space="preserve">a classic </w:t>
      </w:r>
      <w:r w:rsidRPr="0077232C">
        <w:rPr>
          <w:i/>
          <w:iCs/>
          <w:color w:val="000000"/>
          <w:shd w:val="clear" w:color="auto" w:fill="FFFFFF"/>
        </w:rPr>
        <w:t>Lochner</w:t>
      </w:r>
      <w:r>
        <w:rPr>
          <w:color w:val="000000"/>
          <w:shd w:val="clear" w:color="auto" w:fill="FFFFFF"/>
        </w:rPr>
        <w:t xml:space="preserve">-style substantive due process </w:t>
      </w:r>
      <w:r>
        <w:rPr>
          <w:color w:val="000000"/>
          <w:shd w:val="clear" w:color="auto" w:fill="FFFFFF"/>
        </w:rPr>
        <w:lastRenderedPageBreak/>
        <w:t>argument</w:t>
      </w:r>
      <w:r>
        <w:rPr>
          <w:rStyle w:val="FootnoteReference"/>
          <w:color w:val="000000"/>
          <w:shd w:val="clear" w:color="auto" w:fill="FFFFFF"/>
        </w:rPr>
        <w:footnoteReference w:id="31"/>
      </w:r>
      <w:r>
        <w:t>—</w:t>
      </w:r>
      <w:r>
        <w:rPr>
          <w:color w:val="000000"/>
          <w:shd w:val="clear" w:color="auto" w:fill="FFFFFF"/>
        </w:rPr>
        <w:t>but it raised equal protection and t</w:t>
      </w:r>
      <w:r>
        <w:rPr>
          <w:color w:val="000000"/>
          <w:shd w:val="clear" w:color="auto" w:fill="FFFFFF"/>
        </w:rPr>
        <w:t>akings clause issues as well.</w:t>
      </w:r>
      <w:r>
        <w:rPr>
          <w:rStyle w:val="FootnoteReference"/>
          <w:color w:val="000000"/>
          <w:shd w:val="clear" w:color="auto" w:fill="FFFFFF"/>
        </w:rPr>
        <w:footnoteReference w:id="32"/>
      </w:r>
      <w:r>
        <w:rPr>
          <w:color w:val="000000"/>
          <w:shd w:val="clear" w:color="auto" w:fill="FFFFFF"/>
        </w:rPr>
        <w:t xml:space="preserve">  A concurring opinion by Justice Shaw took the position that the no fault liability provisions of the Boynton Act were sustainable under the taxing power, but agreed that, in a case where an employee’s injury was brought abo</w:t>
      </w:r>
      <w:r>
        <w:rPr>
          <w:color w:val="000000"/>
          <w:shd w:val="clear" w:color="auto" w:fill="FFFFFF"/>
        </w:rPr>
        <w:t xml:space="preserve">ut by his own negligence, the application of the Boynton Act would constitute </w:t>
      </w:r>
      <w:r w:rsidRPr="006207D3">
        <w:rPr>
          <w:color w:val="000000"/>
          <w:shd w:val="clear" w:color="auto" w:fill="FFFFFF"/>
        </w:rPr>
        <w:t xml:space="preserve">“an attempt to take private property from the owner for the </w:t>
      </w:r>
      <w:r w:rsidRPr="00ED0F57">
        <w:rPr>
          <w:color w:val="000000"/>
          <w:shd w:val="clear" w:color="auto" w:fill="FFFFFF"/>
        </w:rPr>
        <w:t>private use of another person . . . without lawful excuse or right and without compensation.”</w:t>
      </w:r>
      <w:r w:rsidRPr="00ED0F57">
        <w:t xml:space="preserve">  </w:t>
      </w:r>
      <w:r w:rsidRPr="00EE3573">
        <w:rPr>
          <w:color w:val="000000"/>
          <w:shd w:val="clear" w:color="auto" w:fill="FFFFFF"/>
        </w:rPr>
        <w:t>(</w:t>
      </w:r>
      <w:r>
        <w:rPr>
          <w:i/>
          <w:iCs/>
          <w:color w:val="000000"/>
          <w:shd w:val="clear" w:color="auto" w:fill="FFFFFF"/>
        </w:rPr>
        <w:t>Western Indemnity I</w:t>
      </w:r>
      <w:r w:rsidRPr="00087E59">
        <w:rPr>
          <w:color w:val="000000"/>
          <w:shd w:val="clear" w:color="auto" w:fill="FFFFFF"/>
        </w:rPr>
        <w:t>,</w:t>
      </w:r>
      <w:r>
        <w:rPr>
          <w:i/>
          <w:iCs/>
          <w:color w:val="000000"/>
          <w:shd w:val="clear" w:color="auto" w:fill="FFFFFF"/>
        </w:rPr>
        <w:t xml:space="preserve"> supra</w:t>
      </w:r>
      <w:r w:rsidRPr="00087E59">
        <w:rPr>
          <w:color w:val="000000"/>
          <w:shd w:val="clear" w:color="auto" w:fill="FFFFFF"/>
        </w:rPr>
        <w:t xml:space="preserve">, </w:t>
      </w:r>
      <w:r w:rsidRPr="00ED0F57">
        <w:rPr>
          <w:color w:val="000000"/>
          <w:shd w:val="clear" w:color="auto" w:fill="FFFFFF"/>
        </w:rPr>
        <w:t>at p.</w:t>
      </w:r>
      <w:r>
        <w:rPr>
          <w:color w:val="000000"/>
          <w:shd w:val="clear" w:color="auto" w:fill="FFFFFF"/>
        </w:rPr>
        <w:t> </w:t>
      </w:r>
      <w:r w:rsidRPr="00C30E0E">
        <w:rPr>
          <w:color w:val="000000"/>
          <w:shd w:val="clear" w:color="auto" w:fill="FFFFFF"/>
        </w:rPr>
        <w:t xml:space="preserve">735 (conc. </w:t>
      </w:r>
      <w:proofErr w:type="spellStart"/>
      <w:r w:rsidRPr="00C30E0E">
        <w:rPr>
          <w:color w:val="000000"/>
          <w:shd w:val="clear" w:color="auto" w:fill="FFFFFF"/>
        </w:rPr>
        <w:t>opn</w:t>
      </w:r>
      <w:proofErr w:type="spellEnd"/>
      <w:r w:rsidRPr="00C30E0E">
        <w:rPr>
          <w:color w:val="000000"/>
          <w:shd w:val="clear" w:color="auto" w:fill="FFFFFF"/>
        </w:rPr>
        <w:t xml:space="preserve">. </w:t>
      </w:r>
      <w:proofErr w:type="spellStart"/>
      <w:r w:rsidRPr="00C30E0E">
        <w:rPr>
          <w:color w:val="000000"/>
          <w:shd w:val="clear" w:color="auto" w:fill="FFFFFF"/>
        </w:rPr>
        <w:t>dubitante</w:t>
      </w:r>
      <w:proofErr w:type="spellEnd"/>
      <w:r w:rsidRPr="003550C0">
        <w:rPr>
          <w:color w:val="000000"/>
          <w:shd w:val="clear" w:color="auto" w:fill="FFFFFF"/>
        </w:rPr>
        <w:t xml:space="preserve"> of </w:t>
      </w:r>
      <w:r w:rsidRPr="00ED0F57">
        <w:rPr>
          <w:color w:val="000000"/>
          <w:shd w:val="clear" w:color="auto" w:fill="FFFFFF"/>
        </w:rPr>
        <w:t>Shaw,</w:t>
      </w:r>
      <w:r>
        <w:rPr>
          <w:color w:val="000000"/>
          <w:shd w:val="clear" w:color="auto" w:fill="FFFFFF"/>
        </w:rPr>
        <w:t> </w:t>
      </w:r>
      <w:r w:rsidRPr="00ED0F57">
        <w:rPr>
          <w:color w:val="000000"/>
          <w:shd w:val="clear" w:color="auto" w:fill="FFFFFF"/>
        </w:rPr>
        <w:t xml:space="preserve">J., </w:t>
      </w:r>
      <w:r w:rsidRPr="003550C0">
        <w:rPr>
          <w:color w:val="000000"/>
          <w:shd w:val="clear" w:color="auto" w:fill="FFFFFF"/>
        </w:rPr>
        <w:t xml:space="preserve">on </w:t>
      </w:r>
      <w:proofErr w:type="spellStart"/>
      <w:r w:rsidRPr="003550C0">
        <w:rPr>
          <w:color w:val="000000"/>
          <w:shd w:val="clear" w:color="auto" w:fill="FFFFFF"/>
        </w:rPr>
        <w:t>rehg</w:t>
      </w:r>
      <w:proofErr w:type="spellEnd"/>
      <w:r w:rsidRPr="003550C0">
        <w:rPr>
          <w:color w:val="000000"/>
          <w:shd w:val="clear" w:color="auto" w:fill="FFFFFF"/>
        </w:rPr>
        <w:t>. den.)</w:t>
      </w:r>
    </w:p>
    <w:p w14:paraId="764FD1CA" w14:textId="77777777" w:rsidR="00AB000C" w:rsidRPr="00ED0F57" w:rsidRDefault="00570B35" w:rsidP="00AB000C">
      <w:pPr>
        <w:ind w:firstLine="720"/>
        <w:rPr>
          <w:color w:val="000000"/>
          <w:shd w:val="clear" w:color="auto" w:fill="FFFFFF"/>
        </w:rPr>
      </w:pPr>
      <w:r w:rsidRPr="00ED0F57">
        <w:rPr>
          <w:color w:val="000000"/>
          <w:shd w:val="clear" w:color="auto" w:fill="FFFFFF"/>
        </w:rPr>
        <w:t xml:space="preserve">Perhaps most importantly, the concurrence and the dissent in </w:t>
      </w:r>
      <w:r w:rsidRPr="00ED0F57">
        <w:rPr>
          <w:i/>
          <w:iCs/>
          <w:color w:val="000000"/>
          <w:shd w:val="clear" w:color="auto" w:fill="FFFFFF"/>
        </w:rPr>
        <w:t>Western Indemnity</w:t>
      </w:r>
      <w:r>
        <w:rPr>
          <w:i/>
          <w:iCs/>
          <w:color w:val="000000"/>
          <w:shd w:val="clear" w:color="auto" w:fill="FFFFFF"/>
        </w:rPr>
        <w:t> </w:t>
      </w:r>
      <w:r w:rsidRPr="00ED0F57">
        <w:rPr>
          <w:i/>
          <w:iCs/>
          <w:color w:val="000000"/>
          <w:shd w:val="clear" w:color="auto" w:fill="FFFFFF"/>
        </w:rPr>
        <w:t>I</w:t>
      </w:r>
      <w:r w:rsidRPr="00ED0F57">
        <w:rPr>
          <w:color w:val="000000"/>
          <w:shd w:val="clear" w:color="auto" w:fill="FFFFFF"/>
        </w:rPr>
        <w:t xml:space="preserve"> together cast doubt on whether former article XX, section</w:t>
      </w:r>
      <w:r>
        <w:rPr>
          <w:color w:val="000000"/>
          <w:shd w:val="clear" w:color="auto" w:fill="FFFFFF"/>
        </w:rPr>
        <w:t> </w:t>
      </w:r>
      <w:r w:rsidRPr="00ED0F57">
        <w:rPr>
          <w:color w:val="000000"/>
          <w:shd w:val="clear" w:color="auto" w:fill="FFFFFF"/>
        </w:rPr>
        <w:t>21, provided adequate support for the Boynton Act</w:t>
      </w:r>
      <w:r w:rsidRPr="00ED0F57">
        <w:rPr>
          <w:color w:val="000000"/>
          <w:shd w:val="clear" w:color="auto" w:fill="FFFFFF"/>
        </w:rPr>
        <w:t xml:space="preserve"> as a matter of state law.</w:t>
      </w:r>
      <w:r>
        <w:rPr>
          <w:rStyle w:val="FootnoteReference"/>
          <w:color w:val="000000"/>
          <w:shd w:val="clear" w:color="auto" w:fill="FFFFFF"/>
        </w:rPr>
        <w:footnoteReference w:id="33"/>
      </w:r>
      <w:r w:rsidRPr="00ED0F57">
        <w:rPr>
          <w:color w:val="000000"/>
          <w:shd w:val="clear" w:color="auto" w:fill="FFFFFF"/>
        </w:rPr>
        <w:t xml:space="preserve">  </w:t>
      </w:r>
      <w:r>
        <w:rPr>
          <w:color w:val="000000"/>
          <w:shd w:val="clear" w:color="auto" w:fill="FFFFFF"/>
        </w:rPr>
        <w:t>Justice</w:t>
      </w:r>
      <w:r w:rsidRPr="00ED0F57">
        <w:rPr>
          <w:color w:val="000000"/>
          <w:shd w:val="clear" w:color="auto" w:fill="FFFFFF"/>
        </w:rPr>
        <w:t xml:space="preserve"> Henshaw</w:t>
      </w:r>
      <w:r>
        <w:rPr>
          <w:color w:val="000000"/>
          <w:shd w:val="clear" w:color="auto" w:fill="FFFFFF"/>
        </w:rPr>
        <w:t>, who saw the Boynton Act as an exercise in “socialistic paternalism” (</w:t>
      </w:r>
      <w:r w:rsidRPr="006304E8">
        <w:rPr>
          <w:rFonts w:eastAsia="Times New Roman" w:cs="Times New Roman"/>
          <w:i/>
          <w:iCs/>
          <w:color w:val="000000"/>
          <w:bdr w:val="none" w:sz="0" w:space="0" w:color="auto" w:frame="1"/>
        </w:rPr>
        <w:t xml:space="preserve">Western </w:t>
      </w:r>
      <w:r w:rsidRPr="006304E8">
        <w:rPr>
          <w:rFonts w:eastAsia="Times New Roman" w:cs="Times New Roman"/>
          <w:i/>
          <w:iCs/>
          <w:color w:val="000000"/>
          <w:bdr w:val="none" w:sz="0" w:space="0" w:color="auto" w:frame="1"/>
        </w:rPr>
        <w:lastRenderedPageBreak/>
        <w:t>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sidRPr="0039586B">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supra</w:t>
      </w:r>
      <w:r w:rsidRPr="0039586B">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sidRPr="006304E8">
        <w:rPr>
          <w:rFonts w:eastAsia="Times New Roman" w:cs="Times New Roman"/>
          <w:color w:val="000000"/>
        </w:rPr>
        <w:t>170</w:t>
      </w:r>
      <w:r>
        <w:rPr>
          <w:rFonts w:eastAsia="Times New Roman" w:cs="Times New Roman"/>
          <w:color w:val="000000"/>
        </w:rPr>
        <w:t> </w:t>
      </w:r>
      <w:r w:rsidRPr="006304E8">
        <w:rPr>
          <w:rFonts w:eastAsia="Times New Roman" w:cs="Times New Roman"/>
          <w:color w:val="000000"/>
        </w:rPr>
        <w:t xml:space="preserve">Cal. </w:t>
      </w:r>
      <w:r>
        <w:rPr>
          <w:rFonts w:eastAsia="Times New Roman" w:cs="Times New Roman"/>
          <w:color w:val="000000"/>
        </w:rPr>
        <w:t>at p. 724</w:t>
      </w:r>
      <w:r>
        <w:rPr>
          <w:color w:val="000000"/>
          <w:shd w:val="clear" w:color="auto" w:fill="FFFFFF"/>
        </w:rPr>
        <w:t>), articulated this view most forcefully.  His</w:t>
      </w:r>
      <w:r w:rsidRPr="00ED0F57">
        <w:rPr>
          <w:color w:val="000000"/>
          <w:shd w:val="clear" w:color="auto" w:fill="FFFFFF"/>
        </w:rPr>
        <w:t xml:space="preserve"> dissent </w:t>
      </w:r>
      <w:r>
        <w:rPr>
          <w:color w:val="000000"/>
          <w:shd w:val="clear" w:color="auto" w:fill="FFFFFF"/>
        </w:rPr>
        <w:t>hammered away at</w:t>
      </w:r>
      <w:r w:rsidRPr="00ED0F57">
        <w:rPr>
          <w:color w:val="000000"/>
          <w:shd w:val="clear" w:color="auto" w:fill="FFFFFF"/>
        </w:rPr>
        <w:t xml:space="preserve"> the theme that the basis for the Boynton Act was not an exercise of the police power at all, but </w:t>
      </w:r>
      <w:r>
        <w:rPr>
          <w:color w:val="000000"/>
          <w:shd w:val="clear" w:color="auto" w:fill="FFFFFF"/>
        </w:rPr>
        <w:t xml:space="preserve">instead was </w:t>
      </w:r>
      <w:r w:rsidRPr="00ED0F57">
        <w:rPr>
          <w:color w:val="000000"/>
          <w:shd w:val="clear" w:color="auto" w:fill="FFFFFF"/>
        </w:rPr>
        <w:t xml:space="preserve">an </w:t>
      </w:r>
      <w:r>
        <w:rPr>
          <w:color w:val="000000"/>
          <w:shd w:val="clear" w:color="auto" w:fill="FFFFFF"/>
        </w:rPr>
        <w:t xml:space="preserve">unbridled </w:t>
      </w:r>
      <w:r w:rsidRPr="00ED0F57">
        <w:rPr>
          <w:color w:val="000000"/>
          <w:shd w:val="clear" w:color="auto" w:fill="FFFFFF"/>
        </w:rPr>
        <w:t>ex</w:t>
      </w:r>
      <w:r>
        <w:rPr>
          <w:color w:val="000000"/>
          <w:shd w:val="clear" w:color="auto" w:fill="FFFFFF"/>
        </w:rPr>
        <w:t xml:space="preserve">pression of </w:t>
      </w:r>
      <w:r w:rsidRPr="00ED0F57">
        <w:rPr>
          <w:color w:val="000000"/>
          <w:shd w:val="clear" w:color="auto" w:fill="FFFFFF"/>
        </w:rPr>
        <w:t>sovereign “fiat”</w:t>
      </w:r>
      <w:r>
        <w:rPr>
          <w:color w:val="000000"/>
          <w:shd w:val="clear" w:color="auto" w:fill="FFFFFF"/>
        </w:rPr>
        <w:t xml:space="preserve"> (</w:t>
      </w:r>
      <w:r>
        <w:rPr>
          <w:rFonts w:eastAsia="Times New Roman" w:cs="Times New Roman"/>
          <w:i/>
          <w:iCs/>
          <w:color w:val="000000"/>
          <w:bdr w:val="none" w:sz="0" w:space="0" w:color="auto" w:frame="1"/>
        </w:rPr>
        <w:t>Western Indemnity </w:t>
      </w:r>
      <w:r w:rsidRPr="005E7645">
        <w:rPr>
          <w:rFonts w:eastAsia="Times New Roman" w:cs="Times New Roman"/>
          <w:i/>
          <w:iCs/>
          <w:color w:val="000000"/>
          <w:bdr w:val="none" w:sz="0" w:space="0" w:color="auto" w:frame="1"/>
        </w:rPr>
        <w:t>I</w:t>
      </w:r>
      <w:r>
        <w:rPr>
          <w:rFonts w:eastAsia="Times New Roman" w:cs="Times New Roman"/>
          <w:color w:val="000000"/>
          <w:bdr w:val="none" w:sz="0" w:space="0" w:color="auto" w:frame="1"/>
        </w:rPr>
        <w:t xml:space="preserve">, </w:t>
      </w:r>
      <w:r w:rsidRPr="003E2B65">
        <w:rPr>
          <w:rFonts w:eastAsia="Times New Roman" w:cs="Times New Roman"/>
          <w:color w:val="000000"/>
          <w:bdr w:val="none" w:sz="0" w:space="0" w:color="auto" w:frame="1"/>
        </w:rPr>
        <w:t>at</w:t>
      </w:r>
      <w:r>
        <w:rPr>
          <w:rFonts w:eastAsia="Times New Roman" w:cs="Times New Roman"/>
          <w:i/>
          <w:iCs/>
          <w:color w:val="000000"/>
          <w:bdr w:val="none" w:sz="0" w:space="0" w:color="auto" w:frame="1"/>
        </w:rPr>
        <w:t xml:space="preserve"> </w:t>
      </w:r>
      <w:r>
        <w:rPr>
          <w:rFonts w:eastAsia="Times New Roman" w:cs="Times New Roman"/>
          <w:color w:val="000000"/>
        </w:rPr>
        <w:t xml:space="preserve">p. 710 (dis. </w:t>
      </w:r>
      <w:proofErr w:type="spellStart"/>
      <w:r>
        <w:rPr>
          <w:rFonts w:eastAsia="Times New Roman" w:cs="Times New Roman"/>
          <w:color w:val="000000"/>
        </w:rPr>
        <w:t>opn</w:t>
      </w:r>
      <w:proofErr w:type="spellEnd"/>
      <w:r>
        <w:rPr>
          <w:rFonts w:eastAsia="Times New Roman" w:cs="Times New Roman"/>
          <w:color w:val="000000"/>
        </w:rPr>
        <w:t>. of Henshaw, J.)</w:t>
      </w:r>
      <w:r>
        <w:rPr>
          <w:color w:val="000000"/>
          <w:shd w:val="clear" w:color="auto" w:fill="FFFFFF"/>
        </w:rPr>
        <w:t xml:space="preserve">) </w:t>
      </w:r>
      <w:r w:rsidRPr="003753F9">
        <w:rPr>
          <w:color w:val="000000"/>
          <w:shd w:val="clear" w:color="auto" w:fill="FFFFFF"/>
        </w:rPr>
        <w:t xml:space="preserve">that </w:t>
      </w:r>
      <w:r>
        <w:rPr>
          <w:color w:val="000000"/>
          <w:shd w:val="clear" w:color="auto" w:fill="FFFFFF"/>
        </w:rPr>
        <w:t>“</w:t>
      </w:r>
      <w:r w:rsidRPr="003753F9">
        <w:rPr>
          <w:color w:val="000000"/>
          <w:shd w:val="clear" w:color="auto" w:fill="FFFFFF"/>
        </w:rPr>
        <w:t>places</w:t>
      </w:r>
      <w:r w:rsidRPr="00ED0F57">
        <w:rPr>
          <w:color w:val="000000"/>
          <w:shd w:val="clear" w:color="auto" w:fill="FFFFFF"/>
        </w:rPr>
        <w:t xml:space="preserve"> upon the employer, to the per</w:t>
      </w:r>
      <w:r w:rsidRPr="00ED0F57">
        <w:rPr>
          <w:color w:val="000000"/>
          <w:shd w:val="clear" w:color="auto" w:fill="FFFFFF"/>
        </w:rPr>
        <w:t xml:space="preserve">il of his welfare and the loss of all his property, the performance of a duty resting upon the state itself.” </w:t>
      </w:r>
      <w:r>
        <w:rPr>
          <w:color w:val="000000"/>
          <w:shd w:val="clear" w:color="auto" w:fill="FFFFFF"/>
        </w:rPr>
        <w:t xml:space="preserve"> (</w:t>
      </w:r>
      <w:r w:rsidRPr="00220D49">
        <w:rPr>
          <w:i/>
          <w:iCs/>
          <w:color w:val="000000"/>
          <w:shd w:val="clear" w:color="auto" w:fill="FFFFFF"/>
        </w:rPr>
        <w:t>Id</w:t>
      </w:r>
      <w:r>
        <w:rPr>
          <w:i/>
          <w:iCs/>
          <w:color w:val="000000"/>
          <w:shd w:val="clear" w:color="auto" w:fill="FFFFFF"/>
        </w:rPr>
        <w:t>.</w:t>
      </w:r>
      <w:r>
        <w:rPr>
          <w:color w:val="000000"/>
          <w:shd w:val="clear" w:color="auto" w:fill="FFFFFF"/>
        </w:rPr>
        <w:t xml:space="preserve"> at p. </w:t>
      </w:r>
      <w:r>
        <w:rPr>
          <w:rFonts w:eastAsia="Times New Roman" w:cs="Times New Roman"/>
          <w:color w:val="000000"/>
        </w:rPr>
        <w:t xml:space="preserve">723.) </w:t>
      </w:r>
      <w:r w:rsidRPr="00ED0F57">
        <w:rPr>
          <w:color w:val="000000"/>
          <w:shd w:val="clear" w:color="auto" w:fill="FFFFFF"/>
        </w:rPr>
        <w:t xml:space="preserve"> According to </w:t>
      </w:r>
      <w:r>
        <w:rPr>
          <w:color w:val="000000"/>
          <w:shd w:val="clear" w:color="auto" w:fill="FFFFFF"/>
        </w:rPr>
        <w:t>Justice Henshaw</w:t>
      </w:r>
      <w:r w:rsidRPr="00ED0F57">
        <w:rPr>
          <w:color w:val="000000"/>
          <w:shd w:val="clear" w:color="auto" w:fill="FFFFFF"/>
        </w:rPr>
        <w:t>, the “</w:t>
      </w:r>
      <w:r>
        <w:rPr>
          <w:color w:val="000000"/>
          <w:shd w:val="clear" w:color="auto" w:fill="FFFFFF"/>
        </w:rPr>
        <w:t>[l]</w:t>
      </w:r>
      <w:proofErr w:type="spellStart"/>
      <w:r w:rsidRPr="00ED0F57">
        <w:rPr>
          <w:color w:val="000000"/>
          <w:shd w:val="clear" w:color="auto" w:fill="FFFFFF"/>
        </w:rPr>
        <w:t>egislature</w:t>
      </w:r>
      <w:proofErr w:type="spellEnd"/>
      <w:r w:rsidRPr="00ED0F57">
        <w:rPr>
          <w:color w:val="000000"/>
          <w:shd w:val="clear" w:color="auto" w:fill="FFFFFF"/>
        </w:rPr>
        <w:t xml:space="preserve"> mistakenly put on this constitutional grant</w:t>
      </w:r>
      <w:r>
        <w:rPr>
          <w:color w:val="000000"/>
          <w:shd w:val="clear" w:color="auto" w:fill="FFFFFF"/>
        </w:rPr>
        <w:t xml:space="preserve">” </w:t>
      </w:r>
      <w:r w:rsidRPr="00ED0F57">
        <w:rPr>
          <w:color w:val="000000"/>
          <w:shd w:val="clear" w:color="auto" w:fill="FFFFFF"/>
        </w:rPr>
        <w:t>a</w:t>
      </w:r>
      <w:r>
        <w:rPr>
          <w:color w:val="000000"/>
          <w:shd w:val="clear" w:color="auto" w:fill="FFFFFF"/>
        </w:rPr>
        <w:t xml:space="preserve"> </w:t>
      </w:r>
      <w:r w:rsidRPr="00ED0F57">
        <w:rPr>
          <w:color w:val="000000"/>
          <w:shd w:val="clear" w:color="auto" w:fill="FFFFFF"/>
        </w:rPr>
        <w:t xml:space="preserve">vast and oppressive power that went well beyond </w:t>
      </w:r>
      <w:r>
        <w:rPr>
          <w:color w:val="000000"/>
          <w:shd w:val="clear" w:color="auto" w:fill="FFFFFF"/>
        </w:rPr>
        <w:t>its “</w:t>
      </w:r>
      <w:r w:rsidRPr="00ED0F57">
        <w:rPr>
          <w:color w:val="000000"/>
          <w:shd w:val="clear" w:color="auto" w:fill="FFFFFF"/>
        </w:rPr>
        <w:t>declared limits</w:t>
      </w:r>
      <w:r>
        <w:rPr>
          <w:color w:val="000000"/>
          <w:shd w:val="clear" w:color="auto" w:fill="FFFFFF"/>
        </w:rPr>
        <w:t>.”  (</w:t>
      </w:r>
      <w:r w:rsidRPr="00F87C83">
        <w:rPr>
          <w:i/>
          <w:iCs/>
          <w:color w:val="000000"/>
          <w:shd w:val="clear" w:color="auto" w:fill="FFFFFF"/>
        </w:rPr>
        <w:t>Id</w:t>
      </w:r>
      <w:r>
        <w:rPr>
          <w:color w:val="000000"/>
          <w:shd w:val="clear" w:color="auto" w:fill="FFFFFF"/>
        </w:rPr>
        <w:t>. at p. 729.)</w:t>
      </w:r>
    </w:p>
    <w:p w14:paraId="6F303C19" w14:textId="77777777" w:rsidR="00AB000C" w:rsidRDefault="00570B35" w:rsidP="00AB000C">
      <w:pPr>
        <w:ind w:firstLine="720"/>
        <w:rPr>
          <w:rFonts w:eastAsia="Times New Roman" w:cs="Times New Roman"/>
          <w:color w:val="000000"/>
        </w:rPr>
      </w:pPr>
      <w:r>
        <w:rPr>
          <w:color w:val="000000"/>
          <w:shd w:val="clear" w:color="auto" w:fill="FFFFFF"/>
        </w:rPr>
        <w:t>This backdrop in the California Supreme Court is important here, but j</w:t>
      </w:r>
      <w:r w:rsidRPr="00ED0F57">
        <w:rPr>
          <w:color w:val="000000"/>
          <w:shd w:val="clear" w:color="auto" w:fill="FFFFFF"/>
        </w:rPr>
        <w:t xml:space="preserve">ust as relevant </w:t>
      </w:r>
      <w:r>
        <w:rPr>
          <w:color w:val="000000"/>
          <w:shd w:val="clear" w:color="auto" w:fill="FFFFFF"/>
        </w:rPr>
        <w:t xml:space="preserve">are developments prior to 1918 in the </w:t>
      </w:r>
      <w:r w:rsidRPr="00ED0F57">
        <w:rPr>
          <w:color w:val="000000"/>
          <w:shd w:val="clear" w:color="auto" w:fill="FFFFFF"/>
        </w:rPr>
        <w:t>United States Supreme Court</w:t>
      </w:r>
      <w:r>
        <w:rPr>
          <w:color w:val="000000"/>
          <w:shd w:val="clear" w:color="auto" w:fill="FFFFFF"/>
        </w:rPr>
        <w:t>.  While concern</w:t>
      </w:r>
      <w:r>
        <w:rPr>
          <w:color w:val="000000"/>
          <w:shd w:val="clear" w:color="auto" w:fill="FFFFFF"/>
        </w:rPr>
        <w:t xml:space="preserve">s about potential constitutional invalidation as a matter of substantive due process under the United States Constitution were real in 1915, as </w:t>
      </w:r>
      <w:r w:rsidRPr="00ED0F57">
        <w:rPr>
          <w:color w:val="000000"/>
          <w:shd w:val="clear" w:color="auto" w:fill="FFFFFF"/>
        </w:rPr>
        <w:t>Justice Henshaw</w:t>
      </w:r>
      <w:r>
        <w:rPr>
          <w:color w:val="000000"/>
          <w:shd w:val="clear" w:color="auto" w:fill="FFFFFF"/>
        </w:rPr>
        <w:t>’s dissent demonstrates, those concerns had largely evaporated by 1918.</w:t>
      </w:r>
      <w:r w:rsidRPr="00ED0F57">
        <w:rPr>
          <w:color w:val="000000"/>
          <w:shd w:val="clear" w:color="auto" w:fill="FFFFFF"/>
        </w:rPr>
        <w:t xml:space="preserve">  </w:t>
      </w:r>
      <w:r>
        <w:rPr>
          <w:color w:val="000000"/>
          <w:shd w:val="clear" w:color="auto" w:fill="FFFFFF"/>
        </w:rPr>
        <w:t xml:space="preserve">The </w:t>
      </w:r>
      <w:r w:rsidRPr="00ED0F57">
        <w:rPr>
          <w:color w:val="000000"/>
          <w:shd w:val="clear" w:color="auto" w:fill="FFFFFF"/>
        </w:rPr>
        <w:t>prediction of a gran</w:t>
      </w:r>
      <w:r w:rsidRPr="00ED0F57">
        <w:rPr>
          <w:color w:val="000000"/>
          <w:shd w:val="clear" w:color="auto" w:fill="FFFFFF"/>
        </w:rPr>
        <w:t xml:space="preserve">t of certiorari in </w:t>
      </w:r>
      <w:r w:rsidRPr="00ED0F57">
        <w:rPr>
          <w:i/>
          <w:iCs/>
          <w:color w:val="000000"/>
          <w:shd w:val="clear" w:color="auto" w:fill="FFFFFF"/>
        </w:rPr>
        <w:t>Western Indemnity</w:t>
      </w:r>
      <w:r>
        <w:rPr>
          <w:i/>
          <w:iCs/>
          <w:color w:val="000000"/>
          <w:shd w:val="clear" w:color="auto" w:fill="FFFFFF"/>
        </w:rPr>
        <w:t> </w:t>
      </w:r>
      <w:r w:rsidRPr="00461B2A">
        <w:rPr>
          <w:i/>
          <w:iCs/>
          <w:color w:val="000000"/>
          <w:shd w:val="clear" w:color="auto" w:fill="FFFFFF"/>
        </w:rPr>
        <w:t>I</w:t>
      </w:r>
      <w:r w:rsidRPr="00461B2A">
        <w:rPr>
          <w:color w:val="000000"/>
          <w:shd w:val="clear" w:color="auto" w:fill="FFFFFF"/>
        </w:rPr>
        <w:t xml:space="preserve"> did not come true, </w:t>
      </w:r>
      <w:r>
        <w:rPr>
          <w:color w:val="000000"/>
          <w:shd w:val="clear" w:color="auto" w:fill="FFFFFF"/>
        </w:rPr>
        <w:t xml:space="preserve">and in a trio of cases decided in </w:t>
      </w:r>
      <w:r w:rsidRPr="00461B2A">
        <w:rPr>
          <w:color w:val="000000"/>
          <w:shd w:val="clear" w:color="auto" w:fill="FFFFFF"/>
        </w:rPr>
        <w:t xml:space="preserve">the </w:t>
      </w:r>
      <w:r>
        <w:rPr>
          <w:color w:val="000000"/>
          <w:shd w:val="clear" w:color="auto" w:fill="FFFFFF"/>
        </w:rPr>
        <w:t>high court’s 1917 term,</w:t>
      </w:r>
      <w:r w:rsidRPr="00461B2A">
        <w:rPr>
          <w:color w:val="000000"/>
          <w:shd w:val="clear" w:color="auto" w:fill="FFFFFF"/>
        </w:rPr>
        <w:t xml:space="preserve"> th</w:t>
      </w:r>
      <w:r>
        <w:rPr>
          <w:color w:val="000000"/>
          <w:shd w:val="clear" w:color="auto" w:fill="FFFFFF"/>
        </w:rPr>
        <w:t>at c</w:t>
      </w:r>
      <w:r w:rsidRPr="00461B2A">
        <w:rPr>
          <w:color w:val="000000"/>
          <w:shd w:val="clear" w:color="auto" w:fill="FFFFFF"/>
        </w:rPr>
        <w:t>ourt addressed—and rejected—</w:t>
      </w:r>
      <w:r w:rsidRPr="00461B2A">
        <w:rPr>
          <w:i/>
          <w:iCs/>
          <w:color w:val="000000"/>
          <w:shd w:val="clear" w:color="auto" w:fill="FFFFFF"/>
        </w:rPr>
        <w:t>Lochner</w:t>
      </w:r>
      <w:r w:rsidRPr="00461B2A">
        <w:rPr>
          <w:color w:val="000000"/>
          <w:shd w:val="clear" w:color="auto" w:fill="FFFFFF"/>
        </w:rPr>
        <w:t xml:space="preserve"> challenges to statutory </w:t>
      </w:r>
      <w:r w:rsidRPr="00BF3D91">
        <w:rPr>
          <w:color w:val="000000"/>
          <w:shd w:val="clear" w:color="auto" w:fill="FFFFFF"/>
        </w:rPr>
        <w:t>workers</w:t>
      </w:r>
      <w:r w:rsidRPr="00E95D6E">
        <w:rPr>
          <w:color w:val="000000"/>
          <w:shd w:val="clear" w:color="auto" w:fill="FFFFFF"/>
        </w:rPr>
        <w:t xml:space="preserve">’ </w:t>
      </w:r>
      <w:r w:rsidRPr="00461B2A">
        <w:rPr>
          <w:color w:val="000000"/>
          <w:shd w:val="clear" w:color="auto" w:fill="FFFFFF"/>
        </w:rPr>
        <w:t>compensation</w:t>
      </w:r>
      <w:r>
        <w:rPr>
          <w:color w:val="000000"/>
          <w:shd w:val="clear" w:color="auto" w:fill="FFFFFF"/>
        </w:rPr>
        <w:t xml:space="preserve"> systems of different kinds.  </w:t>
      </w:r>
      <w:r w:rsidRPr="00461B2A">
        <w:rPr>
          <w:color w:val="000000"/>
          <w:shd w:val="clear" w:color="auto" w:fill="FFFFFF"/>
        </w:rPr>
        <w:t>(</w:t>
      </w:r>
      <w:r>
        <w:rPr>
          <w:color w:val="000000"/>
          <w:shd w:val="clear" w:color="auto" w:fill="FFFFFF"/>
        </w:rPr>
        <w:t xml:space="preserve">See </w:t>
      </w:r>
      <w:r w:rsidRPr="00497EFD">
        <w:rPr>
          <w:rFonts w:eastAsia="Times New Roman" w:cs="Times New Roman"/>
          <w:i/>
          <w:iCs/>
          <w:color w:val="000000"/>
          <w:bdr w:val="none" w:sz="0" w:space="0" w:color="auto" w:frame="1"/>
        </w:rPr>
        <w:t>Mountain Timber Co. v. State of Washington</w:t>
      </w:r>
      <w:r>
        <w:rPr>
          <w:rFonts w:eastAsia="Times New Roman" w:cs="Times New Roman"/>
          <w:color w:val="000000"/>
        </w:rPr>
        <w:t xml:space="preserve"> </w:t>
      </w:r>
      <w:r w:rsidRPr="00497EFD">
        <w:rPr>
          <w:rFonts w:eastAsia="Times New Roman" w:cs="Times New Roman"/>
          <w:color w:val="000000"/>
        </w:rPr>
        <w:t>(1917) 243</w:t>
      </w:r>
      <w:r>
        <w:rPr>
          <w:rFonts w:eastAsia="Times New Roman" w:cs="Times New Roman"/>
          <w:color w:val="000000"/>
        </w:rPr>
        <w:t> </w:t>
      </w:r>
      <w:r w:rsidRPr="00497EFD">
        <w:rPr>
          <w:rFonts w:eastAsia="Times New Roman" w:cs="Times New Roman"/>
          <w:color w:val="000000"/>
        </w:rPr>
        <w:t>U.S. 219</w:t>
      </w:r>
      <w:r w:rsidRPr="00461B2A">
        <w:rPr>
          <w:rFonts w:eastAsia="Times New Roman" w:cs="Times New Roman"/>
          <w:color w:val="000000"/>
        </w:rPr>
        <w:t xml:space="preserve"> [voluntary scheme</w:t>
      </w:r>
      <w:r w:rsidRPr="00932A17">
        <w:rPr>
          <w:rFonts w:eastAsia="Times New Roman" w:cs="Times New Roman"/>
          <w:color w:val="000000"/>
        </w:rPr>
        <w:t>];</w:t>
      </w:r>
      <w:r w:rsidRPr="00461B2A">
        <w:rPr>
          <w:rFonts w:eastAsia="Times New Roman" w:cs="Times New Roman"/>
          <w:color w:val="000000"/>
        </w:rPr>
        <w:t xml:space="preserve"> </w:t>
      </w:r>
      <w:r w:rsidRPr="00603208">
        <w:rPr>
          <w:rFonts w:eastAsia="Times New Roman" w:cs="Times New Roman"/>
          <w:i/>
          <w:iCs/>
          <w:color w:val="000000"/>
          <w:bdr w:val="none" w:sz="0" w:space="0" w:color="auto" w:frame="1"/>
        </w:rPr>
        <w:t>Hawkins v. Bleakly</w:t>
      </w:r>
      <w:r>
        <w:rPr>
          <w:rFonts w:eastAsia="Times New Roman" w:cs="Times New Roman"/>
          <w:color w:val="000000"/>
        </w:rPr>
        <w:t xml:space="preserve"> </w:t>
      </w:r>
      <w:r w:rsidRPr="00603208">
        <w:rPr>
          <w:rFonts w:eastAsia="Times New Roman" w:cs="Times New Roman"/>
          <w:color w:val="000000"/>
        </w:rPr>
        <w:t>(1917) 243</w:t>
      </w:r>
      <w:r>
        <w:rPr>
          <w:rFonts w:eastAsia="Times New Roman" w:cs="Times New Roman"/>
          <w:color w:val="000000"/>
        </w:rPr>
        <w:t> </w:t>
      </w:r>
      <w:r w:rsidRPr="00603208">
        <w:rPr>
          <w:rFonts w:eastAsia="Times New Roman" w:cs="Times New Roman"/>
          <w:color w:val="000000"/>
        </w:rPr>
        <w:t>U.S. 210</w:t>
      </w:r>
      <w:r w:rsidRPr="00461B2A">
        <w:rPr>
          <w:rFonts w:eastAsia="Times New Roman" w:cs="Times New Roman"/>
          <w:color w:val="000000"/>
        </w:rPr>
        <w:t xml:space="preserve"> [</w:t>
      </w:r>
      <w:r w:rsidRPr="00932A17">
        <w:rPr>
          <w:rFonts w:eastAsia="Times New Roman" w:cs="Times New Roman"/>
          <w:color w:val="000000"/>
        </w:rPr>
        <w:t xml:space="preserve">voluntary scheme]; </w:t>
      </w:r>
      <w:r w:rsidRPr="00F96A43">
        <w:rPr>
          <w:rFonts w:eastAsia="Times New Roman" w:cs="Times New Roman"/>
          <w:i/>
          <w:iCs/>
          <w:color w:val="000000"/>
          <w:bdr w:val="none" w:sz="0" w:space="0" w:color="auto" w:frame="1"/>
        </w:rPr>
        <w:t>New York Cent. R. Co. v. White</w:t>
      </w:r>
      <w:r>
        <w:rPr>
          <w:rFonts w:eastAsia="Times New Roman" w:cs="Times New Roman"/>
          <w:color w:val="000000"/>
        </w:rPr>
        <w:t xml:space="preserve"> </w:t>
      </w:r>
      <w:r w:rsidRPr="00F96A43">
        <w:rPr>
          <w:rFonts w:eastAsia="Times New Roman" w:cs="Times New Roman"/>
          <w:color w:val="000000"/>
        </w:rPr>
        <w:t>(1917) 243</w:t>
      </w:r>
      <w:r>
        <w:rPr>
          <w:rFonts w:eastAsia="Times New Roman" w:cs="Times New Roman"/>
          <w:color w:val="000000"/>
        </w:rPr>
        <w:t> </w:t>
      </w:r>
      <w:r w:rsidRPr="00F96A43">
        <w:rPr>
          <w:rFonts w:eastAsia="Times New Roman" w:cs="Times New Roman"/>
          <w:color w:val="000000"/>
        </w:rPr>
        <w:t>U.S. 188</w:t>
      </w:r>
      <w:r w:rsidRPr="00461B2A">
        <w:rPr>
          <w:rFonts w:eastAsia="Times New Roman" w:cs="Times New Roman"/>
          <w:color w:val="000000"/>
        </w:rPr>
        <w:t xml:space="preserve"> </w:t>
      </w:r>
      <w:r w:rsidRPr="00461B2A">
        <w:rPr>
          <w:rFonts w:eastAsia="Times New Roman" w:cs="Times New Roman"/>
          <w:color w:val="000000"/>
        </w:rPr>
        <w:lastRenderedPageBreak/>
        <w:t>[compulsory scheme].)</w:t>
      </w:r>
      <w:r>
        <w:rPr>
          <w:rFonts w:eastAsia="Times New Roman" w:cs="Times New Roman"/>
          <w:color w:val="000000"/>
        </w:rPr>
        <w:t xml:space="preserve">  </w:t>
      </w:r>
      <w:r w:rsidRPr="00461B2A">
        <w:rPr>
          <w:rFonts w:eastAsia="Times New Roman" w:cs="Times New Roman"/>
          <w:i/>
          <w:iCs/>
          <w:color w:val="000000"/>
        </w:rPr>
        <w:t>White</w:t>
      </w:r>
      <w:proofErr w:type="gramStart"/>
      <w:r w:rsidRPr="00461B2A">
        <w:rPr>
          <w:rFonts w:eastAsia="Times New Roman" w:cs="Times New Roman"/>
          <w:color w:val="000000"/>
        </w:rPr>
        <w:t>, in particular, was</w:t>
      </w:r>
      <w:proofErr w:type="gramEnd"/>
      <w:r w:rsidRPr="00461B2A">
        <w:rPr>
          <w:rFonts w:eastAsia="Times New Roman" w:cs="Times New Roman"/>
          <w:color w:val="000000"/>
        </w:rPr>
        <w:t xml:space="preserve"> a turning point, since it dealt with a compulsory scheme similar to California’s</w:t>
      </w:r>
      <w:r>
        <w:rPr>
          <w:rFonts w:eastAsia="Times New Roman" w:cs="Times New Roman"/>
          <w:color w:val="000000"/>
        </w:rPr>
        <w:t>.</w:t>
      </w:r>
      <w:r>
        <w:rPr>
          <w:rStyle w:val="FootnoteReference"/>
          <w:rFonts w:eastAsia="Times New Roman" w:cs="Times New Roman"/>
          <w:color w:val="000000"/>
        </w:rPr>
        <w:footnoteReference w:id="34"/>
      </w:r>
    </w:p>
    <w:p w14:paraId="287E85E4" w14:textId="77777777" w:rsidR="00AB000C" w:rsidRDefault="00570B35" w:rsidP="00AB000C">
      <w:pPr>
        <w:ind w:firstLine="720"/>
        <w:rPr>
          <w:color w:val="000000"/>
          <w:shd w:val="clear" w:color="auto" w:fill="FFFFFF"/>
        </w:rPr>
      </w:pPr>
      <w:r>
        <w:rPr>
          <w:rFonts w:eastAsia="Times New Roman" w:cs="Times New Roman"/>
          <w:color w:val="000000"/>
        </w:rPr>
        <w:t xml:space="preserve">At both the federal and state level, what this brief review of the pertinent case law shows is that, </w:t>
      </w:r>
      <w:r w:rsidRPr="00461B2A">
        <w:rPr>
          <w:rFonts w:eastAsia="Times New Roman" w:cs="Times New Roman"/>
          <w:color w:val="000000"/>
        </w:rPr>
        <w:t xml:space="preserve">by the time the proposed amendment to revise </w:t>
      </w:r>
      <w:r>
        <w:rPr>
          <w:rFonts w:eastAsia="Times New Roman" w:cs="Times New Roman"/>
          <w:color w:val="000000"/>
        </w:rPr>
        <w:t xml:space="preserve">former </w:t>
      </w:r>
      <w:r w:rsidRPr="00461B2A">
        <w:rPr>
          <w:rFonts w:eastAsia="Times New Roman" w:cs="Times New Roman"/>
          <w:color w:val="000000"/>
        </w:rPr>
        <w:t>article XX, section</w:t>
      </w:r>
      <w:r>
        <w:rPr>
          <w:rFonts w:eastAsia="Times New Roman" w:cs="Times New Roman"/>
          <w:color w:val="000000"/>
        </w:rPr>
        <w:t> </w:t>
      </w:r>
      <w:r w:rsidRPr="00461B2A">
        <w:rPr>
          <w:rFonts w:eastAsia="Times New Roman" w:cs="Times New Roman"/>
          <w:color w:val="000000"/>
        </w:rPr>
        <w:t xml:space="preserve">21, came on the ballot in </w:t>
      </w:r>
      <w:r>
        <w:rPr>
          <w:rFonts w:eastAsia="Times New Roman" w:cs="Times New Roman"/>
          <w:color w:val="000000"/>
        </w:rPr>
        <w:t xml:space="preserve">November </w:t>
      </w:r>
      <w:r w:rsidRPr="00461B2A">
        <w:rPr>
          <w:rFonts w:eastAsia="Times New Roman" w:cs="Times New Roman"/>
          <w:color w:val="000000"/>
        </w:rPr>
        <w:t xml:space="preserve">1918, </w:t>
      </w:r>
      <w:r>
        <w:rPr>
          <w:rFonts w:eastAsia="Times New Roman" w:cs="Times New Roman"/>
          <w:color w:val="000000"/>
        </w:rPr>
        <w:t xml:space="preserve">it was not </w:t>
      </w:r>
      <w:r w:rsidRPr="003F2801">
        <w:rPr>
          <w:rFonts w:eastAsia="Times New Roman" w:cs="Times New Roman"/>
          <w:i/>
          <w:iCs/>
          <w:color w:val="000000"/>
        </w:rPr>
        <w:t>Lochner</w:t>
      </w:r>
      <w:r w:rsidRPr="00461B2A">
        <w:rPr>
          <w:rFonts w:eastAsia="Times New Roman" w:cs="Times New Roman"/>
          <w:color w:val="000000"/>
        </w:rPr>
        <w:t xml:space="preserve"> </w:t>
      </w:r>
      <w:r>
        <w:rPr>
          <w:rFonts w:eastAsia="Times New Roman" w:cs="Times New Roman"/>
          <w:color w:val="000000"/>
        </w:rPr>
        <w:t xml:space="preserve">that </w:t>
      </w:r>
      <w:r w:rsidRPr="00461B2A">
        <w:rPr>
          <w:rFonts w:eastAsia="Times New Roman" w:cs="Times New Roman"/>
          <w:color w:val="000000"/>
        </w:rPr>
        <w:t>cast constitutiona</w:t>
      </w:r>
      <w:r w:rsidRPr="00461B2A">
        <w:rPr>
          <w:rFonts w:eastAsia="Times New Roman" w:cs="Times New Roman"/>
          <w:color w:val="000000"/>
        </w:rPr>
        <w:t xml:space="preserve">l doubt on California’s statutory workers’ compensation scheme.  Rather, the source of doubt was the split of opinion in </w:t>
      </w:r>
      <w:r w:rsidRPr="003F2801">
        <w:rPr>
          <w:rFonts w:eastAsia="Times New Roman" w:cs="Times New Roman"/>
          <w:i/>
          <w:iCs/>
          <w:color w:val="000000"/>
        </w:rPr>
        <w:t xml:space="preserve">Western </w:t>
      </w:r>
      <w:r w:rsidRPr="004A1D73">
        <w:rPr>
          <w:rFonts w:eastAsia="Times New Roman" w:cs="Times New Roman"/>
          <w:i/>
          <w:iCs/>
          <w:color w:val="000000"/>
        </w:rPr>
        <w:t>Indemnity I</w:t>
      </w:r>
      <w:r w:rsidRPr="004A1D73">
        <w:rPr>
          <w:rFonts w:eastAsia="Times New Roman" w:cs="Times New Roman"/>
          <w:color w:val="000000"/>
        </w:rPr>
        <w:t xml:space="preserve"> over the adequacy</w:t>
      </w:r>
      <w:r w:rsidRPr="00461B2A">
        <w:rPr>
          <w:rFonts w:eastAsia="Times New Roman" w:cs="Times New Roman"/>
          <w:color w:val="000000"/>
        </w:rPr>
        <w:t xml:space="preserve"> of </w:t>
      </w:r>
      <w:r>
        <w:rPr>
          <w:rFonts w:eastAsia="Times New Roman" w:cs="Times New Roman"/>
          <w:color w:val="000000"/>
        </w:rPr>
        <w:t xml:space="preserve">former </w:t>
      </w:r>
      <w:r w:rsidRPr="003A50C0">
        <w:rPr>
          <w:rFonts w:eastAsia="Times New Roman" w:cs="Times New Roman"/>
          <w:color w:val="000000"/>
        </w:rPr>
        <w:t>article XX, section 21</w:t>
      </w:r>
      <w:r w:rsidRPr="00461B2A">
        <w:rPr>
          <w:rFonts w:eastAsia="Times New Roman" w:cs="Times New Roman"/>
          <w:color w:val="000000"/>
        </w:rPr>
        <w:t xml:space="preserve">, as a </w:t>
      </w:r>
      <w:r>
        <w:rPr>
          <w:rFonts w:eastAsia="Times New Roman" w:cs="Times New Roman"/>
          <w:color w:val="000000"/>
        </w:rPr>
        <w:t xml:space="preserve">state </w:t>
      </w:r>
      <w:r w:rsidRPr="00461B2A">
        <w:rPr>
          <w:rFonts w:eastAsia="Times New Roman" w:cs="Times New Roman"/>
          <w:color w:val="000000"/>
        </w:rPr>
        <w:t xml:space="preserve">constitutional foundation for </w:t>
      </w:r>
      <w:r>
        <w:rPr>
          <w:rFonts w:eastAsia="Times New Roman" w:cs="Times New Roman"/>
          <w:color w:val="000000"/>
        </w:rPr>
        <w:t xml:space="preserve">California’s workers’ </w:t>
      </w:r>
      <w:r>
        <w:rPr>
          <w:rFonts w:eastAsia="Times New Roman" w:cs="Times New Roman"/>
          <w:color w:val="000000"/>
        </w:rPr>
        <w:t>compensation</w:t>
      </w:r>
      <w:r w:rsidRPr="00461B2A">
        <w:rPr>
          <w:rFonts w:eastAsia="Times New Roman" w:cs="Times New Roman"/>
          <w:color w:val="000000"/>
        </w:rPr>
        <w:t xml:space="preserve"> scheme</w:t>
      </w:r>
      <w:r>
        <w:rPr>
          <w:rFonts w:eastAsia="Times New Roman" w:cs="Times New Roman"/>
          <w:color w:val="000000"/>
        </w:rPr>
        <w:t xml:space="preserve">. </w:t>
      </w:r>
      <w:r w:rsidRPr="00461B2A">
        <w:rPr>
          <w:rFonts w:eastAsia="Times New Roman" w:cs="Times New Roman"/>
          <w:color w:val="000000"/>
        </w:rPr>
        <w:t xml:space="preserve"> </w:t>
      </w:r>
      <w:r>
        <w:rPr>
          <w:rFonts w:eastAsia="Times New Roman" w:cs="Times New Roman"/>
          <w:color w:val="000000"/>
        </w:rPr>
        <w:t>Given the state of the law at the time, t</w:t>
      </w:r>
      <w:r>
        <w:rPr>
          <w:color w:val="000000"/>
          <w:shd w:val="clear" w:color="auto" w:fill="FFFFFF"/>
        </w:rPr>
        <w:t>he 1918 amendment sought to bolster and enhance the language of former article XX, section 21, as originally adopted in 1911, in direct response to the Henshaw view that that grant of lawmaking</w:t>
      </w:r>
      <w:r>
        <w:rPr>
          <w:color w:val="000000"/>
          <w:shd w:val="clear" w:color="auto" w:fill="FFFFFF"/>
        </w:rPr>
        <w:t xml:space="preserve"> power was limitless and unbounded.  The objective was to anchor article XIV, section 4, </w:t>
      </w:r>
      <w:r>
        <w:rPr>
          <w:color w:val="000000"/>
          <w:shd w:val="clear" w:color="auto" w:fill="FFFFFF"/>
        </w:rPr>
        <w:lastRenderedPageBreak/>
        <w:t>more strongly in our Constitution, independently of the police power.</w:t>
      </w:r>
      <w:r>
        <w:rPr>
          <w:rStyle w:val="FootnoteReference"/>
          <w:color w:val="000000"/>
          <w:shd w:val="clear" w:color="auto" w:fill="FFFFFF"/>
        </w:rPr>
        <w:footnoteReference w:id="35"/>
      </w:r>
    </w:p>
    <w:p w14:paraId="18E34A95" w14:textId="77777777" w:rsidR="00AB000C" w:rsidRDefault="00570B35" w:rsidP="00AB000C">
      <w:pPr>
        <w:ind w:firstLine="720"/>
        <w:rPr>
          <w:color w:val="000000"/>
          <w:shd w:val="clear" w:color="auto" w:fill="FFFFFF"/>
        </w:rPr>
      </w:pPr>
      <w:r>
        <w:rPr>
          <w:color w:val="000000"/>
          <w:shd w:val="clear" w:color="auto" w:fill="FFFFFF"/>
        </w:rPr>
        <w:t xml:space="preserve">Accordingly, while it is true that the purpose of the 1918 amendment was to “remove all doubts </w:t>
      </w:r>
      <w:r w:rsidRPr="00CC184E">
        <w:rPr>
          <w:color w:val="000000"/>
          <w:shd w:val="clear" w:color="auto" w:fill="FFFFFF"/>
        </w:rPr>
        <w:t>as to the constitutionality of then existing workmen</w:t>
      </w:r>
      <w:r>
        <w:rPr>
          <w:color w:val="000000"/>
          <w:shd w:val="clear" w:color="auto" w:fill="FFFFFF"/>
        </w:rPr>
        <w:t>’</w:t>
      </w:r>
      <w:r w:rsidRPr="00CC184E">
        <w:rPr>
          <w:color w:val="000000"/>
          <w:shd w:val="clear" w:color="auto" w:fill="FFFFFF"/>
        </w:rPr>
        <w:t>s compensation laws</w:t>
      </w:r>
      <w:r w:rsidRPr="009D4D0A">
        <w:rPr>
          <w:color w:val="000000"/>
          <w:shd w:val="clear" w:color="auto" w:fill="FFFFFF"/>
        </w:rPr>
        <w:t>”</w:t>
      </w:r>
      <w:r>
        <w:rPr>
          <w:color w:val="000000"/>
          <w:shd w:val="clear" w:color="auto" w:fill="FFFFFF"/>
        </w:rPr>
        <w:t xml:space="preserve"> (</w:t>
      </w:r>
      <w:r w:rsidRPr="00A20AAE">
        <w:rPr>
          <w:i/>
          <w:iCs/>
          <w:color w:val="000000"/>
          <w:shd w:val="clear" w:color="auto" w:fill="FFFFFF"/>
        </w:rPr>
        <w:t>Mathews</w:t>
      </w:r>
      <w:r>
        <w:rPr>
          <w:color w:val="000000"/>
          <w:shd w:val="clear" w:color="auto" w:fill="FFFFFF"/>
        </w:rPr>
        <w:t xml:space="preserve">, </w:t>
      </w:r>
      <w:r w:rsidRPr="00A20AAE">
        <w:rPr>
          <w:i/>
          <w:iCs/>
          <w:color w:val="000000"/>
          <w:shd w:val="clear" w:color="auto" w:fill="FFFFFF"/>
        </w:rPr>
        <w:t>supra</w:t>
      </w:r>
      <w:r>
        <w:rPr>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Pr>
          <w:rFonts w:eastAsia="Times New Roman" w:cs="Times New Roman"/>
          <w:color w:val="000000"/>
        </w:rPr>
        <w:t>at p. </w:t>
      </w:r>
      <w:r w:rsidRPr="003C6972">
        <w:rPr>
          <w:rFonts w:eastAsia="Times New Roman" w:cs="Times New Roman"/>
          <w:color w:val="000000"/>
        </w:rPr>
        <w:t>73</w:t>
      </w:r>
      <w:r>
        <w:rPr>
          <w:rFonts w:eastAsia="Times New Roman" w:cs="Times New Roman"/>
          <w:color w:val="000000"/>
        </w:rPr>
        <w:t xml:space="preserve">3)—a remark which must be understood against the backdrop of what the </w:t>
      </w:r>
      <w:r w:rsidRPr="005C1020">
        <w:rPr>
          <w:rFonts w:eastAsia="Times New Roman" w:cs="Times New Roman"/>
          <w:i/>
          <w:iCs/>
          <w:color w:val="000000"/>
        </w:rPr>
        <w:t>remaining</w:t>
      </w:r>
      <w:r>
        <w:rPr>
          <w:rFonts w:eastAsia="Times New Roman" w:cs="Times New Roman"/>
          <w:color w:val="000000"/>
        </w:rPr>
        <w:t xml:space="preserve"> doubts were when voters went to the polls—</w:t>
      </w:r>
      <w:r>
        <w:rPr>
          <w:color w:val="000000"/>
          <w:shd w:val="clear" w:color="auto" w:fill="FFFFFF"/>
        </w:rPr>
        <w:t xml:space="preserve">it is an overstatement to go a step further and suggest that </w:t>
      </w:r>
      <w:r w:rsidRPr="00CC253C">
        <w:rPr>
          <w:color w:val="000000"/>
          <w:shd w:val="clear" w:color="auto" w:fill="FFFFFF"/>
        </w:rPr>
        <w:t xml:space="preserve">the demise of </w:t>
      </w:r>
      <w:proofErr w:type="spellStart"/>
      <w:r w:rsidRPr="00895C88">
        <w:rPr>
          <w:i/>
          <w:iCs/>
          <w:color w:val="000000"/>
          <w:shd w:val="clear" w:color="auto" w:fill="FFFFFF"/>
        </w:rPr>
        <w:t>Lochnerism</w:t>
      </w:r>
      <w:proofErr w:type="spellEnd"/>
      <w:r w:rsidRPr="00CC253C">
        <w:rPr>
          <w:color w:val="000000"/>
          <w:shd w:val="clear" w:color="auto" w:fill="FFFFFF"/>
        </w:rPr>
        <w:t xml:space="preserve"> </w:t>
      </w:r>
      <w:r>
        <w:rPr>
          <w:color w:val="000000"/>
          <w:shd w:val="clear" w:color="auto" w:fill="FFFFFF"/>
        </w:rPr>
        <w:t xml:space="preserve">in the mid-1930’s transformed </w:t>
      </w:r>
      <w:r w:rsidRPr="00CC253C">
        <w:rPr>
          <w:color w:val="000000"/>
          <w:shd w:val="clear" w:color="auto" w:fill="FFFFFF"/>
        </w:rPr>
        <w:t>article XIV, section</w:t>
      </w:r>
      <w:r>
        <w:rPr>
          <w:color w:val="000000"/>
          <w:shd w:val="clear" w:color="auto" w:fill="FFFFFF"/>
        </w:rPr>
        <w:t> </w:t>
      </w:r>
      <w:r w:rsidRPr="00CC253C">
        <w:rPr>
          <w:color w:val="000000"/>
          <w:shd w:val="clear" w:color="auto" w:fill="FFFFFF"/>
        </w:rPr>
        <w:t>4</w:t>
      </w:r>
      <w:r>
        <w:rPr>
          <w:color w:val="000000"/>
          <w:shd w:val="clear" w:color="auto" w:fill="FFFFFF"/>
        </w:rPr>
        <w:t xml:space="preserve">, into </w:t>
      </w:r>
      <w:r w:rsidRPr="00CC253C">
        <w:rPr>
          <w:color w:val="000000"/>
          <w:shd w:val="clear" w:color="auto" w:fill="FFFFFF"/>
        </w:rPr>
        <w:t>a constitutional dead letter.</w:t>
      </w:r>
      <w:r>
        <w:rPr>
          <w:color w:val="000000"/>
          <w:shd w:val="clear" w:color="auto" w:fill="FFFFFF"/>
        </w:rPr>
        <w:t xml:space="preserve">  In service of an argument that articl</w:t>
      </w:r>
      <w:r>
        <w:rPr>
          <w:color w:val="000000"/>
          <w:shd w:val="clear" w:color="auto" w:fill="FFFFFF"/>
        </w:rPr>
        <w:t>e XIV, section 4, may safely be ignored today, that account of what happened places a convenient expiration date on this provision of the Constitution.  But it is incomplete and misleading as history.</w:t>
      </w:r>
    </w:p>
    <w:p w14:paraId="62B0E5EE" w14:textId="77777777" w:rsidR="00AB000C" w:rsidRDefault="00570B35" w:rsidP="00AB000C">
      <w:pPr>
        <w:ind w:firstLine="720"/>
        <w:rPr>
          <w:color w:val="000000"/>
          <w:shd w:val="clear" w:color="auto" w:fill="FFFFFF"/>
        </w:rPr>
      </w:pPr>
      <w:r>
        <w:rPr>
          <w:color w:val="000000"/>
          <w:shd w:val="clear" w:color="auto" w:fill="FFFFFF"/>
        </w:rPr>
        <w:t>For proof, we need look no further than the cases const</w:t>
      </w:r>
      <w:r>
        <w:rPr>
          <w:color w:val="000000"/>
          <w:shd w:val="clear" w:color="auto" w:fill="FFFFFF"/>
        </w:rPr>
        <w:t xml:space="preserve">ruing article XIV, section 4, </w:t>
      </w:r>
      <w:r>
        <w:rPr>
          <w:rFonts w:eastAsia="Times New Roman" w:cs="Times New Roman"/>
          <w:color w:val="000000"/>
        </w:rPr>
        <w:t xml:space="preserve">to put substantive limitations </w:t>
      </w:r>
      <w:r>
        <w:rPr>
          <w:rFonts w:eastAsia="Times New Roman" w:cs="Times New Roman"/>
          <w:color w:val="000000"/>
        </w:rPr>
        <w:lastRenderedPageBreak/>
        <w:t>on legislative power, dating from as early as 1922 (</w:t>
      </w:r>
      <w:r>
        <w:rPr>
          <w:i/>
          <w:iCs/>
          <w:color w:val="000000"/>
          <w:shd w:val="clear" w:color="auto" w:fill="FFFFFF"/>
        </w:rPr>
        <w:t>Yosemite Lumber</w:t>
      </w:r>
      <w:r>
        <w:rPr>
          <w:color w:val="000000"/>
          <w:shd w:val="clear" w:color="auto" w:fill="FFFFFF"/>
        </w:rPr>
        <w:t xml:space="preserve">, </w:t>
      </w:r>
      <w:r w:rsidRPr="00E30765">
        <w:rPr>
          <w:i/>
          <w:iCs/>
          <w:color w:val="000000"/>
          <w:shd w:val="clear" w:color="auto" w:fill="FFFFFF"/>
        </w:rPr>
        <w:t>supra</w:t>
      </w:r>
      <w:r>
        <w:rPr>
          <w:color w:val="000000"/>
          <w:shd w:val="clear" w:color="auto" w:fill="FFFFFF"/>
        </w:rPr>
        <w:t xml:space="preserve">, </w:t>
      </w:r>
      <w:r w:rsidRPr="00C06756">
        <w:rPr>
          <w:rFonts w:eastAsia="Times New Roman" w:cs="Times New Roman"/>
          <w:color w:val="000000"/>
        </w:rPr>
        <w:t>187</w:t>
      </w:r>
      <w:r>
        <w:rPr>
          <w:rFonts w:eastAsia="Times New Roman" w:cs="Times New Roman"/>
          <w:color w:val="000000"/>
        </w:rPr>
        <w:t> </w:t>
      </w:r>
      <w:r w:rsidRPr="00C06756">
        <w:rPr>
          <w:rFonts w:eastAsia="Times New Roman" w:cs="Times New Roman"/>
          <w:color w:val="000000"/>
        </w:rPr>
        <w:t>Cal. 774</w:t>
      </w:r>
      <w:r>
        <w:rPr>
          <w:rFonts w:eastAsia="Times New Roman" w:cs="Times New Roman"/>
          <w:color w:val="000000"/>
        </w:rPr>
        <w:t>) to as recently as 1981 (</w:t>
      </w:r>
      <w:proofErr w:type="spellStart"/>
      <w:r w:rsidRPr="0079724D">
        <w:rPr>
          <w:rFonts w:eastAsia="Times New Roman" w:cs="Times New Roman"/>
          <w:i/>
          <w:iCs/>
          <w:color w:val="000000"/>
        </w:rPr>
        <w:t>Hustedt</w:t>
      </w:r>
      <w:proofErr w:type="spellEnd"/>
      <w:r w:rsidRPr="0079724D">
        <w:rPr>
          <w:rFonts w:eastAsia="Times New Roman" w:cs="Times New Roman"/>
          <w:color w:val="000000"/>
        </w:rPr>
        <w:t xml:space="preserve">, </w:t>
      </w:r>
      <w:r w:rsidRPr="0079724D">
        <w:rPr>
          <w:rFonts w:eastAsia="Times New Roman" w:cs="Times New Roman"/>
          <w:i/>
          <w:iCs/>
          <w:color w:val="000000"/>
        </w:rPr>
        <w:t>supra</w:t>
      </w:r>
      <w:r w:rsidRPr="0079724D">
        <w:rPr>
          <w:rFonts w:eastAsia="Times New Roman" w:cs="Times New Roman"/>
          <w:color w:val="000000"/>
        </w:rPr>
        <w:t>, 30</w:t>
      </w:r>
      <w:r>
        <w:rPr>
          <w:rFonts w:eastAsia="Times New Roman" w:cs="Times New Roman"/>
          <w:color w:val="000000"/>
        </w:rPr>
        <w:t> </w:t>
      </w:r>
      <w:r w:rsidRPr="0079724D">
        <w:rPr>
          <w:rFonts w:eastAsia="Times New Roman" w:cs="Times New Roman"/>
          <w:color w:val="000000"/>
        </w:rPr>
        <w:t>Cal.3d 329</w:t>
      </w:r>
      <w:r>
        <w:rPr>
          <w:rFonts w:eastAsia="Times New Roman" w:cs="Times New Roman"/>
          <w:color w:val="000000"/>
        </w:rPr>
        <w:t>) and even more recently</w:t>
      </w:r>
      <w:r w:rsidRPr="00902872">
        <w:rPr>
          <w:rFonts w:eastAsia="Times New Roman" w:cs="Times New Roman"/>
          <w:color w:val="000000"/>
        </w:rPr>
        <w:t xml:space="preserve">, </w:t>
      </w:r>
      <w:r>
        <w:rPr>
          <w:rFonts w:eastAsia="Times New Roman" w:cs="Times New Roman"/>
          <w:color w:val="000000"/>
        </w:rPr>
        <w:t>2006 (</w:t>
      </w:r>
      <w:r w:rsidRPr="00F53447">
        <w:rPr>
          <w:rFonts w:eastAsia="Times New Roman" w:cs="Times New Roman"/>
          <w:i/>
          <w:iCs/>
          <w:color w:val="000000"/>
        </w:rPr>
        <w:t>Six</w:t>
      </w:r>
      <w:r>
        <w:rPr>
          <w:rFonts w:eastAsia="Times New Roman" w:cs="Times New Roman"/>
          <w:i/>
          <w:iCs/>
          <w:color w:val="000000"/>
        </w:rPr>
        <w:t> </w:t>
      </w:r>
      <w:r w:rsidRPr="00F53447">
        <w:rPr>
          <w:rFonts w:eastAsia="Times New Roman" w:cs="Times New Roman"/>
          <w:i/>
          <w:iCs/>
          <w:color w:val="000000"/>
        </w:rPr>
        <w:t>Flags</w:t>
      </w:r>
      <w:r w:rsidRPr="00F07DC9">
        <w:rPr>
          <w:rFonts w:eastAsia="Times New Roman" w:cs="Times New Roman"/>
          <w:color w:val="000000"/>
          <w:bdr w:val="none" w:sz="0" w:space="0" w:color="auto" w:frame="1"/>
        </w:rPr>
        <w:t>,</w:t>
      </w:r>
      <w:r>
        <w:rPr>
          <w:rFonts w:eastAsia="Times New Roman" w:cs="Times New Roman"/>
          <w:color w:val="000000"/>
        </w:rPr>
        <w:t xml:space="preserve"> </w:t>
      </w:r>
      <w:r w:rsidRPr="00F53447">
        <w:rPr>
          <w:rFonts w:eastAsia="Times New Roman" w:cs="Times New Roman"/>
          <w:i/>
          <w:iCs/>
          <w:color w:val="000000"/>
        </w:rPr>
        <w:t>supra</w:t>
      </w:r>
      <w:r>
        <w:rPr>
          <w:rFonts w:eastAsia="Times New Roman" w:cs="Times New Roman"/>
          <w:color w:val="000000"/>
        </w:rPr>
        <w:t xml:space="preserve">, </w:t>
      </w:r>
      <w:r w:rsidRPr="002E771A">
        <w:rPr>
          <w:rFonts w:eastAsia="Times New Roman" w:cs="Times New Roman"/>
          <w:color w:val="000000"/>
        </w:rPr>
        <w:t>145</w:t>
      </w:r>
      <w:r>
        <w:rPr>
          <w:rFonts w:eastAsia="Times New Roman" w:cs="Times New Roman"/>
          <w:color w:val="000000"/>
        </w:rPr>
        <w:t> </w:t>
      </w:r>
      <w:r w:rsidRPr="002E771A">
        <w:rPr>
          <w:rFonts w:eastAsia="Times New Roman" w:cs="Times New Roman"/>
          <w:color w:val="000000"/>
        </w:rPr>
        <w:t>Cal.App.4</w:t>
      </w:r>
      <w:r>
        <w:rPr>
          <w:rFonts w:eastAsia="Times New Roman" w:cs="Times New Roman"/>
          <w:color w:val="000000"/>
        </w:rPr>
        <w:t>th</w:t>
      </w:r>
      <w:r>
        <w:rPr>
          <w:rFonts w:eastAsia="Times New Roman" w:cs="Times New Roman"/>
          <w:color w:val="000000"/>
          <w:vertAlign w:val="superscript"/>
        </w:rPr>
        <w:t xml:space="preserve"> </w:t>
      </w:r>
      <w:r w:rsidRPr="002E771A">
        <w:rPr>
          <w:rFonts w:eastAsia="Times New Roman" w:cs="Times New Roman"/>
          <w:color w:val="000000"/>
        </w:rPr>
        <w:t>91</w:t>
      </w:r>
      <w:r>
        <w:rPr>
          <w:rFonts w:eastAsia="Times New Roman" w:cs="Times New Roman"/>
          <w:color w:val="000000"/>
        </w:rPr>
        <w:t>)</w:t>
      </w:r>
      <w:r w:rsidRPr="0079724D">
        <w:rPr>
          <w:rFonts w:eastAsia="Times New Roman" w:cs="Times New Roman"/>
          <w:color w:val="000000"/>
        </w:rPr>
        <w:t>,</w:t>
      </w:r>
      <w:r>
        <w:rPr>
          <w:rFonts w:eastAsia="Times New Roman" w:cs="Times New Roman"/>
          <w:color w:val="000000"/>
        </w:rPr>
        <w:t xml:space="preserve"> long after </w:t>
      </w:r>
      <w:r w:rsidRPr="00B665E4">
        <w:rPr>
          <w:rFonts w:eastAsia="Times New Roman" w:cs="Times New Roman"/>
          <w:i/>
          <w:iCs/>
          <w:color w:val="000000"/>
        </w:rPr>
        <w:t>Lochner</w:t>
      </w:r>
      <w:r>
        <w:rPr>
          <w:rFonts w:eastAsia="Times New Roman" w:cs="Times New Roman"/>
          <w:color w:val="000000"/>
        </w:rPr>
        <w:t xml:space="preserve"> was gone.  If we take stock of the full history, article XIV, section 4, remains as vital today as it was when adopted in 1918.  It should be treated with the seriousness and dignity it deserves as one of seve</w:t>
      </w:r>
      <w:r>
        <w:rPr>
          <w:rFonts w:eastAsia="Times New Roman" w:cs="Times New Roman"/>
          <w:color w:val="000000"/>
        </w:rPr>
        <w:t>ral enduring constitutional achievements of the progressive reform era, along with and adjacent to the powers of direct democracy.  Here, what that means is we must stand ready to strike down any statute that exceeds the outer limits of legislative power e</w:t>
      </w:r>
      <w:r>
        <w:rPr>
          <w:rFonts w:eastAsia="Times New Roman" w:cs="Times New Roman"/>
          <w:color w:val="000000"/>
        </w:rPr>
        <w:t>stablished by article XIV, section 4.  I believe Proposition 22 crosses that line.</w:t>
      </w:r>
    </w:p>
    <w:p w14:paraId="3771D751" w14:textId="77777777" w:rsidR="00AB000C" w:rsidRPr="00251334" w:rsidRDefault="00570B35" w:rsidP="00AB000C">
      <w:pPr>
        <w:keepNext/>
        <w:tabs>
          <w:tab w:val="left" w:pos="360"/>
        </w:tabs>
        <w:spacing w:before="120" w:after="120" w:line="240" w:lineRule="auto"/>
        <w:ind w:left="720" w:hanging="720"/>
        <w:rPr>
          <w:b/>
          <w:bCs/>
          <w:i/>
          <w:iCs/>
        </w:rPr>
      </w:pPr>
      <w:r w:rsidRPr="00251334">
        <w:rPr>
          <w:b/>
          <w:bCs/>
        </w:rPr>
        <w:tab/>
      </w:r>
      <w:r w:rsidRPr="00D909CD">
        <w:rPr>
          <w:b/>
        </w:rPr>
        <w:t>C.</w:t>
      </w:r>
      <w:r w:rsidRPr="00D909CD">
        <w:rPr>
          <w:b/>
        </w:rPr>
        <w:tab/>
      </w:r>
      <w:r w:rsidRPr="00D909CD">
        <w:rPr>
          <w:b/>
          <w:i/>
        </w:rPr>
        <w:t xml:space="preserve">This Case Presents the Conflict of Legislative Powers Issue Anticipated in Footnote 9 of the Supreme Court’s Opinion in </w:t>
      </w:r>
      <w:r w:rsidRPr="00D909CD">
        <w:rPr>
          <w:b/>
        </w:rPr>
        <w:t>Independent Energy Producers Assn. v. McPherson</w:t>
      </w:r>
    </w:p>
    <w:p w14:paraId="255E21EF" w14:textId="77777777" w:rsidR="00AB000C" w:rsidRDefault="00570B35" w:rsidP="00AB000C">
      <w:pPr>
        <w:keepNext/>
        <w:tabs>
          <w:tab w:val="left" w:pos="1080"/>
        </w:tabs>
        <w:spacing w:before="120" w:after="120" w:line="240" w:lineRule="auto"/>
        <w:ind w:left="1080" w:hanging="1080"/>
      </w:pPr>
      <w:r>
        <w:tab/>
      </w:r>
      <w:r w:rsidRPr="00D909CD">
        <w:t>1.</w:t>
      </w:r>
      <w:r w:rsidRPr="00D909CD">
        <w:tab/>
      </w:r>
      <w:r w:rsidRPr="00D909CD">
        <w:rPr>
          <w:i/>
        </w:rPr>
        <w:t>The Conflict Here Is Between Concurrent Powers, Not Coextensive Powers</w:t>
      </w:r>
    </w:p>
    <w:p w14:paraId="274889B2" w14:textId="77777777" w:rsidR="00AB000C" w:rsidRDefault="00570B35" w:rsidP="00AB000C">
      <w:pPr>
        <w:ind w:firstLine="720"/>
      </w:pPr>
      <w:r>
        <w:t xml:space="preserve">Although the </w:t>
      </w:r>
      <w:r>
        <w:t>most glaring constitutional violation presented here is the use of a ballot initiative to effect what amounts to an amendment of the Constitution, a second, related article XIV, section 4, violation requires the invalidation of Proposition 22.</w:t>
      </w:r>
    </w:p>
    <w:p w14:paraId="24D72A29" w14:textId="77777777" w:rsidR="00AB000C" w:rsidRPr="00FB6FFD" w:rsidRDefault="00570B35" w:rsidP="00AB000C">
      <w:pPr>
        <w:ind w:firstLine="720"/>
      </w:pPr>
      <w:r>
        <w:t>By</w:t>
      </w:r>
      <w:r w:rsidRPr="00FB6FFD">
        <w:t xml:space="preserve"> placing t</w:t>
      </w:r>
      <w:r w:rsidRPr="00FB6FFD">
        <w:t xml:space="preserve">he eligibility of </w:t>
      </w:r>
      <w:r>
        <w:t>app</w:t>
      </w:r>
      <w:r w:rsidRPr="00FB6FFD">
        <w:t xml:space="preserve">-based drivers for workers’ compensation </w:t>
      </w:r>
      <w:r w:rsidRPr="00D746E9">
        <w:t>benefits off</w:t>
      </w:r>
      <w:r>
        <w:t>-</w:t>
      </w:r>
      <w:r w:rsidRPr="00397278">
        <w:t>limits</w:t>
      </w:r>
      <w:r w:rsidRPr="00D746E9">
        <w:t xml:space="preserve"> to</w:t>
      </w:r>
      <w:r w:rsidRPr="00FB6FFD">
        <w:t xml:space="preserve"> amendment by the Legislature, Proposition</w:t>
      </w:r>
      <w:r>
        <w:t> </w:t>
      </w:r>
      <w:r w:rsidRPr="00FB6FFD">
        <w:t xml:space="preserve">22 </w:t>
      </w:r>
      <w:r>
        <w:t xml:space="preserve">seeks to override </w:t>
      </w:r>
      <w:r w:rsidRPr="00FB6FFD">
        <w:t>constitutional responsibility delegated to the Legislature</w:t>
      </w:r>
      <w:r>
        <w:t xml:space="preserve">.  </w:t>
      </w:r>
      <w:r w:rsidRPr="00FB6FFD">
        <w:t>The</w:t>
      </w:r>
      <w:r>
        <w:t xml:space="preserve"> Proposition 22 </w:t>
      </w:r>
      <w:r>
        <w:lastRenderedPageBreak/>
        <w:t xml:space="preserve">proponents </w:t>
      </w:r>
      <w:r w:rsidRPr="00FB6FFD">
        <w:t xml:space="preserve">contend that, in </w:t>
      </w:r>
      <w:r>
        <w:t xml:space="preserve">striking the initiative down on that basis, </w:t>
      </w:r>
      <w:r w:rsidRPr="00FB6FFD">
        <w:t xml:space="preserve">the trial court erred by construing the term “plenary” as </w:t>
      </w:r>
      <w:r>
        <w:t>“</w:t>
      </w:r>
      <w:r w:rsidRPr="00FB6FFD">
        <w:t>exclusive.</w:t>
      </w:r>
      <w:r>
        <w:t>”</w:t>
      </w:r>
      <w:r w:rsidRPr="00FB6FFD">
        <w:t xml:space="preserve">  </w:t>
      </w:r>
      <w:r>
        <w:t xml:space="preserve">This is not an accurate characterization of the trial court’s ruling.  The trial court saw a conflict between article XIV, section 4, and </w:t>
      </w:r>
      <w:r w:rsidRPr="00FA2E88">
        <w:t>ar</w:t>
      </w:r>
      <w:r w:rsidRPr="00FA2E88">
        <w:t>ticle II, section</w:t>
      </w:r>
      <w:r>
        <w:t> </w:t>
      </w:r>
      <w:r w:rsidRPr="00FA2E88">
        <w:t>10(c),</w:t>
      </w:r>
      <w:r>
        <w:t xml:space="preserve"> and resolved it in favor of the Legislature.  I believe it was correct to do so.</w:t>
      </w:r>
    </w:p>
    <w:p w14:paraId="6D793F15" w14:textId="77777777" w:rsidR="00AB000C" w:rsidRPr="005C5737" w:rsidRDefault="00570B35" w:rsidP="00AB000C">
      <w:pPr>
        <w:ind w:firstLine="720"/>
        <w:rPr>
          <w:rFonts w:eastAsia="Times New Roman" w:cs="Times New Roman"/>
          <w:color w:val="000000"/>
        </w:rPr>
      </w:pPr>
      <w:r w:rsidRPr="00FB6FFD">
        <w:t xml:space="preserve">The </w:t>
      </w:r>
      <w:r>
        <w:t>deficiency</w:t>
      </w:r>
      <w:r w:rsidRPr="00FB6FFD">
        <w:t xml:space="preserve"> </w:t>
      </w:r>
      <w:r>
        <w:t xml:space="preserve">I see here </w:t>
      </w:r>
      <w:r w:rsidRPr="00FB6FFD">
        <w:t xml:space="preserve">is structural.  The </w:t>
      </w:r>
      <w:r>
        <w:t xml:space="preserve">delegated </w:t>
      </w:r>
      <w:r w:rsidRPr="00FB6FFD">
        <w:t>power we are dealing with—the power to carry out a specific constitutional task (i.e.</w:t>
      </w:r>
      <w:r>
        <w:t>,</w:t>
      </w:r>
      <w:r w:rsidRPr="00FB6FFD">
        <w:t xml:space="preserve"> to esta</w:t>
      </w:r>
      <w:r w:rsidRPr="00FB6FFD">
        <w:t>blish and maintain a “complete system of workers’ compensation</w:t>
      </w:r>
      <w:r>
        <w:t>”</w:t>
      </w:r>
      <w:r w:rsidRPr="00FB6FFD">
        <w:t>)—was conferred on “the Legislature”</w:t>
      </w:r>
      <w:r>
        <w:t xml:space="preserve"> under article XIV, section 4,</w:t>
      </w:r>
      <w:r w:rsidRPr="00FB6FFD">
        <w:t xml:space="preserve"> not on the voters acting as “electors.”  </w:t>
      </w:r>
      <w:r>
        <w:t>Because voter “</w:t>
      </w:r>
      <w:r w:rsidRPr="00FB6FFD">
        <w:t>electors</w:t>
      </w:r>
      <w:r>
        <w:t>”</w:t>
      </w:r>
      <w:r w:rsidRPr="00FB6FFD">
        <w:t xml:space="preserve"> and the </w:t>
      </w:r>
      <w:r>
        <w:t>“</w:t>
      </w:r>
      <w:r w:rsidRPr="00FB6FFD">
        <w:t>Legislature</w:t>
      </w:r>
      <w:r>
        <w:t xml:space="preserve">” share the police power, they may each </w:t>
      </w:r>
      <w:r>
        <w:t xml:space="preserve">legislate </w:t>
      </w:r>
      <w:proofErr w:type="gramStart"/>
      <w:r>
        <w:t>on the subject of workers’</w:t>
      </w:r>
      <w:proofErr w:type="gramEnd"/>
      <w:r>
        <w:t xml:space="preserve"> compensation, which is why our Supreme Court has held that </w:t>
      </w:r>
      <w:r>
        <w:rPr>
          <w:rFonts w:eastAsia="Times New Roman" w:cs="Times New Roman"/>
          <w:color w:val="000000"/>
        </w:rPr>
        <w:t xml:space="preserve">the </w:t>
      </w:r>
      <w:r w:rsidRPr="002E4E12">
        <w:rPr>
          <w:rFonts w:eastAsia="Times New Roman" w:cs="Times New Roman"/>
          <w:color w:val="000000"/>
        </w:rPr>
        <w:t>article II, section 8(a)</w:t>
      </w:r>
      <w:r>
        <w:rPr>
          <w:rFonts w:eastAsia="Times New Roman" w:cs="Times New Roman"/>
          <w:color w:val="000000"/>
        </w:rPr>
        <w:t xml:space="preserve"> power to adopt initiative statutes is “encompass[ed]” within the Legislature’s article XIV, section 4 power.  </w:t>
      </w:r>
      <w:r>
        <w:t>(</w:t>
      </w:r>
      <w:r>
        <w:rPr>
          <w:rFonts w:eastAsia="Times New Roman" w:cs="Times New Roman"/>
          <w:i/>
          <w:iCs/>
          <w:color w:val="000000"/>
          <w:bdr w:val="none" w:sz="0" w:space="0" w:color="auto" w:frame="1"/>
        </w:rPr>
        <w:t xml:space="preserve">McPherson, supra, </w:t>
      </w:r>
      <w:r w:rsidRPr="00FB6FFD">
        <w:rPr>
          <w:rFonts w:eastAsia="Times New Roman" w:cs="Times New Roman"/>
          <w:color w:val="000000"/>
        </w:rPr>
        <w:t>38</w:t>
      </w:r>
      <w:r>
        <w:rPr>
          <w:rFonts w:eastAsia="Times New Roman" w:cs="Times New Roman"/>
          <w:color w:val="000000"/>
        </w:rPr>
        <w:t> </w:t>
      </w:r>
      <w:r w:rsidRPr="00FB6FFD">
        <w:rPr>
          <w:rFonts w:eastAsia="Times New Roman" w:cs="Times New Roman"/>
          <w:color w:val="000000"/>
        </w:rPr>
        <w:t>Cal.</w:t>
      </w:r>
      <w:r w:rsidRPr="005C5737">
        <w:rPr>
          <w:rFonts w:eastAsia="Times New Roman" w:cs="Times New Roman"/>
          <w:color w:val="000000"/>
        </w:rPr>
        <w:t>4</w:t>
      </w:r>
      <w:r>
        <w:rPr>
          <w:rFonts w:eastAsia="Times New Roman" w:cs="Times New Roman"/>
          <w:color w:val="000000"/>
        </w:rPr>
        <w:t>th</w:t>
      </w:r>
      <w:r w:rsidRPr="005C5737">
        <w:rPr>
          <w:rFonts w:eastAsia="Times New Roman" w:cs="Times New Roman"/>
          <w:color w:val="000000"/>
        </w:rPr>
        <w:t xml:space="preserve"> </w:t>
      </w:r>
      <w:r>
        <w:rPr>
          <w:rFonts w:eastAsia="Times New Roman" w:cs="Times New Roman"/>
          <w:color w:val="000000"/>
        </w:rPr>
        <w:t>at p. </w:t>
      </w:r>
      <w:r w:rsidRPr="005C5737">
        <w:rPr>
          <w:rFonts w:eastAsia="Times New Roman" w:cs="Times New Roman"/>
          <w:color w:val="000000"/>
        </w:rPr>
        <w:t>10</w:t>
      </w:r>
      <w:r>
        <w:rPr>
          <w:rFonts w:eastAsia="Times New Roman" w:cs="Times New Roman"/>
          <w:color w:val="000000"/>
        </w:rPr>
        <w:t>25.</w:t>
      </w:r>
      <w:r w:rsidRPr="005C5737">
        <w:rPr>
          <w:rFonts w:eastAsia="Times New Roman" w:cs="Times New Roman"/>
          <w:color w:val="000000"/>
        </w:rPr>
        <w:t>)</w:t>
      </w:r>
    </w:p>
    <w:p w14:paraId="5F7600D0" w14:textId="77777777" w:rsidR="00AB000C" w:rsidRPr="007E3DCE" w:rsidRDefault="00570B35" w:rsidP="00AB000C">
      <w:pPr>
        <w:autoSpaceDE w:val="0"/>
        <w:autoSpaceDN w:val="0"/>
        <w:adjustRightInd w:val="0"/>
        <w:ind w:firstLine="720"/>
        <w:rPr>
          <w:rFonts w:cs="CenturySchoolbook"/>
        </w:rPr>
      </w:pPr>
      <w:r w:rsidRPr="00B16870">
        <w:rPr>
          <w:rFonts w:eastAsia="Times New Roman" w:cs="Times New Roman"/>
          <w:color w:val="000000"/>
        </w:rPr>
        <w:t xml:space="preserve">But </w:t>
      </w:r>
      <w:r w:rsidRPr="00930811">
        <w:rPr>
          <w:rFonts w:eastAsia="Times New Roman" w:cs="Times New Roman"/>
          <w:color w:val="000000"/>
        </w:rPr>
        <w:t>as the trial</w:t>
      </w:r>
      <w:r>
        <w:rPr>
          <w:rFonts w:eastAsia="Times New Roman" w:cs="Times New Roman"/>
          <w:color w:val="000000"/>
        </w:rPr>
        <w:t xml:space="preserve"> court correctly concluded,</w:t>
      </w:r>
      <w:r w:rsidRPr="00B16870">
        <w:rPr>
          <w:rFonts w:eastAsia="Times New Roman" w:cs="Times New Roman"/>
          <w:color w:val="000000"/>
        </w:rPr>
        <w:t xml:space="preserve"> when voter </w:t>
      </w:r>
      <w:r w:rsidRPr="00B16870">
        <w:t>electors exercise</w:t>
      </w:r>
      <w:r w:rsidRPr="005C5737">
        <w:t xml:space="preserve"> the police power in a way that comes into conflict with the Legislature’s </w:t>
      </w:r>
      <w:r>
        <w:t>a</w:t>
      </w:r>
      <w:r w:rsidRPr="005C5737">
        <w:t>rticle XIV, section</w:t>
      </w:r>
      <w:r>
        <w:t> </w:t>
      </w:r>
      <w:r w:rsidRPr="005C5737">
        <w:t xml:space="preserve">4, power, we have the dilemma </w:t>
      </w:r>
      <w:r>
        <w:t>the Supreme Cour</w:t>
      </w:r>
      <w:r>
        <w:t xml:space="preserve">t </w:t>
      </w:r>
      <w:r w:rsidRPr="005C5737">
        <w:t>flagged in footnote</w:t>
      </w:r>
      <w:r>
        <w:t> </w:t>
      </w:r>
      <w:r w:rsidRPr="005C5737">
        <w:t xml:space="preserve">9 of </w:t>
      </w:r>
      <w:r>
        <w:t xml:space="preserve">its </w:t>
      </w:r>
      <w:r>
        <w:rPr>
          <w:i/>
          <w:iCs/>
        </w:rPr>
        <w:t>McPherson</w:t>
      </w:r>
      <w:r>
        <w:t xml:space="preserve"> </w:t>
      </w:r>
      <w:r w:rsidRPr="005C5737">
        <w:t>opinion</w:t>
      </w:r>
      <w:r>
        <w:t xml:space="preserve">.  </w:t>
      </w:r>
      <w:r w:rsidRPr="007E3DCE">
        <w:rPr>
          <w:color w:val="000000"/>
          <w:shd w:val="clear" w:color="auto" w:fill="FFFFFF"/>
        </w:rPr>
        <w:t>(</w:t>
      </w:r>
      <w:r>
        <w:rPr>
          <w:i/>
          <w:iCs/>
        </w:rPr>
        <w:t>McPherson</w:t>
      </w:r>
      <w:r w:rsidRPr="001D6D7D">
        <w:rPr>
          <w:rFonts w:eastAsia="Times New Roman" w:cs="Times New Roman"/>
          <w:color w:val="000000"/>
          <w:bdr w:val="none" w:sz="0" w:space="0" w:color="auto" w:frame="1"/>
        </w:rPr>
        <w:t>,</w:t>
      </w:r>
      <w:r w:rsidRPr="007E3DCE">
        <w:rPr>
          <w:rFonts w:eastAsia="Times New Roman" w:cs="Times New Roman"/>
          <w:i/>
          <w:iCs/>
          <w:color w:val="000000"/>
          <w:bdr w:val="none" w:sz="0" w:space="0" w:color="auto" w:frame="1"/>
        </w:rPr>
        <w:t xml:space="preserve"> supra</w:t>
      </w:r>
      <w:r w:rsidRPr="001D6D7D">
        <w:rPr>
          <w:rFonts w:eastAsia="Times New Roman" w:cs="Times New Roman"/>
          <w:color w:val="000000"/>
          <w:bdr w:val="none" w:sz="0" w:space="0" w:color="auto" w:frame="1"/>
        </w:rPr>
        <w:t>,</w:t>
      </w:r>
      <w:r w:rsidRPr="007E3DCE">
        <w:rPr>
          <w:rFonts w:eastAsia="Times New Roman" w:cs="Times New Roman"/>
          <w:i/>
          <w:iCs/>
          <w:color w:val="000000"/>
          <w:bdr w:val="none" w:sz="0" w:space="0" w:color="auto" w:frame="1"/>
        </w:rPr>
        <w:t xml:space="preserve"> </w:t>
      </w:r>
      <w:r w:rsidRPr="007E3DCE">
        <w:rPr>
          <w:rFonts w:eastAsia="Times New Roman" w:cs="Times New Roman"/>
          <w:color w:val="000000"/>
        </w:rPr>
        <w:t>38</w:t>
      </w:r>
      <w:r>
        <w:rPr>
          <w:rFonts w:eastAsia="Times New Roman" w:cs="Times New Roman"/>
          <w:color w:val="000000"/>
        </w:rPr>
        <w:t> </w:t>
      </w:r>
      <w:r w:rsidRPr="007E3DCE">
        <w:rPr>
          <w:rFonts w:eastAsia="Times New Roman" w:cs="Times New Roman"/>
          <w:color w:val="000000"/>
        </w:rPr>
        <w:t>Cal.4</w:t>
      </w:r>
      <w:r>
        <w:rPr>
          <w:rFonts w:eastAsia="Times New Roman" w:cs="Times New Roman"/>
          <w:color w:val="000000"/>
        </w:rPr>
        <w:t>th</w:t>
      </w:r>
      <w:r w:rsidRPr="007E3DCE">
        <w:rPr>
          <w:rFonts w:eastAsia="Times New Roman" w:cs="Times New Roman"/>
          <w:color w:val="000000"/>
        </w:rPr>
        <w:t xml:space="preserve"> </w:t>
      </w:r>
      <w:r>
        <w:rPr>
          <w:rFonts w:eastAsia="Times New Roman" w:cs="Times New Roman"/>
          <w:color w:val="000000"/>
        </w:rPr>
        <w:t>at p. </w:t>
      </w:r>
      <w:r w:rsidRPr="007E3DCE">
        <w:rPr>
          <w:rFonts w:eastAsia="Times New Roman" w:cs="Times New Roman"/>
          <w:color w:val="000000"/>
        </w:rPr>
        <w:t>1044</w:t>
      </w:r>
      <w:r>
        <w:rPr>
          <w:rFonts w:eastAsia="Times New Roman" w:cs="Times New Roman"/>
          <w:color w:val="000000"/>
        </w:rPr>
        <w:t>,</w:t>
      </w:r>
      <w:r w:rsidRPr="007E3DCE">
        <w:rPr>
          <w:rFonts w:eastAsia="Times New Roman" w:cs="Times New Roman"/>
          <w:color w:val="000000"/>
        </w:rPr>
        <w:t xml:space="preserve"> fn.</w:t>
      </w:r>
      <w:r>
        <w:rPr>
          <w:rFonts w:eastAsia="Times New Roman" w:cs="Times New Roman"/>
          <w:color w:val="000000"/>
        </w:rPr>
        <w:t> </w:t>
      </w:r>
      <w:r w:rsidRPr="007E3DCE">
        <w:rPr>
          <w:rFonts w:eastAsia="Times New Roman" w:cs="Times New Roman"/>
          <w:color w:val="000000"/>
        </w:rPr>
        <w:t>9</w:t>
      </w:r>
      <w:r>
        <w:rPr>
          <w:rFonts w:eastAsia="Times New Roman" w:cs="Times New Roman"/>
          <w:color w:val="000000"/>
        </w:rPr>
        <w:t>.)</w:t>
      </w:r>
      <w:r w:rsidRPr="007E3DCE">
        <w:rPr>
          <w:color w:val="000000"/>
          <w:shd w:val="clear" w:color="auto" w:fill="FFFFFF"/>
        </w:rPr>
        <w:t xml:space="preserve"> </w:t>
      </w:r>
      <w:r>
        <w:rPr>
          <w:color w:val="000000"/>
          <w:shd w:val="clear" w:color="auto" w:fill="FFFFFF"/>
        </w:rPr>
        <w:t xml:space="preserve"> </w:t>
      </w:r>
      <w:r>
        <w:t>In t</w:t>
      </w:r>
      <w:r w:rsidRPr="005C5737">
        <w:t xml:space="preserve">hat </w:t>
      </w:r>
      <w:r>
        <w:t xml:space="preserve">footnote, the court carefully left open issues that may be raised in a scenario where </w:t>
      </w:r>
      <w:r w:rsidRPr="005C5737">
        <w:t>an initiative statute “</w:t>
      </w:r>
      <w:r w:rsidRPr="005C5737">
        <w:rPr>
          <w:color w:val="000000"/>
          <w:shd w:val="clear" w:color="auto" w:fill="FFFFFF"/>
        </w:rPr>
        <w:t>improperly conflicts with the Legislature</w:t>
      </w:r>
      <w:r>
        <w:rPr>
          <w:color w:val="000000"/>
          <w:shd w:val="clear" w:color="auto" w:fill="FFFFFF"/>
        </w:rPr>
        <w:t>’</w:t>
      </w:r>
      <w:r w:rsidRPr="005C5737">
        <w:rPr>
          <w:color w:val="000000"/>
          <w:shd w:val="clear" w:color="auto" w:fill="FFFFFF"/>
        </w:rPr>
        <w:t xml:space="preserve">s </w:t>
      </w:r>
      <w:r w:rsidRPr="007E3DCE">
        <w:rPr>
          <w:color w:val="000000"/>
          <w:shd w:val="clear" w:color="auto" w:fill="FFFFFF"/>
        </w:rPr>
        <w:t>exercise of</w:t>
      </w:r>
      <w:r>
        <w:rPr>
          <w:color w:val="000000"/>
          <w:shd w:val="clear" w:color="auto" w:fill="FFFFFF"/>
        </w:rPr>
        <w:t xml:space="preserve"> </w:t>
      </w:r>
      <w:r w:rsidRPr="007E3DCE">
        <w:rPr>
          <w:rStyle w:val="Emphasis"/>
          <w:color w:val="000000"/>
          <w:bdr w:val="none" w:sz="0" w:space="0" w:color="auto" w:frame="1"/>
        </w:rPr>
        <w:t>its</w:t>
      </w:r>
      <w:r>
        <w:rPr>
          <w:color w:val="000000"/>
          <w:shd w:val="clear" w:color="auto" w:fill="FFFFFF"/>
        </w:rPr>
        <w:t xml:space="preserve"> </w:t>
      </w:r>
      <w:r w:rsidRPr="007E3DCE">
        <w:rPr>
          <w:color w:val="000000"/>
          <w:shd w:val="clear" w:color="auto" w:fill="FFFFFF"/>
        </w:rPr>
        <w:t xml:space="preserve">authority” under a specific delegation of legislative power in the </w:t>
      </w:r>
      <w:r>
        <w:rPr>
          <w:color w:val="000000"/>
          <w:shd w:val="clear" w:color="auto" w:fill="FFFFFF"/>
        </w:rPr>
        <w:t>C</w:t>
      </w:r>
      <w:r w:rsidRPr="007E3DCE">
        <w:rPr>
          <w:color w:val="000000"/>
          <w:shd w:val="clear" w:color="auto" w:fill="FFFFFF"/>
        </w:rPr>
        <w:t xml:space="preserve">onstitution. </w:t>
      </w:r>
      <w:r>
        <w:rPr>
          <w:color w:val="000000"/>
          <w:shd w:val="clear" w:color="auto" w:fill="FFFFFF"/>
        </w:rPr>
        <w:t xml:space="preserve"> </w:t>
      </w:r>
      <w:r w:rsidRPr="007E3DCE">
        <w:rPr>
          <w:color w:val="000000"/>
          <w:shd w:val="clear" w:color="auto" w:fill="FFFFFF"/>
        </w:rPr>
        <w:t>(</w:t>
      </w:r>
      <w:r w:rsidRPr="00D0355C">
        <w:rPr>
          <w:i/>
          <w:color w:val="000000"/>
          <w:shd w:val="clear" w:color="auto" w:fill="FFFFFF"/>
        </w:rPr>
        <w:t>McPh</w:t>
      </w:r>
      <w:r w:rsidRPr="00D0355C">
        <w:rPr>
          <w:i/>
          <w:color w:val="000000"/>
          <w:shd w:val="clear" w:color="auto" w:fill="FFFFFF"/>
        </w:rPr>
        <w:t>erson</w:t>
      </w:r>
      <w:r>
        <w:rPr>
          <w:color w:val="000000"/>
          <w:shd w:val="clear" w:color="auto" w:fill="FFFFFF"/>
        </w:rPr>
        <w:t>, at p. 1044, fn. 9.</w:t>
      </w:r>
      <w:r>
        <w:rPr>
          <w:rFonts w:eastAsia="Times New Roman" w:cs="Times New Roman"/>
          <w:color w:val="000000"/>
        </w:rPr>
        <w:t>,</w:t>
      </w:r>
      <w:r w:rsidRPr="007E3DCE">
        <w:rPr>
          <w:color w:val="000000"/>
          <w:shd w:val="clear" w:color="auto" w:fill="FFFFFF"/>
        </w:rPr>
        <w:t xml:space="preserve"> </w:t>
      </w:r>
      <w:r>
        <w:rPr>
          <w:color w:val="000000"/>
          <w:shd w:val="clear" w:color="auto" w:fill="FFFFFF"/>
        </w:rPr>
        <w:t xml:space="preserve">original </w:t>
      </w:r>
      <w:r w:rsidRPr="007E3DCE">
        <w:rPr>
          <w:color w:val="000000"/>
          <w:shd w:val="clear" w:color="auto" w:fill="FFFFFF"/>
        </w:rPr>
        <w:t>italics.)</w:t>
      </w:r>
    </w:p>
    <w:p w14:paraId="4D0A12E3" w14:textId="77777777" w:rsidR="00AB000C" w:rsidRDefault="00570B35" w:rsidP="00AB000C">
      <w:pPr>
        <w:autoSpaceDE w:val="0"/>
        <w:autoSpaceDN w:val="0"/>
        <w:adjustRightInd w:val="0"/>
        <w:ind w:firstLine="720"/>
        <w:rPr>
          <w:rFonts w:cs="NewCenturySchlbkLTPro-Roman"/>
        </w:rPr>
      </w:pPr>
      <w:r w:rsidRPr="007E3DCE">
        <w:lastRenderedPageBreak/>
        <w:t xml:space="preserve">Emphasizing that we must liberally construe the people’s </w:t>
      </w:r>
      <w:r w:rsidRPr="001D6D7D">
        <w:t>“initiative power” (</w:t>
      </w:r>
      <w:r w:rsidRPr="001D6D7D">
        <w:rPr>
          <w:rFonts w:cs="CenturySchoolbook-Italic"/>
          <w:i/>
          <w:iCs/>
        </w:rPr>
        <w:t xml:space="preserve">Legislature v. Eu </w:t>
      </w:r>
      <w:r w:rsidRPr="001D6D7D">
        <w:rPr>
          <w:rFonts w:cs="CenturySchoolbook"/>
        </w:rPr>
        <w:t xml:space="preserve">(1991) 54 Cal.3d 492, 501) and </w:t>
      </w:r>
      <w:r w:rsidRPr="001D6D7D">
        <w:t>“resolve any reasonable doubts in favor” of this right (</w:t>
      </w:r>
      <w:proofErr w:type="spellStart"/>
      <w:r w:rsidRPr="001D6D7D">
        <w:rPr>
          <w:i/>
          <w:iCs/>
        </w:rPr>
        <w:t>Brosnahan</w:t>
      </w:r>
      <w:proofErr w:type="spellEnd"/>
      <w:r w:rsidRPr="001D6D7D">
        <w:rPr>
          <w:i/>
          <w:iCs/>
        </w:rPr>
        <w:t xml:space="preserve"> v. Brown</w:t>
      </w:r>
      <w:r w:rsidRPr="001D6D7D">
        <w:t xml:space="preserve"> (1982) 32 Cal.3d 236, 241</w:t>
      </w:r>
      <w:r>
        <w:t>, italics omitted</w:t>
      </w:r>
      <w:r w:rsidRPr="001D6D7D">
        <w:t>), the</w:t>
      </w:r>
      <w:r w:rsidRPr="007E3DCE">
        <w:rPr>
          <w:shd w:val="clear" w:color="auto" w:fill="FAF9F8"/>
        </w:rPr>
        <w:t xml:space="preserve"> </w:t>
      </w:r>
      <w:r>
        <w:rPr>
          <w:shd w:val="clear" w:color="auto" w:fill="FAF9F8"/>
        </w:rPr>
        <w:t xml:space="preserve">Proposition 22 proponents </w:t>
      </w:r>
      <w:r w:rsidRPr="007E3DCE">
        <w:t>tell us there is no genuine conflict here because the legislative power of the voters is at least coextensive with and in some respects “greater than that of the Legislature” (</w:t>
      </w:r>
      <w:r w:rsidRPr="00FB66B1">
        <w:rPr>
          <w:rFonts w:eastAsia="Times New Roman" w:cs="Times New Roman"/>
          <w:i/>
          <w:iCs/>
          <w:color w:val="000000"/>
          <w:bdr w:val="none" w:sz="0" w:space="0" w:color="auto" w:frame="1"/>
        </w:rPr>
        <w:t>Ross</w:t>
      </w:r>
      <w:r w:rsidRPr="00FB66B1">
        <w:rPr>
          <w:rFonts w:eastAsia="Times New Roman" w:cs="Times New Roman"/>
          <w:i/>
          <w:iCs/>
          <w:color w:val="000000"/>
          <w:bdr w:val="none" w:sz="0" w:space="0" w:color="auto" w:frame="1"/>
        </w:rPr>
        <w:t>i v. Brown</w:t>
      </w:r>
      <w:r>
        <w:rPr>
          <w:rFonts w:eastAsia="Times New Roman" w:cs="Times New Roman"/>
          <w:color w:val="000000"/>
        </w:rPr>
        <w:t xml:space="preserve"> </w:t>
      </w:r>
      <w:r w:rsidRPr="00FB66B1">
        <w:rPr>
          <w:rFonts w:eastAsia="Times New Roman" w:cs="Times New Roman"/>
          <w:color w:val="000000"/>
        </w:rPr>
        <w:t>(1995) 9</w:t>
      </w:r>
      <w:r>
        <w:rPr>
          <w:rFonts w:eastAsia="Times New Roman" w:cs="Times New Roman"/>
          <w:color w:val="000000"/>
        </w:rPr>
        <w:t> </w:t>
      </w:r>
      <w:r w:rsidRPr="00FB66B1">
        <w:rPr>
          <w:rFonts w:eastAsia="Times New Roman" w:cs="Times New Roman"/>
          <w:color w:val="000000"/>
        </w:rPr>
        <w:t>Cal.4</w:t>
      </w:r>
      <w:r>
        <w:rPr>
          <w:rFonts w:eastAsia="Times New Roman" w:cs="Times New Roman"/>
          <w:color w:val="000000"/>
        </w:rPr>
        <w:t>th</w:t>
      </w:r>
      <w:r w:rsidRPr="00FB66B1">
        <w:rPr>
          <w:rFonts w:eastAsia="Times New Roman" w:cs="Times New Roman"/>
          <w:color w:val="000000"/>
        </w:rPr>
        <w:t xml:space="preserve"> 688, 704</w:t>
      </w:r>
      <w:r w:rsidRPr="007E3DCE">
        <w:rPr>
          <w:rFonts w:eastAsia="Times New Roman" w:cs="Times New Roman"/>
          <w:color w:val="000000"/>
        </w:rPr>
        <w:t>)</w:t>
      </w:r>
      <w:r>
        <w:rPr>
          <w:rFonts w:eastAsia="Times New Roman" w:cs="Times New Roman"/>
          <w:color w:val="000000"/>
        </w:rPr>
        <w:t>.</w:t>
      </w:r>
      <w:r w:rsidRPr="007E3DCE">
        <w:t xml:space="preserve">  </w:t>
      </w:r>
      <w:r w:rsidRPr="007F3644">
        <w:t>But</w:t>
      </w:r>
      <w:r>
        <w:t xml:space="preserve"> b</w:t>
      </w:r>
      <w:r w:rsidRPr="0091486C">
        <w:t xml:space="preserve">ecause we are dealing with </w:t>
      </w:r>
      <w:r>
        <w:t>a ballot statute that treads on a constitutionally delegated power assigned specifically to the Legislature,</w:t>
      </w:r>
      <w:r w:rsidRPr="0091486C">
        <w:t xml:space="preserve"> sweeping statements about the</w:t>
      </w:r>
      <w:r>
        <w:t xml:space="preserve"> people’s</w:t>
      </w:r>
      <w:r w:rsidRPr="0091486C">
        <w:t xml:space="preserve"> “</w:t>
      </w:r>
      <w:r w:rsidRPr="0091486C">
        <w:rPr>
          <w:rFonts w:cs="NewCenturySchlbkLTPro-Roman"/>
        </w:rPr>
        <w:t>precious rights</w:t>
      </w:r>
      <w:r>
        <w:rPr>
          <w:rFonts w:cs="NewCenturySchlbkLTPro-Roman"/>
        </w:rPr>
        <w:t xml:space="preserve">” of initiative </w:t>
      </w:r>
      <w:r w:rsidRPr="0091486C">
        <w:rPr>
          <w:rFonts w:cs="NewCenturySchlbkLTPro-Roman"/>
        </w:rPr>
        <w:t>(</w:t>
      </w:r>
      <w:r w:rsidRPr="0091486C">
        <w:rPr>
          <w:rFonts w:cs="NewCenturySchlbkLTPro-Roman"/>
          <w:i/>
          <w:iCs/>
        </w:rPr>
        <w:t>Ama</w:t>
      </w:r>
      <w:r w:rsidRPr="0091486C">
        <w:rPr>
          <w:rFonts w:cs="NewCenturySchlbkLTPro-Roman"/>
          <w:i/>
          <w:iCs/>
        </w:rPr>
        <w:t>dor Valley Joint Union High Sch</w:t>
      </w:r>
      <w:r>
        <w:rPr>
          <w:rFonts w:cs="NewCenturySchlbkLTPro-Roman"/>
          <w:i/>
          <w:iCs/>
        </w:rPr>
        <w:t>.</w:t>
      </w:r>
      <w:r w:rsidRPr="0091486C">
        <w:rPr>
          <w:rFonts w:cs="NewCenturySchlbkLTPro-Roman"/>
          <w:i/>
          <w:iCs/>
        </w:rPr>
        <w:t xml:space="preserve"> Dist</w:t>
      </w:r>
      <w:r>
        <w:rPr>
          <w:rFonts w:cs="NewCenturySchlbkLTPro-Roman"/>
          <w:i/>
          <w:iCs/>
        </w:rPr>
        <w:t xml:space="preserve">. </w:t>
      </w:r>
      <w:r w:rsidRPr="0091486C">
        <w:rPr>
          <w:rFonts w:cs="NewCenturySchlbkLTPro-Roman"/>
          <w:i/>
          <w:iCs/>
        </w:rPr>
        <w:t xml:space="preserve">v. State Bd. </w:t>
      </w:r>
      <w:r>
        <w:rPr>
          <w:rFonts w:cs="NewCenturySchlbkLTPro-Roman"/>
          <w:i/>
          <w:iCs/>
        </w:rPr>
        <w:t>o</w:t>
      </w:r>
      <w:r w:rsidRPr="0091486C">
        <w:rPr>
          <w:rFonts w:cs="NewCenturySchlbkLTPro-Roman"/>
          <w:i/>
          <w:iCs/>
        </w:rPr>
        <w:t>f Equalization</w:t>
      </w:r>
      <w:r w:rsidRPr="0091486C">
        <w:rPr>
          <w:rFonts w:cs="NewCenturySchlbkLTPro-Roman"/>
        </w:rPr>
        <w:t xml:space="preserve"> (1978) 22</w:t>
      </w:r>
      <w:r>
        <w:rPr>
          <w:rFonts w:cs="NewCenturySchlbkLTPro-Roman"/>
        </w:rPr>
        <w:t> </w:t>
      </w:r>
      <w:r w:rsidRPr="0091486C">
        <w:rPr>
          <w:rFonts w:cs="NewCenturySchlbkLTPro-Roman"/>
        </w:rPr>
        <w:t>Cal.3d 208, 248)</w:t>
      </w:r>
      <w:r>
        <w:rPr>
          <w:rFonts w:cs="NewCenturySchlbkLTPro-Roman"/>
        </w:rPr>
        <w:t xml:space="preserve"> </w:t>
      </w:r>
      <w:r w:rsidRPr="00CF187A">
        <w:rPr>
          <w:rFonts w:cs="NewCenturySchlbkLTPro-Roman"/>
        </w:rPr>
        <w:t>provide little guidance.</w:t>
      </w:r>
    </w:p>
    <w:p w14:paraId="16837AD0" w14:textId="77777777" w:rsidR="00AB000C" w:rsidRDefault="00570B35" w:rsidP="00AB000C">
      <w:pPr>
        <w:autoSpaceDE w:val="0"/>
        <w:autoSpaceDN w:val="0"/>
        <w:adjustRightInd w:val="0"/>
        <w:ind w:firstLine="720"/>
        <w:rPr>
          <w:rFonts w:eastAsia="Times New Roman" w:cs="Times New Roman"/>
          <w:color w:val="000000"/>
        </w:rPr>
      </w:pPr>
      <w:r>
        <w:t xml:space="preserve">Precision is crucial.  Voter electors are not the “people” when they legislate under article II, section 8(a).  They exercise sovereign power as the “people” only when they approve ballot constitutional amendments.  </w:t>
      </w:r>
      <w:r w:rsidRPr="0091486C">
        <w:t>Although voter electors and the Legislat</w:t>
      </w:r>
      <w:r w:rsidRPr="0091486C">
        <w:t xml:space="preserve">ure </w:t>
      </w:r>
      <w:r>
        <w:t xml:space="preserve">may </w:t>
      </w:r>
      <w:r w:rsidRPr="0091486C">
        <w:t>both exercise the police power to pass legislation, and ordinarily the electors have the upper hand when both wish to legislate on the same subject</w:t>
      </w:r>
      <w:r w:rsidRPr="0012354F">
        <w:t xml:space="preserve"> (</w:t>
      </w:r>
      <w:r w:rsidRPr="00292720">
        <w:t>art. II, § 10(c);</w:t>
      </w:r>
      <w:r w:rsidRPr="0012354F">
        <w:t xml:space="preserve"> </w:t>
      </w:r>
      <w:r w:rsidRPr="0012354F">
        <w:rPr>
          <w:rFonts w:eastAsia="Times New Roman" w:cs="Times New Roman"/>
          <w:i/>
          <w:iCs/>
          <w:color w:val="000000"/>
          <w:bdr w:val="none" w:sz="0" w:space="0" w:color="auto" w:frame="1"/>
        </w:rPr>
        <w:t>People v. Kelly</w:t>
      </w:r>
      <w:r w:rsidRPr="0012354F">
        <w:rPr>
          <w:rFonts w:eastAsia="Times New Roman" w:cs="Times New Roman"/>
          <w:color w:val="000000"/>
        </w:rPr>
        <w:t xml:space="preserve"> (2010) 47 Cal.4th 1008), </w:t>
      </w:r>
      <w:r w:rsidRPr="0091486C">
        <w:t xml:space="preserve">this is not an ordinary </w:t>
      </w:r>
      <w:r>
        <w:t xml:space="preserve">case.  </w:t>
      </w:r>
      <w:r w:rsidRPr="51970168">
        <w:rPr>
          <w:rFonts w:eastAsia="Times New Roman" w:cs="Times New Roman"/>
          <w:color w:val="000000" w:themeColor="text1"/>
        </w:rPr>
        <w:t>The power</w:t>
      </w:r>
      <w:r w:rsidRPr="51970168">
        <w:rPr>
          <w:rFonts w:eastAsia="Times New Roman" w:cs="Times New Roman"/>
          <w:color w:val="000000" w:themeColor="text1"/>
        </w:rPr>
        <w:t xml:space="preserve"> exercised by voter electors under article II, section 8(a), and the power exercised by the Legislature under </w:t>
      </w:r>
      <w:r w:rsidRPr="00656330">
        <w:rPr>
          <w:rFonts w:eastAsia="Times New Roman" w:cs="Times New Roman"/>
        </w:rPr>
        <w:t>article XIV, section 4, overlap, but these two powers remain distinct, as the history of article XIV, section 4</w:t>
      </w:r>
      <w:r>
        <w:rPr>
          <w:rFonts w:eastAsia="Times New Roman" w:cs="Times New Roman"/>
        </w:rPr>
        <w:t>,</w:t>
      </w:r>
      <w:r w:rsidRPr="00656330">
        <w:rPr>
          <w:rFonts w:eastAsia="Times New Roman" w:cs="Times New Roman"/>
        </w:rPr>
        <w:t xml:space="preserve"> recounted above shows.  Nothing i</w:t>
      </w:r>
      <w:r w:rsidRPr="00656330">
        <w:rPr>
          <w:rFonts w:eastAsia="Times New Roman" w:cs="Times New Roman"/>
        </w:rPr>
        <w:t xml:space="preserve">n </w:t>
      </w:r>
      <w:r>
        <w:rPr>
          <w:i/>
          <w:iCs/>
        </w:rPr>
        <w:t>McPherson</w:t>
      </w:r>
      <w:r w:rsidRPr="00656330">
        <w:rPr>
          <w:rFonts w:eastAsia="Times New Roman" w:cs="Times New Roman"/>
        </w:rPr>
        <w:t xml:space="preserve"> holds to the contrary.  The </w:t>
      </w:r>
      <w:r w:rsidRPr="00656330">
        <w:rPr>
          <w:rFonts w:eastAsia="Times New Roman" w:cs="Times New Roman"/>
          <w:i/>
        </w:rPr>
        <w:t>McPherson</w:t>
      </w:r>
      <w:r w:rsidRPr="00656330">
        <w:rPr>
          <w:rFonts w:eastAsia="Times New Roman" w:cs="Times New Roman"/>
        </w:rPr>
        <w:t xml:space="preserve"> court </w:t>
      </w:r>
      <w:r w:rsidRPr="00656330">
        <w:rPr>
          <w:rFonts w:eastAsia="Times New Roman" w:cs="Times New Roman"/>
        </w:rPr>
        <w:lastRenderedPageBreak/>
        <w:t xml:space="preserve">pointed out that the electors’ ability to adopt statutes by initiative is a “similar power” to that of the </w:t>
      </w:r>
      <w:r w:rsidRPr="51970168">
        <w:rPr>
          <w:rFonts w:eastAsia="Times New Roman" w:cs="Times New Roman"/>
          <w:color w:val="000000" w:themeColor="text1"/>
        </w:rPr>
        <w:t>Legislature under article XII, section 5 (</w:t>
      </w:r>
      <w:r>
        <w:rPr>
          <w:i/>
          <w:iCs/>
        </w:rPr>
        <w:t>McPherson</w:t>
      </w:r>
      <w:r w:rsidRPr="51970168">
        <w:rPr>
          <w:rFonts w:eastAsia="Times New Roman" w:cs="Times New Roman"/>
          <w:color w:val="000000" w:themeColor="text1"/>
        </w:rPr>
        <w:t xml:space="preserve">, </w:t>
      </w:r>
      <w:r w:rsidRPr="51970168">
        <w:rPr>
          <w:rFonts w:eastAsia="Times New Roman" w:cs="Times New Roman"/>
          <w:i/>
          <w:color w:val="000000" w:themeColor="text1"/>
        </w:rPr>
        <w:t>supra</w:t>
      </w:r>
      <w:r w:rsidRPr="51970168">
        <w:rPr>
          <w:rFonts w:eastAsia="Times New Roman" w:cs="Times New Roman"/>
          <w:color w:val="000000" w:themeColor="text1"/>
        </w:rPr>
        <w:t>, 38 Cal.4</w:t>
      </w:r>
      <w:r>
        <w:rPr>
          <w:rFonts w:eastAsia="Times New Roman" w:cs="Times New Roman"/>
          <w:color w:val="000000" w:themeColor="text1"/>
        </w:rPr>
        <w:t>th</w:t>
      </w:r>
      <w:r w:rsidRPr="51970168">
        <w:rPr>
          <w:rFonts w:eastAsia="Times New Roman" w:cs="Times New Roman"/>
          <w:color w:val="000000" w:themeColor="text1"/>
        </w:rPr>
        <w:t xml:space="preserve"> at p. 1033), not that </w:t>
      </w:r>
      <w:r w:rsidRPr="51970168">
        <w:rPr>
          <w:rFonts w:eastAsia="Times New Roman" w:cs="Times New Roman"/>
          <w:color w:val="000000" w:themeColor="text1"/>
        </w:rPr>
        <w:t xml:space="preserve">the electors </w:t>
      </w:r>
      <w:r w:rsidRPr="51970168">
        <w:rPr>
          <w:rFonts w:eastAsia="Times New Roman" w:cs="Times New Roman"/>
          <w:i/>
          <w:color w:val="000000" w:themeColor="text1"/>
        </w:rPr>
        <w:t>are</w:t>
      </w:r>
      <w:r w:rsidRPr="51970168">
        <w:rPr>
          <w:rFonts w:eastAsia="Times New Roman" w:cs="Times New Roman"/>
          <w:color w:val="000000" w:themeColor="text1"/>
        </w:rPr>
        <w:t xml:space="preserve"> “the Legislature” when they legislate on workers’ compensation matters</w:t>
      </w:r>
      <w:r>
        <w:rPr>
          <w:rFonts w:eastAsia="Times New Roman" w:cs="Times New Roman"/>
          <w:color w:val="000000" w:themeColor="text1"/>
        </w:rPr>
        <w:t>,</w:t>
      </w:r>
      <w:r w:rsidRPr="51970168">
        <w:rPr>
          <w:rFonts w:eastAsia="Times New Roman" w:cs="Times New Roman"/>
          <w:color w:val="000000" w:themeColor="text1"/>
        </w:rPr>
        <w:t xml:space="preserve"> </w:t>
      </w:r>
      <w:r>
        <w:rPr>
          <w:rFonts w:eastAsia="Times New Roman" w:cs="Times New Roman"/>
          <w:color w:val="000000" w:themeColor="text1"/>
        </w:rPr>
        <w:t xml:space="preserve">having </w:t>
      </w:r>
      <w:r w:rsidRPr="51970168">
        <w:rPr>
          <w:rFonts w:eastAsia="Times New Roman" w:cs="Times New Roman"/>
          <w:color w:val="000000" w:themeColor="text1"/>
        </w:rPr>
        <w:t>simply step</w:t>
      </w:r>
      <w:r>
        <w:rPr>
          <w:rFonts w:eastAsia="Times New Roman" w:cs="Times New Roman"/>
          <w:color w:val="000000" w:themeColor="text1"/>
        </w:rPr>
        <w:t>ped</w:t>
      </w:r>
      <w:r w:rsidRPr="51970168">
        <w:rPr>
          <w:rFonts w:eastAsia="Times New Roman" w:cs="Times New Roman"/>
          <w:color w:val="000000" w:themeColor="text1"/>
        </w:rPr>
        <w:t xml:space="preserve"> into the shoes of the Legislature, clothed with article XI</w:t>
      </w:r>
      <w:r>
        <w:rPr>
          <w:rFonts w:eastAsia="Times New Roman" w:cs="Times New Roman"/>
          <w:color w:val="000000" w:themeColor="text1"/>
        </w:rPr>
        <w:t>I</w:t>
      </w:r>
      <w:r w:rsidRPr="51970168">
        <w:rPr>
          <w:rFonts w:eastAsia="Times New Roman" w:cs="Times New Roman"/>
          <w:color w:val="000000" w:themeColor="text1"/>
        </w:rPr>
        <w:t>, section </w:t>
      </w:r>
      <w:r>
        <w:rPr>
          <w:rFonts w:eastAsia="Times New Roman" w:cs="Times New Roman"/>
          <w:color w:val="000000" w:themeColor="text1"/>
        </w:rPr>
        <w:t>5,</w:t>
      </w:r>
      <w:r w:rsidRPr="51970168">
        <w:rPr>
          <w:rFonts w:eastAsia="Times New Roman" w:cs="Times New Roman"/>
          <w:color w:val="000000" w:themeColor="text1"/>
        </w:rPr>
        <w:t xml:space="preserve"> authority.</w:t>
      </w:r>
    </w:p>
    <w:p w14:paraId="4D0B4A10" w14:textId="77777777" w:rsidR="00AB000C" w:rsidRPr="00CF4E1A" w:rsidRDefault="00570B35" w:rsidP="00AB000C">
      <w:pPr>
        <w:autoSpaceDE w:val="0"/>
        <w:autoSpaceDN w:val="0"/>
        <w:adjustRightInd w:val="0"/>
        <w:ind w:firstLine="720"/>
        <w:rPr>
          <w:rFonts w:eastAsia="Times New Roman" w:cs="Times New Roman"/>
          <w:color w:val="000000"/>
        </w:rPr>
      </w:pPr>
      <w:r>
        <w:rPr>
          <w:rFonts w:eastAsia="Times New Roman" w:cs="Times New Roman"/>
          <w:color w:val="000000"/>
        </w:rPr>
        <w:t>Because o</w:t>
      </w:r>
      <w:r w:rsidRPr="0091486C">
        <w:t xml:space="preserve">nly the </w:t>
      </w:r>
      <w:r w:rsidRPr="0091486C">
        <w:rPr>
          <w:rFonts w:eastAsia="Times New Roman" w:cs="Times New Roman"/>
          <w:color w:val="000000"/>
        </w:rPr>
        <w:t>Legislature has the constitutional power to a</w:t>
      </w:r>
      <w:r w:rsidRPr="0091486C">
        <w:rPr>
          <w:rFonts w:eastAsia="Times New Roman" w:cs="Times New Roman"/>
          <w:color w:val="000000"/>
        </w:rPr>
        <w:t>ct “pursuant to” article XIV, section</w:t>
      </w:r>
      <w:r>
        <w:rPr>
          <w:rFonts w:eastAsia="Times New Roman" w:cs="Times New Roman"/>
          <w:color w:val="000000"/>
        </w:rPr>
        <w:t> </w:t>
      </w:r>
      <w:r w:rsidRPr="0091486C">
        <w:rPr>
          <w:rFonts w:eastAsia="Times New Roman" w:cs="Times New Roman"/>
          <w:color w:val="000000"/>
        </w:rPr>
        <w:t>4 (</w:t>
      </w:r>
      <w:proofErr w:type="spellStart"/>
      <w:r w:rsidRPr="0091486C">
        <w:rPr>
          <w:rFonts w:eastAsia="Times New Roman" w:cs="Times New Roman"/>
          <w:i/>
          <w:iCs/>
          <w:color w:val="000000"/>
          <w:bdr w:val="none" w:sz="0" w:space="0" w:color="auto" w:frame="1"/>
        </w:rPr>
        <w:t>Graczyk</w:t>
      </w:r>
      <w:proofErr w:type="spellEnd"/>
      <w:r w:rsidRPr="0091486C">
        <w:rPr>
          <w:rFonts w:eastAsia="Times New Roman" w:cs="Times New Roman"/>
          <w:i/>
          <w:iCs/>
          <w:color w:val="000000"/>
          <w:bdr w:val="none" w:sz="0" w:space="0" w:color="auto" w:frame="1"/>
        </w:rPr>
        <w:t xml:space="preserve"> v. Workers</w:t>
      </w:r>
      <w:r>
        <w:rPr>
          <w:rFonts w:eastAsia="Times New Roman" w:cs="Times New Roman"/>
          <w:i/>
          <w:iCs/>
          <w:color w:val="000000"/>
          <w:bdr w:val="none" w:sz="0" w:space="0" w:color="auto" w:frame="1"/>
        </w:rPr>
        <w:t>’</w:t>
      </w:r>
      <w:r w:rsidRPr="0091486C">
        <w:rPr>
          <w:rFonts w:eastAsia="Times New Roman" w:cs="Times New Roman"/>
          <w:i/>
          <w:iCs/>
          <w:color w:val="000000"/>
          <w:bdr w:val="none" w:sz="0" w:space="0" w:color="auto" w:frame="1"/>
        </w:rPr>
        <w:t xml:space="preserve"> Comp</w:t>
      </w:r>
      <w:r>
        <w:rPr>
          <w:rFonts w:eastAsia="Times New Roman" w:cs="Times New Roman"/>
          <w:i/>
          <w:iCs/>
          <w:color w:val="000000"/>
          <w:bdr w:val="none" w:sz="0" w:space="0" w:color="auto" w:frame="1"/>
        </w:rPr>
        <w:t>.</w:t>
      </w:r>
      <w:r w:rsidRPr="0091486C">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91486C">
        <w:rPr>
          <w:rFonts w:eastAsia="Times New Roman" w:cs="Times New Roman"/>
          <w:color w:val="000000"/>
        </w:rPr>
        <w:t>(1986) 184</w:t>
      </w:r>
      <w:r>
        <w:rPr>
          <w:rFonts w:eastAsia="Times New Roman" w:cs="Times New Roman"/>
          <w:color w:val="000000"/>
        </w:rPr>
        <w:t> </w:t>
      </w:r>
      <w:r w:rsidRPr="0091486C">
        <w:rPr>
          <w:rFonts w:eastAsia="Times New Roman" w:cs="Times New Roman"/>
          <w:color w:val="000000"/>
        </w:rPr>
        <w:t>Cal</w:t>
      </w:r>
      <w:r w:rsidRPr="00A14D7D">
        <w:rPr>
          <w:rFonts w:eastAsia="Times New Roman" w:cs="Times New Roman"/>
          <w:color w:val="000000"/>
        </w:rPr>
        <w:t>.App.3d 997, 1008</w:t>
      </w:r>
      <w:r>
        <w:rPr>
          <w:rFonts w:eastAsia="Times New Roman" w:cs="Times New Roman"/>
          <w:color w:val="000000"/>
        </w:rPr>
        <w:t>), I </w:t>
      </w:r>
      <w:r w:rsidRPr="00D1195B">
        <w:rPr>
          <w:rFonts w:eastAsia="Times New Roman" w:cs="Times New Roman"/>
          <w:color w:val="000000"/>
        </w:rPr>
        <w:t>believe the mo</w:t>
      </w:r>
      <w:r>
        <w:rPr>
          <w:rFonts w:eastAsia="Times New Roman" w:cs="Times New Roman"/>
          <w:color w:val="000000"/>
        </w:rPr>
        <w:t xml:space="preserve">st </w:t>
      </w:r>
      <w:r w:rsidRPr="00D1195B">
        <w:rPr>
          <w:rFonts w:eastAsia="Times New Roman" w:cs="Times New Roman"/>
          <w:color w:val="000000"/>
        </w:rPr>
        <w:t>accurate way to describe the</w:t>
      </w:r>
      <w:r>
        <w:rPr>
          <w:rFonts w:eastAsia="Times New Roman" w:cs="Times New Roman"/>
          <w:color w:val="000000"/>
        </w:rPr>
        <w:t xml:space="preserve">se two powers when they conflict is that </w:t>
      </w:r>
      <w:r w:rsidRPr="005311C1">
        <w:rPr>
          <w:rFonts w:eastAsia="Times New Roman" w:cs="Times New Roman"/>
          <w:color w:val="000000"/>
        </w:rPr>
        <w:t xml:space="preserve">they are </w:t>
      </w:r>
      <w:r w:rsidRPr="005311C1">
        <w:rPr>
          <w:rFonts w:eastAsia="Times New Roman" w:cs="Times New Roman"/>
          <w:i/>
          <w:iCs/>
          <w:color w:val="000000"/>
        </w:rPr>
        <w:t>concurrent</w:t>
      </w:r>
      <w:r w:rsidRPr="005311C1">
        <w:rPr>
          <w:rFonts w:eastAsia="Times New Roman" w:cs="Times New Roman"/>
          <w:color w:val="000000"/>
        </w:rPr>
        <w:t>, not</w:t>
      </w:r>
      <w:r>
        <w:rPr>
          <w:rFonts w:eastAsia="Times New Roman" w:cs="Times New Roman"/>
          <w:color w:val="000000"/>
        </w:rPr>
        <w:t xml:space="preserve"> that they are</w:t>
      </w:r>
      <w:r w:rsidRPr="005311C1">
        <w:rPr>
          <w:rFonts w:eastAsia="Times New Roman" w:cs="Times New Roman"/>
          <w:color w:val="000000"/>
        </w:rPr>
        <w:t xml:space="preserve"> coextensive.  (</w:t>
      </w:r>
      <w:r>
        <w:rPr>
          <w:rFonts w:eastAsia="Times New Roman" w:cs="Times New Roman"/>
          <w:color w:val="000000"/>
        </w:rPr>
        <w:t xml:space="preserve">See </w:t>
      </w:r>
      <w:r w:rsidRPr="005A534E">
        <w:rPr>
          <w:rFonts w:eastAsia="Times New Roman" w:cs="Times New Roman"/>
          <w:i/>
          <w:iCs/>
          <w:color w:val="000000"/>
          <w:bdr w:val="none" w:sz="0" w:space="0" w:color="auto" w:frame="1"/>
        </w:rPr>
        <w:t>Youngstown Sheet &amp; Tube Co. v. Sawyer</w:t>
      </w:r>
      <w:r>
        <w:rPr>
          <w:rFonts w:eastAsia="Times New Roman" w:cs="Times New Roman"/>
          <w:color w:val="000000"/>
        </w:rPr>
        <w:t xml:space="preserve"> </w:t>
      </w:r>
      <w:r w:rsidRPr="005A534E">
        <w:rPr>
          <w:rFonts w:eastAsia="Times New Roman" w:cs="Times New Roman"/>
          <w:color w:val="000000"/>
        </w:rPr>
        <w:t>(1952) 343</w:t>
      </w:r>
      <w:r>
        <w:rPr>
          <w:rFonts w:eastAsia="Times New Roman" w:cs="Times New Roman"/>
          <w:color w:val="000000"/>
        </w:rPr>
        <w:t> </w:t>
      </w:r>
      <w:r w:rsidRPr="005A534E">
        <w:rPr>
          <w:rFonts w:eastAsia="Times New Roman" w:cs="Times New Roman"/>
          <w:color w:val="000000"/>
        </w:rPr>
        <w:t>U.S. 579, 637</w:t>
      </w:r>
      <w:r w:rsidRPr="00C76F16">
        <w:rPr>
          <w:rFonts w:eastAsia="Times New Roman" w:cs="Times New Roman"/>
          <w:color w:val="000000"/>
        </w:rPr>
        <w:t>–638</w:t>
      </w:r>
      <w:r>
        <w:rPr>
          <w:rFonts w:eastAsia="Times New Roman" w:cs="Times New Roman"/>
          <w:color w:val="000000"/>
        </w:rPr>
        <w:t xml:space="preserve"> (</w:t>
      </w:r>
      <w:r w:rsidRPr="00EE2BAB">
        <w:rPr>
          <w:rFonts w:eastAsia="Times New Roman" w:cs="Times New Roman"/>
          <w:i/>
          <w:iCs/>
          <w:color w:val="000000"/>
        </w:rPr>
        <w:t>Youngstown Sheet &amp; Tube</w:t>
      </w:r>
      <w:r>
        <w:rPr>
          <w:rFonts w:eastAsia="Times New Roman" w:cs="Times New Roman"/>
          <w:color w:val="000000"/>
        </w:rPr>
        <w:t>)</w:t>
      </w:r>
      <w:r w:rsidRPr="005311C1">
        <w:rPr>
          <w:rFonts w:eastAsia="Times New Roman" w:cs="Times New Roman"/>
          <w:color w:val="000000"/>
        </w:rPr>
        <w:t xml:space="preserve"> (</w:t>
      </w:r>
      <w:r>
        <w:rPr>
          <w:rFonts w:eastAsia="Times New Roman" w:cs="Times New Roman"/>
          <w:color w:val="000000"/>
        </w:rPr>
        <w:t xml:space="preserve">conc. </w:t>
      </w:r>
      <w:proofErr w:type="spellStart"/>
      <w:r>
        <w:rPr>
          <w:rFonts w:eastAsia="Times New Roman" w:cs="Times New Roman"/>
          <w:color w:val="000000"/>
        </w:rPr>
        <w:t>opn</w:t>
      </w:r>
      <w:proofErr w:type="spellEnd"/>
      <w:r>
        <w:rPr>
          <w:rFonts w:eastAsia="Times New Roman" w:cs="Times New Roman"/>
          <w:color w:val="000000"/>
        </w:rPr>
        <w:t xml:space="preserve">. of </w:t>
      </w:r>
      <w:r w:rsidRPr="005311C1">
        <w:rPr>
          <w:rFonts w:eastAsia="Times New Roman" w:cs="Times New Roman"/>
          <w:color w:val="000000"/>
        </w:rPr>
        <w:t>Jackson,</w:t>
      </w:r>
      <w:r>
        <w:rPr>
          <w:rFonts w:eastAsia="Times New Roman" w:cs="Times New Roman"/>
          <w:color w:val="000000"/>
        </w:rPr>
        <w:t> </w:t>
      </w:r>
      <w:r w:rsidRPr="005311C1">
        <w:rPr>
          <w:rFonts w:eastAsia="Times New Roman" w:cs="Times New Roman"/>
          <w:color w:val="000000"/>
        </w:rPr>
        <w:t>J.).</w:t>
      </w:r>
      <w:r>
        <w:rPr>
          <w:rFonts w:eastAsia="Times New Roman" w:cs="Times New Roman"/>
          <w:color w:val="000000"/>
        </w:rPr>
        <w:t xml:space="preserve">)  The friction generated by a direct clash of two concurrent legislative powers within our basic plan of government presents a rare and difficult constitutional question.  </w:t>
      </w:r>
      <w:r w:rsidRPr="00FB6FFD">
        <w:t xml:space="preserve">One </w:t>
      </w:r>
      <w:r>
        <w:t xml:space="preserve">of these two sources of power </w:t>
      </w:r>
      <w:r w:rsidRPr="00FB6FFD">
        <w:t>must</w:t>
      </w:r>
      <w:r>
        <w:t xml:space="preserve"> give way when they collide, and as I read it</w:t>
      </w:r>
      <w:r>
        <w:t xml:space="preserve">, footnote 9 of </w:t>
      </w:r>
      <w:r>
        <w:rPr>
          <w:i/>
          <w:iCs/>
        </w:rPr>
        <w:t>McPherson</w:t>
      </w:r>
      <w:r>
        <w:t xml:space="preserve"> signals that the usual rules of deference to legislation adopted by ballot initiative may have to yield in the face of competing constitutional considerations.  In my view, this is such a case.</w:t>
      </w:r>
    </w:p>
    <w:p w14:paraId="4525331C" w14:textId="77777777" w:rsidR="00AB000C" w:rsidRDefault="00570B35" w:rsidP="00AB000C">
      <w:pPr>
        <w:keepNext/>
        <w:shd w:val="clear" w:color="auto" w:fill="FFFFFF" w:themeFill="background1"/>
        <w:tabs>
          <w:tab w:val="left" w:pos="1080"/>
        </w:tabs>
        <w:spacing w:before="120" w:after="120" w:line="240" w:lineRule="auto"/>
        <w:textAlignment w:val="baseline"/>
      </w:pPr>
      <w:r>
        <w:tab/>
      </w:r>
      <w:r w:rsidRPr="00F64A54">
        <w:t>2.</w:t>
      </w:r>
      <w:r w:rsidRPr="00F64A54">
        <w:tab/>
        <w:t xml:space="preserve">McPherson </w:t>
      </w:r>
      <w:r w:rsidRPr="00F64A54">
        <w:rPr>
          <w:i/>
        </w:rPr>
        <w:t>Provides the Backdrop</w:t>
      </w:r>
    </w:p>
    <w:p w14:paraId="3F269735" w14:textId="77777777" w:rsidR="00AB000C" w:rsidRPr="00FB6FFD" w:rsidRDefault="00570B35" w:rsidP="00AB000C">
      <w:pPr>
        <w:shd w:val="clear" w:color="auto" w:fill="FFFFFF" w:themeFill="background1"/>
        <w:ind w:firstLine="720"/>
        <w:textAlignment w:val="baseline"/>
      </w:pPr>
      <w:r>
        <w:t xml:space="preserve">Before delving further into the conflict of concurrent powers issue before us, some background discussion of </w:t>
      </w:r>
      <w:r>
        <w:rPr>
          <w:i/>
          <w:iCs/>
        </w:rPr>
        <w:t>McPherson</w:t>
      </w:r>
      <w:r>
        <w:t xml:space="preserve"> is useful.  </w:t>
      </w:r>
      <w:r w:rsidRPr="00FB6FFD">
        <w:t>At issue</w:t>
      </w:r>
      <w:r>
        <w:t xml:space="preserve"> there wa</w:t>
      </w:r>
      <w:r w:rsidRPr="00FB6FFD">
        <w:t xml:space="preserve">s an initiative statute, </w:t>
      </w:r>
      <w:r w:rsidRPr="00FB6FFD">
        <w:lastRenderedPageBreak/>
        <w:t>Proposition</w:t>
      </w:r>
      <w:r>
        <w:t> </w:t>
      </w:r>
      <w:r w:rsidRPr="00FB6FFD">
        <w:t>80, that expanded the regulatory jurisdiction of the Public Utilities C</w:t>
      </w:r>
      <w:r w:rsidRPr="00FB6FFD">
        <w:t xml:space="preserve">ommission (PUC).  </w:t>
      </w:r>
      <w:r>
        <w:t>Ar</w:t>
      </w:r>
      <w:r w:rsidRPr="00FB6FFD">
        <w:t>ticle XII, section</w:t>
      </w:r>
      <w:r>
        <w:t> </w:t>
      </w:r>
      <w:r w:rsidRPr="00FB6FFD">
        <w:t xml:space="preserve">5, </w:t>
      </w:r>
      <w:r>
        <w:t xml:space="preserve">gives the Legislature “plenary power” </w:t>
      </w:r>
      <w:r w:rsidRPr="00FB6FFD">
        <w:t xml:space="preserve">to </w:t>
      </w:r>
      <w:r>
        <w:t xml:space="preserve">confer </w:t>
      </w:r>
      <w:r w:rsidRPr="00FB6FFD">
        <w:t>“additional regulatory authority</w:t>
      </w:r>
      <w:r>
        <w:t xml:space="preserve"> and jurisdiction</w:t>
      </w:r>
      <w:r w:rsidRPr="00FB6FFD">
        <w:t>”</w:t>
      </w:r>
      <w:r>
        <w:t xml:space="preserve"> upon the PUC, and the question was whether that clause prevents </w:t>
      </w:r>
      <w:r w:rsidRPr="00FB6FFD">
        <w:t xml:space="preserve">the voters </w:t>
      </w:r>
      <w:r>
        <w:t>from expanding the PUC’s regulatory juri</w:t>
      </w:r>
      <w:r>
        <w:t xml:space="preserve">sdiction </w:t>
      </w:r>
      <w:r w:rsidRPr="00FB6FFD">
        <w:t xml:space="preserve">by </w:t>
      </w:r>
      <w:r>
        <w:t xml:space="preserve">statutory ballot </w:t>
      </w:r>
      <w:r w:rsidRPr="00514D91">
        <w:t>initiative.</w:t>
      </w:r>
      <w:r>
        <w:t xml:space="preserve">  </w:t>
      </w:r>
      <w:r w:rsidRPr="00514D91">
        <w:t>(</w:t>
      </w:r>
      <w:r>
        <w:rPr>
          <w:i/>
          <w:iCs/>
        </w:rPr>
        <w:t>McPherson</w:t>
      </w:r>
      <w:r w:rsidRPr="00514D91">
        <w:t xml:space="preserve">, </w:t>
      </w:r>
      <w:r w:rsidRPr="00514D91">
        <w:rPr>
          <w:i/>
          <w:iCs/>
        </w:rPr>
        <w:t>supra</w:t>
      </w:r>
      <w:r w:rsidRPr="00514D91">
        <w:t xml:space="preserve">, </w:t>
      </w:r>
      <w:r w:rsidRPr="302F31DA">
        <w:rPr>
          <w:rFonts w:eastAsia="Times New Roman" w:cs="Times New Roman"/>
          <w:color w:val="000000" w:themeColor="text1"/>
        </w:rPr>
        <w:t>38 Cal.</w:t>
      </w:r>
      <w:r>
        <w:rPr>
          <w:rFonts w:eastAsia="Times New Roman" w:cs="Times New Roman"/>
          <w:color w:val="000000" w:themeColor="text1"/>
        </w:rPr>
        <w:t>4</w:t>
      </w:r>
      <w:r w:rsidRPr="00085A74">
        <w:rPr>
          <w:rFonts w:eastAsia="Times New Roman" w:cs="Times New Roman"/>
          <w:color w:val="000000" w:themeColor="text1"/>
        </w:rPr>
        <w:t>th</w:t>
      </w:r>
      <w:r w:rsidRPr="302F31DA">
        <w:rPr>
          <w:rFonts w:eastAsia="Times New Roman" w:cs="Times New Roman"/>
          <w:color w:val="000000" w:themeColor="text1"/>
        </w:rPr>
        <w:t xml:space="preserve"> at p. 1023.)</w:t>
      </w:r>
      <w:r>
        <w:t xml:space="preserve">  </w:t>
      </w:r>
      <w:r w:rsidRPr="00FB6FFD">
        <w:t>The Court of Appeal</w:t>
      </w:r>
      <w:r>
        <w:t xml:space="preserve"> said yes,</w:t>
      </w:r>
      <w:r w:rsidRPr="00FB6FFD">
        <w:t xml:space="preserve"> </w:t>
      </w:r>
      <w:r>
        <w:t xml:space="preserve">holding that legislation by </w:t>
      </w:r>
      <w:r w:rsidRPr="00FB6FFD">
        <w:t xml:space="preserve">ballot initiative </w:t>
      </w:r>
      <w:r>
        <w:t xml:space="preserve">was preempted on all subject matter covered by article XII, section 5. </w:t>
      </w:r>
      <w:r w:rsidRPr="00FB6FFD">
        <w:t xml:space="preserve"> </w:t>
      </w:r>
      <w:r>
        <w:t>(</w:t>
      </w:r>
      <w:r>
        <w:rPr>
          <w:i/>
          <w:iCs/>
        </w:rPr>
        <w:t>McPherson</w:t>
      </w:r>
      <w:r>
        <w:t>, at p. 1023</w:t>
      </w:r>
      <w:r>
        <w:t>.)</w:t>
      </w:r>
    </w:p>
    <w:p w14:paraId="4683A485" w14:textId="77777777" w:rsidR="00AB000C" w:rsidRPr="00FB6FFD" w:rsidRDefault="00570B35" w:rsidP="00AB000C">
      <w:pPr>
        <w:shd w:val="clear" w:color="auto" w:fill="FFFFFF"/>
        <w:ind w:firstLine="720"/>
        <w:textAlignment w:val="baseline"/>
        <w:rPr>
          <w:color w:val="000000"/>
          <w:shd w:val="clear" w:color="auto" w:fill="FFFFFF"/>
        </w:rPr>
      </w:pPr>
      <w:r>
        <w:t>T</w:t>
      </w:r>
      <w:r w:rsidRPr="00FB6FFD">
        <w:t xml:space="preserve">he </w:t>
      </w:r>
      <w:r>
        <w:t>S</w:t>
      </w:r>
      <w:r w:rsidRPr="00FB6FFD">
        <w:t xml:space="preserve">upreme Court </w:t>
      </w:r>
      <w:r>
        <w:t xml:space="preserve">reversed.  After </w:t>
      </w:r>
      <w:r w:rsidRPr="00FB6FFD">
        <w:t>canvass</w:t>
      </w:r>
      <w:r>
        <w:t xml:space="preserve">ing </w:t>
      </w:r>
      <w:r w:rsidRPr="00FB6FFD">
        <w:t>its precedents</w:t>
      </w:r>
      <w:r>
        <w:t xml:space="preserve">, the court </w:t>
      </w:r>
      <w:r w:rsidRPr="00FB6FFD">
        <w:t>concluded, first, “</w:t>
      </w:r>
      <w:r w:rsidRPr="00FB6FFD">
        <w:rPr>
          <w:color w:val="000000"/>
          <w:shd w:val="clear" w:color="auto" w:fill="FFFFFF"/>
        </w:rPr>
        <w:t>long-standing California decisions establish</w:t>
      </w:r>
      <w:r w:rsidRPr="007254ED">
        <w:rPr>
          <w:color w:val="000000"/>
          <w:spacing w:val="20"/>
          <w:shd w:val="clear" w:color="auto" w:fill="FFFFFF"/>
        </w:rPr>
        <w:t>[</w:t>
      </w:r>
      <w:r>
        <w:rPr>
          <w:color w:val="000000"/>
          <w:shd w:val="clear" w:color="auto" w:fill="FFFFFF"/>
        </w:rPr>
        <w:t>]</w:t>
      </w:r>
      <w:r w:rsidRPr="00FB6FFD">
        <w:rPr>
          <w:color w:val="000000"/>
          <w:shd w:val="clear" w:color="auto" w:fill="FFFFFF"/>
        </w:rPr>
        <w:t xml:space="preserve"> that references in the California Constitution to the authority of the Legislature to enact specified legislation generally are interpreted to include </w:t>
      </w:r>
      <w:r w:rsidRPr="00FC0F6F">
        <w:rPr>
          <w:color w:val="000000"/>
          <w:shd w:val="clear" w:color="auto" w:fill="FFFFFF"/>
        </w:rPr>
        <w:t>the people’</w:t>
      </w:r>
      <w:r w:rsidRPr="00FB6FFD">
        <w:rPr>
          <w:color w:val="000000"/>
          <w:shd w:val="clear" w:color="auto" w:fill="FFFFFF"/>
        </w:rPr>
        <w:t>s reserved right to legislate through the initiative power”</w:t>
      </w:r>
      <w:r>
        <w:rPr>
          <w:color w:val="000000"/>
          <w:shd w:val="clear" w:color="auto" w:fill="FFFFFF"/>
        </w:rPr>
        <w:t xml:space="preserve">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 xml:space="preserve">at </w:t>
      </w:r>
      <w:r w:rsidRPr="00514D91">
        <w:rPr>
          <w:rFonts w:eastAsia="Times New Roman" w:cs="Times New Roman"/>
          <w:color w:val="000000"/>
        </w:rPr>
        <w:t>p.</w:t>
      </w:r>
      <w:r>
        <w:rPr>
          <w:rFonts w:eastAsia="Times New Roman" w:cs="Times New Roman"/>
          <w:color w:val="000000"/>
        </w:rPr>
        <w:t> </w:t>
      </w:r>
      <w:r w:rsidRPr="00850958">
        <w:rPr>
          <w:rFonts w:eastAsia="Times New Roman" w:cs="Times New Roman"/>
          <w:color w:val="000000"/>
        </w:rPr>
        <w:t xml:space="preserve">1043); </w:t>
      </w:r>
      <w:r w:rsidRPr="00850958">
        <w:rPr>
          <w:color w:val="000000"/>
          <w:shd w:val="clear" w:color="auto" w:fill="FFFFFF"/>
        </w:rPr>
        <w:t>and se</w:t>
      </w:r>
      <w:r w:rsidRPr="00FB6FFD">
        <w:rPr>
          <w:color w:val="000000"/>
          <w:shd w:val="clear" w:color="auto" w:fill="FFFFFF"/>
        </w:rPr>
        <w:t>cond, “in light of the background and purpose of the relevant language of article XII, section</w:t>
      </w:r>
      <w:r>
        <w:rPr>
          <w:color w:val="000000"/>
          <w:shd w:val="clear" w:color="auto" w:fill="FFFFFF"/>
        </w:rPr>
        <w:t> </w:t>
      </w:r>
      <w:r w:rsidRPr="00FB6FFD">
        <w:rPr>
          <w:color w:val="000000"/>
          <w:shd w:val="clear" w:color="auto" w:fill="FFFFFF"/>
        </w:rPr>
        <w:t>5,</w:t>
      </w:r>
      <w:r>
        <w:rPr>
          <w:color w:val="000000"/>
          <w:shd w:val="clear" w:color="auto" w:fill="FFFFFF"/>
        </w:rPr>
        <w:t xml:space="preserve"> . . . [the clause</w:t>
      </w:r>
      <w:r>
        <w:t>]</w:t>
      </w:r>
      <w:r w:rsidRPr="00FB6FFD">
        <w:rPr>
          <w:color w:val="000000"/>
          <w:shd w:val="clear" w:color="auto" w:fill="FFFFFF"/>
        </w:rPr>
        <w:t xml:space="preserve"> does not preclude the</w:t>
      </w:r>
      <w:r>
        <w:rPr>
          <w:color w:val="000000"/>
          <w:shd w:val="clear" w:color="auto" w:fill="FFFFFF"/>
        </w:rPr>
        <w:t xml:space="preserve"> </w:t>
      </w:r>
      <w:r w:rsidRPr="00FB6FFD">
        <w:rPr>
          <w:color w:val="000000"/>
          <w:shd w:val="clear" w:color="auto" w:fill="FFFFFF"/>
        </w:rPr>
        <w:t>people, through their exercise of the initiative process, from conferring additional powers or</w:t>
      </w:r>
      <w:r>
        <w:rPr>
          <w:color w:val="000000"/>
          <w:shd w:val="clear" w:color="auto" w:fill="FFFFFF"/>
        </w:rPr>
        <w:t xml:space="preserve"> </w:t>
      </w:r>
      <w:r w:rsidRPr="00FB6FFD">
        <w:rPr>
          <w:color w:val="000000"/>
          <w:shd w:val="clear" w:color="auto" w:fill="FFFFFF"/>
        </w:rPr>
        <w:t>authority upon the PUC”</w:t>
      </w:r>
      <w:r>
        <w:rPr>
          <w:color w:val="000000"/>
          <w:shd w:val="clear" w:color="auto" w:fill="FFFFFF"/>
        </w:rPr>
        <w:t xml:space="preserve"> (</w:t>
      </w:r>
      <w:r>
        <w:rPr>
          <w:i/>
          <w:iCs/>
          <w:color w:val="000000"/>
          <w:shd w:val="clear" w:color="auto" w:fill="FFFFFF"/>
        </w:rPr>
        <w:t>i</w:t>
      </w:r>
      <w:r w:rsidRPr="00C60A56">
        <w:rPr>
          <w:i/>
          <w:iCs/>
          <w:color w:val="000000"/>
          <w:shd w:val="clear" w:color="auto" w:fill="FFFFFF"/>
        </w:rPr>
        <w:t>d</w:t>
      </w:r>
      <w:r>
        <w:rPr>
          <w:color w:val="000000"/>
          <w:shd w:val="clear" w:color="auto" w:fill="FFFFFF"/>
        </w:rPr>
        <w:t>. at pp. 1043–1044).</w:t>
      </w:r>
    </w:p>
    <w:p w14:paraId="434B5B1B" w14:textId="77777777" w:rsidR="00AB000C" w:rsidRDefault="00570B35" w:rsidP="00AB000C">
      <w:pPr>
        <w:shd w:val="clear" w:color="auto" w:fill="FFFFFF"/>
        <w:ind w:firstLine="720"/>
        <w:textAlignment w:val="baseline"/>
      </w:pPr>
      <w:r w:rsidRPr="00FB6FFD">
        <w:rPr>
          <w:color w:val="000000"/>
          <w:shd w:val="clear" w:color="auto" w:fill="FFFFFF"/>
        </w:rPr>
        <w:t xml:space="preserve">The </w:t>
      </w:r>
      <w:r>
        <w:rPr>
          <w:color w:val="000000"/>
          <w:shd w:val="clear" w:color="auto" w:fill="FFFFFF"/>
        </w:rPr>
        <w:t xml:space="preserve">second step of the analysis in </w:t>
      </w:r>
      <w:r>
        <w:rPr>
          <w:i/>
          <w:iCs/>
        </w:rPr>
        <w:t>McPherson</w:t>
      </w:r>
      <w:r>
        <w:rPr>
          <w:color w:val="000000"/>
          <w:shd w:val="clear" w:color="auto" w:fill="FFFFFF"/>
        </w:rPr>
        <w:t xml:space="preserve">, laying out the </w:t>
      </w:r>
      <w:r w:rsidRPr="00FB6FFD">
        <w:rPr>
          <w:color w:val="000000"/>
          <w:shd w:val="clear" w:color="auto" w:fill="FFFFFF"/>
        </w:rPr>
        <w:t>historical backdrop</w:t>
      </w:r>
      <w:r>
        <w:rPr>
          <w:color w:val="000000"/>
          <w:shd w:val="clear" w:color="auto" w:fill="FFFFFF"/>
        </w:rPr>
        <w:t xml:space="preserve"> to </w:t>
      </w:r>
      <w:r w:rsidRPr="00FB6FFD">
        <w:t>article XI</w:t>
      </w:r>
      <w:r>
        <w:t>I</w:t>
      </w:r>
      <w:r w:rsidRPr="00FB6FFD">
        <w:t>, section</w:t>
      </w:r>
      <w:r>
        <w:t> </w:t>
      </w:r>
      <w:r w:rsidRPr="00FB6FFD">
        <w:t>5</w:t>
      </w:r>
      <w:r>
        <w:rPr>
          <w:color w:val="000000"/>
          <w:shd w:val="clear" w:color="auto" w:fill="FFFFFF"/>
        </w:rPr>
        <w:t xml:space="preserve">, </w:t>
      </w:r>
      <w:r w:rsidRPr="00FB6FFD">
        <w:rPr>
          <w:color w:val="000000"/>
          <w:shd w:val="clear" w:color="auto" w:fill="FFFFFF"/>
        </w:rPr>
        <w:t xml:space="preserve">was key.  </w:t>
      </w:r>
      <w:r w:rsidRPr="00FB6FFD">
        <w:t xml:space="preserve">At the time </w:t>
      </w:r>
      <w:r>
        <w:t xml:space="preserve">it </w:t>
      </w:r>
      <w:r w:rsidRPr="00FB6FFD">
        <w:t>was added to the Constitution in 1911</w:t>
      </w:r>
      <w:r>
        <w:t xml:space="preserve">, there was great concern that </w:t>
      </w:r>
      <w:r w:rsidRPr="00FB6FFD">
        <w:t>railroa</w:t>
      </w:r>
      <w:r w:rsidRPr="00FB6FFD">
        <w:t xml:space="preserve">d companies exercised de facto control over many organs of state government, including the Railroad </w:t>
      </w:r>
      <w:r w:rsidRPr="00FB6FFD">
        <w:lastRenderedPageBreak/>
        <w:t xml:space="preserve">Commission, the precursor to the PUC.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103</w:t>
      </w:r>
      <w:r w:rsidRPr="00850958">
        <w:rPr>
          <w:rFonts w:eastAsia="Times New Roman" w:cs="Times New Roman"/>
          <w:color w:val="000000"/>
          <w:spacing w:val="10"/>
        </w:rPr>
        <w:t>8</w:t>
      </w:r>
      <w:r w:rsidRPr="00850958">
        <w:rPr>
          <w:rFonts w:eastAsia="Times New Roman" w:cs="Times New Roman"/>
          <w:color w:val="000000"/>
          <w:spacing w:val="-20"/>
        </w:rPr>
        <w:t>–</w:t>
      </w:r>
      <w:r w:rsidRPr="0038267F">
        <w:rPr>
          <w:rFonts w:eastAsia="Times New Roman" w:cs="Times New Roman"/>
          <w:color w:val="000000"/>
        </w:rPr>
        <w:t>10</w:t>
      </w:r>
      <w:r>
        <w:rPr>
          <w:rFonts w:eastAsia="Times New Roman" w:cs="Times New Roman"/>
          <w:color w:val="000000"/>
        </w:rPr>
        <w:t>39.</w:t>
      </w:r>
      <w:r w:rsidRPr="00514D91">
        <w:rPr>
          <w:rFonts w:eastAsia="Times New Roman" w:cs="Times New Roman"/>
          <w:color w:val="000000"/>
        </w:rPr>
        <w:t>)</w:t>
      </w:r>
      <w:r>
        <w:rPr>
          <w:rFonts w:eastAsia="Times New Roman" w:cs="Times New Roman"/>
          <w:color w:val="000000"/>
        </w:rPr>
        <w:t xml:space="preserve">  </w:t>
      </w:r>
      <w:r w:rsidRPr="00FB6FFD">
        <w:t xml:space="preserve">By controlling the membership of the Railroad </w:t>
      </w:r>
      <w:r w:rsidRPr="00FB6FFD">
        <w:t>Commission, the railroads managed to evade regulation of their rates.</w:t>
      </w:r>
      <w:r>
        <w:t xml:space="preserve">  (</w:t>
      </w:r>
      <w:r w:rsidRPr="00106BCA">
        <w:rPr>
          <w:i/>
          <w:iCs/>
        </w:rPr>
        <w:t>Ibid.</w:t>
      </w:r>
      <w:r>
        <w:t xml:space="preserve">) </w:t>
      </w:r>
      <w:r w:rsidRPr="00FB6FFD">
        <w:t xml:space="preserve"> </w:t>
      </w:r>
      <w:r>
        <w:t>T</w:t>
      </w:r>
      <w:r w:rsidRPr="00FB6FFD">
        <w:t>he motivating purpose of the ballot initiative that became article XII, section</w:t>
      </w:r>
      <w:r>
        <w:t> </w:t>
      </w:r>
      <w:r w:rsidRPr="00FB6FFD">
        <w:t>5, was to take membership control of the Railroad Commission away from the railroads and ensure</w:t>
      </w:r>
      <w:r w:rsidRPr="00FB6FFD">
        <w:t xml:space="preserve"> that</w:t>
      </w:r>
      <w:r>
        <w:t>, going forward,</w:t>
      </w:r>
      <w:r w:rsidRPr="00FB6FFD">
        <w:t xml:space="preserve"> the Railroad Commission had adequate regulatory authority to control railroad rates. </w:t>
      </w:r>
      <w:r>
        <w:t xml:space="preserve"> </w:t>
      </w:r>
      <w:r w:rsidRPr="00514D91">
        <w:t>(</w:t>
      </w:r>
      <w:r>
        <w:rPr>
          <w:i/>
          <w:iCs/>
        </w:rPr>
        <w:t>McPherson</w:t>
      </w:r>
      <w:r w:rsidRPr="00A80159">
        <w:t>,</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40.</w:t>
      </w:r>
      <w:r w:rsidRPr="00514D91">
        <w:rPr>
          <w:rFonts w:eastAsia="Times New Roman" w:cs="Times New Roman"/>
          <w:color w:val="000000"/>
        </w:rPr>
        <w:t>)</w:t>
      </w:r>
      <w:r>
        <w:rPr>
          <w:rFonts w:eastAsia="Times New Roman" w:cs="Times New Roman"/>
          <w:color w:val="000000"/>
        </w:rPr>
        <w:t xml:space="preserve"> </w:t>
      </w:r>
      <w:r w:rsidRPr="00FB6FFD">
        <w:t xml:space="preserve"> </w:t>
      </w:r>
      <w:r>
        <w:t>The clause in article XII, section 5 conferring “plenary power” on the Legislature to grant “additional authority and juri</w:t>
      </w:r>
      <w:r>
        <w:t>sdiction” addressed the potential that, to ensure the Railroad Commission’s continued regulatory effectiveness, expanded regulatory authority might be needed in the future.</w:t>
      </w:r>
    </w:p>
    <w:p w14:paraId="3CF2FE04" w14:textId="77777777" w:rsidR="00AB000C" w:rsidRDefault="00570B35" w:rsidP="00AB000C">
      <w:pPr>
        <w:shd w:val="clear" w:color="auto" w:fill="FFFFFF"/>
        <w:ind w:firstLine="720"/>
        <w:textAlignment w:val="baseline"/>
      </w:pPr>
      <w:r>
        <w:t>When</w:t>
      </w:r>
      <w:r w:rsidRPr="00FB6FFD">
        <w:t xml:space="preserve"> </w:t>
      </w:r>
      <w:r>
        <w:rPr>
          <w:i/>
          <w:iCs/>
        </w:rPr>
        <w:t>McPherson</w:t>
      </w:r>
      <w:r w:rsidRPr="00FB6FFD">
        <w:t xml:space="preserve"> was decided in 2006, the regulatory target was different, but the ov</w:t>
      </w:r>
      <w:r w:rsidRPr="00FB6FFD">
        <w:t xml:space="preserve">erall purpose </w:t>
      </w:r>
      <w:r>
        <w:t xml:space="preserve">of article XII, section 5, </w:t>
      </w:r>
      <w:r w:rsidRPr="00FB6FFD">
        <w:t xml:space="preserve">was the same.  </w:t>
      </w:r>
      <w:r>
        <w:t>I</w:t>
      </w:r>
      <w:r w:rsidRPr="00FB6FFD">
        <w:t>ndependent electric service providers (ESP</w:t>
      </w:r>
      <w:r>
        <w:t>’</w:t>
      </w:r>
      <w:r w:rsidRPr="00FB6FFD">
        <w:t>s) were then an important new source of electric power to the public grid, and utilities’ cost of power purchases from them was increasingly affecting rates</w:t>
      </w:r>
      <w:r w:rsidRPr="00FB6FFD">
        <w:t xml:space="preserve"> to consumers.</w:t>
      </w:r>
      <w:r>
        <w:t xml:space="preserve"> </w:t>
      </w:r>
      <w:r w:rsidRPr="00FB6FFD">
        <w:t xml:space="preserve">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25–1027.</w:t>
      </w:r>
      <w:r w:rsidRPr="00514D91">
        <w:rPr>
          <w:rFonts w:eastAsia="Times New Roman" w:cs="Times New Roman"/>
          <w:color w:val="000000"/>
        </w:rPr>
        <w:t>)</w:t>
      </w:r>
      <w:r>
        <w:rPr>
          <w:rFonts w:eastAsia="Times New Roman" w:cs="Times New Roman"/>
          <w:color w:val="000000"/>
        </w:rPr>
        <w:t xml:space="preserve"> </w:t>
      </w:r>
      <w:r w:rsidRPr="00FB6FFD">
        <w:t xml:space="preserve"> But </w:t>
      </w:r>
      <w:proofErr w:type="gramStart"/>
      <w:r>
        <w:t>ESP’s</w:t>
      </w:r>
      <w:proofErr w:type="gramEnd"/>
      <w:r>
        <w:t xml:space="preserve"> </w:t>
      </w:r>
      <w:r w:rsidRPr="00FB6FFD">
        <w:t xml:space="preserve">emerged </w:t>
      </w:r>
      <w:r>
        <w:t xml:space="preserve">in the 1990’s </w:t>
      </w:r>
      <w:r w:rsidRPr="00FB6FFD">
        <w:t>as creatures of the energy deregulation movement</w:t>
      </w:r>
      <w:r>
        <w:t xml:space="preserve"> and </w:t>
      </w:r>
      <w:r w:rsidRPr="00FB6FFD">
        <w:t xml:space="preserve">were unregulated, </w:t>
      </w:r>
      <w:r>
        <w:t xml:space="preserve">so </w:t>
      </w:r>
      <w:r w:rsidRPr="00FB6FFD">
        <w:t xml:space="preserve">the PUC had no rate-setting or enforcement control over them. </w:t>
      </w:r>
      <w:r>
        <w:t xml:space="preserve"> (</w:t>
      </w:r>
      <w:r w:rsidRPr="005152B9">
        <w:rPr>
          <w:i/>
          <w:iCs/>
        </w:rPr>
        <w:t>Ibid</w:t>
      </w:r>
      <w:r>
        <w:t xml:space="preserve">.) </w:t>
      </w:r>
      <w:r w:rsidRPr="00FB6FFD">
        <w:t xml:space="preserve"> To </w:t>
      </w:r>
      <w:r>
        <w:t xml:space="preserve">fill the </w:t>
      </w:r>
      <w:r>
        <w:t xml:space="preserve">gap, </w:t>
      </w:r>
      <w:r w:rsidRPr="00FB6FFD">
        <w:t>Proposition</w:t>
      </w:r>
      <w:r>
        <w:t> </w:t>
      </w:r>
      <w:r w:rsidRPr="00FB6FFD">
        <w:t>80 extended the agency’s rate</w:t>
      </w:r>
      <w:r>
        <w:t>-</w:t>
      </w:r>
      <w:r w:rsidRPr="00FB6FFD">
        <w:t>setting and enforcement authority to ESP</w:t>
      </w:r>
      <w:r>
        <w:t>’</w:t>
      </w:r>
      <w:r w:rsidRPr="00FB6FFD">
        <w:t xml:space="preserve">s.  </w:t>
      </w:r>
      <w:r>
        <w:t>(</w:t>
      </w:r>
      <w:r>
        <w:rPr>
          <w:i/>
          <w:iCs/>
        </w:rPr>
        <w:t>McPherson</w:t>
      </w:r>
      <w:r>
        <w:t>, at pp. 102</w:t>
      </w:r>
      <w:r w:rsidRPr="00D703E2">
        <w:rPr>
          <w:spacing w:val="10"/>
        </w:rPr>
        <w:t>5</w:t>
      </w:r>
      <w:r w:rsidRPr="00D703E2">
        <w:rPr>
          <w:spacing w:val="-20"/>
        </w:rPr>
        <w:t>–</w:t>
      </w:r>
      <w:r>
        <w:t>1027.)</w:t>
      </w:r>
    </w:p>
    <w:p w14:paraId="5107A5CF" w14:textId="77777777" w:rsidR="00AB000C" w:rsidRDefault="00570B35" w:rsidP="00AB000C">
      <w:pPr>
        <w:shd w:val="clear" w:color="auto" w:fill="FFFFFF"/>
        <w:ind w:firstLine="720"/>
        <w:textAlignment w:val="baseline"/>
      </w:pPr>
      <w:r w:rsidRPr="00F02129">
        <w:lastRenderedPageBreak/>
        <w:t>The Supreme Court concluded that this</w:t>
      </w:r>
      <w:r>
        <w:t xml:space="preserve"> new grant of regulatory authority was consistent with the “origin and purpose” of article XII, section 5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sidRPr="008A1887">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25</w:t>
      </w:r>
      <w:r w:rsidRPr="00514D91">
        <w:rPr>
          <w:rFonts w:eastAsia="Times New Roman" w:cs="Times New Roman"/>
          <w:color w:val="000000"/>
        </w:rPr>
        <w:t>)</w:t>
      </w:r>
      <w:r>
        <w:t xml:space="preserve">:  </w:t>
      </w:r>
      <w:r w:rsidRPr="009E79A8">
        <w:t>To</w:t>
      </w:r>
      <w:r w:rsidRPr="00FB6FFD">
        <w:t xml:space="preserve"> ensure the </w:t>
      </w:r>
      <w:r>
        <w:t xml:space="preserve">continuing </w:t>
      </w:r>
      <w:r w:rsidRPr="00FB6FFD">
        <w:t xml:space="preserve">effectiveness of </w:t>
      </w:r>
      <w:r>
        <w:t xml:space="preserve">the Railroad Commission, and hence of its regulatory successor, </w:t>
      </w:r>
      <w:r>
        <w:t xml:space="preserve">the PUC.  </w:t>
      </w:r>
      <w:r>
        <w:rPr>
          <w:i/>
          <w:iCs/>
        </w:rPr>
        <w:t>McPherson</w:t>
      </w:r>
      <w:r w:rsidRPr="00FB6FFD">
        <w:t xml:space="preserve"> would have been </w:t>
      </w:r>
      <w:r>
        <w:t xml:space="preserve">a </w:t>
      </w:r>
      <w:r w:rsidRPr="00FB6FFD">
        <w:t>very different case—the type of case we have here—had Proposition</w:t>
      </w:r>
      <w:r>
        <w:t> </w:t>
      </w:r>
      <w:r w:rsidRPr="00FB6FFD">
        <w:t>80</w:t>
      </w:r>
      <w:r>
        <w:t xml:space="preserve">, for example, </w:t>
      </w:r>
      <w:r w:rsidRPr="00261AC3">
        <w:rPr>
          <w:i/>
          <w:iCs/>
        </w:rPr>
        <w:t>removed</w:t>
      </w:r>
      <w:r w:rsidRPr="00FB6FFD">
        <w:t xml:space="preserve"> the PUC’s statutory jurisdiction to regulate investor-owned utilities rather than added to it.  That is why respondents invoke </w:t>
      </w:r>
      <w:r w:rsidRPr="00FB6FFD">
        <w:t>footnote</w:t>
      </w:r>
      <w:r>
        <w:t> </w:t>
      </w:r>
      <w:r w:rsidRPr="00FB6FFD">
        <w:t xml:space="preserve">9 of the </w:t>
      </w:r>
      <w:r w:rsidRPr="00A41D2C">
        <w:rPr>
          <w:i/>
          <w:iCs/>
        </w:rPr>
        <w:t>McPherson</w:t>
      </w:r>
      <w:r w:rsidRPr="00A41D2C">
        <w:t xml:space="preserve"> opinion.  They argue that, while ballot statutes may be used to build</w:t>
      </w:r>
      <w:r w:rsidRPr="00FB6FFD">
        <w:t xml:space="preserve"> upon and </w:t>
      </w:r>
      <w:r>
        <w:t>refine our constitutionally sanctioned</w:t>
      </w:r>
      <w:r w:rsidRPr="00FB6FFD">
        <w:t xml:space="preserve"> “complete system of work</w:t>
      </w:r>
      <w:r>
        <w:t>ers’</w:t>
      </w:r>
      <w:r w:rsidRPr="00FB6FFD">
        <w:t xml:space="preserve"> </w:t>
      </w:r>
      <w:r w:rsidRPr="00E803BB">
        <w:t>compensation</w:t>
      </w:r>
      <w:r>
        <w:t xml:space="preserve">,” </w:t>
      </w:r>
      <w:r w:rsidRPr="00E803BB">
        <w:t>the</w:t>
      </w:r>
      <w:r>
        <w:t xml:space="preserve"> power to legislate by initiative </w:t>
      </w:r>
      <w:r w:rsidRPr="00E803BB">
        <w:t xml:space="preserve">may not be used to undermine </w:t>
      </w:r>
      <w:r>
        <w:t>that system.</w:t>
      </w:r>
    </w:p>
    <w:p w14:paraId="2D70E58B" w14:textId="77777777" w:rsidR="00AB000C" w:rsidRDefault="00570B35" w:rsidP="00AB000C">
      <w:pPr>
        <w:shd w:val="clear" w:color="auto" w:fill="FFFFFF" w:themeFill="background1"/>
        <w:ind w:firstLine="720"/>
        <w:textAlignment w:val="baseline"/>
      </w:pPr>
      <w:r w:rsidRPr="00FB6FFD">
        <w:t xml:space="preserve">The </w:t>
      </w:r>
      <w:r>
        <w:t xml:space="preserve">interveners </w:t>
      </w:r>
      <w:r w:rsidRPr="00FB6FFD">
        <w:t xml:space="preserve">deride </w:t>
      </w:r>
      <w:r>
        <w:t>respondents’</w:t>
      </w:r>
      <w:r w:rsidRPr="00FB6FFD">
        <w:t xml:space="preserve"> reading of </w:t>
      </w:r>
      <w:r>
        <w:rPr>
          <w:i/>
          <w:iCs/>
        </w:rPr>
        <w:t>McPherson</w:t>
      </w:r>
      <w:r w:rsidRPr="00FB6FFD">
        <w:t xml:space="preserve"> as an attempt to create a “one-way ratchet” permitting additive revisions to </w:t>
      </w:r>
      <w:r>
        <w:t xml:space="preserve">our </w:t>
      </w:r>
      <w:r w:rsidRPr="00FB6FFD">
        <w:t>statutory workers</w:t>
      </w:r>
      <w:r>
        <w:t>’</w:t>
      </w:r>
      <w:r w:rsidRPr="00FB6FFD">
        <w:t xml:space="preserve"> compensation </w:t>
      </w:r>
      <w:r w:rsidRPr="00925D18">
        <w:t>system, bu</w:t>
      </w:r>
      <w:r w:rsidRPr="00925D18">
        <w:t>t not</w:t>
      </w:r>
      <w:r w:rsidRPr="00FB6FFD">
        <w:t xml:space="preserve"> subtractions from it.</w:t>
      </w:r>
      <w:r>
        <w:t xml:space="preserve">  W</w:t>
      </w:r>
      <w:r w:rsidRPr="00FB6FFD">
        <w:t xml:space="preserve">hat the </w:t>
      </w:r>
      <w:r>
        <w:t xml:space="preserve">interveners </w:t>
      </w:r>
      <w:r w:rsidRPr="00FB6FFD">
        <w:t>overlook</w:t>
      </w:r>
      <w:r>
        <w:t>, in my view,</w:t>
      </w:r>
      <w:r w:rsidRPr="00FB6FFD">
        <w:t xml:space="preserve"> is that, structurally, our state</w:t>
      </w:r>
      <w:r>
        <w:t xml:space="preserve"> Constitution supports respondents’</w:t>
      </w:r>
      <w:r w:rsidRPr="00FB6FFD">
        <w:t xml:space="preserve"> reading</w:t>
      </w:r>
      <w:r>
        <w:t xml:space="preserve"> much better than it does theirs</w:t>
      </w:r>
      <w:r w:rsidRPr="00FB6FFD">
        <w:t xml:space="preserve">.  </w:t>
      </w:r>
      <w:r>
        <w:t xml:space="preserve">They are asking that we allow </w:t>
      </w:r>
      <w:r w:rsidRPr="00FB6FFD">
        <w:t xml:space="preserve">the </w:t>
      </w:r>
      <w:r>
        <w:t xml:space="preserve">voter </w:t>
      </w:r>
      <w:r w:rsidRPr="00FB6FFD">
        <w:t xml:space="preserve">electors </w:t>
      </w:r>
      <w:r>
        <w:t xml:space="preserve">to </w:t>
      </w:r>
      <w:r w:rsidRPr="00FB6FFD">
        <w:t>“undo” what the Legisl</w:t>
      </w:r>
      <w:r w:rsidRPr="00FB6FFD">
        <w:t xml:space="preserve">ature has done </w:t>
      </w:r>
      <w:r>
        <w:t xml:space="preserve">pursuant to its </w:t>
      </w:r>
      <w:r w:rsidRPr="00FB6FFD">
        <w:t>article XIV, section</w:t>
      </w:r>
      <w:r>
        <w:t> </w:t>
      </w:r>
      <w:r w:rsidRPr="00FB6FFD">
        <w:t>4</w:t>
      </w:r>
      <w:r>
        <w:t xml:space="preserve"> powers, </w:t>
      </w:r>
      <w:r w:rsidRPr="00FB6FFD">
        <w:t xml:space="preserve">and </w:t>
      </w:r>
      <w:r>
        <w:t xml:space="preserve">at the same time bar the </w:t>
      </w:r>
      <w:r w:rsidRPr="00FB6FFD">
        <w:t xml:space="preserve">Legislature from </w:t>
      </w:r>
      <w:r>
        <w:t xml:space="preserve">restoring </w:t>
      </w:r>
      <w:r w:rsidRPr="00FB6FFD">
        <w:t>what the electors have taken away</w:t>
      </w:r>
      <w:r>
        <w:t>, even if a majority of the Legislature reads the Constitution to require it.</w:t>
      </w:r>
    </w:p>
    <w:p w14:paraId="5F22DC30" w14:textId="77777777" w:rsidR="00AB000C" w:rsidRDefault="00570B35" w:rsidP="00AB000C">
      <w:pPr>
        <w:shd w:val="clear" w:color="auto" w:fill="FFFFFF" w:themeFill="background1"/>
        <w:ind w:firstLine="720"/>
        <w:textAlignment w:val="baseline"/>
      </w:pPr>
      <w:r w:rsidRPr="00B23053">
        <w:t>We are not dealing simply</w:t>
      </w:r>
      <w:r>
        <w:t xml:space="preserve"> w</w:t>
      </w:r>
      <w:r>
        <w:t xml:space="preserve">ith who gets the legislative last word.  Because the issue of whether an app-based driver is an </w:t>
      </w:r>
      <w:r>
        <w:lastRenderedPageBreak/>
        <w:t>employee or an independent contractor determines threshold eligibility for workers’ compensation, it is squarely within the heartland of lawmaking power conferr</w:t>
      </w:r>
      <w:r>
        <w:t>ed solely upon the Legislature in article XIV, section 4.  By seeking to reserve all statutory lawmaking power for themselves on this issue, the Proposition 22 voter electors go well beyond a measure in which voter electors have told the Legislature not to</w:t>
      </w:r>
      <w:r>
        <w:t xml:space="preserve"> tinker with their statute.  This statutory initiative attempts to seize and permanently redistribute constitutional power in a manner that subverts article XIV, section 4, itself.</w:t>
      </w:r>
    </w:p>
    <w:p w14:paraId="5765FD58" w14:textId="77777777" w:rsidR="00AB000C" w:rsidRDefault="00570B35" w:rsidP="00AB000C">
      <w:pPr>
        <w:shd w:val="clear" w:color="auto" w:fill="FFFFFF" w:themeFill="background1"/>
        <w:ind w:firstLine="720"/>
        <w:textAlignment w:val="baseline"/>
        <w:rPr>
          <w:rFonts w:eastAsia="Times New Roman" w:cs="Times New Roman"/>
          <w:color w:val="000000"/>
        </w:rPr>
      </w:pPr>
      <w:r>
        <w:t>Let me be concrete about the problem I see here.  If, mindful of the robust</w:t>
      </w:r>
      <w:r>
        <w:t xml:space="preserve"> support for the Proposition 22 in the November 2020 election, </w:t>
      </w:r>
      <w:proofErr w:type="gramStart"/>
      <w:r>
        <w:t>a majority of</w:t>
      </w:r>
      <w:proofErr w:type="gramEnd"/>
      <w:r>
        <w:t xml:space="preserve"> elected legislators understand it to be their solemn constitutional obligation under article XIV, section 4, to override the definition of “independent contractor” adopted by vote</w:t>
      </w:r>
      <w:r>
        <w:t xml:space="preserve">r electors—none of whom took any oath to uphold the Constitution when they entered the voting booth—I believe these legislators should be free to do so, unimpeded by Proposition 22.  Indeed, I believe that article XIV, section 4, entitles them to have the </w:t>
      </w:r>
      <w:r>
        <w:t>last word on that issue, since the definition of “independent contractor” in Proposition 22 “</w:t>
      </w:r>
      <w:r w:rsidRPr="00CE1807">
        <w:rPr>
          <w:color w:val="000000"/>
          <w:shd w:val="clear" w:color="auto" w:fill="FFFFFF"/>
        </w:rPr>
        <w:t>would, in effect, be an amendment of the Constitution, if accepted as authoritative</w:t>
      </w:r>
      <w:r>
        <w:rPr>
          <w:color w:val="000000"/>
          <w:shd w:val="clear" w:color="auto" w:fill="FFFFFF"/>
        </w:rPr>
        <w:t>.”  (</w:t>
      </w:r>
      <w:r w:rsidRPr="0088546B">
        <w:rPr>
          <w:i/>
          <w:iCs/>
          <w:color w:val="000000"/>
          <w:shd w:val="clear" w:color="auto" w:fill="FFFFFF"/>
        </w:rPr>
        <w:t>P</w:t>
      </w:r>
      <w:r>
        <w:rPr>
          <w:i/>
          <w:iCs/>
          <w:color w:val="000000"/>
          <w:shd w:val="clear" w:color="auto" w:fill="FFFFFF"/>
        </w:rPr>
        <w:t>G&amp;E</w:t>
      </w:r>
      <w:r>
        <w:rPr>
          <w:color w:val="000000"/>
          <w:shd w:val="clear" w:color="auto" w:fill="FFFFFF"/>
        </w:rPr>
        <w:t xml:space="preserve">, </w:t>
      </w:r>
      <w:r w:rsidRPr="0088546B">
        <w:rPr>
          <w:i/>
          <w:iCs/>
          <w:color w:val="000000"/>
          <w:shd w:val="clear" w:color="auto" w:fill="FFFFFF"/>
        </w:rPr>
        <w:t>supra</w:t>
      </w:r>
      <w:r>
        <w:rPr>
          <w:color w:val="000000"/>
          <w:shd w:val="clear" w:color="auto" w:fill="FFFFFF"/>
        </w:rPr>
        <w:t xml:space="preserve">, </w:t>
      </w:r>
      <w:r w:rsidRPr="001243F8">
        <w:rPr>
          <w:rFonts w:eastAsia="Times New Roman" w:cs="Times New Roman"/>
          <w:color w:val="000000"/>
        </w:rPr>
        <w:t>180</w:t>
      </w:r>
      <w:r>
        <w:rPr>
          <w:rFonts w:eastAsia="Times New Roman" w:cs="Times New Roman"/>
          <w:color w:val="000000"/>
        </w:rPr>
        <w:t> </w:t>
      </w:r>
      <w:r w:rsidRPr="001243F8">
        <w:rPr>
          <w:rFonts w:eastAsia="Times New Roman" w:cs="Times New Roman"/>
          <w:color w:val="000000"/>
        </w:rPr>
        <w:t xml:space="preserve">Cal. </w:t>
      </w:r>
      <w:r>
        <w:rPr>
          <w:rFonts w:eastAsia="Times New Roman" w:cs="Times New Roman"/>
          <w:color w:val="000000"/>
        </w:rPr>
        <w:t>at p. </w:t>
      </w:r>
      <w:r w:rsidRPr="001243F8">
        <w:rPr>
          <w:rFonts w:eastAsia="Times New Roman" w:cs="Times New Roman"/>
          <w:color w:val="000000"/>
        </w:rPr>
        <w:t>500</w:t>
      </w:r>
      <w:r>
        <w:rPr>
          <w:rFonts w:eastAsia="Times New Roman" w:cs="Times New Roman"/>
          <w:color w:val="000000"/>
        </w:rPr>
        <w:t>.)</w:t>
      </w:r>
    </w:p>
    <w:p w14:paraId="7EB505FC" w14:textId="77777777" w:rsidR="00AB000C" w:rsidRDefault="00570B35" w:rsidP="00AB000C">
      <w:pPr>
        <w:ind w:firstLine="720"/>
      </w:pPr>
      <w:r>
        <w:t xml:space="preserve">For that reason alone, we must </w:t>
      </w:r>
      <w:r>
        <w:t>resolve the conflict of concurrent powers issue presented in this case in favor of the Legislature.  And in doing so, w</w:t>
      </w:r>
      <w:r>
        <w:rPr>
          <w:color w:val="000000"/>
          <w:shd w:val="clear" w:color="auto" w:fill="FFFFFF"/>
        </w:rPr>
        <w:t xml:space="preserve">e </w:t>
      </w:r>
      <w:r>
        <w:rPr>
          <w:rFonts w:eastAsia="Times New Roman" w:cs="Times New Roman"/>
          <w:color w:val="000000"/>
        </w:rPr>
        <w:t xml:space="preserve">need not handle this conflict as a zero-sum showdown in which one of the two must nullify the </w:t>
      </w:r>
      <w:r>
        <w:rPr>
          <w:rFonts w:eastAsia="Times New Roman" w:cs="Times New Roman"/>
          <w:color w:val="000000"/>
        </w:rPr>
        <w:lastRenderedPageBreak/>
        <w:t xml:space="preserve">other. </w:t>
      </w:r>
      <w:r>
        <w:rPr>
          <w:color w:val="000000"/>
          <w:shd w:val="clear" w:color="auto" w:fill="FFFFFF"/>
        </w:rPr>
        <w:t xml:space="preserve"> All we need do to resolve this ca</w:t>
      </w:r>
      <w:r>
        <w:rPr>
          <w:color w:val="000000"/>
          <w:shd w:val="clear" w:color="auto" w:fill="FFFFFF"/>
        </w:rPr>
        <w:t xml:space="preserve">se is recognize that we are in a </w:t>
      </w:r>
      <w:r>
        <w:t xml:space="preserve">“zone of twilight” </w:t>
      </w:r>
      <w:r>
        <w:rPr>
          <w:color w:val="000000"/>
          <w:shd w:val="clear" w:color="auto" w:fill="FFFFFF"/>
        </w:rPr>
        <w:t>(</w:t>
      </w:r>
      <w:r w:rsidRPr="00A76A74">
        <w:rPr>
          <w:i/>
          <w:iCs/>
          <w:color w:val="000000"/>
          <w:shd w:val="clear" w:color="auto" w:fill="FFFFFF"/>
        </w:rPr>
        <w:t>Youngstown Sheet &amp; Tube</w:t>
      </w:r>
      <w:r>
        <w:rPr>
          <w:color w:val="000000"/>
          <w:shd w:val="clear" w:color="auto" w:fill="FFFFFF"/>
        </w:rPr>
        <w:t xml:space="preserve">, </w:t>
      </w:r>
      <w:r w:rsidRPr="008B4CE5">
        <w:rPr>
          <w:i/>
          <w:iCs/>
          <w:color w:val="000000"/>
          <w:shd w:val="clear" w:color="auto" w:fill="FFFFFF"/>
        </w:rPr>
        <w:t>supra</w:t>
      </w:r>
      <w:r>
        <w:rPr>
          <w:color w:val="000000"/>
          <w:shd w:val="clear" w:color="auto" w:fill="FFFFFF"/>
        </w:rPr>
        <w:t>, 343 U.S. at p. </w:t>
      </w:r>
      <w:r w:rsidRPr="00AE4B90">
        <w:rPr>
          <w:color w:val="000000"/>
          <w:shd w:val="clear" w:color="auto" w:fill="FFFFFF"/>
        </w:rPr>
        <w:t xml:space="preserve">637 (conc. </w:t>
      </w:r>
      <w:proofErr w:type="spellStart"/>
      <w:r w:rsidRPr="00AE4B90">
        <w:rPr>
          <w:color w:val="000000"/>
          <w:shd w:val="clear" w:color="auto" w:fill="FFFFFF"/>
        </w:rPr>
        <w:t>opn</w:t>
      </w:r>
      <w:proofErr w:type="spellEnd"/>
      <w:r w:rsidRPr="00AE4B90">
        <w:rPr>
          <w:color w:val="000000"/>
          <w:shd w:val="clear" w:color="auto" w:fill="FFFFFF"/>
        </w:rPr>
        <w:t>. of Jackson, J.)</w:t>
      </w:r>
      <w:r>
        <w:rPr>
          <w:color w:val="000000"/>
          <w:shd w:val="clear" w:color="auto" w:fill="FFFFFF"/>
        </w:rPr>
        <w:t xml:space="preserve"> </w:t>
      </w:r>
      <w:r>
        <w:t xml:space="preserve">where both powers are operative, while resolving the conflict on this </w:t>
      </w:r>
      <w:proofErr w:type="gramStart"/>
      <w:r>
        <w:t>particular record</w:t>
      </w:r>
      <w:proofErr w:type="gramEnd"/>
      <w:r>
        <w:t xml:space="preserve"> based on a tie-breaking principle dr</w:t>
      </w:r>
      <w:r>
        <w:t xml:space="preserve">awn from article XIV, section 4.  In practical terms, what that means is simply this:  When the electors choose to legislate on the topic of workers’ compensation by ballot, they must do so in a manner that is consistent with any prior exercise of article </w:t>
      </w:r>
      <w:r>
        <w:t>XIV, section 4, power by the Legislature.</w:t>
      </w:r>
    </w:p>
    <w:p w14:paraId="01B39FC5" w14:textId="77777777" w:rsidR="00AB000C" w:rsidRDefault="00570B35" w:rsidP="00AB000C">
      <w:pPr>
        <w:shd w:val="clear" w:color="auto" w:fill="FFFFFF" w:themeFill="background1"/>
        <w:ind w:firstLine="720"/>
        <w:textAlignment w:val="baseline"/>
        <w:rPr>
          <w:color w:val="000000"/>
          <w:shd w:val="clear" w:color="auto" w:fill="FFFFFF"/>
        </w:rPr>
      </w:pPr>
      <w:r>
        <w:rPr>
          <w:color w:val="000000"/>
          <w:shd w:val="clear" w:color="auto" w:fill="FFFFFF"/>
        </w:rPr>
        <w:t xml:space="preserve">Proposition 22 fails that test.  </w:t>
      </w:r>
      <w:r w:rsidRPr="00533940">
        <w:rPr>
          <w:color w:val="000000"/>
          <w:shd w:val="clear" w:color="auto" w:fill="FFFFFF"/>
        </w:rPr>
        <w:t>The Legislature used its article XIV, section</w:t>
      </w:r>
      <w:r>
        <w:rPr>
          <w:color w:val="000000"/>
          <w:shd w:val="clear" w:color="auto" w:fill="FFFFFF"/>
        </w:rPr>
        <w:t> </w:t>
      </w:r>
      <w:r w:rsidRPr="00533940">
        <w:rPr>
          <w:color w:val="000000"/>
          <w:shd w:val="clear" w:color="auto" w:fill="FFFFFF"/>
        </w:rPr>
        <w:t>4 power in passing A</w:t>
      </w:r>
      <w:r>
        <w:rPr>
          <w:color w:val="000000"/>
          <w:shd w:val="clear" w:color="auto" w:fill="FFFFFF"/>
        </w:rPr>
        <w:t xml:space="preserve">ssembly </w:t>
      </w:r>
      <w:r w:rsidRPr="00533940">
        <w:rPr>
          <w:color w:val="000000"/>
          <w:shd w:val="clear" w:color="auto" w:fill="FFFFFF"/>
        </w:rPr>
        <w:t>B</w:t>
      </w:r>
      <w:r>
        <w:rPr>
          <w:color w:val="000000"/>
          <w:shd w:val="clear" w:color="auto" w:fill="FFFFFF"/>
        </w:rPr>
        <w:t>ill </w:t>
      </w:r>
      <w:r w:rsidRPr="00533940">
        <w:rPr>
          <w:color w:val="000000"/>
          <w:shd w:val="clear" w:color="auto" w:fill="FFFFFF"/>
        </w:rPr>
        <w:t xml:space="preserve">5, </w:t>
      </w:r>
      <w:r>
        <w:rPr>
          <w:color w:val="000000"/>
          <w:shd w:val="clear" w:color="auto" w:fill="FFFFFF"/>
        </w:rPr>
        <w:t xml:space="preserve">which was </w:t>
      </w:r>
      <w:r w:rsidRPr="00533940">
        <w:rPr>
          <w:color w:val="000000"/>
          <w:shd w:val="clear" w:color="auto" w:fill="FFFFFF"/>
        </w:rPr>
        <w:t xml:space="preserve">enacted in 2019 to clarify that </w:t>
      </w:r>
      <w:r>
        <w:rPr>
          <w:color w:val="000000"/>
          <w:shd w:val="clear" w:color="auto" w:fill="FFFFFF"/>
        </w:rPr>
        <w:t>app-based</w:t>
      </w:r>
      <w:r w:rsidRPr="00533940">
        <w:rPr>
          <w:color w:val="000000"/>
          <w:shd w:val="clear" w:color="auto" w:fill="FFFFFF"/>
        </w:rPr>
        <w:t xml:space="preserve"> drivers and couriers are included within the ex</w:t>
      </w:r>
      <w:r w:rsidRPr="00533940">
        <w:rPr>
          <w:color w:val="000000"/>
          <w:shd w:val="clear" w:color="auto" w:fill="FFFFFF"/>
        </w:rPr>
        <w:t>isting workers’ compensation and occupational health and safety systems.</w:t>
      </w:r>
      <w:r>
        <w:rPr>
          <w:color w:val="000000"/>
          <w:shd w:val="clear" w:color="auto" w:fill="FFFFFF"/>
        </w:rPr>
        <w:t xml:space="preserve"> </w:t>
      </w:r>
      <w:r w:rsidRPr="00533940">
        <w:rPr>
          <w:color w:val="000000"/>
          <w:shd w:val="clear" w:color="auto" w:fill="FFFFFF"/>
        </w:rPr>
        <w:t xml:space="preserve"> </w:t>
      </w:r>
      <w:r>
        <w:rPr>
          <w:color w:val="000000"/>
          <w:shd w:val="clear" w:color="auto" w:fill="FFFFFF"/>
        </w:rPr>
        <w:t>Because the Legislature had acted previously on this topic pursuant to article XIV, section 4, when Proposition 22 came to the ballot, and acted decisively, I believe the voter elect</w:t>
      </w:r>
      <w:r>
        <w:rPr>
          <w:color w:val="000000"/>
          <w:shd w:val="clear" w:color="auto" w:fill="FFFFFF"/>
        </w:rPr>
        <w:t>ors were required to respect what the Legislature had done and lacked power to countermand it.  To borrow Justice Jackson’s famous phrasing, Proposition 22 having been adopted in the face of the “expressed will” of the Legislature, the voters’ power to leg</w:t>
      </w:r>
      <w:r>
        <w:rPr>
          <w:color w:val="000000"/>
          <w:shd w:val="clear" w:color="auto" w:fill="FFFFFF"/>
        </w:rPr>
        <w:t>islate by initiative on the same topic was at its “lowest ebb” in those circumstances (</w:t>
      </w:r>
      <w:r w:rsidRPr="00A76A74">
        <w:rPr>
          <w:i/>
          <w:iCs/>
          <w:color w:val="000000"/>
          <w:shd w:val="clear" w:color="auto" w:fill="FFFFFF"/>
        </w:rPr>
        <w:t>Youngstown Sheet &amp; Tube</w:t>
      </w:r>
      <w:r>
        <w:rPr>
          <w:color w:val="000000"/>
          <w:shd w:val="clear" w:color="auto" w:fill="FFFFFF"/>
        </w:rPr>
        <w:t xml:space="preserve">, </w:t>
      </w:r>
      <w:r w:rsidRPr="008B4CE5">
        <w:rPr>
          <w:i/>
          <w:iCs/>
          <w:color w:val="000000"/>
          <w:shd w:val="clear" w:color="auto" w:fill="FFFFFF"/>
        </w:rPr>
        <w:t>supra</w:t>
      </w:r>
      <w:r>
        <w:rPr>
          <w:color w:val="000000"/>
          <w:shd w:val="clear" w:color="auto" w:fill="FFFFFF"/>
        </w:rPr>
        <w:t>, 343 U.S. at p. 637), and must be deemed subordinate.</w:t>
      </w:r>
    </w:p>
    <w:p w14:paraId="6304E88F" w14:textId="77777777" w:rsidR="00AB000C" w:rsidRPr="00B8220C" w:rsidRDefault="00570B35" w:rsidP="00AB000C">
      <w:pPr>
        <w:ind w:firstLine="720"/>
        <w:rPr>
          <w:color w:val="000000"/>
          <w:shd w:val="clear" w:color="auto" w:fill="FFFFFF"/>
        </w:rPr>
      </w:pPr>
      <w:r w:rsidRPr="00B8220C">
        <w:rPr>
          <w:color w:val="000000"/>
          <w:shd w:val="clear" w:color="auto" w:fill="FFFFFF"/>
        </w:rPr>
        <w:t xml:space="preserve">Courts have recognized </w:t>
      </w:r>
      <w:proofErr w:type="gramStart"/>
      <w:r w:rsidRPr="00B8220C">
        <w:rPr>
          <w:color w:val="000000"/>
          <w:shd w:val="clear" w:color="auto" w:fill="FFFFFF"/>
        </w:rPr>
        <w:t>a number of</w:t>
      </w:r>
      <w:proofErr w:type="gramEnd"/>
      <w:r w:rsidRPr="00B8220C">
        <w:rPr>
          <w:color w:val="000000"/>
          <w:shd w:val="clear" w:color="auto" w:fill="FFFFFF"/>
        </w:rPr>
        <w:t xml:space="preserve"> implied limitations on the initiative powers.  </w:t>
      </w:r>
      <w:r w:rsidRPr="00DE3A75">
        <w:rPr>
          <w:rFonts w:eastAsia="Times New Roman" w:cs="Times New Roman"/>
          <w:color w:val="000000"/>
          <w:shd w:val="clear" w:color="auto" w:fill="FFFFFF"/>
        </w:rPr>
        <w:t xml:space="preserve">Although article </w:t>
      </w:r>
      <w:r w:rsidRPr="00F00586">
        <w:rPr>
          <w:rFonts w:eastAsia="Times New Roman" w:cs="Times New Roman"/>
          <w:color w:val="000000"/>
          <w:shd w:val="clear" w:color="auto" w:fill="FFFFFF"/>
        </w:rPr>
        <w:t>XVIII</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3</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 of the </w:t>
      </w:r>
      <w:r w:rsidRPr="00DE3A75">
        <w:rPr>
          <w:rFonts w:eastAsia="Times New Roman" w:cs="Times New Roman"/>
          <w:color w:val="000000"/>
          <w:shd w:val="clear" w:color="auto" w:fill="FFFFFF"/>
        </w:rPr>
        <w:lastRenderedPageBreak/>
        <w:t xml:space="preserve">Constitution expressly declares that it can be amended by initiative, the initiative cannot be used to revise the </w:t>
      </w:r>
      <w:r>
        <w:rPr>
          <w:rFonts w:eastAsia="Times New Roman" w:cs="Times New Roman"/>
          <w:color w:val="000000"/>
          <w:shd w:val="clear" w:color="auto" w:fill="FFFFFF"/>
        </w:rPr>
        <w:t>C</w:t>
      </w:r>
      <w:r w:rsidRPr="00DE3A75">
        <w:rPr>
          <w:rFonts w:eastAsia="Times New Roman" w:cs="Times New Roman"/>
          <w:color w:val="000000"/>
          <w:shd w:val="clear" w:color="auto" w:fill="FFFFFF"/>
        </w:rPr>
        <w:t xml:space="preserve">onstitution.  For example, the power </w:t>
      </w:r>
      <w:r>
        <w:rPr>
          <w:rFonts w:eastAsia="Times New Roman" w:cs="Times New Roman"/>
          <w:color w:val="000000"/>
          <w:shd w:val="clear" w:color="auto" w:fill="FFFFFF"/>
        </w:rPr>
        <w:t>of statutory initiative</w:t>
      </w:r>
      <w:r w:rsidRPr="00DE3A75">
        <w:rPr>
          <w:rFonts w:eastAsia="Times New Roman" w:cs="Times New Roman"/>
          <w:color w:val="000000"/>
          <w:shd w:val="clear" w:color="auto" w:fill="FFFFFF"/>
        </w:rPr>
        <w:t xml:space="preserve"> cannot be used to order the </w:t>
      </w:r>
      <w:r>
        <w:rPr>
          <w:rFonts w:eastAsia="Times New Roman" w:cs="Times New Roman"/>
          <w:color w:val="000000"/>
          <w:shd w:val="clear" w:color="auto" w:fill="FFFFFF"/>
        </w:rPr>
        <w:t>L</w:t>
      </w:r>
      <w:r w:rsidRPr="00DE3A75">
        <w:rPr>
          <w:rFonts w:eastAsia="Times New Roman" w:cs="Times New Roman"/>
          <w:color w:val="000000"/>
          <w:shd w:val="clear" w:color="auto" w:fill="FFFFFF"/>
        </w:rPr>
        <w:t>egislatur</w:t>
      </w:r>
      <w:r w:rsidRPr="00DE3A75">
        <w:rPr>
          <w:rFonts w:eastAsia="Times New Roman" w:cs="Times New Roman"/>
          <w:color w:val="000000"/>
          <w:shd w:val="clear" w:color="auto" w:fill="FFFFFF"/>
        </w:rPr>
        <w:t xml:space="preserve">e to </w:t>
      </w:r>
      <w:r>
        <w:rPr>
          <w:rFonts w:eastAsia="Times New Roman" w:cs="Times New Roman"/>
          <w:color w:val="000000"/>
          <w:shd w:val="clear" w:color="auto" w:fill="FFFFFF"/>
        </w:rPr>
        <w:t xml:space="preserve">pass </w:t>
      </w:r>
      <w:r w:rsidRPr="00DE3A75">
        <w:rPr>
          <w:rFonts w:eastAsia="Times New Roman" w:cs="Times New Roman"/>
          <w:color w:val="000000"/>
          <w:shd w:val="clear" w:color="auto" w:fill="FFFFFF"/>
        </w:rPr>
        <w:t>a resolution because article</w:t>
      </w:r>
      <w:r>
        <w:rPr>
          <w:rFonts w:eastAsia="Times New Roman" w:cs="Times New Roman"/>
          <w:color w:val="000000"/>
          <w:shd w:val="clear" w:color="auto" w:fill="FFFFFF"/>
        </w:rPr>
        <w:t> II</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8(a)</w:t>
      </w:r>
      <w:r>
        <w:rPr>
          <w:rFonts w:eastAsia="Times New Roman" w:cs="Times New Roman"/>
          <w:color w:val="000000"/>
          <w:shd w:val="clear" w:color="auto" w:fill="FFFFFF"/>
        </w:rPr>
        <w:t xml:space="preserve"> speaks only of</w:t>
      </w:r>
      <w:r w:rsidRPr="00DE3A75">
        <w:rPr>
          <w:rFonts w:eastAsia="Times New Roman" w:cs="Times New Roman"/>
          <w:color w:val="000000"/>
          <w:shd w:val="clear" w:color="auto" w:fill="FFFFFF"/>
        </w:rPr>
        <w:t xml:space="preserve"> the </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adoption </w:t>
      </w:r>
      <w:r>
        <w:rPr>
          <w:rFonts w:eastAsia="Times New Roman" w:cs="Times New Roman"/>
          <w:color w:val="000000"/>
          <w:shd w:val="clear" w:color="auto" w:fill="FFFFFF"/>
        </w:rPr>
        <w:t xml:space="preserve">or rejection </w:t>
      </w:r>
      <w:r w:rsidRPr="00DE3A75">
        <w:rPr>
          <w:rFonts w:eastAsia="Times New Roman" w:cs="Times New Roman"/>
          <w:color w:val="000000"/>
          <w:shd w:val="clear" w:color="auto" w:fill="FFFFFF"/>
        </w:rPr>
        <w:t xml:space="preserve">of </w:t>
      </w:r>
      <w:r>
        <w:rPr>
          <w:rFonts w:eastAsia="Times New Roman" w:cs="Times New Roman"/>
          <w:color w:val="000000"/>
          <w:shd w:val="clear" w:color="auto" w:fill="FFFFFF"/>
        </w:rPr>
        <w:t>‘</w:t>
      </w:r>
      <w:r w:rsidRPr="00DE3A75">
        <w:rPr>
          <w:rFonts w:eastAsia="Times New Roman" w:cs="Times New Roman"/>
          <w:color w:val="000000"/>
          <w:shd w:val="clear" w:color="auto" w:fill="FFFFFF"/>
        </w:rPr>
        <w:t>statutes</w:t>
      </w:r>
      <w:r>
        <w:rPr>
          <w:rFonts w:eastAsia="Times New Roman" w:cs="Times New Roman"/>
          <w:color w:val="000000"/>
          <w:shd w:val="clear" w:color="auto" w:fill="FFFFFF"/>
        </w:rPr>
        <w:t>.</w:t>
      </w:r>
      <w:proofErr w:type="gramStart"/>
      <w:r>
        <w:rPr>
          <w:rFonts w:eastAsia="Times New Roman" w:cs="Times New Roman"/>
          <w:color w:val="000000"/>
          <w:shd w:val="clear" w:color="auto" w:fill="FFFFFF"/>
        </w:rPr>
        <w:t>’ ”</w:t>
      </w:r>
      <w:proofErr w:type="gramEnd"/>
      <w:r>
        <w:rPr>
          <w:rFonts w:eastAsia="Times New Roman" w:cs="Times New Roman"/>
          <w:color w:val="000000"/>
          <w:shd w:val="clear" w:color="auto" w:fill="FFFFFF"/>
        </w:rPr>
        <w:t xml:space="preserve"> </w:t>
      </w:r>
      <w:r w:rsidRPr="00DE3A75">
        <w:rPr>
          <w:rFonts w:eastAsia="Times New Roman" w:cs="Times New Roman"/>
          <w:color w:val="000000"/>
          <w:shd w:val="clear" w:color="auto" w:fill="FFFFFF"/>
        </w:rPr>
        <w:t xml:space="preserve"> (</w:t>
      </w:r>
      <w:r w:rsidRPr="00DE3A75">
        <w:rPr>
          <w:rFonts w:eastAsia="Times New Roman" w:cs="Times New Roman"/>
          <w:i/>
          <w:color w:val="000000"/>
          <w:bdr w:val="none" w:sz="0" w:space="0" w:color="auto" w:frame="1"/>
        </w:rPr>
        <w:t>American Federation of Labor v. Eu</w:t>
      </w:r>
      <w:r>
        <w:rPr>
          <w:rFonts w:eastAsia="Times New Roman" w:cs="Times New Roman"/>
          <w:color w:val="000000"/>
        </w:rPr>
        <w:t xml:space="preserve"> </w:t>
      </w:r>
      <w:r w:rsidRPr="00DE3A75">
        <w:rPr>
          <w:rFonts w:eastAsia="Times New Roman" w:cs="Times New Roman"/>
          <w:color w:val="000000"/>
        </w:rPr>
        <w:t>(1984) 36</w:t>
      </w:r>
      <w:r>
        <w:rPr>
          <w:rFonts w:eastAsia="Times New Roman" w:cs="Times New Roman"/>
          <w:color w:val="000000"/>
        </w:rPr>
        <w:t> </w:t>
      </w:r>
      <w:r w:rsidRPr="00DE3A75">
        <w:rPr>
          <w:rFonts w:eastAsia="Times New Roman" w:cs="Times New Roman"/>
          <w:color w:val="000000"/>
        </w:rPr>
        <w:t xml:space="preserve">Cal.3d 687, 708.)  </w:t>
      </w:r>
      <w:r w:rsidRPr="00DE3A75">
        <w:rPr>
          <w:rFonts w:eastAsia="Times New Roman" w:cs="Times New Roman"/>
          <w:color w:val="000000"/>
          <w:shd w:val="clear" w:color="auto" w:fill="FFFFFF"/>
        </w:rPr>
        <w:t>Nor can th</w:t>
      </w:r>
      <w:r>
        <w:rPr>
          <w:rFonts w:eastAsia="Times New Roman" w:cs="Times New Roman"/>
          <w:color w:val="000000"/>
          <w:shd w:val="clear" w:color="auto" w:fill="FFFFFF"/>
        </w:rPr>
        <w:t>e</w:t>
      </w:r>
      <w:r w:rsidRPr="00DE3A75">
        <w:rPr>
          <w:rFonts w:eastAsia="Times New Roman" w:cs="Times New Roman"/>
          <w:color w:val="000000"/>
          <w:shd w:val="clear" w:color="auto" w:fill="FFFFFF"/>
        </w:rPr>
        <w:t xml:space="preserve"> power </w:t>
      </w:r>
      <w:r>
        <w:rPr>
          <w:rFonts w:eastAsia="Times New Roman" w:cs="Times New Roman"/>
          <w:color w:val="000000"/>
          <w:shd w:val="clear" w:color="auto" w:fill="FFFFFF"/>
        </w:rPr>
        <w:t>of statutory</w:t>
      </w:r>
      <w:r w:rsidRPr="00DE3A75">
        <w:rPr>
          <w:rFonts w:eastAsia="Times New Roman" w:cs="Times New Roman"/>
          <w:color w:val="000000"/>
          <w:shd w:val="clear" w:color="auto" w:fill="FFFFFF"/>
        </w:rPr>
        <w:t xml:space="preserve"> initiative be used to regulate the </w:t>
      </w:r>
      <w:r>
        <w:rPr>
          <w:rFonts w:eastAsia="Times New Roman" w:cs="Times New Roman"/>
          <w:color w:val="000000"/>
          <w:shd w:val="clear" w:color="auto" w:fill="FFFFFF"/>
        </w:rPr>
        <w:t>L</w:t>
      </w:r>
      <w:r w:rsidRPr="00DE3A75">
        <w:rPr>
          <w:rFonts w:eastAsia="Times New Roman" w:cs="Times New Roman"/>
          <w:color w:val="000000"/>
          <w:shd w:val="clear" w:color="auto" w:fill="FFFFFF"/>
        </w:rPr>
        <w:t>egislatu</w:t>
      </w:r>
      <w:r w:rsidRPr="00DE3A75">
        <w:rPr>
          <w:rFonts w:eastAsia="Times New Roman" w:cs="Times New Roman"/>
          <w:color w:val="000000"/>
          <w:shd w:val="clear" w:color="auto" w:fill="FFFFFF"/>
        </w:rPr>
        <w:t>re</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s internal operations, because that </w:t>
      </w:r>
      <w:r>
        <w:rPr>
          <w:rFonts w:eastAsia="Times New Roman" w:cs="Times New Roman"/>
          <w:color w:val="000000"/>
          <w:shd w:val="clear" w:color="auto" w:fill="FFFFFF"/>
        </w:rPr>
        <w:t xml:space="preserve">would </w:t>
      </w:r>
      <w:r w:rsidRPr="00DE3A75">
        <w:rPr>
          <w:rFonts w:eastAsia="Times New Roman" w:cs="Times New Roman"/>
          <w:color w:val="000000"/>
          <w:shd w:val="clear" w:color="auto" w:fill="FFFFFF"/>
        </w:rPr>
        <w:t xml:space="preserve">conflict with the express grant of power in article </w:t>
      </w:r>
      <w:r>
        <w:rPr>
          <w:rFonts w:eastAsia="Times New Roman" w:cs="Times New Roman"/>
          <w:color w:val="000000"/>
          <w:shd w:val="clear" w:color="auto" w:fill="FFFFFF"/>
        </w:rPr>
        <w:t>IV</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7(a)</w:t>
      </w:r>
      <w:r>
        <w:rPr>
          <w:rFonts w:eastAsia="Times New Roman" w:cs="Times New Roman"/>
          <w:color w:val="000000"/>
          <w:shd w:val="clear" w:color="auto" w:fill="FFFFFF"/>
        </w:rPr>
        <w:t xml:space="preserve"> authorizing the Legislature to run</w:t>
      </w:r>
      <w:r w:rsidRPr="00DE3A75">
        <w:rPr>
          <w:rFonts w:eastAsia="Times New Roman" w:cs="Times New Roman"/>
          <w:color w:val="000000"/>
          <w:shd w:val="clear" w:color="auto" w:fill="FFFFFF"/>
        </w:rPr>
        <w:t xml:space="preserve"> its </w:t>
      </w:r>
      <w:r>
        <w:rPr>
          <w:rFonts w:eastAsia="Times New Roman" w:cs="Times New Roman"/>
          <w:color w:val="000000"/>
          <w:shd w:val="clear" w:color="auto" w:fill="FFFFFF"/>
        </w:rPr>
        <w:t xml:space="preserve">own affairs. </w:t>
      </w:r>
      <w:r w:rsidRPr="00DE3A75">
        <w:rPr>
          <w:rFonts w:eastAsia="Times New Roman" w:cs="Times New Roman"/>
          <w:color w:val="000000"/>
          <w:shd w:val="clear" w:color="auto" w:fill="FFFFFF"/>
        </w:rPr>
        <w:t xml:space="preserve"> (</w:t>
      </w:r>
      <w:r w:rsidRPr="00DE3A75">
        <w:rPr>
          <w:rFonts w:eastAsia="Times New Roman" w:cs="Times New Roman"/>
          <w:i/>
          <w:iCs/>
          <w:color w:val="000000"/>
          <w:bdr w:val="none" w:sz="0" w:space="0" w:color="auto" w:frame="1"/>
        </w:rPr>
        <w:t>People</w:t>
      </w:r>
      <w:r>
        <w:rPr>
          <w:rFonts w:eastAsia="Times New Roman" w:cs="Times New Roman"/>
          <w:i/>
          <w:iCs/>
          <w:color w:val="000000"/>
          <w:bdr w:val="none" w:sz="0" w:space="0" w:color="auto" w:frame="1"/>
        </w:rPr>
        <w:t>’</w:t>
      </w:r>
      <w:r w:rsidRPr="00DE3A75">
        <w:rPr>
          <w:rFonts w:eastAsia="Times New Roman" w:cs="Times New Roman"/>
          <w:i/>
          <w:iCs/>
          <w:color w:val="000000"/>
          <w:bdr w:val="none" w:sz="0" w:space="0" w:color="auto" w:frame="1"/>
        </w:rPr>
        <w:t>s</w:t>
      </w:r>
      <w:r w:rsidRPr="00DE3A75">
        <w:rPr>
          <w:rFonts w:eastAsia="Times New Roman" w:cs="Times New Roman"/>
          <w:i/>
          <w:color w:val="000000"/>
          <w:bdr w:val="none" w:sz="0" w:space="0" w:color="auto" w:frame="1"/>
        </w:rPr>
        <w:t xml:space="preserve"> Advocate, Inc. v. Superior Court</w:t>
      </w:r>
      <w:r>
        <w:rPr>
          <w:rFonts w:eastAsia="Times New Roman" w:cs="Times New Roman"/>
          <w:color w:val="000000"/>
        </w:rPr>
        <w:t xml:space="preserve"> </w:t>
      </w:r>
      <w:r w:rsidRPr="00DE3A75">
        <w:rPr>
          <w:rFonts w:eastAsia="Times New Roman" w:cs="Times New Roman"/>
          <w:color w:val="000000"/>
        </w:rPr>
        <w:t>(1986) 181</w:t>
      </w:r>
      <w:r>
        <w:rPr>
          <w:rFonts w:eastAsia="Times New Roman" w:cs="Times New Roman"/>
          <w:color w:val="000000"/>
        </w:rPr>
        <w:t> </w:t>
      </w:r>
      <w:r w:rsidRPr="00DE3A75">
        <w:rPr>
          <w:rFonts w:eastAsia="Times New Roman" w:cs="Times New Roman"/>
          <w:color w:val="000000"/>
        </w:rPr>
        <w:t xml:space="preserve">Cal.App.3d 316, 327.)  </w:t>
      </w:r>
      <w:r w:rsidRPr="00DE3A75">
        <w:rPr>
          <w:rFonts w:eastAsia="Times New Roman" w:cs="Times New Roman"/>
          <w:color w:val="000000"/>
          <w:shd w:val="clear" w:color="auto" w:fill="FFFFFF"/>
        </w:rPr>
        <w:t xml:space="preserve">To this list, I believe we </w:t>
      </w:r>
      <w:r>
        <w:rPr>
          <w:rFonts w:eastAsia="Times New Roman" w:cs="Times New Roman"/>
          <w:color w:val="000000"/>
          <w:shd w:val="clear" w:color="auto" w:fill="FFFFFF"/>
        </w:rPr>
        <w:t xml:space="preserve">must </w:t>
      </w:r>
      <w:r w:rsidRPr="00DE3A75">
        <w:rPr>
          <w:rFonts w:eastAsia="Times New Roman" w:cs="Times New Roman"/>
          <w:color w:val="000000"/>
          <w:shd w:val="clear" w:color="auto" w:fill="FFFFFF"/>
        </w:rPr>
        <w:t xml:space="preserve">add that the power of </w:t>
      </w:r>
      <w:r w:rsidRPr="004556EE">
        <w:rPr>
          <w:rFonts w:eastAsia="Times New Roman" w:cs="Times New Roman"/>
          <w:color w:val="000000"/>
          <w:shd w:val="clear" w:color="auto" w:fill="FFFFFF"/>
        </w:rPr>
        <w:t>statutory initiative</w:t>
      </w:r>
      <w:r w:rsidRPr="00DE3A75">
        <w:rPr>
          <w:rFonts w:eastAsia="Times New Roman" w:cs="Times New Roman"/>
          <w:color w:val="000000"/>
          <w:shd w:val="clear" w:color="auto" w:fill="FFFFFF"/>
        </w:rPr>
        <w:t xml:space="preserve"> cannot be used </w:t>
      </w:r>
      <w:r>
        <w:rPr>
          <w:rFonts w:eastAsia="Times New Roman" w:cs="Times New Roman"/>
          <w:color w:val="000000"/>
          <w:shd w:val="clear" w:color="auto" w:fill="FFFFFF"/>
        </w:rPr>
        <w:t xml:space="preserve">to </w:t>
      </w:r>
      <w:r w:rsidRPr="00DE3A75">
        <w:rPr>
          <w:rFonts w:eastAsia="Times New Roman" w:cs="Times New Roman"/>
          <w:color w:val="000000"/>
          <w:shd w:val="clear" w:color="auto" w:fill="FFFFFF"/>
        </w:rPr>
        <w:t>subvert a</w:t>
      </w:r>
      <w:r>
        <w:rPr>
          <w:rFonts w:eastAsia="Times New Roman" w:cs="Times New Roman"/>
          <w:color w:val="000000"/>
          <w:shd w:val="clear" w:color="auto" w:fill="FFFFFF"/>
        </w:rPr>
        <w:t>n express</w:t>
      </w:r>
      <w:r w:rsidRPr="00DE3A75">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constitutional </w:t>
      </w:r>
      <w:r w:rsidRPr="00DE3A75">
        <w:rPr>
          <w:rFonts w:eastAsia="Times New Roman" w:cs="Times New Roman"/>
          <w:color w:val="000000"/>
          <w:shd w:val="clear" w:color="auto" w:fill="FFFFFF"/>
        </w:rPr>
        <w:t>power delegated to the Legislature, and to the Legislature alone.  (</w:t>
      </w:r>
      <w:r>
        <w:rPr>
          <w:rFonts w:eastAsia="Times New Roman" w:cs="Times New Roman"/>
          <w:i/>
          <w:iCs/>
          <w:color w:val="000000"/>
          <w:shd w:val="clear" w:color="auto" w:fill="FFFFFF"/>
        </w:rPr>
        <w:t>Ibid.</w:t>
      </w:r>
      <w:r w:rsidRPr="00DE3A75">
        <w:rPr>
          <w:rFonts w:eastAsia="Times New Roman" w:cs="Times New Roman"/>
          <w:color w:val="000000"/>
          <w:shd w:val="clear" w:color="auto" w:fill="FFFFFF"/>
        </w:rPr>
        <w:t xml:space="preserve"> [“</w:t>
      </w:r>
      <w:r w:rsidRPr="00DE3A75">
        <w:rPr>
          <w:rFonts w:eastAsia="Times New Roman" w:cs="Times New Roman"/>
          <w:color w:val="000000"/>
        </w:rPr>
        <w:t>Only by means of an initiative</w:t>
      </w:r>
      <w:r w:rsidRPr="00DE3A75">
        <w:rPr>
          <w:rFonts w:eastAsia="Times New Roman" w:cs="Times New Roman"/>
          <w:color w:val="000000"/>
        </w:rPr>
        <w:t xml:space="preserve"> constitutional amendment may the people modify or impinge upon the freedom of the Legislature to exercise its constitutionally granted powers.”].)</w:t>
      </w:r>
    </w:p>
    <w:p w14:paraId="4E5AA54B" w14:textId="77777777" w:rsidR="00AB000C" w:rsidRPr="003607DA" w:rsidRDefault="00570B35" w:rsidP="00AB000C">
      <w:pPr>
        <w:keepNext/>
        <w:shd w:val="clear" w:color="auto" w:fill="FFFFFF"/>
        <w:tabs>
          <w:tab w:val="left" w:pos="360"/>
        </w:tabs>
        <w:spacing w:before="120" w:after="120" w:line="240" w:lineRule="auto"/>
        <w:ind w:left="720" w:hanging="720"/>
        <w:textAlignment w:val="baseline"/>
        <w:rPr>
          <w:b/>
          <w:bCs/>
          <w:color w:val="000000"/>
          <w:shd w:val="clear" w:color="auto" w:fill="FFFFFF"/>
        </w:rPr>
      </w:pPr>
      <w:r w:rsidRPr="003607DA">
        <w:rPr>
          <w:b/>
          <w:bCs/>
          <w:color w:val="000000"/>
          <w:shd w:val="clear" w:color="auto" w:fill="FFFFFF"/>
        </w:rPr>
        <w:tab/>
      </w:r>
      <w:r w:rsidRPr="00684396">
        <w:rPr>
          <w:b/>
          <w:color w:val="000000"/>
          <w:shd w:val="clear" w:color="auto" w:fill="FFFFFF"/>
        </w:rPr>
        <w:t>D.</w:t>
      </w:r>
      <w:r w:rsidRPr="00684396">
        <w:rPr>
          <w:b/>
          <w:color w:val="000000"/>
          <w:shd w:val="clear" w:color="auto" w:fill="FFFFFF"/>
        </w:rPr>
        <w:tab/>
      </w:r>
      <w:r w:rsidRPr="00684396">
        <w:rPr>
          <w:b/>
          <w:i/>
          <w:color w:val="000000"/>
          <w:shd w:val="clear" w:color="auto" w:fill="FFFFFF"/>
        </w:rPr>
        <w:t xml:space="preserve">Applying “The Relevant Constitutional Provision” (Article XIV, Section 4) to the Terms of the </w:t>
      </w:r>
      <w:r w:rsidRPr="00684396">
        <w:rPr>
          <w:b/>
          <w:i/>
          <w:color w:val="000000"/>
          <w:shd w:val="clear" w:color="auto" w:fill="FFFFFF"/>
        </w:rPr>
        <w:t>Statute Involved (Proposition 22)</w:t>
      </w:r>
    </w:p>
    <w:p w14:paraId="06841BF2" w14:textId="77777777" w:rsidR="00AB000C" w:rsidRDefault="00570B35" w:rsidP="00AB000C">
      <w:pPr>
        <w:shd w:val="clear" w:color="auto" w:fill="FFFFFF"/>
        <w:ind w:firstLine="720"/>
        <w:textAlignment w:val="baseline"/>
        <w:rPr>
          <w:color w:val="000000"/>
          <w:shd w:val="clear" w:color="auto" w:fill="FFFFFF"/>
        </w:rPr>
      </w:pPr>
      <w:r w:rsidRPr="008402F6">
        <w:rPr>
          <w:color w:val="000000"/>
          <w:shd w:val="clear" w:color="auto" w:fill="FFFFFF"/>
        </w:rPr>
        <w:t>Although Justice Jackson’s</w:t>
      </w:r>
      <w:r>
        <w:rPr>
          <w:color w:val="000000"/>
          <w:shd w:val="clear" w:color="auto" w:fill="FFFFFF"/>
        </w:rPr>
        <w:t xml:space="preserve"> </w:t>
      </w:r>
      <w:r w:rsidRPr="00A27FEC">
        <w:rPr>
          <w:i/>
          <w:iCs/>
          <w:color w:val="000000"/>
          <w:shd w:val="clear" w:color="auto" w:fill="FFFFFF"/>
        </w:rPr>
        <w:t>Youngstown Sheet &amp; Tube</w:t>
      </w:r>
      <w:r>
        <w:rPr>
          <w:color w:val="000000"/>
          <w:shd w:val="clear" w:color="auto" w:fill="FFFFFF"/>
        </w:rPr>
        <w:t xml:space="preserve"> concurrent powers framework provides important analytical guidance for resolving the conflict of legislative powers problem before us—and answers the question presented he</w:t>
      </w:r>
      <w:r>
        <w:rPr>
          <w:color w:val="000000"/>
          <w:shd w:val="clear" w:color="auto" w:fill="FFFFFF"/>
        </w:rPr>
        <w:t xml:space="preserve">re simply and easily when applied in light of cases recognizing certain implied limits on the initiative power—the specific mode of analysis must </w:t>
      </w:r>
      <w:r>
        <w:rPr>
          <w:color w:val="000000"/>
          <w:shd w:val="clear" w:color="auto" w:fill="FFFFFF"/>
        </w:rPr>
        <w:lastRenderedPageBreak/>
        <w:t xml:space="preserve">come from </w:t>
      </w:r>
      <w:r w:rsidRPr="00ED3387">
        <w:rPr>
          <w:i/>
          <w:iCs/>
          <w:color w:val="000000"/>
          <w:shd w:val="clear" w:color="auto" w:fill="FFFFFF"/>
        </w:rPr>
        <w:t>McPherson</w:t>
      </w:r>
      <w:r>
        <w:rPr>
          <w:color w:val="000000"/>
          <w:shd w:val="clear" w:color="auto" w:fill="FFFFFF"/>
        </w:rPr>
        <w:t>, since in that case our Supreme Court laid the groundwork for us in a case that is unquest</w:t>
      </w:r>
      <w:r>
        <w:rPr>
          <w:color w:val="000000"/>
          <w:shd w:val="clear" w:color="auto" w:fill="FFFFFF"/>
        </w:rPr>
        <w:t xml:space="preserve">ionably the closest analog to our own.  </w:t>
      </w:r>
      <w:r w:rsidRPr="00121735">
        <w:rPr>
          <w:color w:val="000000"/>
          <w:shd w:val="clear" w:color="auto" w:fill="FFFFFF"/>
        </w:rPr>
        <w:t>Footnote</w:t>
      </w:r>
      <w:r>
        <w:rPr>
          <w:color w:val="000000"/>
          <w:shd w:val="clear" w:color="auto" w:fill="FFFFFF"/>
        </w:rPr>
        <w:t> </w:t>
      </w:r>
      <w:r w:rsidRPr="00121735">
        <w:rPr>
          <w:color w:val="000000"/>
          <w:shd w:val="clear" w:color="auto" w:fill="FFFFFF"/>
        </w:rPr>
        <w:t xml:space="preserve">9 of the </w:t>
      </w:r>
      <w:r>
        <w:rPr>
          <w:i/>
          <w:iCs/>
        </w:rPr>
        <w:t>McPherson</w:t>
      </w:r>
      <w:r w:rsidRPr="00121735">
        <w:rPr>
          <w:color w:val="000000"/>
          <w:shd w:val="clear" w:color="auto" w:fill="FFFFFF"/>
        </w:rPr>
        <w:t xml:space="preserve"> opinion states that, should </w:t>
      </w:r>
      <w:r>
        <w:rPr>
          <w:color w:val="000000"/>
          <w:shd w:val="clear" w:color="auto" w:fill="FFFFFF"/>
        </w:rPr>
        <w:t>a</w:t>
      </w:r>
      <w:r w:rsidRPr="00121735">
        <w:rPr>
          <w:color w:val="000000"/>
          <w:shd w:val="clear" w:color="auto" w:fill="FFFFFF"/>
        </w:rPr>
        <w:t xml:space="preserve"> conflict of the kind it contemplates arise in </w:t>
      </w:r>
      <w:r>
        <w:rPr>
          <w:color w:val="000000"/>
          <w:shd w:val="clear" w:color="auto" w:fill="FFFFFF"/>
        </w:rPr>
        <w:t xml:space="preserve">some </w:t>
      </w:r>
      <w:r w:rsidRPr="00121735">
        <w:rPr>
          <w:color w:val="000000"/>
          <w:shd w:val="clear" w:color="auto" w:fill="FFFFFF"/>
        </w:rPr>
        <w:t xml:space="preserve">future case, the analysis </w:t>
      </w:r>
      <w:r>
        <w:rPr>
          <w:color w:val="000000"/>
          <w:shd w:val="clear" w:color="auto" w:fill="FFFFFF"/>
        </w:rPr>
        <w:t xml:space="preserve">will </w:t>
      </w:r>
      <w:r w:rsidRPr="00121735">
        <w:rPr>
          <w:color w:val="000000"/>
          <w:shd w:val="clear" w:color="auto" w:fill="FFFFFF"/>
        </w:rPr>
        <w:t xml:space="preserve">be governed by the “application of the relevant constitutional provision or </w:t>
      </w:r>
      <w:r w:rsidRPr="00121735">
        <w:rPr>
          <w:color w:val="000000"/>
          <w:shd w:val="clear" w:color="auto" w:fill="FFFFFF"/>
        </w:rPr>
        <w:t>provisions to the terms of the specific legislation at issue.”</w:t>
      </w:r>
      <w:r>
        <w:rPr>
          <w:color w:val="000000"/>
          <w:shd w:val="clear" w:color="auto" w:fill="FFFFFF"/>
        </w:rPr>
        <w:t xml:space="preserve"> </w:t>
      </w:r>
      <w:r w:rsidRPr="007E3DCE">
        <w:rPr>
          <w:color w:val="000000"/>
          <w:shd w:val="clear" w:color="auto" w:fill="FFFFFF"/>
        </w:rPr>
        <w:t xml:space="preserve"> (</w:t>
      </w:r>
      <w:r>
        <w:rPr>
          <w:i/>
          <w:iCs/>
        </w:rPr>
        <w:t>McPherson</w:t>
      </w:r>
      <w:r w:rsidRPr="007E3DCE">
        <w:rPr>
          <w:rFonts w:eastAsia="Times New Roman" w:cs="Times New Roman"/>
          <w:i/>
          <w:iCs/>
          <w:color w:val="000000"/>
          <w:bdr w:val="none" w:sz="0" w:space="0" w:color="auto" w:frame="1"/>
        </w:rPr>
        <w:t xml:space="preserve">, supra, </w:t>
      </w:r>
      <w:r w:rsidRPr="007E3DCE">
        <w:rPr>
          <w:rFonts w:eastAsia="Times New Roman" w:cs="Times New Roman"/>
          <w:color w:val="000000"/>
        </w:rPr>
        <w:t>38</w:t>
      </w:r>
      <w:r>
        <w:rPr>
          <w:rFonts w:eastAsia="Times New Roman" w:cs="Times New Roman"/>
          <w:color w:val="000000"/>
        </w:rPr>
        <w:t> </w:t>
      </w:r>
      <w:r w:rsidRPr="007E3DCE">
        <w:rPr>
          <w:rFonts w:eastAsia="Times New Roman" w:cs="Times New Roman"/>
          <w:color w:val="000000"/>
        </w:rPr>
        <w:t>Cal.4</w:t>
      </w:r>
      <w:r w:rsidRPr="00D703F8">
        <w:rPr>
          <w:rFonts w:eastAsia="Times New Roman" w:cs="Times New Roman"/>
          <w:color w:val="000000"/>
        </w:rPr>
        <w:t>th</w:t>
      </w:r>
      <w:r w:rsidRPr="007E3DCE">
        <w:rPr>
          <w:rFonts w:eastAsia="Times New Roman" w:cs="Times New Roman"/>
          <w:color w:val="000000"/>
        </w:rPr>
        <w:t xml:space="preserve"> </w:t>
      </w:r>
      <w:r>
        <w:rPr>
          <w:rFonts w:eastAsia="Times New Roman" w:cs="Times New Roman"/>
          <w:color w:val="000000"/>
        </w:rPr>
        <w:t>at p. </w:t>
      </w:r>
      <w:r w:rsidRPr="007E3DCE">
        <w:rPr>
          <w:rFonts w:eastAsia="Times New Roman" w:cs="Times New Roman"/>
          <w:color w:val="000000"/>
        </w:rPr>
        <w:t>1044</w:t>
      </w:r>
      <w:r>
        <w:rPr>
          <w:rFonts w:eastAsia="Times New Roman" w:cs="Times New Roman"/>
          <w:color w:val="000000"/>
        </w:rPr>
        <w:t xml:space="preserve">, </w:t>
      </w:r>
      <w:r w:rsidRPr="007E3DCE">
        <w:rPr>
          <w:rFonts w:eastAsia="Times New Roman" w:cs="Times New Roman"/>
          <w:color w:val="000000"/>
        </w:rPr>
        <w:t>fn.</w:t>
      </w:r>
      <w:r>
        <w:rPr>
          <w:rFonts w:eastAsia="Times New Roman" w:cs="Times New Roman"/>
          <w:color w:val="000000"/>
        </w:rPr>
        <w:t> </w:t>
      </w:r>
      <w:r w:rsidRPr="007E3DCE">
        <w:rPr>
          <w:rFonts w:eastAsia="Times New Roman" w:cs="Times New Roman"/>
          <w:color w:val="000000"/>
        </w:rPr>
        <w:t>9</w:t>
      </w:r>
      <w:r>
        <w:rPr>
          <w:color w:val="000000"/>
          <w:shd w:val="clear" w:color="auto" w:fill="FFFFFF"/>
        </w:rPr>
        <w:t>.)</w:t>
      </w:r>
    </w:p>
    <w:p w14:paraId="1530C365" w14:textId="77777777" w:rsidR="00AB000C" w:rsidRDefault="00570B35" w:rsidP="00AB000C">
      <w:pPr>
        <w:shd w:val="clear" w:color="auto" w:fill="FFFFFF" w:themeFill="background1"/>
        <w:ind w:firstLine="720"/>
        <w:textAlignment w:val="baseline"/>
        <w:rPr>
          <w:color w:val="000000"/>
          <w:shd w:val="clear" w:color="auto" w:fill="FFFFFF"/>
        </w:rPr>
      </w:pPr>
      <w:r>
        <w:rPr>
          <w:color w:val="000000"/>
          <w:shd w:val="clear" w:color="auto" w:fill="FFFFFF"/>
        </w:rPr>
        <w:t xml:space="preserve">As I noted above, the independent contractor definition in Business &amp; Professions Code section 7451 is the “specific legislation” at issue here.  This provision overturns the Legislature’s judgment in Assembly Bill 5 that app-based drivers must be treated </w:t>
      </w:r>
      <w:r>
        <w:rPr>
          <w:color w:val="000000"/>
          <w:shd w:val="clear" w:color="auto" w:fill="FFFFFF"/>
        </w:rPr>
        <w:t xml:space="preserve">as employees until putative employers prove otherwise in case-by-case adjudication within the workers’ compensation system.  Because class-wide exclusion of app-based drivers from the workers’ compensation system is the main objective of Proposition 22—in </w:t>
      </w:r>
      <w:r>
        <w:rPr>
          <w:color w:val="000000"/>
          <w:shd w:val="clear" w:color="auto" w:fill="FFFFFF"/>
        </w:rPr>
        <w:t xml:space="preserve">direct conflict with Assembly Bill 5—the analysis under footnote 9 of the </w:t>
      </w:r>
      <w:r w:rsidRPr="00614F09">
        <w:rPr>
          <w:i/>
          <w:iCs/>
          <w:color w:val="000000"/>
          <w:shd w:val="clear" w:color="auto" w:fill="FFFFFF"/>
        </w:rPr>
        <w:t>McPherson</w:t>
      </w:r>
      <w:r>
        <w:rPr>
          <w:color w:val="000000"/>
          <w:shd w:val="clear" w:color="auto" w:fill="FFFFFF"/>
        </w:rPr>
        <w:t xml:space="preserve"> opinion turns on the language of article XIV, section 4.</w:t>
      </w:r>
    </w:p>
    <w:p w14:paraId="0AC4C12D" w14:textId="77777777" w:rsidR="00AB000C" w:rsidRDefault="00570B35" w:rsidP="00AB000C">
      <w:pPr>
        <w:ind w:firstLine="720"/>
        <w:rPr>
          <w:rFonts w:eastAsia="Times New Roman" w:cs="Times New Roman"/>
          <w:color w:val="000000"/>
        </w:rPr>
      </w:pPr>
      <w:r>
        <w:rPr>
          <w:rFonts w:eastAsia="Times New Roman" w:cs="Times New Roman"/>
          <w:color w:val="000000"/>
        </w:rPr>
        <w:t xml:space="preserve"> </w:t>
      </w:r>
      <w:r w:rsidRPr="007841D0">
        <w:rPr>
          <w:rFonts w:eastAsia="Times New Roman" w:cs="Times New Roman"/>
          <w:color w:val="000000"/>
        </w:rPr>
        <w:t xml:space="preserve">Settled principles of interpretation govern the inquiry.  </w:t>
      </w:r>
      <w:r w:rsidRPr="007841D0">
        <w:t xml:space="preserve">Because it is elementary that we avoid </w:t>
      </w:r>
      <w:r w:rsidRPr="007841D0">
        <w:rPr>
          <w:rFonts w:eastAsia="Times New Roman" w:cs="Times New Roman"/>
          <w:color w:val="000000"/>
          <w:shd w:val="clear" w:color="auto" w:fill="FFFFFF"/>
        </w:rPr>
        <w:t xml:space="preserve">interpreting our </w:t>
      </w:r>
      <w:r w:rsidRPr="007841D0">
        <w:rPr>
          <w:rFonts w:eastAsia="Times New Roman" w:cs="Times New Roman"/>
          <w:color w:val="000000"/>
          <w:shd w:val="clear" w:color="auto" w:fill="FFFFFF"/>
        </w:rPr>
        <w:t xml:space="preserve">Constitution in a manner that renders any of its provisions nugatory, </w:t>
      </w:r>
      <w:proofErr w:type="gramStart"/>
      <w:r w:rsidRPr="007841D0">
        <w:rPr>
          <w:rFonts w:eastAsia="Times New Roman" w:cs="Times New Roman"/>
          <w:color w:val="000000"/>
          <w:shd w:val="clear" w:color="auto" w:fill="FFFFFF"/>
        </w:rPr>
        <w:t>inoperative</w:t>
      </w:r>
      <w:proofErr w:type="gramEnd"/>
      <w:r w:rsidRPr="007841D0">
        <w:rPr>
          <w:rFonts w:eastAsia="Times New Roman" w:cs="Times New Roman"/>
          <w:color w:val="000000"/>
          <w:shd w:val="clear" w:color="auto" w:fill="FFFFFF"/>
        </w:rPr>
        <w:t xml:space="preserve"> or meaningless (</w:t>
      </w:r>
      <w:r w:rsidRPr="007841D0">
        <w:rPr>
          <w:rFonts w:eastAsia="Times New Roman" w:cs="Times New Roman"/>
          <w:i/>
          <w:iCs/>
          <w:color w:val="000000"/>
          <w:bdr w:val="none" w:sz="0" w:space="0" w:color="auto" w:frame="1"/>
        </w:rPr>
        <w:t>Lungren v. Deukmejian</w:t>
      </w:r>
      <w:r>
        <w:rPr>
          <w:rFonts w:eastAsia="Times New Roman" w:cs="Times New Roman"/>
          <w:color w:val="000000"/>
        </w:rPr>
        <w:t xml:space="preserve"> </w:t>
      </w:r>
      <w:r w:rsidRPr="007841D0">
        <w:rPr>
          <w:rFonts w:eastAsia="Times New Roman" w:cs="Times New Roman"/>
          <w:color w:val="000000"/>
        </w:rPr>
        <w:t>(1988) 45</w:t>
      </w:r>
      <w:r>
        <w:rPr>
          <w:rFonts w:eastAsia="Times New Roman" w:cs="Times New Roman"/>
          <w:color w:val="000000"/>
        </w:rPr>
        <w:t> </w:t>
      </w:r>
      <w:r w:rsidRPr="007841D0">
        <w:rPr>
          <w:rFonts w:eastAsia="Times New Roman" w:cs="Times New Roman"/>
          <w:color w:val="000000"/>
        </w:rPr>
        <w:t xml:space="preserve">Cal.3d 727, 735), </w:t>
      </w:r>
      <w:r w:rsidRPr="007841D0">
        <w:t>we must strive to give article XIV, section</w:t>
      </w:r>
      <w:r>
        <w:t> </w:t>
      </w:r>
      <w:r w:rsidRPr="007841D0">
        <w:t>4, meaning.  To discern the intent</w:t>
      </w:r>
      <w:r>
        <w:t xml:space="preserve"> of the people acting in their</w:t>
      </w:r>
      <w:r>
        <w:t xml:space="preserve"> sovereign capacity in 1918</w:t>
      </w:r>
      <w:r w:rsidRPr="007841D0">
        <w:t>—and not project our modern understanding in retrospect</w:t>
      </w:r>
      <w:r>
        <w:t>—</w:t>
      </w:r>
      <w:r w:rsidRPr="00D77CD8">
        <w:t xml:space="preserve">we </w:t>
      </w:r>
      <w:r>
        <w:t xml:space="preserve">must </w:t>
      </w:r>
      <w:r w:rsidRPr="00D77CD8">
        <w:rPr>
          <w:rFonts w:eastAsia="Times New Roman" w:cs="Times New Roman"/>
          <w:color w:val="000000"/>
          <w:shd w:val="clear" w:color="auto" w:fill="FFFFFF"/>
        </w:rPr>
        <w:t xml:space="preserve">apply </w:t>
      </w:r>
      <w:proofErr w:type="gramStart"/>
      <w:r w:rsidRPr="00D77CD8">
        <w:rPr>
          <w:rFonts w:eastAsia="Times New Roman" w:cs="Times New Roman"/>
          <w:color w:val="000000"/>
          <w:shd w:val="clear" w:color="auto" w:fill="FFFFFF"/>
        </w:rPr>
        <w:t>“</w:t>
      </w:r>
      <w:r>
        <w:rPr>
          <w:rFonts w:eastAsia="Times New Roman" w:cs="Times New Roman"/>
          <w:color w:val="000000"/>
          <w:shd w:val="clear" w:color="auto" w:fill="FFFFFF"/>
        </w:rPr>
        <w:t> ‘</w:t>
      </w:r>
      <w:proofErr w:type="gramEnd"/>
      <w:r>
        <w:rPr>
          <w:rFonts w:eastAsia="Times New Roman" w:cs="Times New Roman"/>
          <w:color w:val="000000"/>
          <w:shd w:val="clear" w:color="auto" w:fill="FFFFFF"/>
        </w:rPr>
        <w:t> “</w:t>
      </w:r>
      <w:r w:rsidRPr="00D77CD8">
        <w:rPr>
          <w:rFonts w:eastAsia="Times New Roman" w:cs="Times New Roman"/>
          <w:color w:val="000000"/>
          <w:shd w:val="clear" w:color="auto" w:fill="FFFFFF"/>
        </w:rPr>
        <w:t xml:space="preserve">the same </w:t>
      </w:r>
      <w:r w:rsidRPr="00D77CD8">
        <w:rPr>
          <w:rFonts w:eastAsia="Times New Roman" w:cs="Times New Roman"/>
          <w:color w:val="000000"/>
          <w:shd w:val="clear" w:color="auto" w:fill="FFFFFF"/>
        </w:rPr>
        <w:lastRenderedPageBreak/>
        <w:t>principles that govern statutory construction.</w:t>
      </w:r>
      <w:r>
        <w:rPr>
          <w:rFonts w:eastAsia="Times New Roman" w:cs="Times New Roman"/>
          <w:color w:val="000000"/>
          <w:shd w:val="clear" w:color="auto" w:fill="FFFFFF"/>
        </w:rPr>
        <w:t>”</w:t>
      </w:r>
      <w:r w:rsidRPr="00D77CD8">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w:t>
      </w:r>
      <w:r w:rsidRPr="00D77CD8">
        <w:rPr>
          <w:rFonts w:eastAsia="Times New Roman" w:cs="Times New Roman"/>
          <w:color w:val="000000"/>
          <w:shd w:val="clear" w:color="auto" w:fill="FFFFFF"/>
        </w:rPr>
        <w:t xml:space="preserve">[Citation.] </w:t>
      </w:r>
      <w:r>
        <w:rPr>
          <w:rFonts w:eastAsia="Times New Roman" w:cs="Times New Roman"/>
          <w:color w:val="000000"/>
          <w:shd w:val="clear" w:color="auto" w:fill="FFFFFF"/>
        </w:rPr>
        <w:t xml:space="preserve"> </w:t>
      </w:r>
      <w:r w:rsidRPr="00D77CD8">
        <w:rPr>
          <w:rFonts w:eastAsia="Times New Roman" w:cs="Times New Roman"/>
          <w:color w:val="000000"/>
          <w:shd w:val="clear" w:color="auto" w:fill="FFFFFF"/>
        </w:rPr>
        <w:t>Where a law is adopted</w:t>
      </w:r>
      <w:r w:rsidRPr="001C643C">
        <w:rPr>
          <w:rFonts w:eastAsia="Times New Roman" w:cs="Times New Roman"/>
          <w:color w:val="000000"/>
          <w:shd w:val="clear" w:color="auto" w:fill="FFFFFF"/>
        </w:rPr>
        <w:t xml:space="preserve"> by the voters, </w:t>
      </w:r>
      <w:r>
        <w:rPr>
          <w:rFonts w:eastAsia="Times New Roman" w:cs="Times New Roman"/>
          <w:color w:val="000000"/>
          <w:shd w:val="clear" w:color="auto" w:fill="FFFFFF"/>
        </w:rPr>
        <w:t>“</w:t>
      </w:r>
      <w:r w:rsidRPr="001C643C">
        <w:rPr>
          <w:rFonts w:eastAsia="Times New Roman" w:cs="Times New Roman"/>
          <w:color w:val="000000"/>
          <w:shd w:val="clear" w:color="auto" w:fill="FFFFFF"/>
        </w:rPr>
        <w:t>their intent governs.</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 [Citation.]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In determining that intent, </w:t>
      </w:r>
      <w:r>
        <w:rPr>
          <w:rFonts w:eastAsia="Times New Roman" w:cs="Times New Roman"/>
          <w:color w:val="000000"/>
          <w:shd w:val="clear" w:color="auto" w:fill="FFFFFF"/>
        </w:rPr>
        <w:t>“</w:t>
      </w:r>
      <w:r w:rsidRPr="001C643C">
        <w:rPr>
          <w:rFonts w:eastAsia="Times New Roman" w:cs="Times New Roman"/>
          <w:color w:val="000000"/>
          <w:shd w:val="clear" w:color="auto" w:fill="FFFFFF"/>
        </w:rPr>
        <w:t>we turn first to the language of the statute, giving the words their ordinary meaning.</w:t>
      </w:r>
      <w:proofErr w:type="gramStart"/>
      <w:r>
        <w:rPr>
          <w:rFonts w:eastAsia="Times New Roman" w:cs="Times New Roman"/>
          <w:color w:val="000000"/>
          <w:shd w:val="clear" w:color="auto" w:fill="FFFFFF"/>
        </w:rPr>
        <w:t>” ’</w:t>
      </w:r>
      <w:proofErr w:type="gramEnd"/>
      <w:r>
        <w:rPr>
          <w:rFonts w:eastAsia="Times New Roman" w:cs="Times New Roman"/>
          <w:color w:val="000000"/>
          <w:shd w:val="clear" w:color="auto" w:fill="FFFFFF"/>
        </w:rPr>
        <w:t xml:space="preserve"> ”  </w:t>
      </w:r>
      <w:r w:rsidRPr="001C643C">
        <w:rPr>
          <w:rFonts w:eastAsia="Times New Roman" w:cs="Times New Roman"/>
          <w:color w:val="000000"/>
          <w:shd w:val="clear" w:color="auto" w:fill="FFFFFF"/>
        </w:rPr>
        <w:t>(</w:t>
      </w:r>
      <w:r w:rsidRPr="00AE57A8">
        <w:rPr>
          <w:rFonts w:eastAsia="Times New Roman" w:cs="Times New Roman"/>
          <w:i/>
          <w:iCs/>
          <w:color w:val="000000"/>
          <w:bdr w:val="none" w:sz="0" w:space="0" w:color="auto" w:frame="1"/>
        </w:rPr>
        <w:t xml:space="preserve">People v. </w:t>
      </w:r>
      <w:proofErr w:type="spellStart"/>
      <w:r w:rsidRPr="00AE57A8">
        <w:rPr>
          <w:rFonts w:eastAsia="Times New Roman" w:cs="Times New Roman"/>
          <w:i/>
          <w:iCs/>
          <w:color w:val="000000"/>
          <w:bdr w:val="none" w:sz="0" w:space="0" w:color="auto" w:frame="1"/>
        </w:rPr>
        <w:t>Raybon</w:t>
      </w:r>
      <w:proofErr w:type="spellEnd"/>
      <w:r>
        <w:rPr>
          <w:rFonts w:eastAsia="Times New Roman" w:cs="Times New Roman"/>
          <w:color w:val="000000"/>
        </w:rPr>
        <w:t xml:space="preserve"> </w:t>
      </w:r>
      <w:r w:rsidRPr="00AE57A8">
        <w:rPr>
          <w:rFonts w:eastAsia="Times New Roman" w:cs="Times New Roman"/>
          <w:color w:val="000000"/>
        </w:rPr>
        <w:t>(2021) 11</w:t>
      </w:r>
      <w:r>
        <w:rPr>
          <w:rFonts w:eastAsia="Times New Roman" w:cs="Times New Roman"/>
          <w:color w:val="000000"/>
        </w:rPr>
        <w:t> </w:t>
      </w:r>
      <w:r w:rsidRPr="00AE57A8">
        <w:rPr>
          <w:rFonts w:eastAsia="Times New Roman" w:cs="Times New Roman"/>
          <w:color w:val="000000"/>
        </w:rPr>
        <w:t>Cal.5</w:t>
      </w:r>
      <w:r w:rsidRPr="003F3637">
        <w:rPr>
          <w:rFonts w:eastAsia="Times New Roman" w:cs="Times New Roman"/>
          <w:color w:val="000000"/>
        </w:rPr>
        <w:t>th</w:t>
      </w:r>
      <w:r w:rsidRPr="00AE57A8">
        <w:rPr>
          <w:rFonts w:eastAsia="Times New Roman" w:cs="Times New Roman"/>
          <w:color w:val="000000"/>
        </w:rPr>
        <w:t xml:space="preserve"> 1056, 1065</w:t>
      </w:r>
      <w:r w:rsidRPr="001C643C">
        <w:rPr>
          <w:rFonts w:eastAsia="Times New Roman" w:cs="Times New Roman"/>
          <w:color w:val="000000"/>
        </w:rPr>
        <w:t>.)</w:t>
      </w:r>
    </w:p>
    <w:p w14:paraId="393399C3" w14:textId="77777777" w:rsidR="00AB000C" w:rsidRDefault="00570B35" w:rsidP="00AB000C">
      <w:pPr>
        <w:ind w:firstLine="720"/>
        <w:rPr>
          <w:rFonts w:eastAsia="Times New Roman" w:cs="Times New Roman"/>
          <w:color w:val="000000"/>
        </w:rPr>
      </w:pPr>
      <w:r>
        <w:rPr>
          <w:rFonts w:eastAsia="Times New Roman" w:cs="Times New Roman"/>
          <w:color w:val="000000"/>
          <w:shd w:val="clear" w:color="auto" w:fill="FFFFFF"/>
        </w:rPr>
        <w:t>If it is necessary to go beyond plain meaning and consider context, his</w:t>
      </w:r>
      <w:r>
        <w:rPr>
          <w:rFonts w:eastAsia="Times New Roman" w:cs="Times New Roman"/>
          <w:color w:val="000000"/>
          <w:shd w:val="clear" w:color="auto" w:fill="FFFFFF"/>
        </w:rPr>
        <w:t xml:space="preserve">torical context is relevant, as our Supreme Court recognized in addressing the parameters of a similar constitutional provision, article XII, section 5, in </w:t>
      </w:r>
      <w:r w:rsidRPr="00422A61">
        <w:rPr>
          <w:rFonts w:eastAsia="Times New Roman" w:cs="Times New Roman"/>
          <w:i/>
          <w:iCs/>
          <w:color w:val="000000"/>
          <w:shd w:val="clear" w:color="auto" w:fill="FFFFFF"/>
        </w:rPr>
        <w:t>McPherson</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 </w:t>
      </w:r>
      <w:r w:rsidRPr="00514D91">
        <w:t>(</w:t>
      </w:r>
      <w:r>
        <w:t xml:space="preserve">See </w:t>
      </w:r>
      <w:r>
        <w:rPr>
          <w:i/>
          <w:iCs/>
        </w:rPr>
        <w:t>McPherson</w:t>
      </w:r>
      <w:r w:rsidRPr="00A80159">
        <w:t>,</w:t>
      </w:r>
      <w:r w:rsidRPr="0038267F">
        <w:rPr>
          <w:rFonts w:eastAsia="Times New Roman" w:cs="Times New Roman"/>
          <w:color w:val="000000"/>
        </w:rPr>
        <w:t xml:space="preserve"> </w:t>
      </w:r>
      <w:r w:rsidRPr="4903BD9F">
        <w:rPr>
          <w:rFonts w:eastAsia="Times New Roman" w:cs="Times New Roman"/>
          <w:i/>
          <w:iCs/>
          <w:color w:val="000000" w:themeColor="text1"/>
        </w:rPr>
        <w:t xml:space="preserve">supra, </w:t>
      </w:r>
      <w:r w:rsidRPr="4903BD9F">
        <w:rPr>
          <w:rFonts w:eastAsia="Times New Roman" w:cs="Times New Roman"/>
          <w:color w:val="000000" w:themeColor="text1"/>
        </w:rPr>
        <w:t>38 Cal.4</w:t>
      </w:r>
      <w:r w:rsidRPr="00E40E15">
        <w:rPr>
          <w:rFonts w:eastAsia="Times New Roman" w:cs="Times New Roman"/>
          <w:color w:val="000000" w:themeColor="text1"/>
        </w:rPr>
        <w:t>th</w:t>
      </w:r>
      <w:r w:rsidRPr="4903BD9F">
        <w:rPr>
          <w:rFonts w:eastAsia="Times New Roman" w:cs="Times New Roman"/>
          <w:color w:val="000000" w:themeColor="text1"/>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3</w:t>
      </w:r>
      <w:r w:rsidRPr="00E40E15">
        <w:rPr>
          <w:rFonts w:eastAsia="Times New Roman" w:cs="Times New Roman"/>
          <w:color w:val="000000"/>
          <w:spacing w:val="10"/>
        </w:rPr>
        <w:t>9</w:t>
      </w:r>
      <w:r w:rsidRPr="00E40E15">
        <w:rPr>
          <w:rFonts w:eastAsia="Times New Roman" w:cs="Times New Roman"/>
          <w:color w:val="000000"/>
          <w:spacing w:val="-20"/>
        </w:rPr>
        <w:t>–</w:t>
      </w:r>
      <w:r>
        <w:rPr>
          <w:rFonts w:eastAsia="Times New Roman" w:cs="Times New Roman"/>
          <w:color w:val="000000"/>
        </w:rPr>
        <w:t>1040.</w:t>
      </w:r>
      <w:r w:rsidRPr="00514D91">
        <w:rPr>
          <w:rFonts w:eastAsia="Times New Roman" w:cs="Times New Roman"/>
          <w:color w:val="000000"/>
        </w:rPr>
        <w:t>)</w:t>
      </w:r>
      <w:r>
        <w:rPr>
          <w:rFonts w:eastAsia="Times New Roman" w:cs="Times New Roman"/>
          <w:color w:val="000000"/>
        </w:rPr>
        <w:t xml:space="preserve"> </w:t>
      </w:r>
      <w:r w:rsidRPr="00FB6FFD">
        <w:t xml:space="preserve"> </w:t>
      </w:r>
      <w:r>
        <w:t xml:space="preserve">And as with statutory construction, the language in question </w:t>
      </w:r>
      <w:proofErr w:type="gramStart"/>
      <w:r>
        <w:t>“ ‘</w:t>
      </w:r>
      <w:proofErr w:type="gramEnd"/>
      <w:r>
        <w:t xml:space="preserve">must </w:t>
      </w:r>
      <w:r w:rsidRPr="001C643C">
        <w:rPr>
          <w:rFonts w:eastAsia="Times New Roman" w:cs="Times New Roman"/>
          <w:color w:val="000000"/>
          <w:shd w:val="clear" w:color="auto" w:fill="FFFFFF"/>
        </w:rPr>
        <w:t>also be construed in the context of the statute as a whole and the overall</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statutory scheme.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[Citation.]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We apply a presumption, as we similarly do with regard to the Legislature, that </w:t>
      </w:r>
      <w:r w:rsidRPr="001C643C">
        <w:rPr>
          <w:rFonts w:eastAsia="Times New Roman" w:cs="Times New Roman"/>
          <w:color w:val="000000"/>
          <w:shd w:val="clear" w:color="auto" w:fill="FFFFFF"/>
        </w:rPr>
        <w:t xml:space="preserve">the voters, in adopting an initiative, did so being </w:t>
      </w:r>
      <w:r>
        <w:rPr>
          <w:rFonts w:eastAsia="Times New Roman" w:cs="Times New Roman"/>
          <w:color w:val="000000"/>
          <w:shd w:val="clear" w:color="auto" w:fill="FFFFFF"/>
        </w:rPr>
        <w:t>“</w:t>
      </w:r>
      <w:r w:rsidRPr="001C643C">
        <w:rPr>
          <w:rFonts w:eastAsia="Times New Roman" w:cs="Times New Roman"/>
          <w:color w:val="000000"/>
          <w:shd w:val="clear" w:color="auto" w:fill="FFFFFF"/>
        </w:rPr>
        <w:t>aware of existing laws at the time the initiative was enacted.</w:t>
      </w:r>
      <w:proofErr w:type="gramStart"/>
      <w:r>
        <w:rPr>
          <w:rFonts w:eastAsia="Times New Roman" w:cs="Times New Roman"/>
          <w:color w:val="000000"/>
          <w:shd w:val="clear" w:color="auto" w:fill="FFFFFF"/>
        </w:rPr>
        <w:t>” </w:t>
      </w:r>
      <w:r w:rsidRPr="001C643C">
        <w:rPr>
          <w:rFonts w:eastAsia="Times New Roman" w:cs="Times New Roman"/>
          <w:color w:val="000000"/>
          <w:shd w:val="clear" w:color="auto" w:fill="FFFFFF"/>
        </w:rPr>
        <w:t>’</w:t>
      </w:r>
      <w:proofErr w:type="gramEnd"/>
      <w:r>
        <w:rPr>
          <w:rFonts w:eastAsia="Times New Roman" w:cs="Times New Roman"/>
          <w:color w:val="000000"/>
          <w:shd w:val="clear" w:color="auto" w:fill="FFFFFF"/>
        </w:rPr>
        <w:t> </w:t>
      </w:r>
      <w:r w:rsidRPr="001C643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w:t>
      </w:r>
      <w:r w:rsidRPr="00AE57A8">
        <w:rPr>
          <w:rFonts w:eastAsia="Times New Roman" w:cs="Times New Roman"/>
          <w:i/>
          <w:iCs/>
          <w:color w:val="000000"/>
          <w:bdr w:val="none" w:sz="0" w:space="0" w:color="auto" w:frame="1"/>
        </w:rPr>
        <w:t xml:space="preserve">People v. </w:t>
      </w:r>
      <w:proofErr w:type="spellStart"/>
      <w:r w:rsidRPr="00AE57A8">
        <w:rPr>
          <w:rFonts w:eastAsia="Times New Roman" w:cs="Times New Roman"/>
          <w:i/>
          <w:iCs/>
          <w:color w:val="000000"/>
          <w:bdr w:val="none" w:sz="0" w:space="0" w:color="auto" w:frame="1"/>
        </w:rPr>
        <w:t>Raybon</w:t>
      </w:r>
      <w:proofErr w:type="spellEnd"/>
      <w:r>
        <w:rPr>
          <w:rFonts w:eastAsia="Times New Roman" w:cs="Times New Roman"/>
          <w:color w:val="000000"/>
        </w:rPr>
        <w:t>, s</w:t>
      </w:r>
      <w:r w:rsidRPr="008E6B57">
        <w:rPr>
          <w:rFonts w:eastAsia="Times New Roman" w:cs="Times New Roman"/>
          <w:i/>
          <w:iCs/>
          <w:color w:val="000000"/>
        </w:rPr>
        <w:t>upra</w:t>
      </w:r>
      <w:r>
        <w:rPr>
          <w:rFonts w:eastAsia="Times New Roman" w:cs="Times New Roman"/>
          <w:color w:val="000000"/>
        </w:rPr>
        <w:t xml:space="preserve">, </w:t>
      </w:r>
      <w:r w:rsidRPr="00AE57A8">
        <w:rPr>
          <w:rFonts w:eastAsia="Times New Roman" w:cs="Times New Roman"/>
          <w:color w:val="000000"/>
        </w:rPr>
        <w:t>11</w:t>
      </w:r>
      <w:r>
        <w:rPr>
          <w:rFonts w:eastAsia="Times New Roman" w:cs="Times New Roman"/>
          <w:color w:val="000000"/>
        </w:rPr>
        <w:t> </w:t>
      </w:r>
      <w:r w:rsidRPr="00AE57A8">
        <w:rPr>
          <w:rFonts w:eastAsia="Times New Roman" w:cs="Times New Roman"/>
          <w:color w:val="000000"/>
        </w:rPr>
        <w:t>Cal.5</w:t>
      </w:r>
      <w:r w:rsidRPr="00E40E15">
        <w:rPr>
          <w:rFonts w:eastAsia="Times New Roman" w:cs="Times New Roman"/>
          <w:color w:val="000000"/>
        </w:rPr>
        <w:t>th</w:t>
      </w:r>
      <w:r w:rsidRPr="00AE57A8">
        <w:rPr>
          <w:rFonts w:eastAsia="Times New Roman" w:cs="Times New Roman"/>
          <w:color w:val="000000"/>
        </w:rPr>
        <w:t xml:space="preserve"> </w:t>
      </w:r>
      <w:r>
        <w:rPr>
          <w:rFonts w:eastAsia="Times New Roman" w:cs="Times New Roman"/>
          <w:color w:val="000000"/>
        </w:rPr>
        <w:t>at p. </w:t>
      </w:r>
      <w:r w:rsidRPr="00AE57A8">
        <w:rPr>
          <w:rFonts w:eastAsia="Times New Roman" w:cs="Times New Roman"/>
          <w:color w:val="000000"/>
        </w:rPr>
        <w:t>1065</w:t>
      </w:r>
      <w:r w:rsidRPr="001C643C">
        <w:rPr>
          <w:rFonts w:eastAsia="Times New Roman" w:cs="Times New Roman"/>
          <w:color w:val="000000"/>
        </w:rPr>
        <w:t>.)</w:t>
      </w:r>
    </w:p>
    <w:p w14:paraId="0B9EB372" w14:textId="77777777" w:rsidR="00AB000C" w:rsidRPr="003515F3" w:rsidRDefault="00570B35" w:rsidP="00AB000C">
      <w:pPr>
        <w:keepNext/>
        <w:tabs>
          <w:tab w:val="left" w:pos="1080"/>
        </w:tabs>
        <w:spacing w:before="120" w:after="120" w:line="240" w:lineRule="auto"/>
        <w:ind w:left="1080" w:hanging="1080"/>
        <w:rPr>
          <w:i/>
        </w:rPr>
      </w:pPr>
      <w:r>
        <w:tab/>
      </w:r>
      <w:r w:rsidRPr="00684396">
        <w:t>1.</w:t>
      </w:r>
      <w:r w:rsidRPr="00684396">
        <w:tab/>
      </w:r>
      <w:r w:rsidRPr="00684396">
        <w:rPr>
          <w:i/>
        </w:rPr>
        <w:t xml:space="preserve">Text:  Detailed and expansive grant of power “unlimited by any </w:t>
      </w:r>
      <w:r w:rsidRPr="00684396">
        <w:rPr>
          <w:i/>
        </w:rPr>
        <w:t>provision of this Constitution” to “create” and “enforce” a “complete system of workers’ compensation”</w:t>
      </w:r>
    </w:p>
    <w:p w14:paraId="6256DB94" w14:textId="77777777" w:rsidR="00AB000C" w:rsidRDefault="00570B35" w:rsidP="00AB000C">
      <w:pPr>
        <w:ind w:firstLine="720"/>
        <w:rPr>
          <w:rFonts w:eastAsia="Times New Roman" w:cs="Times New Roman"/>
          <w:color w:val="000000"/>
          <w:shd w:val="clear" w:color="auto" w:fill="FFFFFF"/>
        </w:rPr>
      </w:pPr>
      <w:r>
        <w:t>Applying these principles to article XIV, section 4, two things are immediately apparent.  First, w</w:t>
      </w:r>
      <w:r w:rsidRPr="00203FDC">
        <w:t xml:space="preserve">hat is most striking </w:t>
      </w:r>
      <w:r>
        <w:t xml:space="preserve">textually </w:t>
      </w:r>
      <w:r w:rsidRPr="00203FDC">
        <w:t xml:space="preserve">about article XIV, </w:t>
      </w:r>
      <w:r w:rsidRPr="00203FDC">
        <w:t>section</w:t>
      </w:r>
      <w:r>
        <w:t> </w:t>
      </w:r>
      <w:r w:rsidRPr="00203FDC">
        <w:t>4, is its detail</w:t>
      </w:r>
      <w:r>
        <w:t xml:space="preserve"> and </w:t>
      </w:r>
      <w:r w:rsidRPr="00203FDC">
        <w:t>specificity</w:t>
      </w:r>
      <w:r>
        <w:t>.</w:t>
      </w:r>
      <w:r w:rsidRPr="00203FDC">
        <w:t xml:space="preserve">  </w:t>
      </w:r>
      <w:r>
        <w:t xml:space="preserve">There is a reason for that.  </w:t>
      </w:r>
      <w:r w:rsidRPr="00203FDC">
        <w:t>When “</w:t>
      </w:r>
      <w:r w:rsidRPr="00CE471E">
        <w:rPr>
          <w:rFonts w:eastAsia="Times New Roman" w:cs="Times New Roman"/>
          <w:color w:val="000000"/>
          <w:shd w:val="clear" w:color="auto" w:fill="FFFFFF"/>
        </w:rPr>
        <w:t>California joined a rapidly growing number of states in adopting</w:t>
      </w:r>
      <w:r>
        <w:rPr>
          <w:rFonts w:eastAsia="Times New Roman" w:cs="Times New Roman"/>
          <w:color w:val="000000"/>
          <w:shd w:val="clear" w:color="auto" w:fill="FFFFFF"/>
        </w:rPr>
        <w:t xml:space="preserve"> . . . </w:t>
      </w:r>
      <w:r w:rsidRPr="00CE471E">
        <w:rPr>
          <w:rFonts w:eastAsia="Times New Roman" w:cs="Times New Roman"/>
          <w:color w:val="000000"/>
          <w:shd w:val="clear" w:color="auto" w:fill="FFFFFF"/>
        </w:rPr>
        <w:t>workmen</w:t>
      </w:r>
      <w:r>
        <w:rPr>
          <w:rFonts w:eastAsia="Times New Roman" w:cs="Times New Roman"/>
          <w:color w:val="000000"/>
          <w:shd w:val="clear" w:color="auto" w:fill="FFFFFF"/>
        </w:rPr>
        <w:t>’</w:t>
      </w:r>
      <w:r w:rsidRPr="00CE471E">
        <w:rPr>
          <w:rFonts w:eastAsia="Times New Roman" w:cs="Times New Roman"/>
          <w:color w:val="000000"/>
          <w:shd w:val="clear" w:color="auto" w:fill="FFFFFF"/>
        </w:rPr>
        <w:t>s compensation act</w:t>
      </w:r>
      <w:r w:rsidRPr="00203FDC">
        <w:rPr>
          <w:rFonts w:eastAsia="Times New Roman" w:cs="Times New Roman"/>
          <w:color w:val="000000"/>
          <w:shd w:val="clear" w:color="auto" w:fill="FFFFFF"/>
        </w:rPr>
        <w:t>[s]” in the early twentieth century (</w:t>
      </w:r>
      <w:r w:rsidRPr="00B25F8F">
        <w:rPr>
          <w:rFonts w:eastAsia="Times New Roman" w:cs="Times New Roman"/>
          <w:i/>
          <w:iCs/>
          <w:color w:val="000000"/>
          <w:shd w:val="clear" w:color="auto" w:fill="FFFFFF"/>
        </w:rPr>
        <w:t>Mathews</w:t>
      </w:r>
      <w:r w:rsidRPr="00203FDC">
        <w:rPr>
          <w:rFonts w:eastAsia="Times New Roman" w:cs="Times New Roman"/>
          <w:color w:val="000000"/>
          <w:shd w:val="clear" w:color="auto" w:fill="FFFFFF"/>
        </w:rPr>
        <w:t xml:space="preserve">, </w:t>
      </w:r>
      <w:r w:rsidRPr="00B25F8F">
        <w:rPr>
          <w:rFonts w:eastAsia="Times New Roman" w:cs="Times New Roman"/>
          <w:i/>
          <w:iCs/>
          <w:color w:val="000000"/>
          <w:shd w:val="clear" w:color="auto" w:fill="FFFFFF"/>
        </w:rPr>
        <w:lastRenderedPageBreak/>
        <w:t>supra</w:t>
      </w:r>
      <w:r w:rsidRPr="00203FDC">
        <w:rPr>
          <w:rFonts w:eastAsia="Times New Roman" w:cs="Times New Roman"/>
          <w:color w:val="000000"/>
          <w:shd w:val="clear" w:color="auto" w:fill="FFFFFF"/>
        </w:rPr>
        <w:t xml:space="preserve">, </w:t>
      </w:r>
      <w:r w:rsidRPr="00CE471E">
        <w:rPr>
          <w:rFonts w:eastAsia="Times New Roman" w:cs="Times New Roman"/>
          <w:color w:val="000000"/>
        </w:rPr>
        <w:t>6</w:t>
      </w:r>
      <w:r>
        <w:rPr>
          <w:rFonts w:eastAsia="Times New Roman" w:cs="Times New Roman"/>
          <w:color w:val="000000"/>
        </w:rPr>
        <w:t> </w:t>
      </w:r>
      <w:r w:rsidRPr="00CE471E">
        <w:rPr>
          <w:rFonts w:eastAsia="Times New Roman" w:cs="Times New Roman"/>
          <w:color w:val="000000"/>
        </w:rPr>
        <w:t xml:space="preserve">Cal.3d </w:t>
      </w:r>
      <w:r w:rsidRPr="00203FDC">
        <w:rPr>
          <w:rFonts w:eastAsia="Times New Roman" w:cs="Times New Roman"/>
          <w:color w:val="000000"/>
        </w:rPr>
        <w:t>at p.</w:t>
      </w:r>
      <w:r>
        <w:rPr>
          <w:rFonts w:eastAsia="Times New Roman" w:cs="Times New Roman"/>
          <w:color w:val="000000"/>
        </w:rPr>
        <w:t> </w:t>
      </w:r>
      <w:r w:rsidRPr="00CE471E">
        <w:rPr>
          <w:rFonts w:eastAsia="Times New Roman" w:cs="Times New Roman"/>
          <w:color w:val="000000"/>
        </w:rPr>
        <w:t>729</w:t>
      </w:r>
      <w:r w:rsidRPr="00203FDC">
        <w:rPr>
          <w:rFonts w:eastAsia="Times New Roman" w:cs="Times New Roman"/>
          <w:color w:val="000000"/>
        </w:rPr>
        <w:t>)</w:t>
      </w:r>
      <w:r w:rsidRPr="00203FDC">
        <w:rPr>
          <w:rFonts w:eastAsia="Times New Roman" w:cs="Times New Roman"/>
          <w:color w:val="000000"/>
          <w:shd w:val="clear" w:color="auto" w:fill="FFFFFF"/>
        </w:rPr>
        <w:t>,</w:t>
      </w:r>
      <w:r>
        <w:rPr>
          <w:rStyle w:val="FootnoteReference"/>
          <w:rFonts w:eastAsia="Times New Roman" w:cs="Times New Roman"/>
          <w:color w:val="000000"/>
          <w:shd w:val="clear" w:color="auto" w:fill="FFFFFF"/>
        </w:rPr>
        <w:footnoteReference w:id="36"/>
      </w:r>
      <w:r w:rsidRPr="00203FD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our state </w:t>
      </w:r>
      <w:r w:rsidRPr="00203FDC">
        <w:rPr>
          <w:rFonts w:eastAsia="Times New Roman" w:cs="Times New Roman"/>
          <w:color w:val="000000"/>
          <w:shd w:val="clear" w:color="auto" w:fill="FFFFFF"/>
        </w:rPr>
        <w:t>was one of only</w:t>
      </w:r>
      <w:r>
        <w:rPr>
          <w:rFonts w:eastAsia="Times New Roman" w:cs="Times New Roman"/>
          <w:color w:val="000000"/>
          <w:shd w:val="clear" w:color="auto" w:fill="FFFFFF"/>
        </w:rPr>
        <w:t xml:space="preserve"> a small group</w:t>
      </w:r>
      <w:r w:rsidRPr="00203FDC">
        <w:rPr>
          <w:rFonts w:eastAsia="Times New Roman" w:cs="Times New Roman"/>
          <w:color w:val="000000"/>
          <w:shd w:val="clear" w:color="auto" w:fill="FFFFFF"/>
        </w:rPr>
        <w:t xml:space="preserve"> that specified “definite forms of compensation laws</w:t>
      </w:r>
      <w:r>
        <w:rPr>
          <w:rFonts w:eastAsia="Times New Roman" w:cs="Times New Roman"/>
          <w:color w:val="000000"/>
          <w:shd w:val="clear" w:color="auto" w:fill="FFFFFF"/>
        </w:rPr>
        <w:t xml:space="preserve">” in its Constitution.  </w:t>
      </w:r>
      <w:r w:rsidRPr="006011FD">
        <w:rPr>
          <w:rFonts w:eastAsia="Times New Roman" w:cs="Times New Roman"/>
          <w:color w:val="000000"/>
          <w:shd w:val="clear" w:color="auto" w:fill="FFFFFF"/>
        </w:rPr>
        <w:t>(Schneider, The Law of Workmen’s Compensation (1922) Ch. 2, § 4, p. 10, fn. 5.)</w:t>
      </w:r>
      <w:r>
        <w:rPr>
          <w:rStyle w:val="FootnoteReference"/>
          <w:rFonts w:eastAsia="Times New Roman" w:cs="Times New Roman"/>
          <w:color w:val="000000"/>
          <w:shd w:val="clear" w:color="auto" w:fill="FFFFFF"/>
        </w:rPr>
        <w:footnoteReference w:id="37"/>
      </w:r>
      <w:r w:rsidRPr="00203FD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The Proposition 22 proponents largely ignore the specifici</w:t>
      </w:r>
      <w:r>
        <w:rPr>
          <w:rFonts w:eastAsia="Times New Roman" w:cs="Times New Roman"/>
          <w:color w:val="000000"/>
          <w:shd w:val="clear" w:color="auto" w:fill="FFFFFF"/>
        </w:rPr>
        <w:t>ty of the text, dealing with it dismissively by suggesting that article XIV, section 4, is archaic (which is incorrect, as I have noted above), and is in any event redundant to the police power (which is equally incorrect, as I have also noted above).</w:t>
      </w:r>
    </w:p>
    <w:p w14:paraId="39329B53" w14:textId="77777777" w:rsidR="00AB000C" w:rsidRDefault="00570B35" w:rsidP="00AB000C">
      <w:pPr>
        <w:ind w:firstLine="720"/>
        <w:rPr>
          <w:color w:val="000000"/>
          <w:shd w:val="clear" w:color="auto" w:fill="FFFFFF"/>
        </w:rPr>
      </w:pPr>
      <w:r>
        <w:rPr>
          <w:rFonts w:eastAsia="Times New Roman" w:cs="Times New Roman"/>
          <w:color w:val="000000"/>
          <w:shd w:val="clear" w:color="auto" w:fill="FFFFFF"/>
        </w:rPr>
        <w:t xml:space="preserve">The </w:t>
      </w:r>
      <w:r>
        <w:rPr>
          <w:rFonts w:eastAsia="Times New Roman" w:cs="Times New Roman"/>
          <w:color w:val="000000"/>
          <w:shd w:val="clear" w:color="auto" w:fill="FFFFFF"/>
        </w:rPr>
        <w:t xml:space="preserve">breadth of the constitutional language is also striking.  </w:t>
      </w:r>
      <w:r w:rsidRPr="00203FDC">
        <w:t>Article</w:t>
      </w:r>
      <w:r w:rsidRPr="00E95B1A">
        <w:t xml:space="preserve"> XIV, section</w:t>
      </w:r>
      <w:r>
        <w:t> </w:t>
      </w:r>
      <w:r w:rsidRPr="00E95B1A">
        <w:t xml:space="preserve">4, </w:t>
      </w:r>
      <w:r>
        <w:t>grants “plenary” legislative power “</w:t>
      </w:r>
      <w:r w:rsidRPr="007B5A4B">
        <w:rPr>
          <w:i/>
          <w:iCs/>
        </w:rPr>
        <w:t>unlimited by any provision of this Constitution</w:t>
      </w:r>
      <w:r>
        <w:t xml:space="preserve">.”  </w:t>
      </w:r>
      <w:r>
        <w:rPr>
          <w:color w:val="000000"/>
          <w:shd w:val="clear" w:color="auto" w:fill="FFFFFF"/>
        </w:rPr>
        <w:t>(A</w:t>
      </w:r>
      <w:r w:rsidRPr="003012C2">
        <w:rPr>
          <w:color w:val="000000"/>
          <w:shd w:val="clear" w:color="auto" w:fill="FFFFFF"/>
        </w:rPr>
        <w:t>rt.</w:t>
      </w:r>
      <w:r>
        <w:rPr>
          <w:color w:val="000000"/>
          <w:shd w:val="clear" w:color="auto" w:fill="FFFFFF"/>
        </w:rPr>
        <w:t> </w:t>
      </w:r>
      <w:r w:rsidRPr="003012C2">
        <w:rPr>
          <w:color w:val="000000"/>
          <w:shd w:val="clear" w:color="auto" w:fill="FFFFFF"/>
        </w:rPr>
        <w:t xml:space="preserve">XIV, </w:t>
      </w:r>
      <w:r>
        <w:rPr>
          <w:color w:val="000000"/>
          <w:shd w:val="clear" w:color="auto" w:fill="FFFFFF"/>
        </w:rPr>
        <w:t>§ </w:t>
      </w:r>
      <w:r w:rsidRPr="003012C2">
        <w:rPr>
          <w:color w:val="000000"/>
          <w:shd w:val="clear" w:color="auto" w:fill="FFFFFF"/>
        </w:rPr>
        <w:t>4, italics added</w:t>
      </w:r>
      <w:r>
        <w:rPr>
          <w:color w:val="000000"/>
          <w:shd w:val="clear" w:color="auto" w:fill="FFFFFF"/>
        </w:rPr>
        <w:t>.</w:t>
      </w:r>
      <w:r w:rsidRPr="003012C2">
        <w:rPr>
          <w:color w:val="000000"/>
          <w:shd w:val="clear" w:color="auto" w:fill="FFFFFF"/>
        </w:rPr>
        <w:t>)</w:t>
      </w:r>
      <w:r>
        <w:rPr>
          <w:color w:val="000000"/>
          <w:shd w:val="clear" w:color="auto" w:fill="FFFFFF"/>
        </w:rPr>
        <w:t xml:space="preserve">  </w:t>
      </w:r>
      <w:r w:rsidRPr="009F4F42">
        <w:rPr>
          <w:color w:val="000000"/>
          <w:shd w:val="clear" w:color="auto" w:fill="FFFFFF"/>
        </w:rPr>
        <w:t xml:space="preserve">The </w:t>
      </w:r>
      <w:r>
        <w:rPr>
          <w:color w:val="000000"/>
          <w:shd w:val="clear" w:color="auto" w:fill="FFFFFF"/>
        </w:rPr>
        <w:t xml:space="preserve">Proposition 22 proponents </w:t>
      </w:r>
      <w:r w:rsidRPr="009F4F42">
        <w:rPr>
          <w:color w:val="000000"/>
          <w:shd w:val="clear" w:color="auto" w:fill="FFFFFF"/>
        </w:rPr>
        <w:t>contend a literal reading of this expansive language</w:t>
      </w:r>
      <w:r>
        <w:rPr>
          <w:color w:val="000000"/>
          <w:shd w:val="clear" w:color="auto" w:fill="FFFFFF"/>
        </w:rPr>
        <w:t xml:space="preserve"> </w:t>
      </w:r>
      <w:r w:rsidRPr="009F4F42">
        <w:rPr>
          <w:color w:val="000000"/>
          <w:shd w:val="clear" w:color="auto" w:fill="FFFFFF"/>
        </w:rPr>
        <w:t>would lead to absurd results, for it would free th</w:t>
      </w:r>
      <w:r>
        <w:rPr>
          <w:color w:val="000000"/>
          <w:shd w:val="clear" w:color="auto" w:fill="FFFFFF"/>
        </w:rPr>
        <w:t>e</w:t>
      </w:r>
      <w:r w:rsidRPr="009F4F42">
        <w:rPr>
          <w:color w:val="000000"/>
          <w:shd w:val="clear" w:color="auto" w:fill="FFFFFF"/>
        </w:rPr>
        <w:t xml:space="preserve"> Legislature from constitutional </w:t>
      </w:r>
      <w:r w:rsidRPr="005E3B35">
        <w:rPr>
          <w:color w:val="000000"/>
          <w:shd w:val="clear" w:color="auto" w:fill="FFFFFF"/>
        </w:rPr>
        <w:t>constraints such as the gubernatorial veto.</w:t>
      </w:r>
      <w:r w:rsidRPr="009F4F42">
        <w:rPr>
          <w:color w:val="000000"/>
          <w:shd w:val="clear" w:color="auto" w:fill="FFFFFF"/>
        </w:rPr>
        <w:t xml:space="preserve">  </w:t>
      </w:r>
      <w:r>
        <w:rPr>
          <w:color w:val="000000"/>
          <w:shd w:val="clear" w:color="auto" w:fill="FFFFFF"/>
        </w:rPr>
        <w:t>But that</w:t>
      </w:r>
      <w:r w:rsidRPr="009F4F42">
        <w:rPr>
          <w:color w:val="000000"/>
          <w:shd w:val="clear" w:color="auto" w:fill="FFFFFF"/>
        </w:rPr>
        <w:t xml:space="preserve"> is a strawman </w:t>
      </w:r>
      <w:r w:rsidRPr="009F4F42">
        <w:rPr>
          <w:color w:val="000000"/>
          <w:shd w:val="clear" w:color="auto" w:fill="FFFFFF"/>
        </w:rPr>
        <w:lastRenderedPageBreak/>
        <w:t xml:space="preserve">argument.  </w:t>
      </w:r>
      <w:r>
        <w:rPr>
          <w:color w:val="000000"/>
          <w:shd w:val="clear" w:color="auto" w:fill="FFFFFF"/>
        </w:rPr>
        <w:t>T</w:t>
      </w:r>
      <w:r w:rsidRPr="000A260F">
        <w:rPr>
          <w:rFonts w:eastAsia="Times New Roman" w:cs="Times New Roman"/>
          <w:color w:val="000000"/>
        </w:rPr>
        <w:t>he breadth of</w:t>
      </w:r>
      <w:r w:rsidRPr="000A260F">
        <w:rPr>
          <w:rFonts w:eastAsia="Times New Roman" w:cs="Times New Roman"/>
          <w:color w:val="000000"/>
        </w:rPr>
        <w:t xml:space="preserve"> the </w:t>
      </w:r>
      <w:r>
        <w:rPr>
          <w:rFonts w:eastAsia="Times New Roman" w:cs="Times New Roman"/>
          <w:color w:val="000000"/>
        </w:rPr>
        <w:t xml:space="preserve">grant </w:t>
      </w:r>
      <w:r w:rsidRPr="009F4F42">
        <w:rPr>
          <w:color w:val="000000"/>
          <w:shd w:val="clear" w:color="auto" w:fill="FFFFFF"/>
        </w:rPr>
        <w:t>is easily explained by the variety of constitutional objections that had been raised prior to 1918.  Due</w:t>
      </w:r>
      <w:r>
        <w:rPr>
          <w:color w:val="000000"/>
          <w:shd w:val="clear" w:color="auto" w:fill="FFFFFF"/>
        </w:rPr>
        <w:t> </w:t>
      </w:r>
      <w:r w:rsidRPr="009F4F42">
        <w:rPr>
          <w:color w:val="000000"/>
          <w:shd w:val="clear" w:color="auto" w:fill="FFFFFF"/>
        </w:rPr>
        <w:t xml:space="preserve">process objections were a concern, but </w:t>
      </w:r>
      <w:r>
        <w:rPr>
          <w:color w:val="000000"/>
          <w:shd w:val="clear" w:color="auto" w:fill="FFFFFF"/>
        </w:rPr>
        <w:t xml:space="preserve">not </w:t>
      </w:r>
      <w:r w:rsidRPr="009F4F42">
        <w:rPr>
          <w:color w:val="000000"/>
          <w:shd w:val="clear" w:color="auto" w:fill="FFFFFF"/>
        </w:rPr>
        <w:t>the only ones.</w:t>
      </w:r>
    </w:p>
    <w:p w14:paraId="657DA1D5" w14:textId="77777777" w:rsidR="00AB000C" w:rsidRPr="009F4F42" w:rsidRDefault="00570B35" w:rsidP="00AB000C">
      <w:pPr>
        <w:ind w:firstLine="720"/>
        <w:rPr>
          <w:color w:val="000000"/>
          <w:shd w:val="clear" w:color="auto" w:fill="FFFFFF"/>
        </w:rPr>
      </w:pPr>
      <w:r>
        <w:rPr>
          <w:color w:val="000000"/>
          <w:shd w:val="clear" w:color="auto" w:fill="FFFFFF"/>
        </w:rPr>
        <w:t>Nor is there any need to read this language as giving the Legislature wholly unche</w:t>
      </w:r>
      <w:r>
        <w:rPr>
          <w:color w:val="000000"/>
          <w:shd w:val="clear" w:color="auto" w:fill="FFFFFF"/>
        </w:rPr>
        <w:t xml:space="preserve">cked power, which was the contention Justice Henshaw made in </w:t>
      </w:r>
      <w:r w:rsidRPr="00D86966">
        <w:rPr>
          <w:i/>
          <w:iCs/>
          <w:color w:val="000000"/>
          <w:shd w:val="clear" w:color="auto" w:fill="FFFFFF"/>
        </w:rPr>
        <w:t>Western Indemnity</w:t>
      </w:r>
      <w:r>
        <w:rPr>
          <w:i/>
          <w:iCs/>
          <w:color w:val="000000"/>
          <w:shd w:val="clear" w:color="auto" w:fill="FFFFFF"/>
        </w:rPr>
        <w:t> </w:t>
      </w:r>
      <w:r w:rsidRPr="00D86966">
        <w:rPr>
          <w:i/>
          <w:iCs/>
          <w:color w:val="000000"/>
          <w:shd w:val="clear" w:color="auto" w:fill="FFFFFF"/>
        </w:rPr>
        <w:t>I</w:t>
      </w:r>
      <w:r>
        <w:rPr>
          <w:color w:val="000000"/>
          <w:shd w:val="clear" w:color="auto" w:fill="FFFFFF"/>
        </w:rPr>
        <w:t xml:space="preserve">, as echoed by the Proposition 22 </w:t>
      </w:r>
      <w:r w:rsidRPr="1DCF448D">
        <w:rPr>
          <w:color w:val="000000" w:themeColor="text1"/>
        </w:rPr>
        <w:t xml:space="preserve">proponents </w:t>
      </w:r>
      <w:r>
        <w:rPr>
          <w:color w:val="000000" w:themeColor="text1"/>
        </w:rPr>
        <w:t xml:space="preserve">here </w:t>
      </w:r>
      <w:r>
        <w:rPr>
          <w:color w:val="000000"/>
          <w:shd w:val="clear" w:color="auto" w:fill="FFFFFF"/>
        </w:rPr>
        <w:t>with their “absurd results” argument.  Respondents readily concede t</w:t>
      </w:r>
      <w:r w:rsidRPr="009F4F42">
        <w:rPr>
          <w:color w:val="000000"/>
          <w:shd w:val="clear" w:color="auto" w:fill="FFFFFF"/>
        </w:rPr>
        <w:t>he Legislature must pass “appropriate legislation” under a</w:t>
      </w:r>
      <w:r w:rsidRPr="009F4F42">
        <w:rPr>
          <w:color w:val="000000"/>
          <w:shd w:val="clear" w:color="auto" w:fill="FFFFFF"/>
        </w:rPr>
        <w:t>rticle XIV, section</w:t>
      </w:r>
      <w:r>
        <w:rPr>
          <w:color w:val="000000"/>
          <w:shd w:val="clear" w:color="auto" w:fill="FFFFFF"/>
        </w:rPr>
        <w:t> </w:t>
      </w:r>
      <w:r w:rsidRPr="009F4F42">
        <w:rPr>
          <w:color w:val="000000"/>
          <w:shd w:val="clear" w:color="auto" w:fill="FFFFFF"/>
        </w:rPr>
        <w:t>4, before its views are binding on anyone</w:t>
      </w:r>
      <w:r>
        <w:rPr>
          <w:color w:val="000000"/>
          <w:shd w:val="clear" w:color="auto" w:fill="FFFFFF"/>
        </w:rPr>
        <w:t>.  N</w:t>
      </w:r>
      <w:r w:rsidRPr="009F4F42">
        <w:rPr>
          <w:color w:val="000000"/>
          <w:shd w:val="clear" w:color="auto" w:fill="FFFFFF"/>
        </w:rPr>
        <w:t>aturally</w:t>
      </w:r>
      <w:r>
        <w:rPr>
          <w:color w:val="000000"/>
          <w:shd w:val="clear" w:color="auto" w:fill="FFFFFF"/>
        </w:rPr>
        <w:t xml:space="preserve">, that </w:t>
      </w:r>
      <w:r w:rsidRPr="009F4F42">
        <w:rPr>
          <w:color w:val="000000"/>
          <w:shd w:val="clear" w:color="auto" w:fill="FFFFFF"/>
        </w:rPr>
        <w:t>requires adherence to all requisite procedures under article I</w:t>
      </w:r>
      <w:r>
        <w:rPr>
          <w:color w:val="000000"/>
          <w:shd w:val="clear" w:color="auto" w:fill="FFFFFF"/>
        </w:rPr>
        <w:t>I</w:t>
      </w:r>
      <w:r w:rsidRPr="009F4F42">
        <w:rPr>
          <w:color w:val="000000"/>
          <w:shd w:val="clear" w:color="auto" w:fill="FFFFFF"/>
        </w:rPr>
        <w:t>, section</w:t>
      </w:r>
      <w:r>
        <w:rPr>
          <w:color w:val="000000"/>
          <w:shd w:val="clear" w:color="auto" w:fill="FFFFFF"/>
        </w:rPr>
        <w:t> </w:t>
      </w:r>
      <w:r w:rsidRPr="009F4F42">
        <w:rPr>
          <w:color w:val="000000"/>
          <w:shd w:val="clear" w:color="auto" w:fill="FFFFFF"/>
        </w:rPr>
        <w:t>8</w:t>
      </w:r>
      <w:r>
        <w:rPr>
          <w:color w:val="000000"/>
          <w:shd w:val="clear" w:color="auto" w:fill="FFFFFF"/>
        </w:rPr>
        <w:t xml:space="preserve">, subject to gubernatorial veto.  Without following those procedures, no bill the Legislature passes is binding on anyone.  It is not law at </w:t>
      </w:r>
      <w:proofErr w:type="gramStart"/>
      <w:r>
        <w:rPr>
          <w:color w:val="000000"/>
          <w:shd w:val="clear" w:color="auto" w:fill="FFFFFF"/>
        </w:rPr>
        <w:t>all, and</w:t>
      </w:r>
      <w:proofErr w:type="gramEnd"/>
      <w:r>
        <w:rPr>
          <w:color w:val="000000"/>
          <w:shd w:val="clear" w:color="auto" w:fill="FFFFFF"/>
        </w:rPr>
        <w:t xml:space="preserve"> is certainly not “appropriate legislation.” </w:t>
      </w:r>
      <w:r w:rsidRPr="009F4F42">
        <w:rPr>
          <w:color w:val="000000"/>
          <w:shd w:val="clear" w:color="auto" w:fill="FFFFFF"/>
        </w:rPr>
        <w:t xml:space="preserve"> </w:t>
      </w:r>
      <w:r>
        <w:rPr>
          <w:color w:val="000000"/>
          <w:shd w:val="clear" w:color="auto" w:fill="FFFFFF"/>
        </w:rPr>
        <w:t>Similarly, a statute that exceeds the Legislature’s authority</w:t>
      </w:r>
      <w:r>
        <w:rPr>
          <w:color w:val="000000"/>
          <w:shd w:val="clear" w:color="auto" w:fill="FFFFFF"/>
        </w:rPr>
        <w:t xml:space="preserve"> under article XIV, section 4, would not be “appropriate legislation.”</w:t>
      </w:r>
      <w:r>
        <w:rPr>
          <w:rStyle w:val="FootnoteReference"/>
          <w:color w:val="000000"/>
          <w:shd w:val="clear" w:color="auto" w:fill="FFFFFF"/>
        </w:rPr>
        <w:footnoteReference w:id="38"/>
      </w:r>
    </w:p>
    <w:p w14:paraId="1FB64AB0" w14:textId="77777777" w:rsidR="00AB000C" w:rsidRDefault="00570B35" w:rsidP="00AB000C">
      <w:pPr>
        <w:ind w:firstLine="720"/>
        <w:rPr>
          <w:color w:val="000000"/>
          <w:shd w:val="clear" w:color="auto" w:fill="FFFFFF"/>
        </w:rPr>
      </w:pPr>
      <w:r>
        <w:rPr>
          <w:color w:val="000000"/>
          <w:shd w:val="clear" w:color="auto" w:fill="FFFFFF"/>
        </w:rPr>
        <w:t>Second, functionally, t</w:t>
      </w:r>
      <w:r>
        <w:t>he constitutional text charges the Legislature with the responsibility not only to “</w:t>
      </w:r>
      <w:r w:rsidRPr="00D3779B">
        <w:rPr>
          <w:i/>
          <w:iCs/>
        </w:rPr>
        <w:t>create</w:t>
      </w:r>
      <w:r>
        <w:t>” a “complete system of workers’ compensation”—in effect, codifying in</w:t>
      </w:r>
      <w:r>
        <w:t xml:space="preserve"> the Constitution itself the statutory system then in existence—</w:t>
      </w:r>
      <w:r>
        <w:lastRenderedPageBreak/>
        <w:t>but also to “</w:t>
      </w:r>
      <w:r w:rsidRPr="00D3779B">
        <w:rPr>
          <w:i/>
          <w:iCs/>
        </w:rPr>
        <w:t>enforce</w:t>
      </w:r>
      <w:r>
        <w:t>” that system “by appropriate legislation” in the years ahead</w:t>
      </w:r>
      <w:r>
        <w:rPr>
          <w:color w:val="000000"/>
          <w:shd w:val="clear" w:color="auto" w:fill="FFFFFF"/>
        </w:rPr>
        <w:t>, while making clear that the pre</w:t>
      </w:r>
      <w:r>
        <w:rPr>
          <w:color w:val="000000"/>
          <w:shd w:val="clear" w:color="auto" w:fill="FFFFFF"/>
        </w:rPr>
        <w:noBreakHyphen/>
        <w:t>1918 “</w:t>
      </w:r>
      <w:r w:rsidRPr="007444E0">
        <w:rPr>
          <w:color w:val="000000"/>
          <w:shd w:val="clear" w:color="auto" w:fill="FFFFFF"/>
        </w:rPr>
        <w:t>social public policy</w:t>
      </w:r>
      <w:r>
        <w:rPr>
          <w:color w:val="000000"/>
          <w:shd w:val="clear" w:color="auto" w:fill="FFFFFF"/>
        </w:rPr>
        <w:t>” reflected in the Legislature’s “complete system o</w:t>
      </w:r>
      <w:r>
        <w:rPr>
          <w:color w:val="000000"/>
          <w:shd w:val="clear" w:color="auto" w:fill="FFFFFF"/>
        </w:rPr>
        <w:t>f workers’ compensation” has constitutionally binding effect on “</w:t>
      </w:r>
      <w:r w:rsidRPr="00CE7A6A">
        <w:rPr>
          <w:color w:val="000000"/>
          <w:shd w:val="clear" w:color="auto" w:fill="FFFFFF"/>
        </w:rPr>
        <w:t>all</w:t>
      </w:r>
      <w:r>
        <w:rPr>
          <w:color w:val="000000"/>
          <w:shd w:val="clear" w:color="auto" w:fill="FFFFFF"/>
        </w:rPr>
        <w:t> </w:t>
      </w:r>
      <w:r w:rsidRPr="00CE7A6A">
        <w:rPr>
          <w:color w:val="000000"/>
          <w:shd w:val="clear" w:color="auto" w:fill="FFFFFF"/>
        </w:rPr>
        <w:t>departments of State government.”</w:t>
      </w:r>
      <w:r>
        <w:rPr>
          <w:color w:val="000000"/>
          <w:shd w:val="clear" w:color="auto" w:fill="FFFFFF"/>
        </w:rPr>
        <w:t xml:space="preserve">  (</w:t>
      </w:r>
      <w:r w:rsidRPr="007444E0">
        <w:rPr>
          <w:color w:val="000000"/>
          <w:shd w:val="clear" w:color="auto" w:fill="FFFFFF"/>
        </w:rPr>
        <w:t>Art. XIV, § 4,</w:t>
      </w:r>
      <w:r>
        <w:rPr>
          <w:color w:val="000000"/>
          <w:shd w:val="clear" w:color="auto" w:fill="FFFFFF"/>
        </w:rPr>
        <w:t xml:space="preserve"> </w:t>
      </w:r>
      <w:r w:rsidRPr="003012C2">
        <w:rPr>
          <w:color w:val="000000"/>
          <w:shd w:val="clear" w:color="auto" w:fill="FFFFFF"/>
        </w:rPr>
        <w:t>italics added</w:t>
      </w:r>
      <w:r>
        <w:rPr>
          <w:color w:val="000000"/>
          <w:shd w:val="clear" w:color="auto" w:fill="FFFFFF"/>
        </w:rPr>
        <w:t>.</w:t>
      </w:r>
      <w:r w:rsidRPr="003012C2">
        <w:rPr>
          <w:color w:val="000000"/>
          <w:shd w:val="clear" w:color="auto" w:fill="FFFFFF"/>
        </w:rPr>
        <w:t>)</w:t>
      </w:r>
      <w:r>
        <w:rPr>
          <w:color w:val="000000"/>
          <w:shd w:val="clear" w:color="auto" w:fill="FFFFFF"/>
        </w:rPr>
        <w:t xml:space="preserve">  There is nothing time-limited about any of this.  Article XIV, section 4, gave the Legislature a constitutionally desig</w:t>
      </w:r>
      <w:r>
        <w:rPr>
          <w:color w:val="000000"/>
          <w:shd w:val="clear" w:color="auto" w:fill="FFFFFF"/>
        </w:rPr>
        <w:t>nated role in 1918, and that role continues today.  Nowhere is there any hint or suggestion that voter electors may commandeer it by ballot statute.</w:t>
      </w:r>
    </w:p>
    <w:p w14:paraId="2F5C0167" w14:textId="77777777" w:rsidR="00AB000C" w:rsidRDefault="00570B35" w:rsidP="00AB000C">
      <w:pPr>
        <w:ind w:firstLine="720"/>
        <w:rPr>
          <w:color w:val="000000"/>
          <w:shd w:val="clear" w:color="auto" w:fill="FFFFFF"/>
        </w:rPr>
      </w:pPr>
      <w:r>
        <w:rPr>
          <w:color w:val="000000"/>
          <w:shd w:val="clear" w:color="auto" w:fill="FFFFFF"/>
        </w:rPr>
        <w:t>Here again, the Proposition 22 proponents respond with overstatement.  In their view, any suggestion the Le</w:t>
      </w:r>
      <w:r>
        <w:rPr>
          <w:color w:val="000000"/>
          <w:shd w:val="clear" w:color="auto" w:fill="FFFFFF"/>
        </w:rPr>
        <w:t xml:space="preserve">gislature has a singular role to play under article XIV, section 4, must mean an exclusive role—preemptive of action by any other governmental actors.  As framed in </w:t>
      </w:r>
      <w:r w:rsidRPr="001111F4">
        <w:rPr>
          <w:i/>
          <w:iCs/>
          <w:color w:val="000000"/>
          <w:shd w:val="clear" w:color="auto" w:fill="FFFFFF"/>
        </w:rPr>
        <w:t>McPherson</w:t>
      </w:r>
      <w:r>
        <w:rPr>
          <w:color w:val="000000"/>
          <w:shd w:val="clear" w:color="auto" w:fill="FFFFFF"/>
        </w:rPr>
        <w:t>, that was indeed the issue addressed, there in the context of article XII, sectio</w:t>
      </w:r>
      <w:r>
        <w:rPr>
          <w:color w:val="000000"/>
          <w:shd w:val="clear" w:color="auto" w:fill="FFFFFF"/>
        </w:rPr>
        <w:t>n 5.  But not here.  Respondents make no attempt to read article XIV, section 4, so broadly that it would nullify the power to adopt initiative statutes or place the Legislature’s judgments beyond judicial review.  Nor do I.  What we are called upon to dec</w:t>
      </w:r>
      <w:r>
        <w:rPr>
          <w:color w:val="000000"/>
          <w:shd w:val="clear" w:color="auto" w:fill="FFFFFF"/>
        </w:rPr>
        <w:t xml:space="preserve">ide is whether, absent a constitutional amendment, the text of article XIV, section 4, requires “all departments of State government” to give </w:t>
      </w:r>
      <w:r w:rsidRPr="00480E5A">
        <w:rPr>
          <w:i/>
          <w:iCs/>
          <w:color w:val="000000"/>
          <w:shd w:val="clear" w:color="auto" w:fill="FFFFFF"/>
        </w:rPr>
        <w:t xml:space="preserve">deference </w:t>
      </w:r>
      <w:r>
        <w:rPr>
          <w:color w:val="000000"/>
          <w:shd w:val="clear" w:color="auto" w:fill="FFFFFF"/>
        </w:rPr>
        <w:t xml:space="preserve">to the Legislature’s specifically delegated power to “create” and “enforce” a “complete </w:t>
      </w:r>
      <w:r w:rsidRPr="005E78BE">
        <w:rPr>
          <w:color w:val="000000"/>
          <w:shd w:val="clear" w:color="auto" w:fill="FFFFFF"/>
        </w:rPr>
        <w:t xml:space="preserve">system of </w:t>
      </w:r>
      <w:r>
        <w:rPr>
          <w:color w:val="000000"/>
          <w:shd w:val="clear" w:color="auto" w:fill="FFFFFF"/>
        </w:rPr>
        <w:t>worker</w:t>
      </w:r>
      <w:r>
        <w:rPr>
          <w:color w:val="000000"/>
          <w:shd w:val="clear" w:color="auto" w:fill="FFFFFF"/>
        </w:rPr>
        <w:t>s’ compensation</w:t>
      </w:r>
      <w:r w:rsidRPr="005E78BE">
        <w:rPr>
          <w:color w:val="000000"/>
          <w:shd w:val="clear" w:color="auto" w:fill="FFFFFF"/>
        </w:rPr>
        <w:t>.”</w:t>
      </w:r>
      <w:r>
        <w:rPr>
          <w:color w:val="000000"/>
          <w:shd w:val="clear" w:color="auto" w:fill="FFFFFF"/>
        </w:rPr>
        <w:t xml:space="preserve">  </w:t>
      </w:r>
      <w:proofErr w:type="gramStart"/>
      <w:r>
        <w:rPr>
          <w:color w:val="000000"/>
          <w:shd w:val="clear" w:color="auto" w:fill="FFFFFF"/>
        </w:rPr>
        <w:t>This is why</w:t>
      </w:r>
      <w:proofErr w:type="gramEnd"/>
      <w:r>
        <w:rPr>
          <w:color w:val="000000"/>
          <w:shd w:val="clear" w:color="auto" w:fill="FFFFFF"/>
        </w:rPr>
        <w:t xml:space="preserve"> I believe it is crucial to appreciate that we are dealing with two concurrent powers here, and that the clash between them on this record must be resolved by </w:t>
      </w:r>
      <w:r>
        <w:rPr>
          <w:color w:val="000000"/>
          <w:shd w:val="clear" w:color="auto" w:fill="FFFFFF"/>
        </w:rPr>
        <w:lastRenderedPageBreak/>
        <w:t>examining whether we can discern in the text of article XIV, section 4, any preferen</w:t>
      </w:r>
      <w:r>
        <w:rPr>
          <w:color w:val="000000"/>
          <w:shd w:val="clear" w:color="auto" w:fill="FFFFFF"/>
        </w:rPr>
        <w:t>ce for either of these two forms of statutory lawmaking when they are in conflict.</w:t>
      </w:r>
    </w:p>
    <w:p w14:paraId="77AEA07C" w14:textId="77777777" w:rsidR="00AB000C" w:rsidRPr="008C57DF" w:rsidRDefault="00570B35" w:rsidP="00AB000C">
      <w:pPr>
        <w:ind w:firstLine="720"/>
        <w:rPr>
          <w:color w:val="000000"/>
          <w:shd w:val="clear" w:color="auto" w:fill="FFFFFF"/>
        </w:rPr>
      </w:pPr>
      <w:r>
        <w:rPr>
          <w:color w:val="000000"/>
          <w:shd w:val="clear" w:color="auto" w:fill="FFFFFF"/>
        </w:rPr>
        <w:t xml:space="preserve">I think the answer is yes, we can discern such a preference, and it is for lawmaking by the Legislature.  The grant of lawmaking power in article XIV, section 4, </w:t>
      </w:r>
      <w:r w:rsidRPr="000E14F4">
        <w:rPr>
          <w:color w:val="000000"/>
          <w:shd w:val="clear" w:color="auto" w:fill="FFFFFF"/>
        </w:rPr>
        <w:t>is not self</w:t>
      </w:r>
      <w:r w:rsidRPr="000E14F4">
        <w:rPr>
          <w:color w:val="000000"/>
          <w:shd w:val="clear" w:color="auto" w:fill="FFFFFF"/>
        </w:rPr>
        <w:t>-executing.</w:t>
      </w:r>
      <w:r>
        <w:rPr>
          <w:color w:val="000000"/>
          <w:shd w:val="clear" w:color="auto" w:fill="FFFFFF"/>
        </w:rPr>
        <w:t xml:space="preserve">  While voter electors passing an initiative statute have no duty to do anything—their lawmaking power is purely discretionary—article XIV, section 4, charges the Legislature with an ongoing responsibility to carry out and abide by the terms of </w:t>
      </w:r>
      <w:r>
        <w:rPr>
          <w:color w:val="000000"/>
          <w:shd w:val="clear" w:color="auto" w:fill="FFFFFF"/>
        </w:rPr>
        <w:t xml:space="preserve">a constitutional mandate.  </w:t>
      </w:r>
      <w:r w:rsidRPr="000E14F4">
        <w:rPr>
          <w:color w:val="000000"/>
          <w:shd w:val="clear" w:color="auto" w:fill="FFFFFF"/>
        </w:rPr>
        <w:t>“[A]</w:t>
      </w:r>
      <w:proofErr w:type="spellStart"/>
      <w:r w:rsidRPr="003A496D">
        <w:rPr>
          <w:rFonts w:eastAsia="Times New Roman" w:cs="Arial"/>
          <w:color w:val="000000"/>
          <w:shd w:val="clear" w:color="auto" w:fill="FFFFFF"/>
        </w:rPr>
        <w:t>rticle</w:t>
      </w:r>
      <w:proofErr w:type="spellEnd"/>
      <w:r w:rsidRPr="003A496D">
        <w:rPr>
          <w:rFonts w:eastAsia="Times New Roman" w:cs="Arial"/>
          <w:color w:val="000000"/>
          <w:shd w:val="clear" w:color="auto" w:fill="FFFFFF"/>
        </w:rPr>
        <w:t xml:space="preserve"> XIV, section</w:t>
      </w:r>
      <w:r>
        <w:rPr>
          <w:rFonts w:eastAsia="Times New Roman" w:cs="Arial"/>
          <w:color w:val="000000"/>
          <w:shd w:val="clear" w:color="auto" w:fill="FFFFFF"/>
        </w:rPr>
        <w:t> </w:t>
      </w:r>
      <w:r w:rsidRPr="003A496D">
        <w:rPr>
          <w:rFonts w:eastAsia="Times New Roman" w:cs="Arial"/>
          <w:color w:val="000000"/>
          <w:shd w:val="clear" w:color="auto" w:fill="FFFFFF"/>
        </w:rPr>
        <w:t>4</w:t>
      </w:r>
      <w:r>
        <w:rPr>
          <w:rFonts w:eastAsia="Times New Roman" w:cs="Arial"/>
          <w:color w:val="000000"/>
          <w:shd w:val="clear" w:color="auto" w:fill="FFFFFF"/>
        </w:rPr>
        <w:t xml:space="preserve"> . . . </w:t>
      </w:r>
      <w:proofErr w:type="spellStart"/>
      <w:r w:rsidRPr="003A496D">
        <w:rPr>
          <w:rFonts w:eastAsia="Times New Roman" w:cs="Arial"/>
          <w:color w:val="000000"/>
          <w:shd w:val="clear" w:color="auto" w:fill="FFFFFF"/>
        </w:rPr>
        <w:t>defin</w:t>
      </w:r>
      <w:proofErr w:type="spellEnd"/>
      <w:r w:rsidRPr="003A496D">
        <w:rPr>
          <w:rFonts w:eastAsia="Times New Roman" w:cs="Arial"/>
          <w:color w:val="000000"/>
          <w:shd w:val="clear" w:color="auto" w:fill="FFFFFF"/>
        </w:rPr>
        <w:t>[es]</w:t>
      </w:r>
      <w:r>
        <w:rPr>
          <w:rFonts w:eastAsia="Times New Roman" w:cs="Arial"/>
          <w:color w:val="000000"/>
          <w:shd w:val="clear" w:color="auto" w:fill="FFFFFF"/>
        </w:rPr>
        <w:t xml:space="preserve"> </w:t>
      </w:r>
      <w:r w:rsidRPr="003A496D">
        <w:rPr>
          <w:rFonts w:eastAsia="Times New Roman" w:cs="Arial"/>
          <w:color w:val="000000"/>
          <w:shd w:val="clear" w:color="auto" w:fill="FFFFFF"/>
        </w:rPr>
        <w:t>the necessary provisions for a complete workers</w:t>
      </w:r>
      <w:r>
        <w:rPr>
          <w:rFonts w:eastAsia="Times New Roman" w:cs="Arial"/>
          <w:color w:val="000000"/>
          <w:shd w:val="clear" w:color="auto" w:fill="FFFFFF"/>
        </w:rPr>
        <w:t>’</w:t>
      </w:r>
      <w:r w:rsidRPr="003A496D">
        <w:rPr>
          <w:rFonts w:eastAsia="Times New Roman" w:cs="Arial"/>
          <w:color w:val="000000"/>
          <w:shd w:val="clear" w:color="auto" w:fill="FFFFFF"/>
        </w:rPr>
        <w:t xml:space="preserve"> compensation system, and le[ft] it up to the Legislature to enact laws to give effect to each provision.” </w:t>
      </w:r>
      <w:r>
        <w:rPr>
          <w:rFonts w:eastAsia="Times New Roman" w:cs="Arial"/>
          <w:color w:val="000000"/>
          <w:shd w:val="clear" w:color="auto" w:fill="FFFFFF"/>
        </w:rPr>
        <w:t xml:space="preserve"> </w:t>
      </w:r>
      <w:r w:rsidRPr="00D02B4F">
        <w:rPr>
          <w:rFonts w:eastAsia="Times New Roman" w:cs="Arial"/>
          <w:color w:val="000000"/>
          <w:shd w:val="clear" w:color="auto" w:fill="FFFFFF"/>
        </w:rPr>
        <w:t>(</w:t>
      </w:r>
      <w:r w:rsidRPr="00D02B4F">
        <w:rPr>
          <w:rFonts w:eastAsia="Times New Roman" w:cs="Arial"/>
          <w:i/>
          <w:color w:val="000000"/>
          <w:bdr w:val="none" w:sz="0" w:space="0" w:color="auto" w:frame="1"/>
        </w:rPr>
        <w:t>Bautista v. State of Californi</w:t>
      </w:r>
      <w:r w:rsidRPr="00D02B4F">
        <w:rPr>
          <w:rFonts w:eastAsia="Times New Roman" w:cs="Arial"/>
          <w:i/>
          <w:color w:val="000000"/>
          <w:bdr w:val="none" w:sz="0" w:space="0" w:color="auto" w:frame="1"/>
        </w:rPr>
        <w:t>a</w:t>
      </w:r>
      <w:r>
        <w:rPr>
          <w:rFonts w:eastAsia="Times New Roman" w:cs="Arial"/>
          <w:color w:val="000000"/>
        </w:rPr>
        <w:t xml:space="preserve"> </w:t>
      </w:r>
      <w:r w:rsidRPr="00D02B4F">
        <w:rPr>
          <w:rFonts w:eastAsia="Times New Roman" w:cs="Arial"/>
          <w:color w:val="000000"/>
        </w:rPr>
        <w:t>(2011) 201</w:t>
      </w:r>
      <w:r>
        <w:rPr>
          <w:rFonts w:eastAsia="Times New Roman" w:cs="Arial"/>
          <w:color w:val="000000"/>
        </w:rPr>
        <w:t> </w:t>
      </w:r>
      <w:r w:rsidRPr="00D02B4F">
        <w:rPr>
          <w:rFonts w:eastAsia="Times New Roman" w:cs="Arial"/>
          <w:color w:val="000000"/>
        </w:rPr>
        <w:t>Cal.App.4</w:t>
      </w:r>
      <w:r>
        <w:rPr>
          <w:rFonts w:eastAsia="Times New Roman" w:cs="Arial"/>
          <w:color w:val="000000"/>
        </w:rPr>
        <w:t>th</w:t>
      </w:r>
      <w:r w:rsidRPr="00D02B4F">
        <w:rPr>
          <w:rFonts w:eastAsia="Times New Roman" w:cs="Arial"/>
          <w:color w:val="000000"/>
        </w:rPr>
        <w:t xml:space="preserve"> 716, 729</w:t>
      </w:r>
      <w:r>
        <w:rPr>
          <w:rFonts w:eastAsia="Times New Roman" w:cs="Arial"/>
          <w:color w:val="000000"/>
        </w:rPr>
        <w:t xml:space="preserve">; see </w:t>
      </w:r>
      <w:r w:rsidRPr="003A496D">
        <w:rPr>
          <w:rFonts w:eastAsia="Times New Roman" w:cs="Arial"/>
          <w:i/>
          <w:iCs/>
          <w:color w:val="000000"/>
        </w:rPr>
        <w:t>ibid</w:t>
      </w:r>
      <w:r>
        <w:rPr>
          <w:rFonts w:eastAsia="Times New Roman" w:cs="Arial"/>
          <w:color w:val="000000"/>
        </w:rPr>
        <w:t xml:space="preserve">. </w:t>
      </w:r>
      <w:r w:rsidRPr="00D02B4F">
        <w:rPr>
          <w:rFonts w:eastAsia="Times New Roman" w:cs="Arial"/>
          <w:color w:val="000000"/>
        </w:rPr>
        <w:t>[“</w:t>
      </w:r>
      <w:r w:rsidRPr="003A496D">
        <w:rPr>
          <w:color w:val="000000"/>
          <w:shd w:val="clear" w:color="auto" w:fill="FFFFFF"/>
        </w:rPr>
        <w:t>only the Legislature has constitutional authority to create and enact the workers</w:t>
      </w:r>
      <w:r>
        <w:rPr>
          <w:color w:val="000000"/>
          <w:shd w:val="clear" w:color="auto" w:fill="FFFFFF"/>
        </w:rPr>
        <w:t>’</w:t>
      </w:r>
      <w:r w:rsidRPr="003A496D">
        <w:rPr>
          <w:color w:val="000000"/>
          <w:shd w:val="clear" w:color="auto" w:fill="FFFFFF"/>
        </w:rPr>
        <w:t xml:space="preserve"> compensation system”</w:t>
      </w:r>
      <w:r w:rsidRPr="00D02B4F">
        <w:rPr>
          <w:rFonts w:eastAsia="Times New Roman" w:cs="Arial"/>
          <w:color w:val="000000"/>
        </w:rPr>
        <w:t>].)</w:t>
      </w:r>
      <w:r w:rsidRPr="00D02B4F">
        <w:rPr>
          <w:color w:val="000000"/>
          <w:shd w:val="clear" w:color="auto" w:fill="FFFFFF"/>
        </w:rPr>
        <w:t xml:space="preserve">  </w:t>
      </w:r>
      <w:r w:rsidRPr="00D02B4F">
        <w:rPr>
          <w:rFonts w:eastAsia="Times New Roman" w:cs="Arial"/>
          <w:color w:val="000000"/>
        </w:rPr>
        <w:t xml:space="preserve">This </w:t>
      </w:r>
      <w:r>
        <w:rPr>
          <w:rFonts w:eastAsia="Times New Roman" w:cs="Arial"/>
          <w:color w:val="000000"/>
        </w:rPr>
        <w:t>special role is not discretionary</w:t>
      </w:r>
      <w:r w:rsidRPr="00D02B4F">
        <w:rPr>
          <w:rFonts w:eastAsia="Times New Roman" w:cs="Arial"/>
          <w:color w:val="000000"/>
        </w:rPr>
        <w:t>.</w:t>
      </w:r>
      <w:r w:rsidRPr="003A496D">
        <w:rPr>
          <w:rFonts w:eastAsia="Times New Roman" w:cs="Arial"/>
          <w:color w:val="000000"/>
        </w:rPr>
        <w:t xml:space="preserve">  </w:t>
      </w:r>
      <w:r>
        <w:rPr>
          <w:rFonts w:eastAsia="Times New Roman" w:cs="Arial"/>
          <w:color w:val="000000"/>
        </w:rPr>
        <w:t xml:space="preserve">Under article XIV, section 4, </w:t>
      </w:r>
      <w:r w:rsidRPr="003A496D">
        <w:rPr>
          <w:rFonts w:eastAsia="Times New Roman" w:cs="Arial"/>
          <w:color w:val="000000"/>
        </w:rPr>
        <w:t>“[t]</w:t>
      </w:r>
      <w:r w:rsidRPr="003A496D">
        <w:rPr>
          <w:rFonts w:cs="Arial"/>
          <w:color w:val="000000"/>
          <w:shd w:val="clear" w:color="auto" w:fill="FFFFFF"/>
        </w:rPr>
        <w:t>he Legislature</w:t>
      </w:r>
      <w:r>
        <w:rPr>
          <w:rFonts w:cs="Arial"/>
          <w:color w:val="000000"/>
          <w:shd w:val="clear" w:color="auto" w:fill="FFFFFF"/>
        </w:rPr>
        <w:t xml:space="preserve"> </w:t>
      </w:r>
      <w:r w:rsidRPr="003A496D">
        <w:rPr>
          <w:rFonts w:cs="Arial"/>
          <w:i/>
          <w:iCs/>
          <w:color w:val="000000"/>
          <w:shd w:val="clear" w:color="auto" w:fill="FFFFFF"/>
        </w:rPr>
        <w:t>must</w:t>
      </w:r>
      <w:r w:rsidRPr="003A496D">
        <w:rPr>
          <w:rFonts w:cs="Arial"/>
          <w:color w:val="000000"/>
          <w:shd w:val="clear" w:color="auto" w:fill="FFFFFF"/>
        </w:rPr>
        <w:t xml:space="preserve"> act to fulfill its constitutional mandate to create the </w:t>
      </w:r>
      <w:r w:rsidRPr="008F7F07">
        <w:rPr>
          <w:rFonts w:cs="Arial"/>
          <w:color w:val="000000"/>
          <w:shd w:val="clear" w:color="auto" w:fill="FFFFFF"/>
        </w:rPr>
        <w:t>workers</w:t>
      </w:r>
      <w:r>
        <w:rPr>
          <w:rFonts w:cs="Arial"/>
          <w:color w:val="000000"/>
          <w:shd w:val="clear" w:color="auto" w:fill="FFFFFF"/>
        </w:rPr>
        <w:t>’</w:t>
      </w:r>
      <w:r w:rsidRPr="008F7F07">
        <w:rPr>
          <w:rFonts w:cs="Arial"/>
          <w:color w:val="000000"/>
          <w:shd w:val="clear" w:color="auto" w:fill="FFFFFF"/>
        </w:rPr>
        <w:t xml:space="preserve"> compensation system, and the judicially enforceable rights are the laws it enacts.” </w:t>
      </w:r>
      <w:r>
        <w:rPr>
          <w:rFonts w:cs="Arial"/>
          <w:color w:val="000000"/>
          <w:shd w:val="clear" w:color="auto" w:fill="FFFFFF"/>
        </w:rPr>
        <w:t xml:space="preserve"> (</w:t>
      </w:r>
      <w:r>
        <w:rPr>
          <w:rFonts w:cs="Arial"/>
          <w:i/>
          <w:iCs/>
          <w:color w:val="000000"/>
          <w:shd w:val="clear" w:color="auto" w:fill="FFFFFF"/>
        </w:rPr>
        <w:t>Bautista</w:t>
      </w:r>
      <w:r>
        <w:rPr>
          <w:rFonts w:cs="Arial"/>
          <w:color w:val="000000"/>
          <w:shd w:val="clear" w:color="auto" w:fill="FFFFFF"/>
        </w:rPr>
        <w:t>, at p. 729, italics added.)</w:t>
      </w:r>
      <w:r>
        <w:rPr>
          <w:rStyle w:val="FootnoteReference"/>
          <w:color w:val="000000"/>
          <w:shd w:val="clear" w:color="auto" w:fill="FFFFFF"/>
        </w:rPr>
        <w:footnoteReference w:id="39"/>
      </w:r>
      <w:r>
        <w:rPr>
          <w:color w:val="000000"/>
          <w:shd w:val="clear" w:color="auto" w:fill="FFFFFF"/>
        </w:rPr>
        <w:t xml:space="preserve"> </w:t>
      </w:r>
      <w:r>
        <w:rPr>
          <w:rFonts w:cs="Arial"/>
          <w:color w:val="000000"/>
          <w:shd w:val="clear" w:color="auto" w:fill="FFFFFF"/>
        </w:rPr>
        <w:t xml:space="preserve"> So long as the </w:t>
      </w:r>
      <w:r>
        <w:rPr>
          <w:rFonts w:cs="Arial"/>
          <w:color w:val="000000"/>
          <w:shd w:val="clear" w:color="auto" w:fill="FFFFFF"/>
        </w:rPr>
        <w:lastRenderedPageBreak/>
        <w:t>Legislature acts within the boundaries of its aut</w:t>
      </w:r>
      <w:r>
        <w:rPr>
          <w:rFonts w:cs="Arial"/>
          <w:color w:val="000000"/>
          <w:shd w:val="clear" w:color="auto" w:fill="FFFFFF"/>
        </w:rPr>
        <w:t>hority under article XIV, section 4, its specially designated constitutional role demands deference.</w:t>
      </w:r>
    </w:p>
    <w:p w14:paraId="014FAD9C" w14:textId="77777777" w:rsidR="00AB000C" w:rsidRDefault="00570B35" w:rsidP="00AB000C">
      <w:pPr>
        <w:ind w:firstLine="720"/>
        <w:rPr>
          <w:rFonts w:eastAsia="Times New Roman" w:cs="Arial"/>
          <w:color w:val="000000"/>
          <w:shd w:val="clear" w:color="auto" w:fill="FFFFFF"/>
        </w:rPr>
      </w:pPr>
      <w:r>
        <w:rPr>
          <w:color w:val="000000"/>
          <w:shd w:val="clear" w:color="auto" w:fill="FFFFFF"/>
        </w:rPr>
        <w:t>J</w:t>
      </w:r>
      <w:r w:rsidRPr="000400E0">
        <w:rPr>
          <w:color w:val="000000"/>
          <w:shd w:val="clear" w:color="auto" w:fill="FFFFFF"/>
        </w:rPr>
        <w:t xml:space="preserve">ust as </w:t>
      </w:r>
      <w:r>
        <w:rPr>
          <w:color w:val="000000"/>
          <w:shd w:val="clear" w:color="auto" w:fill="FFFFFF"/>
        </w:rPr>
        <w:t xml:space="preserve">with </w:t>
      </w:r>
      <w:r w:rsidRPr="00EA115C">
        <w:rPr>
          <w:i/>
          <w:iCs/>
          <w:color w:val="000000"/>
          <w:shd w:val="clear" w:color="auto" w:fill="FFFFFF"/>
        </w:rPr>
        <w:t>Youngstown Sheet &amp; Tube</w:t>
      </w:r>
      <w:r>
        <w:rPr>
          <w:color w:val="000000"/>
          <w:shd w:val="clear" w:color="auto" w:fill="FFFFFF"/>
        </w:rPr>
        <w:t xml:space="preserve">, there is a federal model to draw upon here.  This model reflects a great deal of accumulated judicial wisdom </w:t>
      </w:r>
      <w:r>
        <w:rPr>
          <w:color w:val="000000"/>
          <w:shd w:val="clear" w:color="auto" w:fill="FFFFFF"/>
        </w:rPr>
        <w:t>applying what are perhaps the most well-known implementing clauses in American constitutional law—Congress’s “power to enforce, by appropriate legislation, the provisions o</w:t>
      </w:r>
      <w:r w:rsidRPr="00187711">
        <w:rPr>
          <w:color w:val="000000"/>
          <w:spacing w:val="40"/>
          <w:shd w:val="clear" w:color="auto" w:fill="FFFFFF"/>
        </w:rPr>
        <w:t>f</w:t>
      </w:r>
      <w:r>
        <w:rPr>
          <w:color w:val="000000"/>
          <w:shd w:val="clear" w:color="auto" w:fill="FFFFFF"/>
        </w:rPr>
        <w:t>” the Fourteenth and Fifteenth Amendments.  (U.S. Const., XIV Amend</w:t>
      </w:r>
      <w:r w:rsidRPr="00DB77EB">
        <w:rPr>
          <w:color w:val="000000"/>
          <w:shd w:val="clear" w:color="auto" w:fill="FFFFFF"/>
        </w:rPr>
        <w:t>.,</w:t>
      </w:r>
      <w:r w:rsidRPr="0085772E">
        <w:rPr>
          <w:color w:val="000000"/>
          <w:shd w:val="clear" w:color="auto" w:fill="FFFFFF"/>
        </w:rPr>
        <w:t xml:space="preserve"> § 5; </w:t>
      </w:r>
      <w:r w:rsidRPr="00DB77EB">
        <w:rPr>
          <w:color w:val="000000"/>
          <w:shd w:val="clear" w:color="auto" w:fill="FFFFFF"/>
        </w:rPr>
        <w:t>XV </w:t>
      </w:r>
      <w:r w:rsidRPr="0085772E">
        <w:rPr>
          <w:color w:val="000000"/>
          <w:shd w:val="clear" w:color="auto" w:fill="FFFFFF"/>
        </w:rPr>
        <w:t>Amend</w:t>
      </w:r>
      <w:r w:rsidRPr="00DB77EB">
        <w:rPr>
          <w:color w:val="000000"/>
          <w:shd w:val="clear" w:color="auto" w:fill="FFFFFF"/>
        </w:rPr>
        <w:t>.,</w:t>
      </w:r>
      <w:r w:rsidRPr="0085772E">
        <w:rPr>
          <w:color w:val="000000"/>
          <w:shd w:val="clear" w:color="auto" w:fill="FFFFFF"/>
        </w:rPr>
        <w:t xml:space="preserve"> § 2.)  The high</w:t>
      </w:r>
      <w:r>
        <w:rPr>
          <w:color w:val="000000"/>
          <w:shd w:val="clear" w:color="auto" w:fill="FFFFFF"/>
        </w:rPr>
        <w:t xml:space="preserve"> court </w:t>
      </w:r>
      <w:r w:rsidRPr="000400E0">
        <w:rPr>
          <w:color w:val="000000"/>
          <w:shd w:val="clear" w:color="auto" w:fill="FFFFFF"/>
        </w:rPr>
        <w:t xml:space="preserve">has </w:t>
      </w:r>
      <w:r w:rsidRPr="0050291E">
        <w:rPr>
          <w:rFonts w:eastAsia="Times New Roman" w:cs="Arial"/>
          <w:color w:val="000000"/>
        </w:rPr>
        <w:t>consistently held that “</w:t>
      </w:r>
      <w:r w:rsidRPr="0050291E">
        <w:rPr>
          <w:rFonts w:eastAsia="Times New Roman" w:cs="Arial"/>
          <w:color w:val="000000"/>
          <w:shd w:val="clear" w:color="auto" w:fill="FFFFFF"/>
        </w:rPr>
        <w:t>Congress’ judgment regarding exercise of its power to enforce the Fourteenth and Fifteenth Amendments warrants substantial deference</w:t>
      </w:r>
      <w:r>
        <w:rPr>
          <w:rFonts w:eastAsia="Times New Roman" w:cs="Arial"/>
          <w:color w:val="000000"/>
          <w:shd w:val="clear" w:color="auto" w:fill="FFFFFF"/>
        </w:rPr>
        <w:t>.”</w:t>
      </w:r>
      <w:r w:rsidRPr="0050291E">
        <w:rPr>
          <w:rFonts w:eastAsia="Times New Roman" w:cs="Arial"/>
          <w:color w:val="000000"/>
          <w:shd w:val="clear" w:color="auto" w:fill="FFFFFF"/>
        </w:rPr>
        <w:t xml:space="preserve"> </w:t>
      </w:r>
      <w:r>
        <w:rPr>
          <w:rFonts w:eastAsia="Times New Roman" w:cs="Arial"/>
          <w:color w:val="000000"/>
          <w:shd w:val="clear" w:color="auto" w:fill="FFFFFF"/>
        </w:rPr>
        <w:t xml:space="preserve"> </w:t>
      </w:r>
      <w:r w:rsidRPr="0050291E">
        <w:rPr>
          <w:rFonts w:eastAsia="Times New Roman" w:cs="Arial"/>
          <w:color w:val="000000"/>
          <w:shd w:val="clear" w:color="auto" w:fill="FFFFFF"/>
        </w:rPr>
        <w:t>(</w:t>
      </w:r>
      <w:r w:rsidRPr="0050291E">
        <w:rPr>
          <w:rFonts w:eastAsia="Times New Roman" w:cs="Arial"/>
          <w:i/>
          <w:iCs/>
          <w:color w:val="000000"/>
          <w:bdr w:val="none" w:sz="0" w:space="0" w:color="auto" w:frame="1"/>
        </w:rPr>
        <w:t>Shelby County v. Holder</w:t>
      </w:r>
      <w:r>
        <w:rPr>
          <w:rFonts w:eastAsia="Times New Roman" w:cs="Arial"/>
          <w:color w:val="000000"/>
        </w:rPr>
        <w:t xml:space="preserve"> </w:t>
      </w:r>
      <w:r w:rsidRPr="0050291E">
        <w:rPr>
          <w:rFonts w:eastAsia="Times New Roman" w:cs="Arial"/>
          <w:color w:val="000000"/>
        </w:rPr>
        <w:t>(2013) 570</w:t>
      </w:r>
      <w:r>
        <w:rPr>
          <w:rFonts w:eastAsia="Times New Roman" w:cs="Arial"/>
          <w:color w:val="000000"/>
        </w:rPr>
        <w:t> </w:t>
      </w:r>
      <w:r w:rsidRPr="0050291E">
        <w:rPr>
          <w:rFonts w:eastAsia="Times New Roman" w:cs="Arial"/>
          <w:color w:val="000000"/>
        </w:rPr>
        <w:t xml:space="preserve">U.S. 529, </w:t>
      </w:r>
      <w:r w:rsidRPr="0050291E">
        <w:rPr>
          <w:rFonts w:eastAsia="Times New Roman" w:cs="Arial"/>
          <w:color w:val="000000"/>
          <w:shd w:val="clear" w:color="auto" w:fill="FFFFFF"/>
        </w:rPr>
        <w:t xml:space="preserve">566 </w:t>
      </w:r>
      <w:r>
        <w:rPr>
          <w:rFonts w:eastAsia="Times New Roman" w:cs="Arial"/>
          <w:color w:val="000000"/>
          <w:shd w:val="clear" w:color="auto" w:fill="FFFFFF"/>
        </w:rPr>
        <w:t xml:space="preserve">(dis. </w:t>
      </w:r>
      <w:proofErr w:type="spellStart"/>
      <w:r>
        <w:rPr>
          <w:rFonts w:eastAsia="Times New Roman" w:cs="Arial"/>
          <w:color w:val="000000"/>
          <w:shd w:val="clear" w:color="auto" w:fill="FFFFFF"/>
        </w:rPr>
        <w:t>opn</w:t>
      </w:r>
      <w:proofErr w:type="spellEnd"/>
      <w:r>
        <w:rPr>
          <w:rFonts w:eastAsia="Times New Roman" w:cs="Arial"/>
          <w:color w:val="000000"/>
          <w:shd w:val="clear" w:color="auto" w:fill="FFFFFF"/>
        </w:rPr>
        <w:t xml:space="preserve">. of </w:t>
      </w:r>
      <w:r w:rsidRPr="0050291E">
        <w:rPr>
          <w:rFonts w:eastAsia="Times New Roman" w:cs="Arial"/>
          <w:color w:val="000000"/>
          <w:shd w:val="clear" w:color="auto" w:fill="FFFFFF"/>
        </w:rPr>
        <w:t>Ginsburg,</w:t>
      </w:r>
      <w:r>
        <w:rPr>
          <w:rFonts w:eastAsia="Times New Roman" w:cs="Arial"/>
          <w:color w:val="000000"/>
          <w:shd w:val="clear" w:color="auto" w:fill="FFFFFF"/>
        </w:rPr>
        <w:t> </w:t>
      </w:r>
      <w:r w:rsidRPr="0050291E">
        <w:rPr>
          <w:rFonts w:eastAsia="Times New Roman" w:cs="Arial"/>
          <w:color w:val="000000"/>
          <w:shd w:val="clear" w:color="auto" w:fill="FFFFFF"/>
        </w:rPr>
        <w:t>J</w:t>
      </w:r>
      <w:r>
        <w:rPr>
          <w:rFonts w:eastAsia="Times New Roman" w:cs="Arial"/>
          <w:color w:val="000000"/>
          <w:shd w:val="clear" w:color="auto" w:fill="FFFFFF"/>
        </w:rPr>
        <w:t>.).</w:t>
      </w:r>
      <w:r w:rsidRPr="0050291E">
        <w:rPr>
          <w:rFonts w:eastAsia="Times New Roman" w:cs="Arial"/>
          <w:color w:val="000000"/>
          <w:shd w:val="clear" w:color="auto" w:fill="FFFFFF"/>
        </w:rPr>
        <w:t>)</w:t>
      </w:r>
      <w:r>
        <w:rPr>
          <w:rFonts w:eastAsia="Times New Roman" w:cs="Arial"/>
          <w:color w:val="000000"/>
          <w:shd w:val="clear" w:color="auto" w:fill="FFFFFF"/>
        </w:rPr>
        <w:t xml:space="preserve">  It is true, of course, that Congress’ powers are limited by enumerated grants, while the police power is a general power to govern by legislative prescription a</w:t>
      </w:r>
      <w:r>
        <w:rPr>
          <w:bCs/>
        </w:rPr>
        <w:t xml:space="preserve">nd </w:t>
      </w:r>
      <w:r>
        <w:rPr>
          <w:rFonts w:eastAsia="Times New Roman" w:cs="Arial"/>
          <w:color w:val="000000"/>
          <w:shd w:val="clear" w:color="auto" w:fill="FFFFFF"/>
        </w:rPr>
        <w:t>needs no affirmative grant.  But that makes no difference.  Th</w:t>
      </w:r>
      <w:r>
        <w:rPr>
          <w:rFonts w:eastAsia="Times New Roman" w:cs="Arial"/>
          <w:color w:val="000000"/>
          <w:shd w:val="clear" w:color="auto" w:fill="FFFFFF"/>
        </w:rPr>
        <w:t xml:space="preserve">e lesson to be drawn from these venerable grants of Congressional authority is that a constitutionally conferred </w:t>
      </w:r>
      <w:r w:rsidRPr="00410F99">
        <w:rPr>
          <w:rFonts w:eastAsia="Times New Roman" w:cs="Arial"/>
          <w:i/>
          <w:iCs/>
          <w:color w:val="000000"/>
          <w:shd w:val="clear" w:color="auto" w:fill="FFFFFF"/>
        </w:rPr>
        <w:t>prospective enforcement power</w:t>
      </w:r>
      <w:r>
        <w:rPr>
          <w:rFonts w:eastAsia="Times New Roman" w:cs="Arial"/>
          <w:color w:val="000000"/>
          <w:shd w:val="clear" w:color="auto" w:fill="FFFFFF"/>
        </w:rPr>
        <w:t xml:space="preserve"> carries with it an ongoing responsibility to apply and determine the meaning of constitutional language when face</w:t>
      </w:r>
      <w:r>
        <w:rPr>
          <w:rFonts w:eastAsia="Times New Roman" w:cs="Arial"/>
          <w:color w:val="000000"/>
          <w:shd w:val="clear" w:color="auto" w:fill="FFFFFF"/>
        </w:rPr>
        <w:t>d with changing conditions.  Legislative judgment in discharging that constitutional responsibility merits substantial deference.</w:t>
      </w:r>
    </w:p>
    <w:p w14:paraId="68C3F730" w14:textId="77777777" w:rsidR="00AB000C" w:rsidRPr="006E58A5" w:rsidRDefault="00570B35" w:rsidP="00AB000C">
      <w:pPr>
        <w:ind w:firstLine="720"/>
        <w:rPr>
          <w:rFonts w:eastAsia="Times New Roman" w:cs="Times New Roman"/>
          <w:color w:val="000000"/>
        </w:rPr>
      </w:pPr>
      <w:r>
        <w:rPr>
          <w:rFonts w:eastAsia="Times New Roman" w:cs="Arial"/>
          <w:color w:val="000000"/>
          <w:shd w:val="clear" w:color="auto" w:fill="FFFFFF"/>
        </w:rPr>
        <w:lastRenderedPageBreak/>
        <w:t xml:space="preserve">To protect the enforcement prerogatives given to the Legislature in article XIV, section 4, substantial deference is due here </w:t>
      </w:r>
      <w:r w:rsidRPr="00FD1936">
        <w:rPr>
          <w:rFonts w:eastAsia="Times New Roman" w:cs="Arial"/>
          <w:color w:val="000000"/>
          <w:shd w:val="clear" w:color="auto" w:fill="FFFFFF"/>
        </w:rPr>
        <w:t>as well</w:t>
      </w:r>
      <w:r>
        <w:rPr>
          <w:color w:val="000000"/>
          <w:shd w:val="clear" w:color="auto" w:fill="FFFFFF"/>
        </w:rPr>
        <w:t>—</w:t>
      </w:r>
      <w:r>
        <w:rPr>
          <w:rFonts w:eastAsia="Times New Roman" w:cs="Arial"/>
          <w:color w:val="000000"/>
          <w:shd w:val="clear" w:color="auto" w:fill="FFFFFF"/>
        </w:rPr>
        <w:t>and not just from courts, but also from ballot statute electors.  Unless we treat ballot statute electors as somehow outside our basic plan of government, they are bound to give the Legislature deference, just as courts are.  Giving the expansive c</w:t>
      </w:r>
      <w:r>
        <w:rPr>
          <w:rFonts w:eastAsia="Times New Roman" w:cs="Arial"/>
          <w:color w:val="000000"/>
          <w:shd w:val="clear" w:color="auto" w:fill="FFFFFF"/>
        </w:rPr>
        <w:t xml:space="preserve">onstitutional text its plain meaning, I believe we should read article XIV, section 4, as </w:t>
      </w:r>
      <w:r w:rsidRPr="0050291E">
        <w:rPr>
          <w:rFonts w:eastAsia="Times New Roman" w:cs="Arial"/>
          <w:color w:val="000000"/>
          <w:shd w:val="clear" w:color="auto" w:fill="FFFFFF"/>
        </w:rPr>
        <w:t>a command that</w:t>
      </w:r>
      <w:r>
        <w:rPr>
          <w:rFonts w:eastAsia="Times New Roman" w:cs="Arial"/>
          <w:color w:val="000000"/>
          <w:shd w:val="clear" w:color="auto" w:fill="FFFFFF"/>
        </w:rPr>
        <w:t xml:space="preserve"> when the Legislature enacts “appropriate legislation” designed to implement the constitutionally mandated </w:t>
      </w:r>
      <w:r w:rsidRPr="0050291E">
        <w:rPr>
          <w:rFonts w:eastAsia="Times New Roman" w:cs="Arial"/>
          <w:color w:val="000000"/>
          <w:shd w:val="clear" w:color="auto" w:fill="FFFFFF"/>
        </w:rPr>
        <w:t>“complete system of workers’ compensation</w:t>
      </w:r>
      <w:r>
        <w:rPr>
          <w:rFonts w:eastAsia="Times New Roman" w:cs="Arial"/>
          <w:color w:val="000000"/>
          <w:shd w:val="clear" w:color="auto" w:fill="FFFFFF"/>
        </w:rPr>
        <w:t>,</w:t>
      </w:r>
      <w:r w:rsidRPr="0050291E">
        <w:rPr>
          <w:rFonts w:eastAsia="Times New Roman" w:cs="Arial"/>
          <w:color w:val="000000"/>
          <w:shd w:val="clear" w:color="auto" w:fill="FFFFFF"/>
        </w:rPr>
        <w:t>”</w:t>
      </w:r>
      <w:r>
        <w:rPr>
          <w:rFonts w:eastAsia="Times New Roman" w:cs="Arial"/>
          <w:color w:val="000000"/>
          <w:shd w:val="clear" w:color="auto" w:fill="FFFFFF"/>
        </w:rPr>
        <w:t xml:space="preserve"> i</w:t>
      </w:r>
      <w:r>
        <w:rPr>
          <w:rFonts w:eastAsia="Times New Roman" w:cs="Arial"/>
          <w:color w:val="000000"/>
          <w:shd w:val="clear" w:color="auto" w:fill="FFFFFF"/>
        </w:rPr>
        <w:t>ts judgment trumps that of unelected voter lawmakers in the face of a conflict.  So understood, article XIV, section 4, does not oust voter electors of power to legislate on the topic of workers’ compensation; it simply requires them to respect prior deter</w:t>
      </w:r>
      <w:r>
        <w:rPr>
          <w:rFonts w:eastAsia="Times New Roman" w:cs="Arial"/>
          <w:color w:val="000000"/>
          <w:shd w:val="clear" w:color="auto" w:fill="FFFFFF"/>
        </w:rPr>
        <w:t>minations of the Legislature as to what the Constitution requires.</w:t>
      </w:r>
    </w:p>
    <w:p w14:paraId="40EECB26" w14:textId="77777777" w:rsidR="00AB000C" w:rsidRPr="00743DD0" w:rsidRDefault="00570B35" w:rsidP="00AB000C">
      <w:pPr>
        <w:keepNext/>
        <w:tabs>
          <w:tab w:val="left" w:pos="1080"/>
        </w:tabs>
        <w:spacing w:before="120" w:after="120" w:line="240" w:lineRule="auto"/>
        <w:ind w:left="1080" w:hanging="1080"/>
        <w:rPr>
          <w:i/>
        </w:rPr>
      </w:pPr>
      <w:r>
        <w:tab/>
      </w:r>
      <w:r w:rsidRPr="00684396">
        <w:t>2.</w:t>
      </w:r>
      <w:r w:rsidRPr="00684396">
        <w:tab/>
      </w:r>
      <w:r w:rsidRPr="00684396">
        <w:rPr>
          <w:i/>
        </w:rPr>
        <w:t xml:space="preserve">Historical context:  Augmentation of the original 1911 amendment, former article XX, section 21, and significance of </w:t>
      </w:r>
      <w:r w:rsidRPr="00684396">
        <w:t>Western Indemnity I</w:t>
      </w:r>
      <w:r w:rsidRPr="00684396">
        <w:rPr>
          <w:i/>
        </w:rPr>
        <w:t xml:space="preserve"> to the issue of </w:t>
      </w:r>
      <w:r w:rsidRPr="00684396">
        <w:t>pro tanto</w:t>
      </w:r>
      <w:r w:rsidRPr="00684396">
        <w:rPr>
          <w:i/>
        </w:rPr>
        <w:t xml:space="preserve"> repeal</w:t>
      </w:r>
    </w:p>
    <w:p w14:paraId="23F44686" w14:textId="77777777" w:rsidR="00AB000C" w:rsidRDefault="00570B35" w:rsidP="00AB000C">
      <w:pPr>
        <w:ind w:firstLine="720"/>
        <w:rPr>
          <w:color w:val="000000"/>
          <w:shd w:val="clear" w:color="auto" w:fill="FFFFFF"/>
        </w:rPr>
      </w:pPr>
      <w:r>
        <w:t xml:space="preserve">The historical </w:t>
      </w:r>
      <w:r>
        <w:t xml:space="preserve">context surrounding the adoption of article XIV, section 4, supports this reading of the text.  </w:t>
      </w:r>
      <w:r w:rsidRPr="00446E6B">
        <w:t xml:space="preserve">The original </w:t>
      </w:r>
      <w:r>
        <w:t xml:space="preserve">1911 </w:t>
      </w:r>
      <w:r w:rsidRPr="00446E6B">
        <w:t xml:space="preserve">amendment was </w:t>
      </w:r>
      <w:r>
        <w:t>relatively brief</w:t>
      </w:r>
      <w:r w:rsidRPr="00446E6B">
        <w:t>.  It stated</w:t>
      </w:r>
      <w:r>
        <w:t>, simply</w:t>
      </w:r>
      <w:proofErr w:type="gramStart"/>
      <w:r w:rsidRPr="00446E6B">
        <w:t>:  “</w:t>
      </w:r>
      <w:proofErr w:type="gramEnd"/>
      <w:r w:rsidRPr="00446E6B">
        <w:rPr>
          <w:color w:val="000000"/>
          <w:shd w:val="clear" w:color="auto" w:fill="FFFFFF"/>
        </w:rPr>
        <w:t xml:space="preserve">The </w:t>
      </w:r>
      <w:r w:rsidRPr="00E813C6">
        <w:rPr>
          <w:color w:val="000000"/>
          <w:shd w:val="clear" w:color="auto" w:fill="FFFFFF"/>
        </w:rPr>
        <w:t>legislature may by appropriate</w:t>
      </w:r>
      <w:r w:rsidRPr="00E911EF">
        <w:rPr>
          <w:color w:val="000000"/>
          <w:shd w:val="clear" w:color="auto" w:fill="FFFFFF"/>
        </w:rPr>
        <w:t xml:space="preserve"> </w:t>
      </w:r>
      <w:r w:rsidRPr="00A05F88">
        <w:rPr>
          <w:color w:val="000000"/>
          <w:shd w:val="clear" w:color="auto" w:fill="FFFFFF"/>
        </w:rPr>
        <w:t>legislation create a</w:t>
      </w:r>
      <w:r w:rsidRPr="00446E6B">
        <w:rPr>
          <w:color w:val="000000"/>
          <w:shd w:val="clear" w:color="auto" w:fill="FFFFFF"/>
        </w:rPr>
        <w:t xml:space="preserve">nd enforce a liability on the </w:t>
      </w:r>
      <w:r w:rsidRPr="00446E6B">
        <w:rPr>
          <w:color w:val="000000"/>
          <w:shd w:val="clear" w:color="auto" w:fill="FFFFFF"/>
        </w:rPr>
        <w:t>part of all employers to compensate their employ</w:t>
      </w:r>
      <w:r>
        <w:rPr>
          <w:color w:val="000000"/>
          <w:shd w:val="clear" w:color="auto" w:fill="FFFFFF"/>
        </w:rPr>
        <w:t>ee</w:t>
      </w:r>
      <w:r w:rsidRPr="00446E6B">
        <w:rPr>
          <w:color w:val="000000"/>
          <w:shd w:val="clear" w:color="auto" w:fill="FFFFFF"/>
        </w:rPr>
        <w:t>s for any injury incurred by the said employ</w:t>
      </w:r>
      <w:r>
        <w:rPr>
          <w:color w:val="000000"/>
          <w:shd w:val="clear" w:color="auto" w:fill="FFFFFF"/>
        </w:rPr>
        <w:t>ee</w:t>
      </w:r>
      <w:r w:rsidRPr="00446E6B">
        <w:rPr>
          <w:color w:val="000000"/>
          <w:shd w:val="clear" w:color="auto" w:fill="FFFFFF"/>
        </w:rPr>
        <w:t xml:space="preserve">s in the course </w:t>
      </w:r>
      <w:r>
        <w:rPr>
          <w:color w:val="000000"/>
          <w:shd w:val="clear" w:color="auto" w:fill="FFFFFF"/>
        </w:rPr>
        <w:t>of</w:t>
      </w:r>
      <w:r w:rsidRPr="00446E6B">
        <w:rPr>
          <w:color w:val="000000"/>
          <w:shd w:val="clear" w:color="auto" w:fill="FFFFFF"/>
        </w:rPr>
        <w:t xml:space="preserve"> their employment irrespective of the fault of either </w:t>
      </w:r>
      <w:r w:rsidRPr="00446E6B">
        <w:rPr>
          <w:color w:val="000000"/>
          <w:shd w:val="clear" w:color="auto" w:fill="FFFFFF"/>
        </w:rPr>
        <w:lastRenderedPageBreak/>
        <w:t xml:space="preserve">party. </w:t>
      </w:r>
      <w:r>
        <w:rPr>
          <w:color w:val="000000"/>
          <w:shd w:val="clear" w:color="auto" w:fill="FFFFFF"/>
        </w:rPr>
        <w:t xml:space="preserve"> </w:t>
      </w:r>
      <w:r w:rsidRPr="00446E6B">
        <w:rPr>
          <w:color w:val="000000"/>
          <w:shd w:val="clear" w:color="auto" w:fill="FFFFFF"/>
        </w:rPr>
        <w:t xml:space="preserve">The </w:t>
      </w:r>
      <w:r>
        <w:rPr>
          <w:color w:val="000000"/>
          <w:shd w:val="clear" w:color="auto" w:fill="FFFFFF"/>
        </w:rPr>
        <w:t>l</w:t>
      </w:r>
      <w:r w:rsidRPr="00446E6B">
        <w:rPr>
          <w:color w:val="000000"/>
          <w:shd w:val="clear" w:color="auto" w:fill="FFFFFF"/>
        </w:rPr>
        <w:t>egislature may provide for the settlement of any disputes arising under the</w:t>
      </w:r>
      <w:r w:rsidRPr="00446E6B">
        <w:rPr>
          <w:color w:val="000000"/>
          <w:shd w:val="clear" w:color="auto" w:fill="FFFFFF"/>
        </w:rPr>
        <w:t xml:space="preserve"> legislation contemplated by this section, by arbitration, or by an industrial or accident board, by the courts, or by either any or </w:t>
      </w:r>
      <w:proofErr w:type="gramStart"/>
      <w:r w:rsidRPr="00446E6B">
        <w:rPr>
          <w:color w:val="000000"/>
          <w:shd w:val="clear" w:color="auto" w:fill="FFFFFF"/>
        </w:rPr>
        <w:t>all of</w:t>
      </w:r>
      <w:proofErr w:type="gramEnd"/>
      <w:r w:rsidRPr="00446E6B">
        <w:rPr>
          <w:color w:val="000000"/>
          <w:shd w:val="clear" w:color="auto" w:fill="FFFFFF"/>
        </w:rPr>
        <w:t xml:space="preserve"> these agencies, anything in this </w:t>
      </w:r>
      <w:r>
        <w:rPr>
          <w:color w:val="000000"/>
          <w:shd w:val="clear" w:color="auto" w:fill="FFFFFF"/>
        </w:rPr>
        <w:t>c</w:t>
      </w:r>
      <w:r w:rsidRPr="00446E6B">
        <w:rPr>
          <w:color w:val="000000"/>
          <w:shd w:val="clear" w:color="auto" w:fill="FFFFFF"/>
        </w:rPr>
        <w:t xml:space="preserve">onstitution to the contrary notwithstanding.” </w:t>
      </w:r>
      <w:r>
        <w:rPr>
          <w:color w:val="000000"/>
          <w:shd w:val="clear" w:color="auto" w:fill="FFFFFF"/>
        </w:rPr>
        <w:t xml:space="preserve"> (Former </w:t>
      </w:r>
      <w:r w:rsidRPr="003012C2">
        <w:rPr>
          <w:color w:val="000000"/>
          <w:shd w:val="clear" w:color="auto" w:fill="FFFFFF"/>
        </w:rPr>
        <w:t>art.</w:t>
      </w:r>
      <w:r w:rsidRPr="008A2FB0">
        <w:rPr>
          <w:color w:val="000000"/>
          <w:shd w:val="clear" w:color="auto" w:fill="FFFFFF"/>
        </w:rPr>
        <w:t> </w:t>
      </w:r>
      <w:r w:rsidRPr="003012C2">
        <w:rPr>
          <w:color w:val="000000"/>
          <w:shd w:val="clear" w:color="auto" w:fill="FFFFFF"/>
        </w:rPr>
        <w:t>X</w:t>
      </w:r>
      <w:r>
        <w:rPr>
          <w:color w:val="000000"/>
          <w:shd w:val="clear" w:color="auto" w:fill="FFFFFF"/>
        </w:rPr>
        <w:t>X</w:t>
      </w:r>
      <w:r w:rsidRPr="003012C2">
        <w:rPr>
          <w:color w:val="000000"/>
          <w:shd w:val="clear" w:color="auto" w:fill="FFFFFF"/>
        </w:rPr>
        <w:t>, sec.</w:t>
      </w:r>
      <w:r>
        <w:rPr>
          <w:color w:val="000000"/>
          <w:shd w:val="clear" w:color="auto" w:fill="FFFFFF"/>
        </w:rPr>
        <w:t> </w:t>
      </w:r>
      <w:r w:rsidRPr="008A2FB0">
        <w:rPr>
          <w:color w:val="000000"/>
          <w:shd w:val="clear" w:color="auto" w:fill="FFFFFF"/>
        </w:rPr>
        <w:t xml:space="preserve">21, added by </w:t>
      </w:r>
      <w:r w:rsidRPr="008A2FB0">
        <w:rPr>
          <w:color w:val="000000"/>
          <w:shd w:val="clear" w:color="auto" w:fill="FFFFFF"/>
        </w:rPr>
        <w:t xml:space="preserve">Prop. 10, Special Elec. (Oct. 10, 1911); Ballot </w:t>
      </w:r>
      <w:proofErr w:type="spellStart"/>
      <w:r w:rsidRPr="008A2FB0">
        <w:rPr>
          <w:color w:val="000000"/>
          <w:shd w:val="clear" w:color="auto" w:fill="FFFFFF"/>
        </w:rPr>
        <w:t>Pamp</w:t>
      </w:r>
      <w:proofErr w:type="spellEnd"/>
      <w:r w:rsidRPr="008A2FB0">
        <w:rPr>
          <w:color w:val="000000"/>
          <w:shd w:val="clear" w:color="auto" w:fill="FFFFFF"/>
        </w:rPr>
        <w:t>. text of Prop. 10 at &lt;</w:t>
      </w:r>
      <w:r w:rsidRPr="008A2FB0">
        <w:t>https://repository.uchastings</w:t>
      </w:r>
      <w:r w:rsidRPr="008A2FB0">
        <w:br/>
        <w:t>.</w:t>
      </w:r>
      <w:proofErr w:type="spellStart"/>
      <w:r w:rsidRPr="008A2FB0">
        <w:t>edu</w:t>
      </w:r>
      <w:proofErr w:type="spellEnd"/>
      <w:r w:rsidRPr="008A2FB0">
        <w:t>/</w:t>
      </w:r>
      <w:proofErr w:type="spellStart"/>
      <w:r w:rsidRPr="008A2FB0">
        <w:t>ca_ballot_props</w:t>
      </w:r>
      <w:proofErr w:type="spellEnd"/>
      <w:r w:rsidRPr="008A2FB0">
        <w:t>/24/&gt; [as of Mar. 13, 2023]</w:t>
      </w:r>
      <w:r>
        <w:rPr>
          <w:color w:val="000000"/>
          <w:shd w:val="clear" w:color="auto" w:fill="FFFFFF"/>
        </w:rPr>
        <w:t>.)</w:t>
      </w:r>
    </w:p>
    <w:p w14:paraId="6D4254B9" w14:textId="77777777" w:rsidR="00AB000C" w:rsidRDefault="00570B35" w:rsidP="00AB000C">
      <w:pPr>
        <w:ind w:firstLine="720"/>
        <w:rPr>
          <w:color w:val="000000"/>
          <w:shd w:val="clear" w:color="auto" w:fill="FFFFFF"/>
        </w:rPr>
      </w:pPr>
      <w:r>
        <w:rPr>
          <w:color w:val="000000"/>
          <w:shd w:val="clear" w:color="auto" w:fill="FFFFFF"/>
        </w:rPr>
        <w:t>By the time the Legislature proposed an amendment to former article XX, section 21, in 1918, the 1917</w:t>
      </w:r>
      <w:r>
        <w:rPr>
          <w:color w:val="000000"/>
          <w:shd w:val="clear" w:color="auto" w:fill="FFFFFF"/>
        </w:rPr>
        <w:t xml:space="preserve"> Act and the Boynton Act together established the statutory workers’ compensation scheme.  These statutes marked the first time an act of the Legislature occupied any of the “zone of twilight” where two concurrent powers may operate, as Justice Jackson put</w:t>
      </w:r>
      <w:r>
        <w:rPr>
          <w:color w:val="000000"/>
          <w:shd w:val="clear" w:color="auto" w:fill="FFFFFF"/>
        </w:rPr>
        <w:t xml:space="preserve"> it in his concurrence in </w:t>
      </w:r>
      <w:r w:rsidRPr="005A534E">
        <w:rPr>
          <w:rFonts w:eastAsia="Times New Roman" w:cs="Times New Roman"/>
          <w:i/>
          <w:iCs/>
          <w:color w:val="000000"/>
          <w:bdr w:val="none" w:sz="0" w:space="0" w:color="auto" w:frame="1"/>
        </w:rPr>
        <w:t>Youngstown Sheet &amp; T</w:t>
      </w:r>
      <w:r>
        <w:rPr>
          <w:rFonts w:eastAsia="Times New Roman" w:cs="Times New Roman"/>
          <w:i/>
          <w:iCs/>
          <w:color w:val="000000"/>
          <w:bdr w:val="none" w:sz="0" w:space="0" w:color="auto" w:frame="1"/>
        </w:rPr>
        <w:t>ube</w:t>
      </w:r>
      <w:r w:rsidRPr="00096BD5">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supra</w:t>
      </w:r>
      <w:r w:rsidRPr="00096BD5">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Pr>
          <w:rFonts w:eastAsia="Times New Roman" w:cs="Times New Roman"/>
          <w:color w:val="000000"/>
          <w:bdr w:val="none" w:sz="0" w:space="0" w:color="auto" w:frame="1"/>
        </w:rPr>
        <w:t>343 U.S. at page 637</w:t>
      </w:r>
      <w:r>
        <w:rPr>
          <w:color w:val="000000"/>
          <w:shd w:val="clear" w:color="auto" w:fill="FFFFFF"/>
        </w:rPr>
        <w:t xml:space="preserve">.  Had the voters adopted a workers’ compensation statute of their own as a replacement for the Roseville </w:t>
      </w:r>
      <w:proofErr w:type="gramStart"/>
      <w:r>
        <w:rPr>
          <w:color w:val="000000"/>
          <w:shd w:val="clear" w:color="auto" w:fill="FFFFFF"/>
        </w:rPr>
        <w:t>Act, or</w:t>
      </w:r>
      <w:proofErr w:type="gramEnd"/>
      <w:r>
        <w:rPr>
          <w:color w:val="000000"/>
          <w:shd w:val="clear" w:color="auto" w:fill="FFFFFF"/>
        </w:rPr>
        <w:t xml:space="preserve"> made some amendment to the 1917 Act or the Boynton Act by initiative statute prior to November 1918—before the then existing statutory scheme </w:t>
      </w:r>
      <w:r>
        <w:rPr>
          <w:color w:val="000000"/>
          <w:shd w:val="clear" w:color="auto" w:fill="FFFFFF"/>
        </w:rPr>
        <w:t xml:space="preserve">was given constitutional sanction—they would have had a free hand to legislate within the limits prescribed by article XIV, section 4, since </w:t>
      </w:r>
      <w:r w:rsidRPr="0089358F">
        <w:rPr>
          <w:i/>
          <w:iCs/>
          <w:color w:val="000000"/>
          <w:shd w:val="clear" w:color="auto" w:fill="FFFFFF"/>
        </w:rPr>
        <w:t>their</w:t>
      </w:r>
      <w:r>
        <w:rPr>
          <w:color w:val="000000"/>
          <w:shd w:val="clear" w:color="auto" w:fill="FFFFFF"/>
        </w:rPr>
        <w:t xml:space="preserve"> will would have been memorialized in the constitutional language.  But that is not what happened.  Instead, a</w:t>
      </w:r>
      <w:r>
        <w:rPr>
          <w:color w:val="000000"/>
          <w:shd w:val="clear" w:color="auto" w:fill="FFFFFF"/>
        </w:rPr>
        <w:t xml:space="preserve"> century later we are faced with an effort to undermine the constitutionally sanctioned intent of the Legislature.</w:t>
      </w:r>
    </w:p>
    <w:p w14:paraId="24B93971" w14:textId="77777777" w:rsidR="00AB000C" w:rsidRPr="00690FD1" w:rsidRDefault="00570B35" w:rsidP="00AB000C">
      <w:pPr>
        <w:ind w:firstLine="720"/>
        <w:rPr>
          <w:color w:val="000000"/>
          <w:shd w:val="clear" w:color="auto" w:fill="FFFFFF"/>
        </w:rPr>
      </w:pPr>
      <w:r>
        <w:rPr>
          <w:color w:val="000000"/>
          <w:shd w:val="clear" w:color="auto" w:fill="FFFFFF"/>
        </w:rPr>
        <w:lastRenderedPageBreak/>
        <w:t xml:space="preserve">In </w:t>
      </w:r>
      <w:r w:rsidRPr="0050291E">
        <w:rPr>
          <w:i/>
          <w:iCs/>
          <w:color w:val="000000"/>
          <w:shd w:val="clear" w:color="auto" w:fill="FFFFFF"/>
        </w:rPr>
        <w:t>Western Indemnity</w:t>
      </w:r>
      <w:r>
        <w:rPr>
          <w:i/>
          <w:iCs/>
          <w:color w:val="000000"/>
          <w:shd w:val="clear" w:color="auto" w:fill="FFFFFF"/>
        </w:rPr>
        <w:t> </w:t>
      </w:r>
      <w:r w:rsidRPr="0050291E">
        <w:rPr>
          <w:i/>
          <w:iCs/>
          <w:color w:val="000000"/>
          <w:shd w:val="clear" w:color="auto" w:fill="FFFFFF"/>
        </w:rPr>
        <w:t>I</w:t>
      </w:r>
      <w:r>
        <w:rPr>
          <w:color w:val="000000"/>
          <w:shd w:val="clear" w:color="auto" w:fill="FFFFFF"/>
        </w:rPr>
        <w:t xml:space="preserve">, the Supreme Court held that the original 1911 version of former article XX, section 21 was enough to </w:t>
      </w:r>
      <w:r w:rsidRPr="00271D13">
        <w:rPr>
          <w:color w:val="000000"/>
          <w:shd w:val="clear" w:color="auto" w:fill="FFFFFF"/>
        </w:rPr>
        <w:t>provide a consti</w:t>
      </w:r>
      <w:r w:rsidRPr="00271D13">
        <w:rPr>
          <w:color w:val="000000"/>
          <w:shd w:val="clear" w:color="auto" w:fill="FFFFFF"/>
        </w:rPr>
        <w:t>tutional</w:t>
      </w:r>
      <w:r>
        <w:rPr>
          <w:color w:val="000000"/>
          <w:shd w:val="clear" w:color="auto" w:fill="FFFFFF"/>
        </w:rPr>
        <w:t xml:space="preserve"> foundation for the Boynton Act.  But two Justices disagreed, as I have noted above.  We may fairly and reasonably infer that, when asked to do so by the Legislature in 1918, voters responded by placing a detailed description of the Boynton Act, as</w:t>
      </w:r>
      <w:r>
        <w:rPr>
          <w:color w:val="000000"/>
          <w:shd w:val="clear" w:color="auto" w:fill="FFFFFF"/>
        </w:rPr>
        <w:t xml:space="preserve"> improved and refined in the 1917 Act, into the Constitution itself, thereby adopting as their own </w:t>
      </w:r>
      <w:r>
        <w:t>the Legislature’s pre</w:t>
      </w:r>
      <w:r>
        <w:noBreakHyphen/>
        <w:t xml:space="preserve">1918 interpretation of what it means to have a “complete system of workers’ compensation.”  </w:t>
      </w:r>
      <w:r w:rsidRPr="00F1371D">
        <w:rPr>
          <w:color w:val="000000"/>
          <w:shd w:val="clear" w:color="auto" w:fill="FFFFFF"/>
        </w:rPr>
        <w:t>(</w:t>
      </w:r>
      <w:r w:rsidRPr="00F1371D">
        <w:rPr>
          <w:rStyle w:val="Emphasis"/>
          <w:color w:val="000000"/>
          <w:bdr w:val="none" w:sz="0" w:space="0" w:color="auto" w:frame="1"/>
        </w:rPr>
        <w:t>Mathews</w:t>
      </w:r>
      <w:r w:rsidRPr="004E08C9">
        <w:rPr>
          <w:rStyle w:val="Emphasis"/>
          <w:color w:val="000000"/>
          <w:bdr w:val="none" w:sz="0" w:space="0" w:color="auto" w:frame="1"/>
        </w:rPr>
        <w:t>,</w:t>
      </w:r>
      <w:r w:rsidRPr="00F1371D">
        <w:rPr>
          <w:rStyle w:val="Emphasis"/>
          <w:color w:val="000000"/>
          <w:bdr w:val="none" w:sz="0" w:space="0" w:color="auto" w:frame="1"/>
        </w:rPr>
        <w:t xml:space="preserve"> supra</w:t>
      </w:r>
      <w:r w:rsidRPr="004E08C9">
        <w:rPr>
          <w:rStyle w:val="Emphasis"/>
          <w:color w:val="000000"/>
          <w:bdr w:val="none" w:sz="0" w:space="0" w:color="auto" w:frame="1"/>
        </w:rPr>
        <w:t>,</w:t>
      </w:r>
      <w:r>
        <w:rPr>
          <w:color w:val="000000"/>
          <w:shd w:val="clear" w:color="auto" w:fill="FFFFFF"/>
        </w:rPr>
        <w:t xml:space="preserve"> </w:t>
      </w:r>
      <w:r w:rsidRPr="00766270">
        <w:rPr>
          <w:rFonts w:eastAsia="Times New Roman" w:cs="Times New Roman"/>
          <w:color w:val="000000"/>
        </w:rPr>
        <w:t xml:space="preserve">6 Cal.3d </w:t>
      </w:r>
      <w:r w:rsidRPr="00F1371D">
        <w:rPr>
          <w:color w:val="000000"/>
          <w:shd w:val="clear" w:color="auto" w:fill="FFFFFF"/>
        </w:rPr>
        <w:t>at p.</w:t>
      </w:r>
      <w:r>
        <w:rPr>
          <w:color w:val="000000"/>
          <w:shd w:val="clear" w:color="auto" w:fill="FFFFFF"/>
        </w:rPr>
        <w:t> </w:t>
      </w:r>
      <w:r w:rsidRPr="00F1371D">
        <w:rPr>
          <w:color w:val="000000"/>
          <w:shd w:val="clear" w:color="auto" w:fill="FFFFFF"/>
        </w:rPr>
        <w:t>733 [“</w:t>
      </w:r>
      <w:r w:rsidRPr="004E08C9">
        <w:rPr>
          <w:color w:val="000000"/>
          <w:shd w:val="clear" w:color="auto" w:fill="FFFFFF"/>
        </w:rPr>
        <w:t>The proposed amendment duplicated in large measure section</w:t>
      </w:r>
      <w:r>
        <w:rPr>
          <w:color w:val="000000"/>
          <w:shd w:val="clear" w:color="auto" w:fill="FFFFFF"/>
        </w:rPr>
        <w:t> </w:t>
      </w:r>
      <w:r w:rsidRPr="004E08C9">
        <w:rPr>
          <w:color w:val="000000"/>
          <w:shd w:val="clear" w:color="auto" w:fill="FFFFFF"/>
        </w:rPr>
        <w:t>1 of the 1917 act”].)</w:t>
      </w:r>
      <w:r>
        <w:t xml:space="preserve">  As the </w:t>
      </w:r>
      <w:r w:rsidRPr="004356BF">
        <w:rPr>
          <w:i/>
          <w:iCs/>
        </w:rPr>
        <w:t>Mathews</w:t>
      </w:r>
      <w:r>
        <w:t xml:space="preserve"> court explained, article XIV, section 4, was </w:t>
      </w:r>
      <w:proofErr w:type="gramStart"/>
      <w:r>
        <w:t>“ ‘</w:t>
      </w:r>
      <w:proofErr w:type="gramEnd"/>
      <w:r w:rsidRPr="0050291E">
        <w:rPr>
          <w:color w:val="000000"/>
          <w:shd w:val="clear" w:color="auto" w:fill="FFFFFF"/>
        </w:rPr>
        <w:t>a necessary amplification and definition of the constitutional authority vested in the legislature by the amend</w:t>
      </w:r>
      <w:r w:rsidRPr="0050291E">
        <w:rPr>
          <w:color w:val="000000"/>
          <w:shd w:val="clear" w:color="auto" w:fill="FFFFFF"/>
        </w:rPr>
        <w:t xml:space="preserve">ment to the Constitution </w:t>
      </w:r>
      <w:r w:rsidRPr="00B0686E">
        <w:rPr>
          <w:color w:val="000000"/>
          <w:shd w:val="clear" w:color="auto" w:fill="FFFFFF"/>
        </w:rPr>
        <w:t>adopted October</w:t>
      </w:r>
      <w:r>
        <w:rPr>
          <w:color w:val="000000"/>
          <w:shd w:val="clear" w:color="auto" w:fill="FFFFFF"/>
        </w:rPr>
        <w:t> </w:t>
      </w:r>
      <w:r w:rsidRPr="00B0686E">
        <w:rPr>
          <w:color w:val="000000"/>
          <w:shd w:val="clear" w:color="auto" w:fill="FFFFFF"/>
        </w:rPr>
        <w:t>10, 1911</w:t>
      </w:r>
      <w:r w:rsidRPr="0050291E">
        <w:rPr>
          <w:color w:val="000000"/>
          <w:shd w:val="clear" w:color="auto" w:fill="FFFFFF"/>
        </w:rPr>
        <w:t>, to enable the enactment of a complete plan of workmen</w:t>
      </w:r>
      <w:r>
        <w:rPr>
          <w:color w:val="000000"/>
          <w:shd w:val="clear" w:color="auto" w:fill="FFFFFF"/>
        </w:rPr>
        <w:t>’</w:t>
      </w:r>
      <w:r w:rsidRPr="0050291E">
        <w:rPr>
          <w:color w:val="000000"/>
          <w:shd w:val="clear" w:color="auto" w:fill="FFFFFF"/>
        </w:rPr>
        <w:t xml:space="preserve">s compensation, which amendment failed to express sanction for the requisite scope of </w:t>
      </w:r>
      <w:r w:rsidRPr="00690FD1">
        <w:rPr>
          <w:color w:val="000000"/>
          <w:shd w:val="clear" w:color="auto" w:fill="FFFFFF"/>
        </w:rPr>
        <w:t>the enactment to make a complete and workable plan.’</w:t>
      </w:r>
      <w:r>
        <w:rPr>
          <w:color w:val="000000"/>
          <w:shd w:val="clear" w:color="auto" w:fill="FFFFFF"/>
        </w:rPr>
        <w:t> </w:t>
      </w:r>
      <w:r w:rsidRPr="00690FD1">
        <w:rPr>
          <w:color w:val="000000"/>
          <w:shd w:val="clear" w:color="auto" w:fill="FFFFFF"/>
        </w:rPr>
        <w:t>”</w:t>
      </w:r>
      <w:r>
        <w:rPr>
          <w:color w:val="000000"/>
          <w:shd w:val="clear" w:color="auto" w:fill="FFFFFF"/>
        </w:rPr>
        <w:t xml:space="preserve"> </w:t>
      </w:r>
      <w:r w:rsidRPr="00690FD1">
        <w:rPr>
          <w:color w:val="000000"/>
          <w:shd w:val="clear" w:color="auto" w:fill="FFFFFF"/>
        </w:rPr>
        <w:t xml:space="preserve"> (</w:t>
      </w:r>
      <w:r w:rsidRPr="00690FD1">
        <w:rPr>
          <w:rStyle w:val="Emphasis"/>
          <w:color w:val="000000"/>
          <w:bdr w:val="none" w:sz="0" w:space="0" w:color="auto" w:frame="1"/>
        </w:rPr>
        <w:t>Mathews</w:t>
      </w:r>
      <w:r w:rsidRPr="00A56BC5">
        <w:rPr>
          <w:rStyle w:val="Emphasis"/>
          <w:color w:val="000000"/>
          <w:bdr w:val="none" w:sz="0" w:space="0" w:color="auto" w:frame="1"/>
        </w:rPr>
        <w:t>,</w:t>
      </w:r>
      <w:r w:rsidRPr="00690FD1">
        <w:rPr>
          <w:rStyle w:val="Emphasis"/>
          <w:color w:val="000000"/>
          <w:bdr w:val="none" w:sz="0" w:space="0" w:color="auto" w:frame="1"/>
        </w:rPr>
        <w:t xml:space="preserve"> supra</w:t>
      </w:r>
      <w:r w:rsidRPr="00A56BC5">
        <w:rPr>
          <w:rStyle w:val="Emphasis"/>
          <w:color w:val="000000"/>
          <w:bdr w:val="none" w:sz="0" w:space="0" w:color="auto" w:frame="1"/>
        </w:rPr>
        <w:t>,</w:t>
      </w:r>
      <w:r w:rsidRPr="00A56BC5">
        <w:rPr>
          <w:i/>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sidRPr="00690FD1">
        <w:rPr>
          <w:color w:val="000000"/>
          <w:shd w:val="clear" w:color="auto" w:fill="FFFFFF"/>
        </w:rPr>
        <w:t>at p.</w:t>
      </w:r>
      <w:r>
        <w:rPr>
          <w:color w:val="000000"/>
          <w:shd w:val="clear" w:color="auto" w:fill="FFFFFF"/>
        </w:rPr>
        <w:t> </w:t>
      </w:r>
      <w:r w:rsidRPr="00690FD1">
        <w:rPr>
          <w:color w:val="000000"/>
          <w:shd w:val="clear" w:color="auto" w:fill="FFFFFF"/>
        </w:rPr>
        <w:t>733, fn.</w:t>
      </w:r>
      <w:r>
        <w:rPr>
          <w:color w:val="000000"/>
          <w:shd w:val="clear" w:color="auto" w:fill="FFFFFF"/>
        </w:rPr>
        <w:t> </w:t>
      </w:r>
      <w:r w:rsidRPr="00690FD1">
        <w:rPr>
          <w:color w:val="000000"/>
          <w:shd w:val="clear" w:color="auto" w:fill="FFFFFF"/>
        </w:rPr>
        <w:t>11.)</w:t>
      </w:r>
    </w:p>
    <w:p w14:paraId="70DD5DD1" w14:textId="77777777" w:rsidR="00AB000C" w:rsidRPr="002A2F96" w:rsidRDefault="00570B35" w:rsidP="00AB000C">
      <w:pPr>
        <w:shd w:val="clear" w:color="auto" w:fill="FFFFFF"/>
        <w:ind w:firstLine="720"/>
        <w:textAlignment w:val="baseline"/>
      </w:pPr>
      <w:r w:rsidRPr="00690FD1">
        <w:rPr>
          <w:color w:val="000000"/>
          <w:shd w:val="clear" w:color="auto" w:fill="FFFFFF"/>
        </w:rPr>
        <w:t xml:space="preserve">This 1918 grant of augmented power—the police power </w:t>
      </w:r>
      <w:proofErr w:type="gramStart"/>
      <w:r w:rsidRPr="00690FD1">
        <w:rPr>
          <w:color w:val="000000"/>
          <w:shd w:val="clear" w:color="auto" w:fill="FFFFFF"/>
        </w:rPr>
        <w:t>plus, if</w:t>
      </w:r>
      <w:proofErr w:type="gramEnd"/>
      <w:r w:rsidRPr="00690FD1">
        <w:rPr>
          <w:color w:val="000000"/>
          <w:shd w:val="clear" w:color="auto" w:fill="FFFFFF"/>
        </w:rPr>
        <w:t xml:space="preserve"> you will—could not have been reserved by the people in 1911 because it did not exist yet.  It placed the Legislature at the apex of a complex </w:t>
      </w:r>
      <w:r>
        <w:rPr>
          <w:color w:val="000000"/>
          <w:shd w:val="clear" w:color="auto" w:fill="FFFFFF"/>
        </w:rPr>
        <w:t xml:space="preserve">new </w:t>
      </w:r>
      <w:r w:rsidRPr="00690FD1">
        <w:rPr>
          <w:color w:val="000000"/>
          <w:shd w:val="clear" w:color="auto" w:fill="FFFFFF"/>
        </w:rPr>
        <w:t>administrative system that cut across all three b</w:t>
      </w:r>
      <w:r w:rsidRPr="00690FD1">
        <w:rPr>
          <w:color w:val="000000"/>
          <w:shd w:val="clear" w:color="auto" w:fill="FFFFFF"/>
        </w:rPr>
        <w:t>ranches of government, requiring regulation of workplace safety and workplace accident insurance, adjudication of claims</w:t>
      </w:r>
      <w:r>
        <w:rPr>
          <w:color w:val="000000"/>
          <w:shd w:val="clear" w:color="auto" w:fill="FFFFFF"/>
        </w:rPr>
        <w:t xml:space="preserve">, </w:t>
      </w:r>
      <w:r w:rsidRPr="00690FD1">
        <w:rPr>
          <w:color w:val="000000"/>
          <w:shd w:val="clear" w:color="auto" w:fill="FFFFFF"/>
        </w:rPr>
        <w:t xml:space="preserve">and ongoing assessment of the adequacy of medical treatment </w:t>
      </w:r>
      <w:r w:rsidRPr="002A2F96">
        <w:rPr>
          <w:color w:val="000000"/>
          <w:shd w:val="clear" w:color="auto" w:fill="FFFFFF"/>
        </w:rPr>
        <w:lastRenderedPageBreak/>
        <w:t xml:space="preserve">and compensation.  The broad array </w:t>
      </w:r>
      <w:r>
        <w:rPr>
          <w:color w:val="000000"/>
          <w:shd w:val="clear" w:color="auto" w:fill="FFFFFF"/>
        </w:rPr>
        <w:t>of</w:t>
      </w:r>
      <w:r w:rsidRPr="002A2F96">
        <w:rPr>
          <w:color w:val="000000"/>
          <w:shd w:val="clear" w:color="auto" w:fill="FFFFFF"/>
        </w:rPr>
        <w:t xml:space="preserve"> responsibilities detailed in article</w:t>
      </w:r>
      <w:r w:rsidRPr="002A2F96">
        <w:rPr>
          <w:color w:val="000000"/>
          <w:shd w:val="clear" w:color="auto" w:fill="FFFFFF"/>
        </w:rPr>
        <w:t xml:space="preserve"> XIV, section</w:t>
      </w:r>
      <w:r>
        <w:rPr>
          <w:color w:val="000000"/>
          <w:shd w:val="clear" w:color="auto" w:fill="FFFFFF"/>
        </w:rPr>
        <w:t> </w:t>
      </w:r>
      <w:r w:rsidRPr="002A2F96">
        <w:rPr>
          <w:color w:val="000000"/>
          <w:shd w:val="clear" w:color="auto" w:fill="FFFFFF"/>
        </w:rPr>
        <w:t>4, require</w:t>
      </w:r>
      <w:r>
        <w:rPr>
          <w:color w:val="000000"/>
          <w:shd w:val="clear" w:color="auto" w:fill="FFFFFF"/>
        </w:rPr>
        <w:t>d</w:t>
      </w:r>
      <w:r w:rsidRPr="002A2F96">
        <w:rPr>
          <w:color w:val="000000"/>
          <w:shd w:val="clear" w:color="auto" w:fill="FFFFFF"/>
        </w:rPr>
        <w:t xml:space="preserve"> the exercise of quasi-legislative powers that only the Legislature </w:t>
      </w:r>
      <w:r>
        <w:rPr>
          <w:color w:val="000000"/>
          <w:shd w:val="clear" w:color="auto" w:fill="FFFFFF"/>
        </w:rPr>
        <w:t xml:space="preserve">could </w:t>
      </w:r>
      <w:r w:rsidRPr="002A2F96">
        <w:rPr>
          <w:color w:val="000000"/>
          <w:shd w:val="clear" w:color="auto" w:fill="FFFFFF"/>
        </w:rPr>
        <w:t>undertake.</w:t>
      </w:r>
      <w:r>
        <w:rPr>
          <w:rStyle w:val="FootnoteReference"/>
          <w:color w:val="000000"/>
          <w:shd w:val="clear" w:color="auto" w:fill="FFFFFF"/>
        </w:rPr>
        <w:footnoteReference w:id="40"/>
      </w:r>
      <w:r>
        <w:rPr>
          <w:color w:val="000000"/>
          <w:shd w:val="clear" w:color="auto" w:fill="FFFFFF"/>
        </w:rPr>
        <w:t xml:space="preserve">  </w:t>
      </w:r>
      <w:r w:rsidRPr="002A2F96">
        <w:rPr>
          <w:color w:val="000000"/>
          <w:shd w:val="clear" w:color="auto" w:fill="FFFFFF"/>
        </w:rPr>
        <w:t xml:space="preserve">Ballot statute electors </w:t>
      </w:r>
      <w:r>
        <w:rPr>
          <w:color w:val="000000"/>
          <w:shd w:val="clear" w:color="auto" w:fill="FFFFFF"/>
        </w:rPr>
        <w:t xml:space="preserve">were—and still today </w:t>
      </w:r>
      <w:r w:rsidRPr="002A2F96">
        <w:rPr>
          <w:color w:val="000000"/>
          <w:shd w:val="clear" w:color="auto" w:fill="FFFFFF"/>
        </w:rPr>
        <w:t>are</w:t>
      </w:r>
      <w:r>
        <w:rPr>
          <w:color w:val="000000"/>
          <w:shd w:val="clear" w:color="auto" w:fill="FFFFFF"/>
        </w:rPr>
        <w:t>—</w:t>
      </w:r>
      <w:r w:rsidRPr="002A2F96">
        <w:rPr>
          <w:color w:val="000000"/>
          <w:shd w:val="clear" w:color="auto" w:fill="FFFFFF"/>
        </w:rPr>
        <w:t xml:space="preserve">constitutionally unable to fill the role.  </w:t>
      </w:r>
      <w:r w:rsidRPr="002A2F96">
        <w:rPr>
          <w:rFonts w:eastAsia="Times New Roman" w:cs="Times New Roman"/>
          <w:color w:val="000000"/>
          <w:shd w:val="clear" w:color="auto" w:fill="FFFFFF"/>
        </w:rPr>
        <w:t>(</w:t>
      </w:r>
      <w:r w:rsidRPr="002A2F96">
        <w:rPr>
          <w:rFonts w:eastAsia="Times New Roman" w:cs="Times New Roman"/>
          <w:i/>
          <w:iCs/>
          <w:color w:val="000000"/>
          <w:bdr w:val="none" w:sz="0" w:space="0" w:color="auto" w:frame="1"/>
        </w:rPr>
        <w:t>American Federation of Labor v. Eu</w:t>
      </w:r>
      <w:r w:rsidRPr="002A2F96">
        <w:rPr>
          <w:rFonts w:eastAsia="Times New Roman" w:cs="Times New Roman"/>
          <w:color w:val="000000"/>
        </w:rPr>
        <w:t xml:space="preserve">, </w:t>
      </w:r>
      <w:r w:rsidRPr="00471DC7">
        <w:rPr>
          <w:rFonts w:eastAsia="Times New Roman" w:cs="Times New Roman"/>
          <w:i/>
          <w:color w:val="000000"/>
        </w:rPr>
        <w:t>supra</w:t>
      </w:r>
      <w:r w:rsidRPr="002A2F96">
        <w:rPr>
          <w:rFonts w:eastAsia="Times New Roman" w:cs="Times New Roman"/>
          <w:color w:val="000000"/>
        </w:rPr>
        <w:t>, 36</w:t>
      </w:r>
      <w:r>
        <w:rPr>
          <w:rFonts w:eastAsia="Times New Roman" w:cs="Times New Roman"/>
          <w:color w:val="000000"/>
        </w:rPr>
        <w:t> </w:t>
      </w:r>
      <w:r w:rsidRPr="002A2F96">
        <w:rPr>
          <w:rFonts w:eastAsia="Times New Roman" w:cs="Times New Roman"/>
          <w:color w:val="000000"/>
        </w:rPr>
        <w:t>Cal.</w:t>
      </w:r>
      <w:r w:rsidRPr="002A2F96">
        <w:rPr>
          <w:rFonts w:eastAsia="Times New Roman" w:cs="Times New Roman"/>
          <w:color w:val="000000"/>
        </w:rPr>
        <w:t>3d at p.</w:t>
      </w:r>
      <w:r>
        <w:rPr>
          <w:rFonts w:eastAsia="Times New Roman" w:cs="Times New Roman"/>
          <w:color w:val="000000"/>
        </w:rPr>
        <w:t> </w:t>
      </w:r>
      <w:r w:rsidRPr="002A2F96">
        <w:rPr>
          <w:rFonts w:eastAsia="Times New Roman" w:cs="Times New Roman"/>
          <w:color w:val="000000"/>
        </w:rPr>
        <w:t>708 [article II, section</w:t>
      </w:r>
      <w:r>
        <w:rPr>
          <w:rFonts w:eastAsia="Times New Roman" w:cs="Times New Roman"/>
          <w:color w:val="000000"/>
        </w:rPr>
        <w:t> </w:t>
      </w:r>
      <w:r w:rsidRPr="002A2F96">
        <w:rPr>
          <w:rFonts w:eastAsia="Times New Roman" w:cs="Times New Roman"/>
          <w:color w:val="000000"/>
        </w:rPr>
        <w:t xml:space="preserve">8(a), legislative “powers </w:t>
      </w:r>
      <w:r w:rsidRPr="00471DC7">
        <w:rPr>
          <w:rStyle w:val="coconcept13"/>
          <w:color w:val="000000"/>
          <w:bdr w:val="none" w:sz="0" w:space="0" w:color="auto" w:frame="1"/>
          <w:shd w:val="clear" w:color="auto" w:fill="FFFFFF"/>
        </w:rPr>
        <w:t>are</w:t>
      </w:r>
      <w:r>
        <w:rPr>
          <w:color w:val="000000"/>
          <w:shd w:val="clear" w:color="auto" w:fill="FFFFFF"/>
        </w:rPr>
        <w:t xml:space="preserve"> </w:t>
      </w:r>
      <w:r w:rsidRPr="00471DC7">
        <w:rPr>
          <w:color w:val="000000"/>
          <w:shd w:val="clear" w:color="auto" w:fill="FFFFFF"/>
        </w:rPr>
        <w:t>limited</w:t>
      </w:r>
      <w:r>
        <w:rPr>
          <w:color w:val="000000"/>
          <w:shd w:val="clear" w:color="auto" w:fill="FFFFFF"/>
        </w:rPr>
        <w:t xml:space="preserve"> . . .</w:t>
      </w:r>
      <w:r w:rsidRPr="00471DC7">
        <w:rPr>
          <w:color w:val="000000"/>
          <w:shd w:val="clear" w:color="auto" w:fill="FFFFFF"/>
        </w:rPr>
        <w:t xml:space="preserve"> to the adoption or rejection of ‘statutes.”</w:t>
      </w:r>
      <w:r>
        <w:rPr>
          <w:color w:val="000000"/>
          <w:shd w:val="clear" w:color="auto" w:fill="FFFFFF"/>
        </w:rPr>
        <w:t>].</w:t>
      </w:r>
      <w:r w:rsidRPr="002A2F96">
        <w:rPr>
          <w:rFonts w:eastAsia="Times New Roman" w:cs="Times New Roman"/>
          <w:color w:val="000000"/>
        </w:rPr>
        <w:t>)</w:t>
      </w:r>
    </w:p>
    <w:p w14:paraId="77651CD9" w14:textId="77777777" w:rsidR="00AB000C" w:rsidRDefault="00570B35" w:rsidP="00AB000C">
      <w:pPr>
        <w:ind w:firstLine="720"/>
        <w:rPr>
          <w:rFonts w:cs="NewCenturySchlbkLTPro-Roman"/>
        </w:rPr>
      </w:pPr>
      <w:r w:rsidRPr="00690FD1">
        <w:t xml:space="preserve">We may glean from </w:t>
      </w:r>
      <w:r w:rsidRPr="00DA1EE8">
        <w:t>this</w:t>
      </w:r>
      <w:r w:rsidRPr="00690FD1">
        <w:t xml:space="preserve"> historical context that voters supporting the 1918 amplification of former article XX, section 21, intended that it </w:t>
      </w:r>
      <w:r w:rsidRPr="00690FD1">
        <w:rPr>
          <w:rFonts w:cs="NewCenturySchlbkLTPro-Roman"/>
        </w:rPr>
        <w:t>be given priority over other provisions in the</w:t>
      </w:r>
      <w:r>
        <w:rPr>
          <w:rFonts w:cs="NewCenturySchlbkLTPro-Roman"/>
        </w:rPr>
        <w:t xml:space="preserve"> Constitution in the event of conflict.  In addition to the singular role given to the Legisl</w:t>
      </w:r>
      <w:r>
        <w:rPr>
          <w:rFonts w:cs="NewCenturySchlbkLTPro-Roman"/>
        </w:rPr>
        <w:t xml:space="preserve">ature, as facilitated by the binding effect clause and the language </w:t>
      </w:r>
      <w:r w:rsidRPr="009F4F42">
        <w:rPr>
          <w:color w:val="000000"/>
          <w:shd w:val="clear" w:color="auto" w:fill="FFFFFF"/>
        </w:rPr>
        <w:t>“unlimited by any provision of this Constitution”</w:t>
      </w:r>
      <w:r>
        <w:rPr>
          <w:rFonts w:cs="NewCenturySchlbkLTPro-Roman"/>
        </w:rPr>
        <w:t>—two key features of the operative language that were added in 1918—</w:t>
      </w:r>
      <w:r>
        <w:rPr>
          <w:color w:val="000000"/>
          <w:shd w:val="clear" w:color="auto" w:fill="FFFFFF"/>
        </w:rPr>
        <w:t>there is another reason to draw this inference.  T</w:t>
      </w:r>
      <w:r>
        <w:rPr>
          <w:rFonts w:cs="NewCenturySchlbkLTPro-Roman"/>
        </w:rPr>
        <w:t>hese voters must be d</w:t>
      </w:r>
      <w:r>
        <w:rPr>
          <w:rFonts w:cs="NewCenturySchlbkLTPro-Roman"/>
        </w:rPr>
        <w:t xml:space="preserve">eemed to have been aware of the Supreme Court’s holding in </w:t>
      </w:r>
      <w:r w:rsidRPr="00C41236">
        <w:rPr>
          <w:rFonts w:cs="NewCenturySchlbkLTPro-Roman"/>
          <w:i/>
          <w:iCs/>
        </w:rPr>
        <w:t>Western Indemnity</w:t>
      </w:r>
      <w:r>
        <w:rPr>
          <w:rFonts w:cs="NewCenturySchlbkLTPro-Roman"/>
          <w:i/>
          <w:iCs/>
        </w:rPr>
        <w:t> </w:t>
      </w:r>
      <w:r w:rsidRPr="00C41236">
        <w:rPr>
          <w:rFonts w:cs="NewCenturySchlbkLTPro-Roman"/>
          <w:i/>
          <w:iCs/>
        </w:rPr>
        <w:t>I</w:t>
      </w:r>
      <w:r>
        <w:rPr>
          <w:rFonts w:cs="NewCenturySchlbkLTPro-Roman"/>
        </w:rPr>
        <w:t xml:space="preserve"> that former article XX, section 21, as originally adopted, “worked a </w:t>
      </w:r>
      <w:r w:rsidRPr="0076214E">
        <w:rPr>
          <w:rFonts w:cs="NewCenturySchlbkLTPro-Roman"/>
        </w:rPr>
        <w:t xml:space="preserve">repeal, </w:t>
      </w:r>
      <w:r w:rsidRPr="00A14616">
        <w:rPr>
          <w:rFonts w:cs="NewCenturySchlbkLTPro-Roman"/>
          <w:i/>
        </w:rPr>
        <w:t>pro tanto</w:t>
      </w:r>
      <w:r w:rsidRPr="0076214E">
        <w:rPr>
          <w:rFonts w:cs="NewCenturySchlbkLTPro-Roman"/>
        </w:rPr>
        <w:t xml:space="preserve">, of any conflicting provision </w:t>
      </w:r>
      <w:r>
        <w:rPr>
          <w:rFonts w:cs="NewCenturySchlbkLTPro-Roman"/>
        </w:rPr>
        <w:t xml:space="preserve">which </w:t>
      </w:r>
      <w:r w:rsidRPr="006A6B53">
        <w:rPr>
          <w:rFonts w:cs="NewCenturySchlbkLTPro-Roman"/>
        </w:rPr>
        <w:t>may have been in force theretofore</w:t>
      </w:r>
      <w:r w:rsidRPr="00B93869">
        <w:rPr>
          <w:rFonts w:cs="NewCenturySchlbkLTPro-Roman"/>
        </w:rPr>
        <w:t>.”</w:t>
      </w:r>
      <w:r>
        <w:rPr>
          <w:rFonts w:cs="NewCenturySchlbkLTPro-Roman"/>
        </w:rPr>
        <w:t xml:space="preserve">  </w:t>
      </w:r>
      <w:r w:rsidRPr="00B93869">
        <w:rPr>
          <w:rFonts w:cs="NewCenturySchlbkLTPro-Roman"/>
        </w:rPr>
        <w:t>(</w:t>
      </w:r>
      <w:r>
        <w:rPr>
          <w:rFonts w:cs="NewCenturySchlbkLTPro-Roman"/>
          <w:i/>
          <w:iCs/>
        </w:rPr>
        <w:t>Western Indemni</w:t>
      </w:r>
      <w:r>
        <w:rPr>
          <w:rFonts w:cs="NewCenturySchlbkLTPro-Roman"/>
          <w:i/>
          <w:iCs/>
        </w:rPr>
        <w:t>ty I</w:t>
      </w:r>
      <w:r w:rsidRPr="00B93869">
        <w:rPr>
          <w:rFonts w:cs="NewCenturySchlbkLTPro-Roman"/>
        </w:rPr>
        <w:t xml:space="preserve">, </w:t>
      </w:r>
      <w:r w:rsidRPr="00DE1C07">
        <w:rPr>
          <w:rFonts w:cs="NewCenturySchlbkLTPro-Roman"/>
          <w:i/>
          <w:iCs/>
        </w:rPr>
        <w:t>supra</w:t>
      </w:r>
      <w:r>
        <w:rPr>
          <w:rFonts w:cs="NewCenturySchlbkLTPro-Roman"/>
        </w:rPr>
        <w:t xml:space="preserve">, </w:t>
      </w:r>
      <w:r w:rsidRPr="00136CAE">
        <w:rPr>
          <w:rFonts w:eastAsia="Times New Roman" w:cs="Times New Roman"/>
          <w:color w:val="000000"/>
        </w:rPr>
        <w:t xml:space="preserve">170 Cal. </w:t>
      </w:r>
      <w:r w:rsidRPr="00B93869">
        <w:rPr>
          <w:rFonts w:cs="NewCenturySchlbkLTPro-Roman"/>
        </w:rPr>
        <w:t>at p.</w:t>
      </w:r>
      <w:r>
        <w:rPr>
          <w:rFonts w:cs="NewCenturySchlbkLTPro-Roman"/>
        </w:rPr>
        <w:t> </w:t>
      </w:r>
      <w:r w:rsidRPr="00B014A9">
        <w:rPr>
          <w:rFonts w:eastAsia="Times New Roman" w:cs="Times New Roman"/>
          <w:color w:val="000000"/>
        </w:rPr>
        <w:t>695.)</w:t>
      </w:r>
      <w:r>
        <w:rPr>
          <w:rFonts w:cs="NewCenturySchlbkLTPro-Roman"/>
        </w:rPr>
        <w:t xml:space="preserve">  It makes no sense that voters would have intended the 1918 version </w:t>
      </w:r>
      <w:r w:rsidRPr="00144A54">
        <w:rPr>
          <w:rFonts w:cs="NewCenturySchlbkLTPro-Roman"/>
        </w:rPr>
        <w:t>of former article</w:t>
      </w:r>
      <w:r>
        <w:rPr>
          <w:rFonts w:cs="NewCenturySchlbkLTPro-Roman"/>
        </w:rPr>
        <w:t xml:space="preserve"> XX, section 21, to have any </w:t>
      </w:r>
      <w:r>
        <w:rPr>
          <w:rFonts w:cs="NewCenturySchlbkLTPro-Roman"/>
        </w:rPr>
        <w:lastRenderedPageBreak/>
        <w:t xml:space="preserve">lesser priority than the original version upheld in </w:t>
      </w:r>
      <w:r w:rsidRPr="00144A54">
        <w:rPr>
          <w:rFonts w:cs="NewCenturySchlbkLTPro-Roman"/>
          <w:i/>
        </w:rPr>
        <w:t>Western Indemnity</w:t>
      </w:r>
      <w:r>
        <w:rPr>
          <w:rFonts w:cs="NewCenturySchlbkLTPro-Roman"/>
          <w:i/>
          <w:iCs/>
        </w:rPr>
        <w:t> </w:t>
      </w:r>
      <w:r w:rsidRPr="00144A54">
        <w:rPr>
          <w:rFonts w:cs="NewCenturySchlbkLTPro-Roman"/>
          <w:i/>
        </w:rPr>
        <w:t>I</w:t>
      </w:r>
      <w:r>
        <w:rPr>
          <w:rFonts w:cs="NewCenturySchlbkLTPro-Roman"/>
        </w:rPr>
        <w:t>.</w:t>
      </w:r>
    </w:p>
    <w:p w14:paraId="7D10AFD5" w14:textId="77777777" w:rsidR="00AB000C" w:rsidRPr="0083527C" w:rsidRDefault="00570B35" w:rsidP="00AB000C">
      <w:pPr>
        <w:ind w:firstLine="720"/>
        <w:rPr>
          <w:rStyle w:val="CommentReference"/>
        </w:rPr>
      </w:pPr>
      <w:r>
        <w:rPr>
          <w:rFonts w:cs="NewCenturySchlbkLTPro-Roman"/>
        </w:rPr>
        <w:t>Not surprisingly, courts have faithfully recognized the position of relative superiority within the Constitution that the plain language of article XIV, s</w:t>
      </w:r>
      <w:r>
        <w:rPr>
          <w:rFonts w:cs="NewCenturySchlbkLTPro-Roman"/>
        </w:rPr>
        <w:t xml:space="preserve">ection 4 requires.  In an opinion that supplies the most recent evidence of article XIV, section 4’s continuing vitality today, a First District, Division One </w:t>
      </w:r>
      <w:r w:rsidRPr="007B35A1">
        <w:rPr>
          <w:rFonts w:cs="NewCenturySchlbkLTPro-Roman"/>
        </w:rPr>
        <w:t>panel held only a few years ago that article XIV, section</w:t>
      </w:r>
      <w:r>
        <w:rPr>
          <w:rFonts w:cs="NewCenturySchlbkLTPro-Roman"/>
        </w:rPr>
        <w:t> </w:t>
      </w:r>
      <w:r w:rsidRPr="007B35A1">
        <w:rPr>
          <w:rFonts w:cs="NewCenturySchlbkLTPro-Roman"/>
        </w:rPr>
        <w:t>4</w:t>
      </w:r>
      <w:r>
        <w:rPr>
          <w:rFonts w:cs="NewCenturySchlbkLTPro-Roman"/>
        </w:rPr>
        <w:t>,</w:t>
      </w:r>
      <w:r w:rsidRPr="007B35A1">
        <w:rPr>
          <w:rFonts w:cs="NewCenturySchlbkLTPro-Roman"/>
        </w:rPr>
        <w:t xml:space="preserve"> </w:t>
      </w:r>
      <w:r w:rsidRPr="0050291E">
        <w:rPr>
          <w:rFonts w:eastAsia="Times New Roman" w:cs="Times New Roman"/>
          <w:color w:val="000000"/>
          <w:shd w:val="clear" w:color="auto" w:fill="FFFFFF"/>
        </w:rPr>
        <w:t>“supersedes the state Constitution</w:t>
      </w:r>
      <w:r>
        <w:rPr>
          <w:rFonts w:eastAsia="Times New Roman" w:cs="Times New Roman"/>
          <w:color w:val="000000"/>
          <w:shd w:val="clear" w:color="auto" w:fill="FFFFFF"/>
        </w:rPr>
        <w:t>’</w:t>
      </w:r>
      <w:r w:rsidRPr="0050291E">
        <w:rPr>
          <w:rFonts w:eastAsia="Times New Roman" w:cs="Times New Roman"/>
          <w:color w:val="000000"/>
          <w:shd w:val="clear" w:color="auto" w:fill="FFFFFF"/>
        </w:rPr>
        <w:t>s</w:t>
      </w:r>
      <w:r w:rsidRPr="0050291E">
        <w:rPr>
          <w:rFonts w:eastAsia="Times New Roman" w:cs="Times New Roman"/>
          <w:color w:val="000000"/>
          <w:shd w:val="clear" w:color="auto" w:fill="FFFFFF"/>
        </w:rPr>
        <w:t xml:space="preserve"> due process clause with respect to legislation passed under the Legislature</w:t>
      </w:r>
      <w:r>
        <w:rPr>
          <w:rFonts w:eastAsia="Times New Roman" w:cs="Times New Roman"/>
          <w:color w:val="000000"/>
          <w:shd w:val="clear" w:color="auto" w:fill="FFFFFF"/>
        </w:rPr>
        <w:t>’</w:t>
      </w:r>
      <w:r w:rsidRPr="0050291E">
        <w:rPr>
          <w:rFonts w:eastAsia="Times New Roman" w:cs="Times New Roman"/>
          <w:color w:val="000000"/>
          <w:shd w:val="clear" w:color="auto" w:fill="FFFFFF"/>
        </w:rPr>
        <w:t>s plenary powers over the workers</w:t>
      </w:r>
      <w:r>
        <w:rPr>
          <w:rFonts w:eastAsia="Times New Roman" w:cs="Times New Roman"/>
          <w:color w:val="000000"/>
          <w:shd w:val="clear" w:color="auto" w:fill="FFFFFF"/>
        </w:rPr>
        <w:t>’</w:t>
      </w:r>
      <w:r w:rsidRPr="0050291E">
        <w:rPr>
          <w:rFonts w:eastAsia="Times New Roman" w:cs="Times New Roman"/>
          <w:color w:val="000000"/>
          <w:shd w:val="clear" w:color="auto" w:fill="FFFFFF"/>
        </w:rPr>
        <w:t xml:space="preserve"> compensation system</w:t>
      </w:r>
      <w:r>
        <w:rPr>
          <w:rFonts w:eastAsia="Times New Roman" w:cs="Times New Roman"/>
          <w:color w:val="000000"/>
          <w:shd w:val="clear" w:color="auto" w:fill="FFFFFF"/>
        </w:rPr>
        <w:t>.</w:t>
      </w:r>
      <w:r w:rsidRPr="0050291E">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Pr="0050291E">
        <w:rPr>
          <w:rFonts w:eastAsia="Times New Roman" w:cs="Times New Roman"/>
          <w:color w:val="000000"/>
          <w:shd w:val="clear" w:color="auto" w:fill="FFFFFF"/>
        </w:rPr>
        <w:t>(</w:t>
      </w:r>
      <w:r w:rsidRPr="008C57DF">
        <w:rPr>
          <w:rFonts w:eastAsia="Times New Roman" w:cs="Times New Roman"/>
          <w:i/>
          <w:iCs/>
          <w:color w:val="000000"/>
          <w:bdr w:val="none" w:sz="0" w:space="0" w:color="auto" w:frame="1"/>
        </w:rPr>
        <w:t>Stevens v. Workers’ Comp</w:t>
      </w:r>
      <w:r>
        <w:rPr>
          <w:rFonts w:eastAsia="Times New Roman" w:cs="Times New Roman"/>
          <w:i/>
          <w:iCs/>
          <w:color w:val="000000"/>
          <w:bdr w:val="none" w:sz="0" w:space="0" w:color="auto" w:frame="1"/>
        </w:rPr>
        <w:t>.</w:t>
      </w:r>
      <w:r w:rsidRPr="008C57DF">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8C57DF">
        <w:rPr>
          <w:rFonts w:eastAsia="Times New Roman" w:cs="Times New Roman"/>
          <w:color w:val="000000"/>
        </w:rPr>
        <w:t>(2015) 241</w:t>
      </w:r>
      <w:r>
        <w:rPr>
          <w:rFonts w:eastAsia="Times New Roman" w:cs="Times New Roman"/>
          <w:color w:val="000000"/>
        </w:rPr>
        <w:t> </w:t>
      </w:r>
      <w:r w:rsidRPr="008C57DF">
        <w:rPr>
          <w:rFonts w:eastAsia="Times New Roman" w:cs="Times New Roman"/>
          <w:color w:val="000000"/>
        </w:rPr>
        <w:t>Cal.App.4</w:t>
      </w:r>
      <w:r>
        <w:rPr>
          <w:rFonts w:eastAsia="Times New Roman" w:cs="Times New Roman"/>
          <w:color w:val="000000"/>
        </w:rPr>
        <w:t>th</w:t>
      </w:r>
      <w:r w:rsidRPr="008C57DF">
        <w:rPr>
          <w:rFonts w:eastAsia="Times New Roman" w:cs="Times New Roman"/>
          <w:color w:val="000000"/>
        </w:rPr>
        <w:t xml:space="preserve"> 1074, 109</w:t>
      </w:r>
      <w:r>
        <w:rPr>
          <w:rFonts w:eastAsia="Times New Roman" w:cs="Times New Roman"/>
          <w:color w:val="000000"/>
        </w:rPr>
        <w:t>3</w:t>
      </w:r>
      <w:r w:rsidRPr="008C57DF">
        <w:rPr>
          <w:rFonts w:eastAsia="Times New Roman" w:cs="Times New Roman"/>
          <w:color w:val="000000"/>
        </w:rPr>
        <w:t xml:space="preserve"> (</w:t>
      </w:r>
      <w:r w:rsidRPr="008C57DF">
        <w:rPr>
          <w:rFonts w:eastAsia="Times New Roman" w:cs="Times New Roman"/>
          <w:i/>
          <w:iCs/>
          <w:color w:val="000000"/>
        </w:rPr>
        <w:t>Stevens</w:t>
      </w:r>
      <w:r w:rsidRPr="008C57DF">
        <w:rPr>
          <w:rFonts w:eastAsia="Times New Roman" w:cs="Times New Roman"/>
          <w:color w:val="000000"/>
        </w:rPr>
        <w:t>)</w:t>
      </w:r>
      <w:r>
        <w:rPr>
          <w:rFonts w:eastAsia="Times New Roman" w:cs="Times New Roman"/>
          <w:color w:val="000000"/>
        </w:rPr>
        <w:t xml:space="preserve">.) </w:t>
      </w:r>
      <w:r>
        <w:rPr>
          <w:rFonts w:eastAsia="Times New Roman" w:cs="Times New Roman"/>
          <w:color w:val="000000"/>
          <w:shd w:val="clear" w:color="auto" w:fill="FFFFFF"/>
        </w:rPr>
        <w:t xml:space="preserve"> </w:t>
      </w:r>
      <w:r w:rsidRPr="000D091C">
        <w:rPr>
          <w:rFonts w:eastAsia="Times New Roman" w:cs="Times New Roman"/>
          <w:i/>
          <w:color w:val="000000"/>
          <w:shd w:val="clear" w:color="auto" w:fill="FFFFFF"/>
        </w:rPr>
        <w:t>Stevens</w:t>
      </w:r>
      <w:r w:rsidRPr="00C72A3E">
        <w:rPr>
          <w:rFonts w:eastAsia="Times New Roman" w:cs="Times New Roman"/>
          <w:color w:val="000000"/>
          <w:shd w:val="clear" w:color="auto" w:fill="FFFFFF"/>
        </w:rPr>
        <w:t xml:space="preserve"> also held that article XIV, section</w:t>
      </w:r>
      <w:r>
        <w:rPr>
          <w:rFonts w:eastAsia="Times New Roman" w:cs="Times New Roman"/>
          <w:color w:val="000000"/>
          <w:shd w:val="clear" w:color="auto" w:fill="FFFFFF"/>
        </w:rPr>
        <w:t> </w:t>
      </w:r>
      <w:r w:rsidRPr="00C72A3E">
        <w:rPr>
          <w:rFonts w:eastAsia="Times New Roman" w:cs="Times New Roman"/>
          <w:color w:val="000000"/>
          <w:shd w:val="clear" w:color="auto" w:fill="FFFFFF"/>
        </w:rPr>
        <w:t>4, “</w:t>
      </w:r>
      <w:r w:rsidRPr="000D091C">
        <w:rPr>
          <w:rFonts w:eastAsia="Times New Roman" w:cs="Times New Roman"/>
          <w:color w:val="000000"/>
          <w:shd w:val="clear" w:color="auto" w:fill="FFFFFF"/>
        </w:rPr>
        <w:t xml:space="preserve">trumps the separation of powers clause </w:t>
      </w:r>
      <w:r w:rsidRPr="006D0571">
        <w:rPr>
          <w:rFonts w:eastAsia="Times New Roman" w:cs="Times New Roman"/>
          <w:color w:val="000000"/>
          <w:shd w:val="clear" w:color="auto" w:fill="FFFFFF"/>
        </w:rPr>
        <w:t>[</w:t>
      </w:r>
      <w:r w:rsidRPr="000D091C">
        <w:rPr>
          <w:rFonts w:eastAsia="Times New Roman" w:cs="Times New Roman"/>
          <w:color w:val="000000"/>
          <w:shd w:val="clear" w:color="auto" w:fill="FFFFFF"/>
        </w:rPr>
        <w:t>art</w:t>
      </w:r>
      <w:r>
        <w:rPr>
          <w:rFonts w:eastAsia="Times New Roman" w:cs="Times New Roman"/>
          <w:color w:val="000000"/>
          <w:shd w:val="clear" w:color="auto" w:fill="FFFFFF"/>
        </w:rPr>
        <w:t>. </w:t>
      </w:r>
      <w:r w:rsidRPr="002127E9">
        <w:rPr>
          <w:rFonts w:eastAsia="Times New Roman" w:cs="Times New Roman"/>
          <w:color w:val="000000"/>
          <w:shd w:val="clear" w:color="auto" w:fill="FFFFFF"/>
        </w:rPr>
        <w:t>II</w:t>
      </w:r>
      <w:r>
        <w:rPr>
          <w:rFonts w:eastAsia="Times New Roman" w:cs="Times New Roman"/>
          <w:color w:val="000000"/>
          <w:shd w:val="clear" w:color="auto" w:fill="FFFFFF"/>
        </w:rPr>
        <w:t>I</w:t>
      </w:r>
      <w:r w:rsidRPr="000D091C">
        <w:rPr>
          <w:rFonts w:eastAsia="Times New Roman" w:cs="Times New Roman"/>
          <w:color w:val="000000"/>
          <w:shd w:val="clear" w:color="auto" w:fill="FFFFFF"/>
        </w:rPr>
        <w:t xml:space="preserve">, </w:t>
      </w:r>
      <w:r>
        <w:rPr>
          <w:rFonts w:eastAsia="Times New Roman" w:cs="Times New Roman"/>
          <w:color w:val="000000"/>
          <w:shd w:val="clear" w:color="auto" w:fill="FFFFFF"/>
        </w:rPr>
        <w:t>§ </w:t>
      </w:r>
      <w:r w:rsidRPr="0083527C">
        <w:rPr>
          <w:rFonts w:eastAsia="Times New Roman" w:cs="Times New Roman"/>
          <w:color w:val="000000"/>
          <w:shd w:val="clear" w:color="auto" w:fill="FFFFFF"/>
        </w:rPr>
        <w:t>3</w:t>
      </w:r>
      <w:r w:rsidRPr="006D0571">
        <w:rPr>
          <w:rFonts w:eastAsia="Times New Roman" w:cs="Times New Roman"/>
          <w:color w:val="000000"/>
          <w:shd w:val="clear" w:color="auto" w:fill="FFFFFF"/>
        </w:rPr>
        <w:t>]</w:t>
      </w:r>
      <w:r w:rsidRPr="0083527C">
        <w:rPr>
          <w:rFonts w:eastAsia="Times New Roman" w:cs="Times New Roman"/>
          <w:color w:val="000000"/>
          <w:shd w:val="clear" w:color="auto" w:fill="FFFFFF"/>
        </w:rPr>
        <w:t xml:space="preserve"> under the state Constitution’s plain terms,” since article III, section</w:t>
      </w:r>
      <w:r>
        <w:rPr>
          <w:rFonts w:eastAsia="Times New Roman" w:cs="Times New Roman"/>
          <w:color w:val="000000"/>
          <w:shd w:val="clear" w:color="auto" w:fill="FFFFFF"/>
        </w:rPr>
        <w:t> </w:t>
      </w:r>
      <w:r w:rsidRPr="0083527C">
        <w:rPr>
          <w:rFonts w:eastAsia="Times New Roman" w:cs="Times New Roman"/>
          <w:color w:val="000000"/>
          <w:shd w:val="clear" w:color="auto" w:fill="FFFFFF"/>
        </w:rPr>
        <w:t xml:space="preserve">3, expressly contemplates exceptions </w:t>
      </w:r>
      <w:r>
        <w:rPr>
          <w:rFonts w:eastAsia="Times New Roman" w:cs="Times New Roman"/>
          <w:color w:val="000000"/>
          <w:shd w:val="clear" w:color="auto" w:fill="FFFFFF"/>
        </w:rPr>
        <w:t xml:space="preserve">stated </w:t>
      </w:r>
      <w:r w:rsidRPr="0083527C">
        <w:rPr>
          <w:rFonts w:eastAsia="Times New Roman" w:cs="Times New Roman"/>
          <w:color w:val="000000"/>
          <w:shd w:val="clear" w:color="auto" w:fill="FFFFFF"/>
        </w:rPr>
        <w:t>within the Constitution itself.  (</w:t>
      </w:r>
      <w:r w:rsidRPr="0015733C">
        <w:rPr>
          <w:rFonts w:eastAsia="Times New Roman" w:cs="Times New Roman"/>
          <w:i/>
          <w:iCs/>
          <w:color w:val="000000"/>
          <w:shd w:val="clear" w:color="auto" w:fill="FFFFFF"/>
        </w:rPr>
        <w:t>Stevens</w:t>
      </w:r>
      <w:r>
        <w:rPr>
          <w:rFonts w:eastAsia="Times New Roman" w:cs="Times New Roman"/>
          <w:color w:val="000000"/>
          <w:shd w:val="clear" w:color="auto" w:fill="FFFFFF"/>
        </w:rPr>
        <w:t>,</w:t>
      </w:r>
      <w:r w:rsidRPr="0015733C">
        <w:rPr>
          <w:rFonts w:eastAsia="Times New Roman" w:cs="Times New Roman"/>
          <w:color w:val="000000"/>
          <w:shd w:val="clear" w:color="auto" w:fill="FFFFFF"/>
        </w:rPr>
        <w:t xml:space="preserve"> </w:t>
      </w:r>
      <w:r w:rsidRPr="0083527C">
        <w:rPr>
          <w:rFonts w:eastAsia="Times New Roman" w:cs="Times New Roman"/>
          <w:color w:val="000000"/>
          <w:shd w:val="clear" w:color="auto" w:fill="FFFFFF"/>
        </w:rPr>
        <w:t>at p.</w:t>
      </w:r>
      <w:r>
        <w:rPr>
          <w:rFonts w:eastAsia="Times New Roman" w:cs="Times New Roman"/>
          <w:color w:val="000000"/>
          <w:shd w:val="clear" w:color="auto" w:fill="FFFFFF"/>
        </w:rPr>
        <w:t> </w:t>
      </w:r>
      <w:r w:rsidRPr="0083527C">
        <w:rPr>
          <w:rFonts w:eastAsia="Times New Roman" w:cs="Times New Roman"/>
          <w:color w:val="000000"/>
          <w:shd w:val="clear" w:color="auto" w:fill="FFFFFF"/>
        </w:rPr>
        <w:t xml:space="preserve">1092.) </w:t>
      </w:r>
      <w:r w:rsidRPr="00891510">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Notably, to support </w:t>
      </w:r>
      <w:r w:rsidRPr="00C72A3E">
        <w:rPr>
          <w:rFonts w:eastAsia="Times New Roman" w:cs="Times New Roman"/>
          <w:color w:val="000000"/>
          <w:shd w:val="clear" w:color="auto" w:fill="FFFFFF"/>
        </w:rPr>
        <w:t>th</w:t>
      </w:r>
      <w:r>
        <w:rPr>
          <w:rFonts w:eastAsia="Times New Roman" w:cs="Times New Roman"/>
          <w:color w:val="000000"/>
          <w:shd w:val="clear" w:color="auto" w:fill="FFFFFF"/>
        </w:rPr>
        <w:t xml:space="preserve">ese holdings, the </w:t>
      </w:r>
      <w:r w:rsidRPr="00B11A66">
        <w:rPr>
          <w:rFonts w:eastAsia="Times New Roman" w:cs="Times New Roman"/>
          <w:i/>
          <w:iCs/>
          <w:color w:val="000000"/>
          <w:shd w:val="clear" w:color="auto" w:fill="FFFFFF"/>
        </w:rPr>
        <w:t>Stevens</w:t>
      </w:r>
      <w:r>
        <w:rPr>
          <w:rFonts w:eastAsia="Times New Roman" w:cs="Times New Roman"/>
          <w:color w:val="000000"/>
          <w:shd w:val="clear" w:color="auto" w:fill="FFFFFF"/>
        </w:rPr>
        <w:t xml:space="preserve"> court cited </w:t>
      </w:r>
      <w:r w:rsidRPr="007B35A1">
        <w:rPr>
          <w:rFonts w:cs="NewCenturySchlbkLTPro-Roman"/>
        </w:rPr>
        <w:t xml:space="preserve">implied </w:t>
      </w:r>
      <w:r w:rsidRPr="00DC070B">
        <w:rPr>
          <w:rFonts w:cs="NewCenturySchlbkLTPro-Roman"/>
          <w:i/>
        </w:rPr>
        <w:t>pro tanto</w:t>
      </w:r>
      <w:r w:rsidRPr="007B35A1">
        <w:rPr>
          <w:rFonts w:cs="NewCenturySchlbkLTPro-Roman"/>
        </w:rPr>
        <w:t xml:space="preserve"> repeal cases that trace back to </w:t>
      </w:r>
      <w:r w:rsidRPr="0050291E">
        <w:rPr>
          <w:rFonts w:cs="NewCenturySchlbkLTPro-Roman"/>
          <w:i/>
          <w:iCs/>
        </w:rPr>
        <w:t>Western Indemnity</w:t>
      </w:r>
      <w:r>
        <w:rPr>
          <w:rFonts w:cs="NewCenturySchlbkLTPro-Roman"/>
          <w:i/>
          <w:iCs/>
        </w:rPr>
        <w:t> </w:t>
      </w:r>
      <w:r w:rsidRPr="0050291E">
        <w:rPr>
          <w:rFonts w:cs="NewCenturySchlbkLTPro-Roman"/>
          <w:i/>
          <w:iCs/>
        </w:rPr>
        <w:t>I</w:t>
      </w:r>
      <w:r>
        <w:rPr>
          <w:rFonts w:eastAsia="Times New Roman" w:cs="Times New Roman"/>
          <w:color w:val="000000"/>
          <w:shd w:val="clear" w:color="auto" w:fill="FFFFFF"/>
        </w:rPr>
        <w:t xml:space="preserve">.  </w:t>
      </w:r>
      <w:r w:rsidRPr="00C72A3E">
        <w:rPr>
          <w:rFonts w:eastAsia="Times New Roman" w:cs="Times New Roman"/>
          <w:color w:val="000000"/>
          <w:shd w:val="clear" w:color="auto" w:fill="FFFFFF"/>
        </w:rPr>
        <w:t>(</w:t>
      </w:r>
      <w:r w:rsidRPr="00904935">
        <w:rPr>
          <w:rFonts w:eastAsia="Times New Roman" w:cs="Times New Roman"/>
          <w:i/>
          <w:iCs/>
          <w:color w:val="000000"/>
          <w:shd w:val="clear" w:color="auto" w:fill="FFFFFF"/>
        </w:rPr>
        <w:t>Stevens</w:t>
      </w:r>
      <w:r>
        <w:rPr>
          <w:rFonts w:eastAsia="Times New Roman" w:cs="Times New Roman"/>
          <w:color w:val="000000"/>
          <w:shd w:val="clear" w:color="auto" w:fill="FFFFFF"/>
        </w:rPr>
        <w:t>, at p. 1093.</w:t>
      </w:r>
      <w:r>
        <w:rPr>
          <w:rFonts w:eastAsia="Times New Roman" w:cs="Times New Roman"/>
          <w:color w:val="000000"/>
        </w:rPr>
        <w:t>)</w:t>
      </w:r>
      <w:r>
        <w:rPr>
          <w:rStyle w:val="FootnoteReference"/>
        </w:rPr>
        <w:footnoteReference w:id="41"/>
      </w:r>
    </w:p>
    <w:p w14:paraId="04367A17" w14:textId="77777777" w:rsidR="00AB000C" w:rsidRDefault="00570B35" w:rsidP="00AB000C">
      <w:pPr>
        <w:ind w:firstLine="720"/>
        <w:rPr>
          <w:rFonts w:eastAsia="Times New Roman" w:cs="Times New Roman"/>
          <w:color w:val="000000"/>
        </w:rPr>
      </w:pPr>
      <w:r w:rsidRPr="00165029">
        <w:rPr>
          <w:rFonts w:cs="NewCenturySchlbkLTPro-Roman"/>
          <w:i/>
          <w:iCs/>
        </w:rPr>
        <w:t>McPherson</w:t>
      </w:r>
      <w:r>
        <w:rPr>
          <w:rFonts w:cs="NewCenturySchlbkLTPro-Roman"/>
        </w:rPr>
        <w:t xml:space="preserve"> provides a useful point of contrast.  Article XII, section 5, the plenary power clause at issue there—which </w:t>
      </w:r>
      <w:r>
        <w:rPr>
          <w:rFonts w:cs="NewCenturySchlbkLTPro-Roman"/>
        </w:rPr>
        <w:lastRenderedPageBreak/>
        <w:t>includes no language equivalent to the binding effect clause or the “unlimited by any provision of this Constitution” language in article XIV, sect</w:t>
      </w:r>
      <w:r>
        <w:rPr>
          <w:rFonts w:cs="NewCenturySchlbkLTPro-Roman"/>
        </w:rPr>
        <w:t xml:space="preserve">ion 4—was another </w:t>
      </w:r>
      <w:r w:rsidRPr="00A7741A">
        <w:rPr>
          <w:rFonts w:cs="NewCenturySchlbkLTPro-Roman"/>
        </w:rPr>
        <w:t xml:space="preserve">ballot constitutional amendment </w:t>
      </w:r>
      <w:r>
        <w:rPr>
          <w:rFonts w:cs="NewCenturySchlbkLTPro-Roman"/>
        </w:rPr>
        <w:t>passed in the October 1911 special election.  (</w:t>
      </w:r>
      <w:r>
        <w:rPr>
          <w:rFonts w:eastAsia="Times New Roman" w:cs="Times New Roman"/>
          <w:i/>
          <w:iCs/>
          <w:color w:val="000000"/>
          <w:bdr w:val="none" w:sz="0" w:space="0" w:color="auto" w:frame="1"/>
        </w:rPr>
        <w:t>McPherson</w:t>
      </w:r>
      <w:r>
        <w:rPr>
          <w:rFonts w:eastAsia="Times New Roman" w:cs="Times New Roman"/>
          <w:color w:val="000000"/>
        </w:rPr>
        <w:t xml:space="preserve">, </w:t>
      </w:r>
      <w:r w:rsidRPr="00A0472E">
        <w:rPr>
          <w:rFonts w:eastAsia="Times New Roman" w:cs="Times New Roman"/>
          <w:i/>
          <w:color w:val="000000"/>
        </w:rPr>
        <w:t>supra</w:t>
      </w:r>
      <w:r>
        <w:rPr>
          <w:rFonts w:eastAsia="Times New Roman" w:cs="Times New Roman"/>
          <w:color w:val="000000"/>
        </w:rPr>
        <w:t>,</w:t>
      </w:r>
      <w:r w:rsidRPr="00FB6FFD">
        <w:rPr>
          <w:rFonts w:eastAsia="Times New Roman" w:cs="Times New Roman"/>
          <w:color w:val="000000"/>
        </w:rPr>
        <w:t xml:space="preserve"> 38</w:t>
      </w:r>
      <w:r>
        <w:rPr>
          <w:rFonts w:eastAsia="Times New Roman" w:cs="Times New Roman"/>
          <w:color w:val="000000"/>
        </w:rPr>
        <w:t> </w:t>
      </w:r>
      <w:r w:rsidRPr="00FB6FFD">
        <w:rPr>
          <w:rFonts w:eastAsia="Times New Roman" w:cs="Times New Roman"/>
          <w:color w:val="000000"/>
        </w:rPr>
        <w:t>Cal.</w:t>
      </w:r>
      <w:r w:rsidRPr="005C5737">
        <w:rPr>
          <w:rFonts w:eastAsia="Times New Roman" w:cs="Times New Roman"/>
          <w:color w:val="000000"/>
        </w:rPr>
        <w:t>4</w:t>
      </w:r>
      <w:r>
        <w:rPr>
          <w:rFonts w:eastAsia="Times New Roman" w:cs="Times New Roman"/>
          <w:color w:val="000000"/>
        </w:rPr>
        <w:t xml:space="preserve">th at p. 1042.) </w:t>
      </w:r>
      <w:r>
        <w:rPr>
          <w:rFonts w:cs="NewCenturySchlbkLTPro-Roman"/>
        </w:rPr>
        <w:t xml:space="preserve"> The </w:t>
      </w:r>
      <w:r w:rsidRPr="00164FC6">
        <w:rPr>
          <w:rFonts w:cs="NewCenturySchlbkLTPro-Roman"/>
          <w:i/>
          <w:iCs/>
        </w:rPr>
        <w:t>McPherson</w:t>
      </w:r>
      <w:r>
        <w:rPr>
          <w:rFonts w:cs="NewCenturySchlbkLTPro-Roman"/>
        </w:rPr>
        <w:t xml:space="preserve"> court observed there was no reason to believe that, in October 1911, voters would have intended to lim</w:t>
      </w:r>
      <w:r>
        <w:rPr>
          <w:rFonts w:cs="NewCenturySchlbkLTPro-Roman"/>
        </w:rPr>
        <w:t>it their own power under a simultaneously adopted amendment giving them broad new authority to adopt initiative statutes.  (</w:t>
      </w:r>
      <w:r>
        <w:rPr>
          <w:rFonts w:eastAsia="Times New Roman" w:cs="Times New Roman"/>
          <w:i/>
          <w:iCs/>
          <w:color w:val="000000"/>
          <w:bdr w:val="none" w:sz="0" w:space="0" w:color="auto" w:frame="1"/>
        </w:rPr>
        <w:t>Ibid.</w:t>
      </w:r>
      <w:r>
        <w:rPr>
          <w:rFonts w:eastAsia="Times New Roman" w:cs="Times New Roman"/>
          <w:color w:val="000000"/>
        </w:rPr>
        <w:t xml:space="preserve">) </w:t>
      </w:r>
      <w:r w:rsidRPr="005C5737">
        <w:rPr>
          <w:rFonts w:eastAsia="Times New Roman" w:cs="Times New Roman"/>
          <w:color w:val="000000"/>
        </w:rPr>
        <w:t xml:space="preserve"> </w:t>
      </w:r>
      <w:r>
        <w:rPr>
          <w:rFonts w:eastAsia="Times New Roman" w:cs="Times New Roman"/>
          <w:color w:val="000000"/>
        </w:rPr>
        <w:t xml:space="preserve">By contrast, </w:t>
      </w:r>
      <w:r>
        <w:rPr>
          <w:rFonts w:cs="NewCenturySchlbkLTPro-Roman"/>
        </w:rPr>
        <w:t xml:space="preserve">there </w:t>
      </w:r>
      <w:r w:rsidRPr="00E33416">
        <w:rPr>
          <w:rFonts w:cs="NewCenturySchlbkLTPro-Roman"/>
          <w:i/>
          <w:iCs/>
        </w:rPr>
        <w:t>is</w:t>
      </w:r>
      <w:r>
        <w:rPr>
          <w:rFonts w:cs="NewCenturySchlbkLTPro-Roman"/>
        </w:rPr>
        <w:t xml:space="preserve"> reason to believe that, in the event of a conflict between article II, section 8(a), and the later ado</w:t>
      </w:r>
      <w:r>
        <w:rPr>
          <w:rFonts w:cs="NewCenturySchlbkLTPro-Roman"/>
        </w:rPr>
        <w:t xml:space="preserve">pted article XIV, section 4, in 1918, the latter would prevail.  That reason is this—between 1911 and 1918, the </w:t>
      </w:r>
      <w:r w:rsidRPr="00425002">
        <w:rPr>
          <w:rFonts w:cs="NewCenturySchlbkLTPro-Roman"/>
          <w:i/>
        </w:rPr>
        <w:t>pro tanto</w:t>
      </w:r>
      <w:r>
        <w:rPr>
          <w:rFonts w:cs="NewCenturySchlbkLTPro-Roman"/>
        </w:rPr>
        <w:t xml:space="preserve"> repeal holding in </w:t>
      </w:r>
      <w:r w:rsidRPr="00C32DCA">
        <w:rPr>
          <w:rFonts w:cs="NewCenturySchlbkLTPro-Roman"/>
          <w:i/>
          <w:iCs/>
        </w:rPr>
        <w:t>Western Indemnity</w:t>
      </w:r>
      <w:r>
        <w:rPr>
          <w:rFonts w:cs="NewCenturySchlbkLTPro-Roman"/>
          <w:i/>
          <w:iCs/>
        </w:rPr>
        <w:t> </w:t>
      </w:r>
      <w:r w:rsidRPr="00C32DCA">
        <w:rPr>
          <w:rFonts w:cs="NewCenturySchlbkLTPro-Roman"/>
          <w:i/>
          <w:iCs/>
        </w:rPr>
        <w:t>I</w:t>
      </w:r>
      <w:r>
        <w:rPr>
          <w:rFonts w:cs="NewCenturySchlbkLTPro-Roman"/>
        </w:rPr>
        <w:t xml:space="preserve"> was handed down and, as noted above, knowledge of it is chargeable to voters.</w:t>
      </w:r>
      <w:r>
        <w:rPr>
          <w:rStyle w:val="FootnoteReference"/>
          <w:rFonts w:cs="NewCenturySchlbkLTPro-Roman"/>
        </w:rPr>
        <w:footnoteReference w:id="42"/>
      </w:r>
    </w:p>
    <w:p w14:paraId="38F673A3" w14:textId="77777777" w:rsidR="00AB000C" w:rsidRDefault="00570B35" w:rsidP="00AB000C">
      <w:pPr>
        <w:keepNext/>
        <w:tabs>
          <w:tab w:val="left" w:pos="1080"/>
        </w:tabs>
        <w:spacing w:before="120" w:after="120" w:line="240" w:lineRule="auto"/>
        <w:ind w:left="1080" w:hanging="1080"/>
      </w:pPr>
      <w:r>
        <w:lastRenderedPageBreak/>
        <w:tab/>
      </w:r>
      <w:r w:rsidRPr="00391AD8">
        <w:t>3.</w:t>
      </w:r>
      <w:r w:rsidRPr="00391AD8">
        <w:tab/>
      </w:r>
      <w:r w:rsidRPr="00391AD8">
        <w:rPr>
          <w:i/>
        </w:rPr>
        <w:t>Structural context:  The binding effect clause in article XIV, section 4, is unique</w:t>
      </w:r>
    </w:p>
    <w:p w14:paraId="61BEFF4B" w14:textId="77777777" w:rsidR="00AB000C" w:rsidRDefault="00570B35" w:rsidP="00AB000C">
      <w:pPr>
        <w:ind w:firstLine="720"/>
      </w:pPr>
      <w:r>
        <w:t>Finally, we must consider the language of article XIV, section 4, within the context of the Constitution as a whole.  Upon an overall examination of our state charter, arti</w:t>
      </w:r>
      <w:r>
        <w:t>cle XIV, section 4, stands in sharp contrast to all other, similar provisions in the document.  The Constitution gives the Legislature plenary power to do things in five places,</w:t>
      </w:r>
      <w:r>
        <w:rPr>
          <w:rStyle w:val="FootnoteReference"/>
        </w:rPr>
        <w:footnoteReference w:id="43"/>
      </w:r>
      <w:r>
        <w:t xml:space="preserve"> none of them providing ongoing enforcement authority, and nowhere else have </w:t>
      </w:r>
      <w:r>
        <w:t>the people said in the charter document that other actors in state government are bound by a “social public policy” enacted by the Legislature under a specifically delegated implementation power.  These features in the operative text are unique.</w:t>
      </w:r>
    </w:p>
    <w:p w14:paraId="7754BA3B" w14:textId="77777777" w:rsidR="00AB000C" w:rsidRDefault="00570B35" w:rsidP="00AB000C">
      <w:pPr>
        <w:ind w:firstLine="720"/>
        <w:rPr>
          <w:color w:val="000000"/>
          <w:shd w:val="clear" w:color="auto" w:fill="FFFFFF"/>
        </w:rPr>
      </w:pPr>
      <w:r w:rsidRPr="00BB7A4C">
        <w:t xml:space="preserve">The </w:t>
      </w:r>
      <w:r w:rsidRPr="00BB7A4C">
        <w:t>language “</w:t>
      </w:r>
      <w:r w:rsidRPr="00BB7A4C">
        <w:rPr>
          <w:shd w:val="clear" w:color="auto" w:fill="FFFFFF"/>
        </w:rPr>
        <w:t>binding upon all departments of the State government”</w:t>
      </w:r>
      <w:r>
        <w:rPr>
          <w:shd w:val="clear" w:color="auto" w:fill="FFFFFF"/>
        </w:rPr>
        <w:t xml:space="preserve"> </w:t>
      </w:r>
      <w:r w:rsidRPr="00BB7A4C">
        <w:rPr>
          <w:shd w:val="clear" w:color="auto" w:fill="FFFFFF"/>
        </w:rPr>
        <w:t xml:space="preserve">is particularly notable.  </w:t>
      </w:r>
      <w:r w:rsidRPr="00BB7A4C">
        <w:t>The p</w:t>
      </w:r>
      <w:r>
        <w:t xml:space="preserve">lain meaning of </w:t>
      </w:r>
      <w:r w:rsidRPr="00BB7A4C">
        <w:t>“all departments of State government” encompasses not only the judicial, legislative, and executive branches of government (</w:t>
      </w:r>
      <w:proofErr w:type="spellStart"/>
      <w:r w:rsidRPr="00BB7A4C">
        <w:rPr>
          <w:rFonts w:eastAsia="Times New Roman" w:cs="Times New Roman"/>
          <w:i/>
          <w:iCs/>
          <w:bdr w:val="none" w:sz="0" w:space="0" w:color="auto" w:frame="1"/>
        </w:rPr>
        <w:t>Brydonjack</w:t>
      </w:r>
      <w:proofErr w:type="spellEnd"/>
      <w:r w:rsidRPr="00BB7A4C">
        <w:rPr>
          <w:rFonts w:eastAsia="Times New Roman" w:cs="Times New Roman"/>
          <w:i/>
          <w:iCs/>
          <w:bdr w:val="none" w:sz="0" w:space="0" w:color="auto" w:frame="1"/>
        </w:rPr>
        <w:t xml:space="preserve"> v. State B</w:t>
      </w:r>
      <w:r w:rsidRPr="00BB7A4C">
        <w:rPr>
          <w:rFonts w:eastAsia="Times New Roman" w:cs="Times New Roman"/>
          <w:i/>
          <w:iCs/>
          <w:bdr w:val="none" w:sz="0" w:space="0" w:color="auto" w:frame="1"/>
        </w:rPr>
        <w:t>ar</w:t>
      </w:r>
      <w:r w:rsidRPr="00BB7A4C">
        <w:rPr>
          <w:rFonts w:eastAsia="Times New Roman" w:cs="Times New Roman"/>
        </w:rPr>
        <w:t xml:space="preserve"> (1929) 208 Cal. 439, 442), </w:t>
      </w:r>
      <w:r w:rsidRPr="00BB7A4C">
        <w:t xml:space="preserve">but county and local </w:t>
      </w:r>
      <w:r w:rsidRPr="000F7EEE">
        <w:t>government as well (</w:t>
      </w:r>
      <w:r w:rsidRPr="000F7EEE">
        <w:rPr>
          <w:rFonts w:eastAsia="Times New Roman" w:cs="Times New Roman"/>
          <w:i/>
          <w:iCs/>
          <w:color w:val="000000"/>
          <w:bdr w:val="none" w:sz="0" w:space="0" w:color="auto" w:frame="1"/>
        </w:rPr>
        <w:t>City</w:t>
      </w:r>
      <w:r>
        <w:rPr>
          <w:rFonts w:eastAsia="Times New Roman" w:cs="Times New Roman"/>
          <w:i/>
          <w:iCs/>
          <w:color w:val="000000"/>
          <w:bdr w:val="none" w:sz="0" w:space="0" w:color="auto" w:frame="1"/>
        </w:rPr>
        <w:t xml:space="preserve"> </w:t>
      </w:r>
      <w:r w:rsidRPr="000F7EEE">
        <w:rPr>
          <w:rFonts w:eastAsia="Times New Roman" w:cs="Times New Roman"/>
          <w:i/>
          <w:iCs/>
          <w:color w:val="000000"/>
          <w:bdr w:val="none" w:sz="0" w:space="0" w:color="auto" w:frame="1"/>
        </w:rPr>
        <w:t>of Sacramento v. Industrial Acc</w:t>
      </w:r>
      <w:r>
        <w:rPr>
          <w:rFonts w:eastAsia="Times New Roman" w:cs="Times New Roman"/>
          <w:i/>
          <w:iCs/>
          <w:color w:val="000000"/>
          <w:bdr w:val="none" w:sz="0" w:space="0" w:color="auto" w:frame="1"/>
        </w:rPr>
        <w:t>.</w:t>
      </w:r>
      <w:r w:rsidRPr="000F7EEE">
        <w:rPr>
          <w:rFonts w:eastAsia="Times New Roman" w:cs="Times New Roman"/>
          <w:i/>
          <w:iCs/>
          <w:color w:val="000000"/>
          <w:bdr w:val="none" w:sz="0" w:space="0" w:color="auto" w:frame="1"/>
        </w:rPr>
        <w:t xml:space="preserve"> Com</w:t>
      </w:r>
      <w:r>
        <w:rPr>
          <w:rFonts w:eastAsia="Times New Roman" w:cs="Times New Roman"/>
          <w:i/>
          <w:iCs/>
          <w:color w:val="000000"/>
          <w:bdr w:val="none" w:sz="0" w:space="0" w:color="auto" w:frame="1"/>
        </w:rPr>
        <w:t>.</w:t>
      </w:r>
      <w:r>
        <w:rPr>
          <w:rFonts w:eastAsia="Times New Roman" w:cs="Times New Roman"/>
          <w:color w:val="000000"/>
        </w:rPr>
        <w:t xml:space="preserve"> </w:t>
      </w:r>
      <w:r w:rsidRPr="000F7EEE">
        <w:rPr>
          <w:rFonts w:eastAsia="Times New Roman" w:cs="Times New Roman"/>
          <w:color w:val="000000"/>
        </w:rPr>
        <w:t>(1925) 74</w:t>
      </w:r>
      <w:r>
        <w:rPr>
          <w:rFonts w:eastAsia="Times New Roman" w:cs="Times New Roman"/>
          <w:color w:val="000000"/>
        </w:rPr>
        <w:t> </w:t>
      </w:r>
      <w:proofErr w:type="spellStart"/>
      <w:r w:rsidRPr="000F7EEE">
        <w:rPr>
          <w:rFonts w:eastAsia="Times New Roman" w:cs="Times New Roman"/>
          <w:color w:val="000000"/>
        </w:rPr>
        <w:t>Cal.App</w:t>
      </w:r>
      <w:proofErr w:type="spellEnd"/>
      <w:r w:rsidRPr="000F7EEE">
        <w:rPr>
          <w:rFonts w:eastAsia="Times New Roman" w:cs="Times New Roman"/>
          <w:color w:val="000000"/>
        </w:rPr>
        <w:t>. 386 (</w:t>
      </w:r>
      <w:r w:rsidRPr="000F7EEE">
        <w:rPr>
          <w:rFonts w:eastAsia="Times New Roman" w:cs="Times New Roman"/>
          <w:i/>
          <w:iCs/>
          <w:color w:val="000000"/>
        </w:rPr>
        <w:t>City of Sacramento</w:t>
      </w:r>
      <w:r w:rsidRPr="000F7EEE">
        <w:rPr>
          <w:rFonts w:eastAsia="Times New Roman" w:cs="Times New Roman"/>
          <w:color w:val="000000"/>
        </w:rPr>
        <w:t>))</w:t>
      </w:r>
      <w:r w:rsidRPr="000F7EEE">
        <w:t>.</w:t>
      </w:r>
      <w:r>
        <w:rPr>
          <w:color w:val="000000"/>
          <w:shd w:val="clear" w:color="auto" w:fill="FFFFFF"/>
        </w:rPr>
        <w:t xml:space="preserve">  As noted above, u</w:t>
      </w:r>
      <w:r w:rsidRPr="00124749">
        <w:rPr>
          <w:color w:val="000000"/>
          <w:shd w:val="clear" w:color="auto" w:fill="FFFFFF"/>
        </w:rPr>
        <w:t xml:space="preserve">nless we </w:t>
      </w:r>
      <w:r>
        <w:rPr>
          <w:color w:val="000000"/>
          <w:shd w:val="clear" w:color="auto" w:fill="FFFFFF"/>
        </w:rPr>
        <w:t xml:space="preserve">treat voter legislators </w:t>
      </w:r>
      <w:r w:rsidRPr="00124749">
        <w:rPr>
          <w:color w:val="000000"/>
          <w:shd w:val="clear" w:color="auto" w:fill="FFFFFF"/>
        </w:rPr>
        <w:t xml:space="preserve">as somehow exogenous to </w:t>
      </w:r>
      <w:r>
        <w:rPr>
          <w:color w:val="000000"/>
          <w:shd w:val="clear" w:color="auto" w:fill="FFFFFF"/>
        </w:rPr>
        <w:lastRenderedPageBreak/>
        <w:t>our plan of governmen</w:t>
      </w:r>
      <w:r>
        <w:rPr>
          <w:color w:val="000000"/>
          <w:shd w:val="clear" w:color="auto" w:fill="FFFFFF"/>
        </w:rPr>
        <w:t>t, they are encompassed within the phrase “all departments of the State Government” when they adopt ballot statutes.  This leaves voter electors ample room to make discretionary policy choices by ballot statute in the field of workers’ compensation.  While</w:t>
      </w:r>
      <w:r>
        <w:rPr>
          <w:color w:val="000000"/>
          <w:shd w:val="clear" w:color="auto" w:fill="FFFFFF"/>
        </w:rPr>
        <w:t xml:space="preserve"> voter electors cannot stand in the shoes of the Legislature under article XIV, section 4, they can always serve as “shadow” lawmakers, exercising the police power to enact any workers’ compensation legislation they wish</w:t>
      </w:r>
      <w:r>
        <w:t xml:space="preserve">—so long as </w:t>
      </w:r>
      <w:r>
        <w:rPr>
          <w:color w:val="000000"/>
          <w:shd w:val="clear" w:color="auto" w:fill="FFFFFF"/>
        </w:rPr>
        <w:t>they respect prior “appr</w:t>
      </w:r>
      <w:r>
        <w:rPr>
          <w:color w:val="000000"/>
          <w:shd w:val="clear" w:color="auto" w:fill="FFFFFF"/>
        </w:rPr>
        <w:t>opriate legislation” enacted by the Legislature in this special arena.</w:t>
      </w:r>
    </w:p>
    <w:p w14:paraId="08796F69" w14:textId="77777777" w:rsidR="00AB000C" w:rsidRDefault="00570B35" w:rsidP="00AB000C">
      <w:pPr>
        <w:ind w:firstLine="720"/>
        <w:rPr>
          <w:color w:val="000000"/>
          <w:shd w:val="clear" w:color="auto" w:fill="FFFFFF"/>
        </w:rPr>
      </w:pPr>
      <w:r>
        <w:rPr>
          <w:color w:val="000000"/>
          <w:shd w:val="clear" w:color="auto" w:fill="FFFFFF"/>
        </w:rPr>
        <w:t>Several of the amici supporting the Proposition 22 proponents urge us to harmonize article XIV, section 4, and article II, section 8(a), powers by construing these two sources of legisl</w:t>
      </w:r>
      <w:r>
        <w:rPr>
          <w:color w:val="000000"/>
          <w:shd w:val="clear" w:color="auto" w:fill="FFFFFF"/>
        </w:rPr>
        <w:t>ative power in a manner that recognizes the Legislature and voter electors may share authority to act on the topic of workers’ compensation.  While I agree with that perspective in principle, Proposition 22 resists harmonization—unless we declare a naked p</w:t>
      </w:r>
      <w:r>
        <w:rPr>
          <w:color w:val="000000"/>
          <w:shd w:val="clear" w:color="auto" w:fill="FFFFFF"/>
        </w:rPr>
        <w:t>reference for article II, section 8(a), which is ultimately what these amici invite us to do, invoking platitudinous statements about the importance of direct democracy, and ignoring the usurpation of the Legislature’s delegated article XIV, section 4 powe</w:t>
      </w:r>
      <w:r>
        <w:rPr>
          <w:color w:val="000000"/>
          <w:shd w:val="clear" w:color="auto" w:fill="FFFFFF"/>
        </w:rPr>
        <w:t>r that this mode of “harmonization” implies.  To resolve the conflict before us correctly, we must recognize that this case is one of a kind.  By making its independent contractor definition unamendable, Proposition 22 effectively appoints voter electors t</w:t>
      </w:r>
      <w:r>
        <w:rPr>
          <w:color w:val="000000"/>
          <w:shd w:val="clear" w:color="auto" w:fill="FFFFFF"/>
        </w:rPr>
        <w:t xml:space="preserve">he sole and exclusive expositors of what the constitutional term “employment” means, thereby displacing the Legislature entirely </w:t>
      </w:r>
      <w:r>
        <w:rPr>
          <w:color w:val="000000"/>
          <w:shd w:val="clear" w:color="auto" w:fill="FFFFFF"/>
        </w:rPr>
        <w:lastRenderedPageBreak/>
        <w:t>on that topic.  This feature of Proposition 22 simply cannot be reconciled with article XIV, section 4.</w:t>
      </w:r>
    </w:p>
    <w:p w14:paraId="35B3B9EE" w14:textId="77777777" w:rsidR="00AB000C" w:rsidRDefault="00570B35" w:rsidP="00AB000C">
      <w:pPr>
        <w:ind w:firstLine="720"/>
      </w:pPr>
      <w:r>
        <w:rPr>
          <w:color w:val="000000"/>
          <w:shd w:val="clear" w:color="auto" w:fill="FFFFFF"/>
        </w:rPr>
        <w:t xml:space="preserve">All bets are off </w:t>
      </w:r>
      <w:r>
        <w:rPr>
          <w:color w:val="000000"/>
          <w:shd w:val="clear" w:color="auto" w:fill="FFFFFF"/>
        </w:rPr>
        <w:t xml:space="preserve">when it comes to ballot constitutional </w:t>
      </w:r>
      <w:proofErr w:type="gramStart"/>
      <w:r>
        <w:rPr>
          <w:color w:val="000000"/>
          <w:shd w:val="clear" w:color="auto" w:fill="FFFFFF"/>
        </w:rPr>
        <w:t>amendments, since</w:t>
      </w:r>
      <w:proofErr w:type="gramEnd"/>
      <w:r>
        <w:rPr>
          <w:color w:val="000000"/>
          <w:shd w:val="clear" w:color="auto" w:fill="FFFFFF"/>
        </w:rPr>
        <w:t xml:space="preserve"> voter electors exercise sovereign power in that context and may always substitute their judgment by adopting paramount law.  Indeed, in the final analysis, that is what this case is about.  Until and</w:t>
      </w:r>
      <w:r>
        <w:rPr>
          <w:color w:val="000000"/>
          <w:shd w:val="clear" w:color="auto" w:fill="FFFFFF"/>
        </w:rPr>
        <w:t xml:space="preserve"> unless voter electors escalate things to the level of a proposed constitutional amendment, the Constitution expressly gives our elected Legislature a unique role</w:t>
      </w:r>
      <w:r>
        <w:rPr>
          <w:rFonts w:cs="NewCenturySchlbkLTPro-Roman"/>
        </w:rPr>
        <w:t>—</w:t>
      </w:r>
      <w:r>
        <w:rPr>
          <w:color w:val="000000"/>
          <w:shd w:val="clear" w:color="auto" w:fill="FFFFFF"/>
        </w:rPr>
        <w:t>I believe the preeminent role</w:t>
      </w:r>
      <w:r>
        <w:rPr>
          <w:rFonts w:cs="NewCenturySchlbkLTPro-Roman"/>
        </w:rPr>
        <w:t>—</w:t>
      </w:r>
      <w:r>
        <w:rPr>
          <w:color w:val="000000"/>
          <w:shd w:val="clear" w:color="auto" w:fill="FFFFFF"/>
        </w:rPr>
        <w:t>when statutes are enacted pursuant to article XIV, section 4.</w:t>
      </w:r>
      <w:r>
        <w:rPr>
          <w:rStyle w:val="FootnoteReference"/>
          <w:rFonts w:cs="Arial"/>
          <w:color w:val="000000"/>
          <w:shd w:val="clear" w:color="auto" w:fill="FFFFFF"/>
        </w:rPr>
        <w:footnoteReference w:id="44"/>
      </w:r>
      <w:r>
        <w:t xml:space="preserve">  If,</w:t>
      </w:r>
      <w:r w:rsidRPr="000F7EEE">
        <w:t xml:space="preserve"> </w:t>
      </w:r>
      <w:r>
        <w:t xml:space="preserve">as </w:t>
      </w:r>
      <w:r w:rsidRPr="000F7EEE">
        <w:t xml:space="preserve">of </w:t>
      </w:r>
      <w:r>
        <w:t>1918</w:t>
      </w:r>
      <w:r w:rsidRPr="000F7EEE">
        <w:t>, the California judiciary was bound by the Legislature’s pre</w:t>
      </w:r>
      <w:r>
        <w:noBreakHyphen/>
      </w:r>
      <w:r w:rsidRPr="000F7EEE">
        <w:t>1918 interpretation</w:t>
      </w:r>
      <w:r w:rsidRPr="00FB6FFD">
        <w:t xml:space="preserve"> of what constitutes a “complete system of workers</w:t>
      </w:r>
      <w:r>
        <w:t>’</w:t>
      </w:r>
      <w:r w:rsidRPr="00FB6FFD">
        <w:t xml:space="preserve"> compensation</w:t>
      </w:r>
      <w:r>
        <w:t>”—in the sense courts were expected to give deference to the Legislature’s original judgment ab</w:t>
      </w:r>
      <w:r>
        <w:t xml:space="preserve">out the “basic features” of that system, just as the Supreme Court did in </w:t>
      </w:r>
      <w:r w:rsidRPr="009F05FC">
        <w:rPr>
          <w:i/>
          <w:iCs/>
        </w:rPr>
        <w:lastRenderedPageBreak/>
        <w:t>Western Indemnity</w:t>
      </w:r>
      <w:r>
        <w:rPr>
          <w:i/>
          <w:iCs/>
        </w:rPr>
        <w:t> </w:t>
      </w:r>
      <w:r w:rsidRPr="009F05FC">
        <w:rPr>
          <w:i/>
          <w:iCs/>
        </w:rPr>
        <w:t>I</w:t>
      </w:r>
      <w:r>
        <w:t>—then it seems to me voter electors passing initiative statutes were similarly bound, and are still bound today.</w:t>
      </w:r>
    </w:p>
    <w:p w14:paraId="4AF0AE6F" w14:textId="77777777" w:rsidR="00AB000C" w:rsidRDefault="00570B35" w:rsidP="00AB000C">
      <w:pPr>
        <w:ind w:firstLine="720"/>
        <w:rPr>
          <w:rFonts w:eastAsia="Times New Roman" w:cs="Times New Roman"/>
          <w:color w:val="000000"/>
        </w:rPr>
      </w:pPr>
      <w:r>
        <w:t>Disagreeing with me on this point, t</w:t>
      </w:r>
      <w:r w:rsidRPr="005F7AB5">
        <w:t xml:space="preserve">he </w:t>
      </w:r>
      <w:r>
        <w:t>majority</w:t>
      </w:r>
      <w:r w:rsidRPr="005F7AB5">
        <w:t xml:space="preserve"> op</w:t>
      </w:r>
      <w:r w:rsidRPr="005F7AB5">
        <w:t xml:space="preserve">inion </w:t>
      </w:r>
      <w:r>
        <w:t>points out that</w:t>
      </w:r>
      <w:r w:rsidRPr="00DD6FBC">
        <w:t xml:space="preserve"> the binding effect clause “appears to have been intended only to mean that the workers’ compensation system applies to the state and local governments as </w:t>
      </w:r>
      <w:r w:rsidRPr="00612F2B">
        <w:t>employers.</w:t>
      </w:r>
      <w:r w:rsidRPr="00612F2B">
        <w:rPr>
          <w:rFonts w:eastAsia="Times New Roman" w:cs="Times New Roman"/>
          <w:color w:val="000000"/>
          <w:shd w:val="clear" w:color="auto" w:fill="FFFFFF"/>
        </w:rPr>
        <w:t xml:space="preserve">”  (Maj. </w:t>
      </w:r>
      <w:proofErr w:type="spellStart"/>
      <w:r w:rsidRPr="00612F2B">
        <w:rPr>
          <w:rFonts w:eastAsia="Times New Roman" w:cs="Times New Roman"/>
          <w:color w:val="000000"/>
          <w:shd w:val="clear" w:color="auto" w:fill="FFFFFF"/>
        </w:rPr>
        <w:t>opn</w:t>
      </w:r>
      <w:proofErr w:type="spellEnd"/>
      <w:r w:rsidRPr="00612F2B">
        <w:rPr>
          <w:rFonts w:eastAsia="Times New Roman" w:cs="Times New Roman"/>
          <w:color w:val="000000"/>
          <w:shd w:val="clear" w:color="auto" w:fill="FFFFFF"/>
        </w:rPr>
        <w:t xml:space="preserve">., </w:t>
      </w:r>
      <w:r w:rsidRPr="00612F2B">
        <w:rPr>
          <w:rFonts w:eastAsia="Times New Roman" w:cs="Times New Roman"/>
          <w:i/>
          <w:iCs/>
          <w:color w:val="000000"/>
          <w:shd w:val="clear" w:color="auto" w:fill="FFFFFF"/>
        </w:rPr>
        <w:t>ante</w:t>
      </w:r>
      <w:r w:rsidRPr="00612F2B">
        <w:rPr>
          <w:rFonts w:eastAsia="Times New Roman" w:cs="Times New Roman"/>
          <w:color w:val="000000"/>
          <w:shd w:val="clear" w:color="auto" w:fill="FFFFFF"/>
        </w:rPr>
        <w:t>, at p. 27.)  For this idea, the majority cites dic</w:t>
      </w:r>
      <w:r w:rsidRPr="00612F2B">
        <w:rPr>
          <w:rFonts w:eastAsia="Times New Roman" w:cs="Times New Roman"/>
          <w:color w:val="000000"/>
          <w:shd w:val="clear" w:color="auto" w:fill="FFFFFF"/>
        </w:rPr>
        <w:t>ta</w:t>
      </w:r>
      <w:r w:rsidRPr="0079581D">
        <w:rPr>
          <w:rFonts w:eastAsia="Times New Roman" w:cs="Times New Roman"/>
          <w:color w:val="000000"/>
          <w:shd w:val="clear" w:color="auto" w:fill="FFFFFF"/>
        </w:rPr>
        <w:t xml:space="preserve"> from </w:t>
      </w:r>
      <w:r w:rsidRPr="0079581D">
        <w:rPr>
          <w:rFonts w:eastAsia="Times New Roman" w:cs="Times New Roman"/>
          <w:i/>
          <w:color w:val="000000"/>
          <w:bdr w:val="none" w:sz="0" w:space="0" w:color="auto" w:frame="1"/>
        </w:rPr>
        <w:t xml:space="preserve">Bautista v. </w:t>
      </w:r>
      <w:r w:rsidRPr="005F7AB5">
        <w:rPr>
          <w:rFonts w:eastAsia="Times New Roman" w:cs="Times New Roman"/>
          <w:i/>
          <w:iCs/>
          <w:color w:val="000000"/>
          <w:bdr w:val="none" w:sz="0" w:space="0" w:color="auto" w:frame="1"/>
        </w:rPr>
        <w:t>State of California</w:t>
      </w:r>
      <w:r w:rsidRPr="00840510">
        <w:rPr>
          <w:rFonts w:eastAsia="Times New Roman" w:cs="Times New Roman"/>
          <w:color w:val="000000"/>
        </w:rPr>
        <w:t>,</w:t>
      </w:r>
      <w:r>
        <w:rPr>
          <w:rFonts w:eastAsia="Times New Roman" w:cs="Times New Roman"/>
          <w:color w:val="000000"/>
        </w:rPr>
        <w:t xml:space="preserve"> </w:t>
      </w:r>
      <w:r w:rsidRPr="00E97045">
        <w:rPr>
          <w:rFonts w:eastAsia="Times New Roman" w:cs="Times New Roman"/>
          <w:i/>
          <w:iCs/>
          <w:color w:val="000000"/>
        </w:rPr>
        <w:t>supra</w:t>
      </w:r>
      <w:r>
        <w:rPr>
          <w:rFonts w:eastAsia="Times New Roman" w:cs="Times New Roman"/>
          <w:color w:val="000000"/>
        </w:rPr>
        <w:t>,</w:t>
      </w:r>
      <w:r w:rsidRPr="005F7AB5">
        <w:rPr>
          <w:rFonts w:eastAsia="Times New Roman" w:cs="Times New Roman"/>
          <w:color w:val="000000"/>
        </w:rPr>
        <w:t xml:space="preserve"> 201</w:t>
      </w:r>
      <w:r>
        <w:rPr>
          <w:rFonts w:eastAsia="Times New Roman" w:cs="Times New Roman"/>
          <w:color w:val="000000"/>
        </w:rPr>
        <w:t> </w:t>
      </w:r>
      <w:r w:rsidRPr="005F7AB5">
        <w:rPr>
          <w:rFonts w:eastAsia="Times New Roman" w:cs="Times New Roman"/>
          <w:color w:val="000000"/>
        </w:rPr>
        <w:t>Cal.App.4</w:t>
      </w:r>
      <w:r>
        <w:rPr>
          <w:rFonts w:eastAsia="Times New Roman" w:cs="Times New Roman"/>
          <w:color w:val="000000"/>
        </w:rPr>
        <w:t>th</w:t>
      </w:r>
      <w:r w:rsidRPr="005F7AB5">
        <w:rPr>
          <w:rFonts w:eastAsia="Times New Roman" w:cs="Times New Roman"/>
          <w:color w:val="000000"/>
        </w:rPr>
        <w:t xml:space="preserve"> 716</w:t>
      </w:r>
      <w:r>
        <w:rPr>
          <w:rFonts w:eastAsia="Times New Roman" w:cs="Times New Roman"/>
          <w:color w:val="000000"/>
        </w:rPr>
        <w:t xml:space="preserve">, </w:t>
      </w:r>
      <w:r w:rsidRPr="005F7AB5">
        <w:rPr>
          <w:rFonts w:eastAsia="Times New Roman" w:cs="Times New Roman"/>
          <w:color w:val="000000"/>
        </w:rPr>
        <w:t xml:space="preserve">and </w:t>
      </w:r>
      <w:r w:rsidRPr="0010052C">
        <w:rPr>
          <w:rFonts w:eastAsia="Times New Roman" w:cs="Times New Roman"/>
          <w:i/>
          <w:iCs/>
          <w:color w:val="000000"/>
          <w:bdr w:val="none" w:sz="0" w:space="0" w:color="auto" w:frame="1"/>
        </w:rPr>
        <w:t>City of Sacramento</w:t>
      </w:r>
      <w:r>
        <w:rPr>
          <w:rFonts w:eastAsia="Times New Roman" w:cs="Times New Roman"/>
          <w:color w:val="000000"/>
          <w:bdr w:val="none" w:sz="0" w:space="0" w:color="auto" w:frame="1"/>
        </w:rPr>
        <w:t xml:space="preserve">, </w:t>
      </w:r>
      <w:r w:rsidRPr="00E97045">
        <w:rPr>
          <w:rFonts w:eastAsia="Times New Roman" w:cs="Times New Roman"/>
          <w:i/>
          <w:iCs/>
          <w:color w:val="000000"/>
          <w:bdr w:val="none" w:sz="0" w:space="0" w:color="auto" w:frame="1"/>
        </w:rPr>
        <w:t>supra</w:t>
      </w:r>
      <w:r>
        <w:rPr>
          <w:rFonts w:eastAsia="Times New Roman" w:cs="Times New Roman"/>
          <w:color w:val="000000"/>
          <w:bdr w:val="none" w:sz="0" w:space="0" w:color="auto" w:frame="1"/>
        </w:rPr>
        <w:t xml:space="preserve">, </w:t>
      </w:r>
      <w:r w:rsidRPr="000F7EEE">
        <w:rPr>
          <w:rFonts w:eastAsia="Times New Roman" w:cs="Times New Roman"/>
          <w:color w:val="000000"/>
        </w:rPr>
        <w:t>74</w:t>
      </w:r>
      <w:r>
        <w:rPr>
          <w:rFonts w:eastAsia="Times New Roman" w:cs="Times New Roman"/>
          <w:color w:val="000000"/>
        </w:rPr>
        <w:t> </w:t>
      </w:r>
      <w:proofErr w:type="spellStart"/>
      <w:r w:rsidRPr="000F7EEE">
        <w:rPr>
          <w:rFonts w:eastAsia="Times New Roman" w:cs="Times New Roman"/>
          <w:color w:val="000000"/>
        </w:rPr>
        <w:t>Cal.App</w:t>
      </w:r>
      <w:proofErr w:type="spellEnd"/>
      <w:r w:rsidRPr="000F7EEE">
        <w:rPr>
          <w:rFonts w:eastAsia="Times New Roman" w:cs="Times New Roman"/>
          <w:color w:val="000000"/>
        </w:rPr>
        <w:t>. 386</w:t>
      </w:r>
      <w:r w:rsidRPr="0079581D">
        <w:rPr>
          <w:rFonts w:eastAsia="Times New Roman" w:cs="Times New Roman"/>
          <w:color w:val="000000"/>
        </w:rPr>
        <w:t xml:space="preserve">.  </w:t>
      </w:r>
      <w:r>
        <w:rPr>
          <w:rFonts w:eastAsia="Times New Roman" w:cs="Times New Roman"/>
          <w:color w:val="000000"/>
        </w:rPr>
        <w:t xml:space="preserve">Neither of these cases holds, nor has any case ever held, that local governments are the only “departments of the State government” covered by the binding effect </w:t>
      </w:r>
      <w:r w:rsidRPr="00F22D4F">
        <w:rPr>
          <w:rFonts w:eastAsia="Times New Roman" w:cs="Times New Roman"/>
        </w:rPr>
        <w:t>clause in article XIV, section 4</w:t>
      </w:r>
      <w:r>
        <w:rPr>
          <w:rFonts w:eastAsia="Times New Roman" w:cs="Times New Roman"/>
        </w:rPr>
        <w:t>.</w:t>
      </w:r>
      <w:r w:rsidRPr="00F22D4F">
        <w:rPr>
          <w:rFonts w:eastAsia="Times New Roman" w:cs="Times New Roman"/>
        </w:rPr>
        <w:t xml:space="preserve">  </w:t>
      </w:r>
      <w:r>
        <w:rPr>
          <w:rFonts w:eastAsia="Times New Roman" w:cs="Times New Roman"/>
          <w:color w:val="000000"/>
        </w:rPr>
        <w:t>Nor do these cases give any reason for why the binding effe</w:t>
      </w:r>
      <w:r>
        <w:rPr>
          <w:rFonts w:eastAsia="Times New Roman" w:cs="Times New Roman"/>
          <w:color w:val="000000"/>
        </w:rPr>
        <w:t xml:space="preserve">ct clause should be read as an implicit partial definition of “employer,” a term that appeared nowhere in the constitutional language and was already fully defined in the statutory scheme the voters ratified in 1918.  </w:t>
      </w:r>
      <w:r>
        <w:rPr>
          <w:rFonts w:eastAsia="Times New Roman" w:cs="Times New Roman"/>
        </w:rPr>
        <w:t xml:space="preserve">(1917 Act, </w:t>
      </w:r>
      <w:r w:rsidRPr="006A0C83">
        <w:t>Stats. 191</w:t>
      </w:r>
      <w:r>
        <w:t>7</w:t>
      </w:r>
      <w:r w:rsidRPr="006A0C83">
        <w:t xml:space="preserve">, </w:t>
      </w:r>
      <w:proofErr w:type="spellStart"/>
      <w:r w:rsidRPr="006A0C83">
        <w:t>ch.</w:t>
      </w:r>
      <w:proofErr w:type="spellEnd"/>
      <w:r>
        <w:t> 586</w:t>
      </w:r>
      <w:r w:rsidRPr="006A0C83">
        <w:t xml:space="preserve"> §</w:t>
      </w:r>
      <w:r>
        <w:t> 7.)</w:t>
      </w:r>
      <w:r>
        <w:rPr>
          <w:rStyle w:val="FootnoteReference"/>
        </w:rPr>
        <w:footnoteReference w:id="45"/>
      </w:r>
    </w:p>
    <w:p w14:paraId="0E60C366" w14:textId="77777777" w:rsidR="00AB000C" w:rsidRDefault="00570B35" w:rsidP="00AB000C">
      <w:pPr>
        <w:ind w:firstLine="720"/>
        <w:rPr>
          <w:rFonts w:eastAsia="Times New Roman" w:cs="Times New Roman"/>
          <w:color w:val="000000"/>
        </w:rPr>
      </w:pPr>
      <w:r>
        <w:rPr>
          <w:rFonts w:eastAsia="Times New Roman" w:cs="Times New Roman"/>
          <w:color w:val="000000"/>
        </w:rPr>
        <w:t xml:space="preserve">Of the two cases, only </w:t>
      </w:r>
      <w:r w:rsidRPr="00B33B31">
        <w:rPr>
          <w:rFonts w:eastAsia="Times New Roman" w:cs="Times New Roman"/>
          <w:i/>
          <w:iCs/>
          <w:color w:val="000000"/>
        </w:rPr>
        <w:t>City of Sacramento</w:t>
      </w:r>
      <w:r>
        <w:t>—</w:t>
      </w:r>
      <w:r>
        <w:rPr>
          <w:rFonts w:eastAsia="Times New Roman" w:cs="Times New Roman"/>
          <w:color w:val="000000"/>
        </w:rPr>
        <w:t>decided less than a decade after article XIV, section 4 was adopted</w:t>
      </w:r>
      <w:r>
        <w:t>—</w:t>
      </w:r>
      <w:r>
        <w:rPr>
          <w:rFonts w:eastAsia="Times New Roman" w:cs="Times New Roman"/>
          <w:color w:val="000000"/>
        </w:rPr>
        <w:t xml:space="preserve">merits </w:t>
      </w:r>
      <w:r>
        <w:rPr>
          <w:rFonts w:eastAsia="Times New Roman" w:cs="Times New Roman"/>
          <w:color w:val="000000"/>
        </w:rPr>
        <w:lastRenderedPageBreak/>
        <w:t xml:space="preserve">full discussion.  That case is illuminating, though not for the reason my colleagues cite it.  There, </w:t>
      </w:r>
      <w:r w:rsidRPr="005F7AB5">
        <w:rPr>
          <w:rFonts w:eastAsia="Times New Roman" w:cs="Times New Roman"/>
          <w:color w:val="000000"/>
        </w:rPr>
        <w:t xml:space="preserve">a </w:t>
      </w:r>
      <w:r>
        <w:rPr>
          <w:rFonts w:eastAsia="Times New Roman" w:cs="Times New Roman"/>
          <w:color w:val="000000"/>
        </w:rPr>
        <w:t xml:space="preserve">city </w:t>
      </w:r>
      <w:r w:rsidRPr="005F7AB5">
        <w:rPr>
          <w:rFonts w:eastAsia="Times New Roman" w:cs="Times New Roman"/>
          <w:color w:val="000000"/>
        </w:rPr>
        <w:t>employer</w:t>
      </w:r>
      <w:r>
        <w:rPr>
          <w:rFonts w:eastAsia="Times New Roman" w:cs="Times New Roman"/>
          <w:color w:val="000000"/>
        </w:rPr>
        <w:t xml:space="preserve"> tried to invalidate death benefits awarded to the widow of one of its employees who was killed in the course of his employment.  (</w:t>
      </w:r>
      <w:r w:rsidRPr="00CD4A0B">
        <w:rPr>
          <w:rFonts w:eastAsia="Times New Roman" w:cs="Times New Roman"/>
          <w:i/>
          <w:iCs/>
          <w:color w:val="000000"/>
        </w:rPr>
        <w:t>C</w:t>
      </w:r>
      <w:r w:rsidRPr="00CD4A0B">
        <w:rPr>
          <w:rFonts w:eastAsia="Times New Roman" w:cs="Times New Roman"/>
          <w:i/>
          <w:iCs/>
          <w:color w:val="000000"/>
        </w:rPr>
        <w:t>ity</w:t>
      </w:r>
      <w:r>
        <w:rPr>
          <w:rFonts w:eastAsia="Times New Roman" w:cs="Times New Roman"/>
          <w:i/>
          <w:iCs/>
          <w:color w:val="000000"/>
        </w:rPr>
        <w:t> </w:t>
      </w:r>
      <w:r w:rsidRPr="00CD4A0B">
        <w:rPr>
          <w:rFonts w:eastAsia="Times New Roman" w:cs="Times New Roman"/>
          <w:i/>
          <w:iCs/>
          <w:color w:val="000000"/>
        </w:rPr>
        <w:t>of Sacramento</w:t>
      </w:r>
      <w:r>
        <w:rPr>
          <w:rFonts w:eastAsia="Times New Roman" w:cs="Times New Roman"/>
          <w:color w:val="000000"/>
        </w:rPr>
        <w:t xml:space="preserve">, </w:t>
      </w:r>
      <w:r w:rsidRPr="00CD4A0B">
        <w:rPr>
          <w:rFonts w:eastAsia="Times New Roman" w:cs="Times New Roman"/>
          <w:i/>
          <w:iCs/>
          <w:color w:val="000000"/>
        </w:rPr>
        <w:t>supra</w:t>
      </w:r>
      <w:r>
        <w:rPr>
          <w:rFonts w:eastAsia="Times New Roman" w:cs="Times New Roman"/>
          <w:color w:val="000000"/>
        </w:rPr>
        <w:t>, 74 </w:t>
      </w:r>
      <w:proofErr w:type="spellStart"/>
      <w:r>
        <w:rPr>
          <w:rFonts w:eastAsia="Times New Roman" w:cs="Times New Roman"/>
          <w:color w:val="000000"/>
        </w:rPr>
        <w:t>Cal.App</w:t>
      </w:r>
      <w:proofErr w:type="spellEnd"/>
      <w:r>
        <w:rPr>
          <w:rFonts w:eastAsia="Times New Roman" w:cs="Times New Roman"/>
          <w:color w:val="000000"/>
        </w:rPr>
        <w:t xml:space="preserve">. at p. 387.)  The city </w:t>
      </w:r>
      <w:r w:rsidRPr="00F265D8">
        <w:rPr>
          <w:rFonts w:eastAsia="Times New Roman" w:cs="Times New Roman"/>
          <w:color w:val="000000"/>
        </w:rPr>
        <w:t xml:space="preserve">employer tried to argue </w:t>
      </w:r>
      <w:r>
        <w:rPr>
          <w:rFonts w:eastAsia="Times New Roman" w:cs="Times New Roman"/>
          <w:color w:val="000000"/>
        </w:rPr>
        <w:t xml:space="preserve">the widow’s claim was </w:t>
      </w:r>
      <w:r w:rsidRPr="00F265D8">
        <w:rPr>
          <w:rFonts w:eastAsia="Times New Roman" w:cs="Times New Roman"/>
          <w:color w:val="000000"/>
        </w:rPr>
        <w:t>“</w:t>
      </w:r>
      <w:r w:rsidRPr="00F265D8">
        <w:rPr>
          <w:color w:val="000000"/>
          <w:shd w:val="clear" w:color="auto" w:fill="FFFFFF"/>
        </w:rPr>
        <w:t>a matter purely within the jurisdiction and control of the city of which such persons may be officers or employees</w:t>
      </w:r>
      <w:r w:rsidRPr="00F265D8">
        <w:rPr>
          <w:rFonts w:eastAsia="Times New Roman" w:cs="Times New Roman"/>
          <w:color w:val="000000"/>
        </w:rPr>
        <w:t>”</w:t>
      </w:r>
      <w:r>
        <w:rPr>
          <w:rFonts w:eastAsia="Times New Roman" w:cs="Times New Roman"/>
          <w:color w:val="000000"/>
        </w:rPr>
        <w:t xml:space="preserve"> (</w:t>
      </w:r>
      <w:r w:rsidRPr="004E16B4">
        <w:rPr>
          <w:rFonts w:eastAsia="Times New Roman" w:cs="Times New Roman"/>
          <w:i/>
          <w:iCs/>
          <w:color w:val="000000"/>
        </w:rPr>
        <w:t>id</w:t>
      </w:r>
      <w:r>
        <w:rPr>
          <w:rFonts w:eastAsia="Times New Roman" w:cs="Times New Roman"/>
          <w:color w:val="000000"/>
        </w:rPr>
        <w:t>. at p. 388),</w:t>
      </w:r>
      <w:r w:rsidRPr="00F265D8">
        <w:rPr>
          <w:rFonts w:eastAsia="Times New Roman" w:cs="Times New Roman"/>
          <w:color w:val="000000"/>
        </w:rPr>
        <w:t xml:space="preserve"> </w:t>
      </w:r>
      <w:r>
        <w:rPr>
          <w:rFonts w:eastAsia="Times New Roman" w:cs="Times New Roman"/>
          <w:color w:val="000000"/>
        </w:rPr>
        <w:t>which t</w:t>
      </w:r>
      <w:r w:rsidRPr="00F265D8">
        <w:rPr>
          <w:rFonts w:eastAsia="Times New Roman" w:cs="Times New Roman"/>
          <w:color w:val="000000"/>
        </w:rPr>
        <w:t>oday we w</w:t>
      </w:r>
      <w:r w:rsidRPr="00F265D8">
        <w:rPr>
          <w:rFonts w:eastAsia="Times New Roman" w:cs="Times New Roman"/>
          <w:color w:val="000000"/>
        </w:rPr>
        <w:t>ould call the “home rule” doctrine, our state equivalent of federalism</w:t>
      </w:r>
      <w:r>
        <w:rPr>
          <w:rFonts w:eastAsia="Times New Roman" w:cs="Times New Roman"/>
          <w:color w:val="000000"/>
        </w:rPr>
        <w:t xml:space="preserve"> in the national government.</w:t>
      </w:r>
    </w:p>
    <w:p w14:paraId="3134E930" w14:textId="77777777" w:rsidR="00AB000C" w:rsidRDefault="00570B35" w:rsidP="00AB000C">
      <w:pPr>
        <w:ind w:firstLine="720"/>
        <w:rPr>
          <w:rFonts w:eastAsia="Times New Roman" w:cs="Times New Roman"/>
          <w:color w:val="000000"/>
        </w:rPr>
      </w:pPr>
      <w:r w:rsidRPr="59918226">
        <w:rPr>
          <w:rFonts w:eastAsia="Times New Roman" w:cs="Times New Roman"/>
          <w:color w:val="000000" w:themeColor="text1"/>
        </w:rPr>
        <w:t xml:space="preserve">The contention was that the “compensation” of municipal employees falls within the exclusive domain of local government under former article </w:t>
      </w:r>
      <w:r>
        <w:rPr>
          <w:rFonts w:eastAsia="Times New Roman" w:cs="Times New Roman"/>
          <w:color w:val="000000" w:themeColor="text1"/>
        </w:rPr>
        <w:t>XI</w:t>
      </w:r>
      <w:r w:rsidRPr="59918226">
        <w:rPr>
          <w:rFonts w:eastAsia="Times New Roman" w:cs="Times New Roman"/>
          <w:color w:val="000000" w:themeColor="text1"/>
        </w:rPr>
        <w:t>, section 8½ o</w:t>
      </w:r>
      <w:r w:rsidRPr="59918226">
        <w:rPr>
          <w:rFonts w:eastAsia="Times New Roman" w:cs="Times New Roman"/>
          <w:color w:val="000000" w:themeColor="text1"/>
        </w:rPr>
        <w:t>f the Constitution.  (</w:t>
      </w:r>
      <w:r w:rsidRPr="59918226">
        <w:rPr>
          <w:rFonts w:eastAsia="Times New Roman" w:cs="Times New Roman"/>
          <w:i/>
          <w:color w:val="000000" w:themeColor="text1"/>
        </w:rPr>
        <w:t>City of Sacramento</w:t>
      </w:r>
      <w:r w:rsidRPr="59918226">
        <w:rPr>
          <w:rFonts w:eastAsia="Times New Roman" w:cs="Times New Roman"/>
          <w:color w:val="000000" w:themeColor="text1"/>
        </w:rPr>
        <w:t xml:space="preserve">, </w:t>
      </w:r>
      <w:r w:rsidRPr="0061214D">
        <w:rPr>
          <w:rFonts w:eastAsia="Times New Roman" w:cs="Times New Roman"/>
          <w:i/>
          <w:iCs/>
          <w:color w:val="000000" w:themeColor="text1"/>
        </w:rPr>
        <w:t>supra</w:t>
      </w:r>
      <w:r>
        <w:rPr>
          <w:rFonts w:eastAsia="Times New Roman" w:cs="Times New Roman"/>
          <w:color w:val="000000" w:themeColor="text1"/>
        </w:rPr>
        <w:t xml:space="preserve">, </w:t>
      </w:r>
      <w:r w:rsidRPr="59918226">
        <w:rPr>
          <w:rFonts w:eastAsia="Times New Roman" w:cs="Times New Roman"/>
          <w:color w:val="000000" w:themeColor="text1"/>
        </w:rPr>
        <w:t>74 </w:t>
      </w:r>
      <w:proofErr w:type="spellStart"/>
      <w:r w:rsidRPr="59918226">
        <w:rPr>
          <w:rFonts w:eastAsia="Times New Roman" w:cs="Times New Roman"/>
          <w:color w:val="000000" w:themeColor="text1"/>
        </w:rPr>
        <w:t>Cal.App</w:t>
      </w:r>
      <w:proofErr w:type="spellEnd"/>
      <w:r w:rsidRPr="59918226">
        <w:rPr>
          <w:rFonts w:eastAsia="Times New Roman" w:cs="Times New Roman"/>
          <w:color w:val="000000" w:themeColor="text1"/>
        </w:rPr>
        <w:t xml:space="preserve">. at </w:t>
      </w:r>
      <w:r w:rsidRPr="009812EC">
        <w:rPr>
          <w:rFonts w:eastAsia="Times New Roman" w:cs="Times New Roman"/>
          <w:color w:val="000000" w:themeColor="text1"/>
        </w:rPr>
        <w:t>pp. 387–388.)</w:t>
      </w:r>
      <w:r w:rsidRPr="59918226">
        <w:rPr>
          <w:rFonts w:eastAsia="Times New Roman" w:cs="Times New Roman"/>
          <w:color w:val="000000" w:themeColor="text1"/>
        </w:rPr>
        <w:t xml:space="preserve">  This was not an argument directed to </w:t>
      </w:r>
      <w:r>
        <w:rPr>
          <w:rFonts w:eastAsia="Times New Roman" w:cs="Times New Roman"/>
          <w:color w:val="000000" w:themeColor="text1"/>
        </w:rPr>
        <w:t>whether</w:t>
      </w:r>
      <w:r w:rsidRPr="59918226">
        <w:rPr>
          <w:rFonts w:eastAsia="Times New Roman" w:cs="Times New Roman"/>
          <w:color w:val="000000" w:themeColor="text1"/>
        </w:rPr>
        <w:t xml:space="preserve"> the statutory reach of workers’ compensation </w:t>
      </w:r>
      <w:r>
        <w:rPr>
          <w:rFonts w:eastAsia="Times New Roman" w:cs="Times New Roman"/>
          <w:color w:val="000000" w:themeColor="text1"/>
        </w:rPr>
        <w:t xml:space="preserve">extends to municipalities as “employers” within the meaning of </w:t>
      </w:r>
      <w:r w:rsidRPr="59918226">
        <w:rPr>
          <w:rFonts w:eastAsia="Times New Roman" w:cs="Times New Roman"/>
          <w:color w:val="000000" w:themeColor="text1"/>
        </w:rPr>
        <w:t xml:space="preserve">the </w:t>
      </w:r>
      <w:r>
        <w:rPr>
          <w:rFonts w:eastAsia="Times New Roman" w:cs="Times New Roman"/>
          <w:color w:val="000000" w:themeColor="text1"/>
        </w:rPr>
        <w:t>1917</w:t>
      </w:r>
      <w:r w:rsidRPr="59918226">
        <w:rPr>
          <w:rFonts w:eastAsia="Times New Roman" w:cs="Times New Roman"/>
          <w:color w:val="000000" w:themeColor="text1"/>
        </w:rPr>
        <w:t xml:space="preserve"> Act</w:t>
      </w:r>
      <w:r>
        <w:rPr>
          <w:rFonts w:eastAsia="Times New Roman" w:cs="Times New Roman"/>
          <w:color w:val="000000" w:themeColor="text1"/>
        </w:rPr>
        <w:t>, the operative statute at the time.  Under</w:t>
      </w:r>
      <w:r w:rsidRPr="59918226">
        <w:rPr>
          <w:rFonts w:eastAsia="Times New Roman" w:cs="Times New Roman"/>
          <w:color w:val="000000" w:themeColor="text1"/>
        </w:rPr>
        <w:t xml:space="preserve"> the plain language of the </w:t>
      </w:r>
      <w:r>
        <w:rPr>
          <w:rFonts w:eastAsia="Times New Roman" w:cs="Times New Roman"/>
          <w:color w:val="000000" w:themeColor="text1"/>
        </w:rPr>
        <w:t>1917</w:t>
      </w:r>
      <w:r w:rsidRPr="59918226">
        <w:rPr>
          <w:rFonts w:eastAsia="Times New Roman" w:cs="Times New Roman"/>
          <w:color w:val="000000" w:themeColor="text1"/>
        </w:rPr>
        <w:t xml:space="preserve"> Act</w:t>
      </w:r>
      <w:r>
        <w:rPr>
          <w:rFonts w:eastAsia="Times New Roman" w:cs="Times New Roman"/>
          <w:color w:val="000000" w:themeColor="text1"/>
        </w:rPr>
        <w:t xml:space="preserve">, </w:t>
      </w:r>
      <w:r w:rsidRPr="59918226">
        <w:rPr>
          <w:rFonts w:eastAsia="Times New Roman" w:cs="Times New Roman"/>
          <w:color w:val="000000" w:themeColor="text1"/>
        </w:rPr>
        <w:t xml:space="preserve">“[t]he </w:t>
      </w:r>
      <w:proofErr w:type="gramStart"/>
      <w:r w:rsidRPr="59918226">
        <w:rPr>
          <w:rFonts w:eastAsia="Times New Roman" w:cs="Times New Roman"/>
          <w:color w:val="000000" w:themeColor="text1"/>
        </w:rPr>
        <w:t>term</w:t>
      </w:r>
      <w:proofErr w:type="gramEnd"/>
      <w:r w:rsidRPr="59918226">
        <w:rPr>
          <w:rFonts w:eastAsia="Times New Roman" w:cs="Times New Roman"/>
          <w:color w:val="000000" w:themeColor="text1"/>
        </w:rPr>
        <w:t xml:space="preserve"> ‘employer’ . . . shall be construed to mean</w:t>
      </w:r>
      <w:r>
        <w:rPr>
          <w:rFonts w:eastAsia="Times New Roman" w:cs="Times New Roman"/>
          <w:color w:val="000000" w:themeColor="text1"/>
        </w:rPr>
        <w:t xml:space="preserve"> . . . [t]</w:t>
      </w:r>
      <w:r w:rsidRPr="59918226">
        <w:rPr>
          <w:rFonts w:eastAsia="Times New Roman" w:cs="Times New Roman"/>
          <w:color w:val="000000" w:themeColor="text1"/>
        </w:rPr>
        <w:t>he state</w:t>
      </w:r>
      <w:r>
        <w:rPr>
          <w:rFonts w:eastAsia="Times New Roman" w:cs="Times New Roman"/>
          <w:color w:val="000000" w:themeColor="text1"/>
        </w:rPr>
        <w:t>,</w:t>
      </w:r>
      <w:r w:rsidRPr="59918226">
        <w:rPr>
          <w:rFonts w:eastAsia="Times New Roman" w:cs="Times New Roman"/>
          <w:color w:val="000000" w:themeColor="text1"/>
        </w:rPr>
        <w:t xml:space="preserve"> and each county, city and </w:t>
      </w:r>
      <w:r w:rsidRPr="59918226">
        <w:rPr>
          <w:rFonts w:eastAsia="Times New Roman" w:cs="Times New Roman"/>
          <w:color w:val="000000" w:themeColor="text1"/>
        </w:rPr>
        <w:t xml:space="preserve">county, city, school district and all public corporations therein.”  </w:t>
      </w:r>
      <w:r>
        <w:rPr>
          <w:rFonts w:eastAsia="Times New Roman" w:cs="Times New Roman"/>
        </w:rPr>
        <w:t xml:space="preserve">(1917 Act, </w:t>
      </w:r>
      <w:r w:rsidRPr="006A0C83">
        <w:t>Stats. 191</w:t>
      </w:r>
      <w:r>
        <w:t>7</w:t>
      </w:r>
      <w:r w:rsidRPr="006A0C83">
        <w:t xml:space="preserve">, </w:t>
      </w:r>
      <w:proofErr w:type="spellStart"/>
      <w:r w:rsidRPr="006A0C83">
        <w:t>ch.</w:t>
      </w:r>
      <w:proofErr w:type="spellEnd"/>
      <w:r>
        <w:t> 586,</w:t>
      </w:r>
      <w:r w:rsidRPr="006A0C83">
        <w:t xml:space="preserve"> §</w:t>
      </w:r>
      <w:r>
        <w:t> 7.)</w:t>
      </w:r>
      <w:r w:rsidRPr="00B35FDA">
        <w:t xml:space="preserve"> </w:t>
      </w:r>
      <w:r>
        <w:t xml:space="preserve"> The statutory definition of “employer” was never mentioned, which confirms that there was no genuine issue at the time about whether cities were in</w:t>
      </w:r>
      <w:r>
        <w:t xml:space="preserve">cluded in that term.  </w:t>
      </w:r>
      <w:r w:rsidRPr="59918226">
        <w:rPr>
          <w:rFonts w:eastAsia="Times New Roman" w:cs="Times New Roman"/>
          <w:color w:val="000000" w:themeColor="text1"/>
        </w:rPr>
        <w:t xml:space="preserve">Rather, </w:t>
      </w:r>
      <w:r>
        <w:rPr>
          <w:rFonts w:eastAsia="Times New Roman" w:cs="Times New Roman"/>
          <w:color w:val="000000" w:themeColor="text1"/>
        </w:rPr>
        <w:t>the city employer advanced</w:t>
      </w:r>
      <w:r w:rsidRPr="59918226">
        <w:rPr>
          <w:rFonts w:eastAsia="Times New Roman" w:cs="Times New Roman"/>
          <w:color w:val="000000" w:themeColor="text1"/>
        </w:rPr>
        <w:t xml:space="preserve"> a jurisdictional argument that the Legislature had no constitutional power to </w:t>
      </w:r>
      <w:r>
        <w:rPr>
          <w:rFonts w:eastAsia="Times New Roman" w:cs="Times New Roman"/>
          <w:color w:val="000000" w:themeColor="text1"/>
        </w:rPr>
        <w:t>address the “compensation” of</w:t>
      </w:r>
      <w:r w:rsidRPr="59918226">
        <w:rPr>
          <w:rFonts w:eastAsia="Times New Roman" w:cs="Times New Roman"/>
          <w:color w:val="000000" w:themeColor="text1"/>
        </w:rPr>
        <w:t xml:space="preserve"> local employees.</w:t>
      </w:r>
    </w:p>
    <w:p w14:paraId="55E294B4" w14:textId="77777777" w:rsidR="00AB000C" w:rsidRDefault="00570B35" w:rsidP="00AB000C">
      <w:pPr>
        <w:ind w:firstLine="720"/>
        <w:rPr>
          <w:color w:val="000000"/>
          <w:shd w:val="clear" w:color="auto" w:fill="FFFFFF"/>
        </w:rPr>
      </w:pPr>
      <w:r w:rsidRPr="005F7AB5">
        <w:rPr>
          <w:rFonts w:eastAsia="Times New Roman" w:cs="Times New Roman"/>
          <w:color w:val="000000"/>
        </w:rPr>
        <w:lastRenderedPageBreak/>
        <w:t>The Court of Appeal rejected th</w:t>
      </w:r>
      <w:r>
        <w:rPr>
          <w:rFonts w:eastAsia="Times New Roman" w:cs="Times New Roman"/>
          <w:color w:val="000000"/>
        </w:rPr>
        <w:t>e city employer’s attempt to circumvent the</w:t>
      </w:r>
      <w:r>
        <w:rPr>
          <w:rFonts w:eastAsia="Times New Roman" w:cs="Times New Roman"/>
          <w:color w:val="000000"/>
        </w:rPr>
        <w:t xml:space="preserve"> 1917 Act by constitutional interpretation</w:t>
      </w:r>
      <w:r w:rsidRPr="005F7AB5">
        <w:rPr>
          <w:rFonts w:eastAsia="Times New Roman" w:cs="Times New Roman"/>
          <w:color w:val="000000"/>
        </w:rPr>
        <w:t xml:space="preserve">, holding that </w:t>
      </w:r>
      <w:r w:rsidRPr="005F7AB5">
        <w:rPr>
          <w:color w:val="000000"/>
          <w:shd w:val="clear" w:color="auto" w:fill="FFFFFF"/>
        </w:rPr>
        <w:t xml:space="preserve">the word </w:t>
      </w:r>
      <w:r>
        <w:rPr>
          <w:color w:val="000000"/>
          <w:shd w:val="clear" w:color="auto" w:fill="FFFFFF"/>
        </w:rPr>
        <w:t>“</w:t>
      </w:r>
      <w:r w:rsidRPr="005F7AB5">
        <w:rPr>
          <w:color w:val="000000"/>
          <w:shd w:val="clear" w:color="auto" w:fill="FFFFFF"/>
        </w:rPr>
        <w:t>compensation</w:t>
      </w:r>
      <w:r>
        <w:rPr>
          <w:color w:val="000000"/>
          <w:shd w:val="clear" w:color="auto" w:fill="FFFFFF"/>
        </w:rPr>
        <w:t xml:space="preserve">” in former article XX, section 21, as amended in 1918 (and now included in article XIV, section 4) was not used </w:t>
      </w:r>
      <w:r w:rsidRPr="00C53BF0">
        <w:rPr>
          <w:color w:val="000000"/>
          <w:shd w:val="clear" w:color="auto" w:fill="FFFFFF"/>
        </w:rPr>
        <w:t>“</w:t>
      </w:r>
      <w:r w:rsidRPr="007B5199">
        <w:rPr>
          <w:rFonts w:eastAsia="Times New Roman" w:cs="Times New Roman"/>
          <w:color w:val="000000"/>
          <w:shd w:val="clear" w:color="auto" w:fill="FFFFFF"/>
        </w:rPr>
        <w:t>in the sense of meaning wages</w:t>
      </w:r>
      <w:r w:rsidRPr="00C53BF0">
        <w:rPr>
          <w:rFonts w:eastAsia="Times New Roman" w:cs="Times New Roman"/>
          <w:color w:val="000000"/>
          <w:shd w:val="clear" w:color="auto" w:fill="FFFFFF"/>
        </w:rPr>
        <w:t>” (</w:t>
      </w:r>
      <w:r w:rsidRPr="00C14DCE">
        <w:rPr>
          <w:rFonts w:eastAsia="Times New Roman" w:cs="Times New Roman"/>
          <w:i/>
          <w:iCs/>
          <w:color w:val="000000"/>
          <w:shd w:val="clear" w:color="auto" w:fill="FFFFFF"/>
        </w:rPr>
        <w:t>City of Sacramento</w:t>
      </w:r>
      <w:r w:rsidRPr="00C14DCE">
        <w:rPr>
          <w:rFonts w:eastAsia="Times New Roman" w:cs="Times New Roman"/>
          <w:color w:val="000000"/>
          <w:shd w:val="clear" w:color="auto" w:fill="FFFFFF"/>
        </w:rPr>
        <w:t>,</w:t>
      </w:r>
      <w:r w:rsidRPr="00C14DCE">
        <w:rPr>
          <w:rFonts w:eastAsia="Times New Roman" w:cs="Times New Roman"/>
          <w:i/>
          <w:iCs/>
          <w:color w:val="000000"/>
          <w:shd w:val="clear" w:color="auto" w:fill="FFFFFF"/>
        </w:rPr>
        <w:t xml:space="preserve"> supra</w:t>
      </w:r>
      <w:r w:rsidRPr="00C14DCE">
        <w:rPr>
          <w:rFonts w:eastAsia="Times New Roman" w:cs="Times New Roman"/>
          <w:color w:val="000000"/>
          <w:shd w:val="clear" w:color="auto" w:fill="FFFFFF"/>
        </w:rPr>
        <w:t>,</w:t>
      </w:r>
      <w:r w:rsidRPr="00C14DCE">
        <w:rPr>
          <w:rFonts w:eastAsia="Times New Roman" w:cs="Times New Roman"/>
          <w:i/>
          <w:iCs/>
          <w:color w:val="000000"/>
          <w:shd w:val="clear" w:color="auto" w:fill="FFFFFF"/>
        </w:rPr>
        <w:t xml:space="preserve"> </w:t>
      </w:r>
      <w:r w:rsidRPr="00C14DCE">
        <w:rPr>
          <w:rFonts w:eastAsia="Times New Roman" w:cs="Times New Roman"/>
          <w:color w:val="000000"/>
        </w:rPr>
        <w:t>74</w:t>
      </w:r>
      <w:r>
        <w:rPr>
          <w:rFonts w:eastAsia="Times New Roman" w:cs="Times New Roman"/>
          <w:color w:val="000000"/>
        </w:rPr>
        <w:t> </w:t>
      </w:r>
      <w:proofErr w:type="spellStart"/>
      <w:r>
        <w:rPr>
          <w:rFonts w:eastAsia="Times New Roman" w:cs="Times New Roman"/>
          <w:color w:val="000000"/>
        </w:rPr>
        <w:t>Cal.App</w:t>
      </w:r>
      <w:proofErr w:type="spellEnd"/>
      <w:r>
        <w:rPr>
          <w:rFonts w:eastAsia="Times New Roman" w:cs="Times New Roman"/>
          <w:color w:val="000000"/>
        </w:rPr>
        <w:t>.</w:t>
      </w:r>
      <w:r>
        <w:rPr>
          <w:rFonts w:eastAsia="Times New Roman" w:cs="Times New Roman"/>
          <w:color w:val="000000"/>
          <w:shd w:val="clear" w:color="auto" w:fill="FFFFFF"/>
        </w:rPr>
        <w:t xml:space="preserve"> </w:t>
      </w:r>
      <w:r w:rsidRPr="00C53BF0">
        <w:rPr>
          <w:rFonts w:eastAsia="Times New Roman" w:cs="Times New Roman"/>
          <w:color w:val="000000"/>
          <w:shd w:val="clear" w:color="auto" w:fill="FFFFFF"/>
        </w:rPr>
        <w:t>at p.</w:t>
      </w:r>
      <w:r>
        <w:rPr>
          <w:rFonts w:eastAsia="Times New Roman" w:cs="Times New Roman"/>
          <w:color w:val="000000"/>
          <w:shd w:val="clear" w:color="auto" w:fill="FFFFFF"/>
        </w:rPr>
        <w:t> </w:t>
      </w:r>
      <w:r w:rsidRPr="00C53BF0">
        <w:rPr>
          <w:rFonts w:eastAsia="Times New Roman" w:cs="Times New Roman"/>
          <w:color w:val="000000"/>
          <w:shd w:val="clear" w:color="auto" w:fill="FFFFFF"/>
        </w:rPr>
        <w:t>392)</w:t>
      </w:r>
      <w:r>
        <w:rPr>
          <w:rFonts w:eastAsia="Times New Roman" w:cs="Times New Roman"/>
          <w:color w:val="000000"/>
          <w:shd w:val="clear" w:color="auto" w:fill="FFFFFF"/>
        </w:rPr>
        <w:t xml:space="preserve">, but rather </w:t>
      </w:r>
      <w:r>
        <w:rPr>
          <w:color w:val="000000"/>
          <w:shd w:val="clear" w:color="auto" w:fill="FFFFFF"/>
        </w:rPr>
        <w:t>“</w:t>
      </w:r>
      <w:r w:rsidRPr="005F7AB5">
        <w:rPr>
          <w:color w:val="000000"/>
          <w:shd w:val="clear" w:color="auto" w:fill="FFFFFF"/>
        </w:rPr>
        <w:t>in the sense of making amends for losses sustained, or the paying of an indemnity or an equivalent, so far as it is possible to do so in money value, to those dependents who have suffered such losses</w:t>
      </w:r>
      <w:r>
        <w:rPr>
          <w:color w:val="000000"/>
          <w:shd w:val="clear" w:color="auto" w:fill="FFFFFF"/>
        </w:rPr>
        <w:t>” (</w:t>
      </w:r>
      <w:r>
        <w:rPr>
          <w:i/>
          <w:iCs/>
          <w:color w:val="000000"/>
          <w:shd w:val="clear" w:color="auto" w:fill="FFFFFF"/>
        </w:rPr>
        <w:t xml:space="preserve">id. </w:t>
      </w:r>
      <w:r>
        <w:rPr>
          <w:color w:val="000000"/>
          <w:shd w:val="clear" w:color="auto" w:fill="FFFFFF"/>
        </w:rPr>
        <w:t xml:space="preserve">at p. 395). </w:t>
      </w:r>
      <w:r>
        <w:rPr>
          <w:rFonts w:eastAsia="Times New Roman" w:cs="Times New Roman"/>
          <w:color w:val="000000"/>
          <w:shd w:val="clear" w:color="auto" w:fill="FFFFFF"/>
        </w:rPr>
        <w:t xml:space="preserve"> </w:t>
      </w:r>
      <w:r w:rsidRPr="00C53BF0">
        <w:rPr>
          <w:color w:val="000000"/>
          <w:shd w:val="clear" w:color="auto" w:fill="FFFFFF"/>
        </w:rPr>
        <w:t>Bec</w:t>
      </w:r>
      <w:r>
        <w:rPr>
          <w:color w:val="000000"/>
          <w:shd w:val="clear" w:color="auto" w:fill="FFFFFF"/>
        </w:rPr>
        <w:t xml:space="preserve">ause </w:t>
      </w:r>
      <w:r w:rsidRPr="005F7AB5">
        <w:rPr>
          <w:color w:val="000000"/>
          <w:shd w:val="clear" w:color="auto" w:fill="FFFFFF"/>
        </w:rPr>
        <w:t xml:space="preserve">the Legislature was given </w:t>
      </w:r>
      <w:r>
        <w:rPr>
          <w:color w:val="000000"/>
          <w:shd w:val="clear" w:color="auto" w:fill="FFFFFF"/>
        </w:rPr>
        <w:t xml:space="preserve">plenary </w:t>
      </w:r>
      <w:r w:rsidRPr="005F7AB5">
        <w:rPr>
          <w:color w:val="000000"/>
          <w:shd w:val="clear" w:color="auto" w:fill="FFFFFF"/>
        </w:rPr>
        <w:t xml:space="preserve">power to enforce </w:t>
      </w:r>
      <w:r>
        <w:rPr>
          <w:color w:val="000000"/>
          <w:shd w:val="clear" w:color="auto" w:fill="FFFFFF"/>
        </w:rPr>
        <w:t xml:space="preserve">liability for </w:t>
      </w:r>
      <w:r w:rsidRPr="005F7AB5">
        <w:rPr>
          <w:color w:val="000000"/>
          <w:shd w:val="clear" w:color="auto" w:fill="FFFFFF"/>
        </w:rPr>
        <w:t>workers</w:t>
      </w:r>
      <w:r>
        <w:rPr>
          <w:color w:val="000000"/>
          <w:shd w:val="clear" w:color="auto" w:fill="FFFFFF"/>
        </w:rPr>
        <w:t>’</w:t>
      </w:r>
      <w:r w:rsidRPr="005F7AB5">
        <w:rPr>
          <w:color w:val="000000"/>
          <w:shd w:val="clear" w:color="auto" w:fill="FFFFFF"/>
        </w:rPr>
        <w:t xml:space="preserve"> compensation awards against </w:t>
      </w:r>
      <w:r>
        <w:rPr>
          <w:color w:val="000000"/>
          <w:shd w:val="clear" w:color="auto" w:fill="FFFFFF"/>
        </w:rPr>
        <w:t>“</w:t>
      </w:r>
      <w:r w:rsidRPr="005F7AB5">
        <w:rPr>
          <w:color w:val="000000"/>
          <w:shd w:val="clear" w:color="auto" w:fill="FFFFFF"/>
        </w:rPr>
        <w:t>all persons,” the court held</w:t>
      </w:r>
      <w:r>
        <w:rPr>
          <w:color w:val="000000"/>
          <w:shd w:val="clear" w:color="auto" w:fill="FFFFFF"/>
        </w:rPr>
        <w:t xml:space="preserve">, the term </w:t>
      </w:r>
      <w:r w:rsidRPr="005F7AB5">
        <w:rPr>
          <w:color w:val="000000"/>
          <w:shd w:val="clear" w:color="auto" w:fill="FFFFFF"/>
        </w:rPr>
        <w:t>“person</w:t>
      </w:r>
      <w:r>
        <w:rPr>
          <w:color w:val="000000"/>
          <w:shd w:val="clear" w:color="auto" w:fill="FFFFFF"/>
        </w:rPr>
        <w:t>s</w:t>
      </w:r>
      <w:r w:rsidRPr="005F7AB5">
        <w:rPr>
          <w:color w:val="000000"/>
          <w:shd w:val="clear" w:color="auto" w:fill="FFFFFF"/>
        </w:rPr>
        <w:t xml:space="preserve">” </w:t>
      </w:r>
      <w:r>
        <w:rPr>
          <w:color w:val="000000"/>
          <w:shd w:val="clear" w:color="auto" w:fill="FFFFFF"/>
        </w:rPr>
        <w:t>included municipalities.  (</w:t>
      </w:r>
      <w:r w:rsidRPr="00897FF8">
        <w:rPr>
          <w:i/>
          <w:iCs/>
          <w:color w:val="000000"/>
          <w:shd w:val="clear" w:color="auto" w:fill="FFFFFF"/>
        </w:rPr>
        <w:t>Ibid</w:t>
      </w:r>
      <w:r>
        <w:rPr>
          <w:color w:val="000000"/>
          <w:shd w:val="clear" w:color="auto" w:fill="FFFFFF"/>
        </w:rPr>
        <w:t xml:space="preserve">.)  Unpersuaded by the municipal employer’s attempt to offer a </w:t>
      </w:r>
      <w:r>
        <w:rPr>
          <w:color w:val="000000"/>
          <w:shd w:val="clear" w:color="auto" w:fill="FFFFFF"/>
        </w:rPr>
        <w:t>reading of former article XX, section 21, that implicitly exempted it from the “complete system of workers’ compensation” the Legislature created, the court pointed out that a municipality is a “</w:t>
      </w:r>
      <w:proofErr w:type="gramStart"/>
      <w:r w:rsidRPr="005F7AB5">
        <w:rPr>
          <w:color w:val="000000"/>
          <w:shd w:val="clear" w:color="auto" w:fill="FFFFFF"/>
        </w:rPr>
        <w:t>department</w:t>
      </w:r>
      <w:r w:rsidRPr="001B53FF">
        <w:rPr>
          <w:color w:val="000000"/>
          <w:spacing w:val="20"/>
          <w:shd w:val="clear" w:color="auto" w:fill="FFFFFF"/>
        </w:rPr>
        <w:t>[</w:t>
      </w:r>
      <w:proofErr w:type="gramEnd"/>
      <w:r>
        <w:rPr>
          <w:color w:val="000000"/>
          <w:shd w:val="clear" w:color="auto" w:fill="FFFFFF"/>
        </w:rPr>
        <w:t>]</w:t>
      </w:r>
      <w:r w:rsidRPr="005F7AB5">
        <w:rPr>
          <w:color w:val="000000"/>
          <w:shd w:val="clear" w:color="auto" w:fill="FFFFFF"/>
        </w:rPr>
        <w:t xml:space="preserve"> of </w:t>
      </w:r>
      <w:r>
        <w:rPr>
          <w:color w:val="000000"/>
          <w:shd w:val="clear" w:color="auto" w:fill="FFFFFF"/>
        </w:rPr>
        <w:t>the state government”</w:t>
      </w:r>
      <w:r w:rsidRPr="005F7AB5">
        <w:rPr>
          <w:color w:val="000000"/>
          <w:shd w:val="clear" w:color="auto" w:fill="FFFFFF"/>
        </w:rPr>
        <w:t xml:space="preserve"> bound by the “</w:t>
      </w:r>
      <w:r w:rsidRPr="001B53FF">
        <w:rPr>
          <w:color w:val="000000"/>
          <w:shd w:val="clear" w:color="auto" w:fill="FFFFFF"/>
        </w:rPr>
        <w:t> ‘</w:t>
      </w:r>
      <w:r w:rsidRPr="005F7AB5">
        <w:rPr>
          <w:color w:val="000000"/>
          <w:shd w:val="clear" w:color="auto" w:fill="FFFFFF"/>
        </w:rPr>
        <w:t xml:space="preserve">social </w:t>
      </w:r>
      <w:r>
        <w:rPr>
          <w:color w:val="000000"/>
          <w:shd w:val="clear" w:color="auto" w:fill="FFFFFF"/>
        </w:rPr>
        <w:t xml:space="preserve">public </w:t>
      </w:r>
      <w:r w:rsidRPr="001B53FF">
        <w:rPr>
          <w:color w:val="000000"/>
          <w:shd w:val="clear" w:color="auto" w:fill="FFFFFF"/>
        </w:rPr>
        <w:t>policy’ </w:t>
      </w:r>
      <w:r w:rsidRPr="005F7AB5">
        <w:rPr>
          <w:color w:val="000000"/>
          <w:shd w:val="clear" w:color="auto" w:fill="FFFFFF"/>
        </w:rPr>
        <w:t xml:space="preserve">” </w:t>
      </w:r>
      <w:r>
        <w:rPr>
          <w:color w:val="000000"/>
          <w:shd w:val="clear" w:color="auto" w:fill="FFFFFF"/>
        </w:rPr>
        <w:t>codified in former article XX, section 21.  (</w:t>
      </w:r>
      <w:r>
        <w:rPr>
          <w:i/>
          <w:iCs/>
          <w:color w:val="000000"/>
          <w:shd w:val="clear" w:color="auto" w:fill="FFFFFF"/>
        </w:rPr>
        <w:t>City of Sacramento</w:t>
      </w:r>
      <w:r w:rsidRPr="00C43CD2">
        <w:rPr>
          <w:color w:val="000000"/>
          <w:shd w:val="clear" w:color="auto" w:fill="FFFFFF"/>
        </w:rPr>
        <w:t>, at p. 395.</w:t>
      </w:r>
      <w:r>
        <w:rPr>
          <w:color w:val="000000"/>
          <w:shd w:val="clear" w:color="auto" w:fill="FFFFFF"/>
        </w:rPr>
        <w:t>)</w:t>
      </w:r>
    </w:p>
    <w:p w14:paraId="706F950E" w14:textId="77777777" w:rsidR="00AB000C" w:rsidRDefault="00570B35" w:rsidP="00AB000C">
      <w:pPr>
        <w:ind w:firstLine="720"/>
        <w:rPr>
          <w:color w:val="000000"/>
          <w:shd w:val="clear" w:color="auto" w:fill="FFFFFF"/>
        </w:rPr>
      </w:pPr>
      <w:r>
        <w:rPr>
          <w:color w:val="000000"/>
          <w:shd w:val="clear" w:color="auto" w:fill="FFFFFF"/>
        </w:rPr>
        <w:t xml:space="preserve">In my view, the lesson to be drawn from </w:t>
      </w:r>
      <w:r w:rsidRPr="00AB3ECF">
        <w:rPr>
          <w:i/>
          <w:iCs/>
          <w:color w:val="000000"/>
          <w:shd w:val="clear" w:color="auto" w:fill="FFFFFF"/>
        </w:rPr>
        <w:t>City of Sacramento</w:t>
      </w:r>
      <w:r>
        <w:rPr>
          <w:color w:val="000000"/>
          <w:shd w:val="clear" w:color="auto" w:fill="FFFFFF"/>
        </w:rPr>
        <w:t xml:space="preserve"> is this.  What came before the court there—just as it does in this case—was an attempt to place an enti</w:t>
      </w:r>
      <w:r>
        <w:rPr>
          <w:color w:val="000000"/>
          <w:shd w:val="clear" w:color="auto" w:fill="FFFFFF"/>
        </w:rPr>
        <w:t>re class of workers outside the workers’ compensation system based on a narrow construction of the Legislature’s constitutionally delegated power to create a “complete system of workers’ compensation” and enforce compensation awards against covered employe</w:t>
      </w:r>
      <w:r>
        <w:rPr>
          <w:color w:val="000000"/>
          <w:shd w:val="clear" w:color="auto" w:fill="FFFFFF"/>
        </w:rPr>
        <w:t xml:space="preserve">rs.  The </w:t>
      </w:r>
      <w:r w:rsidRPr="00AB3ECF">
        <w:rPr>
          <w:i/>
          <w:iCs/>
          <w:color w:val="000000"/>
          <w:shd w:val="clear" w:color="auto" w:fill="FFFFFF"/>
        </w:rPr>
        <w:t>City of Sacramento</w:t>
      </w:r>
      <w:r>
        <w:rPr>
          <w:color w:val="000000"/>
          <w:shd w:val="clear" w:color="auto" w:fill="FFFFFF"/>
        </w:rPr>
        <w:t xml:space="preserve"> court was alert to the evasion and relied in </w:t>
      </w:r>
      <w:r>
        <w:rPr>
          <w:color w:val="000000"/>
          <w:shd w:val="clear" w:color="auto" w:fill="FFFFFF"/>
        </w:rPr>
        <w:lastRenderedPageBreak/>
        <w:t>part on the “social public policy” embodied in former article XX, section 21 to reject it.  I regret that we have not been similarly alert to the constitutional evasion Proposition 22</w:t>
      </w:r>
      <w:r>
        <w:rPr>
          <w:color w:val="000000"/>
          <w:shd w:val="clear" w:color="auto" w:fill="FFFFFF"/>
        </w:rPr>
        <w:t xml:space="preserve"> represents.  As “shadow” legislators, the Proposition 22 voter electors are similarly bound by the “social public policy” codified in article XIV, section 4, particularly after the Legislature expressed its view of how that “policy” applies in passing </w:t>
      </w:r>
      <w:r w:rsidRPr="002B2A2E">
        <w:rPr>
          <w:color w:val="000000"/>
          <w:shd w:val="clear" w:color="auto" w:fill="FFFFFF"/>
        </w:rPr>
        <w:t>Ass</w:t>
      </w:r>
      <w:r w:rsidRPr="002B2A2E">
        <w:rPr>
          <w:color w:val="000000"/>
          <w:shd w:val="clear" w:color="auto" w:fill="FFFFFF"/>
        </w:rPr>
        <w:t>embly</w:t>
      </w:r>
      <w:r>
        <w:rPr>
          <w:color w:val="000000"/>
          <w:shd w:val="clear" w:color="auto" w:fill="FFFFFF"/>
        </w:rPr>
        <w:t xml:space="preserve"> </w:t>
      </w:r>
      <w:r w:rsidRPr="002B2A2E">
        <w:rPr>
          <w:color w:val="000000"/>
          <w:shd w:val="clear" w:color="auto" w:fill="FFFFFF"/>
        </w:rPr>
        <w:t>Bill 5</w:t>
      </w:r>
      <w:r>
        <w:rPr>
          <w:color w:val="000000"/>
          <w:shd w:val="clear" w:color="auto" w:fill="FFFFFF"/>
        </w:rPr>
        <w:t>.</w:t>
      </w:r>
    </w:p>
    <w:p w14:paraId="03B627DC" w14:textId="77777777" w:rsidR="00AB000C" w:rsidRPr="00B852FF" w:rsidRDefault="00570B35" w:rsidP="00AB000C">
      <w:pPr>
        <w:keepNext/>
        <w:spacing w:before="120" w:after="120" w:line="240" w:lineRule="auto"/>
        <w:rPr>
          <w:b/>
          <w:bCs/>
        </w:rPr>
      </w:pPr>
      <w:r w:rsidRPr="00DB498D">
        <w:rPr>
          <w:b/>
        </w:rPr>
        <w:t>III.</w:t>
      </w:r>
      <w:r w:rsidRPr="00DB498D">
        <w:rPr>
          <w:b/>
        </w:rPr>
        <w:tab/>
        <w:t>Proposition 22 Violates Article III, Section 3</w:t>
      </w:r>
    </w:p>
    <w:p w14:paraId="7E23DA71" w14:textId="77777777" w:rsidR="00AB000C" w:rsidRPr="00257209" w:rsidRDefault="00570B35" w:rsidP="00AB000C">
      <w:pPr>
        <w:keepNext/>
        <w:tabs>
          <w:tab w:val="left" w:pos="360"/>
        </w:tabs>
        <w:spacing w:before="120" w:after="120" w:line="240" w:lineRule="auto"/>
        <w:ind w:left="720" w:hanging="720"/>
        <w:rPr>
          <w:rFonts w:eastAsia="Times New Roman" w:cs="Times New Roman"/>
          <w:b/>
          <w:bCs/>
          <w:i/>
          <w:iCs/>
          <w:color w:val="000000"/>
        </w:rPr>
      </w:pPr>
      <w:r w:rsidRPr="00257209">
        <w:rPr>
          <w:rFonts w:eastAsia="Times New Roman" w:cs="Times New Roman"/>
          <w:b/>
          <w:bCs/>
          <w:color w:val="000000"/>
        </w:rPr>
        <w:tab/>
      </w:r>
      <w:r w:rsidRPr="00DB498D">
        <w:rPr>
          <w:rFonts w:eastAsia="Times New Roman" w:cs="Times New Roman"/>
          <w:b/>
          <w:color w:val="000000"/>
        </w:rPr>
        <w:t>A.</w:t>
      </w:r>
      <w:r w:rsidRPr="00DB498D">
        <w:rPr>
          <w:rFonts w:eastAsia="Times New Roman" w:cs="Times New Roman"/>
          <w:b/>
          <w:color w:val="000000"/>
        </w:rPr>
        <w:tab/>
      </w:r>
      <w:r w:rsidRPr="00DB498D">
        <w:rPr>
          <w:rFonts w:eastAsia="Times New Roman" w:cs="Times New Roman"/>
          <w:b/>
          <w:i/>
          <w:color w:val="000000"/>
        </w:rPr>
        <w:t>A Dispute Resolution System Within the Judicial Branch Is a “Basic Feature” of the Pre-1918 “Complete System of Workers’ Compensation”</w:t>
      </w:r>
    </w:p>
    <w:p w14:paraId="408011BE" w14:textId="77777777" w:rsidR="00AB000C" w:rsidRPr="00F45DC4" w:rsidRDefault="00570B35" w:rsidP="00AB000C">
      <w:pPr>
        <w:ind w:firstLine="720"/>
        <w:rPr>
          <w:shd w:val="clear" w:color="auto" w:fill="FFFFFF"/>
        </w:rPr>
      </w:pPr>
      <w:r w:rsidRPr="003C6972">
        <w:rPr>
          <w:rFonts w:eastAsia="Times New Roman" w:cs="Times New Roman"/>
          <w:color w:val="000000"/>
        </w:rPr>
        <w:t xml:space="preserve">Among the </w:t>
      </w:r>
      <w:r>
        <w:rPr>
          <w:rFonts w:eastAsia="Times New Roman" w:cs="Times New Roman"/>
          <w:color w:val="000000"/>
        </w:rPr>
        <w:t xml:space="preserve">“basic </w:t>
      </w:r>
      <w:r w:rsidRPr="003C6972">
        <w:rPr>
          <w:rFonts w:eastAsia="Times New Roman" w:cs="Times New Roman"/>
          <w:color w:val="000000"/>
        </w:rPr>
        <w:t>features</w:t>
      </w:r>
      <w:r>
        <w:rPr>
          <w:rFonts w:eastAsia="Times New Roman" w:cs="Times New Roman"/>
          <w:color w:val="000000"/>
        </w:rPr>
        <w:t>”</w:t>
      </w:r>
      <w:r w:rsidRPr="003C6972">
        <w:rPr>
          <w:rFonts w:eastAsia="Times New Roman" w:cs="Times New Roman"/>
          <w:color w:val="000000"/>
        </w:rPr>
        <w:t xml:space="preserve"> of the </w:t>
      </w:r>
      <w:r>
        <w:rPr>
          <w:rFonts w:eastAsia="Times New Roman" w:cs="Times New Roman"/>
          <w:color w:val="000000"/>
        </w:rPr>
        <w:t xml:space="preserve">pre-1918 </w:t>
      </w:r>
      <w:r w:rsidRPr="003C6972">
        <w:rPr>
          <w:rFonts w:eastAsia="Times New Roman" w:cs="Times New Roman"/>
          <w:color w:val="000000"/>
        </w:rPr>
        <w:t>workers</w:t>
      </w:r>
      <w:r>
        <w:rPr>
          <w:rFonts w:eastAsia="Times New Roman" w:cs="Times New Roman"/>
          <w:color w:val="000000"/>
        </w:rPr>
        <w:t>’</w:t>
      </w:r>
      <w:r w:rsidRPr="003C6972">
        <w:rPr>
          <w:rFonts w:eastAsia="Times New Roman" w:cs="Times New Roman"/>
          <w:color w:val="000000"/>
        </w:rPr>
        <w:t xml:space="preserve"> compensation </w:t>
      </w:r>
      <w:r>
        <w:rPr>
          <w:rFonts w:eastAsia="Times New Roman" w:cs="Times New Roman"/>
          <w:color w:val="000000"/>
        </w:rPr>
        <w:t xml:space="preserve">system set up by the Legislature </w:t>
      </w:r>
      <w:r w:rsidRPr="003C6972">
        <w:rPr>
          <w:rFonts w:eastAsia="Times New Roman" w:cs="Times New Roman"/>
          <w:color w:val="000000"/>
        </w:rPr>
        <w:t xml:space="preserve">were </w:t>
      </w:r>
      <w:r>
        <w:rPr>
          <w:rFonts w:eastAsia="Times New Roman" w:cs="Times New Roman"/>
          <w:color w:val="000000"/>
        </w:rPr>
        <w:t xml:space="preserve">these three:  </w:t>
      </w:r>
      <w:r w:rsidRPr="003C6972">
        <w:rPr>
          <w:rFonts w:eastAsia="Times New Roman" w:cs="Times New Roman"/>
          <w:color w:val="000000"/>
        </w:rPr>
        <w:t>(1)</w:t>
      </w:r>
      <w:r>
        <w:rPr>
          <w:rFonts w:eastAsia="Times New Roman" w:cs="Times New Roman"/>
          <w:color w:val="000000"/>
        </w:rPr>
        <w:t> </w:t>
      </w:r>
      <w:r w:rsidRPr="003C6972">
        <w:rPr>
          <w:rFonts w:eastAsia="Times New Roman" w:cs="Times New Roman"/>
          <w:color w:val="000000"/>
        </w:rPr>
        <w:t>the definition of “</w:t>
      </w:r>
      <w:r w:rsidRPr="00651A50">
        <w:rPr>
          <w:rFonts w:eastAsia="Times New Roman" w:cs="Times New Roman"/>
        </w:rPr>
        <w:t>employee” included “</w:t>
      </w:r>
      <w:r>
        <w:rPr>
          <w:shd w:val="clear" w:color="auto" w:fill="FFFFFF"/>
        </w:rPr>
        <w:t>[e]</w:t>
      </w:r>
      <w:r w:rsidRPr="00651A50">
        <w:rPr>
          <w:shd w:val="clear" w:color="auto" w:fill="FFFFFF"/>
        </w:rPr>
        <w:t>very person in the service of an employer . . . under any appointment or contract of hire or apprenticeship, express or implied</w:t>
      </w:r>
      <w:r w:rsidRPr="00651A50">
        <w:rPr>
          <w:shd w:val="clear" w:color="auto" w:fill="FFFFFF"/>
        </w:rPr>
        <w:t>, oral or written,”</w:t>
      </w:r>
      <w:r>
        <w:rPr>
          <w:rStyle w:val="FootnoteReference"/>
          <w:shd w:val="clear" w:color="auto" w:fill="FFFFFF"/>
        </w:rPr>
        <w:footnoteReference w:id="46"/>
      </w:r>
      <w:r w:rsidRPr="00651A50">
        <w:rPr>
          <w:shd w:val="clear" w:color="auto" w:fill="FFFFFF"/>
        </w:rPr>
        <w:t xml:space="preserve"> (2)</w:t>
      </w:r>
      <w:r>
        <w:rPr>
          <w:shd w:val="clear" w:color="auto" w:fill="FFFFFF"/>
        </w:rPr>
        <w:t> a </w:t>
      </w:r>
      <w:r w:rsidRPr="00651A50">
        <w:rPr>
          <w:shd w:val="clear" w:color="auto" w:fill="FFFFFF"/>
        </w:rPr>
        <w:t>“</w:t>
      </w:r>
      <w:r>
        <w:rPr>
          <w:shd w:val="clear" w:color="auto" w:fill="FFFFFF"/>
        </w:rPr>
        <w:t> </w:t>
      </w:r>
      <w:r w:rsidRPr="00651A50">
        <w:rPr>
          <w:shd w:val="clear" w:color="auto" w:fill="FFFFFF"/>
        </w:rPr>
        <w:t xml:space="preserve">‘contract of hire’ mean[t] a contract for personal services, </w:t>
      </w:r>
      <w:r>
        <w:rPr>
          <w:shd w:val="clear" w:color="auto" w:fill="FFFFFF"/>
        </w:rPr>
        <w:t>as is indicated</w:t>
      </w:r>
      <w:r w:rsidRPr="00651A50">
        <w:rPr>
          <w:shd w:val="clear" w:color="auto" w:fill="FFFFFF"/>
        </w:rPr>
        <w:t xml:space="preserve"> by the fact that the basis of compensation provided by the act is the amount of wages earned,</w:t>
      </w:r>
      <w:r>
        <w:rPr>
          <w:shd w:val="clear" w:color="auto" w:fill="FFFFFF"/>
        </w:rPr>
        <w:t>”</w:t>
      </w:r>
      <w:r>
        <w:rPr>
          <w:rStyle w:val="FootnoteReference"/>
          <w:shd w:val="clear" w:color="auto" w:fill="FFFFFF"/>
        </w:rPr>
        <w:footnoteReference w:id="47"/>
      </w:r>
      <w:r w:rsidRPr="00651A50">
        <w:rPr>
          <w:shd w:val="clear" w:color="auto" w:fill="FFFFFF"/>
        </w:rPr>
        <w:t xml:space="preserve"> and (3)</w:t>
      </w:r>
      <w:r>
        <w:rPr>
          <w:shd w:val="clear" w:color="auto" w:fill="FFFFFF"/>
        </w:rPr>
        <w:t> </w:t>
      </w:r>
      <w:r w:rsidRPr="00651A50">
        <w:rPr>
          <w:shd w:val="clear" w:color="auto" w:fill="FFFFFF"/>
        </w:rPr>
        <w:t>disputes over the employment status of wage-</w:t>
      </w:r>
      <w:r w:rsidRPr="00651A50">
        <w:rPr>
          <w:shd w:val="clear" w:color="auto" w:fill="FFFFFF"/>
        </w:rPr>
        <w:t xml:space="preserve">earning workers—including on the issue of whether they were </w:t>
      </w:r>
      <w:r w:rsidRPr="00F45DC4">
        <w:rPr>
          <w:shd w:val="clear" w:color="auto" w:fill="FFFFFF"/>
        </w:rPr>
        <w:t xml:space="preserve">employees or independent contractors—were to be decided by the Industrial Accident </w:t>
      </w:r>
      <w:r w:rsidRPr="00F45DC4">
        <w:rPr>
          <w:shd w:val="clear" w:color="auto" w:fill="FFFFFF"/>
        </w:rPr>
        <w:lastRenderedPageBreak/>
        <w:t>Commission (IAC), subject to judicial review in the Court of Appeal.</w:t>
      </w:r>
      <w:r>
        <w:rPr>
          <w:rStyle w:val="FootnoteReference"/>
          <w:shd w:val="clear" w:color="auto" w:fill="FFFFFF"/>
        </w:rPr>
        <w:footnoteReference w:id="48"/>
      </w:r>
    </w:p>
    <w:p w14:paraId="0C35870F" w14:textId="77777777" w:rsidR="00AB000C" w:rsidRPr="0001115F" w:rsidRDefault="00570B35" w:rsidP="00AB000C">
      <w:pPr>
        <w:ind w:firstLine="720"/>
        <w:rPr>
          <w:color w:val="000000"/>
          <w:shd w:val="clear" w:color="auto" w:fill="FFFFFF"/>
        </w:rPr>
      </w:pPr>
      <w:r w:rsidRPr="00F45DC4">
        <w:rPr>
          <w:shd w:val="clear" w:color="auto" w:fill="FFFFFF"/>
        </w:rPr>
        <w:t xml:space="preserve">This last element—administrative resolution of workers’ compensation claims, with review channeled directly into the Court of Appeal—was added in 1913, when the statutory workers’ compensation scheme evolved from a purely voluntary system </w:t>
      </w:r>
      <w:r w:rsidRPr="00F45DC4">
        <w:t xml:space="preserve">in </w:t>
      </w:r>
      <w:r w:rsidRPr="00F45DC4">
        <w:rPr>
          <w:shd w:val="clear" w:color="auto" w:fill="FFFFFF"/>
        </w:rPr>
        <w:t xml:space="preserve">the </w:t>
      </w:r>
      <w:r w:rsidRPr="009812EC">
        <w:rPr>
          <w:shd w:val="clear" w:color="auto" w:fill="FFFFFF"/>
        </w:rPr>
        <w:t>Roseville</w:t>
      </w:r>
      <w:r w:rsidRPr="00F45DC4">
        <w:rPr>
          <w:shd w:val="clear" w:color="auto" w:fill="FFFFFF"/>
        </w:rPr>
        <w:t xml:space="preserve"> </w:t>
      </w:r>
      <w:r w:rsidRPr="00F45DC4">
        <w:rPr>
          <w:shd w:val="clear" w:color="auto" w:fill="FFFFFF"/>
        </w:rPr>
        <w:t xml:space="preserve">Act into a compulsory system in the Boynton Act.  </w:t>
      </w:r>
      <w:r>
        <w:rPr>
          <w:color w:val="000000"/>
          <w:shd w:val="clear" w:color="auto" w:fill="FFFFFF"/>
        </w:rPr>
        <w:t xml:space="preserve">Designed to ensure expeditious resolution of claims by a decision maker imbued with judicial power, this feature of the Boynton Act </w:t>
      </w:r>
      <w:r w:rsidRPr="0001115F">
        <w:rPr>
          <w:color w:val="000000"/>
          <w:shd w:val="clear" w:color="auto" w:fill="FFFFFF"/>
        </w:rPr>
        <w:t xml:space="preserve">has </w:t>
      </w:r>
      <w:r>
        <w:rPr>
          <w:color w:val="000000"/>
          <w:shd w:val="clear" w:color="auto" w:fill="FFFFFF"/>
        </w:rPr>
        <w:t xml:space="preserve">long </w:t>
      </w:r>
      <w:r w:rsidRPr="0001115F">
        <w:rPr>
          <w:color w:val="000000"/>
          <w:shd w:val="clear" w:color="auto" w:fill="FFFFFF"/>
        </w:rPr>
        <w:t xml:space="preserve">been recognized by our Supreme Court as a “basic feature” of the </w:t>
      </w:r>
      <w:r w:rsidRPr="0001115F">
        <w:rPr>
          <w:color w:val="000000"/>
          <w:shd w:val="clear" w:color="auto" w:fill="FFFFFF"/>
        </w:rPr>
        <w:t>pre</w:t>
      </w:r>
      <w:r>
        <w:rPr>
          <w:color w:val="000000"/>
          <w:shd w:val="clear" w:color="auto" w:fill="FFFFFF"/>
        </w:rPr>
        <w:noBreakHyphen/>
      </w:r>
      <w:r w:rsidRPr="0001115F">
        <w:rPr>
          <w:color w:val="000000"/>
          <w:shd w:val="clear" w:color="auto" w:fill="FFFFFF"/>
        </w:rPr>
        <w:t>1918 workers</w:t>
      </w:r>
      <w:r>
        <w:rPr>
          <w:color w:val="000000"/>
          <w:shd w:val="clear" w:color="auto" w:fill="FFFFFF"/>
        </w:rPr>
        <w:t>’</w:t>
      </w:r>
      <w:r w:rsidRPr="0001115F">
        <w:rPr>
          <w:color w:val="000000"/>
          <w:shd w:val="clear" w:color="auto" w:fill="FFFFFF"/>
        </w:rPr>
        <w:t xml:space="preserve"> compensation system.</w:t>
      </w:r>
      <w:r>
        <w:rPr>
          <w:color w:val="000000"/>
          <w:shd w:val="clear" w:color="auto" w:fill="FFFFFF"/>
        </w:rPr>
        <w:t xml:space="preserve"> </w:t>
      </w:r>
      <w:r w:rsidRPr="0001115F">
        <w:rPr>
          <w:color w:val="000000"/>
          <w:shd w:val="clear" w:color="auto" w:fill="FFFFFF"/>
        </w:rPr>
        <w:t xml:space="preserve"> </w:t>
      </w:r>
      <w:r w:rsidRPr="0001115F">
        <w:rPr>
          <w:rFonts w:eastAsia="Times New Roman" w:cs="Times New Roman"/>
          <w:color w:val="000000"/>
          <w:shd w:val="clear" w:color="auto" w:fill="FFFFFF"/>
        </w:rPr>
        <w:t>(</w:t>
      </w:r>
      <w:proofErr w:type="spellStart"/>
      <w:r w:rsidRPr="0001115F">
        <w:rPr>
          <w:rFonts w:eastAsia="Times New Roman" w:cs="Times New Roman"/>
          <w:i/>
          <w:iCs/>
          <w:color w:val="000000"/>
          <w:bdr w:val="none" w:sz="0" w:space="0" w:color="auto" w:frame="1"/>
        </w:rPr>
        <w:t>Hustedt</w:t>
      </w:r>
      <w:proofErr w:type="spellEnd"/>
      <w:r>
        <w:rPr>
          <w:rFonts w:eastAsia="Times New Roman" w:cs="Times New Roman"/>
          <w:color w:val="000000"/>
        </w:rPr>
        <w:t xml:space="preserve">, </w:t>
      </w:r>
      <w:r w:rsidRPr="00DF359C">
        <w:rPr>
          <w:rFonts w:eastAsia="Times New Roman" w:cs="Times New Roman"/>
          <w:i/>
          <w:iCs/>
          <w:color w:val="000000"/>
        </w:rPr>
        <w:t>supra</w:t>
      </w:r>
      <w:r>
        <w:rPr>
          <w:rFonts w:eastAsia="Times New Roman" w:cs="Times New Roman"/>
          <w:color w:val="000000"/>
        </w:rPr>
        <w:t xml:space="preserve">, </w:t>
      </w:r>
      <w:r w:rsidRPr="0001115F">
        <w:rPr>
          <w:rFonts w:eastAsia="Times New Roman" w:cs="Times New Roman"/>
          <w:color w:val="000000"/>
        </w:rPr>
        <w:t>30</w:t>
      </w:r>
      <w:r>
        <w:rPr>
          <w:rFonts w:eastAsia="Times New Roman" w:cs="Times New Roman"/>
          <w:color w:val="000000"/>
        </w:rPr>
        <w:t> </w:t>
      </w:r>
      <w:r w:rsidRPr="0001115F">
        <w:rPr>
          <w:rFonts w:eastAsia="Times New Roman" w:cs="Times New Roman"/>
          <w:color w:val="000000"/>
        </w:rPr>
        <w:t xml:space="preserve">Cal.3d </w:t>
      </w:r>
      <w:r>
        <w:rPr>
          <w:rFonts w:eastAsia="Times New Roman" w:cs="Times New Roman"/>
          <w:color w:val="000000"/>
        </w:rPr>
        <w:t>at p. </w:t>
      </w:r>
      <w:r w:rsidRPr="0001115F">
        <w:rPr>
          <w:rFonts w:eastAsia="Times New Roman" w:cs="Times New Roman"/>
          <w:color w:val="000000"/>
        </w:rPr>
        <w:t>343.</w:t>
      </w:r>
      <w:r>
        <w:rPr>
          <w:rFonts w:eastAsia="Times New Roman" w:cs="Times New Roman"/>
          <w:color w:val="000000"/>
        </w:rPr>
        <w:t>)</w:t>
      </w:r>
    </w:p>
    <w:p w14:paraId="7C8B068A" w14:textId="77777777" w:rsidR="00AB000C" w:rsidRDefault="00570B35" w:rsidP="00AB000C">
      <w:pPr>
        <w:ind w:firstLine="720"/>
        <w:rPr>
          <w:rFonts w:eastAsia="Times New Roman" w:cs="Times New Roman"/>
          <w:color w:val="000000"/>
          <w:shd w:val="clear" w:color="auto" w:fill="FFFFFF"/>
        </w:rPr>
      </w:pPr>
      <w:r w:rsidRPr="0001115F">
        <w:rPr>
          <w:color w:val="000000"/>
          <w:shd w:val="clear" w:color="auto" w:fill="FFFFFF"/>
        </w:rPr>
        <w:t>Article XIV, section</w:t>
      </w:r>
      <w:r>
        <w:rPr>
          <w:color w:val="000000"/>
          <w:shd w:val="clear" w:color="auto" w:fill="FFFFFF"/>
        </w:rPr>
        <w:t> 4</w:t>
      </w:r>
      <w:r w:rsidRPr="0001115F">
        <w:rPr>
          <w:color w:val="000000"/>
          <w:shd w:val="clear" w:color="auto" w:fill="FFFFFF"/>
        </w:rPr>
        <w:t xml:space="preserve">, includes definitional language describing this dispute resolution process in detail. </w:t>
      </w:r>
      <w:r>
        <w:rPr>
          <w:color w:val="000000"/>
          <w:shd w:val="clear" w:color="auto" w:fill="FFFFFF"/>
        </w:rPr>
        <w:t xml:space="preserve"> </w:t>
      </w:r>
      <w:r w:rsidRPr="0001115F">
        <w:rPr>
          <w:color w:val="000000"/>
          <w:shd w:val="clear" w:color="auto" w:fill="FFFFFF"/>
        </w:rPr>
        <w:t>The first paragraph of article XIV, section</w:t>
      </w:r>
      <w:r>
        <w:rPr>
          <w:color w:val="000000"/>
          <w:shd w:val="clear" w:color="auto" w:fill="FFFFFF"/>
        </w:rPr>
        <w:t> </w:t>
      </w:r>
      <w:r w:rsidRPr="0001115F">
        <w:rPr>
          <w:color w:val="000000"/>
          <w:shd w:val="clear" w:color="auto" w:fill="FFFFFF"/>
        </w:rPr>
        <w:t>4, begins:  The Legislature is empowered to make “</w:t>
      </w:r>
      <w:r w:rsidRPr="0001115F">
        <w:rPr>
          <w:rFonts w:eastAsia="Times New Roman" w:cs="Times New Roman"/>
          <w:color w:val="000000"/>
          <w:shd w:val="clear" w:color="auto" w:fill="FFFFFF"/>
        </w:rPr>
        <w:t>full provision for vesting power, authority and jurisdiction in an adminis</w:t>
      </w:r>
      <w:r w:rsidRPr="0001115F">
        <w:rPr>
          <w:rFonts w:eastAsia="Times New Roman" w:cs="Times New Roman"/>
          <w:color w:val="000000"/>
          <w:shd w:val="clear" w:color="auto" w:fill="FFFFFF"/>
        </w:rPr>
        <w:t xml:space="preserve">trative body with all the requisite </w:t>
      </w:r>
      <w:r w:rsidRPr="0001115F">
        <w:rPr>
          <w:rFonts w:eastAsia="Times New Roman" w:cs="Times New Roman"/>
          <w:i/>
          <w:iCs/>
          <w:color w:val="000000"/>
          <w:shd w:val="clear" w:color="auto" w:fill="FFFFFF"/>
        </w:rPr>
        <w:t>governmental</w:t>
      </w:r>
      <w:r w:rsidRPr="0001115F">
        <w:rPr>
          <w:rFonts w:eastAsia="Times New Roman" w:cs="Times New Roman"/>
          <w:color w:val="000000"/>
          <w:shd w:val="clear" w:color="auto" w:fill="FFFFFF"/>
        </w:rPr>
        <w:t xml:space="preserve"> </w:t>
      </w:r>
      <w:r w:rsidRPr="0001115F">
        <w:rPr>
          <w:rFonts w:eastAsia="Times New Roman" w:cs="Times New Roman"/>
          <w:i/>
          <w:iCs/>
          <w:color w:val="000000"/>
          <w:shd w:val="clear" w:color="auto" w:fill="FFFFFF"/>
        </w:rPr>
        <w:t>functions</w:t>
      </w:r>
      <w:r w:rsidRPr="0001115F">
        <w:rPr>
          <w:rFonts w:eastAsia="Times New Roman" w:cs="Times New Roman"/>
          <w:color w:val="000000"/>
          <w:shd w:val="clear" w:color="auto" w:fill="FFFFFF"/>
        </w:rPr>
        <w:t xml:space="preserve"> to determine any dispute or matter arising under such legislation, to the end that the administration of such legislation shall accomplish substantial justice in all cases expeditiously, inexpensiv</w:t>
      </w:r>
      <w:r w:rsidRPr="0001115F">
        <w:rPr>
          <w:rFonts w:eastAsia="Times New Roman" w:cs="Times New Roman"/>
          <w:color w:val="000000"/>
          <w:shd w:val="clear" w:color="auto" w:fill="FFFFFF"/>
        </w:rPr>
        <w:t xml:space="preserve">ely, and without incumbrance of any character.”  </w:t>
      </w:r>
      <w:r>
        <w:rPr>
          <w:rFonts w:eastAsia="Times New Roman" w:cs="Times New Roman"/>
          <w:color w:val="000000"/>
          <w:shd w:val="clear" w:color="auto" w:fill="FFFFFF"/>
        </w:rPr>
        <w:t xml:space="preserve">(Art. XIV, § 4, italics added.)  </w:t>
      </w:r>
      <w:r w:rsidRPr="0001115F">
        <w:rPr>
          <w:rFonts w:eastAsia="Times New Roman" w:cs="Times New Roman"/>
          <w:color w:val="000000"/>
          <w:shd w:val="clear" w:color="auto" w:fill="FFFFFF"/>
        </w:rPr>
        <w:t xml:space="preserve">The second paragraph </w:t>
      </w:r>
      <w:r w:rsidRPr="0001115F">
        <w:rPr>
          <w:rFonts w:eastAsia="Times New Roman" w:cs="Times New Roman"/>
          <w:color w:val="000000"/>
          <w:shd w:val="clear" w:color="auto" w:fill="FFFFFF"/>
        </w:rPr>
        <w:lastRenderedPageBreak/>
        <w:t xml:space="preserve">of </w:t>
      </w:r>
      <w:r>
        <w:rPr>
          <w:rFonts w:eastAsia="Times New Roman" w:cs="Times New Roman"/>
          <w:color w:val="000000"/>
          <w:shd w:val="clear" w:color="auto" w:fill="FFFFFF"/>
        </w:rPr>
        <w:t>a</w:t>
      </w:r>
      <w:r w:rsidRPr="0001115F">
        <w:rPr>
          <w:rFonts w:eastAsia="Times New Roman" w:cs="Times New Roman"/>
          <w:color w:val="000000"/>
          <w:shd w:val="clear" w:color="auto" w:fill="FFFFFF"/>
        </w:rPr>
        <w:t>rticle XIV, section</w:t>
      </w:r>
      <w:r>
        <w:rPr>
          <w:rFonts w:eastAsia="Times New Roman" w:cs="Times New Roman"/>
          <w:color w:val="000000"/>
          <w:shd w:val="clear" w:color="auto" w:fill="FFFFFF"/>
        </w:rPr>
        <w:t> </w:t>
      </w:r>
      <w:r w:rsidRPr="0001115F">
        <w:rPr>
          <w:rFonts w:eastAsia="Times New Roman" w:cs="Times New Roman"/>
          <w:color w:val="000000"/>
          <w:shd w:val="clear" w:color="auto" w:fill="FFFFFF"/>
        </w:rPr>
        <w:t>4, fleshes this out in more detail, and specifically provides that any administrative decisions “</w:t>
      </w:r>
      <w:r w:rsidRPr="0001115F">
        <w:rPr>
          <w:i/>
          <w:iCs/>
          <w:color w:val="000000"/>
          <w:shd w:val="clear" w:color="auto" w:fill="FFFFFF"/>
        </w:rPr>
        <w:t>shall be subject to review by th</w:t>
      </w:r>
      <w:r w:rsidRPr="0001115F">
        <w:rPr>
          <w:i/>
          <w:iCs/>
          <w:color w:val="000000"/>
          <w:shd w:val="clear" w:color="auto" w:fill="FFFFFF"/>
        </w:rPr>
        <w:t>e appellate courts of this State</w:t>
      </w:r>
      <w:r w:rsidRPr="0001115F">
        <w:rPr>
          <w:color w:val="000000"/>
          <w:shd w:val="clear" w:color="auto" w:fill="FFFFFF"/>
        </w:rPr>
        <w:t>.”</w:t>
      </w:r>
      <w:r>
        <w:rPr>
          <w:color w:val="000000"/>
          <w:shd w:val="clear" w:color="auto" w:fill="FFFFFF"/>
        </w:rPr>
        <w:t xml:space="preserve">  </w:t>
      </w:r>
      <w:r>
        <w:rPr>
          <w:rFonts w:eastAsia="Times New Roman" w:cs="Times New Roman"/>
          <w:color w:val="000000"/>
          <w:shd w:val="clear" w:color="auto" w:fill="FFFFFF"/>
        </w:rPr>
        <w:t>(</w:t>
      </w:r>
      <w:r w:rsidRPr="00562599">
        <w:rPr>
          <w:rFonts w:eastAsia="Times New Roman" w:cs="Times New Roman"/>
          <w:i/>
          <w:iCs/>
          <w:color w:val="000000"/>
          <w:shd w:val="clear" w:color="auto" w:fill="FFFFFF"/>
        </w:rPr>
        <w:t>I</w:t>
      </w:r>
      <w:r>
        <w:rPr>
          <w:rFonts w:eastAsia="Times New Roman" w:cs="Times New Roman"/>
          <w:i/>
          <w:iCs/>
          <w:color w:val="000000"/>
          <w:shd w:val="clear" w:color="auto" w:fill="FFFFFF"/>
        </w:rPr>
        <w:t>bi</w:t>
      </w:r>
      <w:r w:rsidRPr="00562599">
        <w:rPr>
          <w:rFonts w:eastAsia="Times New Roman" w:cs="Times New Roman"/>
          <w:i/>
          <w:iCs/>
          <w:color w:val="000000"/>
          <w:shd w:val="clear" w:color="auto" w:fill="FFFFFF"/>
        </w:rPr>
        <w:t>d</w:t>
      </w:r>
      <w:r>
        <w:rPr>
          <w:rFonts w:eastAsia="Times New Roman" w:cs="Times New Roman"/>
          <w:color w:val="000000"/>
          <w:shd w:val="clear" w:color="auto" w:fill="FFFFFF"/>
        </w:rPr>
        <w:t>., italics added.)</w:t>
      </w:r>
    </w:p>
    <w:p w14:paraId="7C86CFE5" w14:textId="77777777" w:rsidR="00AB000C" w:rsidRPr="0001115F" w:rsidRDefault="00570B35" w:rsidP="00AB000C">
      <w:pPr>
        <w:ind w:firstLine="720"/>
        <w:rPr>
          <w:rFonts w:eastAsia="Times New Roman" w:cs="Times New Roman"/>
          <w:color w:val="000000"/>
          <w:shd w:val="clear" w:color="auto" w:fill="FFFFFF"/>
        </w:rPr>
      </w:pPr>
      <w:r w:rsidRPr="0001115F">
        <w:rPr>
          <w:rFonts w:eastAsia="Times New Roman" w:cs="Times New Roman"/>
        </w:rPr>
        <w:t xml:space="preserve">In the pre-1918 statutory scheme, resolution of workers’ compensation disputes was given to the IAC, </w:t>
      </w:r>
      <w:r>
        <w:rPr>
          <w:rFonts w:eastAsia="Times New Roman" w:cs="Times New Roman"/>
        </w:rPr>
        <w:t>and in some instances to appointed “referees” whose decisions it reviewed (</w:t>
      </w:r>
      <w:r w:rsidRPr="006A0C83">
        <w:t xml:space="preserve">Boynton Act, Stats. 1913, </w:t>
      </w:r>
      <w:proofErr w:type="spellStart"/>
      <w:r w:rsidRPr="006A0C83">
        <w:t>ch.</w:t>
      </w:r>
      <w:proofErr w:type="spellEnd"/>
      <w:r>
        <w:t> </w:t>
      </w:r>
      <w:r w:rsidRPr="006A0C83">
        <w:t>176, §</w:t>
      </w:r>
      <w:r>
        <w:t> 76)</w:t>
      </w:r>
      <w:r>
        <w:rPr>
          <w:rFonts w:eastAsia="Times New Roman" w:cs="Times New Roman"/>
        </w:rPr>
        <w:t>,</w:t>
      </w:r>
      <w:r>
        <w:rPr>
          <w:rStyle w:val="FootnoteReference"/>
          <w:rFonts w:eastAsia="Times New Roman" w:cs="Times New Roman"/>
        </w:rPr>
        <w:footnoteReference w:id="49"/>
      </w:r>
      <w:r>
        <w:rPr>
          <w:rFonts w:eastAsia="Times New Roman" w:cs="Times New Roman"/>
        </w:rPr>
        <w:t xml:space="preserve"> </w:t>
      </w:r>
      <w:r w:rsidRPr="0001115F">
        <w:rPr>
          <w:rFonts w:eastAsia="Times New Roman" w:cs="Times New Roman"/>
        </w:rPr>
        <w:t xml:space="preserve">but the above-quoted </w:t>
      </w:r>
      <w:r w:rsidRPr="0001115F">
        <w:rPr>
          <w:rFonts w:eastAsia="Times New Roman" w:cs="Times New Roman"/>
        </w:rPr>
        <w:t>constitutional language confirms that th</w:t>
      </w:r>
      <w:r>
        <w:rPr>
          <w:rFonts w:eastAsia="Times New Roman" w:cs="Times New Roman"/>
        </w:rPr>
        <w:t xml:space="preserve">is statutorily defined </w:t>
      </w:r>
      <w:r w:rsidRPr="0001115F">
        <w:rPr>
          <w:rFonts w:eastAsia="Times New Roman" w:cs="Times New Roman"/>
        </w:rPr>
        <w:t xml:space="preserve">mode of dispute resolution was understood, ultimately, to be lodged in the judicial branch of government.  The Supreme Court so held in 1916.  </w:t>
      </w:r>
      <w:r w:rsidRPr="0001115F">
        <w:rPr>
          <w:color w:val="000000"/>
          <w:shd w:val="clear" w:color="auto" w:fill="FFFFFF"/>
        </w:rPr>
        <w:t>Upholding the constitutionality of the Boynton Act</w:t>
      </w:r>
      <w:r w:rsidRPr="0001115F">
        <w:rPr>
          <w:color w:val="000000"/>
          <w:shd w:val="clear" w:color="auto" w:fill="FFFFFF"/>
        </w:rPr>
        <w:t xml:space="preserve"> in </w:t>
      </w:r>
      <w:r w:rsidRPr="0001115F">
        <w:rPr>
          <w:rFonts w:eastAsia="Times New Roman" w:cs="Times New Roman"/>
          <w:i/>
          <w:iCs/>
          <w:color w:val="000000"/>
          <w:bdr w:val="none" w:sz="0" w:space="0" w:color="auto" w:frame="1"/>
        </w:rPr>
        <w:t>Western Metal Supply Co. v. Pillsbury</w:t>
      </w:r>
      <w:r>
        <w:rPr>
          <w:rFonts w:eastAsia="Times New Roman" w:cs="Times New Roman"/>
          <w:color w:val="000000"/>
        </w:rPr>
        <w:t xml:space="preserve"> </w:t>
      </w:r>
      <w:r w:rsidRPr="0001115F">
        <w:rPr>
          <w:rFonts w:eastAsia="Times New Roman" w:cs="Times New Roman"/>
          <w:color w:val="000000"/>
        </w:rPr>
        <w:t>(1916) 172</w:t>
      </w:r>
      <w:r>
        <w:rPr>
          <w:rFonts w:eastAsia="Times New Roman" w:cs="Times New Roman"/>
          <w:color w:val="000000"/>
        </w:rPr>
        <w:t> </w:t>
      </w:r>
      <w:r w:rsidRPr="0001115F">
        <w:rPr>
          <w:rFonts w:eastAsia="Times New Roman" w:cs="Times New Roman"/>
          <w:color w:val="000000"/>
        </w:rPr>
        <w:t>Cal. 407</w:t>
      </w:r>
      <w:r>
        <w:rPr>
          <w:rFonts w:eastAsia="Times New Roman" w:cs="Times New Roman"/>
          <w:color w:val="000000"/>
        </w:rPr>
        <w:t>,</w:t>
      </w:r>
      <w:r w:rsidRPr="0001115F">
        <w:rPr>
          <w:color w:val="000000"/>
          <w:shd w:val="clear" w:color="auto" w:fill="FFFFFF"/>
        </w:rPr>
        <w:t xml:space="preserve"> the court rejected a claim that the use of an administrative agency for resolution of workers</w:t>
      </w:r>
      <w:r>
        <w:rPr>
          <w:color w:val="000000"/>
          <w:shd w:val="clear" w:color="auto" w:fill="FFFFFF"/>
        </w:rPr>
        <w:t>’</w:t>
      </w:r>
      <w:r w:rsidRPr="0001115F">
        <w:rPr>
          <w:color w:val="000000"/>
          <w:shd w:val="clear" w:color="auto" w:fill="FFFFFF"/>
        </w:rPr>
        <w:t xml:space="preserve"> compensation claims “transcends constitutional limitations in attempting to vest in the </w:t>
      </w:r>
      <w:r>
        <w:rPr>
          <w:color w:val="000000"/>
          <w:shd w:val="clear" w:color="auto" w:fill="FFFFFF"/>
        </w:rPr>
        <w:t xml:space="preserve">[IAC] </w:t>
      </w:r>
      <w:r w:rsidRPr="0001115F">
        <w:rPr>
          <w:color w:val="000000"/>
          <w:shd w:val="clear" w:color="auto" w:fill="FFFFFF"/>
        </w:rPr>
        <w:t xml:space="preserve">the </w:t>
      </w:r>
      <w:r w:rsidRPr="0001115F">
        <w:rPr>
          <w:color w:val="000000"/>
          <w:shd w:val="clear" w:color="auto" w:fill="FFFFFF"/>
        </w:rPr>
        <w:t>power—asserted to be judicial in its nature—to assess compensation and award it to such dependents.”</w:t>
      </w:r>
      <w:r>
        <w:rPr>
          <w:color w:val="000000"/>
          <w:shd w:val="clear" w:color="auto" w:fill="FFFFFF"/>
        </w:rPr>
        <w:t xml:space="preserve"> </w:t>
      </w:r>
      <w:r w:rsidRPr="0001115F">
        <w:rPr>
          <w:color w:val="000000"/>
          <w:shd w:val="clear" w:color="auto" w:fill="FFFFFF"/>
        </w:rPr>
        <w:t xml:space="preserve"> </w:t>
      </w:r>
      <w:r>
        <w:rPr>
          <w:color w:val="000000"/>
          <w:shd w:val="clear" w:color="auto" w:fill="FFFFFF"/>
        </w:rPr>
        <w:t>(</w:t>
      </w:r>
      <w:r w:rsidRPr="00E80F29">
        <w:rPr>
          <w:i/>
          <w:iCs/>
          <w:color w:val="000000"/>
          <w:shd w:val="clear" w:color="auto" w:fill="FFFFFF"/>
        </w:rPr>
        <w:t>Id</w:t>
      </w:r>
      <w:r>
        <w:rPr>
          <w:color w:val="000000"/>
          <w:shd w:val="clear" w:color="auto" w:fill="FFFFFF"/>
        </w:rPr>
        <w:t xml:space="preserve">. at p. 410.)  </w:t>
      </w:r>
      <w:r w:rsidRPr="0001115F">
        <w:rPr>
          <w:color w:val="000000"/>
          <w:shd w:val="clear" w:color="auto" w:fill="FFFFFF"/>
        </w:rPr>
        <w:lastRenderedPageBreak/>
        <w:t>“[I]n exercising [its]</w:t>
      </w:r>
      <w:r>
        <w:rPr>
          <w:color w:val="000000"/>
          <w:shd w:val="clear" w:color="auto" w:fill="FFFFFF"/>
        </w:rPr>
        <w:t xml:space="preserve"> . . .</w:t>
      </w:r>
      <w:r w:rsidRPr="0001115F">
        <w:rPr>
          <w:color w:val="000000"/>
          <w:shd w:val="clear" w:color="auto" w:fill="FFFFFF"/>
        </w:rPr>
        <w:t xml:space="preserve"> powers,” the </w:t>
      </w:r>
      <w:r w:rsidRPr="000E3C7D">
        <w:rPr>
          <w:i/>
          <w:iCs/>
          <w:color w:val="000000"/>
          <w:shd w:val="clear" w:color="auto" w:fill="FFFFFF"/>
        </w:rPr>
        <w:t>Western Metal Supply</w:t>
      </w:r>
      <w:r w:rsidRPr="0001115F">
        <w:rPr>
          <w:color w:val="000000"/>
          <w:shd w:val="clear" w:color="auto" w:fill="FFFFFF"/>
        </w:rPr>
        <w:t xml:space="preserve"> </w:t>
      </w:r>
      <w:r>
        <w:rPr>
          <w:color w:val="000000"/>
          <w:shd w:val="clear" w:color="auto" w:fill="FFFFFF"/>
        </w:rPr>
        <w:t>c</w:t>
      </w:r>
      <w:r w:rsidRPr="0001115F">
        <w:rPr>
          <w:color w:val="000000"/>
          <w:shd w:val="clear" w:color="auto" w:fill="FFFFFF"/>
        </w:rPr>
        <w:t xml:space="preserve">ourt held, the IAC “is performing precisely the same functions that are </w:t>
      </w:r>
      <w:r w:rsidRPr="0001115F">
        <w:rPr>
          <w:color w:val="000000"/>
          <w:shd w:val="clear" w:color="auto" w:fill="FFFFFF"/>
        </w:rPr>
        <w:t>performed by any court in passing upon questions brought before it.”  (</w:t>
      </w:r>
      <w:r w:rsidRPr="0001115F">
        <w:rPr>
          <w:i/>
          <w:iCs/>
          <w:color w:val="000000"/>
          <w:shd w:val="clear" w:color="auto" w:fill="FFFFFF"/>
        </w:rPr>
        <w:t>Id</w:t>
      </w:r>
      <w:r w:rsidRPr="0001115F">
        <w:rPr>
          <w:color w:val="000000"/>
          <w:shd w:val="clear" w:color="auto" w:fill="FFFFFF"/>
        </w:rPr>
        <w:t>.</w:t>
      </w:r>
      <w:r>
        <w:rPr>
          <w:color w:val="000000"/>
          <w:shd w:val="clear" w:color="auto" w:fill="FFFFFF"/>
        </w:rPr>
        <w:t xml:space="preserve"> at p. 412</w:t>
      </w:r>
      <w:r w:rsidRPr="0001115F">
        <w:rPr>
          <w:color w:val="000000"/>
          <w:shd w:val="clear" w:color="auto" w:fill="FFFFFF"/>
        </w:rPr>
        <w:t xml:space="preserve">; see </w:t>
      </w:r>
      <w:r>
        <w:rPr>
          <w:rFonts w:eastAsia="Times New Roman" w:cs="Times New Roman"/>
          <w:i/>
          <w:iCs/>
          <w:color w:val="000000"/>
          <w:bdr w:val="none" w:sz="0" w:space="0" w:color="auto" w:frame="1"/>
        </w:rPr>
        <w:t>Yosemite Lumber</w:t>
      </w:r>
      <w:r>
        <w:rPr>
          <w:rFonts w:eastAsia="Times New Roman" w:cs="Times New Roman"/>
          <w:color w:val="000000"/>
        </w:rPr>
        <w:t xml:space="preserve">, </w:t>
      </w:r>
      <w:r w:rsidRPr="007E03D9">
        <w:rPr>
          <w:rFonts w:eastAsia="Times New Roman" w:cs="Times New Roman"/>
          <w:i/>
          <w:iCs/>
          <w:color w:val="000000"/>
        </w:rPr>
        <w:t>supra</w:t>
      </w:r>
      <w:r>
        <w:rPr>
          <w:rFonts w:eastAsia="Times New Roman" w:cs="Times New Roman"/>
          <w:color w:val="000000"/>
        </w:rPr>
        <w:t>,</w:t>
      </w:r>
      <w:r w:rsidRPr="0001115F">
        <w:rPr>
          <w:rFonts w:eastAsia="Times New Roman" w:cs="Times New Roman"/>
          <w:color w:val="000000"/>
        </w:rPr>
        <w:t xml:space="preserve"> 187</w:t>
      </w:r>
      <w:r>
        <w:rPr>
          <w:rFonts w:eastAsia="Times New Roman" w:cs="Times New Roman"/>
          <w:color w:val="000000"/>
        </w:rPr>
        <w:t> </w:t>
      </w:r>
      <w:r w:rsidRPr="0001115F">
        <w:rPr>
          <w:rFonts w:eastAsia="Times New Roman" w:cs="Times New Roman"/>
          <w:color w:val="000000"/>
        </w:rPr>
        <w:t xml:space="preserve">Cal. </w:t>
      </w:r>
      <w:r>
        <w:rPr>
          <w:rFonts w:eastAsia="Times New Roman" w:cs="Times New Roman"/>
          <w:color w:val="000000"/>
        </w:rPr>
        <w:t>at p. </w:t>
      </w:r>
      <w:r w:rsidRPr="0001115F">
        <w:rPr>
          <w:rFonts w:eastAsia="Times New Roman" w:cs="Times New Roman"/>
          <w:color w:val="000000"/>
        </w:rPr>
        <w:t>779 [“</w:t>
      </w:r>
      <w:r w:rsidRPr="0001115F">
        <w:rPr>
          <w:rFonts w:eastAsia="Times New Roman" w:cs="Times New Roman"/>
          <w:color w:val="000000"/>
          <w:shd w:val="clear" w:color="auto" w:fill="FFFFFF"/>
        </w:rPr>
        <w:t xml:space="preserve">The power to determine whether or not the liability referred to in the first paragraph of the above section and </w:t>
      </w:r>
      <w:r w:rsidRPr="0001115F">
        <w:rPr>
          <w:rFonts w:eastAsia="Times New Roman" w:cs="Times New Roman"/>
          <w:color w:val="000000"/>
          <w:shd w:val="clear" w:color="auto" w:fill="FFFFFF"/>
        </w:rPr>
        <w:t>imposed by this law exists against any person is judicial power.”].)</w:t>
      </w:r>
    </w:p>
    <w:p w14:paraId="5AE27675" w14:textId="77777777" w:rsidR="00AB000C" w:rsidRPr="00FB7075" w:rsidRDefault="00570B35" w:rsidP="00AB000C">
      <w:pPr>
        <w:keepNext/>
        <w:tabs>
          <w:tab w:val="left" w:pos="360"/>
        </w:tabs>
        <w:spacing w:before="120" w:after="120" w:line="240" w:lineRule="auto"/>
        <w:ind w:left="720" w:hanging="720"/>
        <w:rPr>
          <w:b/>
          <w:bCs/>
          <w:color w:val="000000"/>
          <w:shd w:val="clear" w:color="auto" w:fill="FFFFFF"/>
        </w:rPr>
      </w:pPr>
      <w:r w:rsidRPr="00FB7075">
        <w:rPr>
          <w:b/>
          <w:bCs/>
          <w:color w:val="000000"/>
          <w:shd w:val="clear" w:color="auto" w:fill="FFFFFF"/>
        </w:rPr>
        <w:tab/>
      </w:r>
      <w:r w:rsidRPr="00A14642">
        <w:rPr>
          <w:b/>
          <w:color w:val="000000"/>
          <w:shd w:val="clear" w:color="auto" w:fill="FFFFFF"/>
        </w:rPr>
        <w:t>B.</w:t>
      </w:r>
      <w:r w:rsidRPr="00A14642">
        <w:rPr>
          <w:b/>
          <w:color w:val="000000"/>
          <w:shd w:val="clear" w:color="auto" w:fill="FFFFFF"/>
        </w:rPr>
        <w:tab/>
      </w:r>
      <w:r w:rsidRPr="00A14642">
        <w:rPr>
          <w:b/>
          <w:i/>
          <w:color w:val="000000"/>
          <w:shd w:val="clear" w:color="auto" w:fill="FFFFFF"/>
        </w:rPr>
        <w:t>Proposition 22 Defeats or Impairs a “Core” or “Essential” Governmental Function</w:t>
      </w:r>
    </w:p>
    <w:p w14:paraId="3CE7407E" w14:textId="77777777" w:rsidR="00AB000C" w:rsidRDefault="00570B35" w:rsidP="00AB000C">
      <w:pPr>
        <w:ind w:firstLine="720"/>
        <w:rPr>
          <w:color w:val="000000"/>
          <w:shd w:val="clear" w:color="auto" w:fill="FFFFFF"/>
        </w:rPr>
      </w:pPr>
      <w:r>
        <w:rPr>
          <w:color w:val="000000"/>
          <w:shd w:val="clear" w:color="auto" w:fill="FFFFFF"/>
        </w:rPr>
        <w:t>I</w:t>
      </w:r>
      <w:r w:rsidRPr="0001115F">
        <w:rPr>
          <w:color w:val="000000"/>
          <w:shd w:val="clear" w:color="auto" w:fill="FFFFFF"/>
        </w:rPr>
        <w:t xml:space="preserve">t is not the change in the substantive law </w:t>
      </w:r>
      <w:r>
        <w:rPr>
          <w:color w:val="000000"/>
          <w:shd w:val="clear" w:color="auto" w:fill="FFFFFF"/>
        </w:rPr>
        <w:t>governing the issue of employee versus independent contract</w:t>
      </w:r>
      <w:r>
        <w:rPr>
          <w:color w:val="000000"/>
          <w:shd w:val="clear" w:color="auto" w:fill="FFFFFF"/>
        </w:rPr>
        <w:t xml:space="preserve">or status </w:t>
      </w:r>
      <w:r w:rsidRPr="0001115F">
        <w:rPr>
          <w:color w:val="000000"/>
          <w:shd w:val="clear" w:color="auto" w:fill="FFFFFF"/>
        </w:rPr>
        <w:t xml:space="preserve">that concerns me here—I have addressed that </w:t>
      </w:r>
      <w:r>
        <w:rPr>
          <w:color w:val="000000"/>
          <w:shd w:val="clear" w:color="auto" w:fill="FFFFFF"/>
        </w:rPr>
        <w:t xml:space="preserve">issue </w:t>
      </w:r>
      <w:r w:rsidRPr="0001115F">
        <w:rPr>
          <w:color w:val="000000"/>
          <w:shd w:val="clear" w:color="auto" w:fill="FFFFFF"/>
        </w:rPr>
        <w:t xml:space="preserve">above in discussing the conflict between </w:t>
      </w:r>
      <w:r>
        <w:rPr>
          <w:color w:val="000000"/>
          <w:shd w:val="clear" w:color="auto" w:fill="FFFFFF"/>
        </w:rPr>
        <w:t xml:space="preserve">concurrent </w:t>
      </w:r>
      <w:r w:rsidRPr="0001115F">
        <w:rPr>
          <w:color w:val="000000"/>
          <w:shd w:val="clear" w:color="auto" w:fill="FFFFFF"/>
        </w:rPr>
        <w:t>article II, section</w:t>
      </w:r>
      <w:r>
        <w:rPr>
          <w:color w:val="000000"/>
          <w:shd w:val="clear" w:color="auto" w:fill="FFFFFF"/>
        </w:rPr>
        <w:t> </w:t>
      </w:r>
      <w:r w:rsidRPr="0001115F">
        <w:rPr>
          <w:color w:val="000000"/>
          <w:shd w:val="clear" w:color="auto" w:fill="FFFFFF"/>
        </w:rPr>
        <w:t>8(a)</w:t>
      </w:r>
      <w:r>
        <w:rPr>
          <w:color w:val="000000"/>
          <w:shd w:val="clear" w:color="auto" w:fill="FFFFFF"/>
        </w:rPr>
        <w:t>,</w:t>
      </w:r>
      <w:r w:rsidRPr="0001115F">
        <w:rPr>
          <w:color w:val="000000"/>
          <w:shd w:val="clear" w:color="auto" w:fill="FFFFFF"/>
        </w:rPr>
        <w:t xml:space="preserve"> and article XIV, section</w:t>
      </w:r>
      <w:r>
        <w:rPr>
          <w:color w:val="000000"/>
          <w:shd w:val="clear" w:color="auto" w:fill="FFFFFF"/>
        </w:rPr>
        <w:t> </w:t>
      </w:r>
      <w:r w:rsidRPr="0001115F">
        <w:rPr>
          <w:color w:val="000000"/>
          <w:shd w:val="clear" w:color="auto" w:fill="FFFFFF"/>
        </w:rPr>
        <w:t>4, powers</w:t>
      </w:r>
      <w:r>
        <w:rPr>
          <w:color w:val="000000"/>
          <w:shd w:val="clear" w:color="auto" w:fill="FFFFFF"/>
        </w:rPr>
        <w:t xml:space="preserve"> (</w:t>
      </w:r>
      <w:r w:rsidRPr="00B563CD">
        <w:rPr>
          <w:color w:val="000000"/>
          <w:shd w:val="clear" w:color="auto" w:fill="FFFFFF"/>
        </w:rPr>
        <w:t xml:space="preserve">see parts </w:t>
      </w:r>
      <w:proofErr w:type="spellStart"/>
      <w:r w:rsidRPr="00B563CD">
        <w:rPr>
          <w:color w:val="000000"/>
          <w:shd w:val="clear" w:color="auto" w:fill="FFFFFF"/>
        </w:rPr>
        <w:t>II.C</w:t>
      </w:r>
      <w:proofErr w:type="spellEnd"/>
      <w:r w:rsidRPr="00B563CD">
        <w:rPr>
          <w:color w:val="000000"/>
          <w:shd w:val="clear" w:color="auto" w:fill="FFFFFF"/>
        </w:rPr>
        <w:t>.–</w:t>
      </w:r>
      <w:proofErr w:type="spellStart"/>
      <w:r w:rsidRPr="00B563CD">
        <w:rPr>
          <w:color w:val="000000"/>
          <w:shd w:val="clear" w:color="auto" w:fill="FFFFFF"/>
        </w:rPr>
        <w:t>II.D</w:t>
      </w:r>
      <w:proofErr w:type="spellEnd"/>
      <w:r w:rsidRPr="00B563CD">
        <w:rPr>
          <w:color w:val="000000"/>
          <w:shd w:val="clear" w:color="auto" w:fill="FFFFFF"/>
        </w:rPr>
        <w:t>. above</w:t>
      </w:r>
      <w:r>
        <w:rPr>
          <w:color w:val="000000"/>
          <w:shd w:val="clear" w:color="auto" w:fill="FFFFFF"/>
        </w:rPr>
        <w:t>)</w:t>
      </w:r>
      <w:r w:rsidRPr="0001115F">
        <w:rPr>
          <w:color w:val="000000"/>
          <w:shd w:val="clear" w:color="auto" w:fill="FFFFFF"/>
        </w:rPr>
        <w:t xml:space="preserve">—but, rather, </w:t>
      </w:r>
      <w:r>
        <w:rPr>
          <w:color w:val="000000"/>
          <w:shd w:val="clear" w:color="auto" w:fill="FFFFFF"/>
        </w:rPr>
        <w:t xml:space="preserve">I am focused on </w:t>
      </w:r>
      <w:r w:rsidRPr="0001115F">
        <w:rPr>
          <w:color w:val="000000"/>
          <w:shd w:val="clear" w:color="auto" w:fill="FFFFFF"/>
        </w:rPr>
        <w:t xml:space="preserve">the </w:t>
      </w:r>
      <w:r w:rsidRPr="0001115F">
        <w:rPr>
          <w:color w:val="000000"/>
          <w:shd w:val="clear" w:color="auto" w:fill="FFFFFF"/>
        </w:rPr>
        <w:t>dismantling of the constitutionally</w:t>
      </w:r>
      <w:r>
        <w:rPr>
          <w:color w:val="000000"/>
          <w:shd w:val="clear" w:color="auto" w:fill="FFFFFF"/>
        </w:rPr>
        <w:t xml:space="preserve"> </w:t>
      </w:r>
      <w:r w:rsidRPr="0001115F">
        <w:rPr>
          <w:color w:val="000000"/>
          <w:shd w:val="clear" w:color="auto" w:fill="FFFFFF"/>
        </w:rPr>
        <w:t>ratified workers</w:t>
      </w:r>
      <w:r>
        <w:rPr>
          <w:color w:val="000000"/>
          <w:shd w:val="clear" w:color="auto" w:fill="FFFFFF"/>
        </w:rPr>
        <w:t>’</w:t>
      </w:r>
      <w:r w:rsidRPr="0001115F">
        <w:rPr>
          <w:color w:val="000000"/>
          <w:shd w:val="clear" w:color="auto" w:fill="FFFFFF"/>
        </w:rPr>
        <w:t xml:space="preserve"> compensation dispute resolution scheme that </w:t>
      </w:r>
      <w:r>
        <w:rPr>
          <w:color w:val="000000"/>
          <w:shd w:val="clear" w:color="auto" w:fill="FFFFFF"/>
        </w:rPr>
        <w:t xml:space="preserve">free-agent </w:t>
      </w:r>
      <w:r w:rsidRPr="0001115F">
        <w:rPr>
          <w:color w:val="000000"/>
          <w:shd w:val="clear" w:color="auto" w:fill="FFFFFF"/>
        </w:rPr>
        <w:t xml:space="preserve">workers </w:t>
      </w:r>
      <w:r>
        <w:rPr>
          <w:color w:val="000000"/>
          <w:shd w:val="clear" w:color="auto" w:fill="FFFFFF"/>
        </w:rPr>
        <w:t xml:space="preserve">analogous to </w:t>
      </w:r>
      <w:r w:rsidRPr="0001115F">
        <w:rPr>
          <w:color w:val="000000"/>
          <w:shd w:val="clear" w:color="auto" w:fill="FFFFFF"/>
        </w:rPr>
        <w:t>app</w:t>
      </w:r>
      <w:r>
        <w:rPr>
          <w:color w:val="000000"/>
          <w:shd w:val="clear" w:color="auto" w:fill="FFFFFF"/>
        </w:rPr>
        <w:noBreakHyphen/>
        <w:t xml:space="preserve">based </w:t>
      </w:r>
      <w:r w:rsidRPr="0001115F">
        <w:rPr>
          <w:color w:val="000000"/>
          <w:shd w:val="clear" w:color="auto" w:fill="FFFFFF"/>
        </w:rPr>
        <w:t>drivers today were entitled to invoke in 1918.</w:t>
      </w:r>
      <w:r>
        <w:rPr>
          <w:color w:val="000000"/>
          <w:shd w:val="clear" w:color="auto" w:fill="FFFFFF"/>
        </w:rPr>
        <w:t xml:space="preserve">  This aspect of Proposition 22 raises an independently fatal constitu</w:t>
      </w:r>
      <w:r>
        <w:rPr>
          <w:color w:val="000000"/>
          <w:shd w:val="clear" w:color="auto" w:fill="FFFFFF"/>
        </w:rPr>
        <w:t>tional deficiency.</w:t>
      </w:r>
    </w:p>
    <w:p w14:paraId="0EA20163" w14:textId="77777777" w:rsidR="00AB000C" w:rsidRDefault="00570B35" w:rsidP="00AB000C">
      <w:pPr>
        <w:ind w:firstLine="720"/>
        <w:rPr>
          <w:color w:val="000000"/>
          <w:shd w:val="clear" w:color="auto" w:fill="FFFFFF"/>
        </w:rPr>
      </w:pPr>
      <w:r w:rsidRPr="0001115F">
        <w:rPr>
          <w:rFonts w:eastAsia="Times New Roman" w:cs="Times New Roman"/>
          <w:color w:val="000000"/>
          <w:shd w:val="clear" w:color="auto" w:fill="FFFFFF"/>
        </w:rPr>
        <w:t>Because the pre-1918 workers</w:t>
      </w:r>
      <w:r>
        <w:rPr>
          <w:rFonts w:eastAsia="Times New Roman" w:cs="Times New Roman"/>
          <w:color w:val="000000"/>
          <w:shd w:val="clear" w:color="auto" w:fill="FFFFFF"/>
        </w:rPr>
        <w:t>’</w:t>
      </w:r>
      <w:r w:rsidRPr="0001115F">
        <w:rPr>
          <w:rFonts w:eastAsia="Times New Roman" w:cs="Times New Roman"/>
          <w:color w:val="000000"/>
          <w:shd w:val="clear" w:color="auto" w:fill="FFFFFF"/>
        </w:rPr>
        <w:t xml:space="preserve"> compensation system established by the Legislature called for the resolution of claims by an administrative agency exercising judicial power, Proposition</w:t>
      </w:r>
      <w:r>
        <w:rPr>
          <w:rFonts w:eastAsia="Times New Roman" w:cs="Times New Roman"/>
          <w:color w:val="000000"/>
          <w:shd w:val="clear" w:color="auto" w:fill="FFFFFF"/>
        </w:rPr>
        <w:t> </w:t>
      </w:r>
      <w:r w:rsidRPr="0001115F">
        <w:rPr>
          <w:rFonts w:eastAsia="Times New Roman" w:cs="Times New Roman"/>
          <w:color w:val="000000"/>
          <w:shd w:val="clear" w:color="auto" w:fill="FFFFFF"/>
        </w:rPr>
        <w:t xml:space="preserve">22 took away </w:t>
      </w:r>
      <w:r w:rsidRPr="0001115F">
        <w:rPr>
          <w:color w:val="000000"/>
          <w:shd w:val="clear" w:color="auto" w:fill="FFFFFF"/>
        </w:rPr>
        <w:t>an adjudicative function that was consti</w:t>
      </w:r>
      <w:r w:rsidRPr="0001115F">
        <w:rPr>
          <w:color w:val="000000"/>
          <w:shd w:val="clear" w:color="auto" w:fill="FFFFFF"/>
        </w:rPr>
        <w:t xml:space="preserve">tutionally committed to the judicial branch in article XIV, </w:t>
      </w:r>
      <w:r w:rsidRPr="00124749">
        <w:rPr>
          <w:color w:val="000000"/>
          <w:shd w:val="clear" w:color="auto" w:fill="FFFFFF"/>
        </w:rPr>
        <w:t>section</w:t>
      </w:r>
      <w:r>
        <w:rPr>
          <w:color w:val="000000"/>
          <w:shd w:val="clear" w:color="auto" w:fill="FFFFFF"/>
        </w:rPr>
        <w:t> </w:t>
      </w:r>
      <w:r w:rsidRPr="00124749">
        <w:rPr>
          <w:color w:val="000000"/>
          <w:shd w:val="clear" w:color="auto" w:fill="FFFFFF"/>
        </w:rPr>
        <w:t xml:space="preserve">4.  It therefore violates </w:t>
      </w:r>
      <w:r w:rsidRPr="00F02A88">
        <w:rPr>
          <w:color w:val="000000"/>
          <w:shd w:val="clear" w:color="auto" w:fill="FFFFFF"/>
        </w:rPr>
        <w:t xml:space="preserve">article III, </w:t>
      </w:r>
      <w:r w:rsidRPr="00FF7920">
        <w:rPr>
          <w:color w:val="000000"/>
          <w:shd w:val="clear" w:color="auto" w:fill="FFFFFF"/>
        </w:rPr>
        <w:t>section 3,</w:t>
      </w:r>
      <w:r w:rsidRPr="00124749">
        <w:rPr>
          <w:color w:val="000000"/>
          <w:shd w:val="clear" w:color="auto" w:fill="FFFFFF"/>
        </w:rPr>
        <w:t xml:space="preserve"> which states that, within our “triune” scheme of government (</w:t>
      </w:r>
      <w:r w:rsidRPr="007E7318">
        <w:rPr>
          <w:rFonts w:eastAsia="Times New Roman" w:cs="Times New Roman"/>
          <w:i/>
          <w:iCs/>
          <w:color w:val="000000"/>
          <w:bdr w:val="none" w:sz="0" w:space="0" w:color="auto" w:frame="1"/>
        </w:rPr>
        <w:t xml:space="preserve">Lorraine v. </w:t>
      </w:r>
      <w:proofErr w:type="spellStart"/>
      <w:r w:rsidRPr="007E7318">
        <w:rPr>
          <w:rFonts w:eastAsia="Times New Roman" w:cs="Times New Roman"/>
          <w:i/>
          <w:iCs/>
          <w:color w:val="000000"/>
          <w:bdr w:val="none" w:sz="0" w:space="0" w:color="auto" w:frame="1"/>
        </w:rPr>
        <w:lastRenderedPageBreak/>
        <w:t>McComb</w:t>
      </w:r>
      <w:proofErr w:type="spellEnd"/>
      <w:r>
        <w:rPr>
          <w:rFonts w:eastAsia="Times New Roman" w:cs="Times New Roman"/>
          <w:color w:val="000000"/>
        </w:rPr>
        <w:t xml:space="preserve"> </w:t>
      </w:r>
      <w:r w:rsidRPr="003E6537">
        <w:rPr>
          <w:rFonts w:eastAsia="Times New Roman" w:cs="Times New Roman"/>
          <w:color w:val="000000"/>
        </w:rPr>
        <w:t>(1934) 220</w:t>
      </w:r>
      <w:r>
        <w:rPr>
          <w:rFonts w:eastAsia="Times New Roman" w:cs="Times New Roman"/>
          <w:color w:val="000000"/>
        </w:rPr>
        <w:t> </w:t>
      </w:r>
      <w:r w:rsidRPr="007E7318">
        <w:rPr>
          <w:rFonts w:eastAsia="Times New Roman" w:cs="Times New Roman"/>
          <w:color w:val="000000"/>
        </w:rPr>
        <w:t>Cal. 753, 756</w:t>
      </w:r>
      <w:r w:rsidRPr="00124749">
        <w:rPr>
          <w:rFonts w:eastAsia="Times New Roman" w:cs="Times New Roman"/>
          <w:color w:val="000000"/>
        </w:rPr>
        <w:t xml:space="preserve">), </w:t>
      </w:r>
      <w:r w:rsidRPr="00124749">
        <w:rPr>
          <w:color w:val="000000"/>
          <w:shd w:val="clear" w:color="auto" w:fill="FFFFFF"/>
        </w:rPr>
        <w:t>“</w:t>
      </w:r>
      <w:r>
        <w:rPr>
          <w:color w:val="000000"/>
          <w:shd w:val="clear" w:color="auto" w:fill="FFFFFF"/>
        </w:rPr>
        <w:t>[p]</w:t>
      </w:r>
      <w:proofErr w:type="spellStart"/>
      <w:r w:rsidRPr="00124749">
        <w:rPr>
          <w:color w:val="000000"/>
          <w:shd w:val="clear" w:color="auto" w:fill="FFFFFF"/>
        </w:rPr>
        <w:t>ersons</w:t>
      </w:r>
      <w:proofErr w:type="spellEnd"/>
      <w:r w:rsidRPr="00124749">
        <w:rPr>
          <w:color w:val="000000"/>
          <w:shd w:val="clear" w:color="auto" w:fill="FFFFFF"/>
        </w:rPr>
        <w:t xml:space="preserve"> charged with the </w:t>
      </w:r>
      <w:r w:rsidRPr="00124749">
        <w:rPr>
          <w:color w:val="000000"/>
          <w:shd w:val="clear" w:color="auto" w:fill="FFFFFF"/>
        </w:rPr>
        <w:t>exercise of one power may not exercise either of the others except as permitted by th</w:t>
      </w:r>
      <w:r>
        <w:rPr>
          <w:color w:val="000000"/>
          <w:shd w:val="clear" w:color="auto" w:fill="FFFFFF"/>
        </w:rPr>
        <w:t>is</w:t>
      </w:r>
      <w:r w:rsidRPr="00124749">
        <w:rPr>
          <w:color w:val="000000"/>
          <w:shd w:val="clear" w:color="auto" w:fill="FFFFFF"/>
        </w:rPr>
        <w:t xml:space="preserve"> Constitution” (</w:t>
      </w:r>
      <w:r w:rsidRPr="00C71D5C">
        <w:rPr>
          <w:color w:val="000000"/>
          <w:shd w:val="clear" w:color="auto" w:fill="FFFFFF"/>
        </w:rPr>
        <w:t xml:space="preserve">art. III, </w:t>
      </w:r>
      <w:r w:rsidRPr="00F02A88">
        <w:rPr>
          <w:color w:val="000000"/>
          <w:shd w:val="clear" w:color="auto" w:fill="FFFFFF"/>
        </w:rPr>
        <w:t>§ 3)</w:t>
      </w:r>
      <w:r>
        <w:rPr>
          <w:color w:val="000000"/>
          <w:shd w:val="clear" w:color="auto" w:fill="FFFFFF"/>
        </w:rPr>
        <w:t>.</w:t>
      </w:r>
      <w:r w:rsidRPr="00124749">
        <w:rPr>
          <w:color w:val="000000"/>
          <w:shd w:val="clear" w:color="auto" w:fill="FFFFFF"/>
        </w:rPr>
        <w:t xml:space="preserve"> </w:t>
      </w:r>
      <w:r>
        <w:rPr>
          <w:color w:val="000000"/>
          <w:shd w:val="clear" w:color="auto" w:fill="FFFFFF"/>
        </w:rPr>
        <w:t xml:space="preserve"> Electors exercising the police power to adopt statutes as “shadow” legislators, as I have noted above, must qualify as “[p]</w:t>
      </w:r>
      <w:proofErr w:type="spellStart"/>
      <w:r>
        <w:rPr>
          <w:color w:val="000000"/>
          <w:shd w:val="clear" w:color="auto" w:fill="FFFFFF"/>
        </w:rPr>
        <w:t>ersons</w:t>
      </w:r>
      <w:proofErr w:type="spellEnd"/>
      <w:r>
        <w:rPr>
          <w:color w:val="000000"/>
          <w:shd w:val="clear" w:color="auto" w:fill="FFFFFF"/>
        </w:rPr>
        <w:t xml:space="preserve"> charge</w:t>
      </w:r>
      <w:r>
        <w:rPr>
          <w:color w:val="000000"/>
          <w:shd w:val="clear" w:color="auto" w:fill="FFFFFF"/>
        </w:rPr>
        <w:t xml:space="preserve">d with the exercise of one power” within the meaning of article </w:t>
      </w:r>
      <w:r w:rsidRPr="00BC6C66">
        <w:rPr>
          <w:color w:val="000000"/>
          <w:shd w:val="clear" w:color="auto" w:fill="FFFFFF"/>
        </w:rPr>
        <w:t>III</w:t>
      </w:r>
      <w:r>
        <w:rPr>
          <w:color w:val="000000"/>
          <w:shd w:val="clear" w:color="auto" w:fill="FFFFFF"/>
        </w:rPr>
        <w:t xml:space="preserve">, section 3.  </w:t>
      </w:r>
      <w:r w:rsidRPr="00FF7920">
        <w:rPr>
          <w:color w:val="000000"/>
          <w:shd w:val="clear" w:color="auto" w:fill="FFFFFF"/>
        </w:rPr>
        <w:t>(</w:t>
      </w:r>
      <w:r w:rsidRPr="00FF7920">
        <w:rPr>
          <w:i/>
          <w:iCs/>
          <w:color w:val="000000"/>
          <w:shd w:val="clear" w:color="auto" w:fill="FFFFFF"/>
        </w:rPr>
        <w:t>Ibid</w:t>
      </w:r>
      <w:r w:rsidRPr="00FF7920">
        <w:rPr>
          <w:color w:val="000000"/>
          <w:shd w:val="clear" w:color="auto" w:fill="FFFFFF"/>
        </w:rPr>
        <w:t>.)</w:t>
      </w:r>
    </w:p>
    <w:p w14:paraId="781BDDBF" w14:textId="77777777" w:rsidR="00AB000C" w:rsidRDefault="00570B35" w:rsidP="00AB000C">
      <w:pPr>
        <w:ind w:firstLine="720"/>
        <w:rPr>
          <w:color w:val="000000"/>
          <w:shd w:val="clear" w:color="auto" w:fill="FFFFFF"/>
        </w:rPr>
      </w:pPr>
      <w:r>
        <w:rPr>
          <w:color w:val="000000"/>
          <w:shd w:val="clear" w:color="auto" w:fill="FFFFFF"/>
        </w:rPr>
        <w:t xml:space="preserve">If the Proposition 22 proponents are correct that the holding in </w:t>
      </w:r>
      <w:r w:rsidRPr="009E5756">
        <w:rPr>
          <w:i/>
          <w:iCs/>
          <w:color w:val="000000"/>
          <w:shd w:val="clear" w:color="auto" w:fill="FFFFFF"/>
        </w:rPr>
        <w:t>McPherson</w:t>
      </w:r>
      <w:r>
        <w:rPr>
          <w:color w:val="000000"/>
          <w:shd w:val="clear" w:color="auto" w:fill="FFFFFF"/>
        </w:rPr>
        <w:t xml:space="preserve"> should be extended and applied in this case, they run headlong into a separation of powers p</w:t>
      </w:r>
      <w:r>
        <w:rPr>
          <w:color w:val="000000"/>
          <w:shd w:val="clear" w:color="auto" w:fill="FFFFFF"/>
        </w:rPr>
        <w:t xml:space="preserve">roblem under article III, section 3.  That is because, even assuming voter electors may exercise a “similar power” </w:t>
      </w:r>
      <w:r w:rsidRPr="51970168">
        <w:rPr>
          <w:rFonts w:eastAsia="Times New Roman" w:cs="Times New Roman"/>
          <w:color w:val="000000" w:themeColor="text1"/>
        </w:rPr>
        <w:t>(</w:t>
      </w:r>
      <w:r>
        <w:rPr>
          <w:i/>
          <w:iCs/>
        </w:rPr>
        <w:t>McPherson</w:t>
      </w:r>
      <w:r w:rsidRPr="51970168">
        <w:rPr>
          <w:rFonts w:eastAsia="Times New Roman" w:cs="Times New Roman"/>
          <w:color w:val="000000" w:themeColor="text1"/>
        </w:rPr>
        <w:t xml:space="preserve">, </w:t>
      </w:r>
      <w:r w:rsidRPr="51970168">
        <w:rPr>
          <w:rFonts w:eastAsia="Times New Roman" w:cs="Times New Roman"/>
          <w:i/>
          <w:color w:val="000000" w:themeColor="text1"/>
        </w:rPr>
        <w:t>supra</w:t>
      </w:r>
      <w:r w:rsidRPr="51970168">
        <w:rPr>
          <w:rFonts w:eastAsia="Times New Roman" w:cs="Times New Roman"/>
          <w:color w:val="000000" w:themeColor="text1"/>
        </w:rPr>
        <w:t>, 38 Cal.4th at p. 1033)</w:t>
      </w:r>
      <w:r>
        <w:rPr>
          <w:rFonts w:eastAsia="Times New Roman" w:cs="Times New Roman"/>
          <w:color w:val="000000" w:themeColor="text1"/>
        </w:rPr>
        <w:t xml:space="preserve"> to that of the Legislature in a manner that </w:t>
      </w:r>
      <w:r>
        <w:rPr>
          <w:color w:val="000000"/>
          <w:shd w:val="clear" w:color="auto" w:fill="FFFFFF"/>
        </w:rPr>
        <w:t xml:space="preserve">permits them to legislate freely in the field of </w:t>
      </w:r>
      <w:r>
        <w:rPr>
          <w:color w:val="000000"/>
          <w:shd w:val="clear" w:color="auto" w:fill="FFFFFF"/>
        </w:rPr>
        <w:t>workers’ compensation, without limitation</w:t>
      </w:r>
      <w:r w:rsidRPr="0001115F">
        <w:rPr>
          <w:color w:val="000000"/>
          <w:shd w:val="clear" w:color="auto" w:fill="FFFFFF"/>
        </w:rPr>
        <w:t>—</w:t>
      </w:r>
      <w:r>
        <w:rPr>
          <w:color w:val="000000"/>
          <w:shd w:val="clear" w:color="auto" w:fill="FFFFFF"/>
        </w:rPr>
        <w:t>indeed, in derogation of the Legislature’s article XIV, section 4, power</w:t>
      </w:r>
      <w:r w:rsidRPr="0001115F">
        <w:rPr>
          <w:color w:val="000000"/>
          <w:shd w:val="clear" w:color="auto" w:fill="FFFFFF"/>
        </w:rPr>
        <w:t>—</w:t>
      </w:r>
      <w:r>
        <w:rPr>
          <w:color w:val="000000"/>
          <w:shd w:val="clear" w:color="auto" w:fill="FFFFFF"/>
        </w:rPr>
        <w:t xml:space="preserve">there remains a critical difference.  Voter electors exercising the police power to pass ballot statutes are subject to separation of powers </w:t>
      </w:r>
      <w:r>
        <w:rPr>
          <w:color w:val="000000"/>
          <w:shd w:val="clear" w:color="auto" w:fill="FFFFFF"/>
        </w:rPr>
        <w:t xml:space="preserve">constraints, while the Legislature in the exercise of its power under article XIV, section 4, is not.  </w:t>
      </w:r>
      <w:r w:rsidRPr="00C72A3E">
        <w:rPr>
          <w:rFonts w:eastAsia="Times New Roman" w:cs="Times New Roman"/>
          <w:color w:val="000000"/>
          <w:shd w:val="clear" w:color="auto" w:fill="FFFFFF"/>
        </w:rPr>
        <w:t>(</w:t>
      </w:r>
      <w:r w:rsidRPr="00C72A3E">
        <w:rPr>
          <w:rFonts w:eastAsia="Times New Roman" w:cs="Times New Roman"/>
          <w:i/>
          <w:iCs/>
          <w:color w:val="000000"/>
          <w:bdr w:val="none" w:sz="0" w:space="0" w:color="auto" w:frame="1"/>
        </w:rPr>
        <w:t>Stevens</w:t>
      </w:r>
      <w:r w:rsidRPr="00C72A3E">
        <w:rPr>
          <w:rFonts w:eastAsia="Times New Roman" w:cs="Times New Roman"/>
          <w:color w:val="000000"/>
        </w:rPr>
        <w:t xml:space="preserve">, </w:t>
      </w:r>
      <w:r w:rsidRPr="002E771A">
        <w:rPr>
          <w:rFonts w:eastAsia="Times New Roman" w:cs="Times New Roman"/>
          <w:i/>
          <w:iCs/>
          <w:color w:val="000000"/>
        </w:rPr>
        <w:t>supra</w:t>
      </w:r>
      <w:r w:rsidRPr="00C72A3E">
        <w:rPr>
          <w:rFonts w:eastAsia="Times New Roman" w:cs="Times New Roman"/>
          <w:color w:val="000000"/>
        </w:rPr>
        <w:t>, 241</w:t>
      </w:r>
      <w:r>
        <w:rPr>
          <w:rFonts w:eastAsia="Times New Roman" w:cs="Times New Roman"/>
          <w:color w:val="000000"/>
        </w:rPr>
        <w:t> </w:t>
      </w:r>
      <w:r w:rsidRPr="00C72A3E">
        <w:rPr>
          <w:rFonts w:eastAsia="Times New Roman" w:cs="Times New Roman"/>
          <w:color w:val="000000"/>
        </w:rPr>
        <w:t>Cal.App.4th at p.</w:t>
      </w:r>
      <w:r>
        <w:rPr>
          <w:rFonts w:eastAsia="Times New Roman" w:cs="Times New Roman"/>
          <w:color w:val="000000"/>
        </w:rPr>
        <w:t> </w:t>
      </w:r>
      <w:r w:rsidRPr="00C72A3E">
        <w:rPr>
          <w:rFonts w:eastAsia="Times New Roman" w:cs="Times New Roman"/>
          <w:color w:val="000000"/>
        </w:rPr>
        <w:t>109</w:t>
      </w:r>
      <w:r>
        <w:rPr>
          <w:rFonts w:eastAsia="Times New Roman" w:cs="Times New Roman"/>
          <w:color w:val="000000"/>
        </w:rPr>
        <w:t>2.</w:t>
      </w:r>
      <w:r w:rsidRPr="00C72A3E">
        <w:rPr>
          <w:rFonts w:eastAsia="Times New Roman" w:cs="Times New Roman"/>
          <w:color w:val="000000"/>
        </w:rPr>
        <w:t>)</w:t>
      </w:r>
      <w:r>
        <w:rPr>
          <w:rFonts w:eastAsia="Times New Roman" w:cs="Times New Roman"/>
          <w:color w:val="000000"/>
        </w:rPr>
        <w:t xml:space="preserve">  Thus, in addition to the separation of powers violation </w:t>
      </w:r>
      <w:r>
        <w:rPr>
          <w:color w:val="000000"/>
          <w:shd w:val="clear" w:color="auto" w:fill="FFFFFF"/>
        </w:rPr>
        <w:t>identified by the majority opinion, another articl</w:t>
      </w:r>
      <w:r>
        <w:rPr>
          <w:color w:val="000000"/>
          <w:shd w:val="clear" w:color="auto" w:fill="FFFFFF"/>
        </w:rPr>
        <w:t xml:space="preserve">e III, section 3, problem comes to the forefront if the Proposition 22 proponents’ reading of </w:t>
      </w:r>
      <w:r w:rsidRPr="00CD7F5B">
        <w:rPr>
          <w:i/>
          <w:iCs/>
          <w:color w:val="000000"/>
          <w:shd w:val="clear" w:color="auto" w:fill="FFFFFF"/>
        </w:rPr>
        <w:t>McPherson</w:t>
      </w:r>
      <w:r>
        <w:rPr>
          <w:color w:val="000000"/>
          <w:shd w:val="clear" w:color="auto" w:fill="FFFFFF"/>
        </w:rPr>
        <w:t xml:space="preserve"> is correct:  By destroying a mode of dispute resolution that app-based drivers are entitled to utilize within the judicial branch of government, Proposi</w:t>
      </w:r>
      <w:r>
        <w:rPr>
          <w:color w:val="000000"/>
          <w:shd w:val="clear" w:color="auto" w:fill="FFFFFF"/>
        </w:rPr>
        <w:t>tion 22 unconstitutionally usurps judicial power.</w:t>
      </w:r>
    </w:p>
    <w:p w14:paraId="6016DDB9" w14:textId="77777777" w:rsidR="00AB000C" w:rsidRDefault="00570B35" w:rsidP="00AB000C">
      <w:pPr>
        <w:ind w:firstLine="720"/>
        <w:rPr>
          <w:color w:val="000000"/>
          <w:shd w:val="clear" w:color="auto" w:fill="FFFFFF"/>
        </w:rPr>
      </w:pPr>
      <w:r>
        <w:rPr>
          <w:color w:val="000000"/>
          <w:shd w:val="clear" w:color="auto" w:fill="FFFFFF"/>
        </w:rPr>
        <w:lastRenderedPageBreak/>
        <w:t>To</w:t>
      </w:r>
      <w:r w:rsidRPr="0001115F">
        <w:rPr>
          <w:color w:val="000000"/>
          <w:shd w:val="clear" w:color="auto" w:fill="FFFFFF"/>
        </w:rPr>
        <w:t xml:space="preserve"> uphold this initiative would “defeat or materially impair” the exercise of a judicial function (</w:t>
      </w:r>
      <w:proofErr w:type="spellStart"/>
      <w:r w:rsidRPr="0001115F">
        <w:rPr>
          <w:rFonts w:eastAsia="Times New Roman" w:cs="Times New Roman"/>
          <w:i/>
          <w:iCs/>
          <w:color w:val="000000"/>
          <w:bdr w:val="none" w:sz="0" w:space="0" w:color="auto" w:frame="1"/>
        </w:rPr>
        <w:t>Hustedt</w:t>
      </w:r>
      <w:proofErr w:type="spellEnd"/>
      <w:r>
        <w:rPr>
          <w:rFonts w:eastAsia="Times New Roman" w:cs="Times New Roman"/>
          <w:color w:val="000000"/>
        </w:rPr>
        <w:t xml:space="preserve">, </w:t>
      </w:r>
      <w:r w:rsidRPr="00035D63">
        <w:rPr>
          <w:rFonts w:eastAsia="Times New Roman" w:cs="Times New Roman"/>
          <w:i/>
          <w:iCs/>
          <w:color w:val="000000"/>
        </w:rPr>
        <w:t>supra</w:t>
      </w:r>
      <w:r>
        <w:rPr>
          <w:rFonts w:eastAsia="Times New Roman" w:cs="Times New Roman"/>
          <w:color w:val="000000"/>
        </w:rPr>
        <w:t>,</w:t>
      </w:r>
      <w:r w:rsidRPr="0001115F">
        <w:rPr>
          <w:rFonts w:eastAsia="Times New Roman" w:cs="Times New Roman"/>
          <w:color w:val="000000"/>
        </w:rPr>
        <w:t xml:space="preserve"> 30</w:t>
      </w:r>
      <w:r>
        <w:rPr>
          <w:rFonts w:eastAsia="Times New Roman" w:cs="Times New Roman"/>
          <w:color w:val="000000"/>
        </w:rPr>
        <w:t> </w:t>
      </w:r>
      <w:r w:rsidRPr="0001115F">
        <w:rPr>
          <w:rFonts w:eastAsia="Times New Roman" w:cs="Times New Roman"/>
          <w:color w:val="000000"/>
        </w:rPr>
        <w:t xml:space="preserve">Cal.3d </w:t>
      </w:r>
      <w:r>
        <w:rPr>
          <w:rFonts w:eastAsia="Times New Roman" w:cs="Times New Roman"/>
          <w:color w:val="000000"/>
        </w:rPr>
        <w:t>at p. </w:t>
      </w:r>
      <w:r w:rsidRPr="0001115F">
        <w:rPr>
          <w:rFonts w:eastAsia="Times New Roman" w:cs="Times New Roman"/>
          <w:color w:val="000000"/>
        </w:rPr>
        <w:t xml:space="preserve">338) as well as its </w:t>
      </w:r>
      <w:r>
        <w:rPr>
          <w:rFonts w:eastAsia="Times New Roman" w:cs="Times New Roman"/>
          <w:color w:val="000000"/>
        </w:rPr>
        <w:t xml:space="preserve">doctrinal </w:t>
      </w:r>
      <w:r w:rsidRPr="0001115F">
        <w:rPr>
          <w:rFonts w:eastAsia="Times New Roman" w:cs="Times New Roman"/>
          <w:color w:val="000000"/>
        </w:rPr>
        <w:t xml:space="preserve">cousin, the </w:t>
      </w:r>
      <w:r>
        <w:rPr>
          <w:rFonts w:eastAsia="Times New Roman" w:cs="Times New Roman"/>
          <w:color w:val="000000"/>
        </w:rPr>
        <w:t xml:space="preserve">rule against </w:t>
      </w:r>
      <w:r w:rsidRPr="0001115F">
        <w:rPr>
          <w:rFonts w:eastAsia="Times New Roman" w:cs="Times New Roman"/>
          <w:color w:val="000000"/>
        </w:rPr>
        <w:t xml:space="preserve">impairment of </w:t>
      </w:r>
      <w:r w:rsidRPr="0001115F">
        <w:rPr>
          <w:color w:val="000000"/>
          <w:shd w:val="clear" w:color="auto" w:fill="FFFFFF"/>
        </w:rPr>
        <w:t>“core”</w:t>
      </w:r>
      <w:r>
        <w:rPr>
          <w:color w:val="000000"/>
          <w:shd w:val="clear" w:color="auto" w:fill="FFFFFF"/>
        </w:rPr>
        <w:t xml:space="preserve"> (</w:t>
      </w:r>
      <w:r w:rsidRPr="0001115F">
        <w:rPr>
          <w:rStyle w:val="Emphasis"/>
          <w:color w:val="000000"/>
          <w:bdr w:val="none" w:sz="0" w:space="0" w:color="auto" w:frame="1"/>
        </w:rPr>
        <w:t>Carmel Valley Fire Protection Dist. v. State of California</w:t>
      </w:r>
      <w:r>
        <w:rPr>
          <w:color w:val="000000"/>
          <w:shd w:val="clear" w:color="auto" w:fill="FFFFFF"/>
        </w:rPr>
        <w:t xml:space="preserve"> </w:t>
      </w:r>
      <w:r w:rsidRPr="0001115F">
        <w:rPr>
          <w:color w:val="000000"/>
          <w:shd w:val="clear" w:color="auto" w:fill="FFFFFF"/>
        </w:rPr>
        <w:t>(2001) 25</w:t>
      </w:r>
      <w:r>
        <w:rPr>
          <w:color w:val="000000"/>
          <w:shd w:val="clear" w:color="auto" w:fill="FFFFFF"/>
        </w:rPr>
        <w:t> </w:t>
      </w:r>
      <w:r w:rsidRPr="0001115F">
        <w:rPr>
          <w:color w:val="000000"/>
          <w:shd w:val="clear" w:color="auto" w:fill="FFFFFF"/>
        </w:rPr>
        <w:t>Cal.4th 287, 297) or “essential”</w:t>
      </w:r>
      <w:r>
        <w:rPr>
          <w:color w:val="000000"/>
          <w:shd w:val="clear" w:color="auto" w:fill="FFFFFF"/>
        </w:rPr>
        <w:t xml:space="preserve"> </w:t>
      </w:r>
      <w:r w:rsidRPr="0001115F">
        <w:rPr>
          <w:color w:val="000000"/>
          <w:shd w:val="clear" w:color="auto" w:fill="FFFFFF"/>
        </w:rPr>
        <w:t>(</w:t>
      </w:r>
      <w:r w:rsidRPr="0001115F">
        <w:rPr>
          <w:rStyle w:val="Emphasis"/>
          <w:color w:val="000000"/>
          <w:bdr w:val="none" w:sz="0" w:space="0" w:color="auto" w:frame="1"/>
        </w:rPr>
        <w:t>Butt v. State of California</w:t>
      </w:r>
      <w:r>
        <w:rPr>
          <w:color w:val="000000"/>
          <w:shd w:val="clear" w:color="auto" w:fill="FFFFFF"/>
        </w:rPr>
        <w:t xml:space="preserve"> </w:t>
      </w:r>
      <w:r w:rsidRPr="0001115F">
        <w:rPr>
          <w:color w:val="000000"/>
          <w:shd w:val="clear" w:color="auto" w:fill="FFFFFF"/>
        </w:rPr>
        <w:t>(1992) 4</w:t>
      </w:r>
      <w:r>
        <w:rPr>
          <w:color w:val="000000"/>
          <w:shd w:val="clear" w:color="auto" w:fill="FFFFFF"/>
        </w:rPr>
        <w:t> </w:t>
      </w:r>
      <w:r w:rsidRPr="0001115F">
        <w:rPr>
          <w:color w:val="000000"/>
          <w:shd w:val="clear" w:color="auto" w:fill="FFFFFF"/>
        </w:rPr>
        <w:t>Cal.4th 668, 700, fn.</w:t>
      </w:r>
      <w:r>
        <w:rPr>
          <w:color w:val="000000"/>
          <w:shd w:val="clear" w:color="auto" w:fill="FFFFFF"/>
        </w:rPr>
        <w:t> </w:t>
      </w:r>
      <w:r w:rsidRPr="0001115F">
        <w:rPr>
          <w:color w:val="000000"/>
          <w:shd w:val="clear" w:color="auto" w:fill="FFFFFF"/>
        </w:rPr>
        <w:t xml:space="preserve">26) </w:t>
      </w:r>
      <w:r>
        <w:rPr>
          <w:color w:val="000000"/>
          <w:shd w:val="clear" w:color="auto" w:fill="FFFFFF"/>
        </w:rPr>
        <w:t>governmental functions</w:t>
      </w:r>
      <w:r w:rsidRPr="0001115F">
        <w:rPr>
          <w:color w:val="000000"/>
          <w:shd w:val="clear" w:color="auto" w:fill="FFFFFF"/>
        </w:rPr>
        <w:t>.</w:t>
      </w:r>
      <w:r>
        <w:rPr>
          <w:color w:val="000000"/>
          <w:shd w:val="clear" w:color="auto" w:fill="FFFFFF"/>
        </w:rPr>
        <w:t xml:space="preserve">  </w:t>
      </w:r>
      <w:r w:rsidRPr="0001115F">
        <w:rPr>
          <w:color w:val="000000"/>
          <w:shd w:val="clear" w:color="auto" w:fill="FFFFFF"/>
        </w:rPr>
        <w:t>As the Supreme Court explained many years a</w:t>
      </w:r>
      <w:r w:rsidRPr="0001115F">
        <w:rPr>
          <w:color w:val="000000"/>
          <w:shd w:val="clear" w:color="auto" w:fill="FFFFFF"/>
        </w:rPr>
        <w:t xml:space="preserve">go in </w:t>
      </w:r>
      <w:proofErr w:type="spellStart"/>
      <w:r w:rsidRPr="00565D3B">
        <w:rPr>
          <w:rFonts w:eastAsia="Times New Roman" w:cs="Times New Roman"/>
          <w:i/>
          <w:iCs/>
          <w:color w:val="000000"/>
          <w:bdr w:val="none" w:sz="0" w:space="0" w:color="auto" w:frame="1"/>
        </w:rPr>
        <w:t>Brydonjack</w:t>
      </w:r>
      <w:proofErr w:type="spellEnd"/>
      <w:r w:rsidRPr="00565D3B">
        <w:rPr>
          <w:rFonts w:eastAsia="Times New Roman" w:cs="Times New Roman"/>
          <w:i/>
          <w:iCs/>
          <w:color w:val="000000"/>
          <w:bdr w:val="none" w:sz="0" w:space="0" w:color="auto" w:frame="1"/>
        </w:rPr>
        <w:t xml:space="preserve"> v. State Bar</w:t>
      </w:r>
      <w:r>
        <w:rPr>
          <w:rFonts w:eastAsia="Times New Roman" w:cs="Times New Roman"/>
          <w:color w:val="000000"/>
        </w:rPr>
        <w:t xml:space="preserve">, </w:t>
      </w:r>
      <w:r w:rsidRPr="00666AAA">
        <w:rPr>
          <w:rFonts w:eastAsia="Times New Roman" w:cs="Times New Roman"/>
          <w:i/>
          <w:iCs/>
          <w:color w:val="000000"/>
        </w:rPr>
        <w:t>supra</w:t>
      </w:r>
      <w:r>
        <w:rPr>
          <w:rFonts w:eastAsia="Times New Roman" w:cs="Times New Roman"/>
          <w:color w:val="000000"/>
        </w:rPr>
        <w:t>,</w:t>
      </w:r>
      <w:r w:rsidRPr="00565D3B">
        <w:rPr>
          <w:rFonts w:eastAsia="Times New Roman" w:cs="Times New Roman"/>
          <w:color w:val="000000"/>
        </w:rPr>
        <w:t xml:space="preserve"> 208</w:t>
      </w:r>
      <w:r>
        <w:rPr>
          <w:rFonts w:eastAsia="Times New Roman" w:cs="Times New Roman"/>
          <w:color w:val="000000"/>
        </w:rPr>
        <w:t> </w:t>
      </w:r>
      <w:r w:rsidRPr="00565D3B">
        <w:rPr>
          <w:rFonts w:eastAsia="Times New Roman" w:cs="Times New Roman"/>
          <w:color w:val="000000"/>
        </w:rPr>
        <w:t xml:space="preserve">Cal. </w:t>
      </w:r>
      <w:r>
        <w:rPr>
          <w:rFonts w:eastAsia="Times New Roman" w:cs="Times New Roman"/>
          <w:color w:val="000000"/>
        </w:rPr>
        <w:t>at page 4</w:t>
      </w:r>
      <w:r w:rsidRPr="00565D3B">
        <w:rPr>
          <w:rFonts w:eastAsia="Times New Roman" w:cs="Times New Roman"/>
          <w:color w:val="000000"/>
        </w:rPr>
        <w:t>42</w:t>
      </w:r>
      <w:proofErr w:type="gramStart"/>
      <w:r>
        <w:rPr>
          <w:color w:val="000000"/>
          <w:shd w:val="clear" w:color="auto" w:fill="FFFFFF"/>
        </w:rPr>
        <w:t xml:space="preserve">:  </w:t>
      </w:r>
      <w:r w:rsidRPr="0001115F">
        <w:rPr>
          <w:color w:val="000000"/>
          <w:shd w:val="clear" w:color="auto" w:fill="FFFFFF"/>
        </w:rPr>
        <w:t>“</w:t>
      </w:r>
      <w:proofErr w:type="gramEnd"/>
      <w:r w:rsidRPr="0001115F">
        <w:rPr>
          <w:color w:val="000000"/>
          <w:shd w:val="clear" w:color="auto" w:fill="FFFFFF"/>
        </w:rPr>
        <w:t xml:space="preserve">The sum total of this matter is that the Legislature may put reasonable restrictions upon constitutional functions of the courts provided they do not defeat or materially impair the exercise of those functions.” </w:t>
      </w:r>
      <w:r>
        <w:rPr>
          <w:color w:val="000000"/>
          <w:shd w:val="clear" w:color="auto" w:fill="FFFFFF"/>
        </w:rPr>
        <w:t xml:space="preserve"> Fair questions are often raised in cases i</w:t>
      </w:r>
      <w:r>
        <w:rPr>
          <w:color w:val="000000"/>
          <w:shd w:val="clear" w:color="auto" w:fill="FFFFFF"/>
        </w:rPr>
        <w:t>nvolving this kind of constitutional issue as to whether the challenged infringement is of a power that may truly be considered “core” or “essential,” but in this case it seems to me those questions are answered by the simple fact that, as courts have long</w:t>
      </w:r>
      <w:r>
        <w:rPr>
          <w:color w:val="000000"/>
          <w:shd w:val="clear" w:color="auto" w:fill="FFFFFF"/>
        </w:rPr>
        <w:t xml:space="preserve"> construed it, we are dealing with a power that is delineated in the constitutional text.</w:t>
      </w:r>
    </w:p>
    <w:p w14:paraId="6844ED6D" w14:textId="77777777" w:rsidR="00AB000C" w:rsidRDefault="00570B35" w:rsidP="00AB000C">
      <w:pPr>
        <w:ind w:firstLine="720"/>
        <w:rPr>
          <w:color w:val="000000"/>
          <w:shd w:val="clear" w:color="auto" w:fill="FFFFFF"/>
        </w:rPr>
      </w:pPr>
      <w:r w:rsidRPr="0001115F">
        <w:rPr>
          <w:color w:val="000000"/>
          <w:shd w:val="clear" w:color="auto" w:fill="FFFFFF"/>
        </w:rPr>
        <w:t>The issue of whether a given worker under a contract for hire has the status of an employee or an independent contractor is a judicial question.  The Supreme Court so</w:t>
      </w:r>
      <w:r w:rsidRPr="0001115F">
        <w:rPr>
          <w:color w:val="000000"/>
          <w:shd w:val="clear" w:color="auto" w:fill="FFFFFF"/>
        </w:rPr>
        <w:t xml:space="preserve"> held in </w:t>
      </w:r>
      <w:proofErr w:type="spellStart"/>
      <w:r w:rsidRPr="0001115F">
        <w:rPr>
          <w:rFonts w:eastAsia="Times New Roman" w:cs="Times New Roman"/>
          <w:i/>
          <w:iCs/>
          <w:color w:val="000000"/>
          <w:bdr w:val="none" w:sz="0" w:space="0" w:color="auto" w:frame="1"/>
        </w:rPr>
        <w:t>Drillon</w:t>
      </w:r>
      <w:proofErr w:type="spellEnd"/>
      <w:r w:rsidRPr="007F36DF">
        <w:rPr>
          <w:rFonts w:eastAsia="Times New Roman" w:cs="Times New Roman"/>
          <w:color w:val="000000"/>
          <w:bdr w:val="none" w:sz="0" w:space="0" w:color="auto" w:frame="1"/>
        </w:rPr>
        <w:t xml:space="preserve">, </w:t>
      </w:r>
      <w:r w:rsidRPr="19DC85F6">
        <w:rPr>
          <w:rFonts w:eastAsia="Times New Roman" w:cs="Times New Roman"/>
          <w:i/>
          <w:iCs/>
          <w:color w:val="000000"/>
        </w:rPr>
        <w:t>supra</w:t>
      </w:r>
      <w:r w:rsidRPr="19DC85F6">
        <w:rPr>
          <w:rFonts w:eastAsia="Times New Roman" w:cs="Times New Roman"/>
          <w:color w:val="000000"/>
        </w:rPr>
        <w:t>,</w:t>
      </w:r>
      <w:r w:rsidRPr="0001115F">
        <w:rPr>
          <w:rFonts w:eastAsia="Times New Roman" w:cs="Times New Roman"/>
          <w:color w:val="000000"/>
        </w:rPr>
        <w:t xml:space="preserve"> 17</w:t>
      </w:r>
      <w:r>
        <w:rPr>
          <w:rFonts w:eastAsia="Times New Roman" w:cs="Times New Roman"/>
          <w:color w:val="000000"/>
        </w:rPr>
        <w:t> </w:t>
      </w:r>
      <w:r w:rsidRPr="0001115F">
        <w:rPr>
          <w:rFonts w:eastAsia="Times New Roman" w:cs="Times New Roman"/>
          <w:color w:val="000000"/>
        </w:rPr>
        <w:t xml:space="preserve">Cal.2d 346.  </w:t>
      </w:r>
      <w:r w:rsidRPr="0001115F">
        <w:rPr>
          <w:color w:val="000000"/>
          <w:shd w:val="clear" w:color="auto" w:fill="FFFFFF"/>
        </w:rPr>
        <w:t xml:space="preserve">At issue in </w:t>
      </w:r>
      <w:proofErr w:type="spellStart"/>
      <w:r w:rsidRPr="0001115F">
        <w:rPr>
          <w:i/>
          <w:iCs/>
          <w:color w:val="000000"/>
          <w:shd w:val="clear" w:color="auto" w:fill="FFFFFF"/>
        </w:rPr>
        <w:t>Drillon</w:t>
      </w:r>
      <w:proofErr w:type="spellEnd"/>
      <w:r w:rsidRPr="0001115F">
        <w:rPr>
          <w:color w:val="000000"/>
          <w:shd w:val="clear" w:color="auto" w:fill="FFFFFF"/>
        </w:rPr>
        <w:t xml:space="preserve"> was the employment status of one Claude Hooper, a thoroughbred racing jockey </w:t>
      </w:r>
      <w:r w:rsidRPr="00170D73">
        <w:rPr>
          <w:color w:val="000000"/>
          <w:shd w:val="clear" w:color="auto" w:fill="FFFFFF"/>
        </w:rPr>
        <w:t>who</w:t>
      </w:r>
      <w:r>
        <w:rPr>
          <w:color w:val="000000"/>
          <w:shd w:val="clear" w:color="auto" w:fill="FFFFFF"/>
        </w:rPr>
        <w:t>, while</w:t>
      </w:r>
      <w:r w:rsidRPr="0001115F">
        <w:rPr>
          <w:color w:val="000000"/>
          <w:shd w:val="clear" w:color="auto" w:fill="FFFFFF"/>
        </w:rPr>
        <w:t xml:space="preserve"> </w:t>
      </w:r>
      <w:r w:rsidRPr="00170D73">
        <w:rPr>
          <w:color w:val="000000"/>
          <w:shd w:val="clear" w:color="auto" w:fill="FFFFFF"/>
        </w:rPr>
        <w:t>free to work for any horse owner,</w:t>
      </w:r>
      <w:r w:rsidRPr="0001115F">
        <w:rPr>
          <w:color w:val="000000"/>
          <w:shd w:val="clear" w:color="auto" w:fill="FFFFFF"/>
        </w:rPr>
        <w:t xml:space="preserve"> </w:t>
      </w:r>
      <w:r>
        <w:rPr>
          <w:color w:val="000000"/>
          <w:shd w:val="clear" w:color="auto" w:fill="FFFFFF"/>
        </w:rPr>
        <w:t xml:space="preserve">raced a particular horse </w:t>
      </w:r>
      <w:r w:rsidRPr="0001115F">
        <w:rPr>
          <w:color w:val="000000"/>
          <w:shd w:val="clear" w:color="auto" w:fill="FFFFFF"/>
        </w:rPr>
        <w:t xml:space="preserve">subject to guidance </w:t>
      </w:r>
      <w:r>
        <w:rPr>
          <w:color w:val="000000"/>
          <w:shd w:val="clear" w:color="auto" w:fill="FFFFFF"/>
        </w:rPr>
        <w:t xml:space="preserve">and instruction </w:t>
      </w:r>
      <w:r w:rsidRPr="0001115F">
        <w:rPr>
          <w:color w:val="000000"/>
          <w:shd w:val="clear" w:color="auto" w:fill="FFFFFF"/>
        </w:rPr>
        <w:t xml:space="preserve">from the </w:t>
      </w:r>
      <w:r>
        <w:rPr>
          <w:color w:val="000000"/>
          <w:shd w:val="clear" w:color="auto" w:fill="FFFFFF"/>
        </w:rPr>
        <w:t>hor</w:t>
      </w:r>
      <w:r>
        <w:rPr>
          <w:color w:val="000000"/>
          <w:shd w:val="clear" w:color="auto" w:fill="FFFFFF"/>
        </w:rPr>
        <w:t xml:space="preserve">se’s </w:t>
      </w:r>
      <w:r w:rsidRPr="0001115F">
        <w:rPr>
          <w:color w:val="000000"/>
          <w:shd w:val="clear" w:color="auto" w:fill="FFFFFF"/>
        </w:rPr>
        <w:t xml:space="preserve">owner.  </w:t>
      </w:r>
      <w:r>
        <w:rPr>
          <w:color w:val="000000"/>
          <w:shd w:val="clear" w:color="auto" w:fill="FFFFFF"/>
        </w:rPr>
        <w:t>(</w:t>
      </w:r>
      <w:r w:rsidRPr="00531776">
        <w:rPr>
          <w:i/>
          <w:iCs/>
          <w:color w:val="000000"/>
          <w:shd w:val="clear" w:color="auto" w:fill="FFFFFF"/>
        </w:rPr>
        <w:t>Id</w:t>
      </w:r>
      <w:r>
        <w:rPr>
          <w:color w:val="000000"/>
          <w:shd w:val="clear" w:color="auto" w:fill="FFFFFF"/>
        </w:rPr>
        <w:t xml:space="preserve">. at pp. 348–350.)  </w:t>
      </w:r>
      <w:r w:rsidRPr="00170D73">
        <w:rPr>
          <w:color w:val="000000"/>
          <w:shd w:val="clear" w:color="auto" w:fill="FFFFFF"/>
        </w:rPr>
        <w:t xml:space="preserve">The IAC concluded that Mr. Hooper was an </w:t>
      </w:r>
      <w:r w:rsidRPr="00170D73">
        <w:rPr>
          <w:color w:val="000000"/>
          <w:shd w:val="clear" w:color="auto" w:fill="FFFFFF"/>
        </w:rPr>
        <w:lastRenderedPageBreak/>
        <w:t>employee of the owner (</w:t>
      </w:r>
      <w:r w:rsidRPr="00170D73">
        <w:rPr>
          <w:i/>
          <w:iCs/>
          <w:color w:val="000000"/>
          <w:shd w:val="clear" w:color="auto" w:fill="FFFFFF"/>
        </w:rPr>
        <w:t>id</w:t>
      </w:r>
      <w:r w:rsidRPr="00170D73">
        <w:rPr>
          <w:color w:val="000000"/>
          <w:shd w:val="clear" w:color="auto" w:fill="FFFFFF"/>
        </w:rPr>
        <w:t>.</w:t>
      </w:r>
      <w:r>
        <w:rPr>
          <w:color w:val="000000"/>
          <w:shd w:val="clear" w:color="auto" w:fill="FFFFFF"/>
        </w:rPr>
        <w:t xml:space="preserve"> at pp. </w:t>
      </w:r>
      <w:r w:rsidRPr="00170D73">
        <w:rPr>
          <w:color w:val="000000"/>
          <w:shd w:val="clear" w:color="auto" w:fill="FFFFFF"/>
        </w:rPr>
        <w:t>348–349),</w:t>
      </w:r>
      <w:r>
        <w:rPr>
          <w:color w:val="000000"/>
          <w:shd w:val="clear" w:color="auto" w:fill="FFFFFF"/>
        </w:rPr>
        <w:t xml:space="preserve"> and the Supreme Court affirmed </w:t>
      </w:r>
      <w:r w:rsidRPr="00170D73">
        <w:rPr>
          <w:color w:val="000000"/>
          <w:shd w:val="clear" w:color="auto" w:fill="FFFFFF"/>
        </w:rPr>
        <w:t>(</w:t>
      </w:r>
      <w:r w:rsidRPr="00170D73">
        <w:rPr>
          <w:i/>
          <w:iCs/>
          <w:color w:val="000000"/>
          <w:shd w:val="clear" w:color="auto" w:fill="FFFFFF"/>
        </w:rPr>
        <w:t>id</w:t>
      </w:r>
      <w:r w:rsidRPr="00170D73">
        <w:rPr>
          <w:color w:val="000000"/>
          <w:shd w:val="clear" w:color="auto" w:fill="FFFFFF"/>
        </w:rPr>
        <w:t>.</w:t>
      </w:r>
      <w:r>
        <w:rPr>
          <w:color w:val="000000"/>
          <w:shd w:val="clear" w:color="auto" w:fill="FFFFFF"/>
        </w:rPr>
        <w:t xml:space="preserve"> at pp. </w:t>
      </w:r>
      <w:r w:rsidRPr="00170D73">
        <w:rPr>
          <w:color w:val="000000"/>
          <w:shd w:val="clear" w:color="auto" w:fill="FFFFFF"/>
        </w:rPr>
        <w:t>355–356).</w:t>
      </w:r>
    </w:p>
    <w:p w14:paraId="37556C07" w14:textId="77777777" w:rsidR="00AB000C" w:rsidRDefault="00570B35" w:rsidP="00AB000C">
      <w:pPr>
        <w:ind w:firstLine="720"/>
        <w:rPr>
          <w:rFonts w:eastAsia="Times New Roman" w:cs="Times New Roman"/>
          <w:color w:val="000000"/>
        </w:rPr>
      </w:pPr>
      <w:r w:rsidRPr="0001115F">
        <w:rPr>
          <w:color w:val="000000"/>
          <w:shd w:val="clear" w:color="auto" w:fill="FFFFFF"/>
        </w:rPr>
        <w:t>Faced with an argument from the employer that Mr.</w:t>
      </w:r>
      <w:r>
        <w:rPr>
          <w:color w:val="000000"/>
          <w:shd w:val="clear" w:color="auto" w:fill="FFFFFF"/>
        </w:rPr>
        <w:t> </w:t>
      </w:r>
      <w:r w:rsidRPr="0001115F">
        <w:rPr>
          <w:color w:val="000000"/>
          <w:shd w:val="clear" w:color="auto" w:fill="FFFFFF"/>
        </w:rPr>
        <w:t xml:space="preserve">Hooper’s status was controlled </w:t>
      </w:r>
      <w:r>
        <w:rPr>
          <w:color w:val="000000"/>
          <w:shd w:val="clear" w:color="auto" w:fill="FFFFFF"/>
        </w:rPr>
        <w:t xml:space="preserve">by </w:t>
      </w:r>
      <w:r w:rsidRPr="0001115F">
        <w:rPr>
          <w:color w:val="000000"/>
          <w:shd w:val="clear" w:color="auto" w:fill="FFFFFF"/>
        </w:rPr>
        <w:t xml:space="preserve">the rules </w:t>
      </w:r>
      <w:r>
        <w:rPr>
          <w:color w:val="000000"/>
          <w:shd w:val="clear" w:color="auto" w:fill="FFFFFF"/>
        </w:rPr>
        <w:t xml:space="preserve">of </w:t>
      </w:r>
      <w:r w:rsidRPr="0001115F">
        <w:rPr>
          <w:color w:val="000000"/>
          <w:shd w:val="clear" w:color="auto" w:fill="FFFFFF"/>
        </w:rPr>
        <w:t>the horse-racing board</w:t>
      </w:r>
      <w:r>
        <w:rPr>
          <w:color w:val="000000"/>
          <w:shd w:val="clear" w:color="auto" w:fill="FFFFFF"/>
        </w:rPr>
        <w:t xml:space="preserve"> promulgated pursuant to statute (</w:t>
      </w:r>
      <w:proofErr w:type="spellStart"/>
      <w:r w:rsidRPr="003050FD">
        <w:rPr>
          <w:i/>
          <w:iCs/>
          <w:color w:val="000000"/>
          <w:shd w:val="clear" w:color="auto" w:fill="FFFFFF"/>
        </w:rPr>
        <w:t>Drillon</w:t>
      </w:r>
      <w:proofErr w:type="spellEnd"/>
      <w:r>
        <w:rPr>
          <w:color w:val="000000"/>
          <w:shd w:val="clear" w:color="auto" w:fill="FFFFFF"/>
        </w:rPr>
        <w:t xml:space="preserve">, </w:t>
      </w:r>
      <w:r w:rsidRPr="003050FD">
        <w:rPr>
          <w:i/>
          <w:iCs/>
          <w:color w:val="000000"/>
          <w:shd w:val="clear" w:color="auto" w:fill="FFFFFF"/>
        </w:rPr>
        <w:t>supra</w:t>
      </w:r>
      <w:r>
        <w:rPr>
          <w:color w:val="000000"/>
          <w:shd w:val="clear" w:color="auto" w:fill="FFFFFF"/>
        </w:rPr>
        <w:t>, 17 Cal.2d at pp. 352–354)</w:t>
      </w:r>
      <w:r w:rsidRPr="0001115F">
        <w:rPr>
          <w:color w:val="000000"/>
          <w:shd w:val="clear" w:color="auto" w:fill="FFFFFF"/>
        </w:rPr>
        <w:t>, the court held that “</w:t>
      </w:r>
      <w:r w:rsidRPr="0001115F">
        <w:rPr>
          <w:rFonts w:eastAsia="Times New Roman" w:cs="Times New Roman"/>
          <w:color w:val="000000"/>
          <w:shd w:val="clear" w:color="auto" w:fill="FFFFFF"/>
        </w:rPr>
        <w:t xml:space="preserve">the issue of whether or not a person is an </w:t>
      </w:r>
      <w:proofErr w:type="gramStart"/>
      <w:r w:rsidRPr="0001115F">
        <w:rPr>
          <w:rFonts w:eastAsia="Times New Roman" w:cs="Times New Roman"/>
          <w:color w:val="000000"/>
          <w:shd w:val="clear" w:color="auto" w:fill="FFFFFF"/>
        </w:rPr>
        <w:t>employee</w:t>
      </w:r>
      <w:proofErr w:type="gramEnd"/>
      <w:r w:rsidRPr="0001115F">
        <w:rPr>
          <w:rFonts w:eastAsia="Times New Roman" w:cs="Times New Roman"/>
          <w:color w:val="000000"/>
          <w:shd w:val="clear" w:color="auto" w:fill="FFFFFF"/>
        </w:rPr>
        <w:t xml:space="preserve"> or an independent contractor is a jud</w:t>
      </w:r>
      <w:r w:rsidRPr="0001115F">
        <w:rPr>
          <w:rFonts w:eastAsia="Times New Roman" w:cs="Times New Roman"/>
          <w:color w:val="000000"/>
          <w:shd w:val="clear" w:color="auto" w:fill="FFFFFF"/>
        </w:rPr>
        <w:t>icial question and not a legislative or executive one.  Legislative and administrative regulations relating to the affairs of persons furnishing services to the persons to whom furnished cannot control the judicial branch of the government in its determina</w:t>
      </w:r>
      <w:r w:rsidRPr="0001115F">
        <w:rPr>
          <w:rFonts w:eastAsia="Times New Roman" w:cs="Times New Roman"/>
          <w:color w:val="000000"/>
          <w:shd w:val="clear" w:color="auto" w:fill="FFFFFF"/>
        </w:rPr>
        <w:t>tion of that question.”  (</w:t>
      </w:r>
      <w:r w:rsidRPr="00845202">
        <w:rPr>
          <w:rFonts w:eastAsia="Times New Roman" w:cs="Times New Roman"/>
          <w:i/>
          <w:iCs/>
          <w:color w:val="000000"/>
          <w:shd w:val="clear" w:color="auto" w:fill="FFFFFF"/>
        </w:rPr>
        <w:t>Id</w:t>
      </w:r>
      <w:r>
        <w:rPr>
          <w:rFonts w:eastAsia="Times New Roman" w:cs="Times New Roman"/>
          <w:color w:val="000000"/>
          <w:shd w:val="clear" w:color="auto" w:fill="FFFFFF"/>
        </w:rPr>
        <w:t>. at p. </w:t>
      </w:r>
      <w:r w:rsidRPr="0001115F">
        <w:rPr>
          <w:rFonts w:eastAsia="Times New Roman" w:cs="Times New Roman"/>
          <w:color w:val="000000"/>
        </w:rPr>
        <w:t>355.)</w:t>
      </w:r>
      <w:r>
        <w:rPr>
          <w:rFonts w:eastAsia="Times New Roman" w:cs="Times New Roman"/>
          <w:color w:val="000000"/>
        </w:rPr>
        <w:t xml:space="preserve">  The same analysis applies here.</w:t>
      </w:r>
    </w:p>
    <w:p w14:paraId="631E24EE" w14:textId="77777777" w:rsidR="00AB000C" w:rsidRPr="00CE3ED1" w:rsidRDefault="00570B35" w:rsidP="00AB000C">
      <w:pPr>
        <w:ind w:firstLine="720"/>
        <w:rPr>
          <w:color w:val="000000"/>
          <w:shd w:val="clear" w:color="auto" w:fill="FFFFFF"/>
        </w:rPr>
      </w:pPr>
      <w:r>
        <w:rPr>
          <w:color w:val="000000"/>
          <w:shd w:val="clear" w:color="auto" w:fill="FFFFFF"/>
        </w:rPr>
        <w:t xml:space="preserve">The Attorney General argues that </w:t>
      </w:r>
      <w:r w:rsidRPr="0001115F">
        <w:rPr>
          <w:color w:val="000000"/>
          <w:shd w:val="clear" w:color="auto" w:fill="FFFFFF"/>
        </w:rPr>
        <w:t xml:space="preserve">independent contractors were always </w:t>
      </w:r>
      <w:r>
        <w:rPr>
          <w:color w:val="000000"/>
          <w:shd w:val="clear" w:color="auto" w:fill="FFFFFF"/>
        </w:rPr>
        <w:t>“</w:t>
      </w:r>
      <w:r w:rsidRPr="0001115F">
        <w:rPr>
          <w:color w:val="000000"/>
          <w:shd w:val="clear" w:color="auto" w:fill="FFFFFF"/>
        </w:rPr>
        <w:t>excluded</w:t>
      </w:r>
      <w:r>
        <w:rPr>
          <w:color w:val="000000"/>
          <w:shd w:val="clear" w:color="auto" w:fill="FFFFFF"/>
        </w:rPr>
        <w:t>”</w:t>
      </w:r>
      <w:r w:rsidRPr="0001115F">
        <w:rPr>
          <w:color w:val="000000"/>
          <w:shd w:val="clear" w:color="auto" w:fill="FFFFFF"/>
        </w:rPr>
        <w:t xml:space="preserve"> from workers</w:t>
      </w:r>
      <w:r>
        <w:rPr>
          <w:color w:val="000000"/>
          <w:shd w:val="clear" w:color="auto" w:fill="FFFFFF"/>
        </w:rPr>
        <w:t>’</w:t>
      </w:r>
      <w:r w:rsidRPr="0001115F">
        <w:rPr>
          <w:color w:val="000000"/>
          <w:shd w:val="clear" w:color="auto" w:fill="FFFFFF"/>
        </w:rPr>
        <w:t xml:space="preserve"> compensation coverage, and that in Proposition</w:t>
      </w:r>
      <w:r>
        <w:rPr>
          <w:color w:val="000000"/>
          <w:shd w:val="clear" w:color="auto" w:fill="FFFFFF"/>
        </w:rPr>
        <w:t> </w:t>
      </w:r>
      <w:r w:rsidRPr="0001115F">
        <w:rPr>
          <w:color w:val="000000"/>
          <w:shd w:val="clear" w:color="auto" w:fill="FFFFFF"/>
        </w:rPr>
        <w:t xml:space="preserve">22 the voters simply changed the substantive law determining whether </w:t>
      </w:r>
      <w:r>
        <w:rPr>
          <w:color w:val="000000"/>
          <w:shd w:val="clear" w:color="auto" w:fill="FFFFFF"/>
        </w:rPr>
        <w:t>app-based</w:t>
      </w:r>
      <w:r w:rsidRPr="0001115F">
        <w:rPr>
          <w:color w:val="000000"/>
          <w:shd w:val="clear" w:color="auto" w:fill="FFFFFF"/>
        </w:rPr>
        <w:t xml:space="preserve"> drivers have that status.</w:t>
      </w:r>
      <w:r>
        <w:rPr>
          <w:color w:val="000000"/>
          <w:shd w:val="clear" w:color="auto" w:fill="FFFFFF"/>
        </w:rPr>
        <w:t xml:space="preserve">  There was no such “exclusion”; one was not needed.  Because independent contractor status is, and alwa</w:t>
      </w:r>
      <w:r>
        <w:rPr>
          <w:color w:val="000000"/>
          <w:shd w:val="clear" w:color="auto" w:fill="FFFFFF"/>
        </w:rPr>
        <w:t xml:space="preserve">ys was, the opposite of </w:t>
      </w:r>
      <w:r w:rsidRPr="00CE3ED1">
        <w:rPr>
          <w:color w:val="000000"/>
          <w:shd w:val="clear" w:color="auto" w:fill="FFFFFF"/>
        </w:rPr>
        <w:t>employee status, and because article XIV, section</w:t>
      </w:r>
      <w:r>
        <w:rPr>
          <w:color w:val="000000"/>
          <w:shd w:val="clear" w:color="auto" w:fill="FFFFFF"/>
        </w:rPr>
        <w:t> </w:t>
      </w:r>
      <w:r w:rsidRPr="00CE3ED1">
        <w:rPr>
          <w:color w:val="000000"/>
          <w:shd w:val="clear" w:color="auto" w:fill="FFFFFF"/>
        </w:rPr>
        <w:t>4, today, as under its previous incarnation in former article XX, section</w:t>
      </w:r>
      <w:r>
        <w:rPr>
          <w:color w:val="000000"/>
          <w:shd w:val="clear" w:color="auto" w:fill="FFFFFF"/>
        </w:rPr>
        <w:t> </w:t>
      </w:r>
      <w:r w:rsidRPr="00CE3ED1">
        <w:rPr>
          <w:color w:val="000000"/>
          <w:shd w:val="clear" w:color="auto" w:fill="FFFFFF"/>
        </w:rPr>
        <w:t xml:space="preserve">21, covers only </w:t>
      </w:r>
      <w:r>
        <w:rPr>
          <w:color w:val="000000"/>
          <w:shd w:val="clear" w:color="auto" w:fill="FFFFFF"/>
        </w:rPr>
        <w:t xml:space="preserve">workers in an “employment” relationship, </w:t>
      </w:r>
      <w:r w:rsidRPr="00CE3ED1">
        <w:rPr>
          <w:color w:val="000000"/>
          <w:shd w:val="clear" w:color="auto" w:fill="FFFFFF"/>
        </w:rPr>
        <w:t>independent contractors have always been outside th</w:t>
      </w:r>
      <w:r w:rsidRPr="00CE3ED1">
        <w:rPr>
          <w:color w:val="000000"/>
          <w:shd w:val="clear" w:color="auto" w:fill="FFFFFF"/>
        </w:rPr>
        <w:t>e reach of our statutory workers</w:t>
      </w:r>
      <w:r w:rsidRPr="1042FC38">
        <w:rPr>
          <w:color w:val="000000" w:themeColor="text1"/>
        </w:rPr>
        <w:t>’</w:t>
      </w:r>
      <w:r w:rsidRPr="00CE3ED1">
        <w:rPr>
          <w:color w:val="000000"/>
          <w:shd w:val="clear" w:color="auto" w:fill="FFFFFF"/>
        </w:rPr>
        <w:t xml:space="preserve"> compensation system.  (</w:t>
      </w:r>
      <w:r w:rsidRPr="00CE3ED1">
        <w:rPr>
          <w:i/>
          <w:iCs/>
          <w:color w:val="000000"/>
          <w:shd w:val="clear" w:color="auto" w:fill="FFFFFF"/>
        </w:rPr>
        <w:t>P</w:t>
      </w:r>
      <w:r>
        <w:rPr>
          <w:i/>
          <w:iCs/>
          <w:color w:val="000000"/>
          <w:shd w:val="clear" w:color="auto" w:fill="FFFFFF"/>
        </w:rPr>
        <w:t>G&amp;E</w:t>
      </w:r>
      <w:r w:rsidRPr="00CE3ED1">
        <w:rPr>
          <w:color w:val="000000"/>
          <w:shd w:val="clear" w:color="auto" w:fill="FFFFFF"/>
        </w:rPr>
        <w:t xml:space="preserve">, </w:t>
      </w:r>
      <w:r w:rsidRPr="00CE3ED1">
        <w:rPr>
          <w:i/>
          <w:iCs/>
          <w:color w:val="000000"/>
          <w:shd w:val="clear" w:color="auto" w:fill="FFFFFF"/>
        </w:rPr>
        <w:t>supra</w:t>
      </w:r>
      <w:r w:rsidRPr="00CE3ED1">
        <w:rPr>
          <w:color w:val="000000"/>
          <w:shd w:val="clear" w:color="auto" w:fill="FFFFFF"/>
        </w:rPr>
        <w:t xml:space="preserve">, </w:t>
      </w:r>
      <w:r w:rsidRPr="00CE3ED1">
        <w:rPr>
          <w:rFonts w:eastAsia="Times New Roman" w:cs="Times New Roman"/>
          <w:color w:val="000000"/>
        </w:rPr>
        <w:t>180 Cal. at p.</w:t>
      </w:r>
      <w:r>
        <w:rPr>
          <w:rFonts w:eastAsia="Times New Roman" w:cs="Times New Roman"/>
          <w:color w:val="000000"/>
        </w:rPr>
        <w:t> </w:t>
      </w:r>
      <w:r w:rsidRPr="00CE3ED1">
        <w:rPr>
          <w:rFonts w:eastAsia="Times New Roman" w:cs="Times New Roman"/>
          <w:color w:val="000000"/>
        </w:rPr>
        <w:t xml:space="preserve">500; </w:t>
      </w:r>
      <w:r w:rsidRPr="00CE3ED1">
        <w:rPr>
          <w:rFonts w:eastAsia="Times New Roman" w:cs="Times New Roman"/>
          <w:i/>
          <w:iCs/>
          <w:color w:val="000000"/>
          <w:bdr w:val="none" w:sz="0" w:space="0" w:color="auto" w:frame="1"/>
        </w:rPr>
        <w:t>Carstens v. Pillsbury</w:t>
      </w:r>
      <w:r>
        <w:rPr>
          <w:rFonts w:eastAsia="Times New Roman" w:cs="Times New Roman"/>
          <w:color w:val="000000"/>
        </w:rPr>
        <w:t xml:space="preserve"> </w:t>
      </w:r>
      <w:r w:rsidRPr="00CE3ED1">
        <w:rPr>
          <w:rFonts w:eastAsia="Times New Roman" w:cs="Times New Roman"/>
          <w:color w:val="000000"/>
        </w:rPr>
        <w:t>(1916) 172</w:t>
      </w:r>
      <w:r>
        <w:rPr>
          <w:rFonts w:eastAsia="Times New Roman" w:cs="Times New Roman"/>
          <w:color w:val="000000"/>
        </w:rPr>
        <w:t> </w:t>
      </w:r>
      <w:r w:rsidRPr="00CE3ED1">
        <w:rPr>
          <w:rFonts w:eastAsia="Times New Roman" w:cs="Times New Roman"/>
          <w:color w:val="000000"/>
        </w:rPr>
        <w:t>Cal. 572, 580.)  That is nothing new</w:t>
      </w:r>
      <w:r>
        <w:rPr>
          <w:rFonts w:eastAsia="Times New Roman" w:cs="Times New Roman"/>
          <w:color w:val="000000"/>
        </w:rPr>
        <w:t>, and it is not a matter of statutory “exclusion.”</w:t>
      </w:r>
    </w:p>
    <w:p w14:paraId="167B96E1" w14:textId="77777777" w:rsidR="00AB000C" w:rsidRDefault="00570B35" w:rsidP="00AB000C">
      <w:pPr>
        <w:ind w:firstLine="720"/>
        <w:rPr>
          <w:rFonts w:eastAsia="Times New Roman" w:cs="Times New Roman"/>
          <w:color w:val="000000"/>
        </w:rPr>
      </w:pPr>
      <w:r>
        <w:rPr>
          <w:color w:val="000000"/>
          <w:shd w:val="clear" w:color="auto" w:fill="FFFFFF"/>
        </w:rPr>
        <w:lastRenderedPageBreak/>
        <w:t>The question here is not whether independent c</w:t>
      </w:r>
      <w:r>
        <w:rPr>
          <w:color w:val="000000"/>
          <w:shd w:val="clear" w:color="auto" w:fill="FFFFFF"/>
        </w:rPr>
        <w:t>ontractors per se are outside the system.  It is whether app-based drivers, a category of wage workers that did not exist prior to 1918, may be expelled from the present-day workers’ compensation system by labelling them independent contractors, thereby de</w:t>
      </w:r>
      <w:r>
        <w:rPr>
          <w:color w:val="000000"/>
          <w:shd w:val="clear" w:color="auto" w:fill="FFFFFF"/>
        </w:rPr>
        <w:t>priving them of any ability to have their employment status determined within the system.  W</w:t>
      </w:r>
      <w:r w:rsidRPr="0001115F">
        <w:rPr>
          <w:color w:val="000000"/>
          <w:shd w:val="clear" w:color="auto" w:fill="FFFFFF"/>
        </w:rPr>
        <w:t xml:space="preserve">age workers in the position of today’s </w:t>
      </w:r>
      <w:r>
        <w:rPr>
          <w:color w:val="000000"/>
          <w:shd w:val="clear" w:color="auto" w:fill="FFFFFF"/>
        </w:rPr>
        <w:t>app-based</w:t>
      </w:r>
      <w:r w:rsidRPr="0001115F">
        <w:rPr>
          <w:color w:val="000000"/>
          <w:shd w:val="clear" w:color="auto" w:fill="FFFFFF"/>
        </w:rPr>
        <w:t xml:space="preserve"> drivers </w:t>
      </w:r>
      <w:r>
        <w:rPr>
          <w:color w:val="000000"/>
          <w:shd w:val="clear" w:color="auto" w:fill="FFFFFF"/>
        </w:rPr>
        <w:t xml:space="preserve">(who kept driving during the pandemic at great personal risk to themselves and their families) have always been </w:t>
      </w:r>
      <w:r w:rsidRPr="0001115F">
        <w:rPr>
          <w:color w:val="000000"/>
          <w:shd w:val="clear" w:color="auto" w:fill="FFFFFF"/>
        </w:rPr>
        <w:t>presumptively within the workers</w:t>
      </w:r>
      <w:r>
        <w:rPr>
          <w:color w:val="000000"/>
          <w:shd w:val="clear" w:color="auto" w:fill="FFFFFF"/>
        </w:rPr>
        <w:t>’</w:t>
      </w:r>
      <w:r w:rsidRPr="0001115F">
        <w:rPr>
          <w:color w:val="000000"/>
          <w:shd w:val="clear" w:color="auto" w:fill="FFFFFF"/>
        </w:rPr>
        <w:t xml:space="preserve"> compensation system, which is why respondents cite </w:t>
      </w:r>
      <w:proofErr w:type="spellStart"/>
      <w:r w:rsidRPr="0001115F">
        <w:rPr>
          <w:rFonts w:eastAsia="Times New Roman" w:cs="Times New Roman"/>
          <w:i/>
          <w:iCs/>
          <w:color w:val="000000"/>
          <w:bdr w:val="none" w:sz="0" w:space="0" w:color="auto" w:frame="1"/>
        </w:rPr>
        <w:t>Drillon</w:t>
      </w:r>
      <w:proofErr w:type="spellEnd"/>
      <w:r w:rsidRPr="0001115F">
        <w:rPr>
          <w:rFonts w:eastAsia="Times New Roman" w:cs="Times New Roman"/>
          <w:color w:val="000000"/>
        </w:rPr>
        <w:t xml:space="preserve">.  Neither the Attorney General nor the </w:t>
      </w:r>
      <w:r>
        <w:rPr>
          <w:rFonts w:eastAsia="Times New Roman" w:cs="Times New Roman"/>
          <w:color w:val="000000"/>
        </w:rPr>
        <w:t>interveners</w:t>
      </w:r>
      <w:r w:rsidRPr="0001115F">
        <w:rPr>
          <w:rFonts w:eastAsia="Times New Roman" w:cs="Times New Roman"/>
          <w:color w:val="000000"/>
        </w:rPr>
        <w:t xml:space="preserve"> </w:t>
      </w:r>
      <w:proofErr w:type="gramStart"/>
      <w:r w:rsidRPr="0001115F">
        <w:rPr>
          <w:rFonts w:eastAsia="Times New Roman" w:cs="Times New Roman"/>
          <w:color w:val="000000"/>
        </w:rPr>
        <w:t>discusses</w:t>
      </w:r>
      <w:proofErr w:type="gramEnd"/>
      <w:r w:rsidRPr="0001115F">
        <w:rPr>
          <w:rFonts w:eastAsia="Times New Roman" w:cs="Times New Roman"/>
          <w:i/>
          <w:iCs/>
          <w:color w:val="000000"/>
        </w:rPr>
        <w:t xml:space="preserve"> </w:t>
      </w:r>
      <w:proofErr w:type="spellStart"/>
      <w:r w:rsidRPr="0001115F">
        <w:rPr>
          <w:rFonts w:eastAsia="Times New Roman" w:cs="Times New Roman"/>
          <w:i/>
          <w:iCs/>
          <w:color w:val="000000"/>
        </w:rPr>
        <w:t>Drillon</w:t>
      </w:r>
      <w:proofErr w:type="spellEnd"/>
      <w:r w:rsidRPr="0001115F">
        <w:rPr>
          <w:rFonts w:eastAsia="Times New Roman" w:cs="Times New Roman"/>
          <w:color w:val="000000"/>
        </w:rPr>
        <w:t xml:space="preserve"> or offers any meaningful response to the point respondents make on the strength of it.</w:t>
      </w:r>
    </w:p>
    <w:p w14:paraId="1E57F61B" w14:textId="77777777" w:rsidR="00AB000C" w:rsidRDefault="00570B35" w:rsidP="00AB000C">
      <w:pPr>
        <w:ind w:firstLine="720"/>
        <w:rPr>
          <w:color w:val="000000"/>
          <w:shd w:val="clear" w:color="auto" w:fill="FFFFFF"/>
        </w:rPr>
      </w:pPr>
      <w:r>
        <w:rPr>
          <w:rFonts w:eastAsia="Times New Roman" w:cs="Times New Roman"/>
          <w:color w:val="000000"/>
        </w:rPr>
        <w:t xml:space="preserve">The critical point </w:t>
      </w:r>
      <w:proofErr w:type="spellStart"/>
      <w:r w:rsidRPr="00E937A8">
        <w:rPr>
          <w:rFonts w:eastAsia="Times New Roman" w:cs="Times New Roman"/>
          <w:i/>
          <w:iCs/>
          <w:color w:val="000000"/>
        </w:rPr>
        <w:t>Drillon</w:t>
      </w:r>
      <w:proofErr w:type="spellEnd"/>
      <w:r w:rsidRPr="00E937A8">
        <w:rPr>
          <w:rFonts w:eastAsia="Times New Roman" w:cs="Times New Roman"/>
          <w:i/>
          <w:iCs/>
          <w:color w:val="000000"/>
        </w:rPr>
        <w:t xml:space="preserve"> </w:t>
      </w:r>
      <w:r>
        <w:rPr>
          <w:rFonts w:eastAsia="Times New Roman" w:cs="Times New Roman"/>
          <w:color w:val="000000"/>
        </w:rPr>
        <w:t>illustrates is that, p</w:t>
      </w:r>
      <w:r w:rsidRPr="0001115F">
        <w:rPr>
          <w:rFonts w:eastAsia="Times New Roman" w:cs="Times New Roman"/>
          <w:color w:val="000000"/>
        </w:rPr>
        <w:t>rior to 1918, i</w:t>
      </w:r>
      <w:r w:rsidRPr="0001115F">
        <w:rPr>
          <w:color w:val="000000"/>
          <w:shd w:val="clear" w:color="auto" w:fill="FFFFFF"/>
        </w:rPr>
        <w:t>ndependent contractor status was nothing more than an employer’s defense, subject to pr</w:t>
      </w:r>
      <w:r w:rsidRPr="0001115F">
        <w:rPr>
          <w:color w:val="000000"/>
          <w:shd w:val="clear" w:color="auto" w:fill="FFFFFF"/>
        </w:rPr>
        <w:t>oof on a case-by-case basis in workers</w:t>
      </w:r>
      <w:r>
        <w:rPr>
          <w:color w:val="000000"/>
          <w:shd w:val="clear" w:color="auto" w:fill="FFFFFF"/>
        </w:rPr>
        <w:t>’</w:t>
      </w:r>
      <w:r w:rsidRPr="0001115F">
        <w:rPr>
          <w:color w:val="000000"/>
          <w:shd w:val="clear" w:color="auto" w:fill="FFFFFF"/>
        </w:rPr>
        <w:t xml:space="preserve"> compensation proceedings before an administrative tribunal that exercised judicial power, subject to </w:t>
      </w:r>
      <w:r w:rsidRPr="00AB543C">
        <w:rPr>
          <w:color w:val="000000"/>
          <w:shd w:val="clear" w:color="auto" w:fill="FFFFFF"/>
        </w:rPr>
        <w:t>review in the Court</w:t>
      </w:r>
      <w:r w:rsidRPr="1DCF448D">
        <w:rPr>
          <w:color w:val="000000" w:themeColor="text1"/>
        </w:rPr>
        <w:t>s</w:t>
      </w:r>
      <w:r w:rsidRPr="00AB543C">
        <w:rPr>
          <w:color w:val="000000"/>
          <w:shd w:val="clear" w:color="auto" w:fill="FFFFFF"/>
        </w:rPr>
        <w:t xml:space="preserve"> of Appeal.  </w:t>
      </w:r>
      <w:r>
        <w:rPr>
          <w:color w:val="000000"/>
          <w:shd w:val="clear" w:color="auto" w:fill="FFFFFF"/>
        </w:rPr>
        <w:t>The 1917 Act defined the term “independent contractor” in the same way the Supreme</w:t>
      </w:r>
      <w:r>
        <w:rPr>
          <w:color w:val="000000"/>
          <w:shd w:val="clear" w:color="auto" w:fill="FFFFFF"/>
        </w:rPr>
        <w:t xml:space="preserve"> Court applied the concept twenty-five years later in </w:t>
      </w:r>
      <w:proofErr w:type="spellStart"/>
      <w:r w:rsidRPr="00590C83">
        <w:rPr>
          <w:i/>
          <w:iCs/>
          <w:color w:val="000000"/>
          <w:shd w:val="clear" w:color="auto" w:fill="FFFFFF"/>
        </w:rPr>
        <w:t>Drillon</w:t>
      </w:r>
      <w:proofErr w:type="spellEnd"/>
      <w:r>
        <w:rPr>
          <w:color w:val="000000"/>
          <w:shd w:val="clear" w:color="auto" w:fill="FFFFFF"/>
        </w:rPr>
        <w:t xml:space="preserve">.  That statute provided, </w:t>
      </w:r>
      <w:r>
        <w:t>“The term ‘independent contractor’ shall be taken to mean, for purposes of this act:  Any person who renders service, other than manual labor, for a specified recompense</w:t>
      </w:r>
      <w:r>
        <w:t xml:space="preserve"> for a specified result, under the control of his principal as to the result of his work only and not as to </w:t>
      </w:r>
      <w:proofErr w:type="gramStart"/>
      <w:r>
        <w:t>the means by which</w:t>
      </w:r>
      <w:proofErr w:type="gramEnd"/>
      <w:r>
        <w:t xml:space="preserve"> such result is accomplished.”  </w:t>
      </w:r>
      <w:r w:rsidRPr="0030134C">
        <w:lastRenderedPageBreak/>
        <w:t>(</w:t>
      </w:r>
      <w:r w:rsidRPr="0030134C">
        <w:rPr>
          <w:color w:val="000000"/>
          <w:shd w:val="clear" w:color="auto" w:fill="FFFFFF"/>
        </w:rPr>
        <w:t xml:space="preserve">1917 Act, Stats. </w:t>
      </w:r>
      <w:r w:rsidRPr="0030134C">
        <w:rPr>
          <w:color w:val="000000"/>
          <w:bdr w:val="none" w:sz="0" w:space="0" w:color="auto" w:frame="1"/>
          <w:shd w:val="clear" w:color="auto" w:fill="FFFFFF"/>
        </w:rPr>
        <w:t>1917</w:t>
      </w:r>
      <w:r w:rsidRPr="0030134C">
        <w:rPr>
          <w:color w:val="000000"/>
          <w:shd w:val="clear" w:color="auto" w:fill="FFFFFF"/>
        </w:rPr>
        <w:t xml:space="preserve">, </w:t>
      </w:r>
      <w:proofErr w:type="spellStart"/>
      <w:r w:rsidRPr="0030134C">
        <w:rPr>
          <w:color w:val="000000"/>
          <w:shd w:val="clear" w:color="auto" w:fill="FFFFFF"/>
        </w:rPr>
        <w:t>ch.</w:t>
      </w:r>
      <w:proofErr w:type="spellEnd"/>
      <w:r w:rsidRPr="0030134C">
        <w:rPr>
          <w:color w:val="000000"/>
          <w:shd w:val="clear" w:color="auto" w:fill="FFFFFF"/>
        </w:rPr>
        <w:t> 586, § 8(b).)</w:t>
      </w:r>
      <w:r>
        <w:t xml:space="preserve">  And the people gave constitutional sanction to this definition in 1918.</w:t>
      </w:r>
    </w:p>
    <w:p w14:paraId="2F891E69" w14:textId="77777777" w:rsidR="00AB000C" w:rsidRDefault="00570B35" w:rsidP="00AB000C">
      <w:pPr>
        <w:ind w:firstLine="720"/>
        <w:rPr>
          <w:rFonts w:eastAsia="Times New Roman" w:cs="Times New Roman"/>
          <w:color w:val="000000"/>
          <w:bdr w:val="none" w:sz="0" w:space="0" w:color="auto" w:frame="1"/>
        </w:rPr>
      </w:pPr>
      <w:r w:rsidRPr="004C6FE8">
        <w:rPr>
          <w:color w:val="000000"/>
          <w:shd w:val="clear" w:color="auto" w:fill="FFFFFF"/>
        </w:rPr>
        <w:t>In passing</w:t>
      </w:r>
      <w:r w:rsidRPr="00AB543C">
        <w:rPr>
          <w:color w:val="000000"/>
          <w:shd w:val="clear" w:color="auto" w:fill="FFFFFF"/>
        </w:rPr>
        <w:t xml:space="preserve"> A</w:t>
      </w:r>
      <w:r>
        <w:rPr>
          <w:color w:val="000000"/>
          <w:shd w:val="clear" w:color="auto" w:fill="FFFFFF"/>
        </w:rPr>
        <w:t xml:space="preserve">ssembly </w:t>
      </w:r>
      <w:r w:rsidRPr="00AB543C">
        <w:rPr>
          <w:color w:val="000000"/>
          <w:shd w:val="clear" w:color="auto" w:fill="FFFFFF"/>
        </w:rPr>
        <w:t>B</w:t>
      </w:r>
      <w:r>
        <w:rPr>
          <w:color w:val="000000"/>
          <w:shd w:val="clear" w:color="auto" w:fill="FFFFFF"/>
        </w:rPr>
        <w:t>ill </w:t>
      </w:r>
      <w:r w:rsidRPr="00AB543C">
        <w:rPr>
          <w:color w:val="000000"/>
          <w:shd w:val="clear" w:color="auto" w:fill="FFFFFF"/>
        </w:rPr>
        <w:t>5</w:t>
      </w:r>
      <w:r>
        <w:rPr>
          <w:color w:val="000000"/>
          <w:shd w:val="clear" w:color="auto" w:fill="FFFFFF"/>
        </w:rPr>
        <w:t xml:space="preserve">, the Legislature codified </w:t>
      </w:r>
      <w:r w:rsidRPr="00A314D0">
        <w:rPr>
          <w:rFonts w:eastAsia="Times New Roman" w:cs="Times New Roman"/>
          <w:color w:val="000000"/>
          <w:shd w:val="clear" w:color="auto" w:fill="FFFFFF"/>
        </w:rPr>
        <w:t>the ABC test</w:t>
      </w:r>
      <w:r w:rsidRPr="00AB543C">
        <w:rPr>
          <w:rFonts w:eastAsia="Times New Roman" w:cs="Times New Roman"/>
          <w:color w:val="000000"/>
          <w:shd w:val="clear" w:color="auto" w:fill="FFFFFF"/>
        </w:rPr>
        <w:t xml:space="preserve"> recognized in </w:t>
      </w:r>
      <w:r w:rsidRPr="005A2083">
        <w:rPr>
          <w:rFonts w:eastAsia="Times New Roman" w:cs="Times New Roman"/>
          <w:i/>
          <w:iCs/>
          <w:color w:val="000000"/>
          <w:bdr w:val="none" w:sz="0" w:space="0" w:color="auto" w:frame="1"/>
        </w:rPr>
        <w:t>Dynamex</w:t>
      </w:r>
      <w:r>
        <w:rPr>
          <w:rFonts w:eastAsia="Times New Roman" w:cs="Times New Roman"/>
          <w:color w:val="000000"/>
        </w:rPr>
        <w:t xml:space="preserve">, </w:t>
      </w:r>
      <w:r w:rsidRPr="0043490F">
        <w:rPr>
          <w:rFonts w:eastAsia="Times New Roman" w:cs="Times New Roman"/>
          <w:i/>
          <w:iCs/>
          <w:color w:val="000000"/>
        </w:rPr>
        <w:t>supra</w:t>
      </w:r>
      <w:r>
        <w:rPr>
          <w:rFonts w:eastAsia="Times New Roman" w:cs="Times New Roman"/>
          <w:color w:val="000000"/>
        </w:rPr>
        <w:t>,</w:t>
      </w:r>
      <w:r w:rsidRPr="005A2083">
        <w:rPr>
          <w:rFonts w:eastAsia="Times New Roman" w:cs="Times New Roman"/>
          <w:color w:val="000000"/>
        </w:rPr>
        <w:t xml:space="preserve"> 4</w:t>
      </w:r>
      <w:r>
        <w:rPr>
          <w:rFonts w:eastAsia="Times New Roman" w:cs="Times New Roman"/>
          <w:color w:val="000000"/>
        </w:rPr>
        <w:t> </w:t>
      </w:r>
      <w:r w:rsidRPr="005A2083">
        <w:rPr>
          <w:rFonts w:eastAsia="Times New Roman" w:cs="Times New Roman"/>
          <w:color w:val="000000"/>
        </w:rPr>
        <w:t>Cal.5</w:t>
      </w:r>
      <w:r w:rsidRPr="0043490F">
        <w:rPr>
          <w:rFonts w:eastAsia="Times New Roman" w:cs="Times New Roman"/>
          <w:color w:val="000000"/>
        </w:rPr>
        <w:t>th</w:t>
      </w:r>
      <w:r w:rsidRPr="005A2083">
        <w:rPr>
          <w:rFonts w:eastAsia="Times New Roman" w:cs="Times New Roman"/>
          <w:color w:val="000000"/>
        </w:rPr>
        <w:t xml:space="preserve"> 903</w:t>
      </w:r>
      <w:r>
        <w:rPr>
          <w:rFonts w:eastAsia="Times New Roman" w:cs="Times New Roman"/>
          <w:color w:val="000000"/>
        </w:rPr>
        <w:t>,</w:t>
      </w:r>
      <w:r w:rsidRPr="00AB543C">
        <w:rPr>
          <w:rFonts w:eastAsia="Times New Roman" w:cs="Times New Roman"/>
          <w:color w:val="000000"/>
        </w:rPr>
        <w:t xml:space="preserve"> </w:t>
      </w:r>
      <w:r w:rsidRPr="00A314D0">
        <w:rPr>
          <w:rFonts w:eastAsia="Times New Roman" w:cs="Times New Roman"/>
          <w:color w:val="000000"/>
          <w:shd w:val="clear" w:color="auto" w:fill="FFFFFF"/>
        </w:rPr>
        <w:t xml:space="preserve">as the general rule </w:t>
      </w:r>
      <w:r>
        <w:rPr>
          <w:rFonts w:eastAsia="Times New Roman" w:cs="Times New Roman"/>
          <w:color w:val="000000"/>
          <w:shd w:val="clear" w:color="auto" w:fill="FFFFFF"/>
        </w:rPr>
        <w:t xml:space="preserve">to </w:t>
      </w:r>
      <w:r w:rsidRPr="00A314D0">
        <w:rPr>
          <w:rFonts w:eastAsia="Times New Roman" w:cs="Times New Roman"/>
          <w:color w:val="000000"/>
          <w:shd w:val="clear" w:color="auto" w:fill="FFFFFF"/>
        </w:rPr>
        <w:t xml:space="preserve">test for employee versus independent </w:t>
      </w:r>
      <w:r w:rsidRPr="00A314D0">
        <w:rPr>
          <w:rFonts w:eastAsia="Times New Roman" w:cs="Times New Roman"/>
          <w:color w:val="000000"/>
          <w:shd w:val="clear" w:color="auto" w:fill="FFFFFF"/>
        </w:rPr>
        <w:t>contractor status</w:t>
      </w:r>
      <w:r>
        <w:rPr>
          <w:rFonts w:eastAsia="Times New Roman" w:cs="Times New Roman"/>
          <w:color w:val="000000"/>
          <w:shd w:val="clear" w:color="auto" w:fill="FFFFFF"/>
        </w:rPr>
        <w:t xml:space="preserve"> under the “suffer or permit </w:t>
      </w:r>
      <w:r w:rsidRPr="00AE0FEB">
        <w:rPr>
          <w:rFonts w:eastAsia="Times New Roman" w:cs="Times New Roman"/>
          <w:color w:val="000000"/>
          <w:shd w:val="clear" w:color="auto" w:fill="FFFFFF"/>
        </w:rPr>
        <w:t xml:space="preserve">to work </w:t>
      </w:r>
      <w:r>
        <w:rPr>
          <w:rFonts w:eastAsia="Times New Roman" w:cs="Times New Roman"/>
          <w:color w:val="000000"/>
          <w:shd w:val="clear" w:color="auto" w:fill="FFFFFF"/>
        </w:rPr>
        <w:t>standard” (</w:t>
      </w:r>
      <w:r w:rsidRPr="00204C7C">
        <w:rPr>
          <w:rFonts w:eastAsia="Times New Roman" w:cs="Times New Roman"/>
          <w:i/>
          <w:color w:val="000000"/>
          <w:shd w:val="clear" w:color="auto" w:fill="FFFFFF"/>
        </w:rPr>
        <w:t>id</w:t>
      </w:r>
      <w:r w:rsidRPr="00204C7C">
        <w:rPr>
          <w:rFonts w:eastAsia="Times New Roman" w:cs="Times New Roman"/>
          <w:color w:val="000000"/>
          <w:shd w:val="clear" w:color="auto" w:fill="FFFFFF"/>
        </w:rPr>
        <w:t>. at pp. 965–967</w:t>
      </w:r>
      <w:r>
        <w:rPr>
          <w:rFonts w:eastAsia="Times New Roman" w:cs="Times New Roman"/>
          <w:color w:val="000000"/>
          <w:shd w:val="clear" w:color="auto" w:fill="FFFFFF"/>
        </w:rPr>
        <w:t>), “</w:t>
      </w:r>
      <w:r w:rsidRPr="00A314D0">
        <w:rPr>
          <w:rFonts w:eastAsia="Times New Roman" w:cs="Times New Roman"/>
          <w:color w:val="000000"/>
          <w:shd w:val="clear" w:color="auto" w:fill="FFFFFF"/>
        </w:rPr>
        <w:t>subject to a series of statutory exemptions</w:t>
      </w:r>
      <w:r>
        <w:rPr>
          <w:rFonts w:eastAsia="Times New Roman" w:cs="Times New Roman"/>
          <w:color w:val="000000"/>
          <w:shd w:val="clear" w:color="auto" w:fill="FFFFFF"/>
        </w:rPr>
        <w:t>”</w:t>
      </w:r>
      <w:r w:rsidRPr="00AB543C">
        <w:rPr>
          <w:rFonts w:eastAsia="Times New Roman" w:cs="Times New Roman"/>
          <w:color w:val="000000"/>
          <w:shd w:val="clear" w:color="auto" w:fill="FFFFFF"/>
        </w:rPr>
        <w:t xml:space="preserve"> for various industries (</w:t>
      </w:r>
      <w:r w:rsidRPr="00A314D0">
        <w:rPr>
          <w:rFonts w:eastAsia="Times New Roman" w:cs="Times New Roman"/>
          <w:i/>
          <w:iCs/>
          <w:color w:val="000000"/>
          <w:bdr w:val="none" w:sz="0" w:space="0" w:color="auto" w:frame="1"/>
        </w:rPr>
        <w:t>People v. Uber Technologies, Inc.</w:t>
      </w:r>
      <w:r>
        <w:rPr>
          <w:rFonts w:eastAsia="Times New Roman" w:cs="Times New Roman"/>
          <w:color w:val="000000"/>
        </w:rPr>
        <w:t xml:space="preserve"> </w:t>
      </w:r>
      <w:r w:rsidRPr="00A314D0">
        <w:rPr>
          <w:rFonts w:eastAsia="Times New Roman" w:cs="Times New Roman"/>
          <w:color w:val="000000"/>
        </w:rPr>
        <w:t>(2020) 56</w:t>
      </w:r>
      <w:r>
        <w:rPr>
          <w:rFonts w:eastAsia="Times New Roman" w:cs="Times New Roman"/>
          <w:color w:val="000000"/>
        </w:rPr>
        <w:t> </w:t>
      </w:r>
      <w:r w:rsidRPr="00A314D0">
        <w:rPr>
          <w:rFonts w:eastAsia="Times New Roman" w:cs="Times New Roman"/>
          <w:color w:val="000000"/>
        </w:rPr>
        <w:t>Cal.App.5</w:t>
      </w:r>
      <w:r>
        <w:rPr>
          <w:rFonts w:eastAsia="Times New Roman" w:cs="Times New Roman"/>
          <w:color w:val="000000"/>
        </w:rPr>
        <w:t>th</w:t>
      </w:r>
      <w:r w:rsidRPr="00A314D0">
        <w:rPr>
          <w:rFonts w:eastAsia="Times New Roman" w:cs="Times New Roman"/>
          <w:color w:val="000000"/>
        </w:rPr>
        <w:t xml:space="preserve"> 266, 27</w:t>
      </w:r>
      <w:r>
        <w:rPr>
          <w:rFonts w:eastAsia="Times New Roman" w:cs="Times New Roman"/>
          <w:color w:val="000000"/>
        </w:rPr>
        <w:t>7,</w:t>
      </w:r>
      <w:r w:rsidRPr="00AB543C">
        <w:rPr>
          <w:rFonts w:eastAsia="Times New Roman" w:cs="Times New Roman"/>
          <w:color w:val="000000"/>
        </w:rPr>
        <w:t xml:space="preserve"> fn.</w:t>
      </w:r>
      <w:r>
        <w:rPr>
          <w:rFonts w:eastAsia="Times New Roman" w:cs="Times New Roman"/>
          <w:color w:val="000000"/>
        </w:rPr>
        <w:t> </w:t>
      </w:r>
      <w:r w:rsidRPr="00AB543C">
        <w:rPr>
          <w:rFonts w:eastAsia="Times New Roman" w:cs="Times New Roman"/>
          <w:color w:val="000000"/>
        </w:rPr>
        <w:t>5</w:t>
      </w:r>
      <w:r w:rsidRPr="0093622F">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Pr>
          <w:rFonts w:eastAsia="Times New Roman" w:cs="Times New Roman"/>
          <w:color w:val="000000"/>
          <w:bdr w:val="none" w:sz="0" w:space="0" w:color="auto" w:frame="1"/>
        </w:rPr>
        <w:t xml:space="preserve">Under </w:t>
      </w:r>
      <w:r w:rsidRPr="00AB543C">
        <w:rPr>
          <w:color w:val="000000"/>
          <w:shd w:val="clear" w:color="auto" w:fill="FFFFFF"/>
        </w:rPr>
        <w:t>A</w:t>
      </w:r>
      <w:r>
        <w:rPr>
          <w:color w:val="000000"/>
          <w:shd w:val="clear" w:color="auto" w:fill="FFFFFF"/>
        </w:rPr>
        <w:t xml:space="preserve">ssembly </w:t>
      </w:r>
      <w:r w:rsidRPr="00AB543C">
        <w:rPr>
          <w:color w:val="000000"/>
          <w:shd w:val="clear" w:color="auto" w:fill="FFFFFF"/>
        </w:rPr>
        <w:t>B</w:t>
      </w:r>
      <w:r>
        <w:rPr>
          <w:color w:val="000000"/>
          <w:shd w:val="clear" w:color="auto" w:fill="FFFFFF"/>
        </w:rPr>
        <w:t>ill </w:t>
      </w:r>
      <w:r w:rsidRPr="00AB543C">
        <w:rPr>
          <w:color w:val="000000"/>
          <w:shd w:val="clear" w:color="auto" w:fill="FFFFFF"/>
        </w:rPr>
        <w:t>5</w:t>
      </w:r>
      <w:r>
        <w:rPr>
          <w:color w:val="000000"/>
          <w:shd w:val="clear" w:color="auto" w:fill="FFFFFF"/>
        </w:rPr>
        <w:t xml:space="preserve">, </w:t>
      </w:r>
      <w:r>
        <w:rPr>
          <w:rFonts w:eastAsia="Times New Roman" w:cs="Times New Roman"/>
          <w:color w:val="000000"/>
          <w:bdr w:val="none" w:sz="0" w:space="0" w:color="auto" w:frame="1"/>
        </w:rPr>
        <w:t>all putative employers must continue to litigate any issue of employee versus independent contractor status before the Workers’ Compensation Appeals Board, and ultimately in the Courts of Appeal if necessary.  Assembly Bill</w:t>
      </w:r>
      <w:r w:rsidRPr="00A01CBC">
        <w:rPr>
          <w:rFonts w:eastAsia="Times New Roman" w:cs="Times New Roman"/>
          <w:color w:val="000000"/>
          <w:bdr w:val="none" w:sz="0" w:space="0" w:color="auto" w:frame="1"/>
        </w:rPr>
        <w:t> </w:t>
      </w:r>
      <w:r>
        <w:rPr>
          <w:rFonts w:eastAsia="Times New Roman" w:cs="Times New Roman"/>
          <w:color w:val="000000"/>
          <w:bdr w:val="none" w:sz="0" w:space="0" w:color="auto" w:frame="1"/>
        </w:rPr>
        <w:t>5</w:t>
      </w:r>
      <w:r w:rsidRPr="00AB543C">
        <w:rPr>
          <w:rFonts w:eastAsia="Times New Roman" w:cs="Times New Roman"/>
          <w:color w:val="000000"/>
          <w:bdr w:val="none" w:sz="0" w:space="0" w:color="auto" w:frame="1"/>
        </w:rPr>
        <w:t xml:space="preserve"> simply confirmed</w:t>
      </w:r>
      <w:r>
        <w:rPr>
          <w:rFonts w:eastAsia="Times New Roman" w:cs="Times New Roman"/>
          <w:color w:val="000000"/>
          <w:bdr w:val="none" w:sz="0" w:space="0" w:color="auto" w:frame="1"/>
        </w:rPr>
        <w:t xml:space="preserve"> that, as a ge</w:t>
      </w:r>
      <w:r>
        <w:rPr>
          <w:rFonts w:eastAsia="Times New Roman" w:cs="Times New Roman"/>
          <w:color w:val="000000"/>
          <w:bdr w:val="none" w:sz="0" w:space="0" w:color="auto" w:frame="1"/>
        </w:rPr>
        <w:t xml:space="preserve">neral matter, </w:t>
      </w:r>
      <w:r w:rsidRPr="00AB543C">
        <w:rPr>
          <w:rFonts w:eastAsia="Times New Roman" w:cs="Times New Roman"/>
          <w:color w:val="000000"/>
          <w:bdr w:val="none" w:sz="0" w:space="0" w:color="auto" w:frame="1"/>
        </w:rPr>
        <w:t xml:space="preserve">the ABC test for independent contractor status </w:t>
      </w:r>
      <w:r>
        <w:rPr>
          <w:rFonts w:eastAsia="Times New Roman" w:cs="Times New Roman"/>
          <w:color w:val="000000"/>
          <w:bdr w:val="none" w:sz="0" w:space="0" w:color="auto" w:frame="1"/>
        </w:rPr>
        <w:t xml:space="preserve">governs, except that </w:t>
      </w:r>
      <w:r w:rsidRPr="00AB543C">
        <w:rPr>
          <w:rFonts w:eastAsia="Times New Roman" w:cs="Times New Roman"/>
          <w:color w:val="000000"/>
          <w:bdr w:val="none" w:sz="0" w:space="0" w:color="auto" w:frame="1"/>
        </w:rPr>
        <w:t xml:space="preserve">the more complex, multi-factor </w:t>
      </w:r>
      <w:proofErr w:type="spellStart"/>
      <w:r w:rsidRPr="00AB543C">
        <w:rPr>
          <w:rFonts w:eastAsia="Times New Roman" w:cs="Times New Roman"/>
          <w:i/>
          <w:iCs/>
          <w:color w:val="000000"/>
          <w:bdr w:val="none" w:sz="0" w:space="0" w:color="auto" w:frame="1"/>
        </w:rPr>
        <w:t>Borello</w:t>
      </w:r>
      <w:proofErr w:type="spellEnd"/>
      <w:r w:rsidRPr="00AB543C">
        <w:rPr>
          <w:rFonts w:eastAsia="Times New Roman" w:cs="Times New Roman"/>
          <w:color w:val="000000"/>
          <w:bdr w:val="none" w:sz="0" w:space="0" w:color="auto" w:frame="1"/>
        </w:rPr>
        <w:t xml:space="preserve"> test</w:t>
      </w:r>
      <w:r>
        <w:rPr>
          <w:rFonts w:eastAsia="Times New Roman" w:cs="Times New Roman"/>
          <w:color w:val="000000"/>
          <w:bdr w:val="none" w:sz="0" w:space="0" w:color="auto" w:frame="1"/>
        </w:rPr>
        <w:t xml:space="preserve"> governs in certain industries.</w:t>
      </w:r>
      <w:r>
        <w:rPr>
          <w:rFonts w:eastAsia="Times New Roman" w:cs="Times New Roman"/>
          <w:i/>
          <w:color w:val="000000"/>
          <w:bdr w:val="none" w:sz="0" w:space="0" w:color="auto" w:frame="1"/>
        </w:rPr>
        <w:t xml:space="preserve">  </w:t>
      </w:r>
      <w:r>
        <w:rPr>
          <w:rFonts w:eastAsia="Times New Roman" w:cs="Times New Roman"/>
          <w:color w:val="000000"/>
          <w:bdr w:val="none" w:sz="0" w:space="0" w:color="auto" w:frame="1"/>
        </w:rPr>
        <w:t xml:space="preserve">Both tests are consistent with the 1917 Act’s “independent contractor” definition and the “suffer </w:t>
      </w:r>
      <w:r>
        <w:rPr>
          <w:rFonts w:eastAsia="Times New Roman" w:cs="Times New Roman"/>
          <w:color w:val="000000"/>
          <w:bdr w:val="none" w:sz="0" w:space="0" w:color="auto" w:frame="1"/>
        </w:rPr>
        <w:t>or permit” standard courts use to apply that definition.</w:t>
      </w:r>
      <w:r>
        <w:rPr>
          <w:rStyle w:val="FootnoteReference"/>
          <w:rFonts w:eastAsia="Times New Roman" w:cs="Times New Roman"/>
          <w:color w:val="000000"/>
          <w:bdr w:val="none" w:sz="0" w:space="0" w:color="auto" w:frame="1"/>
        </w:rPr>
        <w:footnoteReference w:id="50"/>
      </w:r>
    </w:p>
    <w:p w14:paraId="3A606941" w14:textId="77777777" w:rsidR="00AB000C" w:rsidRDefault="00570B35" w:rsidP="00AB000C">
      <w:pPr>
        <w:ind w:firstLine="720"/>
      </w:pPr>
      <w:r>
        <w:rPr>
          <w:rFonts w:eastAsia="Times New Roman" w:cs="Times New Roman"/>
          <w:color w:val="000000"/>
          <w:bdr w:val="none" w:sz="0" w:space="0" w:color="auto" w:frame="1"/>
        </w:rPr>
        <w:lastRenderedPageBreak/>
        <w:t>Thus, in Assembly Bill 5 the</w:t>
      </w:r>
      <w:r w:rsidRPr="00AB543C">
        <w:rPr>
          <w:rFonts w:eastAsia="Times New Roman" w:cs="Times New Roman"/>
          <w:color w:val="000000"/>
          <w:bdr w:val="none" w:sz="0" w:space="0" w:color="auto" w:frame="1"/>
        </w:rPr>
        <w:t xml:space="preserve"> Legislature </w:t>
      </w:r>
      <w:r>
        <w:rPr>
          <w:rFonts w:eastAsia="Times New Roman" w:cs="Times New Roman"/>
          <w:color w:val="000000"/>
          <w:bdr w:val="none" w:sz="0" w:space="0" w:color="auto" w:frame="1"/>
        </w:rPr>
        <w:t xml:space="preserve">did not </w:t>
      </w:r>
      <w:r w:rsidRPr="00AB543C">
        <w:rPr>
          <w:rFonts w:eastAsia="Times New Roman" w:cs="Times New Roman"/>
          <w:color w:val="000000"/>
          <w:bdr w:val="none" w:sz="0" w:space="0" w:color="auto" w:frame="1"/>
        </w:rPr>
        <w:t xml:space="preserve">remove </w:t>
      </w:r>
      <w:r>
        <w:rPr>
          <w:rFonts w:eastAsia="Times New Roman" w:cs="Times New Roman"/>
          <w:color w:val="000000"/>
          <w:bdr w:val="none" w:sz="0" w:space="0" w:color="auto" w:frame="1"/>
        </w:rPr>
        <w:t>any of the</w:t>
      </w:r>
      <w:r w:rsidRPr="00AB543C">
        <w:rPr>
          <w:rFonts w:eastAsia="Times New Roman" w:cs="Times New Roman"/>
          <w:color w:val="000000"/>
          <w:bdr w:val="none" w:sz="0" w:space="0" w:color="auto" w:frame="1"/>
        </w:rPr>
        <w:t xml:space="preserve"> “exempted” industries from the workers</w:t>
      </w:r>
      <w:r>
        <w:rPr>
          <w:rFonts w:eastAsia="Times New Roman" w:cs="Times New Roman"/>
          <w:color w:val="000000"/>
          <w:bdr w:val="none" w:sz="0" w:space="0" w:color="auto" w:frame="1"/>
        </w:rPr>
        <w:t>’</w:t>
      </w:r>
      <w:r w:rsidRPr="00AB543C">
        <w:rPr>
          <w:rFonts w:eastAsia="Times New Roman" w:cs="Times New Roman"/>
          <w:color w:val="000000"/>
          <w:bdr w:val="none" w:sz="0" w:space="0" w:color="auto" w:frame="1"/>
        </w:rPr>
        <w:t xml:space="preserve"> compensation system entirely, which is the much more radical step that Proposition</w:t>
      </w:r>
      <w:r>
        <w:rPr>
          <w:rFonts w:eastAsia="Times New Roman" w:cs="Times New Roman"/>
          <w:color w:val="000000"/>
          <w:bdr w:val="none" w:sz="0" w:space="0" w:color="auto" w:frame="1"/>
        </w:rPr>
        <w:t> </w:t>
      </w:r>
      <w:r w:rsidRPr="00AB543C">
        <w:rPr>
          <w:rFonts w:eastAsia="Times New Roman" w:cs="Times New Roman"/>
          <w:color w:val="000000"/>
          <w:bdr w:val="none" w:sz="0" w:space="0" w:color="auto" w:frame="1"/>
        </w:rPr>
        <w:t>22 takes.</w:t>
      </w:r>
      <w:r>
        <w:rPr>
          <w:rFonts w:eastAsia="Times New Roman" w:cs="Times New Roman"/>
          <w:color w:val="000000"/>
          <w:bdr w:val="none" w:sz="0" w:space="0" w:color="auto" w:frame="1"/>
        </w:rPr>
        <w:t xml:space="preserve">  </w:t>
      </w:r>
      <w:r>
        <w:t>In the one situation prior to Proposition 22 where the Legislature created an industry-specific definition of the term “independent contractor” (see Bus. &amp; Prof.</w:t>
      </w:r>
      <w:r>
        <w:t xml:space="preserve"> Code, § 10032, </w:t>
      </w:r>
      <w:proofErr w:type="spellStart"/>
      <w:r>
        <w:t>subd</w:t>
      </w:r>
      <w:proofErr w:type="spellEnd"/>
      <w:r>
        <w:t>. (b) [certain real estate licensees]), there is an exception for workers’ compensation</w:t>
      </w:r>
      <w:r w:rsidRPr="00EB6BD7">
        <w:t xml:space="preserve"> (</w:t>
      </w:r>
      <w:r w:rsidRPr="00EB6BD7">
        <w:rPr>
          <w:i/>
          <w:iCs/>
        </w:rPr>
        <w:t>ibi</w:t>
      </w:r>
      <w:r w:rsidRPr="00A05669">
        <w:rPr>
          <w:i/>
          <w:iCs/>
        </w:rPr>
        <w:t>d.</w:t>
      </w:r>
      <w:r>
        <w:t xml:space="preserve"> [“For purposes of workers’ compensation the characterization of the relationship shall be governed by section 3200, and following, of the Lab</w:t>
      </w:r>
      <w:r>
        <w:t>or Code”]).</w:t>
      </w:r>
    </w:p>
    <w:p w14:paraId="1FB2A48D" w14:textId="77777777" w:rsidR="00AB000C" w:rsidRDefault="00570B35" w:rsidP="00AB000C">
      <w:pPr>
        <w:ind w:firstLine="720"/>
        <w:rPr>
          <w:rFonts w:eastAsia="Times New Roman" w:cs="Times New Roman"/>
          <w:color w:val="000000"/>
          <w:bdr w:val="none" w:sz="0" w:space="0" w:color="auto" w:frame="1"/>
        </w:rPr>
      </w:pPr>
      <w:r>
        <w:t>That makes Proposition 22 the first attempt in the history of California workers’ compensation to drop a class of wage workers in one industry entirely from the workers’ compensation system.  A telltale sign of the constitutional questions rais</w:t>
      </w:r>
      <w:r>
        <w:t>ed by this bold and unprecedented move is that, under the new statutory definition of “independent contractor,” the eligibility of app-share drivers for workers’ compensation benefits is determined strictly by the employer’s unilateral designation in a for</w:t>
      </w:r>
      <w:r>
        <w:t>m contract—contrary to the “suffer or permit” standard—</w:t>
      </w:r>
      <w:r>
        <w:lastRenderedPageBreak/>
        <w:t xml:space="preserve">which effectively bars these drivers from seeking to have their “employment” status adjudicated by a </w:t>
      </w:r>
      <w:r w:rsidRPr="00A75362">
        <w:t>decision maker</w:t>
      </w:r>
      <w:r>
        <w:t xml:space="preserve"> within the judicial branch.  The route is indirect, but the result is a violation of </w:t>
      </w:r>
      <w:r>
        <w:t>article III, section 3.</w:t>
      </w:r>
    </w:p>
    <w:p w14:paraId="235F8912" w14:textId="77777777" w:rsidR="00AB000C" w:rsidRPr="00A31993" w:rsidRDefault="00570B35" w:rsidP="00AB000C">
      <w:pPr>
        <w:keepNext/>
        <w:spacing w:before="120" w:after="120" w:line="240" w:lineRule="auto"/>
        <w:ind w:left="720" w:hanging="720"/>
        <w:rPr>
          <w:b/>
          <w:bCs/>
        </w:rPr>
      </w:pPr>
      <w:r w:rsidRPr="00657174">
        <w:rPr>
          <w:b/>
        </w:rPr>
        <w:t>IV.</w:t>
      </w:r>
      <w:r w:rsidRPr="00657174">
        <w:rPr>
          <w:b/>
        </w:rPr>
        <w:tab/>
        <w:t>The Argument That, in Proposition 22, Voter Electors Made a Garden-variety Policy Choice, Is Incorrect</w:t>
      </w:r>
    </w:p>
    <w:p w14:paraId="231A34D5" w14:textId="77777777" w:rsidR="00AB000C" w:rsidRDefault="00570B35" w:rsidP="00AB000C">
      <w:pPr>
        <w:ind w:firstLine="720"/>
      </w:pPr>
      <w:r w:rsidRPr="0001115F">
        <w:t>Pointing to the language in article XIV, section</w:t>
      </w:r>
      <w:r>
        <w:t> </w:t>
      </w:r>
      <w:r w:rsidRPr="0001115F">
        <w:t>4, empowering the Legislature to establish a “complete system of workers</w:t>
      </w:r>
      <w:r>
        <w:t>’</w:t>
      </w:r>
      <w:r w:rsidRPr="0001115F">
        <w:t xml:space="preserve"> co</w:t>
      </w:r>
      <w:r w:rsidRPr="0001115F">
        <w:t xml:space="preserve">mpensation” for “any </w:t>
      </w:r>
      <w:r>
        <w:t xml:space="preserve">or </w:t>
      </w:r>
      <w:r w:rsidRPr="0001115F">
        <w:t>all</w:t>
      </w:r>
      <w:r>
        <w:t xml:space="preserve"> . . . </w:t>
      </w:r>
      <w:r w:rsidRPr="0001115F">
        <w:t xml:space="preserve">workers,” the </w:t>
      </w:r>
      <w:r>
        <w:t xml:space="preserve">Proposition 22 proponents </w:t>
      </w:r>
      <w:r w:rsidRPr="0001115F">
        <w:t>contend that it was perfectly permissible to withdraw a segment of workers from the original statutory system by initiative statute, and to provide workplace accident benefits for th</w:t>
      </w:r>
      <w:r w:rsidRPr="0001115F">
        <w:t>at segment of workers in a new and different way.</w:t>
      </w:r>
      <w:r>
        <w:rPr>
          <w:rStyle w:val="FootnoteReference"/>
        </w:rPr>
        <w:footnoteReference w:id="51"/>
      </w:r>
      <w:r>
        <w:t xml:space="preserve">  There is nothing of significance to see here, we </w:t>
      </w:r>
      <w:r>
        <w:lastRenderedPageBreak/>
        <w:t>are told, because</w:t>
      </w:r>
      <w:r w:rsidRPr="0001115F">
        <w:t xml:space="preserve"> the voter electors simply exercise</w:t>
      </w:r>
      <w:r>
        <w:t>d</w:t>
      </w:r>
      <w:r w:rsidRPr="0001115F">
        <w:t xml:space="preserve"> a policy choice concerning who</w:t>
      </w:r>
      <w:r>
        <w:t>m</w:t>
      </w:r>
      <w:r w:rsidRPr="0001115F">
        <w:t xml:space="preserve"> to cover in the statutory workers</w:t>
      </w:r>
      <w:r>
        <w:t>’</w:t>
      </w:r>
      <w:r w:rsidRPr="0001115F">
        <w:t xml:space="preserve"> compensation system differently t</w:t>
      </w:r>
      <w:r w:rsidRPr="0001115F">
        <w:t>han the Legislature did.</w:t>
      </w:r>
    </w:p>
    <w:p w14:paraId="3F69992F" w14:textId="77777777" w:rsidR="00AB000C" w:rsidRPr="0001115F" w:rsidRDefault="00570B35" w:rsidP="00AB000C">
      <w:pPr>
        <w:ind w:firstLine="720"/>
      </w:pPr>
      <w:r w:rsidRPr="0001115F">
        <w:t xml:space="preserve">But this was no ordinary policy choice.  </w:t>
      </w:r>
      <w:r>
        <w:t xml:space="preserve">Proposition 22 overturned </w:t>
      </w:r>
      <w:r w:rsidRPr="0001115F">
        <w:t xml:space="preserve">a </w:t>
      </w:r>
      <w:r>
        <w:t xml:space="preserve">constitutionally ratified “social public </w:t>
      </w:r>
      <w:r w:rsidRPr="0001115F">
        <w:t>policy</w:t>
      </w:r>
      <w:r>
        <w:t>”</w:t>
      </w:r>
      <w:r w:rsidRPr="0001115F">
        <w:t xml:space="preserve"> choice the Legislature </w:t>
      </w:r>
      <w:r>
        <w:t xml:space="preserve">originally </w:t>
      </w:r>
      <w:r w:rsidRPr="0001115F">
        <w:t xml:space="preserve">made in </w:t>
      </w:r>
      <w:r>
        <w:t xml:space="preserve">the Boynton Act and the </w:t>
      </w:r>
      <w:r w:rsidRPr="0001115F">
        <w:t>191</w:t>
      </w:r>
      <w:r>
        <w:t>7 Act, and then reaffirmed in Assembly Bill </w:t>
      </w:r>
      <w:r>
        <w:t xml:space="preserve">5 in the course of discharging its ongoing duty to implement the “complete system of workers’ compensation” prescribed by article XIV, section 4.  It does not matter whether voter electors now have their own view, different from the Legislature’s view, of </w:t>
      </w:r>
      <w:r>
        <w:t>the appropriate statutory reach of that system.  What is dispositive in the face of conflict on this issue is that, as conditions changed over time, the Legislature was specifically tasked with making the call based on its view of what the Constitution req</w:t>
      </w:r>
      <w:r>
        <w:t>uired, and its call must be respected.</w:t>
      </w:r>
    </w:p>
    <w:p w14:paraId="512676B1" w14:textId="77777777" w:rsidR="00AB000C" w:rsidRDefault="00570B35" w:rsidP="00AB000C">
      <w:pPr>
        <w:ind w:firstLine="720"/>
        <w:rPr>
          <w:color w:val="000000"/>
          <w:shd w:val="clear" w:color="auto" w:fill="FFFFFF"/>
        </w:rPr>
      </w:pPr>
      <w:r w:rsidRPr="0001115F">
        <w:rPr>
          <w:color w:val="000000"/>
          <w:shd w:val="clear" w:color="auto" w:fill="FFFFFF"/>
        </w:rPr>
        <w:t>The “any or all</w:t>
      </w:r>
      <w:r>
        <w:rPr>
          <w:color w:val="000000"/>
          <w:shd w:val="clear" w:color="auto" w:fill="FFFFFF"/>
        </w:rPr>
        <w:t xml:space="preserve"> . . . </w:t>
      </w:r>
      <w:r w:rsidRPr="0001115F">
        <w:rPr>
          <w:color w:val="000000"/>
          <w:shd w:val="clear" w:color="auto" w:fill="FFFFFF"/>
        </w:rPr>
        <w:t>workers” language in article XIV, section</w:t>
      </w:r>
      <w:r>
        <w:rPr>
          <w:color w:val="000000"/>
          <w:shd w:val="clear" w:color="auto" w:fill="FFFFFF"/>
        </w:rPr>
        <w:t> </w:t>
      </w:r>
      <w:r w:rsidRPr="0001115F">
        <w:rPr>
          <w:color w:val="000000"/>
          <w:shd w:val="clear" w:color="auto" w:fill="FFFFFF"/>
        </w:rPr>
        <w:t xml:space="preserve">4, simply confirms that, by 1918, the Legislature had not covered all potentially eligible wage workers.  The coverage of the statutory scheme improved considerably between 1911 and 1918, but it was not fully comprehensive.  </w:t>
      </w:r>
      <w:r>
        <w:rPr>
          <w:color w:val="000000"/>
          <w:shd w:val="clear" w:color="auto" w:fill="FFFFFF"/>
        </w:rPr>
        <w:t>While t</w:t>
      </w:r>
      <w:r w:rsidRPr="0001115F">
        <w:rPr>
          <w:color w:val="000000"/>
          <w:shd w:val="clear" w:color="auto" w:fill="FFFFFF"/>
        </w:rPr>
        <w:t>he objective of moving f</w:t>
      </w:r>
      <w:r w:rsidRPr="0001115F">
        <w:rPr>
          <w:color w:val="000000"/>
          <w:shd w:val="clear" w:color="auto" w:fill="FFFFFF"/>
        </w:rPr>
        <w:t xml:space="preserve">rom a voluntary system to a compulsory system was to extend the reach of the statutory scheme, the </w:t>
      </w:r>
      <w:r>
        <w:rPr>
          <w:color w:val="000000"/>
          <w:shd w:val="clear" w:color="auto" w:fill="FFFFFF"/>
        </w:rPr>
        <w:t xml:space="preserve">1917 </w:t>
      </w:r>
      <w:r w:rsidRPr="0001115F">
        <w:rPr>
          <w:color w:val="000000"/>
          <w:shd w:val="clear" w:color="auto" w:fill="FFFFFF"/>
        </w:rPr>
        <w:t xml:space="preserve">Act </w:t>
      </w:r>
      <w:r>
        <w:rPr>
          <w:color w:val="000000"/>
          <w:shd w:val="clear" w:color="auto" w:fill="FFFFFF"/>
        </w:rPr>
        <w:t xml:space="preserve">still </w:t>
      </w:r>
      <w:r w:rsidRPr="0001115F">
        <w:rPr>
          <w:color w:val="000000"/>
          <w:shd w:val="clear" w:color="auto" w:fill="FFFFFF"/>
        </w:rPr>
        <w:t xml:space="preserve">fell short of universal coverage.  </w:t>
      </w:r>
      <w:r>
        <w:rPr>
          <w:color w:val="000000"/>
          <w:shd w:val="clear" w:color="auto" w:fill="FFFFFF"/>
        </w:rPr>
        <w:t>The 1917 Act</w:t>
      </w:r>
      <w:r w:rsidRPr="0001115F">
        <w:rPr>
          <w:color w:val="000000"/>
          <w:shd w:val="clear" w:color="auto" w:fill="FFFFFF"/>
        </w:rPr>
        <w:t xml:space="preserve"> did not cover “casual</w:t>
      </w:r>
      <w:r>
        <w:rPr>
          <w:color w:val="000000"/>
          <w:shd w:val="clear" w:color="auto" w:fill="FFFFFF"/>
        </w:rPr>
        <w:t>”</w:t>
      </w:r>
      <w:r w:rsidRPr="0001115F">
        <w:rPr>
          <w:color w:val="000000"/>
          <w:shd w:val="clear" w:color="auto" w:fill="FFFFFF"/>
        </w:rPr>
        <w:t xml:space="preserve"> workers; </w:t>
      </w:r>
      <w:r w:rsidRPr="0001115F">
        <w:rPr>
          <w:color w:val="000000"/>
          <w:shd w:val="clear" w:color="auto" w:fill="FFFFFF"/>
        </w:rPr>
        <w:lastRenderedPageBreak/>
        <w:t>it did not cover “domestic</w:t>
      </w:r>
      <w:r>
        <w:rPr>
          <w:color w:val="000000"/>
          <w:shd w:val="clear" w:color="auto" w:fill="FFFFFF"/>
        </w:rPr>
        <w:t>”</w:t>
      </w:r>
      <w:r w:rsidRPr="0001115F">
        <w:rPr>
          <w:color w:val="000000"/>
          <w:shd w:val="clear" w:color="auto" w:fill="FFFFFF"/>
        </w:rPr>
        <w:t xml:space="preserve"> workers; and it did not cover “agr</w:t>
      </w:r>
      <w:r w:rsidRPr="0001115F">
        <w:rPr>
          <w:color w:val="000000"/>
          <w:shd w:val="clear" w:color="auto" w:fill="FFFFFF"/>
        </w:rPr>
        <w:t>icultural</w:t>
      </w:r>
      <w:r>
        <w:rPr>
          <w:color w:val="000000"/>
          <w:shd w:val="clear" w:color="auto" w:fill="FFFFFF"/>
        </w:rPr>
        <w:t>”</w:t>
      </w:r>
      <w:r w:rsidRPr="0001115F">
        <w:rPr>
          <w:color w:val="000000"/>
          <w:shd w:val="clear" w:color="auto" w:fill="FFFFFF"/>
        </w:rPr>
        <w:t xml:space="preserve"> workers.</w:t>
      </w:r>
      <w:r>
        <w:rPr>
          <w:rStyle w:val="FootnoteReference"/>
          <w:color w:val="000000"/>
          <w:shd w:val="clear" w:color="auto" w:fill="FFFFFF"/>
        </w:rPr>
        <w:footnoteReference w:id="52"/>
      </w:r>
      <w:r w:rsidRPr="0001115F">
        <w:rPr>
          <w:color w:val="000000"/>
          <w:shd w:val="clear" w:color="auto" w:fill="FFFFFF"/>
        </w:rPr>
        <w:t xml:space="preserve"> </w:t>
      </w:r>
      <w:r>
        <w:rPr>
          <w:color w:val="000000"/>
          <w:shd w:val="clear" w:color="auto" w:fill="FFFFFF"/>
        </w:rPr>
        <w:t xml:space="preserve"> </w:t>
      </w:r>
      <w:r w:rsidRPr="0001115F">
        <w:rPr>
          <w:color w:val="000000"/>
          <w:shd w:val="clear" w:color="auto" w:fill="FFFFFF"/>
        </w:rPr>
        <w:t>“</w:t>
      </w:r>
      <w:r>
        <w:rPr>
          <w:color w:val="000000"/>
          <w:shd w:val="clear" w:color="auto" w:fill="FFFFFF"/>
        </w:rPr>
        <w:t>C</w:t>
      </w:r>
      <w:r w:rsidRPr="0001115F">
        <w:rPr>
          <w:color w:val="000000"/>
          <w:shd w:val="clear" w:color="auto" w:fill="FFFFFF"/>
        </w:rPr>
        <w:t>asual</w:t>
      </w:r>
      <w:r>
        <w:rPr>
          <w:color w:val="000000"/>
          <w:shd w:val="clear" w:color="auto" w:fill="FFFFFF"/>
        </w:rPr>
        <w:t>”</w:t>
      </w:r>
      <w:r w:rsidRPr="0001115F">
        <w:rPr>
          <w:color w:val="000000"/>
          <w:shd w:val="clear" w:color="auto" w:fill="FFFFFF"/>
        </w:rPr>
        <w:t xml:space="preserve"> workers </w:t>
      </w:r>
      <w:r>
        <w:rPr>
          <w:color w:val="000000"/>
          <w:shd w:val="clear" w:color="auto" w:fill="FFFFFF"/>
        </w:rPr>
        <w:t xml:space="preserve">were not considered wage workers under contracts for hire.  They were either volunteers or nominally paid temporary </w:t>
      </w:r>
      <w:r w:rsidRPr="0001115F">
        <w:rPr>
          <w:color w:val="000000"/>
          <w:shd w:val="clear" w:color="auto" w:fill="FFFFFF"/>
        </w:rPr>
        <w:t>workers</w:t>
      </w:r>
      <w:r>
        <w:rPr>
          <w:color w:val="000000"/>
          <w:shd w:val="clear" w:color="auto" w:fill="FFFFFF"/>
        </w:rPr>
        <w:t xml:space="preserve">, </w:t>
      </w:r>
      <w:r w:rsidRPr="0001115F">
        <w:rPr>
          <w:color w:val="000000"/>
          <w:shd w:val="clear" w:color="auto" w:fill="FFFFFF"/>
        </w:rPr>
        <w:t xml:space="preserve">and their </w:t>
      </w:r>
      <w:r>
        <w:rPr>
          <w:color w:val="000000"/>
          <w:shd w:val="clear" w:color="auto" w:fill="FFFFFF"/>
        </w:rPr>
        <w:t xml:space="preserve">status as non-employees </w:t>
      </w:r>
      <w:r w:rsidRPr="0001115F">
        <w:rPr>
          <w:color w:val="000000"/>
          <w:shd w:val="clear" w:color="auto" w:fill="FFFFFF"/>
        </w:rPr>
        <w:t xml:space="preserve">continues to be reflected in </w:t>
      </w:r>
      <w:r>
        <w:rPr>
          <w:color w:val="000000"/>
          <w:shd w:val="clear" w:color="auto" w:fill="FFFFFF"/>
        </w:rPr>
        <w:t>the Labor Code to this day</w:t>
      </w:r>
      <w:r w:rsidRPr="0001115F">
        <w:rPr>
          <w:color w:val="000000"/>
          <w:shd w:val="clear" w:color="auto" w:fill="FFFFFF"/>
        </w:rPr>
        <w:t>.</w:t>
      </w:r>
      <w:r>
        <w:rPr>
          <w:rStyle w:val="FootnoteReference"/>
          <w:color w:val="000000"/>
          <w:shd w:val="clear" w:color="auto" w:fill="FFFFFF"/>
        </w:rPr>
        <w:footnoteReference w:id="53"/>
      </w:r>
    </w:p>
    <w:p w14:paraId="4BA43D3E" w14:textId="77777777" w:rsidR="00AB000C" w:rsidRDefault="00570B35" w:rsidP="00AB000C">
      <w:pPr>
        <w:ind w:firstLine="720"/>
        <w:rPr>
          <w:shd w:val="clear" w:color="auto" w:fill="FFFFFF"/>
        </w:rPr>
      </w:pPr>
      <w:r w:rsidRPr="0001115F">
        <w:rPr>
          <w:color w:val="000000"/>
          <w:shd w:val="clear" w:color="auto" w:fill="FFFFFF"/>
        </w:rPr>
        <w:t xml:space="preserve">Why the Legislature </w:t>
      </w:r>
      <w:r>
        <w:rPr>
          <w:color w:val="000000"/>
          <w:shd w:val="clear" w:color="auto" w:fill="FFFFFF"/>
        </w:rPr>
        <w:t xml:space="preserve">created express carveouts for </w:t>
      </w:r>
      <w:r w:rsidRPr="0001115F">
        <w:rPr>
          <w:color w:val="000000"/>
          <w:shd w:val="clear" w:color="auto" w:fill="FFFFFF"/>
        </w:rPr>
        <w:t>“domestic</w:t>
      </w:r>
      <w:r>
        <w:rPr>
          <w:color w:val="000000"/>
          <w:shd w:val="clear" w:color="auto" w:fill="FFFFFF"/>
        </w:rPr>
        <w:t>”</w:t>
      </w:r>
      <w:r w:rsidRPr="0001115F">
        <w:rPr>
          <w:color w:val="000000"/>
          <w:shd w:val="clear" w:color="auto" w:fill="FFFFFF"/>
        </w:rPr>
        <w:t xml:space="preserve"> workers and “agricultural</w:t>
      </w:r>
      <w:r>
        <w:rPr>
          <w:color w:val="000000"/>
          <w:shd w:val="clear" w:color="auto" w:fill="FFFFFF"/>
        </w:rPr>
        <w:t>”</w:t>
      </w:r>
      <w:r w:rsidRPr="0001115F">
        <w:rPr>
          <w:color w:val="000000"/>
          <w:shd w:val="clear" w:color="auto" w:fill="FFFFFF"/>
        </w:rPr>
        <w:t xml:space="preserve"> workers is another story—and not a happy one, since these two groups consisted largely of workers of color—but what matters here is that the language “any or all</w:t>
      </w:r>
      <w:r>
        <w:rPr>
          <w:color w:val="000000"/>
          <w:shd w:val="clear" w:color="auto" w:fill="FFFFFF"/>
        </w:rPr>
        <w:t xml:space="preserve"> . . .</w:t>
      </w:r>
      <w:r w:rsidRPr="0001115F">
        <w:rPr>
          <w:color w:val="000000"/>
          <w:shd w:val="clear" w:color="auto" w:fill="FFFFFF"/>
        </w:rPr>
        <w:t xml:space="preserve"> workers” was broad enough </w:t>
      </w:r>
      <w:r>
        <w:rPr>
          <w:color w:val="000000"/>
          <w:shd w:val="clear" w:color="auto" w:fill="FFFFFF"/>
        </w:rPr>
        <w:t>to</w:t>
      </w:r>
      <w:r w:rsidRPr="0001115F">
        <w:rPr>
          <w:color w:val="000000"/>
          <w:shd w:val="clear" w:color="auto" w:fill="FFFFFF"/>
        </w:rPr>
        <w:t xml:space="preserve"> </w:t>
      </w:r>
      <w:r>
        <w:rPr>
          <w:color w:val="000000"/>
          <w:shd w:val="clear" w:color="auto" w:fill="FFFFFF"/>
        </w:rPr>
        <w:t>do two things.  It not only d</w:t>
      </w:r>
      <w:r w:rsidRPr="0001115F">
        <w:rPr>
          <w:color w:val="000000"/>
          <w:shd w:val="clear" w:color="auto" w:fill="FFFFFF"/>
        </w:rPr>
        <w:t>escrib</w:t>
      </w:r>
      <w:r>
        <w:rPr>
          <w:color w:val="000000"/>
          <w:shd w:val="clear" w:color="auto" w:fill="FFFFFF"/>
        </w:rPr>
        <w:t>ed</w:t>
      </w:r>
      <w:r w:rsidRPr="0001115F">
        <w:rPr>
          <w:color w:val="000000"/>
          <w:shd w:val="clear" w:color="auto" w:fill="FFFFFF"/>
        </w:rPr>
        <w:t xml:space="preserve"> the less-than-compre</w:t>
      </w:r>
      <w:r w:rsidRPr="0001115F">
        <w:rPr>
          <w:color w:val="000000"/>
          <w:shd w:val="clear" w:color="auto" w:fill="FFFFFF"/>
        </w:rPr>
        <w:t xml:space="preserve">hensive coverage the </w:t>
      </w:r>
      <w:r w:rsidRPr="0001115F">
        <w:rPr>
          <w:color w:val="000000"/>
          <w:shd w:val="clear" w:color="auto" w:fill="FFFFFF"/>
        </w:rPr>
        <w:lastRenderedPageBreak/>
        <w:t xml:space="preserve">Legislature had enacted by 1918, </w:t>
      </w:r>
      <w:r>
        <w:rPr>
          <w:color w:val="000000"/>
          <w:shd w:val="clear" w:color="auto" w:fill="FFFFFF"/>
        </w:rPr>
        <w:t>but a</w:t>
      </w:r>
      <w:r w:rsidRPr="0001115F">
        <w:rPr>
          <w:color w:val="000000"/>
          <w:shd w:val="clear" w:color="auto" w:fill="FFFFFF"/>
        </w:rPr>
        <w:t>t the same time confirm</w:t>
      </w:r>
      <w:r>
        <w:rPr>
          <w:color w:val="000000"/>
          <w:shd w:val="clear" w:color="auto" w:fill="FFFFFF"/>
        </w:rPr>
        <w:t xml:space="preserve">ed </w:t>
      </w:r>
      <w:r w:rsidRPr="0001115F">
        <w:rPr>
          <w:color w:val="000000"/>
          <w:shd w:val="clear" w:color="auto" w:fill="FFFFFF"/>
        </w:rPr>
        <w:t xml:space="preserve">the Legislature’s authority—if it wished to exercise it—to </w:t>
      </w:r>
      <w:r>
        <w:rPr>
          <w:color w:val="000000"/>
          <w:shd w:val="clear" w:color="auto" w:fill="FFFFFF"/>
        </w:rPr>
        <w:t xml:space="preserve">allow further expansion in the future.  The Legislature exercised that authority </w:t>
      </w:r>
      <w:r w:rsidRPr="00BD382D">
        <w:rPr>
          <w:shd w:val="clear" w:color="auto" w:fill="FFFFFF"/>
        </w:rPr>
        <w:t>in 1959 for “agricultural</w:t>
      </w:r>
      <w:r>
        <w:rPr>
          <w:shd w:val="clear" w:color="auto" w:fill="FFFFFF"/>
        </w:rPr>
        <w:t>”</w:t>
      </w:r>
      <w:r w:rsidRPr="00BD382D">
        <w:rPr>
          <w:shd w:val="clear" w:color="auto" w:fill="FFFFFF"/>
        </w:rPr>
        <w:t xml:space="preserve"> work</w:t>
      </w:r>
      <w:r w:rsidRPr="00BD382D">
        <w:rPr>
          <w:shd w:val="clear" w:color="auto" w:fill="FFFFFF"/>
        </w:rPr>
        <w:t>ers</w:t>
      </w:r>
      <w:r>
        <w:rPr>
          <w:rStyle w:val="FootnoteReference"/>
          <w:shd w:val="clear" w:color="auto" w:fill="FFFFFF"/>
        </w:rPr>
        <w:footnoteReference w:id="54"/>
      </w:r>
      <w:r w:rsidRPr="00BD382D">
        <w:rPr>
          <w:shd w:val="clear" w:color="auto" w:fill="FFFFFF"/>
        </w:rPr>
        <w:t xml:space="preserve"> and </w:t>
      </w:r>
      <w:r>
        <w:rPr>
          <w:shd w:val="clear" w:color="auto" w:fill="FFFFFF"/>
        </w:rPr>
        <w:t xml:space="preserve">again </w:t>
      </w:r>
      <w:r w:rsidRPr="00BD382D">
        <w:rPr>
          <w:shd w:val="clear" w:color="auto" w:fill="FFFFFF"/>
        </w:rPr>
        <w:t>in 1975 for “domestic</w:t>
      </w:r>
      <w:r>
        <w:rPr>
          <w:shd w:val="clear" w:color="auto" w:fill="FFFFFF"/>
        </w:rPr>
        <w:t>”</w:t>
      </w:r>
      <w:r w:rsidRPr="00BD382D">
        <w:rPr>
          <w:shd w:val="clear" w:color="auto" w:fill="FFFFFF"/>
        </w:rPr>
        <w:t xml:space="preserve"> workers.</w:t>
      </w:r>
      <w:r>
        <w:rPr>
          <w:rStyle w:val="FootnoteReference"/>
          <w:shd w:val="clear" w:color="auto" w:fill="FFFFFF"/>
        </w:rPr>
        <w:footnoteReference w:id="55"/>
      </w:r>
      <w:r w:rsidRPr="00BD382D">
        <w:rPr>
          <w:shd w:val="clear" w:color="auto" w:fill="FFFFFF"/>
        </w:rPr>
        <w:t xml:space="preserve">  </w:t>
      </w:r>
      <w:r>
        <w:rPr>
          <w:shd w:val="clear" w:color="auto" w:fill="FFFFFF"/>
        </w:rPr>
        <w:t xml:space="preserve">Voter electors could have done the same thing by initiative statute.  The holding in </w:t>
      </w:r>
      <w:r>
        <w:rPr>
          <w:i/>
          <w:iCs/>
        </w:rPr>
        <w:t>McPherson</w:t>
      </w:r>
      <w:r>
        <w:rPr>
          <w:shd w:val="clear" w:color="auto" w:fill="FFFFFF"/>
        </w:rPr>
        <w:t xml:space="preserve"> confirms that.  The eventual inclusion of those disfavored groups was a mark of progress, </w:t>
      </w:r>
      <w:r w:rsidRPr="00BD382D">
        <w:rPr>
          <w:shd w:val="clear" w:color="auto" w:fill="FFFFFF"/>
        </w:rPr>
        <w:t>but it did not throw open the original core of the “complete system of workers</w:t>
      </w:r>
      <w:r>
        <w:rPr>
          <w:shd w:val="clear" w:color="auto" w:fill="FFFFFF"/>
        </w:rPr>
        <w:t>’</w:t>
      </w:r>
      <w:r w:rsidRPr="00BD382D">
        <w:rPr>
          <w:shd w:val="clear" w:color="auto" w:fill="FFFFFF"/>
        </w:rPr>
        <w:t xml:space="preserve"> compensation” for later statutory revision.</w:t>
      </w:r>
      <w:r>
        <w:rPr>
          <w:shd w:val="clear" w:color="auto" w:fill="FFFFFF"/>
        </w:rPr>
        <w:t xml:space="preserve">  T</w:t>
      </w:r>
      <w:r w:rsidRPr="00BD382D">
        <w:rPr>
          <w:shd w:val="clear" w:color="auto" w:fill="FFFFFF"/>
        </w:rPr>
        <w:t>he holding</w:t>
      </w:r>
      <w:r>
        <w:rPr>
          <w:shd w:val="clear" w:color="auto" w:fill="FFFFFF"/>
        </w:rPr>
        <w:t>s</w:t>
      </w:r>
      <w:r w:rsidRPr="00BD382D">
        <w:rPr>
          <w:shd w:val="clear" w:color="auto" w:fill="FFFFFF"/>
        </w:rPr>
        <w:t xml:space="preserve"> in </w:t>
      </w:r>
      <w:r w:rsidRPr="00BD382D">
        <w:rPr>
          <w:i/>
          <w:iCs/>
          <w:shd w:val="clear" w:color="auto" w:fill="FFFFFF"/>
        </w:rPr>
        <w:t xml:space="preserve">Mathews </w:t>
      </w:r>
      <w:r w:rsidRPr="00AD6C1C">
        <w:rPr>
          <w:shd w:val="clear" w:color="auto" w:fill="FFFFFF"/>
        </w:rPr>
        <w:t>and</w:t>
      </w:r>
      <w:r>
        <w:rPr>
          <w:i/>
          <w:iCs/>
          <w:shd w:val="clear" w:color="auto" w:fill="FFFFFF"/>
        </w:rPr>
        <w:t xml:space="preserve"> </w:t>
      </w:r>
      <w:proofErr w:type="spellStart"/>
      <w:r>
        <w:rPr>
          <w:i/>
          <w:iCs/>
          <w:shd w:val="clear" w:color="auto" w:fill="FFFFFF"/>
        </w:rPr>
        <w:t>Hustedt</w:t>
      </w:r>
      <w:proofErr w:type="spellEnd"/>
      <w:r>
        <w:rPr>
          <w:i/>
          <w:iCs/>
          <w:shd w:val="clear" w:color="auto" w:fill="FFFFFF"/>
        </w:rPr>
        <w:t xml:space="preserve"> </w:t>
      </w:r>
      <w:r w:rsidRPr="00BD382D">
        <w:rPr>
          <w:shd w:val="clear" w:color="auto" w:fill="FFFFFF"/>
        </w:rPr>
        <w:t>conf</w:t>
      </w:r>
      <w:r w:rsidRPr="00BD382D">
        <w:rPr>
          <w:shd w:val="clear" w:color="auto" w:fill="FFFFFF"/>
        </w:rPr>
        <w:t>irm that.</w:t>
      </w:r>
    </w:p>
    <w:p w14:paraId="76CE3E4D" w14:textId="77777777" w:rsidR="00AB000C" w:rsidRDefault="00570B35" w:rsidP="00AB000C">
      <w:pPr>
        <w:ind w:firstLine="720"/>
      </w:pPr>
      <w:r>
        <w:rPr>
          <w:shd w:val="clear" w:color="auto" w:fill="FFFFFF"/>
        </w:rPr>
        <w:t xml:space="preserve">The Proposition 22 proponents cite various cases holding that the workers’ compensation system is statutory and that </w:t>
      </w:r>
      <w:r>
        <w:rPr>
          <w:shd w:val="clear" w:color="auto" w:fill="FFFFFF"/>
        </w:rPr>
        <w:lastRenderedPageBreak/>
        <w:t xml:space="preserve">courts have consistently rejected constitutional challenges when the Legislature has made changes to the system.  (See, </w:t>
      </w:r>
      <w:r w:rsidRPr="003601D6">
        <w:t>e.g.</w:t>
      </w:r>
      <w:r>
        <w:t>,</w:t>
      </w:r>
      <w:r w:rsidRPr="003601D6">
        <w:t xml:space="preserve"> </w:t>
      </w:r>
      <w:r w:rsidRPr="003601D6">
        <w:rPr>
          <w:i/>
          <w:iCs/>
        </w:rPr>
        <w:t>Ste</w:t>
      </w:r>
      <w:r w:rsidRPr="003601D6">
        <w:rPr>
          <w:i/>
          <w:iCs/>
        </w:rPr>
        <w:t>vens</w:t>
      </w:r>
      <w:r>
        <w:t xml:space="preserve">, </w:t>
      </w:r>
      <w:r w:rsidRPr="0050291E">
        <w:rPr>
          <w:i/>
          <w:iCs/>
        </w:rPr>
        <w:t>supra</w:t>
      </w:r>
      <w:r>
        <w:t>,</w:t>
      </w:r>
      <w:r w:rsidRPr="003601D6">
        <w:t xml:space="preserve"> 241</w:t>
      </w:r>
      <w:r>
        <w:t> </w:t>
      </w:r>
      <w:r w:rsidRPr="003601D6">
        <w:t xml:space="preserve">Cal.App.4th </w:t>
      </w:r>
      <w:r>
        <w:t>at pp. </w:t>
      </w:r>
      <w:r w:rsidRPr="003601D6">
        <w:t xml:space="preserve">1094–1096 </w:t>
      </w:r>
      <w:r>
        <w:t xml:space="preserve">[statute eliminating </w:t>
      </w:r>
      <w:r w:rsidRPr="003601D6">
        <w:t>workers</w:t>
      </w:r>
      <w:r>
        <w:t>’</w:t>
      </w:r>
      <w:r w:rsidRPr="003601D6">
        <w:t xml:space="preserve"> compensation board</w:t>
      </w:r>
      <w:r>
        <w:t xml:space="preserve">’s authority </w:t>
      </w:r>
      <w:r w:rsidRPr="003601D6">
        <w:t>to determine medical necessity of treatment and vesting</w:t>
      </w:r>
      <w:r>
        <w:t xml:space="preserve"> such authority </w:t>
      </w:r>
      <w:r w:rsidRPr="003601D6">
        <w:t>in an independent medical review organization</w:t>
      </w:r>
      <w:r>
        <w:t xml:space="preserve">]; </w:t>
      </w:r>
      <w:r w:rsidRPr="003601D6">
        <w:rPr>
          <w:rFonts w:eastAsia="Times New Roman" w:cs="Times New Roman"/>
          <w:i/>
          <w:iCs/>
          <w:color w:val="000000"/>
          <w:bdr w:val="none" w:sz="0" w:space="0" w:color="auto" w:frame="1"/>
        </w:rPr>
        <w:t>Wal</w:t>
      </w:r>
      <w:r>
        <w:rPr>
          <w:rFonts w:eastAsia="Times New Roman" w:cs="Times New Roman"/>
          <w:i/>
          <w:iCs/>
          <w:color w:val="000000"/>
          <w:bdr w:val="none" w:sz="0" w:space="0" w:color="auto" w:frame="1"/>
        </w:rPr>
        <w:noBreakHyphen/>
      </w:r>
      <w:r w:rsidRPr="003601D6">
        <w:rPr>
          <w:rFonts w:eastAsia="Times New Roman" w:cs="Times New Roman"/>
          <w:i/>
          <w:iCs/>
          <w:color w:val="000000"/>
          <w:bdr w:val="none" w:sz="0" w:space="0" w:color="auto" w:frame="1"/>
        </w:rPr>
        <w:t>Mart Stores</w:t>
      </w:r>
      <w:r>
        <w:rPr>
          <w:rFonts w:eastAsia="Times New Roman" w:cs="Times New Roman"/>
          <w:i/>
          <w:iCs/>
          <w:color w:val="000000"/>
          <w:bdr w:val="none" w:sz="0" w:space="0" w:color="auto" w:frame="1"/>
        </w:rPr>
        <w:t>, Inc.</w:t>
      </w:r>
      <w:r w:rsidRPr="003601D6">
        <w:rPr>
          <w:rFonts w:eastAsia="Times New Roman" w:cs="Times New Roman"/>
          <w:i/>
          <w:iCs/>
          <w:color w:val="000000"/>
          <w:bdr w:val="none" w:sz="0" w:space="0" w:color="auto" w:frame="1"/>
        </w:rPr>
        <w:t xml:space="preserve"> v. Worke</w:t>
      </w:r>
      <w:r w:rsidRPr="003601D6">
        <w:rPr>
          <w:rFonts w:eastAsia="Times New Roman" w:cs="Times New Roman"/>
          <w:i/>
          <w:iCs/>
          <w:color w:val="000000"/>
          <w:bdr w:val="none" w:sz="0" w:space="0" w:color="auto" w:frame="1"/>
        </w:rPr>
        <w:t>rs</w:t>
      </w:r>
      <w:r>
        <w:rPr>
          <w:rFonts w:eastAsia="Times New Roman" w:cs="Times New Roman"/>
          <w:i/>
          <w:iCs/>
          <w:color w:val="000000"/>
          <w:bdr w:val="none" w:sz="0" w:space="0" w:color="auto" w:frame="1"/>
        </w:rPr>
        <w:t>’</w:t>
      </w:r>
      <w:r w:rsidRPr="003601D6">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3601D6">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3601D6">
        <w:rPr>
          <w:rFonts w:eastAsia="Times New Roman" w:cs="Times New Roman"/>
          <w:color w:val="000000"/>
        </w:rPr>
        <w:t>(2003) 112</w:t>
      </w:r>
      <w:r>
        <w:rPr>
          <w:rFonts w:eastAsia="Times New Roman" w:cs="Times New Roman"/>
          <w:color w:val="000000"/>
        </w:rPr>
        <w:t> </w:t>
      </w:r>
      <w:r w:rsidRPr="003601D6">
        <w:rPr>
          <w:rFonts w:eastAsia="Times New Roman" w:cs="Times New Roman"/>
          <w:color w:val="000000"/>
        </w:rPr>
        <w:t xml:space="preserve">Cal.App.4th 1435 </w:t>
      </w:r>
      <w:r>
        <w:rPr>
          <w:rFonts w:eastAsia="Times New Roman" w:cs="Times New Roman"/>
          <w:color w:val="000000"/>
        </w:rPr>
        <w:t xml:space="preserve">[statute </w:t>
      </w:r>
      <w:r w:rsidRPr="003601D6">
        <w:rPr>
          <w:rFonts w:eastAsia="Times New Roman" w:cs="Times New Roman"/>
          <w:color w:val="000000"/>
        </w:rPr>
        <w:t>limiting workers</w:t>
      </w:r>
      <w:r>
        <w:rPr>
          <w:rFonts w:eastAsia="Times New Roman" w:cs="Times New Roman"/>
          <w:color w:val="000000"/>
        </w:rPr>
        <w:t>’</w:t>
      </w:r>
      <w:r w:rsidRPr="003601D6">
        <w:rPr>
          <w:rFonts w:eastAsia="Times New Roman" w:cs="Times New Roman"/>
          <w:color w:val="000000"/>
        </w:rPr>
        <w:t xml:space="preserve"> compensation liability for benefits payable to treat psychiatric injury to workers employed for more than six</w:t>
      </w:r>
      <w:r>
        <w:rPr>
          <w:rFonts w:eastAsia="Times New Roman" w:cs="Times New Roman"/>
          <w:color w:val="000000"/>
        </w:rPr>
        <w:t xml:space="preserve"> </w:t>
      </w:r>
      <w:r w:rsidRPr="003601D6">
        <w:rPr>
          <w:rFonts w:eastAsia="Times New Roman" w:cs="Times New Roman"/>
          <w:color w:val="000000"/>
        </w:rPr>
        <w:t>months, unless the injury was caused by a sudden and extraordinary employment condition, held to be consistent with article XIV, section</w:t>
      </w:r>
      <w:r>
        <w:rPr>
          <w:rFonts w:eastAsia="Times New Roman" w:cs="Times New Roman"/>
          <w:color w:val="000000"/>
        </w:rPr>
        <w:t> </w:t>
      </w:r>
      <w:r w:rsidRPr="003601D6">
        <w:rPr>
          <w:rFonts w:eastAsia="Times New Roman" w:cs="Times New Roman"/>
          <w:color w:val="000000"/>
        </w:rPr>
        <w:t>4</w:t>
      </w:r>
      <w:r>
        <w:rPr>
          <w:rFonts w:eastAsia="Times New Roman" w:cs="Times New Roman"/>
          <w:color w:val="000000"/>
        </w:rPr>
        <w:t>].)</w:t>
      </w:r>
    </w:p>
    <w:p w14:paraId="6138F473" w14:textId="77777777" w:rsidR="00AB000C" w:rsidRDefault="00570B35" w:rsidP="00AB000C">
      <w:pPr>
        <w:ind w:firstLine="720"/>
        <w:rPr>
          <w:shd w:val="clear" w:color="auto" w:fill="FFFFFF"/>
        </w:rPr>
      </w:pPr>
      <w:r>
        <w:t>The</w:t>
      </w:r>
      <w:r>
        <w:t>se cases resolve nothing here.  Courts have long recognized that the Legislature must be given wide berth to adjust and refine the workers’ compensation system to meet the needs of the day, a notion that is fully consistent with my reading of article XIV</w:t>
      </w:r>
      <w:r w:rsidRPr="00DA2D5E">
        <w:t xml:space="preserve">, </w:t>
      </w:r>
      <w:r w:rsidRPr="00DA2D5E">
        <w:t>section</w:t>
      </w:r>
      <w:r>
        <w:t> </w:t>
      </w:r>
      <w:r w:rsidRPr="00DA2D5E">
        <w:t>4.  (</w:t>
      </w:r>
      <w:r w:rsidRPr="00EC4990">
        <w:t>See</w:t>
      </w:r>
      <w:r w:rsidRPr="00DA2D5E">
        <w:t xml:space="preserve"> </w:t>
      </w:r>
      <w:r w:rsidRPr="00DA2D5E">
        <w:rPr>
          <w:i/>
          <w:iCs/>
        </w:rPr>
        <w:t>Stevens</w:t>
      </w:r>
      <w:r w:rsidRPr="00DA2D5E">
        <w:t xml:space="preserve">, </w:t>
      </w:r>
      <w:r w:rsidRPr="00DA2D5E">
        <w:rPr>
          <w:i/>
          <w:iCs/>
        </w:rPr>
        <w:t>supra</w:t>
      </w:r>
      <w:r w:rsidRPr="00DA2D5E">
        <w:t xml:space="preserve">, </w:t>
      </w:r>
      <w:r w:rsidRPr="00DA2D5E">
        <w:rPr>
          <w:rFonts w:eastAsia="Times New Roman" w:cs="Times New Roman"/>
          <w:color w:val="000000"/>
        </w:rPr>
        <w:t>241</w:t>
      </w:r>
      <w:r>
        <w:rPr>
          <w:rFonts w:eastAsia="Times New Roman" w:cs="Times New Roman"/>
          <w:color w:val="000000"/>
        </w:rPr>
        <w:t> </w:t>
      </w:r>
      <w:r w:rsidRPr="00DA2D5E">
        <w:rPr>
          <w:rFonts w:eastAsia="Times New Roman" w:cs="Times New Roman"/>
          <w:color w:val="000000"/>
        </w:rPr>
        <w:t>Cal.App.4th at p.</w:t>
      </w:r>
      <w:r>
        <w:rPr>
          <w:rFonts w:eastAsia="Times New Roman" w:cs="Times New Roman"/>
          <w:color w:val="000000"/>
        </w:rPr>
        <w:t> </w:t>
      </w:r>
      <w:r w:rsidRPr="00DA2D5E">
        <w:rPr>
          <w:rFonts w:eastAsia="Times New Roman" w:cs="Times New Roman"/>
          <w:color w:val="000000"/>
        </w:rPr>
        <w:t>1096 [</w:t>
      </w:r>
      <w:r w:rsidRPr="00DA2D5E">
        <w:rPr>
          <w:rFonts w:eastAsia="Times New Roman" w:cs="Times New Roman"/>
          <w:color w:val="000000"/>
          <w:shd w:val="clear" w:color="auto" w:fill="FFFFFF"/>
        </w:rPr>
        <w:t>“it is not our place under the state Constitution to ‘</w:t>
      </w:r>
      <w:r w:rsidRPr="00DA2D5E">
        <w:rPr>
          <w:rFonts w:eastAsia="Times New Roman" w:cs="Times New Roman"/>
          <w:color w:val="000000"/>
          <w:bdr w:val="none" w:sz="0" w:space="0" w:color="auto" w:frame="1"/>
          <w:shd w:val="clear" w:color="auto" w:fill="FFFFFF"/>
        </w:rPr>
        <w:t>second</w:t>
      </w:r>
      <w:r w:rsidRPr="00DA2D5E">
        <w:rPr>
          <w:rFonts w:eastAsia="Times New Roman" w:cs="Times New Roman"/>
          <w:color w:val="000000"/>
          <w:shd w:val="clear" w:color="auto" w:fill="FFFFFF"/>
        </w:rPr>
        <w:t>-</w:t>
      </w:r>
      <w:r w:rsidRPr="00DA2D5E">
        <w:rPr>
          <w:rFonts w:eastAsia="Times New Roman" w:cs="Times New Roman"/>
          <w:color w:val="000000"/>
          <w:bdr w:val="none" w:sz="0" w:space="0" w:color="auto" w:frame="1"/>
          <w:shd w:val="clear" w:color="auto" w:fill="FFFFFF"/>
        </w:rPr>
        <w:t>guess</w:t>
      </w:r>
      <w:r>
        <w:rPr>
          <w:rFonts w:eastAsia="Times New Roman" w:cs="Times New Roman"/>
          <w:color w:val="000000"/>
          <w:shd w:val="clear" w:color="auto" w:fill="FFFFFF"/>
        </w:rPr>
        <w:t xml:space="preserve"> </w:t>
      </w:r>
      <w:r w:rsidRPr="00DA2D5E">
        <w:rPr>
          <w:rFonts w:eastAsia="Times New Roman" w:cs="Times New Roman"/>
          <w:color w:val="000000"/>
          <w:shd w:val="clear" w:color="auto" w:fill="FFFFFF"/>
        </w:rPr>
        <w:t>the wisdom of the Legislature</w:t>
      </w:r>
      <w:r w:rsidRPr="00D26E9E">
        <w:rPr>
          <w:rFonts w:eastAsia="Times New Roman" w:cs="Times New Roman"/>
          <w:color w:val="000000"/>
          <w:shd w:val="clear" w:color="auto" w:fill="FFFFFF"/>
        </w:rPr>
        <w:t>’</w:t>
      </w:r>
      <w:r w:rsidRPr="00DA2D5E">
        <w:rPr>
          <w:rFonts w:eastAsia="Times New Roman" w:cs="Times New Roman"/>
          <w:color w:val="000000"/>
          <w:shd w:val="clear" w:color="auto" w:fill="FFFFFF"/>
        </w:rPr>
        <w:t xml:space="preserve"> in making these determinations</w:t>
      </w:r>
      <w:r w:rsidRPr="00D26E9E">
        <w:rPr>
          <w:rFonts w:eastAsia="Times New Roman" w:cs="Times New Roman"/>
          <w:color w:val="000000"/>
          <w:shd w:val="clear" w:color="auto" w:fill="FFFFFF"/>
        </w:rPr>
        <w:t xml:space="preserve">”]; </w:t>
      </w:r>
      <w:r w:rsidRPr="005375E2">
        <w:rPr>
          <w:rFonts w:eastAsia="Times New Roman" w:cs="Times New Roman"/>
          <w:i/>
          <w:iCs/>
          <w:color w:val="000000"/>
          <w:bdr w:val="none" w:sz="0" w:space="0" w:color="auto" w:frame="1"/>
        </w:rPr>
        <w:t>Facundo-Guerrero v. Workers</w:t>
      </w:r>
      <w:r>
        <w:rPr>
          <w:rFonts w:eastAsia="Times New Roman" w:cs="Times New Roman"/>
          <w:i/>
          <w:iCs/>
          <w:color w:val="000000"/>
          <w:bdr w:val="none" w:sz="0" w:space="0" w:color="auto" w:frame="1"/>
        </w:rPr>
        <w:t>’</w:t>
      </w:r>
      <w:r w:rsidRPr="005375E2">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5375E2">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5375E2">
        <w:rPr>
          <w:rFonts w:eastAsia="Times New Roman" w:cs="Times New Roman"/>
          <w:color w:val="000000"/>
        </w:rPr>
        <w:t>(2008) 163</w:t>
      </w:r>
      <w:r>
        <w:rPr>
          <w:rFonts w:eastAsia="Times New Roman" w:cs="Times New Roman"/>
          <w:color w:val="000000"/>
        </w:rPr>
        <w:t> </w:t>
      </w:r>
      <w:r w:rsidRPr="005375E2">
        <w:rPr>
          <w:rFonts w:eastAsia="Times New Roman" w:cs="Times New Roman"/>
          <w:color w:val="000000"/>
        </w:rPr>
        <w:t>Cal.App.4th 640, 651</w:t>
      </w:r>
      <w:r w:rsidRPr="00D26E9E">
        <w:rPr>
          <w:rFonts w:eastAsia="Times New Roman" w:cs="Times New Roman"/>
          <w:color w:val="000000"/>
        </w:rPr>
        <w:t xml:space="preserve"> [same].</w:t>
      </w:r>
      <w:r w:rsidRPr="00D26E9E">
        <w:rPr>
          <w:rFonts w:eastAsia="Times New Roman" w:cs="Times New Roman"/>
          <w:color w:val="000000"/>
          <w:shd w:val="clear" w:color="auto" w:fill="FFFFFF"/>
        </w:rPr>
        <w:t xml:space="preserve">)  </w:t>
      </w:r>
      <w:r w:rsidRPr="00D26E9E">
        <w:t xml:space="preserve">No one disputes that statutory changes may be made to </w:t>
      </w:r>
      <w:r>
        <w:t xml:space="preserve">the workers’ compensation system </w:t>
      </w:r>
      <w:r w:rsidRPr="00D26E9E">
        <w:t>at any time</w:t>
      </w:r>
      <w:r>
        <w:t xml:space="preserve"> if the Legislature determines changes are necessary to ensure its effectiveness</w:t>
      </w:r>
      <w:r w:rsidRPr="00D26E9E">
        <w:t xml:space="preserve">. </w:t>
      </w:r>
      <w:r>
        <w:t xml:space="preserve"> And by initiative statute, the voters may jo</w:t>
      </w:r>
      <w:r>
        <w:t>in in that ongoing project—since they, too, may legislate on the same topic—</w:t>
      </w:r>
      <w:proofErr w:type="gramStart"/>
      <w:r>
        <w:t>as long as</w:t>
      </w:r>
      <w:proofErr w:type="gramEnd"/>
      <w:r>
        <w:t xml:space="preserve"> they do so in a manner that is consistent with prior judgments of the </w:t>
      </w:r>
      <w:r>
        <w:lastRenderedPageBreak/>
        <w:t xml:space="preserve">Legislature made by “appropriate legislation.”  </w:t>
      </w:r>
      <w:r w:rsidRPr="00D26E9E">
        <w:t>What is key is that no case in this line either hol</w:t>
      </w:r>
      <w:r w:rsidRPr="00D26E9E">
        <w:t xml:space="preserve">ds that </w:t>
      </w:r>
      <w:r w:rsidRPr="00DA2D5E">
        <w:t>“basic features” of the pre-1918 workers</w:t>
      </w:r>
      <w:r>
        <w:t>’</w:t>
      </w:r>
      <w:r w:rsidRPr="00DA2D5E">
        <w:t xml:space="preserve"> compensation</w:t>
      </w:r>
      <w:r>
        <w:t xml:space="preserve"> system may be eliminated by </w:t>
      </w:r>
      <w:proofErr w:type="gramStart"/>
      <w:r>
        <w:t>statute, or</w:t>
      </w:r>
      <w:proofErr w:type="gramEnd"/>
      <w:r>
        <w:t xml:space="preserve"> involves a direct conflict between an initiative statute and a statute passed by the Legislature.</w:t>
      </w:r>
    </w:p>
    <w:p w14:paraId="6106CFF1" w14:textId="77777777" w:rsidR="00AB000C" w:rsidRDefault="00570B35" w:rsidP="00AB000C">
      <w:pPr>
        <w:ind w:firstLine="720"/>
        <w:rPr>
          <w:color w:val="000000"/>
          <w:shd w:val="clear" w:color="auto" w:fill="FFFFFF"/>
        </w:rPr>
      </w:pPr>
      <w:r>
        <w:rPr>
          <w:color w:val="000000"/>
          <w:shd w:val="clear" w:color="auto" w:fill="FFFFFF"/>
        </w:rPr>
        <w:t>I</w:t>
      </w:r>
      <w:r w:rsidRPr="0001115F">
        <w:rPr>
          <w:color w:val="000000"/>
          <w:shd w:val="clear" w:color="auto" w:fill="FFFFFF"/>
        </w:rPr>
        <w:t xml:space="preserve">t is ironic that the </w:t>
      </w:r>
      <w:r>
        <w:rPr>
          <w:color w:val="000000"/>
          <w:shd w:val="clear" w:color="auto" w:fill="FFFFFF"/>
        </w:rPr>
        <w:t xml:space="preserve">Proposition 22 proponents </w:t>
      </w:r>
      <w:r w:rsidRPr="0001115F">
        <w:rPr>
          <w:color w:val="000000"/>
          <w:shd w:val="clear" w:color="auto" w:fill="FFFFFF"/>
        </w:rPr>
        <w:t xml:space="preserve">rely </w:t>
      </w:r>
      <w:r w:rsidRPr="0001115F">
        <w:rPr>
          <w:color w:val="000000"/>
          <w:shd w:val="clear" w:color="auto" w:fill="FFFFFF"/>
        </w:rPr>
        <w:t>on the phrase “any or all</w:t>
      </w:r>
      <w:r>
        <w:rPr>
          <w:color w:val="000000"/>
          <w:shd w:val="clear" w:color="auto" w:fill="FFFFFF"/>
        </w:rPr>
        <w:t xml:space="preserve"> . . . </w:t>
      </w:r>
      <w:r w:rsidRPr="0001115F">
        <w:rPr>
          <w:color w:val="000000"/>
          <w:shd w:val="clear" w:color="auto" w:fill="FFFFFF"/>
        </w:rPr>
        <w:t>workers” in support of their argument that the scope of statutory workers</w:t>
      </w:r>
      <w:r>
        <w:rPr>
          <w:color w:val="000000"/>
          <w:shd w:val="clear" w:color="auto" w:fill="FFFFFF"/>
        </w:rPr>
        <w:t>’</w:t>
      </w:r>
      <w:r w:rsidRPr="0001115F">
        <w:rPr>
          <w:color w:val="000000"/>
          <w:shd w:val="clear" w:color="auto" w:fill="FFFFFF"/>
        </w:rPr>
        <w:t xml:space="preserve"> compensation may be freely expanded or contracted</w:t>
      </w:r>
      <w:r>
        <w:rPr>
          <w:color w:val="000000"/>
          <w:shd w:val="clear" w:color="auto" w:fill="FFFFFF"/>
        </w:rPr>
        <w:t>, accordion-like,</w:t>
      </w:r>
      <w:r w:rsidRPr="0001115F">
        <w:rPr>
          <w:color w:val="000000"/>
          <w:shd w:val="clear" w:color="auto" w:fill="FFFFFF"/>
        </w:rPr>
        <w:t xml:space="preserve"> </w:t>
      </w:r>
      <w:r>
        <w:rPr>
          <w:color w:val="000000"/>
          <w:shd w:val="clear" w:color="auto" w:fill="FFFFFF"/>
        </w:rPr>
        <w:t xml:space="preserve">without limit </w:t>
      </w:r>
      <w:r w:rsidRPr="0001115F">
        <w:rPr>
          <w:color w:val="000000"/>
          <w:shd w:val="clear" w:color="auto" w:fill="FFFFFF"/>
        </w:rPr>
        <w:t>by statu</w:t>
      </w:r>
      <w:r>
        <w:rPr>
          <w:color w:val="000000"/>
          <w:shd w:val="clear" w:color="auto" w:fill="FFFFFF"/>
        </w:rPr>
        <w:t>tory initiative.  They now seek to justify for app-based dri</w:t>
      </w:r>
      <w:r>
        <w:rPr>
          <w:color w:val="000000"/>
          <w:shd w:val="clear" w:color="auto" w:fill="FFFFFF"/>
        </w:rPr>
        <w:t>vers the same kind of second-class citizenship treatment that agricultural and domestic workers were given in the original policy debate over the reach of workers’ compensation coverage.  The interveners are quite explicit about this.  They point to the pr</w:t>
      </w:r>
      <w:r>
        <w:rPr>
          <w:color w:val="000000"/>
          <w:shd w:val="clear" w:color="auto" w:fill="FFFFFF"/>
        </w:rPr>
        <w:t>e</w:t>
      </w:r>
      <w:r>
        <w:rPr>
          <w:color w:val="000000"/>
          <w:shd w:val="clear" w:color="auto" w:fill="FFFFFF"/>
        </w:rPr>
        <w:noBreakHyphen/>
        <w:t xml:space="preserve">1918 exclusion of agricultural and domestic workers as proof that app-based drivers may be statutorily excluded </w:t>
      </w:r>
      <w:r w:rsidRPr="00B168B4">
        <w:rPr>
          <w:color w:val="000000"/>
          <w:shd w:val="clear" w:color="auto" w:fill="FFFFFF"/>
        </w:rPr>
        <w:t>today.  About that, all I will say is that the United States Supreme Court may be willing to read the federal</w:t>
      </w:r>
      <w:r>
        <w:rPr>
          <w:color w:val="000000"/>
          <w:shd w:val="clear" w:color="auto" w:fill="FFFFFF"/>
        </w:rPr>
        <w:t xml:space="preserve"> Constitution </w:t>
      </w:r>
      <w:r w:rsidRPr="00B168B4">
        <w:rPr>
          <w:color w:val="000000"/>
          <w:shd w:val="clear" w:color="auto" w:fill="FFFFFF"/>
        </w:rPr>
        <w:t>in a manner that do</w:t>
      </w:r>
      <w:r w:rsidRPr="00B168B4">
        <w:rPr>
          <w:color w:val="000000"/>
          <w:shd w:val="clear" w:color="auto" w:fill="FFFFFF"/>
        </w:rPr>
        <w:t xml:space="preserve">ubles down on the mistreatment of </w:t>
      </w:r>
      <w:r>
        <w:rPr>
          <w:color w:val="000000"/>
          <w:shd w:val="clear" w:color="auto" w:fill="FFFFFF"/>
        </w:rPr>
        <w:t xml:space="preserve">fellow citizens </w:t>
      </w:r>
      <w:r w:rsidRPr="00B168B4">
        <w:rPr>
          <w:color w:val="000000"/>
          <w:shd w:val="clear" w:color="auto" w:fill="FFFFFF"/>
        </w:rPr>
        <w:t xml:space="preserve">who were not considered </w:t>
      </w:r>
      <w:r>
        <w:rPr>
          <w:color w:val="000000"/>
          <w:shd w:val="clear" w:color="auto" w:fill="FFFFFF"/>
        </w:rPr>
        <w:t>“</w:t>
      </w:r>
      <w:r w:rsidRPr="00B168B4">
        <w:rPr>
          <w:color w:val="000000"/>
          <w:shd w:val="clear" w:color="auto" w:fill="FFFFFF"/>
        </w:rPr>
        <w:t>full and equal</w:t>
      </w:r>
      <w:r>
        <w:rPr>
          <w:color w:val="000000"/>
          <w:shd w:val="clear" w:color="auto" w:fill="FFFFFF"/>
        </w:rPr>
        <w:t>” when</w:t>
      </w:r>
      <w:r w:rsidRPr="00B168B4">
        <w:rPr>
          <w:color w:val="000000"/>
          <w:shd w:val="clear" w:color="auto" w:fill="FFFFFF"/>
        </w:rPr>
        <w:t xml:space="preserve"> the </w:t>
      </w:r>
      <w:r>
        <w:rPr>
          <w:color w:val="000000"/>
          <w:shd w:val="clear" w:color="auto" w:fill="FFFFFF"/>
        </w:rPr>
        <w:t>Fourteenth Amendment was adopted (</w:t>
      </w:r>
      <w:r>
        <w:rPr>
          <w:i/>
          <w:iCs/>
          <w:color w:val="000000"/>
          <w:bdr w:val="none" w:sz="0" w:space="0" w:color="auto" w:frame="1"/>
          <w:shd w:val="clear" w:color="auto" w:fill="FFFFFF"/>
        </w:rPr>
        <w:t>Dobbs v. Jackson Women’s Health Org.</w:t>
      </w:r>
      <w:r>
        <w:rPr>
          <w:color w:val="000000"/>
          <w:bdr w:val="none" w:sz="0" w:space="0" w:color="auto" w:frame="1"/>
          <w:shd w:val="clear" w:color="auto" w:fill="FFFFFF"/>
        </w:rPr>
        <w:t xml:space="preserve"> (2022) ___U.S.___</w:t>
      </w:r>
      <w:r w:rsidRPr="00D913C5">
        <w:rPr>
          <w:color w:val="000000"/>
          <w:bdr w:val="none" w:sz="0" w:space="0" w:color="auto" w:frame="1"/>
          <w:shd w:val="clear" w:color="auto" w:fill="FFFFFF"/>
        </w:rPr>
        <w:t xml:space="preserve"> [</w:t>
      </w:r>
      <w:r>
        <w:rPr>
          <w:color w:val="000000"/>
          <w:bdr w:val="none" w:sz="0" w:space="0" w:color="auto" w:frame="1"/>
          <w:shd w:val="clear" w:color="auto" w:fill="FFFFFF"/>
        </w:rPr>
        <w:t>142 </w:t>
      </w:r>
      <w:proofErr w:type="spellStart"/>
      <w:r>
        <w:rPr>
          <w:color w:val="000000"/>
          <w:bdr w:val="none" w:sz="0" w:space="0" w:color="auto" w:frame="1"/>
          <w:shd w:val="clear" w:color="auto" w:fill="FFFFFF"/>
        </w:rPr>
        <w:t>S.Ct</w:t>
      </w:r>
      <w:proofErr w:type="spellEnd"/>
      <w:r>
        <w:rPr>
          <w:color w:val="000000"/>
          <w:bdr w:val="none" w:sz="0" w:space="0" w:color="auto" w:frame="1"/>
          <w:shd w:val="clear" w:color="auto" w:fill="FFFFFF"/>
        </w:rPr>
        <w:t xml:space="preserve">. 2228, 2329] </w:t>
      </w:r>
      <w:r w:rsidRPr="00B168B4">
        <w:rPr>
          <w:rFonts w:eastAsia="Times New Roman" w:cs="Times New Roman"/>
          <w:color w:val="000000"/>
        </w:rPr>
        <w:t>(</w:t>
      </w:r>
      <w:r>
        <w:rPr>
          <w:rFonts w:eastAsia="Times New Roman" w:cs="Times New Roman"/>
          <w:color w:val="000000"/>
        </w:rPr>
        <w:t xml:space="preserve">dis. </w:t>
      </w:r>
      <w:proofErr w:type="spellStart"/>
      <w:r>
        <w:rPr>
          <w:rFonts w:eastAsia="Times New Roman" w:cs="Times New Roman"/>
          <w:color w:val="000000"/>
        </w:rPr>
        <w:t>opn</w:t>
      </w:r>
      <w:proofErr w:type="spellEnd"/>
      <w:r>
        <w:rPr>
          <w:rFonts w:eastAsia="Times New Roman" w:cs="Times New Roman"/>
          <w:color w:val="000000"/>
        </w:rPr>
        <w:t xml:space="preserve">. of </w:t>
      </w:r>
      <w:r w:rsidRPr="00B168B4">
        <w:rPr>
          <w:rFonts w:eastAsia="Times New Roman" w:cs="Times New Roman"/>
          <w:color w:val="000000"/>
        </w:rPr>
        <w:t>Kagan,</w:t>
      </w:r>
      <w:r>
        <w:rPr>
          <w:rFonts w:eastAsia="Times New Roman" w:cs="Times New Roman"/>
          <w:color w:val="000000"/>
        </w:rPr>
        <w:t> J.</w:t>
      </w:r>
      <w:r w:rsidRPr="00B168B4">
        <w:rPr>
          <w:rFonts w:eastAsia="Times New Roman" w:cs="Times New Roman"/>
          <w:color w:val="000000"/>
        </w:rPr>
        <w:t>)</w:t>
      </w:r>
      <w:r>
        <w:rPr>
          <w:rFonts w:eastAsia="Times New Roman" w:cs="Times New Roman"/>
          <w:color w:val="000000"/>
        </w:rPr>
        <w:t>)</w:t>
      </w:r>
      <w:r w:rsidRPr="00B168B4">
        <w:rPr>
          <w:rFonts w:eastAsia="Times New Roman" w:cs="Times New Roman"/>
          <w:color w:val="000000"/>
        </w:rPr>
        <w:t>, but in reading ou</w:t>
      </w:r>
      <w:r w:rsidRPr="00B168B4">
        <w:rPr>
          <w:rFonts w:eastAsia="Times New Roman" w:cs="Times New Roman"/>
          <w:color w:val="000000"/>
        </w:rPr>
        <w:t xml:space="preserve">r state </w:t>
      </w:r>
      <w:r>
        <w:rPr>
          <w:rFonts w:eastAsia="Times New Roman" w:cs="Times New Roman"/>
          <w:color w:val="000000"/>
        </w:rPr>
        <w:t>C</w:t>
      </w:r>
      <w:r w:rsidRPr="00B168B4">
        <w:rPr>
          <w:rFonts w:eastAsia="Times New Roman" w:cs="Times New Roman"/>
          <w:color w:val="000000"/>
        </w:rPr>
        <w:t>onstitution</w:t>
      </w:r>
      <w:r>
        <w:rPr>
          <w:rFonts w:eastAsia="Times New Roman" w:cs="Times New Roman"/>
          <w:color w:val="000000"/>
        </w:rPr>
        <w:t>,</w:t>
      </w:r>
      <w:r w:rsidRPr="00B168B4">
        <w:rPr>
          <w:rFonts w:eastAsia="Times New Roman" w:cs="Times New Roman"/>
          <w:color w:val="000000"/>
        </w:rPr>
        <w:t xml:space="preserve"> I am not.</w:t>
      </w:r>
      <w:r>
        <w:rPr>
          <w:rFonts w:eastAsia="Times New Roman" w:cs="Times New Roman"/>
          <w:color w:val="000000"/>
        </w:rPr>
        <w:t xml:space="preserve">  These exclusions are a historical embarrassment, not a license to create </w:t>
      </w:r>
      <w:r w:rsidRPr="001A03D6">
        <w:rPr>
          <w:rFonts w:eastAsia="Times New Roman" w:cs="Times New Roman"/>
          <w:i/>
          <w:iCs/>
          <w:color w:val="000000"/>
        </w:rPr>
        <w:t>new</w:t>
      </w:r>
      <w:r>
        <w:rPr>
          <w:rFonts w:eastAsia="Times New Roman" w:cs="Times New Roman"/>
          <w:color w:val="000000"/>
        </w:rPr>
        <w:t xml:space="preserve"> social hierarchies by statute.</w:t>
      </w:r>
    </w:p>
    <w:p w14:paraId="5D644D88" w14:textId="77777777" w:rsidR="00AB000C" w:rsidRPr="00B77D95" w:rsidRDefault="00570B35" w:rsidP="00AB000C">
      <w:pPr>
        <w:ind w:firstLine="720"/>
        <w:rPr>
          <w:rFonts w:eastAsia="Times New Roman" w:cs="Times New Roman"/>
          <w:color w:val="000000"/>
        </w:rPr>
      </w:pPr>
      <w:r>
        <w:rPr>
          <w:color w:val="000000"/>
          <w:shd w:val="clear" w:color="auto" w:fill="FFFFFF"/>
        </w:rPr>
        <w:t xml:space="preserve">Which brings me back to footnote 9 in </w:t>
      </w:r>
      <w:r>
        <w:rPr>
          <w:i/>
          <w:iCs/>
        </w:rPr>
        <w:t>McPherson</w:t>
      </w:r>
      <w:r>
        <w:rPr>
          <w:color w:val="000000"/>
          <w:shd w:val="clear" w:color="auto" w:fill="FFFFFF"/>
        </w:rPr>
        <w:t xml:space="preserve">.  Moved to do so by the same progressive reform movement that </w:t>
      </w:r>
      <w:r>
        <w:rPr>
          <w:color w:val="000000"/>
          <w:shd w:val="clear" w:color="auto" w:fill="FFFFFF"/>
        </w:rPr>
        <w:t xml:space="preserve">brought </w:t>
      </w:r>
      <w:r>
        <w:rPr>
          <w:color w:val="000000"/>
          <w:shd w:val="clear" w:color="auto" w:fill="FFFFFF"/>
        </w:rPr>
        <w:lastRenderedPageBreak/>
        <w:t>us the powers of direct democracy, t</w:t>
      </w:r>
      <w:r w:rsidRPr="0001115F">
        <w:rPr>
          <w:color w:val="000000"/>
          <w:shd w:val="clear" w:color="auto" w:fill="FFFFFF"/>
        </w:rPr>
        <w:t xml:space="preserve">he Legislature made a fundamental choice to cover as many wage workers under contracts for hire as it could </w:t>
      </w:r>
      <w:r>
        <w:rPr>
          <w:color w:val="000000"/>
          <w:shd w:val="clear" w:color="auto" w:fill="FFFFFF"/>
        </w:rPr>
        <w:t xml:space="preserve">between 1911 and 1917.  Many decades later, in Assembly Bill 5, the 2019 Legislature expressed its view </w:t>
      </w:r>
      <w:r>
        <w:rPr>
          <w:color w:val="000000"/>
          <w:shd w:val="clear" w:color="auto" w:fill="FFFFFF"/>
        </w:rPr>
        <w:t xml:space="preserve">that the inclusion of app-based drivers within the workers’ compensation system is required.  As I see things, </w:t>
      </w:r>
      <w:r>
        <w:rPr>
          <w:rFonts w:eastAsia="Times New Roman" w:cs="Times New Roman"/>
          <w:color w:val="000000"/>
        </w:rPr>
        <w:t>the Legislature’s determination—which represents its interpretation of what the term “employment” means for purposes of the “complete system of w</w:t>
      </w:r>
      <w:r>
        <w:rPr>
          <w:rFonts w:eastAsia="Times New Roman" w:cs="Times New Roman"/>
          <w:color w:val="000000"/>
        </w:rPr>
        <w:t xml:space="preserve">orkers’ compensation” codified in article XIV, section 4—must prevail over that of the Proposition 22 voter electors.  Voter electors retain ultimate power to override the Legislature, but in this context they must </w:t>
      </w:r>
      <w:r w:rsidRPr="00B77D95">
        <w:rPr>
          <w:rFonts w:eastAsia="Times New Roman" w:cs="Times New Roman"/>
          <w:color w:val="000000"/>
        </w:rPr>
        <w:t xml:space="preserve">do so by constitutional amendment. </w:t>
      </w:r>
      <w:r>
        <w:rPr>
          <w:rFonts w:eastAsia="Times New Roman" w:cs="Times New Roman"/>
          <w:color w:val="000000"/>
        </w:rPr>
        <w:t xml:space="preserve"> </w:t>
      </w:r>
      <w:r w:rsidRPr="00B77D95">
        <w:rPr>
          <w:rFonts w:eastAsia="Times New Roman" w:cs="Times New Roman"/>
          <w:color w:val="000000"/>
        </w:rPr>
        <w:t>(</w:t>
      </w:r>
      <w:r>
        <w:rPr>
          <w:rFonts w:eastAsia="Times New Roman" w:cs="Times New Roman"/>
          <w:color w:val="000000"/>
        </w:rPr>
        <w:t xml:space="preserve">See </w:t>
      </w:r>
      <w:r w:rsidRPr="00B77D95">
        <w:rPr>
          <w:rFonts w:eastAsia="Times New Roman" w:cs="Times New Roman"/>
          <w:i/>
          <w:iCs/>
          <w:color w:val="000000"/>
          <w:bdr w:val="none" w:sz="0" w:space="0" w:color="auto" w:frame="1"/>
        </w:rPr>
        <w:t>Legislature v. Deukmejian</w:t>
      </w:r>
      <w:r>
        <w:rPr>
          <w:rFonts w:eastAsia="Times New Roman" w:cs="Times New Roman"/>
          <w:color w:val="000000"/>
          <w:bdr w:val="none" w:sz="0" w:space="0" w:color="auto" w:frame="1"/>
        </w:rPr>
        <w:t xml:space="preserve"> (1983)</w:t>
      </w:r>
      <w:r>
        <w:rPr>
          <w:rFonts w:eastAsia="Times New Roman" w:cs="Times New Roman"/>
          <w:i/>
          <w:iCs/>
          <w:color w:val="000000"/>
          <w:bdr w:val="none" w:sz="0" w:space="0" w:color="auto" w:frame="1"/>
        </w:rPr>
        <w:t xml:space="preserve"> </w:t>
      </w:r>
      <w:r>
        <w:rPr>
          <w:rFonts w:eastAsia="Times New Roman" w:cs="Times New Roman"/>
          <w:color w:val="000000"/>
        </w:rPr>
        <w:t>34 </w:t>
      </w:r>
      <w:r w:rsidRPr="00B77D95">
        <w:rPr>
          <w:rFonts w:eastAsia="Times New Roman" w:cs="Times New Roman"/>
          <w:color w:val="000000"/>
        </w:rPr>
        <w:t xml:space="preserve">Cal.3d </w:t>
      </w:r>
      <w:r>
        <w:rPr>
          <w:rFonts w:eastAsia="Times New Roman" w:cs="Times New Roman"/>
          <w:color w:val="000000"/>
        </w:rPr>
        <w:t>658,</w:t>
      </w:r>
      <w:r w:rsidRPr="00B77D95">
        <w:rPr>
          <w:rFonts w:eastAsia="Times New Roman" w:cs="Times New Roman"/>
          <w:color w:val="000000"/>
        </w:rPr>
        <w:t xml:space="preserve"> 674 [“</w:t>
      </w:r>
      <w:r>
        <w:rPr>
          <w:rFonts w:eastAsia="Times New Roman" w:cs="Times New Roman"/>
          <w:color w:val="000000"/>
        </w:rPr>
        <w:t>[I]</w:t>
      </w:r>
      <w:r w:rsidRPr="00FC204A">
        <w:rPr>
          <w:rFonts w:eastAsia="Times New Roman" w:cs="Times New Roman"/>
          <w:color w:val="000000"/>
          <w:shd w:val="clear" w:color="auto" w:fill="FFFFFF"/>
        </w:rPr>
        <w:t xml:space="preserve">t was at no time intended that </w:t>
      </w:r>
      <w:r>
        <w:rPr>
          <w:rFonts w:eastAsia="Times New Roman" w:cs="Times New Roman"/>
          <w:color w:val="000000"/>
          <w:shd w:val="clear" w:color="auto" w:fill="FFFFFF"/>
        </w:rPr>
        <w:t xml:space="preserve">. . . </w:t>
      </w:r>
      <w:r w:rsidRPr="00FC204A">
        <w:rPr>
          <w:rFonts w:eastAsia="Times New Roman" w:cs="Times New Roman"/>
          <w:color w:val="000000"/>
          <w:shd w:val="clear" w:color="auto" w:fill="FFFFFF"/>
        </w:rPr>
        <w:t xml:space="preserve">permissive legislation by direct vote should override the other safeguards of the constitution.  If an amendment of the constitution were intended, the provision </w:t>
      </w:r>
      <w:r w:rsidRPr="00FC204A">
        <w:rPr>
          <w:rFonts w:eastAsia="Times New Roman" w:cs="Times New Roman"/>
          <w:color w:val="000000"/>
          <w:shd w:val="clear" w:color="auto" w:fill="FFFFFF"/>
        </w:rPr>
        <w:t>requires steps to be taken that will apprise the voters thereof so that they may intelligently judge of the fitness of such measure as a constituent part of the organic law</w:t>
      </w:r>
      <w:r w:rsidRPr="00EB2E31">
        <w:rPr>
          <w:rFonts w:eastAsia="Times New Roman" w:cs="Times New Roman"/>
          <w:color w:val="000000"/>
          <w:shd w:val="clear" w:color="auto" w:fill="FFFFFF"/>
        </w:rPr>
        <w:t>.”].)</w:t>
      </w:r>
    </w:p>
    <w:p w14:paraId="6BFF3358" w14:textId="77777777" w:rsidR="00AB000C" w:rsidRPr="00206CAC" w:rsidRDefault="00570B35" w:rsidP="00AB000C">
      <w:pPr>
        <w:pStyle w:val="blockquote"/>
        <w:keepNext/>
        <w:shd w:val="clear" w:color="auto" w:fill="FFFFFF" w:themeFill="background1"/>
        <w:spacing w:before="120" w:beforeAutospacing="0" w:after="120" w:afterAutospacing="0"/>
        <w:rPr>
          <w:rFonts w:ascii="Century Schoolbook" w:hAnsi="Century Schoolbook"/>
          <w:b/>
          <w:bCs/>
          <w:sz w:val="26"/>
          <w:szCs w:val="26"/>
        </w:rPr>
      </w:pPr>
      <w:r w:rsidRPr="005D10F7">
        <w:rPr>
          <w:rFonts w:ascii="Century Schoolbook" w:hAnsi="Century Schoolbook"/>
          <w:b/>
          <w:sz w:val="26"/>
          <w:szCs w:val="26"/>
        </w:rPr>
        <w:t>V.</w:t>
      </w:r>
      <w:r w:rsidRPr="005D10F7">
        <w:rPr>
          <w:rFonts w:ascii="Century Schoolbook" w:hAnsi="Century Schoolbook"/>
          <w:b/>
          <w:sz w:val="26"/>
          <w:szCs w:val="26"/>
        </w:rPr>
        <w:tab/>
        <w:t>Conclusion</w:t>
      </w:r>
    </w:p>
    <w:p w14:paraId="3861A81C" w14:textId="77777777" w:rsidR="00AB000C" w:rsidRDefault="00570B35" w:rsidP="00AB000C">
      <w:pPr>
        <w:pStyle w:val="blockquote"/>
        <w:shd w:val="clear" w:color="auto" w:fill="FFFFFF" w:themeFill="background1"/>
        <w:spacing w:before="0" w:beforeAutospacing="0" w:after="0" w:afterAutospacing="0" w:line="360" w:lineRule="auto"/>
        <w:ind w:firstLine="720"/>
        <w:rPr>
          <w:rFonts w:ascii="Century Schoolbook" w:hAnsi="Century Schoolbook"/>
          <w:color w:val="212121"/>
          <w:sz w:val="26"/>
          <w:szCs w:val="26"/>
        </w:rPr>
      </w:pPr>
      <w:r w:rsidRPr="00714129">
        <w:rPr>
          <w:rFonts w:ascii="Century Schoolbook" w:hAnsi="Century Schoolbook"/>
          <w:sz w:val="26"/>
          <w:szCs w:val="26"/>
        </w:rPr>
        <w:t>“</w:t>
      </w:r>
      <w:r>
        <w:rPr>
          <w:rFonts w:ascii="Century Schoolbook" w:hAnsi="Century Schoolbook"/>
          <w:sz w:val="26"/>
          <w:szCs w:val="26"/>
        </w:rPr>
        <w:t>[</w:t>
      </w:r>
      <w:r w:rsidRPr="00714129">
        <w:rPr>
          <w:rFonts w:ascii="Century Schoolbook" w:hAnsi="Century Schoolbook"/>
          <w:sz w:val="26"/>
          <w:szCs w:val="26"/>
        </w:rPr>
        <w:t>I</w:t>
      </w:r>
      <w:r>
        <w:rPr>
          <w:rFonts w:ascii="Century Schoolbook" w:hAnsi="Century Schoolbook"/>
          <w:sz w:val="26"/>
          <w:szCs w:val="26"/>
        </w:rPr>
        <w:t>]</w:t>
      </w:r>
      <w:r w:rsidRPr="00714129">
        <w:rPr>
          <w:rFonts w:ascii="Century Schoolbook" w:hAnsi="Century Schoolbook"/>
          <w:color w:val="212121"/>
          <w:sz w:val="26"/>
          <w:szCs w:val="26"/>
        </w:rPr>
        <w:t xml:space="preserve">f any portion, section, subdivision, paragraph, </w:t>
      </w:r>
      <w:r w:rsidRPr="00714129">
        <w:rPr>
          <w:rFonts w:ascii="Century Schoolbook" w:hAnsi="Century Schoolbook"/>
          <w:color w:val="212121"/>
          <w:sz w:val="26"/>
          <w:szCs w:val="26"/>
        </w:rPr>
        <w:t>clause, sentence, phrase, word, or application o</w:t>
      </w:r>
      <w:r w:rsidRPr="005A6602">
        <w:rPr>
          <w:rFonts w:ascii="Century Schoolbook" w:hAnsi="Century Schoolbook"/>
          <w:color w:val="212121"/>
          <w:spacing w:val="40"/>
          <w:sz w:val="26"/>
          <w:szCs w:val="26"/>
        </w:rPr>
        <w:t>f</w:t>
      </w:r>
      <w:r w:rsidRPr="00714129">
        <w:rPr>
          <w:rFonts w:ascii="Century Schoolbook" w:hAnsi="Century Schoolbook"/>
          <w:color w:val="212121"/>
          <w:sz w:val="26"/>
          <w:szCs w:val="26"/>
        </w:rPr>
        <w:t xml:space="preserve">” </w:t>
      </w:r>
      <w:r w:rsidRPr="00714129">
        <w:rPr>
          <w:rStyle w:val="unlinked-ref"/>
          <w:rFonts w:ascii="Century Schoolbook" w:hAnsi="Century Schoolbook"/>
          <w:color w:val="212121"/>
          <w:sz w:val="26"/>
          <w:szCs w:val="26"/>
        </w:rPr>
        <w:t>Business and Professions Code</w:t>
      </w:r>
      <w:r>
        <w:rPr>
          <w:rStyle w:val="unlinked-ref"/>
          <w:rFonts w:ascii="Century Schoolbook" w:hAnsi="Century Schoolbook"/>
          <w:color w:val="212121"/>
          <w:sz w:val="26"/>
          <w:szCs w:val="26"/>
        </w:rPr>
        <w:t xml:space="preserve"> section </w:t>
      </w:r>
      <w:r w:rsidRPr="00714129">
        <w:rPr>
          <w:rStyle w:val="unlinked-ref"/>
          <w:rFonts w:ascii="Century Schoolbook" w:hAnsi="Century Schoolbook"/>
          <w:color w:val="212121"/>
          <w:sz w:val="26"/>
          <w:szCs w:val="26"/>
        </w:rPr>
        <w:t>7451—the “independent contractor” definition adopted in Proposition</w:t>
      </w:r>
      <w:r>
        <w:rPr>
          <w:rStyle w:val="unlinked-ref"/>
          <w:rFonts w:ascii="Century Schoolbook" w:hAnsi="Century Schoolbook"/>
          <w:color w:val="212121"/>
          <w:sz w:val="26"/>
          <w:szCs w:val="26"/>
        </w:rPr>
        <w:t> </w:t>
      </w:r>
      <w:r w:rsidRPr="00714129">
        <w:rPr>
          <w:rStyle w:val="unlinked-ref"/>
          <w:rFonts w:ascii="Century Schoolbook" w:hAnsi="Century Schoolbook"/>
          <w:color w:val="212121"/>
          <w:sz w:val="26"/>
          <w:szCs w:val="26"/>
        </w:rPr>
        <w:t>22—</w:t>
      </w:r>
      <w:r>
        <w:rPr>
          <w:rFonts w:ascii="Century Schoolbook" w:hAnsi="Century Schoolbook"/>
          <w:color w:val="212121"/>
          <w:sz w:val="26"/>
          <w:szCs w:val="26"/>
        </w:rPr>
        <w:t xml:space="preserve">“is </w:t>
      </w:r>
      <w:r w:rsidRPr="00714129">
        <w:rPr>
          <w:rFonts w:ascii="Century Schoolbook" w:hAnsi="Century Schoolbook"/>
          <w:color w:val="212121"/>
          <w:sz w:val="26"/>
          <w:szCs w:val="26"/>
        </w:rPr>
        <w:t>for any reason held to be invalid by a decision of any court of competent jurisdiction, that</w:t>
      </w:r>
      <w:r w:rsidRPr="00714129">
        <w:rPr>
          <w:rFonts w:ascii="Century Schoolbook" w:hAnsi="Century Schoolbook"/>
          <w:color w:val="212121"/>
          <w:sz w:val="26"/>
          <w:szCs w:val="26"/>
        </w:rPr>
        <w:t xml:space="preserve"> decision shall apply to the entirety of the remaining provisions of </w:t>
      </w:r>
      <w:r w:rsidRPr="00714129">
        <w:rPr>
          <w:rFonts w:ascii="Century Schoolbook" w:hAnsi="Century Schoolbook"/>
          <w:color w:val="212121"/>
          <w:sz w:val="26"/>
          <w:szCs w:val="26"/>
        </w:rPr>
        <w:lastRenderedPageBreak/>
        <w:t xml:space="preserve">this chapter, and no provision of this chapter shall be deemed valid or given force of law.”  </w:t>
      </w:r>
      <w:r>
        <w:rPr>
          <w:rFonts w:ascii="Century Schoolbook" w:hAnsi="Century Schoolbook"/>
          <w:color w:val="212121"/>
          <w:sz w:val="26"/>
          <w:szCs w:val="26"/>
        </w:rPr>
        <w:t xml:space="preserve">(Bus. &amp; Prof. Code, </w:t>
      </w:r>
      <w:r w:rsidRPr="00714129">
        <w:rPr>
          <w:rStyle w:val="unlinked-ref"/>
          <w:rFonts w:ascii="Century Schoolbook" w:hAnsi="Century Schoolbook"/>
          <w:color w:val="212121"/>
          <w:sz w:val="26"/>
          <w:szCs w:val="26"/>
        </w:rPr>
        <w:t>§</w:t>
      </w:r>
      <w:r>
        <w:rPr>
          <w:rStyle w:val="unlinked-ref"/>
          <w:rFonts w:ascii="Century Schoolbook" w:hAnsi="Century Schoolbook"/>
          <w:color w:val="212121"/>
          <w:sz w:val="26"/>
          <w:szCs w:val="26"/>
        </w:rPr>
        <w:t xml:space="preserve"> 7467, </w:t>
      </w:r>
      <w:proofErr w:type="spellStart"/>
      <w:r>
        <w:rPr>
          <w:rStyle w:val="unlinked-ref"/>
          <w:rFonts w:ascii="Century Schoolbook" w:hAnsi="Century Schoolbook"/>
          <w:color w:val="212121"/>
          <w:sz w:val="26"/>
          <w:szCs w:val="26"/>
        </w:rPr>
        <w:t>subd</w:t>
      </w:r>
      <w:proofErr w:type="spellEnd"/>
      <w:r>
        <w:rPr>
          <w:rStyle w:val="unlinked-ref"/>
          <w:rFonts w:ascii="Century Schoolbook" w:hAnsi="Century Schoolbook"/>
          <w:color w:val="212121"/>
          <w:sz w:val="26"/>
          <w:szCs w:val="26"/>
        </w:rPr>
        <w:t xml:space="preserve">. (b).)  </w:t>
      </w:r>
      <w:r w:rsidRPr="00714129">
        <w:rPr>
          <w:rFonts w:ascii="Century Schoolbook" w:hAnsi="Century Schoolbook"/>
          <w:color w:val="212121"/>
          <w:sz w:val="26"/>
          <w:szCs w:val="26"/>
        </w:rPr>
        <w:t xml:space="preserve">I believe the “independent contractor” definition </w:t>
      </w:r>
      <w:r>
        <w:rPr>
          <w:rFonts w:ascii="Century Schoolbook" w:hAnsi="Century Schoolbook"/>
          <w:color w:val="212121"/>
          <w:sz w:val="26"/>
          <w:szCs w:val="26"/>
        </w:rPr>
        <w:t>in</w:t>
      </w:r>
      <w:r>
        <w:rPr>
          <w:rFonts w:ascii="Century Schoolbook" w:hAnsi="Century Schoolbook"/>
          <w:color w:val="212121"/>
          <w:sz w:val="26"/>
          <w:szCs w:val="26"/>
        </w:rPr>
        <w:t xml:space="preserve"> </w:t>
      </w:r>
      <w:r w:rsidRPr="00714129">
        <w:rPr>
          <w:rFonts w:ascii="Century Schoolbook" w:hAnsi="Century Schoolbook"/>
          <w:color w:val="212121"/>
          <w:sz w:val="26"/>
          <w:szCs w:val="26"/>
        </w:rPr>
        <w:t>Proposition</w:t>
      </w:r>
      <w:r>
        <w:rPr>
          <w:rFonts w:ascii="Century Schoolbook" w:hAnsi="Century Schoolbook"/>
          <w:color w:val="212121"/>
          <w:sz w:val="26"/>
          <w:szCs w:val="26"/>
        </w:rPr>
        <w:t> </w:t>
      </w:r>
      <w:r w:rsidRPr="00714129">
        <w:rPr>
          <w:rFonts w:ascii="Century Schoolbook" w:hAnsi="Century Schoolbook"/>
          <w:color w:val="212121"/>
          <w:sz w:val="26"/>
          <w:szCs w:val="26"/>
        </w:rPr>
        <w:t>22 is constitutionally infirm</w:t>
      </w:r>
      <w:r>
        <w:rPr>
          <w:rFonts w:ascii="Century Schoolbook" w:hAnsi="Century Schoolbook"/>
          <w:color w:val="212121"/>
          <w:sz w:val="26"/>
          <w:szCs w:val="26"/>
        </w:rPr>
        <w:t xml:space="preserve"> and that, as a result, the entire initiative by its own terms must fall.</w:t>
      </w:r>
    </w:p>
    <w:p w14:paraId="157B1ECE" w14:textId="77777777" w:rsidR="00AB000C" w:rsidRDefault="00570B35" w:rsidP="00AB000C">
      <w:pPr>
        <w:ind w:firstLine="720"/>
        <w:rPr>
          <w:rFonts w:eastAsia="Times New Roman" w:cs="Times New Roman"/>
          <w:color w:val="000000"/>
        </w:rPr>
      </w:pPr>
      <w:r w:rsidRPr="008B2263">
        <w:rPr>
          <w:color w:val="212121"/>
        </w:rPr>
        <w:t>It is undoubtedly true that “</w:t>
      </w:r>
      <w:r>
        <w:rPr>
          <w:color w:val="212121"/>
        </w:rPr>
        <w:t>[</w:t>
      </w:r>
      <w:r w:rsidRPr="008B2263">
        <w:rPr>
          <w:color w:val="212121"/>
        </w:rPr>
        <w:t>t</w:t>
      </w:r>
      <w:r>
        <w:rPr>
          <w:color w:val="212121"/>
        </w:rPr>
        <w:t>]</w:t>
      </w:r>
      <w:r w:rsidRPr="008B2263">
        <w:rPr>
          <w:rFonts w:eastAsia="Times New Roman" w:cs="Times New Roman"/>
          <w:color w:val="000000"/>
          <w:shd w:val="clear" w:color="auto" w:fill="FFFFFF"/>
        </w:rPr>
        <w:t>he amendment of the California Constitution in 1911 to provide for the initiative and referendum signifies o</w:t>
      </w:r>
      <w:r w:rsidRPr="008B2263">
        <w:rPr>
          <w:rFonts w:eastAsia="Times New Roman" w:cs="Times New Roman"/>
          <w:color w:val="000000"/>
          <w:shd w:val="clear" w:color="auto" w:fill="FFFFFF"/>
        </w:rPr>
        <w:t>ne of the outstanding achievements of the progressive movement of the early 1900</w:t>
      </w:r>
      <w:r>
        <w:rPr>
          <w:rFonts w:eastAsia="Times New Roman" w:cs="Times New Roman"/>
          <w:color w:val="000000"/>
          <w:shd w:val="clear" w:color="auto" w:fill="FFFFFF"/>
        </w:rPr>
        <w:t>’</w:t>
      </w:r>
      <w:r w:rsidRPr="008B2263">
        <w:rPr>
          <w:rFonts w:eastAsia="Times New Roman" w:cs="Times New Roman"/>
          <w:color w:val="000000"/>
          <w:shd w:val="clear" w:color="auto" w:fill="FFFFFF"/>
        </w:rPr>
        <w:t>s</w:t>
      </w:r>
      <w:r>
        <w:rPr>
          <w:rFonts w:eastAsia="Times New Roman" w:cs="Times New Roman"/>
          <w:color w:val="000000"/>
          <w:shd w:val="clear" w:color="auto" w:fill="FFFFFF"/>
        </w:rPr>
        <w:t xml:space="preserve">.”  </w:t>
      </w:r>
      <w:r w:rsidRPr="008B2263">
        <w:rPr>
          <w:rFonts w:eastAsia="Times New Roman" w:cs="Times New Roman"/>
          <w:color w:val="000000"/>
          <w:shd w:val="clear" w:color="auto" w:fill="FFFFFF"/>
        </w:rPr>
        <w:t>(</w:t>
      </w:r>
      <w:r w:rsidRPr="00503A42">
        <w:rPr>
          <w:rFonts w:eastAsia="Times New Roman" w:cs="Times New Roman"/>
          <w:i/>
          <w:iCs/>
          <w:color w:val="000000"/>
          <w:bdr w:val="none" w:sz="0" w:space="0" w:color="auto" w:frame="1"/>
        </w:rPr>
        <w:t>Associated Home Builders etc., Inc. v. City of Livermore</w:t>
      </w:r>
      <w:r>
        <w:rPr>
          <w:rFonts w:eastAsia="Times New Roman" w:cs="Times New Roman"/>
          <w:color w:val="000000"/>
        </w:rPr>
        <w:t xml:space="preserve"> </w:t>
      </w:r>
      <w:r w:rsidRPr="00503A42">
        <w:rPr>
          <w:rFonts w:eastAsia="Times New Roman" w:cs="Times New Roman"/>
          <w:color w:val="000000"/>
        </w:rPr>
        <w:t>(1976) 18</w:t>
      </w:r>
      <w:r>
        <w:rPr>
          <w:rFonts w:eastAsia="Times New Roman" w:cs="Times New Roman"/>
          <w:color w:val="000000"/>
        </w:rPr>
        <w:t> </w:t>
      </w:r>
      <w:r w:rsidRPr="00503A42">
        <w:rPr>
          <w:rFonts w:eastAsia="Times New Roman" w:cs="Times New Roman"/>
          <w:color w:val="000000"/>
        </w:rPr>
        <w:t>Cal.3d 582, 591</w:t>
      </w:r>
      <w:r>
        <w:rPr>
          <w:rFonts w:eastAsia="Times New Roman" w:cs="Times New Roman"/>
          <w:color w:val="000000"/>
        </w:rPr>
        <w:t>.</w:t>
      </w:r>
      <w:r w:rsidRPr="008B2263">
        <w:rPr>
          <w:rFonts w:eastAsia="Times New Roman" w:cs="Times New Roman"/>
          <w:color w:val="000000"/>
        </w:rPr>
        <w:t>)</w:t>
      </w:r>
      <w:r>
        <w:rPr>
          <w:rFonts w:eastAsia="Times New Roman" w:cs="Times New Roman"/>
          <w:color w:val="000000"/>
        </w:rPr>
        <w:t xml:space="preserve">  But a</w:t>
      </w:r>
      <w:r w:rsidRPr="008B2263">
        <w:rPr>
          <w:rFonts w:eastAsia="Times New Roman" w:cs="Times New Roman"/>
          <w:color w:val="000000"/>
        </w:rPr>
        <w:t>rticle XIV, section</w:t>
      </w:r>
      <w:r>
        <w:rPr>
          <w:rFonts w:eastAsia="Times New Roman" w:cs="Times New Roman"/>
          <w:color w:val="000000"/>
        </w:rPr>
        <w:t> </w:t>
      </w:r>
      <w:r w:rsidRPr="008B2263">
        <w:rPr>
          <w:rFonts w:eastAsia="Times New Roman" w:cs="Times New Roman"/>
          <w:color w:val="000000"/>
        </w:rPr>
        <w:t>4</w:t>
      </w:r>
      <w:r>
        <w:rPr>
          <w:rFonts w:eastAsia="Times New Roman" w:cs="Times New Roman"/>
          <w:color w:val="000000"/>
        </w:rPr>
        <w:t xml:space="preserve">, was another outstanding achievement of </w:t>
      </w:r>
      <w:r>
        <w:rPr>
          <w:rFonts w:eastAsia="Times New Roman" w:cs="Times New Roman"/>
          <w:color w:val="000000"/>
        </w:rPr>
        <w:t>progressive era reform, and it must be treated with equal dignity</w:t>
      </w:r>
      <w:r w:rsidRPr="008B2263">
        <w:rPr>
          <w:rFonts w:eastAsia="Times New Roman" w:cs="Times New Roman"/>
          <w:color w:val="000000"/>
        </w:rPr>
        <w:t>.</w:t>
      </w:r>
    </w:p>
    <w:p w14:paraId="2F597624" w14:textId="77777777" w:rsidR="00AB000C" w:rsidRDefault="00570B35" w:rsidP="00AB000C">
      <w:pPr>
        <w:ind w:firstLine="720"/>
        <w:rPr>
          <w:rFonts w:eastAsia="Times New Roman" w:cs="Times New Roman"/>
          <w:color w:val="000000"/>
        </w:rPr>
      </w:pPr>
      <w:r w:rsidRPr="008B2263">
        <w:rPr>
          <w:rFonts w:eastAsia="Times New Roman" w:cs="Times New Roman"/>
          <w:color w:val="000000"/>
        </w:rPr>
        <w:t xml:space="preserve">In </w:t>
      </w:r>
      <w:r>
        <w:rPr>
          <w:rFonts w:eastAsia="Times New Roman" w:cs="Times New Roman"/>
          <w:color w:val="000000"/>
        </w:rPr>
        <w:t>article XIV, section 4,</w:t>
      </w:r>
      <w:r w:rsidRPr="008B2263">
        <w:rPr>
          <w:rFonts w:eastAsia="Times New Roman" w:cs="Times New Roman"/>
          <w:color w:val="000000"/>
        </w:rPr>
        <w:t xml:space="preserve"> the people gave constitutional sanction to </w:t>
      </w:r>
      <w:r>
        <w:rPr>
          <w:rFonts w:eastAsia="Times New Roman" w:cs="Times New Roman"/>
          <w:color w:val="000000"/>
        </w:rPr>
        <w:t xml:space="preserve">an elaborate, </w:t>
      </w:r>
      <w:r w:rsidRPr="008B2263">
        <w:rPr>
          <w:rFonts w:eastAsia="Times New Roman" w:cs="Times New Roman"/>
          <w:color w:val="000000"/>
        </w:rPr>
        <w:t>pre</w:t>
      </w:r>
      <w:r>
        <w:rPr>
          <w:rFonts w:eastAsia="Times New Roman" w:cs="Times New Roman"/>
          <w:color w:val="000000"/>
        </w:rPr>
        <w:noBreakHyphen/>
      </w:r>
      <w:r w:rsidRPr="008B2263">
        <w:rPr>
          <w:rFonts w:eastAsia="Times New Roman" w:cs="Times New Roman"/>
          <w:color w:val="000000"/>
        </w:rPr>
        <w:t>1918 statutory workers</w:t>
      </w:r>
      <w:r>
        <w:rPr>
          <w:rFonts w:eastAsia="Times New Roman" w:cs="Times New Roman"/>
          <w:color w:val="000000"/>
        </w:rPr>
        <w:t>’</w:t>
      </w:r>
      <w:r w:rsidRPr="008B2263">
        <w:rPr>
          <w:rFonts w:eastAsia="Times New Roman" w:cs="Times New Roman"/>
          <w:color w:val="000000"/>
        </w:rPr>
        <w:t xml:space="preserve"> compensation</w:t>
      </w:r>
      <w:r>
        <w:rPr>
          <w:rFonts w:eastAsia="Times New Roman" w:cs="Times New Roman"/>
          <w:color w:val="000000"/>
        </w:rPr>
        <w:t xml:space="preserve"> scheme.  To implement the scheme, they </w:t>
      </w:r>
      <w:r w:rsidRPr="008B2263">
        <w:rPr>
          <w:rFonts w:eastAsia="Times New Roman" w:cs="Times New Roman"/>
          <w:color w:val="000000"/>
        </w:rPr>
        <w:t xml:space="preserve">conferred </w:t>
      </w:r>
      <w:r>
        <w:rPr>
          <w:rFonts w:eastAsia="Times New Roman" w:cs="Times New Roman"/>
          <w:color w:val="000000"/>
        </w:rPr>
        <w:t xml:space="preserve">plenary power </w:t>
      </w:r>
      <w:r w:rsidRPr="008B2263">
        <w:rPr>
          <w:rFonts w:eastAsia="Times New Roman" w:cs="Times New Roman"/>
          <w:color w:val="000000"/>
        </w:rPr>
        <w:t>o</w:t>
      </w:r>
      <w:r w:rsidRPr="008B2263">
        <w:rPr>
          <w:rFonts w:eastAsia="Times New Roman" w:cs="Times New Roman"/>
          <w:color w:val="000000"/>
        </w:rPr>
        <w:t>n the Legislature</w:t>
      </w:r>
      <w:r>
        <w:rPr>
          <w:rFonts w:eastAsia="Times New Roman" w:cs="Times New Roman"/>
          <w:color w:val="000000"/>
        </w:rPr>
        <w:t>, and the Legislature alone.  This expansive and singular delegation of authority, a species of power that may be found nowhere else in our charter document, is “unlimited by any provision of [the] . . . Constitution,” and imposes on the L</w:t>
      </w:r>
      <w:r>
        <w:rPr>
          <w:rFonts w:eastAsia="Times New Roman" w:cs="Times New Roman"/>
          <w:color w:val="000000"/>
        </w:rPr>
        <w:t xml:space="preserve">egislature an ongoing duty of enforcement.  </w:t>
      </w:r>
      <w:r>
        <w:t xml:space="preserve">(Art. XIV, § 4.) </w:t>
      </w:r>
      <w:r>
        <w:rPr>
          <w:rFonts w:eastAsia="Times New Roman" w:cs="Times New Roman"/>
          <w:color w:val="000000"/>
        </w:rPr>
        <w:t xml:space="preserve"> The pre</w:t>
      </w:r>
      <w:r>
        <w:rPr>
          <w:rFonts w:eastAsia="Times New Roman" w:cs="Times New Roman"/>
          <w:color w:val="000000"/>
        </w:rPr>
        <w:noBreakHyphen/>
        <w:t xml:space="preserve">1918 statutory scheme itself, together with “appropriate legislation” enacted from time to time pursuant to the Legislature’s enforcement power, reflects a “social public policy” </w:t>
      </w:r>
      <w:r w:rsidRPr="00D74880">
        <w:rPr>
          <w:rFonts w:eastAsia="Times New Roman" w:cs="Times New Roman"/>
          <w:color w:val="000000"/>
        </w:rPr>
        <w:t>that is</w:t>
      </w:r>
      <w:r w:rsidRPr="00D74880">
        <w:rPr>
          <w:rFonts w:eastAsia="Times New Roman" w:cs="Times New Roman"/>
          <w:color w:val="000000"/>
        </w:rPr>
        <w:t xml:space="preserve"> “binding upon all departments of the state government.”  (</w:t>
      </w:r>
      <w:r w:rsidRPr="00D74880">
        <w:rPr>
          <w:rFonts w:eastAsia="Times New Roman" w:cs="Times New Roman"/>
          <w:i/>
          <w:iCs/>
          <w:color w:val="000000"/>
        </w:rPr>
        <w:t>Ibid</w:t>
      </w:r>
      <w:r w:rsidRPr="00D74880">
        <w:rPr>
          <w:rFonts w:eastAsia="Times New Roman" w:cs="Times New Roman"/>
          <w:color w:val="000000"/>
        </w:rPr>
        <w:t>.)</w:t>
      </w:r>
    </w:p>
    <w:p w14:paraId="16160A7D" w14:textId="77777777" w:rsidR="00AB000C" w:rsidRDefault="00570B35" w:rsidP="00AB000C">
      <w:pPr>
        <w:ind w:firstLine="720"/>
        <w:rPr>
          <w:rFonts w:eastAsia="Times New Roman" w:cs="Times New Roman"/>
          <w:color w:val="000000" w:themeColor="text1"/>
        </w:rPr>
      </w:pPr>
      <w:r>
        <w:rPr>
          <w:rFonts w:eastAsia="Times New Roman" w:cs="Times New Roman"/>
          <w:color w:val="000000"/>
        </w:rPr>
        <w:lastRenderedPageBreak/>
        <w:t>The central dilemma posed by this case is that Proposition 22 flies in the face of the Legislature’s declared “social public policy” in the field of workers’ compensation, as most recently r</w:t>
      </w:r>
      <w:r>
        <w:rPr>
          <w:rFonts w:eastAsia="Times New Roman" w:cs="Times New Roman"/>
          <w:color w:val="000000"/>
        </w:rPr>
        <w:t xml:space="preserve">eflected in its enactment of Assembly Bill 5.  </w:t>
      </w:r>
      <w:r w:rsidRPr="1DCF448D">
        <w:rPr>
          <w:rFonts w:eastAsia="Times New Roman" w:cs="Times New Roman"/>
          <w:color w:val="000000" w:themeColor="text1"/>
        </w:rPr>
        <w:t xml:space="preserve">An integral part of the </w:t>
      </w:r>
      <w:r>
        <w:rPr>
          <w:rFonts w:eastAsia="Times New Roman" w:cs="Times New Roman"/>
          <w:color w:val="000000" w:themeColor="text1"/>
        </w:rPr>
        <w:t xml:space="preserve">workers’ compensation </w:t>
      </w:r>
      <w:r w:rsidRPr="1DCF448D">
        <w:rPr>
          <w:rFonts w:eastAsia="Times New Roman" w:cs="Times New Roman"/>
          <w:color w:val="000000" w:themeColor="text1"/>
        </w:rPr>
        <w:t xml:space="preserve">system the Legislature </w:t>
      </w:r>
      <w:r>
        <w:rPr>
          <w:rFonts w:eastAsia="Times New Roman" w:cs="Times New Roman"/>
          <w:color w:val="000000" w:themeColor="text1"/>
        </w:rPr>
        <w:t xml:space="preserve">has been </w:t>
      </w:r>
      <w:r w:rsidRPr="1DCF448D">
        <w:rPr>
          <w:rFonts w:eastAsia="Times New Roman" w:cs="Times New Roman"/>
          <w:color w:val="000000" w:themeColor="text1"/>
        </w:rPr>
        <w:t xml:space="preserve">implementing for more than a century </w:t>
      </w:r>
      <w:r>
        <w:rPr>
          <w:rFonts w:eastAsia="Times New Roman" w:cs="Times New Roman"/>
          <w:color w:val="000000" w:themeColor="text1"/>
        </w:rPr>
        <w:t xml:space="preserve">pursuant to its article XIV, section 4, power </w:t>
      </w:r>
      <w:r w:rsidRPr="1DCF448D">
        <w:rPr>
          <w:rFonts w:eastAsia="Times New Roman" w:cs="Times New Roman"/>
          <w:color w:val="000000" w:themeColor="text1"/>
        </w:rPr>
        <w:t xml:space="preserve">is that, with two exceptions that were long ago eliminated, all </w:t>
      </w:r>
      <w:r>
        <w:rPr>
          <w:rFonts w:eastAsia="Times New Roman" w:cs="Times New Roman"/>
          <w:color w:val="000000" w:themeColor="text1"/>
        </w:rPr>
        <w:t xml:space="preserve">wage </w:t>
      </w:r>
      <w:r w:rsidRPr="1DCF448D">
        <w:rPr>
          <w:rFonts w:eastAsia="Times New Roman" w:cs="Times New Roman"/>
          <w:color w:val="000000" w:themeColor="text1"/>
        </w:rPr>
        <w:t xml:space="preserve">workers are entitled to have their employment status determined by </w:t>
      </w:r>
      <w:r w:rsidRPr="00D2769F">
        <w:rPr>
          <w:rFonts w:eastAsia="Times New Roman" w:cs="Times New Roman"/>
          <w:color w:val="000000" w:themeColor="text1"/>
        </w:rPr>
        <w:t>decision</w:t>
      </w:r>
      <w:r w:rsidRPr="00980657">
        <w:rPr>
          <w:rFonts w:eastAsia="Times New Roman" w:cs="Times New Roman"/>
          <w:color w:val="000000" w:themeColor="text1"/>
        </w:rPr>
        <w:t xml:space="preserve"> </w:t>
      </w:r>
      <w:r w:rsidRPr="00D2769F">
        <w:rPr>
          <w:rFonts w:eastAsia="Times New Roman" w:cs="Times New Roman"/>
          <w:color w:val="000000" w:themeColor="text1"/>
        </w:rPr>
        <w:t>makers</w:t>
      </w:r>
      <w:r w:rsidRPr="1DCF448D">
        <w:rPr>
          <w:rFonts w:eastAsia="Times New Roman" w:cs="Times New Roman"/>
          <w:color w:val="000000" w:themeColor="text1"/>
        </w:rPr>
        <w:t xml:space="preserve"> exercising judicial power</w:t>
      </w:r>
      <w:r>
        <w:rPr>
          <w:rFonts w:eastAsia="Times New Roman" w:cs="Times New Roman"/>
          <w:color w:val="000000" w:themeColor="text1"/>
        </w:rPr>
        <w:t>.</w:t>
      </w:r>
    </w:p>
    <w:p w14:paraId="669D14DB" w14:textId="77777777" w:rsidR="00AB000C" w:rsidRPr="00503A42" w:rsidRDefault="00570B35" w:rsidP="00AB000C">
      <w:pPr>
        <w:ind w:firstLine="720"/>
        <w:rPr>
          <w:rFonts w:eastAsia="Times New Roman" w:cs="Times New Roman"/>
          <w:color w:val="000000"/>
        </w:rPr>
      </w:pPr>
      <w:r w:rsidRPr="1DCF448D">
        <w:rPr>
          <w:rFonts w:eastAsia="Times New Roman" w:cs="Times New Roman"/>
          <w:color w:val="000000" w:themeColor="text1"/>
        </w:rPr>
        <w:t xml:space="preserve">By jettisoning </w:t>
      </w:r>
      <w:r>
        <w:rPr>
          <w:rFonts w:eastAsia="Times New Roman" w:cs="Times New Roman"/>
          <w:color w:val="000000" w:themeColor="text1"/>
        </w:rPr>
        <w:t>app-based</w:t>
      </w:r>
      <w:r w:rsidRPr="1DCF448D">
        <w:rPr>
          <w:rFonts w:eastAsia="Times New Roman" w:cs="Times New Roman"/>
          <w:color w:val="000000" w:themeColor="text1"/>
        </w:rPr>
        <w:t xml:space="preserve"> drivers from this constitutionally mandated system, </w:t>
      </w:r>
      <w:r w:rsidRPr="1DCF448D">
        <w:rPr>
          <w:rFonts w:eastAsia="Times New Roman" w:cs="Times New Roman"/>
          <w:color w:val="000000" w:themeColor="text1"/>
        </w:rPr>
        <w:t>the independent contractor definition in Proposition</w:t>
      </w:r>
      <w:r>
        <w:rPr>
          <w:rFonts w:eastAsia="Times New Roman" w:cs="Times New Roman"/>
          <w:color w:val="000000" w:themeColor="text1"/>
        </w:rPr>
        <w:t> </w:t>
      </w:r>
      <w:r w:rsidRPr="1DCF448D">
        <w:rPr>
          <w:rFonts w:eastAsia="Times New Roman" w:cs="Times New Roman"/>
          <w:color w:val="000000" w:themeColor="text1"/>
        </w:rPr>
        <w:t>22 not only violates the plain terms of article XIV, section</w:t>
      </w:r>
      <w:r>
        <w:rPr>
          <w:rFonts w:eastAsia="Times New Roman" w:cs="Times New Roman"/>
          <w:color w:val="000000" w:themeColor="text1"/>
        </w:rPr>
        <w:t> </w:t>
      </w:r>
      <w:r w:rsidRPr="1DCF448D">
        <w:rPr>
          <w:rFonts w:eastAsia="Times New Roman" w:cs="Times New Roman"/>
          <w:color w:val="000000" w:themeColor="text1"/>
        </w:rPr>
        <w:t xml:space="preserve">4—because the system that remains is not “complete,” as the Legislature construed this constitutional requirement in </w:t>
      </w:r>
      <w:r>
        <w:rPr>
          <w:rFonts w:eastAsia="Times New Roman" w:cs="Times New Roman"/>
          <w:color w:val="000000" w:themeColor="text1"/>
        </w:rPr>
        <w:t>the pre</w:t>
      </w:r>
      <w:r>
        <w:rPr>
          <w:rFonts w:eastAsia="Times New Roman" w:cs="Times New Roman"/>
          <w:color w:val="000000" w:themeColor="text1"/>
        </w:rPr>
        <w:noBreakHyphen/>
      </w:r>
      <w:r w:rsidRPr="1DCF448D">
        <w:rPr>
          <w:rFonts w:eastAsia="Times New Roman" w:cs="Times New Roman"/>
          <w:color w:val="000000" w:themeColor="text1"/>
        </w:rPr>
        <w:t>1918</w:t>
      </w:r>
      <w:r>
        <w:rPr>
          <w:rFonts w:eastAsia="Times New Roman" w:cs="Times New Roman"/>
          <w:color w:val="000000" w:themeColor="text1"/>
        </w:rPr>
        <w:t xml:space="preserve"> system</w:t>
      </w:r>
      <w:r w:rsidRPr="1DCF448D">
        <w:rPr>
          <w:rFonts w:eastAsia="Times New Roman" w:cs="Times New Roman"/>
          <w:color w:val="000000" w:themeColor="text1"/>
        </w:rPr>
        <w:t>—but c</w:t>
      </w:r>
      <w:r w:rsidRPr="1DCF448D">
        <w:rPr>
          <w:rFonts w:eastAsia="Times New Roman" w:cs="Times New Roman"/>
          <w:color w:val="000000" w:themeColor="text1"/>
        </w:rPr>
        <w:t>onflicts directly with the Legislature’s recent exercise of its article XIV, section</w:t>
      </w:r>
      <w:r>
        <w:rPr>
          <w:rFonts w:eastAsia="Times New Roman" w:cs="Times New Roman"/>
          <w:color w:val="000000" w:themeColor="text1"/>
        </w:rPr>
        <w:t> </w:t>
      </w:r>
      <w:r w:rsidRPr="1DCF448D">
        <w:rPr>
          <w:rFonts w:eastAsia="Times New Roman" w:cs="Times New Roman"/>
          <w:color w:val="000000" w:themeColor="text1"/>
        </w:rPr>
        <w:t>4, power in Assembly Bill</w:t>
      </w:r>
      <w:r>
        <w:rPr>
          <w:rFonts w:eastAsia="Times New Roman" w:cs="Times New Roman"/>
          <w:color w:val="000000" w:themeColor="text1"/>
        </w:rPr>
        <w:t> </w:t>
      </w:r>
      <w:r w:rsidRPr="1DCF448D">
        <w:rPr>
          <w:rFonts w:eastAsia="Times New Roman" w:cs="Times New Roman"/>
          <w:color w:val="000000" w:themeColor="text1"/>
        </w:rPr>
        <w:t xml:space="preserve">5.  For </w:t>
      </w:r>
      <w:proofErr w:type="gramStart"/>
      <w:r w:rsidRPr="1DCF448D">
        <w:rPr>
          <w:rFonts w:eastAsia="Times New Roman" w:cs="Times New Roman"/>
          <w:color w:val="000000" w:themeColor="text1"/>
        </w:rPr>
        <w:t>both of these</w:t>
      </w:r>
      <w:proofErr w:type="gramEnd"/>
      <w:r w:rsidRPr="1DCF448D">
        <w:rPr>
          <w:rFonts w:eastAsia="Times New Roman" w:cs="Times New Roman"/>
          <w:color w:val="000000" w:themeColor="text1"/>
        </w:rPr>
        <w:t xml:space="preserve"> reasons, Proposition</w:t>
      </w:r>
      <w:r>
        <w:rPr>
          <w:rFonts w:eastAsia="Times New Roman" w:cs="Times New Roman"/>
          <w:color w:val="000000" w:themeColor="text1"/>
        </w:rPr>
        <w:t> </w:t>
      </w:r>
      <w:r w:rsidRPr="1DCF448D">
        <w:rPr>
          <w:rFonts w:eastAsia="Times New Roman" w:cs="Times New Roman"/>
          <w:color w:val="000000" w:themeColor="text1"/>
        </w:rPr>
        <w:t>22 must be invalidated</w:t>
      </w:r>
      <w:r>
        <w:rPr>
          <w:rFonts w:eastAsia="Times New Roman" w:cs="Times New Roman"/>
          <w:color w:val="000000" w:themeColor="text1"/>
        </w:rPr>
        <w:t xml:space="preserve"> as violative of article XIV, section 4</w:t>
      </w:r>
      <w:r w:rsidRPr="1DCF448D">
        <w:rPr>
          <w:rFonts w:eastAsia="Times New Roman" w:cs="Times New Roman"/>
          <w:color w:val="000000" w:themeColor="text1"/>
        </w:rPr>
        <w:t xml:space="preserve">.  </w:t>
      </w:r>
      <w:r>
        <w:rPr>
          <w:rFonts w:eastAsia="Times New Roman" w:cs="Times New Roman"/>
          <w:color w:val="000000" w:themeColor="text1"/>
        </w:rPr>
        <w:t>And because</w:t>
      </w:r>
      <w:r w:rsidRPr="1DCF448D">
        <w:rPr>
          <w:rFonts w:eastAsia="Times New Roman" w:cs="Times New Roman"/>
          <w:color w:val="000000" w:themeColor="text1"/>
        </w:rPr>
        <w:t xml:space="preserve"> Proposition</w:t>
      </w:r>
      <w:r>
        <w:rPr>
          <w:rFonts w:eastAsia="Times New Roman" w:cs="Times New Roman"/>
          <w:color w:val="000000" w:themeColor="text1"/>
        </w:rPr>
        <w:t> </w:t>
      </w:r>
      <w:r w:rsidRPr="1DCF448D">
        <w:rPr>
          <w:rFonts w:eastAsia="Times New Roman" w:cs="Times New Roman"/>
          <w:color w:val="000000" w:themeColor="text1"/>
        </w:rPr>
        <w:t>22 destroys th</w:t>
      </w:r>
      <w:r w:rsidRPr="1DCF448D">
        <w:rPr>
          <w:rFonts w:eastAsia="Times New Roman" w:cs="Times New Roman"/>
          <w:color w:val="000000" w:themeColor="text1"/>
        </w:rPr>
        <w:t xml:space="preserve">e ability of </w:t>
      </w:r>
      <w:r>
        <w:rPr>
          <w:rFonts w:eastAsia="Times New Roman" w:cs="Times New Roman"/>
          <w:color w:val="000000" w:themeColor="text1"/>
        </w:rPr>
        <w:t>app-based</w:t>
      </w:r>
      <w:r w:rsidRPr="1DCF448D">
        <w:rPr>
          <w:rFonts w:eastAsia="Times New Roman" w:cs="Times New Roman"/>
          <w:color w:val="000000" w:themeColor="text1"/>
        </w:rPr>
        <w:t xml:space="preserve"> drivers to have their employment status determined within the judicial branch of government</w:t>
      </w:r>
      <w:r>
        <w:rPr>
          <w:rFonts w:eastAsia="Times New Roman" w:cs="Times New Roman"/>
          <w:color w:val="000000" w:themeColor="text1"/>
        </w:rPr>
        <w:t>, it</w:t>
      </w:r>
      <w:r w:rsidRPr="1DCF448D">
        <w:rPr>
          <w:rFonts w:eastAsia="Times New Roman" w:cs="Times New Roman"/>
          <w:color w:val="000000" w:themeColor="text1"/>
        </w:rPr>
        <w:t xml:space="preserve"> must </w:t>
      </w:r>
      <w:r>
        <w:rPr>
          <w:rFonts w:eastAsia="Times New Roman" w:cs="Times New Roman"/>
          <w:color w:val="000000" w:themeColor="text1"/>
        </w:rPr>
        <w:t xml:space="preserve">also </w:t>
      </w:r>
      <w:r w:rsidRPr="1DCF448D">
        <w:rPr>
          <w:rFonts w:eastAsia="Times New Roman" w:cs="Times New Roman"/>
          <w:color w:val="000000" w:themeColor="text1"/>
        </w:rPr>
        <w:t>be invalidated as violati</w:t>
      </w:r>
      <w:r>
        <w:rPr>
          <w:rFonts w:eastAsia="Times New Roman" w:cs="Times New Roman"/>
          <w:color w:val="000000" w:themeColor="text1"/>
        </w:rPr>
        <w:t>ve</w:t>
      </w:r>
      <w:r w:rsidRPr="1DCF448D">
        <w:rPr>
          <w:rFonts w:eastAsia="Times New Roman" w:cs="Times New Roman"/>
          <w:color w:val="000000" w:themeColor="text1"/>
        </w:rPr>
        <w:t xml:space="preserve"> of article III, section</w:t>
      </w:r>
      <w:r>
        <w:rPr>
          <w:rFonts w:eastAsia="Times New Roman" w:cs="Times New Roman"/>
          <w:color w:val="000000" w:themeColor="text1"/>
        </w:rPr>
        <w:t> </w:t>
      </w:r>
      <w:r w:rsidRPr="1DCF448D">
        <w:rPr>
          <w:rFonts w:eastAsia="Times New Roman" w:cs="Times New Roman"/>
          <w:color w:val="000000" w:themeColor="text1"/>
        </w:rPr>
        <w:t>3.</w:t>
      </w:r>
    </w:p>
    <w:p w14:paraId="3335FF49" w14:textId="77777777" w:rsidR="00AB000C" w:rsidRDefault="00570B35" w:rsidP="00AB000C">
      <w:pPr>
        <w:ind w:firstLine="720"/>
        <w:rPr>
          <w:color w:val="000000"/>
          <w:shd w:val="clear" w:color="auto" w:fill="FFFFFF"/>
        </w:rPr>
      </w:pPr>
      <w:r w:rsidRPr="008B2263">
        <w:rPr>
          <w:color w:val="000000"/>
          <w:shd w:val="clear" w:color="auto" w:fill="FFFFFF"/>
        </w:rPr>
        <w:t>I would affirm in all respects</w:t>
      </w:r>
      <w:r>
        <w:rPr>
          <w:color w:val="000000"/>
          <w:shd w:val="clear" w:color="auto" w:fill="FFFFFF"/>
        </w:rPr>
        <w:t>.</w:t>
      </w:r>
    </w:p>
    <w:p w14:paraId="2BBCED91" w14:textId="7F3E1245" w:rsidR="00733F60" w:rsidRPr="00D31344" w:rsidRDefault="00570B35" w:rsidP="009A7990">
      <w:pPr>
        <w:tabs>
          <w:tab w:val="left" w:pos="5760"/>
        </w:tabs>
        <w:ind w:firstLine="720"/>
      </w:pPr>
      <w:r>
        <w:rPr>
          <w:color w:val="000000"/>
          <w:shd w:val="clear" w:color="auto" w:fill="FFFFFF"/>
        </w:rPr>
        <w:tab/>
        <w:t>STREETER, J.</w:t>
      </w:r>
    </w:p>
    <w:p w14:paraId="0B2B7408" w14:textId="77777777" w:rsidR="000B081D" w:rsidRPr="00D31344" w:rsidRDefault="000B081D" w:rsidP="00204446">
      <w:pPr>
        <w:tabs>
          <w:tab w:val="left" w:pos="5760"/>
        </w:tabs>
        <w:spacing w:line="240" w:lineRule="auto"/>
      </w:pPr>
    </w:p>
    <w:p w14:paraId="0037EABD" w14:textId="77777777" w:rsidR="000B081D" w:rsidRPr="00D31344" w:rsidRDefault="000B081D" w:rsidP="00204446">
      <w:pPr>
        <w:tabs>
          <w:tab w:val="left" w:pos="5760"/>
        </w:tabs>
        <w:spacing w:line="240" w:lineRule="auto"/>
      </w:pPr>
    </w:p>
    <w:p w14:paraId="2758946F" w14:textId="24A244D8" w:rsidR="006430B6" w:rsidRPr="00D31344" w:rsidRDefault="006430B6" w:rsidP="00204446">
      <w:pPr>
        <w:tabs>
          <w:tab w:val="left" w:pos="5760"/>
        </w:tabs>
        <w:spacing w:line="240" w:lineRule="auto"/>
        <w:sectPr w:rsidR="006430B6" w:rsidRPr="00D31344" w:rsidSect="008C15CA">
          <w:footnotePr>
            <w:numRestart w:val="eachSect"/>
          </w:footnotePr>
          <w:pgSz w:w="12240" w:h="15840"/>
          <w:pgMar w:top="1440" w:right="2160" w:bottom="1440" w:left="2160" w:header="720" w:footer="720" w:gutter="0"/>
          <w:pgNumType w:start="1"/>
          <w:cols w:space="720"/>
          <w:docGrid w:linePitch="360"/>
        </w:sectPr>
      </w:pPr>
    </w:p>
    <w:p w14:paraId="6EDFEB8C" w14:textId="02E384F9" w:rsidR="00AC2389" w:rsidRPr="00D31344" w:rsidRDefault="00570B35" w:rsidP="001118E3">
      <w:pPr>
        <w:tabs>
          <w:tab w:val="left" w:pos="1620"/>
        </w:tabs>
        <w:spacing w:line="240" w:lineRule="auto"/>
      </w:pPr>
      <w:r w:rsidRPr="00D31344">
        <w:lastRenderedPageBreak/>
        <w:t>Trial Court:</w:t>
      </w:r>
      <w:r w:rsidR="001118E3" w:rsidRPr="00D31344">
        <w:tab/>
      </w:r>
      <w:r w:rsidRPr="00D31344">
        <w:t>Superior Court of California, County of Alameda</w:t>
      </w:r>
    </w:p>
    <w:p w14:paraId="1F5C5545" w14:textId="77777777" w:rsidR="00AC2389" w:rsidRPr="00D31344" w:rsidRDefault="00AC2389" w:rsidP="00AC2389">
      <w:pPr>
        <w:tabs>
          <w:tab w:val="clear" w:pos="720"/>
          <w:tab w:val="left" w:pos="1620"/>
        </w:tabs>
        <w:spacing w:line="240" w:lineRule="auto"/>
        <w:ind w:left="2160" w:hanging="2160"/>
      </w:pPr>
    </w:p>
    <w:p w14:paraId="343FF1D6" w14:textId="77777777" w:rsidR="00AC2389" w:rsidRPr="00D31344" w:rsidRDefault="00570B35" w:rsidP="00AC2389">
      <w:pPr>
        <w:tabs>
          <w:tab w:val="clear" w:pos="720"/>
          <w:tab w:val="left" w:pos="1620"/>
        </w:tabs>
        <w:spacing w:line="240" w:lineRule="auto"/>
        <w:ind w:left="2160" w:hanging="2160"/>
      </w:pPr>
      <w:r w:rsidRPr="00D31344">
        <w:t>Trial Judge:</w:t>
      </w:r>
      <w:r w:rsidRPr="00D31344">
        <w:tab/>
        <w:t xml:space="preserve">Hon. Frank </w:t>
      </w:r>
      <w:proofErr w:type="spellStart"/>
      <w:r w:rsidRPr="00D31344">
        <w:t>Roesch</w:t>
      </w:r>
      <w:proofErr w:type="spellEnd"/>
    </w:p>
    <w:p w14:paraId="142D7A4F" w14:textId="77777777" w:rsidR="00AC2389" w:rsidRPr="00D31344" w:rsidRDefault="00AC2389" w:rsidP="00AC2389">
      <w:pPr>
        <w:tabs>
          <w:tab w:val="clear" w:pos="720"/>
          <w:tab w:val="left" w:pos="1620"/>
        </w:tabs>
        <w:spacing w:line="240" w:lineRule="auto"/>
        <w:ind w:left="2160" w:hanging="2160"/>
      </w:pPr>
    </w:p>
    <w:p w14:paraId="2FB9DAD4" w14:textId="77777777" w:rsidR="00AC2389" w:rsidRPr="00D31344" w:rsidRDefault="00570B35" w:rsidP="00AC2389">
      <w:pPr>
        <w:tabs>
          <w:tab w:val="clear" w:pos="720"/>
          <w:tab w:val="left" w:pos="1620"/>
        </w:tabs>
        <w:spacing w:line="240" w:lineRule="auto"/>
        <w:ind w:left="2160" w:hanging="2160"/>
      </w:pPr>
      <w:r w:rsidRPr="00D31344">
        <w:t>Counsel:</w:t>
      </w:r>
      <w:r w:rsidRPr="00D31344">
        <w:tab/>
        <w:t xml:space="preserve">Rob Bonta, Attorney General, Thomas S. Patterson, Senior Assistant Attorney General, Mark </w:t>
      </w:r>
      <w:proofErr w:type="spellStart"/>
      <w:r w:rsidRPr="00D31344">
        <w:t>Beckington</w:t>
      </w:r>
      <w:proofErr w:type="spellEnd"/>
      <w:r w:rsidRPr="00D31344">
        <w:t xml:space="preserve">, Supervising Deputy Attorney General and Jose A. </w:t>
      </w:r>
      <w:proofErr w:type="spellStart"/>
      <w:r w:rsidRPr="00D31344">
        <w:t>Zel</w:t>
      </w:r>
      <w:r w:rsidRPr="00D31344">
        <w:t>idon</w:t>
      </w:r>
      <w:proofErr w:type="spellEnd"/>
      <w:r w:rsidRPr="00D31344">
        <w:t>-Zepeda, Deputy Attorney General, for Defendants and Appellants.</w:t>
      </w:r>
    </w:p>
    <w:p w14:paraId="080CBE5A" w14:textId="77777777" w:rsidR="00AC2389" w:rsidRPr="00D31344" w:rsidRDefault="00AC2389" w:rsidP="00AC2389">
      <w:pPr>
        <w:tabs>
          <w:tab w:val="clear" w:pos="720"/>
          <w:tab w:val="left" w:pos="1620"/>
        </w:tabs>
        <w:spacing w:line="240" w:lineRule="auto"/>
        <w:ind w:left="2160" w:hanging="2160"/>
      </w:pPr>
    </w:p>
    <w:p w14:paraId="6BEF332C" w14:textId="77777777" w:rsidR="00AC2389" w:rsidRPr="00D31344" w:rsidRDefault="00570B35" w:rsidP="00AC2389">
      <w:pPr>
        <w:tabs>
          <w:tab w:val="clear" w:pos="720"/>
          <w:tab w:val="left" w:pos="1620"/>
        </w:tabs>
        <w:spacing w:line="240" w:lineRule="auto"/>
        <w:ind w:left="2160" w:hanging="2160"/>
      </w:pPr>
      <w:r w:rsidRPr="00D31344">
        <w:tab/>
        <w:t xml:space="preserve">O’Melveny &amp; Myers, Jeffery L. Fisher; Nielsen </w:t>
      </w:r>
      <w:proofErr w:type="spellStart"/>
      <w:r w:rsidRPr="00D31344">
        <w:t>Merksamer</w:t>
      </w:r>
      <w:proofErr w:type="spellEnd"/>
      <w:r w:rsidRPr="00D31344">
        <w:t xml:space="preserve"> </w:t>
      </w:r>
      <w:proofErr w:type="spellStart"/>
      <w:r w:rsidRPr="00D31344">
        <w:t>Parrinello</w:t>
      </w:r>
      <w:proofErr w:type="spellEnd"/>
      <w:r w:rsidRPr="00D31344">
        <w:t xml:space="preserve"> Gross &amp; Leoni, Arthur G. Scotland, Sean P. Welch, Kurt R. </w:t>
      </w:r>
      <w:proofErr w:type="spellStart"/>
      <w:proofErr w:type="gramStart"/>
      <w:r w:rsidRPr="00D31344">
        <w:t>Oneto</w:t>
      </w:r>
      <w:proofErr w:type="spellEnd"/>
      <w:proofErr w:type="gramEnd"/>
      <w:r w:rsidRPr="00D31344">
        <w:t xml:space="preserve"> and David J. Lazarus, for Interveners and Appellants.</w:t>
      </w:r>
    </w:p>
    <w:p w14:paraId="528B0CD4" w14:textId="77777777" w:rsidR="00AC2389" w:rsidRPr="00D31344" w:rsidRDefault="00AC2389" w:rsidP="00AC2389">
      <w:pPr>
        <w:tabs>
          <w:tab w:val="clear" w:pos="720"/>
          <w:tab w:val="left" w:pos="1620"/>
        </w:tabs>
        <w:spacing w:line="240" w:lineRule="auto"/>
        <w:ind w:left="2160" w:hanging="2160"/>
      </w:pPr>
    </w:p>
    <w:p w14:paraId="3B7805F2" w14:textId="77777777" w:rsidR="00AC2389" w:rsidRPr="00D31344" w:rsidRDefault="00570B35" w:rsidP="00AC2389">
      <w:pPr>
        <w:tabs>
          <w:tab w:val="clear" w:pos="720"/>
          <w:tab w:val="left" w:pos="1620"/>
        </w:tabs>
        <w:spacing w:line="240" w:lineRule="auto"/>
        <w:ind w:left="2160" w:hanging="2160"/>
      </w:pPr>
      <w:r w:rsidRPr="00D31344">
        <w:tab/>
        <w:t xml:space="preserve">DLA Piper, Stanley J. </w:t>
      </w:r>
      <w:proofErr w:type="spellStart"/>
      <w:r w:rsidRPr="00D31344">
        <w:t>Panikowski</w:t>
      </w:r>
      <w:proofErr w:type="spellEnd"/>
      <w:r w:rsidRPr="00D31344">
        <w:t xml:space="preserve"> and Justin R. </w:t>
      </w:r>
      <w:proofErr w:type="spellStart"/>
      <w:r w:rsidRPr="00D31344">
        <w:t>Sarno</w:t>
      </w:r>
      <w:proofErr w:type="spellEnd"/>
      <w:r w:rsidRPr="00D31344">
        <w:t xml:space="preserve"> for Former Attorney General of California Daniel E. Lungren as Amicus Curiae on behalf of Defendants and Appellants.</w:t>
      </w:r>
    </w:p>
    <w:p w14:paraId="0688E218" w14:textId="77777777" w:rsidR="00AC2389" w:rsidRPr="00D31344" w:rsidRDefault="00AC2389" w:rsidP="00AC2389">
      <w:pPr>
        <w:tabs>
          <w:tab w:val="clear" w:pos="720"/>
          <w:tab w:val="left" w:pos="1620"/>
        </w:tabs>
        <w:spacing w:line="240" w:lineRule="auto"/>
      </w:pPr>
    </w:p>
    <w:p w14:paraId="4C5669A4" w14:textId="77777777" w:rsidR="00AC2389" w:rsidRPr="00D31344" w:rsidRDefault="00570B35" w:rsidP="00AC2389">
      <w:pPr>
        <w:tabs>
          <w:tab w:val="clear" w:pos="720"/>
          <w:tab w:val="left" w:pos="1620"/>
        </w:tabs>
        <w:spacing w:line="240" w:lineRule="auto"/>
        <w:ind w:left="2160" w:hanging="2160"/>
      </w:pPr>
      <w:r w:rsidRPr="00D31344">
        <w:tab/>
      </w:r>
      <w:proofErr w:type="spellStart"/>
      <w:r w:rsidRPr="00D31344">
        <w:t>Eimer</w:t>
      </w:r>
      <w:proofErr w:type="spellEnd"/>
      <w:r w:rsidRPr="00D31344">
        <w:t xml:space="preserve"> Stahl, Robert E. Dunn and Collin J. </w:t>
      </w:r>
      <w:proofErr w:type="spellStart"/>
      <w:r w:rsidRPr="00D31344">
        <w:t>Vierra</w:t>
      </w:r>
      <w:proofErr w:type="spellEnd"/>
      <w:r w:rsidRPr="00D31344">
        <w:t xml:space="preserve"> for Citizens in Charge as Amicus </w:t>
      </w:r>
      <w:r w:rsidRPr="00D31344">
        <w:t>Curiae on behalf of Defendants and Appellants.</w:t>
      </w:r>
    </w:p>
    <w:p w14:paraId="2A1F97E3" w14:textId="77777777" w:rsidR="00AC2389" w:rsidRPr="00D31344" w:rsidRDefault="00AC2389" w:rsidP="00AC2389">
      <w:pPr>
        <w:tabs>
          <w:tab w:val="clear" w:pos="720"/>
          <w:tab w:val="left" w:pos="1620"/>
        </w:tabs>
        <w:spacing w:line="240" w:lineRule="auto"/>
        <w:ind w:left="2160" w:hanging="2160"/>
      </w:pPr>
    </w:p>
    <w:p w14:paraId="1912BB1B" w14:textId="77777777" w:rsidR="00AC2389" w:rsidRPr="00D31344" w:rsidRDefault="00570B35" w:rsidP="00AC2389">
      <w:pPr>
        <w:tabs>
          <w:tab w:val="clear" w:pos="720"/>
          <w:tab w:val="left" w:pos="1620"/>
        </w:tabs>
        <w:spacing w:line="240" w:lineRule="auto"/>
        <w:ind w:left="2160" w:hanging="2160"/>
      </w:pPr>
      <w:r w:rsidRPr="00D31344">
        <w:tab/>
        <w:t xml:space="preserve">David A. Carrillo, California Constitution Center, University of California, Berkeley; Benbrook Law Group, Stephen M. Duvernay for California Constitution Center as Amicus Curiae on behalf of Defendants and </w:t>
      </w:r>
      <w:r w:rsidRPr="00D31344">
        <w:t>Appellants.</w:t>
      </w:r>
    </w:p>
    <w:p w14:paraId="7EA0B3E7" w14:textId="77777777" w:rsidR="00AC2389" w:rsidRPr="00D31344" w:rsidRDefault="00AC2389" w:rsidP="00AC2389">
      <w:pPr>
        <w:tabs>
          <w:tab w:val="clear" w:pos="720"/>
          <w:tab w:val="left" w:pos="1620"/>
        </w:tabs>
        <w:spacing w:line="240" w:lineRule="auto"/>
        <w:ind w:left="2160" w:hanging="2160"/>
      </w:pPr>
    </w:p>
    <w:p w14:paraId="76228E7D" w14:textId="784684D3" w:rsidR="00AC2389" w:rsidRPr="00D31344" w:rsidRDefault="00570B35" w:rsidP="00AC2389">
      <w:pPr>
        <w:tabs>
          <w:tab w:val="clear" w:pos="720"/>
          <w:tab w:val="left" w:pos="1620"/>
        </w:tabs>
        <w:spacing w:line="240" w:lineRule="auto"/>
        <w:ind w:left="2160" w:hanging="2160"/>
      </w:pPr>
      <w:r w:rsidRPr="00D31344">
        <w:tab/>
        <w:t xml:space="preserve">Davis Wright Tremaine, Rochelle L. </w:t>
      </w:r>
      <w:proofErr w:type="gramStart"/>
      <w:r w:rsidRPr="00D31344">
        <w:t>Wilcox</w:t>
      </w:r>
      <w:proofErr w:type="gramEnd"/>
      <w:r w:rsidRPr="00D31344">
        <w:t xml:space="preserve"> and Alexa A. </w:t>
      </w:r>
      <w:proofErr w:type="spellStart"/>
      <w:r w:rsidRPr="00D31344">
        <w:t>Graumlich</w:t>
      </w:r>
      <w:proofErr w:type="spellEnd"/>
      <w:r w:rsidRPr="00D31344">
        <w:t xml:space="preserve"> for California Chamber of Commerce as Amicus Curiae on behalf of</w:t>
      </w:r>
      <w:r w:rsidR="000F1522" w:rsidRPr="00D31344">
        <w:t xml:space="preserve"> </w:t>
      </w:r>
      <w:r w:rsidRPr="00D31344">
        <w:t>Defendants and Appellants and Interveners and Appellants.</w:t>
      </w:r>
    </w:p>
    <w:p w14:paraId="003E80F1" w14:textId="77777777" w:rsidR="00C15C4E" w:rsidRPr="00D31344" w:rsidRDefault="00570B35" w:rsidP="00AC2389">
      <w:pPr>
        <w:keepNext/>
        <w:keepLines/>
        <w:tabs>
          <w:tab w:val="clear" w:pos="720"/>
          <w:tab w:val="left" w:pos="1620"/>
        </w:tabs>
        <w:spacing w:line="240" w:lineRule="auto"/>
        <w:ind w:left="2160" w:hanging="2160"/>
      </w:pPr>
      <w:r w:rsidRPr="00D31344">
        <w:lastRenderedPageBreak/>
        <w:tab/>
      </w:r>
    </w:p>
    <w:p w14:paraId="26C14F11" w14:textId="2A8068D3" w:rsidR="00AC2389" w:rsidRPr="00D31344" w:rsidRDefault="00570B35" w:rsidP="00AC2389">
      <w:pPr>
        <w:keepNext/>
        <w:keepLines/>
        <w:tabs>
          <w:tab w:val="clear" w:pos="720"/>
          <w:tab w:val="left" w:pos="1620"/>
        </w:tabs>
        <w:spacing w:line="240" w:lineRule="auto"/>
        <w:ind w:left="2160" w:hanging="2160"/>
      </w:pPr>
      <w:r w:rsidRPr="00D31344">
        <w:tab/>
        <w:t xml:space="preserve">Holtzman Vogel Baran Torchinsky </w:t>
      </w:r>
      <w:proofErr w:type="spellStart"/>
      <w:r w:rsidRPr="00D31344">
        <w:t>Josefiak</w:t>
      </w:r>
      <w:proofErr w:type="spellEnd"/>
      <w:r w:rsidRPr="00D31344">
        <w:t>, Alex Voge</w:t>
      </w:r>
      <w:r w:rsidRPr="00D31344">
        <w:t xml:space="preserve">l, Edward M. </w:t>
      </w:r>
      <w:proofErr w:type="gramStart"/>
      <w:r w:rsidRPr="00D31344">
        <w:t>Wenger</w:t>
      </w:r>
      <w:proofErr w:type="gramEnd"/>
      <w:r w:rsidRPr="00D31344">
        <w:t xml:space="preserve"> and Andrew </w:t>
      </w:r>
      <w:proofErr w:type="spellStart"/>
      <w:r w:rsidRPr="00D31344">
        <w:t>Pardue</w:t>
      </w:r>
      <w:proofErr w:type="spellEnd"/>
      <w:r w:rsidRPr="00D31344">
        <w:t xml:space="preserve"> for California Policy Center as Amicus Curiae on behalf of the Defendants and Appellants and Interveners and Appellants. </w:t>
      </w:r>
    </w:p>
    <w:p w14:paraId="61030A2D" w14:textId="77777777" w:rsidR="00AC2389" w:rsidRPr="00D31344" w:rsidRDefault="00AC2389" w:rsidP="00AC2389">
      <w:pPr>
        <w:tabs>
          <w:tab w:val="clear" w:pos="720"/>
          <w:tab w:val="left" w:pos="1620"/>
        </w:tabs>
        <w:spacing w:line="240" w:lineRule="auto"/>
        <w:ind w:left="2160" w:hanging="2160"/>
      </w:pPr>
    </w:p>
    <w:p w14:paraId="4CAA59BB" w14:textId="77777777" w:rsidR="00AC2389" w:rsidRPr="00D31344" w:rsidRDefault="00570B35" w:rsidP="00AC2389">
      <w:pPr>
        <w:tabs>
          <w:tab w:val="clear" w:pos="720"/>
          <w:tab w:val="left" w:pos="1620"/>
        </w:tabs>
        <w:spacing w:line="240" w:lineRule="auto"/>
        <w:ind w:left="2160" w:hanging="2160"/>
      </w:pPr>
      <w:r w:rsidRPr="00D31344">
        <w:tab/>
      </w:r>
      <w:proofErr w:type="spellStart"/>
      <w:r w:rsidRPr="00D31344">
        <w:t>Willenken</w:t>
      </w:r>
      <w:proofErr w:type="spellEnd"/>
      <w:r w:rsidRPr="00D31344">
        <w:t>, Kenneth M. Trujillo-Jamison for California Asian Pacific Chamber of Commerce, Calif</w:t>
      </w:r>
      <w:r w:rsidRPr="00D31344">
        <w:t>ornia Hispanic Chambers of Commerce, Los Angeles Metropolitan Churches, National Action Network Los Angeles, National Action Network Sacramento Chapter Inc., National Asian American Coalition, and National Diversity Coalition (“Communities-of-Color Organiz</w:t>
      </w:r>
      <w:r w:rsidRPr="00D31344">
        <w:t>ations”) as Amici Curiae on behalf of Defendants and Appellants and Interveners and Appellants.</w:t>
      </w:r>
    </w:p>
    <w:p w14:paraId="3E413EAA" w14:textId="77777777" w:rsidR="00AC2389" w:rsidRPr="00D31344" w:rsidRDefault="00AC2389" w:rsidP="00AC2389">
      <w:pPr>
        <w:tabs>
          <w:tab w:val="clear" w:pos="720"/>
          <w:tab w:val="left" w:pos="1620"/>
        </w:tabs>
        <w:spacing w:line="240" w:lineRule="auto"/>
        <w:ind w:left="2160" w:hanging="2160"/>
      </w:pPr>
    </w:p>
    <w:p w14:paraId="680DD087" w14:textId="77777777" w:rsidR="00AC2389" w:rsidRPr="00D31344" w:rsidRDefault="00570B35" w:rsidP="00AC2389">
      <w:pPr>
        <w:tabs>
          <w:tab w:val="clear" w:pos="720"/>
          <w:tab w:val="left" w:pos="1620"/>
        </w:tabs>
        <w:spacing w:line="240" w:lineRule="auto"/>
        <w:ind w:left="2160" w:hanging="2160"/>
      </w:pPr>
      <w:r w:rsidRPr="00D31344">
        <w:tab/>
        <w:t>Baker Botts, Michael W. Ward for Arnold Schwarzenegger as Amicus Curiae on behalf of Defendants and Appellants and Interveners and Appellants.</w:t>
      </w:r>
    </w:p>
    <w:p w14:paraId="7505C3E6" w14:textId="77777777" w:rsidR="00AC2389" w:rsidRPr="00D31344" w:rsidRDefault="00AC2389" w:rsidP="00AC2389">
      <w:pPr>
        <w:tabs>
          <w:tab w:val="clear" w:pos="720"/>
          <w:tab w:val="left" w:pos="1620"/>
        </w:tabs>
        <w:spacing w:line="240" w:lineRule="auto"/>
        <w:ind w:left="2160" w:hanging="2160"/>
      </w:pPr>
    </w:p>
    <w:p w14:paraId="79394E3B" w14:textId="77777777" w:rsidR="00AC2389" w:rsidRPr="00D31344" w:rsidRDefault="00570B35" w:rsidP="00AC2389">
      <w:pPr>
        <w:tabs>
          <w:tab w:val="clear" w:pos="720"/>
          <w:tab w:val="left" w:pos="1620"/>
        </w:tabs>
        <w:spacing w:line="240" w:lineRule="auto"/>
        <w:ind w:left="2160" w:hanging="2160"/>
      </w:pPr>
      <w:r w:rsidRPr="00D31344">
        <w:tab/>
        <w:t xml:space="preserve">Howard </w:t>
      </w:r>
      <w:r w:rsidRPr="00D31344">
        <w:t xml:space="preserve">Jarvis Taxpayers Foundation, Jonathan M. </w:t>
      </w:r>
      <w:proofErr w:type="spellStart"/>
      <w:r w:rsidRPr="00D31344">
        <w:t>Coupal</w:t>
      </w:r>
      <w:proofErr w:type="spellEnd"/>
      <w:r w:rsidRPr="00D31344">
        <w:t xml:space="preserve">, Timothy A. </w:t>
      </w:r>
      <w:proofErr w:type="spellStart"/>
      <w:r w:rsidRPr="00D31344">
        <w:t>Bittle</w:t>
      </w:r>
      <w:proofErr w:type="spellEnd"/>
      <w:r w:rsidRPr="00D31344">
        <w:t xml:space="preserve"> and Laura E. Dougherty for Howard Jarvis Taxpayers Association as Amicus Curiae on behalf of Defendants and Appellants and Interveners and Appellants.</w:t>
      </w:r>
    </w:p>
    <w:p w14:paraId="267B1B0E" w14:textId="77777777" w:rsidR="00AC2389" w:rsidRPr="00D31344" w:rsidRDefault="00AC2389" w:rsidP="00AC2389">
      <w:pPr>
        <w:tabs>
          <w:tab w:val="clear" w:pos="720"/>
          <w:tab w:val="left" w:pos="1620"/>
        </w:tabs>
        <w:spacing w:line="240" w:lineRule="auto"/>
        <w:ind w:left="2160" w:hanging="2160"/>
      </w:pPr>
    </w:p>
    <w:p w14:paraId="5BC9B808" w14:textId="77777777" w:rsidR="00AC2389" w:rsidRPr="00D31344" w:rsidRDefault="00570B35" w:rsidP="00AC2389">
      <w:pPr>
        <w:tabs>
          <w:tab w:val="clear" w:pos="720"/>
          <w:tab w:val="left" w:pos="1620"/>
        </w:tabs>
        <w:spacing w:line="240" w:lineRule="auto"/>
        <w:ind w:left="2160" w:hanging="2160"/>
      </w:pPr>
      <w:r w:rsidRPr="00D31344">
        <w:tab/>
        <w:t xml:space="preserve">Jenner &amp; Block, Laurie J. </w:t>
      </w:r>
      <w:proofErr w:type="gramStart"/>
      <w:r w:rsidRPr="00D31344">
        <w:t>Edelstein</w:t>
      </w:r>
      <w:proofErr w:type="gramEnd"/>
      <w:r w:rsidRPr="00D31344">
        <w:t xml:space="preserve"> </w:t>
      </w:r>
      <w:r w:rsidRPr="00D31344">
        <w:t xml:space="preserve">and Adam G. </w:t>
      </w:r>
      <w:proofErr w:type="spellStart"/>
      <w:r w:rsidRPr="00D31344">
        <w:t>Unikowsky</w:t>
      </w:r>
      <w:proofErr w:type="spellEnd"/>
      <w:r w:rsidRPr="00D31344">
        <w:t xml:space="preserve"> for Chamber of Commerce of the United States of America as Amicus Curiae on behalf of Defendants and Appellants and Interveners and Appellants.</w:t>
      </w:r>
    </w:p>
    <w:p w14:paraId="64A603D7" w14:textId="77777777" w:rsidR="00AC2389" w:rsidRPr="00D31344" w:rsidRDefault="00AC2389" w:rsidP="00AC2389">
      <w:pPr>
        <w:tabs>
          <w:tab w:val="clear" w:pos="720"/>
          <w:tab w:val="left" w:pos="1620"/>
        </w:tabs>
        <w:spacing w:line="240" w:lineRule="auto"/>
        <w:ind w:left="2160" w:hanging="2160"/>
      </w:pPr>
    </w:p>
    <w:p w14:paraId="4FEE2F63" w14:textId="77777777" w:rsidR="00AC2389" w:rsidRPr="00D31344" w:rsidRDefault="00570B35" w:rsidP="00AC2389">
      <w:pPr>
        <w:keepNext/>
        <w:keepLines/>
        <w:tabs>
          <w:tab w:val="clear" w:pos="720"/>
          <w:tab w:val="left" w:pos="1620"/>
        </w:tabs>
        <w:spacing w:line="240" w:lineRule="auto"/>
        <w:ind w:left="2160" w:hanging="2160"/>
      </w:pPr>
      <w:r w:rsidRPr="00D31344">
        <w:lastRenderedPageBreak/>
        <w:tab/>
        <w:t xml:space="preserve">King &amp; Spalding, Albert </w:t>
      </w:r>
      <w:proofErr w:type="spellStart"/>
      <w:r w:rsidRPr="00D31344">
        <w:t>Giang</w:t>
      </w:r>
      <w:proofErr w:type="spellEnd"/>
      <w:r w:rsidRPr="00D31344">
        <w:t xml:space="preserve">, Jeffery Hammer and Ramon A. </w:t>
      </w:r>
      <w:proofErr w:type="spellStart"/>
      <w:r w:rsidRPr="00D31344">
        <w:t>Miyar</w:t>
      </w:r>
      <w:proofErr w:type="spellEnd"/>
      <w:r w:rsidRPr="00D31344">
        <w:t xml:space="preserve"> for Marketplace Industr</w:t>
      </w:r>
      <w:r w:rsidRPr="00D31344">
        <w:t>y Association, Inc. as Amicus Curiae on behalf of Defendants and Appellants and Interveners and Appellants.</w:t>
      </w:r>
    </w:p>
    <w:p w14:paraId="7F9CD276" w14:textId="77777777" w:rsidR="00AC2389" w:rsidRPr="00D31344" w:rsidRDefault="00AC2389" w:rsidP="00AC2389">
      <w:pPr>
        <w:tabs>
          <w:tab w:val="clear" w:pos="720"/>
          <w:tab w:val="left" w:pos="1620"/>
        </w:tabs>
        <w:spacing w:line="240" w:lineRule="auto"/>
        <w:ind w:left="2160" w:hanging="2160"/>
      </w:pPr>
    </w:p>
    <w:p w14:paraId="3E42EF7B" w14:textId="77777777" w:rsidR="00AC2389" w:rsidRPr="00D31344" w:rsidRDefault="00570B35" w:rsidP="00AC2389">
      <w:pPr>
        <w:tabs>
          <w:tab w:val="clear" w:pos="720"/>
          <w:tab w:val="left" w:pos="1620"/>
        </w:tabs>
        <w:spacing w:line="240" w:lineRule="auto"/>
        <w:ind w:left="2160" w:hanging="2160"/>
      </w:pPr>
      <w:r w:rsidRPr="00D31344">
        <w:tab/>
      </w:r>
      <w:proofErr w:type="spellStart"/>
      <w:r w:rsidRPr="00D31344">
        <w:t>Buchalter</w:t>
      </w:r>
      <w:proofErr w:type="spellEnd"/>
      <w:r w:rsidRPr="00D31344">
        <w:t xml:space="preserve">, Steven G. Churchwell and Berit Elam for Daniel </w:t>
      </w:r>
      <w:proofErr w:type="spellStart"/>
      <w:r w:rsidRPr="00D31344">
        <w:t>Schnur</w:t>
      </w:r>
      <w:proofErr w:type="spellEnd"/>
      <w:r w:rsidRPr="00D31344">
        <w:t xml:space="preserve">, T. Anthony </w:t>
      </w:r>
      <w:proofErr w:type="gramStart"/>
      <w:r w:rsidRPr="00D31344">
        <w:t>Quinn</w:t>
      </w:r>
      <w:proofErr w:type="gramEnd"/>
      <w:r w:rsidRPr="00D31344">
        <w:t xml:space="preserve"> and Robert M. Stern as Amici Curiae on behalf of Defendants and</w:t>
      </w:r>
      <w:r w:rsidRPr="00D31344">
        <w:t xml:space="preserve"> Appellants and Interveners and Appellants.</w:t>
      </w:r>
    </w:p>
    <w:p w14:paraId="28EA09D7" w14:textId="77777777" w:rsidR="00AC2389" w:rsidRPr="00D31344" w:rsidRDefault="00AC2389" w:rsidP="00AC2389">
      <w:pPr>
        <w:tabs>
          <w:tab w:val="clear" w:pos="720"/>
          <w:tab w:val="left" w:pos="1620"/>
        </w:tabs>
        <w:spacing w:line="240" w:lineRule="auto"/>
        <w:ind w:left="2160" w:hanging="2160"/>
      </w:pPr>
    </w:p>
    <w:p w14:paraId="358853E0" w14:textId="77777777" w:rsidR="00AC2389" w:rsidRPr="00D31344" w:rsidRDefault="00570B35" w:rsidP="00AC2389">
      <w:pPr>
        <w:tabs>
          <w:tab w:val="clear" w:pos="720"/>
          <w:tab w:val="left" w:pos="1620"/>
        </w:tabs>
        <w:spacing w:line="240" w:lineRule="auto"/>
        <w:ind w:left="2160" w:hanging="2160"/>
      </w:pPr>
      <w:r w:rsidRPr="00D31344">
        <w:tab/>
      </w:r>
      <w:proofErr w:type="spellStart"/>
      <w:r w:rsidRPr="00D31344">
        <w:t>weintraub</w:t>
      </w:r>
      <w:proofErr w:type="spellEnd"/>
      <w:r w:rsidRPr="00D31344">
        <w:t xml:space="preserve"> </w:t>
      </w:r>
      <w:proofErr w:type="spellStart"/>
      <w:r w:rsidRPr="00D31344">
        <w:t>tobin</w:t>
      </w:r>
      <w:proofErr w:type="spellEnd"/>
      <w:r w:rsidRPr="00D31344">
        <w:t xml:space="preserve"> </w:t>
      </w:r>
      <w:proofErr w:type="spellStart"/>
      <w:r w:rsidRPr="00D31344">
        <w:t>chediak</w:t>
      </w:r>
      <w:proofErr w:type="spellEnd"/>
      <w:r w:rsidRPr="00D31344">
        <w:t xml:space="preserve"> </w:t>
      </w:r>
      <w:proofErr w:type="spellStart"/>
      <w:r w:rsidRPr="00D31344">
        <w:t>coleman</w:t>
      </w:r>
      <w:proofErr w:type="spellEnd"/>
      <w:r w:rsidRPr="00D31344">
        <w:t xml:space="preserve"> </w:t>
      </w:r>
      <w:proofErr w:type="spellStart"/>
      <w:r w:rsidRPr="00D31344">
        <w:t>grodin</w:t>
      </w:r>
      <w:proofErr w:type="spellEnd"/>
      <w:r w:rsidRPr="00D31344">
        <w:t xml:space="preserve">, Brendan J. Begley for Independent Drivers Alliance of California, Kelly Rickert, Ali </w:t>
      </w:r>
      <w:proofErr w:type="spellStart"/>
      <w:r w:rsidRPr="00D31344">
        <w:t>Mazhin</w:t>
      </w:r>
      <w:proofErr w:type="spellEnd"/>
      <w:r w:rsidRPr="00D31344">
        <w:t xml:space="preserve"> and Stephanie Whitfield as Amici Curiae on behalf of Defendants and Appellants</w:t>
      </w:r>
      <w:r w:rsidRPr="00D31344">
        <w:t xml:space="preserve"> and Interveners and Appellants.</w:t>
      </w:r>
    </w:p>
    <w:p w14:paraId="4A0678E3" w14:textId="77777777" w:rsidR="00AC2389" w:rsidRPr="00D31344" w:rsidRDefault="00AC2389" w:rsidP="00AC2389">
      <w:pPr>
        <w:tabs>
          <w:tab w:val="clear" w:pos="720"/>
          <w:tab w:val="left" w:pos="1620"/>
        </w:tabs>
        <w:spacing w:line="240" w:lineRule="auto"/>
        <w:ind w:left="2160" w:hanging="2160"/>
      </w:pPr>
    </w:p>
    <w:p w14:paraId="7558855D" w14:textId="77777777" w:rsidR="00AC2389" w:rsidRPr="00D31344" w:rsidRDefault="00570B35" w:rsidP="00AC2389">
      <w:pPr>
        <w:tabs>
          <w:tab w:val="clear" w:pos="720"/>
          <w:tab w:val="left" w:pos="1620"/>
        </w:tabs>
        <w:spacing w:line="240" w:lineRule="auto"/>
        <w:ind w:left="2160" w:hanging="2160"/>
      </w:pPr>
      <w:r w:rsidRPr="00D31344">
        <w:tab/>
        <w:t xml:space="preserve">Olson </w:t>
      </w:r>
      <w:proofErr w:type="spellStart"/>
      <w:r w:rsidRPr="00D31344">
        <w:t>Remcho</w:t>
      </w:r>
      <w:proofErr w:type="spellEnd"/>
      <w:r w:rsidRPr="00D31344">
        <w:t xml:space="preserve">, Robin B. Johansen, Richard R. Rios, Deborah B.  Caplan, Benjamin N. </w:t>
      </w:r>
      <w:proofErr w:type="spellStart"/>
      <w:r w:rsidRPr="00D31344">
        <w:t>Gevercer</w:t>
      </w:r>
      <w:proofErr w:type="spellEnd"/>
      <w:r w:rsidRPr="00D31344">
        <w:t xml:space="preserve">; </w:t>
      </w:r>
      <w:proofErr w:type="spellStart"/>
      <w:r w:rsidRPr="00D31344">
        <w:t>Altshuler</w:t>
      </w:r>
      <w:proofErr w:type="spellEnd"/>
      <w:r w:rsidRPr="00D31344">
        <w:t xml:space="preserve"> </w:t>
      </w:r>
      <w:proofErr w:type="spellStart"/>
      <w:r w:rsidRPr="00D31344">
        <w:t>Berzon</w:t>
      </w:r>
      <w:proofErr w:type="spellEnd"/>
      <w:r w:rsidRPr="00D31344">
        <w:t xml:space="preserve">, Stephen P </w:t>
      </w:r>
      <w:proofErr w:type="spellStart"/>
      <w:r w:rsidRPr="00D31344">
        <w:t>Berzon</w:t>
      </w:r>
      <w:proofErr w:type="spellEnd"/>
      <w:r w:rsidRPr="00D31344">
        <w:t xml:space="preserve">, Scott A. </w:t>
      </w:r>
      <w:proofErr w:type="spellStart"/>
      <w:r w:rsidRPr="00D31344">
        <w:t>Kronland</w:t>
      </w:r>
      <w:proofErr w:type="spellEnd"/>
      <w:r w:rsidRPr="00D31344">
        <w:t xml:space="preserve">, Stacey M. Leyton, </w:t>
      </w:r>
      <w:proofErr w:type="spellStart"/>
      <w:r w:rsidRPr="00D31344">
        <w:t>Juhyung</w:t>
      </w:r>
      <w:proofErr w:type="spellEnd"/>
      <w:r w:rsidRPr="00D31344">
        <w:t xml:space="preserve"> Harold Lee for Plaintiffs and Respondents Hector</w:t>
      </w:r>
      <w:r w:rsidRPr="00D31344">
        <w:t xml:space="preserve"> Castellanos, Joseph Delgado, Saori Okawa and Michael Robinson.</w:t>
      </w:r>
    </w:p>
    <w:p w14:paraId="60012603" w14:textId="77777777" w:rsidR="00AC2389" w:rsidRPr="00D31344" w:rsidRDefault="00AC2389" w:rsidP="00AC2389">
      <w:pPr>
        <w:tabs>
          <w:tab w:val="clear" w:pos="720"/>
          <w:tab w:val="left" w:pos="1620"/>
        </w:tabs>
        <w:spacing w:line="240" w:lineRule="auto"/>
        <w:ind w:left="2160" w:hanging="2160"/>
      </w:pPr>
    </w:p>
    <w:p w14:paraId="271C2A37" w14:textId="77777777" w:rsidR="00AC2389" w:rsidRPr="00D31344" w:rsidRDefault="00570B35" w:rsidP="00AC2389">
      <w:pPr>
        <w:tabs>
          <w:tab w:val="clear" w:pos="720"/>
          <w:tab w:val="left" w:pos="1620"/>
        </w:tabs>
        <w:spacing w:line="240" w:lineRule="auto"/>
        <w:ind w:left="2160" w:hanging="2160"/>
      </w:pPr>
      <w:r w:rsidRPr="00D31344">
        <w:tab/>
        <w:t xml:space="preserve">Service Employees International Union, Nicole G. Berner and Steven K. </w:t>
      </w:r>
      <w:proofErr w:type="spellStart"/>
      <w:r w:rsidRPr="00D31344">
        <w:t>Ury</w:t>
      </w:r>
      <w:proofErr w:type="spellEnd"/>
      <w:r w:rsidRPr="00D31344">
        <w:t xml:space="preserve"> for Plaintiff and Respondent Service Employees International Union.</w:t>
      </w:r>
    </w:p>
    <w:p w14:paraId="5BEAB611" w14:textId="77777777" w:rsidR="009668DB" w:rsidRPr="00D31344" w:rsidRDefault="00570B35" w:rsidP="00AC2389">
      <w:pPr>
        <w:tabs>
          <w:tab w:val="clear" w:pos="720"/>
          <w:tab w:val="left" w:pos="1620"/>
        </w:tabs>
        <w:spacing w:line="240" w:lineRule="auto"/>
        <w:ind w:left="2160" w:hanging="2160"/>
      </w:pPr>
      <w:r w:rsidRPr="00D31344">
        <w:tab/>
      </w:r>
    </w:p>
    <w:p w14:paraId="215C79EB" w14:textId="353E7365" w:rsidR="009668DB" w:rsidRPr="00D31344" w:rsidRDefault="00570B35" w:rsidP="001F763B">
      <w:pPr>
        <w:tabs>
          <w:tab w:val="clear" w:pos="720"/>
          <w:tab w:val="left" w:pos="1620"/>
        </w:tabs>
        <w:spacing w:line="240" w:lineRule="auto"/>
        <w:ind w:left="2160" w:hanging="2160"/>
      </w:pPr>
      <w:r w:rsidRPr="00D31344">
        <w:tab/>
      </w:r>
      <w:r w:rsidR="00AC2389" w:rsidRPr="00D31344">
        <w:t xml:space="preserve">Richard L. </w:t>
      </w:r>
      <w:proofErr w:type="spellStart"/>
      <w:r w:rsidR="00AC2389" w:rsidRPr="00D31344">
        <w:t>Hasen</w:t>
      </w:r>
      <w:proofErr w:type="spellEnd"/>
      <w:r w:rsidR="00AC2389" w:rsidRPr="00D31344">
        <w:t xml:space="preserve">; Public Counsel, Mark D. </w:t>
      </w:r>
      <w:proofErr w:type="gramStart"/>
      <w:r w:rsidR="00AC2389" w:rsidRPr="00D31344">
        <w:t>Rosenbaum</w:t>
      </w:r>
      <w:proofErr w:type="gramEnd"/>
      <w:r w:rsidR="00AC2389" w:rsidRPr="00D31344">
        <w:t xml:space="preserve"> and Kathryn </w:t>
      </w:r>
      <w:proofErr w:type="spellStart"/>
      <w:r w:rsidR="00AC2389" w:rsidRPr="00D31344">
        <w:t>Eidmann</w:t>
      </w:r>
      <w:proofErr w:type="spellEnd"/>
      <w:r w:rsidR="00AC2389" w:rsidRPr="00D31344">
        <w:t xml:space="preserve"> for California Election Law Professors as Amicus Curiae on behalf of Plaintiffs and Respondents.</w:t>
      </w:r>
    </w:p>
    <w:p w14:paraId="09BD9BB1" w14:textId="7829E09C" w:rsidR="00AC2389" w:rsidRPr="00D31344" w:rsidRDefault="00570B35" w:rsidP="00AC2389">
      <w:pPr>
        <w:keepNext/>
        <w:keepLines/>
        <w:tabs>
          <w:tab w:val="clear" w:pos="720"/>
          <w:tab w:val="left" w:pos="1620"/>
        </w:tabs>
        <w:spacing w:line="240" w:lineRule="auto"/>
        <w:ind w:left="2160" w:hanging="2160"/>
      </w:pPr>
      <w:r w:rsidRPr="00D31344">
        <w:lastRenderedPageBreak/>
        <w:tab/>
      </w:r>
      <w:proofErr w:type="spellStart"/>
      <w:r w:rsidRPr="00D31344">
        <w:t>Hina</w:t>
      </w:r>
      <w:proofErr w:type="spellEnd"/>
      <w:r w:rsidRPr="00D31344">
        <w:t xml:space="preserve"> B. Shah, Women’s Employment Rights Clinic, Golden Gate University School of Law Benjamin Beach, </w:t>
      </w:r>
      <w:proofErr w:type="spellStart"/>
      <w:r w:rsidRPr="00D31344">
        <w:t>PowerSwitch</w:t>
      </w:r>
      <w:proofErr w:type="spellEnd"/>
      <w:r w:rsidRPr="00D31344">
        <w:t xml:space="preserve"> Action; Nayantara </w:t>
      </w:r>
      <w:r w:rsidRPr="00D31344">
        <w:t xml:space="preserve">Mehta and Brian Chen, National Employment Law Project, for Gig Workers Rising, Mobile Workers Alliance, Rideshare Drivers United-California, We Drive Progress, A Better Balance, </w:t>
      </w:r>
      <w:proofErr w:type="spellStart"/>
      <w:r w:rsidRPr="00D31344">
        <w:t>ACCE</w:t>
      </w:r>
      <w:proofErr w:type="spellEnd"/>
      <w:r w:rsidRPr="00D31344">
        <w:t xml:space="preserve"> Institute, Action Center on Race &amp; the Economy, Asian Americans Advancing</w:t>
      </w:r>
      <w:r w:rsidRPr="00D31344">
        <w:t xml:space="preserve"> Justice – Los Angeles, Bet Tzedek, California Employment Lawyers Association, California Immigrant Policy Center, Centro Legal de la Raza, Chinese Progressive Association, Economic Policy Institute, Jobs With Justice Education Fund and Jobs With Justice S</w:t>
      </w:r>
      <w:r w:rsidRPr="00D31344">
        <w:t>an Francisco, Lawyers Committee for Civil Rights of the San Francisco Bay Area, Legal Aid at Work, Los Angeles Black Worker Center, Maintenance Cooperation Trust Fund, National Black Worker Center, National Council for Occupational Safety and Health, Natio</w:t>
      </w:r>
      <w:r w:rsidRPr="00D31344">
        <w:t xml:space="preserve">nal Domestic Workers Alliance, National Employment Law Project, Pilipino Workers Center, </w:t>
      </w:r>
      <w:proofErr w:type="spellStart"/>
      <w:r w:rsidRPr="00D31344">
        <w:t>PowerSwitch</w:t>
      </w:r>
      <w:proofErr w:type="spellEnd"/>
      <w:r w:rsidRPr="00D31344">
        <w:t xml:space="preserve"> Action, Public Rights Project, Santa Clara County Wage Theft Coalition, Women’s Employment Rights Clinic of Golden Gate University School of Law and </w:t>
      </w:r>
      <w:proofErr w:type="spellStart"/>
      <w:r w:rsidRPr="00D31344">
        <w:t>Worksa</w:t>
      </w:r>
      <w:r w:rsidRPr="00D31344">
        <w:t>fe</w:t>
      </w:r>
      <w:proofErr w:type="spellEnd"/>
      <w:r w:rsidRPr="00D31344">
        <w:t>, as Amici Curiae on behalf of Plaintiffs and Respondents.</w:t>
      </w:r>
    </w:p>
    <w:p w14:paraId="27B16A49" w14:textId="31F67E10" w:rsidR="00FA7C06" w:rsidRPr="00D31344" w:rsidRDefault="00FA7C06" w:rsidP="00EF3927">
      <w:pPr>
        <w:tabs>
          <w:tab w:val="clear" w:pos="720"/>
          <w:tab w:val="left" w:pos="1620"/>
        </w:tabs>
        <w:spacing w:line="240" w:lineRule="auto"/>
      </w:pPr>
    </w:p>
    <w:p w14:paraId="11AF6626" w14:textId="3EFB1DE0" w:rsidR="00AC2389" w:rsidRPr="00D31344" w:rsidRDefault="00570B35" w:rsidP="00AC2389">
      <w:pPr>
        <w:tabs>
          <w:tab w:val="clear" w:pos="720"/>
          <w:tab w:val="left" w:pos="1620"/>
        </w:tabs>
        <w:spacing w:line="240" w:lineRule="auto"/>
        <w:ind w:left="2160" w:hanging="2160"/>
      </w:pPr>
      <w:r w:rsidRPr="00D31344">
        <w:tab/>
        <w:t>Bush Gottlieb, Julie Gutman Dickinson,</w:t>
      </w:r>
      <w:r w:rsidR="00D500B9" w:rsidRPr="00D31344">
        <w:t xml:space="preserve"> </w:t>
      </w:r>
      <w:r w:rsidRPr="00D31344">
        <w:t>Hector De </w:t>
      </w:r>
      <w:proofErr w:type="spellStart"/>
      <w:r w:rsidRPr="00D31344">
        <w:t>Haro</w:t>
      </w:r>
      <w:proofErr w:type="spellEnd"/>
      <w:r w:rsidRPr="00D31344">
        <w:t>, and Luke Taylor for International Brotherhood of Teamsters Local 848 and The Los Angeles County Federation of Labor, AFL-CIO, as Amici Cur</w:t>
      </w:r>
      <w:r w:rsidRPr="00D31344">
        <w:t>iae on behalf of Plaintiffs and Respondents.</w:t>
      </w:r>
    </w:p>
    <w:p w14:paraId="05FCEBEE" w14:textId="77777777" w:rsidR="00BB1DE8" w:rsidRPr="00D31344" w:rsidRDefault="00570B35" w:rsidP="00AC2389">
      <w:pPr>
        <w:keepNext/>
        <w:keepLines/>
        <w:tabs>
          <w:tab w:val="clear" w:pos="720"/>
          <w:tab w:val="left" w:pos="1620"/>
        </w:tabs>
        <w:spacing w:line="240" w:lineRule="auto"/>
        <w:ind w:left="2160" w:hanging="2160"/>
      </w:pPr>
      <w:r w:rsidRPr="00D31344">
        <w:lastRenderedPageBreak/>
        <w:tab/>
      </w:r>
    </w:p>
    <w:p w14:paraId="10EE7934" w14:textId="1DD354D9" w:rsidR="00AC2389" w:rsidRPr="00D31344" w:rsidRDefault="00570B35" w:rsidP="00AC2389">
      <w:pPr>
        <w:keepNext/>
        <w:keepLines/>
        <w:tabs>
          <w:tab w:val="clear" w:pos="720"/>
          <w:tab w:val="left" w:pos="1620"/>
        </w:tabs>
        <w:spacing w:line="240" w:lineRule="auto"/>
        <w:ind w:left="2160" w:hanging="2160"/>
      </w:pPr>
      <w:r w:rsidRPr="00D31344">
        <w:tab/>
        <w:t xml:space="preserve">City of San Francisco, David Chiu, City Attorney, Sara J. Eisenberg, Chief of Complex and Affirmative Litigation, and Molly J. Alarcon Deputy City Attorney; City of Oakland, Barbara J. Parker, City </w:t>
      </w:r>
      <w:r w:rsidRPr="00D31344">
        <w:t xml:space="preserve">Attorney, Maria Bee, Chief Assistant City Attorney, Zoe </w:t>
      </w:r>
      <w:proofErr w:type="spellStart"/>
      <w:r w:rsidRPr="00D31344">
        <w:t>Savitsky</w:t>
      </w:r>
      <w:proofErr w:type="spellEnd"/>
      <w:r w:rsidRPr="00D31344">
        <w:t xml:space="preserve">, Supervising Deputy City Attorney and Katherine Read, Fellowship Attorney; City of Los Angeles, Michael N. Feuer, City Attorney, Kathleen </w:t>
      </w:r>
      <w:proofErr w:type="spellStart"/>
      <w:r w:rsidRPr="00D31344">
        <w:t>Kenealy</w:t>
      </w:r>
      <w:proofErr w:type="spellEnd"/>
      <w:r w:rsidRPr="00D31344">
        <w:t>, Chief Assistant City Attorney, and Michael J</w:t>
      </w:r>
      <w:r w:rsidRPr="00D31344">
        <w:t>. Bostrom, Senior Assistant City Attorney for the Cities of San Francisco, Oakland and Los Angeles as Amici Curiae on behalf of Plaintiffs and Respondents.</w:t>
      </w:r>
    </w:p>
    <w:p w14:paraId="27AC789D" w14:textId="77777777" w:rsidR="00AC2389" w:rsidRPr="00D31344" w:rsidRDefault="00AC2389" w:rsidP="00AC2389">
      <w:pPr>
        <w:tabs>
          <w:tab w:val="clear" w:pos="720"/>
          <w:tab w:val="left" w:pos="1620"/>
        </w:tabs>
        <w:spacing w:line="240" w:lineRule="auto"/>
        <w:ind w:left="2160" w:hanging="2160"/>
      </w:pPr>
    </w:p>
    <w:p w14:paraId="1E9BE5C5" w14:textId="77777777" w:rsidR="00AC2389" w:rsidRPr="00D31344" w:rsidRDefault="00570B35" w:rsidP="00AC2389">
      <w:pPr>
        <w:tabs>
          <w:tab w:val="clear" w:pos="720"/>
          <w:tab w:val="left" w:pos="1620"/>
        </w:tabs>
        <w:spacing w:line="240" w:lineRule="auto"/>
        <w:ind w:left="2160" w:hanging="2160"/>
      </w:pPr>
      <w:r w:rsidRPr="00D31344">
        <w:tab/>
        <w:t xml:space="preserve">Eric M. Overholt and Andrew W. Lockard for California Applicants’ Attorneys Association as Amicus </w:t>
      </w:r>
      <w:r w:rsidRPr="00D31344">
        <w:t>Curiae on behalf of Plaintiffs and Respondents.</w:t>
      </w:r>
    </w:p>
    <w:p w14:paraId="5DCA7C06" w14:textId="77777777" w:rsidR="00AC2389" w:rsidRPr="00D31344" w:rsidRDefault="00AC2389" w:rsidP="00AC2389">
      <w:pPr>
        <w:tabs>
          <w:tab w:val="clear" w:pos="720"/>
          <w:tab w:val="left" w:pos="1620"/>
        </w:tabs>
        <w:spacing w:line="240" w:lineRule="auto"/>
        <w:ind w:left="2160" w:hanging="2160"/>
      </w:pPr>
    </w:p>
    <w:p w14:paraId="3C04DAA1" w14:textId="77777777" w:rsidR="00AC2389" w:rsidRPr="00D31344" w:rsidRDefault="00570B35" w:rsidP="00AC2389">
      <w:pPr>
        <w:tabs>
          <w:tab w:val="clear" w:pos="720"/>
          <w:tab w:val="left" w:pos="1620"/>
        </w:tabs>
        <w:spacing w:line="240" w:lineRule="auto"/>
        <w:ind w:left="2160" w:hanging="2160"/>
      </w:pPr>
      <w:r w:rsidRPr="00D31344">
        <w:tab/>
        <w:t xml:space="preserve">Catherine L. Fisk, University of California, Berkeley; Veena </w:t>
      </w:r>
      <w:proofErr w:type="spellStart"/>
      <w:r w:rsidRPr="00D31344">
        <w:t>Dubal</w:t>
      </w:r>
      <w:proofErr w:type="spellEnd"/>
      <w:r w:rsidRPr="00D31344">
        <w:t xml:space="preserve"> and Joseph </w:t>
      </w:r>
      <w:proofErr w:type="spellStart"/>
      <w:r w:rsidRPr="00D31344">
        <w:t>Grodin</w:t>
      </w:r>
      <w:proofErr w:type="spellEnd"/>
      <w:r w:rsidRPr="00D31344">
        <w:t xml:space="preserve">, Emeritus Professor of Law, University of California, Hastings College of Law, for Labor Law Professors Sameer </w:t>
      </w:r>
      <w:proofErr w:type="spellStart"/>
      <w:r w:rsidRPr="00D31344">
        <w:t>Ashar</w:t>
      </w:r>
      <w:proofErr w:type="spellEnd"/>
      <w:r w:rsidRPr="00D31344">
        <w:t>, Vee</w:t>
      </w:r>
      <w:r w:rsidRPr="00D31344">
        <w:t xml:space="preserve">na </w:t>
      </w:r>
      <w:proofErr w:type="spellStart"/>
      <w:r w:rsidRPr="00D31344">
        <w:t>Dubal</w:t>
      </w:r>
      <w:proofErr w:type="spellEnd"/>
      <w:r w:rsidRPr="00D31344">
        <w:t xml:space="preserve">, Catherine Fisk, Charlotte Garden, Joseph </w:t>
      </w:r>
      <w:proofErr w:type="spellStart"/>
      <w:r w:rsidRPr="00D31344">
        <w:t>Grodin</w:t>
      </w:r>
      <w:proofErr w:type="spellEnd"/>
      <w:r w:rsidRPr="00D31344">
        <w:t xml:space="preserve">, William B. Gould IV, Stephen Lee, Sanjukta Paul, Leticia Saucedo, Reuel Schiller, Katherine Stone and Noah D. </w:t>
      </w:r>
      <w:proofErr w:type="spellStart"/>
      <w:r w:rsidRPr="00D31344">
        <w:t>Zatz</w:t>
      </w:r>
      <w:proofErr w:type="spellEnd"/>
      <w:r w:rsidRPr="00D31344">
        <w:t xml:space="preserve"> as Amici Curiae on behalf of Plaintiffs and Respondents. </w:t>
      </w:r>
    </w:p>
    <w:p w14:paraId="463B4EB7" w14:textId="77777777" w:rsidR="007603DF" w:rsidRPr="00D31344" w:rsidRDefault="007603DF" w:rsidP="00204446">
      <w:pPr>
        <w:tabs>
          <w:tab w:val="left" w:pos="5760"/>
        </w:tabs>
        <w:spacing w:line="240" w:lineRule="auto"/>
      </w:pPr>
    </w:p>
    <w:sectPr w:rsidR="007603DF" w:rsidRPr="00D31344" w:rsidSect="008C15CA">
      <w:footerReference w:type="default" r:id="rId20"/>
      <w:headerReference w:type="first" r:id="rId21"/>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AE29" w14:textId="77777777" w:rsidR="00000000" w:rsidRDefault="00570B35">
      <w:pPr>
        <w:spacing w:line="240" w:lineRule="auto"/>
      </w:pPr>
      <w:r>
        <w:separator/>
      </w:r>
    </w:p>
  </w:endnote>
  <w:endnote w:type="continuationSeparator" w:id="0">
    <w:p w14:paraId="69684602" w14:textId="77777777" w:rsidR="00000000" w:rsidRDefault="00570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Schoolbook">
    <w:charset w:val="00"/>
    <w:family w:val="auto"/>
    <w:pitch w:val="default"/>
    <w:sig w:usb0="00000003" w:usb1="00000000" w:usb2="00000000" w:usb3="00000000" w:csb0="00000001" w:csb1="00000000"/>
  </w:font>
  <w:font w:name="NewCenturySchlbkLTPro-Roman">
    <w:altName w:val="Cambria"/>
    <w:charset w:val="00"/>
    <w:family w:val="roman"/>
    <w:pitch w:val="default"/>
    <w:sig w:usb0="00000003" w:usb1="00000000" w:usb2="00000000" w:usb3="00000000" w:csb0="00000001" w:csb1="00000000"/>
  </w:font>
  <w:font w:name="CenturySchoolbook-Italic">
    <w:altName w:val="Cambria"/>
    <w:charset w:val="00"/>
    <w:family w:val="roman"/>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B3DB" w14:textId="77777777" w:rsidR="003E4633" w:rsidRDefault="00570B35" w:rsidP="00694E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2B9E78" w14:textId="77777777" w:rsidR="003E4633" w:rsidRDefault="00570B35" w:rsidP="00694E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6B2720" w14:textId="77777777" w:rsidR="003E4633" w:rsidRDefault="003E4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175814"/>
      <w:docPartObj>
        <w:docPartGallery w:val="Page Numbers (Bottom of Page)"/>
        <w:docPartUnique/>
      </w:docPartObj>
    </w:sdtPr>
    <w:sdtEndPr>
      <w:rPr>
        <w:noProof/>
      </w:rPr>
    </w:sdtEndPr>
    <w:sdtContent>
      <w:p w14:paraId="7C2E11A7" w14:textId="77777777" w:rsidR="003E4633" w:rsidRDefault="00570B35" w:rsidP="00215D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3F4A" w14:textId="77777777" w:rsidR="003E4633" w:rsidRDefault="003E4633">
    <w:pPr>
      <w:pStyle w:val="Footer"/>
    </w:pPr>
  </w:p>
  <w:p w14:paraId="0C4DE735" w14:textId="77777777" w:rsidR="003E4633" w:rsidRDefault="003E46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B50F" w14:textId="77777777" w:rsidR="00765C02" w:rsidRDefault="00570B35" w:rsidP="00694E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44837C32" w14:textId="77777777" w:rsidR="00765C02" w:rsidRDefault="00570B35" w:rsidP="00694E8F">
    <w:pPr>
      <w:pStyle w:val="Footer"/>
      <w:framePr w:wrap="around" w:vAnchor="text" w:hAnchor="margin" w:xAlign="center" w:y="1"/>
      <w:rPr>
        <w:rStyle w:val="PageNumber"/>
      </w:rPr>
    </w:pPr>
    <w:r>
      <w:rPr>
        <w:rStyle w:val="PageNumber"/>
      </w:rPr>
      <w:fldChar w:fldCharType="begin"/>
    </w:r>
    <w:r>
      <w:rPr>
        <w:rStyle w:val="PageNumber"/>
      </w:rPr>
      <w:instrText xml:space="preserve"> P</w:instrText>
    </w:r>
    <w:r>
      <w:rPr>
        <w:rStyle w:val="PageNumber"/>
      </w:rPr>
      <w:instrText xml:space="preserve">AGE </w:instrText>
    </w:r>
    <w:r>
      <w:rPr>
        <w:rStyle w:val="PageNumber"/>
      </w:rPr>
      <w:fldChar w:fldCharType="separate"/>
    </w:r>
    <w:r>
      <w:rPr>
        <w:rStyle w:val="PageNumber"/>
      </w:rPr>
      <w:fldChar w:fldCharType="end"/>
    </w:r>
  </w:p>
  <w:p w14:paraId="78C43631" w14:textId="77777777" w:rsidR="00765C02" w:rsidRDefault="00765C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36835"/>
      <w:docPartObj>
        <w:docPartGallery w:val="Page Numbers (Bottom of Page)"/>
        <w:docPartUnique/>
      </w:docPartObj>
    </w:sdtPr>
    <w:sdtEndPr>
      <w:rPr>
        <w:noProof/>
      </w:rPr>
    </w:sdtEndPr>
    <w:sdtContent>
      <w:p w14:paraId="4B7B0583" w14:textId="66A327A1" w:rsidR="00765C02" w:rsidRDefault="00570B35" w:rsidP="00215D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907" w14:textId="6D8A75F4" w:rsidR="006F14D0" w:rsidRDefault="006F14D0">
    <w:pPr>
      <w:pStyle w:val="Footer"/>
    </w:pPr>
  </w:p>
  <w:p w14:paraId="0469640E" w14:textId="3FC1974D" w:rsidR="00451E9C" w:rsidRDefault="00451E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8E5B" w14:textId="185CBB2B" w:rsidR="0030246F" w:rsidRDefault="0030246F" w:rsidP="001624A6">
    <w:pPr>
      <w:pStyle w:val="Footer"/>
      <w:tabs>
        <w:tab w:val="clear" w:pos="720"/>
        <w:tab w:val="clear" w:pos="4680"/>
        <w:tab w:val="clear" w:pos="9360"/>
      </w:tabs>
    </w:pPr>
  </w:p>
  <w:p w14:paraId="5D3085F2" w14:textId="2B6BF9E2" w:rsidR="0030246F" w:rsidRDefault="0030246F" w:rsidP="001624A6">
    <w:pPr>
      <w:pStyle w:val="Footer"/>
      <w:tabs>
        <w:tab w:val="clear" w:pos="720"/>
        <w:tab w:val="clear" w:pos="4680"/>
        <w:tab w:val="clear" w:pos="9360"/>
      </w:tabs>
    </w:pPr>
  </w:p>
  <w:sdt>
    <w:sdtPr>
      <w:id w:val="1798872424"/>
      <w:docPartObj>
        <w:docPartGallery w:val="Page Numbers (Bottom of Page)"/>
        <w:docPartUnique/>
      </w:docPartObj>
    </w:sdtPr>
    <w:sdtEndPr>
      <w:rPr>
        <w:noProof/>
      </w:rPr>
    </w:sdtEndPr>
    <w:sdtContent>
      <w:p w14:paraId="07FA9EEA" w14:textId="77777777" w:rsidR="001624A6" w:rsidRDefault="001624A6" w:rsidP="001624A6">
        <w:pPr>
          <w:pStyle w:val="Footer"/>
          <w:tabs>
            <w:tab w:val="clear" w:pos="720"/>
            <w:tab w:val="clear" w:pos="4680"/>
            <w:tab w:val="clear" w:pos="9360"/>
          </w:tabs>
          <w:rPr>
            <w:sz w:val="20"/>
            <w:szCs w:val="20"/>
          </w:rPr>
        </w:pPr>
      </w:p>
      <w:sdt>
        <w:sdtPr>
          <w:rPr>
            <w:sz w:val="20"/>
            <w:szCs w:val="20"/>
          </w:rPr>
          <w:id w:val="-754891619"/>
          <w:docPartObj>
            <w:docPartGallery w:val="Page Numbers (Bottom of Page)"/>
            <w:docPartUnique/>
          </w:docPartObj>
        </w:sdtPr>
        <w:sdtEndPr/>
        <w:sdtContent>
          <w:p w14:paraId="3514DA8D" w14:textId="282AAB4E" w:rsidR="001624A6" w:rsidRDefault="001624A6" w:rsidP="001624A6">
            <w:pPr>
              <w:pStyle w:val="Footer"/>
              <w:tabs>
                <w:tab w:val="clear" w:pos="720"/>
                <w:tab w:val="clear" w:pos="4680"/>
                <w:tab w:val="clear" w:pos="9360"/>
              </w:tabs>
              <w:rPr>
                <w:sz w:val="20"/>
                <w:szCs w:val="20"/>
              </w:rPr>
            </w:pPr>
          </w:p>
          <w:p w14:paraId="7C1133F4" w14:textId="77777777" w:rsidR="001624A6" w:rsidRPr="00652AD1" w:rsidRDefault="00570B35" w:rsidP="001624A6">
            <w:pPr>
              <w:pStyle w:val="Footer"/>
              <w:tabs>
                <w:tab w:val="clear" w:pos="720"/>
                <w:tab w:val="clear" w:pos="4680"/>
                <w:tab w:val="clear" w:pos="9360"/>
              </w:tabs>
              <w:rPr>
                <w:sz w:val="20"/>
                <w:szCs w:val="20"/>
              </w:rPr>
            </w:pPr>
            <w:r>
              <w:rPr>
                <w:i/>
                <w:iCs/>
                <w:sz w:val="20"/>
                <w:szCs w:val="20"/>
              </w:rPr>
              <w:t xml:space="preserve">Castellanos v. State of California </w:t>
            </w:r>
            <w:r w:rsidRPr="00C17254">
              <w:rPr>
                <w:sz w:val="20"/>
                <w:szCs w:val="20"/>
              </w:rPr>
              <w:t>– A</w:t>
            </w:r>
            <w:r>
              <w:rPr>
                <w:sz w:val="20"/>
                <w:szCs w:val="20"/>
              </w:rPr>
              <w:t>163655</w:t>
            </w:r>
          </w:p>
        </w:sdtContent>
      </w:sdt>
      <w:p w14:paraId="3B030496" w14:textId="77777777" w:rsidR="001624A6" w:rsidRDefault="001624A6" w:rsidP="001624A6">
        <w:pPr>
          <w:pStyle w:val="Footer"/>
        </w:pPr>
      </w:p>
      <w:p w14:paraId="6F89E961" w14:textId="3C9B4B98" w:rsidR="00451E9C" w:rsidRDefault="00570B35" w:rsidP="00215D2F">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8BB9" w14:textId="77777777" w:rsidR="001F125D" w:rsidRDefault="00570B35" w:rsidP="00765C02">
      <w:pPr>
        <w:spacing w:line="240" w:lineRule="auto"/>
      </w:pPr>
      <w:r>
        <w:separator/>
      </w:r>
    </w:p>
  </w:footnote>
  <w:footnote w:type="continuationSeparator" w:id="0">
    <w:p w14:paraId="2720AEC2" w14:textId="77777777" w:rsidR="001F125D" w:rsidRDefault="00570B35" w:rsidP="00765C02">
      <w:pPr>
        <w:spacing w:line="240" w:lineRule="auto"/>
      </w:pPr>
      <w:r>
        <w:continuationSeparator/>
      </w:r>
    </w:p>
  </w:footnote>
  <w:footnote w:type="continuationNotice" w:id="1">
    <w:p w14:paraId="5B07AB4A" w14:textId="77777777" w:rsidR="001F125D" w:rsidRDefault="001F125D">
      <w:pPr>
        <w:spacing w:line="240" w:lineRule="auto"/>
      </w:pPr>
    </w:p>
  </w:footnote>
  <w:footnote w:id="2">
    <w:p w14:paraId="3E50BFDF" w14:textId="77777777" w:rsidR="003E4633" w:rsidRDefault="00570B35" w:rsidP="003E4633">
      <w:pPr>
        <w:spacing w:line="240" w:lineRule="auto"/>
      </w:pPr>
      <w:r>
        <w:tab/>
      </w:r>
      <w:r>
        <w:rPr>
          <w:rStyle w:val="FootnoteReference"/>
        </w:rPr>
        <w:t>*</w:t>
      </w:r>
      <w:r>
        <w:t xml:space="preserve"> Brown, P. J., Streeter, J., Pollak, J. (</w:t>
      </w:r>
      <w:r w:rsidRPr="002F3359">
        <w:t xml:space="preserve">Retired Presiding Justice of the Court of Appeal, First Appellate District, Division Four, assigned by the Chief </w:t>
      </w:r>
      <w:r w:rsidRPr="002F3359">
        <w:t>Justice pursuant to article VI, section 6 of the California Constitution</w:t>
      </w:r>
      <w:r>
        <w:t>).</w:t>
      </w:r>
    </w:p>
  </w:footnote>
  <w:footnote w:id="3">
    <w:p w14:paraId="386B9FCB" w14:textId="77777777" w:rsidR="00B0017E" w:rsidRPr="002F3359" w:rsidRDefault="00570B35" w:rsidP="00B0017E">
      <w:pPr>
        <w:pStyle w:val="FootnoteText"/>
        <w:ind w:firstLine="720"/>
      </w:pPr>
      <w:r w:rsidRPr="002F3359">
        <w:rPr>
          <w:rStyle w:val="FootnoteReference"/>
        </w:rPr>
        <w:footnoteRef/>
      </w:r>
      <w:r w:rsidRPr="002F3359">
        <w:t xml:space="preserve"> Undesignated statutory citations are to the Business and Professions Code.</w:t>
      </w:r>
    </w:p>
  </w:footnote>
  <w:footnote w:id="4">
    <w:p w14:paraId="30748156" w14:textId="5DC3E118" w:rsidR="0019513D" w:rsidRPr="002F3359" w:rsidRDefault="00570B35" w:rsidP="0019513D">
      <w:pPr>
        <w:pStyle w:val="FootnoteText"/>
        <w:ind w:firstLine="720"/>
      </w:pPr>
      <w:r w:rsidRPr="002F3359">
        <w:rPr>
          <w:rStyle w:val="FootnoteReference"/>
        </w:rPr>
        <w:footnoteRef/>
      </w:r>
      <w:r w:rsidRPr="002F3359">
        <w:t xml:space="preserve"> U</w:t>
      </w:r>
      <w:r w:rsidRPr="002F3359">
        <w:rPr>
          <w:szCs w:val="26"/>
        </w:rPr>
        <w:t>ndesignated citations to constitutional articles and sections are to the California Constitution.</w:t>
      </w:r>
    </w:p>
  </w:footnote>
  <w:footnote w:id="5">
    <w:p w14:paraId="5327E54B" w14:textId="59F292F3" w:rsidR="00E404D2" w:rsidRPr="002F3359" w:rsidRDefault="00570B35" w:rsidP="00B97EFF">
      <w:pPr>
        <w:pStyle w:val="FootnoteText"/>
        <w:ind w:firstLine="720"/>
      </w:pPr>
      <w:r w:rsidRPr="002F3359">
        <w:rPr>
          <w:rStyle w:val="FootnoteReference"/>
        </w:rPr>
        <w:footnoteRef/>
      </w:r>
      <w:r w:rsidRPr="002F3359">
        <w:t xml:space="preserve"> T</w:t>
      </w:r>
      <w:r w:rsidRPr="002F3359">
        <w:t>he specific conditions section 7451 imposes for an app-based driver to qualify as an independent contractor are</w:t>
      </w:r>
      <w:proofErr w:type="gramStart"/>
      <w:r w:rsidRPr="002F3359">
        <w:t>:  “</w:t>
      </w:r>
      <w:proofErr w:type="gramEnd"/>
      <w:r w:rsidRPr="002F3359">
        <w:t>(a)</w:t>
      </w:r>
      <w:r w:rsidR="00F32A68" w:rsidRPr="002F3359">
        <w:t> </w:t>
      </w:r>
      <w:r w:rsidRPr="002F3359">
        <w:t>The network company does not unilaterally prescribe specific dates, times of day, or a minimum number of hours during which the app-based</w:t>
      </w:r>
      <w:r w:rsidRPr="002F3359">
        <w:t xml:space="preserve"> driver must be logged into the network company</w:t>
      </w:r>
      <w:r w:rsidR="0046124E" w:rsidRPr="002F3359">
        <w:t>’</w:t>
      </w:r>
      <w:r w:rsidRPr="002F3359">
        <w:t>s online-enabled application or platform. [¶] (b)</w:t>
      </w:r>
      <w:r w:rsidR="00F32A68" w:rsidRPr="002F3359">
        <w:t> </w:t>
      </w:r>
      <w:r w:rsidRPr="002F3359">
        <w:t>The network company does not require the app-based driver to accept any specific rideshare service or delivery service request as a condition of maintaining a</w:t>
      </w:r>
      <w:r w:rsidRPr="002F3359">
        <w:t>ccess to the network company</w:t>
      </w:r>
      <w:r w:rsidR="008F5569" w:rsidRPr="002F3359">
        <w:t>’</w:t>
      </w:r>
      <w:r w:rsidRPr="002F3359">
        <w:t>s online-enabled application or platform. [¶] (c)</w:t>
      </w:r>
      <w:r w:rsidR="00F32A68" w:rsidRPr="002F3359">
        <w:t> </w:t>
      </w:r>
      <w:r w:rsidRPr="002F3359">
        <w:t xml:space="preserve">The network company does not restrict the app-based driver from performing rideshare services or delivery services through other network companies except during engaged </w:t>
      </w:r>
      <w:r w:rsidRPr="002F3359">
        <w:t>time. [¶] (d)</w:t>
      </w:r>
      <w:r w:rsidR="00F32A68" w:rsidRPr="002F3359">
        <w:t> </w:t>
      </w:r>
      <w:r w:rsidRPr="002F3359">
        <w:t xml:space="preserve">The network company does not restrict the app-based driver from working in any other lawful occupation or business.” </w:t>
      </w:r>
    </w:p>
  </w:footnote>
  <w:footnote w:id="6">
    <w:p w14:paraId="2C3FEA20" w14:textId="1F428256" w:rsidR="0001463C" w:rsidRPr="002F3359" w:rsidRDefault="00570B35" w:rsidP="0001463C">
      <w:pPr>
        <w:pStyle w:val="FootnoteText"/>
        <w:ind w:firstLine="720"/>
      </w:pPr>
      <w:r w:rsidRPr="002F3359">
        <w:rPr>
          <w:rStyle w:val="FootnoteReference"/>
        </w:rPr>
        <w:footnoteRef/>
      </w:r>
      <w:r w:rsidRPr="002F3359">
        <w:t xml:space="preserve"> The provision was originally found in article XX, section</w:t>
      </w:r>
      <w:r w:rsidR="00BA4A71" w:rsidRPr="002F3359">
        <w:t> </w:t>
      </w:r>
      <w:r w:rsidRPr="002F3359">
        <w:t xml:space="preserve">21.  (See </w:t>
      </w:r>
      <w:r w:rsidRPr="002F3359">
        <w:rPr>
          <w:i/>
        </w:rPr>
        <w:t>Mathews v. Workmen’s Comp. Appeals Bd.</w:t>
      </w:r>
      <w:r w:rsidRPr="002F3359">
        <w:t xml:space="preserve"> (1972) 6</w:t>
      </w:r>
      <w:r w:rsidR="00402193" w:rsidRPr="002F3359">
        <w:t> </w:t>
      </w:r>
      <w:r w:rsidRPr="002F3359">
        <w:t>Cal.3d</w:t>
      </w:r>
      <w:r w:rsidRPr="002F3359">
        <w:t xml:space="preserve"> 719, 724, fn. 2, 734</w:t>
      </w:r>
      <w:r w:rsidR="00B23312" w:rsidRPr="002F3359">
        <w:t xml:space="preserve"> (</w:t>
      </w:r>
      <w:r w:rsidR="00B23312" w:rsidRPr="002F3359">
        <w:rPr>
          <w:i/>
          <w:iCs/>
        </w:rPr>
        <w:t>Mathews</w:t>
      </w:r>
      <w:r w:rsidR="00B23312" w:rsidRPr="002F3359">
        <w:t>)</w:t>
      </w:r>
      <w:r w:rsidRPr="002F3359">
        <w:t xml:space="preserve">.)  It was renumbered in a constitutional reorganization in 1976, without substantive change.  (See </w:t>
      </w:r>
      <w:r w:rsidRPr="002F3359">
        <w:rPr>
          <w:i/>
        </w:rPr>
        <w:t>Pacific Legal Foundation v. Brown</w:t>
      </w:r>
      <w:r w:rsidRPr="002F3359">
        <w:t xml:space="preserve"> (1981) 29</w:t>
      </w:r>
      <w:r w:rsidR="003D0A5A" w:rsidRPr="002F3359">
        <w:t> </w:t>
      </w:r>
      <w:r w:rsidRPr="002F3359">
        <w:t>Cal.3d 168, 184, fn.</w:t>
      </w:r>
      <w:r w:rsidR="003D0A5A" w:rsidRPr="002F3359">
        <w:t> </w:t>
      </w:r>
      <w:r w:rsidRPr="002F3359">
        <w:t xml:space="preserve">8; Ballot </w:t>
      </w:r>
      <w:proofErr w:type="spellStart"/>
      <w:r w:rsidRPr="002F3359">
        <w:t>Pamp</w:t>
      </w:r>
      <w:proofErr w:type="spellEnd"/>
      <w:r w:rsidRPr="002F3359">
        <w:t>., Prim. Elec. (June</w:t>
      </w:r>
      <w:r w:rsidR="003D0A5A" w:rsidRPr="002F3359">
        <w:t> </w:t>
      </w:r>
      <w:r w:rsidRPr="002F3359">
        <w:t xml:space="preserve">8, 1976) </w:t>
      </w:r>
      <w:r w:rsidR="00281644" w:rsidRPr="002F3359">
        <w:br/>
      </w:r>
      <w:r w:rsidRPr="002F3359">
        <w:t>pp.</w:t>
      </w:r>
      <w:r w:rsidR="003D0A5A" w:rsidRPr="002F3359">
        <w:t> </w:t>
      </w:r>
      <w:r w:rsidRPr="002F3359">
        <w:t>58</w:t>
      </w:r>
      <w:r w:rsidR="009208FA" w:rsidRPr="002F3359">
        <w:t>–</w:t>
      </w:r>
      <w:r w:rsidRPr="002F3359">
        <w:t>59.)  Fo</w:t>
      </w:r>
      <w:r w:rsidRPr="002F3359">
        <w:t xml:space="preserve">r simplicity, we refer to this provision using its current numbering, regardless of the </w:t>
      </w:r>
      <w:proofErr w:type="gramStart"/>
      <w:r w:rsidRPr="002F3359">
        <w:t>time period</w:t>
      </w:r>
      <w:proofErr w:type="gramEnd"/>
      <w:r w:rsidRPr="002F3359">
        <w:t xml:space="preserve"> at issue.</w:t>
      </w:r>
    </w:p>
  </w:footnote>
  <w:footnote w:id="7">
    <w:p w14:paraId="347C3615" w14:textId="3D5E1813" w:rsidR="001E6DB3" w:rsidRPr="002F3359" w:rsidRDefault="00570B35" w:rsidP="00B0085A">
      <w:pPr>
        <w:pStyle w:val="FootnoteText"/>
        <w:ind w:firstLine="720"/>
      </w:pPr>
      <w:r w:rsidRPr="002F3359">
        <w:rPr>
          <w:rStyle w:val="FootnoteReference"/>
        </w:rPr>
        <w:footnoteRef/>
      </w:r>
      <w:r w:rsidRPr="002F3359">
        <w:t xml:space="preserve"> Additional portions of article XIV, section 4 </w:t>
      </w:r>
      <w:proofErr w:type="gramStart"/>
      <w:r w:rsidRPr="002F3359">
        <w:t>are</w:t>
      </w:r>
      <w:proofErr w:type="gramEnd"/>
      <w:r w:rsidRPr="002F3359">
        <w:t xml:space="preserve"> quoted in </w:t>
      </w:r>
      <w:r w:rsidR="00922FE1" w:rsidRPr="002F3359">
        <w:t xml:space="preserve">other </w:t>
      </w:r>
      <w:r w:rsidR="006375B9" w:rsidRPr="002F3359">
        <w:t>parts of this opinion.  (See, e.g., f</w:t>
      </w:r>
      <w:r w:rsidR="00F15C61" w:rsidRPr="002F3359">
        <w:t>n.</w:t>
      </w:r>
      <w:r w:rsidR="00D128F4" w:rsidRPr="002F3359">
        <w:t> </w:t>
      </w:r>
      <w:r w:rsidR="00393904" w:rsidRPr="002F3359">
        <w:t>11</w:t>
      </w:r>
      <w:r w:rsidR="00D915C6" w:rsidRPr="002F3359">
        <w:t xml:space="preserve"> and pp.</w:t>
      </w:r>
      <w:r w:rsidR="00911559" w:rsidRPr="002F3359">
        <w:t> </w:t>
      </w:r>
      <w:r w:rsidR="00D915C6" w:rsidRPr="002F3359">
        <w:t>26</w:t>
      </w:r>
      <w:r w:rsidR="00060FC9" w:rsidRPr="002F3359">
        <w:t>–</w:t>
      </w:r>
      <w:r w:rsidR="00A44422" w:rsidRPr="002F3359">
        <w:t>28</w:t>
      </w:r>
      <w:r w:rsidR="006375B9" w:rsidRPr="002F3359">
        <w:t xml:space="preserve">, </w:t>
      </w:r>
      <w:r w:rsidR="006127A1" w:rsidRPr="002F3359">
        <w:rPr>
          <w:i/>
          <w:iCs/>
        </w:rPr>
        <w:t>post</w:t>
      </w:r>
      <w:r w:rsidR="00A44422" w:rsidRPr="002F3359">
        <w:rPr>
          <w:i/>
          <w:iCs/>
        </w:rPr>
        <w:t>.</w:t>
      </w:r>
      <w:r w:rsidR="00A44422" w:rsidRPr="002F3359">
        <w:t>)</w:t>
      </w:r>
    </w:p>
  </w:footnote>
  <w:footnote w:id="8">
    <w:p w14:paraId="153465AB" w14:textId="1B8410A1" w:rsidR="00B5763A" w:rsidRPr="002F3359" w:rsidRDefault="00570B35" w:rsidP="00D20B76">
      <w:pPr>
        <w:pStyle w:val="FootnoteText"/>
        <w:ind w:firstLine="720"/>
      </w:pPr>
      <w:r w:rsidRPr="002F3359">
        <w:rPr>
          <w:rStyle w:val="FootnoteReference"/>
        </w:rPr>
        <w:footnoteRef/>
      </w:r>
      <w:r w:rsidRPr="002F3359">
        <w:t xml:space="preserve"> Article II, section 10(c) states</w:t>
      </w:r>
      <w:r w:rsidR="00D20B76" w:rsidRPr="002F3359">
        <w:t xml:space="preserve"> in </w:t>
      </w:r>
      <w:r w:rsidR="00F43185" w:rsidRPr="002F3359">
        <w:t>pertinent part</w:t>
      </w:r>
      <w:r w:rsidR="00D20B76" w:rsidRPr="002F3359">
        <w:t>, “The Legislature may amend or repeal an initiative statute by another statute that becomes effective only when approved by the electors unless the initiative statute permits amendment or repeal without the electors’ approval.”</w:t>
      </w:r>
    </w:p>
  </w:footnote>
  <w:footnote w:id="9">
    <w:p w14:paraId="2F9F6354" w14:textId="3D98BA44" w:rsidR="00B23312" w:rsidRPr="002F3359" w:rsidRDefault="00570B35" w:rsidP="00B23312">
      <w:pPr>
        <w:pStyle w:val="FootnoteText"/>
        <w:ind w:firstLine="720"/>
      </w:pPr>
      <w:r w:rsidRPr="002F3359">
        <w:rPr>
          <w:rStyle w:val="FootnoteReference"/>
        </w:rPr>
        <w:footnoteRef/>
      </w:r>
      <w:r w:rsidRPr="002F3359">
        <w:t xml:space="preserve"> This aspect of </w:t>
      </w:r>
      <w:r w:rsidRPr="002F3359">
        <w:rPr>
          <w:i/>
        </w:rPr>
        <w:t>McPherson</w:t>
      </w:r>
      <w:r w:rsidRPr="002F3359">
        <w:t xml:space="preserve"> answers the contention underlying much of the dissenting opinion that article XIV, section 4 delegates power specifically to the Legislature and not the voters.  (Conc. &amp; dis. </w:t>
      </w:r>
      <w:proofErr w:type="spellStart"/>
      <w:r w:rsidRPr="002F3359">
        <w:t>opn</w:t>
      </w:r>
      <w:proofErr w:type="spellEnd"/>
      <w:r w:rsidRPr="002F3359">
        <w:t xml:space="preserve">., </w:t>
      </w:r>
      <w:r w:rsidRPr="002F3359">
        <w:rPr>
          <w:i/>
          <w:iCs/>
        </w:rPr>
        <w:t>post</w:t>
      </w:r>
      <w:r w:rsidRPr="002F3359">
        <w:t xml:space="preserve">, at p. </w:t>
      </w:r>
      <w:r w:rsidR="00197646" w:rsidRPr="002F3359">
        <w:t>3</w:t>
      </w:r>
      <w:r w:rsidR="00BD456F" w:rsidRPr="002F3359">
        <w:t>0</w:t>
      </w:r>
      <w:r w:rsidRPr="002F3359">
        <w:t>.)  The d</w:t>
      </w:r>
      <w:r w:rsidRPr="002F3359">
        <w:t xml:space="preserve">issenting opinion’s view rests </w:t>
      </w:r>
      <w:r w:rsidR="00A04A43" w:rsidRPr="002F3359">
        <w:t xml:space="preserve">primarily </w:t>
      </w:r>
      <w:r w:rsidRPr="002F3359">
        <w:t>on the fact that article XIV, section 4 is not self-executing</w:t>
      </w:r>
      <w:r w:rsidR="00A04A43" w:rsidRPr="002F3359">
        <w:t xml:space="preserve">.  </w:t>
      </w:r>
      <w:r w:rsidRPr="002F3359">
        <w:t xml:space="preserve">(Conc. &amp; dis. </w:t>
      </w:r>
      <w:proofErr w:type="spellStart"/>
      <w:r w:rsidRPr="002F3359">
        <w:t>opn</w:t>
      </w:r>
      <w:proofErr w:type="spellEnd"/>
      <w:r w:rsidRPr="002F3359">
        <w:t xml:space="preserve">., </w:t>
      </w:r>
      <w:r w:rsidRPr="002F3359">
        <w:rPr>
          <w:i/>
          <w:iCs/>
        </w:rPr>
        <w:t>post</w:t>
      </w:r>
      <w:r w:rsidRPr="002F3359">
        <w:t xml:space="preserve">, at pp. </w:t>
      </w:r>
      <w:r w:rsidR="004E4A65" w:rsidRPr="002F3359">
        <w:t>3</w:t>
      </w:r>
      <w:r w:rsidR="00BD456F" w:rsidRPr="002F3359">
        <w:t>0</w:t>
      </w:r>
      <w:r w:rsidR="007C3CDC" w:rsidRPr="002F3359">
        <w:t>–</w:t>
      </w:r>
      <w:r w:rsidR="00052CDE" w:rsidRPr="002F3359">
        <w:t>3</w:t>
      </w:r>
      <w:r w:rsidR="00BD456F" w:rsidRPr="002F3359">
        <w:t>1</w:t>
      </w:r>
      <w:r w:rsidRPr="002F3359">
        <w:t>.)  There is no logical conflict between article XIV, section 4 needing implementing legislation and the voters r</w:t>
      </w:r>
      <w:r w:rsidRPr="002F3359">
        <w:t>etaining their initiative power in the same field; both can coexist.</w:t>
      </w:r>
    </w:p>
  </w:footnote>
  <w:footnote w:id="10">
    <w:p w14:paraId="207F83E7" w14:textId="2BCB4F5F" w:rsidR="00051FDB" w:rsidRPr="002F3359" w:rsidRDefault="00570B35" w:rsidP="00B41D89">
      <w:pPr>
        <w:spacing w:line="240" w:lineRule="auto"/>
        <w:rPr>
          <w:szCs w:val="20"/>
        </w:rPr>
      </w:pPr>
      <w:r w:rsidRPr="002F3359">
        <w:tab/>
      </w:r>
      <w:r w:rsidRPr="002F3359">
        <w:rPr>
          <w:rStyle w:val="FootnoteReference"/>
        </w:rPr>
        <w:footnoteRef/>
      </w:r>
      <w:r w:rsidRPr="002F3359">
        <w:t xml:space="preserve"> </w:t>
      </w:r>
      <w:r w:rsidR="001B7FAB" w:rsidRPr="002F3359">
        <w:rPr>
          <w:szCs w:val="20"/>
        </w:rPr>
        <w:t xml:space="preserve">The dissenting opinion cites </w:t>
      </w:r>
      <w:r w:rsidR="001B7FAB" w:rsidRPr="002F3359">
        <w:rPr>
          <w:i/>
          <w:iCs/>
          <w:szCs w:val="20"/>
        </w:rPr>
        <w:t>Mathews, supra</w:t>
      </w:r>
      <w:r w:rsidR="001B7FAB" w:rsidRPr="002F3359">
        <w:rPr>
          <w:szCs w:val="20"/>
        </w:rPr>
        <w:t>, 6</w:t>
      </w:r>
      <w:r w:rsidR="0085593E" w:rsidRPr="002F3359">
        <w:rPr>
          <w:szCs w:val="20"/>
        </w:rPr>
        <w:t> </w:t>
      </w:r>
      <w:r w:rsidR="001B7FAB" w:rsidRPr="002F3359">
        <w:rPr>
          <w:szCs w:val="20"/>
        </w:rPr>
        <w:t>Cal.3d at page 735, as supporting its theory that neither the Legislature nor the electorate can change any of the basic features of the pre-1918 workers’ compensation system.  (</w:t>
      </w:r>
      <w:r w:rsidR="00993594" w:rsidRPr="002F3359">
        <w:rPr>
          <w:szCs w:val="20"/>
        </w:rPr>
        <w:t>Conc. &amp; d</w:t>
      </w:r>
      <w:r w:rsidR="007140D3" w:rsidRPr="002F3359">
        <w:rPr>
          <w:szCs w:val="20"/>
        </w:rPr>
        <w:t xml:space="preserve">is. </w:t>
      </w:r>
      <w:proofErr w:type="spellStart"/>
      <w:r w:rsidR="007140D3" w:rsidRPr="002F3359">
        <w:rPr>
          <w:szCs w:val="20"/>
        </w:rPr>
        <w:t>opn</w:t>
      </w:r>
      <w:proofErr w:type="spellEnd"/>
      <w:r w:rsidR="007140D3" w:rsidRPr="002F3359">
        <w:rPr>
          <w:szCs w:val="20"/>
        </w:rPr>
        <w:t xml:space="preserve">., </w:t>
      </w:r>
      <w:r w:rsidR="007140D3" w:rsidRPr="002F3359">
        <w:rPr>
          <w:i/>
          <w:iCs/>
          <w:szCs w:val="20"/>
        </w:rPr>
        <w:t>post</w:t>
      </w:r>
      <w:r w:rsidR="007140D3" w:rsidRPr="002F3359">
        <w:rPr>
          <w:szCs w:val="20"/>
        </w:rPr>
        <w:t>,</w:t>
      </w:r>
      <w:r w:rsidR="001B7FAB" w:rsidRPr="002F3359">
        <w:rPr>
          <w:szCs w:val="20"/>
        </w:rPr>
        <w:t xml:space="preserve"> at p. </w:t>
      </w:r>
      <w:r w:rsidR="0025021F" w:rsidRPr="002F3359">
        <w:rPr>
          <w:szCs w:val="20"/>
        </w:rPr>
        <w:t>6</w:t>
      </w:r>
      <w:r w:rsidR="001B7FAB" w:rsidRPr="002F3359">
        <w:rPr>
          <w:szCs w:val="20"/>
        </w:rPr>
        <w:t xml:space="preserve">.)  </w:t>
      </w:r>
      <w:r w:rsidR="00B23312" w:rsidRPr="002F3359">
        <w:rPr>
          <w:szCs w:val="20"/>
        </w:rPr>
        <w:t>The point</w:t>
      </w:r>
      <w:r w:rsidR="001B7FAB" w:rsidRPr="002F3359">
        <w:rPr>
          <w:szCs w:val="20"/>
        </w:rPr>
        <w:t xml:space="preserve"> of </w:t>
      </w:r>
      <w:r w:rsidR="001B7FAB" w:rsidRPr="002F3359">
        <w:rPr>
          <w:i/>
          <w:iCs/>
          <w:szCs w:val="20"/>
        </w:rPr>
        <w:t>Mathews</w:t>
      </w:r>
      <w:r w:rsidR="001B7FAB" w:rsidRPr="002F3359">
        <w:rPr>
          <w:szCs w:val="20"/>
        </w:rPr>
        <w:t xml:space="preserve"> was only that article XIV, section 4 was intended to authorize the worker</w:t>
      </w:r>
      <w:r w:rsidR="00104B3C" w:rsidRPr="002F3359">
        <w:rPr>
          <w:szCs w:val="20"/>
        </w:rPr>
        <w:t>s’</w:t>
      </w:r>
      <w:r w:rsidR="001B7FAB" w:rsidRPr="002F3359">
        <w:rPr>
          <w:szCs w:val="20"/>
        </w:rPr>
        <w:t xml:space="preserve"> compensation system that already existed—not that those features became sacrosanct and untouchable by either the Legislature or the electorate.</w:t>
      </w:r>
      <w:r w:rsidR="00F853AE" w:rsidRPr="002F3359">
        <w:rPr>
          <w:szCs w:val="20"/>
        </w:rPr>
        <w:t xml:space="preserve"> </w:t>
      </w:r>
      <w:r w:rsidR="001B7FAB" w:rsidRPr="002F3359">
        <w:rPr>
          <w:szCs w:val="20"/>
        </w:rPr>
        <w:t xml:space="preserve"> (</w:t>
      </w:r>
      <w:r w:rsidR="0095672A" w:rsidRPr="002F3359">
        <w:rPr>
          <w:i/>
          <w:szCs w:val="20"/>
        </w:rPr>
        <w:t>City and County of</w:t>
      </w:r>
      <w:r w:rsidR="0095672A" w:rsidRPr="002F3359">
        <w:rPr>
          <w:szCs w:val="20"/>
        </w:rPr>
        <w:t xml:space="preserve"> </w:t>
      </w:r>
      <w:r w:rsidR="001B7FAB" w:rsidRPr="002F3359">
        <w:rPr>
          <w:i/>
          <w:szCs w:val="20"/>
        </w:rPr>
        <w:t>San Francisco v. Workers’ Comp. Appeals Bd</w:t>
      </w:r>
      <w:r w:rsidR="001B7FAB" w:rsidRPr="002F3359">
        <w:rPr>
          <w:szCs w:val="20"/>
        </w:rPr>
        <w:t>. (1978) 22</w:t>
      </w:r>
      <w:r w:rsidR="006A6BE8" w:rsidRPr="002F3359">
        <w:rPr>
          <w:szCs w:val="20"/>
        </w:rPr>
        <w:t> </w:t>
      </w:r>
      <w:r w:rsidR="001B7FAB" w:rsidRPr="002F3359">
        <w:rPr>
          <w:szCs w:val="20"/>
        </w:rPr>
        <w:t>Cal.3d 103, 114 [article</w:t>
      </w:r>
      <w:r w:rsidR="002304F4" w:rsidRPr="002F3359">
        <w:rPr>
          <w:szCs w:val="20"/>
        </w:rPr>
        <w:t> </w:t>
      </w:r>
      <w:r w:rsidR="001B7FAB" w:rsidRPr="002F3359">
        <w:rPr>
          <w:szCs w:val="20"/>
        </w:rPr>
        <w:t>XIV, §</w:t>
      </w:r>
      <w:r w:rsidR="004F76A7" w:rsidRPr="002F3359">
        <w:rPr>
          <w:szCs w:val="20"/>
        </w:rPr>
        <w:t> </w:t>
      </w:r>
      <w:r w:rsidR="001B7FAB" w:rsidRPr="002F3359">
        <w:rPr>
          <w:szCs w:val="20"/>
        </w:rPr>
        <w:t xml:space="preserve">4’s purpose “was simply to remove any doubt as to the constitutionality of the existing workers’ compensation legislation, and </w:t>
      </w:r>
      <w:r w:rsidR="001B7FAB" w:rsidRPr="002F3359">
        <w:rPr>
          <w:i/>
          <w:szCs w:val="20"/>
        </w:rPr>
        <w:t>not to erect any new restrictions on the exercise of legislative power</w:t>
      </w:r>
      <w:r w:rsidR="001B7FAB" w:rsidRPr="002F3359">
        <w:rPr>
          <w:szCs w:val="20"/>
        </w:rPr>
        <w:t xml:space="preserve">,” (citing </w:t>
      </w:r>
      <w:r w:rsidR="001B7FAB" w:rsidRPr="002F3359">
        <w:rPr>
          <w:i/>
          <w:iCs/>
          <w:szCs w:val="20"/>
        </w:rPr>
        <w:t>Mathews</w:t>
      </w:r>
      <w:r w:rsidR="008F28A7" w:rsidRPr="002F3359">
        <w:rPr>
          <w:szCs w:val="20"/>
        </w:rPr>
        <w:t>, at p</w:t>
      </w:r>
      <w:r w:rsidR="00341D2D" w:rsidRPr="002F3359">
        <w:rPr>
          <w:szCs w:val="20"/>
        </w:rPr>
        <w:t>p. 733–734, fn. 11</w:t>
      </w:r>
      <w:r w:rsidR="00984077" w:rsidRPr="002F3359">
        <w:rPr>
          <w:szCs w:val="20"/>
        </w:rPr>
        <w:t>, italics added</w:t>
      </w:r>
      <w:r w:rsidR="001B7FAB" w:rsidRPr="002F3359">
        <w:rPr>
          <w:szCs w:val="20"/>
        </w:rPr>
        <w:t>)].)</w:t>
      </w:r>
      <w:r w:rsidR="00C1652C" w:rsidRPr="002F3359">
        <w:rPr>
          <w:szCs w:val="20"/>
        </w:rPr>
        <w:t xml:space="preserve">  </w:t>
      </w:r>
      <w:r w:rsidR="001B7FAB" w:rsidRPr="002F3359">
        <w:rPr>
          <w:szCs w:val="20"/>
        </w:rPr>
        <w:t xml:space="preserve">Because article XIV, section 4’s purpose was to ensure that the workers’ compensation system was </w:t>
      </w:r>
      <w:proofErr w:type="gramStart"/>
      <w:r w:rsidR="001B7FAB" w:rsidRPr="002F3359">
        <w:rPr>
          <w:szCs w:val="20"/>
        </w:rPr>
        <w:t>“</w:t>
      </w:r>
      <w:r w:rsidR="007B5B04" w:rsidRPr="002F3359">
        <w:rPr>
          <w:szCs w:val="20"/>
        </w:rPr>
        <w:t> </w:t>
      </w:r>
      <w:r w:rsidR="001B7FAB" w:rsidRPr="002F3359">
        <w:rPr>
          <w:szCs w:val="20"/>
        </w:rPr>
        <w:t>‘</w:t>
      </w:r>
      <w:proofErr w:type="gramEnd"/>
      <w:r w:rsidR="001B7FAB" w:rsidRPr="002F3359">
        <w:rPr>
          <w:szCs w:val="20"/>
        </w:rPr>
        <w:t>beyond the possibility of being attacked on technical grounds or by reason of any questioned want of constitutional authority,’</w:t>
      </w:r>
      <w:r w:rsidR="007B5B04" w:rsidRPr="002F3359">
        <w:rPr>
          <w:szCs w:val="20"/>
        </w:rPr>
        <w:t> </w:t>
      </w:r>
      <w:r w:rsidR="001B7FAB" w:rsidRPr="002F3359">
        <w:rPr>
          <w:szCs w:val="20"/>
        </w:rPr>
        <w:t xml:space="preserve">” </w:t>
      </w:r>
      <w:r w:rsidR="001B7FAB" w:rsidRPr="002F3359">
        <w:rPr>
          <w:i/>
          <w:iCs/>
          <w:szCs w:val="20"/>
        </w:rPr>
        <w:t xml:space="preserve">Mathews </w:t>
      </w:r>
      <w:r w:rsidR="001B7FAB" w:rsidRPr="002F3359">
        <w:rPr>
          <w:szCs w:val="20"/>
        </w:rPr>
        <w:t xml:space="preserve">rejected a constitutional challenge to the Legislature’s enactment of an amendment to the workers’ compensation scheme that </w:t>
      </w:r>
      <w:r w:rsidR="00B23312" w:rsidRPr="002F3359">
        <w:rPr>
          <w:szCs w:val="20"/>
        </w:rPr>
        <w:t>expanded on a</w:t>
      </w:r>
      <w:r w:rsidR="001B7FAB" w:rsidRPr="002F3359">
        <w:rPr>
          <w:szCs w:val="20"/>
        </w:rPr>
        <w:t xml:space="preserve"> pre-1918</w:t>
      </w:r>
      <w:r w:rsidR="00B23312" w:rsidRPr="002F3359">
        <w:rPr>
          <w:szCs w:val="20"/>
        </w:rPr>
        <w:t xml:space="preserve"> type of exclusion from coverage</w:t>
      </w:r>
      <w:r w:rsidR="001B7FAB" w:rsidRPr="002F3359">
        <w:rPr>
          <w:szCs w:val="20"/>
        </w:rPr>
        <w:t>.  (</w:t>
      </w:r>
      <w:r w:rsidR="001B7FAB" w:rsidRPr="002F3359">
        <w:rPr>
          <w:i/>
          <w:iCs/>
          <w:szCs w:val="20"/>
        </w:rPr>
        <w:t xml:space="preserve">Mathews, supra, </w:t>
      </w:r>
      <w:bookmarkStart w:id="0" w:name="_Hlk127124738"/>
      <w:r w:rsidR="001B7FAB" w:rsidRPr="002F3359">
        <w:rPr>
          <w:szCs w:val="20"/>
        </w:rPr>
        <w:t>6</w:t>
      </w:r>
      <w:r w:rsidR="007B5B04" w:rsidRPr="002F3359">
        <w:rPr>
          <w:szCs w:val="20"/>
        </w:rPr>
        <w:t> </w:t>
      </w:r>
      <w:r w:rsidR="001B7FAB" w:rsidRPr="002F3359">
        <w:rPr>
          <w:szCs w:val="20"/>
        </w:rPr>
        <w:t>Cal.3d at p.</w:t>
      </w:r>
      <w:r w:rsidR="007B5B04" w:rsidRPr="002F3359">
        <w:rPr>
          <w:szCs w:val="20"/>
        </w:rPr>
        <w:t> </w:t>
      </w:r>
      <w:r w:rsidR="001B7FAB" w:rsidRPr="002F3359">
        <w:rPr>
          <w:szCs w:val="20"/>
        </w:rPr>
        <w:t xml:space="preserve">735 </w:t>
      </w:r>
      <w:bookmarkEnd w:id="0"/>
      <w:r w:rsidR="001B7FAB" w:rsidRPr="002F3359">
        <w:rPr>
          <w:szCs w:val="20"/>
        </w:rPr>
        <w:t xml:space="preserve">&amp; </w:t>
      </w:r>
      <w:r w:rsidR="007B5B04" w:rsidRPr="002F3359">
        <w:rPr>
          <w:szCs w:val="20"/>
        </w:rPr>
        <w:t>f</w:t>
      </w:r>
      <w:r w:rsidR="001B7FAB" w:rsidRPr="002F3359">
        <w:rPr>
          <w:szCs w:val="20"/>
        </w:rPr>
        <w:t>n.</w:t>
      </w:r>
      <w:r w:rsidR="00097A74" w:rsidRPr="002F3359">
        <w:rPr>
          <w:szCs w:val="20"/>
        </w:rPr>
        <w:t> </w:t>
      </w:r>
      <w:r w:rsidR="001B7FAB" w:rsidRPr="002F3359">
        <w:rPr>
          <w:szCs w:val="20"/>
        </w:rPr>
        <w:t>11</w:t>
      </w:r>
      <w:r w:rsidR="00154EA5" w:rsidRPr="002F3359">
        <w:rPr>
          <w:szCs w:val="20"/>
        </w:rPr>
        <w:t xml:space="preserve">, italics </w:t>
      </w:r>
      <w:r w:rsidR="00AB650A" w:rsidRPr="002F3359">
        <w:rPr>
          <w:szCs w:val="20"/>
        </w:rPr>
        <w:t>omitted</w:t>
      </w:r>
      <w:r w:rsidR="001B7FAB" w:rsidRPr="002F3359">
        <w:rPr>
          <w:szCs w:val="20"/>
        </w:rPr>
        <w:t xml:space="preserve">.)  Nothing in </w:t>
      </w:r>
      <w:r w:rsidR="001B7FAB" w:rsidRPr="002F3359">
        <w:rPr>
          <w:i/>
          <w:iCs/>
          <w:szCs w:val="20"/>
        </w:rPr>
        <w:t>Mathews</w:t>
      </w:r>
      <w:r w:rsidR="001B7FAB" w:rsidRPr="002F3359">
        <w:rPr>
          <w:szCs w:val="20"/>
        </w:rPr>
        <w:t xml:space="preserve"> suggests that article XIV, section 4 prevents the Legislature from changing workers’ compensation in any ways it sees fit, which is unsurprising given its grant of plenary authority to create a system </w:t>
      </w:r>
      <w:r w:rsidR="00B23312" w:rsidRPr="002F3359">
        <w:rPr>
          <w:szCs w:val="20"/>
        </w:rPr>
        <w:t xml:space="preserve">requiring </w:t>
      </w:r>
      <w:r w:rsidR="001B7FAB" w:rsidRPr="002F3359">
        <w:rPr>
          <w:szCs w:val="20"/>
        </w:rPr>
        <w:t>“</w:t>
      </w:r>
      <w:r w:rsidR="001B7FAB" w:rsidRPr="002F3359">
        <w:rPr>
          <w:i/>
          <w:szCs w:val="20"/>
        </w:rPr>
        <w:t xml:space="preserve">any or </w:t>
      </w:r>
      <w:r w:rsidR="001B7FAB" w:rsidRPr="002F3359">
        <w:rPr>
          <w:szCs w:val="20"/>
        </w:rPr>
        <w:t xml:space="preserve">all </w:t>
      </w:r>
      <w:r w:rsidR="00B23312" w:rsidRPr="002F3359">
        <w:rPr>
          <w:szCs w:val="20"/>
        </w:rPr>
        <w:t xml:space="preserve">persons to compensate </w:t>
      </w:r>
      <w:r w:rsidR="00B23312" w:rsidRPr="002F3359">
        <w:rPr>
          <w:i/>
          <w:iCs/>
          <w:szCs w:val="20"/>
        </w:rPr>
        <w:t>any or</w:t>
      </w:r>
      <w:r w:rsidR="00B23312" w:rsidRPr="002F3359">
        <w:rPr>
          <w:szCs w:val="20"/>
        </w:rPr>
        <w:t xml:space="preserve"> all of their </w:t>
      </w:r>
      <w:r w:rsidR="001B7FAB" w:rsidRPr="002F3359">
        <w:rPr>
          <w:szCs w:val="20"/>
        </w:rPr>
        <w:t>workers.”  (Cal. Const., art.</w:t>
      </w:r>
      <w:r w:rsidR="00C65418" w:rsidRPr="002F3359">
        <w:rPr>
          <w:szCs w:val="20"/>
        </w:rPr>
        <w:t> </w:t>
      </w:r>
      <w:r w:rsidR="001B7FAB" w:rsidRPr="002F3359">
        <w:rPr>
          <w:szCs w:val="20"/>
        </w:rPr>
        <w:t>XIV, § 4</w:t>
      </w:r>
      <w:r w:rsidR="00B23312" w:rsidRPr="002F3359">
        <w:rPr>
          <w:szCs w:val="20"/>
        </w:rPr>
        <w:t>, italics added</w:t>
      </w:r>
      <w:r w:rsidR="001B7FAB" w:rsidRPr="002F3359">
        <w:rPr>
          <w:szCs w:val="20"/>
        </w:rPr>
        <w:t xml:space="preserve">.)  </w:t>
      </w:r>
      <w:r w:rsidR="00B23312" w:rsidRPr="002F3359">
        <w:rPr>
          <w:szCs w:val="20"/>
        </w:rPr>
        <w:t xml:space="preserve">The dissenting opinion disregards this language as merely confirming that the Legislature had not yet covered all potentially eligible workers, but that is precisely the point: it gives the Legislature the authority to change coverage if it chooses.  (Conc. &amp; dis. </w:t>
      </w:r>
      <w:proofErr w:type="spellStart"/>
      <w:r w:rsidR="00B23312" w:rsidRPr="002F3359">
        <w:rPr>
          <w:szCs w:val="20"/>
        </w:rPr>
        <w:t>opn</w:t>
      </w:r>
      <w:proofErr w:type="spellEnd"/>
      <w:r w:rsidR="00B23312" w:rsidRPr="002F3359">
        <w:rPr>
          <w:szCs w:val="20"/>
        </w:rPr>
        <w:t xml:space="preserve">., </w:t>
      </w:r>
      <w:r w:rsidR="00B23312" w:rsidRPr="002F3359">
        <w:rPr>
          <w:i/>
          <w:iCs/>
          <w:szCs w:val="20"/>
        </w:rPr>
        <w:t>post</w:t>
      </w:r>
      <w:r w:rsidR="00B23312" w:rsidRPr="002F3359">
        <w:rPr>
          <w:szCs w:val="20"/>
        </w:rPr>
        <w:t>, at p.</w:t>
      </w:r>
      <w:r w:rsidR="00F91B06" w:rsidRPr="002F3359">
        <w:rPr>
          <w:szCs w:val="20"/>
        </w:rPr>
        <w:t> </w:t>
      </w:r>
      <w:r w:rsidR="00537818" w:rsidRPr="002F3359">
        <w:rPr>
          <w:szCs w:val="20"/>
        </w:rPr>
        <w:t>5</w:t>
      </w:r>
      <w:r w:rsidR="00B15FD4" w:rsidRPr="002F3359">
        <w:rPr>
          <w:szCs w:val="20"/>
        </w:rPr>
        <w:t>6</w:t>
      </w:r>
      <w:r w:rsidR="00B23312" w:rsidRPr="002F3359">
        <w:rPr>
          <w:szCs w:val="20"/>
        </w:rPr>
        <w:t xml:space="preserve">.)  </w:t>
      </w:r>
      <w:r w:rsidR="001B7FAB" w:rsidRPr="002F3359">
        <w:rPr>
          <w:szCs w:val="20"/>
        </w:rPr>
        <w:t xml:space="preserve">Notably, even plaintiffs agree that </w:t>
      </w:r>
      <w:r w:rsidR="00B23312" w:rsidRPr="002F3359">
        <w:rPr>
          <w:szCs w:val="20"/>
        </w:rPr>
        <w:t xml:space="preserve">it has this authority, since they admit the Legislature </w:t>
      </w:r>
      <w:r w:rsidR="001B7FAB" w:rsidRPr="002F3359">
        <w:rPr>
          <w:szCs w:val="20"/>
        </w:rPr>
        <w:t>could have excluded app-based drivers from workers’ compensation coverage.</w:t>
      </w:r>
    </w:p>
    <w:p w14:paraId="29D6E4B0" w14:textId="77777777" w:rsidR="008839F3" w:rsidRPr="002F3359" w:rsidRDefault="008839F3" w:rsidP="00B41D89">
      <w:pPr>
        <w:spacing w:line="240" w:lineRule="auto"/>
        <w:rPr>
          <w:sz w:val="10"/>
          <w:szCs w:val="10"/>
        </w:rPr>
      </w:pPr>
    </w:p>
  </w:footnote>
  <w:footnote w:id="11">
    <w:p w14:paraId="4462974C" w14:textId="11204516" w:rsidR="008B5FA3" w:rsidRPr="002F3359" w:rsidRDefault="00570B35" w:rsidP="00EF5569">
      <w:pPr>
        <w:pStyle w:val="FootnoteText"/>
        <w:ind w:firstLine="720"/>
      </w:pPr>
      <w:r w:rsidRPr="002F3359">
        <w:rPr>
          <w:rStyle w:val="FootnoteReference"/>
        </w:rPr>
        <w:footnoteRef/>
      </w:r>
      <w:r w:rsidRPr="002F3359">
        <w:t xml:space="preserve"> Interveners ask us to judicially notice two sections from a treatise describing the history and purpose of article</w:t>
      </w:r>
      <w:r w:rsidR="00AC7878" w:rsidRPr="002F3359">
        <w:t> </w:t>
      </w:r>
      <w:r w:rsidRPr="002F3359">
        <w:t>XIV, section</w:t>
      </w:r>
      <w:r w:rsidR="00E72198" w:rsidRPr="002F3359">
        <w:t> </w:t>
      </w:r>
      <w:r w:rsidRPr="002F3359">
        <w:t xml:space="preserve">4 of the </w:t>
      </w:r>
      <w:r w:rsidR="00666C32" w:rsidRPr="002F3359">
        <w:t>C</w:t>
      </w:r>
      <w:r w:rsidRPr="002F3359">
        <w:t>onstitution</w:t>
      </w:r>
      <w:r w:rsidR="00EF5569" w:rsidRPr="002F3359">
        <w:t>, as well as a 1918 newspaper editorial discussing the initiative that amended this provision</w:t>
      </w:r>
      <w:r w:rsidRPr="002F3359">
        <w:t xml:space="preserve">.  </w:t>
      </w:r>
      <w:r w:rsidR="00EF5569" w:rsidRPr="002F3359">
        <w:t xml:space="preserve">Relatedly, amicus curiae California Constitution Center seeks judicial notice of a host of news articles concerning the 1911 and 1918 propositions that created and amended article XIV, section 4.  </w:t>
      </w:r>
      <w:r w:rsidRPr="002F3359">
        <w:t>We deny th</w:t>
      </w:r>
      <w:r w:rsidR="00EF5569" w:rsidRPr="002F3359">
        <w:t>ese</w:t>
      </w:r>
      <w:r w:rsidRPr="002F3359">
        <w:t xml:space="preserve"> request</w:t>
      </w:r>
      <w:r w:rsidR="00EF5569" w:rsidRPr="002F3359">
        <w:t>s</w:t>
      </w:r>
      <w:r w:rsidRPr="002F3359">
        <w:t xml:space="preserve"> </w:t>
      </w:r>
      <w:r w:rsidR="00EE5ECA" w:rsidRPr="002F3359">
        <w:t>as</w:t>
      </w:r>
      <w:r w:rsidRPr="002F3359">
        <w:t xml:space="preserve"> unnecessary.  (</w:t>
      </w:r>
      <w:r w:rsidRPr="002F3359">
        <w:rPr>
          <w:i/>
        </w:rPr>
        <w:t>County of San Diego v. State</w:t>
      </w:r>
      <w:r w:rsidRPr="002F3359">
        <w:rPr>
          <w:i/>
        </w:rPr>
        <w:t xml:space="preserve"> of California</w:t>
      </w:r>
      <w:r w:rsidRPr="002F3359">
        <w:t xml:space="preserve"> (2008) 164 Cal.App.4th 580, 613</w:t>
      </w:r>
      <w:r w:rsidR="000B03D3" w:rsidRPr="002F3359">
        <w:t>, fn. 29</w:t>
      </w:r>
      <w:r w:rsidR="008B6D18" w:rsidRPr="002F3359">
        <w:t xml:space="preserve"> [denying request for judicial notice as unnecessary]</w:t>
      </w:r>
      <w:r w:rsidRPr="002F3359">
        <w:t>.)</w:t>
      </w:r>
    </w:p>
  </w:footnote>
  <w:footnote w:id="12">
    <w:p w14:paraId="391824EF" w14:textId="17BFD775" w:rsidR="003D1892" w:rsidRPr="002F3359" w:rsidRDefault="00570B35" w:rsidP="003D1892">
      <w:pPr>
        <w:pStyle w:val="FootnoteText"/>
        <w:ind w:firstLine="720"/>
      </w:pPr>
      <w:r w:rsidRPr="002F3359">
        <w:rPr>
          <w:rStyle w:val="FootnoteReference"/>
        </w:rPr>
        <w:footnoteRef/>
      </w:r>
      <w:r w:rsidRPr="002F3359">
        <w:t xml:space="preserve"> The dissenting opinion cites the statement in </w:t>
      </w:r>
      <w:proofErr w:type="spellStart"/>
      <w:r w:rsidRPr="002F3359">
        <w:rPr>
          <w:i/>
          <w:iCs/>
        </w:rPr>
        <w:t>Hustedt</w:t>
      </w:r>
      <w:proofErr w:type="spellEnd"/>
      <w:r w:rsidRPr="002F3359">
        <w:t xml:space="preserve">, </w:t>
      </w:r>
      <w:r w:rsidRPr="002F3359">
        <w:rPr>
          <w:i/>
          <w:iCs/>
        </w:rPr>
        <w:t>supra</w:t>
      </w:r>
      <w:r w:rsidRPr="002F3359">
        <w:t>, 30</w:t>
      </w:r>
      <w:r w:rsidR="00001C53" w:rsidRPr="002F3359">
        <w:t> </w:t>
      </w:r>
      <w:r w:rsidRPr="002F3359">
        <w:t>Cal.3d at p.</w:t>
      </w:r>
      <w:r w:rsidR="001D5E62" w:rsidRPr="002F3359">
        <w:t> </w:t>
      </w:r>
      <w:r w:rsidRPr="002F3359">
        <w:t>343, fn.</w:t>
      </w:r>
      <w:r w:rsidR="001D5E62" w:rsidRPr="002F3359">
        <w:t> </w:t>
      </w:r>
      <w:r w:rsidRPr="002F3359">
        <w:t xml:space="preserve">11, that </w:t>
      </w:r>
      <w:r w:rsidRPr="002F3359">
        <w:rPr>
          <w:i/>
          <w:iCs/>
        </w:rPr>
        <w:t>Mathews</w:t>
      </w:r>
      <w:r w:rsidRPr="002F3359">
        <w:t xml:space="preserve"> interpreted the paragraph in article XIV, section 4 ratifying and confirming the creation and existence of the WCAB and all its functions “to bar only the invalidation of ‘basic features’ of the workers compensation laws ‘as they have existed since 1911.</w:t>
      </w:r>
      <w:proofErr w:type="gramStart"/>
      <w:r w:rsidRPr="002F3359">
        <w:t>’</w:t>
      </w:r>
      <w:r w:rsidRPr="002F3359">
        <w:t> ”</w:t>
      </w:r>
      <w:proofErr w:type="gramEnd"/>
      <w:r w:rsidRPr="002F3359">
        <w:t xml:space="preserve">  (Conc. &amp; dis. </w:t>
      </w:r>
      <w:proofErr w:type="spellStart"/>
      <w:r w:rsidRPr="002F3359">
        <w:t>opn</w:t>
      </w:r>
      <w:proofErr w:type="spellEnd"/>
      <w:r w:rsidRPr="002F3359">
        <w:t xml:space="preserve">., </w:t>
      </w:r>
      <w:r w:rsidRPr="002F3359">
        <w:rPr>
          <w:i/>
          <w:iCs/>
        </w:rPr>
        <w:t>post</w:t>
      </w:r>
      <w:r w:rsidRPr="002F3359">
        <w:t xml:space="preserve">, at p. 6.)  While the language is perhaps ambiguous, the reference to “invalidation” suggests that </w:t>
      </w:r>
      <w:proofErr w:type="spellStart"/>
      <w:r w:rsidRPr="002F3359">
        <w:rPr>
          <w:i/>
          <w:iCs/>
        </w:rPr>
        <w:t>Hustedt</w:t>
      </w:r>
      <w:proofErr w:type="spellEnd"/>
      <w:r w:rsidRPr="002F3359">
        <w:t xml:space="preserve"> read </w:t>
      </w:r>
      <w:r w:rsidRPr="002F3359">
        <w:rPr>
          <w:i/>
          <w:iCs/>
        </w:rPr>
        <w:t>Mathews</w:t>
      </w:r>
      <w:r w:rsidRPr="002F3359">
        <w:t>, as we do, as holding only that article XIV, section</w:t>
      </w:r>
      <w:r w:rsidR="006D5E9D" w:rsidRPr="002F3359">
        <w:t> </w:t>
      </w:r>
      <w:r w:rsidRPr="002F3359">
        <w:t>4 was not intended to render invalid any preexisting f</w:t>
      </w:r>
      <w:r w:rsidRPr="002F3359">
        <w:t xml:space="preserve">eatures of the workers’ compensation system.  If </w:t>
      </w:r>
      <w:proofErr w:type="spellStart"/>
      <w:r w:rsidRPr="002F3359">
        <w:rPr>
          <w:i/>
          <w:iCs/>
        </w:rPr>
        <w:t>Hustedt</w:t>
      </w:r>
      <w:proofErr w:type="spellEnd"/>
      <w:r w:rsidRPr="002F3359">
        <w:t xml:space="preserve"> intended to announce a sweeping holding that the 1918 worker</w:t>
      </w:r>
      <w:r w:rsidR="007A41FE" w:rsidRPr="002F3359">
        <w:t>s’</w:t>
      </w:r>
      <w:r w:rsidRPr="002F3359">
        <w:t xml:space="preserve"> compensation system was beyond the Legislature’s ability to change (which was unnecessary to resolve the dispute before it), we believe </w:t>
      </w:r>
      <w:r w:rsidRPr="002F3359">
        <w:t>it would have said so in far more direct language.</w:t>
      </w:r>
    </w:p>
  </w:footnote>
  <w:footnote w:id="13">
    <w:p w14:paraId="051AA377" w14:textId="6D14B658" w:rsidR="006351F6" w:rsidRPr="002F3359" w:rsidRDefault="00570B35" w:rsidP="00001C53">
      <w:pPr>
        <w:pStyle w:val="FootnoteText"/>
        <w:ind w:firstLine="720"/>
      </w:pPr>
      <w:r w:rsidRPr="002F3359">
        <w:rPr>
          <w:rStyle w:val="FootnoteReference"/>
        </w:rPr>
        <w:footnoteRef/>
      </w:r>
      <w:r w:rsidRPr="002F3359">
        <w:t xml:space="preserve"> </w:t>
      </w:r>
      <w:r w:rsidR="00A529AB" w:rsidRPr="002F3359">
        <w:t xml:space="preserve">The portion of article XIV, section 4 </w:t>
      </w:r>
      <w:r w:rsidR="00996339" w:rsidRPr="002F3359">
        <w:t>relevant to plaintiffs’ argument</w:t>
      </w:r>
      <w:r w:rsidR="003551D4" w:rsidRPr="002F3359">
        <w:t xml:space="preserve"> that Proposition 22 </w:t>
      </w:r>
      <w:r w:rsidR="005E75A5" w:rsidRPr="002F3359">
        <w:t>doe</w:t>
      </w:r>
      <w:r w:rsidR="00932D07" w:rsidRPr="002F3359">
        <w:t>s</w:t>
      </w:r>
      <w:r w:rsidR="005E75A5" w:rsidRPr="002F3359">
        <w:t xml:space="preserve"> not provide a “complete” </w:t>
      </w:r>
      <w:r w:rsidR="00526B29" w:rsidRPr="002F3359">
        <w:t xml:space="preserve">compensation </w:t>
      </w:r>
      <w:r w:rsidR="005E75A5" w:rsidRPr="002F3359">
        <w:t xml:space="preserve">system </w:t>
      </w:r>
      <w:r w:rsidR="005B2A1B" w:rsidRPr="002F3359">
        <w:t>provides</w:t>
      </w:r>
      <w:r w:rsidR="00A529AB" w:rsidRPr="002F3359">
        <w:t xml:space="preserve"> as follows</w:t>
      </w:r>
      <w:r w:rsidR="005B2A1B" w:rsidRPr="002F3359">
        <w:t xml:space="preserve">:  </w:t>
      </w:r>
      <w:r w:rsidRPr="002F3359">
        <w:t>“A complete system of workers’ compensat</w:t>
      </w:r>
      <w:r w:rsidRPr="002F3359">
        <w:t>ion includes adequate provisions for the comfort, health and safety and general welfare of any and all workers and those dependent upon them for support to the extent of relieving from the consequences of any injury or death incurred or sustained by worker</w:t>
      </w:r>
      <w:r w:rsidRPr="002F3359">
        <w:t>s in the course of their employment, irrespective of the fault of any party; also full provision for securing safety in places of employment; full provision for such medical, surgical, hospital and other remedial treatment as is requisite to cure and relie</w:t>
      </w:r>
      <w:r w:rsidRPr="002F3359">
        <w:t xml:space="preserve">ve from the effects of such injury; full provision for adequate insurance coverage against liability to pay or furnish compensation; full provision for regulating such insurance coverage in all its aspects, including the establishment and management of a </w:t>
      </w:r>
      <w:r w:rsidR="00524710" w:rsidRPr="002F3359">
        <w:t>s</w:t>
      </w:r>
      <w:r w:rsidRPr="002F3359">
        <w:t>tate compensation insurance fund; full provision for otherwise securing the payment of compensation; and full provision for vesting power, authority and jurisdiction in an administrative body with all the requisite governmental functions to determine any d</w:t>
      </w:r>
      <w:r w:rsidRPr="002F3359">
        <w:t>ispute or matter arising under such legislation, to the end that the administration of such legislation shall accomplish substantial justice in all cases expeditiously, inexpensively, and without incumbrance of any character; all of which matters are expre</w:t>
      </w:r>
      <w:r w:rsidRPr="002F3359">
        <w:t xml:space="preserve">ssly declared to be the social public policy of this State, binding upon all departments of the </w:t>
      </w:r>
      <w:r w:rsidR="00BF7B2B" w:rsidRPr="002F3359">
        <w:t>s</w:t>
      </w:r>
      <w:r w:rsidRPr="002F3359">
        <w:t>tate government.”  (Cal. Const., art.</w:t>
      </w:r>
      <w:r w:rsidR="00BF7B2B" w:rsidRPr="002F3359">
        <w:t> </w:t>
      </w:r>
      <w:r w:rsidRPr="002F3359">
        <w:t>XIV, §</w:t>
      </w:r>
      <w:r w:rsidR="00BF7B2B" w:rsidRPr="002F3359">
        <w:t> </w:t>
      </w:r>
      <w:r w:rsidRPr="002F3359">
        <w:t>4.)</w:t>
      </w:r>
    </w:p>
  </w:footnote>
  <w:footnote w:id="14">
    <w:p w14:paraId="301F9F29" w14:textId="4F22A504" w:rsidR="00240388" w:rsidRPr="002F3359" w:rsidRDefault="00570B35" w:rsidP="00240388">
      <w:pPr>
        <w:spacing w:line="240" w:lineRule="auto"/>
      </w:pPr>
      <w:r w:rsidRPr="002F3359">
        <w:tab/>
      </w:r>
      <w:r w:rsidRPr="002F3359">
        <w:rPr>
          <w:rStyle w:val="FootnoteReference"/>
        </w:rPr>
        <w:footnoteRef/>
      </w:r>
      <w:r w:rsidRPr="002F3359">
        <w:t xml:space="preserve"> The dissenting opinion </w:t>
      </w:r>
      <w:r w:rsidR="003D1892" w:rsidRPr="002F3359">
        <w:t>concedes that courts have long given the Legislature “wide berth” to revise the worker’s compensation system, but it contends that no case has held that the Legislature may eliminate basic features of the pre-1918 workers’ compensation system.  (</w:t>
      </w:r>
      <w:r w:rsidR="00001C53" w:rsidRPr="002F3359">
        <w:t xml:space="preserve">Conc. &amp; dis. </w:t>
      </w:r>
      <w:proofErr w:type="spellStart"/>
      <w:r w:rsidR="00001C53" w:rsidRPr="002F3359">
        <w:t>opn</w:t>
      </w:r>
      <w:proofErr w:type="spellEnd"/>
      <w:r w:rsidR="00001C53" w:rsidRPr="002F3359">
        <w:t xml:space="preserve">., </w:t>
      </w:r>
      <w:r w:rsidR="00001C53" w:rsidRPr="002F3359">
        <w:rPr>
          <w:i/>
        </w:rPr>
        <w:t>post</w:t>
      </w:r>
      <w:r w:rsidR="00001C53" w:rsidRPr="002F3359">
        <w:t xml:space="preserve">, at </w:t>
      </w:r>
      <w:r w:rsidR="003D1892" w:rsidRPr="002F3359">
        <w:t>pp.</w:t>
      </w:r>
      <w:r w:rsidR="00D86697" w:rsidRPr="002F3359">
        <w:t> </w:t>
      </w:r>
      <w:r w:rsidR="00265976" w:rsidRPr="002F3359">
        <w:t>5</w:t>
      </w:r>
      <w:r w:rsidR="00BA5340" w:rsidRPr="002F3359">
        <w:t>8</w:t>
      </w:r>
      <w:r w:rsidR="006E3977" w:rsidRPr="002F3359">
        <w:t>-5</w:t>
      </w:r>
      <w:r w:rsidR="00BA5340" w:rsidRPr="002F3359">
        <w:t>9</w:t>
      </w:r>
      <w:r w:rsidR="003D1892" w:rsidRPr="002F3359">
        <w:t xml:space="preserve">.)  Apart from </w:t>
      </w:r>
      <w:r w:rsidR="003D1892" w:rsidRPr="002F3359">
        <w:rPr>
          <w:i/>
          <w:iCs/>
        </w:rPr>
        <w:t>Wal-Mart</w:t>
      </w:r>
      <w:r w:rsidR="00C63AD6" w:rsidRPr="002F3359">
        <w:rPr>
          <w:i/>
          <w:iCs/>
        </w:rPr>
        <w:t xml:space="preserve"> Stores v. Workers’ Comp. Appeals Bd.</w:t>
      </w:r>
      <w:r w:rsidR="003D1892" w:rsidRPr="002F3359">
        <w:t xml:space="preserve">, there is also </w:t>
      </w:r>
      <w:r w:rsidR="003D1892" w:rsidRPr="002F3359">
        <w:rPr>
          <w:i/>
        </w:rPr>
        <w:t>Stevens v. Workers’ Comp. Appeals Bd</w:t>
      </w:r>
      <w:r w:rsidR="003D1892" w:rsidRPr="002F3359">
        <w:t>. (2015) 241</w:t>
      </w:r>
      <w:r w:rsidR="00001C53" w:rsidRPr="002F3359">
        <w:t> </w:t>
      </w:r>
      <w:r w:rsidR="003D1892" w:rsidRPr="002F3359">
        <w:t>Cal.App.4th 1074, 1094–1096, which held that art</w:t>
      </w:r>
      <w:r w:rsidR="00EC675D" w:rsidRPr="002F3359">
        <w:t>icle</w:t>
      </w:r>
      <w:r w:rsidR="003D1892" w:rsidRPr="002F3359">
        <w:t xml:space="preserve"> XIV, </w:t>
      </w:r>
      <w:r w:rsidR="00EC675D" w:rsidRPr="002F3359">
        <w:t>section</w:t>
      </w:r>
      <w:r w:rsidR="003D1892" w:rsidRPr="002F3359">
        <w:t xml:space="preserve"> 4 did not prevent the Legislature from taking away the authority of the WCAB to determine medical necessity of treatment, which it had held since 1917 (Stats. 1917, </w:t>
      </w:r>
      <w:proofErr w:type="spellStart"/>
      <w:r w:rsidR="003D1892" w:rsidRPr="002F3359">
        <w:t>ch.</w:t>
      </w:r>
      <w:proofErr w:type="spellEnd"/>
      <w:r w:rsidR="003D1892" w:rsidRPr="002F3359">
        <w:t xml:space="preserve"> 586, § 9(a), p.</w:t>
      </w:r>
      <w:r w:rsidR="00DA2659" w:rsidRPr="002F3359">
        <w:t> </w:t>
      </w:r>
      <w:r w:rsidR="003D1892" w:rsidRPr="002F3359">
        <w:t>837), and vesting it instead in an independent medical review organization whose determinations are effectively final.  (</w:t>
      </w:r>
      <w:r w:rsidR="00001C53" w:rsidRPr="002F3359">
        <w:t>Accord,</w:t>
      </w:r>
      <w:r w:rsidR="003D1892" w:rsidRPr="002F3359">
        <w:t xml:space="preserve"> </w:t>
      </w:r>
      <w:r w:rsidR="003D1892" w:rsidRPr="002F3359">
        <w:rPr>
          <w:i/>
        </w:rPr>
        <w:t>Ramirez v. Workers’ Comp. Appeals Bd</w:t>
      </w:r>
      <w:r w:rsidR="003D1892" w:rsidRPr="002F3359">
        <w:t>. (2017) 10</w:t>
      </w:r>
      <w:r w:rsidR="00001C53" w:rsidRPr="002F3359">
        <w:t> </w:t>
      </w:r>
      <w:r w:rsidR="003D1892" w:rsidRPr="002F3359">
        <w:t>Cal.App.5th 205, 226</w:t>
      </w:r>
      <w:r w:rsidR="003A59B2" w:rsidRPr="002F3359">
        <w:t xml:space="preserve">; see also </w:t>
      </w:r>
      <w:r w:rsidR="003A59B2" w:rsidRPr="002F3359">
        <w:rPr>
          <w:i/>
        </w:rPr>
        <w:t>Rio Linda Union School Dist. v. Workers’ Comp. Appeals Bd.</w:t>
      </w:r>
      <w:r w:rsidR="003A59B2" w:rsidRPr="002F3359">
        <w:t xml:space="preserve"> (2005) 131 Cal.App.4th 517, 525–527, 532 [workers’ compensation rights are wholly statutory, so Legislature could change existing law (which dated to 1917, see Stats. 1917, </w:t>
      </w:r>
      <w:proofErr w:type="spellStart"/>
      <w:r w:rsidR="003A59B2" w:rsidRPr="002F3359">
        <w:t>ch.</w:t>
      </w:r>
      <w:proofErr w:type="spellEnd"/>
      <w:r w:rsidR="003A59B2" w:rsidRPr="002F3359">
        <w:t> 586, § 3(4), p. 833) and require apportionment of disability based on causation and pre-existing conditions].</w:t>
      </w:r>
      <w:r w:rsidR="003D1892" w:rsidRPr="002F3359">
        <w:t xml:space="preserve">) </w:t>
      </w:r>
      <w:r w:rsidR="003A59B2" w:rsidRPr="002F3359">
        <w:t xml:space="preserve"> </w:t>
      </w:r>
      <w:r w:rsidR="003D1892" w:rsidRPr="002F3359">
        <w:t xml:space="preserve">The </w:t>
      </w:r>
      <w:r w:rsidR="00001C53" w:rsidRPr="002F3359">
        <w:t xml:space="preserve">dissenting opinion recognizes that the WCAB’s authority to resolve disputes between employers and employees over medical necessity of treatment was a basic feature of the pre-1918 law.  (Conc. &amp; dis. </w:t>
      </w:r>
      <w:proofErr w:type="spellStart"/>
      <w:r w:rsidR="00001C53" w:rsidRPr="002F3359">
        <w:t>opn</w:t>
      </w:r>
      <w:proofErr w:type="spellEnd"/>
      <w:r w:rsidR="00001C53" w:rsidRPr="002F3359">
        <w:t xml:space="preserve">., </w:t>
      </w:r>
      <w:r w:rsidR="00001C53" w:rsidRPr="002F3359">
        <w:rPr>
          <w:i/>
        </w:rPr>
        <w:t>post</w:t>
      </w:r>
      <w:r w:rsidR="00001C53" w:rsidRPr="002F3359">
        <w:t>, at p. 4</w:t>
      </w:r>
      <w:r w:rsidR="00D96DD5" w:rsidRPr="002F3359">
        <w:t>6</w:t>
      </w:r>
      <w:r w:rsidR="00001C53" w:rsidRPr="002F3359">
        <w:t>.)  By contrast, n</w:t>
      </w:r>
      <w:r w:rsidRPr="002F3359">
        <w:t>o case has ever held that article XIV, section 4 prevented the Legislature from changing basic features of the pre-</w:t>
      </w:r>
      <w:r w:rsidR="00A6699C" w:rsidRPr="002F3359">
        <w:t>1918</w:t>
      </w:r>
      <w:r w:rsidRPr="002F3359">
        <w:t xml:space="preserve"> workers</w:t>
      </w:r>
      <w:r w:rsidR="00A6699C" w:rsidRPr="002F3359">
        <w:t>’</w:t>
      </w:r>
      <w:r w:rsidRPr="002F3359">
        <w:t xml:space="preserve"> </w:t>
      </w:r>
      <w:r w:rsidRPr="002F3359">
        <w:t>compensation system, as the dissenting opinion would hold.</w:t>
      </w:r>
    </w:p>
    <w:p w14:paraId="032A4470" w14:textId="4829A1BD" w:rsidR="00240388" w:rsidRPr="002F3359" w:rsidRDefault="00240388">
      <w:pPr>
        <w:pStyle w:val="FootnoteText"/>
      </w:pPr>
    </w:p>
  </w:footnote>
  <w:footnote w:id="15">
    <w:p w14:paraId="4BF08052" w14:textId="1E070981" w:rsidR="0086051A" w:rsidRPr="002F3359" w:rsidRDefault="00570B35" w:rsidP="0086051A">
      <w:pPr>
        <w:pStyle w:val="FootnoteText"/>
        <w:ind w:firstLine="720"/>
      </w:pPr>
      <w:r w:rsidRPr="002F3359">
        <w:rPr>
          <w:rStyle w:val="FootnoteReference"/>
        </w:rPr>
        <w:footnoteRef/>
      </w:r>
      <w:r w:rsidRPr="002F3359">
        <w:t xml:space="preserve"> Plaintiffs also argue that section 7465(c)(4) would prohibit the Legislature from allowing the Labor Commissioner or some other public entity to represent individual app-based drivers as to their contractual relationships with transportation and delivery </w:t>
      </w:r>
      <w:r w:rsidRPr="002F3359">
        <w:t xml:space="preserve">network companies.  </w:t>
      </w:r>
      <w:r w:rsidR="00F277A4" w:rsidRPr="002F3359">
        <w:t>I</w:t>
      </w:r>
      <w:r w:rsidRPr="002F3359">
        <w:t xml:space="preserve">nterveners do not offer examples of laws authorizing public representation of individual drivers that section 7465(c)(4) could constitutionally define as amendments to Proposition 22.  </w:t>
      </w:r>
      <w:r w:rsidR="00F277A4" w:rsidRPr="002F3359">
        <w:t>S</w:t>
      </w:r>
      <w:r w:rsidRPr="002F3359">
        <w:t>ince the parties focus primarily on section 7465(</w:t>
      </w:r>
      <w:r w:rsidRPr="002F3359">
        <w:t>c)(4) as a measure directed at collective bargaining, we do the same.</w:t>
      </w:r>
    </w:p>
  </w:footnote>
  <w:footnote w:id="16">
    <w:p w14:paraId="7B30A835" w14:textId="327C9B43" w:rsidR="00477538" w:rsidRPr="002F3359" w:rsidRDefault="00570B35" w:rsidP="00477538">
      <w:pPr>
        <w:pStyle w:val="FootnoteText"/>
        <w:ind w:firstLine="720"/>
      </w:pPr>
      <w:r w:rsidRPr="002F3359">
        <w:rPr>
          <w:rStyle w:val="FootnoteReference"/>
        </w:rPr>
        <w:footnoteRef/>
      </w:r>
      <w:r w:rsidRPr="002F3359">
        <w:t xml:space="preserve"> In the trial court, plaintiffs contended that section 7465(c)(3) </w:t>
      </w:r>
      <w:r w:rsidR="00433F50" w:rsidRPr="002F3359">
        <w:t xml:space="preserve">also </w:t>
      </w:r>
      <w:r w:rsidRPr="002F3359">
        <w:t>intrudes on the Legislature’s power, not just section 7465(c)(4).  The trial court rejected this argument, and pla</w:t>
      </w:r>
      <w:r w:rsidRPr="002F3359">
        <w:t>intiffs do not renew it on appeal.  We express no opinion on this point or on whether such an argument would be cognizable as a facial challenge in the same manner as plaintiffs’ contention that section 7465(c)(4) intrudes on the Legislature’s power.</w:t>
      </w:r>
    </w:p>
  </w:footnote>
  <w:footnote w:id="17">
    <w:p w14:paraId="68D232B4" w14:textId="387FAE13" w:rsidR="00975C85" w:rsidRPr="002F3359" w:rsidRDefault="00570B35" w:rsidP="0016397C">
      <w:pPr>
        <w:pStyle w:val="FootnoteText"/>
        <w:ind w:firstLine="720"/>
      </w:pPr>
      <w:r w:rsidRPr="002F3359">
        <w:rPr>
          <w:rStyle w:val="FootnoteReference"/>
        </w:rPr>
        <w:footnoteRef/>
      </w:r>
      <w:r w:rsidRPr="002F3359">
        <w:t xml:space="preserve"> Alt</w:t>
      </w:r>
      <w:r w:rsidRPr="002F3359">
        <w:t xml:space="preserve">hough it is plaintiffs’ burden to establish facial invalidity of section 7465(c)(4), we note that interveners and the </w:t>
      </w:r>
      <w:r w:rsidR="001A4162" w:rsidRPr="002F3359">
        <w:t>s</w:t>
      </w:r>
      <w:r w:rsidRPr="002F3359">
        <w:t xml:space="preserve">tate have not rebutted plaintiffs’ challenge by pointing to any instance in which </w:t>
      </w:r>
      <w:r w:rsidR="00F85A9A" w:rsidRPr="002F3359">
        <w:t xml:space="preserve">section 7465(c)(4) </w:t>
      </w:r>
      <w:r w:rsidR="0016397C" w:rsidRPr="002F3359">
        <w:t>c</w:t>
      </w:r>
      <w:r w:rsidR="00F85A9A" w:rsidRPr="002F3359">
        <w:t xml:space="preserve">ould constitutionally apply to </w:t>
      </w:r>
      <w:r w:rsidRPr="002F3359">
        <w:t>legi</w:t>
      </w:r>
      <w:r w:rsidRPr="002F3359">
        <w:t xml:space="preserve">slation </w:t>
      </w:r>
      <w:r w:rsidR="00F85A9A" w:rsidRPr="002F3359">
        <w:t xml:space="preserve">that </w:t>
      </w:r>
      <w:r w:rsidRPr="002F3359">
        <w:t xml:space="preserve">would fall outside the “natural” </w:t>
      </w:r>
      <w:r w:rsidR="00F85A9A" w:rsidRPr="002F3359">
        <w:t xml:space="preserve">article II, </w:t>
      </w:r>
      <w:r w:rsidRPr="002F3359">
        <w:t>section 10(c) shadow.</w:t>
      </w:r>
    </w:p>
  </w:footnote>
  <w:footnote w:id="18">
    <w:p w14:paraId="6AD12205" w14:textId="1E4ACB5A" w:rsidR="00F34276" w:rsidRPr="002F3359" w:rsidRDefault="00570B35" w:rsidP="00FC606E">
      <w:pPr>
        <w:pStyle w:val="FootnoteText"/>
        <w:ind w:firstLine="720"/>
      </w:pPr>
      <w:r w:rsidRPr="002F3359">
        <w:rPr>
          <w:rStyle w:val="FootnoteReference"/>
        </w:rPr>
        <w:footnoteRef/>
      </w:r>
      <w:r w:rsidRPr="002F3359">
        <w:t xml:space="preserve"> </w:t>
      </w:r>
      <w:r w:rsidR="00D33D80" w:rsidRPr="002F3359">
        <w:t>Although plaintiffs renewed their separation of powers challenge to section 7465(c)(3) in their respondents’ brief, i</w:t>
      </w:r>
      <w:r w:rsidR="00FC606E" w:rsidRPr="002F3359">
        <w:t>nterven</w:t>
      </w:r>
      <w:r w:rsidR="000D2DEE" w:rsidRPr="002F3359">
        <w:t>e</w:t>
      </w:r>
      <w:r w:rsidR="00FC606E" w:rsidRPr="002F3359">
        <w:t>rs do not mention section 7465(c)(3)</w:t>
      </w:r>
      <w:r w:rsidR="00D33D80" w:rsidRPr="002F3359">
        <w:t xml:space="preserve"> in their reply</w:t>
      </w:r>
      <w:r w:rsidR="009D45D7" w:rsidRPr="002F3359">
        <w:t xml:space="preserve"> and discuss</w:t>
      </w:r>
      <w:r w:rsidR="00D17764" w:rsidRPr="002F3359">
        <w:t xml:space="preserve"> only</w:t>
      </w:r>
      <w:r w:rsidR="009D45D7" w:rsidRPr="002F3359">
        <w:t xml:space="preserve"> section 7465(c)(4)</w:t>
      </w:r>
      <w:r w:rsidR="00212AA5" w:rsidRPr="002F3359">
        <w:t xml:space="preserve">.  </w:t>
      </w:r>
      <w:r w:rsidR="00156FAB" w:rsidRPr="002F3359">
        <w:t>But i</w:t>
      </w:r>
      <w:r w:rsidR="00D33D80" w:rsidRPr="002F3359">
        <w:t>nterveners</w:t>
      </w:r>
      <w:r w:rsidR="003D6311" w:rsidRPr="002F3359">
        <w:t xml:space="preserve"> </w:t>
      </w:r>
      <w:r w:rsidR="00FD4CF1" w:rsidRPr="002F3359">
        <w:t xml:space="preserve">defended section 7465(c)(3) and (4) </w:t>
      </w:r>
      <w:r w:rsidR="00805DCE" w:rsidRPr="002F3359">
        <w:t xml:space="preserve">in the trial court </w:t>
      </w:r>
      <w:r w:rsidR="00FD4CF1" w:rsidRPr="002F3359">
        <w:t xml:space="preserve">on the same </w:t>
      </w:r>
      <w:r w:rsidR="00D17764" w:rsidRPr="002F3359">
        <w:t>basis on which they</w:t>
      </w:r>
      <w:r w:rsidR="00FD4CF1" w:rsidRPr="002F3359">
        <w:t xml:space="preserve"> defend </w:t>
      </w:r>
      <w:r w:rsidR="00E72CE3" w:rsidRPr="002F3359">
        <w:t>section 7465(c)(4)</w:t>
      </w:r>
      <w:r w:rsidR="004A38AA" w:rsidRPr="002F3359">
        <w:t xml:space="preserve"> </w:t>
      </w:r>
      <w:r w:rsidR="00805DCE" w:rsidRPr="002F3359">
        <w:t>on appeal</w:t>
      </w:r>
      <w:r w:rsidR="00156FAB" w:rsidRPr="002F3359">
        <w:t xml:space="preserve">, so we </w:t>
      </w:r>
      <w:r w:rsidR="007D6005" w:rsidRPr="002F3359">
        <w:t>mention both</w:t>
      </w:r>
      <w:r w:rsidR="00156FAB" w:rsidRPr="002F3359">
        <w:t xml:space="preserve"> </w:t>
      </w:r>
      <w:r w:rsidR="009D45D7" w:rsidRPr="002F3359">
        <w:t>section 7465(c)(3) and (4) in our discussion</w:t>
      </w:r>
      <w:r w:rsidR="0083576E" w:rsidRPr="002F3359">
        <w:t xml:space="preserve"> of their argument</w:t>
      </w:r>
      <w:r w:rsidR="00805DCE" w:rsidRPr="002F3359">
        <w:t xml:space="preserve">. </w:t>
      </w:r>
    </w:p>
  </w:footnote>
  <w:footnote w:id="19">
    <w:p w14:paraId="0B6D16BE" w14:textId="5AD1678A" w:rsidR="00396594" w:rsidRPr="002F3359" w:rsidRDefault="00570B35" w:rsidP="00396594">
      <w:pPr>
        <w:pStyle w:val="FootnoteText"/>
        <w:ind w:firstLine="720"/>
      </w:pPr>
      <w:r w:rsidRPr="002F3359">
        <w:rPr>
          <w:rStyle w:val="FootnoteReference"/>
        </w:rPr>
        <w:footnoteRef/>
      </w:r>
      <w:r w:rsidRPr="002F3359">
        <w:t xml:space="preserve"> While the </w:t>
      </w:r>
      <w:r w:rsidR="00F90FE2" w:rsidRPr="002F3359">
        <w:t>s</w:t>
      </w:r>
      <w:r w:rsidRPr="002F3359">
        <w:t>tate treats section 7465(c)(4) as dealing only with collective bargaining, by its terms the provision would also apply to legislation authorizing other forms of representation of app-based drivers, including representation</w:t>
      </w:r>
      <w:r w:rsidRPr="002F3359">
        <w:t xml:space="preserve"> on an individual basis.</w:t>
      </w:r>
      <w:r w:rsidR="00E5695F" w:rsidRPr="002F3359">
        <w:t xml:space="preserve">  (See fn.</w:t>
      </w:r>
      <w:r w:rsidR="00E82775" w:rsidRPr="002F3359">
        <w:t> 1</w:t>
      </w:r>
      <w:r w:rsidR="00DD5069" w:rsidRPr="002F3359">
        <w:t>3</w:t>
      </w:r>
      <w:r w:rsidR="00E5695F" w:rsidRPr="002F3359">
        <w:t xml:space="preserve">, </w:t>
      </w:r>
      <w:r w:rsidR="00E5695F" w:rsidRPr="002F3359">
        <w:rPr>
          <w:i/>
        </w:rPr>
        <w:t>ante</w:t>
      </w:r>
      <w:r w:rsidR="00E5695F" w:rsidRPr="002F3359">
        <w:t>.)</w:t>
      </w:r>
    </w:p>
  </w:footnote>
  <w:footnote w:id="20">
    <w:p w14:paraId="3AA19493" w14:textId="4FB91557" w:rsidR="009C21CC" w:rsidRPr="002F3359" w:rsidRDefault="00570B35" w:rsidP="00455C07">
      <w:pPr>
        <w:pStyle w:val="Header"/>
      </w:pPr>
      <w:r w:rsidRPr="002F3359">
        <w:tab/>
      </w:r>
      <w:r w:rsidRPr="002F3359">
        <w:rPr>
          <w:rStyle w:val="FootnoteReference"/>
        </w:rPr>
        <w:footnoteRef/>
      </w:r>
      <w:r w:rsidRPr="002F3359">
        <w:t xml:space="preserve"> </w:t>
      </w:r>
      <w:r w:rsidR="005207D9" w:rsidRPr="002F3359">
        <w:t>I</w:t>
      </w:r>
      <w:r w:rsidR="00EA49D0" w:rsidRPr="002F3359">
        <w:t>nterveners</w:t>
      </w:r>
      <w:r w:rsidR="005207D9" w:rsidRPr="002F3359">
        <w:t xml:space="preserve"> ask us to judicially </w:t>
      </w:r>
      <w:r w:rsidR="00EA49D0" w:rsidRPr="002F3359">
        <w:t xml:space="preserve">notice </w:t>
      </w:r>
      <w:r w:rsidR="005207D9" w:rsidRPr="002F3359">
        <w:t>a tweet from the campaign against Proposition 22 and a webpage maintained by that campaign</w:t>
      </w:r>
      <w:r w:rsidR="00A970A2" w:rsidRPr="002F3359">
        <w:t xml:space="preserve"> that they claim demonstrate the voters understood that Proposition 22 would affect app-based drivers’ </w:t>
      </w:r>
      <w:r w:rsidR="007332E0" w:rsidRPr="002F3359">
        <w:t>ability</w:t>
      </w:r>
      <w:r w:rsidR="00A970A2" w:rsidRPr="002F3359">
        <w:t xml:space="preserve"> to collectively bargain</w:t>
      </w:r>
      <w:r w:rsidR="005207D9" w:rsidRPr="002F3359">
        <w:t xml:space="preserve">.  </w:t>
      </w:r>
      <w:r w:rsidR="002019BA" w:rsidRPr="002F3359">
        <w:t xml:space="preserve">Assuming for the sake of argument that these materials are properly subject to notice, </w:t>
      </w:r>
      <w:r w:rsidRPr="002F3359">
        <w:t xml:space="preserve">they </w:t>
      </w:r>
      <w:r w:rsidR="002019BA" w:rsidRPr="002F3359">
        <w:t xml:space="preserve">do </w:t>
      </w:r>
      <w:r w:rsidRPr="002F3359">
        <w:t>not change our analysis.  The</w:t>
      </w:r>
      <w:r w:rsidR="00455C07" w:rsidRPr="002F3359">
        <w:t>se</w:t>
      </w:r>
      <w:r w:rsidR="001E71D9" w:rsidRPr="002F3359">
        <w:t xml:space="preserve"> materials</w:t>
      </w:r>
      <w:r w:rsidRPr="002F3359">
        <w:t xml:space="preserve"> predicted that “Proposition 22 would make it almost impossible for workers to have legal protections if they want to collectively bargain.”  But they d</w:t>
      </w:r>
      <w:r w:rsidR="001E71D9" w:rsidRPr="002F3359">
        <w:t>id</w:t>
      </w:r>
      <w:r w:rsidRPr="002F3359">
        <w:t xml:space="preserve"> not describe whether this would come from classifying </w:t>
      </w:r>
      <w:r w:rsidR="001E71D9" w:rsidRPr="002F3359">
        <w:t>app-based drivers</w:t>
      </w:r>
      <w:r w:rsidRPr="002F3359">
        <w:t xml:space="preserve"> as </w:t>
      </w:r>
      <w:r w:rsidR="001E71D9" w:rsidRPr="002F3359">
        <w:t>independent contractors</w:t>
      </w:r>
      <w:r w:rsidRPr="002F3359">
        <w:t>, t</w:t>
      </w:r>
      <w:r w:rsidRPr="002F3359">
        <w:t xml:space="preserve">hereby requiring an act by the Legislature to enable collective bargaining, or </w:t>
      </w:r>
      <w:r w:rsidR="00232B1E" w:rsidRPr="002F3359">
        <w:t xml:space="preserve">from </w:t>
      </w:r>
      <w:r w:rsidRPr="002F3359">
        <w:t>the section 7465(c)(4) limitations on such legislation.  The tweet and webpage therefore do not demonstrate that voters understood the effect of section 7465(c)(4).</w:t>
      </w:r>
    </w:p>
    <w:p w14:paraId="3487593F" w14:textId="0A749130" w:rsidR="00127607" w:rsidRPr="002F3359" w:rsidRDefault="00570B35" w:rsidP="00127607">
      <w:pPr>
        <w:pStyle w:val="Header"/>
      </w:pPr>
      <w:r w:rsidRPr="002F3359">
        <w:tab/>
        <w:t>Interv</w:t>
      </w:r>
      <w:r w:rsidRPr="002F3359">
        <w:t>eners also ask us to notice a webpage from an online encyclopedia that they contend demonstrates that Proposition 22 received widespread publicity and public discussion.  This webpage was not submitted to the trial court, so we deny this request.</w:t>
      </w:r>
      <w:r w:rsidR="00AD2E20" w:rsidRPr="002F3359">
        <w:t xml:space="preserve">  (</w:t>
      </w:r>
      <w:r w:rsidR="00AD2E20" w:rsidRPr="002F3359">
        <w:rPr>
          <w:i/>
        </w:rPr>
        <w:t>Haworth v. Superior Court</w:t>
      </w:r>
      <w:r w:rsidR="00AD2E20" w:rsidRPr="002F3359">
        <w:t xml:space="preserve"> (2010) 50</w:t>
      </w:r>
      <w:r w:rsidR="00B64646" w:rsidRPr="002F3359">
        <w:t> </w:t>
      </w:r>
      <w:r w:rsidR="00AD2E20" w:rsidRPr="002F3359">
        <w:t xml:space="preserve">Cal.4th 372, 379, fn. 2 </w:t>
      </w:r>
      <w:proofErr w:type="gramStart"/>
      <w:r w:rsidR="00AD2E20" w:rsidRPr="002F3359">
        <w:t>[“ ‘</w:t>
      </w:r>
      <w:proofErr w:type="gramEnd"/>
      <w:r w:rsidR="00AD2E20" w:rsidRPr="002F3359">
        <w:t>Reviewing courts generally do not take judicial notice of evidence not presented to the trial court’ absent exceptional circumstances”].)</w:t>
      </w:r>
      <w:r w:rsidR="00412BBA" w:rsidRPr="002F3359">
        <w:t xml:space="preserve">  This webpage also does not demonstrate anything about </w:t>
      </w:r>
      <w:r w:rsidR="007D6118" w:rsidRPr="002F3359">
        <w:t xml:space="preserve">which </w:t>
      </w:r>
      <w:r w:rsidR="00412BBA" w:rsidRPr="002F3359">
        <w:t>specific aspects of Proposition 22 received publicity or discussion.</w:t>
      </w:r>
    </w:p>
  </w:footnote>
  <w:footnote w:id="21">
    <w:p w14:paraId="2AF27ACE" w14:textId="77777777" w:rsidR="0015722C" w:rsidRPr="002F3359" w:rsidRDefault="00570B35" w:rsidP="000F5D75">
      <w:pPr>
        <w:spacing w:line="240" w:lineRule="auto"/>
      </w:pPr>
      <w:r w:rsidRPr="002F3359">
        <w:tab/>
      </w:r>
      <w:r w:rsidRPr="002F3359">
        <w:rPr>
          <w:rStyle w:val="FootnoteReference"/>
        </w:rPr>
        <w:t>*</w:t>
      </w:r>
      <w:r w:rsidRPr="002F3359">
        <w:t xml:space="preserve"> </w:t>
      </w:r>
      <w:r w:rsidR="009353E3" w:rsidRPr="002F3359">
        <w:t>Retired Presiding Justice of the Court of Appeal, First Appellate District, Division Four, assigned by the Chief Justice pursuant to article VI, section 6 of the California Constitution.</w:t>
      </w:r>
    </w:p>
  </w:footnote>
  <w:footnote w:id="22">
    <w:p w14:paraId="4A5582C8" w14:textId="631AA65D" w:rsidR="00AB000C" w:rsidRPr="002F3359" w:rsidRDefault="00570B35" w:rsidP="00AB000C">
      <w:pPr>
        <w:pStyle w:val="FootnoteText"/>
        <w:spacing w:after="120"/>
        <w:ind w:firstLine="720"/>
        <w:rPr>
          <w:szCs w:val="26"/>
        </w:rPr>
      </w:pPr>
      <w:r w:rsidRPr="002F3359">
        <w:rPr>
          <w:rStyle w:val="FootnoteReference"/>
        </w:rPr>
        <w:footnoteRef/>
      </w:r>
      <w:r w:rsidRPr="002F3359">
        <w:rPr>
          <w:szCs w:val="26"/>
        </w:rPr>
        <w:t xml:space="preserve"> All further undesignated citations to constitutional articles and sections thereof are to the California Constitution.</w:t>
      </w:r>
    </w:p>
  </w:footnote>
  <w:footnote w:id="23">
    <w:p w14:paraId="4D870394"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Business &amp; Professions Code,</w:t>
      </w:r>
      <w:r w:rsidRPr="002F3359">
        <w:rPr>
          <w:rStyle w:val="FootnoteReference"/>
          <w:szCs w:val="26"/>
        </w:rPr>
        <w:t xml:space="preserve"> </w:t>
      </w:r>
      <w:r w:rsidRPr="002F3359">
        <w:rPr>
          <w:szCs w:val="26"/>
        </w:rPr>
        <w:t>sections 7448–7467, as added by Proposition 22, approved by the voters, General Election (Nov. 3, 202</w:t>
      </w:r>
      <w:r w:rsidRPr="002F3359">
        <w:rPr>
          <w:szCs w:val="26"/>
        </w:rPr>
        <w:t>0).</w:t>
      </w:r>
    </w:p>
  </w:footnote>
  <w:footnote w:id="24">
    <w:p w14:paraId="4FA12533" w14:textId="77777777" w:rsidR="00AB000C" w:rsidRPr="002F3359" w:rsidRDefault="00570B35" w:rsidP="00AB000C">
      <w:pPr>
        <w:pStyle w:val="FootnoteText"/>
        <w:ind w:firstLine="720"/>
        <w:rPr>
          <w:szCs w:val="26"/>
        </w:rPr>
      </w:pPr>
      <w:r w:rsidRPr="002F3359">
        <w:rPr>
          <w:rStyle w:val="FootnoteReference"/>
          <w:szCs w:val="26"/>
        </w:rPr>
        <w:footnoteRef/>
      </w:r>
      <w:r w:rsidRPr="002F3359">
        <w:rPr>
          <w:szCs w:val="26"/>
        </w:rPr>
        <w:t xml:space="preserve"> </w:t>
      </w:r>
      <w:r w:rsidRPr="002F3359">
        <w:rPr>
          <w:szCs w:val="26"/>
          <w:shd w:val="clear" w:color="auto" w:fill="FFFFFF"/>
        </w:rPr>
        <w:t xml:space="preserve">See Assembly Bill No. 5 (2019–2020 Reg. Sess.) (Assembly Bill 5); former Labor Code § 2750.3, as added by Stats. 2019, </w:t>
      </w:r>
      <w:proofErr w:type="spellStart"/>
      <w:r w:rsidRPr="002F3359">
        <w:rPr>
          <w:szCs w:val="26"/>
          <w:shd w:val="clear" w:color="auto" w:fill="FFFFFF"/>
        </w:rPr>
        <w:t>ch.</w:t>
      </w:r>
      <w:proofErr w:type="spellEnd"/>
      <w:r w:rsidRPr="002F3359">
        <w:rPr>
          <w:szCs w:val="26"/>
          <w:shd w:val="clear" w:color="auto" w:fill="FFFFFF"/>
        </w:rPr>
        <w:t> 296, § 2; repealed and transferred to Lab. Code, §§ 2775, 2785.</w:t>
      </w:r>
    </w:p>
  </w:footnote>
  <w:footnote w:id="25">
    <w:p w14:paraId="741CE699"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Former article XX, section 21 was repealed and readopted as a</w:t>
      </w:r>
      <w:r w:rsidRPr="002F3359">
        <w:rPr>
          <w:szCs w:val="26"/>
        </w:rPr>
        <w:t>rticle XIV, section 4, without substantive change in 1976.  (</w:t>
      </w:r>
      <w:r w:rsidRPr="002F3359">
        <w:rPr>
          <w:i/>
          <w:szCs w:val="26"/>
        </w:rPr>
        <w:t>City of Los Angeles v. Workers’ Comp. Appeals Bd.</w:t>
      </w:r>
      <w:r w:rsidRPr="002F3359">
        <w:rPr>
          <w:szCs w:val="26"/>
        </w:rPr>
        <w:t xml:space="preserve"> (2009) 179 Cal.App.4th 134, 142, fn. 3; see </w:t>
      </w:r>
      <w:r w:rsidRPr="002F3359">
        <w:rPr>
          <w:i/>
          <w:szCs w:val="26"/>
        </w:rPr>
        <w:t>S</w:t>
      </w:r>
      <w:r w:rsidRPr="002F3359">
        <w:rPr>
          <w:rFonts w:eastAsia="Times New Roman" w:cs="Times New Roman"/>
          <w:i/>
          <w:szCs w:val="26"/>
          <w:bdr w:val="none" w:sz="0" w:space="0" w:color="auto" w:frame="1"/>
        </w:rPr>
        <w:t>ix Flags, Inc. v. Workers’ Comp. Appeals Bd.</w:t>
      </w:r>
      <w:r w:rsidRPr="002F3359">
        <w:rPr>
          <w:rFonts w:eastAsia="Times New Roman" w:cs="Times New Roman"/>
          <w:szCs w:val="26"/>
        </w:rPr>
        <w:t xml:space="preserve"> (2006) 145 Cal.App.4th 91, 95 (</w:t>
      </w:r>
      <w:r w:rsidRPr="002F3359">
        <w:rPr>
          <w:rFonts w:eastAsia="Times New Roman" w:cs="Times New Roman"/>
          <w:i/>
          <w:szCs w:val="26"/>
        </w:rPr>
        <w:t>Six Flag</w:t>
      </w:r>
      <w:r w:rsidRPr="002F3359">
        <w:rPr>
          <w:rFonts w:eastAsia="Times New Roman" w:cs="Times New Roman"/>
          <w:szCs w:val="26"/>
        </w:rPr>
        <w:t>s) [“</w:t>
      </w:r>
      <w:r w:rsidRPr="002F3359">
        <w:rPr>
          <w:rFonts w:eastAsia="Times New Roman" w:cs="Times New Roman"/>
          <w:szCs w:val="26"/>
          <w:shd w:val="clear" w:color="auto" w:fill="FFFFFF"/>
        </w:rPr>
        <w:t xml:space="preserve">The </w:t>
      </w:r>
      <w:r w:rsidRPr="002F3359">
        <w:rPr>
          <w:rFonts w:eastAsia="Times New Roman" w:cs="Times New Roman"/>
          <w:szCs w:val="26"/>
          <w:shd w:val="clear" w:color="auto" w:fill="FFFFFF"/>
        </w:rPr>
        <w:t>constitutional enabling provision establishing the workers’ compensation scheme has remained the same since 1918 with two exceptions:  (1) a 1972 amendment adding the State of California as a beneficiary entitled to workers’ compensation benefits in some c</w:t>
      </w:r>
      <w:r w:rsidRPr="002F3359">
        <w:rPr>
          <w:rFonts w:eastAsia="Times New Roman" w:cs="Times New Roman"/>
          <w:szCs w:val="26"/>
          <w:shd w:val="clear" w:color="auto" w:fill="FFFFFF"/>
        </w:rPr>
        <w:t>ases; and (2) a 1974 amendment making the provision gender neutral, changing ‘workmen’ to ‘workers.’ ”].)</w:t>
      </w:r>
    </w:p>
  </w:footnote>
  <w:footnote w:id="26">
    <w:p w14:paraId="13C769F4" w14:textId="77777777" w:rsidR="00AB000C" w:rsidRPr="002F3359" w:rsidRDefault="00570B35" w:rsidP="00AB000C">
      <w:pPr>
        <w:shd w:val="clear" w:color="auto" w:fill="FFFFFF"/>
        <w:spacing w:after="120" w:line="240" w:lineRule="auto"/>
        <w:ind w:firstLine="720"/>
        <w:textAlignment w:val="baseline"/>
      </w:pPr>
      <w:r w:rsidRPr="002F3359">
        <w:rPr>
          <w:rStyle w:val="FootnoteReference"/>
        </w:rPr>
        <w:footnoteRef/>
      </w:r>
      <w:r w:rsidRPr="002F3359">
        <w:t xml:space="preserve"> </w:t>
      </w:r>
      <w:r w:rsidRPr="002F3359">
        <w:rPr>
          <w:rFonts w:eastAsia="Times New Roman" w:cs="Times New Roman"/>
          <w:i/>
          <w:iCs/>
          <w:bdr w:val="none" w:sz="0" w:space="0" w:color="auto" w:frame="1"/>
        </w:rPr>
        <w:t>Pacific G. &amp; E. Co. v. Industrial Acc. Com.</w:t>
      </w:r>
      <w:r w:rsidRPr="002F3359">
        <w:rPr>
          <w:rFonts w:eastAsia="Times New Roman" w:cs="Times New Roman"/>
        </w:rPr>
        <w:t xml:space="preserve"> (1919) 180 Cal. 497, 500 (</w:t>
      </w:r>
      <w:r w:rsidRPr="002F3359">
        <w:rPr>
          <w:rFonts w:eastAsia="Times New Roman" w:cs="Times New Roman"/>
          <w:i/>
          <w:iCs/>
        </w:rPr>
        <w:t>PG&amp;</w:t>
      </w:r>
      <w:r w:rsidRPr="002F3359">
        <w:rPr>
          <w:rFonts w:eastAsia="Times New Roman" w:cs="Times New Roman"/>
          <w:i/>
          <w:spacing w:val="20"/>
        </w:rPr>
        <w:t>E</w:t>
      </w:r>
      <w:r w:rsidRPr="002F3359">
        <w:rPr>
          <w:rFonts w:eastAsia="Times New Roman" w:cs="Times New Roman"/>
        </w:rPr>
        <w:t>) (“</w:t>
      </w:r>
      <w:r w:rsidRPr="002F3359">
        <w:rPr>
          <w:shd w:val="clear" w:color="auto" w:fill="FFFFFF"/>
        </w:rPr>
        <w:t>the terms ‘employers,’ ‘employees’ and ‘employment’ as used in [former</w:t>
      </w:r>
      <w:r w:rsidRPr="002F3359">
        <w:rPr>
          <w:shd w:val="clear" w:color="auto" w:fill="FFFFFF"/>
        </w:rPr>
        <w:t>] section 21, article XX, of the constitution, as amended in October, 1911, must be construed in the light of their meaning at the time of the adoption of the amendment, and cannot be extended by legislative definition, for such extension would, in effect,</w:t>
      </w:r>
      <w:r w:rsidRPr="002F3359">
        <w:rPr>
          <w:shd w:val="clear" w:color="auto" w:fill="FFFFFF"/>
        </w:rPr>
        <w:t xml:space="preserve"> be an amendment of the constitution, if accepted as authoritative”); </w:t>
      </w:r>
      <w:r w:rsidRPr="002F3359">
        <w:rPr>
          <w:rFonts w:eastAsia="Times New Roman" w:cs="Times New Roman"/>
          <w:i/>
          <w:iCs/>
          <w:bdr w:val="none" w:sz="0" w:space="0" w:color="auto" w:frame="1"/>
        </w:rPr>
        <w:t xml:space="preserve">Employers’ Liability Assur. Corp. v. Industrial Acc. Com. </w:t>
      </w:r>
      <w:r w:rsidRPr="002F3359">
        <w:rPr>
          <w:rFonts w:eastAsia="Times New Roman" w:cs="Times New Roman"/>
        </w:rPr>
        <w:t xml:space="preserve">(1918) 179 Cal. 432, 437 [same].  In parts </w:t>
      </w:r>
      <w:proofErr w:type="spellStart"/>
      <w:r w:rsidRPr="002F3359">
        <w:rPr>
          <w:rFonts w:eastAsia="Times New Roman" w:cs="Times New Roman"/>
        </w:rPr>
        <w:t>II.B</w:t>
      </w:r>
      <w:proofErr w:type="spellEnd"/>
      <w:r w:rsidRPr="002F3359">
        <w:rPr>
          <w:rFonts w:eastAsia="Times New Roman" w:cs="Times New Roman"/>
        </w:rPr>
        <w:t xml:space="preserve">. and II.D.2.–II.D.3. below, I explain the history of article XIV, section 4, as </w:t>
      </w:r>
      <w:r w:rsidRPr="002F3359">
        <w:rPr>
          <w:rFonts w:eastAsia="Times New Roman" w:cs="Times New Roman"/>
        </w:rPr>
        <w:t xml:space="preserve">it evolved from its original form in 1911.  Though some of the terminology changed </w:t>
      </w:r>
      <w:proofErr w:type="gramStart"/>
      <w:r w:rsidRPr="002F3359">
        <w:rPr>
          <w:rFonts w:eastAsia="Times New Roman" w:cs="Times New Roman"/>
        </w:rPr>
        <w:t>in the course of</w:t>
      </w:r>
      <w:proofErr w:type="gramEnd"/>
      <w:r w:rsidRPr="002F3359">
        <w:rPr>
          <w:rFonts w:eastAsia="Times New Roman" w:cs="Times New Roman"/>
        </w:rPr>
        <w:t xml:space="preserve"> its evolution, the scheme was always founded on the existence of an “employment” relationship.  Each iteration of the constitutional language, in 1911 and i</w:t>
      </w:r>
      <w:r w:rsidRPr="002F3359">
        <w:rPr>
          <w:rFonts w:eastAsia="Times New Roman" w:cs="Times New Roman"/>
        </w:rPr>
        <w:t>n 1918, uses the term “employment” to designate the boundary of who is covered and who is not.</w:t>
      </w:r>
    </w:p>
  </w:footnote>
  <w:footnote w:id="27">
    <w:p w14:paraId="64387E8B" w14:textId="77777777" w:rsidR="00AB000C" w:rsidRPr="002F3359" w:rsidRDefault="00570B35" w:rsidP="00AB000C">
      <w:pPr>
        <w:spacing w:after="120" w:line="240" w:lineRule="auto"/>
        <w:ind w:firstLine="720"/>
      </w:pPr>
      <w:r w:rsidRPr="002F3359">
        <w:rPr>
          <w:rStyle w:val="FootnoteReference"/>
        </w:rPr>
        <w:footnoteRef/>
      </w:r>
      <w:r w:rsidRPr="002F3359">
        <w:t xml:space="preserve"> To be sure, voter electors can always change the “basic features” of the pre</w:t>
      </w:r>
      <w:r w:rsidRPr="002F3359">
        <w:noBreakHyphen/>
        <w:t xml:space="preserve">1918 system of workers’ compensation by ballot constitutional amendment.  For </w:t>
      </w:r>
      <w:r w:rsidRPr="002F3359">
        <w:t>example, former article XX, section 21, the precursor to article XIV, section 4, authorized the Legislature to create a system “to compensate . . . workers for injury or disability, and their dependents for death incurred or sustained by the said workers.”</w:t>
      </w:r>
      <w:r w:rsidRPr="002F3359">
        <w:t xml:space="preserve">  (Prop. 23, approved by the voters, Gen. Elec. (Nov. 5, 1918); Ballot </w:t>
      </w:r>
      <w:proofErr w:type="spellStart"/>
      <w:r w:rsidRPr="002F3359">
        <w:t>Pamp</w:t>
      </w:r>
      <w:proofErr w:type="spellEnd"/>
      <w:r w:rsidRPr="002F3359">
        <w:t>. text of Prop. 23 at &lt;https://repository.uchastings.edu/cgi/viewcontent.cgi?article=1127&amp;context=ca_ballot_props</w:t>
      </w:r>
      <w:r w:rsidRPr="002F3359">
        <w:rPr>
          <w:rStyle w:val="Hyperlink"/>
          <w:color w:val="auto"/>
          <w:u w:val="none"/>
        </w:rPr>
        <w:t>&gt; [as of Mar. 13, 2023]</w:t>
      </w:r>
      <w:r w:rsidRPr="002F3359">
        <w:t>.)  The California Supreme Court held in 1922</w:t>
      </w:r>
      <w:r w:rsidRPr="002F3359">
        <w:t xml:space="preserve"> that these words did not authorize payment of compensation benefits to a state fund if the worker died without dependents (</w:t>
      </w:r>
      <w:r w:rsidRPr="002F3359">
        <w:rPr>
          <w:i/>
          <w:iCs/>
        </w:rPr>
        <w:t>Yosemite Lumber</w:t>
      </w:r>
      <w:r w:rsidRPr="002F3359">
        <w:t xml:space="preserve">, </w:t>
      </w:r>
      <w:r w:rsidRPr="002F3359">
        <w:rPr>
          <w:i/>
          <w:iCs/>
        </w:rPr>
        <w:t>supra</w:t>
      </w:r>
      <w:r w:rsidRPr="002F3359">
        <w:t>, 187 Cal. at p. 782), a holding that was later extended to invalidate awards to the estates of deceased worke</w:t>
      </w:r>
      <w:r w:rsidRPr="002F3359">
        <w:t xml:space="preserve">rs (see </w:t>
      </w:r>
      <w:r w:rsidRPr="002F3359">
        <w:rPr>
          <w:rFonts w:eastAsia="Times New Roman" w:cs="Times New Roman"/>
          <w:i/>
          <w:iCs/>
          <w:bdr w:val="none" w:sz="0" w:space="0" w:color="auto" w:frame="1"/>
        </w:rPr>
        <w:t>Commercial Cas. Ins. Co. v. Industrial Acc. Com.</w:t>
      </w:r>
      <w:r w:rsidRPr="002F3359">
        <w:rPr>
          <w:rFonts w:eastAsia="Times New Roman" w:cs="Times New Roman"/>
        </w:rPr>
        <w:t xml:space="preserve"> (1930) 211 Cal. 210, 215).  Many </w:t>
      </w:r>
      <w:r w:rsidRPr="002F3359">
        <w:t>years later, the voters amended article XIV, section 4, to allow the Legislature to authorize payment of a compensation award for a worker who dies without dependents</w:t>
      </w:r>
      <w:r w:rsidRPr="002F3359">
        <w:t xml:space="preserve"> </w:t>
      </w:r>
      <w:proofErr w:type="gramStart"/>
      <w:r w:rsidRPr="002F3359">
        <w:t>either to</w:t>
      </w:r>
      <w:proofErr w:type="gramEnd"/>
      <w:r w:rsidRPr="002F3359">
        <w:t xml:space="preserve"> the state (Prop. 13, approved by the voters, Gen. Elec. (Nov. 7, 1972); see </w:t>
      </w:r>
      <w:r w:rsidRPr="002F3359">
        <w:rPr>
          <w:i/>
          <w:iCs/>
        </w:rPr>
        <w:t>S</w:t>
      </w:r>
      <w:r w:rsidRPr="002F3359">
        <w:rPr>
          <w:rFonts w:eastAsia="Times New Roman" w:cs="Times New Roman"/>
          <w:i/>
          <w:iCs/>
          <w:bdr w:val="none" w:sz="0" w:space="0" w:color="auto" w:frame="1"/>
        </w:rPr>
        <w:t>ix Flags</w:t>
      </w:r>
      <w:r w:rsidRPr="002F3359">
        <w:rPr>
          <w:rFonts w:eastAsia="Times New Roman" w:cs="Times New Roman"/>
          <w:bdr w:val="none" w:sz="0" w:space="0" w:color="auto" w:frame="1"/>
        </w:rPr>
        <w:t>,</w:t>
      </w:r>
      <w:r w:rsidRPr="002F3359">
        <w:rPr>
          <w:rFonts w:eastAsia="Times New Roman" w:cs="Times New Roman"/>
          <w:i/>
          <w:iCs/>
          <w:bdr w:val="none" w:sz="0" w:space="0" w:color="auto" w:frame="1"/>
        </w:rPr>
        <w:t xml:space="preserve"> </w:t>
      </w:r>
      <w:r w:rsidRPr="002F3359">
        <w:rPr>
          <w:rFonts w:eastAsia="Times New Roman" w:cs="Times New Roman"/>
          <w:i/>
        </w:rPr>
        <w:t>supra</w:t>
      </w:r>
      <w:r w:rsidRPr="002F3359">
        <w:rPr>
          <w:rFonts w:eastAsia="Times New Roman" w:cs="Times New Roman"/>
        </w:rPr>
        <w:t>, 145 Cal.App.4th at p. 97),</w:t>
      </w:r>
      <w:r w:rsidRPr="002F3359">
        <w:t xml:space="preserve"> or to the worker’s estate (Prop. 14, approved by the voters, Prim. Elec. (June 8, 1976)).</w:t>
      </w:r>
    </w:p>
  </w:footnote>
  <w:footnote w:id="28">
    <w:p w14:paraId="665B9095"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See </w:t>
      </w:r>
      <w:r w:rsidRPr="002F3359">
        <w:rPr>
          <w:rFonts w:eastAsia="Times New Roman" w:cs="Times New Roman"/>
          <w:i/>
          <w:szCs w:val="26"/>
          <w:bdr w:val="none" w:sz="0" w:space="0" w:color="auto" w:frame="1"/>
        </w:rPr>
        <w:t>Lochner</w:t>
      </w:r>
      <w:r w:rsidRPr="002F3359">
        <w:rPr>
          <w:rFonts w:eastAsia="Times New Roman" w:cs="Times New Roman"/>
          <w:i/>
          <w:iCs/>
          <w:szCs w:val="26"/>
          <w:bdr w:val="none" w:sz="0" w:space="0" w:color="auto" w:frame="1"/>
        </w:rPr>
        <w:t xml:space="preserve"> v. New York</w:t>
      </w:r>
      <w:r w:rsidRPr="002F3359">
        <w:rPr>
          <w:rFonts w:eastAsia="Times New Roman" w:cs="Times New Roman"/>
          <w:szCs w:val="26"/>
        </w:rPr>
        <w:t xml:space="preserve"> (1905) 198 U.S. 45</w:t>
      </w:r>
      <w:r w:rsidRPr="002F3359">
        <w:rPr>
          <w:szCs w:val="26"/>
          <w:shd w:val="clear" w:color="auto" w:fill="FFFFFF"/>
        </w:rPr>
        <w:t>, disapproved</w:t>
      </w:r>
      <w:r w:rsidRPr="002F3359">
        <w:rPr>
          <w:rFonts w:eastAsia="Times New Roman" w:cs="Times New Roman"/>
          <w:szCs w:val="26"/>
          <w:bdr w:val="none" w:sz="0" w:space="0" w:color="auto" w:frame="1"/>
        </w:rPr>
        <w:t xml:space="preserve">, </w:t>
      </w:r>
      <w:r w:rsidRPr="002F3359">
        <w:rPr>
          <w:rFonts w:eastAsia="Times New Roman" w:cs="Times New Roman"/>
          <w:i/>
          <w:iCs/>
          <w:szCs w:val="26"/>
          <w:bdr w:val="none" w:sz="0" w:space="0" w:color="auto" w:frame="1"/>
        </w:rPr>
        <w:t>West Coast Hotel Co. v. Parrish</w:t>
      </w:r>
      <w:r w:rsidRPr="002F3359">
        <w:rPr>
          <w:rFonts w:eastAsia="Times New Roman" w:cs="Times New Roman"/>
          <w:szCs w:val="26"/>
        </w:rPr>
        <w:t xml:space="preserve"> (1937) 300 U.S. 379.</w:t>
      </w:r>
    </w:p>
  </w:footnote>
  <w:footnote w:id="29">
    <w:p w14:paraId="61C68828" w14:textId="77777777" w:rsidR="00AB000C" w:rsidRPr="002F3359" w:rsidRDefault="00570B35" w:rsidP="00AB000C">
      <w:pPr>
        <w:spacing w:after="120" w:line="240" w:lineRule="auto"/>
        <w:ind w:firstLine="720"/>
      </w:pPr>
      <w:r w:rsidRPr="002F3359">
        <w:rPr>
          <w:rStyle w:val="FootnoteReference"/>
        </w:rPr>
        <w:footnoteRef/>
      </w:r>
      <w:r w:rsidRPr="002F3359">
        <w:t xml:space="preserve"> The current workers’ compensation statutory scheme appears in the Labor Code.  (</w:t>
      </w:r>
      <w:r w:rsidRPr="002F3359">
        <w:rPr>
          <w:rFonts w:eastAsia="Times New Roman" w:cs="Times New Roman"/>
          <w:i/>
          <w:iCs/>
          <w:bdr w:val="none" w:sz="0" w:space="0" w:color="auto" w:frame="1"/>
        </w:rPr>
        <w:t xml:space="preserve">King v. </w:t>
      </w:r>
      <w:proofErr w:type="spellStart"/>
      <w:r w:rsidRPr="002F3359">
        <w:rPr>
          <w:rFonts w:eastAsia="Times New Roman" w:cs="Times New Roman"/>
          <w:i/>
          <w:iCs/>
          <w:bdr w:val="none" w:sz="0" w:space="0" w:color="auto" w:frame="1"/>
        </w:rPr>
        <w:t>CompPartners</w:t>
      </w:r>
      <w:proofErr w:type="spellEnd"/>
      <w:r w:rsidRPr="002F3359">
        <w:rPr>
          <w:rFonts w:eastAsia="Times New Roman" w:cs="Times New Roman"/>
          <w:i/>
          <w:iCs/>
          <w:bdr w:val="none" w:sz="0" w:space="0" w:color="auto" w:frame="1"/>
        </w:rPr>
        <w:t>, Inc.</w:t>
      </w:r>
      <w:r w:rsidRPr="002F3359">
        <w:rPr>
          <w:rFonts w:eastAsia="Times New Roman" w:cs="Times New Roman"/>
        </w:rPr>
        <w:t xml:space="preserve"> (2018) 5 Cal.5th 1039, 1046 [“</w:t>
      </w:r>
      <w:r w:rsidRPr="002F3359">
        <w:rPr>
          <w:rFonts w:eastAsia="Times New Roman" w:cs="Times New Roman"/>
          <w:shd w:val="clear" w:color="auto" w:fill="FFFFFF"/>
        </w:rPr>
        <w:t>First created more</w:t>
      </w:r>
      <w:r w:rsidRPr="002F3359">
        <w:rPr>
          <w:rFonts w:eastAsia="Times New Roman" w:cs="Times New Roman"/>
          <w:shd w:val="clear" w:color="auto" w:fill="FFFFFF"/>
        </w:rPr>
        <w:t xml:space="preserve"> than a century ago, California’s workers’ compensation system is now governed by the Workers’ Compensation Act (</w:t>
      </w:r>
      <w:proofErr w:type="spellStart"/>
      <w:r w:rsidRPr="002F3359">
        <w:rPr>
          <w:rFonts w:eastAsia="Times New Roman" w:cs="Times New Roman"/>
          <w:shd w:val="clear" w:color="auto" w:fill="FFFFFF"/>
        </w:rPr>
        <w:t>WCA</w:t>
      </w:r>
      <w:proofErr w:type="spellEnd"/>
      <w:r w:rsidRPr="002F3359">
        <w:rPr>
          <w:rFonts w:eastAsia="Times New Roman" w:cs="Times New Roman"/>
          <w:shd w:val="clear" w:color="auto" w:fill="FFFFFF"/>
        </w:rPr>
        <w:t>; Lab. Code, § 3200 et seq.), ‘a comprehensive statutory scheme governing compensation given to California employees for injuries incurred i</w:t>
      </w:r>
      <w:r w:rsidRPr="002F3359">
        <w:rPr>
          <w:rFonts w:eastAsia="Times New Roman" w:cs="Times New Roman"/>
          <w:shd w:val="clear" w:color="auto" w:fill="FFFFFF"/>
        </w:rPr>
        <w:t>n the course and scope of their employment.</w:t>
      </w:r>
      <w:proofErr w:type="gramStart"/>
      <w:r w:rsidRPr="002F3359">
        <w:rPr>
          <w:rFonts w:eastAsia="Times New Roman" w:cs="Times New Roman"/>
          <w:shd w:val="clear" w:color="auto" w:fill="FFFFFF"/>
        </w:rPr>
        <w:t>’ ”</w:t>
      </w:r>
      <w:proofErr w:type="gramEnd"/>
      <w:r w:rsidRPr="002F3359">
        <w:rPr>
          <w:rFonts w:eastAsia="Times New Roman" w:cs="Times New Roman"/>
          <w:shd w:val="clear" w:color="auto" w:fill="FFFFFF"/>
        </w:rPr>
        <w:t>].)</w:t>
      </w:r>
    </w:p>
  </w:footnote>
  <w:footnote w:id="30">
    <w:p w14:paraId="1862532E" w14:textId="77777777" w:rsidR="00AB000C" w:rsidRPr="002F3359" w:rsidRDefault="00570B35" w:rsidP="00AB000C">
      <w:pPr>
        <w:spacing w:after="120" w:line="240" w:lineRule="auto"/>
        <w:ind w:firstLine="720"/>
      </w:pPr>
      <w:r w:rsidRPr="002F3359">
        <w:rPr>
          <w:rStyle w:val="FootnoteReference"/>
        </w:rPr>
        <w:footnoteRef/>
      </w:r>
      <w:r w:rsidRPr="002F3359">
        <w:t xml:space="preserve"> The majority opinion appears to question whether the </w:t>
      </w:r>
      <w:r w:rsidRPr="002F3359">
        <w:rPr>
          <w:i/>
          <w:iCs/>
        </w:rPr>
        <w:t>Mathews</w:t>
      </w:r>
      <w:r w:rsidRPr="002F3359">
        <w:t xml:space="preserve"> and </w:t>
      </w:r>
      <w:proofErr w:type="spellStart"/>
      <w:r w:rsidRPr="002F3359">
        <w:rPr>
          <w:i/>
          <w:iCs/>
        </w:rPr>
        <w:t>Hustedt</w:t>
      </w:r>
      <w:proofErr w:type="spellEnd"/>
      <w:r w:rsidRPr="002F3359">
        <w:t xml:space="preserve"> courts </w:t>
      </w:r>
      <w:proofErr w:type="gramStart"/>
      <w:r w:rsidRPr="002F3359">
        <w:t>actually meant</w:t>
      </w:r>
      <w:proofErr w:type="gramEnd"/>
      <w:r w:rsidRPr="002F3359">
        <w:t xml:space="preserve"> what they said in stating that the language of article XIV, section 4, codified the “basic features” of the p</w:t>
      </w:r>
      <w:r w:rsidRPr="002F3359">
        <w:t>re</w:t>
      </w:r>
      <w:r w:rsidRPr="002F3359">
        <w:noBreakHyphen/>
        <w:t xml:space="preserve">1918 statutory scheme.  (Maj. </w:t>
      </w:r>
      <w:proofErr w:type="spellStart"/>
      <w:r w:rsidRPr="002F3359">
        <w:t>opn</w:t>
      </w:r>
      <w:proofErr w:type="spellEnd"/>
      <w:r w:rsidRPr="002F3359">
        <w:t xml:space="preserve">., </w:t>
      </w:r>
      <w:r w:rsidRPr="002F3359">
        <w:rPr>
          <w:i/>
          <w:iCs/>
        </w:rPr>
        <w:t>ante</w:t>
      </w:r>
      <w:r w:rsidRPr="002F3359">
        <w:t xml:space="preserve">, at p. 22, fn. 10.)  But the constitutional language—which these courts were simply describing when they said article XIV, section 4, outlines the “basic features” of a “complete system of workers’ compensation” </w:t>
      </w:r>
      <w:r w:rsidRPr="002F3359">
        <w:t>(</w:t>
      </w:r>
      <w:proofErr w:type="spellStart"/>
      <w:r w:rsidRPr="002F3359">
        <w:rPr>
          <w:i/>
          <w:iCs/>
        </w:rPr>
        <w:t>Hustedt</w:t>
      </w:r>
      <w:proofErr w:type="spellEnd"/>
      <w:r w:rsidRPr="002F3359">
        <w:t xml:space="preserve">, </w:t>
      </w:r>
      <w:r w:rsidRPr="002F3359">
        <w:rPr>
          <w:i/>
          <w:iCs/>
        </w:rPr>
        <w:t>supra</w:t>
      </w:r>
      <w:r w:rsidRPr="002F3359">
        <w:t xml:space="preserve">, 30 Cal.3d at pp. 342–343, </w:t>
      </w:r>
      <w:proofErr w:type="spellStart"/>
      <w:r w:rsidRPr="002F3359">
        <w:t>fns</w:t>
      </w:r>
      <w:proofErr w:type="spellEnd"/>
      <w:r w:rsidRPr="002F3359">
        <w:t>. 10 &amp; 11)—speaks for itself.</w:t>
      </w:r>
    </w:p>
  </w:footnote>
  <w:footnote w:id="31">
    <w:p w14:paraId="0F1DCDBA" w14:textId="77777777" w:rsidR="00AB000C" w:rsidRPr="002F3359" w:rsidRDefault="00570B35"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eastAsia="Times New Roman" w:cs="Times New Roman"/>
          <w:i/>
          <w:iCs/>
        </w:rPr>
        <w:t>Western Indemnity</w:t>
      </w:r>
      <w:r w:rsidRPr="002F3359">
        <w:rPr>
          <w:i/>
        </w:rPr>
        <w:t> I</w:t>
      </w:r>
      <w:r w:rsidRPr="002F3359">
        <w:rPr>
          <w:iCs/>
        </w:rPr>
        <w:t>,</w:t>
      </w:r>
      <w:r w:rsidRPr="002F3359">
        <w:rPr>
          <w:i/>
        </w:rPr>
        <w:t xml:space="preserve"> supra, </w:t>
      </w:r>
      <w:r w:rsidRPr="002F3359">
        <w:rPr>
          <w:rFonts w:eastAsia="Times New Roman" w:cs="Times New Roman"/>
        </w:rPr>
        <w:t xml:space="preserve">170 Cal. </w:t>
      </w:r>
      <w:r w:rsidRPr="002F3359">
        <w:rPr>
          <w:iCs/>
        </w:rPr>
        <w:t>a</w:t>
      </w:r>
      <w:r w:rsidRPr="002F3359">
        <w:rPr>
          <w:rFonts w:eastAsia="Times New Roman" w:cs="Times New Roman"/>
        </w:rPr>
        <w:t xml:space="preserve">t pages 711–716; see </w:t>
      </w:r>
      <w:r w:rsidRPr="002F3359">
        <w:rPr>
          <w:rFonts w:eastAsia="Times New Roman" w:cs="Times New Roman"/>
          <w:i/>
          <w:iCs/>
          <w:bdr w:val="none" w:sz="0" w:space="0" w:color="auto" w:frame="1"/>
        </w:rPr>
        <w:t>Ives v. South Buffalo Ry. Co.</w:t>
      </w:r>
      <w:r w:rsidRPr="002F3359">
        <w:rPr>
          <w:rFonts w:eastAsia="Times New Roman" w:cs="Times New Roman"/>
        </w:rPr>
        <w:t xml:space="preserve"> (1911) 201 N.Y. 271</w:t>
      </w:r>
      <w:r w:rsidRPr="002F3359">
        <w:rPr>
          <w:rFonts w:eastAsia="Times New Roman" w:cs="Times New Roman"/>
          <w:bdr w:val="none" w:sz="0" w:space="0" w:color="auto" w:frame="1"/>
        </w:rPr>
        <w:t xml:space="preserve"> citing and relying on </w:t>
      </w:r>
      <w:r w:rsidRPr="002F3359">
        <w:rPr>
          <w:rFonts w:eastAsia="Times New Roman" w:cs="Times New Roman"/>
          <w:i/>
          <w:bdr w:val="none" w:sz="0" w:space="0" w:color="auto" w:frame="1"/>
        </w:rPr>
        <w:t>Lochner</w:t>
      </w:r>
      <w:r w:rsidRPr="002F3359">
        <w:rPr>
          <w:rFonts w:eastAsia="Times New Roman" w:cs="Times New Roman"/>
          <w:i/>
          <w:iCs/>
          <w:bdr w:val="none" w:sz="0" w:space="0" w:color="auto" w:frame="1"/>
        </w:rPr>
        <w:t xml:space="preserve"> v. New York</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198 U.S. 45</w:t>
      </w:r>
      <w:r w:rsidRPr="002F3359">
        <w:rPr>
          <w:shd w:val="clear" w:color="auto" w:fill="FFFFFF"/>
        </w:rPr>
        <w:t xml:space="preserve">, </w:t>
      </w:r>
      <w:r w:rsidRPr="002F3359">
        <w:rPr>
          <w:rFonts w:eastAsia="Times New Roman" w:cs="Times New Roman"/>
          <w:bdr w:val="none" w:sz="0" w:space="0" w:color="auto" w:frame="1"/>
        </w:rPr>
        <w:t xml:space="preserve">disapproved, </w:t>
      </w:r>
      <w:r w:rsidRPr="002F3359">
        <w:rPr>
          <w:rFonts w:eastAsia="Times New Roman" w:cs="Times New Roman"/>
          <w:i/>
          <w:iCs/>
          <w:bdr w:val="none" w:sz="0" w:space="0" w:color="auto" w:frame="1"/>
        </w:rPr>
        <w:t>West Coast Hotel Co. v. Parrish</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300 U.S. 379, to invalidate New York’s workers’ compensation statute.</w:t>
      </w:r>
    </w:p>
  </w:footnote>
  <w:footnote w:id="32">
    <w:p w14:paraId="056A0D06" w14:textId="77777777" w:rsidR="00AB000C" w:rsidRPr="002F3359" w:rsidRDefault="00570B35" w:rsidP="00AB000C">
      <w:pPr>
        <w:pStyle w:val="FootnoteText"/>
        <w:spacing w:after="120"/>
        <w:ind w:firstLine="720"/>
        <w:rPr>
          <w:szCs w:val="26"/>
          <w:shd w:val="clear" w:color="auto" w:fill="FFFFFF"/>
        </w:rPr>
      </w:pPr>
      <w:r w:rsidRPr="002F3359">
        <w:rPr>
          <w:rStyle w:val="FootnoteReference"/>
          <w:szCs w:val="26"/>
        </w:rPr>
        <w:footnoteRef/>
      </w:r>
      <w:r w:rsidRPr="002F3359">
        <w:rPr>
          <w:rFonts w:eastAsia="Times New Roman" w:cs="Times New Roman"/>
          <w:szCs w:val="26"/>
        </w:rPr>
        <w:t xml:space="preserve"> </w:t>
      </w:r>
      <w:r w:rsidRPr="002F3359">
        <w:rPr>
          <w:rFonts w:eastAsia="Times New Roman" w:cs="Times New Roman"/>
          <w:i/>
          <w:iCs/>
          <w:szCs w:val="26"/>
        </w:rPr>
        <w:t>Western Indemnity</w:t>
      </w:r>
      <w:r w:rsidRPr="002F3359">
        <w:rPr>
          <w:i/>
          <w:szCs w:val="26"/>
        </w:rPr>
        <w:t> I</w:t>
      </w:r>
      <w:r w:rsidRPr="002F3359">
        <w:rPr>
          <w:iCs/>
          <w:szCs w:val="26"/>
        </w:rPr>
        <w:t>,</w:t>
      </w:r>
      <w:r w:rsidRPr="002F3359">
        <w:rPr>
          <w:i/>
          <w:szCs w:val="26"/>
        </w:rPr>
        <w:t xml:space="preserve"> supra</w:t>
      </w:r>
      <w:r w:rsidRPr="002F3359">
        <w:rPr>
          <w:iCs/>
          <w:szCs w:val="26"/>
        </w:rPr>
        <w:t xml:space="preserve">, </w:t>
      </w:r>
      <w:r w:rsidRPr="002F3359">
        <w:rPr>
          <w:rFonts w:eastAsia="Times New Roman" w:cs="Times New Roman"/>
          <w:szCs w:val="26"/>
        </w:rPr>
        <w:t xml:space="preserve">170 Cal. </w:t>
      </w:r>
      <w:r w:rsidRPr="002F3359">
        <w:rPr>
          <w:iCs/>
          <w:szCs w:val="26"/>
        </w:rPr>
        <w:t>a</w:t>
      </w:r>
      <w:r w:rsidRPr="002F3359">
        <w:rPr>
          <w:rFonts w:eastAsia="Times New Roman" w:cs="Times New Roman"/>
          <w:szCs w:val="26"/>
        </w:rPr>
        <w:t xml:space="preserve">t page 716 (the statute is “obnoxious to the </w:t>
      </w:r>
      <w:r w:rsidRPr="002F3359">
        <w:rPr>
          <w:szCs w:val="26"/>
          <w:shd w:val="clear" w:color="auto" w:fill="FFFFFF"/>
        </w:rPr>
        <w:t>constitutional provisions guaranteeing equal pro</w:t>
      </w:r>
      <w:r w:rsidRPr="002F3359">
        <w:rPr>
          <w:szCs w:val="26"/>
          <w:shd w:val="clear" w:color="auto" w:fill="FFFFFF"/>
        </w:rPr>
        <w:t>tection . . . and forbidding confiscation”).</w:t>
      </w:r>
    </w:p>
  </w:footnote>
  <w:footnote w:id="33">
    <w:p w14:paraId="50825859"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i/>
          <w:iCs/>
          <w:szCs w:val="26"/>
          <w:shd w:val="clear" w:color="auto" w:fill="FFFFFF"/>
        </w:rPr>
        <w:t>Western Indemnity I</w:t>
      </w:r>
      <w:r w:rsidRPr="002F3359">
        <w:rPr>
          <w:szCs w:val="26"/>
          <w:shd w:val="clear" w:color="auto" w:fill="FFFFFF"/>
        </w:rPr>
        <w:t xml:space="preserve">, </w:t>
      </w:r>
      <w:r w:rsidRPr="002F3359">
        <w:rPr>
          <w:i/>
          <w:iCs/>
          <w:szCs w:val="26"/>
          <w:shd w:val="clear" w:color="auto" w:fill="FFFFFF"/>
        </w:rPr>
        <w:t>supra</w:t>
      </w:r>
      <w:r w:rsidRPr="002F3359">
        <w:rPr>
          <w:szCs w:val="26"/>
          <w:shd w:val="clear" w:color="auto" w:fill="FFFFFF"/>
        </w:rPr>
        <w:t>, 170 Cal. at page 729 (dis. </w:t>
      </w:r>
      <w:proofErr w:type="spellStart"/>
      <w:r w:rsidRPr="002F3359">
        <w:rPr>
          <w:szCs w:val="26"/>
          <w:shd w:val="clear" w:color="auto" w:fill="FFFFFF"/>
        </w:rPr>
        <w:t>opn</w:t>
      </w:r>
      <w:proofErr w:type="spellEnd"/>
      <w:r w:rsidRPr="002F3359">
        <w:rPr>
          <w:szCs w:val="26"/>
          <w:shd w:val="clear" w:color="auto" w:fill="FFFFFF"/>
        </w:rPr>
        <w:t xml:space="preserve">. of Henshaw, J.) (Boynton Act </w:t>
      </w:r>
      <w:r w:rsidRPr="002F3359">
        <w:rPr>
          <w:rFonts w:eastAsia="Times New Roman" w:cs="Times New Roman"/>
          <w:szCs w:val="26"/>
        </w:rPr>
        <w:t>exceeds the Legislature’s powers under former article XX, section 21, as adopted in 1911); cf. </w:t>
      </w:r>
      <w:r w:rsidRPr="002F3359">
        <w:rPr>
          <w:rFonts w:eastAsia="Times New Roman" w:cs="Times New Roman"/>
          <w:i/>
          <w:iCs/>
          <w:szCs w:val="26"/>
        </w:rPr>
        <w:t xml:space="preserve">Western </w:t>
      </w:r>
      <w:r w:rsidRPr="002F3359">
        <w:rPr>
          <w:rFonts w:eastAsia="Times New Roman" w:cs="Times New Roman"/>
          <w:i/>
          <w:iCs/>
          <w:szCs w:val="26"/>
        </w:rPr>
        <w:t>Indemnity I</w:t>
      </w:r>
      <w:r w:rsidRPr="002F3359">
        <w:rPr>
          <w:rFonts w:eastAsia="Times New Roman" w:cs="Times New Roman"/>
          <w:szCs w:val="26"/>
        </w:rPr>
        <w:t xml:space="preserve">, at page 735 (conc. </w:t>
      </w:r>
      <w:proofErr w:type="spellStart"/>
      <w:r w:rsidRPr="002F3359">
        <w:rPr>
          <w:rFonts w:eastAsia="Times New Roman" w:cs="Times New Roman"/>
          <w:szCs w:val="26"/>
        </w:rPr>
        <w:t>opn</w:t>
      </w:r>
      <w:proofErr w:type="spellEnd"/>
      <w:r w:rsidRPr="002F3359">
        <w:rPr>
          <w:rFonts w:eastAsia="Times New Roman" w:cs="Times New Roman"/>
          <w:szCs w:val="26"/>
        </w:rPr>
        <w:t xml:space="preserve">. </w:t>
      </w:r>
      <w:proofErr w:type="spellStart"/>
      <w:r w:rsidRPr="002F3359">
        <w:rPr>
          <w:rFonts w:eastAsia="Times New Roman" w:cs="Times New Roman"/>
          <w:szCs w:val="26"/>
        </w:rPr>
        <w:t>dubitante</w:t>
      </w:r>
      <w:proofErr w:type="spellEnd"/>
      <w:r w:rsidRPr="002F3359">
        <w:rPr>
          <w:rFonts w:eastAsia="Times New Roman" w:cs="Times New Roman"/>
          <w:szCs w:val="26"/>
        </w:rPr>
        <w:t xml:space="preserve"> of Shaw, J., on </w:t>
      </w:r>
      <w:proofErr w:type="spellStart"/>
      <w:r w:rsidRPr="002F3359">
        <w:rPr>
          <w:rFonts w:eastAsia="Times New Roman" w:cs="Times New Roman"/>
          <w:szCs w:val="26"/>
        </w:rPr>
        <w:t>rehg</w:t>
      </w:r>
      <w:proofErr w:type="spellEnd"/>
      <w:r w:rsidRPr="002F3359">
        <w:rPr>
          <w:rFonts w:eastAsia="Times New Roman" w:cs="Times New Roman"/>
          <w:szCs w:val="26"/>
        </w:rPr>
        <w:t>. den.) (combination of taxing power and police power insufficient to save Boynton Act from constitutional invalidity where employee fault implicated in his own injury).</w:t>
      </w:r>
    </w:p>
  </w:footnote>
  <w:footnote w:id="34">
    <w:p w14:paraId="33843EE0"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Following the dec</w:t>
      </w:r>
      <w:r w:rsidRPr="002F3359">
        <w:rPr>
          <w:szCs w:val="26"/>
        </w:rPr>
        <w:t>isions in these cases, in June of 1919 the high court brushed aside another attempt to challenge a state workers’ compensation statute on substantive due process grounds with the following words:  “I</w:t>
      </w:r>
      <w:r w:rsidRPr="002F3359">
        <w:rPr>
          <w:rFonts w:eastAsia="Times New Roman" w:cs="Arial"/>
          <w:szCs w:val="26"/>
          <w:shd w:val="clear" w:color="auto" w:fill="FFFFFF"/>
        </w:rPr>
        <w:t>n view of our recent decisions sustaining state laws impo</w:t>
      </w:r>
      <w:r w:rsidRPr="002F3359">
        <w:rPr>
          <w:rFonts w:eastAsia="Times New Roman" w:cs="Arial"/>
          <w:szCs w:val="26"/>
          <w:shd w:val="clear" w:color="auto" w:fill="FFFFFF"/>
        </w:rPr>
        <w:t>sing upon employers in the hazardous industries responsibility in one form or another for the consequences of injuries received by employees in the course of the employment in the absence of fault on the employer’s part . . . ,</w:t>
      </w:r>
      <w:r w:rsidRPr="002F3359">
        <w:rPr>
          <w:rFonts w:eastAsia="Times New Roman" w:cs="Arial"/>
          <w:sz w:val="24"/>
          <w:szCs w:val="24"/>
          <w:shd w:val="clear" w:color="auto" w:fill="FFFFFF"/>
        </w:rPr>
        <w:t xml:space="preserve"> </w:t>
      </w:r>
      <w:r w:rsidRPr="002F3359">
        <w:rPr>
          <w:rFonts w:eastAsia="Times New Roman" w:cs="Arial"/>
          <w:szCs w:val="26"/>
          <w:shd w:val="clear" w:color="auto" w:fill="FFFFFF"/>
        </w:rPr>
        <w:t>little need now be said.”  (</w:t>
      </w:r>
      <w:r w:rsidRPr="002F3359">
        <w:rPr>
          <w:rFonts w:eastAsia="Times New Roman" w:cs="Arial"/>
          <w:i/>
          <w:iCs/>
          <w:szCs w:val="26"/>
          <w:bdr w:val="none" w:sz="0" w:space="0" w:color="auto" w:frame="1"/>
        </w:rPr>
        <w:t xml:space="preserve">New York Cent. R. Co. v. </w:t>
      </w:r>
      <w:proofErr w:type="spellStart"/>
      <w:r w:rsidRPr="002F3359">
        <w:rPr>
          <w:rFonts w:eastAsia="Times New Roman" w:cs="Arial"/>
          <w:i/>
          <w:iCs/>
          <w:szCs w:val="26"/>
          <w:bdr w:val="none" w:sz="0" w:space="0" w:color="auto" w:frame="1"/>
        </w:rPr>
        <w:t>Bianc</w:t>
      </w:r>
      <w:proofErr w:type="spellEnd"/>
      <w:r w:rsidRPr="002F3359">
        <w:rPr>
          <w:rFonts w:eastAsia="Times New Roman" w:cs="Arial"/>
          <w:szCs w:val="26"/>
        </w:rPr>
        <w:t xml:space="preserve"> (1919) 250 U.S. 596, 601 [</w:t>
      </w:r>
      <w:r w:rsidRPr="002F3359">
        <w:rPr>
          <w:rFonts w:eastAsia="Times New Roman" w:cs="Arial"/>
          <w:szCs w:val="26"/>
          <w:shd w:val="clear" w:color="auto" w:fill="FFFFFF"/>
        </w:rPr>
        <w:t xml:space="preserve">citing </w:t>
      </w:r>
      <w:r w:rsidRPr="002F3359">
        <w:rPr>
          <w:rFonts w:eastAsia="Times New Roman" w:cs="Times New Roman"/>
          <w:i/>
          <w:iCs/>
          <w:szCs w:val="26"/>
          <w:bdr w:val="none" w:sz="0" w:space="0" w:color="auto" w:frame="1"/>
        </w:rPr>
        <w:t xml:space="preserve">New York Cent. R. Co. v. </w:t>
      </w:r>
      <w:r w:rsidRPr="002F3359">
        <w:rPr>
          <w:rFonts w:eastAsia="Times New Roman" w:cs="Arial"/>
          <w:i/>
          <w:iCs/>
          <w:szCs w:val="26"/>
          <w:shd w:val="clear" w:color="auto" w:fill="FFFFFF"/>
        </w:rPr>
        <w:t>White</w:t>
      </w:r>
      <w:r w:rsidRPr="002F3359">
        <w:rPr>
          <w:rFonts w:eastAsia="Times New Roman" w:cs="Arial"/>
          <w:szCs w:val="26"/>
          <w:shd w:val="clear" w:color="auto" w:fill="FFFFFF"/>
        </w:rPr>
        <w:t>,</w:t>
      </w:r>
      <w:r w:rsidRPr="002F3359">
        <w:rPr>
          <w:rFonts w:eastAsia="Times New Roman" w:cs="Times New Roman"/>
          <w:i/>
          <w:iCs/>
          <w:szCs w:val="26"/>
          <w:bdr w:val="none" w:sz="0" w:space="0" w:color="auto" w:frame="1"/>
        </w:rPr>
        <w:t xml:space="preserve"> supra</w:t>
      </w:r>
      <w:r w:rsidRPr="002F3359">
        <w:rPr>
          <w:rFonts w:eastAsia="Times New Roman" w:cs="Times New Roman"/>
          <w:szCs w:val="26"/>
          <w:bdr w:val="none" w:sz="0" w:space="0" w:color="auto" w:frame="1"/>
        </w:rPr>
        <w:t>,</w:t>
      </w:r>
      <w:r w:rsidRPr="002F3359">
        <w:rPr>
          <w:rFonts w:eastAsia="Times New Roman" w:cs="Times New Roman"/>
          <w:szCs w:val="26"/>
        </w:rPr>
        <w:t xml:space="preserve"> 243 U.S. 188 </w:t>
      </w:r>
      <w:r w:rsidRPr="002F3359">
        <w:rPr>
          <w:rFonts w:eastAsia="Times New Roman" w:cs="Arial"/>
          <w:szCs w:val="26"/>
          <w:shd w:val="clear" w:color="auto" w:fill="FFFFFF"/>
        </w:rPr>
        <w:t xml:space="preserve">and </w:t>
      </w:r>
      <w:r w:rsidRPr="002F3359">
        <w:rPr>
          <w:rFonts w:eastAsia="Times New Roman" w:cs="Arial"/>
          <w:i/>
          <w:iCs/>
          <w:szCs w:val="26"/>
          <w:shd w:val="clear" w:color="auto" w:fill="FFFFFF"/>
        </w:rPr>
        <w:t>Mountain Timber</w:t>
      </w:r>
      <w:r w:rsidRPr="002F3359">
        <w:rPr>
          <w:rFonts w:eastAsia="Times New Roman" w:cs="Times New Roman"/>
          <w:i/>
          <w:iCs/>
          <w:szCs w:val="26"/>
          <w:bdr w:val="none" w:sz="0" w:space="0" w:color="auto" w:frame="1"/>
        </w:rPr>
        <w:t xml:space="preserve"> Co. v. State of Washington, supra,</w:t>
      </w:r>
      <w:r w:rsidRPr="002F3359">
        <w:rPr>
          <w:rFonts w:eastAsia="Times New Roman" w:cs="Times New Roman"/>
          <w:szCs w:val="26"/>
        </w:rPr>
        <w:t xml:space="preserve"> 243 U.S. 219</w:t>
      </w:r>
      <w:r w:rsidRPr="002F3359">
        <w:rPr>
          <w:rFonts w:eastAsia="Times New Roman" w:cs="Arial"/>
          <w:szCs w:val="26"/>
          <w:shd w:val="clear" w:color="auto" w:fill="FFFFFF"/>
        </w:rPr>
        <w:t>, among other cases]</w:t>
      </w:r>
      <w:r w:rsidRPr="002F3359">
        <w:rPr>
          <w:rFonts w:eastAsia="Times New Roman" w:cs="Arial"/>
          <w:szCs w:val="26"/>
        </w:rPr>
        <w:t>.)</w:t>
      </w:r>
    </w:p>
  </w:footnote>
  <w:footnote w:id="35">
    <w:p w14:paraId="736CEA78" w14:textId="77777777" w:rsidR="00AB000C" w:rsidRPr="002F3359" w:rsidRDefault="00570B35" w:rsidP="00AB000C">
      <w:pPr>
        <w:spacing w:after="120" w:line="240" w:lineRule="auto"/>
        <w:ind w:firstLine="720"/>
      </w:pPr>
      <w:r w:rsidRPr="002F3359">
        <w:rPr>
          <w:rStyle w:val="FootnoteReference"/>
        </w:rPr>
        <w:footnoteRef/>
      </w:r>
      <w:r w:rsidRPr="002F3359">
        <w:t xml:space="preserve"> In the modern terminology of United States Supreme Court jurisdiction, this would be called an effort to insulate the decision in </w:t>
      </w:r>
      <w:r w:rsidRPr="002F3359">
        <w:rPr>
          <w:i/>
          <w:iCs/>
        </w:rPr>
        <w:t>Western Indemnity I</w:t>
      </w:r>
      <w:r w:rsidRPr="002F3359">
        <w:t xml:space="preserve"> against federal constitutional attack—on </w:t>
      </w:r>
      <w:r w:rsidRPr="002F3359">
        <w:rPr>
          <w:i/>
          <w:iCs/>
        </w:rPr>
        <w:t>any</w:t>
      </w:r>
      <w:r w:rsidRPr="002F3359">
        <w:t xml:space="preserve"> ground—by ensuring that the vehicle for such a future challe</w:t>
      </w:r>
      <w:r w:rsidRPr="002F3359">
        <w:t xml:space="preserve">nge would be a California decision resting on “adequate and independent state grounds.”  (E.g., </w:t>
      </w:r>
      <w:r w:rsidRPr="002F3359">
        <w:rPr>
          <w:rFonts w:eastAsia="Times New Roman" w:cs="Arial"/>
          <w:i/>
          <w:iCs/>
          <w:bdr w:val="none" w:sz="0" w:space="0" w:color="auto" w:frame="1"/>
        </w:rPr>
        <w:t>Republican Nat. Committee v. Burton</w:t>
      </w:r>
      <w:r w:rsidRPr="002F3359">
        <w:rPr>
          <w:rFonts w:eastAsia="Times New Roman" w:cs="Arial"/>
        </w:rPr>
        <w:t xml:space="preserve"> (1982) 455 U.S. 1301, 1302.)  As a recipe to ward off federal review, this is not a theory I am reading into the case law ba</w:t>
      </w:r>
      <w:r w:rsidRPr="002F3359">
        <w:rPr>
          <w:rFonts w:eastAsia="Times New Roman" w:cs="Arial"/>
        </w:rPr>
        <w:t xml:space="preserve">sed on hindsight.  It is a strategy that </w:t>
      </w:r>
      <w:proofErr w:type="gramStart"/>
      <w:r w:rsidRPr="002F3359">
        <w:rPr>
          <w:rFonts w:eastAsia="Times New Roman" w:cs="Arial"/>
        </w:rPr>
        <w:t>actually played</w:t>
      </w:r>
      <w:proofErr w:type="gramEnd"/>
      <w:r w:rsidRPr="002F3359">
        <w:rPr>
          <w:rFonts w:eastAsia="Times New Roman" w:cs="Arial"/>
        </w:rPr>
        <w:t xml:space="preserve"> out in a case involving Arizona’s workers’ compensation scheme, where, just as we see with article XIV, section 4, the challenged statute was based on a specific grant of lawmaking power in that stat</w:t>
      </w:r>
      <w:r w:rsidRPr="002F3359">
        <w:rPr>
          <w:rFonts w:eastAsia="Times New Roman" w:cs="Arial"/>
        </w:rPr>
        <w:t xml:space="preserve">e’s constitution.  (See </w:t>
      </w:r>
      <w:r w:rsidRPr="002F3359">
        <w:rPr>
          <w:rFonts w:eastAsia="Times New Roman" w:cs="Times New Roman"/>
          <w:i/>
          <w:iCs/>
          <w:bdr w:val="none" w:sz="0" w:space="0" w:color="auto" w:frame="1"/>
        </w:rPr>
        <w:t>Arizona Employers’ Liability Cases</w:t>
      </w:r>
      <w:r w:rsidRPr="002F3359">
        <w:rPr>
          <w:rFonts w:eastAsia="Times New Roman" w:cs="Times New Roman"/>
          <w:i/>
          <w:bdr w:val="none" w:sz="0" w:space="0" w:color="auto" w:frame="1"/>
        </w:rPr>
        <w:t xml:space="preserve"> </w:t>
      </w:r>
      <w:r w:rsidRPr="002F3359">
        <w:rPr>
          <w:rFonts w:eastAsia="Times New Roman" w:cs="Times New Roman"/>
        </w:rPr>
        <w:t>(1919) 250 U.S. 400, 417–419.)</w:t>
      </w:r>
    </w:p>
  </w:footnote>
  <w:footnote w:id="36">
    <w:p w14:paraId="346BE84B" w14:textId="77777777" w:rsidR="00AB000C" w:rsidRPr="002F3359" w:rsidRDefault="00570B35" w:rsidP="00AB000C">
      <w:pPr>
        <w:shd w:val="clear" w:color="auto" w:fill="FFFFFF" w:themeFill="background1"/>
        <w:spacing w:after="120" w:line="240" w:lineRule="auto"/>
        <w:ind w:firstLine="720"/>
        <w:textAlignment w:val="baseline"/>
        <w:rPr>
          <w:rFonts w:eastAsia="Times New Roman" w:cs="Times New Roman"/>
          <w:shd w:val="clear" w:color="auto" w:fill="FFFFFF"/>
        </w:rPr>
      </w:pPr>
      <w:r w:rsidRPr="002F3359">
        <w:rPr>
          <w:rStyle w:val="FootnoteReference"/>
        </w:rPr>
        <w:footnoteRef/>
      </w:r>
      <w:r w:rsidRPr="002F3359">
        <w:t xml:space="preserve"> See </w:t>
      </w:r>
      <w:r w:rsidRPr="002F3359">
        <w:rPr>
          <w:rFonts w:eastAsia="Times New Roman" w:cs="Times New Roman"/>
        </w:rPr>
        <w:t xml:space="preserve">Fishback &amp; Kantor, </w:t>
      </w:r>
      <w:r w:rsidRPr="002F3359">
        <w:rPr>
          <w:rFonts w:eastAsia="Times New Roman" w:cs="Times New Roman"/>
          <w:i/>
          <w:iCs/>
          <w:bdr w:val="none" w:sz="0" w:space="0" w:color="auto" w:frame="1"/>
        </w:rPr>
        <w:t>The Adoption of Workers’ Compensation in the United States, 1900–1930</w:t>
      </w:r>
      <w:r w:rsidRPr="002F3359">
        <w:rPr>
          <w:rFonts w:eastAsia="Times New Roman" w:cs="Times New Roman"/>
        </w:rPr>
        <w:t xml:space="preserve"> (1998) 41 J. Law &amp; Econ. 305, 319, table 2 (listing 48 states that adop</w:t>
      </w:r>
      <w:r w:rsidRPr="002F3359">
        <w:rPr>
          <w:rFonts w:eastAsia="Times New Roman" w:cs="Times New Roman"/>
        </w:rPr>
        <w:t xml:space="preserve">ted workers’ compensation statutes between 1910 and 1918); </w:t>
      </w:r>
      <w:r w:rsidRPr="002F3359">
        <w:rPr>
          <w:rFonts w:eastAsia="Times New Roman" w:cs="Times New Roman"/>
          <w:i/>
          <w:iCs/>
        </w:rPr>
        <w:t>id</w:t>
      </w:r>
      <w:r w:rsidRPr="002F3359">
        <w:rPr>
          <w:rFonts w:eastAsia="Times New Roman" w:cs="Times New Roman"/>
          <w:i/>
        </w:rPr>
        <w:t>.</w:t>
      </w:r>
      <w:r w:rsidRPr="002F3359">
        <w:rPr>
          <w:rFonts w:eastAsia="Times New Roman" w:cs="Times New Roman"/>
        </w:rPr>
        <w:t xml:space="preserve"> at p. 319 </w:t>
      </w:r>
      <w:proofErr w:type="gramStart"/>
      <w:r w:rsidRPr="002F3359">
        <w:rPr>
          <w:rFonts w:eastAsia="Times New Roman" w:cs="Times New Roman"/>
        </w:rPr>
        <w:t>(“ ‘</w:t>
      </w:r>
      <w:proofErr w:type="gramEnd"/>
      <w:r w:rsidRPr="002F3359">
        <w:rPr>
          <w:rFonts w:eastAsia="Times New Roman" w:cs="Times New Roman"/>
          <w:shd w:val="clear" w:color="auto" w:fill="FFFFFF"/>
        </w:rPr>
        <w:t>No other kind of labor legislation gained such general acceptance in so brief a period in this country.’ ”).</w:t>
      </w:r>
    </w:p>
  </w:footnote>
  <w:footnote w:id="37">
    <w:p w14:paraId="2ABB51E6" w14:textId="77777777" w:rsidR="00AB000C" w:rsidRPr="002F3359" w:rsidRDefault="00570B35"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eastAsia="Times New Roman" w:cs="Times New Roman"/>
          <w:shd w:val="clear" w:color="auto" w:fill="FFFFFF"/>
        </w:rPr>
        <w:t xml:space="preserve">See </w:t>
      </w:r>
      <w:proofErr w:type="spellStart"/>
      <w:r w:rsidRPr="002F3359">
        <w:rPr>
          <w:rFonts w:eastAsia="Times New Roman" w:cs="Times New Roman"/>
        </w:rPr>
        <w:t>Dinan</w:t>
      </w:r>
      <w:proofErr w:type="spellEnd"/>
      <w:r w:rsidRPr="002F3359">
        <w:rPr>
          <w:rFonts w:eastAsia="Times New Roman" w:cs="Times New Roman"/>
        </w:rPr>
        <w:t xml:space="preserve">, </w:t>
      </w:r>
      <w:r w:rsidRPr="002F3359">
        <w:rPr>
          <w:rFonts w:eastAsia="Times New Roman" w:cs="Times New Roman"/>
          <w:i/>
          <w:iCs/>
          <w:bdr w:val="none" w:sz="0" w:space="0" w:color="auto" w:frame="1"/>
        </w:rPr>
        <w:t xml:space="preserve">Foreword:  Court-Constraining Amendments and the </w:t>
      </w:r>
      <w:r w:rsidRPr="002F3359">
        <w:rPr>
          <w:rFonts w:eastAsia="Times New Roman" w:cs="Times New Roman"/>
          <w:i/>
          <w:iCs/>
          <w:bdr w:val="none" w:sz="0" w:space="0" w:color="auto" w:frame="1"/>
        </w:rPr>
        <w:t>State Constitutional Tradition</w:t>
      </w:r>
      <w:r w:rsidRPr="002F3359">
        <w:rPr>
          <w:rFonts w:eastAsia="Times New Roman" w:cs="Times New Roman"/>
        </w:rPr>
        <w:t xml:space="preserve"> (2007) 38 Rutgers L.J. 983, 995–996 (noting that constitutional provisions “</w:t>
      </w:r>
      <w:r w:rsidRPr="002F3359">
        <w:rPr>
          <w:shd w:val="clear" w:color="auto" w:fill="FFFFFF"/>
        </w:rPr>
        <w:t>guaranteeing the constitutionality of workers’ compensation programs” were adopted in New York, Ohio, Arizona, California, Vermont, Wyoming, Pennsylv</w:t>
      </w:r>
      <w:r w:rsidRPr="002F3359">
        <w:rPr>
          <w:shd w:val="clear" w:color="auto" w:fill="FFFFFF"/>
        </w:rPr>
        <w:t xml:space="preserve">ania, and Texas); </w:t>
      </w:r>
      <w:r w:rsidRPr="002F3359">
        <w:rPr>
          <w:i/>
          <w:iCs/>
          <w:shd w:val="clear" w:color="auto" w:fill="FFFFFF"/>
        </w:rPr>
        <w:t>id</w:t>
      </w:r>
      <w:r w:rsidRPr="002F3359">
        <w:rPr>
          <w:shd w:val="clear" w:color="auto" w:fill="FFFFFF"/>
        </w:rPr>
        <w:t>. at p. 995 (describing these provisions as “court-preempting constitutional amendments”).</w:t>
      </w:r>
    </w:p>
  </w:footnote>
  <w:footnote w:id="38">
    <w:p w14:paraId="6F41B76C"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The Proposition 22 proponents make no claim that Assembly Bill 5 exceeded the Legislature’s authority under article XIV, section 4.  Nor could </w:t>
      </w:r>
      <w:r w:rsidRPr="002F3359">
        <w:rPr>
          <w:szCs w:val="26"/>
        </w:rPr>
        <w:t xml:space="preserve">they, since Assembly Bill 5 simply codified the Supreme Court’s holding in </w:t>
      </w:r>
      <w:r w:rsidRPr="002F3359">
        <w:rPr>
          <w:rFonts w:eastAsia="Times New Roman" w:cs="Times New Roman"/>
          <w:i/>
          <w:iCs/>
          <w:szCs w:val="26"/>
          <w:bdr w:val="none" w:sz="0" w:space="0" w:color="auto" w:frame="1"/>
        </w:rPr>
        <w:t>Dynamex Operations West, Inc. v. Superior Court</w:t>
      </w:r>
      <w:r w:rsidRPr="002F3359">
        <w:rPr>
          <w:rFonts w:eastAsia="Times New Roman" w:cs="Times New Roman"/>
          <w:szCs w:val="26"/>
        </w:rPr>
        <w:t xml:space="preserve"> (2018) 4 Cal.5th 903 (</w:t>
      </w:r>
      <w:r w:rsidRPr="002F3359">
        <w:rPr>
          <w:rFonts w:eastAsia="Times New Roman" w:cs="Times New Roman"/>
          <w:i/>
          <w:iCs/>
          <w:szCs w:val="26"/>
        </w:rPr>
        <w:t>Dynamex</w:t>
      </w:r>
      <w:r w:rsidRPr="002F3359">
        <w:rPr>
          <w:rFonts w:eastAsia="Times New Roman" w:cs="Times New Roman"/>
          <w:szCs w:val="26"/>
        </w:rPr>
        <w:t>).</w:t>
      </w:r>
    </w:p>
  </w:footnote>
  <w:footnote w:id="39">
    <w:p w14:paraId="4726A664"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My colleagues observe that there is “no logical conflict between article XIV, section 4 needing imp</w:t>
      </w:r>
      <w:r w:rsidRPr="002F3359">
        <w:rPr>
          <w:szCs w:val="26"/>
        </w:rPr>
        <w:t xml:space="preserve">lementing legislation and the voters retaining their initiative power in the same field” and that “both can coexist.”  (Maj. </w:t>
      </w:r>
      <w:proofErr w:type="spellStart"/>
      <w:r w:rsidRPr="002F3359">
        <w:rPr>
          <w:szCs w:val="26"/>
        </w:rPr>
        <w:t>opn</w:t>
      </w:r>
      <w:proofErr w:type="spellEnd"/>
      <w:r w:rsidRPr="002F3359">
        <w:rPr>
          <w:szCs w:val="26"/>
        </w:rPr>
        <w:t xml:space="preserve">., </w:t>
      </w:r>
      <w:r w:rsidRPr="002F3359">
        <w:rPr>
          <w:i/>
          <w:iCs/>
          <w:szCs w:val="26"/>
        </w:rPr>
        <w:t>ante</w:t>
      </w:r>
      <w:r w:rsidRPr="002F3359">
        <w:rPr>
          <w:szCs w:val="26"/>
        </w:rPr>
        <w:t>, at p. 14, fn. 7.)  I have not suggested to the contrary.  They seem to miss the point of my focus on the need for imple</w:t>
      </w:r>
      <w:r w:rsidRPr="002F3359">
        <w:rPr>
          <w:szCs w:val="26"/>
        </w:rPr>
        <w:t>menting legislation:  The Legislature has a constitutional duty to act under article XIV, section 4, while voters going to the polls do not.  A conflict arises only if ballot electors seek to obstruct the Legislature from discharging its duty.</w:t>
      </w:r>
    </w:p>
  </w:footnote>
  <w:footnote w:id="40">
    <w:p w14:paraId="30CA236B"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rFonts w:eastAsia="Times New Roman" w:cs="Times New Roman"/>
          <w:i/>
          <w:iCs/>
          <w:szCs w:val="26"/>
          <w:bdr w:val="none" w:sz="0" w:space="0" w:color="auto" w:frame="1"/>
        </w:rPr>
        <w:t xml:space="preserve">Wilson v. </w:t>
      </w:r>
      <w:r w:rsidRPr="002F3359">
        <w:rPr>
          <w:rFonts w:eastAsia="Times New Roman" w:cs="Times New Roman"/>
          <w:i/>
          <w:iCs/>
          <w:szCs w:val="26"/>
          <w:bdr w:val="none" w:sz="0" w:space="0" w:color="auto" w:frame="1"/>
        </w:rPr>
        <w:t>Hidden Valley Mun. Water Dist.</w:t>
      </w:r>
      <w:r w:rsidRPr="002F3359">
        <w:rPr>
          <w:rFonts w:eastAsia="Times New Roman" w:cs="Times New Roman"/>
          <w:szCs w:val="26"/>
        </w:rPr>
        <w:t xml:space="preserve"> (1967) 256 Cal.App.2d 271, 279 (“</w:t>
      </w:r>
      <w:r w:rsidRPr="002F3359">
        <w:rPr>
          <w:rFonts w:eastAsia="Times New Roman" w:cs="Times New Roman"/>
          <w:szCs w:val="26"/>
          <w:shd w:val="clear" w:color="auto" w:fill="FFFFFF"/>
        </w:rPr>
        <w:t xml:space="preserve">The Legislature and administrators exercising quasi-legislative powers commonly resort to the hearing procedure to uncover, at least in part, the facts necessary to arrive at a sound and fair </w:t>
      </w:r>
      <w:r w:rsidRPr="002F3359">
        <w:rPr>
          <w:rFonts w:eastAsia="Times New Roman" w:cs="Times New Roman"/>
          <w:szCs w:val="26"/>
          <w:shd w:val="clear" w:color="auto" w:fill="FFFFFF"/>
        </w:rPr>
        <w:t>legislative decision.”).</w:t>
      </w:r>
    </w:p>
  </w:footnote>
  <w:footnote w:id="41">
    <w:p w14:paraId="55BD9896" w14:textId="77777777" w:rsidR="00AB000C" w:rsidRPr="002F3359" w:rsidRDefault="00570B35" w:rsidP="00AB000C">
      <w:pPr>
        <w:spacing w:after="120" w:line="240" w:lineRule="auto"/>
        <w:ind w:firstLine="720"/>
        <w:rPr>
          <w:rStyle w:val="FootnoteReference"/>
          <w:shd w:val="clear" w:color="auto" w:fill="FFFFFF"/>
        </w:rPr>
      </w:pPr>
      <w:r w:rsidRPr="002F3359">
        <w:rPr>
          <w:rStyle w:val="FootnoteReference"/>
        </w:rPr>
        <w:footnoteRef/>
      </w:r>
      <w:r w:rsidRPr="002F3359">
        <w:t xml:space="preserve"> </w:t>
      </w:r>
      <w:proofErr w:type="spellStart"/>
      <w:r w:rsidRPr="002F3359">
        <w:rPr>
          <w:rStyle w:val="Emphasis"/>
          <w:bdr w:val="none" w:sz="0" w:space="0" w:color="auto" w:frame="1"/>
        </w:rPr>
        <w:t>Hustedt</w:t>
      </w:r>
      <w:proofErr w:type="spellEnd"/>
      <w:r w:rsidRPr="002F3359">
        <w:rPr>
          <w:shd w:val="clear" w:color="auto" w:fill="FFFFFF"/>
        </w:rPr>
        <w:t xml:space="preserve">, </w:t>
      </w:r>
      <w:r w:rsidRPr="002F3359">
        <w:rPr>
          <w:i/>
          <w:iCs/>
          <w:shd w:val="clear" w:color="auto" w:fill="FFFFFF"/>
        </w:rPr>
        <w:t>supra</w:t>
      </w:r>
      <w:r w:rsidRPr="002F3359">
        <w:rPr>
          <w:shd w:val="clear" w:color="auto" w:fill="FFFFFF"/>
        </w:rPr>
        <w:t xml:space="preserve">, 30 Cal.3d at page 343 (“It is well established that the adoption of [Section 4] ‘effected a repeal </w:t>
      </w:r>
      <w:r w:rsidRPr="002F3359">
        <w:rPr>
          <w:rStyle w:val="Emphasis"/>
          <w:bdr w:val="none" w:sz="0" w:space="0" w:color="auto" w:frame="1"/>
        </w:rPr>
        <w:t>pro tanto</w:t>
      </w:r>
      <w:r w:rsidRPr="002F3359">
        <w:rPr>
          <w:shd w:val="clear" w:color="auto" w:fill="FFFFFF"/>
        </w:rPr>
        <w:t xml:space="preserve">’ of any state constitutional provisions which conflicted with that amendment”); </w:t>
      </w:r>
      <w:r w:rsidRPr="002F3359">
        <w:rPr>
          <w:rStyle w:val="Emphasis"/>
          <w:bdr w:val="none" w:sz="0" w:space="0" w:color="auto" w:frame="1"/>
        </w:rPr>
        <w:t>Greener v. Workers’ Comp. Appeals Bd.</w:t>
      </w:r>
      <w:r w:rsidRPr="002F3359">
        <w:rPr>
          <w:shd w:val="clear" w:color="auto" w:fill="FFFFFF"/>
        </w:rPr>
        <w:t xml:space="preserve"> (1993) 6 Cal.4th 1028, 1037, (article VI of the state Constitution governing courts’ jurisdiction inapplicable to extent Legislature has </w:t>
      </w:r>
      <w:r w:rsidRPr="002F3359">
        <w:rPr>
          <w:shd w:val="clear" w:color="auto" w:fill="FFFFFF"/>
        </w:rPr>
        <w:t>exercised its powers under Section 4).</w:t>
      </w:r>
    </w:p>
  </w:footnote>
  <w:footnote w:id="42">
    <w:p w14:paraId="65938EBA" w14:textId="77777777" w:rsidR="00AB000C" w:rsidRPr="002F3359" w:rsidRDefault="00570B35" w:rsidP="00AB000C">
      <w:pPr>
        <w:spacing w:after="120" w:line="240" w:lineRule="auto"/>
        <w:ind w:firstLine="720"/>
      </w:pPr>
      <w:r w:rsidRPr="002F3359">
        <w:rPr>
          <w:rStyle w:val="FootnoteReference"/>
        </w:rPr>
        <w:footnoteRef/>
      </w:r>
      <w:r w:rsidRPr="002F3359">
        <w:t xml:space="preserve"> The parties argue the issue of implied </w:t>
      </w:r>
      <w:r w:rsidRPr="002F3359">
        <w:rPr>
          <w:i/>
        </w:rPr>
        <w:t>pro tanto</w:t>
      </w:r>
      <w:r w:rsidRPr="002F3359">
        <w:t xml:space="preserve"> repeal at length.  In my view, the plain language of article XIV, section 4, is abundantly clear on this issue, and there is no need to resort to extrinsic interpreta</w:t>
      </w:r>
      <w:r w:rsidRPr="002F3359">
        <w:t>tive aids.  But even if the text were ambiguous, the position taken by the Proposition 22 proponents to the contrary—embraced by my colleagues in their construction of article XIV, section 4—rests on “clear statement” cases decided long after 1918.  (E.g.,</w:t>
      </w:r>
      <w:r w:rsidRPr="002F3359">
        <w:t xml:space="preserve"> </w:t>
      </w:r>
      <w:r w:rsidRPr="002F3359">
        <w:rPr>
          <w:rFonts w:eastAsia="Times New Roman" w:cs="Times New Roman"/>
          <w:i/>
          <w:iCs/>
          <w:bdr w:val="none" w:sz="0" w:space="0" w:color="auto" w:frame="1"/>
        </w:rPr>
        <w:t>California Cannabis Coalition v. City of Upland</w:t>
      </w:r>
      <w:r w:rsidRPr="002F3359">
        <w:rPr>
          <w:rFonts w:eastAsia="Times New Roman" w:cs="Times New Roman"/>
        </w:rPr>
        <w:t xml:space="preserve"> (2017) 3 Cal.5th 924; </w:t>
      </w:r>
      <w:r w:rsidRPr="002F3359">
        <w:rPr>
          <w:rFonts w:eastAsia="Times New Roman" w:cs="Times New Roman"/>
          <w:i/>
          <w:iCs/>
          <w:bdr w:val="none" w:sz="0" w:space="0" w:color="auto" w:frame="1"/>
        </w:rPr>
        <w:t>Kennedy Wholesale, Inc. v. State Bd. of Equalization</w:t>
      </w:r>
      <w:r w:rsidRPr="002F3359">
        <w:rPr>
          <w:rFonts w:eastAsia="Times New Roman" w:cs="Times New Roman"/>
        </w:rPr>
        <w:t xml:space="preserve"> (1991) 53 Cal.3d 245, 252.)  Respondents correctly point out that these cases concern the issue whether procedural limitations not s</w:t>
      </w:r>
      <w:r w:rsidRPr="002F3359">
        <w:rPr>
          <w:rFonts w:eastAsia="Times New Roman" w:cs="Times New Roman"/>
        </w:rPr>
        <w:t xml:space="preserve">tated in article II, section 8(a), may be imported into it, which is not the issue here.  But the more basic problem with the line of argument the Proposition 22 proponents pursue on the issue of </w:t>
      </w:r>
      <w:r w:rsidRPr="002F3359">
        <w:rPr>
          <w:rFonts w:eastAsia="Times New Roman" w:cs="Times New Roman"/>
          <w:i/>
        </w:rPr>
        <w:t>pro tanto</w:t>
      </w:r>
      <w:r w:rsidRPr="002F3359">
        <w:rPr>
          <w:rFonts w:eastAsia="Times New Roman" w:cs="Times New Roman"/>
        </w:rPr>
        <w:t xml:space="preserve"> repeal is that we must seek to discern contemporan</w:t>
      </w:r>
      <w:r w:rsidRPr="002F3359">
        <w:rPr>
          <w:rFonts w:eastAsia="Times New Roman" w:cs="Times New Roman"/>
        </w:rPr>
        <w:t xml:space="preserve">eous voter intent in 1918, not voter intent based on tools and standards of interpretation that were unknown at the time.  In November 1918, </w:t>
      </w:r>
      <w:r w:rsidRPr="002F3359">
        <w:rPr>
          <w:rFonts w:eastAsia="Times New Roman" w:cs="Times New Roman"/>
          <w:i/>
        </w:rPr>
        <w:t>Western Indemnity I</w:t>
      </w:r>
      <w:r w:rsidRPr="002F3359">
        <w:rPr>
          <w:rFonts w:eastAsia="Times New Roman" w:cs="Times New Roman"/>
        </w:rPr>
        <w:t xml:space="preserve"> established the state of the law on the issue.</w:t>
      </w:r>
    </w:p>
  </w:footnote>
  <w:footnote w:id="43">
    <w:p w14:paraId="68D76669"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In addition to article XIV, section 4, see art</w:t>
      </w:r>
      <w:r w:rsidRPr="002F3359">
        <w:rPr>
          <w:szCs w:val="26"/>
        </w:rPr>
        <w:t>icle XII, section 5 (Public Utilities); article XVI, sections 11 and 17 (Public Finance); article XIII, section 8.5 (Taxation); article XI, section 5 (Local Government).</w:t>
      </w:r>
    </w:p>
  </w:footnote>
  <w:footnote w:id="44">
    <w:p w14:paraId="2A80B91D" w14:textId="77777777" w:rsidR="00AB000C" w:rsidRPr="002F3359" w:rsidRDefault="00570B35" w:rsidP="00AB000C">
      <w:pPr>
        <w:spacing w:after="120" w:line="240" w:lineRule="auto"/>
        <w:ind w:firstLine="720"/>
      </w:pPr>
      <w:r w:rsidRPr="002F3359">
        <w:rPr>
          <w:rStyle w:val="FootnoteReference"/>
        </w:rPr>
        <w:footnoteRef/>
      </w:r>
      <w:r w:rsidRPr="002F3359">
        <w:t xml:space="preserve"> A commonly used metaphor in cases involving challenges to initiative measures is tha</w:t>
      </w:r>
      <w:r w:rsidRPr="002F3359">
        <w:t>t the initiative power in article II, section 8(a) is “</w:t>
      </w:r>
      <w:r w:rsidRPr="002F3359">
        <w:rPr>
          <w:rFonts w:eastAsia="Times New Roman" w:cs="Times New Roman"/>
          <w:shd w:val="clear" w:color="auto" w:fill="FFFFFF"/>
        </w:rPr>
        <w:t xml:space="preserve">in essence a legislative </w:t>
      </w:r>
      <w:r w:rsidRPr="002F3359">
        <w:rPr>
          <w:rFonts w:eastAsia="Times New Roman" w:cs="Times New Roman"/>
          <w:bdr w:val="none" w:sz="0" w:space="0" w:color="auto" w:frame="1"/>
          <w:shd w:val="clear" w:color="auto" w:fill="FFFFFF"/>
        </w:rPr>
        <w:t>battering</w:t>
      </w:r>
      <w:r w:rsidRPr="002F3359">
        <w:rPr>
          <w:rFonts w:eastAsia="Times New Roman" w:cs="Times New Roman"/>
          <w:shd w:val="clear" w:color="auto" w:fill="FFFFFF"/>
        </w:rPr>
        <w:t xml:space="preserve"> </w:t>
      </w:r>
      <w:r w:rsidRPr="002F3359">
        <w:rPr>
          <w:rFonts w:eastAsia="Times New Roman" w:cs="Times New Roman"/>
          <w:bdr w:val="none" w:sz="0" w:space="0" w:color="auto" w:frame="1"/>
          <w:shd w:val="clear" w:color="auto" w:fill="FFFFFF"/>
        </w:rPr>
        <w:t>ram</w:t>
      </w:r>
      <w:r w:rsidRPr="002F3359">
        <w:rPr>
          <w:rFonts w:eastAsia="Times New Roman" w:cs="Times New Roman"/>
          <w:shd w:val="clear" w:color="auto" w:fill="FFFFFF"/>
        </w:rPr>
        <w:t xml:space="preserve"> which may be used to tear through the exasperating tangle of the traditional legislative procedure and strike directly toward the desired end.”  (</w:t>
      </w:r>
      <w:r w:rsidRPr="002F3359">
        <w:rPr>
          <w:rFonts w:eastAsia="Times New Roman" w:cs="Times New Roman"/>
          <w:i/>
          <w:iCs/>
          <w:bdr w:val="none" w:sz="0" w:space="0" w:color="auto" w:frame="1"/>
        </w:rPr>
        <w:t>Amador Valley Jo</w:t>
      </w:r>
      <w:r w:rsidRPr="002F3359">
        <w:rPr>
          <w:rFonts w:eastAsia="Times New Roman" w:cs="Times New Roman"/>
          <w:i/>
          <w:iCs/>
          <w:bdr w:val="none" w:sz="0" w:space="0" w:color="auto" w:frame="1"/>
        </w:rPr>
        <w:t>int Union High Sch. Dist. v. State Bd. of Equalization</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xml:space="preserve">, 22 Cal.3d at p. 228.)  In statutory initiative cases, however, we must take care to consider whether, in some circumstances—depending on the constitutional provisions we are dealing </w:t>
      </w:r>
      <w:r w:rsidRPr="002F3359">
        <w:rPr>
          <w:rFonts w:eastAsia="Times New Roman" w:cs="Times New Roman"/>
        </w:rPr>
        <w:t>with</w:t>
      </w:r>
      <w:proofErr w:type="gramStart"/>
      <w:r w:rsidRPr="002F3359">
        <w:rPr>
          <w:rFonts w:eastAsia="Times New Roman" w:cs="Times New Roman"/>
        </w:rPr>
        <w:t>—“</w:t>
      </w:r>
      <w:proofErr w:type="gramEnd"/>
      <w:r w:rsidRPr="002F3359">
        <w:rPr>
          <w:rFonts w:eastAsia="Times New Roman" w:cs="Times New Roman"/>
        </w:rPr>
        <w:t>the exasperating tangle of the traditional legislative procedure” (</w:t>
      </w:r>
      <w:r w:rsidRPr="002F3359">
        <w:rPr>
          <w:rFonts w:eastAsia="Times New Roman" w:cs="Times New Roman"/>
          <w:i/>
          <w:iCs/>
        </w:rPr>
        <w:t>ibid.</w:t>
      </w:r>
      <w:r w:rsidRPr="002F3359">
        <w:rPr>
          <w:rFonts w:eastAsia="Times New Roman" w:cs="Times New Roman"/>
        </w:rPr>
        <w:t>) is better described as a deliberative process for resolving competing interests by compromise and accommodation that the people have affirmatively expressed a preference for us</w:t>
      </w:r>
      <w:r w:rsidRPr="002F3359">
        <w:rPr>
          <w:rFonts w:eastAsia="Times New Roman" w:cs="Times New Roman"/>
        </w:rPr>
        <w:t>ing.</w:t>
      </w:r>
    </w:p>
  </w:footnote>
  <w:footnote w:id="45">
    <w:p w14:paraId="274A67C0" w14:textId="77777777" w:rsidR="00AB000C" w:rsidRPr="002F3359" w:rsidRDefault="00570B35" w:rsidP="00AB000C">
      <w:pPr>
        <w:pStyle w:val="FootnoteText"/>
        <w:ind w:firstLine="720"/>
        <w:rPr>
          <w:szCs w:val="26"/>
        </w:rPr>
      </w:pPr>
      <w:r w:rsidRPr="002F3359">
        <w:rPr>
          <w:rStyle w:val="FootnoteReference"/>
          <w:szCs w:val="26"/>
        </w:rPr>
        <w:footnoteRef/>
      </w:r>
      <w:r w:rsidRPr="002F3359">
        <w:rPr>
          <w:szCs w:val="26"/>
        </w:rPr>
        <w:t xml:space="preserve"> A notable difference between the language of former article XX, section 21, as originally adopted in 1911, and the language of former article XX, section 21, as amended in 1918, was that the 1911 version used the terms “employer” and “employee” </w:t>
      </w:r>
      <w:r w:rsidRPr="002F3359">
        <w:rPr>
          <w:szCs w:val="26"/>
          <w:shd w:val="clear" w:color="auto" w:fill="FFFFFF"/>
        </w:rPr>
        <w:t>(for</w:t>
      </w:r>
      <w:r w:rsidRPr="002F3359">
        <w:rPr>
          <w:szCs w:val="26"/>
          <w:shd w:val="clear" w:color="auto" w:fill="FFFFFF"/>
        </w:rPr>
        <w:t>mer art. XX, § 21, added by Prop. 10, Special Elec. (Oct. 10, 1911)),</w:t>
      </w:r>
      <w:r w:rsidRPr="002F3359">
        <w:rPr>
          <w:szCs w:val="26"/>
        </w:rPr>
        <w:t xml:space="preserve"> while the 1918 amended version omitted them </w:t>
      </w:r>
      <w:r w:rsidRPr="002F3359">
        <w:rPr>
          <w:szCs w:val="26"/>
          <w:shd w:val="clear" w:color="auto" w:fill="FFFFFF"/>
        </w:rPr>
        <w:t>(former art. XX, § 21, amended by Prop. 23, Gen. Elec. (Nov. 5, 1918))</w:t>
      </w:r>
      <w:r w:rsidRPr="002F3359">
        <w:rPr>
          <w:szCs w:val="26"/>
        </w:rPr>
        <w:t>, since by 1918 there were detailed definitions of those terms in the 19</w:t>
      </w:r>
      <w:r w:rsidRPr="002F3359">
        <w:rPr>
          <w:szCs w:val="26"/>
        </w:rPr>
        <w:t>17 Act.</w:t>
      </w:r>
    </w:p>
  </w:footnote>
  <w:footnote w:id="46">
    <w:p w14:paraId="6C7AFEE6" w14:textId="77777777" w:rsidR="00AB000C" w:rsidRPr="002F3359" w:rsidRDefault="00570B35" w:rsidP="00AB000C">
      <w:pPr>
        <w:spacing w:after="120" w:line="240" w:lineRule="auto"/>
        <w:ind w:firstLine="720"/>
        <w:rPr>
          <w:rFonts w:eastAsia="Times New Roman" w:cs="Times New Roman"/>
        </w:rPr>
      </w:pPr>
      <w:r w:rsidRPr="002F3359">
        <w:rPr>
          <w:rStyle w:val="FootnoteReference"/>
        </w:rPr>
        <w:footnoteRef/>
      </w:r>
      <w:r w:rsidRPr="002F3359">
        <w:t xml:space="preserve"> 1917 Act, Statutes 1917, chapter 586, section 8(a); </w:t>
      </w:r>
      <w:r w:rsidRPr="002F3359">
        <w:rPr>
          <w:rFonts w:eastAsia="Times New Roman" w:cs="Times New Roman"/>
          <w:i/>
          <w:iCs/>
          <w:bdr w:val="none" w:sz="0" w:space="0" w:color="auto" w:frame="1"/>
        </w:rPr>
        <w:t>Western Indemnity Co. v. Pillsbury</w:t>
      </w:r>
      <w:r w:rsidRPr="002F3359">
        <w:rPr>
          <w:rFonts w:eastAsia="Times New Roman" w:cs="Times New Roman"/>
        </w:rPr>
        <w:t xml:space="preserve"> (1916) 172 Cal. 807, 810 (</w:t>
      </w:r>
      <w:r w:rsidRPr="002F3359">
        <w:rPr>
          <w:rFonts w:eastAsia="Times New Roman" w:cs="Times New Roman"/>
          <w:i/>
          <w:iCs/>
        </w:rPr>
        <w:t>Western Indemnity I</w:t>
      </w:r>
      <w:r w:rsidRPr="002F3359">
        <w:rPr>
          <w:rFonts w:eastAsia="Times New Roman" w:cs="Times New Roman"/>
          <w:i/>
          <w:iCs/>
          <w:spacing w:val="20"/>
        </w:rPr>
        <w:t>I</w:t>
      </w:r>
      <w:r w:rsidRPr="002F3359">
        <w:rPr>
          <w:rFonts w:eastAsia="Times New Roman" w:cs="Times New Roman"/>
        </w:rPr>
        <w:t xml:space="preserve">); </w:t>
      </w:r>
      <w:r w:rsidRPr="002F3359">
        <w:rPr>
          <w:rFonts w:eastAsia="Times New Roman" w:cs="Times New Roman"/>
          <w:i/>
          <w:iCs/>
          <w:bdr w:val="none" w:sz="0" w:space="0" w:color="auto" w:frame="1"/>
        </w:rPr>
        <w:t>Press Pub. Co. v. Industrial Acc. Com.</w:t>
      </w:r>
      <w:r w:rsidRPr="002F3359">
        <w:rPr>
          <w:rFonts w:eastAsia="Times New Roman" w:cs="Times New Roman"/>
        </w:rPr>
        <w:t xml:space="preserve"> (1922) 190 Cal. 114, 119.</w:t>
      </w:r>
    </w:p>
  </w:footnote>
  <w:footnote w:id="47">
    <w:p w14:paraId="4591A8B4" w14:textId="77777777" w:rsidR="00AB000C" w:rsidRPr="002F3359" w:rsidRDefault="00570B35" w:rsidP="00AB000C">
      <w:pPr>
        <w:spacing w:after="120" w:line="240" w:lineRule="auto"/>
        <w:ind w:firstLine="720"/>
      </w:pPr>
      <w:r w:rsidRPr="002F3359">
        <w:rPr>
          <w:rStyle w:val="FootnoteReference"/>
        </w:rPr>
        <w:footnoteRef/>
      </w:r>
      <w:r w:rsidRPr="002F3359">
        <w:rPr>
          <w:rFonts w:eastAsia="Times New Roman" w:cs="Times New Roman"/>
          <w:i/>
          <w:bdr w:val="none" w:sz="0" w:space="0" w:color="auto" w:frame="1"/>
        </w:rPr>
        <w:t xml:space="preserve"> </w:t>
      </w:r>
      <w:r w:rsidRPr="002F3359">
        <w:rPr>
          <w:i/>
          <w:iCs/>
        </w:rPr>
        <w:t>Press Pub.</w:t>
      </w:r>
      <w:r w:rsidRPr="002F3359">
        <w:rPr>
          <w:rFonts w:eastAsia="Times New Roman" w:cs="Times New Roman"/>
          <w:i/>
          <w:iCs/>
          <w:bdr w:val="none" w:sz="0" w:space="0" w:color="auto" w:frame="1"/>
        </w:rPr>
        <w:t xml:space="preserve"> Co. v. Industrial Acc. Com.</w:t>
      </w:r>
      <w:r w:rsidRPr="002F3359">
        <w:t xml:space="preserve">, </w:t>
      </w:r>
      <w:r w:rsidRPr="002F3359">
        <w:rPr>
          <w:i/>
          <w:iCs/>
        </w:rPr>
        <w:t>sup</w:t>
      </w:r>
      <w:r w:rsidRPr="002F3359">
        <w:rPr>
          <w:i/>
          <w:iCs/>
        </w:rPr>
        <w:t>ra</w:t>
      </w:r>
      <w:r w:rsidRPr="002F3359">
        <w:t xml:space="preserve">, 190 Cal. at page 119; </w:t>
      </w:r>
      <w:r w:rsidRPr="002F3359">
        <w:rPr>
          <w:rFonts w:eastAsia="Times New Roman" w:cs="Times New Roman"/>
          <w:i/>
          <w:iCs/>
          <w:bdr w:val="none" w:sz="0" w:space="0" w:color="auto" w:frame="1"/>
        </w:rPr>
        <w:t>Western Indemnity II</w:t>
      </w:r>
      <w:r w:rsidRPr="002F3359">
        <w:rPr>
          <w:rFonts w:eastAsia="Times New Roman" w:cs="Times New Roman"/>
          <w:bdr w:val="none" w:sz="0" w:space="0" w:color="auto" w:frame="1"/>
        </w:rPr>
        <w:t>,</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172 Cal. at page 810.</w:t>
      </w:r>
    </w:p>
  </w:footnote>
  <w:footnote w:id="48">
    <w:p w14:paraId="0001D1A5" w14:textId="77777777" w:rsidR="00AB000C" w:rsidRPr="002F3359" w:rsidRDefault="00570B35" w:rsidP="00AB000C">
      <w:pPr>
        <w:spacing w:after="120" w:line="240" w:lineRule="auto"/>
        <w:ind w:firstLine="720"/>
        <w:rPr>
          <w:rFonts w:eastAsia="Times New Roman" w:cs="Times New Roman"/>
        </w:rPr>
      </w:pPr>
      <w:r w:rsidRPr="002F3359">
        <w:rPr>
          <w:rStyle w:val="FootnoteReference"/>
        </w:rPr>
        <w:footnoteRef/>
      </w:r>
      <w:r w:rsidRPr="002F3359">
        <w:t xml:space="preserve"> 1917 Act, Statutes 1917, chapter 586, sections 17–19, </w:t>
      </w:r>
      <w:r w:rsidRPr="002F3359">
        <w:br/>
        <w:t xml:space="preserve">65–67; </w:t>
      </w:r>
      <w:r w:rsidRPr="002F3359">
        <w:rPr>
          <w:rFonts w:eastAsia="Times New Roman" w:cs="Times New Roman"/>
          <w:i/>
          <w:iCs/>
          <w:bdr w:val="none" w:sz="0" w:space="0" w:color="auto" w:frame="1"/>
        </w:rPr>
        <w:t>PG&amp;E</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xml:space="preserve">, 180 Cal. at page 499; see </w:t>
      </w:r>
      <w:r w:rsidRPr="002F3359">
        <w:rPr>
          <w:rFonts w:eastAsia="Times New Roman" w:cs="Times New Roman"/>
          <w:i/>
          <w:iCs/>
          <w:bdr w:val="none" w:sz="0" w:space="0" w:color="auto" w:frame="1"/>
        </w:rPr>
        <w:t>Murray v. Industrial Acc. Com.</w:t>
      </w:r>
      <w:r w:rsidRPr="002F3359">
        <w:rPr>
          <w:rFonts w:eastAsia="Times New Roman" w:cs="Times New Roman"/>
        </w:rPr>
        <w:t xml:space="preserve"> (1932) 216 Cal. 340, 344 (employer has burden of proof on whether worker is independent contractor); </w:t>
      </w:r>
      <w:proofErr w:type="spellStart"/>
      <w:r w:rsidRPr="002F3359">
        <w:rPr>
          <w:rFonts w:eastAsia="Times New Roman" w:cs="Times New Roman"/>
          <w:i/>
          <w:iCs/>
          <w:bdr w:val="none" w:sz="0" w:space="0" w:color="auto" w:frame="1"/>
        </w:rPr>
        <w:t>Drillon</w:t>
      </w:r>
      <w:proofErr w:type="spellEnd"/>
      <w:r w:rsidRPr="002F3359">
        <w:rPr>
          <w:rFonts w:eastAsia="Times New Roman" w:cs="Times New Roman"/>
          <w:i/>
          <w:iCs/>
          <w:bdr w:val="none" w:sz="0" w:space="0" w:color="auto" w:frame="1"/>
        </w:rPr>
        <w:t xml:space="preserve"> v. Industrial Acc. Com.</w:t>
      </w:r>
      <w:r w:rsidRPr="002F3359">
        <w:rPr>
          <w:rFonts w:eastAsia="Times New Roman" w:cs="Times New Roman"/>
        </w:rPr>
        <w:t xml:space="preserve"> (1941) 17 Cal.2d 346, 350 (same) (</w:t>
      </w:r>
      <w:proofErr w:type="spellStart"/>
      <w:r w:rsidRPr="002F3359">
        <w:rPr>
          <w:rFonts w:eastAsia="Times New Roman" w:cs="Times New Roman"/>
          <w:i/>
          <w:iCs/>
        </w:rPr>
        <w:t>Drillon</w:t>
      </w:r>
      <w:proofErr w:type="spellEnd"/>
      <w:r w:rsidRPr="002F3359">
        <w:rPr>
          <w:rFonts w:eastAsia="Times New Roman" w:cs="Times New Roman"/>
        </w:rPr>
        <w:t>).</w:t>
      </w:r>
    </w:p>
  </w:footnote>
  <w:footnote w:id="49">
    <w:p w14:paraId="60D448A8"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Many years later, the Legislature enacted provisions permitting arbitration of workers’ compensation disputes in some instances.  (Lab. Code, § 3201.5.)  That arbitral scheme, however, remains within the same administrative system for workers’ compensatio</w:t>
      </w:r>
      <w:r w:rsidRPr="002F3359">
        <w:rPr>
          <w:szCs w:val="26"/>
        </w:rPr>
        <w:t>n that has existed since enactment of the Boynton Act, with judicial review available in the Courts of Appeal, and has been held to be consistent with article XIV, section 4.  (</w:t>
      </w:r>
      <w:r w:rsidRPr="002F3359">
        <w:rPr>
          <w:rFonts w:eastAsia="Times New Roman" w:cs="Times New Roman"/>
          <w:i/>
          <w:iCs/>
          <w:szCs w:val="26"/>
          <w:bdr w:val="none" w:sz="0" w:space="0" w:color="auto" w:frame="1"/>
        </w:rPr>
        <w:t>Costa v. Workers’ Comp. Appeals Bd.</w:t>
      </w:r>
      <w:r w:rsidRPr="002F3359">
        <w:rPr>
          <w:rFonts w:eastAsia="Times New Roman" w:cs="Times New Roman"/>
          <w:szCs w:val="26"/>
        </w:rPr>
        <w:t xml:space="preserve"> (1998) 65 Cal.App.4th 1177, </w:t>
      </w:r>
      <w:r w:rsidRPr="002F3359">
        <w:rPr>
          <w:rFonts w:eastAsia="Times New Roman" w:cs="Times New Roman"/>
          <w:szCs w:val="26"/>
        </w:rPr>
        <w:br/>
        <w:t>1184–1186.)  O</w:t>
      </w:r>
      <w:r w:rsidRPr="002F3359">
        <w:rPr>
          <w:rFonts w:eastAsia="Times New Roman" w:cs="Times New Roman"/>
          <w:szCs w:val="26"/>
        </w:rPr>
        <w:t xml:space="preserve">ur system of judicial arbitration (Code Civ. Proc., § 1141.10 et seq; see </w:t>
      </w:r>
      <w:r w:rsidRPr="002F3359">
        <w:rPr>
          <w:rFonts w:eastAsia="Times New Roman" w:cs="Times New Roman"/>
          <w:i/>
          <w:iCs/>
          <w:szCs w:val="26"/>
          <w:bdr w:val="none" w:sz="0" w:space="0" w:color="auto" w:frame="1"/>
        </w:rPr>
        <w:t>Rivera v. Shivers</w:t>
      </w:r>
      <w:r w:rsidRPr="002F3359">
        <w:rPr>
          <w:rFonts w:eastAsia="Times New Roman" w:cs="Times New Roman"/>
          <w:szCs w:val="26"/>
        </w:rPr>
        <w:t xml:space="preserve"> (2020) 54 Cal.App.5th 82, 90), another arbitral scheme established by statute within the judicial branch of government, provides a rough analogy.</w:t>
      </w:r>
    </w:p>
  </w:footnote>
  <w:footnote w:id="50">
    <w:p w14:paraId="4AF44B32"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rFonts w:eastAsia="Times New Roman" w:cs="Times New Roman"/>
          <w:i/>
          <w:iCs/>
          <w:szCs w:val="26"/>
        </w:rPr>
        <w:t>Dynamex</w:t>
      </w:r>
      <w:r w:rsidRPr="002F3359">
        <w:rPr>
          <w:rFonts w:eastAsia="Times New Roman" w:cs="Times New Roman"/>
          <w:szCs w:val="26"/>
        </w:rPr>
        <w:t xml:space="preserve">, </w:t>
      </w:r>
      <w:r w:rsidRPr="002F3359">
        <w:rPr>
          <w:rFonts w:eastAsia="Times New Roman" w:cs="Times New Roman"/>
          <w:i/>
          <w:iCs/>
          <w:szCs w:val="26"/>
        </w:rPr>
        <w:t>supra</w:t>
      </w:r>
      <w:r w:rsidRPr="002F3359">
        <w:rPr>
          <w:rFonts w:eastAsia="Times New Roman" w:cs="Times New Roman"/>
          <w:szCs w:val="26"/>
        </w:rPr>
        <w:t xml:space="preserve">, </w:t>
      </w:r>
      <w:r w:rsidRPr="002F3359">
        <w:rPr>
          <w:rFonts w:eastAsia="Times New Roman" w:cs="Times New Roman"/>
          <w:szCs w:val="26"/>
        </w:rPr>
        <w:t>4 Cal.5th at pages 961–962 (</w:t>
      </w:r>
      <w:r w:rsidRPr="002F3359">
        <w:rPr>
          <w:rFonts w:eastAsia="Times New Roman" w:cs="Times New Roman"/>
          <w:szCs w:val="26"/>
          <w:shd w:val="clear" w:color="auto" w:fill="FFFFFF"/>
        </w:rPr>
        <w:t xml:space="preserve">“[T]he </w:t>
      </w:r>
      <w:proofErr w:type="gramStart"/>
      <w:r w:rsidRPr="002F3359">
        <w:rPr>
          <w:rFonts w:eastAsia="Times New Roman" w:cs="Times New Roman"/>
          <w:szCs w:val="26"/>
          <w:shd w:val="clear" w:color="auto" w:fill="FFFFFF"/>
        </w:rPr>
        <w:t>suffer</w:t>
      </w:r>
      <w:proofErr w:type="gramEnd"/>
      <w:r w:rsidRPr="002F3359">
        <w:rPr>
          <w:rFonts w:eastAsia="Times New Roman" w:cs="Times New Roman"/>
          <w:szCs w:val="26"/>
          <w:shd w:val="clear" w:color="auto" w:fill="FFFFFF"/>
        </w:rPr>
        <w:t xml:space="preserve"> or permit to work standard, by expansively defining who is an employer, is intended to preclude a business from evading the prohibitions or responsibilities embodied in the relevant wage orders directly or indirect</w:t>
      </w:r>
      <w:r w:rsidRPr="002F3359">
        <w:rPr>
          <w:rFonts w:eastAsia="Times New Roman" w:cs="Times New Roman"/>
          <w:szCs w:val="26"/>
          <w:shd w:val="clear" w:color="auto" w:fill="FFFFFF"/>
        </w:rPr>
        <w:t xml:space="preserve">ly—through indifference, negligence, intentional subterfuge, or misclassification.  It is well established, under </w:t>
      </w:r>
      <w:proofErr w:type="gramStart"/>
      <w:r w:rsidRPr="002F3359">
        <w:rPr>
          <w:rFonts w:eastAsia="Times New Roman" w:cs="Times New Roman"/>
          <w:szCs w:val="26"/>
          <w:shd w:val="clear" w:color="auto" w:fill="FFFFFF"/>
        </w:rPr>
        <w:t>all of</w:t>
      </w:r>
      <w:proofErr w:type="gramEnd"/>
      <w:r w:rsidRPr="002F3359">
        <w:rPr>
          <w:rFonts w:eastAsia="Times New Roman" w:cs="Times New Roman"/>
          <w:szCs w:val="26"/>
          <w:shd w:val="clear" w:color="auto" w:fill="FFFFFF"/>
        </w:rPr>
        <w:t xml:space="preserve"> the varied standards that have been utilized for distinguishing employees and independent contractors, that a business cannot unilatera</w:t>
      </w:r>
      <w:r w:rsidRPr="002F3359">
        <w:rPr>
          <w:rFonts w:eastAsia="Times New Roman" w:cs="Times New Roman"/>
          <w:szCs w:val="26"/>
          <w:shd w:val="clear" w:color="auto" w:fill="FFFFFF"/>
        </w:rPr>
        <w:t xml:space="preserve">lly determine a worker’s status simply by assigning the worker the label ‘independent contractor’ or by requiring the worker, as a condition of hiring, to enter into a contract that designates the worker an independent contractor.”); </w:t>
      </w:r>
      <w:r w:rsidRPr="002F3359">
        <w:rPr>
          <w:rFonts w:eastAsia="Times New Roman" w:cs="Times New Roman"/>
          <w:i/>
          <w:szCs w:val="26"/>
          <w:shd w:val="clear" w:color="auto" w:fill="FFFFFF"/>
        </w:rPr>
        <w:t>id</w:t>
      </w:r>
      <w:r w:rsidRPr="002F3359">
        <w:rPr>
          <w:rFonts w:eastAsia="Times New Roman" w:cs="Times New Roman"/>
          <w:szCs w:val="26"/>
          <w:shd w:val="clear" w:color="auto" w:fill="FFFFFF"/>
        </w:rPr>
        <w:t>. at p. 944 (</w:t>
      </w:r>
      <w:r w:rsidRPr="002F3359">
        <w:rPr>
          <w:rFonts w:eastAsia="Times New Roman" w:cs="Calibri"/>
          <w:szCs w:val="26"/>
        </w:rPr>
        <w:t>“[A]t t</w:t>
      </w:r>
      <w:r w:rsidRPr="002F3359">
        <w:rPr>
          <w:rFonts w:eastAsia="Times New Roman" w:cs="Calibri"/>
          <w:szCs w:val="26"/>
        </w:rPr>
        <w:t xml:space="preserve">he time </w:t>
      </w:r>
      <w:r w:rsidRPr="002F3359">
        <w:rPr>
          <w:rFonts w:eastAsia="Times New Roman" w:cs="Calibri"/>
          <w:szCs w:val="26"/>
          <w:shd w:val="clear" w:color="auto" w:fill="FFFFFF"/>
        </w:rPr>
        <w:t>the suffer or permit language was initially adopted as part of a wage order in 1916, such language ‘was already in use throughout the country in statutes regulating and prohibiting child labor (and occasionally that of women), having been recommend</w:t>
      </w:r>
      <w:r w:rsidRPr="002F3359">
        <w:rPr>
          <w:rFonts w:eastAsia="Times New Roman" w:cs="Calibri"/>
          <w:szCs w:val="26"/>
          <w:shd w:val="clear" w:color="auto" w:fill="FFFFFF"/>
        </w:rPr>
        <w:t>ed for that purpose in several model child labor laws published between 1904 and 1912.</w:t>
      </w:r>
      <w:proofErr w:type="gramStart"/>
      <w:r w:rsidRPr="002F3359">
        <w:rPr>
          <w:rFonts w:eastAsia="Times New Roman" w:cs="Calibri"/>
          <w:szCs w:val="26"/>
          <w:shd w:val="clear" w:color="auto" w:fill="FFFFFF"/>
        </w:rPr>
        <w:t>’ ”</w:t>
      </w:r>
      <w:proofErr w:type="gramEnd"/>
      <w:r w:rsidRPr="002F3359">
        <w:rPr>
          <w:rFonts w:eastAsia="Times New Roman" w:cs="Calibri"/>
          <w:szCs w:val="26"/>
          <w:shd w:val="clear" w:color="auto" w:fill="FFFFFF"/>
        </w:rPr>
        <w:t>).</w:t>
      </w:r>
    </w:p>
  </w:footnote>
  <w:footnote w:id="51">
    <w:p w14:paraId="18F58FAA" w14:textId="77777777" w:rsidR="00AB000C" w:rsidRPr="002F3359" w:rsidRDefault="00570B35" w:rsidP="00AB000C">
      <w:pPr>
        <w:pStyle w:val="FootnoteText"/>
        <w:spacing w:after="120"/>
        <w:ind w:firstLine="720"/>
        <w:rPr>
          <w:szCs w:val="26"/>
        </w:rPr>
      </w:pPr>
      <w:r w:rsidRPr="002F3359">
        <w:rPr>
          <w:rStyle w:val="FootnoteReference"/>
          <w:szCs w:val="26"/>
        </w:rPr>
        <w:footnoteRef/>
      </w:r>
      <w:r w:rsidRPr="002F3359">
        <w:rPr>
          <w:szCs w:val="26"/>
        </w:rPr>
        <w:t xml:space="preserve"> The actual constitutional language quoted by the Proposition 22 proponents on this textual point is that the Legislature shall have the power to create and enforc</w:t>
      </w:r>
      <w:r w:rsidRPr="002F3359">
        <w:rPr>
          <w:szCs w:val="26"/>
        </w:rPr>
        <w:t>e a system of workers’ compensation “</w:t>
      </w:r>
      <w:r w:rsidRPr="002F3359">
        <w:rPr>
          <w:szCs w:val="26"/>
          <w:shd w:val="clear" w:color="auto" w:fill="FFFFFF"/>
        </w:rPr>
        <w:t xml:space="preserve">liability </w:t>
      </w:r>
      <w:r w:rsidRPr="002F3359">
        <w:rPr>
          <w:i/>
          <w:iCs/>
          <w:szCs w:val="26"/>
          <w:shd w:val="clear" w:color="auto" w:fill="FFFFFF"/>
        </w:rPr>
        <w:t>on the part of any or all persons</w:t>
      </w:r>
      <w:r w:rsidRPr="002F3359">
        <w:rPr>
          <w:szCs w:val="26"/>
          <w:shd w:val="clear" w:color="auto" w:fill="FFFFFF"/>
        </w:rPr>
        <w:t>”—in context, clearly</w:t>
      </w:r>
      <w:r w:rsidRPr="002F3359">
        <w:rPr>
          <w:i/>
          <w:iCs/>
          <w:szCs w:val="26"/>
          <w:shd w:val="clear" w:color="auto" w:fill="FFFFFF"/>
        </w:rPr>
        <w:t xml:space="preserve"> </w:t>
      </w:r>
      <w:r w:rsidRPr="002F3359">
        <w:rPr>
          <w:szCs w:val="26"/>
          <w:shd w:val="clear" w:color="auto" w:fill="FFFFFF"/>
        </w:rPr>
        <w:t xml:space="preserve">meaning employers—“to compensate </w:t>
      </w:r>
      <w:r w:rsidRPr="002F3359">
        <w:rPr>
          <w:i/>
          <w:iCs/>
          <w:szCs w:val="26"/>
          <w:shd w:val="clear" w:color="auto" w:fill="FFFFFF"/>
        </w:rPr>
        <w:t>any or all of their workers</w:t>
      </w:r>
      <w:r w:rsidRPr="002F3359">
        <w:rPr>
          <w:szCs w:val="26"/>
          <w:shd w:val="clear" w:color="auto" w:fill="FFFFFF"/>
        </w:rPr>
        <w:t xml:space="preserve">”—in context, clearly meaning employees of said employers (hence the phrase “their </w:t>
      </w:r>
      <w:r w:rsidRPr="002F3359">
        <w:rPr>
          <w:szCs w:val="26"/>
          <w:shd w:val="clear" w:color="auto" w:fill="FFFFFF"/>
        </w:rPr>
        <w:t>workers”)—</w:t>
      </w:r>
      <w:r w:rsidRPr="002F3359">
        <w:rPr>
          <w:spacing w:val="10"/>
          <w:szCs w:val="26"/>
          <w:shd w:val="clear" w:color="auto" w:fill="FFFFFF"/>
        </w:rPr>
        <w:t>“</w:t>
      </w:r>
      <w:r w:rsidRPr="002F3359">
        <w:rPr>
          <w:szCs w:val="26"/>
          <w:shd w:val="clear" w:color="auto" w:fill="FFFFFF"/>
        </w:rPr>
        <w:t>for injury or disability, and their dependents for death incurred or sustained by the said workers in the course of their employment, irrespective of the fault of any party.”  (Art. XIV, § 4</w:t>
      </w:r>
      <w:r w:rsidRPr="002F3359">
        <w:rPr>
          <w:szCs w:val="26"/>
        </w:rPr>
        <w:t>, italics added</w:t>
      </w:r>
      <w:r w:rsidRPr="002F3359">
        <w:rPr>
          <w:szCs w:val="26"/>
          <w:shd w:val="clear" w:color="auto" w:fill="FFFFFF"/>
        </w:rPr>
        <w:t>.)  It is a stretch to construe the phra</w:t>
      </w:r>
      <w:r w:rsidRPr="002F3359">
        <w:rPr>
          <w:szCs w:val="26"/>
          <w:shd w:val="clear" w:color="auto" w:fill="FFFFFF"/>
        </w:rPr>
        <w:t xml:space="preserve">se “any or all . . . workers” to refer broadly to statewide coverage, rather than, as the context more naturally suggests, to the coverage status of workers who may have been hired by a given employer, an issue that seems amenable to determination only on </w:t>
      </w:r>
      <w:r w:rsidRPr="002F3359">
        <w:rPr>
          <w:szCs w:val="26"/>
          <w:shd w:val="clear" w:color="auto" w:fill="FFFFFF"/>
        </w:rPr>
        <w:t xml:space="preserve">an employer-by-employer basis.  But because the Proposition 22 proponents’ “any or all . . . workers” argument is flawed for other, more fundamental reasons, as explained below, I am willing to indulge arguendo the broader construction of these words that </w:t>
      </w:r>
      <w:r w:rsidRPr="002F3359">
        <w:rPr>
          <w:szCs w:val="26"/>
          <w:shd w:val="clear" w:color="auto" w:fill="FFFFFF"/>
        </w:rPr>
        <w:t>they put forth.</w:t>
      </w:r>
    </w:p>
  </w:footnote>
  <w:footnote w:id="52">
    <w:p w14:paraId="1F951FB6" w14:textId="77777777" w:rsidR="00AB000C" w:rsidRPr="002F3359" w:rsidRDefault="00570B35" w:rsidP="00AB000C">
      <w:pPr>
        <w:spacing w:after="120" w:line="240" w:lineRule="auto"/>
        <w:ind w:firstLine="720"/>
      </w:pPr>
      <w:r w:rsidRPr="002F3359">
        <w:rPr>
          <w:rStyle w:val="FootnoteReference"/>
        </w:rPr>
        <w:footnoteRef/>
      </w:r>
      <w:r w:rsidRPr="002F3359">
        <w:t xml:space="preserve"> 1917 Act, Statutes 1917, chapter 586, section 8(a).</w:t>
      </w:r>
    </w:p>
  </w:footnote>
  <w:footnote w:id="53">
    <w:p w14:paraId="36EE5060" w14:textId="77777777" w:rsidR="00AB000C" w:rsidRPr="002F3359" w:rsidRDefault="00570B35" w:rsidP="00AB000C">
      <w:pPr>
        <w:shd w:val="clear" w:color="auto" w:fill="FFFFFF" w:themeFill="background1"/>
        <w:spacing w:after="120" w:line="240" w:lineRule="auto"/>
        <w:ind w:firstLine="720"/>
        <w:textAlignment w:val="baseline"/>
      </w:pPr>
      <w:r w:rsidRPr="002F3359">
        <w:rPr>
          <w:rStyle w:val="FootnoteReference"/>
        </w:rPr>
        <w:footnoteRef/>
      </w:r>
      <w:r w:rsidRPr="002F3359">
        <w:t xml:space="preserve"> See Labor Code, section 3352, subdivisions (a)(4), (a)(5), (a)(7), (a)(9), (a)(10) and (a)(11); </w:t>
      </w:r>
      <w:proofErr w:type="spellStart"/>
      <w:r w:rsidRPr="002F3359">
        <w:rPr>
          <w:rFonts w:eastAsia="Times New Roman" w:cs="Times New Roman"/>
          <w:i/>
          <w:iCs/>
          <w:bdr w:val="none" w:sz="0" w:space="0" w:color="auto" w:frame="1"/>
        </w:rPr>
        <w:t>Gund</w:t>
      </w:r>
      <w:proofErr w:type="spellEnd"/>
      <w:r w:rsidRPr="002F3359">
        <w:rPr>
          <w:rFonts w:eastAsia="Times New Roman" w:cs="Times New Roman"/>
          <w:i/>
          <w:iCs/>
          <w:bdr w:val="none" w:sz="0" w:space="0" w:color="auto" w:frame="1"/>
        </w:rPr>
        <w:t xml:space="preserve"> v. County of Trinity</w:t>
      </w:r>
      <w:r w:rsidRPr="002F3359">
        <w:rPr>
          <w:rFonts w:eastAsia="Times New Roman" w:cs="Times New Roman"/>
        </w:rPr>
        <w:t xml:space="preserve"> (2020) 10 Cal.5th 503, 510 (“</w:t>
      </w:r>
      <w:r w:rsidRPr="002F3359">
        <w:rPr>
          <w:rFonts w:eastAsia="Times New Roman" w:cs="Times New Roman"/>
          <w:bdr w:val="none" w:sz="0" w:space="0" w:color="auto" w:frame="1"/>
          <w:shd w:val="clear" w:color="auto" w:fill="FFFFFF"/>
        </w:rPr>
        <w:t>volunteers</w:t>
      </w:r>
      <w:r w:rsidRPr="002F3359">
        <w:rPr>
          <w:rFonts w:eastAsia="Times New Roman" w:cs="Times New Roman"/>
          <w:shd w:val="clear" w:color="auto" w:fill="FFFFFF"/>
        </w:rPr>
        <w:t xml:space="preserve"> are typically not elig</w:t>
      </w:r>
      <w:r w:rsidRPr="002F3359">
        <w:rPr>
          <w:rFonts w:eastAsia="Times New Roman" w:cs="Times New Roman"/>
          <w:shd w:val="clear" w:color="auto" w:fill="FFFFFF"/>
        </w:rPr>
        <w:t xml:space="preserve">ible” for workers’ compensation benefits).  </w:t>
      </w:r>
      <w:r w:rsidRPr="002F3359">
        <w:t xml:space="preserve">The Proposition 22 proponents cite </w:t>
      </w:r>
      <w:proofErr w:type="spellStart"/>
      <w:r w:rsidRPr="002F3359">
        <w:rPr>
          <w:rFonts w:eastAsia="Times New Roman" w:cs="Times New Roman"/>
          <w:i/>
          <w:iCs/>
          <w:bdr w:val="none" w:sz="0" w:space="0" w:color="auto" w:frame="1"/>
        </w:rPr>
        <w:t>Graczyk</w:t>
      </w:r>
      <w:proofErr w:type="spellEnd"/>
      <w:r w:rsidRPr="002F3359">
        <w:rPr>
          <w:rFonts w:eastAsia="Times New Roman" w:cs="Times New Roman"/>
          <w:i/>
          <w:iCs/>
          <w:bdr w:val="none" w:sz="0" w:space="0" w:color="auto" w:frame="1"/>
        </w:rPr>
        <w:t xml:space="preserve"> v. Workers’ Comp. Appeals Bd.</w:t>
      </w:r>
      <w:r w:rsidRPr="002F3359">
        <w:t xml:space="preserve">, </w:t>
      </w:r>
      <w:r w:rsidRPr="002F3359">
        <w:rPr>
          <w:i/>
          <w:iCs/>
        </w:rPr>
        <w:t>supra</w:t>
      </w:r>
      <w:r w:rsidRPr="002F3359">
        <w:t xml:space="preserve">, </w:t>
      </w:r>
      <w:r w:rsidRPr="002F3359">
        <w:rPr>
          <w:rFonts w:eastAsia="Times New Roman" w:cs="Times New Roman"/>
        </w:rPr>
        <w:t>184 Cal.App.3d 997, for the proposition that, because the workers’ compensation system is statutory, a ballot statute may be used t</w:t>
      </w:r>
      <w:r w:rsidRPr="002F3359">
        <w:rPr>
          <w:rFonts w:eastAsia="Times New Roman" w:cs="Times New Roman"/>
        </w:rPr>
        <w:t xml:space="preserve">o “withdraw” previously covered workers from the system.  They misread </w:t>
      </w:r>
      <w:proofErr w:type="spellStart"/>
      <w:r w:rsidRPr="002F3359">
        <w:rPr>
          <w:rFonts w:eastAsia="Times New Roman" w:cs="Times New Roman"/>
          <w:i/>
          <w:iCs/>
        </w:rPr>
        <w:t>Graczyk</w:t>
      </w:r>
      <w:proofErr w:type="spellEnd"/>
      <w:r w:rsidRPr="002F3359">
        <w:rPr>
          <w:rFonts w:eastAsia="Times New Roman" w:cs="Times New Roman"/>
          <w:i/>
          <w:iCs/>
        </w:rPr>
        <w:t xml:space="preserve">.  </w:t>
      </w:r>
      <w:r w:rsidRPr="002F3359">
        <w:rPr>
          <w:rFonts w:eastAsia="Times New Roman" w:cs="Times New Roman"/>
        </w:rPr>
        <w:t>At issue there was a statutory provision</w:t>
      </w:r>
      <w:r w:rsidRPr="002F3359">
        <w:rPr>
          <w:rFonts w:eastAsia="Times New Roman" w:cs="Times New Roman"/>
          <w:i/>
          <w:iCs/>
        </w:rPr>
        <w:t xml:space="preserve"> </w:t>
      </w:r>
      <w:r w:rsidRPr="002F3359">
        <w:rPr>
          <w:rFonts w:eastAsia="Times New Roman" w:cs="Times New Roman"/>
        </w:rPr>
        <w:t>(former Lab. Code,</w:t>
      </w:r>
      <w:r w:rsidRPr="002F3359">
        <w:rPr>
          <w:rFonts w:eastAsia="Times New Roman" w:cs="Times New Roman"/>
          <w:i/>
        </w:rPr>
        <w:t xml:space="preserve"> </w:t>
      </w:r>
      <w:r w:rsidRPr="002F3359">
        <w:t xml:space="preserve">§ 3352, </w:t>
      </w:r>
      <w:proofErr w:type="spellStart"/>
      <w:r w:rsidRPr="002F3359">
        <w:t>subd</w:t>
      </w:r>
      <w:proofErr w:type="spellEnd"/>
      <w:r w:rsidRPr="002F3359">
        <w:t xml:space="preserve">. (k)) added in 1981 to </w:t>
      </w:r>
      <w:r w:rsidRPr="002F3359">
        <w:rPr>
          <w:rFonts w:eastAsia="Times New Roman" w:cs="Times New Roman"/>
          <w:i/>
          <w:iCs/>
        </w:rPr>
        <w:t>clarify</w:t>
      </w:r>
      <w:r w:rsidRPr="002F3359">
        <w:rPr>
          <w:rFonts w:eastAsia="Times New Roman" w:cs="Times New Roman"/>
        </w:rPr>
        <w:t xml:space="preserve"> that unpaid student athletes were not employees eligible for workers’ c</w:t>
      </w:r>
      <w:r w:rsidRPr="002F3359">
        <w:rPr>
          <w:rFonts w:eastAsia="Times New Roman" w:cs="Times New Roman"/>
        </w:rPr>
        <w:t>ompensation.  (</w:t>
      </w:r>
      <w:proofErr w:type="spellStart"/>
      <w:r w:rsidRPr="002F3359">
        <w:rPr>
          <w:rFonts w:eastAsia="Times New Roman" w:cs="Times New Roman"/>
          <w:i/>
          <w:iCs/>
          <w:bdr w:val="none" w:sz="0" w:space="0" w:color="auto" w:frame="1"/>
        </w:rPr>
        <w:t>Graczyk</w:t>
      </w:r>
      <w:proofErr w:type="spellEnd"/>
      <w:r w:rsidRPr="002F3359">
        <w:rPr>
          <w:rFonts w:eastAsia="Times New Roman" w:cs="Times New Roman"/>
          <w:bdr w:val="none" w:sz="0" w:space="0" w:color="auto" w:frame="1"/>
        </w:rPr>
        <w:t xml:space="preserve">, </w:t>
      </w:r>
      <w:r w:rsidRPr="002F3359">
        <w:rPr>
          <w:rFonts w:eastAsia="Times New Roman" w:cs="Times New Roman"/>
        </w:rPr>
        <w:t xml:space="preserve">at pp. 1001–1005.)  Non-wage workers were not covered in 1917, and in 1981 the Legislature simply confirmed that this class of workers remained outside the system.  </w:t>
      </w:r>
      <w:proofErr w:type="spellStart"/>
      <w:r w:rsidRPr="002F3359">
        <w:rPr>
          <w:rFonts w:eastAsia="Times New Roman" w:cs="Times New Roman"/>
          <w:i/>
          <w:iCs/>
        </w:rPr>
        <w:t>Graczyk</w:t>
      </w:r>
      <w:proofErr w:type="spellEnd"/>
      <w:r w:rsidRPr="002F3359">
        <w:rPr>
          <w:rFonts w:eastAsia="Times New Roman" w:cs="Times New Roman"/>
          <w:i/>
          <w:iCs/>
        </w:rPr>
        <w:t xml:space="preserve"> </w:t>
      </w:r>
      <w:r w:rsidRPr="002F3359">
        <w:rPr>
          <w:rFonts w:eastAsia="Times New Roman" w:cs="Times New Roman"/>
        </w:rPr>
        <w:t xml:space="preserve">would be on point if Proposition 22 simply </w:t>
      </w:r>
      <w:r w:rsidRPr="002F3359">
        <w:rPr>
          <w:rFonts w:eastAsia="Times New Roman" w:cs="Times New Roman"/>
        </w:rPr>
        <w:t>clarified that casual carpool commuter drivers (the ones that disappeared in the COVID</w:t>
      </w:r>
      <w:r w:rsidRPr="002F3359">
        <w:rPr>
          <w:rFonts w:eastAsia="Times New Roman" w:cs="Times New Roman"/>
        </w:rPr>
        <w:noBreakHyphen/>
        <w:t>19 pandemic, while paid app-based drivers kept working) are not covered by workers’ compensation.</w:t>
      </w:r>
    </w:p>
  </w:footnote>
  <w:footnote w:id="54">
    <w:p w14:paraId="6F8E42BF" w14:textId="77777777" w:rsidR="00AB000C" w:rsidRPr="002F3359" w:rsidRDefault="00570B35"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cs="Arial"/>
        </w:rPr>
        <w:t>Statutes 1959, chapter 505, page 2466, section 1 (repealing statutory</w:t>
      </w:r>
      <w:r w:rsidRPr="002F3359">
        <w:rPr>
          <w:rFonts w:cs="Arial"/>
        </w:rPr>
        <w:t xml:space="preserve"> language carried over from the original exclusion in the 1917 Act of “a</w:t>
      </w:r>
      <w:r w:rsidRPr="002F3359">
        <w:rPr>
          <w:shd w:val="clear" w:color="auto" w:fill="FFFFFF"/>
        </w:rPr>
        <w:t xml:space="preserve">ny employee engaged in . . . in farm, dairy, agricultural, viticultural or horticultural labor, [or] in stock or poultry” work, then codified at </w:t>
      </w:r>
      <w:r w:rsidRPr="002F3359">
        <w:rPr>
          <w:rFonts w:cs="Arial"/>
        </w:rPr>
        <w:t xml:space="preserve">former Labor Code section 3352 </w:t>
      </w:r>
      <w:r w:rsidRPr="002F3359">
        <w:rPr>
          <w:shd w:val="clear" w:color="auto" w:fill="FFFFFF"/>
        </w:rPr>
        <w:t xml:space="preserve">(Stats. </w:t>
      </w:r>
      <w:r w:rsidRPr="002F3359">
        <w:rPr>
          <w:shd w:val="clear" w:color="auto" w:fill="FFFFFF"/>
        </w:rPr>
        <w:t xml:space="preserve">1937, </w:t>
      </w:r>
      <w:proofErr w:type="spellStart"/>
      <w:r w:rsidRPr="002F3359">
        <w:rPr>
          <w:shd w:val="clear" w:color="auto" w:fill="FFFFFF"/>
        </w:rPr>
        <w:t>ch.</w:t>
      </w:r>
      <w:proofErr w:type="spellEnd"/>
      <w:r w:rsidRPr="002F3359">
        <w:rPr>
          <w:shd w:val="clear" w:color="auto" w:fill="FFFFFF"/>
        </w:rPr>
        <w:t xml:space="preserve"> 90, § 3352(c), p. 267)); see </w:t>
      </w:r>
      <w:r w:rsidRPr="002F3359">
        <w:rPr>
          <w:rFonts w:eastAsia="Times New Roman" w:cs="Times New Roman"/>
          <w:i/>
          <w:iCs/>
          <w:bdr w:val="none" w:sz="0" w:space="0" w:color="auto" w:frame="1"/>
        </w:rPr>
        <w:t xml:space="preserve">S. G. </w:t>
      </w:r>
      <w:proofErr w:type="spellStart"/>
      <w:r w:rsidRPr="002F3359">
        <w:rPr>
          <w:rFonts w:eastAsia="Times New Roman" w:cs="Times New Roman"/>
          <w:i/>
          <w:iCs/>
          <w:bdr w:val="none" w:sz="0" w:space="0" w:color="auto" w:frame="1"/>
        </w:rPr>
        <w:t>Borello</w:t>
      </w:r>
      <w:proofErr w:type="spellEnd"/>
      <w:r w:rsidRPr="002F3359">
        <w:rPr>
          <w:rFonts w:eastAsia="Times New Roman" w:cs="Times New Roman"/>
          <w:i/>
          <w:iCs/>
          <w:bdr w:val="none" w:sz="0" w:space="0" w:color="auto" w:frame="1"/>
        </w:rPr>
        <w:t xml:space="preserve"> &amp; Sons, Inc. v. Dept. of Industrial Relations</w:t>
      </w:r>
      <w:r w:rsidRPr="002F3359">
        <w:rPr>
          <w:rFonts w:eastAsia="Times New Roman" w:cs="Times New Roman"/>
        </w:rPr>
        <w:t xml:space="preserve"> (1989) 48 Cal.3d 341 (after removal of the exclusion, addressing circumstances in which agricultural workers may be considered employees).</w:t>
      </w:r>
    </w:p>
  </w:footnote>
  <w:footnote w:id="55">
    <w:p w14:paraId="3FA38B5A" w14:textId="77777777" w:rsidR="00AB000C" w:rsidRPr="002F3359" w:rsidRDefault="00570B35" w:rsidP="00AB000C">
      <w:pPr>
        <w:spacing w:after="120" w:line="240" w:lineRule="auto"/>
        <w:ind w:firstLine="720"/>
      </w:pPr>
      <w:r w:rsidRPr="002F3359">
        <w:rPr>
          <w:rStyle w:val="FootnoteReference"/>
        </w:rPr>
        <w:footnoteRef/>
      </w:r>
      <w:r w:rsidRPr="002F3359">
        <w:t xml:space="preserve"> </w:t>
      </w:r>
      <w:r w:rsidRPr="002F3359">
        <w:rPr>
          <w:rFonts w:cs="Arial"/>
        </w:rPr>
        <w:t>Statutes 1975, c</w:t>
      </w:r>
      <w:r w:rsidRPr="002F3359">
        <w:rPr>
          <w:rFonts w:cs="Arial"/>
        </w:rPr>
        <w:t>hapter 1263, page 3315, section</w:t>
      </w:r>
      <w:r w:rsidRPr="002F3359">
        <w:rPr>
          <w:rFonts w:cs="Arial"/>
        </w:rPr>
        <w:t> </w:t>
      </w:r>
      <w:r w:rsidRPr="002F3359">
        <w:rPr>
          <w:rFonts w:cs="Arial"/>
        </w:rPr>
        <w:t xml:space="preserve">5.5 (repealing statutory language carried over from the original exclusion in the 1917 Act of “any employee engaged in household domestic service,” then codified at former Labor Code section 3352 </w:t>
      </w:r>
      <w:r w:rsidRPr="002F3359">
        <w:rPr>
          <w:shd w:val="clear" w:color="auto" w:fill="FFFFFF"/>
        </w:rPr>
        <w:t xml:space="preserve">(Stats. 1937, </w:t>
      </w:r>
      <w:proofErr w:type="spellStart"/>
      <w:r w:rsidRPr="002F3359">
        <w:rPr>
          <w:shd w:val="clear" w:color="auto" w:fill="FFFFFF"/>
        </w:rPr>
        <w:t>ch.</w:t>
      </w:r>
      <w:proofErr w:type="spellEnd"/>
      <w:r w:rsidRPr="002F3359">
        <w:rPr>
          <w:shd w:val="clear" w:color="auto" w:fill="FFFFFF"/>
        </w:rPr>
        <w:t> 90, § 3352</w:t>
      </w:r>
      <w:r w:rsidRPr="002F3359">
        <w:rPr>
          <w:shd w:val="clear" w:color="auto" w:fill="FFFFFF"/>
        </w:rPr>
        <w:t xml:space="preserve">(b), p. 267)); </w:t>
      </w:r>
      <w:r w:rsidRPr="002F3359">
        <w:rPr>
          <w:rFonts w:cs="Arial"/>
        </w:rPr>
        <w:t xml:space="preserve">see </w:t>
      </w:r>
      <w:r w:rsidRPr="002F3359">
        <w:rPr>
          <w:rFonts w:eastAsia="Times New Roman" w:cs="Times New Roman"/>
          <w:i/>
          <w:iCs/>
          <w:bdr w:val="none" w:sz="0" w:space="0" w:color="auto" w:frame="1"/>
        </w:rPr>
        <w:t>In</w:t>
      </w:r>
      <w:r w:rsidRPr="002F3359">
        <w:rPr>
          <w:rFonts w:eastAsia="Times New Roman" w:cs="Times New Roman"/>
          <w:i/>
          <w:iCs/>
          <w:bdr w:val="none" w:sz="0" w:space="0" w:color="auto" w:frame="1"/>
        </w:rPr>
        <w:noBreakHyphen/>
        <w:t>Home Supportive Services v. Workers’ Comp. Appeals Bd.</w:t>
      </w:r>
      <w:r w:rsidRPr="002F3359">
        <w:rPr>
          <w:rFonts w:eastAsia="Times New Roman" w:cs="Times New Roman"/>
        </w:rPr>
        <w:t xml:space="preserve"> (1984) 152 Cal.App.3d 720, 735 (after removal of the exclusion, addressing circumstances in which domestic workers may be considered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D37E" w14:textId="77777777" w:rsidR="003E4633" w:rsidRDefault="003E4633">
    <w:pPr>
      <w:pStyle w:val="Header"/>
    </w:pPr>
  </w:p>
  <w:p w14:paraId="1BE370DA" w14:textId="77777777" w:rsidR="003E4633" w:rsidRDefault="003E46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D9DB" w14:textId="77777777" w:rsidR="00303EDD" w:rsidRDefault="00303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4023" w14:textId="77777777" w:rsidR="003E4633" w:rsidRDefault="003E4633">
    <w:pPr>
      <w:pStyle w:val="Header"/>
    </w:pPr>
  </w:p>
  <w:p w14:paraId="32085EC6" w14:textId="77777777" w:rsidR="003E4633" w:rsidRDefault="003E46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1A49" w14:textId="77777777" w:rsidR="006F14D0" w:rsidRDefault="006F14D0">
    <w:pPr>
      <w:pStyle w:val="Header"/>
    </w:pPr>
  </w:p>
  <w:p w14:paraId="751B9C9D" w14:textId="77777777" w:rsidR="00451E9C" w:rsidRDefault="00451E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4F3" w14:textId="1938ADEE" w:rsidR="00E02E8C" w:rsidRPr="003276C6" w:rsidRDefault="00E02E8C" w:rsidP="003276C6">
    <w:pPr>
      <w:pStyle w:val="Header"/>
      <w:jc w:val="center"/>
      <w:rPr>
        <w:b/>
        <w:bCs/>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2EC" w14:textId="783A3EDC" w:rsidR="006F14D0" w:rsidRDefault="006F14D0">
    <w:pPr>
      <w:pStyle w:val="Header"/>
    </w:pPr>
  </w:p>
  <w:p w14:paraId="1881480D" w14:textId="4C143EFF" w:rsidR="00451E9C" w:rsidRDefault="00451E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478" w14:textId="41EBE73F" w:rsidR="00451E9C" w:rsidRDefault="0045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59"/>
    <w:multiLevelType w:val="hybridMultilevel"/>
    <w:tmpl w:val="2BB0614E"/>
    <w:lvl w:ilvl="0" w:tplc="F078E7EA">
      <w:start w:val="1"/>
      <w:numFmt w:val="decimal"/>
      <w:lvlText w:val="%1."/>
      <w:lvlJc w:val="left"/>
      <w:pPr>
        <w:ind w:left="720" w:hanging="360"/>
      </w:pPr>
      <w:rPr>
        <w:rFonts w:hint="default"/>
      </w:rPr>
    </w:lvl>
    <w:lvl w:ilvl="1" w:tplc="7B54BE16" w:tentative="1">
      <w:start w:val="1"/>
      <w:numFmt w:val="lowerLetter"/>
      <w:lvlText w:val="%2."/>
      <w:lvlJc w:val="left"/>
      <w:pPr>
        <w:ind w:left="1440" w:hanging="360"/>
      </w:pPr>
    </w:lvl>
    <w:lvl w:ilvl="2" w:tplc="DBB0955C" w:tentative="1">
      <w:start w:val="1"/>
      <w:numFmt w:val="lowerRoman"/>
      <w:lvlText w:val="%3."/>
      <w:lvlJc w:val="right"/>
      <w:pPr>
        <w:ind w:left="2160" w:hanging="180"/>
      </w:pPr>
    </w:lvl>
    <w:lvl w:ilvl="3" w:tplc="71EE58BE" w:tentative="1">
      <w:start w:val="1"/>
      <w:numFmt w:val="decimal"/>
      <w:lvlText w:val="%4."/>
      <w:lvlJc w:val="left"/>
      <w:pPr>
        <w:ind w:left="2880" w:hanging="360"/>
      </w:pPr>
    </w:lvl>
    <w:lvl w:ilvl="4" w:tplc="FA04FD1A" w:tentative="1">
      <w:start w:val="1"/>
      <w:numFmt w:val="lowerLetter"/>
      <w:lvlText w:val="%5."/>
      <w:lvlJc w:val="left"/>
      <w:pPr>
        <w:ind w:left="3600" w:hanging="360"/>
      </w:pPr>
    </w:lvl>
    <w:lvl w:ilvl="5" w:tplc="63E85B42" w:tentative="1">
      <w:start w:val="1"/>
      <w:numFmt w:val="lowerRoman"/>
      <w:lvlText w:val="%6."/>
      <w:lvlJc w:val="right"/>
      <w:pPr>
        <w:ind w:left="4320" w:hanging="180"/>
      </w:pPr>
    </w:lvl>
    <w:lvl w:ilvl="6" w:tplc="61464988" w:tentative="1">
      <w:start w:val="1"/>
      <w:numFmt w:val="decimal"/>
      <w:lvlText w:val="%7."/>
      <w:lvlJc w:val="left"/>
      <w:pPr>
        <w:ind w:left="5040" w:hanging="360"/>
      </w:pPr>
    </w:lvl>
    <w:lvl w:ilvl="7" w:tplc="4E7A307C" w:tentative="1">
      <w:start w:val="1"/>
      <w:numFmt w:val="lowerLetter"/>
      <w:lvlText w:val="%8."/>
      <w:lvlJc w:val="left"/>
      <w:pPr>
        <w:ind w:left="5760" w:hanging="360"/>
      </w:pPr>
    </w:lvl>
    <w:lvl w:ilvl="8" w:tplc="8416B6C8" w:tentative="1">
      <w:start w:val="1"/>
      <w:numFmt w:val="lowerRoman"/>
      <w:lvlText w:val="%9."/>
      <w:lvlJc w:val="right"/>
      <w:pPr>
        <w:ind w:left="6480" w:hanging="180"/>
      </w:pPr>
    </w:lvl>
  </w:abstractNum>
  <w:abstractNum w:abstractNumId="1" w15:restartNumberingAfterBreak="0">
    <w:nsid w:val="07AD2C6A"/>
    <w:multiLevelType w:val="hybridMultilevel"/>
    <w:tmpl w:val="6D00FD66"/>
    <w:lvl w:ilvl="0" w:tplc="50228594">
      <w:start w:val="1"/>
      <w:numFmt w:val="lowerLetter"/>
      <w:lvlText w:val="%1."/>
      <w:lvlJc w:val="left"/>
      <w:pPr>
        <w:ind w:left="720" w:hanging="360"/>
      </w:pPr>
      <w:rPr>
        <w:rFonts w:hint="default"/>
      </w:rPr>
    </w:lvl>
    <w:lvl w:ilvl="1" w:tplc="031C8480" w:tentative="1">
      <w:start w:val="1"/>
      <w:numFmt w:val="lowerLetter"/>
      <w:lvlText w:val="%2."/>
      <w:lvlJc w:val="left"/>
      <w:pPr>
        <w:ind w:left="1440" w:hanging="360"/>
      </w:pPr>
    </w:lvl>
    <w:lvl w:ilvl="2" w:tplc="BA9219C4" w:tentative="1">
      <w:start w:val="1"/>
      <w:numFmt w:val="lowerRoman"/>
      <w:lvlText w:val="%3."/>
      <w:lvlJc w:val="right"/>
      <w:pPr>
        <w:ind w:left="2160" w:hanging="180"/>
      </w:pPr>
    </w:lvl>
    <w:lvl w:ilvl="3" w:tplc="D206BE2E" w:tentative="1">
      <w:start w:val="1"/>
      <w:numFmt w:val="decimal"/>
      <w:lvlText w:val="%4."/>
      <w:lvlJc w:val="left"/>
      <w:pPr>
        <w:ind w:left="2880" w:hanging="360"/>
      </w:pPr>
    </w:lvl>
    <w:lvl w:ilvl="4" w:tplc="7AFA2810" w:tentative="1">
      <w:start w:val="1"/>
      <w:numFmt w:val="lowerLetter"/>
      <w:lvlText w:val="%5."/>
      <w:lvlJc w:val="left"/>
      <w:pPr>
        <w:ind w:left="3600" w:hanging="360"/>
      </w:pPr>
    </w:lvl>
    <w:lvl w:ilvl="5" w:tplc="35348F48" w:tentative="1">
      <w:start w:val="1"/>
      <w:numFmt w:val="lowerRoman"/>
      <w:lvlText w:val="%6."/>
      <w:lvlJc w:val="right"/>
      <w:pPr>
        <w:ind w:left="4320" w:hanging="180"/>
      </w:pPr>
    </w:lvl>
    <w:lvl w:ilvl="6" w:tplc="52E21CBA" w:tentative="1">
      <w:start w:val="1"/>
      <w:numFmt w:val="decimal"/>
      <w:lvlText w:val="%7."/>
      <w:lvlJc w:val="left"/>
      <w:pPr>
        <w:ind w:left="5040" w:hanging="360"/>
      </w:pPr>
    </w:lvl>
    <w:lvl w:ilvl="7" w:tplc="7D06AC92" w:tentative="1">
      <w:start w:val="1"/>
      <w:numFmt w:val="lowerLetter"/>
      <w:lvlText w:val="%8."/>
      <w:lvlJc w:val="left"/>
      <w:pPr>
        <w:ind w:left="5760" w:hanging="360"/>
      </w:pPr>
    </w:lvl>
    <w:lvl w:ilvl="8" w:tplc="D3C6E92E" w:tentative="1">
      <w:start w:val="1"/>
      <w:numFmt w:val="lowerRoman"/>
      <w:lvlText w:val="%9."/>
      <w:lvlJc w:val="right"/>
      <w:pPr>
        <w:ind w:left="6480" w:hanging="180"/>
      </w:pPr>
    </w:lvl>
  </w:abstractNum>
  <w:abstractNum w:abstractNumId="2" w15:restartNumberingAfterBreak="0">
    <w:nsid w:val="1177346A"/>
    <w:multiLevelType w:val="hybridMultilevel"/>
    <w:tmpl w:val="07E07436"/>
    <w:lvl w:ilvl="0" w:tplc="8E409556">
      <w:start w:val="1"/>
      <w:numFmt w:val="upperLetter"/>
      <w:lvlText w:val="%1."/>
      <w:lvlJc w:val="left"/>
      <w:pPr>
        <w:ind w:left="720" w:hanging="360"/>
      </w:pPr>
      <w:rPr>
        <w:rFonts w:hint="default"/>
      </w:rPr>
    </w:lvl>
    <w:lvl w:ilvl="1" w:tplc="70746CE0" w:tentative="1">
      <w:start w:val="1"/>
      <w:numFmt w:val="lowerLetter"/>
      <w:lvlText w:val="%2."/>
      <w:lvlJc w:val="left"/>
      <w:pPr>
        <w:ind w:left="1440" w:hanging="360"/>
      </w:pPr>
    </w:lvl>
    <w:lvl w:ilvl="2" w:tplc="5D3EA1F4" w:tentative="1">
      <w:start w:val="1"/>
      <w:numFmt w:val="lowerRoman"/>
      <w:lvlText w:val="%3."/>
      <w:lvlJc w:val="right"/>
      <w:pPr>
        <w:ind w:left="2160" w:hanging="180"/>
      </w:pPr>
    </w:lvl>
    <w:lvl w:ilvl="3" w:tplc="A8983E2C" w:tentative="1">
      <w:start w:val="1"/>
      <w:numFmt w:val="decimal"/>
      <w:lvlText w:val="%4."/>
      <w:lvlJc w:val="left"/>
      <w:pPr>
        <w:ind w:left="2880" w:hanging="360"/>
      </w:pPr>
    </w:lvl>
    <w:lvl w:ilvl="4" w:tplc="80FE0294" w:tentative="1">
      <w:start w:val="1"/>
      <w:numFmt w:val="lowerLetter"/>
      <w:lvlText w:val="%5."/>
      <w:lvlJc w:val="left"/>
      <w:pPr>
        <w:ind w:left="3600" w:hanging="360"/>
      </w:pPr>
    </w:lvl>
    <w:lvl w:ilvl="5" w:tplc="267E2AD6" w:tentative="1">
      <w:start w:val="1"/>
      <w:numFmt w:val="lowerRoman"/>
      <w:lvlText w:val="%6."/>
      <w:lvlJc w:val="right"/>
      <w:pPr>
        <w:ind w:left="4320" w:hanging="180"/>
      </w:pPr>
    </w:lvl>
    <w:lvl w:ilvl="6" w:tplc="983EF01A" w:tentative="1">
      <w:start w:val="1"/>
      <w:numFmt w:val="decimal"/>
      <w:lvlText w:val="%7."/>
      <w:lvlJc w:val="left"/>
      <w:pPr>
        <w:ind w:left="5040" w:hanging="360"/>
      </w:pPr>
    </w:lvl>
    <w:lvl w:ilvl="7" w:tplc="9B8E1FC4" w:tentative="1">
      <w:start w:val="1"/>
      <w:numFmt w:val="lowerLetter"/>
      <w:lvlText w:val="%8."/>
      <w:lvlJc w:val="left"/>
      <w:pPr>
        <w:ind w:left="5760" w:hanging="360"/>
      </w:pPr>
    </w:lvl>
    <w:lvl w:ilvl="8" w:tplc="E7B6DCBE" w:tentative="1">
      <w:start w:val="1"/>
      <w:numFmt w:val="lowerRoman"/>
      <w:lvlText w:val="%9."/>
      <w:lvlJc w:val="right"/>
      <w:pPr>
        <w:ind w:left="6480" w:hanging="180"/>
      </w:pPr>
    </w:lvl>
  </w:abstractNum>
  <w:abstractNum w:abstractNumId="3" w15:restartNumberingAfterBreak="0">
    <w:nsid w:val="1378123F"/>
    <w:multiLevelType w:val="hybridMultilevel"/>
    <w:tmpl w:val="AFA02830"/>
    <w:lvl w:ilvl="0" w:tplc="95009F58">
      <w:start w:val="1"/>
      <w:numFmt w:val="decimal"/>
      <w:lvlText w:val="%1."/>
      <w:lvlJc w:val="left"/>
      <w:pPr>
        <w:ind w:left="720" w:hanging="360"/>
      </w:pPr>
      <w:rPr>
        <w:rFonts w:hint="default"/>
        <w:b w:val="0"/>
        <w:bCs w:val="0"/>
        <w:i w:val="0"/>
        <w:iCs/>
      </w:rPr>
    </w:lvl>
    <w:lvl w:ilvl="1" w:tplc="9A9604D4" w:tentative="1">
      <w:start w:val="1"/>
      <w:numFmt w:val="lowerLetter"/>
      <w:lvlText w:val="%2."/>
      <w:lvlJc w:val="left"/>
      <w:pPr>
        <w:ind w:left="1440" w:hanging="360"/>
      </w:pPr>
    </w:lvl>
    <w:lvl w:ilvl="2" w:tplc="ADB8DE80" w:tentative="1">
      <w:start w:val="1"/>
      <w:numFmt w:val="lowerRoman"/>
      <w:lvlText w:val="%3."/>
      <w:lvlJc w:val="right"/>
      <w:pPr>
        <w:ind w:left="2160" w:hanging="180"/>
      </w:pPr>
    </w:lvl>
    <w:lvl w:ilvl="3" w:tplc="8EF03920" w:tentative="1">
      <w:start w:val="1"/>
      <w:numFmt w:val="decimal"/>
      <w:lvlText w:val="%4."/>
      <w:lvlJc w:val="left"/>
      <w:pPr>
        <w:ind w:left="2880" w:hanging="360"/>
      </w:pPr>
    </w:lvl>
    <w:lvl w:ilvl="4" w:tplc="E30A8726" w:tentative="1">
      <w:start w:val="1"/>
      <w:numFmt w:val="lowerLetter"/>
      <w:lvlText w:val="%5."/>
      <w:lvlJc w:val="left"/>
      <w:pPr>
        <w:ind w:left="3600" w:hanging="360"/>
      </w:pPr>
    </w:lvl>
    <w:lvl w:ilvl="5" w:tplc="47F058AE" w:tentative="1">
      <w:start w:val="1"/>
      <w:numFmt w:val="lowerRoman"/>
      <w:lvlText w:val="%6."/>
      <w:lvlJc w:val="right"/>
      <w:pPr>
        <w:ind w:left="4320" w:hanging="180"/>
      </w:pPr>
    </w:lvl>
    <w:lvl w:ilvl="6" w:tplc="77E4D014" w:tentative="1">
      <w:start w:val="1"/>
      <w:numFmt w:val="decimal"/>
      <w:lvlText w:val="%7."/>
      <w:lvlJc w:val="left"/>
      <w:pPr>
        <w:ind w:left="5040" w:hanging="360"/>
      </w:pPr>
    </w:lvl>
    <w:lvl w:ilvl="7" w:tplc="2FBA54E6" w:tentative="1">
      <w:start w:val="1"/>
      <w:numFmt w:val="lowerLetter"/>
      <w:lvlText w:val="%8."/>
      <w:lvlJc w:val="left"/>
      <w:pPr>
        <w:ind w:left="5760" w:hanging="360"/>
      </w:pPr>
    </w:lvl>
    <w:lvl w:ilvl="8" w:tplc="51B2A890" w:tentative="1">
      <w:start w:val="1"/>
      <w:numFmt w:val="lowerRoman"/>
      <w:lvlText w:val="%9."/>
      <w:lvlJc w:val="right"/>
      <w:pPr>
        <w:ind w:left="6480" w:hanging="180"/>
      </w:pPr>
    </w:lvl>
  </w:abstractNum>
  <w:abstractNum w:abstractNumId="4" w15:restartNumberingAfterBreak="0">
    <w:nsid w:val="16560C5A"/>
    <w:multiLevelType w:val="hybridMultilevel"/>
    <w:tmpl w:val="B1B88B8C"/>
    <w:lvl w:ilvl="0" w:tplc="6E122A20">
      <w:start w:val="1"/>
      <w:numFmt w:val="upperLetter"/>
      <w:lvlText w:val="%1."/>
      <w:lvlJc w:val="left"/>
      <w:pPr>
        <w:ind w:left="1080" w:hanging="360"/>
      </w:pPr>
      <w:rPr>
        <w:rFonts w:hint="default"/>
      </w:rPr>
    </w:lvl>
    <w:lvl w:ilvl="1" w:tplc="99FAA058" w:tentative="1">
      <w:start w:val="1"/>
      <w:numFmt w:val="lowerLetter"/>
      <w:lvlText w:val="%2."/>
      <w:lvlJc w:val="left"/>
      <w:pPr>
        <w:ind w:left="1800" w:hanging="360"/>
      </w:pPr>
    </w:lvl>
    <w:lvl w:ilvl="2" w:tplc="BFA46B12" w:tentative="1">
      <w:start w:val="1"/>
      <w:numFmt w:val="lowerRoman"/>
      <w:lvlText w:val="%3."/>
      <w:lvlJc w:val="right"/>
      <w:pPr>
        <w:ind w:left="2520" w:hanging="180"/>
      </w:pPr>
    </w:lvl>
    <w:lvl w:ilvl="3" w:tplc="2F30CFAE" w:tentative="1">
      <w:start w:val="1"/>
      <w:numFmt w:val="decimal"/>
      <w:lvlText w:val="%4."/>
      <w:lvlJc w:val="left"/>
      <w:pPr>
        <w:ind w:left="3240" w:hanging="360"/>
      </w:pPr>
    </w:lvl>
    <w:lvl w:ilvl="4" w:tplc="D120497A" w:tentative="1">
      <w:start w:val="1"/>
      <w:numFmt w:val="lowerLetter"/>
      <w:lvlText w:val="%5."/>
      <w:lvlJc w:val="left"/>
      <w:pPr>
        <w:ind w:left="3960" w:hanging="360"/>
      </w:pPr>
    </w:lvl>
    <w:lvl w:ilvl="5" w:tplc="3688563A" w:tentative="1">
      <w:start w:val="1"/>
      <w:numFmt w:val="lowerRoman"/>
      <w:lvlText w:val="%6."/>
      <w:lvlJc w:val="right"/>
      <w:pPr>
        <w:ind w:left="4680" w:hanging="180"/>
      </w:pPr>
    </w:lvl>
    <w:lvl w:ilvl="6" w:tplc="5838D544" w:tentative="1">
      <w:start w:val="1"/>
      <w:numFmt w:val="decimal"/>
      <w:lvlText w:val="%7."/>
      <w:lvlJc w:val="left"/>
      <w:pPr>
        <w:ind w:left="5400" w:hanging="360"/>
      </w:pPr>
    </w:lvl>
    <w:lvl w:ilvl="7" w:tplc="37865BC6" w:tentative="1">
      <w:start w:val="1"/>
      <w:numFmt w:val="lowerLetter"/>
      <w:lvlText w:val="%8."/>
      <w:lvlJc w:val="left"/>
      <w:pPr>
        <w:ind w:left="6120" w:hanging="360"/>
      </w:pPr>
    </w:lvl>
    <w:lvl w:ilvl="8" w:tplc="481CAB48" w:tentative="1">
      <w:start w:val="1"/>
      <w:numFmt w:val="lowerRoman"/>
      <w:lvlText w:val="%9."/>
      <w:lvlJc w:val="right"/>
      <w:pPr>
        <w:ind w:left="6840" w:hanging="180"/>
      </w:pPr>
    </w:lvl>
  </w:abstractNum>
  <w:abstractNum w:abstractNumId="5" w15:restartNumberingAfterBreak="0">
    <w:nsid w:val="168C1BAD"/>
    <w:multiLevelType w:val="hybridMultilevel"/>
    <w:tmpl w:val="36C46ECE"/>
    <w:lvl w:ilvl="0" w:tplc="F256639A">
      <w:start w:val="2"/>
      <w:numFmt w:val="lowerLetter"/>
      <w:lvlText w:val="%1."/>
      <w:lvlJc w:val="left"/>
      <w:pPr>
        <w:ind w:left="720" w:hanging="360"/>
      </w:pPr>
      <w:rPr>
        <w:rFonts w:hint="default"/>
      </w:rPr>
    </w:lvl>
    <w:lvl w:ilvl="1" w:tplc="62B8B8A8" w:tentative="1">
      <w:start w:val="1"/>
      <w:numFmt w:val="lowerLetter"/>
      <w:lvlText w:val="%2."/>
      <w:lvlJc w:val="left"/>
      <w:pPr>
        <w:ind w:left="1440" w:hanging="360"/>
      </w:pPr>
    </w:lvl>
    <w:lvl w:ilvl="2" w:tplc="A6241DCE" w:tentative="1">
      <w:start w:val="1"/>
      <w:numFmt w:val="lowerRoman"/>
      <w:lvlText w:val="%3."/>
      <w:lvlJc w:val="right"/>
      <w:pPr>
        <w:ind w:left="2160" w:hanging="180"/>
      </w:pPr>
    </w:lvl>
    <w:lvl w:ilvl="3" w:tplc="E86E80E4" w:tentative="1">
      <w:start w:val="1"/>
      <w:numFmt w:val="decimal"/>
      <w:lvlText w:val="%4."/>
      <w:lvlJc w:val="left"/>
      <w:pPr>
        <w:ind w:left="2880" w:hanging="360"/>
      </w:pPr>
    </w:lvl>
    <w:lvl w:ilvl="4" w:tplc="514658CC" w:tentative="1">
      <w:start w:val="1"/>
      <w:numFmt w:val="lowerLetter"/>
      <w:lvlText w:val="%5."/>
      <w:lvlJc w:val="left"/>
      <w:pPr>
        <w:ind w:left="3600" w:hanging="360"/>
      </w:pPr>
    </w:lvl>
    <w:lvl w:ilvl="5" w:tplc="E9342834" w:tentative="1">
      <w:start w:val="1"/>
      <w:numFmt w:val="lowerRoman"/>
      <w:lvlText w:val="%6."/>
      <w:lvlJc w:val="right"/>
      <w:pPr>
        <w:ind w:left="4320" w:hanging="180"/>
      </w:pPr>
    </w:lvl>
    <w:lvl w:ilvl="6" w:tplc="E026D6D6" w:tentative="1">
      <w:start w:val="1"/>
      <w:numFmt w:val="decimal"/>
      <w:lvlText w:val="%7."/>
      <w:lvlJc w:val="left"/>
      <w:pPr>
        <w:ind w:left="5040" w:hanging="360"/>
      </w:pPr>
    </w:lvl>
    <w:lvl w:ilvl="7" w:tplc="87C871D8" w:tentative="1">
      <w:start w:val="1"/>
      <w:numFmt w:val="lowerLetter"/>
      <w:lvlText w:val="%8."/>
      <w:lvlJc w:val="left"/>
      <w:pPr>
        <w:ind w:left="5760" w:hanging="360"/>
      </w:pPr>
    </w:lvl>
    <w:lvl w:ilvl="8" w:tplc="CF64BE8C" w:tentative="1">
      <w:start w:val="1"/>
      <w:numFmt w:val="lowerRoman"/>
      <w:lvlText w:val="%9."/>
      <w:lvlJc w:val="right"/>
      <w:pPr>
        <w:ind w:left="6480" w:hanging="180"/>
      </w:pPr>
    </w:lvl>
  </w:abstractNum>
  <w:abstractNum w:abstractNumId="6" w15:restartNumberingAfterBreak="0">
    <w:nsid w:val="1FF53006"/>
    <w:multiLevelType w:val="hybridMultilevel"/>
    <w:tmpl w:val="053AE512"/>
    <w:lvl w:ilvl="0" w:tplc="66D6A66C">
      <w:start w:val="1"/>
      <w:numFmt w:val="decimal"/>
      <w:lvlText w:val="%1."/>
      <w:lvlJc w:val="left"/>
      <w:pPr>
        <w:ind w:left="1440" w:hanging="360"/>
      </w:pPr>
      <w:rPr>
        <w:rFonts w:hint="default"/>
      </w:rPr>
    </w:lvl>
    <w:lvl w:ilvl="1" w:tplc="EE38A018" w:tentative="1">
      <w:start w:val="1"/>
      <w:numFmt w:val="lowerLetter"/>
      <w:lvlText w:val="%2."/>
      <w:lvlJc w:val="left"/>
      <w:pPr>
        <w:ind w:left="2160" w:hanging="360"/>
      </w:pPr>
    </w:lvl>
    <w:lvl w:ilvl="2" w:tplc="22F6ABEE" w:tentative="1">
      <w:start w:val="1"/>
      <w:numFmt w:val="lowerRoman"/>
      <w:lvlText w:val="%3."/>
      <w:lvlJc w:val="right"/>
      <w:pPr>
        <w:ind w:left="2880" w:hanging="180"/>
      </w:pPr>
    </w:lvl>
    <w:lvl w:ilvl="3" w:tplc="7F4AABF8" w:tentative="1">
      <w:start w:val="1"/>
      <w:numFmt w:val="decimal"/>
      <w:lvlText w:val="%4."/>
      <w:lvlJc w:val="left"/>
      <w:pPr>
        <w:ind w:left="3600" w:hanging="360"/>
      </w:pPr>
    </w:lvl>
    <w:lvl w:ilvl="4" w:tplc="EFA88410" w:tentative="1">
      <w:start w:val="1"/>
      <w:numFmt w:val="lowerLetter"/>
      <w:lvlText w:val="%5."/>
      <w:lvlJc w:val="left"/>
      <w:pPr>
        <w:ind w:left="4320" w:hanging="360"/>
      </w:pPr>
    </w:lvl>
    <w:lvl w:ilvl="5" w:tplc="FBDCBD64" w:tentative="1">
      <w:start w:val="1"/>
      <w:numFmt w:val="lowerRoman"/>
      <w:lvlText w:val="%6."/>
      <w:lvlJc w:val="right"/>
      <w:pPr>
        <w:ind w:left="5040" w:hanging="180"/>
      </w:pPr>
    </w:lvl>
    <w:lvl w:ilvl="6" w:tplc="445A9E7C" w:tentative="1">
      <w:start w:val="1"/>
      <w:numFmt w:val="decimal"/>
      <w:lvlText w:val="%7."/>
      <w:lvlJc w:val="left"/>
      <w:pPr>
        <w:ind w:left="5760" w:hanging="360"/>
      </w:pPr>
    </w:lvl>
    <w:lvl w:ilvl="7" w:tplc="6A2694F0" w:tentative="1">
      <w:start w:val="1"/>
      <w:numFmt w:val="lowerLetter"/>
      <w:lvlText w:val="%8."/>
      <w:lvlJc w:val="left"/>
      <w:pPr>
        <w:ind w:left="6480" w:hanging="360"/>
      </w:pPr>
    </w:lvl>
    <w:lvl w:ilvl="8" w:tplc="40881E52" w:tentative="1">
      <w:start w:val="1"/>
      <w:numFmt w:val="lowerRoman"/>
      <w:lvlText w:val="%9."/>
      <w:lvlJc w:val="right"/>
      <w:pPr>
        <w:ind w:left="7200" w:hanging="180"/>
      </w:pPr>
    </w:lvl>
  </w:abstractNum>
  <w:abstractNum w:abstractNumId="7" w15:restartNumberingAfterBreak="0">
    <w:nsid w:val="33FF7681"/>
    <w:multiLevelType w:val="hybridMultilevel"/>
    <w:tmpl w:val="DF24256C"/>
    <w:lvl w:ilvl="0" w:tplc="E8382D22">
      <w:start w:val="1"/>
      <w:numFmt w:val="decimal"/>
      <w:lvlText w:val="%1."/>
      <w:lvlJc w:val="left"/>
      <w:pPr>
        <w:ind w:left="720" w:hanging="360"/>
      </w:pPr>
      <w:rPr>
        <w:rFonts w:hint="default"/>
        <w:b w:val="0"/>
        <w:i w:val="0"/>
        <w:iCs/>
      </w:rPr>
    </w:lvl>
    <w:lvl w:ilvl="1" w:tplc="D7D8235C" w:tentative="1">
      <w:start w:val="1"/>
      <w:numFmt w:val="lowerLetter"/>
      <w:lvlText w:val="%2."/>
      <w:lvlJc w:val="left"/>
      <w:pPr>
        <w:ind w:left="1440" w:hanging="360"/>
      </w:pPr>
    </w:lvl>
    <w:lvl w:ilvl="2" w:tplc="C556F194" w:tentative="1">
      <w:start w:val="1"/>
      <w:numFmt w:val="lowerRoman"/>
      <w:lvlText w:val="%3."/>
      <w:lvlJc w:val="right"/>
      <w:pPr>
        <w:ind w:left="2160" w:hanging="180"/>
      </w:pPr>
    </w:lvl>
    <w:lvl w:ilvl="3" w:tplc="3F5E49D8" w:tentative="1">
      <w:start w:val="1"/>
      <w:numFmt w:val="decimal"/>
      <w:lvlText w:val="%4."/>
      <w:lvlJc w:val="left"/>
      <w:pPr>
        <w:ind w:left="2880" w:hanging="360"/>
      </w:pPr>
    </w:lvl>
    <w:lvl w:ilvl="4" w:tplc="3D2ABF62" w:tentative="1">
      <w:start w:val="1"/>
      <w:numFmt w:val="lowerLetter"/>
      <w:lvlText w:val="%5."/>
      <w:lvlJc w:val="left"/>
      <w:pPr>
        <w:ind w:left="3600" w:hanging="360"/>
      </w:pPr>
    </w:lvl>
    <w:lvl w:ilvl="5" w:tplc="8C3A0B52" w:tentative="1">
      <w:start w:val="1"/>
      <w:numFmt w:val="lowerRoman"/>
      <w:lvlText w:val="%6."/>
      <w:lvlJc w:val="right"/>
      <w:pPr>
        <w:ind w:left="4320" w:hanging="180"/>
      </w:pPr>
    </w:lvl>
    <w:lvl w:ilvl="6" w:tplc="98C40414" w:tentative="1">
      <w:start w:val="1"/>
      <w:numFmt w:val="decimal"/>
      <w:lvlText w:val="%7."/>
      <w:lvlJc w:val="left"/>
      <w:pPr>
        <w:ind w:left="5040" w:hanging="360"/>
      </w:pPr>
    </w:lvl>
    <w:lvl w:ilvl="7" w:tplc="E39A2896" w:tentative="1">
      <w:start w:val="1"/>
      <w:numFmt w:val="lowerLetter"/>
      <w:lvlText w:val="%8."/>
      <w:lvlJc w:val="left"/>
      <w:pPr>
        <w:ind w:left="5760" w:hanging="360"/>
      </w:pPr>
    </w:lvl>
    <w:lvl w:ilvl="8" w:tplc="52A4F3A2" w:tentative="1">
      <w:start w:val="1"/>
      <w:numFmt w:val="lowerRoman"/>
      <w:lvlText w:val="%9."/>
      <w:lvlJc w:val="right"/>
      <w:pPr>
        <w:ind w:left="6480" w:hanging="180"/>
      </w:pPr>
    </w:lvl>
  </w:abstractNum>
  <w:abstractNum w:abstractNumId="8" w15:restartNumberingAfterBreak="0">
    <w:nsid w:val="3B9A40FF"/>
    <w:multiLevelType w:val="hybridMultilevel"/>
    <w:tmpl w:val="1012DF8E"/>
    <w:lvl w:ilvl="0" w:tplc="F87EC15C">
      <w:start w:val="1"/>
      <w:numFmt w:val="upperRoman"/>
      <w:pStyle w:val="Heading2"/>
      <w:lvlText w:val="%1."/>
      <w:lvlJc w:val="left"/>
      <w:pPr>
        <w:ind w:left="1080" w:hanging="720"/>
      </w:pPr>
      <w:rPr>
        <w:rFonts w:hint="default"/>
      </w:rPr>
    </w:lvl>
    <w:lvl w:ilvl="1" w:tplc="91AC08F2">
      <w:start w:val="1"/>
      <w:numFmt w:val="lowerLetter"/>
      <w:lvlText w:val="%2."/>
      <w:lvlJc w:val="left"/>
      <w:pPr>
        <w:ind w:left="1440" w:hanging="360"/>
      </w:pPr>
    </w:lvl>
    <w:lvl w:ilvl="2" w:tplc="821283E8" w:tentative="1">
      <w:start w:val="1"/>
      <w:numFmt w:val="lowerRoman"/>
      <w:lvlText w:val="%3."/>
      <w:lvlJc w:val="right"/>
      <w:pPr>
        <w:ind w:left="2160" w:hanging="180"/>
      </w:pPr>
    </w:lvl>
    <w:lvl w:ilvl="3" w:tplc="C478D4B0" w:tentative="1">
      <w:start w:val="1"/>
      <w:numFmt w:val="decimal"/>
      <w:lvlText w:val="%4."/>
      <w:lvlJc w:val="left"/>
      <w:pPr>
        <w:ind w:left="2880" w:hanging="360"/>
      </w:pPr>
    </w:lvl>
    <w:lvl w:ilvl="4" w:tplc="13728264" w:tentative="1">
      <w:start w:val="1"/>
      <w:numFmt w:val="lowerLetter"/>
      <w:lvlText w:val="%5."/>
      <w:lvlJc w:val="left"/>
      <w:pPr>
        <w:ind w:left="3600" w:hanging="360"/>
      </w:pPr>
    </w:lvl>
    <w:lvl w:ilvl="5" w:tplc="D3E694A4" w:tentative="1">
      <w:start w:val="1"/>
      <w:numFmt w:val="lowerRoman"/>
      <w:lvlText w:val="%6."/>
      <w:lvlJc w:val="right"/>
      <w:pPr>
        <w:ind w:left="4320" w:hanging="180"/>
      </w:pPr>
    </w:lvl>
    <w:lvl w:ilvl="6" w:tplc="F496B61C" w:tentative="1">
      <w:start w:val="1"/>
      <w:numFmt w:val="decimal"/>
      <w:lvlText w:val="%7."/>
      <w:lvlJc w:val="left"/>
      <w:pPr>
        <w:ind w:left="5040" w:hanging="360"/>
      </w:pPr>
    </w:lvl>
    <w:lvl w:ilvl="7" w:tplc="01B26CE8" w:tentative="1">
      <w:start w:val="1"/>
      <w:numFmt w:val="lowerLetter"/>
      <w:lvlText w:val="%8."/>
      <w:lvlJc w:val="left"/>
      <w:pPr>
        <w:ind w:left="5760" w:hanging="360"/>
      </w:pPr>
    </w:lvl>
    <w:lvl w:ilvl="8" w:tplc="758CD98A" w:tentative="1">
      <w:start w:val="1"/>
      <w:numFmt w:val="lowerRoman"/>
      <w:lvlText w:val="%9."/>
      <w:lvlJc w:val="right"/>
      <w:pPr>
        <w:ind w:left="6480" w:hanging="180"/>
      </w:pPr>
    </w:lvl>
  </w:abstractNum>
  <w:abstractNum w:abstractNumId="9" w15:restartNumberingAfterBreak="0">
    <w:nsid w:val="464056A4"/>
    <w:multiLevelType w:val="hybridMultilevel"/>
    <w:tmpl w:val="9A18F208"/>
    <w:lvl w:ilvl="0" w:tplc="194CC2D4">
      <w:start w:val="1"/>
      <w:numFmt w:val="upperRoman"/>
      <w:lvlText w:val="%1."/>
      <w:lvlJc w:val="left"/>
      <w:pPr>
        <w:ind w:left="1080" w:hanging="720"/>
      </w:pPr>
      <w:rPr>
        <w:rFonts w:hint="default"/>
      </w:rPr>
    </w:lvl>
    <w:lvl w:ilvl="1" w:tplc="F172423C" w:tentative="1">
      <w:start w:val="1"/>
      <w:numFmt w:val="lowerLetter"/>
      <w:lvlText w:val="%2."/>
      <w:lvlJc w:val="left"/>
      <w:pPr>
        <w:ind w:left="1440" w:hanging="360"/>
      </w:pPr>
    </w:lvl>
    <w:lvl w:ilvl="2" w:tplc="4A4CA656" w:tentative="1">
      <w:start w:val="1"/>
      <w:numFmt w:val="lowerRoman"/>
      <w:lvlText w:val="%3."/>
      <w:lvlJc w:val="right"/>
      <w:pPr>
        <w:ind w:left="2160" w:hanging="180"/>
      </w:pPr>
    </w:lvl>
    <w:lvl w:ilvl="3" w:tplc="AD3A0418" w:tentative="1">
      <w:start w:val="1"/>
      <w:numFmt w:val="decimal"/>
      <w:lvlText w:val="%4."/>
      <w:lvlJc w:val="left"/>
      <w:pPr>
        <w:ind w:left="2880" w:hanging="360"/>
      </w:pPr>
    </w:lvl>
    <w:lvl w:ilvl="4" w:tplc="472EFF9E" w:tentative="1">
      <w:start w:val="1"/>
      <w:numFmt w:val="lowerLetter"/>
      <w:lvlText w:val="%5."/>
      <w:lvlJc w:val="left"/>
      <w:pPr>
        <w:ind w:left="3600" w:hanging="360"/>
      </w:pPr>
    </w:lvl>
    <w:lvl w:ilvl="5" w:tplc="072683DE" w:tentative="1">
      <w:start w:val="1"/>
      <w:numFmt w:val="lowerRoman"/>
      <w:lvlText w:val="%6."/>
      <w:lvlJc w:val="right"/>
      <w:pPr>
        <w:ind w:left="4320" w:hanging="180"/>
      </w:pPr>
    </w:lvl>
    <w:lvl w:ilvl="6" w:tplc="7C88F5F6" w:tentative="1">
      <w:start w:val="1"/>
      <w:numFmt w:val="decimal"/>
      <w:lvlText w:val="%7."/>
      <w:lvlJc w:val="left"/>
      <w:pPr>
        <w:ind w:left="5040" w:hanging="360"/>
      </w:pPr>
    </w:lvl>
    <w:lvl w:ilvl="7" w:tplc="85EE63E0" w:tentative="1">
      <w:start w:val="1"/>
      <w:numFmt w:val="lowerLetter"/>
      <w:lvlText w:val="%8."/>
      <w:lvlJc w:val="left"/>
      <w:pPr>
        <w:ind w:left="5760" w:hanging="360"/>
      </w:pPr>
    </w:lvl>
    <w:lvl w:ilvl="8" w:tplc="1C88F08C" w:tentative="1">
      <w:start w:val="1"/>
      <w:numFmt w:val="lowerRoman"/>
      <w:lvlText w:val="%9."/>
      <w:lvlJc w:val="right"/>
      <w:pPr>
        <w:ind w:left="6480" w:hanging="180"/>
      </w:pPr>
    </w:lvl>
  </w:abstractNum>
  <w:abstractNum w:abstractNumId="10" w15:restartNumberingAfterBreak="0">
    <w:nsid w:val="50D375C9"/>
    <w:multiLevelType w:val="hybridMultilevel"/>
    <w:tmpl w:val="B7E43992"/>
    <w:lvl w:ilvl="0" w:tplc="3C9A5E76">
      <w:start w:val="1"/>
      <w:numFmt w:val="upperLetter"/>
      <w:pStyle w:val="Heading3"/>
      <w:lvlText w:val="%1."/>
      <w:lvlJc w:val="left"/>
      <w:pPr>
        <w:ind w:left="1440" w:hanging="360"/>
      </w:pPr>
      <w:rPr>
        <w:rFonts w:hint="default"/>
        <w:b/>
        <w:bCs/>
      </w:rPr>
    </w:lvl>
    <w:lvl w:ilvl="1" w:tplc="478E6EFE" w:tentative="1">
      <w:start w:val="1"/>
      <w:numFmt w:val="lowerLetter"/>
      <w:lvlText w:val="%2."/>
      <w:lvlJc w:val="left"/>
      <w:pPr>
        <w:ind w:left="2160" w:hanging="360"/>
      </w:pPr>
    </w:lvl>
    <w:lvl w:ilvl="2" w:tplc="7866609C" w:tentative="1">
      <w:start w:val="1"/>
      <w:numFmt w:val="lowerRoman"/>
      <w:lvlText w:val="%3."/>
      <w:lvlJc w:val="right"/>
      <w:pPr>
        <w:ind w:left="2880" w:hanging="180"/>
      </w:pPr>
    </w:lvl>
    <w:lvl w:ilvl="3" w:tplc="C4848310" w:tentative="1">
      <w:start w:val="1"/>
      <w:numFmt w:val="decimal"/>
      <w:lvlText w:val="%4."/>
      <w:lvlJc w:val="left"/>
      <w:pPr>
        <w:ind w:left="3600" w:hanging="360"/>
      </w:pPr>
    </w:lvl>
    <w:lvl w:ilvl="4" w:tplc="8266F11A" w:tentative="1">
      <w:start w:val="1"/>
      <w:numFmt w:val="lowerLetter"/>
      <w:lvlText w:val="%5."/>
      <w:lvlJc w:val="left"/>
      <w:pPr>
        <w:ind w:left="4320" w:hanging="360"/>
      </w:pPr>
    </w:lvl>
    <w:lvl w:ilvl="5" w:tplc="18027498" w:tentative="1">
      <w:start w:val="1"/>
      <w:numFmt w:val="lowerRoman"/>
      <w:lvlText w:val="%6."/>
      <w:lvlJc w:val="right"/>
      <w:pPr>
        <w:ind w:left="5040" w:hanging="180"/>
      </w:pPr>
    </w:lvl>
    <w:lvl w:ilvl="6" w:tplc="543E27C2" w:tentative="1">
      <w:start w:val="1"/>
      <w:numFmt w:val="decimal"/>
      <w:lvlText w:val="%7."/>
      <w:lvlJc w:val="left"/>
      <w:pPr>
        <w:ind w:left="5760" w:hanging="360"/>
      </w:pPr>
    </w:lvl>
    <w:lvl w:ilvl="7" w:tplc="9308118C" w:tentative="1">
      <w:start w:val="1"/>
      <w:numFmt w:val="lowerLetter"/>
      <w:lvlText w:val="%8."/>
      <w:lvlJc w:val="left"/>
      <w:pPr>
        <w:ind w:left="6480" w:hanging="360"/>
      </w:pPr>
    </w:lvl>
    <w:lvl w:ilvl="8" w:tplc="9050B19A" w:tentative="1">
      <w:start w:val="1"/>
      <w:numFmt w:val="lowerRoman"/>
      <w:lvlText w:val="%9."/>
      <w:lvlJc w:val="right"/>
      <w:pPr>
        <w:ind w:left="7200" w:hanging="180"/>
      </w:pPr>
    </w:lvl>
  </w:abstractNum>
  <w:abstractNum w:abstractNumId="11" w15:restartNumberingAfterBreak="0">
    <w:nsid w:val="597A78D1"/>
    <w:multiLevelType w:val="hybridMultilevel"/>
    <w:tmpl w:val="FF9821F4"/>
    <w:lvl w:ilvl="0" w:tplc="9A729E82">
      <w:start w:val="1"/>
      <w:numFmt w:val="decimal"/>
      <w:pStyle w:val="Heading4"/>
      <w:lvlText w:val="%1."/>
      <w:lvlJc w:val="left"/>
      <w:pPr>
        <w:ind w:left="1800" w:hanging="360"/>
      </w:pPr>
      <w:rPr>
        <w:rFonts w:hint="default"/>
        <w:b/>
        <w:bCs/>
      </w:rPr>
    </w:lvl>
    <w:lvl w:ilvl="1" w:tplc="63647000" w:tentative="1">
      <w:start w:val="1"/>
      <w:numFmt w:val="lowerLetter"/>
      <w:lvlText w:val="%2."/>
      <w:lvlJc w:val="left"/>
      <w:pPr>
        <w:ind w:left="2520" w:hanging="360"/>
      </w:pPr>
    </w:lvl>
    <w:lvl w:ilvl="2" w:tplc="14E4D660" w:tentative="1">
      <w:start w:val="1"/>
      <w:numFmt w:val="lowerRoman"/>
      <w:lvlText w:val="%3."/>
      <w:lvlJc w:val="right"/>
      <w:pPr>
        <w:ind w:left="3240" w:hanging="180"/>
      </w:pPr>
    </w:lvl>
    <w:lvl w:ilvl="3" w:tplc="AE64E106" w:tentative="1">
      <w:start w:val="1"/>
      <w:numFmt w:val="decimal"/>
      <w:lvlText w:val="%4."/>
      <w:lvlJc w:val="left"/>
      <w:pPr>
        <w:ind w:left="3960" w:hanging="360"/>
      </w:pPr>
    </w:lvl>
    <w:lvl w:ilvl="4" w:tplc="2EB2D096" w:tentative="1">
      <w:start w:val="1"/>
      <w:numFmt w:val="lowerLetter"/>
      <w:lvlText w:val="%5."/>
      <w:lvlJc w:val="left"/>
      <w:pPr>
        <w:ind w:left="4680" w:hanging="360"/>
      </w:pPr>
    </w:lvl>
    <w:lvl w:ilvl="5" w:tplc="9ACC218E" w:tentative="1">
      <w:start w:val="1"/>
      <w:numFmt w:val="lowerRoman"/>
      <w:lvlText w:val="%6."/>
      <w:lvlJc w:val="right"/>
      <w:pPr>
        <w:ind w:left="5400" w:hanging="180"/>
      </w:pPr>
    </w:lvl>
    <w:lvl w:ilvl="6" w:tplc="A680F880" w:tentative="1">
      <w:start w:val="1"/>
      <w:numFmt w:val="decimal"/>
      <w:lvlText w:val="%7."/>
      <w:lvlJc w:val="left"/>
      <w:pPr>
        <w:ind w:left="6120" w:hanging="360"/>
      </w:pPr>
    </w:lvl>
    <w:lvl w:ilvl="7" w:tplc="CBE6ADC6" w:tentative="1">
      <w:start w:val="1"/>
      <w:numFmt w:val="lowerLetter"/>
      <w:lvlText w:val="%8."/>
      <w:lvlJc w:val="left"/>
      <w:pPr>
        <w:ind w:left="6840" w:hanging="360"/>
      </w:pPr>
    </w:lvl>
    <w:lvl w:ilvl="8" w:tplc="280CD65E" w:tentative="1">
      <w:start w:val="1"/>
      <w:numFmt w:val="lowerRoman"/>
      <w:lvlText w:val="%9."/>
      <w:lvlJc w:val="right"/>
      <w:pPr>
        <w:ind w:left="7560" w:hanging="180"/>
      </w:pPr>
    </w:lvl>
  </w:abstractNum>
  <w:abstractNum w:abstractNumId="12" w15:restartNumberingAfterBreak="0">
    <w:nsid w:val="5ED973D6"/>
    <w:multiLevelType w:val="hybridMultilevel"/>
    <w:tmpl w:val="6CF0A12E"/>
    <w:lvl w:ilvl="0" w:tplc="03A8989A">
      <w:start w:val="1"/>
      <w:numFmt w:val="upperLetter"/>
      <w:lvlText w:val="%1."/>
      <w:lvlJc w:val="left"/>
      <w:pPr>
        <w:ind w:left="1080" w:hanging="360"/>
      </w:pPr>
      <w:rPr>
        <w:rFonts w:hint="default"/>
      </w:rPr>
    </w:lvl>
    <w:lvl w:ilvl="1" w:tplc="B28E625E">
      <w:start w:val="1"/>
      <w:numFmt w:val="lowerLetter"/>
      <w:lvlText w:val="%2."/>
      <w:lvlJc w:val="left"/>
      <w:pPr>
        <w:ind w:left="1800" w:hanging="360"/>
      </w:pPr>
    </w:lvl>
    <w:lvl w:ilvl="2" w:tplc="07106DCA" w:tentative="1">
      <w:start w:val="1"/>
      <w:numFmt w:val="lowerRoman"/>
      <w:lvlText w:val="%3."/>
      <w:lvlJc w:val="right"/>
      <w:pPr>
        <w:ind w:left="2520" w:hanging="180"/>
      </w:pPr>
    </w:lvl>
    <w:lvl w:ilvl="3" w:tplc="3804412E" w:tentative="1">
      <w:start w:val="1"/>
      <w:numFmt w:val="decimal"/>
      <w:lvlText w:val="%4."/>
      <w:lvlJc w:val="left"/>
      <w:pPr>
        <w:ind w:left="3240" w:hanging="360"/>
      </w:pPr>
    </w:lvl>
    <w:lvl w:ilvl="4" w:tplc="E4A8C43C" w:tentative="1">
      <w:start w:val="1"/>
      <w:numFmt w:val="lowerLetter"/>
      <w:lvlText w:val="%5."/>
      <w:lvlJc w:val="left"/>
      <w:pPr>
        <w:ind w:left="3960" w:hanging="360"/>
      </w:pPr>
    </w:lvl>
    <w:lvl w:ilvl="5" w:tplc="CF80FDB6" w:tentative="1">
      <w:start w:val="1"/>
      <w:numFmt w:val="lowerRoman"/>
      <w:lvlText w:val="%6."/>
      <w:lvlJc w:val="right"/>
      <w:pPr>
        <w:ind w:left="4680" w:hanging="180"/>
      </w:pPr>
    </w:lvl>
    <w:lvl w:ilvl="6" w:tplc="E32CB026" w:tentative="1">
      <w:start w:val="1"/>
      <w:numFmt w:val="decimal"/>
      <w:lvlText w:val="%7."/>
      <w:lvlJc w:val="left"/>
      <w:pPr>
        <w:ind w:left="5400" w:hanging="360"/>
      </w:pPr>
    </w:lvl>
    <w:lvl w:ilvl="7" w:tplc="349806C8" w:tentative="1">
      <w:start w:val="1"/>
      <w:numFmt w:val="lowerLetter"/>
      <w:lvlText w:val="%8."/>
      <w:lvlJc w:val="left"/>
      <w:pPr>
        <w:ind w:left="6120" w:hanging="360"/>
      </w:pPr>
    </w:lvl>
    <w:lvl w:ilvl="8" w:tplc="617E79FC" w:tentative="1">
      <w:start w:val="1"/>
      <w:numFmt w:val="lowerRoman"/>
      <w:lvlText w:val="%9."/>
      <w:lvlJc w:val="right"/>
      <w:pPr>
        <w:ind w:left="6840" w:hanging="180"/>
      </w:pPr>
    </w:lvl>
  </w:abstractNum>
  <w:abstractNum w:abstractNumId="13" w15:restartNumberingAfterBreak="0">
    <w:nsid w:val="60BE1C48"/>
    <w:multiLevelType w:val="hybridMultilevel"/>
    <w:tmpl w:val="B040F410"/>
    <w:lvl w:ilvl="0" w:tplc="7F2C3E3A">
      <w:start w:val="2"/>
      <w:numFmt w:val="decimal"/>
      <w:lvlText w:val="%1."/>
      <w:lvlJc w:val="left"/>
      <w:pPr>
        <w:ind w:left="720" w:hanging="360"/>
      </w:pPr>
      <w:rPr>
        <w:rFonts w:hint="default"/>
      </w:rPr>
    </w:lvl>
    <w:lvl w:ilvl="1" w:tplc="B3160A88" w:tentative="1">
      <w:start w:val="1"/>
      <w:numFmt w:val="lowerLetter"/>
      <w:lvlText w:val="%2."/>
      <w:lvlJc w:val="left"/>
      <w:pPr>
        <w:ind w:left="1440" w:hanging="360"/>
      </w:pPr>
    </w:lvl>
    <w:lvl w:ilvl="2" w:tplc="87AC75FC" w:tentative="1">
      <w:start w:val="1"/>
      <w:numFmt w:val="lowerRoman"/>
      <w:lvlText w:val="%3."/>
      <w:lvlJc w:val="right"/>
      <w:pPr>
        <w:ind w:left="2160" w:hanging="180"/>
      </w:pPr>
    </w:lvl>
    <w:lvl w:ilvl="3" w:tplc="A48C2546" w:tentative="1">
      <w:start w:val="1"/>
      <w:numFmt w:val="decimal"/>
      <w:lvlText w:val="%4."/>
      <w:lvlJc w:val="left"/>
      <w:pPr>
        <w:ind w:left="2880" w:hanging="360"/>
      </w:pPr>
    </w:lvl>
    <w:lvl w:ilvl="4" w:tplc="58F4F760" w:tentative="1">
      <w:start w:val="1"/>
      <w:numFmt w:val="lowerLetter"/>
      <w:lvlText w:val="%5."/>
      <w:lvlJc w:val="left"/>
      <w:pPr>
        <w:ind w:left="3600" w:hanging="360"/>
      </w:pPr>
    </w:lvl>
    <w:lvl w:ilvl="5" w:tplc="C0286CA0" w:tentative="1">
      <w:start w:val="1"/>
      <w:numFmt w:val="lowerRoman"/>
      <w:lvlText w:val="%6."/>
      <w:lvlJc w:val="right"/>
      <w:pPr>
        <w:ind w:left="4320" w:hanging="180"/>
      </w:pPr>
    </w:lvl>
    <w:lvl w:ilvl="6" w:tplc="D076EB8E" w:tentative="1">
      <w:start w:val="1"/>
      <w:numFmt w:val="decimal"/>
      <w:lvlText w:val="%7."/>
      <w:lvlJc w:val="left"/>
      <w:pPr>
        <w:ind w:left="5040" w:hanging="360"/>
      </w:pPr>
    </w:lvl>
    <w:lvl w:ilvl="7" w:tplc="66CADFA6" w:tentative="1">
      <w:start w:val="1"/>
      <w:numFmt w:val="lowerLetter"/>
      <w:lvlText w:val="%8."/>
      <w:lvlJc w:val="left"/>
      <w:pPr>
        <w:ind w:left="5760" w:hanging="360"/>
      </w:pPr>
    </w:lvl>
    <w:lvl w:ilvl="8" w:tplc="83560E84" w:tentative="1">
      <w:start w:val="1"/>
      <w:numFmt w:val="lowerRoman"/>
      <w:lvlText w:val="%9."/>
      <w:lvlJc w:val="right"/>
      <w:pPr>
        <w:ind w:left="6480" w:hanging="180"/>
      </w:pPr>
    </w:lvl>
  </w:abstractNum>
  <w:abstractNum w:abstractNumId="14" w15:restartNumberingAfterBreak="0">
    <w:nsid w:val="630450E4"/>
    <w:multiLevelType w:val="hybridMultilevel"/>
    <w:tmpl w:val="1D9A1ED4"/>
    <w:lvl w:ilvl="0" w:tplc="9238F9D4">
      <w:start w:val="1"/>
      <w:numFmt w:val="decimal"/>
      <w:lvlText w:val="(%1)"/>
      <w:lvlJc w:val="left"/>
      <w:pPr>
        <w:ind w:left="720" w:hanging="360"/>
      </w:pPr>
      <w:rPr>
        <w:rFonts w:hint="default"/>
      </w:rPr>
    </w:lvl>
    <w:lvl w:ilvl="1" w:tplc="C6765A92" w:tentative="1">
      <w:start w:val="1"/>
      <w:numFmt w:val="lowerLetter"/>
      <w:lvlText w:val="%2."/>
      <w:lvlJc w:val="left"/>
      <w:pPr>
        <w:ind w:left="1440" w:hanging="360"/>
      </w:pPr>
    </w:lvl>
    <w:lvl w:ilvl="2" w:tplc="14EAC90E" w:tentative="1">
      <w:start w:val="1"/>
      <w:numFmt w:val="lowerRoman"/>
      <w:lvlText w:val="%3."/>
      <w:lvlJc w:val="right"/>
      <w:pPr>
        <w:ind w:left="2160" w:hanging="180"/>
      </w:pPr>
    </w:lvl>
    <w:lvl w:ilvl="3" w:tplc="C0CAAEC6" w:tentative="1">
      <w:start w:val="1"/>
      <w:numFmt w:val="decimal"/>
      <w:lvlText w:val="%4."/>
      <w:lvlJc w:val="left"/>
      <w:pPr>
        <w:ind w:left="2880" w:hanging="360"/>
      </w:pPr>
    </w:lvl>
    <w:lvl w:ilvl="4" w:tplc="7E52A988" w:tentative="1">
      <w:start w:val="1"/>
      <w:numFmt w:val="lowerLetter"/>
      <w:lvlText w:val="%5."/>
      <w:lvlJc w:val="left"/>
      <w:pPr>
        <w:ind w:left="3600" w:hanging="360"/>
      </w:pPr>
    </w:lvl>
    <w:lvl w:ilvl="5" w:tplc="4C443A60" w:tentative="1">
      <w:start w:val="1"/>
      <w:numFmt w:val="lowerRoman"/>
      <w:lvlText w:val="%6."/>
      <w:lvlJc w:val="right"/>
      <w:pPr>
        <w:ind w:left="4320" w:hanging="180"/>
      </w:pPr>
    </w:lvl>
    <w:lvl w:ilvl="6" w:tplc="D548E054" w:tentative="1">
      <w:start w:val="1"/>
      <w:numFmt w:val="decimal"/>
      <w:lvlText w:val="%7."/>
      <w:lvlJc w:val="left"/>
      <w:pPr>
        <w:ind w:left="5040" w:hanging="360"/>
      </w:pPr>
    </w:lvl>
    <w:lvl w:ilvl="7" w:tplc="82209210" w:tentative="1">
      <w:start w:val="1"/>
      <w:numFmt w:val="lowerLetter"/>
      <w:lvlText w:val="%8."/>
      <w:lvlJc w:val="left"/>
      <w:pPr>
        <w:ind w:left="5760" w:hanging="360"/>
      </w:pPr>
    </w:lvl>
    <w:lvl w:ilvl="8" w:tplc="F4B0A2DE" w:tentative="1">
      <w:start w:val="1"/>
      <w:numFmt w:val="lowerRoman"/>
      <w:lvlText w:val="%9."/>
      <w:lvlJc w:val="right"/>
      <w:pPr>
        <w:ind w:left="6480" w:hanging="180"/>
      </w:pPr>
    </w:lvl>
  </w:abstractNum>
  <w:abstractNum w:abstractNumId="15" w15:restartNumberingAfterBreak="0">
    <w:nsid w:val="63B31AB5"/>
    <w:multiLevelType w:val="hybridMultilevel"/>
    <w:tmpl w:val="A3D0F2C4"/>
    <w:lvl w:ilvl="0" w:tplc="37F871D0">
      <w:start w:val="1"/>
      <w:numFmt w:val="upperLetter"/>
      <w:lvlText w:val="%1."/>
      <w:lvlJc w:val="left"/>
      <w:pPr>
        <w:ind w:left="720" w:hanging="360"/>
      </w:pPr>
      <w:rPr>
        <w:rFonts w:hint="default"/>
        <w:i w:val="0"/>
      </w:rPr>
    </w:lvl>
    <w:lvl w:ilvl="1" w:tplc="D432274C" w:tentative="1">
      <w:start w:val="1"/>
      <w:numFmt w:val="lowerLetter"/>
      <w:lvlText w:val="%2."/>
      <w:lvlJc w:val="left"/>
      <w:pPr>
        <w:ind w:left="1440" w:hanging="360"/>
      </w:pPr>
    </w:lvl>
    <w:lvl w:ilvl="2" w:tplc="17904DF6" w:tentative="1">
      <w:start w:val="1"/>
      <w:numFmt w:val="lowerRoman"/>
      <w:lvlText w:val="%3."/>
      <w:lvlJc w:val="right"/>
      <w:pPr>
        <w:ind w:left="2160" w:hanging="180"/>
      </w:pPr>
    </w:lvl>
    <w:lvl w:ilvl="3" w:tplc="6DEC7056" w:tentative="1">
      <w:start w:val="1"/>
      <w:numFmt w:val="decimal"/>
      <w:lvlText w:val="%4."/>
      <w:lvlJc w:val="left"/>
      <w:pPr>
        <w:ind w:left="2880" w:hanging="360"/>
      </w:pPr>
    </w:lvl>
    <w:lvl w:ilvl="4" w:tplc="F1E8E56A" w:tentative="1">
      <w:start w:val="1"/>
      <w:numFmt w:val="lowerLetter"/>
      <w:lvlText w:val="%5."/>
      <w:lvlJc w:val="left"/>
      <w:pPr>
        <w:ind w:left="3600" w:hanging="360"/>
      </w:pPr>
    </w:lvl>
    <w:lvl w:ilvl="5" w:tplc="B3763AC2" w:tentative="1">
      <w:start w:val="1"/>
      <w:numFmt w:val="lowerRoman"/>
      <w:lvlText w:val="%6."/>
      <w:lvlJc w:val="right"/>
      <w:pPr>
        <w:ind w:left="4320" w:hanging="180"/>
      </w:pPr>
    </w:lvl>
    <w:lvl w:ilvl="6" w:tplc="73E804EA" w:tentative="1">
      <w:start w:val="1"/>
      <w:numFmt w:val="decimal"/>
      <w:lvlText w:val="%7."/>
      <w:lvlJc w:val="left"/>
      <w:pPr>
        <w:ind w:left="5040" w:hanging="360"/>
      </w:pPr>
    </w:lvl>
    <w:lvl w:ilvl="7" w:tplc="E4AC3DDA" w:tentative="1">
      <w:start w:val="1"/>
      <w:numFmt w:val="lowerLetter"/>
      <w:lvlText w:val="%8."/>
      <w:lvlJc w:val="left"/>
      <w:pPr>
        <w:ind w:left="5760" w:hanging="360"/>
      </w:pPr>
    </w:lvl>
    <w:lvl w:ilvl="8" w:tplc="42AADCCE" w:tentative="1">
      <w:start w:val="1"/>
      <w:numFmt w:val="lowerRoman"/>
      <w:lvlText w:val="%9."/>
      <w:lvlJc w:val="right"/>
      <w:pPr>
        <w:ind w:left="6480" w:hanging="180"/>
      </w:pPr>
    </w:lvl>
  </w:abstractNum>
  <w:abstractNum w:abstractNumId="16" w15:restartNumberingAfterBreak="0">
    <w:nsid w:val="63F15791"/>
    <w:multiLevelType w:val="hybridMultilevel"/>
    <w:tmpl w:val="5D6C616E"/>
    <w:lvl w:ilvl="0" w:tplc="A6CED43E">
      <w:start w:val="1"/>
      <w:numFmt w:val="lowerLetter"/>
      <w:lvlText w:val="%1."/>
      <w:lvlJc w:val="left"/>
      <w:pPr>
        <w:ind w:left="1800" w:hanging="360"/>
      </w:pPr>
    </w:lvl>
    <w:lvl w:ilvl="1" w:tplc="06DED4B2" w:tentative="1">
      <w:start w:val="1"/>
      <w:numFmt w:val="lowerLetter"/>
      <w:lvlText w:val="%2."/>
      <w:lvlJc w:val="left"/>
      <w:pPr>
        <w:ind w:left="2520" w:hanging="360"/>
      </w:pPr>
    </w:lvl>
    <w:lvl w:ilvl="2" w:tplc="4164FD7E" w:tentative="1">
      <w:start w:val="1"/>
      <w:numFmt w:val="lowerRoman"/>
      <w:lvlText w:val="%3."/>
      <w:lvlJc w:val="right"/>
      <w:pPr>
        <w:ind w:left="3240" w:hanging="180"/>
      </w:pPr>
    </w:lvl>
    <w:lvl w:ilvl="3" w:tplc="6CBAAF20" w:tentative="1">
      <w:start w:val="1"/>
      <w:numFmt w:val="decimal"/>
      <w:lvlText w:val="%4."/>
      <w:lvlJc w:val="left"/>
      <w:pPr>
        <w:ind w:left="3960" w:hanging="360"/>
      </w:pPr>
    </w:lvl>
    <w:lvl w:ilvl="4" w:tplc="F636FD54" w:tentative="1">
      <w:start w:val="1"/>
      <w:numFmt w:val="lowerLetter"/>
      <w:lvlText w:val="%5."/>
      <w:lvlJc w:val="left"/>
      <w:pPr>
        <w:ind w:left="4680" w:hanging="360"/>
      </w:pPr>
    </w:lvl>
    <w:lvl w:ilvl="5" w:tplc="23827360" w:tentative="1">
      <w:start w:val="1"/>
      <w:numFmt w:val="lowerRoman"/>
      <w:lvlText w:val="%6."/>
      <w:lvlJc w:val="right"/>
      <w:pPr>
        <w:ind w:left="5400" w:hanging="180"/>
      </w:pPr>
    </w:lvl>
    <w:lvl w:ilvl="6" w:tplc="9A9E4784" w:tentative="1">
      <w:start w:val="1"/>
      <w:numFmt w:val="decimal"/>
      <w:lvlText w:val="%7."/>
      <w:lvlJc w:val="left"/>
      <w:pPr>
        <w:ind w:left="6120" w:hanging="360"/>
      </w:pPr>
    </w:lvl>
    <w:lvl w:ilvl="7" w:tplc="1D9A2278" w:tentative="1">
      <w:start w:val="1"/>
      <w:numFmt w:val="lowerLetter"/>
      <w:lvlText w:val="%8."/>
      <w:lvlJc w:val="left"/>
      <w:pPr>
        <w:ind w:left="6840" w:hanging="360"/>
      </w:pPr>
    </w:lvl>
    <w:lvl w:ilvl="8" w:tplc="9D54222A" w:tentative="1">
      <w:start w:val="1"/>
      <w:numFmt w:val="lowerRoman"/>
      <w:lvlText w:val="%9."/>
      <w:lvlJc w:val="right"/>
      <w:pPr>
        <w:ind w:left="7560" w:hanging="180"/>
      </w:pPr>
    </w:lvl>
  </w:abstractNum>
  <w:abstractNum w:abstractNumId="17" w15:restartNumberingAfterBreak="0">
    <w:nsid w:val="6F526B2F"/>
    <w:multiLevelType w:val="hybridMultilevel"/>
    <w:tmpl w:val="6CF0A12E"/>
    <w:lvl w:ilvl="0" w:tplc="861EBB92">
      <w:start w:val="1"/>
      <w:numFmt w:val="upperLetter"/>
      <w:lvlText w:val="%1."/>
      <w:lvlJc w:val="left"/>
      <w:pPr>
        <w:ind w:left="1080" w:hanging="360"/>
      </w:pPr>
      <w:rPr>
        <w:rFonts w:hint="default"/>
      </w:rPr>
    </w:lvl>
    <w:lvl w:ilvl="1" w:tplc="79A40DC0">
      <w:start w:val="1"/>
      <w:numFmt w:val="lowerLetter"/>
      <w:lvlText w:val="%2."/>
      <w:lvlJc w:val="left"/>
      <w:pPr>
        <w:ind w:left="1800" w:hanging="360"/>
      </w:pPr>
    </w:lvl>
    <w:lvl w:ilvl="2" w:tplc="D8DAC31C" w:tentative="1">
      <w:start w:val="1"/>
      <w:numFmt w:val="lowerRoman"/>
      <w:lvlText w:val="%3."/>
      <w:lvlJc w:val="right"/>
      <w:pPr>
        <w:ind w:left="2520" w:hanging="180"/>
      </w:pPr>
    </w:lvl>
    <w:lvl w:ilvl="3" w:tplc="A6885B44" w:tentative="1">
      <w:start w:val="1"/>
      <w:numFmt w:val="decimal"/>
      <w:lvlText w:val="%4."/>
      <w:lvlJc w:val="left"/>
      <w:pPr>
        <w:ind w:left="3240" w:hanging="360"/>
      </w:pPr>
    </w:lvl>
    <w:lvl w:ilvl="4" w:tplc="9AE85D98" w:tentative="1">
      <w:start w:val="1"/>
      <w:numFmt w:val="lowerLetter"/>
      <w:lvlText w:val="%5."/>
      <w:lvlJc w:val="left"/>
      <w:pPr>
        <w:ind w:left="3960" w:hanging="360"/>
      </w:pPr>
    </w:lvl>
    <w:lvl w:ilvl="5" w:tplc="17F8F4F4" w:tentative="1">
      <w:start w:val="1"/>
      <w:numFmt w:val="lowerRoman"/>
      <w:lvlText w:val="%6."/>
      <w:lvlJc w:val="right"/>
      <w:pPr>
        <w:ind w:left="4680" w:hanging="180"/>
      </w:pPr>
    </w:lvl>
    <w:lvl w:ilvl="6" w:tplc="D8F0F020" w:tentative="1">
      <w:start w:val="1"/>
      <w:numFmt w:val="decimal"/>
      <w:lvlText w:val="%7."/>
      <w:lvlJc w:val="left"/>
      <w:pPr>
        <w:ind w:left="5400" w:hanging="360"/>
      </w:pPr>
    </w:lvl>
    <w:lvl w:ilvl="7" w:tplc="7FA45080" w:tentative="1">
      <w:start w:val="1"/>
      <w:numFmt w:val="lowerLetter"/>
      <w:lvlText w:val="%8."/>
      <w:lvlJc w:val="left"/>
      <w:pPr>
        <w:ind w:left="6120" w:hanging="360"/>
      </w:pPr>
    </w:lvl>
    <w:lvl w:ilvl="8" w:tplc="D5BE673A" w:tentative="1">
      <w:start w:val="1"/>
      <w:numFmt w:val="lowerRoman"/>
      <w:lvlText w:val="%9."/>
      <w:lvlJc w:val="right"/>
      <w:pPr>
        <w:ind w:left="6840" w:hanging="180"/>
      </w:pPr>
    </w:lvl>
  </w:abstractNum>
  <w:abstractNum w:abstractNumId="18" w15:restartNumberingAfterBreak="0">
    <w:nsid w:val="720D2BA6"/>
    <w:multiLevelType w:val="hybridMultilevel"/>
    <w:tmpl w:val="CE5E9038"/>
    <w:lvl w:ilvl="0" w:tplc="A4D4C258">
      <w:start w:val="1"/>
      <w:numFmt w:val="upperLetter"/>
      <w:lvlText w:val="%1."/>
      <w:lvlJc w:val="left"/>
      <w:pPr>
        <w:ind w:left="1440" w:hanging="360"/>
      </w:pPr>
      <w:rPr>
        <w:rFonts w:hint="default"/>
      </w:rPr>
    </w:lvl>
    <w:lvl w:ilvl="1" w:tplc="39909C0E" w:tentative="1">
      <w:start w:val="1"/>
      <w:numFmt w:val="lowerLetter"/>
      <w:lvlText w:val="%2."/>
      <w:lvlJc w:val="left"/>
      <w:pPr>
        <w:ind w:left="2160" w:hanging="360"/>
      </w:pPr>
    </w:lvl>
    <w:lvl w:ilvl="2" w:tplc="4378A48A" w:tentative="1">
      <w:start w:val="1"/>
      <w:numFmt w:val="lowerRoman"/>
      <w:lvlText w:val="%3."/>
      <w:lvlJc w:val="right"/>
      <w:pPr>
        <w:ind w:left="2880" w:hanging="180"/>
      </w:pPr>
    </w:lvl>
    <w:lvl w:ilvl="3" w:tplc="CAEAF07E" w:tentative="1">
      <w:start w:val="1"/>
      <w:numFmt w:val="decimal"/>
      <w:lvlText w:val="%4."/>
      <w:lvlJc w:val="left"/>
      <w:pPr>
        <w:ind w:left="3600" w:hanging="360"/>
      </w:pPr>
    </w:lvl>
    <w:lvl w:ilvl="4" w:tplc="BEAC4756" w:tentative="1">
      <w:start w:val="1"/>
      <w:numFmt w:val="lowerLetter"/>
      <w:lvlText w:val="%5."/>
      <w:lvlJc w:val="left"/>
      <w:pPr>
        <w:ind w:left="4320" w:hanging="360"/>
      </w:pPr>
    </w:lvl>
    <w:lvl w:ilvl="5" w:tplc="3754135A" w:tentative="1">
      <w:start w:val="1"/>
      <w:numFmt w:val="lowerRoman"/>
      <w:lvlText w:val="%6."/>
      <w:lvlJc w:val="right"/>
      <w:pPr>
        <w:ind w:left="5040" w:hanging="180"/>
      </w:pPr>
    </w:lvl>
    <w:lvl w:ilvl="6" w:tplc="E76A8F16" w:tentative="1">
      <w:start w:val="1"/>
      <w:numFmt w:val="decimal"/>
      <w:lvlText w:val="%7."/>
      <w:lvlJc w:val="left"/>
      <w:pPr>
        <w:ind w:left="5760" w:hanging="360"/>
      </w:pPr>
    </w:lvl>
    <w:lvl w:ilvl="7" w:tplc="C876DD00" w:tentative="1">
      <w:start w:val="1"/>
      <w:numFmt w:val="lowerLetter"/>
      <w:lvlText w:val="%8."/>
      <w:lvlJc w:val="left"/>
      <w:pPr>
        <w:ind w:left="6480" w:hanging="360"/>
      </w:pPr>
    </w:lvl>
    <w:lvl w:ilvl="8" w:tplc="02C8F688" w:tentative="1">
      <w:start w:val="1"/>
      <w:numFmt w:val="lowerRoman"/>
      <w:lvlText w:val="%9."/>
      <w:lvlJc w:val="right"/>
      <w:pPr>
        <w:ind w:left="7200" w:hanging="180"/>
      </w:pPr>
    </w:lvl>
  </w:abstractNum>
  <w:abstractNum w:abstractNumId="19" w15:restartNumberingAfterBreak="0">
    <w:nsid w:val="776000DE"/>
    <w:multiLevelType w:val="hybridMultilevel"/>
    <w:tmpl w:val="FF1C7BDA"/>
    <w:lvl w:ilvl="0" w:tplc="FEA4875C">
      <w:start w:val="1"/>
      <w:numFmt w:val="upperRoman"/>
      <w:lvlText w:val="%1."/>
      <w:lvlJc w:val="left"/>
      <w:pPr>
        <w:ind w:left="1080" w:hanging="720"/>
      </w:pPr>
      <w:rPr>
        <w:rFonts w:hint="default"/>
      </w:rPr>
    </w:lvl>
    <w:lvl w:ilvl="1" w:tplc="7D3A9164">
      <w:start w:val="1"/>
      <w:numFmt w:val="lowerLetter"/>
      <w:lvlText w:val="%2."/>
      <w:lvlJc w:val="left"/>
      <w:pPr>
        <w:ind w:left="1440" w:hanging="360"/>
      </w:pPr>
    </w:lvl>
    <w:lvl w:ilvl="2" w:tplc="0C1E1A7C" w:tentative="1">
      <w:start w:val="1"/>
      <w:numFmt w:val="lowerRoman"/>
      <w:lvlText w:val="%3."/>
      <w:lvlJc w:val="right"/>
      <w:pPr>
        <w:ind w:left="2160" w:hanging="180"/>
      </w:pPr>
    </w:lvl>
    <w:lvl w:ilvl="3" w:tplc="86808418" w:tentative="1">
      <w:start w:val="1"/>
      <w:numFmt w:val="decimal"/>
      <w:lvlText w:val="%4."/>
      <w:lvlJc w:val="left"/>
      <w:pPr>
        <w:ind w:left="2880" w:hanging="360"/>
      </w:pPr>
    </w:lvl>
    <w:lvl w:ilvl="4" w:tplc="F7BA44CC" w:tentative="1">
      <w:start w:val="1"/>
      <w:numFmt w:val="lowerLetter"/>
      <w:lvlText w:val="%5."/>
      <w:lvlJc w:val="left"/>
      <w:pPr>
        <w:ind w:left="3600" w:hanging="360"/>
      </w:pPr>
    </w:lvl>
    <w:lvl w:ilvl="5" w:tplc="9402A756" w:tentative="1">
      <w:start w:val="1"/>
      <w:numFmt w:val="lowerRoman"/>
      <w:lvlText w:val="%6."/>
      <w:lvlJc w:val="right"/>
      <w:pPr>
        <w:ind w:left="4320" w:hanging="180"/>
      </w:pPr>
    </w:lvl>
    <w:lvl w:ilvl="6" w:tplc="3C06279A" w:tentative="1">
      <w:start w:val="1"/>
      <w:numFmt w:val="decimal"/>
      <w:lvlText w:val="%7."/>
      <w:lvlJc w:val="left"/>
      <w:pPr>
        <w:ind w:left="5040" w:hanging="360"/>
      </w:pPr>
    </w:lvl>
    <w:lvl w:ilvl="7" w:tplc="BB52F272" w:tentative="1">
      <w:start w:val="1"/>
      <w:numFmt w:val="lowerLetter"/>
      <w:lvlText w:val="%8."/>
      <w:lvlJc w:val="left"/>
      <w:pPr>
        <w:ind w:left="5760" w:hanging="360"/>
      </w:pPr>
    </w:lvl>
    <w:lvl w:ilvl="8" w:tplc="9B349632" w:tentative="1">
      <w:start w:val="1"/>
      <w:numFmt w:val="lowerRoman"/>
      <w:lvlText w:val="%9."/>
      <w:lvlJc w:val="right"/>
      <w:pPr>
        <w:ind w:left="6480" w:hanging="180"/>
      </w:pPr>
    </w:lvl>
  </w:abstractNum>
  <w:abstractNum w:abstractNumId="20" w15:restartNumberingAfterBreak="0">
    <w:nsid w:val="795C08EF"/>
    <w:multiLevelType w:val="hybridMultilevel"/>
    <w:tmpl w:val="F0EE986C"/>
    <w:lvl w:ilvl="0" w:tplc="F8DA4F1A">
      <w:start w:val="1"/>
      <w:numFmt w:val="upperLetter"/>
      <w:lvlText w:val="%1."/>
      <w:lvlJc w:val="left"/>
      <w:pPr>
        <w:ind w:left="720" w:hanging="360"/>
      </w:pPr>
      <w:rPr>
        <w:rFonts w:hint="default"/>
      </w:rPr>
    </w:lvl>
    <w:lvl w:ilvl="1" w:tplc="16A28EDE" w:tentative="1">
      <w:start w:val="1"/>
      <w:numFmt w:val="lowerLetter"/>
      <w:lvlText w:val="%2."/>
      <w:lvlJc w:val="left"/>
      <w:pPr>
        <w:ind w:left="1440" w:hanging="360"/>
      </w:pPr>
    </w:lvl>
    <w:lvl w:ilvl="2" w:tplc="7C9C02A0" w:tentative="1">
      <w:start w:val="1"/>
      <w:numFmt w:val="lowerRoman"/>
      <w:lvlText w:val="%3."/>
      <w:lvlJc w:val="right"/>
      <w:pPr>
        <w:ind w:left="2160" w:hanging="180"/>
      </w:pPr>
    </w:lvl>
    <w:lvl w:ilvl="3" w:tplc="F3105A02" w:tentative="1">
      <w:start w:val="1"/>
      <w:numFmt w:val="decimal"/>
      <w:lvlText w:val="%4."/>
      <w:lvlJc w:val="left"/>
      <w:pPr>
        <w:ind w:left="2880" w:hanging="360"/>
      </w:pPr>
    </w:lvl>
    <w:lvl w:ilvl="4" w:tplc="9B163D42" w:tentative="1">
      <w:start w:val="1"/>
      <w:numFmt w:val="lowerLetter"/>
      <w:lvlText w:val="%5."/>
      <w:lvlJc w:val="left"/>
      <w:pPr>
        <w:ind w:left="3600" w:hanging="360"/>
      </w:pPr>
    </w:lvl>
    <w:lvl w:ilvl="5" w:tplc="732CCEAE" w:tentative="1">
      <w:start w:val="1"/>
      <w:numFmt w:val="lowerRoman"/>
      <w:lvlText w:val="%6."/>
      <w:lvlJc w:val="right"/>
      <w:pPr>
        <w:ind w:left="4320" w:hanging="180"/>
      </w:pPr>
    </w:lvl>
    <w:lvl w:ilvl="6" w:tplc="5FC2F1FA" w:tentative="1">
      <w:start w:val="1"/>
      <w:numFmt w:val="decimal"/>
      <w:lvlText w:val="%7."/>
      <w:lvlJc w:val="left"/>
      <w:pPr>
        <w:ind w:left="5040" w:hanging="360"/>
      </w:pPr>
    </w:lvl>
    <w:lvl w:ilvl="7" w:tplc="AE0A2D9C" w:tentative="1">
      <w:start w:val="1"/>
      <w:numFmt w:val="lowerLetter"/>
      <w:lvlText w:val="%8."/>
      <w:lvlJc w:val="left"/>
      <w:pPr>
        <w:ind w:left="5760" w:hanging="360"/>
      </w:pPr>
    </w:lvl>
    <w:lvl w:ilvl="8" w:tplc="35CC64E4" w:tentative="1">
      <w:start w:val="1"/>
      <w:numFmt w:val="lowerRoman"/>
      <w:lvlText w:val="%9."/>
      <w:lvlJc w:val="right"/>
      <w:pPr>
        <w:ind w:left="6480" w:hanging="180"/>
      </w:pPr>
    </w:lvl>
  </w:abstractNum>
  <w:abstractNum w:abstractNumId="21" w15:restartNumberingAfterBreak="0">
    <w:nsid w:val="7B57053A"/>
    <w:multiLevelType w:val="hybridMultilevel"/>
    <w:tmpl w:val="E3CEE666"/>
    <w:lvl w:ilvl="0" w:tplc="8A44E878">
      <w:start w:val="1"/>
      <w:numFmt w:val="decimal"/>
      <w:lvlText w:val="%1."/>
      <w:lvlJc w:val="left"/>
      <w:pPr>
        <w:ind w:left="720" w:hanging="360"/>
      </w:pPr>
      <w:rPr>
        <w:rFonts w:hint="default"/>
      </w:rPr>
    </w:lvl>
    <w:lvl w:ilvl="1" w:tplc="06F42E16" w:tentative="1">
      <w:start w:val="1"/>
      <w:numFmt w:val="lowerLetter"/>
      <w:lvlText w:val="%2."/>
      <w:lvlJc w:val="left"/>
      <w:pPr>
        <w:ind w:left="1440" w:hanging="360"/>
      </w:pPr>
    </w:lvl>
    <w:lvl w:ilvl="2" w:tplc="79704732" w:tentative="1">
      <w:start w:val="1"/>
      <w:numFmt w:val="lowerRoman"/>
      <w:lvlText w:val="%3."/>
      <w:lvlJc w:val="right"/>
      <w:pPr>
        <w:ind w:left="2160" w:hanging="180"/>
      </w:pPr>
    </w:lvl>
    <w:lvl w:ilvl="3" w:tplc="C34A65B2" w:tentative="1">
      <w:start w:val="1"/>
      <w:numFmt w:val="decimal"/>
      <w:lvlText w:val="%4."/>
      <w:lvlJc w:val="left"/>
      <w:pPr>
        <w:ind w:left="2880" w:hanging="360"/>
      </w:pPr>
    </w:lvl>
    <w:lvl w:ilvl="4" w:tplc="E1E25822" w:tentative="1">
      <w:start w:val="1"/>
      <w:numFmt w:val="lowerLetter"/>
      <w:lvlText w:val="%5."/>
      <w:lvlJc w:val="left"/>
      <w:pPr>
        <w:ind w:left="3600" w:hanging="360"/>
      </w:pPr>
    </w:lvl>
    <w:lvl w:ilvl="5" w:tplc="A4746C2E" w:tentative="1">
      <w:start w:val="1"/>
      <w:numFmt w:val="lowerRoman"/>
      <w:lvlText w:val="%6."/>
      <w:lvlJc w:val="right"/>
      <w:pPr>
        <w:ind w:left="4320" w:hanging="180"/>
      </w:pPr>
    </w:lvl>
    <w:lvl w:ilvl="6" w:tplc="7D140480" w:tentative="1">
      <w:start w:val="1"/>
      <w:numFmt w:val="decimal"/>
      <w:lvlText w:val="%7."/>
      <w:lvlJc w:val="left"/>
      <w:pPr>
        <w:ind w:left="5040" w:hanging="360"/>
      </w:pPr>
    </w:lvl>
    <w:lvl w:ilvl="7" w:tplc="09B8302C" w:tentative="1">
      <w:start w:val="1"/>
      <w:numFmt w:val="lowerLetter"/>
      <w:lvlText w:val="%8."/>
      <w:lvlJc w:val="left"/>
      <w:pPr>
        <w:ind w:left="5760" w:hanging="360"/>
      </w:pPr>
    </w:lvl>
    <w:lvl w:ilvl="8" w:tplc="653C26FE" w:tentative="1">
      <w:start w:val="1"/>
      <w:numFmt w:val="lowerRoman"/>
      <w:lvlText w:val="%9."/>
      <w:lvlJc w:val="right"/>
      <w:pPr>
        <w:ind w:left="6480" w:hanging="180"/>
      </w:pPr>
    </w:lvl>
  </w:abstractNum>
  <w:abstractNum w:abstractNumId="22" w15:restartNumberingAfterBreak="0">
    <w:nsid w:val="7E5432D7"/>
    <w:multiLevelType w:val="hybridMultilevel"/>
    <w:tmpl w:val="6BF031D2"/>
    <w:lvl w:ilvl="0" w:tplc="FC200F0C">
      <w:start w:val="1"/>
      <w:numFmt w:val="upperRoman"/>
      <w:lvlText w:val="%1."/>
      <w:lvlJc w:val="left"/>
      <w:pPr>
        <w:ind w:left="1080" w:hanging="720"/>
      </w:pPr>
      <w:rPr>
        <w:rFonts w:hint="default"/>
      </w:rPr>
    </w:lvl>
    <w:lvl w:ilvl="1" w:tplc="C584D4FE" w:tentative="1">
      <w:start w:val="1"/>
      <w:numFmt w:val="lowerLetter"/>
      <w:lvlText w:val="%2."/>
      <w:lvlJc w:val="left"/>
      <w:pPr>
        <w:ind w:left="1440" w:hanging="360"/>
      </w:pPr>
    </w:lvl>
    <w:lvl w:ilvl="2" w:tplc="D1D0A198" w:tentative="1">
      <w:start w:val="1"/>
      <w:numFmt w:val="lowerRoman"/>
      <w:lvlText w:val="%3."/>
      <w:lvlJc w:val="right"/>
      <w:pPr>
        <w:ind w:left="2160" w:hanging="180"/>
      </w:pPr>
    </w:lvl>
    <w:lvl w:ilvl="3" w:tplc="AB9AD76E" w:tentative="1">
      <w:start w:val="1"/>
      <w:numFmt w:val="decimal"/>
      <w:lvlText w:val="%4."/>
      <w:lvlJc w:val="left"/>
      <w:pPr>
        <w:ind w:left="2880" w:hanging="360"/>
      </w:pPr>
    </w:lvl>
    <w:lvl w:ilvl="4" w:tplc="1DB61EFA" w:tentative="1">
      <w:start w:val="1"/>
      <w:numFmt w:val="lowerLetter"/>
      <w:lvlText w:val="%5."/>
      <w:lvlJc w:val="left"/>
      <w:pPr>
        <w:ind w:left="3600" w:hanging="360"/>
      </w:pPr>
    </w:lvl>
    <w:lvl w:ilvl="5" w:tplc="D2E65CB2" w:tentative="1">
      <w:start w:val="1"/>
      <w:numFmt w:val="lowerRoman"/>
      <w:lvlText w:val="%6."/>
      <w:lvlJc w:val="right"/>
      <w:pPr>
        <w:ind w:left="4320" w:hanging="180"/>
      </w:pPr>
    </w:lvl>
    <w:lvl w:ilvl="6" w:tplc="78222A54" w:tentative="1">
      <w:start w:val="1"/>
      <w:numFmt w:val="decimal"/>
      <w:lvlText w:val="%7."/>
      <w:lvlJc w:val="left"/>
      <w:pPr>
        <w:ind w:left="5040" w:hanging="360"/>
      </w:pPr>
    </w:lvl>
    <w:lvl w:ilvl="7" w:tplc="6060A530" w:tentative="1">
      <w:start w:val="1"/>
      <w:numFmt w:val="lowerLetter"/>
      <w:lvlText w:val="%8."/>
      <w:lvlJc w:val="left"/>
      <w:pPr>
        <w:ind w:left="5760" w:hanging="360"/>
      </w:pPr>
    </w:lvl>
    <w:lvl w:ilvl="8" w:tplc="A196A56C" w:tentative="1">
      <w:start w:val="1"/>
      <w:numFmt w:val="lowerRoman"/>
      <w:lvlText w:val="%9."/>
      <w:lvlJc w:val="right"/>
      <w:pPr>
        <w:ind w:left="6480" w:hanging="180"/>
      </w:pPr>
    </w:lvl>
  </w:abstractNum>
  <w:abstractNum w:abstractNumId="23" w15:restartNumberingAfterBreak="0">
    <w:nsid w:val="7EEF5836"/>
    <w:multiLevelType w:val="hybridMultilevel"/>
    <w:tmpl w:val="ACB082E6"/>
    <w:lvl w:ilvl="0" w:tplc="E7543264">
      <w:start w:val="1"/>
      <w:numFmt w:val="upperLetter"/>
      <w:lvlText w:val="%1."/>
      <w:lvlJc w:val="left"/>
      <w:pPr>
        <w:ind w:left="720" w:hanging="360"/>
      </w:pPr>
      <w:rPr>
        <w:rFonts w:hint="default"/>
      </w:rPr>
    </w:lvl>
    <w:lvl w:ilvl="1" w:tplc="7D5A4A4C" w:tentative="1">
      <w:start w:val="1"/>
      <w:numFmt w:val="lowerLetter"/>
      <w:lvlText w:val="%2."/>
      <w:lvlJc w:val="left"/>
      <w:pPr>
        <w:ind w:left="1440" w:hanging="360"/>
      </w:pPr>
    </w:lvl>
    <w:lvl w:ilvl="2" w:tplc="9FF40088" w:tentative="1">
      <w:start w:val="1"/>
      <w:numFmt w:val="lowerRoman"/>
      <w:lvlText w:val="%3."/>
      <w:lvlJc w:val="right"/>
      <w:pPr>
        <w:ind w:left="2160" w:hanging="180"/>
      </w:pPr>
    </w:lvl>
    <w:lvl w:ilvl="3" w:tplc="9B3607CA" w:tentative="1">
      <w:start w:val="1"/>
      <w:numFmt w:val="decimal"/>
      <w:lvlText w:val="%4."/>
      <w:lvlJc w:val="left"/>
      <w:pPr>
        <w:ind w:left="2880" w:hanging="360"/>
      </w:pPr>
    </w:lvl>
    <w:lvl w:ilvl="4" w:tplc="465814A4" w:tentative="1">
      <w:start w:val="1"/>
      <w:numFmt w:val="lowerLetter"/>
      <w:lvlText w:val="%5."/>
      <w:lvlJc w:val="left"/>
      <w:pPr>
        <w:ind w:left="3600" w:hanging="360"/>
      </w:pPr>
    </w:lvl>
    <w:lvl w:ilvl="5" w:tplc="2A6A9362" w:tentative="1">
      <w:start w:val="1"/>
      <w:numFmt w:val="lowerRoman"/>
      <w:lvlText w:val="%6."/>
      <w:lvlJc w:val="right"/>
      <w:pPr>
        <w:ind w:left="4320" w:hanging="180"/>
      </w:pPr>
    </w:lvl>
    <w:lvl w:ilvl="6" w:tplc="B62C5060" w:tentative="1">
      <w:start w:val="1"/>
      <w:numFmt w:val="decimal"/>
      <w:lvlText w:val="%7."/>
      <w:lvlJc w:val="left"/>
      <w:pPr>
        <w:ind w:left="5040" w:hanging="360"/>
      </w:pPr>
    </w:lvl>
    <w:lvl w:ilvl="7" w:tplc="C932FF28" w:tentative="1">
      <w:start w:val="1"/>
      <w:numFmt w:val="lowerLetter"/>
      <w:lvlText w:val="%8."/>
      <w:lvlJc w:val="left"/>
      <w:pPr>
        <w:ind w:left="5760" w:hanging="360"/>
      </w:pPr>
    </w:lvl>
    <w:lvl w:ilvl="8" w:tplc="60A2B550" w:tentative="1">
      <w:start w:val="1"/>
      <w:numFmt w:val="lowerRoman"/>
      <w:lvlText w:val="%9."/>
      <w:lvlJc w:val="right"/>
      <w:pPr>
        <w:ind w:left="6480" w:hanging="180"/>
      </w:pPr>
    </w:lvl>
  </w:abstractNum>
  <w:num w:numId="1" w16cid:durableId="523641794">
    <w:abstractNumId w:val="8"/>
  </w:num>
  <w:num w:numId="2" w16cid:durableId="722144304">
    <w:abstractNumId w:val="22"/>
  </w:num>
  <w:num w:numId="3" w16cid:durableId="2086876681">
    <w:abstractNumId w:val="12"/>
  </w:num>
  <w:num w:numId="4" w16cid:durableId="408582067">
    <w:abstractNumId w:val="16"/>
  </w:num>
  <w:num w:numId="5" w16cid:durableId="218981842">
    <w:abstractNumId w:val="17"/>
  </w:num>
  <w:num w:numId="6" w16cid:durableId="2111923447">
    <w:abstractNumId w:val="6"/>
  </w:num>
  <w:num w:numId="7" w16cid:durableId="455177968">
    <w:abstractNumId w:val="10"/>
  </w:num>
  <w:num w:numId="8" w16cid:durableId="1945844448">
    <w:abstractNumId w:val="18"/>
  </w:num>
  <w:num w:numId="9" w16cid:durableId="1981500710">
    <w:abstractNumId w:val="19"/>
  </w:num>
  <w:num w:numId="10" w16cid:durableId="802428006">
    <w:abstractNumId w:val="11"/>
  </w:num>
  <w:num w:numId="11" w16cid:durableId="1154642210">
    <w:abstractNumId w:val="1"/>
  </w:num>
  <w:num w:numId="12" w16cid:durableId="1093475338">
    <w:abstractNumId w:val="0"/>
  </w:num>
  <w:num w:numId="13" w16cid:durableId="1842885626">
    <w:abstractNumId w:val="4"/>
  </w:num>
  <w:num w:numId="14" w16cid:durableId="475729361">
    <w:abstractNumId w:val="9"/>
  </w:num>
  <w:num w:numId="15" w16cid:durableId="208885837">
    <w:abstractNumId w:val="23"/>
  </w:num>
  <w:num w:numId="16" w16cid:durableId="1287934740">
    <w:abstractNumId w:val="15"/>
  </w:num>
  <w:num w:numId="17" w16cid:durableId="1375348263">
    <w:abstractNumId w:val="21"/>
  </w:num>
  <w:num w:numId="18" w16cid:durableId="249317233">
    <w:abstractNumId w:val="20"/>
  </w:num>
  <w:num w:numId="19" w16cid:durableId="722673860">
    <w:abstractNumId w:val="5"/>
  </w:num>
  <w:num w:numId="20" w16cid:durableId="1764061637">
    <w:abstractNumId w:val="2"/>
  </w:num>
  <w:num w:numId="21" w16cid:durableId="893615935">
    <w:abstractNumId w:val="13"/>
  </w:num>
  <w:num w:numId="22" w16cid:durableId="1691762761">
    <w:abstractNumId w:val="7"/>
  </w:num>
  <w:num w:numId="23" w16cid:durableId="1195728295">
    <w:abstractNumId w:val="3"/>
  </w:num>
  <w:num w:numId="24" w16cid:durableId="859273468">
    <w:abstractNumId w:val="15"/>
    <w:lvlOverride w:ilvl="0">
      <w:startOverride w:val="1"/>
    </w:lvlOverride>
  </w:num>
  <w:num w:numId="25" w16cid:durableId="1288853776">
    <w:abstractNumId w:val="7"/>
    <w:lvlOverride w:ilvl="0">
      <w:startOverride w:val="1"/>
    </w:lvlOverride>
  </w:num>
  <w:num w:numId="26" w16cid:durableId="469132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C5"/>
    <w:rsid w:val="00000844"/>
    <w:rsid w:val="00000A26"/>
    <w:rsid w:val="00000C56"/>
    <w:rsid w:val="00001C53"/>
    <w:rsid w:val="000024EE"/>
    <w:rsid w:val="00002D2E"/>
    <w:rsid w:val="000030C0"/>
    <w:rsid w:val="0000342A"/>
    <w:rsid w:val="000034C2"/>
    <w:rsid w:val="000036BA"/>
    <w:rsid w:val="00003CB0"/>
    <w:rsid w:val="00003CF2"/>
    <w:rsid w:val="00003FCB"/>
    <w:rsid w:val="000042C0"/>
    <w:rsid w:val="000044B9"/>
    <w:rsid w:val="00005760"/>
    <w:rsid w:val="00005F33"/>
    <w:rsid w:val="000061FC"/>
    <w:rsid w:val="000063B0"/>
    <w:rsid w:val="00006455"/>
    <w:rsid w:val="000065FD"/>
    <w:rsid w:val="0000799E"/>
    <w:rsid w:val="0001097D"/>
    <w:rsid w:val="00010AB6"/>
    <w:rsid w:val="00010DCD"/>
    <w:rsid w:val="000110C1"/>
    <w:rsid w:val="0001115F"/>
    <w:rsid w:val="00011536"/>
    <w:rsid w:val="00011728"/>
    <w:rsid w:val="00011921"/>
    <w:rsid w:val="00012338"/>
    <w:rsid w:val="0001278A"/>
    <w:rsid w:val="00013639"/>
    <w:rsid w:val="00013C3C"/>
    <w:rsid w:val="0001463C"/>
    <w:rsid w:val="00014E9A"/>
    <w:rsid w:val="00014EDD"/>
    <w:rsid w:val="000152CE"/>
    <w:rsid w:val="0001560F"/>
    <w:rsid w:val="00015615"/>
    <w:rsid w:val="00015A0C"/>
    <w:rsid w:val="00015FEA"/>
    <w:rsid w:val="000163C7"/>
    <w:rsid w:val="000164E9"/>
    <w:rsid w:val="00016738"/>
    <w:rsid w:val="00016A5D"/>
    <w:rsid w:val="00017149"/>
    <w:rsid w:val="000178A3"/>
    <w:rsid w:val="00017ACB"/>
    <w:rsid w:val="00017E77"/>
    <w:rsid w:val="00017EB7"/>
    <w:rsid w:val="000216B4"/>
    <w:rsid w:val="00021A05"/>
    <w:rsid w:val="00021B16"/>
    <w:rsid w:val="00021D2D"/>
    <w:rsid w:val="0002205A"/>
    <w:rsid w:val="0002278F"/>
    <w:rsid w:val="0002291F"/>
    <w:rsid w:val="00022DEA"/>
    <w:rsid w:val="00023286"/>
    <w:rsid w:val="00023410"/>
    <w:rsid w:val="00023790"/>
    <w:rsid w:val="00023C94"/>
    <w:rsid w:val="0002448A"/>
    <w:rsid w:val="00024C8E"/>
    <w:rsid w:val="000251E6"/>
    <w:rsid w:val="0002547A"/>
    <w:rsid w:val="00025A0E"/>
    <w:rsid w:val="00026450"/>
    <w:rsid w:val="000269B5"/>
    <w:rsid w:val="00026B60"/>
    <w:rsid w:val="0002718D"/>
    <w:rsid w:val="000273C3"/>
    <w:rsid w:val="00027565"/>
    <w:rsid w:val="000279F1"/>
    <w:rsid w:val="00027CC2"/>
    <w:rsid w:val="00030472"/>
    <w:rsid w:val="000304D9"/>
    <w:rsid w:val="00030E3B"/>
    <w:rsid w:val="00031678"/>
    <w:rsid w:val="00031B12"/>
    <w:rsid w:val="00031C58"/>
    <w:rsid w:val="00032079"/>
    <w:rsid w:val="000325E6"/>
    <w:rsid w:val="00033140"/>
    <w:rsid w:val="000331F4"/>
    <w:rsid w:val="000331F7"/>
    <w:rsid w:val="00033474"/>
    <w:rsid w:val="00033AF6"/>
    <w:rsid w:val="00033D64"/>
    <w:rsid w:val="00034046"/>
    <w:rsid w:val="000341DA"/>
    <w:rsid w:val="000344C7"/>
    <w:rsid w:val="000356F7"/>
    <w:rsid w:val="0003579E"/>
    <w:rsid w:val="00035D63"/>
    <w:rsid w:val="000365DC"/>
    <w:rsid w:val="00036810"/>
    <w:rsid w:val="00036B98"/>
    <w:rsid w:val="00037112"/>
    <w:rsid w:val="0003747C"/>
    <w:rsid w:val="00037562"/>
    <w:rsid w:val="000375D6"/>
    <w:rsid w:val="000400E0"/>
    <w:rsid w:val="00040117"/>
    <w:rsid w:val="0004059D"/>
    <w:rsid w:val="0004070C"/>
    <w:rsid w:val="0004088F"/>
    <w:rsid w:val="00040D6A"/>
    <w:rsid w:val="00040DBC"/>
    <w:rsid w:val="0004122D"/>
    <w:rsid w:val="0004157D"/>
    <w:rsid w:val="00041B86"/>
    <w:rsid w:val="00041C0A"/>
    <w:rsid w:val="00041E1C"/>
    <w:rsid w:val="000429BF"/>
    <w:rsid w:val="000435B6"/>
    <w:rsid w:val="0004367D"/>
    <w:rsid w:val="00043693"/>
    <w:rsid w:val="00043B4F"/>
    <w:rsid w:val="00045151"/>
    <w:rsid w:val="0004687F"/>
    <w:rsid w:val="00046904"/>
    <w:rsid w:val="00046C0A"/>
    <w:rsid w:val="0004709A"/>
    <w:rsid w:val="0004721D"/>
    <w:rsid w:val="00047226"/>
    <w:rsid w:val="00047475"/>
    <w:rsid w:val="0004793C"/>
    <w:rsid w:val="00047A99"/>
    <w:rsid w:val="00047B21"/>
    <w:rsid w:val="00047B8A"/>
    <w:rsid w:val="00047BFD"/>
    <w:rsid w:val="00047C52"/>
    <w:rsid w:val="00047DDD"/>
    <w:rsid w:val="0005015C"/>
    <w:rsid w:val="0005056E"/>
    <w:rsid w:val="0005096A"/>
    <w:rsid w:val="00050E43"/>
    <w:rsid w:val="00050E4A"/>
    <w:rsid w:val="00051225"/>
    <w:rsid w:val="00051267"/>
    <w:rsid w:val="0005153D"/>
    <w:rsid w:val="00051568"/>
    <w:rsid w:val="000515B1"/>
    <w:rsid w:val="000516DE"/>
    <w:rsid w:val="00051AB2"/>
    <w:rsid w:val="00051C3A"/>
    <w:rsid w:val="00051CBA"/>
    <w:rsid w:val="00051DB4"/>
    <w:rsid w:val="00051DEC"/>
    <w:rsid w:val="00051F47"/>
    <w:rsid w:val="00051FDB"/>
    <w:rsid w:val="000526DF"/>
    <w:rsid w:val="00052790"/>
    <w:rsid w:val="00052B54"/>
    <w:rsid w:val="00052CDE"/>
    <w:rsid w:val="000533C3"/>
    <w:rsid w:val="0005422E"/>
    <w:rsid w:val="00054844"/>
    <w:rsid w:val="00054DDA"/>
    <w:rsid w:val="00054EBE"/>
    <w:rsid w:val="000557BC"/>
    <w:rsid w:val="000559E7"/>
    <w:rsid w:val="00055A68"/>
    <w:rsid w:val="00055E68"/>
    <w:rsid w:val="00056500"/>
    <w:rsid w:val="00056575"/>
    <w:rsid w:val="00056B7E"/>
    <w:rsid w:val="0005736D"/>
    <w:rsid w:val="000573B0"/>
    <w:rsid w:val="00057474"/>
    <w:rsid w:val="0005770C"/>
    <w:rsid w:val="00057A67"/>
    <w:rsid w:val="000606E3"/>
    <w:rsid w:val="00060BD8"/>
    <w:rsid w:val="00060FC9"/>
    <w:rsid w:val="000616BE"/>
    <w:rsid w:val="0006170B"/>
    <w:rsid w:val="00061BA5"/>
    <w:rsid w:val="0006237A"/>
    <w:rsid w:val="00062CB2"/>
    <w:rsid w:val="00063145"/>
    <w:rsid w:val="000637EE"/>
    <w:rsid w:val="000639C4"/>
    <w:rsid w:val="00063A57"/>
    <w:rsid w:val="00063AEF"/>
    <w:rsid w:val="00063C33"/>
    <w:rsid w:val="000641E9"/>
    <w:rsid w:val="000643F2"/>
    <w:rsid w:val="00064751"/>
    <w:rsid w:val="00064D36"/>
    <w:rsid w:val="00064E3D"/>
    <w:rsid w:val="000657FE"/>
    <w:rsid w:val="00065D1A"/>
    <w:rsid w:val="00065E0A"/>
    <w:rsid w:val="00065ECA"/>
    <w:rsid w:val="00065FF7"/>
    <w:rsid w:val="00066214"/>
    <w:rsid w:val="00066D97"/>
    <w:rsid w:val="000672AA"/>
    <w:rsid w:val="00067EE3"/>
    <w:rsid w:val="000701AA"/>
    <w:rsid w:val="00070874"/>
    <w:rsid w:val="00070B30"/>
    <w:rsid w:val="00070C99"/>
    <w:rsid w:val="00070EE0"/>
    <w:rsid w:val="00071216"/>
    <w:rsid w:val="00071291"/>
    <w:rsid w:val="00071858"/>
    <w:rsid w:val="000722D8"/>
    <w:rsid w:val="000730F5"/>
    <w:rsid w:val="000732B4"/>
    <w:rsid w:val="000733BD"/>
    <w:rsid w:val="00073D93"/>
    <w:rsid w:val="00073F6D"/>
    <w:rsid w:val="00073FE3"/>
    <w:rsid w:val="00074C97"/>
    <w:rsid w:val="00074E04"/>
    <w:rsid w:val="000757BB"/>
    <w:rsid w:val="00075843"/>
    <w:rsid w:val="00075D40"/>
    <w:rsid w:val="00076107"/>
    <w:rsid w:val="0007611B"/>
    <w:rsid w:val="0007627D"/>
    <w:rsid w:val="00076316"/>
    <w:rsid w:val="00076682"/>
    <w:rsid w:val="00076BA5"/>
    <w:rsid w:val="00076FB3"/>
    <w:rsid w:val="00077097"/>
    <w:rsid w:val="000770F9"/>
    <w:rsid w:val="00077B30"/>
    <w:rsid w:val="00077BB3"/>
    <w:rsid w:val="00077E03"/>
    <w:rsid w:val="000807AD"/>
    <w:rsid w:val="00080FDC"/>
    <w:rsid w:val="00081130"/>
    <w:rsid w:val="00081268"/>
    <w:rsid w:val="000816C2"/>
    <w:rsid w:val="00081BEA"/>
    <w:rsid w:val="00081FA6"/>
    <w:rsid w:val="0008263C"/>
    <w:rsid w:val="000832D5"/>
    <w:rsid w:val="0008498B"/>
    <w:rsid w:val="00085619"/>
    <w:rsid w:val="000858C3"/>
    <w:rsid w:val="00085A74"/>
    <w:rsid w:val="00085DA1"/>
    <w:rsid w:val="000861EA"/>
    <w:rsid w:val="00086977"/>
    <w:rsid w:val="00086A5B"/>
    <w:rsid w:val="00086BFB"/>
    <w:rsid w:val="000875B8"/>
    <w:rsid w:val="00087DBF"/>
    <w:rsid w:val="00087E59"/>
    <w:rsid w:val="00087F26"/>
    <w:rsid w:val="000900A8"/>
    <w:rsid w:val="0009024D"/>
    <w:rsid w:val="000902A6"/>
    <w:rsid w:val="0009059C"/>
    <w:rsid w:val="00090767"/>
    <w:rsid w:val="0009077E"/>
    <w:rsid w:val="00090C1C"/>
    <w:rsid w:val="00091093"/>
    <w:rsid w:val="00091522"/>
    <w:rsid w:val="000922D5"/>
    <w:rsid w:val="00092389"/>
    <w:rsid w:val="00092406"/>
    <w:rsid w:val="0009296B"/>
    <w:rsid w:val="00092F2C"/>
    <w:rsid w:val="000937D2"/>
    <w:rsid w:val="00094017"/>
    <w:rsid w:val="000942E5"/>
    <w:rsid w:val="00095080"/>
    <w:rsid w:val="00095575"/>
    <w:rsid w:val="00095578"/>
    <w:rsid w:val="00095ACE"/>
    <w:rsid w:val="00095CCB"/>
    <w:rsid w:val="00096052"/>
    <w:rsid w:val="0009623C"/>
    <w:rsid w:val="000965DF"/>
    <w:rsid w:val="00096BD5"/>
    <w:rsid w:val="00097812"/>
    <w:rsid w:val="00097A74"/>
    <w:rsid w:val="00097AC8"/>
    <w:rsid w:val="000A0238"/>
    <w:rsid w:val="000A0B54"/>
    <w:rsid w:val="000A0BA7"/>
    <w:rsid w:val="000A1B34"/>
    <w:rsid w:val="000A260F"/>
    <w:rsid w:val="000A2FF3"/>
    <w:rsid w:val="000A3949"/>
    <w:rsid w:val="000A3EC2"/>
    <w:rsid w:val="000A46DC"/>
    <w:rsid w:val="000A4840"/>
    <w:rsid w:val="000A49AF"/>
    <w:rsid w:val="000A52AD"/>
    <w:rsid w:val="000A5420"/>
    <w:rsid w:val="000A62A1"/>
    <w:rsid w:val="000A63E2"/>
    <w:rsid w:val="000A683B"/>
    <w:rsid w:val="000A6C3B"/>
    <w:rsid w:val="000A6C4F"/>
    <w:rsid w:val="000A76A4"/>
    <w:rsid w:val="000A7837"/>
    <w:rsid w:val="000A7E31"/>
    <w:rsid w:val="000A7E38"/>
    <w:rsid w:val="000B00FB"/>
    <w:rsid w:val="000B017A"/>
    <w:rsid w:val="000B03D3"/>
    <w:rsid w:val="000B081D"/>
    <w:rsid w:val="000B0A1C"/>
    <w:rsid w:val="000B170D"/>
    <w:rsid w:val="000B1903"/>
    <w:rsid w:val="000B1935"/>
    <w:rsid w:val="000B238F"/>
    <w:rsid w:val="000B290A"/>
    <w:rsid w:val="000B294D"/>
    <w:rsid w:val="000B2F03"/>
    <w:rsid w:val="000B3E7F"/>
    <w:rsid w:val="000B43EC"/>
    <w:rsid w:val="000B4D43"/>
    <w:rsid w:val="000B54BF"/>
    <w:rsid w:val="000B56D7"/>
    <w:rsid w:val="000B642C"/>
    <w:rsid w:val="000B6973"/>
    <w:rsid w:val="000B70D1"/>
    <w:rsid w:val="000B7136"/>
    <w:rsid w:val="000B76D1"/>
    <w:rsid w:val="000B7850"/>
    <w:rsid w:val="000C0021"/>
    <w:rsid w:val="000C04EC"/>
    <w:rsid w:val="000C05E6"/>
    <w:rsid w:val="000C0C32"/>
    <w:rsid w:val="000C0D80"/>
    <w:rsid w:val="000C0FBD"/>
    <w:rsid w:val="000C120A"/>
    <w:rsid w:val="000C1B6A"/>
    <w:rsid w:val="000C25BD"/>
    <w:rsid w:val="000C2712"/>
    <w:rsid w:val="000C27FB"/>
    <w:rsid w:val="000C2BDB"/>
    <w:rsid w:val="000C2D89"/>
    <w:rsid w:val="000C3297"/>
    <w:rsid w:val="000C36F6"/>
    <w:rsid w:val="000C5025"/>
    <w:rsid w:val="000C5496"/>
    <w:rsid w:val="000C54B1"/>
    <w:rsid w:val="000C55BA"/>
    <w:rsid w:val="000C5F88"/>
    <w:rsid w:val="000C6C93"/>
    <w:rsid w:val="000C7100"/>
    <w:rsid w:val="000C7471"/>
    <w:rsid w:val="000C781F"/>
    <w:rsid w:val="000C7FFA"/>
    <w:rsid w:val="000D091C"/>
    <w:rsid w:val="000D09BE"/>
    <w:rsid w:val="000D0AB0"/>
    <w:rsid w:val="000D153C"/>
    <w:rsid w:val="000D1F26"/>
    <w:rsid w:val="000D2019"/>
    <w:rsid w:val="000D22C0"/>
    <w:rsid w:val="000D22E3"/>
    <w:rsid w:val="000D262A"/>
    <w:rsid w:val="000D28F3"/>
    <w:rsid w:val="000D2DEE"/>
    <w:rsid w:val="000D31E3"/>
    <w:rsid w:val="000D38D8"/>
    <w:rsid w:val="000D44D2"/>
    <w:rsid w:val="000D49A9"/>
    <w:rsid w:val="000D4C91"/>
    <w:rsid w:val="000D4F7B"/>
    <w:rsid w:val="000D5069"/>
    <w:rsid w:val="000D559A"/>
    <w:rsid w:val="000D57E4"/>
    <w:rsid w:val="000D596D"/>
    <w:rsid w:val="000D5CD2"/>
    <w:rsid w:val="000D63EE"/>
    <w:rsid w:val="000D6DB0"/>
    <w:rsid w:val="000D7CF7"/>
    <w:rsid w:val="000E049D"/>
    <w:rsid w:val="000E0A42"/>
    <w:rsid w:val="000E0B90"/>
    <w:rsid w:val="000E1406"/>
    <w:rsid w:val="000E14F4"/>
    <w:rsid w:val="000E1C52"/>
    <w:rsid w:val="000E1ED8"/>
    <w:rsid w:val="000E2034"/>
    <w:rsid w:val="000E2F74"/>
    <w:rsid w:val="000E31DF"/>
    <w:rsid w:val="000E380C"/>
    <w:rsid w:val="000E3C7D"/>
    <w:rsid w:val="000E3C9F"/>
    <w:rsid w:val="000E4908"/>
    <w:rsid w:val="000E4C94"/>
    <w:rsid w:val="000E4D68"/>
    <w:rsid w:val="000E501D"/>
    <w:rsid w:val="000E54B9"/>
    <w:rsid w:val="000E5705"/>
    <w:rsid w:val="000E59C3"/>
    <w:rsid w:val="000E5ACD"/>
    <w:rsid w:val="000E5C94"/>
    <w:rsid w:val="000E5E08"/>
    <w:rsid w:val="000E758B"/>
    <w:rsid w:val="000E76A0"/>
    <w:rsid w:val="000E7D7F"/>
    <w:rsid w:val="000F1522"/>
    <w:rsid w:val="000F190E"/>
    <w:rsid w:val="000F1EA3"/>
    <w:rsid w:val="000F2B9E"/>
    <w:rsid w:val="000F2C11"/>
    <w:rsid w:val="000F3372"/>
    <w:rsid w:val="000F4249"/>
    <w:rsid w:val="000F4BF2"/>
    <w:rsid w:val="000F4E41"/>
    <w:rsid w:val="000F4F81"/>
    <w:rsid w:val="000F52B7"/>
    <w:rsid w:val="000F5796"/>
    <w:rsid w:val="000F5D59"/>
    <w:rsid w:val="000F5D75"/>
    <w:rsid w:val="000F618C"/>
    <w:rsid w:val="000F6D89"/>
    <w:rsid w:val="000F7BF9"/>
    <w:rsid w:val="000F7E98"/>
    <w:rsid w:val="000F7EEE"/>
    <w:rsid w:val="0010052C"/>
    <w:rsid w:val="0010071C"/>
    <w:rsid w:val="00100CDC"/>
    <w:rsid w:val="00101291"/>
    <w:rsid w:val="001013C4"/>
    <w:rsid w:val="0010201C"/>
    <w:rsid w:val="001024B8"/>
    <w:rsid w:val="0010305B"/>
    <w:rsid w:val="00103F35"/>
    <w:rsid w:val="001042D9"/>
    <w:rsid w:val="00104661"/>
    <w:rsid w:val="00104B3C"/>
    <w:rsid w:val="00104BFD"/>
    <w:rsid w:val="00104FC9"/>
    <w:rsid w:val="0010517C"/>
    <w:rsid w:val="00105EE5"/>
    <w:rsid w:val="00106BCA"/>
    <w:rsid w:val="001071E0"/>
    <w:rsid w:val="001072A4"/>
    <w:rsid w:val="00107CFE"/>
    <w:rsid w:val="00110468"/>
    <w:rsid w:val="00111133"/>
    <w:rsid w:val="00111169"/>
    <w:rsid w:val="001111F4"/>
    <w:rsid w:val="00111215"/>
    <w:rsid w:val="001118E3"/>
    <w:rsid w:val="00112AB0"/>
    <w:rsid w:val="00112C22"/>
    <w:rsid w:val="00113110"/>
    <w:rsid w:val="00113118"/>
    <w:rsid w:val="001145CA"/>
    <w:rsid w:val="0011465C"/>
    <w:rsid w:val="001146FD"/>
    <w:rsid w:val="00114701"/>
    <w:rsid w:val="0011483B"/>
    <w:rsid w:val="00114F77"/>
    <w:rsid w:val="0011548A"/>
    <w:rsid w:val="00115640"/>
    <w:rsid w:val="001157E4"/>
    <w:rsid w:val="0011588C"/>
    <w:rsid w:val="001159E8"/>
    <w:rsid w:val="00115DD9"/>
    <w:rsid w:val="00115EFB"/>
    <w:rsid w:val="00116C65"/>
    <w:rsid w:val="00116EB3"/>
    <w:rsid w:val="00116EDD"/>
    <w:rsid w:val="00117625"/>
    <w:rsid w:val="00117687"/>
    <w:rsid w:val="0012064C"/>
    <w:rsid w:val="00120725"/>
    <w:rsid w:val="00121626"/>
    <w:rsid w:val="00121735"/>
    <w:rsid w:val="00121B8F"/>
    <w:rsid w:val="0012251E"/>
    <w:rsid w:val="0012285D"/>
    <w:rsid w:val="00122DED"/>
    <w:rsid w:val="0012354F"/>
    <w:rsid w:val="001238A5"/>
    <w:rsid w:val="00124189"/>
    <w:rsid w:val="001243F8"/>
    <w:rsid w:val="00124564"/>
    <w:rsid w:val="00124749"/>
    <w:rsid w:val="00124FE8"/>
    <w:rsid w:val="001250C5"/>
    <w:rsid w:val="001253F9"/>
    <w:rsid w:val="00125953"/>
    <w:rsid w:val="001259DA"/>
    <w:rsid w:val="00125BAA"/>
    <w:rsid w:val="0012601B"/>
    <w:rsid w:val="00126295"/>
    <w:rsid w:val="001265D2"/>
    <w:rsid w:val="00126DAF"/>
    <w:rsid w:val="00127464"/>
    <w:rsid w:val="00127607"/>
    <w:rsid w:val="00127B92"/>
    <w:rsid w:val="00127E58"/>
    <w:rsid w:val="0013012B"/>
    <w:rsid w:val="0013043C"/>
    <w:rsid w:val="00130946"/>
    <w:rsid w:val="00131976"/>
    <w:rsid w:val="001325C6"/>
    <w:rsid w:val="001327A0"/>
    <w:rsid w:val="00132A9F"/>
    <w:rsid w:val="00132D7C"/>
    <w:rsid w:val="00133605"/>
    <w:rsid w:val="00133D17"/>
    <w:rsid w:val="00134474"/>
    <w:rsid w:val="00134E3D"/>
    <w:rsid w:val="00134EE6"/>
    <w:rsid w:val="00134FA5"/>
    <w:rsid w:val="001351AD"/>
    <w:rsid w:val="00135431"/>
    <w:rsid w:val="00135842"/>
    <w:rsid w:val="00135E4F"/>
    <w:rsid w:val="001360B7"/>
    <w:rsid w:val="00136612"/>
    <w:rsid w:val="001366AE"/>
    <w:rsid w:val="00136CAE"/>
    <w:rsid w:val="00136E7A"/>
    <w:rsid w:val="00137899"/>
    <w:rsid w:val="00137CAF"/>
    <w:rsid w:val="00140081"/>
    <w:rsid w:val="00140133"/>
    <w:rsid w:val="001403B8"/>
    <w:rsid w:val="001404EB"/>
    <w:rsid w:val="00140993"/>
    <w:rsid w:val="00140B46"/>
    <w:rsid w:val="00141085"/>
    <w:rsid w:val="001426ED"/>
    <w:rsid w:val="00142AEB"/>
    <w:rsid w:val="00143237"/>
    <w:rsid w:val="00143440"/>
    <w:rsid w:val="00143BF4"/>
    <w:rsid w:val="00144043"/>
    <w:rsid w:val="001440BB"/>
    <w:rsid w:val="001446C8"/>
    <w:rsid w:val="00144A54"/>
    <w:rsid w:val="00144DD7"/>
    <w:rsid w:val="00145123"/>
    <w:rsid w:val="001459CF"/>
    <w:rsid w:val="00145BD5"/>
    <w:rsid w:val="00145EE0"/>
    <w:rsid w:val="00146FC0"/>
    <w:rsid w:val="001471A9"/>
    <w:rsid w:val="00150AD6"/>
    <w:rsid w:val="001515C1"/>
    <w:rsid w:val="00151906"/>
    <w:rsid w:val="00151DEA"/>
    <w:rsid w:val="00151FB4"/>
    <w:rsid w:val="00152006"/>
    <w:rsid w:val="00152228"/>
    <w:rsid w:val="0015268F"/>
    <w:rsid w:val="00153011"/>
    <w:rsid w:val="0015319D"/>
    <w:rsid w:val="00154618"/>
    <w:rsid w:val="001549EE"/>
    <w:rsid w:val="00154B17"/>
    <w:rsid w:val="00154C6D"/>
    <w:rsid w:val="00154E0B"/>
    <w:rsid w:val="00154EA5"/>
    <w:rsid w:val="00155718"/>
    <w:rsid w:val="0015588F"/>
    <w:rsid w:val="00156B97"/>
    <w:rsid w:val="00156BA2"/>
    <w:rsid w:val="00156C1E"/>
    <w:rsid w:val="00156EB3"/>
    <w:rsid w:val="00156EDC"/>
    <w:rsid w:val="00156FAB"/>
    <w:rsid w:val="0015722C"/>
    <w:rsid w:val="0015733C"/>
    <w:rsid w:val="0015763C"/>
    <w:rsid w:val="00157ECA"/>
    <w:rsid w:val="00160818"/>
    <w:rsid w:val="00160A5C"/>
    <w:rsid w:val="001619E0"/>
    <w:rsid w:val="00161D64"/>
    <w:rsid w:val="00162117"/>
    <w:rsid w:val="0016237B"/>
    <w:rsid w:val="001624A6"/>
    <w:rsid w:val="00162E38"/>
    <w:rsid w:val="0016389C"/>
    <w:rsid w:val="0016397C"/>
    <w:rsid w:val="00163FDC"/>
    <w:rsid w:val="0016474D"/>
    <w:rsid w:val="001647B7"/>
    <w:rsid w:val="00164981"/>
    <w:rsid w:val="00164B2E"/>
    <w:rsid w:val="00164B54"/>
    <w:rsid w:val="00164FC6"/>
    <w:rsid w:val="00164FE0"/>
    <w:rsid w:val="00165029"/>
    <w:rsid w:val="00165249"/>
    <w:rsid w:val="00165C99"/>
    <w:rsid w:val="00166058"/>
    <w:rsid w:val="001679E0"/>
    <w:rsid w:val="00167FE7"/>
    <w:rsid w:val="001700F2"/>
    <w:rsid w:val="00170A32"/>
    <w:rsid w:val="00170D73"/>
    <w:rsid w:val="001714FB"/>
    <w:rsid w:val="001724AC"/>
    <w:rsid w:val="00172557"/>
    <w:rsid w:val="00172A5D"/>
    <w:rsid w:val="001731F5"/>
    <w:rsid w:val="001732F8"/>
    <w:rsid w:val="00173554"/>
    <w:rsid w:val="001736C0"/>
    <w:rsid w:val="00173D38"/>
    <w:rsid w:val="00173F9B"/>
    <w:rsid w:val="0017439B"/>
    <w:rsid w:val="001746FB"/>
    <w:rsid w:val="00174A32"/>
    <w:rsid w:val="00174F51"/>
    <w:rsid w:val="00175145"/>
    <w:rsid w:val="001756A8"/>
    <w:rsid w:val="0017593D"/>
    <w:rsid w:val="00175EFA"/>
    <w:rsid w:val="00176011"/>
    <w:rsid w:val="00176221"/>
    <w:rsid w:val="001764EE"/>
    <w:rsid w:val="001772F6"/>
    <w:rsid w:val="0017745E"/>
    <w:rsid w:val="00177714"/>
    <w:rsid w:val="001804B1"/>
    <w:rsid w:val="0018068B"/>
    <w:rsid w:val="00180815"/>
    <w:rsid w:val="0018087B"/>
    <w:rsid w:val="00180B99"/>
    <w:rsid w:val="00180CE8"/>
    <w:rsid w:val="0018139F"/>
    <w:rsid w:val="00181CE5"/>
    <w:rsid w:val="001824E3"/>
    <w:rsid w:val="00182530"/>
    <w:rsid w:val="00182589"/>
    <w:rsid w:val="00183750"/>
    <w:rsid w:val="0018384B"/>
    <w:rsid w:val="0018389A"/>
    <w:rsid w:val="00183A14"/>
    <w:rsid w:val="00183A47"/>
    <w:rsid w:val="00184B08"/>
    <w:rsid w:val="0018621D"/>
    <w:rsid w:val="00186500"/>
    <w:rsid w:val="0018681F"/>
    <w:rsid w:val="0018687E"/>
    <w:rsid w:val="00187178"/>
    <w:rsid w:val="00187711"/>
    <w:rsid w:val="0018790C"/>
    <w:rsid w:val="00187D08"/>
    <w:rsid w:val="00190312"/>
    <w:rsid w:val="00190685"/>
    <w:rsid w:val="00190FB4"/>
    <w:rsid w:val="00191066"/>
    <w:rsid w:val="001912C4"/>
    <w:rsid w:val="00191736"/>
    <w:rsid w:val="00191D1D"/>
    <w:rsid w:val="00191DE0"/>
    <w:rsid w:val="0019202F"/>
    <w:rsid w:val="00192321"/>
    <w:rsid w:val="00192833"/>
    <w:rsid w:val="00193087"/>
    <w:rsid w:val="0019391C"/>
    <w:rsid w:val="0019392E"/>
    <w:rsid w:val="00193F18"/>
    <w:rsid w:val="0019513D"/>
    <w:rsid w:val="001958FE"/>
    <w:rsid w:val="00195EB2"/>
    <w:rsid w:val="00196222"/>
    <w:rsid w:val="001964DD"/>
    <w:rsid w:val="00197646"/>
    <w:rsid w:val="0019776B"/>
    <w:rsid w:val="001A03D6"/>
    <w:rsid w:val="001A0F98"/>
    <w:rsid w:val="001A10B5"/>
    <w:rsid w:val="001A135A"/>
    <w:rsid w:val="001A19E9"/>
    <w:rsid w:val="001A2129"/>
    <w:rsid w:val="001A2253"/>
    <w:rsid w:val="001A23F2"/>
    <w:rsid w:val="001A28E5"/>
    <w:rsid w:val="001A34A6"/>
    <w:rsid w:val="001A40E9"/>
    <w:rsid w:val="001A4162"/>
    <w:rsid w:val="001A4757"/>
    <w:rsid w:val="001A4A74"/>
    <w:rsid w:val="001A52C9"/>
    <w:rsid w:val="001A52E9"/>
    <w:rsid w:val="001A533F"/>
    <w:rsid w:val="001A635F"/>
    <w:rsid w:val="001A6AA5"/>
    <w:rsid w:val="001A78FA"/>
    <w:rsid w:val="001A7BC4"/>
    <w:rsid w:val="001A7DB4"/>
    <w:rsid w:val="001B01AB"/>
    <w:rsid w:val="001B0E83"/>
    <w:rsid w:val="001B124A"/>
    <w:rsid w:val="001B1672"/>
    <w:rsid w:val="001B1E96"/>
    <w:rsid w:val="001B1F87"/>
    <w:rsid w:val="001B248F"/>
    <w:rsid w:val="001B3508"/>
    <w:rsid w:val="001B3712"/>
    <w:rsid w:val="001B375A"/>
    <w:rsid w:val="001B4CFD"/>
    <w:rsid w:val="001B4E1B"/>
    <w:rsid w:val="001B53FF"/>
    <w:rsid w:val="001B5814"/>
    <w:rsid w:val="001B5A99"/>
    <w:rsid w:val="001B5DEB"/>
    <w:rsid w:val="001B5E51"/>
    <w:rsid w:val="001B6462"/>
    <w:rsid w:val="001B6954"/>
    <w:rsid w:val="001B6A3E"/>
    <w:rsid w:val="001B7B5F"/>
    <w:rsid w:val="001B7BFC"/>
    <w:rsid w:val="001B7BFF"/>
    <w:rsid w:val="001B7DC7"/>
    <w:rsid w:val="001B7FAB"/>
    <w:rsid w:val="001C02B5"/>
    <w:rsid w:val="001C032C"/>
    <w:rsid w:val="001C0350"/>
    <w:rsid w:val="001C1908"/>
    <w:rsid w:val="001C1F98"/>
    <w:rsid w:val="001C39E6"/>
    <w:rsid w:val="001C3C03"/>
    <w:rsid w:val="001C3CA9"/>
    <w:rsid w:val="001C48B0"/>
    <w:rsid w:val="001C4D73"/>
    <w:rsid w:val="001C55CB"/>
    <w:rsid w:val="001C5704"/>
    <w:rsid w:val="001C5D25"/>
    <w:rsid w:val="001C5E33"/>
    <w:rsid w:val="001C5FFD"/>
    <w:rsid w:val="001C643C"/>
    <w:rsid w:val="001C64C0"/>
    <w:rsid w:val="001C6979"/>
    <w:rsid w:val="001C6B2D"/>
    <w:rsid w:val="001C7AFD"/>
    <w:rsid w:val="001C7C41"/>
    <w:rsid w:val="001D02F3"/>
    <w:rsid w:val="001D0FA3"/>
    <w:rsid w:val="001D1221"/>
    <w:rsid w:val="001D1F18"/>
    <w:rsid w:val="001D22A7"/>
    <w:rsid w:val="001D2897"/>
    <w:rsid w:val="001D28C9"/>
    <w:rsid w:val="001D2E18"/>
    <w:rsid w:val="001D3352"/>
    <w:rsid w:val="001D385B"/>
    <w:rsid w:val="001D3EAB"/>
    <w:rsid w:val="001D47B2"/>
    <w:rsid w:val="001D4CAB"/>
    <w:rsid w:val="001D500B"/>
    <w:rsid w:val="001D550D"/>
    <w:rsid w:val="001D5756"/>
    <w:rsid w:val="001D5943"/>
    <w:rsid w:val="001D5D71"/>
    <w:rsid w:val="001D5E62"/>
    <w:rsid w:val="001D5EAB"/>
    <w:rsid w:val="001D5FED"/>
    <w:rsid w:val="001D6966"/>
    <w:rsid w:val="001D6D7D"/>
    <w:rsid w:val="001D6DE9"/>
    <w:rsid w:val="001D7284"/>
    <w:rsid w:val="001D7A5D"/>
    <w:rsid w:val="001D7F46"/>
    <w:rsid w:val="001E0468"/>
    <w:rsid w:val="001E0BF6"/>
    <w:rsid w:val="001E158D"/>
    <w:rsid w:val="001E17E5"/>
    <w:rsid w:val="001E18DF"/>
    <w:rsid w:val="001E1E56"/>
    <w:rsid w:val="001E1E5F"/>
    <w:rsid w:val="001E289E"/>
    <w:rsid w:val="001E2B34"/>
    <w:rsid w:val="001E30B3"/>
    <w:rsid w:val="001E343A"/>
    <w:rsid w:val="001E3801"/>
    <w:rsid w:val="001E397E"/>
    <w:rsid w:val="001E3C7D"/>
    <w:rsid w:val="001E47D0"/>
    <w:rsid w:val="001E5094"/>
    <w:rsid w:val="001E5416"/>
    <w:rsid w:val="001E5656"/>
    <w:rsid w:val="001E643D"/>
    <w:rsid w:val="001E678E"/>
    <w:rsid w:val="001E6DB3"/>
    <w:rsid w:val="001E6ED5"/>
    <w:rsid w:val="001E71D9"/>
    <w:rsid w:val="001E731E"/>
    <w:rsid w:val="001E75C1"/>
    <w:rsid w:val="001E7D7D"/>
    <w:rsid w:val="001F00AB"/>
    <w:rsid w:val="001F060E"/>
    <w:rsid w:val="001F09A2"/>
    <w:rsid w:val="001F125D"/>
    <w:rsid w:val="001F1269"/>
    <w:rsid w:val="001F13F9"/>
    <w:rsid w:val="001F1DE5"/>
    <w:rsid w:val="001F1E9C"/>
    <w:rsid w:val="001F1FF9"/>
    <w:rsid w:val="001F2722"/>
    <w:rsid w:val="001F2A76"/>
    <w:rsid w:val="001F2B1F"/>
    <w:rsid w:val="001F2DB5"/>
    <w:rsid w:val="001F3145"/>
    <w:rsid w:val="001F3720"/>
    <w:rsid w:val="001F378F"/>
    <w:rsid w:val="001F3E3B"/>
    <w:rsid w:val="001F4093"/>
    <w:rsid w:val="001F4357"/>
    <w:rsid w:val="001F497B"/>
    <w:rsid w:val="001F504E"/>
    <w:rsid w:val="001F56EE"/>
    <w:rsid w:val="001F5BE2"/>
    <w:rsid w:val="001F5C71"/>
    <w:rsid w:val="001F6155"/>
    <w:rsid w:val="001F689D"/>
    <w:rsid w:val="001F69B5"/>
    <w:rsid w:val="001F7116"/>
    <w:rsid w:val="001F7207"/>
    <w:rsid w:val="001F7386"/>
    <w:rsid w:val="001F7419"/>
    <w:rsid w:val="001F74C4"/>
    <w:rsid w:val="001F754D"/>
    <w:rsid w:val="001F763B"/>
    <w:rsid w:val="001F7649"/>
    <w:rsid w:val="001F7CA1"/>
    <w:rsid w:val="001F7E7F"/>
    <w:rsid w:val="0020020B"/>
    <w:rsid w:val="00200664"/>
    <w:rsid w:val="002006A3"/>
    <w:rsid w:val="002008C7"/>
    <w:rsid w:val="00200920"/>
    <w:rsid w:val="00200D97"/>
    <w:rsid w:val="00200DC6"/>
    <w:rsid w:val="00201556"/>
    <w:rsid w:val="00201886"/>
    <w:rsid w:val="002019BA"/>
    <w:rsid w:val="00201A7E"/>
    <w:rsid w:val="00201F50"/>
    <w:rsid w:val="0020212C"/>
    <w:rsid w:val="0020227D"/>
    <w:rsid w:val="002025D1"/>
    <w:rsid w:val="00202759"/>
    <w:rsid w:val="00202922"/>
    <w:rsid w:val="002037C3"/>
    <w:rsid w:val="002039A3"/>
    <w:rsid w:val="00203DAA"/>
    <w:rsid w:val="00203FDC"/>
    <w:rsid w:val="0020404E"/>
    <w:rsid w:val="002040BF"/>
    <w:rsid w:val="00204266"/>
    <w:rsid w:val="00204316"/>
    <w:rsid w:val="00204446"/>
    <w:rsid w:val="00204C20"/>
    <w:rsid w:val="00204C7C"/>
    <w:rsid w:val="00204E23"/>
    <w:rsid w:val="00204FD0"/>
    <w:rsid w:val="002052B0"/>
    <w:rsid w:val="00205405"/>
    <w:rsid w:val="002057D1"/>
    <w:rsid w:val="00205935"/>
    <w:rsid w:val="00206132"/>
    <w:rsid w:val="0020659D"/>
    <w:rsid w:val="00206B2B"/>
    <w:rsid w:val="00206CAC"/>
    <w:rsid w:val="00207C4B"/>
    <w:rsid w:val="0021000E"/>
    <w:rsid w:val="002103BD"/>
    <w:rsid w:val="00210474"/>
    <w:rsid w:val="00210529"/>
    <w:rsid w:val="00210BB1"/>
    <w:rsid w:val="00210BBA"/>
    <w:rsid w:val="00211906"/>
    <w:rsid w:val="00211ED3"/>
    <w:rsid w:val="00211FC3"/>
    <w:rsid w:val="002123D1"/>
    <w:rsid w:val="002127A9"/>
    <w:rsid w:val="002127D4"/>
    <w:rsid w:val="002127E9"/>
    <w:rsid w:val="00212870"/>
    <w:rsid w:val="00212AA5"/>
    <w:rsid w:val="00212DE5"/>
    <w:rsid w:val="00212F79"/>
    <w:rsid w:val="002136A0"/>
    <w:rsid w:val="00213893"/>
    <w:rsid w:val="00214632"/>
    <w:rsid w:val="00214C20"/>
    <w:rsid w:val="00214C84"/>
    <w:rsid w:val="00214CDB"/>
    <w:rsid w:val="002151F2"/>
    <w:rsid w:val="00215B5D"/>
    <w:rsid w:val="00215D2F"/>
    <w:rsid w:val="00215E98"/>
    <w:rsid w:val="002161A6"/>
    <w:rsid w:val="00216360"/>
    <w:rsid w:val="00216B4C"/>
    <w:rsid w:val="00216FF0"/>
    <w:rsid w:val="002175EF"/>
    <w:rsid w:val="002200B9"/>
    <w:rsid w:val="00220D49"/>
    <w:rsid w:val="00221299"/>
    <w:rsid w:val="00221780"/>
    <w:rsid w:val="00222A2C"/>
    <w:rsid w:val="00223005"/>
    <w:rsid w:val="0022387E"/>
    <w:rsid w:val="00223A46"/>
    <w:rsid w:val="00224413"/>
    <w:rsid w:val="002244A5"/>
    <w:rsid w:val="00225A40"/>
    <w:rsid w:val="00225F4B"/>
    <w:rsid w:val="00225FD9"/>
    <w:rsid w:val="002261CD"/>
    <w:rsid w:val="0022620C"/>
    <w:rsid w:val="002265E5"/>
    <w:rsid w:val="0022697F"/>
    <w:rsid w:val="00226A46"/>
    <w:rsid w:val="00226A91"/>
    <w:rsid w:val="00226C1A"/>
    <w:rsid w:val="00226D33"/>
    <w:rsid w:val="00227237"/>
    <w:rsid w:val="00227ECD"/>
    <w:rsid w:val="00227F2E"/>
    <w:rsid w:val="002304F4"/>
    <w:rsid w:val="00230C33"/>
    <w:rsid w:val="00230C83"/>
    <w:rsid w:val="00230F27"/>
    <w:rsid w:val="00230F7C"/>
    <w:rsid w:val="0023109E"/>
    <w:rsid w:val="002311BF"/>
    <w:rsid w:val="002316D5"/>
    <w:rsid w:val="0023188E"/>
    <w:rsid w:val="002327B0"/>
    <w:rsid w:val="0023283C"/>
    <w:rsid w:val="0023289D"/>
    <w:rsid w:val="00232B1E"/>
    <w:rsid w:val="002330C2"/>
    <w:rsid w:val="002333D9"/>
    <w:rsid w:val="0023350D"/>
    <w:rsid w:val="00233A7C"/>
    <w:rsid w:val="0023405C"/>
    <w:rsid w:val="002342A0"/>
    <w:rsid w:val="00234796"/>
    <w:rsid w:val="002349D8"/>
    <w:rsid w:val="00234A7E"/>
    <w:rsid w:val="00234BEB"/>
    <w:rsid w:val="00234DB7"/>
    <w:rsid w:val="002365FE"/>
    <w:rsid w:val="002368D5"/>
    <w:rsid w:val="00236B45"/>
    <w:rsid w:val="00236FAA"/>
    <w:rsid w:val="00237214"/>
    <w:rsid w:val="00237284"/>
    <w:rsid w:val="002372EA"/>
    <w:rsid w:val="0023736D"/>
    <w:rsid w:val="0023794A"/>
    <w:rsid w:val="00237AAC"/>
    <w:rsid w:val="00240388"/>
    <w:rsid w:val="00240762"/>
    <w:rsid w:val="00240F9D"/>
    <w:rsid w:val="00240FD5"/>
    <w:rsid w:val="0024219C"/>
    <w:rsid w:val="002426FA"/>
    <w:rsid w:val="00243030"/>
    <w:rsid w:val="002431BD"/>
    <w:rsid w:val="00243AB0"/>
    <w:rsid w:val="0024412C"/>
    <w:rsid w:val="00244952"/>
    <w:rsid w:val="00244B4E"/>
    <w:rsid w:val="002450C6"/>
    <w:rsid w:val="0024541A"/>
    <w:rsid w:val="00245446"/>
    <w:rsid w:val="0024652C"/>
    <w:rsid w:val="00246A30"/>
    <w:rsid w:val="00246E3C"/>
    <w:rsid w:val="0024797C"/>
    <w:rsid w:val="0025011E"/>
    <w:rsid w:val="0025021F"/>
    <w:rsid w:val="00250591"/>
    <w:rsid w:val="00250611"/>
    <w:rsid w:val="002506AF"/>
    <w:rsid w:val="00250998"/>
    <w:rsid w:val="00250A81"/>
    <w:rsid w:val="00250F23"/>
    <w:rsid w:val="00251334"/>
    <w:rsid w:val="002515C3"/>
    <w:rsid w:val="00251B0F"/>
    <w:rsid w:val="00251F32"/>
    <w:rsid w:val="00252392"/>
    <w:rsid w:val="00252AFC"/>
    <w:rsid w:val="00252C05"/>
    <w:rsid w:val="002530F8"/>
    <w:rsid w:val="002531E3"/>
    <w:rsid w:val="00253351"/>
    <w:rsid w:val="0025360D"/>
    <w:rsid w:val="002542BE"/>
    <w:rsid w:val="0025441B"/>
    <w:rsid w:val="00254900"/>
    <w:rsid w:val="0025575C"/>
    <w:rsid w:val="00255846"/>
    <w:rsid w:val="002558DA"/>
    <w:rsid w:val="0025593E"/>
    <w:rsid w:val="00255BBF"/>
    <w:rsid w:val="00256262"/>
    <w:rsid w:val="00256F6B"/>
    <w:rsid w:val="00257209"/>
    <w:rsid w:val="00257B93"/>
    <w:rsid w:val="00257C21"/>
    <w:rsid w:val="00257CA6"/>
    <w:rsid w:val="00260628"/>
    <w:rsid w:val="0026077A"/>
    <w:rsid w:val="00260F8B"/>
    <w:rsid w:val="0026107E"/>
    <w:rsid w:val="00261AC3"/>
    <w:rsid w:val="00261B97"/>
    <w:rsid w:val="00261C89"/>
    <w:rsid w:val="00261DE1"/>
    <w:rsid w:val="00262643"/>
    <w:rsid w:val="00262774"/>
    <w:rsid w:val="00262957"/>
    <w:rsid w:val="00263619"/>
    <w:rsid w:val="00264305"/>
    <w:rsid w:val="002649E8"/>
    <w:rsid w:val="00264B36"/>
    <w:rsid w:val="00264E65"/>
    <w:rsid w:val="00264FBE"/>
    <w:rsid w:val="0026513D"/>
    <w:rsid w:val="002654B3"/>
    <w:rsid w:val="00265527"/>
    <w:rsid w:val="00265531"/>
    <w:rsid w:val="00265549"/>
    <w:rsid w:val="002658B0"/>
    <w:rsid w:val="00265976"/>
    <w:rsid w:val="002659F6"/>
    <w:rsid w:val="002664D8"/>
    <w:rsid w:val="00266B97"/>
    <w:rsid w:val="00267198"/>
    <w:rsid w:val="00267E66"/>
    <w:rsid w:val="00267E67"/>
    <w:rsid w:val="00267F01"/>
    <w:rsid w:val="002702C1"/>
    <w:rsid w:val="00270433"/>
    <w:rsid w:val="00270BFE"/>
    <w:rsid w:val="00270C0D"/>
    <w:rsid w:val="00270E88"/>
    <w:rsid w:val="00271728"/>
    <w:rsid w:val="002719A7"/>
    <w:rsid w:val="00271D13"/>
    <w:rsid w:val="00272248"/>
    <w:rsid w:val="0027272C"/>
    <w:rsid w:val="0027290B"/>
    <w:rsid w:val="002733BC"/>
    <w:rsid w:val="00273636"/>
    <w:rsid w:val="0027364A"/>
    <w:rsid w:val="00274231"/>
    <w:rsid w:val="002750CA"/>
    <w:rsid w:val="002758DD"/>
    <w:rsid w:val="002759BA"/>
    <w:rsid w:val="00275BC8"/>
    <w:rsid w:val="00277053"/>
    <w:rsid w:val="0027798E"/>
    <w:rsid w:val="00277F1A"/>
    <w:rsid w:val="00280F0D"/>
    <w:rsid w:val="0028129C"/>
    <w:rsid w:val="00281454"/>
    <w:rsid w:val="00281577"/>
    <w:rsid w:val="00281644"/>
    <w:rsid w:val="002816D0"/>
    <w:rsid w:val="002816E4"/>
    <w:rsid w:val="00281735"/>
    <w:rsid w:val="00281C03"/>
    <w:rsid w:val="00281D3F"/>
    <w:rsid w:val="00281D61"/>
    <w:rsid w:val="002820EE"/>
    <w:rsid w:val="00282336"/>
    <w:rsid w:val="002829C1"/>
    <w:rsid w:val="00283714"/>
    <w:rsid w:val="0028377C"/>
    <w:rsid w:val="00284236"/>
    <w:rsid w:val="002842E4"/>
    <w:rsid w:val="002846E3"/>
    <w:rsid w:val="002849A8"/>
    <w:rsid w:val="00285227"/>
    <w:rsid w:val="002853CF"/>
    <w:rsid w:val="0028580B"/>
    <w:rsid w:val="00285868"/>
    <w:rsid w:val="00285B40"/>
    <w:rsid w:val="00285CA8"/>
    <w:rsid w:val="00285D2C"/>
    <w:rsid w:val="00285DAE"/>
    <w:rsid w:val="002864A3"/>
    <w:rsid w:val="002871AD"/>
    <w:rsid w:val="00287668"/>
    <w:rsid w:val="002877E7"/>
    <w:rsid w:val="00287E5F"/>
    <w:rsid w:val="00290180"/>
    <w:rsid w:val="002904DD"/>
    <w:rsid w:val="00291048"/>
    <w:rsid w:val="002910EB"/>
    <w:rsid w:val="002911C0"/>
    <w:rsid w:val="002912E0"/>
    <w:rsid w:val="00291532"/>
    <w:rsid w:val="00291AEE"/>
    <w:rsid w:val="00291F49"/>
    <w:rsid w:val="00291FB6"/>
    <w:rsid w:val="00292720"/>
    <w:rsid w:val="00292B06"/>
    <w:rsid w:val="00293E3A"/>
    <w:rsid w:val="00293EC1"/>
    <w:rsid w:val="00293F4D"/>
    <w:rsid w:val="002945A8"/>
    <w:rsid w:val="0029473A"/>
    <w:rsid w:val="002948B0"/>
    <w:rsid w:val="00294A73"/>
    <w:rsid w:val="00294C38"/>
    <w:rsid w:val="0029507D"/>
    <w:rsid w:val="00295922"/>
    <w:rsid w:val="002960DA"/>
    <w:rsid w:val="00296958"/>
    <w:rsid w:val="00296C36"/>
    <w:rsid w:val="00296CCE"/>
    <w:rsid w:val="0029715C"/>
    <w:rsid w:val="002975AF"/>
    <w:rsid w:val="002975F1"/>
    <w:rsid w:val="0029789B"/>
    <w:rsid w:val="00297A13"/>
    <w:rsid w:val="00297A2A"/>
    <w:rsid w:val="00297CB2"/>
    <w:rsid w:val="00297FEB"/>
    <w:rsid w:val="002A0469"/>
    <w:rsid w:val="002A06A1"/>
    <w:rsid w:val="002A074A"/>
    <w:rsid w:val="002A0788"/>
    <w:rsid w:val="002A0AFF"/>
    <w:rsid w:val="002A0FB6"/>
    <w:rsid w:val="002A18DB"/>
    <w:rsid w:val="002A2F96"/>
    <w:rsid w:val="002A3311"/>
    <w:rsid w:val="002A3387"/>
    <w:rsid w:val="002A338B"/>
    <w:rsid w:val="002A416B"/>
    <w:rsid w:val="002A451A"/>
    <w:rsid w:val="002A4696"/>
    <w:rsid w:val="002A50BB"/>
    <w:rsid w:val="002A517A"/>
    <w:rsid w:val="002A5667"/>
    <w:rsid w:val="002A5A81"/>
    <w:rsid w:val="002A5B07"/>
    <w:rsid w:val="002A5DB8"/>
    <w:rsid w:val="002A65F5"/>
    <w:rsid w:val="002A678D"/>
    <w:rsid w:val="002A6C96"/>
    <w:rsid w:val="002A6EBE"/>
    <w:rsid w:val="002A7E90"/>
    <w:rsid w:val="002B02A9"/>
    <w:rsid w:val="002B0A8B"/>
    <w:rsid w:val="002B12F4"/>
    <w:rsid w:val="002B1741"/>
    <w:rsid w:val="002B179D"/>
    <w:rsid w:val="002B27B1"/>
    <w:rsid w:val="002B2A2E"/>
    <w:rsid w:val="002B327A"/>
    <w:rsid w:val="002B32D4"/>
    <w:rsid w:val="002B4A61"/>
    <w:rsid w:val="002B4A67"/>
    <w:rsid w:val="002B6E45"/>
    <w:rsid w:val="002B718D"/>
    <w:rsid w:val="002C00A8"/>
    <w:rsid w:val="002C0604"/>
    <w:rsid w:val="002C180B"/>
    <w:rsid w:val="002C19C9"/>
    <w:rsid w:val="002C19EE"/>
    <w:rsid w:val="002C2BAB"/>
    <w:rsid w:val="002C2FDB"/>
    <w:rsid w:val="002C3997"/>
    <w:rsid w:val="002C39D9"/>
    <w:rsid w:val="002C3A10"/>
    <w:rsid w:val="002C4141"/>
    <w:rsid w:val="002C458E"/>
    <w:rsid w:val="002C57E3"/>
    <w:rsid w:val="002C5B49"/>
    <w:rsid w:val="002C5F59"/>
    <w:rsid w:val="002C6164"/>
    <w:rsid w:val="002C6A31"/>
    <w:rsid w:val="002C706E"/>
    <w:rsid w:val="002C7A3D"/>
    <w:rsid w:val="002C7C02"/>
    <w:rsid w:val="002C7FB0"/>
    <w:rsid w:val="002D014A"/>
    <w:rsid w:val="002D0482"/>
    <w:rsid w:val="002D07B1"/>
    <w:rsid w:val="002D07B7"/>
    <w:rsid w:val="002D0897"/>
    <w:rsid w:val="002D0C0A"/>
    <w:rsid w:val="002D0D97"/>
    <w:rsid w:val="002D109D"/>
    <w:rsid w:val="002D11C4"/>
    <w:rsid w:val="002D1269"/>
    <w:rsid w:val="002D12F1"/>
    <w:rsid w:val="002D16A2"/>
    <w:rsid w:val="002D1EFB"/>
    <w:rsid w:val="002D2314"/>
    <w:rsid w:val="002D2402"/>
    <w:rsid w:val="002D256E"/>
    <w:rsid w:val="002D2D07"/>
    <w:rsid w:val="002D36F5"/>
    <w:rsid w:val="002D3D12"/>
    <w:rsid w:val="002D3DFC"/>
    <w:rsid w:val="002D3E07"/>
    <w:rsid w:val="002D3F0C"/>
    <w:rsid w:val="002D40C5"/>
    <w:rsid w:val="002D410E"/>
    <w:rsid w:val="002D428B"/>
    <w:rsid w:val="002D4D3B"/>
    <w:rsid w:val="002D58D4"/>
    <w:rsid w:val="002D66B2"/>
    <w:rsid w:val="002D6AB9"/>
    <w:rsid w:val="002D74A0"/>
    <w:rsid w:val="002D797D"/>
    <w:rsid w:val="002E04EB"/>
    <w:rsid w:val="002E085A"/>
    <w:rsid w:val="002E0F36"/>
    <w:rsid w:val="002E198C"/>
    <w:rsid w:val="002E19AE"/>
    <w:rsid w:val="002E211E"/>
    <w:rsid w:val="002E26C7"/>
    <w:rsid w:val="002E2F1A"/>
    <w:rsid w:val="002E32B9"/>
    <w:rsid w:val="002E37E0"/>
    <w:rsid w:val="002E3B46"/>
    <w:rsid w:val="002E3F4E"/>
    <w:rsid w:val="002E463E"/>
    <w:rsid w:val="002E4934"/>
    <w:rsid w:val="002E4CB9"/>
    <w:rsid w:val="002E4E12"/>
    <w:rsid w:val="002E50C6"/>
    <w:rsid w:val="002E5281"/>
    <w:rsid w:val="002E548E"/>
    <w:rsid w:val="002E5642"/>
    <w:rsid w:val="002E57C9"/>
    <w:rsid w:val="002E5926"/>
    <w:rsid w:val="002E5969"/>
    <w:rsid w:val="002E5E51"/>
    <w:rsid w:val="002E6EC6"/>
    <w:rsid w:val="002E6FC5"/>
    <w:rsid w:val="002E7007"/>
    <w:rsid w:val="002E70DA"/>
    <w:rsid w:val="002E7713"/>
    <w:rsid w:val="002E771A"/>
    <w:rsid w:val="002E7861"/>
    <w:rsid w:val="002E7A65"/>
    <w:rsid w:val="002E7D45"/>
    <w:rsid w:val="002E7F13"/>
    <w:rsid w:val="002F00F5"/>
    <w:rsid w:val="002F0F51"/>
    <w:rsid w:val="002F16FF"/>
    <w:rsid w:val="002F1D18"/>
    <w:rsid w:val="002F2082"/>
    <w:rsid w:val="002F21D0"/>
    <w:rsid w:val="002F25CD"/>
    <w:rsid w:val="002F28C7"/>
    <w:rsid w:val="002F2B34"/>
    <w:rsid w:val="002F2BEC"/>
    <w:rsid w:val="002F3359"/>
    <w:rsid w:val="002F337F"/>
    <w:rsid w:val="002F4108"/>
    <w:rsid w:val="002F41CA"/>
    <w:rsid w:val="002F46A1"/>
    <w:rsid w:val="002F4977"/>
    <w:rsid w:val="002F4F84"/>
    <w:rsid w:val="002F5E91"/>
    <w:rsid w:val="002F5FDB"/>
    <w:rsid w:val="002F6654"/>
    <w:rsid w:val="002F6E7B"/>
    <w:rsid w:val="002F73CC"/>
    <w:rsid w:val="002F76A8"/>
    <w:rsid w:val="002F776E"/>
    <w:rsid w:val="002F7C1D"/>
    <w:rsid w:val="002F7FEE"/>
    <w:rsid w:val="003009BD"/>
    <w:rsid w:val="00300A23"/>
    <w:rsid w:val="00300F41"/>
    <w:rsid w:val="003012C2"/>
    <w:rsid w:val="0030134C"/>
    <w:rsid w:val="00301443"/>
    <w:rsid w:val="00301777"/>
    <w:rsid w:val="0030194D"/>
    <w:rsid w:val="00301C0F"/>
    <w:rsid w:val="00301E28"/>
    <w:rsid w:val="00301F04"/>
    <w:rsid w:val="00302395"/>
    <w:rsid w:val="0030246F"/>
    <w:rsid w:val="003028D4"/>
    <w:rsid w:val="00302C46"/>
    <w:rsid w:val="00302E98"/>
    <w:rsid w:val="00302F75"/>
    <w:rsid w:val="00303078"/>
    <w:rsid w:val="003031FB"/>
    <w:rsid w:val="0030355C"/>
    <w:rsid w:val="00303AF6"/>
    <w:rsid w:val="00303B20"/>
    <w:rsid w:val="00303C48"/>
    <w:rsid w:val="00303EDD"/>
    <w:rsid w:val="00304314"/>
    <w:rsid w:val="003046AB"/>
    <w:rsid w:val="003048F0"/>
    <w:rsid w:val="00304971"/>
    <w:rsid w:val="00304FEB"/>
    <w:rsid w:val="003050FD"/>
    <w:rsid w:val="003051AA"/>
    <w:rsid w:val="003055E5"/>
    <w:rsid w:val="003057A1"/>
    <w:rsid w:val="00305872"/>
    <w:rsid w:val="003058E7"/>
    <w:rsid w:val="00305A5D"/>
    <w:rsid w:val="00305DC4"/>
    <w:rsid w:val="00306264"/>
    <w:rsid w:val="0030733A"/>
    <w:rsid w:val="00307552"/>
    <w:rsid w:val="003077CC"/>
    <w:rsid w:val="003100E5"/>
    <w:rsid w:val="003106F5"/>
    <w:rsid w:val="003110D1"/>
    <w:rsid w:val="0031111E"/>
    <w:rsid w:val="003117E3"/>
    <w:rsid w:val="00311C3C"/>
    <w:rsid w:val="003120FE"/>
    <w:rsid w:val="00312776"/>
    <w:rsid w:val="003128CF"/>
    <w:rsid w:val="00312E50"/>
    <w:rsid w:val="0031301B"/>
    <w:rsid w:val="003132A1"/>
    <w:rsid w:val="0031380C"/>
    <w:rsid w:val="00313B5E"/>
    <w:rsid w:val="00314355"/>
    <w:rsid w:val="00314C66"/>
    <w:rsid w:val="003157AB"/>
    <w:rsid w:val="00316098"/>
    <w:rsid w:val="0031623B"/>
    <w:rsid w:val="003163CC"/>
    <w:rsid w:val="003166A7"/>
    <w:rsid w:val="0031681A"/>
    <w:rsid w:val="003169D7"/>
    <w:rsid w:val="00316AF7"/>
    <w:rsid w:val="003170F6"/>
    <w:rsid w:val="00317E92"/>
    <w:rsid w:val="00320567"/>
    <w:rsid w:val="00320DF1"/>
    <w:rsid w:val="00320FD2"/>
    <w:rsid w:val="00320FE8"/>
    <w:rsid w:val="00321194"/>
    <w:rsid w:val="00321384"/>
    <w:rsid w:val="00321783"/>
    <w:rsid w:val="0032229D"/>
    <w:rsid w:val="00323499"/>
    <w:rsid w:val="00323948"/>
    <w:rsid w:val="003239E2"/>
    <w:rsid w:val="00323A06"/>
    <w:rsid w:val="00323C8A"/>
    <w:rsid w:val="00323F40"/>
    <w:rsid w:val="00324147"/>
    <w:rsid w:val="00324163"/>
    <w:rsid w:val="003246C1"/>
    <w:rsid w:val="00324E70"/>
    <w:rsid w:val="003257A2"/>
    <w:rsid w:val="00325D3E"/>
    <w:rsid w:val="003266FC"/>
    <w:rsid w:val="00326787"/>
    <w:rsid w:val="0032690B"/>
    <w:rsid w:val="003276C6"/>
    <w:rsid w:val="00327862"/>
    <w:rsid w:val="00327D98"/>
    <w:rsid w:val="00327F9C"/>
    <w:rsid w:val="0033032A"/>
    <w:rsid w:val="0033071B"/>
    <w:rsid w:val="00330E86"/>
    <w:rsid w:val="00331417"/>
    <w:rsid w:val="003315B0"/>
    <w:rsid w:val="00331BDA"/>
    <w:rsid w:val="00331FA8"/>
    <w:rsid w:val="00332908"/>
    <w:rsid w:val="0033296A"/>
    <w:rsid w:val="00332AB7"/>
    <w:rsid w:val="00333080"/>
    <w:rsid w:val="003336CA"/>
    <w:rsid w:val="00333839"/>
    <w:rsid w:val="003338C8"/>
    <w:rsid w:val="00333C1C"/>
    <w:rsid w:val="00334006"/>
    <w:rsid w:val="003345F5"/>
    <w:rsid w:val="00334668"/>
    <w:rsid w:val="003347E7"/>
    <w:rsid w:val="00334AA3"/>
    <w:rsid w:val="00334B75"/>
    <w:rsid w:val="00335265"/>
    <w:rsid w:val="00335632"/>
    <w:rsid w:val="00335A6D"/>
    <w:rsid w:val="003361A4"/>
    <w:rsid w:val="003363CE"/>
    <w:rsid w:val="003364E3"/>
    <w:rsid w:val="003376C8"/>
    <w:rsid w:val="00337825"/>
    <w:rsid w:val="00340230"/>
    <w:rsid w:val="003407F3"/>
    <w:rsid w:val="003408E2"/>
    <w:rsid w:val="0034172E"/>
    <w:rsid w:val="003419CC"/>
    <w:rsid w:val="00341A32"/>
    <w:rsid w:val="00341D2D"/>
    <w:rsid w:val="00342C90"/>
    <w:rsid w:val="00343572"/>
    <w:rsid w:val="003436D6"/>
    <w:rsid w:val="00343D78"/>
    <w:rsid w:val="003440B2"/>
    <w:rsid w:val="003440D9"/>
    <w:rsid w:val="0034448E"/>
    <w:rsid w:val="003445E0"/>
    <w:rsid w:val="00344820"/>
    <w:rsid w:val="00344DEE"/>
    <w:rsid w:val="003455C7"/>
    <w:rsid w:val="00345836"/>
    <w:rsid w:val="003458A9"/>
    <w:rsid w:val="00345D03"/>
    <w:rsid w:val="00345DA6"/>
    <w:rsid w:val="00345F0E"/>
    <w:rsid w:val="00346ACB"/>
    <w:rsid w:val="00346BFD"/>
    <w:rsid w:val="00346CED"/>
    <w:rsid w:val="00346D46"/>
    <w:rsid w:val="00347195"/>
    <w:rsid w:val="003475BF"/>
    <w:rsid w:val="0034792E"/>
    <w:rsid w:val="00347B41"/>
    <w:rsid w:val="00347B9F"/>
    <w:rsid w:val="00347BB3"/>
    <w:rsid w:val="00347F50"/>
    <w:rsid w:val="0035003E"/>
    <w:rsid w:val="003501D7"/>
    <w:rsid w:val="00350863"/>
    <w:rsid w:val="00350AB7"/>
    <w:rsid w:val="00350AD8"/>
    <w:rsid w:val="00350D05"/>
    <w:rsid w:val="003514D6"/>
    <w:rsid w:val="003515F3"/>
    <w:rsid w:val="00351B5E"/>
    <w:rsid w:val="00352379"/>
    <w:rsid w:val="00352743"/>
    <w:rsid w:val="003528B7"/>
    <w:rsid w:val="00352C08"/>
    <w:rsid w:val="00352FBE"/>
    <w:rsid w:val="003532CD"/>
    <w:rsid w:val="0035343C"/>
    <w:rsid w:val="00353F8D"/>
    <w:rsid w:val="003546F5"/>
    <w:rsid w:val="003549E0"/>
    <w:rsid w:val="003549FF"/>
    <w:rsid w:val="00354DD9"/>
    <w:rsid w:val="00354ED1"/>
    <w:rsid w:val="00355037"/>
    <w:rsid w:val="003550C0"/>
    <w:rsid w:val="003551D4"/>
    <w:rsid w:val="00355227"/>
    <w:rsid w:val="00355B68"/>
    <w:rsid w:val="00355D53"/>
    <w:rsid w:val="003568F6"/>
    <w:rsid w:val="003571B7"/>
    <w:rsid w:val="00357401"/>
    <w:rsid w:val="00357565"/>
    <w:rsid w:val="00357715"/>
    <w:rsid w:val="0035783A"/>
    <w:rsid w:val="003601D6"/>
    <w:rsid w:val="003607DA"/>
    <w:rsid w:val="00360B3B"/>
    <w:rsid w:val="0036124B"/>
    <w:rsid w:val="00361BBC"/>
    <w:rsid w:val="00361C1B"/>
    <w:rsid w:val="003622D1"/>
    <w:rsid w:val="00362520"/>
    <w:rsid w:val="00362649"/>
    <w:rsid w:val="00362AA6"/>
    <w:rsid w:val="0036407A"/>
    <w:rsid w:val="00364503"/>
    <w:rsid w:val="003649BC"/>
    <w:rsid w:val="00364CC1"/>
    <w:rsid w:val="00364E91"/>
    <w:rsid w:val="00364F07"/>
    <w:rsid w:val="0036512D"/>
    <w:rsid w:val="00365132"/>
    <w:rsid w:val="00365133"/>
    <w:rsid w:val="00365632"/>
    <w:rsid w:val="00365D3D"/>
    <w:rsid w:val="003672D7"/>
    <w:rsid w:val="00367309"/>
    <w:rsid w:val="00367A50"/>
    <w:rsid w:val="00367A60"/>
    <w:rsid w:val="00367E6F"/>
    <w:rsid w:val="003702D3"/>
    <w:rsid w:val="003706C5"/>
    <w:rsid w:val="00370ADD"/>
    <w:rsid w:val="00370B2D"/>
    <w:rsid w:val="00370C43"/>
    <w:rsid w:val="00370C70"/>
    <w:rsid w:val="00371555"/>
    <w:rsid w:val="00371D3D"/>
    <w:rsid w:val="003720CE"/>
    <w:rsid w:val="00372370"/>
    <w:rsid w:val="00372740"/>
    <w:rsid w:val="00373132"/>
    <w:rsid w:val="00373304"/>
    <w:rsid w:val="003734C6"/>
    <w:rsid w:val="003735C1"/>
    <w:rsid w:val="003739AC"/>
    <w:rsid w:val="00373F1B"/>
    <w:rsid w:val="00374181"/>
    <w:rsid w:val="003746EE"/>
    <w:rsid w:val="00374764"/>
    <w:rsid w:val="00374856"/>
    <w:rsid w:val="003751DA"/>
    <w:rsid w:val="003753F9"/>
    <w:rsid w:val="0037607E"/>
    <w:rsid w:val="00376203"/>
    <w:rsid w:val="00376340"/>
    <w:rsid w:val="003763AE"/>
    <w:rsid w:val="003768A5"/>
    <w:rsid w:val="00377960"/>
    <w:rsid w:val="00377A31"/>
    <w:rsid w:val="00377A36"/>
    <w:rsid w:val="00377B67"/>
    <w:rsid w:val="00377F68"/>
    <w:rsid w:val="00380E82"/>
    <w:rsid w:val="0038107B"/>
    <w:rsid w:val="00382439"/>
    <w:rsid w:val="0038267F"/>
    <w:rsid w:val="00382B87"/>
    <w:rsid w:val="00382B8B"/>
    <w:rsid w:val="0038318D"/>
    <w:rsid w:val="00383248"/>
    <w:rsid w:val="0038373D"/>
    <w:rsid w:val="003840E6"/>
    <w:rsid w:val="003843E4"/>
    <w:rsid w:val="00384A4C"/>
    <w:rsid w:val="00384CBA"/>
    <w:rsid w:val="00384E19"/>
    <w:rsid w:val="003866E3"/>
    <w:rsid w:val="00386732"/>
    <w:rsid w:val="00386D94"/>
    <w:rsid w:val="00386E33"/>
    <w:rsid w:val="00386EEE"/>
    <w:rsid w:val="0038736A"/>
    <w:rsid w:val="00387D09"/>
    <w:rsid w:val="00387F0A"/>
    <w:rsid w:val="00387F1B"/>
    <w:rsid w:val="00390566"/>
    <w:rsid w:val="003907BE"/>
    <w:rsid w:val="003907F7"/>
    <w:rsid w:val="00390A02"/>
    <w:rsid w:val="00390A73"/>
    <w:rsid w:val="00390DA6"/>
    <w:rsid w:val="00391319"/>
    <w:rsid w:val="00391683"/>
    <w:rsid w:val="00391AD8"/>
    <w:rsid w:val="0039225E"/>
    <w:rsid w:val="00392A29"/>
    <w:rsid w:val="00392B72"/>
    <w:rsid w:val="00393904"/>
    <w:rsid w:val="003940B3"/>
    <w:rsid w:val="003945A0"/>
    <w:rsid w:val="00394731"/>
    <w:rsid w:val="00394C40"/>
    <w:rsid w:val="00395015"/>
    <w:rsid w:val="003955E2"/>
    <w:rsid w:val="00395766"/>
    <w:rsid w:val="0039586B"/>
    <w:rsid w:val="003958D2"/>
    <w:rsid w:val="00395A5C"/>
    <w:rsid w:val="00396594"/>
    <w:rsid w:val="00396684"/>
    <w:rsid w:val="00396838"/>
    <w:rsid w:val="00396AB4"/>
    <w:rsid w:val="00397278"/>
    <w:rsid w:val="003976B1"/>
    <w:rsid w:val="00397E96"/>
    <w:rsid w:val="003A08EE"/>
    <w:rsid w:val="003A0E40"/>
    <w:rsid w:val="003A1B31"/>
    <w:rsid w:val="003A1C96"/>
    <w:rsid w:val="003A21E3"/>
    <w:rsid w:val="003A27A2"/>
    <w:rsid w:val="003A2977"/>
    <w:rsid w:val="003A34B8"/>
    <w:rsid w:val="003A3C44"/>
    <w:rsid w:val="003A3D57"/>
    <w:rsid w:val="003A3DFF"/>
    <w:rsid w:val="003A4265"/>
    <w:rsid w:val="003A4385"/>
    <w:rsid w:val="003A475B"/>
    <w:rsid w:val="003A496D"/>
    <w:rsid w:val="003A49EF"/>
    <w:rsid w:val="003A4AC6"/>
    <w:rsid w:val="003A4D96"/>
    <w:rsid w:val="003A50C0"/>
    <w:rsid w:val="003A52B1"/>
    <w:rsid w:val="003A58F9"/>
    <w:rsid w:val="003A59B2"/>
    <w:rsid w:val="003A617E"/>
    <w:rsid w:val="003A68EA"/>
    <w:rsid w:val="003A6C85"/>
    <w:rsid w:val="003A6E1F"/>
    <w:rsid w:val="003A73EF"/>
    <w:rsid w:val="003A7A26"/>
    <w:rsid w:val="003A7C10"/>
    <w:rsid w:val="003A7CE8"/>
    <w:rsid w:val="003B0591"/>
    <w:rsid w:val="003B0853"/>
    <w:rsid w:val="003B0FEC"/>
    <w:rsid w:val="003B106B"/>
    <w:rsid w:val="003B11D8"/>
    <w:rsid w:val="003B154C"/>
    <w:rsid w:val="003B17C2"/>
    <w:rsid w:val="003B18FD"/>
    <w:rsid w:val="003B2383"/>
    <w:rsid w:val="003B30F1"/>
    <w:rsid w:val="003B3A23"/>
    <w:rsid w:val="003B3B34"/>
    <w:rsid w:val="003B3FEA"/>
    <w:rsid w:val="003B3FEE"/>
    <w:rsid w:val="003B4ACC"/>
    <w:rsid w:val="003B4C39"/>
    <w:rsid w:val="003B5590"/>
    <w:rsid w:val="003B55D9"/>
    <w:rsid w:val="003B564B"/>
    <w:rsid w:val="003B5C85"/>
    <w:rsid w:val="003B6340"/>
    <w:rsid w:val="003B664F"/>
    <w:rsid w:val="003B68BF"/>
    <w:rsid w:val="003B6A20"/>
    <w:rsid w:val="003B7126"/>
    <w:rsid w:val="003B7B00"/>
    <w:rsid w:val="003C0417"/>
    <w:rsid w:val="003C0A13"/>
    <w:rsid w:val="003C13E0"/>
    <w:rsid w:val="003C178B"/>
    <w:rsid w:val="003C1C80"/>
    <w:rsid w:val="003C24EF"/>
    <w:rsid w:val="003C2552"/>
    <w:rsid w:val="003C314F"/>
    <w:rsid w:val="003C333C"/>
    <w:rsid w:val="003C3932"/>
    <w:rsid w:val="003C3CCF"/>
    <w:rsid w:val="003C4671"/>
    <w:rsid w:val="003C4821"/>
    <w:rsid w:val="003C51D1"/>
    <w:rsid w:val="003C54F8"/>
    <w:rsid w:val="003C5812"/>
    <w:rsid w:val="003C627B"/>
    <w:rsid w:val="003C6445"/>
    <w:rsid w:val="003C6972"/>
    <w:rsid w:val="003C7206"/>
    <w:rsid w:val="003C774E"/>
    <w:rsid w:val="003C7F1B"/>
    <w:rsid w:val="003D0722"/>
    <w:rsid w:val="003D07E5"/>
    <w:rsid w:val="003D09F7"/>
    <w:rsid w:val="003D0A5A"/>
    <w:rsid w:val="003D0D82"/>
    <w:rsid w:val="003D167C"/>
    <w:rsid w:val="003D1892"/>
    <w:rsid w:val="003D1A5A"/>
    <w:rsid w:val="003D1B5C"/>
    <w:rsid w:val="003D1BB2"/>
    <w:rsid w:val="003D1BBF"/>
    <w:rsid w:val="003D21AD"/>
    <w:rsid w:val="003D24E5"/>
    <w:rsid w:val="003D2C18"/>
    <w:rsid w:val="003D2E65"/>
    <w:rsid w:val="003D320D"/>
    <w:rsid w:val="003D3CE0"/>
    <w:rsid w:val="003D3EE3"/>
    <w:rsid w:val="003D4183"/>
    <w:rsid w:val="003D4307"/>
    <w:rsid w:val="003D4C2B"/>
    <w:rsid w:val="003D4DFA"/>
    <w:rsid w:val="003D5437"/>
    <w:rsid w:val="003D56F9"/>
    <w:rsid w:val="003D58E7"/>
    <w:rsid w:val="003D5DF9"/>
    <w:rsid w:val="003D5FE8"/>
    <w:rsid w:val="003D6311"/>
    <w:rsid w:val="003D7411"/>
    <w:rsid w:val="003D761B"/>
    <w:rsid w:val="003D7D47"/>
    <w:rsid w:val="003E0474"/>
    <w:rsid w:val="003E0A43"/>
    <w:rsid w:val="003E17A7"/>
    <w:rsid w:val="003E17EB"/>
    <w:rsid w:val="003E210A"/>
    <w:rsid w:val="003E21ED"/>
    <w:rsid w:val="003E2B65"/>
    <w:rsid w:val="003E3169"/>
    <w:rsid w:val="003E34A3"/>
    <w:rsid w:val="003E37AB"/>
    <w:rsid w:val="003E3CA2"/>
    <w:rsid w:val="003E40F3"/>
    <w:rsid w:val="003E4633"/>
    <w:rsid w:val="003E4C96"/>
    <w:rsid w:val="003E551E"/>
    <w:rsid w:val="003E57D6"/>
    <w:rsid w:val="003E5F72"/>
    <w:rsid w:val="003E6537"/>
    <w:rsid w:val="003E73FC"/>
    <w:rsid w:val="003E75E4"/>
    <w:rsid w:val="003E7B6A"/>
    <w:rsid w:val="003E7BB6"/>
    <w:rsid w:val="003E7CF2"/>
    <w:rsid w:val="003E7F8D"/>
    <w:rsid w:val="003F0233"/>
    <w:rsid w:val="003F02FB"/>
    <w:rsid w:val="003F049A"/>
    <w:rsid w:val="003F073F"/>
    <w:rsid w:val="003F1014"/>
    <w:rsid w:val="003F1833"/>
    <w:rsid w:val="003F1C46"/>
    <w:rsid w:val="003F1D55"/>
    <w:rsid w:val="003F2469"/>
    <w:rsid w:val="003F2801"/>
    <w:rsid w:val="003F3299"/>
    <w:rsid w:val="003F3637"/>
    <w:rsid w:val="003F37C1"/>
    <w:rsid w:val="003F3A75"/>
    <w:rsid w:val="003F3F94"/>
    <w:rsid w:val="003F62BB"/>
    <w:rsid w:val="003F6DA1"/>
    <w:rsid w:val="003F6F6B"/>
    <w:rsid w:val="003F7300"/>
    <w:rsid w:val="003F77B3"/>
    <w:rsid w:val="003F7A67"/>
    <w:rsid w:val="003F7BE5"/>
    <w:rsid w:val="00400C91"/>
    <w:rsid w:val="00402193"/>
    <w:rsid w:val="00402745"/>
    <w:rsid w:val="00403063"/>
    <w:rsid w:val="00403452"/>
    <w:rsid w:val="00403A9D"/>
    <w:rsid w:val="00403B4D"/>
    <w:rsid w:val="00403CF2"/>
    <w:rsid w:val="00404242"/>
    <w:rsid w:val="00404B83"/>
    <w:rsid w:val="00405280"/>
    <w:rsid w:val="0040552F"/>
    <w:rsid w:val="00405792"/>
    <w:rsid w:val="00405AC1"/>
    <w:rsid w:val="00405B23"/>
    <w:rsid w:val="0040603E"/>
    <w:rsid w:val="004065D5"/>
    <w:rsid w:val="00406886"/>
    <w:rsid w:val="004069B8"/>
    <w:rsid w:val="00406E5B"/>
    <w:rsid w:val="00406F70"/>
    <w:rsid w:val="00406FA9"/>
    <w:rsid w:val="0040738D"/>
    <w:rsid w:val="00407D96"/>
    <w:rsid w:val="00410DEB"/>
    <w:rsid w:val="00410F59"/>
    <w:rsid w:val="00410F99"/>
    <w:rsid w:val="00410FC3"/>
    <w:rsid w:val="0041124D"/>
    <w:rsid w:val="00411F0B"/>
    <w:rsid w:val="004121D5"/>
    <w:rsid w:val="004128DE"/>
    <w:rsid w:val="004128F7"/>
    <w:rsid w:val="00412ACE"/>
    <w:rsid w:val="00412BBA"/>
    <w:rsid w:val="00414004"/>
    <w:rsid w:val="00414268"/>
    <w:rsid w:val="004149EC"/>
    <w:rsid w:val="00414F01"/>
    <w:rsid w:val="00415402"/>
    <w:rsid w:val="00415D22"/>
    <w:rsid w:val="004166AE"/>
    <w:rsid w:val="00416704"/>
    <w:rsid w:val="004176A2"/>
    <w:rsid w:val="00417B01"/>
    <w:rsid w:val="004203CB"/>
    <w:rsid w:val="00420C9F"/>
    <w:rsid w:val="00420CF4"/>
    <w:rsid w:val="004214DE"/>
    <w:rsid w:val="004220AA"/>
    <w:rsid w:val="004223D9"/>
    <w:rsid w:val="00422791"/>
    <w:rsid w:val="00422A61"/>
    <w:rsid w:val="004238CA"/>
    <w:rsid w:val="00424A20"/>
    <w:rsid w:val="00424DAD"/>
    <w:rsid w:val="00425002"/>
    <w:rsid w:val="0042536C"/>
    <w:rsid w:val="00425CF2"/>
    <w:rsid w:val="00425D64"/>
    <w:rsid w:val="00426278"/>
    <w:rsid w:val="004265BF"/>
    <w:rsid w:val="0042696D"/>
    <w:rsid w:val="00426A1F"/>
    <w:rsid w:val="00426DC0"/>
    <w:rsid w:val="00426E08"/>
    <w:rsid w:val="00426F7F"/>
    <w:rsid w:val="004273DC"/>
    <w:rsid w:val="00427473"/>
    <w:rsid w:val="00427540"/>
    <w:rsid w:val="00427A56"/>
    <w:rsid w:val="0043045E"/>
    <w:rsid w:val="0043091F"/>
    <w:rsid w:val="00431AEF"/>
    <w:rsid w:val="00431CAF"/>
    <w:rsid w:val="00431DD0"/>
    <w:rsid w:val="00431E67"/>
    <w:rsid w:val="004320BA"/>
    <w:rsid w:val="00432732"/>
    <w:rsid w:val="0043299C"/>
    <w:rsid w:val="00432BF7"/>
    <w:rsid w:val="00433A5A"/>
    <w:rsid w:val="00433F50"/>
    <w:rsid w:val="00434175"/>
    <w:rsid w:val="0043490F"/>
    <w:rsid w:val="00434ECD"/>
    <w:rsid w:val="00434F10"/>
    <w:rsid w:val="0043553F"/>
    <w:rsid w:val="004356BF"/>
    <w:rsid w:val="004357AB"/>
    <w:rsid w:val="00435B01"/>
    <w:rsid w:val="004360E1"/>
    <w:rsid w:val="0043655A"/>
    <w:rsid w:val="004366A1"/>
    <w:rsid w:val="004366DE"/>
    <w:rsid w:val="004367F4"/>
    <w:rsid w:val="00436CE1"/>
    <w:rsid w:val="00436CE5"/>
    <w:rsid w:val="00437DBC"/>
    <w:rsid w:val="00440928"/>
    <w:rsid w:val="00440D9B"/>
    <w:rsid w:val="0044277A"/>
    <w:rsid w:val="00442B0C"/>
    <w:rsid w:val="00442CED"/>
    <w:rsid w:val="00442D1A"/>
    <w:rsid w:val="00443074"/>
    <w:rsid w:val="0044362B"/>
    <w:rsid w:val="004437E1"/>
    <w:rsid w:val="00443965"/>
    <w:rsid w:val="004439B5"/>
    <w:rsid w:val="00443D0B"/>
    <w:rsid w:val="0044421A"/>
    <w:rsid w:val="00444687"/>
    <w:rsid w:val="004446E7"/>
    <w:rsid w:val="004449ED"/>
    <w:rsid w:val="00444C93"/>
    <w:rsid w:val="004455AE"/>
    <w:rsid w:val="00445A69"/>
    <w:rsid w:val="00445B09"/>
    <w:rsid w:val="00446044"/>
    <w:rsid w:val="00446C94"/>
    <w:rsid w:val="00446E6B"/>
    <w:rsid w:val="00447954"/>
    <w:rsid w:val="004479BA"/>
    <w:rsid w:val="00447A48"/>
    <w:rsid w:val="00447CC2"/>
    <w:rsid w:val="00450848"/>
    <w:rsid w:val="00450EA1"/>
    <w:rsid w:val="00451204"/>
    <w:rsid w:val="00451663"/>
    <w:rsid w:val="0045174C"/>
    <w:rsid w:val="00451A65"/>
    <w:rsid w:val="00451B31"/>
    <w:rsid w:val="00451E9C"/>
    <w:rsid w:val="0045288B"/>
    <w:rsid w:val="004528C0"/>
    <w:rsid w:val="00452917"/>
    <w:rsid w:val="00452E95"/>
    <w:rsid w:val="00452F56"/>
    <w:rsid w:val="00453254"/>
    <w:rsid w:val="00453591"/>
    <w:rsid w:val="00453847"/>
    <w:rsid w:val="00453C0C"/>
    <w:rsid w:val="00453F3E"/>
    <w:rsid w:val="0045429E"/>
    <w:rsid w:val="0045439C"/>
    <w:rsid w:val="0045463D"/>
    <w:rsid w:val="00454D71"/>
    <w:rsid w:val="00454DF6"/>
    <w:rsid w:val="0045532B"/>
    <w:rsid w:val="0045557A"/>
    <w:rsid w:val="004556EE"/>
    <w:rsid w:val="004557D6"/>
    <w:rsid w:val="00455911"/>
    <w:rsid w:val="00455B1E"/>
    <w:rsid w:val="00455C07"/>
    <w:rsid w:val="00455E42"/>
    <w:rsid w:val="0045661C"/>
    <w:rsid w:val="0045690B"/>
    <w:rsid w:val="00456B07"/>
    <w:rsid w:val="00456BD9"/>
    <w:rsid w:val="00456E6B"/>
    <w:rsid w:val="00456E73"/>
    <w:rsid w:val="00460196"/>
    <w:rsid w:val="004608E8"/>
    <w:rsid w:val="00460B75"/>
    <w:rsid w:val="00460CD1"/>
    <w:rsid w:val="0046124E"/>
    <w:rsid w:val="004616F5"/>
    <w:rsid w:val="00461B2A"/>
    <w:rsid w:val="00462277"/>
    <w:rsid w:val="00462837"/>
    <w:rsid w:val="00462A60"/>
    <w:rsid w:val="00463D43"/>
    <w:rsid w:val="00464076"/>
    <w:rsid w:val="00464173"/>
    <w:rsid w:val="00464A4D"/>
    <w:rsid w:val="00464AEB"/>
    <w:rsid w:val="00464E7A"/>
    <w:rsid w:val="0046570A"/>
    <w:rsid w:val="00465C7F"/>
    <w:rsid w:val="0046632A"/>
    <w:rsid w:val="004664E7"/>
    <w:rsid w:val="004674AA"/>
    <w:rsid w:val="00467780"/>
    <w:rsid w:val="00467B59"/>
    <w:rsid w:val="00467DB4"/>
    <w:rsid w:val="00467E78"/>
    <w:rsid w:val="0047033D"/>
    <w:rsid w:val="004705D0"/>
    <w:rsid w:val="00470CDB"/>
    <w:rsid w:val="00470F32"/>
    <w:rsid w:val="00471293"/>
    <w:rsid w:val="00471723"/>
    <w:rsid w:val="00471DC7"/>
    <w:rsid w:val="00472819"/>
    <w:rsid w:val="00472BD4"/>
    <w:rsid w:val="00473214"/>
    <w:rsid w:val="00473E14"/>
    <w:rsid w:val="004745CD"/>
    <w:rsid w:val="00474C46"/>
    <w:rsid w:val="00474F4D"/>
    <w:rsid w:val="00475186"/>
    <w:rsid w:val="004752D5"/>
    <w:rsid w:val="00475306"/>
    <w:rsid w:val="00475964"/>
    <w:rsid w:val="00475AFF"/>
    <w:rsid w:val="00475E41"/>
    <w:rsid w:val="00475F2C"/>
    <w:rsid w:val="00476C58"/>
    <w:rsid w:val="00476C73"/>
    <w:rsid w:val="00476F19"/>
    <w:rsid w:val="0047702D"/>
    <w:rsid w:val="0047728E"/>
    <w:rsid w:val="00477538"/>
    <w:rsid w:val="004776AA"/>
    <w:rsid w:val="00477BD5"/>
    <w:rsid w:val="00477F93"/>
    <w:rsid w:val="00480079"/>
    <w:rsid w:val="004803CA"/>
    <w:rsid w:val="004808F0"/>
    <w:rsid w:val="00480E5A"/>
    <w:rsid w:val="0048137A"/>
    <w:rsid w:val="00481A89"/>
    <w:rsid w:val="00481FC8"/>
    <w:rsid w:val="00482116"/>
    <w:rsid w:val="00483110"/>
    <w:rsid w:val="00483B85"/>
    <w:rsid w:val="00484E6E"/>
    <w:rsid w:val="004852C6"/>
    <w:rsid w:val="00485553"/>
    <w:rsid w:val="0048558C"/>
    <w:rsid w:val="00485994"/>
    <w:rsid w:val="00485A0E"/>
    <w:rsid w:val="00490147"/>
    <w:rsid w:val="0049041D"/>
    <w:rsid w:val="004906EC"/>
    <w:rsid w:val="00490DE8"/>
    <w:rsid w:val="00491296"/>
    <w:rsid w:val="00491AF7"/>
    <w:rsid w:val="00491D22"/>
    <w:rsid w:val="00491E5A"/>
    <w:rsid w:val="0049246D"/>
    <w:rsid w:val="00492681"/>
    <w:rsid w:val="00492A86"/>
    <w:rsid w:val="00492B87"/>
    <w:rsid w:val="00492D5A"/>
    <w:rsid w:val="00492E1F"/>
    <w:rsid w:val="00493597"/>
    <w:rsid w:val="00493B61"/>
    <w:rsid w:val="00494427"/>
    <w:rsid w:val="0049469F"/>
    <w:rsid w:val="00494AE2"/>
    <w:rsid w:val="00494BC6"/>
    <w:rsid w:val="00494DFC"/>
    <w:rsid w:val="0049510A"/>
    <w:rsid w:val="004951E8"/>
    <w:rsid w:val="004960B5"/>
    <w:rsid w:val="0049668A"/>
    <w:rsid w:val="00496B09"/>
    <w:rsid w:val="00496BA6"/>
    <w:rsid w:val="00496F9A"/>
    <w:rsid w:val="0049737A"/>
    <w:rsid w:val="00497A9B"/>
    <w:rsid w:val="00497D8B"/>
    <w:rsid w:val="00497EFD"/>
    <w:rsid w:val="004A037B"/>
    <w:rsid w:val="004A08EA"/>
    <w:rsid w:val="004A0B6F"/>
    <w:rsid w:val="004A0C86"/>
    <w:rsid w:val="004A1751"/>
    <w:rsid w:val="004A1D73"/>
    <w:rsid w:val="004A1FC3"/>
    <w:rsid w:val="004A2670"/>
    <w:rsid w:val="004A28EE"/>
    <w:rsid w:val="004A2A30"/>
    <w:rsid w:val="004A2AFF"/>
    <w:rsid w:val="004A2F8E"/>
    <w:rsid w:val="004A38AA"/>
    <w:rsid w:val="004A4114"/>
    <w:rsid w:val="004A42F0"/>
    <w:rsid w:val="004A4716"/>
    <w:rsid w:val="004A4908"/>
    <w:rsid w:val="004A4B90"/>
    <w:rsid w:val="004A4C87"/>
    <w:rsid w:val="004A4CCE"/>
    <w:rsid w:val="004A5F65"/>
    <w:rsid w:val="004A64E9"/>
    <w:rsid w:val="004A6527"/>
    <w:rsid w:val="004A6625"/>
    <w:rsid w:val="004A712F"/>
    <w:rsid w:val="004A786F"/>
    <w:rsid w:val="004A7B2D"/>
    <w:rsid w:val="004B022F"/>
    <w:rsid w:val="004B087B"/>
    <w:rsid w:val="004B1682"/>
    <w:rsid w:val="004B1E8E"/>
    <w:rsid w:val="004B2628"/>
    <w:rsid w:val="004B28A6"/>
    <w:rsid w:val="004B2F7A"/>
    <w:rsid w:val="004B31D7"/>
    <w:rsid w:val="004B44FB"/>
    <w:rsid w:val="004B5310"/>
    <w:rsid w:val="004B5604"/>
    <w:rsid w:val="004B569C"/>
    <w:rsid w:val="004B58C4"/>
    <w:rsid w:val="004B66A8"/>
    <w:rsid w:val="004B78D4"/>
    <w:rsid w:val="004B79A1"/>
    <w:rsid w:val="004B7C06"/>
    <w:rsid w:val="004C006E"/>
    <w:rsid w:val="004C00C7"/>
    <w:rsid w:val="004C0128"/>
    <w:rsid w:val="004C01A5"/>
    <w:rsid w:val="004C03C2"/>
    <w:rsid w:val="004C0EC5"/>
    <w:rsid w:val="004C10F6"/>
    <w:rsid w:val="004C1277"/>
    <w:rsid w:val="004C2967"/>
    <w:rsid w:val="004C2CAD"/>
    <w:rsid w:val="004C339E"/>
    <w:rsid w:val="004C33F0"/>
    <w:rsid w:val="004C3B71"/>
    <w:rsid w:val="004C41BA"/>
    <w:rsid w:val="004C4230"/>
    <w:rsid w:val="004C430A"/>
    <w:rsid w:val="004C45B1"/>
    <w:rsid w:val="004C4B54"/>
    <w:rsid w:val="004C4D3D"/>
    <w:rsid w:val="004C4F7E"/>
    <w:rsid w:val="004C55AB"/>
    <w:rsid w:val="004C619D"/>
    <w:rsid w:val="004C6692"/>
    <w:rsid w:val="004C6C81"/>
    <w:rsid w:val="004C6C90"/>
    <w:rsid w:val="004C6FE8"/>
    <w:rsid w:val="004C7C87"/>
    <w:rsid w:val="004C7F39"/>
    <w:rsid w:val="004C7F92"/>
    <w:rsid w:val="004D08B5"/>
    <w:rsid w:val="004D0F8D"/>
    <w:rsid w:val="004D15AA"/>
    <w:rsid w:val="004D18F6"/>
    <w:rsid w:val="004D1BC9"/>
    <w:rsid w:val="004D1CB7"/>
    <w:rsid w:val="004D1DDC"/>
    <w:rsid w:val="004D1E3E"/>
    <w:rsid w:val="004D246D"/>
    <w:rsid w:val="004D2916"/>
    <w:rsid w:val="004D2B8A"/>
    <w:rsid w:val="004D30C3"/>
    <w:rsid w:val="004D33A7"/>
    <w:rsid w:val="004D3806"/>
    <w:rsid w:val="004D49C8"/>
    <w:rsid w:val="004D5405"/>
    <w:rsid w:val="004D54C9"/>
    <w:rsid w:val="004D5A07"/>
    <w:rsid w:val="004D5AC6"/>
    <w:rsid w:val="004D609A"/>
    <w:rsid w:val="004D6276"/>
    <w:rsid w:val="004D655F"/>
    <w:rsid w:val="004D65A9"/>
    <w:rsid w:val="004D6A9A"/>
    <w:rsid w:val="004D6ABC"/>
    <w:rsid w:val="004D7EEB"/>
    <w:rsid w:val="004E0898"/>
    <w:rsid w:val="004E08C9"/>
    <w:rsid w:val="004E0A26"/>
    <w:rsid w:val="004E16B4"/>
    <w:rsid w:val="004E1709"/>
    <w:rsid w:val="004E17ED"/>
    <w:rsid w:val="004E1A80"/>
    <w:rsid w:val="004E1D12"/>
    <w:rsid w:val="004E1DB6"/>
    <w:rsid w:val="004E1EEF"/>
    <w:rsid w:val="004E2017"/>
    <w:rsid w:val="004E23AD"/>
    <w:rsid w:val="004E252A"/>
    <w:rsid w:val="004E3487"/>
    <w:rsid w:val="004E4195"/>
    <w:rsid w:val="004E4A65"/>
    <w:rsid w:val="004E4ABA"/>
    <w:rsid w:val="004E50AB"/>
    <w:rsid w:val="004E5414"/>
    <w:rsid w:val="004E55F8"/>
    <w:rsid w:val="004E563A"/>
    <w:rsid w:val="004E67BD"/>
    <w:rsid w:val="004E769F"/>
    <w:rsid w:val="004E79A4"/>
    <w:rsid w:val="004E79F0"/>
    <w:rsid w:val="004E7D01"/>
    <w:rsid w:val="004F0FE2"/>
    <w:rsid w:val="004F11AD"/>
    <w:rsid w:val="004F154A"/>
    <w:rsid w:val="004F1E72"/>
    <w:rsid w:val="004F26DC"/>
    <w:rsid w:val="004F29B9"/>
    <w:rsid w:val="004F34E7"/>
    <w:rsid w:val="004F3C2E"/>
    <w:rsid w:val="004F3C94"/>
    <w:rsid w:val="004F4377"/>
    <w:rsid w:val="004F476D"/>
    <w:rsid w:val="004F4F54"/>
    <w:rsid w:val="004F56DF"/>
    <w:rsid w:val="004F57A9"/>
    <w:rsid w:val="004F5ABA"/>
    <w:rsid w:val="004F5B48"/>
    <w:rsid w:val="004F61C7"/>
    <w:rsid w:val="004F627F"/>
    <w:rsid w:val="004F62DD"/>
    <w:rsid w:val="004F62FF"/>
    <w:rsid w:val="004F6545"/>
    <w:rsid w:val="004F66DD"/>
    <w:rsid w:val="004F7190"/>
    <w:rsid w:val="004F7581"/>
    <w:rsid w:val="004F76A7"/>
    <w:rsid w:val="004F7C48"/>
    <w:rsid w:val="005008AC"/>
    <w:rsid w:val="00500DE8"/>
    <w:rsid w:val="00500E93"/>
    <w:rsid w:val="0050196F"/>
    <w:rsid w:val="00501E76"/>
    <w:rsid w:val="00501F3C"/>
    <w:rsid w:val="0050233E"/>
    <w:rsid w:val="005023A0"/>
    <w:rsid w:val="0050291E"/>
    <w:rsid w:val="00502EBE"/>
    <w:rsid w:val="005036AB"/>
    <w:rsid w:val="0050379A"/>
    <w:rsid w:val="0050386C"/>
    <w:rsid w:val="00503931"/>
    <w:rsid w:val="00503A42"/>
    <w:rsid w:val="005041E9"/>
    <w:rsid w:val="0050443E"/>
    <w:rsid w:val="005044F3"/>
    <w:rsid w:val="00504651"/>
    <w:rsid w:val="00504FBB"/>
    <w:rsid w:val="00504FC0"/>
    <w:rsid w:val="00505C3D"/>
    <w:rsid w:val="005067F4"/>
    <w:rsid w:val="00507140"/>
    <w:rsid w:val="005072C1"/>
    <w:rsid w:val="00507B88"/>
    <w:rsid w:val="00507CE8"/>
    <w:rsid w:val="005106CC"/>
    <w:rsid w:val="005108A2"/>
    <w:rsid w:val="005108D9"/>
    <w:rsid w:val="00510FE1"/>
    <w:rsid w:val="0051175A"/>
    <w:rsid w:val="00511CC0"/>
    <w:rsid w:val="00511D0B"/>
    <w:rsid w:val="005129B0"/>
    <w:rsid w:val="00512A5B"/>
    <w:rsid w:val="00512A7B"/>
    <w:rsid w:val="00512F57"/>
    <w:rsid w:val="005134B4"/>
    <w:rsid w:val="0051390F"/>
    <w:rsid w:val="00513958"/>
    <w:rsid w:val="00513D68"/>
    <w:rsid w:val="005142D5"/>
    <w:rsid w:val="00514960"/>
    <w:rsid w:val="005149C5"/>
    <w:rsid w:val="005149D2"/>
    <w:rsid w:val="00514D91"/>
    <w:rsid w:val="00515110"/>
    <w:rsid w:val="0051517F"/>
    <w:rsid w:val="005152B9"/>
    <w:rsid w:val="0051562C"/>
    <w:rsid w:val="00515D8E"/>
    <w:rsid w:val="00516991"/>
    <w:rsid w:val="00516AB1"/>
    <w:rsid w:val="00516DFA"/>
    <w:rsid w:val="0051716E"/>
    <w:rsid w:val="00517F3C"/>
    <w:rsid w:val="00520086"/>
    <w:rsid w:val="005207D9"/>
    <w:rsid w:val="00520ABC"/>
    <w:rsid w:val="0052124D"/>
    <w:rsid w:val="005218CF"/>
    <w:rsid w:val="00521E35"/>
    <w:rsid w:val="00521E7E"/>
    <w:rsid w:val="00522024"/>
    <w:rsid w:val="00522BA9"/>
    <w:rsid w:val="00522F58"/>
    <w:rsid w:val="00523B15"/>
    <w:rsid w:val="00524710"/>
    <w:rsid w:val="00524961"/>
    <w:rsid w:val="00524B4E"/>
    <w:rsid w:val="00525344"/>
    <w:rsid w:val="0052552A"/>
    <w:rsid w:val="00525700"/>
    <w:rsid w:val="00525832"/>
    <w:rsid w:val="00525BDA"/>
    <w:rsid w:val="00526052"/>
    <w:rsid w:val="0052614F"/>
    <w:rsid w:val="005268B3"/>
    <w:rsid w:val="00526B29"/>
    <w:rsid w:val="00527117"/>
    <w:rsid w:val="005276D7"/>
    <w:rsid w:val="00527C61"/>
    <w:rsid w:val="00527E04"/>
    <w:rsid w:val="005301A7"/>
    <w:rsid w:val="005301AB"/>
    <w:rsid w:val="0053020C"/>
    <w:rsid w:val="0053035E"/>
    <w:rsid w:val="00531185"/>
    <w:rsid w:val="005311C1"/>
    <w:rsid w:val="00531776"/>
    <w:rsid w:val="00531F5D"/>
    <w:rsid w:val="0053275B"/>
    <w:rsid w:val="00532969"/>
    <w:rsid w:val="00533940"/>
    <w:rsid w:val="00533A70"/>
    <w:rsid w:val="00533EE4"/>
    <w:rsid w:val="00533FE1"/>
    <w:rsid w:val="0053408C"/>
    <w:rsid w:val="00534EB4"/>
    <w:rsid w:val="005355EC"/>
    <w:rsid w:val="005356D3"/>
    <w:rsid w:val="005363DF"/>
    <w:rsid w:val="00536516"/>
    <w:rsid w:val="00536B9F"/>
    <w:rsid w:val="00537295"/>
    <w:rsid w:val="005375E2"/>
    <w:rsid w:val="0053776E"/>
    <w:rsid w:val="005377E4"/>
    <w:rsid w:val="00537818"/>
    <w:rsid w:val="00537B1E"/>
    <w:rsid w:val="0054009F"/>
    <w:rsid w:val="005401BB"/>
    <w:rsid w:val="0054062E"/>
    <w:rsid w:val="00540CF5"/>
    <w:rsid w:val="00540E41"/>
    <w:rsid w:val="00540E90"/>
    <w:rsid w:val="00541129"/>
    <w:rsid w:val="00541AF2"/>
    <w:rsid w:val="00541D9C"/>
    <w:rsid w:val="0054295F"/>
    <w:rsid w:val="00542FF2"/>
    <w:rsid w:val="00543285"/>
    <w:rsid w:val="00543C2D"/>
    <w:rsid w:val="00544886"/>
    <w:rsid w:val="00545022"/>
    <w:rsid w:val="00545581"/>
    <w:rsid w:val="00545887"/>
    <w:rsid w:val="00545DE9"/>
    <w:rsid w:val="00545FAE"/>
    <w:rsid w:val="0054625D"/>
    <w:rsid w:val="005463AC"/>
    <w:rsid w:val="00546412"/>
    <w:rsid w:val="005464CA"/>
    <w:rsid w:val="00546E1A"/>
    <w:rsid w:val="00546E39"/>
    <w:rsid w:val="005472A8"/>
    <w:rsid w:val="005476FD"/>
    <w:rsid w:val="00550412"/>
    <w:rsid w:val="00550659"/>
    <w:rsid w:val="00550E70"/>
    <w:rsid w:val="005510A9"/>
    <w:rsid w:val="00551A06"/>
    <w:rsid w:val="00551B10"/>
    <w:rsid w:val="005520EF"/>
    <w:rsid w:val="005521C8"/>
    <w:rsid w:val="005523E5"/>
    <w:rsid w:val="00553666"/>
    <w:rsid w:val="00553D54"/>
    <w:rsid w:val="00553DA3"/>
    <w:rsid w:val="00553EA7"/>
    <w:rsid w:val="00553F99"/>
    <w:rsid w:val="005541A0"/>
    <w:rsid w:val="0055420C"/>
    <w:rsid w:val="00554CDB"/>
    <w:rsid w:val="00554F42"/>
    <w:rsid w:val="0055538A"/>
    <w:rsid w:val="005554A0"/>
    <w:rsid w:val="00555B9C"/>
    <w:rsid w:val="00556703"/>
    <w:rsid w:val="00556DDB"/>
    <w:rsid w:val="00556E7D"/>
    <w:rsid w:val="00556EAE"/>
    <w:rsid w:val="00557EE0"/>
    <w:rsid w:val="005600CC"/>
    <w:rsid w:val="0056047F"/>
    <w:rsid w:val="00560EE3"/>
    <w:rsid w:val="005616DE"/>
    <w:rsid w:val="00561973"/>
    <w:rsid w:val="00561ECE"/>
    <w:rsid w:val="00562507"/>
    <w:rsid w:val="00562514"/>
    <w:rsid w:val="00562599"/>
    <w:rsid w:val="00562820"/>
    <w:rsid w:val="005628AE"/>
    <w:rsid w:val="00562BB3"/>
    <w:rsid w:val="00562C08"/>
    <w:rsid w:val="00562CEE"/>
    <w:rsid w:val="00563068"/>
    <w:rsid w:val="005635DC"/>
    <w:rsid w:val="00563C6E"/>
    <w:rsid w:val="00563C75"/>
    <w:rsid w:val="00563FC1"/>
    <w:rsid w:val="0056420E"/>
    <w:rsid w:val="00564353"/>
    <w:rsid w:val="00564791"/>
    <w:rsid w:val="005648E9"/>
    <w:rsid w:val="005650D1"/>
    <w:rsid w:val="00565397"/>
    <w:rsid w:val="0056555E"/>
    <w:rsid w:val="005657F4"/>
    <w:rsid w:val="00565D2C"/>
    <w:rsid w:val="00565D3B"/>
    <w:rsid w:val="00566A9F"/>
    <w:rsid w:val="005670C2"/>
    <w:rsid w:val="00567628"/>
    <w:rsid w:val="00567920"/>
    <w:rsid w:val="00570B35"/>
    <w:rsid w:val="00570B98"/>
    <w:rsid w:val="0057116F"/>
    <w:rsid w:val="0057154E"/>
    <w:rsid w:val="005718C3"/>
    <w:rsid w:val="00572AFE"/>
    <w:rsid w:val="00572B89"/>
    <w:rsid w:val="00572C7E"/>
    <w:rsid w:val="005734D5"/>
    <w:rsid w:val="005736BD"/>
    <w:rsid w:val="005739C9"/>
    <w:rsid w:val="005746D8"/>
    <w:rsid w:val="00574A33"/>
    <w:rsid w:val="00574B24"/>
    <w:rsid w:val="005750D4"/>
    <w:rsid w:val="0057578C"/>
    <w:rsid w:val="00575B7A"/>
    <w:rsid w:val="00575EA9"/>
    <w:rsid w:val="00576DD7"/>
    <w:rsid w:val="0057741B"/>
    <w:rsid w:val="005774E6"/>
    <w:rsid w:val="005779DE"/>
    <w:rsid w:val="00577B26"/>
    <w:rsid w:val="00577E8C"/>
    <w:rsid w:val="00577F6C"/>
    <w:rsid w:val="005800A5"/>
    <w:rsid w:val="00580360"/>
    <w:rsid w:val="0058047F"/>
    <w:rsid w:val="0058080E"/>
    <w:rsid w:val="00580A21"/>
    <w:rsid w:val="0058121F"/>
    <w:rsid w:val="005813FA"/>
    <w:rsid w:val="00581CB7"/>
    <w:rsid w:val="005822E0"/>
    <w:rsid w:val="005828EB"/>
    <w:rsid w:val="00582F48"/>
    <w:rsid w:val="00583758"/>
    <w:rsid w:val="00583B25"/>
    <w:rsid w:val="0058439B"/>
    <w:rsid w:val="0058460E"/>
    <w:rsid w:val="00584E5C"/>
    <w:rsid w:val="00585EA4"/>
    <w:rsid w:val="00585ED3"/>
    <w:rsid w:val="0058656C"/>
    <w:rsid w:val="00586B5F"/>
    <w:rsid w:val="00586EAD"/>
    <w:rsid w:val="00587742"/>
    <w:rsid w:val="00587997"/>
    <w:rsid w:val="00587C60"/>
    <w:rsid w:val="00587D7A"/>
    <w:rsid w:val="00587F2F"/>
    <w:rsid w:val="005902FB"/>
    <w:rsid w:val="00590601"/>
    <w:rsid w:val="00590B22"/>
    <w:rsid w:val="00590C6C"/>
    <w:rsid w:val="00590C83"/>
    <w:rsid w:val="00590C8A"/>
    <w:rsid w:val="00590DD0"/>
    <w:rsid w:val="005919A9"/>
    <w:rsid w:val="00592381"/>
    <w:rsid w:val="005924F0"/>
    <w:rsid w:val="0059281C"/>
    <w:rsid w:val="00592D09"/>
    <w:rsid w:val="00592F9C"/>
    <w:rsid w:val="005931F7"/>
    <w:rsid w:val="0059364C"/>
    <w:rsid w:val="00593B22"/>
    <w:rsid w:val="005947FB"/>
    <w:rsid w:val="00594B20"/>
    <w:rsid w:val="005951C0"/>
    <w:rsid w:val="00595779"/>
    <w:rsid w:val="00595859"/>
    <w:rsid w:val="0059634B"/>
    <w:rsid w:val="0059661F"/>
    <w:rsid w:val="00596F47"/>
    <w:rsid w:val="005970FD"/>
    <w:rsid w:val="00597476"/>
    <w:rsid w:val="00597AE4"/>
    <w:rsid w:val="005A0713"/>
    <w:rsid w:val="005A0E3B"/>
    <w:rsid w:val="005A13A6"/>
    <w:rsid w:val="005A19E5"/>
    <w:rsid w:val="005A2083"/>
    <w:rsid w:val="005A2F64"/>
    <w:rsid w:val="005A30CA"/>
    <w:rsid w:val="005A332F"/>
    <w:rsid w:val="005A3D14"/>
    <w:rsid w:val="005A3FB1"/>
    <w:rsid w:val="005A4085"/>
    <w:rsid w:val="005A43D4"/>
    <w:rsid w:val="005A45A1"/>
    <w:rsid w:val="005A4721"/>
    <w:rsid w:val="005A4ED2"/>
    <w:rsid w:val="005A5216"/>
    <w:rsid w:val="005A534E"/>
    <w:rsid w:val="005A554B"/>
    <w:rsid w:val="005A59B7"/>
    <w:rsid w:val="005A5CFE"/>
    <w:rsid w:val="005A5EE4"/>
    <w:rsid w:val="005A6344"/>
    <w:rsid w:val="005A6602"/>
    <w:rsid w:val="005A6DA2"/>
    <w:rsid w:val="005A744E"/>
    <w:rsid w:val="005A761A"/>
    <w:rsid w:val="005A7984"/>
    <w:rsid w:val="005A7AAF"/>
    <w:rsid w:val="005B07BD"/>
    <w:rsid w:val="005B0D9F"/>
    <w:rsid w:val="005B107C"/>
    <w:rsid w:val="005B1C6F"/>
    <w:rsid w:val="005B203E"/>
    <w:rsid w:val="005B208C"/>
    <w:rsid w:val="005B2A1B"/>
    <w:rsid w:val="005B2D66"/>
    <w:rsid w:val="005B2FAD"/>
    <w:rsid w:val="005B3128"/>
    <w:rsid w:val="005B3EF8"/>
    <w:rsid w:val="005B4232"/>
    <w:rsid w:val="005B44A4"/>
    <w:rsid w:val="005B465A"/>
    <w:rsid w:val="005B4771"/>
    <w:rsid w:val="005B4D51"/>
    <w:rsid w:val="005B4F2A"/>
    <w:rsid w:val="005B5064"/>
    <w:rsid w:val="005B5B39"/>
    <w:rsid w:val="005B5C49"/>
    <w:rsid w:val="005B63BC"/>
    <w:rsid w:val="005B64C1"/>
    <w:rsid w:val="005B6FC8"/>
    <w:rsid w:val="005B735D"/>
    <w:rsid w:val="005B7628"/>
    <w:rsid w:val="005B7B20"/>
    <w:rsid w:val="005B7FC0"/>
    <w:rsid w:val="005C00C9"/>
    <w:rsid w:val="005C0E3F"/>
    <w:rsid w:val="005C1020"/>
    <w:rsid w:val="005C15DC"/>
    <w:rsid w:val="005C17F5"/>
    <w:rsid w:val="005C20A8"/>
    <w:rsid w:val="005C245F"/>
    <w:rsid w:val="005C2ED3"/>
    <w:rsid w:val="005C2F07"/>
    <w:rsid w:val="005C3498"/>
    <w:rsid w:val="005C386E"/>
    <w:rsid w:val="005C3EE3"/>
    <w:rsid w:val="005C4161"/>
    <w:rsid w:val="005C5051"/>
    <w:rsid w:val="005C5075"/>
    <w:rsid w:val="005C5737"/>
    <w:rsid w:val="005C5911"/>
    <w:rsid w:val="005C5926"/>
    <w:rsid w:val="005C5A73"/>
    <w:rsid w:val="005C5EEE"/>
    <w:rsid w:val="005C76F9"/>
    <w:rsid w:val="005D0274"/>
    <w:rsid w:val="005D03DA"/>
    <w:rsid w:val="005D0645"/>
    <w:rsid w:val="005D0748"/>
    <w:rsid w:val="005D082C"/>
    <w:rsid w:val="005D09A2"/>
    <w:rsid w:val="005D09FF"/>
    <w:rsid w:val="005D0E8A"/>
    <w:rsid w:val="005D10D9"/>
    <w:rsid w:val="005D10F7"/>
    <w:rsid w:val="005D1BF3"/>
    <w:rsid w:val="005D2011"/>
    <w:rsid w:val="005D2195"/>
    <w:rsid w:val="005D2A16"/>
    <w:rsid w:val="005D314F"/>
    <w:rsid w:val="005D3848"/>
    <w:rsid w:val="005D3C3A"/>
    <w:rsid w:val="005D3CA4"/>
    <w:rsid w:val="005D3D01"/>
    <w:rsid w:val="005D3F0F"/>
    <w:rsid w:val="005D42BF"/>
    <w:rsid w:val="005D465A"/>
    <w:rsid w:val="005D4B36"/>
    <w:rsid w:val="005D4BDD"/>
    <w:rsid w:val="005D4DE4"/>
    <w:rsid w:val="005D5180"/>
    <w:rsid w:val="005D6617"/>
    <w:rsid w:val="005D6A45"/>
    <w:rsid w:val="005D743B"/>
    <w:rsid w:val="005D7547"/>
    <w:rsid w:val="005E0D4D"/>
    <w:rsid w:val="005E0F48"/>
    <w:rsid w:val="005E14FB"/>
    <w:rsid w:val="005E15C5"/>
    <w:rsid w:val="005E15CC"/>
    <w:rsid w:val="005E18BC"/>
    <w:rsid w:val="005E1CC1"/>
    <w:rsid w:val="005E2858"/>
    <w:rsid w:val="005E2BDD"/>
    <w:rsid w:val="005E3A8E"/>
    <w:rsid w:val="005E3B35"/>
    <w:rsid w:val="005E3B84"/>
    <w:rsid w:val="005E3EBA"/>
    <w:rsid w:val="005E4725"/>
    <w:rsid w:val="005E472F"/>
    <w:rsid w:val="005E47C5"/>
    <w:rsid w:val="005E47CD"/>
    <w:rsid w:val="005E4D15"/>
    <w:rsid w:val="005E4DE2"/>
    <w:rsid w:val="005E4E19"/>
    <w:rsid w:val="005E536D"/>
    <w:rsid w:val="005E55F0"/>
    <w:rsid w:val="005E5708"/>
    <w:rsid w:val="005E6701"/>
    <w:rsid w:val="005E75A5"/>
    <w:rsid w:val="005E7645"/>
    <w:rsid w:val="005E78AE"/>
    <w:rsid w:val="005E78BE"/>
    <w:rsid w:val="005F05EA"/>
    <w:rsid w:val="005F12C8"/>
    <w:rsid w:val="005F1F50"/>
    <w:rsid w:val="005F2D0D"/>
    <w:rsid w:val="005F2FB6"/>
    <w:rsid w:val="005F3029"/>
    <w:rsid w:val="005F3758"/>
    <w:rsid w:val="005F382C"/>
    <w:rsid w:val="005F3AA4"/>
    <w:rsid w:val="005F404B"/>
    <w:rsid w:val="005F426D"/>
    <w:rsid w:val="005F5A8E"/>
    <w:rsid w:val="005F5EFA"/>
    <w:rsid w:val="005F62FA"/>
    <w:rsid w:val="005F63B2"/>
    <w:rsid w:val="005F63E3"/>
    <w:rsid w:val="005F664F"/>
    <w:rsid w:val="005F6ACA"/>
    <w:rsid w:val="005F7226"/>
    <w:rsid w:val="005F73C0"/>
    <w:rsid w:val="005F7AB5"/>
    <w:rsid w:val="006011FD"/>
    <w:rsid w:val="0060181A"/>
    <w:rsid w:val="00601CA0"/>
    <w:rsid w:val="00601E62"/>
    <w:rsid w:val="006027D6"/>
    <w:rsid w:val="006028D3"/>
    <w:rsid w:val="0060315D"/>
    <w:rsid w:val="00603208"/>
    <w:rsid w:val="006033E9"/>
    <w:rsid w:val="00603438"/>
    <w:rsid w:val="00603647"/>
    <w:rsid w:val="00603658"/>
    <w:rsid w:val="00603BED"/>
    <w:rsid w:val="006041AB"/>
    <w:rsid w:val="00604984"/>
    <w:rsid w:val="00604FB3"/>
    <w:rsid w:val="00605031"/>
    <w:rsid w:val="006061DB"/>
    <w:rsid w:val="00606983"/>
    <w:rsid w:val="00606F5E"/>
    <w:rsid w:val="0060745D"/>
    <w:rsid w:val="00610468"/>
    <w:rsid w:val="0061046F"/>
    <w:rsid w:val="00610B33"/>
    <w:rsid w:val="00611062"/>
    <w:rsid w:val="006116A5"/>
    <w:rsid w:val="0061173F"/>
    <w:rsid w:val="0061186F"/>
    <w:rsid w:val="00611E23"/>
    <w:rsid w:val="0061214D"/>
    <w:rsid w:val="006127A1"/>
    <w:rsid w:val="00612956"/>
    <w:rsid w:val="00612C2D"/>
    <w:rsid w:val="00612CE8"/>
    <w:rsid w:val="00612F2B"/>
    <w:rsid w:val="006134DC"/>
    <w:rsid w:val="00613A5B"/>
    <w:rsid w:val="00613B06"/>
    <w:rsid w:val="00613C3F"/>
    <w:rsid w:val="00613C7E"/>
    <w:rsid w:val="00614F09"/>
    <w:rsid w:val="00615832"/>
    <w:rsid w:val="0061591A"/>
    <w:rsid w:val="00616066"/>
    <w:rsid w:val="006166B5"/>
    <w:rsid w:val="0061700E"/>
    <w:rsid w:val="006170C9"/>
    <w:rsid w:val="0061734C"/>
    <w:rsid w:val="006175D1"/>
    <w:rsid w:val="00617E51"/>
    <w:rsid w:val="006207D3"/>
    <w:rsid w:val="00620B39"/>
    <w:rsid w:val="006216D9"/>
    <w:rsid w:val="00622073"/>
    <w:rsid w:val="006220BD"/>
    <w:rsid w:val="00622734"/>
    <w:rsid w:val="0062399E"/>
    <w:rsid w:val="00623F13"/>
    <w:rsid w:val="006243F4"/>
    <w:rsid w:val="00624A7B"/>
    <w:rsid w:val="00624FA8"/>
    <w:rsid w:val="0062505A"/>
    <w:rsid w:val="00625193"/>
    <w:rsid w:val="00625D84"/>
    <w:rsid w:val="00625E61"/>
    <w:rsid w:val="00627054"/>
    <w:rsid w:val="00627347"/>
    <w:rsid w:val="00627700"/>
    <w:rsid w:val="00630226"/>
    <w:rsid w:val="006304E8"/>
    <w:rsid w:val="00630CA5"/>
    <w:rsid w:val="00630CCC"/>
    <w:rsid w:val="00631288"/>
    <w:rsid w:val="006312CC"/>
    <w:rsid w:val="006315FC"/>
    <w:rsid w:val="006320AB"/>
    <w:rsid w:val="00632328"/>
    <w:rsid w:val="00632C7F"/>
    <w:rsid w:val="00633668"/>
    <w:rsid w:val="00633A0F"/>
    <w:rsid w:val="006341A7"/>
    <w:rsid w:val="006344AA"/>
    <w:rsid w:val="00634AA1"/>
    <w:rsid w:val="00634CD4"/>
    <w:rsid w:val="006351F6"/>
    <w:rsid w:val="00635E1B"/>
    <w:rsid w:val="00635EFE"/>
    <w:rsid w:val="00635F74"/>
    <w:rsid w:val="00636178"/>
    <w:rsid w:val="0063629F"/>
    <w:rsid w:val="00636867"/>
    <w:rsid w:val="00636957"/>
    <w:rsid w:val="00636958"/>
    <w:rsid w:val="00636E52"/>
    <w:rsid w:val="00636FE3"/>
    <w:rsid w:val="006370AE"/>
    <w:rsid w:val="00637124"/>
    <w:rsid w:val="00637176"/>
    <w:rsid w:val="006375B9"/>
    <w:rsid w:val="006401E7"/>
    <w:rsid w:val="00640218"/>
    <w:rsid w:val="00640800"/>
    <w:rsid w:val="00640BBD"/>
    <w:rsid w:val="00640D71"/>
    <w:rsid w:val="00640F74"/>
    <w:rsid w:val="00640F8A"/>
    <w:rsid w:val="00641050"/>
    <w:rsid w:val="00642A9B"/>
    <w:rsid w:val="00642C6B"/>
    <w:rsid w:val="00642F05"/>
    <w:rsid w:val="006430B6"/>
    <w:rsid w:val="006438F1"/>
    <w:rsid w:val="00644622"/>
    <w:rsid w:val="00644E86"/>
    <w:rsid w:val="006451A1"/>
    <w:rsid w:val="006456E9"/>
    <w:rsid w:val="00645B85"/>
    <w:rsid w:val="00645C67"/>
    <w:rsid w:val="00645D26"/>
    <w:rsid w:val="00645F76"/>
    <w:rsid w:val="006503D3"/>
    <w:rsid w:val="00650D00"/>
    <w:rsid w:val="00650F0D"/>
    <w:rsid w:val="00651A50"/>
    <w:rsid w:val="00651BE1"/>
    <w:rsid w:val="006520AA"/>
    <w:rsid w:val="00652770"/>
    <w:rsid w:val="00652AD1"/>
    <w:rsid w:val="00652CBC"/>
    <w:rsid w:val="00652D57"/>
    <w:rsid w:val="00653676"/>
    <w:rsid w:val="00653D04"/>
    <w:rsid w:val="006544DA"/>
    <w:rsid w:val="00654569"/>
    <w:rsid w:val="0065462B"/>
    <w:rsid w:val="00654DB8"/>
    <w:rsid w:val="00655772"/>
    <w:rsid w:val="00655885"/>
    <w:rsid w:val="00656330"/>
    <w:rsid w:val="00656371"/>
    <w:rsid w:val="0065639E"/>
    <w:rsid w:val="00656A87"/>
    <w:rsid w:val="00656DE5"/>
    <w:rsid w:val="00657174"/>
    <w:rsid w:val="0065726D"/>
    <w:rsid w:val="0066021C"/>
    <w:rsid w:val="00660BC4"/>
    <w:rsid w:val="0066177E"/>
    <w:rsid w:val="00661A03"/>
    <w:rsid w:val="00661E34"/>
    <w:rsid w:val="00662671"/>
    <w:rsid w:val="00662A0C"/>
    <w:rsid w:val="00662B9B"/>
    <w:rsid w:val="006631FF"/>
    <w:rsid w:val="00663226"/>
    <w:rsid w:val="0066391D"/>
    <w:rsid w:val="00663988"/>
    <w:rsid w:val="00663DDA"/>
    <w:rsid w:val="006643E7"/>
    <w:rsid w:val="0066476F"/>
    <w:rsid w:val="0066488C"/>
    <w:rsid w:val="0066496E"/>
    <w:rsid w:val="00664C09"/>
    <w:rsid w:val="00665024"/>
    <w:rsid w:val="006652DE"/>
    <w:rsid w:val="006653B6"/>
    <w:rsid w:val="006654AD"/>
    <w:rsid w:val="00665C67"/>
    <w:rsid w:val="00665D5E"/>
    <w:rsid w:val="00665EDE"/>
    <w:rsid w:val="00666AAA"/>
    <w:rsid w:val="00666C32"/>
    <w:rsid w:val="00666CCE"/>
    <w:rsid w:val="00667BD0"/>
    <w:rsid w:val="0067002D"/>
    <w:rsid w:val="00670F72"/>
    <w:rsid w:val="006712F0"/>
    <w:rsid w:val="006714E4"/>
    <w:rsid w:val="00671BAC"/>
    <w:rsid w:val="006722F0"/>
    <w:rsid w:val="0067239B"/>
    <w:rsid w:val="006726D8"/>
    <w:rsid w:val="00672E31"/>
    <w:rsid w:val="006732F5"/>
    <w:rsid w:val="00673557"/>
    <w:rsid w:val="00673638"/>
    <w:rsid w:val="00673911"/>
    <w:rsid w:val="00673C5D"/>
    <w:rsid w:val="00673E6B"/>
    <w:rsid w:val="00673FBC"/>
    <w:rsid w:val="0067446D"/>
    <w:rsid w:val="00675554"/>
    <w:rsid w:val="00675AE8"/>
    <w:rsid w:val="00675CA9"/>
    <w:rsid w:val="00676031"/>
    <w:rsid w:val="00676832"/>
    <w:rsid w:val="0067694F"/>
    <w:rsid w:val="00676E01"/>
    <w:rsid w:val="00676EE9"/>
    <w:rsid w:val="00676F7D"/>
    <w:rsid w:val="006772F8"/>
    <w:rsid w:val="00677738"/>
    <w:rsid w:val="0068135C"/>
    <w:rsid w:val="00682417"/>
    <w:rsid w:val="00682598"/>
    <w:rsid w:val="00682E0D"/>
    <w:rsid w:val="00682F01"/>
    <w:rsid w:val="006834A5"/>
    <w:rsid w:val="0068358C"/>
    <w:rsid w:val="00683A0F"/>
    <w:rsid w:val="00683C37"/>
    <w:rsid w:val="0068430C"/>
    <w:rsid w:val="00684396"/>
    <w:rsid w:val="006844A7"/>
    <w:rsid w:val="00684569"/>
    <w:rsid w:val="00684F1F"/>
    <w:rsid w:val="006853BB"/>
    <w:rsid w:val="0068541C"/>
    <w:rsid w:val="0068546D"/>
    <w:rsid w:val="00685FDB"/>
    <w:rsid w:val="00685FE5"/>
    <w:rsid w:val="0068607F"/>
    <w:rsid w:val="0068690D"/>
    <w:rsid w:val="006876E9"/>
    <w:rsid w:val="00687AB9"/>
    <w:rsid w:val="00687E4B"/>
    <w:rsid w:val="00690429"/>
    <w:rsid w:val="00690ADE"/>
    <w:rsid w:val="00690B67"/>
    <w:rsid w:val="00690FD1"/>
    <w:rsid w:val="00690FD7"/>
    <w:rsid w:val="006918F6"/>
    <w:rsid w:val="00691DE5"/>
    <w:rsid w:val="00691E9C"/>
    <w:rsid w:val="00692082"/>
    <w:rsid w:val="00692509"/>
    <w:rsid w:val="006935CF"/>
    <w:rsid w:val="006936F5"/>
    <w:rsid w:val="00693E07"/>
    <w:rsid w:val="00694135"/>
    <w:rsid w:val="00694D20"/>
    <w:rsid w:val="00694DD3"/>
    <w:rsid w:val="00694E76"/>
    <w:rsid w:val="00694E8F"/>
    <w:rsid w:val="00695F2C"/>
    <w:rsid w:val="006964F3"/>
    <w:rsid w:val="00696A34"/>
    <w:rsid w:val="00696CA2"/>
    <w:rsid w:val="0069745A"/>
    <w:rsid w:val="0069758E"/>
    <w:rsid w:val="00697704"/>
    <w:rsid w:val="006A01F5"/>
    <w:rsid w:val="006A02B1"/>
    <w:rsid w:val="006A02BB"/>
    <w:rsid w:val="006A0C35"/>
    <w:rsid w:val="006A0C83"/>
    <w:rsid w:val="006A0F06"/>
    <w:rsid w:val="006A135B"/>
    <w:rsid w:val="006A13DE"/>
    <w:rsid w:val="006A1418"/>
    <w:rsid w:val="006A1720"/>
    <w:rsid w:val="006A1ED3"/>
    <w:rsid w:val="006A2716"/>
    <w:rsid w:val="006A39AB"/>
    <w:rsid w:val="006A3A34"/>
    <w:rsid w:val="006A3C9B"/>
    <w:rsid w:val="006A3F8C"/>
    <w:rsid w:val="006A474E"/>
    <w:rsid w:val="006A4A07"/>
    <w:rsid w:val="006A4D77"/>
    <w:rsid w:val="006A5128"/>
    <w:rsid w:val="006A5AEA"/>
    <w:rsid w:val="006A5F53"/>
    <w:rsid w:val="006A6385"/>
    <w:rsid w:val="006A6B53"/>
    <w:rsid w:val="006A6BE8"/>
    <w:rsid w:val="006A74AC"/>
    <w:rsid w:val="006A7E29"/>
    <w:rsid w:val="006B058A"/>
    <w:rsid w:val="006B11B9"/>
    <w:rsid w:val="006B13D0"/>
    <w:rsid w:val="006B19E9"/>
    <w:rsid w:val="006B22BA"/>
    <w:rsid w:val="006B27D9"/>
    <w:rsid w:val="006B2EA2"/>
    <w:rsid w:val="006B30E1"/>
    <w:rsid w:val="006B352A"/>
    <w:rsid w:val="006B3989"/>
    <w:rsid w:val="006B3D4F"/>
    <w:rsid w:val="006B4B49"/>
    <w:rsid w:val="006B4CF0"/>
    <w:rsid w:val="006B504A"/>
    <w:rsid w:val="006B58E1"/>
    <w:rsid w:val="006B59DE"/>
    <w:rsid w:val="006B65A6"/>
    <w:rsid w:val="006B6973"/>
    <w:rsid w:val="006B69D7"/>
    <w:rsid w:val="006B6DB3"/>
    <w:rsid w:val="006B78D1"/>
    <w:rsid w:val="006B7927"/>
    <w:rsid w:val="006C01D6"/>
    <w:rsid w:val="006C0355"/>
    <w:rsid w:val="006C091F"/>
    <w:rsid w:val="006C0F0C"/>
    <w:rsid w:val="006C1171"/>
    <w:rsid w:val="006C1802"/>
    <w:rsid w:val="006C1EDC"/>
    <w:rsid w:val="006C1F25"/>
    <w:rsid w:val="006C2056"/>
    <w:rsid w:val="006C2097"/>
    <w:rsid w:val="006C26D6"/>
    <w:rsid w:val="006C2D4B"/>
    <w:rsid w:val="006C31C5"/>
    <w:rsid w:val="006C39EE"/>
    <w:rsid w:val="006C3E84"/>
    <w:rsid w:val="006C416D"/>
    <w:rsid w:val="006C44D7"/>
    <w:rsid w:val="006C4602"/>
    <w:rsid w:val="006C460C"/>
    <w:rsid w:val="006C4917"/>
    <w:rsid w:val="006C4CCF"/>
    <w:rsid w:val="006C4D6C"/>
    <w:rsid w:val="006C54CF"/>
    <w:rsid w:val="006C5580"/>
    <w:rsid w:val="006C585E"/>
    <w:rsid w:val="006C5D09"/>
    <w:rsid w:val="006C5D40"/>
    <w:rsid w:val="006C5F4D"/>
    <w:rsid w:val="006C6026"/>
    <w:rsid w:val="006C61F8"/>
    <w:rsid w:val="006C663D"/>
    <w:rsid w:val="006C6880"/>
    <w:rsid w:val="006C76F9"/>
    <w:rsid w:val="006C7816"/>
    <w:rsid w:val="006C785E"/>
    <w:rsid w:val="006C7DC1"/>
    <w:rsid w:val="006D0005"/>
    <w:rsid w:val="006D0364"/>
    <w:rsid w:val="006D0571"/>
    <w:rsid w:val="006D06D5"/>
    <w:rsid w:val="006D09F3"/>
    <w:rsid w:val="006D1F9E"/>
    <w:rsid w:val="006D2220"/>
    <w:rsid w:val="006D2283"/>
    <w:rsid w:val="006D2BA4"/>
    <w:rsid w:val="006D3071"/>
    <w:rsid w:val="006D4456"/>
    <w:rsid w:val="006D446E"/>
    <w:rsid w:val="006D4C1E"/>
    <w:rsid w:val="006D4F4B"/>
    <w:rsid w:val="006D5E9D"/>
    <w:rsid w:val="006D5F97"/>
    <w:rsid w:val="006D64EC"/>
    <w:rsid w:val="006D6525"/>
    <w:rsid w:val="006D655F"/>
    <w:rsid w:val="006D6DF2"/>
    <w:rsid w:val="006D795C"/>
    <w:rsid w:val="006D7E8B"/>
    <w:rsid w:val="006E13A5"/>
    <w:rsid w:val="006E1913"/>
    <w:rsid w:val="006E1EB9"/>
    <w:rsid w:val="006E37B8"/>
    <w:rsid w:val="006E3977"/>
    <w:rsid w:val="006E42D0"/>
    <w:rsid w:val="006E4509"/>
    <w:rsid w:val="006E4887"/>
    <w:rsid w:val="006E498C"/>
    <w:rsid w:val="006E4B6B"/>
    <w:rsid w:val="006E58A5"/>
    <w:rsid w:val="006E5A8D"/>
    <w:rsid w:val="006E765D"/>
    <w:rsid w:val="006F1258"/>
    <w:rsid w:val="006F14D0"/>
    <w:rsid w:val="006F159D"/>
    <w:rsid w:val="006F1604"/>
    <w:rsid w:val="006F2F63"/>
    <w:rsid w:val="006F30B7"/>
    <w:rsid w:val="006F30E3"/>
    <w:rsid w:val="006F3586"/>
    <w:rsid w:val="006F365B"/>
    <w:rsid w:val="006F3870"/>
    <w:rsid w:val="006F38B8"/>
    <w:rsid w:val="006F3BD3"/>
    <w:rsid w:val="006F3EC7"/>
    <w:rsid w:val="006F412B"/>
    <w:rsid w:val="006F45B8"/>
    <w:rsid w:val="006F476A"/>
    <w:rsid w:val="006F49B2"/>
    <w:rsid w:val="006F62A6"/>
    <w:rsid w:val="006F69EC"/>
    <w:rsid w:val="006F69F8"/>
    <w:rsid w:val="006F7340"/>
    <w:rsid w:val="006F7517"/>
    <w:rsid w:val="006F7B8C"/>
    <w:rsid w:val="007004C0"/>
    <w:rsid w:val="00700E96"/>
    <w:rsid w:val="0070117A"/>
    <w:rsid w:val="00701637"/>
    <w:rsid w:val="007018D7"/>
    <w:rsid w:val="00701AB8"/>
    <w:rsid w:val="00701DE3"/>
    <w:rsid w:val="00701DFA"/>
    <w:rsid w:val="00701E34"/>
    <w:rsid w:val="00702752"/>
    <w:rsid w:val="00703B41"/>
    <w:rsid w:val="0070409F"/>
    <w:rsid w:val="007041F1"/>
    <w:rsid w:val="007043FC"/>
    <w:rsid w:val="00704596"/>
    <w:rsid w:val="007047B8"/>
    <w:rsid w:val="00704DAD"/>
    <w:rsid w:val="00704EF0"/>
    <w:rsid w:val="0070515E"/>
    <w:rsid w:val="00705161"/>
    <w:rsid w:val="0070624E"/>
    <w:rsid w:val="0070631F"/>
    <w:rsid w:val="00706F84"/>
    <w:rsid w:val="0070723A"/>
    <w:rsid w:val="007072C6"/>
    <w:rsid w:val="007076D4"/>
    <w:rsid w:val="0070799B"/>
    <w:rsid w:val="007105BE"/>
    <w:rsid w:val="00710A85"/>
    <w:rsid w:val="00711451"/>
    <w:rsid w:val="007115D2"/>
    <w:rsid w:val="007116BF"/>
    <w:rsid w:val="00711937"/>
    <w:rsid w:val="00711B55"/>
    <w:rsid w:val="00711C8D"/>
    <w:rsid w:val="007122E0"/>
    <w:rsid w:val="00712BE7"/>
    <w:rsid w:val="007136DF"/>
    <w:rsid w:val="00713C3E"/>
    <w:rsid w:val="00713CB7"/>
    <w:rsid w:val="007140D3"/>
    <w:rsid w:val="00714129"/>
    <w:rsid w:val="00714225"/>
    <w:rsid w:val="00714409"/>
    <w:rsid w:val="00714451"/>
    <w:rsid w:val="00714964"/>
    <w:rsid w:val="00714E6B"/>
    <w:rsid w:val="00715121"/>
    <w:rsid w:val="00715130"/>
    <w:rsid w:val="00715C2F"/>
    <w:rsid w:val="00715E65"/>
    <w:rsid w:val="00715E80"/>
    <w:rsid w:val="00715F35"/>
    <w:rsid w:val="0071654B"/>
    <w:rsid w:val="0071723A"/>
    <w:rsid w:val="00717554"/>
    <w:rsid w:val="007175BB"/>
    <w:rsid w:val="0071778B"/>
    <w:rsid w:val="00717939"/>
    <w:rsid w:val="00717B65"/>
    <w:rsid w:val="00717BA3"/>
    <w:rsid w:val="00717C07"/>
    <w:rsid w:val="00720568"/>
    <w:rsid w:val="0072056F"/>
    <w:rsid w:val="00721677"/>
    <w:rsid w:val="00721EBB"/>
    <w:rsid w:val="0072241D"/>
    <w:rsid w:val="007225A2"/>
    <w:rsid w:val="00722B3A"/>
    <w:rsid w:val="0072314C"/>
    <w:rsid w:val="00723BA1"/>
    <w:rsid w:val="00723E2C"/>
    <w:rsid w:val="007249A0"/>
    <w:rsid w:val="00724C2A"/>
    <w:rsid w:val="00724CE2"/>
    <w:rsid w:val="007254ED"/>
    <w:rsid w:val="00725CE2"/>
    <w:rsid w:val="007265EE"/>
    <w:rsid w:val="00726A86"/>
    <w:rsid w:val="00726E13"/>
    <w:rsid w:val="00726FF2"/>
    <w:rsid w:val="007270CF"/>
    <w:rsid w:val="00727391"/>
    <w:rsid w:val="00727A4A"/>
    <w:rsid w:val="00727BE2"/>
    <w:rsid w:val="007306A0"/>
    <w:rsid w:val="00730762"/>
    <w:rsid w:val="007309D0"/>
    <w:rsid w:val="007309D9"/>
    <w:rsid w:val="00730B39"/>
    <w:rsid w:val="00730EA0"/>
    <w:rsid w:val="00732212"/>
    <w:rsid w:val="0073272C"/>
    <w:rsid w:val="00732BD1"/>
    <w:rsid w:val="007330F5"/>
    <w:rsid w:val="007332E0"/>
    <w:rsid w:val="00733681"/>
    <w:rsid w:val="00733F60"/>
    <w:rsid w:val="007341F1"/>
    <w:rsid w:val="0073445D"/>
    <w:rsid w:val="00734B28"/>
    <w:rsid w:val="00735010"/>
    <w:rsid w:val="0073538A"/>
    <w:rsid w:val="00736002"/>
    <w:rsid w:val="00736177"/>
    <w:rsid w:val="0073630E"/>
    <w:rsid w:val="00736337"/>
    <w:rsid w:val="00736C77"/>
    <w:rsid w:val="00737F1D"/>
    <w:rsid w:val="00740B64"/>
    <w:rsid w:val="00740F05"/>
    <w:rsid w:val="00740F42"/>
    <w:rsid w:val="00741025"/>
    <w:rsid w:val="00741512"/>
    <w:rsid w:val="007415C5"/>
    <w:rsid w:val="007423BF"/>
    <w:rsid w:val="007423F1"/>
    <w:rsid w:val="00743DD0"/>
    <w:rsid w:val="00743DE9"/>
    <w:rsid w:val="00743E3C"/>
    <w:rsid w:val="007440A3"/>
    <w:rsid w:val="007444E0"/>
    <w:rsid w:val="00744DCB"/>
    <w:rsid w:val="0074559E"/>
    <w:rsid w:val="00745949"/>
    <w:rsid w:val="007461D0"/>
    <w:rsid w:val="007465C7"/>
    <w:rsid w:val="00746647"/>
    <w:rsid w:val="00746D99"/>
    <w:rsid w:val="00746F91"/>
    <w:rsid w:val="0074725B"/>
    <w:rsid w:val="00747D0A"/>
    <w:rsid w:val="00747EB3"/>
    <w:rsid w:val="00750197"/>
    <w:rsid w:val="00750653"/>
    <w:rsid w:val="0075072A"/>
    <w:rsid w:val="0075094F"/>
    <w:rsid w:val="00750DB9"/>
    <w:rsid w:val="007518A2"/>
    <w:rsid w:val="00751B53"/>
    <w:rsid w:val="00751B64"/>
    <w:rsid w:val="00751EBF"/>
    <w:rsid w:val="007522A0"/>
    <w:rsid w:val="0075232F"/>
    <w:rsid w:val="0075292A"/>
    <w:rsid w:val="007536CD"/>
    <w:rsid w:val="007538A6"/>
    <w:rsid w:val="00753B45"/>
    <w:rsid w:val="00753CBD"/>
    <w:rsid w:val="0075430B"/>
    <w:rsid w:val="0075432A"/>
    <w:rsid w:val="00754608"/>
    <w:rsid w:val="0075584D"/>
    <w:rsid w:val="00755863"/>
    <w:rsid w:val="00756B18"/>
    <w:rsid w:val="00756CDB"/>
    <w:rsid w:val="007571EC"/>
    <w:rsid w:val="00757415"/>
    <w:rsid w:val="00757C07"/>
    <w:rsid w:val="0076023E"/>
    <w:rsid w:val="007603DF"/>
    <w:rsid w:val="00760F18"/>
    <w:rsid w:val="00761770"/>
    <w:rsid w:val="00761F4D"/>
    <w:rsid w:val="00761FFA"/>
    <w:rsid w:val="007620CF"/>
    <w:rsid w:val="0076214E"/>
    <w:rsid w:val="00762271"/>
    <w:rsid w:val="00762C26"/>
    <w:rsid w:val="00762EF3"/>
    <w:rsid w:val="00762FEE"/>
    <w:rsid w:val="007632F5"/>
    <w:rsid w:val="0076339A"/>
    <w:rsid w:val="007639C0"/>
    <w:rsid w:val="00763E6B"/>
    <w:rsid w:val="00763F71"/>
    <w:rsid w:val="007640C4"/>
    <w:rsid w:val="007647B1"/>
    <w:rsid w:val="00764C0C"/>
    <w:rsid w:val="00765201"/>
    <w:rsid w:val="00765849"/>
    <w:rsid w:val="00765903"/>
    <w:rsid w:val="00765AFD"/>
    <w:rsid w:val="00765C02"/>
    <w:rsid w:val="00766270"/>
    <w:rsid w:val="007670F2"/>
    <w:rsid w:val="00767236"/>
    <w:rsid w:val="00771222"/>
    <w:rsid w:val="0077232C"/>
    <w:rsid w:val="00772595"/>
    <w:rsid w:val="007726F3"/>
    <w:rsid w:val="00773669"/>
    <w:rsid w:val="007737F8"/>
    <w:rsid w:val="00773854"/>
    <w:rsid w:val="00773AFD"/>
    <w:rsid w:val="007750CE"/>
    <w:rsid w:val="00775F25"/>
    <w:rsid w:val="00776834"/>
    <w:rsid w:val="00776B77"/>
    <w:rsid w:val="00776B9C"/>
    <w:rsid w:val="00776EA6"/>
    <w:rsid w:val="00777118"/>
    <w:rsid w:val="00777131"/>
    <w:rsid w:val="007774D5"/>
    <w:rsid w:val="00780B65"/>
    <w:rsid w:val="00780C37"/>
    <w:rsid w:val="007823D3"/>
    <w:rsid w:val="00783063"/>
    <w:rsid w:val="00783328"/>
    <w:rsid w:val="00783618"/>
    <w:rsid w:val="00783D2A"/>
    <w:rsid w:val="00783E47"/>
    <w:rsid w:val="00784011"/>
    <w:rsid w:val="007841D0"/>
    <w:rsid w:val="00784768"/>
    <w:rsid w:val="00784851"/>
    <w:rsid w:val="007849D7"/>
    <w:rsid w:val="00784A20"/>
    <w:rsid w:val="00784D2A"/>
    <w:rsid w:val="00784E7A"/>
    <w:rsid w:val="00785E44"/>
    <w:rsid w:val="007867D6"/>
    <w:rsid w:val="007867D7"/>
    <w:rsid w:val="007868F2"/>
    <w:rsid w:val="00787190"/>
    <w:rsid w:val="00787FBD"/>
    <w:rsid w:val="00790C12"/>
    <w:rsid w:val="00790CBB"/>
    <w:rsid w:val="00791016"/>
    <w:rsid w:val="007916AF"/>
    <w:rsid w:val="00791893"/>
    <w:rsid w:val="00791D8C"/>
    <w:rsid w:val="00791DC1"/>
    <w:rsid w:val="00792649"/>
    <w:rsid w:val="00792922"/>
    <w:rsid w:val="0079315E"/>
    <w:rsid w:val="00793198"/>
    <w:rsid w:val="0079320A"/>
    <w:rsid w:val="00793D39"/>
    <w:rsid w:val="00793ECA"/>
    <w:rsid w:val="00794219"/>
    <w:rsid w:val="00794799"/>
    <w:rsid w:val="00794828"/>
    <w:rsid w:val="00794AFF"/>
    <w:rsid w:val="00794CAD"/>
    <w:rsid w:val="00794E45"/>
    <w:rsid w:val="00795531"/>
    <w:rsid w:val="0079581D"/>
    <w:rsid w:val="00795CA3"/>
    <w:rsid w:val="007963B8"/>
    <w:rsid w:val="007968A8"/>
    <w:rsid w:val="0079724D"/>
    <w:rsid w:val="00797D82"/>
    <w:rsid w:val="007A0B3D"/>
    <w:rsid w:val="007A0F31"/>
    <w:rsid w:val="007A0FD6"/>
    <w:rsid w:val="007A1808"/>
    <w:rsid w:val="007A1D41"/>
    <w:rsid w:val="007A1F5A"/>
    <w:rsid w:val="007A27E7"/>
    <w:rsid w:val="007A2AE4"/>
    <w:rsid w:val="007A2CBC"/>
    <w:rsid w:val="007A3B10"/>
    <w:rsid w:val="007A3E69"/>
    <w:rsid w:val="007A406D"/>
    <w:rsid w:val="007A41FE"/>
    <w:rsid w:val="007A48A0"/>
    <w:rsid w:val="007A56B0"/>
    <w:rsid w:val="007A588D"/>
    <w:rsid w:val="007A59A5"/>
    <w:rsid w:val="007A5E81"/>
    <w:rsid w:val="007A63D2"/>
    <w:rsid w:val="007A6FC7"/>
    <w:rsid w:val="007B04BB"/>
    <w:rsid w:val="007B1339"/>
    <w:rsid w:val="007B13ED"/>
    <w:rsid w:val="007B1442"/>
    <w:rsid w:val="007B19B0"/>
    <w:rsid w:val="007B1B91"/>
    <w:rsid w:val="007B2447"/>
    <w:rsid w:val="007B2781"/>
    <w:rsid w:val="007B2BE5"/>
    <w:rsid w:val="007B34BB"/>
    <w:rsid w:val="007B35A1"/>
    <w:rsid w:val="007B3D6D"/>
    <w:rsid w:val="007B3FD5"/>
    <w:rsid w:val="007B4243"/>
    <w:rsid w:val="007B462C"/>
    <w:rsid w:val="007B4C9D"/>
    <w:rsid w:val="007B5199"/>
    <w:rsid w:val="007B53B5"/>
    <w:rsid w:val="007B5A4B"/>
    <w:rsid w:val="007B5B04"/>
    <w:rsid w:val="007B5DDD"/>
    <w:rsid w:val="007B5E29"/>
    <w:rsid w:val="007B65C8"/>
    <w:rsid w:val="007B66F9"/>
    <w:rsid w:val="007B744C"/>
    <w:rsid w:val="007B7EDC"/>
    <w:rsid w:val="007B7F91"/>
    <w:rsid w:val="007C004D"/>
    <w:rsid w:val="007C00EA"/>
    <w:rsid w:val="007C09D5"/>
    <w:rsid w:val="007C0AC3"/>
    <w:rsid w:val="007C0E8B"/>
    <w:rsid w:val="007C0F52"/>
    <w:rsid w:val="007C10F8"/>
    <w:rsid w:val="007C1484"/>
    <w:rsid w:val="007C1920"/>
    <w:rsid w:val="007C194B"/>
    <w:rsid w:val="007C19DC"/>
    <w:rsid w:val="007C1FCA"/>
    <w:rsid w:val="007C2003"/>
    <w:rsid w:val="007C2264"/>
    <w:rsid w:val="007C24EE"/>
    <w:rsid w:val="007C268D"/>
    <w:rsid w:val="007C28F8"/>
    <w:rsid w:val="007C2DAE"/>
    <w:rsid w:val="007C2E1E"/>
    <w:rsid w:val="007C3772"/>
    <w:rsid w:val="007C39AB"/>
    <w:rsid w:val="007C3CDC"/>
    <w:rsid w:val="007C3DB1"/>
    <w:rsid w:val="007C3EC0"/>
    <w:rsid w:val="007C4600"/>
    <w:rsid w:val="007C4F23"/>
    <w:rsid w:val="007C5111"/>
    <w:rsid w:val="007C51CE"/>
    <w:rsid w:val="007C524F"/>
    <w:rsid w:val="007C542D"/>
    <w:rsid w:val="007C58F9"/>
    <w:rsid w:val="007C598E"/>
    <w:rsid w:val="007C5A45"/>
    <w:rsid w:val="007C68D1"/>
    <w:rsid w:val="007C6EA9"/>
    <w:rsid w:val="007C7C58"/>
    <w:rsid w:val="007D0407"/>
    <w:rsid w:val="007D05F6"/>
    <w:rsid w:val="007D09B6"/>
    <w:rsid w:val="007D09FD"/>
    <w:rsid w:val="007D0B3A"/>
    <w:rsid w:val="007D12B1"/>
    <w:rsid w:val="007D1C01"/>
    <w:rsid w:val="007D1C42"/>
    <w:rsid w:val="007D1E00"/>
    <w:rsid w:val="007D22C6"/>
    <w:rsid w:val="007D39E2"/>
    <w:rsid w:val="007D4387"/>
    <w:rsid w:val="007D463A"/>
    <w:rsid w:val="007D46D1"/>
    <w:rsid w:val="007D46DD"/>
    <w:rsid w:val="007D49D8"/>
    <w:rsid w:val="007D4EC4"/>
    <w:rsid w:val="007D56CF"/>
    <w:rsid w:val="007D6005"/>
    <w:rsid w:val="007D6118"/>
    <w:rsid w:val="007D6745"/>
    <w:rsid w:val="007D729C"/>
    <w:rsid w:val="007D746F"/>
    <w:rsid w:val="007D7669"/>
    <w:rsid w:val="007D7FA5"/>
    <w:rsid w:val="007E03D9"/>
    <w:rsid w:val="007E081B"/>
    <w:rsid w:val="007E0841"/>
    <w:rsid w:val="007E098F"/>
    <w:rsid w:val="007E111B"/>
    <w:rsid w:val="007E1BB2"/>
    <w:rsid w:val="007E1EBD"/>
    <w:rsid w:val="007E2508"/>
    <w:rsid w:val="007E2565"/>
    <w:rsid w:val="007E26B4"/>
    <w:rsid w:val="007E26DA"/>
    <w:rsid w:val="007E28D5"/>
    <w:rsid w:val="007E2EBC"/>
    <w:rsid w:val="007E2F90"/>
    <w:rsid w:val="007E30BB"/>
    <w:rsid w:val="007E346D"/>
    <w:rsid w:val="007E3DCE"/>
    <w:rsid w:val="007E40A4"/>
    <w:rsid w:val="007E44BE"/>
    <w:rsid w:val="007E535F"/>
    <w:rsid w:val="007E5453"/>
    <w:rsid w:val="007E65A5"/>
    <w:rsid w:val="007E6E9A"/>
    <w:rsid w:val="007E726A"/>
    <w:rsid w:val="007E7318"/>
    <w:rsid w:val="007E76C9"/>
    <w:rsid w:val="007E7FEB"/>
    <w:rsid w:val="007F05C7"/>
    <w:rsid w:val="007F0B0E"/>
    <w:rsid w:val="007F0FC4"/>
    <w:rsid w:val="007F127B"/>
    <w:rsid w:val="007F1287"/>
    <w:rsid w:val="007F293A"/>
    <w:rsid w:val="007F2F27"/>
    <w:rsid w:val="007F3644"/>
    <w:rsid w:val="007F36DF"/>
    <w:rsid w:val="007F40CF"/>
    <w:rsid w:val="007F498B"/>
    <w:rsid w:val="007F4C1E"/>
    <w:rsid w:val="007F4D0B"/>
    <w:rsid w:val="007F50E9"/>
    <w:rsid w:val="007F5481"/>
    <w:rsid w:val="007F5BFF"/>
    <w:rsid w:val="007F6315"/>
    <w:rsid w:val="007F6579"/>
    <w:rsid w:val="007F6889"/>
    <w:rsid w:val="007F6E3A"/>
    <w:rsid w:val="007F6FF2"/>
    <w:rsid w:val="007F742F"/>
    <w:rsid w:val="007F74F1"/>
    <w:rsid w:val="007F7A74"/>
    <w:rsid w:val="007F7E03"/>
    <w:rsid w:val="0080030D"/>
    <w:rsid w:val="00800CBA"/>
    <w:rsid w:val="0080162B"/>
    <w:rsid w:val="00801699"/>
    <w:rsid w:val="00801B5E"/>
    <w:rsid w:val="008029FD"/>
    <w:rsid w:val="008030B4"/>
    <w:rsid w:val="00803BF4"/>
    <w:rsid w:val="00803FA5"/>
    <w:rsid w:val="008040F0"/>
    <w:rsid w:val="0080463F"/>
    <w:rsid w:val="00805C5F"/>
    <w:rsid w:val="00805DCE"/>
    <w:rsid w:val="00805E68"/>
    <w:rsid w:val="0080741E"/>
    <w:rsid w:val="008075ED"/>
    <w:rsid w:val="008078E2"/>
    <w:rsid w:val="0081025F"/>
    <w:rsid w:val="0081033D"/>
    <w:rsid w:val="00810377"/>
    <w:rsid w:val="00810602"/>
    <w:rsid w:val="008108B3"/>
    <w:rsid w:val="00810E76"/>
    <w:rsid w:val="00811308"/>
    <w:rsid w:val="0081165A"/>
    <w:rsid w:val="00811CF0"/>
    <w:rsid w:val="00811DA3"/>
    <w:rsid w:val="00811E93"/>
    <w:rsid w:val="008124CA"/>
    <w:rsid w:val="008126C7"/>
    <w:rsid w:val="00812BB0"/>
    <w:rsid w:val="008132B5"/>
    <w:rsid w:val="00813396"/>
    <w:rsid w:val="00813678"/>
    <w:rsid w:val="008139E4"/>
    <w:rsid w:val="00814022"/>
    <w:rsid w:val="00814398"/>
    <w:rsid w:val="00814538"/>
    <w:rsid w:val="00814C42"/>
    <w:rsid w:val="00815C05"/>
    <w:rsid w:val="00815EE5"/>
    <w:rsid w:val="00816278"/>
    <w:rsid w:val="008168C7"/>
    <w:rsid w:val="00816CA3"/>
    <w:rsid w:val="00816E11"/>
    <w:rsid w:val="00817201"/>
    <w:rsid w:val="00817B82"/>
    <w:rsid w:val="00817D42"/>
    <w:rsid w:val="00820604"/>
    <w:rsid w:val="008215C3"/>
    <w:rsid w:val="00821BB2"/>
    <w:rsid w:val="00822020"/>
    <w:rsid w:val="0082283B"/>
    <w:rsid w:val="00822867"/>
    <w:rsid w:val="008230C4"/>
    <w:rsid w:val="00823119"/>
    <w:rsid w:val="00823182"/>
    <w:rsid w:val="0082383E"/>
    <w:rsid w:val="008241D2"/>
    <w:rsid w:val="008242F9"/>
    <w:rsid w:val="00824AD6"/>
    <w:rsid w:val="00824B7C"/>
    <w:rsid w:val="008254F1"/>
    <w:rsid w:val="008256B9"/>
    <w:rsid w:val="00826064"/>
    <w:rsid w:val="00826068"/>
    <w:rsid w:val="00826221"/>
    <w:rsid w:val="008271DC"/>
    <w:rsid w:val="00827556"/>
    <w:rsid w:val="008278BE"/>
    <w:rsid w:val="00827C74"/>
    <w:rsid w:val="00827CE4"/>
    <w:rsid w:val="008305FC"/>
    <w:rsid w:val="00830A11"/>
    <w:rsid w:val="00830BB0"/>
    <w:rsid w:val="00830C18"/>
    <w:rsid w:val="00830DC9"/>
    <w:rsid w:val="008310C4"/>
    <w:rsid w:val="008314DA"/>
    <w:rsid w:val="00831660"/>
    <w:rsid w:val="0083234F"/>
    <w:rsid w:val="00834797"/>
    <w:rsid w:val="00834AFD"/>
    <w:rsid w:val="00834D81"/>
    <w:rsid w:val="0083527C"/>
    <w:rsid w:val="008355F0"/>
    <w:rsid w:val="0083576E"/>
    <w:rsid w:val="00836226"/>
    <w:rsid w:val="0083691E"/>
    <w:rsid w:val="00836A68"/>
    <w:rsid w:val="00836F8D"/>
    <w:rsid w:val="00837903"/>
    <w:rsid w:val="00837A90"/>
    <w:rsid w:val="008402F6"/>
    <w:rsid w:val="00840510"/>
    <w:rsid w:val="00840E5B"/>
    <w:rsid w:val="00841868"/>
    <w:rsid w:val="00841A34"/>
    <w:rsid w:val="00841EEB"/>
    <w:rsid w:val="0084207E"/>
    <w:rsid w:val="008420AE"/>
    <w:rsid w:val="008420AF"/>
    <w:rsid w:val="008433F7"/>
    <w:rsid w:val="00843BCE"/>
    <w:rsid w:val="008442DE"/>
    <w:rsid w:val="00844A9D"/>
    <w:rsid w:val="00845202"/>
    <w:rsid w:val="00845456"/>
    <w:rsid w:val="008456AC"/>
    <w:rsid w:val="0084581D"/>
    <w:rsid w:val="00845C48"/>
    <w:rsid w:val="00845C5C"/>
    <w:rsid w:val="00846237"/>
    <w:rsid w:val="00846305"/>
    <w:rsid w:val="008465EB"/>
    <w:rsid w:val="008466AC"/>
    <w:rsid w:val="00846C27"/>
    <w:rsid w:val="0084759F"/>
    <w:rsid w:val="00847898"/>
    <w:rsid w:val="00850589"/>
    <w:rsid w:val="00850610"/>
    <w:rsid w:val="00850958"/>
    <w:rsid w:val="00850E09"/>
    <w:rsid w:val="00851033"/>
    <w:rsid w:val="00851DBA"/>
    <w:rsid w:val="00852ED2"/>
    <w:rsid w:val="008536A1"/>
    <w:rsid w:val="008536CF"/>
    <w:rsid w:val="00853CA4"/>
    <w:rsid w:val="00853FAB"/>
    <w:rsid w:val="0085428C"/>
    <w:rsid w:val="00854C22"/>
    <w:rsid w:val="008551E4"/>
    <w:rsid w:val="0085527C"/>
    <w:rsid w:val="008554E4"/>
    <w:rsid w:val="00855506"/>
    <w:rsid w:val="0085569D"/>
    <w:rsid w:val="00855734"/>
    <w:rsid w:val="008557C7"/>
    <w:rsid w:val="00855915"/>
    <w:rsid w:val="0085593E"/>
    <w:rsid w:val="00855CC4"/>
    <w:rsid w:val="008560B8"/>
    <w:rsid w:val="008563E1"/>
    <w:rsid w:val="008568C7"/>
    <w:rsid w:val="00856A5C"/>
    <w:rsid w:val="00856B5D"/>
    <w:rsid w:val="0085772E"/>
    <w:rsid w:val="008578DF"/>
    <w:rsid w:val="00860242"/>
    <w:rsid w:val="0086051A"/>
    <w:rsid w:val="00860B82"/>
    <w:rsid w:val="00861211"/>
    <w:rsid w:val="0086153C"/>
    <w:rsid w:val="0086174B"/>
    <w:rsid w:val="008617A0"/>
    <w:rsid w:val="008618DF"/>
    <w:rsid w:val="008619D8"/>
    <w:rsid w:val="008623B2"/>
    <w:rsid w:val="00862742"/>
    <w:rsid w:val="00863100"/>
    <w:rsid w:val="0086335F"/>
    <w:rsid w:val="0086343D"/>
    <w:rsid w:val="008634E3"/>
    <w:rsid w:val="00863605"/>
    <w:rsid w:val="00863AB2"/>
    <w:rsid w:val="00863B8A"/>
    <w:rsid w:val="00863E82"/>
    <w:rsid w:val="00863EF1"/>
    <w:rsid w:val="008649BB"/>
    <w:rsid w:val="00864C5D"/>
    <w:rsid w:val="00865454"/>
    <w:rsid w:val="00865D26"/>
    <w:rsid w:val="008668AA"/>
    <w:rsid w:val="008669D5"/>
    <w:rsid w:val="0086715E"/>
    <w:rsid w:val="008672CE"/>
    <w:rsid w:val="00867314"/>
    <w:rsid w:val="008673DB"/>
    <w:rsid w:val="0086785E"/>
    <w:rsid w:val="00867A5E"/>
    <w:rsid w:val="008701E2"/>
    <w:rsid w:val="00870337"/>
    <w:rsid w:val="00871087"/>
    <w:rsid w:val="008717C2"/>
    <w:rsid w:val="00871C95"/>
    <w:rsid w:val="008723A7"/>
    <w:rsid w:val="00872F83"/>
    <w:rsid w:val="008734B1"/>
    <w:rsid w:val="00873A9D"/>
    <w:rsid w:val="00873B04"/>
    <w:rsid w:val="00873F81"/>
    <w:rsid w:val="00874792"/>
    <w:rsid w:val="0087526D"/>
    <w:rsid w:val="008757A5"/>
    <w:rsid w:val="00876588"/>
    <w:rsid w:val="0087664D"/>
    <w:rsid w:val="00877276"/>
    <w:rsid w:val="00877332"/>
    <w:rsid w:val="0087740C"/>
    <w:rsid w:val="00877963"/>
    <w:rsid w:val="00877A86"/>
    <w:rsid w:val="00880004"/>
    <w:rsid w:val="00880293"/>
    <w:rsid w:val="00880378"/>
    <w:rsid w:val="0088040B"/>
    <w:rsid w:val="00880645"/>
    <w:rsid w:val="00880B07"/>
    <w:rsid w:val="00880BD6"/>
    <w:rsid w:val="00880C7C"/>
    <w:rsid w:val="0088191E"/>
    <w:rsid w:val="00881CCD"/>
    <w:rsid w:val="00881D01"/>
    <w:rsid w:val="0088228B"/>
    <w:rsid w:val="008826AF"/>
    <w:rsid w:val="00882771"/>
    <w:rsid w:val="00882E77"/>
    <w:rsid w:val="00882FE9"/>
    <w:rsid w:val="0088313B"/>
    <w:rsid w:val="00883867"/>
    <w:rsid w:val="008839F3"/>
    <w:rsid w:val="00883A71"/>
    <w:rsid w:val="00883A89"/>
    <w:rsid w:val="0088417D"/>
    <w:rsid w:val="00884E9E"/>
    <w:rsid w:val="008853EE"/>
    <w:rsid w:val="0088546B"/>
    <w:rsid w:val="008856FE"/>
    <w:rsid w:val="00885BA3"/>
    <w:rsid w:val="00885E29"/>
    <w:rsid w:val="0088618D"/>
    <w:rsid w:val="00886832"/>
    <w:rsid w:val="008873A6"/>
    <w:rsid w:val="0088777D"/>
    <w:rsid w:val="008904CE"/>
    <w:rsid w:val="0089050A"/>
    <w:rsid w:val="008908B2"/>
    <w:rsid w:val="0089119C"/>
    <w:rsid w:val="00891211"/>
    <w:rsid w:val="00891510"/>
    <w:rsid w:val="0089181E"/>
    <w:rsid w:val="00891CA0"/>
    <w:rsid w:val="00891D06"/>
    <w:rsid w:val="008922F5"/>
    <w:rsid w:val="0089358F"/>
    <w:rsid w:val="008938A8"/>
    <w:rsid w:val="0089449C"/>
    <w:rsid w:val="008947D6"/>
    <w:rsid w:val="0089484C"/>
    <w:rsid w:val="00894FF9"/>
    <w:rsid w:val="00895C88"/>
    <w:rsid w:val="00895CAA"/>
    <w:rsid w:val="00895D05"/>
    <w:rsid w:val="00895F68"/>
    <w:rsid w:val="00896320"/>
    <w:rsid w:val="008965A0"/>
    <w:rsid w:val="00896A2A"/>
    <w:rsid w:val="00897A3F"/>
    <w:rsid w:val="00897FF8"/>
    <w:rsid w:val="008A0744"/>
    <w:rsid w:val="008A089F"/>
    <w:rsid w:val="008A090F"/>
    <w:rsid w:val="008A1399"/>
    <w:rsid w:val="008A1887"/>
    <w:rsid w:val="008A2325"/>
    <w:rsid w:val="008A24F5"/>
    <w:rsid w:val="008A291A"/>
    <w:rsid w:val="008A2B85"/>
    <w:rsid w:val="008A2FB0"/>
    <w:rsid w:val="008A3216"/>
    <w:rsid w:val="008A40AE"/>
    <w:rsid w:val="008A44F0"/>
    <w:rsid w:val="008A5311"/>
    <w:rsid w:val="008A6093"/>
    <w:rsid w:val="008A7FC8"/>
    <w:rsid w:val="008A7FF4"/>
    <w:rsid w:val="008B0729"/>
    <w:rsid w:val="008B16CB"/>
    <w:rsid w:val="008B1FC3"/>
    <w:rsid w:val="008B2026"/>
    <w:rsid w:val="008B21D8"/>
    <w:rsid w:val="008B2263"/>
    <w:rsid w:val="008B22E5"/>
    <w:rsid w:val="008B242D"/>
    <w:rsid w:val="008B2DEE"/>
    <w:rsid w:val="008B2FDC"/>
    <w:rsid w:val="008B3306"/>
    <w:rsid w:val="008B3939"/>
    <w:rsid w:val="008B3BA6"/>
    <w:rsid w:val="008B3C6B"/>
    <w:rsid w:val="008B3CCE"/>
    <w:rsid w:val="008B3EB8"/>
    <w:rsid w:val="008B4267"/>
    <w:rsid w:val="008B4580"/>
    <w:rsid w:val="008B4CE5"/>
    <w:rsid w:val="008B53AC"/>
    <w:rsid w:val="008B55D5"/>
    <w:rsid w:val="008B5A2E"/>
    <w:rsid w:val="008B5D1F"/>
    <w:rsid w:val="008B5FA3"/>
    <w:rsid w:val="008B6912"/>
    <w:rsid w:val="008B6A1B"/>
    <w:rsid w:val="008B6D18"/>
    <w:rsid w:val="008B731D"/>
    <w:rsid w:val="008B798B"/>
    <w:rsid w:val="008B7A1E"/>
    <w:rsid w:val="008B7D45"/>
    <w:rsid w:val="008C0016"/>
    <w:rsid w:val="008C0B80"/>
    <w:rsid w:val="008C1027"/>
    <w:rsid w:val="008C1440"/>
    <w:rsid w:val="008C15CA"/>
    <w:rsid w:val="008C2282"/>
    <w:rsid w:val="008C259E"/>
    <w:rsid w:val="008C2668"/>
    <w:rsid w:val="008C26C2"/>
    <w:rsid w:val="008C2DCE"/>
    <w:rsid w:val="008C3BA9"/>
    <w:rsid w:val="008C3BCF"/>
    <w:rsid w:val="008C3D7A"/>
    <w:rsid w:val="008C4105"/>
    <w:rsid w:val="008C4258"/>
    <w:rsid w:val="008C4B82"/>
    <w:rsid w:val="008C57DF"/>
    <w:rsid w:val="008C5E66"/>
    <w:rsid w:val="008C6222"/>
    <w:rsid w:val="008C69C3"/>
    <w:rsid w:val="008C6EB2"/>
    <w:rsid w:val="008C760D"/>
    <w:rsid w:val="008C7D22"/>
    <w:rsid w:val="008C7ECC"/>
    <w:rsid w:val="008D0414"/>
    <w:rsid w:val="008D0FE8"/>
    <w:rsid w:val="008D1411"/>
    <w:rsid w:val="008D1896"/>
    <w:rsid w:val="008D1FFC"/>
    <w:rsid w:val="008D27EB"/>
    <w:rsid w:val="008D2CC4"/>
    <w:rsid w:val="008D337E"/>
    <w:rsid w:val="008D39BB"/>
    <w:rsid w:val="008D3A21"/>
    <w:rsid w:val="008D3B79"/>
    <w:rsid w:val="008D3C02"/>
    <w:rsid w:val="008D3F0D"/>
    <w:rsid w:val="008D43D4"/>
    <w:rsid w:val="008D4F1D"/>
    <w:rsid w:val="008D580D"/>
    <w:rsid w:val="008D5F64"/>
    <w:rsid w:val="008D6CA0"/>
    <w:rsid w:val="008D6D04"/>
    <w:rsid w:val="008D7172"/>
    <w:rsid w:val="008D71EB"/>
    <w:rsid w:val="008D738B"/>
    <w:rsid w:val="008D7599"/>
    <w:rsid w:val="008D77BB"/>
    <w:rsid w:val="008E079F"/>
    <w:rsid w:val="008E0A0A"/>
    <w:rsid w:val="008E0F1D"/>
    <w:rsid w:val="008E168D"/>
    <w:rsid w:val="008E1840"/>
    <w:rsid w:val="008E1CF2"/>
    <w:rsid w:val="008E1EF6"/>
    <w:rsid w:val="008E35E8"/>
    <w:rsid w:val="008E3DA2"/>
    <w:rsid w:val="008E3FE2"/>
    <w:rsid w:val="008E410A"/>
    <w:rsid w:val="008E416C"/>
    <w:rsid w:val="008E51D9"/>
    <w:rsid w:val="008E58EF"/>
    <w:rsid w:val="008E5DDE"/>
    <w:rsid w:val="008E6B57"/>
    <w:rsid w:val="008E70D6"/>
    <w:rsid w:val="008E7F76"/>
    <w:rsid w:val="008E7FBB"/>
    <w:rsid w:val="008F0518"/>
    <w:rsid w:val="008F0577"/>
    <w:rsid w:val="008F06D6"/>
    <w:rsid w:val="008F0976"/>
    <w:rsid w:val="008F0B6B"/>
    <w:rsid w:val="008F0C7C"/>
    <w:rsid w:val="008F0DB6"/>
    <w:rsid w:val="008F1A0C"/>
    <w:rsid w:val="008F25C2"/>
    <w:rsid w:val="008F28A7"/>
    <w:rsid w:val="008F2C9E"/>
    <w:rsid w:val="008F47F3"/>
    <w:rsid w:val="008F4851"/>
    <w:rsid w:val="008F4861"/>
    <w:rsid w:val="008F4C58"/>
    <w:rsid w:val="008F5569"/>
    <w:rsid w:val="008F59BB"/>
    <w:rsid w:val="008F5DC8"/>
    <w:rsid w:val="008F68A1"/>
    <w:rsid w:val="008F6F38"/>
    <w:rsid w:val="008F726D"/>
    <w:rsid w:val="008F7798"/>
    <w:rsid w:val="008F79EA"/>
    <w:rsid w:val="008F7DF5"/>
    <w:rsid w:val="008F7F07"/>
    <w:rsid w:val="00900343"/>
    <w:rsid w:val="009007FB"/>
    <w:rsid w:val="00901432"/>
    <w:rsid w:val="00901904"/>
    <w:rsid w:val="00901A6F"/>
    <w:rsid w:val="009021D4"/>
    <w:rsid w:val="0090222B"/>
    <w:rsid w:val="009027DA"/>
    <w:rsid w:val="00902872"/>
    <w:rsid w:val="00902E1C"/>
    <w:rsid w:val="009031ED"/>
    <w:rsid w:val="009035CB"/>
    <w:rsid w:val="0090391C"/>
    <w:rsid w:val="00904935"/>
    <w:rsid w:val="00904A9E"/>
    <w:rsid w:val="00904AA4"/>
    <w:rsid w:val="009050AE"/>
    <w:rsid w:val="00905663"/>
    <w:rsid w:val="00905C42"/>
    <w:rsid w:val="00905C93"/>
    <w:rsid w:val="00905D5F"/>
    <w:rsid w:val="00905FDF"/>
    <w:rsid w:val="00906251"/>
    <w:rsid w:val="00906EFF"/>
    <w:rsid w:val="009071B1"/>
    <w:rsid w:val="0090768C"/>
    <w:rsid w:val="00907C64"/>
    <w:rsid w:val="009103A8"/>
    <w:rsid w:val="009105AE"/>
    <w:rsid w:val="00910E12"/>
    <w:rsid w:val="00911559"/>
    <w:rsid w:val="009120BF"/>
    <w:rsid w:val="00912584"/>
    <w:rsid w:val="00912976"/>
    <w:rsid w:val="00912B46"/>
    <w:rsid w:val="0091459E"/>
    <w:rsid w:val="00914791"/>
    <w:rsid w:val="0091486C"/>
    <w:rsid w:val="00914F96"/>
    <w:rsid w:val="0091502A"/>
    <w:rsid w:val="0091596C"/>
    <w:rsid w:val="00916987"/>
    <w:rsid w:val="00916E24"/>
    <w:rsid w:val="00917045"/>
    <w:rsid w:val="0091709B"/>
    <w:rsid w:val="00917156"/>
    <w:rsid w:val="009171BF"/>
    <w:rsid w:val="00917DEB"/>
    <w:rsid w:val="00920156"/>
    <w:rsid w:val="00920407"/>
    <w:rsid w:val="00920638"/>
    <w:rsid w:val="00920781"/>
    <w:rsid w:val="00920825"/>
    <w:rsid w:val="009208FA"/>
    <w:rsid w:val="00920C3E"/>
    <w:rsid w:val="009214CD"/>
    <w:rsid w:val="0092181C"/>
    <w:rsid w:val="009219FA"/>
    <w:rsid w:val="009228D7"/>
    <w:rsid w:val="00922A67"/>
    <w:rsid w:val="00922FE1"/>
    <w:rsid w:val="00923310"/>
    <w:rsid w:val="0092341F"/>
    <w:rsid w:val="00923588"/>
    <w:rsid w:val="00923D75"/>
    <w:rsid w:val="00923EA0"/>
    <w:rsid w:val="009249D6"/>
    <w:rsid w:val="00924B98"/>
    <w:rsid w:val="00924EB1"/>
    <w:rsid w:val="0092509A"/>
    <w:rsid w:val="009250A4"/>
    <w:rsid w:val="0092540C"/>
    <w:rsid w:val="0092564F"/>
    <w:rsid w:val="009257FD"/>
    <w:rsid w:val="00925D18"/>
    <w:rsid w:val="00926675"/>
    <w:rsid w:val="00926E2A"/>
    <w:rsid w:val="009272D4"/>
    <w:rsid w:val="009275DA"/>
    <w:rsid w:val="00927B7E"/>
    <w:rsid w:val="009305A1"/>
    <w:rsid w:val="009307F3"/>
    <w:rsid w:val="00930811"/>
    <w:rsid w:val="00930E68"/>
    <w:rsid w:val="00930EFD"/>
    <w:rsid w:val="00930F9D"/>
    <w:rsid w:val="00931269"/>
    <w:rsid w:val="0093198D"/>
    <w:rsid w:val="00931A77"/>
    <w:rsid w:val="00931C2A"/>
    <w:rsid w:val="00932276"/>
    <w:rsid w:val="009324BF"/>
    <w:rsid w:val="009327DC"/>
    <w:rsid w:val="00932A17"/>
    <w:rsid w:val="00932D07"/>
    <w:rsid w:val="00933208"/>
    <w:rsid w:val="00933786"/>
    <w:rsid w:val="00933D71"/>
    <w:rsid w:val="009343D0"/>
    <w:rsid w:val="00934761"/>
    <w:rsid w:val="00934D92"/>
    <w:rsid w:val="009353E3"/>
    <w:rsid w:val="00935C69"/>
    <w:rsid w:val="0093622F"/>
    <w:rsid w:val="0093626C"/>
    <w:rsid w:val="009366D3"/>
    <w:rsid w:val="009377CE"/>
    <w:rsid w:val="00937E50"/>
    <w:rsid w:val="0094046D"/>
    <w:rsid w:val="00940A7B"/>
    <w:rsid w:val="00940E58"/>
    <w:rsid w:val="00940FD6"/>
    <w:rsid w:val="0094188F"/>
    <w:rsid w:val="00941EAF"/>
    <w:rsid w:val="0094205D"/>
    <w:rsid w:val="009428BE"/>
    <w:rsid w:val="00942B13"/>
    <w:rsid w:val="00942BF3"/>
    <w:rsid w:val="00943082"/>
    <w:rsid w:val="009447DB"/>
    <w:rsid w:val="00944BD8"/>
    <w:rsid w:val="00944E56"/>
    <w:rsid w:val="009451B0"/>
    <w:rsid w:val="009453A5"/>
    <w:rsid w:val="009456DD"/>
    <w:rsid w:val="00945B8F"/>
    <w:rsid w:val="00945BFD"/>
    <w:rsid w:val="009461BA"/>
    <w:rsid w:val="00946F37"/>
    <w:rsid w:val="009474CC"/>
    <w:rsid w:val="00947858"/>
    <w:rsid w:val="00950125"/>
    <w:rsid w:val="00950541"/>
    <w:rsid w:val="0095118D"/>
    <w:rsid w:val="009515D8"/>
    <w:rsid w:val="00951E61"/>
    <w:rsid w:val="00952124"/>
    <w:rsid w:val="00952A07"/>
    <w:rsid w:val="00953E43"/>
    <w:rsid w:val="00954197"/>
    <w:rsid w:val="00954664"/>
    <w:rsid w:val="00954EB6"/>
    <w:rsid w:val="00954F4F"/>
    <w:rsid w:val="00954FC4"/>
    <w:rsid w:val="009552B7"/>
    <w:rsid w:val="00955A1C"/>
    <w:rsid w:val="00955E4E"/>
    <w:rsid w:val="00955E92"/>
    <w:rsid w:val="00955F70"/>
    <w:rsid w:val="00956188"/>
    <w:rsid w:val="00956333"/>
    <w:rsid w:val="0095667C"/>
    <w:rsid w:val="0095672A"/>
    <w:rsid w:val="0095674A"/>
    <w:rsid w:val="009568D5"/>
    <w:rsid w:val="00956FE7"/>
    <w:rsid w:val="0095725E"/>
    <w:rsid w:val="009572D1"/>
    <w:rsid w:val="00957343"/>
    <w:rsid w:val="009573A8"/>
    <w:rsid w:val="0095769B"/>
    <w:rsid w:val="0096099A"/>
    <w:rsid w:val="00960A3B"/>
    <w:rsid w:val="00961007"/>
    <w:rsid w:val="00961146"/>
    <w:rsid w:val="00961592"/>
    <w:rsid w:val="00961BFA"/>
    <w:rsid w:val="00961E72"/>
    <w:rsid w:val="00962580"/>
    <w:rsid w:val="0096262A"/>
    <w:rsid w:val="00962954"/>
    <w:rsid w:val="00963379"/>
    <w:rsid w:val="00963508"/>
    <w:rsid w:val="00963511"/>
    <w:rsid w:val="00963D24"/>
    <w:rsid w:val="009640E8"/>
    <w:rsid w:val="0096446A"/>
    <w:rsid w:val="009644B2"/>
    <w:rsid w:val="00964A38"/>
    <w:rsid w:val="00964A79"/>
    <w:rsid w:val="0096507D"/>
    <w:rsid w:val="0096576C"/>
    <w:rsid w:val="00965DB2"/>
    <w:rsid w:val="009668DB"/>
    <w:rsid w:val="00966B1E"/>
    <w:rsid w:val="00967539"/>
    <w:rsid w:val="0096756B"/>
    <w:rsid w:val="0096777A"/>
    <w:rsid w:val="00967A67"/>
    <w:rsid w:val="00967BDE"/>
    <w:rsid w:val="00970142"/>
    <w:rsid w:val="00970CA9"/>
    <w:rsid w:val="00970D31"/>
    <w:rsid w:val="009715DB"/>
    <w:rsid w:val="009717FC"/>
    <w:rsid w:val="009718A4"/>
    <w:rsid w:val="009720AB"/>
    <w:rsid w:val="00972260"/>
    <w:rsid w:val="00972691"/>
    <w:rsid w:val="00972B3B"/>
    <w:rsid w:val="00972B6E"/>
    <w:rsid w:val="00973710"/>
    <w:rsid w:val="009737CE"/>
    <w:rsid w:val="00973841"/>
    <w:rsid w:val="00973861"/>
    <w:rsid w:val="009738D3"/>
    <w:rsid w:val="00974409"/>
    <w:rsid w:val="009746D2"/>
    <w:rsid w:val="00974C18"/>
    <w:rsid w:val="00974CDB"/>
    <w:rsid w:val="00975147"/>
    <w:rsid w:val="0097521A"/>
    <w:rsid w:val="00975474"/>
    <w:rsid w:val="009756B7"/>
    <w:rsid w:val="009757FC"/>
    <w:rsid w:val="00975C85"/>
    <w:rsid w:val="00975EE0"/>
    <w:rsid w:val="009766B6"/>
    <w:rsid w:val="00976827"/>
    <w:rsid w:val="00976B74"/>
    <w:rsid w:val="00977572"/>
    <w:rsid w:val="0097779B"/>
    <w:rsid w:val="00977BFB"/>
    <w:rsid w:val="009801F2"/>
    <w:rsid w:val="009804DE"/>
    <w:rsid w:val="009805D9"/>
    <w:rsid w:val="00980657"/>
    <w:rsid w:val="00980A9A"/>
    <w:rsid w:val="00980B50"/>
    <w:rsid w:val="009812EC"/>
    <w:rsid w:val="009813FE"/>
    <w:rsid w:val="00981617"/>
    <w:rsid w:val="00981E55"/>
    <w:rsid w:val="00982AC2"/>
    <w:rsid w:val="00982C6E"/>
    <w:rsid w:val="00982DA0"/>
    <w:rsid w:val="00982FCE"/>
    <w:rsid w:val="0098333B"/>
    <w:rsid w:val="009836DA"/>
    <w:rsid w:val="009839B7"/>
    <w:rsid w:val="00984077"/>
    <w:rsid w:val="0098429D"/>
    <w:rsid w:val="009853D6"/>
    <w:rsid w:val="009857B6"/>
    <w:rsid w:val="009865F7"/>
    <w:rsid w:val="009867BE"/>
    <w:rsid w:val="009903A8"/>
    <w:rsid w:val="00990589"/>
    <w:rsid w:val="009909C7"/>
    <w:rsid w:val="00990B48"/>
    <w:rsid w:val="00990C51"/>
    <w:rsid w:val="00990E30"/>
    <w:rsid w:val="00990FF4"/>
    <w:rsid w:val="00991281"/>
    <w:rsid w:val="009918A8"/>
    <w:rsid w:val="00991974"/>
    <w:rsid w:val="00991B19"/>
    <w:rsid w:val="00991FF6"/>
    <w:rsid w:val="00992198"/>
    <w:rsid w:val="009923CF"/>
    <w:rsid w:val="009929BD"/>
    <w:rsid w:val="00992DA0"/>
    <w:rsid w:val="00992E15"/>
    <w:rsid w:val="0099338B"/>
    <w:rsid w:val="0099353A"/>
    <w:rsid w:val="00993594"/>
    <w:rsid w:val="0099398F"/>
    <w:rsid w:val="009939F4"/>
    <w:rsid w:val="00993B10"/>
    <w:rsid w:val="00994A63"/>
    <w:rsid w:val="00995E51"/>
    <w:rsid w:val="00996011"/>
    <w:rsid w:val="009962BD"/>
    <w:rsid w:val="00996339"/>
    <w:rsid w:val="00996606"/>
    <w:rsid w:val="00996E79"/>
    <w:rsid w:val="00996F3D"/>
    <w:rsid w:val="00997217"/>
    <w:rsid w:val="00997923"/>
    <w:rsid w:val="00997F90"/>
    <w:rsid w:val="009A0633"/>
    <w:rsid w:val="009A0DFA"/>
    <w:rsid w:val="009A1238"/>
    <w:rsid w:val="009A1642"/>
    <w:rsid w:val="009A1803"/>
    <w:rsid w:val="009A21F3"/>
    <w:rsid w:val="009A2254"/>
    <w:rsid w:val="009A294D"/>
    <w:rsid w:val="009A2AD6"/>
    <w:rsid w:val="009A2FE1"/>
    <w:rsid w:val="009A3057"/>
    <w:rsid w:val="009A339C"/>
    <w:rsid w:val="009A3450"/>
    <w:rsid w:val="009A4A77"/>
    <w:rsid w:val="009A533B"/>
    <w:rsid w:val="009A55C0"/>
    <w:rsid w:val="009A5876"/>
    <w:rsid w:val="009A5BDF"/>
    <w:rsid w:val="009A5D6B"/>
    <w:rsid w:val="009A5F96"/>
    <w:rsid w:val="009A631C"/>
    <w:rsid w:val="009A6894"/>
    <w:rsid w:val="009A7990"/>
    <w:rsid w:val="009A7C7F"/>
    <w:rsid w:val="009A7E4F"/>
    <w:rsid w:val="009B0C61"/>
    <w:rsid w:val="009B0FBE"/>
    <w:rsid w:val="009B158E"/>
    <w:rsid w:val="009B17CD"/>
    <w:rsid w:val="009B1A03"/>
    <w:rsid w:val="009B1D56"/>
    <w:rsid w:val="009B21BA"/>
    <w:rsid w:val="009B234E"/>
    <w:rsid w:val="009B246A"/>
    <w:rsid w:val="009B373B"/>
    <w:rsid w:val="009B3A43"/>
    <w:rsid w:val="009B4036"/>
    <w:rsid w:val="009B5213"/>
    <w:rsid w:val="009B55D8"/>
    <w:rsid w:val="009B5743"/>
    <w:rsid w:val="009B626A"/>
    <w:rsid w:val="009B6FBC"/>
    <w:rsid w:val="009B6FC1"/>
    <w:rsid w:val="009B70D5"/>
    <w:rsid w:val="009B72B2"/>
    <w:rsid w:val="009B78C8"/>
    <w:rsid w:val="009B7EDB"/>
    <w:rsid w:val="009C03F6"/>
    <w:rsid w:val="009C0479"/>
    <w:rsid w:val="009C0546"/>
    <w:rsid w:val="009C099A"/>
    <w:rsid w:val="009C099B"/>
    <w:rsid w:val="009C1191"/>
    <w:rsid w:val="009C1C50"/>
    <w:rsid w:val="009C1CA4"/>
    <w:rsid w:val="009C1D0F"/>
    <w:rsid w:val="009C1E22"/>
    <w:rsid w:val="009C1F46"/>
    <w:rsid w:val="009C21CC"/>
    <w:rsid w:val="009C2369"/>
    <w:rsid w:val="009C2BEF"/>
    <w:rsid w:val="009C2E75"/>
    <w:rsid w:val="009C41E7"/>
    <w:rsid w:val="009C431A"/>
    <w:rsid w:val="009C4728"/>
    <w:rsid w:val="009C4CF6"/>
    <w:rsid w:val="009C5161"/>
    <w:rsid w:val="009C5238"/>
    <w:rsid w:val="009C5264"/>
    <w:rsid w:val="009C5AA7"/>
    <w:rsid w:val="009C625E"/>
    <w:rsid w:val="009C64BC"/>
    <w:rsid w:val="009C710D"/>
    <w:rsid w:val="009C7AE2"/>
    <w:rsid w:val="009D071A"/>
    <w:rsid w:val="009D0CD8"/>
    <w:rsid w:val="009D1283"/>
    <w:rsid w:val="009D1A70"/>
    <w:rsid w:val="009D1C14"/>
    <w:rsid w:val="009D1D9F"/>
    <w:rsid w:val="009D2168"/>
    <w:rsid w:val="009D2183"/>
    <w:rsid w:val="009D2876"/>
    <w:rsid w:val="009D2AA9"/>
    <w:rsid w:val="009D2AEF"/>
    <w:rsid w:val="009D2C11"/>
    <w:rsid w:val="009D32F4"/>
    <w:rsid w:val="009D3718"/>
    <w:rsid w:val="009D45D7"/>
    <w:rsid w:val="009D4868"/>
    <w:rsid w:val="009D49D4"/>
    <w:rsid w:val="009D4B84"/>
    <w:rsid w:val="009D4D0A"/>
    <w:rsid w:val="009D52B2"/>
    <w:rsid w:val="009D531C"/>
    <w:rsid w:val="009D554D"/>
    <w:rsid w:val="009D5BBE"/>
    <w:rsid w:val="009D638C"/>
    <w:rsid w:val="009D6C5A"/>
    <w:rsid w:val="009D705D"/>
    <w:rsid w:val="009E022B"/>
    <w:rsid w:val="009E0459"/>
    <w:rsid w:val="009E0764"/>
    <w:rsid w:val="009E0ACD"/>
    <w:rsid w:val="009E17CF"/>
    <w:rsid w:val="009E18CA"/>
    <w:rsid w:val="009E2591"/>
    <w:rsid w:val="009E26D0"/>
    <w:rsid w:val="009E2D77"/>
    <w:rsid w:val="009E304C"/>
    <w:rsid w:val="009E381B"/>
    <w:rsid w:val="009E3CEE"/>
    <w:rsid w:val="009E4171"/>
    <w:rsid w:val="009E4346"/>
    <w:rsid w:val="009E49FA"/>
    <w:rsid w:val="009E4B89"/>
    <w:rsid w:val="009E4DED"/>
    <w:rsid w:val="009E4F35"/>
    <w:rsid w:val="009E519E"/>
    <w:rsid w:val="009E561B"/>
    <w:rsid w:val="009E56D6"/>
    <w:rsid w:val="009E5756"/>
    <w:rsid w:val="009E5AD0"/>
    <w:rsid w:val="009E5B7F"/>
    <w:rsid w:val="009E5F4D"/>
    <w:rsid w:val="009E5F70"/>
    <w:rsid w:val="009E60CC"/>
    <w:rsid w:val="009E60D3"/>
    <w:rsid w:val="009E6CDC"/>
    <w:rsid w:val="009E785B"/>
    <w:rsid w:val="009E79A8"/>
    <w:rsid w:val="009E7B3F"/>
    <w:rsid w:val="009F05FC"/>
    <w:rsid w:val="009F060E"/>
    <w:rsid w:val="009F08F1"/>
    <w:rsid w:val="009F0D4C"/>
    <w:rsid w:val="009F0F53"/>
    <w:rsid w:val="009F0F91"/>
    <w:rsid w:val="009F1091"/>
    <w:rsid w:val="009F158A"/>
    <w:rsid w:val="009F16F5"/>
    <w:rsid w:val="009F1D84"/>
    <w:rsid w:val="009F224F"/>
    <w:rsid w:val="009F2434"/>
    <w:rsid w:val="009F252E"/>
    <w:rsid w:val="009F2B52"/>
    <w:rsid w:val="009F2DC2"/>
    <w:rsid w:val="009F2EA0"/>
    <w:rsid w:val="009F332B"/>
    <w:rsid w:val="009F347C"/>
    <w:rsid w:val="009F3BD6"/>
    <w:rsid w:val="009F4F42"/>
    <w:rsid w:val="009F56C8"/>
    <w:rsid w:val="009F576B"/>
    <w:rsid w:val="009F656F"/>
    <w:rsid w:val="009F6C54"/>
    <w:rsid w:val="009F72D3"/>
    <w:rsid w:val="009F7905"/>
    <w:rsid w:val="009F7BB8"/>
    <w:rsid w:val="009F7CD5"/>
    <w:rsid w:val="009F7F84"/>
    <w:rsid w:val="009F7F94"/>
    <w:rsid w:val="00A0006D"/>
    <w:rsid w:val="00A00154"/>
    <w:rsid w:val="00A0020F"/>
    <w:rsid w:val="00A00633"/>
    <w:rsid w:val="00A0095F"/>
    <w:rsid w:val="00A009D8"/>
    <w:rsid w:val="00A00D93"/>
    <w:rsid w:val="00A01CBC"/>
    <w:rsid w:val="00A02288"/>
    <w:rsid w:val="00A0287D"/>
    <w:rsid w:val="00A028F6"/>
    <w:rsid w:val="00A02A7D"/>
    <w:rsid w:val="00A02B42"/>
    <w:rsid w:val="00A02CB5"/>
    <w:rsid w:val="00A02E16"/>
    <w:rsid w:val="00A03565"/>
    <w:rsid w:val="00A03974"/>
    <w:rsid w:val="00A03BE5"/>
    <w:rsid w:val="00A043AC"/>
    <w:rsid w:val="00A045B4"/>
    <w:rsid w:val="00A0472E"/>
    <w:rsid w:val="00A04A43"/>
    <w:rsid w:val="00A04AD0"/>
    <w:rsid w:val="00A0556E"/>
    <w:rsid w:val="00A05669"/>
    <w:rsid w:val="00A058C9"/>
    <w:rsid w:val="00A05F88"/>
    <w:rsid w:val="00A0601B"/>
    <w:rsid w:val="00A06B9C"/>
    <w:rsid w:val="00A06DA1"/>
    <w:rsid w:val="00A06ED9"/>
    <w:rsid w:val="00A06F6F"/>
    <w:rsid w:val="00A06FC3"/>
    <w:rsid w:val="00A07CD4"/>
    <w:rsid w:val="00A07DB6"/>
    <w:rsid w:val="00A105FD"/>
    <w:rsid w:val="00A107DA"/>
    <w:rsid w:val="00A10999"/>
    <w:rsid w:val="00A1109A"/>
    <w:rsid w:val="00A111EE"/>
    <w:rsid w:val="00A11353"/>
    <w:rsid w:val="00A11CA4"/>
    <w:rsid w:val="00A12151"/>
    <w:rsid w:val="00A125A4"/>
    <w:rsid w:val="00A12A15"/>
    <w:rsid w:val="00A12A39"/>
    <w:rsid w:val="00A12B9C"/>
    <w:rsid w:val="00A12EB7"/>
    <w:rsid w:val="00A13002"/>
    <w:rsid w:val="00A13D03"/>
    <w:rsid w:val="00A13E11"/>
    <w:rsid w:val="00A14616"/>
    <w:rsid w:val="00A14642"/>
    <w:rsid w:val="00A147E5"/>
    <w:rsid w:val="00A14A52"/>
    <w:rsid w:val="00A14CBE"/>
    <w:rsid w:val="00A14D7D"/>
    <w:rsid w:val="00A15DEA"/>
    <w:rsid w:val="00A165BA"/>
    <w:rsid w:val="00A17881"/>
    <w:rsid w:val="00A20580"/>
    <w:rsid w:val="00A209C4"/>
    <w:rsid w:val="00A20AAE"/>
    <w:rsid w:val="00A210F7"/>
    <w:rsid w:val="00A21736"/>
    <w:rsid w:val="00A219BA"/>
    <w:rsid w:val="00A219D4"/>
    <w:rsid w:val="00A21CE2"/>
    <w:rsid w:val="00A226F5"/>
    <w:rsid w:val="00A2274D"/>
    <w:rsid w:val="00A22F48"/>
    <w:rsid w:val="00A23585"/>
    <w:rsid w:val="00A23C19"/>
    <w:rsid w:val="00A23E7B"/>
    <w:rsid w:val="00A23F6A"/>
    <w:rsid w:val="00A2420B"/>
    <w:rsid w:val="00A246D3"/>
    <w:rsid w:val="00A24A91"/>
    <w:rsid w:val="00A24C8C"/>
    <w:rsid w:val="00A25844"/>
    <w:rsid w:val="00A25861"/>
    <w:rsid w:val="00A25A25"/>
    <w:rsid w:val="00A25AE5"/>
    <w:rsid w:val="00A26934"/>
    <w:rsid w:val="00A26981"/>
    <w:rsid w:val="00A26AAA"/>
    <w:rsid w:val="00A26CB9"/>
    <w:rsid w:val="00A27905"/>
    <w:rsid w:val="00A27B3A"/>
    <w:rsid w:val="00A27EDB"/>
    <w:rsid w:val="00A27FEC"/>
    <w:rsid w:val="00A3005E"/>
    <w:rsid w:val="00A30651"/>
    <w:rsid w:val="00A30AF6"/>
    <w:rsid w:val="00A314D0"/>
    <w:rsid w:val="00A314E1"/>
    <w:rsid w:val="00A31553"/>
    <w:rsid w:val="00A31993"/>
    <w:rsid w:val="00A3241C"/>
    <w:rsid w:val="00A3255A"/>
    <w:rsid w:val="00A32767"/>
    <w:rsid w:val="00A330D8"/>
    <w:rsid w:val="00A33918"/>
    <w:rsid w:val="00A33C07"/>
    <w:rsid w:val="00A33C35"/>
    <w:rsid w:val="00A33E21"/>
    <w:rsid w:val="00A3402B"/>
    <w:rsid w:val="00A345DE"/>
    <w:rsid w:val="00A34B68"/>
    <w:rsid w:val="00A35290"/>
    <w:rsid w:val="00A35516"/>
    <w:rsid w:val="00A35D7E"/>
    <w:rsid w:val="00A360CE"/>
    <w:rsid w:val="00A36198"/>
    <w:rsid w:val="00A36356"/>
    <w:rsid w:val="00A3679B"/>
    <w:rsid w:val="00A36EE4"/>
    <w:rsid w:val="00A36F9A"/>
    <w:rsid w:val="00A3714C"/>
    <w:rsid w:val="00A37677"/>
    <w:rsid w:val="00A376D0"/>
    <w:rsid w:val="00A37A25"/>
    <w:rsid w:val="00A37DBE"/>
    <w:rsid w:val="00A403E7"/>
    <w:rsid w:val="00A407CC"/>
    <w:rsid w:val="00A408E5"/>
    <w:rsid w:val="00A40CE6"/>
    <w:rsid w:val="00A41D2C"/>
    <w:rsid w:val="00A421A1"/>
    <w:rsid w:val="00A42298"/>
    <w:rsid w:val="00A422DE"/>
    <w:rsid w:val="00A4271D"/>
    <w:rsid w:val="00A42F93"/>
    <w:rsid w:val="00A4412B"/>
    <w:rsid w:val="00A44422"/>
    <w:rsid w:val="00A44584"/>
    <w:rsid w:val="00A44986"/>
    <w:rsid w:val="00A44CCA"/>
    <w:rsid w:val="00A4671A"/>
    <w:rsid w:val="00A46850"/>
    <w:rsid w:val="00A471E5"/>
    <w:rsid w:val="00A47882"/>
    <w:rsid w:val="00A47901"/>
    <w:rsid w:val="00A47F64"/>
    <w:rsid w:val="00A505FD"/>
    <w:rsid w:val="00A51556"/>
    <w:rsid w:val="00A51DF4"/>
    <w:rsid w:val="00A521F7"/>
    <w:rsid w:val="00A5230E"/>
    <w:rsid w:val="00A524A2"/>
    <w:rsid w:val="00A52727"/>
    <w:rsid w:val="00A529AB"/>
    <w:rsid w:val="00A52F4A"/>
    <w:rsid w:val="00A53456"/>
    <w:rsid w:val="00A535AC"/>
    <w:rsid w:val="00A544FD"/>
    <w:rsid w:val="00A54BFF"/>
    <w:rsid w:val="00A55484"/>
    <w:rsid w:val="00A55B8F"/>
    <w:rsid w:val="00A56628"/>
    <w:rsid w:val="00A56A41"/>
    <w:rsid w:val="00A56BC5"/>
    <w:rsid w:val="00A56E7F"/>
    <w:rsid w:val="00A60226"/>
    <w:rsid w:val="00A60405"/>
    <w:rsid w:val="00A60619"/>
    <w:rsid w:val="00A607B5"/>
    <w:rsid w:val="00A60F04"/>
    <w:rsid w:val="00A61865"/>
    <w:rsid w:val="00A61D4B"/>
    <w:rsid w:val="00A62478"/>
    <w:rsid w:val="00A62674"/>
    <w:rsid w:val="00A62C0C"/>
    <w:rsid w:val="00A62C0E"/>
    <w:rsid w:val="00A63133"/>
    <w:rsid w:val="00A6361B"/>
    <w:rsid w:val="00A63A90"/>
    <w:rsid w:val="00A6417A"/>
    <w:rsid w:val="00A643C8"/>
    <w:rsid w:val="00A64559"/>
    <w:rsid w:val="00A6495B"/>
    <w:rsid w:val="00A652B8"/>
    <w:rsid w:val="00A65974"/>
    <w:rsid w:val="00A65E98"/>
    <w:rsid w:val="00A66529"/>
    <w:rsid w:val="00A6699C"/>
    <w:rsid w:val="00A66A09"/>
    <w:rsid w:val="00A67196"/>
    <w:rsid w:val="00A672F9"/>
    <w:rsid w:val="00A6730C"/>
    <w:rsid w:val="00A678F6"/>
    <w:rsid w:val="00A679A3"/>
    <w:rsid w:val="00A70821"/>
    <w:rsid w:val="00A70C59"/>
    <w:rsid w:val="00A71410"/>
    <w:rsid w:val="00A7196D"/>
    <w:rsid w:val="00A71CB4"/>
    <w:rsid w:val="00A71E86"/>
    <w:rsid w:val="00A7219F"/>
    <w:rsid w:val="00A721CE"/>
    <w:rsid w:val="00A72C59"/>
    <w:rsid w:val="00A7403B"/>
    <w:rsid w:val="00A74208"/>
    <w:rsid w:val="00A742EF"/>
    <w:rsid w:val="00A75362"/>
    <w:rsid w:val="00A75FA9"/>
    <w:rsid w:val="00A76A74"/>
    <w:rsid w:val="00A7707C"/>
    <w:rsid w:val="00A7741A"/>
    <w:rsid w:val="00A777E5"/>
    <w:rsid w:val="00A80159"/>
    <w:rsid w:val="00A80895"/>
    <w:rsid w:val="00A80BFF"/>
    <w:rsid w:val="00A80CD5"/>
    <w:rsid w:val="00A81221"/>
    <w:rsid w:val="00A81338"/>
    <w:rsid w:val="00A819FA"/>
    <w:rsid w:val="00A81A2C"/>
    <w:rsid w:val="00A82A9D"/>
    <w:rsid w:val="00A82C81"/>
    <w:rsid w:val="00A84556"/>
    <w:rsid w:val="00A8499B"/>
    <w:rsid w:val="00A84C1B"/>
    <w:rsid w:val="00A84E31"/>
    <w:rsid w:val="00A84E4B"/>
    <w:rsid w:val="00A85A3B"/>
    <w:rsid w:val="00A85BF3"/>
    <w:rsid w:val="00A86E45"/>
    <w:rsid w:val="00A87292"/>
    <w:rsid w:val="00A87359"/>
    <w:rsid w:val="00A87495"/>
    <w:rsid w:val="00A874CF"/>
    <w:rsid w:val="00A87AB4"/>
    <w:rsid w:val="00A91BB9"/>
    <w:rsid w:val="00A92504"/>
    <w:rsid w:val="00A92ABB"/>
    <w:rsid w:val="00A92FC3"/>
    <w:rsid w:val="00A93034"/>
    <w:rsid w:val="00A93602"/>
    <w:rsid w:val="00A93DA1"/>
    <w:rsid w:val="00A93ECC"/>
    <w:rsid w:val="00A9423B"/>
    <w:rsid w:val="00A942EC"/>
    <w:rsid w:val="00A945AA"/>
    <w:rsid w:val="00A947D3"/>
    <w:rsid w:val="00A950D8"/>
    <w:rsid w:val="00A951A0"/>
    <w:rsid w:val="00A957B3"/>
    <w:rsid w:val="00A961B8"/>
    <w:rsid w:val="00A96364"/>
    <w:rsid w:val="00A96981"/>
    <w:rsid w:val="00A96DC0"/>
    <w:rsid w:val="00A970A2"/>
    <w:rsid w:val="00A9725C"/>
    <w:rsid w:val="00A972C3"/>
    <w:rsid w:val="00A97E43"/>
    <w:rsid w:val="00A97F4C"/>
    <w:rsid w:val="00AA06D5"/>
    <w:rsid w:val="00AA0720"/>
    <w:rsid w:val="00AA0946"/>
    <w:rsid w:val="00AA0D08"/>
    <w:rsid w:val="00AA0F5A"/>
    <w:rsid w:val="00AA0F72"/>
    <w:rsid w:val="00AA1648"/>
    <w:rsid w:val="00AA1739"/>
    <w:rsid w:val="00AA20EF"/>
    <w:rsid w:val="00AA2158"/>
    <w:rsid w:val="00AA22E8"/>
    <w:rsid w:val="00AA2D2A"/>
    <w:rsid w:val="00AA33D3"/>
    <w:rsid w:val="00AA3545"/>
    <w:rsid w:val="00AA3609"/>
    <w:rsid w:val="00AA3AED"/>
    <w:rsid w:val="00AA42D7"/>
    <w:rsid w:val="00AA4B96"/>
    <w:rsid w:val="00AA4C07"/>
    <w:rsid w:val="00AA4CCE"/>
    <w:rsid w:val="00AA59FF"/>
    <w:rsid w:val="00AA5DE8"/>
    <w:rsid w:val="00AA67A3"/>
    <w:rsid w:val="00AA69E0"/>
    <w:rsid w:val="00AA6B29"/>
    <w:rsid w:val="00AA6B89"/>
    <w:rsid w:val="00AA6D33"/>
    <w:rsid w:val="00AA6E5D"/>
    <w:rsid w:val="00AB000C"/>
    <w:rsid w:val="00AB0A3C"/>
    <w:rsid w:val="00AB0FA3"/>
    <w:rsid w:val="00AB1158"/>
    <w:rsid w:val="00AB1684"/>
    <w:rsid w:val="00AB1BCC"/>
    <w:rsid w:val="00AB28BA"/>
    <w:rsid w:val="00AB28D5"/>
    <w:rsid w:val="00AB2ACD"/>
    <w:rsid w:val="00AB31DF"/>
    <w:rsid w:val="00AB3ECF"/>
    <w:rsid w:val="00AB3EE1"/>
    <w:rsid w:val="00AB3FBA"/>
    <w:rsid w:val="00AB41A3"/>
    <w:rsid w:val="00AB4838"/>
    <w:rsid w:val="00AB4AEF"/>
    <w:rsid w:val="00AB4D83"/>
    <w:rsid w:val="00AB4EC8"/>
    <w:rsid w:val="00AB5359"/>
    <w:rsid w:val="00AB53AB"/>
    <w:rsid w:val="00AB543C"/>
    <w:rsid w:val="00AB55D2"/>
    <w:rsid w:val="00AB578D"/>
    <w:rsid w:val="00AB5D50"/>
    <w:rsid w:val="00AB5FB8"/>
    <w:rsid w:val="00AB650A"/>
    <w:rsid w:val="00AB686A"/>
    <w:rsid w:val="00AB733B"/>
    <w:rsid w:val="00AB77DD"/>
    <w:rsid w:val="00AC01E8"/>
    <w:rsid w:val="00AC0977"/>
    <w:rsid w:val="00AC0AA7"/>
    <w:rsid w:val="00AC0D9F"/>
    <w:rsid w:val="00AC0E59"/>
    <w:rsid w:val="00AC162D"/>
    <w:rsid w:val="00AC17E6"/>
    <w:rsid w:val="00AC1847"/>
    <w:rsid w:val="00AC1849"/>
    <w:rsid w:val="00AC22D3"/>
    <w:rsid w:val="00AC2389"/>
    <w:rsid w:val="00AC2733"/>
    <w:rsid w:val="00AC3434"/>
    <w:rsid w:val="00AC4ADD"/>
    <w:rsid w:val="00AC5BDA"/>
    <w:rsid w:val="00AC645F"/>
    <w:rsid w:val="00AC6C1E"/>
    <w:rsid w:val="00AC6F0A"/>
    <w:rsid w:val="00AC74EA"/>
    <w:rsid w:val="00AC7878"/>
    <w:rsid w:val="00AC788B"/>
    <w:rsid w:val="00AC7A27"/>
    <w:rsid w:val="00AC7AC4"/>
    <w:rsid w:val="00AD06D3"/>
    <w:rsid w:val="00AD0E01"/>
    <w:rsid w:val="00AD1864"/>
    <w:rsid w:val="00AD18BC"/>
    <w:rsid w:val="00AD1FE5"/>
    <w:rsid w:val="00AD2655"/>
    <w:rsid w:val="00AD27CF"/>
    <w:rsid w:val="00AD2E20"/>
    <w:rsid w:val="00AD3080"/>
    <w:rsid w:val="00AD314E"/>
    <w:rsid w:val="00AD37BD"/>
    <w:rsid w:val="00AD5C02"/>
    <w:rsid w:val="00AD66AD"/>
    <w:rsid w:val="00AD6C1C"/>
    <w:rsid w:val="00AD6DCF"/>
    <w:rsid w:val="00AD7926"/>
    <w:rsid w:val="00AD7A1D"/>
    <w:rsid w:val="00AD7E05"/>
    <w:rsid w:val="00AE02AA"/>
    <w:rsid w:val="00AE0FEB"/>
    <w:rsid w:val="00AE1061"/>
    <w:rsid w:val="00AE12A0"/>
    <w:rsid w:val="00AE221E"/>
    <w:rsid w:val="00AE2A35"/>
    <w:rsid w:val="00AE3192"/>
    <w:rsid w:val="00AE339A"/>
    <w:rsid w:val="00AE3D4D"/>
    <w:rsid w:val="00AE4B90"/>
    <w:rsid w:val="00AE4BDB"/>
    <w:rsid w:val="00AE4F32"/>
    <w:rsid w:val="00AE57A8"/>
    <w:rsid w:val="00AE5A30"/>
    <w:rsid w:val="00AE5F1B"/>
    <w:rsid w:val="00AE6059"/>
    <w:rsid w:val="00AE6BC1"/>
    <w:rsid w:val="00AE7D0E"/>
    <w:rsid w:val="00AF00C3"/>
    <w:rsid w:val="00AF026D"/>
    <w:rsid w:val="00AF125C"/>
    <w:rsid w:val="00AF12EF"/>
    <w:rsid w:val="00AF1594"/>
    <w:rsid w:val="00AF1870"/>
    <w:rsid w:val="00AF283F"/>
    <w:rsid w:val="00AF3289"/>
    <w:rsid w:val="00AF32D3"/>
    <w:rsid w:val="00AF42DB"/>
    <w:rsid w:val="00AF44FF"/>
    <w:rsid w:val="00AF4667"/>
    <w:rsid w:val="00AF4C10"/>
    <w:rsid w:val="00AF4E7F"/>
    <w:rsid w:val="00AF52FC"/>
    <w:rsid w:val="00AF58CB"/>
    <w:rsid w:val="00AF5969"/>
    <w:rsid w:val="00AF616B"/>
    <w:rsid w:val="00AF65F2"/>
    <w:rsid w:val="00AF66F5"/>
    <w:rsid w:val="00AF6705"/>
    <w:rsid w:val="00AF6C1B"/>
    <w:rsid w:val="00AF6DA2"/>
    <w:rsid w:val="00AF71D0"/>
    <w:rsid w:val="00AF77FA"/>
    <w:rsid w:val="00AF7B25"/>
    <w:rsid w:val="00AF7DE8"/>
    <w:rsid w:val="00AF7FF8"/>
    <w:rsid w:val="00B0017E"/>
    <w:rsid w:val="00B001F7"/>
    <w:rsid w:val="00B00615"/>
    <w:rsid w:val="00B0085A"/>
    <w:rsid w:val="00B009ED"/>
    <w:rsid w:val="00B00C5F"/>
    <w:rsid w:val="00B0128E"/>
    <w:rsid w:val="00B01332"/>
    <w:rsid w:val="00B014A9"/>
    <w:rsid w:val="00B01B3F"/>
    <w:rsid w:val="00B01F77"/>
    <w:rsid w:val="00B028CD"/>
    <w:rsid w:val="00B02A23"/>
    <w:rsid w:val="00B032B6"/>
    <w:rsid w:val="00B039D1"/>
    <w:rsid w:val="00B03A33"/>
    <w:rsid w:val="00B03A80"/>
    <w:rsid w:val="00B03AAE"/>
    <w:rsid w:val="00B0481A"/>
    <w:rsid w:val="00B049C2"/>
    <w:rsid w:val="00B04CD4"/>
    <w:rsid w:val="00B0519B"/>
    <w:rsid w:val="00B05A67"/>
    <w:rsid w:val="00B05AB4"/>
    <w:rsid w:val="00B06133"/>
    <w:rsid w:val="00B06407"/>
    <w:rsid w:val="00B0686E"/>
    <w:rsid w:val="00B06FA2"/>
    <w:rsid w:val="00B07266"/>
    <w:rsid w:val="00B0734B"/>
    <w:rsid w:val="00B07816"/>
    <w:rsid w:val="00B07EE6"/>
    <w:rsid w:val="00B1010B"/>
    <w:rsid w:val="00B101FC"/>
    <w:rsid w:val="00B103FA"/>
    <w:rsid w:val="00B11059"/>
    <w:rsid w:val="00B1121B"/>
    <w:rsid w:val="00B112D5"/>
    <w:rsid w:val="00B11A66"/>
    <w:rsid w:val="00B11E92"/>
    <w:rsid w:val="00B13140"/>
    <w:rsid w:val="00B1363D"/>
    <w:rsid w:val="00B141CB"/>
    <w:rsid w:val="00B143FC"/>
    <w:rsid w:val="00B144E6"/>
    <w:rsid w:val="00B14D71"/>
    <w:rsid w:val="00B1510F"/>
    <w:rsid w:val="00B155D5"/>
    <w:rsid w:val="00B15BCD"/>
    <w:rsid w:val="00B15FA5"/>
    <w:rsid w:val="00B15FD4"/>
    <w:rsid w:val="00B15FDC"/>
    <w:rsid w:val="00B16454"/>
    <w:rsid w:val="00B16870"/>
    <w:rsid w:val="00B168B4"/>
    <w:rsid w:val="00B16BF4"/>
    <w:rsid w:val="00B17A20"/>
    <w:rsid w:val="00B17DB7"/>
    <w:rsid w:val="00B20E54"/>
    <w:rsid w:val="00B21121"/>
    <w:rsid w:val="00B21240"/>
    <w:rsid w:val="00B21462"/>
    <w:rsid w:val="00B214E0"/>
    <w:rsid w:val="00B218DC"/>
    <w:rsid w:val="00B22368"/>
    <w:rsid w:val="00B23053"/>
    <w:rsid w:val="00B23120"/>
    <w:rsid w:val="00B23312"/>
    <w:rsid w:val="00B2345A"/>
    <w:rsid w:val="00B23EB7"/>
    <w:rsid w:val="00B2401C"/>
    <w:rsid w:val="00B243E9"/>
    <w:rsid w:val="00B247E0"/>
    <w:rsid w:val="00B24BB2"/>
    <w:rsid w:val="00B24F99"/>
    <w:rsid w:val="00B25CCB"/>
    <w:rsid w:val="00B25F8F"/>
    <w:rsid w:val="00B26923"/>
    <w:rsid w:val="00B26B71"/>
    <w:rsid w:val="00B2701E"/>
    <w:rsid w:val="00B272A9"/>
    <w:rsid w:val="00B275FE"/>
    <w:rsid w:val="00B30CF5"/>
    <w:rsid w:val="00B315EB"/>
    <w:rsid w:val="00B32285"/>
    <w:rsid w:val="00B3230A"/>
    <w:rsid w:val="00B3248E"/>
    <w:rsid w:val="00B328F3"/>
    <w:rsid w:val="00B333E3"/>
    <w:rsid w:val="00B336B1"/>
    <w:rsid w:val="00B339D0"/>
    <w:rsid w:val="00B33B31"/>
    <w:rsid w:val="00B341F0"/>
    <w:rsid w:val="00B34DFD"/>
    <w:rsid w:val="00B35542"/>
    <w:rsid w:val="00B35921"/>
    <w:rsid w:val="00B35FDA"/>
    <w:rsid w:val="00B36CE7"/>
    <w:rsid w:val="00B37323"/>
    <w:rsid w:val="00B37335"/>
    <w:rsid w:val="00B4005A"/>
    <w:rsid w:val="00B4016F"/>
    <w:rsid w:val="00B402B9"/>
    <w:rsid w:val="00B40461"/>
    <w:rsid w:val="00B40635"/>
    <w:rsid w:val="00B40C42"/>
    <w:rsid w:val="00B415DD"/>
    <w:rsid w:val="00B41950"/>
    <w:rsid w:val="00B41A83"/>
    <w:rsid w:val="00B41D89"/>
    <w:rsid w:val="00B4291E"/>
    <w:rsid w:val="00B42DB9"/>
    <w:rsid w:val="00B439F2"/>
    <w:rsid w:val="00B43B03"/>
    <w:rsid w:val="00B43B9E"/>
    <w:rsid w:val="00B43C5B"/>
    <w:rsid w:val="00B4436F"/>
    <w:rsid w:val="00B448EC"/>
    <w:rsid w:val="00B455DD"/>
    <w:rsid w:val="00B457AC"/>
    <w:rsid w:val="00B457D9"/>
    <w:rsid w:val="00B458E9"/>
    <w:rsid w:val="00B45A90"/>
    <w:rsid w:val="00B46535"/>
    <w:rsid w:val="00B466B7"/>
    <w:rsid w:val="00B46B9D"/>
    <w:rsid w:val="00B46D67"/>
    <w:rsid w:val="00B46F09"/>
    <w:rsid w:val="00B47118"/>
    <w:rsid w:val="00B472B1"/>
    <w:rsid w:val="00B4743C"/>
    <w:rsid w:val="00B47A2F"/>
    <w:rsid w:val="00B47FC9"/>
    <w:rsid w:val="00B503FD"/>
    <w:rsid w:val="00B5076D"/>
    <w:rsid w:val="00B509CD"/>
    <w:rsid w:val="00B50A3C"/>
    <w:rsid w:val="00B50D67"/>
    <w:rsid w:val="00B5119C"/>
    <w:rsid w:val="00B5130B"/>
    <w:rsid w:val="00B51445"/>
    <w:rsid w:val="00B5155E"/>
    <w:rsid w:val="00B51E44"/>
    <w:rsid w:val="00B52081"/>
    <w:rsid w:val="00B52689"/>
    <w:rsid w:val="00B540E6"/>
    <w:rsid w:val="00B54110"/>
    <w:rsid w:val="00B54495"/>
    <w:rsid w:val="00B54C7B"/>
    <w:rsid w:val="00B54F73"/>
    <w:rsid w:val="00B5548E"/>
    <w:rsid w:val="00B55AC3"/>
    <w:rsid w:val="00B55D2A"/>
    <w:rsid w:val="00B563CD"/>
    <w:rsid w:val="00B5654C"/>
    <w:rsid w:val="00B5689A"/>
    <w:rsid w:val="00B57316"/>
    <w:rsid w:val="00B5761A"/>
    <w:rsid w:val="00B5763A"/>
    <w:rsid w:val="00B57ABB"/>
    <w:rsid w:val="00B57BDD"/>
    <w:rsid w:val="00B57F19"/>
    <w:rsid w:val="00B60058"/>
    <w:rsid w:val="00B6030A"/>
    <w:rsid w:val="00B60751"/>
    <w:rsid w:val="00B60BFB"/>
    <w:rsid w:val="00B61624"/>
    <w:rsid w:val="00B61809"/>
    <w:rsid w:val="00B61C26"/>
    <w:rsid w:val="00B62042"/>
    <w:rsid w:val="00B620CF"/>
    <w:rsid w:val="00B6245E"/>
    <w:rsid w:val="00B62AC3"/>
    <w:rsid w:val="00B63E27"/>
    <w:rsid w:val="00B64540"/>
    <w:rsid w:val="00B64646"/>
    <w:rsid w:val="00B64658"/>
    <w:rsid w:val="00B64D81"/>
    <w:rsid w:val="00B64EFE"/>
    <w:rsid w:val="00B65114"/>
    <w:rsid w:val="00B65FA1"/>
    <w:rsid w:val="00B6646D"/>
    <w:rsid w:val="00B665E4"/>
    <w:rsid w:val="00B666BB"/>
    <w:rsid w:val="00B66717"/>
    <w:rsid w:val="00B66C20"/>
    <w:rsid w:val="00B67D81"/>
    <w:rsid w:val="00B713DF"/>
    <w:rsid w:val="00B71783"/>
    <w:rsid w:val="00B718FF"/>
    <w:rsid w:val="00B72009"/>
    <w:rsid w:val="00B7238D"/>
    <w:rsid w:val="00B72433"/>
    <w:rsid w:val="00B727B7"/>
    <w:rsid w:val="00B72CF1"/>
    <w:rsid w:val="00B731CC"/>
    <w:rsid w:val="00B73B5E"/>
    <w:rsid w:val="00B73F80"/>
    <w:rsid w:val="00B74052"/>
    <w:rsid w:val="00B74309"/>
    <w:rsid w:val="00B7439A"/>
    <w:rsid w:val="00B74C67"/>
    <w:rsid w:val="00B74FF1"/>
    <w:rsid w:val="00B75144"/>
    <w:rsid w:val="00B75551"/>
    <w:rsid w:val="00B75DC9"/>
    <w:rsid w:val="00B76194"/>
    <w:rsid w:val="00B76854"/>
    <w:rsid w:val="00B77088"/>
    <w:rsid w:val="00B7771C"/>
    <w:rsid w:val="00B7790F"/>
    <w:rsid w:val="00B77ADB"/>
    <w:rsid w:val="00B77B63"/>
    <w:rsid w:val="00B77D95"/>
    <w:rsid w:val="00B808D4"/>
    <w:rsid w:val="00B8109A"/>
    <w:rsid w:val="00B81227"/>
    <w:rsid w:val="00B814C5"/>
    <w:rsid w:val="00B817AF"/>
    <w:rsid w:val="00B8220C"/>
    <w:rsid w:val="00B833B5"/>
    <w:rsid w:val="00B834D5"/>
    <w:rsid w:val="00B835B8"/>
    <w:rsid w:val="00B83D6D"/>
    <w:rsid w:val="00B845A3"/>
    <w:rsid w:val="00B84628"/>
    <w:rsid w:val="00B8487F"/>
    <w:rsid w:val="00B84AFA"/>
    <w:rsid w:val="00B84C26"/>
    <w:rsid w:val="00B84D73"/>
    <w:rsid w:val="00B850DB"/>
    <w:rsid w:val="00B852FF"/>
    <w:rsid w:val="00B85400"/>
    <w:rsid w:val="00B855D5"/>
    <w:rsid w:val="00B8584A"/>
    <w:rsid w:val="00B85AB0"/>
    <w:rsid w:val="00B86093"/>
    <w:rsid w:val="00B86780"/>
    <w:rsid w:val="00B86BDD"/>
    <w:rsid w:val="00B86EAE"/>
    <w:rsid w:val="00B87346"/>
    <w:rsid w:val="00B87774"/>
    <w:rsid w:val="00B87958"/>
    <w:rsid w:val="00B9012E"/>
    <w:rsid w:val="00B9044A"/>
    <w:rsid w:val="00B90A4F"/>
    <w:rsid w:val="00B90CD0"/>
    <w:rsid w:val="00B90F05"/>
    <w:rsid w:val="00B91613"/>
    <w:rsid w:val="00B918BB"/>
    <w:rsid w:val="00B91C47"/>
    <w:rsid w:val="00B91F94"/>
    <w:rsid w:val="00B920A5"/>
    <w:rsid w:val="00B92349"/>
    <w:rsid w:val="00B92716"/>
    <w:rsid w:val="00B928D2"/>
    <w:rsid w:val="00B92F2D"/>
    <w:rsid w:val="00B93869"/>
    <w:rsid w:val="00B93AE0"/>
    <w:rsid w:val="00B94785"/>
    <w:rsid w:val="00B94EA9"/>
    <w:rsid w:val="00B95547"/>
    <w:rsid w:val="00B95945"/>
    <w:rsid w:val="00B9602F"/>
    <w:rsid w:val="00B96959"/>
    <w:rsid w:val="00B96AA1"/>
    <w:rsid w:val="00B96ED6"/>
    <w:rsid w:val="00B97328"/>
    <w:rsid w:val="00B974BA"/>
    <w:rsid w:val="00B97951"/>
    <w:rsid w:val="00B97ACD"/>
    <w:rsid w:val="00B97C61"/>
    <w:rsid w:val="00B97EFF"/>
    <w:rsid w:val="00BA09ED"/>
    <w:rsid w:val="00BA1153"/>
    <w:rsid w:val="00BA151F"/>
    <w:rsid w:val="00BA1A7E"/>
    <w:rsid w:val="00BA24C4"/>
    <w:rsid w:val="00BA41CF"/>
    <w:rsid w:val="00BA490E"/>
    <w:rsid w:val="00BA4A71"/>
    <w:rsid w:val="00BA4E86"/>
    <w:rsid w:val="00BA5126"/>
    <w:rsid w:val="00BA5340"/>
    <w:rsid w:val="00BA543E"/>
    <w:rsid w:val="00BA563E"/>
    <w:rsid w:val="00BA56A5"/>
    <w:rsid w:val="00BA5780"/>
    <w:rsid w:val="00BA6033"/>
    <w:rsid w:val="00BA61A4"/>
    <w:rsid w:val="00BA7C97"/>
    <w:rsid w:val="00BA7E73"/>
    <w:rsid w:val="00BA7F8C"/>
    <w:rsid w:val="00BB011D"/>
    <w:rsid w:val="00BB0160"/>
    <w:rsid w:val="00BB03D9"/>
    <w:rsid w:val="00BB09E0"/>
    <w:rsid w:val="00BB120D"/>
    <w:rsid w:val="00BB1DE8"/>
    <w:rsid w:val="00BB1E5B"/>
    <w:rsid w:val="00BB2595"/>
    <w:rsid w:val="00BB2686"/>
    <w:rsid w:val="00BB2B1D"/>
    <w:rsid w:val="00BB2F65"/>
    <w:rsid w:val="00BB34BC"/>
    <w:rsid w:val="00BB36CB"/>
    <w:rsid w:val="00BB43EC"/>
    <w:rsid w:val="00BB449D"/>
    <w:rsid w:val="00BB49AC"/>
    <w:rsid w:val="00BB4D8D"/>
    <w:rsid w:val="00BB5220"/>
    <w:rsid w:val="00BB560E"/>
    <w:rsid w:val="00BB58AF"/>
    <w:rsid w:val="00BB5C07"/>
    <w:rsid w:val="00BB5F05"/>
    <w:rsid w:val="00BB640C"/>
    <w:rsid w:val="00BB68D6"/>
    <w:rsid w:val="00BB6924"/>
    <w:rsid w:val="00BB6CB7"/>
    <w:rsid w:val="00BB782B"/>
    <w:rsid w:val="00BB7A4C"/>
    <w:rsid w:val="00BB7A88"/>
    <w:rsid w:val="00BB7CA2"/>
    <w:rsid w:val="00BB7CEA"/>
    <w:rsid w:val="00BC1985"/>
    <w:rsid w:val="00BC29DC"/>
    <w:rsid w:val="00BC2E44"/>
    <w:rsid w:val="00BC3251"/>
    <w:rsid w:val="00BC3F7E"/>
    <w:rsid w:val="00BC4A13"/>
    <w:rsid w:val="00BC4ADE"/>
    <w:rsid w:val="00BC514E"/>
    <w:rsid w:val="00BC5396"/>
    <w:rsid w:val="00BC5761"/>
    <w:rsid w:val="00BC58D7"/>
    <w:rsid w:val="00BC5CA9"/>
    <w:rsid w:val="00BC60B0"/>
    <w:rsid w:val="00BC6C66"/>
    <w:rsid w:val="00BC6D5C"/>
    <w:rsid w:val="00BC7237"/>
    <w:rsid w:val="00BC724E"/>
    <w:rsid w:val="00BC7661"/>
    <w:rsid w:val="00BC7823"/>
    <w:rsid w:val="00BC7C0D"/>
    <w:rsid w:val="00BC7EF0"/>
    <w:rsid w:val="00BD066D"/>
    <w:rsid w:val="00BD073F"/>
    <w:rsid w:val="00BD08AE"/>
    <w:rsid w:val="00BD1266"/>
    <w:rsid w:val="00BD2398"/>
    <w:rsid w:val="00BD30CF"/>
    <w:rsid w:val="00BD382D"/>
    <w:rsid w:val="00BD4483"/>
    <w:rsid w:val="00BD44B8"/>
    <w:rsid w:val="00BD456F"/>
    <w:rsid w:val="00BD4962"/>
    <w:rsid w:val="00BD58B5"/>
    <w:rsid w:val="00BD5CB3"/>
    <w:rsid w:val="00BD5D62"/>
    <w:rsid w:val="00BD5E61"/>
    <w:rsid w:val="00BD6291"/>
    <w:rsid w:val="00BD6495"/>
    <w:rsid w:val="00BD6790"/>
    <w:rsid w:val="00BD6EDB"/>
    <w:rsid w:val="00BD7780"/>
    <w:rsid w:val="00BE029F"/>
    <w:rsid w:val="00BE03EC"/>
    <w:rsid w:val="00BE0E4F"/>
    <w:rsid w:val="00BE0FB5"/>
    <w:rsid w:val="00BE1005"/>
    <w:rsid w:val="00BE177E"/>
    <w:rsid w:val="00BE18CF"/>
    <w:rsid w:val="00BE1A97"/>
    <w:rsid w:val="00BE1DC2"/>
    <w:rsid w:val="00BE25FB"/>
    <w:rsid w:val="00BE276F"/>
    <w:rsid w:val="00BE2DB1"/>
    <w:rsid w:val="00BE39B2"/>
    <w:rsid w:val="00BE403F"/>
    <w:rsid w:val="00BE41BA"/>
    <w:rsid w:val="00BE4AB8"/>
    <w:rsid w:val="00BE518A"/>
    <w:rsid w:val="00BE5833"/>
    <w:rsid w:val="00BE67E9"/>
    <w:rsid w:val="00BE6CE3"/>
    <w:rsid w:val="00BE6D20"/>
    <w:rsid w:val="00BE6FE0"/>
    <w:rsid w:val="00BE7216"/>
    <w:rsid w:val="00BE7B43"/>
    <w:rsid w:val="00BF08C7"/>
    <w:rsid w:val="00BF09EC"/>
    <w:rsid w:val="00BF0F0A"/>
    <w:rsid w:val="00BF1274"/>
    <w:rsid w:val="00BF170D"/>
    <w:rsid w:val="00BF1843"/>
    <w:rsid w:val="00BF1AD4"/>
    <w:rsid w:val="00BF20A2"/>
    <w:rsid w:val="00BF2194"/>
    <w:rsid w:val="00BF24C4"/>
    <w:rsid w:val="00BF2A4E"/>
    <w:rsid w:val="00BF2F6B"/>
    <w:rsid w:val="00BF363F"/>
    <w:rsid w:val="00BF3B68"/>
    <w:rsid w:val="00BF3D91"/>
    <w:rsid w:val="00BF477A"/>
    <w:rsid w:val="00BF4909"/>
    <w:rsid w:val="00BF4C4F"/>
    <w:rsid w:val="00BF4C9C"/>
    <w:rsid w:val="00BF4D5C"/>
    <w:rsid w:val="00BF4E47"/>
    <w:rsid w:val="00BF4F96"/>
    <w:rsid w:val="00BF5BD5"/>
    <w:rsid w:val="00BF5F35"/>
    <w:rsid w:val="00BF6957"/>
    <w:rsid w:val="00BF6AF0"/>
    <w:rsid w:val="00BF6F81"/>
    <w:rsid w:val="00BF7331"/>
    <w:rsid w:val="00BF78B3"/>
    <w:rsid w:val="00BF7B2B"/>
    <w:rsid w:val="00C0038C"/>
    <w:rsid w:val="00C007C7"/>
    <w:rsid w:val="00C00D4B"/>
    <w:rsid w:val="00C0106A"/>
    <w:rsid w:val="00C01EC4"/>
    <w:rsid w:val="00C01EFB"/>
    <w:rsid w:val="00C020D7"/>
    <w:rsid w:val="00C024A3"/>
    <w:rsid w:val="00C02577"/>
    <w:rsid w:val="00C0321D"/>
    <w:rsid w:val="00C032E0"/>
    <w:rsid w:val="00C03ACB"/>
    <w:rsid w:val="00C03D53"/>
    <w:rsid w:val="00C03E1D"/>
    <w:rsid w:val="00C0414C"/>
    <w:rsid w:val="00C04246"/>
    <w:rsid w:val="00C04F2F"/>
    <w:rsid w:val="00C0527F"/>
    <w:rsid w:val="00C054EC"/>
    <w:rsid w:val="00C05902"/>
    <w:rsid w:val="00C05CCC"/>
    <w:rsid w:val="00C06756"/>
    <w:rsid w:val="00C06771"/>
    <w:rsid w:val="00C06BBE"/>
    <w:rsid w:val="00C07262"/>
    <w:rsid w:val="00C0781A"/>
    <w:rsid w:val="00C10624"/>
    <w:rsid w:val="00C10E27"/>
    <w:rsid w:val="00C11180"/>
    <w:rsid w:val="00C11734"/>
    <w:rsid w:val="00C11E75"/>
    <w:rsid w:val="00C12048"/>
    <w:rsid w:val="00C12134"/>
    <w:rsid w:val="00C123B1"/>
    <w:rsid w:val="00C12C04"/>
    <w:rsid w:val="00C12DF0"/>
    <w:rsid w:val="00C132E2"/>
    <w:rsid w:val="00C13434"/>
    <w:rsid w:val="00C1383D"/>
    <w:rsid w:val="00C138DD"/>
    <w:rsid w:val="00C13A3A"/>
    <w:rsid w:val="00C13C4C"/>
    <w:rsid w:val="00C13EB3"/>
    <w:rsid w:val="00C142AB"/>
    <w:rsid w:val="00C14449"/>
    <w:rsid w:val="00C148AA"/>
    <w:rsid w:val="00C14DCE"/>
    <w:rsid w:val="00C150D5"/>
    <w:rsid w:val="00C151BF"/>
    <w:rsid w:val="00C1550A"/>
    <w:rsid w:val="00C15C4E"/>
    <w:rsid w:val="00C16194"/>
    <w:rsid w:val="00C1652C"/>
    <w:rsid w:val="00C169FC"/>
    <w:rsid w:val="00C16AD8"/>
    <w:rsid w:val="00C16AEE"/>
    <w:rsid w:val="00C17254"/>
    <w:rsid w:val="00C1732F"/>
    <w:rsid w:val="00C1751D"/>
    <w:rsid w:val="00C175FE"/>
    <w:rsid w:val="00C1766B"/>
    <w:rsid w:val="00C205D6"/>
    <w:rsid w:val="00C20BDB"/>
    <w:rsid w:val="00C21072"/>
    <w:rsid w:val="00C21558"/>
    <w:rsid w:val="00C21ADF"/>
    <w:rsid w:val="00C21C6C"/>
    <w:rsid w:val="00C21F6D"/>
    <w:rsid w:val="00C220CD"/>
    <w:rsid w:val="00C22491"/>
    <w:rsid w:val="00C225A1"/>
    <w:rsid w:val="00C225BB"/>
    <w:rsid w:val="00C225FC"/>
    <w:rsid w:val="00C22998"/>
    <w:rsid w:val="00C22A5C"/>
    <w:rsid w:val="00C230AC"/>
    <w:rsid w:val="00C2363E"/>
    <w:rsid w:val="00C23C3F"/>
    <w:rsid w:val="00C23F54"/>
    <w:rsid w:val="00C246B1"/>
    <w:rsid w:val="00C24B1D"/>
    <w:rsid w:val="00C2502A"/>
    <w:rsid w:val="00C255E8"/>
    <w:rsid w:val="00C25E08"/>
    <w:rsid w:val="00C274E8"/>
    <w:rsid w:val="00C27944"/>
    <w:rsid w:val="00C27E86"/>
    <w:rsid w:val="00C3011C"/>
    <w:rsid w:val="00C30817"/>
    <w:rsid w:val="00C30911"/>
    <w:rsid w:val="00C30939"/>
    <w:rsid w:val="00C30C6D"/>
    <w:rsid w:val="00C30E0E"/>
    <w:rsid w:val="00C31A5D"/>
    <w:rsid w:val="00C32DCA"/>
    <w:rsid w:val="00C330AC"/>
    <w:rsid w:val="00C33277"/>
    <w:rsid w:val="00C336E1"/>
    <w:rsid w:val="00C33CA8"/>
    <w:rsid w:val="00C3490C"/>
    <w:rsid w:val="00C34969"/>
    <w:rsid w:val="00C34CE9"/>
    <w:rsid w:val="00C35950"/>
    <w:rsid w:val="00C35AA1"/>
    <w:rsid w:val="00C35FBC"/>
    <w:rsid w:val="00C36445"/>
    <w:rsid w:val="00C36BE4"/>
    <w:rsid w:val="00C37C9F"/>
    <w:rsid w:val="00C408B1"/>
    <w:rsid w:val="00C40C14"/>
    <w:rsid w:val="00C41236"/>
    <w:rsid w:val="00C41ADC"/>
    <w:rsid w:val="00C41DF3"/>
    <w:rsid w:val="00C426AD"/>
    <w:rsid w:val="00C42A27"/>
    <w:rsid w:val="00C42D37"/>
    <w:rsid w:val="00C4309D"/>
    <w:rsid w:val="00C434C4"/>
    <w:rsid w:val="00C43B53"/>
    <w:rsid w:val="00C43B60"/>
    <w:rsid w:val="00C43CD2"/>
    <w:rsid w:val="00C43FBE"/>
    <w:rsid w:val="00C441A1"/>
    <w:rsid w:val="00C44C7A"/>
    <w:rsid w:val="00C44E8A"/>
    <w:rsid w:val="00C45F09"/>
    <w:rsid w:val="00C46419"/>
    <w:rsid w:val="00C46840"/>
    <w:rsid w:val="00C4744E"/>
    <w:rsid w:val="00C47529"/>
    <w:rsid w:val="00C4766A"/>
    <w:rsid w:val="00C47768"/>
    <w:rsid w:val="00C47CB7"/>
    <w:rsid w:val="00C502E6"/>
    <w:rsid w:val="00C51D82"/>
    <w:rsid w:val="00C52249"/>
    <w:rsid w:val="00C52558"/>
    <w:rsid w:val="00C525B7"/>
    <w:rsid w:val="00C52848"/>
    <w:rsid w:val="00C529F8"/>
    <w:rsid w:val="00C52A00"/>
    <w:rsid w:val="00C52C5C"/>
    <w:rsid w:val="00C53219"/>
    <w:rsid w:val="00C5369F"/>
    <w:rsid w:val="00C539D7"/>
    <w:rsid w:val="00C53BF0"/>
    <w:rsid w:val="00C53CFA"/>
    <w:rsid w:val="00C53F87"/>
    <w:rsid w:val="00C5461C"/>
    <w:rsid w:val="00C54AF5"/>
    <w:rsid w:val="00C54BD6"/>
    <w:rsid w:val="00C54D07"/>
    <w:rsid w:val="00C555FF"/>
    <w:rsid w:val="00C55603"/>
    <w:rsid w:val="00C56108"/>
    <w:rsid w:val="00C561EC"/>
    <w:rsid w:val="00C564EE"/>
    <w:rsid w:val="00C5660E"/>
    <w:rsid w:val="00C56771"/>
    <w:rsid w:val="00C567B4"/>
    <w:rsid w:val="00C56D61"/>
    <w:rsid w:val="00C57AA3"/>
    <w:rsid w:val="00C57C91"/>
    <w:rsid w:val="00C60531"/>
    <w:rsid w:val="00C60A56"/>
    <w:rsid w:val="00C60A5E"/>
    <w:rsid w:val="00C613AD"/>
    <w:rsid w:val="00C6164A"/>
    <w:rsid w:val="00C6182C"/>
    <w:rsid w:val="00C618A0"/>
    <w:rsid w:val="00C62C94"/>
    <w:rsid w:val="00C62E0C"/>
    <w:rsid w:val="00C63A0C"/>
    <w:rsid w:val="00C63AD6"/>
    <w:rsid w:val="00C6406E"/>
    <w:rsid w:val="00C64ADE"/>
    <w:rsid w:val="00C64FB0"/>
    <w:rsid w:val="00C650A9"/>
    <w:rsid w:val="00C653B5"/>
    <w:rsid w:val="00C65418"/>
    <w:rsid w:val="00C65E72"/>
    <w:rsid w:val="00C65EF6"/>
    <w:rsid w:val="00C660CB"/>
    <w:rsid w:val="00C6634B"/>
    <w:rsid w:val="00C6677A"/>
    <w:rsid w:val="00C669A0"/>
    <w:rsid w:val="00C66E8A"/>
    <w:rsid w:val="00C70DF9"/>
    <w:rsid w:val="00C71274"/>
    <w:rsid w:val="00C712FB"/>
    <w:rsid w:val="00C714FA"/>
    <w:rsid w:val="00C71D5C"/>
    <w:rsid w:val="00C72A3E"/>
    <w:rsid w:val="00C72C19"/>
    <w:rsid w:val="00C73556"/>
    <w:rsid w:val="00C73884"/>
    <w:rsid w:val="00C7495B"/>
    <w:rsid w:val="00C74B50"/>
    <w:rsid w:val="00C74DBC"/>
    <w:rsid w:val="00C75234"/>
    <w:rsid w:val="00C76F16"/>
    <w:rsid w:val="00C76F76"/>
    <w:rsid w:val="00C76FDD"/>
    <w:rsid w:val="00C77119"/>
    <w:rsid w:val="00C772F1"/>
    <w:rsid w:val="00C77747"/>
    <w:rsid w:val="00C7786F"/>
    <w:rsid w:val="00C77DF6"/>
    <w:rsid w:val="00C8009C"/>
    <w:rsid w:val="00C801DF"/>
    <w:rsid w:val="00C80330"/>
    <w:rsid w:val="00C803BA"/>
    <w:rsid w:val="00C804BC"/>
    <w:rsid w:val="00C80647"/>
    <w:rsid w:val="00C81656"/>
    <w:rsid w:val="00C81A0C"/>
    <w:rsid w:val="00C81F1B"/>
    <w:rsid w:val="00C82078"/>
    <w:rsid w:val="00C82180"/>
    <w:rsid w:val="00C8266B"/>
    <w:rsid w:val="00C82957"/>
    <w:rsid w:val="00C83BC7"/>
    <w:rsid w:val="00C83BF4"/>
    <w:rsid w:val="00C83E5B"/>
    <w:rsid w:val="00C8435E"/>
    <w:rsid w:val="00C845D9"/>
    <w:rsid w:val="00C84846"/>
    <w:rsid w:val="00C84D8A"/>
    <w:rsid w:val="00C8507F"/>
    <w:rsid w:val="00C853EC"/>
    <w:rsid w:val="00C8633F"/>
    <w:rsid w:val="00C869FA"/>
    <w:rsid w:val="00C8717A"/>
    <w:rsid w:val="00C87262"/>
    <w:rsid w:val="00C87340"/>
    <w:rsid w:val="00C874BB"/>
    <w:rsid w:val="00C87615"/>
    <w:rsid w:val="00C87976"/>
    <w:rsid w:val="00C87C3B"/>
    <w:rsid w:val="00C87E54"/>
    <w:rsid w:val="00C87E9C"/>
    <w:rsid w:val="00C90372"/>
    <w:rsid w:val="00C918A7"/>
    <w:rsid w:val="00C91E44"/>
    <w:rsid w:val="00C92349"/>
    <w:rsid w:val="00C92458"/>
    <w:rsid w:val="00C92903"/>
    <w:rsid w:val="00C945E2"/>
    <w:rsid w:val="00C948F8"/>
    <w:rsid w:val="00C94D18"/>
    <w:rsid w:val="00C954B1"/>
    <w:rsid w:val="00C95B9D"/>
    <w:rsid w:val="00C966DF"/>
    <w:rsid w:val="00C9684B"/>
    <w:rsid w:val="00C96D97"/>
    <w:rsid w:val="00C9711C"/>
    <w:rsid w:val="00C973FC"/>
    <w:rsid w:val="00C97CCE"/>
    <w:rsid w:val="00CA0321"/>
    <w:rsid w:val="00CA0C0E"/>
    <w:rsid w:val="00CA0CA7"/>
    <w:rsid w:val="00CA0FC5"/>
    <w:rsid w:val="00CA104B"/>
    <w:rsid w:val="00CA17AA"/>
    <w:rsid w:val="00CA17AC"/>
    <w:rsid w:val="00CA184E"/>
    <w:rsid w:val="00CA1A17"/>
    <w:rsid w:val="00CA1C0B"/>
    <w:rsid w:val="00CA1C70"/>
    <w:rsid w:val="00CA2DAE"/>
    <w:rsid w:val="00CA3386"/>
    <w:rsid w:val="00CA4D86"/>
    <w:rsid w:val="00CA4E66"/>
    <w:rsid w:val="00CA4ED4"/>
    <w:rsid w:val="00CA51A8"/>
    <w:rsid w:val="00CA51BB"/>
    <w:rsid w:val="00CA5444"/>
    <w:rsid w:val="00CA5542"/>
    <w:rsid w:val="00CA5662"/>
    <w:rsid w:val="00CA579F"/>
    <w:rsid w:val="00CA58B6"/>
    <w:rsid w:val="00CA5A24"/>
    <w:rsid w:val="00CA608D"/>
    <w:rsid w:val="00CA6176"/>
    <w:rsid w:val="00CA63AB"/>
    <w:rsid w:val="00CA6681"/>
    <w:rsid w:val="00CA68E3"/>
    <w:rsid w:val="00CA6A10"/>
    <w:rsid w:val="00CA72F9"/>
    <w:rsid w:val="00CA7515"/>
    <w:rsid w:val="00CB03A4"/>
    <w:rsid w:val="00CB0719"/>
    <w:rsid w:val="00CB0CDF"/>
    <w:rsid w:val="00CB0D77"/>
    <w:rsid w:val="00CB0F5C"/>
    <w:rsid w:val="00CB15EA"/>
    <w:rsid w:val="00CB193C"/>
    <w:rsid w:val="00CB211F"/>
    <w:rsid w:val="00CB30AB"/>
    <w:rsid w:val="00CB3378"/>
    <w:rsid w:val="00CB3572"/>
    <w:rsid w:val="00CB3807"/>
    <w:rsid w:val="00CB3D3F"/>
    <w:rsid w:val="00CB405C"/>
    <w:rsid w:val="00CB4132"/>
    <w:rsid w:val="00CB4227"/>
    <w:rsid w:val="00CB50BA"/>
    <w:rsid w:val="00CB5611"/>
    <w:rsid w:val="00CB56FE"/>
    <w:rsid w:val="00CB5737"/>
    <w:rsid w:val="00CB5CA3"/>
    <w:rsid w:val="00CB6726"/>
    <w:rsid w:val="00CB6804"/>
    <w:rsid w:val="00CB7796"/>
    <w:rsid w:val="00CC029E"/>
    <w:rsid w:val="00CC0B28"/>
    <w:rsid w:val="00CC11AD"/>
    <w:rsid w:val="00CC15F8"/>
    <w:rsid w:val="00CC184E"/>
    <w:rsid w:val="00CC18E8"/>
    <w:rsid w:val="00CC1F43"/>
    <w:rsid w:val="00CC253C"/>
    <w:rsid w:val="00CC29BE"/>
    <w:rsid w:val="00CC2D3D"/>
    <w:rsid w:val="00CC2F20"/>
    <w:rsid w:val="00CC32DB"/>
    <w:rsid w:val="00CC34EC"/>
    <w:rsid w:val="00CC413B"/>
    <w:rsid w:val="00CC4160"/>
    <w:rsid w:val="00CC4876"/>
    <w:rsid w:val="00CC4911"/>
    <w:rsid w:val="00CC4A3D"/>
    <w:rsid w:val="00CC4C45"/>
    <w:rsid w:val="00CC4CDF"/>
    <w:rsid w:val="00CC4D69"/>
    <w:rsid w:val="00CC4E55"/>
    <w:rsid w:val="00CC4EDF"/>
    <w:rsid w:val="00CC5053"/>
    <w:rsid w:val="00CC54D9"/>
    <w:rsid w:val="00CC5FBC"/>
    <w:rsid w:val="00CC622C"/>
    <w:rsid w:val="00CC65D7"/>
    <w:rsid w:val="00CC730D"/>
    <w:rsid w:val="00CC732B"/>
    <w:rsid w:val="00CC769D"/>
    <w:rsid w:val="00CC78CD"/>
    <w:rsid w:val="00CC7A28"/>
    <w:rsid w:val="00CC7D44"/>
    <w:rsid w:val="00CC7DAA"/>
    <w:rsid w:val="00CC7DD0"/>
    <w:rsid w:val="00CD0DFA"/>
    <w:rsid w:val="00CD15EE"/>
    <w:rsid w:val="00CD1768"/>
    <w:rsid w:val="00CD20A4"/>
    <w:rsid w:val="00CD2309"/>
    <w:rsid w:val="00CD244A"/>
    <w:rsid w:val="00CD2743"/>
    <w:rsid w:val="00CD27F0"/>
    <w:rsid w:val="00CD37BC"/>
    <w:rsid w:val="00CD41EB"/>
    <w:rsid w:val="00CD46D2"/>
    <w:rsid w:val="00CD4963"/>
    <w:rsid w:val="00CD4A0B"/>
    <w:rsid w:val="00CD51B8"/>
    <w:rsid w:val="00CD5A58"/>
    <w:rsid w:val="00CD5ACA"/>
    <w:rsid w:val="00CD5B5D"/>
    <w:rsid w:val="00CD5F34"/>
    <w:rsid w:val="00CD670B"/>
    <w:rsid w:val="00CD6B5A"/>
    <w:rsid w:val="00CD6BD8"/>
    <w:rsid w:val="00CD6BE7"/>
    <w:rsid w:val="00CD7272"/>
    <w:rsid w:val="00CD744E"/>
    <w:rsid w:val="00CD76FD"/>
    <w:rsid w:val="00CD7888"/>
    <w:rsid w:val="00CD795C"/>
    <w:rsid w:val="00CD7D38"/>
    <w:rsid w:val="00CD7F5B"/>
    <w:rsid w:val="00CE11CE"/>
    <w:rsid w:val="00CE11F4"/>
    <w:rsid w:val="00CE1622"/>
    <w:rsid w:val="00CE1807"/>
    <w:rsid w:val="00CE192F"/>
    <w:rsid w:val="00CE329E"/>
    <w:rsid w:val="00CE3569"/>
    <w:rsid w:val="00CE36A7"/>
    <w:rsid w:val="00CE36A9"/>
    <w:rsid w:val="00CE3A9F"/>
    <w:rsid w:val="00CE3ED1"/>
    <w:rsid w:val="00CE40FD"/>
    <w:rsid w:val="00CE471E"/>
    <w:rsid w:val="00CE4B52"/>
    <w:rsid w:val="00CE4FBA"/>
    <w:rsid w:val="00CE511C"/>
    <w:rsid w:val="00CE51A2"/>
    <w:rsid w:val="00CE57B2"/>
    <w:rsid w:val="00CE57E7"/>
    <w:rsid w:val="00CE59EA"/>
    <w:rsid w:val="00CE5F48"/>
    <w:rsid w:val="00CE640B"/>
    <w:rsid w:val="00CE6487"/>
    <w:rsid w:val="00CE6DEB"/>
    <w:rsid w:val="00CE6EEA"/>
    <w:rsid w:val="00CE7650"/>
    <w:rsid w:val="00CE7A6A"/>
    <w:rsid w:val="00CE7D29"/>
    <w:rsid w:val="00CE7F8D"/>
    <w:rsid w:val="00CF017B"/>
    <w:rsid w:val="00CF05B2"/>
    <w:rsid w:val="00CF07C0"/>
    <w:rsid w:val="00CF129B"/>
    <w:rsid w:val="00CF187A"/>
    <w:rsid w:val="00CF2C19"/>
    <w:rsid w:val="00CF2CEC"/>
    <w:rsid w:val="00CF3053"/>
    <w:rsid w:val="00CF31D3"/>
    <w:rsid w:val="00CF38A8"/>
    <w:rsid w:val="00CF3AF1"/>
    <w:rsid w:val="00CF3C3F"/>
    <w:rsid w:val="00CF3F1D"/>
    <w:rsid w:val="00CF43BE"/>
    <w:rsid w:val="00CF464A"/>
    <w:rsid w:val="00CF4A6F"/>
    <w:rsid w:val="00CF4E1A"/>
    <w:rsid w:val="00CF519D"/>
    <w:rsid w:val="00CF55CA"/>
    <w:rsid w:val="00CF5AE3"/>
    <w:rsid w:val="00CF5F0D"/>
    <w:rsid w:val="00CF67D4"/>
    <w:rsid w:val="00CF6FD9"/>
    <w:rsid w:val="00CF71F9"/>
    <w:rsid w:val="00CF7E98"/>
    <w:rsid w:val="00CF7F1B"/>
    <w:rsid w:val="00D0089F"/>
    <w:rsid w:val="00D00C77"/>
    <w:rsid w:val="00D01070"/>
    <w:rsid w:val="00D013AF"/>
    <w:rsid w:val="00D0151C"/>
    <w:rsid w:val="00D016A7"/>
    <w:rsid w:val="00D01B3E"/>
    <w:rsid w:val="00D026C9"/>
    <w:rsid w:val="00D0284B"/>
    <w:rsid w:val="00D02B4F"/>
    <w:rsid w:val="00D02BC3"/>
    <w:rsid w:val="00D0355C"/>
    <w:rsid w:val="00D0387E"/>
    <w:rsid w:val="00D04510"/>
    <w:rsid w:val="00D04A13"/>
    <w:rsid w:val="00D04A49"/>
    <w:rsid w:val="00D04B68"/>
    <w:rsid w:val="00D05FDE"/>
    <w:rsid w:val="00D06234"/>
    <w:rsid w:val="00D06733"/>
    <w:rsid w:val="00D06824"/>
    <w:rsid w:val="00D06C9B"/>
    <w:rsid w:val="00D07D10"/>
    <w:rsid w:val="00D1046E"/>
    <w:rsid w:val="00D10B4D"/>
    <w:rsid w:val="00D11442"/>
    <w:rsid w:val="00D11506"/>
    <w:rsid w:val="00D1195B"/>
    <w:rsid w:val="00D1216E"/>
    <w:rsid w:val="00D128F4"/>
    <w:rsid w:val="00D129FE"/>
    <w:rsid w:val="00D12B7D"/>
    <w:rsid w:val="00D12C8C"/>
    <w:rsid w:val="00D132AA"/>
    <w:rsid w:val="00D1335A"/>
    <w:rsid w:val="00D1396B"/>
    <w:rsid w:val="00D13C34"/>
    <w:rsid w:val="00D149DA"/>
    <w:rsid w:val="00D149E0"/>
    <w:rsid w:val="00D149EB"/>
    <w:rsid w:val="00D14CD8"/>
    <w:rsid w:val="00D15285"/>
    <w:rsid w:val="00D154CB"/>
    <w:rsid w:val="00D155A8"/>
    <w:rsid w:val="00D15AF2"/>
    <w:rsid w:val="00D15B96"/>
    <w:rsid w:val="00D163B3"/>
    <w:rsid w:val="00D16480"/>
    <w:rsid w:val="00D16ED2"/>
    <w:rsid w:val="00D1711A"/>
    <w:rsid w:val="00D17764"/>
    <w:rsid w:val="00D17AC9"/>
    <w:rsid w:val="00D17B3D"/>
    <w:rsid w:val="00D17E88"/>
    <w:rsid w:val="00D20B2E"/>
    <w:rsid w:val="00D20B76"/>
    <w:rsid w:val="00D20C1A"/>
    <w:rsid w:val="00D20D63"/>
    <w:rsid w:val="00D20EBB"/>
    <w:rsid w:val="00D211C7"/>
    <w:rsid w:val="00D21B5A"/>
    <w:rsid w:val="00D223EF"/>
    <w:rsid w:val="00D22EEF"/>
    <w:rsid w:val="00D23043"/>
    <w:rsid w:val="00D23183"/>
    <w:rsid w:val="00D2431C"/>
    <w:rsid w:val="00D246DE"/>
    <w:rsid w:val="00D24C77"/>
    <w:rsid w:val="00D25056"/>
    <w:rsid w:val="00D2564C"/>
    <w:rsid w:val="00D26497"/>
    <w:rsid w:val="00D26E9E"/>
    <w:rsid w:val="00D27380"/>
    <w:rsid w:val="00D2769F"/>
    <w:rsid w:val="00D27AB0"/>
    <w:rsid w:val="00D27B9B"/>
    <w:rsid w:val="00D27EAB"/>
    <w:rsid w:val="00D3095A"/>
    <w:rsid w:val="00D31344"/>
    <w:rsid w:val="00D31AB6"/>
    <w:rsid w:val="00D330B2"/>
    <w:rsid w:val="00D33286"/>
    <w:rsid w:val="00D33BAA"/>
    <w:rsid w:val="00D33D7F"/>
    <w:rsid w:val="00D33D80"/>
    <w:rsid w:val="00D33E2A"/>
    <w:rsid w:val="00D34153"/>
    <w:rsid w:val="00D34597"/>
    <w:rsid w:val="00D34B57"/>
    <w:rsid w:val="00D35DB3"/>
    <w:rsid w:val="00D36442"/>
    <w:rsid w:val="00D36604"/>
    <w:rsid w:val="00D36919"/>
    <w:rsid w:val="00D3691B"/>
    <w:rsid w:val="00D36C9D"/>
    <w:rsid w:val="00D36E87"/>
    <w:rsid w:val="00D37241"/>
    <w:rsid w:val="00D37249"/>
    <w:rsid w:val="00D372D9"/>
    <w:rsid w:val="00D3779B"/>
    <w:rsid w:val="00D37D11"/>
    <w:rsid w:val="00D40493"/>
    <w:rsid w:val="00D40888"/>
    <w:rsid w:val="00D41127"/>
    <w:rsid w:val="00D412BE"/>
    <w:rsid w:val="00D4180A"/>
    <w:rsid w:val="00D41AD2"/>
    <w:rsid w:val="00D423FF"/>
    <w:rsid w:val="00D428A9"/>
    <w:rsid w:val="00D42994"/>
    <w:rsid w:val="00D441C8"/>
    <w:rsid w:val="00D44785"/>
    <w:rsid w:val="00D44DF3"/>
    <w:rsid w:val="00D45297"/>
    <w:rsid w:val="00D456B6"/>
    <w:rsid w:val="00D476E4"/>
    <w:rsid w:val="00D47EAD"/>
    <w:rsid w:val="00D500B9"/>
    <w:rsid w:val="00D504D0"/>
    <w:rsid w:val="00D506B0"/>
    <w:rsid w:val="00D512AB"/>
    <w:rsid w:val="00D51313"/>
    <w:rsid w:val="00D51415"/>
    <w:rsid w:val="00D51550"/>
    <w:rsid w:val="00D5162C"/>
    <w:rsid w:val="00D51D5E"/>
    <w:rsid w:val="00D51E02"/>
    <w:rsid w:val="00D51FE1"/>
    <w:rsid w:val="00D535B1"/>
    <w:rsid w:val="00D53839"/>
    <w:rsid w:val="00D53DC6"/>
    <w:rsid w:val="00D53F52"/>
    <w:rsid w:val="00D543FC"/>
    <w:rsid w:val="00D5499C"/>
    <w:rsid w:val="00D54F3B"/>
    <w:rsid w:val="00D55340"/>
    <w:rsid w:val="00D5540D"/>
    <w:rsid w:val="00D55A39"/>
    <w:rsid w:val="00D5618C"/>
    <w:rsid w:val="00D5674A"/>
    <w:rsid w:val="00D56AB9"/>
    <w:rsid w:val="00D56E43"/>
    <w:rsid w:val="00D57098"/>
    <w:rsid w:val="00D5718B"/>
    <w:rsid w:val="00D571EE"/>
    <w:rsid w:val="00D572A9"/>
    <w:rsid w:val="00D5738C"/>
    <w:rsid w:val="00D57888"/>
    <w:rsid w:val="00D57FD5"/>
    <w:rsid w:val="00D60530"/>
    <w:rsid w:val="00D60C35"/>
    <w:rsid w:val="00D60DEA"/>
    <w:rsid w:val="00D60E6B"/>
    <w:rsid w:val="00D60F4B"/>
    <w:rsid w:val="00D61239"/>
    <w:rsid w:val="00D61373"/>
    <w:rsid w:val="00D6163A"/>
    <w:rsid w:val="00D61663"/>
    <w:rsid w:val="00D6259F"/>
    <w:rsid w:val="00D63914"/>
    <w:rsid w:val="00D639C3"/>
    <w:rsid w:val="00D63CD3"/>
    <w:rsid w:val="00D63E1E"/>
    <w:rsid w:val="00D64851"/>
    <w:rsid w:val="00D65309"/>
    <w:rsid w:val="00D653B4"/>
    <w:rsid w:val="00D65654"/>
    <w:rsid w:val="00D65C0F"/>
    <w:rsid w:val="00D65FBD"/>
    <w:rsid w:val="00D66588"/>
    <w:rsid w:val="00D672C2"/>
    <w:rsid w:val="00D67431"/>
    <w:rsid w:val="00D703E2"/>
    <w:rsid w:val="00D703F8"/>
    <w:rsid w:val="00D709D5"/>
    <w:rsid w:val="00D71027"/>
    <w:rsid w:val="00D714AE"/>
    <w:rsid w:val="00D7158F"/>
    <w:rsid w:val="00D72768"/>
    <w:rsid w:val="00D7284C"/>
    <w:rsid w:val="00D728C6"/>
    <w:rsid w:val="00D73637"/>
    <w:rsid w:val="00D736C1"/>
    <w:rsid w:val="00D73732"/>
    <w:rsid w:val="00D740A7"/>
    <w:rsid w:val="00D74492"/>
    <w:rsid w:val="00D746E9"/>
    <w:rsid w:val="00D74880"/>
    <w:rsid w:val="00D7490E"/>
    <w:rsid w:val="00D74A5B"/>
    <w:rsid w:val="00D759F0"/>
    <w:rsid w:val="00D75A11"/>
    <w:rsid w:val="00D75AB4"/>
    <w:rsid w:val="00D76062"/>
    <w:rsid w:val="00D762BB"/>
    <w:rsid w:val="00D76542"/>
    <w:rsid w:val="00D7658F"/>
    <w:rsid w:val="00D77CD8"/>
    <w:rsid w:val="00D801D9"/>
    <w:rsid w:val="00D80480"/>
    <w:rsid w:val="00D81164"/>
    <w:rsid w:val="00D811FE"/>
    <w:rsid w:val="00D81472"/>
    <w:rsid w:val="00D81E7B"/>
    <w:rsid w:val="00D82048"/>
    <w:rsid w:val="00D825D7"/>
    <w:rsid w:val="00D82B6A"/>
    <w:rsid w:val="00D82CA9"/>
    <w:rsid w:val="00D84CC9"/>
    <w:rsid w:val="00D84E82"/>
    <w:rsid w:val="00D851F6"/>
    <w:rsid w:val="00D855CF"/>
    <w:rsid w:val="00D85A92"/>
    <w:rsid w:val="00D85BC5"/>
    <w:rsid w:val="00D8621B"/>
    <w:rsid w:val="00D86697"/>
    <w:rsid w:val="00D867EA"/>
    <w:rsid w:val="00D86966"/>
    <w:rsid w:val="00D86976"/>
    <w:rsid w:val="00D86E57"/>
    <w:rsid w:val="00D87C98"/>
    <w:rsid w:val="00D901FA"/>
    <w:rsid w:val="00D909CD"/>
    <w:rsid w:val="00D913C5"/>
    <w:rsid w:val="00D91481"/>
    <w:rsid w:val="00D915C6"/>
    <w:rsid w:val="00D91850"/>
    <w:rsid w:val="00D91BE6"/>
    <w:rsid w:val="00D92340"/>
    <w:rsid w:val="00D923E7"/>
    <w:rsid w:val="00D924A8"/>
    <w:rsid w:val="00D928FE"/>
    <w:rsid w:val="00D92BEF"/>
    <w:rsid w:val="00D92EEE"/>
    <w:rsid w:val="00D92F3C"/>
    <w:rsid w:val="00D92F52"/>
    <w:rsid w:val="00D93636"/>
    <w:rsid w:val="00D93706"/>
    <w:rsid w:val="00D9377F"/>
    <w:rsid w:val="00D93B3E"/>
    <w:rsid w:val="00D946F0"/>
    <w:rsid w:val="00D94925"/>
    <w:rsid w:val="00D94AFD"/>
    <w:rsid w:val="00D95176"/>
    <w:rsid w:val="00D965B2"/>
    <w:rsid w:val="00D96808"/>
    <w:rsid w:val="00D96BA6"/>
    <w:rsid w:val="00D96DD5"/>
    <w:rsid w:val="00D96F00"/>
    <w:rsid w:val="00D9754C"/>
    <w:rsid w:val="00DA040B"/>
    <w:rsid w:val="00DA0EF6"/>
    <w:rsid w:val="00DA0F4F"/>
    <w:rsid w:val="00DA1110"/>
    <w:rsid w:val="00DA139C"/>
    <w:rsid w:val="00DA1EE8"/>
    <w:rsid w:val="00DA2659"/>
    <w:rsid w:val="00DA2ADD"/>
    <w:rsid w:val="00DA2CF7"/>
    <w:rsid w:val="00DA2D5E"/>
    <w:rsid w:val="00DA3386"/>
    <w:rsid w:val="00DA3810"/>
    <w:rsid w:val="00DA3BBC"/>
    <w:rsid w:val="00DA3CD6"/>
    <w:rsid w:val="00DA3CEA"/>
    <w:rsid w:val="00DA4AB1"/>
    <w:rsid w:val="00DA5382"/>
    <w:rsid w:val="00DA6101"/>
    <w:rsid w:val="00DA6762"/>
    <w:rsid w:val="00DA6804"/>
    <w:rsid w:val="00DA6DE3"/>
    <w:rsid w:val="00DA7093"/>
    <w:rsid w:val="00DA71A4"/>
    <w:rsid w:val="00DA7273"/>
    <w:rsid w:val="00DA75C5"/>
    <w:rsid w:val="00DA7835"/>
    <w:rsid w:val="00DB001A"/>
    <w:rsid w:val="00DB02CF"/>
    <w:rsid w:val="00DB0507"/>
    <w:rsid w:val="00DB090C"/>
    <w:rsid w:val="00DB11BF"/>
    <w:rsid w:val="00DB122B"/>
    <w:rsid w:val="00DB1774"/>
    <w:rsid w:val="00DB1BCF"/>
    <w:rsid w:val="00DB1BFF"/>
    <w:rsid w:val="00DB1CB9"/>
    <w:rsid w:val="00DB1D3E"/>
    <w:rsid w:val="00DB2550"/>
    <w:rsid w:val="00DB2E1A"/>
    <w:rsid w:val="00DB30A9"/>
    <w:rsid w:val="00DB340F"/>
    <w:rsid w:val="00DB3766"/>
    <w:rsid w:val="00DB3768"/>
    <w:rsid w:val="00DB426D"/>
    <w:rsid w:val="00DB498D"/>
    <w:rsid w:val="00DB4A01"/>
    <w:rsid w:val="00DB4E25"/>
    <w:rsid w:val="00DB5154"/>
    <w:rsid w:val="00DB517F"/>
    <w:rsid w:val="00DB5AA1"/>
    <w:rsid w:val="00DB60DE"/>
    <w:rsid w:val="00DB617A"/>
    <w:rsid w:val="00DB618E"/>
    <w:rsid w:val="00DB6452"/>
    <w:rsid w:val="00DB745D"/>
    <w:rsid w:val="00DB74AE"/>
    <w:rsid w:val="00DB7508"/>
    <w:rsid w:val="00DB77EB"/>
    <w:rsid w:val="00DB7B9F"/>
    <w:rsid w:val="00DC06CF"/>
    <w:rsid w:val="00DC070B"/>
    <w:rsid w:val="00DC147D"/>
    <w:rsid w:val="00DC16B4"/>
    <w:rsid w:val="00DC1833"/>
    <w:rsid w:val="00DC1C5D"/>
    <w:rsid w:val="00DC1F32"/>
    <w:rsid w:val="00DC2E30"/>
    <w:rsid w:val="00DC30DB"/>
    <w:rsid w:val="00DC3321"/>
    <w:rsid w:val="00DC3F56"/>
    <w:rsid w:val="00DC4096"/>
    <w:rsid w:val="00DC46EA"/>
    <w:rsid w:val="00DC499C"/>
    <w:rsid w:val="00DC4CAC"/>
    <w:rsid w:val="00DC4CED"/>
    <w:rsid w:val="00DC524B"/>
    <w:rsid w:val="00DC52B4"/>
    <w:rsid w:val="00DC56C7"/>
    <w:rsid w:val="00DC5760"/>
    <w:rsid w:val="00DC5B9C"/>
    <w:rsid w:val="00DC664D"/>
    <w:rsid w:val="00DC6B0F"/>
    <w:rsid w:val="00DC6E50"/>
    <w:rsid w:val="00DC7B61"/>
    <w:rsid w:val="00DC7DA4"/>
    <w:rsid w:val="00DC7DE7"/>
    <w:rsid w:val="00DD104B"/>
    <w:rsid w:val="00DD11A7"/>
    <w:rsid w:val="00DD1423"/>
    <w:rsid w:val="00DD18E2"/>
    <w:rsid w:val="00DD2201"/>
    <w:rsid w:val="00DD247A"/>
    <w:rsid w:val="00DD276F"/>
    <w:rsid w:val="00DD2BA1"/>
    <w:rsid w:val="00DD2F24"/>
    <w:rsid w:val="00DD3332"/>
    <w:rsid w:val="00DD400C"/>
    <w:rsid w:val="00DD476E"/>
    <w:rsid w:val="00DD5069"/>
    <w:rsid w:val="00DD541C"/>
    <w:rsid w:val="00DD55B3"/>
    <w:rsid w:val="00DD5CFB"/>
    <w:rsid w:val="00DD5E64"/>
    <w:rsid w:val="00DD5F03"/>
    <w:rsid w:val="00DD6039"/>
    <w:rsid w:val="00DD696E"/>
    <w:rsid w:val="00DD69EA"/>
    <w:rsid w:val="00DD6D26"/>
    <w:rsid w:val="00DD6DF8"/>
    <w:rsid w:val="00DD6FBC"/>
    <w:rsid w:val="00DD7308"/>
    <w:rsid w:val="00DD76C3"/>
    <w:rsid w:val="00DD76CB"/>
    <w:rsid w:val="00DD786F"/>
    <w:rsid w:val="00DD7AFA"/>
    <w:rsid w:val="00DE00D9"/>
    <w:rsid w:val="00DE0F16"/>
    <w:rsid w:val="00DE0F30"/>
    <w:rsid w:val="00DE16DD"/>
    <w:rsid w:val="00DE1878"/>
    <w:rsid w:val="00DE1B48"/>
    <w:rsid w:val="00DE1B8D"/>
    <w:rsid w:val="00DE1C07"/>
    <w:rsid w:val="00DE2063"/>
    <w:rsid w:val="00DE2551"/>
    <w:rsid w:val="00DE2EDF"/>
    <w:rsid w:val="00DE33AF"/>
    <w:rsid w:val="00DE39B2"/>
    <w:rsid w:val="00DE3A75"/>
    <w:rsid w:val="00DE3B0D"/>
    <w:rsid w:val="00DE3DE5"/>
    <w:rsid w:val="00DE4CE9"/>
    <w:rsid w:val="00DE500E"/>
    <w:rsid w:val="00DE50A1"/>
    <w:rsid w:val="00DE54A9"/>
    <w:rsid w:val="00DE5849"/>
    <w:rsid w:val="00DE6940"/>
    <w:rsid w:val="00DE7601"/>
    <w:rsid w:val="00DE7A65"/>
    <w:rsid w:val="00DF0202"/>
    <w:rsid w:val="00DF0423"/>
    <w:rsid w:val="00DF089F"/>
    <w:rsid w:val="00DF08C9"/>
    <w:rsid w:val="00DF170A"/>
    <w:rsid w:val="00DF1794"/>
    <w:rsid w:val="00DF1E75"/>
    <w:rsid w:val="00DF1EDC"/>
    <w:rsid w:val="00DF2079"/>
    <w:rsid w:val="00DF2263"/>
    <w:rsid w:val="00DF22AD"/>
    <w:rsid w:val="00DF2413"/>
    <w:rsid w:val="00DF252E"/>
    <w:rsid w:val="00DF260C"/>
    <w:rsid w:val="00DF2663"/>
    <w:rsid w:val="00DF327B"/>
    <w:rsid w:val="00DF359C"/>
    <w:rsid w:val="00DF36DC"/>
    <w:rsid w:val="00DF4071"/>
    <w:rsid w:val="00DF48DE"/>
    <w:rsid w:val="00DF4D01"/>
    <w:rsid w:val="00DF52A5"/>
    <w:rsid w:val="00DF5614"/>
    <w:rsid w:val="00DF5A9D"/>
    <w:rsid w:val="00DF5D99"/>
    <w:rsid w:val="00DF712E"/>
    <w:rsid w:val="00E00502"/>
    <w:rsid w:val="00E01272"/>
    <w:rsid w:val="00E01AD3"/>
    <w:rsid w:val="00E02173"/>
    <w:rsid w:val="00E0231B"/>
    <w:rsid w:val="00E02E8C"/>
    <w:rsid w:val="00E03878"/>
    <w:rsid w:val="00E040A4"/>
    <w:rsid w:val="00E040ED"/>
    <w:rsid w:val="00E04EDE"/>
    <w:rsid w:val="00E05446"/>
    <w:rsid w:val="00E05B93"/>
    <w:rsid w:val="00E06157"/>
    <w:rsid w:val="00E06431"/>
    <w:rsid w:val="00E07328"/>
    <w:rsid w:val="00E07516"/>
    <w:rsid w:val="00E07523"/>
    <w:rsid w:val="00E0756F"/>
    <w:rsid w:val="00E07F37"/>
    <w:rsid w:val="00E118BE"/>
    <w:rsid w:val="00E11D88"/>
    <w:rsid w:val="00E11EEA"/>
    <w:rsid w:val="00E12BE5"/>
    <w:rsid w:val="00E12F99"/>
    <w:rsid w:val="00E133B7"/>
    <w:rsid w:val="00E1347D"/>
    <w:rsid w:val="00E135CF"/>
    <w:rsid w:val="00E13D73"/>
    <w:rsid w:val="00E13ED9"/>
    <w:rsid w:val="00E13F53"/>
    <w:rsid w:val="00E14177"/>
    <w:rsid w:val="00E14DAE"/>
    <w:rsid w:val="00E157A7"/>
    <w:rsid w:val="00E15916"/>
    <w:rsid w:val="00E16167"/>
    <w:rsid w:val="00E161DF"/>
    <w:rsid w:val="00E1653E"/>
    <w:rsid w:val="00E16F14"/>
    <w:rsid w:val="00E1703C"/>
    <w:rsid w:val="00E17B8D"/>
    <w:rsid w:val="00E17FB2"/>
    <w:rsid w:val="00E20188"/>
    <w:rsid w:val="00E2045C"/>
    <w:rsid w:val="00E209D2"/>
    <w:rsid w:val="00E20BD9"/>
    <w:rsid w:val="00E20E79"/>
    <w:rsid w:val="00E210C3"/>
    <w:rsid w:val="00E21190"/>
    <w:rsid w:val="00E2165E"/>
    <w:rsid w:val="00E216A7"/>
    <w:rsid w:val="00E23138"/>
    <w:rsid w:val="00E245E8"/>
    <w:rsid w:val="00E253B6"/>
    <w:rsid w:val="00E25949"/>
    <w:rsid w:val="00E2599A"/>
    <w:rsid w:val="00E25A37"/>
    <w:rsid w:val="00E25A9A"/>
    <w:rsid w:val="00E25BD1"/>
    <w:rsid w:val="00E25EE5"/>
    <w:rsid w:val="00E25F0E"/>
    <w:rsid w:val="00E2695A"/>
    <w:rsid w:val="00E27101"/>
    <w:rsid w:val="00E30765"/>
    <w:rsid w:val="00E30BFA"/>
    <w:rsid w:val="00E313A4"/>
    <w:rsid w:val="00E31976"/>
    <w:rsid w:val="00E319B1"/>
    <w:rsid w:val="00E31F5E"/>
    <w:rsid w:val="00E32ACA"/>
    <w:rsid w:val="00E32E86"/>
    <w:rsid w:val="00E33416"/>
    <w:rsid w:val="00E33BF3"/>
    <w:rsid w:val="00E33FDC"/>
    <w:rsid w:val="00E35752"/>
    <w:rsid w:val="00E35BA8"/>
    <w:rsid w:val="00E36193"/>
    <w:rsid w:val="00E3644C"/>
    <w:rsid w:val="00E36B4A"/>
    <w:rsid w:val="00E36FC8"/>
    <w:rsid w:val="00E37010"/>
    <w:rsid w:val="00E3742E"/>
    <w:rsid w:val="00E374E2"/>
    <w:rsid w:val="00E37696"/>
    <w:rsid w:val="00E377E7"/>
    <w:rsid w:val="00E37F12"/>
    <w:rsid w:val="00E37F67"/>
    <w:rsid w:val="00E4045E"/>
    <w:rsid w:val="00E404D2"/>
    <w:rsid w:val="00E40E15"/>
    <w:rsid w:val="00E40EB7"/>
    <w:rsid w:val="00E41892"/>
    <w:rsid w:val="00E42670"/>
    <w:rsid w:val="00E42B79"/>
    <w:rsid w:val="00E43608"/>
    <w:rsid w:val="00E4378A"/>
    <w:rsid w:val="00E43FF9"/>
    <w:rsid w:val="00E4417A"/>
    <w:rsid w:val="00E4419F"/>
    <w:rsid w:val="00E4470E"/>
    <w:rsid w:val="00E44ED2"/>
    <w:rsid w:val="00E44F51"/>
    <w:rsid w:val="00E451AB"/>
    <w:rsid w:val="00E4556E"/>
    <w:rsid w:val="00E4596B"/>
    <w:rsid w:val="00E45E4A"/>
    <w:rsid w:val="00E4654F"/>
    <w:rsid w:val="00E46973"/>
    <w:rsid w:val="00E4709C"/>
    <w:rsid w:val="00E4743F"/>
    <w:rsid w:val="00E47C88"/>
    <w:rsid w:val="00E5001E"/>
    <w:rsid w:val="00E50B93"/>
    <w:rsid w:val="00E511DA"/>
    <w:rsid w:val="00E512AE"/>
    <w:rsid w:val="00E5166B"/>
    <w:rsid w:val="00E5167A"/>
    <w:rsid w:val="00E5176E"/>
    <w:rsid w:val="00E51CB6"/>
    <w:rsid w:val="00E52559"/>
    <w:rsid w:val="00E52711"/>
    <w:rsid w:val="00E53766"/>
    <w:rsid w:val="00E53833"/>
    <w:rsid w:val="00E53B43"/>
    <w:rsid w:val="00E53E92"/>
    <w:rsid w:val="00E540C5"/>
    <w:rsid w:val="00E5459E"/>
    <w:rsid w:val="00E54827"/>
    <w:rsid w:val="00E5511E"/>
    <w:rsid w:val="00E551B5"/>
    <w:rsid w:val="00E552F4"/>
    <w:rsid w:val="00E5536A"/>
    <w:rsid w:val="00E5565D"/>
    <w:rsid w:val="00E556FC"/>
    <w:rsid w:val="00E55902"/>
    <w:rsid w:val="00E559DE"/>
    <w:rsid w:val="00E55B3D"/>
    <w:rsid w:val="00E55DAF"/>
    <w:rsid w:val="00E55F21"/>
    <w:rsid w:val="00E56920"/>
    <w:rsid w:val="00E5695F"/>
    <w:rsid w:val="00E56E12"/>
    <w:rsid w:val="00E578AF"/>
    <w:rsid w:val="00E57957"/>
    <w:rsid w:val="00E60BFA"/>
    <w:rsid w:val="00E61438"/>
    <w:rsid w:val="00E6159C"/>
    <w:rsid w:val="00E615C8"/>
    <w:rsid w:val="00E61ED6"/>
    <w:rsid w:val="00E62293"/>
    <w:rsid w:val="00E62659"/>
    <w:rsid w:val="00E6273B"/>
    <w:rsid w:val="00E6298F"/>
    <w:rsid w:val="00E62DC8"/>
    <w:rsid w:val="00E62F71"/>
    <w:rsid w:val="00E63E55"/>
    <w:rsid w:val="00E63E67"/>
    <w:rsid w:val="00E63F92"/>
    <w:rsid w:val="00E641B6"/>
    <w:rsid w:val="00E642CA"/>
    <w:rsid w:val="00E649A2"/>
    <w:rsid w:val="00E64F2A"/>
    <w:rsid w:val="00E65751"/>
    <w:rsid w:val="00E65782"/>
    <w:rsid w:val="00E65D5B"/>
    <w:rsid w:val="00E65E1B"/>
    <w:rsid w:val="00E66017"/>
    <w:rsid w:val="00E6657B"/>
    <w:rsid w:val="00E6660D"/>
    <w:rsid w:val="00E66D3B"/>
    <w:rsid w:val="00E6739E"/>
    <w:rsid w:val="00E67929"/>
    <w:rsid w:val="00E679C7"/>
    <w:rsid w:val="00E67F1C"/>
    <w:rsid w:val="00E7063C"/>
    <w:rsid w:val="00E71C28"/>
    <w:rsid w:val="00E72198"/>
    <w:rsid w:val="00E721FC"/>
    <w:rsid w:val="00E72594"/>
    <w:rsid w:val="00E728E7"/>
    <w:rsid w:val="00E72C59"/>
    <w:rsid w:val="00E72CE3"/>
    <w:rsid w:val="00E72D58"/>
    <w:rsid w:val="00E72F7C"/>
    <w:rsid w:val="00E73021"/>
    <w:rsid w:val="00E7359D"/>
    <w:rsid w:val="00E749FB"/>
    <w:rsid w:val="00E75A9F"/>
    <w:rsid w:val="00E75BE0"/>
    <w:rsid w:val="00E75D97"/>
    <w:rsid w:val="00E7646F"/>
    <w:rsid w:val="00E76493"/>
    <w:rsid w:val="00E76D7C"/>
    <w:rsid w:val="00E76DDD"/>
    <w:rsid w:val="00E76ED7"/>
    <w:rsid w:val="00E779D7"/>
    <w:rsid w:val="00E77F70"/>
    <w:rsid w:val="00E803BB"/>
    <w:rsid w:val="00E80767"/>
    <w:rsid w:val="00E809DB"/>
    <w:rsid w:val="00E80B85"/>
    <w:rsid w:val="00E80F29"/>
    <w:rsid w:val="00E813C6"/>
    <w:rsid w:val="00E815D5"/>
    <w:rsid w:val="00E8196C"/>
    <w:rsid w:val="00E82360"/>
    <w:rsid w:val="00E824D0"/>
    <w:rsid w:val="00E82661"/>
    <w:rsid w:val="00E82775"/>
    <w:rsid w:val="00E829D8"/>
    <w:rsid w:val="00E84267"/>
    <w:rsid w:val="00E84841"/>
    <w:rsid w:val="00E84B1F"/>
    <w:rsid w:val="00E85C16"/>
    <w:rsid w:val="00E85C4A"/>
    <w:rsid w:val="00E85F18"/>
    <w:rsid w:val="00E862DE"/>
    <w:rsid w:val="00E864FD"/>
    <w:rsid w:val="00E86D15"/>
    <w:rsid w:val="00E872B3"/>
    <w:rsid w:val="00E90308"/>
    <w:rsid w:val="00E903EA"/>
    <w:rsid w:val="00E908BE"/>
    <w:rsid w:val="00E90A27"/>
    <w:rsid w:val="00E90E34"/>
    <w:rsid w:val="00E90ECE"/>
    <w:rsid w:val="00E910AD"/>
    <w:rsid w:val="00E91131"/>
    <w:rsid w:val="00E911EF"/>
    <w:rsid w:val="00E91995"/>
    <w:rsid w:val="00E92052"/>
    <w:rsid w:val="00E920DE"/>
    <w:rsid w:val="00E9216B"/>
    <w:rsid w:val="00E92207"/>
    <w:rsid w:val="00E92D21"/>
    <w:rsid w:val="00E92DCD"/>
    <w:rsid w:val="00E9316A"/>
    <w:rsid w:val="00E937A8"/>
    <w:rsid w:val="00E94283"/>
    <w:rsid w:val="00E95B1A"/>
    <w:rsid w:val="00E95BE4"/>
    <w:rsid w:val="00E95D6E"/>
    <w:rsid w:val="00E96087"/>
    <w:rsid w:val="00E96D4A"/>
    <w:rsid w:val="00E97045"/>
    <w:rsid w:val="00E97384"/>
    <w:rsid w:val="00E977AE"/>
    <w:rsid w:val="00E97824"/>
    <w:rsid w:val="00E97E7F"/>
    <w:rsid w:val="00E97F98"/>
    <w:rsid w:val="00EA02F4"/>
    <w:rsid w:val="00EA053E"/>
    <w:rsid w:val="00EA07DF"/>
    <w:rsid w:val="00EA096A"/>
    <w:rsid w:val="00EA0C10"/>
    <w:rsid w:val="00EA0F2D"/>
    <w:rsid w:val="00EA10FF"/>
    <w:rsid w:val="00EA115C"/>
    <w:rsid w:val="00EA1663"/>
    <w:rsid w:val="00EA1857"/>
    <w:rsid w:val="00EA19E4"/>
    <w:rsid w:val="00EA1A01"/>
    <w:rsid w:val="00EA1F63"/>
    <w:rsid w:val="00EA234D"/>
    <w:rsid w:val="00EA2409"/>
    <w:rsid w:val="00EA2893"/>
    <w:rsid w:val="00EA29F7"/>
    <w:rsid w:val="00EA3387"/>
    <w:rsid w:val="00EA49D0"/>
    <w:rsid w:val="00EA4EC2"/>
    <w:rsid w:val="00EA5108"/>
    <w:rsid w:val="00EA69F8"/>
    <w:rsid w:val="00EA768D"/>
    <w:rsid w:val="00EA76AF"/>
    <w:rsid w:val="00EA7C77"/>
    <w:rsid w:val="00EA7D08"/>
    <w:rsid w:val="00EA7DFD"/>
    <w:rsid w:val="00EA7E30"/>
    <w:rsid w:val="00EB04A2"/>
    <w:rsid w:val="00EB0616"/>
    <w:rsid w:val="00EB0807"/>
    <w:rsid w:val="00EB082D"/>
    <w:rsid w:val="00EB1536"/>
    <w:rsid w:val="00EB16E8"/>
    <w:rsid w:val="00EB23F3"/>
    <w:rsid w:val="00EB2411"/>
    <w:rsid w:val="00EB2E31"/>
    <w:rsid w:val="00EB2FB6"/>
    <w:rsid w:val="00EB30D2"/>
    <w:rsid w:val="00EB3257"/>
    <w:rsid w:val="00EB358C"/>
    <w:rsid w:val="00EB361D"/>
    <w:rsid w:val="00EB37CC"/>
    <w:rsid w:val="00EB3C3C"/>
    <w:rsid w:val="00EB410B"/>
    <w:rsid w:val="00EB478E"/>
    <w:rsid w:val="00EB4A42"/>
    <w:rsid w:val="00EB4AD5"/>
    <w:rsid w:val="00EB507C"/>
    <w:rsid w:val="00EB509F"/>
    <w:rsid w:val="00EB531E"/>
    <w:rsid w:val="00EB5B93"/>
    <w:rsid w:val="00EB60A7"/>
    <w:rsid w:val="00EB6116"/>
    <w:rsid w:val="00EB647B"/>
    <w:rsid w:val="00EB6BD7"/>
    <w:rsid w:val="00EB7320"/>
    <w:rsid w:val="00EB73C4"/>
    <w:rsid w:val="00EB76D9"/>
    <w:rsid w:val="00EB7908"/>
    <w:rsid w:val="00EB7F75"/>
    <w:rsid w:val="00EC015D"/>
    <w:rsid w:val="00EC1370"/>
    <w:rsid w:val="00EC16DF"/>
    <w:rsid w:val="00EC1DE9"/>
    <w:rsid w:val="00EC20E3"/>
    <w:rsid w:val="00EC2DCF"/>
    <w:rsid w:val="00EC2E40"/>
    <w:rsid w:val="00EC31F6"/>
    <w:rsid w:val="00EC3528"/>
    <w:rsid w:val="00EC3EF5"/>
    <w:rsid w:val="00EC4990"/>
    <w:rsid w:val="00EC5496"/>
    <w:rsid w:val="00EC55CB"/>
    <w:rsid w:val="00EC5BD6"/>
    <w:rsid w:val="00EC5C13"/>
    <w:rsid w:val="00EC5E98"/>
    <w:rsid w:val="00EC6473"/>
    <w:rsid w:val="00EC675D"/>
    <w:rsid w:val="00EC67F2"/>
    <w:rsid w:val="00EC6926"/>
    <w:rsid w:val="00EC70B1"/>
    <w:rsid w:val="00EC72E0"/>
    <w:rsid w:val="00EC7416"/>
    <w:rsid w:val="00EC7CA2"/>
    <w:rsid w:val="00EC7DCA"/>
    <w:rsid w:val="00ED0C11"/>
    <w:rsid w:val="00ED0C4D"/>
    <w:rsid w:val="00ED0F57"/>
    <w:rsid w:val="00ED107E"/>
    <w:rsid w:val="00ED1FF2"/>
    <w:rsid w:val="00ED27E2"/>
    <w:rsid w:val="00ED2903"/>
    <w:rsid w:val="00ED2A98"/>
    <w:rsid w:val="00ED2D5A"/>
    <w:rsid w:val="00ED2D8B"/>
    <w:rsid w:val="00ED2DDC"/>
    <w:rsid w:val="00ED2F58"/>
    <w:rsid w:val="00ED2FB0"/>
    <w:rsid w:val="00ED30AE"/>
    <w:rsid w:val="00ED333A"/>
    <w:rsid w:val="00ED3387"/>
    <w:rsid w:val="00ED3968"/>
    <w:rsid w:val="00ED3BC2"/>
    <w:rsid w:val="00ED4387"/>
    <w:rsid w:val="00ED4417"/>
    <w:rsid w:val="00ED49F3"/>
    <w:rsid w:val="00ED4A9B"/>
    <w:rsid w:val="00ED4D1C"/>
    <w:rsid w:val="00ED6796"/>
    <w:rsid w:val="00ED7571"/>
    <w:rsid w:val="00ED7791"/>
    <w:rsid w:val="00ED7BA9"/>
    <w:rsid w:val="00ED7F5A"/>
    <w:rsid w:val="00ED7F9C"/>
    <w:rsid w:val="00EE07AE"/>
    <w:rsid w:val="00EE0BB9"/>
    <w:rsid w:val="00EE0DE2"/>
    <w:rsid w:val="00EE1459"/>
    <w:rsid w:val="00EE250B"/>
    <w:rsid w:val="00EE268A"/>
    <w:rsid w:val="00EE2BAB"/>
    <w:rsid w:val="00EE2D67"/>
    <w:rsid w:val="00EE3573"/>
    <w:rsid w:val="00EE42ED"/>
    <w:rsid w:val="00EE431C"/>
    <w:rsid w:val="00EE44C1"/>
    <w:rsid w:val="00EE518F"/>
    <w:rsid w:val="00EE554D"/>
    <w:rsid w:val="00EE55C6"/>
    <w:rsid w:val="00EE5740"/>
    <w:rsid w:val="00EE5BA3"/>
    <w:rsid w:val="00EE5ECA"/>
    <w:rsid w:val="00EE62A1"/>
    <w:rsid w:val="00EE6326"/>
    <w:rsid w:val="00EE6330"/>
    <w:rsid w:val="00EE63FD"/>
    <w:rsid w:val="00EE68B8"/>
    <w:rsid w:val="00EE6C8B"/>
    <w:rsid w:val="00EE775A"/>
    <w:rsid w:val="00EE795A"/>
    <w:rsid w:val="00EF054B"/>
    <w:rsid w:val="00EF084D"/>
    <w:rsid w:val="00EF0D3F"/>
    <w:rsid w:val="00EF0D8A"/>
    <w:rsid w:val="00EF0DE5"/>
    <w:rsid w:val="00EF0FB4"/>
    <w:rsid w:val="00EF107C"/>
    <w:rsid w:val="00EF161B"/>
    <w:rsid w:val="00EF1D5A"/>
    <w:rsid w:val="00EF1F74"/>
    <w:rsid w:val="00EF29A8"/>
    <w:rsid w:val="00EF3118"/>
    <w:rsid w:val="00EF3411"/>
    <w:rsid w:val="00EF367B"/>
    <w:rsid w:val="00EF370B"/>
    <w:rsid w:val="00EF3927"/>
    <w:rsid w:val="00EF3984"/>
    <w:rsid w:val="00EF3AFE"/>
    <w:rsid w:val="00EF3C09"/>
    <w:rsid w:val="00EF3C15"/>
    <w:rsid w:val="00EF46BB"/>
    <w:rsid w:val="00EF46F0"/>
    <w:rsid w:val="00EF4BF3"/>
    <w:rsid w:val="00EF4CBC"/>
    <w:rsid w:val="00EF4EC2"/>
    <w:rsid w:val="00EF5569"/>
    <w:rsid w:val="00EF5607"/>
    <w:rsid w:val="00EF58C6"/>
    <w:rsid w:val="00EF5A1F"/>
    <w:rsid w:val="00EF5A54"/>
    <w:rsid w:val="00EF5BBA"/>
    <w:rsid w:val="00EF5C58"/>
    <w:rsid w:val="00EF640C"/>
    <w:rsid w:val="00EF68CA"/>
    <w:rsid w:val="00EF69EA"/>
    <w:rsid w:val="00EF6A69"/>
    <w:rsid w:val="00F00103"/>
    <w:rsid w:val="00F0036C"/>
    <w:rsid w:val="00F004F0"/>
    <w:rsid w:val="00F00586"/>
    <w:rsid w:val="00F00AD1"/>
    <w:rsid w:val="00F00B85"/>
    <w:rsid w:val="00F00CF2"/>
    <w:rsid w:val="00F01172"/>
    <w:rsid w:val="00F01383"/>
    <w:rsid w:val="00F014E2"/>
    <w:rsid w:val="00F018F8"/>
    <w:rsid w:val="00F01DB0"/>
    <w:rsid w:val="00F02129"/>
    <w:rsid w:val="00F02776"/>
    <w:rsid w:val="00F027D1"/>
    <w:rsid w:val="00F027FE"/>
    <w:rsid w:val="00F02A88"/>
    <w:rsid w:val="00F02C35"/>
    <w:rsid w:val="00F02F2F"/>
    <w:rsid w:val="00F038A0"/>
    <w:rsid w:val="00F039D5"/>
    <w:rsid w:val="00F03CA8"/>
    <w:rsid w:val="00F03CAA"/>
    <w:rsid w:val="00F051CC"/>
    <w:rsid w:val="00F05A7E"/>
    <w:rsid w:val="00F05CEB"/>
    <w:rsid w:val="00F05D75"/>
    <w:rsid w:val="00F06182"/>
    <w:rsid w:val="00F06748"/>
    <w:rsid w:val="00F0696C"/>
    <w:rsid w:val="00F06A28"/>
    <w:rsid w:val="00F0726C"/>
    <w:rsid w:val="00F07DAF"/>
    <w:rsid w:val="00F07DC9"/>
    <w:rsid w:val="00F10177"/>
    <w:rsid w:val="00F102C8"/>
    <w:rsid w:val="00F104E7"/>
    <w:rsid w:val="00F1164A"/>
    <w:rsid w:val="00F1183F"/>
    <w:rsid w:val="00F118BE"/>
    <w:rsid w:val="00F11992"/>
    <w:rsid w:val="00F11BE8"/>
    <w:rsid w:val="00F11F4C"/>
    <w:rsid w:val="00F12A43"/>
    <w:rsid w:val="00F12DBD"/>
    <w:rsid w:val="00F1371D"/>
    <w:rsid w:val="00F13780"/>
    <w:rsid w:val="00F147A2"/>
    <w:rsid w:val="00F147A5"/>
    <w:rsid w:val="00F14833"/>
    <w:rsid w:val="00F14C85"/>
    <w:rsid w:val="00F15031"/>
    <w:rsid w:val="00F152CD"/>
    <w:rsid w:val="00F156B3"/>
    <w:rsid w:val="00F15B47"/>
    <w:rsid w:val="00F15C61"/>
    <w:rsid w:val="00F15EAA"/>
    <w:rsid w:val="00F160C1"/>
    <w:rsid w:val="00F16726"/>
    <w:rsid w:val="00F17551"/>
    <w:rsid w:val="00F17678"/>
    <w:rsid w:val="00F17D16"/>
    <w:rsid w:val="00F17DCF"/>
    <w:rsid w:val="00F20220"/>
    <w:rsid w:val="00F20476"/>
    <w:rsid w:val="00F20E9B"/>
    <w:rsid w:val="00F2163D"/>
    <w:rsid w:val="00F21757"/>
    <w:rsid w:val="00F218CE"/>
    <w:rsid w:val="00F21C34"/>
    <w:rsid w:val="00F2238D"/>
    <w:rsid w:val="00F22AAD"/>
    <w:rsid w:val="00F22CC1"/>
    <w:rsid w:val="00F22D4F"/>
    <w:rsid w:val="00F22F18"/>
    <w:rsid w:val="00F234E3"/>
    <w:rsid w:val="00F2391E"/>
    <w:rsid w:val="00F23B15"/>
    <w:rsid w:val="00F2435F"/>
    <w:rsid w:val="00F249C7"/>
    <w:rsid w:val="00F24EBF"/>
    <w:rsid w:val="00F251C2"/>
    <w:rsid w:val="00F25430"/>
    <w:rsid w:val="00F255B6"/>
    <w:rsid w:val="00F257F1"/>
    <w:rsid w:val="00F257F2"/>
    <w:rsid w:val="00F265D8"/>
    <w:rsid w:val="00F26A84"/>
    <w:rsid w:val="00F26BB3"/>
    <w:rsid w:val="00F27676"/>
    <w:rsid w:val="00F277A4"/>
    <w:rsid w:val="00F27B1E"/>
    <w:rsid w:val="00F27C51"/>
    <w:rsid w:val="00F305ED"/>
    <w:rsid w:val="00F31254"/>
    <w:rsid w:val="00F31BB7"/>
    <w:rsid w:val="00F321F9"/>
    <w:rsid w:val="00F32A68"/>
    <w:rsid w:val="00F32FAE"/>
    <w:rsid w:val="00F3335B"/>
    <w:rsid w:val="00F335DB"/>
    <w:rsid w:val="00F33E1D"/>
    <w:rsid w:val="00F33EF0"/>
    <w:rsid w:val="00F33F07"/>
    <w:rsid w:val="00F34276"/>
    <w:rsid w:val="00F343CE"/>
    <w:rsid w:val="00F34408"/>
    <w:rsid w:val="00F34A72"/>
    <w:rsid w:val="00F35546"/>
    <w:rsid w:val="00F357EB"/>
    <w:rsid w:val="00F358D7"/>
    <w:rsid w:val="00F35BB7"/>
    <w:rsid w:val="00F372B6"/>
    <w:rsid w:val="00F37509"/>
    <w:rsid w:val="00F37A43"/>
    <w:rsid w:val="00F37FE0"/>
    <w:rsid w:val="00F4042A"/>
    <w:rsid w:val="00F41956"/>
    <w:rsid w:val="00F41FE1"/>
    <w:rsid w:val="00F42131"/>
    <w:rsid w:val="00F423A5"/>
    <w:rsid w:val="00F425EF"/>
    <w:rsid w:val="00F42717"/>
    <w:rsid w:val="00F43185"/>
    <w:rsid w:val="00F43A4F"/>
    <w:rsid w:val="00F43B6D"/>
    <w:rsid w:val="00F43BE5"/>
    <w:rsid w:val="00F43E0E"/>
    <w:rsid w:val="00F444A4"/>
    <w:rsid w:val="00F45326"/>
    <w:rsid w:val="00F45575"/>
    <w:rsid w:val="00F45ABD"/>
    <w:rsid w:val="00F45D0F"/>
    <w:rsid w:val="00F45DC4"/>
    <w:rsid w:val="00F460CE"/>
    <w:rsid w:val="00F466BF"/>
    <w:rsid w:val="00F46E70"/>
    <w:rsid w:val="00F47102"/>
    <w:rsid w:val="00F4728F"/>
    <w:rsid w:val="00F473E4"/>
    <w:rsid w:val="00F4758A"/>
    <w:rsid w:val="00F50193"/>
    <w:rsid w:val="00F506A8"/>
    <w:rsid w:val="00F5095D"/>
    <w:rsid w:val="00F50ACF"/>
    <w:rsid w:val="00F50ADC"/>
    <w:rsid w:val="00F51471"/>
    <w:rsid w:val="00F526FF"/>
    <w:rsid w:val="00F52C71"/>
    <w:rsid w:val="00F52DCB"/>
    <w:rsid w:val="00F53447"/>
    <w:rsid w:val="00F53900"/>
    <w:rsid w:val="00F5392B"/>
    <w:rsid w:val="00F541D9"/>
    <w:rsid w:val="00F5509C"/>
    <w:rsid w:val="00F559E3"/>
    <w:rsid w:val="00F55F4C"/>
    <w:rsid w:val="00F5660A"/>
    <w:rsid w:val="00F56F43"/>
    <w:rsid w:val="00F56FCD"/>
    <w:rsid w:val="00F57079"/>
    <w:rsid w:val="00F572B3"/>
    <w:rsid w:val="00F575EE"/>
    <w:rsid w:val="00F579A7"/>
    <w:rsid w:val="00F57F0A"/>
    <w:rsid w:val="00F6059A"/>
    <w:rsid w:val="00F60639"/>
    <w:rsid w:val="00F6135E"/>
    <w:rsid w:val="00F6278A"/>
    <w:rsid w:val="00F628F3"/>
    <w:rsid w:val="00F62B9F"/>
    <w:rsid w:val="00F62DC4"/>
    <w:rsid w:val="00F631FB"/>
    <w:rsid w:val="00F63327"/>
    <w:rsid w:val="00F63669"/>
    <w:rsid w:val="00F64A54"/>
    <w:rsid w:val="00F65AE3"/>
    <w:rsid w:val="00F65E4B"/>
    <w:rsid w:val="00F66159"/>
    <w:rsid w:val="00F6617A"/>
    <w:rsid w:val="00F66256"/>
    <w:rsid w:val="00F666DC"/>
    <w:rsid w:val="00F66BF6"/>
    <w:rsid w:val="00F66D21"/>
    <w:rsid w:val="00F70306"/>
    <w:rsid w:val="00F70444"/>
    <w:rsid w:val="00F7069E"/>
    <w:rsid w:val="00F708D7"/>
    <w:rsid w:val="00F709E3"/>
    <w:rsid w:val="00F712FE"/>
    <w:rsid w:val="00F7145F"/>
    <w:rsid w:val="00F71822"/>
    <w:rsid w:val="00F72615"/>
    <w:rsid w:val="00F73A62"/>
    <w:rsid w:val="00F73B82"/>
    <w:rsid w:val="00F7428A"/>
    <w:rsid w:val="00F7480E"/>
    <w:rsid w:val="00F749D7"/>
    <w:rsid w:val="00F74A32"/>
    <w:rsid w:val="00F74F16"/>
    <w:rsid w:val="00F75B3C"/>
    <w:rsid w:val="00F75EF2"/>
    <w:rsid w:val="00F76575"/>
    <w:rsid w:val="00F77335"/>
    <w:rsid w:val="00F77375"/>
    <w:rsid w:val="00F7756F"/>
    <w:rsid w:val="00F77B0F"/>
    <w:rsid w:val="00F80722"/>
    <w:rsid w:val="00F80A82"/>
    <w:rsid w:val="00F80BB1"/>
    <w:rsid w:val="00F80EF1"/>
    <w:rsid w:val="00F81516"/>
    <w:rsid w:val="00F8155A"/>
    <w:rsid w:val="00F8163E"/>
    <w:rsid w:val="00F818A2"/>
    <w:rsid w:val="00F826B0"/>
    <w:rsid w:val="00F831DD"/>
    <w:rsid w:val="00F836DC"/>
    <w:rsid w:val="00F83792"/>
    <w:rsid w:val="00F838A4"/>
    <w:rsid w:val="00F838E1"/>
    <w:rsid w:val="00F839EA"/>
    <w:rsid w:val="00F83CE6"/>
    <w:rsid w:val="00F840FF"/>
    <w:rsid w:val="00F844A1"/>
    <w:rsid w:val="00F847C0"/>
    <w:rsid w:val="00F84894"/>
    <w:rsid w:val="00F8520D"/>
    <w:rsid w:val="00F853AE"/>
    <w:rsid w:val="00F8544E"/>
    <w:rsid w:val="00F85A9A"/>
    <w:rsid w:val="00F85ECD"/>
    <w:rsid w:val="00F863D8"/>
    <w:rsid w:val="00F8670D"/>
    <w:rsid w:val="00F8676A"/>
    <w:rsid w:val="00F872FF"/>
    <w:rsid w:val="00F878C5"/>
    <w:rsid w:val="00F87B51"/>
    <w:rsid w:val="00F87C83"/>
    <w:rsid w:val="00F87F23"/>
    <w:rsid w:val="00F90815"/>
    <w:rsid w:val="00F90985"/>
    <w:rsid w:val="00F90E6F"/>
    <w:rsid w:val="00F90FE2"/>
    <w:rsid w:val="00F9139C"/>
    <w:rsid w:val="00F91847"/>
    <w:rsid w:val="00F91A60"/>
    <w:rsid w:val="00F91AFC"/>
    <w:rsid w:val="00F91B06"/>
    <w:rsid w:val="00F92527"/>
    <w:rsid w:val="00F92929"/>
    <w:rsid w:val="00F92BA5"/>
    <w:rsid w:val="00F93601"/>
    <w:rsid w:val="00F93959"/>
    <w:rsid w:val="00F93A5B"/>
    <w:rsid w:val="00F93A67"/>
    <w:rsid w:val="00F93B9C"/>
    <w:rsid w:val="00F93EEC"/>
    <w:rsid w:val="00F93FA2"/>
    <w:rsid w:val="00F94C0A"/>
    <w:rsid w:val="00F94CAA"/>
    <w:rsid w:val="00F960E8"/>
    <w:rsid w:val="00F967BF"/>
    <w:rsid w:val="00F96A43"/>
    <w:rsid w:val="00F96D67"/>
    <w:rsid w:val="00F96F3A"/>
    <w:rsid w:val="00F9732E"/>
    <w:rsid w:val="00F97B94"/>
    <w:rsid w:val="00FA0D8F"/>
    <w:rsid w:val="00FA1277"/>
    <w:rsid w:val="00FA1B2B"/>
    <w:rsid w:val="00FA1F2C"/>
    <w:rsid w:val="00FA1FF6"/>
    <w:rsid w:val="00FA2E88"/>
    <w:rsid w:val="00FA2FBC"/>
    <w:rsid w:val="00FA31C2"/>
    <w:rsid w:val="00FA3681"/>
    <w:rsid w:val="00FA3746"/>
    <w:rsid w:val="00FA4278"/>
    <w:rsid w:val="00FA4897"/>
    <w:rsid w:val="00FA533D"/>
    <w:rsid w:val="00FA53F9"/>
    <w:rsid w:val="00FA579B"/>
    <w:rsid w:val="00FA648E"/>
    <w:rsid w:val="00FA64AE"/>
    <w:rsid w:val="00FA65F4"/>
    <w:rsid w:val="00FA6C65"/>
    <w:rsid w:val="00FA71CE"/>
    <w:rsid w:val="00FA736A"/>
    <w:rsid w:val="00FA7939"/>
    <w:rsid w:val="00FA7B09"/>
    <w:rsid w:val="00FA7C06"/>
    <w:rsid w:val="00FA7DA6"/>
    <w:rsid w:val="00FB001B"/>
    <w:rsid w:val="00FB136D"/>
    <w:rsid w:val="00FB14A9"/>
    <w:rsid w:val="00FB1C79"/>
    <w:rsid w:val="00FB2143"/>
    <w:rsid w:val="00FB2218"/>
    <w:rsid w:val="00FB2317"/>
    <w:rsid w:val="00FB4201"/>
    <w:rsid w:val="00FB489C"/>
    <w:rsid w:val="00FB4D8B"/>
    <w:rsid w:val="00FB4F33"/>
    <w:rsid w:val="00FB54CB"/>
    <w:rsid w:val="00FB57ED"/>
    <w:rsid w:val="00FB593E"/>
    <w:rsid w:val="00FB5AA4"/>
    <w:rsid w:val="00FB5C1E"/>
    <w:rsid w:val="00FB66B1"/>
    <w:rsid w:val="00FB6A73"/>
    <w:rsid w:val="00FB6FFD"/>
    <w:rsid w:val="00FB7037"/>
    <w:rsid w:val="00FB7075"/>
    <w:rsid w:val="00FB73A0"/>
    <w:rsid w:val="00FB7855"/>
    <w:rsid w:val="00FB7D33"/>
    <w:rsid w:val="00FB7FB7"/>
    <w:rsid w:val="00FC0178"/>
    <w:rsid w:val="00FC0355"/>
    <w:rsid w:val="00FC0B68"/>
    <w:rsid w:val="00FC0CAC"/>
    <w:rsid w:val="00FC0E01"/>
    <w:rsid w:val="00FC0F2F"/>
    <w:rsid w:val="00FC0F6F"/>
    <w:rsid w:val="00FC15CC"/>
    <w:rsid w:val="00FC19FB"/>
    <w:rsid w:val="00FC1D8C"/>
    <w:rsid w:val="00FC204A"/>
    <w:rsid w:val="00FC20F0"/>
    <w:rsid w:val="00FC213B"/>
    <w:rsid w:val="00FC2515"/>
    <w:rsid w:val="00FC28B2"/>
    <w:rsid w:val="00FC2E15"/>
    <w:rsid w:val="00FC3440"/>
    <w:rsid w:val="00FC36E2"/>
    <w:rsid w:val="00FC40F8"/>
    <w:rsid w:val="00FC5AEE"/>
    <w:rsid w:val="00FC5EF4"/>
    <w:rsid w:val="00FC5F07"/>
    <w:rsid w:val="00FC606E"/>
    <w:rsid w:val="00FC6343"/>
    <w:rsid w:val="00FC64A3"/>
    <w:rsid w:val="00FC6BF0"/>
    <w:rsid w:val="00FC7173"/>
    <w:rsid w:val="00FC77DC"/>
    <w:rsid w:val="00FC791A"/>
    <w:rsid w:val="00FD09DA"/>
    <w:rsid w:val="00FD0A14"/>
    <w:rsid w:val="00FD0A81"/>
    <w:rsid w:val="00FD0BF5"/>
    <w:rsid w:val="00FD1936"/>
    <w:rsid w:val="00FD1BC8"/>
    <w:rsid w:val="00FD21B1"/>
    <w:rsid w:val="00FD26E8"/>
    <w:rsid w:val="00FD2A0E"/>
    <w:rsid w:val="00FD380F"/>
    <w:rsid w:val="00FD3845"/>
    <w:rsid w:val="00FD48FE"/>
    <w:rsid w:val="00FD4CF1"/>
    <w:rsid w:val="00FD4D02"/>
    <w:rsid w:val="00FD4F41"/>
    <w:rsid w:val="00FD568A"/>
    <w:rsid w:val="00FD5993"/>
    <w:rsid w:val="00FD5B67"/>
    <w:rsid w:val="00FD5BAE"/>
    <w:rsid w:val="00FD63C4"/>
    <w:rsid w:val="00FD63DC"/>
    <w:rsid w:val="00FD6E61"/>
    <w:rsid w:val="00FD7128"/>
    <w:rsid w:val="00FD7DF8"/>
    <w:rsid w:val="00FE06B3"/>
    <w:rsid w:val="00FE10B8"/>
    <w:rsid w:val="00FE10EC"/>
    <w:rsid w:val="00FE1A42"/>
    <w:rsid w:val="00FE2336"/>
    <w:rsid w:val="00FE263A"/>
    <w:rsid w:val="00FE2749"/>
    <w:rsid w:val="00FE2983"/>
    <w:rsid w:val="00FE2C1A"/>
    <w:rsid w:val="00FE34AB"/>
    <w:rsid w:val="00FE35D9"/>
    <w:rsid w:val="00FE3605"/>
    <w:rsid w:val="00FE405F"/>
    <w:rsid w:val="00FE41F4"/>
    <w:rsid w:val="00FE42EE"/>
    <w:rsid w:val="00FE4899"/>
    <w:rsid w:val="00FE48FF"/>
    <w:rsid w:val="00FE4F90"/>
    <w:rsid w:val="00FE50C9"/>
    <w:rsid w:val="00FE51E6"/>
    <w:rsid w:val="00FE5224"/>
    <w:rsid w:val="00FE55D9"/>
    <w:rsid w:val="00FE5FFE"/>
    <w:rsid w:val="00FE73F9"/>
    <w:rsid w:val="00FE7410"/>
    <w:rsid w:val="00FE741B"/>
    <w:rsid w:val="00FE76E9"/>
    <w:rsid w:val="00FE7C87"/>
    <w:rsid w:val="00FE7D9A"/>
    <w:rsid w:val="00FF0953"/>
    <w:rsid w:val="00FF1497"/>
    <w:rsid w:val="00FF178A"/>
    <w:rsid w:val="00FF1B29"/>
    <w:rsid w:val="00FF269F"/>
    <w:rsid w:val="00FF3501"/>
    <w:rsid w:val="00FF3541"/>
    <w:rsid w:val="00FF372C"/>
    <w:rsid w:val="00FF4BA9"/>
    <w:rsid w:val="00FF4DEA"/>
    <w:rsid w:val="00FF4E5B"/>
    <w:rsid w:val="00FF4FC7"/>
    <w:rsid w:val="00FF5412"/>
    <w:rsid w:val="00FF6193"/>
    <w:rsid w:val="00FF6913"/>
    <w:rsid w:val="00FF6BDC"/>
    <w:rsid w:val="00FF7920"/>
    <w:rsid w:val="00FF7EB6"/>
    <w:rsid w:val="03AC58D5"/>
    <w:rsid w:val="03F50608"/>
    <w:rsid w:val="054E40AB"/>
    <w:rsid w:val="05949CE1"/>
    <w:rsid w:val="0B330432"/>
    <w:rsid w:val="0B55832B"/>
    <w:rsid w:val="0C76A671"/>
    <w:rsid w:val="0C7893F8"/>
    <w:rsid w:val="0D18ED59"/>
    <w:rsid w:val="0F14C8E1"/>
    <w:rsid w:val="10363DAE"/>
    <w:rsid w:val="1042FC38"/>
    <w:rsid w:val="10EB937D"/>
    <w:rsid w:val="117CD868"/>
    <w:rsid w:val="12F365FC"/>
    <w:rsid w:val="1334B4CF"/>
    <w:rsid w:val="13D1F209"/>
    <w:rsid w:val="13D6A1D6"/>
    <w:rsid w:val="13FD2AAA"/>
    <w:rsid w:val="146886F8"/>
    <w:rsid w:val="15471DDC"/>
    <w:rsid w:val="16F27153"/>
    <w:rsid w:val="17889EC6"/>
    <w:rsid w:val="17A03291"/>
    <w:rsid w:val="18142990"/>
    <w:rsid w:val="185129A4"/>
    <w:rsid w:val="190B46CA"/>
    <w:rsid w:val="19DC85F6"/>
    <w:rsid w:val="1A4663CA"/>
    <w:rsid w:val="1A566A73"/>
    <w:rsid w:val="1B42EAE2"/>
    <w:rsid w:val="1CBACD1D"/>
    <w:rsid w:val="1DCF448D"/>
    <w:rsid w:val="1DD068AA"/>
    <w:rsid w:val="1F38B88D"/>
    <w:rsid w:val="204A3669"/>
    <w:rsid w:val="2119C056"/>
    <w:rsid w:val="215F4115"/>
    <w:rsid w:val="21A17B75"/>
    <w:rsid w:val="2232859D"/>
    <w:rsid w:val="22ADE031"/>
    <w:rsid w:val="24D7FD31"/>
    <w:rsid w:val="278CD7BB"/>
    <w:rsid w:val="2797CAE3"/>
    <w:rsid w:val="2AA03333"/>
    <w:rsid w:val="2BDDD721"/>
    <w:rsid w:val="2C637A7E"/>
    <w:rsid w:val="2D12B93D"/>
    <w:rsid w:val="2D772CE7"/>
    <w:rsid w:val="2D7CF5EE"/>
    <w:rsid w:val="2DE7F6FE"/>
    <w:rsid w:val="2E51DE92"/>
    <w:rsid w:val="2F76F127"/>
    <w:rsid w:val="2FECC13B"/>
    <w:rsid w:val="302F31DA"/>
    <w:rsid w:val="32C9E071"/>
    <w:rsid w:val="338853B5"/>
    <w:rsid w:val="3825ABDB"/>
    <w:rsid w:val="38813A76"/>
    <w:rsid w:val="38B0BE3C"/>
    <w:rsid w:val="39E31CB2"/>
    <w:rsid w:val="3A30E0F7"/>
    <w:rsid w:val="3A771F82"/>
    <w:rsid w:val="3B9FCB59"/>
    <w:rsid w:val="3E72C565"/>
    <w:rsid w:val="3F4DDE42"/>
    <w:rsid w:val="3F72D885"/>
    <w:rsid w:val="405B7AFF"/>
    <w:rsid w:val="44B1571C"/>
    <w:rsid w:val="45836254"/>
    <w:rsid w:val="4660FCA2"/>
    <w:rsid w:val="46DE6B16"/>
    <w:rsid w:val="4739BCCC"/>
    <w:rsid w:val="48F193B8"/>
    <w:rsid w:val="4903BD9F"/>
    <w:rsid w:val="4983667E"/>
    <w:rsid w:val="49E3DF5D"/>
    <w:rsid w:val="4B9317A4"/>
    <w:rsid w:val="4D7EF811"/>
    <w:rsid w:val="4E4B2C70"/>
    <w:rsid w:val="4F6DCB13"/>
    <w:rsid w:val="51970168"/>
    <w:rsid w:val="54C8819D"/>
    <w:rsid w:val="54E3076C"/>
    <w:rsid w:val="5781D632"/>
    <w:rsid w:val="59918226"/>
    <w:rsid w:val="5C5FF8EC"/>
    <w:rsid w:val="5DBA6ECF"/>
    <w:rsid w:val="5E197234"/>
    <w:rsid w:val="61BE9B62"/>
    <w:rsid w:val="646C4C4F"/>
    <w:rsid w:val="66357AFA"/>
    <w:rsid w:val="686BFFB0"/>
    <w:rsid w:val="6AE6DC84"/>
    <w:rsid w:val="6C25B462"/>
    <w:rsid w:val="6CB08891"/>
    <w:rsid w:val="6CC79BAD"/>
    <w:rsid w:val="6F186C82"/>
    <w:rsid w:val="71ABED98"/>
    <w:rsid w:val="72086332"/>
    <w:rsid w:val="7266C974"/>
    <w:rsid w:val="7452A578"/>
    <w:rsid w:val="762C0109"/>
    <w:rsid w:val="781EFAD3"/>
    <w:rsid w:val="78269091"/>
    <w:rsid w:val="786B39C4"/>
    <w:rsid w:val="794946A0"/>
    <w:rsid w:val="7A32AB0C"/>
    <w:rsid w:val="7B7E6D3E"/>
    <w:rsid w:val="7B81D24C"/>
    <w:rsid w:val="7CDF2499"/>
    <w:rsid w:val="7E046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86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uiPriority w:val="9"/>
    <w:qFormat/>
    <w:rsid w:val="00045151"/>
    <w:pPr>
      <w:keepNext/>
      <w:spacing w:line="360" w:lineRule="auto"/>
      <w:jc w:val="center"/>
      <w:outlineLvl w:val="0"/>
    </w:pPr>
    <w:rPr>
      <w:b/>
    </w:rPr>
  </w:style>
  <w:style w:type="paragraph" w:styleId="Heading2">
    <w:name w:val="heading 2"/>
    <w:basedOn w:val="Header"/>
    <w:next w:val="Normal"/>
    <w:link w:val="Heading2Char"/>
    <w:uiPriority w:val="9"/>
    <w:unhideWhenUsed/>
    <w:qFormat/>
    <w:rsid w:val="001D500B"/>
    <w:pPr>
      <w:keepNext/>
      <w:numPr>
        <w:numId w:val="1"/>
      </w:numPr>
      <w:tabs>
        <w:tab w:val="clear" w:pos="4680"/>
        <w:tab w:val="clear" w:pos="9360"/>
      </w:tabs>
      <w:spacing w:line="360" w:lineRule="auto"/>
      <w:ind w:hanging="900"/>
      <w:outlineLvl w:val="1"/>
    </w:pPr>
    <w:rPr>
      <w:b/>
      <w:bCs/>
    </w:rPr>
  </w:style>
  <w:style w:type="paragraph" w:styleId="Heading3">
    <w:name w:val="heading 3"/>
    <w:basedOn w:val="Header"/>
    <w:next w:val="Normal"/>
    <w:link w:val="Heading3Char"/>
    <w:uiPriority w:val="9"/>
    <w:unhideWhenUsed/>
    <w:qFormat/>
    <w:rsid w:val="00656371"/>
    <w:pPr>
      <w:keepNext/>
      <w:numPr>
        <w:numId w:val="7"/>
      </w:numPr>
      <w:tabs>
        <w:tab w:val="clear" w:pos="4680"/>
        <w:tab w:val="clear" w:pos="9360"/>
      </w:tabs>
      <w:spacing w:line="360" w:lineRule="auto"/>
      <w:outlineLvl w:val="2"/>
    </w:pPr>
    <w:rPr>
      <w:b/>
      <w:bCs/>
      <w:i/>
      <w:iCs/>
    </w:rPr>
  </w:style>
  <w:style w:type="paragraph" w:styleId="Heading4">
    <w:name w:val="heading 4"/>
    <w:basedOn w:val="Header"/>
    <w:next w:val="Normal"/>
    <w:link w:val="Heading4Char"/>
    <w:uiPriority w:val="9"/>
    <w:unhideWhenUsed/>
    <w:qFormat/>
    <w:rsid w:val="00285CA8"/>
    <w:pPr>
      <w:keepNext/>
      <w:numPr>
        <w:numId w:val="10"/>
      </w:numPr>
      <w:tabs>
        <w:tab w:val="clear" w:pos="4680"/>
        <w:tab w:val="clear" w:pos="9360"/>
      </w:tabs>
      <w:spacing w:line="360" w:lineRule="auto"/>
      <w:outlineLvl w:val="3"/>
    </w:pPr>
    <w:rPr>
      <w:b/>
      <w:bCs/>
    </w:rPr>
  </w:style>
  <w:style w:type="paragraph" w:styleId="Heading5">
    <w:name w:val="heading 5"/>
    <w:basedOn w:val="Normal"/>
    <w:next w:val="Normal"/>
    <w:link w:val="Heading5Char"/>
    <w:uiPriority w:val="9"/>
    <w:unhideWhenUsed/>
    <w:qFormat/>
    <w:rsid w:val="00AB000C"/>
    <w:pPr>
      <w:keepNext/>
      <w:keepLines/>
      <w:tabs>
        <w:tab w:val="clear" w:pos="720"/>
      </w:tab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8036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02"/>
    <w:pPr>
      <w:tabs>
        <w:tab w:val="center" w:pos="4680"/>
        <w:tab w:val="right" w:pos="9360"/>
      </w:tabs>
      <w:spacing w:line="240" w:lineRule="auto"/>
    </w:pPr>
  </w:style>
  <w:style w:type="character" w:customStyle="1" w:styleId="HeaderChar">
    <w:name w:val="Header Char"/>
    <w:basedOn w:val="DefaultParagraphFont"/>
    <w:link w:val="Header"/>
    <w:uiPriority w:val="99"/>
    <w:rsid w:val="00765C02"/>
  </w:style>
  <w:style w:type="paragraph" w:styleId="Footer">
    <w:name w:val="footer"/>
    <w:basedOn w:val="Normal"/>
    <w:link w:val="FooterChar"/>
    <w:uiPriority w:val="99"/>
    <w:unhideWhenUsed/>
    <w:rsid w:val="00765C02"/>
    <w:pPr>
      <w:tabs>
        <w:tab w:val="center" w:pos="4680"/>
        <w:tab w:val="right" w:pos="9360"/>
      </w:tabs>
      <w:spacing w:line="240" w:lineRule="auto"/>
    </w:pPr>
  </w:style>
  <w:style w:type="character" w:customStyle="1" w:styleId="FooterChar">
    <w:name w:val="Footer Char"/>
    <w:basedOn w:val="DefaultParagraphFont"/>
    <w:link w:val="Footer"/>
    <w:uiPriority w:val="99"/>
    <w:rsid w:val="00765C02"/>
  </w:style>
  <w:style w:type="character" w:styleId="PageNumber">
    <w:name w:val="page number"/>
    <w:basedOn w:val="DefaultParagraphFont"/>
    <w:uiPriority w:val="99"/>
    <w:semiHidden/>
    <w:unhideWhenUsed/>
    <w:rsid w:val="00765C02"/>
  </w:style>
  <w:style w:type="paragraph" w:styleId="FootnoteText">
    <w:name w:val="footnote text"/>
    <w:link w:val="FootnoteTextChar"/>
    <w:uiPriority w:val="99"/>
    <w:unhideWhenUsed/>
    <w:rsid w:val="00765C02"/>
    <w:pPr>
      <w:spacing w:line="240" w:lineRule="auto"/>
    </w:pPr>
    <w:rPr>
      <w:szCs w:val="20"/>
    </w:rPr>
  </w:style>
  <w:style w:type="character" w:customStyle="1" w:styleId="FootnoteTextChar">
    <w:name w:val="Footnote Text Char"/>
    <w:basedOn w:val="DefaultParagraphFont"/>
    <w:link w:val="FootnoteText"/>
    <w:uiPriority w:val="99"/>
    <w:rsid w:val="00765C02"/>
    <w:rPr>
      <w:szCs w:val="20"/>
    </w:rPr>
  </w:style>
  <w:style w:type="character" w:styleId="FootnoteReference">
    <w:name w:val="footnote reference"/>
    <w:basedOn w:val="DefaultParagraphFont"/>
    <w:uiPriority w:val="99"/>
    <w:semiHidden/>
    <w:unhideWhenUsed/>
    <w:rsid w:val="009F16F5"/>
    <w:rPr>
      <w:vertAlign w:val="superscript"/>
    </w:rPr>
  </w:style>
  <w:style w:type="character" w:customStyle="1" w:styleId="Heading1Char">
    <w:name w:val="Heading 1 Char"/>
    <w:basedOn w:val="DefaultParagraphFont"/>
    <w:link w:val="Heading1"/>
    <w:uiPriority w:val="9"/>
    <w:rsid w:val="00045151"/>
    <w:rPr>
      <w:b/>
    </w:rPr>
  </w:style>
  <w:style w:type="paragraph" w:styleId="ListParagraph">
    <w:name w:val="List Paragraph"/>
    <w:basedOn w:val="Normal"/>
    <w:uiPriority w:val="34"/>
    <w:qFormat/>
    <w:rsid w:val="00D51E02"/>
    <w:pPr>
      <w:ind w:left="720"/>
      <w:contextualSpacing/>
    </w:pPr>
  </w:style>
  <w:style w:type="character" w:styleId="Hyperlink">
    <w:name w:val="Hyperlink"/>
    <w:basedOn w:val="DefaultParagraphFont"/>
    <w:uiPriority w:val="99"/>
    <w:unhideWhenUsed/>
    <w:rsid w:val="008F0577"/>
    <w:rPr>
      <w:color w:val="0563C1" w:themeColor="hyperlink"/>
      <w:u w:val="single"/>
    </w:rPr>
  </w:style>
  <w:style w:type="character" w:customStyle="1" w:styleId="UnresolvedMention1">
    <w:name w:val="Unresolved Mention1"/>
    <w:basedOn w:val="DefaultParagraphFont"/>
    <w:uiPriority w:val="99"/>
    <w:semiHidden/>
    <w:unhideWhenUsed/>
    <w:rsid w:val="008F0577"/>
    <w:rPr>
      <w:color w:val="605E5C"/>
      <w:shd w:val="clear" w:color="auto" w:fill="E1DFDD"/>
    </w:rPr>
  </w:style>
  <w:style w:type="character" w:styleId="FollowedHyperlink">
    <w:name w:val="FollowedHyperlink"/>
    <w:basedOn w:val="DefaultParagraphFont"/>
    <w:uiPriority w:val="99"/>
    <w:semiHidden/>
    <w:unhideWhenUsed/>
    <w:rsid w:val="003128CF"/>
    <w:rPr>
      <w:color w:val="954F72" w:themeColor="followedHyperlink"/>
      <w:u w:val="single"/>
    </w:rPr>
  </w:style>
  <w:style w:type="character" w:styleId="CommentReference">
    <w:name w:val="annotation reference"/>
    <w:basedOn w:val="DefaultParagraphFont"/>
    <w:uiPriority w:val="99"/>
    <w:semiHidden/>
    <w:unhideWhenUsed/>
    <w:rsid w:val="003364E3"/>
    <w:rPr>
      <w:sz w:val="16"/>
      <w:szCs w:val="16"/>
    </w:rPr>
  </w:style>
  <w:style w:type="paragraph" w:styleId="CommentText">
    <w:name w:val="annotation text"/>
    <w:basedOn w:val="Normal"/>
    <w:link w:val="CommentTextChar"/>
    <w:uiPriority w:val="99"/>
    <w:unhideWhenUsed/>
    <w:rsid w:val="003364E3"/>
    <w:pPr>
      <w:spacing w:line="240" w:lineRule="auto"/>
    </w:pPr>
    <w:rPr>
      <w:sz w:val="20"/>
      <w:szCs w:val="20"/>
    </w:rPr>
  </w:style>
  <w:style w:type="character" w:customStyle="1" w:styleId="CommentTextChar">
    <w:name w:val="Comment Text Char"/>
    <w:basedOn w:val="DefaultParagraphFont"/>
    <w:link w:val="CommentText"/>
    <w:uiPriority w:val="99"/>
    <w:rsid w:val="003364E3"/>
    <w:rPr>
      <w:sz w:val="20"/>
      <w:szCs w:val="20"/>
    </w:rPr>
  </w:style>
  <w:style w:type="paragraph" w:styleId="CommentSubject">
    <w:name w:val="annotation subject"/>
    <w:basedOn w:val="CommentText"/>
    <w:next w:val="CommentText"/>
    <w:link w:val="CommentSubjectChar"/>
    <w:uiPriority w:val="99"/>
    <w:semiHidden/>
    <w:unhideWhenUsed/>
    <w:rsid w:val="003364E3"/>
    <w:rPr>
      <w:b/>
      <w:bCs/>
    </w:rPr>
  </w:style>
  <w:style w:type="character" w:customStyle="1" w:styleId="CommentSubjectChar">
    <w:name w:val="Comment Subject Char"/>
    <w:basedOn w:val="CommentTextChar"/>
    <w:link w:val="CommentSubject"/>
    <w:uiPriority w:val="99"/>
    <w:semiHidden/>
    <w:rsid w:val="003364E3"/>
    <w:rPr>
      <w:b/>
      <w:bCs/>
      <w:sz w:val="20"/>
      <w:szCs w:val="20"/>
    </w:rPr>
  </w:style>
  <w:style w:type="character" w:customStyle="1" w:styleId="Heading2Char">
    <w:name w:val="Heading 2 Char"/>
    <w:basedOn w:val="DefaultParagraphFont"/>
    <w:link w:val="Heading2"/>
    <w:uiPriority w:val="9"/>
    <w:rsid w:val="001D500B"/>
    <w:rPr>
      <w:b/>
      <w:bCs/>
    </w:rPr>
  </w:style>
  <w:style w:type="paragraph" w:styleId="Revision">
    <w:name w:val="Revision"/>
    <w:hidden/>
    <w:uiPriority w:val="99"/>
    <w:semiHidden/>
    <w:rsid w:val="001E6DB3"/>
    <w:pPr>
      <w:spacing w:line="240" w:lineRule="auto"/>
    </w:pPr>
  </w:style>
  <w:style w:type="character" w:customStyle="1" w:styleId="Heading6Char">
    <w:name w:val="Heading 6 Char"/>
    <w:basedOn w:val="DefaultParagraphFont"/>
    <w:link w:val="Heading6"/>
    <w:uiPriority w:val="9"/>
    <w:rsid w:val="00580360"/>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656371"/>
    <w:rPr>
      <w:b/>
      <w:bCs/>
      <w:i/>
      <w:iCs/>
    </w:rPr>
  </w:style>
  <w:style w:type="character" w:customStyle="1" w:styleId="Heading4Char">
    <w:name w:val="Heading 4 Char"/>
    <w:basedOn w:val="DefaultParagraphFont"/>
    <w:link w:val="Heading4"/>
    <w:uiPriority w:val="9"/>
    <w:rsid w:val="00285CA8"/>
    <w:rPr>
      <w:b/>
      <w:bCs/>
    </w:rPr>
  </w:style>
  <w:style w:type="character" w:customStyle="1" w:styleId="Heading5Char">
    <w:name w:val="Heading 5 Char"/>
    <w:basedOn w:val="DefaultParagraphFont"/>
    <w:link w:val="Heading5"/>
    <w:uiPriority w:val="9"/>
    <w:rsid w:val="00AB000C"/>
    <w:rPr>
      <w:rFonts w:asciiTheme="majorHAnsi" w:eastAsiaTheme="majorEastAsia" w:hAnsiTheme="majorHAnsi" w:cstheme="majorBidi"/>
      <w:color w:val="2F5496" w:themeColor="accent1" w:themeShade="BF"/>
    </w:rPr>
  </w:style>
  <w:style w:type="character" w:customStyle="1" w:styleId="costarpage">
    <w:name w:val="co_starpage"/>
    <w:basedOn w:val="DefaultParagraphFont"/>
    <w:rsid w:val="00AB000C"/>
  </w:style>
  <w:style w:type="character" w:styleId="Emphasis">
    <w:name w:val="Emphasis"/>
    <w:basedOn w:val="DefaultParagraphFont"/>
    <w:uiPriority w:val="20"/>
    <w:qFormat/>
    <w:rsid w:val="00AB000C"/>
    <w:rPr>
      <w:i/>
      <w:iCs/>
    </w:rPr>
  </w:style>
  <w:style w:type="character" w:customStyle="1" w:styleId="opiniondissent">
    <w:name w:val="opiniondissent"/>
    <w:basedOn w:val="DefaultParagraphFont"/>
    <w:rsid w:val="00AB000C"/>
  </w:style>
  <w:style w:type="character" w:customStyle="1" w:styleId="cosearchwithinterm">
    <w:name w:val="co_searchwithinterm"/>
    <w:basedOn w:val="DefaultParagraphFont"/>
    <w:rsid w:val="00AB000C"/>
  </w:style>
  <w:style w:type="paragraph" w:customStyle="1" w:styleId="blockquote">
    <w:name w:val="blockquote"/>
    <w:basedOn w:val="Normal"/>
    <w:rsid w:val="00AB000C"/>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linked-ref">
    <w:name w:val="unlinked-ref"/>
    <w:basedOn w:val="DefaultParagraphFont"/>
    <w:rsid w:val="00AB000C"/>
  </w:style>
  <w:style w:type="paragraph" w:styleId="NormalWeb">
    <w:name w:val="Normal (Web)"/>
    <w:basedOn w:val="Normal"/>
    <w:uiPriority w:val="99"/>
    <w:unhideWhenUsed/>
    <w:rsid w:val="00AB000C"/>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concept19">
    <w:name w:val="co_concept_1_9"/>
    <w:basedOn w:val="DefaultParagraphFont"/>
    <w:rsid w:val="00AB000C"/>
  </w:style>
  <w:style w:type="character" w:customStyle="1" w:styleId="coconcept1416">
    <w:name w:val="co_concept_14_16"/>
    <w:basedOn w:val="DefaultParagraphFont"/>
    <w:rsid w:val="00AB000C"/>
  </w:style>
  <w:style w:type="character" w:customStyle="1" w:styleId="coconcept13">
    <w:name w:val="co_concept_1_3"/>
    <w:basedOn w:val="DefaultParagraphFont"/>
    <w:rsid w:val="00AB000C"/>
  </w:style>
  <w:style w:type="character" w:customStyle="1" w:styleId="ssit">
    <w:name w:val="ss_it"/>
    <w:basedOn w:val="DefaultParagraphFont"/>
    <w:rsid w:val="00AB000C"/>
  </w:style>
  <w:style w:type="character" w:customStyle="1" w:styleId="ssheadnotelink">
    <w:name w:val="ss_headnotelink"/>
    <w:basedOn w:val="DefaultParagraphFont"/>
    <w:rsid w:val="00AB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EBF0-6BA4-46BE-8C5B-A2D985C8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31186</Words>
  <Characters>164664</Characters>
  <Application>Microsoft Office Word</Application>
  <DocSecurity>0</DocSecurity>
  <Lines>4222</Lines>
  <Paragraphs>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2023-06-30T19:16:00Z</dcterms:created>
  <dcterms:modified xsi:type="dcterms:W3CDTF">2023-06-30T19:16:00Z</dcterms:modified>
</cp:coreProperties>
</file>