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A4CA" w14:textId="2C3ECADB" w:rsidR="00352474" w:rsidRPr="00847E7B" w:rsidRDefault="004A1489" w:rsidP="004A1489">
      <w:pPr>
        <w:spacing w:line="240" w:lineRule="auto"/>
        <w:jc w:val="center"/>
        <w:rPr>
          <w:rFonts w:ascii="Times New Roman" w:hAnsi="Times New Roman" w:cs="Times New Roman"/>
          <w:sz w:val="20"/>
        </w:rPr>
      </w:pPr>
      <w:r w:rsidRPr="00847E7B">
        <w:rPr>
          <w:rFonts w:ascii="Times New Roman" w:hAnsi="Times New Roman" w:cs="Times New Roman"/>
          <w:sz w:val="20"/>
        </w:rPr>
        <w:t>Filed 7/11/23</w:t>
      </w:r>
      <w:r w:rsidRPr="004A1489">
        <w:rPr>
          <w:rFonts w:ascii="Times New Roman" w:hAnsi="Times New Roman" w:cs="Times New Roman"/>
          <w:sz w:val="20"/>
        </w:rPr>
        <w:t>; REVIEW GRANTED.  See Cal. Rules of Court, rules 8.1105 and 8.1115 (and corresponding Comment, par. 2, concerning rule 8.1115(e)(3)).</w:t>
      </w:r>
    </w:p>
    <w:p w14:paraId="48CEDEAE" w14:textId="77777777" w:rsidR="00352474" w:rsidRDefault="004A1489" w:rsidP="00352474">
      <w:pPr>
        <w:spacing w:line="240" w:lineRule="auto"/>
        <w:jc w:val="center"/>
        <w:rPr>
          <w:b/>
        </w:rPr>
      </w:pPr>
      <w:r>
        <w:rPr>
          <w:b/>
        </w:rPr>
        <w:t>CERTIFIED FOR PUBLICATION</w:t>
      </w:r>
    </w:p>
    <w:p w14:paraId="43419872" w14:textId="77777777" w:rsidR="00352474" w:rsidRDefault="004A1489" w:rsidP="00352474">
      <w:pPr>
        <w:spacing w:line="240" w:lineRule="auto"/>
        <w:jc w:val="center"/>
      </w:pPr>
    </w:p>
    <w:p w14:paraId="46822215" w14:textId="77777777" w:rsidR="008C69C3" w:rsidRDefault="004A1489" w:rsidP="001C381B">
      <w:pPr>
        <w:spacing w:line="240" w:lineRule="auto"/>
        <w:jc w:val="center"/>
      </w:pPr>
      <w:r>
        <w:t>IN THE COURT OF APPEAL OF THE STATE OF CALIFORNIA</w:t>
      </w:r>
    </w:p>
    <w:p w14:paraId="09626336" w14:textId="77777777" w:rsidR="001C381B" w:rsidRDefault="004A1489" w:rsidP="001C381B">
      <w:pPr>
        <w:spacing w:line="240" w:lineRule="auto"/>
        <w:jc w:val="center"/>
      </w:pPr>
    </w:p>
    <w:p w14:paraId="1E84D175" w14:textId="77777777" w:rsidR="001C381B" w:rsidRDefault="004A1489" w:rsidP="001C381B">
      <w:pPr>
        <w:spacing w:line="240" w:lineRule="auto"/>
        <w:jc w:val="center"/>
      </w:pPr>
      <w:r>
        <w:t>FIRST APPELLATE DISTRICT</w:t>
      </w:r>
    </w:p>
    <w:p w14:paraId="686429E0" w14:textId="77777777" w:rsidR="001C381B" w:rsidRDefault="004A1489" w:rsidP="001C381B">
      <w:pPr>
        <w:spacing w:line="240" w:lineRule="auto"/>
        <w:jc w:val="center"/>
      </w:pPr>
    </w:p>
    <w:p w14:paraId="65A7754D" w14:textId="77777777" w:rsidR="001C381B" w:rsidRDefault="004A1489" w:rsidP="001C381B">
      <w:pPr>
        <w:spacing w:line="240" w:lineRule="auto"/>
        <w:jc w:val="center"/>
      </w:pPr>
      <w:r>
        <w:t>DIVISION TWO</w:t>
      </w:r>
    </w:p>
    <w:p w14:paraId="644BFFA2" w14:textId="77777777" w:rsidR="001C381B" w:rsidRDefault="004A1489" w:rsidP="001C381B">
      <w:pPr>
        <w:spacing w:line="240" w:lineRule="auto"/>
        <w:jc w:val="center"/>
      </w:pPr>
    </w:p>
    <w:p w14:paraId="529AE2EF" w14:textId="77777777" w:rsidR="001C381B" w:rsidRDefault="004A1489" w:rsidP="001C381B">
      <w:pPr>
        <w:spacing w:line="240" w:lineRule="auto"/>
        <w:jc w:val="center"/>
      </w:pPr>
    </w:p>
    <w:tbl>
      <w:tblPr>
        <w:tblW w:w="0" w:type="auto"/>
        <w:tblLayout w:type="fixed"/>
        <w:tblLook w:val="0000" w:firstRow="0" w:lastRow="0" w:firstColumn="0" w:lastColumn="0" w:noHBand="0" w:noVBand="0"/>
      </w:tblPr>
      <w:tblGrid>
        <w:gridCol w:w="3960"/>
        <w:gridCol w:w="3960"/>
      </w:tblGrid>
      <w:tr w:rsidR="008E1E7D" w14:paraId="6B3FCAB0" w14:textId="77777777" w:rsidTr="001C381B">
        <w:tc>
          <w:tcPr>
            <w:tcW w:w="3960" w:type="dxa"/>
            <w:tcBorders>
              <w:bottom w:val="single" w:sz="4" w:space="0" w:color="auto"/>
              <w:right w:val="single" w:sz="4" w:space="0" w:color="auto"/>
            </w:tcBorders>
            <w:shd w:val="clear" w:color="auto" w:fill="auto"/>
          </w:tcPr>
          <w:p w14:paraId="1B00D90C" w14:textId="77777777" w:rsidR="001C381B" w:rsidRDefault="004A1489" w:rsidP="001C381B">
            <w:pPr>
              <w:spacing w:after="120" w:line="240" w:lineRule="auto"/>
            </w:pPr>
            <w:r>
              <w:t>KATHERINE ROSENBERG-WOHL,</w:t>
            </w:r>
          </w:p>
          <w:p w14:paraId="0A935C42" w14:textId="77777777" w:rsidR="001C381B" w:rsidRDefault="004A1489" w:rsidP="001C381B">
            <w:pPr>
              <w:spacing w:after="120" w:line="240" w:lineRule="auto"/>
            </w:pPr>
            <w:r>
              <w:t>Plaintiff and Appellant,</w:t>
            </w:r>
          </w:p>
          <w:p w14:paraId="5246FA9C" w14:textId="77777777" w:rsidR="001C381B" w:rsidRDefault="004A1489" w:rsidP="001C381B">
            <w:pPr>
              <w:spacing w:after="120" w:line="240" w:lineRule="auto"/>
            </w:pPr>
            <w:r>
              <w:t>v.</w:t>
            </w:r>
          </w:p>
          <w:p w14:paraId="08091A14" w14:textId="77777777" w:rsidR="001C381B" w:rsidRDefault="004A1489" w:rsidP="001C381B">
            <w:pPr>
              <w:spacing w:after="120" w:line="240" w:lineRule="auto"/>
            </w:pPr>
            <w:r>
              <w:t>STATE FARM FIRE AND CASUALTY COMPANY,</w:t>
            </w:r>
          </w:p>
          <w:p w14:paraId="603A17DA" w14:textId="77777777" w:rsidR="001C381B" w:rsidRDefault="004A1489" w:rsidP="001C381B">
            <w:pPr>
              <w:spacing w:after="120" w:line="240" w:lineRule="auto"/>
            </w:pPr>
            <w:r>
              <w:t xml:space="preserve">Defendant and </w:t>
            </w:r>
            <w:r>
              <w:t>Respondent.</w:t>
            </w:r>
          </w:p>
        </w:tc>
        <w:tc>
          <w:tcPr>
            <w:tcW w:w="3960" w:type="dxa"/>
            <w:tcBorders>
              <w:left w:val="single" w:sz="4" w:space="0" w:color="auto"/>
            </w:tcBorders>
            <w:shd w:val="clear" w:color="auto" w:fill="auto"/>
          </w:tcPr>
          <w:p w14:paraId="2FB1F4F1" w14:textId="77777777" w:rsidR="001C381B" w:rsidRDefault="004A1489" w:rsidP="001C381B">
            <w:pPr>
              <w:spacing w:line="240" w:lineRule="auto"/>
            </w:pPr>
          </w:p>
          <w:p w14:paraId="590E86DC" w14:textId="77777777" w:rsidR="001C381B" w:rsidRDefault="004A1489" w:rsidP="001C381B">
            <w:pPr>
              <w:spacing w:line="240" w:lineRule="auto"/>
            </w:pPr>
          </w:p>
          <w:p w14:paraId="1D588070" w14:textId="77777777" w:rsidR="001C381B" w:rsidRDefault="004A1489" w:rsidP="001C381B">
            <w:pPr>
              <w:spacing w:line="240" w:lineRule="auto"/>
            </w:pPr>
            <w:r>
              <w:t xml:space="preserve">      A163848</w:t>
            </w:r>
          </w:p>
          <w:p w14:paraId="67440C58" w14:textId="77777777" w:rsidR="001C381B" w:rsidRDefault="004A1489" w:rsidP="001C381B">
            <w:pPr>
              <w:spacing w:line="240" w:lineRule="auto"/>
            </w:pPr>
          </w:p>
          <w:p w14:paraId="389A8CFF" w14:textId="77777777" w:rsidR="001C381B" w:rsidRDefault="004A1489" w:rsidP="001C381B">
            <w:pPr>
              <w:spacing w:line="240" w:lineRule="auto"/>
            </w:pPr>
            <w:r>
              <w:t xml:space="preserve">      (San Francisco County</w:t>
            </w:r>
          </w:p>
          <w:p w14:paraId="1C1FE43C" w14:textId="77777777" w:rsidR="001C381B" w:rsidRDefault="004A1489" w:rsidP="001676F3">
            <w:pPr>
              <w:spacing w:line="240" w:lineRule="auto"/>
              <w:ind w:left="430"/>
            </w:pPr>
            <w:r>
              <w:t>Super. Ct. No. CGC-20-587264)</w:t>
            </w:r>
          </w:p>
          <w:p w14:paraId="0E83A439" w14:textId="77777777" w:rsidR="001C381B" w:rsidRDefault="004A1489" w:rsidP="001C381B">
            <w:pPr>
              <w:spacing w:line="240" w:lineRule="auto"/>
            </w:pPr>
          </w:p>
        </w:tc>
      </w:tr>
    </w:tbl>
    <w:p w14:paraId="094FB3AF" w14:textId="77777777" w:rsidR="001C381B" w:rsidRDefault="004A1489" w:rsidP="001C381B">
      <w:pPr>
        <w:spacing w:line="360" w:lineRule="auto"/>
      </w:pPr>
    </w:p>
    <w:p w14:paraId="51ACE9DC" w14:textId="77777777" w:rsidR="008572CE" w:rsidRDefault="004A1489" w:rsidP="001C381B">
      <w:pPr>
        <w:tabs>
          <w:tab w:val="clear" w:pos="720"/>
        </w:tabs>
        <w:spacing w:line="360" w:lineRule="auto"/>
        <w:ind w:left="-720" w:right="-720" w:firstLine="720"/>
      </w:pPr>
      <w:r>
        <w:t>Plaintiff/appellant Katherine Rosenberg-Wohl (plaintiff) had a homeowners insurance policy with defendant/respondent State Farm Fire and Casualty Company (State Farm), providing coverage on her home in San Francisco; the policy has a limitation provision t</w:t>
      </w:r>
      <w:r>
        <w:t xml:space="preserve">hat requires lawsuits to be “started within one year after the date of loss or damage.”  In late 2018 or early 2019, plaintiff noticed that on two occasions an elderly neighbor stumbled and fell as she descended plaintiff’s outside </w:t>
      </w:r>
      <w:proofErr w:type="gramStart"/>
      <w:r>
        <w:t>staircase, and</w:t>
      </w:r>
      <w:proofErr w:type="gramEnd"/>
      <w:r>
        <w:t xml:space="preserve"> learned t</w:t>
      </w:r>
      <w:r>
        <w:t xml:space="preserve">hat the pitch of the stairs had changed and that to make the stairs safe the staircase needed to be replaced.  In late April 2019, plaintiff authorized the work and contacted State Farm, and on August 9, she submitted a claim for the money she had spent.  </w:t>
      </w:r>
      <w:r>
        <w:t xml:space="preserve">On August 26, State Farm denied the claim.  Sometime later, plaintiff’s husband, attorney David Rosenberg-Wohl, reached out to State Farm “to see if anything could be done,” and in August 2020 a </w:t>
      </w:r>
      <w:r>
        <w:lastRenderedPageBreak/>
        <w:t>State Farm adjuster said it had reopened the claim.  And a fe</w:t>
      </w:r>
      <w:r>
        <w:t>w days later denied it.</w:t>
      </w:r>
    </w:p>
    <w:p w14:paraId="719479FB" w14:textId="77777777" w:rsidR="007D7C34" w:rsidRDefault="004A1489" w:rsidP="007D7C34">
      <w:pPr>
        <w:tabs>
          <w:tab w:val="clear" w:pos="720"/>
        </w:tabs>
        <w:spacing w:line="360" w:lineRule="auto"/>
        <w:ind w:left="-720" w:right="-720" w:firstLine="720"/>
      </w:pPr>
      <w:r>
        <w:t>In October 2020, represented by her husband, plaintiff filed two lawsuits against State Farm in San Francisco Superior Court.  One alleged two causes of action, for breach of the policy and for bad faith.  That lawsuit was removed t</w:t>
      </w:r>
      <w:r>
        <w:t xml:space="preserve">o federal </w:t>
      </w:r>
      <w:proofErr w:type="gramStart"/>
      <w:r>
        <w:t>court, and</w:t>
      </w:r>
      <w:proofErr w:type="gramEnd"/>
      <w:r>
        <w:t xml:space="preserve"> was resolved against plaintiff on a motion to dismiss based on the one-year limitation provision.  It is currently on appeal in the Ninth Circuit.</w:t>
      </w:r>
    </w:p>
    <w:p w14:paraId="681882F3" w14:textId="77777777" w:rsidR="00112CC5" w:rsidRDefault="004A1489" w:rsidP="001C381B">
      <w:pPr>
        <w:tabs>
          <w:tab w:val="clear" w:pos="720"/>
        </w:tabs>
        <w:spacing w:line="360" w:lineRule="auto"/>
        <w:ind w:left="-720" w:right="-720" w:firstLine="720"/>
      </w:pPr>
      <w:r>
        <w:t>The other action, the one before us, purports to allege a claim for violation of Califor</w:t>
      </w:r>
      <w:r>
        <w:t>nia’s unfair competition law.  This case was also resolved against plaintiff, also based on the limitation provision—here, when the trial court sustained a demurrer to the second amended complaint without leave to amend.  Plaintiff appeals, asserting two a</w:t>
      </w:r>
      <w:r>
        <w:t>rguments</w:t>
      </w:r>
      <w:proofErr w:type="gramStart"/>
      <w:r>
        <w:t>:  (</w:t>
      </w:r>
      <w:proofErr w:type="gramEnd"/>
      <w:r>
        <w:t>1) the one-year limitation provision does not apply to her unfair competition claim, and (2) even if it does, State Farm waived the limitation provision.  We affirm.</w:t>
      </w:r>
    </w:p>
    <w:p w14:paraId="0F648C5B" w14:textId="77777777" w:rsidR="003D73C8" w:rsidRDefault="004A1489" w:rsidP="00AF6D59">
      <w:pPr>
        <w:tabs>
          <w:tab w:val="clear" w:pos="720"/>
        </w:tabs>
        <w:spacing w:line="360" w:lineRule="auto"/>
        <w:ind w:left="-720" w:right="-720"/>
        <w:jc w:val="center"/>
      </w:pPr>
      <w:r>
        <w:rPr>
          <w:b/>
          <w:bCs/>
        </w:rPr>
        <w:t>BACKGROUND</w:t>
      </w:r>
    </w:p>
    <w:p w14:paraId="1F693E00" w14:textId="77777777" w:rsidR="00E9410A" w:rsidRDefault="004A1489" w:rsidP="00E9410A">
      <w:pPr>
        <w:tabs>
          <w:tab w:val="clear" w:pos="720"/>
        </w:tabs>
        <w:spacing w:line="360" w:lineRule="auto"/>
        <w:ind w:left="-720" w:right="-720" w:firstLine="720"/>
      </w:pPr>
      <w:r>
        <w:rPr>
          <w:b/>
          <w:bCs/>
        </w:rPr>
        <w:t>The General Setting</w:t>
      </w:r>
      <w:r>
        <w:rPr>
          <w:rStyle w:val="FootnoteReference"/>
          <w:b/>
          <w:bCs/>
        </w:rPr>
        <w:footnoteReference w:id="2"/>
      </w:r>
    </w:p>
    <w:p w14:paraId="237C4FA8" w14:textId="77777777" w:rsidR="00E9410A" w:rsidRDefault="004A1489" w:rsidP="00E9410A">
      <w:pPr>
        <w:tabs>
          <w:tab w:val="clear" w:pos="720"/>
        </w:tabs>
        <w:spacing w:line="360" w:lineRule="auto"/>
        <w:ind w:left="-720" w:right="-720" w:firstLine="720"/>
      </w:pPr>
      <w:r>
        <w:t>Plaintiff owns a home in San Francisco, insured under a policy with State Farm.  The policy contains a provision entitled “Suit Against Us” that states</w:t>
      </w:r>
      <w:proofErr w:type="gramStart"/>
      <w:r>
        <w:t>:  “</w:t>
      </w:r>
      <w:proofErr w:type="gramEnd"/>
      <w:r>
        <w:t>No action shall be brought unless there has been compliance with the policy provisions.  The action m</w:t>
      </w:r>
      <w:r>
        <w:t xml:space="preserve">ust be started within one year after the date of loss or damage.” </w:t>
      </w:r>
    </w:p>
    <w:p w14:paraId="7308A8B5" w14:textId="77777777" w:rsidR="0051698F" w:rsidRDefault="004A1489" w:rsidP="00E9410A">
      <w:pPr>
        <w:tabs>
          <w:tab w:val="clear" w:pos="720"/>
        </w:tabs>
        <w:spacing w:line="360" w:lineRule="auto"/>
        <w:ind w:left="-720" w:right="-720" w:firstLine="720"/>
      </w:pPr>
      <w:r>
        <w:lastRenderedPageBreak/>
        <w:t>In late 2018 or early 2019, plaintiff noticed that an elderly visitor had twice stumbled and fell when descending the exterior staircase of plaintiff’s home and, upon investigating, learned</w:t>
      </w:r>
      <w:r>
        <w:t xml:space="preserve"> that the pitch of the staircase had changed, and the entire staircase needed to be replaced.  Plaintiff authorized the work and notified State Farm of it on April 23, 2019.  Over three months later, on August 9, she submitted a claim to State Farm for her</w:t>
      </w:r>
      <w:r>
        <w:t xml:space="preserve"> construction expenses, which by then were approximately $52,600, with another $16,800 in anticipated expenses for additional work.</w:t>
      </w:r>
      <w:r>
        <w:rPr>
          <w:rStyle w:val="FootnoteReference"/>
        </w:rPr>
        <w:footnoteReference w:id="3"/>
      </w:r>
      <w:r>
        <w:t xml:space="preserve"> </w:t>
      </w:r>
    </w:p>
    <w:p w14:paraId="2E3D2F4D" w14:textId="77777777" w:rsidR="003A0C11" w:rsidRDefault="004A1489" w:rsidP="00E9410A">
      <w:pPr>
        <w:tabs>
          <w:tab w:val="clear" w:pos="720"/>
        </w:tabs>
        <w:spacing w:line="360" w:lineRule="auto"/>
        <w:ind w:left="-720" w:right="-720" w:firstLine="720"/>
      </w:pPr>
      <w:r>
        <w:t>By letter dated August 26—plaintiff alleges, without any investigation—State Farm denied the claim.  While the letter its</w:t>
      </w:r>
      <w:r>
        <w:t>elf is not in the record, plaintiff alleges that the letter stated that there was “no evidence of a covered cause or loss nor any covered accidental direct physical loss to the front exterior stairway,” which letter went on to note that the policy “exclude</w:t>
      </w:r>
      <w:r>
        <w:t>s coverage for this type of damage. . .” identifying five items as “this type of damage”:</w:t>
      </w:r>
    </w:p>
    <w:p w14:paraId="7C4C6713" w14:textId="77777777" w:rsidR="00C11986" w:rsidRDefault="004A1489" w:rsidP="002F5DAB">
      <w:pPr>
        <w:pStyle w:val="ListParagraph"/>
        <w:numPr>
          <w:ilvl w:val="0"/>
          <w:numId w:val="1"/>
        </w:numPr>
        <w:tabs>
          <w:tab w:val="clear" w:pos="720"/>
        </w:tabs>
        <w:spacing w:line="360" w:lineRule="auto"/>
        <w:ind w:right="-720"/>
      </w:pPr>
      <w:r>
        <w:t>“wear, tear, marring, scratching, deterioration, inherent vice, latent defect or mechanical breakdown</w:t>
      </w:r>
      <w:proofErr w:type="gramStart"/>
      <w:r>
        <w:t>”;</w:t>
      </w:r>
      <w:proofErr w:type="gramEnd"/>
    </w:p>
    <w:p w14:paraId="1A1B3665" w14:textId="77777777" w:rsidR="00364323" w:rsidRDefault="004A1489" w:rsidP="002F5DAB">
      <w:pPr>
        <w:pStyle w:val="ListParagraph"/>
        <w:numPr>
          <w:ilvl w:val="0"/>
          <w:numId w:val="1"/>
        </w:numPr>
        <w:tabs>
          <w:tab w:val="clear" w:pos="720"/>
        </w:tabs>
        <w:spacing w:line="360" w:lineRule="auto"/>
        <w:ind w:right="-720"/>
      </w:pPr>
      <w:r>
        <w:t>“corrosion, electrolysis or rust</w:t>
      </w:r>
      <w:proofErr w:type="gramStart"/>
      <w:r>
        <w:t>”;</w:t>
      </w:r>
      <w:proofErr w:type="gramEnd"/>
    </w:p>
    <w:p w14:paraId="21028926" w14:textId="77777777" w:rsidR="00EF12DE" w:rsidRDefault="004A1489" w:rsidP="002F5DAB">
      <w:pPr>
        <w:pStyle w:val="ListParagraph"/>
        <w:numPr>
          <w:ilvl w:val="0"/>
          <w:numId w:val="1"/>
        </w:numPr>
        <w:tabs>
          <w:tab w:val="clear" w:pos="720"/>
        </w:tabs>
        <w:spacing w:line="360" w:lineRule="auto"/>
        <w:ind w:right="-720"/>
      </w:pPr>
      <w:r>
        <w:t>“wet or dry rot</w:t>
      </w:r>
      <w:proofErr w:type="gramStart"/>
      <w:r>
        <w:t>”;</w:t>
      </w:r>
      <w:proofErr w:type="gramEnd"/>
    </w:p>
    <w:p w14:paraId="79544314" w14:textId="77777777" w:rsidR="00EF12DE" w:rsidRDefault="004A1489" w:rsidP="002F5DAB">
      <w:pPr>
        <w:pStyle w:val="ListParagraph"/>
        <w:numPr>
          <w:ilvl w:val="0"/>
          <w:numId w:val="1"/>
        </w:numPr>
        <w:tabs>
          <w:tab w:val="clear" w:pos="720"/>
        </w:tabs>
        <w:spacing w:line="360" w:lineRule="auto"/>
        <w:ind w:right="-720"/>
      </w:pPr>
      <w:r>
        <w:t>“settling, cracking, shrinking, bulging, or expansion of pavements, patios, foundation, walls, floors, roofs or ceilings</w:t>
      </w:r>
      <w:proofErr w:type="gramStart"/>
      <w:r>
        <w:t>”;</w:t>
      </w:r>
      <w:proofErr w:type="gramEnd"/>
    </w:p>
    <w:p w14:paraId="309E5306" w14:textId="77777777" w:rsidR="003A0363" w:rsidRDefault="004A1489" w:rsidP="00047683">
      <w:pPr>
        <w:pStyle w:val="ListParagraph"/>
        <w:numPr>
          <w:ilvl w:val="0"/>
          <w:numId w:val="1"/>
        </w:numPr>
        <w:tabs>
          <w:tab w:val="clear" w:pos="720"/>
        </w:tabs>
        <w:spacing w:line="360" w:lineRule="auto"/>
        <w:ind w:left="-360" w:right="-720" w:firstLine="720"/>
      </w:pPr>
      <w:r>
        <w:t xml:space="preserve">“fungus.”  </w:t>
      </w:r>
    </w:p>
    <w:p w14:paraId="44E3D14A" w14:textId="77777777" w:rsidR="00E82370" w:rsidRDefault="004A1489" w:rsidP="003A0363">
      <w:pPr>
        <w:tabs>
          <w:tab w:val="clear" w:pos="720"/>
        </w:tabs>
        <w:spacing w:line="360" w:lineRule="auto"/>
        <w:ind w:left="-720" w:right="-720" w:firstLine="720"/>
      </w:pPr>
      <w:r>
        <w:t>The letter also specifically referenced “the suit limitation period” as a “policy defense.” And, plaintiff alleges, State</w:t>
      </w:r>
      <w:r>
        <w:t xml:space="preserve"> Farm had “no basis for its </w:t>
      </w:r>
      <w:r>
        <w:lastRenderedPageBreak/>
        <w:t xml:space="preserve">decision,” as it had not inspected the stairs, asked her or her husband questions, interviewed the elderly neighbor, or contacted any of the contractors involved. </w:t>
      </w:r>
    </w:p>
    <w:p w14:paraId="72E0E1FD" w14:textId="77777777" w:rsidR="00687413" w:rsidRDefault="004A1489" w:rsidP="00E82370">
      <w:pPr>
        <w:tabs>
          <w:tab w:val="clear" w:pos="720"/>
        </w:tabs>
        <w:spacing w:line="360" w:lineRule="auto"/>
        <w:ind w:left="-720" w:right="-720" w:firstLine="720"/>
      </w:pPr>
      <w:r>
        <w:t>At some unspecified point, plaintiff’s husband reached out to St</w:t>
      </w:r>
      <w:r>
        <w:t>ate Farm insurance agent Doug Lehr “to see what, if anything could be done,” and the agent said he would see what he could do.  On August 10, 2020, State Farm adjuster Rita Lee left a voice-mail message stating that State Farm had “reopened” the claim, and</w:t>
      </w:r>
      <w:r>
        <w:t xml:space="preserve"> that she was making herself available to address and possibly resolve any coverage questions plaintiff had before she might want to “move forward with the next step.” </w:t>
      </w:r>
    </w:p>
    <w:p w14:paraId="384AAC82" w14:textId="77777777" w:rsidR="00C6434A" w:rsidRDefault="004A1489" w:rsidP="00E82370">
      <w:pPr>
        <w:tabs>
          <w:tab w:val="clear" w:pos="720"/>
        </w:tabs>
        <w:spacing w:line="360" w:lineRule="auto"/>
        <w:ind w:left="-720" w:right="-720" w:firstLine="720"/>
      </w:pPr>
      <w:r>
        <w:t>On August 24, Mr. Rosenberg-Wohl spoke with Lee.  Among other things Lee said that it i</w:t>
      </w:r>
      <w:r>
        <w:t xml:space="preserve">f the claimed loss were “to be covered,” something “sudden” had to have happened.  And what plaintiff claimed coverage for, Lee said, was just “preventative.” </w:t>
      </w:r>
    </w:p>
    <w:p w14:paraId="23C8CBF9" w14:textId="77777777" w:rsidR="00AA577E" w:rsidRDefault="004A1489" w:rsidP="00E82370">
      <w:pPr>
        <w:tabs>
          <w:tab w:val="clear" w:pos="720"/>
        </w:tabs>
        <w:spacing w:line="360" w:lineRule="auto"/>
        <w:ind w:left="-720" w:right="-720" w:firstLine="720"/>
      </w:pPr>
      <w:r>
        <w:t>Immediately following that conversation, Lee denied what plaintiff calls the “newly adjusted cla</w:t>
      </w:r>
      <w:r>
        <w:t>im,” which plaintiff alleges reiterated this</w:t>
      </w:r>
      <w:proofErr w:type="gramStart"/>
      <w:r>
        <w:t>:  “</w:t>
      </w:r>
      <w:proofErr w:type="gramEnd"/>
      <w:r>
        <w:t>Based on the investigation findings, there was no evidence of a covered cause for accidental direct physical damage to the property,” confirming what “[Lee] stated on the phone:  [t]he policy does not provide</w:t>
      </w:r>
      <w:r>
        <w:t xml:space="preserve"> coverage for preventative nor safety measures to the property.  Maintenance would be the responsibility of the property owner to properly maintain the property to keep it safe.” </w:t>
      </w:r>
    </w:p>
    <w:p w14:paraId="6945D3A4" w14:textId="77777777" w:rsidR="00F838D7" w:rsidRDefault="004A1489" w:rsidP="00E82370">
      <w:pPr>
        <w:tabs>
          <w:tab w:val="clear" w:pos="720"/>
        </w:tabs>
        <w:spacing w:line="360" w:lineRule="auto"/>
        <w:ind w:left="-720" w:right="-720" w:firstLine="720"/>
      </w:pPr>
      <w:r>
        <w:t>Weeks later, plaintiff filed her lawsuits.</w:t>
      </w:r>
    </w:p>
    <w:p w14:paraId="36D51FA8" w14:textId="77777777" w:rsidR="00B4771D" w:rsidRDefault="004A1489" w:rsidP="00E82370">
      <w:pPr>
        <w:tabs>
          <w:tab w:val="clear" w:pos="720"/>
        </w:tabs>
        <w:spacing w:line="360" w:lineRule="auto"/>
        <w:ind w:left="-720" w:right="-720" w:firstLine="720"/>
      </w:pPr>
      <w:r>
        <w:rPr>
          <w:b/>
          <w:bCs/>
        </w:rPr>
        <w:t>The Proceedings Below</w:t>
      </w:r>
    </w:p>
    <w:p w14:paraId="292C4B25" w14:textId="77777777" w:rsidR="00B4771D" w:rsidRDefault="004A1489" w:rsidP="00E82370">
      <w:pPr>
        <w:tabs>
          <w:tab w:val="clear" w:pos="720"/>
        </w:tabs>
        <w:spacing w:line="360" w:lineRule="auto"/>
        <w:ind w:left="-720" w:right="-720" w:firstLine="720"/>
      </w:pPr>
      <w:r>
        <w:t xml:space="preserve">On </w:t>
      </w:r>
      <w:r>
        <w:t xml:space="preserve">October 22, 2010—some 18 months after she had replaced the staircase, 14 months after State Farm had denied her claim the first time, and nearly six months after the one-year limitation period of the policy had </w:t>
      </w:r>
      <w:r>
        <w:lastRenderedPageBreak/>
        <w:t>expired—plaintiff filed two lawsuits in San F</w:t>
      </w:r>
      <w:r>
        <w:t>rancisco County Superior Court</w:t>
      </w:r>
      <w:proofErr w:type="gramStart"/>
      <w:r>
        <w:t>:  (</w:t>
      </w:r>
      <w:proofErr w:type="gramEnd"/>
      <w:r>
        <w:t>1) action No. 587262 and (2) action No. 587264.</w:t>
      </w:r>
    </w:p>
    <w:p w14:paraId="234B9F7D" w14:textId="77777777" w:rsidR="00674B39" w:rsidRDefault="004A1489" w:rsidP="00E82370">
      <w:pPr>
        <w:tabs>
          <w:tab w:val="clear" w:pos="720"/>
        </w:tabs>
        <w:spacing w:line="360" w:lineRule="auto"/>
        <w:ind w:left="-720" w:right="-720" w:firstLine="720"/>
      </w:pPr>
      <w:r>
        <w:t>Action No. 587262 alleged two claims, for breach of the policy and violation of the covenant of good faith and fair dealing.  That case was removed to federal court, where it</w:t>
      </w:r>
      <w:r>
        <w:t xml:space="preserve"> was dismissed by the District Court on a motion to dismiss.  It is currently on appeal:  N.D. Cal 2022, 2022 WL 901545, appeal pending.</w:t>
      </w:r>
    </w:p>
    <w:p w14:paraId="2732381B" w14:textId="77777777" w:rsidR="00877311" w:rsidRDefault="004A1489" w:rsidP="00E82370">
      <w:pPr>
        <w:tabs>
          <w:tab w:val="clear" w:pos="720"/>
        </w:tabs>
        <w:spacing w:line="360" w:lineRule="auto"/>
        <w:ind w:left="-720" w:right="-720" w:firstLine="720"/>
      </w:pPr>
      <w:r>
        <w:t>Action No. 587264, this case, initially alleged causes of action for declaratory relief and violation of the Unfair Com</w:t>
      </w:r>
      <w:r>
        <w:t xml:space="preserve">petition Law (UCL).  The action was designated as a “class action,” filed by plaintiff “on behalf of herself and those similarly situated.”  The case was designated complex and assigned for all purposes to the Honorable Anne-Christine </w:t>
      </w:r>
      <w:proofErr w:type="spellStart"/>
      <w:r>
        <w:t>Massullo</w:t>
      </w:r>
      <w:proofErr w:type="spellEnd"/>
      <w:r>
        <w:t xml:space="preserve">. </w:t>
      </w:r>
    </w:p>
    <w:p w14:paraId="4C9F3867" w14:textId="77777777" w:rsidR="007E6DBC" w:rsidRDefault="004A1489" w:rsidP="00E82370">
      <w:pPr>
        <w:tabs>
          <w:tab w:val="clear" w:pos="720"/>
        </w:tabs>
        <w:spacing w:line="360" w:lineRule="auto"/>
        <w:ind w:left="-720" w:right="-720" w:firstLine="720"/>
      </w:pPr>
      <w:r>
        <w:t>A few mont</w:t>
      </w:r>
      <w:r>
        <w:t xml:space="preserve">hs later, apparently before State Farm filed a responsive pleading, plaintiff filed an amended complaint.  The amended complaint was titled as one “stating claim for unfair competition and need for public injunctive relief.”  </w:t>
      </w:r>
    </w:p>
    <w:p w14:paraId="1343A408" w14:textId="77777777" w:rsidR="004145D7" w:rsidRDefault="004A1489" w:rsidP="00E82370">
      <w:pPr>
        <w:tabs>
          <w:tab w:val="clear" w:pos="720"/>
        </w:tabs>
        <w:spacing w:line="360" w:lineRule="auto"/>
        <w:ind w:left="-720" w:right="-720" w:firstLine="720"/>
      </w:pPr>
      <w:r>
        <w:t>State Farm filed a demurrer t</w:t>
      </w:r>
      <w:r>
        <w:t>o the amended complaint on two bases</w:t>
      </w:r>
      <w:proofErr w:type="gramStart"/>
      <w:r>
        <w:t>:  (</w:t>
      </w:r>
      <w:proofErr w:type="gramEnd"/>
      <w:r>
        <w:t>1) there was another action pending, and (2) the complaint failed to state a claim under the UCL because the action was “time-barred” and State Farm “has not acted unfairly.”  State Farm also filed a motion to strike</w:t>
      </w:r>
      <w:r>
        <w:t>.</w:t>
      </w:r>
    </w:p>
    <w:p w14:paraId="24F88DDE" w14:textId="77777777" w:rsidR="00050F64" w:rsidRDefault="004A1489" w:rsidP="00E82370">
      <w:pPr>
        <w:tabs>
          <w:tab w:val="clear" w:pos="720"/>
        </w:tabs>
        <w:spacing w:line="360" w:lineRule="auto"/>
        <w:ind w:left="-720" w:right="-720" w:firstLine="720"/>
      </w:pPr>
      <w:r>
        <w:t xml:space="preserve">At the hearing on the demurrer, Judge </w:t>
      </w:r>
      <w:proofErr w:type="spellStart"/>
      <w:r>
        <w:t>Massullo</w:t>
      </w:r>
      <w:proofErr w:type="spellEnd"/>
      <w:r>
        <w:t xml:space="preserve"> questioned Mr. Rosenberg-Wohl about whether this action was requesting “specific injunctive relief.”  The is what followed:</w:t>
      </w:r>
    </w:p>
    <w:p w14:paraId="6E6731A5" w14:textId="77777777" w:rsidR="00072803" w:rsidRDefault="004A1489" w:rsidP="00E82370">
      <w:pPr>
        <w:tabs>
          <w:tab w:val="clear" w:pos="720"/>
        </w:tabs>
        <w:spacing w:line="360" w:lineRule="auto"/>
        <w:ind w:left="-720" w:right="-720" w:firstLine="720"/>
      </w:pPr>
      <w:r>
        <w:t>“MR. ROSENBERG-WOHL:  Correct.</w:t>
      </w:r>
    </w:p>
    <w:p w14:paraId="07E88965" w14:textId="77777777" w:rsidR="001957E3" w:rsidRDefault="004A1489" w:rsidP="00E82370">
      <w:pPr>
        <w:tabs>
          <w:tab w:val="clear" w:pos="720"/>
        </w:tabs>
        <w:spacing w:line="360" w:lineRule="auto"/>
        <w:ind w:left="-720" w:right="-720" w:firstLine="720"/>
      </w:pPr>
      <w:r>
        <w:t>“THE COURT:  And the plaintiff is saying, ‘Court, yo</w:t>
      </w:r>
      <w:r>
        <w:t>u should tell State Farm, “This is the way that you must handle claims.  You must do A, B, C, and D when you are denying a claim</w:t>
      </w:r>
      <w:proofErr w:type="gramStart"/>
      <w:r>
        <w:t>” ’</w:t>
      </w:r>
      <w:proofErr w:type="gramEnd"/>
      <w:r>
        <w:t xml:space="preserve">—or ‘ “investigating and then denying </w:t>
      </w:r>
      <w:r>
        <w:lastRenderedPageBreak/>
        <w:t>a claim.  There should be specific</w:t>
      </w:r>
      <w:proofErr w:type="gramStart"/>
      <w:r>
        <w:t>” ’</w:t>
      </w:r>
      <w:proofErr w:type="gramEnd"/>
      <w:r>
        <w:t>—‘ “there’s a specific process and specific langua</w:t>
      </w:r>
      <w:r>
        <w:t>ge that you can use.” ’  That’s the public relief that’s being sought here; correct?</w:t>
      </w:r>
    </w:p>
    <w:p w14:paraId="7EEBA44E" w14:textId="77777777" w:rsidR="009F1289" w:rsidRDefault="004A1489" w:rsidP="00E82370">
      <w:pPr>
        <w:tabs>
          <w:tab w:val="clear" w:pos="720"/>
        </w:tabs>
        <w:spacing w:line="360" w:lineRule="auto"/>
        <w:ind w:left="-720" w:right="-720" w:firstLine="720"/>
      </w:pPr>
      <w:r>
        <w:t>“MR. ROSENBERG-WOHL:  Correct.  But there are many ways—there are many ways to accomplish that result.  It doesn’t have to be in a detailed order and specific stuff.  It’s</w:t>
      </w:r>
      <w:r>
        <w:t xml:space="preserve"> a standard, a simple standard, that they can follow</w:t>
      </w:r>
      <w:proofErr w:type="gramStart"/>
      <w:r>
        <w:t>. . . .</w:t>
      </w:r>
      <w:proofErr w:type="gramEnd"/>
      <w:r>
        <w:t xml:space="preserve">  [</w:t>
      </w:r>
      <w:proofErr w:type="gramStart"/>
      <w:r>
        <w:t>¶]  I</w:t>
      </w:r>
      <w:proofErr w:type="gramEnd"/>
      <w:r>
        <w:t xml:space="preserve"> mean, you could imagine—for example, if at the end of the litigation, the argument is, ‘State Farm, you have an obligation to objectively consider all claims presented,’ their business pra</w:t>
      </w:r>
      <w:r>
        <w:t>ctice would change fundamentally, and you’ve just said one sentence.”</w:t>
      </w:r>
      <w:r>
        <w:rPr>
          <w:rStyle w:val="FootnoteReference"/>
        </w:rPr>
        <w:footnoteReference w:id="4"/>
      </w:r>
      <w:r>
        <w:t xml:space="preserve"> </w:t>
      </w:r>
    </w:p>
    <w:p w14:paraId="310B4284" w14:textId="77777777" w:rsidR="00D02811" w:rsidRDefault="004A1489" w:rsidP="00E82370">
      <w:pPr>
        <w:tabs>
          <w:tab w:val="clear" w:pos="720"/>
        </w:tabs>
        <w:spacing w:line="360" w:lineRule="auto"/>
        <w:ind w:left="-720" w:right="-720" w:firstLine="720"/>
      </w:pPr>
      <w:r>
        <w:t xml:space="preserve">On April 20, 2021, Judge </w:t>
      </w:r>
      <w:proofErr w:type="spellStart"/>
      <w:r>
        <w:t>Massullo</w:t>
      </w:r>
      <w:proofErr w:type="spellEnd"/>
      <w:r>
        <w:t xml:space="preserve"> filed an order on the demurrer and the motion to strike, holding that the one-year limitation provision applied to plaintiff’s claim, and sustaining </w:t>
      </w:r>
      <w:r>
        <w:t>the demurrer with leave to amend to add additional facts supporting waiver.  She also ruled that the issue of whether State Farm acted unfairly (that is, whether the replacement staircase is or is not covered under the policy) could not be decided on demur</w:t>
      </w:r>
      <w:r>
        <w:t xml:space="preserve">rer.  And finally, as to the motion to strike the requests for and references to “public injunctive relief,” she granted it with leave to amend.  </w:t>
      </w:r>
    </w:p>
    <w:p w14:paraId="1803974D" w14:textId="77777777" w:rsidR="008D61BB" w:rsidRDefault="004A1489" w:rsidP="00E82370">
      <w:pPr>
        <w:tabs>
          <w:tab w:val="clear" w:pos="720"/>
        </w:tabs>
        <w:spacing w:line="360" w:lineRule="auto"/>
        <w:ind w:left="-720" w:right="-720" w:firstLine="720"/>
      </w:pPr>
      <w:r>
        <w:t>On May 21, plaintiff filed a second amended complaint (SAC), adding, apparently without leave of court, a cla</w:t>
      </w:r>
      <w:r>
        <w:t>im for false advertising, a complaint labeled “</w:t>
      </w:r>
      <w:r w:rsidRPr="00EB2D6E">
        <w:t>Second Amended Complaint Stating a Claim for False Advertising, Unfair Competition, and Need for Public Injunctive Relief</w:t>
      </w:r>
      <w:r>
        <w:t>.”  The SAC is 18 pages long, comprised of 64 paragraphs, and begins with its preliminar</w:t>
      </w:r>
      <w:r>
        <w:t xml:space="preserve">y </w:t>
      </w:r>
      <w:r>
        <w:lastRenderedPageBreak/>
        <w:t>allegations as to the parties and the policy.  There follows a capitalized, boldface heading that “</w:t>
      </w:r>
      <w:r w:rsidRPr="00612CE7">
        <w:rPr>
          <w:b/>
          <w:bCs/>
        </w:rPr>
        <w:t>Plaintiff’s Experience With How State Farm Adjudicates One Particular Insurance Policy, Her Homeowners Policy</w:t>
      </w:r>
      <w:r>
        <w:t>,” after which the complaint alleges in detail</w:t>
      </w:r>
      <w:r>
        <w:t>, for some 36 paragraphs, the facts set forth above.  The paragraphs allege among other things that “State Farm summarily denied” plaintiff’s claim; that State Farm “did not explain its analysis or justify its conclusion in a way that [plaintiff] could eva</w:t>
      </w:r>
      <w:r>
        <w:t xml:space="preserve">luate State Farm’s coverage decision”; and that “State Farm had no basis for its decision.”  And it goes on with these two paragraphs:  </w:t>
      </w:r>
    </w:p>
    <w:p w14:paraId="5CD0142D" w14:textId="77777777" w:rsidR="008D61BB" w:rsidRDefault="004A1489" w:rsidP="00E82370">
      <w:pPr>
        <w:tabs>
          <w:tab w:val="clear" w:pos="720"/>
        </w:tabs>
        <w:spacing w:line="360" w:lineRule="auto"/>
        <w:ind w:left="-720" w:right="-720" w:firstLine="720"/>
      </w:pPr>
      <w:r>
        <w:t>“21.  Because State Farm did not investigate Plaintiff’s claim, State Farm had no reasonable basis for its determinatio</w:t>
      </w:r>
      <w:r>
        <w:t xml:space="preserve">n that coverage should be denied.  This conduct was intentional; this conduct was and is designed to deny claimants coverage for all but the most obvious of covered claims, to the detriment of State Farm’s policyholders and to its own benefit.  </w:t>
      </w:r>
    </w:p>
    <w:p w14:paraId="35A2ECD2" w14:textId="77777777" w:rsidR="00CF59A5" w:rsidRDefault="004A1489" w:rsidP="006A3C30">
      <w:pPr>
        <w:tabs>
          <w:tab w:val="clear" w:pos="720"/>
        </w:tabs>
        <w:spacing w:line="360" w:lineRule="auto"/>
        <w:ind w:left="-720" w:right="-720" w:firstLine="720"/>
      </w:pPr>
      <w:r>
        <w:t>“22.  On i</w:t>
      </w:r>
      <w:r>
        <w:t xml:space="preserve">nformation and belief, State Farm has a practice of obfuscating and regularly fails to make clear precisely what the basis is for its denials.  On information and belief, State Farm followed that practice here.  Instead of explaining how Plaintiff’s claim </w:t>
      </w:r>
      <w:r>
        <w:t xml:space="preserve">was not covered under the homeowners policy, State Farm listed a wide range of excluded risks that were </w:t>
      </w:r>
      <w:r>
        <w:rPr>
          <w:i/>
          <w:iCs/>
        </w:rPr>
        <w:t xml:space="preserve">possibly </w:t>
      </w:r>
      <w:r>
        <w:t>applicable</w:t>
      </w:r>
      <w:proofErr w:type="gramStart"/>
      <w:r>
        <w:t>—‘</w:t>
      </w:r>
      <w:proofErr w:type="gramEnd"/>
      <w:r>
        <w:t>the usual suspects,’ as it were—one or more of which, apparently was the basis for its denial of coverage [going on to list the exc</w:t>
      </w:r>
      <w:r>
        <w:t xml:space="preserve">lusions quoted above] . . . .”  </w:t>
      </w:r>
    </w:p>
    <w:p w14:paraId="46641266" w14:textId="77777777" w:rsidR="00D6449B" w:rsidRDefault="004A1489" w:rsidP="00995D95">
      <w:pPr>
        <w:tabs>
          <w:tab w:val="clear" w:pos="720"/>
        </w:tabs>
        <w:spacing w:line="360" w:lineRule="auto"/>
        <w:ind w:left="-720" w:right="-720" w:firstLine="720"/>
      </w:pPr>
      <w:r>
        <w:t>The SAC then states, again in capitalized boldface, that “</w:t>
      </w:r>
      <w:r w:rsidRPr="009610E8">
        <w:rPr>
          <w:b/>
          <w:bCs/>
        </w:rPr>
        <w:t>This Is Not A Lawsuit For Damages For Breach Of Contract; Rather It Is A Challenge To How State Farm Does Business</w:t>
      </w:r>
      <w:r>
        <w:t>.”  It then refers to the federal action, describin</w:t>
      </w:r>
      <w:r>
        <w:t xml:space="preserve">g it as a claim for money, and as to which the one-year limitation applies.  In claimed contrast, plaintiff alleges, “this particular </w:t>
      </w:r>
      <w:r>
        <w:lastRenderedPageBreak/>
        <w:t>claim is not on the contract but on State Farm’s claims adjudications process, hence the appropriate statute of limitation</w:t>
      </w:r>
      <w:r>
        <w:t>s here is that applicable to the false advertising and unfair competition claims, below</w:t>
      </w:r>
      <w:proofErr w:type="gramStart"/>
      <w:r>
        <w:t>. . . .</w:t>
      </w:r>
      <w:proofErr w:type="gramEnd"/>
      <w:r>
        <w:t xml:space="preserve">  [</w:t>
      </w:r>
      <w:proofErr w:type="gramStart"/>
      <w:r>
        <w:t>¶]  This</w:t>
      </w:r>
      <w:proofErr w:type="gramEnd"/>
      <w:r>
        <w:t xml:space="preserve"> action is different; it has nothing to do with State Farm’s particular insurance contract (policy FP-7955) or how State Farm (mis)treated Plaintiff in</w:t>
      </w:r>
      <w:r>
        <w:t xml:space="preserve"> the context of her property claim.  Win or lose her claim for coverage and damages in federal court, the business practices employed by State Farm need to change.  That is the goal of this lawsuit.  Someone needs to hold State Farm to the standard its cus</w:t>
      </w:r>
      <w:r>
        <w:t>tomers (and the law of this State) demand.  Plaintiff has standing to bring this claim for injunctive relief because she continues to have her homeowners policy (and expects to have it into the foreseeable future) and that allows her to try to hold State F</w:t>
      </w:r>
      <w:r>
        <w:t>arm to task in how it manages of its property insurance policies, whether they be the particular homeowners policy she has, other homeowners policies, automobile policies, personal property policies, or otherwise.  The process of adjudication State Farm us</w:t>
      </w:r>
      <w:r>
        <w:t>es is the same; the same standard of reasonableness and fairness should apply</w:t>
      </w:r>
      <w:proofErr w:type="gramStart"/>
      <w:r>
        <w:t>. . . .</w:t>
      </w:r>
      <w:proofErr w:type="gramEnd"/>
      <w:r>
        <w:t xml:space="preserve">” </w:t>
      </w:r>
    </w:p>
    <w:p w14:paraId="0822B24B" w14:textId="77777777" w:rsidR="002D116C" w:rsidRDefault="004A1489" w:rsidP="00995D95">
      <w:pPr>
        <w:tabs>
          <w:tab w:val="clear" w:pos="720"/>
        </w:tabs>
        <w:spacing w:line="360" w:lineRule="auto"/>
        <w:ind w:left="-720" w:right="-720" w:firstLine="720"/>
      </w:pPr>
      <w:r>
        <w:t xml:space="preserve">The SAC then goes on to allege the substance of the two causes of action, the first for false advertising, the second, for unfair competition.  And as to the UCL claim, the SAC alleges among other things as follows:  </w:t>
      </w:r>
    </w:p>
    <w:p w14:paraId="361E958D" w14:textId="77777777" w:rsidR="00864BC6" w:rsidRDefault="004A1489" w:rsidP="00995D95">
      <w:pPr>
        <w:tabs>
          <w:tab w:val="clear" w:pos="720"/>
        </w:tabs>
        <w:spacing w:line="360" w:lineRule="auto"/>
        <w:ind w:left="-720" w:right="-720" w:firstLine="720"/>
      </w:pPr>
      <w:r>
        <w:t>“52.  Under California law, State Farm</w:t>
      </w:r>
      <w:r>
        <w:t xml:space="preserve"> is to give at least as much consideration to the interests of its insureds as it gives to its own interests when adjudicating a claim.</w:t>
      </w:r>
    </w:p>
    <w:p w14:paraId="4E5C25CD" w14:textId="77777777" w:rsidR="00E2528E" w:rsidRDefault="004A1489" w:rsidP="00995D95">
      <w:pPr>
        <w:tabs>
          <w:tab w:val="clear" w:pos="720"/>
        </w:tabs>
        <w:spacing w:line="360" w:lineRule="auto"/>
        <w:ind w:left="-720" w:right="-720" w:firstLine="720"/>
      </w:pPr>
      <w:r>
        <w:t>“53.  However, as is evident from the allegations above, State Farm does not accept this legal obligation.  Without a Co</w:t>
      </w:r>
      <w:r>
        <w:t>urt order specifically requiring State Farm to comply with this standard, State Farm will continue to violate its legal obligations to its insureds.</w:t>
      </w:r>
    </w:p>
    <w:p w14:paraId="402312AC" w14:textId="77777777" w:rsidR="009337AF" w:rsidRDefault="004A1489" w:rsidP="00995D95">
      <w:pPr>
        <w:tabs>
          <w:tab w:val="clear" w:pos="720"/>
        </w:tabs>
        <w:spacing w:line="360" w:lineRule="auto"/>
        <w:ind w:left="-720" w:right="-720" w:firstLine="720"/>
      </w:pPr>
      <w:r>
        <w:lastRenderedPageBreak/>
        <w:t>“54.  Drafting such an order is straightforward.  An example would be</w:t>
      </w:r>
      <w:proofErr w:type="gramStart"/>
      <w:r>
        <w:t>:  ‘</w:t>
      </w:r>
      <w:proofErr w:type="gramEnd"/>
      <w:r>
        <w:t>State Farm is ordered, when adjudi</w:t>
      </w:r>
      <w:r>
        <w:t>cating any property insurance claim presented to it, to give at least as much consideration to the interests of its insured as to its own interests.’</w:t>
      </w:r>
    </w:p>
    <w:p w14:paraId="1C902B3A" w14:textId="77777777" w:rsidR="00571C0B" w:rsidRDefault="004A1489" w:rsidP="00995D95">
      <w:pPr>
        <w:tabs>
          <w:tab w:val="clear" w:pos="720"/>
        </w:tabs>
        <w:spacing w:line="360" w:lineRule="auto"/>
        <w:ind w:left="-720" w:right="-720" w:firstLine="720"/>
      </w:pPr>
      <w:r>
        <w:t>“a.  With such an order, State Farm would know that it must investigate in a good faith and reasonable man</w:t>
      </w:r>
      <w:r>
        <w:t>ner all claims made to it.</w:t>
      </w:r>
    </w:p>
    <w:p w14:paraId="61D70245" w14:textId="77777777" w:rsidR="00E86B04" w:rsidRDefault="004A1489" w:rsidP="00995D95">
      <w:pPr>
        <w:tabs>
          <w:tab w:val="clear" w:pos="720"/>
        </w:tabs>
        <w:spacing w:line="360" w:lineRule="auto"/>
        <w:ind w:left="-720" w:right="-720" w:firstLine="720"/>
      </w:pPr>
      <w:r>
        <w:t>“b.  With such an order, State Farm would know that it must identify the applicable reason(s) for any denial, so that a claimant can evaluate State Farm’s good faith and reasonableness and decide whether and how to submit new or different evidence or argum</w:t>
      </w:r>
      <w:r>
        <w:t>entation</w:t>
      </w:r>
      <w:proofErr w:type="gramStart"/>
      <w:r>
        <w:t>. . . .</w:t>
      </w:r>
      <w:proofErr w:type="gramEnd"/>
      <w:r>
        <w:t xml:space="preserve">” </w:t>
      </w:r>
    </w:p>
    <w:p w14:paraId="107F05BC" w14:textId="77777777" w:rsidR="0088265D" w:rsidRDefault="004A1489" w:rsidP="00995D95">
      <w:pPr>
        <w:tabs>
          <w:tab w:val="clear" w:pos="720"/>
        </w:tabs>
        <w:spacing w:line="360" w:lineRule="auto"/>
        <w:ind w:left="-720" w:right="-720" w:firstLine="720"/>
      </w:pPr>
      <w:r>
        <w:t>Then, after some conclusory allegations that State Farm’s conduct constitutes an unfair business practice, the SAC adds this</w:t>
      </w:r>
      <w:proofErr w:type="gramStart"/>
      <w:r>
        <w:t>:  “</w:t>
      </w:r>
      <w:proofErr w:type="gramEnd"/>
      <w:r>
        <w:t>Without this Court’s intervention, State Farm will continue the procedures it has employed that have failed to</w:t>
      </w:r>
      <w:r>
        <w:t xml:space="preserve"> assure that it gives at least as much consideration to the welfare of its insured as it gives to its own interests when determining whether to settle a claim.” </w:t>
      </w:r>
    </w:p>
    <w:p w14:paraId="740BA9A7" w14:textId="77777777" w:rsidR="00576F32" w:rsidRDefault="004A1489" w:rsidP="00995D95">
      <w:pPr>
        <w:tabs>
          <w:tab w:val="clear" w:pos="720"/>
        </w:tabs>
        <w:spacing w:line="360" w:lineRule="auto"/>
        <w:ind w:left="-720" w:right="-720" w:firstLine="720"/>
      </w:pPr>
      <w:r>
        <w:t>Finally, the SAC refers, again in capitalized boldface, to “</w:t>
      </w:r>
      <w:r w:rsidRPr="007575C3">
        <w:rPr>
          <w:b/>
          <w:bCs/>
        </w:rPr>
        <w:t xml:space="preserve">Public Injunctive Relief and </w:t>
      </w:r>
      <w:proofErr w:type="spellStart"/>
      <w:r w:rsidRPr="007575C3">
        <w:rPr>
          <w:b/>
          <w:bCs/>
        </w:rPr>
        <w:t>Attor</w:t>
      </w:r>
      <w:r w:rsidRPr="007575C3">
        <w:rPr>
          <w:b/>
          <w:bCs/>
        </w:rPr>
        <w:t>neys</w:t>
      </w:r>
      <w:proofErr w:type="spellEnd"/>
      <w:r w:rsidRPr="007575C3">
        <w:rPr>
          <w:b/>
          <w:bCs/>
        </w:rPr>
        <w:t xml:space="preserve"> Fees Under [Code of Civil Procedure section] 1021.5</w:t>
      </w:r>
      <w:r w:rsidRPr="00340179">
        <w:t>,”</w:t>
      </w:r>
      <w:r w:rsidRPr="007575C3">
        <w:rPr>
          <w:b/>
          <w:bCs/>
        </w:rPr>
        <w:t xml:space="preserve"> </w:t>
      </w:r>
      <w:r w:rsidRPr="00070108">
        <w:t xml:space="preserve">and </w:t>
      </w:r>
      <w:r>
        <w:t>a</w:t>
      </w:r>
      <w:r w:rsidRPr="00070108">
        <w:t xml:space="preserve">lleges </w:t>
      </w:r>
      <w:r>
        <w:t>a</w:t>
      </w:r>
      <w:r w:rsidRPr="00070108">
        <w:t xml:space="preserve">s </w:t>
      </w:r>
      <w:r>
        <w:t>f</w:t>
      </w:r>
      <w:r w:rsidRPr="00070108">
        <w:t>ollows</w:t>
      </w:r>
      <w:r>
        <w:t xml:space="preserve">:  </w:t>
      </w:r>
    </w:p>
    <w:p w14:paraId="7E7859E2" w14:textId="77777777" w:rsidR="00DF7985" w:rsidRDefault="004A1489" w:rsidP="00995D95">
      <w:pPr>
        <w:tabs>
          <w:tab w:val="clear" w:pos="720"/>
        </w:tabs>
        <w:spacing w:line="360" w:lineRule="auto"/>
        <w:ind w:left="-720" w:right="-720" w:firstLine="720"/>
      </w:pPr>
      <w:r>
        <w:t>“62.  It is possible that Plaintiff will benefit from this lawsuit, to be sure.  But it is not likely.  There are no damages sought here; that is in the federal action.  A</w:t>
      </w:r>
      <w:r>
        <w:t>nd while it is possible that, given her continuing relationship with State Farm and her possession of property policies, that she will make another claim such that a change in policy will benefit her, that is only a possibility.  By contrast, it is a stati</w:t>
      </w:r>
      <w:r>
        <w:t xml:space="preserve">stical certainty that other Californians who either have a State Farm </w:t>
      </w:r>
      <w:proofErr w:type="gramStart"/>
      <w:r>
        <w:t>homeowners</w:t>
      </w:r>
      <w:proofErr w:type="gramEnd"/>
      <w:r>
        <w:t xml:space="preserve"> policy like Plaintiff has or have any number of other State Farm property insurance policies will </w:t>
      </w:r>
      <w:r>
        <w:lastRenderedPageBreak/>
        <w:t>suffer losses and make a claim and benefit greatly from the injunctive relief</w:t>
      </w:r>
      <w:r>
        <w:t xml:space="preserve"> Plaintiff seeks here.  That is truly the public injunctive relief justifying an award of </w:t>
      </w:r>
      <w:proofErr w:type="spellStart"/>
      <w:proofErr w:type="gramStart"/>
      <w:r>
        <w:t>attorneys</w:t>
      </w:r>
      <w:proofErr w:type="spellEnd"/>
      <w:proofErr w:type="gramEnd"/>
      <w:r>
        <w:t xml:space="preserve"> fees under [Code of Civil Procedure section 102[1].5.” </w:t>
      </w:r>
    </w:p>
    <w:p w14:paraId="6A1D3ACB" w14:textId="77777777" w:rsidR="006043BD" w:rsidRDefault="004A1489" w:rsidP="00995D95">
      <w:pPr>
        <w:tabs>
          <w:tab w:val="clear" w:pos="720"/>
        </w:tabs>
        <w:spacing w:line="360" w:lineRule="auto"/>
        <w:ind w:left="-720" w:right="-720" w:firstLine="720"/>
      </w:pPr>
      <w:r>
        <w:t>On June 21, State Farm filed a demurrer and a motion to strike.  The demurrer argued that both cause</w:t>
      </w:r>
      <w:r>
        <w:t>s of action failed to state a claim, the first, for false advertising, because “Plaintiff’s claim is time-barred under her insurance policy and Plaintiff fails to satisfy the reasonable consumer standard required to assert claims regarding State Farm’s all</w:t>
      </w:r>
      <w:r>
        <w:t xml:space="preserve">eged representations,” and the second, for violation of the UCL, because “Plaintiff’s claim is time-barred under her insurance policy.” </w:t>
      </w:r>
    </w:p>
    <w:p w14:paraId="7E657C26" w14:textId="77777777" w:rsidR="00410262" w:rsidRDefault="004A1489" w:rsidP="00995D95">
      <w:pPr>
        <w:tabs>
          <w:tab w:val="clear" w:pos="720"/>
        </w:tabs>
        <w:spacing w:line="360" w:lineRule="auto"/>
        <w:ind w:left="-720" w:right="-720" w:firstLine="720"/>
      </w:pPr>
      <w:r>
        <w:t xml:space="preserve">On July 19, plaintiff filed her opposition to the demurrer.  The opposition was a total of eight pages, only the first </w:t>
      </w:r>
      <w:r>
        <w:t>five of which dealt with the issue here.</w:t>
      </w:r>
      <w:r>
        <w:rPr>
          <w:rStyle w:val="FootnoteReference"/>
        </w:rPr>
        <w:footnoteReference w:id="5"/>
      </w:r>
      <w:r>
        <w:t xml:space="preserve">  Plaintiff’s opposition argued that the applicable limitations period was four years under Business and Professions Code section 17208, and that plaintiff could not be held to have waived the four-year limitation </w:t>
      </w:r>
      <w:r>
        <w:t xml:space="preserve">provision, in the course of which plaintiff attempted to distinguish a case State Farm had cited, </w:t>
      </w:r>
      <w:r>
        <w:rPr>
          <w:i/>
          <w:iCs/>
        </w:rPr>
        <w:t xml:space="preserve">Sullivan v. Allstate Ins. Co. </w:t>
      </w:r>
      <w:r>
        <w:t>(C.D. Cal. 1997) 964 </w:t>
      </w:r>
      <w:proofErr w:type="spellStart"/>
      <w:r>
        <w:t>F.Supp</w:t>
      </w:r>
      <w:proofErr w:type="spellEnd"/>
      <w:r>
        <w:t>. 1407 (</w:t>
      </w:r>
      <w:r>
        <w:rPr>
          <w:i/>
          <w:iCs/>
        </w:rPr>
        <w:t>Sullivan</w:t>
      </w:r>
      <w:r>
        <w:t>).  Plaintiff’s opposition then turned to the issue of waiver, which acknowledged tha</w:t>
      </w:r>
      <w:r>
        <w:t xml:space="preserve">t “There is superficial appeal to the [State Farm] arguments, given the language of the cases State Farm cites.” And the opposition went on to acknowledge several cases holding against plaintiff, which cases were based on language in </w:t>
      </w:r>
      <w:r>
        <w:rPr>
          <w:i/>
          <w:iCs/>
        </w:rPr>
        <w:t>Prudential-</w:t>
      </w:r>
      <w:proofErr w:type="spellStart"/>
      <w:r>
        <w:rPr>
          <w:i/>
          <w:iCs/>
        </w:rPr>
        <w:t>LMI</w:t>
      </w:r>
      <w:proofErr w:type="spellEnd"/>
      <w:r>
        <w:rPr>
          <w:i/>
          <w:iCs/>
        </w:rPr>
        <w:t xml:space="preserve"> Com. In</w:t>
      </w:r>
      <w:r>
        <w:rPr>
          <w:i/>
          <w:iCs/>
        </w:rPr>
        <w:t>s. v. Superior Court</w:t>
      </w:r>
      <w:r>
        <w:t xml:space="preserve"> (1990) 51 Cal.3d 674 (</w:t>
      </w:r>
      <w:r>
        <w:rPr>
          <w:i/>
          <w:iCs/>
        </w:rPr>
        <w:t>Prudential</w:t>
      </w:r>
      <w:r>
        <w:t xml:space="preserve">) stating that “conduct by the insurer after the limitation period has run . . . cannot, as a matter of law, amount to a </w:t>
      </w:r>
      <w:r>
        <w:lastRenderedPageBreak/>
        <w:t>waiver or estoppel,” (</w:t>
      </w:r>
      <w:r>
        <w:rPr>
          <w:i/>
          <w:iCs/>
        </w:rPr>
        <w:t>Prudential</w:t>
      </w:r>
      <w:r>
        <w:t xml:space="preserve">, </w:t>
      </w:r>
      <w:r>
        <w:rPr>
          <w:i/>
          <w:iCs/>
        </w:rPr>
        <w:t>supra</w:t>
      </w:r>
      <w:r>
        <w:t xml:space="preserve">, 51 Cal.3d at p. 690, fn. 5), going on to </w:t>
      </w:r>
      <w:r>
        <w:t xml:space="preserve">essentially argue that the language did not mean what it said.  </w:t>
      </w:r>
    </w:p>
    <w:p w14:paraId="1658A80E" w14:textId="77777777" w:rsidR="007B22AD" w:rsidRDefault="004A1489" w:rsidP="00995D95">
      <w:pPr>
        <w:tabs>
          <w:tab w:val="clear" w:pos="720"/>
        </w:tabs>
        <w:spacing w:line="360" w:lineRule="auto"/>
        <w:ind w:left="-720" w:right="-720" w:firstLine="720"/>
      </w:pPr>
      <w:r w:rsidRPr="00FC75BF">
        <w:t>State Farm filed a reply, and the demurrer came on for hearing on July</w:t>
      </w:r>
      <w:r>
        <w:t> </w:t>
      </w:r>
      <w:r w:rsidRPr="00FC75BF">
        <w:t xml:space="preserve">26, prior to which Judge </w:t>
      </w:r>
      <w:proofErr w:type="spellStart"/>
      <w:r w:rsidRPr="00FC75BF">
        <w:t>Massullo</w:t>
      </w:r>
      <w:proofErr w:type="spellEnd"/>
      <w:r w:rsidRPr="00FC75BF">
        <w:t xml:space="preserve"> had issued a tentative ruling in favor of State Farm.  </w:t>
      </w:r>
      <w:r>
        <w:t>The hearing began with Mr. Rose</w:t>
      </w:r>
      <w:r>
        <w:t xml:space="preserve">nberg-Wohl stating that plaintiff was abandoning </w:t>
      </w:r>
      <w:r w:rsidRPr="00FC75BF">
        <w:t xml:space="preserve">the false advertising claim. </w:t>
      </w:r>
      <w:r>
        <w:t xml:space="preserve"> He then said, “there are three issues he wished to address,” the first two of which involved the limitation provision, the third waiver</w:t>
      </w:r>
      <w:r>
        <w:rPr>
          <w:i/>
          <w:iCs/>
        </w:rPr>
        <w:t xml:space="preserve">. </w:t>
      </w:r>
      <w:r>
        <w:t xml:space="preserve"> He did, counsel for State Farm responde</w:t>
      </w:r>
      <w:r>
        <w:t xml:space="preserve">d, and at the conclusion of the hearing Judge </w:t>
      </w:r>
      <w:proofErr w:type="spellStart"/>
      <w:r>
        <w:t>Massullo</w:t>
      </w:r>
      <w:proofErr w:type="spellEnd"/>
      <w:r>
        <w:t xml:space="preserve"> took the matter under submission. </w:t>
      </w:r>
    </w:p>
    <w:p w14:paraId="6233EA70" w14:textId="77777777" w:rsidR="00517C5F" w:rsidRDefault="004A1489" w:rsidP="00995D95">
      <w:pPr>
        <w:tabs>
          <w:tab w:val="clear" w:pos="720"/>
        </w:tabs>
        <w:spacing w:line="360" w:lineRule="auto"/>
        <w:ind w:left="-720" w:right="-720" w:firstLine="720"/>
      </w:pPr>
      <w:r>
        <w:t xml:space="preserve">On July 29, Judge </w:t>
      </w:r>
      <w:proofErr w:type="spellStart"/>
      <w:r>
        <w:t>Massullo</w:t>
      </w:r>
      <w:proofErr w:type="spellEnd"/>
      <w:r>
        <w:t xml:space="preserve"> entered her order sustaining the demurrer without leave to amend, a comprehensive order indeed, eight pages of thoughtful analysis.  Follow</w:t>
      </w:r>
      <w:r>
        <w:t xml:space="preserve">ing an exposition of the background,” she set forth her “discussion and analysis,” essentially concluding as follows:  </w:t>
      </w:r>
    </w:p>
    <w:p w14:paraId="7CB5C438" w14:textId="77777777" w:rsidR="00325D7A" w:rsidRDefault="004A1489" w:rsidP="00995D95">
      <w:pPr>
        <w:tabs>
          <w:tab w:val="clear" w:pos="720"/>
        </w:tabs>
        <w:spacing w:line="360" w:lineRule="auto"/>
        <w:ind w:left="-720" w:right="-720" w:firstLine="720"/>
      </w:pPr>
      <w:r>
        <w:t>“[T]he limitation period in the contract applies to all of plaintiff’s claims, including her claim for unfair practices, false advertisi</w:t>
      </w:r>
      <w:r>
        <w:t xml:space="preserve">ng, and injunctive relief because the essence of the relief sought relates to the denial of her claim.  California cases interpreting one-year limitations provisions have made clear that the one-year provision bars both contract and tort actions not filed </w:t>
      </w:r>
      <w:r>
        <w:t xml:space="preserve">within that period, </w:t>
      </w:r>
      <w:proofErr w:type="gramStart"/>
      <w:r>
        <w:t>as long as</w:t>
      </w:r>
      <w:proofErr w:type="gramEnd"/>
      <w:r>
        <w:t xml:space="preserve"> the claim for relief is ‘on the policy,’ meaning that it seeks to recover policy benefits </w:t>
      </w:r>
      <w:r>
        <w:rPr>
          <w:i/>
          <w:iCs/>
        </w:rPr>
        <w:t>or</w:t>
      </w:r>
      <w:r>
        <w:t xml:space="preserve"> </w:t>
      </w:r>
      <w:r>
        <w:rPr>
          <w:i/>
          <w:iCs/>
        </w:rPr>
        <w:t>is grounded upon a failure to pay policy benefits</w:t>
      </w:r>
      <w:r>
        <w:t>.  [Citations.]</w:t>
      </w:r>
    </w:p>
    <w:p w14:paraId="64358A02" w14:textId="77777777" w:rsidR="000F1F2A" w:rsidRPr="00CD4F14" w:rsidRDefault="004A1489" w:rsidP="00C129CC">
      <w:pPr>
        <w:tabs>
          <w:tab w:val="clear" w:pos="720"/>
        </w:tabs>
        <w:spacing w:line="360" w:lineRule="auto"/>
        <w:ind w:left="-720" w:right="-720" w:firstLine="720"/>
      </w:pPr>
      <w:r>
        <w:t>“To be sure, Plaintiff here does not seek to recover policy benefit</w:t>
      </w:r>
      <w:r>
        <w:t>s.  But the Court is persuaded that Plaintiff’s claims are nonetheless ‘on the policy’ because they are ‘grounded upon [State Farm’s] failure to pay policy benefits.’  Plaintiff’s initial claim on the policy, State Farm’s denial, and Plaintiff’s subsequent</w:t>
      </w:r>
      <w:r>
        <w:t xml:space="preserve"> claim for relief are all inextricably intertwined.  The gravamen of </w:t>
      </w:r>
      <w:r>
        <w:lastRenderedPageBreak/>
        <w:t>Plaintiff’s claim is that State Farm has a process of adjudication wherein it ‘summarily’ denies claims without investigating or providing a precise basis for its denials, ‘</w:t>
      </w:r>
      <w:proofErr w:type="spellStart"/>
      <w:r>
        <w:t>depriv</w:t>
      </w:r>
      <w:proofErr w:type="spellEnd"/>
      <w:r>
        <w:t>[</w:t>
      </w:r>
      <w:proofErr w:type="spellStart"/>
      <w:r>
        <w:t>ing</w:t>
      </w:r>
      <w:proofErr w:type="spellEnd"/>
      <w:r>
        <w:t>] Pl</w:t>
      </w:r>
      <w:r>
        <w:t>aintiff of any reasonable opportunity to question or challenge the basis of the denial.’  [Citations.]  Though Plaintiff seeks equitable relief in the form of an injunction, [citation], as opposed to damages (i.e., policy benefits), the essence of the reli</w:t>
      </w:r>
      <w:r>
        <w:t xml:space="preserve">ef sought relates to the denial of her claim.”  (Fn. omitted.)  And, she added, “All of the alleged acts which form the basis of Plaintiff’s claims occurred during the claim handling process.  [Citations.]”  Finally, Judge </w:t>
      </w:r>
      <w:proofErr w:type="spellStart"/>
      <w:r>
        <w:t>Massullo</w:t>
      </w:r>
      <w:proofErr w:type="spellEnd"/>
      <w:r>
        <w:t xml:space="preserve"> held that State Farm had</w:t>
      </w:r>
      <w:r>
        <w:t xml:space="preserve"> not waived the limitation provision. </w:t>
      </w:r>
    </w:p>
    <w:p w14:paraId="74FC5DB1" w14:textId="77777777" w:rsidR="00D50D83" w:rsidRDefault="004A1489" w:rsidP="00995D95">
      <w:pPr>
        <w:tabs>
          <w:tab w:val="clear" w:pos="720"/>
        </w:tabs>
        <w:spacing w:line="360" w:lineRule="auto"/>
        <w:ind w:left="-720" w:right="-720" w:firstLine="720"/>
      </w:pPr>
      <w:r>
        <w:t xml:space="preserve">Judgment was entered for State Farm, from which plaintiff filed her appeal. </w:t>
      </w:r>
    </w:p>
    <w:p w14:paraId="10A34FE2" w14:textId="77777777" w:rsidR="00033F22" w:rsidRDefault="004A1489" w:rsidP="00AF6D59">
      <w:pPr>
        <w:tabs>
          <w:tab w:val="clear" w:pos="720"/>
        </w:tabs>
        <w:spacing w:line="360" w:lineRule="auto"/>
        <w:ind w:left="-720" w:right="-720"/>
        <w:jc w:val="center"/>
      </w:pPr>
      <w:r>
        <w:rPr>
          <w:b/>
          <w:bCs/>
        </w:rPr>
        <w:t>DISCUSSION</w:t>
      </w:r>
    </w:p>
    <w:p w14:paraId="643C38E3" w14:textId="77777777" w:rsidR="00033F22" w:rsidRDefault="004A1489" w:rsidP="00033F22">
      <w:pPr>
        <w:tabs>
          <w:tab w:val="clear" w:pos="720"/>
        </w:tabs>
        <w:spacing w:line="360" w:lineRule="auto"/>
        <w:ind w:left="-720" w:right="-720" w:firstLine="720"/>
      </w:pPr>
      <w:r>
        <w:rPr>
          <w:b/>
          <w:bCs/>
        </w:rPr>
        <w:t>The One-Year Suit Provision</w:t>
      </w:r>
    </w:p>
    <w:p w14:paraId="755F479C" w14:textId="77777777" w:rsidR="004D71DE" w:rsidRDefault="004A1489" w:rsidP="00033F22">
      <w:pPr>
        <w:tabs>
          <w:tab w:val="clear" w:pos="720"/>
        </w:tabs>
        <w:spacing w:line="360" w:lineRule="auto"/>
        <w:ind w:left="-720" w:right="-720" w:firstLine="720"/>
      </w:pPr>
      <w:r>
        <w:t>The one-year limitation provision in the State Farm policy is there because “[b]y statute . . . insurance policies providing fire insurance on California property must include the standard form provisions contained in [Insurance Code section] 2071 or provi</w:t>
      </w:r>
      <w:r>
        <w:t>sions that are at least their substantial equivalent.”  (</w:t>
      </w:r>
      <w:proofErr w:type="spellStart"/>
      <w:r>
        <w:t>Croskey</w:t>
      </w:r>
      <w:proofErr w:type="spellEnd"/>
      <w:r>
        <w:t xml:space="preserve"> et al., Cal. Practice Guide:  Insurance Litigation (The Rutter Group 2022) ¶ 6:254.)  The standard form provisions required by this statute include one entitled “Suit,” which states</w:t>
      </w:r>
      <w:proofErr w:type="gramStart"/>
      <w:r>
        <w:t>:  “</w:t>
      </w:r>
      <w:proofErr w:type="gramEnd"/>
      <w:r>
        <w:t>No sui</w:t>
      </w:r>
      <w:r>
        <w:t xml:space="preserve">t or action on this policy for the recovery of any claim shall be sustainable in any court of law or equity unless all the requirements of this policy shall have been complied with, and unless commenced within 12 months next after inception of the loss.”  </w:t>
      </w:r>
      <w:r>
        <w:t xml:space="preserve">(Ins. Code, § 2071.)  And such one-year limitation provisions have long been held valid, as we ourselves noted in </w:t>
      </w:r>
      <w:r>
        <w:rPr>
          <w:i/>
          <w:iCs/>
        </w:rPr>
        <w:t xml:space="preserve">Jang v. State Farm Fire &amp; Casualty </w:t>
      </w:r>
      <w:r>
        <w:rPr>
          <w:i/>
          <w:iCs/>
        </w:rPr>
        <w:lastRenderedPageBreak/>
        <w:t xml:space="preserve">Co. </w:t>
      </w:r>
      <w:r>
        <w:t>(2000) 80 Cal.App.4th 1291, 1296 (</w:t>
      </w:r>
      <w:r>
        <w:rPr>
          <w:i/>
          <w:iCs/>
        </w:rPr>
        <w:t>Jang</w:t>
      </w:r>
      <w:r>
        <w:t xml:space="preserve">), quoting </w:t>
      </w:r>
      <w:r>
        <w:rPr>
          <w:i/>
          <w:iCs/>
        </w:rPr>
        <w:t xml:space="preserve">C &amp; H Foods Co. v. Hartford Ins. Co. </w:t>
      </w:r>
      <w:r>
        <w:t>(1984) 163 Cal.Ap</w:t>
      </w:r>
      <w:r>
        <w:t xml:space="preserve">p.3d 1055, 1064.) </w:t>
      </w:r>
    </w:p>
    <w:p w14:paraId="634B2222" w14:textId="77777777" w:rsidR="00081708" w:rsidRPr="00081708" w:rsidRDefault="004A1489" w:rsidP="00033F22">
      <w:pPr>
        <w:tabs>
          <w:tab w:val="clear" w:pos="720"/>
        </w:tabs>
        <w:spacing w:line="360" w:lineRule="auto"/>
        <w:ind w:left="-720" w:right="-720" w:firstLine="720"/>
        <w:rPr>
          <w:b/>
          <w:bCs/>
        </w:rPr>
      </w:pPr>
      <w:r>
        <w:rPr>
          <w:b/>
          <w:bCs/>
        </w:rPr>
        <w:t>The Law of Demurrers</w:t>
      </w:r>
    </w:p>
    <w:p w14:paraId="546952EF" w14:textId="77777777" w:rsidR="00E912F6" w:rsidRPr="002A091D" w:rsidRDefault="004A1489" w:rsidP="00703D1E">
      <w:pPr>
        <w:tabs>
          <w:tab w:val="clear" w:pos="720"/>
        </w:tabs>
        <w:spacing w:line="360" w:lineRule="auto"/>
        <w:ind w:left="-720" w:right="-720" w:firstLine="720"/>
      </w:pPr>
      <w:r>
        <w:t xml:space="preserve">As to the law on demurrers in this setting, our colleagues in Division Four recently confirmed the applicable principles, in </w:t>
      </w:r>
      <w:r>
        <w:rPr>
          <w:i/>
          <w:iCs/>
        </w:rPr>
        <w:t xml:space="preserve">Raja Development Co., Inc. v. Napa Sanitary Dist. </w:t>
      </w:r>
      <w:r>
        <w:t>(2022) 85 Cal.App.5th 85, 91</w:t>
      </w:r>
      <w:r>
        <w:rPr>
          <w:rFonts w:ascii="Symbol" w:hAnsi="Symbol"/>
        </w:rPr>
        <w:sym w:font="Symbol" w:char="F02D"/>
      </w:r>
      <w:r>
        <w:t>92</w:t>
      </w:r>
      <w:proofErr w:type="gramStart"/>
      <w:r>
        <w:t>:  “</w:t>
      </w:r>
      <w:proofErr w:type="gramEnd"/>
      <w:r>
        <w:t xml:space="preserve"> ‘This appeal follows the sustaining of a demu</w:t>
      </w:r>
      <w:r>
        <w:t xml:space="preserve">rrer.  The application of the statute of limitations on undisputed facts is a purely legal question [citation]; accordingly, we review the lower courts’ rulings de novo.  We must take the allegations of the operative complaint as true and consider whether </w:t>
      </w:r>
      <w:r>
        <w:t>the facts alleged establish [plaintiffs’] claim is barred as a matter of law.’  [Citation.] . . .  [</w:t>
      </w:r>
      <w:proofErr w:type="gramStart"/>
      <w:r>
        <w:t>¶]  ‘</w:t>
      </w:r>
      <w:proofErr w:type="gramEnd"/>
      <w:r>
        <w:t>To determine the statute of limitations which applies to a cause of action it is necessary to identify the nature of the cause of action, i.e., the “gr</w:t>
      </w:r>
      <w:r>
        <w:t xml:space="preserve">avamen” of the cause of action.’  [Citation.]  </w:t>
      </w:r>
      <w:proofErr w:type="gramStart"/>
      <w:r>
        <w:t>‘ “</w:t>
      </w:r>
      <w:proofErr w:type="gramEnd"/>
      <w:r>
        <w:t>[T]he nature of the right sued upon and not the form of action nor the relief demanded determines the applicability of the statute of limitations under our code.” ’  [Citation.]  ‘What is significant for st</w:t>
      </w:r>
      <w:r>
        <w:t>atute of limitations purposes is the primary interest invaded by defendant’s wrongful conduct.</w:t>
      </w:r>
      <w:proofErr w:type="gramStart"/>
      <w:r>
        <w:t>’ ”</w:t>
      </w:r>
      <w:proofErr w:type="gramEnd"/>
      <w:r>
        <w:t xml:space="preserve">  (See also </w:t>
      </w:r>
      <w:r>
        <w:rPr>
          <w:i/>
          <w:iCs/>
        </w:rPr>
        <w:t xml:space="preserve">Fox v. Ethicon Endo-Surgery, Inc. </w:t>
      </w:r>
      <w:r>
        <w:t>(2005) 35 Cal.4th 797, 810</w:t>
      </w:r>
      <w:r>
        <w:rPr>
          <w:rFonts w:ascii="Symbol" w:hAnsi="Symbol"/>
        </w:rPr>
        <w:sym w:font="Symbol" w:char="F02D"/>
      </w:r>
      <w:r>
        <w:t xml:space="preserve">811; </w:t>
      </w:r>
      <w:r>
        <w:rPr>
          <w:i/>
          <w:iCs/>
        </w:rPr>
        <w:t xml:space="preserve">Honig v. San Francisco Planning Dept. </w:t>
      </w:r>
      <w:r>
        <w:t>(2005) 127 Cal.App.4th 520, 526.)</w:t>
      </w:r>
    </w:p>
    <w:p w14:paraId="679F79D5" w14:textId="77777777" w:rsidR="001C3076" w:rsidRDefault="004A1489" w:rsidP="00ED5B68">
      <w:pPr>
        <w:tabs>
          <w:tab w:val="clear" w:pos="720"/>
        </w:tabs>
        <w:spacing w:after="120" w:line="240" w:lineRule="auto"/>
        <w:ind w:right="-720"/>
        <w:rPr>
          <w:b/>
          <w:bCs/>
        </w:rPr>
      </w:pPr>
      <w:r>
        <w:rPr>
          <w:b/>
          <w:bCs/>
        </w:rPr>
        <w:t>The UCL C</w:t>
      </w:r>
      <w:r>
        <w:rPr>
          <w:b/>
          <w:bCs/>
        </w:rPr>
        <w:t>laim is Time-Barred</w:t>
      </w:r>
    </w:p>
    <w:p w14:paraId="6C11C681" w14:textId="77777777" w:rsidR="00D923BD" w:rsidRPr="00D923BD" w:rsidRDefault="004A1489" w:rsidP="00ED5B68">
      <w:pPr>
        <w:tabs>
          <w:tab w:val="clear" w:pos="720"/>
        </w:tabs>
        <w:spacing w:after="120" w:line="240" w:lineRule="auto"/>
        <w:ind w:right="-720"/>
        <w:rPr>
          <w:b/>
          <w:bCs/>
        </w:rPr>
      </w:pPr>
      <w:r>
        <w:rPr>
          <w:b/>
          <w:bCs/>
        </w:rPr>
        <w:t>Introduction</w:t>
      </w:r>
    </w:p>
    <w:p w14:paraId="00F932CF" w14:textId="77777777" w:rsidR="00D34DC6" w:rsidRDefault="004A1489" w:rsidP="00703D1E">
      <w:pPr>
        <w:tabs>
          <w:tab w:val="clear" w:pos="720"/>
        </w:tabs>
        <w:spacing w:line="360" w:lineRule="auto"/>
        <w:ind w:left="-720" w:right="-720" w:firstLine="720"/>
      </w:pPr>
      <w:r>
        <w:t xml:space="preserve">Plaintiff’s first argument is that Judge </w:t>
      </w:r>
      <w:proofErr w:type="spellStart"/>
      <w:r>
        <w:t>Massullo</w:t>
      </w:r>
      <w:proofErr w:type="spellEnd"/>
      <w:r>
        <w:t xml:space="preserve"> erred because the four-year statute of limitations governs.  The argument is brief indeed, less than five pages long, included within which is plaintiff’s recognition that “</w:t>
      </w:r>
      <w:r>
        <w:t xml:space="preserve">there is . . . no doubt that an insured cannot plead around the one-year limitations provision by labeling her cause of action something different than breach of contract,” citing to </w:t>
      </w:r>
      <w:r>
        <w:rPr>
          <w:i/>
          <w:iCs/>
        </w:rPr>
        <w:t>Jang</w:t>
      </w:r>
      <w:r>
        <w:t xml:space="preserve">, </w:t>
      </w:r>
      <w:r>
        <w:rPr>
          <w:i/>
          <w:iCs/>
        </w:rPr>
        <w:t>supra</w:t>
      </w:r>
      <w:r>
        <w:t xml:space="preserve">, 80 Cal.App.4th at p. 1301, </w:t>
      </w:r>
      <w:r>
        <w:rPr>
          <w:i/>
          <w:iCs/>
        </w:rPr>
        <w:lastRenderedPageBreak/>
        <w:t>Velasquez v. Truck Ins. Exchange</w:t>
      </w:r>
      <w:r>
        <w:t xml:space="preserve"> </w:t>
      </w:r>
      <w:r>
        <w:t>(1991) 1 Cal.App.4th 712, 722 (</w:t>
      </w:r>
      <w:r>
        <w:rPr>
          <w:i/>
          <w:iCs/>
        </w:rPr>
        <w:t>Velasquez</w:t>
      </w:r>
      <w:r>
        <w:t xml:space="preserve">), and </w:t>
      </w:r>
      <w:r w:rsidRPr="000D2D9F">
        <w:rPr>
          <w:i/>
          <w:iCs/>
        </w:rPr>
        <w:t>Sullivan</w:t>
      </w:r>
      <w:r>
        <w:t xml:space="preserve">, </w:t>
      </w:r>
      <w:r w:rsidRPr="000D2D9F">
        <w:rPr>
          <w:i/>
          <w:iCs/>
        </w:rPr>
        <w:t>supra</w:t>
      </w:r>
      <w:r>
        <w:t xml:space="preserve">, </w:t>
      </w:r>
      <w:r w:rsidRPr="000D2D9F">
        <w:t>964</w:t>
      </w:r>
      <w:r>
        <w:t> </w:t>
      </w:r>
      <w:proofErr w:type="spellStart"/>
      <w:r>
        <w:t>F.Supp</w:t>
      </w:r>
      <w:proofErr w:type="spellEnd"/>
      <w:r>
        <w:t>. at pages 1414</w:t>
      </w:r>
      <w:r>
        <w:rPr>
          <w:rFonts w:ascii="Symbol" w:hAnsi="Symbol"/>
        </w:rPr>
        <w:sym w:font="Symbol" w:char="F02D"/>
      </w:r>
      <w:r>
        <w:t>1415.  After that acknowledgement—perhaps concession is more apt—plaintiff continues with this</w:t>
      </w:r>
      <w:proofErr w:type="gramStart"/>
      <w:r>
        <w:t>:  “</w:t>
      </w:r>
      <w:proofErr w:type="gramEnd"/>
      <w:r>
        <w:t>But where damages are not sought but rather the relief sought is cha</w:t>
      </w:r>
      <w:r>
        <w:t xml:space="preserve">nge of an unfair policy that affects not just the insured but the public at large, the insurer’s policy promise to the insured is not at issue,” citing to </w:t>
      </w:r>
      <w:r>
        <w:rPr>
          <w:i/>
          <w:iCs/>
        </w:rPr>
        <w:t xml:space="preserve">20th Century Ins. Co. v. Superior Court </w:t>
      </w:r>
      <w:r>
        <w:t>(2001) 90 Cal.App.4th 1247, 1280</w:t>
      </w:r>
      <w:r>
        <w:rPr>
          <w:rFonts w:ascii="Symbol" w:hAnsi="Symbol"/>
        </w:rPr>
        <w:sym w:font="Symbol" w:char="F02D"/>
      </w:r>
      <w:r>
        <w:t>1281 (</w:t>
      </w:r>
      <w:r>
        <w:rPr>
          <w:i/>
          <w:iCs/>
        </w:rPr>
        <w:t>20th Century</w:t>
      </w:r>
      <w:r>
        <w:t xml:space="preserve">).  </w:t>
      </w:r>
    </w:p>
    <w:p w14:paraId="731EF10F" w14:textId="77777777" w:rsidR="008434B4" w:rsidRDefault="004A1489" w:rsidP="00703D1E">
      <w:pPr>
        <w:tabs>
          <w:tab w:val="clear" w:pos="720"/>
        </w:tabs>
        <w:spacing w:line="360" w:lineRule="auto"/>
        <w:ind w:left="-720" w:right="-720" w:firstLine="720"/>
      </w:pPr>
      <w:r>
        <w:t>Plain</w:t>
      </w:r>
      <w:r>
        <w:t>tiff’s brief makes another concession, that “Simply alleging a claim under the UCL, of course, is no different from one alleging breach of the covenant of good faith and fair dealing or any other claim in which the point is to recover money for breach of c</w:t>
      </w:r>
      <w:r>
        <w:t>ontract.  [Citations.]”  And plaintiff’s argument concludes with this</w:t>
      </w:r>
      <w:proofErr w:type="gramStart"/>
      <w:r>
        <w:t>:  “</w:t>
      </w:r>
      <w:proofErr w:type="gramEnd"/>
      <w:r>
        <w:t>But here the UCL claim about practice and procedure is not a contract claim—the conduct is unfair even though it is not required under the policy, and it is unfair regardless of wheth</w:t>
      </w:r>
      <w:r>
        <w:t>er it leads to payment under the policy or no.”  And plaintiff asserts, she seeks “only injunctive relief . . . and that is why the four-year UCL statutory period applies,” going on to cite five cases in claimed support.</w:t>
      </w:r>
    </w:p>
    <w:p w14:paraId="0512BFB2" w14:textId="77777777" w:rsidR="00492CD8" w:rsidRDefault="004A1489" w:rsidP="00703D1E">
      <w:pPr>
        <w:tabs>
          <w:tab w:val="clear" w:pos="720"/>
        </w:tabs>
        <w:spacing w:line="360" w:lineRule="auto"/>
        <w:ind w:left="-720" w:right="-720" w:firstLine="720"/>
      </w:pPr>
      <w:r>
        <w:t>Plaintiff is wrong.  And the few ca</w:t>
      </w:r>
      <w:r>
        <w:t xml:space="preserve">ses cited, all without discussion, do not avail her.  </w:t>
      </w:r>
    </w:p>
    <w:p w14:paraId="3B50B641" w14:textId="77777777" w:rsidR="00AD56B8" w:rsidRPr="00AD56B8" w:rsidRDefault="004A1489" w:rsidP="00703D1E">
      <w:pPr>
        <w:tabs>
          <w:tab w:val="clear" w:pos="720"/>
        </w:tabs>
        <w:spacing w:line="360" w:lineRule="auto"/>
        <w:ind w:left="-720" w:right="-720" w:firstLine="720"/>
        <w:rPr>
          <w:b/>
          <w:bCs/>
        </w:rPr>
      </w:pPr>
      <w:r>
        <w:rPr>
          <w:b/>
          <w:bCs/>
        </w:rPr>
        <w:t>The One-Year Policy Limitation Provision Applies</w:t>
      </w:r>
    </w:p>
    <w:p w14:paraId="226CA3FF" w14:textId="77777777" w:rsidR="0070751D" w:rsidRDefault="004A1489" w:rsidP="00703D1E">
      <w:pPr>
        <w:tabs>
          <w:tab w:val="clear" w:pos="720"/>
        </w:tabs>
        <w:spacing w:line="360" w:lineRule="auto"/>
        <w:ind w:left="-720" w:right="-720" w:firstLine="720"/>
      </w:pPr>
      <w:r>
        <w:t>As quoted, the limitation provision in the State Farm policy states that “no action” shall be brought, language different from that in the standard policy, which refers to a “suit or action on the policy.”  However, State Farm does not assert that the poli</w:t>
      </w:r>
      <w:r>
        <w:t xml:space="preserve">cy limitation provision must be construed according to its literal terms; indeed, at oral argument, counsel for State Farm conceded that her client does not read the provision “more broadly” </w:t>
      </w:r>
      <w:r>
        <w:lastRenderedPageBreak/>
        <w:t>than the standard provision.  Rather, State Farm asserts “the Leg</w:t>
      </w:r>
      <w:r>
        <w:t xml:space="preserve">islature has expressly endorsed” the provision under Insurance Code section </w:t>
      </w:r>
      <w:proofErr w:type="gramStart"/>
      <w:r>
        <w:t>2071, and</w:t>
      </w:r>
      <w:proofErr w:type="gramEnd"/>
      <w:r>
        <w:t xml:space="preserve"> argues that because the allegations here all concern how it handled plaintiff’s claim, the suit is subject to the policy limitation period under applicable law.  We agree</w:t>
      </w:r>
      <w:r>
        <w:t xml:space="preserve">.  </w:t>
      </w:r>
    </w:p>
    <w:p w14:paraId="3CDC32F2" w14:textId="77777777" w:rsidR="009A6B1B" w:rsidRPr="00741D97" w:rsidRDefault="004A1489" w:rsidP="00703D1E">
      <w:pPr>
        <w:tabs>
          <w:tab w:val="clear" w:pos="720"/>
        </w:tabs>
        <w:spacing w:line="360" w:lineRule="auto"/>
        <w:ind w:left="-720" w:right="-720" w:firstLine="720"/>
      </w:pPr>
      <w:r>
        <w:t>We begin with the observation that, as our Supreme Court has put it, there, in the context of the issue of accrual</w:t>
      </w:r>
      <w:proofErr w:type="gramStart"/>
      <w:r>
        <w:t>:  “</w:t>
      </w:r>
      <w:proofErr w:type="gramEnd"/>
      <w:r>
        <w:t>[t]hat a cause of action is labeled a UCL claim is not dispositive; instead, ‘the nature of the right sued upon’ [citation] and the ci</w:t>
      </w:r>
      <w:r>
        <w:t>rcumstances [underlying] its invocation control . . . . ”  (</w:t>
      </w:r>
      <w:r>
        <w:rPr>
          <w:i/>
          <w:iCs/>
        </w:rPr>
        <w:t xml:space="preserve">Aryeh v. Canon Business Solutions, Inc. </w:t>
      </w:r>
      <w:r>
        <w:t>(2013) 55 Cal.4th 1185, 1196.)  Or, as the court put it a few pages later, we “look not to the claim’s label as a UCL claim but to the nature of the obligat</w:t>
      </w:r>
      <w:r>
        <w:t>ion allegedly breached.”  (</w:t>
      </w:r>
      <w:r>
        <w:rPr>
          <w:i/>
          <w:iCs/>
        </w:rPr>
        <w:t>Id.</w:t>
      </w:r>
      <w:r>
        <w:t>, at p. 1200.)</w:t>
      </w:r>
    </w:p>
    <w:p w14:paraId="669B486D" w14:textId="77777777" w:rsidR="000B5202" w:rsidRDefault="004A1489" w:rsidP="00703D1E">
      <w:pPr>
        <w:tabs>
          <w:tab w:val="clear" w:pos="720"/>
        </w:tabs>
        <w:spacing w:line="360" w:lineRule="auto"/>
        <w:ind w:left="-720" w:right="-720" w:firstLine="720"/>
      </w:pPr>
      <w:r>
        <w:t>The alleged acts that form the basis of plaintiff’s UCL claim occurred during the claim handling process, including, for example, State Farm’s alleged failure “to investigate all claims made in good faith and re</w:t>
      </w:r>
      <w:r>
        <w:t>asonable manner,” its purportedly faulty “claims adjudication process,” and its decision to deny coverage in purported violation of the policy.  In plaintiff’s own allegation, the new claim is on “State Farm’s claims adjudication process.”  In short, the c</w:t>
      </w:r>
      <w:r>
        <w:t>rux, the gravamen, of plaintiff’s claim arises out of the contractual relationship.  It is within the one-year limitation provision.</w:t>
      </w:r>
    </w:p>
    <w:p w14:paraId="6E36679E" w14:textId="77777777" w:rsidR="000A7B65" w:rsidRDefault="004A1489" w:rsidP="008B0F1C">
      <w:pPr>
        <w:tabs>
          <w:tab w:val="clear" w:pos="720"/>
        </w:tabs>
        <w:spacing w:line="360" w:lineRule="auto"/>
        <w:ind w:left="-720" w:right="-720" w:firstLine="720"/>
      </w:pPr>
      <w:r>
        <w:rPr>
          <w:i/>
          <w:iCs/>
        </w:rPr>
        <w:t>Jang</w:t>
      </w:r>
      <w:r>
        <w:t xml:space="preserve">, </w:t>
      </w:r>
      <w:r>
        <w:rPr>
          <w:i/>
          <w:iCs/>
        </w:rPr>
        <w:t>supra</w:t>
      </w:r>
      <w:r>
        <w:t>, 80 Cal.App.4th 1291, involved litigation arising from fire damage to a building and a resulting insurance sett</w:t>
      </w:r>
      <w:r>
        <w:t xml:space="preserve">lement in arbitration between the insurer and the insureds, the </w:t>
      </w:r>
      <w:proofErr w:type="spellStart"/>
      <w:r>
        <w:t>Stoniches</w:t>
      </w:r>
      <w:proofErr w:type="spellEnd"/>
      <w:r>
        <w:t>.  A mortgage holder that had foreclosed on the property, which was a loss payee under the original property owner’s policy, cross-complained against the insurer, alleging civil consp</w:t>
      </w:r>
      <w:r>
        <w:t xml:space="preserve">iracy and bad faith in the </w:t>
      </w:r>
      <w:proofErr w:type="gramStart"/>
      <w:r>
        <w:t>manner in which</w:t>
      </w:r>
      <w:proofErr w:type="gramEnd"/>
      <w:r>
        <w:t xml:space="preserve"> the arbitration settlement </w:t>
      </w:r>
      <w:r>
        <w:lastRenderedPageBreak/>
        <w:t>was reached.  The trial court granted summary judgment for the insurer, finding that the cross-action was an action on the policy and therefore time-barred by the one-year limitation per</w:t>
      </w:r>
      <w:r>
        <w:t xml:space="preserve">iod in the policy.  The mortgage holder appealed.  </w:t>
      </w:r>
    </w:p>
    <w:p w14:paraId="3832196D" w14:textId="77777777" w:rsidR="003A2164" w:rsidRDefault="004A1489" w:rsidP="008B0F1C">
      <w:pPr>
        <w:tabs>
          <w:tab w:val="clear" w:pos="720"/>
        </w:tabs>
        <w:spacing w:line="360" w:lineRule="auto"/>
        <w:ind w:left="-720" w:right="-720" w:firstLine="720"/>
      </w:pPr>
      <w:r>
        <w:t xml:space="preserve">We affirmed.  Doing so, we discussed at length numerous cases, including many of those cited by the parties here, after all of which we made our “analysis” and our conclusion, as follows:  </w:t>
      </w:r>
    </w:p>
    <w:p w14:paraId="75063C57" w14:textId="77777777" w:rsidR="004F093B" w:rsidRDefault="004A1489" w:rsidP="008B0F1C">
      <w:pPr>
        <w:tabs>
          <w:tab w:val="clear" w:pos="720"/>
        </w:tabs>
        <w:spacing w:line="360" w:lineRule="auto"/>
        <w:ind w:left="-720" w:right="-720" w:firstLine="720"/>
        <w:rPr>
          <w:color w:val="212121"/>
        </w:rPr>
      </w:pPr>
      <w:r>
        <w:rPr>
          <w:color w:val="212121"/>
        </w:rPr>
        <w:t>“</w:t>
      </w:r>
      <w:r w:rsidRPr="004B7D72">
        <w:rPr>
          <w:color w:val="212121"/>
        </w:rPr>
        <w:t>Here, appella</w:t>
      </w:r>
      <w:r w:rsidRPr="004B7D72">
        <w:rPr>
          <w:color w:val="212121"/>
        </w:rPr>
        <w:t>nt</w:t>
      </w:r>
      <w:r>
        <w:rPr>
          <w:color w:val="212121"/>
        </w:rPr>
        <w:t>’</w:t>
      </w:r>
      <w:r w:rsidRPr="004B7D72">
        <w:rPr>
          <w:color w:val="212121"/>
        </w:rPr>
        <w:t>s cross-complaint includes causes of action for civil conspiracy and insurance bad faith based on respondent</w:t>
      </w:r>
      <w:r>
        <w:rPr>
          <w:color w:val="212121"/>
        </w:rPr>
        <w:t>’</w:t>
      </w:r>
      <w:r w:rsidRPr="004B7D72">
        <w:rPr>
          <w:color w:val="212121"/>
        </w:rPr>
        <w:t>s participation in the June 10, 1996 arbitration agreement</w:t>
      </w:r>
      <w:proofErr w:type="gramStart"/>
      <w:r w:rsidRPr="004B7D72">
        <w:rPr>
          <w:color w:val="212121"/>
        </w:rPr>
        <w:t xml:space="preserve">. </w:t>
      </w:r>
      <w:r>
        <w:rPr>
          <w:color w:val="212121"/>
        </w:rPr>
        <w:t>. . .</w:t>
      </w:r>
      <w:proofErr w:type="gramEnd"/>
      <w:r>
        <w:rPr>
          <w:color w:val="212121"/>
        </w:rPr>
        <w:t xml:space="preserve">  [¶]  </w:t>
      </w:r>
      <w:r w:rsidRPr="004B7D72">
        <w:rPr>
          <w:color w:val="212121"/>
        </w:rPr>
        <w:t xml:space="preserve">The bad faith claim alleged respondent </w:t>
      </w:r>
      <w:r>
        <w:rPr>
          <w:color w:val="212121"/>
        </w:rPr>
        <w:t>‘</w:t>
      </w:r>
      <w:r w:rsidRPr="004B7D72">
        <w:rPr>
          <w:color w:val="212121"/>
        </w:rPr>
        <w:t xml:space="preserve">was aware that the </w:t>
      </w:r>
      <w:proofErr w:type="spellStart"/>
      <w:r w:rsidRPr="004B7D72">
        <w:rPr>
          <w:color w:val="212121"/>
        </w:rPr>
        <w:t>Stoniches</w:t>
      </w:r>
      <w:proofErr w:type="spellEnd"/>
      <w:r w:rsidRPr="004B7D72">
        <w:rPr>
          <w:color w:val="212121"/>
        </w:rPr>
        <w:t xml:space="preserve"> wer</w:t>
      </w:r>
      <w:r w:rsidRPr="004B7D72">
        <w:rPr>
          <w:color w:val="212121"/>
        </w:rPr>
        <w:t>e not entitled to any sum from the insurance</w:t>
      </w:r>
      <w:r>
        <w:rPr>
          <w:color w:val="212121"/>
        </w:rPr>
        <w:t xml:space="preserve"> </w:t>
      </w:r>
      <w:r w:rsidRPr="004B7D72">
        <w:rPr>
          <w:color w:val="212121"/>
        </w:rPr>
        <w:t>proceeds because of other</w:t>
      </w:r>
      <w:r>
        <w:rPr>
          <w:color w:val="212121"/>
        </w:rPr>
        <w:t xml:space="preserve"> </w:t>
      </w:r>
      <w:r w:rsidRPr="004B7D72">
        <w:rPr>
          <w:color w:val="212121"/>
        </w:rPr>
        <w:t>loss payees</w:t>
      </w:r>
      <w:r>
        <w:rPr>
          <w:color w:val="212121"/>
        </w:rPr>
        <w:t xml:space="preserve"> </w:t>
      </w:r>
      <w:r w:rsidRPr="004B7D72">
        <w:rPr>
          <w:color w:val="212121"/>
        </w:rPr>
        <w:t xml:space="preserve">under the insurance policy[,] yet [respondent] with the purpose of minimizing its costs agreed to and did proceed to arbitration solely with the </w:t>
      </w:r>
      <w:proofErr w:type="spellStart"/>
      <w:r w:rsidRPr="004B7D72">
        <w:rPr>
          <w:color w:val="212121"/>
        </w:rPr>
        <w:t>Stoniches</w:t>
      </w:r>
      <w:proofErr w:type="spellEnd"/>
      <w:r w:rsidRPr="004B7D72">
        <w:rPr>
          <w:color w:val="212121"/>
        </w:rPr>
        <w:t xml:space="preserve"> in violation of [r</w:t>
      </w:r>
      <w:r w:rsidRPr="004B7D72">
        <w:rPr>
          <w:color w:val="212121"/>
        </w:rPr>
        <w:t>espondent</w:t>
      </w:r>
      <w:r>
        <w:rPr>
          <w:color w:val="212121"/>
        </w:rPr>
        <w:t>’</w:t>
      </w:r>
      <w:r w:rsidRPr="004B7D72">
        <w:rPr>
          <w:color w:val="212121"/>
        </w:rPr>
        <w:t xml:space="preserve">s] duty of good faith and fair dealing with regard to the insurance policy and the loss payees who were express beneficiaries of the contract as additional insureds. </w:t>
      </w:r>
      <w:r>
        <w:rPr>
          <w:color w:val="212121"/>
        </w:rPr>
        <w:t xml:space="preserve"> </w:t>
      </w:r>
      <w:r w:rsidRPr="004B7D72">
        <w:rPr>
          <w:color w:val="212121"/>
        </w:rPr>
        <w:t>[Respondent] thereby deprived said insured of benefits pursuant to the policy w</w:t>
      </w:r>
      <w:r w:rsidRPr="004B7D72">
        <w:rPr>
          <w:color w:val="212121"/>
        </w:rPr>
        <w:t>ithout proper cause and derogated [appellant</w:t>
      </w:r>
      <w:r>
        <w:rPr>
          <w:color w:val="212121"/>
        </w:rPr>
        <w:t>’</w:t>
      </w:r>
      <w:r w:rsidRPr="004B7D72">
        <w:rPr>
          <w:color w:val="212121"/>
        </w:rPr>
        <w:t>s] rights under the policy.</w:t>
      </w:r>
      <w:r>
        <w:rPr>
          <w:color w:val="212121"/>
        </w:rPr>
        <w:t>’</w:t>
      </w:r>
    </w:p>
    <w:p w14:paraId="0B45DC55" w14:textId="77777777" w:rsidR="004F093B" w:rsidRDefault="004A1489" w:rsidP="00D3449A">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color w:val="212121"/>
          <w:sz w:val="26"/>
          <w:szCs w:val="26"/>
        </w:rPr>
      </w:pPr>
      <w:r>
        <w:rPr>
          <w:rFonts w:ascii="Century Schoolbook" w:hAnsi="Century Schoolbook"/>
          <w:color w:val="212121"/>
          <w:sz w:val="26"/>
          <w:szCs w:val="26"/>
        </w:rPr>
        <w:t>“</w:t>
      </w:r>
      <w:r w:rsidRPr="004B7D72">
        <w:rPr>
          <w:rFonts w:ascii="Century Schoolbook" w:hAnsi="Century Schoolbook"/>
          <w:color w:val="212121"/>
          <w:sz w:val="26"/>
          <w:szCs w:val="26"/>
        </w:rPr>
        <w:t>Our review of the allegations of appellant</w:t>
      </w:r>
      <w:r>
        <w:rPr>
          <w:rFonts w:ascii="Century Schoolbook" w:hAnsi="Century Schoolbook"/>
          <w:color w:val="212121"/>
          <w:sz w:val="26"/>
          <w:szCs w:val="26"/>
        </w:rPr>
        <w:t>’</w:t>
      </w:r>
      <w:r w:rsidRPr="004B7D72">
        <w:rPr>
          <w:rFonts w:ascii="Century Schoolbook" w:hAnsi="Century Schoolbook"/>
          <w:color w:val="212121"/>
          <w:sz w:val="26"/>
          <w:szCs w:val="26"/>
        </w:rPr>
        <w:t>s cross-complaint reveals that the crux of her action is her claim that the arbitration agreement was structured so that she was denied pa</w:t>
      </w:r>
      <w:r w:rsidRPr="004B7D72">
        <w:rPr>
          <w:rFonts w:ascii="Century Schoolbook" w:hAnsi="Century Schoolbook"/>
          <w:color w:val="212121"/>
          <w:sz w:val="26"/>
          <w:szCs w:val="26"/>
        </w:rPr>
        <w:t xml:space="preserve">yment of insurance proceeds allegedly due to her under the policy. </w:t>
      </w:r>
      <w:r>
        <w:rPr>
          <w:rFonts w:ascii="Century Schoolbook" w:hAnsi="Century Schoolbook"/>
          <w:color w:val="212121"/>
          <w:sz w:val="26"/>
          <w:szCs w:val="26"/>
        </w:rPr>
        <w:t xml:space="preserve"> </w:t>
      </w:r>
      <w:r w:rsidRPr="004B7D72">
        <w:rPr>
          <w:rFonts w:ascii="Century Schoolbook" w:hAnsi="Century Schoolbook"/>
          <w:color w:val="212121"/>
          <w:sz w:val="26"/>
          <w:szCs w:val="26"/>
        </w:rPr>
        <w:t>Because the cross-complaint sought damages recoverable under the policy for a risk insured under the policy, we agree with the trial court that the cross-complaint is an action under the p</w:t>
      </w:r>
      <w:r w:rsidRPr="004B7D72">
        <w:rPr>
          <w:rFonts w:ascii="Century Schoolbook" w:hAnsi="Century Schoolbook"/>
          <w:color w:val="212121"/>
          <w:sz w:val="26"/>
          <w:szCs w:val="26"/>
        </w:rPr>
        <w:t>olicy.</w:t>
      </w:r>
      <w:r>
        <w:rPr>
          <w:rFonts w:ascii="Century Schoolbook" w:hAnsi="Century Schoolbook"/>
          <w:color w:val="212121"/>
          <w:sz w:val="26"/>
          <w:szCs w:val="26"/>
        </w:rPr>
        <w:t>”  (</w:t>
      </w:r>
      <w:r>
        <w:rPr>
          <w:rFonts w:ascii="Century Schoolbook" w:hAnsi="Century Schoolbook"/>
          <w:i/>
          <w:iCs/>
          <w:color w:val="212121"/>
          <w:sz w:val="26"/>
          <w:szCs w:val="26"/>
        </w:rPr>
        <w:t>Jang</w:t>
      </w:r>
      <w:r>
        <w:rPr>
          <w:rFonts w:ascii="Century Schoolbook" w:hAnsi="Century Schoolbook"/>
          <w:color w:val="212121"/>
          <w:sz w:val="26"/>
          <w:szCs w:val="26"/>
        </w:rPr>
        <w:t xml:space="preserve">, </w:t>
      </w:r>
      <w:r>
        <w:rPr>
          <w:rFonts w:ascii="Century Schoolbook" w:hAnsi="Century Schoolbook"/>
          <w:i/>
          <w:iCs/>
          <w:color w:val="212121"/>
          <w:sz w:val="26"/>
          <w:szCs w:val="26"/>
        </w:rPr>
        <w:t>supra</w:t>
      </w:r>
      <w:r>
        <w:rPr>
          <w:rFonts w:ascii="Century Schoolbook" w:hAnsi="Century Schoolbook"/>
          <w:color w:val="212121"/>
          <w:sz w:val="26"/>
          <w:szCs w:val="26"/>
        </w:rPr>
        <w:t>, 80 Cal.App.4th at pp. 1302</w:t>
      </w:r>
      <w:r>
        <w:rPr>
          <w:rFonts w:ascii="Symbol" w:hAnsi="Symbol"/>
          <w:color w:val="212121"/>
          <w:sz w:val="26"/>
          <w:szCs w:val="26"/>
        </w:rPr>
        <w:sym w:font="Symbol" w:char="F02D"/>
      </w:r>
      <w:r>
        <w:rPr>
          <w:rFonts w:ascii="Century Schoolbook" w:hAnsi="Century Schoolbook"/>
          <w:color w:val="212121"/>
          <w:sz w:val="26"/>
          <w:szCs w:val="26"/>
        </w:rPr>
        <w:t>1303.)</w:t>
      </w:r>
    </w:p>
    <w:p w14:paraId="12224CC6" w14:textId="77777777" w:rsidR="009A22E9" w:rsidRPr="00BB2A29" w:rsidRDefault="004A1489" w:rsidP="009A22E9">
      <w:pPr>
        <w:spacing w:line="360" w:lineRule="auto"/>
        <w:ind w:left="-720" w:right="-720" w:firstLine="720"/>
      </w:pPr>
      <w:r>
        <w:rPr>
          <w:i/>
          <w:iCs/>
          <w:color w:val="212121"/>
        </w:rPr>
        <w:lastRenderedPageBreak/>
        <w:t xml:space="preserve">Lawrence v. Western Mutual Ins. Co. </w:t>
      </w:r>
      <w:r>
        <w:rPr>
          <w:color w:val="212121"/>
        </w:rPr>
        <w:t>(1988) 204 Cal.App.3d 565 (</w:t>
      </w:r>
      <w:r w:rsidRPr="007A5BA2">
        <w:rPr>
          <w:i/>
          <w:iCs/>
          <w:color w:val="212121"/>
        </w:rPr>
        <w:t>Lawrence</w:t>
      </w:r>
      <w:r>
        <w:rPr>
          <w:color w:val="212121"/>
        </w:rPr>
        <w:t xml:space="preserve">) </w:t>
      </w:r>
      <w:r w:rsidRPr="007A5BA2">
        <w:rPr>
          <w:color w:val="212121"/>
        </w:rPr>
        <w:t>involved</w:t>
      </w:r>
      <w:r>
        <w:rPr>
          <w:color w:val="212121"/>
        </w:rPr>
        <w:t xml:space="preserve"> Lawrence’s claims under an all-risk policy for losses resulting from subsidence, </w:t>
      </w:r>
      <w:proofErr w:type="gramStart"/>
      <w:r>
        <w:rPr>
          <w:color w:val="212121"/>
        </w:rPr>
        <w:t>and also</w:t>
      </w:r>
      <w:proofErr w:type="gramEnd"/>
      <w:r>
        <w:rPr>
          <w:color w:val="212121"/>
        </w:rPr>
        <w:t xml:space="preserve"> for bad faith consisting of misrepresentations concerning the scope of coverage.  (</w:t>
      </w:r>
      <w:r>
        <w:rPr>
          <w:i/>
          <w:iCs/>
          <w:color w:val="212121"/>
        </w:rPr>
        <w:t>Lawrence</w:t>
      </w:r>
      <w:r>
        <w:rPr>
          <w:color w:val="212121"/>
        </w:rPr>
        <w:t>, at pp. 573</w:t>
      </w:r>
      <w:r>
        <w:rPr>
          <w:rFonts w:ascii="Symbol" w:hAnsi="Symbol"/>
          <w:color w:val="212121"/>
        </w:rPr>
        <w:sym w:font="Symbol" w:char="F02D"/>
      </w:r>
      <w:r>
        <w:rPr>
          <w:color w:val="212121"/>
        </w:rPr>
        <w:t xml:space="preserve">574.)  The Court of Appeal affirmed the summary judgment for </w:t>
      </w:r>
      <w:r>
        <w:rPr>
          <w:color w:val="212121"/>
        </w:rPr>
        <w:t>the insurer on the basis that the claim was “fundamentally a claim on the policy” and thus subject to the policy limitations provision (</w:t>
      </w:r>
      <w:r w:rsidRPr="00AF6D59">
        <w:rPr>
          <w:i/>
          <w:color w:val="212121"/>
        </w:rPr>
        <w:t>i</w:t>
      </w:r>
      <w:r>
        <w:rPr>
          <w:i/>
          <w:iCs/>
          <w:color w:val="212121"/>
        </w:rPr>
        <w:t>d.</w:t>
      </w:r>
      <w:r>
        <w:rPr>
          <w:color w:val="212121"/>
        </w:rPr>
        <w:t xml:space="preserve">, at p. 575), concluding as follows:  </w:t>
      </w:r>
      <w:r>
        <w:rPr>
          <w:color w:val="212121"/>
          <w:sz w:val="27"/>
          <w:szCs w:val="27"/>
          <w:shd w:val="clear" w:color="auto" w:fill="FFFFFF"/>
        </w:rPr>
        <w:t>“</w:t>
      </w:r>
      <w:r w:rsidRPr="00187073">
        <w:rPr>
          <w:color w:val="212121"/>
          <w:sz w:val="27"/>
          <w:szCs w:val="27"/>
          <w:shd w:val="clear" w:color="auto" w:fill="FFFFFF"/>
        </w:rPr>
        <w:t>Finally, the one-year commencement of suit provision also precludes Lawrence f</w:t>
      </w:r>
      <w:r w:rsidRPr="00187073">
        <w:rPr>
          <w:color w:val="212121"/>
          <w:sz w:val="27"/>
          <w:szCs w:val="27"/>
          <w:shd w:val="clear" w:color="auto" w:fill="FFFFFF"/>
        </w:rPr>
        <w:t>rom recovery on the cause of action for alleged tortious bad faith</w:t>
      </w:r>
      <w:r>
        <w:rPr>
          <w:color w:val="212121"/>
          <w:sz w:val="27"/>
          <w:szCs w:val="27"/>
          <w:shd w:val="clear" w:color="auto" w:fill="FFFFFF"/>
        </w:rPr>
        <w:t xml:space="preserve"> </w:t>
      </w:r>
      <w:r w:rsidRPr="00187073">
        <w:rPr>
          <w:color w:val="212121"/>
          <w:sz w:val="27"/>
          <w:szCs w:val="27"/>
          <w:shd w:val="clear" w:color="auto" w:fill="FFFFFF"/>
        </w:rPr>
        <w:t>in handling his claim because of purported misrepresentations in the policy concerning coverage.</w:t>
      </w:r>
      <w:r>
        <w:rPr>
          <w:color w:val="212121"/>
          <w:sz w:val="27"/>
          <w:szCs w:val="27"/>
          <w:shd w:val="clear" w:color="auto" w:fill="FFFFFF"/>
        </w:rPr>
        <w:t xml:space="preserve">  </w:t>
      </w:r>
      <w:r w:rsidRPr="00187073">
        <w:rPr>
          <w:color w:val="212121"/>
          <w:sz w:val="27"/>
          <w:szCs w:val="27"/>
          <w:shd w:val="clear" w:color="auto" w:fill="FFFFFF"/>
        </w:rPr>
        <w:t>Claims arising out of the contractual relationship are subject to the contractual limitatio</w:t>
      </w:r>
      <w:r w:rsidRPr="00187073">
        <w:rPr>
          <w:color w:val="212121"/>
          <w:sz w:val="27"/>
          <w:szCs w:val="27"/>
          <w:shd w:val="clear" w:color="auto" w:fill="FFFFFF"/>
        </w:rPr>
        <w:t>ns period contained in the insurance policy.</w:t>
      </w:r>
      <w:r>
        <w:rPr>
          <w:color w:val="212121"/>
          <w:sz w:val="27"/>
          <w:szCs w:val="27"/>
          <w:shd w:val="clear" w:color="auto" w:fill="FFFFFF"/>
        </w:rPr>
        <w:t>”  (</w:t>
      </w:r>
      <w:r>
        <w:rPr>
          <w:i/>
          <w:iCs/>
          <w:color w:val="212121"/>
          <w:sz w:val="27"/>
          <w:szCs w:val="27"/>
          <w:shd w:val="clear" w:color="auto" w:fill="FFFFFF"/>
        </w:rPr>
        <w:t>Id</w:t>
      </w:r>
      <w:r>
        <w:rPr>
          <w:color w:val="212121"/>
          <w:sz w:val="27"/>
          <w:szCs w:val="27"/>
          <w:shd w:val="clear" w:color="auto" w:fill="FFFFFF"/>
        </w:rPr>
        <w:t>., at pp. 574</w:t>
      </w:r>
      <w:r>
        <w:rPr>
          <w:rFonts w:ascii="Symbol" w:hAnsi="Symbol"/>
          <w:color w:val="212121"/>
          <w:sz w:val="27"/>
          <w:szCs w:val="27"/>
          <w:shd w:val="clear" w:color="auto" w:fill="FFFFFF"/>
        </w:rPr>
        <w:sym w:font="Symbol" w:char="F02D"/>
      </w:r>
      <w:r>
        <w:rPr>
          <w:color w:val="212121"/>
          <w:sz w:val="27"/>
          <w:szCs w:val="27"/>
          <w:shd w:val="clear" w:color="auto" w:fill="FFFFFF"/>
        </w:rPr>
        <w:t>575.)</w:t>
      </w:r>
    </w:p>
    <w:p w14:paraId="48E7FBA1" w14:textId="77777777" w:rsidR="00B060F9" w:rsidRDefault="004A1489" w:rsidP="000A0349">
      <w:pPr>
        <w:spacing w:line="360" w:lineRule="auto"/>
        <w:ind w:left="-720" w:right="-720" w:firstLine="720"/>
      </w:pPr>
      <w:r>
        <w:rPr>
          <w:i/>
          <w:iCs/>
        </w:rPr>
        <w:t>Sullivan</w:t>
      </w:r>
      <w:r>
        <w:t xml:space="preserve">, </w:t>
      </w:r>
      <w:r>
        <w:rPr>
          <w:i/>
          <w:iCs/>
        </w:rPr>
        <w:t>supra</w:t>
      </w:r>
      <w:r>
        <w:t>, 964 </w:t>
      </w:r>
      <w:proofErr w:type="spellStart"/>
      <w:r>
        <w:t>F.Supp</w:t>
      </w:r>
      <w:proofErr w:type="spellEnd"/>
      <w:r>
        <w:t xml:space="preserve">. 1407, involved claims for breach of policy, bad faith, and infliction of emotional distress.  The court held that the claim was one on the policy, which </w:t>
      </w:r>
      <w:r>
        <w:t>included actions “grounded upon a failure to pay policy benefits.”  And the court added, “one-year limitations provisions have been broadly applied to both contract and tort actions, including claims based on allegations relating to the handling of a claim</w:t>
      </w:r>
      <w:r>
        <w:t xml:space="preserve"> or the manner in which it was investigated, adjusted, or processed.”  (</w:t>
      </w:r>
      <w:r>
        <w:rPr>
          <w:i/>
          <w:iCs/>
        </w:rPr>
        <w:t>Id.</w:t>
      </w:r>
      <w:r>
        <w:t>, at pp. 1414</w:t>
      </w:r>
      <w:r>
        <w:rPr>
          <w:rFonts w:ascii="Symbol" w:hAnsi="Symbol"/>
        </w:rPr>
        <w:sym w:font="Symbol" w:char="F02D"/>
      </w:r>
      <w:r>
        <w:t xml:space="preserve">1415, citing </w:t>
      </w:r>
      <w:r>
        <w:rPr>
          <w:i/>
          <w:iCs/>
        </w:rPr>
        <w:t>Velasquez</w:t>
      </w:r>
      <w:r>
        <w:t xml:space="preserve">, </w:t>
      </w:r>
      <w:r w:rsidRPr="00306122">
        <w:rPr>
          <w:i/>
          <w:iCs/>
        </w:rPr>
        <w:t>supra</w:t>
      </w:r>
      <w:r>
        <w:t xml:space="preserve">, </w:t>
      </w:r>
      <w:r w:rsidRPr="00306122">
        <w:t>1</w:t>
      </w:r>
      <w:r>
        <w:t xml:space="preserve"> Cal.App.4th at p. 721.)  </w:t>
      </w:r>
    </w:p>
    <w:p w14:paraId="06AD3612" w14:textId="77777777" w:rsidR="00F0560B" w:rsidRDefault="004A1489" w:rsidP="000A0349">
      <w:pPr>
        <w:spacing w:line="360" w:lineRule="auto"/>
        <w:ind w:left="-720" w:right="-720" w:firstLine="720"/>
      </w:pPr>
      <w:r w:rsidRPr="00DD18DC">
        <w:t xml:space="preserve">And </w:t>
      </w:r>
      <w:r>
        <w:t xml:space="preserve">as </w:t>
      </w:r>
      <w:r w:rsidRPr="00DD18DC">
        <w:rPr>
          <w:i/>
          <w:iCs/>
        </w:rPr>
        <w:t xml:space="preserve">Velasquez </w:t>
      </w:r>
      <w:r w:rsidRPr="00DD18DC">
        <w:t>itself noted, after surveying Califor</w:t>
      </w:r>
      <w:r>
        <w:t xml:space="preserve">nia law, “where [a] bad faith action is based on allegations relating to the handling of a claim or the </w:t>
      </w:r>
      <w:proofErr w:type="gramStart"/>
      <w:r>
        <w:t>manner in which</w:t>
      </w:r>
      <w:proofErr w:type="gramEnd"/>
      <w:r>
        <w:t xml:space="preserve"> it is processed, it is an action ‘on the policy’ and, therefore, subject to the limitations bar.”  </w:t>
      </w:r>
      <w:r w:rsidRPr="00DF429D">
        <w:t>(</w:t>
      </w:r>
      <w:r w:rsidRPr="00DF429D">
        <w:rPr>
          <w:i/>
          <w:iCs/>
        </w:rPr>
        <w:t>Velasquez</w:t>
      </w:r>
      <w:r w:rsidRPr="00DF429D">
        <w:t xml:space="preserve">, </w:t>
      </w:r>
      <w:r w:rsidRPr="00DF429D">
        <w:rPr>
          <w:i/>
          <w:iCs/>
        </w:rPr>
        <w:t>supra</w:t>
      </w:r>
      <w:r w:rsidRPr="00DF429D">
        <w:t>, 1 Cal.App.4th at p</w:t>
      </w:r>
      <w:r>
        <w:t>. 719.)</w:t>
      </w:r>
    </w:p>
    <w:p w14:paraId="3DFFF734" w14:textId="77777777" w:rsidR="00E7360D" w:rsidRDefault="004A1489" w:rsidP="00D3449A">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sz w:val="26"/>
          <w:szCs w:val="26"/>
        </w:rPr>
      </w:pPr>
      <w:proofErr w:type="spellStart"/>
      <w:r>
        <w:rPr>
          <w:rFonts w:ascii="Century Schoolbook" w:hAnsi="Century Schoolbook"/>
          <w:i/>
          <w:iCs/>
          <w:sz w:val="26"/>
          <w:szCs w:val="26"/>
        </w:rPr>
        <w:lastRenderedPageBreak/>
        <w:t>Abari</w:t>
      </w:r>
      <w:proofErr w:type="spellEnd"/>
      <w:r>
        <w:rPr>
          <w:rFonts w:ascii="Century Schoolbook" w:hAnsi="Century Schoolbook"/>
          <w:i/>
          <w:iCs/>
          <w:sz w:val="26"/>
          <w:szCs w:val="26"/>
        </w:rPr>
        <w:t xml:space="preserve"> v. State Farm Fire &amp; Casualty Co. </w:t>
      </w:r>
      <w:r>
        <w:rPr>
          <w:rFonts w:ascii="Century Schoolbook" w:hAnsi="Century Schoolbook"/>
          <w:sz w:val="26"/>
          <w:szCs w:val="26"/>
        </w:rPr>
        <w:t>(1988) 205 Cal.App.3d 530 (</w:t>
      </w:r>
      <w:proofErr w:type="spellStart"/>
      <w:r>
        <w:rPr>
          <w:rFonts w:ascii="Century Schoolbook" w:hAnsi="Century Schoolbook"/>
          <w:i/>
          <w:iCs/>
          <w:sz w:val="26"/>
          <w:szCs w:val="26"/>
        </w:rPr>
        <w:t>Abari</w:t>
      </w:r>
      <w:proofErr w:type="spellEnd"/>
      <w:r>
        <w:rPr>
          <w:rFonts w:ascii="Century Schoolbook" w:hAnsi="Century Schoolbook"/>
          <w:sz w:val="26"/>
          <w:szCs w:val="26"/>
        </w:rPr>
        <w:t>) involved a complaint alleging nine causes of action:  for breach of the policy, bad faith, and seven other claims.</w:t>
      </w:r>
      <w:r>
        <w:rPr>
          <w:rStyle w:val="FootnoteReference"/>
          <w:rFonts w:ascii="Century Schoolbook" w:hAnsi="Century Schoolbook"/>
          <w:sz w:val="26"/>
          <w:szCs w:val="26"/>
        </w:rPr>
        <w:footnoteReference w:id="6"/>
      </w:r>
      <w:r>
        <w:rPr>
          <w:rFonts w:ascii="Century Schoolbook" w:hAnsi="Century Schoolbook"/>
          <w:sz w:val="26"/>
          <w:szCs w:val="26"/>
        </w:rPr>
        <w:t xml:space="preserve">  Affirming summary judgment for the insurer, Presiding Ju</w:t>
      </w:r>
      <w:r>
        <w:rPr>
          <w:rFonts w:ascii="Century Schoolbook" w:hAnsi="Century Schoolbook"/>
          <w:sz w:val="26"/>
          <w:szCs w:val="26"/>
        </w:rPr>
        <w:t xml:space="preserve">stice Klein held that the “unfair practices </w:t>
      </w:r>
      <w:proofErr w:type="gramStart"/>
      <w:r>
        <w:rPr>
          <w:rFonts w:ascii="Century Schoolbook" w:hAnsi="Century Schoolbook"/>
          <w:sz w:val="26"/>
          <w:szCs w:val="26"/>
        </w:rPr>
        <w:t>claims</w:t>
      </w:r>
      <w:proofErr w:type="gramEnd"/>
      <w:r>
        <w:rPr>
          <w:rFonts w:ascii="Century Schoolbook" w:hAnsi="Century Schoolbook"/>
          <w:sz w:val="26"/>
          <w:szCs w:val="26"/>
        </w:rPr>
        <w:t>” were “a transparent attempt to recover on the policy.”  (</w:t>
      </w:r>
      <w:proofErr w:type="spellStart"/>
      <w:r>
        <w:rPr>
          <w:rFonts w:ascii="Century Schoolbook" w:hAnsi="Century Schoolbook"/>
          <w:i/>
          <w:iCs/>
          <w:sz w:val="26"/>
          <w:szCs w:val="26"/>
        </w:rPr>
        <w:t>Abari</w:t>
      </w:r>
      <w:proofErr w:type="spellEnd"/>
      <w:r>
        <w:rPr>
          <w:rFonts w:ascii="Century Schoolbook" w:hAnsi="Century Schoolbook"/>
          <w:sz w:val="26"/>
          <w:szCs w:val="26"/>
        </w:rPr>
        <w:t xml:space="preserve">, </w:t>
      </w:r>
      <w:r>
        <w:rPr>
          <w:rFonts w:ascii="Century Schoolbook" w:hAnsi="Century Schoolbook"/>
          <w:i/>
          <w:iCs/>
          <w:sz w:val="26"/>
          <w:szCs w:val="26"/>
        </w:rPr>
        <w:t>supra</w:t>
      </w:r>
      <w:r>
        <w:rPr>
          <w:rFonts w:ascii="Century Schoolbook" w:hAnsi="Century Schoolbook"/>
          <w:sz w:val="26"/>
          <w:szCs w:val="26"/>
        </w:rPr>
        <w:t>,</w:t>
      </w:r>
      <w:r>
        <w:rPr>
          <w:rFonts w:ascii="Century Schoolbook" w:hAnsi="Century Schoolbook"/>
          <w:i/>
          <w:iCs/>
          <w:sz w:val="26"/>
          <w:szCs w:val="26"/>
        </w:rPr>
        <w:t xml:space="preserve"> </w:t>
      </w:r>
      <w:r w:rsidRPr="00712112">
        <w:rPr>
          <w:rFonts w:ascii="Century Schoolbook" w:hAnsi="Century Schoolbook"/>
          <w:sz w:val="26"/>
          <w:szCs w:val="26"/>
        </w:rPr>
        <w:t>205</w:t>
      </w:r>
      <w:r>
        <w:rPr>
          <w:rFonts w:ascii="Century Schoolbook" w:hAnsi="Century Schoolbook"/>
          <w:sz w:val="26"/>
          <w:szCs w:val="26"/>
        </w:rPr>
        <w:t> </w:t>
      </w:r>
      <w:r w:rsidRPr="00712112">
        <w:rPr>
          <w:rFonts w:ascii="Century Schoolbook" w:hAnsi="Century Schoolbook"/>
          <w:sz w:val="26"/>
          <w:szCs w:val="26"/>
        </w:rPr>
        <w:t>Cal</w:t>
      </w:r>
      <w:r>
        <w:rPr>
          <w:rFonts w:ascii="Century Schoolbook" w:hAnsi="Century Schoolbook"/>
          <w:sz w:val="26"/>
          <w:szCs w:val="26"/>
        </w:rPr>
        <w:t>.App.3d at p. 536.)</w:t>
      </w:r>
    </w:p>
    <w:p w14:paraId="1FBB553E" w14:textId="77777777" w:rsidR="00DC6302" w:rsidRDefault="004A1489" w:rsidP="00DC6302">
      <w:pPr>
        <w:shd w:val="clear" w:color="auto" w:fill="FFFFFF"/>
        <w:spacing w:line="360" w:lineRule="auto"/>
        <w:ind w:left="-720" w:right="-720" w:firstLine="720"/>
        <w:textAlignment w:val="baseline"/>
      </w:pPr>
      <w:r>
        <w:rPr>
          <w:i/>
          <w:iCs/>
        </w:rPr>
        <w:t>Keller v. Federal Insurance Co.</w:t>
      </w:r>
      <w:r>
        <w:t xml:space="preserve"> (</w:t>
      </w:r>
      <w:proofErr w:type="spellStart"/>
      <w:r>
        <w:t>C.D.Cal</w:t>
      </w:r>
      <w:proofErr w:type="spellEnd"/>
      <w:r>
        <w:t xml:space="preserve">., Feb. 13, 2017, No. </w:t>
      </w:r>
      <w:r w:rsidRPr="007A5BA2">
        <w:t>CV 16-3946-GW(</w:t>
      </w:r>
      <w:proofErr w:type="spellStart"/>
      <w:r w:rsidRPr="007A5BA2">
        <w:t>PJWx</w:t>
      </w:r>
      <w:proofErr w:type="spellEnd"/>
      <w:r w:rsidRPr="007A5BA2">
        <w:t>)</w:t>
      </w:r>
      <w:r>
        <w:t>) 2017 U.S. Dist. LEXIS 2</w:t>
      </w:r>
      <w:r>
        <w:t>0820,</w:t>
      </w:r>
      <w:r w:rsidRPr="00816AE5">
        <w:t xml:space="preserve"> </w:t>
      </w:r>
      <w:r>
        <w:t xml:space="preserve">granted summary judgment for the insurer, holding that all seven of the insured’s claims were time-barred by the one-year limitations provision:  </w:t>
      </w:r>
      <w:r>
        <w:rPr>
          <w:rFonts w:eastAsia="Times New Roman" w:cs="Times New Roman"/>
          <w:color w:val="3D3D3D"/>
        </w:rPr>
        <w:t>“</w:t>
      </w:r>
      <w:r w:rsidRPr="008D7101">
        <w:rPr>
          <w:rFonts w:eastAsia="Times New Roman" w:cs="Times New Roman"/>
          <w:color w:val="3D3D3D"/>
        </w:rPr>
        <w:t>The remaining causes of action consist of tortious breach of the covenant of good faith and fair dealin</w:t>
      </w:r>
      <w:r w:rsidRPr="008D7101">
        <w:rPr>
          <w:rFonts w:eastAsia="Times New Roman" w:cs="Times New Roman"/>
          <w:color w:val="3D3D3D"/>
        </w:rPr>
        <w:t>g; tortious interference with insurance contract; violation of </w:t>
      </w:r>
      <w:r w:rsidRPr="008D7101">
        <w:rPr>
          <w:rFonts w:eastAsia="Times New Roman" w:cs="Times New Roman"/>
          <w:bdr w:val="none" w:sz="0" w:space="0" w:color="auto" w:frame="1"/>
        </w:rPr>
        <w:t xml:space="preserve">California Business &amp; Professions Code </w:t>
      </w:r>
      <w:r>
        <w:rPr>
          <w:rFonts w:eastAsia="Times New Roman" w:cs="Times New Roman"/>
          <w:bdr w:val="none" w:sz="0" w:space="0" w:color="auto" w:frame="1"/>
        </w:rPr>
        <w:t>section</w:t>
      </w:r>
      <w:r w:rsidRPr="008D7101">
        <w:rPr>
          <w:rFonts w:eastAsia="Times New Roman" w:cs="Times New Roman"/>
          <w:bdr w:val="none" w:sz="0" w:space="0" w:color="auto" w:frame="1"/>
        </w:rPr>
        <w:t xml:space="preserve"> 17200</w:t>
      </w:r>
      <w:r w:rsidRPr="008D7101">
        <w:rPr>
          <w:rFonts w:eastAsia="Times New Roman" w:cs="Times New Roman"/>
          <w:color w:val="3D3D3D"/>
        </w:rPr>
        <w:t>; negligence; and declaratory relief.</w:t>
      </w:r>
      <w:r>
        <w:rPr>
          <w:rFonts w:eastAsia="Times New Roman" w:cs="Times New Roman"/>
          <w:color w:val="3D3D3D"/>
        </w:rPr>
        <w:t xml:space="preserve">  </w:t>
      </w:r>
      <w:r w:rsidRPr="00DD0437">
        <w:rPr>
          <w:rFonts w:eastAsia="Times New Roman" w:cs="Times New Roman"/>
          <w:color w:val="3D3D3D"/>
          <w:bdr w:val="none" w:sz="0" w:space="0" w:color="auto" w:frame="1"/>
        </w:rPr>
        <w:t>[Citation.]</w:t>
      </w:r>
      <w:r>
        <w:rPr>
          <w:rFonts w:eastAsia="Times New Roman" w:cs="Times New Roman"/>
          <w:i/>
          <w:iCs/>
          <w:color w:val="3D3D3D"/>
          <w:bdr w:val="none" w:sz="0" w:space="0" w:color="auto" w:frame="1"/>
        </w:rPr>
        <w:t xml:space="preserve">  </w:t>
      </w:r>
      <w:r w:rsidRPr="008D7101">
        <w:rPr>
          <w:rFonts w:eastAsia="Times New Roman" w:cs="Times New Roman"/>
          <w:color w:val="3D3D3D"/>
        </w:rPr>
        <w:t xml:space="preserve">As Defendants point out, </w:t>
      </w:r>
      <w:proofErr w:type="gramStart"/>
      <w:r w:rsidRPr="008D7101">
        <w:rPr>
          <w:rFonts w:eastAsia="Times New Roman" w:cs="Times New Roman"/>
          <w:color w:val="3D3D3D"/>
        </w:rPr>
        <w:t>all of</w:t>
      </w:r>
      <w:proofErr w:type="gramEnd"/>
      <w:r w:rsidRPr="008D7101">
        <w:rPr>
          <w:rFonts w:eastAsia="Times New Roman" w:cs="Times New Roman"/>
          <w:color w:val="3D3D3D"/>
        </w:rPr>
        <w:t xml:space="preserve"> these causes of action are based on </w:t>
      </w:r>
      <w:r w:rsidRPr="008D7101">
        <w:rPr>
          <w:rFonts w:eastAsia="Times New Roman" w:cs="Times New Roman"/>
          <w:color w:val="3D3D3D"/>
        </w:rPr>
        <w:t>allegations that Defendants acted in bad faith in breaching the contract by refusing to provide coverage.</w:t>
      </w:r>
      <w:r>
        <w:rPr>
          <w:rFonts w:eastAsia="Times New Roman" w:cs="Times New Roman"/>
          <w:color w:val="3D3D3D"/>
        </w:rPr>
        <w:t xml:space="preserve"> </w:t>
      </w:r>
      <w:r w:rsidRPr="008D7101">
        <w:rPr>
          <w:rFonts w:eastAsia="Times New Roman" w:cs="Times New Roman"/>
          <w:color w:val="3D3D3D"/>
        </w:rPr>
        <w:t> </w:t>
      </w:r>
      <w:r w:rsidRPr="00894805">
        <w:rPr>
          <w:rFonts w:eastAsia="Times New Roman" w:cs="Times New Roman"/>
          <w:color w:val="3D3D3D"/>
          <w:bdr w:val="none" w:sz="0" w:space="0" w:color="auto" w:frame="1"/>
        </w:rPr>
        <w:t>[Citation</w:t>
      </w:r>
      <w:r w:rsidRPr="00894805">
        <w:rPr>
          <w:rFonts w:eastAsia="Times New Roman" w:cs="Times New Roman"/>
          <w:color w:val="3D3D3D"/>
        </w:rPr>
        <w:t>.]</w:t>
      </w:r>
      <w:r>
        <w:rPr>
          <w:rFonts w:eastAsia="Times New Roman" w:cs="Times New Roman"/>
          <w:color w:val="3D3D3D"/>
        </w:rPr>
        <w:t> . . .”  (</w:t>
      </w:r>
      <w:r>
        <w:rPr>
          <w:i/>
          <w:iCs/>
        </w:rPr>
        <w:t>Keller v. Federal Insurance Co.</w:t>
      </w:r>
      <w:r>
        <w:t xml:space="preserve">, </w:t>
      </w:r>
      <w:r>
        <w:rPr>
          <w:i/>
          <w:iCs/>
        </w:rPr>
        <w:t>supra</w:t>
      </w:r>
      <w:r>
        <w:t xml:space="preserve">, </w:t>
      </w:r>
      <w:r w:rsidRPr="00816AE5">
        <w:t xml:space="preserve">2017 </w:t>
      </w:r>
      <w:r>
        <w:t>U.S. Dist. LEXIS 20820 at *40.)</w:t>
      </w:r>
    </w:p>
    <w:p w14:paraId="70C1ECB5" w14:textId="77777777" w:rsidR="00833701" w:rsidRDefault="004A1489" w:rsidP="00833701">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sz w:val="26"/>
          <w:szCs w:val="26"/>
        </w:rPr>
      </w:pPr>
      <w:r>
        <w:rPr>
          <w:rFonts w:ascii="Century Schoolbook" w:hAnsi="Century Schoolbook"/>
          <w:sz w:val="26"/>
          <w:szCs w:val="26"/>
        </w:rPr>
        <w:t xml:space="preserve">Finally, there is </w:t>
      </w:r>
      <w:proofErr w:type="spellStart"/>
      <w:r w:rsidRPr="00D32DC0">
        <w:rPr>
          <w:rFonts w:ascii="Century Schoolbook" w:hAnsi="Century Schoolbook"/>
          <w:i/>
          <w:iCs/>
          <w:sz w:val="26"/>
          <w:szCs w:val="26"/>
        </w:rPr>
        <w:t>Enger</w:t>
      </w:r>
      <w:proofErr w:type="spellEnd"/>
      <w:r>
        <w:rPr>
          <w:rFonts w:ascii="Century Schoolbook" w:hAnsi="Century Schoolbook"/>
          <w:i/>
          <w:iCs/>
          <w:sz w:val="26"/>
          <w:szCs w:val="26"/>
        </w:rPr>
        <w:t> </w:t>
      </w:r>
      <w:r w:rsidRPr="00D32DC0">
        <w:rPr>
          <w:rFonts w:ascii="Century Schoolbook" w:hAnsi="Century Schoolbook"/>
          <w:i/>
          <w:iCs/>
          <w:sz w:val="26"/>
          <w:szCs w:val="26"/>
        </w:rPr>
        <w:t>v. Allstate Ins. Co</w:t>
      </w:r>
      <w:r>
        <w:rPr>
          <w:rFonts w:ascii="Century Schoolbook" w:hAnsi="Century Schoolbook"/>
          <w:i/>
          <w:iCs/>
          <w:sz w:val="26"/>
          <w:szCs w:val="26"/>
        </w:rPr>
        <w:t xml:space="preserve">. </w:t>
      </w:r>
      <w:r>
        <w:rPr>
          <w:rFonts w:ascii="Century Schoolbook" w:hAnsi="Century Schoolbook"/>
          <w:sz w:val="26"/>
          <w:szCs w:val="26"/>
        </w:rPr>
        <w:t>(</w:t>
      </w:r>
      <w:proofErr w:type="spellStart"/>
      <w:r>
        <w:rPr>
          <w:rFonts w:ascii="Century Schoolbook" w:hAnsi="Century Schoolbook"/>
          <w:sz w:val="26"/>
          <w:szCs w:val="26"/>
        </w:rPr>
        <w:t>N.D.C</w:t>
      </w:r>
      <w:r>
        <w:rPr>
          <w:rFonts w:ascii="Century Schoolbook" w:hAnsi="Century Schoolbook"/>
          <w:sz w:val="26"/>
          <w:szCs w:val="26"/>
        </w:rPr>
        <w:t>al</w:t>
      </w:r>
      <w:proofErr w:type="spellEnd"/>
      <w:r>
        <w:rPr>
          <w:rFonts w:ascii="Century Schoolbook" w:hAnsi="Century Schoolbook"/>
          <w:sz w:val="26"/>
          <w:szCs w:val="26"/>
        </w:rPr>
        <w:t>., Apr. 5, 2016,</w:t>
      </w:r>
      <w:r w:rsidRPr="00253868">
        <w:t xml:space="preserve"> </w:t>
      </w:r>
      <w:r w:rsidRPr="00253868">
        <w:rPr>
          <w:rFonts w:ascii="Century Schoolbook" w:hAnsi="Century Schoolbook"/>
          <w:sz w:val="26"/>
          <w:szCs w:val="26"/>
        </w:rPr>
        <w:t>No. 16-cv-00136-JSW</w:t>
      </w:r>
      <w:r>
        <w:rPr>
          <w:rFonts w:ascii="Century Schoolbook" w:hAnsi="Century Schoolbook"/>
          <w:sz w:val="26"/>
          <w:szCs w:val="26"/>
        </w:rPr>
        <w:t>)</w:t>
      </w:r>
      <w:r w:rsidRPr="00AF6D59">
        <w:rPr>
          <w:rFonts w:ascii="Century Schoolbook" w:hAnsi="Century Schoolbook"/>
          <w:sz w:val="26"/>
        </w:rPr>
        <w:t xml:space="preserve"> </w:t>
      </w:r>
      <w:r w:rsidRPr="00C84828">
        <w:rPr>
          <w:rFonts w:ascii="Century Schoolbook" w:hAnsi="Century Schoolbook"/>
          <w:sz w:val="26"/>
          <w:szCs w:val="26"/>
        </w:rPr>
        <w:t>2016 U.S. Dist. LEXIS 199888</w:t>
      </w:r>
      <w:r>
        <w:rPr>
          <w:rFonts w:ascii="Century Schoolbook" w:hAnsi="Century Schoolbook"/>
          <w:sz w:val="26"/>
          <w:szCs w:val="26"/>
        </w:rPr>
        <w:t>, where the insured alleged unfair business practices against the insurer and sought injunctive relief.  Judge White granted the insurer’s motion to dismiss, holding that “The suit limitation period applies to all of plaintiff’s causes of action, including</w:t>
      </w:r>
      <w:r>
        <w:rPr>
          <w:rFonts w:ascii="Century Schoolbook" w:hAnsi="Century Schoolbook"/>
          <w:sz w:val="26"/>
          <w:szCs w:val="26"/>
        </w:rPr>
        <w:t xml:space="preserve"> her claims for breach of contract, breach of implied covenant/bad faith, </w:t>
      </w:r>
      <w:r w:rsidRPr="00C26058">
        <w:rPr>
          <w:rFonts w:ascii="Century Schoolbook" w:hAnsi="Century Schoolbook"/>
          <w:sz w:val="26"/>
          <w:szCs w:val="26"/>
        </w:rPr>
        <w:t xml:space="preserve">unfair </w:t>
      </w:r>
      <w:r w:rsidRPr="00C26058">
        <w:rPr>
          <w:rFonts w:ascii="Century Schoolbook" w:hAnsi="Century Schoolbook"/>
          <w:sz w:val="26"/>
          <w:szCs w:val="26"/>
        </w:rPr>
        <w:lastRenderedPageBreak/>
        <w:t>business practices, injunctive relief</w:t>
      </w:r>
      <w:r w:rsidRPr="00C26058">
        <w:rPr>
          <w:rFonts w:ascii="Century Schoolbook" w:hAnsi="Century Schoolbook"/>
          <w:i/>
          <w:iCs/>
          <w:sz w:val="26"/>
          <w:szCs w:val="26"/>
        </w:rPr>
        <w:t>,</w:t>
      </w:r>
      <w:r>
        <w:rPr>
          <w:rFonts w:ascii="Century Schoolbook" w:hAnsi="Century Schoolbook"/>
          <w:b/>
          <w:bCs/>
          <w:i/>
          <w:iCs/>
          <w:sz w:val="26"/>
          <w:szCs w:val="26"/>
        </w:rPr>
        <w:t xml:space="preserve"> </w:t>
      </w:r>
      <w:r>
        <w:rPr>
          <w:rFonts w:ascii="Century Schoolbook" w:hAnsi="Century Schoolbook"/>
          <w:sz w:val="26"/>
          <w:szCs w:val="26"/>
        </w:rPr>
        <w:t>and, to the extent pled, declaratory relief.”</w:t>
      </w:r>
      <w:r>
        <w:rPr>
          <w:rStyle w:val="FootnoteReference"/>
          <w:rFonts w:ascii="Century Schoolbook" w:hAnsi="Century Schoolbook"/>
          <w:sz w:val="26"/>
          <w:szCs w:val="26"/>
        </w:rPr>
        <w:footnoteReference w:id="7"/>
      </w:r>
    </w:p>
    <w:p w14:paraId="5AA2DD01" w14:textId="77777777" w:rsidR="00A3261F" w:rsidRPr="00FE13D7" w:rsidRDefault="004A1489" w:rsidP="00D3449A">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sz w:val="26"/>
          <w:szCs w:val="26"/>
        </w:rPr>
      </w:pPr>
      <w:r w:rsidRPr="00012B53">
        <w:rPr>
          <w:rFonts w:ascii="Century Schoolbook" w:hAnsi="Century Schoolbook"/>
          <w:sz w:val="26"/>
          <w:szCs w:val="26"/>
        </w:rPr>
        <w:t xml:space="preserve">As </w:t>
      </w:r>
      <w:r>
        <w:rPr>
          <w:rFonts w:ascii="Century Schoolbook" w:hAnsi="Century Schoolbook"/>
          <w:sz w:val="26"/>
          <w:szCs w:val="26"/>
        </w:rPr>
        <w:t xml:space="preserve">mentioned </w:t>
      </w:r>
      <w:r w:rsidRPr="00012B53">
        <w:rPr>
          <w:rFonts w:ascii="Century Schoolbook" w:hAnsi="Century Schoolbook"/>
          <w:sz w:val="26"/>
          <w:szCs w:val="26"/>
        </w:rPr>
        <w:t xml:space="preserve">above, plaintiff’s brief cites without discussion </w:t>
      </w:r>
      <w:r>
        <w:rPr>
          <w:rFonts w:ascii="Century Schoolbook" w:hAnsi="Century Schoolbook"/>
          <w:sz w:val="26"/>
          <w:szCs w:val="26"/>
        </w:rPr>
        <w:t xml:space="preserve">five </w:t>
      </w:r>
      <w:r w:rsidRPr="00012B53">
        <w:rPr>
          <w:rFonts w:ascii="Century Schoolbook" w:hAnsi="Century Schoolbook"/>
          <w:sz w:val="26"/>
          <w:szCs w:val="26"/>
        </w:rPr>
        <w:t>cases</w:t>
      </w:r>
      <w:r>
        <w:rPr>
          <w:rFonts w:ascii="Century Schoolbook" w:hAnsi="Century Schoolbook"/>
          <w:sz w:val="26"/>
          <w:szCs w:val="26"/>
        </w:rPr>
        <w:t xml:space="preserve">. </w:t>
      </w:r>
      <w:r w:rsidRPr="00012B53">
        <w:rPr>
          <w:rFonts w:ascii="Century Schoolbook" w:hAnsi="Century Schoolbook"/>
          <w:sz w:val="26"/>
          <w:szCs w:val="26"/>
        </w:rPr>
        <w:t xml:space="preserve"> </w:t>
      </w:r>
      <w:r>
        <w:rPr>
          <w:rFonts w:ascii="Century Schoolbook" w:hAnsi="Century Schoolbook"/>
          <w:sz w:val="26"/>
          <w:szCs w:val="26"/>
        </w:rPr>
        <w:t>N</w:t>
      </w:r>
      <w:r w:rsidRPr="00012B53">
        <w:rPr>
          <w:rFonts w:ascii="Century Schoolbook" w:hAnsi="Century Schoolbook"/>
          <w:sz w:val="26"/>
          <w:szCs w:val="26"/>
        </w:rPr>
        <w:t>one helps h</w:t>
      </w:r>
      <w:r w:rsidRPr="00012B53">
        <w:rPr>
          <w:rFonts w:ascii="Century Schoolbook" w:hAnsi="Century Schoolbook"/>
          <w:sz w:val="26"/>
          <w:szCs w:val="26"/>
        </w:rPr>
        <w:t xml:space="preserve">er.  </w:t>
      </w:r>
      <w:proofErr w:type="spellStart"/>
      <w:r w:rsidRPr="00012B53">
        <w:rPr>
          <w:rFonts w:ascii="Century Schoolbook" w:hAnsi="Century Schoolbook"/>
          <w:i/>
          <w:iCs/>
          <w:sz w:val="26"/>
          <w:szCs w:val="26"/>
        </w:rPr>
        <w:t>Broberg</w:t>
      </w:r>
      <w:proofErr w:type="spellEnd"/>
      <w:r w:rsidRPr="00012B53">
        <w:rPr>
          <w:rFonts w:ascii="Century Schoolbook" w:hAnsi="Century Schoolbook"/>
          <w:i/>
          <w:iCs/>
          <w:sz w:val="26"/>
          <w:szCs w:val="26"/>
        </w:rPr>
        <w:t xml:space="preserve"> v. The Guardian Life Ins. Co. of America</w:t>
      </w:r>
      <w:r>
        <w:rPr>
          <w:rFonts w:ascii="Century Schoolbook" w:hAnsi="Century Schoolbook"/>
          <w:i/>
          <w:iCs/>
          <w:sz w:val="26"/>
          <w:szCs w:val="26"/>
        </w:rPr>
        <w:t xml:space="preserve"> </w:t>
      </w:r>
      <w:r>
        <w:rPr>
          <w:rFonts w:ascii="Century Schoolbook" w:hAnsi="Century Schoolbook"/>
          <w:sz w:val="26"/>
          <w:szCs w:val="26"/>
        </w:rPr>
        <w:t xml:space="preserve">(2009) </w:t>
      </w:r>
      <w:r w:rsidRPr="00012B53">
        <w:rPr>
          <w:rFonts w:ascii="Century Schoolbook" w:hAnsi="Century Schoolbook"/>
          <w:sz w:val="26"/>
          <w:szCs w:val="26"/>
        </w:rPr>
        <w:t>171</w:t>
      </w:r>
      <w:r>
        <w:rPr>
          <w:rFonts w:ascii="Century Schoolbook" w:hAnsi="Century Schoolbook"/>
          <w:sz w:val="26"/>
          <w:szCs w:val="26"/>
        </w:rPr>
        <w:t> </w:t>
      </w:r>
      <w:r w:rsidRPr="00012B53">
        <w:rPr>
          <w:rFonts w:ascii="Century Schoolbook" w:hAnsi="Century Schoolbook"/>
          <w:sz w:val="26"/>
          <w:szCs w:val="26"/>
        </w:rPr>
        <w:t xml:space="preserve">Cal.App.4th 912 and </w:t>
      </w:r>
      <w:r w:rsidRPr="00012B53">
        <w:rPr>
          <w:rFonts w:ascii="Century Schoolbook" w:hAnsi="Century Schoolbook"/>
          <w:i/>
          <w:iCs/>
          <w:sz w:val="26"/>
          <w:szCs w:val="26"/>
        </w:rPr>
        <w:t>North Star Reinsurance Corp. v. Superior Court</w:t>
      </w:r>
      <w:r>
        <w:rPr>
          <w:rFonts w:ascii="Century Schoolbook" w:hAnsi="Century Schoolbook"/>
          <w:sz w:val="26"/>
          <w:szCs w:val="26"/>
        </w:rPr>
        <w:t xml:space="preserve"> (1992) </w:t>
      </w:r>
      <w:r w:rsidRPr="00012B53">
        <w:rPr>
          <w:rFonts w:ascii="Century Schoolbook" w:hAnsi="Century Schoolbook"/>
          <w:sz w:val="26"/>
          <w:szCs w:val="26"/>
        </w:rPr>
        <w:t xml:space="preserve">10 Cal.App.4th 1815 did not involve </w:t>
      </w:r>
      <w:r>
        <w:rPr>
          <w:rFonts w:ascii="Century Schoolbook" w:hAnsi="Century Schoolbook"/>
          <w:sz w:val="26"/>
          <w:szCs w:val="26"/>
        </w:rPr>
        <w:t xml:space="preserve">fire </w:t>
      </w:r>
      <w:r w:rsidRPr="00012B53">
        <w:rPr>
          <w:rFonts w:ascii="Century Schoolbook" w:hAnsi="Century Schoolbook"/>
          <w:sz w:val="26"/>
          <w:szCs w:val="26"/>
        </w:rPr>
        <w:t xml:space="preserve">insurance policies with </w:t>
      </w:r>
      <w:r>
        <w:rPr>
          <w:rFonts w:ascii="Century Schoolbook" w:hAnsi="Century Schoolbook"/>
          <w:sz w:val="26"/>
          <w:szCs w:val="26"/>
        </w:rPr>
        <w:t xml:space="preserve">their one-year </w:t>
      </w:r>
      <w:r w:rsidRPr="00012B53">
        <w:rPr>
          <w:rFonts w:ascii="Century Schoolbook" w:hAnsi="Century Schoolbook"/>
          <w:sz w:val="26"/>
          <w:szCs w:val="26"/>
        </w:rPr>
        <w:t xml:space="preserve">limitation </w:t>
      </w:r>
      <w:r>
        <w:rPr>
          <w:rFonts w:ascii="Century Schoolbook" w:hAnsi="Century Schoolbook"/>
          <w:sz w:val="26"/>
          <w:szCs w:val="26"/>
        </w:rPr>
        <w:t>provisions</w:t>
      </w:r>
      <w:r w:rsidRPr="00012B53">
        <w:rPr>
          <w:rFonts w:ascii="Century Schoolbook" w:hAnsi="Century Schoolbook"/>
          <w:sz w:val="26"/>
          <w:szCs w:val="26"/>
        </w:rPr>
        <w:t xml:space="preserve">.  </w:t>
      </w:r>
      <w:r w:rsidRPr="00012B53">
        <w:rPr>
          <w:rFonts w:ascii="Century Schoolbook" w:hAnsi="Century Schoolbook"/>
          <w:i/>
          <w:iCs/>
          <w:sz w:val="26"/>
          <w:szCs w:val="26"/>
        </w:rPr>
        <w:t>Aryeh v. Cano</w:t>
      </w:r>
      <w:r w:rsidRPr="00012B53">
        <w:rPr>
          <w:rFonts w:ascii="Century Schoolbook" w:hAnsi="Century Schoolbook"/>
          <w:i/>
          <w:iCs/>
          <w:sz w:val="26"/>
          <w:szCs w:val="26"/>
        </w:rPr>
        <w:t>n Business Solutions, Inc.</w:t>
      </w:r>
      <w:r>
        <w:rPr>
          <w:rFonts w:ascii="Century Schoolbook" w:hAnsi="Century Schoolbook"/>
          <w:sz w:val="26"/>
          <w:szCs w:val="26"/>
        </w:rPr>
        <w:t xml:space="preserve">, </w:t>
      </w:r>
      <w:r>
        <w:rPr>
          <w:rFonts w:ascii="Century Schoolbook" w:hAnsi="Century Schoolbook"/>
          <w:i/>
          <w:iCs/>
          <w:sz w:val="26"/>
          <w:szCs w:val="26"/>
        </w:rPr>
        <w:t>supra</w:t>
      </w:r>
      <w:r>
        <w:rPr>
          <w:rFonts w:ascii="Century Schoolbook" w:hAnsi="Century Schoolbook"/>
          <w:sz w:val="26"/>
          <w:szCs w:val="26"/>
        </w:rPr>
        <w:t>,</w:t>
      </w:r>
      <w:r w:rsidRPr="00012B53">
        <w:rPr>
          <w:rFonts w:ascii="Century Schoolbook" w:hAnsi="Century Schoolbook"/>
          <w:sz w:val="26"/>
          <w:szCs w:val="26"/>
        </w:rPr>
        <w:t xml:space="preserve"> 55</w:t>
      </w:r>
      <w:r>
        <w:rPr>
          <w:rFonts w:ascii="Century Schoolbook" w:hAnsi="Century Schoolbook"/>
          <w:sz w:val="26"/>
          <w:szCs w:val="26"/>
        </w:rPr>
        <w:t> </w:t>
      </w:r>
      <w:r w:rsidRPr="00012B53">
        <w:rPr>
          <w:rFonts w:ascii="Century Schoolbook" w:hAnsi="Century Schoolbook"/>
          <w:sz w:val="26"/>
          <w:szCs w:val="26"/>
        </w:rPr>
        <w:t>Cal.4th 1185</w:t>
      </w:r>
      <w:r>
        <w:rPr>
          <w:rFonts w:ascii="Century Schoolbook" w:hAnsi="Century Schoolbook"/>
          <w:sz w:val="26"/>
          <w:szCs w:val="26"/>
        </w:rPr>
        <w:t xml:space="preserve"> did not involve an insurance policy at all.  And </w:t>
      </w:r>
      <w:r>
        <w:rPr>
          <w:rFonts w:ascii="Century Schoolbook" w:hAnsi="Century Schoolbook"/>
          <w:i/>
          <w:iCs/>
          <w:sz w:val="26"/>
          <w:szCs w:val="26"/>
        </w:rPr>
        <w:t>Keller</w:t>
      </w:r>
      <w:r w:rsidRPr="00D32DC0">
        <w:rPr>
          <w:i/>
          <w:iCs/>
        </w:rPr>
        <w:t xml:space="preserve"> </w:t>
      </w:r>
      <w:r>
        <w:rPr>
          <w:rFonts w:ascii="Century Schoolbook" w:hAnsi="Century Schoolbook"/>
          <w:sz w:val="26"/>
          <w:szCs w:val="26"/>
        </w:rPr>
        <w:t xml:space="preserve">and </w:t>
      </w:r>
      <w:proofErr w:type="spellStart"/>
      <w:r>
        <w:rPr>
          <w:rFonts w:ascii="Century Schoolbook" w:hAnsi="Century Schoolbook"/>
          <w:i/>
          <w:iCs/>
          <w:sz w:val="26"/>
          <w:szCs w:val="26"/>
        </w:rPr>
        <w:t>Enger</w:t>
      </w:r>
      <w:proofErr w:type="spellEnd"/>
      <w:r>
        <w:rPr>
          <w:rFonts w:ascii="Century Schoolbook" w:hAnsi="Century Schoolbook"/>
          <w:i/>
          <w:iCs/>
          <w:sz w:val="26"/>
          <w:szCs w:val="26"/>
        </w:rPr>
        <w:t xml:space="preserve"> </w:t>
      </w:r>
      <w:r>
        <w:rPr>
          <w:rFonts w:ascii="Century Schoolbook" w:hAnsi="Century Schoolbook"/>
          <w:sz w:val="26"/>
          <w:szCs w:val="26"/>
        </w:rPr>
        <w:t>are discussed above—and hardly support plaintiff.</w:t>
      </w:r>
    </w:p>
    <w:p w14:paraId="350555F1" w14:textId="77777777" w:rsidR="00511404" w:rsidRPr="00D216FE" w:rsidRDefault="004A1489" w:rsidP="00D3449A">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i/>
          <w:iCs/>
          <w:sz w:val="26"/>
          <w:szCs w:val="26"/>
        </w:rPr>
      </w:pPr>
      <w:r>
        <w:rPr>
          <w:rFonts w:ascii="Century Schoolbook" w:hAnsi="Century Schoolbook"/>
          <w:sz w:val="26"/>
          <w:szCs w:val="26"/>
        </w:rPr>
        <w:t xml:space="preserve">And as to </w:t>
      </w:r>
      <w:r>
        <w:rPr>
          <w:rFonts w:ascii="Century Schoolbook" w:hAnsi="Century Schoolbook"/>
          <w:i/>
          <w:iCs/>
          <w:sz w:val="26"/>
          <w:szCs w:val="26"/>
        </w:rPr>
        <w:t>20th Century</w:t>
      </w:r>
      <w:r>
        <w:rPr>
          <w:rFonts w:ascii="Century Schoolbook" w:hAnsi="Century Schoolbook"/>
          <w:sz w:val="26"/>
          <w:szCs w:val="26"/>
        </w:rPr>
        <w:t>,</w:t>
      </w:r>
      <w:r>
        <w:rPr>
          <w:rFonts w:ascii="Century Schoolbook" w:hAnsi="Century Schoolbook"/>
          <w:b/>
          <w:bCs/>
          <w:sz w:val="26"/>
          <w:szCs w:val="26"/>
        </w:rPr>
        <w:t xml:space="preserve"> </w:t>
      </w:r>
      <w:r>
        <w:rPr>
          <w:rFonts w:ascii="Century Schoolbook" w:hAnsi="Century Schoolbook"/>
          <w:sz w:val="26"/>
          <w:szCs w:val="26"/>
        </w:rPr>
        <w:t xml:space="preserve">the one case plaintiff cites that involves insurance and does </w:t>
      </w:r>
      <w:r>
        <w:rPr>
          <w:rFonts w:ascii="Century Schoolbook" w:hAnsi="Century Schoolbook"/>
          <w:sz w:val="26"/>
          <w:szCs w:val="26"/>
        </w:rPr>
        <w:t>not apply the one-year limitation provision, it is easily distinguishable.  That case involved a claim arising out of the Northridge earthquake, and included a claim that the insurance adjuster misrepresented to the insured that there was no earthquake dam</w:t>
      </w:r>
      <w:r>
        <w:rPr>
          <w:rFonts w:ascii="Century Schoolbook" w:hAnsi="Century Schoolbook"/>
          <w:sz w:val="26"/>
          <w:szCs w:val="26"/>
        </w:rPr>
        <w:t>age.  On the one hand, it involved Code of Civil Procedure section 340.9, a limitation provision that was enacted to revive insurance claims for damages arising out of that earthquake.  (</w:t>
      </w:r>
      <w:r>
        <w:rPr>
          <w:rFonts w:ascii="Century Schoolbook" w:hAnsi="Century Schoolbook"/>
          <w:i/>
          <w:iCs/>
          <w:sz w:val="26"/>
          <w:szCs w:val="26"/>
        </w:rPr>
        <w:t>20th Century</w:t>
      </w:r>
      <w:r>
        <w:rPr>
          <w:rFonts w:ascii="Century Schoolbook" w:hAnsi="Century Schoolbook"/>
          <w:sz w:val="26"/>
          <w:szCs w:val="26"/>
        </w:rPr>
        <w:t xml:space="preserve">, </w:t>
      </w:r>
      <w:r>
        <w:rPr>
          <w:rFonts w:ascii="Century Schoolbook" w:hAnsi="Century Schoolbook"/>
          <w:i/>
          <w:iCs/>
          <w:sz w:val="26"/>
          <w:szCs w:val="26"/>
        </w:rPr>
        <w:t>supra</w:t>
      </w:r>
      <w:r w:rsidRPr="00556FC1">
        <w:rPr>
          <w:rFonts w:ascii="Century Schoolbook" w:hAnsi="Century Schoolbook"/>
          <w:sz w:val="26"/>
          <w:szCs w:val="26"/>
        </w:rPr>
        <w:t xml:space="preserve">, 90 Cal.App.4th </w:t>
      </w:r>
      <w:r>
        <w:rPr>
          <w:rFonts w:ascii="Century Schoolbook" w:hAnsi="Century Schoolbook"/>
          <w:sz w:val="26"/>
          <w:szCs w:val="26"/>
        </w:rPr>
        <w:t>at p. 1279.)  And to the extent t</w:t>
      </w:r>
      <w:r>
        <w:rPr>
          <w:rFonts w:ascii="Century Schoolbook" w:hAnsi="Century Schoolbook"/>
          <w:sz w:val="26"/>
          <w:szCs w:val="26"/>
        </w:rPr>
        <w:t>he case held that the fraud claim was not within the limitation provision, plaintiff has no fraud claim here.</w:t>
      </w:r>
    </w:p>
    <w:p w14:paraId="28BECB94" w14:textId="77777777" w:rsidR="00703523" w:rsidRDefault="004A1489" w:rsidP="00132BC9">
      <w:pPr>
        <w:tabs>
          <w:tab w:val="clear" w:pos="720"/>
        </w:tabs>
        <w:spacing w:line="360" w:lineRule="auto"/>
        <w:ind w:left="-720" w:right="-720" w:firstLine="720"/>
        <w:rPr>
          <w:iCs/>
        </w:rPr>
      </w:pPr>
      <w:r>
        <w:t xml:space="preserve">In sum, the </w:t>
      </w:r>
      <w:r>
        <w:rPr>
          <w:iCs/>
        </w:rPr>
        <w:t>crux of plaintiff’s claim (</w:t>
      </w:r>
      <w:r>
        <w:rPr>
          <w:i/>
        </w:rPr>
        <w:t>Jang</w:t>
      </w:r>
      <w:r>
        <w:rPr>
          <w:iCs/>
        </w:rPr>
        <w:t xml:space="preserve">, </w:t>
      </w:r>
      <w:r>
        <w:rPr>
          <w:i/>
        </w:rPr>
        <w:t>supra</w:t>
      </w:r>
      <w:r>
        <w:rPr>
          <w:iCs/>
        </w:rPr>
        <w:t>, 80 Cal.App.4th at p. 1303) is “grounded upon a failure to pay policy benefits.”  (</w:t>
      </w:r>
      <w:r>
        <w:rPr>
          <w:i/>
        </w:rPr>
        <w:t>Sullivan</w:t>
      </w:r>
      <w:r>
        <w:rPr>
          <w:iCs/>
        </w:rPr>
        <w:t xml:space="preserve">, </w:t>
      </w:r>
      <w:r>
        <w:rPr>
          <w:i/>
        </w:rPr>
        <w:t>su</w:t>
      </w:r>
      <w:r>
        <w:rPr>
          <w:i/>
        </w:rPr>
        <w:t>pra</w:t>
      </w:r>
      <w:r>
        <w:rPr>
          <w:iCs/>
        </w:rPr>
        <w:t>, 964 </w:t>
      </w:r>
      <w:proofErr w:type="spellStart"/>
      <w:r>
        <w:rPr>
          <w:iCs/>
        </w:rPr>
        <w:t>F.Supp</w:t>
      </w:r>
      <w:proofErr w:type="spellEnd"/>
      <w:r>
        <w:rPr>
          <w:iCs/>
        </w:rPr>
        <w:t>. at p. 1414.)  That claim necessarily arises “out of the contractual relationship.”  (</w:t>
      </w:r>
      <w:r w:rsidRPr="00A31302">
        <w:rPr>
          <w:i/>
        </w:rPr>
        <w:t>Lawrence</w:t>
      </w:r>
      <w:r>
        <w:rPr>
          <w:iCs/>
        </w:rPr>
        <w:t xml:space="preserve">, </w:t>
      </w:r>
      <w:r w:rsidRPr="00A31302">
        <w:rPr>
          <w:i/>
        </w:rPr>
        <w:t>supra</w:t>
      </w:r>
      <w:r>
        <w:rPr>
          <w:iCs/>
        </w:rPr>
        <w:t xml:space="preserve">, 204 Cal.App.3d at p. 575.)  </w:t>
      </w:r>
    </w:p>
    <w:p w14:paraId="3A94BC1E" w14:textId="77777777" w:rsidR="00AE6B82" w:rsidRDefault="004A1489" w:rsidP="00E86F7B">
      <w:pPr>
        <w:tabs>
          <w:tab w:val="clear" w:pos="720"/>
        </w:tabs>
        <w:spacing w:line="360" w:lineRule="auto"/>
        <w:ind w:left="-720" w:right="-720" w:firstLine="720"/>
      </w:pPr>
      <w:r>
        <w:rPr>
          <w:iCs/>
        </w:rPr>
        <w:lastRenderedPageBreak/>
        <w:t xml:space="preserve">As </w:t>
      </w:r>
      <w:r>
        <w:t>plaintiff’s own brief admits, “T</w:t>
      </w:r>
      <w:r w:rsidRPr="0085481D">
        <w:t xml:space="preserve">here is no doubt that an insured cannot plead around the one-year </w:t>
      </w:r>
      <w:r w:rsidRPr="0085481D">
        <w:t>limitation</w:t>
      </w:r>
      <w:r>
        <w:t>s provision</w:t>
      </w:r>
      <w:r w:rsidRPr="0085481D">
        <w:t xml:space="preserve"> by labeling her cause of action something different than breach of contract” </w:t>
      </w:r>
      <w:r>
        <w:t>which, of course, includes claims for bad faith.  (</w:t>
      </w:r>
      <w:r w:rsidRPr="00AB40A7">
        <w:rPr>
          <w:i/>
          <w:iCs/>
        </w:rPr>
        <w:t>V</w:t>
      </w:r>
      <w:r w:rsidRPr="0085481D">
        <w:rPr>
          <w:i/>
          <w:iCs/>
        </w:rPr>
        <w:t>elasquez</w:t>
      </w:r>
      <w:r>
        <w:t xml:space="preserve">, </w:t>
      </w:r>
      <w:r w:rsidRPr="00AB40A7">
        <w:rPr>
          <w:i/>
          <w:iCs/>
        </w:rPr>
        <w:t>supra</w:t>
      </w:r>
      <w:r>
        <w:t xml:space="preserve">, </w:t>
      </w:r>
      <w:r w:rsidRPr="0085481D">
        <w:t xml:space="preserve">1 Cal.App.4th </w:t>
      </w:r>
      <w:r>
        <w:t>at p. </w:t>
      </w:r>
      <w:r w:rsidRPr="0085481D">
        <w:t>722</w:t>
      </w:r>
      <w:r>
        <w:t>.)</w:t>
      </w:r>
      <w:r w:rsidRPr="0085481D">
        <w:t xml:space="preserve"> </w:t>
      </w:r>
      <w:r>
        <w:t>And as quoted above, plaintiff’s allegations include that “Und</w:t>
      </w:r>
      <w:r>
        <w:t>er California law, State Farm is to give at least as much consideration to the interests of its insureds as it gives to its own interests when adjudicating a claim”; that “State Farm does not accept this legal obligation [and] [w]</w:t>
      </w:r>
      <w:proofErr w:type="spellStart"/>
      <w:r>
        <w:t>ithout</w:t>
      </w:r>
      <w:proofErr w:type="spellEnd"/>
      <w:r>
        <w:t xml:space="preserve"> a Court order speci</w:t>
      </w:r>
      <w:r>
        <w:t>fically requiring State Farm to comply with this standard, State Farm will continue to violate its legal obligations to its insureds”; and that “[d]rafting such an order is straightforward.  An example would be</w:t>
      </w:r>
      <w:proofErr w:type="gramStart"/>
      <w:r>
        <w:t>:  ‘</w:t>
      </w:r>
      <w:proofErr w:type="gramEnd"/>
      <w:r>
        <w:t>State Farm is ordered, when adjudicating a</w:t>
      </w:r>
      <w:r>
        <w:t xml:space="preserve">ny property insurance claim presented to it, to give at least as much consideration to the interests of its insured as to its own interests.’ ” </w:t>
      </w:r>
    </w:p>
    <w:p w14:paraId="77018C15" w14:textId="77777777" w:rsidR="00132BC9" w:rsidRDefault="004A1489" w:rsidP="00E86F7B">
      <w:pPr>
        <w:tabs>
          <w:tab w:val="clear" w:pos="720"/>
        </w:tabs>
        <w:spacing w:line="360" w:lineRule="auto"/>
        <w:ind w:left="-720" w:right="-720" w:firstLine="720"/>
      </w:pPr>
      <w:r>
        <w:t xml:space="preserve">This hardly merits injunctive relief.  It is good old-fashioned bad faith law, already on the books—law well known to State Farm.  Specifically:  </w:t>
      </w:r>
    </w:p>
    <w:p w14:paraId="116802E2" w14:textId="77777777" w:rsidR="00EE2EEE" w:rsidRDefault="004A1489" w:rsidP="00A70FE0">
      <w:pPr>
        <w:pStyle w:val="NormalWeb"/>
        <w:numPr>
          <w:ilvl w:val="0"/>
          <w:numId w:val="3"/>
        </w:numPr>
        <w:shd w:val="clear" w:color="auto" w:fill="FFFFFF"/>
        <w:spacing w:before="0" w:beforeAutospacing="0" w:after="0" w:afterAutospacing="0" w:line="360" w:lineRule="auto"/>
        <w:ind w:right="-720"/>
        <w:textAlignment w:val="baseline"/>
        <w:rPr>
          <w:rFonts w:ascii="Century Schoolbook" w:hAnsi="Century Schoolbook"/>
          <w:sz w:val="26"/>
          <w:szCs w:val="26"/>
        </w:rPr>
      </w:pPr>
      <w:r>
        <w:rPr>
          <w:rFonts w:ascii="Century Schoolbook" w:hAnsi="Century Schoolbook"/>
          <w:sz w:val="26"/>
          <w:szCs w:val="26"/>
        </w:rPr>
        <w:t>The implied covenant of good faith and fair dealing requires the insurer “to give at least as much considerat</w:t>
      </w:r>
      <w:r>
        <w:rPr>
          <w:rFonts w:ascii="Century Schoolbook" w:hAnsi="Century Schoolbook"/>
          <w:sz w:val="26"/>
          <w:szCs w:val="26"/>
        </w:rPr>
        <w:t>ion” to the interests of the insured as it gives its own.  (</w:t>
      </w:r>
      <w:r>
        <w:rPr>
          <w:rFonts w:ascii="Century Schoolbook" w:hAnsi="Century Schoolbook"/>
          <w:i/>
          <w:iCs/>
          <w:sz w:val="26"/>
          <w:szCs w:val="26"/>
        </w:rPr>
        <w:t xml:space="preserve">Egan v. Mutual of Omaha Ins. Co. </w:t>
      </w:r>
      <w:r>
        <w:rPr>
          <w:rFonts w:ascii="Century Schoolbook" w:hAnsi="Century Schoolbook"/>
          <w:sz w:val="26"/>
          <w:szCs w:val="26"/>
        </w:rPr>
        <w:t>(1979) 24 Cal.3d 809, 818</w:t>
      </w:r>
      <w:r>
        <w:rPr>
          <w:rFonts w:ascii="Symbol" w:hAnsi="Symbol"/>
          <w:sz w:val="26"/>
          <w:szCs w:val="26"/>
        </w:rPr>
        <w:sym w:font="Symbol" w:char="F02D"/>
      </w:r>
      <w:r>
        <w:rPr>
          <w:rFonts w:ascii="Century Schoolbook" w:hAnsi="Century Schoolbook"/>
          <w:sz w:val="26"/>
          <w:szCs w:val="26"/>
        </w:rPr>
        <w:t>819.)</w:t>
      </w:r>
    </w:p>
    <w:p w14:paraId="5E435850" w14:textId="77777777" w:rsidR="000C4705" w:rsidRDefault="004A1489" w:rsidP="00480AB8">
      <w:pPr>
        <w:pStyle w:val="NormalWeb"/>
        <w:numPr>
          <w:ilvl w:val="0"/>
          <w:numId w:val="3"/>
        </w:numPr>
        <w:shd w:val="clear" w:color="auto" w:fill="FFFFFF"/>
        <w:spacing w:before="0" w:beforeAutospacing="0" w:after="0" w:afterAutospacing="0" w:line="360" w:lineRule="auto"/>
        <w:ind w:right="-720"/>
        <w:textAlignment w:val="baseline"/>
        <w:rPr>
          <w:rFonts w:ascii="Century Schoolbook" w:hAnsi="Century Schoolbook"/>
          <w:sz w:val="26"/>
          <w:szCs w:val="26"/>
        </w:rPr>
      </w:pPr>
      <w:r>
        <w:rPr>
          <w:rFonts w:ascii="Century Schoolbook" w:hAnsi="Century Schoolbook"/>
          <w:sz w:val="26"/>
          <w:szCs w:val="26"/>
        </w:rPr>
        <w:t>“There is an implied covenant of good faith and fair dealing in every contract that neither party will do anything which will injur</w:t>
      </w:r>
      <w:r>
        <w:rPr>
          <w:rFonts w:ascii="Century Schoolbook" w:hAnsi="Century Schoolbook"/>
          <w:sz w:val="26"/>
          <w:szCs w:val="26"/>
        </w:rPr>
        <w:t>e the right of the other to receive the benefits of the agreement.”  (</w:t>
      </w:r>
      <w:proofErr w:type="spellStart"/>
      <w:r>
        <w:rPr>
          <w:rFonts w:ascii="Century Schoolbook" w:hAnsi="Century Schoolbook"/>
          <w:i/>
          <w:iCs/>
          <w:sz w:val="26"/>
          <w:szCs w:val="26"/>
        </w:rPr>
        <w:t>Comunale</w:t>
      </w:r>
      <w:proofErr w:type="spellEnd"/>
      <w:r>
        <w:rPr>
          <w:rFonts w:ascii="Century Schoolbook" w:hAnsi="Century Schoolbook"/>
          <w:i/>
          <w:iCs/>
          <w:sz w:val="26"/>
          <w:szCs w:val="26"/>
        </w:rPr>
        <w:t xml:space="preserve"> v. Traders &amp; General Ins. Co. </w:t>
      </w:r>
      <w:r>
        <w:rPr>
          <w:rFonts w:ascii="Century Schoolbook" w:hAnsi="Century Schoolbook"/>
          <w:sz w:val="26"/>
          <w:szCs w:val="26"/>
        </w:rPr>
        <w:t>(1958) 50 Cal.2d 654, 658.)</w:t>
      </w:r>
    </w:p>
    <w:p w14:paraId="589FE873" w14:textId="77777777" w:rsidR="00E12555" w:rsidRDefault="004A1489" w:rsidP="00480AB8">
      <w:pPr>
        <w:pStyle w:val="NormalWeb"/>
        <w:numPr>
          <w:ilvl w:val="0"/>
          <w:numId w:val="3"/>
        </w:numPr>
        <w:shd w:val="clear" w:color="auto" w:fill="FFFFFF"/>
        <w:spacing w:before="0" w:beforeAutospacing="0" w:after="0" w:afterAutospacing="0" w:line="360" w:lineRule="auto"/>
        <w:ind w:right="-720"/>
        <w:textAlignment w:val="baseline"/>
        <w:rPr>
          <w:rFonts w:ascii="Century Schoolbook" w:hAnsi="Century Schoolbook"/>
          <w:sz w:val="26"/>
          <w:szCs w:val="26"/>
        </w:rPr>
      </w:pPr>
      <w:r>
        <w:rPr>
          <w:rFonts w:ascii="Century Schoolbook" w:hAnsi="Century Schoolbook"/>
          <w:sz w:val="26"/>
          <w:szCs w:val="26"/>
        </w:rPr>
        <w:t>“[T]o establish the insurer’s ‘bad faith’ liability, the insured must show that the insurer has (1) withheld benefits d</w:t>
      </w:r>
      <w:r>
        <w:rPr>
          <w:rFonts w:ascii="Century Schoolbook" w:hAnsi="Century Schoolbook"/>
          <w:sz w:val="26"/>
          <w:szCs w:val="26"/>
        </w:rPr>
        <w:t xml:space="preserve">ue under the </w:t>
      </w:r>
      <w:r>
        <w:rPr>
          <w:rFonts w:ascii="Century Schoolbook" w:hAnsi="Century Schoolbook"/>
          <w:sz w:val="26"/>
          <w:szCs w:val="26"/>
        </w:rPr>
        <w:lastRenderedPageBreak/>
        <w:t>policy, and (2) that such withholding was ‘unreasonable’ or ‘without proper cause.</w:t>
      </w:r>
      <w:proofErr w:type="gramStart"/>
      <w:r>
        <w:rPr>
          <w:rFonts w:ascii="Century Schoolbook" w:hAnsi="Century Schoolbook"/>
          <w:sz w:val="26"/>
          <w:szCs w:val="26"/>
        </w:rPr>
        <w:t>’ ”</w:t>
      </w:r>
      <w:proofErr w:type="gramEnd"/>
      <w:r>
        <w:rPr>
          <w:rFonts w:ascii="Century Schoolbook" w:hAnsi="Century Schoolbook"/>
          <w:sz w:val="26"/>
          <w:szCs w:val="26"/>
        </w:rPr>
        <w:t xml:space="preserve">  (</w:t>
      </w:r>
      <w:r>
        <w:rPr>
          <w:rFonts w:ascii="Century Schoolbook" w:hAnsi="Century Schoolbook"/>
          <w:i/>
          <w:iCs/>
          <w:sz w:val="26"/>
          <w:szCs w:val="26"/>
        </w:rPr>
        <w:t xml:space="preserve">Major v. Western Home Ins. Co. </w:t>
      </w:r>
      <w:r>
        <w:rPr>
          <w:rFonts w:ascii="Century Schoolbook" w:hAnsi="Century Schoolbook"/>
          <w:sz w:val="26"/>
          <w:szCs w:val="26"/>
        </w:rPr>
        <w:t>(2009) 169 Cal.App.4th 1197, 1209.)</w:t>
      </w:r>
    </w:p>
    <w:p w14:paraId="09A5797E" w14:textId="77777777" w:rsidR="00CA1EA9" w:rsidRDefault="004A1489" w:rsidP="00480AB8">
      <w:pPr>
        <w:pStyle w:val="NormalWeb"/>
        <w:numPr>
          <w:ilvl w:val="0"/>
          <w:numId w:val="3"/>
        </w:numPr>
        <w:shd w:val="clear" w:color="auto" w:fill="FFFFFF"/>
        <w:spacing w:before="0" w:beforeAutospacing="0" w:after="0" w:afterAutospacing="0" w:line="360" w:lineRule="auto"/>
        <w:ind w:right="-720"/>
        <w:textAlignment w:val="baseline"/>
        <w:rPr>
          <w:rFonts w:ascii="Century Schoolbook" w:hAnsi="Century Schoolbook"/>
          <w:sz w:val="26"/>
          <w:szCs w:val="26"/>
        </w:rPr>
      </w:pPr>
      <w:proofErr w:type="gramStart"/>
      <w:r>
        <w:rPr>
          <w:rFonts w:ascii="Century Schoolbook" w:hAnsi="Century Schoolbook"/>
          <w:sz w:val="26"/>
          <w:szCs w:val="26"/>
        </w:rPr>
        <w:t>“ ‘</w:t>
      </w:r>
      <w:proofErr w:type="gramEnd"/>
      <w:r>
        <w:rPr>
          <w:rFonts w:ascii="Century Schoolbook" w:hAnsi="Century Schoolbook"/>
          <w:sz w:val="26"/>
          <w:szCs w:val="26"/>
        </w:rPr>
        <w:t>[T]he covenant of good faith can be breached for objectively unreasonable conduct, re</w:t>
      </w:r>
      <w:r>
        <w:rPr>
          <w:rFonts w:ascii="Century Schoolbook" w:hAnsi="Century Schoolbook"/>
          <w:sz w:val="26"/>
          <w:szCs w:val="26"/>
        </w:rPr>
        <w:t>gardless of the actor’s motive. . . .’  [A]n insured plaintiff need only show, for example, that the insurer unreasonably refused to pay benefits</w:t>
      </w:r>
      <w:proofErr w:type="gramStart"/>
      <w:r>
        <w:rPr>
          <w:rFonts w:ascii="Century Schoolbook" w:hAnsi="Century Schoolbook"/>
          <w:sz w:val="26"/>
          <w:szCs w:val="26"/>
        </w:rPr>
        <w:t>. . . .</w:t>
      </w:r>
      <w:proofErr w:type="gramEnd"/>
      <w:r>
        <w:rPr>
          <w:rFonts w:ascii="Century Schoolbook" w:hAnsi="Century Schoolbook"/>
          <w:sz w:val="26"/>
          <w:szCs w:val="26"/>
        </w:rPr>
        <w:t>”  (</w:t>
      </w:r>
      <w:proofErr w:type="spellStart"/>
      <w:r>
        <w:rPr>
          <w:rFonts w:ascii="Century Schoolbook" w:hAnsi="Century Schoolbook"/>
          <w:i/>
          <w:iCs/>
          <w:sz w:val="26"/>
          <w:szCs w:val="26"/>
        </w:rPr>
        <w:t>Bosetti</w:t>
      </w:r>
      <w:proofErr w:type="spellEnd"/>
      <w:r>
        <w:rPr>
          <w:rFonts w:ascii="Century Schoolbook" w:hAnsi="Century Schoolbook"/>
          <w:i/>
          <w:iCs/>
          <w:sz w:val="26"/>
          <w:szCs w:val="26"/>
        </w:rPr>
        <w:t xml:space="preserve"> v. United States Life Ins. Co. in the City of New York </w:t>
      </w:r>
      <w:r>
        <w:rPr>
          <w:rFonts w:ascii="Century Schoolbook" w:hAnsi="Century Schoolbook"/>
          <w:sz w:val="26"/>
          <w:szCs w:val="26"/>
        </w:rPr>
        <w:t>(2009) 175 Cal.App.4th 1208, 1236, in</w:t>
      </w:r>
      <w:r>
        <w:rPr>
          <w:rFonts w:ascii="Century Schoolbook" w:hAnsi="Century Schoolbook"/>
          <w:sz w:val="26"/>
          <w:szCs w:val="26"/>
        </w:rPr>
        <w:t>ternal citations omitted.)</w:t>
      </w:r>
    </w:p>
    <w:p w14:paraId="2C3297F6" w14:textId="77777777" w:rsidR="00F51591" w:rsidRDefault="004A1489" w:rsidP="00480AB8">
      <w:pPr>
        <w:pStyle w:val="NormalWeb"/>
        <w:numPr>
          <w:ilvl w:val="0"/>
          <w:numId w:val="3"/>
        </w:numPr>
        <w:shd w:val="clear" w:color="auto" w:fill="FFFFFF"/>
        <w:spacing w:before="0" w:beforeAutospacing="0" w:after="0" w:afterAutospacing="0" w:line="360" w:lineRule="auto"/>
        <w:ind w:right="-720"/>
        <w:textAlignment w:val="baseline"/>
        <w:rPr>
          <w:rFonts w:ascii="Century Schoolbook" w:hAnsi="Century Schoolbook"/>
          <w:sz w:val="26"/>
          <w:szCs w:val="26"/>
        </w:rPr>
      </w:pPr>
      <w:r>
        <w:rPr>
          <w:rFonts w:ascii="Century Schoolbook" w:hAnsi="Century Schoolbook"/>
          <w:sz w:val="26"/>
          <w:szCs w:val="26"/>
        </w:rPr>
        <w:t>“[I]f the insurer denies benefits unreasonably (i.e., without any reasonable basis for such denial), it may be exposed to the full array of tort remedies, including possible punitive damages.”  (</w:t>
      </w:r>
      <w:r>
        <w:rPr>
          <w:rFonts w:ascii="Century Schoolbook" w:hAnsi="Century Schoolbook"/>
          <w:i/>
          <w:iCs/>
          <w:sz w:val="26"/>
          <w:szCs w:val="26"/>
        </w:rPr>
        <w:t xml:space="preserve">Jordan v. Allstate Ins. Co. </w:t>
      </w:r>
      <w:r>
        <w:rPr>
          <w:rFonts w:ascii="Century Schoolbook" w:hAnsi="Century Schoolbook"/>
          <w:sz w:val="26"/>
          <w:szCs w:val="26"/>
        </w:rPr>
        <w:t>(2007)</w:t>
      </w:r>
      <w:r>
        <w:rPr>
          <w:rFonts w:ascii="Century Schoolbook" w:hAnsi="Century Schoolbook"/>
          <w:sz w:val="26"/>
          <w:szCs w:val="26"/>
        </w:rPr>
        <w:t xml:space="preserve"> 148 Cal.App.4th 1062, 1073.)</w:t>
      </w:r>
    </w:p>
    <w:p w14:paraId="2BFC9342" w14:textId="77777777" w:rsidR="005F5BB0" w:rsidRPr="00DB3155" w:rsidRDefault="004A1489" w:rsidP="004C6AA5">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sz w:val="26"/>
          <w:szCs w:val="26"/>
        </w:rPr>
      </w:pPr>
      <w:r>
        <w:rPr>
          <w:rFonts w:ascii="Century Schoolbook" w:hAnsi="Century Schoolbook"/>
          <w:sz w:val="26"/>
          <w:szCs w:val="26"/>
        </w:rPr>
        <w:t xml:space="preserve">Finally on this issue, we find support for our conclusion in the substantive UCL law, which, plaintiff’s express statements to the contrary notwithstanding, demonstrate that plaintiff is seeking—indeed, </w:t>
      </w:r>
      <w:r>
        <w:rPr>
          <w:rFonts w:ascii="Century Schoolbook" w:hAnsi="Century Schoolbook"/>
          <w:i/>
          <w:iCs/>
          <w:sz w:val="26"/>
          <w:szCs w:val="26"/>
        </w:rPr>
        <w:t>must</w:t>
      </w:r>
      <w:r>
        <w:rPr>
          <w:rFonts w:ascii="Century Schoolbook" w:hAnsi="Century Schoolbook"/>
          <w:sz w:val="26"/>
          <w:szCs w:val="26"/>
        </w:rPr>
        <w:t xml:space="preserve"> be seeking—policy </w:t>
      </w:r>
      <w:r>
        <w:rPr>
          <w:rFonts w:ascii="Century Schoolbook" w:hAnsi="Century Schoolbook"/>
          <w:sz w:val="26"/>
          <w:szCs w:val="26"/>
        </w:rPr>
        <w:t xml:space="preserve">benefits. </w:t>
      </w:r>
    </w:p>
    <w:p w14:paraId="13AA0B1E" w14:textId="77777777" w:rsidR="003568FF" w:rsidRDefault="004A1489" w:rsidP="005A4889">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sz w:val="26"/>
          <w:szCs w:val="26"/>
        </w:rPr>
      </w:pPr>
      <w:r>
        <w:rPr>
          <w:rFonts w:ascii="Century Schoolbook" w:hAnsi="Century Schoolbook"/>
          <w:sz w:val="26"/>
          <w:szCs w:val="26"/>
        </w:rPr>
        <w:t>Plaintiff purports to disclaim seeking policy benefits per se, as noted, expressly alleging it is “not likely” she will benefit (though she may, as she retains her State Farm policy.)  In short, plaintiff alleges she may recover something, she m</w:t>
      </w:r>
      <w:r>
        <w:rPr>
          <w:rFonts w:ascii="Century Schoolbook" w:hAnsi="Century Schoolbook"/>
          <w:sz w:val="26"/>
          <w:szCs w:val="26"/>
        </w:rPr>
        <w:t xml:space="preserve">ay not.  At oral argument, Mr. Rosenberg-Wohl </w:t>
      </w:r>
      <w:proofErr w:type="gramStart"/>
      <w:r>
        <w:rPr>
          <w:rFonts w:ascii="Century Schoolbook" w:hAnsi="Century Schoolbook"/>
          <w:sz w:val="26"/>
          <w:szCs w:val="26"/>
        </w:rPr>
        <w:t>went much further,</w:t>
      </w:r>
      <w:proofErr w:type="gramEnd"/>
      <w:r>
        <w:rPr>
          <w:rFonts w:ascii="Century Schoolbook" w:hAnsi="Century Schoolbook"/>
          <w:sz w:val="26"/>
          <w:szCs w:val="26"/>
        </w:rPr>
        <w:t xml:space="preserve"> at one point representing that his “case does not depend on whether I win”; or, as he later put it, when asked if this case would be affected if the Ninth Circuit affirmed the adverse holding</w:t>
      </w:r>
      <w:r>
        <w:rPr>
          <w:rFonts w:ascii="Century Schoolbook" w:hAnsi="Century Schoolbook"/>
          <w:sz w:val="26"/>
          <w:szCs w:val="26"/>
        </w:rPr>
        <w:t xml:space="preserve"> against plaintiff, he answered “no, because the UCL claim has nothing to do with winning or losing.”  This is very wrong.  Winning does matter.  It is crucial.  And if plaintiff does not win, no UCL claim could succeed.  </w:t>
      </w:r>
    </w:p>
    <w:p w14:paraId="7D7943F4" w14:textId="77777777" w:rsidR="00414E42" w:rsidRDefault="004A1489" w:rsidP="00414E42">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sz w:val="26"/>
          <w:szCs w:val="26"/>
        </w:rPr>
      </w:pPr>
      <w:r>
        <w:rPr>
          <w:rFonts w:ascii="Century Schoolbook" w:hAnsi="Century Schoolbook"/>
          <w:sz w:val="26"/>
          <w:szCs w:val="26"/>
        </w:rPr>
        <w:lastRenderedPageBreak/>
        <w:t>Business and Professions Code section 17204 provides that for an individual to pursue a UCL claim, he or she must prove they “suffered injury in fact and has lost money or property as a result of the unfair competition.”  The standing requirement is intend</w:t>
      </w:r>
      <w:r>
        <w:rPr>
          <w:rFonts w:ascii="Century Schoolbook" w:hAnsi="Century Schoolbook"/>
          <w:sz w:val="26"/>
          <w:szCs w:val="26"/>
        </w:rPr>
        <w:t xml:space="preserve">ed to preserve standing for those who </w:t>
      </w:r>
      <w:r w:rsidRPr="00BB0030">
        <w:rPr>
          <w:rFonts w:ascii="Century Schoolbook" w:hAnsi="Century Schoolbook"/>
          <w:sz w:val="26"/>
          <w:szCs w:val="26"/>
        </w:rPr>
        <w:t>had</w:t>
      </w:r>
      <w:r>
        <w:rPr>
          <w:rFonts w:ascii="Century Schoolbook" w:hAnsi="Century Schoolbook"/>
          <w:sz w:val="26"/>
          <w:szCs w:val="26"/>
        </w:rPr>
        <w:t xml:space="preserve"> had “business dealings with a defendant and had lost money or property as a result of the defendant’s unfair business practices.”  (</w:t>
      </w:r>
      <w:r>
        <w:rPr>
          <w:rFonts w:ascii="Century Schoolbook" w:hAnsi="Century Schoolbook"/>
          <w:i/>
          <w:iCs/>
          <w:sz w:val="26"/>
          <w:szCs w:val="26"/>
        </w:rPr>
        <w:t xml:space="preserve">Kwikset Corp. v. Superior Court </w:t>
      </w:r>
      <w:r>
        <w:rPr>
          <w:rFonts w:ascii="Century Schoolbook" w:hAnsi="Century Schoolbook"/>
          <w:sz w:val="26"/>
          <w:szCs w:val="26"/>
        </w:rPr>
        <w:t>(2011) 51 Cal.4th 310, 321 (</w:t>
      </w:r>
      <w:r>
        <w:rPr>
          <w:rFonts w:ascii="Century Schoolbook" w:hAnsi="Century Schoolbook"/>
          <w:i/>
          <w:iCs/>
          <w:sz w:val="26"/>
          <w:szCs w:val="26"/>
        </w:rPr>
        <w:t>Kwikset</w:t>
      </w:r>
      <w:r>
        <w:rPr>
          <w:rFonts w:ascii="Century Schoolbook" w:hAnsi="Century Schoolbook"/>
          <w:sz w:val="26"/>
          <w:szCs w:val="26"/>
        </w:rPr>
        <w:t>).)  Thus, to h</w:t>
      </w:r>
      <w:r>
        <w:rPr>
          <w:rFonts w:ascii="Century Schoolbook" w:hAnsi="Century Schoolbook"/>
          <w:sz w:val="26"/>
          <w:szCs w:val="26"/>
        </w:rPr>
        <w:t>ave standing, plaintiff must establish that she has personally “lost money or property,” that she has some form of economic injury—that she has “personally suffered . . . harm.” (</w:t>
      </w:r>
      <w:r>
        <w:rPr>
          <w:rFonts w:ascii="Century Schoolbook" w:hAnsi="Century Schoolbook"/>
          <w:i/>
          <w:iCs/>
          <w:sz w:val="26"/>
          <w:szCs w:val="26"/>
        </w:rPr>
        <w:t>Kwikset</w:t>
      </w:r>
      <w:r>
        <w:rPr>
          <w:rFonts w:ascii="Century Schoolbook" w:hAnsi="Century Schoolbook"/>
          <w:sz w:val="26"/>
          <w:szCs w:val="26"/>
        </w:rPr>
        <w:t xml:space="preserve">, </w:t>
      </w:r>
      <w:r>
        <w:rPr>
          <w:rFonts w:ascii="Century Schoolbook" w:hAnsi="Century Schoolbook"/>
          <w:i/>
          <w:iCs/>
          <w:sz w:val="26"/>
          <w:szCs w:val="26"/>
        </w:rPr>
        <w:t>supra</w:t>
      </w:r>
      <w:r>
        <w:rPr>
          <w:rFonts w:ascii="Century Schoolbook" w:hAnsi="Century Schoolbook"/>
          <w:sz w:val="26"/>
          <w:szCs w:val="26"/>
        </w:rPr>
        <w:t xml:space="preserve">, 51 Cal.4th at p. 323; see generally </w:t>
      </w:r>
      <w:r>
        <w:rPr>
          <w:rFonts w:ascii="Century Schoolbook" w:hAnsi="Century Schoolbook"/>
          <w:i/>
          <w:iCs/>
          <w:sz w:val="26"/>
          <w:szCs w:val="26"/>
        </w:rPr>
        <w:t xml:space="preserve">Hall v. Time, Inc. </w:t>
      </w:r>
      <w:r>
        <w:rPr>
          <w:rFonts w:ascii="Century Schoolbook" w:hAnsi="Century Schoolbook"/>
          <w:sz w:val="26"/>
          <w:szCs w:val="26"/>
        </w:rPr>
        <w:t>(2008)</w:t>
      </w:r>
      <w:r>
        <w:rPr>
          <w:rFonts w:ascii="Century Schoolbook" w:hAnsi="Century Schoolbook"/>
          <w:sz w:val="26"/>
          <w:szCs w:val="26"/>
        </w:rPr>
        <w:t xml:space="preserve"> 158 Cal.App.4th 847, 854</w:t>
      </w:r>
      <w:r>
        <w:rPr>
          <w:rFonts w:ascii="Symbol" w:hAnsi="Symbol"/>
          <w:sz w:val="26"/>
          <w:szCs w:val="26"/>
        </w:rPr>
        <w:sym w:font="Symbol" w:char="F02D"/>
      </w:r>
      <w:r>
        <w:rPr>
          <w:rFonts w:ascii="Century Schoolbook" w:hAnsi="Century Schoolbook"/>
          <w:sz w:val="26"/>
          <w:szCs w:val="26"/>
        </w:rPr>
        <w:t>855.)  Put bluntly, plaintiff must prove “policy benefits.”</w:t>
      </w:r>
    </w:p>
    <w:p w14:paraId="3030E17A" w14:textId="77777777" w:rsidR="00722052" w:rsidRDefault="004A1489" w:rsidP="00D3449A">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sz w:val="26"/>
          <w:szCs w:val="26"/>
        </w:rPr>
      </w:pPr>
      <w:r>
        <w:rPr>
          <w:rFonts w:ascii="Century Schoolbook" w:hAnsi="Century Schoolbook"/>
          <w:b/>
          <w:bCs/>
          <w:sz w:val="26"/>
          <w:szCs w:val="26"/>
        </w:rPr>
        <w:t>State Farm Did Not Waive the Limitation Provision</w:t>
      </w:r>
    </w:p>
    <w:p w14:paraId="5E46C648" w14:textId="77777777" w:rsidR="00351259" w:rsidRDefault="004A1489" w:rsidP="00D3449A">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sz w:val="26"/>
          <w:szCs w:val="26"/>
        </w:rPr>
      </w:pPr>
      <w:r>
        <w:rPr>
          <w:rFonts w:ascii="Century Schoolbook" w:hAnsi="Century Schoolbook"/>
          <w:sz w:val="26"/>
          <w:szCs w:val="26"/>
        </w:rPr>
        <w:t>Plaintiff’s other argument is that State Farm waived the limitations period by reopening her claim in response to her hu</w:t>
      </w:r>
      <w:r>
        <w:rPr>
          <w:rFonts w:ascii="Century Schoolbook" w:hAnsi="Century Schoolbook"/>
          <w:sz w:val="26"/>
          <w:szCs w:val="26"/>
        </w:rPr>
        <w:t xml:space="preserve">sband’s follow-up inquiry.  Judge </w:t>
      </w:r>
      <w:proofErr w:type="spellStart"/>
      <w:r>
        <w:rPr>
          <w:rFonts w:ascii="Century Schoolbook" w:hAnsi="Century Schoolbook"/>
          <w:sz w:val="26"/>
          <w:szCs w:val="26"/>
        </w:rPr>
        <w:t>Massullo</w:t>
      </w:r>
      <w:proofErr w:type="spellEnd"/>
      <w:r>
        <w:rPr>
          <w:rFonts w:ascii="Century Schoolbook" w:hAnsi="Century Schoolbook"/>
          <w:sz w:val="26"/>
          <w:szCs w:val="26"/>
        </w:rPr>
        <w:t xml:space="preserve"> rejected the argument.  So do we, for reasons both legal and factual.</w:t>
      </w:r>
    </w:p>
    <w:p w14:paraId="5C31A480" w14:textId="77777777" w:rsidR="00A32AEB" w:rsidRDefault="004A1489" w:rsidP="00A32AEB">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sz w:val="26"/>
          <w:szCs w:val="26"/>
        </w:rPr>
      </w:pPr>
      <w:r>
        <w:rPr>
          <w:rFonts w:ascii="Century Schoolbook" w:hAnsi="Century Schoolbook"/>
          <w:i/>
          <w:iCs/>
          <w:sz w:val="26"/>
          <w:szCs w:val="26"/>
        </w:rPr>
        <w:t>Prudential</w:t>
      </w:r>
      <w:r>
        <w:rPr>
          <w:rFonts w:ascii="Century Schoolbook" w:hAnsi="Century Schoolbook"/>
          <w:sz w:val="26"/>
          <w:szCs w:val="26"/>
        </w:rPr>
        <w:t xml:space="preserve">, </w:t>
      </w:r>
      <w:r>
        <w:rPr>
          <w:rFonts w:ascii="Century Schoolbook" w:hAnsi="Century Schoolbook"/>
          <w:i/>
          <w:iCs/>
          <w:sz w:val="26"/>
          <w:szCs w:val="26"/>
        </w:rPr>
        <w:t>supra</w:t>
      </w:r>
      <w:r w:rsidRPr="0040496C">
        <w:rPr>
          <w:rFonts w:ascii="Century Schoolbook" w:hAnsi="Century Schoolbook"/>
          <w:sz w:val="26"/>
          <w:szCs w:val="26"/>
        </w:rPr>
        <w:t>, 51 Cal.3d 674</w:t>
      </w:r>
      <w:r>
        <w:rPr>
          <w:rFonts w:ascii="Century Schoolbook" w:hAnsi="Century Schoolbook"/>
          <w:sz w:val="26"/>
          <w:szCs w:val="26"/>
        </w:rPr>
        <w:t>, is dispositive.  There, in the context of a discussion of cases involving waiver and estoppel, the Supreme Co</w:t>
      </w:r>
      <w:r>
        <w:rPr>
          <w:rFonts w:ascii="Century Schoolbook" w:hAnsi="Century Schoolbook"/>
          <w:sz w:val="26"/>
          <w:szCs w:val="26"/>
        </w:rPr>
        <w:t>urt quoted Witkin on estoppel cases, which “roughly fall into three classes.”  Then, after quoting the classes, the Supreme Court went on with examples</w:t>
      </w:r>
      <w:proofErr w:type="gramStart"/>
      <w:r>
        <w:rPr>
          <w:rFonts w:ascii="Century Schoolbook" w:hAnsi="Century Schoolbook"/>
          <w:sz w:val="26"/>
          <w:szCs w:val="26"/>
        </w:rPr>
        <w:t>:  “</w:t>
      </w:r>
      <w:proofErr w:type="gramEnd"/>
      <w:r>
        <w:rPr>
          <w:rFonts w:ascii="Century Schoolbook" w:hAnsi="Century Schoolbook"/>
          <w:sz w:val="26"/>
          <w:szCs w:val="26"/>
        </w:rPr>
        <w:t>For example, if the insurer expressly extends the one-year suit provision during its claim investigat</w:t>
      </w:r>
      <w:r>
        <w:rPr>
          <w:rFonts w:ascii="Century Schoolbook" w:hAnsi="Century Schoolbook"/>
          <w:sz w:val="26"/>
          <w:szCs w:val="26"/>
        </w:rPr>
        <w:t xml:space="preserve">ion, the insurer waives its right to raise a timeliness defense to the insured’s action.”  Adding footnote 5.  And footnote 5 said this:  </w:t>
      </w:r>
    </w:p>
    <w:p w14:paraId="7780B55D" w14:textId="77777777" w:rsidR="0040496C" w:rsidRDefault="004A1489" w:rsidP="00C07532">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sz w:val="26"/>
          <w:szCs w:val="26"/>
        </w:rPr>
      </w:pPr>
      <w:r>
        <w:rPr>
          <w:rFonts w:ascii="Century Schoolbook" w:hAnsi="Century Schoolbook"/>
          <w:sz w:val="26"/>
          <w:szCs w:val="26"/>
        </w:rPr>
        <w:t>“As amicus curiae observe, similar conduct by the insurer after the limitation period has run—such as failing to cite</w:t>
      </w:r>
      <w:r>
        <w:rPr>
          <w:rFonts w:ascii="Century Schoolbook" w:hAnsi="Century Schoolbook"/>
          <w:sz w:val="26"/>
          <w:szCs w:val="26"/>
        </w:rPr>
        <w:t xml:space="preserve"> the limitation provision </w:t>
      </w:r>
      <w:r>
        <w:rPr>
          <w:rFonts w:ascii="Century Schoolbook" w:hAnsi="Century Schoolbook"/>
          <w:sz w:val="26"/>
          <w:szCs w:val="26"/>
        </w:rPr>
        <w:lastRenderedPageBreak/>
        <w:t>when it denies the claim, failing to advise the insured of the existence of the limitation provision, or failing to specifically plead the time bar as a defense—cannot, as a matter of law, amount to a waiver or estoppel.”  (</w:t>
      </w:r>
      <w:r>
        <w:rPr>
          <w:rFonts w:ascii="Century Schoolbook" w:hAnsi="Century Schoolbook"/>
          <w:i/>
          <w:iCs/>
          <w:sz w:val="26"/>
          <w:szCs w:val="26"/>
        </w:rPr>
        <w:t>Pruden</w:t>
      </w:r>
      <w:r>
        <w:rPr>
          <w:rFonts w:ascii="Century Schoolbook" w:hAnsi="Century Schoolbook"/>
          <w:i/>
          <w:iCs/>
          <w:sz w:val="26"/>
          <w:szCs w:val="26"/>
        </w:rPr>
        <w:t>tial</w:t>
      </w:r>
      <w:r>
        <w:rPr>
          <w:rFonts w:ascii="Century Schoolbook" w:hAnsi="Century Schoolbook"/>
          <w:sz w:val="26"/>
          <w:szCs w:val="26"/>
        </w:rPr>
        <w:t>, at p. 690, fn. 5.)</w:t>
      </w:r>
    </w:p>
    <w:p w14:paraId="1FBA9C16" w14:textId="77777777" w:rsidR="00BB134D" w:rsidRDefault="004A1489" w:rsidP="00AC76DC">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sz w:val="26"/>
          <w:szCs w:val="26"/>
        </w:rPr>
      </w:pPr>
      <w:r>
        <w:rPr>
          <w:rFonts w:ascii="Century Schoolbook" w:hAnsi="Century Schoolbook"/>
          <w:sz w:val="26"/>
          <w:szCs w:val="26"/>
        </w:rPr>
        <w:t xml:space="preserve">Plaintiff asserts that </w:t>
      </w:r>
      <w:r>
        <w:rPr>
          <w:rFonts w:ascii="Century Schoolbook" w:hAnsi="Century Schoolbook"/>
          <w:i/>
          <w:iCs/>
          <w:sz w:val="26"/>
          <w:szCs w:val="26"/>
        </w:rPr>
        <w:t xml:space="preserve">Prudential </w:t>
      </w:r>
      <w:r>
        <w:rPr>
          <w:rFonts w:ascii="Century Schoolbook" w:hAnsi="Century Schoolbook"/>
          <w:sz w:val="26"/>
          <w:szCs w:val="26"/>
        </w:rPr>
        <w:t xml:space="preserve">“inadvertently introduced confusion into the law,” that the Supreme Court’s language “cannot possibly have been what the court intended,” and devotes many pages in her brief to a discussion of how </w:t>
      </w:r>
      <w:r>
        <w:rPr>
          <w:rFonts w:ascii="Century Schoolbook" w:hAnsi="Century Schoolbook"/>
          <w:i/>
          <w:iCs/>
          <w:sz w:val="26"/>
          <w:szCs w:val="26"/>
        </w:rPr>
        <w:t>Prudential</w:t>
      </w:r>
      <w:r>
        <w:rPr>
          <w:rFonts w:ascii="Century Schoolbook" w:hAnsi="Century Schoolbook"/>
          <w:sz w:val="26"/>
          <w:szCs w:val="26"/>
        </w:rPr>
        <w:t xml:space="preserve"> does not mean what it says, very much as she did below.  As plaintiff puts it at one point, </w:t>
      </w:r>
      <w:r>
        <w:rPr>
          <w:rFonts w:ascii="Century Schoolbook" w:hAnsi="Century Schoolbook"/>
          <w:i/>
          <w:iCs/>
          <w:sz w:val="26"/>
          <w:szCs w:val="26"/>
        </w:rPr>
        <w:t xml:space="preserve">Prudential </w:t>
      </w:r>
      <w:r>
        <w:rPr>
          <w:rFonts w:ascii="Century Schoolbook" w:hAnsi="Century Schoolbook"/>
          <w:sz w:val="26"/>
          <w:szCs w:val="26"/>
        </w:rPr>
        <w:t xml:space="preserve">concerned only the </w:t>
      </w:r>
      <w:proofErr w:type="gramStart"/>
      <w:r>
        <w:rPr>
          <w:rFonts w:ascii="Century Schoolbook" w:hAnsi="Century Schoolbook"/>
          <w:sz w:val="26"/>
          <w:szCs w:val="26"/>
        </w:rPr>
        <w:t>“ ‘</w:t>
      </w:r>
      <w:proofErr w:type="gramEnd"/>
      <w:r>
        <w:rPr>
          <w:rFonts w:ascii="Century Schoolbook" w:hAnsi="Century Schoolbook"/>
          <w:sz w:val="26"/>
          <w:szCs w:val="26"/>
        </w:rPr>
        <w:t>claims’ waiver law of the State of California, not ‘ordinary’ waiver law”—whatever that means.  In all events, the Supre</w:t>
      </w:r>
      <w:r>
        <w:rPr>
          <w:rFonts w:ascii="Century Schoolbook" w:hAnsi="Century Schoolbook"/>
          <w:sz w:val="26"/>
          <w:szCs w:val="26"/>
        </w:rPr>
        <w:t xml:space="preserve">me Court said what it said, </w:t>
      </w:r>
      <w:proofErr w:type="gramStart"/>
      <w:r>
        <w:rPr>
          <w:rFonts w:ascii="Century Schoolbook" w:hAnsi="Century Schoolbook"/>
          <w:sz w:val="26"/>
          <w:szCs w:val="26"/>
        </w:rPr>
        <w:t>in light of</w:t>
      </w:r>
      <w:proofErr w:type="gramEnd"/>
      <w:r>
        <w:rPr>
          <w:rFonts w:ascii="Century Schoolbook" w:hAnsi="Century Schoolbook"/>
          <w:sz w:val="26"/>
          <w:szCs w:val="26"/>
        </w:rPr>
        <w:t xml:space="preserve"> which it is perhaps enough to say that this ends the discussion under </w:t>
      </w:r>
      <w:r>
        <w:rPr>
          <w:rFonts w:ascii="Century Schoolbook" w:hAnsi="Century Schoolbook"/>
          <w:i/>
          <w:iCs/>
          <w:sz w:val="26"/>
          <w:szCs w:val="26"/>
        </w:rPr>
        <w:t xml:space="preserve">Auto Equity Sales, Inc. v. </w:t>
      </w:r>
      <w:r w:rsidRPr="00F60697">
        <w:rPr>
          <w:rFonts w:ascii="Century Schoolbook" w:hAnsi="Century Schoolbook"/>
          <w:i/>
          <w:iCs/>
          <w:sz w:val="26"/>
          <w:szCs w:val="26"/>
        </w:rPr>
        <w:t>Sup</w:t>
      </w:r>
      <w:r>
        <w:rPr>
          <w:rFonts w:ascii="Century Schoolbook" w:hAnsi="Century Schoolbook"/>
          <w:i/>
          <w:iCs/>
          <w:sz w:val="26"/>
          <w:szCs w:val="26"/>
        </w:rPr>
        <w:t>e</w:t>
      </w:r>
      <w:r w:rsidRPr="00F60697">
        <w:rPr>
          <w:rFonts w:ascii="Century Schoolbook" w:hAnsi="Century Schoolbook"/>
          <w:i/>
          <w:iCs/>
          <w:sz w:val="26"/>
          <w:szCs w:val="26"/>
        </w:rPr>
        <w:t>r</w:t>
      </w:r>
      <w:r>
        <w:rPr>
          <w:rFonts w:ascii="Century Schoolbook" w:hAnsi="Century Schoolbook"/>
          <w:i/>
          <w:iCs/>
          <w:sz w:val="26"/>
          <w:szCs w:val="26"/>
        </w:rPr>
        <w:t xml:space="preserve">ior </w:t>
      </w:r>
      <w:r w:rsidRPr="00F60697">
        <w:rPr>
          <w:rFonts w:ascii="Century Schoolbook" w:hAnsi="Century Schoolbook"/>
          <w:i/>
          <w:iCs/>
          <w:sz w:val="26"/>
          <w:szCs w:val="26"/>
        </w:rPr>
        <w:t>Court</w:t>
      </w:r>
      <w:r>
        <w:rPr>
          <w:rFonts w:ascii="Century Schoolbook" w:hAnsi="Century Schoolbook"/>
          <w:sz w:val="26"/>
          <w:szCs w:val="26"/>
        </w:rPr>
        <w:t xml:space="preserve"> (1962) 57 Cal.2d 450, 457.</w:t>
      </w:r>
    </w:p>
    <w:p w14:paraId="5502AFAA" w14:textId="77777777" w:rsidR="009F62B0" w:rsidRPr="00146DC0" w:rsidRDefault="004A1489" w:rsidP="00146DC0">
      <w:pPr>
        <w:pStyle w:val="NormalWeb"/>
        <w:shd w:val="clear" w:color="auto" w:fill="FFFFFF"/>
        <w:spacing w:before="0" w:beforeAutospacing="0" w:after="0" w:afterAutospacing="0" w:line="360" w:lineRule="auto"/>
        <w:ind w:left="-720" w:right="-720" w:firstLine="720"/>
        <w:textAlignment w:val="baseline"/>
        <w:rPr>
          <w:rFonts w:ascii="Century Schoolbook" w:hAnsi="Century Schoolbook"/>
          <w:sz w:val="26"/>
          <w:szCs w:val="26"/>
        </w:rPr>
      </w:pPr>
      <w:r>
        <w:rPr>
          <w:rFonts w:ascii="Century Schoolbook" w:hAnsi="Century Schoolbook"/>
          <w:sz w:val="26"/>
          <w:szCs w:val="26"/>
        </w:rPr>
        <w:t xml:space="preserve">But beyond that, as State Farm puts it, plaintiff “runs head first into decades of contrary case law” applying </w:t>
      </w:r>
      <w:r>
        <w:rPr>
          <w:rFonts w:ascii="Century Schoolbook" w:hAnsi="Century Schoolbook"/>
          <w:i/>
          <w:iCs/>
          <w:sz w:val="26"/>
          <w:szCs w:val="26"/>
        </w:rPr>
        <w:t>Prudential</w:t>
      </w:r>
      <w:r>
        <w:rPr>
          <w:rFonts w:ascii="Century Schoolbook" w:hAnsi="Century Schoolbook"/>
          <w:sz w:val="26"/>
          <w:szCs w:val="26"/>
        </w:rPr>
        <w:t>, going on to cite, for example, “</w:t>
      </w:r>
      <w:r>
        <w:rPr>
          <w:rFonts w:ascii="Century Schoolbook" w:hAnsi="Century Schoolbook"/>
          <w:i/>
          <w:iCs/>
          <w:sz w:val="26"/>
          <w:szCs w:val="26"/>
        </w:rPr>
        <w:t xml:space="preserve">CBS Broadcasting Inc. v. Fireman’s Fund Ins. Co. </w:t>
      </w:r>
      <w:r>
        <w:rPr>
          <w:rFonts w:ascii="Century Schoolbook" w:hAnsi="Century Schoolbook"/>
          <w:sz w:val="26"/>
          <w:szCs w:val="26"/>
        </w:rPr>
        <w:t>(1999) 70 Cal.App.4th 1075, 1085 [‘CBS cannot escape</w:t>
      </w:r>
      <w:r>
        <w:rPr>
          <w:rFonts w:ascii="Century Schoolbook" w:hAnsi="Century Schoolbook"/>
          <w:sz w:val="26"/>
          <w:szCs w:val="26"/>
        </w:rPr>
        <w:t xml:space="preserve"> the effect of the limitations provisions by relying on Fireman’s actions occurring months after the claim was barred’]; </w:t>
      </w:r>
      <w:r>
        <w:rPr>
          <w:rFonts w:ascii="Century Schoolbook" w:hAnsi="Century Schoolbook"/>
          <w:i/>
          <w:iCs/>
          <w:sz w:val="26"/>
          <w:szCs w:val="26"/>
        </w:rPr>
        <w:t xml:space="preserve">Singh v. Allstate Ins. Co. </w:t>
      </w:r>
      <w:r>
        <w:rPr>
          <w:rFonts w:ascii="Century Schoolbook" w:hAnsi="Century Schoolbook"/>
          <w:sz w:val="26"/>
          <w:szCs w:val="26"/>
        </w:rPr>
        <w:t>(1998) 63 Cal.App.4th 135, 144, fn. 1 [‘[A] carrier’s representation, e.g., that it will “reopen” a file, wh</w:t>
      </w:r>
      <w:r>
        <w:rPr>
          <w:rFonts w:ascii="Century Schoolbook" w:hAnsi="Century Schoolbook"/>
          <w:sz w:val="26"/>
          <w:szCs w:val="26"/>
        </w:rPr>
        <w:t xml:space="preserve">ich is made after the one year period has expired, will not result in a waiver or estoppel’]; </w:t>
      </w:r>
      <w:r>
        <w:rPr>
          <w:rFonts w:ascii="Century Schoolbook" w:hAnsi="Century Schoolbook"/>
          <w:i/>
          <w:iCs/>
          <w:sz w:val="26"/>
          <w:szCs w:val="26"/>
        </w:rPr>
        <w:t xml:space="preserve">Love v. Fire Ins. Exchange </w:t>
      </w:r>
      <w:r>
        <w:rPr>
          <w:rFonts w:ascii="Century Schoolbook" w:hAnsi="Century Schoolbook"/>
          <w:sz w:val="26"/>
          <w:szCs w:val="26"/>
        </w:rPr>
        <w:t>(1990) 221 Cal.App.3d 1136, 1151 [‘Because all of Love’s rights under the policy had already lapsed, the Loves’ resubmission of the cla</w:t>
      </w:r>
      <w:r>
        <w:rPr>
          <w:rFonts w:ascii="Century Schoolbook" w:hAnsi="Century Schoolbook"/>
          <w:sz w:val="26"/>
          <w:szCs w:val="26"/>
        </w:rPr>
        <w:t xml:space="preserve">im does not entitle them to recover damages’].”  As </w:t>
      </w:r>
      <w:r w:rsidRPr="00146DC0">
        <w:rPr>
          <w:rFonts w:ascii="Century Schoolbook" w:hAnsi="Century Schoolbook"/>
          <w:i/>
          <w:iCs/>
          <w:sz w:val="26"/>
          <w:szCs w:val="26"/>
        </w:rPr>
        <w:t xml:space="preserve">Singh </w:t>
      </w:r>
      <w:r>
        <w:rPr>
          <w:rFonts w:ascii="Century Schoolbook" w:hAnsi="Century Schoolbook"/>
          <w:i/>
          <w:iCs/>
          <w:sz w:val="26"/>
          <w:szCs w:val="26"/>
        </w:rPr>
        <w:t xml:space="preserve">v. Allstate Ins. Co. </w:t>
      </w:r>
      <w:r w:rsidRPr="000B36BE">
        <w:rPr>
          <w:rFonts w:ascii="Century Schoolbook" w:hAnsi="Century Schoolbook"/>
          <w:sz w:val="26"/>
          <w:szCs w:val="26"/>
        </w:rPr>
        <w:t>put it</w:t>
      </w:r>
      <w:r w:rsidRPr="00146DC0">
        <w:rPr>
          <w:rFonts w:ascii="Century Schoolbook" w:hAnsi="Century Schoolbook"/>
          <w:sz w:val="26"/>
          <w:szCs w:val="26"/>
        </w:rPr>
        <w:t xml:space="preserve">, </w:t>
      </w:r>
      <w:r w:rsidRPr="00146DC0">
        <w:rPr>
          <w:rFonts w:ascii="Century Schoolbook" w:hAnsi="Century Schoolbook"/>
          <w:sz w:val="26"/>
          <w:szCs w:val="26"/>
          <w:shd w:val="clear" w:color="auto" w:fill="FFFFFF"/>
        </w:rPr>
        <w:t>“As the </w:t>
      </w:r>
      <w:r w:rsidRPr="00146DC0">
        <w:rPr>
          <w:rStyle w:val="ssit"/>
          <w:rFonts w:ascii="Century Schoolbook" w:hAnsi="Century Schoolbook"/>
          <w:i/>
          <w:iCs/>
          <w:sz w:val="26"/>
          <w:szCs w:val="26"/>
          <w:bdr w:val="none" w:sz="0" w:space="0" w:color="auto" w:frame="1"/>
          <w:shd w:val="clear" w:color="auto" w:fill="FFFFFF"/>
        </w:rPr>
        <w:t>Prudential-</w:t>
      </w:r>
      <w:proofErr w:type="spellStart"/>
      <w:r w:rsidRPr="00146DC0">
        <w:rPr>
          <w:rStyle w:val="ssit"/>
          <w:rFonts w:ascii="Century Schoolbook" w:hAnsi="Century Schoolbook"/>
          <w:i/>
          <w:iCs/>
          <w:sz w:val="26"/>
          <w:szCs w:val="26"/>
          <w:bdr w:val="none" w:sz="0" w:space="0" w:color="auto" w:frame="1"/>
          <w:shd w:val="clear" w:color="auto" w:fill="FFFFFF"/>
        </w:rPr>
        <w:t>LMI</w:t>
      </w:r>
      <w:proofErr w:type="spellEnd"/>
      <w:r w:rsidRPr="00146DC0">
        <w:rPr>
          <w:rFonts w:ascii="Century Schoolbook" w:hAnsi="Century Schoolbook"/>
          <w:sz w:val="26"/>
          <w:szCs w:val="26"/>
          <w:shd w:val="clear" w:color="auto" w:fill="FFFFFF"/>
        </w:rPr>
        <w:t> court noted, ‘[</w:t>
      </w:r>
      <w:proofErr w:type="spellStart"/>
      <w:r w:rsidRPr="00146DC0">
        <w:rPr>
          <w:rFonts w:ascii="Century Schoolbook" w:hAnsi="Century Schoolbook"/>
          <w:sz w:val="26"/>
          <w:szCs w:val="26"/>
          <w:shd w:val="clear" w:color="auto" w:fill="FFFFFF"/>
        </w:rPr>
        <w:t>i</w:t>
      </w:r>
      <w:proofErr w:type="spellEnd"/>
      <w:r w:rsidRPr="00146DC0">
        <w:rPr>
          <w:rFonts w:ascii="Century Schoolbook" w:hAnsi="Century Schoolbook"/>
          <w:sz w:val="26"/>
          <w:szCs w:val="26"/>
          <w:shd w:val="clear" w:color="auto" w:fill="FFFFFF"/>
        </w:rPr>
        <w:t xml:space="preserve">]t is settled law that a waiver exists whenever an insurer intentionally relinquishes its right to rely on the </w:t>
      </w:r>
      <w:r w:rsidRPr="00146DC0">
        <w:rPr>
          <w:rFonts w:ascii="Century Schoolbook" w:hAnsi="Century Schoolbook"/>
          <w:sz w:val="26"/>
          <w:szCs w:val="26"/>
          <w:shd w:val="clear" w:color="auto" w:fill="FFFFFF"/>
        </w:rPr>
        <w:t xml:space="preserve">limitations </w:t>
      </w:r>
      <w:proofErr w:type="gramStart"/>
      <w:r w:rsidRPr="00146DC0">
        <w:rPr>
          <w:rFonts w:ascii="Century Schoolbook" w:hAnsi="Century Schoolbook"/>
          <w:sz w:val="26"/>
          <w:szCs w:val="26"/>
          <w:shd w:val="clear" w:color="auto" w:fill="FFFFFF"/>
        </w:rPr>
        <w:t>provision[</w:t>
      </w:r>
      <w:proofErr w:type="gramEnd"/>
      <w:r w:rsidRPr="00146DC0">
        <w:rPr>
          <w:rFonts w:ascii="Century Schoolbook" w:hAnsi="Century Schoolbook"/>
          <w:sz w:val="26"/>
          <w:szCs w:val="26"/>
          <w:shd w:val="clear" w:color="auto" w:fill="FFFFFF"/>
        </w:rPr>
        <w:t>,]</w:t>
      </w:r>
      <w:r>
        <w:rPr>
          <w:rFonts w:ascii="Century Schoolbook" w:hAnsi="Century Schoolbook"/>
          <w:sz w:val="26"/>
          <w:szCs w:val="26"/>
          <w:shd w:val="clear" w:color="auto" w:fill="FFFFFF"/>
        </w:rPr>
        <w:t xml:space="preserve"> [¶] [</w:t>
      </w:r>
      <w:r w:rsidRPr="00146DC0">
        <w:rPr>
          <w:rFonts w:ascii="Century Schoolbook" w:hAnsi="Century Schoolbook"/>
          <w:sz w:val="26"/>
          <w:szCs w:val="26"/>
          <w:shd w:val="clear" w:color="auto" w:fill="FFFFFF"/>
        </w:rPr>
        <w:t>w]</w:t>
      </w:r>
      <w:proofErr w:type="spellStart"/>
      <w:r w:rsidRPr="00146DC0">
        <w:rPr>
          <w:rFonts w:ascii="Century Schoolbook" w:hAnsi="Century Schoolbook"/>
          <w:sz w:val="26"/>
          <w:szCs w:val="26"/>
          <w:shd w:val="clear" w:color="auto" w:fill="FFFFFF"/>
        </w:rPr>
        <w:t>ith</w:t>
      </w:r>
      <w:proofErr w:type="spellEnd"/>
      <w:r w:rsidRPr="00146DC0">
        <w:rPr>
          <w:rFonts w:ascii="Century Schoolbook" w:hAnsi="Century Schoolbook"/>
          <w:sz w:val="26"/>
          <w:szCs w:val="26"/>
          <w:shd w:val="clear" w:color="auto" w:fill="FFFFFF"/>
        </w:rPr>
        <w:t xml:space="preserve"> the exception of conduct or </w:t>
      </w:r>
      <w:r w:rsidRPr="00146DC0">
        <w:rPr>
          <w:rFonts w:ascii="Century Schoolbook" w:hAnsi="Century Schoolbook"/>
          <w:sz w:val="26"/>
          <w:szCs w:val="26"/>
          <w:shd w:val="clear" w:color="auto" w:fill="FFFFFF"/>
        </w:rPr>
        <w:lastRenderedPageBreak/>
        <w:t>representations made after the contractual limitation period has run.”  (</w:t>
      </w:r>
      <w:r w:rsidRPr="00146DC0">
        <w:rPr>
          <w:rFonts w:ascii="Century Schoolbook" w:hAnsi="Century Schoolbook"/>
          <w:i/>
          <w:iCs/>
          <w:sz w:val="26"/>
          <w:szCs w:val="26"/>
        </w:rPr>
        <w:t>Singh v. Allstate Ins. Co.</w:t>
      </w:r>
      <w:r w:rsidRPr="00146DC0">
        <w:rPr>
          <w:rFonts w:ascii="Century Schoolbook" w:hAnsi="Century Schoolbook"/>
          <w:sz w:val="26"/>
          <w:szCs w:val="26"/>
        </w:rPr>
        <w:t xml:space="preserve">, </w:t>
      </w:r>
      <w:r w:rsidRPr="00B87BF0">
        <w:rPr>
          <w:rFonts w:ascii="Century Schoolbook" w:hAnsi="Century Schoolbook"/>
          <w:i/>
          <w:iCs/>
          <w:sz w:val="26"/>
          <w:szCs w:val="26"/>
        </w:rPr>
        <w:t>supra</w:t>
      </w:r>
      <w:r>
        <w:rPr>
          <w:rFonts w:ascii="Century Schoolbook" w:hAnsi="Century Schoolbook"/>
          <w:sz w:val="26"/>
          <w:szCs w:val="26"/>
        </w:rPr>
        <w:t xml:space="preserve">, 63 Cal.App.4th </w:t>
      </w:r>
      <w:r w:rsidRPr="000B36BE">
        <w:rPr>
          <w:rFonts w:ascii="Century Schoolbook" w:hAnsi="Century Schoolbook"/>
          <w:sz w:val="26"/>
          <w:szCs w:val="26"/>
        </w:rPr>
        <w:t>at</w:t>
      </w:r>
      <w:r w:rsidRPr="00146DC0">
        <w:rPr>
          <w:rFonts w:ascii="Century Schoolbook" w:hAnsi="Century Schoolbook"/>
          <w:sz w:val="26"/>
          <w:szCs w:val="26"/>
        </w:rPr>
        <w:t xml:space="preserve"> p. 144 </w:t>
      </w:r>
      <w:r>
        <w:rPr>
          <w:rFonts w:ascii="Century Schoolbook" w:hAnsi="Century Schoolbook"/>
          <w:sz w:val="26"/>
          <w:szCs w:val="26"/>
        </w:rPr>
        <w:t>&amp;</w:t>
      </w:r>
      <w:r w:rsidRPr="00146DC0">
        <w:rPr>
          <w:rFonts w:ascii="Century Schoolbook" w:hAnsi="Century Schoolbook"/>
          <w:sz w:val="26"/>
          <w:szCs w:val="26"/>
        </w:rPr>
        <w:t xml:space="preserve"> fn. 2</w:t>
      </w:r>
      <w:r w:rsidRPr="00146DC0">
        <w:rPr>
          <w:rFonts w:ascii="Century Schoolbook" w:hAnsi="Century Schoolbook"/>
          <w:i/>
          <w:iCs/>
          <w:sz w:val="26"/>
          <w:szCs w:val="26"/>
        </w:rPr>
        <w:t>.</w:t>
      </w:r>
      <w:r w:rsidRPr="00146DC0">
        <w:rPr>
          <w:rFonts w:ascii="Century Schoolbook" w:hAnsi="Century Schoolbook"/>
          <w:sz w:val="26"/>
          <w:szCs w:val="26"/>
        </w:rPr>
        <w:t>)</w:t>
      </w:r>
    </w:p>
    <w:p w14:paraId="6319E506" w14:textId="77777777" w:rsidR="006F6C2A" w:rsidRDefault="004A1489" w:rsidP="00F051BB">
      <w:pPr>
        <w:shd w:val="clear" w:color="auto" w:fill="FFFFFF"/>
        <w:spacing w:line="360" w:lineRule="auto"/>
        <w:ind w:left="-720" w:right="-720" w:firstLine="720"/>
        <w:textAlignment w:val="baseline"/>
      </w:pPr>
      <w:r>
        <w:t>Were all that not enough, in his leading Californ</w:t>
      </w:r>
      <w:r>
        <w:t>ia commentary,</w:t>
      </w:r>
      <w:r>
        <w:rPr>
          <w:i/>
          <w:iCs/>
        </w:rPr>
        <w:t xml:space="preserve"> </w:t>
      </w:r>
      <w:r>
        <w:t xml:space="preserve">the late Justice </w:t>
      </w:r>
      <w:proofErr w:type="spellStart"/>
      <w:r>
        <w:t>Croskey</w:t>
      </w:r>
      <w:proofErr w:type="spellEnd"/>
      <w:r>
        <w:t xml:space="preserve"> had this point-blank statement of the law</w:t>
      </w:r>
      <w:proofErr w:type="gramStart"/>
      <w:r>
        <w:t>:  “</w:t>
      </w:r>
      <w:proofErr w:type="gramEnd"/>
      <w:r>
        <w:t>No estoppel based on conduct after time limit has run:  ‘[C]</w:t>
      </w:r>
      <w:proofErr w:type="spellStart"/>
      <w:r>
        <w:t>onduct</w:t>
      </w:r>
      <w:proofErr w:type="spellEnd"/>
      <w:r>
        <w:t xml:space="preserve"> by the insurer after the limitation period has run . . .  cannot, as a matter of law, amount to a waiver</w:t>
      </w:r>
      <w:r>
        <w:t xml:space="preserve"> or estoppel.</w:t>
      </w:r>
      <w:proofErr w:type="gramStart"/>
      <w:r>
        <w:t>’ ”</w:t>
      </w:r>
      <w:proofErr w:type="gramEnd"/>
      <w:r>
        <w:t xml:space="preserve">  (</w:t>
      </w:r>
      <w:proofErr w:type="spellStart"/>
      <w:r>
        <w:t>Croskey</w:t>
      </w:r>
      <w:proofErr w:type="spellEnd"/>
      <w:r>
        <w:t xml:space="preserve"> et al., Cal. Practice Guide:  Insurance Litigation, </w:t>
      </w:r>
      <w:r>
        <w:rPr>
          <w:i/>
          <w:iCs/>
        </w:rPr>
        <w:t>supra</w:t>
      </w:r>
      <w:r>
        <w:t xml:space="preserve">, ¶ 12:1126.10, citing among other cases </w:t>
      </w:r>
      <w:r>
        <w:rPr>
          <w:i/>
          <w:iCs/>
        </w:rPr>
        <w:t>Prudential</w:t>
      </w:r>
      <w:r>
        <w:t>.)</w:t>
      </w:r>
    </w:p>
    <w:p w14:paraId="7373EFF8" w14:textId="77777777" w:rsidR="00C2049A" w:rsidRDefault="004A1489" w:rsidP="00F051BB">
      <w:pPr>
        <w:shd w:val="clear" w:color="auto" w:fill="FFFFFF"/>
        <w:spacing w:line="360" w:lineRule="auto"/>
        <w:ind w:left="-720" w:right="-720" w:firstLine="720"/>
        <w:textAlignment w:val="baseline"/>
      </w:pPr>
      <w:r>
        <w:t>But even if plaintiff could show that State Farm could waive the provision, her showing would fail as a matter of proo</w:t>
      </w:r>
      <w:r>
        <w:t>f.</w:t>
      </w:r>
    </w:p>
    <w:p w14:paraId="41C9E04D" w14:textId="77777777" w:rsidR="00D77B79" w:rsidRDefault="004A1489" w:rsidP="00F051BB">
      <w:pPr>
        <w:shd w:val="clear" w:color="auto" w:fill="FFFFFF"/>
        <w:spacing w:line="360" w:lineRule="auto"/>
        <w:ind w:left="-720" w:right="-720" w:firstLine="720"/>
        <w:textAlignment w:val="baseline"/>
      </w:pPr>
      <w:r>
        <w:t>Plaintiff argues State Farm waived their contractual limitations period by “reopening” her claim nearly one year after State Farm had originally denied the claim.  More specifically, plaintiff alleges that in response to her husband’s “follow-up inquiry</w:t>
      </w:r>
      <w:r>
        <w:t xml:space="preserve">” to see “what, if anything, could be done.”  Claim Specialist Lee left a voicemail that State Farm had “reopened” her claim, and that she was “available to address and possibly resolve any questions plaintiff had about the coverage before plaintiff might </w:t>
      </w:r>
      <w:r>
        <w:t>want to ‘move forward with the next step.</w:t>
      </w:r>
      <w:proofErr w:type="gramStart"/>
      <w:r>
        <w:t>’ ”</w:t>
      </w:r>
      <w:proofErr w:type="gramEnd"/>
      <w:r>
        <w:t xml:space="preserve">  In sum, plaintiff alleges State Farm waived its limitation defense by using words like “reopened,” “for some reason,” and “next step.”  It is manifestly insufficient.</w:t>
      </w:r>
    </w:p>
    <w:p w14:paraId="78AEB054" w14:textId="77777777" w:rsidR="00E66519" w:rsidRDefault="004A1489" w:rsidP="00F051BB">
      <w:pPr>
        <w:shd w:val="clear" w:color="auto" w:fill="FFFFFF"/>
        <w:spacing w:line="360" w:lineRule="auto"/>
        <w:ind w:left="-720" w:right="-720" w:firstLine="720"/>
        <w:textAlignment w:val="baseline"/>
      </w:pPr>
      <w:r>
        <w:t>To establish waiver, plaintiff must show St</w:t>
      </w:r>
      <w:r>
        <w:t>ate Farm “intentionally relinquish[ed] its right to rely on the limitations provision.” (</w:t>
      </w:r>
      <w:r>
        <w:rPr>
          <w:i/>
          <w:iCs/>
        </w:rPr>
        <w:t>Prudential</w:t>
      </w:r>
      <w:r>
        <w:t xml:space="preserve">, </w:t>
      </w:r>
      <w:r>
        <w:rPr>
          <w:i/>
          <w:iCs/>
        </w:rPr>
        <w:t>supra</w:t>
      </w:r>
      <w:r>
        <w:t xml:space="preserve">, 51 Cal.3d at p. 689.)  And </w:t>
      </w:r>
      <w:proofErr w:type="gramStart"/>
      <w:r>
        <w:t>“ ‘</w:t>
      </w:r>
      <w:proofErr w:type="gramEnd"/>
      <w:r>
        <w:t>[t]he burden . . . is on the party claiming a waiver of a right to prove it by clear and convincing evidence that does</w:t>
      </w:r>
      <w:r>
        <w:t xml:space="preserve"> not leave the matter to speculation, and “doubtful cases will be decided against a waiver.”  [Citation.]</w:t>
      </w:r>
      <w:proofErr w:type="gramStart"/>
      <w:r>
        <w:t>’ ”</w:t>
      </w:r>
      <w:proofErr w:type="gramEnd"/>
      <w:r>
        <w:t xml:space="preserve">  (</w:t>
      </w:r>
      <w:r>
        <w:rPr>
          <w:i/>
          <w:iCs/>
        </w:rPr>
        <w:t>Waller</w:t>
      </w:r>
      <w:r>
        <w:t xml:space="preserve"> </w:t>
      </w:r>
      <w:r w:rsidRPr="001D6B91">
        <w:rPr>
          <w:i/>
          <w:iCs/>
        </w:rPr>
        <w:t>v. Truck</w:t>
      </w:r>
      <w:r>
        <w:t xml:space="preserve"> </w:t>
      </w:r>
      <w:r w:rsidRPr="00336A44">
        <w:rPr>
          <w:i/>
          <w:iCs/>
        </w:rPr>
        <w:t>Ins. Exchange, Inc.</w:t>
      </w:r>
      <w:r>
        <w:t xml:space="preserve"> (1995) 11 Cal.4th </w:t>
      </w:r>
      <w:r>
        <w:lastRenderedPageBreak/>
        <w:t xml:space="preserve">1, 31, citing </w:t>
      </w:r>
      <w:r>
        <w:rPr>
          <w:i/>
          <w:iCs/>
        </w:rPr>
        <w:t xml:space="preserve">City of Ukiah v. </w:t>
      </w:r>
      <w:proofErr w:type="spellStart"/>
      <w:r>
        <w:rPr>
          <w:i/>
          <w:iCs/>
        </w:rPr>
        <w:t>Fones</w:t>
      </w:r>
      <w:proofErr w:type="spellEnd"/>
      <w:r>
        <w:rPr>
          <w:i/>
          <w:iCs/>
        </w:rPr>
        <w:t xml:space="preserve"> </w:t>
      </w:r>
      <w:r>
        <w:t xml:space="preserve">(1962) </w:t>
      </w:r>
      <w:r w:rsidRPr="00FD7A40">
        <w:t>64 Cal.2d 104</w:t>
      </w:r>
      <w:r>
        <w:t>, 107</w:t>
      </w:r>
      <w:r>
        <w:rPr>
          <w:rFonts w:ascii="Symbol" w:hAnsi="Symbol"/>
        </w:rPr>
        <w:sym w:font="Symbol" w:char="F02D"/>
      </w:r>
      <w:r>
        <w:t xml:space="preserve">108.)  </w:t>
      </w:r>
      <w:r>
        <w:t>Plaintiff’s showing does not measure up.</w:t>
      </w:r>
    </w:p>
    <w:p w14:paraId="60AF75DB" w14:textId="77777777" w:rsidR="00366122" w:rsidRDefault="004A1489" w:rsidP="00F051BB">
      <w:pPr>
        <w:shd w:val="clear" w:color="auto" w:fill="FFFFFF"/>
        <w:spacing w:line="360" w:lineRule="auto"/>
        <w:ind w:left="-720" w:right="-720" w:firstLine="720"/>
        <w:textAlignment w:val="baseline"/>
      </w:pPr>
      <w:r>
        <w:t>To begin with, the policy requires any waiver to be in writing.  Plaintiff does not allege State Farm agreed to waive anything in writing.</w:t>
      </w:r>
      <w:r>
        <w:rPr>
          <w:rStyle w:val="FootnoteReference"/>
        </w:rPr>
        <w:footnoteReference w:id="8"/>
      </w:r>
    </w:p>
    <w:p w14:paraId="46494FC4" w14:textId="77777777" w:rsidR="00822A02" w:rsidRDefault="004A1489" w:rsidP="00F051BB">
      <w:pPr>
        <w:shd w:val="clear" w:color="auto" w:fill="FFFFFF"/>
        <w:spacing w:line="360" w:lineRule="auto"/>
        <w:ind w:left="-720" w:right="-720" w:firstLine="720"/>
        <w:textAlignment w:val="baseline"/>
      </w:pPr>
      <w:r>
        <w:t xml:space="preserve">Second, to the extent plaintiff argues waiver was implied by use of words </w:t>
      </w:r>
      <w:r>
        <w:t xml:space="preserve">like “reopened,” “for some reason,” and “next step,” she cites no authority to support the proposition that using such terms magically waives a limitations defense.  Indeed, courts have held the exact opposite, that reopening a denied claim does not waive </w:t>
      </w:r>
      <w:r>
        <w:t xml:space="preserve">a limitations defense.  (See </w:t>
      </w:r>
      <w:r>
        <w:rPr>
          <w:i/>
          <w:iCs/>
        </w:rPr>
        <w:t xml:space="preserve">Gordon v. Deloitte &amp; </w:t>
      </w:r>
      <w:proofErr w:type="spellStart"/>
      <w:r>
        <w:rPr>
          <w:i/>
          <w:iCs/>
        </w:rPr>
        <w:t>Touche</w:t>
      </w:r>
      <w:proofErr w:type="spellEnd"/>
      <w:r>
        <w:rPr>
          <w:i/>
          <w:iCs/>
        </w:rPr>
        <w:t xml:space="preserve">, LLP Group Long Term Disability Plan </w:t>
      </w:r>
      <w:r>
        <w:t>(9th Cir. 2014) 749 F.3d 746, 752 [insurer’s reopening of claim did not constitute waiver, “[e]</w:t>
      </w:r>
      <w:proofErr w:type="spellStart"/>
      <w:r>
        <w:t>ven</w:t>
      </w:r>
      <w:proofErr w:type="spellEnd"/>
      <w:r>
        <w:t xml:space="preserve"> if waiver were possible after the limitation period has run”].)</w:t>
      </w:r>
    </w:p>
    <w:p w14:paraId="0585D9B0" w14:textId="77777777" w:rsidR="008E1BF0" w:rsidRDefault="004A1489" w:rsidP="00AF6D59">
      <w:pPr>
        <w:shd w:val="clear" w:color="auto" w:fill="FFFFFF"/>
        <w:spacing w:line="360" w:lineRule="auto"/>
        <w:ind w:left="-720" w:right="-720"/>
        <w:jc w:val="center"/>
        <w:textAlignment w:val="baseline"/>
      </w:pPr>
      <w:r>
        <w:rPr>
          <w:b/>
          <w:bCs/>
        </w:rPr>
        <w:t>DISPOSITION</w:t>
      </w:r>
    </w:p>
    <w:p w14:paraId="7AFCF359" w14:textId="77777777" w:rsidR="008E1BF0" w:rsidRDefault="004A1489" w:rsidP="008E1BF0">
      <w:pPr>
        <w:shd w:val="clear" w:color="auto" w:fill="FFFFFF"/>
        <w:spacing w:line="360" w:lineRule="auto"/>
        <w:ind w:left="-720" w:right="-720" w:firstLine="720"/>
        <w:textAlignment w:val="baseline"/>
      </w:pPr>
      <w:r>
        <w:t>The judgment is affirmed.  State Farm shall recover its costs on appeal.</w:t>
      </w:r>
    </w:p>
    <w:p w14:paraId="5510A94C" w14:textId="77777777" w:rsidR="00D91E2F" w:rsidRDefault="004A1489">
      <w:pPr>
        <w:tabs>
          <w:tab w:val="clear" w:pos="720"/>
        </w:tabs>
        <w:spacing w:line="360" w:lineRule="auto"/>
      </w:pPr>
      <w:r>
        <w:br w:type="page"/>
      </w:r>
    </w:p>
    <w:p w14:paraId="7B3BAE22" w14:textId="77777777" w:rsidR="00D91E2F" w:rsidRPr="00133A38" w:rsidRDefault="004A1489" w:rsidP="00D91E2F">
      <w:pPr>
        <w:spacing w:line="240" w:lineRule="auto"/>
        <w:ind w:right="90"/>
      </w:pPr>
      <w:r w:rsidRPr="00133A38">
        <w:lastRenderedPageBreak/>
        <w:tab/>
      </w:r>
      <w:r w:rsidRPr="00133A38">
        <w:tab/>
      </w:r>
      <w:r w:rsidRPr="00133A38">
        <w:tab/>
      </w:r>
      <w:r w:rsidRPr="00133A38">
        <w:tab/>
      </w:r>
      <w:r w:rsidRPr="00133A38">
        <w:tab/>
      </w:r>
      <w:r w:rsidRPr="00133A38">
        <w:tab/>
      </w:r>
      <w:r w:rsidRPr="00133A38">
        <w:tab/>
      </w:r>
      <w:r w:rsidRPr="00133A38">
        <w:tab/>
      </w:r>
      <w:r w:rsidRPr="00133A38">
        <w:tab/>
      </w:r>
      <w:r w:rsidRPr="00133A38">
        <w:tab/>
      </w:r>
      <w:r w:rsidRPr="00133A38">
        <w:tab/>
      </w:r>
      <w:r w:rsidRPr="00133A38">
        <w:tab/>
      </w:r>
      <w:r w:rsidRPr="00133A38">
        <w:tab/>
      </w:r>
      <w:r w:rsidRPr="00133A38">
        <w:tab/>
      </w:r>
      <w:r w:rsidRPr="00133A38">
        <w:tab/>
      </w:r>
      <w:r w:rsidRPr="00133A38">
        <w:tab/>
      </w:r>
      <w:r w:rsidRPr="00133A38">
        <w:tab/>
      </w:r>
      <w:r w:rsidRPr="00133A38">
        <w:tab/>
      </w:r>
      <w:r w:rsidRPr="00133A38">
        <w:tab/>
      </w:r>
      <w:r>
        <w:tab/>
      </w:r>
      <w:r>
        <w:tab/>
      </w:r>
      <w:r>
        <w:tab/>
      </w:r>
      <w:r>
        <w:tab/>
      </w:r>
      <w:r>
        <w:tab/>
      </w:r>
      <w:r>
        <w:tab/>
      </w:r>
      <w:r>
        <w:tab/>
      </w:r>
      <w:r>
        <w:tab/>
      </w:r>
      <w:r>
        <w:tab/>
      </w:r>
      <w:r>
        <w:tab/>
      </w:r>
      <w:r>
        <w:tab/>
      </w:r>
      <w:r>
        <w:tab/>
      </w:r>
      <w:r>
        <w:tab/>
      </w:r>
      <w:r>
        <w:tab/>
      </w:r>
      <w:r>
        <w:tab/>
      </w:r>
      <w:r>
        <w:tab/>
      </w:r>
      <w:r>
        <w:tab/>
      </w:r>
      <w:r w:rsidRPr="00133A38">
        <w:t>_________________________</w:t>
      </w:r>
    </w:p>
    <w:p w14:paraId="3B945346" w14:textId="77777777" w:rsidR="00D91E2F" w:rsidRPr="00133A38" w:rsidRDefault="004A1489" w:rsidP="00D91E2F">
      <w:pPr>
        <w:spacing w:line="240" w:lineRule="auto"/>
        <w:ind w:right="90"/>
      </w:pPr>
      <w:r w:rsidRPr="00133A38">
        <w:tab/>
      </w:r>
      <w:r w:rsidRPr="00133A38">
        <w:tab/>
      </w:r>
      <w:r w:rsidRPr="00133A38">
        <w:tab/>
      </w:r>
      <w:r w:rsidRPr="00133A38">
        <w:tab/>
      </w:r>
      <w:r w:rsidRPr="00133A38">
        <w:tab/>
      </w:r>
      <w:r w:rsidRPr="00133A38">
        <w:tab/>
        <w:t>Richman,</w:t>
      </w:r>
      <w:r>
        <w:t xml:space="preserve"> </w:t>
      </w:r>
      <w:r w:rsidRPr="00133A38">
        <w:t>J.</w:t>
      </w:r>
    </w:p>
    <w:p w14:paraId="444B8743" w14:textId="77777777" w:rsidR="00D91E2F" w:rsidRPr="00133A38" w:rsidRDefault="004A1489" w:rsidP="00D91E2F">
      <w:pPr>
        <w:spacing w:line="240" w:lineRule="auto"/>
        <w:ind w:right="90"/>
      </w:pPr>
    </w:p>
    <w:p w14:paraId="2090DF39" w14:textId="77777777" w:rsidR="00D91E2F" w:rsidRPr="00133A38" w:rsidRDefault="004A1489" w:rsidP="00D91E2F">
      <w:pPr>
        <w:spacing w:line="240" w:lineRule="auto"/>
        <w:ind w:right="90"/>
      </w:pPr>
    </w:p>
    <w:p w14:paraId="70D044ED" w14:textId="77777777" w:rsidR="00D91E2F" w:rsidRPr="00133A38" w:rsidRDefault="004A1489" w:rsidP="00D91E2F">
      <w:pPr>
        <w:spacing w:line="240" w:lineRule="auto"/>
        <w:ind w:right="90"/>
      </w:pPr>
      <w:r>
        <w:t xml:space="preserve">I </w:t>
      </w:r>
      <w:r w:rsidRPr="00133A38">
        <w:t>concur:</w:t>
      </w:r>
    </w:p>
    <w:p w14:paraId="00F13349" w14:textId="77777777" w:rsidR="00D91E2F" w:rsidRPr="00133A38" w:rsidRDefault="004A1489" w:rsidP="00D91E2F">
      <w:pPr>
        <w:spacing w:line="240" w:lineRule="auto"/>
        <w:ind w:right="90"/>
      </w:pPr>
    </w:p>
    <w:p w14:paraId="40491C4F" w14:textId="77777777" w:rsidR="00D91E2F" w:rsidRPr="00133A38" w:rsidRDefault="004A1489" w:rsidP="00D91E2F">
      <w:pPr>
        <w:spacing w:line="240" w:lineRule="auto"/>
        <w:ind w:right="90"/>
      </w:pPr>
    </w:p>
    <w:p w14:paraId="4FCFE3A8" w14:textId="77777777" w:rsidR="00D91E2F" w:rsidRPr="00133A38" w:rsidRDefault="004A1489" w:rsidP="00D91E2F">
      <w:pPr>
        <w:spacing w:line="240" w:lineRule="auto"/>
        <w:ind w:right="90"/>
      </w:pPr>
      <w:r w:rsidRPr="00133A38">
        <w:t>_________________________</w:t>
      </w:r>
    </w:p>
    <w:p w14:paraId="755D8AFB" w14:textId="77777777" w:rsidR="00D91E2F" w:rsidRPr="00133A38" w:rsidRDefault="004A1489" w:rsidP="00D91E2F">
      <w:pPr>
        <w:spacing w:line="240" w:lineRule="auto"/>
        <w:ind w:right="90"/>
      </w:pPr>
      <w:r w:rsidRPr="00133A38">
        <w:t>Miller, J.</w:t>
      </w:r>
    </w:p>
    <w:p w14:paraId="20A9AF0E" w14:textId="77777777" w:rsidR="00D91E2F" w:rsidRPr="00133A38" w:rsidRDefault="004A1489" w:rsidP="00D91E2F">
      <w:pPr>
        <w:spacing w:line="240" w:lineRule="auto"/>
        <w:ind w:right="90"/>
      </w:pPr>
    </w:p>
    <w:p w14:paraId="28AD66E8" w14:textId="77777777" w:rsidR="00D91E2F" w:rsidRPr="00133A38" w:rsidRDefault="004A1489" w:rsidP="00D91E2F">
      <w:pPr>
        <w:spacing w:line="240" w:lineRule="auto"/>
        <w:ind w:right="90"/>
      </w:pPr>
    </w:p>
    <w:p w14:paraId="1F519C50" w14:textId="77777777" w:rsidR="00D91E2F" w:rsidRPr="00133A38" w:rsidRDefault="004A1489" w:rsidP="00D91E2F">
      <w:pPr>
        <w:spacing w:line="240" w:lineRule="auto"/>
        <w:ind w:right="90"/>
      </w:pPr>
    </w:p>
    <w:p w14:paraId="18E66E39" w14:textId="77777777" w:rsidR="00D91E2F" w:rsidRPr="00133A38" w:rsidRDefault="004A1489" w:rsidP="00D91E2F">
      <w:pPr>
        <w:spacing w:line="240" w:lineRule="auto"/>
        <w:ind w:right="90"/>
      </w:pPr>
    </w:p>
    <w:p w14:paraId="5B1F4D48" w14:textId="77777777" w:rsidR="00D91E2F" w:rsidRPr="00133A38" w:rsidRDefault="004A1489" w:rsidP="00D91E2F">
      <w:pPr>
        <w:spacing w:line="240" w:lineRule="auto"/>
        <w:ind w:right="90"/>
      </w:pPr>
    </w:p>
    <w:p w14:paraId="5AE4B56C" w14:textId="77777777" w:rsidR="00D91E2F" w:rsidRPr="00133A38" w:rsidRDefault="004A1489" w:rsidP="00D91E2F">
      <w:pPr>
        <w:spacing w:line="240" w:lineRule="auto"/>
        <w:ind w:right="90"/>
      </w:pPr>
    </w:p>
    <w:p w14:paraId="1310CA27" w14:textId="77777777" w:rsidR="00D91E2F" w:rsidRPr="00133A38" w:rsidRDefault="004A1489" w:rsidP="00D91E2F">
      <w:pPr>
        <w:spacing w:line="240" w:lineRule="auto"/>
        <w:ind w:right="90"/>
      </w:pPr>
    </w:p>
    <w:p w14:paraId="0627EC73" w14:textId="77777777" w:rsidR="00D91E2F" w:rsidRPr="00133A38" w:rsidRDefault="004A1489" w:rsidP="00D91E2F">
      <w:pPr>
        <w:spacing w:line="240" w:lineRule="auto"/>
        <w:ind w:right="90"/>
      </w:pPr>
    </w:p>
    <w:p w14:paraId="44A6A6AF" w14:textId="77777777" w:rsidR="00D91E2F" w:rsidRPr="00133A38" w:rsidRDefault="004A1489" w:rsidP="00D91E2F">
      <w:pPr>
        <w:spacing w:line="240" w:lineRule="auto"/>
        <w:ind w:right="90"/>
      </w:pPr>
    </w:p>
    <w:p w14:paraId="4855562C" w14:textId="77777777" w:rsidR="00D91E2F" w:rsidRPr="00133A38" w:rsidRDefault="004A1489" w:rsidP="00D91E2F">
      <w:pPr>
        <w:spacing w:line="240" w:lineRule="auto"/>
        <w:ind w:right="90"/>
      </w:pPr>
    </w:p>
    <w:p w14:paraId="0CD7C495" w14:textId="77777777" w:rsidR="00D91E2F" w:rsidRPr="00133A38" w:rsidRDefault="004A1489" w:rsidP="00D91E2F">
      <w:pPr>
        <w:spacing w:line="240" w:lineRule="auto"/>
        <w:ind w:right="90"/>
      </w:pPr>
    </w:p>
    <w:p w14:paraId="4C9D3F80" w14:textId="77777777" w:rsidR="00D91E2F" w:rsidRPr="00133A38" w:rsidRDefault="004A1489" w:rsidP="00D91E2F">
      <w:pPr>
        <w:spacing w:line="240" w:lineRule="auto"/>
        <w:ind w:right="90"/>
      </w:pPr>
    </w:p>
    <w:p w14:paraId="4799F441" w14:textId="77777777" w:rsidR="00D91E2F" w:rsidRPr="00133A38" w:rsidRDefault="004A1489" w:rsidP="00D91E2F">
      <w:pPr>
        <w:spacing w:line="240" w:lineRule="auto"/>
        <w:ind w:right="90"/>
      </w:pPr>
    </w:p>
    <w:p w14:paraId="783C4AE2" w14:textId="77777777" w:rsidR="00D91E2F" w:rsidRPr="00133A38" w:rsidRDefault="004A1489" w:rsidP="00D91E2F">
      <w:pPr>
        <w:spacing w:line="240" w:lineRule="auto"/>
        <w:ind w:right="90"/>
      </w:pPr>
    </w:p>
    <w:p w14:paraId="3C11C82C" w14:textId="77777777" w:rsidR="00D91E2F" w:rsidRPr="00133A38" w:rsidRDefault="004A1489" w:rsidP="00D91E2F">
      <w:pPr>
        <w:spacing w:line="240" w:lineRule="auto"/>
        <w:ind w:right="90"/>
      </w:pPr>
    </w:p>
    <w:p w14:paraId="1139146F" w14:textId="77777777" w:rsidR="00D91E2F" w:rsidRPr="00133A38" w:rsidRDefault="004A1489" w:rsidP="00D91E2F">
      <w:pPr>
        <w:spacing w:line="240" w:lineRule="auto"/>
        <w:ind w:right="90"/>
      </w:pPr>
    </w:p>
    <w:p w14:paraId="55D18EA2" w14:textId="77777777" w:rsidR="00D91E2F" w:rsidRPr="00133A38" w:rsidRDefault="004A1489" w:rsidP="00D91E2F">
      <w:pPr>
        <w:spacing w:line="240" w:lineRule="auto"/>
        <w:ind w:right="90"/>
      </w:pPr>
    </w:p>
    <w:p w14:paraId="6359D26A" w14:textId="77777777" w:rsidR="00D91E2F" w:rsidRPr="00133A38" w:rsidRDefault="004A1489" w:rsidP="00D91E2F">
      <w:pPr>
        <w:spacing w:line="240" w:lineRule="auto"/>
        <w:ind w:right="90"/>
      </w:pPr>
    </w:p>
    <w:p w14:paraId="07EA0620" w14:textId="77777777" w:rsidR="00D91E2F" w:rsidRPr="00133A38" w:rsidRDefault="004A1489" w:rsidP="00D91E2F">
      <w:pPr>
        <w:spacing w:line="240" w:lineRule="auto"/>
        <w:ind w:right="90"/>
      </w:pPr>
    </w:p>
    <w:p w14:paraId="37F9B665" w14:textId="77777777" w:rsidR="00D91E2F" w:rsidRPr="00133A38" w:rsidRDefault="004A1489" w:rsidP="00D91E2F">
      <w:pPr>
        <w:spacing w:line="240" w:lineRule="auto"/>
        <w:ind w:right="90"/>
      </w:pPr>
    </w:p>
    <w:p w14:paraId="01D70016" w14:textId="77777777" w:rsidR="00D91E2F" w:rsidRPr="00133A38" w:rsidRDefault="004A1489" w:rsidP="00D91E2F">
      <w:pPr>
        <w:spacing w:line="240" w:lineRule="auto"/>
        <w:ind w:right="90"/>
      </w:pPr>
    </w:p>
    <w:p w14:paraId="302AF2BB" w14:textId="77777777" w:rsidR="00D91E2F" w:rsidRPr="00133A38" w:rsidRDefault="004A1489" w:rsidP="00D91E2F">
      <w:pPr>
        <w:spacing w:line="240" w:lineRule="auto"/>
        <w:ind w:right="90"/>
      </w:pPr>
    </w:p>
    <w:p w14:paraId="7AAEC640" w14:textId="77777777" w:rsidR="00D91E2F" w:rsidRPr="00133A38" w:rsidRDefault="004A1489" w:rsidP="00D91E2F">
      <w:pPr>
        <w:spacing w:line="240" w:lineRule="auto"/>
        <w:ind w:right="90"/>
      </w:pPr>
    </w:p>
    <w:p w14:paraId="1DF87FAF" w14:textId="77777777" w:rsidR="00D91E2F" w:rsidRPr="009134B8" w:rsidRDefault="004A1489" w:rsidP="00D91E2F">
      <w:pPr>
        <w:spacing w:line="240" w:lineRule="auto"/>
        <w:ind w:right="90"/>
      </w:pPr>
      <w:r>
        <w:rPr>
          <w:i/>
          <w:lang w:val="it-IT"/>
        </w:rPr>
        <w:t xml:space="preserve">Rosenberg-Wohl v. State Farm Fire and Casualty Company </w:t>
      </w:r>
      <w:r w:rsidRPr="00133A38">
        <w:rPr>
          <w:lang w:val="it-IT"/>
        </w:rPr>
        <w:t>(</w:t>
      </w:r>
      <w:r w:rsidRPr="00133A38">
        <w:t>A</w:t>
      </w:r>
      <w:r>
        <w:t>163848</w:t>
      </w:r>
      <w:r w:rsidRPr="00133A38">
        <w:rPr>
          <w:lang w:val="it-IT"/>
        </w:rPr>
        <w:t>)</w:t>
      </w:r>
      <w:r>
        <w:t xml:space="preserve"> </w:t>
      </w:r>
    </w:p>
    <w:p w14:paraId="61472EEB" w14:textId="77777777" w:rsidR="00D91E2F" w:rsidRDefault="004A1489" w:rsidP="00D91E2F">
      <w:pPr>
        <w:tabs>
          <w:tab w:val="clear" w:pos="720"/>
        </w:tabs>
        <w:spacing w:line="360" w:lineRule="auto"/>
        <w:ind w:right="90"/>
      </w:pPr>
      <w:r>
        <w:br w:type="page"/>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3953"/>
      </w:tblGrid>
      <w:tr w:rsidR="008E1E7D" w14:paraId="0DC85758" w14:textId="77777777" w:rsidTr="0013073D">
        <w:tc>
          <w:tcPr>
            <w:tcW w:w="4788" w:type="dxa"/>
            <w:tcBorders>
              <w:top w:val="nil"/>
              <w:left w:val="nil"/>
              <w:bottom w:val="nil"/>
              <w:right w:val="nil"/>
            </w:tcBorders>
            <w:hideMark/>
          </w:tcPr>
          <w:p w14:paraId="02DFDF1E" w14:textId="77777777" w:rsidR="00D91E2F" w:rsidRPr="00463DE7" w:rsidRDefault="004A1489" w:rsidP="0013073D">
            <w:pPr>
              <w:spacing w:line="240" w:lineRule="auto"/>
              <w:ind w:right="90"/>
            </w:pPr>
            <w:r w:rsidRPr="00463DE7">
              <w:lastRenderedPageBreak/>
              <w:t>Trial Court:</w:t>
            </w:r>
          </w:p>
        </w:tc>
        <w:tc>
          <w:tcPr>
            <w:tcW w:w="4788" w:type="dxa"/>
            <w:tcBorders>
              <w:top w:val="nil"/>
              <w:left w:val="nil"/>
              <w:bottom w:val="nil"/>
              <w:right w:val="nil"/>
            </w:tcBorders>
          </w:tcPr>
          <w:p w14:paraId="617F2B08" w14:textId="77777777" w:rsidR="00D91E2F" w:rsidRPr="00463DE7" w:rsidRDefault="004A1489" w:rsidP="0013073D">
            <w:pPr>
              <w:spacing w:line="240" w:lineRule="auto"/>
              <w:ind w:right="90"/>
            </w:pPr>
            <w:r>
              <w:t xml:space="preserve">San Francisco </w:t>
            </w:r>
            <w:r w:rsidRPr="00463DE7">
              <w:t xml:space="preserve">County Superior </w:t>
            </w:r>
            <w:proofErr w:type="gramStart"/>
            <w:r w:rsidRPr="00463DE7">
              <w:t>Court</w:t>
            </w:r>
            <w:r>
              <w:t>;</w:t>
            </w:r>
            <w:proofErr w:type="gramEnd"/>
          </w:p>
          <w:p w14:paraId="66A2C765" w14:textId="77777777" w:rsidR="00D91E2F" w:rsidRPr="00463DE7" w:rsidRDefault="004A1489" w:rsidP="0013073D">
            <w:pPr>
              <w:spacing w:line="240" w:lineRule="auto"/>
              <w:ind w:right="90"/>
            </w:pPr>
          </w:p>
        </w:tc>
      </w:tr>
      <w:tr w:rsidR="008E1E7D" w14:paraId="612FEFA9" w14:textId="77777777" w:rsidTr="0013073D">
        <w:tc>
          <w:tcPr>
            <w:tcW w:w="4788" w:type="dxa"/>
            <w:tcBorders>
              <w:top w:val="nil"/>
              <w:left w:val="nil"/>
              <w:bottom w:val="nil"/>
              <w:right w:val="nil"/>
            </w:tcBorders>
            <w:hideMark/>
          </w:tcPr>
          <w:p w14:paraId="59CB82CA" w14:textId="77777777" w:rsidR="00D91E2F" w:rsidRPr="00463DE7" w:rsidRDefault="004A1489" w:rsidP="0013073D">
            <w:pPr>
              <w:spacing w:line="240" w:lineRule="auto"/>
              <w:ind w:right="90"/>
            </w:pPr>
            <w:r w:rsidRPr="00463DE7">
              <w:t>Trial Judge:</w:t>
            </w:r>
          </w:p>
        </w:tc>
        <w:tc>
          <w:tcPr>
            <w:tcW w:w="4788" w:type="dxa"/>
            <w:tcBorders>
              <w:top w:val="nil"/>
              <w:left w:val="nil"/>
              <w:bottom w:val="nil"/>
              <w:right w:val="nil"/>
            </w:tcBorders>
          </w:tcPr>
          <w:p w14:paraId="6F656595" w14:textId="77777777" w:rsidR="00D91E2F" w:rsidRPr="00463DE7" w:rsidRDefault="004A1489" w:rsidP="0013073D">
            <w:pPr>
              <w:spacing w:line="240" w:lineRule="auto"/>
              <w:ind w:right="90"/>
            </w:pPr>
            <w:r w:rsidRPr="00463DE7">
              <w:t xml:space="preserve">Honorable </w:t>
            </w:r>
            <w:r>
              <w:t xml:space="preserve">Anne-Christine </w:t>
            </w:r>
            <w:proofErr w:type="spellStart"/>
            <w:proofErr w:type="gramStart"/>
            <w:r>
              <w:t>Massullo</w:t>
            </w:r>
            <w:proofErr w:type="spellEnd"/>
            <w:r>
              <w:t>;</w:t>
            </w:r>
            <w:proofErr w:type="gramEnd"/>
          </w:p>
          <w:p w14:paraId="1FF6FC0B" w14:textId="77777777" w:rsidR="00D91E2F" w:rsidRPr="00463DE7" w:rsidRDefault="004A1489" w:rsidP="0013073D">
            <w:pPr>
              <w:spacing w:line="240" w:lineRule="auto"/>
              <w:ind w:right="90"/>
            </w:pPr>
          </w:p>
        </w:tc>
      </w:tr>
      <w:tr w:rsidR="008E1E7D" w14:paraId="2AC9CD4D" w14:textId="77777777" w:rsidTr="0013073D">
        <w:tc>
          <w:tcPr>
            <w:tcW w:w="4788" w:type="dxa"/>
            <w:tcBorders>
              <w:top w:val="nil"/>
              <w:left w:val="nil"/>
              <w:bottom w:val="nil"/>
              <w:right w:val="nil"/>
            </w:tcBorders>
            <w:hideMark/>
          </w:tcPr>
          <w:p w14:paraId="070A130B" w14:textId="77777777" w:rsidR="00D91E2F" w:rsidRPr="00463DE7" w:rsidRDefault="004A1489" w:rsidP="0013073D">
            <w:pPr>
              <w:spacing w:line="240" w:lineRule="auto"/>
              <w:ind w:right="90"/>
            </w:pPr>
            <w:r w:rsidRPr="00463DE7">
              <w:t xml:space="preserve">Attorney for </w:t>
            </w:r>
            <w:r>
              <w:t>Plaintiff and Appellant, Katherine Rosenberg-Wohl</w:t>
            </w:r>
            <w:r w:rsidRPr="00463DE7">
              <w:t>:</w:t>
            </w:r>
          </w:p>
          <w:p w14:paraId="28894F02" w14:textId="77777777" w:rsidR="00D91E2F" w:rsidRPr="00463DE7" w:rsidRDefault="004A1489" w:rsidP="0013073D">
            <w:pPr>
              <w:spacing w:line="240" w:lineRule="auto"/>
              <w:ind w:right="90"/>
            </w:pPr>
          </w:p>
        </w:tc>
        <w:tc>
          <w:tcPr>
            <w:tcW w:w="4788" w:type="dxa"/>
            <w:tcBorders>
              <w:top w:val="nil"/>
              <w:left w:val="nil"/>
              <w:bottom w:val="nil"/>
              <w:right w:val="nil"/>
            </w:tcBorders>
          </w:tcPr>
          <w:p w14:paraId="36A8DA8A" w14:textId="77777777" w:rsidR="00D91E2F" w:rsidRPr="00463DE7" w:rsidRDefault="004A1489" w:rsidP="0013073D">
            <w:pPr>
              <w:spacing w:line="240" w:lineRule="auto"/>
              <w:ind w:right="90"/>
            </w:pPr>
            <w:proofErr w:type="spellStart"/>
            <w:r>
              <w:t>Hershenson</w:t>
            </w:r>
            <w:proofErr w:type="spellEnd"/>
            <w:r>
              <w:t xml:space="preserve"> </w:t>
            </w:r>
            <w:r>
              <w:t>Rosenberg-Wohl, David Rosenberg-</w:t>
            </w:r>
            <w:proofErr w:type="gramStart"/>
            <w:r>
              <w:t>Wohl;</w:t>
            </w:r>
            <w:proofErr w:type="gramEnd"/>
          </w:p>
          <w:p w14:paraId="06D4BFAC" w14:textId="77777777" w:rsidR="00D91E2F" w:rsidRPr="00463DE7" w:rsidRDefault="004A1489" w:rsidP="0013073D">
            <w:pPr>
              <w:spacing w:line="240" w:lineRule="auto"/>
              <w:ind w:right="90"/>
            </w:pPr>
          </w:p>
        </w:tc>
      </w:tr>
      <w:tr w:rsidR="008E1E7D" w14:paraId="611CAF63" w14:textId="77777777" w:rsidTr="0013073D">
        <w:tc>
          <w:tcPr>
            <w:tcW w:w="4788" w:type="dxa"/>
            <w:tcBorders>
              <w:top w:val="nil"/>
              <w:left w:val="nil"/>
              <w:bottom w:val="nil"/>
              <w:right w:val="nil"/>
            </w:tcBorders>
            <w:hideMark/>
          </w:tcPr>
          <w:p w14:paraId="1AD5D612" w14:textId="77777777" w:rsidR="00D91E2F" w:rsidRPr="00463DE7" w:rsidRDefault="004A1489" w:rsidP="0013073D">
            <w:pPr>
              <w:spacing w:line="240" w:lineRule="auto"/>
              <w:ind w:right="90"/>
            </w:pPr>
            <w:r w:rsidRPr="00463DE7">
              <w:t xml:space="preserve">Attorney for </w:t>
            </w:r>
            <w:r>
              <w:t>Defendant and Respondent, State Farm Fire and Casualty Company:</w:t>
            </w:r>
          </w:p>
          <w:p w14:paraId="188234E0" w14:textId="77777777" w:rsidR="00D91E2F" w:rsidRPr="00463DE7" w:rsidRDefault="004A1489" w:rsidP="0013073D">
            <w:pPr>
              <w:spacing w:line="240" w:lineRule="auto"/>
              <w:ind w:right="90"/>
            </w:pPr>
          </w:p>
          <w:p w14:paraId="56334207" w14:textId="77777777" w:rsidR="00D91E2F" w:rsidRPr="00463DE7" w:rsidRDefault="004A1489" w:rsidP="0013073D">
            <w:pPr>
              <w:spacing w:line="240" w:lineRule="auto"/>
              <w:ind w:right="90"/>
            </w:pPr>
          </w:p>
        </w:tc>
        <w:tc>
          <w:tcPr>
            <w:tcW w:w="4788" w:type="dxa"/>
            <w:tcBorders>
              <w:top w:val="nil"/>
              <w:left w:val="nil"/>
              <w:bottom w:val="nil"/>
              <w:right w:val="nil"/>
            </w:tcBorders>
          </w:tcPr>
          <w:p w14:paraId="0778D96B" w14:textId="77777777" w:rsidR="00D91E2F" w:rsidRPr="00463DE7" w:rsidRDefault="004A1489" w:rsidP="0013073D">
            <w:pPr>
              <w:spacing w:line="240" w:lineRule="auto"/>
              <w:ind w:right="90"/>
            </w:pPr>
            <w:proofErr w:type="spellStart"/>
            <w:r>
              <w:t>DTO</w:t>
            </w:r>
            <w:proofErr w:type="spellEnd"/>
            <w:r>
              <w:t xml:space="preserve"> Law, Lauren </w:t>
            </w:r>
            <w:proofErr w:type="spellStart"/>
            <w:r>
              <w:t>Hudecki</w:t>
            </w:r>
            <w:proofErr w:type="spellEnd"/>
            <w:r>
              <w:t>, Megan O’Neill</w:t>
            </w:r>
            <w:r w:rsidRPr="00463DE7">
              <w:t xml:space="preserve">. </w:t>
            </w:r>
          </w:p>
          <w:p w14:paraId="42398D4D" w14:textId="77777777" w:rsidR="00D91E2F" w:rsidRPr="00463DE7" w:rsidRDefault="004A1489" w:rsidP="0013073D">
            <w:pPr>
              <w:spacing w:line="240" w:lineRule="auto"/>
              <w:ind w:right="90"/>
            </w:pPr>
          </w:p>
          <w:p w14:paraId="34EE9BFD" w14:textId="77777777" w:rsidR="00D91E2F" w:rsidRPr="00463DE7" w:rsidRDefault="004A1489" w:rsidP="0013073D">
            <w:pPr>
              <w:spacing w:line="240" w:lineRule="auto"/>
              <w:ind w:right="90"/>
            </w:pPr>
          </w:p>
          <w:p w14:paraId="40E30AA8" w14:textId="77777777" w:rsidR="00D91E2F" w:rsidRPr="00463DE7" w:rsidRDefault="004A1489" w:rsidP="0013073D">
            <w:pPr>
              <w:spacing w:line="240" w:lineRule="auto"/>
              <w:ind w:right="90"/>
            </w:pPr>
          </w:p>
        </w:tc>
      </w:tr>
    </w:tbl>
    <w:p w14:paraId="2481596F" w14:textId="77777777" w:rsidR="00D91E2F" w:rsidRDefault="004A1489" w:rsidP="008E1BF0">
      <w:pPr>
        <w:shd w:val="clear" w:color="auto" w:fill="FFFFFF"/>
        <w:spacing w:line="360" w:lineRule="auto"/>
        <w:ind w:left="-720" w:right="-720" w:firstLine="720"/>
        <w:textAlignment w:val="baseline"/>
      </w:pPr>
    </w:p>
    <w:p w14:paraId="1150C374" w14:textId="77777777" w:rsidR="00780F70" w:rsidRDefault="004A1489" w:rsidP="008E1BF0">
      <w:pPr>
        <w:shd w:val="clear" w:color="auto" w:fill="FFFFFF"/>
        <w:spacing w:line="360" w:lineRule="auto"/>
        <w:ind w:left="-720" w:right="-720" w:firstLine="720"/>
        <w:textAlignment w:val="baseline"/>
      </w:pPr>
    </w:p>
    <w:p w14:paraId="62670198" w14:textId="77777777" w:rsidR="00DA443C" w:rsidRDefault="004A1489">
      <w:pPr>
        <w:tabs>
          <w:tab w:val="clear" w:pos="720"/>
        </w:tabs>
        <w:spacing w:line="360" w:lineRule="auto"/>
      </w:pPr>
      <w:r>
        <w:br w:type="page"/>
      </w:r>
    </w:p>
    <w:p w14:paraId="24B516DC" w14:textId="77777777" w:rsidR="00DA443C" w:rsidRDefault="004A1489" w:rsidP="00DA443C">
      <w:pPr>
        <w:shd w:val="clear" w:color="auto" w:fill="FFFFFF"/>
        <w:spacing w:line="360" w:lineRule="auto"/>
        <w:ind w:right="-720"/>
        <w:textAlignment w:val="baseline"/>
        <w:sectPr w:rsidR="00DA443C" w:rsidSect="00DA443C">
          <w:headerReference w:type="even" r:id="rId7"/>
          <w:headerReference w:type="default" r:id="rId8"/>
          <w:footerReference w:type="even" r:id="rId9"/>
          <w:footerReference w:type="default" r:id="rId10"/>
          <w:headerReference w:type="first" r:id="rId11"/>
          <w:footerReference w:type="first" r:id="rId12"/>
          <w:pgSz w:w="12240" w:h="15840" w:code="1"/>
          <w:pgMar w:top="1440" w:right="2160" w:bottom="1440" w:left="2160" w:header="720" w:footer="720" w:gutter="0"/>
          <w:cols w:space="720"/>
          <w:titlePg/>
          <w:docGrid w:linePitch="360"/>
        </w:sectPr>
      </w:pPr>
    </w:p>
    <w:p w14:paraId="523ACC50" w14:textId="77777777" w:rsidR="00DA443C" w:rsidRDefault="004A1489" w:rsidP="00DA443C">
      <w:pPr>
        <w:ind w:firstLine="720"/>
      </w:pPr>
      <w:r>
        <w:lastRenderedPageBreak/>
        <w:t>STEWART, P.J., Dissenting</w:t>
      </w:r>
    </w:p>
    <w:p w14:paraId="34BD0376" w14:textId="77777777" w:rsidR="00DA443C" w:rsidRDefault="004A1489" w:rsidP="00DA443C">
      <w:pPr>
        <w:ind w:firstLine="720"/>
      </w:pPr>
      <w:r>
        <w:t xml:space="preserve">I agree with the majority that State Farm did not waive its statute of limitations defense.  I respectfully dissent, however, from its conclusion that plaintiff’s </w:t>
      </w:r>
      <w:r w:rsidRPr="00A0730A">
        <w:t xml:space="preserve">cause of action for unfair business practices under the UCL </w:t>
      </w:r>
      <w:r>
        <w:t>is subject to the one-year contra</w:t>
      </w:r>
      <w:r>
        <w:t xml:space="preserve">ctual limitations period.  </w:t>
      </w:r>
    </w:p>
    <w:p w14:paraId="523A9D02" w14:textId="77777777" w:rsidR="00DA443C" w:rsidRDefault="004A1489" w:rsidP="00DA443C">
      <w:pPr>
        <w:ind w:firstLine="720"/>
      </w:pPr>
      <w:r>
        <w:t>In assessing this question, moreover, I would not reach out to address issues that are not before us, such as whether the plaintiff has stated a claim on the merits, has standing to pursue it or is likely to prevail on her feder</w:t>
      </w:r>
      <w:r>
        <w:t>al court breach of contract action.  The sole ground on which State Farm demurred to the second amended complaint was that it is time-barred.  It did not demur on the ground that the UCL claim, as alleged, fails to state a cause of action on the merits.  N</w:t>
      </w:r>
      <w:r>
        <w:t>or did it assert that plaintiff lacks standing to pursue it.  The majority expresses doubt about all these issues; I would refrain.  The sole question is whether plaintiff’s UCL claim for injunctive relief is an action “on” the insurance policy</w:t>
      </w:r>
      <w:r w:rsidRPr="00A0730A">
        <w:t>, and thus g</w:t>
      </w:r>
      <w:r w:rsidRPr="00A0730A">
        <w:t>overned by the one-year limitations period specified in the policy and mandated by Insurance Code section 2071.</w:t>
      </w:r>
      <w:r>
        <w:rPr>
          <w:rStyle w:val="FootnoteReference"/>
        </w:rPr>
        <w:footnoteReference w:id="9"/>
      </w:r>
      <w:r w:rsidRPr="00A0730A">
        <w:t xml:space="preserve">  </w:t>
      </w:r>
    </w:p>
    <w:p w14:paraId="2DA63915" w14:textId="77777777" w:rsidR="00DA443C" w:rsidRDefault="004A1489" w:rsidP="00DA443C">
      <w:pPr>
        <w:ind w:firstLine="720"/>
      </w:pPr>
      <w:r>
        <w:t xml:space="preserve">For the reasons I will explain, it is not. </w:t>
      </w:r>
    </w:p>
    <w:p w14:paraId="5CE8AEEC" w14:textId="77777777" w:rsidR="00DA443C" w:rsidRPr="00004597" w:rsidRDefault="004A1489" w:rsidP="00DA443C">
      <w:pPr>
        <w:keepNext/>
        <w:jc w:val="center"/>
        <w:rPr>
          <w:b/>
          <w:bCs/>
        </w:rPr>
      </w:pPr>
      <w:r w:rsidRPr="00004597">
        <w:rPr>
          <w:b/>
          <w:bCs/>
        </w:rPr>
        <w:lastRenderedPageBreak/>
        <w:t>I.</w:t>
      </w:r>
    </w:p>
    <w:p w14:paraId="658B7AD5" w14:textId="77777777" w:rsidR="00DA443C" w:rsidRPr="009F1E71" w:rsidRDefault="004A1489" w:rsidP="00DA443C">
      <w:pPr>
        <w:spacing w:before="240"/>
      </w:pPr>
      <w:r>
        <w:tab/>
        <w:t>“A</w:t>
      </w:r>
      <w:r w:rsidRPr="00922226">
        <w:t xml:space="preserve">t the demurrer stage, </w:t>
      </w:r>
      <w:r>
        <w:t>[the plaintiff]</w:t>
      </w:r>
      <w:r w:rsidRPr="00922226">
        <w:t xml:space="preserve"> is the master of his complaint, and we must accept h</w:t>
      </w:r>
      <w:r w:rsidRPr="00922226">
        <w:t>is allegations at face value</w:t>
      </w:r>
      <w:r>
        <w:t>.”  (</w:t>
      </w:r>
      <w:r w:rsidRPr="008233E1">
        <w:rPr>
          <w:i/>
          <w:iCs/>
        </w:rPr>
        <w:t>Aryeh v. Canon Business Solutions, Inc.</w:t>
      </w:r>
      <w:r w:rsidRPr="008233E1">
        <w:rPr>
          <w:iCs/>
        </w:rPr>
        <w:t xml:space="preserve"> (2013) 55 Cal.4th 1185, </w:t>
      </w:r>
      <w:r>
        <w:t>1202.)  W</w:t>
      </w:r>
      <w:r w:rsidRPr="00D74744">
        <w:rPr>
          <w:iCs/>
        </w:rPr>
        <w:t>e</w:t>
      </w:r>
      <w:r>
        <w:t xml:space="preserve"> must assess the complaint’s timeliness based on the legal theory of recovery the plaintiff </w:t>
      </w:r>
      <w:r w:rsidRPr="00D74744">
        <w:rPr>
          <w:i/>
          <w:iCs/>
        </w:rPr>
        <w:t>has alleged</w:t>
      </w:r>
      <w:r>
        <w:t xml:space="preserve">, not based on a theory the plaintiff </w:t>
      </w:r>
      <w:r w:rsidRPr="00D74744">
        <w:rPr>
          <w:i/>
        </w:rPr>
        <w:t>might ha</w:t>
      </w:r>
      <w:r w:rsidRPr="00D74744">
        <w:rPr>
          <w:i/>
        </w:rPr>
        <w:t>ve</w:t>
      </w:r>
      <w:r>
        <w:t xml:space="preserve"> alleged.  (See </w:t>
      </w:r>
      <w:r w:rsidRPr="00C06FB8">
        <w:rPr>
          <w:i/>
          <w:iCs/>
        </w:rPr>
        <w:t>id</w:t>
      </w:r>
      <w:r>
        <w:t>. at p. 1201.)  So that is where I begin, mindful that w</w:t>
      </w:r>
      <w:r>
        <w:rPr>
          <w:iCs/>
        </w:rPr>
        <w:t>hether the plaintiff’s allegations “are actionable as an unfair business practice under the UCL is not before us at this stage.”  (</w:t>
      </w:r>
      <w:r>
        <w:rPr>
          <w:i/>
          <w:iCs/>
        </w:rPr>
        <w:t>Ibid.</w:t>
      </w:r>
      <w:r>
        <w:t>)</w:t>
      </w:r>
    </w:p>
    <w:p w14:paraId="32F43B2F" w14:textId="77777777" w:rsidR="00DA443C" w:rsidRDefault="004A1489" w:rsidP="00DA443C">
      <w:pPr>
        <w:ind w:firstLine="720"/>
        <w:rPr>
          <w:iCs/>
        </w:rPr>
      </w:pPr>
      <w:r>
        <w:t xml:space="preserve">In this case, plaintiff </w:t>
      </w:r>
      <w:r>
        <w:rPr>
          <w:iCs/>
        </w:rPr>
        <w:t>alleges that State</w:t>
      </w:r>
      <w:r>
        <w:rPr>
          <w:iCs/>
        </w:rPr>
        <w:t xml:space="preserve"> Farm offers various types of property insurance coverage to Californians, advertises itself as the largest homeowner’s insurance company in the country and has the largest market share of homeowners’ policies in California.  She alleges that her policy is</w:t>
      </w:r>
      <w:r>
        <w:rPr>
          <w:iCs/>
        </w:rPr>
        <w:t xml:space="preserve"> designated by State Farm as an “all risk” policy, which means it covers all perils unless they are specifically excluded.  She alleges State Farm summarily denied the claim she made under her homeowner’s policy without any investigation and with virtually</w:t>
      </w:r>
      <w:r>
        <w:rPr>
          <w:iCs/>
        </w:rPr>
        <w:t xml:space="preserve"> no explanation, thus depriving her of the opportunity to question or challenge its denial of coverage or to provide additional information that might affect its determination.  </w:t>
      </w:r>
    </w:p>
    <w:p w14:paraId="5E8F52F0" w14:textId="77777777" w:rsidR="00DA443C" w:rsidRDefault="004A1489" w:rsidP="00DA443C">
      <w:pPr>
        <w:ind w:firstLine="720"/>
        <w:rPr>
          <w:iCs/>
        </w:rPr>
      </w:pPr>
      <w:r>
        <w:t xml:space="preserve">In addition, </w:t>
      </w:r>
      <w:r>
        <w:rPr>
          <w:iCs/>
        </w:rPr>
        <w:t>she alleges that State Farm’s advertising stating that it is “li</w:t>
      </w:r>
      <w:r>
        <w:rPr>
          <w:iCs/>
        </w:rPr>
        <w:t xml:space="preserve">ke a good neighbor” and is “here to protect your home and your valuables,” creates an impression in consumers that, on submission of a claim, it would investigate the claim and provide an explanation if it denies the claim.  However, she </w:t>
      </w:r>
      <w:proofErr w:type="gramStart"/>
      <w:r>
        <w:rPr>
          <w:iCs/>
        </w:rPr>
        <w:t>alleges, because</w:t>
      </w:r>
      <w:proofErr w:type="gramEnd"/>
      <w:r>
        <w:rPr>
          <w:iCs/>
        </w:rPr>
        <w:t xml:space="preserve"> S</w:t>
      </w:r>
      <w:r>
        <w:rPr>
          <w:iCs/>
        </w:rPr>
        <w:t xml:space="preserve">tate Farm does not do either of those things, consumers are misled.  Further, she alleges, State Farm has a practice of summarily denying property insurance claims unless it concludes at the </w:t>
      </w:r>
      <w:r>
        <w:rPr>
          <w:iCs/>
        </w:rPr>
        <w:lastRenderedPageBreak/>
        <w:t xml:space="preserve">outset that the claim is likely </w:t>
      </w:r>
      <w:proofErr w:type="gramStart"/>
      <w:r>
        <w:rPr>
          <w:iCs/>
        </w:rPr>
        <w:t>covered, and</w:t>
      </w:r>
      <w:proofErr w:type="gramEnd"/>
      <w:r>
        <w:rPr>
          <w:iCs/>
        </w:rPr>
        <w:t xml:space="preserve"> denies most claims w</w:t>
      </w:r>
      <w:r>
        <w:rPr>
          <w:iCs/>
        </w:rPr>
        <w:t>ithout investigating them or explaining the basis for its denial.  She alleges these practices are intended to discourage policyholders from challenging State Farm’s coverage decisions.  Finally, she alleges State Farm’s misleading advertising and failures</w:t>
      </w:r>
      <w:r>
        <w:rPr>
          <w:iCs/>
        </w:rPr>
        <w:t xml:space="preserve"> to investigate property insurance claims, to specify the reasons for denying coverage and to “</w:t>
      </w:r>
      <w:proofErr w:type="gramStart"/>
      <w:r>
        <w:rPr>
          <w:iCs/>
        </w:rPr>
        <w:t>give[</w:t>
      </w:r>
      <w:proofErr w:type="gramEnd"/>
      <w:r>
        <w:rPr>
          <w:iCs/>
        </w:rPr>
        <w:t>] at least as much consideration to the interests of its insured as it gives to its own interests” constitute false advertising and unfair business practice</w:t>
      </w:r>
      <w:r>
        <w:rPr>
          <w:iCs/>
        </w:rPr>
        <w:t xml:space="preserve">s under the UCL.  </w:t>
      </w:r>
    </w:p>
    <w:p w14:paraId="3B6DAB5D" w14:textId="77777777" w:rsidR="00DA443C" w:rsidRDefault="004A1489" w:rsidP="00DA443C">
      <w:pPr>
        <w:ind w:firstLine="720"/>
        <w:rPr>
          <w:iCs/>
        </w:rPr>
      </w:pPr>
      <w:r>
        <w:rPr>
          <w:iCs/>
        </w:rPr>
        <w:t>As a remedy, she seeks declaratory and injunctive relief on behalf of the public, requiring State Farm to investigate property insurance claims and provide policyholders an explanation of its reasons when it denies coverage.  She alleges</w:t>
      </w:r>
      <w:r>
        <w:rPr>
          <w:iCs/>
        </w:rPr>
        <w:t xml:space="preserve"> affirmatively that she is not seeking damages for the denial of her own claim, which is the subject of a separate breach of contract suit she filed against State Farm that is pending in federal court.  </w:t>
      </w:r>
    </w:p>
    <w:p w14:paraId="7953D105" w14:textId="77777777" w:rsidR="00DA443C" w:rsidRDefault="004A1489" w:rsidP="00DA443C">
      <w:pPr>
        <w:ind w:firstLine="720"/>
        <w:rPr>
          <w:iCs/>
        </w:rPr>
      </w:pPr>
      <w:r>
        <w:rPr>
          <w:iCs/>
        </w:rPr>
        <w:t xml:space="preserve">Those are her allegations.  The question, then, is </w:t>
      </w:r>
      <w:r>
        <w:rPr>
          <w:iCs/>
        </w:rPr>
        <w:t>whether this UCL claim for injunctive relief is a cause of action “on” her insurance policy.</w:t>
      </w:r>
    </w:p>
    <w:p w14:paraId="1F869C89" w14:textId="77777777" w:rsidR="00DA443C" w:rsidRPr="000A45EB" w:rsidRDefault="004A1489" w:rsidP="00DA443C">
      <w:pPr>
        <w:jc w:val="center"/>
        <w:rPr>
          <w:b/>
          <w:bCs/>
        </w:rPr>
      </w:pPr>
      <w:r w:rsidRPr="005E373B">
        <w:rPr>
          <w:b/>
          <w:bCs/>
          <w:iCs/>
        </w:rPr>
        <w:t>I</w:t>
      </w:r>
      <w:r w:rsidRPr="00004597">
        <w:rPr>
          <w:b/>
          <w:bCs/>
        </w:rPr>
        <w:t>I.</w:t>
      </w:r>
    </w:p>
    <w:p w14:paraId="0A300705" w14:textId="77777777" w:rsidR="00DA443C" w:rsidRDefault="004A1489" w:rsidP="00DA443C">
      <w:pPr>
        <w:ind w:firstLine="720"/>
        <w:rPr>
          <w:iCs/>
        </w:rPr>
      </w:pPr>
      <w:r>
        <w:rPr>
          <w:iCs/>
        </w:rPr>
        <w:t>No California authority addresses this question.</w:t>
      </w:r>
    </w:p>
    <w:p w14:paraId="6F89F6B9" w14:textId="77777777" w:rsidR="00DA443C" w:rsidRDefault="004A1489" w:rsidP="00DA443C">
      <w:pPr>
        <w:ind w:firstLine="720"/>
        <w:rPr>
          <w:iCs/>
        </w:rPr>
      </w:pPr>
      <w:r>
        <w:rPr>
          <w:iCs/>
        </w:rPr>
        <w:t>I agree with my colleagues that in resolving this issue, we must assess the substance of plaintiff’s claim and</w:t>
      </w:r>
      <w:r>
        <w:rPr>
          <w:iCs/>
        </w:rPr>
        <w:t xml:space="preserve"> not its label.  As this court previously explained in </w:t>
      </w:r>
      <w:r w:rsidRPr="00141BFF">
        <w:rPr>
          <w:i/>
        </w:rPr>
        <w:t>Jang v. State Farm Fire &amp; Casualty Co.</w:t>
      </w:r>
      <w:r>
        <w:t xml:space="preserve"> (2000) 80 Cal.App.4th 1291 (</w:t>
      </w:r>
      <w:r w:rsidRPr="00175D08">
        <w:rPr>
          <w:i/>
          <w:iCs/>
        </w:rPr>
        <w:t>Jang</w:t>
      </w:r>
      <w:r>
        <w:t>), “an action seeking damages recoverable under the policy for a risk insured under the policy is merely a ‘transparent attempt to</w:t>
      </w:r>
      <w:r>
        <w:t xml:space="preserve"> recover </w:t>
      </w:r>
      <w:r>
        <w:rPr>
          <w:i/>
          <w:iCs/>
        </w:rPr>
        <w:t>on the policy</w:t>
      </w:r>
      <w:r>
        <w:t>’” and “[a]s such, it is subject to the policy’s statute of limitations.”  (</w:t>
      </w:r>
      <w:r w:rsidRPr="00DF3F81">
        <w:rPr>
          <w:i/>
        </w:rPr>
        <w:t>Id</w:t>
      </w:r>
      <w:r>
        <w:t xml:space="preserve">. at p. 1301.)  Putting it another way, we recognized that where “the crux” of a lawsuit is a claim the insured was wrongfully denied payment of </w:t>
      </w:r>
      <w:r>
        <w:lastRenderedPageBreak/>
        <w:t>insurance p</w:t>
      </w:r>
      <w:r>
        <w:t>roceeds, it is a claim on the policy no matter how pled.  (</w:t>
      </w:r>
      <w:r w:rsidRPr="00FC79BB">
        <w:rPr>
          <w:i/>
        </w:rPr>
        <w:t>Id</w:t>
      </w:r>
      <w:r>
        <w:t xml:space="preserve">. at p. 1303.)  </w:t>
      </w:r>
    </w:p>
    <w:p w14:paraId="1ACB01FC" w14:textId="77777777" w:rsidR="00DA443C" w:rsidRDefault="004A1489" w:rsidP="00DA443C">
      <w:pPr>
        <w:ind w:firstLine="720"/>
        <w:rPr>
          <w:iCs/>
        </w:rPr>
      </w:pPr>
      <w:r>
        <w:rPr>
          <w:iCs/>
        </w:rPr>
        <w:t xml:space="preserve">Where I part ways with the majority is on its conclusion that plaintiff’s UCL claim is </w:t>
      </w:r>
      <w:proofErr w:type="gramStart"/>
      <w:r>
        <w:rPr>
          <w:iCs/>
        </w:rPr>
        <w:t>“ ‘</w:t>
      </w:r>
      <w:proofErr w:type="gramEnd"/>
      <w:r>
        <w:rPr>
          <w:iCs/>
        </w:rPr>
        <w:t xml:space="preserve">grounded upon a failure to pay policy benefits’ ”  (Maj. </w:t>
      </w:r>
      <w:proofErr w:type="spellStart"/>
      <w:r>
        <w:rPr>
          <w:iCs/>
        </w:rPr>
        <w:t>opn</w:t>
      </w:r>
      <w:proofErr w:type="spellEnd"/>
      <w:r>
        <w:rPr>
          <w:iCs/>
        </w:rPr>
        <w:t xml:space="preserve">. </w:t>
      </w:r>
      <w:r>
        <w:rPr>
          <w:i/>
        </w:rPr>
        <w:t xml:space="preserve">ante, </w:t>
      </w:r>
      <w:r>
        <w:rPr>
          <w:iCs/>
        </w:rPr>
        <w:t xml:space="preserve">at p. 19), and that </w:t>
      </w:r>
      <w:r>
        <w:rPr>
          <w:iCs/>
        </w:rPr>
        <w:t>what she is seeking to recover in this case is (and “</w:t>
      </w:r>
      <w:r w:rsidRPr="00DE0E69">
        <w:rPr>
          <w:i/>
          <w:iCs/>
        </w:rPr>
        <w:t>must</w:t>
      </w:r>
      <w:r>
        <w:rPr>
          <w:iCs/>
        </w:rPr>
        <w:t xml:space="preserve"> be”) policy benefits (</w:t>
      </w:r>
      <w:r w:rsidRPr="00A4291A">
        <w:rPr>
          <w:i/>
        </w:rPr>
        <w:t>id</w:t>
      </w:r>
      <w:r>
        <w:rPr>
          <w:iCs/>
        </w:rPr>
        <w:t>.</w:t>
      </w:r>
      <w:r>
        <w:rPr>
          <w:i/>
        </w:rPr>
        <w:t xml:space="preserve"> ante</w:t>
      </w:r>
      <w:r>
        <w:rPr>
          <w:iCs/>
        </w:rPr>
        <w:t xml:space="preserve">, at p. 21).  </w:t>
      </w:r>
    </w:p>
    <w:p w14:paraId="7917CDE0" w14:textId="77777777" w:rsidR="00DA443C" w:rsidRDefault="004A1489" w:rsidP="00DA443C">
      <w:pPr>
        <w:ind w:firstLine="720"/>
        <w:rPr>
          <w:iCs/>
        </w:rPr>
      </w:pPr>
      <w:r w:rsidRPr="00800870">
        <w:rPr>
          <w:iCs/>
        </w:rPr>
        <w:t>To</w:t>
      </w:r>
      <w:r>
        <w:t xml:space="preserve"> </w:t>
      </w:r>
      <w:r w:rsidRPr="00800870">
        <w:rPr>
          <w:iCs/>
        </w:rPr>
        <w:t>begin</w:t>
      </w:r>
      <w:r>
        <w:t xml:space="preserve">, the optics of this case provide a tempting basis to mistake this UCL claim for something </w:t>
      </w:r>
      <w:r w:rsidRPr="00800870">
        <w:rPr>
          <w:iCs/>
        </w:rPr>
        <w:t>that</w:t>
      </w:r>
      <w:r>
        <w:t xml:space="preserve"> it is not.  For whatever reason, plaintiff has fi</w:t>
      </w:r>
      <w:r>
        <w:t xml:space="preserve">led two separate lawsuits against State Farm based on some of the same allegations, one now pending in federal court that seeks damages for breach of contract and bad faith.  But her separate federal lawsuit is an irrelevant distraction.  </w:t>
      </w:r>
      <w:r w:rsidRPr="00816F73">
        <w:rPr>
          <w:iCs/>
        </w:rPr>
        <w:t>The fact that</w:t>
      </w:r>
      <w:r>
        <w:rPr>
          <w:iCs/>
        </w:rPr>
        <w:t xml:space="preserve"> she</w:t>
      </w:r>
      <w:r>
        <w:rPr>
          <w:iCs/>
        </w:rPr>
        <w:t xml:space="preserve"> has asserted multiple causes of action based on</w:t>
      </w:r>
      <w:r w:rsidRPr="00816F73">
        <w:rPr>
          <w:iCs/>
        </w:rPr>
        <w:t xml:space="preserve"> </w:t>
      </w:r>
      <w:r>
        <w:rPr>
          <w:iCs/>
        </w:rPr>
        <w:t xml:space="preserve">some of </w:t>
      </w:r>
      <w:r w:rsidRPr="00816F73">
        <w:rPr>
          <w:iCs/>
        </w:rPr>
        <w:t>the same underlying facts does not mean</w:t>
      </w:r>
      <w:r>
        <w:rPr>
          <w:iCs/>
        </w:rPr>
        <w:t xml:space="preserve"> they necessarily are governed by the same limitations period.  </w:t>
      </w:r>
      <w:r w:rsidRPr="00816F73">
        <w:rPr>
          <w:iCs/>
        </w:rPr>
        <w:t>“</w:t>
      </w:r>
      <w:r>
        <w:rPr>
          <w:iCs/>
        </w:rPr>
        <w:t>[</w:t>
      </w:r>
      <w:r w:rsidRPr="00816F73">
        <w:rPr>
          <w:iCs/>
        </w:rPr>
        <w:t>A</w:t>
      </w:r>
      <w:r>
        <w:rPr>
          <w:iCs/>
        </w:rPr>
        <w:t>]</w:t>
      </w:r>
      <w:r w:rsidRPr="00816F73">
        <w:rPr>
          <w:iCs/>
        </w:rPr>
        <w:t xml:space="preserve"> plaintiff is generally permitted to allege different causes of action—with different statut</w:t>
      </w:r>
      <w:r w:rsidRPr="00816F73">
        <w:rPr>
          <w:iCs/>
        </w:rPr>
        <w:t>es of limitations—upon the same underlying facts.”  (</w:t>
      </w:r>
      <w:r w:rsidRPr="00816F73">
        <w:rPr>
          <w:i/>
          <w:iCs/>
        </w:rPr>
        <w:t>Thomson v. Canyon</w:t>
      </w:r>
      <w:r w:rsidRPr="00816F73">
        <w:rPr>
          <w:iCs/>
        </w:rPr>
        <w:t xml:space="preserve"> (2011) 198 Cal.App.4th 594, 605.)  </w:t>
      </w:r>
      <w:r>
        <w:rPr>
          <w:iCs/>
        </w:rPr>
        <w:t xml:space="preserve">A plaintiff </w:t>
      </w:r>
      <w:r w:rsidRPr="00816F73">
        <w:rPr>
          <w:iCs/>
        </w:rPr>
        <w:t>“may allege facts involving several distinct types of harm governed by different statutory periods and, where it does so, one cause of act</w:t>
      </w:r>
      <w:r w:rsidRPr="00816F73">
        <w:rPr>
          <w:iCs/>
        </w:rPr>
        <w:t>ion may survive even if another cause of action with a shorter limitations period is barred.”  (</w:t>
      </w:r>
      <w:r w:rsidRPr="00816F73">
        <w:rPr>
          <w:i/>
          <w:iCs/>
        </w:rPr>
        <w:t>Ibid</w:t>
      </w:r>
      <w:r w:rsidRPr="00816F73">
        <w:rPr>
          <w:iCs/>
        </w:rPr>
        <w:t xml:space="preserve">.)  </w:t>
      </w:r>
      <w:r>
        <w:rPr>
          <w:iCs/>
        </w:rPr>
        <w:t xml:space="preserve">In that situation, a </w:t>
      </w:r>
      <w:r w:rsidRPr="00816F73">
        <w:rPr>
          <w:iCs/>
        </w:rPr>
        <w:t xml:space="preserve">court’s task is to determine the statute of limitations applicable to </w:t>
      </w:r>
      <w:r w:rsidRPr="00816F73">
        <w:t>each separate cause of action</w:t>
      </w:r>
      <w:r w:rsidRPr="00816F73">
        <w:rPr>
          <w:iCs/>
        </w:rPr>
        <w:t>.  (</w:t>
      </w:r>
      <w:r w:rsidRPr="00816F73">
        <w:rPr>
          <w:i/>
        </w:rPr>
        <w:t>Id</w:t>
      </w:r>
      <w:r w:rsidRPr="00816F73">
        <w:rPr>
          <w:iCs/>
        </w:rPr>
        <w:t>. at p. 606.)</w:t>
      </w:r>
      <w:r>
        <w:rPr>
          <w:iCs/>
        </w:rPr>
        <w:t xml:space="preserve">  So, here, w</w:t>
      </w:r>
      <w:r>
        <w:rPr>
          <w:iCs/>
        </w:rPr>
        <w:t xml:space="preserve">e must focus only on the “distinct </w:t>
      </w:r>
      <w:proofErr w:type="gramStart"/>
      <w:r>
        <w:rPr>
          <w:iCs/>
        </w:rPr>
        <w:t>type[</w:t>
      </w:r>
      <w:proofErr w:type="gramEnd"/>
      <w:r>
        <w:rPr>
          <w:iCs/>
        </w:rPr>
        <w:t xml:space="preserve">] of harm” plaintiff alleges by way of her UCL cause of action, uninfluenced by her separate action seeking damages for the supposed wrongful denial of her insurance claim. </w:t>
      </w:r>
    </w:p>
    <w:p w14:paraId="21420675" w14:textId="77777777" w:rsidR="00DA443C" w:rsidRPr="00250ADA" w:rsidRDefault="004A1489" w:rsidP="00DA443C">
      <w:pPr>
        <w:rPr>
          <w:iCs/>
        </w:rPr>
      </w:pPr>
      <w:r>
        <w:tab/>
      </w:r>
      <w:r w:rsidRPr="00800870">
        <w:t>The</w:t>
      </w:r>
      <w:r>
        <w:rPr>
          <w:iCs/>
        </w:rPr>
        <w:t xml:space="preserve"> </w:t>
      </w:r>
      <w:r w:rsidRPr="00800870">
        <w:rPr>
          <w:iCs/>
        </w:rPr>
        <w:t>Legislature</w:t>
      </w:r>
      <w:r>
        <w:rPr>
          <w:iCs/>
        </w:rPr>
        <w:t xml:space="preserve"> has directed that the UCL’s remedies are “cumulative . . . to the remedies . . . available under all other laws of this </w:t>
      </w:r>
      <w:r>
        <w:rPr>
          <w:iCs/>
        </w:rPr>
        <w:lastRenderedPageBreak/>
        <w:t xml:space="preserve">state” (Bus. &amp; Prof. Code </w:t>
      </w:r>
      <w:r w:rsidRPr="00D63F5A">
        <w:rPr>
          <w:iCs/>
        </w:rPr>
        <w:t>§ </w:t>
      </w:r>
      <w:r>
        <w:rPr>
          <w:iCs/>
        </w:rPr>
        <w:t xml:space="preserve">17205), and that </w:t>
      </w:r>
      <w:proofErr w:type="gramStart"/>
      <w:r w:rsidRPr="0098272B">
        <w:rPr>
          <w:iCs/>
        </w:rPr>
        <w:t>“</w:t>
      </w:r>
      <w:r>
        <w:rPr>
          <w:iCs/>
        </w:rPr>
        <w:t xml:space="preserve"> ‘</w:t>
      </w:r>
      <w:proofErr w:type="gramEnd"/>
      <w:r w:rsidRPr="007F29F1">
        <w:rPr>
          <w:i/>
        </w:rPr>
        <w:t>[a]</w:t>
      </w:r>
      <w:proofErr w:type="spellStart"/>
      <w:r w:rsidRPr="007F29F1">
        <w:rPr>
          <w:i/>
        </w:rPr>
        <w:t>ny</w:t>
      </w:r>
      <w:proofErr w:type="spellEnd"/>
      <w:r w:rsidRPr="0098272B">
        <w:rPr>
          <w:iCs/>
        </w:rPr>
        <w:t xml:space="preserve"> action to enforce </w:t>
      </w:r>
      <w:r w:rsidRPr="007F29F1">
        <w:rPr>
          <w:i/>
        </w:rPr>
        <w:t>any</w:t>
      </w:r>
      <w:r w:rsidRPr="0098272B">
        <w:rPr>
          <w:iCs/>
        </w:rPr>
        <w:t xml:space="preserve"> cause of action under </w:t>
      </w:r>
      <w:r>
        <w:rPr>
          <w:iCs/>
        </w:rPr>
        <w:t>[the UCL]</w:t>
      </w:r>
      <w:r w:rsidRPr="0098272B">
        <w:rPr>
          <w:iCs/>
        </w:rPr>
        <w:t xml:space="preserve"> shall be commenced within f</w:t>
      </w:r>
      <w:r w:rsidRPr="0098272B">
        <w:rPr>
          <w:iCs/>
        </w:rPr>
        <w:t>our years after the cause of action accrued.</w:t>
      </w:r>
      <w:r>
        <w:rPr>
          <w:iCs/>
        </w:rPr>
        <w:t xml:space="preserve">’ </w:t>
      </w:r>
      <w:r w:rsidRPr="0098272B">
        <w:rPr>
          <w:iCs/>
        </w:rPr>
        <w:t>”</w:t>
      </w:r>
      <w:r>
        <w:rPr>
          <w:iCs/>
        </w:rPr>
        <w:t xml:space="preserve">  (</w:t>
      </w:r>
      <w:r w:rsidRPr="007F29F1">
        <w:rPr>
          <w:i/>
        </w:rPr>
        <w:t>Cortez v. Purolator Air Filtration Products Co</w:t>
      </w:r>
      <w:r>
        <w:rPr>
          <w:iCs/>
        </w:rPr>
        <w:t xml:space="preserve">. (2000) 23 </w:t>
      </w:r>
      <w:r w:rsidRPr="008010E5">
        <w:rPr>
          <w:iCs/>
        </w:rPr>
        <w:t>Cal.4th</w:t>
      </w:r>
      <w:r w:rsidRPr="00AA3770">
        <w:rPr>
          <w:iCs/>
        </w:rPr>
        <w:t xml:space="preserve"> </w:t>
      </w:r>
      <w:r>
        <w:rPr>
          <w:iCs/>
        </w:rPr>
        <w:t>163, 178-179 (</w:t>
      </w:r>
      <w:r w:rsidRPr="007F29F1">
        <w:rPr>
          <w:i/>
        </w:rPr>
        <w:t>Cortez</w:t>
      </w:r>
      <w:r>
        <w:rPr>
          <w:iCs/>
        </w:rPr>
        <w:t xml:space="preserve">); Bus. &amp; Prof. Code </w:t>
      </w:r>
      <w:r w:rsidRPr="00250ADA">
        <w:rPr>
          <w:iCs/>
        </w:rPr>
        <w:t>§ </w:t>
      </w:r>
      <w:r>
        <w:rPr>
          <w:iCs/>
        </w:rPr>
        <w:t xml:space="preserve">17208.)  Our high court has held that </w:t>
      </w:r>
      <w:proofErr w:type="gramStart"/>
      <w:r>
        <w:rPr>
          <w:iCs/>
        </w:rPr>
        <w:t>this four-year limitations</w:t>
      </w:r>
      <w:proofErr w:type="gramEnd"/>
      <w:r>
        <w:rPr>
          <w:iCs/>
        </w:rPr>
        <w:t xml:space="preserve"> period “admits of no exceptions.</w:t>
      </w:r>
      <w:r>
        <w:rPr>
          <w:iCs/>
        </w:rPr>
        <w:t>”  (</w:t>
      </w:r>
      <w:r w:rsidRPr="007F29F1">
        <w:rPr>
          <w:i/>
        </w:rPr>
        <w:t>Cortez</w:t>
      </w:r>
      <w:r>
        <w:rPr>
          <w:iCs/>
        </w:rPr>
        <w:t>, at pp. 178-179.)  “</w:t>
      </w:r>
      <w:r w:rsidRPr="008010E5">
        <w:rPr>
          <w:i/>
        </w:rPr>
        <w:t>Any</w:t>
      </w:r>
      <w:r>
        <w:rPr>
          <w:iCs/>
        </w:rPr>
        <w:t xml:space="preserve"> action on </w:t>
      </w:r>
      <w:r w:rsidRPr="008010E5">
        <w:rPr>
          <w:i/>
        </w:rPr>
        <w:t>any</w:t>
      </w:r>
      <w:r>
        <w:rPr>
          <w:iCs/>
        </w:rPr>
        <w:t xml:space="preserve"> UCL cause of action is subject to the four-year period of limitations created by that section” even if the predicate law on which the practice is claimed to be unfair contains a shorter limitations period.  </w:t>
      </w:r>
      <w:r>
        <w:rPr>
          <w:iCs/>
        </w:rPr>
        <w:t>(</w:t>
      </w:r>
      <w:r w:rsidRPr="007F29F1">
        <w:rPr>
          <w:i/>
        </w:rPr>
        <w:t>Cortez</w:t>
      </w:r>
      <w:r>
        <w:rPr>
          <w:iCs/>
        </w:rPr>
        <w:t>, at pp. 178-179.)  This means that, whatever the limitations period may be for an action “on” the insurance policy, whether mandated by contract or by operation of Insurance Code section 2071, a claim brought under the UCL is distinct, and it is go</w:t>
      </w:r>
      <w:r>
        <w:rPr>
          <w:iCs/>
        </w:rPr>
        <w:t xml:space="preserve">verned by the UCL’s four-year limitations period.  (Cf. </w:t>
      </w:r>
      <w:r w:rsidRPr="002173A0">
        <w:rPr>
          <w:i/>
          <w:iCs/>
        </w:rPr>
        <w:t>Cortez</w:t>
      </w:r>
      <w:r>
        <w:rPr>
          <w:iCs/>
        </w:rPr>
        <w:t xml:space="preserve">, at p. 179 [limitations periods applicable to statutory or contractual claims held inapplicable to UCL claim based on failure to pay wages].)  </w:t>
      </w:r>
    </w:p>
    <w:p w14:paraId="7CFE888C" w14:textId="77777777" w:rsidR="00DA443C" w:rsidRDefault="004A1489" w:rsidP="00DA443C">
      <w:pPr>
        <w:ind w:firstLine="720"/>
      </w:pPr>
      <w:r>
        <w:t>Furthermore, in treating plaintiff’s UCL injuncti</w:t>
      </w:r>
      <w:r>
        <w:t xml:space="preserve">ve relief claim as an action “on” her insurance policy, the majority fails to grapple with the reasoning of the only analogous California case that has been brought to our attention, </w:t>
      </w:r>
      <w:r w:rsidRPr="005A4B97">
        <w:rPr>
          <w:i/>
          <w:iCs/>
        </w:rPr>
        <w:t>2</w:t>
      </w:r>
      <w:r w:rsidRPr="001D3333">
        <w:rPr>
          <w:i/>
          <w:iCs/>
        </w:rPr>
        <w:t>0th Century Ins. Co. v. Superior Court</w:t>
      </w:r>
      <w:r w:rsidRPr="001D3333">
        <w:t xml:space="preserve"> (2001) 90</w:t>
      </w:r>
      <w:r>
        <w:t> </w:t>
      </w:r>
      <w:r w:rsidRPr="001D3333">
        <w:t>Cal.App.4th 1247</w:t>
      </w:r>
      <w:r>
        <w:t xml:space="preserve"> (</w:t>
      </w:r>
      <w:r w:rsidRPr="005A4B97">
        <w:rPr>
          <w:i/>
          <w:iCs/>
        </w:rPr>
        <w:t>2</w:t>
      </w:r>
      <w:r w:rsidRPr="001D3333">
        <w:rPr>
          <w:i/>
          <w:iCs/>
        </w:rPr>
        <w:t xml:space="preserve">0th </w:t>
      </w:r>
      <w:r w:rsidRPr="001D3333">
        <w:rPr>
          <w:i/>
          <w:iCs/>
        </w:rPr>
        <w:t>Century</w:t>
      </w:r>
      <w:r>
        <w:t xml:space="preserve">).  At issue there was a statute </w:t>
      </w:r>
      <w:r w:rsidRPr="00F55185">
        <w:rPr>
          <w:iCs/>
        </w:rPr>
        <w:t>reviving</w:t>
      </w:r>
      <w:r>
        <w:t xml:space="preserve"> </w:t>
      </w:r>
      <w:proofErr w:type="gramStart"/>
      <w:r>
        <w:t>“ ‘</w:t>
      </w:r>
      <w:proofErr w:type="gramEnd"/>
      <w:r w:rsidRPr="00F52760">
        <w:t xml:space="preserve">any insurance claim </w:t>
      </w:r>
      <w:r>
        <w:t xml:space="preserve">for damages </w:t>
      </w:r>
      <w:r w:rsidRPr="00340D58">
        <w:rPr>
          <w:i/>
          <w:iCs/>
        </w:rPr>
        <w:t>arising out of</w:t>
      </w:r>
      <w:r>
        <w:t xml:space="preserve"> the Northridge earthquake’ ” that was otherwise time-barred.  (</w:t>
      </w:r>
      <w:r w:rsidRPr="00022721">
        <w:rPr>
          <w:i/>
          <w:iCs/>
        </w:rPr>
        <w:t>Id</w:t>
      </w:r>
      <w:r>
        <w:t>. at p. 1279; Code Civ. Proc., § 340.9).  Recognizing that the Legislature’s intent was to r</w:t>
      </w:r>
      <w:r>
        <w:t xml:space="preserve">evive claims that would otherwise be barred by insurance policies containing the one-year limitations period set by Insurance Code section 2071, the Second District, in a unanimous opinion written by Justice </w:t>
      </w:r>
      <w:proofErr w:type="spellStart"/>
      <w:r>
        <w:t>Croskey</w:t>
      </w:r>
      <w:proofErr w:type="spellEnd"/>
      <w:r>
        <w:t>, acknowledged the case law (much of whic</w:t>
      </w:r>
      <w:r>
        <w:t xml:space="preserve">h the majority relies on here) applying that one-year limitations period to claims for breach </w:t>
      </w:r>
      <w:r>
        <w:lastRenderedPageBreak/>
        <w:t>of the covenant of good faith and fair dealing.  (</w:t>
      </w:r>
      <w:r>
        <w:rPr>
          <w:i/>
          <w:iCs/>
        </w:rPr>
        <w:t>S</w:t>
      </w:r>
      <w:r w:rsidRPr="00CE558E">
        <w:rPr>
          <w:i/>
          <w:iCs/>
        </w:rPr>
        <w:t>ee</w:t>
      </w:r>
      <w:r>
        <w:t xml:space="preserve"> </w:t>
      </w:r>
      <w:r>
        <w:rPr>
          <w:i/>
        </w:rPr>
        <w:t>20th Century,</w:t>
      </w:r>
      <w:r>
        <w:t xml:space="preserve"> at p. 1280 [citing </w:t>
      </w:r>
      <w:r w:rsidRPr="00022721">
        <w:rPr>
          <w:i/>
          <w:iCs/>
        </w:rPr>
        <w:t>Jang</w:t>
      </w:r>
      <w:r>
        <w:t xml:space="preserve">, </w:t>
      </w:r>
      <w:r w:rsidRPr="00022721">
        <w:rPr>
          <w:i/>
          <w:iCs/>
        </w:rPr>
        <w:t>Velasquez</w:t>
      </w:r>
      <w:r>
        <w:rPr>
          <w:i/>
          <w:iCs/>
        </w:rPr>
        <w:t xml:space="preserve"> v. Truck Ins. Exchange </w:t>
      </w:r>
      <w:r>
        <w:t>(1991) 1 Cal.App.4</w:t>
      </w:r>
      <w:r w:rsidRPr="00367AAA">
        <w:t>th</w:t>
      </w:r>
      <w:r>
        <w:t xml:space="preserve"> 712 (</w:t>
      </w:r>
      <w:r w:rsidRPr="00367AAA">
        <w:rPr>
          <w:i/>
          <w:iCs/>
        </w:rPr>
        <w:t>Velasquez</w:t>
      </w:r>
      <w:r>
        <w:t xml:space="preserve">), </w:t>
      </w:r>
      <w:proofErr w:type="spellStart"/>
      <w:r w:rsidRPr="00022721">
        <w:rPr>
          <w:i/>
          <w:iCs/>
        </w:rPr>
        <w:t>Abari</w:t>
      </w:r>
      <w:proofErr w:type="spellEnd"/>
      <w:r>
        <w:rPr>
          <w:i/>
          <w:iCs/>
        </w:rPr>
        <w:t xml:space="preserve"> v. State Farm Fire &amp; Casualty Co. </w:t>
      </w:r>
      <w:r>
        <w:t>(1988) 205 Cal.App.3d 530 (</w:t>
      </w:r>
      <w:proofErr w:type="spellStart"/>
      <w:r w:rsidRPr="000C3F71">
        <w:rPr>
          <w:i/>
          <w:iCs/>
        </w:rPr>
        <w:t>Abari</w:t>
      </w:r>
      <w:proofErr w:type="spellEnd"/>
      <w:r>
        <w:t xml:space="preserve">) and </w:t>
      </w:r>
      <w:r w:rsidRPr="00070CB7">
        <w:rPr>
          <w:i/>
          <w:iCs/>
        </w:rPr>
        <w:t>Lawrence</w:t>
      </w:r>
      <w:r>
        <w:rPr>
          <w:i/>
          <w:iCs/>
        </w:rPr>
        <w:t xml:space="preserve"> v. Western Mutual Ins. Co. </w:t>
      </w:r>
      <w:r>
        <w:t>(1988) 204 Cal.App.3d 565 (</w:t>
      </w:r>
      <w:r w:rsidRPr="000C3F71">
        <w:rPr>
          <w:i/>
          <w:iCs/>
        </w:rPr>
        <w:t>Lawrence</w:t>
      </w:r>
      <w:r>
        <w:t xml:space="preserve">)].)  Although “bad faith claims that are </w:t>
      </w:r>
      <w:r>
        <w:rPr>
          <w:i/>
          <w:iCs/>
        </w:rPr>
        <w:t xml:space="preserve">seeking damages recoverable under the </w:t>
      </w:r>
      <w:r w:rsidRPr="00137848">
        <w:t>policy</w:t>
      </w:r>
      <w:r>
        <w:t>” were he</w:t>
      </w:r>
      <w:r>
        <w:t>ld to be actions on the policy (</w:t>
      </w:r>
      <w:r>
        <w:rPr>
          <w:i/>
          <w:iCs/>
        </w:rPr>
        <w:t>20</w:t>
      </w:r>
      <w:r w:rsidRPr="00367AAA">
        <w:rPr>
          <w:i/>
          <w:iCs/>
        </w:rPr>
        <w:t>th</w:t>
      </w:r>
      <w:r>
        <w:rPr>
          <w:i/>
          <w:iCs/>
        </w:rPr>
        <w:t xml:space="preserve"> Century,</w:t>
      </w:r>
      <w:r>
        <w:t xml:space="preserve"> at p. 1280), </w:t>
      </w:r>
      <w:r w:rsidRPr="00070CB7">
        <w:rPr>
          <w:i/>
        </w:rPr>
        <w:t>20th Century</w:t>
      </w:r>
      <w:r>
        <w:t xml:space="preserve"> reached the opposite conclusion for a fraud claim alleging the insurer had knowingly mishandled and improperly denied many insurance claims, including the </w:t>
      </w:r>
      <w:proofErr w:type="gramStart"/>
      <w:r>
        <w:t>plaintiff’s</w:t>
      </w:r>
      <w:proofErr w:type="gramEnd"/>
      <w:r>
        <w:t>.  (</w:t>
      </w:r>
      <w:r w:rsidRPr="00A34CA0">
        <w:rPr>
          <w:i/>
          <w:iCs/>
        </w:rPr>
        <w:t>Id</w:t>
      </w:r>
      <w:r>
        <w:t>. at pp. 125</w:t>
      </w:r>
      <w:r>
        <w:t xml:space="preserve">6, 1280.)  </w:t>
      </w:r>
    </w:p>
    <w:p w14:paraId="4BC95F17" w14:textId="77777777" w:rsidR="00DA443C" w:rsidRPr="00367AAA" w:rsidRDefault="004A1489" w:rsidP="00DA443C">
      <w:pPr>
        <w:ind w:firstLine="720"/>
      </w:pPr>
      <w:r>
        <w:t>I quote at some length its reasons for concluding the fraud claim was not an action the policy</w:t>
      </w:r>
      <w:proofErr w:type="gramStart"/>
      <w:r>
        <w:t>:  “</w:t>
      </w:r>
      <w:proofErr w:type="gramEnd"/>
      <w:r w:rsidRPr="00FC2A28">
        <w:t>Her action for fraud does not rest on 20th Century</w:t>
      </w:r>
      <w:r>
        <w:t>’</w:t>
      </w:r>
      <w:r w:rsidRPr="00FC2A28">
        <w:t>s failure to perform under the policy, but rather on its alleged acts of deceit and deception t</w:t>
      </w:r>
      <w:r w:rsidRPr="00FC2A28">
        <w:t>hat go well beyond simple nonperformance.</w:t>
      </w:r>
      <w:r>
        <w:t xml:space="preserve"> </w:t>
      </w:r>
      <w:r w:rsidRPr="00FC2A28">
        <w:t xml:space="preserve"> That the purpose of such alleged fraudulent behavior may have been to evade performance under the policy does not alter the conclusion that an entirely separate act of misconduct has been alleged. </w:t>
      </w:r>
      <w:r>
        <w:t xml:space="preserve"> </w:t>
      </w:r>
      <w:r w:rsidRPr="00FC2A28">
        <w:t xml:space="preserve">In addition, </w:t>
      </w:r>
      <w:r>
        <w:t>[p</w:t>
      </w:r>
      <w:r>
        <w:t>laintiff]</w:t>
      </w:r>
      <w:r w:rsidRPr="00FC2A28">
        <w:t xml:space="preserve"> does not seek damages recoverable under the policy, but rather damages arising from 20th Century</w:t>
      </w:r>
      <w:r>
        <w:t>’</w:t>
      </w:r>
      <w:r w:rsidRPr="00FC2A28">
        <w:t xml:space="preserve">s alleged misrepresentations and </w:t>
      </w:r>
      <w:r>
        <w:t>[plaintiff’s]</w:t>
      </w:r>
      <w:r w:rsidRPr="00FC2A28">
        <w:t xml:space="preserve"> reliance, including such things as out of pocket premium expense, lost opportunity damages and recover</w:t>
      </w:r>
      <w:r w:rsidRPr="00FC2A28">
        <w:t>y for resulting emotional distress.</w:t>
      </w:r>
      <w:r>
        <w:t xml:space="preserve"> </w:t>
      </w:r>
      <w:r w:rsidRPr="00FC2A28">
        <w:t xml:space="preserve"> For these reasons, we do not perceive </w:t>
      </w:r>
      <w:r>
        <w:t>[plaintiff’s]</w:t>
      </w:r>
      <w:r w:rsidRPr="00FC2A28">
        <w:t xml:space="preserve"> fraud claim as an </w:t>
      </w:r>
      <w:r>
        <w:t>‘</w:t>
      </w:r>
      <w:r w:rsidRPr="00367AAA">
        <w:rPr>
          <w:i/>
          <w:iCs/>
        </w:rPr>
        <w:t>insurance claim for damages</w:t>
      </w:r>
      <w:r>
        <w:t>’</w:t>
      </w:r>
      <w:r w:rsidRPr="00FC2A28">
        <w:t xml:space="preserve"> as that term is used in section 340.9.</w:t>
      </w:r>
      <w:r>
        <w:t>”</w:t>
      </w:r>
      <w:r w:rsidRPr="00FC2A28">
        <w:t xml:space="preserve"> </w:t>
      </w:r>
      <w:r>
        <w:t xml:space="preserve"> (</w:t>
      </w:r>
      <w:r>
        <w:rPr>
          <w:i/>
          <w:iCs/>
        </w:rPr>
        <w:t>20</w:t>
      </w:r>
      <w:r w:rsidRPr="00367AAA">
        <w:rPr>
          <w:i/>
          <w:iCs/>
        </w:rPr>
        <w:t xml:space="preserve">th </w:t>
      </w:r>
      <w:r>
        <w:rPr>
          <w:i/>
          <w:iCs/>
        </w:rPr>
        <w:t xml:space="preserve">Century, supra, </w:t>
      </w:r>
      <w:r>
        <w:t>90 Cal.App.4</w:t>
      </w:r>
      <w:r w:rsidRPr="00367AAA">
        <w:t>th</w:t>
      </w:r>
      <w:r>
        <w:t xml:space="preserve"> at pp. 1280-1281.)</w:t>
      </w:r>
      <w:r w:rsidRPr="00367AAA">
        <w:t xml:space="preserve"> </w:t>
      </w:r>
    </w:p>
    <w:p w14:paraId="0751D57E" w14:textId="77777777" w:rsidR="00DA443C" w:rsidRDefault="004A1489" w:rsidP="00DA443C">
      <w:pPr>
        <w:ind w:firstLine="720"/>
      </w:pPr>
      <w:r>
        <w:t xml:space="preserve">I find </w:t>
      </w:r>
      <w:r w:rsidRPr="00E730A9">
        <w:rPr>
          <w:i/>
          <w:iCs/>
        </w:rPr>
        <w:t>20th Century</w:t>
      </w:r>
      <w:r>
        <w:t>’s</w:t>
      </w:r>
      <w:r>
        <w:t xml:space="preserve"> analysis on point and persuasive and would apply it here.  The “crux” of plaintiff’s lawsuit (</w:t>
      </w:r>
      <w:r w:rsidRPr="00633496">
        <w:rPr>
          <w:i/>
          <w:iCs/>
        </w:rPr>
        <w:t>Jang</w:t>
      </w:r>
      <w:r>
        <w:t xml:space="preserve">, </w:t>
      </w:r>
      <w:r w:rsidRPr="00633496">
        <w:rPr>
          <w:i/>
          <w:iCs/>
        </w:rPr>
        <w:t>supra</w:t>
      </w:r>
      <w:r>
        <w:t>, 80 Cal.App.4th at p. 1303) is that State Farm is marketing homeowner’s insurance to the public, promising benefits on defined terms, while its claim</w:t>
      </w:r>
      <w:r>
        <w:t xml:space="preserve">s adjustment </w:t>
      </w:r>
      <w:r>
        <w:lastRenderedPageBreak/>
        <w:t xml:space="preserve">process is, by design, so superficial (little to no investigation) </w:t>
      </w:r>
      <w:r w:rsidRPr="00FF1394">
        <w:t>and</w:t>
      </w:r>
      <w:r>
        <w:t xml:space="preserve"> obscure (no communication with insureds about the basis for denials) that it manages to avoid paying out on all but the claims that are obviously covered.  Plaintiff seeks </w:t>
      </w:r>
      <w:r>
        <w:t>only an injunction to rectify those practices on a prospective basis,</w:t>
      </w:r>
      <w:r w:rsidRPr="00176146">
        <w:rPr>
          <w:b/>
          <w:bCs/>
        </w:rPr>
        <w:t xml:space="preserve"> </w:t>
      </w:r>
      <w:r w:rsidRPr="00176146">
        <w:t>generally applicable to State Farm’s dealings with all its customers and not limited to her individually.</w:t>
      </w:r>
      <w:r>
        <w:t xml:space="preserve">  She does not seek damages at all, much less damages recoverable under the polic</w:t>
      </w:r>
      <w:r>
        <w:t>y.  That UCL claim is not a claim based on the insurance policy itself and does not even depend on whether plaintiff’s stairway repairs ultimately fall within policy coverage.  As a policyholder, plaintiff seeks merely to vindicate the consumer public’s in</w:t>
      </w:r>
      <w:r>
        <w:t>terest in transparency and fair practices, so that no State Farm insured will have to go to extraordinary lengths just to ascertain and resolve whether coverage exists for a particular loss.  This lawsuit is not a disguised attempted to recover (or even li</w:t>
      </w:r>
      <w:r>
        <w:t xml:space="preserve">tigate) </w:t>
      </w:r>
      <w:r w:rsidRPr="00B454E9">
        <w:t>any</w:t>
      </w:r>
      <w:r>
        <w:t xml:space="preserve"> policy benefits.  It seeks only to compel State Farm to reform the way it conducts business with its customers.</w:t>
      </w:r>
      <w:r>
        <w:rPr>
          <w:rStyle w:val="FootnoteReference"/>
        </w:rPr>
        <w:footnoteReference w:id="10"/>
      </w:r>
      <w:r>
        <w:t xml:space="preserve">  </w:t>
      </w:r>
    </w:p>
    <w:p w14:paraId="6977F7F8" w14:textId="77777777" w:rsidR="00DA443C" w:rsidRDefault="004A1489" w:rsidP="00DA443C">
      <w:pPr>
        <w:ind w:firstLine="720"/>
      </w:pPr>
      <w:r>
        <w:lastRenderedPageBreak/>
        <w:t>This case in no way resembles the decisions on which the majority relies, in which one-year limitations provisions were held applicable to various types of claims brought against insurers.  None of the California decisions involved UCL claims.  All involve</w:t>
      </w:r>
      <w:r>
        <w:t xml:space="preserve">d claims based on refusal to pay policy benefits that were simply repackaged as tort claims while still seeking </w:t>
      </w:r>
      <w:r w:rsidRPr="00B54CAA">
        <w:rPr>
          <w:iCs/>
        </w:rPr>
        <w:t>policy benefits as damages</w:t>
      </w:r>
      <w:r>
        <w:t xml:space="preserve">.  (See </w:t>
      </w:r>
      <w:r w:rsidRPr="00797743">
        <w:rPr>
          <w:i/>
          <w:iCs/>
        </w:rPr>
        <w:t>Jang</w:t>
      </w:r>
      <w:r>
        <w:t xml:space="preserve">, </w:t>
      </w:r>
      <w:r>
        <w:rPr>
          <w:i/>
        </w:rPr>
        <w:t xml:space="preserve">supra, </w:t>
      </w:r>
      <w:r>
        <w:t>80 Cal.App.4th at p. 1303 [civil conspiracy and bad faith claims held on the policy “[b]</w:t>
      </w:r>
      <w:proofErr w:type="spellStart"/>
      <w:r>
        <w:t>ecause</w:t>
      </w:r>
      <w:proofErr w:type="spellEnd"/>
      <w:r>
        <w:t xml:space="preserve"> [t</w:t>
      </w:r>
      <w:r>
        <w:t>hey] sought damages recoverable under the policy for a risk insured under the policy”];</w:t>
      </w:r>
      <w:r>
        <w:rPr>
          <w:b/>
        </w:rPr>
        <w:t xml:space="preserve"> </w:t>
      </w:r>
      <w:r w:rsidRPr="0012527F">
        <w:rPr>
          <w:bCs/>
          <w:i/>
          <w:iCs/>
        </w:rPr>
        <w:t>CBS Broadcasting Inc. v. Fireman’s Fund Insurance Co.</w:t>
      </w:r>
      <w:r w:rsidRPr="0012527F">
        <w:rPr>
          <w:bCs/>
        </w:rPr>
        <w:t xml:space="preserve"> (1999) 70 Cal.App.4th 1075, 1086</w:t>
      </w:r>
      <w:r>
        <w:rPr>
          <w:bCs/>
        </w:rPr>
        <w:t xml:space="preserve"> [bad faith claim alleging insurer refused to pay benefits due under the policy]</w:t>
      </w:r>
      <w:r w:rsidRPr="0012527F">
        <w:rPr>
          <w:bCs/>
        </w:rPr>
        <w:t>;</w:t>
      </w:r>
      <w:r>
        <w:rPr>
          <w:b/>
        </w:rPr>
        <w:t xml:space="preserve"> </w:t>
      </w:r>
      <w:r w:rsidRPr="00CB0A28">
        <w:rPr>
          <w:bCs/>
          <w:i/>
          <w:iCs/>
        </w:rPr>
        <w:t>Velasquez</w:t>
      </w:r>
      <w:r>
        <w:rPr>
          <w:bCs/>
          <w:i/>
          <w:iCs/>
        </w:rPr>
        <w:t xml:space="preserve">, supra, </w:t>
      </w:r>
      <w:r w:rsidRPr="00CB0A28">
        <w:rPr>
          <w:bCs/>
        </w:rPr>
        <w:t xml:space="preserve">1 Cal.App.4th </w:t>
      </w:r>
      <w:r>
        <w:rPr>
          <w:bCs/>
        </w:rPr>
        <w:t xml:space="preserve">at p. </w:t>
      </w:r>
      <w:r w:rsidRPr="00CB0A28">
        <w:rPr>
          <w:bCs/>
        </w:rPr>
        <w:t>72</w:t>
      </w:r>
      <w:r>
        <w:rPr>
          <w:bCs/>
        </w:rPr>
        <w:t>2 [bad faith claims held time-barred because “’[a]</w:t>
      </w:r>
      <w:proofErr w:type="spellStart"/>
      <w:r>
        <w:rPr>
          <w:bCs/>
        </w:rPr>
        <w:t>mong</w:t>
      </w:r>
      <w:proofErr w:type="spellEnd"/>
      <w:r>
        <w:rPr>
          <w:bCs/>
        </w:rPr>
        <w:t xml:space="preserve"> the damages sought . . . are the policy benefits plus interest, revealing that their action . . . is an ‘attempt to recover on the policy’ ”]</w:t>
      </w:r>
      <w:r w:rsidRPr="00CB0A28">
        <w:rPr>
          <w:bCs/>
        </w:rPr>
        <w:t>;</w:t>
      </w:r>
      <w:r>
        <w:rPr>
          <w:b/>
        </w:rPr>
        <w:t xml:space="preserve"> </w:t>
      </w:r>
      <w:r w:rsidRPr="00D23F2F">
        <w:rPr>
          <w:i/>
          <w:iCs/>
        </w:rPr>
        <w:t>Prieto v. State Fa</w:t>
      </w:r>
      <w:r w:rsidRPr="00D23F2F">
        <w:rPr>
          <w:i/>
          <w:iCs/>
        </w:rPr>
        <w:t>rm Fire &amp; Casualty Co.</w:t>
      </w:r>
      <w:r w:rsidRPr="00D23F2F">
        <w:t xml:space="preserve"> (1990) 225 Cal.App.3d 1188</w:t>
      </w:r>
      <w:r>
        <w:t>, 1190, 1191-1192, 1196 [claim for breach of implied covenant of good faith and fair dealing alleging insurer refuses to pay policy benefits and claim for intentional infliction of emotional distress that “i</w:t>
      </w:r>
      <w:r>
        <w:t xml:space="preserve">s merely a theoretical restatement of the same claim,” held governed by one-year limitations period of Insurance Code section 2071]; </w:t>
      </w:r>
      <w:r w:rsidRPr="00096622">
        <w:rPr>
          <w:i/>
          <w:iCs/>
        </w:rPr>
        <w:t>Magnolia Square Homeowners Assn. v. Safeco Ins. Co.</w:t>
      </w:r>
      <w:r w:rsidRPr="00096622">
        <w:t xml:space="preserve"> (1990) 221 Cal.App.3d 1049, 1063</w:t>
      </w:r>
      <w:r>
        <w:t xml:space="preserve"> [claims for insurance bad faith, breac</w:t>
      </w:r>
      <w:r>
        <w:t xml:space="preserve">h of fiduciary duty and breach of unspecified statutory duties held claims on the policy because “the essence of </w:t>
      </w:r>
      <w:r>
        <w:lastRenderedPageBreak/>
        <w:t>those claims is an attempt to recover ‘[d]</w:t>
      </w:r>
      <w:proofErr w:type="spellStart"/>
      <w:r>
        <w:t>amages</w:t>
      </w:r>
      <w:proofErr w:type="spellEnd"/>
      <w:r>
        <w:t xml:space="preserve"> for failure to provide benefits under [the] subject contract of insurance’ ”]; </w:t>
      </w:r>
      <w:proofErr w:type="spellStart"/>
      <w:r w:rsidRPr="00E318A5">
        <w:rPr>
          <w:bCs/>
          <w:i/>
          <w:iCs/>
        </w:rPr>
        <w:t>Abari</w:t>
      </w:r>
      <w:proofErr w:type="spellEnd"/>
      <w:r>
        <w:rPr>
          <w:bCs/>
          <w:i/>
          <w:iCs/>
        </w:rPr>
        <w:t xml:space="preserve">, supra, </w:t>
      </w:r>
      <w:r w:rsidRPr="00E318A5">
        <w:rPr>
          <w:bCs/>
        </w:rPr>
        <w:t>2</w:t>
      </w:r>
      <w:r w:rsidRPr="00E318A5">
        <w:rPr>
          <w:bCs/>
        </w:rPr>
        <w:t xml:space="preserve">05 Cal.App.3d </w:t>
      </w:r>
      <w:r>
        <w:rPr>
          <w:bCs/>
        </w:rPr>
        <w:t>at p.</w:t>
      </w:r>
      <w:r w:rsidRPr="00E318A5">
        <w:rPr>
          <w:bCs/>
        </w:rPr>
        <w:t xml:space="preserve"> 536 [bad faith and </w:t>
      </w:r>
      <w:r>
        <w:rPr>
          <w:bCs/>
        </w:rPr>
        <w:t xml:space="preserve">other non-statutory </w:t>
      </w:r>
      <w:r w:rsidRPr="00E318A5">
        <w:rPr>
          <w:bCs/>
        </w:rPr>
        <w:t>c</w:t>
      </w:r>
      <w:r>
        <w:rPr>
          <w:bCs/>
        </w:rPr>
        <w:t xml:space="preserve">laims held “a transparent attempt to recover </w:t>
      </w:r>
      <w:r w:rsidRPr="002C6AF6">
        <w:rPr>
          <w:bCs/>
          <w:i/>
          <w:iCs/>
        </w:rPr>
        <w:t>on the policy</w:t>
      </w:r>
      <w:r>
        <w:rPr>
          <w:bCs/>
        </w:rPr>
        <w:t xml:space="preserve">” because they </w:t>
      </w:r>
      <w:r w:rsidRPr="00E318A5">
        <w:rPr>
          <w:bCs/>
        </w:rPr>
        <w:t>alle</w:t>
      </w:r>
      <w:r>
        <w:rPr>
          <w:bCs/>
        </w:rPr>
        <w:t>ged</w:t>
      </w:r>
      <w:r w:rsidRPr="00E318A5">
        <w:rPr>
          <w:bCs/>
        </w:rPr>
        <w:t xml:space="preserve"> damages in amount of policy benefits]</w:t>
      </w:r>
      <w:r>
        <w:rPr>
          <w:rStyle w:val="FootnoteReference"/>
          <w:bCs/>
        </w:rPr>
        <w:footnoteReference w:id="11"/>
      </w:r>
      <w:r w:rsidRPr="00E318A5">
        <w:rPr>
          <w:bCs/>
        </w:rPr>
        <w:t>;</w:t>
      </w:r>
      <w:r>
        <w:rPr>
          <w:b/>
        </w:rPr>
        <w:t xml:space="preserve"> </w:t>
      </w:r>
      <w:r w:rsidRPr="00AA1E9F">
        <w:rPr>
          <w:i/>
        </w:rPr>
        <w:t>Lawrence</w:t>
      </w:r>
      <w:r>
        <w:rPr>
          <w:i/>
        </w:rPr>
        <w:t xml:space="preserve">, supra, </w:t>
      </w:r>
      <w:r>
        <w:t xml:space="preserve">204 Cal.App.3d at p. 575 [claim for tortious bad </w:t>
      </w:r>
      <w:r>
        <w:t>faith denial of insurance claim held a claim on the policy because it “relates to the complete denial of the claim on the underlying policy”]</w:t>
      </w:r>
      <w:r>
        <w:rPr>
          <w:rStyle w:val="FootnoteReference"/>
        </w:rPr>
        <w:footnoteReference w:id="12"/>
      </w:r>
      <w:r>
        <w:t xml:space="preserve">; see also </w:t>
      </w:r>
      <w:r w:rsidRPr="00EF51C0">
        <w:rPr>
          <w:i/>
          <w:iCs/>
        </w:rPr>
        <w:t>Sullivan v. Allstate Ins. Co.</w:t>
      </w:r>
      <w:r w:rsidRPr="00EF51C0">
        <w:t xml:space="preserve"> (</w:t>
      </w:r>
      <w:proofErr w:type="spellStart"/>
      <w:r w:rsidRPr="00EF51C0">
        <w:t>C.D.Cal</w:t>
      </w:r>
      <w:proofErr w:type="spellEnd"/>
      <w:r w:rsidRPr="00EF51C0">
        <w:t xml:space="preserve">. 1997) 964 </w:t>
      </w:r>
      <w:proofErr w:type="spellStart"/>
      <w:r w:rsidRPr="00EF51C0">
        <w:t>F.Supp</w:t>
      </w:r>
      <w:proofErr w:type="spellEnd"/>
      <w:r w:rsidRPr="00EF51C0">
        <w:t>. 1407, 1415</w:t>
      </w:r>
      <w:r>
        <w:t xml:space="preserve"> [tort claims alleging damages bas</w:t>
      </w:r>
      <w:r>
        <w:t>ed on non-payment of policy benefits held “on the policy”].)  Those cases involved an insurer’s “</w:t>
      </w:r>
      <w:r w:rsidRPr="00D23F2F">
        <w:t>breach of a primary obligation to pay policy benefits</w:t>
      </w:r>
      <w:r>
        <w:t>,</w:t>
      </w:r>
      <w:r w:rsidRPr="00D23F2F">
        <w:t>”</w:t>
      </w:r>
      <w:r>
        <w:t xml:space="preserve"> and thus the failure to pay was the lawsuit’s “very reason for being.”  (</w:t>
      </w:r>
      <w:r w:rsidRPr="00D23F2F">
        <w:rPr>
          <w:i/>
          <w:iCs/>
        </w:rPr>
        <w:t>Prieto</w:t>
      </w:r>
      <w:r>
        <w:rPr>
          <w:i/>
          <w:iCs/>
        </w:rPr>
        <w:t>,</w:t>
      </w:r>
      <w:r>
        <w:t xml:space="preserve"> at p. 1195.)  </w:t>
      </w:r>
    </w:p>
    <w:p w14:paraId="3A70E3F3" w14:textId="77777777" w:rsidR="00DA443C" w:rsidRDefault="004A1489" w:rsidP="00DA443C">
      <w:pPr>
        <w:ind w:firstLine="720"/>
      </w:pPr>
      <w:r>
        <w:t>Here, b</w:t>
      </w:r>
      <w:r>
        <w:t xml:space="preserve">y contrast, the scope of insurance coverage is irrelevant.  The plaintiff is not suing State Farm in this case because she contends it wrongfully denied policy benefits to her, and she does </w:t>
      </w:r>
      <w:r w:rsidRPr="00287DF5">
        <w:t>not</w:t>
      </w:r>
      <w:r>
        <w:t xml:space="preserve"> seek any monetary recovery to compensate her for State Farm’s </w:t>
      </w:r>
      <w:r>
        <w:t xml:space="preserve">refusal to pay on a covered loss.  Like the fraud claim in </w:t>
      </w:r>
      <w:r w:rsidRPr="00287DF5">
        <w:rPr>
          <w:i/>
        </w:rPr>
        <w:t>20th</w:t>
      </w:r>
      <w:r>
        <w:t xml:space="preserve"> </w:t>
      </w:r>
      <w:r w:rsidRPr="00CF4E9A">
        <w:rPr>
          <w:i/>
          <w:iCs/>
        </w:rPr>
        <w:t>Century</w:t>
      </w:r>
      <w:r>
        <w:t xml:space="preserve">, this is not an action “on the policy.”  There is </w:t>
      </w:r>
      <w:r w:rsidRPr="004572C5">
        <w:rPr>
          <w:i/>
        </w:rPr>
        <w:t>no</w:t>
      </w:r>
      <w:r>
        <w:t xml:space="preserve"> California authority to the contrary.</w:t>
      </w:r>
      <w:r>
        <w:rPr>
          <w:rStyle w:val="FootnoteReference"/>
        </w:rPr>
        <w:footnoteReference w:id="13"/>
      </w:r>
    </w:p>
    <w:p w14:paraId="17E5A89D" w14:textId="77777777" w:rsidR="00DA443C" w:rsidRPr="000F722D" w:rsidRDefault="004A1489" w:rsidP="00DA443C">
      <w:r>
        <w:lastRenderedPageBreak/>
        <w:tab/>
        <w:t>That conclusion is reinforced by the UCL’s unique scope and purpose.  A UCL action “is not</w:t>
      </w:r>
      <w:r>
        <w:t xml:space="preserve"> an all-purpose substitute for a tort or contract action.”  (</w:t>
      </w:r>
      <w:r w:rsidRPr="004C35C7">
        <w:rPr>
          <w:i/>
          <w:iCs/>
        </w:rPr>
        <w:t>Cortez</w:t>
      </w:r>
      <w:r>
        <w:rPr>
          <w:i/>
          <w:iCs/>
        </w:rPr>
        <w:t xml:space="preserve">, supra, </w:t>
      </w:r>
      <w:r w:rsidRPr="004C35C7">
        <w:t xml:space="preserve">23 Cal.4th </w:t>
      </w:r>
      <w:r>
        <w:t xml:space="preserve">at p. </w:t>
      </w:r>
      <w:r w:rsidRPr="004C35C7">
        <w:t>173</w:t>
      </w:r>
      <w:r>
        <w:t xml:space="preserve">.)  </w:t>
      </w:r>
      <w:r w:rsidRPr="001B1B82">
        <w:t>“</w:t>
      </w:r>
      <w:r>
        <w:t xml:space="preserve">The statute’s ‘purpose </w:t>
      </w:r>
      <w:r w:rsidRPr="001B1B82">
        <w:t>is to protect both consumers and competitors by promoting fair competition in commercial markets for goods and services.</w:t>
      </w:r>
      <w:proofErr w:type="gramStart"/>
      <w:r>
        <w:t>’ </w:t>
      </w:r>
      <w:r w:rsidRPr="001B1B82">
        <w:t>”</w:t>
      </w:r>
      <w:proofErr w:type="gramEnd"/>
      <w:r>
        <w:t xml:space="preserve">  (</w:t>
      </w:r>
      <w:r w:rsidRPr="001B1B82">
        <w:rPr>
          <w:i/>
          <w:iCs/>
        </w:rPr>
        <w:t>Abbott</w:t>
      </w:r>
      <w:r w:rsidRPr="001B1B82">
        <w:rPr>
          <w:i/>
          <w:iCs/>
        </w:rPr>
        <w:t xml:space="preserve"> Laboratories v. Superior Court of Orange County</w:t>
      </w:r>
      <w:r w:rsidRPr="001B1B82">
        <w:t xml:space="preserve"> (2020) 9 Cal.5th 642, 651</w:t>
      </w:r>
      <w:r>
        <w:t>.)  Compensatory damages are not recoverable, only restitution (which is not sought in this case) and injunctive relief.  (</w:t>
      </w:r>
      <w:proofErr w:type="spellStart"/>
      <w:r w:rsidRPr="009E15DB">
        <w:rPr>
          <w:i/>
          <w:iCs/>
        </w:rPr>
        <w:t>Cel</w:t>
      </w:r>
      <w:proofErr w:type="spellEnd"/>
      <w:r w:rsidRPr="009E15DB">
        <w:rPr>
          <w:i/>
          <w:iCs/>
        </w:rPr>
        <w:t>-Tech Communications, Inc. v. Los Angeles Cellular Telep</w:t>
      </w:r>
      <w:r w:rsidRPr="009E15DB">
        <w:rPr>
          <w:i/>
          <w:iCs/>
        </w:rPr>
        <w:t>hone Co.</w:t>
      </w:r>
      <w:r w:rsidRPr="009E15DB">
        <w:t xml:space="preserve"> (1999) 20 Cal.4th 163, 179</w:t>
      </w:r>
      <w:r>
        <w:t xml:space="preserve">; </w:t>
      </w:r>
      <w:r w:rsidRPr="00C302A1">
        <w:rPr>
          <w:i/>
          <w:iCs/>
        </w:rPr>
        <w:t>Cortez</w:t>
      </w:r>
      <w:r>
        <w:t xml:space="preserve">, at pp. 173-174; Bus. &amp; Prof. Code, § 17203; see also Civ. Code, § 3281 [defining “damages”].)  Indeed, the purpose of an injunction under the UCL is not to </w:t>
      </w:r>
      <w:proofErr w:type="gramStart"/>
      <w:r>
        <w:t>“ ‘</w:t>
      </w:r>
      <w:proofErr w:type="gramEnd"/>
      <w:r>
        <w:t>resolve[] a private dispute’ between the parties” or “ ‘</w:t>
      </w:r>
      <w:proofErr w:type="spellStart"/>
      <w:r>
        <w:t>rectif</w:t>
      </w:r>
      <w:proofErr w:type="spellEnd"/>
      <w:r>
        <w:t>[y] individual wrongs’ ” but to p</w:t>
      </w:r>
      <w:r>
        <w:t xml:space="preserve">rotect the </w:t>
      </w:r>
      <w:r w:rsidRPr="00C86B42">
        <w:rPr>
          <w:iCs/>
        </w:rPr>
        <w:t>public</w:t>
      </w:r>
      <w:r>
        <w:t>.  (</w:t>
      </w:r>
      <w:r w:rsidRPr="006B561B">
        <w:rPr>
          <w:i/>
          <w:iCs/>
        </w:rPr>
        <w:t>McGill v. Citibank, N.A.</w:t>
      </w:r>
      <w:r w:rsidRPr="006B561B">
        <w:t xml:space="preserve"> (2017) 2 Cal.5th 945, 955</w:t>
      </w:r>
      <w:r>
        <w:t xml:space="preserve">.)  Such an injunction </w:t>
      </w:r>
      <w:proofErr w:type="gramStart"/>
      <w:r>
        <w:t>“ ‘</w:t>
      </w:r>
      <w:proofErr w:type="gramEnd"/>
      <w:r>
        <w:t>is designed to prevent further harm to the public at large rather than to redress or prevent injury to a plaintiff’ ” (</w:t>
      </w:r>
      <w:r w:rsidRPr="009758DD">
        <w:rPr>
          <w:i/>
          <w:iCs/>
        </w:rPr>
        <w:t>ibid</w:t>
      </w:r>
      <w:r>
        <w:t>.) and is “ ‘the primary form of rel</w:t>
      </w:r>
      <w:r>
        <w:t>ief available under the UCL to protect consumers from unfair business practices.’ ” (</w:t>
      </w:r>
      <w:r w:rsidRPr="00AB60E7">
        <w:rPr>
          <w:i/>
        </w:rPr>
        <w:t>Id</w:t>
      </w:r>
      <w:r>
        <w:t xml:space="preserve">. at p. 959.)  Put simply, “[a] </w:t>
      </w:r>
      <w:r w:rsidRPr="000F722D">
        <w:t>UCL claim does not duplicate the contract and tort causes of action involved in bad faith litigation, where damages are central.</w:t>
      </w:r>
      <w:r>
        <w:t>”  (</w:t>
      </w:r>
      <w:r w:rsidRPr="00BA1370">
        <w:rPr>
          <w:i/>
          <w:iCs/>
        </w:rPr>
        <w:t>Zhang</w:t>
      </w:r>
      <w:r>
        <w:rPr>
          <w:i/>
          <w:iCs/>
        </w:rPr>
        <w:t xml:space="preserve"> v. Superior Court, supra, </w:t>
      </w:r>
      <w:r w:rsidRPr="000F722D">
        <w:t xml:space="preserve">57 Cal.4th </w:t>
      </w:r>
      <w:r>
        <w:t>at p.</w:t>
      </w:r>
      <w:r w:rsidRPr="000F722D">
        <w:t xml:space="preserve"> 382</w:t>
      </w:r>
      <w:r>
        <w:t>.)</w:t>
      </w:r>
    </w:p>
    <w:p w14:paraId="60823F83" w14:textId="77777777" w:rsidR="00DA443C" w:rsidRDefault="004A1489" w:rsidP="00DA443C">
      <w:pPr>
        <w:ind w:firstLine="720"/>
      </w:pPr>
      <w:r>
        <w:lastRenderedPageBreak/>
        <w:t xml:space="preserve">For example, actions brought under the UCL to enjoin unfair business practices are not actions “on </w:t>
      </w:r>
      <w:r w:rsidRPr="00EC4216">
        <w:rPr>
          <w:i/>
          <w:iCs/>
        </w:rPr>
        <w:t>a contract</w:t>
      </w:r>
      <w:r>
        <w:t>” as that term is understood in the attorney fee context (Civ. Code, § 1717, italics added), even</w:t>
      </w:r>
      <w:r>
        <w:t xml:space="preserve"> when such actions involve a contract.  (See </w:t>
      </w:r>
      <w:proofErr w:type="spellStart"/>
      <w:r w:rsidRPr="00F36880">
        <w:rPr>
          <w:i/>
          <w:iCs/>
        </w:rPr>
        <w:t>Shadoan</w:t>
      </w:r>
      <w:proofErr w:type="spellEnd"/>
      <w:r w:rsidRPr="00F36880">
        <w:rPr>
          <w:i/>
          <w:iCs/>
        </w:rPr>
        <w:t xml:space="preserve"> v. World Savings &amp; Loan Assn.</w:t>
      </w:r>
      <w:r w:rsidRPr="00F36880">
        <w:t xml:space="preserve"> (1990) 219</w:t>
      </w:r>
      <w:r>
        <w:t> </w:t>
      </w:r>
      <w:r w:rsidRPr="00F36880">
        <w:t xml:space="preserve">Cal.App.3d 97, </w:t>
      </w:r>
      <w:r w:rsidRPr="00700F7A">
        <w:t>107-</w:t>
      </w:r>
      <w:r w:rsidRPr="00F36880">
        <w:t>108</w:t>
      </w:r>
      <w:r>
        <w:t xml:space="preserve"> [Civil Code § 1717 held inapplicable to action under UCL to enjoin lender’s allegedly unfair business practice of including prepayment pena</w:t>
      </w:r>
      <w:r>
        <w:t xml:space="preserve">lty in standard loan agreement]; accord, </w:t>
      </w:r>
      <w:r>
        <w:rPr>
          <w:i/>
          <w:iCs/>
        </w:rPr>
        <w:t>W</w:t>
      </w:r>
      <w:r w:rsidRPr="00B11A17">
        <w:rPr>
          <w:i/>
          <w:iCs/>
        </w:rPr>
        <w:t>alker v. Countrywide Home Loans, Inc.</w:t>
      </w:r>
      <w:r w:rsidRPr="00B11A17">
        <w:t xml:space="preserve"> (2002) 98 Cal.App.4th 1158, 11</w:t>
      </w:r>
      <w:r w:rsidRPr="00A9138E">
        <w:t>7</w:t>
      </w:r>
      <w:r>
        <w:t>9-1181 [action challenging lender’s practice of charging property inspection fees to defaulting borrowers].)  There is no reason to conclude such</w:t>
      </w:r>
      <w:r>
        <w:t xml:space="preserve"> an action nonetheless is an action “on the </w:t>
      </w:r>
      <w:r w:rsidRPr="00E128B9">
        <w:rPr>
          <w:i/>
          <w:iCs/>
        </w:rPr>
        <w:t>policy</w:t>
      </w:r>
      <w:r>
        <w:t xml:space="preserve">” which, in the insurance context, is the same thing.  On the contrary, the analogy to caselaw construing Civil Code section 1717 is particularly apt, because both standards are statutory.  (See Ins. Code, </w:t>
      </w:r>
      <w:r>
        <w:t xml:space="preserve">§ 2071, subd. (a).)  </w:t>
      </w:r>
    </w:p>
    <w:p w14:paraId="7FCB726E" w14:textId="77777777" w:rsidR="00DA443C" w:rsidRDefault="004A1489" w:rsidP="00DA443C">
      <w:pPr>
        <w:ind w:firstLine="720"/>
      </w:pPr>
      <w:r>
        <w:t>The majority posits this claim</w:t>
      </w:r>
      <w:r w:rsidRPr="00CE7A37">
        <w:t xml:space="preserve"> is </w:t>
      </w:r>
      <w:r>
        <w:t>nothing more than “</w:t>
      </w:r>
      <w:r w:rsidRPr="00CE7A37">
        <w:t>good old-fashioned bad faith</w:t>
      </w:r>
      <w:r>
        <w:t xml:space="preserve"> </w:t>
      </w:r>
      <w:r w:rsidRPr="00CE7A37">
        <w:t>law, already on the books</w:t>
      </w:r>
      <w:r>
        <w:t xml:space="preserve">.”  (Maj. </w:t>
      </w:r>
      <w:proofErr w:type="spellStart"/>
      <w:r>
        <w:t>opn</w:t>
      </w:r>
      <w:proofErr w:type="spellEnd"/>
      <w:r>
        <w:t xml:space="preserve">. </w:t>
      </w:r>
      <w:r w:rsidRPr="007524B3">
        <w:rPr>
          <w:i/>
          <w:iCs/>
        </w:rPr>
        <w:t>ante</w:t>
      </w:r>
      <w:r>
        <w:t>, at p. 20.)  I disagree.  Liberally construing her complaint, Plaintiff alleges on information and belief t</w:t>
      </w:r>
      <w:r>
        <w:t xml:space="preserve">hat the claims adjudication practices that </w:t>
      </w:r>
      <w:r w:rsidRPr="00587DED">
        <w:rPr>
          <w:i/>
        </w:rPr>
        <w:t>she</w:t>
      </w:r>
      <w:r>
        <w:t xml:space="preserve"> personally endured are a routine business practice, to which “thousands” of State Farm policyholders across California are subjected.  She seeks a remedy designed solely to benefit the public, to rectify those</w:t>
      </w:r>
      <w:r>
        <w:t xml:space="preserve"> business practices on a prospective basis.  Like the bad faith claim in </w:t>
      </w:r>
      <w:r w:rsidRPr="002E0595">
        <w:rPr>
          <w:i/>
          <w:iCs/>
        </w:rPr>
        <w:t>20th Century</w:t>
      </w:r>
      <w:r>
        <w:t>, this claim “</w:t>
      </w:r>
      <w:r w:rsidRPr="0093039E">
        <w:t>do</w:t>
      </w:r>
      <w:r>
        <w:t>es</w:t>
      </w:r>
      <w:r w:rsidRPr="0093039E">
        <w:t xml:space="preserve"> not rest on </w:t>
      </w:r>
      <w:r>
        <w:t>[State Farm’s]</w:t>
      </w:r>
      <w:r w:rsidRPr="0093039E">
        <w:t xml:space="preserve"> failure to perform under the policy, but rather on its alleged acts </w:t>
      </w:r>
      <w:r>
        <w:t xml:space="preserve">. . . </w:t>
      </w:r>
      <w:r w:rsidRPr="0093039E">
        <w:t>that go well beyond simple nonperformance</w:t>
      </w:r>
      <w:r>
        <w:t>” and “does not seek damages recoverable under the policy.”  (</w:t>
      </w:r>
      <w:r w:rsidRPr="00F6510A">
        <w:rPr>
          <w:i/>
          <w:iCs/>
        </w:rPr>
        <w:t>20th Century</w:t>
      </w:r>
      <w:r>
        <w:t xml:space="preserve">, </w:t>
      </w:r>
      <w:r w:rsidRPr="00F6510A">
        <w:rPr>
          <w:i/>
          <w:iCs/>
        </w:rPr>
        <w:t>supra</w:t>
      </w:r>
      <w:r>
        <w:t>, at pp. 1280-1281.)</w:t>
      </w:r>
    </w:p>
    <w:p w14:paraId="3AF1F11A" w14:textId="77777777" w:rsidR="00DA443C" w:rsidRDefault="004A1489" w:rsidP="00DA443C">
      <w:pPr>
        <w:ind w:firstLine="720"/>
      </w:pPr>
      <w:r>
        <w:t xml:space="preserve">Nor do I agree with the majority that </w:t>
      </w:r>
      <w:r>
        <w:t xml:space="preserve">a contrary conclusion is compelled by the standing requirements of the UCL, which require proof of </w:t>
      </w:r>
      <w:r>
        <w:lastRenderedPageBreak/>
        <w:t xml:space="preserve">economic injury as a condition of </w:t>
      </w:r>
      <w:proofErr w:type="gramStart"/>
      <w:r>
        <w:t>bringing suit</w:t>
      </w:r>
      <w:proofErr w:type="gramEnd"/>
      <w:r>
        <w:t xml:space="preserve"> (see generally </w:t>
      </w:r>
      <w:r w:rsidRPr="007524B3">
        <w:rPr>
          <w:i/>
          <w:iCs/>
        </w:rPr>
        <w:t>Kwikset</w:t>
      </w:r>
      <w:r w:rsidRPr="00924432">
        <w:rPr>
          <w:i/>
          <w:iCs/>
        </w:rPr>
        <w:t xml:space="preserve"> Corp. v. Superior Court</w:t>
      </w:r>
      <w:r w:rsidRPr="00924432">
        <w:t xml:space="preserve"> (2011) 51 Cal.4th 310</w:t>
      </w:r>
      <w:r>
        <w:t xml:space="preserve"> (</w:t>
      </w:r>
      <w:r w:rsidRPr="007524B3">
        <w:rPr>
          <w:i/>
          <w:iCs/>
        </w:rPr>
        <w:t>Kwikset</w:t>
      </w:r>
      <w:r>
        <w:t xml:space="preserve">); Bus. &amp; Prof. Code, § 17204). </w:t>
      </w:r>
      <w:r>
        <w:t xml:space="preserve"> To establish standing, the majority asserts, “plaintiff must prove ‘policy benefits,</w:t>
      </w:r>
      <w:proofErr w:type="gramStart"/>
      <w:r>
        <w:t>’ ”</w:t>
      </w:r>
      <w:proofErr w:type="gramEnd"/>
      <w:r>
        <w:t xml:space="preserve"> and so this must be an action “on the policy.” (Maj. </w:t>
      </w:r>
      <w:proofErr w:type="spellStart"/>
      <w:r>
        <w:t>opn</w:t>
      </w:r>
      <w:proofErr w:type="spellEnd"/>
      <w:r>
        <w:t xml:space="preserve">. </w:t>
      </w:r>
      <w:r w:rsidRPr="007524B3">
        <w:rPr>
          <w:i/>
          <w:iCs/>
        </w:rPr>
        <w:t>ante</w:t>
      </w:r>
      <w:r>
        <w:t>, at p. 22.)  I do not see it that way.</w:t>
      </w:r>
    </w:p>
    <w:p w14:paraId="6EBB581F" w14:textId="77777777" w:rsidR="00DA443C" w:rsidRDefault="004A1489" w:rsidP="00DA443C">
      <w:pPr>
        <w:ind w:firstLine="720"/>
      </w:pPr>
      <w:r>
        <w:t>First, i</w:t>
      </w:r>
      <w:r w:rsidRPr="00BA2E0E">
        <w:t xml:space="preserve">t is </w:t>
      </w:r>
      <w:r>
        <w:t xml:space="preserve">by no means </w:t>
      </w:r>
      <w:r w:rsidRPr="00BA2E0E">
        <w:t xml:space="preserve">clear </w:t>
      </w:r>
      <w:r>
        <w:t xml:space="preserve">that plaintiff </w:t>
      </w:r>
      <w:r w:rsidRPr="00BA2E0E">
        <w:t xml:space="preserve">lacks standing. </w:t>
      </w:r>
      <w:r>
        <w:t xml:space="preserve"> St</w:t>
      </w:r>
      <w:r>
        <w:t xml:space="preserve">ate Farm did not demur on that basis, and plaintiff was given no opportunity to amend her complaint to try to allege a cognizable economic injury.  It is certainly possible for a policyholder pursuing a UCL claim such as this one to allege economic injury </w:t>
      </w:r>
      <w:r>
        <w:t xml:space="preserve">that does </w:t>
      </w:r>
      <w:r w:rsidRPr="004E5302">
        <w:t>not</w:t>
      </w:r>
      <w:r>
        <w:t xml:space="preserve"> involve wrongfully denied policy benefits.  Being deprived of money or property that one is legally entitled to is not the only way for a plaintiff to assert UCL standing.  (See </w:t>
      </w:r>
      <w:r w:rsidRPr="00CC1B90">
        <w:rPr>
          <w:i/>
          <w:iCs/>
        </w:rPr>
        <w:t>Kwikset</w:t>
      </w:r>
      <w:r>
        <w:t xml:space="preserve">, </w:t>
      </w:r>
      <w:r>
        <w:rPr>
          <w:i/>
          <w:iCs/>
        </w:rPr>
        <w:t xml:space="preserve">supra, </w:t>
      </w:r>
      <w:r>
        <w:t>51 Cal.4</w:t>
      </w:r>
      <w:r w:rsidRPr="007524B3">
        <w:t xml:space="preserve">th </w:t>
      </w:r>
      <w:r>
        <w:t>at p. 323.)  There are “innumerable w</w:t>
      </w:r>
      <w:r>
        <w:t>ays” to do so.  (</w:t>
      </w:r>
      <w:r w:rsidRPr="00CC1B90">
        <w:rPr>
          <w:i/>
        </w:rPr>
        <w:t>Ibid</w:t>
      </w:r>
      <w:r>
        <w:t xml:space="preserve">.)  For example, a policyholder pursuing a UCL claim such as this would likely have </w:t>
      </w:r>
      <w:proofErr w:type="gramStart"/>
      <w:r>
        <w:t>standing</w:t>
      </w:r>
      <w:proofErr w:type="gramEnd"/>
      <w:r>
        <w:t xml:space="preserve"> if they had to spend money to </w:t>
      </w:r>
      <w:r w:rsidRPr="00AA0FD4">
        <w:rPr>
          <w:i/>
        </w:rPr>
        <w:t>hire an attorney</w:t>
      </w:r>
      <w:r>
        <w:t xml:space="preserve"> for help understanding and assessing State Farm’s opaque claims denial.  (See </w:t>
      </w:r>
      <w:r w:rsidRPr="00642A45">
        <w:rPr>
          <w:i/>
        </w:rPr>
        <w:t>Kwikset</w:t>
      </w:r>
      <w:r>
        <w:t>, at p. 32</w:t>
      </w:r>
      <w:r>
        <w:t xml:space="preserve">3 [being required to “enter into a transaction, costing money or property, that would otherwise have been unnecessary” confers UCL standing].)  So too would a policyholder if State Farm </w:t>
      </w:r>
      <w:r w:rsidRPr="00F03F21">
        <w:rPr>
          <w:i/>
          <w:iCs/>
        </w:rPr>
        <w:t>raised their insurance premium</w:t>
      </w:r>
      <w:r>
        <w:t xml:space="preserve"> </w:t>
      </w:r>
      <w:proofErr w:type="gramStart"/>
      <w:r>
        <w:t>as a result of</w:t>
      </w:r>
      <w:proofErr w:type="gramEnd"/>
      <w:r>
        <w:t xml:space="preserve"> the policyholder trying </w:t>
      </w:r>
      <w:r>
        <w:t xml:space="preserve">to understand or question State Farm’s decision to summarily deny coverage on a claim without investigation or explanation.  (See, e.g., </w:t>
      </w:r>
      <w:r w:rsidRPr="002F63B9">
        <w:rPr>
          <w:i/>
          <w:iCs/>
        </w:rPr>
        <w:t>Monarch Plumbing Co., Inc. v. Ranger Ins. Co.</w:t>
      </w:r>
      <w:r w:rsidRPr="002F63B9">
        <w:t xml:space="preserve"> (</w:t>
      </w:r>
      <w:proofErr w:type="spellStart"/>
      <w:r w:rsidRPr="002F63B9">
        <w:t>E.D.Cal</w:t>
      </w:r>
      <w:proofErr w:type="spellEnd"/>
      <w:r w:rsidRPr="002F63B9">
        <w:t>., Sept. 25, 2006, No. C</w:t>
      </w:r>
      <w:r>
        <w:t>I</w:t>
      </w:r>
      <w:r w:rsidRPr="002F63B9">
        <w:t>V</w:t>
      </w:r>
      <w:r>
        <w:t>.</w:t>
      </w:r>
      <w:r w:rsidRPr="002F63B9">
        <w:t xml:space="preserve"> S</w:t>
      </w:r>
      <w:r>
        <w:t>-</w:t>
      </w:r>
      <w:r w:rsidRPr="002F63B9">
        <w:t>06</w:t>
      </w:r>
      <w:r>
        <w:t>-</w:t>
      </w:r>
      <w:r w:rsidRPr="002F63B9">
        <w:t xml:space="preserve">1357 WBS </w:t>
      </w:r>
      <w:proofErr w:type="spellStart"/>
      <w:r w:rsidRPr="002F63B9">
        <w:t>KJM</w:t>
      </w:r>
      <w:proofErr w:type="spellEnd"/>
      <w:r w:rsidRPr="002F63B9">
        <w:t>) 2006 WL 2734391, a</w:t>
      </w:r>
      <w:r w:rsidRPr="002F63B9">
        <w:t>t</w:t>
      </w:r>
      <w:r>
        <w:t xml:space="preserve"> p. </w:t>
      </w:r>
      <w:r w:rsidRPr="002F63B9">
        <w:t>*6</w:t>
      </w:r>
      <w:r>
        <w:t xml:space="preserve"> [higher insurance premiums held economic injury sufficient to confer UCL standing].)  </w:t>
      </w:r>
    </w:p>
    <w:p w14:paraId="243089C3" w14:textId="77777777" w:rsidR="00DA443C" w:rsidRDefault="004A1489" w:rsidP="00DA443C">
      <w:pPr>
        <w:ind w:firstLine="720"/>
      </w:pPr>
      <w:r>
        <w:t xml:space="preserve">Above all, however, the point of the UCL cause of action plaintiff asserts </w:t>
      </w:r>
      <w:r w:rsidRPr="00BA2E0E">
        <w:t xml:space="preserve">is not </w:t>
      </w:r>
      <w:r>
        <w:t xml:space="preserve">to </w:t>
      </w:r>
      <w:r w:rsidRPr="002E3323">
        <w:t>seek redress</w:t>
      </w:r>
      <w:r w:rsidRPr="00BA2E0E">
        <w:t xml:space="preserve"> for </w:t>
      </w:r>
      <w:r>
        <w:t xml:space="preserve">the </w:t>
      </w:r>
      <w:r w:rsidRPr="00BA2E0E">
        <w:t>injury</w:t>
      </w:r>
      <w:r>
        <w:t xml:space="preserve"> occasioned by State Farm’s </w:t>
      </w:r>
      <w:r>
        <w:lastRenderedPageBreak/>
        <w:t>ultimate decision to deny coverage for plaintiff’s loss</w:t>
      </w:r>
      <w:r w:rsidRPr="00BA2E0E">
        <w:t xml:space="preserve">.  </w:t>
      </w:r>
      <w:r>
        <w:t>The majority cites n</w:t>
      </w:r>
      <w:r w:rsidRPr="00BA2E0E">
        <w:t xml:space="preserve">othing in </w:t>
      </w:r>
      <w:r>
        <w:t xml:space="preserve">California </w:t>
      </w:r>
      <w:r w:rsidRPr="00BA2E0E">
        <w:t xml:space="preserve">caselaw </w:t>
      </w:r>
      <w:r>
        <w:t xml:space="preserve">that </w:t>
      </w:r>
      <w:r w:rsidRPr="00BA2E0E">
        <w:t xml:space="preserve">allows us to </w:t>
      </w:r>
      <w:r>
        <w:t xml:space="preserve">evaluate the </w:t>
      </w:r>
      <w:r w:rsidRPr="00880381">
        <w:rPr>
          <w:iCs/>
        </w:rPr>
        <w:t>gravamen</w:t>
      </w:r>
      <w:r>
        <w:t xml:space="preserve"> of the plaintiff’s UCL cause of action based on whether the plaintiff lacks stand</w:t>
      </w:r>
      <w:r>
        <w:t>ing to assert it.</w:t>
      </w:r>
    </w:p>
    <w:p w14:paraId="7521B1E9" w14:textId="77777777" w:rsidR="00DA443C" w:rsidRDefault="004A1489" w:rsidP="00DA443C">
      <w:pPr>
        <w:ind w:firstLine="720"/>
      </w:pPr>
      <w:r>
        <w:t xml:space="preserve">Finally, I also find persuasive the reasoning of the Connecticut Supreme Court in </w:t>
      </w:r>
      <w:r w:rsidRPr="003A02B4">
        <w:rPr>
          <w:i/>
          <w:iCs/>
        </w:rPr>
        <w:t>Lees v. Middlesex Ins. Co.</w:t>
      </w:r>
      <w:r w:rsidRPr="003A02B4">
        <w:t xml:space="preserve"> (1991) 219 Conn. 644</w:t>
      </w:r>
      <w:r>
        <w:t xml:space="preserve"> [594 A.2d 952] (</w:t>
      </w:r>
      <w:r w:rsidRPr="00175D08">
        <w:rPr>
          <w:i/>
          <w:iCs/>
        </w:rPr>
        <w:t>Lees</w:t>
      </w:r>
      <w:r>
        <w:t xml:space="preserve">), which held that </w:t>
      </w:r>
      <w:proofErr w:type="gramStart"/>
      <w:r>
        <w:t>an unfair practices</w:t>
      </w:r>
      <w:proofErr w:type="gramEnd"/>
      <w:r>
        <w:t xml:space="preserve"> claim under Connecticut’s statutory counterpart t</w:t>
      </w:r>
      <w:r>
        <w:t xml:space="preserve">o the UCL was </w:t>
      </w:r>
      <w:r w:rsidRPr="00E25822">
        <w:rPr>
          <w:i/>
          <w:iCs/>
        </w:rPr>
        <w:t>not</w:t>
      </w:r>
      <w:r>
        <w:t xml:space="preserve"> an action on an insurance policy and thus not subject to a one-year limitations provision identical to the one at issue here.  The </w:t>
      </w:r>
      <w:r w:rsidRPr="006A6BD1">
        <w:rPr>
          <w:i/>
          <w:iCs/>
        </w:rPr>
        <w:t>Lee</w:t>
      </w:r>
      <w:r>
        <w:t xml:space="preserve"> court explained:</w:t>
      </w:r>
    </w:p>
    <w:p w14:paraId="28B34111" w14:textId="77777777" w:rsidR="00DA443C" w:rsidRPr="00B71A39" w:rsidRDefault="004A1489" w:rsidP="00DA443C">
      <w:pPr>
        <w:ind w:firstLine="720"/>
      </w:pPr>
      <w:r>
        <w:t>“[T]</w:t>
      </w:r>
      <w:r w:rsidRPr="003A02B4">
        <w:t xml:space="preserve">hat phrase </w:t>
      </w:r>
      <w:r>
        <w:t xml:space="preserve">[“on the policy”] </w:t>
      </w:r>
      <w:r w:rsidRPr="003A02B4">
        <w:t xml:space="preserve">and those </w:t>
      </w:r>
      <w:r>
        <w:t xml:space="preserve">[statutory] </w:t>
      </w:r>
      <w:r w:rsidRPr="003A02B4">
        <w:t>claims ordinarily involve diffe</w:t>
      </w:r>
      <w:r w:rsidRPr="003A02B4">
        <w:t xml:space="preserve">rent factual inquiries, and because the duties ordinarily associated with them derive from different sources. </w:t>
      </w:r>
      <w:r>
        <w:t xml:space="preserve"> </w:t>
      </w:r>
      <w:r w:rsidRPr="003A02B4">
        <w:t>In an action on an insurance policy, the conduct giving rise to the insurer</w:t>
      </w:r>
      <w:r w:rsidRPr="002F3874">
        <w:t>’</w:t>
      </w:r>
      <w:r w:rsidRPr="003A02B4">
        <w:t>s liability is a failure to pay out the policy proceeds when the insu</w:t>
      </w:r>
      <w:r w:rsidRPr="003A02B4">
        <w:t>rer is contractually bound to do so.</w:t>
      </w:r>
      <w:r>
        <w:t xml:space="preserve">  </w:t>
      </w:r>
      <w:r w:rsidRPr="003A02B4">
        <w:t xml:space="preserve">The factual inquiry focuses on the nature of the loss, the coverage of the policy and whether the parties have complied with </w:t>
      </w:r>
      <w:proofErr w:type="gramStart"/>
      <w:r w:rsidRPr="003A02B4">
        <w:t>all of</w:t>
      </w:r>
      <w:proofErr w:type="gramEnd"/>
      <w:r w:rsidRPr="003A02B4">
        <w:t xml:space="preserve"> the terms of the policy. </w:t>
      </w:r>
      <w:r w:rsidRPr="002F3874">
        <w:t xml:space="preserve"> </w:t>
      </w:r>
      <w:r w:rsidRPr="003A02B4">
        <w:t xml:space="preserve">In a </w:t>
      </w:r>
      <w:r w:rsidRPr="002F3874">
        <w:t xml:space="preserve">[statutory unfair practices] </w:t>
      </w:r>
      <w:r w:rsidRPr="003A02B4">
        <w:t>claim, however, the insure</w:t>
      </w:r>
      <w:r w:rsidRPr="003A02B4">
        <w:t>r</w:t>
      </w:r>
      <w:r w:rsidRPr="002F3874">
        <w:t>’</w:t>
      </w:r>
      <w:r w:rsidRPr="003A02B4">
        <w:t>s liability is ordinarily based on its conduct in settling or failing to settle the insured</w:t>
      </w:r>
      <w:r w:rsidRPr="002F3874">
        <w:t>’</w:t>
      </w:r>
      <w:r w:rsidRPr="003A02B4">
        <w:t xml:space="preserve">s claim and on its claims settlement policies in general. </w:t>
      </w:r>
      <w:r w:rsidRPr="002F3874">
        <w:t xml:space="preserve"> </w:t>
      </w:r>
      <w:r w:rsidRPr="003A02B4">
        <w:t>The factual inquiry focuses, not on the nature of the loss and the terms of the insurance contract, but</w:t>
      </w:r>
      <w:r w:rsidRPr="003A02B4">
        <w:t xml:space="preserve"> on the conduct of the insurer. </w:t>
      </w:r>
      <w:r>
        <w:t xml:space="preserve"> </w:t>
      </w:r>
      <w:r w:rsidRPr="003A02B4">
        <w:t xml:space="preserve">Furthermore, in an action </w:t>
      </w:r>
      <w:r>
        <w:t>‘</w:t>
      </w:r>
      <w:r w:rsidRPr="003A02B4">
        <w:t>on [the] policy,</w:t>
      </w:r>
      <w:r>
        <w:t>’</w:t>
      </w:r>
      <w:r w:rsidRPr="003A02B4">
        <w:t xml:space="preserve"> the insurer</w:t>
      </w:r>
      <w:r>
        <w:t>’</w:t>
      </w:r>
      <w:r w:rsidRPr="003A02B4">
        <w:t xml:space="preserve">s duty to comply with the policy provisions stems from the private insurance agreement and is contractual in nature. </w:t>
      </w:r>
      <w:r>
        <w:t xml:space="preserve"> </w:t>
      </w:r>
      <w:r w:rsidRPr="003A02B4">
        <w:t xml:space="preserve">In a </w:t>
      </w:r>
      <w:r>
        <w:t xml:space="preserve">[statutory unfair practices] </w:t>
      </w:r>
      <w:r w:rsidRPr="003A02B4">
        <w:t>claim, the ins</w:t>
      </w:r>
      <w:r w:rsidRPr="003A02B4">
        <w:t>urer</w:t>
      </w:r>
      <w:r>
        <w:t>’</w:t>
      </w:r>
      <w:r w:rsidRPr="003A02B4">
        <w:t>s duty stems not from the private insurance agreement but from a duty imposed by statute.</w:t>
      </w:r>
      <w:r>
        <w:t>”  (</w:t>
      </w:r>
      <w:r w:rsidRPr="003A02B4">
        <w:rPr>
          <w:i/>
          <w:iCs/>
        </w:rPr>
        <w:t>Lees</w:t>
      </w:r>
      <w:r>
        <w:rPr>
          <w:i/>
          <w:iCs/>
        </w:rPr>
        <w:t xml:space="preserve">, supra, </w:t>
      </w:r>
      <w:r>
        <w:t>594 A.2d</w:t>
      </w:r>
      <w:r w:rsidRPr="003A02B4">
        <w:t xml:space="preserve"> </w:t>
      </w:r>
      <w:r>
        <w:t>at p. 956</w:t>
      </w:r>
      <w:r w:rsidRPr="00B71A39">
        <w:t>.)</w:t>
      </w:r>
      <w:r>
        <w:t xml:space="preserve">  </w:t>
      </w:r>
    </w:p>
    <w:p w14:paraId="7FD3E1BE" w14:textId="77777777" w:rsidR="00DA443C" w:rsidRPr="00376B51" w:rsidRDefault="004A1489" w:rsidP="00DA443C">
      <w:pPr>
        <w:ind w:firstLine="720"/>
      </w:pPr>
      <w:r w:rsidRPr="00307326">
        <w:rPr>
          <w:i/>
          <w:iCs/>
        </w:rPr>
        <w:lastRenderedPageBreak/>
        <w:t>Lees</w:t>
      </w:r>
      <w:r>
        <w:t xml:space="preserve"> specifically rejected the argument that such claims are a pretextual attempt to recover policy proceeds under the line of California authority just discussed, as “inconsistent with the recognition of [the statutory unfair practices] claims as independent </w:t>
      </w:r>
      <w:r>
        <w:t>actions based on factual inquiries and sources of duty separate from actions on the policy.”  (</w:t>
      </w:r>
      <w:r w:rsidRPr="003A02B4">
        <w:rPr>
          <w:i/>
          <w:iCs/>
        </w:rPr>
        <w:t>Lees</w:t>
      </w:r>
      <w:r>
        <w:rPr>
          <w:i/>
          <w:iCs/>
        </w:rPr>
        <w:t xml:space="preserve">, supra, </w:t>
      </w:r>
      <w:r>
        <w:t xml:space="preserve">594 A.2d at p. 958 &amp; fn. 11.)  </w:t>
      </w:r>
      <w:r w:rsidRPr="00376B51">
        <w:t xml:space="preserve">In effect, </w:t>
      </w:r>
      <w:r w:rsidRPr="00376B51">
        <w:rPr>
          <w:i/>
        </w:rPr>
        <w:t>Lees</w:t>
      </w:r>
      <w:r w:rsidRPr="00376B51">
        <w:t xml:space="preserve"> declined to extend the reasoning of that caselaw to a statutory claim for unfair business practices.</w:t>
      </w:r>
    </w:p>
    <w:p w14:paraId="7E883B8B" w14:textId="77777777" w:rsidR="00DA443C" w:rsidRPr="00167DD3" w:rsidRDefault="004A1489" w:rsidP="00DA443C">
      <w:pPr>
        <w:ind w:firstLine="720"/>
        <w:rPr>
          <w:iCs/>
        </w:rPr>
      </w:pPr>
      <w:r>
        <w:t xml:space="preserve">I agree.  </w:t>
      </w:r>
      <w:r>
        <w:rPr>
          <w:iCs/>
        </w:rPr>
        <w:t>This lawsuit seeks nothing but public injunctive relief to reform the way an insurance company conducts business with its policyholders, premised not on any contractual rights belonging to any insured under their policy of insurance but on a stat</w:t>
      </w:r>
      <w:r>
        <w:rPr>
          <w:iCs/>
        </w:rPr>
        <w:t xml:space="preserve">utory remedy for “unfair” business practices under the UCL.  It does not seek any remedy intended to vindicate the plaintiff’s private, individual rights under her insurance policy.  At most, it is an action that </w:t>
      </w:r>
      <w:r w:rsidRPr="00151F35">
        <w:rPr>
          <w:i/>
        </w:rPr>
        <w:t>concerns</w:t>
      </w:r>
      <w:r>
        <w:rPr>
          <w:iCs/>
        </w:rPr>
        <w:t xml:space="preserve"> her insurance policy (and countles</w:t>
      </w:r>
      <w:r>
        <w:rPr>
          <w:iCs/>
        </w:rPr>
        <w:t xml:space="preserve">s others).  Regardless of whether there is merit to the claim or State Farm may ultimately prevail on defenses such as lack of statutory standing, it is not a claim “on” the policy.  And </w:t>
      </w:r>
      <w:proofErr w:type="gramStart"/>
      <w:r>
        <w:rPr>
          <w:iCs/>
        </w:rPr>
        <w:t>thus</w:t>
      </w:r>
      <w:proofErr w:type="gramEnd"/>
      <w:r>
        <w:rPr>
          <w:iCs/>
        </w:rPr>
        <w:t xml:space="preserve"> it is not time-barred.  </w:t>
      </w:r>
    </w:p>
    <w:p w14:paraId="4B6137B6" w14:textId="77777777" w:rsidR="00DA443C" w:rsidRPr="006C4AF9" w:rsidRDefault="004A1489" w:rsidP="00DA443C">
      <w:pPr>
        <w:ind w:firstLine="720"/>
        <w:rPr>
          <w:iCs/>
        </w:rPr>
      </w:pPr>
      <w:r>
        <w:t>The trial court erred in concluding thi</w:t>
      </w:r>
      <w:r>
        <w:t>s cause of action is governed by the policy’s one-year limitations clause.  It is governed, rather, by the four-year period applicable to causes of action under Business and Professions Code section 17200 (</w:t>
      </w:r>
      <w:r>
        <w:rPr>
          <w:iCs/>
        </w:rPr>
        <w:t>Bus. &amp; Prof. Code, § 17208)</w:t>
      </w:r>
      <w:r>
        <w:t xml:space="preserve">, pursuant to which it </w:t>
      </w:r>
      <w:r>
        <w:t>was timely filed.</w:t>
      </w:r>
    </w:p>
    <w:p w14:paraId="6BA31077" w14:textId="77777777" w:rsidR="00DA443C" w:rsidRDefault="004A1489" w:rsidP="00DA443C">
      <w:pPr>
        <w:ind w:firstLine="720"/>
        <w:rPr>
          <w:b/>
        </w:rPr>
      </w:pPr>
      <w:r>
        <w:rPr>
          <w:iCs/>
        </w:rPr>
        <w:t>I therefore dissent.</w:t>
      </w:r>
      <w:r>
        <w:rPr>
          <w:b/>
        </w:rPr>
        <w:t xml:space="preserve"> </w:t>
      </w:r>
    </w:p>
    <w:p w14:paraId="69BB8CC7" w14:textId="77777777" w:rsidR="00DA443C" w:rsidRDefault="004A1489" w:rsidP="00DA443C">
      <w:pPr>
        <w:spacing w:line="240" w:lineRule="auto"/>
      </w:pPr>
    </w:p>
    <w:p w14:paraId="5B14AFB1" w14:textId="77777777" w:rsidR="00DA443C" w:rsidRDefault="004A1489" w:rsidP="00DA443C">
      <w:pPr>
        <w:spacing w:line="240" w:lineRule="auto"/>
      </w:pPr>
    </w:p>
    <w:p w14:paraId="43A50DBD" w14:textId="77777777" w:rsidR="00DA443C" w:rsidRDefault="004A1489" w:rsidP="00DA443C">
      <w:pPr>
        <w:spacing w:line="240" w:lineRule="auto"/>
      </w:pPr>
      <w:r>
        <w:tab/>
      </w:r>
      <w:r>
        <w:tab/>
      </w:r>
      <w:r>
        <w:tab/>
      </w:r>
      <w:r>
        <w:tab/>
      </w:r>
      <w:r>
        <w:tab/>
      </w:r>
      <w:r>
        <w:tab/>
      </w:r>
      <w:r>
        <w:tab/>
      </w:r>
      <w:r>
        <w:tab/>
        <w:t>___________________________</w:t>
      </w:r>
    </w:p>
    <w:p w14:paraId="2E0CEFD7" w14:textId="77777777" w:rsidR="00DA443C" w:rsidRDefault="004A1489" w:rsidP="00DA443C">
      <w:pPr>
        <w:spacing w:line="240" w:lineRule="auto"/>
      </w:pPr>
      <w:r>
        <w:tab/>
      </w:r>
      <w:r>
        <w:tab/>
      </w:r>
      <w:r>
        <w:tab/>
      </w:r>
      <w:r>
        <w:tab/>
      </w:r>
      <w:r>
        <w:tab/>
      </w:r>
      <w:r>
        <w:tab/>
      </w:r>
      <w:r>
        <w:tab/>
      </w:r>
      <w:r>
        <w:tab/>
        <w:t>STEWART, P.J.</w:t>
      </w:r>
    </w:p>
    <w:p w14:paraId="4159DF53" w14:textId="77777777" w:rsidR="00A25EC2" w:rsidRPr="008E1BF0" w:rsidRDefault="004A1489" w:rsidP="00133D7E">
      <w:pPr>
        <w:shd w:val="clear" w:color="auto" w:fill="FFFFFF"/>
        <w:spacing w:line="360" w:lineRule="auto"/>
        <w:ind w:right="-720"/>
        <w:textAlignment w:val="baseline"/>
      </w:pPr>
    </w:p>
    <w:sectPr w:rsidR="00A25EC2" w:rsidRPr="008E1BF0" w:rsidSect="000317DF">
      <w:footerReference w:type="even"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D9E6" w14:textId="77777777" w:rsidR="00000000" w:rsidRDefault="004A1489">
      <w:pPr>
        <w:spacing w:line="240" w:lineRule="auto"/>
      </w:pPr>
      <w:r>
        <w:separator/>
      </w:r>
    </w:p>
  </w:endnote>
  <w:endnote w:type="continuationSeparator" w:id="0">
    <w:p w14:paraId="66C03763" w14:textId="77777777" w:rsidR="00000000" w:rsidRDefault="004A1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2C9F" w14:textId="77777777" w:rsidR="00FF693C" w:rsidRDefault="004A1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61613"/>
      <w:docPartObj>
        <w:docPartGallery w:val="Page Numbers (Bottom of Page)"/>
        <w:docPartUnique/>
      </w:docPartObj>
    </w:sdtPr>
    <w:sdtEndPr>
      <w:rPr>
        <w:noProof/>
      </w:rPr>
    </w:sdtEndPr>
    <w:sdtContent>
      <w:p w14:paraId="318816F7" w14:textId="77777777" w:rsidR="006652C3" w:rsidRDefault="004A14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E5BCEC" w14:textId="77777777" w:rsidR="00567108" w:rsidRDefault="004A1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732765"/>
      <w:docPartObj>
        <w:docPartGallery w:val="Page Numbers (Bottom of Page)"/>
        <w:docPartUnique/>
      </w:docPartObj>
    </w:sdtPr>
    <w:sdtEndPr>
      <w:rPr>
        <w:noProof/>
      </w:rPr>
    </w:sdtEndPr>
    <w:sdtContent>
      <w:p w14:paraId="379C38FA" w14:textId="77777777" w:rsidR="000317DF" w:rsidRDefault="004A14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428E95" w14:textId="77777777" w:rsidR="00567108" w:rsidRDefault="004A14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CCC4" w14:textId="77777777" w:rsidR="002B382E" w:rsidRPr="008A0B31" w:rsidRDefault="004A1489" w:rsidP="008A0B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311155"/>
      <w:docPartObj>
        <w:docPartGallery w:val="Page Numbers (Bottom of Page)"/>
        <w:docPartUnique/>
      </w:docPartObj>
    </w:sdtPr>
    <w:sdtEndPr>
      <w:rPr>
        <w:noProof/>
      </w:rPr>
    </w:sdtEndPr>
    <w:sdtContent>
      <w:p w14:paraId="73240F0A" w14:textId="77777777" w:rsidR="002A5D80" w:rsidRDefault="004A14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61E26D" w14:textId="77777777" w:rsidR="002B382E" w:rsidRPr="008A0B31" w:rsidRDefault="004A1489" w:rsidP="008A0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5349" w14:textId="77777777" w:rsidR="004021EB" w:rsidRDefault="004A1489" w:rsidP="001C381B">
      <w:pPr>
        <w:spacing w:line="240" w:lineRule="auto"/>
      </w:pPr>
      <w:r>
        <w:separator/>
      </w:r>
    </w:p>
  </w:footnote>
  <w:footnote w:type="continuationSeparator" w:id="0">
    <w:p w14:paraId="6BE6451E" w14:textId="77777777" w:rsidR="004021EB" w:rsidRDefault="004A1489" w:rsidP="001C381B">
      <w:pPr>
        <w:spacing w:line="240" w:lineRule="auto"/>
      </w:pPr>
      <w:r>
        <w:continuationSeparator/>
      </w:r>
    </w:p>
  </w:footnote>
  <w:footnote w:type="continuationNotice" w:id="1">
    <w:p w14:paraId="3A3D0710" w14:textId="77777777" w:rsidR="004021EB" w:rsidRDefault="004A1489">
      <w:pPr>
        <w:spacing w:line="240" w:lineRule="auto"/>
      </w:pPr>
    </w:p>
  </w:footnote>
  <w:footnote w:id="2">
    <w:p w14:paraId="26E78D60" w14:textId="77777777" w:rsidR="00C0090D" w:rsidRPr="00A52301" w:rsidRDefault="004A1489" w:rsidP="00C0090D">
      <w:pPr>
        <w:pStyle w:val="FootnoteText"/>
        <w:spacing w:after="120"/>
        <w:ind w:left="-720" w:right="-720" w:firstLine="720"/>
      </w:pPr>
      <w:r>
        <w:rPr>
          <w:rStyle w:val="FootnoteReference"/>
        </w:rPr>
        <w:footnoteRef/>
      </w:r>
      <w:r>
        <w:t xml:space="preserve"> Our recitation of facts is based upon the allegations in plaintiff’s second amended complaint, which we accept as true if properly pled.  (</w:t>
      </w:r>
      <w:r w:rsidRPr="00D50CCB">
        <w:rPr>
          <w:i/>
          <w:iCs/>
        </w:rPr>
        <w:t>290</w:t>
      </w:r>
      <w:r>
        <w:t xml:space="preserve"> </w:t>
      </w:r>
      <w:r w:rsidRPr="00A52301">
        <w:rPr>
          <w:i/>
          <w:iCs/>
        </w:rPr>
        <w:t>Division (EAT), LLC v. City and County of San Francisco</w:t>
      </w:r>
      <w:r>
        <w:t xml:space="preserve"> (2022) 86 Cal.App.5th 439, 450.)  We also rely on facts that are the subject of judicial notice (</w:t>
      </w:r>
      <w:r>
        <w:rPr>
          <w:i/>
          <w:iCs/>
        </w:rPr>
        <w:t xml:space="preserve">Blank v. Kirwan </w:t>
      </w:r>
      <w:r>
        <w:t>(1985) 39 Cal.3d 311, 318) which, as pertinent here, include the federal case, of which the trial court took judicial notice below, and of whi</w:t>
      </w:r>
      <w:r>
        <w:t>ch plaintiff requests judicial notice here, a request we grant.</w:t>
      </w:r>
    </w:p>
  </w:footnote>
  <w:footnote w:id="3">
    <w:p w14:paraId="1C276B9A" w14:textId="77777777" w:rsidR="000C13EF" w:rsidRDefault="004A1489" w:rsidP="00A4557B">
      <w:pPr>
        <w:pStyle w:val="FootnoteText"/>
        <w:spacing w:after="120"/>
        <w:ind w:left="-720" w:right="-720" w:firstLine="720"/>
      </w:pPr>
      <w:r>
        <w:rPr>
          <w:rStyle w:val="FootnoteReference"/>
        </w:rPr>
        <w:footnoteRef/>
      </w:r>
      <w:r>
        <w:t xml:space="preserve"> The claim is not in the record.  However, in the federal case plaintiff alleged that her “understanding is that some portion of the staircase had just settled.”  We cannot help but note that</w:t>
      </w:r>
      <w:r>
        <w:t xml:space="preserve"> one of the perils excluded by the policy is loss by “settling.” </w:t>
      </w:r>
    </w:p>
  </w:footnote>
  <w:footnote w:id="4">
    <w:p w14:paraId="2F57B09D" w14:textId="77777777" w:rsidR="001A69AB" w:rsidRDefault="004A1489" w:rsidP="001A69AB">
      <w:pPr>
        <w:tabs>
          <w:tab w:val="clear" w:pos="720"/>
        </w:tabs>
        <w:spacing w:line="240" w:lineRule="auto"/>
        <w:ind w:left="-720" w:right="-720" w:firstLine="720"/>
      </w:pPr>
      <w:r>
        <w:rPr>
          <w:rStyle w:val="FootnoteReference"/>
        </w:rPr>
        <w:footnoteRef/>
      </w:r>
      <w:r>
        <w:t xml:space="preserve"> At oral argument here, Mr. Rosenberg-Wohl could not answer whether any such injunction would be mandatory or prohibitory.  And, we hasten to add, at no point along the way has he as much a</w:t>
      </w:r>
      <w:r>
        <w:t>s suggested how the superior court would monitor any such injunction.</w:t>
      </w:r>
    </w:p>
    <w:p w14:paraId="521F3D51" w14:textId="77777777" w:rsidR="001A69AB" w:rsidRDefault="004A1489" w:rsidP="001A69AB">
      <w:pPr>
        <w:pStyle w:val="FootnoteText"/>
        <w:ind w:left="-720" w:right="-630" w:firstLine="720"/>
      </w:pPr>
    </w:p>
  </w:footnote>
  <w:footnote w:id="5">
    <w:p w14:paraId="138034CE" w14:textId="77777777" w:rsidR="00075126" w:rsidRDefault="004A1489" w:rsidP="00B64069">
      <w:pPr>
        <w:pStyle w:val="FootnoteText"/>
        <w:spacing w:after="120"/>
        <w:ind w:left="-720" w:right="-720" w:firstLine="720"/>
      </w:pPr>
      <w:r>
        <w:rPr>
          <w:rStyle w:val="FootnoteReference"/>
        </w:rPr>
        <w:footnoteRef/>
      </w:r>
      <w:r>
        <w:t xml:space="preserve"> The last three pages in the opposition addressed the false advertising claim. </w:t>
      </w:r>
    </w:p>
  </w:footnote>
  <w:footnote w:id="6">
    <w:p w14:paraId="38767749" w14:textId="77777777" w:rsidR="002C6628" w:rsidRDefault="004A1489" w:rsidP="002C6628">
      <w:pPr>
        <w:pStyle w:val="FootnoteText"/>
        <w:ind w:left="-720" w:right="-720" w:firstLine="720"/>
      </w:pPr>
      <w:r>
        <w:rPr>
          <w:rStyle w:val="FootnoteReference"/>
        </w:rPr>
        <w:footnoteRef/>
      </w:r>
      <w:r>
        <w:t xml:space="preserve"> The other claims were for breach of fiduciary duty, intentional and negligent misrepresentation, constructive fraud, conspiracy, and tortious interference with, and inducement to breach, contract.</w:t>
      </w:r>
    </w:p>
  </w:footnote>
  <w:footnote w:id="7">
    <w:p w14:paraId="33CB0B0E" w14:textId="77777777" w:rsidR="0095101C" w:rsidRDefault="004A1489" w:rsidP="0095101C">
      <w:pPr>
        <w:pStyle w:val="FootnoteText"/>
        <w:ind w:left="-720" w:right="-720" w:firstLine="720"/>
      </w:pPr>
      <w:r>
        <w:rPr>
          <w:rStyle w:val="FootnoteReference"/>
        </w:rPr>
        <w:footnoteRef/>
      </w:r>
      <w:r>
        <w:t xml:space="preserve"> Unpublished federal opinions are citable.  (See </w:t>
      </w:r>
      <w:proofErr w:type="spellStart"/>
      <w:r>
        <w:rPr>
          <w:i/>
          <w:iCs/>
        </w:rPr>
        <w:t>Haligows</w:t>
      </w:r>
      <w:r>
        <w:rPr>
          <w:i/>
          <w:iCs/>
        </w:rPr>
        <w:t>ki</w:t>
      </w:r>
      <w:proofErr w:type="spellEnd"/>
      <w:r>
        <w:rPr>
          <w:i/>
          <w:iCs/>
        </w:rPr>
        <w:t xml:space="preserve"> v. Superior Court </w:t>
      </w:r>
      <w:r>
        <w:t xml:space="preserve">(2011) 200 Cal.App.4th 983, 990, fn. 4; </w:t>
      </w:r>
      <w:r>
        <w:rPr>
          <w:i/>
          <w:iCs/>
        </w:rPr>
        <w:t xml:space="preserve">Pacific Shore Funding, v. </w:t>
      </w:r>
      <w:proofErr w:type="spellStart"/>
      <w:r>
        <w:rPr>
          <w:i/>
          <w:iCs/>
        </w:rPr>
        <w:t>Lozo</w:t>
      </w:r>
      <w:proofErr w:type="spellEnd"/>
      <w:r>
        <w:rPr>
          <w:i/>
          <w:iCs/>
        </w:rPr>
        <w:t xml:space="preserve"> </w:t>
      </w:r>
      <w:r>
        <w:t>(2006) 138 Cal.App.4th 1342, 1352, fn. 6.)</w:t>
      </w:r>
    </w:p>
  </w:footnote>
  <w:footnote w:id="8">
    <w:p w14:paraId="0F73E245" w14:textId="77777777" w:rsidR="00C0539F" w:rsidRDefault="004A1489" w:rsidP="00C0539F">
      <w:pPr>
        <w:pStyle w:val="FootnoteText"/>
        <w:ind w:left="-720" w:right="-720" w:firstLine="720"/>
      </w:pPr>
      <w:r>
        <w:rPr>
          <w:rStyle w:val="FootnoteReference"/>
        </w:rPr>
        <w:footnoteRef/>
      </w:r>
      <w:r>
        <w:t xml:space="preserve"> Plaintiff’s opening brief states that State Farm “expressly” waived the limitation provision.  State Farm called plaint</w:t>
      </w:r>
      <w:r>
        <w:t xml:space="preserve">iff on this, stating that her opening brief “misrepresented the facts.”  Plaintiff’s </w:t>
      </w:r>
      <w:proofErr w:type="gramStart"/>
      <w:r>
        <w:t>reply</w:t>
      </w:r>
      <w:proofErr w:type="gramEnd"/>
      <w:r>
        <w:t xml:space="preserve"> brief asserts, indeed with its own argument heading, that “plaintiff has alleged that State Farm’s waiver was in writing,” citing to CT 27-28.  CT 27</w:t>
      </w:r>
      <w:r>
        <w:rPr>
          <w:rFonts w:ascii="Symbol" w:hAnsi="Symbol"/>
        </w:rPr>
        <w:sym w:font="Symbol" w:char="F02D"/>
      </w:r>
      <w:r>
        <w:t>28 is in the am</w:t>
      </w:r>
      <w:r>
        <w:t>ended complaint, not the operative SAC.  More fundamentally, one looks at CT 27</w:t>
      </w:r>
      <w:r>
        <w:rPr>
          <w:rFonts w:ascii="Symbol" w:hAnsi="Symbol"/>
        </w:rPr>
        <w:sym w:font="Symbol" w:char="F02D"/>
      </w:r>
      <w:r>
        <w:t>28 in vain for any allegation of “in writing.”</w:t>
      </w:r>
    </w:p>
  </w:footnote>
  <w:footnote w:id="9">
    <w:p w14:paraId="6BBC1DCC" w14:textId="77777777" w:rsidR="00DA443C" w:rsidRDefault="004A1489" w:rsidP="00DA443C">
      <w:pPr>
        <w:pStyle w:val="FootnoteText"/>
      </w:pPr>
      <w:r>
        <w:rPr>
          <w:rStyle w:val="FootnoteReference"/>
        </w:rPr>
        <w:footnoteRef/>
      </w:r>
      <w:r>
        <w:t xml:space="preserve">  </w:t>
      </w:r>
      <w:r>
        <w:rPr>
          <w:iCs/>
        </w:rPr>
        <w:t>T</w:t>
      </w:r>
      <w:r w:rsidRPr="00971B37">
        <w:rPr>
          <w:iCs/>
        </w:rPr>
        <w:t xml:space="preserve">he parties agree </w:t>
      </w:r>
      <w:r>
        <w:rPr>
          <w:iCs/>
        </w:rPr>
        <w:t xml:space="preserve">that the </w:t>
      </w:r>
      <w:r w:rsidRPr="00971B37">
        <w:rPr>
          <w:iCs/>
        </w:rPr>
        <w:t xml:space="preserve">language of the one-year </w:t>
      </w:r>
      <w:r>
        <w:rPr>
          <w:iCs/>
        </w:rPr>
        <w:t>limitations</w:t>
      </w:r>
      <w:r w:rsidRPr="00971B37">
        <w:rPr>
          <w:iCs/>
        </w:rPr>
        <w:t xml:space="preserve"> provision </w:t>
      </w:r>
      <w:r>
        <w:rPr>
          <w:iCs/>
        </w:rPr>
        <w:t>in</w:t>
      </w:r>
      <w:r w:rsidRPr="00971B37">
        <w:rPr>
          <w:iCs/>
        </w:rPr>
        <w:t xml:space="preserve"> plaintiff’s homeowner policy</w:t>
      </w:r>
      <w:r>
        <w:rPr>
          <w:iCs/>
        </w:rPr>
        <w:t xml:space="preserve"> </w:t>
      </w:r>
      <w:r w:rsidRPr="00971B37">
        <w:rPr>
          <w:iCs/>
        </w:rPr>
        <w:t>applies only to acti</w:t>
      </w:r>
      <w:r w:rsidRPr="00971B37">
        <w:rPr>
          <w:iCs/>
        </w:rPr>
        <w:t xml:space="preserve">ons “on the policy,” because </w:t>
      </w:r>
      <w:r>
        <w:rPr>
          <w:iCs/>
        </w:rPr>
        <w:t>the</w:t>
      </w:r>
      <w:r w:rsidRPr="00971B37">
        <w:rPr>
          <w:iCs/>
        </w:rPr>
        <w:t xml:space="preserve"> policy is governed by Insurance Code section 2071, which mandates the terms of first-party fire insurance coverage</w:t>
      </w:r>
      <w:r>
        <w:rPr>
          <w:iCs/>
        </w:rPr>
        <w:t xml:space="preserve"> and</w:t>
      </w:r>
      <w:r w:rsidRPr="00971B37">
        <w:rPr>
          <w:iCs/>
        </w:rPr>
        <w:t xml:space="preserve"> requires inclusion of a one-year limitations period for any “suit or action </w:t>
      </w:r>
      <w:r w:rsidRPr="00971B37">
        <w:rPr>
          <w:i/>
          <w:iCs/>
        </w:rPr>
        <w:t>on this policy</w:t>
      </w:r>
      <w:r w:rsidRPr="00971B37">
        <w:rPr>
          <w:iCs/>
        </w:rPr>
        <w:t xml:space="preserve"> </w:t>
      </w:r>
      <w:r w:rsidRPr="00AC788D">
        <w:rPr>
          <w:i/>
        </w:rPr>
        <w:t>for the recov</w:t>
      </w:r>
      <w:r w:rsidRPr="00AC788D">
        <w:rPr>
          <w:i/>
        </w:rPr>
        <w:t>ery of any claim</w:t>
      </w:r>
      <w:r w:rsidRPr="00971B37">
        <w:rPr>
          <w:iCs/>
        </w:rPr>
        <w:t xml:space="preserve">.”  (Ins. Code, § 2071, subd. (a), italics added; see also </w:t>
      </w:r>
      <w:r w:rsidRPr="00971B37">
        <w:rPr>
          <w:i/>
          <w:iCs/>
        </w:rPr>
        <w:t>State Farm Fire &amp; Casualty Co. v. Superior Court</w:t>
      </w:r>
      <w:r w:rsidRPr="00971B37">
        <w:rPr>
          <w:iCs/>
        </w:rPr>
        <w:t xml:space="preserve"> (1989) 2</w:t>
      </w:r>
      <w:r>
        <w:rPr>
          <w:iCs/>
        </w:rPr>
        <w:t>1</w:t>
      </w:r>
      <w:r w:rsidRPr="00971B37">
        <w:rPr>
          <w:iCs/>
        </w:rPr>
        <w:t>0 Cal.App.3d 604, 610 [construing identical language in homeowner’s policy, and concluding that “</w:t>
      </w:r>
      <w:r>
        <w:rPr>
          <w:iCs/>
        </w:rPr>
        <w:t>[c]</w:t>
      </w:r>
      <w:proofErr w:type="spellStart"/>
      <w:r w:rsidRPr="00971B37">
        <w:rPr>
          <w:iCs/>
        </w:rPr>
        <w:t>learly</w:t>
      </w:r>
      <w:proofErr w:type="spellEnd"/>
      <w:r w:rsidRPr="00971B37">
        <w:rPr>
          <w:iCs/>
        </w:rPr>
        <w:t xml:space="preserve"> ‘no action shall</w:t>
      </w:r>
      <w:r w:rsidRPr="00971B37">
        <w:rPr>
          <w:iCs/>
        </w:rPr>
        <w:t xml:space="preserve"> be brought’ must mean no action </w:t>
      </w:r>
      <w:r w:rsidRPr="00971B37">
        <w:rPr>
          <w:i/>
          <w:iCs/>
        </w:rPr>
        <w:t>on the policy</w:t>
      </w:r>
      <w:r w:rsidRPr="00971B37">
        <w:rPr>
          <w:iCs/>
        </w:rPr>
        <w:t>”].)</w:t>
      </w:r>
      <w:r>
        <w:rPr>
          <w:iCs/>
        </w:rPr>
        <w:t xml:space="preserve"> </w:t>
      </w:r>
    </w:p>
  </w:footnote>
  <w:footnote w:id="10">
    <w:p w14:paraId="2AD005CF" w14:textId="77777777" w:rsidR="00DA443C" w:rsidRDefault="004A1489" w:rsidP="00DA443C">
      <w:pPr>
        <w:pStyle w:val="FootnoteText"/>
      </w:pPr>
      <w:r>
        <w:rPr>
          <w:rStyle w:val="FootnoteReference"/>
        </w:rPr>
        <w:footnoteRef/>
      </w:r>
      <w:r>
        <w:t xml:space="preserve">  </w:t>
      </w:r>
      <w:r w:rsidRPr="00103CCE">
        <w:t xml:space="preserve">As I have noted, I would refrain from prejudging the legal viability of plaintiff’s UCL claim.  The majority’s foray into the merits of this UCL claim is both irrelevant and unwise, including because </w:t>
      </w:r>
      <w:r>
        <w:t>t</w:t>
      </w:r>
      <w:r>
        <w:t xml:space="preserve">he issue is complicated, and it </w:t>
      </w:r>
      <w:r w:rsidRPr="00103CCE">
        <w:t>is by no means clear the claim is not legally viable</w:t>
      </w:r>
      <w:r>
        <w:t xml:space="preserve">.  </w:t>
      </w:r>
      <w:r w:rsidRPr="001A55EF">
        <w:t>“[C]</w:t>
      </w:r>
      <w:proofErr w:type="spellStart"/>
      <w:r w:rsidRPr="001A55EF">
        <w:t>ommon</w:t>
      </w:r>
      <w:proofErr w:type="spellEnd"/>
      <w:r w:rsidRPr="001A55EF">
        <w:t xml:space="preserve"> law </w:t>
      </w:r>
      <w:r w:rsidRPr="002173A0">
        <w:t xml:space="preserve">[insurance] </w:t>
      </w:r>
      <w:r w:rsidRPr="001A55EF">
        <w:t>bad faith claims provide a viable basis for a UCL action.”</w:t>
      </w:r>
      <w:r w:rsidRPr="002173A0">
        <w:t xml:space="preserve">  </w:t>
      </w:r>
      <w:r w:rsidRPr="001A55EF">
        <w:t>(</w:t>
      </w:r>
      <w:r w:rsidRPr="001A55EF">
        <w:rPr>
          <w:i/>
          <w:iCs/>
        </w:rPr>
        <w:t>Zhang v. Superior Court</w:t>
      </w:r>
      <w:r w:rsidRPr="001A55EF">
        <w:t xml:space="preserve"> (2013) 57 Cal.4th 364, 381; see, e.g., </w:t>
      </w:r>
      <w:r w:rsidRPr="001A55EF">
        <w:rPr>
          <w:i/>
          <w:iCs/>
        </w:rPr>
        <w:t>Shusha</w:t>
      </w:r>
      <w:r w:rsidRPr="00D747C8">
        <w:rPr>
          <w:i/>
          <w:iCs/>
        </w:rPr>
        <w:t>, Inc. v. Century-National Insurance Company</w:t>
      </w:r>
      <w:r w:rsidRPr="00D747C8">
        <w:t xml:space="preserve"> (2022) 87 Cal.App.5th 250, 267</w:t>
      </w:r>
      <w:r>
        <w:t xml:space="preserve"> [allegations insurer summarily denied insurance claim adequately alleged causes of action for bad faith and violation of UCL], review </w:t>
      </w:r>
      <w:r>
        <w:t xml:space="preserve">granted Apr. 19, 2023, S278614; </w:t>
      </w:r>
      <w:proofErr w:type="spellStart"/>
      <w:r w:rsidRPr="00FF1394">
        <w:rPr>
          <w:i/>
          <w:iCs/>
        </w:rPr>
        <w:t>Ticconi</w:t>
      </w:r>
      <w:proofErr w:type="spellEnd"/>
      <w:r w:rsidRPr="00FF1394">
        <w:rPr>
          <w:i/>
          <w:iCs/>
        </w:rPr>
        <w:t xml:space="preserve"> v. Blue Shield of California Life &amp; Health Ins. Co.</w:t>
      </w:r>
      <w:r>
        <w:t xml:space="preserve"> (2008) 160 Cal.App.4th 528, 542 [</w:t>
      </w:r>
      <w:r w:rsidRPr="00D31338">
        <w:t>failing to attach applications to or endorse them on disability policies when issued and later holding insureds to statements in th</w:t>
      </w:r>
      <w:r w:rsidRPr="00D31338">
        <w:t>ose unattached and unendorsed applications as grounds for voiding or rescinding the policies</w:t>
      </w:r>
      <w:r>
        <w:t xml:space="preserve">]; </w:t>
      </w:r>
      <w:r w:rsidRPr="005512F3">
        <w:rPr>
          <w:i/>
          <w:iCs/>
        </w:rPr>
        <w:t>Progressive West Ins. Co. v. Superior Court</w:t>
      </w:r>
      <w:r>
        <w:t xml:space="preserve"> (2005) 135 Cal.App.4th 263, 283-287 [insurer’s deceptive practice of asserting right to full recovery from third-part</w:t>
      </w:r>
      <w:r>
        <w:t xml:space="preserve">y tortfeasors regardless whether it was entitled to any or only partial recovery]; </w:t>
      </w:r>
      <w:proofErr w:type="spellStart"/>
      <w:r w:rsidRPr="00FF1394">
        <w:rPr>
          <w:i/>
          <w:iCs/>
        </w:rPr>
        <w:t>Wilner</w:t>
      </w:r>
      <w:proofErr w:type="spellEnd"/>
      <w:r w:rsidRPr="00FF1394">
        <w:rPr>
          <w:i/>
          <w:iCs/>
        </w:rPr>
        <w:t xml:space="preserve"> v. Sunset Life Ins. Co.</w:t>
      </w:r>
      <w:r>
        <w:t xml:space="preserve"> (2000) 78 Cal.App.4th 952, 965-966 [encouraging insureds to purchase life insurance policies with less favorable policies]; </w:t>
      </w:r>
      <w:proofErr w:type="spellStart"/>
      <w:r w:rsidRPr="005512F3">
        <w:rPr>
          <w:i/>
          <w:iCs/>
        </w:rPr>
        <w:t>Notrica</w:t>
      </w:r>
      <w:proofErr w:type="spellEnd"/>
      <w:r w:rsidRPr="005512F3">
        <w:rPr>
          <w:i/>
          <w:iCs/>
        </w:rPr>
        <w:t xml:space="preserve"> v. State C</w:t>
      </w:r>
      <w:r w:rsidRPr="005512F3">
        <w:rPr>
          <w:i/>
          <w:iCs/>
        </w:rPr>
        <w:t>omp. Ins. Fund</w:t>
      </w:r>
      <w:r>
        <w:t xml:space="preserve"> (1999) 70 Cal.App.4th 911, 944-945 [UCL claim against workers’ compensation insurance provider based on denying insured access to claims files and refusing to communicate with insured’s representatives].)</w:t>
      </w:r>
    </w:p>
  </w:footnote>
  <w:footnote w:id="11">
    <w:p w14:paraId="097BA2DB" w14:textId="77777777" w:rsidR="00DA443C" w:rsidRDefault="004A1489" w:rsidP="00DA443C">
      <w:pPr>
        <w:pStyle w:val="FootnoteText"/>
      </w:pPr>
      <w:r>
        <w:rPr>
          <w:rStyle w:val="FootnoteReference"/>
        </w:rPr>
        <w:footnoteRef/>
      </w:r>
      <w:r>
        <w:t xml:space="preserve">  </w:t>
      </w:r>
      <w:proofErr w:type="spellStart"/>
      <w:r w:rsidRPr="00DE48D7">
        <w:rPr>
          <w:i/>
          <w:iCs/>
        </w:rPr>
        <w:t>Abari</w:t>
      </w:r>
      <w:proofErr w:type="spellEnd"/>
      <w:r>
        <w:t xml:space="preserve"> described some of the claim</w:t>
      </w:r>
      <w:r>
        <w:t xml:space="preserve">s as “unfair practices </w:t>
      </w:r>
      <w:proofErr w:type="gramStart"/>
      <w:r>
        <w:t>counts</w:t>
      </w:r>
      <w:proofErr w:type="gramEnd"/>
      <w:r>
        <w:t>” (</w:t>
      </w:r>
      <w:proofErr w:type="spellStart"/>
      <w:r>
        <w:rPr>
          <w:i/>
          <w:iCs/>
        </w:rPr>
        <w:t>Abari</w:t>
      </w:r>
      <w:proofErr w:type="spellEnd"/>
      <w:r>
        <w:rPr>
          <w:i/>
          <w:iCs/>
        </w:rPr>
        <w:t xml:space="preserve">, supra, </w:t>
      </w:r>
      <w:r>
        <w:t xml:space="preserve">205 Cal.App.3d at p. 536) but that was just a short-hand descriptor, and, as the majority acknowledges (Maj. </w:t>
      </w:r>
      <w:proofErr w:type="spellStart"/>
      <w:r>
        <w:t>opn</w:t>
      </w:r>
      <w:proofErr w:type="spellEnd"/>
      <w:r>
        <w:t xml:space="preserve">. </w:t>
      </w:r>
      <w:r>
        <w:rPr>
          <w:i/>
          <w:iCs/>
        </w:rPr>
        <w:t>ante,</w:t>
      </w:r>
      <w:r w:rsidRPr="000C3F71">
        <w:t xml:space="preserve"> at</w:t>
      </w:r>
      <w:r>
        <w:t xml:space="preserve"> p. 18), none were UCL claims.  (See </w:t>
      </w:r>
      <w:proofErr w:type="spellStart"/>
      <w:r>
        <w:rPr>
          <w:i/>
        </w:rPr>
        <w:t>Abari</w:t>
      </w:r>
      <w:proofErr w:type="spellEnd"/>
      <w:r>
        <w:rPr>
          <w:i/>
        </w:rPr>
        <w:t>,</w:t>
      </w:r>
      <w:r>
        <w:t xml:space="preserve"> at p. 533).  </w:t>
      </w:r>
    </w:p>
  </w:footnote>
  <w:footnote w:id="12">
    <w:p w14:paraId="67235810" w14:textId="77777777" w:rsidR="00DA443C" w:rsidRDefault="004A1489" w:rsidP="00DA443C">
      <w:pPr>
        <w:pStyle w:val="FootnoteText"/>
      </w:pPr>
      <w:r>
        <w:rPr>
          <w:rStyle w:val="FootnoteReference"/>
        </w:rPr>
        <w:footnoteRef/>
      </w:r>
      <w:r>
        <w:t xml:space="preserve">  </w:t>
      </w:r>
      <w:r w:rsidRPr="000D0E68">
        <w:rPr>
          <w:i/>
          <w:iCs/>
        </w:rPr>
        <w:t>Lawrence</w:t>
      </w:r>
      <w:r>
        <w:t xml:space="preserve"> did not specify th</w:t>
      </w:r>
      <w:r>
        <w:t xml:space="preserve">e remedy sought for the policyholder’s bad faith claim, but it is evident from context the insured sought damages for wrongful denial of his claim.  (See also </w:t>
      </w:r>
      <w:r w:rsidRPr="00753AE3">
        <w:rPr>
          <w:i/>
          <w:iCs/>
        </w:rPr>
        <w:t>Velasquez</w:t>
      </w:r>
      <w:r>
        <w:t xml:space="preserve">, </w:t>
      </w:r>
      <w:r w:rsidRPr="00753AE3">
        <w:rPr>
          <w:i/>
        </w:rPr>
        <w:t>supra</w:t>
      </w:r>
      <w:r>
        <w:t xml:space="preserve">, 1 Cal.App.4th at p. 722 [citing </w:t>
      </w:r>
      <w:r w:rsidRPr="00F54896">
        <w:rPr>
          <w:i/>
        </w:rPr>
        <w:t>Lawrence</w:t>
      </w:r>
      <w:r>
        <w:t xml:space="preserve"> for proposition that “a bad faith acti</w:t>
      </w:r>
      <w:r>
        <w:t>on based on denial of a claim in the underlying policy is an action on the policy”].)</w:t>
      </w:r>
    </w:p>
  </w:footnote>
  <w:footnote w:id="13">
    <w:p w14:paraId="51F659F8" w14:textId="77777777" w:rsidR="00DA443C" w:rsidRPr="008F0001" w:rsidRDefault="004A1489" w:rsidP="00DA443C">
      <w:pPr>
        <w:pStyle w:val="FootnoteText"/>
      </w:pPr>
      <w:r>
        <w:rPr>
          <w:rStyle w:val="FootnoteReference"/>
        </w:rPr>
        <w:footnoteRef/>
      </w:r>
      <w:r>
        <w:t xml:space="preserve">  </w:t>
      </w:r>
      <w:r w:rsidRPr="0013341F">
        <w:rPr>
          <w:iCs/>
        </w:rPr>
        <w:t xml:space="preserve">Unpublished federal authority involving the UCL that the majority </w:t>
      </w:r>
      <w:r>
        <w:rPr>
          <w:iCs/>
        </w:rPr>
        <w:t xml:space="preserve">also </w:t>
      </w:r>
      <w:r w:rsidRPr="0013341F">
        <w:rPr>
          <w:iCs/>
        </w:rPr>
        <w:t>cites is neither persuasive nor on point.</w:t>
      </w:r>
      <w:r>
        <w:rPr>
          <w:iCs/>
        </w:rPr>
        <w:t xml:space="preserve">  </w:t>
      </w:r>
      <w:r w:rsidRPr="0013341F">
        <w:rPr>
          <w:iCs/>
        </w:rPr>
        <w:t xml:space="preserve">(See </w:t>
      </w:r>
      <w:proofErr w:type="spellStart"/>
      <w:r w:rsidRPr="0013341F">
        <w:rPr>
          <w:i/>
          <w:iCs/>
        </w:rPr>
        <w:t>Enger</w:t>
      </w:r>
      <w:proofErr w:type="spellEnd"/>
      <w:r w:rsidRPr="0013341F">
        <w:rPr>
          <w:i/>
          <w:iCs/>
        </w:rPr>
        <w:t xml:space="preserve"> v. Allstate Insurance Company</w:t>
      </w:r>
      <w:r w:rsidRPr="0013341F">
        <w:rPr>
          <w:iCs/>
        </w:rPr>
        <w:t xml:space="preserve"> (</w:t>
      </w:r>
      <w:proofErr w:type="spellStart"/>
      <w:r w:rsidRPr="0013341F">
        <w:rPr>
          <w:iCs/>
        </w:rPr>
        <w:t>N.D.Cal</w:t>
      </w:r>
      <w:proofErr w:type="spellEnd"/>
      <w:r w:rsidRPr="0013341F">
        <w:rPr>
          <w:iCs/>
        </w:rPr>
        <w:t>., A</w:t>
      </w:r>
      <w:r w:rsidRPr="0013341F">
        <w:rPr>
          <w:iCs/>
        </w:rPr>
        <w:t>pr. 5, 2016, No. 16-</w:t>
      </w:r>
      <w:r>
        <w:rPr>
          <w:iCs/>
        </w:rPr>
        <w:t>cv</w:t>
      </w:r>
      <w:r w:rsidRPr="0013341F">
        <w:rPr>
          <w:iCs/>
        </w:rPr>
        <w:t>-00136-JSW) 2016 WL 10829363, at pp. *1, *5-*6 [UCL claim seeking unspecified remedy that is “based on [insurer’s] alleged failure to pay what is owed . . . under the terms of the Policy” held untimely under one-year limitations perio</w:t>
      </w:r>
      <w:r w:rsidRPr="0013341F">
        <w:rPr>
          <w:iCs/>
        </w:rPr>
        <w:t xml:space="preserve">d; </w:t>
      </w:r>
      <w:r w:rsidRPr="00167DD3">
        <w:rPr>
          <w:i/>
          <w:iCs/>
        </w:rPr>
        <w:t>Keller v. Federal Insurance Company</w:t>
      </w:r>
      <w:r w:rsidRPr="00167DD3">
        <w:rPr>
          <w:iCs/>
        </w:rPr>
        <w:t xml:space="preserve"> (</w:t>
      </w:r>
      <w:proofErr w:type="spellStart"/>
      <w:r w:rsidRPr="00167DD3">
        <w:rPr>
          <w:iCs/>
        </w:rPr>
        <w:t>C.D.Cal</w:t>
      </w:r>
      <w:proofErr w:type="spellEnd"/>
      <w:r w:rsidRPr="00167DD3">
        <w:rPr>
          <w:iCs/>
        </w:rPr>
        <w:t>., Feb. 13, 2017, No. CV 16-3946-GW(</w:t>
      </w:r>
      <w:proofErr w:type="spellStart"/>
      <w:r w:rsidRPr="00167DD3">
        <w:rPr>
          <w:iCs/>
        </w:rPr>
        <w:t>PJW</w:t>
      </w:r>
      <w:r>
        <w:rPr>
          <w:iCs/>
        </w:rPr>
        <w:t>x</w:t>
      </w:r>
      <w:proofErr w:type="spellEnd"/>
      <w:r w:rsidRPr="00167DD3">
        <w:rPr>
          <w:iCs/>
        </w:rPr>
        <w:t xml:space="preserve">)) 2017 WL 603181, at </w:t>
      </w:r>
      <w:r>
        <w:rPr>
          <w:iCs/>
        </w:rPr>
        <w:t xml:space="preserve">p. </w:t>
      </w:r>
      <w:r w:rsidRPr="00167DD3">
        <w:rPr>
          <w:iCs/>
        </w:rPr>
        <w:t>*15</w:t>
      </w:r>
      <w:r w:rsidRPr="0013341F">
        <w:rPr>
          <w:iCs/>
        </w:rPr>
        <w:t xml:space="preserve"> [because claim for breach of contract based on denial of policy benefits is time-barred, remaining UCL claim based on allegations insurer acted in bad faith in breaching the contract by refusing to provide coverage must be dismissed because “there appears</w:t>
      </w:r>
      <w:r w:rsidRPr="0013341F">
        <w:rPr>
          <w:iCs/>
        </w:rPr>
        <w:t xml:space="preserve"> to be no basis for [it]”].) </w:t>
      </w:r>
      <w:r>
        <w:t xml:space="preserve"> </w:t>
      </w:r>
    </w:p>
    <w:p w14:paraId="72E6581B" w14:textId="77777777" w:rsidR="00DA443C" w:rsidRDefault="004A1489" w:rsidP="00DA443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7071" w14:textId="77777777" w:rsidR="00FF693C" w:rsidRDefault="004A1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449C" w14:textId="77777777" w:rsidR="00FF693C" w:rsidRDefault="004A1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8F39" w14:textId="77777777" w:rsidR="00FF693C" w:rsidRDefault="004A1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C2F"/>
    <w:multiLevelType w:val="hybridMultilevel"/>
    <w:tmpl w:val="1B36424C"/>
    <w:lvl w:ilvl="0" w:tplc="119E230C">
      <w:start w:val="1"/>
      <w:numFmt w:val="decimal"/>
      <w:lvlText w:val="(%1)"/>
      <w:lvlJc w:val="left"/>
      <w:pPr>
        <w:ind w:left="720" w:hanging="360"/>
      </w:pPr>
      <w:rPr>
        <w:rFonts w:hint="default"/>
      </w:rPr>
    </w:lvl>
    <w:lvl w:ilvl="1" w:tplc="D2BAAECE" w:tentative="1">
      <w:start w:val="1"/>
      <w:numFmt w:val="lowerLetter"/>
      <w:lvlText w:val="%2."/>
      <w:lvlJc w:val="left"/>
      <w:pPr>
        <w:ind w:left="1440" w:hanging="360"/>
      </w:pPr>
    </w:lvl>
    <w:lvl w:ilvl="2" w:tplc="9E76B4A0" w:tentative="1">
      <w:start w:val="1"/>
      <w:numFmt w:val="lowerRoman"/>
      <w:lvlText w:val="%3."/>
      <w:lvlJc w:val="right"/>
      <w:pPr>
        <w:ind w:left="2160" w:hanging="180"/>
      </w:pPr>
    </w:lvl>
    <w:lvl w:ilvl="3" w:tplc="06ECF562" w:tentative="1">
      <w:start w:val="1"/>
      <w:numFmt w:val="decimal"/>
      <w:lvlText w:val="%4."/>
      <w:lvlJc w:val="left"/>
      <w:pPr>
        <w:ind w:left="2880" w:hanging="360"/>
      </w:pPr>
    </w:lvl>
    <w:lvl w:ilvl="4" w:tplc="6C42B54E" w:tentative="1">
      <w:start w:val="1"/>
      <w:numFmt w:val="lowerLetter"/>
      <w:lvlText w:val="%5."/>
      <w:lvlJc w:val="left"/>
      <w:pPr>
        <w:ind w:left="3600" w:hanging="360"/>
      </w:pPr>
    </w:lvl>
    <w:lvl w:ilvl="5" w:tplc="F0C09018" w:tentative="1">
      <w:start w:val="1"/>
      <w:numFmt w:val="lowerRoman"/>
      <w:lvlText w:val="%6."/>
      <w:lvlJc w:val="right"/>
      <w:pPr>
        <w:ind w:left="4320" w:hanging="180"/>
      </w:pPr>
    </w:lvl>
    <w:lvl w:ilvl="6" w:tplc="57CCC9A8" w:tentative="1">
      <w:start w:val="1"/>
      <w:numFmt w:val="decimal"/>
      <w:lvlText w:val="%7."/>
      <w:lvlJc w:val="left"/>
      <w:pPr>
        <w:ind w:left="5040" w:hanging="360"/>
      </w:pPr>
    </w:lvl>
    <w:lvl w:ilvl="7" w:tplc="D1903530" w:tentative="1">
      <w:start w:val="1"/>
      <w:numFmt w:val="lowerLetter"/>
      <w:lvlText w:val="%8."/>
      <w:lvlJc w:val="left"/>
      <w:pPr>
        <w:ind w:left="5760" w:hanging="360"/>
      </w:pPr>
    </w:lvl>
    <w:lvl w:ilvl="8" w:tplc="F3768C26" w:tentative="1">
      <w:start w:val="1"/>
      <w:numFmt w:val="lowerRoman"/>
      <w:lvlText w:val="%9."/>
      <w:lvlJc w:val="right"/>
      <w:pPr>
        <w:ind w:left="6480" w:hanging="180"/>
      </w:pPr>
    </w:lvl>
  </w:abstractNum>
  <w:abstractNum w:abstractNumId="1" w15:restartNumberingAfterBreak="0">
    <w:nsid w:val="20FA4262"/>
    <w:multiLevelType w:val="hybridMultilevel"/>
    <w:tmpl w:val="D15C2EDC"/>
    <w:lvl w:ilvl="0" w:tplc="D18A2D6C">
      <w:start w:val="1"/>
      <w:numFmt w:val="bullet"/>
      <w:lvlText w:val=""/>
      <w:lvlJc w:val="left"/>
      <w:pPr>
        <w:ind w:left="720" w:hanging="360"/>
      </w:pPr>
      <w:rPr>
        <w:rFonts w:ascii="Symbol" w:hAnsi="Symbol" w:hint="default"/>
      </w:rPr>
    </w:lvl>
    <w:lvl w:ilvl="1" w:tplc="FDDEDBB8" w:tentative="1">
      <w:start w:val="1"/>
      <w:numFmt w:val="bullet"/>
      <w:lvlText w:val="o"/>
      <w:lvlJc w:val="left"/>
      <w:pPr>
        <w:ind w:left="1440" w:hanging="360"/>
      </w:pPr>
      <w:rPr>
        <w:rFonts w:ascii="Courier New" w:hAnsi="Courier New" w:cs="Courier New" w:hint="default"/>
      </w:rPr>
    </w:lvl>
    <w:lvl w:ilvl="2" w:tplc="C10CA4E6" w:tentative="1">
      <w:start w:val="1"/>
      <w:numFmt w:val="bullet"/>
      <w:lvlText w:val=""/>
      <w:lvlJc w:val="left"/>
      <w:pPr>
        <w:ind w:left="2160" w:hanging="360"/>
      </w:pPr>
      <w:rPr>
        <w:rFonts w:ascii="Wingdings" w:hAnsi="Wingdings" w:hint="default"/>
      </w:rPr>
    </w:lvl>
    <w:lvl w:ilvl="3" w:tplc="7EC0FA80" w:tentative="1">
      <w:start w:val="1"/>
      <w:numFmt w:val="bullet"/>
      <w:lvlText w:val=""/>
      <w:lvlJc w:val="left"/>
      <w:pPr>
        <w:ind w:left="2880" w:hanging="360"/>
      </w:pPr>
      <w:rPr>
        <w:rFonts w:ascii="Symbol" w:hAnsi="Symbol" w:hint="default"/>
      </w:rPr>
    </w:lvl>
    <w:lvl w:ilvl="4" w:tplc="91222C1C" w:tentative="1">
      <w:start w:val="1"/>
      <w:numFmt w:val="bullet"/>
      <w:lvlText w:val="o"/>
      <w:lvlJc w:val="left"/>
      <w:pPr>
        <w:ind w:left="3600" w:hanging="360"/>
      </w:pPr>
      <w:rPr>
        <w:rFonts w:ascii="Courier New" w:hAnsi="Courier New" w:cs="Courier New" w:hint="default"/>
      </w:rPr>
    </w:lvl>
    <w:lvl w:ilvl="5" w:tplc="8F32FF5C" w:tentative="1">
      <w:start w:val="1"/>
      <w:numFmt w:val="bullet"/>
      <w:lvlText w:val=""/>
      <w:lvlJc w:val="left"/>
      <w:pPr>
        <w:ind w:left="4320" w:hanging="360"/>
      </w:pPr>
      <w:rPr>
        <w:rFonts w:ascii="Wingdings" w:hAnsi="Wingdings" w:hint="default"/>
      </w:rPr>
    </w:lvl>
    <w:lvl w:ilvl="6" w:tplc="202C7E6E" w:tentative="1">
      <w:start w:val="1"/>
      <w:numFmt w:val="bullet"/>
      <w:lvlText w:val=""/>
      <w:lvlJc w:val="left"/>
      <w:pPr>
        <w:ind w:left="5040" w:hanging="360"/>
      </w:pPr>
      <w:rPr>
        <w:rFonts w:ascii="Symbol" w:hAnsi="Symbol" w:hint="default"/>
      </w:rPr>
    </w:lvl>
    <w:lvl w:ilvl="7" w:tplc="E654E88A" w:tentative="1">
      <w:start w:val="1"/>
      <w:numFmt w:val="bullet"/>
      <w:lvlText w:val="o"/>
      <w:lvlJc w:val="left"/>
      <w:pPr>
        <w:ind w:left="5760" w:hanging="360"/>
      </w:pPr>
      <w:rPr>
        <w:rFonts w:ascii="Courier New" w:hAnsi="Courier New" w:cs="Courier New" w:hint="default"/>
      </w:rPr>
    </w:lvl>
    <w:lvl w:ilvl="8" w:tplc="B9F20E7A" w:tentative="1">
      <w:start w:val="1"/>
      <w:numFmt w:val="bullet"/>
      <w:lvlText w:val=""/>
      <w:lvlJc w:val="left"/>
      <w:pPr>
        <w:ind w:left="6480" w:hanging="360"/>
      </w:pPr>
      <w:rPr>
        <w:rFonts w:ascii="Wingdings" w:hAnsi="Wingdings" w:hint="default"/>
      </w:rPr>
    </w:lvl>
  </w:abstractNum>
  <w:abstractNum w:abstractNumId="2" w15:restartNumberingAfterBreak="0">
    <w:nsid w:val="3F473CED"/>
    <w:multiLevelType w:val="hybridMultilevel"/>
    <w:tmpl w:val="21AAB8F6"/>
    <w:lvl w:ilvl="0" w:tplc="F97CA740">
      <w:start w:val="1"/>
      <w:numFmt w:val="lowerRoman"/>
      <w:lvlText w:val="%1."/>
      <w:lvlJc w:val="left"/>
      <w:pPr>
        <w:ind w:left="1080" w:hanging="720"/>
      </w:pPr>
      <w:rPr>
        <w:rFonts w:hint="default"/>
      </w:rPr>
    </w:lvl>
    <w:lvl w:ilvl="1" w:tplc="B8345CAC" w:tentative="1">
      <w:start w:val="1"/>
      <w:numFmt w:val="lowerLetter"/>
      <w:lvlText w:val="%2."/>
      <w:lvlJc w:val="left"/>
      <w:pPr>
        <w:ind w:left="1440" w:hanging="360"/>
      </w:pPr>
    </w:lvl>
    <w:lvl w:ilvl="2" w:tplc="BC44358E" w:tentative="1">
      <w:start w:val="1"/>
      <w:numFmt w:val="lowerRoman"/>
      <w:lvlText w:val="%3."/>
      <w:lvlJc w:val="right"/>
      <w:pPr>
        <w:ind w:left="2160" w:hanging="180"/>
      </w:pPr>
    </w:lvl>
    <w:lvl w:ilvl="3" w:tplc="D49AACF4" w:tentative="1">
      <w:start w:val="1"/>
      <w:numFmt w:val="decimal"/>
      <w:lvlText w:val="%4."/>
      <w:lvlJc w:val="left"/>
      <w:pPr>
        <w:ind w:left="2880" w:hanging="360"/>
      </w:pPr>
    </w:lvl>
    <w:lvl w:ilvl="4" w:tplc="BA7CDBF4" w:tentative="1">
      <w:start w:val="1"/>
      <w:numFmt w:val="lowerLetter"/>
      <w:lvlText w:val="%5."/>
      <w:lvlJc w:val="left"/>
      <w:pPr>
        <w:ind w:left="3600" w:hanging="360"/>
      </w:pPr>
    </w:lvl>
    <w:lvl w:ilvl="5" w:tplc="D6A037C2" w:tentative="1">
      <w:start w:val="1"/>
      <w:numFmt w:val="lowerRoman"/>
      <w:lvlText w:val="%6."/>
      <w:lvlJc w:val="right"/>
      <w:pPr>
        <w:ind w:left="4320" w:hanging="180"/>
      </w:pPr>
    </w:lvl>
    <w:lvl w:ilvl="6" w:tplc="A0BA7E88" w:tentative="1">
      <w:start w:val="1"/>
      <w:numFmt w:val="decimal"/>
      <w:lvlText w:val="%7."/>
      <w:lvlJc w:val="left"/>
      <w:pPr>
        <w:ind w:left="5040" w:hanging="360"/>
      </w:pPr>
    </w:lvl>
    <w:lvl w:ilvl="7" w:tplc="A4FA8D76" w:tentative="1">
      <w:start w:val="1"/>
      <w:numFmt w:val="lowerLetter"/>
      <w:lvlText w:val="%8."/>
      <w:lvlJc w:val="left"/>
      <w:pPr>
        <w:ind w:left="5760" w:hanging="360"/>
      </w:pPr>
    </w:lvl>
    <w:lvl w:ilvl="8" w:tplc="7CC65026" w:tentative="1">
      <w:start w:val="1"/>
      <w:numFmt w:val="lowerRoman"/>
      <w:lvlText w:val="%9."/>
      <w:lvlJc w:val="right"/>
      <w:pPr>
        <w:ind w:left="6480" w:hanging="180"/>
      </w:pPr>
    </w:lvl>
  </w:abstractNum>
  <w:num w:numId="1" w16cid:durableId="79106066">
    <w:abstractNumId w:val="0"/>
  </w:num>
  <w:num w:numId="2" w16cid:durableId="1140463990">
    <w:abstractNumId w:val="2"/>
  </w:num>
  <w:num w:numId="3" w16cid:durableId="1174105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7D"/>
    <w:rsid w:val="004A1489"/>
    <w:rsid w:val="008E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81B"/>
    <w:pPr>
      <w:tabs>
        <w:tab w:val="center" w:pos="4680"/>
        <w:tab w:val="right" w:pos="9360"/>
      </w:tabs>
      <w:spacing w:line="240" w:lineRule="auto"/>
    </w:pPr>
  </w:style>
  <w:style w:type="character" w:customStyle="1" w:styleId="HeaderChar">
    <w:name w:val="Header Char"/>
    <w:basedOn w:val="DefaultParagraphFont"/>
    <w:link w:val="Header"/>
    <w:uiPriority w:val="99"/>
    <w:rsid w:val="001C381B"/>
  </w:style>
  <w:style w:type="paragraph" w:styleId="Footer">
    <w:name w:val="footer"/>
    <w:basedOn w:val="Normal"/>
    <w:link w:val="FooterChar"/>
    <w:uiPriority w:val="99"/>
    <w:unhideWhenUsed/>
    <w:rsid w:val="001C381B"/>
    <w:pPr>
      <w:tabs>
        <w:tab w:val="center" w:pos="4680"/>
        <w:tab w:val="right" w:pos="9360"/>
      </w:tabs>
      <w:spacing w:line="240" w:lineRule="auto"/>
    </w:pPr>
  </w:style>
  <w:style w:type="character" w:customStyle="1" w:styleId="FooterChar">
    <w:name w:val="Footer Char"/>
    <w:basedOn w:val="DefaultParagraphFont"/>
    <w:link w:val="Footer"/>
    <w:uiPriority w:val="99"/>
    <w:rsid w:val="001C381B"/>
  </w:style>
  <w:style w:type="character" w:styleId="PageNumber">
    <w:name w:val="page number"/>
    <w:basedOn w:val="DefaultParagraphFont"/>
    <w:uiPriority w:val="99"/>
    <w:semiHidden/>
    <w:unhideWhenUsed/>
    <w:rsid w:val="001C381B"/>
  </w:style>
  <w:style w:type="paragraph" w:styleId="FootnoteText">
    <w:name w:val="footnote text"/>
    <w:link w:val="FootnoteTextChar"/>
    <w:uiPriority w:val="99"/>
    <w:unhideWhenUsed/>
    <w:rsid w:val="001C381B"/>
    <w:pPr>
      <w:spacing w:line="240" w:lineRule="auto"/>
    </w:pPr>
    <w:rPr>
      <w:szCs w:val="20"/>
    </w:rPr>
  </w:style>
  <w:style w:type="character" w:customStyle="1" w:styleId="FootnoteTextChar">
    <w:name w:val="Footnote Text Char"/>
    <w:basedOn w:val="DefaultParagraphFont"/>
    <w:link w:val="FootnoteText"/>
    <w:uiPriority w:val="99"/>
    <w:rsid w:val="001C381B"/>
    <w:rPr>
      <w:szCs w:val="20"/>
    </w:rPr>
  </w:style>
  <w:style w:type="character" w:styleId="FootnoteReference">
    <w:name w:val="footnote reference"/>
    <w:basedOn w:val="DefaultParagraphFont"/>
    <w:uiPriority w:val="99"/>
    <w:semiHidden/>
    <w:unhideWhenUsed/>
    <w:rsid w:val="00D13B28"/>
    <w:rPr>
      <w:vertAlign w:val="superscript"/>
    </w:rPr>
  </w:style>
  <w:style w:type="paragraph" w:styleId="ListParagraph">
    <w:name w:val="List Paragraph"/>
    <w:basedOn w:val="Normal"/>
    <w:uiPriority w:val="34"/>
    <w:qFormat/>
    <w:rsid w:val="002F5DAB"/>
    <w:pPr>
      <w:ind w:left="720"/>
      <w:contextualSpacing/>
    </w:pPr>
  </w:style>
  <w:style w:type="paragraph" w:styleId="NormalWeb">
    <w:name w:val="Normal (Web)"/>
    <w:basedOn w:val="Normal"/>
    <w:uiPriority w:val="99"/>
    <w:unhideWhenUsed/>
    <w:rsid w:val="004F093B"/>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it">
    <w:name w:val="ss_it"/>
    <w:basedOn w:val="DefaultParagraphFont"/>
    <w:rsid w:val="006F34D0"/>
  </w:style>
  <w:style w:type="paragraph" w:styleId="Revision">
    <w:name w:val="Revision"/>
    <w:hidden/>
    <w:uiPriority w:val="99"/>
    <w:semiHidden/>
    <w:rsid w:val="00BA52E8"/>
    <w:pPr>
      <w:spacing w:line="240" w:lineRule="auto"/>
    </w:pPr>
  </w:style>
  <w:style w:type="character" w:styleId="CommentReference">
    <w:name w:val="annotation reference"/>
    <w:basedOn w:val="DefaultParagraphFont"/>
    <w:uiPriority w:val="99"/>
    <w:semiHidden/>
    <w:unhideWhenUsed/>
    <w:rsid w:val="004145E2"/>
    <w:rPr>
      <w:sz w:val="16"/>
      <w:szCs w:val="16"/>
    </w:rPr>
  </w:style>
  <w:style w:type="paragraph" w:styleId="CommentText">
    <w:name w:val="annotation text"/>
    <w:basedOn w:val="Normal"/>
    <w:link w:val="CommentTextChar"/>
    <w:uiPriority w:val="99"/>
    <w:unhideWhenUsed/>
    <w:rsid w:val="004145E2"/>
    <w:pPr>
      <w:spacing w:line="240" w:lineRule="auto"/>
    </w:pPr>
    <w:rPr>
      <w:sz w:val="20"/>
      <w:szCs w:val="20"/>
    </w:rPr>
  </w:style>
  <w:style w:type="character" w:customStyle="1" w:styleId="CommentTextChar">
    <w:name w:val="Comment Text Char"/>
    <w:basedOn w:val="DefaultParagraphFont"/>
    <w:link w:val="CommentText"/>
    <w:uiPriority w:val="99"/>
    <w:rsid w:val="004145E2"/>
    <w:rPr>
      <w:sz w:val="20"/>
      <w:szCs w:val="20"/>
    </w:rPr>
  </w:style>
  <w:style w:type="paragraph" w:styleId="CommentSubject">
    <w:name w:val="annotation subject"/>
    <w:basedOn w:val="CommentText"/>
    <w:next w:val="CommentText"/>
    <w:link w:val="CommentSubjectChar"/>
    <w:uiPriority w:val="99"/>
    <w:semiHidden/>
    <w:unhideWhenUsed/>
    <w:rsid w:val="004145E2"/>
    <w:rPr>
      <w:b/>
      <w:bCs/>
    </w:rPr>
  </w:style>
  <w:style w:type="character" w:customStyle="1" w:styleId="CommentSubjectChar">
    <w:name w:val="Comment Subject Char"/>
    <w:basedOn w:val="CommentTextChar"/>
    <w:link w:val="CommentSubject"/>
    <w:uiPriority w:val="99"/>
    <w:semiHidden/>
    <w:rsid w:val="00414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9996</Words>
  <Characters>57583</Characters>
  <Application>Microsoft Office Word</Application>
  <DocSecurity>0</DocSecurity>
  <Lines>1107</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2023-10-19T21:17:00Z</dcterms:created>
  <dcterms:modified xsi:type="dcterms:W3CDTF">2023-10-19T21:17:00Z</dcterms:modified>
</cp:coreProperties>
</file>