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CEF2" w14:textId="452D4233" w:rsidR="006412E7" w:rsidRDefault="00857CB0" w:rsidP="005A1610">
      <w:pPr>
        <w:spacing w:line="240" w:lineRule="auto"/>
        <w:jc w:val="center"/>
        <w:rPr>
          <w:rFonts w:ascii="Century Schoolbook" w:hAnsi="Century Schoolbook"/>
          <w:sz w:val="20"/>
        </w:rPr>
      </w:pPr>
      <w:r>
        <w:rPr>
          <w:rFonts w:ascii="Century Schoolbook" w:hAnsi="Century Schoolbook"/>
          <w:sz w:val="20"/>
        </w:rPr>
        <w:t>Filed 11/15/23</w:t>
      </w:r>
      <w:r w:rsidR="005A1610" w:rsidRPr="005A1610">
        <w:rPr>
          <w:rFonts w:ascii="Century Schoolbook" w:hAnsi="Century Schoolbook"/>
          <w:sz w:val="20"/>
        </w:rPr>
        <w:t>; REVIEW GRANTED.  See Cal. Rules of Court, rules 8.1105 and 8.1115 (and corresponding Comment, par. 2, concerning rule 8.1115(e)(3)).</w:t>
      </w:r>
    </w:p>
    <w:p w14:paraId="343F8843" w14:textId="045B4896" w:rsidR="00857CB0" w:rsidRDefault="00857CB0" w:rsidP="00857CB0">
      <w:pPr>
        <w:spacing w:line="240" w:lineRule="auto"/>
        <w:jc w:val="center"/>
        <w:rPr>
          <w:rFonts w:ascii="Century Schoolbook" w:hAnsi="Century Schoolbook"/>
          <w:b/>
        </w:rPr>
      </w:pPr>
      <w:r>
        <w:rPr>
          <w:rFonts w:ascii="Century Schoolbook" w:hAnsi="Century Schoolbook"/>
          <w:b/>
        </w:rPr>
        <w:t>CERTIFIED FOR PUBLICATION</w:t>
      </w:r>
    </w:p>
    <w:p w14:paraId="37DF783D" w14:textId="77777777" w:rsidR="00857CB0" w:rsidRDefault="00857CB0" w:rsidP="00857CB0">
      <w:pPr>
        <w:spacing w:line="240" w:lineRule="auto"/>
        <w:jc w:val="center"/>
        <w:rPr>
          <w:rFonts w:ascii="Century Schoolbook" w:hAnsi="Century Schoolbook"/>
        </w:rPr>
      </w:pPr>
    </w:p>
    <w:p w14:paraId="191BA08B" w14:textId="77777777" w:rsidR="00857CB0" w:rsidRPr="00857CB0" w:rsidRDefault="00857CB0" w:rsidP="00857CB0">
      <w:pPr>
        <w:spacing w:line="240" w:lineRule="auto"/>
        <w:jc w:val="center"/>
        <w:rPr>
          <w:rFonts w:ascii="Century Schoolbook" w:hAnsi="Century Schoolbook"/>
        </w:rPr>
      </w:pPr>
    </w:p>
    <w:p w14:paraId="7A13FDD2" w14:textId="07FE9599" w:rsidR="00AE59ED" w:rsidRPr="00AD7DA6" w:rsidRDefault="00514AB4" w:rsidP="006412E7">
      <w:pPr>
        <w:spacing w:line="240" w:lineRule="auto"/>
        <w:jc w:val="center"/>
        <w:rPr>
          <w:rFonts w:ascii="Century Schoolbook" w:hAnsi="Century Schoolbook"/>
        </w:rPr>
      </w:pPr>
      <w:r w:rsidRPr="00AD7DA6">
        <w:rPr>
          <w:rFonts w:ascii="Century Schoolbook" w:hAnsi="Century Schoolbook"/>
        </w:rPr>
        <w:t>IN THE COURT OF APPEAL OF THE STATE OF CALIFORNIA</w:t>
      </w:r>
    </w:p>
    <w:p w14:paraId="6BFD63D0" w14:textId="77777777" w:rsidR="00514AB4" w:rsidRPr="00AD7DA6" w:rsidRDefault="00514AB4" w:rsidP="00514AB4">
      <w:pPr>
        <w:spacing w:line="240" w:lineRule="auto"/>
        <w:jc w:val="center"/>
        <w:rPr>
          <w:rFonts w:ascii="Century Schoolbook" w:hAnsi="Century Schoolbook"/>
        </w:rPr>
      </w:pPr>
    </w:p>
    <w:p w14:paraId="72EB0C95" w14:textId="77777777" w:rsidR="00514AB4" w:rsidRPr="00AD7DA6" w:rsidRDefault="00514AB4" w:rsidP="00514AB4">
      <w:pPr>
        <w:spacing w:line="240" w:lineRule="auto"/>
        <w:jc w:val="center"/>
        <w:rPr>
          <w:rFonts w:ascii="Century Schoolbook" w:hAnsi="Century Schoolbook"/>
        </w:rPr>
      </w:pPr>
      <w:r w:rsidRPr="00AD7DA6">
        <w:rPr>
          <w:rFonts w:ascii="Century Schoolbook" w:hAnsi="Century Schoolbook"/>
        </w:rPr>
        <w:t>FIRST APPELLATE DISTRICT</w:t>
      </w:r>
    </w:p>
    <w:p w14:paraId="3E4EB13B" w14:textId="77777777" w:rsidR="00514AB4" w:rsidRPr="00AD7DA6" w:rsidRDefault="00514AB4" w:rsidP="00514AB4">
      <w:pPr>
        <w:spacing w:line="240" w:lineRule="auto"/>
        <w:jc w:val="center"/>
        <w:rPr>
          <w:rFonts w:ascii="Century Schoolbook" w:hAnsi="Century Schoolbook"/>
        </w:rPr>
      </w:pPr>
    </w:p>
    <w:p w14:paraId="6BF1FD12" w14:textId="77777777" w:rsidR="00514AB4" w:rsidRPr="00AD7DA6" w:rsidRDefault="00514AB4" w:rsidP="00514AB4">
      <w:pPr>
        <w:spacing w:line="240" w:lineRule="auto"/>
        <w:jc w:val="center"/>
        <w:rPr>
          <w:rFonts w:ascii="Century Schoolbook" w:hAnsi="Century Schoolbook"/>
        </w:rPr>
      </w:pPr>
      <w:r w:rsidRPr="00AD7DA6">
        <w:rPr>
          <w:rFonts w:ascii="Century Schoolbook" w:hAnsi="Century Schoolbook"/>
        </w:rPr>
        <w:t>DIVISION ONE</w:t>
      </w:r>
    </w:p>
    <w:p w14:paraId="3D86972C" w14:textId="77777777" w:rsidR="00514AB4" w:rsidRPr="00AD7DA6" w:rsidRDefault="00514AB4" w:rsidP="00514AB4">
      <w:pPr>
        <w:spacing w:line="240" w:lineRule="auto"/>
        <w:jc w:val="center"/>
        <w:rPr>
          <w:rFonts w:ascii="Century Schoolbook" w:hAnsi="Century Schoolbook"/>
        </w:rPr>
      </w:pPr>
    </w:p>
    <w:p w14:paraId="6F6241BB" w14:textId="77777777" w:rsidR="00514AB4" w:rsidRPr="00AD7DA6" w:rsidRDefault="00514AB4" w:rsidP="00514AB4">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124769" w:rsidRPr="00AD7DA6" w14:paraId="12C04521" w14:textId="77777777" w:rsidTr="00D42196">
        <w:tc>
          <w:tcPr>
            <w:tcW w:w="4680" w:type="dxa"/>
            <w:tcBorders>
              <w:right w:val="single" w:sz="4" w:space="0" w:color="auto"/>
            </w:tcBorders>
            <w:shd w:val="clear" w:color="auto" w:fill="auto"/>
          </w:tcPr>
          <w:p w14:paraId="46C50BF3" w14:textId="2BF2AC6B" w:rsidR="00124769" w:rsidRPr="00AD7DA6" w:rsidRDefault="007576FA" w:rsidP="00D42196">
            <w:pPr>
              <w:spacing w:after="120" w:line="240" w:lineRule="auto"/>
              <w:rPr>
                <w:rFonts w:ascii="Century Schoolbook" w:hAnsi="Century Schoolbook"/>
              </w:rPr>
            </w:pPr>
            <w:r>
              <w:rPr>
                <w:rFonts w:ascii="Century Schoolbook" w:hAnsi="Century Schoolbook"/>
              </w:rPr>
              <w:t xml:space="preserve">THE </w:t>
            </w:r>
            <w:r w:rsidR="00124769">
              <w:rPr>
                <w:rFonts w:ascii="Century Schoolbook" w:hAnsi="Century Schoolbook"/>
              </w:rPr>
              <w:t>PEOPLE</w:t>
            </w:r>
            <w:r w:rsidR="00124769" w:rsidRPr="00AD7DA6">
              <w:rPr>
                <w:rFonts w:ascii="Century Schoolbook" w:hAnsi="Century Schoolbook"/>
              </w:rPr>
              <w:t>,</w:t>
            </w:r>
          </w:p>
          <w:p w14:paraId="106832A3" w14:textId="77777777" w:rsidR="00124769" w:rsidRPr="00AD7DA6" w:rsidRDefault="00124769" w:rsidP="00D42196">
            <w:pPr>
              <w:spacing w:after="120" w:line="240" w:lineRule="auto"/>
              <w:rPr>
                <w:rFonts w:ascii="Century Schoolbook" w:hAnsi="Century Schoolbook"/>
              </w:rPr>
            </w:pPr>
            <w:r w:rsidRPr="00AD7DA6">
              <w:rPr>
                <w:rFonts w:ascii="Century Schoolbook" w:hAnsi="Century Schoolbook"/>
              </w:rPr>
              <w:tab/>
              <w:t>Plaintiff and Responden</w:t>
            </w:r>
            <w:r>
              <w:rPr>
                <w:rFonts w:ascii="Century Schoolbook" w:hAnsi="Century Schoolbook"/>
              </w:rPr>
              <w:t>t</w:t>
            </w:r>
            <w:r w:rsidRPr="00AD7DA6">
              <w:rPr>
                <w:rFonts w:ascii="Century Schoolbook" w:hAnsi="Century Schoolbook"/>
              </w:rPr>
              <w:t>,</w:t>
            </w:r>
          </w:p>
          <w:p w14:paraId="086B4407" w14:textId="77777777" w:rsidR="00124769" w:rsidRPr="00AD7DA6" w:rsidRDefault="00124769" w:rsidP="00D42196">
            <w:pPr>
              <w:spacing w:after="120" w:line="240" w:lineRule="auto"/>
              <w:rPr>
                <w:rFonts w:ascii="Century Schoolbook" w:hAnsi="Century Schoolbook"/>
              </w:rPr>
            </w:pPr>
            <w:r w:rsidRPr="00AD7DA6">
              <w:rPr>
                <w:rFonts w:ascii="Century Schoolbook" w:hAnsi="Century Schoolbook"/>
              </w:rPr>
              <w:t>v.</w:t>
            </w:r>
          </w:p>
          <w:p w14:paraId="161D657C" w14:textId="55F3EBC0" w:rsidR="00124769" w:rsidRPr="00AD7DA6" w:rsidRDefault="003C618B" w:rsidP="00D42196">
            <w:pPr>
              <w:spacing w:after="120" w:line="240" w:lineRule="auto"/>
              <w:rPr>
                <w:rFonts w:ascii="Century Schoolbook" w:hAnsi="Century Schoolbook"/>
              </w:rPr>
            </w:pPr>
            <w:r>
              <w:rPr>
                <w:rFonts w:ascii="Century Schoolbook" w:hAnsi="Century Schoolbook"/>
              </w:rPr>
              <w:t>LUCIO VILLEGAS</w:t>
            </w:r>
            <w:r w:rsidR="00124769">
              <w:rPr>
                <w:rFonts w:ascii="Century Schoolbook" w:hAnsi="Century Schoolbook"/>
              </w:rPr>
              <w:t>,</w:t>
            </w:r>
          </w:p>
          <w:p w14:paraId="00CB0E95" w14:textId="77777777" w:rsidR="00124769" w:rsidRPr="00AD7DA6" w:rsidRDefault="00124769" w:rsidP="00D42196">
            <w:pPr>
              <w:spacing w:after="120" w:line="240" w:lineRule="auto"/>
              <w:rPr>
                <w:rFonts w:ascii="Century Schoolbook" w:hAnsi="Century Schoolbook"/>
              </w:rPr>
            </w:pPr>
            <w:r w:rsidRPr="00AD7DA6">
              <w:rPr>
                <w:rFonts w:ascii="Century Schoolbook" w:hAnsi="Century Schoolbook"/>
              </w:rPr>
              <w:tab/>
              <w:t>Defendant and Appellant.</w:t>
            </w:r>
          </w:p>
        </w:tc>
        <w:tc>
          <w:tcPr>
            <w:tcW w:w="4680" w:type="dxa"/>
            <w:tcBorders>
              <w:left w:val="single" w:sz="4" w:space="0" w:color="auto"/>
            </w:tcBorders>
            <w:shd w:val="clear" w:color="auto" w:fill="auto"/>
          </w:tcPr>
          <w:p w14:paraId="23AEA05D" w14:textId="77777777" w:rsidR="00124769" w:rsidRPr="00AD7DA6" w:rsidRDefault="00124769" w:rsidP="00D42196">
            <w:pPr>
              <w:spacing w:line="240" w:lineRule="auto"/>
              <w:rPr>
                <w:rFonts w:ascii="Century Schoolbook" w:hAnsi="Century Schoolbook"/>
              </w:rPr>
            </w:pPr>
          </w:p>
          <w:p w14:paraId="7D4ADFB1" w14:textId="44CFBB9D" w:rsidR="00124769" w:rsidRPr="00AD7DA6" w:rsidRDefault="00124769" w:rsidP="00D42196">
            <w:pPr>
              <w:spacing w:line="240" w:lineRule="auto"/>
              <w:rPr>
                <w:rFonts w:ascii="Century Schoolbook" w:hAnsi="Century Schoolbook"/>
              </w:rPr>
            </w:pPr>
            <w:r w:rsidRPr="00AD7DA6">
              <w:rPr>
                <w:rFonts w:ascii="Century Schoolbook" w:hAnsi="Century Schoolbook"/>
              </w:rPr>
              <w:t xml:space="preserve">      A</w:t>
            </w:r>
            <w:r>
              <w:rPr>
                <w:rFonts w:ascii="Century Schoolbook" w:hAnsi="Century Schoolbook"/>
              </w:rPr>
              <w:t>1</w:t>
            </w:r>
            <w:r w:rsidR="001C1990">
              <w:rPr>
                <w:rFonts w:ascii="Century Schoolbook" w:hAnsi="Century Schoolbook"/>
              </w:rPr>
              <w:t>6</w:t>
            </w:r>
            <w:r w:rsidR="003C618B">
              <w:rPr>
                <w:rFonts w:ascii="Century Schoolbook" w:hAnsi="Century Schoolbook"/>
              </w:rPr>
              <w:t>4370</w:t>
            </w:r>
          </w:p>
          <w:p w14:paraId="3C7491EF" w14:textId="77777777" w:rsidR="00124769" w:rsidRPr="00AD7DA6" w:rsidRDefault="00124769" w:rsidP="00D42196">
            <w:pPr>
              <w:spacing w:line="240" w:lineRule="auto"/>
              <w:rPr>
                <w:rFonts w:ascii="Century Schoolbook" w:hAnsi="Century Schoolbook"/>
              </w:rPr>
            </w:pPr>
          </w:p>
          <w:p w14:paraId="5F0F4D06" w14:textId="16C28E09" w:rsidR="00124769" w:rsidRPr="00AD7DA6" w:rsidRDefault="00124769" w:rsidP="00D42196">
            <w:pPr>
              <w:spacing w:line="240" w:lineRule="auto"/>
              <w:rPr>
                <w:rFonts w:ascii="Century Schoolbook" w:hAnsi="Century Schoolbook"/>
              </w:rPr>
            </w:pPr>
            <w:r w:rsidRPr="00AD7DA6">
              <w:rPr>
                <w:rFonts w:ascii="Century Schoolbook" w:hAnsi="Century Schoolbook"/>
              </w:rPr>
              <w:t xml:space="preserve">      (</w:t>
            </w:r>
            <w:r w:rsidR="003C618B">
              <w:rPr>
                <w:rFonts w:ascii="Century Schoolbook" w:hAnsi="Century Schoolbook"/>
              </w:rPr>
              <w:t xml:space="preserve">Napa </w:t>
            </w:r>
            <w:r w:rsidRPr="00AD7DA6">
              <w:rPr>
                <w:rFonts w:ascii="Century Schoolbook" w:hAnsi="Century Schoolbook"/>
              </w:rPr>
              <w:t>County</w:t>
            </w:r>
            <w:r>
              <w:rPr>
                <w:rFonts w:ascii="Century Schoolbook" w:hAnsi="Century Schoolbook"/>
              </w:rPr>
              <w:t xml:space="preserve"> </w:t>
            </w:r>
            <w:r w:rsidR="0001449B">
              <w:rPr>
                <w:rFonts w:ascii="Century Schoolbook" w:hAnsi="Century Schoolbook"/>
              </w:rPr>
              <w:t>Super. Ct.</w:t>
            </w:r>
          </w:p>
          <w:p w14:paraId="5B6026E0" w14:textId="40FBEA9F" w:rsidR="00124769" w:rsidRPr="00AD7DA6" w:rsidRDefault="00124769" w:rsidP="00D42196">
            <w:pPr>
              <w:spacing w:line="240" w:lineRule="auto"/>
              <w:rPr>
                <w:rFonts w:ascii="Century Schoolbook" w:hAnsi="Century Schoolbook"/>
              </w:rPr>
            </w:pPr>
            <w:r w:rsidRPr="00AD7DA6">
              <w:rPr>
                <w:rFonts w:ascii="Century Schoolbook" w:hAnsi="Century Schoolbook"/>
              </w:rPr>
              <w:t xml:space="preserve">      </w:t>
            </w:r>
            <w:r w:rsidR="005D0B88">
              <w:rPr>
                <w:rFonts w:ascii="Century Schoolbook" w:hAnsi="Century Schoolbook"/>
              </w:rPr>
              <w:t xml:space="preserve"> </w:t>
            </w:r>
            <w:r w:rsidR="00A74596">
              <w:rPr>
                <w:rFonts w:ascii="Century Schoolbook" w:hAnsi="Century Schoolbook"/>
              </w:rPr>
              <w:t xml:space="preserve">No. </w:t>
            </w:r>
            <w:r w:rsidR="003C618B">
              <w:rPr>
                <w:rFonts w:ascii="Century Schoolbook" w:hAnsi="Century Schoolbook"/>
              </w:rPr>
              <w:t>19CR001442</w:t>
            </w:r>
            <w:r w:rsidR="007C51FC">
              <w:rPr>
                <w:rFonts w:ascii="Century Schoolbook" w:hAnsi="Century Schoolbook"/>
              </w:rPr>
              <w:t>)</w:t>
            </w:r>
            <w:r w:rsidR="003C618B">
              <w:rPr>
                <w:rFonts w:ascii="Century Schoolbook" w:hAnsi="Century Schoolbook"/>
              </w:rPr>
              <w:t xml:space="preserve"> </w:t>
            </w:r>
          </w:p>
        </w:tc>
      </w:tr>
      <w:tr w:rsidR="00124769" w:rsidRPr="00AD7DA6" w14:paraId="295C21EA" w14:textId="77777777" w:rsidTr="00D42196">
        <w:tc>
          <w:tcPr>
            <w:tcW w:w="4680" w:type="dxa"/>
            <w:tcBorders>
              <w:bottom w:val="single" w:sz="4" w:space="0" w:color="auto"/>
              <w:right w:val="single" w:sz="4" w:space="0" w:color="auto"/>
            </w:tcBorders>
            <w:shd w:val="clear" w:color="auto" w:fill="auto"/>
          </w:tcPr>
          <w:p w14:paraId="7528D016" w14:textId="20F73208" w:rsidR="009216C4" w:rsidRDefault="009216C4" w:rsidP="00D42196">
            <w:pPr>
              <w:spacing w:after="120" w:line="240" w:lineRule="auto"/>
              <w:rPr>
                <w:rFonts w:ascii="Century Schoolbook" w:hAnsi="Century Schoolbook"/>
              </w:rPr>
            </w:pPr>
          </w:p>
        </w:tc>
        <w:tc>
          <w:tcPr>
            <w:tcW w:w="4680" w:type="dxa"/>
            <w:tcBorders>
              <w:left w:val="single" w:sz="4" w:space="0" w:color="auto"/>
            </w:tcBorders>
            <w:shd w:val="clear" w:color="auto" w:fill="auto"/>
          </w:tcPr>
          <w:p w14:paraId="39C3D8AC" w14:textId="3A2490A6" w:rsidR="00124769" w:rsidRPr="00AD7DA6" w:rsidRDefault="00124769" w:rsidP="00D42196">
            <w:pPr>
              <w:spacing w:line="240" w:lineRule="auto"/>
              <w:rPr>
                <w:rFonts w:ascii="Century Schoolbook" w:hAnsi="Century Schoolbook"/>
              </w:rPr>
            </w:pPr>
            <w:r>
              <w:rPr>
                <w:rFonts w:ascii="Century Schoolbook" w:hAnsi="Century Schoolbook"/>
              </w:rPr>
              <w:t xml:space="preserve">       </w:t>
            </w:r>
            <w:r w:rsidRPr="00A1555C">
              <w:rPr>
                <w:rFonts w:ascii="Century Schoolbook" w:hAnsi="Century Schoolbook"/>
              </w:rPr>
              <w:t xml:space="preserve"> </w:t>
            </w:r>
            <w:r w:rsidR="00A74596" w:rsidRPr="00A74596">
              <w:rPr>
                <w:rFonts w:ascii="Century Schoolbook" w:hAnsi="Century Schoolbook"/>
              </w:rPr>
              <w:t xml:space="preserve">  </w:t>
            </w:r>
            <w:r>
              <w:rPr>
                <w:rFonts w:ascii="Century Schoolbook" w:hAnsi="Century Schoolbook"/>
              </w:rPr>
              <w:t xml:space="preserve"> </w:t>
            </w:r>
          </w:p>
        </w:tc>
      </w:tr>
    </w:tbl>
    <w:p w14:paraId="4E8DE945" w14:textId="77777777" w:rsidR="00124769" w:rsidRDefault="00124769" w:rsidP="00124769"/>
    <w:p w14:paraId="71D2C3A3" w14:textId="5BD5D8B6" w:rsidR="00F22428" w:rsidRDefault="00124769" w:rsidP="00BC0A36">
      <w:pPr>
        <w:spacing w:line="360" w:lineRule="auto"/>
        <w:rPr>
          <w:rFonts w:ascii="Century Schoolbook" w:hAnsi="Century Schoolbook"/>
        </w:rPr>
      </w:pPr>
      <w:r>
        <w:tab/>
      </w:r>
      <w:r w:rsidRPr="00A1555C">
        <w:rPr>
          <w:rFonts w:ascii="Century Schoolbook" w:hAnsi="Century Schoolbook"/>
        </w:rPr>
        <w:t xml:space="preserve">Defendant </w:t>
      </w:r>
      <w:r w:rsidR="003F7C1F">
        <w:rPr>
          <w:rFonts w:ascii="Century Schoolbook" w:hAnsi="Century Schoolbook"/>
        </w:rPr>
        <w:t>Lucio Villegas</w:t>
      </w:r>
      <w:r w:rsidRPr="00A1555C">
        <w:rPr>
          <w:rFonts w:ascii="Century Schoolbook" w:hAnsi="Century Schoolbook"/>
        </w:rPr>
        <w:t xml:space="preserve"> </w:t>
      </w:r>
      <w:r w:rsidR="004267FB" w:rsidRPr="004267FB">
        <w:rPr>
          <w:rFonts w:ascii="Century Schoolbook" w:hAnsi="Century Schoolbook"/>
          <w:shd w:val="clear" w:color="auto" w:fill="FFFFFF"/>
        </w:rPr>
        <w:t xml:space="preserve">appeals from </w:t>
      </w:r>
      <w:r w:rsidR="003F7C1F">
        <w:rPr>
          <w:rFonts w:ascii="Century Schoolbook" w:hAnsi="Century Schoolbook"/>
        </w:rPr>
        <w:t xml:space="preserve">a </w:t>
      </w:r>
      <w:r w:rsidR="00E63ABB">
        <w:rPr>
          <w:rFonts w:ascii="Century Schoolbook" w:hAnsi="Century Schoolbook"/>
        </w:rPr>
        <w:t>sentence of 202 years to life</w:t>
      </w:r>
      <w:r w:rsidR="00733B49">
        <w:rPr>
          <w:rFonts w:ascii="Century Schoolbook" w:hAnsi="Century Schoolbook"/>
        </w:rPr>
        <w:t>,</w:t>
      </w:r>
      <w:r w:rsidR="00E63ABB">
        <w:rPr>
          <w:rFonts w:ascii="Century Schoolbook" w:hAnsi="Century Schoolbook"/>
        </w:rPr>
        <w:t xml:space="preserve"> imposed after a </w:t>
      </w:r>
      <w:r w:rsidR="003F7C1F">
        <w:rPr>
          <w:rFonts w:ascii="Century Schoolbook" w:hAnsi="Century Schoolbook"/>
        </w:rPr>
        <w:t>jury f</w:t>
      </w:r>
      <w:r w:rsidR="00E63ABB">
        <w:rPr>
          <w:rFonts w:ascii="Century Schoolbook" w:hAnsi="Century Schoolbook"/>
        </w:rPr>
        <w:t>ound</w:t>
      </w:r>
      <w:r w:rsidR="003F7C1F">
        <w:rPr>
          <w:rFonts w:ascii="Century Schoolbook" w:hAnsi="Century Schoolbook"/>
        </w:rPr>
        <w:t xml:space="preserve"> him guilty of </w:t>
      </w:r>
      <w:r w:rsidR="00E63ABB">
        <w:rPr>
          <w:rFonts w:ascii="Century Schoolbook" w:hAnsi="Century Schoolbook"/>
        </w:rPr>
        <w:t>six counts of lewd and lascivious acts on children under 14</w:t>
      </w:r>
      <w:r w:rsidR="003F7C1F">
        <w:rPr>
          <w:rFonts w:ascii="Century Schoolbook" w:hAnsi="Century Schoolbook"/>
        </w:rPr>
        <w:t xml:space="preserve"> </w:t>
      </w:r>
      <w:r w:rsidR="00DC05B8">
        <w:rPr>
          <w:rFonts w:ascii="Century Schoolbook" w:hAnsi="Century Schoolbook"/>
        </w:rPr>
        <w:t>(his tenants’ daughters, Jane Does One and Two)</w:t>
      </w:r>
      <w:r w:rsidR="00733B49">
        <w:rPr>
          <w:rFonts w:ascii="Century Schoolbook" w:hAnsi="Century Schoolbook"/>
        </w:rPr>
        <w:t>,</w:t>
      </w:r>
      <w:r w:rsidR="003F7C1F">
        <w:rPr>
          <w:rFonts w:ascii="Century Schoolbook" w:hAnsi="Century Schoolbook"/>
        </w:rPr>
        <w:t xml:space="preserve"> </w:t>
      </w:r>
      <w:r w:rsidR="00E63ABB">
        <w:rPr>
          <w:rFonts w:ascii="Century Schoolbook" w:hAnsi="Century Schoolbook"/>
        </w:rPr>
        <w:t>three</w:t>
      </w:r>
      <w:r w:rsidR="00DC05B8">
        <w:rPr>
          <w:rFonts w:ascii="Century Schoolbook" w:hAnsi="Century Schoolbook"/>
        </w:rPr>
        <w:t xml:space="preserve"> </w:t>
      </w:r>
      <w:r w:rsidR="00E63ABB">
        <w:rPr>
          <w:rFonts w:ascii="Century Schoolbook" w:hAnsi="Century Schoolbook"/>
        </w:rPr>
        <w:t>sex</w:t>
      </w:r>
      <w:r w:rsidR="00DC05B8">
        <w:rPr>
          <w:rFonts w:ascii="Century Schoolbook" w:hAnsi="Century Schoolbook"/>
        </w:rPr>
        <w:t>ual offenses</w:t>
      </w:r>
      <w:r w:rsidR="00E63ABB">
        <w:rPr>
          <w:rFonts w:ascii="Century Schoolbook" w:hAnsi="Century Schoolbook"/>
        </w:rPr>
        <w:t xml:space="preserve"> involving his </w:t>
      </w:r>
      <w:r w:rsidR="00B345EB">
        <w:rPr>
          <w:rFonts w:ascii="Century Schoolbook" w:hAnsi="Century Schoolbook"/>
        </w:rPr>
        <w:t xml:space="preserve">own </w:t>
      </w:r>
      <w:r w:rsidR="00E63ABB">
        <w:rPr>
          <w:rFonts w:ascii="Century Schoolbook" w:hAnsi="Century Schoolbook"/>
        </w:rPr>
        <w:t>daughter</w:t>
      </w:r>
      <w:r w:rsidR="00D15BBA">
        <w:rPr>
          <w:rFonts w:ascii="Century Schoolbook" w:hAnsi="Century Schoolbook"/>
        </w:rPr>
        <w:t xml:space="preserve"> </w:t>
      </w:r>
      <w:r w:rsidR="00DC05B8">
        <w:rPr>
          <w:rFonts w:ascii="Century Schoolbook" w:hAnsi="Century Schoolbook"/>
        </w:rPr>
        <w:t>(Jane Doe Three)</w:t>
      </w:r>
      <w:r w:rsidR="00733B49">
        <w:rPr>
          <w:rFonts w:ascii="Century Schoolbook" w:hAnsi="Century Schoolbook"/>
        </w:rPr>
        <w:t xml:space="preserve">, and </w:t>
      </w:r>
      <w:r w:rsidR="0014355A">
        <w:rPr>
          <w:rFonts w:ascii="Century Schoolbook" w:hAnsi="Century Schoolbook"/>
        </w:rPr>
        <w:t>one count of dissuading a witness from reporting a crime</w:t>
      </w:r>
      <w:r w:rsidR="003F7C1F">
        <w:rPr>
          <w:rFonts w:ascii="Century Schoolbook" w:hAnsi="Century Schoolbook"/>
        </w:rPr>
        <w:t xml:space="preserve">. </w:t>
      </w:r>
      <w:r w:rsidR="003F7C1F" w:rsidRPr="00063453">
        <w:rPr>
          <w:rFonts w:ascii="Century Schoolbook" w:hAnsi="Century Schoolbook"/>
        </w:rPr>
        <w:t xml:space="preserve"> </w:t>
      </w:r>
      <w:r w:rsidR="00DC05B8">
        <w:rPr>
          <w:rFonts w:ascii="Century Schoolbook" w:hAnsi="Century Schoolbook"/>
        </w:rPr>
        <w:t xml:space="preserve">On appeal, </w:t>
      </w:r>
      <w:r w:rsidR="003F7C1F">
        <w:rPr>
          <w:rFonts w:ascii="Century Schoolbook" w:eastAsia="Calibri" w:hAnsi="Century Schoolbook"/>
        </w:rPr>
        <w:t>Villegas</w:t>
      </w:r>
      <w:r w:rsidR="003F7C1F" w:rsidRPr="003F7C1F">
        <w:rPr>
          <w:rFonts w:ascii="Century Schoolbook" w:eastAsia="Calibri" w:hAnsi="Century Schoolbook"/>
        </w:rPr>
        <w:t xml:space="preserve"> asserts that </w:t>
      </w:r>
      <w:r w:rsidR="00DC05B8">
        <w:rPr>
          <w:rFonts w:ascii="Century Schoolbook" w:eastAsia="Calibri" w:hAnsi="Century Schoolbook"/>
        </w:rPr>
        <w:t xml:space="preserve">defense counsel was ineffective for failing to seek exclusion of a portion of his second </w:t>
      </w:r>
      <w:r w:rsidR="007F563D">
        <w:rPr>
          <w:rFonts w:ascii="Century Schoolbook" w:eastAsia="Calibri" w:hAnsi="Century Schoolbook"/>
        </w:rPr>
        <w:t xml:space="preserve">custodial </w:t>
      </w:r>
      <w:r w:rsidR="00D15BBA">
        <w:rPr>
          <w:rFonts w:ascii="Century Schoolbook" w:eastAsia="Calibri" w:hAnsi="Century Schoolbook"/>
        </w:rPr>
        <w:t xml:space="preserve">interrogation </w:t>
      </w:r>
      <w:r w:rsidR="00DA20BA">
        <w:rPr>
          <w:rFonts w:ascii="Century Schoolbook" w:eastAsia="Calibri" w:hAnsi="Century Schoolbook"/>
        </w:rPr>
        <w:t>based on</w:t>
      </w:r>
      <w:r w:rsidR="00DC05B8">
        <w:rPr>
          <w:rFonts w:ascii="Century Schoolbook" w:eastAsia="Calibri" w:hAnsi="Century Schoolbook"/>
        </w:rPr>
        <w:t xml:space="preserve"> violation</w:t>
      </w:r>
      <w:r w:rsidR="007F563D">
        <w:rPr>
          <w:rFonts w:ascii="Century Schoolbook" w:eastAsia="Calibri" w:hAnsi="Century Schoolbook"/>
        </w:rPr>
        <w:t>s</w:t>
      </w:r>
      <w:r w:rsidR="00DC05B8">
        <w:rPr>
          <w:rFonts w:ascii="Century Schoolbook" w:eastAsia="Calibri" w:hAnsi="Century Schoolbook"/>
        </w:rPr>
        <w:t xml:space="preserve"> </w:t>
      </w:r>
      <w:r w:rsidR="00CC2697">
        <w:rPr>
          <w:rFonts w:ascii="Century Schoolbook" w:eastAsia="Calibri" w:hAnsi="Century Schoolbook"/>
        </w:rPr>
        <w:t>of</w:t>
      </w:r>
      <w:r w:rsidR="00DC05B8">
        <w:rPr>
          <w:rFonts w:ascii="Century Schoolbook" w:eastAsia="Calibri" w:hAnsi="Century Schoolbook"/>
        </w:rPr>
        <w:t xml:space="preserve"> </w:t>
      </w:r>
      <w:r w:rsidR="00DC05B8" w:rsidRPr="00DC05B8">
        <w:rPr>
          <w:rFonts w:ascii="Century Schoolbook" w:eastAsia="Calibri" w:hAnsi="Century Schoolbook"/>
          <w:i/>
          <w:iCs/>
        </w:rPr>
        <w:t>Miranda</w:t>
      </w:r>
      <w:r w:rsidR="00DC05B8">
        <w:rPr>
          <w:rFonts w:ascii="Century Schoolbook" w:eastAsia="Calibri" w:hAnsi="Century Schoolbook"/>
          <w:i/>
          <w:iCs/>
        </w:rPr>
        <w:t xml:space="preserve"> v. Arizona</w:t>
      </w:r>
      <w:r w:rsidR="00DC05B8">
        <w:rPr>
          <w:rFonts w:ascii="Century Schoolbook" w:eastAsia="Calibri" w:hAnsi="Century Schoolbook"/>
        </w:rPr>
        <w:t xml:space="preserve"> (1966) 3</w:t>
      </w:r>
      <w:r w:rsidR="005950DA">
        <w:rPr>
          <w:rFonts w:ascii="Century Schoolbook" w:eastAsia="Calibri" w:hAnsi="Century Schoolbook"/>
        </w:rPr>
        <w:t>8</w:t>
      </w:r>
      <w:r w:rsidR="00DC05B8">
        <w:rPr>
          <w:rFonts w:ascii="Century Schoolbook" w:eastAsia="Calibri" w:hAnsi="Century Schoolbook"/>
        </w:rPr>
        <w:t>4 U.S. 436</w:t>
      </w:r>
      <w:r w:rsidR="00D15BBA">
        <w:rPr>
          <w:rFonts w:ascii="Century Schoolbook" w:eastAsia="Calibri" w:hAnsi="Century Schoolbook"/>
        </w:rPr>
        <w:t xml:space="preserve"> (</w:t>
      </w:r>
      <w:r w:rsidR="00D15BBA">
        <w:rPr>
          <w:rFonts w:ascii="Century Schoolbook" w:eastAsia="Calibri" w:hAnsi="Century Schoolbook"/>
          <w:i/>
          <w:iCs/>
        </w:rPr>
        <w:t>Miranda</w:t>
      </w:r>
      <w:r w:rsidR="00D15BBA">
        <w:rPr>
          <w:rFonts w:ascii="Century Schoolbook" w:eastAsia="Calibri" w:hAnsi="Century Schoolbook"/>
        </w:rPr>
        <w:t>)</w:t>
      </w:r>
      <w:r w:rsidR="003F7C1F" w:rsidRPr="003F7C1F">
        <w:rPr>
          <w:rFonts w:ascii="Century Schoolbook" w:eastAsia="Calibri" w:hAnsi="Century Schoolbook"/>
        </w:rPr>
        <w:t>.</w:t>
      </w:r>
      <w:r w:rsidR="00DC05B8" w:rsidRPr="00DC05B8">
        <w:rPr>
          <w:rFonts w:ascii="Century Schoolbook" w:hAnsi="Century Schoolbook"/>
        </w:rPr>
        <w:t xml:space="preserve"> </w:t>
      </w:r>
      <w:r w:rsidR="00DC05B8" w:rsidRPr="00063453">
        <w:rPr>
          <w:rFonts w:ascii="Century Schoolbook" w:hAnsi="Century Schoolbook"/>
        </w:rPr>
        <w:t xml:space="preserve"> </w:t>
      </w:r>
      <w:r w:rsidR="00D15BBA">
        <w:rPr>
          <w:rFonts w:ascii="Century Schoolbook" w:eastAsia="Calibri" w:hAnsi="Century Schoolbook"/>
        </w:rPr>
        <w:t>Villegas</w:t>
      </w:r>
      <w:r w:rsidR="003F7C1F" w:rsidRPr="003F7C1F">
        <w:rPr>
          <w:rFonts w:ascii="Century Schoolbook" w:eastAsia="Calibri" w:hAnsi="Century Schoolbook"/>
        </w:rPr>
        <w:t xml:space="preserve"> also c</w:t>
      </w:r>
      <w:r w:rsidR="00D15BBA">
        <w:rPr>
          <w:rFonts w:ascii="Century Schoolbook" w:eastAsia="Calibri" w:hAnsi="Century Schoolbook"/>
        </w:rPr>
        <w:t>ontends</w:t>
      </w:r>
      <w:r w:rsidR="003F7C1F" w:rsidRPr="003F7C1F">
        <w:rPr>
          <w:rFonts w:ascii="Century Schoolbook" w:eastAsia="Calibri" w:hAnsi="Century Schoolbook"/>
        </w:rPr>
        <w:t xml:space="preserve"> that</w:t>
      </w:r>
      <w:bookmarkStart w:id="0" w:name="_Hlk82591266"/>
      <w:r w:rsidR="00DC05B8">
        <w:rPr>
          <w:rFonts w:ascii="Century Schoolbook" w:eastAsia="Calibri" w:hAnsi="Century Schoolbook"/>
        </w:rPr>
        <w:t xml:space="preserve"> his sentences of 25 years to life for the three counts involving Jane Doe Three must be reduced to 15 years to life on due process grounds, as the </w:t>
      </w:r>
      <w:r w:rsidR="00D15BBA">
        <w:rPr>
          <w:rFonts w:ascii="Century Schoolbook" w:eastAsia="Calibri" w:hAnsi="Century Schoolbook"/>
        </w:rPr>
        <w:t xml:space="preserve">prosecution failed to plead </w:t>
      </w:r>
      <w:r w:rsidR="00CC2697">
        <w:rPr>
          <w:rFonts w:ascii="Century Schoolbook" w:eastAsia="Calibri" w:hAnsi="Century Schoolbook"/>
        </w:rPr>
        <w:t xml:space="preserve">properly </w:t>
      </w:r>
      <w:r w:rsidR="00D15BBA">
        <w:rPr>
          <w:rFonts w:ascii="Century Schoolbook" w:eastAsia="Calibri" w:hAnsi="Century Schoolbook"/>
        </w:rPr>
        <w:t>the statutory provisions allowing for the gr</w:t>
      </w:r>
      <w:r w:rsidR="00884B3B">
        <w:rPr>
          <w:rFonts w:ascii="Century Schoolbook" w:eastAsia="Calibri" w:hAnsi="Century Schoolbook"/>
        </w:rPr>
        <w:t xml:space="preserve">eater </w:t>
      </w:r>
      <w:r w:rsidR="00D15BBA">
        <w:rPr>
          <w:rFonts w:ascii="Century Schoolbook" w:eastAsia="Calibri" w:hAnsi="Century Schoolbook"/>
        </w:rPr>
        <w:t>punishment</w:t>
      </w:r>
      <w:r w:rsidR="003F7C1F" w:rsidRPr="003F7C1F">
        <w:rPr>
          <w:rFonts w:ascii="Century Schoolbook" w:eastAsia="Calibri" w:hAnsi="Century Schoolbook"/>
        </w:rPr>
        <w:t xml:space="preserve">. </w:t>
      </w:r>
      <w:r w:rsidR="00D15BBA" w:rsidRPr="00063453">
        <w:rPr>
          <w:rFonts w:ascii="Century Schoolbook" w:hAnsi="Century Schoolbook"/>
        </w:rPr>
        <w:t xml:space="preserve"> </w:t>
      </w:r>
      <w:r w:rsidR="00D15BBA">
        <w:rPr>
          <w:rFonts w:ascii="Century Schoolbook" w:eastAsia="Calibri" w:hAnsi="Century Schoolbook"/>
        </w:rPr>
        <w:t>Next, Villegas</w:t>
      </w:r>
      <w:r w:rsidR="003F7C1F" w:rsidRPr="003F7C1F">
        <w:rPr>
          <w:rFonts w:ascii="Century Schoolbook" w:eastAsia="Calibri" w:hAnsi="Century Schoolbook"/>
        </w:rPr>
        <w:t xml:space="preserve"> argues that</w:t>
      </w:r>
      <w:r w:rsidR="00D15BBA">
        <w:rPr>
          <w:rFonts w:ascii="Century Schoolbook" w:eastAsia="Calibri" w:hAnsi="Century Schoolbook"/>
        </w:rPr>
        <w:t xml:space="preserve"> the trial court erred in awarding noneconomic damages to Jane Doe Three and the two mothers of the three </w:t>
      </w:r>
      <w:r w:rsidR="00D15BBA">
        <w:rPr>
          <w:rFonts w:ascii="Century Schoolbook" w:eastAsia="Calibri" w:hAnsi="Century Schoolbook"/>
        </w:rPr>
        <w:lastRenderedPageBreak/>
        <w:t>victims</w:t>
      </w:r>
      <w:r w:rsidR="003F7C1F" w:rsidRPr="003F7C1F">
        <w:rPr>
          <w:rFonts w:ascii="Century Schoolbook" w:eastAsia="Calibri" w:hAnsi="Century Schoolbook"/>
        </w:rPr>
        <w:t xml:space="preserve">. </w:t>
      </w:r>
      <w:bookmarkEnd w:id="0"/>
      <w:r w:rsidR="00D15BBA" w:rsidRPr="00063453">
        <w:rPr>
          <w:rFonts w:ascii="Century Schoolbook" w:hAnsi="Century Schoolbook"/>
        </w:rPr>
        <w:t xml:space="preserve"> </w:t>
      </w:r>
      <w:r w:rsidR="007F563D">
        <w:rPr>
          <w:rFonts w:ascii="Century Schoolbook" w:hAnsi="Century Schoolbook"/>
        </w:rPr>
        <w:t xml:space="preserve">Finally, </w:t>
      </w:r>
      <w:r w:rsidR="00D15BBA">
        <w:rPr>
          <w:rFonts w:ascii="Century Schoolbook" w:hAnsi="Century Schoolbook"/>
        </w:rPr>
        <w:t>he</w:t>
      </w:r>
      <w:r w:rsidR="007F563D">
        <w:rPr>
          <w:rFonts w:ascii="Century Schoolbook" w:hAnsi="Century Schoolbook"/>
        </w:rPr>
        <w:t xml:space="preserve"> </w:t>
      </w:r>
      <w:r w:rsidR="00BC0A36">
        <w:rPr>
          <w:rFonts w:ascii="Century Schoolbook" w:hAnsi="Century Schoolbook"/>
        </w:rPr>
        <w:t>maintains</w:t>
      </w:r>
      <w:r w:rsidR="00D15BBA">
        <w:rPr>
          <w:rFonts w:ascii="Century Schoolbook" w:hAnsi="Century Schoolbook"/>
        </w:rPr>
        <w:t xml:space="preserve"> that </w:t>
      </w:r>
      <w:r w:rsidR="00BC0A36">
        <w:rPr>
          <w:rFonts w:ascii="Century Schoolbook" w:hAnsi="Century Schoolbook"/>
        </w:rPr>
        <w:t>the</w:t>
      </w:r>
      <w:r w:rsidR="00D15BBA">
        <w:rPr>
          <w:rFonts w:ascii="Century Schoolbook" w:hAnsi="Century Schoolbook"/>
        </w:rPr>
        <w:t xml:space="preserve"> $4</w:t>
      </w:r>
      <w:r w:rsidR="005950DA">
        <w:rPr>
          <w:rFonts w:ascii="Century Schoolbook" w:hAnsi="Century Schoolbook"/>
        </w:rPr>
        <w:t>,</w:t>
      </w:r>
      <w:r w:rsidR="00D15BBA">
        <w:rPr>
          <w:rFonts w:ascii="Century Schoolbook" w:hAnsi="Century Schoolbook"/>
        </w:rPr>
        <w:t>800 sex offender fine imposed pursuant to Penal Code</w:t>
      </w:r>
      <w:r w:rsidR="00D15BBA">
        <w:rPr>
          <w:rStyle w:val="FootnoteReference"/>
          <w:rFonts w:ascii="Century Schoolbook" w:hAnsi="Century Schoolbook"/>
        </w:rPr>
        <w:footnoteReference w:id="1"/>
      </w:r>
      <w:r w:rsidR="00D15BBA">
        <w:rPr>
          <w:rFonts w:ascii="Century Schoolbook" w:hAnsi="Century Schoolbook"/>
        </w:rPr>
        <w:t xml:space="preserve"> section 290.3</w:t>
      </w:r>
      <w:r w:rsidR="00BC0A36">
        <w:rPr>
          <w:rFonts w:ascii="Century Schoolbook" w:hAnsi="Century Schoolbook"/>
        </w:rPr>
        <w:t xml:space="preserve"> must be reduced to $4</w:t>
      </w:r>
      <w:r w:rsidR="005950DA">
        <w:rPr>
          <w:rFonts w:ascii="Century Schoolbook" w:hAnsi="Century Schoolbook"/>
        </w:rPr>
        <w:t>,</w:t>
      </w:r>
      <w:r w:rsidR="00BC0A36">
        <w:rPr>
          <w:rFonts w:ascii="Century Schoolbook" w:hAnsi="Century Schoolbook"/>
        </w:rPr>
        <w:t>300.</w:t>
      </w:r>
      <w:r w:rsidR="00BC0A36" w:rsidRPr="00BC0A36">
        <w:rPr>
          <w:rFonts w:ascii="Century Schoolbook" w:hAnsi="Century Schoolbook"/>
        </w:rPr>
        <w:t xml:space="preserve"> </w:t>
      </w:r>
      <w:r w:rsidR="00BC0A36">
        <w:rPr>
          <w:rFonts w:ascii="Century Schoolbook" w:hAnsi="Century Schoolbook"/>
        </w:rPr>
        <w:t xml:space="preserve"> </w:t>
      </w:r>
    </w:p>
    <w:p w14:paraId="64ED0E45" w14:textId="2B9D6FDF" w:rsidR="00B700FF" w:rsidRPr="00BC0A36" w:rsidRDefault="00F22428" w:rsidP="00BC0A36">
      <w:pPr>
        <w:spacing w:line="360" w:lineRule="auto"/>
        <w:rPr>
          <w:rFonts w:ascii="Century Schoolbook" w:eastAsia="Calibri" w:hAnsi="Century Schoolbook"/>
        </w:rPr>
      </w:pPr>
      <w:r>
        <w:rPr>
          <w:rFonts w:ascii="Century Schoolbook" w:hAnsi="Century Schoolbook"/>
        </w:rPr>
        <w:tab/>
      </w:r>
      <w:r w:rsidR="003F7C1F" w:rsidRPr="003F7C1F">
        <w:rPr>
          <w:rFonts w:ascii="Century Schoolbook" w:eastAsia="Calibri" w:hAnsi="Century Schoolbook"/>
        </w:rPr>
        <w:t xml:space="preserve">We </w:t>
      </w:r>
      <w:r w:rsidR="00E63ABB">
        <w:rPr>
          <w:rFonts w:ascii="Century Schoolbook" w:eastAsia="Calibri" w:hAnsi="Century Schoolbook"/>
        </w:rPr>
        <w:t>will reduce Villegas’s sentences on counts eight through ten from 25 years to life to 15 years to life</w:t>
      </w:r>
      <w:r w:rsidR="007F563D">
        <w:rPr>
          <w:rFonts w:ascii="Century Schoolbook" w:eastAsia="Calibri" w:hAnsi="Century Schoolbook"/>
        </w:rPr>
        <w:t xml:space="preserve"> and</w:t>
      </w:r>
      <w:r w:rsidR="006D2ED8">
        <w:rPr>
          <w:rFonts w:ascii="Century Schoolbook" w:eastAsia="Calibri" w:hAnsi="Century Schoolbook"/>
        </w:rPr>
        <w:t>,</w:t>
      </w:r>
      <w:r>
        <w:rPr>
          <w:rFonts w:ascii="Century Schoolbook" w:eastAsia="Calibri" w:hAnsi="Century Schoolbook"/>
        </w:rPr>
        <w:t xml:space="preserve"> pursuant to the agreement of the parties</w:t>
      </w:r>
      <w:r w:rsidR="006D2ED8">
        <w:rPr>
          <w:rFonts w:ascii="Century Schoolbook" w:eastAsia="Calibri" w:hAnsi="Century Schoolbook"/>
        </w:rPr>
        <w:t>,</w:t>
      </w:r>
      <w:r w:rsidR="00E63ABB">
        <w:rPr>
          <w:rFonts w:ascii="Century Schoolbook" w:eastAsia="Calibri" w:hAnsi="Century Schoolbook"/>
        </w:rPr>
        <w:t xml:space="preserve"> reduce his sex offender fine to $4</w:t>
      </w:r>
      <w:r w:rsidR="00FB40D0">
        <w:rPr>
          <w:rFonts w:ascii="Century Schoolbook" w:eastAsia="Calibri" w:hAnsi="Century Schoolbook"/>
        </w:rPr>
        <w:t>,</w:t>
      </w:r>
      <w:r w:rsidR="00E63ABB">
        <w:rPr>
          <w:rFonts w:ascii="Century Schoolbook" w:eastAsia="Calibri" w:hAnsi="Century Schoolbook"/>
        </w:rPr>
        <w:t xml:space="preserve">300 </w:t>
      </w:r>
      <w:r w:rsidR="007F563D">
        <w:rPr>
          <w:rFonts w:ascii="Century Schoolbook" w:eastAsia="Calibri" w:hAnsi="Century Schoolbook"/>
        </w:rPr>
        <w:t>but impose</w:t>
      </w:r>
      <w:r w:rsidR="00E63ABB">
        <w:rPr>
          <w:rFonts w:ascii="Century Schoolbook" w:eastAsia="Calibri" w:hAnsi="Century Schoolbook"/>
        </w:rPr>
        <w:t xml:space="preserve"> $12,320 in additional mandatory </w:t>
      </w:r>
      <w:r w:rsidR="00D15BBA">
        <w:rPr>
          <w:rFonts w:ascii="Century Schoolbook" w:eastAsia="Calibri" w:hAnsi="Century Schoolbook"/>
        </w:rPr>
        <w:t>assessments.  We otherwise affirm.</w:t>
      </w:r>
    </w:p>
    <w:p w14:paraId="25C99B6A" w14:textId="75A83B9B" w:rsidR="004C0640" w:rsidRDefault="005353A2" w:rsidP="004267FB">
      <w:pPr>
        <w:pStyle w:val="Heading"/>
      </w:pPr>
      <w:r>
        <w:t xml:space="preserve">I.  </w:t>
      </w:r>
      <w:r w:rsidR="00475D88" w:rsidRPr="00E663F0">
        <w:t>BACKGROUND</w:t>
      </w:r>
    </w:p>
    <w:p w14:paraId="6B4AB204" w14:textId="77777777" w:rsidR="00170921" w:rsidRDefault="009903C2" w:rsidP="00170921">
      <w:pPr>
        <w:pStyle w:val="Heading"/>
        <w:jc w:val="left"/>
      </w:pPr>
      <w:r w:rsidRPr="009903C2">
        <w:rPr>
          <w:i/>
          <w:iCs/>
        </w:rPr>
        <w:t>A.</w:t>
      </w:r>
      <w:r w:rsidRPr="009903C2">
        <w:rPr>
          <w:i/>
          <w:iCs/>
        </w:rPr>
        <w:tab/>
      </w:r>
      <w:r w:rsidR="00BC0A36">
        <w:rPr>
          <w:i/>
          <w:iCs/>
        </w:rPr>
        <w:t>Operative Information and Trial Evidence</w:t>
      </w:r>
      <w:r w:rsidR="001F55C5">
        <w:t xml:space="preserve"> </w:t>
      </w:r>
    </w:p>
    <w:p w14:paraId="201593A4" w14:textId="62C6C9AC" w:rsidR="00CA14F8" w:rsidRPr="00170921" w:rsidRDefault="00170921" w:rsidP="00170921">
      <w:pPr>
        <w:pStyle w:val="Heading"/>
        <w:jc w:val="left"/>
        <w:rPr>
          <w:b w:val="0"/>
          <w:bCs w:val="0"/>
          <w:i/>
          <w:iCs/>
        </w:rPr>
      </w:pPr>
      <w:r>
        <w:tab/>
      </w:r>
      <w:r w:rsidR="00BC0A36" w:rsidRPr="00170921">
        <w:rPr>
          <w:b w:val="0"/>
          <w:bCs w:val="0"/>
        </w:rPr>
        <w:t>On September 20, 2021</w:t>
      </w:r>
      <w:r w:rsidR="0014355A" w:rsidRPr="00170921">
        <w:rPr>
          <w:b w:val="0"/>
          <w:bCs w:val="0"/>
        </w:rPr>
        <w:t xml:space="preserve">, the Napa County District Attorney filed the operative </w:t>
      </w:r>
      <w:r w:rsidR="00CC2697" w:rsidRPr="00170921">
        <w:rPr>
          <w:b w:val="0"/>
          <w:bCs w:val="0"/>
        </w:rPr>
        <w:t xml:space="preserve">first amended </w:t>
      </w:r>
      <w:r w:rsidR="0014355A" w:rsidRPr="00170921">
        <w:rPr>
          <w:b w:val="0"/>
          <w:bCs w:val="0"/>
        </w:rPr>
        <w:t>information in this case</w:t>
      </w:r>
      <w:r w:rsidR="007D7052" w:rsidRPr="00170921">
        <w:rPr>
          <w:b w:val="0"/>
          <w:bCs w:val="0"/>
        </w:rPr>
        <w:t>,</w:t>
      </w:r>
      <w:r w:rsidR="00963C75" w:rsidRPr="00170921">
        <w:rPr>
          <w:b w:val="0"/>
          <w:bCs w:val="0"/>
        </w:rPr>
        <w:t xml:space="preserve"> </w:t>
      </w:r>
      <w:r w:rsidR="00ED3677" w:rsidRPr="00170921">
        <w:rPr>
          <w:b w:val="0"/>
          <w:bCs w:val="0"/>
        </w:rPr>
        <w:t>char</w:t>
      </w:r>
      <w:r w:rsidR="007D7052" w:rsidRPr="00170921">
        <w:rPr>
          <w:b w:val="0"/>
          <w:bCs w:val="0"/>
        </w:rPr>
        <w:t>g</w:t>
      </w:r>
      <w:r w:rsidR="00BC0A36" w:rsidRPr="00170921">
        <w:rPr>
          <w:b w:val="0"/>
          <w:bCs w:val="0"/>
        </w:rPr>
        <w:t>ing</w:t>
      </w:r>
      <w:r w:rsidR="00ED3677" w:rsidRPr="00170921">
        <w:rPr>
          <w:b w:val="0"/>
          <w:bCs w:val="0"/>
        </w:rPr>
        <w:t xml:space="preserve"> </w:t>
      </w:r>
      <w:r w:rsidR="00AD688E" w:rsidRPr="00170921">
        <w:rPr>
          <w:b w:val="0"/>
          <w:bCs w:val="0"/>
        </w:rPr>
        <w:t xml:space="preserve">Villegas with 10 felonies:  six counts of lewd and lascivious acts on a child under 14 </w:t>
      </w:r>
      <w:r w:rsidR="005C05AA" w:rsidRPr="00170921">
        <w:rPr>
          <w:b w:val="0"/>
          <w:bCs w:val="0"/>
        </w:rPr>
        <w:t>(§</w:t>
      </w:r>
      <w:r w:rsidR="00AD688E" w:rsidRPr="00170921">
        <w:rPr>
          <w:b w:val="0"/>
          <w:bCs w:val="0"/>
        </w:rPr>
        <w:t> 288, subd. (a)</w:t>
      </w:r>
      <w:r w:rsidR="007D7052" w:rsidRPr="00170921">
        <w:rPr>
          <w:b w:val="0"/>
          <w:bCs w:val="0"/>
        </w:rPr>
        <w:t>, count</w:t>
      </w:r>
      <w:r w:rsidR="00AD688E" w:rsidRPr="00170921">
        <w:rPr>
          <w:b w:val="0"/>
          <w:bCs w:val="0"/>
        </w:rPr>
        <w:t>s</w:t>
      </w:r>
      <w:r w:rsidR="007D7052" w:rsidRPr="00170921">
        <w:rPr>
          <w:b w:val="0"/>
          <w:bCs w:val="0"/>
        </w:rPr>
        <w:t xml:space="preserve"> </w:t>
      </w:r>
      <w:r w:rsidR="00025176" w:rsidRPr="00170921">
        <w:rPr>
          <w:b w:val="0"/>
          <w:bCs w:val="0"/>
        </w:rPr>
        <w:t>one</w:t>
      </w:r>
      <w:r w:rsidR="00CC2697" w:rsidRPr="00170921">
        <w:rPr>
          <w:b w:val="0"/>
          <w:bCs w:val="0"/>
        </w:rPr>
        <w:t xml:space="preserve"> through </w:t>
      </w:r>
      <w:r w:rsidR="00025176" w:rsidRPr="00170921">
        <w:rPr>
          <w:b w:val="0"/>
          <w:bCs w:val="0"/>
        </w:rPr>
        <w:t>six</w:t>
      </w:r>
      <w:r w:rsidR="005C05AA" w:rsidRPr="00170921">
        <w:rPr>
          <w:b w:val="0"/>
          <w:bCs w:val="0"/>
        </w:rPr>
        <w:t>)</w:t>
      </w:r>
      <w:r w:rsidR="007D7052" w:rsidRPr="00170921">
        <w:rPr>
          <w:b w:val="0"/>
          <w:bCs w:val="0"/>
        </w:rPr>
        <w:t xml:space="preserve">, </w:t>
      </w:r>
      <w:r w:rsidR="00AD688E" w:rsidRPr="00170921">
        <w:rPr>
          <w:b w:val="0"/>
          <w:bCs w:val="0"/>
        </w:rPr>
        <w:t>dissuading a witness from reporting a crime</w:t>
      </w:r>
      <w:r w:rsidR="007D7052" w:rsidRPr="00170921">
        <w:rPr>
          <w:b w:val="0"/>
          <w:bCs w:val="0"/>
        </w:rPr>
        <w:t xml:space="preserve"> (§</w:t>
      </w:r>
      <w:r w:rsidR="00CC2697" w:rsidRPr="00170921">
        <w:rPr>
          <w:b w:val="0"/>
          <w:bCs w:val="0"/>
        </w:rPr>
        <w:t> </w:t>
      </w:r>
      <w:r w:rsidR="00AD688E" w:rsidRPr="00170921">
        <w:rPr>
          <w:b w:val="0"/>
          <w:bCs w:val="0"/>
        </w:rPr>
        <w:t>136.1, subd. (b)(1)</w:t>
      </w:r>
      <w:r w:rsidR="00FC3072" w:rsidRPr="00170921">
        <w:rPr>
          <w:b w:val="0"/>
          <w:bCs w:val="0"/>
        </w:rPr>
        <w:t xml:space="preserve">, count </w:t>
      </w:r>
      <w:r w:rsidR="00025176" w:rsidRPr="00170921">
        <w:rPr>
          <w:b w:val="0"/>
          <w:bCs w:val="0"/>
        </w:rPr>
        <w:t>seven</w:t>
      </w:r>
      <w:r w:rsidR="007D7052" w:rsidRPr="00170921">
        <w:rPr>
          <w:b w:val="0"/>
          <w:bCs w:val="0"/>
        </w:rPr>
        <w:t>),</w:t>
      </w:r>
      <w:r w:rsidR="005C05AA" w:rsidRPr="00170921">
        <w:rPr>
          <w:b w:val="0"/>
          <w:bCs w:val="0"/>
        </w:rPr>
        <w:t xml:space="preserve"> </w:t>
      </w:r>
      <w:r w:rsidR="00AD688E" w:rsidRPr="00170921">
        <w:rPr>
          <w:b w:val="0"/>
          <w:bCs w:val="0"/>
        </w:rPr>
        <w:t xml:space="preserve">forcible rape of a </w:t>
      </w:r>
      <w:r w:rsidR="007F563D" w:rsidRPr="00170921">
        <w:rPr>
          <w:b w:val="0"/>
          <w:bCs w:val="0"/>
        </w:rPr>
        <w:t>minor</w:t>
      </w:r>
      <w:r w:rsidR="00AD688E" w:rsidRPr="00170921">
        <w:rPr>
          <w:b w:val="0"/>
          <w:bCs w:val="0"/>
        </w:rPr>
        <w:t xml:space="preserve"> over 14</w:t>
      </w:r>
      <w:r w:rsidR="00FC3072" w:rsidRPr="00170921">
        <w:rPr>
          <w:b w:val="0"/>
          <w:bCs w:val="0"/>
        </w:rPr>
        <w:t xml:space="preserve"> (§</w:t>
      </w:r>
      <w:r w:rsidR="00CC2697" w:rsidRPr="00170921">
        <w:rPr>
          <w:b w:val="0"/>
          <w:bCs w:val="0"/>
        </w:rPr>
        <w:t> </w:t>
      </w:r>
      <w:r w:rsidR="00AD688E" w:rsidRPr="00170921">
        <w:rPr>
          <w:b w:val="0"/>
          <w:bCs w:val="0"/>
        </w:rPr>
        <w:t>261, subd. (a)(2)</w:t>
      </w:r>
      <w:r w:rsidR="00FC3072" w:rsidRPr="00170921">
        <w:rPr>
          <w:b w:val="0"/>
          <w:bCs w:val="0"/>
        </w:rPr>
        <w:t xml:space="preserve">, count </w:t>
      </w:r>
      <w:r w:rsidR="00025176" w:rsidRPr="00170921">
        <w:rPr>
          <w:b w:val="0"/>
          <w:bCs w:val="0"/>
        </w:rPr>
        <w:t>eight</w:t>
      </w:r>
      <w:r w:rsidR="00FC3072" w:rsidRPr="00170921">
        <w:rPr>
          <w:b w:val="0"/>
          <w:bCs w:val="0"/>
        </w:rPr>
        <w:t xml:space="preserve">), </w:t>
      </w:r>
      <w:r w:rsidR="00AD688E" w:rsidRPr="00170921">
        <w:rPr>
          <w:b w:val="0"/>
          <w:bCs w:val="0"/>
        </w:rPr>
        <w:t>sexual penetration by a foreign object on a minor over 14</w:t>
      </w:r>
      <w:r w:rsidR="00FC3072" w:rsidRPr="00170921">
        <w:rPr>
          <w:b w:val="0"/>
          <w:bCs w:val="0"/>
        </w:rPr>
        <w:t xml:space="preserve"> (§ </w:t>
      </w:r>
      <w:r w:rsidR="00AD688E" w:rsidRPr="00170921">
        <w:rPr>
          <w:b w:val="0"/>
          <w:bCs w:val="0"/>
        </w:rPr>
        <w:t>289, subd. (a)(1)(C)</w:t>
      </w:r>
      <w:r w:rsidR="00FC3072" w:rsidRPr="00170921">
        <w:rPr>
          <w:b w:val="0"/>
          <w:bCs w:val="0"/>
        </w:rPr>
        <w:t xml:space="preserve">, count </w:t>
      </w:r>
      <w:r w:rsidR="00025176" w:rsidRPr="00170921">
        <w:rPr>
          <w:b w:val="0"/>
          <w:bCs w:val="0"/>
        </w:rPr>
        <w:t>nine</w:t>
      </w:r>
      <w:r w:rsidR="00FC3072" w:rsidRPr="00170921">
        <w:rPr>
          <w:b w:val="0"/>
          <w:bCs w:val="0"/>
        </w:rPr>
        <w:t>)</w:t>
      </w:r>
      <w:r w:rsidR="00AD688E" w:rsidRPr="00170921">
        <w:rPr>
          <w:b w:val="0"/>
          <w:bCs w:val="0"/>
        </w:rPr>
        <w:t>, and forcible oral copulation of a minor over 14 (</w:t>
      </w:r>
      <w:r w:rsidR="007F563D" w:rsidRPr="00170921">
        <w:rPr>
          <w:b w:val="0"/>
          <w:bCs w:val="0"/>
        </w:rPr>
        <w:t xml:space="preserve">former </w:t>
      </w:r>
      <w:r w:rsidR="00AD688E" w:rsidRPr="00170921">
        <w:rPr>
          <w:b w:val="0"/>
          <w:bCs w:val="0"/>
        </w:rPr>
        <w:t>§</w:t>
      </w:r>
      <w:r w:rsidR="001F3306" w:rsidRPr="00170921">
        <w:rPr>
          <w:b w:val="0"/>
          <w:bCs w:val="0"/>
        </w:rPr>
        <w:t> </w:t>
      </w:r>
      <w:r w:rsidR="00D9070F" w:rsidRPr="00170921">
        <w:rPr>
          <w:b w:val="0"/>
          <w:bCs w:val="0"/>
        </w:rPr>
        <w:t>288a, subd. (c)(2)(C)</w:t>
      </w:r>
      <w:r w:rsidR="00A625A3" w:rsidRPr="00170921">
        <w:rPr>
          <w:b w:val="0"/>
          <w:bCs w:val="0"/>
        </w:rPr>
        <w:t>; see now § 287, subd. (c)(2)(C)</w:t>
      </w:r>
      <w:r w:rsidR="00025176" w:rsidRPr="00170921">
        <w:rPr>
          <w:b w:val="0"/>
          <w:bCs w:val="0"/>
        </w:rPr>
        <w:t>, count ten</w:t>
      </w:r>
      <w:r w:rsidR="00D9070F" w:rsidRPr="00170921">
        <w:rPr>
          <w:b w:val="0"/>
          <w:bCs w:val="0"/>
        </w:rPr>
        <w:t>)</w:t>
      </w:r>
      <w:r w:rsidR="0020227A" w:rsidRPr="00170921">
        <w:rPr>
          <w:b w:val="0"/>
          <w:bCs w:val="0"/>
        </w:rPr>
        <w:t>.</w:t>
      </w:r>
      <w:r w:rsidR="00FC3072" w:rsidRPr="00170921">
        <w:rPr>
          <w:b w:val="0"/>
          <w:bCs w:val="0"/>
        </w:rPr>
        <w:t xml:space="preserve"> </w:t>
      </w:r>
      <w:r w:rsidR="00D9070F" w:rsidRPr="00170921">
        <w:rPr>
          <w:b w:val="0"/>
          <w:bCs w:val="0"/>
        </w:rPr>
        <w:t xml:space="preserve"> </w:t>
      </w:r>
      <w:r w:rsidR="00F22428" w:rsidRPr="00170921">
        <w:rPr>
          <w:b w:val="0"/>
          <w:bCs w:val="0"/>
        </w:rPr>
        <w:t xml:space="preserve">As to </w:t>
      </w:r>
      <w:r w:rsidRPr="00170921">
        <w:rPr>
          <w:b w:val="0"/>
          <w:bCs w:val="0"/>
        </w:rPr>
        <w:t>c</w:t>
      </w:r>
      <w:r w:rsidR="00D9070F" w:rsidRPr="00170921">
        <w:rPr>
          <w:b w:val="0"/>
          <w:bCs w:val="0"/>
        </w:rPr>
        <w:t>ounts one through six</w:t>
      </w:r>
      <w:r w:rsidR="00F22428" w:rsidRPr="00170921">
        <w:rPr>
          <w:b w:val="0"/>
          <w:bCs w:val="0"/>
        </w:rPr>
        <w:t>, enhancements were alleged pursuant to section 667.61</w:t>
      </w:r>
      <w:r w:rsidRPr="00170921">
        <w:rPr>
          <w:b w:val="0"/>
          <w:bCs w:val="0"/>
        </w:rPr>
        <w:t xml:space="preserve"> </w:t>
      </w:r>
      <w:r w:rsidR="00F22428" w:rsidRPr="00170921">
        <w:rPr>
          <w:b w:val="0"/>
          <w:bCs w:val="0"/>
        </w:rPr>
        <w:t>(the One Strike law)</w:t>
      </w:r>
      <w:r w:rsidRPr="00170921">
        <w:rPr>
          <w:b w:val="0"/>
          <w:bCs w:val="0"/>
        </w:rPr>
        <w:t>, subdivision (j)(2</w:t>
      </w:r>
      <w:r>
        <w:rPr>
          <w:b w:val="0"/>
          <w:bCs w:val="0"/>
        </w:rPr>
        <w:t>)</w:t>
      </w:r>
      <w:r w:rsidRPr="00170921">
        <w:rPr>
          <w:b w:val="0"/>
          <w:bCs w:val="0"/>
        </w:rPr>
        <w:t xml:space="preserve"> and (e)</w:t>
      </w:r>
      <w:r w:rsidR="00F22428" w:rsidRPr="00170921">
        <w:rPr>
          <w:b w:val="0"/>
          <w:bCs w:val="0"/>
        </w:rPr>
        <w:t xml:space="preserve"> </w:t>
      </w:r>
      <w:r w:rsidR="00D9070F" w:rsidRPr="00170921">
        <w:rPr>
          <w:b w:val="0"/>
          <w:bCs w:val="0"/>
        </w:rPr>
        <w:t xml:space="preserve">that the crimes were committed against children under the age of 14 and that Villegas was convicted of qualifying offenses against more than one victim.  </w:t>
      </w:r>
      <w:r w:rsidR="00F22428" w:rsidRPr="00170921">
        <w:rPr>
          <w:b w:val="0"/>
          <w:bCs w:val="0"/>
        </w:rPr>
        <w:t>As to c</w:t>
      </w:r>
      <w:r w:rsidR="00D9070F" w:rsidRPr="00170921">
        <w:rPr>
          <w:b w:val="0"/>
          <w:bCs w:val="0"/>
        </w:rPr>
        <w:t>ounts eight through ten</w:t>
      </w:r>
      <w:r w:rsidR="00F22428" w:rsidRPr="00170921">
        <w:rPr>
          <w:b w:val="0"/>
          <w:bCs w:val="0"/>
        </w:rPr>
        <w:t xml:space="preserve">, enhancements were alleged pursuant to </w:t>
      </w:r>
      <w:r>
        <w:rPr>
          <w:b w:val="0"/>
          <w:bCs w:val="0"/>
        </w:rPr>
        <w:t>s</w:t>
      </w:r>
      <w:r w:rsidR="00F22428" w:rsidRPr="00170921">
        <w:rPr>
          <w:b w:val="0"/>
          <w:bCs w:val="0"/>
        </w:rPr>
        <w:t>ection 667.61</w:t>
      </w:r>
      <w:r w:rsidR="006D2ED8" w:rsidRPr="00170921">
        <w:rPr>
          <w:b w:val="0"/>
          <w:bCs w:val="0"/>
        </w:rPr>
        <w:t xml:space="preserve">, subdivisions </w:t>
      </w:r>
      <w:r w:rsidR="00F22428" w:rsidRPr="00170921">
        <w:rPr>
          <w:b w:val="0"/>
          <w:bCs w:val="0"/>
        </w:rPr>
        <w:t>(b)</w:t>
      </w:r>
      <w:r w:rsidR="006D2ED8" w:rsidRPr="00170921">
        <w:rPr>
          <w:b w:val="0"/>
          <w:bCs w:val="0"/>
        </w:rPr>
        <w:t xml:space="preserve"> and </w:t>
      </w:r>
      <w:r w:rsidR="00F22428" w:rsidRPr="00170921">
        <w:rPr>
          <w:b w:val="0"/>
          <w:bCs w:val="0"/>
        </w:rPr>
        <w:t xml:space="preserve">(e) that the qualifying convictions committed by </w:t>
      </w:r>
      <w:r w:rsidR="00D9070F" w:rsidRPr="00170921">
        <w:rPr>
          <w:b w:val="0"/>
          <w:bCs w:val="0"/>
        </w:rPr>
        <w:t xml:space="preserve">Villegas </w:t>
      </w:r>
      <w:r w:rsidR="00F22428" w:rsidRPr="00170921">
        <w:rPr>
          <w:b w:val="0"/>
          <w:bCs w:val="0"/>
        </w:rPr>
        <w:t>involved</w:t>
      </w:r>
      <w:r w:rsidR="00D9070F" w:rsidRPr="00170921">
        <w:rPr>
          <w:b w:val="0"/>
          <w:bCs w:val="0"/>
        </w:rPr>
        <w:t xml:space="preserve"> more than one victim.  </w:t>
      </w:r>
      <w:r w:rsidR="00F22428" w:rsidRPr="00170921">
        <w:rPr>
          <w:b w:val="0"/>
          <w:bCs w:val="0"/>
        </w:rPr>
        <w:t>As to all counts, it was further alleged pursuant to Penal Code sections 1203.065 and 1203.066</w:t>
      </w:r>
      <w:r w:rsidR="006D2ED8" w:rsidRPr="00170921">
        <w:rPr>
          <w:b w:val="0"/>
          <w:bCs w:val="0"/>
        </w:rPr>
        <w:t xml:space="preserve">, subdivision </w:t>
      </w:r>
      <w:r w:rsidR="00F22428" w:rsidRPr="00170921">
        <w:rPr>
          <w:b w:val="0"/>
          <w:bCs w:val="0"/>
        </w:rPr>
        <w:t xml:space="preserve">(a)(7) that upon conviction Villegas was ineligible for probation. </w:t>
      </w:r>
      <w:r w:rsidR="007F563D" w:rsidRPr="00170921">
        <w:rPr>
          <w:b w:val="0"/>
          <w:bCs w:val="0"/>
        </w:rPr>
        <w:t xml:space="preserve"> </w:t>
      </w:r>
      <w:bookmarkStart w:id="1" w:name="_Hlk79390529"/>
      <w:r w:rsidR="00F22428" w:rsidRPr="00170921">
        <w:rPr>
          <w:b w:val="0"/>
          <w:bCs w:val="0"/>
        </w:rPr>
        <w:t xml:space="preserve">The operative information also listed the potential punishment for each crime </w:t>
      </w:r>
      <w:r w:rsidR="00F22428" w:rsidRPr="00170921">
        <w:rPr>
          <w:b w:val="0"/>
          <w:bCs w:val="0"/>
        </w:rPr>
        <w:lastRenderedPageBreak/>
        <w:t xml:space="preserve">and enhancement, including listing 25 years to life for enhancements to counts one through six, and 15 years to life for enhancements to counts eight through ten.  </w:t>
      </w:r>
    </w:p>
    <w:p w14:paraId="5B7EBBC7" w14:textId="037F1D2A" w:rsidR="007A7827" w:rsidRDefault="00CA14F8" w:rsidP="00BC0A36">
      <w:pPr>
        <w:pStyle w:val="Text"/>
        <w:ind w:firstLine="0"/>
      </w:pPr>
      <w:r>
        <w:tab/>
      </w:r>
      <w:r w:rsidR="00341B5E">
        <w:t>T</w:t>
      </w:r>
      <w:r w:rsidR="007F563D">
        <w:t>rial was held before a jury over f</w:t>
      </w:r>
      <w:r w:rsidR="00341B5E">
        <w:t>ive</w:t>
      </w:r>
      <w:r w:rsidR="007F563D">
        <w:t xml:space="preserve"> days in September 2021.</w:t>
      </w:r>
      <w:r w:rsidR="007F563D" w:rsidRPr="007F563D">
        <w:t xml:space="preserve"> </w:t>
      </w:r>
      <w:r w:rsidR="007F563D">
        <w:t xml:space="preserve"> The following was among the evidence adduced at trial:</w:t>
      </w:r>
    </w:p>
    <w:p w14:paraId="667C0B3C" w14:textId="23D7CA1C" w:rsidR="00652454" w:rsidRDefault="005A696D" w:rsidP="00E979C5">
      <w:pPr>
        <w:pStyle w:val="Text"/>
        <w:ind w:firstLine="0"/>
        <w:rPr>
          <w:b/>
          <w:bCs/>
          <w:i/>
          <w:iCs/>
        </w:rPr>
      </w:pPr>
      <w:r>
        <w:rPr>
          <w:b/>
          <w:bCs/>
          <w:i/>
          <w:iCs/>
        </w:rPr>
        <w:tab/>
      </w:r>
      <w:r w:rsidR="00424693">
        <w:rPr>
          <w:b/>
          <w:bCs/>
          <w:i/>
          <w:iCs/>
        </w:rPr>
        <w:t>1.</w:t>
      </w:r>
      <w:r w:rsidR="00424693">
        <w:rPr>
          <w:b/>
          <w:bCs/>
          <w:i/>
          <w:iCs/>
        </w:rPr>
        <w:tab/>
      </w:r>
      <w:r w:rsidR="00BE41CF">
        <w:rPr>
          <w:b/>
          <w:bCs/>
          <w:i/>
          <w:iCs/>
        </w:rPr>
        <w:t xml:space="preserve">Allegations Involving </w:t>
      </w:r>
      <w:r w:rsidR="007F563D">
        <w:rPr>
          <w:b/>
          <w:bCs/>
          <w:i/>
          <w:iCs/>
        </w:rPr>
        <w:t>Jane Doe</w:t>
      </w:r>
      <w:r w:rsidR="00BE41CF">
        <w:rPr>
          <w:b/>
          <w:bCs/>
          <w:i/>
          <w:iCs/>
        </w:rPr>
        <w:t>s</w:t>
      </w:r>
      <w:r w:rsidR="007F563D">
        <w:rPr>
          <w:b/>
          <w:bCs/>
          <w:i/>
          <w:iCs/>
        </w:rPr>
        <w:t xml:space="preserve"> One</w:t>
      </w:r>
      <w:r w:rsidR="00BE41CF">
        <w:rPr>
          <w:b/>
          <w:bCs/>
          <w:i/>
          <w:iCs/>
        </w:rPr>
        <w:t xml:space="preserve"> and Two</w:t>
      </w:r>
      <w:r w:rsidR="007F563D">
        <w:rPr>
          <w:b/>
          <w:bCs/>
          <w:i/>
          <w:iCs/>
        </w:rPr>
        <w:t xml:space="preserve"> </w:t>
      </w:r>
    </w:p>
    <w:p w14:paraId="533ED9A0" w14:textId="72216975" w:rsidR="00652454" w:rsidRPr="00652454" w:rsidRDefault="00652454" w:rsidP="00652454">
      <w:pPr>
        <w:pStyle w:val="Text"/>
        <w:ind w:firstLine="0"/>
        <w:rPr>
          <w:i/>
          <w:iCs/>
        </w:rPr>
      </w:pPr>
      <w:r>
        <w:rPr>
          <w:b/>
          <w:bCs/>
          <w:i/>
          <w:iCs/>
        </w:rPr>
        <w:tab/>
      </w:r>
      <w:r>
        <w:rPr>
          <w:b/>
          <w:bCs/>
          <w:i/>
          <w:iCs/>
        </w:rPr>
        <w:tab/>
      </w:r>
      <w:r>
        <w:rPr>
          <w:i/>
          <w:iCs/>
        </w:rPr>
        <w:t xml:space="preserve">i. </w:t>
      </w:r>
      <w:r>
        <w:rPr>
          <w:i/>
          <w:iCs/>
        </w:rPr>
        <w:tab/>
        <w:t>Testimony of Jane Doe One</w:t>
      </w:r>
    </w:p>
    <w:p w14:paraId="4A10F966" w14:textId="0A253A5B" w:rsidR="007F563D" w:rsidRDefault="007F563D" w:rsidP="00BC0A36">
      <w:pPr>
        <w:pStyle w:val="Text"/>
        <w:ind w:firstLine="0"/>
        <w:rPr>
          <w:rFonts w:eastAsia="Times New Roman"/>
        </w:rPr>
      </w:pPr>
      <w:r>
        <w:rPr>
          <w:rFonts w:eastAsia="Times New Roman"/>
          <w:b/>
          <w:bCs/>
          <w:i/>
          <w:iCs/>
        </w:rPr>
        <w:tab/>
      </w:r>
      <w:r>
        <w:rPr>
          <w:rFonts w:eastAsia="Times New Roman"/>
        </w:rPr>
        <w:t xml:space="preserve">Jane Doe </w:t>
      </w:r>
      <w:r w:rsidR="005F3920">
        <w:rPr>
          <w:rFonts w:eastAsia="Times New Roman"/>
        </w:rPr>
        <w:t>One</w:t>
      </w:r>
      <w:r>
        <w:rPr>
          <w:rFonts w:eastAsia="Times New Roman"/>
        </w:rPr>
        <w:t xml:space="preserve"> </w:t>
      </w:r>
      <w:r w:rsidR="00BE41CF">
        <w:rPr>
          <w:rFonts w:eastAsia="Times New Roman"/>
        </w:rPr>
        <w:t xml:space="preserve">was 14 years old at the time of </w:t>
      </w:r>
      <w:r w:rsidR="00652454">
        <w:rPr>
          <w:rFonts w:eastAsia="Times New Roman"/>
        </w:rPr>
        <w:t xml:space="preserve">the </w:t>
      </w:r>
      <w:r w:rsidR="00BE41CF">
        <w:rPr>
          <w:rFonts w:eastAsia="Times New Roman"/>
        </w:rPr>
        <w:t>trial.</w:t>
      </w:r>
      <w:r w:rsidR="00BE41CF" w:rsidRPr="00BE41CF">
        <w:t xml:space="preserve"> </w:t>
      </w:r>
      <w:r w:rsidR="005F3920">
        <w:t xml:space="preserve"> Her sister, Jane Doe Two, was ten years old at the time of </w:t>
      </w:r>
      <w:r w:rsidR="00652454">
        <w:t xml:space="preserve">the </w:t>
      </w:r>
      <w:r w:rsidR="005F3920">
        <w:t>trial.</w:t>
      </w:r>
      <w:r w:rsidR="005F3920" w:rsidRPr="005F3920">
        <w:t xml:space="preserve"> </w:t>
      </w:r>
      <w:r w:rsidR="005F3920">
        <w:t xml:space="preserve"> Jane Does One and Two lived with their parents in a garage located on Villegas’s property.  Villegas, his wife G.V.</w:t>
      </w:r>
      <w:r w:rsidR="00652454">
        <w:t>,</w:t>
      </w:r>
      <w:r w:rsidR="005F3920">
        <w:t xml:space="preserve"> and their daughters (Jane Doe Three and </w:t>
      </w:r>
      <w:r w:rsidR="00975283">
        <w:t>her sister</w:t>
      </w:r>
      <w:r w:rsidR="003A2FD2">
        <w:t xml:space="preserve"> A.V.</w:t>
      </w:r>
      <w:r w:rsidR="005F3920">
        <w:t xml:space="preserve">) </w:t>
      </w:r>
      <w:r w:rsidR="00CC2697">
        <w:t xml:space="preserve">had </w:t>
      </w:r>
      <w:r w:rsidR="005F3920">
        <w:t>lived in a separate house on the property.</w:t>
      </w:r>
      <w:r w:rsidR="005F3920" w:rsidRPr="005F3920">
        <w:t xml:space="preserve"> </w:t>
      </w:r>
      <w:r w:rsidR="005F3920">
        <w:t xml:space="preserve"> Villegas was Jane Doe One’s godfather at her first communion, and </w:t>
      </w:r>
      <w:r w:rsidR="00652454">
        <w:t xml:space="preserve">she would be alone with him when </w:t>
      </w:r>
      <w:r w:rsidR="005F3920">
        <w:t>he would take her to school.</w:t>
      </w:r>
      <w:r w:rsidR="005F3920" w:rsidRPr="005F3920">
        <w:t xml:space="preserve"> </w:t>
      </w:r>
      <w:r w:rsidR="005F3920">
        <w:t xml:space="preserve"> </w:t>
      </w:r>
      <w:r w:rsidR="00C54967">
        <w:t>Jane Doe One also saw Villegas around the house and yard</w:t>
      </w:r>
      <w:r w:rsidR="00652454">
        <w:t>.</w:t>
      </w:r>
      <w:r w:rsidR="00652454" w:rsidRPr="00652454">
        <w:t xml:space="preserve"> </w:t>
      </w:r>
      <w:r w:rsidR="00C54967">
        <w:t xml:space="preserve"> </w:t>
      </w:r>
      <w:r w:rsidR="00652454">
        <w:t xml:space="preserve">Villegas was “around” Jane Does One and Two when </w:t>
      </w:r>
      <w:r w:rsidR="00E17D74">
        <w:t>their</w:t>
      </w:r>
      <w:r w:rsidR="00652454">
        <w:t xml:space="preserve"> parents were “at the store.”</w:t>
      </w:r>
      <w:r w:rsidR="00652454" w:rsidRPr="00652454">
        <w:t xml:space="preserve"> </w:t>
      </w:r>
      <w:r w:rsidR="00652454">
        <w:t xml:space="preserve">  </w:t>
      </w:r>
      <w:r w:rsidR="005F3920">
        <w:t xml:space="preserve">  </w:t>
      </w:r>
    </w:p>
    <w:p w14:paraId="579AC0B0" w14:textId="2D8455CD" w:rsidR="00E17D74" w:rsidRDefault="00652454" w:rsidP="00BC0A36">
      <w:pPr>
        <w:pStyle w:val="Text"/>
        <w:ind w:firstLine="0"/>
      </w:pPr>
      <w:r>
        <w:rPr>
          <w:rFonts w:eastAsia="Times New Roman"/>
        </w:rPr>
        <w:tab/>
      </w:r>
      <w:r w:rsidR="00975283">
        <w:rPr>
          <w:rFonts w:eastAsia="Times New Roman"/>
        </w:rPr>
        <w:t>According to Jane Doe One</w:t>
      </w:r>
      <w:r>
        <w:rPr>
          <w:rFonts w:eastAsia="Times New Roman"/>
        </w:rPr>
        <w:t xml:space="preserve">, Villegas would use his hand to touch </w:t>
      </w:r>
      <w:r w:rsidR="00975283">
        <w:rPr>
          <w:rFonts w:eastAsia="Times New Roman"/>
        </w:rPr>
        <w:t>her</w:t>
      </w:r>
      <w:r>
        <w:rPr>
          <w:rFonts w:eastAsia="Times New Roman"/>
        </w:rPr>
        <w:t xml:space="preserve"> body.  The first time was when Jane Doe One was 11 years old and </w:t>
      </w:r>
      <w:r w:rsidR="008E12F5">
        <w:rPr>
          <w:rFonts w:eastAsia="Times New Roman"/>
        </w:rPr>
        <w:t>her parents were at the store.  H</w:t>
      </w:r>
      <w:r>
        <w:rPr>
          <w:rFonts w:eastAsia="Times New Roman"/>
        </w:rPr>
        <w:t>e touched her on her breasts and vagina over her clothes.</w:t>
      </w:r>
      <w:r w:rsidRPr="00652454">
        <w:t xml:space="preserve"> </w:t>
      </w:r>
      <w:r w:rsidR="00E17D74">
        <w:t xml:space="preserve"> </w:t>
      </w:r>
      <w:r>
        <w:t>When Villegas touch</w:t>
      </w:r>
      <w:r w:rsidR="00E17D74">
        <w:t>ed</w:t>
      </w:r>
      <w:r>
        <w:t xml:space="preserve"> her vaginal area, he moved his hand in a rubbing motion.</w:t>
      </w:r>
      <w:r w:rsidRPr="00652454">
        <w:t xml:space="preserve"> </w:t>
      </w:r>
      <w:r>
        <w:t xml:space="preserve"> Villegas told Jane Doe One not to tell her parents</w:t>
      </w:r>
      <w:r w:rsidR="00E81EC9">
        <w:t>, which made her uncomfortable and</w:t>
      </w:r>
      <w:r w:rsidR="006C7EBB">
        <w:t xml:space="preserve"> </w:t>
      </w:r>
      <w:r w:rsidR="00E81EC9">
        <w:t>scared.</w:t>
      </w:r>
      <w:r w:rsidR="00E81EC9" w:rsidRPr="00E81EC9">
        <w:t xml:space="preserve"> </w:t>
      </w:r>
      <w:r w:rsidR="00E81EC9">
        <w:t xml:space="preserve"> Villegas touched </w:t>
      </w:r>
      <w:r w:rsidR="00F10BB6">
        <w:t xml:space="preserve">both </w:t>
      </w:r>
      <w:r w:rsidR="00E81EC9">
        <w:t>her breasts and vagina more than two times.</w:t>
      </w:r>
      <w:r w:rsidR="00E81EC9" w:rsidRPr="00E81EC9">
        <w:t xml:space="preserve"> </w:t>
      </w:r>
      <w:r w:rsidR="00E81EC9">
        <w:t xml:space="preserve"> One time, Villegas came into the garage while Jane Doe One’s mother was showering and called Jane Doe One’s name.  When she came out in the yard, he moved his hand on her breast.</w:t>
      </w:r>
      <w:r w:rsidR="00E81EC9" w:rsidRPr="00E81EC9">
        <w:t xml:space="preserve"> </w:t>
      </w:r>
      <w:r w:rsidR="00E81EC9">
        <w:t xml:space="preserve"> </w:t>
      </w:r>
      <w:r w:rsidR="00E17D74">
        <w:t xml:space="preserve">On another occasion, while she played outside with her sister, Villegas touched Jane Doe One’s vaginal area using the same rubbing motion as before.  </w:t>
      </w:r>
      <w:r w:rsidR="00E17D74">
        <w:lastRenderedPageBreak/>
        <w:t xml:space="preserve">Although Villegas usually touched Jane Doe One over her clothes, she remembered one time (when her sister was probably watching YouTube) that </w:t>
      </w:r>
      <w:r w:rsidR="00295067">
        <w:t xml:space="preserve">Villegas put his hand under her shirt on top of her bra and moved it around. </w:t>
      </w:r>
      <w:r w:rsidR="00F10BB6">
        <w:t xml:space="preserve"> </w:t>
      </w:r>
      <w:r w:rsidR="00E17D74">
        <w:t>She wanted Villegas to stop, but she did not tell anyone because she was scared.</w:t>
      </w:r>
      <w:r w:rsidR="00E17D74" w:rsidRPr="00E17D74">
        <w:t xml:space="preserve"> </w:t>
      </w:r>
      <w:r w:rsidR="00E17D74">
        <w:t xml:space="preserve"> </w:t>
      </w:r>
      <w:r w:rsidR="00295067">
        <w:t>Jane Doe One disclosed to her parents a</w:t>
      </w:r>
      <w:r w:rsidR="008E12F5">
        <w:t xml:space="preserve"> few</w:t>
      </w:r>
      <w:r w:rsidR="00295067">
        <w:t xml:space="preserve"> weeks after the last incident</w:t>
      </w:r>
      <w:r w:rsidR="00F10BB6">
        <w:t xml:space="preserve"> of molest</w:t>
      </w:r>
      <w:r w:rsidR="006C7EBB">
        <w:t>ation</w:t>
      </w:r>
      <w:r w:rsidR="00295067">
        <w:t>.</w:t>
      </w:r>
      <w:r w:rsidR="00295067" w:rsidRPr="00295067">
        <w:t xml:space="preserve"> </w:t>
      </w:r>
    </w:p>
    <w:p w14:paraId="2921D9D2" w14:textId="31B4DBC2" w:rsidR="00295067" w:rsidRPr="00295067" w:rsidRDefault="00295067" w:rsidP="00BC0A36">
      <w:pPr>
        <w:pStyle w:val="Text"/>
        <w:ind w:firstLine="0"/>
        <w:rPr>
          <w:i/>
          <w:iCs/>
        </w:rPr>
      </w:pPr>
      <w:r>
        <w:tab/>
      </w:r>
      <w:r>
        <w:tab/>
      </w:r>
      <w:r>
        <w:rPr>
          <w:i/>
          <w:iCs/>
        </w:rPr>
        <w:t>ii.</w:t>
      </w:r>
      <w:r>
        <w:rPr>
          <w:i/>
          <w:iCs/>
        </w:rPr>
        <w:tab/>
        <w:t>Testimony of L.R.</w:t>
      </w:r>
    </w:p>
    <w:p w14:paraId="1E772496" w14:textId="7F33B607" w:rsidR="007F563D" w:rsidRDefault="00652454" w:rsidP="00BC0A36">
      <w:pPr>
        <w:pStyle w:val="Text"/>
        <w:ind w:firstLine="0"/>
      </w:pPr>
      <w:r>
        <w:t xml:space="preserve"> </w:t>
      </w:r>
      <w:r w:rsidR="00295067">
        <w:tab/>
        <w:t>L.R., the mother of Jane Does One and Two</w:t>
      </w:r>
      <w:r w:rsidR="00411C96">
        <w:t>,</w:t>
      </w:r>
      <w:r w:rsidR="00295067">
        <w:t xml:space="preserve"> testified that, at the time of trial, her family had been living in the garage on Villegas’s property for six years.</w:t>
      </w:r>
      <w:r w:rsidR="00295067" w:rsidRPr="00295067">
        <w:t xml:space="preserve"> </w:t>
      </w:r>
      <w:r w:rsidR="00F82115">
        <w:t xml:space="preserve"> Villegas and her husband A.R. had been friends for many years.</w:t>
      </w:r>
      <w:r w:rsidR="00F82115" w:rsidRPr="00F82115">
        <w:t xml:space="preserve"> </w:t>
      </w:r>
      <w:r w:rsidR="00F82115">
        <w:t xml:space="preserve"> According to L.R., when Villegas came home from work, he would tell her to have the girls come out and play.</w:t>
      </w:r>
      <w:r w:rsidR="00F82115" w:rsidRPr="00F82115">
        <w:t xml:space="preserve"> </w:t>
      </w:r>
      <w:r w:rsidR="00F82115">
        <w:t xml:space="preserve"> In May 2018, L.R. saw Villegas approach Jane Doe One from behind in the backyard and put his hands on her chest and crotch over her clothes.</w:t>
      </w:r>
      <w:r w:rsidR="00F82115" w:rsidRPr="00F82115">
        <w:t xml:space="preserve"> </w:t>
      </w:r>
      <w:r w:rsidR="00F82115">
        <w:t xml:space="preserve"> L.R. became very upset and “snatched” Jane Doe One away from him.</w:t>
      </w:r>
      <w:r w:rsidR="00F82115" w:rsidRPr="00F82115">
        <w:t xml:space="preserve"> </w:t>
      </w:r>
      <w:r w:rsidR="00F82115">
        <w:t xml:space="preserve"> She told Villegas that if he touched Jane Doe One </w:t>
      </w:r>
      <w:proofErr w:type="gramStart"/>
      <w:r w:rsidR="00F82115">
        <w:t>again</w:t>
      </w:r>
      <w:proofErr w:type="gramEnd"/>
      <w:r w:rsidR="00F82115">
        <w:t xml:space="preserve"> she would call the police.  Villegas responded that, if she called the police, he would “send [her] to Immigration.”  Villegas’s threat frightened L.R. </w:t>
      </w:r>
    </w:p>
    <w:p w14:paraId="4669C19C" w14:textId="3DD1F01F" w:rsidR="00D167D6" w:rsidRDefault="00F82115" w:rsidP="00F22428">
      <w:pPr>
        <w:pStyle w:val="Text"/>
        <w:ind w:firstLine="0"/>
      </w:pPr>
      <w:r>
        <w:tab/>
        <w:t xml:space="preserve">About a year later, </w:t>
      </w:r>
      <w:r w:rsidR="00D167D6">
        <w:t xml:space="preserve">in May 2019, </w:t>
      </w:r>
      <w:r>
        <w:t xml:space="preserve">L.R. became suspicious </w:t>
      </w:r>
      <w:r w:rsidR="00220358">
        <w:t>because</w:t>
      </w:r>
      <w:r>
        <w:t xml:space="preserve"> Villegas asked </w:t>
      </w:r>
      <w:r w:rsidR="00991F38">
        <w:t xml:space="preserve">her </w:t>
      </w:r>
      <w:r w:rsidR="00220358">
        <w:t xml:space="preserve">where Jane Doe One </w:t>
      </w:r>
      <w:r w:rsidR="00CB754C">
        <w:t xml:space="preserve">was </w:t>
      </w:r>
      <w:r w:rsidR="00991F38">
        <w:t>each time he returned from work</w:t>
      </w:r>
      <w:r w:rsidR="00220358">
        <w:t xml:space="preserve"> and wanted the girls to come out and play</w:t>
      </w:r>
      <w:r w:rsidR="00991F38">
        <w:t>.</w:t>
      </w:r>
      <w:r w:rsidR="00991F38" w:rsidRPr="00991F38">
        <w:t xml:space="preserve"> </w:t>
      </w:r>
      <w:r w:rsidR="00991F38">
        <w:t xml:space="preserve"> She asked </w:t>
      </w:r>
      <w:r w:rsidR="00CB754C">
        <w:t>the two sisters</w:t>
      </w:r>
      <w:r w:rsidR="00991F38">
        <w:t xml:space="preserve"> together whether Villegas had been touching them, and both girls confirmed that he had.</w:t>
      </w:r>
      <w:r w:rsidR="00991F38" w:rsidRPr="00991F38">
        <w:t xml:space="preserve"> </w:t>
      </w:r>
      <w:r w:rsidR="00991F38">
        <w:t xml:space="preserve"> L.R. told her husband and an administrator at Jane Doe Two’s school and then reported the matter to the police.</w:t>
      </w:r>
      <w:r w:rsidR="00991F38" w:rsidRPr="00991F38">
        <w:t xml:space="preserve"> </w:t>
      </w:r>
      <w:r w:rsidR="00991F38">
        <w:t xml:space="preserve"> </w:t>
      </w:r>
    </w:p>
    <w:p w14:paraId="42E8268A" w14:textId="444ADF5D" w:rsidR="00D167D6" w:rsidRPr="00D167D6" w:rsidRDefault="00D167D6" w:rsidP="00D167D6">
      <w:pPr>
        <w:pStyle w:val="Text"/>
        <w:ind w:firstLine="0"/>
        <w:rPr>
          <w:i/>
          <w:iCs/>
        </w:rPr>
      </w:pPr>
      <w:r>
        <w:tab/>
      </w:r>
      <w:r w:rsidR="00F82115">
        <w:t xml:space="preserve"> </w:t>
      </w:r>
      <w:r>
        <w:tab/>
      </w:r>
      <w:r>
        <w:rPr>
          <w:i/>
          <w:iCs/>
        </w:rPr>
        <w:t>i</w:t>
      </w:r>
      <w:r w:rsidR="006D2ED8">
        <w:rPr>
          <w:i/>
          <w:iCs/>
        </w:rPr>
        <w:t>ii</w:t>
      </w:r>
      <w:r>
        <w:rPr>
          <w:i/>
          <w:iCs/>
        </w:rPr>
        <w:t>.</w:t>
      </w:r>
      <w:r>
        <w:rPr>
          <w:i/>
          <w:iCs/>
        </w:rPr>
        <w:tab/>
        <w:t>Testimony of Jane Doe Two &amp; Her Forensic Interview</w:t>
      </w:r>
    </w:p>
    <w:p w14:paraId="46C5E5C5" w14:textId="080585F5" w:rsidR="002D49BB" w:rsidRDefault="00D167D6" w:rsidP="00D167D6">
      <w:pPr>
        <w:pStyle w:val="Text"/>
        <w:ind w:firstLine="0"/>
      </w:pPr>
      <w:r>
        <w:tab/>
        <w:t>Jane Doe Two was 10 at the time of trial.</w:t>
      </w:r>
      <w:r w:rsidRPr="00D167D6">
        <w:t xml:space="preserve"> </w:t>
      </w:r>
      <w:r>
        <w:t xml:space="preserve"> She generally responded that she did not know or did not remember when questioned by the prosecutor.</w:t>
      </w:r>
      <w:r w:rsidRPr="00D167D6">
        <w:t xml:space="preserve"> </w:t>
      </w:r>
      <w:r>
        <w:t xml:space="preserve"> </w:t>
      </w:r>
      <w:r w:rsidR="002D49BB">
        <w:t xml:space="preserve">However, Jane Doe Two did remember speaking to a police officer and, </w:t>
      </w:r>
      <w:r w:rsidR="002D49BB">
        <w:lastRenderedPageBreak/>
        <w:t>although she shook her head when asked if she remembered telling the office</w:t>
      </w:r>
      <w:r w:rsidR="00CB754C">
        <w:t>r</w:t>
      </w:r>
      <w:r w:rsidR="002D49BB">
        <w:t xml:space="preserve"> </w:t>
      </w:r>
      <w:r w:rsidR="0014271E">
        <w:t xml:space="preserve">that </w:t>
      </w:r>
      <w:r w:rsidR="002D49BB">
        <w:t>Villegas had touched her in ways that made her feel uncomfortable, she subsequently nodded and said “yeah”</w:t>
      </w:r>
      <w:r w:rsidR="00B03DD9">
        <w:t xml:space="preserve"> </w:t>
      </w:r>
      <w:r w:rsidR="002D49BB">
        <w:t xml:space="preserve">when asked if she remembered those things happening.  She also nodded her head when asked if it was </w:t>
      </w:r>
      <w:proofErr w:type="gramStart"/>
      <w:r w:rsidR="002D49BB">
        <w:t>really hard</w:t>
      </w:r>
      <w:proofErr w:type="gramEnd"/>
      <w:r w:rsidR="002D49BB">
        <w:t xml:space="preserve"> to be there and talk that day.</w:t>
      </w:r>
      <w:r w:rsidR="002D49BB" w:rsidRPr="002D49BB">
        <w:t xml:space="preserve"> </w:t>
      </w:r>
    </w:p>
    <w:p w14:paraId="7C898540" w14:textId="51ECE227" w:rsidR="00170921" w:rsidRDefault="002D49BB" w:rsidP="00D167D6">
      <w:pPr>
        <w:pStyle w:val="Text"/>
        <w:ind w:firstLine="0"/>
      </w:pPr>
      <w:r>
        <w:tab/>
      </w:r>
      <w:r w:rsidR="003E25F2">
        <w:t xml:space="preserve">City of </w:t>
      </w:r>
      <w:r>
        <w:t>Napa Detective Dustin Dodd was experienced in conducting forensic interviews of alleged victims of child molest</w:t>
      </w:r>
      <w:r w:rsidR="005950DA">
        <w:t>ation</w:t>
      </w:r>
      <w:r>
        <w:t>.</w:t>
      </w:r>
      <w:r w:rsidRPr="002D49BB">
        <w:t xml:space="preserve"> </w:t>
      </w:r>
      <w:r>
        <w:t xml:space="preserve"> He forensically interviewed Jane Doe Two, a recording of which was played for the jury.</w:t>
      </w:r>
      <w:r w:rsidRPr="002D49BB">
        <w:t xml:space="preserve"> </w:t>
      </w:r>
      <w:r w:rsidR="0014271E">
        <w:t xml:space="preserve"> During the interview, Jane Doe Two reported that, </w:t>
      </w:r>
      <w:r w:rsidR="00F93D89">
        <w:t xml:space="preserve">between Christmas and her birthday, she was outside with L.R. and Jane Doe One playing with a soccer ball when Villegas tickled her and dragged his hand across her chest over her clothes.  It made her feel </w:t>
      </w:r>
      <w:proofErr w:type="gramStart"/>
      <w:r w:rsidR="00F93D89">
        <w:t>“ ‘</w:t>
      </w:r>
      <w:proofErr w:type="gramEnd"/>
      <w:r w:rsidR="00F93D89">
        <w:t>[k]ind of sad.’ ”</w:t>
      </w:r>
      <w:r w:rsidR="00F93D89" w:rsidRPr="00F93D89">
        <w:t xml:space="preserve"> </w:t>
      </w:r>
      <w:r w:rsidR="00F93D89">
        <w:t xml:space="preserve"> Another time when she was playing outside by herself, Villegas tickled her and then touched her vaginal area over her clothes.  She felt </w:t>
      </w:r>
      <w:proofErr w:type="gramStart"/>
      <w:r w:rsidR="00F93D89">
        <w:t>“ ‘</w:t>
      </w:r>
      <w:proofErr w:type="gramEnd"/>
      <w:r w:rsidR="00F93D89">
        <w:t>kind of nervous.’ ”</w:t>
      </w:r>
      <w:r w:rsidR="0014271E">
        <w:t xml:space="preserve"> </w:t>
      </w:r>
      <w:r w:rsidR="00F93D89">
        <w:t xml:space="preserve"> When asked how she felt about Villegas, Jane Doe Two responded</w:t>
      </w:r>
      <w:proofErr w:type="gramStart"/>
      <w:r w:rsidR="00F93D89">
        <w:t>:  “</w:t>
      </w:r>
      <w:proofErr w:type="gramEnd"/>
      <w:r w:rsidR="00F93D89">
        <w:t> ‘Um, kind of bad.’ ”</w:t>
      </w:r>
      <w:r w:rsidR="00F93D89" w:rsidRPr="00F93D89">
        <w:t xml:space="preserve"> </w:t>
      </w:r>
      <w:r w:rsidR="00F93D89">
        <w:t xml:space="preserve">  </w:t>
      </w:r>
      <w:r>
        <w:t xml:space="preserve">    </w:t>
      </w:r>
    </w:p>
    <w:p w14:paraId="2D3AD4C5" w14:textId="3C7732B5" w:rsidR="00CD5903" w:rsidRPr="00D167D6" w:rsidRDefault="00CD5903" w:rsidP="00CD5903">
      <w:pPr>
        <w:pStyle w:val="Text"/>
        <w:ind w:firstLine="0"/>
        <w:rPr>
          <w:i/>
          <w:iCs/>
        </w:rPr>
      </w:pPr>
      <w:r>
        <w:rPr>
          <w:i/>
          <w:iCs/>
        </w:rPr>
        <w:tab/>
      </w:r>
      <w:r w:rsidR="006D2ED8">
        <w:rPr>
          <w:i/>
          <w:iCs/>
        </w:rPr>
        <w:t>i</w:t>
      </w:r>
      <w:r>
        <w:rPr>
          <w:i/>
          <w:iCs/>
        </w:rPr>
        <w:t>v.</w:t>
      </w:r>
      <w:r>
        <w:rPr>
          <w:i/>
          <w:iCs/>
        </w:rPr>
        <w:tab/>
        <w:t>Villegas’s First Interrogation</w:t>
      </w:r>
    </w:p>
    <w:p w14:paraId="42E3746A" w14:textId="1E2ABAB7" w:rsidR="00F82115" w:rsidRPr="001B13AD" w:rsidRDefault="00CD5903" w:rsidP="00D167D6">
      <w:pPr>
        <w:pStyle w:val="Text"/>
        <w:ind w:firstLine="0"/>
      </w:pPr>
      <w:r>
        <w:tab/>
        <w:t xml:space="preserve">On May 22, 2019, Detective Dodd and </w:t>
      </w:r>
      <w:r w:rsidR="00091537">
        <w:t xml:space="preserve">City of </w:t>
      </w:r>
      <w:r>
        <w:t>Napa Detective Jason Barrera interview</w:t>
      </w:r>
      <w:r w:rsidR="00411C96">
        <w:t>ed</w:t>
      </w:r>
      <w:r>
        <w:t xml:space="preserve"> Villegas at the police station.</w:t>
      </w:r>
      <w:r w:rsidRPr="00CD5903">
        <w:t xml:space="preserve"> </w:t>
      </w:r>
      <w:r>
        <w:t xml:space="preserve"> A recording of the interview was played for the jury.</w:t>
      </w:r>
      <w:r w:rsidRPr="00CD5903">
        <w:t xml:space="preserve"> </w:t>
      </w:r>
      <w:r>
        <w:t xml:space="preserve"> </w:t>
      </w:r>
      <w:r w:rsidR="00F22428">
        <w:t xml:space="preserve">At the outset of the interview, Villegas was advised of his </w:t>
      </w:r>
      <w:r w:rsidR="00F22428" w:rsidRPr="00E979C5">
        <w:rPr>
          <w:i/>
          <w:iCs/>
        </w:rPr>
        <w:t>Miranda</w:t>
      </w:r>
      <w:r w:rsidR="00F22428">
        <w:t xml:space="preserve"> rights in both English and Spanish, confirmed his understanding, agreed to talk with the detectives</w:t>
      </w:r>
      <w:r w:rsidR="00030BDF">
        <w:t>,</w:t>
      </w:r>
      <w:r w:rsidR="00F22428">
        <w:t xml:space="preserve"> and proceeded to speak at length.  </w:t>
      </w:r>
      <w:r>
        <w:t>During a large portion of the interview, Villegas failed to provide any useful information.</w:t>
      </w:r>
      <w:r w:rsidRPr="00CD5903">
        <w:t xml:space="preserve"> </w:t>
      </w:r>
      <w:r>
        <w:t xml:space="preserve"> However, after Detective Dodd informed Villegas that the police had spoken to Jane Does One and Two and L.R. who told them </w:t>
      </w:r>
      <w:proofErr w:type="gramStart"/>
      <w:r>
        <w:t>“ ‘</w:t>
      </w:r>
      <w:proofErr w:type="gramEnd"/>
      <w:r>
        <w:t xml:space="preserve">everything,’ ” </w:t>
      </w:r>
      <w:r w:rsidR="001B13AD">
        <w:t>Villegas</w:t>
      </w:r>
      <w:r>
        <w:t xml:space="preserve"> admitted that one time he hugged Jane Doe One and her </w:t>
      </w:r>
      <w:r w:rsidR="00CB754C">
        <w:t>“</w:t>
      </w:r>
      <w:r>
        <w:t>boobie did get grabbed</w:t>
      </w:r>
      <w:r w:rsidR="00030BDF">
        <w:t>.</w:t>
      </w:r>
      <w:r w:rsidR="00F22428">
        <w:t>”</w:t>
      </w:r>
      <w:r w:rsidR="001B13AD" w:rsidRPr="001B13AD">
        <w:t xml:space="preserve"> </w:t>
      </w:r>
      <w:r w:rsidR="001B13AD">
        <w:t xml:space="preserve"> Villegas then admitted to “squeez[ing] a little boob</w:t>
      </w:r>
      <w:r w:rsidR="002B4C82">
        <w:t>”</w:t>
      </w:r>
      <w:r w:rsidR="001B13AD">
        <w:t xml:space="preserve"> two times and acknowledged he had made a mistake.</w:t>
      </w:r>
      <w:r w:rsidR="001B13AD" w:rsidRPr="001B13AD">
        <w:t xml:space="preserve"> </w:t>
      </w:r>
      <w:r w:rsidR="001B13AD">
        <w:t xml:space="preserve">  </w:t>
      </w:r>
    </w:p>
    <w:p w14:paraId="284249BA" w14:textId="7D49B044" w:rsidR="007F563D" w:rsidRDefault="007F563D" w:rsidP="005E4335">
      <w:pPr>
        <w:pStyle w:val="Text"/>
        <w:keepNext/>
        <w:ind w:firstLine="0"/>
        <w:rPr>
          <w:b/>
          <w:bCs/>
          <w:i/>
          <w:iCs/>
        </w:rPr>
      </w:pPr>
      <w:r>
        <w:rPr>
          <w:b/>
          <w:bCs/>
          <w:i/>
          <w:iCs/>
        </w:rPr>
        <w:lastRenderedPageBreak/>
        <w:tab/>
        <w:t xml:space="preserve">2.  </w:t>
      </w:r>
      <w:r w:rsidR="00424693">
        <w:rPr>
          <w:b/>
          <w:bCs/>
          <w:i/>
          <w:iCs/>
        </w:rPr>
        <w:tab/>
      </w:r>
      <w:r w:rsidR="00BE41CF">
        <w:rPr>
          <w:b/>
          <w:bCs/>
          <w:i/>
          <w:iCs/>
        </w:rPr>
        <w:t>Allegations Regarding</w:t>
      </w:r>
      <w:r>
        <w:rPr>
          <w:b/>
          <w:bCs/>
          <w:i/>
          <w:iCs/>
        </w:rPr>
        <w:t xml:space="preserve"> Jane Doe Three</w:t>
      </w:r>
    </w:p>
    <w:p w14:paraId="4FBA6B65" w14:textId="5B2AE87F" w:rsidR="00CF4FDA" w:rsidRPr="00463BF3" w:rsidRDefault="007F563D" w:rsidP="005E4335">
      <w:pPr>
        <w:pStyle w:val="Text"/>
        <w:keepNext/>
        <w:ind w:firstLine="0"/>
        <w:rPr>
          <w:i/>
          <w:iCs/>
        </w:rPr>
      </w:pPr>
      <w:r>
        <w:rPr>
          <w:rFonts w:eastAsia="Times New Roman"/>
          <w:b/>
          <w:bCs/>
          <w:i/>
          <w:iCs/>
        </w:rPr>
        <w:tab/>
      </w:r>
      <w:r w:rsidR="00CF4FDA">
        <w:rPr>
          <w:rFonts w:eastAsia="Times New Roman"/>
          <w:b/>
          <w:bCs/>
          <w:i/>
          <w:iCs/>
        </w:rPr>
        <w:tab/>
      </w:r>
      <w:r w:rsidR="00CF4FDA">
        <w:rPr>
          <w:i/>
          <w:iCs/>
        </w:rPr>
        <w:t>i.</w:t>
      </w:r>
      <w:r w:rsidR="00CF4FDA">
        <w:rPr>
          <w:i/>
          <w:iCs/>
        </w:rPr>
        <w:tab/>
        <w:t>Testimony of Jane Doe Three</w:t>
      </w:r>
    </w:p>
    <w:p w14:paraId="121335A5" w14:textId="70DAC21C" w:rsidR="007F563D" w:rsidRPr="00CF4FDA" w:rsidRDefault="00CF4FDA" w:rsidP="005E4335">
      <w:pPr>
        <w:pStyle w:val="Text"/>
        <w:keepNext/>
        <w:ind w:firstLine="0"/>
      </w:pPr>
      <w:r>
        <w:tab/>
      </w:r>
      <w:r w:rsidR="007F563D">
        <w:rPr>
          <w:rFonts w:eastAsia="Times New Roman"/>
        </w:rPr>
        <w:t xml:space="preserve">Jane Doe </w:t>
      </w:r>
      <w:r w:rsidR="0011721E">
        <w:rPr>
          <w:rFonts w:eastAsia="Times New Roman"/>
        </w:rPr>
        <w:t xml:space="preserve">Three was 25 years old at the time of </w:t>
      </w:r>
      <w:r w:rsidR="00463BF3">
        <w:rPr>
          <w:rFonts w:eastAsia="Times New Roman"/>
        </w:rPr>
        <w:t xml:space="preserve">the </w:t>
      </w:r>
      <w:r w:rsidR="0011721E">
        <w:rPr>
          <w:rFonts w:eastAsia="Times New Roman"/>
        </w:rPr>
        <w:t xml:space="preserve">trial. </w:t>
      </w:r>
      <w:r w:rsidR="0011721E" w:rsidRPr="0056321E">
        <w:t xml:space="preserve"> </w:t>
      </w:r>
      <w:r w:rsidR="00463BF3">
        <w:rPr>
          <w:rFonts w:eastAsia="Times New Roman"/>
        </w:rPr>
        <w:t xml:space="preserve">Before living on the same property with Jane Does One and Two, she lived at another residence with Villegas, G.V., and her younger sister.  </w:t>
      </w:r>
      <w:r w:rsidR="00463BF3">
        <w:t>She shared a bedroom and bathroom with her sister.</w:t>
      </w:r>
      <w:r w:rsidR="00463BF3" w:rsidRPr="00463BF3">
        <w:t xml:space="preserve"> </w:t>
      </w:r>
      <w:r w:rsidR="00463BF3" w:rsidRPr="0056321E">
        <w:t xml:space="preserve"> </w:t>
      </w:r>
      <w:r w:rsidR="00463BF3">
        <w:t>Jane Doe Three testified that Villegas “raped [her]” when she was 14 years old.  On the morning of the assault, she got up early and went to the bathroom to get ready for school.</w:t>
      </w:r>
      <w:r w:rsidR="00463BF3" w:rsidRPr="0056321E">
        <w:t xml:space="preserve"> </w:t>
      </w:r>
      <w:r w:rsidR="00463BF3">
        <w:t xml:space="preserve"> Villegas knocked on the door, entered the bathroom, and hugged her from behin</w:t>
      </w:r>
      <w:r w:rsidR="00EE0A95">
        <w:t>d</w:t>
      </w:r>
      <w:r w:rsidR="00463BF3">
        <w:t xml:space="preserve"> which was “normal.”</w:t>
      </w:r>
      <w:r w:rsidR="00463BF3" w:rsidRPr="00463BF3">
        <w:t xml:space="preserve"> </w:t>
      </w:r>
      <w:r w:rsidR="00463BF3" w:rsidRPr="0056321E">
        <w:t xml:space="preserve"> </w:t>
      </w:r>
      <w:r w:rsidR="00463BF3">
        <w:t>However, Villegas started massaging Jane Doe Three’s crotch.  She felt uncomfortable and tried to move but Villegas persisted.</w:t>
      </w:r>
      <w:r w:rsidR="00463BF3" w:rsidRPr="00463BF3">
        <w:t xml:space="preserve"> </w:t>
      </w:r>
      <w:r w:rsidR="00EE0A95">
        <w:t xml:space="preserve"> Villegas told Jane Doe Three to </w:t>
      </w:r>
      <w:proofErr w:type="gramStart"/>
      <w:r w:rsidR="00EE0A95">
        <w:t>“ ‘</w:t>
      </w:r>
      <w:proofErr w:type="gramEnd"/>
      <w:r w:rsidR="00EE0A95">
        <w:t>wet [her]self.’ ”</w:t>
      </w:r>
      <w:r w:rsidR="00EE0A95" w:rsidRPr="00EE0A95">
        <w:t xml:space="preserve"> </w:t>
      </w:r>
      <w:r w:rsidR="00EE0A95" w:rsidRPr="0056321E">
        <w:t xml:space="preserve"> </w:t>
      </w:r>
      <w:r w:rsidR="00EE0A95">
        <w:t>He then put his hand down her pants under her underwear and “massag[ed] harder</w:t>
      </w:r>
      <w:r w:rsidR="00FB40D0">
        <w:t>,</w:t>
      </w:r>
      <w:r w:rsidR="005950DA">
        <w:t>”</w:t>
      </w:r>
      <w:r w:rsidR="00EE0A95">
        <w:t xml:space="preserve"> ultimately penetrating her vagina with his finger.</w:t>
      </w:r>
      <w:r w:rsidR="00EE0A95" w:rsidRPr="00EE0A95">
        <w:t xml:space="preserve"> </w:t>
      </w:r>
      <w:r w:rsidR="00EE0A95">
        <w:t xml:space="preserve"> According to Jane Doe Three, it was painful.  She cried and attempted to end the assault by falling to the bathroom floor.</w:t>
      </w:r>
      <w:r w:rsidR="00EE0A95" w:rsidRPr="00EE0A95">
        <w:t xml:space="preserve"> </w:t>
      </w:r>
      <w:r w:rsidR="00EE0A95" w:rsidRPr="0056321E">
        <w:t xml:space="preserve"> </w:t>
      </w:r>
      <w:r w:rsidR="00EE0A95">
        <w:t>Jane Doe Three told him to stop multiple times</w:t>
      </w:r>
      <w:r w:rsidR="00030BDF">
        <w:t>,</w:t>
      </w:r>
      <w:r w:rsidR="00EE0A95">
        <w:t xml:space="preserve"> but he continued what he was doing for what seemed like a long time.</w:t>
      </w:r>
      <w:r w:rsidR="00EE0A95" w:rsidRPr="00EE0A95">
        <w:t xml:space="preserve"> </w:t>
      </w:r>
      <w:r w:rsidR="00EE0A95" w:rsidRPr="0056321E">
        <w:t xml:space="preserve">  </w:t>
      </w:r>
      <w:r w:rsidR="00463BF3" w:rsidRPr="0056321E">
        <w:t xml:space="preserve">   </w:t>
      </w:r>
      <w:r w:rsidR="007F563D">
        <w:rPr>
          <w:rFonts w:eastAsia="Times New Roman"/>
        </w:rPr>
        <w:t xml:space="preserve"> </w:t>
      </w:r>
    </w:p>
    <w:p w14:paraId="17A1BD9B" w14:textId="74A415A8" w:rsidR="007F563D" w:rsidRDefault="00EE0A95" w:rsidP="00BC0A36">
      <w:pPr>
        <w:pStyle w:val="Text"/>
        <w:ind w:firstLine="0"/>
        <w:rPr>
          <w:rFonts w:eastAsia="Times New Roman"/>
        </w:rPr>
      </w:pPr>
      <w:r>
        <w:rPr>
          <w:rFonts w:eastAsia="Times New Roman"/>
        </w:rPr>
        <w:tab/>
        <w:t>Villegas next picked Jane Doe Three up and placed her on the toilet.  He pulled down her pajama pants and underwear and performed oral sex on her by licking her vagina</w:t>
      </w:r>
      <w:r w:rsidR="00664276">
        <w:rPr>
          <w:rFonts w:eastAsia="Times New Roman"/>
        </w:rPr>
        <w:t xml:space="preserve"> for what seemed to her to be a long time</w:t>
      </w:r>
      <w:r>
        <w:rPr>
          <w:rFonts w:eastAsia="Times New Roman"/>
        </w:rPr>
        <w:t>.</w:t>
      </w:r>
      <w:r w:rsidRPr="00EE0A95">
        <w:t xml:space="preserve"> </w:t>
      </w:r>
      <w:r>
        <w:t xml:space="preserve"> When Jane Doe Three continued to cry, he told her to shut up.</w:t>
      </w:r>
      <w:r w:rsidRPr="00EE0A95">
        <w:t xml:space="preserve"> </w:t>
      </w:r>
      <w:r>
        <w:t xml:space="preserve"> </w:t>
      </w:r>
      <w:r w:rsidR="00664276">
        <w:t>According to Jane Doe Three, Villegas told her “he was showing [her] what one day [she] couldn’t let a bo</w:t>
      </w:r>
      <w:r w:rsidR="00A63F6F">
        <w:t>y</w:t>
      </w:r>
      <w:r w:rsidR="00664276">
        <w:t xml:space="preserve"> do to” her.</w:t>
      </w:r>
      <w:r w:rsidR="00664276" w:rsidRPr="00664276">
        <w:t xml:space="preserve"> </w:t>
      </w:r>
    </w:p>
    <w:p w14:paraId="4A5EBB7A" w14:textId="2D70A6BF" w:rsidR="007F563D" w:rsidRDefault="00664276" w:rsidP="00BC0A36">
      <w:pPr>
        <w:pStyle w:val="Text"/>
        <w:ind w:firstLine="0"/>
      </w:pPr>
      <w:r>
        <w:rPr>
          <w:rFonts w:eastAsia="Times New Roman"/>
        </w:rPr>
        <w:tab/>
        <w:t>Thereafter, Villegas pulled down his own pants and underwear, crouched over Jane Doe Three on the toilet, and inserted his penis in her vagina, thrusting his hips back and forth.</w:t>
      </w:r>
      <w:r w:rsidRPr="00664276">
        <w:t xml:space="preserve"> </w:t>
      </w:r>
      <w:r>
        <w:t xml:space="preserve"> Jane Doe Three felt physically “numb,” and just stayed limp on the toilet, thinking there was nowhere she </w:t>
      </w:r>
      <w:r>
        <w:lastRenderedPageBreak/>
        <w:t>could go.  Villegas asked her if she could “feel it,” and she said yes.</w:t>
      </w:r>
      <w:r w:rsidRPr="00664276">
        <w:t xml:space="preserve"> </w:t>
      </w:r>
      <w:r>
        <w:t xml:space="preserve"> The thrusting seemed to last a long time.  Villegas did not seem intoxicated or smell of alcohol.</w:t>
      </w:r>
      <w:r w:rsidRPr="00664276">
        <w:t xml:space="preserve"> </w:t>
      </w:r>
      <w:r>
        <w:t xml:space="preserve"> At some point, Vill</w:t>
      </w:r>
      <w:r w:rsidR="00CB754C">
        <w:t>eg</w:t>
      </w:r>
      <w:r>
        <w:t xml:space="preserve">as stopped and ejaculated into a trash can.  He forced Jane Doe Three to watch, telling her </w:t>
      </w:r>
      <w:proofErr w:type="gramStart"/>
      <w:r>
        <w:t>“ ‘</w:t>
      </w:r>
      <w:proofErr w:type="gramEnd"/>
      <w:r>
        <w:t>this is what you can’t let get inside of you.’ ”</w:t>
      </w:r>
      <w:r w:rsidRPr="00664276">
        <w:t xml:space="preserve"> </w:t>
      </w:r>
      <w:r>
        <w:t xml:space="preserve"> Jane Doe Three nodded because she “just wanted it to end.”  Physically she felt numb</w:t>
      </w:r>
      <w:r w:rsidR="00CB754C">
        <w:t>,</w:t>
      </w:r>
      <w:r>
        <w:t xml:space="preserve"> and, emotionally</w:t>
      </w:r>
      <w:r w:rsidR="00E85C42">
        <w:t>,</w:t>
      </w:r>
      <w:r>
        <w:t xml:space="preserve"> her</w:t>
      </w:r>
      <w:r w:rsidR="00324C5C">
        <w:t xml:space="preserve"> “heart was broken.”</w:t>
      </w:r>
      <w:r>
        <w:t xml:space="preserve"> </w:t>
      </w:r>
      <w:r w:rsidR="00324C5C">
        <w:t xml:space="preserve"> After Villegas left, she finished getting ready for school and went to the dining table, where Villegas served her a bowl of cereal.</w:t>
      </w:r>
      <w:r w:rsidR="00324C5C" w:rsidRPr="00324C5C">
        <w:t xml:space="preserve"> </w:t>
      </w:r>
      <w:r w:rsidR="00324C5C">
        <w:t xml:space="preserve"> He told Jane Doe Three that “he was sorry and that it never should have happened.”</w:t>
      </w:r>
      <w:r w:rsidR="00324C5C" w:rsidRPr="00324C5C">
        <w:t xml:space="preserve"> </w:t>
      </w:r>
      <w:r w:rsidR="00324C5C">
        <w:t xml:space="preserve"> He then drove her to school. </w:t>
      </w:r>
    </w:p>
    <w:p w14:paraId="40325BD6" w14:textId="0A098248" w:rsidR="00664276" w:rsidRDefault="00324C5C" w:rsidP="00BC0A36">
      <w:pPr>
        <w:pStyle w:val="Text"/>
        <w:ind w:firstLine="0"/>
      </w:pPr>
      <w:r>
        <w:tab/>
        <w:t>After th</w:t>
      </w:r>
      <w:r w:rsidR="00E85C42">
        <w:t>at day</w:t>
      </w:r>
      <w:r>
        <w:t>, on two separate occasions when Villegas was drunk, he entered her bedroom and asked her to follow him into the bathroom so he could “show [her] something.</w:t>
      </w:r>
      <w:r w:rsidR="00E914B1">
        <w:t>”</w:t>
      </w:r>
      <w:r w:rsidRPr="00324C5C">
        <w:t xml:space="preserve"> </w:t>
      </w:r>
      <w:r>
        <w:t xml:space="preserve"> She refused to comply but was scared.  On those nights, she locked her bedroom door and barricaded it with a table to make sure Villegas could not enter.</w:t>
      </w:r>
      <w:r w:rsidRPr="00324C5C">
        <w:t xml:space="preserve"> </w:t>
      </w:r>
      <w:r>
        <w:t xml:space="preserve"> Jane Doe Three testified that, </w:t>
      </w:r>
      <w:proofErr w:type="gramStart"/>
      <w:r>
        <w:t>as a result of</w:t>
      </w:r>
      <w:proofErr w:type="gramEnd"/>
      <w:r>
        <w:t xml:space="preserve"> the abuse</w:t>
      </w:r>
      <w:r w:rsidR="001B3AC3">
        <w:t>,</w:t>
      </w:r>
      <w:r>
        <w:t xml:space="preserve"> she felt depressed, had PTSD, and couldn’t </w:t>
      </w:r>
      <w:r w:rsidR="005950DA">
        <w:t>“</w:t>
      </w:r>
      <w:r>
        <w:t>really think because [she was</w:t>
      </w:r>
      <w:r w:rsidR="005950DA">
        <w:t>]</w:t>
      </w:r>
      <w:r>
        <w:t xml:space="preserve"> constantly scared that [she] might get hurt.”</w:t>
      </w:r>
      <w:r w:rsidRPr="00324C5C">
        <w:t xml:space="preserve"> </w:t>
      </w:r>
      <w:r>
        <w:t xml:space="preserve"> She tried to take her own life </w:t>
      </w:r>
      <w:r w:rsidR="00E85C42">
        <w:t>“</w:t>
      </w:r>
      <w:r>
        <w:t>a few</w:t>
      </w:r>
      <w:r w:rsidR="00E85C42">
        <w:t>”</w:t>
      </w:r>
      <w:r>
        <w:t xml:space="preserve"> times. </w:t>
      </w:r>
    </w:p>
    <w:p w14:paraId="1D90A901" w14:textId="7AEC6676" w:rsidR="00664276" w:rsidRDefault="00324C5C" w:rsidP="00BC0A36">
      <w:pPr>
        <w:pStyle w:val="Text"/>
        <w:ind w:firstLine="0"/>
      </w:pPr>
      <w:r>
        <w:tab/>
      </w:r>
      <w:r w:rsidR="005B541F">
        <w:t>Jane Doe Three first disclosed the abuse to her mother, although she was not sure when.  Jane Doe Three disclosed the abuse to her fiancé, J.O.</w:t>
      </w:r>
      <w:r w:rsidR="00E85C42">
        <w:t>,</w:t>
      </w:r>
      <w:r w:rsidR="005B541F">
        <w:t xml:space="preserve"> on the day the police arrested Villegas for molesting Jane Does One and Two.  As Jane Doe Three explained</w:t>
      </w:r>
      <w:proofErr w:type="gramStart"/>
      <w:r w:rsidR="005B541F">
        <w:t>:  “</w:t>
      </w:r>
      <w:proofErr w:type="gramEnd"/>
      <w:r w:rsidR="005B541F">
        <w:t xml:space="preserve">We wanted to know why he got arrested, so we looked up the charges.  And [J.O.] asked me if I thought that my dad </w:t>
      </w:r>
      <w:proofErr w:type="gramStart"/>
      <w:r w:rsidR="005B541F">
        <w:t>was capable of doing</w:t>
      </w:r>
      <w:proofErr w:type="gramEnd"/>
      <w:r w:rsidR="005B541F">
        <w:t xml:space="preserve"> anything of that sort and I told him yes.  And [J.O.] said why and I said because it happened to me.</w:t>
      </w:r>
      <w:r w:rsidR="005950DA">
        <w:t>”</w:t>
      </w:r>
      <w:r w:rsidR="005B541F" w:rsidRPr="005B541F">
        <w:t xml:space="preserve"> </w:t>
      </w:r>
    </w:p>
    <w:p w14:paraId="7C199053" w14:textId="2E219BF2" w:rsidR="005A3223" w:rsidRPr="00463BF3" w:rsidRDefault="005A3223" w:rsidP="005E4335">
      <w:pPr>
        <w:pStyle w:val="Text"/>
        <w:keepNext/>
        <w:ind w:firstLine="0"/>
        <w:rPr>
          <w:i/>
          <w:iCs/>
        </w:rPr>
      </w:pPr>
      <w:r>
        <w:rPr>
          <w:i/>
          <w:iCs/>
        </w:rPr>
        <w:lastRenderedPageBreak/>
        <w:tab/>
      </w:r>
      <w:r>
        <w:rPr>
          <w:i/>
          <w:iCs/>
        </w:rPr>
        <w:tab/>
        <w:t>ii.</w:t>
      </w:r>
      <w:r>
        <w:rPr>
          <w:i/>
          <w:iCs/>
        </w:rPr>
        <w:tab/>
        <w:t>Testimony of J.O.</w:t>
      </w:r>
    </w:p>
    <w:p w14:paraId="078E6085" w14:textId="28192D4A" w:rsidR="005A3223" w:rsidRDefault="005A3223" w:rsidP="005E4335">
      <w:pPr>
        <w:pStyle w:val="Text"/>
        <w:keepNext/>
        <w:ind w:firstLine="0"/>
      </w:pPr>
      <w:r>
        <w:tab/>
      </w:r>
      <w:r>
        <w:rPr>
          <w:rFonts w:eastAsia="Times New Roman"/>
        </w:rPr>
        <w:t>J.O.</w:t>
      </w:r>
      <w:r w:rsidR="00E914B1">
        <w:rPr>
          <w:rFonts w:eastAsia="Times New Roman"/>
        </w:rPr>
        <w:t>, Jane Doe Three’s fiancé,</w:t>
      </w:r>
      <w:r>
        <w:rPr>
          <w:rFonts w:eastAsia="Times New Roman"/>
        </w:rPr>
        <w:t xml:space="preserve"> testified that, when Jane Doe Three disclosed the abuse to him, “[s]he had a complete emotional breakdown” and was “hysterically crying.”</w:t>
      </w:r>
      <w:r w:rsidRPr="005A3223">
        <w:t xml:space="preserve"> </w:t>
      </w:r>
      <w:r>
        <w:t xml:space="preserve"> J.O. called the police that same day, May 23, 2019.</w:t>
      </w:r>
      <w:r w:rsidRPr="005A3223">
        <w:t xml:space="preserve"> </w:t>
      </w:r>
      <w:r>
        <w:t xml:space="preserve"> </w:t>
      </w:r>
    </w:p>
    <w:p w14:paraId="3AA45E46" w14:textId="6F2031A0" w:rsidR="00815AFD" w:rsidRPr="00D167D6" w:rsidRDefault="00815AFD" w:rsidP="00815AFD">
      <w:pPr>
        <w:pStyle w:val="Text"/>
        <w:ind w:firstLine="0"/>
        <w:rPr>
          <w:i/>
          <w:iCs/>
        </w:rPr>
      </w:pPr>
      <w:r>
        <w:rPr>
          <w:i/>
          <w:iCs/>
        </w:rPr>
        <w:tab/>
      </w:r>
      <w:r>
        <w:rPr>
          <w:i/>
          <w:iCs/>
        </w:rPr>
        <w:tab/>
        <w:t>iii.</w:t>
      </w:r>
      <w:r>
        <w:rPr>
          <w:i/>
          <w:iCs/>
        </w:rPr>
        <w:tab/>
        <w:t>Villegas’s Second Interrogation</w:t>
      </w:r>
    </w:p>
    <w:p w14:paraId="72FCDD8A" w14:textId="6B3E0A31" w:rsidR="00664276" w:rsidRPr="00BA5430" w:rsidRDefault="00815AFD" w:rsidP="00815AFD">
      <w:pPr>
        <w:pStyle w:val="Text"/>
        <w:ind w:firstLine="0"/>
      </w:pPr>
      <w:r>
        <w:tab/>
        <w:t xml:space="preserve">On May 24, 2019, </w:t>
      </w:r>
      <w:r w:rsidR="00053539">
        <w:t xml:space="preserve">Detective Berrera interviewed Jane Doe Three regarding her sexual abuse allegations.  </w:t>
      </w:r>
      <w:r>
        <w:t xml:space="preserve">Detectives Dodd and Barrera </w:t>
      </w:r>
      <w:r w:rsidR="00053539">
        <w:t>then questioned</w:t>
      </w:r>
      <w:r>
        <w:t xml:space="preserve"> Villegas a second time with respect to the allegations made by Jane Doe Three.</w:t>
      </w:r>
      <w:r w:rsidRPr="00815AFD">
        <w:t xml:space="preserve"> </w:t>
      </w:r>
      <w:r>
        <w:t xml:space="preserve"> A recording of the int</w:t>
      </w:r>
      <w:r w:rsidR="00053539">
        <w:t>errogation</w:t>
      </w:r>
      <w:r>
        <w:t xml:space="preserve"> was played for the jury.</w:t>
      </w:r>
      <w:r w:rsidRPr="00CD5903">
        <w:t xml:space="preserve"> </w:t>
      </w:r>
      <w:r>
        <w:t xml:space="preserve"> As discussed further below, Villegas eventually admitted that he had made a single mistake and that everything Jane Doe Three said was true.</w:t>
      </w:r>
      <w:r w:rsidRPr="00815AFD">
        <w:t xml:space="preserve"> </w:t>
      </w:r>
    </w:p>
    <w:p w14:paraId="5B74D0AF" w14:textId="5F8E4AF6" w:rsidR="009903C2" w:rsidRPr="0056321E" w:rsidRDefault="009903C2" w:rsidP="009903C2">
      <w:pPr>
        <w:shd w:val="clear" w:color="auto" w:fill="FFFFFF"/>
        <w:tabs>
          <w:tab w:val="clear" w:pos="720"/>
        </w:tabs>
        <w:spacing w:line="360" w:lineRule="auto"/>
        <w:textAlignment w:val="baseline"/>
        <w:rPr>
          <w:rFonts w:ascii="Century Schoolbook" w:eastAsia="Times New Roman" w:hAnsi="Century Schoolbook"/>
          <w:b/>
          <w:bCs/>
          <w:i/>
          <w:iCs/>
          <w:color w:val="212121"/>
        </w:rPr>
      </w:pPr>
      <w:r>
        <w:rPr>
          <w:rFonts w:ascii="Century Schoolbook" w:eastAsia="Times New Roman" w:hAnsi="Century Schoolbook"/>
          <w:b/>
          <w:bCs/>
          <w:i/>
          <w:iCs/>
          <w:color w:val="212121"/>
        </w:rPr>
        <w:t>B.</w:t>
      </w:r>
      <w:r>
        <w:rPr>
          <w:rFonts w:ascii="Century Schoolbook" w:eastAsia="Times New Roman" w:hAnsi="Century Schoolbook"/>
          <w:b/>
          <w:bCs/>
          <w:i/>
          <w:iCs/>
          <w:color w:val="212121"/>
        </w:rPr>
        <w:tab/>
      </w:r>
      <w:r w:rsidR="0056321E" w:rsidRPr="0056321E">
        <w:rPr>
          <w:rFonts w:ascii="Century Schoolbook" w:eastAsia="Times New Roman" w:hAnsi="Century Schoolbook"/>
          <w:b/>
          <w:bCs/>
          <w:i/>
          <w:iCs/>
          <w:color w:val="212121"/>
        </w:rPr>
        <w:t>Verdicts and Sentencing</w:t>
      </w:r>
    </w:p>
    <w:p w14:paraId="6C4F8079" w14:textId="74C38C76" w:rsidR="00692CB6" w:rsidRDefault="007E6E48" w:rsidP="002628E5">
      <w:pPr>
        <w:shd w:val="clear" w:color="auto" w:fill="FFFFFF"/>
        <w:tabs>
          <w:tab w:val="clear" w:pos="720"/>
        </w:tabs>
        <w:spacing w:line="360" w:lineRule="auto"/>
        <w:ind w:firstLine="720"/>
        <w:textAlignment w:val="baseline"/>
        <w:rPr>
          <w:rFonts w:ascii="Century Schoolbook" w:hAnsi="Century Schoolbook"/>
        </w:rPr>
      </w:pPr>
      <w:r w:rsidRPr="0056321E">
        <w:rPr>
          <w:rFonts w:ascii="Century Schoolbook" w:eastAsia="Times New Roman" w:hAnsi="Century Schoolbook"/>
          <w:color w:val="212121"/>
        </w:rPr>
        <w:t xml:space="preserve">On </w:t>
      </w:r>
      <w:r w:rsidR="0056321E">
        <w:rPr>
          <w:rFonts w:ascii="Century Schoolbook" w:eastAsia="Times New Roman" w:hAnsi="Century Schoolbook"/>
          <w:color w:val="212121"/>
        </w:rPr>
        <w:t>September</w:t>
      </w:r>
      <w:r w:rsidRPr="0056321E">
        <w:rPr>
          <w:rFonts w:ascii="Century Schoolbook" w:eastAsia="Times New Roman" w:hAnsi="Century Schoolbook"/>
          <w:color w:val="212121"/>
        </w:rPr>
        <w:t xml:space="preserve"> </w:t>
      </w:r>
      <w:r w:rsidR="00726A83" w:rsidRPr="0056321E">
        <w:rPr>
          <w:rFonts w:ascii="Century Schoolbook" w:eastAsia="Times New Roman" w:hAnsi="Century Schoolbook"/>
          <w:color w:val="212121"/>
        </w:rPr>
        <w:t>2</w:t>
      </w:r>
      <w:r w:rsidR="0056321E">
        <w:rPr>
          <w:rFonts w:ascii="Century Schoolbook" w:eastAsia="Times New Roman" w:hAnsi="Century Schoolbook"/>
          <w:color w:val="212121"/>
        </w:rPr>
        <w:t>1</w:t>
      </w:r>
      <w:r w:rsidRPr="0056321E">
        <w:rPr>
          <w:rFonts w:ascii="Century Schoolbook" w:eastAsia="Times New Roman" w:hAnsi="Century Schoolbook"/>
          <w:color w:val="212121"/>
        </w:rPr>
        <w:t>, 20</w:t>
      </w:r>
      <w:r w:rsidR="0056321E">
        <w:rPr>
          <w:rFonts w:ascii="Century Schoolbook" w:eastAsia="Times New Roman" w:hAnsi="Century Schoolbook"/>
          <w:color w:val="212121"/>
        </w:rPr>
        <w:t>21</w:t>
      </w:r>
      <w:r w:rsidRPr="0056321E">
        <w:rPr>
          <w:rFonts w:ascii="Century Schoolbook" w:eastAsia="Times New Roman" w:hAnsi="Century Schoolbook"/>
          <w:color w:val="212121"/>
        </w:rPr>
        <w:t xml:space="preserve">, </w:t>
      </w:r>
      <w:r w:rsidR="0056321E" w:rsidRPr="0056321E">
        <w:rPr>
          <w:rFonts w:ascii="Century Schoolbook" w:hAnsi="Century Schoolbook"/>
        </w:rPr>
        <w:t>the jury found Villegas guilty on all counts</w:t>
      </w:r>
      <w:r w:rsidR="0056321E">
        <w:rPr>
          <w:rFonts w:ascii="Century Schoolbook" w:hAnsi="Century Schoolbook"/>
        </w:rPr>
        <w:t xml:space="preserve"> and found true all special allegations</w:t>
      </w:r>
      <w:r w:rsidR="0056321E" w:rsidRPr="0056321E">
        <w:rPr>
          <w:rFonts w:ascii="Century Schoolbook" w:hAnsi="Century Schoolbook"/>
        </w:rPr>
        <w:t xml:space="preserve">. </w:t>
      </w:r>
      <w:r w:rsidR="003C618B" w:rsidRPr="0056321E">
        <w:rPr>
          <w:rFonts w:ascii="Century Schoolbook" w:hAnsi="Century Schoolbook"/>
        </w:rPr>
        <w:t xml:space="preserve"> </w:t>
      </w:r>
      <w:r w:rsidR="0056321E">
        <w:rPr>
          <w:rFonts w:ascii="Century Schoolbook" w:hAnsi="Century Schoolbook"/>
        </w:rPr>
        <w:t xml:space="preserve">The prosecutor recommended a determinate sentence of </w:t>
      </w:r>
      <w:r w:rsidR="00BA5430">
        <w:rPr>
          <w:rFonts w:ascii="Century Schoolbook" w:hAnsi="Century Schoolbook"/>
        </w:rPr>
        <w:t>two</w:t>
      </w:r>
      <w:r w:rsidR="0056321E">
        <w:rPr>
          <w:rFonts w:ascii="Century Schoolbook" w:hAnsi="Century Schoolbook"/>
        </w:rPr>
        <w:t xml:space="preserve"> years plus an indeterminate term of 225 years to life.  </w:t>
      </w:r>
      <w:r w:rsidR="003813A4">
        <w:rPr>
          <w:rFonts w:ascii="Century Schoolbook" w:hAnsi="Century Schoolbook"/>
        </w:rPr>
        <w:t xml:space="preserve">At the sentencing hearing on December 16, 2021, </w:t>
      </w:r>
      <w:r w:rsidR="001E10D7">
        <w:rPr>
          <w:rFonts w:ascii="Century Schoolbook" w:hAnsi="Century Schoolbook"/>
        </w:rPr>
        <w:t xml:space="preserve">the prosecutor read a victim impact statement from the family of Jane Does </w:t>
      </w:r>
      <w:r w:rsidR="00BA5430">
        <w:rPr>
          <w:rFonts w:ascii="Century Schoolbook" w:hAnsi="Century Schoolbook"/>
        </w:rPr>
        <w:t>One</w:t>
      </w:r>
      <w:r w:rsidR="001E10D7">
        <w:rPr>
          <w:rFonts w:ascii="Century Schoolbook" w:hAnsi="Century Schoolbook"/>
        </w:rPr>
        <w:t xml:space="preserve"> and </w:t>
      </w:r>
      <w:r w:rsidR="00BA5430">
        <w:rPr>
          <w:rFonts w:ascii="Century Schoolbook" w:hAnsi="Century Schoolbook"/>
        </w:rPr>
        <w:t>Two</w:t>
      </w:r>
      <w:r w:rsidR="005E7897">
        <w:rPr>
          <w:rFonts w:ascii="Century Schoolbook" w:hAnsi="Century Schoolbook"/>
        </w:rPr>
        <w:t xml:space="preserve">.  </w:t>
      </w:r>
      <w:r w:rsidR="001E10D7">
        <w:rPr>
          <w:rFonts w:ascii="Century Schoolbook" w:hAnsi="Century Schoolbook"/>
        </w:rPr>
        <w:t xml:space="preserve">Jane Doe </w:t>
      </w:r>
      <w:r w:rsidR="00BA5430">
        <w:rPr>
          <w:rFonts w:ascii="Century Schoolbook" w:hAnsi="Century Schoolbook"/>
        </w:rPr>
        <w:t>Three</w:t>
      </w:r>
      <w:r w:rsidR="001E10D7">
        <w:rPr>
          <w:rFonts w:ascii="Century Schoolbook" w:hAnsi="Century Schoolbook"/>
        </w:rPr>
        <w:t xml:space="preserve"> and her sister </w:t>
      </w:r>
      <w:r w:rsidR="005E7897">
        <w:rPr>
          <w:rFonts w:ascii="Century Schoolbook" w:hAnsi="Century Schoolbook"/>
        </w:rPr>
        <w:t>also</w:t>
      </w:r>
      <w:r w:rsidR="001E10D7">
        <w:rPr>
          <w:rFonts w:ascii="Century Schoolbook" w:hAnsi="Century Schoolbook"/>
        </w:rPr>
        <w:t xml:space="preserve"> addressed the court.</w:t>
      </w:r>
      <w:r w:rsidR="001E10D7" w:rsidRPr="001E10D7">
        <w:rPr>
          <w:rFonts w:ascii="Century Schoolbook" w:hAnsi="Century Schoolbook"/>
        </w:rPr>
        <w:t xml:space="preserve"> </w:t>
      </w:r>
      <w:r w:rsidR="001E10D7">
        <w:rPr>
          <w:rFonts w:ascii="Century Schoolbook" w:hAnsi="Century Schoolbook"/>
        </w:rPr>
        <w:t xml:space="preserve"> After argument, </w:t>
      </w:r>
      <w:r w:rsidR="003813A4">
        <w:rPr>
          <w:rFonts w:ascii="Century Schoolbook" w:hAnsi="Century Schoolbook"/>
        </w:rPr>
        <w:t xml:space="preserve">the trial court </w:t>
      </w:r>
      <w:r w:rsidR="00B27E58">
        <w:rPr>
          <w:rFonts w:ascii="Century Schoolbook" w:hAnsi="Century Schoolbook"/>
        </w:rPr>
        <w:t xml:space="preserve">largely </w:t>
      </w:r>
      <w:r w:rsidR="003813A4">
        <w:rPr>
          <w:rFonts w:ascii="Century Schoolbook" w:hAnsi="Century Schoolbook"/>
        </w:rPr>
        <w:t xml:space="preserve">adopted the prosecution’s </w:t>
      </w:r>
      <w:r w:rsidR="00F22428">
        <w:rPr>
          <w:rFonts w:ascii="Century Schoolbook" w:hAnsi="Century Schoolbook"/>
        </w:rPr>
        <w:t xml:space="preserve">sentencing </w:t>
      </w:r>
      <w:r w:rsidR="003813A4">
        <w:rPr>
          <w:rFonts w:ascii="Century Schoolbook" w:hAnsi="Century Schoolbook"/>
        </w:rPr>
        <w:t>recommendation.</w:t>
      </w:r>
      <w:r w:rsidR="003813A4" w:rsidRPr="003813A4">
        <w:rPr>
          <w:rFonts w:ascii="Century Schoolbook" w:hAnsi="Century Schoolbook"/>
        </w:rPr>
        <w:t xml:space="preserve"> </w:t>
      </w:r>
      <w:r w:rsidR="005E7897">
        <w:rPr>
          <w:rFonts w:ascii="Century Schoolbook" w:hAnsi="Century Schoolbook"/>
        </w:rPr>
        <w:t xml:space="preserve"> </w:t>
      </w:r>
      <w:r w:rsidR="00482098">
        <w:rPr>
          <w:rFonts w:ascii="Century Schoolbook" w:hAnsi="Century Schoolbook"/>
        </w:rPr>
        <w:t>Specifically,</w:t>
      </w:r>
      <w:r w:rsidR="00B27E58">
        <w:rPr>
          <w:rFonts w:ascii="Century Schoolbook" w:hAnsi="Century Schoolbook"/>
        </w:rPr>
        <w:t xml:space="preserve"> with respect to the counts relating to Jane Doe </w:t>
      </w:r>
      <w:r w:rsidR="00E85C42">
        <w:rPr>
          <w:rFonts w:ascii="Century Schoolbook" w:hAnsi="Century Schoolbook"/>
        </w:rPr>
        <w:t>One</w:t>
      </w:r>
      <w:r w:rsidR="00B27E58">
        <w:rPr>
          <w:rFonts w:ascii="Century Schoolbook" w:hAnsi="Century Schoolbook"/>
        </w:rPr>
        <w:t>, the court order</w:t>
      </w:r>
      <w:r w:rsidR="005E7897">
        <w:rPr>
          <w:rFonts w:ascii="Century Schoolbook" w:hAnsi="Century Schoolbook"/>
        </w:rPr>
        <w:t>ed</w:t>
      </w:r>
      <w:r w:rsidR="00B27E58">
        <w:rPr>
          <w:rFonts w:ascii="Century Schoolbook" w:hAnsi="Century Schoolbook"/>
        </w:rPr>
        <w:t xml:space="preserve"> three consecutive terms of 25 years to life (</w:t>
      </w:r>
      <w:r w:rsidR="005E7897">
        <w:rPr>
          <w:rFonts w:ascii="Century Schoolbook" w:hAnsi="Century Schoolbook"/>
        </w:rPr>
        <w:t>c</w:t>
      </w:r>
      <w:r w:rsidR="00B27E58">
        <w:rPr>
          <w:rFonts w:ascii="Century Schoolbook" w:hAnsi="Century Schoolbook"/>
        </w:rPr>
        <w:t xml:space="preserve">ounts one, two, and three) and one concurrent term of </w:t>
      </w:r>
      <w:r w:rsidR="005E7897">
        <w:rPr>
          <w:rFonts w:ascii="Century Schoolbook" w:hAnsi="Century Schoolbook"/>
        </w:rPr>
        <w:t xml:space="preserve">25 years to life (count four).  Counts five and six involving Jane Doe </w:t>
      </w:r>
      <w:r w:rsidR="00E85C42">
        <w:rPr>
          <w:rFonts w:ascii="Century Schoolbook" w:hAnsi="Century Schoolbook"/>
        </w:rPr>
        <w:t>Two</w:t>
      </w:r>
      <w:r w:rsidR="005E7897">
        <w:rPr>
          <w:rFonts w:ascii="Century Schoolbook" w:hAnsi="Century Schoolbook"/>
        </w:rPr>
        <w:t xml:space="preserve"> were both sentenced to consecutive terms of 25 years to life.  With respect to count seven, the court ordered the mid-term of two years to be served consecutively.  Finally, concluding that counts eight through ten relating to Jane Doe </w:t>
      </w:r>
      <w:r w:rsidR="00E85C42">
        <w:rPr>
          <w:rFonts w:ascii="Century Schoolbook" w:hAnsi="Century Schoolbook"/>
        </w:rPr>
        <w:t>Three</w:t>
      </w:r>
      <w:r w:rsidR="005E7897">
        <w:rPr>
          <w:rFonts w:ascii="Century Schoolbook" w:hAnsi="Century Schoolbook"/>
        </w:rPr>
        <w:t xml:space="preserve"> constituted separate and distinct acts, the court imposed three additional consecutive sentences of 25 years to </w:t>
      </w:r>
      <w:r w:rsidR="005E7897">
        <w:rPr>
          <w:rFonts w:ascii="Century Schoolbook" w:hAnsi="Century Schoolbook"/>
        </w:rPr>
        <w:lastRenderedPageBreak/>
        <w:t xml:space="preserve">life.  The court also found multiple acts in aggravation, </w:t>
      </w:r>
      <w:r w:rsidR="00692CB6">
        <w:rPr>
          <w:rFonts w:ascii="Century Schoolbook" w:hAnsi="Century Schoolbook"/>
        </w:rPr>
        <w:t>imposing</w:t>
      </w:r>
      <w:r w:rsidR="005E7897">
        <w:rPr>
          <w:rFonts w:ascii="Century Schoolbook" w:hAnsi="Century Schoolbook"/>
        </w:rPr>
        <w:t xml:space="preserve"> a total term of 2 years plus 200 years to life.     </w:t>
      </w:r>
    </w:p>
    <w:p w14:paraId="5AE3ACB2" w14:textId="6849D000" w:rsidR="0056321E" w:rsidRPr="00482098" w:rsidRDefault="00B27E58" w:rsidP="002628E5">
      <w:pPr>
        <w:shd w:val="clear" w:color="auto" w:fill="FFFFFF"/>
        <w:tabs>
          <w:tab w:val="clear" w:pos="720"/>
        </w:tabs>
        <w:spacing w:line="360" w:lineRule="auto"/>
        <w:ind w:firstLine="720"/>
        <w:textAlignment w:val="baseline"/>
        <w:rPr>
          <w:rFonts w:ascii="Century Schoolbook" w:hAnsi="Century Schoolbook"/>
        </w:rPr>
      </w:pPr>
      <w:r>
        <w:rPr>
          <w:rFonts w:ascii="Century Schoolbook" w:hAnsi="Century Schoolbook"/>
        </w:rPr>
        <w:t xml:space="preserve"> </w:t>
      </w:r>
      <w:r w:rsidR="00482098">
        <w:rPr>
          <w:rFonts w:ascii="Century Schoolbook" w:hAnsi="Century Schoolbook"/>
        </w:rPr>
        <w:t xml:space="preserve"> </w:t>
      </w:r>
      <w:r w:rsidR="00F22428">
        <w:rPr>
          <w:rFonts w:ascii="Century Schoolbook" w:hAnsi="Century Schoolbook"/>
        </w:rPr>
        <w:t>The court additionally imposed fines and fees</w:t>
      </w:r>
      <w:r w:rsidR="002B4C82">
        <w:rPr>
          <w:rFonts w:ascii="Century Schoolbook" w:hAnsi="Century Schoolbook"/>
        </w:rPr>
        <w:t>,</w:t>
      </w:r>
      <w:r w:rsidR="00555E02">
        <w:rPr>
          <w:rFonts w:ascii="Century Schoolbook" w:hAnsi="Century Schoolbook"/>
        </w:rPr>
        <w:t xml:space="preserve"> </w:t>
      </w:r>
      <w:r w:rsidR="00692CB6">
        <w:rPr>
          <w:rFonts w:ascii="Century Schoolbook" w:hAnsi="Century Schoolbook"/>
        </w:rPr>
        <w:t xml:space="preserve">including a fine of $4,800 pursuant to section 290.3.  </w:t>
      </w:r>
      <w:r w:rsidR="00F22428">
        <w:rPr>
          <w:rFonts w:ascii="Century Schoolbook" w:hAnsi="Century Schoolbook"/>
        </w:rPr>
        <w:t xml:space="preserve">Based on the testimony from the victims and the impact statements, the court awarded noneconomic restitution </w:t>
      </w:r>
      <w:r w:rsidR="00482098">
        <w:rPr>
          <w:rFonts w:ascii="Century Schoolbook" w:hAnsi="Century Schoolbook"/>
        </w:rPr>
        <w:t xml:space="preserve">pursuant to 1202.4, </w:t>
      </w:r>
      <w:r w:rsidR="00482098" w:rsidRPr="00482098">
        <w:rPr>
          <w:rFonts w:ascii="Century Schoolbook" w:hAnsi="Century Schoolbook"/>
        </w:rPr>
        <w:t>subdivision (f)(3)(F), which provides that victims may recover “</w:t>
      </w:r>
      <w:r w:rsidR="00482098" w:rsidRPr="00482098">
        <w:rPr>
          <w:rFonts w:ascii="Century Schoolbook" w:hAnsi="Century Schoolbook"/>
          <w:color w:val="212121"/>
          <w:shd w:val="clear" w:color="auto" w:fill="FFFFFF"/>
        </w:rPr>
        <w:t>[n]oneconomic losses, including, but not limited to, psychological harm, for felony violations of</w:t>
      </w:r>
      <w:r w:rsidR="005950DA">
        <w:rPr>
          <w:rFonts w:ascii="Century Schoolbook" w:hAnsi="Century Schoolbook"/>
          <w:color w:val="212121"/>
          <w:shd w:val="clear" w:color="auto" w:fill="FFFFFF"/>
        </w:rPr>
        <w:t xml:space="preserve"> </w:t>
      </w:r>
      <w:r w:rsidR="00482098" w:rsidRPr="00482098">
        <w:rPr>
          <w:rFonts w:ascii="Century Schoolbook" w:hAnsi="Century Schoolbook"/>
          <w:color w:val="212121"/>
          <w:shd w:val="clear" w:color="auto" w:fill="FFFFFF"/>
        </w:rPr>
        <w:t>Section 288</w:t>
      </w:r>
      <w:r w:rsidR="00E85C42">
        <w:rPr>
          <w:rFonts w:ascii="Century Schoolbook" w:hAnsi="Century Schoolbook"/>
          <w:color w:val="212121"/>
          <w:shd w:val="clear" w:color="auto" w:fill="FFFFFF"/>
        </w:rPr>
        <w:t>, 288.5, or 288.7</w:t>
      </w:r>
      <w:r w:rsidR="00482098" w:rsidRPr="00482098">
        <w:rPr>
          <w:rFonts w:ascii="Century Schoolbook" w:hAnsi="Century Schoolbook"/>
          <w:color w:val="212121"/>
          <w:shd w:val="clear" w:color="auto" w:fill="FFFFFF"/>
        </w:rPr>
        <w:t>.</w:t>
      </w:r>
      <w:r w:rsidR="001B3AC3">
        <w:rPr>
          <w:rFonts w:ascii="Century Schoolbook" w:hAnsi="Century Schoolbook"/>
          <w:color w:val="212121"/>
          <w:shd w:val="clear" w:color="auto" w:fill="FFFFFF"/>
        </w:rPr>
        <w:t>”</w:t>
      </w:r>
      <w:r w:rsidR="00482098" w:rsidRPr="00482098">
        <w:rPr>
          <w:rFonts w:ascii="Century Schoolbook" w:hAnsi="Century Schoolbook"/>
        </w:rPr>
        <w:t xml:space="preserve">  Specifically, the </w:t>
      </w:r>
      <w:r w:rsidR="00811899">
        <w:rPr>
          <w:rFonts w:ascii="Century Schoolbook" w:hAnsi="Century Schoolbook"/>
        </w:rPr>
        <w:t>court awarded</w:t>
      </w:r>
      <w:r w:rsidR="00C63FB2">
        <w:rPr>
          <w:rFonts w:ascii="Century Schoolbook" w:hAnsi="Century Schoolbook"/>
        </w:rPr>
        <w:t xml:space="preserve"> $500,000 to Jane Doe 3, $50,000 to Jane Doe 1, $25,000 to Jane Doe 2, and $50,000 to each of the two mothers, L.R. and G.V.</w:t>
      </w:r>
      <w:r w:rsidR="00482098" w:rsidRPr="00482098">
        <w:rPr>
          <w:rFonts w:ascii="Century Schoolbook" w:hAnsi="Century Schoolbook"/>
        </w:rPr>
        <w:t xml:space="preserve"> </w:t>
      </w:r>
      <w:r w:rsidR="00A13C9B">
        <w:rPr>
          <w:rFonts w:ascii="Century Schoolbook" w:hAnsi="Century Schoolbook"/>
        </w:rPr>
        <w:t xml:space="preserve"> </w:t>
      </w:r>
    </w:p>
    <w:p w14:paraId="42FA78E7" w14:textId="27CFFF22" w:rsidR="00ED3677" w:rsidRPr="0056321E" w:rsidRDefault="00B811B2" w:rsidP="002628E5">
      <w:pPr>
        <w:shd w:val="clear" w:color="auto" w:fill="FFFFFF"/>
        <w:tabs>
          <w:tab w:val="clear" w:pos="720"/>
        </w:tabs>
        <w:spacing w:line="360" w:lineRule="auto"/>
        <w:ind w:firstLine="720"/>
        <w:textAlignment w:val="baseline"/>
        <w:rPr>
          <w:rFonts w:ascii="Century Schoolbook" w:hAnsi="Century Schoolbook"/>
        </w:rPr>
      </w:pPr>
      <w:r w:rsidRPr="0056321E">
        <w:rPr>
          <w:rFonts w:ascii="Century Schoolbook" w:eastAsia="Times New Roman" w:hAnsi="Century Schoolbook"/>
          <w:color w:val="212121"/>
        </w:rPr>
        <w:t>This appeal followed.</w:t>
      </w:r>
      <w:r w:rsidR="00357C5C" w:rsidRPr="0056321E">
        <w:rPr>
          <w:rFonts w:ascii="Century Schoolbook" w:eastAsia="Times New Roman" w:hAnsi="Century Schoolbook"/>
          <w:color w:val="212121"/>
        </w:rPr>
        <w:t xml:space="preserve"> </w:t>
      </w:r>
    </w:p>
    <w:bookmarkEnd w:id="1"/>
    <w:p w14:paraId="72E3DAB8" w14:textId="6D906CDF" w:rsidR="00C407C0" w:rsidRPr="0056321E" w:rsidRDefault="005353A2" w:rsidP="000630C0">
      <w:pPr>
        <w:pStyle w:val="ISubheading"/>
        <w:keepNext/>
        <w:numPr>
          <w:ilvl w:val="0"/>
          <w:numId w:val="0"/>
        </w:numPr>
        <w:jc w:val="center"/>
        <w:rPr>
          <w:i w:val="0"/>
          <w:iCs/>
        </w:rPr>
      </w:pPr>
      <w:r w:rsidRPr="0056321E">
        <w:rPr>
          <w:i w:val="0"/>
          <w:iCs/>
        </w:rPr>
        <w:t xml:space="preserve">II.  </w:t>
      </w:r>
      <w:r w:rsidR="002B338A" w:rsidRPr="0056321E">
        <w:rPr>
          <w:i w:val="0"/>
          <w:iCs/>
        </w:rPr>
        <w:t>DISCUSSION</w:t>
      </w:r>
    </w:p>
    <w:p w14:paraId="7D5D2510" w14:textId="3E34C886" w:rsidR="005353A2" w:rsidRPr="0056321E" w:rsidRDefault="005353A2" w:rsidP="004267FB">
      <w:pPr>
        <w:pStyle w:val="Text"/>
        <w:ind w:firstLine="0"/>
        <w:rPr>
          <w:b/>
          <w:bCs/>
        </w:rPr>
      </w:pPr>
      <w:bookmarkStart w:id="2" w:name="_Hlk122068028"/>
      <w:r w:rsidRPr="0056321E">
        <w:rPr>
          <w:b/>
          <w:bCs/>
          <w:i/>
          <w:iCs/>
          <w:bdr w:val="none" w:sz="0" w:space="0" w:color="auto" w:frame="1"/>
          <w:shd w:val="clear" w:color="auto" w:fill="FFFFFF"/>
        </w:rPr>
        <w:t>A.</w:t>
      </w:r>
      <w:r w:rsidRPr="0056321E">
        <w:rPr>
          <w:b/>
          <w:bCs/>
          <w:i/>
          <w:iCs/>
          <w:bdr w:val="none" w:sz="0" w:space="0" w:color="auto" w:frame="1"/>
          <w:shd w:val="clear" w:color="auto" w:fill="FFFFFF"/>
        </w:rPr>
        <w:tab/>
      </w:r>
      <w:r w:rsidR="003C618B" w:rsidRPr="0056321E">
        <w:rPr>
          <w:b/>
          <w:bCs/>
          <w:i/>
          <w:iCs/>
          <w:bdr w:val="none" w:sz="0" w:space="0" w:color="auto" w:frame="1"/>
          <w:shd w:val="clear" w:color="auto" w:fill="FFFFFF"/>
        </w:rPr>
        <w:t xml:space="preserve">Admissibility of </w:t>
      </w:r>
      <w:r w:rsidR="00CB33CD">
        <w:rPr>
          <w:b/>
          <w:bCs/>
          <w:i/>
          <w:iCs/>
          <w:bdr w:val="none" w:sz="0" w:space="0" w:color="auto" w:frame="1"/>
          <w:shd w:val="clear" w:color="auto" w:fill="FFFFFF"/>
        </w:rPr>
        <w:t xml:space="preserve">Portion of </w:t>
      </w:r>
      <w:r w:rsidR="003C618B" w:rsidRPr="0056321E">
        <w:rPr>
          <w:b/>
          <w:bCs/>
          <w:i/>
          <w:iCs/>
          <w:bdr w:val="none" w:sz="0" w:space="0" w:color="auto" w:frame="1"/>
          <w:shd w:val="clear" w:color="auto" w:fill="FFFFFF"/>
        </w:rPr>
        <w:t>Second Custodial Interrogation</w:t>
      </w:r>
    </w:p>
    <w:p w14:paraId="61E727F9" w14:textId="771DA240" w:rsidR="00555E02" w:rsidRPr="00641DEE" w:rsidRDefault="005353A2" w:rsidP="00EF5B3A">
      <w:pPr>
        <w:pStyle w:val="Text"/>
        <w:ind w:firstLine="0"/>
      </w:pPr>
      <w:r w:rsidRPr="0056321E">
        <w:rPr>
          <w:b/>
          <w:bCs/>
          <w:i/>
          <w:iCs/>
        </w:rPr>
        <w:tab/>
      </w:r>
      <w:r w:rsidR="002C0F69">
        <w:t>Villegas was arrested on May 22, 2019, after police spoke with Jane Does One and Two.</w:t>
      </w:r>
      <w:bookmarkEnd w:id="2"/>
      <w:r w:rsidR="002C0F69">
        <w:rPr>
          <w:shd w:val="clear" w:color="auto" w:fill="FFFFFF"/>
        </w:rPr>
        <w:t xml:space="preserve"> </w:t>
      </w:r>
      <w:r w:rsidR="002C0F69">
        <w:t xml:space="preserve"> Later that day, he agreed to speak with two detectives after being advised of and waiving his </w:t>
      </w:r>
      <w:r w:rsidR="002C0F69">
        <w:rPr>
          <w:i/>
          <w:iCs/>
        </w:rPr>
        <w:t>Miranda</w:t>
      </w:r>
      <w:r w:rsidR="002C0F69">
        <w:t xml:space="preserve"> rights.</w:t>
      </w:r>
      <w:r w:rsidR="002C0F69" w:rsidRPr="002C0F69">
        <w:t xml:space="preserve"> </w:t>
      </w:r>
      <w:r w:rsidR="002C0F69">
        <w:t xml:space="preserve"> </w:t>
      </w:r>
      <w:r w:rsidR="00811899">
        <w:t xml:space="preserve">Two </w:t>
      </w:r>
      <w:r w:rsidR="002C0F69">
        <w:t>days later, on May 24, the detectives interviewed Vill</w:t>
      </w:r>
      <w:r w:rsidR="00835B42">
        <w:t>e</w:t>
      </w:r>
      <w:r w:rsidR="002C0F69">
        <w:t xml:space="preserve">gas a second time with respect to the </w:t>
      </w:r>
      <w:r w:rsidR="00CB33CD">
        <w:t xml:space="preserve">new </w:t>
      </w:r>
      <w:r w:rsidR="002C0F69">
        <w:t xml:space="preserve">allegations made by Jane Doe Three.  Villegas was readvised of his </w:t>
      </w:r>
      <w:r w:rsidR="002C0F69">
        <w:rPr>
          <w:i/>
          <w:iCs/>
        </w:rPr>
        <w:t xml:space="preserve">Miranda </w:t>
      </w:r>
      <w:r w:rsidR="002C0F69">
        <w:t>rights</w:t>
      </w:r>
      <w:r w:rsidR="00811899">
        <w:t>, again agreed to speak with the detectives and proceeded to speak at length.</w:t>
      </w:r>
      <w:r w:rsidR="002C0F69" w:rsidRPr="002C0F69">
        <w:t xml:space="preserve"> </w:t>
      </w:r>
      <w:r w:rsidR="009F2AF5">
        <w:t xml:space="preserve"> Villegas argues on appeal that </w:t>
      </w:r>
      <w:proofErr w:type="gramStart"/>
      <w:r w:rsidR="009F2AF5">
        <w:t>all of</w:t>
      </w:r>
      <w:proofErr w:type="gramEnd"/>
      <w:r w:rsidR="009F2AF5">
        <w:t xml:space="preserve"> his convictions should be reversed because the police violated </w:t>
      </w:r>
      <w:r w:rsidR="009F2AF5">
        <w:rPr>
          <w:i/>
          <w:iCs/>
        </w:rPr>
        <w:t xml:space="preserve">Miranda </w:t>
      </w:r>
      <w:r w:rsidR="009F2AF5">
        <w:t>by subsequently refusing to honor his invocation of his right to remain silent during the second interrogation.</w:t>
      </w:r>
      <w:r w:rsidR="00455609">
        <w:t xml:space="preserve">  </w:t>
      </w:r>
      <w:r w:rsidR="00AF023C">
        <w:t>Specifically, h</w:t>
      </w:r>
      <w:r w:rsidR="00455609">
        <w:t xml:space="preserve">e claims that defense counsel was </w:t>
      </w:r>
      <w:r w:rsidR="00AF023C">
        <w:t>prejudicially</w:t>
      </w:r>
      <w:r w:rsidR="00455609">
        <w:t xml:space="preserve"> ineffective for failing to seek exclusion of the la</w:t>
      </w:r>
      <w:r w:rsidR="00835B42">
        <w:t>t</w:t>
      </w:r>
      <w:r w:rsidR="00455609">
        <w:t xml:space="preserve">ter portion of this second interview in which, as </w:t>
      </w:r>
      <w:r w:rsidR="00AF023C">
        <w:t>Villegas</w:t>
      </w:r>
      <w:r w:rsidR="00455609">
        <w:t xml:space="preserve"> acknowledges, he “effectively confessed” to </w:t>
      </w:r>
      <w:r w:rsidR="00AF023C">
        <w:t>the charges in counts eight through ten involving Jane Doe Three.</w:t>
      </w:r>
      <w:r w:rsidR="00455609">
        <w:t xml:space="preserve"> </w:t>
      </w:r>
      <w:r w:rsidR="00AF023C">
        <w:t xml:space="preserve"> Seeing no violation of </w:t>
      </w:r>
      <w:r w:rsidR="00AF023C">
        <w:rPr>
          <w:i/>
          <w:iCs/>
        </w:rPr>
        <w:t>Miranda</w:t>
      </w:r>
      <w:r w:rsidR="00AF023C">
        <w:t>, we find no ineffective assistance of counsel.</w:t>
      </w:r>
      <w:r w:rsidR="009F2AF5">
        <w:t xml:space="preserve">  </w:t>
      </w:r>
    </w:p>
    <w:p w14:paraId="2AE4B90E" w14:textId="2E4FC59F" w:rsidR="00A133CC" w:rsidRPr="0056321E" w:rsidRDefault="00A133CC" w:rsidP="00641DEE">
      <w:pPr>
        <w:pStyle w:val="Text"/>
        <w:keepNext/>
        <w:ind w:firstLine="0"/>
        <w:rPr>
          <w:b/>
          <w:bCs/>
          <w:i/>
          <w:iCs/>
        </w:rPr>
      </w:pPr>
      <w:r w:rsidRPr="0056321E">
        <w:rPr>
          <w:b/>
          <w:bCs/>
          <w:i/>
          <w:iCs/>
          <w:bdr w:val="none" w:sz="0" w:space="0" w:color="auto" w:frame="1"/>
          <w:shd w:val="clear" w:color="auto" w:fill="FFFFFF"/>
        </w:rPr>
        <w:lastRenderedPageBreak/>
        <w:tab/>
        <w:t>1.</w:t>
      </w:r>
      <w:r w:rsidRPr="0056321E">
        <w:rPr>
          <w:b/>
          <w:bCs/>
          <w:i/>
          <w:iCs/>
          <w:bdr w:val="none" w:sz="0" w:space="0" w:color="auto" w:frame="1"/>
          <w:shd w:val="clear" w:color="auto" w:fill="FFFFFF"/>
        </w:rPr>
        <w:tab/>
        <w:t>Additional Background</w:t>
      </w:r>
    </w:p>
    <w:p w14:paraId="04A96E73" w14:textId="461DBED8" w:rsidR="00975EAC" w:rsidRDefault="00A133CC" w:rsidP="00641DEE">
      <w:pPr>
        <w:pStyle w:val="Text"/>
        <w:keepNext/>
        <w:ind w:firstLine="0"/>
      </w:pPr>
      <w:r w:rsidRPr="0056321E">
        <w:rPr>
          <w:b/>
          <w:bCs/>
          <w:i/>
          <w:iCs/>
        </w:rPr>
        <w:tab/>
      </w:r>
      <w:r w:rsidR="00EA4B64">
        <w:rPr>
          <w:rFonts w:eastAsia="Times New Roman"/>
          <w:bdr w:val="none" w:sz="0" w:space="0" w:color="auto" w:frame="1"/>
        </w:rPr>
        <w:t>During his second custodial interrogation, Vill</w:t>
      </w:r>
      <w:r w:rsidR="00835B42">
        <w:rPr>
          <w:rFonts w:eastAsia="Times New Roman"/>
          <w:bdr w:val="none" w:sz="0" w:space="0" w:color="auto" w:frame="1"/>
        </w:rPr>
        <w:t>e</w:t>
      </w:r>
      <w:r w:rsidR="00EA4B64">
        <w:rPr>
          <w:rFonts w:eastAsia="Times New Roman"/>
          <w:bdr w:val="none" w:sz="0" w:space="0" w:color="auto" w:frame="1"/>
        </w:rPr>
        <w:t xml:space="preserve">gas began by repeatedly </w:t>
      </w:r>
      <w:r w:rsidR="0041371D">
        <w:rPr>
          <w:rFonts w:eastAsia="Times New Roman"/>
          <w:bdr w:val="none" w:sz="0" w:space="0" w:color="auto" w:frame="1"/>
        </w:rPr>
        <w:t>asserting</w:t>
      </w:r>
      <w:r w:rsidR="00EA4B64">
        <w:rPr>
          <w:rFonts w:eastAsia="Times New Roman"/>
          <w:bdr w:val="none" w:sz="0" w:space="0" w:color="auto" w:frame="1"/>
        </w:rPr>
        <w:t xml:space="preserve"> that he </w:t>
      </w:r>
      <w:r w:rsidR="0041371D">
        <w:rPr>
          <w:rFonts w:eastAsia="Times New Roman"/>
          <w:bdr w:val="none" w:sz="0" w:space="0" w:color="auto" w:frame="1"/>
        </w:rPr>
        <w:t xml:space="preserve">did not remember anything </w:t>
      </w:r>
      <w:r w:rsidR="00EA4B64">
        <w:rPr>
          <w:rFonts w:eastAsia="Times New Roman"/>
          <w:bdr w:val="none" w:sz="0" w:space="0" w:color="auto" w:frame="1"/>
        </w:rPr>
        <w:t xml:space="preserve">that had happened </w:t>
      </w:r>
      <w:r w:rsidR="00945E9A">
        <w:rPr>
          <w:rFonts w:eastAsia="Times New Roman"/>
          <w:bdr w:val="none" w:sz="0" w:space="0" w:color="auto" w:frame="1"/>
        </w:rPr>
        <w:t>with</w:t>
      </w:r>
      <w:r w:rsidR="00EA4B64">
        <w:rPr>
          <w:rFonts w:eastAsia="Times New Roman"/>
          <w:bdr w:val="none" w:sz="0" w:space="0" w:color="auto" w:frame="1"/>
        </w:rPr>
        <w:t xml:space="preserve"> Jane Doe Three in the bathroom when she was 14.</w:t>
      </w:r>
      <w:r w:rsidR="00EA4B64" w:rsidRPr="00EA4B64">
        <w:t xml:space="preserve"> </w:t>
      </w:r>
      <w:r w:rsidR="0041371D">
        <w:t xml:space="preserve"> He then switched tacks, asking the detectives if they had spoken to Jane Doe Three or if they were lying.</w:t>
      </w:r>
      <w:r w:rsidR="0041371D" w:rsidRPr="0041371D">
        <w:t xml:space="preserve"> </w:t>
      </w:r>
      <w:r w:rsidR="00975EAC">
        <w:t xml:space="preserve"> </w:t>
      </w:r>
      <w:r w:rsidR="00835B42">
        <w:t>One of the</w:t>
      </w:r>
      <w:r w:rsidR="00975EAC">
        <w:t xml:space="preserve"> detective</w:t>
      </w:r>
      <w:r w:rsidR="00835B42">
        <w:t>s</w:t>
      </w:r>
      <w:r w:rsidR="00975EAC">
        <w:t xml:space="preserve"> responded</w:t>
      </w:r>
      <w:proofErr w:type="gramStart"/>
      <w:r w:rsidR="00975EAC">
        <w:t>:  “</w:t>
      </w:r>
      <w:proofErr w:type="gramEnd"/>
      <w:r w:rsidR="00975EAC">
        <w:t>She’s not lying?  Did this happen?</w:t>
      </w:r>
      <w:r w:rsidR="005950DA">
        <w:t>”</w:t>
      </w:r>
      <w:r w:rsidR="00975EAC">
        <w:t xml:space="preserve">  </w:t>
      </w:r>
      <w:r w:rsidR="00453745">
        <w:t>At that point,</w:t>
      </w:r>
      <w:r w:rsidR="00975EAC">
        <w:t xml:space="preserve"> Villegas acknowledged that it was a single mistake.</w:t>
      </w:r>
      <w:r w:rsidR="00975EAC" w:rsidRPr="00975EAC">
        <w:t xml:space="preserve"> </w:t>
      </w:r>
      <w:r w:rsidR="00975EAC">
        <w:t xml:space="preserve"> The following colloquy then took place, which Villegas now claims was a </w:t>
      </w:r>
      <w:r w:rsidR="00424693">
        <w:t xml:space="preserve">repeated </w:t>
      </w:r>
      <w:r w:rsidR="00975EAC">
        <w:t>invocation of his right to remain silent:</w:t>
      </w:r>
    </w:p>
    <w:p w14:paraId="3A73D756" w14:textId="7D92A9D7" w:rsidR="00975EAC" w:rsidRDefault="00975EAC" w:rsidP="00A133CC">
      <w:pPr>
        <w:pStyle w:val="Text"/>
        <w:ind w:firstLine="0"/>
      </w:pPr>
      <w:r>
        <w:tab/>
      </w:r>
      <w:r w:rsidR="00BB4A25">
        <w:t>“</w:t>
      </w:r>
      <w:r>
        <w:t xml:space="preserve">[Detective]:  </w:t>
      </w:r>
      <w:r w:rsidR="00BB4A25">
        <w:t>We only want the truth.</w:t>
      </w:r>
    </w:p>
    <w:p w14:paraId="2876DCA0" w14:textId="70BA9046" w:rsidR="00BB4A25" w:rsidRDefault="00975EAC" w:rsidP="00A133CC">
      <w:pPr>
        <w:pStyle w:val="Text"/>
        <w:ind w:firstLine="0"/>
      </w:pPr>
      <w:r>
        <w:t xml:space="preserve">  </w:t>
      </w:r>
      <w:r>
        <w:rPr>
          <w:rFonts w:eastAsia="Times New Roman"/>
          <w:bdr w:val="none" w:sz="0" w:space="0" w:color="auto" w:frame="1"/>
        </w:rPr>
        <w:t xml:space="preserve"> </w:t>
      </w:r>
      <w:r>
        <w:t xml:space="preserve"> </w:t>
      </w:r>
      <w:r w:rsidR="0041371D">
        <w:t xml:space="preserve">   </w:t>
      </w:r>
      <w:r w:rsidR="0041371D">
        <w:rPr>
          <w:rFonts w:eastAsia="Times New Roman"/>
          <w:bdr w:val="none" w:sz="0" w:space="0" w:color="auto" w:frame="1"/>
        </w:rPr>
        <w:t xml:space="preserve"> </w:t>
      </w:r>
      <w:r w:rsidR="0041371D">
        <w:t xml:space="preserve"> </w:t>
      </w:r>
      <w:r w:rsidR="00EA4B64">
        <w:t xml:space="preserve">  </w:t>
      </w:r>
      <w:r w:rsidR="00BB4A25">
        <w:t xml:space="preserve">“[Villegas]:  </w:t>
      </w:r>
      <w:proofErr w:type="gramStart"/>
      <w:r w:rsidR="00BB4A25">
        <w:t>Well</w:t>
      </w:r>
      <w:proofErr w:type="gramEnd"/>
      <w:r w:rsidR="00BB4A25">
        <w:t xml:space="preserve"> that was just one mistake, I won’t say anything else.  It was a mistake and—whatever she says, I won’t say more things anymore.</w:t>
      </w:r>
    </w:p>
    <w:p w14:paraId="318DB86E" w14:textId="45691719" w:rsidR="00BB4A25" w:rsidRDefault="00BB4A25" w:rsidP="00A133CC">
      <w:pPr>
        <w:pStyle w:val="Text"/>
        <w:ind w:firstLine="0"/>
      </w:pPr>
      <w:r>
        <w:tab/>
        <w:t>“[Detective]</w:t>
      </w:r>
      <w:proofErr w:type="gramStart"/>
      <w:r>
        <w:t>:  (</w:t>
      </w:r>
      <w:proofErr w:type="gramEnd"/>
      <w:r>
        <w:t xml:space="preserve">Unintelligible) ain’t say anything else, it was an error.  </w:t>
      </w:r>
      <w:proofErr w:type="gramStart"/>
      <w:r>
        <w:t>So</w:t>
      </w:r>
      <w:proofErr w:type="gramEnd"/>
      <w:r>
        <w:t xml:space="preserve"> uh that—that—everything they said is the truth?</w:t>
      </w:r>
    </w:p>
    <w:p w14:paraId="5498F7B1" w14:textId="094689CE" w:rsidR="00BB4A25" w:rsidRDefault="00BB4A25" w:rsidP="00A133CC">
      <w:pPr>
        <w:pStyle w:val="Text"/>
        <w:ind w:firstLine="0"/>
      </w:pPr>
      <w:r>
        <w:tab/>
        <w:t xml:space="preserve">“[Villegas]:  Well s—she—she—she </w:t>
      </w:r>
      <w:proofErr w:type="gramStart"/>
      <w:r>
        <w:t>has to</w:t>
      </w:r>
      <w:proofErr w:type="gramEnd"/>
      <w:r>
        <w:t xml:space="preserve"> tell what—what she feels, let her vent.  Supposedly, um, to tell her truth.  I will simply say that it was a mistake that—that was made once and . . .</w:t>
      </w:r>
    </w:p>
    <w:p w14:paraId="492AECCA" w14:textId="77777777" w:rsidR="00BB4A25" w:rsidRDefault="00BB4A25" w:rsidP="00A133CC">
      <w:pPr>
        <w:pStyle w:val="Text"/>
        <w:ind w:firstLine="0"/>
      </w:pPr>
      <w:r>
        <w:tab/>
        <w:t>“[Detective]:  And what—what was the mistake?</w:t>
      </w:r>
    </w:p>
    <w:p w14:paraId="1875AAA3" w14:textId="77777777" w:rsidR="00BB4A25" w:rsidRDefault="00BB4A25" w:rsidP="00A133CC">
      <w:pPr>
        <w:pStyle w:val="Text"/>
        <w:ind w:firstLine="0"/>
      </w:pPr>
      <w:r>
        <w:tab/>
        <w:t>“[Villegas]:  Uh . . .</w:t>
      </w:r>
    </w:p>
    <w:p w14:paraId="105C2123" w14:textId="77777777" w:rsidR="007A6462" w:rsidRDefault="00BB4A25" w:rsidP="00A133CC">
      <w:pPr>
        <w:pStyle w:val="Text"/>
        <w:ind w:firstLine="0"/>
      </w:pPr>
      <w:r>
        <w:tab/>
        <w:t xml:space="preserve">“[Detective]:  </w:t>
      </w:r>
      <w:r w:rsidR="007A6462">
        <w:t>Because you don’t know what she told us.</w:t>
      </w:r>
    </w:p>
    <w:p w14:paraId="25B5A9C8" w14:textId="77777777" w:rsidR="007A6462" w:rsidRDefault="007A6462" w:rsidP="00A133CC">
      <w:pPr>
        <w:pStyle w:val="Text"/>
        <w:ind w:firstLine="0"/>
      </w:pPr>
      <w:r>
        <w:tab/>
        <w:t>“[Villegas]:  Mm-hm.  I don’t know.  I simply don’t know.  I will tell you that it was a mistake and that’s it.</w:t>
      </w:r>
    </w:p>
    <w:p w14:paraId="292E671D" w14:textId="77777777" w:rsidR="007A6462" w:rsidRDefault="007A6462" w:rsidP="00A133CC">
      <w:pPr>
        <w:pStyle w:val="Text"/>
        <w:ind w:firstLine="0"/>
      </w:pPr>
      <w:r>
        <w:tab/>
        <w:t>“[Detective]:  And what was a mistake?</w:t>
      </w:r>
    </w:p>
    <w:p w14:paraId="6D808A7D" w14:textId="3065F018" w:rsidR="00E32AA5" w:rsidRDefault="007A6462" w:rsidP="00A133CC">
      <w:pPr>
        <w:pStyle w:val="Text"/>
        <w:ind w:firstLine="0"/>
      </w:pPr>
      <w:r>
        <w:tab/>
        <w:t xml:space="preserve">“[Villegas]:  That’s the mistake that you’re telling me, to accept that it was a mistake, that it happened once.  </w:t>
      </w:r>
      <w:r w:rsidR="00E32AA5">
        <w:t xml:space="preserve">I’ve already accepted it and that’s the only thing I’ll say.” </w:t>
      </w:r>
    </w:p>
    <w:p w14:paraId="5D8C175B" w14:textId="33919600" w:rsidR="00A133CC" w:rsidRPr="00E32AA5" w:rsidRDefault="00E32AA5" w:rsidP="00A133CC">
      <w:pPr>
        <w:pStyle w:val="Text"/>
        <w:ind w:firstLine="0"/>
      </w:pPr>
      <w:r>
        <w:lastRenderedPageBreak/>
        <w:tab/>
        <w:t>Thereafter, the detective</w:t>
      </w:r>
      <w:r w:rsidR="00835B42">
        <w:t>s</w:t>
      </w:r>
      <w:r>
        <w:t xml:space="preserve"> </w:t>
      </w:r>
      <w:r w:rsidR="00945E9A">
        <w:t>disclosed</w:t>
      </w:r>
      <w:r>
        <w:t xml:space="preserve"> that Jane Doe Three </w:t>
      </w:r>
      <w:r w:rsidR="00945E9A">
        <w:t>had reported</w:t>
      </w:r>
      <w:r>
        <w:t xml:space="preserve"> that he touched her breasts, took off her clothes, put his mouth on her vagina, and put his penis in her vagina.</w:t>
      </w:r>
      <w:r w:rsidRPr="00E32AA5">
        <w:t xml:space="preserve"> </w:t>
      </w:r>
      <w:r>
        <w:t xml:space="preserve"> Villegas responded</w:t>
      </w:r>
      <w:proofErr w:type="gramStart"/>
      <w:r>
        <w:t>:  “</w:t>
      </w:r>
      <w:proofErr w:type="gramEnd"/>
      <w:r>
        <w:t>That that you said—say—what she said.  It happened</w:t>
      </w:r>
      <w:proofErr w:type="gramStart"/>
      <w:r>
        <w:t>. . . .</w:t>
      </w:r>
      <w:proofErr w:type="gramEnd"/>
      <w:r>
        <w:t xml:space="preserve"> She’s telling the truth.  She—that’s the truth.”      </w:t>
      </w:r>
    </w:p>
    <w:p w14:paraId="76B41D88" w14:textId="21FE70BC" w:rsidR="00A11908" w:rsidRPr="0056321E" w:rsidRDefault="003C618B" w:rsidP="00A11908">
      <w:pPr>
        <w:pStyle w:val="Text"/>
        <w:ind w:firstLine="0"/>
        <w:rPr>
          <w:b/>
          <w:bCs/>
          <w:i/>
          <w:iCs/>
        </w:rPr>
      </w:pPr>
      <w:r w:rsidRPr="0056321E">
        <w:rPr>
          <w:b/>
          <w:bCs/>
          <w:i/>
          <w:iCs/>
          <w:bdr w:val="none" w:sz="0" w:space="0" w:color="auto" w:frame="1"/>
          <w:shd w:val="clear" w:color="auto" w:fill="FFFFFF"/>
        </w:rPr>
        <w:tab/>
      </w:r>
      <w:bookmarkStart w:id="3" w:name="_Hlk145942932"/>
      <w:r w:rsidR="00A133CC" w:rsidRPr="0056321E">
        <w:rPr>
          <w:b/>
          <w:bCs/>
          <w:i/>
          <w:iCs/>
          <w:bdr w:val="none" w:sz="0" w:space="0" w:color="auto" w:frame="1"/>
          <w:shd w:val="clear" w:color="auto" w:fill="FFFFFF"/>
        </w:rPr>
        <w:t>2</w:t>
      </w:r>
      <w:r w:rsidR="00A11908" w:rsidRPr="0056321E">
        <w:rPr>
          <w:b/>
          <w:bCs/>
          <w:i/>
          <w:iCs/>
          <w:bdr w:val="none" w:sz="0" w:space="0" w:color="auto" w:frame="1"/>
          <w:shd w:val="clear" w:color="auto" w:fill="FFFFFF"/>
        </w:rPr>
        <w:t>.</w:t>
      </w:r>
      <w:r w:rsidR="00A11908" w:rsidRPr="0056321E">
        <w:rPr>
          <w:b/>
          <w:bCs/>
          <w:i/>
          <w:iCs/>
          <w:bdr w:val="none" w:sz="0" w:space="0" w:color="auto" w:frame="1"/>
          <w:shd w:val="clear" w:color="auto" w:fill="FFFFFF"/>
        </w:rPr>
        <w:tab/>
      </w:r>
      <w:r w:rsidRPr="0056321E">
        <w:rPr>
          <w:b/>
          <w:bCs/>
          <w:i/>
          <w:iCs/>
          <w:bdr w:val="none" w:sz="0" w:space="0" w:color="auto" w:frame="1"/>
          <w:shd w:val="clear" w:color="auto" w:fill="FFFFFF"/>
        </w:rPr>
        <w:t xml:space="preserve">Legal Framework and </w:t>
      </w:r>
      <w:r w:rsidR="00A11908" w:rsidRPr="0056321E">
        <w:rPr>
          <w:b/>
          <w:bCs/>
          <w:i/>
          <w:iCs/>
          <w:bdr w:val="none" w:sz="0" w:space="0" w:color="auto" w:frame="1"/>
          <w:shd w:val="clear" w:color="auto" w:fill="FFFFFF"/>
        </w:rPr>
        <w:t>Standard of Review</w:t>
      </w:r>
    </w:p>
    <w:p w14:paraId="391777FF" w14:textId="2C45818E" w:rsidR="00863DC9" w:rsidRDefault="003C618B" w:rsidP="00AF023C">
      <w:pPr>
        <w:pStyle w:val="Text"/>
        <w:ind w:firstLine="0"/>
        <w:rPr>
          <w:color w:val="212121"/>
          <w:bdr w:val="none" w:sz="0" w:space="0" w:color="auto" w:frame="1"/>
          <w:shd w:val="clear" w:color="auto" w:fill="FFFFFF"/>
        </w:rPr>
      </w:pPr>
      <w:r w:rsidRPr="0056321E">
        <w:rPr>
          <w:b/>
          <w:bCs/>
          <w:i/>
          <w:iCs/>
        </w:rPr>
        <w:tab/>
      </w:r>
      <w:bookmarkEnd w:id="3"/>
      <w:r w:rsidR="00945E9A">
        <w:rPr>
          <w:color w:val="212121"/>
          <w:bdr w:val="none" w:sz="0" w:space="0" w:color="auto" w:frame="1"/>
          <w:shd w:val="clear" w:color="auto" w:fill="FFFFFF"/>
        </w:rPr>
        <w:t>“</w:t>
      </w:r>
      <w:r w:rsidR="002B1DF2" w:rsidRPr="00945E9A">
        <w:rPr>
          <w:color w:val="212121"/>
          <w:bdr w:val="none" w:sz="0" w:space="0" w:color="auto" w:frame="1"/>
          <w:shd w:val="clear" w:color="auto" w:fill="FFFFFF"/>
        </w:rPr>
        <w:t>If a defendant invokes his [or her]</w:t>
      </w:r>
      <w:r w:rsidR="00945E9A">
        <w:rPr>
          <w:color w:val="212121"/>
          <w:bdr w:val="none" w:sz="0" w:space="0" w:color="auto" w:frame="1"/>
          <w:shd w:val="clear" w:color="auto" w:fill="FFFFFF"/>
        </w:rPr>
        <w:t xml:space="preserve"> </w:t>
      </w:r>
      <w:r w:rsidR="00945E9A">
        <w:rPr>
          <w:i/>
          <w:iCs/>
          <w:color w:val="212121"/>
          <w:bdr w:val="none" w:sz="0" w:space="0" w:color="auto" w:frame="1"/>
          <w:shd w:val="clear" w:color="auto" w:fill="FFFFFF"/>
        </w:rPr>
        <w:t>Miranda</w:t>
      </w:r>
      <w:r w:rsidR="00826856">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rights, questioning must cease.</w:t>
      </w:r>
      <w:r w:rsidR="00945E9A">
        <w:rPr>
          <w:color w:val="212121"/>
          <w:bdr w:val="none" w:sz="0" w:space="0" w:color="auto" w:frame="1"/>
          <w:shd w:val="clear" w:color="auto" w:fill="FFFFFF"/>
        </w:rPr>
        <w:t>”</w:t>
      </w:r>
      <w:r w:rsidR="002B1DF2" w:rsidRPr="00945E9A">
        <w:rPr>
          <w:color w:val="212121"/>
          <w:bdr w:val="none" w:sz="0" w:space="0" w:color="auto" w:frame="1"/>
          <w:shd w:val="clear" w:color="auto" w:fill="FFFFFF"/>
        </w:rPr>
        <w:t xml:space="preserve"> </w:t>
      </w:r>
      <w:r w:rsidR="00945E9A">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w:t>
      </w:r>
      <w:r w:rsidR="00945E9A">
        <w:rPr>
          <w:i/>
          <w:iCs/>
          <w:color w:val="212121"/>
          <w:bdr w:val="none" w:sz="0" w:space="0" w:color="auto" w:frame="1"/>
          <w:shd w:val="clear" w:color="auto" w:fill="FFFFFF"/>
        </w:rPr>
        <w:t>People v. Sanchez</w:t>
      </w:r>
      <w:r w:rsidR="00945E9A">
        <w:rPr>
          <w:color w:val="212121"/>
          <w:bdr w:val="none" w:sz="0" w:space="0" w:color="auto" w:frame="1"/>
          <w:shd w:val="clear" w:color="auto" w:fill="FFFFFF"/>
        </w:rPr>
        <w:t xml:space="preserve"> (2019) 7 Cal.5th 14, 49</w:t>
      </w:r>
      <w:r w:rsidR="00F511F7">
        <w:rPr>
          <w:color w:val="212121"/>
          <w:bdr w:val="none" w:sz="0" w:space="0" w:color="auto" w:frame="1"/>
          <w:shd w:val="clear" w:color="auto" w:fill="FFFFFF"/>
        </w:rPr>
        <w:t xml:space="preserve"> (</w:t>
      </w:r>
      <w:r w:rsidR="00F511F7">
        <w:rPr>
          <w:i/>
          <w:iCs/>
          <w:color w:val="212121"/>
          <w:bdr w:val="none" w:sz="0" w:space="0" w:color="auto" w:frame="1"/>
          <w:shd w:val="clear" w:color="auto" w:fill="FFFFFF"/>
        </w:rPr>
        <w:t>Sanchez</w:t>
      </w:r>
      <w:r w:rsidR="00F511F7">
        <w:rPr>
          <w:color w:val="212121"/>
          <w:bdr w:val="none" w:sz="0" w:space="0" w:color="auto" w:frame="1"/>
          <w:shd w:val="clear" w:color="auto" w:fill="FFFFFF"/>
        </w:rPr>
        <w:t>)</w:t>
      </w:r>
      <w:r w:rsidR="00945E9A">
        <w:rPr>
          <w:color w:val="212121"/>
          <w:bdr w:val="none" w:sz="0" w:space="0" w:color="auto" w:frame="1"/>
          <w:shd w:val="clear" w:color="auto" w:fill="FFFFFF"/>
        </w:rPr>
        <w:t>.)</w:t>
      </w:r>
      <w:r w:rsidR="00826856">
        <w:rPr>
          <w:color w:val="212121"/>
          <w:bdr w:val="none" w:sz="0" w:space="0" w:color="auto" w:frame="1"/>
          <w:shd w:val="clear" w:color="auto" w:fill="FFFFFF"/>
        </w:rPr>
        <w:t xml:space="preserve"> </w:t>
      </w:r>
      <w:r w:rsidR="00945E9A">
        <w:rPr>
          <w:color w:val="212121"/>
          <w:bdr w:val="none" w:sz="0" w:space="0" w:color="auto" w:frame="1"/>
          <w:shd w:val="clear" w:color="auto" w:fill="FFFFFF"/>
        </w:rPr>
        <w:t xml:space="preserve"> </w:t>
      </w:r>
      <w:r w:rsidR="004C6411">
        <w:rPr>
          <w:color w:val="212121"/>
          <w:bdr w:val="none" w:sz="0" w:space="0" w:color="auto" w:frame="1"/>
          <w:shd w:val="clear" w:color="auto" w:fill="FFFFFF"/>
        </w:rPr>
        <w:t>“</w:t>
      </w:r>
      <w:r w:rsidR="002B1DF2" w:rsidRPr="00945E9A">
        <w:rPr>
          <w:color w:val="212121"/>
          <w:bdr w:val="none" w:sz="0" w:space="0" w:color="auto" w:frame="1"/>
          <w:shd w:val="clear" w:color="auto" w:fill="FFFFFF"/>
        </w:rPr>
        <w:t>However, when, as in this case, a defendant has waived his [or her]</w:t>
      </w:r>
      <w:r w:rsidR="00826856">
        <w:rPr>
          <w:color w:val="212121"/>
          <w:bdr w:val="none" w:sz="0" w:space="0" w:color="auto" w:frame="1"/>
          <w:shd w:val="clear" w:color="auto" w:fill="FFFFFF"/>
        </w:rPr>
        <w:t xml:space="preserve"> </w:t>
      </w:r>
      <w:r w:rsidR="004C6411">
        <w:rPr>
          <w:i/>
          <w:iCs/>
          <w:color w:val="212121"/>
          <w:bdr w:val="none" w:sz="0" w:space="0" w:color="auto" w:frame="1"/>
          <w:shd w:val="clear" w:color="auto" w:fill="FFFFFF"/>
        </w:rPr>
        <w:t>Miranda</w:t>
      </w:r>
      <w:r w:rsidR="00826856">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 xml:space="preserve">rights and agreed to </w:t>
      </w:r>
      <w:r w:rsidR="002B1DF2" w:rsidRPr="00F64021">
        <w:rPr>
          <w:color w:val="212121"/>
          <w:bdr w:val="none" w:sz="0" w:space="0" w:color="auto" w:frame="1"/>
          <w:shd w:val="clear" w:color="auto" w:fill="FFFFFF"/>
        </w:rPr>
        <w:t xml:space="preserve">talk with police, any </w:t>
      </w:r>
      <w:r w:rsidR="002B1DF2" w:rsidRPr="00A00947">
        <w:rPr>
          <w:i/>
          <w:iCs/>
          <w:color w:val="212121"/>
          <w:bdr w:val="none" w:sz="0" w:space="0" w:color="auto" w:frame="1"/>
          <w:shd w:val="clear" w:color="auto" w:fill="FFFFFF"/>
        </w:rPr>
        <w:t>subsequent</w:t>
      </w:r>
      <w:r w:rsidR="004C6411" w:rsidRPr="00F64021">
        <w:rPr>
          <w:color w:val="212121"/>
          <w:bdr w:val="none" w:sz="0" w:space="0" w:color="auto" w:frame="1"/>
          <w:shd w:val="clear" w:color="auto" w:fill="FFFFFF"/>
        </w:rPr>
        <w:t xml:space="preserve"> invocation</w:t>
      </w:r>
      <w:r w:rsidR="00826856">
        <w:rPr>
          <w:color w:val="212121"/>
          <w:bdr w:val="none" w:sz="0" w:space="0" w:color="auto" w:frame="1"/>
          <w:shd w:val="clear" w:color="auto" w:fill="FFFFFF"/>
        </w:rPr>
        <w:t xml:space="preserve"> </w:t>
      </w:r>
      <w:r w:rsidR="002B1DF2" w:rsidRPr="00F64021">
        <w:rPr>
          <w:color w:val="212121"/>
          <w:bdr w:val="none" w:sz="0" w:space="0" w:color="auto" w:frame="1"/>
          <w:shd w:val="clear" w:color="auto" w:fill="FFFFFF"/>
        </w:rPr>
        <w:t>of the right to counsel or the right to remain silent must be unequivocal and unambiguous.</w:t>
      </w:r>
      <w:r w:rsidR="004C6411" w:rsidRPr="00F64021">
        <w:rPr>
          <w:color w:val="212121"/>
          <w:bdr w:val="none" w:sz="0" w:space="0" w:color="auto" w:frame="1"/>
          <w:shd w:val="clear" w:color="auto" w:fill="FFFFFF"/>
        </w:rPr>
        <w:t>”  (</w:t>
      </w:r>
      <w:r w:rsidR="006B0DDC">
        <w:rPr>
          <w:i/>
          <w:iCs/>
          <w:color w:val="212121"/>
          <w:bdr w:val="none" w:sz="0" w:space="0" w:color="auto" w:frame="1"/>
          <w:shd w:val="clear" w:color="auto" w:fill="FFFFFF"/>
        </w:rPr>
        <w:t>Ibid.</w:t>
      </w:r>
      <w:r w:rsidR="00891D75">
        <w:rPr>
          <w:color w:val="212121"/>
          <w:bdr w:val="none" w:sz="0" w:space="0" w:color="auto" w:frame="1"/>
          <w:shd w:val="clear" w:color="auto" w:fill="FFFFFF"/>
        </w:rPr>
        <w:t>,</w:t>
      </w:r>
      <w:r w:rsidR="006B0DDC">
        <w:rPr>
          <w:color w:val="212121"/>
          <w:bdr w:val="none" w:sz="0" w:space="0" w:color="auto" w:frame="1"/>
          <w:shd w:val="clear" w:color="auto" w:fill="FFFFFF"/>
        </w:rPr>
        <w:t xml:space="preserve"> citing </w:t>
      </w:r>
      <w:r w:rsidR="004C6411" w:rsidRPr="00F64021">
        <w:rPr>
          <w:i/>
          <w:iCs/>
          <w:color w:val="212121"/>
          <w:bdr w:val="none" w:sz="0" w:space="0" w:color="auto" w:frame="1"/>
          <w:shd w:val="clear" w:color="auto" w:fill="FFFFFF"/>
        </w:rPr>
        <w:t>Berghuis v. Thom</w:t>
      </w:r>
      <w:r w:rsidR="005950DA">
        <w:rPr>
          <w:i/>
          <w:iCs/>
          <w:color w:val="212121"/>
          <w:bdr w:val="none" w:sz="0" w:space="0" w:color="auto" w:frame="1"/>
          <w:shd w:val="clear" w:color="auto" w:fill="FFFFFF"/>
        </w:rPr>
        <w:t>p</w:t>
      </w:r>
      <w:r w:rsidR="004C6411" w:rsidRPr="00F64021">
        <w:rPr>
          <w:i/>
          <w:iCs/>
          <w:color w:val="212121"/>
          <w:bdr w:val="none" w:sz="0" w:space="0" w:color="auto" w:frame="1"/>
          <w:shd w:val="clear" w:color="auto" w:fill="FFFFFF"/>
        </w:rPr>
        <w:t>kins</w:t>
      </w:r>
      <w:r w:rsidR="004C6411" w:rsidRPr="00F64021">
        <w:rPr>
          <w:color w:val="212121"/>
          <w:bdr w:val="none" w:sz="0" w:space="0" w:color="auto" w:frame="1"/>
          <w:shd w:val="clear" w:color="auto" w:fill="FFFFFF"/>
        </w:rPr>
        <w:t xml:space="preserve"> (2010) 560 U.S. 370, 381</w:t>
      </w:r>
      <w:r w:rsidR="00F64021">
        <w:rPr>
          <w:color w:val="212121"/>
          <w:bdr w:val="none" w:sz="0" w:space="0" w:color="auto" w:frame="1"/>
          <w:shd w:val="clear" w:color="auto" w:fill="FFFFFF"/>
        </w:rPr>
        <w:t xml:space="preserve"> (</w:t>
      </w:r>
      <w:r w:rsidR="00F64021">
        <w:rPr>
          <w:i/>
          <w:iCs/>
          <w:color w:val="212121"/>
          <w:bdr w:val="none" w:sz="0" w:space="0" w:color="auto" w:frame="1"/>
          <w:shd w:val="clear" w:color="auto" w:fill="FFFFFF"/>
        </w:rPr>
        <w:t>Berghuis</w:t>
      </w:r>
      <w:r w:rsidR="00F64021">
        <w:rPr>
          <w:color w:val="212121"/>
          <w:bdr w:val="none" w:sz="0" w:space="0" w:color="auto" w:frame="1"/>
          <w:shd w:val="clear" w:color="auto" w:fill="FFFFFF"/>
        </w:rPr>
        <w:t>)</w:t>
      </w:r>
      <w:r w:rsidR="004C6411" w:rsidRPr="00F64021">
        <w:rPr>
          <w:color w:val="212121"/>
          <w:bdr w:val="none" w:sz="0" w:space="0" w:color="auto" w:frame="1"/>
          <w:shd w:val="clear" w:color="auto" w:fill="FFFFFF"/>
        </w:rPr>
        <w:t xml:space="preserve">; accord, </w:t>
      </w:r>
      <w:r w:rsidR="004C6411" w:rsidRPr="00F64021">
        <w:rPr>
          <w:i/>
          <w:iCs/>
          <w:color w:val="212121"/>
          <w:bdr w:val="none" w:sz="0" w:space="0" w:color="auto" w:frame="1"/>
          <w:shd w:val="clear" w:color="auto" w:fill="FFFFFF"/>
        </w:rPr>
        <w:t>People v. Henderson</w:t>
      </w:r>
      <w:r w:rsidR="004C6411" w:rsidRPr="00F64021">
        <w:rPr>
          <w:color w:val="212121"/>
          <w:bdr w:val="none" w:sz="0" w:space="0" w:color="auto" w:frame="1"/>
          <w:shd w:val="clear" w:color="auto" w:fill="FFFFFF"/>
        </w:rPr>
        <w:t xml:space="preserve"> (2020) 9 Cal.5</w:t>
      </w:r>
      <w:r w:rsidR="006B0DDC">
        <w:rPr>
          <w:color w:val="212121"/>
          <w:bdr w:val="none" w:sz="0" w:space="0" w:color="auto" w:frame="1"/>
          <w:shd w:val="clear" w:color="auto" w:fill="FFFFFF"/>
        </w:rPr>
        <w:t>th</w:t>
      </w:r>
      <w:r w:rsidR="004C6411" w:rsidRPr="00F64021">
        <w:rPr>
          <w:color w:val="212121"/>
          <w:bdr w:val="none" w:sz="0" w:space="0" w:color="auto" w:frame="1"/>
          <w:shd w:val="clear" w:color="auto" w:fill="FFFFFF"/>
        </w:rPr>
        <w:t xml:space="preserve"> 1013, 1022 [ambiguous or equivocal reference</w:t>
      </w:r>
      <w:r w:rsidR="00863DC9">
        <w:rPr>
          <w:color w:val="212121"/>
          <w:bdr w:val="none" w:sz="0" w:space="0" w:color="auto" w:frame="1"/>
          <w:shd w:val="clear" w:color="auto" w:fill="FFFFFF"/>
        </w:rPr>
        <w:t>s</w:t>
      </w:r>
      <w:r w:rsidR="004C6411" w:rsidRPr="00F64021">
        <w:rPr>
          <w:color w:val="212121"/>
          <w:bdr w:val="none" w:sz="0" w:space="0" w:color="auto" w:frame="1"/>
          <w:shd w:val="clear" w:color="auto" w:fill="FFFFFF"/>
        </w:rPr>
        <w:t xml:space="preserve"> are not sufficient].)</w:t>
      </w:r>
      <w:r w:rsidR="00F64021" w:rsidRPr="00F64021">
        <w:rPr>
          <w:color w:val="212121"/>
          <w:bdr w:val="none" w:sz="0" w:space="0" w:color="auto" w:frame="1"/>
          <w:shd w:val="clear" w:color="auto" w:fill="FFFFFF"/>
        </w:rPr>
        <w:t xml:space="preserve">  Such an admittedly </w:t>
      </w:r>
      <w:r w:rsidR="00CE1C1D">
        <w:rPr>
          <w:color w:val="212121"/>
          <w:bdr w:val="none" w:sz="0" w:space="0" w:color="auto" w:frame="1"/>
          <w:shd w:val="clear" w:color="auto" w:fill="FFFFFF"/>
        </w:rPr>
        <w:t xml:space="preserve">rigid and prophylactic </w:t>
      </w:r>
      <w:r w:rsidR="00F64021" w:rsidRPr="00F64021">
        <w:rPr>
          <w:color w:val="212121"/>
          <w:bdr w:val="none" w:sz="0" w:space="0" w:color="auto" w:frame="1"/>
          <w:shd w:val="clear" w:color="auto" w:fill="FFFFFF"/>
        </w:rPr>
        <w:t>approach is required in this context because “a</w:t>
      </w:r>
      <w:r w:rsidR="004C6411" w:rsidRPr="00F64021">
        <w:rPr>
          <w:rStyle w:val="ssrfcpassagedeactivated"/>
          <w:color w:val="000000"/>
          <w:bdr w:val="none" w:sz="0" w:space="0" w:color="auto" w:frame="1"/>
        </w:rPr>
        <w:t>fter a suspect makes a valid waiver of the</w:t>
      </w:r>
      <w:r w:rsidR="00826856">
        <w:rPr>
          <w:rStyle w:val="ssrfcpassagedeactivated"/>
          <w:color w:val="000000"/>
          <w:bdr w:val="none" w:sz="0" w:space="0" w:color="auto" w:frame="1"/>
        </w:rPr>
        <w:t xml:space="preserve"> </w:t>
      </w:r>
      <w:r w:rsidR="004C6411" w:rsidRPr="00F64021">
        <w:rPr>
          <w:rStyle w:val="sssh"/>
          <w:i/>
          <w:iCs/>
          <w:color w:val="000000"/>
          <w:bdr w:val="none" w:sz="0" w:space="0" w:color="auto" w:frame="1"/>
        </w:rPr>
        <w:t>Miranda</w:t>
      </w:r>
      <w:r w:rsidR="00826856">
        <w:rPr>
          <w:rStyle w:val="ssrfcpassagedeactivated"/>
          <w:color w:val="000000"/>
          <w:bdr w:val="none" w:sz="0" w:space="0" w:color="auto" w:frame="1"/>
        </w:rPr>
        <w:t xml:space="preserve"> </w:t>
      </w:r>
      <w:r w:rsidR="004C6411" w:rsidRPr="00F64021">
        <w:rPr>
          <w:rStyle w:val="ssrfcpassagedeactivated"/>
          <w:color w:val="000000"/>
          <w:bdr w:val="none" w:sz="0" w:space="0" w:color="auto" w:frame="1"/>
        </w:rPr>
        <w:t xml:space="preserve">rights, the need </w:t>
      </w:r>
      <w:r w:rsidR="004C6411" w:rsidRPr="00863DC9">
        <w:rPr>
          <w:rStyle w:val="ssrfcpassagedeactivated"/>
          <w:color w:val="000000"/>
          <w:bdr w:val="none" w:sz="0" w:space="0" w:color="auto" w:frame="1"/>
        </w:rPr>
        <w:t>for</w:t>
      </w:r>
      <w:r w:rsidR="00826856">
        <w:rPr>
          <w:rStyle w:val="ssrfcpassagedeactivated"/>
          <w:color w:val="000000"/>
          <w:bdr w:val="none" w:sz="0" w:space="0" w:color="auto" w:frame="1"/>
        </w:rPr>
        <w:t xml:space="preserve"> </w:t>
      </w:r>
      <w:r w:rsidR="004C6411" w:rsidRPr="00863DC9">
        <w:rPr>
          <w:rStyle w:val="ssrfcpassagedeactivated"/>
          <w:color w:val="000000"/>
          <w:bdr w:val="none" w:sz="0" w:space="0" w:color="auto" w:frame="1"/>
        </w:rPr>
        <w:t>effective law enforcement weighs in favor of a bright-line rule that allows officers to continue questioning unless the suspect clearly invokes the right to counsel or</w:t>
      </w:r>
      <w:r w:rsidR="00826856">
        <w:rPr>
          <w:rStyle w:val="ssrfcpassagedeactivated"/>
          <w:color w:val="000000"/>
          <w:bdr w:val="none" w:sz="0" w:space="0" w:color="auto" w:frame="1"/>
        </w:rPr>
        <w:t xml:space="preserve"> </w:t>
      </w:r>
      <w:r w:rsidR="004C6411" w:rsidRPr="00863DC9">
        <w:rPr>
          <w:rStyle w:val="sssh"/>
          <w:color w:val="000000"/>
          <w:bdr w:val="none" w:sz="0" w:space="0" w:color="auto" w:frame="1"/>
        </w:rPr>
        <w:t>right to silence</w:t>
      </w:r>
      <w:r w:rsidR="004C6411" w:rsidRPr="00863DC9">
        <w:rPr>
          <w:rStyle w:val="ssrfcpassagedeactivated"/>
          <w:color w:val="000000"/>
          <w:bdr w:val="none" w:sz="0" w:space="0" w:color="auto" w:frame="1"/>
        </w:rPr>
        <w:t xml:space="preserve">.” </w:t>
      </w:r>
      <w:r w:rsidR="00863DC9">
        <w:rPr>
          <w:rStyle w:val="ssrfcpassagedeactivated"/>
          <w:color w:val="000000"/>
          <w:bdr w:val="none" w:sz="0" w:space="0" w:color="auto" w:frame="1"/>
        </w:rPr>
        <w:t xml:space="preserve"> </w:t>
      </w:r>
      <w:r w:rsidR="004C6411" w:rsidRPr="00863DC9">
        <w:rPr>
          <w:rStyle w:val="ssrfcpassagedeactivated"/>
          <w:color w:val="000000"/>
          <w:bdr w:val="none" w:sz="0" w:space="0" w:color="auto" w:frame="1"/>
        </w:rPr>
        <w:t>(</w:t>
      </w:r>
      <w:r w:rsidR="00F64021" w:rsidRPr="00863DC9">
        <w:rPr>
          <w:rStyle w:val="ssrfcpassagedeactivated"/>
          <w:i/>
          <w:iCs/>
          <w:color w:val="000000"/>
          <w:bdr w:val="none" w:sz="0" w:space="0" w:color="auto" w:frame="1"/>
        </w:rPr>
        <w:t>People v. Nelson</w:t>
      </w:r>
      <w:r w:rsidR="00F64021" w:rsidRPr="00863DC9">
        <w:rPr>
          <w:rStyle w:val="ssrfcpassagedeactivated"/>
          <w:color w:val="000000"/>
          <w:bdr w:val="none" w:sz="0" w:space="0" w:color="auto" w:frame="1"/>
        </w:rPr>
        <w:t xml:space="preserve"> (2012) 53 Cal.</w:t>
      </w:r>
      <w:r w:rsidR="000C70C8">
        <w:rPr>
          <w:rStyle w:val="ssrfcpassagedeactivated"/>
          <w:color w:val="000000"/>
          <w:bdr w:val="none" w:sz="0" w:space="0" w:color="auto" w:frame="1"/>
        </w:rPr>
        <w:t>4th</w:t>
      </w:r>
      <w:r w:rsidR="00F64021" w:rsidRPr="00863DC9">
        <w:rPr>
          <w:rStyle w:val="ssrfcpassagedeactivated"/>
          <w:color w:val="000000"/>
          <w:bdr w:val="none" w:sz="0" w:space="0" w:color="auto" w:frame="1"/>
        </w:rPr>
        <w:t xml:space="preserve"> 367, 377</w:t>
      </w:r>
      <w:r w:rsidR="00863DC9">
        <w:rPr>
          <w:rStyle w:val="ssrfcpassagedeactivated"/>
          <w:color w:val="000000"/>
          <w:bdr w:val="none" w:sz="0" w:space="0" w:color="auto" w:frame="1"/>
        </w:rPr>
        <w:t xml:space="preserve"> (</w:t>
      </w:r>
      <w:r w:rsidR="00863DC9">
        <w:rPr>
          <w:rStyle w:val="ssrfcpassagedeactivated"/>
          <w:i/>
          <w:iCs/>
          <w:color w:val="000000"/>
          <w:bdr w:val="none" w:sz="0" w:space="0" w:color="auto" w:frame="1"/>
        </w:rPr>
        <w:t>Nelson</w:t>
      </w:r>
      <w:r w:rsidR="00863DC9">
        <w:rPr>
          <w:rStyle w:val="ssrfcpassagedeactivated"/>
          <w:color w:val="000000"/>
          <w:bdr w:val="none" w:sz="0" w:space="0" w:color="auto" w:frame="1"/>
        </w:rPr>
        <w:t>)</w:t>
      </w:r>
      <w:r w:rsidR="00CE1C1D">
        <w:rPr>
          <w:rStyle w:val="ssrfcpassagedeactivated"/>
          <w:color w:val="000000"/>
          <w:bdr w:val="none" w:sz="0" w:space="0" w:color="auto" w:frame="1"/>
        </w:rPr>
        <w:t xml:space="preserve">; accord, </w:t>
      </w:r>
      <w:r w:rsidR="00CE1C1D">
        <w:rPr>
          <w:rStyle w:val="ssrfcpassagedeactivated"/>
          <w:i/>
          <w:iCs/>
          <w:color w:val="000000"/>
          <w:bdr w:val="none" w:sz="0" w:space="0" w:color="auto" w:frame="1"/>
        </w:rPr>
        <w:t>People v. Ramirez</w:t>
      </w:r>
      <w:r w:rsidR="00CE1C1D">
        <w:rPr>
          <w:rStyle w:val="ssrfcpassagedeactivated"/>
          <w:color w:val="000000"/>
          <w:bdr w:val="none" w:sz="0" w:space="0" w:color="auto" w:frame="1"/>
        </w:rPr>
        <w:t xml:space="preserve"> (2022) 13 Cal.</w:t>
      </w:r>
      <w:r w:rsidR="000C70C8">
        <w:rPr>
          <w:rStyle w:val="ssrfcpassagedeactivated"/>
          <w:color w:val="000000"/>
          <w:bdr w:val="none" w:sz="0" w:space="0" w:color="auto" w:frame="1"/>
        </w:rPr>
        <w:t>5th</w:t>
      </w:r>
      <w:r w:rsidR="00CE1C1D">
        <w:rPr>
          <w:rStyle w:val="ssrfcpassagedeactivated"/>
          <w:color w:val="000000"/>
          <w:bdr w:val="none" w:sz="0" w:space="0" w:color="auto" w:frame="1"/>
        </w:rPr>
        <w:t xml:space="preserve"> 997, 1104 (</w:t>
      </w:r>
      <w:r w:rsidR="00CE1C1D">
        <w:rPr>
          <w:rStyle w:val="ssrfcpassagedeactivated"/>
          <w:i/>
          <w:iCs/>
          <w:color w:val="000000"/>
          <w:bdr w:val="none" w:sz="0" w:space="0" w:color="auto" w:frame="1"/>
        </w:rPr>
        <w:t>Ramirez</w:t>
      </w:r>
      <w:r w:rsidR="00CE1C1D">
        <w:rPr>
          <w:rStyle w:val="ssrfcpassagedeactivated"/>
          <w:color w:val="000000"/>
          <w:bdr w:val="none" w:sz="0" w:space="0" w:color="auto" w:frame="1"/>
        </w:rPr>
        <w:t>)</w:t>
      </w:r>
      <w:r w:rsidR="00F64021" w:rsidRPr="00863DC9">
        <w:rPr>
          <w:rStyle w:val="ssrfcpassagedeactivated"/>
          <w:color w:val="000000"/>
          <w:bdr w:val="none" w:sz="0" w:space="0" w:color="auto" w:frame="1"/>
        </w:rPr>
        <w:t>.)</w:t>
      </w:r>
      <w:r w:rsidR="00F64021" w:rsidRPr="00863DC9">
        <w:rPr>
          <w:color w:val="212121"/>
          <w:bdr w:val="none" w:sz="0" w:space="0" w:color="auto" w:frame="1"/>
          <w:shd w:val="clear" w:color="auto" w:fill="FFFFFF"/>
        </w:rPr>
        <w:t xml:space="preserve"> </w:t>
      </w:r>
      <w:r w:rsidR="00863DC9">
        <w:rPr>
          <w:color w:val="212121"/>
          <w:bdr w:val="none" w:sz="0" w:space="0" w:color="auto" w:frame="1"/>
          <w:shd w:val="clear" w:color="auto" w:fill="FFFFFF"/>
        </w:rPr>
        <w:t xml:space="preserve"> </w:t>
      </w:r>
      <w:proofErr w:type="gramStart"/>
      <w:r w:rsidR="00F64021" w:rsidRPr="00863DC9">
        <w:rPr>
          <w:color w:val="212121"/>
          <w:bdr w:val="none" w:sz="0" w:space="0" w:color="auto" w:frame="1"/>
          <w:shd w:val="clear" w:color="auto" w:fill="FFFFFF"/>
        </w:rPr>
        <w:t>“</w:t>
      </w:r>
      <w:r w:rsidR="00863DC9">
        <w:rPr>
          <w:color w:val="212121"/>
          <w:bdr w:val="none" w:sz="0" w:space="0" w:color="auto" w:frame="1"/>
          <w:shd w:val="clear" w:color="auto" w:fill="FFFFFF"/>
        </w:rPr>
        <w:t> ‘</w:t>
      </w:r>
      <w:proofErr w:type="gramEnd"/>
      <w:r w:rsidR="00F64021" w:rsidRPr="00863DC9">
        <w:rPr>
          <w:color w:val="212121"/>
          <w:bdr w:val="none" w:sz="0" w:space="0" w:color="auto" w:frame="1"/>
          <w:shd w:val="clear" w:color="auto" w:fill="FFFFFF"/>
        </w:rPr>
        <w:t>A requirement of an unambiguous invocation of</w:t>
      </w:r>
      <w:r w:rsidR="00826856">
        <w:rPr>
          <w:color w:val="212121"/>
          <w:bdr w:val="none" w:sz="0" w:space="0" w:color="auto" w:frame="1"/>
          <w:shd w:val="clear" w:color="auto" w:fill="FFFFFF"/>
        </w:rPr>
        <w:t xml:space="preserve"> </w:t>
      </w:r>
      <w:r w:rsidR="00F64021" w:rsidRPr="00863DC9">
        <w:rPr>
          <w:i/>
          <w:iCs/>
          <w:color w:val="212121"/>
          <w:bdr w:val="none" w:sz="0" w:space="0" w:color="auto" w:frame="1"/>
          <w:shd w:val="clear" w:color="auto" w:fill="FFFFFF"/>
        </w:rPr>
        <w:t>Miranda</w:t>
      </w:r>
      <w:r w:rsidR="00826856">
        <w:rPr>
          <w:color w:val="212121"/>
          <w:bdr w:val="none" w:sz="0" w:space="0" w:color="auto" w:frame="1"/>
          <w:shd w:val="clear" w:color="auto" w:fill="FFFFFF"/>
        </w:rPr>
        <w:t xml:space="preserve"> </w:t>
      </w:r>
      <w:r w:rsidR="00F64021" w:rsidRPr="00863DC9">
        <w:rPr>
          <w:color w:val="212121"/>
          <w:bdr w:val="none" w:sz="0" w:space="0" w:color="auto" w:frame="1"/>
          <w:shd w:val="clear" w:color="auto" w:fill="FFFFFF"/>
        </w:rPr>
        <w:t xml:space="preserve">rights results in an objective inquiry that </w:t>
      </w:r>
      <w:r w:rsidR="00863DC9">
        <w:rPr>
          <w:color w:val="212121"/>
          <w:bdr w:val="none" w:sz="0" w:space="0" w:color="auto" w:frame="1"/>
          <w:shd w:val="clear" w:color="auto" w:fill="FFFFFF"/>
        </w:rPr>
        <w:t>“</w:t>
      </w:r>
      <w:r w:rsidR="00F64021" w:rsidRPr="00863DC9">
        <w:rPr>
          <w:color w:val="212121"/>
          <w:bdr w:val="none" w:sz="0" w:space="0" w:color="auto" w:frame="1"/>
          <w:shd w:val="clear" w:color="auto" w:fill="FFFFFF"/>
        </w:rPr>
        <w:t xml:space="preserve">avoid[s] difficulties of proof and </w:t>
      </w:r>
      <w:r w:rsidR="00863DC9" w:rsidRPr="00863DC9">
        <w:rPr>
          <w:color w:val="212121"/>
          <w:bdr w:val="none" w:sz="0" w:space="0" w:color="auto" w:frame="1"/>
          <w:shd w:val="clear" w:color="auto" w:fill="FFFFFF"/>
        </w:rPr>
        <w:t>. . .</w:t>
      </w:r>
      <w:r w:rsidR="00F64021" w:rsidRPr="00863DC9">
        <w:rPr>
          <w:color w:val="212121"/>
          <w:bdr w:val="none" w:sz="0" w:space="0" w:color="auto" w:frame="1"/>
          <w:shd w:val="clear" w:color="auto" w:fill="FFFFFF"/>
        </w:rPr>
        <w:t xml:space="preserve"> provide[s] guidance to officers</w:t>
      </w:r>
      <w:r w:rsidR="00863DC9">
        <w:rPr>
          <w:color w:val="212121"/>
          <w:bdr w:val="none" w:sz="0" w:space="0" w:color="auto" w:frame="1"/>
          <w:shd w:val="clear" w:color="auto" w:fill="FFFFFF"/>
        </w:rPr>
        <w:t>”</w:t>
      </w:r>
      <w:r w:rsidR="00F64021" w:rsidRPr="00863DC9">
        <w:rPr>
          <w:color w:val="212121"/>
          <w:bdr w:val="none" w:sz="0" w:space="0" w:color="auto" w:frame="1"/>
          <w:shd w:val="clear" w:color="auto" w:fill="FFFFFF"/>
        </w:rPr>
        <w:t xml:space="preserve"> on how to proceed in the face of ambiguity.</w:t>
      </w:r>
      <w:r w:rsidR="00826856">
        <w:rPr>
          <w:color w:val="212121"/>
          <w:bdr w:val="none" w:sz="0" w:space="0" w:color="auto" w:frame="1"/>
          <w:shd w:val="clear" w:color="auto" w:fill="FFFFFF"/>
        </w:rPr>
        <w:t xml:space="preserve"> </w:t>
      </w:r>
      <w:r w:rsidR="00863DC9" w:rsidRPr="00863DC9">
        <w:rPr>
          <w:color w:val="212121"/>
          <w:bdr w:val="none" w:sz="0" w:space="0" w:color="auto" w:frame="1"/>
          <w:shd w:val="clear" w:color="auto" w:fill="FFFFFF"/>
        </w:rPr>
        <w:t xml:space="preserve"> </w:t>
      </w:r>
      <w:r w:rsidR="00F64021" w:rsidRPr="00863DC9">
        <w:rPr>
          <w:color w:val="212121"/>
          <w:bdr w:val="none" w:sz="0" w:space="0" w:color="auto" w:frame="1"/>
          <w:shd w:val="clear" w:color="auto" w:fill="FFFFFF"/>
        </w:rPr>
        <w:t xml:space="preserve">[Citation.] </w:t>
      </w:r>
      <w:r w:rsidR="00863DC9" w:rsidRPr="00863DC9">
        <w:rPr>
          <w:color w:val="212121"/>
          <w:bdr w:val="none" w:sz="0" w:space="0" w:color="auto" w:frame="1"/>
          <w:shd w:val="clear" w:color="auto" w:fill="FFFFFF"/>
        </w:rPr>
        <w:t xml:space="preserve"> </w:t>
      </w:r>
      <w:r w:rsidR="00F64021" w:rsidRPr="00863DC9">
        <w:rPr>
          <w:color w:val="212121"/>
          <w:bdr w:val="none" w:sz="0" w:space="0" w:color="auto" w:frame="1"/>
          <w:shd w:val="clear" w:color="auto" w:fill="FFFFFF"/>
        </w:rPr>
        <w:t>If an ambiguous act, omission, or statement could require police to end the interrogation, police would be required to make difficult decisions about an accused</w:t>
      </w:r>
      <w:r w:rsidR="00863DC9" w:rsidRPr="00863DC9">
        <w:rPr>
          <w:color w:val="212121"/>
          <w:bdr w:val="none" w:sz="0" w:space="0" w:color="auto" w:frame="1"/>
          <w:shd w:val="clear" w:color="auto" w:fill="FFFFFF"/>
        </w:rPr>
        <w:t>’</w:t>
      </w:r>
      <w:r w:rsidR="00F64021" w:rsidRPr="00863DC9">
        <w:rPr>
          <w:color w:val="212121"/>
          <w:bdr w:val="none" w:sz="0" w:space="0" w:color="auto" w:frame="1"/>
          <w:shd w:val="clear" w:color="auto" w:fill="FFFFFF"/>
        </w:rPr>
        <w:t xml:space="preserve">s unclear intent and face the consequences of suppression </w:t>
      </w:r>
      <w:r w:rsidR="00863DC9">
        <w:rPr>
          <w:color w:val="212121"/>
          <w:bdr w:val="none" w:sz="0" w:space="0" w:color="auto" w:frame="1"/>
          <w:shd w:val="clear" w:color="auto" w:fill="FFFFFF"/>
        </w:rPr>
        <w:t>“</w:t>
      </w:r>
      <w:r w:rsidR="00F64021" w:rsidRPr="00863DC9">
        <w:rPr>
          <w:color w:val="212121"/>
          <w:bdr w:val="none" w:sz="0" w:space="0" w:color="auto" w:frame="1"/>
          <w:shd w:val="clear" w:color="auto" w:fill="FFFFFF"/>
        </w:rPr>
        <w:t>if they guess wrong.</w:t>
      </w:r>
      <w:proofErr w:type="gramStart"/>
      <w:r w:rsidR="00863DC9">
        <w:rPr>
          <w:color w:val="212121"/>
          <w:bdr w:val="none" w:sz="0" w:space="0" w:color="auto" w:frame="1"/>
          <w:shd w:val="clear" w:color="auto" w:fill="FFFFFF"/>
        </w:rPr>
        <w:t>” </w:t>
      </w:r>
      <w:r w:rsidR="00F64021" w:rsidRPr="00863DC9">
        <w:rPr>
          <w:color w:val="212121"/>
          <w:bdr w:val="none" w:sz="0" w:space="0" w:color="auto" w:frame="1"/>
          <w:shd w:val="clear" w:color="auto" w:fill="FFFFFF"/>
        </w:rPr>
        <w:t>’</w:t>
      </w:r>
      <w:proofErr w:type="gramEnd"/>
      <w:r w:rsidR="00F64021" w:rsidRPr="00863DC9">
        <w:rPr>
          <w:color w:val="212121"/>
          <w:bdr w:val="none" w:sz="0" w:space="0" w:color="auto" w:frame="1"/>
          <w:shd w:val="clear" w:color="auto" w:fill="FFFFFF"/>
        </w:rPr>
        <w:t xml:space="preserve"> ”  (</w:t>
      </w:r>
      <w:r w:rsidR="00F64021" w:rsidRPr="00863DC9">
        <w:rPr>
          <w:i/>
          <w:iCs/>
          <w:color w:val="212121"/>
          <w:bdr w:val="none" w:sz="0" w:space="0" w:color="auto" w:frame="1"/>
          <w:shd w:val="clear" w:color="auto" w:fill="FFFFFF"/>
        </w:rPr>
        <w:t>People v. Tom</w:t>
      </w:r>
      <w:r w:rsidR="00F64021" w:rsidRPr="00863DC9">
        <w:rPr>
          <w:color w:val="212121"/>
          <w:bdr w:val="none" w:sz="0" w:space="0" w:color="auto" w:frame="1"/>
          <w:shd w:val="clear" w:color="auto" w:fill="FFFFFF"/>
        </w:rPr>
        <w:t xml:space="preserve"> (2014) </w:t>
      </w:r>
      <w:r w:rsidR="00863DC9" w:rsidRPr="00863DC9">
        <w:rPr>
          <w:color w:val="212121"/>
          <w:bdr w:val="none" w:sz="0" w:space="0" w:color="auto" w:frame="1"/>
          <w:shd w:val="clear" w:color="auto" w:fill="FFFFFF"/>
        </w:rPr>
        <w:t>59 Cal.</w:t>
      </w:r>
      <w:r w:rsidR="00976BC1">
        <w:rPr>
          <w:color w:val="212121"/>
          <w:bdr w:val="none" w:sz="0" w:space="0" w:color="auto" w:frame="1"/>
          <w:shd w:val="clear" w:color="auto" w:fill="FFFFFF"/>
        </w:rPr>
        <w:t>4th</w:t>
      </w:r>
      <w:r w:rsidR="00863DC9" w:rsidRPr="00863DC9">
        <w:rPr>
          <w:color w:val="212121"/>
          <w:bdr w:val="none" w:sz="0" w:space="0" w:color="auto" w:frame="1"/>
          <w:shd w:val="clear" w:color="auto" w:fill="FFFFFF"/>
        </w:rPr>
        <w:t xml:space="preserve"> 1210, </w:t>
      </w:r>
      <w:r w:rsidR="00863DC9">
        <w:rPr>
          <w:color w:val="212121"/>
          <w:bdr w:val="none" w:sz="0" w:space="0" w:color="auto" w:frame="1"/>
          <w:shd w:val="clear" w:color="auto" w:fill="FFFFFF"/>
        </w:rPr>
        <w:t xml:space="preserve">1225, </w:t>
      </w:r>
      <w:r w:rsidR="00863DC9" w:rsidRPr="00863DC9">
        <w:rPr>
          <w:color w:val="212121"/>
          <w:bdr w:val="none" w:sz="0" w:space="0" w:color="auto" w:frame="1"/>
          <w:shd w:val="clear" w:color="auto" w:fill="FFFFFF"/>
        </w:rPr>
        <w:t xml:space="preserve">quoting </w:t>
      </w:r>
      <w:r w:rsidR="00863DC9" w:rsidRPr="00863DC9">
        <w:rPr>
          <w:i/>
          <w:iCs/>
          <w:color w:val="212121"/>
          <w:bdr w:val="none" w:sz="0" w:space="0" w:color="auto" w:frame="1"/>
          <w:shd w:val="clear" w:color="auto" w:fill="FFFFFF"/>
        </w:rPr>
        <w:t>Berghuis</w:t>
      </w:r>
      <w:r w:rsidR="00863DC9" w:rsidRPr="00863DC9">
        <w:rPr>
          <w:color w:val="212121"/>
          <w:bdr w:val="none" w:sz="0" w:space="0" w:color="auto" w:frame="1"/>
          <w:shd w:val="clear" w:color="auto" w:fill="FFFFFF"/>
        </w:rPr>
        <w:t>, at pp. 381–382.)</w:t>
      </w:r>
    </w:p>
    <w:p w14:paraId="765A3ACA" w14:textId="59E020F4" w:rsidR="00F511F7" w:rsidRDefault="00863DC9" w:rsidP="00F511F7">
      <w:pPr>
        <w:pStyle w:val="Text"/>
        <w:ind w:firstLine="0"/>
        <w:rPr>
          <w:rFonts w:eastAsia="Times New Roman"/>
          <w:color w:val="212121"/>
          <w:bdr w:val="none" w:sz="0" w:space="0" w:color="auto" w:frame="1"/>
        </w:rPr>
      </w:pPr>
      <w:r>
        <w:rPr>
          <w:color w:val="212121"/>
          <w:bdr w:val="none" w:sz="0" w:space="0" w:color="auto" w:frame="1"/>
          <w:shd w:val="clear" w:color="auto" w:fill="FFFFFF"/>
        </w:rPr>
        <w:tab/>
      </w:r>
      <w:r w:rsidR="002B1DF2" w:rsidRPr="00945E9A">
        <w:rPr>
          <w:color w:val="212121"/>
          <w:bdr w:val="none" w:sz="0" w:space="0" w:color="auto" w:frame="1"/>
          <w:shd w:val="clear" w:color="auto" w:fill="FFFFFF"/>
        </w:rPr>
        <w:t xml:space="preserve">The test is </w:t>
      </w:r>
      <w:r>
        <w:rPr>
          <w:color w:val="212121"/>
          <w:bdr w:val="none" w:sz="0" w:space="0" w:color="auto" w:frame="1"/>
          <w:shd w:val="clear" w:color="auto" w:fill="FFFFFF"/>
        </w:rPr>
        <w:t xml:space="preserve">thus </w:t>
      </w:r>
      <w:r w:rsidR="002B1DF2" w:rsidRPr="00945E9A">
        <w:rPr>
          <w:color w:val="212121"/>
          <w:bdr w:val="none" w:sz="0" w:space="0" w:color="auto" w:frame="1"/>
          <w:shd w:val="clear" w:color="auto" w:fill="FFFFFF"/>
        </w:rPr>
        <w:t>whether the</w:t>
      </w:r>
      <w:r w:rsidR="00826856">
        <w:rPr>
          <w:color w:val="212121"/>
          <w:bdr w:val="none" w:sz="0" w:space="0" w:color="auto" w:frame="1"/>
          <w:shd w:val="clear" w:color="auto" w:fill="FFFFFF"/>
        </w:rPr>
        <w:t xml:space="preserve"> </w:t>
      </w:r>
      <w:r>
        <w:rPr>
          <w:color w:val="212121"/>
          <w:bdr w:val="none" w:sz="0" w:space="0" w:color="auto" w:frame="1"/>
          <w:shd w:val="clear" w:color="auto" w:fill="FFFFFF"/>
        </w:rPr>
        <w:t>invocation</w:t>
      </w:r>
      <w:r w:rsidR="00826856">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 xml:space="preserve">was </w:t>
      </w:r>
      <w:r>
        <w:rPr>
          <w:color w:val="212121"/>
          <w:bdr w:val="none" w:sz="0" w:space="0" w:color="auto" w:frame="1"/>
          <w:shd w:val="clear" w:color="auto" w:fill="FFFFFF"/>
        </w:rPr>
        <w:t>“</w:t>
      </w:r>
      <w:r w:rsidR="002B1DF2" w:rsidRPr="00945E9A">
        <w:rPr>
          <w:color w:val="212121"/>
          <w:bdr w:val="none" w:sz="0" w:space="0" w:color="auto" w:frame="1"/>
          <w:shd w:val="clear" w:color="auto" w:fill="FFFFFF"/>
        </w:rPr>
        <w:t>articulated sufficiently clearly that a reasonable police officer in the circumstances would understand the statement to be an</w:t>
      </w:r>
      <w:r w:rsidR="00826856">
        <w:rPr>
          <w:color w:val="212121"/>
          <w:bdr w:val="none" w:sz="0" w:space="0" w:color="auto" w:frame="1"/>
          <w:shd w:val="clear" w:color="auto" w:fill="FFFFFF"/>
        </w:rPr>
        <w:t xml:space="preserve"> </w:t>
      </w:r>
      <w:r>
        <w:rPr>
          <w:color w:val="212121"/>
          <w:bdr w:val="none" w:sz="0" w:space="0" w:color="auto" w:frame="1"/>
          <w:shd w:val="clear" w:color="auto" w:fill="FFFFFF"/>
        </w:rPr>
        <w:t>invocation</w:t>
      </w:r>
      <w:r w:rsidR="00826856">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of such rights.</w:t>
      </w:r>
      <w:r>
        <w:rPr>
          <w:color w:val="212121"/>
          <w:bdr w:val="none" w:sz="0" w:space="0" w:color="auto" w:frame="1"/>
          <w:shd w:val="clear" w:color="auto" w:fill="FFFFFF"/>
        </w:rPr>
        <w:t>”  (</w:t>
      </w:r>
      <w:r>
        <w:rPr>
          <w:i/>
          <w:iCs/>
          <w:color w:val="212121"/>
          <w:bdr w:val="none" w:sz="0" w:space="0" w:color="auto" w:frame="1"/>
          <w:shd w:val="clear" w:color="auto" w:fill="FFFFFF"/>
        </w:rPr>
        <w:t>Nelson</w:t>
      </w:r>
      <w:r>
        <w:rPr>
          <w:color w:val="212121"/>
          <w:bdr w:val="none" w:sz="0" w:space="0" w:color="auto" w:frame="1"/>
          <w:shd w:val="clear" w:color="auto" w:fill="FFFFFF"/>
        </w:rPr>
        <w:t xml:space="preserve">, </w:t>
      </w:r>
      <w:r>
        <w:rPr>
          <w:i/>
          <w:iCs/>
          <w:color w:val="212121"/>
          <w:bdr w:val="none" w:sz="0" w:space="0" w:color="auto" w:frame="1"/>
          <w:shd w:val="clear" w:color="auto" w:fill="FFFFFF"/>
        </w:rPr>
        <w:t>supra</w:t>
      </w:r>
      <w:r>
        <w:rPr>
          <w:color w:val="212121"/>
          <w:bdr w:val="none" w:sz="0" w:space="0" w:color="auto" w:frame="1"/>
          <w:shd w:val="clear" w:color="auto" w:fill="FFFFFF"/>
        </w:rPr>
        <w:t>, 53 Cal.4th</w:t>
      </w:r>
      <w:r w:rsidR="002B1DF2" w:rsidRPr="00945E9A">
        <w:rPr>
          <w:color w:val="212121"/>
          <w:bdr w:val="none" w:sz="0" w:space="0" w:color="auto" w:frame="1"/>
          <w:shd w:val="clear" w:color="auto" w:fill="FFFFFF"/>
        </w:rPr>
        <w:t xml:space="preserve"> </w:t>
      </w:r>
      <w:r>
        <w:rPr>
          <w:color w:val="212121"/>
          <w:bdr w:val="none" w:sz="0" w:space="0" w:color="auto" w:frame="1"/>
          <w:shd w:val="clear" w:color="auto" w:fill="FFFFFF"/>
        </w:rPr>
        <w:t>at p. 380</w:t>
      </w:r>
      <w:r w:rsidR="002B1DF2" w:rsidRPr="00945E9A">
        <w:rPr>
          <w:color w:val="212121"/>
          <w:bdr w:val="none" w:sz="0" w:space="0" w:color="auto" w:frame="1"/>
          <w:shd w:val="clear" w:color="auto" w:fill="FFFFFF"/>
        </w:rPr>
        <w:t>.)</w:t>
      </w:r>
      <w:r w:rsidR="00826856">
        <w:rPr>
          <w:color w:val="212121"/>
          <w:bdr w:val="none" w:sz="0" w:space="0" w:color="auto" w:frame="1"/>
          <w:shd w:val="clear" w:color="auto" w:fill="FFFFFF"/>
        </w:rPr>
        <w:t xml:space="preserve"> </w:t>
      </w:r>
      <w:r>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[T]</w:t>
      </w:r>
      <w:proofErr w:type="gramStart"/>
      <w:r w:rsidR="002B1DF2" w:rsidRPr="00945E9A">
        <w:rPr>
          <w:color w:val="212121"/>
          <w:bdr w:val="none" w:sz="0" w:space="0" w:color="auto" w:frame="1"/>
          <w:shd w:val="clear" w:color="auto" w:fill="FFFFFF"/>
        </w:rPr>
        <w:t>he</w:t>
      </w:r>
      <w:proofErr w:type="gramEnd"/>
      <w:r w:rsidR="002B1DF2" w:rsidRPr="00945E9A">
        <w:rPr>
          <w:color w:val="212121"/>
          <w:bdr w:val="none" w:sz="0" w:space="0" w:color="auto" w:frame="1"/>
          <w:shd w:val="clear" w:color="auto" w:fill="FFFFFF"/>
        </w:rPr>
        <w:t xml:space="preserve"> question of ambiguity in an asserted</w:t>
      </w:r>
      <w:r>
        <w:rPr>
          <w:color w:val="212121"/>
          <w:bdr w:val="none" w:sz="0" w:space="0" w:color="auto" w:frame="1"/>
          <w:shd w:val="clear" w:color="auto" w:fill="FFFFFF"/>
        </w:rPr>
        <w:t xml:space="preserve"> invocation</w:t>
      </w:r>
      <w:r w:rsidR="00826856">
        <w:rPr>
          <w:color w:val="212121"/>
          <w:bdr w:val="none" w:sz="0" w:space="0" w:color="auto" w:frame="1"/>
          <w:shd w:val="clear" w:color="auto" w:fill="FFFFFF"/>
        </w:rPr>
        <w:t xml:space="preserve"> </w:t>
      </w:r>
      <w:r w:rsidR="002B1DF2" w:rsidRPr="00945E9A">
        <w:rPr>
          <w:color w:val="212121"/>
          <w:bdr w:val="none" w:sz="0" w:space="0" w:color="auto" w:frame="1"/>
          <w:shd w:val="clear" w:color="auto" w:fill="FFFFFF"/>
        </w:rPr>
        <w:t xml:space="preserve">must include </w:t>
      </w:r>
      <w:r w:rsidR="002B1DF2" w:rsidRPr="00F511F7">
        <w:rPr>
          <w:color w:val="212121"/>
          <w:bdr w:val="none" w:sz="0" w:space="0" w:color="auto" w:frame="1"/>
          <w:shd w:val="clear" w:color="auto" w:fill="FFFFFF"/>
        </w:rPr>
        <w:t>a consideration of the communicative aspect of the</w:t>
      </w:r>
      <w:r w:rsidR="00F511F7" w:rsidRPr="00F511F7">
        <w:rPr>
          <w:color w:val="212121"/>
          <w:bdr w:val="none" w:sz="0" w:space="0" w:color="auto" w:frame="1"/>
          <w:shd w:val="clear" w:color="auto" w:fill="FFFFFF"/>
        </w:rPr>
        <w:t xml:space="preserve"> invocation</w:t>
      </w:r>
      <w:r w:rsidR="002B1DF2" w:rsidRPr="00F511F7">
        <w:rPr>
          <w:color w:val="212121"/>
          <w:bdr w:val="none" w:sz="0" w:space="0" w:color="auto" w:frame="1"/>
          <w:shd w:val="clear" w:color="auto" w:fill="FFFFFF"/>
        </w:rPr>
        <w:t>—what would a</w:t>
      </w:r>
      <w:r w:rsidR="00826856">
        <w:rPr>
          <w:color w:val="212121"/>
          <w:bdr w:val="none" w:sz="0" w:space="0" w:color="auto" w:frame="1"/>
          <w:shd w:val="clear" w:color="auto" w:fill="FFFFFF"/>
        </w:rPr>
        <w:t xml:space="preserve"> </w:t>
      </w:r>
      <w:r w:rsidR="002B1DF2" w:rsidRPr="00F511F7">
        <w:rPr>
          <w:i/>
          <w:iCs/>
          <w:color w:val="212121"/>
          <w:bdr w:val="none" w:sz="0" w:space="0" w:color="auto" w:frame="1"/>
          <w:shd w:val="clear" w:color="auto" w:fill="FFFFFF"/>
        </w:rPr>
        <w:t>listener</w:t>
      </w:r>
      <w:r w:rsidR="00826856">
        <w:rPr>
          <w:color w:val="212121"/>
          <w:bdr w:val="none" w:sz="0" w:space="0" w:color="auto" w:frame="1"/>
          <w:shd w:val="clear" w:color="auto" w:fill="FFFFFF"/>
        </w:rPr>
        <w:t xml:space="preserve"> </w:t>
      </w:r>
      <w:r w:rsidR="002B1DF2" w:rsidRPr="00F511F7">
        <w:rPr>
          <w:color w:val="212121"/>
          <w:bdr w:val="none" w:sz="0" w:space="0" w:color="auto" w:frame="1"/>
          <w:shd w:val="clear" w:color="auto" w:fill="FFFFFF"/>
        </w:rPr>
        <w:t>understand to be the defendant</w:t>
      </w:r>
      <w:r w:rsidR="00F511F7" w:rsidRPr="00F511F7">
        <w:rPr>
          <w:color w:val="212121"/>
          <w:bdr w:val="none" w:sz="0" w:space="0" w:color="auto" w:frame="1"/>
          <w:shd w:val="clear" w:color="auto" w:fill="FFFFFF"/>
        </w:rPr>
        <w:t>’</w:t>
      </w:r>
      <w:r w:rsidR="002B1DF2" w:rsidRPr="00F511F7">
        <w:rPr>
          <w:color w:val="212121"/>
          <w:bdr w:val="none" w:sz="0" w:space="0" w:color="auto" w:frame="1"/>
          <w:shd w:val="clear" w:color="auto" w:fill="FFFFFF"/>
        </w:rPr>
        <w:t>s meaning.</w:t>
      </w:r>
      <w:r w:rsidR="00826856">
        <w:rPr>
          <w:color w:val="212121"/>
          <w:bdr w:val="none" w:sz="0" w:space="0" w:color="auto" w:frame="1"/>
          <w:shd w:val="clear" w:color="auto" w:fill="FFFFFF"/>
        </w:rPr>
        <w:t>”</w:t>
      </w:r>
      <w:r w:rsidR="00976BC1">
        <w:rPr>
          <w:color w:val="212121"/>
          <w:bdr w:val="none" w:sz="0" w:space="0" w:color="auto" w:frame="1"/>
          <w:shd w:val="clear" w:color="auto" w:fill="FFFFFF"/>
        </w:rPr>
        <w:t xml:space="preserve"> </w:t>
      </w:r>
      <w:r w:rsidR="002B1DF2" w:rsidRPr="00F511F7">
        <w:rPr>
          <w:color w:val="212121"/>
          <w:bdr w:val="none" w:sz="0" w:space="0" w:color="auto" w:frame="1"/>
          <w:shd w:val="clear" w:color="auto" w:fill="FFFFFF"/>
        </w:rPr>
        <w:t xml:space="preserve"> (</w:t>
      </w:r>
      <w:r w:rsidR="00F511F7" w:rsidRPr="00F511F7">
        <w:rPr>
          <w:i/>
          <w:iCs/>
          <w:color w:val="212121"/>
          <w:bdr w:val="none" w:sz="0" w:space="0" w:color="auto" w:frame="1"/>
          <w:shd w:val="clear" w:color="auto" w:fill="FFFFFF"/>
        </w:rPr>
        <w:t>People v. Williams</w:t>
      </w:r>
      <w:r w:rsidR="00F511F7" w:rsidRPr="00F511F7">
        <w:rPr>
          <w:color w:val="212121"/>
          <w:bdr w:val="none" w:sz="0" w:space="0" w:color="auto" w:frame="1"/>
          <w:shd w:val="clear" w:color="auto" w:fill="FFFFFF"/>
        </w:rPr>
        <w:t xml:space="preserve"> (2010) 49 Cal.4th 405, 428</w:t>
      </w:r>
      <w:r w:rsidR="006108D5">
        <w:rPr>
          <w:color w:val="212121"/>
          <w:bdr w:val="none" w:sz="0" w:space="0" w:color="auto" w:frame="1"/>
          <w:shd w:val="clear" w:color="auto" w:fill="FFFFFF"/>
        </w:rPr>
        <w:t xml:space="preserve"> (</w:t>
      </w:r>
      <w:r w:rsidR="006108D5">
        <w:rPr>
          <w:i/>
          <w:iCs/>
          <w:color w:val="212121"/>
          <w:bdr w:val="none" w:sz="0" w:space="0" w:color="auto" w:frame="1"/>
          <w:shd w:val="clear" w:color="auto" w:fill="FFFFFF"/>
        </w:rPr>
        <w:t>Williams</w:t>
      </w:r>
      <w:r w:rsidR="006108D5">
        <w:rPr>
          <w:color w:val="212121"/>
          <w:bdr w:val="none" w:sz="0" w:space="0" w:color="auto" w:frame="1"/>
          <w:shd w:val="clear" w:color="auto" w:fill="FFFFFF"/>
        </w:rPr>
        <w:t>)</w:t>
      </w:r>
      <w:r w:rsidR="00F511F7" w:rsidRPr="00F511F7">
        <w:rPr>
          <w:color w:val="212121"/>
          <w:bdr w:val="none" w:sz="0" w:space="0" w:color="auto" w:frame="1"/>
          <w:shd w:val="clear" w:color="auto" w:fill="FFFFFF"/>
        </w:rPr>
        <w:t xml:space="preserve">.)  </w:t>
      </w:r>
      <w:r w:rsidR="002B1DF2" w:rsidRPr="002B1DF2">
        <w:rPr>
          <w:rFonts w:eastAsia="Times New Roman"/>
          <w:color w:val="212121"/>
          <w:bdr w:val="none" w:sz="0" w:space="0" w:color="auto" w:frame="1"/>
        </w:rPr>
        <w:t>The prosecution bears the burden of proof by a preponderance of the evidence to show the statements were admissible.</w:t>
      </w:r>
      <w:r w:rsidR="00826856">
        <w:rPr>
          <w:rFonts w:eastAsia="Times New Roman"/>
          <w:color w:val="212121"/>
          <w:bdr w:val="none" w:sz="0" w:space="0" w:color="auto" w:frame="1"/>
        </w:rPr>
        <w:t xml:space="preserve">  </w:t>
      </w:r>
      <w:r w:rsidR="002B1DF2" w:rsidRPr="002B1DF2">
        <w:rPr>
          <w:rFonts w:eastAsia="Times New Roman"/>
          <w:color w:val="212121"/>
          <w:bdr w:val="none" w:sz="0" w:space="0" w:color="auto" w:frame="1"/>
        </w:rPr>
        <w:t>(</w:t>
      </w:r>
      <w:r w:rsidR="002B1DF2" w:rsidRPr="002B1DF2">
        <w:rPr>
          <w:rFonts w:eastAsia="Times New Roman"/>
          <w:i/>
          <w:iCs/>
          <w:color w:val="212121"/>
          <w:bdr w:val="none" w:sz="0" w:space="0" w:color="auto" w:frame="1"/>
        </w:rPr>
        <w:t>Sanchez, supra</w:t>
      </w:r>
      <w:r w:rsidR="002B1DF2" w:rsidRPr="002B1DF2">
        <w:rPr>
          <w:rFonts w:eastAsia="Times New Roman"/>
          <w:color w:val="212121"/>
          <w:bdr w:val="none" w:sz="0" w:space="0" w:color="auto" w:frame="1"/>
        </w:rPr>
        <w:t xml:space="preserve">, 7 Cal.5th at p. 48.) </w:t>
      </w:r>
    </w:p>
    <w:p w14:paraId="01DDFE6A" w14:textId="065D0D1B" w:rsidR="00F511F7" w:rsidRDefault="00F511F7" w:rsidP="00F511F7">
      <w:pPr>
        <w:pStyle w:val="Text"/>
        <w:ind w:firstLine="0"/>
        <w:rPr>
          <w:color w:val="212121"/>
          <w:shd w:val="clear" w:color="auto" w:fill="FFFFFF"/>
        </w:rPr>
      </w:pPr>
      <w:r>
        <w:rPr>
          <w:rFonts w:eastAsia="Times New Roman"/>
          <w:color w:val="212121"/>
          <w:bdr w:val="none" w:sz="0" w:space="0" w:color="auto" w:frame="1"/>
        </w:rPr>
        <w:tab/>
      </w:r>
      <w:r w:rsidRPr="00F511F7">
        <w:rPr>
          <w:color w:val="212121"/>
          <w:shd w:val="clear" w:color="auto" w:fill="FFFFFF"/>
        </w:rPr>
        <w:t xml:space="preserve">On review, </w:t>
      </w:r>
      <w:proofErr w:type="gramStart"/>
      <w:r w:rsidRPr="00F511F7">
        <w:rPr>
          <w:color w:val="212121"/>
          <w:shd w:val="clear" w:color="auto" w:fill="FFFFFF"/>
        </w:rPr>
        <w:t>“</w:t>
      </w:r>
      <w:r>
        <w:rPr>
          <w:color w:val="212121"/>
          <w:shd w:val="clear" w:color="auto" w:fill="FFFFFF"/>
        </w:rPr>
        <w:t xml:space="preserve"> </w:t>
      </w:r>
      <w:r w:rsidRPr="00F511F7">
        <w:rPr>
          <w:color w:val="212121"/>
          <w:shd w:val="clear" w:color="auto" w:fill="FFFFFF"/>
        </w:rPr>
        <w:t>‘</w:t>
      </w:r>
      <w:proofErr w:type="gramEnd"/>
      <w:r w:rsidRPr="00F511F7">
        <w:rPr>
          <w:color w:val="212121"/>
          <w:shd w:val="clear" w:color="auto" w:fill="FFFFFF"/>
        </w:rPr>
        <w:t>we accept the trial court</w:t>
      </w:r>
      <w:r>
        <w:rPr>
          <w:color w:val="212121"/>
          <w:shd w:val="clear" w:color="auto" w:fill="FFFFFF"/>
        </w:rPr>
        <w:t>’s</w:t>
      </w:r>
      <w:r w:rsidRPr="00F511F7">
        <w:rPr>
          <w:color w:val="212121"/>
          <w:shd w:val="clear" w:color="auto" w:fill="FFFFFF"/>
        </w:rPr>
        <w:t xml:space="preserve"> determination of disputed facts if supported by substantial evidence, but we independently decide whether the challenged statements were obtained in violation of</w:t>
      </w:r>
      <w:r w:rsidR="00733289">
        <w:rPr>
          <w:color w:val="212121"/>
          <w:shd w:val="clear" w:color="auto" w:fill="FFFFFF"/>
        </w:rPr>
        <w:t xml:space="preserve"> </w:t>
      </w:r>
      <w:r w:rsidRPr="00F511F7">
        <w:rPr>
          <w:i/>
          <w:iCs/>
          <w:color w:val="212121"/>
          <w:bdr w:val="none" w:sz="0" w:space="0" w:color="auto" w:frame="1"/>
          <w:shd w:val="clear" w:color="auto" w:fill="FFFFFF"/>
        </w:rPr>
        <w:t>Miranda</w:t>
      </w:r>
      <w:r w:rsidRPr="00F511F7">
        <w:rPr>
          <w:color w:val="212121"/>
          <w:shd w:val="clear" w:color="auto" w:fill="FFFFFF"/>
        </w:rPr>
        <w:t>.’</w:t>
      </w:r>
      <w:r>
        <w:rPr>
          <w:color w:val="212121"/>
          <w:shd w:val="clear" w:color="auto" w:fill="FFFFFF"/>
        </w:rPr>
        <w:t xml:space="preserve"> </w:t>
      </w:r>
      <w:r w:rsidRPr="00F511F7">
        <w:rPr>
          <w:color w:val="212121"/>
          <w:shd w:val="clear" w:color="auto" w:fill="FFFFFF"/>
        </w:rPr>
        <w:t xml:space="preserve">” </w:t>
      </w:r>
      <w:r w:rsidR="00976BC1">
        <w:rPr>
          <w:color w:val="212121"/>
          <w:shd w:val="clear" w:color="auto" w:fill="FFFFFF"/>
        </w:rPr>
        <w:t xml:space="preserve"> </w:t>
      </w:r>
      <w:r w:rsidRPr="00F511F7">
        <w:rPr>
          <w:color w:val="212121"/>
          <w:shd w:val="clear" w:color="auto" w:fill="FFFFFF"/>
        </w:rPr>
        <w:t>(</w:t>
      </w:r>
      <w:r>
        <w:rPr>
          <w:i/>
          <w:iCs/>
          <w:color w:val="212121"/>
          <w:shd w:val="clear" w:color="auto" w:fill="FFFFFF"/>
        </w:rPr>
        <w:t>People v. Gonzales</w:t>
      </w:r>
      <w:r>
        <w:rPr>
          <w:color w:val="212121"/>
          <w:shd w:val="clear" w:color="auto" w:fill="FFFFFF"/>
        </w:rPr>
        <w:t xml:space="preserve"> (2012) 54 Cal.4th 1234, 1269.)  </w:t>
      </w:r>
      <w:r w:rsidRPr="00F511F7">
        <w:rPr>
          <w:color w:val="212121"/>
          <w:shd w:val="clear" w:color="auto" w:fill="FFFFFF"/>
        </w:rPr>
        <w:t xml:space="preserve">Here, the facts are undisputed. </w:t>
      </w:r>
      <w:r>
        <w:rPr>
          <w:color w:val="212121"/>
          <w:shd w:val="clear" w:color="auto" w:fill="FFFFFF"/>
        </w:rPr>
        <w:t xml:space="preserve"> </w:t>
      </w:r>
      <w:r w:rsidRPr="00F511F7">
        <w:rPr>
          <w:color w:val="212121"/>
          <w:shd w:val="clear" w:color="auto" w:fill="FFFFFF"/>
        </w:rPr>
        <w:t xml:space="preserve">The question is whether they establish that </w:t>
      </w:r>
      <w:r>
        <w:rPr>
          <w:color w:val="212121"/>
          <w:shd w:val="clear" w:color="auto" w:fill="FFFFFF"/>
        </w:rPr>
        <w:t>Villegas</w:t>
      </w:r>
      <w:r w:rsidRPr="00F511F7">
        <w:rPr>
          <w:color w:val="212121"/>
          <w:shd w:val="clear" w:color="auto" w:fill="FFFFFF"/>
        </w:rPr>
        <w:t xml:space="preserve"> clearly invoked his right to</w:t>
      </w:r>
      <w:r>
        <w:rPr>
          <w:color w:val="212121"/>
          <w:shd w:val="clear" w:color="auto" w:fill="FFFFFF"/>
        </w:rPr>
        <w:t xml:space="preserve"> silence</w:t>
      </w:r>
      <w:r w:rsidRPr="00F511F7">
        <w:rPr>
          <w:color w:val="212121"/>
          <w:shd w:val="clear" w:color="auto" w:fill="FFFFFF"/>
        </w:rPr>
        <w:t>.</w:t>
      </w:r>
    </w:p>
    <w:p w14:paraId="0B641AAA" w14:textId="0187FE6E" w:rsidR="00453745" w:rsidRPr="00F511F7" w:rsidRDefault="00F511F7" w:rsidP="00F511F7">
      <w:pPr>
        <w:pStyle w:val="Text"/>
        <w:ind w:firstLine="0"/>
        <w:rPr>
          <w:color w:val="212121"/>
          <w:bdr w:val="none" w:sz="0" w:space="0" w:color="auto" w:frame="1"/>
          <w:shd w:val="clear" w:color="auto" w:fill="FFFFFF"/>
        </w:rPr>
      </w:pPr>
      <w:r>
        <w:rPr>
          <w:color w:val="212121"/>
          <w:shd w:val="clear" w:color="auto" w:fill="FFFFFF"/>
        </w:rPr>
        <w:tab/>
        <w:t xml:space="preserve">As for </w:t>
      </w:r>
      <w:r w:rsidR="00E10357">
        <w:rPr>
          <w:color w:val="212121"/>
          <w:shd w:val="clear" w:color="auto" w:fill="FFFFFF"/>
        </w:rPr>
        <w:t>Villegas’s</w:t>
      </w:r>
      <w:r>
        <w:rPr>
          <w:color w:val="212121"/>
          <w:shd w:val="clear" w:color="auto" w:fill="FFFFFF"/>
        </w:rPr>
        <w:t xml:space="preserve"> </w:t>
      </w:r>
      <w:r w:rsidR="00E10357">
        <w:rPr>
          <w:color w:val="212121"/>
          <w:shd w:val="clear" w:color="auto" w:fill="FFFFFF"/>
        </w:rPr>
        <w:t xml:space="preserve">assertion of defense counsel’s </w:t>
      </w:r>
      <w:r>
        <w:rPr>
          <w:color w:val="212121"/>
          <w:shd w:val="clear" w:color="auto" w:fill="FFFFFF"/>
        </w:rPr>
        <w:t>ineffectiveness, i</w:t>
      </w:r>
      <w:r w:rsidR="00453745">
        <w:rPr>
          <w:rFonts w:eastAsia="Times New Roman"/>
          <w:bdr w:val="none" w:sz="0" w:space="0" w:color="auto" w:frame="1"/>
        </w:rPr>
        <w:t>t is well settled that,</w:t>
      </w:r>
      <w:r w:rsidR="00453745" w:rsidRPr="00453745">
        <w:t xml:space="preserve"> </w:t>
      </w:r>
      <w:r w:rsidR="00453745">
        <w:rPr>
          <w:rFonts w:eastAsia="Times New Roman"/>
          <w:bdr w:val="none" w:sz="0" w:space="0" w:color="auto" w:frame="1"/>
        </w:rPr>
        <w:t>t</w:t>
      </w:r>
      <w:r w:rsidR="00453745" w:rsidRPr="00453745">
        <w:rPr>
          <w:rFonts w:eastAsia="Times New Roman"/>
          <w:bdr w:val="none" w:sz="0" w:space="0" w:color="auto" w:frame="1"/>
        </w:rPr>
        <w:t xml:space="preserve">o </w:t>
      </w:r>
      <w:r w:rsidR="00E10357">
        <w:rPr>
          <w:rFonts w:eastAsia="Times New Roman"/>
          <w:bdr w:val="none" w:sz="0" w:space="0" w:color="auto" w:frame="1"/>
        </w:rPr>
        <w:t xml:space="preserve">prevail on an </w:t>
      </w:r>
      <w:r w:rsidR="00453745" w:rsidRPr="00453745">
        <w:rPr>
          <w:rFonts w:eastAsia="Times New Roman"/>
          <w:bdr w:val="none" w:sz="0" w:space="0" w:color="auto" w:frame="1"/>
        </w:rPr>
        <w:t xml:space="preserve">ineffective assistance of counsel </w:t>
      </w:r>
      <w:r w:rsidR="00E10357">
        <w:rPr>
          <w:rFonts w:eastAsia="Times New Roman"/>
          <w:bdr w:val="none" w:sz="0" w:space="0" w:color="auto" w:frame="1"/>
        </w:rPr>
        <w:t xml:space="preserve">claim </w:t>
      </w:r>
      <w:r w:rsidR="00453745" w:rsidRPr="00453745">
        <w:rPr>
          <w:rFonts w:eastAsia="Times New Roman"/>
          <w:bdr w:val="none" w:sz="0" w:space="0" w:color="auto" w:frame="1"/>
        </w:rPr>
        <w:t>under either federal or state law, a defendant must show that counsel’s representation fell below an objective standard of reasonableness and that counsel’s deficient performance was prejudicial, i.e., that a reasonable probability exists that, but for counsel’s failings, the result would have been more favorable to the defendant.  (</w:t>
      </w:r>
      <w:r w:rsidR="00453745" w:rsidRPr="00453745">
        <w:rPr>
          <w:rFonts w:eastAsia="Times New Roman"/>
          <w:i/>
          <w:iCs/>
          <w:bdr w:val="none" w:sz="0" w:space="0" w:color="auto" w:frame="1"/>
        </w:rPr>
        <w:t>People v. Waidla</w:t>
      </w:r>
      <w:r w:rsidR="00453745" w:rsidRPr="00453745">
        <w:rPr>
          <w:rFonts w:eastAsia="Times New Roman"/>
          <w:bdr w:val="none" w:sz="0" w:space="0" w:color="auto" w:frame="1"/>
        </w:rPr>
        <w:t xml:space="preserve"> (20</w:t>
      </w:r>
      <w:r w:rsidR="00733289">
        <w:rPr>
          <w:rFonts w:eastAsia="Times New Roman"/>
          <w:bdr w:val="none" w:sz="0" w:space="0" w:color="auto" w:frame="1"/>
        </w:rPr>
        <w:t>00</w:t>
      </w:r>
      <w:r w:rsidR="00453745" w:rsidRPr="00453745">
        <w:rPr>
          <w:rFonts w:eastAsia="Times New Roman"/>
          <w:bdr w:val="none" w:sz="0" w:space="0" w:color="auto" w:frame="1"/>
        </w:rPr>
        <w:t>) 22 Cal.4th 690, 718</w:t>
      </w:r>
      <w:r w:rsidR="00453745">
        <w:rPr>
          <w:rFonts w:eastAsia="Times New Roman"/>
          <w:bdr w:val="none" w:sz="0" w:space="0" w:color="auto" w:frame="1"/>
        </w:rPr>
        <w:t xml:space="preserve">, citing </w:t>
      </w:r>
      <w:r w:rsidR="00453745">
        <w:rPr>
          <w:rFonts w:eastAsia="Times New Roman"/>
          <w:i/>
          <w:iCs/>
          <w:bdr w:val="none" w:sz="0" w:space="0" w:color="auto" w:frame="1"/>
        </w:rPr>
        <w:t>Strickland v. Washington</w:t>
      </w:r>
      <w:r w:rsidR="00453745">
        <w:rPr>
          <w:rFonts w:eastAsia="Times New Roman"/>
          <w:bdr w:val="none" w:sz="0" w:space="0" w:color="auto" w:frame="1"/>
        </w:rPr>
        <w:t xml:space="preserve"> (1984) 466 U.S. 668, 687–696</w:t>
      </w:r>
      <w:r w:rsidR="00453745" w:rsidRPr="00453745">
        <w:rPr>
          <w:rFonts w:eastAsia="Times New Roman"/>
          <w:bdr w:val="none" w:sz="0" w:space="0" w:color="auto" w:frame="1"/>
        </w:rPr>
        <w:t>.)</w:t>
      </w:r>
      <w:r w:rsidR="00453745">
        <w:rPr>
          <w:rFonts w:eastAsia="Times New Roman"/>
          <w:bdr w:val="none" w:sz="0" w:space="0" w:color="auto" w:frame="1"/>
        </w:rPr>
        <w:t xml:space="preserve">  </w:t>
      </w:r>
      <w:r w:rsidR="00453745" w:rsidRPr="00106B8C">
        <w:rPr>
          <w:shd w:val="clear" w:color="auto" w:fill="FFFFFF"/>
        </w:rPr>
        <w:t>“</w:t>
      </w:r>
      <w:r w:rsidR="00733289">
        <w:rPr>
          <w:shd w:val="clear" w:color="auto" w:fill="FFFFFF"/>
        </w:rPr>
        <w:t>[</w:t>
      </w:r>
      <w:r w:rsidR="00453745">
        <w:rPr>
          <w:rFonts w:eastAsia="Times New Roman"/>
        </w:rPr>
        <w:t>A</w:t>
      </w:r>
      <w:r w:rsidR="00733289">
        <w:rPr>
          <w:rFonts w:eastAsia="Times New Roman"/>
        </w:rPr>
        <w:t>]</w:t>
      </w:r>
      <w:r w:rsidR="00367388">
        <w:rPr>
          <w:rFonts w:eastAsia="Times New Roman"/>
        </w:rPr>
        <w:t xml:space="preserve"> </w:t>
      </w:r>
      <w:r w:rsidR="00453745" w:rsidRPr="00106B8C">
        <w:rPr>
          <w:rFonts w:eastAsia="Times New Roman"/>
        </w:rPr>
        <w:t>court need not determine whether counsel</w:t>
      </w:r>
      <w:r w:rsidR="00453745">
        <w:rPr>
          <w:rFonts w:eastAsia="Times New Roman"/>
        </w:rPr>
        <w:t>’</w:t>
      </w:r>
      <w:r w:rsidR="00453745" w:rsidRPr="00106B8C">
        <w:rPr>
          <w:rFonts w:eastAsia="Times New Roman"/>
        </w:rPr>
        <w:t xml:space="preserve">s performance was deficient before examining the prejudice suffered by the defendant </w:t>
      </w:r>
      <w:proofErr w:type="gramStart"/>
      <w:r w:rsidR="00453745" w:rsidRPr="00106B8C">
        <w:rPr>
          <w:rFonts w:eastAsia="Times New Roman"/>
        </w:rPr>
        <w:t>as a result of</w:t>
      </w:r>
      <w:proofErr w:type="gramEnd"/>
      <w:r w:rsidR="00453745" w:rsidRPr="00106B8C">
        <w:rPr>
          <w:rFonts w:eastAsia="Times New Roman"/>
        </w:rPr>
        <w:t xml:space="preserve"> the alleged deficiencies.  The object of an ineffectiveness claim is not to grade counsel</w:t>
      </w:r>
      <w:r w:rsidR="00453745">
        <w:rPr>
          <w:rFonts w:eastAsia="Times New Roman"/>
        </w:rPr>
        <w:t>’</w:t>
      </w:r>
      <w:r w:rsidR="00453745" w:rsidRPr="00106B8C">
        <w:rPr>
          <w:rFonts w:eastAsia="Times New Roman"/>
        </w:rPr>
        <w:t>s performance.  If it is easier to dispose of an ineffectiveness claim on the ground of lack of sufficient prejudice, which we expect will often be so, that course should be followed.</w:t>
      </w:r>
      <w:r w:rsidR="00453745" w:rsidRPr="005735D5">
        <w:rPr>
          <w:rFonts w:eastAsia="Times New Roman"/>
        </w:rPr>
        <w:t>”  (</w:t>
      </w:r>
      <w:r w:rsidR="00453745" w:rsidRPr="005735D5">
        <w:rPr>
          <w:rFonts w:eastAsia="Times New Roman"/>
          <w:i/>
          <w:iCs/>
        </w:rPr>
        <w:t>Strickland</w:t>
      </w:r>
      <w:r w:rsidR="00453745" w:rsidRPr="005735D5">
        <w:rPr>
          <w:rFonts w:eastAsia="Times New Roman"/>
        </w:rPr>
        <w:t>,</w:t>
      </w:r>
      <w:r w:rsidR="00453745">
        <w:rPr>
          <w:rFonts w:eastAsia="Times New Roman"/>
        </w:rPr>
        <w:t xml:space="preserve"> </w:t>
      </w:r>
      <w:r w:rsidR="00453745" w:rsidRPr="00E96D99">
        <w:rPr>
          <w:rFonts w:eastAsia="Times New Roman"/>
          <w:i/>
          <w:iCs/>
        </w:rPr>
        <w:t>supra</w:t>
      </w:r>
      <w:r w:rsidR="00453745">
        <w:rPr>
          <w:rFonts w:eastAsia="Times New Roman"/>
        </w:rPr>
        <w:t xml:space="preserve">, 466 U.S. </w:t>
      </w:r>
      <w:r w:rsidR="00453745" w:rsidRPr="00E96D99">
        <w:rPr>
          <w:rFonts w:eastAsia="Times New Roman"/>
        </w:rPr>
        <w:t>at</w:t>
      </w:r>
      <w:r w:rsidR="00453745" w:rsidRPr="005735D5">
        <w:rPr>
          <w:rFonts w:eastAsia="Times New Roman"/>
        </w:rPr>
        <w:t xml:space="preserve"> p. 697; accord, </w:t>
      </w:r>
      <w:r w:rsidR="00453745" w:rsidRPr="005735D5">
        <w:rPr>
          <w:rFonts w:eastAsia="Times New Roman"/>
          <w:i/>
          <w:iCs/>
        </w:rPr>
        <w:t>In re Cox</w:t>
      </w:r>
      <w:r w:rsidR="00453745" w:rsidRPr="005735D5">
        <w:rPr>
          <w:rFonts w:eastAsia="Times New Roman"/>
        </w:rPr>
        <w:t xml:space="preserve"> (2003) 30 Cal.4th 974, 1019</w:t>
      </w:r>
      <w:r w:rsidR="00834DCE">
        <w:rPr>
          <w:rFonts w:eastAsia="Times New Roman"/>
        </w:rPr>
        <w:t>–</w:t>
      </w:r>
      <w:r w:rsidR="00453745" w:rsidRPr="005735D5">
        <w:rPr>
          <w:rFonts w:eastAsia="Times New Roman"/>
        </w:rPr>
        <w:t xml:space="preserve">1020.)  </w:t>
      </w:r>
      <w:r w:rsidR="00453745">
        <w:rPr>
          <w:rFonts w:eastAsia="Times New Roman"/>
        </w:rPr>
        <w:t xml:space="preserve">Under a prejudice analysis, </w:t>
      </w:r>
      <w:r w:rsidR="00453745" w:rsidRPr="005735D5">
        <w:rPr>
          <w:rFonts w:eastAsia="Times New Roman"/>
        </w:rPr>
        <w:t>“</w:t>
      </w:r>
      <w:r w:rsidR="00453745">
        <w:rPr>
          <w:rFonts w:eastAsia="Times New Roman"/>
        </w:rPr>
        <w:t>[t]</w:t>
      </w:r>
      <w:r w:rsidR="00453745" w:rsidRPr="005735D5">
        <w:rPr>
          <w:rFonts w:eastAsia="Times New Roman"/>
        </w:rPr>
        <w:t xml:space="preserve">he </w:t>
      </w:r>
      <w:proofErr w:type="gramStart"/>
      <w:r w:rsidR="00453745" w:rsidRPr="005735D5">
        <w:rPr>
          <w:rFonts w:eastAsia="Times New Roman"/>
        </w:rPr>
        <w:t>benchmark</w:t>
      </w:r>
      <w:proofErr w:type="gramEnd"/>
      <w:r w:rsidR="00453745" w:rsidRPr="005735D5">
        <w:rPr>
          <w:shd w:val="clear" w:color="auto" w:fill="FFFFFF"/>
        </w:rPr>
        <w:t xml:space="preserve"> for judging any claim of ineffectiveness must be whether counsel</w:t>
      </w:r>
      <w:r w:rsidR="00733289">
        <w:rPr>
          <w:shd w:val="clear" w:color="auto" w:fill="FFFFFF"/>
        </w:rPr>
        <w:t>’</w:t>
      </w:r>
      <w:r w:rsidR="00453745" w:rsidRPr="005735D5">
        <w:rPr>
          <w:shd w:val="clear" w:color="auto" w:fill="FFFFFF"/>
        </w:rPr>
        <w:t>s conduct so undermined the proper functioning of the adversarial</w:t>
      </w:r>
      <w:r w:rsidR="00976BC1">
        <w:rPr>
          <w:shd w:val="clear" w:color="auto" w:fill="FFFFFF"/>
        </w:rPr>
        <w:t xml:space="preserve"> </w:t>
      </w:r>
      <w:r w:rsidR="00453745" w:rsidRPr="005735D5">
        <w:rPr>
          <w:shd w:val="clear" w:color="auto" w:fill="FFFFFF"/>
        </w:rPr>
        <w:t xml:space="preserve">process that the trial cannot be relied </w:t>
      </w:r>
      <w:r w:rsidR="00453745" w:rsidRPr="00C63954">
        <w:rPr>
          <w:shd w:val="clear" w:color="auto" w:fill="FFFFFF"/>
        </w:rPr>
        <w:t>on as having produced a just result.”  (</w:t>
      </w:r>
      <w:r w:rsidR="00453745" w:rsidRPr="00C63954">
        <w:rPr>
          <w:rFonts w:eastAsia="Times New Roman"/>
          <w:i/>
          <w:iCs/>
        </w:rPr>
        <w:t>Strickland</w:t>
      </w:r>
      <w:r w:rsidR="00453745" w:rsidRPr="00C63954">
        <w:rPr>
          <w:rFonts w:eastAsia="Times New Roman"/>
        </w:rPr>
        <w:t>, at p. 686.)</w:t>
      </w:r>
      <w:bookmarkStart w:id="4" w:name="_Hlk130899915"/>
      <w:r w:rsidR="00453745">
        <w:rPr>
          <w:shd w:val="clear" w:color="auto" w:fill="FFFFFF"/>
        </w:rPr>
        <w:t xml:space="preserve">  </w:t>
      </w:r>
      <w:r w:rsidR="00453745">
        <w:rPr>
          <w:rFonts w:eastAsia="Times New Roman"/>
        </w:rPr>
        <w:t>“The likelihood of a different result must be substantial, not just conceivable.  (</w:t>
      </w:r>
      <w:r w:rsidR="00453745">
        <w:rPr>
          <w:rFonts w:eastAsia="Times New Roman"/>
          <w:i/>
          <w:iCs/>
        </w:rPr>
        <w:t>Harrington v. Richter</w:t>
      </w:r>
      <w:r w:rsidR="00453745">
        <w:rPr>
          <w:rFonts w:eastAsia="Times New Roman"/>
        </w:rPr>
        <w:t xml:space="preserve"> (2011) 562 U.S. 86, 112.) </w:t>
      </w:r>
      <w:bookmarkEnd w:id="4"/>
      <w:r w:rsidR="00453745">
        <w:rPr>
          <w:rFonts w:eastAsia="Times New Roman"/>
        </w:rPr>
        <w:t xml:space="preserve"> Thus, “[s]urmounting </w:t>
      </w:r>
      <w:r w:rsidR="00453745">
        <w:rPr>
          <w:rFonts w:eastAsia="Times New Roman"/>
          <w:i/>
          <w:iCs/>
        </w:rPr>
        <w:t>Strickland</w:t>
      </w:r>
      <w:r w:rsidR="00453745">
        <w:rPr>
          <w:rFonts w:eastAsia="Times New Roman"/>
        </w:rPr>
        <w:t>’s</w:t>
      </w:r>
      <w:r w:rsidR="00453745">
        <w:rPr>
          <w:rFonts w:eastAsia="Times New Roman"/>
          <w:i/>
          <w:iCs/>
        </w:rPr>
        <w:t xml:space="preserve"> </w:t>
      </w:r>
      <w:r w:rsidR="00453745" w:rsidRPr="00E81D58">
        <w:rPr>
          <w:rFonts w:eastAsia="Times New Roman"/>
        </w:rPr>
        <w:t>high bar is never an easy task.”</w:t>
      </w:r>
      <w:r w:rsidR="00453745">
        <w:rPr>
          <w:rFonts w:eastAsia="Times New Roman"/>
        </w:rPr>
        <w:t xml:space="preserve">  (</w:t>
      </w:r>
      <w:r w:rsidR="00453745">
        <w:rPr>
          <w:rFonts w:eastAsia="Times New Roman"/>
          <w:i/>
          <w:iCs/>
        </w:rPr>
        <w:t>Richter</w:t>
      </w:r>
      <w:r w:rsidR="00453745">
        <w:rPr>
          <w:rFonts w:eastAsia="Times New Roman"/>
        </w:rPr>
        <w:t>, at p.</w:t>
      </w:r>
      <w:r w:rsidR="00976BC1">
        <w:rPr>
          <w:rFonts w:eastAsia="Times New Roman"/>
        </w:rPr>
        <w:t xml:space="preserve"> </w:t>
      </w:r>
      <w:r w:rsidR="00453745">
        <w:rPr>
          <w:rFonts w:eastAsia="Times New Roman"/>
        </w:rPr>
        <w:t>105.)</w:t>
      </w:r>
    </w:p>
    <w:p w14:paraId="06DB40AD" w14:textId="76669831" w:rsidR="00D74DBA" w:rsidRPr="003C618B" w:rsidRDefault="003C618B" w:rsidP="00D74DBA">
      <w:pPr>
        <w:pStyle w:val="Text"/>
        <w:ind w:firstLine="0"/>
        <w:rPr>
          <w:b/>
          <w:bCs/>
          <w:i/>
          <w:iCs/>
          <w:bdr w:val="none" w:sz="0" w:space="0" w:color="auto" w:frame="1"/>
          <w:shd w:val="clear" w:color="auto" w:fill="FFFFFF"/>
        </w:rPr>
      </w:pPr>
      <w:r>
        <w:rPr>
          <w:b/>
          <w:bCs/>
          <w:i/>
          <w:iCs/>
          <w:bdr w:val="none" w:sz="0" w:space="0" w:color="auto" w:frame="1"/>
          <w:shd w:val="clear" w:color="auto" w:fill="FFFFFF"/>
        </w:rPr>
        <w:tab/>
      </w:r>
      <w:bookmarkStart w:id="5" w:name="_Hlk146004510"/>
      <w:r w:rsidR="002B4C53">
        <w:rPr>
          <w:b/>
          <w:bCs/>
          <w:i/>
          <w:iCs/>
          <w:bdr w:val="none" w:sz="0" w:space="0" w:color="auto" w:frame="1"/>
          <w:shd w:val="clear" w:color="auto" w:fill="FFFFFF"/>
        </w:rPr>
        <w:t>3</w:t>
      </w:r>
      <w:r w:rsidR="00A11908">
        <w:rPr>
          <w:b/>
          <w:bCs/>
          <w:i/>
          <w:iCs/>
          <w:bdr w:val="none" w:sz="0" w:space="0" w:color="auto" w:frame="1"/>
          <w:shd w:val="clear" w:color="auto" w:fill="FFFFFF"/>
        </w:rPr>
        <w:t>.</w:t>
      </w:r>
      <w:r w:rsidR="00A11908">
        <w:rPr>
          <w:b/>
          <w:bCs/>
          <w:i/>
          <w:iCs/>
          <w:bdr w:val="none" w:sz="0" w:space="0" w:color="auto" w:frame="1"/>
          <w:shd w:val="clear" w:color="auto" w:fill="FFFFFF"/>
        </w:rPr>
        <w:tab/>
      </w:r>
      <w:r w:rsidR="002B4C53">
        <w:rPr>
          <w:b/>
          <w:bCs/>
          <w:i/>
          <w:iCs/>
          <w:bdr w:val="none" w:sz="0" w:space="0" w:color="auto" w:frame="1"/>
          <w:shd w:val="clear" w:color="auto" w:fill="FFFFFF"/>
        </w:rPr>
        <w:t>Vi</w:t>
      </w:r>
      <w:r w:rsidR="006108D5">
        <w:rPr>
          <w:b/>
          <w:bCs/>
          <w:i/>
          <w:iCs/>
          <w:bdr w:val="none" w:sz="0" w:space="0" w:color="auto" w:frame="1"/>
          <w:shd w:val="clear" w:color="auto" w:fill="FFFFFF"/>
        </w:rPr>
        <w:t xml:space="preserve">llegas has </w:t>
      </w:r>
      <w:r w:rsidR="002B4C53">
        <w:rPr>
          <w:b/>
          <w:bCs/>
          <w:i/>
          <w:iCs/>
          <w:bdr w:val="none" w:sz="0" w:space="0" w:color="auto" w:frame="1"/>
          <w:shd w:val="clear" w:color="auto" w:fill="FFFFFF"/>
        </w:rPr>
        <w:t>Forfeited</w:t>
      </w:r>
      <w:r w:rsidR="00A133CC">
        <w:rPr>
          <w:b/>
          <w:bCs/>
          <w:i/>
          <w:iCs/>
          <w:bdr w:val="none" w:sz="0" w:space="0" w:color="auto" w:frame="1"/>
          <w:shd w:val="clear" w:color="auto" w:fill="FFFFFF"/>
        </w:rPr>
        <w:t xml:space="preserve"> </w:t>
      </w:r>
      <w:r w:rsidR="006108D5">
        <w:rPr>
          <w:b/>
          <w:bCs/>
          <w:i/>
          <w:iCs/>
          <w:bdr w:val="none" w:sz="0" w:space="0" w:color="auto" w:frame="1"/>
          <w:shd w:val="clear" w:color="auto" w:fill="FFFFFF"/>
        </w:rPr>
        <w:t xml:space="preserve">his </w:t>
      </w:r>
      <w:r w:rsidR="006108D5">
        <w:rPr>
          <w:b/>
          <w:bCs/>
          <w:bdr w:val="none" w:sz="0" w:space="0" w:color="auto" w:frame="1"/>
          <w:shd w:val="clear" w:color="auto" w:fill="FFFFFF"/>
        </w:rPr>
        <w:t xml:space="preserve">Miranda </w:t>
      </w:r>
      <w:r w:rsidR="006108D5">
        <w:rPr>
          <w:b/>
          <w:bCs/>
          <w:i/>
          <w:iCs/>
          <w:bdr w:val="none" w:sz="0" w:space="0" w:color="auto" w:frame="1"/>
          <w:shd w:val="clear" w:color="auto" w:fill="FFFFFF"/>
        </w:rPr>
        <w:t>Claim</w:t>
      </w:r>
      <w:r>
        <w:rPr>
          <w:b/>
          <w:bCs/>
          <w:i/>
          <w:iCs/>
          <w:bdr w:val="none" w:sz="0" w:space="0" w:color="auto" w:frame="1"/>
          <w:shd w:val="clear" w:color="auto" w:fill="FFFFFF"/>
        </w:rPr>
        <w:t xml:space="preserve"> </w:t>
      </w:r>
    </w:p>
    <w:p w14:paraId="070137F8" w14:textId="540CC8C5" w:rsidR="00242524" w:rsidRPr="006B29BF" w:rsidRDefault="00D74DBA" w:rsidP="00242524">
      <w:pPr>
        <w:pStyle w:val="Text"/>
        <w:ind w:firstLine="0"/>
        <w:rPr>
          <w:bdr w:val="none" w:sz="0" w:space="0" w:color="auto" w:frame="1"/>
          <w:shd w:val="clear" w:color="auto" w:fill="FFFFFF"/>
        </w:rPr>
      </w:pPr>
      <w:r>
        <w:rPr>
          <w:b/>
          <w:bCs/>
          <w:i/>
          <w:iCs/>
          <w:bdr w:val="none" w:sz="0" w:space="0" w:color="auto" w:frame="1"/>
          <w:shd w:val="clear" w:color="auto" w:fill="FFFFFF"/>
        </w:rPr>
        <w:tab/>
      </w:r>
      <w:r w:rsidR="00620E1C">
        <w:rPr>
          <w:bdr w:val="none" w:sz="0" w:space="0" w:color="auto" w:frame="1"/>
          <w:shd w:val="clear" w:color="auto" w:fill="FFFFFF"/>
        </w:rPr>
        <w:t>As</w:t>
      </w:r>
      <w:r w:rsidR="00E10357">
        <w:rPr>
          <w:bdr w:val="none" w:sz="0" w:space="0" w:color="auto" w:frame="1"/>
          <w:shd w:val="clear" w:color="auto" w:fill="FFFFFF"/>
        </w:rPr>
        <w:t xml:space="preserve"> the Attorney General correctly points out—and as Villegas implic</w:t>
      </w:r>
      <w:r w:rsidR="00F15035">
        <w:rPr>
          <w:bdr w:val="none" w:sz="0" w:space="0" w:color="auto" w:frame="1"/>
          <w:shd w:val="clear" w:color="auto" w:fill="FFFFFF"/>
        </w:rPr>
        <w:t>i</w:t>
      </w:r>
      <w:r w:rsidR="00E10357">
        <w:rPr>
          <w:bdr w:val="none" w:sz="0" w:space="0" w:color="auto" w:frame="1"/>
          <w:shd w:val="clear" w:color="auto" w:fill="FFFFFF"/>
        </w:rPr>
        <w:t xml:space="preserve">tly concedes—defense counsel in this case failed to seek to exclude </w:t>
      </w:r>
      <w:r w:rsidR="00E10357" w:rsidRPr="00242524">
        <w:rPr>
          <w:bdr w:val="none" w:sz="0" w:space="0" w:color="auto" w:frame="1"/>
          <w:shd w:val="clear" w:color="auto" w:fill="FFFFFF"/>
        </w:rPr>
        <w:t xml:space="preserve">Villegas’s confession on the basis that he invoked his right to remain silent after a valid </w:t>
      </w:r>
      <w:r w:rsidR="00E10357" w:rsidRPr="00242524">
        <w:rPr>
          <w:i/>
          <w:iCs/>
          <w:bdr w:val="none" w:sz="0" w:space="0" w:color="auto" w:frame="1"/>
          <w:shd w:val="clear" w:color="auto" w:fill="FFFFFF"/>
        </w:rPr>
        <w:t xml:space="preserve">Miranda </w:t>
      </w:r>
      <w:r w:rsidR="00E10357" w:rsidRPr="00242524">
        <w:rPr>
          <w:bdr w:val="none" w:sz="0" w:space="0" w:color="auto" w:frame="1"/>
          <w:shd w:val="clear" w:color="auto" w:fill="FFFFFF"/>
        </w:rPr>
        <w:t xml:space="preserve">waiver. </w:t>
      </w:r>
      <w:bookmarkStart w:id="6" w:name="_Hlk148593887"/>
      <w:r w:rsidR="006C2849" w:rsidRPr="00242524">
        <w:rPr>
          <w:bdr w:val="none" w:sz="0" w:space="0" w:color="auto" w:frame="1"/>
          <w:shd w:val="clear" w:color="auto" w:fill="FFFFFF"/>
        </w:rPr>
        <w:t xml:space="preserve"> </w:t>
      </w:r>
      <w:bookmarkEnd w:id="6"/>
      <w:r w:rsidR="00F15035" w:rsidRPr="00242524">
        <w:rPr>
          <w:bdr w:val="none" w:sz="0" w:space="0" w:color="auto" w:frame="1"/>
          <w:shd w:val="clear" w:color="auto" w:fill="FFFFFF"/>
        </w:rPr>
        <w:t xml:space="preserve">Rather, </w:t>
      </w:r>
      <w:r w:rsidR="006B29BF">
        <w:rPr>
          <w:bdr w:val="none" w:sz="0" w:space="0" w:color="auto" w:frame="1"/>
          <w:shd w:val="clear" w:color="auto" w:fill="FFFFFF"/>
        </w:rPr>
        <w:t xml:space="preserve">defense counsel sought to exclude both interrogations in their entirety based on certain mistranslations of the </w:t>
      </w:r>
      <w:r w:rsidR="006B29BF">
        <w:rPr>
          <w:i/>
          <w:iCs/>
          <w:bdr w:val="none" w:sz="0" w:space="0" w:color="auto" w:frame="1"/>
          <w:shd w:val="clear" w:color="auto" w:fill="FFFFFF"/>
        </w:rPr>
        <w:t>Miranda</w:t>
      </w:r>
      <w:r w:rsidR="006B29BF">
        <w:rPr>
          <w:bdr w:val="none" w:sz="0" w:space="0" w:color="auto" w:frame="1"/>
          <w:shd w:val="clear" w:color="auto" w:fill="FFFFFF"/>
        </w:rPr>
        <w:t xml:space="preserve"> warnings from English to Spanish.</w:t>
      </w:r>
      <w:r w:rsidR="006B29BF">
        <w:t xml:space="preserve"> </w:t>
      </w:r>
      <w:r w:rsidR="000B3315">
        <w:rPr>
          <w:bdr w:val="none" w:sz="0" w:space="0" w:color="auto" w:frame="1"/>
          <w:shd w:val="clear" w:color="auto" w:fill="FFFFFF"/>
        </w:rPr>
        <w:t xml:space="preserve"> </w:t>
      </w:r>
      <w:r w:rsidR="006B29BF">
        <w:t xml:space="preserve">The trial court rejected this argument, and, on appeal, Villegas concedes “the initial express </w:t>
      </w:r>
      <w:r w:rsidR="006B29BF">
        <w:rPr>
          <w:i/>
          <w:iCs/>
        </w:rPr>
        <w:t>Miranda</w:t>
      </w:r>
      <w:r w:rsidR="006B29BF">
        <w:t xml:space="preserve"> waivers obtained at the outset of his two interviews were sufficient as determined by the trial court.”</w:t>
      </w:r>
      <w:r w:rsidR="006B29BF" w:rsidRPr="006B29BF">
        <w:t xml:space="preserve"> </w:t>
      </w:r>
      <w:r w:rsidR="006B29BF" w:rsidRPr="00242524">
        <w:rPr>
          <w:bdr w:val="none" w:sz="0" w:space="0" w:color="auto" w:frame="1"/>
          <w:shd w:val="clear" w:color="auto" w:fill="FFFFFF"/>
        </w:rPr>
        <w:t xml:space="preserve"> </w:t>
      </w:r>
      <w:r w:rsidR="006B29BF">
        <w:t xml:space="preserve"> </w:t>
      </w:r>
    </w:p>
    <w:p w14:paraId="5BF09FD5" w14:textId="2EAD9E54" w:rsidR="00F15035" w:rsidRDefault="00242524" w:rsidP="003C618B">
      <w:pPr>
        <w:pStyle w:val="Text"/>
        <w:ind w:firstLine="0"/>
        <w:rPr>
          <w:bdr w:val="none" w:sz="0" w:space="0" w:color="auto" w:frame="1"/>
          <w:shd w:val="clear" w:color="auto" w:fill="FFFFFF"/>
        </w:rPr>
      </w:pPr>
      <w:r>
        <w:rPr>
          <w:bdr w:val="none" w:sz="0" w:space="0" w:color="auto" w:frame="1"/>
          <w:shd w:val="clear" w:color="auto" w:fill="FFFFFF"/>
        </w:rPr>
        <w:tab/>
      </w:r>
      <w:r w:rsidR="00F15035" w:rsidRPr="00242524">
        <w:rPr>
          <w:rFonts w:eastAsia="Times New Roman"/>
          <w:color w:val="212121"/>
          <w:shd w:val="clear" w:color="auto" w:fill="FFFFFF"/>
        </w:rPr>
        <w:t>“</w:t>
      </w:r>
      <w:r w:rsidR="006108D5">
        <w:rPr>
          <w:rFonts w:eastAsia="Times New Roman"/>
          <w:color w:val="212121"/>
          <w:shd w:val="clear" w:color="auto" w:fill="FFFFFF"/>
        </w:rPr>
        <w:t>A</w:t>
      </w:r>
      <w:r w:rsidR="00F15035" w:rsidRPr="00F15035">
        <w:rPr>
          <w:rFonts w:eastAsia="Times New Roman"/>
          <w:color w:val="212121"/>
          <w:shd w:val="clear" w:color="auto" w:fill="FFFFFF"/>
        </w:rPr>
        <w:t xml:space="preserve"> verdict or finding shall not be set aside, nor shall the judgment or decision based thereon be reversed, by reason of the erroneous admission of evidence unless:</w:t>
      </w:r>
      <w:r w:rsidR="00F15035" w:rsidRPr="00242524">
        <w:rPr>
          <w:rFonts w:eastAsia="Times New Roman"/>
          <w:color w:val="212121"/>
          <w:shd w:val="clear" w:color="auto" w:fill="FFFFFF"/>
        </w:rPr>
        <w:t xml:space="preserve"> . . . [¶] . .</w:t>
      </w:r>
      <w:r w:rsidR="00F15035" w:rsidRPr="00242524">
        <w:t xml:space="preserve"> . </w:t>
      </w:r>
      <w:r w:rsidR="00F15035" w:rsidRPr="00242524">
        <w:rPr>
          <w:rFonts w:eastAsia="Times New Roman"/>
          <w:color w:val="212121"/>
          <w:bdr w:val="none" w:sz="0" w:space="0" w:color="auto" w:frame="1"/>
        </w:rPr>
        <w:t>[t]</w:t>
      </w:r>
      <w:r w:rsidR="00F15035" w:rsidRPr="00F15035">
        <w:rPr>
          <w:rFonts w:eastAsia="Times New Roman"/>
          <w:color w:val="212121"/>
          <w:bdr w:val="none" w:sz="0" w:space="0" w:color="auto" w:frame="1"/>
        </w:rPr>
        <w:t xml:space="preserve">here appears of record an objection to or a motion to exclude or to strike the evidence that was timely made and </w:t>
      </w:r>
      <w:r w:rsidR="00F15035" w:rsidRPr="00F15035">
        <w:rPr>
          <w:rFonts w:eastAsia="Times New Roman"/>
          <w:i/>
          <w:iCs/>
          <w:color w:val="212121"/>
          <w:bdr w:val="none" w:sz="0" w:space="0" w:color="auto" w:frame="1"/>
        </w:rPr>
        <w:t>so stated as to make clear the specific ground of the objection or motion</w:t>
      </w:r>
      <w:r w:rsidRPr="00242524">
        <w:rPr>
          <w:rFonts w:eastAsia="Times New Roman"/>
          <w:color w:val="212121"/>
          <w:bdr w:val="none" w:sz="0" w:space="0" w:color="auto" w:frame="1"/>
        </w:rPr>
        <w:t xml:space="preserve">.”  (Evid. Code, § 353, subd. (a), italics added.)  </w:t>
      </w:r>
      <w:proofErr w:type="gramStart"/>
      <w:r w:rsidRPr="00242524">
        <w:rPr>
          <w:rFonts w:eastAsia="Times New Roman"/>
          <w:color w:val="212121"/>
        </w:rPr>
        <w:t>“ ‘</w:t>
      </w:r>
      <w:proofErr w:type="gramEnd"/>
      <w:r w:rsidRPr="00242524">
        <w:rPr>
          <w:rFonts w:eastAsia="Times New Roman"/>
          <w:color w:val="212121"/>
          <w:bdr w:val="none" w:sz="0" w:space="0" w:color="auto" w:frame="1"/>
        </w:rPr>
        <w:t>Specificity is required both to enable the court to make an informed ruling on the motion or objection and to enable the party proffering the evidence to cure the defect in the evidence</w:t>
      </w:r>
      <w:r w:rsidRPr="00242524">
        <w:rPr>
          <w:rFonts w:eastAsia="Times New Roman"/>
          <w:color w:val="212121"/>
        </w:rPr>
        <w:t>.’ ”</w:t>
      </w:r>
      <w:r w:rsidR="00835B42">
        <w:rPr>
          <w:rFonts w:eastAsia="Times New Roman"/>
          <w:color w:val="212121"/>
        </w:rPr>
        <w:t xml:space="preserve"> </w:t>
      </w:r>
      <w:r w:rsidRPr="00242524">
        <w:rPr>
          <w:rFonts w:eastAsia="Times New Roman"/>
          <w:color w:val="212121"/>
        </w:rPr>
        <w:t xml:space="preserve"> (</w:t>
      </w:r>
      <w:r>
        <w:rPr>
          <w:rFonts w:eastAsia="Times New Roman"/>
          <w:i/>
          <w:iCs/>
          <w:color w:val="212121"/>
        </w:rPr>
        <w:t>People v. Boyette</w:t>
      </w:r>
      <w:r>
        <w:rPr>
          <w:rFonts w:eastAsia="Times New Roman"/>
          <w:color w:val="212121"/>
        </w:rPr>
        <w:t xml:space="preserve"> (2002) 29 Cal.4th 381, 424</w:t>
      </w:r>
      <w:r w:rsidRPr="00242524">
        <w:rPr>
          <w:rFonts w:eastAsia="Times New Roman"/>
          <w:color w:val="212121"/>
        </w:rPr>
        <w:t xml:space="preserve">.) </w:t>
      </w:r>
      <w:r>
        <w:rPr>
          <w:rFonts w:eastAsia="Times New Roman"/>
          <w:color w:val="212121"/>
        </w:rPr>
        <w:t xml:space="preserve"> </w:t>
      </w:r>
      <w:r w:rsidRPr="00242524">
        <w:rPr>
          <w:rFonts w:eastAsia="Times New Roman"/>
          <w:color w:val="212121"/>
        </w:rPr>
        <w:t>Th</w:t>
      </w:r>
      <w:r>
        <w:rPr>
          <w:rFonts w:eastAsia="Times New Roman"/>
          <w:color w:val="212121"/>
        </w:rPr>
        <w:t xml:space="preserve">us, the </w:t>
      </w:r>
      <w:r w:rsidRPr="00242524">
        <w:rPr>
          <w:rFonts w:eastAsia="Times New Roman"/>
          <w:color w:val="212121"/>
        </w:rPr>
        <w:t>failure to raise a specific objection to the admission of evidence results in forfeiture of appellate review.</w:t>
      </w:r>
      <w:r>
        <w:rPr>
          <w:rFonts w:eastAsia="Times New Roman"/>
          <w:color w:val="212121"/>
        </w:rPr>
        <w:t xml:space="preserve">  </w:t>
      </w:r>
      <w:r w:rsidR="003B457A">
        <w:rPr>
          <w:rFonts w:eastAsia="Times New Roman"/>
          <w:color w:val="212121"/>
        </w:rPr>
        <w:t>“</w:t>
      </w:r>
      <w:r w:rsidR="00DA6A9C">
        <w:rPr>
          <w:rFonts w:eastAsia="Times New Roman"/>
          <w:i/>
          <w:iCs/>
          <w:color w:val="212121"/>
        </w:rPr>
        <w:t>Miranda</w:t>
      </w:r>
      <w:r w:rsidR="00DA6A9C">
        <w:rPr>
          <w:rFonts w:eastAsia="Times New Roman"/>
          <w:color w:val="212121"/>
        </w:rPr>
        <w:t>-based claims are governed by this rule.</w:t>
      </w:r>
      <w:r w:rsidR="003B457A">
        <w:rPr>
          <w:rFonts w:eastAsia="Times New Roman"/>
          <w:color w:val="212121"/>
        </w:rPr>
        <w:t>”</w:t>
      </w:r>
      <w:r w:rsidR="00DA6A9C">
        <w:rPr>
          <w:rFonts w:eastAsia="Times New Roman"/>
          <w:color w:val="212121"/>
        </w:rPr>
        <w:t xml:space="preserve">  (</w:t>
      </w:r>
      <w:r w:rsidR="003B457A">
        <w:rPr>
          <w:rFonts w:eastAsia="Times New Roman"/>
          <w:i/>
          <w:iCs/>
          <w:color w:val="212121"/>
        </w:rPr>
        <w:t>People v. Ma</w:t>
      </w:r>
      <w:r w:rsidR="00733289">
        <w:rPr>
          <w:rFonts w:eastAsia="Times New Roman"/>
          <w:i/>
          <w:iCs/>
          <w:color w:val="212121"/>
        </w:rPr>
        <w:t>t</w:t>
      </w:r>
      <w:r w:rsidR="003B457A">
        <w:rPr>
          <w:rFonts w:eastAsia="Times New Roman"/>
          <w:i/>
          <w:iCs/>
          <w:color w:val="212121"/>
        </w:rPr>
        <w:t>tson</w:t>
      </w:r>
      <w:r w:rsidR="003B457A">
        <w:rPr>
          <w:rFonts w:eastAsia="Times New Roman"/>
          <w:color w:val="212121"/>
        </w:rPr>
        <w:t xml:space="preserve"> (1990) 50 Cal.3d 826, 854</w:t>
      </w:r>
      <w:r w:rsidR="00DA6A9C">
        <w:rPr>
          <w:rFonts w:eastAsia="Times New Roman"/>
          <w:color w:val="212121"/>
        </w:rPr>
        <w:t>.)  Under the circumstances, we will consider Villegas’s claim through the lens of ineffective assistance of counsel.</w:t>
      </w:r>
    </w:p>
    <w:p w14:paraId="688D56E8" w14:textId="31BE64FB" w:rsidR="002B4C53" w:rsidRPr="003C618B" w:rsidRDefault="002B4C53" w:rsidP="002B4C53">
      <w:pPr>
        <w:pStyle w:val="Text"/>
        <w:ind w:firstLine="0"/>
        <w:rPr>
          <w:b/>
          <w:bCs/>
          <w:i/>
          <w:iCs/>
          <w:bdr w:val="none" w:sz="0" w:space="0" w:color="auto" w:frame="1"/>
          <w:shd w:val="clear" w:color="auto" w:fill="FFFFFF"/>
        </w:rPr>
      </w:pPr>
      <w:r>
        <w:rPr>
          <w:b/>
          <w:bCs/>
          <w:i/>
          <w:iCs/>
          <w:bdr w:val="none" w:sz="0" w:space="0" w:color="auto" w:frame="1"/>
          <w:shd w:val="clear" w:color="auto" w:fill="FFFFFF"/>
        </w:rPr>
        <w:tab/>
        <w:t>4.</w:t>
      </w:r>
      <w:r>
        <w:rPr>
          <w:b/>
          <w:bCs/>
          <w:i/>
          <w:iCs/>
          <w:bdr w:val="none" w:sz="0" w:space="0" w:color="auto" w:frame="1"/>
          <w:shd w:val="clear" w:color="auto" w:fill="FFFFFF"/>
        </w:rPr>
        <w:tab/>
        <w:t xml:space="preserve">No Ineffective Assistance of Counsel  </w:t>
      </w:r>
    </w:p>
    <w:p w14:paraId="0A3A27B3" w14:textId="097F1C8A" w:rsidR="00AF258E" w:rsidRPr="006108D5" w:rsidRDefault="002B4C53" w:rsidP="00AF258E">
      <w:pPr>
        <w:pStyle w:val="Text"/>
        <w:ind w:firstLine="0"/>
        <w:rPr>
          <w:bdr w:val="none" w:sz="0" w:space="0" w:color="auto" w:frame="1"/>
          <w:shd w:val="clear" w:color="auto" w:fill="FFFFFF"/>
        </w:rPr>
      </w:pPr>
      <w:r>
        <w:rPr>
          <w:b/>
          <w:bCs/>
          <w:i/>
          <w:iCs/>
          <w:bdr w:val="none" w:sz="0" w:space="0" w:color="auto" w:frame="1"/>
          <w:shd w:val="clear" w:color="auto" w:fill="FFFFFF"/>
        </w:rPr>
        <w:tab/>
      </w:r>
      <w:r w:rsidR="00C749E5" w:rsidRPr="00C749E5">
        <w:rPr>
          <w:bdr w:val="none" w:sz="0" w:space="0" w:color="auto" w:frame="1"/>
          <w:shd w:val="clear" w:color="auto" w:fill="FFFFFF"/>
        </w:rPr>
        <w:t>Villegas contends</w:t>
      </w:r>
      <w:r w:rsidR="00C749E5">
        <w:rPr>
          <w:b/>
          <w:bCs/>
          <w:bdr w:val="none" w:sz="0" w:space="0" w:color="auto" w:frame="1"/>
          <w:shd w:val="clear" w:color="auto" w:fill="FFFFFF"/>
        </w:rPr>
        <w:t xml:space="preserve"> </w:t>
      </w:r>
      <w:r w:rsidR="00C749E5">
        <w:rPr>
          <w:bdr w:val="none" w:sz="0" w:space="0" w:color="auto" w:frame="1"/>
          <w:shd w:val="clear" w:color="auto" w:fill="FFFFFF"/>
        </w:rPr>
        <w:t xml:space="preserve">his repeated statements that he did not want to say anything else about the incident with Jane Doe Three were unequivocal assertions of his right to remain silent under </w:t>
      </w:r>
      <w:r w:rsidR="00C749E5">
        <w:rPr>
          <w:i/>
          <w:iCs/>
          <w:bdr w:val="none" w:sz="0" w:space="0" w:color="auto" w:frame="1"/>
          <w:shd w:val="clear" w:color="auto" w:fill="FFFFFF"/>
        </w:rPr>
        <w:t>Miranda</w:t>
      </w:r>
      <w:r w:rsidR="00AF258E">
        <w:rPr>
          <w:bdr w:val="none" w:sz="0" w:space="0" w:color="auto" w:frame="1"/>
          <w:shd w:val="clear" w:color="auto" w:fill="FFFFFF"/>
        </w:rPr>
        <w:t>,</w:t>
      </w:r>
      <w:r w:rsidR="00AF258E">
        <w:t xml:space="preserve"> and thus </w:t>
      </w:r>
      <w:r w:rsidR="00C749E5">
        <w:t>all questioning should have ceased.</w:t>
      </w:r>
      <w:r w:rsidR="00AF258E">
        <w:t xml:space="preserve">  He </w:t>
      </w:r>
      <w:r w:rsidR="00C749E5">
        <w:t>asserts</w:t>
      </w:r>
      <w:r w:rsidR="00AF258E">
        <w:t xml:space="preserve"> that</w:t>
      </w:r>
      <w:r w:rsidR="00C749E5">
        <w:t xml:space="preserve"> his attorney was </w:t>
      </w:r>
      <w:r w:rsidR="00AF258E">
        <w:t xml:space="preserve">therefore </w:t>
      </w:r>
      <w:r w:rsidR="00C749E5">
        <w:t>prejudicially ineffective in failing to raise th</w:t>
      </w:r>
      <w:r w:rsidR="00AF258E">
        <w:t xml:space="preserve">is purported </w:t>
      </w:r>
      <w:r w:rsidR="00AF258E">
        <w:rPr>
          <w:i/>
          <w:iCs/>
        </w:rPr>
        <w:t>Miranda</w:t>
      </w:r>
      <w:r w:rsidR="00AF258E">
        <w:t xml:space="preserve"> violation in the trial court </w:t>
      </w:r>
      <w:r w:rsidR="00AF258E" w:rsidRPr="006108D5">
        <w:t xml:space="preserve">and move to </w:t>
      </w:r>
      <w:r w:rsidR="00C749E5" w:rsidRPr="006108D5">
        <w:t>exclude the latter portion of his second interrogation at trial.</w:t>
      </w:r>
      <w:r w:rsidRPr="006108D5">
        <w:t xml:space="preserve"> </w:t>
      </w:r>
      <w:r w:rsidRPr="006108D5">
        <w:rPr>
          <w:bdr w:val="none" w:sz="0" w:space="0" w:color="auto" w:frame="1"/>
          <w:shd w:val="clear" w:color="auto" w:fill="FFFFFF"/>
        </w:rPr>
        <w:t xml:space="preserve"> </w:t>
      </w:r>
      <w:bookmarkEnd w:id="5"/>
      <w:r w:rsidR="00CE1C1D" w:rsidRPr="006108D5">
        <w:rPr>
          <w:bdr w:val="none" w:sz="0" w:space="0" w:color="auto" w:frame="1"/>
          <w:shd w:val="clear" w:color="auto" w:fill="FFFFFF"/>
        </w:rPr>
        <w:t>We disagree.</w:t>
      </w:r>
      <w:r w:rsidR="00811899">
        <w:rPr>
          <w:bdr w:val="none" w:sz="0" w:space="0" w:color="auto" w:frame="1"/>
          <w:shd w:val="clear" w:color="auto" w:fill="FFFFFF"/>
        </w:rPr>
        <w:t xml:space="preserve">  Based upon the record and context of the </w:t>
      </w:r>
      <w:r w:rsidR="00555E02">
        <w:rPr>
          <w:bdr w:val="none" w:sz="0" w:space="0" w:color="auto" w:frame="1"/>
          <w:shd w:val="clear" w:color="auto" w:fill="FFFFFF"/>
        </w:rPr>
        <w:t>colloquy</w:t>
      </w:r>
      <w:r w:rsidR="00811899">
        <w:rPr>
          <w:bdr w:val="none" w:sz="0" w:space="0" w:color="auto" w:frame="1"/>
          <w:shd w:val="clear" w:color="auto" w:fill="FFFFFF"/>
        </w:rPr>
        <w:t xml:space="preserve">, there was no </w:t>
      </w:r>
      <w:r w:rsidR="00AF258E" w:rsidRPr="006108D5">
        <w:rPr>
          <w:i/>
          <w:iCs/>
          <w:bdr w:val="none" w:sz="0" w:space="0" w:color="auto" w:frame="1"/>
          <w:shd w:val="clear" w:color="auto" w:fill="FFFFFF"/>
        </w:rPr>
        <w:t xml:space="preserve">Miranda </w:t>
      </w:r>
      <w:r w:rsidR="00811899" w:rsidRPr="00170921">
        <w:rPr>
          <w:bdr w:val="none" w:sz="0" w:space="0" w:color="auto" w:frame="1"/>
          <w:shd w:val="clear" w:color="auto" w:fill="FFFFFF"/>
        </w:rPr>
        <w:t xml:space="preserve">violation </w:t>
      </w:r>
      <w:r w:rsidR="00811899">
        <w:rPr>
          <w:bdr w:val="none" w:sz="0" w:space="0" w:color="auto" w:frame="1"/>
          <w:shd w:val="clear" w:color="auto" w:fill="FFFFFF"/>
        </w:rPr>
        <w:t>and</w:t>
      </w:r>
      <w:r w:rsidR="00CE1C1D" w:rsidRPr="006108D5">
        <w:rPr>
          <w:bdr w:val="none" w:sz="0" w:space="0" w:color="auto" w:frame="1"/>
          <w:shd w:val="clear" w:color="auto" w:fill="FFFFFF"/>
        </w:rPr>
        <w:t xml:space="preserve"> </w:t>
      </w:r>
      <w:r w:rsidR="002B4C82">
        <w:rPr>
          <w:bdr w:val="none" w:sz="0" w:space="0" w:color="auto" w:frame="1"/>
          <w:shd w:val="clear" w:color="auto" w:fill="FFFFFF"/>
        </w:rPr>
        <w:t xml:space="preserve">thus </w:t>
      </w:r>
      <w:r w:rsidR="00CE1C1D" w:rsidRPr="006108D5">
        <w:rPr>
          <w:bdr w:val="none" w:sz="0" w:space="0" w:color="auto" w:frame="1"/>
          <w:shd w:val="clear" w:color="auto" w:fill="FFFFFF"/>
        </w:rPr>
        <w:t xml:space="preserve">there is no substantial likelihood the result in this case would have been more favorable to Villegas had defense counsel raised the </w:t>
      </w:r>
      <w:r w:rsidR="00AF258E" w:rsidRPr="006108D5">
        <w:rPr>
          <w:bdr w:val="none" w:sz="0" w:space="0" w:color="auto" w:frame="1"/>
          <w:shd w:val="clear" w:color="auto" w:fill="FFFFFF"/>
        </w:rPr>
        <w:t>claim.</w:t>
      </w:r>
    </w:p>
    <w:p w14:paraId="6E6FC169" w14:textId="59C9EB75" w:rsidR="000244F5" w:rsidRPr="000244F5" w:rsidRDefault="00AF258E" w:rsidP="003C618B">
      <w:pPr>
        <w:pStyle w:val="Text"/>
        <w:ind w:firstLine="0"/>
        <w:rPr>
          <w:rFonts w:eastAsia="Times New Roman"/>
          <w:bdr w:val="none" w:sz="0" w:space="0" w:color="auto" w:frame="1"/>
        </w:rPr>
      </w:pPr>
      <w:r w:rsidRPr="006108D5">
        <w:rPr>
          <w:bdr w:val="none" w:sz="0" w:space="0" w:color="auto" w:frame="1"/>
          <w:shd w:val="clear" w:color="auto" w:fill="FFFFFF"/>
        </w:rPr>
        <w:tab/>
        <w:t xml:space="preserve">As stated above, </w:t>
      </w:r>
      <w:r w:rsidR="006108D5">
        <w:rPr>
          <w:rFonts w:eastAsia="Times New Roman"/>
          <w:bdr w:val="none" w:sz="0" w:space="0" w:color="auto" w:frame="1"/>
        </w:rPr>
        <w:t xml:space="preserve">a </w:t>
      </w:r>
      <w:r w:rsidRPr="006108D5">
        <w:rPr>
          <w:rFonts w:eastAsia="Times New Roman"/>
          <w:bdr w:val="none" w:sz="0" w:space="0" w:color="auto" w:frame="1"/>
        </w:rPr>
        <w:t xml:space="preserve">defendant who </w:t>
      </w:r>
      <w:r w:rsidR="006108D5">
        <w:rPr>
          <w:rFonts w:eastAsia="Times New Roman"/>
          <w:bdr w:val="none" w:sz="0" w:space="0" w:color="auto" w:frame="1"/>
        </w:rPr>
        <w:t xml:space="preserve">has waived his or her </w:t>
      </w:r>
      <w:r w:rsidR="006108D5" w:rsidRPr="006108D5">
        <w:rPr>
          <w:rFonts w:eastAsia="Times New Roman"/>
          <w:i/>
          <w:iCs/>
          <w:bdr w:val="none" w:sz="0" w:space="0" w:color="auto" w:frame="1"/>
        </w:rPr>
        <w:t>Miranda</w:t>
      </w:r>
      <w:r w:rsidR="006108D5">
        <w:rPr>
          <w:rFonts w:eastAsia="Times New Roman"/>
          <w:bdr w:val="none" w:sz="0" w:space="0" w:color="auto" w:frame="1"/>
        </w:rPr>
        <w:t xml:space="preserve"> </w:t>
      </w:r>
      <w:r w:rsidRPr="006108D5">
        <w:rPr>
          <w:rFonts w:eastAsia="Times New Roman"/>
          <w:bdr w:val="none" w:sz="0" w:space="0" w:color="auto" w:frame="1"/>
        </w:rPr>
        <w:t xml:space="preserve">rights, as Villegas did here, “must make a </w:t>
      </w:r>
      <w:r w:rsidR="006108D5">
        <w:rPr>
          <w:rFonts w:eastAsia="Times New Roman"/>
          <w:bdr w:val="none" w:sz="0" w:space="0" w:color="auto" w:frame="1"/>
        </w:rPr>
        <w:t>‘</w:t>
      </w:r>
      <w:r w:rsidRPr="006108D5">
        <w:rPr>
          <w:rFonts w:eastAsia="Times New Roman"/>
          <w:bdr w:val="none" w:sz="0" w:space="0" w:color="auto" w:frame="1"/>
        </w:rPr>
        <w:t>clear assertion</w:t>
      </w:r>
      <w:r w:rsidR="006108D5">
        <w:rPr>
          <w:rFonts w:eastAsia="Times New Roman"/>
          <w:bdr w:val="none" w:sz="0" w:space="0" w:color="auto" w:frame="1"/>
        </w:rPr>
        <w:t>’</w:t>
      </w:r>
      <w:r w:rsidRPr="006108D5">
        <w:rPr>
          <w:rFonts w:eastAsia="Times New Roman"/>
          <w:bdr w:val="none" w:sz="0" w:space="0" w:color="auto" w:frame="1"/>
        </w:rPr>
        <w:t xml:space="preserve"> of the right to silence or counsel before officers are required to cease questioning.</w:t>
      </w:r>
      <w:r w:rsidR="006108D5">
        <w:rPr>
          <w:rFonts w:eastAsia="Times New Roman"/>
          <w:bdr w:val="none" w:sz="0" w:space="0" w:color="auto" w:frame="1"/>
        </w:rPr>
        <w:t>”</w:t>
      </w:r>
      <w:r w:rsidR="00A313D0">
        <w:rPr>
          <w:rFonts w:eastAsia="Times New Roman"/>
          <w:bdr w:val="none" w:sz="0" w:space="0" w:color="auto" w:frame="1"/>
        </w:rPr>
        <w:t xml:space="preserve">  </w:t>
      </w:r>
      <w:r w:rsidR="006108D5">
        <w:rPr>
          <w:rFonts w:eastAsia="Times New Roman"/>
          <w:bdr w:val="none" w:sz="0" w:space="0" w:color="auto" w:frame="1"/>
        </w:rPr>
        <w:t>(</w:t>
      </w:r>
      <w:r w:rsidR="006108D5">
        <w:rPr>
          <w:rFonts w:eastAsia="Times New Roman"/>
          <w:i/>
          <w:iCs/>
          <w:bdr w:val="none" w:sz="0" w:space="0" w:color="auto" w:frame="1"/>
        </w:rPr>
        <w:t>Ramirez</w:t>
      </w:r>
      <w:r w:rsidR="006108D5">
        <w:rPr>
          <w:rFonts w:eastAsia="Times New Roman"/>
          <w:bdr w:val="none" w:sz="0" w:space="0" w:color="auto" w:frame="1"/>
        </w:rPr>
        <w:t xml:space="preserve">, </w:t>
      </w:r>
      <w:r w:rsidR="006108D5">
        <w:rPr>
          <w:rFonts w:eastAsia="Times New Roman"/>
          <w:i/>
          <w:iCs/>
          <w:bdr w:val="none" w:sz="0" w:space="0" w:color="auto" w:frame="1"/>
        </w:rPr>
        <w:t>supra</w:t>
      </w:r>
      <w:r w:rsidR="006108D5">
        <w:rPr>
          <w:rFonts w:eastAsia="Times New Roman"/>
          <w:bdr w:val="none" w:sz="0" w:space="0" w:color="auto" w:frame="1"/>
        </w:rPr>
        <w:t xml:space="preserve">, 13 Cal.5th at p. 1104.)  Our high court has held that </w:t>
      </w:r>
      <w:proofErr w:type="gramStart"/>
      <w:r w:rsidR="006108D5" w:rsidRPr="006108D5">
        <w:rPr>
          <w:rFonts w:eastAsia="Times New Roman"/>
          <w:bdr w:val="none" w:sz="0" w:space="0" w:color="auto" w:frame="1"/>
        </w:rPr>
        <w:t>“ </w:t>
      </w:r>
      <w:r w:rsidR="006108D5">
        <w:rPr>
          <w:rFonts w:eastAsia="Times New Roman"/>
          <w:bdr w:val="none" w:sz="0" w:space="0" w:color="auto" w:frame="1"/>
        </w:rPr>
        <w:t>‘</w:t>
      </w:r>
      <w:proofErr w:type="gramEnd"/>
      <w:r w:rsidR="006108D5" w:rsidRPr="006108D5">
        <w:rPr>
          <w:rFonts w:eastAsia="Times New Roman"/>
          <w:bdr w:val="none" w:sz="0" w:space="0" w:color="auto" w:frame="1"/>
        </w:rPr>
        <w:t>[a]</w:t>
      </w:r>
      <w:r w:rsidR="006108D5" w:rsidRPr="006108D5">
        <w:rPr>
          <w:rStyle w:val="ssrfcsection"/>
          <w:bdr w:val="none" w:sz="0" w:space="0" w:color="auto" w:frame="1"/>
          <w:shd w:val="clear" w:color="auto" w:fill="FFFFFF"/>
        </w:rPr>
        <w:t xml:space="preserve"> defendant has not invoked his or her right to silence when the defendant</w:t>
      </w:r>
      <w:r w:rsidR="00835B42">
        <w:rPr>
          <w:rStyle w:val="ssrfcsection"/>
          <w:bdr w:val="none" w:sz="0" w:space="0" w:color="auto" w:frame="1"/>
          <w:shd w:val="clear" w:color="auto" w:fill="FFFFFF"/>
        </w:rPr>
        <w:t>’</w:t>
      </w:r>
      <w:r w:rsidR="006108D5" w:rsidRPr="006108D5">
        <w:rPr>
          <w:rStyle w:val="ssrfcsection"/>
          <w:bdr w:val="none" w:sz="0" w:space="0" w:color="auto" w:frame="1"/>
          <w:shd w:val="clear" w:color="auto" w:fill="FFFFFF"/>
        </w:rPr>
        <w:t xml:space="preserve">s statements were merely expressions of passing frustration or animosity toward the </w:t>
      </w:r>
      <w:r w:rsidR="006108D5" w:rsidRPr="001513DC">
        <w:rPr>
          <w:rStyle w:val="ssrfcsection"/>
          <w:bdr w:val="none" w:sz="0" w:space="0" w:color="auto" w:frame="1"/>
          <w:shd w:val="clear" w:color="auto" w:fill="FFFFFF"/>
        </w:rPr>
        <w:t>officer</w:t>
      </w:r>
      <w:r w:rsidR="00245D68" w:rsidRPr="001513DC">
        <w:rPr>
          <w:rStyle w:val="ssrfcsection"/>
          <w:bdr w:val="none" w:sz="0" w:space="0" w:color="auto" w:frame="1"/>
          <w:shd w:val="clear" w:color="auto" w:fill="FFFFFF"/>
        </w:rPr>
        <w:t>s</w:t>
      </w:r>
      <w:r w:rsidR="006108D5" w:rsidRPr="001513DC">
        <w:rPr>
          <w:rStyle w:val="ssrfcsection"/>
          <w:bdr w:val="none" w:sz="0" w:space="0" w:color="auto" w:frame="1"/>
          <w:shd w:val="clear" w:color="auto" w:fill="FFFFFF"/>
        </w:rPr>
        <w:t>.’ ”  (</w:t>
      </w:r>
      <w:r w:rsidR="006108D5" w:rsidRPr="001513DC">
        <w:rPr>
          <w:rStyle w:val="ssrfcsection"/>
          <w:i/>
          <w:iCs/>
          <w:bdr w:val="none" w:sz="0" w:space="0" w:color="auto" w:frame="1"/>
          <w:shd w:val="clear" w:color="auto" w:fill="FFFFFF"/>
        </w:rPr>
        <w:t>Williams</w:t>
      </w:r>
      <w:r w:rsidR="006108D5" w:rsidRPr="001513DC">
        <w:rPr>
          <w:rStyle w:val="ssrfcsection"/>
          <w:bdr w:val="none" w:sz="0" w:space="0" w:color="auto" w:frame="1"/>
          <w:shd w:val="clear" w:color="auto" w:fill="FFFFFF"/>
        </w:rPr>
        <w:t xml:space="preserve">, </w:t>
      </w:r>
      <w:r w:rsidR="006108D5" w:rsidRPr="001513DC">
        <w:rPr>
          <w:rStyle w:val="ssrfcsection"/>
          <w:i/>
          <w:iCs/>
          <w:bdr w:val="none" w:sz="0" w:space="0" w:color="auto" w:frame="1"/>
          <w:shd w:val="clear" w:color="auto" w:fill="FFFFFF"/>
        </w:rPr>
        <w:t>supra</w:t>
      </w:r>
      <w:r w:rsidR="006108D5" w:rsidRPr="001513DC">
        <w:rPr>
          <w:rStyle w:val="ssrfcsection"/>
          <w:bdr w:val="none" w:sz="0" w:space="0" w:color="auto" w:frame="1"/>
          <w:shd w:val="clear" w:color="auto" w:fill="FFFFFF"/>
        </w:rPr>
        <w:t>, 49 Cal.4th</w:t>
      </w:r>
      <w:r w:rsidR="006108D5" w:rsidRPr="001513DC">
        <w:rPr>
          <w:rFonts w:eastAsia="Times New Roman"/>
          <w:bdr w:val="none" w:sz="0" w:space="0" w:color="auto" w:frame="1"/>
        </w:rPr>
        <w:t xml:space="preserve"> at p. 433</w:t>
      </w:r>
      <w:r w:rsidR="002E2B87" w:rsidRPr="001513DC">
        <w:rPr>
          <w:rFonts w:eastAsia="Times New Roman"/>
          <w:bdr w:val="none" w:sz="0" w:space="0" w:color="auto" w:frame="1"/>
        </w:rPr>
        <w:t xml:space="preserve">; see e.g., </w:t>
      </w:r>
      <w:r w:rsidR="002E2B87" w:rsidRPr="001513DC">
        <w:rPr>
          <w:rFonts w:eastAsia="Times New Roman"/>
          <w:i/>
          <w:iCs/>
          <w:bdr w:val="none" w:sz="0" w:space="0" w:color="auto" w:frame="1"/>
        </w:rPr>
        <w:t>id.</w:t>
      </w:r>
      <w:r w:rsidR="002E2B87" w:rsidRPr="001513DC">
        <w:rPr>
          <w:rFonts w:eastAsia="Times New Roman"/>
          <w:bdr w:val="none" w:sz="0" w:space="0" w:color="auto" w:frame="1"/>
        </w:rPr>
        <w:t xml:space="preserve"> at p.</w:t>
      </w:r>
      <w:r w:rsidR="00D72A3E">
        <w:rPr>
          <w:rFonts w:eastAsia="Times New Roman"/>
          <w:bdr w:val="none" w:sz="0" w:space="0" w:color="auto" w:frame="1"/>
        </w:rPr>
        <w:t> </w:t>
      </w:r>
      <w:r w:rsidR="001513DC" w:rsidRPr="001513DC">
        <w:rPr>
          <w:rFonts w:eastAsia="Times New Roman"/>
          <w:bdr w:val="none" w:sz="0" w:space="0" w:color="auto" w:frame="1"/>
        </w:rPr>
        <w:t>434</w:t>
      </w:r>
      <w:r w:rsidR="002E2B87" w:rsidRPr="001513DC">
        <w:rPr>
          <w:rFonts w:eastAsia="Times New Roman"/>
          <w:bdr w:val="none" w:sz="0" w:space="0" w:color="auto" w:frame="1"/>
        </w:rPr>
        <w:t xml:space="preserve"> [</w:t>
      </w:r>
      <w:r w:rsidR="000244F5">
        <w:rPr>
          <w:rFonts w:eastAsia="Times New Roman"/>
          <w:bdr w:val="none" w:sz="0" w:space="0" w:color="auto" w:frame="1"/>
        </w:rPr>
        <w:t xml:space="preserve">the </w:t>
      </w:r>
      <w:r w:rsidR="001513DC" w:rsidRPr="001513DC">
        <w:rPr>
          <w:rFonts w:eastAsia="Times New Roman"/>
          <w:bdr w:val="none" w:sz="0" w:space="0" w:color="auto" w:frame="1"/>
        </w:rPr>
        <w:t xml:space="preserve">defendant’s statement “ ‘I don’t want to talk about it’ ” was an expression of frustration with </w:t>
      </w:r>
      <w:r w:rsidR="001513DC" w:rsidRPr="000244F5">
        <w:rPr>
          <w:rFonts w:eastAsia="Times New Roman"/>
          <w:bdr w:val="none" w:sz="0" w:space="0" w:color="auto" w:frame="1"/>
        </w:rPr>
        <w:t xml:space="preserve">the officer’s failure to accept his </w:t>
      </w:r>
      <w:r w:rsidR="00733289">
        <w:rPr>
          <w:rFonts w:eastAsia="Times New Roman"/>
          <w:bdr w:val="none" w:sz="0" w:space="0" w:color="auto" w:frame="1"/>
        </w:rPr>
        <w:t>“</w:t>
      </w:r>
      <w:r w:rsidR="001513DC" w:rsidRPr="000244F5">
        <w:rPr>
          <w:rFonts w:eastAsia="Times New Roman"/>
          <w:bdr w:val="none" w:sz="0" w:space="0" w:color="auto" w:frame="1"/>
        </w:rPr>
        <w:t>repeated insistence</w:t>
      </w:r>
      <w:r w:rsidR="001513DC" w:rsidRPr="001513DC">
        <w:rPr>
          <w:rFonts w:eastAsia="Times New Roman"/>
        </w:rPr>
        <w:t xml:space="preserve"> that he was not acquainted with the victim as proof that he had not encountered her on the night of the crime, rather than an unambiguous invocation of the right to remain silent</w:t>
      </w:r>
      <w:r w:rsidR="001513DC" w:rsidRPr="000244F5">
        <w:rPr>
          <w:rFonts w:eastAsia="Times New Roman"/>
        </w:rPr>
        <w:t>”</w:t>
      </w:r>
      <w:r w:rsidR="002E2B87" w:rsidRPr="000244F5">
        <w:rPr>
          <w:rFonts w:eastAsia="Times New Roman"/>
          <w:bdr w:val="none" w:sz="0" w:space="0" w:color="auto" w:frame="1"/>
        </w:rPr>
        <w:t>];</w:t>
      </w:r>
      <w:r w:rsidR="00D72A3E" w:rsidRPr="000244F5">
        <w:rPr>
          <w:rFonts w:eastAsia="Times New Roman"/>
          <w:bdr w:val="none" w:sz="0" w:space="0" w:color="auto" w:frame="1"/>
        </w:rPr>
        <w:t xml:space="preserve"> see also </w:t>
      </w:r>
      <w:r w:rsidR="00D72A3E" w:rsidRPr="000244F5">
        <w:rPr>
          <w:rFonts w:eastAsia="Times New Roman"/>
          <w:i/>
          <w:iCs/>
          <w:bdr w:val="none" w:sz="0" w:space="0" w:color="auto" w:frame="1"/>
        </w:rPr>
        <w:t>Nelson</w:t>
      </w:r>
      <w:r w:rsidR="00D72A3E" w:rsidRPr="000244F5">
        <w:rPr>
          <w:rFonts w:eastAsia="Times New Roman"/>
          <w:bdr w:val="none" w:sz="0" w:space="0" w:color="auto" w:frame="1"/>
        </w:rPr>
        <w:t xml:space="preserve">, </w:t>
      </w:r>
      <w:r w:rsidR="00D72A3E" w:rsidRPr="000244F5">
        <w:rPr>
          <w:rFonts w:eastAsia="Times New Roman"/>
          <w:i/>
          <w:iCs/>
          <w:bdr w:val="none" w:sz="0" w:space="0" w:color="auto" w:frame="1"/>
        </w:rPr>
        <w:t>supra</w:t>
      </w:r>
      <w:r w:rsidR="00D72A3E" w:rsidRPr="000244F5">
        <w:rPr>
          <w:rFonts w:eastAsia="Times New Roman"/>
          <w:bdr w:val="none" w:sz="0" w:space="0" w:color="auto" w:frame="1"/>
        </w:rPr>
        <w:t>, 53 Cal.4th at p. 383 [</w:t>
      </w:r>
      <w:r w:rsidR="000244F5" w:rsidRPr="000244F5">
        <w:rPr>
          <w:rFonts w:eastAsia="Times New Roman"/>
          <w:bdr w:val="none" w:sz="0" w:space="0" w:color="auto" w:frame="1"/>
        </w:rPr>
        <w:t>the defendant’s statement that he</w:t>
      </w:r>
      <w:r w:rsidR="00D72A3E" w:rsidRPr="000244F5">
        <w:rPr>
          <w:rFonts w:eastAsia="Times New Roman"/>
          <w:bdr w:val="none" w:sz="0" w:space="0" w:color="auto" w:frame="1"/>
        </w:rPr>
        <w:t xml:space="preserve"> </w:t>
      </w:r>
      <w:r w:rsidR="000244F5" w:rsidRPr="000244F5">
        <w:rPr>
          <w:rFonts w:eastAsia="Times New Roman"/>
          <w:bdr w:val="none" w:sz="0" w:space="0" w:color="auto" w:frame="1"/>
        </w:rPr>
        <w:t>did not care who might be caught for the murder</w:t>
      </w:r>
      <w:r w:rsidR="00D72A3E" w:rsidRPr="000244F5">
        <w:rPr>
          <w:rFonts w:eastAsia="Times New Roman"/>
          <w:bdr w:val="none" w:sz="0" w:space="0" w:color="auto" w:frame="1"/>
        </w:rPr>
        <w:t xml:space="preserve"> </w:t>
      </w:r>
      <w:r w:rsidR="000244F5" w:rsidRPr="000244F5">
        <w:rPr>
          <w:shd w:val="clear" w:color="auto" w:fill="FFFFFF"/>
        </w:rPr>
        <w:t>“ ‘as long as you guys leave me alone’ ” was an expression of frustration rather than an invocation of the right to silence].)</w:t>
      </w:r>
    </w:p>
    <w:p w14:paraId="5517D94D" w14:textId="5E5942E8" w:rsidR="00B54195" w:rsidRPr="001513DC" w:rsidRDefault="001513DC" w:rsidP="003C618B">
      <w:pPr>
        <w:pStyle w:val="Text"/>
        <w:ind w:firstLine="0"/>
        <w:rPr>
          <w:rFonts w:eastAsia="Times New Roman"/>
          <w:bdr w:val="none" w:sz="0" w:space="0" w:color="auto" w:frame="1"/>
        </w:rPr>
      </w:pPr>
      <w:r w:rsidRPr="000244F5">
        <w:rPr>
          <w:rFonts w:eastAsia="Times New Roman"/>
          <w:bdr w:val="none" w:sz="0" w:space="0" w:color="auto" w:frame="1"/>
        </w:rPr>
        <w:tab/>
      </w:r>
      <w:r w:rsidR="006108D5" w:rsidRPr="000244F5">
        <w:rPr>
          <w:rFonts w:eastAsia="Times New Roman"/>
          <w:bdr w:val="none" w:sz="0" w:space="0" w:color="auto" w:frame="1"/>
        </w:rPr>
        <w:t xml:space="preserve">In addition, statements akin to </w:t>
      </w:r>
      <w:proofErr w:type="gramStart"/>
      <w:r w:rsidR="006108D5" w:rsidRPr="000244F5">
        <w:rPr>
          <w:rFonts w:eastAsia="Times New Roman"/>
          <w:bdr w:val="none" w:sz="0" w:space="0" w:color="auto" w:frame="1"/>
        </w:rPr>
        <w:t>“</w:t>
      </w:r>
      <w:r w:rsidR="00245D68" w:rsidRPr="000244F5">
        <w:rPr>
          <w:rFonts w:eastAsia="Times New Roman"/>
          <w:bdr w:val="none" w:sz="0" w:space="0" w:color="auto" w:frame="1"/>
        </w:rPr>
        <w:t> ‘</w:t>
      </w:r>
      <w:proofErr w:type="gramEnd"/>
      <w:r w:rsidR="00245D68" w:rsidRPr="000244F5">
        <w:rPr>
          <w:rFonts w:eastAsia="Times New Roman"/>
          <w:bdr w:val="none" w:sz="0" w:space="0" w:color="auto" w:frame="1"/>
        </w:rPr>
        <w:t>[t]</w:t>
      </w:r>
      <w:r w:rsidR="006108D5" w:rsidRPr="000244F5">
        <w:rPr>
          <w:rFonts w:eastAsia="Times New Roman"/>
          <w:bdr w:val="none" w:sz="0" w:space="0" w:color="auto" w:frame="1"/>
        </w:rPr>
        <w:t>hat’s my story</w:t>
      </w:r>
      <w:r w:rsidR="00245D68" w:rsidRPr="000244F5">
        <w:rPr>
          <w:rFonts w:eastAsia="Times New Roman"/>
          <w:bdr w:val="none" w:sz="0" w:space="0" w:color="auto" w:frame="1"/>
        </w:rPr>
        <w:t>,</w:t>
      </w:r>
      <w:r w:rsidR="006108D5" w:rsidRPr="000244F5">
        <w:rPr>
          <w:rFonts w:eastAsia="Times New Roman"/>
          <w:bdr w:val="none" w:sz="0" w:space="0" w:color="auto" w:frame="1"/>
        </w:rPr>
        <w:t xml:space="preserve"> and</w:t>
      </w:r>
      <w:r w:rsidR="006108D5" w:rsidRPr="001513DC">
        <w:rPr>
          <w:rFonts w:eastAsia="Times New Roman"/>
          <w:bdr w:val="none" w:sz="0" w:space="0" w:color="auto" w:frame="1"/>
        </w:rPr>
        <w:t xml:space="preserve"> I</w:t>
      </w:r>
      <w:r w:rsidR="00245D68" w:rsidRPr="001513DC">
        <w:rPr>
          <w:rFonts w:eastAsia="Times New Roman"/>
          <w:bdr w:val="none" w:sz="0" w:space="0" w:color="auto" w:frame="1"/>
        </w:rPr>
        <w:t>’ll</w:t>
      </w:r>
      <w:r w:rsidR="006108D5" w:rsidRPr="001513DC">
        <w:rPr>
          <w:rFonts w:eastAsia="Times New Roman"/>
          <w:bdr w:val="none" w:sz="0" w:space="0" w:color="auto" w:frame="1"/>
        </w:rPr>
        <w:t xml:space="preserve"> stick</w:t>
      </w:r>
      <w:r w:rsidR="00245D68" w:rsidRPr="001513DC">
        <w:rPr>
          <w:rFonts w:eastAsia="Times New Roman"/>
          <w:bdr w:val="none" w:sz="0" w:space="0" w:color="auto" w:frame="1"/>
        </w:rPr>
        <w:t xml:space="preserve"> with</w:t>
      </w:r>
      <w:r w:rsidR="006108D5" w:rsidRPr="001513DC">
        <w:rPr>
          <w:rFonts w:eastAsia="Times New Roman"/>
          <w:bdr w:val="none" w:sz="0" w:space="0" w:color="auto" w:frame="1"/>
        </w:rPr>
        <w:t xml:space="preserve"> it</w:t>
      </w:r>
      <w:r w:rsidR="00245D68" w:rsidRPr="001513DC">
        <w:rPr>
          <w:rFonts w:eastAsia="Times New Roman"/>
          <w:bdr w:val="none" w:sz="0" w:space="0" w:color="auto" w:frame="1"/>
        </w:rPr>
        <w:t>’ </w:t>
      </w:r>
      <w:r w:rsidR="006108D5" w:rsidRPr="001513DC">
        <w:rPr>
          <w:rFonts w:eastAsia="Times New Roman"/>
          <w:bdr w:val="none" w:sz="0" w:space="0" w:color="auto" w:frame="1"/>
        </w:rPr>
        <w:t>”</w:t>
      </w:r>
      <w:r w:rsidR="00245D68" w:rsidRPr="001513DC">
        <w:rPr>
          <w:rFonts w:eastAsia="Times New Roman"/>
          <w:bdr w:val="none" w:sz="0" w:space="0" w:color="auto" w:frame="1"/>
        </w:rPr>
        <w:t xml:space="preserve"> have been deemed insufficiently clear to invoke a defendant’s right to silence under </w:t>
      </w:r>
      <w:r w:rsidR="00245D68" w:rsidRPr="001513DC">
        <w:rPr>
          <w:rFonts w:eastAsia="Times New Roman"/>
          <w:i/>
          <w:iCs/>
          <w:bdr w:val="none" w:sz="0" w:space="0" w:color="auto" w:frame="1"/>
        </w:rPr>
        <w:t>Miranda</w:t>
      </w:r>
      <w:r w:rsidR="00245D68" w:rsidRPr="001513DC">
        <w:rPr>
          <w:rFonts w:eastAsia="Times New Roman"/>
          <w:bdr w:val="none" w:sz="0" w:space="0" w:color="auto" w:frame="1"/>
        </w:rPr>
        <w:t>.  (</w:t>
      </w:r>
      <w:r w:rsidR="00245D68" w:rsidRPr="001513DC">
        <w:rPr>
          <w:rFonts w:eastAsia="Times New Roman"/>
          <w:i/>
          <w:iCs/>
          <w:bdr w:val="none" w:sz="0" w:space="0" w:color="auto" w:frame="1"/>
        </w:rPr>
        <w:t>Ramirez</w:t>
      </w:r>
      <w:r w:rsidR="00245D68" w:rsidRPr="001513DC">
        <w:rPr>
          <w:rFonts w:eastAsia="Times New Roman"/>
          <w:bdr w:val="none" w:sz="0" w:space="0" w:color="auto" w:frame="1"/>
        </w:rPr>
        <w:t>, at pp. 1104–1105; see, e.g.</w:t>
      </w:r>
      <w:r w:rsidR="00835B42">
        <w:rPr>
          <w:rFonts w:eastAsia="Times New Roman"/>
          <w:bdr w:val="none" w:sz="0" w:space="0" w:color="auto" w:frame="1"/>
        </w:rPr>
        <w:t>,</w:t>
      </w:r>
      <w:r w:rsidR="00245D68" w:rsidRPr="001513DC">
        <w:rPr>
          <w:rFonts w:eastAsia="Times New Roman"/>
          <w:bdr w:val="none" w:sz="0" w:space="0" w:color="auto" w:frame="1"/>
        </w:rPr>
        <w:t xml:space="preserve"> </w:t>
      </w:r>
      <w:r w:rsidR="00245D68" w:rsidRPr="001513DC">
        <w:rPr>
          <w:rFonts w:eastAsia="Times New Roman"/>
          <w:i/>
          <w:iCs/>
          <w:bdr w:val="none" w:sz="0" w:space="0" w:color="auto" w:frame="1"/>
        </w:rPr>
        <w:t>id.</w:t>
      </w:r>
      <w:r w:rsidR="00245D68" w:rsidRPr="001513DC">
        <w:rPr>
          <w:rFonts w:eastAsia="Times New Roman"/>
          <w:bdr w:val="none" w:sz="0" w:space="0" w:color="auto" w:frame="1"/>
        </w:rPr>
        <w:t xml:space="preserve"> at p</w:t>
      </w:r>
      <w:r w:rsidR="00835B42">
        <w:rPr>
          <w:rFonts w:eastAsia="Times New Roman"/>
          <w:bdr w:val="none" w:sz="0" w:space="0" w:color="auto" w:frame="1"/>
        </w:rPr>
        <w:t>.</w:t>
      </w:r>
      <w:r w:rsidR="00245D68" w:rsidRPr="001513DC">
        <w:rPr>
          <w:rFonts w:eastAsia="Times New Roman"/>
          <w:bdr w:val="none" w:sz="0" w:space="0" w:color="auto" w:frame="1"/>
        </w:rPr>
        <w:t xml:space="preserve"> 1104 [</w:t>
      </w:r>
      <w:r w:rsidR="00B54195" w:rsidRPr="001513DC">
        <w:rPr>
          <w:rFonts w:eastAsia="Times New Roman"/>
          <w:bdr w:val="none" w:sz="0" w:space="0" w:color="auto" w:frame="1"/>
        </w:rPr>
        <w:t>“</w:t>
      </w:r>
      <w:r w:rsidR="00245D68" w:rsidRPr="001513DC">
        <w:rPr>
          <w:shd w:val="clear" w:color="auto" w:fill="FFFFFF"/>
        </w:rPr>
        <w:t>Viewed in context, a reasonable officer</w:t>
      </w:r>
      <w:r w:rsidR="00245D68" w:rsidRPr="00245D68">
        <w:rPr>
          <w:shd w:val="clear" w:color="auto" w:fill="FFFFFF"/>
        </w:rPr>
        <w:t xml:space="preserve"> would have understood defendant</w:t>
      </w:r>
      <w:r w:rsidR="00B54195">
        <w:rPr>
          <w:shd w:val="clear" w:color="auto" w:fill="FFFFFF"/>
        </w:rPr>
        <w:t>’</w:t>
      </w:r>
      <w:r w:rsidR="00245D68" w:rsidRPr="00245D68">
        <w:rPr>
          <w:shd w:val="clear" w:color="auto" w:fill="FFFFFF"/>
        </w:rPr>
        <w:t>s statement</w:t>
      </w:r>
      <w:r w:rsidR="00B54195">
        <w:rPr>
          <w:shd w:val="clear" w:color="auto" w:fill="FFFFFF"/>
        </w:rPr>
        <w:t>[—“ ‘</w:t>
      </w:r>
      <w:r w:rsidR="00B54195" w:rsidRPr="00245D68">
        <w:rPr>
          <w:shd w:val="clear" w:color="auto" w:fill="FFFFFF"/>
        </w:rPr>
        <w:t>I don</w:t>
      </w:r>
      <w:r w:rsidR="00733289">
        <w:rPr>
          <w:shd w:val="clear" w:color="auto" w:fill="FFFFFF"/>
        </w:rPr>
        <w:t>’</w:t>
      </w:r>
      <w:r w:rsidR="00B54195" w:rsidRPr="00245D68">
        <w:rPr>
          <w:shd w:val="clear" w:color="auto" w:fill="FFFFFF"/>
        </w:rPr>
        <w:t>t have nothing else to say to you guys</w:t>
      </w:r>
      <w:r w:rsidR="00B54195">
        <w:rPr>
          <w:shd w:val="clear" w:color="auto" w:fill="FFFFFF"/>
        </w:rPr>
        <w:t>’ </w:t>
      </w:r>
      <w:r w:rsidR="00B54195">
        <w:t>”</w:t>
      </w:r>
      <w:r w:rsidR="00B54195">
        <w:rPr>
          <w:shd w:val="clear" w:color="auto" w:fill="FFFFFF"/>
        </w:rPr>
        <w:t>—]</w:t>
      </w:r>
      <w:r w:rsidR="00245D68" w:rsidRPr="00245D68">
        <w:rPr>
          <w:shd w:val="clear" w:color="auto" w:fill="FFFFFF"/>
        </w:rPr>
        <w:t xml:space="preserve"> to mean that he had nothing to add to his claims of innocence, not that he was invoking his right to silence.</w:t>
      </w:r>
      <w:r w:rsidR="00733289">
        <w:rPr>
          <w:shd w:val="clear" w:color="auto" w:fill="FFFFFF"/>
        </w:rPr>
        <w:t>”</w:t>
      </w:r>
      <w:r w:rsidR="00B54195">
        <w:rPr>
          <w:shd w:val="clear" w:color="auto" w:fill="FFFFFF"/>
        </w:rPr>
        <w:t xml:space="preserve">]; </w:t>
      </w:r>
      <w:r w:rsidR="002E2B87">
        <w:rPr>
          <w:i/>
          <w:iCs/>
          <w:shd w:val="clear" w:color="auto" w:fill="FFFFFF"/>
        </w:rPr>
        <w:t>People v. Martinez</w:t>
      </w:r>
      <w:r w:rsidR="002E2B87">
        <w:rPr>
          <w:shd w:val="clear" w:color="auto" w:fill="FFFFFF"/>
        </w:rPr>
        <w:t xml:space="preserve"> (2010) 47 Cal.4th 911, 944 [</w:t>
      </w:r>
      <w:r w:rsidR="00641B5B">
        <w:rPr>
          <w:shd w:val="clear" w:color="auto" w:fill="FFFFFF"/>
        </w:rPr>
        <w:t>defendant</w:t>
      </w:r>
      <w:r w:rsidR="00A313D0">
        <w:rPr>
          <w:shd w:val="clear" w:color="auto" w:fill="FFFFFF"/>
        </w:rPr>
        <w:t xml:space="preserve"> was not invoking right to silence when he sai</w:t>
      </w:r>
      <w:r w:rsidR="00641B5B">
        <w:rPr>
          <w:shd w:val="clear" w:color="auto" w:fill="FFFFFF"/>
        </w:rPr>
        <w:t>d</w:t>
      </w:r>
      <w:r w:rsidR="00A313D0">
        <w:rPr>
          <w:shd w:val="clear" w:color="auto" w:fill="FFFFFF"/>
        </w:rPr>
        <w:t xml:space="preserve"> “ ‘[t]hat’s all I can tell you,’ ”</w:t>
      </w:r>
      <w:r w:rsidR="002E2B87">
        <w:rPr>
          <w:shd w:val="clear" w:color="auto" w:fill="FFFFFF"/>
        </w:rPr>
        <w:t xml:space="preserve"> </w:t>
      </w:r>
      <w:r w:rsidR="00A313D0">
        <w:rPr>
          <w:shd w:val="clear" w:color="auto" w:fill="FFFFFF"/>
        </w:rPr>
        <w:t>after being confronted with inconsistencies in his story and being asked why the victim would make a false accusation];</w:t>
      </w:r>
      <w:r w:rsidR="002E2B87">
        <w:rPr>
          <w:shd w:val="clear" w:color="auto" w:fill="FFFFFF"/>
        </w:rPr>
        <w:t xml:space="preserve"> </w:t>
      </w:r>
      <w:r w:rsidR="00B54195">
        <w:rPr>
          <w:i/>
          <w:iCs/>
          <w:shd w:val="clear" w:color="auto" w:fill="FFFFFF"/>
        </w:rPr>
        <w:t xml:space="preserve">In re Joe R. </w:t>
      </w:r>
      <w:r w:rsidR="00B54195">
        <w:rPr>
          <w:shd w:val="clear" w:color="auto" w:fill="FFFFFF"/>
        </w:rPr>
        <w:t xml:space="preserve">(1980) 27 Cal.3d 496, 515–516 [defendant’s statement “ ‘that’s all I have got to say’ ” was not invocation of right to silence where </w:t>
      </w:r>
      <w:r w:rsidR="00955780">
        <w:rPr>
          <w:shd w:val="clear" w:color="auto" w:fill="FFFFFF"/>
        </w:rPr>
        <w:t>the defendant</w:t>
      </w:r>
      <w:r w:rsidR="00B54195">
        <w:rPr>
          <w:shd w:val="clear" w:color="auto" w:fill="FFFFFF"/>
        </w:rPr>
        <w:t xml:space="preserve"> made the comment immediately after the officer confronted him with adverse evidence and challenged his veracity]</w:t>
      </w:r>
      <w:r w:rsidR="002E2B87">
        <w:rPr>
          <w:shd w:val="clear" w:color="auto" w:fill="FFFFFF"/>
        </w:rPr>
        <w:t>.)</w:t>
      </w:r>
      <w:r w:rsidR="00B54195">
        <w:rPr>
          <w:shd w:val="clear" w:color="auto" w:fill="FFFFFF"/>
        </w:rPr>
        <w:t xml:space="preserve"> </w:t>
      </w:r>
      <w:bookmarkStart w:id="7" w:name="_Hlk146004591"/>
    </w:p>
    <w:p w14:paraId="660F798E" w14:textId="18469C71" w:rsidR="00B54195" w:rsidRPr="00B3097B" w:rsidRDefault="00A313D0" w:rsidP="003C618B">
      <w:pPr>
        <w:pStyle w:val="Text"/>
        <w:ind w:firstLine="0"/>
        <w:rPr>
          <w:shd w:val="clear" w:color="auto" w:fill="FFFFFF"/>
        </w:rPr>
      </w:pPr>
      <w:r>
        <w:rPr>
          <w:shd w:val="clear" w:color="auto" w:fill="FFFFFF"/>
        </w:rPr>
        <w:tab/>
      </w:r>
      <w:r w:rsidR="00955780">
        <w:rPr>
          <w:shd w:val="clear" w:color="auto" w:fill="FFFFFF"/>
        </w:rPr>
        <w:t>In line with this precedent</w:t>
      </w:r>
      <w:r>
        <w:rPr>
          <w:shd w:val="clear" w:color="auto" w:fill="FFFFFF"/>
        </w:rPr>
        <w:t xml:space="preserve">, </w:t>
      </w:r>
      <w:r w:rsidR="000244F5">
        <w:rPr>
          <w:shd w:val="clear" w:color="auto" w:fill="FFFFFF"/>
        </w:rPr>
        <w:t xml:space="preserve">we conclude </w:t>
      </w:r>
      <w:r w:rsidR="00955780">
        <w:rPr>
          <w:shd w:val="clear" w:color="auto" w:fill="FFFFFF"/>
        </w:rPr>
        <w:t xml:space="preserve">here </w:t>
      </w:r>
      <w:r w:rsidR="000244F5">
        <w:rPr>
          <w:shd w:val="clear" w:color="auto" w:fill="FFFFFF"/>
        </w:rPr>
        <w:t>that Villegas’s statements</w:t>
      </w:r>
      <w:r w:rsidR="00955780">
        <w:rPr>
          <w:shd w:val="clear" w:color="auto" w:fill="FFFFFF"/>
        </w:rPr>
        <w:t xml:space="preserve"> during the second interrogation</w:t>
      </w:r>
      <w:proofErr w:type="gramStart"/>
      <w:r w:rsidR="000244F5">
        <w:rPr>
          <w:shd w:val="clear" w:color="auto" w:fill="FFFFFF"/>
        </w:rPr>
        <w:t>—</w:t>
      </w:r>
      <w:r w:rsidR="00955780">
        <w:rPr>
          <w:shd w:val="clear" w:color="auto" w:fill="FFFFFF"/>
        </w:rPr>
        <w:t>“</w:t>
      </w:r>
      <w:proofErr w:type="gramEnd"/>
      <w:r w:rsidR="00955780">
        <w:rPr>
          <w:shd w:val="clear" w:color="auto" w:fill="FFFFFF"/>
        </w:rPr>
        <w:t>I won’t say anything else,”</w:t>
      </w:r>
      <w:r w:rsidR="000244F5">
        <w:rPr>
          <w:shd w:val="clear" w:color="auto" w:fill="FFFFFF"/>
        </w:rPr>
        <w:t xml:space="preserve"> </w:t>
      </w:r>
      <w:r w:rsidR="00955780">
        <w:rPr>
          <w:shd w:val="clear" w:color="auto" w:fill="FFFFFF"/>
        </w:rPr>
        <w:t>“I won’t say more things anymore,” “I will tell you that it was a mistake and that’s it,</w:t>
      </w:r>
      <w:r w:rsidR="00733289">
        <w:rPr>
          <w:shd w:val="clear" w:color="auto" w:fill="FFFFFF"/>
        </w:rPr>
        <w:t>”</w:t>
      </w:r>
      <w:r w:rsidR="00955780">
        <w:rPr>
          <w:shd w:val="clear" w:color="auto" w:fill="FFFFFF"/>
        </w:rPr>
        <w:t xml:space="preserve"> and “that’s the only thing I’ll say”</w:t>
      </w:r>
      <w:r w:rsidR="00955780" w:rsidRPr="00955780">
        <w:t xml:space="preserve"> </w:t>
      </w:r>
      <w:r w:rsidR="000244F5">
        <w:rPr>
          <w:shd w:val="clear" w:color="auto" w:fill="FFFFFF"/>
        </w:rPr>
        <w:t>—</w:t>
      </w:r>
      <w:r w:rsidR="00955780">
        <w:rPr>
          <w:shd w:val="clear" w:color="auto" w:fill="FFFFFF"/>
        </w:rPr>
        <w:t>were n</w:t>
      </w:r>
      <w:r w:rsidR="00641B5B">
        <w:rPr>
          <w:shd w:val="clear" w:color="auto" w:fill="FFFFFF"/>
        </w:rPr>
        <w:t>either</w:t>
      </w:r>
      <w:r w:rsidR="00955780">
        <w:rPr>
          <w:shd w:val="clear" w:color="auto" w:fill="FFFFFF"/>
        </w:rPr>
        <w:t xml:space="preserve"> unambiguous </w:t>
      </w:r>
      <w:r w:rsidR="00641B5B">
        <w:rPr>
          <w:shd w:val="clear" w:color="auto" w:fill="FFFFFF"/>
        </w:rPr>
        <w:t xml:space="preserve">nor unequivocal </w:t>
      </w:r>
      <w:r w:rsidR="00955780">
        <w:rPr>
          <w:shd w:val="clear" w:color="auto" w:fill="FFFFFF"/>
        </w:rPr>
        <w:t>invocations of his right to remain silent.</w:t>
      </w:r>
      <w:r w:rsidR="00B3097B">
        <w:rPr>
          <w:shd w:val="clear" w:color="auto" w:fill="FFFFFF"/>
        </w:rPr>
        <w:t xml:space="preserve">  Rather, after </w:t>
      </w:r>
      <w:r w:rsidR="00955780">
        <w:rPr>
          <w:rFonts w:eastAsia="Times New Roman"/>
          <w:bdr w:val="none" w:sz="0" w:space="0" w:color="auto" w:frame="1"/>
        </w:rPr>
        <w:t>repeatedly asserting that he did not remember anything that had happened with Jane Doe Three in the bathroom when she was 14</w:t>
      </w:r>
      <w:r w:rsidR="00B3097B">
        <w:rPr>
          <w:rFonts w:eastAsia="Times New Roman"/>
          <w:bdr w:val="none" w:sz="0" w:space="0" w:color="auto" w:frame="1"/>
        </w:rPr>
        <w:t>, Villegas admitted he had made a single mistake.  He also admitted he did not know exactly what Jane Doe Three had told them, yet the detectives kept asking him for more specific information regarding what had happened.  A reasonable officer in this situation would conclude that Villegas’s comments reflected frustration with the continued questioning because he did not want to admit to things his daughter had disclosed</w:t>
      </w:r>
      <w:r w:rsidR="00811899">
        <w:rPr>
          <w:rFonts w:eastAsia="Times New Roman"/>
          <w:bdr w:val="none" w:sz="0" w:space="0" w:color="auto" w:frame="1"/>
        </w:rPr>
        <w:t xml:space="preserve"> and was simply sticking with his story that he made a “mistake</w:t>
      </w:r>
      <w:r w:rsidR="00B3097B">
        <w:rPr>
          <w:rFonts w:eastAsia="Times New Roman"/>
          <w:bdr w:val="none" w:sz="0" w:space="0" w:color="auto" w:frame="1"/>
        </w:rPr>
        <w:t>.</w:t>
      </w:r>
      <w:r w:rsidR="00733289">
        <w:rPr>
          <w:rFonts w:eastAsia="Times New Roman"/>
          <w:bdr w:val="none" w:sz="0" w:space="0" w:color="auto" w:frame="1"/>
        </w:rPr>
        <w:t>”</w:t>
      </w:r>
      <w:r w:rsidR="00B3097B">
        <w:rPr>
          <w:rFonts w:eastAsia="Times New Roman"/>
          <w:bdr w:val="none" w:sz="0" w:space="0" w:color="auto" w:frame="1"/>
        </w:rPr>
        <w:t xml:space="preserve">  As this did not amount to a clear invocation of his </w:t>
      </w:r>
      <w:r w:rsidR="00B3097B">
        <w:rPr>
          <w:rFonts w:eastAsia="Times New Roman"/>
          <w:i/>
          <w:iCs/>
          <w:bdr w:val="none" w:sz="0" w:space="0" w:color="auto" w:frame="1"/>
        </w:rPr>
        <w:t>Miranda</w:t>
      </w:r>
      <w:r w:rsidR="00B3097B">
        <w:rPr>
          <w:rFonts w:eastAsia="Times New Roman"/>
          <w:bdr w:val="none" w:sz="0" w:space="0" w:color="auto" w:frame="1"/>
        </w:rPr>
        <w:t xml:space="preserve"> rights, Villegas</w:t>
      </w:r>
      <w:r w:rsidR="00811899">
        <w:rPr>
          <w:rFonts w:eastAsia="Times New Roman"/>
          <w:bdr w:val="none" w:sz="0" w:space="0" w:color="auto" w:frame="1"/>
        </w:rPr>
        <w:t>’s</w:t>
      </w:r>
      <w:r w:rsidR="00B3097B">
        <w:rPr>
          <w:rFonts w:eastAsia="Times New Roman"/>
          <w:bdr w:val="none" w:sz="0" w:space="0" w:color="auto" w:frame="1"/>
        </w:rPr>
        <w:t xml:space="preserve"> </w:t>
      </w:r>
      <w:r w:rsidR="00811899">
        <w:rPr>
          <w:rFonts w:eastAsia="Times New Roman"/>
          <w:bdr w:val="none" w:sz="0" w:space="0" w:color="auto" w:frame="1"/>
        </w:rPr>
        <w:t>claim for ineffective assistance of counsel fails.</w:t>
      </w:r>
      <w:r>
        <w:rPr>
          <w:rStyle w:val="FootnoteReference"/>
          <w:shd w:val="clear" w:color="auto" w:fill="FFFFFF"/>
        </w:rPr>
        <w:footnoteReference w:id="2"/>
      </w:r>
    </w:p>
    <w:p w14:paraId="49527B44" w14:textId="0EF848DA" w:rsidR="008F3614" w:rsidRPr="008F3614" w:rsidRDefault="003C618B" w:rsidP="003C618B">
      <w:pPr>
        <w:pStyle w:val="Text"/>
        <w:ind w:firstLine="0"/>
        <w:rPr>
          <w:b/>
          <w:bCs/>
          <w:i/>
          <w:iCs/>
          <w:bdr w:val="none" w:sz="0" w:space="0" w:color="auto" w:frame="1"/>
          <w:shd w:val="clear" w:color="auto" w:fill="FFFFFF"/>
        </w:rPr>
      </w:pPr>
      <w:r>
        <w:rPr>
          <w:b/>
          <w:bCs/>
          <w:i/>
          <w:iCs/>
          <w:bdr w:val="none" w:sz="0" w:space="0" w:color="auto" w:frame="1"/>
          <w:shd w:val="clear" w:color="auto" w:fill="FFFFFF"/>
        </w:rPr>
        <w:t>B</w:t>
      </w:r>
      <w:r w:rsidR="00A11908">
        <w:rPr>
          <w:b/>
          <w:bCs/>
          <w:i/>
          <w:iCs/>
          <w:bdr w:val="none" w:sz="0" w:space="0" w:color="auto" w:frame="1"/>
          <w:shd w:val="clear" w:color="auto" w:fill="FFFFFF"/>
        </w:rPr>
        <w:t>.</w:t>
      </w:r>
      <w:r w:rsidR="00A11908">
        <w:rPr>
          <w:b/>
          <w:bCs/>
          <w:i/>
          <w:iCs/>
          <w:bdr w:val="none" w:sz="0" w:space="0" w:color="auto" w:frame="1"/>
          <w:shd w:val="clear" w:color="auto" w:fill="FFFFFF"/>
        </w:rPr>
        <w:tab/>
      </w:r>
      <w:r w:rsidR="004862FE">
        <w:rPr>
          <w:b/>
          <w:bCs/>
          <w:i/>
          <w:iCs/>
          <w:bdr w:val="none" w:sz="0" w:space="0" w:color="auto" w:frame="1"/>
          <w:shd w:val="clear" w:color="auto" w:fill="FFFFFF"/>
        </w:rPr>
        <w:t>Sufficiency of</w:t>
      </w:r>
      <w:r w:rsidR="008F3614" w:rsidRPr="008F3614">
        <w:rPr>
          <w:b/>
          <w:bCs/>
          <w:i/>
          <w:iCs/>
          <w:bdr w:val="none" w:sz="0" w:space="0" w:color="auto" w:frame="1"/>
          <w:shd w:val="clear" w:color="auto" w:fill="FFFFFF"/>
        </w:rPr>
        <w:t xml:space="preserve"> Pleading</w:t>
      </w:r>
      <w:r w:rsidR="004862FE">
        <w:rPr>
          <w:b/>
          <w:bCs/>
          <w:i/>
          <w:iCs/>
          <w:bdr w:val="none" w:sz="0" w:space="0" w:color="auto" w:frame="1"/>
          <w:shd w:val="clear" w:color="auto" w:fill="FFFFFF"/>
        </w:rPr>
        <w:t xml:space="preserve">s </w:t>
      </w:r>
      <w:r w:rsidR="00B610DB">
        <w:rPr>
          <w:b/>
          <w:bCs/>
          <w:i/>
          <w:iCs/>
          <w:bdr w:val="none" w:sz="0" w:space="0" w:color="auto" w:frame="1"/>
          <w:shd w:val="clear" w:color="auto" w:fill="FFFFFF"/>
        </w:rPr>
        <w:t>Involving</w:t>
      </w:r>
      <w:r w:rsidR="008F3614" w:rsidRPr="008F3614">
        <w:rPr>
          <w:b/>
          <w:bCs/>
          <w:i/>
          <w:iCs/>
          <w:bdr w:val="none" w:sz="0" w:space="0" w:color="auto" w:frame="1"/>
          <w:shd w:val="clear" w:color="auto" w:fill="FFFFFF"/>
        </w:rPr>
        <w:t xml:space="preserve"> One Strike </w:t>
      </w:r>
      <w:r w:rsidR="00B610DB">
        <w:rPr>
          <w:b/>
          <w:bCs/>
          <w:i/>
          <w:iCs/>
          <w:bdr w:val="none" w:sz="0" w:space="0" w:color="auto" w:frame="1"/>
          <w:shd w:val="clear" w:color="auto" w:fill="FFFFFF"/>
        </w:rPr>
        <w:t>Allegations</w:t>
      </w:r>
    </w:p>
    <w:p w14:paraId="046D95C2" w14:textId="3708AEEA" w:rsidR="00A132BA" w:rsidRPr="005D3CBF" w:rsidRDefault="00A132BA" w:rsidP="008F3614">
      <w:pPr>
        <w:pStyle w:val="Text"/>
        <w:ind w:firstLine="0"/>
      </w:pPr>
      <w:r>
        <w:rPr>
          <w:b/>
          <w:bCs/>
          <w:i/>
          <w:iCs/>
          <w:bdr w:val="none" w:sz="0" w:space="0" w:color="auto" w:frame="1"/>
          <w:shd w:val="clear" w:color="auto" w:fill="FFFFFF"/>
        </w:rPr>
        <w:tab/>
      </w:r>
      <w:r>
        <w:rPr>
          <w:bdr w:val="none" w:sz="0" w:space="0" w:color="auto" w:frame="1"/>
          <w:shd w:val="clear" w:color="auto" w:fill="FFFFFF"/>
        </w:rPr>
        <w:t>Villegas next claims that his sentence of 25 year</w:t>
      </w:r>
      <w:r w:rsidR="00641B5B">
        <w:rPr>
          <w:bdr w:val="none" w:sz="0" w:space="0" w:color="auto" w:frame="1"/>
          <w:shd w:val="clear" w:color="auto" w:fill="FFFFFF"/>
        </w:rPr>
        <w:t>s</w:t>
      </w:r>
      <w:r>
        <w:rPr>
          <w:bdr w:val="none" w:sz="0" w:space="0" w:color="auto" w:frame="1"/>
          <w:shd w:val="clear" w:color="auto" w:fill="FFFFFF"/>
        </w:rPr>
        <w:t xml:space="preserve"> to life with respect to </w:t>
      </w:r>
      <w:r w:rsidR="00B610DB">
        <w:rPr>
          <w:bdr w:val="none" w:sz="0" w:space="0" w:color="auto" w:frame="1"/>
          <w:shd w:val="clear" w:color="auto" w:fill="FFFFFF"/>
        </w:rPr>
        <w:t xml:space="preserve">each of </w:t>
      </w:r>
      <w:r>
        <w:rPr>
          <w:bdr w:val="none" w:sz="0" w:space="0" w:color="auto" w:frame="1"/>
          <w:shd w:val="clear" w:color="auto" w:fill="FFFFFF"/>
        </w:rPr>
        <w:t xml:space="preserve">counts eight through ten </w:t>
      </w:r>
      <w:r w:rsidR="00B610DB">
        <w:rPr>
          <w:bdr w:val="none" w:sz="0" w:space="0" w:color="auto" w:frame="1"/>
          <w:shd w:val="clear" w:color="auto" w:fill="FFFFFF"/>
        </w:rPr>
        <w:t xml:space="preserve">in this case </w:t>
      </w:r>
      <w:r w:rsidR="00D47568">
        <w:rPr>
          <w:bdr w:val="none" w:sz="0" w:space="0" w:color="auto" w:frame="1"/>
          <w:shd w:val="clear" w:color="auto" w:fill="FFFFFF"/>
        </w:rPr>
        <w:t xml:space="preserve">violate due process </w:t>
      </w:r>
      <w:r w:rsidR="0012730C">
        <w:rPr>
          <w:bdr w:val="none" w:sz="0" w:space="0" w:color="auto" w:frame="1"/>
          <w:shd w:val="clear" w:color="auto" w:fill="FFFFFF"/>
        </w:rPr>
        <w:t xml:space="preserve">as articulated in </w:t>
      </w:r>
      <w:r w:rsidR="0012730C">
        <w:rPr>
          <w:i/>
          <w:iCs/>
          <w:bdr w:val="none" w:sz="0" w:space="0" w:color="auto" w:frame="1"/>
          <w:shd w:val="clear" w:color="auto" w:fill="FFFFFF"/>
        </w:rPr>
        <w:t xml:space="preserve">People v. Mancebo </w:t>
      </w:r>
      <w:r w:rsidR="0012730C">
        <w:rPr>
          <w:bdr w:val="none" w:sz="0" w:space="0" w:color="auto" w:frame="1"/>
          <w:shd w:val="clear" w:color="auto" w:fill="FFFFFF"/>
        </w:rPr>
        <w:t>(2002) 27 Cal.4th</w:t>
      </w:r>
      <w:r w:rsidR="0012730C">
        <w:rPr>
          <w:i/>
          <w:iCs/>
          <w:bdr w:val="none" w:sz="0" w:space="0" w:color="auto" w:frame="1"/>
          <w:shd w:val="clear" w:color="auto" w:fill="FFFFFF"/>
        </w:rPr>
        <w:t xml:space="preserve"> </w:t>
      </w:r>
      <w:r w:rsidR="00733289">
        <w:rPr>
          <w:bdr w:val="none" w:sz="0" w:space="0" w:color="auto" w:frame="1"/>
          <w:shd w:val="clear" w:color="auto" w:fill="FFFFFF"/>
        </w:rPr>
        <w:t>7</w:t>
      </w:r>
      <w:r w:rsidR="0012730C">
        <w:rPr>
          <w:bdr w:val="none" w:sz="0" w:space="0" w:color="auto" w:frame="1"/>
          <w:shd w:val="clear" w:color="auto" w:fill="FFFFFF"/>
        </w:rPr>
        <w:t>35 (</w:t>
      </w:r>
      <w:r w:rsidR="0012730C">
        <w:rPr>
          <w:i/>
          <w:iCs/>
          <w:bdr w:val="none" w:sz="0" w:space="0" w:color="auto" w:frame="1"/>
          <w:shd w:val="clear" w:color="auto" w:fill="FFFFFF"/>
        </w:rPr>
        <w:t>Mancebo</w:t>
      </w:r>
      <w:r w:rsidR="0012730C">
        <w:rPr>
          <w:bdr w:val="none" w:sz="0" w:space="0" w:color="auto" w:frame="1"/>
          <w:shd w:val="clear" w:color="auto" w:fill="FFFFFF"/>
        </w:rPr>
        <w:t>)</w:t>
      </w:r>
      <w:r w:rsidR="0012730C">
        <w:rPr>
          <w:i/>
          <w:iCs/>
          <w:bdr w:val="none" w:sz="0" w:space="0" w:color="auto" w:frame="1"/>
          <w:shd w:val="clear" w:color="auto" w:fill="FFFFFF"/>
        </w:rPr>
        <w:t xml:space="preserve"> </w:t>
      </w:r>
      <w:r w:rsidR="00B610DB">
        <w:rPr>
          <w:bdr w:val="none" w:sz="0" w:space="0" w:color="auto" w:frame="1"/>
          <w:shd w:val="clear" w:color="auto" w:fill="FFFFFF"/>
        </w:rPr>
        <w:t xml:space="preserve">because they were pleaded as subject to One Strike allegations based on multiple victims and terms of 15 years to life pursuant to section 667.61, subdivision (e)(4). </w:t>
      </w:r>
      <w:r w:rsidR="00B610DB" w:rsidRPr="00D74DBA">
        <w:rPr>
          <w:bdr w:val="none" w:sz="0" w:space="0" w:color="auto" w:frame="1"/>
          <w:shd w:val="clear" w:color="auto" w:fill="FFFFFF"/>
        </w:rPr>
        <w:t xml:space="preserve"> </w:t>
      </w:r>
      <w:r w:rsidR="00B610DB">
        <w:rPr>
          <w:bdr w:val="none" w:sz="0" w:space="0" w:color="auto" w:frame="1"/>
          <w:shd w:val="clear" w:color="auto" w:fill="FFFFFF"/>
        </w:rPr>
        <w:t xml:space="preserve">Instead, he was sentenced to 25 </w:t>
      </w:r>
      <w:r w:rsidR="00CF095E">
        <w:rPr>
          <w:bdr w:val="none" w:sz="0" w:space="0" w:color="auto" w:frame="1"/>
          <w:shd w:val="clear" w:color="auto" w:fill="FFFFFF"/>
        </w:rPr>
        <w:t>y</w:t>
      </w:r>
      <w:r w:rsidR="00B610DB">
        <w:rPr>
          <w:bdr w:val="none" w:sz="0" w:space="0" w:color="auto" w:frame="1"/>
          <w:shd w:val="clear" w:color="auto" w:fill="FFFFFF"/>
        </w:rPr>
        <w:t xml:space="preserve">ears to life on each count pursuant to subdivision (m) of section 667.61, which permits the greater sentence when a defendant is convicted </w:t>
      </w:r>
      <w:r w:rsidR="00162739">
        <w:rPr>
          <w:bdr w:val="none" w:sz="0" w:space="0" w:color="auto" w:frame="1"/>
          <w:shd w:val="clear" w:color="auto" w:fill="FFFFFF"/>
        </w:rPr>
        <w:t>of a qualifying offense set forth in subdivision (n) under circumstances specified in subdivision (e) against a minor 14 years of age or older.</w:t>
      </w:r>
      <w:r w:rsidR="00162739" w:rsidRPr="00162739">
        <w:rPr>
          <w:bdr w:val="none" w:sz="0" w:space="0" w:color="auto" w:frame="1"/>
          <w:shd w:val="clear" w:color="auto" w:fill="FFFFFF"/>
        </w:rPr>
        <w:t xml:space="preserve"> </w:t>
      </w:r>
      <w:r w:rsidR="005D3CBF">
        <w:t xml:space="preserve"> The Attorney General disagrees, claiming that</w:t>
      </w:r>
      <w:r w:rsidR="00ED38F0">
        <w:t xml:space="preserve"> references in the pleadings to </w:t>
      </w:r>
      <w:r w:rsidR="003734D0">
        <w:t>section 667.61, subdivisions (b) a</w:t>
      </w:r>
      <w:r w:rsidR="005D67A0">
        <w:t>n</w:t>
      </w:r>
      <w:r w:rsidR="003734D0">
        <w:t xml:space="preserve">d (e) </w:t>
      </w:r>
      <w:r w:rsidR="00811899">
        <w:t xml:space="preserve">and the multi-victim allegations </w:t>
      </w:r>
      <w:r w:rsidR="003734D0">
        <w:t>were sufficient to put Villegas on notice of the possibility of the greater sentence</w:t>
      </w:r>
      <w:r w:rsidR="005D67A0">
        <w:t>s</w:t>
      </w:r>
      <w:r w:rsidR="005D3CBF">
        <w:t xml:space="preserve">. </w:t>
      </w:r>
      <w:r w:rsidR="003734D0">
        <w:t xml:space="preserve"> </w:t>
      </w:r>
      <w:r w:rsidR="005D3CBF">
        <w:t>We conclude Villegas has the better argument</w:t>
      </w:r>
      <w:r w:rsidR="003734D0">
        <w:t xml:space="preserve"> on these facts</w:t>
      </w:r>
      <w:r w:rsidR="005D3CBF">
        <w:t>.</w:t>
      </w:r>
      <w:r w:rsidR="00162739" w:rsidRPr="00D74DBA">
        <w:rPr>
          <w:bdr w:val="none" w:sz="0" w:space="0" w:color="auto" w:frame="1"/>
          <w:shd w:val="clear" w:color="auto" w:fill="FFFFFF"/>
        </w:rPr>
        <w:t xml:space="preserve"> </w:t>
      </w:r>
      <w:r w:rsidR="00162739">
        <w:t xml:space="preserve"> </w:t>
      </w:r>
    </w:p>
    <w:p w14:paraId="4BE8062A" w14:textId="057213C8" w:rsidR="008F3614" w:rsidRPr="00D13B2C"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ab/>
      </w:r>
      <w:r w:rsidRPr="00D13B2C">
        <w:rPr>
          <w:b/>
          <w:bCs/>
          <w:i/>
          <w:iCs/>
          <w:bdr w:val="none" w:sz="0" w:space="0" w:color="auto" w:frame="1"/>
          <w:shd w:val="clear" w:color="auto" w:fill="FFFFFF"/>
        </w:rPr>
        <w:t>1.</w:t>
      </w:r>
      <w:r w:rsidRPr="00D13B2C">
        <w:rPr>
          <w:b/>
          <w:bCs/>
          <w:i/>
          <w:iCs/>
          <w:bdr w:val="none" w:sz="0" w:space="0" w:color="auto" w:frame="1"/>
          <w:shd w:val="clear" w:color="auto" w:fill="FFFFFF"/>
        </w:rPr>
        <w:tab/>
        <w:t xml:space="preserve">Additional Background  </w:t>
      </w:r>
    </w:p>
    <w:p w14:paraId="1F415E43" w14:textId="48D88C41" w:rsidR="008F3614" w:rsidRDefault="008F3614" w:rsidP="008F3614">
      <w:pPr>
        <w:pStyle w:val="Text"/>
        <w:ind w:firstLine="0"/>
      </w:pPr>
      <w:r>
        <w:rPr>
          <w:b/>
          <w:bCs/>
          <w:i/>
          <w:iCs/>
          <w:bdr w:val="none" w:sz="0" w:space="0" w:color="auto" w:frame="1"/>
          <w:shd w:val="clear" w:color="auto" w:fill="FFFFFF"/>
        </w:rPr>
        <w:tab/>
      </w:r>
      <w:r w:rsidR="004862FE">
        <w:rPr>
          <w:bdr w:val="none" w:sz="0" w:space="0" w:color="auto" w:frame="1"/>
          <w:shd w:val="clear" w:color="auto" w:fill="FFFFFF"/>
        </w:rPr>
        <w:t>As to each of counts eight through ten in this case, both the original information and the first amended information alleged a special allegation pursuant to “PC 667.61(b)/(e)</w:t>
      </w:r>
      <w:r w:rsidR="004862FE" w:rsidRPr="00D74DBA">
        <w:t>.</w:t>
      </w:r>
      <w:r w:rsidR="004862FE">
        <w:t xml:space="preserve">” </w:t>
      </w:r>
      <w:r w:rsidR="004862FE" w:rsidRPr="00D74DBA">
        <w:rPr>
          <w:bdr w:val="none" w:sz="0" w:space="0" w:color="auto" w:frame="1"/>
          <w:shd w:val="clear" w:color="auto" w:fill="FFFFFF"/>
        </w:rPr>
        <w:t xml:space="preserve"> </w:t>
      </w:r>
      <w:r w:rsidR="004862FE">
        <w:rPr>
          <w:bdr w:val="none" w:sz="0" w:space="0" w:color="auto" w:frame="1"/>
          <w:shd w:val="clear" w:color="auto" w:fill="FFFFFF"/>
        </w:rPr>
        <w:t xml:space="preserve">Specifically, each special allegation </w:t>
      </w:r>
      <w:r w:rsidR="00A132BA">
        <w:rPr>
          <w:bdr w:val="none" w:sz="0" w:space="0" w:color="auto" w:frame="1"/>
          <w:shd w:val="clear" w:color="auto" w:fill="FFFFFF"/>
        </w:rPr>
        <w:t>stated that,</w:t>
      </w:r>
      <w:r w:rsidR="004862FE">
        <w:rPr>
          <w:bdr w:val="none" w:sz="0" w:space="0" w:color="auto" w:frame="1"/>
          <w:shd w:val="clear" w:color="auto" w:fill="FFFFFF"/>
        </w:rPr>
        <w:t xml:space="preserve"> </w:t>
      </w:r>
      <w:r w:rsidR="00A132BA">
        <w:rPr>
          <w:bdr w:val="none" w:sz="0" w:space="0" w:color="auto" w:frame="1"/>
          <w:shd w:val="clear" w:color="auto" w:fill="FFFFFF"/>
        </w:rPr>
        <w:t>as to Villegas, “the following special circumstances apply: (e)(4) The defendant has been convicted in the present case or cases of committing an offense specified in subdivision (c)</w:t>
      </w:r>
      <w:r w:rsidR="00020A8D">
        <w:rPr>
          <w:bdr w:val="none" w:sz="0" w:space="0" w:color="auto" w:frame="1"/>
          <w:shd w:val="clear" w:color="auto" w:fill="FFFFFF"/>
        </w:rPr>
        <w:t xml:space="preserve"> against more than one victim</w:t>
      </w:r>
      <w:r w:rsidR="001D29CD">
        <w:rPr>
          <w:bdr w:val="none" w:sz="0" w:space="0" w:color="auto" w:frame="1"/>
          <w:shd w:val="clear" w:color="auto" w:fill="FFFFFF"/>
        </w:rPr>
        <w:t>.”</w:t>
      </w:r>
      <w:r w:rsidR="00A132BA">
        <w:rPr>
          <w:bdr w:val="none" w:sz="0" w:space="0" w:color="auto" w:frame="1"/>
          <w:shd w:val="clear" w:color="auto" w:fill="FFFFFF"/>
        </w:rPr>
        <w:t xml:space="preserve"> </w:t>
      </w:r>
      <w:r w:rsidRPr="00D74DBA">
        <w:rPr>
          <w:bdr w:val="none" w:sz="0" w:space="0" w:color="auto" w:frame="1"/>
          <w:shd w:val="clear" w:color="auto" w:fill="FFFFFF"/>
        </w:rPr>
        <w:t xml:space="preserve"> </w:t>
      </w:r>
      <w:r w:rsidR="001D29CD">
        <w:rPr>
          <w:bdr w:val="none" w:sz="0" w:space="0" w:color="auto" w:frame="1"/>
          <w:shd w:val="clear" w:color="auto" w:fill="FFFFFF"/>
        </w:rPr>
        <w:t xml:space="preserve">Both pleadings also included a summary chart of charges and </w:t>
      </w:r>
      <w:r w:rsidR="00D47568">
        <w:rPr>
          <w:bdr w:val="none" w:sz="0" w:space="0" w:color="auto" w:frame="1"/>
          <w:shd w:val="clear" w:color="auto" w:fill="FFFFFF"/>
        </w:rPr>
        <w:t>punishments</w:t>
      </w:r>
      <w:r w:rsidR="001D29CD">
        <w:rPr>
          <w:bdr w:val="none" w:sz="0" w:space="0" w:color="auto" w:frame="1"/>
          <w:shd w:val="clear" w:color="auto" w:fill="FFFFFF"/>
        </w:rPr>
        <w:t xml:space="preserve">, indicating that </w:t>
      </w:r>
      <w:r w:rsidR="00D47568">
        <w:rPr>
          <w:bdr w:val="none" w:sz="0" w:space="0" w:color="auto" w:frame="1"/>
          <w:shd w:val="clear" w:color="auto" w:fill="FFFFFF"/>
        </w:rPr>
        <w:t xml:space="preserve">for </w:t>
      </w:r>
      <w:r w:rsidR="001D29CD">
        <w:rPr>
          <w:bdr w:val="none" w:sz="0" w:space="0" w:color="auto" w:frame="1"/>
          <w:shd w:val="clear" w:color="auto" w:fill="FFFFFF"/>
        </w:rPr>
        <w:t>the special allegations as to counts one through six (under section 667</w:t>
      </w:r>
      <w:r w:rsidR="00D47568">
        <w:rPr>
          <w:bdr w:val="none" w:sz="0" w:space="0" w:color="auto" w:frame="1"/>
          <w:shd w:val="clear" w:color="auto" w:fill="FFFFFF"/>
        </w:rPr>
        <w:t>.</w:t>
      </w:r>
      <w:r w:rsidR="001D29CD">
        <w:rPr>
          <w:bdr w:val="none" w:sz="0" w:space="0" w:color="auto" w:frame="1"/>
          <w:shd w:val="clear" w:color="auto" w:fill="FFFFFF"/>
        </w:rPr>
        <w:t>61, subdivision (j)(2))</w:t>
      </w:r>
      <w:r w:rsidR="00D47568">
        <w:rPr>
          <w:bdr w:val="none" w:sz="0" w:space="0" w:color="auto" w:frame="1"/>
          <w:shd w:val="clear" w:color="auto" w:fill="FFFFFF"/>
        </w:rPr>
        <w:t xml:space="preserve"> the punishment</w:t>
      </w:r>
      <w:r w:rsidR="009543E2">
        <w:rPr>
          <w:bdr w:val="none" w:sz="0" w:space="0" w:color="auto" w:frame="1"/>
          <w:shd w:val="clear" w:color="auto" w:fill="FFFFFF"/>
        </w:rPr>
        <w:t>s</w:t>
      </w:r>
      <w:r w:rsidR="00D47568">
        <w:rPr>
          <w:bdr w:val="none" w:sz="0" w:space="0" w:color="auto" w:frame="1"/>
          <w:shd w:val="clear" w:color="auto" w:fill="FFFFFF"/>
        </w:rPr>
        <w:t xml:space="preserve"> would be 25 years to life and for the special allegations as to counts eight through ten (under section 667.61, subdivisions (b) and (e)) the punishment</w:t>
      </w:r>
      <w:r w:rsidR="009543E2">
        <w:rPr>
          <w:bdr w:val="none" w:sz="0" w:space="0" w:color="auto" w:frame="1"/>
          <w:shd w:val="clear" w:color="auto" w:fill="FFFFFF"/>
        </w:rPr>
        <w:t>s</w:t>
      </w:r>
      <w:r w:rsidR="00D47568">
        <w:rPr>
          <w:bdr w:val="none" w:sz="0" w:space="0" w:color="auto" w:frame="1"/>
          <w:shd w:val="clear" w:color="auto" w:fill="FFFFFF"/>
        </w:rPr>
        <w:t xml:space="preserve"> would be 15 years to life</w:t>
      </w:r>
      <w:r w:rsidR="00D47568" w:rsidRPr="00D74DBA">
        <w:t>.</w:t>
      </w:r>
      <w:r w:rsidR="00D47568">
        <w:t xml:space="preserve"> </w:t>
      </w:r>
    </w:p>
    <w:p w14:paraId="6187C9CB" w14:textId="2D2A4F21" w:rsidR="004B090A" w:rsidRDefault="004B090A" w:rsidP="004B090A">
      <w:pPr>
        <w:pStyle w:val="Text"/>
        <w:ind w:firstLine="0"/>
      </w:pPr>
      <w:r>
        <w:tab/>
        <w:t>The jury subsequently found Villegas guilty on all counts.</w:t>
      </w:r>
      <w:r w:rsidRPr="004B090A">
        <w:t xml:space="preserve"> </w:t>
      </w:r>
      <w:r w:rsidRPr="00D74DBA">
        <w:rPr>
          <w:bdr w:val="none" w:sz="0" w:space="0" w:color="auto" w:frame="1"/>
          <w:shd w:val="clear" w:color="auto" w:fill="FFFFFF"/>
        </w:rPr>
        <w:t xml:space="preserve"> </w:t>
      </w:r>
      <w:r>
        <w:rPr>
          <w:bdr w:val="none" w:sz="0" w:space="0" w:color="auto" w:frame="1"/>
          <w:shd w:val="clear" w:color="auto" w:fill="FFFFFF"/>
        </w:rPr>
        <w:t xml:space="preserve">As to each of counts eight through ten, the jury additionally found true that Jane Doe </w:t>
      </w:r>
      <w:r w:rsidR="005B24A0">
        <w:rPr>
          <w:bdr w:val="none" w:sz="0" w:space="0" w:color="auto" w:frame="1"/>
          <w:shd w:val="clear" w:color="auto" w:fill="FFFFFF"/>
        </w:rPr>
        <w:t>Three</w:t>
      </w:r>
      <w:r>
        <w:rPr>
          <w:bdr w:val="none" w:sz="0" w:space="0" w:color="auto" w:frame="1"/>
          <w:shd w:val="clear" w:color="auto" w:fill="FFFFFF"/>
        </w:rPr>
        <w:t xml:space="preserve"> was a minor 14 years of age or older and that Villegas was convicted of a qualifying offense against more than one victim within the meaning of section 667.61, subdivision (e)(4). </w:t>
      </w:r>
      <w:r w:rsidRPr="00D74DBA">
        <w:rPr>
          <w:bdr w:val="none" w:sz="0" w:space="0" w:color="auto" w:frame="1"/>
          <w:shd w:val="clear" w:color="auto" w:fill="FFFFFF"/>
        </w:rPr>
        <w:t xml:space="preserve"> </w:t>
      </w:r>
      <w:r>
        <w:rPr>
          <w:bdr w:val="none" w:sz="0" w:space="0" w:color="auto" w:frame="1"/>
          <w:shd w:val="clear" w:color="auto" w:fill="FFFFFF"/>
        </w:rPr>
        <w:t xml:space="preserve">As to each of counts one through six, the jury additionally found true that Jane Does </w:t>
      </w:r>
      <w:r w:rsidR="005B24A0">
        <w:rPr>
          <w:bdr w:val="none" w:sz="0" w:space="0" w:color="auto" w:frame="1"/>
          <w:shd w:val="clear" w:color="auto" w:fill="FFFFFF"/>
        </w:rPr>
        <w:t>One</w:t>
      </w:r>
      <w:r>
        <w:rPr>
          <w:bdr w:val="none" w:sz="0" w:space="0" w:color="auto" w:frame="1"/>
          <w:shd w:val="clear" w:color="auto" w:fill="FFFFFF"/>
        </w:rPr>
        <w:t xml:space="preserve"> and </w:t>
      </w:r>
      <w:r w:rsidR="005B24A0">
        <w:rPr>
          <w:bdr w:val="none" w:sz="0" w:space="0" w:color="auto" w:frame="1"/>
          <w:shd w:val="clear" w:color="auto" w:fill="FFFFFF"/>
        </w:rPr>
        <w:t>Two</w:t>
      </w:r>
      <w:r>
        <w:rPr>
          <w:bdr w:val="none" w:sz="0" w:space="0" w:color="auto" w:frame="1"/>
          <w:shd w:val="clear" w:color="auto" w:fill="FFFFFF"/>
        </w:rPr>
        <w:t xml:space="preserve"> were under the age of 14 and that Villegas was convicted of a qualifying offense against more than one victim within the meaning of section 667.61, subdivision (e)(4). </w:t>
      </w:r>
      <w:r w:rsidRPr="00D74DBA">
        <w:rPr>
          <w:bdr w:val="none" w:sz="0" w:space="0" w:color="auto" w:frame="1"/>
          <w:shd w:val="clear" w:color="auto" w:fill="FFFFFF"/>
        </w:rPr>
        <w:t xml:space="preserve"> </w:t>
      </w:r>
      <w:r>
        <w:t xml:space="preserve"> </w:t>
      </w:r>
    </w:p>
    <w:p w14:paraId="1FB6E1B1" w14:textId="7BAAD5B4" w:rsidR="00D47568" w:rsidRPr="00522B78" w:rsidRDefault="0022014C" w:rsidP="00522B78">
      <w:pPr>
        <w:pStyle w:val="Text"/>
        <w:ind w:firstLine="0"/>
      </w:pPr>
      <w:r>
        <w:tab/>
        <w:t xml:space="preserve">In its sentencing brief, the People suggested for the first time that the trial court impose consecutive sentences of 25 years to life for </w:t>
      </w:r>
      <w:r w:rsidR="00F27DBB">
        <w:t xml:space="preserve">each of </w:t>
      </w:r>
      <w:r>
        <w:t xml:space="preserve">counts eight through ten, arguing that the three </w:t>
      </w:r>
      <w:r w:rsidR="00F27DBB">
        <w:t xml:space="preserve">forceable </w:t>
      </w:r>
      <w:r>
        <w:t xml:space="preserve">sex crimes committed against Jane Doe 3 were separate and distinct acts and that </w:t>
      </w:r>
      <w:r w:rsidR="00F27DBB">
        <w:t>full-term consecutive sentences must be imposed for each pursuant to sections 667.6, subdivision (</w:t>
      </w:r>
      <w:r w:rsidR="005B24A0">
        <w:t>m</w:t>
      </w:r>
      <w:r w:rsidR="00F27DBB">
        <w:t xml:space="preserve">). </w:t>
      </w:r>
      <w:r w:rsidR="0056321E">
        <w:t xml:space="preserve"> As detailed above, the trial court </w:t>
      </w:r>
      <w:r w:rsidR="007952EB">
        <w:t xml:space="preserve">accepted this argument, sentencing Villegas to consecutive terms of 25 years to life for counts </w:t>
      </w:r>
      <w:r w:rsidR="00A30D9F">
        <w:t>eight</w:t>
      </w:r>
      <w:r w:rsidR="007952EB">
        <w:t xml:space="preserve"> through </w:t>
      </w:r>
      <w:r w:rsidR="00A30D9F">
        <w:t>ten</w:t>
      </w:r>
      <w:r w:rsidR="007952EB">
        <w:t>.</w:t>
      </w:r>
      <w:r w:rsidR="008D2F88">
        <w:rPr>
          <w:rStyle w:val="FootnoteReference"/>
        </w:rPr>
        <w:footnoteReference w:id="3"/>
      </w:r>
      <w:r w:rsidR="007952EB" w:rsidRPr="007952EB">
        <w:t xml:space="preserve"> </w:t>
      </w:r>
      <w:r w:rsidR="007952EB">
        <w:t xml:space="preserve"> </w:t>
      </w:r>
      <w:r w:rsidR="00F27DBB" w:rsidRPr="00D74DBA">
        <w:rPr>
          <w:bdr w:val="none" w:sz="0" w:space="0" w:color="auto" w:frame="1"/>
          <w:shd w:val="clear" w:color="auto" w:fill="FFFFFF"/>
        </w:rPr>
        <w:t xml:space="preserve"> </w:t>
      </w:r>
      <w:r w:rsidR="00F27DBB">
        <w:t xml:space="preserve">      </w:t>
      </w:r>
      <w:r>
        <w:t xml:space="preserve">   </w:t>
      </w:r>
      <w:r w:rsidR="004B090A">
        <w:t xml:space="preserve"> </w:t>
      </w:r>
      <w:r w:rsidR="004B090A">
        <w:tab/>
      </w:r>
    </w:p>
    <w:p w14:paraId="29CA047C" w14:textId="52501AD2" w:rsidR="008F3614" w:rsidRPr="00D13B2C"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ab/>
      </w:r>
      <w:r w:rsidRPr="00D13B2C">
        <w:rPr>
          <w:b/>
          <w:bCs/>
          <w:i/>
          <w:iCs/>
          <w:bdr w:val="none" w:sz="0" w:space="0" w:color="auto" w:frame="1"/>
          <w:shd w:val="clear" w:color="auto" w:fill="FFFFFF"/>
        </w:rPr>
        <w:t>2.</w:t>
      </w:r>
      <w:r w:rsidRPr="00D13B2C">
        <w:rPr>
          <w:b/>
          <w:bCs/>
          <w:i/>
          <w:iCs/>
          <w:bdr w:val="none" w:sz="0" w:space="0" w:color="auto" w:frame="1"/>
          <w:shd w:val="clear" w:color="auto" w:fill="FFFFFF"/>
        </w:rPr>
        <w:tab/>
        <w:t xml:space="preserve">Legal Framework  </w:t>
      </w:r>
    </w:p>
    <w:p w14:paraId="1946B40C" w14:textId="4A542858" w:rsidR="001A2AEA" w:rsidRDefault="001A2AEA" w:rsidP="001A2AEA">
      <w:pPr>
        <w:pStyle w:val="Text"/>
        <w:ind w:firstLine="0"/>
      </w:pPr>
      <w:r>
        <w:rPr>
          <w:i/>
          <w:iCs/>
          <w:bdr w:val="none" w:sz="0" w:space="0" w:color="auto" w:frame="1"/>
          <w:shd w:val="clear" w:color="auto" w:fill="FFFFFF"/>
        </w:rPr>
        <w:tab/>
      </w:r>
      <w:r>
        <w:rPr>
          <w:i/>
          <w:iCs/>
          <w:bdr w:val="none" w:sz="0" w:space="0" w:color="auto" w:frame="1"/>
          <w:shd w:val="clear" w:color="auto" w:fill="FFFFFF"/>
        </w:rPr>
        <w:tab/>
        <w:t>i.</w:t>
      </w:r>
      <w:r w:rsidR="005A696D">
        <w:rPr>
          <w:i/>
          <w:iCs/>
          <w:bdr w:val="none" w:sz="0" w:space="0" w:color="auto" w:frame="1"/>
          <w:shd w:val="clear" w:color="auto" w:fill="FFFFFF"/>
        </w:rPr>
        <w:tab/>
      </w:r>
      <w:r>
        <w:rPr>
          <w:i/>
          <w:iCs/>
          <w:bdr w:val="none" w:sz="0" w:space="0" w:color="auto" w:frame="1"/>
          <w:shd w:val="clear" w:color="auto" w:fill="FFFFFF"/>
        </w:rPr>
        <w:t>Due Process Notice Requirements</w:t>
      </w:r>
      <w:r w:rsidRPr="00D13B2C">
        <w:rPr>
          <w:i/>
          <w:iCs/>
        </w:rPr>
        <w:t>.</w:t>
      </w:r>
    </w:p>
    <w:p w14:paraId="26DFB3FA" w14:textId="35F1D7FA" w:rsidR="00C55AF3" w:rsidRDefault="003F5EB4" w:rsidP="00C55AF3">
      <w:pPr>
        <w:pStyle w:val="Text"/>
      </w:pPr>
      <w:r>
        <w:t>“</w:t>
      </w:r>
      <w:r w:rsidRPr="003F5EB4">
        <w:rPr>
          <w:color w:val="000000"/>
        </w:rPr>
        <w:t>Both the Sixth Amendment of the federal Constitution and the due process guarantees of the state and federal Constitutions require that a criminal defendant receive notice of the charges adequate to give a meaningful opportunity to defend against</w:t>
      </w:r>
      <w:r w:rsidR="00976BC1">
        <w:rPr>
          <w:color w:val="000000"/>
        </w:rPr>
        <w:t xml:space="preserve"> </w:t>
      </w:r>
      <w:r w:rsidRPr="003F5EB4">
        <w:rPr>
          <w:color w:val="000000"/>
        </w:rPr>
        <w:t>them.</w:t>
      </w:r>
      <w:r>
        <w:rPr>
          <w:color w:val="000000"/>
        </w:rPr>
        <w:t>”  (</w:t>
      </w:r>
      <w:r>
        <w:rPr>
          <w:i/>
          <w:iCs/>
          <w:color w:val="000000"/>
        </w:rPr>
        <w:t>People v. Seaton</w:t>
      </w:r>
      <w:r>
        <w:rPr>
          <w:color w:val="000000"/>
        </w:rPr>
        <w:t xml:space="preserve"> (2001) 26 Cal.4th 598, 640.)</w:t>
      </w:r>
      <w:r w:rsidR="002902F2">
        <w:rPr>
          <w:color w:val="000000"/>
        </w:rPr>
        <w:t xml:space="preserve">  In addition, “[a]</w:t>
      </w:r>
      <w:r w:rsidR="002902F2" w:rsidRPr="002902F2">
        <w:t xml:space="preserve"> defendant has a due process right to fair notice of the allegations that will be invoked to increase the punishment for his or her crimes.</w:t>
      </w:r>
      <w:r w:rsidR="002902F2">
        <w:t>”  (</w:t>
      </w:r>
      <w:r w:rsidR="002902F2">
        <w:rPr>
          <w:i/>
          <w:iCs/>
        </w:rPr>
        <w:t>People v. Houston</w:t>
      </w:r>
      <w:r w:rsidR="002902F2">
        <w:t xml:space="preserve"> (2012) 54 Cal.4th 1186, 1227, citing </w:t>
      </w:r>
      <w:r w:rsidR="002902F2">
        <w:rPr>
          <w:i/>
          <w:iCs/>
        </w:rPr>
        <w:t>Mancebo, supra</w:t>
      </w:r>
      <w:r w:rsidR="002902F2">
        <w:t>, 27 Cal.4th at p. 747.)</w:t>
      </w:r>
      <w:r w:rsidR="00247499">
        <w:t xml:space="preserve">  “Under modern pleading procedures, notice of </w:t>
      </w:r>
      <w:r w:rsidR="00247499" w:rsidRPr="00247499">
        <w:rPr>
          <w:i/>
          <w:iCs/>
        </w:rPr>
        <w:t>the particular circumstances</w:t>
      </w:r>
      <w:r w:rsidR="00247499">
        <w:t xml:space="preserve"> of an alleged crime is provided by the evidence presented . . . at the preliminary examination, not by a factually detailed information.”  (</w:t>
      </w:r>
      <w:r w:rsidR="00247499">
        <w:rPr>
          <w:i/>
          <w:iCs/>
        </w:rPr>
        <w:t>People v. Jennings</w:t>
      </w:r>
      <w:r w:rsidR="00247499">
        <w:t xml:space="preserve"> (1991) 53 Cal.3d 334, 358.)</w:t>
      </w:r>
      <w:r w:rsidR="009432E9">
        <w:t xml:space="preserve">  However,</w:t>
      </w:r>
      <w:r w:rsidR="0082233E">
        <w:t xml:space="preserve"> </w:t>
      </w:r>
      <w:bookmarkStart w:id="8" w:name="_Hlk148423884"/>
      <w:r w:rsidR="0082233E">
        <w:rPr>
          <w:color w:val="212121"/>
          <w:shd w:val="clear" w:color="auto" w:fill="FFFFFF"/>
        </w:rPr>
        <w:t>“</w:t>
      </w:r>
      <w:r w:rsidR="009432E9" w:rsidRPr="006125C8">
        <w:rPr>
          <w:color w:val="000000"/>
        </w:rPr>
        <w:t>a defendant has a cognizable due process right to fair notice of the specific sentence enhancement allegations that will</w:t>
      </w:r>
      <w:r w:rsidR="009432E9">
        <w:rPr>
          <w:color w:val="000000"/>
        </w:rPr>
        <w:t xml:space="preserve"> be invoked to </w:t>
      </w:r>
      <w:r w:rsidR="009432E9" w:rsidRPr="006125C8">
        <w:rPr>
          <w:color w:val="000000"/>
        </w:rPr>
        <w:t xml:space="preserve">increase punishment for </w:t>
      </w:r>
      <w:r w:rsidR="009432E9">
        <w:rPr>
          <w:color w:val="000000"/>
        </w:rPr>
        <w:t>[his or her]</w:t>
      </w:r>
      <w:r w:rsidR="009432E9" w:rsidRPr="006125C8">
        <w:rPr>
          <w:color w:val="000000"/>
        </w:rPr>
        <w:t xml:space="preserve"> crimes</w:t>
      </w:r>
      <w:r w:rsidR="0082233E">
        <w:rPr>
          <w:color w:val="000000"/>
        </w:rPr>
        <w:t>.</w:t>
      </w:r>
      <w:r w:rsidR="009432E9" w:rsidRPr="006125C8">
        <w:rPr>
          <w:color w:val="000000"/>
        </w:rPr>
        <w:t>”</w:t>
      </w:r>
      <w:r w:rsidR="009432E9" w:rsidRPr="006125C8">
        <w:rPr>
          <w:color w:val="212121"/>
          <w:shd w:val="clear" w:color="auto" w:fill="FFFFFF"/>
        </w:rPr>
        <w:t xml:space="preserve"> </w:t>
      </w:r>
      <w:r w:rsidR="0082233E">
        <w:rPr>
          <w:color w:val="212121"/>
          <w:shd w:val="clear" w:color="auto" w:fill="FFFFFF"/>
        </w:rPr>
        <w:t xml:space="preserve"> </w:t>
      </w:r>
      <w:r w:rsidR="009432E9" w:rsidRPr="006125C8">
        <w:rPr>
          <w:color w:val="212121"/>
          <w:shd w:val="clear" w:color="auto" w:fill="FFFFFF"/>
        </w:rPr>
        <w:t>(</w:t>
      </w:r>
      <w:r w:rsidR="009432E9" w:rsidRPr="006125C8">
        <w:rPr>
          <w:i/>
          <w:iCs/>
          <w:color w:val="212121"/>
          <w:shd w:val="clear" w:color="auto" w:fill="FFFFFF"/>
        </w:rPr>
        <w:t>Mancebo</w:t>
      </w:r>
      <w:r w:rsidR="009432E9" w:rsidRPr="006125C8">
        <w:rPr>
          <w:color w:val="212121"/>
          <w:shd w:val="clear" w:color="auto" w:fill="FFFFFF"/>
        </w:rPr>
        <w:t xml:space="preserve">, </w:t>
      </w:r>
      <w:r w:rsidR="003A071A" w:rsidRPr="003A071A">
        <w:rPr>
          <w:i/>
          <w:iCs/>
          <w:color w:val="212121"/>
          <w:shd w:val="clear" w:color="auto" w:fill="FFFFFF"/>
        </w:rPr>
        <w:t>supra</w:t>
      </w:r>
      <w:r w:rsidR="003A071A">
        <w:rPr>
          <w:color w:val="212121"/>
          <w:shd w:val="clear" w:color="auto" w:fill="FFFFFF"/>
        </w:rPr>
        <w:t xml:space="preserve">, 27 Cal.4th </w:t>
      </w:r>
      <w:r w:rsidR="009432E9" w:rsidRPr="003A071A">
        <w:rPr>
          <w:color w:val="212121"/>
          <w:shd w:val="clear" w:color="auto" w:fill="FFFFFF"/>
        </w:rPr>
        <w:t>at</w:t>
      </w:r>
      <w:r w:rsidR="009432E9" w:rsidRPr="006125C8">
        <w:rPr>
          <w:color w:val="212121"/>
          <w:shd w:val="clear" w:color="auto" w:fill="FFFFFF"/>
        </w:rPr>
        <w:t xml:space="preserve"> p</w:t>
      </w:r>
      <w:r w:rsidR="0082233E">
        <w:rPr>
          <w:color w:val="212121"/>
          <w:shd w:val="clear" w:color="auto" w:fill="FFFFFF"/>
        </w:rPr>
        <w:t>p</w:t>
      </w:r>
      <w:r w:rsidR="009432E9" w:rsidRPr="006125C8">
        <w:rPr>
          <w:color w:val="212121"/>
          <w:shd w:val="clear" w:color="auto" w:fill="FFFFFF"/>
        </w:rPr>
        <w:t>.</w:t>
      </w:r>
      <w:r w:rsidR="0082233E">
        <w:rPr>
          <w:color w:val="212121"/>
          <w:shd w:val="clear" w:color="auto" w:fill="FFFFFF"/>
        </w:rPr>
        <w:t xml:space="preserve"> </w:t>
      </w:r>
      <w:r w:rsidR="009432E9" w:rsidRPr="006125C8">
        <w:rPr>
          <w:color w:val="212121"/>
          <w:shd w:val="clear" w:color="auto" w:fill="FFFFFF"/>
        </w:rPr>
        <w:t>747</w:t>
      </w:r>
      <w:r w:rsidR="0082233E">
        <w:rPr>
          <w:color w:val="212121"/>
          <w:shd w:val="clear" w:color="auto" w:fill="FFFFFF"/>
        </w:rPr>
        <w:t>–748</w:t>
      </w:r>
      <w:r w:rsidR="00C55AF3">
        <w:rPr>
          <w:color w:val="212121"/>
          <w:shd w:val="clear" w:color="auto" w:fill="FFFFFF"/>
        </w:rPr>
        <w:t xml:space="preserve">; accord, </w:t>
      </w:r>
      <w:r w:rsidR="00C55AF3">
        <w:rPr>
          <w:i/>
          <w:iCs/>
          <w:color w:val="212121"/>
          <w:shd w:val="clear" w:color="auto" w:fill="FFFFFF"/>
        </w:rPr>
        <w:t>People v. Anderson</w:t>
      </w:r>
      <w:r w:rsidR="00C55AF3">
        <w:rPr>
          <w:color w:val="212121"/>
          <w:shd w:val="clear" w:color="auto" w:fill="FFFFFF"/>
        </w:rPr>
        <w:t xml:space="preserve"> (2020) 9 Cal.5th 946, 953 (</w:t>
      </w:r>
      <w:r w:rsidR="00C55AF3">
        <w:rPr>
          <w:i/>
          <w:iCs/>
          <w:color w:val="212121"/>
          <w:shd w:val="clear" w:color="auto" w:fill="FFFFFF"/>
        </w:rPr>
        <w:t>Anderson</w:t>
      </w:r>
      <w:r w:rsidR="00C55AF3">
        <w:rPr>
          <w:color w:val="212121"/>
          <w:shd w:val="clear" w:color="auto" w:fill="FFFFFF"/>
        </w:rPr>
        <w:t xml:space="preserve">), quoting </w:t>
      </w:r>
      <w:r w:rsidR="00C55AF3">
        <w:rPr>
          <w:i/>
          <w:iCs/>
          <w:color w:val="212121"/>
          <w:shd w:val="clear" w:color="auto" w:fill="FFFFFF"/>
        </w:rPr>
        <w:t>Mancebo.</w:t>
      </w:r>
      <w:r w:rsidR="00C55AF3">
        <w:rPr>
          <w:color w:val="212121"/>
          <w:shd w:val="clear" w:color="auto" w:fill="FFFFFF"/>
        </w:rPr>
        <w:t xml:space="preserve">)  </w:t>
      </w:r>
    </w:p>
    <w:bookmarkEnd w:id="8"/>
    <w:p w14:paraId="4C703966" w14:textId="199C97CE" w:rsidR="00D13B2C" w:rsidRDefault="008F3614" w:rsidP="008F3614">
      <w:pPr>
        <w:pStyle w:val="Text"/>
        <w:ind w:firstLine="0"/>
      </w:pPr>
      <w:r>
        <w:rPr>
          <w:b/>
          <w:bCs/>
          <w:i/>
          <w:iCs/>
          <w:bdr w:val="none" w:sz="0" w:space="0" w:color="auto" w:frame="1"/>
          <w:shd w:val="clear" w:color="auto" w:fill="FFFFFF"/>
        </w:rPr>
        <w:tab/>
      </w:r>
      <w:r w:rsidR="00D13B2C">
        <w:rPr>
          <w:b/>
          <w:bCs/>
          <w:bdr w:val="none" w:sz="0" w:space="0" w:color="auto" w:frame="1"/>
          <w:shd w:val="clear" w:color="auto" w:fill="FFFFFF"/>
        </w:rPr>
        <w:tab/>
      </w:r>
      <w:bookmarkStart w:id="9" w:name="_Hlk146182399"/>
      <w:r w:rsidR="00D13B2C">
        <w:rPr>
          <w:i/>
          <w:iCs/>
          <w:bdr w:val="none" w:sz="0" w:space="0" w:color="auto" w:frame="1"/>
          <w:shd w:val="clear" w:color="auto" w:fill="FFFFFF"/>
        </w:rPr>
        <w:t>i</w:t>
      </w:r>
      <w:r w:rsidR="001A2AEA">
        <w:rPr>
          <w:i/>
          <w:iCs/>
          <w:bdr w:val="none" w:sz="0" w:space="0" w:color="auto" w:frame="1"/>
          <w:shd w:val="clear" w:color="auto" w:fill="FFFFFF"/>
        </w:rPr>
        <w:t>i</w:t>
      </w:r>
      <w:r w:rsidR="00D13B2C">
        <w:rPr>
          <w:i/>
          <w:iCs/>
          <w:bdr w:val="none" w:sz="0" w:space="0" w:color="auto" w:frame="1"/>
          <w:shd w:val="clear" w:color="auto" w:fill="FFFFFF"/>
        </w:rPr>
        <w:t>.</w:t>
      </w:r>
      <w:r w:rsidR="005A696D">
        <w:rPr>
          <w:i/>
          <w:iCs/>
          <w:bdr w:val="none" w:sz="0" w:space="0" w:color="auto" w:frame="1"/>
          <w:shd w:val="clear" w:color="auto" w:fill="FFFFFF"/>
        </w:rPr>
        <w:tab/>
      </w:r>
      <w:r w:rsidR="001A2AEA">
        <w:rPr>
          <w:i/>
          <w:iCs/>
          <w:bdr w:val="none" w:sz="0" w:space="0" w:color="auto" w:frame="1"/>
          <w:shd w:val="clear" w:color="auto" w:fill="FFFFFF"/>
        </w:rPr>
        <w:t>The O</w:t>
      </w:r>
      <w:r w:rsidR="007952EB" w:rsidRPr="00D13B2C">
        <w:rPr>
          <w:i/>
          <w:iCs/>
          <w:bdr w:val="none" w:sz="0" w:space="0" w:color="auto" w:frame="1"/>
          <w:shd w:val="clear" w:color="auto" w:fill="FFFFFF"/>
        </w:rPr>
        <w:t>ne Strike law</w:t>
      </w:r>
      <w:r w:rsidRPr="00D13B2C">
        <w:rPr>
          <w:i/>
          <w:iCs/>
        </w:rPr>
        <w:t>.</w:t>
      </w:r>
    </w:p>
    <w:p w14:paraId="5744E4E5" w14:textId="3DFC2952" w:rsidR="00725049" w:rsidRPr="00440ED8" w:rsidRDefault="00D13B2C" w:rsidP="00440ED8">
      <w:pPr>
        <w:pStyle w:val="Text"/>
        <w:ind w:firstLine="0"/>
        <w:rPr>
          <w:shd w:val="clear" w:color="auto" w:fill="FFFFFF"/>
        </w:rPr>
      </w:pPr>
      <w:r>
        <w:tab/>
      </w:r>
      <w:r w:rsidR="008F3614">
        <w:t xml:space="preserve"> </w:t>
      </w:r>
      <w:bookmarkEnd w:id="9"/>
      <w:r w:rsidR="00B6576A" w:rsidRPr="00B6576A">
        <w:t>The One Strike law</w:t>
      </w:r>
      <w:r w:rsidR="001A2AEA">
        <w:t xml:space="preserve"> (section 667.61)</w:t>
      </w:r>
      <w:r w:rsidR="00B6576A" w:rsidRPr="00B6576A">
        <w:t xml:space="preserve"> </w:t>
      </w:r>
      <w:r w:rsidR="00B6576A">
        <w:rPr>
          <w:shd w:val="clear" w:color="auto" w:fill="FFFFFF"/>
        </w:rPr>
        <w:t>“</w:t>
      </w:r>
      <w:r w:rsidR="00B6576A" w:rsidRPr="00B6576A">
        <w:rPr>
          <w:shd w:val="clear" w:color="auto" w:fill="FFFFFF"/>
        </w:rPr>
        <w:t>sets forth an alternative, harsher sentencing scheme for certain forcible sex crimes.</w:t>
      </w:r>
      <w:r w:rsidR="00B6576A">
        <w:rPr>
          <w:shd w:val="clear" w:color="auto" w:fill="FFFFFF"/>
        </w:rPr>
        <w:t>”  (</w:t>
      </w:r>
      <w:r w:rsidR="00B6576A">
        <w:rPr>
          <w:i/>
          <w:iCs/>
          <w:shd w:val="clear" w:color="auto" w:fill="FFFFFF"/>
        </w:rPr>
        <w:t>Mancebo</w:t>
      </w:r>
      <w:r w:rsidR="00B6576A">
        <w:rPr>
          <w:shd w:val="clear" w:color="auto" w:fill="FFFFFF"/>
        </w:rPr>
        <w:t xml:space="preserve">, </w:t>
      </w:r>
      <w:r w:rsidR="00B6576A">
        <w:rPr>
          <w:i/>
          <w:iCs/>
          <w:shd w:val="clear" w:color="auto" w:fill="FFFFFF"/>
        </w:rPr>
        <w:t>supra</w:t>
      </w:r>
      <w:r w:rsidR="00B6576A">
        <w:rPr>
          <w:shd w:val="clear" w:color="auto" w:fill="FFFFFF"/>
        </w:rPr>
        <w:t>, 27 Cal.4th at p. 738.)  I</w:t>
      </w:r>
      <w:r w:rsidR="00B6576A" w:rsidRPr="00B6576A">
        <w:rPr>
          <w:shd w:val="clear" w:color="auto" w:fill="FFFFFF"/>
        </w:rPr>
        <w:t xml:space="preserve">t </w:t>
      </w:r>
      <w:r w:rsidR="00B6576A">
        <w:rPr>
          <w:shd w:val="clear" w:color="auto" w:fill="FFFFFF"/>
        </w:rPr>
        <w:t>“</w:t>
      </w:r>
      <w:r w:rsidR="00B6576A" w:rsidRPr="00B6576A">
        <w:rPr>
          <w:shd w:val="clear" w:color="auto" w:fill="FFFFFF"/>
        </w:rPr>
        <w:t>provides for enhanced indeterminate terms of either 15 or 25 years to life for those who commit enumerated felony sex offenses in specified circumstances.</w:t>
      </w:r>
      <w:r w:rsidR="00B6576A">
        <w:rPr>
          <w:shd w:val="clear" w:color="auto" w:fill="FFFFFF"/>
        </w:rPr>
        <w:t>”</w:t>
      </w:r>
      <w:r w:rsidR="00B6576A" w:rsidRPr="00B6576A">
        <w:rPr>
          <w:shd w:val="clear" w:color="auto" w:fill="FFFFFF"/>
        </w:rPr>
        <w:t xml:space="preserve">  (</w:t>
      </w:r>
      <w:r w:rsidR="00B6576A">
        <w:rPr>
          <w:i/>
          <w:iCs/>
          <w:shd w:val="clear" w:color="auto" w:fill="FFFFFF"/>
        </w:rPr>
        <w:t>People v. Valdez</w:t>
      </w:r>
      <w:r w:rsidR="00B6576A">
        <w:rPr>
          <w:shd w:val="clear" w:color="auto" w:fill="FFFFFF"/>
        </w:rPr>
        <w:t xml:space="preserve"> (2011) 193 Cal.App.4th </w:t>
      </w:r>
      <w:r w:rsidR="00440ED8">
        <w:rPr>
          <w:shd w:val="clear" w:color="auto" w:fill="FFFFFF"/>
        </w:rPr>
        <w:t>1515, 1521.)  “</w:t>
      </w:r>
      <w:r w:rsidR="00725049">
        <w:rPr>
          <w:color w:val="000000"/>
        </w:rPr>
        <w:t xml:space="preserve">The statute is designed </w:t>
      </w:r>
      <w:r w:rsidR="00440ED8">
        <w:rPr>
          <w:color w:val="000000"/>
        </w:rPr>
        <w:t>‘</w:t>
      </w:r>
      <w:r w:rsidR="00725049">
        <w:rPr>
          <w:color w:val="000000"/>
        </w:rPr>
        <w:t>to ensure serious sex offenders receive lengthy prison sentences upon their first conviction when their crimes are committed under circumstances elevating their victim</w:t>
      </w:r>
      <w:r w:rsidR="00440ED8">
        <w:rPr>
          <w:color w:val="000000"/>
        </w:rPr>
        <w:t>’</w:t>
      </w:r>
      <w:r w:rsidR="00725049">
        <w:rPr>
          <w:color w:val="000000"/>
        </w:rPr>
        <w:t>s vulnerability.</w:t>
      </w:r>
      <w:proofErr w:type="gramStart"/>
      <w:r w:rsidR="00440ED8">
        <w:rPr>
          <w:color w:val="000000"/>
        </w:rPr>
        <w:t>’ </w:t>
      </w:r>
      <w:r w:rsidR="00725049">
        <w:rPr>
          <w:color w:val="000000"/>
        </w:rPr>
        <w:t>”</w:t>
      </w:r>
      <w:proofErr w:type="gramEnd"/>
      <w:r w:rsidR="00440ED8">
        <w:rPr>
          <w:color w:val="000000"/>
        </w:rPr>
        <w:t xml:space="preserve">  (</w:t>
      </w:r>
      <w:r w:rsidR="00440ED8">
        <w:rPr>
          <w:i/>
          <w:iCs/>
          <w:color w:val="000000"/>
        </w:rPr>
        <w:t>People v. Waqa</w:t>
      </w:r>
      <w:r w:rsidR="00440ED8">
        <w:rPr>
          <w:color w:val="000000"/>
        </w:rPr>
        <w:t xml:space="preserve"> (2023) 92 Cal.App.5th 565, 577</w:t>
      </w:r>
      <w:r w:rsidR="00002020">
        <w:rPr>
          <w:color w:val="000000"/>
        </w:rPr>
        <w:t xml:space="preserve"> (</w:t>
      </w:r>
      <w:r w:rsidR="00002020">
        <w:rPr>
          <w:i/>
          <w:iCs/>
          <w:color w:val="000000"/>
        </w:rPr>
        <w:t>Waqa</w:t>
      </w:r>
      <w:r w:rsidR="00002020">
        <w:rPr>
          <w:color w:val="000000"/>
        </w:rPr>
        <w:t>)</w:t>
      </w:r>
      <w:r w:rsidR="00440ED8">
        <w:rPr>
          <w:color w:val="000000"/>
        </w:rPr>
        <w:t xml:space="preserve">.)        </w:t>
      </w:r>
    </w:p>
    <w:p w14:paraId="30721DDB" w14:textId="47B16BA1" w:rsidR="00914D02" w:rsidRPr="00914D02" w:rsidRDefault="00440ED8" w:rsidP="00725049">
      <w:pPr>
        <w:pStyle w:val="Text"/>
        <w:ind w:firstLine="0"/>
        <w:rPr>
          <w:shd w:val="clear" w:color="auto" w:fill="FFFFFF"/>
        </w:rPr>
      </w:pPr>
      <w:r>
        <w:rPr>
          <w:color w:val="000000"/>
        </w:rPr>
        <w:tab/>
      </w:r>
      <w:r w:rsidRPr="007F32A7">
        <w:rPr>
          <w:color w:val="000000"/>
        </w:rPr>
        <w:t xml:space="preserve">Accordingly, subdivision (a) of section 667.61 </w:t>
      </w:r>
      <w:r w:rsidR="007F32A7" w:rsidRPr="007F32A7">
        <w:rPr>
          <w:color w:val="212121"/>
          <w:shd w:val="clear" w:color="auto" w:fill="FFFFFF"/>
        </w:rPr>
        <w:t xml:space="preserve">mandates a sentence of 25 years to life if either one of the circumstances under subdivision (d) or two or more of the circumstances under subdivision (e) are found true; and subdivision (b) </w:t>
      </w:r>
      <w:r w:rsidR="007F32A7" w:rsidRPr="00A766A7">
        <w:rPr>
          <w:color w:val="212121"/>
          <w:shd w:val="clear" w:color="auto" w:fill="FFFFFF"/>
        </w:rPr>
        <w:t>mandates a lesser sentence of 15 years to life if only one of the circumstances under subdivision (e) is found true.</w:t>
      </w:r>
      <w:r w:rsidR="001526BA">
        <w:rPr>
          <w:rStyle w:val="FootnoteReference"/>
          <w:color w:val="212121"/>
          <w:shd w:val="clear" w:color="auto" w:fill="FFFFFF"/>
        </w:rPr>
        <w:footnoteReference w:id="4"/>
      </w:r>
      <w:r w:rsidR="007F32A7" w:rsidRPr="00A766A7">
        <w:rPr>
          <w:color w:val="212121"/>
          <w:shd w:val="clear" w:color="auto" w:fill="FFFFFF"/>
        </w:rPr>
        <w:t xml:space="preserve">  (§ 667.61, subds. (a)-(b), (d)-(e).)</w:t>
      </w:r>
      <w:r w:rsidR="00020A8D" w:rsidRPr="00A766A7">
        <w:rPr>
          <w:color w:val="212121"/>
          <w:shd w:val="clear" w:color="auto" w:fill="FFFFFF"/>
        </w:rPr>
        <w:t xml:space="preserve">  As is relevant here, subdivision (b) </w:t>
      </w:r>
      <w:r w:rsidR="00A766A7" w:rsidRPr="00A766A7">
        <w:rPr>
          <w:shd w:val="clear" w:color="auto" w:fill="FFFFFF"/>
        </w:rPr>
        <w:t xml:space="preserve">of section 667.61 </w:t>
      </w:r>
      <w:r w:rsidR="00020A8D" w:rsidRPr="00A766A7">
        <w:rPr>
          <w:shd w:val="clear" w:color="auto" w:fill="FFFFFF"/>
        </w:rPr>
        <w:t>applies</w:t>
      </w:r>
      <w:r w:rsidR="005A23A8">
        <w:rPr>
          <w:shd w:val="clear" w:color="auto" w:fill="FFFFFF"/>
        </w:rPr>
        <w:t xml:space="preserve"> “</w:t>
      </w:r>
      <w:r w:rsidR="00A766A7" w:rsidRPr="00A766A7">
        <w:rPr>
          <w:shd w:val="clear" w:color="auto" w:fill="FFFFFF"/>
        </w:rPr>
        <w:t>[e]xcept as provided in subdivision (a), (j), (</w:t>
      </w:r>
      <w:r w:rsidR="00A766A7" w:rsidRPr="00A766A7">
        <w:rPr>
          <w:rStyle w:val="ssit"/>
          <w:i/>
          <w:iCs/>
          <w:bdr w:val="none" w:sz="0" w:space="0" w:color="auto" w:frame="1"/>
          <w:shd w:val="clear" w:color="auto" w:fill="FFFFFF"/>
        </w:rPr>
        <w:t>l</w:t>
      </w:r>
      <w:r w:rsidR="00A766A7" w:rsidRPr="00A766A7">
        <w:rPr>
          <w:shd w:val="clear" w:color="auto" w:fill="FFFFFF"/>
        </w:rPr>
        <w:t xml:space="preserve">), or (m).”  </w:t>
      </w:r>
      <w:r w:rsidR="00A766A7">
        <w:rPr>
          <w:shd w:val="clear" w:color="auto" w:fill="FFFFFF"/>
        </w:rPr>
        <w:t>Pursuant to subdivision (m)</w:t>
      </w:r>
      <w:proofErr w:type="gramStart"/>
      <w:r w:rsidR="00A766A7">
        <w:rPr>
          <w:shd w:val="clear" w:color="auto" w:fill="FFFFFF"/>
        </w:rPr>
        <w:t>:  “</w:t>
      </w:r>
      <w:proofErr w:type="gramEnd"/>
      <w:r w:rsidR="00A766A7" w:rsidRPr="00A766A7">
        <w:rPr>
          <w:shd w:val="clear" w:color="auto" w:fill="FFFFFF"/>
        </w:rPr>
        <w:t>A person who is convicted of an offense specified in subdivision (n) under one of the circumstances specified in subdivision (e) against a minor 14 years of age or older shall be punished by imprisonment in the state prison for 25 years to life.</w:t>
      </w:r>
      <w:r w:rsidR="00A766A7">
        <w:rPr>
          <w:shd w:val="clear" w:color="auto" w:fill="FFFFFF"/>
        </w:rPr>
        <w:t>”  (§ 667.61, subd. (</w:t>
      </w:r>
      <w:r w:rsidR="00733289">
        <w:rPr>
          <w:shd w:val="clear" w:color="auto" w:fill="FFFFFF"/>
        </w:rPr>
        <w:t>m</w:t>
      </w:r>
      <w:r w:rsidR="00A766A7">
        <w:rPr>
          <w:shd w:val="clear" w:color="auto" w:fill="FFFFFF"/>
        </w:rPr>
        <w:t xml:space="preserve">).)  And subdivision (n) lists six sexual offenses, including </w:t>
      </w:r>
      <w:r w:rsidR="001526BA">
        <w:rPr>
          <w:shd w:val="clear" w:color="auto" w:fill="FFFFFF"/>
        </w:rPr>
        <w:t xml:space="preserve">all </w:t>
      </w:r>
      <w:r w:rsidR="00A766A7">
        <w:rPr>
          <w:shd w:val="clear" w:color="auto" w:fill="FFFFFF"/>
        </w:rPr>
        <w:t>three offenses of which Villegas was convicted with respect to Jane Doe Three.  (</w:t>
      </w:r>
      <w:r w:rsidR="00A766A7">
        <w:rPr>
          <w:i/>
          <w:iCs/>
          <w:shd w:val="clear" w:color="auto" w:fill="FFFFFF"/>
        </w:rPr>
        <w:t>Id.</w:t>
      </w:r>
      <w:r w:rsidR="00A766A7">
        <w:rPr>
          <w:shd w:val="clear" w:color="auto" w:fill="FFFFFF"/>
        </w:rPr>
        <w:t>, subd</w:t>
      </w:r>
      <w:r w:rsidR="005A23A8">
        <w:rPr>
          <w:shd w:val="clear" w:color="auto" w:fill="FFFFFF"/>
        </w:rPr>
        <w:t>.</w:t>
      </w:r>
      <w:r w:rsidR="00A766A7">
        <w:rPr>
          <w:shd w:val="clear" w:color="auto" w:fill="FFFFFF"/>
        </w:rPr>
        <w:t xml:space="preserve"> (n)(1)</w:t>
      </w:r>
      <w:r w:rsidR="00914D02">
        <w:rPr>
          <w:shd w:val="clear" w:color="auto" w:fill="FFFFFF"/>
        </w:rPr>
        <w:t xml:space="preserve"> [forcible rape under § 261</w:t>
      </w:r>
      <w:r w:rsidR="005A23A8">
        <w:rPr>
          <w:shd w:val="clear" w:color="auto" w:fill="FFFFFF"/>
        </w:rPr>
        <w:t xml:space="preserve">, subd. </w:t>
      </w:r>
      <w:r w:rsidR="00914D02">
        <w:rPr>
          <w:shd w:val="clear" w:color="auto" w:fill="FFFFFF"/>
        </w:rPr>
        <w:t>(a)(2)]</w:t>
      </w:r>
      <w:r w:rsidR="00A766A7">
        <w:rPr>
          <w:shd w:val="clear" w:color="auto" w:fill="FFFFFF"/>
        </w:rPr>
        <w:t>, (4)</w:t>
      </w:r>
      <w:r w:rsidR="00914D02">
        <w:rPr>
          <w:shd w:val="clear" w:color="auto" w:fill="FFFFFF"/>
        </w:rPr>
        <w:t xml:space="preserve"> [forcible sexual penetration under § 289, subd. (a)(1)]</w:t>
      </w:r>
      <w:r w:rsidR="00A766A7">
        <w:rPr>
          <w:shd w:val="clear" w:color="auto" w:fill="FFFFFF"/>
        </w:rPr>
        <w:t xml:space="preserve"> &amp; (6)</w:t>
      </w:r>
      <w:r w:rsidR="00914D02">
        <w:rPr>
          <w:shd w:val="clear" w:color="auto" w:fill="FFFFFF"/>
        </w:rPr>
        <w:t xml:space="preserve"> [forcible oral copulation under § 287, subd. (c)(2)]</w:t>
      </w:r>
      <w:r w:rsidR="00A766A7">
        <w:rPr>
          <w:shd w:val="clear" w:color="auto" w:fill="FFFFFF"/>
        </w:rPr>
        <w:t>.)</w:t>
      </w:r>
    </w:p>
    <w:p w14:paraId="77E4882E" w14:textId="09C5658C" w:rsidR="00725049" w:rsidRDefault="00A766A7" w:rsidP="00725049">
      <w:pPr>
        <w:pStyle w:val="Text"/>
        <w:ind w:firstLine="0"/>
        <w:rPr>
          <w:color w:val="212121"/>
          <w:shd w:val="clear" w:color="auto" w:fill="FFFFFF"/>
        </w:rPr>
      </w:pPr>
      <w:r>
        <w:rPr>
          <w:color w:val="212121"/>
          <w:shd w:val="clear" w:color="auto" w:fill="FFFFFF"/>
        </w:rPr>
        <w:tab/>
      </w:r>
      <w:r w:rsidR="001526BA">
        <w:rPr>
          <w:color w:val="212121"/>
          <w:shd w:val="clear" w:color="auto" w:fill="FFFFFF"/>
        </w:rPr>
        <w:t xml:space="preserve">The One Strike law </w:t>
      </w:r>
      <w:r w:rsidR="006C123F">
        <w:rPr>
          <w:color w:val="212121"/>
          <w:shd w:val="clear" w:color="auto" w:fill="FFFFFF"/>
        </w:rPr>
        <w:t xml:space="preserve">goes on to </w:t>
      </w:r>
      <w:r w:rsidR="006C123F" w:rsidRPr="006C123F">
        <w:rPr>
          <w:shd w:val="clear" w:color="auto" w:fill="FFFFFF"/>
        </w:rPr>
        <w:t>explain</w:t>
      </w:r>
      <w:r w:rsidR="001526BA" w:rsidRPr="006C123F">
        <w:rPr>
          <w:shd w:val="clear" w:color="auto" w:fill="FFFFFF"/>
        </w:rPr>
        <w:t>:</w:t>
      </w:r>
      <w:r w:rsidR="006C123F" w:rsidRPr="006C123F">
        <w:rPr>
          <w:shd w:val="clear" w:color="auto" w:fill="FFFFFF"/>
        </w:rPr>
        <w:t xml:space="preserve">  </w:t>
      </w:r>
      <w:r w:rsidR="001526BA" w:rsidRPr="006C123F">
        <w:rPr>
          <w:shd w:val="clear" w:color="auto" w:fill="FFFFFF"/>
        </w:rPr>
        <w:t xml:space="preserve">“ </w:t>
      </w:r>
      <w:r w:rsidR="006C123F" w:rsidRPr="006C123F">
        <w:rPr>
          <w:shd w:val="clear" w:color="auto" w:fill="FFFFFF"/>
        </w:rPr>
        <w:t>If only the minimum number of circumstances specified in subdivision (d) or (e) that are required for the punishment provided in subdivision (a), (b), (j), (</w:t>
      </w:r>
      <w:r w:rsidR="006C123F" w:rsidRPr="006C123F">
        <w:rPr>
          <w:rStyle w:val="ssit"/>
          <w:i/>
          <w:iCs/>
          <w:bdr w:val="none" w:sz="0" w:space="0" w:color="auto" w:frame="1"/>
          <w:shd w:val="clear" w:color="auto" w:fill="FFFFFF"/>
        </w:rPr>
        <w:t>l</w:t>
      </w:r>
      <w:r w:rsidR="006C123F" w:rsidRPr="006C123F">
        <w:rPr>
          <w:shd w:val="clear" w:color="auto" w:fill="FFFFFF"/>
        </w:rPr>
        <w:t>), or (m) to apply have been pled and proved, that circumstance or those circumstances shall be used as the basis for imposing the term provided in subdivision (a), (b), (j), (</w:t>
      </w:r>
      <w:r w:rsidR="006C123F" w:rsidRPr="006C123F">
        <w:rPr>
          <w:rStyle w:val="ssit"/>
          <w:i/>
          <w:iCs/>
          <w:bdr w:val="none" w:sz="0" w:space="0" w:color="auto" w:frame="1"/>
          <w:shd w:val="clear" w:color="auto" w:fill="FFFFFF"/>
        </w:rPr>
        <w:t>l</w:t>
      </w:r>
      <w:r w:rsidR="006C123F" w:rsidRPr="006C123F">
        <w:rPr>
          <w:shd w:val="clear" w:color="auto" w:fill="FFFFFF"/>
        </w:rPr>
        <w:t>), or (m) whichever is greater, rather than being used to impose the punishment authorized under any other law, unless another law provides for a greater penalty or the punishment under another law can be imposed in addition to the punishment provided by this section</w:t>
      </w:r>
      <w:r w:rsidR="001526BA" w:rsidRPr="006C123F">
        <w:rPr>
          <w:shd w:val="clear" w:color="auto" w:fill="FFFFFF"/>
        </w:rPr>
        <w:t>.”</w:t>
      </w:r>
      <w:r w:rsidR="006C123F">
        <w:rPr>
          <w:shd w:val="clear" w:color="auto" w:fill="FFFFFF"/>
        </w:rPr>
        <w:t xml:space="preserve">  (§ 667.61, subd. (f).)</w:t>
      </w:r>
      <w:r w:rsidR="001526BA" w:rsidRPr="006C123F">
        <w:rPr>
          <w:shd w:val="clear" w:color="auto" w:fill="FFFFFF"/>
        </w:rPr>
        <w:t xml:space="preserve"> </w:t>
      </w:r>
      <w:r w:rsidR="006C123F">
        <w:rPr>
          <w:shd w:val="clear" w:color="auto" w:fill="FFFFFF"/>
        </w:rPr>
        <w:t xml:space="preserve"> </w:t>
      </w:r>
      <w:r w:rsidR="005A23A8">
        <w:rPr>
          <w:shd w:val="clear" w:color="auto" w:fill="FFFFFF"/>
        </w:rPr>
        <w:t>The One Strike law</w:t>
      </w:r>
      <w:r w:rsidR="006C123F">
        <w:rPr>
          <w:shd w:val="clear" w:color="auto" w:fill="FFFFFF"/>
        </w:rPr>
        <w:t xml:space="preserve"> additionally</w:t>
      </w:r>
      <w:r w:rsidRPr="006C123F">
        <w:rPr>
          <w:shd w:val="clear" w:color="auto" w:fill="FFFFFF"/>
        </w:rPr>
        <w:t xml:space="preserve"> </w:t>
      </w:r>
      <w:r w:rsidR="007F32A7" w:rsidRPr="006C123F">
        <w:rPr>
          <w:shd w:val="clear" w:color="auto" w:fill="FFFFFF"/>
        </w:rPr>
        <w:t>provides</w:t>
      </w:r>
      <w:proofErr w:type="gramStart"/>
      <w:r w:rsidR="007F32A7" w:rsidRPr="006C123F">
        <w:rPr>
          <w:shd w:val="clear" w:color="auto" w:fill="FFFFFF"/>
        </w:rPr>
        <w:t>:  “</w:t>
      </w:r>
      <w:proofErr w:type="gramEnd"/>
      <w:r w:rsidR="007F32A7" w:rsidRPr="006C123F">
        <w:rPr>
          <w:shd w:val="clear" w:color="auto" w:fill="FFFFFF"/>
        </w:rPr>
        <w:t>The penalties provided in this section shall apply only if the existence of any circumstance specified in subdivision (d) or (e) is alleged in the ac</w:t>
      </w:r>
      <w:r w:rsidR="007F32A7" w:rsidRPr="007F32A7">
        <w:rPr>
          <w:color w:val="212121"/>
          <w:shd w:val="clear" w:color="auto" w:fill="FFFFFF"/>
        </w:rPr>
        <w:t>cusatory pleading pursuant to this section, and is either admitted by the defendant in open court or found to be true by the trier of fact.</w:t>
      </w:r>
      <w:r w:rsidR="007F32A7">
        <w:rPr>
          <w:color w:val="212121"/>
          <w:shd w:val="clear" w:color="auto" w:fill="FFFFFF"/>
        </w:rPr>
        <w:t>”</w:t>
      </w:r>
      <w:r w:rsidR="005A23A8">
        <w:rPr>
          <w:color w:val="212121"/>
          <w:shd w:val="clear" w:color="auto" w:fill="FFFFFF"/>
        </w:rPr>
        <w:t xml:space="preserve">  (§ 667.61, subd. (o).)</w:t>
      </w:r>
    </w:p>
    <w:p w14:paraId="147021FD" w14:textId="27787987" w:rsidR="00D13B2C" w:rsidRDefault="00D13B2C" w:rsidP="00D13B2C">
      <w:pPr>
        <w:pStyle w:val="Text"/>
        <w:ind w:firstLine="0"/>
      </w:pPr>
      <w:r>
        <w:tab/>
      </w:r>
      <w:r>
        <w:tab/>
      </w:r>
      <w:r>
        <w:rPr>
          <w:i/>
          <w:iCs/>
          <w:bdr w:val="none" w:sz="0" w:space="0" w:color="auto" w:frame="1"/>
          <w:shd w:val="clear" w:color="auto" w:fill="FFFFFF"/>
        </w:rPr>
        <w:t>i</w:t>
      </w:r>
      <w:r w:rsidR="001A2AEA">
        <w:rPr>
          <w:i/>
          <w:iCs/>
          <w:bdr w:val="none" w:sz="0" w:space="0" w:color="auto" w:frame="1"/>
          <w:shd w:val="clear" w:color="auto" w:fill="FFFFFF"/>
        </w:rPr>
        <w:t>i</w:t>
      </w:r>
      <w:r>
        <w:rPr>
          <w:i/>
          <w:iCs/>
          <w:bdr w:val="none" w:sz="0" w:space="0" w:color="auto" w:frame="1"/>
          <w:shd w:val="clear" w:color="auto" w:fill="FFFFFF"/>
        </w:rPr>
        <w:t>i.</w:t>
      </w:r>
      <w:r w:rsidR="005A696D">
        <w:rPr>
          <w:i/>
          <w:iCs/>
          <w:bdr w:val="none" w:sz="0" w:space="0" w:color="auto" w:frame="1"/>
          <w:shd w:val="clear" w:color="auto" w:fill="FFFFFF"/>
        </w:rPr>
        <w:tab/>
      </w:r>
      <w:r>
        <w:rPr>
          <w:bdr w:val="none" w:sz="0" w:space="0" w:color="auto" w:frame="1"/>
          <w:shd w:val="clear" w:color="auto" w:fill="FFFFFF"/>
        </w:rPr>
        <w:t>Mancebo</w:t>
      </w:r>
      <w:r>
        <w:rPr>
          <w:i/>
          <w:iCs/>
          <w:bdr w:val="none" w:sz="0" w:space="0" w:color="auto" w:frame="1"/>
          <w:shd w:val="clear" w:color="auto" w:fill="FFFFFF"/>
        </w:rPr>
        <w:t xml:space="preserve"> and Progeny</w:t>
      </w:r>
      <w:r w:rsidRPr="00D13B2C">
        <w:rPr>
          <w:i/>
          <w:iCs/>
        </w:rPr>
        <w:t>.</w:t>
      </w:r>
    </w:p>
    <w:p w14:paraId="473501EC" w14:textId="798BBF3B" w:rsidR="003734D0" w:rsidRDefault="007952EB" w:rsidP="008F3614">
      <w:pPr>
        <w:pStyle w:val="Text"/>
        <w:ind w:firstLine="0"/>
        <w:rPr>
          <w:color w:val="212121"/>
          <w:shd w:val="clear" w:color="auto" w:fill="FFFFFF"/>
        </w:rPr>
      </w:pPr>
      <w:r>
        <w:tab/>
      </w:r>
      <w:r w:rsidRPr="0044001F">
        <w:t xml:space="preserve">In </w:t>
      </w:r>
      <w:r w:rsidRPr="0044001F">
        <w:rPr>
          <w:i/>
          <w:iCs/>
        </w:rPr>
        <w:t>Mancebo</w:t>
      </w:r>
      <w:r w:rsidRPr="0044001F">
        <w:t xml:space="preserve">, </w:t>
      </w:r>
      <w:r w:rsidRPr="0044001F">
        <w:rPr>
          <w:i/>
          <w:iCs/>
        </w:rPr>
        <w:t>supra</w:t>
      </w:r>
      <w:r w:rsidRPr="0044001F">
        <w:t xml:space="preserve">, 27 Cal.4th </w:t>
      </w:r>
      <w:r w:rsidR="00CF095E" w:rsidRPr="0044001F">
        <w:t>7</w:t>
      </w:r>
      <w:r w:rsidRPr="0044001F">
        <w:t xml:space="preserve">35, the </w:t>
      </w:r>
      <w:r w:rsidR="00CF095E" w:rsidRPr="0044001F">
        <w:t>defendant</w:t>
      </w:r>
      <w:r w:rsidRPr="0044001F">
        <w:t xml:space="preserve"> </w:t>
      </w:r>
      <w:r w:rsidR="003734D0" w:rsidRPr="0044001F">
        <w:t xml:space="preserve">was </w:t>
      </w:r>
      <w:r w:rsidR="003734D0" w:rsidRPr="0044001F">
        <w:rPr>
          <w:color w:val="212121"/>
          <w:shd w:val="clear" w:color="auto" w:fill="FFFFFF"/>
        </w:rPr>
        <w:t xml:space="preserve">sentenced to two indeterminate 25-year-to-life terms </w:t>
      </w:r>
      <w:r w:rsidR="00A1502E" w:rsidRPr="0044001F">
        <w:rPr>
          <w:color w:val="212121"/>
          <w:shd w:val="clear" w:color="auto" w:fill="FFFFFF"/>
        </w:rPr>
        <w:t xml:space="preserve">under the One Strike law </w:t>
      </w:r>
      <w:r w:rsidR="003734D0" w:rsidRPr="0044001F">
        <w:rPr>
          <w:color w:val="212121"/>
          <w:shd w:val="clear" w:color="auto" w:fill="FFFFFF"/>
        </w:rPr>
        <w:t>for committ</w:t>
      </w:r>
      <w:r w:rsidR="00A1502E" w:rsidRPr="0044001F">
        <w:rPr>
          <w:color w:val="212121"/>
          <w:shd w:val="clear" w:color="auto" w:fill="FFFFFF"/>
        </w:rPr>
        <w:t>ing</w:t>
      </w:r>
      <w:r w:rsidR="003734D0" w:rsidRPr="0044001F">
        <w:rPr>
          <w:color w:val="212121"/>
          <w:shd w:val="clear" w:color="auto" w:fill="FFFFFF"/>
        </w:rPr>
        <w:t xml:space="preserve"> forcible</w:t>
      </w:r>
      <w:r w:rsidR="00A1502E" w:rsidRPr="0044001F">
        <w:t xml:space="preserve"> </w:t>
      </w:r>
      <w:r w:rsidR="003734D0" w:rsidRPr="0044001F">
        <w:rPr>
          <w:color w:val="212121"/>
          <w:shd w:val="clear" w:color="auto" w:fill="FFFFFF"/>
        </w:rPr>
        <w:t xml:space="preserve">rape against one victim under the specified circumstances of gun use and </w:t>
      </w:r>
      <w:r w:rsidR="003734D0" w:rsidRPr="007E14BF">
        <w:rPr>
          <w:color w:val="212121"/>
          <w:shd w:val="clear" w:color="auto" w:fill="FFFFFF"/>
        </w:rPr>
        <w:t>kidnapping, and forcible sodomy against the other victim under the specified circumstances of gun use and tying or binding.</w:t>
      </w:r>
      <w:r w:rsidR="00A1502E" w:rsidRPr="007E14BF">
        <w:rPr>
          <w:color w:val="212121"/>
          <w:shd w:val="clear" w:color="auto" w:fill="FFFFFF"/>
        </w:rPr>
        <w:t xml:space="preserve">  (</w:t>
      </w:r>
      <w:r w:rsidR="00A1502E" w:rsidRPr="007E14BF">
        <w:rPr>
          <w:i/>
          <w:iCs/>
          <w:color w:val="212121"/>
          <w:shd w:val="clear" w:color="auto" w:fill="FFFFFF"/>
        </w:rPr>
        <w:t>Id.</w:t>
      </w:r>
      <w:r w:rsidR="00A1502E" w:rsidRPr="007E14BF">
        <w:rPr>
          <w:color w:val="212121"/>
          <w:shd w:val="clear" w:color="auto" w:fill="FFFFFF"/>
        </w:rPr>
        <w:t xml:space="preserve"> at p. </w:t>
      </w:r>
      <w:r w:rsidR="0044001F" w:rsidRPr="007E14BF">
        <w:rPr>
          <w:color w:val="212121"/>
          <w:shd w:val="clear" w:color="auto" w:fill="FFFFFF"/>
        </w:rPr>
        <w:t>738</w:t>
      </w:r>
      <w:r w:rsidR="00A1502E" w:rsidRPr="007E14BF">
        <w:rPr>
          <w:color w:val="212121"/>
          <w:shd w:val="clear" w:color="auto" w:fill="FFFFFF"/>
        </w:rPr>
        <w:t>; see §</w:t>
      </w:r>
      <w:r w:rsidR="007E14BF" w:rsidRPr="007E14BF">
        <w:rPr>
          <w:color w:val="212121"/>
          <w:shd w:val="clear" w:color="auto" w:fill="FFFFFF"/>
        </w:rPr>
        <w:t> </w:t>
      </w:r>
      <w:r w:rsidR="00A1502E" w:rsidRPr="007E14BF">
        <w:rPr>
          <w:color w:val="212121"/>
          <w:shd w:val="clear" w:color="auto" w:fill="FFFFFF"/>
        </w:rPr>
        <w:t xml:space="preserve">667.61, subds. </w:t>
      </w:r>
      <w:r w:rsidR="0044001F" w:rsidRPr="007E14BF">
        <w:rPr>
          <w:color w:val="212121"/>
          <w:shd w:val="clear" w:color="auto" w:fill="FFFFFF"/>
        </w:rPr>
        <w:t>(a) &amp; (e)(1), (3), (5)</w:t>
      </w:r>
      <w:r w:rsidR="00A1502E" w:rsidRPr="007E14BF">
        <w:rPr>
          <w:color w:val="212121"/>
          <w:shd w:val="clear" w:color="auto" w:fill="FFFFFF"/>
        </w:rPr>
        <w:t>.)</w:t>
      </w:r>
      <w:r w:rsidR="007E14BF" w:rsidRPr="007E14BF">
        <w:rPr>
          <w:color w:val="212121"/>
          <w:shd w:val="clear" w:color="auto" w:fill="FFFFFF"/>
        </w:rPr>
        <w:t xml:space="preserve">  He was also sentenced to additional ten-year terms with respect to each sexual offense for personally using a gun in </w:t>
      </w:r>
      <w:r w:rsidR="0057292E">
        <w:rPr>
          <w:color w:val="212121"/>
          <w:shd w:val="clear" w:color="auto" w:fill="FFFFFF"/>
        </w:rPr>
        <w:t>its</w:t>
      </w:r>
      <w:r w:rsidR="007E14BF" w:rsidRPr="007E14BF">
        <w:rPr>
          <w:color w:val="212121"/>
          <w:shd w:val="clear" w:color="auto" w:fill="FFFFFF"/>
        </w:rPr>
        <w:t xml:space="preserve"> commission </w:t>
      </w:r>
      <w:r w:rsidR="0057292E">
        <w:rPr>
          <w:color w:val="212121"/>
          <w:shd w:val="clear" w:color="auto" w:fill="FFFFFF"/>
        </w:rPr>
        <w:t>as specified in</w:t>
      </w:r>
      <w:r w:rsidR="007E14BF" w:rsidRPr="007E14BF">
        <w:rPr>
          <w:color w:val="212121"/>
          <w:shd w:val="clear" w:color="auto" w:fill="FFFFFF"/>
        </w:rPr>
        <w:t xml:space="preserve"> section 12022.5, subdivision (a)</w:t>
      </w:r>
      <w:r w:rsidR="0057292E">
        <w:rPr>
          <w:color w:val="212121"/>
          <w:shd w:val="clear" w:color="auto" w:fill="FFFFFF"/>
        </w:rPr>
        <w:t>.</w:t>
      </w:r>
      <w:r w:rsidR="00D13B2C">
        <w:rPr>
          <w:color w:val="212121"/>
          <w:shd w:val="clear" w:color="auto" w:fill="FFFFFF"/>
        </w:rPr>
        <w:t xml:space="preserve">  </w:t>
      </w:r>
      <w:r w:rsidR="007E14BF" w:rsidRPr="007E14BF">
        <w:rPr>
          <w:color w:val="212121"/>
          <w:shd w:val="clear" w:color="auto" w:fill="FFFFFF"/>
        </w:rPr>
        <w:t>(</w:t>
      </w:r>
      <w:r w:rsidR="007E14BF" w:rsidRPr="007E14BF">
        <w:rPr>
          <w:i/>
          <w:iCs/>
          <w:color w:val="212121"/>
          <w:shd w:val="clear" w:color="auto" w:fill="FFFFFF"/>
        </w:rPr>
        <w:t>Mancebo</w:t>
      </w:r>
      <w:r w:rsidR="007E14BF" w:rsidRPr="007E14BF">
        <w:rPr>
          <w:color w:val="212121"/>
          <w:shd w:val="clear" w:color="auto" w:fill="FFFFFF"/>
        </w:rPr>
        <w:t>, at p. 738.)</w:t>
      </w:r>
      <w:r w:rsidR="0057292E">
        <w:rPr>
          <w:color w:val="212121"/>
          <w:shd w:val="clear" w:color="auto" w:fill="FFFFFF"/>
        </w:rPr>
        <w:t xml:space="preserve">  Recognizing that the gun use allegation could not be used to enhance the sentence twice</w:t>
      </w:r>
      <w:r w:rsidR="008B5F9B">
        <w:rPr>
          <w:color w:val="212121"/>
          <w:shd w:val="clear" w:color="auto" w:fill="FFFFFF"/>
        </w:rPr>
        <w:t xml:space="preserve"> (see § 667.61, subd. (f))</w:t>
      </w:r>
      <w:r w:rsidR="0057292E">
        <w:rPr>
          <w:color w:val="212121"/>
          <w:shd w:val="clear" w:color="auto" w:fill="FFFFFF"/>
        </w:rPr>
        <w:t xml:space="preserve">, the trial court </w:t>
      </w:r>
      <w:r w:rsidR="008B5F9B">
        <w:rPr>
          <w:color w:val="212121"/>
          <w:shd w:val="clear" w:color="auto" w:fill="FFFFFF"/>
        </w:rPr>
        <w:t>substituted a multiple victim circumstance for the gun use circumstance based on the facts impliedly found at trial</w:t>
      </w:r>
      <w:r w:rsidR="007B53FE">
        <w:rPr>
          <w:color w:val="212121"/>
          <w:shd w:val="clear" w:color="auto" w:fill="FFFFFF"/>
        </w:rPr>
        <w:t>,</w:t>
      </w:r>
      <w:r w:rsidR="008B5F9B">
        <w:rPr>
          <w:color w:val="212121"/>
          <w:shd w:val="clear" w:color="auto" w:fill="FFFFFF"/>
        </w:rPr>
        <w:t xml:space="preserve"> even though the information in the case never expressly alleged a multiple victim circumstance under section 667.61, subdivision (e)(4).  (</w:t>
      </w:r>
      <w:r w:rsidR="008B5F9B">
        <w:rPr>
          <w:i/>
          <w:iCs/>
          <w:color w:val="212121"/>
          <w:shd w:val="clear" w:color="auto" w:fill="FFFFFF"/>
        </w:rPr>
        <w:t>Mancebo</w:t>
      </w:r>
      <w:r w:rsidR="008B5F9B">
        <w:rPr>
          <w:color w:val="212121"/>
          <w:shd w:val="clear" w:color="auto" w:fill="FFFFFF"/>
        </w:rPr>
        <w:t>, at pp. 738–739.)</w:t>
      </w:r>
    </w:p>
    <w:p w14:paraId="4E3F5C92" w14:textId="53FF4170" w:rsidR="006125C8" w:rsidRDefault="008B5F9B" w:rsidP="006125C8">
      <w:pPr>
        <w:pStyle w:val="Text"/>
        <w:ind w:firstLine="0"/>
        <w:rPr>
          <w:color w:val="212121"/>
          <w:shd w:val="clear" w:color="auto" w:fill="FFFFFF"/>
        </w:rPr>
      </w:pPr>
      <w:r>
        <w:rPr>
          <w:color w:val="212121"/>
          <w:shd w:val="clear" w:color="auto" w:fill="FFFFFF"/>
        </w:rPr>
        <w:tab/>
      </w:r>
      <w:r w:rsidR="007B53FE" w:rsidRPr="007B53FE">
        <w:rPr>
          <w:color w:val="212121"/>
          <w:shd w:val="clear" w:color="auto" w:fill="FFFFFF"/>
        </w:rPr>
        <w:t>The Supreme Court agreed with the appellate court that imposition of the</w:t>
      </w:r>
      <w:r w:rsidR="006C1BF6">
        <w:rPr>
          <w:color w:val="212121"/>
          <w:shd w:val="clear" w:color="auto" w:fill="FFFFFF"/>
        </w:rPr>
        <w:t xml:space="preserve"> </w:t>
      </w:r>
      <w:r w:rsidR="007B53FE" w:rsidRPr="007B53FE">
        <w:rPr>
          <w:color w:val="212121"/>
          <w:shd w:val="clear" w:color="auto" w:fill="FFFFFF"/>
        </w:rPr>
        <w:t>section 12022.5, subdivision (a)</w:t>
      </w:r>
      <w:r w:rsidR="006C1BF6">
        <w:rPr>
          <w:color w:val="212121"/>
          <w:shd w:val="clear" w:color="auto" w:fill="FFFFFF"/>
        </w:rPr>
        <w:t xml:space="preserve"> </w:t>
      </w:r>
      <w:r w:rsidR="007B53FE" w:rsidRPr="007B53FE">
        <w:rPr>
          <w:color w:val="212121"/>
          <w:shd w:val="clear" w:color="auto" w:fill="FFFFFF"/>
        </w:rPr>
        <w:t>gun-use enhancements under these facts violated the One Strike law’s pleading and proof requirements, implicated the defendant</w:t>
      </w:r>
      <w:r w:rsidR="007B53FE">
        <w:rPr>
          <w:color w:val="212121"/>
          <w:shd w:val="clear" w:color="auto" w:fill="FFFFFF"/>
        </w:rPr>
        <w:t>’</w:t>
      </w:r>
      <w:r w:rsidR="007B53FE" w:rsidRPr="007B53FE">
        <w:rPr>
          <w:color w:val="212121"/>
          <w:shd w:val="clear" w:color="auto" w:fill="FFFFFF"/>
        </w:rPr>
        <w:t>s due process rights, and resulted in an unauthorized sentence.</w:t>
      </w:r>
      <w:r w:rsidR="007B53FE">
        <w:rPr>
          <w:color w:val="212121"/>
          <w:shd w:val="clear" w:color="auto" w:fill="FFFFFF"/>
        </w:rPr>
        <w:t xml:space="preserve">  (</w:t>
      </w:r>
      <w:r w:rsidR="007B53FE">
        <w:rPr>
          <w:i/>
          <w:iCs/>
          <w:color w:val="212121"/>
          <w:shd w:val="clear" w:color="auto" w:fill="FFFFFF"/>
        </w:rPr>
        <w:t>Mancebo</w:t>
      </w:r>
      <w:r w:rsidR="007B53FE">
        <w:rPr>
          <w:color w:val="212121"/>
          <w:shd w:val="clear" w:color="auto" w:fill="FFFFFF"/>
        </w:rPr>
        <w:t xml:space="preserve">, </w:t>
      </w:r>
      <w:r w:rsidR="007B53FE">
        <w:rPr>
          <w:i/>
          <w:iCs/>
          <w:color w:val="212121"/>
          <w:shd w:val="clear" w:color="auto" w:fill="FFFFFF"/>
        </w:rPr>
        <w:t>supra</w:t>
      </w:r>
      <w:r w:rsidR="007B53FE">
        <w:rPr>
          <w:color w:val="212121"/>
          <w:shd w:val="clear" w:color="auto" w:fill="FFFFFF"/>
        </w:rPr>
        <w:t>, 27 Cal.4th at p. 743.)</w:t>
      </w:r>
      <w:r w:rsidR="00CB460C">
        <w:rPr>
          <w:color w:val="212121"/>
          <w:shd w:val="clear" w:color="auto" w:fill="FFFFFF"/>
        </w:rPr>
        <w:t xml:space="preserve">  The Court found the plain language of section 667.61 controlling.  </w:t>
      </w:r>
      <w:r w:rsidR="006125C8">
        <w:rPr>
          <w:color w:val="212121"/>
          <w:shd w:val="clear" w:color="auto" w:fill="FFFFFF"/>
        </w:rPr>
        <w:t>As stated above, s</w:t>
      </w:r>
      <w:r w:rsidR="00CB460C">
        <w:rPr>
          <w:color w:val="212121"/>
          <w:shd w:val="clear" w:color="auto" w:fill="FFFFFF"/>
        </w:rPr>
        <w:t>ubsection (o) of that statute provides</w:t>
      </w:r>
      <w:proofErr w:type="gramStart"/>
      <w:r w:rsidR="00CB460C">
        <w:rPr>
          <w:color w:val="212121"/>
          <w:shd w:val="clear" w:color="auto" w:fill="FFFFFF"/>
        </w:rPr>
        <w:t>:  “</w:t>
      </w:r>
      <w:proofErr w:type="gramEnd"/>
      <w:r w:rsidR="00CB460C">
        <w:rPr>
          <w:color w:val="212121"/>
          <w:shd w:val="clear" w:color="auto" w:fill="FFFFFF"/>
        </w:rPr>
        <w:t>T</w:t>
      </w:r>
      <w:r w:rsidR="00CB460C" w:rsidRPr="00CB460C">
        <w:rPr>
          <w:color w:val="212121"/>
          <w:shd w:val="clear" w:color="auto" w:fill="FFFFFF"/>
        </w:rPr>
        <w:t xml:space="preserve">he penalties provided in this section shall apply only if the existence of any circumstance specified in subdivision (d) or (e) </w:t>
      </w:r>
      <w:r w:rsidR="00CB460C" w:rsidRPr="00DF1F63">
        <w:rPr>
          <w:i/>
          <w:iCs/>
          <w:color w:val="212121"/>
          <w:shd w:val="clear" w:color="auto" w:fill="FFFFFF"/>
        </w:rPr>
        <w:t xml:space="preserve">is alleged in the accusatory pleading </w:t>
      </w:r>
      <w:r w:rsidR="00CB460C" w:rsidRPr="00CB460C">
        <w:rPr>
          <w:color w:val="212121"/>
          <w:shd w:val="clear" w:color="auto" w:fill="FFFFFF"/>
        </w:rPr>
        <w:t>pursuant to this section</w:t>
      </w:r>
      <w:r w:rsidR="00D13B2C">
        <w:rPr>
          <w:color w:val="212121"/>
          <w:shd w:val="clear" w:color="auto" w:fill="FFFFFF"/>
        </w:rPr>
        <w:t>[]</w:t>
      </w:r>
      <w:r w:rsidR="00CB460C" w:rsidRPr="00CB460C">
        <w:rPr>
          <w:color w:val="212121"/>
          <w:shd w:val="clear" w:color="auto" w:fill="FFFFFF"/>
        </w:rPr>
        <w:t xml:space="preserve"> and is either admitted by the defendant in open court or found to be true by the trier of fact.</w:t>
      </w:r>
      <w:r w:rsidR="00DF1F63">
        <w:rPr>
          <w:color w:val="212121"/>
          <w:shd w:val="clear" w:color="auto" w:fill="FFFFFF"/>
        </w:rPr>
        <w:t>”  (Italics added.)  Since the multiple victim circumstance was not alleged in the information in the case, “[s]</w:t>
      </w:r>
      <w:r w:rsidR="00DF1F63" w:rsidRPr="00DF1F63">
        <w:rPr>
          <w:color w:val="212121"/>
          <w:shd w:val="clear" w:color="auto" w:fill="FFFFFF"/>
        </w:rPr>
        <w:t>ubstitution of that unpleaded circumstance for the first time at sentencing as a basis for imposing the indeterminate terms violated the explicit pleading provisions of the One Strike law.</w:t>
      </w:r>
      <w:r w:rsidR="00DF1F63">
        <w:rPr>
          <w:color w:val="212121"/>
          <w:shd w:val="clear" w:color="auto" w:fill="FFFFFF"/>
        </w:rPr>
        <w:t>”  (</w:t>
      </w:r>
      <w:r w:rsidR="00DF1F63">
        <w:rPr>
          <w:i/>
          <w:iCs/>
          <w:color w:val="212121"/>
          <w:shd w:val="clear" w:color="auto" w:fill="FFFFFF"/>
        </w:rPr>
        <w:t>Mancebo</w:t>
      </w:r>
      <w:r w:rsidR="00DF1F63">
        <w:rPr>
          <w:color w:val="212121"/>
          <w:shd w:val="clear" w:color="auto" w:fill="FFFFFF"/>
        </w:rPr>
        <w:t xml:space="preserve">, at p. 743.)  </w:t>
      </w:r>
    </w:p>
    <w:p w14:paraId="2C6A3A37" w14:textId="0ECD5644" w:rsidR="006125C8" w:rsidRDefault="006125C8" w:rsidP="006125C8">
      <w:pPr>
        <w:pStyle w:val="Text"/>
        <w:ind w:firstLine="0"/>
        <w:rPr>
          <w:color w:val="212121"/>
          <w:shd w:val="clear" w:color="auto" w:fill="FFFFFF"/>
        </w:rPr>
      </w:pPr>
      <w:r>
        <w:rPr>
          <w:color w:val="212121"/>
          <w:shd w:val="clear" w:color="auto" w:fill="FFFFFF"/>
        </w:rPr>
        <w:tab/>
      </w:r>
      <w:r w:rsidR="008414CB" w:rsidRPr="006125C8">
        <w:rPr>
          <w:color w:val="212121"/>
          <w:shd w:val="clear" w:color="auto" w:fill="FFFFFF"/>
        </w:rPr>
        <w:t xml:space="preserve">In reaching this conclusion, the </w:t>
      </w:r>
      <w:r w:rsidR="00D13B2C" w:rsidRPr="006125C8">
        <w:rPr>
          <w:color w:val="212121"/>
          <w:shd w:val="clear" w:color="auto" w:fill="FFFFFF"/>
        </w:rPr>
        <w:t xml:space="preserve">Supreme </w:t>
      </w:r>
      <w:r w:rsidR="008414CB" w:rsidRPr="006125C8">
        <w:rPr>
          <w:color w:val="212121"/>
          <w:shd w:val="clear" w:color="auto" w:fill="FFFFFF"/>
        </w:rPr>
        <w:t xml:space="preserve">Court rejected the argument that multiple victim circumstances had effectively been pled because the information included charges for two qualifying offenses </w:t>
      </w:r>
      <w:r w:rsidR="005A23A8">
        <w:rPr>
          <w:color w:val="212121"/>
          <w:shd w:val="clear" w:color="auto" w:fill="FFFFFF"/>
        </w:rPr>
        <w:t xml:space="preserve">against separate victims </w:t>
      </w:r>
      <w:r w:rsidR="008414CB" w:rsidRPr="006125C8">
        <w:rPr>
          <w:color w:val="212121"/>
          <w:shd w:val="clear" w:color="auto" w:fill="FFFFFF"/>
        </w:rPr>
        <w:t>which were found true by the jury.  (</w:t>
      </w:r>
      <w:r w:rsidR="008414CB" w:rsidRPr="006125C8">
        <w:rPr>
          <w:i/>
          <w:iCs/>
          <w:color w:val="212121"/>
          <w:shd w:val="clear" w:color="auto" w:fill="FFFFFF"/>
        </w:rPr>
        <w:t>Mancebo</w:t>
      </w:r>
      <w:r w:rsidR="008414CB" w:rsidRPr="006125C8">
        <w:rPr>
          <w:color w:val="212121"/>
          <w:shd w:val="clear" w:color="auto" w:fill="FFFFFF"/>
        </w:rPr>
        <w:t xml:space="preserve">, </w:t>
      </w:r>
      <w:r w:rsidR="008414CB" w:rsidRPr="006125C8">
        <w:rPr>
          <w:i/>
          <w:iCs/>
          <w:color w:val="212121"/>
          <w:shd w:val="clear" w:color="auto" w:fill="FFFFFF"/>
        </w:rPr>
        <w:t>supra</w:t>
      </w:r>
      <w:r w:rsidR="008414CB" w:rsidRPr="006125C8">
        <w:rPr>
          <w:color w:val="212121"/>
          <w:shd w:val="clear" w:color="auto" w:fill="FFFFFF"/>
        </w:rPr>
        <w:t>, 27 Cal.4th at pp. 744–745.)  The Supreme Court reasoned</w:t>
      </w:r>
      <w:proofErr w:type="gramStart"/>
      <w:r w:rsidR="008414CB" w:rsidRPr="006125C8">
        <w:rPr>
          <w:color w:val="212121"/>
          <w:shd w:val="clear" w:color="auto" w:fill="FFFFFF"/>
        </w:rPr>
        <w:t>:  “</w:t>
      </w:r>
      <w:proofErr w:type="gramEnd"/>
      <w:r w:rsidR="008414CB" w:rsidRPr="006125C8">
        <w:rPr>
          <w:color w:val="212121"/>
          <w:shd w:val="clear" w:color="auto" w:fill="FFFFFF"/>
        </w:rPr>
        <w:t>[N]o factual allegation in the information or pleading in the statutory language informed defendant that if he was convicted of the underlying charged offenses, the court would consider his multiple convictions as a basis for One Strike sentencing . . . .   Thus, the pleading was inadequate because it failed to put defendant on notice that the People, for the first time at sentencing, would seek to use the multiple victim circumstance to secure indeterminate One Strike terms under</w:t>
      </w:r>
      <w:r w:rsidR="006C1BF6">
        <w:rPr>
          <w:color w:val="212121"/>
          <w:shd w:val="clear" w:color="auto" w:fill="FFFFFF"/>
        </w:rPr>
        <w:t xml:space="preserve"> </w:t>
      </w:r>
      <w:r w:rsidR="008414CB" w:rsidRPr="006125C8">
        <w:rPr>
          <w:color w:val="212121"/>
          <w:shd w:val="clear" w:color="auto" w:fill="FFFFFF"/>
        </w:rPr>
        <w:t>section 667.61, subdivision (a)</w:t>
      </w:r>
      <w:r w:rsidR="006C1BF6">
        <w:rPr>
          <w:color w:val="212121"/>
          <w:shd w:val="clear" w:color="auto" w:fill="FFFFFF"/>
        </w:rPr>
        <w:t xml:space="preserve"> </w:t>
      </w:r>
      <w:r w:rsidR="008414CB" w:rsidRPr="006125C8">
        <w:rPr>
          <w:i/>
          <w:iCs/>
          <w:color w:val="212121"/>
          <w:bdr w:val="none" w:sz="0" w:space="0" w:color="auto" w:frame="1"/>
          <w:shd w:val="clear" w:color="auto" w:fill="FFFFFF"/>
        </w:rPr>
        <w:t>and</w:t>
      </w:r>
      <w:r w:rsidR="006C1BF6">
        <w:rPr>
          <w:color w:val="212121"/>
          <w:shd w:val="clear" w:color="auto" w:fill="FFFFFF"/>
        </w:rPr>
        <w:t xml:space="preserve"> </w:t>
      </w:r>
      <w:r w:rsidR="008414CB" w:rsidRPr="006125C8">
        <w:rPr>
          <w:color w:val="212121"/>
          <w:shd w:val="clear" w:color="auto" w:fill="FFFFFF"/>
        </w:rPr>
        <w:t>use the circumstance of gun use to secure additional enhancements under section 12022.5(a).”  (</w:t>
      </w:r>
      <w:r w:rsidR="008414CB" w:rsidRPr="006125C8">
        <w:rPr>
          <w:i/>
          <w:iCs/>
          <w:color w:val="212121"/>
          <w:shd w:val="clear" w:color="auto" w:fill="FFFFFF"/>
        </w:rPr>
        <w:t>Mancebo</w:t>
      </w:r>
      <w:r w:rsidR="008414CB" w:rsidRPr="006125C8">
        <w:rPr>
          <w:color w:val="212121"/>
          <w:shd w:val="clear" w:color="auto" w:fill="FFFFFF"/>
        </w:rPr>
        <w:t>, at p. 745</w:t>
      </w:r>
      <w:r w:rsidRPr="006125C8">
        <w:rPr>
          <w:color w:val="212121"/>
          <w:shd w:val="clear" w:color="auto" w:fill="FFFFFF"/>
        </w:rPr>
        <w:t xml:space="preserve">; </w:t>
      </w:r>
      <w:r w:rsidRPr="006125C8">
        <w:rPr>
          <w:i/>
          <w:iCs/>
          <w:color w:val="212121"/>
          <w:shd w:val="clear" w:color="auto" w:fill="FFFFFF"/>
        </w:rPr>
        <w:t>id.</w:t>
      </w:r>
      <w:r w:rsidRPr="006125C8">
        <w:rPr>
          <w:color w:val="212121"/>
          <w:shd w:val="clear" w:color="auto" w:fill="FFFFFF"/>
        </w:rPr>
        <w:t xml:space="preserve"> at p. 747 [</w:t>
      </w:r>
      <w:r w:rsidR="00733289">
        <w:rPr>
          <w:color w:val="212121"/>
          <w:shd w:val="clear" w:color="auto" w:fill="FFFFFF"/>
        </w:rPr>
        <w:t>“</w:t>
      </w:r>
      <w:r w:rsidRPr="006125C8">
        <w:rPr>
          <w:color w:val="000000"/>
        </w:rPr>
        <w:t>in addition to the statutory requirements that enhancement provisions be pleaded and proven, a defendant has a cognizable due process right to fair notice of the specific sentence enhancement allegations that will</w:t>
      </w:r>
      <w:r>
        <w:rPr>
          <w:color w:val="000000"/>
        </w:rPr>
        <w:t xml:space="preserve"> be invoked to </w:t>
      </w:r>
      <w:r w:rsidRPr="006125C8">
        <w:rPr>
          <w:color w:val="000000"/>
        </w:rPr>
        <w:t xml:space="preserve">increase punishment for </w:t>
      </w:r>
      <w:r>
        <w:rPr>
          <w:color w:val="000000"/>
        </w:rPr>
        <w:t>[his or her]</w:t>
      </w:r>
      <w:r w:rsidRPr="006125C8">
        <w:rPr>
          <w:color w:val="000000"/>
        </w:rPr>
        <w:t xml:space="preserve"> crimes”</w:t>
      </w:r>
      <w:r w:rsidRPr="006125C8">
        <w:rPr>
          <w:color w:val="212121"/>
          <w:shd w:val="clear" w:color="auto" w:fill="FFFFFF"/>
        </w:rPr>
        <w:t>]</w:t>
      </w:r>
      <w:r w:rsidR="008414CB" w:rsidRPr="006125C8">
        <w:rPr>
          <w:color w:val="212121"/>
          <w:shd w:val="clear" w:color="auto" w:fill="FFFFFF"/>
        </w:rPr>
        <w:t>.)</w:t>
      </w:r>
      <w:r w:rsidR="003A071A">
        <w:rPr>
          <w:rStyle w:val="FootnoteReference"/>
          <w:color w:val="212121"/>
          <w:shd w:val="clear" w:color="auto" w:fill="FFFFFF"/>
        </w:rPr>
        <w:footnoteReference w:id="5"/>
      </w:r>
      <w:r w:rsidR="008414CB" w:rsidRPr="006125C8">
        <w:rPr>
          <w:color w:val="212121"/>
          <w:shd w:val="clear" w:color="auto" w:fill="FFFFFF"/>
        </w:rPr>
        <w:t xml:space="preserve"> </w:t>
      </w:r>
      <w:r>
        <w:rPr>
          <w:color w:val="212121"/>
          <w:shd w:val="clear" w:color="auto" w:fill="FFFFFF"/>
        </w:rPr>
        <w:tab/>
      </w:r>
    </w:p>
    <w:p w14:paraId="5C0B0443" w14:textId="2B1A5230" w:rsidR="008414CB" w:rsidRDefault="006125C8" w:rsidP="008F3614">
      <w:pPr>
        <w:pStyle w:val="Text"/>
        <w:ind w:firstLine="0"/>
      </w:pPr>
      <w:r>
        <w:rPr>
          <w:color w:val="212121"/>
          <w:shd w:val="clear" w:color="auto" w:fill="FFFFFF"/>
        </w:rPr>
        <w:tab/>
        <w:t>Because it was clear to the Court that “</w:t>
      </w:r>
      <w:r w:rsidR="003400EE">
        <w:rPr>
          <w:color w:val="000000"/>
        </w:rPr>
        <w:t>the prosecution understood the One Strike law</w:t>
      </w:r>
      <w:r>
        <w:rPr>
          <w:color w:val="000000"/>
        </w:rPr>
        <w:t>’</w:t>
      </w:r>
      <w:r w:rsidR="003400EE">
        <w:rPr>
          <w:color w:val="000000"/>
        </w:rPr>
        <w:t>s express pleading requirements and knew how to comply with them</w:t>
      </w:r>
      <w:r>
        <w:rPr>
          <w:color w:val="000000"/>
        </w:rPr>
        <w:t>,”</w:t>
      </w:r>
      <w:r w:rsidR="003400EE">
        <w:rPr>
          <w:color w:val="000000"/>
        </w:rPr>
        <w:t xml:space="preserve"> </w:t>
      </w:r>
      <w:r w:rsidR="004A33F3">
        <w:rPr>
          <w:color w:val="000000"/>
        </w:rPr>
        <w:t xml:space="preserve">the Supreme </w:t>
      </w:r>
      <w:r w:rsidR="00B66E36">
        <w:rPr>
          <w:color w:val="000000"/>
        </w:rPr>
        <w:t>C</w:t>
      </w:r>
      <w:r w:rsidR="004A33F3" w:rsidRPr="00A60CFE">
        <w:rPr>
          <w:color w:val="000000"/>
        </w:rPr>
        <w:t>ourt concluded “</w:t>
      </w:r>
      <w:r w:rsidR="003400EE" w:rsidRPr="00A60CFE">
        <w:rPr>
          <w:color w:val="000000"/>
        </w:rPr>
        <w:t>that the People</w:t>
      </w:r>
      <w:r w:rsidR="00733289">
        <w:rPr>
          <w:color w:val="000000"/>
        </w:rPr>
        <w:t>’</w:t>
      </w:r>
      <w:r w:rsidR="003400EE" w:rsidRPr="00A60CFE">
        <w:rPr>
          <w:color w:val="000000"/>
        </w:rPr>
        <w:t>s failure to include a multiple-victim-circumstance allegation must be deemed a discretionary charging decision.</w:t>
      </w:r>
      <w:r w:rsidR="004A33F3" w:rsidRPr="00A60CFE">
        <w:rPr>
          <w:color w:val="000000"/>
        </w:rPr>
        <w:t>”  (</w:t>
      </w:r>
      <w:r w:rsidR="004A33F3" w:rsidRPr="00A60CFE">
        <w:rPr>
          <w:i/>
          <w:iCs/>
          <w:color w:val="000000"/>
        </w:rPr>
        <w:t>Mancebo</w:t>
      </w:r>
      <w:r w:rsidR="004A33F3" w:rsidRPr="00A60CFE">
        <w:rPr>
          <w:color w:val="000000"/>
        </w:rPr>
        <w:t xml:space="preserve">, </w:t>
      </w:r>
      <w:r w:rsidR="004A33F3" w:rsidRPr="00A60CFE">
        <w:rPr>
          <w:i/>
          <w:iCs/>
          <w:color w:val="000000"/>
        </w:rPr>
        <w:t>supra</w:t>
      </w:r>
      <w:r w:rsidR="004A33F3" w:rsidRPr="00A60CFE">
        <w:rPr>
          <w:color w:val="000000"/>
        </w:rPr>
        <w:t>, 27 Cal.4th at p. 749.)  Moreover, under such circumstances</w:t>
      </w:r>
      <w:r w:rsidR="003400EE" w:rsidRPr="00A60CFE">
        <w:rPr>
          <w:rStyle w:val="ssrfcpassagedeactivated"/>
          <w:color w:val="000000"/>
          <w:bdr w:val="none" w:sz="0" w:space="0" w:color="auto" w:frame="1"/>
        </w:rPr>
        <w:t xml:space="preserve">, </w:t>
      </w:r>
      <w:r w:rsidR="00733289">
        <w:rPr>
          <w:rStyle w:val="ssrfcpassagedeactivated"/>
          <w:color w:val="000000"/>
          <w:bdr w:val="none" w:sz="0" w:space="0" w:color="auto" w:frame="1"/>
        </w:rPr>
        <w:t>“</w:t>
      </w:r>
      <w:r w:rsidR="003400EE" w:rsidRPr="00A60CFE">
        <w:rPr>
          <w:rStyle w:val="ssrfcpassagedeactivated"/>
          <w:color w:val="000000"/>
          <w:bdr w:val="none" w:sz="0" w:space="0" w:color="auto" w:frame="1"/>
        </w:rPr>
        <w:t>the doctrines of waiver and estoppel, rather than harmless error, apply.</w:t>
      </w:r>
      <w:r w:rsidR="004A33F3" w:rsidRPr="00A60CFE">
        <w:rPr>
          <w:rStyle w:val="ssrfcpassagedeactivated"/>
          <w:color w:val="000000"/>
          <w:bdr w:val="none" w:sz="0" w:space="0" w:color="auto" w:frame="1"/>
        </w:rPr>
        <w:t>”  (</w:t>
      </w:r>
      <w:r w:rsidR="004A33F3" w:rsidRPr="00A60CFE">
        <w:rPr>
          <w:rStyle w:val="ssrfcpassagedeactivated"/>
          <w:i/>
          <w:iCs/>
          <w:color w:val="000000"/>
          <w:bdr w:val="none" w:sz="0" w:space="0" w:color="auto" w:frame="1"/>
        </w:rPr>
        <w:t>Ibid.</w:t>
      </w:r>
      <w:r w:rsidR="00A60CFE" w:rsidRPr="00A60CFE">
        <w:rPr>
          <w:rStyle w:val="ssrfcpassagedeactivated"/>
          <w:color w:val="000000"/>
          <w:bdr w:val="none" w:sz="0" w:space="0" w:color="auto" w:frame="1"/>
        </w:rPr>
        <w:t xml:space="preserve">, citing </w:t>
      </w:r>
      <w:r w:rsidR="00A60CFE" w:rsidRPr="00A60CFE">
        <w:rPr>
          <w:rStyle w:val="ssrfcpassagedeactivated"/>
          <w:i/>
          <w:iCs/>
          <w:color w:val="000000"/>
          <w:bdr w:val="none" w:sz="0" w:space="0" w:color="auto" w:frame="1"/>
        </w:rPr>
        <w:t xml:space="preserve">People v. </w:t>
      </w:r>
      <w:r w:rsidR="003400EE" w:rsidRPr="00A60CFE">
        <w:rPr>
          <w:rStyle w:val="ssit"/>
          <w:i/>
          <w:iCs/>
          <w:color w:val="000000"/>
          <w:bdr w:val="none" w:sz="0" w:space="0" w:color="auto" w:frame="1"/>
        </w:rPr>
        <w:t>Hernandez</w:t>
      </w:r>
      <w:r w:rsidR="00A60CFE" w:rsidRPr="00A60CFE">
        <w:rPr>
          <w:rStyle w:val="ssit"/>
          <w:color w:val="000000"/>
          <w:bdr w:val="none" w:sz="0" w:space="0" w:color="auto" w:frame="1"/>
        </w:rPr>
        <w:t xml:space="preserve"> (1988)</w:t>
      </w:r>
      <w:r w:rsidR="003400EE" w:rsidRPr="00A60CFE">
        <w:rPr>
          <w:rStyle w:val="ssrfcpassagedeactivated"/>
          <w:color w:val="000000"/>
          <w:bdr w:val="none" w:sz="0" w:space="0" w:color="auto" w:frame="1"/>
        </w:rPr>
        <w:t xml:space="preserve"> 46 Cal.3d </w:t>
      </w:r>
      <w:r w:rsidR="00A60CFE" w:rsidRPr="00A60CFE">
        <w:rPr>
          <w:rStyle w:val="ssrfcpassagedeactivated"/>
          <w:color w:val="000000"/>
          <w:bdr w:val="none" w:sz="0" w:space="0" w:color="auto" w:frame="1"/>
        </w:rPr>
        <w:t xml:space="preserve">194, </w:t>
      </w:r>
      <w:r w:rsidR="003400EE" w:rsidRPr="00A60CFE">
        <w:rPr>
          <w:rStyle w:val="ssrfcpassagedeactivated"/>
          <w:color w:val="000000"/>
          <w:bdr w:val="none" w:sz="0" w:space="0" w:color="auto" w:frame="1"/>
        </w:rPr>
        <w:t>208</w:t>
      </w:r>
      <w:r w:rsidR="00A60CFE" w:rsidRPr="00A60CFE">
        <w:rPr>
          <w:rStyle w:val="ssrfcpassagedeactivated"/>
          <w:color w:val="000000"/>
          <w:bdr w:val="none" w:sz="0" w:space="0" w:color="auto" w:frame="1"/>
        </w:rPr>
        <w:t>–</w:t>
      </w:r>
      <w:r w:rsidR="003400EE" w:rsidRPr="00A60CFE">
        <w:rPr>
          <w:rStyle w:val="ssrfcpassagedeactivated"/>
          <w:color w:val="000000"/>
          <w:bdr w:val="none" w:sz="0" w:space="0" w:color="auto" w:frame="1"/>
        </w:rPr>
        <w:t>209 [</w:t>
      </w:r>
      <w:r w:rsidR="00A60CFE" w:rsidRPr="00A60CFE">
        <w:rPr>
          <w:rStyle w:val="ssrfcpassagedeactivated"/>
          <w:color w:val="000000"/>
          <w:bdr w:val="none" w:sz="0" w:space="0" w:color="auto" w:frame="1"/>
        </w:rPr>
        <w:t>“</w:t>
      </w:r>
      <w:r w:rsidR="003400EE" w:rsidRPr="00A60CFE">
        <w:rPr>
          <w:rStyle w:val="ssrfcpassagedeactivated"/>
          <w:color w:val="000000"/>
          <w:bdr w:val="none" w:sz="0" w:space="0" w:color="auto" w:frame="1"/>
        </w:rPr>
        <w:t xml:space="preserve">It is unnecessary to . . . engage in a harmless-error analysis when </w:t>
      </w:r>
      <w:r w:rsidR="00A60CFE" w:rsidRPr="00A60CFE">
        <w:rPr>
          <w:rStyle w:val="ssrfcpassagedeactivated"/>
          <w:color w:val="000000"/>
          <w:bdr w:val="none" w:sz="0" w:space="0" w:color="auto" w:frame="1"/>
        </w:rPr>
        <w:t xml:space="preserve">[the] </w:t>
      </w:r>
      <w:r w:rsidR="003400EE" w:rsidRPr="00A60CFE">
        <w:rPr>
          <w:rStyle w:val="ssrfcpassagedeactivated"/>
          <w:color w:val="000000"/>
          <w:bdr w:val="none" w:sz="0" w:space="0" w:color="auto" w:frame="1"/>
        </w:rPr>
        <w:t>defendant</w:t>
      </w:r>
      <w:r w:rsidR="00A60CFE" w:rsidRPr="00A60CFE">
        <w:rPr>
          <w:rStyle w:val="ssrfcpassagedeactivated"/>
          <w:color w:val="000000"/>
          <w:bdr w:val="none" w:sz="0" w:space="0" w:color="auto" w:frame="1"/>
        </w:rPr>
        <w:t>’</w:t>
      </w:r>
      <w:r w:rsidR="003400EE" w:rsidRPr="00A60CFE">
        <w:rPr>
          <w:rStyle w:val="ssrfcpassagedeactivated"/>
          <w:color w:val="000000"/>
          <w:bdr w:val="none" w:sz="0" w:space="0" w:color="auto" w:frame="1"/>
        </w:rPr>
        <w:t xml:space="preserve">s due process right to notice has been </w:t>
      </w:r>
      <w:r w:rsidR="00733289">
        <w:rPr>
          <w:rStyle w:val="ssrfcpassagedeactivated"/>
          <w:color w:val="000000"/>
          <w:bdr w:val="none" w:sz="0" w:space="0" w:color="auto" w:frame="1"/>
        </w:rPr>
        <w:t xml:space="preserve">so </w:t>
      </w:r>
      <w:r w:rsidR="003400EE" w:rsidRPr="00A60CFE">
        <w:rPr>
          <w:rStyle w:val="ssrfcpassagedeactivated"/>
          <w:color w:val="000000"/>
          <w:bdr w:val="none" w:sz="0" w:space="0" w:color="auto" w:frame="1"/>
        </w:rPr>
        <w:t>completely violated</w:t>
      </w:r>
      <w:r w:rsidR="00A60CFE" w:rsidRPr="00A60CFE">
        <w:rPr>
          <w:rStyle w:val="ssrfcpassagedeactivated"/>
          <w:color w:val="000000"/>
          <w:bdr w:val="none" w:sz="0" w:space="0" w:color="auto" w:frame="1"/>
        </w:rPr>
        <w:t>”</w:t>
      </w:r>
      <w:r w:rsidR="003400EE" w:rsidRPr="00A60CFE">
        <w:rPr>
          <w:rStyle w:val="ssrfcpassagedeactivated"/>
          <w:color w:val="000000"/>
          <w:bdr w:val="none" w:sz="0" w:space="0" w:color="auto" w:frame="1"/>
        </w:rPr>
        <w:t>]</w:t>
      </w:r>
      <w:r w:rsidR="00A60CFE" w:rsidRPr="00A60CFE">
        <w:rPr>
          <w:rStyle w:val="ssrfcpassagedeactivated"/>
          <w:color w:val="000000"/>
          <w:bdr w:val="none" w:sz="0" w:space="0" w:color="auto" w:frame="1"/>
        </w:rPr>
        <w:t>.)  Finally, the Supreme Court underscored the importance of the pleading requirements, noting</w:t>
      </w:r>
      <w:proofErr w:type="gramStart"/>
      <w:r w:rsidR="00A60CFE" w:rsidRPr="00A60CFE">
        <w:rPr>
          <w:rStyle w:val="ssrfcpassagedeactivated"/>
          <w:color w:val="000000"/>
          <w:bdr w:val="none" w:sz="0" w:space="0" w:color="auto" w:frame="1"/>
        </w:rPr>
        <w:t>:  “</w:t>
      </w:r>
      <w:proofErr w:type="gramEnd"/>
      <w:r w:rsidR="00A60CFE" w:rsidRPr="00A60CFE">
        <w:rPr>
          <w:rStyle w:val="ssrfcpassagedeactivated"/>
          <w:color w:val="000000"/>
          <w:bdr w:val="none" w:sz="0" w:space="0" w:color="auto" w:frame="1"/>
        </w:rPr>
        <w:t>[I]</w:t>
      </w:r>
      <w:r w:rsidR="00D13B2C" w:rsidRPr="00A60CFE">
        <w:rPr>
          <w:color w:val="000000"/>
        </w:rPr>
        <w:t>n many instances a defendant</w:t>
      </w:r>
      <w:r w:rsidR="00A60CFE" w:rsidRPr="00A60CFE">
        <w:rPr>
          <w:color w:val="000000"/>
        </w:rPr>
        <w:t>’</w:t>
      </w:r>
      <w:r w:rsidR="00D13B2C" w:rsidRPr="00A60CFE">
        <w:rPr>
          <w:color w:val="000000"/>
        </w:rPr>
        <w:t xml:space="preserve">s decision whether to plea bargain or go to trial will turn on the extent of </w:t>
      </w:r>
      <w:r w:rsidR="00A60CFE" w:rsidRPr="00A60CFE">
        <w:rPr>
          <w:color w:val="000000"/>
        </w:rPr>
        <w:t>[h</w:t>
      </w:r>
      <w:r w:rsidR="00A60CFE">
        <w:rPr>
          <w:color w:val="000000"/>
        </w:rPr>
        <w:t>i</w:t>
      </w:r>
      <w:r w:rsidR="00A60CFE" w:rsidRPr="00A60CFE">
        <w:rPr>
          <w:color w:val="000000"/>
        </w:rPr>
        <w:t>s or her]</w:t>
      </w:r>
      <w:r w:rsidR="00D13B2C" w:rsidRPr="00A60CFE">
        <w:rPr>
          <w:color w:val="000000"/>
        </w:rPr>
        <w:t xml:space="preserve"> exposure to a lengthy prison term.</w:t>
      </w:r>
      <w:r w:rsidR="00A60CFE" w:rsidRPr="00A60CFE">
        <w:rPr>
          <w:color w:val="000000"/>
        </w:rPr>
        <w:t>”</w:t>
      </w:r>
      <w:r w:rsidR="00A60CFE">
        <w:rPr>
          <w:color w:val="000000"/>
        </w:rPr>
        <w:t xml:space="preserve">  (</w:t>
      </w:r>
      <w:r w:rsidR="00A60CFE">
        <w:rPr>
          <w:i/>
          <w:iCs/>
          <w:color w:val="000000"/>
        </w:rPr>
        <w:t>Mancebo</w:t>
      </w:r>
      <w:r w:rsidR="00A60CFE">
        <w:rPr>
          <w:color w:val="000000"/>
        </w:rPr>
        <w:t>,</w:t>
      </w:r>
      <w:r w:rsidR="00A60CFE" w:rsidRPr="00A60CFE">
        <w:rPr>
          <w:color w:val="000000"/>
        </w:rPr>
        <w:t xml:space="preserve"> </w:t>
      </w:r>
      <w:r w:rsidR="00A60CFE">
        <w:rPr>
          <w:color w:val="000000"/>
        </w:rPr>
        <w:t>at p. 752.)</w:t>
      </w:r>
      <w:r w:rsidR="00A60CFE" w:rsidRPr="00A60CFE">
        <w:rPr>
          <w:color w:val="000000"/>
        </w:rPr>
        <w:t xml:space="preserve"> </w:t>
      </w:r>
      <w:r w:rsidR="00D13B2C" w:rsidRPr="00A60CFE">
        <w:rPr>
          <w:color w:val="000000"/>
        </w:rPr>
        <w:t xml:space="preserve"> </w:t>
      </w:r>
    </w:p>
    <w:p w14:paraId="06086549" w14:textId="5AEBC7DE" w:rsidR="00C019F8" w:rsidRDefault="00C05434" w:rsidP="00C019F8">
      <w:pPr>
        <w:pStyle w:val="Text"/>
        <w:ind w:firstLine="0"/>
        <w:rPr>
          <w:rFonts w:eastAsia="Times New Roman"/>
          <w:color w:val="212121"/>
        </w:rPr>
      </w:pPr>
      <w:r>
        <w:tab/>
        <w:t>In</w:t>
      </w:r>
      <w:r w:rsidR="00B668CE">
        <w:t xml:space="preserve"> </w:t>
      </w:r>
      <w:r w:rsidR="0082233E">
        <w:rPr>
          <w:i/>
          <w:iCs/>
        </w:rPr>
        <w:t>Jimenez</w:t>
      </w:r>
      <w:r w:rsidR="00F83836">
        <w:t xml:space="preserve">, </w:t>
      </w:r>
      <w:r w:rsidR="00F83836">
        <w:rPr>
          <w:i/>
          <w:iCs/>
        </w:rPr>
        <w:t>supra</w:t>
      </w:r>
      <w:r w:rsidR="00F83836">
        <w:t>,</w:t>
      </w:r>
      <w:r w:rsidR="00B668CE">
        <w:t xml:space="preserve"> 35 Cal.App.5th</w:t>
      </w:r>
      <w:r>
        <w:rPr>
          <w:i/>
          <w:iCs/>
        </w:rPr>
        <w:t xml:space="preserve"> </w:t>
      </w:r>
      <w:r w:rsidR="00B668CE">
        <w:t xml:space="preserve">373, the Sixth District interpreted </w:t>
      </w:r>
      <w:r w:rsidR="00B668CE">
        <w:rPr>
          <w:i/>
          <w:iCs/>
        </w:rPr>
        <w:t>Mancebo</w:t>
      </w:r>
      <w:r w:rsidR="00B668CE">
        <w:t xml:space="preserve">’s holding under circumstances </w:t>
      </w:r>
      <w:proofErr w:type="gramStart"/>
      <w:r w:rsidR="00B668CE">
        <w:t>similar to</w:t>
      </w:r>
      <w:proofErr w:type="gramEnd"/>
      <w:r w:rsidR="00B668CE">
        <w:t xml:space="preserve"> those presented in this case.  The information in </w:t>
      </w:r>
      <w:r w:rsidR="00B668CE">
        <w:rPr>
          <w:i/>
          <w:iCs/>
        </w:rPr>
        <w:t>Jimenez</w:t>
      </w:r>
      <w:r w:rsidR="00B668CE">
        <w:t xml:space="preserve"> enhanc</w:t>
      </w:r>
      <w:r w:rsidR="00EF11AC">
        <w:t xml:space="preserve">ed many of the </w:t>
      </w:r>
      <w:r w:rsidR="00C019F8">
        <w:t>charg</w:t>
      </w:r>
      <w:r w:rsidR="00EF11AC">
        <w:t>ed sexual offenses</w:t>
      </w:r>
      <w:r w:rsidR="00C019F8">
        <w:t xml:space="preserve"> with allegations under the One Strike law that Jimenez ha</w:t>
      </w:r>
      <w:r w:rsidR="00F83836">
        <w:t>d</w:t>
      </w:r>
      <w:r w:rsidR="00C019F8">
        <w:t xml:space="preserve"> committed a qualifying offense against more than one victim </w:t>
      </w:r>
      <w:proofErr w:type="gramStart"/>
      <w:r w:rsidR="00C019F8">
        <w:t>“ ‘</w:t>
      </w:r>
      <w:proofErr w:type="gramEnd"/>
      <w:r w:rsidR="00C019F8">
        <w:t xml:space="preserve">within the meaning of Penal Code section 667.61(b) and (e).’ ”  </w:t>
      </w:r>
      <w:r w:rsidR="00B668CE">
        <w:t>(</w:t>
      </w:r>
      <w:r w:rsidR="00B668CE">
        <w:rPr>
          <w:i/>
          <w:iCs/>
        </w:rPr>
        <w:t>Jimenez</w:t>
      </w:r>
      <w:r w:rsidR="00B668CE">
        <w:t xml:space="preserve">, at pp. </w:t>
      </w:r>
      <w:r w:rsidR="00EF11AC">
        <w:t>378,</w:t>
      </w:r>
      <w:r w:rsidR="00B668CE">
        <w:t xml:space="preserve"> </w:t>
      </w:r>
      <w:r w:rsidR="00EF11AC">
        <w:t>393–394</w:t>
      </w:r>
      <w:r w:rsidR="00B668CE">
        <w:t>.)</w:t>
      </w:r>
      <w:r w:rsidR="00C019F8">
        <w:t xml:space="preserve">  As stated above, subdivision (b) of section 667.61 generally provides for a sentence of 15 years to life if a single circumstance under subdivision (e) is proven.  T</w:t>
      </w:r>
      <w:r w:rsidR="00C019F8" w:rsidRPr="00C019F8">
        <w:rPr>
          <w:rFonts w:eastAsia="Times New Roman"/>
          <w:color w:val="212121"/>
        </w:rPr>
        <w:t xml:space="preserve">he trial court </w:t>
      </w:r>
      <w:r w:rsidR="00C019F8">
        <w:rPr>
          <w:rFonts w:eastAsia="Times New Roman"/>
          <w:color w:val="212121"/>
        </w:rPr>
        <w:t xml:space="preserve">nevertheless </w:t>
      </w:r>
      <w:r w:rsidR="00C019F8" w:rsidRPr="00C019F8">
        <w:rPr>
          <w:rFonts w:eastAsia="Times New Roman"/>
          <w:color w:val="212121"/>
        </w:rPr>
        <w:t>sentenced Jimenez to 25 years to life for each of those counts under section 667.61</w:t>
      </w:r>
      <w:r w:rsidR="00C019F8">
        <w:rPr>
          <w:rFonts w:eastAsia="Times New Roman"/>
          <w:color w:val="212121"/>
        </w:rPr>
        <w:t xml:space="preserve">, subdivision </w:t>
      </w:r>
      <w:r w:rsidR="00C019F8" w:rsidRPr="00C019F8">
        <w:rPr>
          <w:rFonts w:eastAsia="Times New Roman"/>
          <w:color w:val="212121"/>
        </w:rPr>
        <w:t>(j)(2)</w:t>
      </w:r>
      <w:r w:rsidR="00C019F8">
        <w:rPr>
          <w:rFonts w:eastAsia="Times New Roman"/>
          <w:color w:val="212121"/>
        </w:rPr>
        <w:t>, an exception to the general rule set forth in subdivision (b)</w:t>
      </w:r>
      <w:r w:rsidR="00C019F8" w:rsidRPr="00C019F8">
        <w:rPr>
          <w:rFonts w:eastAsia="Times New Roman"/>
          <w:color w:val="212121"/>
        </w:rPr>
        <w:t xml:space="preserve">. </w:t>
      </w:r>
      <w:r w:rsidR="00C019F8">
        <w:rPr>
          <w:rFonts w:eastAsia="Times New Roman"/>
          <w:color w:val="212121"/>
        </w:rPr>
        <w:t xml:space="preserve"> Jimenez argued on appeal that the failure to plead </w:t>
      </w:r>
      <w:r w:rsidR="00C019F8" w:rsidRPr="00C019F8">
        <w:rPr>
          <w:rFonts w:eastAsia="Times New Roman"/>
          <w:color w:val="212121"/>
        </w:rPr>
        <w:t>section</w:t>
      </w:r>
      <w:r w:rsidR="006C1BF6">
        <w:rPr>
          <w:rFonts w:eastAsia="Times New Roman"/>
          <w:color w:val="212121"/>
        </w:rPr>
        <w:t xml:space="preserve"> </w:t>
      </w:r>
      <w:r w:rsidR="00C019F8" w:rsidRPr="00C019F8">
        <w:rPr>
          <w:rFonts w:eastAsia="Times New Roman"/>
          <w:color w:val="212121"/>
        </w:rPr>
        <w:t>667.61</w:t>
      </w:r>
      <w:r w:rsidR="00C019F8">
        <w:rPr>
          <w:rFonts w:eastAsia="Times New Roman"/>
          <w:color w:val="212121"/>
        </w:rPr>
        <w:t xml:space="preserve">, subdivision </w:t>
      </w:r>
      <w:r w:rsidR="00C019F8" w:rsidRPr="00C019F8">
        <w:rPr>
          <w:rFonts w:eastAsia="Times New Roman"/>
          <w:color w:val="212121"/>
        </w:rPr>
        <w:t>(j)(2) violated his due process right to notice.</w:t>
      </w:r>
      <w:r w:rsidR="00C019F8">
        <w:rPr>
          <w:rFonts w:eastAsia="Times New Roman"/>
          <w:color w:val="212121"/>
        </w:rPr>
        <w:t xml:space="preserve">  (</w:t>
      </w:r>
      <w:r w:rsidR="00C019F8">
        <w:rPr>
          <w:rFonts w:eastAsia="Times New Roman"/>
          <w:i/>
          <w:iCs/>
          <w:color w:val="212121"/>
        </w:rPr>
        <w:t>Jimenez</w:t>
      </w:r>
      <w:r w:rsidR="00C019F8">
        <w:rPr>
          <w:rFonts w:eastAsia="Times New Roman"/>
          <w:color w:val="212121"/>
        </w:rPr>
        <w:t>, at pp. 393–394.)  The appellate court agreed.</w:t>
      </w:r>
    </w:p>
    <w:p w14:paraId="37866E79" w14:textId="0C5A3B73" w:rsidR="00C019F8" w:rsidRDefault="00C019F8" w:rsidP="008F3614">
      <w:pPr>
        <w:pStyle w:val="Text"/>
        <w:ind w:firstLine="0"/>
        <w:rPr>
          <w:i/>
          <w:iCs/>
        </w:rPr>
      </w:pPr>
      <w:r>
        <w:rPr>
          <w:rFonts w:eastAsia="Times New Roman"/>
          <w:color w:val="212121"/>
        </w:rPr>
        <w:tab/>
      </w:r>
      <w:r w:rsidR="009F09DF">
        <w:rPr>
          <w:rFonts w:eastAsia="Times New Roman"/>
          <w:color w:val="212121"/>
        </w:rPr>
        <w:t>In doing so, t</w:t>
      </w:r>
      <w:r w:rsidR="00301BB8">
        <w:rPr>
          <w:rFonts w:eastAsia="Times New Roman"/>
          <w:color w:val="212121"/>
        </w:rPr>
        <w:t>he Sixth District</w:t>
      </w:r>
      <w:r w:rsidR="001B1B9B">
        <w:rPr>
          <w:rFonts w:eastAsia="Times New Roman"/>
          <w:color w:val="212121"/>
        </w:rPr>
        <w:t xml:space="preserve"> rejected the Attorney General’s argument that subdivision (o) of section 667.61—which as stated above mandates that </w:t>
      </w:r>
      <w:r w:rsidR="001B1B9B">
        <w:rPr>
          <w:color w:val="000000"/>
        </w:rPr>
        <w:t xml:space="preserve">“[t]he penalties provided in this section shall </w:t>
      </w:r>
      <w:r w:rsidR="001B1B9B" w:rsidRPr="00301BB8">
        <w:rPr>
          <w:color w:val="000000"/>
        </w:rPr>
        <w:t>apply</w:t>
      </w:r>
      <w:r w:rsidR="006C1BF6">
        <w:rPr>
          <w:color w:val="000000"/>
        </w:rPr>
        <w:t xml:space="preserve"> </w:t>
      </w:r>
      <w:r w:rsidR="001B1B9B" w:rsidRPr="00301BB8">
        <w:rPr>
          <w:rStyle w:val="ssit"/>
          <w:color w:val="000000"/>
          <w:bdr w:val="none" w:sz="0" w:space="0" w:color="auto" w:frame="1"/>
        </w:rPr>
        <w:t>only if</w:t>
      </w:r>
      <w:r w:rsidR="001B1B9B" w:rsidRPr="001B1B9B">
        <w:rPr>
          <w:rStyle w:val="ssit"/>
          <w:color w:val="000000"/>
          <w:bdr w:val="none" w:sz="0" w:space="0" w:color="auto" w:frame="1"/>
        </w:rPr>
        <w:t xml:space="preserve"> the existence of any circumstance specified in subdivision (d) or (e) is alleged in the accusatory pleading pursuant to this section</w:t>
      </w:r>
      <w:r w:rsidR="00E26B7F">
        <w:rPr>
          <w:rStyle w:val="ssit"/>
          <w:color w:val="000000"/>
          <w:bdr w:val="none" w:sz="0" w:space="0" w:color="auto" w:frame="1"/>
        </w:rPr>
        <w:t>”</w:t>
      </w:r>
      <w:r w:rsidR="001B1B9B">
        <w:rPr>
          <w:rStyle w:val="ssit"/>
          <w:color w:val="000000"/>
          <w:bdr w:val="none" w:sz="0" w:space="0" w:color="auto" w:frame="1"/>
        </w:rPr>
        <w:t>—was satisfied because the information cited section 667.61, subdivision (e).</w:t>
      </w:r>
      <w:r w:rsidR="00301BB8">
        <w:rPr>
          <w:rStyle w:val="ssit"/>
          <w:color w:val="000000"/>
          <w:bdr w:val="none" w:sz="0" w:space="0" w:color="auto" w:frame="1"/>
        </w:rPr>
        <w:t xml:space="preserve">  The court concluded that “</w:t>
      </w:r>
      <w:r w:rsidR="001B1B9B" w:rsidRPr="00301BB8">
        <w:rPr>
          <w:rStyle w:val="ssrfcpassagedeactivated"/>
          <w:bdr w:val="none" w:sz="0" w:space="0" w:color="auto" w:frame="1"/>
        </w:rPr>
        <w:t>the language of that provision</w:t>
      </w:r>
      <w:proofErr w:type="gramStart"/>
      <w:r w:rsidR="001B1B9B" w:rsidRPr="00301BB8">
        <w:rPr>
          <w:rStyle w:val="ssrfcpassagedeactivated"/>
          <w:bdr w:val="none" w:sz="0" w:space="0" w:color="auto" w:frame="1"/>
        </w:rPr>
        <w:t>—</w:t>
      </w:r>
      <w:r w:rsidR="00B66E36">
        <w:rPr>
          <w:rStyle w:val="ssrfcpassagedeactivated"/>
          <w:bdr w:val="none" w:sz="0" w:space="0" w:color="auto" w:frame="1"/>
        </w:rPr>
        <w:t>‘</w:t>
      </w:r>
      <w:proofErr w:type="gramEnd"/>
      <w:r w:rsidR="001B1B9B" w:rsidRPr="00301BB8">
        <w:rPr>
          <w:rStyle w:val="ssit"/>
          <w:i/>
          <w:iCs/>
          <w:bdr w:val="none" w:sz="0" w:space="0" w:color="auto" w:frame="1"/>
        </w:rPr>
        <w:t>only</w:t>
      </w:r>
      <w:r w:rsidR="006C1BF6">
        <w:rPr>
          <w:rStyle w:val="ssrfcpassagedeactivated"/>
          <w:bdr w:val="none" w:sz="0" w:space="0" w:color="auto" w:frame="1"/>
        </w:rPr>
        <w:t xml:space="preserve"> </w:t>
      </w:r>
      <w:r w:rsidR="001B1B9B" w:rsidRPr="00301BB8">
        <w:rPr>
          <w:rStyle w:val="ssrfcpassagedeactivated"/>
          <w:bdr w:val="none" w:sz="0" w:space="0" w:color="auto" w:frame="1"/>
        </w:rPr>
        <w:t>if</w:t>
      </w:r>
      <w:r w:rsidR="00B66E36">
        <w:rPr>
          <w:rStyle w:val="ssrfcpassagedeactivated"/>
          <w:bdr w:val="none" w:sz="0" w:space="0" w:color="auto" w:frame="1"/>
        </w:rPr>
        <w:t>’</w:t>
      </w:r>
      <w:r w:rsidR="001B1B9B" w:rsidRPr="00301BB8">
        <w:rPr>
          <w:rStyle w:val="ssrfcpassagedeactivated"/>
          <w:bdr w:val="none" w:sz="0" w:space="0" w:color="auto" w:frame="1"/>
        </w:rPr>
        <w:t>—does not state that such pleading is</w:t>
      </w:r>
      <w:r w:rsidR="006C1BF6">
        <w:rPr>
          <w:rStyle w:val="ssrfcpassagedeactivated"/>
          <w:bdr w:val="none" w:sz="0" w:space="0" w:color="auto" w:frame="1"/>
        </w:rPr>
        <w:t xml:space="preserve"> </w:t>
      </w:r>
      <w:r w:rsidR="001B1B9B" w:rsidRPr="00301BB8">
        <w:rPr>
          <w:rStyle w:val="ssit"/>
          <w:i/>
          <w:iCs/>
          <w:bdr w:val="none" w:sz="0" w:space="0" w:color="auto" w:frame="1"/>
        </w:rPr>
        <w:t>sufficient</w:t>
      </w:r>
      <w:r w:rsidR="006C1BF6">
        <w:rPr>
          <w:rStyle w:val="ssrfcpassagedeactivated"/>
          <w:bdr w:val="none" w:sz="0" w:space="0" w:color="auto" w:frame="1"/>
        </w:rPr>
        <w:t xml:space="preserve"> </w:t>
      </w:r>
      <w:r w:rsidR="001B1B9B" w:rsidRPr="00301BB8">
        <w:rPr>
          <w:rStyle w:val="ssrfcpassagedeactivated"/>
          <w:bdr w:val="none" w:sz="0" w:space="0" w:color="auto" w:frame="1"/>
        </w:rPr>
        <w:t>for application of its enhanced penalties—only that it is</w:t>
      </w:r>
      <w:r w:rsidR="006C1BF6">
        <w:rPr>
          <w:rStyle w:val="ssrfcpassagedeactivated"/>
          <w:bdr w:val="none" w:sz="0" w:space="0" w:color="auto" w:frame="1"/>
        </w:rPr>
        <w:t xml:space="preserve"> </w:t>
      </w:r>
      <w:r w:rsidR="001B1B9B" w:rsidRPr="00301BB8">
        <w:rPr>
          <w:rStyle w:val="ssit"/>
          <w:i/>
          <w:iCs/>
          <w:bdr w:val="none" w:sz="0" w:space="0" w:color="auto" w:frame="1"/>
        </w:rPr>
        <w:t>necessary</w:t>
      </w:r>
      <w:r w:rsidR="001B1B9B" w:rsidRPr="00301BB8">
        <w:rPr>
          <w:rStyle w:val="ssrfcpassagedeactivated"/>
          <w:bdr w:val="none" w:sz="0" w:space="0" w:color="auto" w:frame="1"/>
        </w:rPr>
        <w:t>.</w:t>
      </w:r>
      <w:r w:rsidR="00301BB8">
        <w:rPr>
          <w:rStyle w:val="ssrfcpassagedeactivated"/>
          <w:bdr w:val="none" w:sz="0" w:space="0" w:color="auto" w:frame="1"/>
        </w:rPr>
        <w:t>”  (</w:t>
      </w:r>
      <w:r w:rsidR="00301BB8">
        <w:rPr>
          <w:rStyle w:val="ssrfcpassagedeactivated"/>
          <w:i/>
          <w:iCs/>
          <w:bdr w:val="none" w:sz="0" w:space="0" w:color="auto" w:frame="1"/>
        </w:rPr>
        <w:t>Jimenez</w:t>
      </w:r>
      <w:r w:rsidR="00301BB8">
        <w:rPr>
          <w:rStyle w:val="ssrfcpassagedeactivated"/>
          <w:bdr w:val="none" w:sz="0" w:space="0" w:color="auto" w:frame="1"/>
        </w:rPr>
        <w:t xml:space="preserve">, </w:t>
      </w:r>
      <w:r w:rsidR="00301BB8">
        <w:rPr>
          <w:rStyle w:val="ssrfcpassagedeactivated"/>
          <w:i/>
          <w:iCs/>
          <w:bdr w:val="none" w:sz="0" w:space="0" w:color="auto" w:frame="1"/>
        </w:rPr>
        <w:t>supra</w:t>
      </w:r>
      <w:r w:rsidR="00301BB8">
        <w:rPr>
          <w:rStyle w:val="ssrfcpassagedeactivated"/>
          <w:bdr w:val="none" w:sz="0" w:space="0" w:color="auto" w:frame="1"/>
        </w:rPr>
        <w:t xml:space="preserve">, 35 Cal.App.5th at pp. 396–397, citing </w:t>
      </w:r>
      <w:r w:rsidR="00301BB8">
        <w:rPr>
          <w:rStyle w:val="ssrfcpassagedeactivated"/>
          <w:i/>
          <w:iCs/>
          <w:bdr w:val="none" w:sz="0" w:space="0" w:color="auto" w:frame="1"/>
        </w:rPr>
        <w:t>California v. Hodari</w:t>
      </w:r>
      <w:r w:rsidR="009632C4">
        <w:rPr>
          <w:rStyle w:val="ssrfcpassagedeactivated"/>
          <w:i/>
          <w:iCs/>
          <w:bdr w:val="none" w:sz="0" w:space="0" w:color="auto" w:frame="1"/>
        </w:rPr>
        <w:t> </w:t>
      </w:r>
      <w:r w:rsidR="00301BB8">
        <w:rPr>
          <w:rStyle w:val="ssrfcpassagedeactivated"/>
          <w:i/>
          <w:iCs/>
          <w:bdr w:val="none" w:sz="0" w:space="0" w:color="auto" w:frame="1"/>
        </w:rPr>
        <w:t>D.</w:t>
      </w:r>
      <w:r w:rsidR="00301BB8">
        <w:rPr>
          <w:rStyle w:val="ssrfcpassagedeactivated"/>
          <w:bdr w:val="none" w:sz="0" w:space="0" w:color="auto" w:frame="1"/>
        </w:rPr>
        <w:t xml:space="preserve"> (1991) 499 U.S. 6</w:t>
      </w:r>
      <w:r w:rsidR="00462B2D">
        <w:rPr>
          <w:rStyle w:val="ssrfcpassagedeactivated"/>
          <w:bdr w:val="none" w:sz="0" w:space="0" w:color="auto" w:frame="1"/>
        </w:rPr>
        <w:t>21</w:t>
      </w:r>
      <w:r w:rsidR="00301BB8">
        <w:rPr>
          <w:rStyle w:val="ssrfcpassagedeactivated"/>
          <w:bdr w:val="none" w:sz="0" w:space="0" w:color="auto" w:frame="1"/>
        </w:rPr>
        <w:t>, 628 [</w:t>
      </w:r>
      <w:r w:rsidR="001B1B9B" w:rsidRPr="00301BB8">
        <w:rPr>
          <w:rStyle w:val="ssrfcpassagedeactivated"/>
          <w:bdr w:val="none" w:sz="0" w:space="0" w:color="auto" w:frame="1"/>
        </w:rPr>
        <w:t xml:space="preserve">the phrase “only if” </w:t>
      </w:r>
      <w:r w:rsidR="001B1B9B" w:rsidRPr="009F09DF">
        <w:rPr>
          <w:rStyle w:val="ssrfcpassagedeactivated"/>
          <w:bdr w:val="none" w:sz="0" w:space="0" w:color="auto" w:frame="1"/>
        </w:rPr>
        <w:t>states a necessary but not a sufficient condition].)</w:t>
      </w:r>
      <w:r w:rsidR="00301BB8" w:rsidRPr="009F09DF">
        <w:rPr>
          <w:rStyle w:val="ssrfcpassagedeactivated"/>
          <w:bdr w:val="none" w:sz="0" w:space="0" w:color="auto" w:frame="1"/>
        </w:rPr>
        <w:t xml:space="preserve">  Since the information </w:t>
      </w:r>
      <w:r w:rsidR="009F09DF">
        <w:rPr>
          <w:rStyle w:val="ssrfcpassagedeactivated"/>
          <w:bdr w:val="none" w:sz="0" w:space="0" w:color="auto" w:frame="1"/>
        </w:rPr>
        <w:t xml:space="preserve">before it </w:t>
      </w:r>
      <w:r w:rsidR="009F09DF" w:rsidRPr="009F09DF">
        <w:rPr>
          <w:rStyle w:val="ssrfcpassagedeactivated"/>
          <w:bdr w:val="none" w:sz="0" w:space="0" w:color="auto" w:frame="1"/>
        </w:rPr>
        <w:t>“</w:t>
      </w:r>
      <w:r w:rsidR="00301BB8" w:rsidRPr="009F09DF">
        <w:rPr>
          <w:color w:val="000000"/>
        </w:rPr>
        <w:t>only informed Jimenez he could be sentenced to terms of 15 years to life under Penal Code section 667.61, subdivisions (b) and (e) for committing the alleged offenses against multiple victims</w:t>
      </w:r>
      <w:r w:rsidR="009F09DF" w:rsidRPr="009F09DF">
        <w:rPr>
          <w:color w:val="000000"/>
        </w:rPr>
        <w:t>” rather than putting him “</w:t>
      </w:r>
      <w:r w:rsidR="009F09DF" w:rsidRPr="009F09DF">
        <w:rPr>
          <w:rStyle w:val="ssrfcpassagedeactivated"/>
          <w:color w:val="000000"/>
          <w:bdr w:val="none" w:sz="0" w:space="0" w:color="auto" w:frame="1"/>
        </w:rPr>
        <w:t>on notice that he could be sentenced to terms of 25 years to life under section 667.61(j)(2)</w:t>
      </w:r>
      <w:r w:rsidR="008D61F2">
        <w:rPr>
          <w:rStyle w:val="ssrfcpassagedeactivated"/>
          <w:color w:val="000000"/>
          <w:bdr w:val="none" w:sz="0" w:space="0" w:color="auto" w:frame="1"/>
        </w:rPr>
        <w:t>”</w:t>
      </w:r>
      <w:r w:rsidR="009F09DF" w:rsidRPr="009F09DF">
        <w:rPr>
          <w:rStyle w:val="ssrfcpassagedeactivated"/>
          <w:color w:val="000000"/>
          <w:bdr w:val="none" w:sz="0" w:space="0" w:color="auto" w:frame="1"/>
        </w:rPr>
        <w:t xml:space="preserve"> for committing those offenses upon multiple victims</w:t>
      </w:r>
      <w:r w:rsidR="008D61F2">
        <w:rPr>
          <w:rStyle w:val="ssrfcpassagedeactivated"/>
          <w:color w:val="000000"/>
          <w:bdr w:val="none" w:sz="0" w:space="0" w:color="auto" w:frame="1"/>
        </w:rPr>
        <w:t xml:space="preserve"> </w:t>
      </w:r>
      <w:r w:rsidR="009F09DF" w:rsidRPr="008D61F2">
        <w:rPr>
          <w:rStyle w:val="ssit"/>
          <w:color w:val="000000"/>
          <w:bdr w:val="none" w:sz="0" w:space="0" w:color="auto" w:frame="1"/>
        </w:rPr>
        <w:t>under 14 years of age,</w:t>
      </w:r>
      <w:r w:rsidR="009F09DF">
        <w:rPr>
          <w:rStyle w:val="ssit"/>
          <w:color w:val="000000"/>
          <w:bdr w:val="none" w:sz="0" w:space="0" w:color="auto" w:frame="1"/>
        </w:rPr>
        <w:t xml:space="preserve"> the trial court’s sentencing decision violated Jimenez’s constitutional right to due process.  (</w:t>
      </w:r>
      <w:r w:rsidR="009F09DF">
        <w:rPr>
          <w:rStyle w:val="ssit"/>
          <w:i/>
          <w:iCs/>
          <w:color w:val="000000"/>
          <w:bdr w:val="none" w:sz="0" w:space="0" w:color="auto" w:frame="1"/>
        </w:rPr>
        <w:t>Jimenez</w:t>
      </w:r>
      <w:r w:rsidR="009F09DF">
        <w:rPr>
          <w:rStyle w:val="ssit"/>
          <w:color w:val="000000"/>
          <w:bdr w:val="none" w:sz="0" w:space="0" w:color="auto" w:frame="1"/>
        </w:rPr>
        <w:t xml:space="preserve">, at p. 397.)  Highlighting the </w:t>
      </w:r>
      <w:r w:rsidR="009F09DF">
        <w:rPr>
          <w:rStyle w:val="ssit"/>
          <w:i/>
          <w:iCs/>
          <w:color w:val="000000"/>
          <w:bdr w:val="none" w:sz="0" w:space="0" w:color="auto" w:frame="1"/>
        </w:rPr>
        <w:t xml:space="preserve">Mancebo </w:t>
      </w:r>
      <w:r w:rsidR="009F09DF">
        <w:rPr>
          <w:rStyle w:val="ssit"/>
          <w:color w:val="000000"/>
          <w:bdr w:val="none" w:sz="0" w:space="0" w:color="auto" w:frame="1"/>
        </w:rPr>
        <w:t>Court’s concern regarding informed plea bargaining, the appellate court noted that “[u]</w:t>
      </w:r>
      <w:r w:rsidR="001B1B9B">
        <w:t>nder the Attorney General</w:t>
      </w:r>
      <w:r w:rsidR="00B66E36">
        <w:t>’</w:t>
      </w:r>
      <w:r w:rsidR="001B1B9B">
        <w:t xml:space="preserve">s position, </w:t>
      </w:r>
      <w:r w:rsidR="009F09DF">
        <w:t>‘</w:t>
      </w:r>
      <w:r w:rsidR="001B1B9B">
        <w:t>there would be less incentive to plea bargain.</w:t>
      </w:r>
      <w:proofErr w:type="gramStart"/>
      <w:r w:rsidR="009F09DF">
        <w:t xml:space="preserve">’ </w:t>
      </w:r>
      <w:r w:rsidR="001B1B9B">
        <w:t>”</w:t>
      </w:r>
      <w:proofErr w:type="gramEnd"/>
      <w:r w:rsidR="009F09DF">
        <w:t xml:space="preserve">  (</w:t>
      </w:r>
      <w:r w:rsidR="009F09DF">
        <w:rPr>
          <w:i/>
          <w:iCs/>
        </w:rPr>
        <w:t>Jimenez</w:t>
      </w:r>
      <w:r w:rsidR="009F09DF">
        <w:t>, at p. 397.)</w:t>
      </w:r>
    </w:p>
    <w:p w14:paraId="4FCACDD6" w14:textId="0DFEF390" w:rsidR="008A59E4" w:rsidRDefault="00480B86" w:rsidP="008A59E4">
      <w:pPr>
        <w:pStyle w:val="Text"/>
        <w:ind w:firstLine="0"/>
      </w:pPr>
      <w:r>
        <w:rPr>
          <w:i/>
          <w:iCs/>
        </w:rPr>
        <w:tab/>
      </w:r>
      <w:r w:rsidR="001A2AEA">
        <w:t>Two other</w:t>
      </w:r>
      <w:r w:rsidR="009F09DF">
        <w:t xml:space="preserve"> appellate courts</w:t>
      </w:r>
      <w:r w:rsidR="001A2AEA">
        <w:t xml:space="preserve"> have rejected </w:t>
      </w:r>
      <w:r w:rsidR="009F09DF">
        <w:t xml:space="preserve">the </w:t>
      </w:r>
      <w:r w:rsidR="001A2AEA">
        <w:rPr>
          <w:i/>
          <w:iCs/>
        </w:rPr>
        <w:t>Jimenez</w:t>
      </w:r>
      <w:r w:rsidR="009F09DF">
        <w:t xml:space="preserve"> approach.  </w:t>
      </w:r>
      <w:r w:rsidR="008A59E4">
        <w:t xml:space="preserve">In </w:t>
      </w:r>
      <w:r w:rsidR="001A2AEA" w:rsidRPr="001A2AEA">
        <w:rPr>
          <w:i/>
          <w:iCs/>
        </w:rPr>
        <w:t>In re Vaquera</w:t>
      </w:r>
      <w:r w:rsidR="001A2AEA">
        <w:rPr>
          <w:i/>
          <w:iCs/>
        </w:rPr>
        <w:t xml:space="preserve"> </w:t>
      </w:r>
      <w:r w:rsidR="001A2AEA">
        <w:t>(2019) 39 Cal.App.5th 233</w:t>
      </w:r>
      <w:r w:rsidR="00963D27">
        <w:t xml:space="preserve"> (</w:t>
      </w:r>
      <w:r w:rsidR="00963D27" w:rsidRPr="00963D27">
        <w:rPr>
          <w:i/>
          <w:iCs/>
        </w:rPr>
        <w:t>Vaquera</w:t>
      </w:r>
      <w:r w:rsidR="00963D27">
        <w:t>)</w:t>
      </w:r>
      <w:r w:rsidR="001A2AEA">
        <w:t>, review granted November 26, 2019, S258376</w:t>
      </w:r>
      <w:r w:rsidR="00D81114">
        <w:t xml:space="preserve">, </w:t>
      </w:r>
      <w:r w:rsidR="00963D27">
        <w:rPr>
          <w:color w:val="000000"/>
        </w:rPr>
        <w:t xml:space="preserve">the information had alleged as to each of the two </w:t>
      </w:r>
      <w:r w:rsidR="009570DD">
        <w:rPr>
          <w:color w:val="000000"/>
        </w:rPr>
        <w:t xml:space="preserve">qualifying </w:t>
      </w:r>
      <w:r w:rsidR="00963D27">
        <w:rPr>
          <w:color w:val="000000"/>
        </w:rPr>
        <w:t>sexual offenses that, “pursuant to Penal Code sections 667.61(b)/(e)” Vaquera had committed the qualifying offense against more than one victim.</w:t>
      </w:r>
      <w:r>
        <w:rPr>
          <w:color w:val="000000"/>
        </w:rPr>
        <w:t xml:space="preserve">  (</w:t>
      </w:r>
      <w:r>
        <w:rPr>
          <w:i/>
          <w:iCs/>
          <w:color w:val="000000"/>
        </w:rPr>
        <w:t>Vaquera</w:t>
      </w:r>
      <w:r>
        <w:rPr>
          <w:color w:val="000000"/>
        </w:rPr>
        <w:t xml:space="preserve">, at p. 236.)  </w:t>
      </w:r>
      <w:r w:rsidR="009570DD">
        <w:rPr>
          <w:color w:val="000000"/>
        </w:rPr>
        <w:t>In addition</w:t>
      </w:r>
      <w:r>
        <w:rPr>
          <w:color w:val="000000"/>
        </w:rPr>
        <w:t>, the information</w:t>
      </w:r>
      <w:r w:rsidR="008A59E4">
        <w:rPr>
          <w:color w:val="000000"/>
        </w:rPr>
        <w:t>’s</w:t>
      </w:r>
      <w:r>
        <w:rPr>
          <w:color w:val="000000"/>
        </w:rPr>
        <w:t xml:space="preserve"> description of the qualifying offenses </w:t>
      </w:r>
      <w:r w:rsidR="00000373">
        <w:rPr>
          <w:color w:val="000000"/>
        </w:rPr>
        <w:t xml:space="preserve">themselves </w:t>
      </w:r>
      <w:r>
        <w:rPr>
          <w:color w:val="000000"/>
        </w:rPr>
        <w:t>alleged that Vaquera committed a lewd and lascivious act against each of the two John Does, “</w:t>
      </w:r>
      <w:r w:rsidRPr="00480B86">
        <w:rPr>
          <w:i/>
          <w:iCs/>
          <w:color w:val="000000"/>
        </w:rPr>
        <w:t>who were both children under 14 years of age</w:t>
      </w:r>
      <w:r>
        <w:rPr>
          <w:color w:val="000000"/>
        </w:rPr>
        <w:t>.”  (</w:t>
      </w:r>
      <w:r>
        <w:rPr>
          <w:i/>
          <w:iCs/>
          <w:color w:val="000000"/>
        </w:rPr>
        <w:t>Id.</w:t>
      </w:r>
      <w:r>
        <w:rPr>
          <w:color w:val="000000"/>
        </w:rPr>
        <w:t xml:space="preserve"> at p. 235, italics added.)  </w:t>
      </w:r>
      <w:r w:rsidR="006E0A7A">
        <w:rPr>
          <w:color w:val="000000"/>
        </w:rPr>
        <w:t>The court imposed a 25-year-to-life sentence as to count two</w:t>
      </w:r>
      <w:r>
        <w:rPr>
          <w:color w:val="000000"/>
        </w:rPr>
        <w:t xml:space="preserve"> and a concurrent </w:t>
      </w:r>
      <w:r w:rsidR="006E0A7A">
        <w:rPr>
          <w:color w:val="000000"/>
        </w:rPr>
        <w:t>15-year-to-life sentence as to count one.</w:t>
      </w:r>
      <w:r>
        <w:rPr>
          <w:color w:val="000000"/>
        </w:rPr>
        <w:t xml:space="preserve">  (</w:t>
      </w:r>
      <w:r>
        <w:rPr>
          <w:i/>
          <w:iCs/>
          <w:color w:val="000000"/>
        </w:rPr>
        <w:t xml:space="preserve">Id. </w:t>
      </w:r>
      <w:r>
        <w:rPr>
          <w:color w:val="000000"/>
        </w:rPr>
        <w:t>at p. 237.)</w:t>
      </w:r>
      <w:r>
        <w:rPr>
          <w:rStyle w:val="FootnoteReference"/>
          <w:color w:val="000000"/>
        </w:rPr>
        <w:footnoteReference w:id="6"/>
      </w:r>
      <w:r w:rsidR="008A59E4">
        <w:rPr>
          <w:color w:val="000000"/>
        </w:rPr>
        <w:t xml:space="preserve">  </w:t>
      </w:r>
      <w:r w:rsidR="008A59E4">
        <w:t>After the sentence was affirmed on appeal, Vaquera filed a petition for</w:t>
      </w:r>
      <w:r w:rsidR="009570DD">
        <w:t xml:space="preserve"> </w:t>
      </w:r>
      <w:r w:rsidR="008A59E4">
        <w:t>writ of habeas corpus, in 2018</w:t>
      </w:r>
      <w:r w:rsidR="009570DD">
        <w:t>, a</w:t>
      </w:r>
      <w:r w:rsidR="008A59E4">
        <w:t>rgu</w:t>
      </w:r>
      <w:r w:rsidR="009570DD">
        <w:t>ing</w:t>
      </w:r>
      <w:r w:rsidR="008A59E4">
        <w:t xml:space="preserve"> that his 25-year-to-life sentence violate</w:t>
      </w:r>
      <w:r w:rsidR="009570DD">
        <w:t>d</w:t>
      </w:r>
      <w:r w:rsidR="008A59E4">
        <w:t xml:space="preserve"> due process</w:t>
      </w:r>
      <w:r w:rsidR="009570DD">
        <w:t>.  The petition</w:t>
      </w:r>
      <w:r w:rsidR="008A59E4">
        <w:t xml:space="preserve"> was summarily denied.  The California Supreme Court subsequently granted Vaquera’s petition for review, issuing an order to show cause as to why Vaqu</w:t>
      </w:r>
      <w:r w:rsidR="009570DD">
        <w:t>e</w:t>
      </w:r>
      <w:r w:rsidR="008A59E4">
        <w:t>ra was not entitled to the relief requested.</w:t>
      </w:r>
      <w:r w:rsidR="009570DD">
        <w:t xml:space="preserve">  (</w:t>
      </w:r>
      <w:r w:rsidR="009570DD">
        <w:rPr>
          <w:i/>
          <w:iCs/>
        </w:rPr>
        <w:t>Vaquera</w:t>
      </w:r>
      <w:r w:rsidR="009570DD">
        <w:t>, at pp. 237–238.)</w:t>
      </w:r>
      <w:r w:rsidR="008A59E4">
        <w:t xml:space="preserve"> </w:t>
      </w:r>
    </w:p>
    <w:p w14:paraId="56A3F9CB" w14:textId="1409C709" w:rsidR="00CD2CD4" w:rsidRPr="00000373" w:rsidRDefault="009570DD" w:rsidP="00000373">
      <w:pPr>
        <w:pStyle w:val="Text"/>
        <w:ind w:firstLine="0"/>
      </w:pPr>
      <w:r>
        <w:tab/>
        <w:t>On remand, the Fourth District acknowledged that, pursuant to the One Strike law, “[i]</w:t>
      </w:r>
      <w:r>
        <w:rPr>
          <w:color w:val="000000"/>
        </w:rPr>
        <w:t xml:space="preserve">f a designated sex offense is committed against multiple victims, the default sentence is 15 years to life. </w:t>
      </w:r>
      <w:r w:rsidR="00C274F2">
        <w:rPr>
          <w:color w:val="000000"/>
        </w:rPr>
        <w:t xml:space="preserve"> </w:t>
      </w:r>
      <w:r>
        <w:rPr>
          <w:color w:val="000000"/>
        </w:rPr>
        <w:t>(§ 667.61, subd. (b).)”  (</w:t>
      </w:r>
      <w:r>
        <w:rPr>
          <w:i/>
          <w:iCs/>
          <w:color w:val="000000"/>
        </w:rPr>
        <w:t>Vaquera</w:t>
      </w:r>
      <w:r>
        <w:rPr>
          <w:color w:val="000000"/>
        </w:rPr>
        <w:t xml:space="preserve">, </w:t>
      </w:r>
      <w:r w:rsidRPr="009570DD">
        <w:rPr>
          <w:i/>
          <w:iCs/>
          <w:color w:val="000000"/>
        </w:rPr>
        <w:t>supra</w:t>
      </w:r>
      <w:r>
        <w:rPr>
          <w:color w:val="000000"/>
        </w:rPr>
        <w:t xml:space="preserve">, 39 Cal.App.5th </w:t>
      </w:r>
      <w:r w:rsidRPr="009570DD">
        <w:rPr>
          <w:color w:val="000000"/>
        </w:rPr>
        <w:t>at</w:t>
      </w:r>
      <w:r>
        <w:rPr>
          <w:color w:val="000000"/>
        </w:rPr>
        <w:t xml:space="preserve"> p. 235.)  However, the appellate court concluded that </w:t>
      </w:r>
      <w:r>
        <w:t>“[t]</w:t>
      </w:r>
      <w:r w:rsidR="006E0A7A" w:rsidRPr="009570DD">
        <w:rPr>
          <w:shd w:val="clear" w:color="auto" w:fill="FFFFFF"/>
        </w:rPr>
        <w:t>he facts alleged in the information, as well as the 25-year-to-life exception under</w:t>
      </w:r>
      <w:r>
        <w:rPr>
          <w:shd w:val="clear" w:color="auto" w:fill="FFFFFF"/>
        </w:rPr>
        <w:t xml:space="preserve"> section 667.61, subdivision (j)</w:t>
      </w:r>
      <w:r w:rsidR="006E0A7A" w:rsidRPr="009570DD">
        <w:rPr>
          <w:shd w:val="clear" w:color="auto" w:fill="FFFFFF"/>
        </w:rPr>
        <w:t>—which is specifically mentioned within</w:t>
      </w:r>
      <w:r>
        <w:rPr>
          <w:shd w:val="clear" w:color="auto" w:fill="FFFFFF"/>
        </w:rPr>
        <w:t xml:space="preserve"> section 667.61, subdivision (b)</w:t>
      </w:r>
      <w:r w:rsidR="006E0A7A" w:rsidRPr="009570DD">
        <w:rPr>
          <w:shd w:val="clear" w:color="auto" w:fill="FFFFFF"/>
        </w:rPr>
        <w:t>—gave Vaquera fair notice that he was subject to a sentence of 25 years to life.</w:t>
      </w:r>
      <w:r>
        <w:rPr>
          <w:shd w:val="clear" w:color="auto" w:fill="FFFFFF"/>
        </w:rPr>
        <w:t xml:space="preserve">  (</w:t>
      </w:r>
      <w:r>
        <w:rPr>
          <w:i/>
          <w:iCs/>
          <w:shd w:val="clear" w:color="auto" w:fill="FFFFFF"/>
        </w:rPr>
        <w:t>Vaquera</w:t>
      </w:r>
      <w:r>
        <w:rPr>
          <w:shd w:val="clear" w:color="auto" w:fill="FFFFFF"/>
        </w:rPr>
        <w:t>, a</w:t>
      </w:r>
      <w:r w:rsidR="00E26B7F">
        <w:rPr>
          <w:shd w:val="clear" w:color="auto" w:fill="FFFFFF"/>
        </w:rPr>
        <w:t>t</w:t>
      </w:r>
      <w:r>
        <w:rPr>
          <w:shd w:val="clear" w:color="auto" w:fill="FFFFFF"/>
        </w:rPr>
        <w:t xml:space="preserve"> p. 235.)</w:t>
      </w:r>
      <w:r w:rsidR="00000373">
        <w:rPr>
          <w:shd w:val="clear" w:color="auto" w:fill="FFFFFF"/>
        </w:rPr>
        <w:t xml:space="preserve">  In doing so, the court cited </w:t>
      </w:r>
      <w:r w:rsidR="00000373">
        <w:rPr>
          <w:i/>
          <w:iCs/>
          <w:shd w:val="clear" w:color="auto" w:fill="FFFFFF"/>
        </w:rPr>
        <w:t>Thomas, supra</w:t>
      </w:r>
      <w:r w:rsidR="00000373">
        <w:rPr>
          <w:shd w:val="clear" w:color="auto" w:fill="FFFFFF"/>
        </w:rPr>
        <w:t>, 43 Cal.3d 818 and section 925 for the proposition that “</w:t>
      </w:r>
      <w:r w:rsidR="00CD2CD4">
        <w:rPr>
          <w:rStyle w:val="ssrfcsection"/>
          <w:color w:val="000000"/>
          <w:bdr w:val="none" w:sz="0" w:space="0" w:color="auto" w:frame="1"/>
        </w:rPr>
        <w:t>the number of an enhancement statute does not have to be alleged, so long as the accusatory pleading apprises the defendant of the potential for the enhanced penalty and alleges every fact and circumstance necessary to establish its applicability.</w:t>
      </w:r>
      <w:r w:rsidR="00000373">
        <w:rPr>
          <w:rStyle w:val="ssrfcsection"/>
          <w:color w:val="000000"/>
          <w:bdr w:val="none" w:sz="0" w:space="0" w:color="auto" w:frame="1"/>
        </w:rPr>
        <w:t>”  (</w:t>
      </w:r>
      <w:r w:rsidR="00000373">
        <w:rPr>
          <w:rStyle w:val="ssrfcsection"/>
          <w:i/>
          <w:iCs/>
          <w:color w:val="000000"/>
          <w:bdr w:val="none" w:sz="0" w:space="0" w:color="auto" w:frame="1"/>
        </w:rPr>
        <w:t>Vaquera</w:t>
      </w:r>
      <w:r w:rsidR="00000373">
        <w:rPr>
          <w:rStyle w:val="ssrfcsection"/>
          <w:color w:val="000000"/>
          <w:bdr w:val="none" w:sz="0" w:space="0" w:color="auto" w:frame="1"/>
        </w:rPr>
        <w:t>, at p. 239.)  Although “</w:t>
      </w:r>
      <w:r w:rsidR="00000373">
        <w:rPr>
          <w:color w:val="000000"/>
        </w:rPr>
        <w:t>the 25-year-to-life exception for victims under 14 years of age was not referenced in the information charging Vaquera, it was not required to be”</w:t>
      </w:r>
      <w:r w:rsidR="00000373">
        <w:rPr>
          <w:rStyle w:val="ssrfcsection"/>
          <w:color w:val="000000"/>
          <w:bdr w:val="none" w:sz="0" w:space="0" w:color="auto" w:frame="1"/>
        </w:rPr>
        <w:t xml:space="preserve"> because it “</w:t>
      </w:r>
      <w:r w:rsidR="00000373">
        <w:rPr>
          <w:color w:val="000000"/>
        </w:rPr>
        <w:t>was effectively noted in the information by reference to section 667.61, subdivision (b), which specifically references, in its introductory clause, section 667.61, subdivision (j), as an exception to its provisions.”  (</w:t>
      </w:r>
      <w:r w:rsidR="00000373">
        <w:rPr>
          <w:i/>
          <w:iCs/>
          <w:color w:val="000000"/>
        </w:rPr>
        <w:t>Vaquera</w:t>
      </w:r>
      <w:r w:rsidR="00000373">
        <w:rPr>
          <w:color w:val="000000"/>
        </w:rPr>
        <w:t>, at pp. 241–242.)</w:t>
      </w:r>
    </w:p>
    <w:p w14:paraId="613F326B" w14:textId="512949D9" w:rsidR="00547AFA" w:rsidRPr="00C274F2" w:rsidRDefault="00000373" w:rsidP="008F3614">
      <w:pPr>
        <w:pStyle w:val="Text"/>
        <w:ind w:firstLine="0"/>
        <w:rPr>
          <w:color w:val="000000"/>
        </w:rPr>
      </w:pPr>
      <w:r>
        <w:tab/>
        <w:t xml:space="preserve">The </w:t>
      </w:r>
      <w:r>
        <w:rPr>
          <w:i/>
          <w:iCs/>
        </w:rPr>
        <w:t>Vaquera</w:t>
      </w:r>
      <w:r>
        <w:t xml:space="preserve"> court distinguished </w:t>
      </w:r>
      <w:r>
        <w:rPr>
          <w:i/>
          <w:iCs/>
        </w:rPr>
        <w:t>Mancebo</w:t>
      </w:r>
      <w:r>
        <w:t xml:space="preserve"> since Vaquer</w:t>
      </w:r>
      <w:r w:rsidR="000D221B">
        <w:t>a</w:t>
      </w:r>
      <w:r>
        <w:t xml:space="preserve">’s </w:t>
      </w:r>
      <w:r w:rsidR="005C162A">
        <w:rPr>
          <w:color w:val="000000"/>
        </w:rPr>
        <w:t xml:space="preserve">information properly alleged the two multiple </w:t>
      </w:r>
      <w:proofErr w:type="gramStart"/>
      <w:r w:rsidR="005C162A">
        <w:rPr>
          <w:color w:val="000000"/>
        </w:rPr>
        <w:t>victim</w:t>
      </w:r>
      <w:proofErr w:type="gramEnd"/>
      <w:r w:rsidR="005C162A">
        <w:rPr>
          <w:color w:val="000000"/>
        </w:rPr>
        <w:t xml:space="preserve"> aggravating circumstances under their numerical subdivision, section 667.61, subdivision (e).</w:t>
      </w:r>
      <w:r w:rsidR="000D221B">
        <w:rPr>
          <w:color w:val="000000"/>
        </w:rPr>
        <w:t xml:space="preserve">  (</w:t>
      </w:r>
      <w:r w:rsidR="000D221B">
        <w:rPr>
          <w:i/>
          <w:iCs/>
          <w:color w:val="000000"/>
        </w:rPr>
        <w:t>Vaquera</w:t>
      </w:r>
      <w:r w:rsidR="000D221B">
        <w:rPr>
          <w:color w:val="000000"/>
        </w:rPr>
        <w:t xml:space="preserve">, </w:t>
      </w:r>
      <w:r w:rsidR="000D221B">
        <w:rPr>
          <w:i/>
          <w:iCs/>
          <w:color w:val="000000"/>
        </w:rPr>
        <w:t>supra</w:t>
      </w:r>
      <w:r w:rsidR="000D221B">
        <w:rPr>
          <w:color w:val="000000"/>
        </w:rPr>
        <w:t xml:space="preserve">, 39 Cal.App.5th at p. 243.)  It also distinguished </w:t>
      </w:r>
      <w:r w:rsidR="000D221B">
        <w:rPr>
          <w:i/>
          <w:iCs/>
          <w:color w:val="000000"/>
        </w:rPr>
        <w:t xml:space="preserve">People v. Wilford </w:t>
      </w:r>
      <w:r w:rsidR="000D221B">
        <w:rPr>
          <w:color w:val="000000"/>
        </w:rPr>
        <w:t>(2017) 12 Cal.App.5th 827 (</w:t>
      </w:r>
      <w:r w:rsidR="000D221B" w:rsidRPr="000D221B">
        <w:rPr>
          <w:i/>
          <w:iCs/>
          <w:color w:val="000000"/>
        </w:rPr>
        <w:t>Wilford</w:t>
      </w:r>
      <w:r w:rsidR="000D221B">
        <w:rPr>
          <w:color w:val="000000"/>
        </w:rPr>
        <w:t xml:space="preserve">) </w:t>
      </w:r>
      <w:r w:rsidR="000D221B" w:rsidRPr="000D221B">
        <w:rPr>
          <w:color w:val="000000"/>
        </w:rPr>
        <w:t>in</w:t>
      </w:r>
      <w:r w:rsidR="000D221B">
        <w:rPr>
          <w:color w:val="000000"/>
        </w:rPr>
        <w:t xml:space="preserve"> which the defendant was charged </w:t>
      </w:r>
      <w:r w:rsidR="000D221B">
        <w:rPr>
          <w:rStyle w:val="ssrfcsection"/>
          <w:color w:val="000000"/>
          <w:bdr w:val="none" w:sz="0" w:space="0" w:color="auto" w:frame="1"/>
        </w:rPr>
        <w:t>with and convicted of two counts of corporal injury to a cohabitant, which ordinarily carries a sentence of two, three, or four years.  However, section 273.5 also provides that if the defendant had a prior conviction for the same offense within the previous seven years, the sentencing triad becomes two, four, or five years under subdivision (f)(1)</w:t>
      </w:r>
      <w:r w:rsidR="00B339B9">
        <w:rPr>
          <w:rStyle w:val="ssrfcsection"/>
          <w:color w:val="000000"/>
          <w:bdr w:val="none" w:sz="0" w:space="0" w:color="auto" w:frame="1"/>
        </w:rPr>
        <w:t xml:space="preserve">.  </w:t>
      </w:r>
      <w:r w:rsidR="000D221B">
        <w:rPr>
          <w:rStyle w:val="ssrfcsection"/>
          <w:color w:val="000000"/>
          <w:bdr w:val="none" w:sz="0" w:space="0" w:color="auto" w:frame="1"/>
        </w:rPr>
        <w:t xml:space="preserve">(See </w:t>
      </w:r>
      <w:r w:rsidR="000D221B">
        <w:rPr>
          <w:rStyle w:val="ssrfcsection"/>
          <w:i/>
          <w:iCs/>
          <w:color w:val="000000"/>
          <w:bdr w:val="none" w:sz="0" w:space="0" w:color="auto" w:frame="1"/>
        </w:rPr>
        <w:t>Wilford</w:t>
      </w:r>
      <w:r w:rsidR="000D221B">
        <w:rPr>
          <w:rStyle w:val="ssrfcsection"/>
          <w:color w:val="000000"/>
          <w:bdr w:val="none" w:sz="0" w:space="0" w:color="auto" w:frame="1"/>
        </w:rPr>
        <w:t xml:space="preserve">, at pp. </w:t>
      </w:r>
      <w:r w:rsidR="000D221B" w:rsidRPr="00B339B9">
        <w:rPr>
          <w:rStyle w:val="ssrfcsection"/>
          <w:color w:val="000000"/>
          <w:bdr w:val="none" w:sz="0" w:space="0" w:color="auto" w:frame="1"/>
        </w:rPr>
        <w:t>835–836</w:t>
      </w:r>
      <w:r w:rsidR="00B339B9">
        <w:rPr>
          <w:rStyle w:val="ssrfcsection"/>
          <w:color w:val="000000"/>
          <w:bdr w:val="none" w:sz="0" w:space="0" w:color="auto" w:frame="1"/>
        </w:rPr>
        <w:t xml:space="preserve"> &amp;</w:t>
      </w:r>
      <w:r w:rsidR="00B339B9" w:rsidRPr="00B339B9">
        <w:rPr>
          <w:rStyle w:val="ssrfcsection"/>
          <w:color w:val="000000"/>
          <w:bdr w:val="none" w:sz="0" w:space="0" w:color="auto" w:frame="1"/>
        </w:rPr>
        <w:t xml:space="preserve"> </w:t>
      </w:r>
      <w:r w:rsidR="000D221B" w:rsidRPr="00B339B9">
        <w:rPr>
          <w:rStyle w:val="ssrfcsection"/>
          <w:color w:val="000000"/>
          <w:bdr w:val="none" w:sz="0" w:space="0" w:color="auto" w:frame="1"/>
        </w:rPr>
        <w:t xml:space="preserve">fn. </w:t>
      </w:r>
      <w:r w:rsidR="00B339B9">
        <w:rPr>
          <w:rStyle w:val="ssrfcsection"/>
          <w:color w:val="000000"/>
          <w:bdr w:val="none" w:sz="0" w:space="0" w:color="auto" w:frame="1"/>
        </w:rPr>
        <w:t>7</w:t>
      </w:r>
      <w:r w:rsidR="000D221B" w:rsidRPr="00B339B9">
        <w:rPr>
          <w:rStyle w:val="ssrfcsection"/>
          <w:color w:val="000000"/>
          <w:bdr w:val="none" w:sz="0" w:space="0" w:color="auto" w:frame="1"/>
        </w:rPr>
        <w:t xml:space="preserve">.)  </w:t>
      </w:r>
      <w:r w:rsidR="000D221B" w:rsidRPr="00B339B9">
        <w:rPr>
          <w:rStyle w:val="ssrfcpassagedeactivated"/>
          <w:color w:val="000000"/>
          <w:bdr w:val="none" w:sz="0" w:space="0" w:color="auto" w:frame="1"/>
        </w:rPr>
        <w:t>The information made no mention of</w:t>
      </w:r>
      <w:r w:rsidR="006C1BF6">
        <w:rPr>
          <w:rStyle w:val="ssrfcpassagedeactivated"/>
          <w:color w:val="000000"/>
          <w:bdr w:val="none" w:sz="0" w:space="0" w:color="auto" w:frame="1"/>
        </w:rPr>
        <w:t xml:space="preserve"> </w:t>
      </w:r>
      <w:r w:rsidR="000D221B" w:rsidRPr="00B339B9">
        <w:rPr>
          <w:rStyle w:val="ssrfcpassagedeactivated"/>
          <w:color w:val="000000"/>
          <w:bdr w:val="none" w:sz="0" w:space="0" w:color="auto" w:frame="1"/>
        </w:rPr>
        <w:t>subdivision (f)(1).</w:t>
      </w:r>
      <w:r w:rsidR="006C1BF6">
        <w:rPr>
          <w:rStyle w:val="ssrfcpassagedeactivated"/>
          <w:color w:val="000000"/>
          <w:bdr w:val="none" w:sz="0" w:space="0" w:color="auto" w:frame="1"/>
        </w:rPr>
        <w:t xml:space="preserve">  </w:t>
      </w:r>
      <w:r w:rsidR="000D221B" w:rsidRPr="00B339B9">
        <w:rPr>
          <w:rStyle w:val="ssrfcsection"/>
          <w:color w:val="000000"/>
          <w:bdr w:val="none" w:sz="0" w:space="0" w:color="auto" w:frame="1"/>
        </w:rPr>
        <w:t>(</w:t>
      </w:r>
      <w:r w:rsidR="000D221B" w:rsidRPr="00B339B9">
        <w:rPr>
          <w:rStyle w:val="ssit"/>
          <w:i/>
          <w:iCs/>
          <w:color w:val="000000"/>
          <w:bdr w:val="none" w:sz="0" w:space="0" w:color="auto" w:frame="1"/>
        </w:rPr>
        <w:t>Wilford</w:t>
      </w:r>
      <w:r w:rsidR="000D221B" w:rsidRPr="00B339B9">
        <w:rPr>
          <w:rStyle w:val="ssrfcsection"/>
          <w:color w:val="000000"/>
          <w:bdr w:val="none" w:sz="0" w:space="0" w:color="auto" w:frame="1"/>
        </w:rPr>
        <w:t>, at p. 838.)</w:t>
      </w:r>
      <w:r w:rsidR="006C1BF6">
        <w:rPr>
          <w:rStyle w:val="ssrfcsection"/>
          <w:color w:val="000000"/>
          <w:bdr w:val="none" w:sz="0" w:space="0" w:color="auto" w:frame="1"/>
        </w:rPr>
        <w:t xml:space="preserve"> </w:t>
      </w:r>
      <w:r w:rsidR="00B339B9" w:rsidRPr="00B339B9">
        <w:rPr>
          <w:rStyle w:val="ssrfcsection"/>
          <w:color w:val="000000"/>
          <w:bdr w:val="none" w:sz="0" w:space="0" w:color="auto" w:frame="1"/>
        </w:rPr>
        <w:t xml:space="preserve"> </w:t>
      </w:r>
      <w:r w:rsidR="00B339B9">
        <w:rPr>
          <w:rStyle w:val="ssrfcsection"/>
          <w:color w:val="000000"/>
          <w:bdr w:val="none" w:sz="0" w:space="0" w:color="auto" w:frame="1"/>
        </w:rPr>
        <w:t>Under the circumstances, t</w:t>
      </w:r>
      <w:r w:rsidR="000D221B" w:rsidRPr="00B339B9">
        <w:rPr>
          <w:rStyle w:val="ssrfcpassagedeactivated"/>
          <w:color w:val="000000"/>
          <w:bdr w:val="none" w:sz="0" w:space="0" w:color="auto" w:frame="1"/>
        </w:rPr>
        <w:t xml:space="preserve">he </w:t>
      </w:r>
      <w:r w:rsidR="00B339B9">
        <w:rPr>
          <w:rStyle w:val="ssrfcpassagedeactivated"/>
          <w:color w:val="000000"/>
          <w:bdr w:val="none" w:sz="0" w:space="0" w:color="auto" w:frame="1"/>
        </w:rPr>
        <w:t xml:space="preserve">appellate </w:t>
      </w:r>
      <w:r w:rsidR="000D221B" w:rsidRPr="00B339B9">
        <w:rPr>
          <w:rStyle w:val="ssrfcpassagedeactivated"/>
          <w:color w:val="000000"/>
          <w:bdr w:val="none" w:sz="0" w:space="0" w:color="auto" w:frame="1"/>
        </w:rPr>
        <w:t>court concluded that Wilford could not be sentenced un</w:t>
      </w:r>
      <w:r w:rsidR="006C1BF6">
        <w:rPr>
          <w:rStyle w:val="ssrfcpassagedeactivated"/>
          <w:color w:val="000000"/>
          <w:bdr w:val="none" w:sz="0" w:space="0" w:color="auto" w:frame="1"/>
        </w:rPr>
        <w:t>d</w:t>
      </w:r>
      <w:r w:rsidR="000D221B" w:rsidRPr="00B339B9">
        <w:rPr>
          <w:rStyle w:val="ssrfcpassagedeactivated"/>
          <w:color w:val="000000"/>
          <w:bdr w:val="none" w:sz="0" w:space="0" w:color="auto" w:frame="1"/>
        </w:rPr>
        <w:t>er the triad provided in section 273.5, subdivision (f)(1) because “</w:t>
      </w:r>
      <w:r w:rsidR="00B339B9">
        <w:rPr>
          <w:rStyle w:val="ssrfcpassagedeactivated"/>
          <w:color w:val="000000"/>
          <w:bdr w:val="none" w:sz="0" w:space="0" w:color="auto" w:frame="1"/>
        </w:rPr>
        <w:t>[t]</w:t>
      </w:r>
      <w:r w:rsidR="000D221B" w:rsidRPr="00B339B9">
        <w:rPr>
          <w:rStyle w:val="ssrfcpassagedeactivated"/>
          <w:color w:val="000000"/>
          <w:bdr w:val="none" w:sz="0" w:space="0" w:color="auto" w:frame="1"/>
        </w:rPr>
        <w:t>here was</w:t>
      </w:r>
      <w:r w:rsidR="006C1BF6">
        <w:rPr>
          <w:rStyle w:val="ssrfcpassagedeactivated"/>
          <w:color w:val="000000"/>
          <w:bdr w:val="none" w:sz="0" w:space="0" w:color="auto" w:frame="1"/>
        </w:rPr>
        <w:t xml:space="preserve"> </w:t>
      </w:r>
      <w:r w:rsidR="000D221B" w:rsidRPr="00B339B9">
        <w:rPr>
          <w:rStyle w:val="ssit"/>
          <w:i/>
          <w:iCs/>
          <w:color w:val="000000"/>
          <w:bdr w:val="none" w:sz="0" w:space="0" w:color="auto" w:frame="1"/>
        </w:rPr>
        <w:t>no indication whatsoever</w:t>
      </w:r>
      <w:r w:rsidR="006C1BF6">
        <w:rPr>
          <w:rStyle w:val="ssrfcpassagedeactivated"/>
          <w:color w:val="000000"/>
          <w:bdr w:val="none" w:sz="0" w:space="0" w:color="auto" w:frame="1"/>
        </w:rPr>
        <w:t xml:space="preserve"> </w:t>
      </w:r>
      <w:r w:rsidR="000D221B" w:rsidRPr="00B339B9">
        <w:rPr>
          <w:rStyle w:val="ssrfcpassagedeactivated"/>
          <w:color w:val="000000"/>
          <w:bdr w:val="none" w:sz="0" w:space="0" w:color="auto" w:frame="1"/>
        </w:rPr>
        <w:t xml:space="preserve">that Wilford faced the possibility of a sentence of two, four, or five years for each of those same offenses under section 273.5, subdivision (f)(1).” </w:t>
      </w:r>
      <w:r w:rsidR="00B339B9" w:rsidRPr="00B339B9">
        <w:rPr>
          <w:rStyle w:val="ssrfcpassagedeactivated"/>
          <w:color w:val="000000"/>
          <w:bdr w:val="none" w:sz="0" w:space="0" w:color="auto" w:frame="1"/>
        </w:rPr>
        <w:t xml:space="preserve"> </w:t>
      </w:r>
      <w:r w:rsidR="000D221B" w:rsidRPr="00B339B9">
        <w:rPr>
          <w:rStyle w:val="ssrfcpassagedeactivated"/>
          <w:color w:val="000000"/>
          <w:bdr w:val="none" w:sz="0" w:space="0" w:color="auto" w:frame="1"/>
        </w:rPr>
        <w:t>(</w:t>
      </w:r>
      <w:r w:rsidR="000D221B" w:rsidRPr="00B339B9">
        <w:rPr>
          <w:rStyle w:val="ssit"/>
          <w:i/>
          <w:iCs/>
          <w:color w:val="000000"/>
          <w:bdr w:val="none" w:sz="0" w:space="0" w:color="auto" w:frame="1"/>
        </w:rPr>
        <w:t>Wilford</w:t>
      </w:r>
      <w:r w:rsidR="000D221B" w:rsidRPr="00B339B9">
        <w:rPr>
          <w:rStyle w:val="ssrfcpassagedeactivated"/>
          <w:color w:val="000000"/>
          <w:bdr w:val="none" w:sz="0" w:space="0" w:color="auto" w:frame="1"/>
        </w:rPr>
        <w:t>, at p. 840, italics added.)</w:t>
      </w:r>
      <w:r w:rsidR="00B339B9">
        <w:rPr>
          <w:rStyle w:val="ssrfcpassagedeactivated"/>
          <w:color w:val="000000"/>
          <w:bdr w:val="none" w:sz="0" w:space="0" w:color="auto" w:frame="1"/>
        </w:rPr>
        <w:t xml:space="preserve">  The </w:t>
      </w:r>
      <w:r w:rsidR="00B339B9">
        <w:rPr>
          <w:rStyle w:val="ssrfcpassagedeactivated"/>
          <w:i/>
          <w:iCs/>
          <w:color w:val="000000"/>
          <w:bdr w:val="none" w:sz="0" w:space="0" w:color="auto" w:frame="1"/>
        </w:rPr>
        <w:t>Vaquera</w:t>
      </w:r>
      <w:r w:rsidR="00B339B9">
        <w:rPr>
          <w:rStyle w:val="ssrfcpassagedeactivated"/>
          <w:color w:val="000000"/>
          <w:bdr w:val="none" w:sz="0" w:space="0" w:color="auto" w:frame="1"/>
        </w:rPr>
        <w:t xml:space="preserve"> court concluded that, because subdivision (b) states it applied “[e]xcept as provided” in subdivision (j), Vaquera was on notice that </w:t>
      </w:r>
      <w:r w:rsidR="00E6332C">
        <w:rPr>
          <w:rStyle w:val="ssrfcpassagedeactivated"/>
          <w:color w:val="000000"/>
          <w:bdr w:val="none" w:sz="0" w:space="0" w:color="auto" w:frame="1"/>
        </w:rPr>
        <w:t>subdivision (j)(2) might increase his sentence to 25 years to life.  Thus, W</w:t>
      </w:r>
      <w:r w:rsidR="00B339B9">
        <w:rPr>
          <w:rStyle w:val="ssrfcpassagedeactivated"/>
          <w:i/>
          <w:iCs/>
          <w:color w:val="000000"/>
          <w:bdr w:val="none" w:sz="0" w:space="0" w:color="auto" w:frame="1"/>
        </w:rPr>
        <w:t xml:space="preserve">ilford </w:t>
      </w:r>
      <w:r w:rsidR="00B339B9" w:rsidRPr="00B339B9">
        <w:rPr>
          <w:rStyle w:val="ssrfcpassagedeactivated"/>
          <w:color w:val="000000"/>
          <w:bdr w:val="none" w:sz="0" w:space="0" w:color="auto" w:frame="1"/>
        </w:rPr>
        <w:t>was inapposite.</w:t>
      </w:r>
      <w:r w:rsidR="00E6332C">
        <w:rPr>
          <w:rStyle w:val="ssrfcpassagedeactivated"/>
          <w:color w:val="000000"/>
          <w:bdr w:val="none" w:sz="0" w:space="0" w:color="auto" w:frame="1"/>
        </w:rPr>
        <w:t xml:space="preserve">  (</w:t>
      </w:r>
      <w:r w:rsidR="00E6332C">
        <w:rPr>
          <w:rStyle w:val="ssrfcpassagedeactivated"/>
          <w:i/>
          <w:iCs/>
          <w:color w:val="000000"/>
          <w:bdr w:val="none" w:sz="0" w:space="0" w:color="auto" w:frame="1"/>
        </w:rPr>
        <w:t>Vaquera</w:t>
      </w:r>
      <w:r w:rsidR="00E6332C">
        <w:rPr>
          <w:rStyle w:val="ssrfcpassagedeactivated"/>
          <w:color w:val="000000"/>
          <w:bdr w:val="none" w:sz="0" w:space="0" w:color="auto" w:frame="1"/>
        </w:rPr>
        <w:t xml:space="preserve">, at pp. </w:t>
      </w:r>
      <w:r w:rsidR="00E6332C" w:rsidRPr="00C274F2">
        <w:rPr>
          <w:rStyle w:val="ssrfcpassagedeactivated"/>
          <w:color w:val="000000"/>
          <w:bdr w:val="none" w:sz="0" w:space="0" w:color="auto" w:frame="1"/>
        </w:rPr>
        <w:t xml:space="preserve">243–244.)  Finally, the Fourth District simply disagreed with the analysis in </w:t>
      </w:r>
      <w:r w:rsidR="00E6332C" w:rsidRPr="00C274F2">
        <w:rPr>
          <w:rStyle w:val="ssrfcpassagedeactivated"/>
          <w:i/>
          <w:iCs/>
          <w:color w:val="000000"/>
          <w:bdr w:val="none" w:sz="0" w:space="0" w:color="auto" w:frame="1"/>
        </w:rPr>
        <w:t>Jimenez</w:t>
      </w:r>
      <w:r w:rsidR="00E6332C" w:rsidRPr="00C274F2">
        <w:rPr>
          <w:rStyle w:val="ssrfcpassagedeactivated"/>
          <w:color w:val="000000"/>
          <w:bdr w:val="none" w:sz="0" w:space="0" w:color="auto" w:frame="1"/>
        </w:rPr>
        <w:t xml:space="preserve">, noting that the </w:t>
      </w:r>
      <w:r w:rsidR="00E6332C" w:rsidRPr="00C274F2">
        <w:rPr>
          <w:rStyle w:val="ssrfcpassagedeactivated"/>
          <w:i/>
          <w:iCs/>
          <w:color w:val="000000"/>
          <w:bdr w:val="none" w:sz="0" w:space="0" w:color="auto" w:frame="1"/>
        </w:rPr>
        <w:t xml:space="preserve">Jimenez </w:t>
      </w:r>
      <w:r w:rsidR="00E6332C" w:rsidRPr="00C274F2">
        <w:rPr>
          <w:rStyle w:val="ssrfcpassagedeactivated"/>
          <w:color w:val="000000"/>
          <w:bdr w:val="none" w:sz="0" w:space="0" w:color="auto" w:frame="1"/>
        </w:rPr>
        <w:t>court:</w:t>
      </w:r>
      <w:r w:rsidR="00E6332C" w:rsidRPr="00C274F2">
        <w:rPr>
          <w:rStyle w:val="ssrfcpassagedeactivated"/>
          <w:i/>
          <w:iCs/>
          <w:color w:val="000000"/>
          <w:bdr w:val="none" w:sz="0" w:space="0" w:color="auto" w:frame="1"/>
        </w:rPr>
        <w:t xml:space="preserve"> </w:t>
      </w:r>
      <w:r w:rsidR="00963D27" w:rsidRPr="00C274F2">
        <w:rPr>
          <w:rStyle w:val="ssrfcsection"/>
          <w:color w:val="000000"/>
          <w:bdr w:val="none" w:sz="0" w:space="0" w:color="auto" w:frame="1"/>
        </w:rPr>
        <w:t>never considered the fact that the 25-year-to-life exception under section 667.61, subdivision (j)(2) is specifically provided for within section 667.61, subdivision (b)</w:t>
      </w:r>
      <w:r w:rsidR="00E6332C" w:rsidRPr="00C274F2">
        <w:rPr>
          <w:rStyle w:val="ssrfcsection"/>
          <w:color w:val="000000"/>
          <w:bdr w:val="none" w:sz="0" w:space="0" w:color="auto" w:frame="1"/>
        </w:rPr>
        <w:t xml:space="preserve">; failed to distinguish </w:t>
      </w:r>
      <w:r w:rsidR="00E6332C" w:rsidRPr="00C274F2">
        <w:rPr>
          <w:rStyle w:val="ssrfcsection"/>
          <w:i/>
          <w:iCs/>
          <w:color w:val="000000"/>
          <w:bdr w:val="none" w:sz="0" w:space="0" w:color="auto" w:frame="1"/>
        </w:rPr>
        <w:t xml:space="preserve">Mancebo </w:t>
      </w:r>
      <w:r w:rsidR="00E6332C" w:rsidRPr="00C274F2">
        <w:rPr>
          <w:rStyle w:val="ssrfcsection"/>
          <w:color w:val="000000"/>
          <w:bdr w:val="none" w:sz="0" w:space="0" w:color="auto" w:frame="1"/>
        </w:rPr>
        <w:t xml:space="preserve">as a case in which no multiple victim sentencing allegations had been pleaded; and </w:t>
      </w:r>
      <w:r w:rsidR="00E6332C" w:rsidRPr="00C274F2">
        <w:rPr>
          <w:color w:val="000000"/>
        </w:rPr>
        <w:t>failed to recognize that</w:t>
      </w:r>
      <w:r w:rsidR="0007521A" w:rsidRPr="00C274F2">
        <w:rPr>
          <w:color w:val="000000"/>
        </w:rPr>
        <w:t>, if the prosecution properly pleads and proves multiple victim allegations for qualifying sex offenses in which the victims were under 14 years of age, the trial court was</w:t>
      </w:r>
      <w:r w:rsidR="003B63FC">
        <w:rPr>
          <w:color w:val="000000"/>
        </w:rPr>
        <w:t xml:space="preserve"> </w:t>
      </w:r>
      <w:r w:rsidR="0007521A" w:rsidRPr="00C274F2">
        <w:rPr>
          <w:rStyle w:val="ssit"/>
          <w:i/>
          <w:iCs/>
          <w:color w:val="000000"/>
          <w:bdr w:val="none" w:sz="0" w:space="0" w:color="auto" w:frame="1"/>
        </w:rPr>
        <w:t>required</w:t>
      </w:r>
      <w:r w:rsidR="003B63FC">
        <w:rPr>
          <w:color w:val="000000"/>
        </w:rPr>
        <w:t xml:space="preserve"> </w:t>
      </w:r>
      <w:r w:rsidR="0007521A" w:rsidRPr="00C274F2">
        <w:rPr>
          <w:color w:val="000000"/>
        </w:rPr>
        <w:t>to impose a 25-year-to-life sentence under section 667.61, subd. (j)(2).  (</w:t>
      </w:r>
      <w:r w:rsidR="0007521A" w:rsidRPr="00C274F2">
        <w:rPr>
          <w:i/>
          <w:iCs/>
          <w:color w:val="000000"/>
        </w:rPr>
        <w:t>Vaquera</w:t>
      </w:r>
      <w:r w:rsidR="0007521A" w:rsidRPr="00C274F2">
        <w:rPr>
          <w:color w:val="000000"/>
        </w:rPr>
        <w:t>, at pp. 244–245.)</w:t>
      </w:r>
    </w:p>
    <w:p w14:paraId="35DD2BE0" w14:textId="01813AA0" w:rsidR="008A5110" w:rsidRPr="00125CB8" w:rsidRDefault="00547AFA" w:rsidP="00547AFA">
      <w:pPr>
        <w:pStyle w:val="Text"/>
        <w:ind w:firstLine="0"/>
        <w:rPr>
          <w:shd w:val="clear" w:color="auto" w:fill="FFFFFF"/>
        </w:rPr>
      </w:pPr>
      <w:r w:rsidRPr="00C274F2">
        <w:rPr>
          <w:color w:val="000000"/>
        </w:rPr>
        <w:tab/>
        <w:t xml:space="preserve">In </w:t>
      </w:r>
      <w:r w:rsidR="001A2AEA" w:rsidRPr="00C274F2">
        <w:rPr>
          <w:i/>
          <w:iCs/>
        </w:rPr>
        <w:t>People v. Zaldana</w:t>
      </w:r>
      <w:r w:rsidR="001A2AEA" w:rsidRPr="00C274F2">
        <w:t xml:space="preserve"> (2019) 43 Cal.App.5th 527</w:t>
      </w:r>
      <w:r w:rsidRPr="00C274F2">
        <w:t xml:space="preserve"> </w:t>
      </w:r>
      <w:r w:rsidR="008A5110" w:rsidRPr="00C274F2">
        <w:t>(</w:t>
      </w:r>
      <w:r w:rsidRPr="00C274F2">
        <w:rPr>
          <w:i/>
          <w:iCs/>
        </w:rPr>
        <w:t>Zaldana</w:t>
      </w:r>
      <w:r w:rsidR="008A5110" w:rsidRPr="00C274F2">
        <w:t>)</w:t>
      </w:r>
      <w:r w:rsidR="001A2AEA" w:rsidRPr="00C274F2">
        <w:t>, review granted March 18, 2020, S259731</w:t>
      </w:r>
      <w:r w:rsidRPr="00C274F2">
        <w:t>, the relevant information alleged that five counts of qualifying sexual offenses were committed</w:t>
      </w:r>
      <w:r w:rsidR="008A5110" w:rsidRPr="00C274F2">
        <w:t xml:space="preserve"> </w:t>
      </w:r>
      <w:r w:rsidRPr="00C274F2">
        <w:t>against more than</w:t>
      </w:r>
      <w:r>
        <w:t xml:space="preserve"> one victim “within the meaning of Penal Code section 667.61(b) and (e).”</w:t>
      </w:r>
      <w:r w:rsidR="008A5110">
        <w:t xml:space="preserve"> (</w:t>
      </w:r>
      <w:r w:rsidR="008A5110">
        <w:rPr>
          <w:i/>
          <w:iCs/>
        </w:rPr>
        <w:t>Zaldana</w:t>
      </w:r>
      <w:r w:rsidR="008A5110">
        <w:t xml:space="preserve">, at p. 530.)  </w:t>
      </w:r>
      <w:r w:rsidR="008A5110" w:rsidRPr="008A5110">
        <w:t xml:space="preserve">Agreeing </w:t>
      </w:r>
      <w:r w:rsidR="008A5110" w:rsidRPr="00F86875">
        <w:t xml:space="preserve">with </w:t>
      </w:r>
      <w:r w:rsidR="008A5110" w:rsidRPr="00F86875">
        <w:rPr>
          <w:rStyle w:val="ssit"/>
          <w:i/>
          <w:iCs/>
          <w:bdr w:val="none" w:sz="0" w:space="0" w:color="auto" w:frame="1"/>
          <w:shd w:val="clear" w:color="auto" w:fill="FFFFFF"/>
        </w:rPr>
        <w:t>Vaquera</w:t>
      </w:r>
      <w:r w:rsidR="00F86875">
        <w:rPr>
          <w:shd w:val="clear" w:color="auto" w:fill="FFFFFF"/>
        </w:rPr>
        <w:t>’</w:t>
      </w:r>
      <w:r w:rsidR="008A5110" w:rsidRPr="00F86875">
        <w:rPr>
          <w:shd w:val="clear" w:color="auto" w:fill="FFFFFF"/>
        </w:rPr>
        <w:t xml:space="preserve">s “detailed analysis” and rejecting </w:t>
      </w:r>
      <w:r w:rsidR="008A5110" w:rsidRPr="00F86875">
        <w:rPr>
          <w:i/>
          <w:iCs/>
          <w:shd w:val="clear" w:color="auto" w:fill="FFFFFF"/>
        </w:rPr>
        <w:t xml:space="preserve">Jimenez’s </w:t>
      </w:r>
      <w:r w:rsidR="008A5110" w:rsidRPr="00F86875">
        <w:rPr>
          <w:shd w:val="clear" w:color="auto" w:fill="FFFFFF"/>
        </w:rPr>
        <w:t xml:space="preserve">“cursory reasoning,” </w:t>
      </w:r>
      <w:r w:rsidR="008A5110" w:rsidRPr="00F86875">
        <w:t xml:space="preserve">the </w:t>
      </w:r>
      <w:r w:rsidR="00F86875">
        <w:t>S</w:t>
      </w:r>
      <w:r w:rsidR="008A5110" w:rsidRPr="00F86875">
        <w:t xml:space="preserve">econd </w:t>
      </w:r>
      <w:r w:rsidR="00F86875">
        <w:t>D</w:t>
      </w:r>
      <w:r w:rsidR="008A5110" w:rsidRPr="00F86875">
        <w:t xml:space="preserve">istrict determined that </w:t>
      </w:r>
      <w:r w:rsidR="008A5110" w:rsidRPr="00F86875">
        <w:rPr>
          <w:shd w:val="clear" w:color="auto" w:fill="FFFFFF"/>
        </w:rPr>
        <w:t>Zaldana had constitutionally adequate notice that he could be subject to the longer sentence in</w:t>
      </w:r>
      <w:r w:rsidR="003B63FC">
        <w:rPr>
          <w:shd w:val="clear" w:color="auto" w:fill="FFFFFF"/>
        </w:rPr>
        <w:t xml:space="preserve"> </w:t>
      </w:r>
      <w:r w:rsidR="00F86875" w:rsidRPr="00F86875">
        <w:rPr>
          <w:shd w:val="clear" w:color="auto" w:fill="FFFFFF"/>
        </w:rPr>
        <w:t>section 667.61, subdivision (j)(2)</w:t>
      </w:r>
      <w:r w:rsidR="008A5110" w:rsidRPr="00F86875">
        <w:t xml:space="preserve">, even though the People </w:t>
      </w:r>
      <w:r w:rsidR="008A5110" w:rsidRPr="00F86875">
        <w:rPr>
          <w:shd w:val="clear" w:color="auto" w:fill="FFFFFF"/>
        </w:rPr>
        <w:t>did not specifically plead </w:t>
      </w:r>
      <w:r w:rsidR="00F86875" w:rsidRPr="00F86875">
        <w:rPr>
          <w:shd w:val="clear" w:color="auto" w:fill="FFFFFF"/>
        </w:rPr>
        <w:t>that statute</w:t>
      </w:r>
      <w:r w:rsidR="008A5110" w:rsidRPr="00F86875">
        <w:rPr>
          <w:shd w:val="clear" w:color="auto" w:fill="FFFFFF"/>
        </w:rPr>
        <w:t>.</w:t>
      </w:r>
      <w:r w:rsidR="00F86875" w:rsidRPr="00F86875">
        <w:rPr>
          <w:shd w:val="clear" w:color="auto" w:fill="FFFFFF"/>
        </w:rPr>
        <w:t xml:space="preserve">  (</w:t>
      </w:r>
      <w:r w:rsidR="00F86875" w:rsidRPr="00F86875">
        <w:rPr>
          <w:i/>
          <w:iCs/>
          <w:shd w:val="clear" w:color="auto" w:fill="FFFFFF"/>
        </w:rPr>
        <w:t>Zaldana</w:t>
      </w:r>
      <w:r w:rsidR="00F86875" w:rsidRPr="00F86875">
        <w:rPr>
          <w:shd w:val="clear" w:color="auto" w:fill="FFFFFF"/>
        </w:rPr>
        <w:t>,</w:t>
      </w:r>
      <w:r w:rsidR="00F86875" w:rsidRPr="00F86875">
        <w:rPr>
          <w:i/>
          <w:iCs/>
          <w:shd w:val="clear" w:color="auto" w:fill="FFFFFF"/>
        </w:rPr>
        <w:t xml:space="preserve"> </w:t>
      </w:r>
      <w:r w:rsidR="00F86875" w:rsidRPr="00F86875">
        <w:rPr>
          <w:shd w:val="clear" w:color="auto" w:fill="FFFFFF"/>
        </w:rPr>
        <w:t xml:space="preserve">at p. 533.)  </w:t>
      </w:r>
      <w:r w:rsidR="00C274F2">
        <w:rPr>
          <w:shd w:val="clear" w:color="auto" w:fill="FFFFFF"/>
        </w:rPr>
        <w:t>Moreover</w:t>
      </w:r>
      <w:r w:rsidR="00F86875" w:rsidRPr="00F86875">
        <w:rPr>
          <w:shd w:val="clear" w:color="auto" w:fill="FFFFFF"/>
        </w:rPr>
        <w:t xml:space="preserve">, the </w:t>
      </w:r>
      <w:r w:rsidR="00F86875" w:rsidRPr="00F86875">
        <w:rPr>
          <w:i/>
          <w:iCs/>
          <w:shd w:val="clear" w:color="auto" w:fill="FFFFFF"/>
        </w:rPr>
        <w:t>Zaldana</w:t>
      </w:r>
      <w:r w:rsidR="00F86875" w:rsidRPr="00F86875">
        <w:rPr>
          <w:shd w:val="clear" w:color="auto" w:fill="FFFFFF"/>
        </w:rPr>
        <w:t xml:space="preserve"> court also endorsed </w:t>
      </w:r>
      <w:r w:rsidR="00F86875" w:rsidRPr="00F86875">
        <w:rPr>
          <w:i/>
          <w:iCs/>
          <w:shd w:val="clear" w:color="auto" w:fill="FFFFFF"/>
        </w:rPr>
        <w:t>Vaquera</w:t>
      </w:r>
      <w:r w:rsidR="00F86875" w:rsidRPr="00F86875">
        <w:rPr>
          <w:shd w:val="clear" w:color="auto" w:fill="FFFFFF"/>
        </w:rPr>
        <w:t>’s conclusion that “because the prosecution properly pleaded and proved multiple victim allegations for qualifying sex offenses in which the victims were under 14 years of age, the trial court was</w:t>
      </w:r>
      <w:r w:rsidR="003B63FC">
        <w:rPr>
          <w:shd w:val="clear" w:color="auto" w:fill="FFFFFF"/>
        </w:rPr>
        <w:t xml:space="preserve"> </w:t>
      </w:r>
      <w:r w:rsidR="00F86875" w:rsidRPr="00F86875">
        <w:rPr>
          <w:i/>
          <w:iCs/>
          <w:bdr w:val="none" w:sz="0" w:space="0" w:color="auto" w:frame="1"/>
          <w:shd w:val="clear" w:color="auto" w:fill="FFFFFF"/>
        </w:rPr>
        <w:t>required</w:t>
      </w:r>
      <w:r w:rsidR="003B63FC">
        <w:rPr>
          <w:shd w:val="clear" w:color="auto" w:fill="FFFFFF"/>
        </w:rPr>
        <w:t xml:space="preserve"> </w:t>
      </w:r>
      <w:r w:rsidR="00F86875" w:rsidRPr="00F86875">
        <w:rPr>
          <w:shd w:val="clear" w:color="auto" w:fill="FFFFFF"/>
        </w:rPr>
        <w:t>to impose a 25-year-to-life sentence under section 667.61.”</w:t>
      </w:r>
      <w:r w:rsidR="00F86875">
        <w:rPr>
          <w:shd w:val="clear" w:color="auto" w:fill="FFFFFF"/>
        </w:rPr>
        <w:t xml:space="preserve">  (</w:t>
      </w:r>
      <w:r w:rsidR="00F86875">
        <w:rPr>
          <w:i/>
          <w:iCs/>
          <w:shd w:val="clear" w:color="auto" w:fill="FFFFFF"/>
        </w:rPr>
        <w:t>Zaldana</w:t>
      </w:r>
      <w:r w:rsidR="00F86875">
        <w:rPr>
          <w:shd w:val="clear" w:color="auto" w:fill="FFFFFF"/>
        </w:rPr>
        <w:t xml:space="preserve">, at p. </w:t>
      </w:r>
      <w:r w:rsidR="00125CB8">
        <w:rPr>
          <w:shd w:val="clear" w:color="auto" w:fill="FFFFFF"/>
        </w:rPr>
        <w:t>536.)  Since the trial court had imposed unauthorized sentences of 15 years to life, the appellate court remanded the matter so that the trial court could determine whether to run any of the mandatory sentences of 25 years to life concurrently rather than consecutively.  (</w:t>
      </w:r>
      <w:r w:rsidR="00125CB8">
        <w:rPr>
          <w:i/>
          <w:iCs/>
          <w:shd w:val="clear" w:color="auto" w:fill="FFFFFF"/>
        </w:rPr>
        <w:t>Ibid</w:t>
      </w:r>
      <w:r w:rsidR="00125CB8">
        <w:rPr>
          <w:shd w:val="clear" w:color="auto" w:fill="FFFFFF"/>
        </w:rPr>
        <w:t>.)  In doing so, the court rejected the argument that the prosecution was exercising its sentencing discretion in selecting to charge the shorter term under subdivision (b) of section 667.61 rather than the longer term under subdivision (j)(2).  (</w:t>
      </w:r>
      <w:r w:rsidR="00125CB8">
        <w:rPr>
          <w:i/>
          <w:iCs/>
          <w:shd w:val="clear" w:color="auto" w:fill="FFFFFF"/>
        </w:rPr>
        <w:t>Zaldana</w:t>
      </w:r>
      <w:r w:rsidR="00125CB8">
        <w:rPr>
          <w:shd w:val="clear" w:color="auto" w:fill="FFFFFF"/>
        </w:rPr>
        <w:t xml:space="preserve">, at pp. 535–536.)   </w:t>
      </w:r>
    </w:p>
    <w:p w14:paraId="6621D0CA" w14:textId="37F8FDA8" w:rsidR="008F3614" w:rsidRPr="00E979C5"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ab/>
      </w:r>
      <w:r w:rsidR="007952EB" w:rsidRPr="00E979C5">
        <w:rPr>
          <w:b/>
          <w:bCs/>
          <w:i/>
          <w:iCs/>
          <w:bdr w:val="none" w:sz="0" w:space="0" w:color="auto" w:frame="1"/>
          <w:shd w:val="clear" w:color="auto" w:fill="FFFFFF"/>
        </w:rPr>
        <w:t>3</w:t>
      </w:r>
      <w:r w:rsidRPr="00E979C5">
        <w:rPr>
          <w:b/>
          <w:bCs/>
          <w:i/>
          <w:iCs/>
          <w:bdr w:val="none" w:sz="0" w:space="0" w:color="auto" w:frame="1"/>
          <w:shd w:val="clear" w:color="auto" w:fill="FFFFFF"/>
        </w:rPr>
        <w:t>.</w:t>
      </w:r>
      <w:r w:rsidRPr="00E979C5">
        <w:rPr>
          <w:b/>
          <w:bCs/>
          <w:i/>
          <w:iCs/>
          <w:bdr w:val="none" w:sz="0" w:space="0" w:color="auto" w:frame="1"/>
          <w:shd w:val="clear" w:color="auto" w:fill="FFFFFF"/>
        </w:rPr>
        <w:tab/>
      </w:r>
      <w:r w:rsidR="001A2AEA" w:rsidRPr="00E979C5">
        <w:rPr>
          <w:b/>
          <w:bCs/>
          <w:i/>
          <w:iCs/>
          <w:bdr w:val="none" w:sz="0" w:space="0" w:color="auto" w:frame="1"/>
          <w:shd w:val="clear" w:color="auto" w:fill="FFFFFF"/>
        </w:rPr>
        <w:t xml:space="preserve">Due </w:t>
      </w:r>
      <w:r w:rsidR="00C274F2" w:rsidRPr="00E979C5">
        <w:rPr>
          <w:b/>
          <w:bCs/>
          <w:i/>
          <w:iCs/>
          <w:bdr w:val="none" w:sz="0" w:space="0" w:color="auto" w:frame="1"/>
          <w:shd w:val="clear" w:color="auto" w:fill="FFFFFF"/>
        </w:rPr>
        <w:t>Process</w:t>
      </w:r>
      <w:r w:rsidR="007952EB" w:rsidRPr="00E979C5">
        <w:rPr>
          <w:b/>
          <w:bCs/>
          <w:i/>
          <w:iCs/>
          <w:bdr w:val="none" w:sz="0" w:space="0" w:color="auto" w:frame="1"/>
          <w:shd w:val="clear" w:color="auto" w:fill="FFFFFF"/>
        </w:rPr>
        <w:t xml:space="preserve"> </w:t>
      </w:r>
      <w:r w:rsidR="001A2AEA" w:rsidRPr="00E979C5">
        <w:rPr>
          <w:b/>
          <w:bCs/>
          <w:i/>
          <w:iCs/>
          <w:bdr w:val="none" w:sz="0" w:space="0" w:color="auto" w:frame="1"/>
          <w:shd w:val="clear" w:color="auto" w:fill="FFFFFF"/>
        </w:rPr>
        <w:t>Was Violated in this Case</w:t>
      </w:r>
      <w:r w:rsidRPr="00E979C5">
        <w:rPr>
          <w:b/>
          <w:bCs/>
          <w:i/>
          <w:iCs/>
          <w:bdr w:val="none" w:sz="0" w:space="0" w:color="auto" w:frame="1"/>
          <w:shd w:val="clear" w:color="auto" w:fill="FFFFFF"/>
        </w:rPr>
        <w:t xml:space="preserve">  </w:t>
      </w:r>
    </w:p>
    <w:p w14:paraId="29BC6973" w14:textId="7CA768F7" w:rsidR="00554A73" w:rsidRDefault="008F3614" w:rsidP="008F3614">
      <w:pPr>
        <w:pStyle w:val="Text"/>
        <w:ind w:firstLine="0"/>
      </w:pPr>
      <w:r>
        <w:rPr>
          <w:b/>
          <w:bCs/>
          <w:i/>
          <w:iCs/>
          <w:bdr w:val="none" w:sz="0" w:space="0" w:color="auto" w:frame="1"/>
          <w:shd w:val="clear" w:color="auto" w:fill="FFFFFF"/>
        </w:rPr>
        <w:tab/>
      </w:r>
      <w:r w:rsidR="006E0A7A">
        <w:rPr>
          <w:bdr w:val="none" w:sz="0" w:space="0" w:color="auto" w:frame="1"/>
          <w:shd w:val="clear" w:color="auto" w:fill="FFFFFF"/>
        </w:rPr>
        <w:t xml:space="preserve">As to each of counts </w:t>
      </w:r>
      <w:r w:rsidR="00554A73">
        <w:rPr>
          <w:bdr w:val="none" w:sz="0" w:space="0" w:color="auto" w:frame="1"/>
          <w:shd w:val="clear" w:color="auto" w:fill="FFFFFF"/>
        </w:rPr>
        <w:t>eight</w:t>
      </w:r>
      <w:r w:rsidR="006E0A7A">
        <w:rPr>
          <w:bdr w:val="none" w:sz="0" w:space="0" w:color="auto" w:frame="1"/>
          <w:shd w:val="clear" w:color="auto" w:fill="FFFFFF"/>
        </w:rPr>
        <w:t xml:space="preserve"> through ten</w:t>
      </w:r>
      <w:r w:rsidR="00554A73">
        <w:rPr>
          <w:bdr w:val="none" w:sz="0" w:space="0" w:color="auto" w:frame="1"/>
          <w:shd w:val="clear" w:color="auto" w:fill="FFFFFF"/>
        </w:rPr>
        <w:t xml:space="preserve"> in this case</w:t>
      </w:r>
      <w:r w:rsidR="006E0A7A">
        <w:rPr>
          <w:bdr w:val="none" w:sz="0" w:space="0" w:color="auto" w:frame="1"/>
          <w:shd w:val="clear" w:color="auto" w:fill="FFFFFF"/>
        </w:rPr>
        <w:t>, the operative information alleged that Jane Doe Three was a minor</w:t>
      </w:r>
      <w:r w:rsidR="00E26B7F">
        <w:rPr>
          <w:bdr w:val="none" w:sz="0" w:space="0" w:color="auto" w:frame="1"/>
          <w:shd w:val="clear" w:color="auto" w:fill="FFFFFF"/>
        </w:rPr>
        <w:t xml:space="preserve"> victim</w:t>
      </w:r>
      <w:r w:rsidR="006E0A7A">
        <w:rPr>
          <w:bdr w:val="none" w:sz="0" w:space="0" w:color="auto" w:frame="1"/>
          <w:shd w:val="clear" w:color="auto" w:fill="FFFFFF"/>
        </w:rPr>
        <w:t xml:space="preserve"> over the age of 14.</w:t>
      </w:r>
      <w:r w:rsidR="00554A73">
        <w:rPr>
          <w:bdr w:val="none" w:sz="0" w:space="0" w:color="auto" w:frame="1"/>
          <w:shd w:val="clear" w:color="auto" w:fill="FFFFFF"/>
        </w:rPr>
        <w:t xml:space="preserve"> </w:t>
      </w:r>
      <w:r w:rsidR="00554A73">
        <w:t xml:space="preserve"> In addition, counts eight through ten were enhanced with allegations pursuant to section 667.61, subdivisions (b) and (e) that </w:t>
      </w:r>
      <w:r w:rsidR="00A42FB7">
        <w:t xml:space="preserve">“the following circumstances apply: </w:t>
      </w:r>
      <w:r w:rsidR="00AC1A94">
        <w:t>(e)</w:t>
      </w:r>
      <w:r w:rsidR="00A42FB7">
        <w:t>(4) The defendant has been convicted in the present case or cases of committing an offense specified in subdivision (c) against more than one victim.”</w:t>
      </w:r>
      <w:r w:rsidR="00554A73">
        <w:t xml:space="preserve">  </w:t>
      </w:r>
      <w:r w:rsidR="00A42FB7">
        <w:t xml:space="preserve">But when describing the penalties, the information specifically alleged a penalty of 15 years to life as </w:t>
      </w:r>
      <w:r w:rsidR="0073744C">
        <w:t xml:space="preserve">to </w:t>
      </w:r>
      <w:r w:rsidR="00A42FB7">
        <w:t xml:space="preserve">the enhancements </w:t>
      </w:r>
      <w:r w:rsidR="0073744C">
        <w:t>for</w:t>
      </w:r>
      <w:r w:rsidR="00A42FB7">
        <w:t xml:space="preserve"> counts eight, nine and t</w:t>
      </w:r>
      <w:r w:rsidR="00AC1A94">
        <w:t>en</w:t>
      </w:r>
      <w:r w:rsidR="00A42FB7">
        <w:t xml:space="preserve">.  </w:t>
      </w:r>
      <w:r w:rsidR="00554A73">
        <w:t xml:space="preserve">Thus, to determine </w:t>
      </w:r>
      <w:r w:rsidR="00527F00">
        <w:t xml:space="preserve">here </w:t>
      </w:r>
      <w:r w:rsidR="00554A73">
        <w:t>whether Villegas was properly sentenced to terms of 25 years to life</w:t>
      </w:r>
      <w:r w:rsidR="00527F00">
        <w:t xml:space="preserve"> for counts eight through ten</w:t>
      </w:r>
      <w:r w:rsidR="00554A73">
        <w:t xml:space="preserve">, we must decide whether to follow </w:t>
      </w:r>
      <w:r w:rsidR="00554A73">
        <w:rPr>
          <w:i/>
          <w:iCs/>
        </w:rPr>
        <w:t>Jimenez</w:t>
      </w:r>
      <w:r w:rsidR="00554A73">
        <w:t xml:space="preserve">’s interpretation of </w:t>
      </w:r>
      <w:r w:rsidR="00554A73">
        <w:rPr>
          <w:i/>
          <w:iCs/>
        </w:rPr>
        <w:t>Mance</w:t>
      </w:r>
      <w:r w:rsidR="00527F00">
        <w:rPr>
          <w:i/>
          <w:iCs/>
        </w:rPr>
        <w:t>b</w:t>
      </w:r>
      <w:r w:rsidR="00554A73">
        <w:rPr>
          <w:i/>
          <w:iCs/>
        </w:rPr>
        <w:t>o</w:t>
      </w:r>
      <w:r w:rsidR="00554A73">
        <w:t xml:space="preserve"> or adopt the reasoning set forth in </w:t>
      </w:r>
      <w:r w:rsidR="00554A73">
        <w:rPr>
          <w:i/>
          <w:iCs/>
        </w:rPr>
        <w:t>Vaquera</w:t>
      </w:r>
      <w:r w:rsidR="00554A73">
        <w:t xml:space="preserve"> and </w:t>
      </w:r>
      <w:r w:rsidR="00554A73">
        <w:rPr>
          <w:i/>
          <w:iCs/>
        </w:rPr>
        <w:t>Zaldana</w:t>
      </w:r>
      <w:r w:rsidR="00554A73">
        <w:t xml:space="preserve">.  We find </w:t>
      </w:r>
      <w:r w:rsidR="00554A73">
        <w:rPr>
          <w:i/>
          <w:iCs/>
        </w:rPr>
        <w:t>Jimenez</w:t>
      </w:r>
      <w:r w:rsidR="00554A73">
        <w:t xml:space="preserve"> more persuasive.</w:t>
      </w:r>
    </w:p>
    <w:p w14:paraId="6AE10610" w14:textId="3B273A3A" w:rsidR="00A85B6D" w:rsidRDefault="00554A73" w:rsidP="00A85B6D">
      <w:pPr>
        <w:pStyle w:val="Text"/>
      </w:pPr>
      <w:r>
        <w:t xml:space="preserve">It is true that the </w:t>
      </w:r>
      <w:r w:rsidR="00527F00">
        <w:t>proceedings</w:t>
      </w:r>
      <w:r>
        <w:t xml:space="preserve"> in </w:t>
      </w:r>
      <w:r>
        <w:rPr>
          <w:i/>
          <w:iCs/>
        </w:rPr>
        <w:t xml:space="preserve">Mancebo </w:t>
      </w:r>
      <w:r w:rsidR="00360A7A">
        <w:t>are</w:t>
      </w:r>
      <w:r>
        <w:t xml:space="preserve"> factually distinguishable from the situation here</w:t>
      </w:r>
      <w:r w:rsidR="00527F00">
        <w:t xml:space="preserve"> (as well as</w:t>
      </w:r>
      <w:r>
        <w:t xml:space="preserve"> in </w:t>
      </w:r>
      <w:r>
        <w:rPr>
          <w:i/>
          <w:iCs/>
        </w:rPr>
        <w:t>Vaquera</w:t>
      </w:r>
      <w:r>
        <w:t xml:space="preserve"> and </w:t>
      </w:r>
      <w:r>
        <w:rPr>
          <w:i/>
          <w:iCs/>
        </w:rPr>
        <w:t>Zaldana</w:t>
      </w:r>
      <w:r w:rsidR="00527F00">
        <w:t>)</w:t>
      </w:r>
      <w:r>
        <w:t xml:space="preserve"> because the information </w:t>
      </w:r>
      <w:r w:rsidR="00486902">
        <w:t xml:space="preserve">in </w:t>
      </w:r>
      <w:r w:rsidR="00486902">
        <w:rPr>
          <w:i/>
          <w:iCs/>
        </w:rPr>
        <w:t xml:space="preserve">Mancebo </w:t>
      </w:r>
      <w:r>
        <w:t xml:space="preserve">did not plead </w:t>
      </w:r>
      <w:r w:rsidR="008D61F2">
        <w:t xml:space="preserve">a </w:t>
      </w:r>
      <w:r>
        <w:t>multiple victim circumstance</w:t>
      </w:r>
      <w:r w:rsidR="008D61F2">
        <w:t xml:space="preserve"> </w:t>
      </w:r>
      <w:r w:rsidR="00451A55">
        <w:t>under section 667.61, subdivision (e) and thus the trial co</w:t>
      </w:r>
      <w:r w:rsidR="00C3530A">
        <w:t>urt</w:t>
      </w:r>
      <w:r w:rsidR="00451A55">
        <w:t xml:space="preserve"> violated the express pleading </w:t>
      </w:r>
      <w:r w:rsidR="00A85B6D">
        <w:t xml:space="preserve">and proof </w:t>
      </w:r>
      <w:r w:rsidR="00451A55">
        <w:t xml:space="preserve">requirements of the statute when it used the </w:t>
      </w:r>
      <w:r w:rsidR="000B5235">
        <w:t xml:space="preserve">fact that there were </w:t>
      </w:r>
      <w:r w:rsidR="00451A55">
        <w:t>multiple victim</w:t>
      </w:r>
      <w:r w:rsidR="00C55AF3">
        <w:t>s</w:t>
      </w:r>
      <w:r w:rsidR="00451A55">
        <w:t xml:space="preserve"> in the case to enhance a qualifying offense.</w:t>
      </w:r>
      <w:r w:rsidR="000B5235">
        <w:t xml:space="preserve">  However, </w:t>
      </w:r>
      <w:r w:rsidR="000B5235">
        <w:rPr>
          <w:i/>
          <w:iCs/>
        </w:rPr>
        <w:t>Vaquera</w:t>
      </w:r>
      <w:r w:rsidR="000B5235">
        <w:t xml:space="preserve"> and </w:t>
      </w:r>
      <w:r w:rsidR="000B5235">
        <w:rPr>
          <w:i/>
          <w:iCs/>
        </w:rPr>
        <w:t xml:space="preserve">Zaldana </w:t>
      </w:r>
      <w:r w:rsidR="000B5235">
        <w:t xml:space="preserve">ignore the fact that the </w:t>
      </w:r>
      <w:r w:rsidR="000B5235">
        <w:rPr>
          <w:i/>
          <w:iCs/>
        </w:rPr>
        <w:t xml:space="preserve">Mancebo </w:t>
      </w:r>
      <w:r w:rsidR="000B5235">
        <w:t xml:space="preserve">Court found a </w:t>
      </w:r>
      <w:r w:rsidR="00A85B6D">
        <w:t xml:space="preserve">violation of </w:t>
      </w:r>
      <w:r w:rsidR="000B5235" w:rsidRPr="00C3530A">
        <w:rPr>
          <w:i/>
          <w:iCs/>
        </w:rPr>
        <w:t>due process</w:t>
      </w:r>
      <w:r w:rsidR="000B5235">
        <w:t xml:space="preserve"> as well as a statutory </w:t>
      </w:r>
      <w:r w:rsidR="00A85B6D">
        <w:t xml:space="preserve">violation, </w:t>
      </w:r>
      <w:r w:rsidR="000B5235">
        <w:t xml:space="preserve">using much broader language.  Under the circumstances, we agree with </w:t>
      </w:r>
      <w:r w:rsidR="000B5235">
        <w:rPr>
          <w:i/>
          <w:iCs/>
        </w:rPr>
        <w:t xml:space="preserve">Jimenez </w:t>
      </w:r>
      <w:r w:rsidR="000B5235">
        <w:t xml:space="preserve">that the pleading requirements in subdivision (o) of section </w:t>
      </w:r>
      <w:r w:rsidR="002B234E">
        <w:t>6</w:t>
      </w:r>
      <w:r w:rsidR="000B5235">
        <w:t xml:space="preserve">67.61, while necessary, may not be sufficient for due process purposes.  Rather, </w:t>
      </w:r>
      <w:r w:rsidR="00A85B6D">
        <w:rPr>
          <w:color w:val="212121"/>
          <w:shd w:val="clear" w:color="auto" w:fill="FFFFFF"/>
        </w:rPr>
        <w:t>“</w:t>
      </w:r>
      <w:r w:rsidR="00A85B6D" w:rsidRPr="006125C8">
        <w:rPr>
          <w:color w:val="000000"/>
        </w:rPr>
        <w:t xml:space="preserve">a defendant has a cognizable due process right to </w:t>
      </w:r>
      <w:r w:rsidR="00A85B6D" w:rsidRPr="00A85B6D">
        <w:rPr>
          <w:i/>
          <w:iCs/>
          <w:color w:val="000000"/>
        </w:rPr>
        <w:t>fair notice of the specific sentence enhancement allegations that will be invoked</w:t>
      </w:r>
      <w:r w:rsidR="00A85B6D">
        <w:rPr>
          <w:color w:val="000000"/>
        </w:rPr>
        <w:t xml:space="preserve"> to </w:t>
      </w:r>
      <w:r w:rsidR="00A85B6D" w:rsidRPr="006125C8">
        <w:rPr>
          <w:color w:val="000000"/>
        </w:rPr>
        <w:t xml:space="preserve">increase punishment for </w:t>
      </w:r>
      <w:r w:rsidR="00A85B6D">
        <w:rPr>
          <w:color w:val="000000"/>
        </w:rPr>
        <w:t>[his or her]</w:t>
      </w:r>
      <w:r w:rsidR="00A85B6D" w:rsidRPr="006125C8">
        <w:rPr>
          <w:color w:val="000000"/>
        </w:rPr>
        <w:t xml:space="preserve"> crimes</w:t>
      </w:r>
      <w:r w:rsidR="00A85B6D">
        <w:rPr>
          <w:color w:val="000000"/>
        </w:rPr>
        <w:t>.</w:t>
      </w:r>
      <w:r w:rsidR="00A85B6D" w:rsidRPr="006125C8">
        <w:rPr>
          <w:color w:val="000000"/>
        </w:rPr>
        <w:t>”</w:t>
      </w:r>
      <w:r w:rsidR="00A85B6D" w:rsidRPr="006125C8">
        <w:rPr>
          <w:color w:val="212121"/>
          <w:shd w:val="clear" w:color="auto" w:fill="FFFFFF"/>
        </w:rPr>
        <w:t xml:space="preserve"> </w:t>
      </w:r>
      <w:r w:rsidR="00A85B6D">
        <w:rPr>
          <w:color w:val="212121"/>
          <w:shd w:val="clear" w:color="auto" w:fill="FFFFFF"/>
        </w:rPr>
        <w:t xml:space="preserve"> </w:t>
      </w:r>
      <w:r w:rsidR="00A85B6D" w:rsidRPr="006125C8">
        <w:rPr>
          <w:color w:val="212121"/>
          <w:shd w:val="clear" w:color="auto" w:fill="FFFFFF"/>
        </w:rPr>
        <w:t>(</w:t>
      </w:r>
      <w:bookmarkStart w:id="11" w:name="_Hlk148425754"/>
      <w:r w:rsidR="00A85B6D" w:rsidRPr="006125C8">
        <w:rPr>
          <w:i/>
          <w:iCs/>
          <w:color w:val="212121"/>
          <w:shd w:val="clear" w:color="auto" w:fill="FFFFFF"/>
        </w:rPr>
        <w:t>Mancebo</w:t>
      </w:r>
      <w:r w:rsidR="00A85B6D" w:rsidRPr="006125C8">
        <w:rPr>
          <w:color w:val="212121"/>
          <w:shd w:val="clear" w:color="auto" w:fill="FFFFFF"/>
        </w:rPr>
        <w:t xml:space="preserve">, </w:t>
      </w:r>
      <w:r w:rsidR="00A85B6D" w:rsidRPr="003A071A">
        <w:rPr>
          <w:i/>
          <w:iCs/>
          <w:color w:val="212121"/>
          <w:shd w:val="clear" w:color="auto" w:fill="FFFFFF"/>
        </w:rPr>
        <w:t>supra</w:t>
      </w:r>
      <w:r w:rsidR="00A85B6D">
        <w:rPr>
          <w:color w:val="212121"/>
          <w:shd w:val="clear" w:color="auto" w:fill="FFFFFF"/>
        </w:rPr>
        <w:t xml:space="preserve">, 27 Cal.4th </w:t>
      </w:r>
      <w:r w:rsidR="00A85B6D" w:rsidRPr="003A071A">
        <w:rPr>
          <w:color w:val="212121"/>
          <w:shd w:val="clear" w:color="auto" w:fill="FFFFFF"/>
        </w:rPr>
        <w:t>at</w:t>
      </w:r>
      <w:r w:rsidR="00A85B6D" w:rsidRPr="006125C8">
        <w:rPr>
          <w:color w:val="212121"/>
          <w:shd w:val="clear" w:color="auto" w:fill="FFFFFF"/>
        </w:rPr>
        <w:t xml:space="preserve"> p</w:t>
      </w:r>
      <w:r w:rsidR="00A85B6D">
        <w:rPr>
          <w:color w:val="212121"/>
          <w:shd w:val="clear" w:color="auto" w:fill="FFFFFF"/>
        </w:rPr>
        <w:t>p</w:t>
      </w:r>
      <w:r w:rsidR="00A85B6D" w:rsidRPr="006125C8">
        <w:rPr>
          <w:color w:val="212121"/>
          <w:shd w:val="clear" w:color="auto" w:fill="FFFFFF"/>
        </w:rPr>
        <w:t>.</w:t>
      </w:r>
      <w:r w:rsidR="00A85B6D">
        <w:rPr>
          <w:color w:val="212121"/>
          <w:shd w:val="clear" w:color="auto" w:fill="FFFFFF"/>
        </w:rPr>
        <w:t xml:space="preserve"> </w:t>
      </w:r>
      <w:r w:rsidR="00A85B6D" w:rsidRPr="006125C8">
        <w:rPr>
          <w:color w:val="212121"/>
          <w:shd w:val="clear" w:color="auto" w:fill="FFFFFF"/>
        </w:rPr>
        <w:t>747</w:t>
      </w:r>
      <w:r w:rsidR="00A85B6D">
        <w:rPr>
          <w:color w:val="212121"/>
          <w:shd w:val="clear" w:color="auto" w:fill="FFFFFF"/>
        </w:rPr>
        <w:t xml:space="preserve">–748, </w:t>
      </w:r>
      <w:bookmarkEnd w:id="11"/>
      <w:r w:rsidR="00A85B6D">
        <w:rPr>
          <w:color w:val="212121"/>
          <w:shd w:val="clear" w:color="auto" w:fill="FFFFFF"/>
        </w:rPr>
        <w:t>italics added.)</w:t>
      </w:r>
      <w:r w:rsidR="00A85B6D">
        <w:rPr>
          <w:color w:val="212121"/>
          <w:shd w:val="clear" w:color="auto" w:fill="FFFFFF"/>
        </w:rPr>
        <w:tab/>
      </w:r>
      <w:r w:rsidR="00A85B6D">
        <w:t xml:space="preserve"> </w:t>
      </w:r>
    </w:p>
    <w:p w14:paraId="6DE5F7CC" w14:textId="64EA0AF7" w:rsidR="00203396" w:rsidRDefault="00A85B6D" w:rsidP="00C55AF3">
      <w:pPr>
        <w:pStyle w:val="Text"/>
        <w:ind w:firstLine="0"/>
        <w:rPr>
          <w:color w:val="000000"/>
        </w:rPr>
      </w:pPr>
      <w:r>
        <w:tab/>
        <w:t xml:space="preserve">We do not see this interpretation as inconsistent with the language in </w:t>
      </w:r>
      <w:r>
        <w:rPr>
          <w:i/>
          <w:iCs/>
        </w:rPr>
        <w:t>Mancebo</w:t>
      </w:r>
      <w:r>
        <w:t xml:space="preserve"> indicating that reference to specific </w:t>
      </w:r>
      <w:r w:rsidR="00203396">
        <w:t xml:space="preserve">numerical </w:t>
      </w:r>
      <w:r>
        <w:t>subdivision</w:t>
      </w:r>
      <w:r w:rsidR="00C274F2">
        <w:t>s</w:t>
      </w:r>
      <w:r>
        <w:t xml:space="preserve"> of section 667.61</w:t>
      </w:r>
      <w:r w:rsidR="00203396">
        <w:t>, subdivision (e)</w:t>
      </w:r>
      <w:r>
        <w:t xml:space="preserve"> may not be required.  As the </w:t>
      </w:r>
      <w:r>
        <w:rPr>
          <w:i/>
          <w:iCs/>
        </w:rPr>
        <w:t xml:space="preserve">Mancebo </w:t>
      </w:r>
      <w:r>
        <w:t>Court opined</w:t>
      </w:r>
      <w:proofErr w:type="gramStart"/>
      <w:r>
        <w:t>:</w:t>
      </w:r>
      <w:r w:rsidR="00C55AF3">
        <w:t xml:space="preserve">  “</w:t>
      </w:r>
      <w:proofErr w:type="gramEnd"/>
      <w:r w:rsidR="00C55AF3">
        <w:t>[W]</w:t>
      </w:r>
      <w:r w:rsidR="00203396">
        <w:rPr>
          <w:color w:val="000000"/>
        </w:rPr>
        <w:t xml:space="preserve">e do not here hold that the specific numerical subdivision of a qualifying One Strike circumstance under section 667.61, subdivision (e), necessarily must be pled. </w:t>
      </w:r>
      <w:r w:rsidR="000B51EA">
        <w:rPr>
          <w:color w:val="000000"/>
        </w:rPr>
        <w:t xml:space="preserve"> </w:t>
      </w:r>
      <w:r w:rsidR="00203396">
        <w:rPr>
          <w:color w:val="000000"/>
        </w:rPr>
        <w:t xml:space="preserve">We simply find that the express pleading requirements of section 667.61, subdivisions (f) and </w:t>
      </w:r>
      <w:r w:rsidR="007720F2">
        <w:rPr>
          <w:color w:val="000000"/>
        </w:rPr>
        <w:t>[(o)]</w:t>
      </w:r>
      <w:r w:rsidR="00203396">
        <w:rPr>
          <w:color w:val="000000"/>
        </w:rPr>
        <w:t>, read together, require that an information afford a One Strike defendant fair notice of the qualifying statutory circumstance or circumstances that are being pled, proved, and invoked in support of One Strike sentencing.</w:t>
      </w:r>
      <w:r w:rsidR="003B63FC">
        <w:rPr>
          <w:color w:val="000000"/>
        </w:rPr>
        <w:t xml:space="preserve"> </w:t>
      </w:r>
      <w:r w:rsidR="007720F2">
        <w:rPr>
          <w:color w:val="000000"/>
        </w:rPr>
        <w:t xml:space="preserve"> </w:t>
      </w:r>
      <w:r w:rsidR="00203396">
        <w:rPr>
          <w:color w:val="000000"/>
        </w:rPr>
        <w:t>Adequate notice can be conveyed by a reference to the description of the qualifying circumstance</w:t>
      </w:r>
      <w:r w:rsidR="007720F2">
        <w:rPr>
          <w:color w:val="000000"/>
        </w:rPr>
        <w:t xml:space="preserve"> </w:t>
      </w:r>
      <w:r w:rsidR="00203396">
        <w:rPr>
          <w:color w:val="000000"/>
        </w:rPr>
        <w:t xml:space="preserve">(e.g., kidnapping, </w:t>
      </w:r>
      <w:proofErr w:type="gramStart"/>
      <w:r w:rsidR="00203396">
        <w:rPr>
          <w:color w:val="000000"/>
        </w:rPr>
        <w:t>tying</w:t>
      </w:r>
      <w:proofErr w:type="gramEnd"/>
      <w:r w:rsidR="00203396">
        <w:rPr>
          <w:color w:val="000000"/>
        </w:rPr>
        <w:t xml:space="preserve"> or binding, gun use) in conjunction with a reference to section 667.61 or, more specifically, 667.61, subdivision (e), or by reference to its specific numerical designation under subdivision (e), or some combination thereof. </w:t>
      </w:r>
      <w:r w:rsidR="007720F2">
        <w:rPr>
          <w:color w:val="000000"/>
        </w:rPr>
        <w:t xml:space="preserve"> </w:t>
      </w:r>
      <w:r w:rsidR="00203396">
        <w:rPr>
          <w:color w:val="000000"/>
        </w:rPr>
        <w:t>We do not purport to choose among them.</w:t>
      </w:r>
      <w:r w:rsidR="007720F2">
        <w:rPr>
          <w:color w:val="000000"/>
        </w:rPr>
        <w:t xml:space="preserve">”  </w:t>
      </w:r>
      <w:r w:rsidR="00C97173">
        <w:rPr>
          <w:color w:val="000000"/>
        </w:rPr>
        <w:t>(</w:t>
      </w:r>
      <w:bookmarkStart w:id="12" w:name="_Hlk148426469"/>
      <w:r w:rsidR="00C97173" w:rsidRPr="006125C8">
        <w:rPr>
          <w:i/>
          <w:iCs/>
          <w:color w:val="212121"/>
          <w:shd w:val="clear" w:color="auto" w:fill="FFFFFF"/>
        </w:rPr>
        <w:t>Mancebo</w:t>
      </w:r>
      <w:r w:rsidR="00C97173" w:rsidRPr="006125C8">
        <w:rPr>
          <w:color w:val="212121"/>
          <w:shd w:val="clear" w:color="auto" w:fill="FFFFFF"/>
        </w:rPr>
        <w:t xml:space="preserve">, </w:t>
      </w:r>
      <w:r w:rsidR="00C97173" w:rsidRPr="003A071A">
        <w:rPr>
          <w:i/>
          <w:iCs/>
          <w:color w:val="212121"/>
          <w:shd w:val="clear" w:color="auto" w:fill="FFFFFF"/>
        </w:rPr>
        <w:t>supra</w:t>
      </w:r>
      <w:r w:rsidR="00C97173">
        <w:rPr>
          <w:color w:val="212121"/>
          <w:shd w:val="clear" w:color="auto" w:fill="FFFFFF"/>
        </w:rPr>
        <w:t xml:space="preserve">, 27 Cal.4th </w:t>
      </w:r>
      <w:r w:rsidR="00C97173" w:rsidRPr="003A071A">
        <w:rPr>
          <w:color w:val="212121"/>
          <w:shd w:val="clear" w:color="auto" w:fill="FFFFFF"/>
        </w:rPr>
        <w:t>at</w:t>
      </w:r>
      <w:r w:rsidR="00C97173" w:rsidRPr="006125C8">
        <w:rPr>
          <w:color w:val="212121"/>
          <w:shd w:val="clear" w:color="auto" w:fill="FFFFFF"/>
        </w:rPr>
        <w:t xml:space="preserve"> p</w:t>
      </w:r>
      <w:r w:rsidR="00C97173">
        <w:rPr>
          <w:color w:val="212121"/>
          <w:shd w:val="clear" w:color="auto" w:fill="FFFFFF"/>
        </w:rPr>
        <w:t>p</w:t>
      </w:r>
      <w:r w:rsidR="00C97173" w:rsidRPr="006125C8">
        <w:rPr>
          <w:color w:val="212121"/>
          <w:shd w:val="clear" w:color="auto" w:fill="FFFFFF"/>
        </w:rPr>
        <w:t>.</w:t>
      </w:r>
      <w:r w:rsidR="00C97173">
        <w:rPr>
          <w:color w:val="212121"/>
          <w:shd w:val="clear" w:color="auto" w:fill="FFFFFF"/>
        </w:rPr>
        <w:t xml:space="preserve"> </w:t>
      </w:r>
      <w:r w:rsidR="00C97173" w:rsidRPr="006125C8">
        <w:rPr>
          <w:color w:val="212121"/>
          <w:shd w:val="clear" w:color="auto" w:fill="FFFFFF"/>
        </w:rPr>
        <w:t>7</w:t>
      </w:r>
      <w:r w:rsidR="00C97173">
        <w:rPr>
          <w:color w:val="212121"/>
          <w:shd w:val="clear" w:color="auto" w:fill="FFFFFF"/>
        </w:rPr>
        <w:t>53–754</w:t>
      </w:r>
      <w:bookmarkEnd w:id="12"/>
      <w:r w:rsidR="00C97173">
        <w:rPr>
          <w:color w:val="212121"/>
          <w:shd w:val="clear" w:color="auto" w:fill="FFFFFF"/>
        </w:rPr>
        <w:t xml:space="preserve">.)  </w:t>
      </w:r>
      <w:r w:rsidR="007720F2">
        <w:rPr>
          <w:color w:val="000000"/>
        </w:rPr>
        <w:t xml:space="preserve">In short, while specific references to numerical subdivisions may not be required, </w:t>
      </w:r>
      <w:r w:rsidR="00C97173">
        <w:rPr>
          <w:color w:val="000000"/>
        </w:rPr>
        <w:t>an information must</w:t>
      </w:r>
      <w:r w:rsidR="00C97173" w:rsidRPr="00C97173">
        <w:rPr>
          <w:color w:val="000000"/>
        </w:rPr>
        <w:t xml:space="preserve"> </w:t>
      </w:r>
      <w:r w:rsidR="00C97173">
        <w:rPr>
          <w:color w:val="000000"/>
        </w:rPr>
        <w:t xml:space="preserve">always “afford a One Strike defendant </w:t>
      </w:r>
      <w:r w:rsidR="00C97173" w:rsidRPr="00C97173">
        <w:rPr>
          <w:i/>
          <w:iCs/>
          <w:color w:val="000000"/>
        </w:rPr>
        <w:t>fair notice of the qualifying statutory circumstance or circumstances that are being pled, proved, and invoked in support of One Strike sentencing</w:t>
      </w:r>
      <w:r w:rsidR="00C97173">
        <w:rPr>
          <w:color w:val="000000"/>
        </w:rPr>
        <w:t>.”  (</w:t>
      </w:r>
      <w:r w:rsidR="00C97173">
        <w:rPr>
          <w:i/>
          <w:iCs/>
          <w:color w:val="000000"/>
        </w:rPr>
        <w:t>Ibid.</w:t>
      </w:r>
      <w:r w:rsidR="00C97173">
        <w:rPr>
          <w:color w:val="000000"/>
        </w:rPr>
        <w:t>)</w:t>
      </w:r>
      <w:r w:rsidR="00C97173">
        <w:rPr>
          <w:rStyle w:val="FootnoteReference"/>
          <w:color w:val="000000"/>
        </w:rPr>
        <w:footnoteReference w:id="7"/>
      </w:r>
    </w:p>
    <w:p w14:paraId="5EDA950A" w14:textId="4E2952C2" w:rsidR="001D1140" w:rsidRDefault="00C97173" w:rsidP="002D39A3">
      <w:pPr>
        <w:pStyle w:val="Text"/>
        <w:ind w:firstLine="0"/>
        <w:rPr>
          <w:bdr w:val="none" w:sz="0" w:space="0" w:color="auto" w:frame="1"/>
          <w:shd w:val="clear" w:color="auto" w:fill="FFFFFF"/>
        </w:rPr>
      </w:pPr>
      <w:r w:rsidRPr="00287979">
        <w:rPr>
          <w:color w:val="000000"/>
        </w:rPr>
        <w:tab/>
        <w:t>Thus</w:t>
      </w:r>
      <w:r w:rsidR="002D39A3" w:rsidRPr="00287979">
        <w:rPr>
          <w:color w:val="000000"/>
        </w:rPr>
        <w:t>,</w:t>
      </w:r>
      <w:r w:rsidRPr="00287979">
        <w:rPr>
          <w:color w:val="000000"/>
        </w:rPr>
        <w:t xml:space="preserve"> the </w:t>
      </w:r>
      <w:r w:rsidRPr="00287979">
        <w:rPr>
          <w:i/>
          <w:iCs/>
          <w:color w:val="000000"/>
        </w:rPr>
        <w:t xml:space="preserve">Mancebo </w:t>
      </w:r>
      <w:r w:rsidRPr="00287979">
        <w:rPr>
          <w:color w:val="000000"/>
        </w:rPr>
        <w:t xml:space="preserve">Court concluded </w:t>
      </w:r>
      <w:r w:rsidR="002D39A3" w:rsidRPr="00287979">
        <w:rPr>
          <w:color w:val="000000"/>
        </w:rPr>
        <w:t xml:space="preserve">that the defendant’s due process rights in that case had been violated </w:t>
      </w:r>
      <w:r w:rsidR="002D39A3" w:rsidRPr="00287979">
        <w:t>“</w:t>
      </w:r>
      <w:r w:rsidR="00203396" w:rsidRPr="00287979">
        <w:rPr>
          <w:color w:val="000000"/>
        </w:rPr>
        <w:t xml:space="preserve">not because </w:t>
      </w:r>
      <w:r w:rsidR="002D39A3" w:rsidRPr="00287979">
        <w:rPr>
          <w:color w:val="000000"/>
        </w:rPr>
        <w:t>[he]</w:t>
      </w:r>
      <w:r w:rsidR="00203396" w:rsidRPr="00287979">
        <w:rPr>
          <w:color w:val="000000"/>
        </w:rPr>
        <w:t xml:space="preserve"> was never afforded notice that he was being charged with crimes against two victims; he obviously was, and not because defendant was never afforded notice that the One Strike law would apply to his case; again, he was. </w:t>
      </w:r>
      <w:r w:rsidR="002D39A3" w:rsidRPr="00287979">
        <w:rPr>
          <w:color w:val="000000"/>
        </w:rPr>
        <w:t xml:space="preserve"> </w:t>
      </w:r>
      <w:r w:rsidR="00203396" w:rsidRPr="00287979">
        <w:rPr>
          <w:color w:val="000000"/>
        </w:rPr>
        <w:t>Sentencing error occurred because defendant</w:t>
      </w:r>
      <w:r w:rsidR="002D39A3" w:rsidRPr="00287979">
        <w:rPr>
          <w:color w:val="000000"/>
        </w:rPr>
        <w:t xml:space="preserve"> </w:t>
      </w:r>
      <w:r w:rsidR="00203396" w:rsidRPr="00287979">
        <w:rPr>
          <w:color w:val="000000"/>
        </w:rPr>
        <w:t>was given notice that gun use would be used as one of the two pleaded and minimally required circumstances in support of the One Strike terms, whereafter, at sentencing, the trial court used the</w:t>
      </w:r>
      <w:r w:rsidR="003B63FC">
        <w:rPr>
          <w:color w:val="000000"/>
        </w:rPr>
        <w:t xml:space="preserve"> </w:t>
      </w:r>
      <w:r w:rsidR="00203396" w:rsidRPr="00287979">
        <w:rPr>
          <w:rStyle w:val="ssit"/>
          <w:i/>
          <w:iCs/>
          <w:color w:val="000000"/>
          <w:bdr w:val="none" w:sz="0" w:space="0" w:color="auto" w:frame="1"/>
        </w:rPr>
        <w:t>unpled</w:t>
      </w:r>
      <w:r w:rsidR="003B63FC">
        <w:rPr>
          <w:color w:val="000000"/>
        </w:rPr>
        <w:t xml:space="preserve"> </w:t>
      </w:r>
      <w:r w:rsidR="00203396" w:rsidRPr="00287979">
        <w:rPr>
          <w:color w:val="000000"/>
        </w:rPr>
        <w:t>circumstance of multiple victims to support the One Strike terms, and further imposed two 10-year section 12022.5(a) enhancements that could otherwise not have been imposed but for the purported substitution.</w:t>
      </w:r>
      <w:r w:rsidR="002D39A3" w:rsidRPr="00287979">
        <w:rPr>
          <w:color w:val="000000"/>
        </w:rPr>
        <w:t>”</w:t>
      </w:r>
      <w:r w:rsidR="002D39A3" w:rsidRPr="00287979">
        <w:rPr>
          <w:i/>
          <w:iCs/>
          <w:color w:val="212121"/>
          <w:shd w:val="clear" w:color="auto" w:fill="FFFFFF"/>
        </w:rPr>
        <w:t xml:space="preserve">  </w:t>
      </w:r>
      <w:r w:rsidR="002D39A3" w:rsidRPr="00287979">
        <w:rPr>
          <w:color w:val="212121"/>
          <w:shd w:val="clear" w:color="auto" w:fill="FFFFFF"/>
        </w:rPr>
        <w:t>(</w:t>
      </w:r>
      <w:r w:rsidR="002D39A3" w:rsidRPr="00287979">
        <w:rPr>
          <w:i/>
          <w:iCs/>
          <w:color w:val="212121"/>
          <w:shd w:val="clear" w:color="auto" w:fill="FFFFFF"/>
        </w:rPr>
        <w:t>Mancebo</w:t>
      </w:r>
      <w:r w:rsidR="002D39A3" w:rsidRPr="00287979">
        <w:rPr>
          <w:color w:val="212121"/>
          <w:shd w:val="clear" w:color="auto" w:fill="FFFFFF"/>
        </w:rPr>
        <w:t xml:space="preserve">, </w:t>
      </w:r>
      <w:r w:rsidR="002D39A3" w:rsidRPr="00287979">
        <w:rPr>
          <w:i/>
          <w:iCs/>
          <w:color w:val="212121"/>
          <w:shd w:val="clear" w:color="auto" w:fill="FFFFFF"/>
        </w:rPr>
        <w:t>supra</w:t>
      </w:r>
      <w:r w:rsidR="002D39A3" w:rsidRPr="00287979">
        <w:rPr>
          <w:color w:val="212121"/>
          <w:shd w:val="clear" w:color="auto" w:fill="FFFFFF"/>
        </w:rPr>
        <w:t>, 27 Cal.4th at p. 753.)  So too, in this case, Villegas’s due process rights were violated because—although he was on notice he was being charged with crimes against a minor victim 14 years of age or older and that the One Strike law would apply to his case—he was no</w:t>
      </w:r>
      <w:r w:rsidR="00287979">
        <w:rPr>
          <w:color w:val="212121"/>
          <w:shd w:val="clear" w:color="auto" w:fill="FFFFFF"/>
        </w:rPr>
        <w:t>t</w:t>
      </w:r>
      <w:r w:rsidR="002D39A3" w:rsidRPr="00287979">
        <w:rPr>
          <w:color w:val="212121"/>
          <w:shd w:val="clear" w:color="auto" w:fill="FFFFFF"/>
        </w:rPr>
        <w:t xml:space="preserve"> given</w:t>
      </w:r>
      <w:r w:rsidR="002D39A3">
        <w:rPr>
          <w:color w:val="212121"/>
          <w:shd w:val="clear" w:color="auto" w:fill="FFFFFF"/>
        </w:rPr>
        <w:t xml:space="preserve"> notice that Jane Doe Three’s age would be used under subdivision (m) of section 667.61 to increase his exposure on counts eight through ten from 15 years to life to 25 years to life.  To the contrary, it was </w:t>
      </w:r>
      <w:bookmarkStart w:id="13" w:name="_Hlk148427252"/>
      <w:r w:rsidR="002D39A3">
        <w:rPr>
          <w:color w:val="212121"/>
          <w:shd w:val="clear" w:color="auto" w:fill="FFFFFF"/>
        </w:rPr>
        <w:t>expressly pled in the information that the punishments for these counts would be 15 years to life</w:t>
      </w:r>
      <w:bookmarkEnd w:id="13"/>
      <w:r w:rsidR="002D39A3">
        <w:rPr>
          <w:color w:val="212121"/>
          <w:shd w:val="clear" w:color="auto" w:fill="FFFFFF"/>
        </w:rPr>
        <w:t>.</w:t>
      </w:r>
      <w:r w:rsidR="001D1140">
        <w:rPr>
          <w:rStyle w:val="FootnoteReference"/>
          <w:color w:val="212121"/>
          <w:shd w:val="clear" w:color="auto" w:fill="FFFFFF"/>
        </w:rPr>
        <w:footnoteReference w:id="8"/>
      </w:r>
      <w:r w:rsidR="002D39A3">
        <w:rPr>
          <w:color w:val="212121"/>
          <w:shd w:val="clear" w:color="auto" w:fill="FFFFFF"/>
        </w:rPr>
        <w:t xml:space="preserve"> </w:t>
      </w:r>
      <w:r w:rsidR="002D39A3" w:rsidRPr="00D74DBA">
        <w:rPr>
          <w:bdr w:val="none" w:sz="0" w:space="0" w:color="auto" w:frame="1"/>
          <w:shd w:val="clear" w:color="auto" w:fill="FFFFFF"/>
        </w:rPr>
        <w:t xml:space="preserve"> </w:t>
      </w:r>
    </w:p>
    <w:p w14:paraId="34B55A96" w14:textId="4284BA02" w:rsidR="00907C2F" w:rsidRPr="00FE2587" w:rsidRDefault="001D1140" w:rsidP="008F3614">
      <w:pPr>
        <w:pStyle w:val="Text"/>
        <w:ind w:firstLine="0"/>
        <w:rPr>
          <w:color w:val="212121"/>
          <w:sz w:val="27"/>
          <w:szCs w:val="27"/>
          <w:bdr w:val="none" w:sz="0" w:space="0" w:color="auto" w:frame="1"/>
          <w:shd w:val="clear" w:color="auto" w:fill="FFFFFF"/>
        </w:rPr>
      </w:pPr>
      <w:r>
        <w:rPr>
          <w:bdr w:val="none" w:sz="0" w:space="0" w:color="auto" w:frame="1"/>
          <w:shd w:val="clear" w:color="auto" w:fill="FFFFFF"/>
        </w:rPr>
        <w:tab/>
      </w:r>
      <w:r w:rsidRPr="00C3110B">
        <w:rPr>
          <w:bdr w:val="none" w:sz="0" w:space="0" w:color="auto" w:frame="1"/>
          <w:shd w:val="clear" w:color="auto" w:fill="FFFFFF"/>
        </w:rPr>
        <w:t xml:space="preserve">Given our analysis, we obviously reject the argument proffered in </w:t>
      </w:r>
      <w:r w:rsidRPr="00C3110B">
        <w:rPr>
          <w:i/>
          <w:iCs/>
          <w:bdr w:val="none" w:sz="0" w:space="0" w:color="auto" w:frame="1"/>
          <w:shd w:val="clear" w:color="auto" w:fill="FFFFFF"/>
        </w:rPr>
        <w:t xml:space="preserve">Vaquera </w:t>
      </w:r>
      <w:r w:rsidRPr="00C3110B">
        <w:rPr>
          <w:color w:val="212121"/>
          <w:shd w:val="clear" w:color="auto" w:fill="FFFFFF"/>
        </w:rPr>
        <w:t xml:space="preserve">and </w:t>
      </w:r>
      <w:r w:rsidRPr="00C3110B">
        <w:rPr>
          <w:i/>
          <w:iCs/>
          <w:color w:val="212121"/>
          <w:shd w:val="clear" w:color="auto" w:fill="FFFFFF"/>
        </w:rPr>
        <w:t>Zaldana</w:t>
      </w:r>
      <w:r w:rsidR="00F2152D" w:rsidRPr="00C3110B">
        <w:rPr>
          <w:color w:val="212121"/>
          <w:shd w:val="clear" w:color="auto" w:fill="FFFFFF"/>
        </w:rPr>
        <w:t xml:space="preserve"> that</w:t>
      </w:r>
      <w:r w:rsidR="00F2152D" w:rsidRPr="00C3110B">
        <w:rPr>
          <w:i/>
          <w:iCs/>
        </w:rPr>
        <w:t xml:space="preserve"> </w:t>
      </w:r>
      <w:r w:rsidR="00F2152D" w:rsidRPr="00C3110B">
        <w:rPr>
          <w:color w:val="212121"/>
          <w:shd w:val="clear" w:color="auto" w:fill="FFFFFF"/>
        </w:rPr>
        <w:t>the cross-reference to</w:t>
      </w:r>
      <w:r w:rsidR="003B63FC">
        <w:rPr>
          <w:color w:val="212121"/>
          <w:shd w:val="clear" w:color="auto" w:fill="FFFFFF"/>
        </w:rPr>
        <w:t xml:space="preserve"> </w:t>
      </w:r>
      <w:r w:rsidR="00F2152D" w:rsidRPr="00C3110B">
        <w:rPr>
          <w:color w:val="212121"/>
          <w:shd w:val="clear" w:color="auto" w:fill="FFFFFF"/>
        </w:rPr>
        <w:t xml:space="preserve">the exceptions in subdivision (b) of </w:t>
      </w:r>
      <w:r w:rsidR="00F2152D" w:rsidRPr="001564FA">
        <w:rPr>
          <w:color w:val="212121"/>
          <w:shd w:val="clear" w:color="auto" w:fill="FFFFFF"/>
        </w:rPr>
        <w:t>section 667.6</w:t>
      </w:r>
      <w:r w:rsidR="00C3530A">
        <w:rPr>
          <w:color w:val="212121"/>
          <w:shd w:val="clear" w:color="auto" w:fill="FFFFFF"/>
        </w:rPr>
        <w:t>—in those cases</w:t>
      </w:r>
      <w:r w:rsidR="00C3110B" w:rsidRPr="001564FA">
        <w:rPr>
          <w:color w:val="212121"/>
          <w:shd w:val="clear" w:color="auto" w:fill="FFFFFF"/>
        </w:rPr>
        <w:t xml:space="preserve"> subdivision (j) and </w:t>
      </w:r>
      <w:r w:rsidR="00907C2F" w:rsidRPr="001564FA">
        <w:rPr>
          <w:color w:val="212121"/>
          <w:shd w:val="clear" w:color="auto" w:fill="FFFFFF"/>
        </w:rPr>
        <w:t>in this case</w:t>
      </w:r>
      <w:r w:rsidR="00C3110B" w:rsidRPr="001564FA">
        <w:rPr>
          <w:color w:val="212121"/>
          <w:shd w:val="clear" w:color="auto" w:fill="FFFFFF"/>
        </w:rPr>
        <w:t xml:space="preserve"> subdivision (m)—</w:t>
      </w:r>
      <w:r w:rsidR="00F2152D" w:rsidRPr="001564FA">
        <w:rPr>
          <w:color w:val="212121"/>
          <w:shd w:val="clear" w:color="auto" w:fill="FFFFFF"/>
        </w:rPr>
        <w:t xml:space="preserve">place a defendant on fair notice of </w:t>
      </w:r>
      <w:r w:rsidR="00C3110B" w:rsidRPr="001564FA">
        <w:rPr>
          <w:color w:val="212121"/>
          <w:shd w:val="clear" w:color="auto" w:fill="FFFFFF"/>
        </w:rPr>
        <w:t xml:space="preserve">his or her </w:t>
      </w:r>
      <w:r w:rsidR="00F2152D" w:rsidRPr="001564FA">
        <w:rPr>
          <w:color w:val="212121"/>
          <w:shd w:val="clear" w:color="auto" w:fill="FFFFFF"/>
        </w:rPr>
        <w:t>potential exposure of 25 years to life.</w:t>
      </w:r>
      <w:r w:rsidR="00C3110B" w:rsidRPr="001564FA">
        <w:rPr>
          <w:color w:val="212121"/>
          <w:shd w:val="clear" w:color="auto" w:fill="FFFFFF"/>
        </w:rPr>
        <w:t xml:space="preserve">  </w:t>
      </w:r>
      <w:bookmarkStart w:id="14" w:name="_Hlk148434889"/>
      <w:r w:rsidR="00C3110B" w:rsidRPr="001564FA">
        <w:rPr>
          <w:color w:val="212121"/>
          <w:shd w:val="clear" w:color="auto" w:fill="FFFFFF"/>
        </w:rPr>
        <w:t>An accusatory pleading “</w:t>
      </w:r>
      <w:r w:rsidR="00C3110B" w:rsidRPr="001564FA">
        <w:rPr>
          <w:color w:val="212121"/>
          <w:sz w:val="27"/>
          <w:szCs w:val="27"/>
          <w:bdr w:val="none" w:sz="0" w:space="0" w:color="auto" w:frame="1"/>
          <w:shd w:val="clear" w:color="auto" w:fill="FFFFFF"/>
        </w:rPr>
        <w:t>must adequately inform the defendant as to how the prosecution will seek to exercise its discretion.</w:t>
      </w:r>
      <w:r w:rsidR="001564FA" w:rsidRPr="001564FA">
        <w:rPr>
          <w:color w:val="212121"/>
          <w:sz w:val="27"/>
          <w:szCs w:val="27"/>
          <w:bdr w:val="none" w:sz="0" w:space="0" w:color="auto" w:frame="1"/>
          <w:shd w:val="clear" w:color="auto" w:fill="FFFFFF"/>
        </w:rPr>
        <w:t>”  (</w:t>
      </w:r>
      <w:r w:rsidR="001564FA" w:rsidRPr="001564FA">
        <w:rPr>
          <w:i/>
          <w:iCs/>
          <w:color w:val="212121"/>
          <w:sz w:val="27"/>
          <w:szCs w:val="27"/>
          <w:bdr w:val="none" w:sz="0" w:space="0" w:color="auto" w:frame="1"/>
          <w:shd w:val="clear" w:color="auto" w:fill="FFFFFF"/>
        </w:rPr>
        <w:t>Anderson</w:t>
      </w:r>
      <w:r w:rsidR="001564FA" w:rsidRPr="001564FA">
        <w:rPr>
          <w:color w:val="212121"/>
          <w:sz w:val="27"/>
          <w:szCs w:val="27"/>
          <w:bdr w:val="none" w:sz="0" w:space="0" w:color="auto" w:frame="1"/>
          <w:shd w:val="clear" w:color="auto" w:fill="FFFFFF"/>
        </w:rPr>
        <w:t xml:space="preserve">, </w:t>
      </w:r>
      <w:r w:rsidR="001564FA" w:rsidRPr="001564FA">
        <w:rPr>
          <w:i/>
          <w:iCs/>
          <w:color w:val="212121"/>
          <w:sz w:val="27"/>
          <w:szCs w:val="27"/>
          <w:bdr w:val="none" w:sz="0" w:space="0" w:color="auto" w:frame="1"/>
          <w:shd w:val="clear" w:color="auto" w:fill="FFFFFF"/>
        </w:rPr>
        <w:t>supra</w:t>
      </w:r>
      <w:r w:rsidR="001564FA" w:rsidRPr="001564FA">
        <w:rPr>
          <w:color w:val="212121"/>
          <w:sz w:val="27"/>
          <w:szCs w:val="27"/>
          <w:bdr w:val="none" w:sz="0" w:space="0" w:color="auto" w:frame="1"/>
          <w:shd w:val="clear" w:color="auto" w:fill="FFFFFF"/>
        </w:rPr>
        <w:t xml:space="preserve">, </w:t>
      </w:r>
      <w:r w:rsidR="00470ECB">
        <w:rPr>
          <w:color w:val="212121"/>
          <w:sz w:val="27"/>
          <w:szCs w:val="27"/>
          <w:bdr w:val="none" w:sz="0" w:space="0" w:color="auto" w:frame="1"/>
          <w:shd w:val="clear" w:color="auto" w:fill="FFFFFF"/>
        </w:rPr>
        <w:t>9 Cal.5th</w:t>
      </w:r>
      <w:r w:rsidR="00C3110B" w:rsidRPr="001564FA">
        <w:rPr>
          <w:color w:val="212121"/>
          <w:sz w:val="27"/>
          <w:szCs w:val="27"/>
          <w:bdr w:val="none" w:sz="0" w:space="0" w:color="auto" w:frame="1"/>
          <w:shd w:val="clear" w:color="auto" w:fill="FFFFFF"/>
        </w:rPr>
        <w:t xml:space="preserve"> </w:t>
      </w:r>
      <w:r w:rsidR="00747EC3">
        <w:rPr>
          <w:color w:val="212121"/>
          <w:sz w:val="27"/>
          <w:szCs w:val="27"/>
          <w:bdr w:val="none" w:sz="0" w:space="0" w:color="auto" w:frame="1"/>
          <w:shd w:val="clear" w:color="auto" w:fill="FFFFFF"/>
        </w:rPr>
        <w:t xml:space="preserve">at p. </w:t>
      </w:r>
      <w:r w:rsidR="00470ECB">
        <w:rPr>
          <w:color w:val="212121"/>
          <w:sz w:val="27"/>
          <w:szCs w:val="27"/>
          <w:bdr w:val="none" w:sz="0" w:space="0" w:color="auto" w:frame="1"/>
          <w:shd w:val="clear" w:color="auto" w:fill="FFFFFF"/>
        </w:rPr>
        <w:t>957</w:t>
      </w:r>
      <w:r w:rsidR="001564FA">
        <w:rPr>
          <w:color w:val="212121"/>
          <w:sz w:val="27"/>
          <w:szCs w:val="27"/>
          <w:bdr w:val="none" w:sz="0" w:space="0" w:color="auto" w:frame="1"/>
          <w:shd w:val="clear" w:color="auto" w:fill="FFFFFF"/>
        </w:rPr>
        <w:t>.)</w:t>
      </w:r>
      <w:r w:rsidR="00C3110B" w:rsidRPr="001564FA">
        <w:rPr>
          <w:color w:val="212121"/>
          <w:sz w:val="27"/>
          <w:szCs w:val="27"/>
          <w:bdr w:val="none" w:sz="0" w:space="0" w:color="auto" w:frame="1"/>
          <w:shd w:val="clear" w:color="auto" w:fill="FFFFFF"/>
        </w:rPr>
        <w:t xml:space="preserve"> </w:t>
      </w:r>
      <w:r w:rsidR="001564FA">
        <w:rPr>
          <w:color w:val="212121"/>
          <w:sz w:val="27"/>
          <w:szCs w:val="27"/>
          <w:bdr w:val="none" w:sz="0" w:space="0" w:color="auto" w:frame="1"/>
          <w:shd w:val="clear" w:color="auto" w:fill="FFFFFF"/>
        </w:rPr>
        <w:t xml:space="preserve"> </w:t>
      </w:r>
      <w:bookmarkEnd w:id="14"/>
      <w:r w:rsidR="00470ECB">
        <w:rPr>
          <w:color w:val="212121"/>
          <w:sz w:val="27"/>
          <w:szCs w:val="27"/>
          <w:bdr w:val="none" w:sz="0" w:space="0" w:color="auto" w:frame="1"/>
          <w:shd w:val="clear" w:color="auto" w:fill="FFFFFF"/>
        </w:rPr>
        <w:t xml:space="preserve">An information that cites generally to subdivision (b) of section 667.61 </w:t>
      </w:r>
      <w:r w:rsidR="00A42FB7">
        <w:rPr>
          <w:color w:val="212121"/>
          <w:sz w:val="27"/>
          <w:szCs w:val="27"/>
          <w:bdr w:val="none" w:sz="0" w:space="0" w:color="auto" w:frame="1"/>
          <w:shd w:val="clear" w:color="auto" w:fill="FFFFFF"/>
        </w:rPr>
        <w:t xml:space="preserve">and recites a lower penalty </w:t>
      </w:r>
      <w:r w:rsidR="00470ECB">
        <w:rPr>
          <w:color w:val="212121"/>
          <w:sz w:val="27"/>
          <w:szCs w:val="27"/>
          <w:bdr w:val="none" w:sz="0" w:space="0" w:color="auto" w:frame="1"/>
          <w:shd w:val="clear" w:color="auto" w:fill="FFFFFF"/>
        </w:rPr>
        <w:t xml:space="preserve">simply does not </w:t>
      </w:r>
      <w:r w:rsidR="00C3530A">
        <w:rPr>
          <w:color w:val="212121"/>
          <w:sz w:val="27"/>
          <w:szCs w:val="27"/>
          <w:bdr w:val="none" w:sz="0" w:space="0" w:color="auto" w:frame="1"/>
          <w:shd w:val="clear" w:color="auto" w:fill="FFFFFF"/>
        </w:rPr>
        <w:t xml:space="preserve">give a defendant adequate notice of a possible enhanced punishment under an exception to that subdivision based on facts </w:t>
      </w:r>
      <w:r w:rsidR="00C3530A" w:rsidRPr="00FE2587">
        <w:rPr>
          <w:color w:val="212121"/>
          <w:sz w:val="27"/>
          <w:szCs w:val="27"/>
          <w:bdr w:val="none" w:sz="0" w:space="0" w:color="auto" w:frame="1"/>
          <w:shd w:val="clear" w:color="auto" w:fill="FFFFFF"/>
        </w:rPr>
        <w:t>contained else</w:t>
      </w:r>
      <w:r w:rsidR="00392727" w:rsidRPr="00FE2587">
        <w:rPr>
          <w:color w:val="212121"/>
          <w:sz w:val="27"/>
          <w:szCs w:val="27"/>
          <w:bdr w:val="none" w:sz="0" w:space="0" w:color="auto" w:frame="1"/>
          <w:shd w:val="clear" w:color="auto" w:fill="FFFFFF"/>
        </w:rPr>
        <w:t>where</w:t>
      </w:r>
      <w:r w:rsidR="00C3530A" w:rsidRPr="00FE2587">
        <w:rPr>
          <w:color w:val="212121"/>
          <w:sz w:val="27"/>
          <w:szCs w:val="27"/>
          <w:bdr w:val="none" w:sz="0" w:space="0" w:color="auto" w:frame="1"/>
          <w:shd w:val="clear" w:color="auto" w:fill="FFFFFF"/>
        </w:rPr>
        <w:t xml:space="preserve"> in the information.</w:t>
      </w:r>
      <w:r w:rsidR="00470ECB" w:rsidRPr="00FE2587">
        <w:rPr>
          <w:color w:val="212121"/>
          <w:sz w:val="27"/>
          <w:szCs w:val="27"/>
          <w:bdr w:val="none" w:sz="0" w:space="0" w:color="auto" w:frame="1"/>
          <w:shd w:val="clear" w:color="auto" w:fill="FFFFFF"/>
        </w:rPr>
        <w:t xml:space="preserve"> </w:t>
      </w:r>
    </w:p>
    <w:p w14:paraId="5D6C87A1" w14:textId="76A7B159" w:rsidR="00555E02" w:rsidRPr="00FE2587" w:rsidRDefault="00555E02" w:rsidP="00555E02">
      <w:pPr>
        <w:pStyle w:val="Text"/>
        <w:rPr>
          <w:color w:val="212121"/>
          <w:bdr w:val="none" w:sz="0" w:space="0" w:color="auto" w:frame="1"/>
          <w:shd w:val="clear" w:color="auto" w:fill="FFFFFF"/>
        </w:rPr>
      </w:pPr>
      <w:r w:rsidRPr="00FE2587">
        <w:rPr>
          <w:color w:val="212121"/>
          <w:bdr w:val="none" w:sz="0" w:space="0" w:color="auto" w:frame="1"/>
          <w:shd w:val="clear" w:color="auto" w:fill="FFFFFF"/>
        </w:rPr>
        <w:t>We thus also necessarily reject the conclusion in</w:t>
      </w:r>
      <w:r w:rsidR="001B3889" w:rsidRPr="00FE2587">
        <w:rPr>
          <w:color w:val="212121"/>
          <w:bdr w:val="none" w:sz="0" w:space="0" w:color="auto" w:frame="1"/>
          <w:shd w:val="clear" w:color="auto" w:fill="FFFFFF"/>
        </w:rPr>
        <w:t xml:space="preserve"> </w:t>
      </w:r>
      <w:r w:rsidRPr="00FE2587">
        <w:rPr>
          <w:i/>
          <w:iCs/>
          <w:color w:val="212121"/>
          <w:bdr w:val="none" w:sz="0" w:space="0" w:color="auto" w:frame="1"/>
          <w:shd w:val="clear" w:color="auto" w:fill="FFFFFF"/>
        </w:rPr>
        <w:t xml:space="preserve">Zaldana </w:t>
      </w:r>
      <w:r w:rsidRPr="00FE2587">
        <w:rPr>
          <w:color w:val="212121"/>
          <w:bdr w:val="none" w:sz="0" w:space="0" w:color="auto" w:frame="1"/>
          <w:shd w:val="clear" w:color="auto" w:fill="FFFFFF"/>
        </w:rPr>
        <w:t>that a prosecutor has no discretion in this context when choosing how to plead One Strike allegations.  (</w:t>
      </w:r>
      <w:r w:rsidR="001B3889" w:rsidRPr="00FE2587">
        <w:rPr>
          <w:color w:val="212121"/>
          <w:bdr w:val="none" w:sz="0" w:space="0" w:color="auto" w:frame="1"/>
          <w:shd w:val="clear" w:color="auto" w:fill="FFFFFF"/>
        </w:rPr>
        <w:t xml:space="preserve">See </w:t>
      </w:r>
      <w:r w:rsidRPr="00FE2587">
        <w:rPr>
          <w:i/>
          <w:iCs/>
          <w:color w:val="212121"/>
          <w:bdr w:val="none" w:sz="0" w:space="0" w:color="auto" w:frame="1"/>
          <w:shd w:val="clear" w:color="auto" w:fill="FFFFFF"/>
        </w:rPr>
        <w:t>Mancebo,</w:t>
      </w:r>
      <w:r w:rsidRPr="00FE2587">
        <w:rPr>
          <w:color w:val="212121"/>
          <w:bdr w:val="none" w:sz="0" w:space="0" w:color="auto" w:frame="1"/>
          <w:shd w:val="clear" w:color="auto" w:fill="FFFFFF"/>
        </w:rPr>
        <w:t xml:space="preserve"> </w:t>
      </w:r>
      <w:r w:rsidRPr="00A00947">
        <w:rPr>
          <w:i/>
          <w:iCs/>
          <w:color w:val="212121"/>
          <w:bdr w:val="none" w:sz="0" w:space="0" w:color="auto" w:frame="1"/>
          <w:shd w:val="clear" w:color="auto" w:fill="FFFFFF"/>
        </w:rPr>
        <w:t>supra</w:t>
      </w:r>
      <w:r w:rsidRPr="00FE2587">
        <w:rPr>
          <w:color w:val="212121"/>
          <w:bdr w:val="none" w:sz="0" w:space="0" w:color="auto" w:frame="1"/>
          <w:shd w:val="clear" w:color="auto" w:fill="FFFFFF"/>
        </w:rPr>
        <w:t>, 27 Cal.4th at p. 747</w:t>
      </w:r>
      <w:r w:rsidR="001B3889" w:rsidRPr="00FE2587">
        <w:rPr>
          <w:color w:val="212121"/>
          <w:bdr w:val="none" w:sz="0" w:space="0" w:color="auto" w:frame="1"/>
          <w:shd w:val="clear" w:color="auto" w:fill="FFFFFF"/>
        </w:rPr>
        <w:t xml:space="preserve"> [“the People’s failure to include a multiple-victim-circumstance allegation must be deemed a discretionary charging decision”]</w:t>
      </w:r>
      <w:r w:rsidRPr="00FE2587">
        <w:rPr>
          <w:color w:val="212121"/>
          <w:bdr w:val="none" w:sz="0" w:space="0" w:color="auto" w:frame="1"/>
          <w:shd w:val="clear" w:color="auto" w:fill="FFFFFF"/>
        </w:rPr>
        <w:t xml:space="preserve">.)  As the </w:t>
      </w:r>
      <w:r w:rsidRPr="00FE2587">
        <w:rPr>
          <w:i/>
          <w:iCs/>
          <w:color w:val="212121"/>
          <w:bdr w:val="none" w:sz="0" w:space="0" w:color="auto" w:frame="1"/>
          <w:shd w:val="clear" w:color="auto" w:fill="FFFFFF"/>
        </w:rPr>
        <w:t>Anderson</w:t>
      </w:r>
      <w:r w:rsidRPr="00FE2587">
        <w:rPr>
          <w:color w:val="212121"/>
          <w:bdr w:val="none" w:sz="0" w:space="0" w:color="auto" w:frame="1"/>
          <w:shd w:val="clear" w:color="auto" w:fill="FFFFFF"/>
        </w:rPr>
        <w:t xml:space="preserve"> Court explained:  An accusatory pleading “must adequately inform the defendant as to how the prosecution will seek to exercise its discretion.”  (</w:t>
      </w:r>
      <w:r w:rsidRPr="00FE2587">
        <w:rPr>
          <w:i/>
          <w:iCs/>
          <w:color w:val="212121"/>
          <w:bdr w:val="none" w:sz="0" w:space="0" w:color="auto" w:frame="1"/>
          <w:shd w:val="clear" w:color="auto" w:fill="FFFFFF"/>
        </w:rPr>
        <w:t>Anderson</w:t>
      </w:r>
      <w:r w:rsidRPr="00FE2587">
        <w:rPr>
          <w:color w:val="212121"/>
          <w:bdr w:val="none" w:sz="0" w:space="0" w:color="auto" w:frame="1"/>
          <w:shd w:val="clear" w:color="auto" w:fill="FFFFFF"/>
        </w:rPr>
        <w:t xml:space="preserve">, </w:t>
      </w:r>
      <w:r w:rsidRPr="00A00947">
        <w:rPr>
          <w:i/>
          <w:iCs/>
          <w:color w:val="212121"/>
          <w:bdr w:val="none" w:sz="0" w:space="0" w:color="auto" w:frame="1"/>
          <w:shd w:val="clear" w:color="auto" w:fill="FFFFFF"/>
        </w:rPr>
        <w:t>supra</w:t>
      </w:r>
      <w:r w:rsidRPr="00FE2587">
        <w:rPr>
          <w:color w:val="212121"/>
          <w:bdr w:val="none" w:sz="0" w:space="0" w:color="auto" w:frame="1"/>
          <w:shd w:val="clear" w:color="auto" w:fill="FFFFFF"/>
        </w:rPr>
        <w:t xml:space="preserve">, 9 Cal.5th at p. 957.)  While the prosecution in this case could have elected to pursue a prison term of 25 years to life for each of counts eight through ten under the circumstances specified in section 667.61, subdivision (m), rather than a term of 15 years pursuant to subdivision (b) of that statute, it was not required to do so.  As such, it must be deemed to have made a discretionary charging decision. </w:t>
      </w:r>
    </w:p>
    <w:p w14:paraId="0794D2C5" w14:textId="6374CAE5" w:rsidR="00E6332C" w:rsidRPr="00014B64" w:rsidRDefault="00555E02" w:rsidP="00014B64">
      <w:pPr>
        <w:pStyle w:val="Text"/>
        <w:ind w:firstLine="0"/>
        <w:rPr>
          <w:color w:val="212121"/>
          <w:bdr w:val="none" w:sz="0" w:space="0" w:color="auto" w:frame="1"/>
          <w:shd w:val="clear" w:color="auto" w:fill="FFFFFF"/>
        </w:rPr>
      </w:pPr>
      <w:r w:rsidRPr="00FE2587">
        <w:rPr>
          <w:color w:val="212121"/>
          <w:bdr w:val="none" w:sz="0" w:space="0" w:color="auto" w:frame="1"/>
          <w:shd w:val="clear" w:color="auto" w:fill="FFFFFF"/>
        </w:rPr>
        <w:tab/>
        <w:t>In sum, the prosecution in this case clearly chose to exercise its charging discretion by pleading a general enhancement under subdivisions (b) and (e) of section 667.61.  Thus, it could not subsequently request a greater sentence under subdivision (m) of that statute without running afoul of Villegas’s due process right to fair notice.  H</w:t>
      </w:r>
      <w:r w:rsidR="00014B64" w:rsidRPr="00FE2587">
        <w:rPr>
          <w:color w:val="212121"/>
          <w:bdr w:val="none" w:sz="0" w:space="0" w:color="auto" w:frame="1"/>
          <w:shd w:val="clear" w:color="auto" w:fill="FFFFFF"/>
        </w:rPr>
        <w:t>aving pled and proven sentences of 15 years to life</w:t>
      </w:r>
      <w:r w:rsidR="00750A8B" w:rsidRPr="00FE2587">
        <w:rPr>
          <w:color w:val="212121"/>
          <w:bdr w:val="none" w:sz="0" w:space="0" w:color="auto" w:frame="1"/>
          <w:shd w:val="clear" w:color="auto" w:fill="FFFFFF"/>
        </w:rPr>
        <w:t xml:space="preserve"> with respect to counts eight through ten</w:t>
      </w:r>
      <w:r w:rsidR="00014B64" w:rsidRPr="00FE2587">
        <w:rPr>
          <w:color w:val="212121"/>
          <w:bdr w:val="none" w:sz="0" w:space="0" w:color="auto" w:frame="1"/>
          <w:shd w:val="clear" w:color="auto" w:fill="FFFFFF"/>
        </w:rPr>
        <w:t>, those</w:t>
      </w:r>
      <w:r w:rsidR="00014B64">
        <w:rPr>
          <w:color w:val="212121"/>
          <w:bdr w:val="none" w:sz="0" w:space="0" w:color="auto" w:frame="1"/>
          <w:shd w:val="clear" w:color="auto" w:fill="FFFFFF"/>
        </w:rPr>
        <w:t xml:space="preserve"> </w:t>
      </w:r>
      <w:r w:rsidR="00AB7F9B">
        <w:rPr>
          <w:color w:val="212121"/>
          <w:bdr w:val="none" w:sz="0" w:space="0" w:color="auto" w:frame="1"/>
          <w:shd w:val="clear" w:color="auto" w:fill="FFFFFF"/>
        </w:rPr>
        <w:t>were</w:t>
      </w:r>
      <w:r w:rsidR="00014B64">
        <w:rPr>
          <w:color w:val="212121"/>
          <w:bdr w:val="none" w:sz="0" w:space="0" w:color="auto" w:frame="1"/>
          <w:shd w:val="clear" w:color="auto" w:fill="FFFFFF"/>
        </w:rPr>
        <w:t xml:space="preserve"> the only sentences available </w:t>
      </w:r>
      <w:r w:rsidR="00AB7F9B">
        <w:rPr>
          <w:color w:val="212121"/>
          <w:bdr w:val="none" w:sz="0" w:space="0" w:color="auto" w:frame="1"/>
          <w:shd w:val="clear" w:color="auto" w:fill="FFFFFF"/>
        </w:rPr>
        <w:t xml:space="preserve">to the sentencing court </w:t>
      </w:r>
      <w:r w:rsidR="00014B64">
        <w:rPr>
          <w:color w:val="212121"/>
          <w:bdr w:val="none" w:sz="0" w:space="0" w:color="auto" w:frame="1"/>
          <w:shd w:val="clear" w:color="auto" w:fill="FFFFFF"/>
        </w:rPr>
        <w:t>under section 667.61.</w:t>
      </w:r>
      <w:r w:rsidR="00750A8B">
        <w:rPr>
          <w:color w:val="212121"/>
          <w:bdr w:val="none" w:sz="0" w:space="0" w:color="auto" w:frame="1"/>
          <w:shd w:val="clear" w:color="auto" w:fill="FFFFFF"/>
        </w:rPr>
        <w:t xml:space="preserve">  (Compare </w:t>
      </w:r>
      <w:r w:rsidR="00750A8B">
        <w:rPr>
          <w:i/>
          <w:iCs/>
          <w:color w:val="212121"/>
          <w:bdr w:val="none" w:sz="0" w:space="0" w:color="auto" w:frame="1"/>
          <w:shd w:val="clear" w:color="auto" w:fill="FFFFFF"/>
        </w:rPr>
        <w:t>Waqa</w:t>
      </w:r>
      <w:r w:rsidR="00B459B1">
        <w:rPr>
          <w:i/>
          <w:iCs/>
          <w:color w:val="212121"/>
          <w:bdr w:val="none" w:sz="0" w:space="0" w:color="auto" w:frame="1"/>
          <w:shd w:val="clear" w:color="auto" w:fill="FFFFFF"/>
        </w:rPr>
        <w:t xml:space="preserve">, supra, </w:t>
      </w:r>
      <w:r w:rsidR="00750A8B">
        <w:rPr>
          <w:color w:val="212121"/>
          <w:bdr w:val="none" w:sz="0" w:space="0" w:color="auto" w:frame="1"/>
          <w:shd w:val="clear" w:color="auto" w:fill="FFFFFF"/>
        </w:rPr>
        <w:t xml:space="preserve">92 Cal.App.5th </w:t>
      </w:r>
      <w:r w:rsidR="00B459B1">
        <w:rPr>
          <w:color w:val="212121"/>
          <w:bdr w:val="none" w:sz="0" w:space="0" w:color="auto" w:frame="1"/>
          <w:shd w:val="clear" w:color="auto" w:fill="FFFFFF"/>
        </w:rPr>
        <w:t xml:space="preserve">at pp. </w:t>
      </w:r>
      <w:r w:rsidR="00750A8B">
        <w:rPr>
          <w:color w:val="212121"/>
          <w:bdr w:val="none" w:sz="0" w:space="0" w:color="auto" w:frame="1"/>
          <w:shd w:val="clear" w:color="auto" w:fill="FFFFFF"/>
        </w:rPr>
        <w:t xml:space="preserve"> 584–588 [a One Strike sentence may be reduced on appeal pursuant to section 1260 where the greater </w:t>
      </w:r>
      <w:r w:rsidR="00AB7F9B">
        <w:rPr>
          <w:color w:val="212121"/>
          <w:bdr w:val="none" w:sz="0" w:space="0" w:color="auto" w:frame="1"/>
          <w:shd w:val="clear" w:color="auto" w:fill="FFFFFF"/>
        </w:rPr>
        <w:t>allegation</w:t>
      </w:r>
      <w:r w:rsidR="00750A8B">
        <w:rPr>
          <w:color w:val="212121"/>
          <w:bdr w:val="none" w:sz="0" w:space="0" w:color="auto" w:frame="1"/>
          <w:shd w:val="clear" w:color="auto" w:fill="FFFFFF"/>
        </w:rPr>
        <w:t xml:space="preserve"> cannot be retried].)  </w:t>
      </w:r>
      <w:r w:rsidR="00392727">
        <w:rPr>
          <w:color w:val="212121"/>
          <w:bdr w:val="none" w:sz="0" w:space="0" w:color="auto" w:frame="1"/>
          <w:shd w:val="clear" w:color="auto" w:fill="FFFFFF"/>
        </w:rPr>
        <w:t xml:space="preserve">We will therefore reduce the sentences with respect to counts eight through ten </w:t>
      </w:r>
      <w:r w:rsidR="00AB7F9B">
        <w:rPr>
          <w:color w:val="212121"/>
          <w:bdr w:val="none" w:sz="0" w:space="0" w:color="auto" w:frame="1"/>
          <w:shd w:val="clear" w:color="auto" w:fill="FFFFFF"/>
        </w:rPr>
        <w:t>to 15 years to life in this case</w:t>
      </w:r>
      <w:r w:rsidR="00392727">
        <w:rPr>
          <w:color w:val="212121"/>
          <w:bdr w:val="none" w:sz="0" w:space="0" w:color="auto" w:frame="1"/>
          <w:shd w:val="clear" w:color="auto" w:fill="FFFFFF"/>
        </w:rPr>
        <w:t xml:space="preserve">.  </w:t>
      </w:r>
      <w:bookmarkEnd w:id="7"/>
    </w:p>
    <w:p w14:paraId="0416B39A" w14:textId="0E08083D" w:rsidR="008F3614" w:rsidRPr="008F3614"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C.</w:t>
      </w:r>
      <w:r>
        <w:rPr>
          <w:b/>
          <w:bCs/>
          <w:i/>
          <w:iCs/>
          <w:bdr w:val="none" w:sz="0" w:space="0" w:color="auto" w:frame="1"/>
          <w:shd w:val="clear" w:color="auto" w:fill="FFFFFF"/>
        </w:rPr>
        <w:tab/>
        <w:t>Non-Economic Restitution</w:t>
      </w:r>
    </w:p>
    <w:p w14:paraId="3AA46E38" w14:textId="31BD63C6" w:rsidR="008F3614" w:rsidRPr="00FD432D" w:rsidRDefault="008F3614" w:rsidP="00FD432D">
      <w:pPr>
        <w:pStyle w:val="Text"/>
        <w:ind w:firstLine="0"/>
        <w:rPr>
          <w:bdr w:val="none" w:sz="0" w:space="0" w:color="auto" w:frame="1"/>
          <w:shd w:val="clear" w:color="auto" w:fill="FFFFFF"/>
        </w:rPr>
      </w:pPr>
      <w:r>
        <w:rPr>
          <w:b/>
          <w:bCs/>
          <w:i/>
          <w:iCs/>
          <w:bdr w:val="none" w:sz="0" w:space="0" w:color="auto" w:frame="1"/>
          <w:shd w:val="clear" w:color="auto" w:fill="FFFFFF"/>
        </w:rPr>
        <w:tab/>
      </w:r>
      <w:r w:rsidR="0007251B">
        <w:rPr>
          <w:bdr w:val="none" w:sz="0" w:space="0" w:color="auto" w:frame="1"/>
          <w:shd w:val="clear" w:color="auto" w:fill="FFFFFF"/>
        </w:rPr>
        <w:t xml:space="preserve">Villegas next argues that </w:t>
      </w:r>
      <w:r w:rsidR="0065371E">
        <w:rPr>
          <w:bdr w:val="none" w:sz="0" w:space="0" w:color="auto" w:frame="1"/>
          <w:shd w:val="clear" w:color="auto" w:fill="FFFFFF"/>
        </w:rPr>
        <w:t>certain</w:t>
      </w:r>
      <w:r w:rsidR="0007251B">
        <w:rPr>
          <w:bdr w:val="none" w:sz="0" w:space="0" w:color="auto" w:frame="1"/>
          <w:shd w:val="clear" w:color="auto" w:fill="FFFFFF"/>
        </w:rPr>
        <w:t xml:space="preserve"> noneconomic damages awarded in this case must be stricken as unauthorized.  </w:t>
      </w:r>
      <w:r w:rsidR="00FD432D">
        <w:rPr>
          <w:bdr w:val="none" w:sz="0" w:space="0" w:color="auto" w:frame="1"/>
          <w:shd w:val="clear" w:color="auto" w:fill="FFFFFF"/>
        </w:rPr>
        <w:t>First</w:t>
      </w:r>
      <w:r w:rsidR="0007251B">
        <w:rPr>
          <w:bdr w:val="none" w:sz="0" w:space="0" w:color="auto" w:frame="1"/>
          <w:shd w:val="clear" w:color="auto" w:fill="FFFFFF"/>
        </w:rPr>
        <w:t>, he asserts that the $500,000 granted to Jane Doe Three was improper because the authorizing statute—section 1202.4, subdivision (f)(3)(F)—only covers noneconomic losses for violations of sections 288, 288.5, and 288.7</w:t>
      </w:r>
      <w:r w:rsidR="00564635">
        <w:rPr>
          <w:bdr w:val="none" w:sz="0" w:space="0" w:color="auto" w:frame="1"/>
          <w:shd w:val="clear" w:color="auto" w:fill="FFFFFF"/>
        </w:rPr>
        <w:t xml:space="preserve"> and </w:t>
      </w:r>
      <w:r w:rsidR="0065371E">
        <w:rPr>
          <w:bdr w:val="none" w:sz="0" w:space="0" w:color="auto" w:frame="1"/>
          <w:shd w:val="clear" w:color="auto" w:fill="FFFFFF"/>
        </w:rPr>
        <w:t xml:space="preserve">none of </w:t>
      </w:r>
      <w:r w:rsidR="00564635">
        <w:rPr>
          <w:bdr w:val="none" w:sz="0" w:space="0" w:color="auto" w:frame="1"/>
          <w:shd w:val="clear" w:color="auto" w:fill="FFFFFF"/>
        </w:rPr>
        <w:t>the three counts involving Jane Doe Three in this case were based on th</w:t>
      </w:r>
      <w:r w:rsidR="0065371E">
        <w:rPr>
          <w:bdr w:val="none" w:sz="0" w:space="0" w:color="auto" w:frame="1"/>
          <w:shd w:val="clear" w:color="auto" w:fill="FFFFFF"/>
        </w:rPr>
        <w:t>o</w:t>
      </w:r>
      <w:r w:rsidR="00564635">
        <w:rPr>
          <w:bdr w:val="none" w:sz="0" w:space="0" w:color="auto" w:frame="1"/>
          <w:shd w:val="clear" w:color="auto" w:fill="FFFFFF"/>
        </w:rPr>
        <w:t>se statutes</w:t>
      </w:r>
      <w:r w:rsidR="0007251B">
        <w:rPr>
          <w:bdr w:val="none" w:sz="0" w:space="0" w:color="auto" w:frame="1"/>
          <w:shd w:val="clear" w:color="auto" w:fill="FFFFFF"/>
        </w:rPr>
        <w:t>.</w:t>
      </w:r>
      <w:r w:rsidR="00564635">
        <w:rPr>
          <w:bdr w:val="none" w:sz="0" w:space="0" w:color="auto" w:frame="1"/>
          <w:shd w:val="clear" w:color="auto" w:fill="FFFFFF"/>
        </w:rPr>
        <w:t xml:space="preserve"> </w:t>
      </w:r>
      <w:r w:rsidRPr="00D74DBA">
        <w:rPr>
          <w:bdr w:val="none" w:sz="0" w:space="0" w:color="auto" w:frame="1"/>
          <w:shd w:val="clear" w:color="auto" w:fill="FFFFFF"/>
        </w:rPr>
        <w:t xml:space="preserve"> </w:t>
      </w:r>
      <w:r w:rsidR="00FD432D">
        <w:rPr>
          <w:bdr w:val="none" w:sz="0" w:space="0" w:color="auto" w:frame="1"/>
          <w:shd w:val="clear" w:color="auto" w:fill="FFFFFF"/>
        </w:rPr>
        <w:t>Next, he maintains</w:t>
      </w:r>
      <w:r w:rsidR="00150718">
        <w:rPr>
          <w:bdr w:val="none" w:sz="0" w:space="0" w:color="auto" w:frame="1"/>
          <w:shd w:val="clear" w:color="auto" w:fill="FFFFFF"/>
        </w:rPr>
        <w:t xml:space="preserve"> that the award of noneconomic damages to the two mothers of the three Does was also unauthorized under section 1202.4 because th</w:t>
      </w:r>
      <w:r w:rsidR="000B6274">
        <w:rPr>
          <w:bdr w:val="none" w:sz="0" w:space="0" w:color="auto" w:frame="1"/>
          <w:shd w:val="clear" w:color="auto" w:fill="FFFFFF"/>
        </w:rPr>
        <w:t>e</w:t>
      </w:r>
      <w:r w:rsidR="00150718">
        <w:rPr>
          <w:bdr w:val="none" w:sz="0" w:space="0" w:color="auto" w:frame="1"/>
          <w:shd w:val="clear" w:color="auto" w:fill="FFFFFF"/>
        </w:rPr>
        <w:t xml:space="preserve"> statute only contemplates </w:t>
      </w:r>
      <w:r w:rsidR="000B6274">
        <w:rPr>
          <w:bdr w:val="none" w:sz="0" w:space="0" w:color="auto" w:frame="1"/>
          <w:shd w:val="clear" w:color="auto" w:fill="FFFFFF"/>
        </w:rPr>
        <w:t>recovery</w:t>
      </w:r>
      <w:r w:rsidR="00150718">
        <w:rPr>
          <w:bdr w:val="none" w:sz="0" w:space="0" w:color="auto" w:frame="1"/>
          <w:shd w:val="clear" w:color="auto" w:fill="FFFFFF"/>
        </w:rPr>
        <w:t xml:space="preserve"> </w:t>
      </w:r>
      <w:r w:rsidR="00564635">
        <w:rPr>
          <w:bdr w:val="none" w:sz="0" w:space="0" w:color="auto" w:frame="1"/>
          <w:shd w:val="clear" w:color="auto" w:fill="FFFFFF"/>
        </w:rPr>
        <w:t xml:space="preserve">of noneconomic </w:t>
      </w:r>
      <w:r w:rsidR="000B6274">
        <w:rPr>
          <w:bdr w:val="none" w:sz="0" w:space="0" w:color="auto" w:frame="1"/>
          <w:shd w:val="clear" w:color="auto" w:fill="FFFFFF"/>
        </w:rPr>
        <w:t>loss</w:t>
      </w:r>
      <w:r w:rsidR="00564635">
        <w:rPr>
          <w:bdr w:val="none" w:sz="0" w:space="0" w:color="auto" w:frame="1"/>
          <w:shd w:val="clear" w:color="auto" w:fill="FFFFFF"/>
        </w:rPr>
        <w:t xml:space="preserve">es for </w:t>
      </w:r>
      <w:r w:rsidR="00150718">
        <w:rPr>
          <w:bdr w:val="none" w:sz="0" w:space="0" w:color="auto" w:frame="1"/>
          <w:shd w:val="clear" w:color="auto" w:fill="FFFFFF"/>
        </w:rPr>
        <w:t xml:space="preserve">the actual victims of the enumerated sexual offenses. </w:t>
      </w:r>
      <w:r w:rsidR="00150718" w:rsidRPr="00D74DBA">
        <w:rPr>
          <w:bdr w:val="none" w:sz="0" w:space="0" w:color="auto" w:frame="1"/>
          <w:shd w:val="clear" w:color="auto" w:fill="FFFFFF"/>
        </w:rPr>
        <w:t xml:space="preserve"> </w:t>
      </w:r>
      <w:r w:rsidR="00FD432D">
        <w:rPr>
          <w:bdr w:val="none" w:sz="0" w:space="0" w:color="auto" w:frame="1"/>
          <w:shd w:val="clear" w:color="auto" w:fill="FFFFFF"/>
        </w:rPr>
        <w:t>We address each contention in turn.</w:t>
      </w:r>
      <w:bookmarkStart w:id="15" w:name="_Hlk147837967"/>
      <w:r w:rsidRPr="00D74DBA">
        <w:rPr>
          <w:bdr w:val="none" w:sz="0" w:space="0" w:color="auto" w:frame="1"/>
          <w:shd w:val="clear" w:color="auto" w:fill="FFFFFF"/>
        </w:rPr>
        <w:t xml:space="preserve"> </w:t>
      </w:r>
      <w:bookmarkEnd w:id="15"/>
    </w:p>
    <w:p w14:paraId="51251BC1" w14:textId="43A38154" w:rsidR="008F3614" w:rsidRPr="003C618B"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ab/>
      </w:r>
      <w:r w:rsidR="00FD432D">
        <w:rPr>
          <w:b/>
          <w:bCs/>
          <w:i/>
          <w:iCs/>
          <w:bdr w:val="none" w:sz="0" w:space="0" w:color="auto" w:frame="1"/>
          <w:shd w:val="clear" w:color="auto" w:fill="FFFFFF"/>
        </w:rPr>
        <w:t>1</w:t>
      </w:r>
      <w:r>
        <w:rPr>
          <w:b/>
          <w:bCs/>
          <w:i/>
          <w:iCs/>
          <w:bdr w:val="none" w:sz="0" w:space="0" w:color="auto" w:frame="1"/>
          <w:shd w:val="clear" w:color="auto" w:fill="FFFFFF"/>
        </w:rPr>
        <w:t>.</w:t>
      </w:r>
      <w:r>
        <w:rPr>
          <w:b/>
          <w:bCs/>
          <w:i/>
          <w:iCs/>
          <w:bdr w:val="none" w:sz="0" w:space="0" w:color="auto" w:frame="1"/>
          <w:shd w:val="clear" w:color="auto" w:fill="FFFFFF"/>
        </w:rPr>
        <w:tab/>
      </w:r>
      <w:r w:rsidR="00FD432D">
        <w:rPr>
          <w:b/>
          <w:bCs/>
          <w:i/>
          <w:iCs/>
          <w:bdr w:val="none" w:sz="0" w:space="0" w:color="auto" w:frame="1"/>
          <w:shd w:val="clear" w:color="auto" w:fill="FFFFFF"/>
        </w:rPr>
        <w:t xml:space="preserve">Noneconomic Damages for </w:t>
      </w:r>
      <w:r>
        <w:rPr>
          <w:b/>
          <w:bCs/>
          <w:i/>
          <w:iCs/>
          <w:bdr w:val="none" w:sz="0" w:space="0" w:color="auto" w:frame="1"/>
          <w:shd w:val="clear" w:color="auto" w:fill="FFFFFF"/>
        </w:rPr>
        <w:t xml:space="preserve">Jane Doe </w:t>
      </w:r>
      <w:r w:rsidR="007171F8">
        <w:rPr>
          <w:b/>
          <w:bCs/>
          <w:i/>
          <w:iCs/>
          <w:bdr w:val="none" w:sz="0" w:space="0" w:color="auto" w:frame="1"/>
          <w:shd w:val="clear" w:color="auto" w:fill="FFFFFF"/>
        </w:rPr>
        <w:t>Three</w:t>
      </w:r>
      <w:r>
        <w:rPr>
          <w:b/>
          <w:bCs/>
          <w:i/>
          <w:iCs/>
          <w:bdr w:val="none" w:sz="0" w:space="0" w:color="auto" w:frame="1"/>
          <w:shd w:val="clear" w:color="auto" w:fill="FFFFFF"/>
        </w:rPr>
        <w:t xml:space="preserve"> </w:t>
      </w:r>
    </w:p>
    <w:p w14:paraId="439EA398" w14:textId="0563AFAC" w:rsidR="000B6274" w:rsidRDefault="008F3614" w:rsidP="008F3614">
      <w:pPr>
        <w:pStyle w:val="Text"/>
        <w:ind w:firstLine="0"/>
      </w:pPr>
      <w:r>
        <w:rPr>
          <w:b/>
          <w:bCs/>
          <w:i/>
          <w:iCs/>
          <w:bdr w:val="none" w:sz="0" w:space="0" w:color="auto" w:frame="1"/>
          <w:shd w:val="clear" w:color="auto" w:fill="FFFFFF"/>
        </w:rPr>
        <w:tab/>
      </w:r>
      <w:r>
        <w:rPr>
          <w:bdr w:val="none" w:sz="0" w:space="0" w:color="auto" w:frame="1"/>
          <w:shd w:val="clear" w:color="auto" w:fill="FFFFFF"/>
        </w:rPr>
        <w:t>As mentioned above, t</w:t>
      </w:r>
      <w:r w:rsidRPr="00D74DBA">
        <w:t xml:space="preserve">he trial court </w:t>
      </w:r>
      <w:r w:rsidR="00150718">
        <w:t>awarded $500,000 in noneconomic damages to Jane Doe Three at sentencing</w:t>
      </w:r>
      <w:r w:rsidRPr="00D74DBA">
        <w:t>.</w:t>
      </w:r>
      <w:r>
        <w:t xml:space="preserve"> </w:t>
      </w:r>
      <w:r w:rsidR="00A722F2">
        <w:t xml:space="preserve"> Villegas argues that this </w:t>
      </w:r>
      <w:r w:rsidR="00537185">
        <w:t xml:space="preserve">award was unauthorized because the restitution statute provides for </w:t>
      </w:r>
      <w:r w:rsidR="00025176">
        <w:t>awards based on “[n]</w:t>
      </w:r>
      <w:r w:rsidR="00025176" w:rsidRPr="003D1226">
        <w:rPr>
          <w:color w:val="212121"/>
          <w:shd w:val="clear" w:color="auto" w:fill="FFFFFF"/>
        </w:rPr>
        <w:t xml:space="preserve">oneconomic losses, including, but not limited to, psychological harm, for </w:t>
      </w:r>
      <w:r w:rsidR="00025176" w:rsidRPr="00ED193F">
        <w:rPr>
          <w:i/>
          <w:iCs/>
          <w:color w:val="212121"/>
          <w:shd w:val="clear" w:color="auto" w:fill="FFFFFF"/>
        </w:rPr>
        <w:t>felony violations of</w:t>
      </w:r>
      <w:r w:rsidR="00735B10">
        <w:rPr>
          <w:i/>
          <w:iCs/>
          <w:color w:val="212121"/>
          <w:shd w:val="clear" w:color="auto" w:fill="FFFFFF"/>
        </w:rPr>
        <w:t xml:space="preserve"> </w:t>
      </w:r>
      <w:r w:rsidR="00025176" w:rsidRPr="00ED193F">
        <w:rPr>
          <w:i/>
          <w:iCs/>
          <w:color w:val="212121"/>
          <w:shd w:val="clear" w:color="auto" w:fill="FFFFFF"/>
        </w:rPr>
        <w:t>Section 288, 288.5, or 288.7</w:t>
      </w:r>
      <w:r w:rsidR="00025176">
        <w:rPr>
          <w:color w:val="212121"/>
          <w:shd w:val="clear" w:color="auto" w:fill="FFFFFF"/>
        </w:rPr>
        <w:t>.”  (§ 1202.4, subd. (f)(3)(F)</w:t>
      </w:r>
      <w:r w:rsidR="00ED193F">
        <w:rPr>
          <w:color w:val="212121"/>
          <w:shd w:val="clear" w:color="auto" w:fill="FFFFFF"/>
        </w:rPr>
        <w:t>, italics added</w:t>
      </w:r>
      <w:r w:rsidR="00025176">
        <w:rPr>
          <w:color w:val="212121"/>
          <w:shd w:val="clear" w:color="auto" w:fill="FFFFFF"/>
        </w:rPr>
        <w:t>.)  With respect to Jane Doe Three, Vill</w:t>
      </w:r>
      <w:r w:rsidR="007171F8">
        <w:rPr>
          <w:color w:val="212121"/>
          <w:shd w:val="clear" w:color="auto" w:fill="FFFFFF"/>
        </w:rPr>
        <w:t>e</w:t>
      </w:r>
      <w:r w:rsidR="00025176">
        <w:rPr>
          <w:color w:val="212121"/>
          <w:shd w:val="clear" w:color="auto" w:fill="FFFFFF"/>
        </w:rPr>
        <w:t>gas was convicted of</w:t>
      </w:r>
      <w:r w:rsidR="00025176">
        <w:t xml:space="preserve"> forcible rape of a minor over 14 (§ 261, subd. (a)(2)), sexual penetration by a foreign object on a minor over 14 (§ 289, subd. (a)(1)(C)), and forcible oral copulation of a minor over 14 (§ 287, subd. (c)(2)(C)</w:t>
      </w:r>
      <w:r w:rsidR="00ED193F">
        <w:t>)</w:t>
      </w:r>
      <w:r w:rsidR="00025176">
        <w:t xml:space="preserve">.  Since none of these sexual offenses are expressly set forth in the restitution statute, Villegas asserts that the award for noneconomic damages was improper. </w:t>
      </w:r>
      <w:r w:rsidR="0015689C" w:rsidRPr="00D74DBA">
        <w:rPr>
          <w:bdr w:val="none" w:sz="0" w:space="0" w:color="auto" w:frame="1"/>
          <w:shd w:val="clear" w:color="auto" w:fill="FFFFFF"/>
        </w:rPr>
        <w:t xml:space="preserve"> </w:t>
      </w:r>
      <w:r w:rsidR="00025176">
        <w:t xml:space="preserve">The law, however, is </w:t>
      </w:r>
      <w:r w:rsidR="00CC7C7B">
        <w:t>not so clear</w:t>
      </w:r>
      <w:r w:rsidR="00025176">
        <w:t>.</w:t>
      </w:r>
    </w:p>
    <w:p w14:paraId="77785C46" w14:textId="4A713EE4" w:rsidR="00841013" w:rsidRPr="00841013" w:rsidRDefault="00841013" w:rsidP="00841013">
      <w:pPr>
        <w:pStyle w:val="Text"/>
        <w:numPr>
          <w:ilvl w:val="0"/>
          <w:numId w:val="12"/>
        </w:numPr>
        <w:rPr>
          <w:i/>
          <w:iCs/>
        </w:rPr>
      </w:pPr>
      <w:r>
        <w:rPr>
          <w:i/>
          <w:iCs/>
        </w:rPr>
        <w:t>Statutory Interpretation of S</w:t>
      </w:r>
      <w:r w:rsidR="00D610B4">
        <w:rPr>
          <w:i/>
          <w:iCs/>
        </w:rPr>
        <w:t>ubdivision (f)(3)(F)</w:t>
      </w:r>
    </w:p>
    <w:p w14:paraId="31C4D358" w14:textId="11C174BE" w:rsidR="00360FBA" w:rsidRDefault="003E2F88" w:rsidP="00360FBA">
      <w:pPr>
        <w:pStyle w:val="Text"/>
        <w:ind w:firstLine="0"/>
        <w:rPr>
          <w:color w:val="212121"/>
          <w:shd w:val="clear" w:color="auto" w:fill="FFFFFF"/>
        </w:rPr>
      </w:pPr>
      <w:r>
        <w:tab/>
        <w:t>Several appellate court</w:t>
      </w:r>
      <w:r w:rsidR="00ED193F">
        <w:t>s</w:t>
      </w:r>
      <w:r>
        <w:t xml:space="preserve"> have interpreted subdivision (f)(3)(F) of section 1202.4 as embracing felony convictions for </w:t>
      </w:r>
      <w:r w:rsidRPr="00ED193F">
        <w:rPr>
          <w:i/>
          <w:iCs/>
        </w:rPr>
        <w:t>conduct</w:t>
      </w:r>
      <w:r>
        <w:t xml:space="preserve"> violating section 288, even if the convictions themselves were under different statutes.  (</w:t>
      </w:r>
      <w:r w:rsidR="005403D3">
        <w:rPr>
          <w:i/>
          <w:iCs/>
        </w:rPr>
        <w:t>People v</w:t>
      </w:r>
      <w:r w:rsidR="005F50E8">
        <w:rPr>
          <w:i/>
          <w:iCs/>
        </w:rPr>
        <w:t>.</w:t>
      </w:r>
      <w:r w:rsidR="005403D3">
        <w:rPr>
          <w:i/>
          <w:iCs/>
        </w:rPr>
        <w:t xml:space="preserve"> McCarthy</w:t>
      </w:r>
      <w:r w:rsidR="005403D3">
        <w:t xml:space="preserve"> (2016) 244 Cal.</w:t>
      </w:r>
      <w:r w:rsidR="005403D3" w:rsidRPr="00EC1D2B">
        <w:t xml:space="preserve">App.4th 1096, 1103–1106 </w:t>
      </w:r>
      <w:r w:rsidR="007A7F68">
        <w:t>(</w:t>
      </w:r>
      <w:r w:rsidR="00EC1D2B">
        <w:rPr>
          <w:i/>
          <w:iCs/>
        </w:rPr>
        <w:t>McCarthy</w:t>
      </w:r>
      <w:r w:rsidR="00EC1D2B">
        <w:t>)</w:t>
      </w:r>
      <w:r w:rsidR="005403D3" w:rsidRPr="00EC1D2B">
        <w:t xml:space="preserve">; accord, </w:t>
      </w:r>
      <w:r w:rsidRPr="00EC1D2B">
        <w:rPr>
          <w:i/>
          <w:iCs/>
        </w:rPr>
        <w:t xml:space="preserve">People v. Martinez </w:t>
      </w:r>
      <w:r w:rsidRPr="00EC1D2B">
        <w:t>(2017) 8 Cal.App.5th 298, 302–306</w:t>
      </w:r>
      <w:r w:rsidR="007A7F68">
        <w:t xml:space="preserve"> (</w:t>
      </w:r>
      <w:r w:rsidR="007A7F68">
        <w:rPr>
          <w:i/>
          <w:iCs/>
        </w:rPr>
        <w:t>Martinez</w:t>
      </w:r>
      <w:r w:rsidR="007A7F68">
        <w:t>)</w:t>
      </w:r>
      <w:r w:rsidR="005403D3" w:rsidRPr="00EC1D2B">
        <w:t>.)</w:t>
      </w:r>
      <w:r w:rsidR="009955CF" w:rsidRPr="00EC1D2B">
        <w:t xml:space="preserve">  For instance, in </w:t>
      </w:r>
      <w:r w:rsidR="009955CF" w:rsidRPr="00EC1D2B">
        <w:rPr>
          <w:i/>
          <w:iCs/>
        </w:rPr>
        <w:t>McCarthy</w:t>
      </w:r>
      <w:r w:rsidR="009955CF" w:rsidRPr="00EC1D2B">
        <w:t xml:space="preserve">, the defendant was convicted of </w:t>
      </w:r>
      <w:r w:rsidR="009955CF" w:rsidRPr="00EC1D2B">
        <w:rPr>
          <w:color w:val="212121"/>
          <w:shd w:val="clear" w:color="auto" w:fill="FFFFFF"/>
        </w:rPr>
        <w:t>continuous sexual abuse of a child (</w:t>
      </w:r>
      <w:r w:rsidR="00EC1D2B">
        <w:rPr>
          <w:color w:val="212121"/>
          <w:shd w:val="clear" w:color="auto" w:fill="FFFFFF"/>
        </w:rPr>
        <w:t>§ 288.5, subd. (a)</w:t>
      </w:r>
      <w:r w:rsidR="009955CF" w:rsidRPr="00EC1D2B">
        <w:rPr>
          <w:color w:val="212121"/>
          <w:shd w:val="clear" w:color="auto" w:fill="FFFFFF"/>
        </w:rPr>
        <w:t>); aggravated sexual assault of a child (</w:t>
      </w:r>
      <w:r w:rsidR="00EC1D2B">
        <w:rPr>
          <w:color w:val="212121"/>
          <w:shd w:val="clear" w:color="auto" w:fill="FFFFFF"/>
        </w:rPr>
        <w:t>§</w:t>
      </w:r>
      <w:r w:rsidR="005F50E8">
        <w:rPr>
          <w:color w:val="212121"/>
          <w:shd w:val="clear" w:color="auto" w:fill="FFFFFF"/>
        </w:rPr>
        <w:t> </w:t>
      </w:r>
      <w:r w:rsidR="00EC1D2B">
        <w:rPr>
          <w:color w:val="212121"/>
          <w:shd w:val="clear" w:color="auto" w:fill="FFFFFF"/>
        </w:rPr>
        <w:t>269, subd. (a)(4) &amp; (5)</w:t>
      </w:r>
      <w:r w:rsidR="009955CF" w:rsidRPr="00EC1D2B">
        <w:rPr>
          <w:color w:val="212121"/>
          <w:shd w:val="clear" w:color="auto" w:fill="FFFFFF"/>
        </w:rPr>
        <w:t>); forcible</w:t>
      </w:r>
      <w:r w:rsidR="00735B10">
        <w:rPr>
          <w:color w:val="212121"/>
          <w:shd w:val="clear" w:color="auto" w:fill="FFFFFF"/>
        </w:rPr>
        <w:t xml:space="preserve"> </w:t>
      </w:r>
      <w:r w:rsidR="009955CF" w:rsidRPr="00EC1D2B">
        <w:rPr>
          <w:color w:val="212121"/>
          <w:shd w:val="clear" w:color="auto" w:fill="FFFFFF"/>
        </w:rPr>
        <w:t>oral copulation (</w:t>
      </w:r>
      <w:r w:rsidR="00EC1D2B" w:rsidRPr="00EC1D2B">
        <w:rPr>
          <w:color w:val="212121"/>
          <w:shd w:val="clear" w:color="auto" w:fill="FFFFFF"/>
        </w:rPr>
        <w:t>former § 288a, subd. (c)(2)(A)</w:t>
      </w:r>
      <w:r w:rsidR="009955CF" w:rsidRPr="00EC1D2B">
        <w:rPr>
          <w:color w:val="212121"/>
          <w:shd w:val="clear" w:color="auto" w:fill="FFFFFF"/>
        </w:rPr>
        <w:t>); and forcible rape</w:t>
      </w:r>
      <w:r w:rsidR="00EC1D2B" w:rsidRPr="00EC1D2B">
        <w:rPr>
          <w:color w:val="212121"/>
          <w:shd w:val="clear" w:color="auto" w:fill="FFFFFF"/>
        </w:rPr>
        <w:t xml:space="preserve"> (§ 261, subd. (a)(2)).  (</w:t>
      </w:r>
      <w:r w:rsidR="00EC1D2B" w:rsidRPr="00EC1D2B">
        <w:rPr>
          <w:i/>
          <w:iCs/>
          <w:color w:val="212121"/>
          <w:shd w:val="clear" w:color="auto" w:fill="FFFFFF"/>
        </w:rPr>
        <w:t>McCarthy</w:t>
      </w:r>
      <w:r w:rsidR="00EC1D2B" w:rsidRPr="00EC1D2B">
        <w:rPr>
          <w:color w:val="212121"/>
          <w:shd w:val="clear" w:color="auto" w:fill="FFFFFF"/>
        </w:rPr>
        <w:t>, at p. 1100.)  At a later restitution hearing, the trial court</w:t>
      </w:r>
      <w:r w:rsidR="007A7F68">
        <w:rPr>
          <w:color w:val="212121"/>
          <w:shd w:val="clear" w:color="auto" w:fill="FFFFFF"/>
        </w:rPr>
        <w:t>—pursuant to subdivision (f)(3)(F) of section 1202.4—</w:t>
      </w:r>
      <w:r w:rsidR="00EC1D2B" w:rsidRPr="00EC1D2B">
        <w:rPr>
          <w:color w:val="212121"/>
          <w:shd w:val="clear" w:color="auto" w:fill="FFFFFF"/>
        </w:rPr>
        <w:t>awarded the victim $100,000 per year for 10 years, for a total award of $1 million</w:t>
      </w:r>
      <w:r w:rsidR="007A7F68">
        <w:rPr>
          <w:color w:val="212121"/>
          <w:shd w:val="clear" w:color="auto" w:fill="FFFFFF"/>
        </w:rPr>
        <w:t xml:space="preserve"> in noneconomic damages</w:t>
      </w:r>
      <w:r w:rsidR="00EC1D2B" w:rsidRPr="00EC1D2B">
        <w:rPr>
          <w:color w:val="212121"/>
          <w:shd w:val="clear" w:color="auto" w:fill="FFFFFF"/>
        </w:rPr>
        <w:t>.</w:t>
      </w:r>
      <w:r w:rsidR="00EC1D2B">
        <w:rPr>
          <w:color w:val="212121"/>
          <w:shd w:val="clear" w:color="auto" w:fill="FFFFFF"/>
        </w:rPr>
        <w:t xml:space="preserve">  (</w:t>
      </w:r>
      <w:r w:rsidR="00EC1D2B">
        <w:rPr>
          <w:i/>
          <w:iCs/>
          <w:color w:val="212121"/>
          <w:shd w:val="clear" w:color="auto" w:fill="FFFFFF"/>
        </w:rPr>
        <w:t xml:space="preserve">Id. </w:t>
      </w:r>
      <w:r w:rsidR="00EC1D2B">
        <w:rPr>
          <w:color w:val="212121"/>
          <w:shd w:val="clear" w:color="auto" w:fill="FFFFFF"/>
        </w:rPr>
        <w:t xml:space="preserve">at p. </w:t>
      </w:r>
      <w:r w:rsidR="007A7F68">
        <w:rPr>
          <w:color w:val="212121"/>
          <w:shd w:val="clear" w:color="auto" w:fill="FFFFFF"/>
        </w:rPr>
        <w:t xml:space="preserve">1101.)  </w:t>
      </w:r>
    </w:p>
    <w:p w14:paraId="2A8A74DE" w14:textId="1C08284D" w:rsidR="00360FBA" w:rsidRDefault="00360FBA" w:rsidP="00360FBA">
      <w:pPr>
        <w:pStyle w:val="Text"/>
        <w:ind w:firstLine="0"/>
        <w:rPr>
          <w:color w:val="212121"/>
          <w:shd w:val="clear" w:color="auto" w:fill="FFFFFF"/>
        </w:rPr>
      </w:pPr>
      <w:r>
        <w:rPr>
          <w:color w:val="212121"/>
          <w:shd w:val="clear" w:color="auto" w:fill="FFFFFF"/>
        </w:rPr>
        <w:tab/>
      </w:r>
      <w:r w:rsidR="007A7F68">
        <w:rPr>
          <w:color w:val="212121"/>
          <w:shd w:val="clear" w:color="auto" w:fill="FFFFFF"/>
        </w:rPr>
        <w:t>McCarthy argued on appeal that the restitution award was improper because he was not convicted</w:t>
      </w:r>
      <w:r w:rsidR="00695BE0">
        <w:rPr>
          <w:color w:val="212121"/>
          <w:shd w:val="clear" w:color="auto" w:fill="FFFFFF"/>
        </w:rPr>
        <w:t xml:space="preserve"> under </w:t>
      </w:r>
      <w:r w:rsidR="007A7F68">
        <w:rPr>
          <w:color w:val="212121"/>
          <w:shd w:val="clear" w:color="auto" w:fill="FFFFFF"/>
        </w:rPr>
        <w:t>section 288</w:t>
      </w:r>
      <w:r w:rsidR="00841013">
        <w:rPr>
          <w:color w:val="212121"/>
          <w:shd w:val="clear" w:color="auto" w:fill="FFFFFF"/>
        </w:rPr>
        <w:t xml:space="preserve"> as the plain language of section 1202.4, subdivision (f)(3)(F) </w:t>
      </w:r>
      <w:r w:rsidR="007A1B32">
        <w:rPr>
          <w:color w:val="212121"/>
          <w:shd w:val="clear" w:color="auto" w:fill="FFFFFF"/>
        </w:rPr>
        <w:t xml:space="preserve">then </w:t>
      </w:r>
      <w:r w:rsidR="00841013">
        <w:rPr>
          <w:color w:val="212121"/>
          <w:shd w:val="clear" w:color="auto" w:fill="FFFFFF"/>
        </w:rPr>
        <w:t>required</w:t>
      </w:r>
      <w:r w:rsidR="007A7F68">
        <w:rPr>
          <w:color w:val="212121"/>
          <w:shd w:val="clear" w:color="auto" w:fill="FFFFFF"/>
        </w:rPr>
        <w:t>.</w:t>
      </w:r>
      <w:r w:rsidR="00732DFF">
        <w:rPr>
          <w:color w:val="212121"/>
          <w:shd w:val="clear" w:color="auto" w:fill="FFFFFF"/>
        </w:rPr>
        <w:t xml:space="preserve">  (</w:t>
      </w:r>
      <w:r w:rsidR="00732DFF">
        <w:rPr>
          <w:i/>
          <w:iCs/>
          <w:color w:val="212121"/>
          <w:shd w:val="clear" w:color="auto" w:fill="FFFFFF"/>
        </w:rPr>
        <w:t>McCarthy</w:t>
      </w:r>
      <w:r w:rsidR="00732DFF">
        <w:rPr>
          <w:color w:val="212121"/>
          <w:shd w:val="clear" w:color="auto" w:fill="FFFFFF"/>
        </w:rPr>
        <w:t xml:space="preserve">, </w:t>
      </w:r>
      <w:r w:rsidR="00732DFF">
        <w:rPr>
          <w:i/>
          <w:iCs/>
          <w:color w:val="212121"/>
          <w:shd w:val="clear" w:color="auto" w:fill="FFFFFF"/>
        </w:rPr>
        <w:t>supra</w:t>
      </w:r>
      <w:r w:rsidR="00732DFF">
        <w:rPr>
          <w:color w:val="212121"/>
          <w:shd w:val="clear" w:color="auto" w:fill="FFFFFF"/>
        </w:rPr>
        <w:t xml:space="preserve">, 244 Cal.App.4th at p. 1103.)  </w:t>
      </w:r>
      <w:r w:rsidR="007A7F68">
        <w:rPr>
          <w:bdr w:val="none" w:sz="0" w:space="0" w:color="auto" w:frame="1"/>
          <w:shd w:val="clear" w:color="auto" w:fill="FFFFFF"/>
        </w:rPr>
        <w:t>Division Five of this District</w:t>
      </w:r>
      <w:r w:rsidR="00732DFF">
        <w:rPr>
          <w:bdr w:val="none" w:sz="0" w:space="0" w:color="auto" w:frame="1"/>
          <w:shd w:val="clear" w:color="auto" w:fill="FFFFFF"/>
        </w:rPr>
        <w:t xml:space="preserve"> rejected his argument, concluding </w:t>
      </w:r>
      <w:r w:rsidR="00E657E5">
        <w:rPr>
          <w:bdr w:val="none" w:sz="0" w:space="0" w:color="auto" w:frame="1"/>
          <w:shd w:val="clear" w:color="auto" w:fill="FFFFFF"/>
        </w:rPr>
        <w:t xml:space="preserve">preliminarily </w:t>
      </w:r>
      <w:r w:rsidR="00732DFF">
        <w:rPr>
          <w:bdr w:val="none" w:sz="0" w:space="0" w:color="auto" w:frame="1"/>
          <w:shd w:val="clear" w:color="auto" w:fill="FFFFFF"/>
        </w:rPr>
        <w:t>that the language of the statute was ambiguous</w:t>
      </w:r>
      <w:r w:rsidR="00695BE0">
        <w:rPr>
          <w:bdr w:val="none" w:sz="0" w:space="0" w:color="auto" w:frame="1"/>
          <w:shd w:val="clear" w:color="auto" w:fill="FFFFFF"/>
        </w:rPr>
        <w:t xml:space="preserve"> because it only required a </w:t>
      </w:r>
      <w:r w:rsidR="00695BE0">
        <w:rPr>
          <w:i/>
          <w:iCs/>
          <w:bdr w:val="none" w:sz="0" w:space="0" w:color="auto" w:frame="1"/>
          <w:shd w:val="clear" w:color="auto" w:fill="FFFFFF"/>
        </w:rPr>
        <w:t>violation</w:t>
      </w:r>
      <w:r w:rsidR="00695BE0">
        <w:rPr>
          <w:bdr w:val="none" w:sz="0" w:space="0" w:color="auto" w:frame="1"/>
          <w:shd w:val="clear" w:color="auto" w:fill="FFFFFF"/>
        </w:rPr>
        <w:t xml:space="preserve"> of </w:t>
      </w:r>
      <w:r w:rsidR="007A1B32">
        <w:rPr>
          <w:bdr w:val="none" w:sz="0" w:space="0" w:color="auto" w:frame="1"/>
          <w:shd w:val="clear" w:color="auto" w:fill="FFFFFF"/>
        </w:rPr>
        <w:t>section 288</w:t>
      </w:r>
      <w:r w:rsidR="00695BE0">
        <w:rPr>
          <w:bdr w:val="none" w:sz="0" w:space="0" w:color="auto" w:frame="1"/>
          <w:shd w:val="clear" w:color="auto" w:fill="FFFFFF"/>
        </w:rPr>
        <w:t xml:space="preserve"> rather than a conviction</w:t>
      </w:r>
      <w:r w:rsidR="00732DFF">
        <w:rPr>
          <w:bdr w:val="none" w:sz="0" w:space="0" w:color="auto" w:frame="1"/>
          <w:shd w:val="clear" w:color="auto" w:fill="FFFFFF"/>
        </w:rPr>
        <w:t>.  (</w:t>
      </w:r>
      <w:r w:rsidR="00732DFF">
        <w:rPr>
          <w:i/>
          <w:iCs/>
          <w:bdr w:val="none" w:sz="0" w:space="0" w:color="auto" w:frame="1"/>
          <w:shd w:val="clear" w:color="auto" w:fill="FFFFFF"/>
        </w:rPr>
        <w:t>Id.</w:t>
      </w:r>
      <w:r w:rsidR="00732DFF">
        <w:rPr>
          <w:bdr w:val="none" w:sz="0" w:space="0" w:color="auto" w:frame="1"/>
          <w:shd w:val="clear" w:color="auto" w:fill="FFFFFF"/>
        </w:rPr>
        <w:t xml:space="preserve"> at p</w:t>
      </w:r>
      <w:r w:rsidR="00695BE0">
        <w:rPr>
          <w:bdr w:val="none" w:sz="0" w:space="0" w:color="auto" w:frame="1"/>
          <w:shd w:val="clear" w:color="auto" w:fill="FFFFFF"/>
        </w:rPr>
        <w:t>p</w:t>
      </w:r>
      <w:r w:rsidR="00732DFF">
        <w:rPr>
          <w:bdr w:val="none" w:sz="0" w:space="0" w:color="auto" w:frame="1"/>
          <w:shd w:val="clear" w:color="auto" w:fill="FFFFFF"/>
        </w:rPr>
        <w:t>.</w:t>
      </w:r>
      <w:r w:rsidR="00695BE0">
        <w:rPr>
          <w:bdr w:val="none" w:sz="0" w:space="0" w:color="auto" w:frame="1"/>
          <w:shd w:val="clear" w:color="auto" w:fill="FFFFFF"/>
        </w:rPr>
        <w:t xml:space="preserve"> 1105–1106</w:t>
      </w:r>
      <w:r w:rsidR="00E657E5">
        <w:rPr>
          <w:bdr w:val="none" w:sz="0" w:space="0" w:color="auto" w:frame="1"/>
          <w:shd w:val="clear" w:color="auto" w:fill="FFFFFF"/>
        </w:rPr>
        <w:t xml:space="preserve">; see </w:t>
      </w:r>
      <w:r w:rsidR="00E657E5">
        <w:rPr>
          <w:i/>
          <w:iCs/>
          <w:bdr w:val="none" w:sz="0" w:space="0" w:color="auto" w:frame="1"/>
          <w:shd w:val="clear" w:color="auto" w:fill="FFFFFF"/>
        </w:rPr>
        <w:t>People v. Zeigler</w:t>
      </w:r>
      <w:r w:rsidR="00E657E5">
        <w:rPr>
          <w:bdr w:val="none" w:sz="0" w:space="0" w:color="auto" w:frame="1"/>
          <w:shd w:val="clear" w:color="auto" w:fill="FFFFFF"/>
        </w:rPr>
        <w:t xml:space="preserve"> (2012) 211 Cal.App.4th 638, 666 [construing “violations of law” to encompass more conduct than </w:t>
      </w:r>
      <w:proofErr w:type="gramStart"/>
      <w:r w:rsidR="00E657E5">
        <w:rPr>
          <w:bdr w:val="none" w:sz="0" w:space="0" w:color="auto" w:frame="1"/>
          <w:shd w:val="clear" w:color="auto" w:fill="FFFFFF"/>
        </w:rPr>
        <w:t>“</w:t>
      </w:r>
      <w:r w:rsidR="00B459B1">
        <w:rPr>
          <w:bdr w:val="none" w:sz="0" w:space="0" w:color="auto" w:frame="1"/>
          <w:shd w:val="clear" w:color="auto" w:fill="FFFFFF"/>
        </w:rPr>
        <w:t> ‘</w:t>
      </w:r>
      <w:proofErr w:type="gramEnd"/>
      <w:r w:rsidR="00E657E5">
        <w:rPr>
          <w:bdr w:val="none" w:sz="0" w:space="0" w:color="auto" w:frame="1"/>
          <w:shd w:val="clear" w:color="auto" w:fill="FFFFFF"/>
        </w:rPr>
        <w:t>arrests and convictions</w:t>
      </w:r>
      <w:r w:rsidR="00B459B1">
        <w:rPr>
          <w:bdr w:val="none" w:sz="0" w:space="0" w:color="auto" w:frame="1"/>
          <w:shd w:val="clear" w:color="auto" w:fill="FFFFFF"/>
        </w:rPr>
        <w:t>’ </w:t>
      </w:r>
      <w:r w:rsidR="00E657E5">
        <w:rPr>
          <w:bdr w:val="none" w:sz="0" w:space="0" w:color="auto" w:frame="1"/>
          <w:shd w:val="clear" w:color="auto" w:fill="FFFFFF"/>
        </w:rPr>
        <w:t>”]</w:t>
      </w:r>
      <w:r w:rsidR="00695BE0">
        <w:rPr>
          <w:bdr w:val="none" w:sz="0" w:space="0" w:color="auto" w:frame="1"/>
          <w:shd w:val="clear" w:color="auto" w:fill="FFFFFF"/>
        </w:rPr>
        <w:t>.)</w:t>
      </w:r>
      <w:r w:rsidR="005F50E8">
        <w:rPr>
          <w:bdr w:val="none" w:sz="0" w:space="0" w:color="auto" w:frame="1"/>
          <w:shd w:val="clear" w:color="auto" w:fill="FFFFFF"/>
        </w:rPr>
        <w:t xml:space="preserve"> </w:t>
      </w:r>
      <w:r>
        <w:rPr>
          <w:bdr w:val="none" w:sz="0" w:space="0" w:color="auto" w:frame="1"/>
          <w:shd w:val="clear" w:color="auto" w:fill="FFFFFF"/>
        </w:rPr>
        <w:t xml:space="preserve"> Turning </w:t>
      </w:r>
      <w:r w:rsidR="00536083">
        <w:rPr>
          <w:bdr w:val="none" w:sz="0" w:space="0" w:color="auto" w:frame="1"/>
          <w:shd w:val="clear" w:color="auto" w:fill="FFFFFF"/>
        </w:rPr>
        <w:t xml:space="preserve">next </w:t>
      </w:r>
      <w:r>
        <w:rPr>
          <w:bdr w:val="none" w:sz="0" w:space="0" w:color="auto" w:frame="1"/>
          <w:shd w:val="clear" w:color="auto" w:fill="FFFFFF"/>
        </w:rPr>
        <w:t xml:space="preserve">to the </w:t>
      </w:r>
      <w:r w:rsidR="005F50E8">
        <w:rPr>
          <w:bdr w:val="none" w:sz="0" w:space="0" w:color="auto" w:frame="1"/>
          <w:shd w:val="clear" w:color="auto" w:fill="FFFFFF"/>
        </w:rPr>
        <w:t>legislative history</w:t>
      </w:r>
      <w:r>
        <w:rPr>
          <w:bdr w:val="none" w:sz="0" w:space="0" w:color="auto" w:frame="1"/>
          <w:shd w:val="clear" w:color="auto" w:fill="FFFFFF"/>
        </w:rPr>
        <w:t xml:space="preserve">, the appellate court noted that </w:t>
      </w:r>
      <w:r w:rsidR="00CC7C7B">
        <w:rPr>
          <w:bdr w:val="none" w:sz="0" w:space="0" w:color="auto" w:frame="1"/>
          <w:shd w:val="clear" w:color="auto" w:fill="FFFFFF"/>
        </w:rPr>
        <w:t xml:space="preserve">the </w:t>
      </w:r>
      <w:r w:rsidR="00CC7C7B" w:rsidRPr="00360FBA">
        <w:rPr>
          <w:bdr w:val="none" w:sz="0" w:space="0" w:color="auto" w:frame="1"/>
          <w:shd w:val="clear" w:color="auto" w:fill="FFFFFF"/>
        </w:rPr>
        <w:t xml:space="preserve">Legislature had removed the word </w:t>
      </w:r>
      <w:proofErr w:type="gramStart"/>
      <w:r w:rsidR="00CC7C7B" w:rsidRPr="00360FBA">
        <w:rPr>
          <w:bdr w:val="none" w:sz="0" w:space="0" w:color="auto" w:frame="1"/>
          <w:shd w:val="clear" w:color="auto" w:fill="FFFFFF"/>
        </w:rPr>
        <w:t>“ ‘</w:t>
      </w:r>
      <w:proofErr w:type="gramEnd"/>
      <w:r w:rsidR="00CC7C7B" w:rsidRPr="00360FBA">
        <w:rPr>
          <w:bdr w:val="none" w:sz="0" w:space="0" w:color="auto" w:frame="1"/>
          <w:shd w:val="clear" w:color="auto" w:fill="FFFFFF"/>
        </w:rPr>
        <w:t>conviction’ ” from the subdivision in 1996, replacing it with the term “</w:t>
      </w:r>
      <w:r w:rsidRPr="00360FBA">
        <w:rPr>
          <w:bdr w:val="none" w:sz="0" w:space="0" w:color="auto" w:frame="1"/>
          <w:shd w:val="clear" w:color="auto" w:fill="FFFFFF"/>
        </w:rPr>
        <w:t> ‘violations.’ ”</w:t>
      </w:r>
      <w:r w:rsidR="005F50E8" w:rsidRPr="00360FBA">
        <w:rPr>
          <w:bdr w:val="none" w:sz="0" w:space="0" w:color="auto" w:frame="1"/>
          <w:shd w:val="clear" w:color="auto" w:fill="FFFFFF"/>
        </w:rPr>
        <w:t xml:space="preserve"> </w:t>
      </w:r>
      <w:r w:rsidR="00841013">
        <w:rPr>
          <w:bdr w:val="none" w:sz="0" w:space="0" w:color="auto" w:frame="1"/>
          <w:shd w:val="clear" w:color="auto" w:fill="FFFFFF"/>
        </w:rPr>
        <w:t xml:space="preserve"> </w:t>
      </w:r>
      <w:r w:rsidRPr="00360FBA">
        <w:rPr>
          <w:bdr w:val="none" w:sz="0" w:space="0" w:color="auto" w:frame="1"/>
          <w:shd w:val="clear" w:color="auto" w:fill="FFFFFF"/>
        </w:rPr>
        <w:t>The court concluded that “</w:t>
      </w:r>
      <w:r w:rsidRPr="00360FBA">
        <w:rPr>
          <w:color w:val="212121"/>
          <w:shd w:val="clear" w:color="auto" w:fill="FFFFFF"/>
        </w:rPr>
        <w:t xml:space="preserve">the Legislature presumably intended to remove any requirement that defendants actually be convicted of a charge under </w:t>
      </w:r>
      <w:r w:rsidRPr="00841013">
        <w:rPr>
          <w:color w:val="212121"/>
          <w:shd w:val="clear" w:color="auto" w:fill="FFFFFF"/>
        </w:rPr>
        <w:t>section 288 before restitution for noneconomic losses could be awarded.”  (</w:t>
      </w:r>
      <w:r w:rsidR="00B459B1">
        <w:rPr>
          <w:i/>
          <w:iCs/>
          <w:color w:val="212121"/>
          <w:shd w:val="clear" w:color="auto" w:fill="FFFFFF"/>
        </w:rPr>
        <w:t xml:space="preserve">McCarthy, </w:t>
      </w:r>
      <w:r w:rsidRPr="00841013">
        <w:rPr>
          <w:color w:val="212121"/>
          <w:shd w:val="clear" w:color="auto" w:fill="FFFFFF"/>
        </w:rPr>
        <w:t>at pp. 1106–1107.</w:t>
      </w:r>
      <w:r w:rsidR="00841013" w:rsidRPr="00841013">
        <w:rPr>
          <w:color w:val="212121"/>
          <w:shd w:val="clear" w:color="auto" w:fill="FFFFFF"/>
        </w:rPr>
        <w:t xml:space="preserve">)  </w:t>
      </w:r>
      <w:r w:rsidR="00841013">
        <w:rPr>
          <w:color w:val="212121"/>
          <w:shd w:val="clear" w:color="auto" w:fill="FFFFFF"/>
        </w:rPr>
        <w:t>In further support of this interpretation, the court opined that the “</w:t>
      </w:r>
      <w:r w:rsidR="00841013" w:rsidRPr="00841013">
        <w:rPr>
          <w:color w:val="212121"/>
          <w:shd w:val="clear" w:color="auto" w:fill="FFFFFF"/>
        </w:rPr>
        <w:t>overall history of the amendments to</w:t>
      </w:r>
      <w:r w:rsidR="00735B10">
        <w:rPr>
          <w:color w:val="212121"/>
          <w:shd w:val="clear" w:color="auto" w:fill="FFFFFF"/>
        </w:rPr>
        <w:t xml:space="preserve"> </w:t>
      </w:r>
      <w:r w:rsidR="00841013">
        <w:rPr>
          <w:color w:val="212121"/>
          <w:shd w:val="clear" w:color="auto" w:fill="FFFFFF"/>
        </w:rPr>
        <w:t>section 1202.4</w:t>
      </w:r>
      <w:r w:rsidR="00735B10">
        <w:rPr>
          <w:color w:val="212121"/>
          <w:shd w:val="clear" w:color="auto" w:fill="FFFFFF"/>
        </w:rPr>
        <w:t xml:space="preserve"> </w:t>
      </w:r>
      <w:r w:rsidR="00841013" w:rsidRPr="00841013">
        <w:rPr>
          <w:color w:val="212121"/>
          <w:shd w:val="clear" w:color="auto" w:fill="FFFFFF"/>
        </w:rPr>
        <w:t>reflects a legislative intent to enlarge, not restrict, the availability of restitution</w:t>
      </w:r>
      <w:r w:rsidR="00536083">
        <w:rPr>
          <w:color w:val="212121"/>
          <w:shd w:val="clear" w:color="auto" w:fill="FFFFFF"/>
        </w:rPr>
        <w:t>.</w:t>
      </w:r>
      <w:r w:rsidR="00841013" w:rsidRPr="00841013">
        <w:rPr>
          <w:color w:val="212121"/>
          <w:shd w:val="clear" w:color="auto" w:fill="FFFFFF"/>
        </w:rPr>
        <w:t xml:space="preserve">  (</w:t>
      </w:r>
      <w:r w:rsidR="00841013" w:rsidRPr="00841013">
        <w:rPr>
          <w:i/>
          <w:iCs/>
          <w:color w:val="212121"/>
          <w:shd w:val="clear" w:color="auto" w:fill="FFFFFF"/>
        </w:rPr>
        <w:t>McCarthy</w:t>
      </w:r>
      <w:r w:rsidR="00841013" w:rsidRPr="00841013">
        <w:rPr>
          <w:color w:val="212121"/>
          <w:shd w:val="clear" w:color="auto" w:fill="FFFFFF"/>
        </w:rPr>
        <w:t>, at p.</w:t>
      </w:r>
      <w:r w:rsidR="007171F8">
        <w:rPr>
          <w:color w:val="212121"/>
          <w:shd w:val="clear" w:color="auto" w:fill="FFFFFF"/>
        </w:rPr>
        <w:t> </w:t>
      </w:r>
      <w:r w:rsidR="00841013" w:rsidRPr="00841013">
        <w:rPr>
          <w:color w:val="212121"/>
          <w:shd w:val="clear" w:color="auto" w:fill="FFFFFF"/>
        </w:rPr>
        <w:t>1107.)</w:t>
      </w:r>
      <w:r w:rsidR="00841013">
        <w:rPr>
          <w:color w:val="212121"/>
          <w:shd w:val="clear" w:color="auto" w:fill="FFFFFF"/>
        </w:rPr>
        <w:t xml:space="preserve">  </w:t>
      </w:r>
      <w:r w:rsidR="00841013" w:rsidRPr="00536083">
        <w:rPr>
          <w:color w:val="212121"/>
          <w:shd w:val="clear" w:color="auto" w:fill="FFFFFF"/>
        </w:rPr>
        <w:t>Moreover</w:t>
      </w:r>
      <w:r w:rsidR="00536083" w:rsidRPr="00536083">
        <w:rPr>
          <w:color w:val="212121"/>
          <w:shd w:val="clear" w:color="auto" w:fill="FFFFFF"/>
        </w:rPr>
        <w:t xml:space="preserve">, </w:t>
      </w:r>
      <w:proofErr w:type="gramStart"/>
      <w:r w:rsidR="00536083" w:rsidRPr="00536083">
        <w:rPr>
          <w:color w:val="212121"/>
          <w:shd w:val="clear" w:color="auto" w:fill="FFFFFF"/>
        </w:rPr>
        <w:t>“</w:t>
      </w:r>
      <w:r w:rsidR="00536083">
        <w:rPr>
          <w:color w:val="212121"/>
          <w:shd w:val="clear" w:color="auto" w:fill="FFFFFF"/>
        </w:rPr>
        <w:t xml:space="preserve"> </w:t>
      </w:r>
      <w:r w:rsidR="00536083" w:rsidRPr="00536083">
        <w:rPr>
          <w:color w:val="212121"/>
          <w:shd w:val="clear" w:color="auto" w:fill="FFFFFF"/>
        </w:rPr>
        <w:t>‘</w:t>
      </w:r>
      <w:proofErr w:type="gramEnd"/>
      <w:r w:rsidR="00536083">
        <w:rPr>
          <w:color w:val="212121"/>
          <w:shd w:val="clear" w:color="auto" w:fill="FFFFFF"/>
        </w:rPr>
        <w:t xml:space="preserve"> “[i]</w:t>
      </w:r>
      <w:r w:rsidR="00536083" w:rsidRPr="00536083">
        <w:rPr>
          <w:color w:val="212121"/>
          <w:shd w:val="clear" w:color="auto" w:fill="FFFFFF"/>
        </w:rPr>
        <w:t xml:space="preserve">n keeping with the [voters’] </w:t>
      </w:r>
      <w:r w:rsidR="00536083">
        <w:rPr>
          <w:color w:val="212121"/>
          <w:shd w:val="clear" w:color="auto" w:fill="FFFFFF"/>
        </w:rPr>
        <w:t>‘</w:t>
      </w:r>
      <w:r w:rsidR="00536083" w:rsidRPr="00536083">
        <w:rPr>
          <w:color w:val="212121"/>
          <w:shd w:val="clear" w:color="auto" w:fill="FFFFFF"/>
        </w:rPr>
        <w:t>unequivocal intention</w:t>
      </w:r>
      <w:r w:rsidR="00536083">
        <w:rPr>
          <w:color w:val="212121"/>
          <w:shd w:val="clear" w:color="auto" w:fill="FFFFFF"/>
        </w:rPr>
        <w:t>’</w:t>
      </w:r>
      <w:r w:rsidR="00536083" w:rsidRPr="00536083">
        <w:rPr>
          <w:color w:val="212121"/>
          <w:shd w:val="clear" w:color="auto" w:fill="FFFFFF"/>
        </w:rPr>
        <w:t xml:space="preserve"> that victim restitution be made, statutory provisions implementing the constitutional directive have been broadly and liberally construed.</w:t>
      </w:r>
      <w:r w:rsidR="00536083">
        <w:rPr>
          <w:color w:val="212121"/>
          <w:shd w:val="clear" w:color="auto" w:fill="FFFFFF"/>
        </w:rPr>
        <w:t>’ </w:t>
      </w:r>
      <w:r w:rsidR="00536083" w:rsidRPr="00536083">
        <w:rPr>
          <w:color w:val="212121"/>
          <w:shd w:val="clear" w:color="auto" w:fill="FFFFFF"/>
        </w:rPr>
        <w:t>’ ”</w:t>
      </w:r>
      <w:r w:rsidR="00536083">
        <w:rPr>
          <w:color w:val="212121"/>
          <w:shd w:val="clear" w:color="auto" w:fill="FFFFFF"/>
        </w:rPr>
        <w:t xml:space="preserve"> </w:t>
      </w:r>
      <w:r w:rsidR="00B37524">
        <w:rPr>
          <w:color w:val="212121"/>
          <w:shd w:val="clear" w:color="auto" w:fill="FFFFFF"/>
        </w:rPr>
        <w:t xml:space="preserve"> (</w:t>
      </w:r>
      <w:r w:rsidR="00536083">
        <w:rPr>
          <w:i/>
          <w:iCs/>
          <w:color w:val="212121"/>
          <w:shd w:val="clear" w:color="auto" w:fill="FFFFFF"/>
        </w:rPr>
        <w:t xml:space="preserve">Id. </w:t>
      </w:r>
      <w:r w:rsidR="00536083">
        <w:rPr>
          <w:color w:val="212121"/>
          <w:shd w:val="clear" w:color="auto" w:fill="FFFFFF"/>
        </w:rPr>
        <w:t>at p. 1105, referencing Cal. Const., art. I, § 28, subd. (b).)</w:t>
      </w:r>
    </w:p>
    <w:p w14:paraId="64389644" w14:textId="775C6808" w:rsidR="00DC0B5A" w:rsidRPr="008261E4" w:rsidRDefault="00536083" w:rsidP="00002020">
      <w:pPr>
        <w:pStyle w:val="Text"/>
        <w:ind w:firstLine="0"/>
        <w:rPr>
          <w:rFonts w:eastAsia="Times New Roman"/>
        </w:rPr>
      </w:pPr>
      <w:r>
        <w:rPr>
          <w:color w:val="212121"/>
          <w:shd w:val="clear" w:color="auto" w:fill="FFFFFF"/>
        </w:rPr>
        <w:tab/>
      </w:r>
      <w:r w:rsidR="008261E4">
        <w:rPr>
          <w:color w:val="212121"/>
          <w:shd w:val="clear" w:color="auto" w:fill="FFFFFF"/>
        </w:rPr>
        <w:t>In addition, t</w:t>
      </w:r>
      <w:r w:rsidR="00B37524">
        <w:rPr>
          <w:color w:val="212121"/>
          <w:shd w:val="clear" w:color="auto" w:fill="FFFFFF"/>
        </w:rPr>
        <w:t xml:space="preserve">he </w:t>
      </w:r>
      <w:r w:rsidR="00B37524">
        <w:rPr>
          <w:i/>
          <w:iCs/>
          <w:color w:val="212121"/>
          <w:shd w:val="clear" w:color="auto" w:fill="FFFFFF"/>
        </w:rPr>
        <w:t>McCarthy</w:t>
      </w:r>
      <w:r w:rsidR="00B37524">
        <w:rPr>
          <w:color w:val="212121"/>
          <w:shd w:val="clear" w:color="auto" w:fill="FFFFFF"/>
        </w:rPr>
        <w:t xml:space="preserve"> court </w:t>
      </w:r>
      <w:r w:rsidR="008261E4">
        <w:rPr>
          <w:color w:val="212121"/>
          <w:shd w:val="clear" w:color="auto" w:fill="FFFFFF"/>
        </w:rPr>
        <w:t>opined</w:t>
      </w:r>
      <w:r w:rsidR="00B37524">
        <w:rPr>
          <w:color w:val="212121"/>
          <w:shd w:val="clear" w:color="auto" w:fill="FFFFFF"/>
        </w:rPr>
        <w:t xml:space="preserve"> that any other construction of section 1202.4, subd. (f)(3)(F) would lead to an absurd result.  (</w:t>
      </w:r>
      <w:r w:rsidR="00B37524">
        <w:rPr>
          <w:i/>
          <w:iCs/>
          <w:color w:val="212121"/>
          <w:shd w:val="clear" w:color="auto" w:fill="FFFFFF"/>
        </w:rPr>
        <w:t>McCarthy</w:t>
      </w:r>
      <w:r w:rsidR="00B37524">
        <w:rPr>
          <w:color w:val="212121"/>
          <w:shd w:val="clear" w:color="auto" w:fill="FFFFFF"/>
        </w:rPr>
        <w:t xml:space="preserve">, </w:t>
      </w:r>
      <w:r w:rsidR="00B37524">
        <w:rPr>
          <w:i/>
          <w:iCs/>
          <w:color w:val="212121"/>
          <w:shd w:val="clear" w:color="auto" w:fill="FFFFFF"/>
        </w:rPr>
        <w:t>supra</w:t>
      </w:r>
      <w:r w:rsidR="00B37524">
        <w:rPr>
          <w:color w:val="212121"/>
          <w:shd w:val="clear" w:color="auto" w:fill="FFFFFF"/>
        </w:rPr>
        <w:t xml:space="preserve">, 244 Cal.App.4th at pp. 1108–1109.)  The court could see no rational basis for the Legislature </w:t>
      </w:r>
      <w:r w:rsidR="00DC0B5A">
        <w:rPr>
          <w:color w:val="212121"/>
          <w:shd w:val="clear" w:color="auto" w:fill="FFFFFF"/>
        </w:rPr>
        <w:t>to “</w:t>
      </w:r>
      <w:r w:rsidR="00FE7AB7">
        <w:rPr>
          <w:color w:val="000000"/>
        </w:rPr>
        <w:t>have chosen to permit restitution for the psychological harm caused by lewd and lascivious acts but not for the psychological harm caused by the very same conduct when charged as continuous child sexual abuse</w:t>
      </w:r>
      <w:r w:rsidR="00DC0B5A">
        <w:rPr>
          <w:color w:val="000000"/>
        </w:rPr>
        <w:t>.”  (</w:t>
      </w:r>
      <w:r w:rsidR="00DC0B5A">
        <w:rPr>
          <w:i/>
          <w:iCs/>
          <w:color w:val="000000"/>
        </w:rPr>
        <w:t xml:space="preserve">Id. </w:t>
      </w:r>
      <w:r w:rsidR="00DC0B5A">
        <w:rPr>
          <w:color w:val="000000"/>
        </w:rPr>
        <w:t xml:space="preserve">at p. 1108.)  </w:t>
      </w:r>
      <w:r w:rsidR="00DC0B5A" w:rsidRPr="00DC0B5A">
        <w:t xml:space="preserve">It thus refused to </w:t>
      </w:r>
      <w:r w:rsidR="00DC0B5A" w:rsidRPr="003F22A1">
        <w:t>adopt a statutory construction “</w:t>
      </w:r>
      <w:r w:rsidR="00FE7AB7" w:rsidRPr="00FE7AB7">
        <w:rPr>
          <w:rFonts w:eastAsia="Times New Roman"/>
        </w:rPr>
        <w:t xml:space="preserve">that would grant restitution for noneconomic loss to victims of lewd and lascivious acts but not to victims of </w:t>
      </w:r>
      <w:r w:rsidR="00DC0B5A" w:rsidRPr="003F22A1">
        <w:rPr>
          <w:rFonts w:eastAsia="Times New Roman"/>
        </w:rPr>
        <w:t>.</w:t>
      </w:r>
      <w:r w:rsidR="00DC0B5A" w:rsidRPr="003F22A1">
        <w:t> . .</w:t>
      </w:r>
      <w:r w:rsidR="00FE7AB7" w:rsidRPr="00FE7AB7">
        <w:rPr>
          <w:rFonts w:eastAsia="Times New Roman"/>
        </w:rPr>
        <w:t xml:space="preserve"> </w:t>
      </w:r>
      <w:r w:rsidR="00DC0B5A" w:rsidRPr="003F22A1">
        <w:rPr>
          <w:rFonts w:eastAsia="Times New Roman"/>
        </w:rPr>
        <w:t>‘m</w:t>
      </w:r>
      <w:r w:rsidR="00FE7AB7" w:rsidRPr="00FE7AB7">
        <w:rPr>
          <w:rFonts w:eastAsia="Times New Roman"/>
        </w:rPr>
        <w:t xml:space="preserve">uch more </w:t>
      </w:r>
      <w:r w:rsidR="00DC0B5A" w:rsidRPr="003F22A1">
        <w:rPr>
          <w:rFonts w:eastAsia="Times New Roman"/>
        </w:rPr>
        <w:t>serious’</w:t>
      </w:r>
      <w:r w:rsidR="00FE7AB7" w:rsidRPr="00FE7AB7">
        <w:rPr>
          <w:rFonts w:eastAsia="Times New Roman"/>
        </w:rPr>
        <w:t xml:space="preserve"> violations of the Penal Code.</w:t>
      </w:r>
      <w:r w:rsidR="00E85B36">
        <w:rPr>
          <w:rFonts w:eastAsia="Times New Roman"/>
        </w:rPr>
        <w:t>”</w:t>
      </w:r>
      <w:r w:rsidR="00002020">
        <w:rPr>
          <w:rFonts w:eastAsia="Times New Roman"/>
        </w:rPr>
        <w:t xml:space="preserve">  (</w:t>
      </w:r>
      <w:r w:rsidR="00002020">
        <w:rPr>
          <w:rFonts w:eastAsia="Times New Roman"/>
          <w:i/>
          <w:iCs/>
        </w:rPr>
        <w:t>Ibid</w:t>
      </w:r>
      <w:r w:rsidR="00002020">
        <w:rPr>
          <w:rFonts w:eastAsia="Times New Roman"/>
        </w:rPr>
        <w:t>.)</w:t>
      </w:r>
      <w:r w:rsidR="003F22A1">
        <w:rPr>
          <w:rStyle w:val="FootnoteReference"/>
        </w:rPr>
        <w:footnoteReference w:id="9"/>
      </w:r>
    </w:p>
    <w:p w14:paraId="418498C5" w14:textId="6DAA0A46" w:rsidR="00951751" w:rsidRDefault="008261E4" w:rsidP="008261E4">
      <w:pPr>
        <w:pStyle w:val="Text"/>
        <w:ind w:firstLine="0"/>
        <w:rPr>
          <w:color w:val="000000"/>
        </w:rPr>
      </w:pPr>
      <w:r>
        <w:tab/>
        <w:t xml:space="preserve">The </w:t>
      </w:r>
      <w:r>
        <w:rPr>
          <w:i/>
          <w:iCs/>
        </w:rPr>
        <w:t xml:space="preserve">McCarthy </w:t>
      </w:r>
      <w:r>
        <w:t>court finally turned to the question of whether, under the rule it had articulated, the minor victim was entitled to noneconomic restitution.  It noted that “[</w:t>
      </w:r>
      <w:r>
        <w:rPr>
          <w:rStyle w:val="ssrfcpassagedeactivated"/>
          <w:color w:val="000000"/>
          <w:bdr w:val="none" w:sz="0" w:space="0" w:color="auto" w:frame="1"/>
        </w:rPr>
        <w:t>s]</w:t>
      </w:r>
      <w:r w:rsidR="00951751">
        <w:rPr>
          <w:rStyle w:val="ssrfcpassagedeactivated"/>
          <w:color w:val="000000"/>
          <w:bdr w:val="none" w:sz="0" w:space="0" w:color="auto" w:frame="1"/>
        </w:rPr>
        <w:t>ection 288 requires the specific intent</w:t>
      </w:r>
      <w:r w:rsidR="00735B10">
        <w:rPr>
          <w:rStyle w:val="ssrfcpassagedeactivated"/>
          <w:color w:val="000000"/>
          <w:bdr w:val="none" w:sz="0" w:space="0" w:color="auto" w:frame="1"/>
        </w:rPr>
        <w:t xml:space="preserve"> </w:t>
      </w:r>
      <w:r w:rsidR="00951751">
        <w:rPr>
          <w:rStyle w:val="ssrfcpassagedeactivated"/>
          <w:color w:val="000000"/>
          <w:bdr w:val="none" w:sz="0" w:space="0" w:color="auto" w:frame="1"/>
        </w:rPr>
        <w:t>of arousing, appealing to, or gratifying the lust or passions or sexual desires of the defendant or of the child, whereas a conviction for violating section 288.5 could be based upon a course of substantial sexual conduct within the meaning of section 1203.066, subdivision (b), which requires no specific intent.</w:t>
      </w:r>
      <w:r>
        <w:rPr>
          <w:rStyle w:val="ssrfcpassagedeactivated"/>
          <w:color w:val="000000"/>
          <w:bdr w:val="none" w:sz="0" w:space="0" w:color="auto" w:frame="1"/>
        </w:rPr>
        <w:t>”</w:t>
      </w:r>
      <w:r w:rsidR="00376C6A">
        <w:rPr>
          <w:rStyle w:val="ssrfcpassagedeactivated"/>
          <w:color w:val="000000"/>
          <w:bdr w:val="none" w:sz="0" w:space="0" w:color="auto" w:frame="1"/>
        </w:rPr>
        <w:t xml:space="preserve">  (</w:t>
      </w:r>
      <w:r w:rsidR="00376C6A">
        <w:rPr>
          <w:rStyle w:val="ssrfcpassagedeactivated"/>
          <w:i/>
          <w:iCs/>
          <w:color w:val="000000"/>
          <w:bdr w:val="none" w:sz="0" w:space="0" w:color="auto" w:frame="1"/>
        </w:rPr>
        <w:t>McCarthy</w:t>
      </w:r>
      <w:r w:rsidR="00376C6A">
        <w:rPr>
          <w:rStyle w:val="ssrfcpassagedeactivated"/>
          <w:color w:val="000000"/>
          <w:bdr w:val="none" w:sz="0" w:space="0" w:color="auto" w:frame="1"/>
        </w:rPr>
        <w:t xml:space="preserve">, </w:t>
      </w:r>
      <w:r w:rsidR="00376C6A">
        <w:rPr>
          <w:rStyle w:val="ssrfcpassagedeactivated"/>
          <w:i/>
          <w:iCs/>
          <w:color w:val="000000"/>
          <w:bdr w:val="none" w:sz="0" w:space="0" w:color="auto" w:frame="1"/>
        </w:rPr>
        <w:t>supra</w:t>
      </w:r>
      <w:r w:rsidR="00376C6A">
        <w:rPr>
          <w:rStyle w:val="ssrfcpassagedeactivated"/>
          <w:color w:val="000000"/>
          <w:bdr w:val="none" w:sz="0" w:space="0" w:color="auto" w:frame="1"/>
        </w:rPr>
        <w:t>, 244 Cal.App.4th</w:t>
      </w:r>
      <w:r>
        <w:rPr>
          <w:rStyle w:val="ssrfcpassagedeactivated"/>
          <w:color w:val="000000"/>
          <w:bdr w:val="none" w:sz="0" w:space="0" w:color="auto" w:frame="1"/>
        </w:rPr>
        <w:t xml:space="preserve"> </w:t>
      </w:r>
      <w:r w:rsidR="00376C6A">
        <w:rPr>
          <w:rStyle w:val="ssrfcpassagedeactivated"/>
          <w:color w:val="000000"/>
          <w:bdr w:val="none" w:sz="0" w:space="0" w:color="auto" w:frame="1"/>
        </w:rPr>
        <w:t>at p. 1110.)  However, in the case before it, the charging document, the prosecutor’s closing argument, and the instructions all explained</w:t>
      </w:r>
      <w:r>
        <w:rPr>
          <w:rStyle w:val="ssrfcpassagedeactivated"/>
          <w:color w:val="000000"/>
          <w:bdr w:val="none" w:sz="0" w:space="0" w:color="auto" w:frame="1"/>
        </w:rPr>
        <w:t xml:space="preserve"> </w:t>
      </w:r>
      <w:r w:rsidR="00376C6A">
        <w:rPr>
          <w:rStyle w:val="ssrfcpassagedeactivated"/>
          <w:color w:val="000000"/>
          <w:bdr w:val="none" w:sz="0" w:space="0" w:color="auto" w:frame="1"/>
        </w:rPr>
        <w:t>that the section 288.5 charge was based on the commission of lewd and lascivious acts.  Moreover, the trial evidence showed the element of sexual arousal or gratification was present.  (</w:t>
      </w:r>
      <w:r w:rsidR="00376C6A">
        <w:rPr>
          <w:rStyle w:val="ssrfcpassagedeactivated"/>
          <w:i/>
          <w:iCs/>
          <w:color w:val="000000"/>
          <w:bdr w:val="none" w:sz="0" w:space="0" w:color="auto" w:frame="1"/>
        </w:rPr>
        <w:t>Ibid.</w:t>
      </w:r>
      <w:r w:rsidR="00376C6A">
        <w:rPr>
          <w:rStyle w:val="ssrfcpassagedeactivated"/>
          <w:color w:val="000000"/>
          <w:bdr w:val="none" w:sz="0" w:space="0" w:color="auto" w:frame="1"/>
        </w:rPr>
        <w:t>)</w:t>
      </w:r>
      <w:r w:rsidR="007A1B32">
        <w:rPr>
          <w:rStyle w:val="ssrfcpassagedeactivated"/>
          <w:color w:val="000000"/>
          <w:bdr w:val="none" w:sz="0" w:space="0" w:color="auto" w:frame="1"/>
        </w:rPr>
        <w:t xml:space="preserve">  </w:t>
      </w:r>
      <w:r w:rsidR="00376C6A">
        <w:rPr>
          <w:rStyle w:val="ssrfcpassagedeactivated"/>
          <w:color w:val="000000"/>
          <w:bdr w:val="none" w:sz="0" w:space="0" w:color="auto" w:frame="1"/>
        </w:rPr>
        <w:t xml:space="preserve">Under such circumstances, the </w:t>
      </w:r>
      <w:r w:rsidR="00376C6A">
        <w:rPr>
          <w:rStyle w:val="ssrfcpassagedeactivated"/>
          <w:i/>
          <w:iCs/>
          <w:color w:val="000000"/>
          <w:bdr w:val="none" w:sz="0" w:space="0" w:color="auto" w:frame="1"/>
        </w:rPr>
        <w:t>McCarthy</w:t>
      </w:r>
      <w:r w:rsidR="00376C6A">
        <w:rPr>
          <w:rStyle w:val="ssrfcpassagedeactivated"/>
          <w:color w:val="000000"/>
          <w:bdr w:val="none" w:sz="0" w:space="0" w:color="auto" w:frame="1"/>
        </w:rPr>
        <w:t xml:space="preserve"> court determined that it was “</w:t>
      </w:r>
      <w:r w:rsidR="00951751">
        <w:rPr>
          <w:color w:val="000000"/>
        </w:rPr>
        <w:t xml:space="preserve">inconceivable that the jury could have found McCarthy guilty of violating section 288.5 without also finding he possessed the specific </w:t>
      </w:r>
      <w:r w:rsidR="00376C6A">
        <w:rPr>
          <w:color w:val="000000"/>
        </w:rPr>
        <w:t>‘</w:t>
      </w:r>
      <w:r w:rsidR="00951751">
        <w:rPr>
          <w:color w:val="000000"/>
        </w:rPr>
        <w:t xml:space="preserve">intent of arousing, appealing to, or gratifying the lust, passions, or sexual desires of” himself or the victim. </w:t>
      </w:r>
      <w:r w:rsidR="00057DEE">
        <w:rPr>
          <w:color w:val="000000"/>
        </w:rPr>
        <w:t xml:space="preserve"> </w:t>
      </w:r>
      <w:r w:rsidR="00951751">
        <w:rPr>
          <w:color w:val="000000"/>
        </w:rPr>
        <w:t>(§ 288, subd. (a).)</w:t>
      </w:r>
      <w:r w:rsidR="00376C6A">
        <w:rPr>
          <w:color w:val="000000"/>
        </w:rPr>
        <w:t>”  (</w:t>
      </w:r>
      <w:r w:rsidR="00376C6A">
        <w:rPr>
          <w:i/>
          <w:iCs/>
          <w:color w:val="000000"/>
        </w:rPr>
        <w:t>McCarthy</w:t>
      </w:r>
      <w:r w:rsidR="00376C6A">
        <w:rPr>
          <w:color w:val="000000"/>
        </w:rPr>
        <w:t>, at p</w:t>
      </w:r>
      <w:r w:rsidR="00057DEE">
        <w:rPr>
          <w:color w:val="000000"/>
        </w:rPr>
        <w:t xml:space="preserve">. </w:t>
      </w:r>
      <w:r w:rsidR="00376C6A">
        <w:rPr>
          <w:color w:val="000000"/>
        </w:rPr>
        <w:t>1110.)</w:t>
      </w:r>
    </w:p>
    <w:p w14:paraId="578E0D42" w14:textId="2B5FFDEF" w:rsidR="00376C6A" w:rsidRPr="00376C6A" w:rsidRDefault="00376C6A" w:rsidP="00376C6A">
      <w:pPr>
        <w:pStyle w:val="Text"/>
        <w:numPr>
          <w:ilvl w:val="0"/>
          <w:numId w:val="12"/>
        </w:numPr>
        <w:rPr>
          <w:rFonts w:eastAsia="Times New Roman"/>
          <w:i/>
          <w:iCs/>
        </w:rPr>
      </w:pPr>
      <w:r>
        <w:rPr>
          <w:i/>
          <w:iCs/>
          <w:color w:val="000000"/>
        </w:rPr>
        <w:t xml:space="preserve">Jane Doe Three is Entitled to </w:t>
      </w:r>
      <w:r w:rsidR="007A1B32">
        <w:rPr>
          <w:i/>
          <w:iCs/>
          <w:color w:val="000000"/>
        </w:rPr>
        <w:t xml:space="preserve">Noneconomic </w:t>
      </w:r>
      <w:r>
        <w:rPr>
          <w:i/>
          <w:iCs/>
          <w:color w:val="000000"/>
        </w:rPr>
        <w:t>Restitution</w:t>
      </w:r>
    </w:p>
    <w:p w14:paraId="6A93F66F" w14:textId="36D1836D" w:rsidR="00312AB2" w:rsidRDefault="00376C6A" w:rsidP="00951751">
      <w:pPr>
        <w:pStyle w:val="Text"/>
        <w:ind w:firstLine="0"/>
        <w:rPr>
          <w:color w:val="000000"/>
        </w:rPr>
      </w:pPr>
      <w:r>
        <w:rPr>
          <w:color w:val="000000"/>
        </w:rPr>
        <w:tab/>
        <w:t>As stated above, the crimes of which Villegas was convicted involving Jane Doe Three did not include a violation of section 288</w:t>
      </w:r>
      <w:r w:rsidR="00312AB2">
        <w:rPr>
          <w:color w:val="000000"/>
        </w:rPr>
        <w:t>, which provides that “</w:t>
      </w:r>
      <w:r w:rsidR="00312AB2" w:rsidRPr="00312AB2">
        <w:rPr>
          <w:color w:val="000000"/>
        </w:rPr>
        <w:t>a person who willfully and lewdly commits any lewd or lascivious act, including any of the acts constituting other crimes provided for in Part 1, upon or with the body, or any part or member thereof, of a child who is under the age of 14 years, with the intent of arousing, appealing to, or gratifying the lust, passions, or sexual desires of that person or the child, is guilty of a felony</w:t>
      </w:r>
      <w:r>
        <w:rPr>
          <w:color w:val="000000"/>
        </w:rPr>
        <w:t>.</w:t>
      </w:r>
      <w:r w:rsidR="00312AB2">
        <w:rPr>
          <w:color w:val="000000"/>
        </w:rPr>
        <w:t>”  (§ 288, subd. (a).)</w:t>
      </w:r>
      <w:r>
        <w:rPr>
          <w:color w:val="000000"/>
        </w:rPr>
        <w:t xml:space="preserve">  </w:t>
      </w:r>
      <w:r w:rsidR="00312AB2">
        <w:rPr>
          <w:color w:val="000000"/>
        </w:rPr>
        <w:t>However, section 288 also states</w:t>
      </w:r>
      <w:proofErr w:type="gramStart"/>
      <w:r w:rsidR="00312AB2">
        <w:rPr>
          <w:color w:val="000000"/>
        </w:rPr>
        <w:t>:  “</w:t>
      </w:r>
      <w:proofErr w:type="gramEnd"/>
      <w:r w:rsidR="00312AB2" w:rsidRPr="00312AB2">
        <w:rPr>
          <w:color w:val="000000"/>
        </w:rPr>
        <w:t>A person who commits an act described in subdivision (a) with the intent described in that subdivision, and the victim is a child of 14 or 15 years, and that person is at least 10 years older than the child</w:t>
      </w:r>
      <w:r w:rsidR="00312AB2">
        <w:rPr>
          <w:color w:val="000000"/>
        </w:rPr>
        <w:t>”</w:t>
      </w:r>
      <w:r w:rsidR="00057DEE">
        <w:rPr>
          <w:color w:val="000000"/>
        </w:rPr>
        <w:t xml:space="preserve"> can be charged as a felony.</w:t>
      </w:r>
      <w:r w:rsidR="00312AB2">
        <w:rPr>
          <w:color w:val="000000"/>
        </w:rPr>
        <w:t xml:space="preserve">  (§ 288, subd. (c)(1).)  We must therefore consider whether Villegas’s conduct with respect to Jane Doe Three in this case violated subdivision (c)(1) of 288 even though he was convicted under other statutes.  We conclude that it does.</w:t>
      </w:r>
    </w:p>
    <w:p w14:paraId="3869B0A1" w14:textId="6B13416F" w:rsidR="007A1B32" w:rsidRPr="006849F8" w:rsidRDefault="00312AB2" w:rsidP="0000167D">
      <w:pPr>
        <w:pStyle w:val="Text"/>
        <w:ind w:firstLine="0"/>
        <w:rPr>
          <w:color w:val="000000"/>
        </w:rPr>
      </w:pPr>
      <w:r>
        <w:rPr>
          <w:color w:val="000000"/>
        </w:rPr>
        <w:tab/>
        <w:t xml:space="preserve"> For instance, as described above, Villegas was convicted in count nine of </w:t>
      </w:r>
      <w:r w:rsidR="00057DEE">
        <w:rPr>
          <w:color w:val="000000"/>
        </w:rPr>
        <w:t xml:space="preserve">felony </w:t>
      </w:r>
      <w:r>
        <w:rPr>
          <w:color w:val="000000"/>
        </w:rPr>
        <w:t>sexual penetration by force of a minor 14 years of age or older (§</w:t>
      </w:r>
      <w:r w:rsidR="00057DEE">
        <w:rPr>
          <w:color w:val="000000"/>
        </w:rPr>
        <w:t> </w:t>
      </w:r>
      <w:r>
        <w:rPr>
          <w:color w:val="000000"/>
        </w:rPr>
        <w:t xml:space="preserve">289) based on his conduct with </w:t>
      </w:r>
      <w:r w:rsidRPr="00D610B4">
        <w:rPr>
          <w:color w:val="000000"/>
        </w:rPr>
        <w:t>Jane Doe Three when she was 14.</w:t>
      </w:r>
      <w:r w:rsidR="00EC07D4" w:rsidRPr="00D610B4">
        <w:rPr>
          <w:color w:val="000000"/>
        </w:rPr>
        <w:t xml:space="preserve">  </w:t>
      </w:r>
      <w:r w:rsidR="00EC07D4" w:rsidRPr="00D610B4">
        <w:rPr>
          <w:color w:val="212121"/>
          <w:bdr w:val="none" w:sz="0" w:space="0" w:color="auto" w:frame="1"/>
          <w:shd w:val="clear" w:color="auto" w:fill="FFFFFF"/>
        </w:rPr>
        <w:t xml:space="preserve">The crime of sexual penetration by object is a specific-intent crime because it requires the penetration </w:t>
      </w:r>
      <w:r w:rsidR="00D610B4">
        <w:rPr>
          <w:color w:val="212121"/>
          <w:bdr w:val="none" w:sz="0" w:space="0" w:color="auto" w:frame="1"/>
          <w:shd w:val="clear" w:color="auto" w:fill="FFFFFF"/>
        </w:rPr>
        <w:t>“</w:t>
      </w:r>
      <w:r w:rsidR="00EC07D4" w:rsidRPr="00D610B4">
        <w:rPr>
          <w:color w:val="212121"/>
          <w:bdr w:val="none" w:sz="0" w:space="0" w:color="auto" w:frame="1"/>
          <w:shd w:val="clear" w:color="auto" w:fill="FFFFFF"/>
        </w:rPr>
        <w:t>to be done with the intent to gain sexual arousal or gratification or to inflict abuse on the victim.</w:t>
      </w:r>
      <w:r w:rsidR="00D610B4">
        <w:rPr>
          <w:color w:val="212121"/>
          <w:bdr w:val="none" w:sz="0" w:space="0" w:color="auto" w:frame="1"/>
          <w:shd w:val="clear" w:color="auto" w:fill="FFFFFF"/>
        </w:rPr>
        <w:t>”</w:t>
      </w:r>
      <w:r w:rsidR="00EC07D4" w:rsidRPr="00D610B4">
        <w:rPr>
          <w:color w:val="212121"/>
          <w:bdr w:val="none" w:sz="0" w:space="0" w:color="auto" w:frame="1"/>
          <w:shd w:val="clear" w:color="auto" w:fill="FFFFFF"/>
        </w:rPr>
        <w:t xml:space="preserve"> </w:t>
      </w:r>
      <w:r w:rsidR="00D610B4">
        <w:rPr>
          <w:color w:val="212121"/>
          <w:bdr w:val="none" w:sz="0" w:space="0" w:color="auto" w:frame="1"/>
          <w:shd w:val="clear" w:color="auto" w:fill="FFFFFF"/>
        </w:rPr>
        <w:t xml:space="preserve"> </w:t>
      </w:r>
      <w:r w:rsidR="00EC07D4" w:rsidRPr="00D610B4">
        <w:rPr>
          <w:color w:val="212121"/>
          <w:bdr w:val="none" w:sz="0" w:space="0" w:color="auto" w:frame="1"/>
          <w:shd w:val="clear" w:color="auto" w:fill="FFFFFF"/>
        </w:rPr>
        <w:t>(</w:t>
      </w:r>
      <w:r w:rsidR="00D610B4">
        <w:rPr>
          <w:i/>
          <w:iCs/>
          <w:color w:val="212121"/>
          <w:bdr w:val="none" w:sz="0" w:space="0" w:color="auto" w:frame="1"/>
          <w:shd w:val="clear" w:color="auto" w:fill="FFFFFF"/>
        </w:rPr>
        <w:t>People v. McCoy</w:t>
      </w:r>
      <w:r w:rsidR="00D610B4">
        <w:rPr>
          <w:color w:val="212121"/>
          <w:bdr w:val="none" w:sz="0" w:space="0" w:color="auto" w:frame="1"/>
          <w:shd w:val="clear" w:color="auto" w:fill="FFFFFF"/>
        </w:rPr>
        <w:t xml:space="preserve"> (2013) 215 Cal.App.4th 1510, 1541; accord, </w:t>
      </w:r>
      <w:r w:rsidR="00D610B4">
        <w:rPr>
          <w:i/>
          <w:iCs/>
          <w:color w:val="212121"/>
          <w:bdr w:val="none" w:sz="0" w:space="0" w:color="auto" w:frame="1"/>
          <w:shd w:val="clear" w:color="auto" w:fill="FFFFFF"/>
        </w:rPr>
        <w:t>People v. Ngo</w:t>
      </w:r>
      <w:r w:rsidR="00D610B4">
        <w:rPr>
          <w:color w:val="212121"/>
          <w:bdr w:val="none" w:sz="0" w:space="0" w:color="auto" w:frame="1"/>
          <w:shd w:val="clear" w:color="auto" w:fill="FFFFFF"/>
        </w:rPr>
        <w:t xml:space="preserve"> (2014) 225 Cal.App.4th 126, 157 [sexual penetration with a child is a specific intent crime].)</w:t>
      </w:r>
      <w:r w:rsidR="005D5ED5">
        <w:rPr>
          <w:color w:val="212121"/>
          <w:bdr w:val="none" w:sz="0" w:space="0" w:color="auto" w:frame="1"/>
          <w:shd w:val="clear" w:color="auto" w:fill="FFFFFF"/>
        </w:rPr>
        <w:t xml:space="preserve">  </w:t>
      </w:r>
      <w:r w:rsidR="007A1B32">
        <w:rPr>
          <w:color w:val="212121"/>
          <w:bdr w:val="none" w:sz="0" w:space="0" w:color="auto" w:frame="1"/>
          <w:shd w:val="clear" w:color="auto" w:fill="FFFFFF"/>
        </w:rPr>
        <w:t>And here, t</w:t>
      </w:r>
      <w:r w:rsidR="00D610B4">
        <w:rPr>
          <w:color w:val="212121"/>
          <w:bdr w:val="none" w:sz="0" w:space="0" w:color="auto" w:frame="1"/>
          <w:shd w:val="clear" w:color="auto" w:fill="FFFFFF"/>
        </w:rPr>
        <w:t>he jury was instructed that “</w:t>
      </w:r>
      <w:r w:rsidR="00D610B4">
        <w:rPr>
          <w:i/>
          <w:iCs/>
          <w:color w:val="212121"/>
          <w:bdr w:val="none" w:sz="0" w:space="0" w:color="auto" w:frame="1"/>
          <w:shd w:val="clear" w:color="auto" w:fill="FFFFFF"/>
        </w:rPr>
        <w:t>[s]exual penetration</w:t>
      </w:r>
      <w:r w:rsidR="00D610B4">
        <w:rPr>
          <w:color w:val="212121"/>
          <w:bdr w:val="none" w:sz="0" w:space="0" w:color="auto" w:frame="1"/>
          <w:shd w:val="clear" w:color="auto" w:fill="FFFFFF"/>
        </w:rPr>
        <w:t xml:space="preserve"> means penetration, however, slight, of the genital or anal opening of the other person for the purpose of sexual abuse, arousal, or gratification.” </w:t>
      </w:r>
      <w:r w:rsidR="00D610B4">
        <w:rPr>
          <w:bdr w:val="none" w:sz="0" w:space="0" w:color="auto" w:frame="1"/>
          <w:shd w:val="clear" w:color="auto" w:fill="FFFFFF"/>
        </w:rPr>
        <w:t xml:space="preserve"> </w:t>
      </w:r>
      <w:r w:rsidR="005D5ED5">
        <w:rPr>
          <w:color w:val="212121"/>
          <w:bdr w:val="none" w:sz="0" w:space="0" w:color="auto" w:frame="1"/>
          <w:shd w:val="clear" w:color="auto" w:fill="FFFFFF"/>
        </w:rPr>
        <w:t xml:space="preserve">Moreover, </w:t>
      </w:r>
      <w:r w:rsidR="00D610B4">
        <w:rPr>
          <w:color w:val="212121"/>
          <w:bdr w:val="none" w:sz="0" w:space="0" w:color="auto" w:frame="1"/>
          <w:shd w:val="clear" w:color="auto" w:fill="FFFFFF"/>
        </w:rPr>
        <w:t>there was no evidence of abuse in this case and significant evidence that Villegas’s actions were motivated by a desire for sexual arousal and gratification</w:t>
      </w:r>
      <w:r w:rsidR="005D5ED5">
        <w:rPr>
          <w:color w:val="212121"/>
          <w:bdr w:val="none" w:sz="0" w:space="0" w:color="auto" w:frame="1"/>
          <w:shd w:val="clear" w:color="auto" w:fill="FFFFFF"/>
        </w:rPr>
        <w:t xml:space="preserve">.  Under these circumstances, it is </w:t>
      </w:r>
      <w:r w:rsidR="005D5ED5">
        <w:rPr>
          <w:color w:val="000000"/>
        </w:rPr>
        <w:t xml:space="preserve">inconceivable that the jury could have found Villegas guilty of violating section 289 without also finding he possessed the specific </w:t>
      </w:r>
      <w:r w:rsidR="00E85B36">
        <w:rPr>
          <w:color w:val="000000"/>
        </w:rPr>
        <w:t>“</w:t>
      </w:r>
      <w:r w:rsidR="005D5ED5">
        <w:rPr>
          <w:color w:val="000000"/>
        </w:rPr>
        <w:t>intent of arousing, appealing to, or gratifying the lust, passions, or sexual desires of” himself or the victim as required for a conviction of section 288, subd. (c)(1).</w:t>
      </w:r>
      <w:r w:rsidR="00E85B36">
        <w:rPr>
          <w:color w:val="000000"/>
        </w:rPr>
        <w:t xml:space="preserve">  (§ 288, subd. (a).)</w:t>
      </w:r>
      <w:r w:rsidR="005D5ED5">
        <w:rPr>
          <w:color w:val="000000"/>
        </w:rPr>
        <w:t xml:space="preserve">  In sum, Villegas was convicted of felony </w:t>
      </w:r>
      <w:r w:rsidR="005D5ED5" w:rsidRPr="00057DEE">
        <w:rPr>
          <w:i/>
          <w:iCs/>
          <w:color w:val="000000"/>
        </w:rPr>
        <w:t>conduct</w:t>
      </w:r>
      <w:r w:rsidR="005D5ED5">
        <w:rPr>
          <w:color w:val="000000"/>
        </w:rPr>
        <w:t xml:space="preserve"> that violated section 288.  The restitution award to Jane Doe Three for her noneconomic losses was therefore proper.</w:t>
      </w:r>
    </w:p>
    <w:p w14:paraId="70E730AA" w14:textId="01BE7B43" w:rsidR="008F3614" w:rsidRPr="003C618B"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ab/>
      </w:r>
      <w:r w:rsidR="00FD432D">
        <w:rPr>
          <w:b/>
          <w:bCs/>
          <w:i/>
          <w:iCs/>
          <w:bdr w:val="none" w:sz="0" w:space="0" w:color="auto" w:frame="1"/>
          <w:shd w:val="clear" w:color="auto" w:fill="FFFFFF"/>
        </w:rPr>
        <w:t>2</w:t>
      </w:r>
      <w:r>
        <w:rPr>
          <w:b/>
          <w:bCs/>
          <w:i/>
          <w:iCs/>
          <w:bdr w:val="none" w:sz="0" w:space="0" w:color="auto" w:frame="1"/>
          <w:shd w:val="clear" w:color="auto" w:fill="FFFFFF"/>
        </w:rPr>
        <w:t>.</w:t>
      </w:r>
      <w:r>
        <w:rPr>
          <w:b/>
          <w:bCs/>
          <w:i/>
          <w:iCs/>
          <w:bdr w:val="none" w:sz="0" w:space="0" w:color="auto" w:frame="1"/>
          <w:shd w:val="clear" w:color="auto" w:fill="FFFFFF"/>
        </w:rPr>
        <w:tab/>
        <w:t xml:space="preserve">Awards to </w:t>
      </w:r>
      <w:r w:rsidR="00FD432D">
        <w:rPr>
          <w:b/>
          <w:bCs/>
          <w:i/>
          <w:iCs/>
          <w:bdr w:val="none" w:sz="0" w:space="0" w:color="auto" w:frame="1"/>
          <w:shd w:val="clear" w:color="auto" w:fill="FFFFFF"/>
        </w:rPr>
        <w:t xml:space="preserve">the </w:t>
      </w:r>
      <w:r>
        <w:rPr>
          <w:b/>
          <w:bCs/>
          <w:i/>
          <w:iCs/>
          <w:bdr w:val="none" w:sz="0" w:space="0" w:color="auto" w:frame="1"/>
          <w:shd w:val="clear" w:color="auto" w:fill="FFFFFF"/>
        </w:rPr>
        <w:t xml:space="preserve">Mothers of the Does </w:t>
      </w:r>
    </w:p>
    <w:p w14:paraId="72455E13" w14:textId="20430FDD" w:rsidR="00735B10" w:rsidRDefault="008F3614" w:rsidP="007B5FB8">
      <w:pPr>
        <w:pStyle w:val="Text"/>
        <w:ind w:firstLine="0"/>
        <w:rPr>
          <w:color w:val="212121"/>
          <w:shd w:val="clear" w:color="auto" w:fill="FFFFFF"/>
        </w:rPr>
      </w:pPr>
      <w:r>
        <w:rPr>
          <w:b/>
          <w:bCs/>
          <w:i/>
          <w:iCs/>
          <w:bdr w:val="none" w:sz="0" w:space="0" w:color="auto" w:frame="1"/>
          <w:shd w:val="clear" w:color="auto" w:fill="FFFFFF"/>
        </w:rPr>
        <w:tab/>
      </w:r>
      <w:r w:rsidR="0080772F">
        <w:rPr>
          <w:bdr w:val="none" w:sz="0" w:space="0" w:color="auto" w:frame="1"/>
          <w:shd w:val="clear" w:color="auto" w:fill="FFFFFF"/>
        </w:rPr>
        <w:t xml:space="preserve">Villegas next challenges the award of $25,000 to each of L.R. and </w:t>
      </w:r>
      <w:r w:rsidR="008C3F76">
        <w:rPr>
          <w:bdr w:val="none" w:sz="0" w:space="0" w:color="auto" w:frame="1"/>
          <w:shd w:val="clear" w:color="auto" w:fill="FFFFFF"/>
        </w:rPr>
        <w:t>G.V.</w:t>
      </w:r>
      <w:r w:rsidR="0080772F">
        <w:rPr>
          <w:bdr w:val="none" w:sz="0" w:space="0" w:color="auto" w:frame="1"/>
          <w:shd w:val="clear" w:color="auto" w:fill="FFFFFF"/>
        </w:rPr>
        <w:t xml:space="preserve"> (the mothers of the three Does) as beyond the scope of section 1202.4</w:t>
      </w:r>
      <w:r w:rsidR="00BE529A">
        <w:rPr>
          <w:bdr w:val="none" w:sz="0" w:space="0" w:color="auto" w:frame="1"/>
          <w:shd w:val="clear" w:color="auto" w:fill="FFFFFF"/>
        </w:rPr>
        <w:t xml:space="preserve">., claiming that the statute only </w:t>
      </w:r>
      <w:r w:rsidR="00887E24">
        <w:rPr>
          <w:bdr w:val="none" w:sz="0" w:space="0" w:color="auto" w:frame="1"/>
          <w:shd w:val="clear" w:color="auto" w:fill="FFFFFF"/>
        </w:rPr>
        <w:t>allows restitution for</w:t>
      </w:r>
      <w:r w:rsidR="00BE529A">
        <w:rPr>
          <w:bdr w:val="none" w:sz="0" w:space="0" w:color="auto" w:frame="1"/>
          <w:shd w:val="clear" w:color="auto" w:fill="FFFFFF"/>
        </w:rPr>
        <w:t xml:space="preserve"> </w:t>
      </w:r>
      <w:r w:rsidR="00887E24">
        <w:rPr>
          <w:bdr w:val="none" w:sz="0" w:space="0" w:color="auto" w:frame="1"/>
          <w:shd w:val="clear" w:color="auto" w:fill="FFFFFF"/>
        </w:rPr>
        <w:t>noneconomic losses for t</w:t>
      </w:r>
      <w:r w:rsidR="0080772F">
        <w:rPr>
          <w:bdr w:val="none" w:sz="0" w:space="0" w:color="auto" w:frame="1"/>
          <w:shd w:val="clear" w:color="auto" w:fill="FFFFFF"/>
        </w:rPr>
        <w:t>he actual victims of the enumerated offense</w:t>
      </w:r>
      <w:r w:rsidR="00BE529A">
        <w:rPr>
          <w:bdr w:val="none" w:sz="0" w:space="0" w:color="auto" w:frame="1"/>
          <w:shd w:val="clear" w:color="auto" w:fill="FFFFFF"/>
        </w:rPr>
        <w:t>s, not their relatives or other individuals</w:t>
      </w:r>
      <w:r w:rsidRPr="00D74DBA">
        <w:t>.</w:t>
      </w:r>
      <w:r>
        <w:t xml:space="preserve"> </w:t>
      </w:r>
      <w:r w:rsidR="0025565A">
        <w:t xml:space="preserve"> </w:t>
      </w:r>
      <w:r w:rsidR="00A803CB">
        <w:t>Arguing the dissent by Justice Banke, Villegas asks us to reconsider our conclusion in</w:t>
      </w:r>
      <w:r w:rsidR="0025565A">
        <w:t xml:space="preserve"> </w:t>
      </w:r>
      <w:r w:rsidR="0025565A">
        <w:rPr>
          <w:i/>
          <w:iCs/>
        </w:rPr>
        <w:t>People v. Montiel</w:t>
      </w:r>
      <w:r w:rsidR="0025565A">
        <w:t xml:space="preserve"> (2019) 35 Cal.App.5th 312 (</w:t>
      </w:r>
      <w:r w:rsidR="0025565A">
        <w:rPr>
          <w:i/>
          <w:iCs/>
        </w:rPr>
        <w:t>Montiel</w:t>
      </w:r>
      <w:r w:rsidR="0025565A">
        <w:t xml:space="preserve">). </w:t>
      </w:r>
      <w:r w:rsidR="004B2209">
        <w:t xml:space="preserve"> </w:t>
      </w:r>
      <w:r w:rsidR="00A803CB">
        <w:t xml:space="preserve">We decline to </w:t>
      </w:r>
      <w:r w:rsidR="004B2209">
        <w:t>do so</w:t>
      </w:r>
      <w:r w:rsidR="00A803CB">
        <w:t xml:space="preserve">.  While we appreciate the points raised by our learned colleague in the dissent regarding the question of whether the </w:t>
      </w:r>
      <w:r w:rsidR="00852D18">
        <w:t>L</w:t>
      </w:r>
      <w:r w:rsidR="00A803CB">
        <w:t>egislature intended to expand recover</w:t>
      </w:r>
      <w:r w:rsidR="007B5FB8">
        <w:t>y</w:t>
      </w:r>
      <w:r w:rsidR="00A803CB">
        <w:t xml:space="preserve"> of noneconomic damages to derivative victims who may not be </w:t>
      </w:r>
      <w:r w:rsidR="0083775C">
        <w:t>a</w:t>
      </w:r>
      <w:r w:rsidR="00A803CB">
        <w:t xml:space="preserve">ble to show direct economic damages, we believe those questions are best directed to the </w:t>
      </w:r>
      <w:r w:rsidR="005F01D2">
        <w:t>L</w:t>
      </w:r>
      <w:r w:rsidR="00A803CB">
        <w:t xml:space="preserve">egislature.  In addition to </w:t>
      </w:r>
      <w:r w:rsidR="00143377">
        <w:t xml:space="preserve">the </w:t>
      </w:r>
      <w:r w:rsidR="00A803CB">
        <w:t xml:space="preserve">principles of statutory construction previously discussed in </w:t>
      </w:r>
      <w:r w:rsidR="00A803CB" w:rsidRPr="00170921">
        <w:rPr>
          <w:i/>
          <w:iCs/>
        </w:rPr>
        <w:t>Montiel</w:t>
      </w:r>
      <w:r w:rsidR="0083775C">
        <w:rPr>
          <w:i/>
          <w:iCs/>
        </w:rPr>
        <w:t xml:space="preserve">, </w:t>
      </w:r>
      <w:r w:rsidR="0083775C" w:rsidRPr="00170921">
        <w:t xml:space="preserve">utilizing </w:t>
      </w:r>
      <w:r w:rsidR="0083775C">
        <w:t xml:space="preserve">the </w:t>
      </w:r>
      <w:r w:rsidR="007B5FB8">
        <w:t>proof</w:t>
      </w:r>
      <w:r w:rsidR="0083775C">
        <w:t xml:space="preserve"> of economic damages as a</w:t>
      </w:r>
      <w:r w:rsidR="0083775C" w:rsidRPr="00170921">
        <w:t xml:space="preserve"> prerequisite </w:t>
      </w:r>
      <w:r w:rsidR="0083775C">
        <w:t xml:space="preserve">for a parent to recover noneconomic damages does not make </w:t>
      </w:r>
      <w:r w:rsidR="00143377">
        <w:t xml:space="preserve">intrinsic </w:t>
      </w:r>
      <w:r w:rsidR="0083775C">
        <w:t xml:space="preserve">sense, especially in the context of </w:t>
      </w:r>
      <w:proofErr w:type="gramStart"/>
      <w:r w:rsidR="0083775C">
        <w:t>a</w:t>
      </w:r>
      <w:r w:rsidR="004B2209">
        <w:t xml:space="preserve">n </w:t>
      </w:r>
      <w:r w:rsidR="0083775C">
        <w:t>economically disadvantaged</w:t>
      </w:r>
      <w:proofErr w:type="gramEnd"/>
      <w:r w:rsidR="0083775C">
        <w:t xml:space="preserve"> individual as in this case.  Our role is to construe the statute as written.  </w:t>
      </w:r>
      <w:r w:rsidR="00143377">
        <w:t>(</w:t>
      </w:r>
      <w:r w:rsidR="000A06EE">
        <w:rPr>
          <w:i/>
          <w:iCs/>
        </w:rPr>
        <w:t>Montiel</w:t>
      </w:r>
      <w:r w:rsidR="000A06EE">
        <w:t xml:space="preserve">, </w:t>
      </w:r>
      <w:r w:rsidR="000A06EE">
        <w:rPr>
          <w:i/>
          <w:iCs/>
        </w:rPr>
        <w:t>supra</w:t>
      </w:r>
      <w:r w:rsidR="000A06EE">
        <w:t>, 35 Cal.App.5th at p.</w:t>
      </w:r>
      <w:r w:rsidR="00774DED">
        <w:t> </w:t>
      </w:r>
      <w:r w:rsidR="000A06EE">
        <w:t>3</w:t>
      </w:r>
      <w:r w:rsidR="00143377">
        <w:t xml:space="preserve">19 [courts will not interpret away clear language in favor of an ambiguity that does not exist]; see also </w:t>
      </w:r>
      <w:r w:rsidR="00143377">
        <w:rPr>
          <w:i/>
          <w:iCs/>
        </w:rPr>
        <w:t>A.H. v. Superior Court</w:t>
      </w:r>
      <w:r w:rsidR="00143377">
        <w:t xml:space="preserve"> (2013) 219 Cal.App.</w:t>
      </w:r>
      <w:r w:rsidR="00B1485D">
        <w:t>4th</w:t>
      </w:r>
      <w:r w:rsidR="00143377">
        <w:t xml:space="preserve"> </w:t>
      </w:r>
      <w:r w:rsidR="00B1485D">
        <w:t xml:space="preserve">1379, </w:t>
      </w:r>
      <w:r w:rsidR="00143377">
        <w:t xml:space="preserve">1386 [generally we presume the Legislature meant what it said].)  </w:t>
      </w:r>
      <w:r w:rsidR="0083775C">
        <w:t>As written, the statutory sch</w:t>
      </w:r>
      <w:r w:rsidR="007B5FB8">
        <w:t>e</w:t>
      </w:r>
      <w:r w:rsidR="0083775C">
        <w:t>me allows the award of noneconomic damages to derivative victims of childhood sexual abuse with the understanding that the trial court will act as the gatekeeper</w:t>
      </w:r>
      <w:r w:rsidR="00852D18">
        <w:t>.</w:t>
      </w:r>
      <w:r w:rsidR="0083775C">
        <w:rPr>
          <w:rStyle w:val="FootnoteReference"/>
        </w:rPr>
        <w:footnoteReference w:id="10"/>
      </w:r>
      <w:r w:rsidR="000A06EE">
        <w:t xml:space="preserve">  Moreover, as we stated in </w:t>
      </w:r>
      <w:r w:rsidR="000A06EE">
        <w:rPr>
          <w:i/>
          <w:iCs/>
        </w:rPr>
        <w:t>Montiel</w:t>
      </w:r>
      <w:r w:rsidR="000A06EE">
        <w:t xml:space="preserve">, </w:t>
      </w:r>
      <w:r w:rsidR="00143377">
        <w:t xml:space="preserve">even if we were to resort to extrinsic aids, </w:t>
      </w:r>
      <w:r w:rsidR="000A06EE">
        <w:t>n</w:t>
      </w:r>
      <w:r w:rsidR="000A06EE" w:rsidRPr="000A06EE">
        <w:t>othing</w:t>
      </w:r>
      <w:r w:rsidR="000A06EE">
        <w:t xml:space="preserve"> in the legislative history evinces any legislative intent to preclude parents of children who are sexually abused from being awarded restitution for their noneconomic losses, which the statute’s plain language treats as a subset of economic damages for restitution purposes.  (</w:t>
      </w:r>
      <w:r w:rsidR="000A06EE">
        <w:rPr>
          <w:i/>
          <w:iCs/>
        </w:rPr>
        <w:t>Montiel</w:t>
      </w:r>
      <w:r w:rsidR="000A06EE">
        <w:t>, p. 323.)</w:t>
      </w:r>
    </w:p>
    <w:p w14:paraId="064147DA" w14:textId="6A36EA59" w:rsidR="00C028B5" w:rsidRPr="00B073E5" w:rsidRDefault="00735B10" w:rsidP="007B5FB8">
      <w:pPr>
        <w:pStyle w:val="Text"/>
        <w:ind w:firstLine="0"/>
        <w:rPr>
          <w:bdr w:val="none" w:sz="0" w:space="0" w:color="auto" w:frame="1"/>
          <w:shd w:val="clear" w:color="auto" w:fill="FFFFFF"/>
        </w:rPr>
      </w:pPr>
      <w:r>
        <w:rPr>
          <w:color w:val="212121"/>
          <w:shd w:val="clear" w:color="auto" w:fill="FFFFFF"/>
        </w:rPr>
        <w:tab/>
      </w:r>
      <w:r w:rsidR="00A722F2">
        <w:rPr>
          <w:rFonts w:eastAsia="Times New Roman"/>
          <w:color w:val="212121"/>
        </w:rPr>
        <w:t xml:space="preserve">We thus follow </w:t>
      </w:r>
      <w:r w:rsidR="00A722F2">
        <w:rPr>
          <w:rFonts w:eastAsia="Times New Roman"/>
          <w:i/>
          <w:iCs/>
          <w:color w:val="212121"/>
        </w:rPr>
        <w:t>Montiel</w:t>
      </w:r>
      <w:r w:rsidR="00A722F2">
        <w:rPr>
          <w:rFonts w:eastAsia="Times New Roman"/>
          <w:color w:val="212121"/>
        </w:rPr>
        <w:t xml:space="preserve"> and see no error in the award of noneconomic damages to the two mothers in this case.  </w:t>
      </w:r>
      <w:r w:rsidR="006C18B9">
        <w:rPr>
          <w:rFonts w:eastAsia="Times New Roman"/>
          <w:color w:val="212121"/>
        </w:rPr>
        <w:t xml:space="preserve"> </w:t>
      </w:r>
      <w:r w:rsidR="00EC318E">
        <w:rPr>
          <w:rFonts w:eastAsia="Times New Roman"/>
          <w:color w:val="212121"/>
        </w:rPr>
        <w:t xml:space="preserve">  </w:t>
      </w:r>
      <w:r w:rsidR="00840B30">
        <w:rPr>
          <w:rFonts w:eastAsia="Times New Roman"/>
          <w:color w:val="212121"/>
        </w:rPr>
        <w:t xml:space="preserve"> </w:t>
      </w:r>
    </w:p>
    <w:p w14:paraId="36997523" w14:textId="12D92395" w:rsidR="008F3614" w:rsidRPr="003C618B" w:rsidRDefault="008F3614" w:rsidP="008F3614">
      <w:pPr>
        <w:pStyle w:val="Text"/>
        <w:ind w:firstLine="0"/>
        <w:rPr>
          <w:b/>
          <w:bCs/>
          <w:i/>
          <w:iCs/>
          <w:bdr w:val="none" w:sz="0" w:space="0" w:color="auto" w:frame="1"/>
          <w:shd w:val="clear" w:color="auto" w:fill="FFFFFF"/>
        </w:rPr>
      </w:pPr>
      <w:r>
        <w:rPr>
          <w:b/>
          <w:bCs/>
          <w:i/>
          <w:iCs/>
          <w:bdr w:val="none" w:sz="0" w:space="0" w:color="auto" w:frame="1"/>
          <w:shd w:val="clear" w:color="auto" w:fill="FFFFFF"/>
        </w:rPr>
        <w:t>D.</w:t>
      </w:r>
      <w:r>
        <w:rPr>
          <w:b/>
          <w:bCs/>
          <w:i/>
          <w:iCs/>
          <w:bdr w:val="none" w:sz="0" w:space="0" w:color="auto" w:frame="1"/>
          <w:shd w:val="clear" w:color="auto" w:fill="FFFFFF"/>
        </w:rPr>
        <w:tab/>
        <w:t xml:space="preserve">Fines and Fees </w:t>
      </w:r>
    </w:p>
    <w:p w14:paraId="382F9F19" w14:textId="5F53F419" w:rsidR="008F3614" w:rsidRDefault="008F3614" w:rsidP="008F3614">
      <w:pPr>
        <w:pStyle w:val="Text"/>
        <w:ind w:firstLine="0"/>
        <w:rPr>
          <w:bdr w:val="none" w:sz="0" w:space="0" w:color="auto" w:frame="1"/>
          <w:shd w:val="clear" w:color="auto" w:fill="FFFFFF"/>
        </w:rPr>
      </w:pPr>
      <w:r>
        <w:rPr>
          <w:b/>
          <w:bCs/>
          <w:i/>
          <w:iCs/>
          <w:bdr w:val="none" w:sz="0" w:space="0" w:color="auto" w:frame="1"/>
          <w:shd w:val="clear" w:color="auto" w:fill="FFFFFF"/>
        </w:rPr>
        <w:tab/>
      </w:r>
      <w:r w:rsidR="00AB668F" w:rsidRPr="00AB668F">
        <w:rPr>
          <w:bdr w:val="none" w:sz="0" w:space="0" w:color="auto" w:frame="1"/>
          <w:shd w:val="clear" w:color="auto" w:fill="FFFFFF"/>
        </w:rPr>
        <w:t xml:space="preserve">Finally, both </w:t>
      </w:r>
      <w:r w:rsidR="00AB668F">
        <w:rPr>
          <w:bdr w:val="none" w:sz="0" w:space="0" w:color="auto" w:frame="1"/>
          <w:shd w:val="clear" w:color="auto" w:fill="FFFFFF"/>
        </w:rPr>
        <w:t xml:space="preserve">Villegas and the Attorney General raise issues regarding the fines and fees imposed in this case, each conceding that the other is correct. </w:t>
      </w:r>
      <w:r w:rsidRPr="00D74DBA">
        <w:rPr>
          <w:bdr w:val="none" w:sz="0" w:space="0" w:color="auto" w:frame="1"/>
          <w:shd w:val="clear" w:color="auto" w:fill="FFFFFF"/>
        </w:rPr>
        <w:t xml:space="preserve"> </w:t>
      </w:r>
      <w:r w:rsidR="006737C1">
        <w:rPr>
          <w:bdr w:val="none" w:sz="0" w:space="0" w:color="auto" w:frame="1"/>
          <w:shd w:val="clear" w:color="auto" w:fill="FFFFFF"/>
        </w:rPr>
        <w:t>We agree</w:t>
      </w:r>
      <w:r w:rsidR="0045539B">
        <w:rPr>
          <w:bdr w:val="none" w:sz="0" w:space="0" w:color="auto" w:frame="1"/>
          <w:shd w:val="clear" w:color="auto" w:fill="FFFFFF"/>
        </w:rPr>
        <w:t xml:space="preserve"> with both parties</w:t>
      </w:r>
      <w:r w:rsidR="006737C1">
        <w:rPr>
          <w:bdr w:val="none" w:sz="0" w:space="0" w:color="auto" w:frame="1"/>
          <w:shd w:val="clear" w:color="auto" w:fill="FFFFFF"/>
        </w:rPr>
        <w:t xml:space="preserve">.  We will therefore reduce </w:t>
      </w:r>
      <w:r w:rsidR="0045539B">
        <w:rPr>
          <w:bdr w:val="none" w:sz="0" w:space="0" w:color="auto" w:frame="1"/>
          <w:shd w:val="clear" w:color="auto" w:fill="FFFFFF"/>
        </w:rPr>
        <w:t>the sex offender fine imposed pursuant to section 290.3, subdivision (a) from $4</w:t>
      </w:r>
      <w:r w:rsidR="00735B10">
        <w:rPr>
          <w:bdr w:val="none" w:sz="0" w:space="0" w:color="auto" w:frame="1"/>
          <w:shd w:val="clear" w:color="auto" w:fill="FFFFFF"/>
        </w:rPr>
        <w:t>,</w:t>
      </w:r>
      <w:r w:rsidR="0045539B">
        <w:rPr>
          <w:bdr w:val="none" w:sz="0" w:space="0" w:color="auto" w:frame="1"/>
          <w:shd w:val="clear" w:color="auto" w:fill="FFFFFF"/>
        </w:rPr>
        <w:t>800 to $4</w:t>
      </w:r>
      <w:r w:rsidR="00735B10">
        <w:rPr>
          <w:bdr w:val="none" w:sz="0" w:space="0" w:color="auto" w:frame="1"/>
          <w:shd w:val="clear" w:color="auto" w:fill="FFFFFF"/>
        </w:rPr>
        <w:t>,</w:t>
      </w:r>
      <w:r w:rsidR="0045539B">
        <w:rPr>
          <w:bdr w:val="none" w:sz="0" w:space="0" w:color="auto" w:frame="1"/>
          <w:shd w:val="clear" w:color="auto" w:fill="FFFFFF"/>
        </w:rPr>
        <w:t>300 and impose $12,320 in additional penalty assessments as detailed below.</w:t>
      </w:r>
      <w:r w:rsidR="0045539B">
        <w:rPr>
          <w:rStyle w:val="FootnoteReference"/>
          <w:bdr w:val="none" w:sz="0" w:space="0" w:color="auto" w:frame="1"/>
          <w:shd w:val="clear" w:color="auto" w:fill="FFFFFF"/>
        </w:rPr>
        <w:footnoteReference w:id="11"/>
      </w:r>
    </w:p>
    <w:p w14:paraId="4911A216" w14:textId="63BF78C4" w:rsidR="0045539B" w:rsidRPr="0012608A" w:rsidRDefault="0045539B" w:rsidP="008F3614">
      <w:pPr>
        <w:pStyle w:val="Text"/>
        <w:ind w:firstLine="0"/>
        <w:rPr>
          <w:bdr w:val="none" w:sz="0" w:space="0" w:color="auto" w:frame="1"/>
          <w:shd w:val="clear" w:color="auto" w:fill="FFFFFF"/>
        </w:rPr>
      </w:pPr>
      <w:r>
        <w:rPr>
          <w:rFonts w:ascii="Lato" w:hAnsi="Lato"/>
          <w:color w:val="212121"/>
          <w:sz w:val="27"/>
          <w:szCs w:val="27"/>
          <w:shd w:val="clear" w:color="auto" w:fill="FFFFFF"/>
        </w:rPr>
        <w:tab/>
      </w:r>
      <w:r w:rsidR="0012608A" w:rsidRPr="0012608A">
        <w:rPr>
          <w:color w:val="212121"/>
          <w:shd w:val="clear" w:color="auto" w:fill="FFFFFF"/>
        </w:rPr>
        <w:t>Section 290.3, subdivision (a) provides:  “</w:t>
      </w:r>
      <w:r w:rsidRPr="0012608A">
        <w:rPr>
          <w:color w:val="212121"/>
          <w:shd w:val="clear" w:color="auto" w:fill="FFFFFF"/>
        </w:rPr>
        <w:t>Every person who is convicted of any offense specified in subdivision (c) of</w:t>
      </w:r>
      <w:r w:rsidR="00735B10">
        <w:rPr>
          <w:color w:val="212121"/>
          <w:shd w:val="clear" w:color="auto" w:fill="FFFFFF"/>
        </w:rPr>
        <w:t xml:space="preserve"> </w:t>
      </w:r>
      <w:r w:rsidR="0012608A">
        <w:rPr>
          <w:color w:val="212121"/>
          <w:shd w:val="clear" w:color="auto" w:fill="FFFFFF"/>
        </w:rPr>
        <w:t>Section 290</w:t>
      </w:r>
      <w:r w:rsidR="00735B10">
        <w:rPr>
          <w:color w:val="212121"/>
          <w:shd w:val="clear" w:color="auto" w:fill="FFFFFF"/>
        </w:rPr>
        <w:t xml:space="preserve"> </w:t>
      </w:r>
      <w:r w:rsidRPr="0012608A">
        <w:rPr>
          <w:color w:val="212121"/>
          <w:shd w:val="clear" w:color="auto" w:fill="FFFFFF"/>
        </w:rPr>
        <w:t>shall, in addition to any imprisonment or fine, or both, imposed for commission of the underlying offense, be punished by a fine of three hundred dollars ($300) upon the first conviction or a fine of five hundred dollars ($500) upon the second and each subsequent conviction, unless the court determines that the defendant does not have the ability to pay the fine.</w:t>
      </w:r>
      <w:r w:rsidR="0012608A" w:rsidRPr="0012608A">
        <w:rPr>
          <w:color w:val="212121"/>
          <w:shd w:val="clear" w:color="auto" w:fill="FFFFFF"/>
        </w:rPr>
        <w:t>”</w:t>
      </w:r>
      <w:r w:rsidR="0012608A">
        <w:rPr>
          <w:color w:val="212121"/>
          <w:shd w:val="clear" w:color="auto" w:fill="FFFFFF"/>
        </w:rPr>
        <w:t xml:space="preserve">  Here, Villegas was convicted of 10 crimes, nine of which were sexual offenses set forth in section 290, subdivision (c)</w:t>
      </w:r>
      <w:r w:rsidR="001F3306">
        <w:rPr>
          <w:color w:val="212121"/>
          <w:shd w:val="clear" w:color="auto" w:fill="FFFFFF"/>
        </w:rPr>
        <w:t xml:space="preserve"> as requiring registration as a sex offender</w:t>
      </w:r>
      <w:r w:rsidR="0012608A">
        <w:rPr>
          <w:color w:val="212121"/>
          <w:shd w:val="clear" w:color="auto" w:fill="FFFFFF"/>
        </w:rPr>
        <w:t>.</w:t>
      </w:r>
      <w:r w:rsidR="001F3306">
        <w:rPr>
          <w:color w:val="212121"/>
          <w:shd w:val="clear" w:color="auto" w:fill="FFFFFF"/>
        </w:rPr>
        <w:t xml:space="preserve">  (See § 290, subd. (c) [</w:t>
      </w:r>
      <w:r w:rsidR="00471CC7">
        <w:rPr>
          <w:color w:val="212121"/>
          <w:shd w:val="clear" w:color="auto" w:fill="FFFFFF"/>
        </w:rPr>
        <w:t>listing, among others, §§ 261, 288, 289, and former 288a].)</w:t>
      </w:r>
      <w:r w:rsidR="001F3306">
        <w:rPr>
          <w:color w:val="212121"/>
          <w:shd w:val="clear" w:color="auto" w:fill="FFFFFF"/>
        </w:rPr>
        <w:t xml:space="preserve">  However, dissuading a witness from reporting a crime (§ </w:t>
      </w:r>
      <w:r w:rsidR="00471CC7">
        <w:rPr>
          <w:color w:val="212121"/>
          <w:shd w:val="clear" w:color="auto" w:fill="FFFFFF"/>
        </w:rPr>
        <w:t xml:space="preserve">136.1) </w:t>
      </w:r>
      <w:r w:rsidR="001F3306">
        <w:rPr>
          <w:color w:val="212121"/>
          <w:shd w:val="clear" w:color="auto" w:fill="FFFFFF"/>
        </w:rPr>
        <w:t>is not an offense set forth in the registration statute.</w:t>
      </w:r>
      <w:r w:rsidR="00471CC7">
        <w:rPr>
          <w:color w:val="212121"/>
          <w:shd w:val="clear" w:color="auto" w:fill="FFFFFF"/>
        </w:rPr>
        <w:t xml:space="preserve">  Thus, Villegas should have been fined $300 plus $4</w:t>
      </w:r>
      <w:r w:rsidR="00735B10">
        <w:rPr>
          <w:color w:val="212121"/>
          <w:shd w:val="clear" w:color="auto" w:fill="FFFFFF"/>
        </w:rPr>
        <w:t>,</w:t>
      </w:r>
      <w:r w:rsidR="00471CC7">
        <w:rPr>
          <w:color w:val="212121"/>
          <w:shd w:val="clear" w:color="auto" w:fill="FFFFFF"/>
        </w:rPr>
        <w:t>000 (8 x $500) under section 290.3, subdivision (a), for a total of $4</w:t>
      </w:r>
      <w:r w:rsidR="00735B10">
        <w:rPr>
          <w:color w:val="212121"/>
          <w:shd w:val="clear" w:color="auto" w:fill="FFFFFF"/>
        </w:rPr>
        <w:t>,</w:t>
      </w:r>
      <w:r w:rsidR="00471CC7">
        <w:rPr>
          <w:color w:val="212121"/>
          <w:shd w:val="clear" w:color="auto" w:fill="FFFFFF"/>
        </w:rPr>
        <w:t>300, not $4</w:t>
      </w:r>
      <w:r w:rsidR="00735B10">
        <w:rPr>
          <w:color w:val="212121"/>
          <w:shd w:val="clear" w:color="auto" w:fill="FFFFFF"/>
        </w:rPr>
        <w:t>,</w:t>
      </w:r>
      <w:r w:rsidR="00471CC7">
        <w:rPr>
          <w:color w:val="212121"/>
          <w:shd w:val="clear" w:color="auto" w:fill="FFFFFF"/>
        </w:rPr>
        <w:t xml:space="preserve">800. </w:t>
      </w:r>
      <w:r w:rsidR="001F3306">
        <w:rPr>
          <w:color w:val="212121"/>
          <w:shd w:val="clear" w:color="auto" w:fill="FFFFFF"/>
        </w:rPr>
        <w:t xml:space="preserve">   </w:t>
      </w:r>
    </w:p>
    <w:p w14:paraId="167EC59D" w14:textId="73D97861" w:rsidR="0045539B" w:rsidRPr="00762FDF" w:rsidRDefault="00471CC7" w:rsidP="008F3614">
      <w:pPr>
        <w:pStyle w:val="Text"/>
        <w:ind w:firstLine="0"/>
      </w:pPr>
      <w:r>
        <w:rPr>
          <w:bdr w:val="none" w:sz="0" w:space="0" w:color="auto" w:frame="1"/>
          <w:shd w:val="clear" w:color="auto" w:fill="FFFFFF"/>
        </w:rPr>
        <w:tab/>
      </w:r>
      <w:r w:rsidR="006849F8">
        <w:rPr>
          <w:bdr w:val="none" w:sz="0" w:space="0" w:color="auto" w:frame="1"/>
          <w:shd w:val="clear" w:color="auto" w:fill="FFFFFF"/>
        </w:rPr>
        <w:t xml:space="preserve">Moreover, once a sex offender fine is imposed pursuant to subdivision (a) of section 290.3, a trial court must also </w:t>
      </w:r>
      <w:r w:rsidR="002D4FA8">
        <w:rPr>
          <w:bdr w:val="none" w:sz="0" w:space="0" w:color="auto" w:frame="1"/>
          <w:shd w:val="clear" w:color="auto" w:fill="FFFFFF"/>
        </w:rPr>
        <w:t>impose</w:t>
      </w:r>
      <w:r w:rsidR="006849F8">
        <w:rPr>
          <w:bdr w:val="none" w:sz="0" w:space="0" w:color="auto" w:frame="1"/>
          <w:shd w:val="clear" w:color="auto" w:fill="FFFFFF"/>
        </w:rPr>
        <w:t xml:space="preserve"> penalty assessments pursuant to section 1464 and Government Code section 76000, subdivision (a).  (See</w:t>
      </w:r>
      <w:r w:rsidR="002D4FA8">
        <w:rPr>
          <w:bdr w:val="none" w:sz="0" w:space="0" w:color="auto" w:frame="1"/>
          <w:shd w:val="clear" w:color="auto" w:fill="FFFFFF"/>
        </w:rPr>
        <w:t xml:space="preserve"> </w:t>
      </w:r>
      <w:r w:rsidR="002D4FA8">
        <w:rPr>
          <w:i/>
          <w:iCs/>
          <w:bdr w:val="none" w:sz="0" w:space="0" w:color="auto" w:frame="1"/>
          <w:shd w:val="clear" w:color="auto" w:fill="FFFFFF"/>
        </w:rPr>
        <w:t>Stewart</w:t>
      </w:r>
      <w:r w:rsidR="002D4FA8">
        <w:rPr>
          <w:bdr w:val="none" w:sz="0" w:space="0" w:color="auto" w:frame="1"/>
          <w:shd w:val="clear" w:color="auto" w:fill="FFFFFF"/>
        </w:rPr>
        <w:t xml:space="preserve">, </w:t>
      </w:r>
      <w:r w:rsidR="002D4FA8">
        <w:rPr>
          <w:i/>
          <w:iCs/>
          <w:bdr w:val="none" w:sz="0" w:space="0" w:color="auto" w:frame="1"/>
          <w:shd w:val="clear" w:color="auto" w:fill="FFFFFF"/>
        </w:rPr>
        <w:t>supra</w:t>
      </w:r>
      <w:r w:rsidR="002D4FA8">
        <w:rPr>
          <w:bdr w:val="none" w:sz="0" w:space="0" w:color="auto" w:frame="1"/>
          <w:shd w:val="clear" w:color="auto" w:fill="FFFFFF"/>
        </w:rPr>
        <w:t>, 117 Cal.App.4th</w:t>
      </w:r>
      <w:r w:rsidR="006849F8">
        <w:rPr>
          <w:bdr w:val="none" w:sz="0" w:space="0" w:color="auto" w:frame="1"/>
          <w:shd w:val="clear" w:color="auto" w:fill="FFFFFF"/>
        </w:rPr>
        <w:t xml:space="preserve"> </w:t>
      </w:r>
      <w:r w:rsidR="002D4FA8">
        <w:rPr>
          <w:bdr w:val="none" w:sz="0" w:space="0" w:color="auto" w:frame="1"/>
          <w:shd w:val="clear" w:color="auto" w:fill="FFFFFF"/>
        </w:rPr>
        <w:t xml:space="preserve">at p. 911.)  </w:t>
      </w:r>
      <w:r w:rsidR="005F3502">
        <w:rPr>
          <w:bdr w:val="none" w:sz="0" w:space="0" w:color="auto" w:frame="1"/>
          <w:shd w:val="clear" w:color="auto" w:fill="FFFFFF"/>
        </w:rPr>
        <w:t>Section 1464</w:t>
      </w:r>
      <w:r w:rsidR="005559C1">
        <w:rPr>
          <w:bdr w:val="none" w:sz="0" w:space="0" w:color="auto" w:frame="1"/>
          <w:shd w:val="clear" w:color="auto" w:fill="FFFFFF"/>
        </w:rPr>
        <w:t>, subdivision (a)(1)</w:t>
      </w:r>
      <w:r w:rsidR="005F3502">
        <w:rPr>
          <w:bdr w:val="none" w:sz="0" w:space="0" w:color="auto" w:frame="1"/>
          <w:shd w:val="clear" w:color="auto" w:fill="FFFFFF"/>
        </w:rPr>
        <w:t xml:space="preserve"> provides that </w:t>
      </w:r>
      <w:r w:rsidR="005559C1">
        <w:rPr>
          <w:bdr w:val="none" w:sz="0" w:space="0" w:color="auto" w:frame="1"/>
          <w:shd w:val="clear" w:color="auto" w:fill="FFFFFF"/>
        </w:rPr>
        <w:t>“</w:t>
      </w:r>
      <w:r w:rsidR="005559C1" w:rsidRPr="005559C1">
        <w:rPr>
          <w:bdr w:val="none" w:sz="0" w:space="0" w:color="auto" w:frame="1"/>
          <w:shd w:val="clear" w:color="auto" w:fill="FFFFFF"/>
        </w:rPr>
        <w:t xml:space="preserve">there shall be levied a state penalty in the amount of ten dollars ($10) for every ten dollars ($10), or part of ten dollars ($10), </w:t>
      </w:r>
      <w:r w:rsidR="005559C1" w:rsidRPr="00762FDF">
        <w:rPr>
          <w:bdr w:val="none" w:sz="0" w:space="0" w:color="auto" w:frame="1"/>
          <w:shd w:val="clear" w:color="auto" w:fill="FFFFFF"/>
        </w:rPr>
        <w:t>upon every fine, penalty, or forfeiture imposed and collected by the courts for all criminal offenses </w:t>
      </w:r>
      <w:proofErr w:type="gramStart"/>
      <w:r w:rsidR="005559C1" w:rsidRPr="00762FDF">
        <w:rPr>
          <w:bdr w:val="none" w:sz="0" w:space="0" w:color="auto" w:frame="1"/>
          <w:shd w:val="clear" w:color="auto" w:fill="FFFFFF"/>
        </w:rPr>
        <w:t>. . .</w:t>
      </w:r>
      <w:r w:rsidR="005559C1" w:rsidRPr="00762FDF">
        <w:t> .</w:t>
      </w:r>
      <w:proofErr w:type="gramEnd"/>
      <w:r w:rsidR="005559C1" w:rsidRPr="00762FDF">
        <w:t>”  Thus, an additional penalty assessment of $4</w:t>
      </w:r>
      <w:r w:rsidR="00735B10">
        <w:t>,</w:t>
      </w:r>
      <w:r w:rsidR="005559C1" w:rsidRPr="00762FDF">
        <w:t>300 must be assessed based on the amount of the sex offender fine.  Similarly,</w:t>
      </w:r>
      <w:r w:rsidR="00827D3E" w:rsidRPr="00762FDF">
        <w:t xml:space="preserve"> pursuant to subdivision (a) of Government Code section 76000</w:t>
      </w:r>
      <w:r w:rsidR="00FB7BB8">
        <w:t>, subdivision (a)(1)</w:t>
      </w:r>
      <w:proofErr w:type="gramStart"/>
      <w:r w:rsidR="00827D3E" w:rsidRPr="00762FDF">
        <w:t xml:space="preserve">:  </w:t>
      </w:r>
      <w:r w:rsidR="00762FDF" w:rsidRPr="00762FDF">
        <w:t>“</w:t>
      </w:r>
      <w:proofErr w:type="gramEnd"/>
      <w:r w:rsidR="00762FDF" w:rsidRPr="00762FDF">
        <w:t>[T]</w:t>
      </w:r>
      <w:r w:rsidR="00762FDF" w:rsidRPr="00762FDF">
        <w:rPr>
          <w:color w:val="212121"/>
          <w:shd w:val="clear" w:color="auto" w:fill="F9F9F9"/>
        </w:rPr>
        <w:t>here shall be levied an additional penalty in the amount of seven dollars ($7) for every ten dollars ($10), or part of ten dollars ($10), upon every fine, penalty, or forfeiture imposed and collected by the courts for all criminal offenses</w:t>
      </w:r>
      <w:r w:rsidR="00762FDF">
        <w:rPr>
          <w:color w:val="212121"/>
          <w:shd w:val="clear" w:color="auto" w:fill="F9F9F9"/>
        </w:rPr>
        <w:t>.”  In this case, that assessment amounts to $3</w:t>
      </w:r>
      <w:r w:rsidR="00735B10">
        <w:rPr>
          <w:color w:val="212121"/>
          <w:shd w:val="clear" w:color="auto" w:fill="F9F9F9"/>
        </w:rPr>
        <w:t>,</w:t>
      </w:r>
      <w:r w:rsidR="00762FDF">
        <w:rPr>
          <w:color w:val="212121"/>
          <w:shd w:val="clear" w:color="auto" w:fill="F9F9F9"/>
        </w:rPr>
        <w:t>010.</w:t>
      </w:r>
      <w:r w:rsidR="005559C1" w:rsidRPr="00762FDF">
        <w:t xml:space="preserve"> </w:t>
      </w:r>
    </w:p>
    <w:p w14:paraId="5A66FA66" w14:textId="2F294D2B" w:rsidR="00DD15B4" w:rsidRPr="00DD15B4" w:rsidRDefault="008F3614" w:rsidP="008F3614">
      <w:pPr>
        <w:pStyle w:val="Text"/>
        <w:ind w:firstLine="0"/>
        <w:rPr>
          <w:bdr w:val="none" w:sz="0" w:space="0" w:color="auto" w:frame="1"/>
          <w:shd w:val="clear" w:color="auto" w:fill="FFFFFF"/>
        </w:rPr>
      </w:pPr>
      <w:r w:rsidRPr="00762FDF">
        <w:rPr>
          <w:b/>
          <w:bCs/>
          <w:i/>
          <w:iCs/>
          <w:bdr w:val="none" w:sz="0" w:space="0" w:color="auto" w:frame="1"/>
          <w:shd w:val="clear" w:color="auto" w:fill="FFFFFF"/>
        </w:rPr>
        <w:tab/>
      </w:r>
      <w:r w:rsidRPr="00762FDF">
        <w:rPr>
          <w:bdr w:val="none" w:sz="0" w:space="0" w:color="auto" w:frame="1"/>
          <w:shd w:val="clear" w:color="auto" w:fill="FFFFFF"/>
        </w:rPr>
        <w:t xml:space="preserve"> </w:t>
      </w:r>
      <w:r w:rsidR="00762FDF" w:rsidRPr="00762FDF">
        <w:rPr>
          <w:bdr w:val="none" w:sz="0" w:space="0" w:color="auto" w:frame="1"/>
          <w:shd w:val="clear" w:color="auto" w:fill="FFFFFF"/>
        </w:rPr>
        <w:t xml:space="preserve">Additional mandatory penalty assessments based on imposition of the sex offender fine that were not assessed by the trial court include: </w:t>
      </w:r>
      <w:bookmarkStart w:id="16" w:name="_Hlk148441595"/>
      <w:r w:rsidR="00D64BAB">
        <w:rPr>
          <w:bdr w:val="none" w:sz="0" w:space="0" w:color="auto" w:frame="1"/>
          <w:shd w:val="clear" w:color="auto" w:fill="FFFFFF"/>
        </w:rPr>
        <w:t xml:space="preserve">(1) </w:t>
      </w:r>
      <w:r w:rsidR="00762FDF" w:rsidRPr="00762FDF">
        <w:rPr>
          <w:bdr w:val="none" w:sz="0" w:space="0" w:color="auto" w:frame="1"/>
          <w:shd w:val="clear" w:color="auto" w:fill="FFFFFF"/>
        </w:rPr>
        <w:t>$860 (§ 1465.7</w:t>
      </w:r>
      <w:r w:rsidR="00DD15B4">
        <w:rPr>
          <w:bdr w:val="none" w:sz="0" w:space="0" w:color="auto" w:frame="1"/>
          <w:shd w:val="clear" w:color="auto" w:fill="FFFFFF"/>
        </w:rPr>
        <w:t>, subd. (a)</w:t>
      </w:r>
      <w:r w:rsidR="00762FDF" w:rsidRPr="00762FDF">
        <w:rPr>
          <w:bdr w:val="none" w:sz="0" w:space="0" w:color="auto" w:frame="1"/>
          <w:shd w:val="clear" w:color="auto" w:fill="FFFFFF"/>
        </w:rPr>
        <w:t xml:space="preserve"> </w:t>
      </w:r>
      <w:bookmarkEnd w:id="16"/>
      <w:r w:rsidR="00762FDF" w:rsidRPr="00762FDF">
        <w:rPr>
          <w:bdr w:val="none" w:sz="0" w:space="0" w:color="auto" w:frame="1"/>
          <w:shd w:val="clear" w:color="auto" w:fill="FFFFFF"/>
        </w:rPr>
        <w:t>[“[a]</w:t>
      </w:r>
      <w:r w:rsidR="00762FDF" w:rsidRPr="00762FDF">
        <w:rPr>
          <w:color w:val="212121"/>
          <w:shd w:val="clear" w:color="auto" w:fill="F9F9F9"/>
        </w:rPr>
        <w:t xml:space="preserve"> state surcharge of 20 percent shall be levied on the base fine used to calculate the state penalty </w:t>
      </w:r>
      <w:r w:rsidR="00762FDF" w:rsidRPr="00DD15B4">
        <w:rPr>
          <w:color w:val="212121"/>
          <w:shd w:val="clear" w:color="auto" w:fill="F9F9F9"/>
        </w:rPr>
        <w:t>assessment as specified in subdivision (a) of Section 1464”</w:t>
      </w:r>
      <w:r w:rsidR="00762FDF" w:rsidRPr="00DD15B4">
        <w:rPr>
          <w:bdr w:val="none" w:sz="0" w:space="0" w:color="auto" w:frame="1"/>
          <w:shd w:val="clear" w:color="auto" w:fill="FFFFFF"/>
        </w:rPr>
        <w:t xml:space="preserve">]; </w:t>
      </w:r>
      <w:r w:rsidR="00D64BAB">
        <w:rPr>
          <w:bdr w:val="none" w:sz="0" w:space="0" w:color="auto" w:frame="1"/>
          <w:shd w:val="clear" w:color="auto" w:fill="FFFFFF"/>
        </w:rPr>
        <w:t xml:space="preserve">(2) </w:t>
      </w:r>
      <w:r w:rsidR="00762FDF" w:rsidRPr="00DD15B4">
        <w:rPr>
          <w:bdr w:val="none" w:sz="0" w:space="0" w:color="auto" w:frame="1"/>
          <w:shd w:val="clear" w:color="auto" w:fill="FFFFFF"/>
        </w:rPr>
        <w:t>$2150 (Gov. Code., § 70372</w:t>
      </w:r>
      <w:r w:rsidR="00DD15B4">
        <w:rPr>
          <w:bdr w:val="none" w:sz="0" w:space="0" w:color="auto" w:frame="1"/>
          <w:shd w:val="clear" w:color="auto" w:fill="FFFFFF"/>
        </w:rPr>
        <w:t>, subd. (a)(1)</w:t>
      </w:r>
      <w:r w:rsidR="00DD15B4" w:rsidRPr="00DD15B4">
        <w:rPr>
          <w:bdr w:val="none" w:sz="0" w:space="0" w:color="auto" w:frame="1"/>
          <w:shd w:val="clear" w:color="auto" w:fill="FFFFFF"/>
        </w:rPr>
        <w:t xml:space="preserve"> [“</w:t>
      </w:r>
      <w:r w:rsidR="00DD15B4" w:rsidRPr="00DD15B4">
        <w:rPr>
          <w:color w:val="212121"/>
          <w:shd w:val="clear" w:color="auto" w:fill="FFFFFF"/>
        </w:rPr>
        <w:t xml:space="preserve">there shall be levied a state court construction penalty, in the amount of five dollars ($5) for every ten dollars ($10), or part of ten dollars ($10), upon every fine, penalty, or forfeiture imposed and collected by the courts for all criminal </w:t>
      </w:r>
      <w:r w:rsidR="00DD15B4" w:rsidRPr="00FB7BB8">
        <w:rPr>
          <w:color w:val="212121"/>
          <w:shd w:val="clear" w:color="auto" w:fill="FFFFFF"/>
        </w:rPr>
        <w:t>offenses”</w:t>
      </w:r>
      <w:r w:rsidR="00DD15B4" w:rsidRPr="00FB7BB8">
        <w:rPr>
          <w:bdr w:val="none" w:sz="0" w:space="0" w:color="auto" w:frame="1"/>
          <w:shd w:val="clear" w:color="auto" w:fill="FFFFFF"/>
        </w:rPr>
        <w:t xml:space="preserve">]; </w:t>
      </w:r>
      <w:r w:rsidR="00D64BAB">
        <w:rPr>
          <w:bdr w:val="none" w:sz="0" w:space="0" w:color="auto" w:frame="1"/>
          <w:shd w:val="clear" w:color="auto" w:fill="FFFFFF"/>
        </w:rPr>
        <w:t xml:space="preserve">(3) </w:t>
      </w:r>
      <w:r w:rsidR="00FB7BB8" w:rsidRPr="00FB7BB8">
        <w:rPr>
          <w:bdr w:val="none" w:sz="0" w:space="0" w:color="auto" w:frame="1"/>
          <w:shd w:val="clear" w:color="auto" w:fill="FFFFFF"/>
        </w:rPr>
        <w:t xml:space="preserve">$430 (Gov. Code, § 76104.6, subd. (a)(1) [a DNA penalty </w:t>
      </w:r>
      <w:r w:rsidR="00FB7BB8" w:rsidRPr="00FB7BB8">
        <w:rPr>
          <w:color w:val="212121"/>
          <w:shd w:val="clear" w:color="auto" w:fill="FFFFFF"/>
        </w:rPr>
        <w:t>“of one dollar ($1) for every ten dollars ($10), or part of ten dollars ($10), in each county upon every fine, penalty, or forfeiture imposed and collected by the courts for all criminal offenses”</w:t>
      </w:r>
      <w:r w:rsidR="00FB7BB8" w:rsidRPr="00FB7BB8">
        <w:rPr>
          <w:bdr w:val="none" w:sz="0" w:space="0" w:color="auto" w:frame="1"/>
          <w:shd w:val="clear" w:color="auto" w:fill="FFFFFF"/>
        </w:rPr>
        <w:t xml:space="preserve"> shall be assessed]);</w:t>
      </w:r>
      <w:r w:rsidR="00FB7BB8">
        <w:rPr>
          <w:bdr w:val="none" w:sz="0" w:space="0" w:color="auto" w:frame="1"/>
          <w:shd w:val="clear" w:color="auto" w:fill="FFFFFF"/>
        </w:rPr>
        <w:t xml:space="preserve"> </w:t>
      </w:r>
      <w:r w:rsidR="00D64BAB">
        <w:rPr>
          <w:bdr w:val="none" w:sz="0" w:space="0" w:color="auto" w:frame="1"/>
          <w:shd w:val="clear" w:color="auto" w:fill="FFFFFF"/>
        </w:rPr>
        <w:t xml:space="preserve">(4) </w:t>
      </w:r>
      <w:r w:rsidR="00B1297D">
        <w:rPr>
          <w:bdr w:val="none" w:sz="0" w:space="0" w:color="auto" w:frame="1"/>
          <w:shd w:val="clear" w:color="auto" w:fill="FFFFFF"/>
        </w:rPr>
        <w:t xml:space="preserve">$450 (former Gov. Code, § 76104.7, subd. (a); Stats. 2011, ch. 36, § 16 [a statewide-only DNA penalty of $3 for </w:t>
      </w:r>
      <w:r w:rsidR="006E2CB6" w:rsidRPr="00FB7BB8">
        <w:rPr>
          <w:color w:val="212121"/>
          <w:shd w:val="clear" w:color="auto" w:fill="FFFFFF"/>
        </w:rPr>
        <w:t>every ten dollars ($10), or part of ten dollars ($10)</w:t>
      </w:r>
      <w:r w:rsidR="006E2CB6">
        <w:rPr>
          <w:color w:val="212121"/>
          <w:shd w:val="clear" w:color="auto" w:fill="FFFFFF"/>
        </w:rPr>
        <w:t xml:space="preserve"> for </w:t>
      </w:r>
      <w:r w:rsidR="00B1297D">
        <w:rPr>
          <w:bdr w:val="none" w:sz="0" w:space="0" w:color="auto" w:frame="1"/>
          <w:shd w:val="clear" w:color="auto" w:fill="FFFFFF"/>
        </w:rPr>
        <w:t xml:space="preserve">fines related to offenses committed before June 27, 2012 (Jane Doe Three); and </w:t>
      </w:r>
      <w:r w:rsidR="00D64BAB">
        <w:rPr>
          <w:bdr w:val="none" w:sz="0" w:space="0" w:color="auto" w:frame="1"/>
          <w:shd w:val="clear" w:color="auto" w:fill="FFFFFF"/>
        </w:rPr>
        <w:t xml:space="preserve">(5) </w:t>
      </w:r>
      <w:r w:rsidR="00B1297D">
        <w:rPr>
          <w:bdr w:val="none" w:sz="0" w:space="0" w:color="auto" w:frame="1"/>
          <w:shd w:val="clear" w:color="auto" w:fill="FFFFFF"/>
        </w:rPr>
        <w:t>$1,120 (</w:t>
      </w:r>
      <w:r w:rsidR="00007BB2">
        <w:rPr>
          <w:bdr w:val="none" w:sz="0" w:space="0" w:color="auto" w:frame="1"/>
          <w:shd w:val="clear" w:color="auto" w:fill="FFFFFF"/>
        </w:rPr>
        <w:t xml:space="preserve">Gov. Code </w:t>
      </w:r>
      <w:r w:rsidR="00B1297D">
        <w:rPr>
          <w:bdr w:val="none" w:sz="0" w:space="0" w:color="auto" w:frame="1"/>
          <w:shd w:val="clear" w:color="auto" w:fill="FFFFFF"/>
        </w:rPr>
        <w:t xml:space="preserve">§ 76104.7, subd. (a) [a statewide-only DNA penalty of $4 </w:t>
      </w:r>
      <w:r w:rsidR="006E2CB6">
        <w:rPr>
          <w:bdr w:val="none" w:sz="0" w:space="0" w:color="auto" w:frame="1"/>
          <w:shd w:val="clear" w:color="auto" w:fill="FFFFFF"/>
        </w:rPr>
        <w:t xml:space="preserve">for </w:t>
      </w:r>
      <w:r w:rsidR="006E2CB6" w:rsidRPr="00FB7BB8">
        <w:rPr>
          <w:color w:val="212121"/>
          <w:shd w:val="clear" w:color="auto" w:fill="FFFFFF"/>
        </w:rPr>
        <w:t>every ten dollars ($10), or part of ten dollars ($10)</w:t>
      </w:r>
      <w:r w:rsidR="006E2CB6">
        <w:rPr>
          <w:color w:val="212121"/>
          <w:shd w:val="clear" w:color="auto" w:fill="FFFFFF"/>
        </w:rPr>
        <w:t xml:space="preserve"> </w:t>
      </w:r>
      <w:r w:rsidR="00B1297D">
        <w:rPr>
          <w:bdr w:val="none" w:sz="0" w:space="0" w:color="auto" w:frame="1"/>
          <w:shd w:val="clear" w:color="auto" w:fill="FFFFFF"/>
        </w:rPr>
        <w:t>for fines related to offenses committed after June 27, 2012 (Jane Does One and Two)</w:t>
      </w:r>
      <w:r w:rsidR="00FB7BB8">
        <w:rPr>
          <w:bdr w:val="none" w:sz="0" w:space="0" w:color="auto" w:frame="1"/>
          <w:shd w:val="clear" w:color="auto" w:fill="FFFFFF"/>
        </w:rPr>
        <w:t>.</w:t>
      </w:r>
      <w:r w:rsidR="00762FDF" w:rsidRPr="00DD15B4">
        <w:rPr>
          <w:bdr w:val="none" w:sz="0" w:space="0" w:color="auto" w:frame="1"/>
          <w:shd w:val="clear" w:color="auto" w:fill="FFFFFF"/>
        </w:rPr>
        <w:t xml:space="preserve">  </w:t>
      </w:r>
      <w:r w:rsidR="00DD15B4">
        <w:rPr>
          <w:bdr w:val="none" w:sz="0" w:space="0" w:color="auto" w:frame="1"/>
          <w:shd w:val="clear" w:color="auto" w:fill="FFFFFF"/>
        </w:rPr>
        <w:t xml:space="preserve">(See </w:t>
      </w:r>
      <w:r w:rsidR="00DD15B4">
        <w:rPr>
          <w:i/>
          <w:iCs/>
          <w:bdr w:val="none" w:sz="0" w:space="0" w:color="auto" w:frame="1"/>
          <w:shd w:val="clear" w:color="auto" w:fill="FFFFFF"/>
        </w:rPr>
        <w:t>Hamed</w:t>
      </w:r>
      <w:r w:rsidR="00DD15B4">
        <w:rPr>
          <w:bdr w:val="none" w:sz="0" w:space="0" w:color="auto" w:frame="1"/>
          <w:shd w:val="clear" w:color="auto" w:fill="FFFFFF"/>
        </w:rPr>
        <w:t xml:space="preserve">, </w:t>
      </w:r>
      <w:r w:rsidR="00DD15B4">
        <w:rPr>
          <w:i/>
          <w:iCs/>
          <w:bdr w:val="none" w:sz="0" w:space="0" w:color="auto" w:frame="1"/>
          <w:shd w:val="clear" w:color="auto" w:fill="FFFFFF"/>
        </w:rPr>
        <w:t>supra</w:t>
      </w:r>
      <w:r w:rsidR="00DD15B4">
        <w:rPr>
          <w:bdr w:val="none" w:sz="0" w:space="0" w:color="auto" w:frame="1"/>
          <w:shd w:val="clear" w:color="auto" w:fill="FFFFFF"/>
        </w:rPr>
        <w:t xml:space="preserve">, 221 Cal.App.4th at pp. 940–941 &amp; fn. 8.)  </w:t>
      </w:r>
    </w:p>
    <w:p w14:paraId="1CC797DF" w14:textId="71326D79" w:rsidR="00DD15B4" w:rsidRDefault="00DD15B4" w:rsidP="00DD15B4">
      <w:pPr>
        <w:pStyle w:val="Text"/>
        <w:ind w:firstLine="0"/>
        <w:rPr>
          <w:bdr w:val="none" w:sz="0" w:space="0" w:color="auto" w:frame="1"/>
          <w:shd w:val="clear" w:color="auto" w:fill="FFFFFF"/>
        </w:rPr>
      </w:pPr>
      <w:r>
        <w:rPr>
          <w:bdr w:val="none" w:sz="0" w:space="0" w:color="auto" w:frame="1"/>
          <w:shd w:val="clear" w:color="auto" w:fill="FFFFFF"/>
        </w:rPr>
        <w:tab/>
      </w:r>
      <w:r w:rsidR="00762FDF">
        <w:rPr>
          <w:bdr w:val="none" w:sz="0" w:space="0" w:color="auto" w:frame="1"/>
          <w:shd w:val="clear" w:color="auto" w:fill="FFFFFF"/>
        </w:rPr>
        <w:t>Thus, on remand, the trial court should impose $12,3</w:t>
      </w:r>
      <w:r w:rsidR="00D64BAB">
        <w:rPr>
          <w:bdr w:val="none" w:sz="0" w:space="0" w:color="auto" w:frame="1"/>
          <w:shd w:val="clear" w:color="auto" w:fill="FFFFFF"/>
        </w:rPr>
        <w:t>2</w:t>
      </w:r>
      <w:r w:rsidR="00762FDF">
        <w:rPr>
          <w:bdr w:val="none" w:sz="0" w:space="0" w:color="auto" w:frame="1"/>
          <w:shd w:val="clear" w:color="auto" w:fill="FFFFFF"/>
        </w:rPr>
        <w:t>0 in additional penalty assessments as set forth herein.</w:t>
      </w:r>
    </w:p>
    <w:p w14:paraId="2427A996" w14:textId="37463E0F" w:rsidR="00B45695" w:rsidRPr="00DD15B4" w:rsidRDefault="005353A2" w:rsidP="00735B10">
      <w:pPr>
        <w:pStyle w:val="Text"/>
        <w:keepNext/>
        <w:ind w:firstLine="0"/>
        <w:jc w:val="center"/>
        <w:rPr>
          <w:b/>
          <w:bCs/>
        </w:rPr>
      </w:pPr>
      <w:r w:rsidRPr="00DD15B4">
        <w:rPr>
          <w:b/>
          <w:bCs/>
        </w:rPr>
        <w:t xml:space="preserve">III.  </w:t>
      </w:r>
      <w:r w:rsidR="00B45695" w:rsidRPr="00DD15B4">
        <w:rPr>
          <w:b/>
          <w:bCs/>
        </w:rPr>
        <w:t>DISPOSITION</w:t>
      </w:r>
    </w:p>
    <w:p w14:paraId="6FD7CDEF" w14:textId="46A65074" w:rsidR="004267FB" w:rsidRPr="00C47654" w:rsidRDefault="0045539B" w:rsidP="00735B10">
      <w:pPr>
        <w:pStyle w:val="Text"/>
        <w:keepNext/>
      </w:pPr>
      <w:r>
        <w:rPr>
          <w:color w:val="212121"/>
          <w:shd w:val="clear" w:color="auto" w:fill="FFFFFF"/>
        </w:rPr>
        <w:t>Villegas’s sentences with respect to counts eight</w:t>
      </w:r>
      <w:r w:rsidR="0012608A">
        <w:rPr>
          <w:color w:val="212121"/>
          <w:shd w:val="clear" w:color="auto" w:fill="FFFFFF"/>
        </w:rPr>
        <w:t>, nine, and</w:t>
      </w:r>
      <w:r>
        <w:rPr>
          <w:color w:val="212121"/>
          <w:shd w:val="clear" w:color="auto" w:fill="FFFFFF"/>
        </w:rPr>
        <w:t xml:space="preserve"> ten are </w:t>
      </w:r>
      <w:r w:rsidR="0012608A">
        <w:rPr>
          <w:color w:val="212121"/>
          <w:shd w:val="clear" w:color="auto" w:fill="FFFFFF"/>
        </w:rPr>
        <w:t xml:space="preserve">each </w:t>
      </w:r>
      <w:r>
        <w:rPr>
          <w:color w:val="212121"/>
          <w:shd w:val="clear" w:color="auto" w:fill="FFFFFF"/>
        </w:rPr>
        <w:t xml:space="preserve">reduced from 25 </w:t>
      </w:r>
      <w:r w:rsidR="00050AF9">
        <w:rPr>
          <w:color w:val="212121"/>
          <w:shd w:val="clear" w:color="auto" w:fill="FFFFFF"/>
        </w:rPr>
        <w:t xml:space="preserve">years </w:t>
      </w:r>
      <w:r>
        <w:rPr>
          <w:color w:val="212121"/>
          <w:shd w:val="clear" w:color="auto" w:fill="FFFFFF"/>
        </w:rPr>
        <w:t xml:space="preserve">to life to 15 years to life.  The sex offender fine </w:t>
      </w:r>
      <w:r w:rsidR="0012608A">
        <w:rPr>
          <w:color w:val="212121"/>
          <w:shd w:val="clear" w:color="auto" w:fill="FFFFFF"/>
        </w:rPr>
        <w:t xml:space="preserve">that was </w:t>
      </w:r>
      <w:r>
        <w:rPr>
          <w:color w:val="212121"/>
          <w:shd w:val="clear" w:color="auto" w:fill="FFFFFF"/>
        </w:rPr>
        <w:t>imposed pursuant to section 290.3 is reduced from $4</w:t>
      </w:r>
      <w:r w:rsidR="00F80D88">
        <w:rPr>
          <w:color w:val="212121"/>
          <w:shd w:val="clear" w:color="auto" w:fill="FFFFFF"/>
        </w:rPr>
        <w:t>,</w:t>
      </w:r>
      <w:r>
        <w:rPr>
          <w:color w:val="212121"/>
          <w:shd w:val="clear" w:color="auto" w:fill="FFFFFF"/>
        </w:rPr>
        <w:t>800 to $4</w:t>
      </w:r>
      <w:r w:rsidR="00F80D88">
        <w:rPr>
          <w:color w:val="212121"/>
          <w:shd w:val="clear" w:color="auto" w:fill="FFFFFF"/>
        </w:rPr>
        <w:t>,</w:t>
      </w:r>
      <w:r>
        <w:rPr>
          <w:color w:val="212121"/>
          <w:shd w:val="clear" w:color="auto" w:fill="FFFFFF"/>
        </w:rPr>
        <w:t xml:space="preserve">300.  In addition, the following penalty assessments are imposed: </w:t>
      </w:r>
      <w:r w:rsidR="00827D3E">
        <w:rPr>
          <w:color w:val="212121"/>
          <w:shd w:val="clear" w:color="auto" w:fill="FFFFFF"/>
        </w:rPr>
        <w:t xml:space="preserve"> $4</w:t>
      </w:r>
      <w:r w:rsidR="00F80D88">
        <w:rPr>
          <w:color w:val="212121"/>
          <w:shd w:val="clear" w:color="auto" w:fill="FFFFFF"/>
        </w:rPr>
        <w:t>,</w:t>
      </w:r>
      <w:r w:rsidR="00827D3E">
        <w:rPr>
          <w:color w:val="212121"/>
          <w:shd w:val="clear" w:color="auto" w:fill="FFFFFF"/>
        </w:rPr>
        <w:t>300 (</w:t>
      </w:r>
      <w:r w:rsidR="00DD15B4">
        <w:rPr>
          <w:color w:val="212121"/>
          <w:shd w:val="clear" w:color="auto" w:fill="FFFFFF"/>
        </w:rPr>
        <w:t>§ 1464, subd. (a)(1)); $3010 (Gov. Code, § 73000, subd. (a)(1);</w:t>
      </w:r>
      <w:r w:rsidR="00DD15B4" w:rsidRPr="00DD15B4">
        <w:rPr>
          <w:bdr w:val="none" w:sz="0" w:space="0" w:color="auto" w:frame="1"/>
          <w:shd w:val="clear" w:color="auto" w:fill="FFFFFF"/>
        </w:rPr>
        <w:t xml:space="preserve"> </w:t>
      </w:r>
      <w:r w:rsidR="00DD15B4" w:rsidRPr="00762FDF">
        <w:rPr>
          <w:bdr w:val="none" w:sz="0" w:space="0" w:color="auto" w:frame="1"/>
          <w:shd w:val="clear" w:color="auto" w:fill="FFFFFF"/>
        </w:rPr>
        <w:t>$860 (§ 1465.7</w:t>
      </w:r>
      <w:r w:rsidR="00DD15B4">
        <w:rPr>
          <w:bdr w:val="none" w:sz="0" w:space="0" w:color="auto" w:frame="1"/>
          <w:shd w:val="clear" w:color="auto" w:fill="FFFFFF"/>
        </w:rPr>
        <w:t>, subd. (a));</w:t>
      </w:r>
      <w:r w:rsidR="00DD15B4" w:rsidRPr="00762FDF">
        <w:rPr>
          <w:bdr w:val="none" w:sz="0" w:space="0" w:color="auto" w:frame="1"/>
          <w:shd w:val="clear" w:color="auto" w:fill="FFFFFF"/>
        </w:rPr>
        <w:t xml:space="preserve"> </w:t>
      </w:r>
      <w:r w:rsidR="00DD15B4" w:rsidRPr="00DD15B4">
        <w:rPr>
          <w:bdr w:val="none" w:sz="0" w:space="0" w:color="auto" w:frame="1"/>
          <w:shd w:val="clear" w:color="auto" w:fill="FFFFFF"/>
        </w:rPr>
        <w:t>$2150 (Gov. Code., § 70372</w:t>
      </w:r>
      <w:r w:rsidR="00DD15B4">
        <w:rPr>
          <w:bdr w:val="none" w:sz="0" w:space="0" w:color="auto" w:frame="1"/>
          <w:shd w:val="clear" w:color="auto" w:fill="FFFFFF"/>
        </w:rPr>
        <w:t xml:space="preserve">, subd. (a)(1)); </w:t>
      </w:r>
      <w:r w:rsidR="00FB7BB8" w:rsidRPr="00FB7BB8">
        <w:rPr>
          <w:bdr w:val="none" w:sz="0" w:space="0" w:color="auto" w:frame="1"/>
          <w:shd w:val="clear" w:color="auto" w:fill="FFFFFF"/>
        </w:rPr>
        <w:t>$430 (Gov. Code, §</w:t>
      </w:r>
      <w:r w:rsidR="00FB7BB8">
        <w:rPr>
          <w:bdr w:val="none" w:sz="0" w:space="0" w:color="auto" w:frame="1"/>
          <w:shd w:val="clear" w:color="auto" w:fill="FFFFFF"/>
        </w:rPr>
        <w:t> </w:t>
      </w:r>
      <w:r w:rsidR="00FB7BB8" w:rsidRPr="00FB7BB8">
        <w:rPr>
          <w:bdr w:val="none" w:sz="0" w:space="0" w:color="auto" w:frame="1"/>
          <w:shd w:val="clear" w:color="auto" w:fill="FFFFFF"/>
        </w:rPr>
        <w:t>76104.6, subd. (a)(1)</w:t>
      </w:r>
      <w:r w:rsidR="00FB7BB8">
        <w:rPr>
          <w:bdr w:val="none" w:sz="0" w:space="0" w:color="auto" w:frame="1"/>
          <w:shd w:val="clear" w:color="auto" w:fill="FFFFFF"/>
        </w:rPr>
        <w:t xml:space="preserve">); </w:t>
      </w:r>
      <w:r w:rsidR="00D64BAB">
        <w:rPr>
          <w:bdr w:val="none" w:sz="0" w:space="0" w:color="auto" w:frame="1"/>
          <w:shd w:val="clear" w:color="auto" w:fill="FFFFFF"/>
        </w:rPr>
        <w:t xml:space="preserve">$450 (former Gov. Code, § 76104.7, subd. (a)); and $1120 (Gov. Code, § 76104.7, subd. (a)).  </w:t>
      </w:r>
      <w:r w:rsidR="0012608A">
        <w:rPr>
          <w:color w:val="212121"/>
          <w:shd w:val="clear" w:color="auto" w:fill="FFFFFF"/>
        </w:rPr>
        <w:t xml:space="preserve">The trial court is instructed to prepare an amended abstract of judgment memorializing these changes, and to send a copy of the amended abstract to the Department of Corrections and Rehabilitation.  </w:t>
      </w:r>
      <w:r w:rsidR="003C618B">
        <w:rPr>
          <w:color w:val="212121"/>
          <w:shd w:val="clear" w:color="auto" w:fill="FFFFFF"/>
        </w:rPr>
        <w:t xml:space="preserve">The judgment </w:t>
      </w:r>
      <w:r w:rsidR="00C47654" w:rsidRPr="00C47654">
        <w:rPr>
          <w:color w:val="212121"/>
          <w:shd w:val="clear" w:color="auto" w:fill="FFFFFF"/>
        </w:rPr>
        <w:t xml:space="preserve">is </w:t>
      </w:r>
      <w:r>
        <w:rPr>
          <w:color w:val="212121"/>
          <w:shd w:val="clear" w:color="auto" w:fill="FFFFFF"/>
        </w:rPr>
        <w:t xml:space="preserve">otherwise </w:t>
      </w:r>
      <w:r w:rsidR="00C47654" w:rsidRPr="00C47654">
        <w:rPr>
          <w:color w:val="212121"/>
          <w:shd w:val="clear" w:color="auto" w:fill="FFFFFF"/>
        </w:rPr>
        <w:t>affirmed.</w:t>
      </w:r>
    </w:p>
    <w:p w14:paraId="71C1770F" w14:textId="175A5938" w:rsidR="00190AB2" w:rsidRPr="00190AB2" w:rsidRDefault="00664432" w:rsidP="00190AB2">
      <w:pPr>
        <w:tabs>
          <w:tab w:val="clear" w:pos="720"/>
        </w:tabs>
        <w:spacing w:after="160" w:line="259" w:lineRule="auto"/>
        <w:rPr>
          <w:rFonts w:ascii="Century Schoolbook" w:hAnsi="Century Schoolbook"/>
        </w:rPr>
      </w:pPr>
      <w:r>
        <w:br w:type="page"/>
      </w:r>
    </w:p>
    <w:p w14:paraId="46421A8D" w14:textId="77777777" w:rsidR="00664432" w:rsidRPr="00E41254" w:rsidRDefault="00664432" w:rsidP="00D64F5C">
      <w:pPr>
        <w:spacing w:line="240" w:lineRule="auto"/>
      </w:pPr>
    </w:p>
    <w:p w14:paraId="7F42E553" w14:textId="77777777" w:rsidR="00664432" w:rsidRPr="00664432" w:rsidRDefault="00664432" w:rsidP="00D64F5C">
      <w:pPr>
        <w:spacing w:line="240" w:lineRule="auto"/>
        <w:rPr>
          <w:rFonts w:ascii="Century Schoolbook" w:hAnsi="Century Schoolbook"/>
          <w:smallCaps/>
        </w:rPr>
      </w:pPr>
      <w:r w:rsidRPr="00664432">
        <w:rPr>
          <w:rFonts w:ascii="Century Schoolbook" w:hAnsi="Century Schoolbook"/>
        </w:rPr>
        <w:tab/>
      </w:r>
      <w:r w:rsidRPr="00664432">
        <w:rPr>
          <w:rFonts w:ascii="Century Schoolbook" w:hAnsi="Century Schoolbook"/>
        </w:rPr>
        <w:tab/>
      </w:r>
      <w:r w:rsidRPr="00664432">
        <w:rPr>
          <w:rFonts w:ascii="Century Schoolbook" w:hAnsi="Century Schoolbook"/>
        </w:rPr>
        <w:tab/>
      </w:r>
      <w:r w:rsidRPr="00664432">
        <w:rPr>
          <w:rFonts w:ascii="Century Schoolbook" w:hAnsi="Century Schoolbook"/>
        </w:rPr>
        <w:tab/>
      </w:r>
      <w:r w:rsidRPr="00664432">
        <w:rPr>
          <w:rFonts w:ascii="Century Schoolbook" w:hAnsi="Century Schoolbook"/>
        </w:rPr>
        <w:tab/>
      </w:r>
      <w:r w:rsidRPr="00664432">
        <w:rPr>
          <w:rFonts w:ascii="Century Schoolbook" w:hAnsi="Century Schoolbook"/>
        </w:rPr>
        <w:tab/>
      </w:r>
      <w:r w:rsidRPr="00664432">
        <w:rPr>
          <w:rFonts w:ascii="Century Schoolbook" w:hAnsi="Century Schoolbook"/>
        </w:rPr>
        <w:tab/>
      </w:r>
      <w:r w:rsidRPr="00664432">
        <w:rPr>
          <w:rFonts w:ascii="Century Schoolbook" w:hAnsi="Century Schoolbook"/>
          <w:smallCaps/>
        </w:rPr>
        <w:t>GETTY, J.</w:t>
      </w:r>
      <w:r w:rsidRPr="00664432">
        <w:rPr>
          <w:rFonts w:ascii="Century Schoolbook" w:hAnsi="Century Schoolbook"/>
          <w:smallCaps/>
          <w:vertAlign w:val="superscript"/>
        </w:rPr>
        <w:footnoteReference w:customMarkFollows="1" w:id="12"/>
        <w:sym w:font="Symbol" w:char="F02A"/>
      </w:r>
    </w:p>
    <w:p w14:paraId="4464A40D" w14:textId="77777777" w:rsidR="00664432" w:rsidRPr="00664432" w:rsidRDefault="00664432" w:rsidP="00D64F5C">
      <w:pPr>
        <w:spacing w:line="240" w:lineRule="auto"/>
        <w:rPr>
          <w:rFonts w:ascii="Century Schoolbook" w:hAnsi="Century Schoolbook"/>
        </w:rPr>
      </w:pPr>
    </w:p>
    <w:p w14:paraId="7FC63041" w14:textId="08AA8001" w:rsidR="00664432" w:rsidRPr="00664432" w:rsidRDefault="00190AB2" w:rsidP="00D64F5C">
      <w:pPr>
        <w:spacing w:line="240" w:lineRule="auto"/>
        <w:rPr>
          <w:rFonts w:ascii="Century Schoolbook" w:hAnsi="Century Schoolbook"/>
        </w:rPr>
      </w:pPr>
      <w:r>
        <w:rPr>
          <w:rFonts w:ascii="Century Schoolbook" w:hAnsi="Century Schoolbook"/>
        </w:rPr>
        <w:t>I</w:t>
      </w:r>
      <w:r w:rsidR="00664432" w:rsidRPr="00664432">
        <w:rPr>
          <w:rFonts w:ascii="Century Schoolbook" w:hAnsi="Century Schoolbook"/>
        </w:rPr>
        <w:t xml:space="preserve"> CONCUR:</w:t>
      </w:r>
    </w:p>
    <w:p w14:paraId="7AA24C5B" w14:textId="1C9CF113" w:rsidR="00664432" w:rsidRPr="00664432" w:rsidRDefault="00664432" w:rsidP="00D64F5C">
      <w:pPr>
        <w:spacing w:line="240" w:lineRule="auto"/>
        <w:rPr>
          <w:rFonts w:ascii="Century Schoolbook" w:hAnsi="Century Schoolbook"/>
          <w:smallCaps/>
        </w:rPr>
      </w:pPr>
    </w:p>
    <w:p w14:paraId="3F584A5A" w14:textId="77777777" w:rsidR="00664432" w:rsidRPr="00664432" w:rsidRDefault="00664432" w:rsidP="00D64F5C">
      <w:pPr>
        <w:spacing w:line="240" w:lineRule="auto"/>
        <w:rPr>
          <w:rFonts w:ascii="Century Schoolbook" w:hAnsi="Century Schoolbook"/>
        </w:rPr>
      </w:pPr>
    </w:p>
    <w:p w14:paraId="39292BF2" w14:textId="77777777" w:rsidR="00664432" w:rsidRPr="00664432" w:rsidRDefault="00664432" w:rsidP="00D64F5C">
      <w:pPr>
        <w:spacing w:line="240" w:lineRule="auto"/>
        <w:rPr>
          <w:rFonts w:ascii="Century Schoolbook" w:hAnsi="Century Schoolbook"/>
        </w:rPr>
      </w:pPr>
    </w:p>
    <w:p w14:paraId="7B87C72A" w14:textId="77777777" w:rsidR="00664432" w:rsidRPr="00664432" w:rsidRDefault="00664432" w:rsidP="00D64F5C">
      <w:pPr>
        <w:spacing w:line="240" w:lineRule="auto"/>
        <w:rPr>
          <w:rFonts w:ascii="Century Schoolbook" w:hAnsi="Century Schoolbook"/>
        </w:rPr>
      </w:pPr>
    </w:p>
    <w:p w14:paraId="22F097D0" w14:textId="5208253A" w:rsidR="00664432" w:rsidRPr="00664432" w:rsidRDefault="00664432" w:rsidP="00D64F5C">
      <w:pPr>
        <w:spacing w:line="240" w:lineRule="auto"/>
        <w:rPr>
          <w:rFonts w:ascii="Century Schoolbook" w:hAnsi="Century Schoolbook"/>
          <w:smallCaps/>
        </w:rPr>
      </w:pPr>
      <w:r w:rsidRPr="00664432">
        <w:rPr>
          <w:rFonts w:ascii="Century Schoolbook" w:hAnsi="Century Schoolbook"/>
          <w:smallCaps/>
        </w:rPr>
        <w:t xml:space="preserve">Margulies, </w:t>
      </w:r>
      <w:r>
        <w:rPr>
          <w:rFonts w:ascii="Century Schoolbook" w:hAnsi="Century Schoolbook"/>
          <w:smallCaps/>
        </w:rPr>
        <w:t>ACTING P.</w:t>
      </w:r>
      <w:r w:rsidRPr="00664432">
        <w:rPr>
          <w:rFonts w:ascii="Century Schoolbook" w:hAnsi="Century Schoolbook"/>
          <w:smallCaps/>
        </w:rPr>
        <w:t>J.</w:t>
      </w:r>
    </w:p>
    <w:p w14:paraId="02FCBC4A" w14:textId="77777777" w:rsidR="00664432" w:rsidRPr="00664432" w:rsidRDefault="00664432" w:rsidP="00D64F5C">
      <w:pPr>
        <w:spacing w:line="240" w:lineRule="auto"/>
        <w:rPr>
          <w:rFonts w:ascii="Century Schoolbook" w:hAnsi="Century Schoolbook"/>
          <w:smallCaps/>
        </w:rPr>
      </w:pPr>
    </w:p>
    <w:p w14:paraId="07A42AE3" w14:textId="4883A6FF" w:rsidR="00664432" w:rsidRPr="00664432" w:rsidRDefault="00664432" w:rsidP="00D64F5C">
      <w:pPr>
        <w:spacing w:line="240" w:lineRule="auto"/>
        <w:rPr>
          <w:rFonts w:ascii="Century Schoolbook" w:hAnsi="Century Schoolbook"/>
          <w:smallCaps/>
        </w:rPr>
      </w:pPr>
    </w:p>
    <w:p w14:paraId="400DEC3B" w14:textId="77777777" w:rsidR="00664432" w:rsidRPr="00664432" w:rsidRDefault="00664432" w:rsidP="00D64F5C">
      <w:pPr>
        <w:spacing w:line="240" w:lineRule="auto"/>
        <w:rPr>
          <w:rFonts w:ascii="Century Schoolbook" w:hAnsi="Century Schoolbook"/>
        </w:rPr>
      </w:pPr>
    </w:p>
    <w:p w14:paraId="712C5BE3" w14:textId="77777777" w:rsidR="00664432" w:rsidRPr="00664432" w:rsidRDefault="00664432" w:rsidP="00D64F5C">
      <w:pPr>
        <w:spacing w:line="240" w:lineRule="auto"/>
        <w:rPr>
          <w:rFonts w:ascii="Century Schoolbook" w:hAnsi="Century Schoolbook"/>
        </w:rPr>
      </w:pPr>
    </w:p>
    <w:p w14:paraId="4DCE061B" w14:textId="77777777" w:rsidR="00664432" w:rsidRPr="00664432" w:rsidRDefault="00664432" w:rsidP="00D64F5C">
      <w:pPr>
        <w:spacing w:line="240" w:lineRule="auto"/>
        <w:rPr>
          <w:rFonts w:ascii="Century Schoolbook" w:hAnsi="Century Schoolbook"/>
        </w:rPr>
      </w:pPr>
    </w:p>
    <w:p w14:paraId="73CD1059" w14:textId="77777777" w:rsidR="00664432" w:rsidRPr="00664432" w:rsidRDefault="00664432" w:rsidP="00D64F5C">
      <w:pPr>
        <w:spacing w:line="240" w:lineRule="auto"/>
        <w:rPr>
          <w:rFonts w:ascii="Century Schoolbook" w:hAnsi="Century Schoolbook"/>
        </w:rPr>
      </w:pPr>
    </w:p>
    <w:p w14:paraId="1CF91EAB" w14:textId="77777777" w:rsidR="00664432" w:rsidRPr="00664432" w:rsidRDefault="00664432" w:rsidP="00D64F5C">
      <w:pPr>
        <w:spacing w:line="240" w:lineRule="auto"/>
        <w:rPr>
          <w:rFonts w:ascii="Century Schoolbook" w:hAnsi="Century Schoolbook"/>
        </w:rPr>
      </w:pPr>
    </w:p>
    <w:p w14:paraId="1C1A552C" w14:textId="77777777" w:rsidR="00664432" w:rsidRPr="00664432" w:rsidRDefault="00664432" w:rsidP="00D64F5C">
      <w:pPr>
        <w:spacing w:line="240" w:lineRule="auto"/>
        <w:rPr>
          <w:rFonts w:ascii="Century Schoolbook" w:hAnsi="Century Schoolbook"/>
        </w:rPr>
      </w:pPr>
    </w:p>
    <w:p w14:paraId="394244AA" w14:textId="77777777" w:rsidR="00664432" w:rsidRPr="00664432" w:rsidRDefault="00664432" w:rsidP="00D64F5C">
      <w:pPr>
        <w:spacing w:line="240" w:lineRule="auto"/>
        <w:rPr>
          <w:rFonts w:ascii="Century Schoolbook" w:hAnsi="Century Schoolbook"/>
        </w:rPr>
      </w:pPr>
    </w:p>
    <w:p w14:paraId="3E50F2C4" w14:textId="77777777" w:rsidR="00664432" w:rsidRPr="00664432" w:rsidRDefault="00664432" w:rsidP="00D64F5C">
      <w:pPr>
        <w:spacing w:line="240" w:lineRule="auto"/>
        <w:rPr>
          <w:rFonts w:ascii="Century Schoolbook" w:hAnsi="Century Schoolbook"/>
        </w:rPr>
      </w:pPr>
    </w:p>
    <w:p w14:paraId="427E2E35" w14:textId="77777777" w:rsidR="00664432" w:rsidRPr="00664432" w:rsidRDefault="00664432" w:rsidP="00D64F5C">
      <w:pPr>
        <w:spacing w:line="240" w:lineRule="auto"/>
        <w:rPr>
          <w:rFonts w:ascii="Century Schoolbook" w:hAnsi="Century Schoolbook"/>
        </w:rPr>
      </w:pPr>
    </w:p>
    <w:p w14:paraId="7DBF7B65" w14:textId="77777777" w:rsidR="00664432" w:rsidRPr="00664432" w:rsidRDefault="00664432" w:rsidP="00D64F5C">
      <w:pPr>
        <w:spacing w:line="240" w:lineRule="auto"/>
        <w:rPr>
          <w:rFonts w:ascii="Century Schoolbook" w:hAnsi="Century Schoolbook"/>
        </w:rPr>
      </w:pPr>
    </w:p>
    <w:p w14:paraId="35EDD138" w14:textId="77777777" w:rsidR="00664432" w:rsidRPr="00664432" w:rsidRDefault="00664432" w:rsidP="00D64F5C">
      <w:pPr>
        <w:spacing w:line="240" w:lineRule="auto"/>
        <w:rPr>
          <w:rFonts w:ascii="Century Schoolbook" w:hAnsi="Century Schoolbook"/>
        </w:rPr>
      </w:pPr>
    </w:p>
    <w:p w14:paraId="7F80312C" w14:textId="77777777" w:rsidR="00664432" w:rsidRPr="00664432" w:rsidRDefault="00664432" w:rsidP="00D64F5C">
      <w:pPr>
        <w:spacing w:line="240" w:lineRule="auto"/>
        <w:rPr>
          <w:rFonts w:ascii="Century Schoolbook" w:hAnsi="Century Schoolbook"/>
        </w:rPr>
      </w:pPr>
    </w:p>
    <w:p w14:paraId="73EB7166" w14:textId="77777777" w:rsidR="00664432" w:rsidRPr="00664432" w:rsidRDefault="00664432" w:rsidP="00D64F5C">
      <w:pPr>
        <w:spacing w:line="240" w:lineRule="auto"/>
        <w:rPr>
          <w:rFonts w:ascii="Century Schoolbook" w:hAnsi="Century Schoolbook"/>
        </w:rPr>
      </w:pPr>
    </w:p>
    <w:p w14:paraId="2A6A3F2E" w14:textId="77777777" w:rsidR="00664432" w:rsidRPr="00664432" w:rsidRDefault="00664432" w:rsidP="00D64F5C">
      <w:pPr>
        <w:spacing w:line="240" w:lineRule="auto"/>
        <w:rPr>
          <w:rFonts w:ascii="Century Schoolbook" w:hAnsi="Century Schoolbook"/>
        </w:rPr>
      </w:pPr>
    </w:p>
    <w:p w14:paraId="49069B8E" w14:textId="77777777" w:rsidR="00664432" w:rsidRPr="00664432" w:rsidRDefault="00664432" w:rsidP="00D64F5C">
      <w:pPr>
        <w:spacing w:line="240" w:lineRule="auto"/>
        <w:rPr>
          <w:rFonts w:ascii="Century Schoolbook" w:hAnsi="Century Schoolbook"/>
        </w:rPr>
      </w:pPr>
    </w:p>
    <w:p w14:paraId="1E6BABA6" w14:textId="77777777" w:rsidR="0089139E" w:rsidRDefault="00664432" w:rsidP="0089139E">
      <w:pPr>
        <w:spacing w:line="240" w:lineRule="auto"/>
        <w:rPr>
          <w:rFonts w:ascii="Century Schoolbook" w:hAnsi="Century Schoolbook"/>
        </w:rPr>
        <w:sectPr w:rsidR="0089139E" w:rsidSect="0089139E">
          <w:footerReference w:type="even" r:id="rId7"/>
          <w:footerReference w:type="default" r:id="rId8"/>
          <w:pgSz w:w="12240" w:h="15840"/>
          <w:pgMar w:top="1440" w:right="1440" w:bottom="1440" w:left="1440" w:header="720" w:footer="720" w:gutter="0"/>
          <w:pgNumType w:start="1"/>
          <w:cols w:space="720"/>
          <w:docGrid w:linePitch="360"/>
        </w:sectPr>
      </w:pPr>
      <w:r w:rsidRPr="00664432">
        <w:rPr>
          <w:rFonts w:ascii="Century Schoolbook" w:hAnsi="Century Schoolbook"/>
        </w:rPr>
        <w:t>A</w:t>
      </w:r>
      <w:r>
        <w:rPr>
          <w:rFonts w:ascii="Century Schoolbook" w:hAnsi="Century Schoolbook"/>
        </w:rPr>
        <w:t>164370</w:t>
      </w:r>
      <w:r w:rsidR="00576253">
        <w:rPr>
          <w:rFonts w:ascii="Century Schoolbook" w:hAnsi="Century Schoolbook"/>
        </w:rPr>
        <w:t>P</w:t>
      </w:r>
    </w:p>
    <w:p w14:paraId="64806653" w14:textId="26E79C80" w:rsidR="006D029D" w:rsidRDefault="006D029D" w:rsidP="0089139E">
      <w:pPr>
        <w:spacing w:line="240" w:lineRule="auto"/>
        <w:rPr>
          <w:rFonts w:ascii="Century Schoolbook" w:hAnsi="Century Schoolbook"/>
          <w:i/>
        </w:rPr>
      </w:pPr>
    </w:p>
    <w:p w14:paraId="015E9986" w14:textId="77777777" w:rsidR="00190AB2" w:rsidRDefault="00190AB2">
      <w:pPr>
        <w:pStyle w:val="xmsonormal"/>
        <w:shd w:val="clear" w:color="auto" w:fill="FFFFFF"/>
        <w:spacing w:line="360" w:lineRule="auto"/>
        <w:jc w:val="center"/>
        <w:rPr>
          <w:rFonts w:ascii="Times New Roman" w:hAnsi="Times New Roman" w:cs="Times New Roman"/>
          <w:smallCaps/>
          <w:color w:val="000000"/>
          <w:sz w:val="28"/>
          <w:szCs w:val="28"/>
        </w:rPr>
      </w:pPr>
      <w:r>
        <w:rPr>
          <w:rFonts w:ascii="Times New Roman" w:hAnsi="Times New Roman" w:cs="Times New Roman"/>
          <w:smallCaps/>
          <w:color w:val="000000"/>
          <w:sz w:val="28"/>
          <w:szCs w:val="28"/>
        </w:rPr>
        <w:t>Concurring and Dissenting Opinion of Banke, J.</w:t>
      </w:r>
    </w:p>
    <w:p w14:paraId="25345DFB" w14:textId="77777777" w:rsidR="00190AB2" w:rsidRDefault="00190AB2">
      <w:pPr>
        <w:pStyle w:val="xmsonormal"/>
        <w:shd w:val="clear" w:color="auto" w:fill="FFFFFF"/>
        <w:spacing w:line="360" w:lineRule="auto"/>
        <w:rPr>
          <w:rFonts w:ascii="Times New Roman" w:hAnsi="Times New Roman" w:cs="Times New Roman"/>
          <w:color w:val="000000"/>
          <w:sz w:val="28"/>
          <w:szCs w:val="28"/>
        </w:rPr>
      </w:pPr>
    </w:p>
    <w:p w14:paraId="650637C8" w14:textId="77777777" w:rsidR="00190AB2" w:rsidRDefault="00190AB2">
      <w:pPr>
        <w:pStyle w:val="xmsonormal"/>
        <w:shd w:val="clear" w:color="auto" w:fill="FFFFFF"/>
        <w:spacing w:line="360" w:lineRule="auto"/>
        <w:ind w:firstLine="720"/>
      </w:pPr>
      <w:r>
        <w:rPr>
          <w:rFonts w:ascii="Times New Roman" w:hAnsi="Times New Roman" w:cs="Times New Roman"/>
          <w:color w:val="000000"/>
          <w:sz w:val="28"/>
          <w:szCs w:val="28"/>
        </w:rPr>
        <w:t xml:space="preserve">I concur in the majority opinion in all respects but one, the award of restitution for noneconomic losses to the mothers of the Does.  For the reasons stated in my dissent in </w:t>
      </w:r>
      <w:r>
        <w:rPr>
          <w:rFonts w:ascii="Times New Roman" w:hAnsi="Times New Roman" w:cs="Times New Roman"/>
          <w:i/>
          <w:iCs/>
          <w:color w:val="000000"/>
          <w:sz w:val="28"/>
          <w:szCs w:val="28"/>
          <w:shd w:val="clear" w:color="auto" w:fill="FFFFFF"/>
        </w:rPr>
        <w:t>People</w:t>
      </w:r>
      <w:r>
        <w:rPr>
          <w:rFonts w:ascii="Times New Roman" w:hAnsi="Times New Roman" w:cs="Times New Roman"/>
          <w:i/>
          <w:iCs/>
          <w:color w:val="3D3D3D"/>
          <w:sz w:val="28"/>
          <w:szCs w:val="28"/>
          <w:shd w:val="clear" w:color="auto" w:fill="FFFFFF"/>
        </w:rPr>
        <w:t xml:space="preserve"> </w:t>
      </w:r>
      <w:r>
        <w:rPr>
          <w:rFonts w:ascii="Times New Roman" w:hAnsi="Times New Roman" w:cs="Times New Roman"/>
          <w:i/>
          <w:iCs/>
          <w:color w:val="000000"/>
          <w:sz w:val="28"/>
          <w:szCs w:val="28"/>
          <w:shd w:val="clear" w:color="auto" w:fill="FFFFFF"/>
        </w:rPr>
        <w:t>v</w:t>
      </w:r>
      <w:r>
        <w:rPr>
          <w:rFonts w:ascii="Times New Roman" w:hAnsi="Times New Roman" w:cs="Times New Roman"/>
          <w:i/>
          <w:iCs/>
          <w:color w:val="3D3D3D"/>
          <w:sz w:val="28"/>
          <w:szCs w:val="28"/>
          <w:shd w:val="clear" w:color="auto" w:fill="FFFFFF"/>
        </w:rPr>
        <w:t xml:space="preserve">. </w:t>
      </w:r>
      <w:r>
        <w:rPr>
          <w:rFonts w:ascii="Times New Roman" w:hAnsi="Times New Roman" w:cs="Times New Roman"/>
          <w:i/>
          <w:iCs/>
          <w:color w:val="000000"/>
          <w:sz w:val="28"/>
          <w:szCs w:val="28"/>
          <w:shd w:val="clear" w:color="auto" w:fill="FFFFFF"/>
        </w:rPr>
        <w:t>Montiel</w:t>
      </w:r>
      <w:r>
        <w:rPr>
          <w:rFonts w:ascii="Times New Roman" w:hAnsi="Times New Roman" w:cs="Times New Roman"/>
          <w:color w:val="000000"/>
          <w:sz w:val="28"/>
          <w:szCs w:val="28"/>
          <w:shd w:val="clear" w:color="auto" w:fill="FFFFFF"/>
        </w:rPr>
        <w:t xml:space="preserve"> (2019) 35 Cal.App.5th 312, 327–361</w:t>
      </w:r>
      <w:r>
        <w:rPr>
          <w:rFonts w:ascii="Times New Roman" w:hAnsi="Times New Roman" w:cs="Times New Roman"/>
          <w:color w:val="000000"/>
          <w:sz w:val="28"/>
          <w:szCs w:val="28"/>
        </w:rPr>
        <w:t xml:space="preserve"> (dis. opn. of Banke, J.), I remain of the view that in amending Penal Code section 1202.4, the Legislature intended that the </w:t>
      </w:r>
      <w:r>
        <w:rPr>
          <w:rFonts w:ascii="Times New Roman" w:hAnsi="Times New Roman" w:cs="Times New Roman"/>
          <w:i/>
          <w:iCs/>
          <w:color w:val="3D3D3D"/>
          <w:sz w:val="28"/>
          <w:szCs w:val="28"/>
        </w:rPr>
        <w:t>child</w:t>
      </w:r>
      <w:r>
        <w:rPr>
          <w:rFonts w:ascii="Times New Roman" w:hAnsi="Times New Roman" w:cs="Times New Roman"/>
          <w:color w:val="000000"/>
          <w:sz w:val="28"/>
          <w:szCs w:val="28"/>
        </w:rPr>
        <w:t xml:space="preserve"> victims of specified child sex crimes recover restitution for their noneconomic losses, but that it did not otherwise depart from the long-established rule, applicable in all other contexts, that statutory restitution is limited to economic losses.</w:t>
      </w:r>
    </w:p>
    <w:p w14:paraId="3A96D194" w14:textId="77777777" w:rsidR="00190AB2" w:rsidRDefault="00190AB2">
      <w:pPr>
        <w:pageBreakBefore/>
        <w:rPr>
          <w:color w:val="000000"/>
          <w:sz w:val="28"/>
          <w:szCs w:val="28"/>
        </w:rPr>
      </w:pPr>
    </w:p>
    <w:p w14:paraId="46F2FBB9" w14:textId="77777777" w:rsidR="00190AB2" w:rsidRDefault="00190AB2">
      <w:pPr>
        <w:pStyle w:val="Normal2"/>
        <w:rPr>
          <w:rFonts w:ascii="Century Schoolbook" w:hAnsi="Century Schoolbook"/>
        </w:rPr>
      </w:pPr>
      <w:r>
        <w:rPr>
          <w:rFonts w:ascii="Century Schoolbook" w:hAnsi="Century Schoolbook"/>
        </w:rPr>
        <w:t>I concur and dissent:</w:t>
      </w:r>
    </w:p>
    <w:p w14:paraId="72AFC3B1" w14:textId="77777777" w:rsidR="00190AB2" w:rsidRDefault="00190AB2">
      <w:pPr>
        <w:pStyle w:val="Normal2"/>
        <w:rPr>
          <w:rFonts w:ascii="Century Schoolbook" w:hAnsi="Century Schoolbook"/>
        </w:rPr>
      </w:pPr>
    </w:p>
    <w:p w14:paraId="5BF3552F" w14:textId="77777777" w:rsidR="00190AB2" w:rsidRDefault="00190AB2">
      <w:pPr>
        <w:pStyle w:val="Normal2"/>
        <w:rPr>
          <w:rFonts w:ascii="Century Schoolbook" w:hAnsi="Century Schoolbook"/>
        </w:rPr>
      </w:pPr>
    </w:p>
    <w:p w14:paraId="2117DDE4" w14:textId="77777777" w:rsidR="00190AB2" w:rsidRDefault="00190AB2">
      <w:pPr>
        <w:pStyle w:val="Normal2"/>
        <w:rPr>
          <w:rFonts w:ascii="Century Schoolbook" w:hAnsi="Century Schoolbook"/>
        </w:rPr>
      </w:pPr>
      <w:r>
        <w:rPr>
          <w:rFonts w:ascii="Century Schoolbook" w:hAnsi="Century Schoolbook"/>
        </w:rPr>
        <w:t>_________________________</w:t>
      </w:r>
    </w:p>
    <w:p w14:paraId="2BA84A4C" w14:textId="77777777" w:rsidR="00190AB2" w:rsidRDefault="00190AB2">
      <w:pPr>
        <w:pStyle w:val="Normal2"/>
      </w:pPr>
      <w:r>
        <w:rPr>
          <w:rFonts w:ascii="Century Schoolbook" w:hAnsi="Century Schoolbook"/>
        </w:rPr>
        <w:t>Banke, J.</w:t>
      </w:r>
    </w:p>
    <w:p w14:paraId="6B639462" w14:textId="6368037E" w:rsidR="00190AB2" w:rsidRDefault="00190AB2">
      <w:pPr>
        <w:tabs>
          <w:tab w:val="clear" w:pos="720"/>
        </w:tabs>
        <w:spacing w:after="160" w:line="259" w:lineRule="auto"/>
        <w:rPr>
          <w:rFonts w:ascii="Century Schoolbook" w:hAnsi="Century Schoolbook"/>
        </w:rPr>
      </w:pPr>
      <w:r>
        <w:rPr>
          <w:rFonts w:ascii="Century Schoolbook" w:hAnsi="Century Schoolbook"/>
        </w:rPr>
        <w:br w:type="page"/>
      </w:r>
    </w:p>
    <w:p w14:paraId="3C8F4377" w14:textId="3105E742" w:rsidR="00A53681" w:rsidRDefault="00A53681" w:rsidP="0025232B">
      <w:pPr>
        <w:spacing w:line="240" w:lineRule="auto"/>
        <w:rPr>
          <w:rFonts w:ascii="Century Schoolbook" w:hAnsi="Century Schoolbook"/>
        </w:rPr>
      </w:pPr>
      <w:r>
        <w:rPr>
          <w:rFonts w:ascii="Century Schoolbook" w:hAnsi="Century Schoolbook"/>
        </w:rPr>
        <w:t>Superior Court of Napa County</w:t>
      </w:r>
    </w:p>
    <w:p w14:paraId="4EDD0C56" w14:textId="77777777" w:rsidR="00A53681" w:rsidRDefault="00A53681" w:rsidP="0025232B">
      <w:pPr>
        <w:spacing w:line="240" w:lineRule="auto"/>
        <w:rPr>
          <w:rFonts w:ascii="Century Schoolbook" w:hAnsi="Century Schoolbook"/>
        </w:rPr>
      </w:pPr>
    </w:p>
    <w:p w14:paraId="6640645E" w14:textId="5F1BF6EF" w:rsidR="006D029D" w:rsidRPr="004D4030" w:rsidRDefault="006D029D" w:rsidP="0025232B">
      <w:pPr>
        <w:spacing w:line="240" w:lineRule="auto"/>
        <w:rPr>
          <w:rFonts w:ascii="Century Schoolbook" w:hAnsi="Century Schoolbook"/>
        </w:rPr>
      </w:pPr>
      <w:r w:rsidRPr="004D4030">
        <w:rPr>
          <w:rFonts w:ascii="Century Schoolbook" w:hAnsi="Century Schoolbook"/>
        </w:rPr>
        <w:t>Honorable Scott R.L. Young</w:t>
      </w:r>
    </w:p>
    <w:p w14:paraId="4F575239" w14:textId="77777777" w:rsidR="006D029D" w:rsidRPr="004D4030" w:rsidRDefault="006D029D" w:rsidP="0025232B">
      <w:pPr>
        <w:spacing w:line="240" w:lineRule="auto"/>
        <w:rPr>
          <w:rFonts w:ascii="Century Schoolbook" w:hAnsi="Century Schoolbook"/>
        </w:rPr>
      </w:pPr>
    </w:p>
    <w:p w14:paraId="63FA3A02" w14:textId="77777777" w:rsidR="006D029D" w:rsidRPr="004D4030" w:rsidRDefault="006D029D" w:rsidP="0025232B">
      <w:pPr>
        <w:spacing w:line="240" w:lineRule="auto"/>
        <w:rPr>
          <w:rFonts w:ascii="Century Schoolbook" w:hAnsi="Century Schoolbook"/>
        </w:rPr>
      </w:pPr>
      <w:r w:rsidRPr="004D4030">
        <w:rPr>
          <w:rFonts w:ascii="Century Schoolbook" w:hAnsi="Century Schoolbook"/>
        </w:rPr>
        <w:t xml:space="preserve">Counsel:  </w:t>
      </w:r>
    </w:p>
    <w:p w14:paraId="11904EBF" w14:textId="77777777" w:rsidR="006D029D" w:rsidRPr="004D4030" w:rsidRDefault="006D029D" w:rsidP="0025232B">
      <w:pPr>
        <w:spacing w:line="240" w:lineRule="auto"/>
        <w:rPr>
          <w:rFonts w:ascii="Century Schoolbook" w:hAnsi="Century Schoolbook"/>
        </w:rPr>
      </w:pPr>
    </w:p>
    <w:p w14:paraId="6829BE11" w14:textId="69C1422B" w:rsidR="006D029D" w:rsidRPr="004D4030" w:rsidRDefault="006D029D" w:rsidP="00877BC5">
      <w:pPr>
        <w:spacing w:line="240" w:lineRule="auto"/>
        <w:rPr>
          <w:rFonts w:ascii="Century Schoolbook" w:hAnsi="Century Schoolbook"/>
        </w:rPr>
      </w:pPr>
      <w:r w:rsidRPr="004D4030">
        <w:rPr>
          <w:rFonts w:ascii="Century Schoolbook" w:hAnsi="Century Schoolbook"/>
        </w:rPr>
        <w:t xml:space="preserve">Eric R. Larson </w:t>
      </w:r>
      <w:r w:rsidR="00FB4310">
        <w:rPr>
          <w:rFonts w:ascii="Century Schoolbook" w:hAnsi="Century Schoolbook"/>
        </w:rPr>
        <w:t xml:space="preserve">under appointment by the Court of Appeal, </w:t>
      </w:r>
      <w:r w:rsidRPr="004D4030">
        <w:rPr>
          <w:rFonts w:ascii="Century Schoolbook" w:hAnsi="Century Schoolbook"/>
        </w:rPr>
        <w:t>for Defendant and Appellant.</w:t>
      </w:r>
    </w:p>
    <w:p w14:paraId="246D735C" w14:textId="77777777" w:rsidR="006D029D" w:rsidRPr="004D4030" w:rsidRDefault="006D029D" w:rsidP="0025232B">
      <w:pPr>
        <w:spacing w:line="240" w:lineRule="auto"/>
        <w:rPr>
          <w:rFonts w:ascii="Century Schoolbook" w:hAnsi="Century Schoolbook"/>
        </w:rPr>
      </w:pPr>
    </w:p>
    <w:p w14:paraId="15EF5A74" w14:textId="073403E8" w:rsidR="006D029D" w:rsidRPr="004D4030" w:rsidRDefault="006D029D" w:rsidP="009A6360">
      <w:pPr>
        <w:spacing w:line="240" w:lineRule="auto"/>
        <w:rPr>
          <w:rFonts w:ascii="Century Schoolbook" w:hAnsi="Century Schoolbook"/>
        </w:rPr>
      </w:pPr>
      <w:r w:rsidRPr="004D4030">
        <w:rPr>
          <w:rFonts w:ascii="Century Schoolbook" w:hAnsi="Century Schoolbook"/>
        </w:rPr>
        <w:t xml:space="preserve">Rob Bonta, Attorney General, Lance E. Winters, Chief Assistant Attorney General, Jeffrey </w:t>
      </w:r>
      <w:r w:rsidR="008B417B">
        <w:rPr>
          <w:rFonts w:ascii="Century Schoolbook" w:hAnsi="Century Schoolbook"/>
        </w:rPr>
        <w:t xml:space="preserve">M. </w:t>
      </w:r>
      <w:r w:rsidRPr="004D4030">
        <w:rPr>
          <w:rFonts w:ascii="Century Schoolbook" w:hAnsi="Century Schoolbook"/>
        </w:rPr>
        <w:t xml:space="preserve">Laurence, Senior Assistant Attorney General, Amit Kurlekar, Deputy Attorney General, Victoria Ratnikova, Deputy Attorney General for Plaintiff and Respondent. </w:t>
      </w:r>
    </w:p>
    <w:p w14:paraId="1A6DD94D" w14:textId="77777777" w:rsidR="006D029D" w:rsidRPr="00057B4F" w:rsidRDefault="006D029D" w:rsidP="009A6360">
      <w:pPr>
        <w:spacing w:line="240" w:lineRule="auto"/>
        <w:rPr>
          <w:rFonts w:ascii="Century Schoolbook" w:hAnsi="Century Schoolbook"/>
        </w:rPr>
      </w:pPr>
    </w:p>
    <w:p w14:paraId="03362B8E" w14:textId="77777777" w:rsidR="006D029D" w:rsidRPr="00057B4F" w:rsidRDefault="006D029D">
      <w:pPr>
        <w:rPr>
          <w:rFonts w:ascii="Century Schoolbook" w:hAnsi="Century Schoolbook"/>
        </w:rPr>
      </w:pPr>
    </w:p>
    <w:p w14:paraId="4800225D" w14:textId="77777777" w:rsidR="00664432" w:rsidRPr="00664432" w:rsidRDefault="00664432" w:rsidP="00D64F5C">
      <w:pPr>
        <w:spacing w:line="240" w:lineRule="auto"/>
        <w:rPr>
          <w:rFonts w:ascii="Century Schoolbook" w:hAnsi="Century Schoolbook"/>
          <w:i/>
        </w:rPr>
      </w:pPr>
    </w:p>
    <w:p w14:paraId="2CE27B22" w14:textId="77777777" w:rsidR="00664432" w:rsidRPr="00E41254" w:rsidRDefault="00664432" w:rsidP="00D64F5C">
      <w:pPr>
        <w:spacing w:line="240" w:lineRule="auto"/>
        <w:rPr>
          <w:iCs/>
        </w:rPr>
      </w:pPr>
    </w:p>
    <w:p w14:paraId="048052AA" w14:textId="77777777" w:rsidR="00664432" w:rsidRDefault="00664432"/>
    <w:p w14:paraId="2DC20F1B" w14:textId="77777777" w:rsidR="004267FB" w:rsidRPr="00544159" w:rsidRDefault="004267FB">
      <w:pPr>
        <w:pStyle w:val="Text"/>
      </w:pPr>
    </w:p>
    <w:sectPr w:rsidR="004267FB" w:rsidRPr="00544159" w:rsidSect="0089139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980C" w14:textId="77777777" w:rsidR="00425D95" w:rsidRDefault="00425D95" w:rsidP="00514AB4">
      <w:pPr>
        <w:spacing w:line="240" w:lineRule="auto"/>
      </w:pPr>
      <w:r>
        <w:separator/>
      </w:r>
    </w:p>
  </w:endnote>
  <w:endnote w:type="continuationSeparator" w:id="0">
    <w:p w14:paraId="3876AE5D" w14:textId="77777777" w:rsidR="00425D95" w:rsidRDefault="00425D95" w:rsidP="00514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EAA" w14:textId="77777777" w:rsidR="00812E36" w:rsidRDefault="00812E36" w:rsidP="00154D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A03722" w14:textId="77777777" w:rsidR="00812E36" w:rsidRDefault="00812E36" w:rsidP="00154D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6FCFBE" w14:textId="77777777" w:rsidR="00812E36" w:rsidRDefault="00812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6664" w14:textId="66BD7003" w:rsidR="00812E36" w:rsidRDefault="00812E36" w:rsidP="00514A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6591">
      <w:rPr>
        <w:rStyle w:val="PageNumber"/>
        <w:noProof/>
      </w:rPr>
      <w:t>10</w:t>
    </w:r>
    <w:r>
      <w:rPr>
        <w:rStyle w:val="PageNumber"/>
      </w:rPr>
      <w:fldChar w:fldCharType="end"/>
    </w:r>
  </w:p>
  <w:p w14:paraId="2AE9E5BE" w14:textId="77777777" w:rsidR="00812E36" w:rsidRDefault="0081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1756" w14:textId="77777777" w:rsidR="00425D95" w:rsidRDefault="00425D95" w:rsidP="00514AB4">
      <w:pPr>
        <w:spacing w:line="240" w:lineRule="auto"/>
      </w:pPr>
      <w:r>
        <w:separator/>
      </w:r>
    </w:p>
  </w:footnote>
  <w:footnote w:type="continuationSeparator" w:id="0">
    <w:p w14:paraId="6AB19ECD" w14:textId="77777777" w:rsidR="00425D95" w:rsidRDefault="00425D95" w:rsidP="00514AB4">
      <w:pPr>
        <w:spacing w:line="240" w:lineRule="auto"/>
      </w:pPr>
      <w:r>
        <w:continuationSeparator/>
      </w:r>
    </w:p>
  </w:footnote>
  <w:footnote w:id="1">
    <w:p w14:paraId="3E38DEE5" w14:textId="0AB8BBD7" w:rsidR="00D15BBA" w:rsidRPr="00D15BBA" w:rsidRDefault="00D15BBA" w:rsidP="00D15BBA">
      <w:pPr>
        <w:pStyle w:val="FootnoteText"/>
        <w:ind w:firstLine="720"/>
        <w:rPr>
          <w:rFonts w:ascii="Century Schoolbook" w:hAnsi="Century Schoolbook"/>
        </w:rPr>
      </w:pPr>
      <w:r w:rsidRPr="00D15BBA">
        <w:rPr>
          <w:rStyle w:val="FootnoteReference"/>
          <w:rFonts w:ascii="Century Schoolbook" w:hAnsi="Century Schoolbook"/>
        </w:rPr>
        <w:footnoteRef/>
      </w:r>
      <w:r w:rsidRPr="00D15BBA">
        <w:rPr>
          <w:rFonts w:ascii="Century Schoolbook" w:hAnsi="Century Schoolbook"/>
        </w:rPr>
        <w:t xml:space="preserve"> </w:t>
      </w:r>
      <w:r>
        <w:rPr>
          <w:rFonts w:ascii="Century Schoolbook" w:hAnsi="Century Schoolbook"/>
        </w:rPr>
        <w:t>All undesignated statutory references are to the Penal Code.</w:t>
      </w:r>
    </w:p>
  </w:footnote>
  <w:footnote w:id="2">
    <w:p w14:paraId="365F973F" w14:textId="63A21313" w:rsidR="00A313D0" w:rsidRPr="00B3097B" w:rsidRDefault="00A313D0" w:rsidP="00A313D0">
      <w:pPr>
        <w:pStyle w:val="FootnoteText"/>
        <w:ind w:firstLine="720"/>
        <w:rPr>
          <w:rFonts w:ascii="Century Schoolbook" w:hAnsi="Century Schoolbook"/>
        </w:rPr>
      </w:pPr>
      <w:r w:rsidRPr="00A313D0">
        <w:rPr>
          <w:rStyle w:val="FootnoteReference"/>
          <w:rFonts w:ascii="Century Schoolbook" w:hAnsi="Century Schoolbook"/>
        </w:rPr>
        <w:footnoteRef/>
      </w:r>
      <w:r w:rsidRPr="00A313D0">
        <w:rPr>
          <w:rFonts w:ascii="Century Schoolbook" w:hAnsi="Century Schoolbook"/>
        </w:rPr>
        <w:t xml:space="preserve"> Villegas’s many cases cited in support of his position are easily distinguishable.</w:t>
      </w:r>
      <w:r w:rsidR="00B3097B">
        <w:rPr>
          <w:rFonts w:ascii="Century Schoolbook" w:hAnsi="Century Schoolbook"/>
        </w:rPr>
        <w:t xml:space="preserve">  (See </w:t>
      </w:r>
      <w:r w:rsidR="00B3097B">
        <w:rPr>
          <w:rFonts w:ascii="Century Schoolbook" w:hAnsi="Century Schoolbook"/>
          <w:i/>
          <w:iCs/>
        </w:rPr>
        <w:t>People v. Davis</w:t>
      </w:r>
      <w:r w:rsidR="00B3097B">
        <w:rPr>
          <w:rFonts w:ascii="Century Schoolbook" w:hAnsi="Century Schoolbook"/>
        </w:rPr>
        <w:t xml:space="preserve"> (2009) 46 Cal.4th</w:t>
      </w:r>
      <w:r w:rsidR="00B3097B">
        <w:rPr>
          <w:rFonts w:ascii="Century Schoolbook" w:hAnsi="Century Schoolbook"/>
          <w:i/>
          <w:iCs/>
        </w:rPr>
        <w:t xml:space="preserve"> </w:t>
      </w:r>
      <w:r w:rsidR="00B3097B">
        <w:rPr>
          <w:rFonts w:ascii="Century Schoolbook" w:hAnsi="Century Schoolbook"/>
        </w:rPr>
        <w:t>539</w:t>
      </w:r>
      <w:r w:rsidR="00561E02">
        <w:rPr>
          <w:rFonts w:ascii="Century Schoolbook" w:hAnsi="Century Schoolbook"/>
        </w:rPr>
        <w:t>, 588 [defendant said “ ‘get me a lawyer’ ” and he was “ ‘over and done’ ” answering any questions]</w:t>
      </w:r>
      <w:r w:rsidR="00B3097B">
        <w:rPr>
          <w:rFonts w:ascii="Century Schoolbook" w:hAnsi="Century Schoolbook"/>
        </w:rPr>
        <w:t>;</w:t>
      </w:r>
      <w:r w:rsidR="00B3097B">
        <w:rPr>
          <w:rFonts w:ascii="Century Schoolbook" w:hAnsi="Century Schoolbook"/>
          <w:i/>
          <w:iCs/>
        </w:rPr>
        <w:t xml:space="preserve"> People v. Neal</w:t>
      </w:r>
      <w:r w:rsidR="00B3097B">
        <w:rPr>
          <w:rFonts w:ascii="Century Schoolbook" w:hAnsi="Century Schoolbook"/>
        </w:rPr>
        <w:t xml:space="preserve"> (2003) 31 Cal.4th 63</w:t>
      </w:r>
      <w:r w:rsidR="00F82D25">
        <w:rPr>
          <w:rFonts w:ascii="Century Schoolbook" w:hAnsi="Century Schoolbook"/>
        </w:rPr>
        <w:t>, 73–74 [defendant stated he was “</w:t>
      </w:r>
      <w:r w:rsidR="00733289">
        <w:rPr>
          <w:rFonts w:ascii="Century Schoolbook" w:hAnsi="Century Schoolbook"/>
        </w:rPr>
        <w:t> ‘</w:t>
      </w:r>
      <w:r w:rsidR="00F82D25">
        <w:rPr>
          <w:rFonts w:ascii="Century Schoolbook" w:hAnsi="Century Schoolbook"/>
        </w:rPr>
        <w:t>ready to go right now</w:t>
      </w:r>
      <w:r w:rsidR="00733289">
        <w:rPr>
          <w:rFonts w:ascii="Century Schoolbook" w:hAnsi="Century Schoolbook"/>
        </w:rPr>
        <w:t>’ </w:t>
      </w:r>
      <w:r w:rsidR="00F82D25">
        <w:rPr>
          <w:rFonts w:ascii="Century Schoolbook" w:hAnsi="Century Schoolbook"/>
        </w:rPr>
        <w:t>” and “</w:t>
      </w:r>
      <w:r w:rsidR="00733289">
        <w:rPr>
          <w:rFonts w:ascii="Century Schoolbook" w:hAnsi="Century Schoolbook"/>
        </w:rPr>
        <w:t> ‘</w:t>
      </w:r>
      <w:r w:rsidR="00F82D25">
        <w:rPr>
          <w:rFonts w:ascii="Century Schoolbook" w:hAnsi="Century Schoolbook"/>
        </w:rPr>
        <w:t>I am not saying nothing now</w:t>
      </w:r>
      <w:r w:rsidR="00733289">
        <w:rPr>
          <w:rFonts w:ascii="Century Schoolbook" w:hAnsi="Century Schoolbook"/>
        </w:rPr>
        <w:t>’ </w:t>
      </w:r>
      <w:r w:rsidR="00F82D25">
        <w:rPr>
          <w:rFonts w:ascii="Century Schoolbook" w:hAnsi="Century Schoolbook"/>
        </w:rPr>
        <w:t xml:space="preserve">” and invoked his right to counsel nine times but questioning continued; detective later admitted he intentionally violated </w:t>
      </w:r>
      <w:r w:rsidR="00F82D25">
        <w:rPr>
          <w:rFonts w:ascii="Century Schoolbook" w:hAnsi="Century Schoolbook"/>
          <w:i/>
          <w:iCs/>
        </w:rPr>
        <w:t>Miranda</w:t>
      </w:r>
      <w:r w:rsidR="00561E02">
        <w:rPr>
          <w:rFonts w:ascii="Century Schoolbook" w:hAnsi="Century Schoolbook"/>
        </w:rPr>
        <w:t xml:space="preserve"> in an attempt to get impeachment evidence for trial</w:t>
      </w:r>
      <w:r w:rsidR="00F82D25">
        <w:rPr>
          <w:rFonts w:ascii="Century Schoolbook" w:hAnsi="Century Schoolbook"/>
        </w:rPr>
        <w:t>]</w:t>
      </w:r>
      <w:r w:rsidR="00B3097B">
        <w:rPr>
          <w:rFonts w:ascii="Century Schoolbook" w:hAnsi="Century Schoolbook"/>
        </w:rPr>
        <w:t xml:space="preserve">; </w:t>
      </w:r>
      <w:r w:rsidR="00F82D25">
        <w:rPr>
          <w:rFonts w:ascii="Century Schoolbook" w:hAnsi="Century Schoolbook"/>
          <w:i/>
          <w:iCs/>
        </w:rPr>
        <w:t>People v. Shamblin</w:t>
      </w:r>
      <w:r w:rsidR="00F82D25">
        <w:rPr>
          <w:rFonts w:ascii="Century Schoolbook" w:hAnsi="Century Schoolbook"/>
        </w:rPr>
        <w:t xml:space="preserve"> (2015) 236 Cal.App.4th</w:t>
      </w:r>
      <w:r w:rsidR="00F82D25">
        <w:rPr>
          <w:rFonts w:ascii="Century Schoolbook" w:hAnsi="Century Schoolbook"/>
          <w:i/>
          <w:iCs/>
        </w:rPr>
        <w:t xml:space="preserve"> </w:t>
      </w:r>
      <w:r w:rsidR="00F82D25">
        <w:rPr>
          <w:rFonts w:ascii="Century Schoolbook" w:hAnsi="Century Schoolbook"/>
        </w:rPr>
        <w:t>1</w:t>
      </w:r>
      <w:r w:rsidR="00770EC5">
        <w:rPr>
          <w:rFonts w:ascii="Century Schoolbook" w:hAnsi="Century Schoolbook"/>
        </w:rPr>
        <w:t>, 20 [“ ‘I really don’t want to continue the interview without at least seeking some advice’ ”was valid invocation of right to counsel]</w:t>
      </w:r>
      <w:r w:rsidR="00F82D25">
        <w:rPr>
          <w:rFonts w:ascii="Century Schoolbook" w:hAnsi="Century Schoolbook"/>
        </w:rPr>
        <w:t xml:space="preserve">; </w:t>
      </w:r>
      <w:r w:rsidR="00B3097B">
        <w:rPr>
          <w:rFonts w:ascii="Century Schoolbook" w:hAnsi="Century Schoolbook"/>
          <w:i/>
          <w:iCs/>
        </w:rPr>
        <w:t>People v. Villasenor</w:t>
      </w:r>
      <w:r w:rsidR="00B3097B">
        <w:rPr>
          <w:rFonts w:ascii="Century Schoolbook" w:hAnsi="Century Schoolbook"/>
        </w:rPr>
        <w:t xml:space="preserve"> (2015) </w:t>
      </w:r>
      <w:r w:rsidR="00F82D25">
        <w:rPr>
          <w:rFonts w:ascii="Century Schoolbook" w:hAnsi="Century Schoolbook"/>
        </w:rPr>
        <w:t>242 Cal.App.4th</w:t>
      </w:r>
      <w:r w:rsidR="00B3097B">
        <w:rPr>
          <w:rFonts w:ascii="Century Schoolbook" w:hAnsi="Century Schoolbook"/>
        </w:rPr>
        <w:t xml:space="preserve"> </w:t>
      </w:r>
      <w:r w:rsidR="00F82D25">
        <w:rPr>
          <w:rFonts w:ascii="Century Schoolbook" w:hAnsi="Century Schoolbook"/>
        </w:rPr>
        <w:t>42</w:t>
      </w:r>
      <w:r w:rsidR="00770EC5">
        <w:rPr>
          <w:rFonts w:ascii="Century Schoolbook" w:hAnsi="Century Schoolbook"/>
        </w:rPr>
        <w:t>, 56–65 [among other indications he want</w:t>
      </w:r>
      <w:r w:rsidR="00641B5B">
        <w:rPr>
          <w:rFonts w:ascii="Century Schoolbook" w:hAnsi="Century Schoolbook"/>
        </w:rPr>
        <w:t>ed</w:t>
      </w:r>
      <w:r w:rsidR="00770EC5">
        <w:rPr>
          <w:rFonts w:ascii="Century Schoolbook" w:hAnsi="Century Schoolbook"/>
        </w:rPr>
        <w:t xml:space="preserve"> to end the interrogation the defendant told the detective to take him home 13 times in 14 minutes]</w:t>
      </w:r>
      <w:r w:rsidR="00F82D25">
        <w:rPr>
          <w:rFonts w:ascii="Century Schoolbook" w:hAnsi="Century Schoolbook"/>
        </w:rPr>
        <w:t xml:space="preserve">; </w:t>
      </w:r>
      <w:r w:rsidR="00F82D25">
        <w:rPr>
          <w:rFonts w:ascii="Century Schoolbook" w:hAnsi="Century Schoolbook"/>
          <w:i/>
          <w:iCs/>
        </w:rPr>
        <w:t>People v. Carey</w:t>
      </w:r>
      <w:r w:rsidR="00F82D25">
        <w:rPr>
          <w:rFonts w:ascii="Century Schoolbook" w:hAnsi="Century Schoolbook"/>
        </w:rPr>
        <w:t xml:space="preserve"> (1986) 183 Cal.App.3d 99</w:t>
      </w:r>
      <w:r w:rsidR="00770EC5">
        <w:rPr>
          <w:rFonts w:ascii="Century Schoolbook" w:hAnsi="Century Schoolbook"/>
        </w:rPr>
        <w:t xml:space="preserve"> [after </w:t>
      </w:r>
      <w:r w:rsidR="00770EC5">
        <w:rPr>
          <w:rFonts w:ascii="Century Schoolbook" w:hAnsi="Century Schoolbook"/>
          <w:i/>
          <w:iCs/>
        </w:rPr>
        <w:t>Miranda</w:t>
      </w:r>
      <w:r w:rsidR="00770EC5">
        <w:rPr>
          <w:rFonts w:ascii="Century Schoolbook" w:hAnsi="Century Schoolbook"/>
        </w:rPr>
        <w:t xml:space="preserve"> advisement, the defendant said four times “ ‘I ain’t got nothin’ to say’ ”</w:t>
      </w:r>
      <w:r w:rsidR="009522C9">
        <w:rPr>
          <w:rFonts w:ascii="Century Schoolbook" w:hAnsi="Century Schoolbook"/>
        </w:rPr>
        <w:t>]</w:t>
      </w:r>
      <w:r w:rsidR="00F82D25">
        <w:rPr>
          <w:rFonts w:ascii="Century Schoolbook" w:hAnsi="Century Schoolbook"/>
        </w:rPr>
        <w:t xml:space="preserve">; </w:t>
      </w:r>
      <w:r w:rsidR="00F82D25">
        <w:rPr>
          <w:rFonts w:ascii="Century Schoolbook" w:hAnsi="Century Schoolbook"/>
          <w:i/>
          <w:iCs/>
        </w:rPr>
        <w:t>Jones v. Harrington</w:t>
      </w:r>
      <w:r w:rsidR="00F82D25">
        <w:rPr>
          <w:rFonts w:ascii="Century Schoolbook" w:hAnsi="Century Schoolbook"/>
        </w:rPr>
        <w:t xml:space="preserve"> (9th Cir. 2016) 829 F.3d 1128</w:t>
      </w:r>
      <w:r w:rsidR="009522C9">
        <w:rPr>
          <w:rFonts w:ascii="Century Schoolbook" w:hAnsi="Century Schoolbook"/>
        </w:rPr>
        <w:t>, 1134 [“ ‘I don’t want to talk no more</w:t>
      </w:r>
      <w:r w:rsidR="00733289">
        <w:rPr>
          <w:rFonts w:ascii="Century Schoolbook" w:hAnsi="Century Schoolbook"/>
        </w:rPr>
        <w:t>,</w:t>
      </w:r>
      <w:r w:rsidR="009522C9">
        <w:rPr>
          <w:rFonts w:ascii="Century Schoolbook" w:hAnsi="Century Schoolbook"/>
        </w:rPr>
        <w:t xml:space="preserve"> man’ ”]</w:t>
      </w:r>
      <w:r w:rsidR="00F82D25">
        <w:rPr>
          <w:rFonts w:ascii="Century Schoolbook" w:hAnsi="Century Schoolbook"/>
        </w:rPr>
        <w:t xml:space="preserve">; </w:t>
      </w:r>
      <w:r w:rsidR="00F82D25">
        <w:rPr>
          <w:rFonts w:ascii="Century Schoolbook" w:hAnsi="Century Schoolbook"/>
          <w:i/>
          <w:iCs/>
        </w:rPr>
        <w:t>United States v. Poole</w:t>
      </w:r>
      <w:r w:rsidR="00F82D25">
        <w:rPr>
          <w:rFonts w:ascii="Century Schoolbook" w:hAnsi="Century Schoolbook"/>
        </w:rPr>
        <w:t xml:space="preserve"> (9th Cir. 1986) 794 F.2d 462</w:t>
      </w:r>
      <w:r w:rsidR="009522C9">
        <w:rPr>
          <w:rFonts w:ascii="Century Schoolbook" w:hAnsi="Century Schoolbook"/>
        </w:rPr>
        <w:t>, 464–466 [defendant refused to sign advisement of rights card, said he knew nothing and that he had “ ‘nothing to talk about’ ”]</w:t>
      </w:r>
      <w:r w:rsidR="00F82D25">
        <w:rPr>
          <w:rFonts w:ascii="Century Schoolbook" w:hAnsi="Century Schoolbook"/>
        </w:rPr>
        <w:t xml:space="preserve">; </w:t>
      </w:r>
      <w:r w:rsidR="00F82D25">
        <w:rPr>
          <w:rFonts w:ascii="Century Schoolbook" w:hAnsi="Century Schoolbook"/>
          <w:i/>
          <w:iCs/>
        </w:rPr>
        <w:t>Christopher v. State of Florida</w:t>
      </w:r>
      <w:r w:rsidR="00F82D25">
        <w:rPr>
          <w:rFonts w:ascii="Century Schoolbook" w:hAnsi="Century Schoolbook"/>
        </w:rPr>
        <w:t xml:space="preserve"> (11th Cir. 198</w:t>
      </w:r>
      <w:r w:rsidR="00733289">
        <w:rPr>
          <w:rFonts w:ascii="Century Schoolbook" w:hAnsi="Century Schoolbook"/>
        </w:rPr>
        <w:t>7</w:t>
      </w:r>
      <w:r w:rsidR="00F82D25">
        <w:rPr>
          <w:rFonts w:ascii="Century Schoolbook" w:hAnsi="Century Schoolbook"/>
        </w:rPr>
        <w:t>) 824 F.2d 836</w:t>
      </w:r>
      <w:r w:rsidR="00733289">
        <w:rPr>
          <w:rFonts w:ascii="Century Schoolbook" w:hAnsi="Century Schoolbook"/>
        </w:rPr>
        <w:t>, 840</w:t>
      </w:r>
      <w:r w:rsidR="009522C9">
        <w:rPr>
          <w:rFonts w:ascii="Century Schoolbook" w:hAnsi="Century Schoolbook"/>
        </w:rPr>
        <w:t xml:space="preserve"> [statement made twice “ ‘I got nothing else to say’ ” after awareness he was being accused of murder]</w:t>
      </w:r>
      <w:r w:rsidR="00F82D25">
        <w:rPr>
          <w:rFonts w:ascii="Century Schoolbook" w:hAnsi="Century Schoolbook"/>
        </w:rPr>
        <w:t xml:space="preserve">.)        </w:t>
      </w:r>
      <w:r w:rsidR="00B3097B">
        <w:rPr>
          <w:rFonts w:ascii="Century Schoolbook" w:hAnsi="Century Schoolbook"/>
        </w:rPr>
        <w:t xml:space="preserve">       </w:t>
      </w:r>
    </w:p>
  </w:footnote>
  <w:footnote w:id="3">
    <w:p w14:paraId="6F72D74F" w14:textId="5A95D3A9" w:rsidR="008D2F88" w:rsidRPr="00F83836" w:rsidRDefault="008D2F88" w:rsidP="008D2F88">
      <w:pPr>
        <w:pStyle w:val="FootnoteText"/>
        <w:ind w:firstLine="720"/>
        <w:rPr>
          <w:rFonts w:ascii="Century Schoolbook" w:hAnsi="Century Schoolbook"/>
        </w:rPr>
      </w:pPr>
      <w:r w:rsidRPr="00250C6C">
        <w:rPr>
          <w:rStyle w:val="FootnoteReference"/>
          <w:rFonts w:ascii="Century Schoolbook" w:hAnsi="Century Schoolbook"/>
        </w:rPr>
        <w:footnoteRef/>
      </w:r>
      <w:r w:rsidRPr="00250C6C">
        <w:rPr>
          <w:rFonts w:ascii="Century Schoolbook" w:hAnsi="Century Schoolbook"/>
        </w:rPr>
        <w:t xml:space="preserve"> Although defense counsel argued </w:t>
      </w:r>
      <w:r w:rsidR="00250C6C">
        <w:rPr>
          <w:rFonts w:ascii="Century Schoolbook" w:hAnsi="Century Schoolbook"/>
        </w:rPr>
        <w:t xml:space="preserve">at sentencing that counts eight through ten should be sentenced concurrently as a single act, he did not raise this pleading deficiency in the </w:t>
      </w:r>
      <w:r w:rsidR="00250C6C" w:rsidRPr="00F83836">
        <w:rPr>
          <w:rFonts w:ascii="Century Schoolbook" w:hAnsi="Century Schoolbook"/>
        </w:rPr>
        <w:t>trial court.</w:t>
      </w:r>
      <w:r w:rsidRPr="00F83836">
        <w:rPr>
          <w:rFonts w:ascii="Century Schoolbook" w:hAnsi="Century Schoolbook"/>
        </w:rPr>
        <w:t xml:space="preserve"> </w:t>
      </w:r>
      <w:r w:rsidR="00250C6C" w:rsidRPr="00F83836">
        <w:rPr>
          <w:rFonts w:ascii="Century Schoolbook" w:hAnsi="Century Schoolbook"/>
        </w:rPr>
        <w:t xml:space="preserve"> We nevertheless reach the issue.  (See </w:t>
      </w:r>
      <w:r w:rsidR="00250C6C" w:rsidRPr="00F83836">
        <w:rPr>
          <w:rFonts w:ascii="Century Schoolbook" w:hAnsi="Century Schoolbook"/>
          <w:i/>
          <w:iCs/>
        </w:rPr>
        <w:t>Mancebo</w:t>
      </w:r>
      <w:r w:rsidR="00250C6C" w:rsidRPr="00F83836">
        <w:rPr>
          <w:rFonts w:ascii="Century Schoolbook" w:hAnsi="Century Schoolbook"/>
        </w:rPr>
        <w:t xml:space="preserve">, </w:t>
      </w:r>
      <w:r w:rsidR="00250C6C" w:rsidRPr="00F83836">
        <w:rPr>
          <w:rFonts w:ascii="Century Schoolbook" w:hAnsi="Century Schoolbook"/>
          <w:i/>
          <w:iCs/>
        </w:rPr>
        <w:t>supra</w:t>
      </w:r>
      <w:r w:rsidR="00250C6C" w:rsidRPr="00F83836">
        <w:rPr>
          <w:rFonts w:ascii="Century Schoolbook" w:hAnsi="Century Schoolbook"/>
        </w:rPr>
        <w:t xml:space="preserve">, 27 Cal.4th at p. 749, fn.7 [distinguishing </w:t>
      </w:r>
      <w:r w:rsidR="003F5EB4" w:rsidRPr="00F83836">
        <w:rPr>
          <w:rFonts w:ascii="Century Schoolbook" w:hAnsi="Century Schoolbook"/>
          <w:color w:val="000000"/>
          <w:szCs w:val="26"/>
        </w:rPr>
        <w:t>as outside the scope of the waiver rule “nonwaivable errors such as ‘legal error resulting in an unauthorized sentence [that] commonly occurs where the court violates mandatory provisions governing the length of confinement</w:t>
      </w:r>
      <w:proofErr w:type="gramStart"/>
      <w:r w:rsidR="003F5EB4" w:rsidRPr="00F83836">
        <w:rPr>
          <w:rFonts w:ascii="Century Schoolbook" w:hAnsi="Century Schoolbook"/>
          <w:color w:val="000000"/>
          <w:szCs w:val="26"/>
        </w:rPr>
        <w:t>’ ”</w:t>
      </w:r>
      <w:proofErr w:type="gramEnd"/>
      <w:r w:rsidR="003F5EB4" w:rsidRPr="00F83836">
        <w:rPr>
          <w:rFonts w:ascii="Century Schoolbook" w:hAnsi="Century Schoolbook"/>
          <w:color w:val="000000"/>
          <w:szCs w:val="26"/>
        </w:rPr>
        <w:t>]</w:t>
      </w:r>
      <w:r w:rsidR="00F83836" w:rsidRPr="00F83836">
        <w:rPr>
          <w:rFonts w:ascii="Century Schoolbook" w:hAnsi="Century Schoolbook"/>
          <w:color w:val="000000"/>
          <w:szCs w:val="26"/>
        </w:rPr>
        <w:t xml:space="preserve">; accord, </w:t>
      </w:r>
      <w:r w:rsidR="00F83836" w:rsidRPr="00F83836">
        <w:rPr>
          <w:rFonts w:ascii="Century Schoolbook" w:hAnsi="Century Schoolbook"/>
          <w:i/>
          <w:iCs/>
        </w:rPr>
        <w:t>People v. Jimenez</w:t>
      </w:r>
      <w:r w:rsidR="00F83836" w:rsidRPr="00F83836">
        <w:rPr>
          <w:rFonts w:ascii="Century Schoolbook" w:hAnsi="Century Schoolbook"/>
        </w:rPr>
        <w:t xml:space="preserve"> (2019) 35 Cal.App.5th</w:t>
      </w:r>
      <w:r w:rsidR="00F83836" w:rsidRPr="00F83836">
        <w:rPr>
          <w:rFonts w:ascii="Century Schoolbook" w:hAnsi="Century Schoolbook"/>
          <w:i/>
          <w:iCs/>
        </w:rPr>
        <w:t xml:space="preserve"> </w:t>
      </w:r>
      <w:r w:rsidR="00F83836" w:rsidRPr="00F83836">
        <w:rPr>
          <w:rFonts w:ascii="Century Schoolbook" w:hAnsi="Century Schoolbook"/>
        </w:rPr>
        <w:t>373</w:t>
      </w:r>
      <w:r w:rsidR="00F83836">
        <w:rPr>
          <w:rFonts w:ascii="Century Schoolbook" w:hAnsi="Century Schoolbook"/>
        </w:rPr>
        <w:t xml:space="preserve">, 395 </w:t>
      </w:r>
      <w:r w:rsidR="00F83836" w:rsidRPr="00F83836">
        <w:rPr>
          <w:rFonts w:ascii="Century Schoolbook" w:hAnsi="Century Schoolbook"/>
        </w:rPr>
        <w:t>(</w:t>
      </w:r>
      <w:r w:rsidR="00F83836" w:rsidRPr="00F83836">
        <w:rPr>
          <w:rFonts w:ascii="Century Schoolbook" w:hAnsi="Century Schoolbook"/>
          <w:i/>
          <w:iCs/>
        </w:rPr>
        <w:t>Jimenez</w:t>
      </w:r>
      <w:r w:rsidR="00F83836" w:rsidRPr="00F83836">
        <w:rPr>
          <w:rFonts w:ascii="Century Schoolbook" w:hAnsi="Century Schoolbook"/>
        </w:rPr>
        <w:t>)</w:t>
      </w:r>
      <w:r w:rsidR="003F5EB4" w:rsidRPr="00F83836">
        <w:rPr>
          <w:rFonts w:ascii="Century Schoolbook" w:hAnsi="Century Schoolbook"/>
          <w:color w:val="000000"/>
          <w:szCs w:val="26"/>
        </w:rPr>
        <w:t>.)</w:t>
      </w:r>
      <w:r w:rsidR="003F5EB4" w:rsidRPr="00F83836">
        <w:rPr>
          <w:rFonts w:ascii="Century Schoolbook" w:hAnsi="Century Schoolbook"/>
          <w:color w:val="000000"/>
        </w:rPr>
        <w:t xml:space="preserve"> </w:t>
      </w:r>
      <w:r w:rsidR="00250C6C" w:rsidRPr="00F83836">
        <w:rPr>
          <w:rFonts w:ascii="Century Schoolbook" w:hAnsi="Century Schoolbook"/>
        </w:rPr>
        <w:t xml:space="preserve">  </w:t>
      </w:r>
    </w:p>
  </w:footnote>
  <w:footnote w:id="4">
    <w:p w14:paraId="4639E61D" w14:textId="0D1E9F3B" w:rsidR="001526BA" w:rsidRPr="00914D02" w:rsidRDefault="001526BA" w:rsidP="001526BA">
      <w:pPr>
        <w:pStyle w:val="FootnoteText"/>
        <w:ind w:firstLine="720"/>
        <w:rPr>
          <w:rFonts w:ascii="Century Schoolbook" w:hAnsi="Century Schoolbook"/>
        </w:rPr>
      </w:pPr>
      <w:r>
        <w:rPr>
          <w:rStyle w:val="FootnoteReference"/>
        </w:rPr>
        <w:footnoteRef/>
      </w:r>
      <w:r>
        <w:t xml:space="preserve"> </w:t>
      </w:r>
      <w:r w:rsidRPr="00914D02">
        <w:rPr>
          <w:rFonts w:ascii="Century Schoolbook" w:hAnsi="Century Schoolbook"/>
        </w:rPr>
        <w:t>As stated above, with respect to Jane Doe Three, the jury convicted Villegas of forcible rape of a minor over 14 (§ 261, subd. (a)(2), count eight), sexual penetration by a foreign object on a minor over 14 (§ 289, subd. (a)(1)(C), count nine), and forcible oral copulation of a minor over 14 (former § 288a, subd. (c)(2)(C); see now § 287, subd. (c)(2)(C), count ten).</w:t>
      </w:r>
      <w:r>
        <w:rPr>
          <w:rFonts w:ascii="Century Schoolbook" w:hAnsi="Century Schoolbook"/>
        </w:rPr>
        <w:t xml:space="preserve">  All of these are qualifying offenses under subdivision (c) of section 667.61.  (See § 667.61, subd. (c)(1), (5), &amp; (7).)</w:t>
      </w:r>
    </w:p>
    <w:p w14:paraId="57A6F04C" w14:textId="363DBCC7" w:rsidR="001526BA" w:rsidRDefault="001526BA" w:rsidP="001526BA">
      <w:pPr>
        <w:pStyle w:val="FootnoteText"/>
        <w:ind w:firstLine="720"/>
      </w:pPr>
    </w:p>
  </w:footnote>
  <w:footnote w:id="5">
    <w:p w14:paraId="5119BE9B" w14:textId="1F481354" w:rsidR="003A071A" w:rsidRPr="003A071A" w:rsidRDefault="003A071A" w:rsidP="003A071A">
      <w:pPr>
        <w:pStyle w:val="FootnoteText"/>
        <w:ind w:firstLine="720"/>
        <w:rPr>
          <w:rFonts w:ascii="Century Schoolbook" w:hAnsi="Century Schoolbook"/>
        </w:rPr>
      </w:pPr>
      <w:r w:rsidRPr="003A071A">
        <w:rPr>
          <w:rStyle w:val="FootnoteReference"/>
          <w:rFonts w:ascii="Century Schoolbook" w:hAnsi="Century Schoolbook"/>
        </w:rPr>
        <w:footnoteRef/>
      </w:r>
      <w:r w:rsidRPr="003A071A">
        <w:rPr>
          <w:rFonts w:ascii="Century Schoolbook" w:hAnsi="Century Schoolbook"/>
        </w:rPr>
        <w:t xml:space="preserve"> </w:t>
      </w:r>
      <w:r w:rsidRPr="003A071A">
        <w:rPr>
          <w:rFonts w:ascii="Century Schoolbook" w:hAnsi="Century Schoolbook"/>
          <w:color w:val="212121"/>
          <w:shd w:val="clear" w:color="auto" w:fill="FFFFFF"/>
        </w:rPr>
        <w:t xml:space="preserve">, </w:t>
      </w:r>
      <w:r>
        <w:rPr>
          <w:rFonts w:ascii="Century Schoolbook" w:hAnsi="Century Schoolbook"/>
          <w:color w:val="212121"/>
          <w:shd w:val="clear" w:color="auto" w:fill="FFFFFF"/>
        </w:rPr>
        <w:t xml:space="preserve">The </w:t>
      </w:r>
      <w:r>
        <w:rPr>
          <w:rFonts w:ascii="Century Schoolbook" w:hAnsi="Century Schoolbook"/>
          <w:i/>
          <w:iCs/>
          <w:color w:val="212121"/>
          <w:shd w:val="clear" w:color="auto" w:fill="FFFFFF"/>
        </w:rPr>
        <w:t xml:space="preserve">Mancebo </w:t>
      </w:r>
      <w:r>
        <w:rPr>
          <w:rFonts w:ascii="Century Schoolbook" w:hAnsi="Century Schoolbook"/>
          <w:color w:val="212121"/>
          <w:shd w:val="clear" w:color="auto" w:fill="FFFFFF"/>
        </w:rPr>
        <w:t xml:space="preserve">Court </w:t>
      </w:r>
      <w:r w:rsidR="00931386">
        <w:rPr>
          <w:rFonts w:ascii="Century Schoolbook" w:hAnsi="Century Schoolbook"/>
          <w:color w:val="212121"/>
          <w:shd w:val="clear" w:color="auto" w:fill="FFFFFF"/>
        </w:rPr>
        <w:t xml:space="preserve">also </w:t>
      </w:r>
      <w:r>
        <w:rPr>
          <w:rFonts w:ascii="Century Schoolbook" w:hAnsi="Century Schoolbook"/>
          <w:color w:val="212121"/>
          <w:shd w:val="clear" w:color="auto" w:fill="FFFFFF"/>
        </w:rPr>
        <w:t xml:space="preserve">expressly </w:t>
      </w:r>
      <w:r w:rsidRPr="003A071A">
        <w:rPr>
          <w:rFonts w:ascii="Century Schoolbook" w:hAnsi="Century Schoolbook"/>
          <w:color w:val="212121"/>
          <w:shd w:val="clear" w:color="auto" w:fill="FFFFFF"/>
        </w:rPr>
        <w:t>distinguis</w:t>
      </w:r>
      <w:r>
        <w:rPr>
          <w:rFonts w:ascii="Century Schoolbook" w:hAnsi="Century Schoolbook"/>
          <w:color w:val="212121"/>
          <w:shd w:val="clear" w:color="auto" w:fill="FFFFFF"/>
        </w:rPr>
        <w:t>hed</w:t>
      </w:r>
      <w:r w:rsidRPr="003A071A">
        <w:rPr>
          <w:rFonts w:ascii="Century Schoolbook" w:hAnsi="Century Schoolbook"/>
          <w:color w:val="212121"/>
          <w:shd w:val="clear" w:color="auto" w:fill="FFFFFF"/>
        </w:rPr>
        <w:t xml:space="preserve"> </w:t>
      </w:r>
      <w:r w:rsidRPr="003A071A">
        <w:rPr>
          <w:rFonts w:ascii="Century Schoolbook" w:hAnsi="Century Schoolbook"/>
          <w:i/>
          <w:iCs/>
          <w:color w:val="212121"/>
          <w:shd w:val="clear" w:color="auto" w:fill="FFFFFF"/>
        </w:rPr>
        <w:t>People v. Thomas</w:t>
      </w:r>
      <w:r w:rsidRPr="003A071A">
        <w:rPr>
          <w:rFonts w:ascii="Century Schoolbook" w:hAnsi="Century Schoolbook"/>
          <w:color w:val="212121"/>
          <w:shd w:val="clear" w:color="auto" w:fill="FFFFFF"/>
        </w:rPr>
        <w:t xml:space="preserve"> (1987</w:t>
      </w:r>
      <w:bookmarkStart w:id="10" w:name="_Hlk148426174"/>
      <w:r w:rsidRPr="003A071A">
        <w:rPr>
          <w:rFonts w:ascii="Century Schoolbook" w:hAnsi="Century Schoolbook"/>
          <w:color w:val="212121"/>
          <w:shd w:val="clear" w:color="auto" w:fill="FFFFFF"/>
        </w:rPr>
        <w:t>) 43 Cal.3d 818</w:t>
      </w:r>
      <w:r w:rsidR="00283E1D">
        <w:rPr>
          <w:rFonts w:ascii="Century Schoolbook" w:hAnsi="Century Schoolbook"/>
          <w:color w:val="212121"/>
          <w:shd w:val="clear" w:color="auto" w:fill="FFFFFF"/>
        </w:rPr>
        <w:t xml:space="preserve"> </w:t>
      </w:r>
      <w:bookmarkEnd w:id="10"/>
      <w:r w:rsidR="00283E1D">
        <w:rPr>
          <w:rFonts w:ascii="Century Schoolbook" w:hAnsi="Century Schoolbook"/>
          <w:color w:val="212121"/>
          <w:shd w:val="clear" w:color="auto" w:fill="FFFFFF"/>
        </w:rPr>
        <w:t>(</w:t>
      </w:r>
      <w:r w:rsidR="00283E1D">
        <w:rPr>
          <w:rFonts w:ascii="Century Schoolbook" w:hAnsi="Century Schoolbook"/>
          <w:i/>
          <w:iCs/>
          <w:color w:val="212121"/>
          <w:shd w:val="clear" w:color="auto" w:fill="FFFFFF"/>
        </w:rPr>
        <w:t>Thomas</w:t>
      </w:r>
      <w:r w:rsidR="00283E1D">
        <w:rPr>
          <w:rFonts w:ascii="Century Schoolbook" w:hAnsi="Century Schoolbook"/>
          <w:color w:val="212121"/>
          <w:shd w:val="clear" w:color="auto" w:fill="FFFFFF"/>
        </w:rPr>
        <w:t>)</w:t>
      </w:r>
      <w:r>
        <w:rPr>
          <w:rFonts w:ascii="Century Schoolbook" w:hAnsi="Century Schoolbook"/>
        </w:rPr>
        <w:t xml:space="preserve">, </w:t>
      </w:r>
      <w:r w:rsidR="00283E1D">
        <w:rPr>
          <w:rFonts w:ascii="Century Schoolbook" w:hAnsi="Century Schoolbook"/>
        </w:rPr>
        <w:t xml:space="preserve">which involved whether a general charge of manslaughter, alleged to have been committed </w:t>
      </w:r>
      <w:proofErr w:type="gramStart"/>
      <w:r w:rsidR="00283E1D">
        <w:rPr>
          <w:rFonts w:ascii="Century Schoolbook" w:hAnsi="Century Schoolbook"/>
        </w:rPr>
        <w:t>“ ‘</w:t>
      </w:r>
      <w:proofErr w:type="gramEnd"/>
      <w:r w:rsidR="00E819E9">
        <w:rPr>
          <w:rFonts w:ascii="Century Schoolbook" w:hAnsi="Century Schoolbook"/>
        </w:rPr>
        <w:t>willfully</w:t>
      </w:r>
      <w:r w:rsidR="00283E1D">
        <w:rPr>
          <w:rFonts w:ascii="Century Schoolbook" w:hAnsi="Century Schoolbook"/>
        </w:rPr>
        <w:t xml:space="preserve">, unlawfully and with/o[ut] malice aforethought’ ” </w:t>
      </w:r>
      <w:r w:rsidR="00931386">
        <w:rPr>
          <w:rFonts w:ascii="Century Schoolbook" w:hAnsi="Century Schoolbook"/>
        </w:rPr>
        <w:t xml:space="preserve">pursuant to “section 192.1” </w:t>
      </w:r>
      <w:r w:rsidR="00283E1D">
        <w:rPr>
          <w:rFonts w:ascii="Century Schoolbook" w:hAnsi="Century Schoolbook"/>
        </w:rPr>
        <w:t>gave fair notice of a possible conviction for involuntary manslaughter</w:t>
      </w:r>
      <w:r w:rsidR="00931386">
        <w:rPr>
          <w:rFonts w:ascii="Century Schoolbook" w:hAnsi="Century Schoolbook"/>
        </w:rPr>
        <w:t>, even though subdivision (1) of former section 192 referenced only voluntary manslaughter</w:t>
      </w:r>
      <w:r w:rsidR="00283E1D">
        <w:rPr>
          <w:rFonts w:ascii="Century Schoolbook" w:hAnsi="Century Schoolbook"/>
        </w:rPr>
        <w:t>.  (</w:t>
      </w:r>
      <w:r w:rsidR="00283E1D">
        <w:rPr>
          <w:rFonts w:ascii="Century Schoolbook" w:hAnsi="Century Schoolbook"/>
          <w:i/>
          <w:iCs/>
        </w:rPr>
        <w:t xml:space="preserve">Thomas, </w:t>
      </w:r>
      <w:r w:rsidR="00283E1D">
        <w:rPr>
          <w:rFonts w:ascii="Century Schoolbook" w:hAnsi="Century Schoolbook"/>
        </w:rPr>
        <w:t xml:space="preserve">at pp. </w:t>
      </w:r>
      <w:r w:rsidR="004479DA">
        <w:rPr>
          <w:rFonts w:ascii="Century Schoolbook" w:hAnsi="Century Schoolbook"/>
        </w:rPr>
        <w:t>821, 824</w:t>
      </w:r>
      <w:r w:rsidR="00931386">
        <w:rPr>
          <w:rFonts w:ascii="Century Schoolbook" w:hAnsi="Century Schoolbook"/>
        </w:rPr>
        <w:t>–825</w:t>
      </w:r>
      <w:r w:rsidR="00283E1D">
        <w:rPr>
          <w:rFonts w:ascii="Century Schoolbook" w:hAnsi="Century Schoolbook"/>
        </w:rPr>
        <w:t xml:space="preserve">; see </w:t>
      </w:r>
      <w:r w:rsidR="00283E1D">
        <w:rPr>
          <w:rFonts w:ascii="Century Schoolbook" w:hAnsi="Century Schoolbook"/>
          <w:i/>
          <w:iCs/>
        </w:rPr>
        <w:t>Mancebo</w:t>
      </w:r>
      <w:r w:rsidR="00283E1D">
        <w:rPr>
          <w:rFonts w:ascii="Century Schoolbook" w:hAnsi="Century Schoolbook"/>
        </w:rPr>
        <w:t>, at pp. 747–748.)</w:t>
      </w:r>
      <w:r w:rsidR="004479DA">
        <w:rPr>
          <w:rFonts w:ascii="Century Schoolbook" w:hAnsi="Century Schoolbook"/>
        </w:rPr>
        <w:t xml:space="preserve">  In concluding that the </w:t>
      </w:r>
      <w:r w:rsidR="004479DA" w:rsidRPr="004479DA">
        <w:rPr>
          <w:rFonts w:ascii="Century Schoolbook" w:hAnsi="Century Schoolbook"/>
          <w:szCs w:val="26"/>
        </w:rPr>
        <w:t>defendant “</w:t>
      </w:r>
      <w:r w:rsidR="004479DA" w:rsidRPr="004479DA">
        <w:rPr>
          <w:rFonts w:ascii="Century Schoolbook" w:hAnsi="Century Schoolbook"/>
          <w:szCs w:val="26"/>
          <w:shd w:val="clear" w:color="auto" w:fill="FFFFFF"/>
        </w:rPr>
        <w:t>should have been on notice that he could be convicted of involuntary manslaughter”</w:t>
      </w:r>
      <w:r w:rsidR="004479DA">
        <w:rPr>
          <w:rFonts w:ascii="Century Schoolbook" w:hAnsi="Century Schoolbook"/>
          <w:szCs w:val="26"/>
          <w:shd w:val="clear" w:color="auto" w:fill="FFFFFF"/>
        </w:rPr>
        <w:t xml:space="preserve"> (</w:t>
      </w:r>
      <w:r w:rsidR="00E26B7F">
        <w:rPr>
          <w:rFonts w:ascii="Century Schoolbook" w:hAnsi="Century Schoolbook"/>
          <w:i/>
          <w:iCs/>
          <w:szCs w:val="26"/>
          <w:shd w:val="clear" w:color="auto" w:fill="FFFFFF"/>
        </w:rPr>
        <w:t>Thomas, supra,</w:t>
      </w:r>
      <w:r w:rsidR="00E26B7F">
        <w:rPr>
          <w:rFonts w:ascii="Century Schoolbook" w:hAnsi="Century Schoolbook"/>
          <w:szCs w:val="26"/>
          <w:shd w:val="clear" w:color="auto" w:fill="FFFFFF"/>
        </w:rPr>
        <w:t xml:space="preserve"> 43 Cal.3d </w:t>
      </w:r>
      <w:r w:rsidR="004479DA">
        <w:rPr>
          <w:rFonts w:ascii="Century Schoolbook" w:hAnsi="Century Schoolbook"/>
          <w:szCs w:val="26"/>
          <w:shd w:val="clear" w:color="auto" w:fill="FFFFFF"/>
        </w:rPr>
        <w:t>at p. 824), our high court</w:t>
      </w:r>
      <w:r w:rsidR="00931386">
        <w:rPr>
          <w:rFonts w:ascii="Century Schoolbook" w:hAnsi="Century Schoolbook"/>
          <w:szCs w:val="26"/>
          <w:shd w:val="clear" w:color="auto" w:fill="FFFFFF"/>
        </w:rPr>
        <w:t xml:space="preserve"> cited, among other precedent, cases </w:t>
      </w:r>
      <w:r w:rsidR="00931386" w:rsidRPr="00931386">
        <w:rPr>
          <w:rFonts w:ascii="Century Schoolbook" w:hAnsi="Century Schoolbook"/>
          <w:szCs w:val="26"/>
          <w:shd w:val="clear" w:color="auto" w:fill="FFFFFF"/>
        </w:rPr>
        <w:t>holding “that</w:t>
      </w:r>
      <w:r w:rsidR="006C1BF6">
        <w:rPr>
          <w:rFonts w:ascii="Century Schoolbook" w:hAnsi="Century Schoolbook"/>
          <w:szCs w:val="26"/>
          <w:shd w:val="clear" w:color="auto" w:fill="FFFFFF"/>
        </w:rPr>
        <w:t xml:space="preserve"> </w:t>
      </w:r>
      <w:r w:rsidR="00931386" w:rsidRPr="00931386">
        <w:rPr>
          <w:rFonts w:ascii="Century Schoolbook" w:hAnsi="Century Schoolbook"/>
          <w:szCs w:val="26"/>
          <w:shd w:val="clear" w:color="auto" w:fill="FFFFFF"/>
        </w:rPr>
        <w:t xml:space="preserve">a valid accusatory pleading need not specify by </w:t>
      </w:r>
      <w:r w:rsidR="00931386" w:rsidRPr="00A507D7">
        <w:rPr>
          <w:rFonts w:ascii="Century Schoolbook" w:hAnsi="Century Schoolbook"/>
          <w:szCs w:val="26"/>
          <w:shd w:val="clear" w:color="auto" w:fill="FFFFFF"/>
        </w:rPr>
        <w:t>number the statute under which the accused is being charged</w:t>
      </w:r>
      <w:r w:rsidR="00BD2C66" w:rsidRPr="00A507D7">
        <w:rPr>
          <w:rFonts w:ascii="Century Schoolbook" w:hAnsi="Century Schoolbook"/>
          <w:szCs w:val="26"/>
          <w:shd w:val="clear" w:color="auto" w:fill="FFFFFF"/>
        </w:rPr>
        <w:t>” (</w:t>
      </w:r>
      <w:r w:rsidR="00BD2C66" w:rsidRPr="00A507D7">
        <w:rPr>
          <w:rFonts w:ascii="Century Schoolbook" w:hAnsi="Century Schoolbook"/>
          <w:i/>
          <w:iCs/>
          <w:szCs w:val="26"/>
          <w:shd w:val="clear" w:color="auto" w:fill="FFFFFF"/>
        </w:rPr>
        <w:t xml:space="preserve">id. </w:t>
      </w:r>
      <w:r w:rsidR="00BD2C66" w:rsidRPr="00A507D7">
        <w:rPr>
          <w:rFonts w:ascii="Century Schoolbook" w:hAnsi="Century Schoolbook"/>
          <w:szCs w:val="26"/>
          <w:shd w:val="clear" w:color="auto" w:fill="FFFFFF"/>
        </w:rPr>
        <w:t>at p. 826</w:t>
      </w:r>
      <w:r w:rsidR="00E26B7F">
        <w:rPr>
          <w:rFonts w:ascii="Century Schoolbook" w:hAnsi="Century Schoolbook"/>
          <w:szCs w:val="26"/>
          <w:shd w:val="clear" w:color="auto" w:fill="FFFFFF"/>
        </w:rPr>
        <w:t>.</w:t>
      </w:r>
      <w:r w:rsidR="00BD2C66" w:rsidRPr="00A507D7">
        <w:rPr>
          <w:rFonts w:ascii="Century Schoolbook" w:hAnsi="Century Schoolbook"/>
          <w:szCs w:val="26"/>
          <w:shd w:val="clear" w:color="auto" w:fill="FFFFFF"/>
        </w:rPr>
        <w:t>)</w:t>
      </w:r>
      <w:r w:rsidR="00931386" w:rsidRPr="00A507D7">
        <w:rPr>
          <w:rFonts w:ascii="Century Schoolbook" w:hAnsi="Century Schoolbook"/>
          <w:szCs w:val="26"/>
          <w:shd w:val="clear" w:color="auto" w:fill="FFFFFF"/>
        </w:rPr>
        <w:t>.</w:t>
      </w:r>
      <w:r w:rsidR="00BD2C66" w:rsidRPr="00A507D7">
        <w:rPr>
          <w:rFonts w:ascii="Century Schoolbook" w:hAnsi="Century Schoolbook"/>
          <w:szCs w:val="26"/>
          <w:shd w:val="clear" w:color="auto" w:fill="FFFFFF"/>
        </w:rPr>
        <w:t xml:space="preserve">  Rather, </w:t>
      </w:r>
      <w:proofErr w:type="gramStart"/>
      <w:r w:rsidR="00A507D7">
        <w:rPr>
          <w:rStyle w:val="ssrfcpassagedeactivated"/>
          <w:rFonts w:ascii="Century Schoolbook" w:hAnsi="Century Schoolbook"/>
          <w:szCs w:val="26"/>
          <w:bdr w:val="none" w:sz="0" w:space="0" w:color="auto" w:frame="1"/>
          <w:shd w:val="clear" w:color="auto" w:fill="FFFFFF"/>
        </w:rPr>
        <w:t>“ ‘</w:t>
      </w:r>
      <w:proofErr w:type="gramEnd"/>
      <w:r w:rsidR="00BD2C66" w:rsidRPr="00A507D7">
        <w:rPr>
          <w:rStyle w:val="ssrfcpassagedeactivated"/>
          <w:rFonts w:ascii="Century Schoolbook" w:hAnsi="Century Schoolbook"/>
          <w:szCs w:val="26"/>
          <w:bdr w:val="none" w:sz="0" w:space="0" w:color="auto" w:frame="1"/>
          <w:shd w:val="clear" w:color="auto" w:fill="FFFFFF"/>
        </w:rPr>
        <w:t xml:space="preserve">[in] charging </w:t>
      </w:r>
      <w:r w:rsidR="00BD2C66" w:rsidRPr="00A507D7">
        <w:rPr>
          <w:rStyle w:val="ssrfcpassagedeactivated"/>
          <w:rFonts w:ascii="Century Schoolbook" w:hAnsi="Century Schoolbook"/>
          <w:i/>
          <w:iCs/>
          <w:szCs w:val="26"/>
          <w:bdr w:val="none" w:sz="0" w:space="0" w:color="auto" w:frame="1"/>
          <w:shd w:val="clear" w:color="auto" w:fill="FFFFFF"/>
        </w:rPr>
        <w:t>an offense</w:t>
      </w:r>
      <w:r w:rsidR="00BD2C66" w:rsidRPr="00A507D7">
        <w:rPr>
          <w:rStyle w:val="ssrfcpassagedeactivated"/>
          <w:rFonts w:ascii="Century Schoolbook" w:hAnsi="Century Schoolbook"/>
          <w:szCs w:val="26"/>
          <w:bdr w:val="none" w:sz="0" w:space="0" w:color="auto" w:frame="1"/>
          <w:shd w:val="clear" w:color="auto" w:fill="FFFFFF"/>
        </w:rPr>
        <w:t>, each count . . . shall be sufficient if it contains</w:t>
      </w:r>
      <w:r w:rsidR="00A507D7">
        <w:rPr>
          <w:rStyle w:val="ssrfcpassagedeactivated"/>
          <w:rFonts w:ascii="Century Schoolbook" w:hAnsi="Century Schoolbook"/>
          <w:szCs w:val="26"/>
          <w:bdr w:val="none" w:sz="0" w:space="0" w:color="auto" w:frame="1"/>
          <w:shd w:val="clear" w:color="auto" w:fill="FFFFFF"/>
        </w:rPr>
        <w:t xml:space="preserve"> . . </w:t>
      </w:r>
      <w:r w:rsidR="00A507D7">
        <w:rPr>
          <w:rStyle w:val="ssrfcpassagedeactivated"/>
          <w:rFonts w:ascii="Century Schoolbook" w:hAnsi="Century Schoolbook"/>
          <w:sz w:val="28"/>
          <w:szCs w:val="28"/>
          <w:bdr w:val="none" w:sz="0" w:space="0" w:color="auto" w:frame="1"/>
          <w:shd w:val="clear" w:color="auto" w:fill="FFFFFF"/>
        </w:rPr>
        <w:t>.</w:t>
      </w:r>
      <w:r w:rsidR="00BD2C66" w:rsidRPr="00A507D7">
        <w:rPr>
          <w:rStyle w:val="ssrfcpassagedeactivated"/>
          <w:rFonts w:ascii="Century Schoolbook" w:hAnsi="Century Schoolbook"/>
          <w:szCs w:val="26"/>
          <w:bdr w:val="none" w:sz="0" w:space="0" w:color="auto" w:frame="1"/>
          <w:shd w:val="clear" w:color="auto" w:fill="FFFFFF"/>
        </w:rPr>
        <w:t xml:space="preserve"> </w:t>
      </w:r>
      <w:r w:rsidR="00BD2C66" w:rsidRPr="00A507D7">
        <w:rPr>
          <w:rFonts w:ascii="Century Schoolbook" w:hAnsi="Century Schoolbook"/>
          <w:szCs w:val="26"/>
          <w:shd w:val="clear" w:color="auto" w:fill="FFFFFF"/>
        </w:rPr>
        <w:t>any words sufficient to give the accused notice of the offense of which he is accused.</w:t>
      </w:r>
      <w:r w:rsidR="00A507D7">
        <w:rPr>
          <w:rFonts w:ascii="Century Schoolbook" w:hAnsi="Century Schoolbook"/>
          <w:szCs w:val="26"/>
          <w:shd w:val="clear" w:color="auto" w:fill="FFFFFF"/>
        </w:rPr>
        <w:t>’ ”  (</w:t>
      </w:r>
      <w:r w:rsidR="00A507D7">
        <w:rPr>
          <w:rFonts w:ascii="Century Schoolbook" w:hAnsi="Century Schoolbook"/>
          <w:i/>
          <w:iCs/>
          <w:szCs w:val="26"/>
          <w:shd w:val="clear" w:color="auto" w:fill="FFFFFF"/>
        </w:rPr>
        <w:t>Ibid</w:t>
      </w:r>
      <w:r w:rsidR="00A507D7" w:rsidRPr="00A507D7">
        <w:rPr>
          <w:rFonts w:ascii="Century Schoolbook" w:hAnsi="Century Schoolbook"/>
          <w:szCs w:val="26"/>
          <w:shd w:val="clear" w:color="auto" w:fill="FFFFFF"/>
        </w:rPr>
        <w:t>., quoting § 925</w:t>
      </w:r>
      <w:r w:rsidR="00A507D7">
        <w:rPr>
          <w:rFonts w:ascii="Century Schoolbook" w:hAnsi="Century Schoolbook"/>
          <w:szCs w:val="26"/>
          <w:shd w:val="clear" w:color="auto" w:fill="FFFFFF"/>
        </w:rPr>
        <w:t>, italics added</w:t>
      </w:r>
      <w:r w:rsidR="00A507D7" w:rsidRPr="00A507D7">
        <w:rPr>
          <w:rFonts w:ascii="Century Schoolbook" w:hAnsi="Century Schoolbook"/>
          <w:szCs w:val="26"/>
          <w:shd w:val="clear" w:color="auto" w:fill="FFFFFF"/>
        </w:rPr>
        <w:t>.)</w:t>
      </w:r>
      <w:r w:rsidR="004479DA" w:rsidRPr="00A507D7">
        <w:rPr>
          <w:rFonts w:ascii="Century Schoolbook" w:hAnsi="Century Schoolbook"/>
          <w:szCs w:val="26"/>
          <w:shd w:val="clear" w:color="auto" w:fill="FFFFFF"/>
        </w:rPr>
        <w:t xml:space="preserve">  </w:t>
      </w:r>
      <w:r w:rsidR="00283E1D" w:rsidRPr="00A507D7">
        <w:rPr>
          <w:rFonts w:ascii="Century Schoolbook" w:hAnsi="Century Schoolbook"/>
          <w:szCs w:val="26"/>
        </w:rPr>
        <w:t xml:space="preserve">  </w:t>
      </w:r>
      <w:r w:rsidR="00283E1D">
        <w:rPr>
          <w:rFonts w:ascii="Century Schoolbook" w:hAnsi="Century Schoolbook"/>
        </w:rPr>
        <w:t xml:space="preserve"> </w:t>
      </w:r>
    </w:p>
  </w:footnote>
  <w:footnote w:id="6">
    <w:p w14:paraId="1623CA10" w14:textId="0799FC38" w:rsidR="00480B86" w:rsidRPr="008A59E4" w:rsidRDefault="00480B86" w:rsidP="00480B86">
      <w:pPr>
        <w:pStyle w:val="FootnoteText"/>
        <w:ind w:firstLine="720"/>
        <w:rPr>
          <w:rFonts w:ascii="Century Schoolbook" w:hAnsi="Century Schoolbook"/>
        </w:rPr>
      </w:pPr>
      <w:r w:rsidRPr="00480B86">
        <w:rPr>
          <w:rStyle w:val="FootnoteReference"/>
          <w:rFonts w:ascii="Century Schoolbook" w:hAnsi="Century Schoolbook"/>
        </w:rPr>
        <w:footnoteRef/>
      </w:r>
      <w:r w:rsidRPr="00480B86">
        <w:rPr>
          <w:rFonts w:ascii="Century Schoolbook" w:hAnsi="Century Schoolbook"/>
        </w:rPr>
        <w:t xml:space="preserve"> </w:t>
      </w:r>
      <w:r>
        <w:rPr>
          <w:rFonts w:ascii="Century Schoolbook" w:hAnsi="Century Schoolbook"/>
        </w:rPr>
        <w:t xml:space="preserve">The conduct underlying count one had occurred prior to </w:t>
      </w:r>
      <w:r w:rsidR="008A59E4">
        <w:rPr>
          <w:rFonts w:ascii="Century Schoolbook" w:hAnsi="Century Schoolbook"/>
        </w:rPr>
        <w:t>2010, when subdivision (j)(2) of section 667.61 was added, allowing for the enhanced sentence of 25 years to life under specified circumstances.  (</w:t>
      </w:r>
      <w:r w:rsidR="008A59E4">
        <w:rPr>
          <w:rFonts w:ascii="Century Schoolbook" w:hAnsi="Century Schoolbook"/>
          <w:i/>
          <w:iCs/>
        </w:rPr>
        <w:t>Vaquera</w:t>
      </w:r>
      <w:r w:rsidR="008A59E4">
        <w:rPr>
          <w:rFonts w:ascii="Century Schoolbook" w:hAnsi="Century Schoolbook"/>
        </w:rPr>
        <w:t xml:space="preserve">, </w:t>
      </w:r>
      <w:r w:rsidR="008A59E4">
        <w:rPr>
          <w:rFonts w:ascii="Century Schoolbook" w:hAnsi="Century Schoolbook"/>
          <w:i/>
          <w:iCs/>
        </w:rPr>
        <w:t>supra</w:t>
      </w:r>
      <w:r w:rsidR="008A59E4">
        <w:rPr>
          <w:rFonts w:ascii="Century Schoolbook" w:hAnsi="Century Schoolbook"/>
        </w:rPr>
        <w:t>, 39 Cal.App.5th at p. 237.)</w:t>
      </w:r>
    </w:p>
  </w:footnote>
  <w:footnote w:id="7">
    <w:p w14:paraId="73EAE8A7" w14:textId="3279B576" w:rsidR="00C97173" w:rsidRPr="001D1140" w:rsidRDefault="00C97173" w:rsidP="00C97173">
      <w:pPr>
        <w:pStyle w:val="FootnoteText"/>
        <w:ind w:firstLine="720"/>
        <w:rPr>
          <w:rFonts w:ascii="Century Schoolbook" w:hAnsi="Century Schoolbook"/>
        </w:rPr>
      </w:pPr>
      <w:r w:rsidRPr="00C97173">
        <w:rPr>
          <w:rStyle w:val="FootnoteReference"/>
          <w:rFonts w:ascii="Century Schoolbook" w:hAnsi="Century Schoolbook"/>
        </w:rPr>
        <w:footnoteRef/>
      </w:r>
      <w:r w:rsidRPr="00C97173">
        <w:rPr>
          <w:rFonts w:ascii="Century Schoolbook" w:hAnsi="Century Schoolbook"/>
        </w:rPr>
        <w:t xml:space="preserve"> </w:t>
      </w:r>
      <w:r>
        <w:rPr>
          <w:rFonts w:ascii="Century Schoolbook" w:hAnsi="Century Schoolbook"/>
        </w:rPr>
        <w:t xml:space="preserve">Given this formulation of the specific due process requirements applicable in the context of the One Strike law, we find perplexing the reliance placed by </w:t>
      </w:r>
      <w:r>
        <w:rPr>
          <w:rFonts w:ascii="Century Schoolbook" w:hAnsi="Century Schoolbook"/>
          <w:i/>
          <w:iCs/>
        </w:rPr>
        <w:t>Vaquera</w:t>
      </w:r>
      <w:r>
        <w:rPr>
          <w:rFonts w:ascii="Century Schoolbook" w:hAnsi="Century Schoolbook"/>
        </w:rPr>
        <w:t xml:space="preserve"> and </w:t>
      </w:r>
      <w:r>
        <w:rPr>
          <w:rFonts w:ascii="Century Schoolbook" w:hAnsi="Century Schoolbook"/>
          <w:i/>
          <w:iCs/>
        </w:rPr>
        <w:t>Zaldana</w:t>
      </w:r>
      <w:r>
        <w:rPr>
          <w:rFonts w:ascii="Century Schoolbook" w:hAnsi="Century Schoolbook"/>
        </w:rPr>
        <w:t xml:space="preserve"> on </w:t>
      </w:r>
      <w:r>
        <w:rPr>
          <w:rFonts w:ascii="Century Schoolbook" w:hAnsi="Century Schoolbook"/>
          <w:i/>
          <w:iCs/>
        </w:rPr>
        <w:t>Thomas, supra</w:t>
      </w:r>
      <w:r>
        <w:rPr>
          <w:rFonts w:ascii="Century Schoolbook" w:hAnsi="Century Schoolbook"/>
        </w:rPr>
        <w:t xml:space="preserve">, </w:t>
      </w:r>
      <w:r w:rsidRPr="003A071A">
        <w:rPr>
          <w:rFonts w:ascii="Century Schoolbook" w:hAnsi="Century Schoolbook"/>
          <w:color w:val="212121"/>
          <w:shd w:val="clear" w:color="auto" w:fill="FFFFFF"/>
        </w:rPr>
        <w:t>43 Cal.3d 818</w:t>
      </w:r>
      <w:r>
        <w:rPr>
          <w:rFonts w:ascii="Century Schoolbook" w:hAnsi="Century Schoolbook"/>
          <w:color w:val="212121"/>
          <w:shd w:val="clear" w:color="auto" w:fill="FFFFFF"/>
        </w:rPr>
        <w:t xml:space="preserve">, a case </w:t>
      </w:r>
      <w:r w:rsidRPr="001D1140">
        <w:rPr>
          <w:rFonts w:ascii="Century Schoolbook" w:hAnsi="Century Schoolbook"/>
          <w:color w:val="212121"/>
          <w:shd w:val="clear" w:color="auto" w:fill="FFFFFF"/>
        </w:rPr>
        <w:t xml:space="preserve">which the </w:t>
      </w:r>
      <w:r w:rsidRPr="001D1140">
        <w:rPr>
          <w:rFonts w:ascii="Century Schoolbook" w:hAnsi="Century Schoolbook"/>
          <w:i/>
          <w:iCs/>
          <w:color w:val="212121"/>
          <w:shd w:val="clear" w:color="auto" w:fill="FFFFFF"/>
        </w:rPr>
        <w:t>Mancebo</w:t>
      </w:r>
      <w:r w:rsidRPr="001D1140">
        <w:rPr>
          <w:rFonts w:ascii="Century Schoolbook" w:hAnsi="Century Schoolbook"/>
          <w:color w:val="212121"/>
          <w:shd w:val="clear" w:color="auto" w:fill="FFFFFF"/>
        </w:rPr>
        <w:t xml:space="preserve"> court </w:t>
      </w:r>
      <w:r w:rsidR="00470ECB">
        <w:rPr>
          <w:rFonts w:ascii="Century Schoolbook" w:hAnsi="Century Schoolbook"/>
          <w:color w:val="212121"/>
          <w:shd w:val="clear" w:color="auto" w:fill="FFFFFF"/>
        </w:rPr>
        <w:t xml:space="preserve">expressly </w:t>
      </w:r>
      <w:r w:rsidRPr="001D1140">
        <w:rPr>
          <w:rFonts w:ascii="Century Schoolbook" w:hAnsi="Century Schoolbook"/>
          <w:color w:val="212121"/>
          <w:shd w:val="clear" w:color="auto" w:fill="FFFFFF"/>
        </w:rPr>
        <w:t>found irrelevant to its analysis</w:t>
      </w:r>
      <w:r w:rsidR="00470ECB">
        <w:rPr>
          <w:rFonts w:ascii="Century Schoolbook" w:hAnsi="Century Schoolbook"/>
          <w:color w:val="212121"/>
          <w:shd w:val="clear" w:color="auto" w:fill="FFFFFF"/>
        </w:rPr>
        <w:t xml:space="preserve"> of t</w:t>
      </w:r>
      <w:r w:rsidR="000B51EA">
        <w:rPr>
          <w:rFonts w:ascii="Century Schoolbook" w:hAnsi="Century Schoolbook"/>
          <w:color w:val="212121"/>
          <w:shd w:val="clear" w:color="auto" w:fill="FFFFFF"/>
        </w:rPr>
        <w:t>hat statute</w:t>
      </w:r>
      <w:r w:rsidRPr="001D1140">
        <w:rPr>
          <w:rFonts w:ascii="Century Schoolbook" w:hAnsi="Century Schoolbook"/>
          <w:color w:val="212121"/>
          <w:shd w:val="clear" w:color="auto" w:fill="FFFFFF"/>
        </w:rPr>
        <w:t>.  (</w:t>
      </w:r>
      <w:r w:rsidRPr="001D1140">
        <w:rPr>
          <w:rFonts w:ascii="Century Schoolbook" w:hAnsi="Century Schoolbook"/>
          <w:i/>
          <w:iCs/>
          <w:color w:val="212121"/>
          <w:shd w:val="clear" w:color="auto" w:fill="FFFFFF"/>
        </w:rPr>
        <w:t>Mancebo</w:t>
      </w:r>
      <w:r w:rsidRPr="001D1140">
        <w:rPr>
          <w:rFonts w:ascii="Century Schoolbook" w:hAnsi="Century Schoolbook"/>
          <w:color w:val="212121"/>
          <w:shd w:val="clear" w:color="auto" w:fill="FFFFFF"/>
        </w:rPr>
        <w:t xml:space="preserve">, </w:t>
      </w:r>
      <w:r w:rsidRPr="001D1140">
        <w:rPr>
          <w:rFonts w:ascii="Century Schoolbook" w:hAnsi="Century Schoolbook"/>
          <w:i/>
          <w:iCs/>
          <w:color w:val="212121"/>
          <w:shd w:val="clear" w:color="auto" w:fill="FFFFFF"/>
        </w:rPr>
        <w:t>supra</w:t>
      </w:r>
      <w:r w:rsidRPr="001D1140">
        <w:rPr>
          <w:rFonts w:ascii="Century Schoolbook" w:hAnsi="Century Schoolbook"/>
          <w:color w:val="212121"/>
          <w:shd w:val="clear" w:color="auto" w:fill="FFFFFF"/>
        </w:rPr>
        <w:t>, 27 Cal.4th at pp. 747–748.)</w:t>
      </w:r>
      <w:r w:rsidRPr="001D1140">
        <w:rPr>
          <w:rFonts w:ascii="Century Schoolbook" w:hAnsi="Century Schoolbook"/>
        </w:rPr>
        <w:t xml:space="preserve">   </w:t>
      </w:r>
    </w:p>
  </w:footnote>
  <w:footnote w:id="8">
    <w:p w14:paraId="4AE8CF6F" w14:textId="47C463DB" w:rsidR="001D1140" w:rsidRPr="000B51EA" w:rsidRDefault="001D1140" w:rsidP="001D1140">
      <w:pPr>
        <w:pStyle w:val="FootnoteText"/>
        <w:ind w:firstLine="720"/>
        <w:rPr>
          <w:rFonts w:ascii="Century Schoolbook" w:hAnsi="Century Schoolbook"/>
        </w:rPr>
      </w:pPr>
      <w:r w:rsidRPr="001D1140">
        <w:rPr>
          <w:rStyle w:val="FootnoteReference"/>
          <w:rFonts w:ascii="Century Schoolbook" w:hAnsi="Century Schoolbook"/>
        </w:rPr>
        <w:footnoteRef/>
      </w:r>
      <w:r w:rsidRPr="001D1140">
        <w:rPr>
          <w:rFonts w:ascii="Century Schoolbook" w:hAnsi="Century Schoolbook"/>
        </w:rPr>
        <w:t xml:space="preserve"> </w:t>
      </w:r>
      <w:r w:rsidRPr="002B234E">
        <w:rPr>
          <w:rFonts w:ascii="Century Schoolbook" w:hAnsi="Century Schoolbook"/>
          <w:szCs w:val="26"/>
        </w:rPr>
        <w:t xml:space="preserve">We recognize that this case </w:t>
      </w:r>
      <w:r w:rsidR="000B51EA" w:rsidRPr="002B234E">
        <w:rPr>
          <w:rFonts w:ascii="Century Schoolbook" w:hAnsi="Century Schoolbook"/>
          <w:szCs w:val="26"/>
        </w:rPr>
        <w:t>is</w:t>
      </w:r>
      <w:r w:rsidRPr="002B234E">
        <w:rPr>
          <w:rFonts w:ascii="Century Schoolbook" w:hAnsi="Century Schoolbook"/>
          <w:szCs w:val="26"/>
        </w:rPr>
        <w:t xml:space="preserve"> distinguish</w:t>
      </w:r>
      <w:r w:rsidR="000B51EA" w:rsidRPr="002B234E">
        <w:rPr>
          <w:rFonts w:ascii="Century Schoolbook" w:hAnsi="Century Schoolbook"/>
          <w:szCs w:val="26"/>
        </w:rPr>
        <w:t>able</w:t>
      </w:r>
      <w:r w:rsidRPr="002B234E">
        <w:rPr>
          <w:rFonts w:ascii="Century Schoolbook" w:hAnsi="Century Schoolbook"/>
          <w:szCs w:val="26"/>
        </w:rPr>
        <w:t xml:space="preserve"> from </w:t>
      </w:r>
      <w:r w:rsidRPr="002B234E">
        <w:rPr>
          <w:rFonts w:ascii="Century Schoolbook" w:hAnsi="Century Schoolbook"/>
          <w:i/>
          <w:iCs/>
          <w:szCs w:val="26"/>
        </w:rPr>
        <w:t>Vaquera</w:t>
      </w:r>
      <w:r w:rsidRPr="002B234E">
        <w:rPr>
          <w:rFonts w:ascii="Century Schoolbook" w:hAnsi="Century Schoolbook"/>
          <w:szCs w:val="26"/>
        </w:rPr>
        <w:t xml:space="preserve"> and </w:t>
      </w:r>
      <w:r w:rsidRPr="002B234E">
        <w:rPr>
          <w:rFonts w:ascii="Century Schoolbook" w:hAnsi="Century Schoolbook"/>
          <w:i/>
          <w:iCs/>
          <w:szCs w:val="26"/>
        </w:rPr>
        <w:t>Zaldana</w:t>
      </w:r>
      <w:r w:rsidRPr="002B234E">
        <w:rPr>
          <w:rFonts w:ascii="Century Schoolbook" w:hAnsi="Century Schoolbook"/>
          <w:szCs w:val="26"/>
        </w:rPr>
        <w:t xml:space="preserve"> because, here, the prosecutor </w:t>
      </w:r>
      <w:r w:rsidRPr="002B234E">
        <w:rPr>
          <w:rFonts w:ascii="Century Schoolbook" w:hAnsi="Century Schoolbook"/>
          <w:color w:val="212121"/>
          <w:szCs w:val="26"/>
          <w:shd w:val="clear" w:color="auto" w:fill="FFFFFF"/>
        </w:rPr>
        <w:t>expressly pled in the information that the punishments for the relevant sexual offense</w:t>
      </w:r>
      <w:r w:rsidR="003A51B6">
        <w:rPr>
          <w:rFonts w:ascii="Century Schoolbook" w:hAnsi="Century Schoolbook"/>
          <w:color w:val="212121"/>
          <w:szCs w:val="26"/>
          <w:shd w:val="clear" w:color="auto" w:fill="FFFFFF"/>
        </w:rPr>
        <w:t>s</w:t>
      </w:r>
      <w:r w:rsidRPr="002B234E">
        <w:rPr>
          <w:rFonts w:ascii="Century Schoolbook" w:hAnsi="Century Schoolbook"/>
          <w:color w:val="212121"/>
          <w:szCs w:val="26"/>
          <w:shd w:val="clear" w:color="auto" w:fill="FFFFFF"/>
        </w:rPr>
        <w:t xml:space="preserve"> would be 15 years to life under section 667.61, subdivision (b) and (e).</w:t>
      </w:r>
      <w:r w:rsidR="00C3110B" w:rsidRPr="002B234E">
        <w:rPr>
          <w:rFonts w:ascii="Century Schoolbook" w:hAnsi="Century Schoolbook"/>
          <w:color w:val="212121"/>
          <w:szCs w:val="26"/>
          <w:shd w:val="clear" w:color="auto" w:fill="FFFFFF"/>
        </w:rPr>
        <w:t xml:space="preserve">  (See</w:t>
      </w:r>
      <w:r w:rsidR="000B51EA" w:rsidRPr="002B234E">
        <w:rPr>
          <w:rFonts w:ascii="Century Schoolbook" w:hAnsi="Century Schoolbook"/>
          <w:color w:val="212121"/>
          <w:szCs w:val="26"/>
          <w:shd w:val="clear" w:color="auto" w:fill="FFFFFF"/>
        </w:rPr>
        <w:t xml:space="preserve"> </w:t>
      </w:r>
      <w:r w:rsidR="00287979" w:rsidRPr="002B234E">
        <w:rPr>
          <w:rFonts w:ascii="Century Schoolbook" w:hAnsi="Century Schoolbook"/>
          <w:i/>
          <w:iCs/>
          <w:color w:val="212121"/>
          <w:szCs w:val="26"/>
          <w:shd w:val="clear" w:color="auto" w:fill="FFFFFF"/>
        </w:rPr>
        <w:t xml:space="preserve">People v. </w:t>
      </w:r>
      <w:r w:rsidR="000B51EA" w:rsidRPr="002B234E">
        <w:rPr>
          <w:rFonts w:ascii="Century Schoolbook" w:hAnsi="Century Schoolbook"/>
          <w:i/>
          <w:iCs/>
          <w:color w:val="212121"/>
          <w:szCs w:val="26"/>
          <w:shd w:val="clear" w:color="auto" w:fill="FFFFFF"/>
        </w:rPr>
        <w:t>Nash</w:t>
      </w:r>
      <w:r w:rsidR="00287979" w:rsidRPr="002B234E">
        <w:rPr>
          <w:rFonts w:ascii="Century Schoolbook" w:hAnsi="Century Schoolbook"/>
          <w:color w:val="212121"/>
          <w:szCs w:val="26"/>
          <w:shd w:val="clear" w:color="auto" w:fill="FFFFFF"/>
        </w:rPr>
        <w:t xml:space="preserve"> (2023)</w:t>
      </w:r>
      <w:r w:rsidR="000B51EA" w:rsidRPr="002B234E">
        <w:rPr>
          <w:rFonts w:ascii="Century Schoolbook" w:hAnsi="Century Schoolbook"/>
          <w:color w:val="212121"/>
          <w:szCs w:val="26"/>
          <w:shd w:val="clear" w:color="auto" w:fill="FFFFFF"/>
        </w:rPr>
        <w:t xml:space="preserve"> 87 Cal.App.5th </w:t>
      </w:r>
      <w:r w:rsidR="00287979" w:rsidRPr="002B234E">
        <w:rPr>
          <w:rFonts w:ascii="Century Schoolbook" w:hAnsi="Century Schoolbook"/>
          <w:color w:val="212121"/>
          <w:szCs w:val="26"/>
          <w:shd w:val="clear" w:color="auto" w:fill="FFFFFF"/>
        </w:rPr>
        <w:t>483,</w:t>
      </w:r>
      <w:r w:rsidR="000B51EA" w:rsidRPr="002B234E">
        <w:rPr>
          <w:rFonts w:ascii="Century Schoolbook" w:hAnsi="Century Schoolbook"/>
          <w:color w:val="212121"/>
          <w:szCs w:val="26"/>
          <w:shd w:val="clear" w:color="auto" w:fill="FFFFFF"/>
        </w:rPr>
        <w:t xml:space="preserve"> 494 </w:t>
      </w:r>
      <w:r w:rsidR="00287979" w:rsidRPr="002B234E">
        <w:rPr>
          <w:rFonts w:ascii="Century Schoolbook" w:hAnsi="Century Schoolbook"/>
          <w:color w:val="212121"/>
          <w:szCs w:val="26"/>
          <w:shd w:val="clear" w:color="auto" w:fill="FFFFFF"/>
        </w:rPr>
        <w:t>(</w:t>
      </w:r>
      <w:r w:rsidR="00287979" w:rsidRPr="002B234E">
        <w:rPr>
          <w:rFonts w:ascii="Century Schoolbook" w:hAnsi="Century Schoolbook"/>
          <w:i/>
          <w:iCs/>
          <w:color w:val="212121"/>
          <w:szCs w:val="26"/>
          <w:shd w:val="clear" w:color="auto" w:fill="FFFFFF"/>
        </w:rPr>
        <w:t>Nash</w:t>
      </w:r>
      <w:r w:rsidR="00287979" w:rsidRPr="002B234E">
        <w:rPr>
          <w:rFonts w:ascii="Century Schoolbook" w:hAnsi="Century Schoolbook"/>
          <w:color w:val="212121"/>
          <w:szCs w:val="26"/>
          <w:shd w:val="clear" w:color="auto" w:fill="FFFFFF"/>
        </w:rPr>
        <w:t xml:space="preserve">) </w:t>
      </w:r>
      <w:r w:rsidR="000B51EA" w:rsidRPr="002B234E">
        <w:rPr>
          <w:rFonts w:ascii="Century Schoolbook" w:hAnsi="Century Schoolbook"/>
          <w:color w:val="212121"/>
          <w:szCs w:val="26"/>
          <w:shd w:val="clear" w:color="auto" w:fill="FFFFFF"/>
        </w:rPr>
        <w:t>[“</w:t>
      </w:r>
      <w:r w:rsidR="000B51EA" w:rsidRPr="00A00947">
        <w:rPr>
          <w:rFonts w:ascii="Century Schoolbook" w:hAnsi="Century Schoolbook"/>
          <w:color w:val="212121"/>
          <w:szCs w:val="26"/>
          <w:shd w:val="clear" w:color="auto" w:fill="FFFFFF"/>
        </w:rPr>
        <w:t>where an accusatory pleading</w:t>
      </w:r>
      <w:r w:rsidR="00735B10">
        <w:rPr>
          <w:rFonts w:ascii="Century Schoolbook" w:hAnsi="Century Schoolbook"/>
          <w:color w:val="212121"/>
          <w:szCs w:val="26"/>
          <w:shd w:val="clear" w:color="auto" w:fill="FFFFFF"/>
        </w:rPr>
        <w:t xml:space="preserve"> </w:t>
      </w:r>
      <w:r w:rsidR="000B51EA" w:rsidRPr="00A00947">
        <w:rPr>
          <w:rFonts w:ascii="Century Schoolbook" w:hAnsi="Century Schoolbook"/>
          <w:i/>
          <w:iCs/>
          <w:color w:val="212121"/>
          <w:szCs w:val="26"/>
          <w:bdr w:val="none" w:sz="0" w:space="0" w:color="auto" w:frame="1"/>
          <w:shd w:val="clear" w:color="auto" w:fill="FFFFFF"/>
        </w:rPr>
        <w:t>expressly specifies</w:t>
      </w:r>
      <w:r w:rsidR="00735B10">
        <w:rPr>
          <w:rFonts w:ascii="Century Schoolbook" w:hAnsi="Century Schoolbook"/>
          <w:color w:val="212121"/>
          <w:szCs w:val="26"/>
          <w:shd w:val="clear" w:color="auto" w:fill="FFFFFF"/>
        </w:rPr>
        <w:t xml:space="preserve"> </w:t>
      </w:r>
      <w:r w:rsidR="000B51EA" w:rsidRPr="00A00947">
        <w:rPr>
          <w:rFonts w:ascii="Century Schoolbook" w:hAnsi="Century Schoolbook"/>
          <w:color w:val="212121"/>
          <w:szCs w:val="26"/>
          <w:shd w:val="clear" w:color="auto" w:fill="FFFFFF"/>
        </w:rPr>
        <w:t xml:space="preserve">potential exposure of 15 years to life </w:t>
      </w:r>
      <w:proofErr w:type="gramStart"/>
      <w:r w:rsidR="000B51EA" w:rsidRPr="00A00947">
        <w:rPr>
          <w:rFonts w:ascii="Century Schoolbook" w:hAnsi="Century Schoolbook"/>
          <w:color w:val="212121"/>
          <w:szCs w:val="26"/>
          <w:shd w:val="clear" w:color="auto" w:fill="FFFFFF"/>
        </w:rPr>
        <w:t>. . . ,</w:t>
      </w:r>
      <w:proofErr w:type="gramEnd"/>
      <w:r w:rsidR="000B51EA" w:rsidRPr="00A00947">
        <w:rPr>
          <w:rFonts w:ascii="Century Schoolbook" w:hAnsi="Century Schoolbook"/>
          <w:color w:val="212121"/>
          <w:szCs w:val="26"/>
          <w:shd w:val="clear" w:color="auto" w:fill="FFFFFF"/>
        </w:rPr>
        <w:t xml:space="preserve"> principles of due process do not permit the prosecution to mislead a defendant [and sentence him/her] to 25 years to life under section 667.61, subd. (j)(2)”]</w:t>
      </w:r>
      <w:r w:rsidR="00AC1A94" w:rsidRPr="00A00947">
        <w:rPr>
          <w:rFonts w:ascii="Century Schoolbook" w:hAnsi="Century Schoolbook"/>
          <w:color w:val="212121"/>
          <w:szCs w:val="26"/>
          <w:shd w:val="clear" w:color="auto" w:fill="FFFFFF"/>
        </w:rPr>
        <w:t>, review granted Mar</w:t>
      </w:r>
      <w:r w:rsidR="00757B1A">
        <w:rPr>
          <w:rFonts w:ascii="Century Schoolbook" w:hAnsi="Century Schoolbook"/>
          <w:color w:val="212121"/>
          <w:szCs w:val="26"/>
          <w:shd w:val="clear" w:color="auto" w:fill="FFFFFF"/>
        </w:rPr>
        <w:t>.</w:t>
      </w:r>
      <w:r w:rsidR="00AC1A94" w:rsidRPr="00A00947">
        <w:rPr>
          <w:rFonts w:ascii="Century Schoolbook" w:hAnsi="Century Schoolbook"/>
          <w:color w:val="212121"/>
          <w:szCs w:val="26"/>
          <w:shd w:val="clear" w:color="auto" w:fill="FFFFFF"/>
        </w:rPr>
        <w:t xml:space="preserve"> 22, 2023, S278610</w:t>
      </w:r>
      <w:r w:rsidR="000B51EA" w:rsidRPr="00A00947">
        <w:rPr>
          <w:rFonts w:ascii="Century Schoolbook" w:hAnsi="Century Schoolbook"/>
          <w:color w:val="212121"/>
          <w:szCs w:val="26"/>
          <w:shd w:val="clear" w:color="auto" w:fill="FFFFFF"/>
        </w:rPr>
        <w:t xml:space="preserve">.)  </w:t>
      </w:r>
      <w:r w:rsidRPr="002B234E">
        <w:rPr>
          <w:rFonts w:ascii="Century Schoolbook" w:hAnsi="Century Schoolbook"/>
          <w:color w:val="212121"/>
          <w:szCs w:val="26"/>
          <w:shd w:val="clear" w:color="auto" w:fill="FFFFFF"/>
        </w:rPr>
        <w:t xml:space="preserve">However, even without this fact, we would still find </w:t>
      </w:r>
      <w:r w:rsidR="000B51EA" w:rsidRPr="002B234E">
        <w:rPr>
          <w:rFonts w:ascii="Century Schoolbook" w:hAnsi="Century Schoolbook"/>
          <w:color w:val="212121"/>
          <w:szCs w:val="26"/>
          <w:shd w:val="clear" w:color="auto" w:fill="FFFFFF"/>
        </w:rPr>
        <w:t>that Villegas’s</w:t>
      </w:r>
      <w:r w:rsidRPr="002B234E">
        <w:rPr>
          <w:rFonts w:ascii="Century Schoolbook" w:hAnsi="Century Schoolbook"/>
          <w:color w:val="212121"/>
          <w:szCs w:val="26"/>
          <w:shd w:val="clear" w:color="auto" w:fill="FFFFFF"/>
        </w:rPr>
        <w:t xml:space="preserve"> due process </w:t>
      </w:r>
      <w:r w:rsidR="000B51EA" w:rsidRPr="002B234E">
        <w:rPr>
          <w:rFonts w:ascii="Century Schoolbook" w:hAnsi="Century Schoolbook"/>
          <w:color w:val="212121"/>
          <w:szCs w:val="26"/>
          <w:shd w:val="clear" w:color="auto" w:fill="FFFFFF"/>
        </w:rPr>
        <w:t xml:space="preserve">rights were </w:t>
      </w:r>
      <w:r w:rsidRPr="002B234E">
        <w:rPr>
          <w:rFonts w:ascii="Century Schoolbook" w:hAnsi="Century Schoolbook"/>
          <w:color w:val="212121"/>
          <w:szCs w:val="26"/>
          <w:shd w:val="clear" w:color="auto" w:fill="FFFFFF"/>
        </w:rPr>
        <w:t>violat</w:t>
      </w:r>
      <w:r w:rsidR="000B51EA" w:rsidRPr="002B234E">
        <w:rPr>
          <w:rFonts w:ascii="Century Schoolbook" w:hAnsi="Century Schoolbook"/>
          <w:color w:val="212121"/>
          <w:szCs w:val="26"/>
          <w:shd w:val="clear" w:color="auto" w:fill="FFFFFF"/>
        </w:rPr>
        <w:t>ed</w:t>
      </w:r>
      <w:r w:rsidRPr="002B234E">
        <w:rPr>
          <w:rFonts w:ascii="Century Schoolbook" w:hAnsi="Century Schoolbook"/>
          <w:color w:val="212121"/>
          <w:szCs w:val="26"/>
          <w:shd w:val="clear" w:color="auto" w:fill="FFFFFF"/>
        </w:rPr>
        <w:t xml:space="preserve"> based on our reading of </w:t>
      </w:r>
      <w:r w:rsidRPr="002B234E">
        <w:rPr>
          <w:rFonts w:ascii="Century Schoolbook" w:hAnsi="Century Schoolbook"/>
          <w:i/>
          <w:iCs/>
          <w:color w:val="212121"/>
          <w:szCs w:val="26"/>
          <w:shd w:val="clear" w:color="auto" w:fill="FFFFFF"/>
        </w:rPr>
        <w:t>Mancebo.</w:t>
      </w:r>
      <w:r w:rsidRPr="000B51EA">
        <w:rPr>
          <w:rFonts w:ascii="Century Schoolbook" w:hAnsi="Century Schoolbook"/>
        </w:rPr>
        <w:t xml:space="preserve"> </w:t>
      </w:r>
    </w:p>
  </w:footnote>
  <w:footnote w:id="9">
    <w:p w14:paraId="7143DE0D" w14:textId="70336F3D" w:rsidR="003F22A1" w:rsidRPr="007A1B32" w:rsidRDefault="003F22A1" w:rsidP="003F22A1">
      <w:pPr>
        <w:pStyle w:val="FootnoteText"/>
        <w:ind w:firstLine="720"/>
        <w:rPr>
          <w:rFonts w:ascii="Century Schoolbook" w:hAnsi="Century Schoolbook"/>
          <w:szCs w:val="26"/>
        </w:rPr>
      </w:pPr>
      <w:r w:rsidRPr="007A1B32">
        <w:rPr>
          <w:rStyle w:val="FootnoteReference"/>
          <w:rFonts w:ascii="Century Schoolbook" w:hAnsi="Century Schoolbook"/>
          <w:szCs w:val="26"/>
        </w:rPr>
        <w:footnoteRef/>
      </w:r>
      <w:r w:rsidR="00735B10">
        <w:rPr>
          <w:rFonts w:ascii="Century Schoolbook" w:hAnsi="Century Schoolbook"/>
          <w:szCs w:val="26"/>
        </w:rPr>
        <w:t xml:space="preserve"> </w:t>
      </w:r>
      <w:r w:rsidR="007A1B32" w:rsidRPr="007A1B32">
        <w:rPr>
          <w:rFonts w:ascii="Century Schoolbook" w:eastAsia="Times New Roman" w:hAnsi="Century Schoolbook"/>
          <w:szCs w:val="26"/>
        </w:rPr>
        <w:t xml:space="preserve">In reaching this conclusion, the court distinguished </w:t>
      </w:r>
      <w:r w:rsidR="007A1B32" w:rsidRPr="007A1B32">
        <w:rPr>
          <w:rFonts w:ascii="Century Schoolbook" w:eastAsia="Times New Roman" w:hAnsi="Century Schoolbook"/>
          <w:i/>
          <w:iCs/>
          <w:szCs w:val="26"/>
        </w:rPr>
        <w:t xml:space="preserve">People v. Valenti </w:t>
      </w:r>
      <w:r w:rsidR="007A1B32" w:rsidRPr="007A1B32">
        <w:rPr>
          <w:rFonts w:ascii="Century Schoolbook" w:eastAsia="Times New Roman" w:hAnsi="Century Schoolbook"/>
          <w:szCs w:val="26"/>
        </w:rPr>
        <w:t xml:space="preserve">(2016) 243 Cal.App.4th 1140, 1181, which had concluded that </w:t>
      </w:r>
      <w:r w:rsidR="00B1485D">
        <w:rPr>
          <w:rFonts w:ascii="Century Schoolbook" w:eastAsia="Times New Roman" w:hAnsi="Century Schoolbook"/>
          <w:szCs w:val="26"/>
        </w:rPr>
        <w:t>“</w:t>
      </w:r>
      <w:r w:rsidR="007A1B32" w:rsidRPr="007A1B32">
        <w:rPr>
          <w:rFonts w:ascii="Century Schoolbook" w:eastAsia="Times New Roman" w:hAnsi="Century Schoolbook"/>
          <w:szCs w:val="26"/>
        </w:rPr>
        <w:t>[t]</w:t>
      </w:r>
      <w:r w:rsidR="007A1B32" w:rsidRPr="007A1B32">
        <w:rPr>
          <w:rFonts w:ascii="Century Schoolbook" w:hAnsi="Century Schoolbook"/>
          <w:szCs w:val="26"/>
          <w:shd w:val="clear" w:color="auto" w:fill="FFFFFF"/>
        </w:rPr>
        <w:t>he plain language of section 1202.4, subdivision (f)(3)(F)</w:t>
      </w:r>
      <w:r w:rsidR="00735B10">
        <w:rPr>
          <w:rFonts w:ascii="Century Schoolbook" w:hAnsi="Century Schoolbook"/>
          <w:szCs w:val="26"/>
          <w:shd w:val="clear" w:color="auto" w:fill="FFFFFF"/>
        </w:rPr>
        <w:t xml:space="preserve"> </w:t>
      </w:r>
      <w:r w:rsidR="007A1B32" w:rsidRPr="007A1B32">
        <w:rPr>
          <w:rFonts w:ascii="Century Schoolbook" w:hAnsi="Century Schoolbook"/>
          <w:szCs w:val="26"/>
          <w:shd w:val="clear" w:color="auto" w:fill="FFFFFF"/>
        </w:rPr>
        <w:t>limits noneconomic restitution awards to ‘felony violations of</w:t>
      </w:r>
      <w:r w:rsidR="00735B10">
        <w:rPr>
          <w:rFonts w:ascii="Century Schoolbook" w:hAnsi="Century Schoolbook"/>
          <w:szCs w:val="26"/>
          <w:shd w:val="clear" w:color="auto" w:fill="FFFFFF"/>
        </w:rPr>
        <w:t xml:space="preserve"> </w:t>
      </w:r>
      <w:r w:rsidR="007A1B32" w:rsidRPr="007A1B32">
        <w:rPr>
          <w:rFonts w:ascii="Century Schoolbook" w:hAnsi="Century Schoolbook"/>
          <w:szCs w:val="26"/>
        </w:rPr>
        <w:t>Section 288</w:t>
      </w:r>
      <w:r w:rsidR="007A1B32" w:rsidRPr="007A1B32">
        <w:rPr>
          <w:rFonts w:ascii="Century Schoolbook" w:hAnsi="Century Schoolbook"/>
          <w:szCs w:val="26"/>
          <w:shd w:val="clear" w:color="auto" w:fill="FFFFFF"/>
        </w:rPr>
        <w:t>.’  It does not include</w:t>
      </w:r>
      <w:r w:rsidR="00735B10">
        <w:rPr>
          <w:rFonts w:ascii="Century Schoolbook" w:hAnsi="Century Schoolbook"/>
          <w:szCs w:val="26"/>
          <w:shd w:val="clear" w:color="auto" w:fill="FFFFFF"/>
        </w:rPr>
        <w:t xml:space="preserve"> </w:t>
      </w:r>
      <w:r w:rsidR="007A1B32" w:rsidRPr="007A1B32">
        <w:rPr>
          <w:rFonts w:ascii="Century Schoolbook" w:hAnsi="Century Schoolbook"/>
          <w:szCs w:val="26"/>
          <w:shd w:val="clear" w:color="auto" w:fill="FFFFFF"/>
        </w:rPr>
        <w:t xml:space="preserve">section 288.5.”  </w:t>
      </w:r>
      <w:r w:rsidR="007A1B32">
        <w:rPr>
          <w:rFonts w:ascii="Century Schoolbook" w:hAnsi="Century Schoolbook"/>
          <w:szCs w:val="26"/>
          <w:shd w:val="clear" w:color="auto" w:fill="FFFFFF"/>
        </w:rPr>
        <w:t xml:space="preserve">In </w:t>
      </w:r>
      <w:r w:rsidR="007A1B32" w:rsidRPr="007A1B32">
        <w:rPr>
          <w:rFonts w:ascii="Century Schoolbook" w:hAnsi="Century Schoolbook"/>
          <w:i/>
          <w:iCs/>
          <w:szCs w:val="26"/>
          <w:shd w:val="clear" w:color="auto" w:fill="FFFFFF"/>
        </w:rPr>
        <w:t>Valenti,</w:t>
      </w:r>
      <w:r w:rsidR="007A1B32" w:rsidRPr="007A1B32">
        <w:rPr>
          <w:rFonts w:ascii="Century Schoolbook" w:hAnsi="Century Schoolbook"/>
          <w:szCs w:val="26"/>
          <w:shd w:val="clear" w:color="auto" w:fill="FFFFFF"/>
        </w:rPr>
        <w:t xml:space="preserve"> </w:t>
      </w:r>
      <w:r w:rsidR="007A1B32">
        <w:rPr>
          <w:rFonts w:ascii="Century Schoolbook" w:hAnsi="Century Schoolbook"/>
          <w:szCs w:val="26"/>
          <w:shd w:val="clear" w:color="auto" w:fill="FFFFFF"/>
        </w:rPr>
        <w:t xml:space="preserve">however, </w:t>
      </w:r>
      <w:r w:rsidR="007A1B32" w:rsidRPr="007A1B32">
        <w:rPr>
          <w:rFonts w:ascii="Century Schoolbook" w:hAnsi="Century Schoolbook"/>
          <w:szCs w:val="26"/>
          <w:shd w:val="clear" w:color="auto" w:fill="FFFFFF"/>
        </w:rPr>
        <w:t xml:space="preserve">the People had </w:t>
      </w:r>
      <w:r w:rsidR="007A1B32" w:rsidRPr="007A1B32">
        <w:rPr>
          <w:rFonts w:ascii="Century Schoolbook" w:hAnsi="Century Schoolbook"/>
          <w:i/>
          <w:iCs/>
          <w:szCs w:val="26"/>
          <w:shd w:val="clear" w:color="auto" w:fill="FFFFFF"/>
        </w:rPr>
        <w:t>conceded</w:t>
      </w:r>
      <w:r w:rsidR="007A1B32" w:rsidRPr="007A1B32">
        <w:rPr>
          <w:rFonts w:ascii="Century Schoolbook" w:hAnsi="Century Schoolbook"/>
          <w:szCs w:val="26"/>
          <w:shd w:val="clear" w:color="auto" w:fill="FFFFFF"/>
        </w:rPr>
        <w:t xml:space="preserve"> that the trial court erred in awarding noneconomic restitution for a violation of section 288.5.  (</w:t>
      </w:r>
      <w:r w:rsidR="007A1B32" w:rsidRPr="007A1B32">
        <w:rPr>
          <w:rFonts w:ascii="Century Schoolbook" w:hAnsi="Century Schoolbook"/>
          <w:i/>
          <w:iCs/>
          <w:szCs w:val="26"/>
          <w:shd w:val="clear" w:color="auto" w:fill="FFFFFF"/>
        </w:rPr>
        <w:t>McCarthy</w:t>
      </w:r>
      <w:r w:rsidR="007A1B32" w:rsidRPr="007A1B32">
        <w:rPr>
          <w:rFonts w:ascii="Century Schoolbook" w:hAnsi="Century Schoolbook"/>
          <w:szCs w:val="26"/>
          <w:shd w:val="clear" w:color="auto" w:fill="FFFFFF"/>
        </w:rPr>
        <w:t>, a</w:t>
      </w:r>
      <w:r w:rsidR="007A1B32" w:rsidRPr="007A1B32">
        <w:rPr>
          <w:rFonts w:ascii="Century Schoolbook" w:hAnsi="Century Schoolbook"/>
          <w:szCs w:val="26"/>
        </w:rPr>
        <w:t>t p. 1111.)</w:t>
      </w:r>
      <w:r w:rsidR="007A1B32">
        <w:rPr>
          <w:rFonts w:ascii="Century Schoolbook" w:hAnsi="Century Schoolbook"/>
          <w:szCs w:val="26"/>
        </w:rPr>
        <w:t xml:space="preserve">  Nevertheless</w:t>
      </w:r>
      <w:r w:rsidR="00295D34" w:rsidRPr="007A1B32">
        <w:rPr>
          <w:rFonts w:ascii="Century Schoolbook" w:hAnsi="Century Schoolbook"/>
          <w:szCs w:val="26"/>
        </w:rPr>
        <w:t>, g</w:t>
      </w:r>
      <w:r w:rsidRPr="007A1B32">
        <w:rPr>
          <w:rFonts w:ascii="Century Schoolbook" w:hAnsi="Century Schoolbook"/>
          <w:szCs w:val="26"/>
        </w:rPr>
        <w:t xml:space="preserve">iven the </w:t>
      </w:r>
      <w:r w:rsidR="007A1B32">
        <w:rPr>
          <w:rFonts w:ascii="Century Schoolbook" w:hAnsi="Century Schoolbook"/>
          <w:szCs w:val="26"/>
        </w:rPr>
        <w:t xml:space="preserve">apparent </w:t>
      </w:r>
      <w:r w:rsidRPr="007A1B32">
        <w:rPr>
          <w:rFonts w:ascii="Century Schoolbook" w:hAnsi="Century Schoolbook"/>
          <w:szCs w:val="26"/>
        </w:rPr>
        <w:t>conflict between</w:t>
      </w:r>
      <w:r w:rsidR="00295D34" w:rsidRPr="007A1B32">
        <w:rPr>
          <w:rFonts w:ascii="Century Schoolbook" w:hAnsi="Century Schoolbook"/>
          <w:szCs w:val="26"/>
        </w:rPr>
        <w:t xml:space="preserve"> </w:t>
      </w:r>
      <w:r w:rsidR="00295D34" w:rsidRPr="007A1B32">
        <w:rPr>
          <w:rFonts w:ascii="Century Schoolbook" w:hAnsi="Century Schoolbook"/>
          <w:i/>
          <w:iCs/>
          <w:szCs w:val="26"/>
        </w:rPr>
        <w:t>Valenti</w:t>
      </w:r>
      <w:r w:rsidR="00295D34" w:rsidRPr="007A1B32">
        <w:rPr>
          <w:rFonts w:ascii="Century Schoolbook" w:hAnsi="Century Schoolbook"/>
          <w:szCs w:val="26"/>
        </w:rPr>
        <w:t xml:space="preserve"> on the one hand and </w:t>
      </w:r>
      <w:r w:rsidR="00295D34" w:rsidRPr="007A1B32">
        <w:rPr>
          <w:rFonts w:ascii="Century Schoolbook" w:hAnsi="Century Schoolbook"/>
          <w:i/>
          <w:iCs/>
          <w:szCs w:val="26"/>
        </w:rPr>
        <w:t>McCarthy</w:t>
      </w:r>
      <w:r w:rsidR="00295D34" w:rsidRPr="007A1B32">
        <w:rPr>
          <w:rFonts w:ascii="Century Schoolbook" w:hAnsi="Century Schoolbook"/>
          <w:szCs w:val="26"/>
        </w:rPr>
        <w:t xml:space="preserve"> and </w:t>
      </w:r>
      <w:r w:rsidR="00295D34" w:rsidRPr="007A1B32">
        <w:rPr>
          <w:rFonts w:ascii="Century Schoolbook" w:hAnsi="Century Schoolbook"/>
          <w:i/>
          <w:iCs/>
          <w:szCs w:val="26"/>
        </w:rPr>
        <w:t>Martinez</w:t>
      </w:r>
      <w:r w:rsidR="00295D34" w:rsidRPr="007A1B32">
        <w:rPr>
          <w:rFonts w:ascii="Century Schoolbook" w:hAnsi="Century Schoolbook"/>
          <w:szCs w:val="26"/>
        </w:rPr>
        <w:t xml:space="preserve"> on the other, the Legislature subsequently clarified the statutory language by amending subdivision (f)(3)(F) of section 1202.4 to permit noneconomic restitution “</w:t>
      </w:r>
      <w:r w:rsidR="00295D34" w:rsidRPr="007A1B32">
        <w:rPr>
          <w:rFonts w:ascii="Century Schoolbook" w:hAnsi="Century Schoolbook"/>
          <w:color w:val="212121"/>
          <w:szCs w:val="26"/>
          <w:shd w:val="clear" w:color="auto" w:fill="FFFFFF"/>
        </w:rPr>
        <w:t xml:space="preserve">for felony violations of Section 288, 288.5, or 288.7.”  (See </w:t>
      </w:r>
      <w:r w:rsidR="00295D34" w:rsidRPr="007A1B32">
        <w:rPr>
          <w:rFonts w:ascii="Century Schoolbook" w:hAnsi="Century Schoolbook"/>
          <w:i/>
          <w:iCs/>
          <w:color w:val="212121"/>
          <w:szCs w:val="26"/>
          <w:shd w:val="clear" w:color="auto" w:fill="FFFFFF"/>
        </w:rPr>
        <w:t>People v. Lee</w:t>
      </w:r>
      <w:r w:rsidR="00295D34" w:rsidRPr="007A1B32">
        <w:rPr>
          <w:rFonts w:ascii="Century Schoolbook" w:hAnsi="Century Schoolbook"/>
          <w:color w:val="212121"/>
          <w:szCs w:val="26"/>
          <w:shd w:val="clear" w:color="auto" w:fill="FFFFFF"/>
        </w:rPr>
        <w:t xml:space="preserve"> (2018) 24 Cal.App.5th 50, 59-60.)  Interestingly, although it had the opportunity to do so, the Legislature did not amend the statute to abrogate the </w:t>
      </w:r>
      <w:r w:rsidR="00057DEE">
        <w:rPr>
          <w:rFonts w:ascii="Century Schoolbook" w:hAnsi="Century Schoolbook"/>
          <w:color w:val="212121"/>
          <w:szCs w:val="26"/>
          <w:shd w:val="clear" w:color="auto" w:fill="FFFFFF"/>
        </w:rPr>
        <w:t xml:space="preserve">statutory </w:t>
      </w:r>
      <w:r w:rsidR="00295D34" w:rsidRPr="007A1B32">
        <w:rPr>
          <w:rFonts w:ascii="Century Schoolbook" w:hAnsi="Century Schoolbook"/>
          <w:color w:val="212121"/>
          <w:szCs w:val="26"/>
          <w:shd w:val="clear" w:color="auto" w:fill="FFFFFF"/>
        </w:rPr>
        <w:t xml:space="preserve">analysis in </w:t>
      </w:r>
      <w:r w:rsidR="00295D34" w:rsidRPr="007A1B32">
        <w:rPr>
          <w:rFonts w:ascii="Century Schoolbook" w:hAnsi="Century Schoolbook"/>
          <w:i/>
          <w:iCs/>
          <w:color w:val="212121"/>
          <w:szCs w:val="26"/>
          <w:shd w:val="clear" w:color="auto" w:fill="FFFFFF"/>
        </w:rPr>
        <w:t>McCarthy</w:t>
      </w:r>
      <w:r w:rsidR="00295D34" w:rsidRPr="007A1B32">
        <w:rPr>
          <w:rFonts w:ascii="Century Schoolbook" w:hAnsi="Century Schoolbook"/>
          <w:color w:val="212121"/>
          <w:szCs w:val="26"/>
          <w:shd w:val="clear" w:color="auto" w:fill="FFFFFF"/>
        </w:rPr>
        <w:t xml:space="preserve">.  </w:t>
      </w:r>
    </w:p>
  </w:footnote>
  <w:footnote w:id="10">
    <w:p w14:paraId="63CC4665" w14:textId="16A39D65" w:rsidR="0083775C" w:rsidRPr="00170921" w:rsidRDefault="0083775C" w:rsidP="00170921">
      <w:pPr>
        <w:pStyle w:val="FootnoteText"/>
        <w:ind w:firstLine="720"/>
        <w:rPr>
          <w:rFonts w:ascii="Century Schoolbook" w:hAnsi="Century Schoolbook"/>
        </w:rPr>
      </w:pPr>
      <w:r w:rsidRPr="00170921">
        <w:rPr>
          <w:rStyle w:val="FootnoteReference"/>
          <w:rFonts w:ascii="Century Schoolbook" w:hAnsi="Century Schoolbook"/>
        </w:rPr>
        <w:footnoteRef/>
      </w:r>
      <w:r w:rsidRPr="00170921">
        <w:rPr>
          <w:rFonts w:ascii="Century Schoolbook" w:hAnsi="Century Schoolbook"/>
        </w:rPr>
        <w:t xml:space="preserve"> </w:t>
      </w:r>
      <w:r w:rsidR="007B5FB8" w:rsidRPr="00170921">
        <w:rPr>
          <w:rFonts w:ascii="Century Schoolbook" w:hAnsi="Century Schoolbook"/>
        </w:rPr>
        <w:t xml:space="preserve">In this case, the issue is </w:t>
      </w:r>
      <w:r w:rsidR="000A06EE">
        <w:rPr>
          <w:rFonts w:ascii="Century Schoolbook" w:hAnsi="Century Schoolbook"/>
        </w:rPr>
        <w:t>largely academic</w:t>
      </w:r>
      <w:r w:rsidR="007B5FB8" w:rsidRPr="00170921">
        <w:rPr>
          <w:rFonts w:ascii="Century Schoolbook" w:hAnsi="Century Schoolbook"/>
        </w:rPr>
        <w:t>.  V</w:t>
      </w:r>
      <w:r w:rsidR="00852D18">
        <w:rPr>
          <w:rFonts w:ascii="Century Schoolbook" w:hAnsi="Century Schoolbook"/>
        </w:rPr>
        <w:t>i</w:t>
      </w:r>
      <w:r w:rsidR="007B5FB8" w:rsidRPr="00170921">
        <w:rPr>
          <w:rFonts w:ascii="Century Schoolbook" w:hAnsi="Century Schoolbook"/>
        </w:rPr>
        <w:t xml:space="preserve">llegas will serve a </w:t>
      </w:r>
      <w:r w:rsidR="000A06EE">
        <w:rPr>
          <w:rFonts w:ascii="Century Schoolbook" w:hAnsi="Century Schoolbook"/>
        </w:rPr>
        <w:t xml:space="preserve">sentence of </w:t>
      </w:r>
      <w:r w:rsidR="007B5FB8" w:rsidRPr="00170921">
        <w:rPr>
          <w:rFonts w:ascii="Century Schoolbook" w:hAnsi="Century Schoolbook"/>
        </w:rPr>
        <w:t>180 years to life, owes extensive restitution to the direct victims, and</w:t>
      </w:r>
      <w:r w:rsidR="000A06EE">
        <w:rPr>
          <w:rFonts w:ascii="Century Schoolbook" w:hAnsi="Century Schoolbook"/>
        </w:rPr>
        <w:t>,</w:t>
      </w:r>
      <w:r w:rsidR="007B5FB8" w:rsidRPr="00170921">
        <w:rPr>
          <w:rFonts w:ascii="Century Schoolbook" w:hAnsi="Century Schoolbook"/>
        </w:rPr>
        <w:t xml:space="preserve"> as the record below discloses, did not have economic resources prior to his incarceration.</w:t>
      </w:r>
      <w:r w:rsidR="00143377">
        <w:rPr>
          <w:rFonts w:ascii="Century Schoolbook" w:hAnsi="Century Schoolbook"/>
        </w:rPr>
        <w:t xml:space="preserve"> </w:t>
      </w:r>
    </w:p>
  </w:footnote>
  <w:footnote w:id="11">
    <w:p w14:paraId="429C0272" w14:textId="575C6B91" w:rsidR="0045539B" w:rsidRPr="0012608A" w:rsidRDefault="0045539B" w:rsidP="0045539B">
      <w:pPr>
        <w:pStyle w:val="FootnoteText"/>
        <w:ind w:firstLine="720"/>
        <w:rPr>
          <w:rFonts w:ascii="Century Schoolbook" w:hAnsi="Century Schoolbook"/>
        </w:rPr>
      </w:pPr>
      <w:r w:rsidRPr="0012608A">
        <w:rPr>
          <w:rStyle w:val="FootnoteReference"/>
          <w:rFonts w:ascii="Century Schoolbook" w:hAnsi="Century Schoolbook"/>
        </w:rPr>
        <w:footnoteRef/>
      </w:r>
      <w:r w:rsidRPr="0012608A">
        <w:rPr>
          <w:rFonts w:ascii="Century Schoolbook" w:hAnsi="Century Schoolbook"/>
        </w:rPr>
        <w:t xml:space="preserve"> </w:t>
      </w:r>
      <w:r w:rsidR="0012608A" w:rsidRPr="0012608A">
        <w:rPr>
          <w:rFonts w:ascii="Century Schoolbook" w:hAnsi="Century Schoolbook"/>
        </w:rPr>
        <w:t>Both</w:t>
      </w:r>
      <w:r w:rsidR="0012608A">
        <w:rPr>
          <w:rFonts w:ascii="Century Schoolbook" w:hAnsi="Century Schoolbook"/>
        </w:rPr>
        <w:t xml:space="preserve"> Villegas and the Attorney General are authorized to raise these issues for the first time on appeal.  (See</w:t>
      </w:r>
      <w:r w:rsidR="006849F8">
        <w:rPr>
          <w:rFonts w:ascii="Century Schoolbook" w:hAnsi="Century Schoolbook"/>
        </w:rPr>
        <w:t xml:space="preserve"> </w:t>
      </w:r>
      <w:r w:rsidR="00A73806" w:rsidRPr="00A73806">
        <w:rPr>
          <w:rFonts w:ascii="Century Schoolbook" w:hAnsi="Century Schoolbook"/>
          <w:i/>
          <w:iCs/>
        </w:rPr>
        <w:t>People v. Scott</w:t>
      </w:r>
      <w:r w:rsidR="00A73806" w:rsidRPr="00A73806">
        <w:rPr>
          <w:rFonts w:ascii="Century Schoolbook" w:hAnsi="Century Schoolbook"/>
        </w:rPr>
        <w:t xml:space="preserve"> (</w:t>
      </w:r>
      <w:r w:rsidR="00A73806">
        <w:rPr>
          <w:rFonts w:ascii="Century Schoolbook" w:hAnsi="Century Schoolbook"/>
        </w:rPr>
        <w:t>1994) 9 Cal.4th 331, 356–357 [unauthorized sentences exempted from the waiver rule</w:t>
      </w:r>
      <w:r w:rsidR="002D4FA8">
        <w:rPr>
          <w:rFonts w:ascii="Century Schoolbook" w:hAnsi="Century Schoolbook"/>
        </w:rPr>
        <w:t xml:space="preserve"> and may be raised for first time on appeal</w:t>
      </w:r>
      <w:r w:rsidR="00A73806">
        <w:rPr>
          <w:rFonts w:ascii="Century Schoolbook" w:hAnsi="Century Schoolbook"/>
        </w:rPr>
        <w:t xml:space="preserve">]; </w:t>
      </w:r>
      <w:r w:rsidR="006849F8" w:rsidRPr="00A00947">
        <w:rPr>
          <w:rFonts w:ascii="Century Schoolbook" w:hAnsi="Century Schoolbook"/>
          <w:i/>
          <w:iCs/>
        </w:rPr>
        <w:t>People</w:t>
      </w:r>
      <w:r w:rsidR="006849F8">
        <w:rPr>
          <w:rFonts w:ascii="Century Schoolbook" w:hAnsi="Century Schoolbook"/>
          <w:i/>
          <w:iCs/>
        </w:rPr>
        <w:t xml:space="preserve"> v</w:t>
      </w:r>
      <w:r w:rsidR="006849F8" w:rsidRPr="006849F8">
        <w:rPr>
          <w:rFonts w:ascii="Century Schoolbook" w:hAnsi="Century Schoolbook"/>
          <w:i/>
          <w:iCs/>
        </w:rPr>
        <w:t>. Hamed</w:t>
      </w:r>
      <w:r w:rsidR="006849F8">
        <w:rPr>
          <w:rFonts w:ascii="Century Schoolbook" w:hAnsi="Century Schoolbook"/>
        </w:rPr>
        <w:t xml:space="preserve"> (2013) 221 Cal.App.</w:t>
      </w:r>
      <w:r w:rsidR="006849F8" w:rsidRPr="006849F8">
        <w:rPr>
          <w:rFonts w:ascii="Century Schoolbook" w:hAnsi="Century Schoolbook"/>
        </w:rPr>
        <w:t xml:space="preserve">4th 928, </w:t>
      </w:r>
      <w:r w:rsidR="00A73806">
        <w:rPr>
          <w:rFonts w:ascii="Century Schoolbook" w:hAnsi="Century Schoolbook"/>
        </w:rPr>
        <w:t>941</w:t>
      </w:r>
      <w:r w:rsidR="002D4FA8">
        <w:rPr>
          <w:rFonts w:ascii="Century Schoolbook" w:hAnsi="Century Schoolbook"/>
        </w:rPr>
        <w:t xml:space="preserve"> [same]</w:t>
      </w:r>
      <w:r w:rsidR="006849F8">
        <w:rPr>
          <w:rFonts w:ascii="Century Schoolbook" w:hAnsi="Century Schoolbook"/>
        </w:rPr>
        <w:t>;</w:t>
      </w:r>
      <w:r w:rsidR="006849F8">
        <w:rPr>
          <w:rFonts w:ascii="Century Schoolbook" w:hAnsi="Century Schoolbook"/>
          <w:i/>
          <w:iCs/>
        </w:rPr>
        <w:t xml:space="preserve"> </w:t>
      </w:r>
      <w:r w:rsidR="006849F8" w:rsidRPr="006849F8">
        <w:rPr>
          <w:rFonts w:ascii="Century Schoolbook" w:hAnsi="Century Schoolbook"/>
          <w:i/>
          <w:iCs/>
        </w:rPr>
        <w:t>People</w:t>
      </w:r>
      <w:r w:rsidR="006849F8">
        <w:rPr>
          <w:rFonts w:ascii="Century Schoolbook" w:hAnsi="Century Schoolbook"/>
          <w:i/>
          <w:iCs/>
        </w:rPr>
        <w:t xml:space="preserve"> v. Stewart </w:t>
      </w:r>
      <w:r w:rsidR="006849F8">
        <w:rPr>
          <w:rFonts w:ascii="Century Schoolbook" w:hAnsi="Century Schoolbook"/>
        </w:rPr>
        <w:t>(2004) 117 Cal.App.4th</w:t>
      </w:r>
      <w:r w:rsidR="0012608A">
        <w:rPr>
          <w:rFonts w:ascii="Century Schoolbook" w:hAnsi="Century Schoolbook"/>
        </w:rPr>
        <w:t xml:space="preserve"> </w:t>
      </w:r>
      <w:r w:rsidR="006849F8">
        <w:rPr>
          <w:rFonts w:ascii="Century Schoolbook" w:hAnsi="Century Schoolbook"/>
        </w:rPr>
        <w:t>907, 91</w:t>
      </w:r>
      <w:r w:rsidR="00A73806">
        <w:rPr>
          <w:rFonts w:ascii="Century Schoolbook" w:hAnsi="Century Schoolbook"/>
        </w:rPr>
        <w:t>0</w:t>
      </w:r>
      <w:r w:rsidR="002D4FA8">
        <w:rPr>
          <w:rFonts w:ascii="Century Schoolbook" w:hAnsi="Century Schoolbook"/>
        </w:rPr>
        <w:t>–911</w:t>
      </w:r>
      <w:r w:rsidR="006849F8">
        <w:rPr>
          <w:rFonts w:ascii="Century Schoolbook" w:hAnsi="Century Schoolbook"/>
        </w:rPr>
        <w:t xml:space="preserve"> (</w:t>
      </w:r>
      <w:r w:rsidR="006849F8">
        <w:rPr>
          <w:rFonts w:ascii="Century Schoolbook" w:hAnsi="Century Schoolbook"/>
          <w:i/>
          <w:iCs/>
        </w:rPr>
        <w:t>Stewart</w:t>
      </w:r>
      <w:r w:rsidR="006849F8">
        <w:rPr>
          <w:rFonts w:ascii="Century Schoolbook" w:hAnsi="Century Schoolbook"/>
        </w:rPr>
        <w:t>)</w:t>
      </w:r>
      <w:r w:rsidR="002D4FA8">
        <w:rPr>
          <w:rFonts w:ascii="Century Schoolbook" w:hAnsi="Century Schoolbook"/>
        </w:rPr>
        <w:t xml:space="preserve"> [“</w:t>
      </w:r>
      <w:r w:rsidR="002D4FA8" w:rsidRPr="002D4FA8">
        <w:rPr>
          <w:rFonts w:ascii="Century Schoolbook" w:hAnsi="Century Schoolbook"/>
        </w:rPr>
        <w:t>Once the section 290.3, subdivision (a) sex offender fine is imposed, the trial court is duty bound to require the accused to pay the additional section 1464, subdivision (a) and Government Code section 76000, subdivision (a) penalty assessments</w:t>
      </w:r>
      <w:r w:rsidR="002D4FA8">
        <w:rPr>
          <w:rFonts w:ascii="Century Schoolbook" w:hAnsi="Century Schoolbook"/>
        </w:rPr>
        <w:t>.”]</w:t>
      </w:r>
      <w:r w:rsidR="0012608A">
        <w:rPr>
          <w:rFonts w:ascii="Century Schoolbook" w:hAnsi="Century Schoolbook"/>
        </w:rPr>
        <w:t>.)</w:t>
      </w:r>
    </w:p>
  </w:footnote>
  <w:footnote w:id="12">
    <w:p w14:paraId="49EFE720" w14:textId="77777777" w:rsidR="00664432" w:rsidRPr="00A63D46" w:rsidRDefault="00664432" w:rsidP="00D64F5C">
      <w:pPr>
        <w:pStyle w:val="FootnoteText"/>
        <w:rPr>
          <w:iCs/>
        </w:rPr>
      </w:pPr>
      <w:r w:rsidRPr="00A63D46">
        <w:rPr>
          <w:rStyle w:val="FootnoteReference"/>
        </w:rPr>
        <w:sym w:font="Symbol" w:char="F02A"/>
      </w:r>
      <w:r>
        <w:t xml:space="preserve"> </w:t>
      </w:r>
      <w:r w:rsidRPr="00664432">
        <w:rPr>
          <w:rFonts w:ascii="Century Schoolbook" w:hAnsi="Century Schoolbook"/>
          <w:iCs/>
        </w:rPr>
        <w:t>Judge of the Solano County Superior Court, assigned by the Chief Justice pursuant to article VI, section 6 of the California Constitution.</w:t>
      </w:r>
      <w:r w:rsidRPr="00A63D46">
        <w:rPr>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566"/>
    <w:multiLevelType w:val="hybridMultilevel"/>
    <w:tmpl w:val="3E140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1263"/>
    <w:multiLevelType w:val="hybridMultilevel"/>
    <w:tmpl w:val="E474B2B4"/>
    <w:lvl w:ilvl="0" w:tplc="1D9A1C8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9F1F1F"/>
    <w:multiLevelType w:val="hybridMultilevel"/>
    <w:tmpl w:val="855EE7E6"/>
    <w:lvl w:ilvl="0" w:tplc="218EBF92">
      <w:start w:val="1"/>
      <w:numFmt w:val="upperLetter"/>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85644"/>
    <w:multiLevelType w:val="hybridMultilevel"/>
    <w:tmpl w:val="AC70DDF2"/>
    <w:lvl w:ilvl="0" w:tplc="BF30308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83A11"/>
    <w:multiLevelType w:val="hybridMultilevel"/>
    <w:tmpl w:val="2244FB72"/>
    <w:lvl w:ilvl="0" w:tplc="BB3441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043C36"/>
    <w:multiLevelType w:val="hybridMultilevel"/>
    <w:tmpl w:val="8FF41A22"/>
    <w:lvl w:ilvl="0" w:tplc="35EAB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B1EED"/>
    <w:multiLevelType w:val="hybridMultilevel"/>
    <w:tmpl w:val="29CA9B38"/>
    <w:lvl w:ilvl="0" w:tplc="547A616E">
      <w:start w:val="1"/>
      <w:numFmt w:val="upperRoman"/>
      <w:pStyle w:val="ISubheading"/>
      <w:lvlText w:val="%1."/>
      <w:lvlJc w:val="left"/>
      <w:pPr>
        <w:ind w:left="1080" w:hanging="720"/>
      </w:pPr>
      <w:rPr>
        <w:rFonts w:hint="default"/>
      </w:rPr>
    </w:lvl>
    <w:lvl w:ilvl="1" w:tplc="5A2E0024">
      <w:start w:val="1"/>
      <w:numFmt w:val="lowerLetter"/>
      <w:pStyle w:val="aSubheading"/>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E379F"/>
    <w:multiLevelType w:val="hybridMultilevel"/>
    <w:tmpl w:val="35B8323E"/>
    <w:lvl w:ilvl="0" w:tplc="26D87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000A2C"/>
    <w:multiLevelType w:val="hybridMultilevel"/>
    <w:tmpl w:val="56EC103A"/>
    <w:lvl w:ilvl="0" w:tplc="15FA8B9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064D65"/>
    <w:multiLevelType w:val="hybridMultilevel"/>
    <w:tmpl w:val="CC883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714684"/>
    <w:multiLevelType w:val="hybridMultilevel"/>
    <w:tmpl w:val="11A8B184"/>
    <w:lvl w:ilvl="0" w:tplc="F0883F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63C09"/>
    <w:multiLevelType w:val="hybridMultilevel"/>
    <w:tmpl w:val="6FA8215E"/>
    <w:lvl w:ilvl="0" w:tplc="1FBA7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A35D3"/>
    <w:multiLevelType w:val="hybridMultilevel"/>
    <w:tmpl w:val="7674A3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535614">
    <w:abstractNumId w:val="6"/>
  </w:num>
  <w:num w:numId="2" w16cid:durableId="1159690485">
    <w:abstractNumId w:val="10"/>
  </w:num>
  <w:num w:numId="3" w16cid:durableId="396442723">
    <w:abstractNumId w:val="0"/>
  </w:num>
  <w:num w:numId="4" w16cid:durableId="256208664">
    <w:abstractNumId w:val="9"/>
  </w:num>
  <w:num w:numId="5" w16cid:durableId="1830319837">
    <w:abstractNumId w:val="2"/>
  </w:num>
  <w:num w:numId="6" w16cid:durableId="91364849">
    <w:abstractNumId w:val="12"/>
  </w:num>
  <w:num w:numId="7" w16cid:durableId="2041473969">
    <w:abstractNumId w:val="11"/>
  </w:num>
  <w:num w:numId="8" w16cid:durableId="134959117">
    <w:abstractNumId w:val="1"/>
  </w:num>
  <w:num w:numId="9" w16cid:durableId="213658157">
    <w:abstractNumId w:val="8"/>
  </w:num>
  <w:num w:numId="10" w16cid:durableId="1841239898">
    <w:abstractNumId w:val="5"/>
  </w:num>
  <w:num w:numId="11" w16cid:durableId="2074572390">
    <w:abstractNumId w:val="7"/>
  </w:num>
  <w:num w:numId="12" w16cid:durableId="379478021">
    <w:abstractNumId w:val="4"/>
  </w:num>
  <w:num w:numId="13" w16cid:durableId="988290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B4"/>
    <w:rsid w:val="00000373"/>
    <w:rsid w:val="00001189"/>
    <w:rsid w:val="00001561"/>
    <w:rsid w:val="0000167D"/>
    <w:rsid w:val="00002020"/>
    <w:rsid w:val="000025D5"/>
    <w:rsid w:val="00002DF2"/>
    <w:rsid w:val="00003053"/>
    <w:rsid w:val="00003435"/>
    <w:rsid w:val="00003AE4"/>
    <w:rsid w:val="00003D37"/>
    <w:rsid w:val="000045F3"/>
    <w:rsid w:val="000051A1"/>
    <w:rsid w:val="000061D5"/>
    <w:rsid w:val="00006788"/>
    <w:rsid w:val="00006B73"/>
    <w:rsid w:val="00007379"/>
    <w:rsid w:val="000076C3"/>
    <w:rsid w:val="0000774C"/>
    <w:rsid w:val="00007BB2"/>
    <w:rsid w:val="00007FF8"/>
    <w:rsid w:val="00010962"/>
    <w:rsid w:val="00010D6E"/>
    <w:rsid w:val="0001144F"/>
    <w:rsid w:val="0001231B"/>
    <w:rsid w:val="0001258F"/>
    <w:rsid w:val="0001273C"/>
    <w:rsid w:val="000134D3"/>
    <w:rsid w:val="000138B5"/>
    <w:rsid w:val="000138F4"/>
    <w:rsid w:val="00013906"/>
    <w:rsid w:val="0001449B"/>
    <w:rsid w:val="00014648"/>
    <w:rsid w:val="00014B64"/>
    <w:rsid w:val="00014BB6"/>
    <w:rsid w:val="00017B85"/>
    <w:rsid w:val="000207C2"/>
    <w:rsid w:val="00020A8D"/>
    <w:rsid w:val="00021600"/>
    <w:rsid w:val="00021737"/>
    <w:rsid w:val="00021972"/>
    <w:rsid w:val="000219B0"/>
    <w:rsid w:val="000219D4"/>
    <w:rsid w:val="00021F3A"/>
    <w:rsid w:val="0002300C"/>
    <w:rsid w:val="0002305D"/>
    <w:rsid w:val="000230EC"/>
    <w:rsid w:val="000233D1"/>
    <w:rsid w:val="0002383E"/>
    <w:rsid w:val="00023AC1"/>
    <w:rsid w:val="000244F5"/>
    <w:rsid w:val="000245A2"/>
    <w:rsid w:val="00024F34"/>
    <w:rsid w:val="0002507F"/>
    <w:rsid w:val="00025176"/>
    <w:rsid w:val="000267C3"/>
    <w:rsid w:val="000268A8"/>
    <w:rsid w:val="00026A2D"/>
    <w:rsid w:val="00026D49"/>
    <w:rsid w:val="0002728E"/>
    <w:rsid w:val="000276F5"/>
    <w:rsid w:val="00027874"/>
    <w:rsid w:val="00027C44"/>
    <w:rsid w:val="00027C80"/>
    <w:rsid w:val="000306B1"/>
    <w:rsid w:val="00030AB8"/>
    <w:rsid w:val="00030AE8"/>
    <w:rsid w:val="00030BDF"/>
    <w:rsid w:val="0003295F"/>
    <w:rsid w:val="00032F35"/>
    <w:rsid w:val="00034335"/>
    <w:rsid w:val="00034487"/>
    <w:rsid w:val="00034625"/>
    <w:rsid w:val="000347F6"/>
    <w:rsid w:val="000351AC"/>
    <w:rsid w:val="000355F6"/>
    <w:rsid w:val="00035687"/>
    <w:rsid w:val="000357E7"/>
    <w:rsid w:val="00035A46"/>
    <w:rsid w:val="0003674E"/>
    <w:rsid w:val="0003725D"/>
    <w:rsid w:val="00037481"/>
    <w:rsid w:val="00037ED2"/>
    <w:rsid w:val="00040297"/>
    <w:rsid w:val="00040321"/>
    <w:rsid w:val="000405B9"/>
    <w:rsid w:val="00040DBC"/>
    <w:rsid w:val="00041570"/>
    <w:rsid w:val="00041C2F"/>
    <w:rsid w:val="00041D7C"/>
    <w:rsid w:val="00042033"/>
    <w:rsid w:val="00042259"/>
    <w:rsid w:val="00042404"/>
    <w:rsid w:val="00043653"/>
    <w:rsid w:val="00043769"/>
    <w:rsid w:val="00044251"/>
    <w:rsid w:val="00044333"/>
    <w:rsid w:val="0004453A"/>
    <w:rsid w:val="00044AE7"/>
    <w:rsid w:val="0004502E"/>
    <w:rsid w:val="00046A10"/>
    <w:rsid w:val="000476AD"/>
    <w:rsid w:val="00047D5E"/>
    <w:rsid w:val="00050AF9"/>
    <w:rsid w:val="000516F3"/>
    <w:rsid w:val="000519FD"/>
    <w:rsid w:val="00051B72"/>
    <w:rsid w:val="000524E3"/>
    <w:rsid w:val="000527D7"/>
    <w:rsid w:val="00052B42"/>
    <w:rsid w:val="00052E3C"/>
    <w:rsid w:val="00053539"/>
    <w:rsid w:val="00053549"/>
    <w:rsid w:val="00054256"/>
    <w:rsid w:val="0005438A"/>
    <w:rsid w:val="0005587B"/>
    <w:rsid w:val="00055AFA"/>
    <w:rsid w:val="00056A7B"/>
    <w:rsid w:val="00057462"/>
    <w:rsid w:val="000577F3"/>
    <w:rsid w:val="00057836"/>
    <w:rsid w:val="00057880"/>
    <w:rsid w:val="000578C4"/>
    <w:rsid w:val="00057C8D"/>
    <w:rsid w:val="00057DEE"/>
    <w:rsid w:val="0006050E"/>
    <w:rsid w:val="000610B3"/>
    <w:rsid w:val="00061154"/>
    <w:rsid w:val="00061948"/>
    <w:rsid w:val="00061990"/>
    <w:rsid w:val="00061B71"/>
    <w:rsid w:val="00061BEB"/>
    <w:rsid w:val="00062132"/>
    <w:rsid w:val="00062DAE"/>
    <w:rsid w:val="000630C0"/>
    <w:rsid w:val="00063453"/>
    <w:rsid w:val="00063658"/>
    <w:rsid w:val="0006389E"/>
    <w:rsid w:val="00063EAA"/>
    <w:rsid w:val="000648D7"/>
    <w:rsid w:val="000652C1"/>
    <w:rsid w:val="00066913"/>
    <w:rsid w:val="00066E7E"/>
    <w:rsid w:val="0006759B"/>
    <w:rsid w:val="00067B0C"/>
    <w:rsid w:val="00067BEB"/>
    <w:rsid w:val="00067ED6"/>
    <w:rsid w:val="0007068D"/>
    <w:rsid w:val="00070A4C"/>
    <w:rsid w:val="00070DEB"/>
    <w:rsid w:val="00071001"/>
    <w:rsid w:val="00071ABE"/>
    <w:rsid w:val="00071B97"/>
    <w:rsid w:val="00071DE7"/>
    <w:rsid w:val="000722F0"/>
    <w:rsid w:val="0007251B"/>
    <w:rsid w:val="00072D47"/>
    <w:rsid w:val="00073750"/>
    <w:rsid w:val="00073A22"/>
    <w:rsid w:val="0007400E"/>
    <w:rsid w:val="0007463C"/>
    <w:rsid w:val="0007521A"/>
    <w:rsid w:val="0007547A"/>
    <w:rsid w:val="000759C9"/>
    <w:rsid w:val="00075AA3"/>
    <w:rsid w:val="000762C1"/>
    <w:rsid w:val="000772D3"/>
    <w:rsid w:val="000773C6"/>
    <w:rsid w:val="00077E29"/>
    <w:rsid w:val="00080424"/>
    <w:rsid w:val="00082966"/>
    <w:rsid w:val="00082D9B"/>
    <w:rsid w:val="00083174"/>
    <w:rsid w:val="00083EA1"/>
    <w:rsid w:val="00084AAA"/>
    <w:rsid w:val="00084E70"/>
    <w:rsid w:val="00085A3D"/>
    <w:rsid w:val="00085CAE"/>
    <w:rsid w:val="000866D5"/>
    <w:rsid w:val="00086CDC"/>
    <w:rsid w:val="000876B8"/>
    <w:rsid w:val="00087923"/>
    <w:rsid w:val="000906B2"/>
    <w:rsid w:val="00090D43"/>
    <w:rsid w:val="00090DD8"/>
    <w:rsid w:val="000910DC"/>
    <w:rsid w:val="00091537"/>
    <w:rsid w:val="00091860"/>
    <w:rsid w:val="00091E96"/>
    <w:rsid w:val="00092199"/>
    <w:rsid w:val="000924AA"/>
    <w:rsid w:val="000934B0"/>
    <w:rsid w:val="000938FA"/>
    <w:rsid w:val="00093A9C"/>
    <w:rsid w:val="00093AEA"/>
    <w:rsid w:val="000944FB"/>
    <w:rsid w:val="000949BF"/>
    <w:rsid w:val="00095AFA"/>
    <w:rsid w:val="00097040"/>
    <w:rsid w:val="00097155"/>
    <w:rsid w:val="00097925"/>
    <w:rsid w:val="000A023A"/>
    <w:rsid w:val="000A0609"/>
    <w:rsid w:val="000A06EE"/>
    <w:rsid w:val="000A096A"/>
    <w:rsid w:val="000A1A18"/>
    <w:rsid w:val="000A1CFF"/>
    <w:rsid w:val="000A2997"/>
    <w:rsid w:val="000A2BF7"/>
    <w:rsid w:val="000A30CD"/>
    <w:rsid w:val="000A53BA"/>
    <w:rsid w:val="000A5DEB"/>
    <w:rsid w:val="000A5F83"/>
    <w:rsid w:val="000A7899"/>
    <w:rsid w:val="000A7B1B"/>
    <w:rsid w:val="000B0875"/>
    <w:rsid w:val="000B1DA2"/>
    <w:rsid w:val="000B1E59"/>
    <w:rsid w:val="000B1F1F"/>
    <w:rsid w:val="000B27A4"/>
    <w:rsid w:val="000B28B4"/>
    <w:rsid w:val="000B3315"/>
    <w:rsid w:val="000B356C"/>
    <w:rsid w:val="000B3C7F"/>
    <w:rsid w:val="000B3E7A"/>
    <w:rsid w:val="000B3E7F"/>
    <w:rsid w:val="000B4572"/>
    <w:rsid w:val="000B4D95"/>
    <w:rsid w:val="000B51EA"/>
    <w:rsid w:val="000B5235"/>
    <w:rsid w:val="000B6274"/>
    <w:rsid w:val="000B63BA"/>
    <w:rsid w:val="000B67C7"/>
    <w:rsid w:val="000B6835"/>
    <w:rsid w:val="000B6A31"/>
    <w:rsid w:val="000B6E6A"/>
    <w:rsid w:val="000B722C"/>
    <w:rsid w:val="000B7815"/>
    <w:rsid w:val="000B7890"/>
    <w:rsid w:val="000B78F6"/>
    <w:rsid w:val="000B7E0C"/>
    <w:rsid w:val="000C0067"/>
    <w:rsid w:val="000C030C"/>
    <w:rsid w:val="000C0A6A"/>
    <w:rsid w:val="000C0BD8"/>
    <w:rsid w:val="000C0FE4"/>
    <w:rsid w:val="000C12EC"/>
    <w:rsid w:val="000C1FE3"/>
    <w:rsid w:val="000C2456"/>
    <w:rsid w:val="000C29B9"/>
    <w:rsid w:val="000C2CDD"/>
    <w:rsid w:val="000C377D"/>
    <w:rsid w:val="000C3FBE"/>
    <w:rsid w:val="000C40EF"/>
    <w:rsid w:val="000C44D5"/>
    <w:rsid w:val="000C5C8A"/>
    <w:rsid w:val="000C6151"/>
    <w:rsid w:val="000C63B4"/>
    <w:rsid w:val="000C70C8"/>
    <w:rsid w:val="000C7E27"/>
    <w:rsid w:val="000D04B6"/>
    <w:rsid w:val="000D0581"/>
    <w:rsid w:val="000D0CE3"/>
    <w:rsid w:val="000D0ECB"/>
    <w:rsid w:val="000D1042"/>
    <w:rsid w:val="000D15F5"/>
    <w:rsid w:val="000D1C5B"/>
    <w:rsid w:val="000D1DE0"/>
    <w:rsid w:val="000D21B6"/>
    <w:rsid w:val="000D221B"/>
    <w:rsid w:val="000D27D5"/>
    <w:rsid w:val="000D30DC"/>
    <w:rsid w:val="000D39CF"/>
    <w:rsid w:val="000D39E8"/>
    <w:rsid w:val="000D3A77"/>
    <w:rsid w:val="000D43C9"/>
    <w:rsid w:val="000D43E2"/>
    <w:rsid w:val="000D465F"/>
    <w:rsid w:val="000D4883"/>
    <w:rsid w:val="000D56E9"/>
    <w:rsid w:val="000D5734"/>
    <w:rsid w:val="000D5F56"/>
    <w:rsid w:val="000D6ACD"/>
    <w:rsid w:val="000D6FBE"/>
    <w:rsid w:val="000D701E"/>
    <w:rsid w:val="000D7BD7"/>
    <w:rsid w:val="000D7DF8"/>
    <w:rsid w:val="000E0341"/>
    <w:rsid w:val="000E0358"/>
    <w:rsid w:val="000E078A"/>
    <w:rsid w:val="000E09D9"/>
    <w:rsid w:val="000E0EB7"/>
    <w:rsid w:val="000E1372"/>
    <w:rsid w:val="000E1653"/>
    <w:rsid w:val="000E2A8F"/>
    <w:rsid w:val="000E3003"/>
    <w:rsid w:val="000E4089"/>
    <w:rsid w:val="000E4122"/>
    <w:rsid w:val="000E41B0"/>
    <w:rsid w:val="000E427D"/>
    <w:rsid w:val="000E57B6"/>
    <w:rsid w:val="000E5DA2"/>
    <w:rsid w:val="000E6A0B"/>
    <w:rsid w:val="000E6BFD"/>
    <w:rsid w:val="000E75DE"/>
    <w:rsid w:val="000E7627"/>
    <w:rsid w:val="000E76ED"/>
    <w:rsid w:val="000E7F75"/>
    <w:rsid w:val="000F04C1"/>
    <w:rsid w:val="000F12FC"/>
    <w:rsid w:val="000F1310"/>
    <w:rsid w:val="000F1575"/>
    <w:rsid w:val="000F181F"/>
    <w:rsid w:val="000F1AB3"/>
    <w:rsid w:val="000F2F87"/>
    <w:rsid w:val="000F37FE"/>
    <w:rsid w:val="000F4C51"/>
    <w:rsid w:val="000F50A3"/>
    <w:rsid w:val="000F5D43"/>
    <w:rsid w:val="000F60CC"/>
    <w:rsid w:val="000F6684"/>
    <w:rsid w:val="000F6A5B"/>
    <w:rsid w:val="000F6D43"/>
    <w:rsid w:val="000F721D"/>
    <w:rsid w:val="000F724F"/>
    <w:rsid w:val="000F72F9"/>
    <w:rsid w:val="000F75DF"/>
    <w:rsid w:val="000F77FE"/>
    <w:rsid w:val="000F7BB0"/>
    <w:rsid w:val="000F7EBB"/>
    <w:rsid w:val="00100574"/>
    <w:rsid w:val="0010126B"/>
    <w:rsid w:val="00101528"/>
    <w:rsid w:val="0010237C"/>
    <w:rsid w:val="00102509"/>
    <w:rsid w:val="00102552"/>
    <w:rsid w:val="0010303A"/>
    <w:rsid w:val="001032E7"/>
    <w:rsid w:val="0010377E"/>
    <w:rsid w:val="001039DD"/>
    <w:rsid w:val="001045BD"/>
    <w:rsid w:val="001055CD"/>
    <w:rsid w:val="00105BD6"/>
    <w:rsid w:val="00105F7B"/>
    <w:rsid w:val="00106176"/>
    <w:rsid w:val="00106393"/>
    <w:rsid w:val="0010781B"/>
    <w:rsid w:val="00107863"/>
    <w:rsid w:val="001079D3"/>
    <w:rsid w:val="00110341"/>
    <w:rsid w:val="001109EA"/>
    <w:rsid w:val="00111352"/>
    <w:rsid w:val="001119B8"/>
    <w:rsid w:val="00111A2F"/>
    <w:rsid w:val="0011226D"/>
    <w:rsid w:val="00112BBF"/>
    <w:rsid w:val="00112FE8"/>
    <w:rsid w:val="00113063"/>
    <w:rsid w:val="00113437"/>
    <w:rsid w:val="00113955"/>
    <w:rsid w:val="00113F54"/>
    <w:rsid w:val="0011454C"/>
    <w:rsid w:val="00114611"/>
    <w:rsid w:val="001168B2"/>
    <w:rsid w:val="00116D08"/>
    <w:rsid w:val="00116E53"/>
    <w:rsid w:val="00117033"/>
    <w:rsid w:val="0011721E"/>
    <w:rsid w:val="00117D03"/>
    <w:rsid w:val="00117E35"/>
    <w:rsid w:val="00120629"/>
    <w:rsid w:val="00121ACD"/>
    <w:rsid w:val="001221B5"/>
    <w:rsid w:val="001225BE"/>
    <w:rsid w:val="00122620"/>
    <w:rsid w:val="00122FDB"/>
    <w:rsid w:val="0012334D"/>
    <w:rsid w:val="001240ED"/>
    <w:rsid w:val="001245AE"/>
    <w:rsid w:val="00124769"/>
    <w:rsid w:val="00124C60"/>
    <w:rsid w:val="00125CB8"/>
    <w:rsid w:val="0012608A"/>
    <w:rsid w:val="001261C0"/>
    <w:rsid w:val="0012650F"/>
    <w:rsid w:val="0012684A"/>
    <w:rsid w:val="00126BC4"/>
    <w:rsid w:val="00126BF5"/>
    <w:rsid w:val="00126E85"/>
    <w:rsid w:val="00126FF2"/>
    <w:rsid w:val="0012730C"/>
    <w:rsid w:val="0013013B"/>
    <w:rsid w:val="0013060A"/>
    <w:rsid w:val="0013073A"/>
    <w:rsid w:val="001314B0"/>
    <w:rsid w:val="001315C7"/>
    <w:rsid w:val="00131E4F"/>
    <w:rsid w:val="00132F30"/>
    <w:rsid w:val="00133003"/>
    <w:rsid w:val="00133451"/>
    <w:rsid w:val="00133899"/>
    <w:rsid w:val="00133B92"/>
    <w:rsid w:val="001341D8"/>
    <w:rsid w:val="001346C1"/>
    <w:rsid w:val="001356E1"/>
    <w:rsid w:val="0013631F"/>
    <w:rsid w:val="001379B3"/>
    <w:rsid w:val="001407BB"/>
    <w:rsid w:val="00140BD9"/>
    <w:rsid w:val="00141531"/>
    <w:rsid w:val="00141C51"/>
    <w:rsid w:val="00141E2A"/>
    <w:rsid w:val="0014271E"/>
    <w:rsid w:val="001431D3"/>
    <w:rsid w:val="00143377"/>
    <w:rsid w:val="0014355A"/>
    <w:rsid w:val="001436E0"/>
    <w:rsid w:val="00143709"/>
    <w:rsid w:val="001438B0"/>
    <w:rsid w:val="00143A52"/>
    <w:rsid w:val="00145FA5"/>
    <w:rsid w:val="0014627F"/>
    <w:rsid w:val="00146DFF"/>
    <w:rsid w:val="001476D6"/>
    <w:rsid w:val="00147C70"/>
    <w:rsid w:val="00150718"/>
    <w:rsid w:val="00151134"/>
    <w:rsid w:val="0015116B"/>
    <w:rsid w:val="001513DC"/>
    <w:rsid w:val="00151D7A"/>
    <w:rsid w:val="001526BA"/>
    <w:rsid w:val="0015297E"/>
    <w:rsid w:val="001529E0"/>
    <w:rsid w:val="00152A9A"/>
    <w:rsid w:val="00152E2D"/>
    <w:rsid w:val="00153920"/>
    <w:rsid w:val="00154D94"/>
    <w:rsid w:val="00154F11"/>
    <w:rsid w:val="00155483"/>
    <w:rsid w:val="00155683"/>
    <w:rsid w:val="00155795"/>
    <w:rsid w:val="00155995"/>
    <w:rsid w:val="00155AFC"/>
    <w:rsid w:val="00155BE8"/>
    <w:rsid w:val="001561BD"/>
    <w:rsid w:val="00156463"/>
    <w:rsid w:val="001564FA"/>
    <w:rsid w:val="0015689C"/>
    <w:rsid w:val="00157994"/>
    <w:rsid w:val="00157D9B"/>
    <w:rsid w:val="00160091"/>
    <w:rsid w:val="001605DB"/>
    <w:rsid w:val="00160660"/>
    <w:rsid w:val="00160E3B"/>
    <w:rsid w:val="0016177A"/>
    <w:rsid w:val="00161D0B"/>
    <w:rsid w:val="001620EE"/>
    <w:rsid w:val="00162739"/>
    <w:rsid w:val="001627DF"/>
    <w:rsid w:val="0016293F"/>
    <w:rsid w:val="00164034"/>
    <w:rsid w:val="0016524D"/>
    <w:rsid w:val="00165322"/>
    <w:rsid w:val="00165D53"/>
    <w:rsid w:val="00165D8F"/>
    <w:rsid w:val="00165F11"/>
    <w:rsid w:val="00165FB4"/>
    <w:rsid w:val="001664A0"/>
    <w:rsid w:val="001679F7"/>
    <w:rsid w:val="00167B08"/>
    <w:rsid w:val="00167D81"/>
    <w:rsid w:val="001700FD"/>
    <w:rsid w:val="00170134"/>
    <w:rsid w:val="00170473"/>
    <w:rsid w:val="00170921"/>
    <w:rsid w:val="00170EEF"/>
    <w:rsid w:val="00171126"/>
    <w:rsid w:val="001733F2"/>
    <w:rsid w:val="0017363A"/>
    <w:rsid w:val="00173800"/>
    <w:rsid w:val="00173C71"/>
    <w:rsid w:val="0017483F"/>
    <w:rsid w:val="0017541C"/>
    <w:rsid w:val="00175F5D"/>
    <w:rsid w:val="00176188"/>
    <w:rsid w:val="00176314"/>
    <w:rsid w:val="00176365"/>
    <w:rsid w:val="001765AF"/>
    <w:rsid w:val="0017684E"/>
    <w:rsid w:val="00176CE2"/>
    <w:rsid w:val="001774A4"/>
    <w:rsid w:val="001800ED"/>
    <w:rsid w:val="001806A4"/>
    <w:rsid w:val="00180897"/>
    <w:rsid w:val="00181646"/>
    <w:rsid w:val="001816EF"/>
    <w:rsid w:val="0018175B"/>
    <w:rsid w:val="00181A32"/>
    <w:rsid w:val="001828CC"/>
    <w:rsid w:val="00182AB6"/>
    <w:rsid w:val="001832FE"/>
    <w:rsid w:val="00184633"/>
    <w:rsid w:val="00184B3A"/>
    <w:rsid w:val="001853D7"/>
    <w:rsid w:val="00185527"/>
    <w:rsid w:val="00187C7B"/>
    <w:rsid w:val="00187E69"/>
    <w:rsid w:val="00187E72"/>
    <w:rsid w:val="00190AB2"/>
    <w:rsid w:val="0019127F"/>
    <w:rsid w:val="00191ADC"/>
    <w:rsid w:val="00192CB4"/>
    <w:rsid w:val="00192D09"/>
    <w:rsid w:val="00192E97"/>
    <w:rsid w:val="001935C9"/>
    <w:rsid w:val="00193B91"/>
    <w:rsid w:val="00195512"/>
    <w:rsid w:val="00195617"/>
    <w:rsid w:val="00195AC9"/>
    <w:rsid w:val="00195AE9"/>
    <w:rsid w:val="00196489"/>
    <w:rsid w:val="001964FB"/>
    <w:rsid w:val="00196D82"/>
    <w:rsid w:val="00196E59"/>
    <w:rsid w:val="00197AF2"/>
    <w:rsid w:val="00197DB6"/>
    <w:rsid w:val="00197F65"/>
    <w:rsid w:val="001A039B"/>
    <w:rsid w:val="001A0814"/>
    <w:rsid w:val="001A0BAA"/>
    <w:rsid w:val="001A140F"/>
    <w:rsid w:val="001A1A8F"/>
    <w:rsid w:val="001A1BB5"/>
    <w:rsid w:val="001A1FDD"/>
    <w:rsid w:val="001A29F8"/>
    <w:rsid w:val="001A2AEA"/>
    <w:rsid w:val="001A2DAC"/>
    <w:rsid w:val="001A4748"/>
    <w:rsid w:val="001A47DC"/>
    <w:rsid w:val="001A4F4D"/>
    <w:rsid w:val="001A66F8"/>
    <w:rsid w:val="001B047C"/>
    <w:rsid w:val="001B07C6"/>
    <w:rsid w:val="001B0844"/>
    <w:rsid w:val="001B13AD"/>
    <w:rsid w:val="001B1818"/>
    <w:rsid w:val="001B1848"/>
    <w:rsid w:val="001B199D"/>
    <w:rsid w:val="001B1B9B"/>
    <w:rsid w:val="001B1FBF"/>
    <w:rsid w:val="001B23F1"/>
    <w:rsid w:val="001B3058"/>
    <w:rsid w:val="001B33E9"/>
    <w:rsid w:val="001B33FA"/>
    <w:rsid w:val="001B3889"/>
    <w:rsid w:val="001B3AC3"/>
    <w:rsid w:val="001B40BB"/>
    <w:rsid w:val="001B41F3"/>
    <w:rsid w:val="001B4EE2"/>
    <w:rsid w:val="001B548C"/>
    <w:rsid w:val="001B5B02"/>
    <w:rsid w:val="001B64CD"/>
    <w:rsid w:val="001B6741"/>
    <w:rsid w:val="001B68A9"/>
    <w:rsid w:val="001B6BAF"/>
    <w:rsid w:val="001B6BFB"/>
    <w:rsid w:val="001B6E0C"/>
    <w:rsid w:val="001B75A9"/>
    <w:rsid w:val="001B7B8D"/>
    <w:rsid w:val="001C0A6C"/>
    <w:rsid w:val="001C1753"/>
    <w:rsid w:val="001C1990"/>
    <w:rsid w:val="001C2694"/>
    <w:rsid w:val="001C278D"/>
    <w:rsid w:val="001C27BF"/>
    <w:rsid w:val="001C2A21"/>
    <w:rsid w:val="001C37D0"/>
    <w:rsid w:val="001C3CB4"/>
    <w:rsid w:val="001C4803"/>
    <w:rsid w:val="001C4C45"/>
    <w:rsid w:val="001C6538"/>
    <w:rsid w:val="001C67F5"/>
    <w:rsid w:val="001C6C3E"/>
    <w:rsid w:val="001C743F"/>
    <w:rsid w:val="001D1140"/>
    <w:rsid w:val="001D15D0"/>
    <w:rsid w:val="001D1780"/>
    <w:rsid w:val="001D29CD"/>
    <w:rsid w:val="001D32B8"/>
    <w:rsid w:val="001D37D8"/>
    <w:rsid w:val="001D3DA2"/>
    <w:rsid w:val="001D48EB"/>
    <w:rsid w:val="001D4B2E"/>
    <w:rsid w:val="001D5204"/>
    <w:rsid w:val="001D5568"/>
    <w:rsid w:val="001D64FF"/>
    <w:rsid w:val="001D673F"/>
    <w:rsid w:val="001D6CAD"/>
    <w:rsid w:val="001D6E9B"/>
    <w:rsid w:val="001D74EB"/>
    <w:rsid w:val="001D793A"/>
    <w:rsid w:val="001E0662"/>
    <w:rsid w:val="001E0D58"/>
    <w:rsid w:val="001E10D7"/>
    <w:rsid w:val="001E127F"/>
    <w:rsid w:val="001E15AF"/>
    <w:rsid w:val="001E1B4D"/>
    <w:rsid w:val="001E1BF3"/>
    <w:rsid w:val="001E25EE"/>
    <w:rsid w:val="001E2AFD"/>
    <w:rsid w:val="001E2B3F"/>
    <w:rsid w:val="001E330F"/>
    <w:rsid w:val="001E4278"/>
    <w:rsid w:val="001E4503"/>
    <w:rsid w:val="001E49D2"/>
    <w:rsid w:val="001E4A85"/>
    <w:rsid w:val="001E4BC3"/>
    <w:rsid w:val="001E5597"/>
    <w:rsid w:val="001E5699"/>
    <w:rsid w:val="001E575E"/>
    <w:rsid w:val="001E58BE"/>
    <w:rsid w:val="001E601C"/>
    <w:rsid w:val="001E695C"/>
    <w:rsid w:val="001E69E2"/>
    <w:rsid w:val="001E6E3F"/>
    <w:rsid w:val="001E763F"/>
    <w:rsid w:val="001E7AF7"/>
    <w:rsid w:val="001E7B6D"/>
    <w:rsid w:val="001E7BAA"/>
    <w:rsid w:val="001F02DC"/>
    <w:rsid w:val="001F25A9"/>
    <w:rsid w:val="001F2A4D"/>
    <w:rsid w:val="001F2C9C"/>
    <w:rsid w:val="001F31E0"/>
    <w:rsid w:val="001F3306"/>
    <w:rsid w:val="001F3A75"/>
    <w:rsid w:val="001F3BDF"/>
    <w:rsid w:val="001F4C4F"/>
    <w:rsid w:val="001F55C5"/>
    <w:rsid w:val="001F6795"/>
    <w:rsid w:val="001F68DD"/>
    <w:rsid w:val="001F6966"/>
    <w:rsid w:val="001F6F34"/>
    <w:rsid w:val="001F7AAF"/>
    <w:rsid w:val="00200036"/>
    <w:rsid w:val="002007F6"/>
    <w:rsid w:val="0020090F"/>
    <w:rsid w:val="00200D8B"/>
    <w:rsid w:val="00201301"/>
    <w:rsid w:val="002017E7"/>
    <w:rsid w:val="0020227A"/>
    <w:rsid w:val="002024C2"/>
    <w:rsid w:val="0020256A"/>
    <w:rsid w:val="0020288E"/>
    <w:rsid w:val="00203396"/>
    <w:rsid w:val="002034A0"/>
    <w:rsid w:val="00203EB4"/>
    <w:rsid w:val="00204391"/>
    <w:rsid w:val="0020497B"/>
    <w:rsid w:val="002054A1"/>
    <w:rsid w:val="00205E01"/>
    <w:rsid w:val="00205E7A"/>
    <w:rsid w:val="0020616C"/>
    <w:rsid w:val="00206B13"/>
    <w:rsid w:val="00207DBD"/>
    <w:rsid w:val="002106E3"/>
    <w:rsid w:val="0021086F"/>
    <w:rsid w:val="00210D7F"/>
    <w:rsid w:val="00210F47"/>
    <w:rsid w:val="00210FEE"/>
    <w:rsid w:val="002112F3"/>
    <w:rsid w:val="00211A0F"/>
    <w:rsid w:val="00211B5A"/>
    <w:rsid w:val="00211B89"/>
    <w:rsid w:val="00212202"/>
    <w:rsid w:val="00212941"/>
    <w:rsid w:val="00212B82"/>
    <w:rsid w:val="00212E7A"/>
    <w:rsid w:val="002131D4"/>
    <w:rsid w:val="00213266"/>
    <w:rsid w:val="002139EF"/>
    <w:rsid w:val="00213D90"/>
    <w:rsid w:val="00213E66"/>
    <w:rsid w:val="0021492C"/>
    <w:rsid w:val="002149A6"/>
    <w:rsid w:val="00214A16"/>
    <w:rsid w:val="00214C51"/>
    <w:rsid w:val="002152DE"/>
    <w:rsid w:val="002154F0"/>
    <w:rsid w:val="002158CF"/>
    <w:rsid w:val="00215A9C"/>
    <w:rsid w:val="00215D0C"/>
    <w:rsid w:val="002162D9"/>
    <w:rsid w:val="00216518"/>
    <w:rsid w:val="002168B5"/>
    <w:rsid w:val="00216C0C"/>
    <w:rsid w:val="00217F6D"/>
    <w:rsid w:val="00220066"/>
    <w:rsid w:val="0022014C"/>
    <w:rsid w:val="00220358"/>
    <w:rsid w:val="002207E1"/>
    <w:rsid w:val="002214AC"/>
    <w:rsid w:val="00221AA7"/>
    <w:rsid w:val="002220DE"/>
    <w:rsid w:val="00222886"/>
    <w:rsid w:val="00222DFA"/>
    <w:rsid w:val="002233BB"/>
    <w:rsid w:val="002234C7"/>
    <w:rsid w:val="002237FA"/>
    <w:rsid w:val="00224BD8"/>
    <w:rsid w:val="0022510B"/>
    <w:rsid w:val="002251CB"/>
    <w:rsid w:val="002252D3"/>
    <w:rsid w:val="00225790"/>
    <w:rsid w:val="00226927"/>
    <w:rsid w:val="00226C37"/>
    <w:rsid w:val="00227156"/>
    <w:rsid w:val="002272C6"/>
    <w:rsid w:val="00227382"/>
    <w:rsid w:val="00227518"/>
    <w:rsid w:val="00227768"/>
    <w:rsid w:val="00230721"/>
    <w:rsid w:val="0023089A"/>
    <w:rsid w:val="00230902"/>
    <w:rsid w:val="00230958"/>
    <w:rsid w:val="0023123E"/>
    <w:rsid w:val="00231E79"/>
    <w:rsid w:val="0023204B"/>
    <w:rsid w:val="00232C15"/>
    <w:rsid w:val="00232E2F"/>
    <w:rsid w:val="0023468F"/>
    <w:rsid w:val="00234F48"/>
    <w:rsid w:val="00236A6D"/>
    <w:rsid w:val="00236D7B"/>
    <w:rsid w:val="00236F79"/>
    <w:rsid w:val="00236FF6"/>
    <w:rsid w:val="00237AF5"/>
    <w:rsid w:val="00237CC9"/>
    <w:rsid w:val="00240C2F"/>
    <w:rsid w:val="00241B04"/>
    <w:rsid w:val="00241C04"/>
    <w:rsid w:val="00241C6D"/>
    <w:rsid w:val="002421DE"/>
    <w:rsid w:val="002422D6"/>
    <w:rsid w:val="00242524"/>
    <w:rsid w:val="002426AB"/>
    <w:rsid w:val="00242971"/>
    <w:rsid w:val="002432FD"/>
    <w:rsid w:val="00243C17"/>
    <w:rsid w:val="0024428E"/>
    <w:rsid w:val="0024456D"/>
    <w:rsid w:val="00244AD4"/>
    <w:rsid w:val="00244D91"/>
    <w:rsid w:val="00245D68"/>
    <w:rsid w:val="00245E5B"/>
    <w:rsid w:val="00245EB8"/>
    <w:rsid w:val="00245F07"/>
    <w:rsid w:val="0024643E"/>
    <w:rsid w:val="0024653D"/>
    <w:rsid w:val="0024654D"/>
    <w:rsid w:val="00247499"/>
    <w:rsid w:val="0025078E"/>
    <w:rsid w:val="00250C6C"/>
    <w:rsid w:val="00250E39"/>
    <w:rsid w:val="00251441"/>
    <w:rsid w:val="0025222D"/>
    <w:rsid w:val="00252380"/>
    <w:rsid w:val="00253195"/>
    <w:rsid w:val="0025364C"/>
    <w:rsid w:val="00253A24"/>
    <w:rsid w:val="00254447"/>
    <w:rsid w:val="0025464B"/>
    <w:rsid w:val="0025565A"/>
    <w:rsid w:val="0025694B"/>
    <w:rsid w:val="00256AEB"/>
    <w:rsid w:val="002573AC"/>
    <w:rsid w:val="002577B0"/>
    <w:rsid w:val="00257885"/>
    <w:rsid w:val="00257A9B"/>
    <w:rsid w:val="0026247A"/>
    <w:rsid w:val="0026264D"/>
    <w:rsid w:val="002626B0"/>
    <w:rsid w:val="002628E5"/>
    <w:rsid w:val="002632FB"/>
    <w:rsid w:val="002639E3"/>
    <w:rsid w:val="00264AA0"/>
    <w:rsid w:val="00265254"/>
    <w:rsid w:val="002653A4"/>
    <w:rsid w:val="00265EAC"/>
    <w:rsid w:val="00265F28"/>
    <w:rsid w:val="00265FDB"/>
    <w:rsid w:val="002662B1"/>
    <w:rsid w:val="00267AD2"/>
    <w:rsid w:val="002702B9"/>
    <w:rsid w:val="002704B8"/>
    <w:rsid w:val="00270A17"/>
    <w:rsid w:val="00270C60"/>
    <w:rsid w:val="00271BE1"/>
    <w:rsid w:val="002722B4"/>
    <w:rsid w:val="00272418"/>
    <w:rsid w:val="002725D4"/>
    <w:rsid w:val="002727C2"/>
    <w:rsid w:val="0027366B"/>
    <w:rsid w:val="00274511"/>
    <w:rsid w:val="0027535A"/>
    <w:rsid w:val="0027536C"/>
    <w:rsid w:val="002754F9"/>
    <w:rsid w:val="00275959"/>
    <w:rsid w:val="00275FA0"/>
    <w:rsid w:val="00276079"/>
    <w:rsid w:val="00276193"/>
    <w:rsid w:val="002763FF"/>
    <w:rsid w:val="00276620"/>
    <w:rsid w:val="002769DF"/>
    <w:rsid w:val="00276EC1"/>
    <w:rsid w:val="00277446"/>
    <w:rsid w:val="00280959"/>
    <w:rsid w:val="00281789"/>
    <w:rsid w:val="00282E40"/>
    <w:rsid w:val="00282E6A"/>
    <w:rsid w:val="00283E1D"/>
    <w:rsid w:val="00284706"/>
    <w:rsid w:val="00284CB1"/>
    <w:rsid w:val="0028568E"/>
    <w:rsid w:val="00285993"/>
    <w:rsid w:val="00285CA5"/>
    <w:rsid w:val="00286265"/>
    <w:rsid w:val="00286A42"/>
    <w:rsid w:val="0028700E"/>
    <w:rsid w:val="00287979"/>
    <w:rsid w:val="00287B54"/>
    <w:rsid w:val="00287D00"/>
    <w:rsid w:val="002902F2"/>
    <w:rsid w:val="002913BD"/>
    <w:rsid w:val="00291856"/>
    <w:rsid w:val="002918EE"/>
    <w:rsid w:val="00291989"/>
    <w:rsid w:val="00291C21"/>
    <w:rsid w:val="0029204A"/>
    <w:rsid w:val="00292854"/>
    <w:rsid w:val="0029372E"/>
    <w:rsid w:val="00293B76"/>
    <w:rsid w:val="00293D6C"/>
    <w:rsid w:val="00294CE4"/>
    <w:rsid w:val="00295067"/>
    <w:rsid w:val="002953F6"/>
    <w:rsid w:val="0029542B"/>
    <w:rsid w:val="00295D34"/>
    <w:rsid w:val="00296555"/>
    <w:rsid w:val="0029657A"/>
    <w:rsid w:val="0029761B"/>
    <w:rsid w:val="00297C2C"/>
    <w:rsid w:val="002A0687"/>
    <w:rsid w:val="002A0ED9"/>
    <w:rsid w:val="002A14C9"/>
    <w:rsid w:val="002A213F"/>
    <w:rsid w:val="002A321B"/>
    <w:rsid w:val="002A4F1C"/>
    <w:rsid w:val="002A53D1"/>
    <w:rsid w:val="002A5BF9"/>
    <w:rsid w:val="002A5C65"/>
    <w:rsid w:val="002A6796"/>
    <w:rsid w:val="002A6D23"/>
    <w:rsid w:val="002A73BA"/>
    <w:rsid w:val="002A740F"/>
    <w:rsid w:val="002A7C56"/>
    <w:rsid w:val="002A7F75"/>
    <w:rsid w:val="002B0167"/>
    <w:rsid w:val="002B0371"/>
    <w:rsid w:val="002B0F64"/>
    <w:rsid w:val="002B1DD4"/>
    <w:rsid w:val="002B1DF2"/>
    <w:rsid w:val="002B234E"/>
    <w:rsid w:val="002B3387"/>
    <w:rsid w:val="002B338A"/>
    <w:rsid w:val="002B3AA9"/>
    <w:rsid w:val="002B3F15"/>
    <w:rsid w:val="002B49FA"/>
    <w:rsid w:val="002B4C53"/>
    <w:rsid w:val="002B4C82"/>
    <w:rsid w:val="002B5439"/>
    <w:rsid w:val="002B58EF"/>
    <w:rsid w:val="002B592E"/>
    <w:rsid w:val="002B60A4"/>
    <w:rsid w:val="002B6FD4"/>
    <w:rsid w:val="002B7F90"/>
    <w:rsid w:val="002C0254"/>
    <w:rsid w:val="002C0512"/>
    <w:rsid w:val="002C0F69"/>
    <w:rsid w:val="002C1217"/>
    <w:rsid w:val="002C14A7"/>
    <w:rsid w:val="002C16CE"/>
    <w:rsid w:val="002C1D00"/>
    <w:rsid w:val="002C1DCA"/>
    <w:rsid w:val="002C22E0"/>
    <w:rsid w:val="002C2526"/>
    <w:rsid w:val="002C2D50"/>
    <w:rsid w:val="002C3868"/>
    <w:rsid w:val="002C3A29"/>
    <w:rsid w:val="002C4AA2"/>
    <w:rsid w:val="002C4D6A"/>
    <w:rsid w:val="002C5ADB"/>
    <w:rsid w:val="002C5E01"/>
    <w:rsid w:val="002C6845"/>
    <w:rsid w:val="002C6A87"/>
    <w:rsid w:val="002C6B93"/>
    <w:rsid w:val="002C72B5"/>
    <w:rsid w:val="002C7404"/>
    <w:rsid w:val="002C7A90"/>
    <w:rsid w:val="002D0FC5"/>
    <w:rsid w:val="002D19F4"/>
    <w:rsid w:val="002D273C"/>
    <w:rsid w:val="002D3796"/>
    <w:rsid w:val="002D39A3"/>
    <w:rsid w:val="002D4743"/>
    <w:rsid w:val="002D49BB"/>
    <w:rsid w:val="002D4CA0"/>
    <w:rsid w:val="002D4FA8"/>
    <w:rsid w:val="002D50F2"/>
    <w:rsid w:val="002D56B7"/>
    <w:rsid w:val="002D5B19"/>
    <w:rsid w:val="002D6279"/>
    <w:rsid w:val="002D6439"/>
    <w:rsid w:val="002D6B3B"/>
    <w:rsid w:val="002D70EE"/>
    <w:rsid w:val="002D7243"/>
    <w:rsid w:val="002E0185"/>
    <w:rsid w:val="002E1812"/>
    <w:rsid w:val="002E1961"/>
    <w:rsid w:val="002E1AED"/>
    <w:rsid w:val="002E1E31"/>
    <w:rsid w:val="002E22C1"/>
    <w:rsid w:val="002E2B87"/>
    <w:rsid w:val="002E2C7F"/>
    <w:rsid w:val="002E4AFC"/>
    <w:rsid w:val="002E5CFD"/>
    <w:rsid w:val="002E70BF"/>
    <w:rsid w:val="002F0437"/>
    <w:rsid w:val="002F063B"/>
    <w:rsid w:val="002F1273"/>
    <w:rsid w:val="002F225C"/>
    <w:rsid w:val="002F2B70"/>
    <w:rsid w:val="002F30C7"/>
    <w:rsid w:val="002F3232"/>
    <w:rsid w:val="002F3397"/>
    <w:rsid w:val="002F350F"/>
    <w:rsid w:val="002F380C"/>
    <w:rsid w:val="002F54E2"/>
    <w:rsid w:val="002F572D"/>
    <w:rsid w:val="002F5E80"/>
    <w:rsid w:val="002F6C62"/>
    <w:rsid w:val="002F6D53"/>
    <w:rsid w:val="002F7378"/>
    <w:rsid w:val="002F7380"/>
    <w:rsid w:val="002F79DD"/>
    <w:rsid w:val="00300438"/>
    <w:rsid w:val="003015EF"/>
    <w:rsid w:val="00301BB8"/>
    <w:rsid w:val="00302BB3"/>
    <w:rsid w:val="00302F48"/>
    <w:rsid w:val="003031D7"/>
    <w:rsid w:val="003033C7"/>
    <w:rsid w:val="003037F2"/>
    <w:rsid w:val="003037FA"/>
    <w:rsid w:val="003051D3"/>
    <w:rsid w:val="0030541F"/>
    <w:rsid w:val="003057F8"/>
    <w:rsid w:val="00305818"/>
    <w:rsid w:val="0030641D"/>
    <w:rsid w:val="00306540"/>
    <w:rsid w:val="0030657B"/>
    <w:rsid w:val="00306676"/>
    <w:rsid w:val="00306702"/>
    <w:rsid w:val="00306A15"/>
    <w:rsid w:val="00306E57"/>
    <w:rsid w:val="00307272"/>
    <w:rsid w:val="003074CA"/>
    <w:rsid w:val="003075B9"/>
    <w:rsid w:val="00307EDA"/>
    <w:rsid w:val="0031079F"/>
    <w:rsid w:val="00310C9A"/>
    <w:rsid w:val="00310CB6"/>
    <w:rsid w:val="003114A6"/>
    <w:rsid w:val="00311C5D"/>
    <w:rsid w:val="00312AB2"/>
    <w:rsid w:val="00313FAD"/>
    <w:rsid w:val="00314438"/>
    <w:rsid w:val="003148B4"/>
    <w:rsid w:val="00314966"/>
    <w:rsid w:val="00314B55"/>
    <w:rsid w:val="00315324"/>
    <w:rsid w:val="00315343"/>
    <w:rsid w:val="00315C55"/>
    <w:rsid w:val="00316C54"/>
    <w:rsid w:val="00317365"/>
    <w:rsid w:val="003175E7"/>
    <w:rsid w:val="0031795A"/>
    <w:rsid w:val="00317B94"/>
    <w:rsid w:val="00320A29"/>
    <w:rsid w:val="00320BF3"/>
    <w:rsid w:val="003213E1"/>
    <w:rsid w:val="00321597"/>
    <w:rsid w:val="003219D8"/>
    <w:rsid w:val="0032245C"/>
    <w:rsid w:val="00322578"/>
    <w:rsid w:val="003227BF"/>
    <w:rsid w:val="00322DDD"/>
    <w:rsid w:val="00323E1D"/>
    <w:rsid w:val="00324C5C"/>
    <w:rsid w:val="00325C1A"/>
    <w:rsid w:val="0032602B"/>
    <w:rsid w:val="003273C7"/>
    <w:rsid w:val="003275DF"/>
    <w:rsid w:val="00330020"/>
    <w:rsid w:val="0033042A"/>
    <w:rsid w:val="00330681"/>
    <w:rsid w:val="00330830"/>
    <w:rsid w:val="00330F8F"/>
    <w:rsid w:val="00331655"/>
    <w:rsid w:val="00332D0D"/>
    <w:rsid w:val="00332D5A"/>
    <w:rsid w:val="00333F91"/>
    <w:rsid w:val="0033417F"/>
    <w:rsid w:val="00334364"/>
    <w:rsid w:val="00334CB0"/>
    <w:rsid w:val="00334D77"/>
    <w:rsid w:val="00335530"/>
    <w:rsid w:val="003356EE"/>
    <w:rsid w:val="00335CB1"/>
    <w:rsid w:val="003363C2"/>
    <w:rsid w:val="00336A4C"/>
    <w:rsid w:val="00337C25"/>
    <w:rsid w:val="00337D92"/>
    <w:rsid w:val="003400EE"/>
    <w:rsid w:val="003401AF"/>
    <w:rsid w:val="0034085E"/>
    <w:rsid w:val="00340C35"/>
    <w:rsid w:val="00341899"/>
    <w:rsid w:val="00341B5E"/>
    <w:rsid w:val="00342220"/>
    <w:rsid w:val="00342233"/>
    <w:rsid w:val="00342387"/>
    <w:rsid w:val="003427D2"/>
    <w:rsid w:val="003430DB"/>
    <w:rsid w:val="003434B7"/>
    <w:rsid w:val="003443AB"/>
    <w:rsid w:val="00344C22"/>
    <w:rsid w:val="00344C67"/>
    <w:rsid w:val="00344CFA"/>
    <w:rsid w:val="00344E8F"/>
    <w:rsid w:val="0034525F"/>
    <w:rsid w:val="00345ACB"/>
    <w:rsid w:val="00345C44"/>
    <w:rsid w:val="00345CDC"/>
    <w:rsid w:val="00345D23"/>
    <w:rsid w:val="00345DD5"/>
    <w:rsid w:val="00346226"/>
    <w:rsid w:val="00346ABB"/>
    <w:rsid w:val="00347027"/>
    <w:rsid w:val="00347033"/>
    <w:rsid w:val="003472F1"/>
    <w:rsid w:val="003476E5"/>
    <w:rsid w:val="003505DE"/>
    <w:rsid w:val="00350C02"/>
    <w:rsid w:val="00351268"/>
    <w:rsid w:val="00351673"/>
    <w:rsid w:val="003524A2"/>
    <w:rsid w:val="00352DA9"/>
    <w:rsid w:val="00353C74"/>
    <w:rsid w:val="003543CE"/>
    <w:rsid w:val="00354F92"/>
    <w:rsid w:val="0035533B"/>
    <w:rsid w:val="003554CB"/>
    <w:rsid w:val="0035552D"/>
    <w:rsid w:val="00355A1A"/>
    <w:rsid w:val="00355DCC"/>
    <w:rsid w:val="00356037"/>
    <w:rsid w:val="00357313"/>
    <w:rsid w:val="00357A60"/>
    <w:rsid w:val="00357C5C"/>
    <w:rsid w:val="00360A7A"/>
    <w:rsid w:val="00360F1E"/>
    <w:rsid w:val="00360FBA"/>
    <w:rsid w:val="003618A3"/>
    <w:rsid w:val="00361A84"/>
    <w:rsid w:val="00362A92"/>
    <w:rsid w:val="00362C06"/>
    <w:rsid w:val="00362C40"/>
    <w:rsid w:val="00362E27"/>
    <w:rsid w:val="003630ED"/>
    <w:rsid w:val="003639A5"/>
    <w:rsid w:val="00363F45"/>
    <w:rsid w:val="003648BF"/>
    <w:rsid w:val="003653CE"/>
    <w:rsid w:val="00365C6B"/>
    <w:rsid w:val="003670D6"/>
    <w:rsid w:val="0036721D"/>
    <w:rsid w:val="00367388"/>
    <w:rsid w:val="00367431"/>
    <w:rsid w:val="00367456"/>
    <w:rsid w:val="00367797"/>
    <w:rsid w:val="00367E52"/>
    <w:rsid w:val="003700F4"/>
    <w:rsid w:val="00371CCE"/>
    <w:rsid w:val="00372023"/>
    <w:rsid w:val="0037208C"/>
    <w:rsid w:val="00372593"/>
    <w:rsid w:val="003731EF"/>
    <w:rsid w:val="003734D0"/>
    <w:rsid w:val="00373D22"/>
    <w:rsid w:val="00374572"/>
    <w:rsid w:val="00374734"/>
    <w:rsid w:val="00374A60"/>
    <w:rsid w:val="00374B5E"/>
    <w:rsid w:val="0037564D"/>
    <w:rsid w:val="0037612F"/>
    <w:rsid w:val="003769F4"/>
    <w:rsid w:val="00376C6A"/>
    <w:rsid w:val="0038021B"/>
    <w:rsid w:val="003802C6"/>
    <w:rsid w:val="003804B1"/>
    <w:rsid w:val="003813A4"/>
    <w:rsid w:val="0038272E"/>
    <w:rsid w:val="00383EC6"/>
    <w:rsid w:val="00383FA4"/>
    <w:rsid w:val="00384507"/>
    <w:rsid w:val="00384736"/>
    <w:rsid w:val="0038474E"/>
    <w:rsid w:val="0038479E"/>
    <w:rsid w:val="0038599A"/>
    <w:rsid w:val="00385A02"/>
    <w:rsid w:val="00385D87"/>
    <w:rsid w:val="003860B5"/>
    <w:rsid w:val="003861DD"/>
    <w:rsid w:val="00386256"/>
    <w:rsid w:val="00386719"/>
    <w:rsid w:val="00386770"/>
    <w:rsid w:val="0038717C"/>
    <w:rsid w:val="003907CC"/>
    <w:rsid w:val="003916D5"/>
    <w:rsid w:val="0039210C"/>
    <w:rsid w:val="003921AC"/>
    <w:rsid w:val="003923AF"/>
    <w:rsid w:val="00392727"/>
    <w:rsid w:val="0039304E"/>
    <w:rsid w:val="003931D9"/>
    <w:rsid w:val="003938A1"/>
    <w:rsid w:val="00395275"/>
    <w:rsid w:val="00395B4D"/>
    <w:rsid w:val="003961F6"/>
    <w:rsid w:val="0039708C"/>
    <w:rsid w:val="003971C9"/>
    <w:rsid w:val="00397835"/>
    <w:rsid w:val="00397F8C"/>
    <w:rsid w:val="003A0211"/>
    <w:rsid w:val="003A04AB"/>
    <w:rsid w:val="003A071A"/>
    <w:rsid w:val="003A1779"/>
    <w:rsid w:val="003A1842"/>
    <w:rsid w:val="003A2447"/>
    <w:rsid w:val="003A2FD2"/>
    <w:rsid w:val="003A3491"/>
    <w:rsid w:val="003A34F0"/>
    <w:rsid w:val="003A39BB"/>
    <w:rsid w:val="003A402E"/>
    <w:rsid w:val="003A4069"/>
    <w:rsid w:val="003A43A9"/>
    <w:rsid w:val="003A4676"/>
    <w:rsid w:val="003A4DEA"/>
    <w:rsid w:val="003A51B6"/>
    <w:rsid w:val="003A5ACE"/>
    <w:rsid w:val="003A6109"/>
    <w:rsid w:val="003A65C6"/>
    <w:rsid w:val="003A6A4C"/>
    <w:rsid w:val="003A70F0"/>
    <w:rsid w:val="003A7255"/>
    <w:rsid w:val="003A74AF"/>
    <w:rsid w:val="003A7FF6"/>
    <w:rsid w:val="003B0890"/>
    <w:rsid w:val="003B17EA"/>
    <w:rsid w:val="003B1B6A"/>
    <w:rsid w:val="003B2455"/>
    <w:rsid w:val="003B3464"/>
    <w:rsid w:val="003B4416"/>
    <w:rsid w:val="003B457A"/>
    <w:rsid w:val="003B63FC"/>
    <w:rsid w:val="003B6B3B"/>
    <w:rsid w:val="003B6B66"/>
    <w:rsid w:val="003B7CFA"/>
    <w:rsid w:val="003B7E98"/>
    <w:rsid w:val="003B7F7A"/>
    <w:rsid w:val="003C00BE"/>
    <w:rsid w:val="003C05F2"/>
    <w:rsid w:val="003C1251"/>
    <w:rsid w:val="003C1517"/>
    <w:rsid w:val="003C1611"/>
    <w:rsid w:val="003C18A8"/>
    <w:rsid w:val="003C2298"/>
    <w:rsid w:val="003C2D2D"/>
    <w:rsid w:val="003C2F28"/>
    <w:rsid w:val="003C346D"/>
    <w:rsid w:val="003C3A69"/>
    <w:rsid w:val="003C4400"/>
    <w:rsid w:val="003C4621"/>
    <w:rsid w:val="003C46A0"/>
    <w:rsid w:val="003C4B6E"/>
    <w:rsid w:val="003C508B"/>
    <w:rsid w:val="003C582F"/>
    <w:rsid w:val="003C5D8F"/>
    <w:rsid w:val="003C618B"/>
    <w:rsid w:val="003C680A"/>
    <w:rsid w:val="003C6A9E"/>
    <w:rsid w:val="003C6ABE"/>
    <w:rsid w:val="003C73E5"/>
    <w:rsid w:val="003C74BA"/>
    <w:rsid w:val="003C7501"/>
    <w:rsid w:val="003C7534"/>
    <w:rsid w:val="003C7D43"/>
    <w:rsid w:val="003D003F"/>
    <w:rsid w:val="003D0BAF"/>
    <w:rsid w:val="003D1226"/>
    <w:rsid w:val="003D1833"/>
    <w:rsid w:val="003D1BBA"/>
    <w:rsid w:val="003D2224"/>
    <w:rsid w:val="003D332C"/>
    <w:rsid w:val="003D3596"/>
    <w:rsid w:val="003D39CB"/>
    <w:rsid w:val="003D3CBD"/>
    <w:rsid w:val="003D55E4"/>
    <w:rsid w:val="003D6AAF"/>
    <w:rsid w:val="003D6B83"/>
    <w:rsid w:val="003D7664"/>
    <w:rsid w:val="003E036F"/>
    <w:rsid w:val="003E105F"/>
    <w:rsid w:val="003E1338"/>
    <w:rsid w:val="003E15F3"/>
    <w:rsid w:val="003E1621"/>
    <w:rsid w:val="003E1A4B"/>
    <w:rsid w:val="003E2545"/>
    <w:rsid w:val="003E25F2"/>
    <w:rsid w:val="003E2F88"/>
    <w:rsid w:val="003E2FDF"/>
    <w:rsid w:val="003E3088"/>
    <w:rsid w:val="003E3661"/>
    <w:rsid w:val="003E3E07"/>
    <w:rsid w:val="003E406C"/>
    <w:rsid w:val="003E40A1"/>
    <w:rsid w:val="003E427A"/>
    <w:rsid w:val="003E4476"/>
    <w:rsid w:val="003E4E2F"/>
    <w:rsid w:val="003E5448"/>
    <w:rsid w:val="003E6309"/>
    <w:rsid w:val="003E6B16"/>
    <w:rsid w:val="003E7F37"/>
    <w:rsid w:val="003F03EC"/>
    <w:rsid w:val="003F0510"/>
    <w:rsid w:val="003F0A90"/>
    <w:rsid w:val="003F0D44"/>
    <w:rsid w:val="003F13AD"/>
    <w:rsid w:val="003F188F"/>
    <w:rsid w:val="003F1A9E"/>
    <w:rsid w:val="003F1F5C"/>
    <w:rsid w:val="003F22A1"/>
    <w:rsid w:val="003F25B2"/>
    <w:rsid w:val="003F3A30"/>
    <w:rsid w:val="003F4020"/>
    <w:rsid w:val="003F48C1"/>
    <w:rsid w:val="003F569D"/>
    <w:rsid w:val="003F5E02"/>
    <w:rsid w:val="003F5EB4"/>
    <w:rsid w:val="003F63EE"/>
    <w:rsid w:val="003F6C54"/>
    <w:rsid w:val="003F7025"/>
    <w:rsid w:val="003F7C1F"/>
    <w:rsid w:val="003F7CF7"/>
    <w:rsid w:val="003F7D7C"/>
    <w:rsid w:val="0040004C"/>
    <w:rsid w:val="00400253"/>
    <w:rsid w:val="00400555"/>
    <w:rsid w:val="0040096D"/>
    <w:rsid w:val="00400CA0"/>
    <w:rsid w:val="00400D59"/>
    <w:rsid w:val="00400DEC"/>
    <w:rsid w:val="00400E6A"/>
    <w:rsid w:val="00400EFA"/>
    <w:rsid w:val="004013BE"/>
    <w:rsid w:val="00401B89"/>
    <w:rsid w:val="00402128"/>
    <w:rsid w:val="004030F6"/>
    <w:rsid w:val="00403B33"/>
    <w:rsid w:val="00404CA4"/>
    <w:rsid w:val="0040635F"/>
    <w:rsid w:val="00406745"/>
    <w:rsid w:val="00406CF5"/>
    <w:rsid w:val="004078CD"/>
    <w:rsid w:val="00407A22"/>
    <w:rsid w:val="00407CCE"/>
    <w:rsid w:val="00407E99"/>
    <w:rsid w:val="00407EAF"/>
    <w:rsid w:val="004102EF"/>
    <w:rsid w:val="004111B0"/>
    <w:rsid w:val="00411534"/>
    <w:rsid w:val="00411988"/>
    <w:rsid w:val="00411B05"/>
    <w:rsid w:val="00411C96"/>
    <w:rsid w:val="004127D8"/>
    <w:rsid w:val="00412966"/>
    <w:rsid w:val="0041371D"/>
    <w:rsid w:val="00414593"/>
    <w:rsid w:val="00415CAD"/>
    <w:rsid w:val="00415D72"/>
    <w:rsid w:val="004160AB"/>
    <w:rsid w:val="00416943"/>
    <w:rsid w:val="00417A2D"/>
    <w:rsid w:val="00420BB2"/>
    <w:rsid w:val="00420C7E"/>
    <w:rsid w:val="00420E33"/>
    <w:rsid w:val="00421B17"/>
    <w:rsid w:val="00421CC6"/>
    <w:rsid w:val="004223CD"/>
    <w:rsid w:val="00422FF9"/>
    <w:rsid w:val="00424693"/>
    <w:rsid w:val="004248E4"/>
    <w:rsid w:val="00425090"/>
    <w:rsid w:val="00425477"/>
    <w:rsid w:val="00425D95"/>
    <w:rsid w:val="0042650C"/>
    <w:rsid w:val="004267FB"/>
    <w:rsid w:val="00426976"/>
    <w:rsid w:val="00426988"/>
    <w:rsid w:val="004276E2"/>
    <w:rsid w:val="004300E4"/>
    <w:rsid w:val="004301CE"/>
    <w:rsid w:val="00430F33"/>
    <w:rsid w:val="004326F9"/>
    <w:rsid w:val="004336CB"/>
    <w:rsid w:val="004338B8"/>
    <w:rsid w:val="00435CA0"/>
    <w:rsid w:val="00436242"/>
    <w:rsid w:val="00436A43"/>
    <w:rsid w:val="00436E34"/>
    <w:rsid w:val="00437266"/>
    <w:rsid w:val="004377D5"/>
    <w:rsid w:val="00437DA5"/>
    <w:rsid w:val="00437E86"/>
    <w:rsid w:val="0044001F"/>
    <w:rsid w:val="00440BF6"/>
    <w:rsid w:val="00440E34"/>
    <w:rsid w:val="00440ED8"/>
    <w:rsid w:val="00440FE9"/>
    <w:rsid w:val="00441013"/>
    <w:rsid w:val="004417FB"/>
    <w:rsid w:val="00441B8D"/>
    <w:rsid w:val="00442D84"/>
    <w:rsid w:val="00442DD8"/>
    <w:rsid w:val="00443806"/>
    <w:rsid w:val="0044407F"/>
    <w:rsid w:val="004441F8"/>
    <w:rsid w:val="004444EF"/>
    <w:rsid w:val="004446AA"/>
    <w:rsid w:val="00444864"/>
    <w:rsid w:val="00445666"/>
    <w:rsid w:val="00445FB9"/>
    <w:rsid w:val="00446451"/>
    <w:rsid w:val="004474A3"/>
    <w:rsid w:val="004479C1"/>
    <w:rsid w:val="004479DA"/>
    <w:rsid w:val="00447BDB"/>
    <w:rsid w:val="00450585"/>
    <w:rsid w:val="004506AC"/>
    <w:rsid w:val="0045101C"/>
    <w:rsid w:val="00451A55"/>
    <w:rsid w:val="00451AC5"/>
    <w:rsid w:val="00451B39"/>
    <w:rsid w:val="00451FF1"/>
    <w:rsid w:val="00452208"/>
    <w:rsid w:val="00452AB2"/>
    <w:rsid w:val="00453176"/>
    <w:rsid w:val="004533D9"/>
    <w:rsid w:val="00453745"/>
    <w:rsid w:val="00453B5A"/>
    <w:rsid w:val="00454846"/>
    <w:rsid w:val="00454952"/>
    <w:rsid w:val="0045527F"/>
    <w:rsid w:val="0045539B"/>
    <w:rsid w:val="00455609"/>
    <w:rsid w:val="00455B24"/>
    <w:rsid w:val="00456196"/>
    <w:rsid w:val="00456E2E"/>
    <w:rsid w:val="00457439"/>
    <w:rsid w:val="004574BF"/>
    <w:rsid w:val="00457C51"/>
    <w:rsid w:val="00457C5B"/>
    <w:rsid w:val="00460C3D"/>
    <w:rsid w:val="00461541"/>
    <w:rsid w:val="004619E8"/>
    <w:rsid w:val="00461AE7"/>
    <w:rsid w:val="00461CA1"/>
    <w:rsid w:val="004621A7"/>
    <w:rsid w:val="0046224D"/>
    <w:rsid w:val="0046264E"/>
    <w:rsid w:val="00462B2D"/>
    <w:rsid w:val="00463779"/>
    <w:rsid w:val="00463BF3"/>
    <w:rsid w:val="00464B02"/>
    <w:rsid w:val="00464B06"/>
    <w:rsid w:val="00465DB7"/>
    <w:rsid w:val="00465E94"/>
    <w:rsid w:val="004663C4"/>
    <w:rsid w:val="004663E7"/>
    <w:rsid w:val="00470108"/>
    <w:rsid w:val="0047054C"/>
    <w:rsid w:val="004708B4"/>
    <w:rsid w:val="00470A4C"/>
    <w:rsid w:val="00470ECB"/>
    <w:rsid w:val="004714FC"/>
    <w:rsid w:val="004715F9"/>
    <w:rsid w:val="004717DD"/>
    <w:rsid w:val="00471BBA"/>
    <w:rsid w:val="00471CC7"/>
    <w:rsid w:val="00471E1B"/>
    <w:rsid w:val="00473049"/>
    <w:rsid w:val="00473596"/>
    <w:rsid w:val="004737B2"/>
    <w:rsid w:val="004744B5"/>
    <w:rsid w:val="00475153"/>
    <w:rsid w:val="0047523C"/>
    <w:rsid w:val="00475D88"/>
    <w:rsid w:val="004760E6"/>
    <w:rsid w:val="00476373"/>
    <w:rsid w:val="0047661F"/>
    <w:rsid w:val="00476A8E"/>
    <w:rsid w:val="00476E6F"/>
    <w:rsid w:val="0047720D"/>
    <w:rsid w:val="004808D7"/>
    <w:rsid w:val="004809CB"/>
    <w:rsid w:val="00480B86"/>
    <w:rsid w:val="00480D66"/>
    <w:rsid w:val="004814FA"/>
    <w:rsid w:val="00482098"/>
    <w:rsid w:val="00482E7D"/>
    <w:rsid w:val="004831B8"/>
    <w:rsid w:val="004834F7"/>
    <w:rsid w:val="00483552"/>
    <w:rsid w:val="00483809"/>
    <w:rsid w:val="004843DE"/>
    <w:rsid w:val="00484AD7"/>
    <w:rsid w:val="00485C3A"/>
    <w:rsid w:val="004862FE"/>
    <w:rsid w:val="00486902"/>
    <w:rsid w:val="0048698A"/>
    <w:rsid w:val="0048699B"/>
    <w:rsid w:val="0048733D"/>
    <w:rsid w:val="00487661"/>
    <w:rsid w:val="004876DC"/>
    <w:rsid w:val="004906B8"/>
    <w:rsid w:val="00490E68"/>
    <w:rsid w:val="0049108C"/>
    <w:rsid w:val="00491CE0"/>
    <w:rsid w:val="00491CEE"/>
    <w:rsid w:val="00491F3B"/>
    <w:rsid w:val="004920A6"/>
    <w:rsid w:val="0049215B"/>
    <w:rsid w:val="00492214"/>
    <w:rsid w:val="004923B5"/>
    <w:rsid w:val="004923F3"/>
    <w:rsid w:val="004928F7"/>
    <w:rsid w:val="00492D63"/>
    <w:rsid w:val="004932FB"/>
    <w:rsid w:val="004938E4"/>
    <w:rsid w:val="00493991"/>
    <w:rsid w:val="004940F0"/>
    <w:rsid w:val="004941BE"/>
    <w:rsid w:val="0049494B"/>
    <w:rsid w:val="00494FF4"/>
    <w:rsid w:val="00495588"/>
    <w:rsid w:val="00495BD1"/>
    <w:rsid w:val="004962D3"/>
    <w:rsid w:val="00496A78"/>
    <w:rsid w:val="00496AA1"/>
    <w:rsid w:val="00496E68"/>
    <w:rsid w:val="00497C43"/>
    <w:rsid w:val="004A1623"/>
    <w:rsid w:val="004A1DB3"/>
    <w:rsid w:val="004A202E"/>
    <w:rsid w:val="004A2589"/>
    <w:rsid w:val="004A2C63"/>
    <w:rsid w:val="004A2EDE"/>
    <w:rsid w:val="004A2F70"/>
    <w:rsid w:val="004A33F3"/>
    <w:rsid w:val="004A396D"/>
    <w:rsid w:val="004A3F28"/>
    <w:rsid w:val="004A41F1"/>
    <w:rsid w:val="004A428A"/>
    <w:rsid w:val="004A467E"/>
    <w:rsid w:val="004A5117"/>
    <w:rsid w:val="004A5B3A"/>
    <w:rsid w:val="004A5C4B"/>
    <w:rsid w:val="004A5CA4"/>
    <w:rsid w:val="004A5DAD"/>
    <w:rsid w:val="004A64E0"/>
    <w:rsid w:val="004A7CF6"/>
    <w:rsid w:val="004B06E2"/>
    <w:rsid w:val="004B0800"/>
    <w:rsid w:val="004B090A"/>
    <w:rsid w:val="004B2209"/>
    <w:rsid w:val="004B317B"/>
    <w:rsid w:val="004B3724"/>
    <w:rsid w:val="004B3C95"/>
    <w:rsid w:val="004B3D08"/>
    <w:rsid w:val="004B45A5"/>
    <w:rsid w:val="004B4A01"/>
    <w:rsid w:val="004B52B2"/>
    <w:rsid w:val="004B58F3"/>
    <w:rsid w:val="004B5D54"/>
    <w:rsid w:val="004B60F3"/>
    <w:rsid w:val="004B6B22"/>
    <w:rsid w:val="004B700E"/>
    <w:rsid w:val="004B72E5"/>
    <w:rsid w:val="004B796F"/>
    <w:rsid w:val="004B7FCD"/>
    <w:rsid w:val="004C0556"/>
    <w:rsid w:val="004C0629"/>
    <w:rsid w:val="004C0640"/>
    <w:rsid w:val="004C08F3"/>
    <w:rsid w:val="004C0987"/>
    <w:rsid w:val="004C0CAE"/>
    <w:rsid w:val="004C1316"/>
    <w:rsid w:val="004C175A"/>
    <w:rsid w:val="004C1986"/>
    <w:rsid w:val="004C19DD"/>
    <w:rsid w:val="004C1D40"/>
    <w:rsid w:val="004C2102"/>
    <w:rsid w:val="004C2C2D"/>
    <w:rsid w:val="004C3F8A"/>
    <w:rsid w:val="004C409A"/>
    <w:rsid w:val="004C566B"/>
    <w:rsid w:val="004C5D20"/>
    <w:rsid w:val="004C5E0A"/>
    <w:rsid w:val="004C6411"/>
    <w:rsid w:val="004C7D7D"/>
    <w:rsid w:val="004D034A"/>
    <w:rsid w:val="004D0B56"/>
    <w:rsid w:val="004D0BD7"/>
    <w:rsid w:val="004D22EC"/>
    <w:rsid w:val="004D29D1"/>
    <w:rsid w:val="004D29E1"/>
    <w:rsid w:val="004D2A15"/>
    <w:rsid w:val="004D2C7A"/>
    <w:rsid w:val="004D36BD"/>
    <w:rsid w:val="004D3FF5"/>
    <w:rsid w:val="004D4C46"/>
    <w:rsid w:val="004D5048"/>
    <w:rsid w:val="004D56DF"/>
    <w:rsid w:val="004D628B"/>
    <w:rsid w:val="004D683C"/>
    <w:rsid w:val="004D6CDB"/>
    <w:rsid w:val="004D77CE"/>
    <w:rsid w:val="004D7C5E"/>
    <w:rsid w:val="004E04D7"/>
    <w:rsid w:val="004E0819"/>
    <w:rsid w:val="004E0C99"/>
    <w:rsid w:val="004E1586"/>
    <w:rsid w:val="004E272D"/>
    <w:rsid w:val="004E275F"/>
    <w:rsid w:val="004E27B2"/>
    <w:rsid w:val="004E4677"/>
    <w:rsid w:val="004E59D0"/>
    <w:rsid w:val="004E5A5B"/>
    <w:rsid w:val="004E5A8A"/>
    <w:rsid w:val="004E5F3D"/>
    <w:rsid w:val="004E636E"/>
    <w:rsid w:val="004E6BA2"/>
    <w:rsid w:val="004E6D40"/>
    <w:rsid w:val="004E6D4F"/>
    <w:rsid w:val="004E7632"/>
    <w:rsid w:val="004E7CA9"/>
    <w:rsid w:val="004F09F5"/>
    <w:rsid w:val="004F0BDE"/>
    <w:rsid w:val="004F1711"/>
    <w:rsid w:val="004F1B6E"/>
    <w:rsid w:val="004F27ED"/>
    <w:rsid w:val="004F3355"/>
    <w:rsid w:val="004F3A24"/>
    <w:rsid w:val="004F4128"/>
    <w:rsid w:val="004F4C4E"/>
    <w:rsid w:val="004F4FCA"/>
    <w:rsid w:val="004F5473"/>
    <w:rsid w:val="004F54CC"/>
    <w:rsid w:val="004F5A63"/>
    <w:rsid w:val="004F5EBE"/>
    <w:rsid w:val="004F6244"/>
    <w:rsid w:val="004F62A1"/>
    <w:rsid w:val="004F64E0"/>
    <w:rsid w:val="004F6A06"/>
    <w:rsid w:val="004F6ACE"/>
    <w:rsid w:val="004F6EA0"/>
    <w:rsid w:val="004F7714"/>
    <w:rsid w:val="004F78D6"/>
    <w:rsid w:val="004F7BB2"/>
    <w:rsid w:val="00500A65"/>
    <w:rsid w:val="00501E19"/>
    <w:rsid w:val="00502C48"/>
    <w:rsid w:val="0050321F"/>
    <w:rsid w:val="005036D0"/>
    <w:rsid w:val="00503C5F"/>
    <w:rsid w:val="00503D2D"/>
    <w:rsid w:val="0050422D"/>
    <w:rsid w:val="0050570B"/>
    <w:rsid w:val="00505BC3"/>
    <w:rsid w:val="00505D8D"/>
    <w:rsid w:val="00505FD0"/>
    <w:rsid w:val="005067BF"/>
    <w:rsid w:val="00507293"/>
    <w:rsid w:val="005076FD"/>
    <w:rsid w:val="00507988"/>
    <w:rsid w:val="00510E48"/>
    <w:rsid w:val="005112FA"/>
    <w:rsid w:val="0051147A"/>
    <w:rsid w:val="0051178A"/>
    <w:rsid w:val="005123AF"/>
    <w:rsid w:val="0051353B"/>
    <w:rsid w:val="0051397F"/>
    <w:rsid w:val="00514AB4"/>
    <w:rsid w:val="00514B5A"/>
    <w:rsid w:val="00515278"/>
    <w:rsid w:val="00517622"/>
    <w:rsid w:val="005178B1"/>
    <w:rsid w:val="00520416"/>
    <w:rsid w:val="00520C9F"/>
    <w:rsid w:val="00520F55"/>
    <w:rsid w:val="0052124F"/>
    <w:rsid w:val="00521513"/>
    <w:rsid w:val="00522487"/>
    <w:rsid w:val="0052253F"/>
    <w:rsid w:val="00522B78"/>
    <w:rsid w:val="0052345E"/>
    <w:rsid w:val="0052379F"/>
    <w:rsid w:val="005246C4"/>
    <w:rsid w:val="0052510B"/>
    <w:rsid w:val="00525A10"/>
    <w:rsid w:val="00525B1D"/>
    <w:rsid w:val="00525BF3"/>
    <w:rsid w:val="00527086"/>
    <w:rsid w:val="005271FF"/>
    <w:rsid w:val="0052720C"/>
    <w:rsid w:val="00527243"/>
    <w:rsid w:val="00527F00"/>
    <w:rsid w:val="005303E7"/>
    <w:rsid w:val="0053050F"/>
    <w:rsid w:val="00530853"/>
    <w:rsid w:val="00530A6E"/>
    <w:rsid w:val="00530EBF"/>
    <w:rsid w:val="00531741"/>
    <w:rsid w:val="00531992"/>
    <w:rsid w:val="00531AC3"/>
    <w:rsid w:val="005327E1"/>
    <w:rsid w:val="005329E2"/>
    <w:rsid w:val="00532C37"/>
    <w:rsid w:val="00535363"/>
    <w:rsid w:val="005353A2"/>
    <w:rsid w:val="00536083"/>
    <w:rsid w:val="005364AE"/>
    <w:rsid w:val="00536BF1"/>
    <w:rsid w:val="00536FA9"/>
    <w:rsid w:val="00537185"/>
    <w:rsid w:val="0053734C"/>
    <w:rsid w:val="005375C0"/>
    <w:rsid w:val="00537726"/>
    <w:rsid w:val="005378E8"/>
    <w:rsid w:val="00540111"/>
    <w:rsid w:val="005403D3"/>
    <w:rsid w:val="00540A53"/>
    <w:rsid w:val="0054143C"/>
    <w:rsid w:val="00541765"/>
    <w:rsid w:val="00541E77"/>
    <w:rsid w:val="00542205"/>
    <w:rsid w:val="005427DF"/>
    <w:rsid w:val="00543E68"/>
    <w:rsid w:val="00544027"/>
    <w:rsid w:val="00544159"/>
    <w:rsid w:val="0054541E"/>
    <w:rsid w:val="005457BF"/>
    <w:rsid w:val="005459B6"/>
    <w:rsid w:val="0054626C"/>
    <w:rsid w:val="00546A48"/>
    <w:rsid w:val="00546F71"/>
    <w:rsid w:val="005477D9"/>
    <w:rsid w:val="0054783D"/>
    <w:rsid w:val="00547AFA"/>
    <w:rsid w:val="00550905"/>
    <w:rsid w:val="00550A10"/>
    <w:rsid w:val="00551089"/>
    <w:rsid w:val="00551358"/>
    <w:rsid w:val="00551834"/>
    <w:rsid w:val="0055197F"/>
    <w:rsid w:val="00551CC2"/>
    <w:rsid w:val="0055269C"/>
    <w:rsid w:val="005537A9"/>
    <w:rsid w:val="00553AB7"/>
    <w:rsid w:val="0055485E"/>
    <w:rsid w:val="00554A73"/>
    <w:rsid w:val="00554AA0"/>
    <w:rsid w:val="005555C5"/>
    <w:rsid w:val="0055573E"/>
    <w:rsid w:val="005559C1"/>
    <w:rsid w:val="00555E02"/>
    <w:rsid w:val="00555EFD"/>
    <w:rsid w:val="00556199"/>
    <w:rsid w:val="00557988"/>
    <w:rsid w:val="005603AA"/>
    <w:rsid w:val="00560619"/>
    <w:rsid w:val="00560C48"/>
    <w:rsid w:val="00560F1D"/>
    <w:rsid w:val="00560F52"/>
    <w:rsid w:val="0056122D"/>
    <w:rsid w:val="00561513"/>
    <w:rsid w:val="005615F5"/>
    <w:rsid w:val="00561E02"/>
    <w:rsid w:val="005625A3"/>
    <w:rsid w:val="005625F4"/>
    <w:rsid w:val="005627FB"/>
    <w:rsid w:val="00562897"/>
    <w:rsid w:val="00562DC9"/>
    <w:rsid w:val="0056321E"/>
    <w:rsid w:val="0056403C"/>
    <w:rsid w:val="005644FA"/>
    <w:rsid w:val="00564635"/>
    <w:rsid w:val="00564D88"/>
    <w:rsid w:val="0056502A"/>
    <w:rsid w:val="005651F2"/>
    <w:rsid w:val="005653E9"/>
    <w:rsid w:val="00565F51"/>
    <w:rsid w:val="005665DC"/>
    <w:rsid w:val="00566612"/>
    <w:rsid w:val="0056684E"/>
    <w:rsid w:val="0056685B"/>
    <w:rsid w:val="005668B7"/>
    <w:rsid w:val="005671D8"/>
    <w:rsid w:val="00567F91"/>
    <w:rsid w:val="00570756"/>
    <w:rsid w:val="00570CD0"/>
    <w:rsid w:val="00571139"/>
    <w:rsid w:val="005726B2"/>
    <w:rsid w:val="0057292E"/>
    <w:rsid w:val="00572997"/>
    <w:rsid w:val="00572D00"/>
    <w:rsid w:val="00572E4D"/>
    <w:rsid w:val="005740BA"/>
    <w:rsid w:val="00574818"/>
    <w:rsid w:val="00574B92"/>
    <w:rsid w:val="00576253"/>
    <w:rsid w:val="0057636F"/>
    <w:rsid w:val="005764B7"/>
    <w:rsid w:val="005767A6"/>
    <w:rsid w:val="00576C7D"/>
    <w:rsid w:val="005776CD"/>
    <w:rsid w:val="00577B25"/>
    <w:rsid w:val="0058087C"/>
    <w:rsid w:val="00580A9A"/>
    <w:rsid w:val="00581581"/>
    <w:rsid w:val="005817C5"/>
    <w:rsid w:val="005818FB"/>
    <w:rsid w:val="00582056"/>
    <w:rsid w:val="00582090"/>
    <w:rsid w:val="005823D5"/>
    <w:rsid w:val="005825C6"/>
    <w:rsid w:val="00582812"/>
    <w:rsid w:val="00582886"/>
    <w:rsid w:val="005832A0"/>
    <w:rsid w:val="0058389C"/>
    <w:rsid w:val="005839E6"/>
    <w:rsid w:val="005849EA"/>
    <w:rsid w:val="00584D84"/>
    <w:rsid w:val="00585FF8"/>
    <w:rsid w:val="00586D45"/>
    <w:rsid w:val="00586F04"/>
    <w:rsid w:val="0058782D"/>
    <w:rsid w:val="00587AF9"/>
    <w:rsid w:val="00587DD9"/>
    <w:rsid w:val="00587DDC"/>
    <w:rsid w:val="00590930"/>
    <w:rsid w:val="00591DED"/>
    <w:rsid w:val="00591DF2"/>
    <w:rsid w:val="005924C6"/>
    <w:rsid w:val="0059258E"/>
    <w:rsid w:val="00592DFB"/>
    <w:rsid w:val="00593631"/>
    <w:rsid w:val="00593CA8"/>
    <w:rsid w:val="005943C5"/>
    <w:rsid w:val="005946D8"/>
    <w:rsid w:val="00594B1D"/>
    <w:rsid w:val="005950D3"/>
    <w:rsid w:val="005950DA"/>
    <w:rsid w:val="005952FD"/>
    <w:rsid w:val="005963B2"/>
    <w:rsid w:val="00597BEF"/>
    <w:rsid w:val="00597C04"/>
    <w:rsid w:val="00597C15"/>
    <w:rsid w:val="005A00CA"/>
    <w:rsid w:val="005A017C"/>
    <w:rsid w:val="005A038C"/>
    <w:rsid w:val="005A03A2"/>
    <w:rsid w:val="005A0BE1"/>
    <w:rsid w:val="005A0E1C"/>
    <w:rsid w:val="005A12F6"/>
    <w:rsid w:val="005A1610"/>
    <w:rsid w:val="005A239C"/>
    <w:rsid w:val="005A23A8"/>
    <w:rsid w:val="005A29FE"/>
    <w:rsid w:val="005A2E42"/>
    <w:rsid w:val="005A30C8"/>
    <w:rsid w:val="005A3223"/>
    <w:rsid w:val="005A452F"/>
    <w:rsid w:val="005A46AA"/>
    <w:rsid w:val="005A46C0"/>
    <w:rsid w:val="005A488F"/>
    <w:rsid w:val="005A4CCA"/>
    <w:rsid w:val="005A5068"/>
    <w:rsid w:val="005A532D"/>
    <w:rsid w:val="005A534A"/>
    <w:rsid w:val="005A5CC8"/>
    <w:rsid w:val="005A62AF"/>
    <w:rsid w:val="005A696D"/>
    <w:rsid w:val="005A6D01"/>
    <w:rsid w:val="005A736A"/>
    <w:rsid w:val="005A7E55"/>
    <w:rsid w:val="005B0B1B"/>
    <w:rsid w:val="005B1D1E"/>
    <w:rsid w:val="005B21B8"/>
    <w:rsid w:val="005B24A0"/>
    <w:rsid w:val="005B2659"/>
    <w:rsid w:val="005B2695"/>
    <w:rsid w:val="005B2840"/>
    <w:rsid w:val="005B3015"/>
    <w:rsid w:val="005B4373"/>
    <w:rsid w:val="005B4866"/>
    <w:rsid w:val="005B541F"/>
    <w:rsid w:val="005B546E"/>
    <w:rsid w:val="005B6471"/>
    <w:rsid w:val="005C0505"/>
    <w:rsid w:val="005C05AA"/>
    <w:rsid w:val="005C0EF7"/>
    <w:rsid w:val="005C107B"/>
    <w:rsid w:val="005C12AD"/>
    <w:rsid w:val="005C162A"/>
    <w:rsid w:val="005C1885"/>
    <w:rsid w:val="005C21B4"/>
    <w:rsid w:val="005C23EB"/>
    <w:rsid w:val="005C2B9E"/>
    <w:rsid w:val="005C2E00"/>
    <w:rsid w:val="005C4E23"/>
    <w:rsid w:val="005C4F94"/>
    <w:rsid w:val="005C55C0"/>
    <w:rsid w:val="005C5EFA"/>
    <w:rsid w:val="005C6C6B"/>
    <w:rsid w:val="005C7045"/>
    <w:rsid w:val="005D0B88"/>
    <w:rsid w:val="005D12B6"/>
    <w:rsid w:val="005D1502"/>
    <w:rsid w:val="005D1CE4"/>
    <w:rsid w:val="005D2A92"/>
    <w:rsid w:val="005D3CBF"/>
    <w:rsid w:val="005D42E7"/>
    <w:rsid w:val="005D4311"/>
    <w:rsid w:val="005D456C"/>
    <w:rsid w:val="005D4796"/>
    <w:rsid w:val="005D4FBA"/>
    <w:rsid w:val="005D5642"/>
    <w:rsid w:val="005D5BFD"/>
    <w:rsid w:val="005D5C92"/>
    <w:rsid w:val="005D5D9C"/>
    <w:rsid w:val="005D5E16"/>
    <w:rsid w:val="005D5ED5"/>
    <w:rsid w:val="005D5F41"/>
    <w:rsid w:val="005D6456"/>
    <w:rsid w:val="005D67A0"/>
    <w:rsid w:val="005D6E10"/>
    <w:rsid w:val="005D7B27"/>
    <w:rsid w:val="005D7CF8"/>
    <w:rsid w:val="005E0A37"/>
    <w:rsid w:val="005E0B49"/>
    <w:rsid w:val="005E0FDA"/>
    <w:rsid w:val="005E1154"/>
    <w:rsid w:val="005E1278"/>
    <w:rsid w:val="005E14FD"/>
    <w:rsid w:val="005E1BB9"/>
    <w:rsid w:val="005E1BD5"/>
    <w:rsid w:val="005E27AD"/>
    <w:rsid w:val="005E2A73"/>
    <w:rsid w:val="005E2F93"/>
    <w:rsid w:val="005E38CB"/>
    <w:rsid w:val="005E4335"/>
    <w:rsid w:val="005E437E"/>
    <w:rsid w:val="005E4749"/>
    <w:rsid w:val="005E4ACB"/>
    <w:rsid w:val="005E4C28"/>
    <w:rsid w:val="005E4E13"/>
    <w:rsid w:val="005E5297"/>
    <w:rsid w:val="005E55AB"/>
    <w:rsid w:val="005E5AE9"/>
    <w:rsid w:val="005E5B3E"/>
    <w:rsid w:val="005E5C87"/>
    <w:rsid w:val="005E5E3D"/>
    <w:rsid w:val="005E5F60"/>
    <w:rsid w:val="005E6185"/>
    <w:rsid w:val="005E698F"/>
    <w:rsid w:val="005E6E39"/>
    <w:rsid w:val="005E7897"/>
    <w:rsid w:val="005E7B7F"/>
    <w:rsid w:val="005F01D2"/>
    <w:rsid w:val="005F0833"/>
    <w:rsid w:val="005F2832"/>
    <w:rsid w:val="005F298E"/>
    <w:rsid w:val="005F3502"/>
    <w:rsid w:val="005F367A"/>
    <w:rsid w:val="005F3920"/>
    <w:rsid w:val="005F3A6E"/>
    <w:rsid w:val="005F4C10"/>
    <w:rsid w:val="005F50A4"/>
    <w:rsid w:val="005F50CB"/>
    <w:rsid w:val="005F50E8"/>
    <w:rsid w:val="005F5259"/>
    <w:rsid w:val="005F6C9C"/>
    <w:rsid w:val="005F7462"/>
    <w:rsid w:val="005F7A75"/>
    <w:rsid w:val="00600A01"/>
    <w:rsid w:val="00600AF9"/>
    <w:rsid w:val="00601254"/>
    <w:rsid w:val="006013DC"/>
    <w:rsid w:val="0060148C"/>
    <w:rsid w:val="0060215E"/>
    <w:rsid w:val="006029B9"/>
    <w:rsid w:val="00602FDA"/>
    <w:rsid w:val="00603372"/>
    <w:rsid w:val="00603795"/>
    <w:rsid w:val="00604E38"/>
    <w:rsid w:val="00606967"/>
    <w:rsid w:val="00606DF8"/>
    <w:rsid w:val="006077D7"/>
    <w:rsid w:val="0061011E"/>
    <w:rsid w:val="006108D5"/>
    <w:rsid w:val="006112D5"/>
    <w:rsid w:val="00611409"/>
    <w:rsid w:val="00611CF1"/>
    <w:rsid w:val="00611F37"/>
    <w:rsid w:val="006125C8"/>
    <w:rsid w:val="00612890"/>
    <w:rsid w:val="00612B26"/>
    <w:rsid w:val="00612D0F"/>
    <w:rsid w:val="00613255"/>
    <w:rsid w:val="00613325"/>
    <w:rsid w:val="0061345C"/>
    <w:rsid w:val="00613885"/>
    <w:rsid w:val="00614116"/>
    <w:rsid w:val="00614AB4"/>
    <w:rsid w:val="00614B80"/>
    <w:rsid w:val="00614FCB"/>
    <w:rsid w:val="006150C0"/>
    <w:rsid w:val="006151CB"/>
    <w:rsid w:val="00616116"/>
    <w:rsid w:val="0061645E"/>
    <w:rsid w:val="006171E0"/>
    <w:rsid w:val="006172ED"/>
    <w:rsid w:val="00617573"/>
    <w:rsid w:val="00617C52"/>
    <w:rsid w:val="00617E81"/>
    <w:rsid w:val="00617F39"/>
    <w:rsid w:val="00620166"/>
    <w:rsid w:val="0062026C"/>
    <w:rsid w:val="006209D7"/>
    <w:rsid w:val="00620B6A"/>
    <w:rsid w:val="00620E1C"/>
    <w:rsid w:val="00620FA6"/>
    <w:rsid w:val="00620FFD"/>
    <w:rsid w:val="006213A0"/>
    <w:rsid w:val="00621482"/>
    <w:rsid w:val="006219A6"/>
    <w:rsid w:val="0062213E"/>
    <w:rsid w:val="006221E7"/>
    <w:rsid w:val="0062232E"/>
    <w:rsid w:val="00622613"/>
    <w:rsid w:val="00622C91"/>
    <w:rsid w:val="0062310D"/>
    <w:rsid w:val="00623BF6"/>
    <w:rsid w:val="00623E5B"/>
    <w:rsid w:val="006245A5"/>
    <w:rsid w:val="0062509E"/>
    <w:rsid w:val="00626676"/>
    <w:rsid w:val="00626771"/>
    <w:rsid w:val="00626BBC"/>
    <w:rsid w:val="00627849"/>
    <w:rsid w:val="00630488"/>
    <w:rsid w:val="00630B67"/>
    <w:rsid w:val="00630BD5"/>
    <w:rsid w:val="00630FAF"/>
    <w:rsid w:val="006316DC"/>
    <w:rsid w:val="006316EF"/>
    <w:rsid w:val="00631965"/>
    <w:rsid w:val="00631B76"/>
    <w:rsid w:val="00631DA3"/>
    <w:rsid w:val="00631F30"/>
    <w:rsid w:val="006324EF"/>
    <w:rsid w:val="0063278B"/>
    <w:rsid w:val="0063326E"/>
    <w:rsid w:val="00633FD4"/>
    <w:rsid w:val="006340AD"/>
    <w:rsid w:val="00634825"/>
    <w:rsid w:val="00634B23"/>
    <w:rsid w:val="00635309"/>
    <w:rsid w:val="0063547D"/>
    <w:rsid w:val="006359F8"/>
    <w:rsid w:val="006362E9"/>
    <w:rsid w:val="0063632E"/>
    <w:rsid w:val="00636BD3"/>
    <w:rsid w:val="006375FC"/>
    <w:rsid w:val="00637B5E"/>
    <w:rsid w:val="00637B9D"/>
    <w:rsid w:val="00637CA6"/>
    <w:rsid w:val="00637DDF"/>
    <w:rsid w:val="00637F76"/>
    <w:rsid w:val="00640210"/>
    <w:rsid w:val="00640376"/>
    <w:rsid w:val="00640393"/>
    <w:rsid w:val="00640870"/>
    <w:rsid w:val="006412E7"/>
    <w:rsid w:val="006416E4"/>
    <w:rsid w:val="00641B5B"/>
    <w:rsid w:val="00641DEE"/>
    <w:rsid w:val="00642896"/>
    <w:rsid w:val="00642CD6"/>
    <w:rsid w:val="00642D2F"/>
    <w:rsid w:val="006444FB"/>
    <w:rsid w:val="006449A5"/>
    <w:rsid w:val="00644E0E"/>
    <w:rsid w:val="006458AB"/>
    <w:rsid w:val="00645F9E"/>
    <w:rsid w:val="006461B6"/>
    <w:rsid w:val="006474E6"/>
    <w:rsid w:val="0064797D"/>
    <w:rsid w:val="006479FD"/>
    <w:rsid w:val="006505EA"/>
    <w:rsid w:val="006509EC"/>
    <w:rsid w:val="00651C2E"/>
    <w:rsid w:val="00652454"/>
    <w:rsid w:val="00652C78"/>
    <w:rsid w:val="006533CB"/>
    <w:rsid w:val="0065371E"/>
    <w:rsid w:val="0065420A"/>
    <w:rsid w:val="0065471F"/>
    <w:rsid w:val="00654A4B"/>
    <w:rsid w:val="00654E0E"/>
    <w:rsid w:val="00654E1A"/>
    <w:rsid w:val="006550AD"/>
    <w:rsid w:val="0065646F"/>
    <w:rsid w:val="0065688B"/>
    <w:rsid w:val="00656C45"/>
    <w:rsid w:val="006570A5"/>
    <w:rsid w:val="00657679"/>
    <w:rsid w:val="00657F42"/>
    <w:rsid w:val="00657FF6"/>
    <w:rsid w:val="00661ABC"/>
    <w:rsid w:val="0066261D"/>
    <w:rsid w:val="00662E8F"/>
    <w:rsid w:val="00662E9F"/>
    <w:rsid w:val="00663EB8"/>
    <w:rsid w:val="0066403D"/>
    <w:rsid w:val="0066411D"/>
    <w:rsid w:val="00664276"/>
    <w:rsid w:val="0066431E"/>
    <w:rsid w:val="00664432"/>
    <w:rsid w:val="00665145"/>
    <w:rsid w:val="00665BA9"/>
    <w:rsid w:val="006662E2"/>
    <w:rsid w:val="00666E11"/>
    <w:rsid w:val="00666EEA"/>
    <w:rsid w:val="00667449"/>
    <w:rsid w:val="006677D0"/>
    <w:rsid w:val="00667D28"/>
    <w:rsid w:val="00671465"/>
    <w:rsid w:val="00671536"/>
    <w:rsid w:val="00672D47"/>
    <w:rsid w:val="0067372B"/>
    <w:rsid w:val="006737C1"/>
    <w:rsid w:val="00673A02"/>
    <w:rsid w:val="00674455"/>
    <w:rsid w:val="00674D4E"/>
    <w:rsid w:val="006755F6"/>
    <w:rsid w:val="00675B51"/>
    <w:rsid w:val="006763BD"/>
    <w:rsid w:val="00676713"/>
    <w:rsid w:val="00676914"/>
    <w:rsid w:val="00676986"/>
    <w:rsid w:val="00676B5D"/>
    <w:rsid w:val="00676C78"/>
    <w:rsid w:val="00676F56"/>
    <w:rsid w:val="00677128"/>
    <w:rsid w:val="00677331"/>
    <w:rsid w:val="006803C8"/>
    <w:rsid w:val="0068064F"/>
    <w:rsid w:val="006811C8"/>
    <w:rsid w:val="0068163E"/>
    <w:rsid w:val="0068242C"/>
    <w:rsid w:val="00682F3B"/>
    <w:rsid w:val="00682FDA"/>
    <w:rsid w:val="00683C74"/>
    <w:rsid w:val="0068447D"/>
    <w:rsid w:val="006849F8"/>
    <w:rsid w:val="00684DAC"/>
    <w:rsid w:val="006857F9"/>
    <w:rsid w:val="006860CE"/>
    <w:rsid w:val="0068626E"/>
    <w:rsid w:val="00686347"/>
    <w:rsid w:val="00686D42"/>
    <w:rsid w:val="00686E07"/>
    <w:rsid w:val="00687E77"/>
    <w:rsid w:val="0069085D"/>
    <w:rsid w:val="00690BB3"/>
    <w:rsid w:val="00691C3E"/>
    <w:rsid w:val="00692187"/>
    <w:rsid w:val="006921A3"/>
    <w:rsid w:val="00692CB6"/>
    <w:rsid w:val="00692D6A"/>
    <w:rsid w:val="0069353D"/>
    <w:rsid w:val="00693679"/>
    <w:rsid w:val="00693898"/>
    <w:rsid w:val="00693933"/>
    <w:rsid w:val="00693B43"/>
    <w:rsid w:val="00693C9B"/>
    <w:rsid w:val="00693EB3"/>
    <w:rsid w:val="00694372"/>
    <w:rsid w:val="00694863"/>
    <w:rsid w:val="00695471"/>
    <w:rsid w:val="0069580E"/>
    <w:rsid w:val="00695BE0"/>
    <w:rsid w:val="00696038"/>
    <w:rsid w:val="006960D4"/>
    <w:rsid w:val="0069673A"/>
    <w:rsid w:val="00696C74"/>
    <w:rsid w:val="00696DAF"/>
    <w:rsid w:val="0069721A"/>
    <w:rsid w:val="00697D05"/>
    <w:rsid w:val="00697F2E"/>
    <w:rsid w:val="00697FFC"/>
    <w:rsid w:val="006A1AD9"/>
    <w:rsid w:val="006A209E"/>
    <w:rsid w:val="006A25AD"/>
    <w:rsid w:val="006A260F"/>
    <w:rsid w:val="006A2B87"/>
    <w:rsid w:val="006A3B2A"/>
    <w:rsid w:val="006A3E53"/>
    <w:rsid w:val="006A4127"/>
    <w:rsid w:val="006A46B1"/>
    <w:rsid w:val="006A46E8"/>
    <w:rsid w:val="006A4A07"/>
    <w:rsid w:val="006A5483"/>
    <w:rsid w:val="006A5666"/>
    <w:rsid w:val="006A5AB6"/>
    <w:rsid w:val="006A5D65"/>
    <w:rsid w:val="006A6162"/>
    <w:rsid w:val="006A6298"/>
    <w:rsid w:val="006A66A2"/>
    <w:rsid w:val="006A6D58"/>
    <w:rsid w:val="006A75EB"/>
    <w:rsid w:val="006B0511"/>
    <w:rsid w:val="006B0BAC"/>
    <w:rsid w:val="006B0DDC"/>
    <w:rsid w:val="006B1C5C"/>
    <w:rsid w:val="006B2922"/>
    <w:rsid w:val="006B29BF"/>
    <w:rsid w:val="006B472E"/>
    <w:rsid w:val="006B4E58"/>
    <w:rsid w:val="006B7AFF"/>
    <w:rsid w:val="006C0B7A"/>
    <w:rsid w:val="006C0C1E"/>
    <w:rsid w:val="006C0D65"/>
    <w:rsid w:val="006C123F"/>
    <w:rsid w:val="006C18B9"/>
    <w:rsid w:val="006C1B05"/>
    <w:rsid w:val="006C1BF6"/>
    <w:rsid w:val="006C21C5"/>
    <w:rsid w:val="006C2849"/>
    <w:rsid w:val="006C2C0A"/>
    <w:rsid w:val="006C2EA1"/>
    <w:rsid w:val="006C3101"/>
    <w:rsid w:val="006C3A2B"/>
    <w:rsid w:val="006C3EA1"/>
    <w:rsid w:val="006C441E"/>
    <w:rsid w:val="006C4FD1"/>
    <w:rsid w:val="006C55D2"/>
    <w:rsid w:val="006C5F59"/>
    <w:rsid w:val="006C618C"/>
    <w:rsid w:val="006C77B0"/>
    <w:rsid w:val="006C7EBB"/>
    <w:rsid w:val="006D0262"/>
    <w:rsid w:val="006D029D"/>
    <w:rsid w:val="006D0545"/>
    <w:rsid w:val="006D05F3"/>
    <w:rsid w:val="006D0981"/>
    <w:rsid w:val="006D159D"/>
    <w:rsid w:val="006D1932"/>
    <w:rsid w:val="006D1B97"/>
    <w:rsid w:val="006D2828"/>
    <w:rsid w:val="006D2ED8"/>
    <w:rsid w:val="006D314F"/>
    <w:rsid w:val="006D3667"/>
    <w:rsid w:val="006D3FDF"/>
    <w:rsid w:val="006D4915"/>
    <w:rsid w:val="006D4F3D"/>
    <w:rsid w:val="006D548D"/>
    <w:rsid w:val="006D5521"/>
    <w:rsid w:val="006D5FA3"/>
    <w:rsid w:val="006D68ED"/>
    <w:rsid w:val="006D6924"/>
    <w:rsid w:val="006D6DE8"/>
    <w:rsid w:val="006D7424"/>
    <w:rsid w:val="006D74E9"/>
    <w:rsid w:val="006D7BD2"/>
    <w:rsid w:val="006D7CDE"/>
    <w:rsid w:val="006E0374"/>
    <w:rsid w:val="006E0938"/>
    <w:rsid w:val="006E0A7A"/>
    <w:rsid w:val="006E0D25"/>
    <w:rsid w:val="006E127F"/>
    <w:rsid w:val="006E17D3"/>
    <w:rsid w:val="006E2339"/>
    <w:rsid w:val="006E2CB6"/>
    <w:rsid w:val="006E2E1A"/>
    <w:rsid w:val="006E305C"/>
    <w:rsid w:val="006E4CD3"/>
    <w:rsid w:val="006E4F4A"/>
    <w:rsid w:val="006E5394"/>
    <w:rsid w:val="006E57B8"/>
    <w:rsid w:val="006E63F9"/>
    <w:rsid w:val="006E684F"/>
    <w:rsid w:val="006E7076"/>
    <w:rsid w:val="006E7B41"/>
    <w:rsid w:val="006E7BEE"/>
    <w:rsid w:val="006E7C8D"/>
    <w:rsid w:val="006F175E"/>
    <w:rsid w:val="006F186A"/>
    <w:rsid w:val="006F1DE6"/>
    <w:rsid w:val="006F1F17"/>
    <w:rsid w:val="006F219B"/>
    <w:rsid w:val="006F323C"/>
    <w:rsid w:val="006F3B5B"/>
    <w:rsid w:val="006F4003"/>
    <w:rsid w:val="006F4015"/>
    <w:rsid w:val="006F41B5"/>
    <w:rsid w:val="006F439D"/>
    <w:rsid w:val="006F46A2"/>
    <w:rsid w:val="006F5563"/>
    <w:rsid w:val="006F712B"/>
    <w:rsid w:val="006F75D9"/>
    <w:rsid w:val="007002C9"/>
    <w:rsid w:val="00701DE4"/>
    <w:rsid w:val="00702192"/>
    <w:rsid w:val="00702E81"/>
    <w:rsid w:val="007037EE"/>
    <w:rsid w:val="007039B2"/>
    <w:rsid w:val="00703B48"/>
    <w:rsid w:val="00703C50"/>
    <w:rsid w:val="00703E04"/>
    <w:rsid w:val="007044A4"/>
    <w:rsid w:val="00704E9E"/>
    <w:rsid w:val="0070515D"/>
    <w:rsid w:val="00705C79"/>
    <w:rsid w:val="00705ED0"/>
    <w:rsid w:val="007066D7"/>
    <w:rsid w:val="007068F1"/>
    <w:rsid w:val="00706B1C"/>
    <w:rsid w:val="00707143"/>
    <w:rsid w:val="0070748B"/>
    <w:rsid w:val="00707CE2"/>
    <w:rsid w:val="00711741"/>
    <w:rsid w:val="007117F6"/>
    <w:rsid w:val="00711FDA"/>
    <w:rsid w:val="0071347B"/>
    <w:rsid w:val="007134CC"/>
    <w:rsid w:val="007144C2"/>
    <w:rsid w:val="0071457E"/>
    <w:rsid w:val="00714AB7"/>
    <w:rsid w:val="00715199"/>
    <w:rsid w:val="007155E2"/>
    <w:rsid w:val="00715854"/>
    <w:rsid w:val="007159E0"/>
    <w:rsid w:val="00716AAC"/>
    <w:rsid w:val="00716F19"/>
    <w:rsid w:val="007171F8"/>
    <w:rsid w:val="0071721A"/>
    <w:rsid w:val="00717BDE"/>
    <w:rsid w:val="00720CE3"/>
    <w:rsid w:val="00720E70"/>
    <w:rsid w:val="00720EE1"/>
    <w:rsid w:val="00722449"/>
    <w:rsid w:val="00722804"/>
    <w:rsid w:val="00722B58"/>
    <w:rsid w:val="00723150"/>
    <w:rsid w:val="00723652"/>
    <w:rsid w:val="007238EF"/>
    <w:rsid w:val="00723DDA"/>
    <w:rsid w:val="00723E1E"/>
    <w:rsid w:val="00724DED"/>
    <w:rsid w:val="00725049"/>
    <w:rsid w:val="00725761"/>
    <w:rsid w:val="00726A83"/>
    <w:rsid w:val="00726AE7"/>
    <w:rsid w:val="007270FF"/>
    <w:rsid w:val="00727C03"/>
    <w:rsid w:val="00731B69"/>
    <w:rsid w:val="007320F5"/>
    <w:rsid w:val="00732159"/>
    <w:rsid w:val="007323EF"/>
    <w:rsid w:val="00732660"/>
    <w:rsid w:val="007329FB"/>
    <w:rsid w:val="00732A4E"/>
    <w:rsid w:val="00732B95"/>
    <w:rsid w:val="00732DFF"/>
    <w:rsid w:val="00732F94"/>
    <w:rsid w:val="00733289"/>
    <w:rsid w:val="00733493"/>
    <w:rsid w:val="00733B49"/>
    <w:rsid w:val="00734ADB"/>
    <w:rsid w:val="00734C3B"/>
    <w:rsid w:val="00734C7D"/>
    <w:rsid w:val="00735B10"/>
    <w:rsid w:val="007362BE"/>
    <w:rsid w:val="007365A9"/>
    <w:rsid w:val="00736D46"/>
    <w:rsid w:val="00736DBE"/>
    <w:rsid w:val="00736DD4"/>
    <w:rsid w:val="00737251"/>
    <w:rsid w:val="0073744C"/>
    <w:rsid w:val="00737A27"/>
    <w:rsid w:val="00737F7D"/>
    <w:rsid w:val="00740B3D"/>
    <w:rsid w:val="00741438"/>
    <w:rsid w:val="0074190D"/>
    <w:rsid w:val="00741C9C"/>
    <w:rsid w:val="00743954"/>
    <w:rsid w:val="00743A28"/>
    <w:rsid w:val="00743D51"/>
    <w:rsid w:val="00743DAB"/>
    <w:rsid w:val="00744128"/>
    <w:rsid w:val="007442B7"/>
    <w:rsid w:val="0074469E"/>
    <w:rsid w:val="007446EE"/>
    <w:rsid w:val="007451A6"/>
    <w:rsid w:val="00745268"/>
    <w:rsid w:val="0074532B"/>
    <w:rsid w:val="00745333"/>
    <w:rsid w:val="0074567E"/>
    <w:rsid w:val="007466DF"/>
    <w:rsid w:val="007470F7"/>
    <w:rsid w:val="0074719C"/>
    <w:rsid w:val="00747489"/>
    <w:rsid w:val="007475CC"/>
    <w:rsid w:val="00747E71"/>
    <w:rsid w:val="00747EC3"/>
    <w:rsid w:val="0075011B"/>
    <w:rsid w:val="00750185"/>
    <w:rsid w:val="007505BC"/>
    <w:rsid w:val="00750A8B"/>
    <w:rsid w:val="00751552"/>
    <w:rsid w:val="00751B9F"/>
    <w:rsid w:val="007521AB"/>
    <w:rsid w:val="007525CF"/>
    <w:rsid w:val="00752708"/>
    <w:rsid w:val="00752788"/>
    <w:rsid w:val="0075320C"/>
    <w:rsid w:val="007534CA"/>
    <w:rsid w:val="00753627"/>
    <w:rsid w:val="00753A31"/>
    <w:rsid w:val="00754345"/>
    <w:rsid w:val="007543AC"/>
    <w:rsid w:val="00755099"/>
    <w:rsid w:val="007553E2"/>
    <w:rsid w:val="00755C6B"/>
    <w:rsid w:val="007561EC"/>
    <w:rsid w:val="00756412"/>
    <w:rsid w:val="00756BE5"/>
    <w:rsid w:val="007576FA"/>
    <w:rsid w:val="00757B1A"/>
    <w:rsid w:val="00757F94"/>
    <w:rsid w:val="00760138"/>
    <w:rsid w:val="007604B9"/>
    <w:rsid w:val="007608D0"/>
    <w:rsid w:val="00760BB4"/>
    <w:rsid w:val="00760C0E"/>
    <w:rsid w:val="00760C2D"/>
    <w:rsid w:val="00761026"/>
    <w:rsid w:val="007613DE"/>
    <w:rsid w:val="007622A7"/>
    <w:rsid w:val="00762A56"/>
    <w:rsid w:val="00762B62"/>
    <w:rsid w:val="00762FDF"/>
    <w:rsid w:val="007642DA"/>
    <w:rsid w:val="0076439C"/>
    <w:rsid w:val="007651ED"/>
    <w:rsid w:val="00765380"/>
    <w:rsid w:val="00766013"/>
    <w:rsid w:val="00766EC1"/>
    <w:rsid w:val="00766EC3"/>
    <w:rsid w:val="00767014"/>
    <w:rsid w:val="00767562"/>
    <w:rsid w:val="00767C0C"/>
    <w:rsid w:val="00767D84"/>
    <w:rsid w:val="00767F83"/>
    <w:rsid w:val="0077031A"/>
    <w:rsid w:val="00770AEB"/>
    <w:rsid w:val="00770EC5"/>
    <w:rsid w:val="00770EE4"/>
    <w:rsid w:val="007711B4"/>
    <w:rsid w:val="007720F2"/>
    <w:rsid w:val="007726ED"/>
    <w:rsid w:val="00772EB4"/>
    <w:rsid w:val="0077325C"/>
    <w:rsid w:val="007739D0"/>
    <w:rsid w:val="00774DED"/>
    <w:rsid w:val="00775005"/>
    <w:rsid w:val="00775445"/>
    <w:rsid w:val="0077623E"/>
    <w:rsid w:val="007767B2"/>
    <w:rsid w:val="00776BF1"/>
    <w:rsid w:val="00777904"/>
    <w:rsid w:val="00780057"/>
    <w:rsid w:val="00780169"/>
    <w:rsid w:val="00780F9B"/>
    <w:rsid w:val="007810D9"/>
    <w:rsid w:val="0078113A"/>
    <w:rsid w:val="0078118E"/>
    <w:rsid w:val="00781ABC"/>
    <w:rsid w:val="00782143"/>
    <w:rsid w:val="00782CA4"/>
    <w:rsid w:val="00782D26"/>
    <w:rsid w:val="007834E0"/>
    <w:rsid w:val="007854CE"/>
    <w:rsid w:val="00785CA0"/>
    <w:rsid w:val="00786BF7"/>
    <w:rsid w:val="00786DF2"/>
    <w:rsid w:val="007878A3"/>
    <w:rsid w:val="00787E51"/>
    <w:rsid w:val="00790820"/>
    <w:rsid w:val="00790901"/>
    <w:rsid w:val="00790943"/>
    <w:rsid w:val="00790D4E"/>
    <w:rsid w:val="00791146"/>
    <w:rsid w:val="0079157F"/>
    <w:rsid w:val="00791645"/>
    <w:rsid w:val="0079280A"/>
    <w:rsid w:val="00792A5D"/>
    <w:rsid w:val="00792C1C"/>
    <w:rsid w:val="00792CDF"/>
    <w:rsid w:val="00792E39"/>
    <w:rsid w:val="00792EED"/>
    <w:rsid w:val="00792F37"/>
    <w:rsid w:val="0079303B"/>
    <w:rsid w:val="0079391D"/>
    <w:rsid w:val="007939FD"/>
    <w:rsid w:val="00793B55"/>
    <w:rsid w:val="00793F25"/>
    <w:rsid w:val="0079432E"/>
    <w:rsid w:val="00794847"/>
    <w:rsid w:val="00794BBF"/>
    <w:rsid w:val="007951F5"/>
    <w:rsid w:val="007952EB"/>
    <w:rsid w:val="00795484"/>
    <w:rsid w:val="00795E6B"/>
    <w:rsid w:val="00796FB9"/>
    <w:rsid w:val="00797189"/>
    <w:rsid w:val="007A0336"/>
    <w:rsid w:val="007A097D"/>
    <w:rsid w:val="007A11ED"/>
    <w:rsid w:val="007A1B32"/>
    <w:rsid w:val="007A1E55"/>
    <w:rsid w:val="007A2336"/>
    <w:rsid w:val="007A2776"/>
    <w:rsid w:val="007A2E00"/>
    <w:rsid w:val="007A3B12"/>
    <w:rsid w:val="007A3CD6"/>
    <w:rsid w:val="007A4A39"/>
    <w:rsid w:val="007A4E66"/>
    <w:rsid w:val="007A506F"/>
    <w:rsid w:val="007A5488"/>
    <w:rsid w:val="007A56DA"/>
    <w:rsid w:val="007A57AC"/>
    <w:rsid w:val="007A63ED"/>
    <w:rsid w:val="007A6462"/>
    <w:rsid w:val="007A68BE"/>
    <w:rsid w:val="007A7827"/>
    <w:rsid w:val="007A7F68"/>
    <w:rsid w:val="007B0159"/>
    <w:rsid w:val="007B0B66"/>
    <w:rsid w:val="007B125A"/>
    <w:rsid w:val="007B1611"/>
    <w:rsid w:val="007B171E"/>
    <w:rsid w:val="007B1A22"/>
    <w:rsid w:val="007B1AA1"/>
    <w:rsid w:val="007B23B6"/>
    <w:rsid w:val="007B2B1B"/>
    <w:rsid w:val="007B32E3"/>
    <w:rsid w:val="007B4408"/>
    <w:rsid w:val="007B4B0B"/>
    <w:rsid w:val="007B53FE"/>
    <w:rsid w:val="007B54D6"/>
    <w:rsid w:val="007B5FB8"/>
    <w:rsid w:val="007B61C8"/>
    <w:rsid w:val="007B61E8"/>
    <w:rsid w:val="007B626F"/>
    <w:rsid w:val="007B6E12"/>
    <w:rsid w:val="007B6E9C"/>
    <w:rsid w:val="007B72BE"/>
    <w:rsid w:val="007C016B"/>
    <w:rsid w:val="007C0F5B"/>
    <w:rsid w:val="007C1BB3"/>
    <w:rsid w:val="007C20D6"/>
    <w:rsid w:val="007C2E4D"/>
    <w:rsid w:val="007C434C"/>
    <w:rsid w:val="007C4904"/>
    <w:rsid w:val="007C4A97"/>
    <w:rsid w:val="007C503C"/>
    <w:rsid w:val="007C51FC"/>
    <w:rsid w:val="007C541D"/>
    <w:rsid w:val="007C5528"/>
    <w:rsid w:val="007C5A68"/>
    <w:rsid w:val="007C5D49"/>
    <w:rsid w:val="007C7003"/>
    <w:rsid w:val="007C71AD"/>
    <w:rsid w:val="007C774D"/>
    <w:rsid w:val="007C7B41"/>
    <w:rsid w:val="007D021B"/>
    <w:rsid w:val="007D04F6"/>
    <w:rsid w:val="007D055A"/>
    <w:rsid w:val="007D0C43"/>
    <w:rsid w:val="007D1266"/>
    <w:rsid w:val="007D1E73"/>
    <w:rsid w:val="007D2168"/>
    <w:rsid w:val="007D219A"/>
    <w:rsid w:val="007D25DC"/>
    <w:rsid w:val="007D2C9F"/>
    <w:rsid w:val="007D2F38"/>
    <w:rsid w:val="007D3D21"/>
    <w:rsid w:val="007D40E6"/>
    <w:rsid w:val="007D41B8"/>
    <w:rsid w:val="007D46BC"/>
    <w:rsid w:val="007D50DB"/>
    <w:rsid w:val="007D5195"/>
    <w:rsid w:val="007D54AD"/>
    <w:rsid w:val="007D6038"/>
    <w:rsid w:val="007D6A46"/>
    <w:rsid w:val="007D7052"/>
    <w:rsid w:val="007D73D3"/>
    <w:rsid w:val="007D7AD5"/>
    <w:rsid w:val="007E0617"/>
    <w:rsid w:val="007E0865"/>
    <w:rsid w:val="007E0D63"/>
    <w:rsid w:val="007E0E63"/>
    <w:rsid w:val="007E14BF"/>
    <w:rsid w:val="007E189C"/>
    <w:rsid w:val="007E2510"/>
    <w:rsid w:val="007E252C"/>
    <w:rsid w:val="007E3B98"/>
    <w:rsid w:val="007E43A1"/>
    <w:rsid w:val="007E4682"/>
    <w:rsid w:val="007E4E03"/>
    <w:rsid w:val="007E55A9"/>
    <w:rsid w:val="007E5D97"/>
    <w:rsid w:val="007E61B6"/>
    <w:rsid w:val="007E61EC"/>
    <w:rsid w:val="007E6E48"/>
    <w:rsid w:val="007E6FA6"/>
    <w:rsid w:val="007E7428"/>
    <w:rsid w:val="007E74E8"/>
    <w:rsid w:val="007E7E72"/>
    <w:rsid w:val="007F061C"/>
    <w:rsid w:val="007F11ED"/>
    <w:rsid w:val="007F1275"/>
    <w:rsid w:val="007F1ADB"/>
    <w:rsid w:val="007F1CF8"/>
    <w:rsid w:val="007F245A"/>
    <w:rsid w:val="007F2C2F"/>
    <w:rsid w:val="007F2DE9"/>
    <w:rsid w:val="007F32A7"/>
    <w:rsid w:val="007F3EE4"/>
    <w:rsid w:val="007F3F8F"/>
    <w:rsid w:val="007F4650"/>
    <w:rsid w:val="007F562F"/>
    <w:rsid w:val="007F563D"/>
    <w:rsid w:val="007F5B59"/>
    <w:rsid w:val="007F660E"/>
    <w:rsid w:val="007F67F4"/>
    <w:rsid w:val="007F6845"/>
    <w:rsid w:val="007F6A2C"/>
    <w:rsid w:val="007F6BAC"/>
    <w:rsid w:val="007F7E10"/>
    <w:rsid w:val="007F7FCA"/>
    <w:rsid w:val="0080076E"/>
    <w:rsid w:val="008008B8"/>
    <w:rsid w:val="00801486"/>
    <w:rsid w:val="0080283A"/>
    <w:rsid w:val="00802F26"/>
    <w:rsid w:val="00802F92"/>
    <w:rsid w:val="00803807"/>
    <w:rsid w:val="008041B0"/>
    <w:rsid w:val="0080465D"/>
    <w:rsid w:val="008046EA"/>
    <w:rsid w:val="00804E33"/>
    <w:rsid w:val="00805342"/>
    <w:rsid w:val="008057CB"/>
    <w:rsid w:val="008058A0"/>
    <w:rsid w:val="00806A05"/>
    <w:rsid w:val="0080772F"/>
    <w:rsid w:val="00807A16"/>
    <w:rsid w:val="00807C0C"/>
    <w:rsid w:val="00807EA1"/>
    <w:rsid w:val="00807FAC"/>
    <w:rsid w:val="00810095"/>
    <w:rsid w:val="0081094C"/>
    <w:rsid w:val="00811899"/>
    <w:rsid w:val="00811FF2"/>
    <w:rsid w:val="00812E36"/>
    <w:rsid w:val="008134C0"/>
    <w:rsid w:val="0081381B"/>
    <w:rsid w:val="00813D3A"/>
    <w:rsid w:val="00814CD6"/>
    <w:rsid w:val="00815164"/>
    <w:rsid w:val="0081533E"/>
    <w:rsid w:val="00815A9E"/>
    <w:rsid w:val="00815AFD"/>
    <w:rsid w:val="00815D74"/>
    <w:rsid w:val="00815E14"/>
    <w:rsid w:val="0081620E"/>
    <w:rsid w:val="008167C9"/>
    <w:rsid w:val="00816A67"/>
    <w:rsid w:val="00816CD4"/>
    <w:rsid w:val="00820DC9"/>
    <w:rsid w:val="008215D4"/>
    <w:rsid w:val="00822118"/>
    <w:rsid w:val="0082233E"/>
    <w:rsid w:val="00823E30"/>
    <w:rsid w:val="00823F37"/>
    <w:rsid w:val="00824085"/>
    <w:rsid w:val="008244E4"/>
    <w:rsid w:val="0082488A"/>
    <w:rsid w:val="0082510C"/>
    <w:rsid w:val="00825EAB"/>
    <w:rsid w:val="008261E4"/>
    <w:rsid w:val="008263A2"/>
    <w:rsid w:val="008263FD"/>
    <w:rsid w:val="00826856"/>
    <w:rsid w:val="00827D3E"/>
    <w:rsid w:val="00827E21"/>
    <w:rsid w:val="00827E3D"/>
    <w:rsid w:val="00830571"/>
    <w:rsid w:val="008317CD"/>
    <w:rsid w:val="00832191"/>
    <w:rsid w:val="00832237"/>
    <w:rsid w:val="00833818"/>
    <w:rsid w:val="00833BA2"/>
    <w:rsid w:val="00834203"/>
    <w:rsid w:val="00834AF3"/>
    <w:rsid w:val="00834CEA"/>
    <w:rsid w:val="00834DCE"/>
    <w:rsid w:val="00835077"/>
    <w:rsid w:val="008355F5"/>
    <w:rsid w:val="00835B42"/>
    <w:rsid w:val="0083628C"/>
    <w:rsid w:val="008369A8"/>
    <w:rsid w:val="0083739A"/>
    <w:rsid w:val="0083775C"/>
    <w:rsid w:val="00837F36"/>
    <w:rsid w:val="008406B8"/>
    <w:rsid w:val="00840B30"/>
    <w:rsid w:val="00840C23"/>
    <w:rsid w:val="00840F58"/>
    <w:rsid w:val="00841013"/>
    <w:rsid w:val="00841349"/>
    <w:rsid w:val="008414CB"/>
    <w:rsid w:val="00841FEA"/>
    <w:rsid w:val="00842556"/>
    <w:rsid w:val="00842739"/>
    <w:rsid w:val="00844071"/>
    <w:rsid w:val="00844480"/>
    <w:rsid w:val="00844FB7"/>
    <w:rsid w:val="0084503E"/>
    <w:rsid w:val="008455D9"/>
    <w:rsid w:val="008459C8"/>
    <w:rsid w:val="00845A46"/>
    <w:rsid w:val="00846F39"/>
    <w:rsid w:val="00847187"/>
    <w:rsid w:val="0084759D"/>
    <w:rsid w:val="00847C77"/>
    <w:rsid w:val="0085015E"/>
    <w:rsid w:val="00850B1E"/>
    <w:rsid w:val="00850C08"/>
    <w:rsid w:val="00850E71"/>
    <w:rsid w:val="00851B77"/>
    <w:rsid w:val="00852D18"/>
    <w:rsid w:val="00853866"/>
    <w:rsid w:val="00853F22"/>
    <w:rsid w:val="008546A4"/>
    <w:rsid w:val="008553AA"/>
    <w:rsid w:val="008567DF"/>
    <w:rsid w:val="008568CB"/>
    <w:rsid w:val="00857246"/>
    <w:rsid w:val="00857CB0"/>
    <w:rsid w:val="00857D69"/>
    <w:rsid w:val="008601A9"/>
    <w:rsid w:val="00861543"/>
    <w:rsid w:val="008620E2"/>
    <w:rsid w:val="0086215C"/>
    <w:rsid w:val="008626E9"/>
    <w:rsid w:val="00863121"/>
    <w:rsid w:val="0086317D"/>
    <w:rsid w:val="00863334"/>
    <w:rsid w:val="00863DC9"/>
    <w:rsid w:val="008640C6"/>
    <w:rsid w:val="00864BF9"/>
    <w:rsid w:val="00865221"/>
    <w:rsid w:val="008670DC"/>
    <w:rsid w:val="008679A5"/>
    <w:rsid w:val="008702B3"/>
    <w:rsid w:val="008703DA"/>
    <w:rsid w:val="00870BA8"/>
    <w:rsid w:val="00870E77"/>
    <w:rsid w:val="00870F9F"/>
    <w:rsid w:val="0087181C"/>
    <w:rsid w:val="00871EB3"/>
    <w:rsid w:val="00872095"/>
    <w:rsid w:val="00872716"/>
    <w:rsid w:val="00872759"/>
    <w:rsid w:val="00872AED"/>
    <w:rsid w:val="00873310"/>
    <w:rsid w:val="008739E1"/>
    <w:rsid w:val="00873B71"/>
    <w:rsid w:val="00873C45"/>
    <w:rsid w:val="008748D4"/>
    <w:rsid w:val="00874C97"/>
    <w:rsid w:val="0087535F"/>
    <w:rsid w:val="008758A0"/>
    <w:rsid w:val="0087601A"/>
    <w:rsid w:val="00876FDF"/>
    <w:rsid w:val="00877C39"/>
    <w:rsid w:val="008800B9"/>
    <w:rsid w:val="008804F0"/>
    <w:rsid w:val="008805D7"/>
    <w:rsid w:val="00880AC5"/>
    <w:rsid w:val="008814EE"/>
    <w:rsid w:val="00881A33"/>
    <w:rsid w:val="008821A7"/>
    <w:rsid w:val="00882A92"/>
    <w:rsid w:val="00882AD9"/>
    <w:rsid w:val="00882B94"/>
    <w:rsid w:val="00882CB6"/>
    <w:rsid w:val="00883426"/>
    <w:rsid w:val="00883953"/>
    <w:rsid w:val="00884709"/>
    <w:rsid w:val="00884B3B"/>
    <w:rsid w:val="0088500F"/>
    <w:rsid w:val="008855DF"/>
    <w:rsid w:val="00885A82"/>
    <w:rsid w:val="0088601A"/>
    <w:rsid w:val="00886282"/>
    <w:rsid w:val="00886413"/>
    <w:rsid w:val="0088642F"/>
    <w:rsid w:val="00887E24"/>
    <w:rsid w:val="0089031E"/>
    <w:rsid w:val="00890C48"/>
    <w:rsid w:val="00890C95"/>
    <w:rsid w:val="0089130F"/>
    <w:rsid w:val="0089139E"/>
    <w:rsid w:val="00891443"/>
    <w:rsid w:val="008915D8"/>
    <w:rsid w:val="0089166B"/>
    <w:rsid w:val="00891BE4"/>
    <w:rsid w:val="00891D75"/>
    <w:rsid w:val="00892791"/>
    <w:rsid w:val="00892D8C"/>
    <w:rsid w:val="008934C3"/>
    <w:rsid w:val="008935C7"/>
    <w:rsid w:val="00893BC9"/>
    <w:rsid w:val="00894565"/>
    <w:rsid w:val="0089491C"/>
    <w:rsid w:val="0089576E"/>
    <w:rsid w:val="00895E4C"/>
    <w:rsid w:val="00896001"/>
    <w:rsid w:val="008969F5"/>
    <w:rsid w:val="00896D51"/>
    <w:rsid w:val="00897108"/>
    <w:rsid w:val="00897C0B"/>
    <w:rsid w:val="008A183D"/>
    <w:rsid w:val="008A2901"/>
    <w:rsid w:val="008A2918"/>
    <w:rsid w:val="008A2F24"/>
    <w:rsid w:val="008A3501"/>
    <w:rsid w:val="008A36C1"/>
    <w:rsid w:val="008A3918"/>
    <w:rsid w:val="008A3B56"/>
    <w:rsid w:val="008A4E4D"/>
    <w:rsid w:val="008A4F46"/>
    <w:rsid w:val="008A5110"/>
    <w:rsid w:val="008A59E4"/>
    <w:rsid w:val="008A6523"/>
    <w:rsid w:val="008A6972"/>
    <w:rsid w:val="008A6A44"/>
    <w:rsid w:val="008A6A64"/>
    <w:rsid w:val="008A6B44"/>
    <w:rsid w:val="008A6BB0"/>
    <w:rsid w:val="008A79D9"/>
    <w:rsid w:val="008A7AF4"/>
    <w:rsid w:val="008B0F69"/>
    <w:rsid w:val="008B1755"/>
    <w:rsid w:val="008B192D"/>
    <w:rsid w:val="008B2056"/>
    <w:rsid w:val="008B3E99"/>
    <w:rsid w:val="008B417B"/>
    <w:rsid w:val="008B417E"/>
    <w:rsid w:val="008B448C"/>
    <w:rsid w:val="008B44EF"/>
    <w:rsid w:val="008B46E1"/>
    <w:rsid w:val="008B4E39"/>
    <w:rsid w:val="008B5F9B"/>
    <w:rsid w:val="008B614F"/>
    <w:rsid w:val="008B6765"/>
    <w:rsid w:val="008B6E6A"/>
    <w:rsid w:val="008B7D93"/>
    <w:rsid w:val="008B7EB1"/>
    <w:rsid w:val="008B7F43"/>
    <w:rsid w:val="008C1937"/>
    <w:rsid w:val="008C27B0"/>
    <w:rsid w:val="008C3F76"/>
    <w:rsid w:val="008C4186"/>
    <w:rsid w:val="008C41FF"/>
    <w:rsid w:val="008C429F"/>
    <w:rsid w:val="008C437D"/>
    <w:rsid w:val="008C45B0"/>
    <w:rsid w:val="008C4986"/>
    <w:rsid w:val="008C4EF5"/>
    <w:rsid w:val="008C55E7"/>
    <w:rsid w:val="008C6D88"/>
    <w:rsid w:val="008C703C"/>
    <w:rsid w:val="008C70F0"/>
    <w:rsid w:val="008D06ED"/>
    <w:rsid w:val="008D0876"/>
    <w:rsid w:val="008D08C4"/>
    <w:rsid w:val="008D164C"/>
    <w:rsid w:val="008D2C81"/>
    <w:rsid w:val="008D2F88"/>
    <w:rsid w:val="008D474E"/>
    <w:rsid w:val="008D5686"/>
    <w:rsid w:val="008D5A1A"/>
    <w:rsid w:val="008D61F2"/>
    <w:rsid w:val="008D62C7"/>
    <w:rsid w:val="008D7128"/>
    <w:rsid w:val="008D73E9"/>
    <w:rsid w:val="008D747D"/>
    <w:rsid w:val="008D7697"/>
    <w:rsid w:val="008E00C4"/>
    <w:rsid w:val="008E04FE"/>
    <w:rsid w:val="008E0595"/>
    <w:rsid w:val="008E0A26"/>
    <w:rsid w:val="008E12F5"/>
    <w:rsid w:val="008E1D95"/>
    <w:rsid w:val="008E1F9E"/>
    <w:rsid w:val="008E1FDA"/>
    <w:rsid w:val="008E2507"/>
    <w:rsid w:val="008E2C58"/>
    <w:rsid w:val="008E2CCF"/>
    <w:rsid w:val="008E2FE5"/>
    <w:rsid w:val="008E3D6D"/>
    <w:rsid w:val="008E4CF7"/>
    <w:rsid w:val="008E534B"/>
    <w:rsid w:val="008E5429"/>
    <w:rsid w:val="008E5A2A"/>
    <w:rsid w:val="008E5A95"/>
    <w:rsid w:val="008E5B47"/>
    <w:rsid w:val="008E6688"/>
    <w:rsid w:val="008E7498"/>
    <w:rsid w:val="008E75F5"/>
    <w:rsid w:val="008E761D"/>
    <w:rsid w:val="008E7D67"/>
    <w:rsid w:val="008F02CA"/>
    <w:rsid w:val="008F0C10"/>
    <w:rsid w:val="008F0F34"/>
    <w:rsid w:val="008F1166"/>
    <w:rsid w:val="008F18EB"/>
    <w:rsid w:val="008F2CB8"/>
    <w:rsid w:val="008F314D"/>
    <w:rsid w:val="008F3614"/>
    <w:rsid w:val="008F361C"/>
    <w:rsid w:val="008F4615"/>
    <w:rsid w:val="008F4ECF"/>
    <w:rsid w:val="008F4F3F"/>
    <w:rsid w:val="008F506C"/>
    <w:rsid w:val="008F5415"/>
    <w:rsid w:val="008F5D64"/>
    <w:rsid w:val="008F5F77"/>
    <w:rsid w:val="008F6F14"/>
    <w:rsid w:val="008F7732"/>
    <w:rsid w:val="008F7C75"/>
    <w:rsid w:val="008F7CF0"/>
    <w:rsid w:val="00900EC2"/>
    <w:rsid w:val="00901736"/>
    <w:rsid w:val="00902185"/>
    <w:rsid w:val="00902BD6"/>
    <w:rsid w:val="00902C32"/>
    <w:rsid w:val="009032BE"/>
    <w:rsid w:val="00903FCD"/>
    <w:rsid w:val="0090500A"/>
    <w:rsid w:val="009050C1"/>
    <w:rsid w:val="0090692E"/>
    <w:rsid w:val="0090715A"/>
    <w:rsid w:val="00907491"/>
    <w:rsid w:val="009076C7"/>
    <w:rsid w:val="00907C2F"/>
    <w:rsid w:val="00907D6E"/>
    <w:rsid w:val="00910036"/>
    <w:rsid w:val="0091031D"/>
    <w:rsid w:val="00910D50"/>
    <w:rsid w:val="00911250"/>
    <w:rsid w:val="00911B29"/>
    <w:rsid w:val="00911B2F"/>
    <w:rsid w:val="00912A9D"/>
    <w:rsid w:val="00913555"/>
    <w:rsid w:val="009138D9"/>
    <w:rsid w:val="00913D6B"/>
    <w:rsid w:val="00914197"/>
    <w:rsid w:val="00914D02"/>
    <w:rsid w:val="00914D62"/>
    <w:rsid w:val="00915E2A"/>
    <w:rsid w:val="00915E7B"/>
    <w:rsid w:val="0091658B"/>
    <w:rsid w:val="009166F1"/>
    <w:rsid w:val="00917A34"/>
    <w:rsid w:val="00917BF3"/>
    <w:rsid w:val="00917EE1"/>
    <w:rsid w:val="00917F2C"/>
    <w:rsid w:val="009208BA"/>
    <w:rsid w:val="00920932"/>
    <w:rsid w:val="009216C4"/>
    <w:rsid w:val="00921E20"/>
    <w:rsid w:val="00922424"/>
    <w:rsid w:val="00922A21"/>
    <w:rsid w:val="00922FAC"/>
    <w:rsid w:val="00923562"/>
    <w:rsid w:val="0092383F"/>
    <w:rsid w:val="009238F0"/>
    <w:rsid w:val="009249B0"/>
    <w:rsid w:val="00924C11"/>
    <w:rsid w:val="00925604"/>
    <w:rsid w:val="0092603E"/>
    <w:rsid w:val="00926663"/>
    <w:rsid w:val="00926CD3"/>
    <w:rsid w:val="00927007"/>
    <w:rsid w:val="00927B6C"/>
    <w:rsid w:val="00930024"/>
    <w:rsid w:val="009307C8"/>
    <w:rsid w:val="00931386"/>
    <w:rsid w:val="009315B3"/>
    <w:rsid w:val="009316E2"/>
    <w:rsid w:val="00931998"/>
    <w:rsid w:val="00932A4F"/>
    <w:rsid w:val="00932D97"/>
    <w:rsid w:val="00932FA8"/>
    <w:rsid w:val="009333B5"/>
    <w:rsid w:val="00933AD0"/>
    <w:rsid w:val="00934BDE"/>
    <w:rsid w:val="00934F0F"/>
    <w:rsid w:val="009351F9"/>
    <w:rsid w:val="009356CA"/>
    <w:rsid w:val="009369EC"/>
    <w:rsid w:val="009409BD"/>
    <w:rsid w:val="00940A37"/>
    <w:rsid w:val="009414CE"/>
    <w:rsid w:val="00941BB6"/>
    <w:rsid w:val="009427ED"/>
    <w:rsid w:val="009429DD"/>
    <w:rsid w:val="00942E3C"/>
    <w:rsid w:val="009432E9"/>
    <w:rsid w:val="0094353D"/>
    <w:rsid w:val="00943A56"/>
    <w:rsid w:val="00943EA8"/>
    <w:rsid w:val="00944234"/>
    <w:rsid w:val="009449DB"/>
    <w:rsid w:val="00944B10"/>
    <w:rsid w:val="00945450"/>
    <w:rsid w:val="009457C7"/>
    <w:rsid w:val="00945D15"/>
    <w:rsid w:val="00945E9A"/>
    <w:rsid w:val="00945F6E"/>
    <w:rsid w:val="00946A6C"/>
    <w:rsid w:val="00946EE2"/>
    <w:rsid w:val="00951625"/>
    <w:rsid w:val="00951751"/>
    <w:rsid w:val="009518FE"/>
    <w:rsid w:val="009522C9"/>
    <w:rsid w:val="0095287E"/>
    <w:rsid w:val="00952DC7"/>
    <w:rsid w:val="00952E24"/>
    <w:rsid w:val="00952E8B"/>
    <w:rsid w:val="00952ED7"/>
    <w:rsid w:val="009539EE"/>
    <w:rsid w:val="00953BC5"/>
    <w:rsid w:val="00954268"/>
    <w:rsid w:val="009543E2"/>
    <w:rsid w:val="00954A4A"/>
    <w:rsid w:val="00954D2D"/>
    <w:rsid w:val="00954E3C"/>
    <w:rsid w:val="0095550A"/>
    <w:rsid w:val="00955780"/>
    <w:rsid w:val="00955AE3"/>
    <w:rsid w:val="00955D28"/>
    <w:rsid w:val="009562CF"/>
    <w:rsid w:val="00956B9A"/>
    <w:rsid w:val="00956CDE"/>
    <w:rsid w:val="00956D19"/>
    <w:rsid w:val="009570DD"/>
    <w:rsid w:val="00957E6C"/>
    <w:rsid w:val="00960619"/>
    <w:rsid w:val="00960BD3"/>
    <w:rsid w:val="00961D70"/>
    <w:rsid w:val="009621FB"/>
    <w:rsid w:val="00962912"/>
    <w:rsid w:val="00962EBA"/>
    <w:rsid w:val="0096311B"/>
    <w:rsid w:val="009632C4"/>
    <w:rsid w:val="0096361A"/>
    <w:rsid w:val="00963A37"/>
    <w:rsid w:val="00963C75"/>
    <w:rsid w:val="00963D27"/>
    <w:rsid w:val="00964224"/>
    <w:rsid w:val="009642D5"/>
    <w:rsid w:val="009650C9"/>
    <w:rsid w:val="00965609"/>
    <w:rsid w:val="00965F3B"/>
    <w:rsid w:val="00967230"/>
    <w:rsid w:val="00967316"/>
    <w:rsid w:val="00967848"/>
    <w:rsid w:val="00967C41"/>
    <w:rsid w:val="00970715"/>
    <w:rsid w:val="00970B4B"/>
    <w:rsid w:val="009710DD"/>
    <w:rsid w:val="00971D47"/>
    <w:rsid w:val="00972042"/>
    <w:rsid w:val="009722B7"/>
    <w:rsid w:val="009726EC"/>
    <w:rsid w:val="009729DF"/>
    <w:rsid w:val="00972B92"/>
    <w:rsid w:val="009732F2"/>
    <w:rsid w:val="00973598"/>
    <w:rsid w:val="00973E27"/>
    <w:rsid w:val="009743CB"/>
    <w:rsid w:val="00974552"/>
    <w:rsid w:val="0097469E"/>
    <w:rsid w:val="009746C8"/>
    <w:rsid w:val="00974CD4"/>
    <w:rsid w:val="00975283"/>
    <w:rsid w:val="00975974"/>
    <w:rsid w:val="00975EAC"/>
    <w:rsid w:val="00976BC1"/>
    <w:rsid w:val="00976DC1"/>
    <w:rsid w:val="00976F02"/>
    <w:rsid w:val="00976F9D"/>
    <w:rsid w:val="00977012"/>
    <w:rsid w:val="009770B3"/>
    <w:rsid w:val="009773BD"/>
    <w:rsid w:val="00977506"/>
    <w:rsid w:val="009775E6"/>
    <w:rsid w:val="0098057E"/>
    <w:rsid w:val="009807C5"/>
    <w:rsid w:val="009808BD"/>
    <w:rsid w:val="009826DF"/>
    <w:rsid w:val="00983C25"/>
    <w:rsid w:val="009840D9"/>
    <w:rsid w:val="00984355"/>
    <w:rsid w:val="00984A0C"/>
    <w:rsid w:val="00985D80"/>
    <w:rsid w:val="009862E7"/>
    <w:rsid w:val="009863DF"/>
    <w:rsid w:val="00986460"/>
    <w:rsid w:val="009872B4"/>
    <w:rsid w:val="00987C92"/>
    <w:rsid w:val="00987F3A"/>
    <w:rsid w:val="00990392"/>
    <w:rsid w:val="009903C2"/>
    <w:rsid w:val="0099107D"/>
    <w:rsid w:val="00991212"/>
    <w:rsid w:val="00991968"/>
    <w:rsid w:val="00991F38"/>
    <w:rsid w:val="00992FA5"/>
    <w:rsid w:val="00993495"/>
    <w:rsid w:val="009937F8"/>
    <w:rsid w:val="00993864"/>
    <w:rsid w:val="00993985"/>
    <w:rsid w:val="009943BB"/>
    <w:rsid w:val="00994FF8"/>
    <w:rsid w:val="009955CF"/>
    <w:rsid w:val="009958BD"/>
    <w:rsid w:val="00995EE4"/>
    <w:rsid w:val="00996861"/>
    <w:rsid w:val="0099694B"/>
    <w:rsid w:val="00997BB3"/>
    <w:rsid w:val="009A02A9"/>
    <w:rsid w:val="009A06B5"/>
    <w:rsid w:val="009A0857"/>
    <w:rsid w:val="009A0C35"/>
    <w:rsid w:val="009A10D2"/>
    <w:rsid w:val="009A126B"/>
    <w:rsid w:val="009A15B0"/>
    <w:rsid w:val="009A16CA"/>
    <w:rsid w:val="009A194D"/>
    <w:rsid w:val="009A1AF9"/>
    <w:rsid w:val="009A1D4B"/>
    <w:rsid w:val="009A1DB4"/>
    <w:rsid w:val="009A2551"/>
    <w:rsid w:val="009A288E"/>
    <w:rsid w:val="009A2BDE"/>
    <w:rsid w:val="009A2EA0"/>
    <w:rsid w:val="009A301C"/>
    <w:rsid w:val="009A3454"/>
    <w:rsid w:val="009A3624"/>
    <w:rsid w:val="009A3B83"/>
    <w:rsid w:val="009A407B"/>
    <w:rsid w:val="009A436C"/>
    <w:rsid w:val="009A4581"/>
    <w:rsid w:val="009A49C9"/>
    <w:rsid w:val="009A4A49"/>
    <w:rsid w:val="009A4E56"/>
    <w:rsid w:val="009A4F49"/>
    <w:rsid w:val="009A4F5D"/>
    <w:rsid w:val="009A50B9"/>
    <w:rsid w:val="009A53D5"/>
    <w:rsid w:val="009A562D"/>
    <w:rsid w:val="009A5CD4"/>
    <w:rsid w:val="009A5E1F"/>
    <w:rsid w:val="009A6040"/>
    <w:rsid w:val="009A6591"/>
    <w:rsid w:val="009A6DA0"/>
    <w:rsid w:val="009A6FC7"/>
    <w:rsid w:val="009A76E7"/>
    <w:rsid w:val="009B050A"/>
    <w:rsid w:val="009B0760"/>
    <w:rsid w:val="009B1709"/>
    <w:rsid w:val="009B2785"/>
    <w:rsid w:val="009B376B"/>
    <w:rsid w:val="009B597B"/>
    <w:rsid w:val="009B5D3F"/>
    <w:rsid w:val="009B669D"/>
    <w:rsid w:val="009B67C1"/>
    <w:rsid w:val="009B6B39"/>
    <w:rsid w:val="009C0089"/>
    <w:rsid w:val="009C13FE"/>
    <w:rsid w:val="009C185F"/>
    <w:rsid w:val="009C2833"/>
    <w:rsid w:val="009C2B43"/>
    <w:rsid w:val="009C4100"/>
    <w:rsid w:val="009C4259"/>
    <w:rsid w:val="009C4E7D"/>
    <w:rsid w:val="009C5D52"/>
    <w:rsid w:val="009C614B"/>
    <w:rsid w:val="009C65EC"/>
    <w:rsid w:val="009C6710"/>
    <w:rsid w:val="009C6B70"/>
    <w:rsid w:val="009C6F1C"/>
    <w:rsid w:val="009C6F63"/>
    <w:rsid w:val="009C7E1D"/>
    <w:rsid w:val="009C7F70"/>
    <w:rsid w:val="009D04EE"/>
    <w:rsid w:val="009D0AB4"/>
    <w:rsid w:val="009D0DD2"/>
    <w:rsid w:val="009D11C9"/>
    <w:rsid w:val="009D124E"/>
    <w:rsid w:val="009D141D"/>
    <w:rsid w:val="009D17B6"/>
    <w:rsid w:val="009D1EF4"/>
    <w:rsid w:val="009D26CD"/>
    <w:rsid w:val="009D2BC0"/>
    <w:rsid w:val="009D2FEE"/>
    <w:rsid w:val="009D32AF"/>
    <w:rsid w:val="009D3447"/>
    <w:rsid w:val="009D3679"/>
    <w:rsid w:val="009D3F70"/>
    <w:rsid w:val="009D43F3"/>
    <w:rsid w:val="009D4FD5"/>
    <w:rsid w:val="009D5C37"/>
    <w:rsid w:val="009D624A"/>
    <w:rsid w:val="009D6493"/>
    <w:rsid w:val="009D6DC7"/>
    <w:rsid w:val="009D78F9"/>
    <w:rsid w:val="009E04E0"/>
    <w:rsid w:val="009E0877"/>
    <w:rsid w:val="009E0E58"/>
    <w:rsid w:val="009E0F90"/>
    <w:rsid w:val="009E111B"/>
    <w:rsid w:val="009E1188"/>
    <w:rsid w:val="009E11A4"/>
    <w:rsid w:val="009E19B7"/>
    <w:rsid w:val="009E1F4A"/>
    <w:rsid w:val="009E205C"/>
    <w:rsid w:val="009E36AA"/>
    <w:rsid w:val="009E37AC"/>
    <w:rsid w:val="009E3BDD"/>
    <w:rsid w:val="009E3C68"/>
    <w:rsid w:val="009E429A"/>
    <w:rsid w:val="009E48AE"/>
    <w:rsid w:val="009E5131"/>
    <w:rsid w:val="009E55C5"/>
    <w:rsid w:val="009E5C65"/>
    <w:rsid w:val="009E5F3F"/>
    <w:rsid w:val="009E6526"/>
    <w:rsid w:val="009E6CDC"/>
    <w:rsid w:val="009F09DF"/>
    <w:rsid w:val="009F0EC7"/>
    <w:rsid w:val="009F12A5"/>
    <w:rsid w:val="009F1358"/>
    <w:rsid w:val="009F16AE"/>
    <w:rsid w:val="009F1E2A"/>
    <w:rsid w:val="009F2AF5"/>
    <w:rsid w:val="009F4713"/>
    <w:rsid w:val="009F48A3"/>
    <w:rsid w:val="009F59DF"/>
    <w:rsid w:val="009F5E3E"/>
    <w:rsid w:val="009F5F1D"/>
    <w:rsid w:val="009F68A3"/>
    <w:rsid w:val="009F6B70"/>
    <w:rsid w:val="009F701F"/>
    <w:rsid w:val="009F7577"/>
    <w:rsid w:val="00A00200"/>
    <w:rsid w:val="00A005E3"/>
    <w:rsid w:val="00A00947"/>
    <w:rsid w:val="00A00DCD"/>
    <w:rsid w:val="00A01168"/>
    <w:rsid w:val="00A01208"/>
    <w:rsid w:val="00A0147C"/>
    <w:rsid w:val="00A017ED"/>
    <w:rsid w:val="00A01B07"/>
    <w:rsid w:val="00A02B8E"/>
    <w:rsid w:val="00A02F59"/>
    <w:rsid w:val="00A0301A"/>
    <w:rsid w:val="00A0307F"/>
    <w:rsid w:val="00A030C0"/>
    <w:rsid w:val="00A0342E"/>
    <w:rsid w:val="00A0400C"/>
    <w:rsid w:val="00A044F8"/>
    <w:rsid w:val="00A056CF"/>
    <w:rsid w:val="00A05A53"/>
    <w:rsid w:val="00A05CFF"/>
    <w:rsid w:val="00A070F7"/>
    <w:rsid w:val="00A07644"/>
    <w:rsid w:val="00A078A4"/>
    <w:rsid w:val="00A07974"/>
    <w:rsid w:val="00A106BF"/>
    <w:rsid w:val="00A10898"/>
    <w:rsid w:val="00A11157"/>
    <w:rsid w:val="00A11221"/>
    <w:rsid w:val="00A11705"/>
    <w:rsid w:val="00A11908"/>
    <w:rsid w:val="00A120A2"/>
    <w:rsid w:val="00A12100"/>
    <w:rsid w:val="00A12221"/>
    <w:rsid w:val="00A1235F"/>
    <w:rsid w:val="00A12B02"/>
    <w:rsid w:val="00A12BA6"/>
    <w:rsid w:val="00A12F5C"/>
    <w:rsid w:val="00A1302F"/>
    <w:rsid w:val="00A132BA"/>
    <w:rsid w:val="00A133CC"/>
    <w:rsid w:val="00A13883"/>
    <w:rsid w:val="00A13C9B"/>
    <w:rsid w:val="00A14B9D"/>
    <w:rsid w:val="00A14DBE"/>
    <w:rsid w:val="00A14E65"/>
    <w:rsid w:val="00A1502E"/>
    <w:rsid w:val="00A1503C"/>
    <w:rsid w:val="00A15968"/>
    <w:rsid w:val="00A15DA7"/>
    <w:rsid w:val="00A15EB4"/>
    <w:rsid w:val="00A161FD"/>
    <w:rsid w:val="00A1655A"/>
    <w:rsid w:val="00A169CA"/>
    <w:rsid w:val="00A17008"/>
    <w:rsid w:val="00A1725D"/>
    <w:rsid w:val="00A1767E"/>
    <w:rsid w:val="00A2065F"/>
    <w:rsid w:val="00A20AB5"/>
    <w:rsid w:val="00A2180E"/>
    <w:rsid w:val="00A21820"/>
    <w:rsid w:val="00A21BE9"/>
    <w:rsid w:val="00A22596"/>
    <w:rsid w:val="00A226F2"/>
    <w:rsid w:val="00A231ED"/>
    <w:rsid w:val="00A23564"/>
    <w:rsid w:val="00A23C03"/>
    <w:rsid w:val="00A24559"/>
    <w:rsid w:val="00A24787"/>
    <w:rsid w:val="00A25503"/>
    <w:rsid w:val="00A25F16"/>
    <w:rsid w:val="00A27659"/>
    <w:rsid w:val="00A30D71"/>
    <w:rsid w:val="00A30D9F"/>
    <w:rsid w:val="00A31159"/>
    <w:rsid w:val="00A313D0"/>
    <w:rsid w:val="00A31808"/>
    <w:rsid w:val="00A33CB0"/>
    <w:rsid w:val="00A3469B"/>
    <w:rsid w:val="00A358A1"/>
    <w:rsid w:val="00A36441"/>
    <w:rsid w:val="00A3687D"/>
    <w:rsid w:val="00A36DE7"/>
    <w:rsid w:val="00A374E8"/>
    <w:rsid w:val="00A37537"/>
    <w:rsid w:val="00A37713"/>
    <w:rsid w:val="00A37A7B"/>
    <w:rsid w:val="00A40161"/>
    <w:rsid w:val="00A4017A"/>
    <w:rsid w:val="00A40CA8"/>
    <w:rsid w:val="00A40F8E"/>
    <w:rsid w:val="00A41DD2"/>
    <w:rsid w:val="00A420AA"/>
    <w:rsid w:val="00A42572"/>
    <w:rsid w:val="00A42EA2"/>
    <w:rsid w:val="00A42FB7"/>
    <w:rsid w:val="00A43257"/>
    <w:rsid w:val="00A4363E"/>
    <w:rsid w:val="00A436C9"/>
    <w:rsid w:val="00A44752"/>
    <w:rsid w:val="00A449A5"/>
    <w:rsid w:val="00A44A94"/>
    <w:rsid w:val="00A44F4B"/>
    <w:rsid w:val="00A455A7"/>
    <w:rsid w:val="00A45659"/>
    <w:rsid w:val="00A45891"/>
    <w:rsid w:val="00A45CDF"/>
    <w:rsid w:val="00A475D4"/>
    <w:rsid w:val="00A47693"/>
    <w:rsid w:val="00A47A3F"/>
    <w:rsid w:val="00A47BBD"/>
    <w:rsid w:val="00A47F2D"/>
    <w:rsid w:val="00A50219"/>
    <w:rsid w:val="00A50317"/>
    <w:rsid w:val="00A507D7"/>
    <w:rsid w:val="00A51382"/>
    <w:rsid w:val="00A51AA1"/>
    <w:rsid w:val="00A51D07"/>
    <w:rsid w:val="00A525EF"/>
    <w:rsid w:val="00A5286B"/>
    <w:rsid w:val="00A52EE3"/>
    <w:rsid w:val="00A5322B"/>
    <w:rsid w:val="00A53258"/>
    <w:rsid w:val="00A532BC"/>
    <w:rsid w:val="00A53681"/>
    <w:rsid w:val="00A53E27"/>
    <w:rsid w:val="00A53E7E"/>
    <w:rsid w:val="00A54905"/>
    <w:rsid w:val="00A54FB8"/>
    <w:rsid w:val="00A5566F"/>
    <w:rsid w:val="00A5585B"/>
    <w:rsid w:val="00A55BA3"/>
    <w:rsid w:val="00A5617F"/>
    <w:rsid w:val="00A56755"/>
    <w:rsid w:val="00A5690D"/>
    <w:rsid w:val="00A56936"/>
    <w:rsid w:val="00A569C2"/>
    <w:rsid w:val="00A56A6F"/>
    <w:rsid w:val="00A56BD4"/>
    <w:rsid w:val="00A5780D"/>
    <w:rsid w:val="00A600CA"/>
    <w:rsid w:val="00A607F5"/>
    <w:rsid w:val="00A60A4C"/>
    <w:rsid w:val="00A60B3F"/>
    <w:rsid w:val="00A60CFE"/>
    <w:rsid w:val="00A60E08"/>
    <w:rsid w:val="00A60E83"/>
    <w:rsid w:val="00A6128A"/>
    <w:rsid w:val="00A615F0"/>
    <w:rsid w:val="00A61966"/>
    <w:rsid w:val="00A61AEB"/>
    <w:rsid w:val="00A625A3"/>
    <w:rsid w:val="00A628B3"/>
    <w:rsid w:val="00A629C3"/>
    <w:rsid w:val="00A63C1B"/>
    <w:rsid w:val="00A63F6F"/>
    <w:rsid w:val="00A641A3"/>
    <w:rsid w:val="00A642B3"/>
    <w:rsid w:val="00A6543B"/>
    <w:rsid w:val="00A65D07"/>
    <w:rsid w:val="00A65F2F"/>
    <w:rsid w:val="00A663B8"/>
    <w:rsid w:val="00A66EBB"/>
    <w:rsid w:val="00A6714E"/>
    <w:rsid w:val="00A672CC"/>
    <w:rsid w:val="00A6752B"/>
    <w:rsid w:val="00A6789C"/>
    <w:rsid w:val="00A67CE5"/>
    <w:rsid w:val="00A67EAE"/>
    <w:rsid w:val="00A70256"/>
    <w:rsid w:val="00A70540"/>
    <w:rsid w:val="00A70A02"/>
    <w:rsid w:val="00A7170A"/>
    <w:rsid w:val="00A71906"/>
    <w:rsid w:val="00A722F2"/>
    <w:rsid w:val="00A736B7"/>
    <w:rsid w:val="00A73806"/>
    <w:rsid w:val="00A73A36"/>
    <w:rsid w:val="00A73B82"/>
    <w:rsid w:val="00A74596"/>
    <w:rsid w:val="00A751F3"/>
    <w:rsid w:val="00A75F89"/>
    <w:rsid w:val="00A766A7"/>
    <w:rsid w:val="00A770A7"/>
    <w:rsid w:val="00A775DD"/>
    <w:rsid w:val="00A77EDB"/>
    <w:rsid w:val="00A8027A"/>
    <w:rsid w:val="00A80387"/>
    <w:rsid w:val="00A803CB"/>
    <w:rsid w:val="00A80891"/>
    <w:rsid w:val="00A81351"/>
    <w:rsid w:val="00A8212B"/>
    <w:rsid w:val="00A825C1"/>
    <w:rsid w:val="00A82983"/>
    <w:rsid w:val="00A82A33"/>
    <w:rsid w:val="00A82AA6"/>
    <w:rsid w:val="00A82C98"/>
    <w:rsid w:val="00A82CD1"/>
    <w:rsid w:val="00A839D3"/>
    <w:rsid w:val="00A84C76"/>
    <w:rsid w:val="00A85279"/>
    <w:rsid w:val="00A85528"/>
    <w:rsid w:val="00A855CC"/>
    <w:rsid w:val="00A85B6D"/>
    <w:rsid w:val="00A86A9B"/>
    <w:rsid w:val="00A8774B"/>
    <w:rsid w:val="00A878D4"/>
    <w:rsid w:val="00A903FD"/>
    <w:rsid w:val="00A90623"/>
    <w:rsid w:val="00A90D78"/>
    <w:rsid w:val="00A90EA3"/>
    <w:rsid w:val="00A90FC0"/>
    <w:rsid w:val="00A915BA"/>
    <w:rsid w:val="00A917A6"/>
    <w:rsid w:val="00A91AD8"/>
    <w:rsid w:val="00A92090"/>
    <w:rsid w:val="00A92309"/>
    <w:rsid w:val="00A924A7"/>
    <w:rsid w:val="00A926C1"/>
    <w:rsid w:val="00A92B53"/>
    <w:rsid w:val="00A92C2A"/>
    <w:rsid w:val="00A92DD4"/>
    <w:rsid w:val="00A93AA9"/>
    <w:rsid w:val="00A93AD2"/>
    <w:rsid w:val="00A94306"/>
    <w:rsid w:val="00A94896"/>
    <w:rsid w:val="00A94A84"/>
    <w:rsid w:val="00A952A6"/>
    <w:rsid w:val="00A9571C"/>
    <w:rsid w:val="00A95B15"/>
    <w:rsid w:val="00A95C17"/>
    <w:rsid w:val="00A95E6C"/>
    <w:rsid w:val="00A963FA"/>
    <w:rsid w:val="00A96660"/>
    <w:rsid w:val="00A96ABF"/>
    <w:rsid w:val="00A97514"/>
    <w:rsid w:val="00A97CD4"/>
    <w:rsid w:val="00AA0910"/>
    <w:rsid w:val="00AA0B56"/>
    <w:rsid w:val="00AA150C"/>
    <w:rsid w:val="00AA2D3C"/>
    <w:rsid w:val="00AA2EE7"/>
    <w:rsid w:val="00AA351F"/>
    <w:rsid w:val="00AA3605"/>
    <w:rsid w:val="00AA3A17"/>
    <w:rsid w:val="00AA3AD6"/>
    <w:rsid w:val="00AA3C81"/>
    <w:rsid w:val="00AA40C5"/>
    <w:rsid w:val="00AA444B"/>
    <w:rsid w:val="00AA492C"/>
    <w:rsid w:val="00AA4B41"/>
    <w:rsid w:val="00AA51AA"/>
    <w:rsid w:val="00AA572C"/>
    <w:rsid w:val="00AA7332"/>
    <w:rsid w:val="00AA7393"/>
    <w:rsid w:val="00AA740A"/>
    <w:rsid w:val="00AA7DB2"/>
    <w:rsid w:val="00AA7F0B"/>
    <w:rsid w:val="00AB07A1"/>
    <w:rsid w:val="00AB1407"/>
    <w:rsid w:val="00AB2990"/>
    <w:rsid w:val="00AB324D"/>
    <w:rsid w:val="00AB3D65"/>
    <w:rsid w:val="00AB3FCE"/>
    <w:rsid w:val="00AB466A"/>
    <w:rsid w:val="00AB46CE"/>
    <w:rsid w:val="00AB4C93"/>
    <w:rsid w:val="00AB6080"/>
    <w:rsid w:val="00AB6667"/>
    <w:rsid w:val="00AB668F"/>
    <w:rsid w:val="00AB6E41"/>
    <w:rsid w:val="00AB738E"/>
    <w:rsid w:val="00AB7F9B"/>
    <w:rsid w:val="00AC0381"/>
    <w:rsid w:val="00AC0E62"/>
    <w:rsid w:val="00AC1A94"/>
    <w:rsid w:val="00AC1F8D"/>
    <w:rsid w:val="00AC1FF4"/>
    <w:rsid w:val="00AC25B7"/>
    <w:rsid w:val="00AC29C6"/>
    <w:rsid w:val="00AC3072"/>
    <w:rsid w:val="00AC3213"/>
    <w:rsid w:val="00AC3AEA"/>
    <w:rsid w:val="00AC41CE"/>
    <w:rsid w:val="00AC48E5"/>
    <w:rsid w:val="00AC4EC3"/>
    <w:rsid w:val="00AC5391"/>
    <w:rsid w:val="00AC55B4"/>
    <w:rsid w:val="00AC58D5"/>
    <w:rsid w:val="00AC5DC4"/>
    <w:rsid w:val="00AC5DD4"/>
    <w:rsid w:val="00AC6402"/>
    <w:rsid w:val="00AC6F69"/>
    <w:rsid w:val="00AD022E"/>
    <w:rsid w:val="00AD0338"/>
    <w:rsid w:val="00AD0B3F"/>
    <w:rsid w:val="00AD0C22"/>
    <w:rsid w:val="00AD32B0"/>
    <w:rsid w:val="00AD363E"/>
    <w:rsid w:val="00AD3E90"/>
    <w:rsid w:val="00AD5E68"/>
    <w:rsid w:val="00AD688E"/>
    <w:rsid w:val="00AD7DA6"/>
    <w:rsid w:val="00AD7E2B"/>
    <w:rsid w:val="00AE0505"/>
    <w:rsid w:val="00AE0A41"/>
    <w:rsid w:val="00AE0DD8"/>
    <w:rsid w:val="00AE1291"/>
    <w:rsid w:val="00AE1790"/>
    <w:rsid w:val="00AE1CAF"/>
    <w:rsid w:val="00AE27C0"/>
    <w:rsid w:val="00AE35E8"/>
    <w:rsid w:val="00AE5582"/>
    <w:rsid w:val="00AE59ED"/>
    <w:rsid w:val="00AE607A"/>
    <w:rsid w:val="00AE644F"/>
    <w:rsid w:val="00AE69D3"/>
    <w:rsid w:val="00AE746E"/>
    <w:rsid w:val="00AE7614"/>
    <w:rsid w:val="00AE78F7"/>
    <w:rsid w:val="00AF023C"/>
    <w:rsid w:val="00AF03DD"/>
    <w:rsid w:val="00AF0A16"/>
    <w:rsid w:val="00AF0D80"/>
    <w:rsid w:val="00AF14F1"/>
    <w:rsid w:val="00AF1794"/>
    <w:rsid w:val="00AF21B7"/>
    <w:rsid w:val="00AF258E"/>
    <w:rsid w:val="00AF3263"/>
    <w:rsid w:val="00AF3962"/>
    <w:rsid w:val="00AF3B93"/>
    <w:rsid w:val="00AF41AE"/>
    <w:rsid w:val="00AF4CE8"/>
    <w:rsid w:val="00AF5664"/>
    <w:rsid w:val="00AF6358"/>
    <w:rsid w:val="00AF6AFC"/>
    <w:rsid w:val="00AF6FFF"/>
    <w:rsid w:val="00AF7961"/>
    <w:rsid w:val="00B000CD"/>
    <w:rsid w:val="00B00100"/>
    <w:rsid w:val="00B0019A"/>
    <w:rsid w:val="00B001D9"/>
    <w:rsid w:val="00B0031B"/>
    <w:rsid w:val="00B00A88"/>
    <w:rsid w:val="00B01A38"/>
    <w:rsid w:val="00B01E3A"/>
    <w:rsid w:val="00B020BD"/>
    <w:rsid w:val="00B027D8"/>
    <w:rsid w:val="00B02898"/>
    <w:rsid w:val="00B02C9B"/>
    <w:rsid w:val="00B02F57"/>
    <w:rsid w:val="00B034B5"/>
    <w:rsid w:val="00B03DD9"/>
    <w:rsid w:val="00B040F2"/>
    <w:rsid w:val="00B04A57"/>
    <w:rsid w:val="00B04D83"/>
    <w:rsid w:val="00B05ADE"/>
    <w:rsid w:val="00B06BF0"/>
    <w:rsid w:val="00B06DD3"/>
    <w:rsid w:val="00B06F6A"/>
    <w:rsid w:val="00B073E5"/>
    <w:rsid w:val="00B076B6"/>
    <w:rsid w:val="00B077BF"/>
    <w:rsid w:val="00B0785B"/>
    <w:rsid w:val="00B078E2"/>
    <w:rsid w:val="00B0793C"/>
    <w:rsid w:val="00B104E5"/>
    <w:rsid w:val="00B105E0"/>
    <w:rsid w:val="00B10EBF"/>
    <w:rsid w:val="00B110EC"/>
    <w:rsid w:val="00B112EC"/>
    <w:rsid w:val="00B11749"/>
    <w:rsid w:val="00B12551"/>
    <w:rsid w:val="00B1297D"/>
    <w:rsid w:val="00B12CCB"/>
    <w:rsid w:val="00B134CF"/>
    <w:rsid w:val="00B13AC9"/>
    <w:rsid w:val="00B13CE8"/>
    <w:rsid w:val="00B142BB"/>
    <w:rsid w:val="00B14733"/>
    <w:rsid w:val="00B1485D"/>
    <w:rsid w:val="00B14909"/>
    <w:rsid w:val="00B154C7"/>
    <w:rsid w:val="00B16072"/>
    <w:rsid w:val="00B1633A"/>
    <w:rsid w:val="00B167EF"/>
    <w:rsid w:val="00B173A7"/>
    <w:rsid w:val="00B1781B"/>
    <w:rsid w:val="00B20001"/>
    <w:rsid w:val="00B20550"/>
    <w:rsid w:val="00B215F3"/>
    <w:rsid w:val="00B21863"/>
    <w:rsid w:val="00B21DAC"/>
    <w:rsid w:val="00B22138"/>
    <w:rsid w:val="00B222D7"/>
    <w:rsid w:val="00B22887"/>
    <w:rsid w:val="00B229F0"/>
    <w:rsid w:val="00B2377C"/>
    <w:rsid w:val="00B239D2"/>
    <w:rsid w:val="00B23E61"/>
    <w:rsid w:val="00B23E6B"/>
    <w:rsid w:val="00B25010"/>
    <w:rsid w:val="00B251DE"/>
    <w:rsid w:val="00B2560B"/>
    <w:rsid w:val="00B2622C"/>
    <w:rsid w:val="00B262D1"/>
    <w:rsid w:val="00B2638A"/>
    <w:rsid w:val="00B26518"/>
    <w:rsid w:val="00B26576"/>
    <w:rsid w:val="00B274DD"/>
    <w:rsid w:val="00B27E58"/>
    <w:rsid w:val="00B27EF3"/>
    <w:rsid w:val="00B30304"/>
    <w:rsid w:val="00B3055C"/>
    <w:rsid w:val="00B30844"/>
    <w:rsid w:val="00B3097B"/>
    <w:rsid w:val="00B3100D"/>
    <w:rsid w:val="00B3113F"/>
    <w:rsid w:val="00B3155B"/>
    <w:rsid w:val="00B3188B"/>
    <w:rsid w:val="00B32504"/>
    <w:rsid w:val="00B3280B"/>
    <w:rsid w:val="00B3282A"/>
    <w:rsid w:val="00B32C20"/>
    <w:rsid w:val="00B32C2E"/>
    <w:rsid w:val="00B339B9"/>
    <w:rsid w:val="00B3406D"/>
    <w:rsid w:val="00B3410F"/>
    <w:rsid w:val="00B345EB"/>
    <w:rsid w:val="00B349DE"/>
    <w:rsid w:val="00B3504C"/>
    <w:rsid w:val="00B351B6"/>
    <w:rsid w:val="00B35884"/>
    <w:rsid w:val="00B364E8"/>
    <w:rsid w:val="00B3652A"/>
    <w:rsid w:val="00B36A2E"/>
    <w:rsid w:val="00B3709A"/>
    <w:rsid w:val="00B37524"/>
    <w:rsid w:val="00B37553"/>
    <w:rsid w:val="00B37BF0"/>
    <w:rsid w:val="00B37DB0"/>
    <w:rsid w:val="00B40BAE"/>
    <w:rsid w:val="00B418DE"/>
    <w:rsid w:val="00B42AA5"/>
    <w:rsid w:val="00B43010"/>
    <w:rsid w:val="00B43191"/>
    <w:rsid w:val="00B4444F"/>
    <w:rsid w:val="00B444DD"/>
    <w:rsid w:val="00B44683"/>
    <w:rsid w:val="00B4488B"/>
    <w:rsid w:val="00B4544C"/>
    <w:rsid w:val="00B45695"/>
    <w:rsid w:val="00B456D9"/>
    <w:rsid w:val="00B459B1"/>
    <w:rsid w:val="00B46CE8"/>
    <w:rsid w:val="00B47BE0"/>
    <w:rsid w:val="00B47CF1"/>
    <w:rsid w:val="00B511DF"/>
    <w:rsid w:val="00B514B1"/>
    <w:rsid w:val="00B53F15"/>
    <w:rsid w:val="00B54012"/>
    <w:rsid w:val="00B54083"/>
    <w:rsid w:val="00B54195"/>
    <w:rsid w:val="00B54287"/>
    <w:rsid w:val="00B5461E"/>
    <w:rsid w:val="00B5485B"/>
    <w:rsid w:val="00B5486A"/>
    <w:rsid w:val="00B54DDA"/>
    <w:rsid w:val="00B56B88"/>
    <w:rsid w:val="00B5772A"/>
    <w:rsid w:val="00B57850"/>
    <w:rsid w:val="00B607D2"/>
    <w:rsid w:val="00B60EA9"/>
    <w:rsid w:val="00B6108C"/>
    <w:rsid w:val="00B610DB"/>
    <w:rsid w:val="00B62B64"/>
    <w:rsid w:val="00B6355F"/>
    <w:rsid w:val="00B637F4"/>
    <w:rsid w:val="00B6432D"/>
    <w:rsid w:val="00B64481"/>
    <w:rsid w:val="00B65599"/>
    <w:rsid w:val="00B655E4"/>
    <w:rsid w:val="00B6561A"/>
    <w:rsid w:val="00B6576A"/>
    <w:rsid w:val="00B660B5"/>
    <w:rsid w:val="00B660EA"/>
    <w:rsid w:val="00B666A4"/>
    <w:rsid w:val="00B6676A"/>
    <w:rsid w:val="00B668CE"/>
    <w:rsid w:val="00B66A4E"/>
    <w:rsid w:val="00B66E36"/>
    <w:rsid w:val="00B700FF"/>
    <w:rsid w:val="00B70B30"/>
    <w:rsid w:val="00B70DE1"/>
    <w:rsid w:val="00B739B4"/>
    <w:rsid w:val="00B739E7"/>
    <w:rsid w:val="00B743BA"/>
    <w:rsid w:val="00B74AA5"/>
    <w:rsid w:val="00B75663"/>
    <w:rsid w:val="00B758C0"/>
    <w:rsid w:val="00B758F0"/>
    <w:rsid w:val="00B7648A"/>
    <w:rsid w:val="00B7710C"/>
    <w:rsid w:val="00B77B7F"/>
    <w:rsid w:val="00B800CF"/>
    <w:rsid w:val="00B801DA"/>
    <w:rsid w:val="00B8020B"/>
    <w:rsid w:val="00B80424"/>
    <w:rsid w:val="00B80426"/>
    <w:rsid w:val="00B81101"/>
    <w:rsid w:val="00B811B2"/>
    <w:rsid w:val="00B81680"/>
    <w:rsid w:val="00B8200C"/>
    <w:rsid w:val="00B82932"/>
    <w:rsid w:val="00B82D46"/>
    <w:rsid w:val="00B83828"/>
    <w:rsid w:val="00B84115"/>
    <w:rsid w:val="00B84149"/>
    <w:rsid w:val="00B845E1"/>
    <w:rsid w:val="00B8471E"/>
    <w:rsid w:val="00B84A6D"/>
    <w:rsid w:val="00B84B75"/>
    <w:rsid w:val="00B84FE0"/>
    <w:rsid w:val="00B85007"/>
    <w:rsid w:val="00B853F8"/>
    <w:rsid w:val="00B8553C"/>
    <w:rsid w:val="00B8570A"/>
    <w:rsid w:val="00B8659F"/>
    <w:rsid w:val="00B86AE2"/>
    <w:rsid w:val="00B87464"/>
    <w:rsid w:val="00B90306"/>
    <w:rsid w:val="00B907EF"/>
    <w:rsid w:val="00B91103"/>
    <w:rsid w:val="00B91CA9"/>
    <w:rsid w:val="00B92024"/>
    <w:rsid w:val="00B926C0"/>
    <w:rsid w:val="00B926E9"/>
    <w:rsid w:val="00B93B69"/>
    <w:rsid w:val="00B943A8"/>
    <w:rsid w:val="00B948C8"/>
    <w:rsid w:val="00B94EB9"/>
    <w:rsid w:val="00B95838"/>
    <w:rsid w:val="00B96022"/>
    <w:rsid w:val="00B96CAA"/>
    <w:rsid w:val="00B9716F"/>
    <w:rsid w:val="00B9764E"/>
    <w:rsid w:val="00B97FAA"/>
    <w:rsid w:val="00BA109E"/>
    <w:rsid w:val="00BA21B4"/>
    <w:rsid w:val="00BA2370"/>
    <w:rsid w:val="00BA2541"/>
    <w:rsid w:val="00BA3B96"/>
    <w:rsid w:val="00BA4180"/>
    <w:rsid w:val="00BA4AE4"/>
    <w:rsid w:val="00BA506D"/>
    <w:rsid w:val="00BA5430"/>
    <w:rsid w:val="00BA64D1"/>
    <w:rsid w:val="00BA67E3"/>
    <w:rsid w:val="00BA6E63"/>
    <w:rsid w:val="00BA7B98"/>
    <w:rsid w:val="00BB0196"/>
    <w:rsid w:val="00BB02B1"/>
    <w:rsid w:val="00BB0316"/>
    <w:rsid w:val="00BB041B"/>
    <w:rsid w:val="00BB1778"/>
    <w:rsid w:val="00BB1CE0"/>
    <w:rsid w:val="00BB1F2F"/>
    <w:rsid w:val="00BB2360"/>
    <w:rsid w:val="00BB25E3"/>
    <w:rsid w:val="00BB2758"/>
    <w:rsid w:val="00BB2ADF"/>
    <w:rsid w:val="00BB3C77"/>
    <w:rsid w:val="00BB41C1"/>
    <w:rsid w:val="00BB425E"/>
    <w:rsid w:val="00BB473F"/>
    <w:rsid w:val="00BB4A25"/>
    <w:rsid w:val="00BB4F50"/>
    <w:rsid w:val="00BB5243"/>
    <w:rsid w:val="00BB548A"/>
    <w:rsid w:val="00BB6208"/>
    <w:rsid w:val="00BB79BC"/>
    <w:rsid w:val="00BB7ADE"/>
    <w:rsid w:val="00BC08BB"/>
    <w:rsid w:val="00BC0988"/>
    <w:rsid w:val="00BC0A36"/>
    <w:rsid w:val="00BC0DA7"/>
    <w:rsid w:val="00BC1A29"/>
    <w:rsid w:val="00BC1E1F"/>
    <w:rsid w:val="00BC237F"/>
    <w:rsid w:val="00BC263F"/>
    <w:rsid w:val="00BC280F"/>
    <w:rsid w:val="00BC3845"/>
    <w:rsid w:val="00BC38F9"/>
    <w:rsid w:val="00BC4CDE"/>
    <w:rsid w:val="00BC572D"/>
    <w:rsid w:val="00BC67DA"/>
    <w:rsid w:val="00BC68AE"/>
    <w:rsid w:val="00BC6941"/>
    <w:rsid w:val="00BC716A"/>
    <w:rsid w:val="00BC71CC"/>
    <w:rsid w:val="00BC7303"/>
    <w:rsid w:val="00BC7574"/>
    <w:rsid w:val="00BC75D3"/>
    <w:rsid w:val="00BC7670"/>
    <w:rsid w:val="00BC78EE"/>
    <w:rsid w:val="00BC7F3F"/>
    <w:rsid w:val="00BD1356"/>
    <w:rsid w:val="00BD183F"/>
    <w:rsid w:val="00BD184D"/>
    <w:rsid w:val="00BD1E8B"/>
    <w:rsid w:val="00BD2091"/>
    <w:rsid w:val="00BD23B5"/>
    <w:rsid w:val="00BD26D7"/>
    <w:rsid w:val="00BD2C66"/>
    <w:rsid w:val="00BD3ECB"/>
    <w:rsid w:val="00BD438B"/>
    <w:rsid w:val="00BD447D"/>
    <w:rsid w:val="00BD48C6"/>
    <w:rsid w:val="00BD4A1F"/>
    <w:rsid w:val="00BD4C0F"/>
    <w:rsid w:val="00BD5F39"/>
    <w:rsid w:val="00BD62D9"/>
    <w:rsid w:val="00BD7C99"/>
    <w:rsid w:val="00BE07C2"/>
    <w:rsid w:val="00BE0C1C"/>
    <w:rsid w:val="00BE14D0"/>
    <w:rsid w:val="00BE1E17"/>
    <w:rsid w:val="00BE2F1B"/>
    <w:rsid w:val="00BE3D81"/>
    <w:rsid w:val="00BE4153"/>
    <w:rsid w:val="00BE41CF"/>
    <w:rsid w:val="00BE432B"/>
    <w:rsid w:val="00BE46B8"/>
    <w:rsid w:val="00BE5068"/>
    <w:rsid w:val="00BE529A"/>
    <w:rsid w:val="00BE5464"/>
    <w:rsid w:val="00BE58CA"/>
    <w:rsid w:val="00BE5A56"/>
    <w:rsid w:val="00BE6136"/>
    <w:rsid w:val="00BE696A"/>
    <w:rsid w:val="00BE6F85"/>
    <w:rsid w:val="00BE7335"/>
    <w:rsid w:val="00BE76B5"/>
    <w:rsid w:val="00BE7BEE"/>
    <w:rsid w:val="00BE7DDE"/>
    <w:rsid w:val="00BE7F15"/>
    <w:rsid w:val="00BF00B8"/>
    <w:rsid w:val="00BF0EF3"/>
    <w:rsid w:val="00BF1038"/>
    <w:rsid w:val="00BF1510"/>
    <w:rsid w:val="00BF1686"/>
    <w:rsid w:val="00BF1B4E"/>
    <w:rsid w:val="00BF2160"/>
    <w:rsid w:val="00BF21F3"/>
    <w:rsid w:val="00BF2453"/>
    <w:rsid w:val="00BF26DB"/>
    <w:rsid w:val="00BF2809"/>
    <w:rsid w:val="00BF2D10"/>
    <w:rsid w:val="00BF2D35"/>
    <w:rsid w:val="00BF2F1E"/>
    <w:rsid w:val="00BF310E"/>
    <w:rsid w:val="00BF3924"/>
    <w:rsid w:val="00BF3AAD"/>
    <w:rsid w:val="00BF3E4F"/>
    <w:rsid w:val="00BF40BF"/>
    <w:rsid w:val="00BF453B"/>
    <w:rsid w:val="00BF4727"/>
    <w:rsid w:val="00BF491E"/>
    <w:rsid w:val="00BF6972"/>
    <w:rsid w:val="00BF6A59"/>
    <w:rsid w:val="00BF6F20"/>
    <w:rsid w:val="00BF7EE5"/>
    <w:rsid w:val="00C0045F"/>
    <w:rsid w:val="00C0058A"/>
    <w:rsid w:val="00C00647"/>
    <w:rsid w:val="00C00663"/>
    <w:rsid w:val="00C00881"/>
    <w:rsid w:val="00C009B4"/>
    <w:rsid w:val="00C019F8"/>
    <w:rsid w:val="00C01AB9"/>
    <w:rsid w:val="00C01DD1"/>
    <w:rsid w:val="00C01FD5"/>
    <w:rsid w:val="00C028B5"/>
    <w:rsid w:val="00C040AC"/>
    <w:rsid w:val="00C043D2"/>
    <w:rsid w:val="00C04F88"/>
    <w:rsid w:val="00C05434"/>
    <w:rsid w:val="00C05D2A"/>
    <w:rsid w:val="00C05EB2"/>
    <w:rsid w:val="00C06202"/>
    <w:rsid w:val="00C06ABE"/>
    <w:rsid w:val="00C0744D"/>
    <w:rsid w:val="00C07536"/>
    <w:rsid w:val="00C07FC0"/>
    <w:rsid w:val="00C103FA"/>
    <w:rsid w:val="00C11A4F"/>
    <w:rsid w:val="00C11C7A"/>
    <w:rsid w:val="00C12228"/>
    <w:rsid w:val="00C12B1C"/>
    <w:rsid w:val="00C12D1F"/>
    <w:rsid w:val="00C130BD"/>
    <w:rsid w:val="00C14065"/>
    <w:rsid w:val="00C148D6"/>
    <w:rsid w:val="00C14EF3"/>
    <w:rsid w:val="00C1620C"/>
    <w:rsid w:val="00C16477"/>
    <w:rsid w:val="00C164D4"/>
    <w:rsid w:val="00C17FA7"/>
    <w:rsid w:val="00C200F1"/>
    <w:rsid w:val="00C20C13"/>
    <w:rsid w:val="00C20D26"/>
    <w:rsid w:val="00C217D8"/>
    <w:rsid w:val="00C219D7"/>
    <w:rsid w:val="00C21F3C"/>
    <w:rsid w:val="00C22030"/>
    <w:rsid w:val="00C226D9"/>
    <w:rsid w:val="00C22D94"/>
    <w:rsid w:val="00C23200"/>
    <w:rsid w:val="00C23FB8"/>
    <w:rsid w:val="00C24E96"/>
    <w:rsid w:val="00C25222"/>
    <w:rsid w:val="00C252B9"/>
    <w:rsid w:val="00C25B36"/>
    <w:rsid w:val="00C262AD"/>
    <w:rsid w:val="00C263E2"/>
    <w:rsid w:val="00C268AA"/>
    <w:rsid w:val="00C274F2"/>
    <w:rsid w:val="00C27B9E"/>
    <w:rsid w:val="00C27C90"/>
    <w:rsid w:val="00C303A7"/>
    <w:rsid w:val="00C30816"/>
    <w:rsid w:val="00C31076"/>
    <w:rsid w:val="00C3110B"/>
    <w:rsid w:val="00C31465"/>
    <w:rsid w:val="00C31BF3"/>
    <w:rsid w:val="00C32E6B"/>
    <w:rsid w:val="00C33396"/>
    <w:rsid w:val="00C33668"/>
    <w:rsid w:val="00C3487C"/>
    <w:rsid w:val="00C34BEB"/>
    <w:rsid w:val="00C34DA4"/>
    <w:rsid w:val="00C35086"/>
    <w:rsid w:val="00C3530A"/>
    <w:rsid w:val="00C3533C"/>
    <w:rsid w:val="00C35B2C"/>
    <w:rsid w:val="00C367BD"/>
    <w:rsid w:val="00C367C5"/>
    <w:rsid w:val="00C3681B"/>
    <w:rsid w:val="00C37241"/>
    <w:rsid w:val="00C373B6"/>
    <w:rsid w:val="00C37835"/>
    <w:rsid w:val="00C407C0"/>
    <w:rsid w:val="00C40E08"/>
    <w:rsid w:val="00C414D9"/>
    <w:rsid w:val="00C41607"/>
    <w:rsid w:val="00C428E4"/>
    <w:rsid w:val="00C42C03"/>
    <w:rsid w:val="00C434FE"/>
    <w:rsid w:val="00C4360C"/>
    <w:rsid w:val="00C438F1"/>
    <w:rsid w:val="00C43A29"/>
    <w:rsid w:val="00C43F71"/>
    <w:rsid w:val="00C45579"/>
    <w:rsid w:val="00C46236"/>
    <w:rsid w:val="00C464C4"/>
    <w:rsid w:val="00C467D7"/>
    <w:rsid w:val="00C47654"/>
    <w:rsid w:val="00C47B68"/>
    <w:rsid w:val="00C47CFC"/>
    <w:rsid w:val="00C47F95"/>
    <w:rsid w:val="00C50128"/>
    <w:rsid w:val="00C51512"/>
    <w:rsid w:val="00C515EA"/>
    <w:rsid w:val="00C518FB"/>
    <w:rsid w:val="00C5191E"/>
    <w:rsid w:val="00C5301C"/>
    <w:rsid w:val="00C5366D"/>
    <w:rsid w:val="00C538F6"/>
    <w:rsid w:val="00C541DF"/>
    <w:rsid w:val="00C544A1"/>
    <w:rsid w:val="00C5468C"/>
    <w:rsid w:val="00C5478C"/>
    <w:rsid w:val="00C54922"/>
    <w:rsid w:val="00C54967"/>
    <w:rsid w:val="00C54C59"/>
    <w:rsid w:val="00C54C7C"/>
    <w:rsid w:val="00C54CDA"/>
    <w:rsid w:val="00C55002"/>
    <w:rsid w:val="00C55AF3"/>
    <w:rsid w:val="00C55FB2"/>
    <w:rsid w:val="00C560F7"/>
    <w:rsid w:val="00C567A7"/>
    <w:rsid w:val="00C56B9A"/>
    <w:rsid w:val="00C57232"/>
    <w:rsid w:val="00C57F3A"/>
    <w:rsid w:val="00C615B3"/>
    <w:rsid w:val="00C62041"/>
    <w:rsid w:val="00C62129"/>
    <w:rsid w:val="00C6257C"/>
    <w:rsid w:val="00C62AC9"/>
    <w:rsid w:val="00C63109"/>
    <w:rsid w:val="00C631C9"/>
    <w:rsid w:val="00C6356E"/>
    <w:rsid w:val="00C63FB2"/>
    <w:rsid w:val="00C64697"/>
    <w:rsid w:val="00C648C5"/>
    <w:rsid w:val="00C64B68"/>
    <w:rsid w:val="00C654D8"/>
    <w:rsid w:val="00C659C1"/>
    <w:rsid w:val="00C66495"/>
    <w:rsid w:val="00C66EC8"/>
    <w:rsid w:val="00C66F50"/>
    <w:rsid w:val="00C70C52"/>
    <w:rsid w:val="00C71169"/>
    <w:rsid w:val="00C71806"/>
    <w:rsid w:val="00C71E10"/>
    <w:rsid w:val="00C72350"/>
    <w:rsid w:val="00C733E4"/>
    <w:rsid w:val="00C734FA"/>
    <w:rsid w:val="00C73B4F"/>
    <w:rsid w:val="00C7454F"/>
    <w:rsid w:val="00C7469E"/>
    <w:rsid w:val="00C748A7"/>
    <w:rsid w:val="00C749E5"/>
    <w:rsid w:val="00C75B52"/>
    <w:rsid w:val="00C760CC"/>
    <w:rsid w:val="00C76203"/>
    <w:rsid w:val="00C764A5"/>
    <w:rsid w:val="00C76C1C"/>
    <w:rsid w:val="00C7748A"/>
    <w:rsid w:val="00C77AA9"/>
    <w:rsid w:val="00C77C88"/>
    <w:rsid w:val="00C802DF"/>
    <w:rsid w:val="00C8033D"/>
    <w:rsid w:val="00C804BE"/>
    <w:rsid w:val="00C8088E"/>
    <w:rsid w:val="00C80B16"/>
    <w:rsid w:val="00C813CA"/>
    <w:rsid w:val="00C82C92"/>
    <w:rsid w:val="00C83CF5"/>
    <w:rsid w:val="00C83EA7"/>
    <w:rsid w:val="00C83FB0"/>
    <w:rsid w:val="00C83FEA"/>
    <w:rsid w:val="00C84667"/>
    <w:rsid w:val="00C84A19"/>
    <w:rsid w:val="00C85605"/>
    <w:rsid w:val="00C858C2"/>
    <w:rsid w:val="00C867F9"/>
    <w:rsid w:val="00C8688F"/>
    <w:rsid w:val="00C87D16"/>
    <w:rsid w:val="00C905ED"/>
    <w:rsid w:val="00C91818"/>
    <w:rsid w:val="00C91DFD"/>
    <w:rsid w:val="00C9286E"/>
    <w:rsid w:val="00C92C78"/>
    <w:rsid w:val="00C93212"/>
    <w:rsid w:val="00C93D48"/>
    <w:rsid w:val="00C94B68"/>
    <w:rsid w:val="00C94C55"/>
    <w:rsid w:val="00C94E90"/>
    <w:rsid w:val="00C95272"/>
    <w:rsid w:val="00C955B0"/>
    <w:rsid w:val="00C95CE5"/>
    <w:rsid w:val="00C9644B"/>
    <w:rsid w:val="00C96476"/>
    <w:rsid w:val="00C96B9A"/>
    <w:rsid w:val="00C97173"/>
    <w:rsid w:val="00C9758A"/>
    <w:rsid w:val="00C97A2C"/>
    <w:rsid w:val="00C97AE4"/>
    <w:rsid w:val="00C97BD9"/>
    <w:rsid w:val="00C97D19"/>
    <w:rsid w:val="00CA0286"/>
    <w:rsid w:val="00CA0E46"/>
    <w:rsid w:val="00CA14F8"/>
    <w:rsid w:val="00CA1EF5"/>
    <w:rsid w:val="00CA2382"/>
    <w:rsid w:val="00CA2B51"/>
    <w:rsid w:val="00CA2F77"/>
    <w:rsid w:val="00CA34B7"/>
    <w:rsid w:val="00CA3651"/>
    <w:rsid w:val="00CA36F1"/>
    <w:rsid w:val="00CA38E6"/>
    <w:rsid w:val="00CA3CFD"/>
    <w:rsid w:val="00CA441D"/>
    <w:rsid w:val="00CA48D0"/>
    <w:rsid w:val="00CA4B87"/>
    <w:rsid w:val="00CA4C36"/>
    <w:rsid w:val="00CA5244"/>
    <w:rsid w:val="00CA552A"/>
    <w:rsid w:val="00CA563C"/>
    <w:rsid w:val="00CA61AF"/>
    <w:rsid w:val="00CA65B5"/>
    <w:rsid w:val="00CA6C71"/>
    <w:rsid w:val="00CA70EA"/>
    <w:rsid w:val="00CA75F2"/>
    <w:rsid w:val="00CA7B28"/>
    <w:rsid w:val="00CA7FAC"/>
    <w:rsid w:val="00CB0A0F"/>
    <w:rsid w:val="00CB0C11"/>
    <w:rsid w:val="00CB0DD9"/>
    <w:rsid w:val="00CB1640"/>
    <w:rsid w:val="00CB1C1F"/>
    <w:rsid w:val="00CB284C"/>
    <w:rsid w:val="00CB33CD"/>
    <w:rsid w:val="00CB33E2"/>
    <w:rsid w:val="00CB3A52"/>
    <w:rsid w:val="00CB3B6E"/>
    <w:rsid w:val="00CB3BF4"/>
    <w:rsid w:val="00CB460C"/>
    <w:rsid w:val="00CB4C25"/>
    <w:rsid w:val="00CB55A4"/>
    <w:rsid w:val="00CB58ED"/>
    <w:rsid w:val="00CB59D8"/>
    <w:rsid w:val="00CB5CF8"/>
    <w:rsid w:val="00CB6F87"/>
    <w:rsid w:val="00CB7462"/>
    <w:rsid w:val="00CB754C"/>
    <w:rsid w:val="00CB79CC"/>
    <w:rsid w:val="00CC0586"/>
    <w:rsid w:val="00CC1405"/>
    <w:rsid w:val="00CC1745"/>
    <w:rsid w:val="00CC17BD"/>
    <w:rsid w:val="00CC1B08"/>
    <w:rsid w:val="00CC1E1B"/>
    <w:rsid w:val="00CC2519"/>
    <w:rsid w:val="00CC265D"/>
    <w:rsid w:val="00CC2697"/>
    <w:rsid w:val="00CC345C"/>
    <w:rsid w:val="00CC4054"/>
    <w:rsid w:val="00CC4FD2"/>
    <w:rsid w:val="00CC50C2"/>
    <w:rsid w:val="00CC54BE"/>
    <w:rsid w:val="00CC6471"/>
    <w:rsid w:val="00CC686A"/>
    <w:rsid w:val="00CC74D0"/>
    <w:rsid w:val="00CC786C"/>
    <w:rsid w:val="00CC7C7B"/>
    <w:rsid w:val="00CD0986"/>
    <w:rsid w:val="00CD0C1A"/>
    <w:rsid w:val="00CD1F7E"/>
    <w:rsid w:val="00CD288C"/>
    <w:rsid w:val="00CD297C"/>
    <w:rsid w:val="00CD2CD4"/>
    <w:rsid w:val="00CD2E8D"/>
    <w:rsid w:val="00CD3209"/>
    <w:rsid w:val="00CD3B30"/>
    <w:rsid w:val="00CD3C1D"/>
    <w:rsid w:val="00CD3C57"/>
    <w:rsid w:val="00CD4BCE"/>
    <w:rsid w:val="00CD4FEB"/>
    <w:rsid w:val="00CD50B2"/>
    <w:rsid w:val="00CD5903"/>
    <w:rsid w:val="00CD592A"/>
    <w:rsid w:val="00CD5E17"/>
    <w:rsid w:val="00CD5EB3"/>
    <w:rsid w:val="00CD5EEE"/>
    <w:rsid w:val="00CD6298"/>
    <w:rsid w:val="00CD6E4E"/>
    <w:rsid w:val="00CD7194"/>
    <w:rsid w:val="00CD7A66"/>
    <w:rsid w:val="00CD7BA6"/>
    <w:rsid w:val="00CE085D"/>
    <w:rsid w:val="00CE14F4"/>
    <w:rsid w:val="00CE1582"/>
    <w:rsid w:val="00CE16F1"/>
    <w:rsid w:val="00CE1781"/>
    <w:rsid w:val="00CE1AC4"/>
    <w:rsid w:val="00CE1C1D"/>
    <w:rsid w:val="00CE2B49"/>
    <w:rsid w:val="00CE2BA6"/>
    <w:rsid w:val="00CE2DDE"/>
    <w:rsid w:val="00CE2EE4"/>
    <w:rsid w:val="00CE3E08"/>
    <w:rsid w:val="00CE4230"/>
    <w:rsid w:val="00CE4663"/>
    <w:rsid w:val="00CE48F4"/>
    <w:rsid w:val="00CE49B5"/>
    <w:rsid w:val="00CE4A9F"/>
    <w:rsid w:val="00CE4AC0"/>
    <w:rsid w:val="00CE4E1F"/>
    <w:rsid w:val="00CE635E"/>
    <w:rsid w:val="00CE670A"/>
    <w:rsid w:val="00CE6782"/>
    <w:rsid w:val="00CE703D"/>
    <w:rsid w:val="00CF0050"/>
    <w:rsid w:val="00CF095E"/>
    <w:rsid w:val="00CF0ED1"/>
    <w:rsid w:val="00CF137B"/>
    <w:rsid w:val="00CF202D"/>
    <w:rsid w:val="00CF23C4"/>
    <w:rsid w:val="00CF2634"/>
    <w:rsid w:val="00CF2B19"/>
    <w:rsid w:val="00CF3C00"/>
    <w:rsid w:val="00CF4311"/>
    <w:rsid w:val="00CF4B1B"/>
    <w:rsid w:val="00CF4FDA"/>
    <w:rsid w:val="00CF596A"/>
    <w:rsid w:val="00CF6030"/>
    <w:rsid w:val="00CF764C"/>
    <w:rsid w:val="00CF7B19"/>
    <w:rsid w:val="00CF7F76"/>
    <w:rsid w:val="00D001F1"/>
    <w:rsid w:val="00D00FEF"/>
    <w:rsid w:val="00D01088"/>
    <w:rsid w:val="00D014C8"/>
    <w:rsid w:val="00D01D00"/>
    <w:rsid w:val="00D01E9C"/>
    <w:rsid w:val="00D0219C"/>
    <w:rsid w:val="00D021A3"/>
    <w:rsid w:val="00D02660"/>
    <w:rsid w:val="00D02AE4"/>
    <w:rsid w:val="00D036ED"/>
    <w:rsid w:val="00D036F4"/>
    <w:rsid w:val="00D03E6F"/>
    <w:rsid w:val="00D049B8"/>
    <w:rsid w:val="00D05B2A"/>
    <w:rsid w:val="00D05C36"/>
    <w:rsid w:val="00D05C3F"/>
    <w:rsid w:val="00D05FF4"/>
    <w:rsid w:val="00D061E3"/>
    <w:rsid w:val="00D062C1"/>
    <w:rsid w:val="00D07650"/>
    <w:rsid w:val="00D076BF"/>
    <w:rsid w:val="00D077ED"/>
    <w:rsid w:val="00D10186"/>
    <w:rsid w:val="00D10B7A"/>
    <w:rsid w:val="00D10E02"/>
    <w:rsid w:val="00D118BE"/>
    <w:rsid w:val="00D11F49"/>
    <w:rsid w:val="00D120B4"/>
    <w:rsid w:val="00D12B00"/>
    <w:rsid w:val="00D12FCC"/>
    <w:rsid w:val="00D133E6"/>
    <w:rsid w:val="00D134A3"/>
    <w:rsid w:val="00D13673"/>
    <w:rsid w:val="00D13B2C"/>
    <w:rsid w:val="00D13E14"/>
    <w:rsid w:val="00D15AC5"/>
    <w:rsid w:val="00D15BBA"/>
    <w:rsid w:val="00D167D6"/>
    <w:rsid w:val="00D1731B"/>
    <w:rsid w:val="00D17EFC"/>
    <w:rsid w:val="00D17EFF"/>
    <w:rsid w:val="00D20598"/>
    <w:rsid w:val="00D208F1"/>
    <w:rsid w:val="00D20E18"/>
    <w:rsid w:val="00D21F0D"/>
    <w:rsid w:val="00D22093"/>
    <w:rsid w:val="00D222BB"/>
    <w:rsid w:val="00D225D0"/>
    <w:rsid w:val="00D22C64"/>
    <w:rsid w:val="00D23290"/>
    <w:rsid w:val="00D244B3"/>
    <w:rsid w:val="00D257EA"/>
    <w:rsid w:val="00D25B73"/>
    <w:rsid w:val="00D2649C"/>
    <w:rsid w:val="00D304C7"/>
    <w:rsid w:val="00D30643"/>
    <w:rsid w:val="00D31350"/>
    <w:rsid w:val="00D318B9"/>
    <w:rsid w:val="00D33615"/>
    <w:rsid w:val="00D33621"/>
    <w:rsid w:val="00D33CCC"/>
    <w:rsid w:val="00D34134"/>
    <w:rsid w:val="00D3494A"/>
    <w:rsid w:val="00D34C8D"/>
    <w:rsid w:val="00D351E3"/>
    <w:rsid w:val="00D3563C"/>
    <w:rsid w:val="00D361B0"/>
    <w:rsid w:val="00D369A3"/>
    <w:rsid w:val="00D36A29"/>
    <w:rsid w:val="00D36D60"/>
    <w:rsid w:val="00D374CA"/>
    <w:rsid w:val="00D375FE"/>
    <w:rsid w:val="00D40069"/>
    <w:rsid w:val="00D40A2F"/>
    <w:rsid w:val="00D40C5B"/>
    <w:rsid w:val="00D41D21"/>
    <w:rsid w:val="00D41F02"/>
    <w:rsid w:val="00D41FEC"/>
    <w:rsid w:val="00D42130"/>
    <w:rsid w:val="00D42196"/>
    <w:rsid w:val="00D424E2"/>
    <w:rsid w:val="00D42691"/>
    <w:rsid w:val="00D426E8"/>
    <w:rsid w:val="00D42791"/>
    <w:rsid w:val="00D43846"/>
    <w:rsid w:val="00D44676"/>
    <w:rsid w:val="00D4503D"/>
    <w:rsid w:val="00D4695F"/>
    <w:rsid w:val="00D46F81"/>
    <w:rsid w:val="00D47362"/>
    <w:rsid w:val="00D47568"/>
    <w:rsid w:val="00D47B9D"/>
    <w:rsid w:val="00D47DD8"/>
    <w:rsid w:val="00D47DD9"/>
    <w:rsid w:val="00D502D5"/>
    <w:rsid w:val="00D50840"/>
    <w:rsid w:val="00D51BCF"/>
    <w:rsid w:val="00D51DD9"/>
    <w:rsid w:val="00D52050"/>
    <w:rsid w:val="00D52330"/>
    <w:rsid w:val="00D52D1E"/>
    <w:rsid w:val="00D5360C"/>
    <w:rsid w:val="00D53A6C"/>
    <w:rsid w:val="00D548F2"/>
    <w:rsid w:val="00D54B86"/>
    <w:rsid w:val="00D55ADA"/>
    <w:rsid w:val="00D56421"/>
    <w:rsid w:val="00D56EB9"/>
    <w:rsid w:val="00D57550"/>
    <w:rsid w:val="00D5776E"/>
    <w:rsid w:val="00D60717"/>
    <w:rsid w:val="00D6109B"/>
    <w:rsid w:val="00D610B4"/>
    <w:rsid w:val="00D6119D"/>
    <w:rsid w:val="00D61A97"/>
    <w:rsid w:val="00D61CAA"/>
    <w:rsid w:val="00D627FB"/>
    <w:rsid w:val="00D62842"/>
    <w:rsid w:val="00D62BE6"/>
    <w:rsid w:val="00D6310A"/>
    <w:rsid w:val="00D63143"/>
    <w:rsid w:val="00D636DA"/>
    <w:rsid w:val="00D63C65"/>
    <w:rsid w:val="00D642D7"/>
    <w:rsid w:val="00D64329"/>
    <w:rsid w:val="00D64496"/>
    <w:rsid w:val="00D647FF"/>
    <w:rsid w:val="00D648E7"/>
    <w:rsid w:val="00D6494A"/>
    <w:rsid w:val="00D64BAB"/>
    <w:rsid w:val="00D66557"/>
    <w:rsid w:val="00D66F42"/>
    <w:rsid w:val="00D6722C"/>
    <w:rsid w:val="00D67CCA"/>
    <w:rsid w:val="00D67D06"/>
    <w:rsid w:val="00D702D1"/>
    <w:rsid w:val="00D7041F"/>
    <w:rsid w:val="00D709F3"/>
    <w:rsid w:val="00D716AF"/>
    <w:rsid w:val="00D7193E"/>
    <w:rsid w:val="00D71ADD"/>
    <w:rsid w:val="00D71EC3"/>
    <w:rsid w:val="00D72667"/>
    <w:rsid w:val="00D72A3E"/>
    <w:rsid w:val="00D72F02"/>
    <w:rsid w:val="00D72FE6"/>
    <w:rsid w:val="00D732A6"/>
    <w:rsid w:val="00D73B6F"/>
    <w:rsid w:val="00D73B97"/>
    <w:rsid w:val="00D748AE"/>
    <w:rsid w:val="00D74DBA"/>
    <w:rsid w:val="00D74F6E"/>
    <w:rsid w:val="00D750F6"/>
    <w:rsid w:val="00D768EA"/>
    <w:rsid w:val="00D7692E"/>
    <w:rsid w:val="00D76D10"/>
    <w:rsid w:val="00D77408"/>
    <w:rsid w:val="00D77751"/>
    <w:rsid w:val="00D803B0"/>
    <w:rsid w:val="00D81114"/>
    <w:rsid w:val="00D82DEF"/>
    <w:rsid w:val="00D83363"/>
    <w:rsid w:val="00D83594"/>
    <w:rsid w:val="00D83823"/>
    <w:rsid w:val="00D83C0A"/>
    <w:rsid w:val="00D843A2"/>
    <w:rsid w:val="00D84A2A"/>
    <w:rsid w:val="00D85202"/>
    <w:rsid w:val="00D854D4"/>
    <w:rsid w:val="00D85C96"/>
    <w:rsid w:val="00D85D47"/>
    <w:rsid w:val="00D86257"/>
    <w:rsid w:val="00D864F8"/>
    <w:rsid w:val="00D86938"/>
    <w:rsid w:val="00D8694E"/>
    <w:rsid w:val="00D8699F"/>
    <w:rsid w:val="00D86A02"/>
    <w:rsid w:val="00D86B8C"/>
    <w:rsid w:val="00D87215"/>
    <w:rsid w:val="00D87DA2"/>
    <w:rsid w:val="00D90459"/>
    <w:rsid w:val="00D9070F"/>
    <w:rsid w:val="00D907E5"/>
    <w:rsid w:val="00D90B63"/>
    <w:rsid w:val="00D90D0B"/>
    <w:rsid w:val="00D91B65"/>
    <w:rsid w:val="00D92153"/>
    <w:rsid w:val="00D92175"/>
    <w:rsid w:val="00D926DE"/>
    <w:rsid w:val="00D9357B"/>
    <w:rsid w:val="00D93BAA"/>
    <w:rsid w:val="00D94506"/>
    <w:rsid w:val="00D94A4E"/>
    <w:rsid w:val="00D953FC"/>
    <w:rsid w:val="00D95405"/>
    <w:rsid w:val="00D95439"/>
    <w:rsid w:val="00D95FAD"/>
    <w:rsid w:val="00D96A63"/>
    <w:rsid w:val="00D973E8"/>
    <w:rsid w:val="00DA062B"/>
    <w:rsid w:val="00DA0C28"/>
    <w:rsid w:val="00DA1538"/>
    <w:rsid w:val="00DA20BA"/>
    <w:rsid w:val="00DA2A0C"/>
    <w:rsid w:val="00DA3619"/>
    <w:rsid w:val="00DA3DC4"/>
    <w:rsid w:val="00DA4259"/>
    <w:rsid w:val="00DA4279"/>
    <w:rsid w:val="00DA438D"/>
    <w:rsid w:val="00DA43CE"/>
    <w:rsid w:val="00DA4493"/>
    <w:rsid w:val="00DA475F"/>
    <w:rsid w:val="00DA49B2"/>
    <w:rsid w:val="00DA5806"/>
    <w:rsid w:val="00DA5908"/>
    <w:rsid w:val="00DA597B"/>
    <w:rsid w:val="00DA5FFE"/>
    <w:rsid w:val="00DA6A9C"/>
    <w:rsid w:val="00DA6C2E"/>
    <w:rsid w:val="00DA7309"/>
    <w:rsid w:val="00DA7610"/>
    <w:rsid w:val="00DA77C2"/>
    <w:rsid w:val="00DB05AF"/>
    <w:rsid w:val="00DB09ED"/>
    <w:rsid w:val="00DB0AA2"/>
    <w:rsid w:val="00DB1948"/>
    <w:rsid w:val="00DB2180"/>
    <w:rsid w:val="00DB2225"/>
    <w:rsid w:val="00DB2A98"/>
    <w:rsid w:val="00DB3712"/>
    <w:rsid w:val="00DB445C"/>
    <w:rsid w:val="00DB4856"/>
    <w:rsid w:val="00DB5605"/>
    <w:rsid w:val="00DB5935"/>
    <w:rsid w:val="00DB62E9"/>
    <w:rsid w:val="00DB659C"/>
    <w:rsid w:val="00DB6BA1"/>
    <w:rsid w:val="00DB7121"/>
    <w:rsid w:val="00DB7166"/>
    <w:rsid w:val="00DB71D0"/>
    <w:rsid w:val="00DB737D"/>
    <w:rsid w:val="00DB7E7B"/>
    <w:rsid w:val="00DC05B8"/>
    <w:rsid w:val="00DC0B5A"/>
    <w:rsid w:val="00DC163D"/>
    <w:rsid w:val="00DC1AA4"/>
    <w:rsid w:val="00DC204D"/>
    <w:rsid w:val="00DC2F8F"/>
    <w:rsid w:val="00DC3327"/>
    <w:rsid w:val="00DC353E"/>
    <w:rsid w:val="00DC365F"/>
    <w:rsid w:val="00DC3978"/>
    <w:rsid w:val="00DC3983"/>
    <w:rsid w:val="00DC4184"/>
    <w:rsid w:val="00DC44B9"/>
    <w:rsid w:val="00DC4B01"/>
    <w:rsid w:val="00DC4CF1"/>
    <w:rsid w:val="00DC4E30"/>
    <w:rsid w:val="00DC5300"/>
    <w:rsid w:val="00DC62FD"/>
    <w:rsid w:val="00DC67E7"/>
    <w:rsid w:val="00DC68F8"/>
    <w:rsid w:val="00DC69AD"/>
    <w:rsid w:val="00DC753C"/>
    <w:rsid w:val="00DC7C35"/>
    <w:rsid w:val="00DD0B43"/>
    <w:rsid w:val="00DD0D17"/>
    <w:rsid w:val="00DD0E75"/>
    <w:rsid w:val="00DD0EF0"/>
    <w:rsid w:val="00DD1130"/>
    <w:rsid w:val="00DD15B4"/>
    <w:rsid w:val="00DD1978"/>
    <w:rsid w:val="00DD1EF8"/>
    <w:rsid w:val="00DD2300"/>
    <w:rsid w:val="00DD2BA0"/>
    <w:rsid w:val="00DD2CFE"/>
    <w:rsid w:val="00DD3D15"/>
    <w:rsid w:val="00DD4BD7"/>
    <w:rsid w:val="00DD55F4"/>
    <w:rsid w:val="00DD586C"/>
    <w:rsid w:val="00DD607A"/>
    <w:rsid w:val="00DD6602"/>
    <w:rsid w:val="00DD6809"/>
    <w:rsid w:val="00DD6AD4"/>
    <w:rsid w:val="00DD6C35"/>
    <w:rsid w:val="00DD6E0F"/>
    <w:rsid w:val="00DE0140"/>
    <w:rsid w:val="00DE04CB"/>
    <w:rsid w:val="00DE08CA"/>
    <w:rsid w:val="00DE1DFF"/>
    <w:rsid w:val="00DE26D4"/>
    <w:rsid w:val="00DE283E"/>
    <w:rsid w:val="00DE2A97"/>
    <w:rsid w:val="00DE2F43"/>
    <w:rsid w:val="00DE3429"/>
    <w:rsid w:val="00DE3666"/>
    <w:rsid w:val="00DE3B04"/>
    <w:rsid w:val="00DE3B28"/>
    <w:rsid w:val="00DE3E1D"/>
    <w:rsid w:val="00DE49EF"/>
    <w:rsid w:val="00DE49F3"/>
    <w:rsid w:val="00DE4AA7"/>
    <w:rsid w:val="00DE540F"/>
    <w:rsid w:val="00DE567C"/>
    <w:rsid w:val="00DE5B25"/>
    <w:rsid w:val="00DE5E68"/>
    <w:rsid w:val="00DE66A6"/>
    <w:rsid w:val="00DE66D5"/>
    <w:rsid w:val="00DE7212"/>
    <w:rsid w:val="00DE73EB"/>
    <w:rsid w:val="00DE792F"/>
    <w:rsid w:val="00DE7F23"/>
    <w:rsid w:val="00DF0251"/>
    <w:rsid w:val="00DF0ED4"/>
    <w:rsid w:val="00DF126D"/>
    <w:rsid w:val="00DF1775"/>
    <w:rsid w:val="00DF1F63"/>
    <w:rsid w:val="00DF21F8"/>
    <w:rsid w:val="00DF2251"/>
    <w:rsid w:val="00DF3714"/>
    <w:rsid w:val="00DF38FD"/>
    <w:rsid w:val="00DF4094"/>
    <w:rsid w:val="00DF40DC"/>
    <w:rsid w:val="00DF46A8"/>
    <w:rsid w:val="00DF48F0"/>
    <w:rsid w:val="00DF5CC5"/>
    <w:rsid w:val="00DF618A"/>
    <w:rsid w:val="00DF6273"/>
    <w:rsid w:val="00DF6AC3"/>
    <w:rsid w:val="00DF7299"/>
    <w:rsid w:val="00DF73CD"/>
    <w:rsid w:val="00DF7B0C"/>
    <w:rsid w:val="00E00152"/>
    <w:rsid w:val="00E00367"/>
    <w:rsid w:val="00E0094E"/>
    <w:rsid w:val="00E021C1"/>
    <w:rsid w:val="00E021FF"/>
    <w:rsid w:val="00E024F6"/>
    <w:rsid w:val="00E03289"/>
    <w:rsid w:val="00E058AB"/>
    <w:rsid w:val="00E06A6E"/>
    <w:rsid w:val="00E06AB2"/>
    <w:rsid w:val="00E07017"/>
    <w:rsid w:val="00E07572"/>
    <w:rsid w:val="00E0766C"/>
    <w:rsid w:val="00E077E0"/>
    <w:rsid w:val="00E07DF9"/>
    <w:rsid w:val="00E100A8"/>
    <w:rsid w:val="00E10128"/>
    <w:rsid w:val="00E10357"/>
    <w:rsid w:val="00E10D0D"/>
    <w:rsid w:val="00E10D48"/>
    <w:rsid w:val="00E111E2"/>
    <w:rsid w:val="00E1162A"/>
    <w:rsid w:val="00E11DA7"/>
    <w:rsid w:val="00E11E8C"/>
    <w:rsid w:val="00E12842"/>
    <w:rsid w:val="00E12D1C"/>
    <w:rsid w:val="00E12F11"/>
    <w:rsid w:val="00E134CD"/>
    <w:rsid w:val="00E13881"/>
    <w:rsid w:val="00E14285"/>
    <w:rsid w:val="00E14857"/>
    <w:rsid w:val="00E163EF"/>
    <w:rsid w:val="00E16654"/>
    <w:rsid w:val="00E16A52"/>
    <w:rsid w:val="00E17362"/>
    <w:rsid w:val="00E17B43"/>
    <w:rsid w:val="00E17D74"/>
    <w:rsid w:val="00E2001D"/>
    <w:rsid w:val="00E203BA"/>
    <w:rsid w:val="00E2057E"/>
    <w:rsid w:val="00E208C6"/>
    <w:rsid w:val="00E2091F"/>
    <w:rsid w:val="00E218AF"/>
    <w:rsid w:val="00E21E01"/>
    <w:rsid w:val="00E21F25"/>
    <w:rsid w:val="00E2228B"/>
    <w:rsid w:val="00E222A3"/>
    <w:rsid w:val="00E22388"/>
    <w:rsid w:val="00E22555"/>
    <w:rsid w:val="00E23686"/>
    <w:rsid w:val="00E23DE1"/>
    <w:rsid w:val="00E23E9F"/>
    <w:rsid w:val="00E2447B"/>
    <w:rsid w:val="00E2453B"/>
    <w:rsid w:val="00E25538"/>
    <w:rsid w:val="00E25E49"/>
    <w:rsid w:val="00E265FE"/>
    <w:rsid w:val="00E26B7F"/>
    <w:rsid w:val="00E27940"/>
    <w:rsid w:val="00E30350"/>
    <w:rsid w:val="00E31704"/>
    <w:rsid w:val="00E31E8A"/>
    <w:rsid w:val="00E329BA"/>
    <w:rsid w:val="00E32AA5"/>
    <w:rsid w:val="00E3329D"/>
    <w:rsid w:val="00E3343C"/>
    <w:rsid w:val="00E3350E"/>
    <w:rsid w:val="00E350F7"/>
    <w:rsid w:val="00E3761B"/>
    <w:rsid w:val="00E3782F"/>
    <w:rsid w:val="00E379D7"/>
    <w:rsid w:val="00E37F3F"/>
    <w:rsid w:val="00E400EF"/>
    <w:rsid w:val="00E40470"/>
    <w:rsid w:val="00E407C9"/>
    <w:rsid w:val="00E4081F"/>
    <w:rsid w:val="00E41FDA"/>
    <w:rsid w:val="00E42BC1"/>
    <w:rsid w:val="00E42C43"/>
    <w:rsid w:val="00E43021"/>
    <w:rsid w:val="00E435A9"/>
    <w:rsid w:val="00E437EF"/>
    <w:rsid w:val="00E43CCD"/>
    <w:rsid w:val="00E43FB6"/>
    <w:rsid w:val="00E448E2"/>
    <w:rsid w:val="00E448E6"/>
    <w:rsid w:val="00E44CC0"/>
    <w:rsid w:val="00E4604D"/>
    <w:rsid w:val="00E463AE"/>
    <w:rsid w:val="00E4674D"/>
    <w:rsid w:val="00E46808"/>
    <w:rsid w:val="00E46853"/>
    <w:rsid w:val="00E46E35"/>
    <w:rsid w:val="00E470EA"/>
    <w:rsid w:val="00E47841"/>
    <w:rsid w:val="00E47FD3"/>
    <w:rsid w:val="00E5036E"/>
    <w:rsid w:val="00E508B5"/>
    <w:rsid w:val="00E5183E"/>
    <w:rsid w:val="00E5251F"/>
    <w:rsid w:val="00E52C3B"/>
    <w:rsid w:val="00E52F5E"/>
    <w:rsid w:val="00E53A66"/>
    <w:rsid w:val="00E54654"/>
    <w:rsid w:val="00E54B30"/>
    <w:rsid w:val="00E54CDF"/>
    <w:rsid w:val="00E557A9"/>
    <w:rsid w:val="00E55B5E"/>
    <w:rsid w:val="00E55DF6"/>
    <w:rsid w:val="00E566D0"/>
    <w:rsid w:val="00E56F60"/>
    <w:rsid w:val="00E574CF"/>
    <w:rsid w:val="00E57E65"/>
    <w:rsid w:val="00E60079"/>
    <w:rsid w:val="00E6073F"/>
    <w:rsid w:val="00E60FA0"/>
    <w:rsid w:val="00E613E7"/>
    <w:rsid w:val="00E6171B"/>
    <w:rsid w:val="00E61D94"/>
    <w:rsid w:val="00E62113"/>
    <w:rsid w:val="00E62329"/>
    <w:rsid w:val="00E62BD7"/>
    <w:rsid w:val="00E63043"/>
    <w:rsid w:val="00E630DA"/>
    <w:rsid w:val="00E6330A"/>
    <w:rsid w:val="00E6332C"/>
    <w:rsid w:val="00E63415"/>
    <w:rsid w:val="00E63ABB"/>
    <w:rsid w:val="00E63FFA"/>
    <w:rsid w:val="00E6435C"/>
    <w:rsid w:val="00E64E52"/>
    <w:rsid w:val="00E65224"/>
    <w:rsid w:val="00E657E5"/>
    <w:rsid w:val="00E65DA9"/>
    <w:rsid w:val="00E662B4"/>
    <w:rsid w:val="00E663F0"/>
    <w:rsid w:val="00E66651"/>
    <w:rsid w:val="00E66C57"/>
    <w:rsid w:val="00E675C0"/>
    <w:rsid w:val="00E67FD7"/>
    <w:rsid w:val="00E70208"/>
    <w:rsid w:val="00E70377"/>
    <w:rsid w:val="00E70CB6"/>
    <w:rsid w:val="00E70DAA"/>
    <w:rsid w:val="00E70EBA"/>
    <w:rsid w:val="00E726CA"/>
    <w:rsid w:val="00E729A1"/>
    <w:rsid w:val="00E72BE8"/>
    <w:rsid w:val="00E74D7F"/>
    <w:rsid w:val="00E75D7D"/>
    <w:rsid w:val="00E763B5"/>
    <w:rsid w:val="00E7674D"/>
    <w:rsid w:val="00E76A7A"/>
    <w:rsid w:val="00E76C4D"/>
    <w:rsid w:val="00E771B1"/>
    <w:rsid w:val="00E779EB"/>
    <w:rsid w:val="00E8057D"/>
    <w:rsid w:val="00E81294"/>
    <w:rsid w:val="00E816DF"/>
    <w:rsid w:val="00E819E9"/>
    <w:rsid w:val="00E81D56"/>
    <w:rsid w:val="00E81EC9"/>
    <w:rsid w:val="00E82296"/>
    <w:rsid w:val="00E8240E"/>
    <w:rsid w:val="00E84443"/>
    <w:rsid w:val="00E848AE"/>
    <w:rsid w:val="00E84F9D"/>
    <w:rsid w:val="00E85360"/>
    <w:rsid w:val="00E85AA1"/>
    <w:rsid w:val="00E85B36"/>
    <w:rsid w:val="00E85C42"/>
    <w:rsid w:val="00E85E87"/>
    <w:rsid w:val="00E864DE"/>
    <w:rsid w:val="00E8736B"/>
    <w:rsid w:val="00E901BF"/>
    <w:rsid w:val="00E90AF7"/>
    <w:rsid w:val="00E90E60"/>
    <w:rsid w:val="00E9147C"/>
    <w:rsid w:val="00E914B1"/>
    <w:rsid w:val="00E91770"/>
    <w:rsid w:val="00E91A6E"/>
    <w:rsid w:val="00E92AB7"/>
    <w:rsid w:val="00E92E9C"/>
    <w:rsid w:val="00E93C3C"/>
    <w:rsid w:val="00E94161"/>
    <w:rsid w:val="00E94465"/>
    <w:rsid w:val="00E94BAE"/>
    <w:rsid w:val="00E94BF9"/>
    <w:rsid w:val="00E96045"/>
    <w:rsid w:val="00E96376"/>
    <w:rsid w:val="00E969A0"/>
    <w:rsid w:val="00E96C7C"/>
    <w:rsid w:val="00E970EC"/>
    <w:rsid w:val="00E974DB"/>
    <w:rsid w:val="00E975F5"/>
    <w:rsid w:val="00E979C5"/>
    <w:rsid w:val="00E97D11"/>
    <w:rsid w:val="00EA132E"/>
    <w:rsid w:val="00EA16F3"/>
    <w:rsid w:val="00EA3058"/>
    <w:rsid w:val="00EA3140"/>
    <w:rsid w:val="00EA34B1"/>
    <w:rsid w:val="00EA39EC"/>
    <w:rsid w:val="00EA3A48"/>
    <w:rsid w:val="00EA4B64"/>
    <w:rsid w:val="00EA4FEF"/>
    <w:rsid w:val="00EA5094"/>
    <w:rsid w:val="00EA54BE"/>
    <w:rsid w:val="00EA57C2"/>
    <w:rsid w:val="00EA616D"/>
    <w:rsid w:val="00EA7053"/>
    <w:rsid w:val="00EA73C1"/>
    <w:rsid w:val="00EA7BC7"/>
    <w:rsid w:val="00EB0291"/>
    <w:rsid w:val="00EB1070"/>
    <w:rsid w:val="00EB1D85"/>
    <w:rsid w:val="00EB2294"/>
    <w:rsid w:val="00EB2610"/>
    <w:rsid w:val="00EB272D"/>
    <w:rsid w:val="00EB2AC8"/>
    <w:rsid w:val="00EB2B9F"/>
    <w:rsid w:val="00EB2F4E"/>
    <w:rsid w:val="00EB3932"/>
    <w:rsid w:val="00EB406A"/>
    <w:rsid w:val="00EB4463"/>
    <w:rsid w:val="00EB550A"/>
    <w:rsid w:val="00EB5525"/>
    <w:rsid w:val="00EB58DD"/>
    <w:rsid w:val="00EB6481"/>
    <w:rsid w:val="00EB7D0B"/>
    <w:rsid w:val="00EC0398"/>
    <w:rsid w:val="00EC054A"/>
    <w:rsid w:val="00EC07D4"/>
    <w:rsid w:val="00EC0A84"/>
    <w:rsid w:val="00EC113C"/>
    <w:rsid w:val="00EC12EF"/>
    <w:rsid w:val="00EC15ED"/>
    <w:rsid w:val="00EC1B4A"/>
    <w:rsid w:val="00EC1D2B"/>
    <w:rsid w:val="00EC2CC9"/>
    <w:rsid w:val="00EC2D12"/>
    <w:rsid w:val="00EC2EB7"/>
    <w:rsid w:val="00EC3080"/>
    <w:rsid w:val="00EC318E"/>
    <w:rsid w:val="00EC41F7"/>
    <w:rsid w:val="00EC45DE"/>
    <w:rsid w:val="00EC6201"/>
    <w:rsid w:val="00EC6364"/>
    <w:rsid w:val="00EC6E04"/>
    <w:rsid w:val="00EC702B"/>
    <w:rsid w:val="00EC714A"/>
    <w:rsid w:val="00EC71BE"/>
    <w:rsid w:val="00EC763C"/>
    <w:rsid w:val="00EC78E9"/>
    <w:rsid w:val="00EC7E1E"/>
    <w:rsid w:val="00EC7EB1"/>
    <w:rsid w:val="00ED10F1"/>
    <w:rsid w:val="00ED119C"/>
    <w:rsid w:val="00ED1412"/>
    <w:rsid w:val="00ED193F"/>
    <w:rsid w:val="00ED26FF"/>
    <w:rsid w:val="00ED3495"/>
    <w:rsid w:val="00ED3540"/>
    <w:rsid w:val="00ED3677"/>
    <w:rsid w:val="00ED3877"/>
    <w:rsid w:val="00ED38F0"/>
    <w:rsid w:val="00ED4DBF"/>
    <w:rsid w:val="00ED6442"/>
    <w:rsid w:val="00ED644C"/>
    <w:rsid w:val="00ED7528"/>
    <w:rsid w:val="00ED7719"/>
    <w:rsid w:val="00ED7885"/>
    <w:rsid w:val="00ED78A4"/>
    <w:rsid w:val="00EE0367"/>
    <w:rsid w:val="00EE08B4"/>
    <w:rsid w:val="00EE0A95"/>
    <w:rsid w:val="00EE1552"/>
    <w:rsid w:val="00EE178C"/>
    <w:rsid w:val="00EE1B24"/>
    <w:rsid w:val="00EE200B"/>
    <w:rsid w:val="00EE2E75"/>
    <w:rsid w:val="00EE314E"/>
    <w:rsid w:val="00EE3395"/>
    <w:rsid w:val="00EE37DC"/>
    <w:rsid w:val="00EE39A3"/>
    <w:rsid w:val="00EE4384"/>
    <w:rsid w:val="00EE60BA"/>
    <w:rsid w:val="00EE6381"/>
    <w:rsid w:val="00EE71D3"/>
    <w:rsid w:val="00EF00D2"/>
    <w:rsid w:val="00EF055F"/>
    <w:rsid w:val="00EF11AC"/>
    <w:rsid w:val="00EF1393"/>
    <w:rsid w:val="00EF1463"/>
    <w:rsid w:val="00EF218E"/>
    <w:rsid w:val="00EF2777"/>
    <w:rsid w:val="00EF3567"/>
    <w:rsid w:val="00EF3851"/>
    <w:rsid w:val="00EF3A28"/>
    <w:rsid w:val="00EF3C60"/>
    <w:rsid w:val="00EF3E8F"/>
    <w:rsid w:val="00EF4068"/>
    <w:rsid w:val="00EF435F"/>
    <w:rsid w:val="00EF4ED4"/>
    <w:rsid w:val="00EF5031"/>
    <w:rsid w:val="00EF5B3A"/>
    <w:rsid w:val="00EF666C"/>
    <w:rsid w:val="00EF6FB4"/>
    <w:rsid w:val="00EF7066"/>
    <w:rsid w:val="00EF738B"/>
    <w:rsid w:val="00EF754B"/>
    <w:rsid w:val="00EF7CAC"/>
    <w:rsid w:val="00F0041B"/>
    <w:rsid w:val="00F00C78"/>
    <w:rsid w:val="00F01EA0"/>
    <w:rsid w:val="00F03139"/>
    <w:rsid w:val="00F0340E"/>
    <w:rsid w:val="00F034BC"/>
    <w:rsid w:val="00F03979"/>
    <w:rsid w:val="00F03AC1"/>
    <w:rsid w:val="00F03DBC"/>
    <w:rsid w:val="00F04856"/>
    <w:rsid w:val="00F05BBB"/>
    <w:rsid w:val="00F06375"/>
    <w:rsid w:val="00F06426"/>
    <w:rsid w:val="00F06453"/>
    <w:rsid w:val="00F068D2"/>
    <w:rsid w:val="00F0726B"/>
    <w:rsid w:val="00F079AF"/>
    <w:rsid w:val="00F10997"/>
    <w:rsid w:val="00F10BB6"/>
    <w:rsid w:val="00F110D9"/>
    <w:rsid w:val="00F11C10"/>
    <w:rsid w:val="00F11C2D"/>
    <w:rsid w:val="00F11E6D"/>
    <w:rsid w:val="00F12F55"/>
    <w:rsid w:val="00F13265"/>
    <w:rsid w:val="00F13516"/>
    <w:rsid w:val="00F13C23"/>
    <w:rsid w:val="00F14173"/>
    <w:rsid w:val="00F15035"/>
    <w:rsid w:val="00F155CC"/>
    <w:rsid w:val="00F16038"/>
    <w:rsid w:val="00F16257"/>
    <w:rsid w:val="00F17091"/>
    <w:rsid w:val="00F171E0"/>
    <w:rsid w:val="00F17403"/>
    <w:rsid w:val="00F17491"/>
    <w:rsid w:val="00F20321"/>
    <w:rsid w:val="00F20471"/>
    <w:rsid w:val="00F20515"/>
    <w:rsid w:val="00F20FA8"/>
    <w:rsid w:val="00F213BB"/>
    <w:rsid w:val="00F214B8"/>
    <w:rsid w:val="00F2152D"/>
    <w:rsid w:val="00F21C81"/>
    <w:rsid w:val="00F21D67"/>
    <w:rsid w:val="00F22183"/>
    <w:rsid w:val="00F22428"/>
    <w:rsid w:val="00F23675"/>
    <w:rsid w:val="00F248A7"/>
    <w:rsid w:val="00F251EC"/>
    <w:rsid w:val="00F25C49"/>
    <w:rsid w:val="00F25D1D"/>
    <w:rsid w:val="00F26F57"/>
    <w:rsid w:val="00F27DBB"/>
    <w:rsid w:val="00F3070C"/>
    <w:rsid w:val="00F308B1"/>
    <w:rsid w:val="00F30A93"/>
    <w:rsid w:val="00F31025"/>
    <w:rsid w:val="00F31F7E"/>
    <w:rsid w:val="00F326FC"/>
    <w:rsid w:val="00F3313D"/>
    <w:rsid w:val="00F336AB"/>
    <w:rsid w:val="00F33940"/>
    <w:rsid w:val="00F33A8E"/>
    <w:rsid w:val="00F3429D"/>
    <w:rsid w:val="00F342EB"/>
    <w:rsid w:val="00F34F09"/>
    <w:rsid w:val="00F35033"/>
    <w:rsid w:val="00F3504C"/>
    <w:rsid w:val="00F35272"/>
    <w:rsid w:val="00F3598A"/>
    <w:rsid w:val="00F35C71"/>
    <w:rsid w:val="00F35CE5"/>
    <w:rsid w:val="00F35D7B"/>
    <w:rsid w:val="00F37C69"/>
    <w:rsid w:val="00F37D2E"/>
    <w:rsid w:val="00F37D7A"/>
    <w:rsid w:val="00F4059C"/>
    <w:rsid w:val="00F4151B"/>
    <w:rsid w:val="00F41771"/>
    <w:rsid w:val="00F41DF1"/>
    <w:rsid w:val="00F41FDD"/>
    <w:rsid w:val="00F42408"/>
    <w:rsid w:val="00F4339B"/>
    <w:rsid w:val="00F43475"/>
    <w:rsid w:val="00F434AB"/>
    <w:rsid w:val="00F436FF"/>
    <w:rsid w:val="00F437D0"/>
    <w:rsid w:val="00F43D00"/>
    <w:rsid w:val="00F43EDA"/>
    <w:rsid w:val="00F454F2"/>
    <w:rsid w:val="00F45C53"/>
    <w:rsid w:val="00F46179"/>
    <w:rsid w:val="00F4653F"/>
    <w:rsid w:val="00F50131"/>
    <w:rsid w:val="00F5051C"/>
    <w:rsid w:val="00F506BC"/>
    <w:rsid w:val="00F511F7"/>
    <w:rsid w:val="00F51AD8"/>
    <w:rsid w:val="00F529DF"/>
    <w:rsid w:val="00F52D44"/>
    <w:rsid w:val="00F53554"/>
    <w:rsid w:val="00F53792"/>
    <w:rsid w:val="00F53863"/>
    <w:rsid w:val="00F53C6A"/>
    <w:rsid w:val="00F55C6B"/>
    <w:rsid w:val="00F56755"/>
    <w:rsid w:val="00F5678B"/>
    <w:rsid w:val="00F56E48"/>
    <w:rsid w:val="00F57E83"/>
    <w:rsid w:val="00F61004"/>
    <w:rsid w:val="00F61A25"/>
    <w:rsid w:val="00F62FC9"/>
    <w:rsid w:val="00F634AD"/>
    <w:rsid w:val="00F63D56"/>
    <w:rsid w:val="00F64021"/>
    <w:rsid w:val="00F64717"/>
    <w:rsid w:val="00F6504D"/>
    <w:rsid w:val="00F65179"/>
    <w:rsid w:val="00F65398"/>
    <w:rsid w:val="00F65829"/>
    <w:rsid w:val="00F6582C"/>
    <w:rsid w:val="00F65A85"/>
    <w:rsid w:val="00F65FE8"/>
    <w:rsid w:val="00F66940"/>
    <w:rsid w:val="00F67028"/>
    <w:rsid w:val="00F671DD"/>
    <w:rsid w:val="00F67963"/>
    <w:rsid w:val="00F700A1"/>
    <w:rsid w:val="00F70C7B"/>
    <w:rsid w:val="00F71100"/>
    <w:rsid w:val="00F7110B"/>
    <w:rsid w:val="00F71659"/>
    <w:rsid w:val="00F71F13"/>
    <w:rsid w:val="00F720C0"/>
    <w:rsid w:val="00F72108"/>
    <w:rsid w:val="00F73A29"/>
    <w:rsid w:val="00F73BEB"/>
    <w:rsid w:val="00F74738"/>
    <w:rsid w:val="00F7474F"/>
    <w:rsid w:val="00F74981"/>
    <w:rsid w:val="00F7514A"/>
    <w:rsid w:val="00F7518C"/>
    <w:rsid w:val="00F75C1B"/>
    <w:rsid w:val="00F76276"/>
    <w:rsid w:val="00F765D7"/>
    <w:rsid w:val="00F7759C"/>
    <w:rsid w:val="00F7776E"/>
    <w:rsid w:val="00F77AC6"/>
    <w:rsid w:val="00F8039F"/>
    <w:rsid w:val="00F80C43"/>
    <w:rsid w:val="00F80D88"/>
    <w:rsid w:val="00F815ED"/>
    <w:rsid w:val="00F81E60"/>
    <w:rsid w:val="00F82115"/>
    <w:rsid w:val="00F82D25"/>
    <w:rsid w:val="00F83836"/>
    <w:rsid w:val="00F83B6D"/>
    <w:rsid w:val="00F83B8A"/>
    <w:rsid w:val="00F84331"/>
    <w:rsid w:val="00F84388"/>
    <w:rsid w:val="00F85C16"/>
    <w:rsid w:val="00F86126"/>
    <w:rsid w:val="00F8661E"/>
    <w:rsid w:val="00F86693"/>
    <w:rsid w:val="00F86875"/>
    <w:rsid w:val="00F86E09"/>
    <w:rsid w:val="00F87285"/>
    <w:rsid w:val="00F873A0"/>
    <w:rsid w:val="00F901D1"/>
    <w:rsid w:val="00F90630"/>
    <w:rsid w:val="00F90D4A"/>
    <w:rsid w:val="00F91BE5"/>
    <w:rsid w:val="00F91C22"/>
    <w:rsid w:val="00F91DCF"/>
    <w:rsid w:val="00F92167"/>
    <w:rsid w:val="00F92690"/>
    <w:rsid w:val="00F928D6"/>
    <w:rsid w:val="00F93D89"/>
    <w:rsid w:val="00F952A3"/>
    <w:rsid w:val="00F96114"/>
    <w:rsid w:val="00F966A0"/>
    <w:rsid w:val="00F96A55"/>
    <w:rsid w:val="00F96FA9"/>
    <w:rsid w:val="00F96FFF"/>
    <w:rsid w:val="00FA06BC"/>
    <w:rsid w:val="00FA0E3B"/>
    <w:rsid w:val="00FA1A9E"/>
    <w:rsid w:val="00FA2D07"/>
    <w:rsid w:val="00FA30F9"/>
    <w:rsid w:val="00FA3621"/>
    <w:rsid w:val="00FA3EB0"/>
    <w:rsid w:val="00FA40C7"/>
    <w:rsid w:val="00FA4B69"/>
    <w:rsid w:val="00FA51B0"/>
    <w:rsid w:val="00FA5D4E"/>
    <w:rsid w:val="00FA6060"/>
    <w:rsid w:val="00FA62BF"/>
    <w:rsid w:val="00FA6F7F"/>
    <w:rsid w:val="00FA7140"/>
    <w:rsid w:val="00FA793E"/>
    <w:rsid w:val="00FB0068"/>
    <w:rsid w:val="00FB160A"/>
    <w:rsid w:val="00FB1824"/>
    <w:rsid w:val="00FB18AF"/>
    <w:rsid w:val="00FB21C4"/>
    <w:rsid w:val="00FB2568"/>
    <w:rsid w:val="00FB2B6E"/>
    <w:rsid w:val="00FB31AE"/>
    <w:rsid w:val="00FB37B6"/>
    <w:rsid w:val="00FB3B3A"/>
    <w:rsid w:val="00FB3FE3"/>
    <w:rsid w:val="00FB40AB"/>
    <w:rsid w:val="00FB40D0"/>
    <w:rsid w:val="00FB421D"/>
    <w:rsid w:val="00FB4310"/>
    <w:rsid w:val="00FB4673"/>
    <w:rsid w:val="00FB498F"/>
    <w:rsid w:val="00FB5651"/>
    <w:rsid w:val="00FB57EA"/>
    <w:rsid w:val="00FB5E24"/>
    <w:rsid w:val="00FB6167"/>
    <w:rsid w:val="00FB61D4"/>
    <w:rsid w:val="00FB64CC"/>
    <w:rsid w:val="00FB6507"/>
    <w:rsid w:val="00FB6B68"/>
    <w:rsid w:val="00FB6DC4"/>
    <w:rsid w:val="00FB762E"/>
    <w:rsid w:val="00FB7BB8"/>
    <w:rsid w:val="00FC07EF"/>
    <w:rsid w:val="00FC136C"/>
    <w:rsid w:val="00FC1643"/>
    <w:rsid w:val="00FC1940"/>
    <w:rsid w:val="00FC24AD"/>
    <w:rsid w:val="00FC3072"/>
    <w:rsid w:val="00FC49C5"/>
    <w:rsid w:val="00FC5D74"/>
    <w:rsid w:val="00FC6230"/>
    <w:rsid w:val="00FC65A1"/>
    <w:rsid w:val="00FC6D45"/>
    <w:rsid w:val="00FC6F70"/>
    <w:rsid w:val="00FC7136"/>
    <w:rsid w:val="00FC743E"/>
    <w:rsid w:val="00FC7E53"/>
    <w:rsid w:val="00FD028A"/>
    <w:rsid w:val="00FD0553"/>
    <w:rsid w:val="00FD0D2C"/>
    <w:rsid w:val="00FD172D"/>
    <w:rsid w:val="00FD19E6"/>
    <w:rsid w:val="00FD26A5"/>
    <w:rsid w:val="00FD2F27"/>
    <w:rsid w:val="00FD3DD6"/>
    <w:rsid w:val="00FD4209"/>
    <w:rsid w:val="00FD4232"/>
    <w:rsid w:val="00FD432D"/>
    <w:rsid w:val="00FD46C9"/>
    <w:rsid w:val="00FD4700"/>
    <w:rsid w:val="00FD4C02"/>
    <w:rsid w:val="00FD5C77"/>
    <w:rsid w:val="00FD6AD8"/>
    <w:rsid w:val="00FD6D3C"/>
    <w:rsid w:val="00FD6FF3"/>
    <w:rsid w:val="00FD77F8"/>
    <w:rsid w:val="00FD7A40"/>
    <w:rsid w:val="00FE1597"/>
    <w:rsid w:val="00FE217C"/>
    <w:rsid w:val="00FE2587"/>
    <w:rsid w:val="00FE2BE0"/>
    <w:rsid w:val="00FE3439"/>
    <w:rsid w:val="00FE3BB4"/>
    <w:rsid w:val="00FE61EC"/>
    <w:rsid w:val="00FE6285"/>
    <w:rsid w:val="00FE6301"/>
    <w:rsid w:val="00FE6500"/>
    <w:rsid w:val="00FE72ED"/>
    <w:rsid w:val="00FE78FD"/>
    <w:rsid w:val="00FE7A3C"/>
    <w:rsid w:val="00FE7AB7"/>
    <w:rsid w:val="00FF02C0"/>
    <w:rsid w:val="00FF0E3F"/>
    <w:rsid w:val="00FF10D8"/>
    <w:rsid w:val="00FF1CF5"/>
    <w:rsid w:val="00FF2D4B"/>
    <w:rsid w:val="00FF30D5"/>
    <w:rsid w:val="00FF3569"/>
    <w:rsid w:val="00FF3635"/>
    <w:rsid w:val="00FF38B7"/>
    <w:rsid w:val="00FF3F6D"/>
    <w:rsid w:val="00FF4331"/>
    <w:rsid w:val="00FF59E7"/>
    <w:rsid w:val="00FF5BF8"/>
    <w:rsid w:val="00FF5E5F"/>
    <w:rsid w:val="00FF64BB"/>
    <w:rsid w:val="00FF7327"/>
    <w:rsid w:val="00FF74F5"/>
    <w:rsid w:val="00FF7CA1"/>
    <w:rsid w:val="00FF7D0C"/>
    <w:rsid w:val="00FF7F4E"/>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56CF"/>
    <w:pPr>
      <w:tabs>
        <w:tab w:val="left" w:pos="720"/>
      </w:tabs>
      <w:spacing w:after="0" w:line="480" w:lineRule="atLeast"/>
    </w:pPr>
    <w:rPr>
      <w:rFonts w:cs="Times New Roman"/>
    </w:rPr>
  </w:style>
  <w:style w:type="paragraph" w:styleId="Heading1">
    <w:name w:val="heading 1"/>
    <w:basedOn w:val="Normal"/>
    <w:next w:val="Normal"/>
    <w:link w:val="Heading1Char"/>
    <w:uiPriority w:val="9"/>
    <w:rsid w:val="00CE17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B4"/>
    <w:pPr>
      <w:tabs>
        <w:tab w:val="center" w:pos="4680"/>
        <w:tab w:val="right" w:pos="9360"/>
      </w:tabs>
      <w:spacing w:line="240" w:lineRule="auto"/>
    </w:pPr>
  </w:style>
  <w:style w:type="character" w:customStyle="1" w:styleId="HeaderChar">
    <w:name w:val="Header Char"/>
    <w:basedOn w:val="DefaultParagraphFont"/>
    <w:link w:val="Header"/>
    <w:uiPriority w:val="99"/>
    <w:rsid w:val="00514AB4"/>
  </w:style>
  <w:style w:type="paragraph" w:styleId="Footer">
    <w:name w:val="footer"/>
    <w:basedOn w:val="Normal"/>
    <w:link w:val="FooterChar"/>
    <w:uiPriority w:val="99"/>
    <w:unhideWhenUsed/>
    <w:rsid w:val="00514AB4"/>
    <w:pPr>
      <w:tabs>
        <w:tab w:val="center" w:pos="4680"/>
        <w:tab w:val="right" w:pos="9360"/>
      </w:tabs>
      <w:spacing w:line="240" w:lineRule="auto"/>
    </w:pPr>
  </w:style>
  <w:style w:type="character" w:customStyle="1" w:styleId="FooterChar">
    <w:name w:val="Footer Char"/>
    <w:basedOn w:val="DefaultParagraphFont"/>
    <w:link w:val="Footer"/>
    <w:uiPriority w:val="99"/>
    <w:rsid w:val="00514AB4"/>
  </w:style>
  <w:style w:type="character" w:styleId="PageNumber">
    <w:name w:val="page number"/>
    <w:basedOn w:val="DefaultParagraphFont"/>
    <w:uiPriority w:val="99"/>
    <w:semiHidden/>
    <w:unhideWhenUsed/>
    <w:rsid w:val="00514AB4"/>
  </w:style>
  <w:style w:type="paragraph" w:styleId="FootnoteText">
    <w:name w:val="footnote text"/>
    <w:link w:val="FootnoteTextChar"/>
    <w:uiPriority w:val="99"/>
    <w:unhideWhenUsed/>
    <w:rsid w:val="00514AB4"/>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14AB4"/>
    <w:rPr>
      <w:rFonts w:cs="Times New Roman"/>
      <w:szCs w:val="20"/>
    </w:rPr>
  </w:style>
  <w:style w:type="paragraph" w:styleId="Title">
    <w:name w:val="Title"/>
    <w:basedOn w:val="Normal"/>
    <w:next w:val="Normal"/>
    <w:link w:val="TitleChar"/>
    <w:uiPriority w:val="10"/>
    <w:rsid w:val="008C70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03C"/>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F52D44"/>
    <w:rPr>
      <w:vertAlign w:val="superscript"/>
    </w:rPr>
  </w:style>
  <w:style w:type="paragraph" w:styleId="BalloonText">
    <w:name w:val="Balloon Text"/>
    <w:basedOn w:val="Normal"/>
    <w:link w:val="BalloonTextChar"/>
    <w:uiPriority w:val="99"/>
    <w:semiHidden/>
    <w:unhideWhenUsed/>
    <w:rsid w:val="00BF2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35"/>
    <w:rPr>
      <w:rFonts w:ascii="Segoe UI" w:hAnsi="Segoe UI" w:cs="Segoe UI"/>
      <w:sz w:val="18"/>
      <w:szCs w:val="18"/>
    </w:rPr>
  </w:style>
  <w:style w:type="paragraph" w:styleId="ListParagraph">
    <w:name w:val="List Paragraph"/>
    <w:basedOn w:val="Normal"/>
    <w:link w:val="ListParagraphChar"/>
    <w:uiPriority w:val="34"/>
    <w:rsid w:val="008A4E4D"/>
    <w:pPr>
      <w:ind w:left="720"/>
      <w:contextualSpacing/>
    </w:pPr>
  </w:style>
  <w:style w:type="character" w:styleId="Strong">
    <w:name w:val="Strong"/>
    <w:basedOn w:val="DefaultParagraphFont"/>
    <w:uiPriority w:val="22"/>
    <w:rsid w:val="004B06E2"/>
    <w:rPr>
      <w:b/>
      <w:bCs/>
    </w:rPr>
  </w:style>
  <w:style w:type="character" w:styleId="CommentReference">
    <w:name w:val="annotation reference"/>
    <w:basedOn w:val="DefaultParagraphFont"/>
    <w:uiPriority w:val="99"/>
    <w:semiHidden/>
    <w:unhideWhenUsed/>
    <w:rsid w:val="00BA3B96"/>
    <w:rPr>
      <w:sz w:val="16"/>
      <w:szCs w:val="16"/>
    </w:rPr>
  </w:style>
  <w:style w:type="paragraph" w:styleId="CommentText">
    <w:name w:val="annotation text"/>
    <w:basedOn w:val="Normal"/>
    <w:link w:val="CommentTextChar"/>
    <w:uiPriority w:val="99"/>
    <w:unhideWhenUsed/>
    <w:rsid w:val="00BA3B96"/>
    <w:pPr>
      <w:spacing w:line="240" w:lineRule="auto"/>
    </w:pPr>
    <w:rPr>
      <w:sz w:val="20"/>
      <w:szCs w:val="20"/>
    </w:rPr>
  </w:style>
  <w:style w:type="character" w:customStyle="1" w:styleId="CommentTextChar">
    <w:name w:val="Comment Text Char"/>
    <w:basedOn w:val="DefaultParagraphFont"/>
    <w:link w:val="CommentText"/>
    <w:uiPriority w:val="99"/>
    <w:rsid w:val="00BA3B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3B96"/>
    <w:rPr>
      <w:b/>
      <w:bCs/>
    </w:rPr>
  </w:style>
  <w:style w:type="character" w:customStyle="1" w:styleId="CommentSubjectChar">
    <w:name w:val="Comment Subject Char"/>
    <w:basedOn w:val="CommentTextChar"/>
    <w:link w:val="CommentSubject"/>
    <w:uiPriority w:val="99"/>
    <w:semiHidden/>
    <w:rsid w:val="00BA3B96"/>
    <w:rPr>
      <w:rFonts w:cs="Times New Roman"/>
      <w:b/>
      <w:bCs/>
      <w:sz w:val="20"/>
      <w:szCs w:val="20"/>
    </w:rPr>
  </w:style>
  <w:style w:type="paragraph" w:customStyle="1" w:styleId="Text">
    <w:name w:val="Text"/>
    <w:basedOn w:val="Normal"/>
    <w:link w:val="TextChar"/>
    <w:qFormat/>
    <w:rsid w:val="003923AF"/>
    <w:pPr>
      <w:spacing w:line="360" w:lineRule="auto"/>
      <w:ind w:firstLine="720"/>
    </w:pPr>
    <w:rPr>
      <w:rFonts w:ascii="Century Schoolbook" w:hAnsi="Century Schoolbook"/>
    </w:rPr>
  </w:style>
  <w:style w:type="character" w:customStyle="1" w:styleId="TextChar">
    <w:name w:val="Text Char"/>
    <w:basedOn w:val="DefaultParagraphFont"/>
    <w:link w:val="Text"/>
    <w:rsid w:val="003923AF"/>
    <w:rPr>
      <w:rFonts w:ascii="Century Schoolbook" w:hAnsi="Century Schoolbook" w:cs="Times New Roman"/>
    </w:rPr>
  </w:style>
  <w:style w:type="paragraph" w:customStyle="1" w:styleId="A">
    <w:name w:val="A"/>
    <w:aliases w:val="Subheading"/>
    <w:basedOn w:val="ListParagraph"/>
    <w:link w:val="AChar"/>
    <w:qFormat/>
    <w:rsid w:val="003653CE"/>
    <w:pPr>
      <w:keepNext/>
      <w:numPr>
        <w:numId w:val="5"/>
      </w:numPr>
      <w:spacing w:line="360" w:lineRule="auto"/>
      <w:ind w:hanging="720"/>
    </w:pPr>
    <w:rPr>
      <w:rFonts w:ascii="Century Schoolbook" w:hAnsi="Century Schoolbook"/>
      <w:b/>
      <w:bCs/>
      <w:i/>
    </w:rPr>
  </w:style>
  <w:style w:type="paragraph" w:customStyle="1" w:styleId="Heading">
    <w:name w:val="Heading"/>
    <w:basedOn w:val="Normal"/>
    <w:link w:val="HeadingChar"/>
    <w:qFormat/>
    <w:rsid w:val="004B60F3"/>
    <w:pPr>
      <w:keepNext/>
      <w:spacing w:line="360" w:lineRule="auto"/>
      <w:jc w:val="center"/>
    </w:pPr>
    <w:rPr>
      <w:rFonts w:ascii="Century Schoolbook" w:hAnsi="Century Schoolbook"/>
      <w:b/>
      <w:bCs/>
    </w:rPr>
  </w:style>
  <w:style w:type="character" w:customStyle="1" w:styleId="ListParagraphChar">
    <w:name w:val="List Paragraph Char"/>
    <w:basedOn w:val="DefaultParagraphFont"/>
    <w:link w:val="ListParagraph"/>
    <w:uiPriority w:val="34"/>
    <w:rsid w:val="003653CE"/>
    <w:rPr>
      <w:rFonts w:cs="Times New Roman"/>
    </w:rPr>
  </w:style>
  <w:style w:type="character" w:customStyle="1" w:styleId="AChar">
    <w:name w:val="A Char"/>
    <w:aliases w:val="Subheading Char"/>
    <w:basedOn w:val="ListParagraphChar"/>
    <w:link w:val="A"/>
    <w:rsid w:val="003653CE"/>
    <w:rPr>
      <w:rFonts w:ascii="Century Schoolbook" w:hAnsi="Century Schoolbook" w:cs="Times New Roman"/>
      <w:b/>
      <w:bCs/>
      <w:i/>
    </w:rPr>
  </w:style>
  <w:style w:type="paragraph" w:customStyle="1" w:styleId="ISubheading">
    <w:name w:val="I. Subheading"/>
    <w:basedOn w:val="ListParagraph"/>
    <w:link w:val="ISubheadingChar"/>
    <w:qFormat/>
    <w:rsid w:val="00213E66"/>
    <w:pPr>
      <w:numPr>
        <w:numId w:val="1"/>
      </w:numPr>
      <w:spacing w:line="360" w:lineRule="auto"/>
      <w:ind w:hanging="1080"/>
    </w:pPr>
    <w:rPr>
      <w:rFonts w:ascii="Century Schoolbook" w:hAnsi="Century Schoolbook"/>
      <w:b/>
      <w:bCs/>
      <w:i/>
    </w:rPr>
  </w:style>
  <w:style w:type="character" w:customStyle="1" w:styleId="HeadingChar">
    <w:name w:val="Heading Char"/>
    <w:basedOn w:val="DefaultParagraphFont"/>
    <w:link w:val="Heading"/>
    <w:rsid w:val="004B60F3"/>
    <w:rPr>
      <w:rFonts w:ascii="Century Schoolbook" w:hAnsi="Century Schoolbook" w:cs="Times New Roman"/>
      <w:b/>
      <w:bCs/>
    </w:rPr>
  </w:style>
  <w:style w:type="paragraph" w:customStyle="1" w:styleId="aSubheading">
    <w:name w:val="a. Subheading"/>
    <w:basedOn w:val="ListParagraph"/>
    <w:link w:val="aSubheadingChar"/>
    <w:qFormat/>
    <w:rsid w:val="000306B1"/>
    <w:pPr>
      <w:keepNext/>
      <w:numPr>
        <w:ilvl w:val="1"/>
        <w:numId w:val="1"/>
      </w:numPr>
      <w:spacing w:after="120" w:line="240" w:lineRule="auto"/>
    </w:pPr>
    <w:rPr>
      <w:rFonts w:ascii="Century Schoolbook" w:hAnsi="Century Schoolbook"/>
      <w:b/>
      <w:bCs/>
      <w:i/>
    </w:rPr>
  </w:style>
  <w:style w:type="character" w:customStyle="1" w:styleId="ISubheadingChar">
    <w:name w:val="I. Subheading Char"/>
    <w:basedOn w:val="ListParagraphChar"/>
    <w:link w:val="ISubheading"/>
    <w:rsid w:val="00213E66"/>
    <w:rPr>
      <w:rFonts w:ascii="Century Schoolbook" w:hAnsi="Century Schoolbook" w:cs="Times New Roman"/>
      <w:b/>
      <w:bCs/>
      <w:i/>
    </w:rPr>
  </w:style>
  <w:style w:type="character" w:customStyle="1" w:styleId="aSubheadingChar">
    <w:name w:val="a. Subheading Char"/>
    <w:basedOn w:val="ListParagraphChar"/>
    <w:link w:val="aSubheading"/>
    <w:rsid w:val="000306B1"/>
    <w:rPr>
      <w:rFonts w:ascii="Century Schoolbook" w:hAnsi="Century Schoolbook" w:cs="Times New Roman"/>
      <w:b/>
      <w:bCs/>
      <w:i/>
    </w:rPr>
  </w:style>
  <w:style w:type="character" w:customStyle="1" w:styleId="ssrfcpassagedeactivated">
    <w:name w:val="ss_rfcpassage_deactivated"/>
    <w:basedOn w:val="DefaultParagraphFont"/>
    <w:rsid w:val="00DF7299"/>
  </w:style>
  <w:style w:type="character" w:styleId="Hyperlink">
    <w:name w:val="Hyperlink"/>
    <w:basedOn w:val="DefaultParagraphFont"/>
    <w:uiPriority w:val="99"/>
    <w:semiHidden/>
    <w:unhideWhenUsed/>
    <w:rsid w:val="00DF7299"/>
    <w:rPr>
      <w:color w:val="0000FF"/>
      <w:u w:val="single"/>
    </w:rPr>
  </w:style>
  <w:style w:type="character" w:customStyle="1" w:styleId="ssit">
    <w:name w:val="ss_it"/>
    <w:basedOn w:val="DefaultParagraphFont"/>
    <w:rsid w:val="00DF7299"/>
  </w:style>
  <w:style w:type="character" w:customStyle="1" w:styleId="ssprior">
    <w:name w:val="ss_prior"/>
    <w:basedOn w:val="DefaultParagraphFont"/>
    <w:rsid w:val="00DF7299"/>
  </w:style>
  <w:style w:type="character" w:customStyle="1" w:styleId="ssib">
    <w:name w:val="ss_ib"/>
    <w:basedOn w:val="DefaultParagraphFont"/>
    <w:rsid w:val="00DF7299"/>
  </w:style>
  <w:style w:type="character" w:customStyle="1" w:styleId="ssbf">
    <w:name w:val="ss_bf"/>
    <w:basedOn w:val="DefaultParagraphFont"/>
    <w:rsid w:val="00DF7299"/>
  </w:style>
  <w:style w:type="paragraph" w:styleId="NormalWeb">
    <w:name w:val="Normal (Web)"/>
    <w:basedOn w:val="Normal"/>
    <w:uiPriority w:val="99"/>
    <w:unhideWhenUsed/>
    <w:rsid w:val="009E0F90"/>
    <w:pPr>
      <w:tabs>
        <w:tab w:val="clear" w:pos="720"/>
      </w:tabs>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CE1781"/>
    <w:rPr>
      <w:rFonts w:asciiTheme="majorHAnsi" w:eastAsiaTheme="majorEastAsia" w:hAnsiTheme="majorHAnsi" w:cstheme="majorBidi"/>
      <w:color w:val="2F5496" w:themeColor="accent1" w:themeShade="BF"/>
      <w:sz w:val="32"/>
      <w:szCs w:val="32"/>
    </w:rPr>
  </w:style>
  <w:style w:type="character" w:customStyle="1" w:styleId="sssh">
    <w:name w:val="ss_sh"/>
    <w:basedOn w:val="DefaultParagraphFont"/>
    <w:rsid w:val="008670DC"/>
  </w:style>
  <w:style w:type="character" w:customStyle="1" w:styleId="ssrfcsection">
    <w:name w:val="ss_rfcsection"/>
    <w:basedOn w:val="DefaultParagraphFont"/>
    <w:rsid w:val="00A11908"/>
  </w:style>
  <w:style w:type="character" w:customStyle="1" w:styleId="ac">
    <w:name w:val="ac"/>
    <w:basedOn w:val="DefaultParagraphFont"/>
    <w:rsid w:val="00A11908"/>
  </w:style>
  <w:style w:type="paragraph" w:styleId="Revision">
    <w:name w:val="Revision"/>
    <w:hidden/>
    <w:uiPriority w:val="99"/>
    <w:semiHidden/>
    <w:rsid w:val="00F22428"/>
    <w:pPr>
      <w:spacing w:after="0" w:line="240" w:lineRule="auto"/>
    </w:pPr>
    <w:rPr>
      <w:rFonts w:cs="Times New Roman"/>
    </w:rPr>
  </w:style>
  <w:style w:type="paragraph" w:customStyle="1" w:styleId="xmsonormal">
    <w:name w:val="x_msonormal"/>
    <w:basedOn w:val="Normal"/>
    <w:rsid w:val="00190AB2"/>
    <w:pPr>
      <w:tabs>
        <w:tab w:val="clear" w:pos="720"/>
      </w:tabs>
      <w:suppressAutoHyphens/>
      <w:autoSpaceDN w:val="0"/>
      <w:spacing w:line="240" w:lineRule="auto"/>
    </w:pPr>
    <w:rPr>
      <w:rFonts w:ascii="Calibri" w:eastAsia="Calibri" w:hAnsi="Calibri" w:cs="Calibri"/>
      <w:sz w:val="22"/>
      <w:szCs w:val="22"/>
    </w:rPr>
  </w:style>
  <w:style w:type="paragraph" w:customStyle="1" w:styleId="Normal2">
    <w:name w:val="Normal2"/>
    <w:basedOn w:val="Normal"/>
    <w:rsid w:val="00190AB2"/>
    <w:pPr>
      <w:tabs>
        <w:tab w:val="clear" w:pos="720"/>
      </w:tabs>
      <w:suppressAutoHyphens/>
      <w:autoSpaceDN w:val="0"/>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274">
      <w:bodyDiv w:val="1"/>
      <w:marLeft w:val="0"/>
      <w:marRight w:val="0"/>
      <w:marTop w:val="0"/>
      <w:marBottom w:val="0"/>
      <w:divBdr>
        <w:top w:val="none" w:sz="0" w:space="0" w:color="auto"/>
        <w:left w:val="none" w:sz="0" w:space="0" w:color="auto"/>
        <w:bottom w:val="none" w:sz="0" w:space="0" w:color="auto"/>
        <w:right w:val="none" w:sz="0" w:space="0" w:color="auto"/>
      </w:divBdr>
    </w:div>
    <w:div w:id="31001319">
      <w:bodyDiv w:val="1"/>
      <w:marLeft w:val="0"/>
      <w:marRight w:val="0"/>
      <w:marTop w:val="0"/>
      <w:marBottom w:val="0"/>
      <w:divBdr>
        <w:top w:val="none" w:sz="0" w:space="0" w:color="auto"/>
        <w:left w:val="none" w:sz="0" w:space="0" w:color="auto"/>
        <w:bottom w:val="none" w:sz="0" w:space="0" w:color="auto"/>
        <w:right w:val="none" w:sz="0" w:space="0" w:color="auto"/>
      </w:divBdr>
    </w:div>
    <w:div w:id="48111868">
      <w:bodyDiv w:val="1"/>
      <w:marLeft w:val="0"/>
      <w:marRight w:val="0"/>
      <w:marTop w:val="0"/>
      <w:marBottom w:val="0"/>
      <w:divBdr>
        <w:top w:val="none" w:sz="0" w:space="0" w:color="auto"/>
        <w:left w:val="none" w:sz="0" w:space="0" w:color="auto"/>
        <w:bottom w:val="none" w:sz="0" w:space="0" w:color="auto"/>
        <w:right w:val="none" w:sz="0" w:space="0" w:color="auto"/>
      </w:divBdr>
    </w:div>
    <w:div w:id="123236546">
      <w:bodyDiv w:val="1"/>
      <w:marLeft w:val="0"/>
      <w:marRight w:val="0"/>
      <w:marTop w:val="0"/>
      <w:marBottom w:val="0"/>
      <w:divBdr>
        <w:top w:val="none" w:sz="0" w:space="0" w:color="auto"/>
        <w:left w:val="none" w:sz="0" w:space="0" w:color="auto"/>
        <w:bottom w:val="none" w:sz="0" w:space="0" w:color="auto"/>
        <w:right w:val="none" w:sz="0" w:space="0" w:color="auto"/>
      </w:divBdr>
    </w:div>
    <w:div w:id="125782952">
      <w:bodyDiv w:val="1"/>
      <w:marLeft w:val="0"/>
      <w:marRight w:val="0"/>
      <w:marTop w:val="0"/>
      <w:marBottom w:val="0"/>
      <w:divBdr>
        <w:top w:val="none" w:sz="0" w:space="0" w:color="auto"/>
        <w:left w:val="none" w:sz="0" w:space="0" w:color="auto"/>
        <w:bottom w:val="none" w:sz="0" w:space="0" w:color="auto"/>
        <w:right w:val="none" w:sz="0" w:space="0" w:color="auto"/>
      </w:divBdr>
    </w:div>
    <w:div w:id="136916765">
      <w:bodyDiv w:val="1"/>
      <w:marLeft w:val="0"/>
      <w:marRight w:val="0"/>
      <w:marTop w:val="0"/>
      <w:marBottom w:val="0"/>
      <w:divBdr>
        <w:top w:val="none" w:sz="0" w:space="0" w:color="auto"/>
        <w:left w:val="none" w:sz="0" w:space="0" w:color="auto"/>
        <w:bottom w:val="none" w:sz="0" w:space="0" w:color="auto"/>
        <w:right w:val="none" w:sz="0" w:space="0" w:color="auto"/>
      </w:divBdr>
    </w:div>
    <w:div w:id="139463940">
      <w:bodyDiv w:val="1"/>
      <w:marLeft w:val="0"/>
      <w:marRight w:val="0"/>
      <w:marTop w:val="0"/>
      <w:marBottom w:val="0"/>
      <w:divBdr>
        <w:top w:val="none" w:sz="0" w:space="0" w:color="auto"/>
        <w:left w:val="none" w:sz="0" w:space="0" w:color="auto"/>
        <w:bottom w:val="none" w:sz="0" w:space="0" w:color="auto"/>
        <w:right w:val="none" w:sz="0" w:space="0" w:color="auto"/>
      </w:divBdr>
    </w:div>
    <w:div w:id="154956432">
      <w:bodyDiv w:val="1"/>
      <w:marLeft w:val="0"/>
      <w:marRight w:val="0"/>
      <w:marTop w:val="0"/>
      <w:marBottom w:val="0"/>
      <w:divBdr>
        <w:top w:val="none" w:sz="0" w:space="0" w:color="auto"/>
        <w:left w:val="none" w:sz="0" w:space="0" w:color="auto"/>
        <w:bottom w:val="none" w:sz="0" w:space="0" w:color="auto"/>
        <w:right w:val="none" w:sz="0" w:space="0" w:color="auto"/>
      </w:divBdr>
      <w:divsChild>
        <w:div w:id="262692884">
          <w:marLeft w:val="0"/>
          <w:marRight w:val="0"/>
          <w:marTop w:val="0"/>
          <w:marBottom w:val="0"/>
          <w:divBdr>
            <w:top w:val="none" w:sz="0" w:space="0" w:color="auto"/>
            <w:left w:val="none" w:sz="0" w:space="0" w:color="auto"/>
            <w:bottom w:val="none" w:sz="0" w:space="0" w:color="auto"/>
            <w:right w:val="none" w:sz="0" w:space="0" w:color="auto"/>
          </w:divBdr>
        </w:div>
      </w:divsChild>
    </w:div>
    <w:div w:id="162621979">
      <w:bodyDiv w:val="1"/>
      <w:marLeft w:val="0"/>
      <w:marRight w:val="0"/>
      <w:marTop w:val="0"/>
      <w:marBottom w:val="0"/>
      <w:divBdr>
        <w:top w:val="none" w:sz="0" w:space="0" w:color="auto"/>
        <w:left w:val="none" w:sz="0" w:space="0" w:color="auto"/>
        <w:bottom w:val="none" w:sz="0" w:space="0" w:color="auto"/>
        <w:right w:val="none" w:sz="0" w:space="0" w:color="auto"/>
      </w:divBdr>
    </w:div>
    <w:div w:id="165678671">
      <w:bodyDiv w:val="1"/>
      <w:marLeft w:val="0"/>
      <w:marRight w:val="0"/>
      <w:marTop w:val="0"/>
      <w:marBottom w:val="0"/>
      <w:divBdr>
        <w:top w:val="none" w:sz="0" w:space="0" w:color="auto"/>
        <w:left w:val="none" w:sz="0" w:space="0" w:color="auto"/>
        <w:bottom w:val="none" w:sz="0" w:space="0" w:color="auto"/>
        <w:right w:val="none" w:sz="0" w:space="0" w:color="auto"/>
      </w:divBdr>
    </w:div>
    <w:div w:id="232738392">
      <w:bodyDiv w:val="1"/>
      <w:marLeft w:val="0"/>
      <w:marRight w:val="0"/>
      <w:marTop w:val="0"/>
      <w:marBottom w:val="0"/>
      <w:divBdr>
        <w:top w:val="none" w:sz="0" w:space="0" w:color="auto"/>
        <w:left w:val="none" w:sz="0" w:space="0" w:color="auto"/>
        <w:bottom w:val="none" w:sz="0" w:space="0" w:color="auto"/>
        <w:right w:val="none" w:sz="0" w:space="0" w:color="auto"/>
      </w:divBdr>
    </w:div>
    <w:div w:id="234827390">
      <w:bodyDiv w:val="1"/>
      <w:marLeft w:val="0"/>
      <w:marRight w:val="0"/>
      <w:marTop w:val="0"/>
      <w:marBottom w:val="0"/>
      <w:divBdr>
        <w:top w:val="none" w:sz="0" w:space="0" w:color="auto"/>
        <w:left w:val="none" w:sz="0" w:space="0" w:color="auto"/>
        <w:bottom w:val="none" w:sz="0" w:space="0" w:color="auto"/>
        <w:right w:val="none" w:sz="0" w:space="0" w:color="auto"/>
      </w:divBdr>
    </w:div>
    <w:div w:id="241182586">
      <w:bodyDiv w:val="1"/>
      <w:marLeft w:val="0"/>
      <w:marRight w:val="0"/>
      <w:marTop w:val="0"/>
      <w:marBottom w:val="0"/>
      <w:divBdr>
        <w:top w:val="none" w:sz="0" w:space="0" w:color="auto"/>
        <w:left w:val="none" w:sz="0" w:space="0" w:color="auto"/>
        <w:bottom w:val="none" w:sz="0" w:space="0" w:color="auto"/>
        <w:right w:val="none" w:sz="0" w:space="0" w:color="auto"/>
      </w:divBdr>
    </w:div>
    <w:div w:id="250505908">
      <w:bodyDiv w:val="1"/>
      <w:marLeft w:val="0"/>
      <w:marRight w:val="0"/>
      <w:marTop w:val="0"/>
      <w:marBottom w:val="0"/>
      <w:divBdr>
        <w:top w:val="none" w:sz="0" w:space="0" w:color="auto"/>
        <w:left w:val="none" w:sz="0" w:space="0" w:color="auto"/>
        <w:bottom w:val="none" w:sz="0" w:space="0" w:color="auto"/>
        <w:right w:val="none" w:sz="0" w:space="0" w:color="auto"/>
      </w:divBdr>
    </w:div>
    <w:div w:id="278530718">
      <w:bodyDiv w:val="1"/>
      <w:marLeft w:val="0"/>
      <w:marRight w:val="0"/>
      <w:marTop w:val="0"/>
      <w:marBottom w:val="0"/>
      <w:divBdr>
        <w:top w:val="none" w:sz="0" w:space="0" w:color="auto"/>
        <w:left w:val="none" w:sz="0" w:space="0" w:color="auto"/>
        <w:bottom w:val="none" w:sz="0" w:space="0" w:color="auto"/>
        <w:right w:val="none" w:sz="0" w:space="0" w:color="auto"/>
      </w:divBdr>
    </w:div>
    <w:div w:id="286936136">
      <w:bodyDiv w:val="1"/>
      <w:marLeft w:val="0"/>
      <w:marRight w:val="0"/>
      <w:marTop w:val="0"/>
      <w:marBottom w:val="0"/>
      <w:divBdr>
        <w:top w:val="none" w:sz="0" w:space="0" w:color="auto"/>
        <w:left w:val="none" w:sz="0" w:space="0" w:color="auto"/>
        <w:bottom w:val="none" w:sz="0" w:space="0" w:color="auto"/>
        <w:right w:val="none" w:sz="0" w:space="0" w:color="auto"/>
      </w:divBdr>
    </w:div>
    <w:div w:id="296493743">
      <w:bodyDiv w:val="1"/>
      <w:marLeft w:val="0"/>
      <w:marRight w:val="0"/>
      <w:marTop w:val="0"/>
      <w:marBottom w:val="0"/>
      <w:divBdr>
        <w:top w:val="none" w:sz="0" w:space="0" w:color="auto"/>
        <w:left w:val="none" w:sz="0" w:space="0" w:color="auto"/>
        <w:bottom w:val="none" w:sz="0" w:space="0" w:color="auto"/>
        <w:right w:val="none" w:sz="0" w:space="0" w:color="auto"/>
      </w:divBdr>
    </w:div>
    <w:div w:id="306669500">
      <w:bodyDiv w:val="1"/>
      <w:marLeft w:val="0"/>
      <w:marRight w:val="0"/>
      <w:marTop w:val="0"/>
      <w:marBottom w:val="0"/>
      <w:divBdr>
        <w:top w:val="none" w:sz="0" w:space="0" w:color="auto"/>
        <w:left w:val="none" w:sz="0" w:space="0" w:color="auto"/>
        <w:bottom w:val="none" w:sz="0" w:space="0" w:color="auto"/>
        <w:right w:val="none" w:sz="0" w:space="0" w:color="auto"/>
      </w:divBdr>
    </w:div>
    <w:div w:id="339280311">
      <w:bodyDiv w:val="1"/>
      <w:marLeft w:val="0"/>
      <w:marRight w:val="0"/>
      <w:marTop w:val="0"/>
      <w:marBottom w:val="0"/>
      <w:divBdr>
        <w:top w:val="none" w:sz="0" w:space="0" w:color="auto"/>
        <w:left w:val="none" w:sz="0" w:space="0" w:color="auto"/>
        <w:bottom w:val="none" w:sz="0" w:space="0" w:color="auto"/>
        <w:right w:val="none" w:sz="0" w:space="0" w:color="auto"/>
      </w:divBdr>
    </w:div>
    <w:div w:id="346252339">
      <w:bodyDiv w:val="1"/>
      <w:marLeft w:val="0"/>
      <w:marRight w:val="0"/>
      <w:marTop w:val="0"/>
      <w:marBottom w:val="0"/>
      <w:divBdr>
        <w:top w:val="none" w:sz="0" w:space="0" w:color="auto"/>
        <w:left w:val="none" w:sz="0" w:space="0" w:color="auto"/>
        <w:bottom w:val="none" w:sz="0" w:space="0" w:color="auto"/>
        <w:right w:val="none" w:sz="0" w:space="0" w:color="auto"/>
      </w:divBdr>
      <w:divsChild>
        <w:div w:id="115679458">
          <w:marLeft w:val="0"/>
          <w:marRight w:val="0"/>
          <w:marTop w:val="0"/>
          <w:marBottom w:val="0"/>
          <w:divBdr>
            <w:top w:val="none" w:sz="0" w:space="0" w:color="auto"/>
            <w:left w:val="none" w:sz="0" w:space="0" w:color="auto"/>
            <w:bottom w:val="none" w:sz="0" w:space="0" w:color="auto"/>
            <w:right w:val="none" w:sz="0" w:space="0" w:color="auto"/>
          </w:divBdr>
        </w:div>
      </w:divsChild>
    </w:div>
    <w:div w:id="365061300">
      <w:bodyDiv w:val="1"/>
      <w:marLeft w:val="0"/>
      <w:marRight w:val="0"/>
      <w:marTop w:val="0"/>
      <w:marBottom w:val="0"/>
      <w:divBdr>
        <w:top w:val="none" w:sz="0" w:space="0" w:color="auto"/>
        <w:left w:val="none" w:sz="0" w:space="0" w:color="auto"/>
        <w:bottom w:val="none" w:sz="0" w:space="0" w:color="auto"/>
        <w:right w:val="none" w:sz="0" w:space="0" w:color="auto"/>
      </w:divBdr>
      <w:divsChild>
        <w:div w:id="793868367">
          <w:marLeft w:val="480"/>
          <w:marRight w:val="0"/>
          <w:marTop w:val="0"/>
          <w:marBottom w:val="0"/>
          <w:divBdr>
            <w:top w:val="none" w:sz="0" w:space="0" w:color="auto"/>
            <w:left w:val="none" w:sz="0" w:space="0" w:color="auto"/>
            <w:bottom w:val="none" w:sz="0" w:space="0" w:color="auto"/>
            <w:right w:val="none" w:sz="0" w:space="0" w:color="auto"/>
          </w:divBdr>
        </w:div>
      </w:divsChild>
    </w:div>
    <w:div w:id="412777572">
      <w:bodyDiv w:val="1"/>
      <w:marLeft w:val="0"/>
      <w:marRight w:val="0"/>
      <w:marTop w:val="0"/>
      <w:marBottom w:val="0"/>
      <w:divBdr>
        <w:top w:val="none" w:sz="0" w:space="0" w:color="auto"/>
        <w:left w:val="none" w:sz="0" w:space="0" w:color="auto"/>
        <w:bottom w:val="none" w:sz="0" w:space="0" w:color="auto"/>
        <w:right w:val="none" w:sz="0" w:space="0" w:color="auto"/>
      </w:divBdr>
    </w:div>
    <w:div w:id="416171356">
      <w:bodyDiv w:val="1"/>
      <w:marLeft w:val="0"/>
      <w:marRight w:val="0"/>
      <w:marTop w:val="0"/>
      <w:marBottom w:val="0"/>
      <w:divBdr>
        <w:top w:val="none" w:sz="0" w:space="0" w:color="auto"/>
        <w:left w:val="none" w:sz="0" w:space="0" w:color="auto"/>
        <w:bottom w:val="none" w:sz="0" w:space="0" w:color="auto"/>
        <w:right w:val="none" w:sz="0" w:space="0" w:color="auto"/>
      </w:divBdr>
      <w:divsChild>
        <w:div w:id="123013331">
          <w:marLeft w:val="0"/>
          <w:marRight w:val="0"/>
          <w:marTop w:val="0"/>
          <w:marBottom w:val="0"/>
          <w:divBdr>
            <w:top w:val="none" w:sz="0" w:space="0" w:color="auto"/>
            <w:left w:val="none" w:sz="0" w:space="0" w:color="auto"/>
            <w:bottom w:val="none" w:sz="0" w:space="0" w:color="auto"/>
            <w:right w:val="none" w:sz="0" w:space="0" w:color="auto"/>
          </w:divBdr>
        </w:div>
      </w:divsChild>
    </w:div>
    <w:div w:id="419447234">
      <w:bodyDiv w:val="1"/>
      <w:marLeft w:val="0"/>
      <w:marRight w:val="0"/>
      <w:marTop w:val="0"/>
      <w:marBottom w:val="0"/>
      <w:divBdr>
        <w:top w:val="none" w:sz="0" w:space="0" w:color="auto"/>
        <w:left w:val="none" w:sz="0" w:space="0" w:color="auto"/>
        <w:bottom w:val="none" w:sz="0" w:space="0" w:color="auto"/>
        <w:right w:val="none" w:sz="0" w:space="0" w:color="auto"/>
      </w:divBdr>
    </w:div>
    <w:div w:id="448938365">
      <w:bodyDiv w:val="1"/>
      <w:marLeft w:val="0"/>
      <w:marRight w:val="0"/>
      <w:marTop w:val="0"/>
      <w:marBottom w:val="0"/>
      <w:divBdr>
        <w:top w:val="none" w:sz="0" w:space="0" w:color="auto"/>
        <w:left w:val="none" w:sz="0" w:space="0" w:color="auto"/>
        <w:bottom w:val="none" w:sz="0" w:space="0" w:color="auto"/>
        <w:right w:val="none" w:sz="0" w:space="0" w:color="auto"/>
      </w:divBdr>
      <w:divsChild>
        <w:div w:id="2136679120">
          <w:marLeft w:val="0"/>
          <w:marRight w:val="0"/>
          <w:marTop w:val="0"/>
          <w:marBottom w:val="0"/>
          <w:divBdr>
            <w:top w:val="none" w:sz="0" w:space="0" w:color="auto"/>
            <w:left w:val="none" w:sz="0" w:space="0" w:color="auto"/>
            <w:bottom w:val="none" w:sz="0" w:space="0" w:color="auto"/>
            <w:right w:val="none" w:sz="0" w:space="0" w:color="auto"/>
          </w:divBdr>
        </w:div>
      </w:divsChild>
    </w:div>
    <w:div w:id="473254589">
      <w:bodyDiv w:val="1"/>
      <w:marLeft w:val="0"/>
      <w:marRight w:val="0"/>
      <w:marTop w:val="0"/>
      <w:marBottom w:val="0"/>
      <w:divBdr>
        <w:top w:val="none" w:sz="0" w:space="0" w:color="auto"/>
        <w:left w:val="none" w:sz="0" w:space="0" w:color="auto"/>
        <w:bottom w:val="none" w:sz="0" w:space="0" w:color="auto"/>
        <w:right w:val="none" w:sz="0" w:space="0" w:color="auto"/>
      </w:divBdr>
    </w:div>
    <w:div w:id="478302540">
      <w:bodyDiv w:val="1"/>
      <w:marLeft w:val="0"/>
      <w:marRight w:val="0"/>
      <w:marTop w:val="0"/>
      <w:marBottom w:val="0"/>
      <w:divBdr>
        <w:top w:val="none" w:sz="0" w:space="0" w:color="auto"/>
        <w:left w:val="none" w:sz="0" w:space="0" w:color="auto"/>
        <w:bottom w:val="none" w:sz="0" w:space="0" w:color="auto"/>
        <w:right w:val="none" w:sz="0" w:space="0" w:color="auto"/>
      </w:divBdr>
    </w:div>
    <w:div w:id="482429500">
      <w:bodyDiv w:val="1"/>
      <w:marLeft w:val="0"/>
      <w:marRight w:val="0"/>
      <w:marTop w:val="0"/>
      <w:marBottom w:val="0"/>
      <w:divBdr>
        <w:top w:val="none" w:sz="0" w:space="0" w:color="auto"/>
        <w:left w:val="none" w:sz="0" w:space="0" w:color="auto"/>
        <w:bottom w:val="none" w:sz="0" w:space="0" w:color="auto"/>
        <w:right w:val="none" w:sz="0" w:space="0" w:color="auto"/>
      </w:divBdr>
      <w:divsChild>
        <w:div w:id="974527481">
          <w:marLeft w:val="0"/>
          <w:marRight w:val="0"/>
          <w:marTop w:val="0"/>
          <w:marBottom w:val="0"/>
          <w:divBdr>
            <w:top w:val="none" w:sz="0" w:space="0" w:color="auto"/>
            <w:left w:val="none" w:sz="0" w:space="0" w:color="auto"/>
            <w:bottom w:val="none" w:sz="0" w:space="0" w:color="auto"/>
            <w:right w:val="none" w:sz="0" w:space="0" w:color="auto"/>
          </w:divBdr>
        </w:div>
      </w:divsChild>
    </w:div>
    <w:div w:id="492376976">
      <w:bodyDiv w:val="1"/>
      <w:marLeft w:val="0"/>
      <w:marRight w:val="0"/>
      <w:marTop w:val="0"/>
      <w:marBottom w:val="0"/>
      <w:divBdr>
        <w:top w:val="none" w:sz="0" w:space="0" w:color="auto"/>
        <w:left w:val="none" w:sz="0" w:space="0" w:color="auto"/>
        <w:bottom w:val="none" w:sz="0" w:space="0" w:color="auto"/>
        <w:right w:val="none" w:sz="0" w:space="0" w:color="auto"/>
      </w:divBdr>
    </w:div>
    <w:div w:id="493421863">
      <w:bodyDiv w:val="1"/>
      <w:marLeft w:val="0"/>
      <w:marRight w:val="0"/>
      <w:marTop w:val="0"/>
      <w:marBottom w:val="0"/>
      <w:divBdr>
        <w:top w:val="none" w:sz="0" w:space="0" w:color="auto"/>
        <w:left w:val="none" w:sz="0" w:space="0" w:color="auto"/>
        <w:bottom w:val="none" w:sz="0" w:space="0" w:color="auto"/>
        <w:right w:val="none" w:sz="0" w:space="0" w:color="auto"/>
      </w:divBdr>
      <w:divsChild>
        <w:div w:id="1998528298">
          <w:marLeft w:val="0"/>
          <w:marRight w:val="0"/>
          <w:marTop w:val="0"/>
          <w:marBottom w:val="0"/>
          <w:divBdr>
            <w:top w:val="none" w:sz="0" w:space="0" w:color="auto"/>
            <w:left w:val="none" w:sz="0" w:space="0" w:color="auto"/>
            <w:bottom w:val="none" w:sz="0" w:space="0" w:color="auto"/>
            <w:right w:val="none" w:sz="0" w:space="0" w:color="auto"/>
          </w:divBdr>
          <w:divsChild>
            <w:div w:id="128284493">
              <w:marLeft w:val="0"/>
              <w:marRight w:val="0"/>
              <w:marTop w:val="0"/>
              <w:marBottom w:val="0"/>
              <w:divBdr>
                <w:top w:val="none" w:sz="0" w:space="0" w:color="auto"/>
                <w:left w:val="none" w:sz="0" w:space="0" w:color="auto"/>
                <w:bottom w:val="none" w:sz="0" w:space="0" w:color="auto"/>
                <w:right w:val="none" w:sz="0" w:space="0" w:color="auto"/>
              </w:divBdr>
              <w:divsChild>
                <w:div w:id="1508204384">
                  <w:marLeft w:val="0"/>
                  <w:marRight w:val="0"/>
                  <w:marTop w:val="0"/>
                  <w:marBottom w:val="0"/>
                  <w:divBdr>
                    <w:top w:val="none" w:sz="0" w:space="0" w:color="auto"/>
                    <w:left w:val="none" w:sz="0" w:space="0" w:color="auto"/>
                    <w:bottom w:val="none" w:sz="0" w:space="0" w:color="auto"/>
                    <w:right w:val="none" w:sz="0" w:space="0" w:color="auto"/>
                  </w:divBdr>
                  <w:divsChild>
                    <w:div w:id="1038699981">
                      <w:marLeft w:val="0"/>
                      <w:marRight w:val="0"/>
                      <w:marTop w:val="0"/>
                      <w:marBottom w:val="0"/>
                      <w:divBdr>
                        <w:top w:val="none" w:sz="0" w:space="0" w:color="auto"/>
                        <w:left w:val="none" w:sz="0" w:space="0" w:color="auto"/>
                        <w:bottom w:val="none" w:sz="0" w:space="0" w:color="auto"/>
                        <w:right w:val="none" w:sz="0" w:space="0" w:color="auto"/>
                      </w:divBdr>
                      <w:divsChild>
                        <w:div w:id="958727830">
                          <w:marLeft w:val="0"/>
                          <w:marRight w:val="0"/>
                          <w:marTop w:val="0"/>
                          <w:marBottom w:val="0"/>
                          <w:divBdr>
                            <w:top w:val="none" w:sz="0" w:space="0" w:color="auto"/>
                            <w:left w:val="none" w:sz="0" w:space="0" w:color="auto"/>
                            <w:bottom w:val="none" w:sz="0" w:space="0" w:color="auto"/>
                            <w:right w:val="none" w:sz="0" w:space="0" w:color="auto"/>
                          </w:divBdr>
                          <w:divsChild>
                            <w:div w:id="192769269">
                              <w:marLeft w:val="0"/>
                              <w:marRight w:val="0"/>
                              <w:marTop w:val="0"/>
                              <w:marBottom w:val="0"/>
                              <w:divBdr>
                                <w:top w:val="none" w:sz="0" w:space="0" w:color="auto"/>
                                <w:left w:val="none" w:sz="0" w:space="0" w:color="auto"/>
                                <w:bottom w:val="none" w:sz="0" w:space="0" w:color="auto"/>
                                <w:right w:val="none" w:sz="0" w:space="0" w:color="auto"/>
                              </w:divBdr>
                              <w:divsChild>
                                <w:div w:id="1999722680">
                                  <w:marLeft w:val="0"/>
                                  <w:marRight w:val="0"/>
                                  <w:marTop w:val="0"/>
                                  <w:marBottom w:val="0"/>
                                  <w:divBdr>
                                    <w:top w:val="none" w:sz="0" w:space="0" w:color="auto"/>
                                    <w:left w:val="none" w:sz="0" w:space="0" w:color="auto"/>
                                    <w:bottom w:val="none" w:sz="0" w:space="0" w:color="auto"/>
                                    <w:right w:val="none" w:sz="0" w:space="0" w:color="auto"/>
                                  </w:divBdr>
                                </w:div>
                              </w:divsChild>
                            </w:div>
                            <w:div w:id="764226031">
                              <w:marLeft w:val="0"/>
                              <w:marRight w:val="0"/>
                              <w:marTop w:val="0"/>
                              <w:marBottom w:val="0"/>
                              <w:divBdr>
                                <w:top w:val="none" w:sz="0" w:space="0" w:color="auto"/>
                                <w:left w:val="none" w:sz="0" w:space="0" w:color="auto"/>
                                <w:bottom w:val="none" w:sz="0" w:space="0" w:color="auto"/>
                                <w:right w:val="none" w:sz="0" w:space="0" w:color="auto"/>
                              </w:divBdr>
                              <w:divsChild>
                                <w:div w:id="14149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554103">
      <w:bodyDiv w:val="1"/>
      <w:marLeft w:val="0"/>
      <w:marRight w:val="0"/>
      <w:marTop w:val="0"/>
      <w:marBottom w:val="0"/>
      <w:divBdr>
        <w:top w:val="none" w:sz="0" w:space="0" w:color="auto"/>
        <w:left w:val="none" w:sz="0" w:space="0" w:color="auto"/>
        <w:bottom w:val="none" w:sz="0" w:space="0" w:color="auto"/>
        <w:right w:val="none" w:sz="0" w:space="0" w:color="auto"/>
      </w:divBdr>
    </w:div>
    <w:div w:id="530189000">
      <w:bodyDiv w:val="1"/>
      <w:marLeft w:val="0"/>
      <w:marRight w:val="0"/>
      <w:marTop w:val="0"/>
      <w:marBottom w:val="0"/>
      <w:divBdr>
        <w:top w:val="none" w:sz="0" w:space="0" w:color="auto"/>
        <w:left w:val="none" w:sz="0" w:space="0" w:color="auto"/>
        <w:bottom w:val="none" w:sz="0" w:space="0" w:color="auto"/>
        <w:right w:val="none" w:sz="0" w:space="0" w:color="auto"/>
      </w:divBdr>
    </w:div>
    <w:div w:id="548306011">
      <w:bodyDiv w:val="1"/>
      <w:marLeft w:val="0"/>
      <w:marRight w:val="0"/>
      <w:marTop w:val="0"/>
      <w:marBottom w:val="0"/>
      <w:divBdr>
        <w:top w:val="none" w:sz="0" w:space="0" w:color="auto"/>
        <w:left w:val="none" w:sz="0" w:space="0" w:color="auto"/>
        <w:bottom w:val="none" w:sz="0" w:space="0" w:color="auto"/>
        <w:right w:val="none" w:sz="0" w:space="0" w:color="auto"/>
      </w:divBdr>
    </w:div>
    <w:div w:id="576549712">
      <w:bodyDiv w:val="1"/>
      <w:marLeft w:val="0"/>
      <w:marRight w:val="0"/>
      <w:marTop w:val="0"/>
      <w:marBottom w:val="0"/>
      <w:divBdr>
        <w:top w:val="none" w:sz="0" w:space="0" w:color="auto"/>
        <w:left w:val="none" w:sz="0" w:space="0" w:color="auto"/>
        <w:bottom w:val="none" w:sz="0" w:space="0" w:color="auto"/>
        <w:right w:val="none" w:sz="0" w:space="0" w:color="auto"/>
      </w:divBdr>
    </w:div>
    <w:div w:id="619341969">
      <w:bodyDiv w:val="1"/>
      <w:marLeft w:val="0"/>
      <w:marRight w:val="0"/>
      <w:marTop w:val="0"/>
      <w:marBottom w:val="0"/>
      <w:divBdr>
        <w:top w:val="none" w:sz="0" w:space="0" w:color="auto"/>
        <w:left w:val="none" w:sz="0" w:space="0" w:color="auto"/>
        <w:bottom w:val="none" w:sz="0" w:space="0" w:color="auto"/>
        <w:right w:val="none" w:sz="0" w:space="0" w:color="auto"/>
      </w:divBdr>
    </w:div>
    <w:div w:id="655063390">
      <w:bodyDiv w:val="1"/>
      <w:marLeft w:val="0"/>
      <w:marRight w:val="0"/>
      <w:marTop w:val="0"/>
      <w:marBottom w:val="0"/>
      <w:divBdr>
        <w:top w:val="none" w:sz="0" w:space="0" w:color="auto"/>
        <w:left w:val="none" w:sz="0" w:space="0" w:color="auto"/>
        <w:bottom w:val="none" w:sz="0" w:space="0" w:color="auto"/>
        <w:right w:val="none" w:sz="0" w:space="0" w:color="auto"/>
      </w:divBdr>
    </w:div>
    <w:div w:id="702242750">
      <w:bodyDiv w:val="1"/>
      <w:marLeft w:val="0"/>
      <w:marRight w:val="0"/>
      <w:marTop w:val="0"/>
      <w:marBottom w:val="0"/>
      <w:divBdr>
        <w:top w:val="none" w:sz="0" w:space="0" w:color="auto"/>
        <w:left w:val="none" w:sz="0" w:space="0" w:color="auto"/>
        <w:bottom w:val="none" w:sz="0" w:space="0" w:color="auto"/>
        <w:right w:val="none" w:sz="0" w:space="0" w:color="auto"/>
      </w:divBdr>
    </w:div>
    <w:div w:id="738164355">
      <w:bodyDiv w:val="1"/>
      <w:marLeft w:val="0"/>
      <w:marRight w:val="0"/>
      <w:marTop w:val="0"/>
      <w:marBottom w:val="0"/>
      <w:divBdr>
        <w:top w:val="none" w:sz="0" w:space="0" w:color="auto"/>
        <w:left w:val="none" w:sz="0" w:space="0" w:color="auto"/>
        <w:bottom w:val="none" w:sz="0" w:space="0" w:color="auto"/>
        <w:right w:val="none" w:sz="0" w:space="0" w:color="auto"/>
      </w:divBdr>
    </w:div>
    <w:div w:id="785662661">
      <w:bodyDiv w:val="1"/>
      <w:marLeft w:val="0"/>
      <w:marRight w:val="0"/>
      <w:marTop w:val="0"/>
      <w:marBottom w:val="0"/>
      <w:divBdr>
        <w:top w:val="none" w:sz="0" w:space="0" w:color="auto"/>
        <w:left w:val="none" w:sz="0" w:space="0" w:color="auto"/>
        <w:bottom w:val="none" w:sz="0" w:space="0" w:color="auto"/>
        <w:right w:val="none" w:sz="0" w:space="0" w:color="auto"/>
      </w:divBdr>
    </w:div>
    <w:div w:id="816385811">
      <w:bodyDiv w:val="1"/>
      <w:marLeft w:val="0"/>
      <w:marRight w:val="0"/>
      <w:marTop w:val="0"/>
      <w:marBottom w:val="0"/>
      <w:divBdr>
        <w:top w:val="none" w:sz="0" w:space="0" w:color="auto"/>
        <w:left w:val="none" w:sz="0" w:space="0" w:color="auto"/>
        <w:bottom w:val="none" w:sz="0" w:space="0" w:color="auto"/>
        <w:right w:val="none" w:sz="0" w:space="0" w:color="auto"/>
      </w:divBdr>
    </w:div>
    <w:div w:id="884098428">
      <w:bodyDiv w:val="1"/>
      <w:marLeft w:val="0"/>
      <w:marRight w:val="0"/>
      <w:marTop w:val="0"/>
      <w:marBottom w:val="0"/>
      <w:divBdr>
        <w:top w:val="none" w:sz="0" w:space="0" w:color="auto"/>
        <w:left w:val="none" w:sz="0" w:space="0" w:color="auto"/>
        <w:bottom w:val="none" w:sz="0" w:space="0" w:color="auto"/>
        <w:right w:val="none" w:sz="0" w:space="0" w:color="auto"/>
      </w:divBdr>
    </w:div>
    <w:div w:id="897667609">
      <w:bodyDiv w:val="1"/>
      <w:marLeft w:val="0"/>
      <w:marRight w:val="0"/>
      <w:marTop w:val="0"/>
      <w:marBottom w:val="0"/>
      <w:divBdr>
        <w:top w:val="none" w:sz="0" w:space="0" w:color="auto"/>
        <w:left w:val="none" w:sz="0" w:space="0" w:color="auto"/>
        <w:bottom w:val="none" w:sz="0" w:space="0" w:color="auto"/>
        <w:right w:val="none" w:sz="0" w:space="0" w:color="auto"/>
      </w:divBdr>
    </w:div>
    <w:div w:id="906961061">
      <w:bodyDiv w:val="1"/>
      <w:marLeft w:val="0"/>
      <w:marRight w:val="0"/>
      <w:marTop w:val="0"/>
      <w:marBottom w:val="0"/>
      <w:divBdr>
        <w:top w:val="none" w:sz="0" w:space="0" w:color="auto"/>
        <w:left w:val="none" w:sz="0" w:space="0" w:color="auto"/>
        <w:bottom w:val="none" w:sz="0" w:space="0" w:color="auto"/>
        <w:right w:val="none" w:sz="0" w:space="0" w:color="auto"/>
      </w:divBdr>
    </w:div>
    <w:div w:id="912004157">
      <w:bodyDiv w:val="1"/>
      <w:marLeft w:val="0"/>
      <w:marRight w:val="0"/>
      <w:marTop w:val="0"/>
      <w:marBottom w:val="0"/>
      <w:divBdr>
        <w:top w:val="none" w:sz="0" w:space="0" w:color="auto"/>
        <w:left w:val="none" w:sz="0" w:space="0" w:color="auto"/>
        <w:bottom w:val="none" w:sz="0" w:space="0" w:color="auto"/>
        <w:right w:val="none" w:sz="0" w:space="0" w:color="auto"/>
      </w:divBdr>
    </w:div>
    <w:div w:id="974211785">
      <w:bodyDiv w:val="1"/>
      <w:marLeft w:val="0"/>
      <w:marRight w:val="0"/>
      <w:marTop w:val="0"/>
      <w:marBottom w:val="0"/>
      <w:divBdr>
        <w:top w:val="none" w:sz="0" w:space="0" w:color="auto"/>
        <w:left w:val="none" w:sz="0" w:space="0" w:color="auto"/>
        <w:bottom w:val="none" w:sz="0" w:space="0" w:color="auto"/>
        <w:right w:val="none" w:sz="0" w:space="0" w:color="auto"/>
      </w:divBdr>
      <w:divsChild>
        <w:div w:id="1197546022">
          <w:marLeft w:val="0"/>
          <w:marRight w:val="0"/>
          <w:marTop w:val="0"/>
          <w:marBottom w:val="0"/>
          <w:divBdr>
            <w:top w:val="none" w:sz="0" w:space="0" w:color="auto"/>
            <w:left w:val="none" w:sz="0" w:space="0" w:color="auto"/>
            <w:bottom w:val="none" w:sz="0" w:space="0" w:color="auto"/>
            <w:right w:val="none" w:sz="0" w:space="0" w:color="auto"/>
          </w:divBdr>
        </w:div>
      </w:divsChild>
    </w:div>
    <w:div w:id="1000739739">
      <w:bodyDiv w:val="1"/>
      <w:marLeft w:val="0"/>
      <w:marRight w:val="0"/>
      <w:marTop w:val="0"/>
      <w:marBottom w:val="0"/>
      <w:divBdr>
        <w:top w:val="none" w:sz="0" w:space="0" w:color="auto"/>
        <w:left w:val="none" w:sz="0" w:space="0" w:color="auto"/>
        <w:bottom w:val="none" w:sz="0" w:space="0" w:color="auto"/>
        <w:right w:val="none" w:sz="0" w:space="0" w:color="auto"/>
      </w:divBdr>
    </w:div>
    <w:div w:id="1017804486">
      <w:bodyDiv w:val="1"/>
      <w:marLeft w:val="0"/>
      <w:marRight w:val="0"/>
      <w:marTop w:val="0"/>
      <w:marBottom w:val="0"/>
      <w:divBdr>
        <w:top w:val="none" w:sz="0" w:space="0" w:color="auto"/>
        <w:left w:val="none" w:sz="0" w:space="0" w:color="auto"/>
        <w:bottom w:val="none" w:sz="0" w:space="0" w:color="auto"/>
        <w:right w:val="none" w:sz="0" w:space="0" w:color="auto"/>
      </w:divBdr>
      <w:divsChild>
        <w:div w:id="900753824">
          <w:marLeft w:val="480"/>
          <w:marRight w:val="0"/>
          <w:marTop w:val="0"/>
          <w:marBottom w:val="0"/>
          <w:divBdr>
            <w:top w:val="none" w:sz="0" w:space="0" w:color="auto"/>
            <w:left w:val="none" w:sz="0" w:space="0" w:color="auto"/>
            <w:bottom w:val="none" w:sz="0" w:space="0" w:color="auto"/>
            <w:right w:val="none" w:sz="0" w:space="0" w:color="auto"/>
          </w:divBdr>
        </w:div>
        <w:div w:id="1389768360">
          <w:marLeft w:val="480"/>
          <w:marRight w:val="0"/>
          <w:marTop w:val="0"/>
          <w:marBottom w:val="0"/>
          <w:divBdr>
            <w:top w:val="none" w:sz="0" w:space="0" w:color="auto"/>
            <w:left w:val="none" w:sz="0" w:space="0" w:color="auto"/>
            <w:bottom w:val="none" w:sz="0" w:space="0" w:color="auto"/>
            <w:right w:val="none" w:sz="0" w:space="0" w:color="auto"/>
          </w:divBdr>
        </w:div>
        <w:div w:id="1954169909">
          <w:marLeft w:val="480"/>
          <w:marRight w:val="0"/>
          <w:marTop w:val="0"/>
          <w:marBottom w:val="0"/>
          <w:divBdr>
            <w:top w:val="none" w:sz="0" w:space="0" w:color="auto"/>
            <w:left w:val="none" w:sz="0" w:space="0" w:color="auto"/>
            <w:bottom w:val="none" w:sz="0" w:space="0" w:color="auto"/>
            <w:right w:val="none" w:sz="0" w:space="0" w:color="auto"/>
          </w:divBdr>
        </w:div>
      </w:divsChild>
    </w:div>
    <w:div w:id="1056396332">
      <w:bodyDiv w:val="1"/>
      <w:marLeft w:val="0"/>
      <w:marRight w:val="0"/>
      <w:marTop w:val="0"/>
      <w:marBottom w:val="0"/>
      <w:divBdr>
        <w:top w:val="none" w:sz="0" w:space="0" w:color="auto"/>
        <w:left w:val="none" w:sz="0" w:space="0" w:color="auto"/>
        <w:bottom w:val="none" w:sz="0" w:space="0" w:color="auto"/>
        <w:right w:val="none" w:sz="0" w:space="0" w:color="auto"/>
      </w:divBdr>
    </w:div>
    <w:div w:id="1089231103">
      <w:bodyDiv w:val="1"/>
      <w:marLeft w:val="0"/>
      <w:marRight w:val="0"/>
      <w:marTop w:val="0"/>
      <w:marBottom w:val="0"/>
      <w:divBdr>
        <w:top w:val="none" w:sz="0" w:space="0" w:color="auto"/>
        <w:left w:val="none" w:sz="0" w:space="0" w:color="auto"/>
        <w:bottom w:val="none" w:sz="0" w:space="0" w:color="auto"/>
        <w:right w:val="none" w:sz="0" w:space="0" w:color="auto"/>
      </w:divBdr>
    </w:div>
    <w:div w:id="1115175278">
      <w:bodyDiv w:val="1"/>
      <w:marLeft w:val="0"/>
      <w:marRight w:val="0"/>
      <w:marTop w:val="0"/>
      <w:marBottom w:val="0"/>
      <w:divBdr>
        <w:top w:val="none" w:sz="0" w:space="0" w:color="auto"/>
        <w:left w:val="none" w:sz="0" w:space="0" w:color="auto"/>
        <w:bottom w:val="none" w:sz="0" w:space="0" w:color="auto"/>
        <w:right w:val="none" w:sz="0" w:space="0" w:color="auto"/>
      </w:divBdr>
    </w:div>
    <w:div w:id="1164855943">
      <w:bodyDiv w:val="1"/>
      <w:marLeft w:val="0"/>
      <w:marRight w:val="0"/>
      <w:marTop w:val="0"/>
      <w:marBottom w:val="0"/>
      <w:divBdr>
        <w:top w:val="none" w:sz="0" w:space="0" w:color="auto"/>
        <w:left w:val="none" w:sz="0" w:space="0" w:color="auto"/>
        <w:bottom w:val="none" w:sz="0" w:space="0" w:color="auto"/>
        <w:right w:val="none" w:sz="0" w:space="0" w:color="auto"/>
      </w:divBdr>
    </w:div>
    <w:div w:id="1192762234">
      <w:bodyDiv w:val="1"/>
      <w:marLeft w:val="0"/>
      <w:marRight w:val="0"/>
      <w:marTop w:val="0"/>
      <w:marBottom w:val="0"/>
      <w:divBdr>
        <w:top w:val="none" w:sz="0" w:space="0" w:color="auto"/>
        <w:left w:val="none" w:sz="0" w:space="0" w:color="auto"/>
        <w:bottom w:val="none" w:sz="0" w:space="0" w:color="auto"/>
        <w:right w:val="none" w:sz="0" w:space="0" w:color="auto"/>
      </w:divBdr>
    </w:div>
    <w:div w:id="1209414831">
      <w:bodyDiv w:val="1"/>
      <w:marLeft w:val="0"/>
      <w:marRight w:val="0"/>
      <w:marTop w:val="0"/>
      <w:marBottom w:val="0"/>
      <w:divBdr>
        <w:top w:val="none" w:sz="0" w:space="0" w:color="auto"/>
        <w:left w:val="none" w:sz="0" w:space="0" w:color="auto"/>
        <w:bottom w:val="none" w:sz="0" w:space="0" w:color="auto"/>
        <w:right w:val="none" w:sz="0" w:space="0" w:color="auto"/>
      </w:divBdr>
    </w:div>
    <w:div w:id="1270166093">
      <w:bodyDiv w:val="1"/>
      <w:marLeft w:val="0"/>
      <w:marRight w:val="0"/>
      <w:marTop w:val="0"/>
      <w:marBottom w:val="0"/>
      <w:divBdr>
        <w:top w:val="none" w:sz="0" w:space="0" w:color="auto"/>
        <w:left w:val="none" w:sz="0" w:space="0" w:color="auto"/>
        <w:bottom w:val="none" w:sz="0" w:space="0" w:color="auto"/>
        <w:right w:val="none" w:sz="0" w:space="0" w:color="auto"/>
      </w:divBdr>
    </w:div>
    <w:div w:id="1272086376">
      <w:bodyDiv w:val="1"/>
      <w:marLeft w:val="0"/>
      <w:marRight w:val="0"/>
      <w:marTop w:val="0"/>
      <w:marBottom w:val="0"/>
      <w:divBdr>
        <w:top w:val="none" w:sz="0" w:space="0" w:color="auto"/>
        <w:left w:val="none" w:sz="0" w:space="0" w:color="auto"/>
        <w:bottom w:val="none" w:sz="0" w:space="0" w:color="auto"/>
        <w:right w:val="none" w:sz="0" w:space="0" w:color="auto"/>
      </w:divBdr>
    </w:div>
    <w:div w:id="1273633796">
      <w:bodyDiv w:val="1"/>
      <w:marLeft w:val="0"/>
      <w:marRight w:val="0"/>
      <w:marTop w:val="0"/>
      <w:marBottom w:val="0"/>
      <w:divBdr>
        <w:top w:val="none" w:sz="0" w:space="0" w:color="auto"/>
        <w:left w:val="none" w:sz="0" w:space="0" w:color="auto"/>
        <w:bottom w:val="none" w:sz="0" w:space="0" w:color="auto"/>
        <w:right w:val="none" w:sz="0" w:space="0" w:color="auto"/>
      </w:divBdr>
      <w:divsChild>
        <w:div w:id="417219854">
          <w:marLeft w:val="0"/>
          <w:marRight w:val="0"/>
          <w:marTop w:val="0"/>
          <w:marBottom w:val="0"/>
          <w:divBdr>
            <w:top w:val="none" w:sz="0" w:space="0" w:color="auto"/>
            <w:left w:val="none" w:sz="0" w:space="0" w:color="auto"/>
            <w:bottom w:val="none" w:sz="0" w:space="0" w:color="auto"/>
            <w:right w:val="none" w:sz="0" w:space="0" w:color="auto"/>
          </w:divBdr>
          <w:divsChild>
            <w:div w:id="252858064">
              <w:marLeft w:val="0"/>
              <w:marRight w:val="0"/>
              <w:marTop w:val="0"/>
              <w:marBottom w:val="0"/>
              <w:divBdr>
                <w:top w:val="none" w:sz="0" w:space="0" w:color="auto"/>
                <w:left w:val="none" w:sz="0" w:space="0" w:color="auto"/>
                <w:bottom w:val="none" w:sz="0" w:space="0" w:color="auto"/>
                <w:right w:val="none" w:sz="0" w:space="0" w:color="auto"/>
              </w:divBdr>
              <w:divsChild>
                <w:div w:id="46339074">
                  <w:marLeft w:val="0"/>
                  <w:marRight w:val="0"/>
                  <w:marTop w:val="0"/>
                  <w:marBottom w:val="0"/>
                  <w:divBdr>
                    <w:top w:val="none" w:sz="0" w:space="0" w:color="auto"/>
                    <w:left w:val="none" w:sz="0" w:space="0" w:color="auto"/>
                    <w:bottom w:val="none" w:sz="0" w:space="0" w:color="auto"/>
                    <w:right w:val="none" w:sz="0" w:space="0" w:color="auto"/>
                  </w:divBdr>
                  <w:divsChild>
                    <w:div w:id="131018522">
                      <w:marLeft w:val="0"/>
                      <w:marRight w:val="0"/>
                      <w:marTop w:val="0"/>
                      <w:marBottom w:val="0"/>
                      <w:divBdr>
                        <w:top w:val="none" w:sz="0" w:space="0" w:color="auto"/>
                        <w:left w:val="none" w:sz="0" w:space="0" w:color="auto"/>
                        <w:bottom w:val="none" w:sz="0" w:space="0" w:color="auto"/>
                        <w:right w:val="none" w:sz="0" w:space="0" w:color="auto"/>
                      </w:divBdr>
                      <w:divsChild>
                        <w:div w:id="921135348">
                          <w:marLeft w:val="0"/>
                          <w:marRight w:val="0"/>
                          <w:marTop w:val="0"/>
                          <w:marBottom w:val="0"/>
                          <w:divBdr>
                            <w:top w:val="none" w:sz="0" w:space="0" w:color="auto"/>
                            <w:left w:val="none" w:sz="0" w:space="0" w:color="auto"/>
                            <w:bottom w:val="none" w:sz="0" w:space="0" w:color="auto"/>
                            <w:right w:val="none" w:sz="0" w:space="0" w:color="auto"/>
                          </w:divBdr>
                          <w:divsChild>
                            <w:div w:id="5490021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718493">
      <w:bodyDiv w:val="1"/>
      <w:marLeft w:val="0"/>
      <w:marRight w:val="0"/>
      <w:marTop w:val="0"/>
      <w:marBottom w:val="0"/>
      <w:divBdr>
        <w:top w:val="none" w:sz="0" w:space="0" w:color="auto"/>
        <w:left w:val="none" w:sz="0" w:space="0" w:color="auto"/>
        <w:bottom w:val="none" w:sz="0" w:space="0" w:color="auto"/>
        <w:right w:val="none" w:sz="0" w:space="0" w:color="auto"/>
      </w:divBdr>
    </w:div>
    <w:div w:id="1352029946">
      <w:bodyDiv w:val="1"/>
      <w:marLeft w:val="0"/>
      <w:marRight w:val="0"/>
      <w:marTop w:val="0"/>
      <w:marBottom w:val="0"/>
      <w:divBdr>
        <w:top w:val="none" w:sz="0" w:space="0" w:color="auto"/>
        <w:left w:val="none" w:sz="0" w:space="0" w:color="auto"/>
        <w:bottom w:val="none" w:sz="0" w:space="0" w:color="auto"/>
        <w:right w:val="none" w:sz="0" w:space="0" w:color="auto"/>
      </w:divBdr>
    </w:div>
    <w:div w:id="1367026619">
      <w:bodyDiv w:val="1"/>
      <w:marLeft w:val="0"/>
      <w:marRight w:val="0"/>
      <w:marTop w:val="0"/>
      <w:marBottom w:val="0"/>
      <w:divBdr>
        <w:top w:val="none" w:sz="0" w:space="0" w:color="auto"/>
        <w:left w:val="none" w:sz="0" w:space="0" w:color="auto"/>
        <w:bottom w:val="none" w:sz="0" w:space="0" w:color="auto"/>
        <w:right w:val="none" w:sz="0" w:space="0" w:color="auto"/>
      </w:divBdr>
      <w:divsChild>
        <w:div w:id="458962069">
          <w:marLeft w:val="0"/>
          <w:marRight w:val="0"/>
          <w:marTop w:val="0"/>
          <w:marBottom w:val="0"/>
          <w:divBdr>
            <w:top w:val="none" w:sz="0" w:space="0" w:color="auto"/>
            <w:left w:val="none" w:sz="0" w:space="0" w:color="auto"/>
            <w:bottom w:val="none" w:sz="0" w:space="0" w:color="auto"/>
            <w:right w:val="none" w:sz="0" w:space="0" w:color="auto"/>
          </w:divBdr>
        </w:div>
      </w:divsChild>
    </w:div>
    <w:div w:id="1392000313">
      <w:bodyDiv w:val="1"/>
      <w:marLeft w:val="0"/>
      <w:marRight w:val="0"/>
      <w:marTop w:val="0"/>
      <w:marBottom w:val="0"/>
      <w:divBdr>
        <w:top w:val="none" w:sz="0" w:space="0" w:color="auto"/>
        <w:left w:val="none" w:sz="0" w:space="0" w:color="auto"/>
        <w:bottom w:val="none" w:sz="0" w:space="0" w:color="auto"/>
        <w:right w:val="none" w:sz="0" w:space="0" w:color="auto"/>
      </w:divBdr>
      <w:divsChild>
        <w:div w:id="1492940560">
          <w:marLeft w:val="0"/>
          <w:marRight w:val="0"/>
          <w:marTop w:val="0"/>
          <w:marBottom w:val="0"/>
          <w:divBdr>
            <w:top w:val="none" w:sz="0" w:space="0" w:color="auto"/>
            <w:left w:val="none" w:sz="0" w:space="0" w:color="auto"/>
            <w:bottom w:val="none" w:sz="0" w:space="0" w:color="auto"/>
            <w:right w:val="none" w:sz="0" w:space="0" w:color="auto"/>
          </w:divBdr>
        </w:div>
      </w:divsChild>
    </w:div>
    <w:div w:id="1406877921">
      <w:bodyDiv w:val="1"/>
      <w:marLeft w:val="0"/>
      <w:marRight w:val="0"/>
      <w:marTop w:val="0"/>
      <w:marBottom w:val="0"/>
      <w:divBdr>
        <w:top w:val="none" w:sz="0" w:space="0" w:color="auto"/>
        <w:left w:val="none" w:sz="0" w:space="0" w:color="auto"/>
        <w:bottom w:val="none" w:sz="0" w:space="0" w:color="auto"/>
        <w:right w:val="none" w:sz="0" w:space="0" w:color="auto"/>
      </w:divBdr>
    </w:div>
    <w:div w:id="1410421935">
      <w:bodyDiv w:val="1"/>
      <w:marLeft w:val="0"/>
      <w:marRight w:val="0"/>
      <w:marTop w:val="0"/>
      <w:marBottom w:val="0"/>
      <w:divBdr>
        <w:top w:val="none" w:sz="0" w:space="0" w:color="auto"/>
        <w:left w:val="none" w:sz="0" w:space="0" w:color="auto"/>
        <w:bottom w:val="none" w:sz="0" w:space="0" w:color="auto"/>
        <w:right w:val="none" w:sz="0" w:space="0" w:color="auto"/>
      </w:divBdr>
    </w:div>
    <w:div w:id="1449813776">
      <w:bodyDiv w:val="1"/>
      <w:marLeft w:val="0"/>
      <w:marRight w:val="0"/>
      <w:marTop w:val="0"/>
      <w:marBottom w:val="0"/>
      <w:divBdr>
        <w:top w:val="none" w:sz="0" w:space="0" w:color="auto"/>
        <w:left w:val="none" w:sz="0" w:space="0" w:color="auto"/>
        <w:bottom w:val="none" w:sz="0" w:space="0" w:color="auto"/>
        <w:right w:val="none" w:sz="0" w:space="0" w:color="auto"/>
      </w:divBdr>
      <w:divsChild>
        <w:div w:id="1076828234">
          <w:marLeft w:val="0"/>
          <w:marRight w:val="0"/>
          <w:marTop w:val="0"/>
          <w:marBottom w:val="0"/>
          <w:divBdr>
            <w:top w:val="none" w:sz="0" w:space="0" w:color="auto"/>
            <w:left w:val="none" w:sz="0" w:space="0" w:color="auto"/>
            <w:bottom w:val="none" w:sz="0" w:space="0" w:color="auto"/>
            <w:right w:val="none" w:sz="0" w:space="0" w:color="auto"/>
          </w:divBdr>
        </w:div>
      </w:divsChild>
    </w:div>
    <w:div w:id="1469662452">
      <w:bodyDiv w:val="1"/>
      <w:marLeft w:val="0"/>
      <w:marRight w:val="0"/>
      <w:marTop w:val="0"/>
      <w:marBottom w:val="0"/>
      <w:divBdr>
        <w:top w:val="none" w:sz="0" w:space="0" w:color="auto"/>
        <w:left w:val="none" w:sz="0" w:space="0" w:color="auto"/>
        <w:bottom w:val="none" w:sz="0" w:space="0" w:color="auto"/>
        <w:right w:val="none" w:sz="0" w:space="0" w:color="auto"/>
      </w:divBdr>
    </w:div>
    <w:div w:id="1484929814">
      <w:bodyDiv w:val="1"/>
      <w:marLeft w:val="0"/>
      <w:marRight w:val="0"/>
      <w:marTop w:val="0"/>
      <w:marBottom w:val="0"/>
      <w:divBdr>
        <w:top w:val="none" w:sz="0" w:space="0" w:color="auto"/>
        <w:left w:val="none" w:sz="0" w:space="0" w:color="auto"/>
        <w:bottom w:val="none" w:sz="0" w:space="0" w:color="auto"/>
        <w:right w:val="none" w:sz="0" w:space="0" w:color="auto"/>
      </w:divBdr>
    </w:div>
    <w:div w:id="1503427343">
      <w:bodyDiv w:val="1"/>
      <w:marLeft w:val="0"/>
      <w:marRight w:val="0"/>
      <w:marTop w:val="0"/>
      <w:marBottom w:val="0"/>
      <w:divBdr>
        <w:top w:val="none" w:sz="0" w:space="0" w:color="auto"/>
        <w:left w:val="none" w:sz="0" w:space="0" w:color="auto"/>
        <w:bottom w:val="none" w:sz="0" w:space="0" w:color="auto"/>
        <w:right w:val="none" w:sz="0" w:space="0" w:color="auto"/>
      </w:divBdr>
    </w:div>
    <w:div w:id="1543707851">
      <w:bodyDiv w:val="1"/>
      <w:marLeft w:val="0"/>
      <w:marRight w:val="0"/>
      <w:marTop w:val="0"/>
      <w:marBottom w:val="0"/>
      <w:divBdr>
        <w:top w:val="none" w:sz="0" w:space="0" w:color="auto"/>
        <w:left w:val="none" w:sz="0" w:space="0" w:color="auto"/>
        <w:bottom w:val="none" w:sz="0" w:space="0" w:color="auto"/>
        <w:right w:val="none" w:sz="0" w:space="0" w:color="auto"/>
      </w:divBdr>
    </w:div>
    <w:div w:id="1575315390">
      <w:bodyDiv w:val="1"/>
      <w:marLeft w:val="0"/>
      <w:marRight w:val="0"/>
      <w:marTop w:val="0"/>
      <w:marBottom w:val="0"/>
      <w:divBdr>
        <w:top w:val="none" w:sz="0" w:space="0" w:color="auto"/>
        <w:left w:val="none" w:sz="0" w:space="0" w:color="auto"/>
        <w:bottom w:val="none" w:sz="0" w:space="0" w:color="auto"/>
        <w:right w:val="none" w:sz="0" w:space="0" w:color="auto"/>
      </w:divBdr>
    </w:div>
    <w:div w:id="1588881983">
      <w:bodyDiv w:val="1"/>
      <w:marLeft w:val="0"/>
      <w:marRight w:val="0"/>
      <w:marTop w:val="0"/>
      <w:marBottom w:val="0"/>
      <w:divBdr>
        <w:top w:val="none" w:sz="0" w:space="0" w:color="auto"/>
        <w:left w:val="none" w:sz="0" w:space="0" w:color="auto"/>
        <w:bottom w:val="none" w:sz="0" w:space="0" w:color="auto"/>
        <w:right w:val="none" w:sz="0" w:space="0" w:color="auto"/>
      </w:divBdr>
    </w:div>
    <w:div w:id="1608150038">
      <w:bodyDiv w:val="1"/>
      <w:marLeft w:val="0"/>
      <w:marRight w:val="0"/>
      <w:marTop w:val="0"/>
      <w:marBottom w:val="0"/>
      <w:divBdr>
        <w:top w:val="none" w:sz="0" w:space="0" w:color="auto"/>
        <w:left w:val="none" w:sz="0" w:space="0" w:color="auto"/>
        <w:bottom w:val="none" w:sz="0" w:space="0" w:color="auto"/>
        <w:right w:val="none" w:sz="0" w:space="0" w:color="auto"/>
      </w:divBdr>
    </w:div>
    <w:div w:id="1619482183">
      <w:bodyDiv w:val="1"/>
      <w:marLeft w:val="0"/>
      <w:marRight w:val="0"/>
      <w:marTop w:val="0"/>
      <w:marBottom w:val="0"/>
      <w:divBdr>
        <w:top w:val="none" w:sz="0" w:space="0" w:color="auto"/>
        <w:left w:val="none" w:sz="0" w:space="0" w:color="auto"/>
        <w:bottom w:val="none" w:sz="0" w:space="0" w:color="auto"/>
        <w:right w:val="none" w:sz="0" w:space="0" w:color="auto"/>
      </w:divBdr>
    </w:div>
    <w:div w:id="1652245398">
      <w:bodyDiv w:val="1"/>
      <w:marLeft w:val="0"/>
      <w:marRight w:val="0"/>
      <w:marTop w:val="0"/>
      <w:marBottom w:val="0"/>
      <w:divBdr>
        <w:top w:val="none" w:sz="0" w:space="0" w:color="auto"/>
        <w:left w:val="none" w:sz="0" w:space="0" w:color="auto"/>
        <w:bottom w:val="none" w:sz="0" w:space="0" w:color="auto"/>
        <w:right w:val="none" w:sz="0" w:space="0" w:color="auto"/>
      </w:divBdr>
    </w:div>
    <w:div w:id="1668702900">
      <w:bodyDiv w:val="1"/>
      <w:marLeft w:val="0"/>
      <w:marRight w:val="0"/>
      <w:marTop w:val="0"/>
      <w:marBottom w:val="0"/>
      <w:divBdr>
        <w:top w:val="none" w:sz="0" w:space="0" w:color="auto"/>
        <w:left w:val="none" w:sz="0" w:space="0" w:color="auto"/>
        <w:bottom w:val="none" w:sz="0" w:space="0" w:color="auto"/>
        <w:right w:val="none" w:sz="0" w:space="0" w:color="auto"/>
      </w:divBdr>
      <w:divsChild>
        <w:div w:id="361713462">
          <w:marLeft w:val="0"/>
          <w:marRight w:val="0"/>
          <w:marTop w:val="0"/>
          <w:marBottom w:val="0"/>
          <w:divBdr>
            <w:top w:val="none" w:sz="0" w:space="0" w:color="auto"/>
            <w:left w:val="none" w:sz="0" w:space="0" w:color="auto"/>
            <w:bottom w:val="none" w:sz="0" w:space="0" w:color="auto"/>
            <w:right w:val="none" w:sz="0" w:space="0" w:color="auto"/>
          </w:divBdr>
        </w:div>
      </w:divsChild>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5984202">
      <w:bodyDiv w:val="1"/>
      <w:marLeft w:val="0"/>
      <w:marRight w:val="0"/>
      <w:marTop w:val="0"/>
      <w:marBottom w:val="0"/>
      <w:divBdr>
        <w:top w:val="none" w:sz="0" w:space="0" w:color="auto"/>
        <w:left w:val="none" w:sz="0" w:space="0" w:color="auto"/>
        <w:bottom w:val="none" w:sz="0" w:space="0" w:color="auto"/>
        <w:right w:val="none" w:sz="0" w:space="0" w:color="auto"/>
      </w:divBdr>
    </w:div>
    <w:div w:id="1686324557">
      <w:bodyDiv w:val="1"/>
      <w:marLeft w:val="0"/>
      <w:marRight w:val="0"/>
      <w:marTop w:val="0"/>
      <w:marBottom w:val="0"/>
      <w:divBdr>
        <w:top w:val="none" w:sz="0" w:space="0" w:color="auto"/>
        <w:left w:val="none" w:sz="0" w:space="0" w:color="auto"/>
        <w:bottom w:val="none" w:sz="0" w:space="0" w:color="auto"/>
        <w:right w:val="none" w:sz="0" w:space="0" w:color="auto"/>
      </w:divBdr>
    </w:div>
    <w:div w:id="1692802147">
      <w:bodyDiv w:val="1"/>
      <w:marLeft w:val="0"/>
      <w:marRight w:val="0"/>
      <w:marTop w:val="0"/>
      <w:marBottom w:val="0"/>
      <w:divBdr>
        <w:top w:val="none" w:sz="0" w:space="0" w:color="auto"/>
        <w:left w:val="none" w:sz="0" w:space="0" w:color="auto"/>
        <w:bottom w:val="none" w:sz="0" w:space="0" w:color="auto"/>
        <w:right w:val="none" w:sz="0" w:space="0" w:color="auto"/>
      </w:divBdr>
    </w:div>
    <w:div w:id="1703632715">
      <w:bodyDiv w:val="1"/>
      <w:marLeft w:val="0"/>
      <w:marRight w:val="0"/>
      <w:marTop w:val="0"/>
      <w:marBottom w:val="0"/>
      <w:divBdr>
        <w:top w:val="none" w:sz="0" w:space="0" w:color="auto"/>
        <w:left w:val="none" w:sz="0" w:space="0" w:color="auto"/>
        <w:bottom w:val="none" w:sz="0" w:space="0" w:color="auto"/>
        <w:right w:val="none" w:sz="0" w:space="0" w:color="auto"/>
      </w:divBdr>
    </w:div>
    <w:div w:id="1707485467">
      <w:bodyDiv w:val="1"/>
      <w:marLeft w:val="0"/>
      <w:marRight w:val="0"/>
      <w:marTop w:val="0"/>
      <w:marBottom w:val="0"/>
      <w:divBdr>
        <w:top w:val="none" w:sz="0" w:space="0" w:color="auto"/>
        <w:left w:val="none" w:sz="0" w:space="0" w:color="auto"/>
        <w:bottom w:val="none" w:sz="0" w:space="0" w:color="auto"/>
        <w:right w:val="none" w:sz="0" w:space="0" w:color="auto"/>
      </w:divBdr>
    </w:div>
    <w:div w:id="1747996330">
      <w:bodyDiv w:val="1"/>
      <w:marLeft w:val="0"/>
      <w:marRight w:val="0"/>
      <w:marTop w:val="0"/>
      <w:marBottom w:val="0"/>
      <w:divBdr>
        <w:top w:val="none" w:sz="0" w:space="0" w:color="auto"/>
        <w:left w:val="none" w:sz="0" w:space="0" w:color="auto"/>
        <w:bottom w:val="none" w:sz="0" w:space="0" w:color="auto"/>
        <w:right w:val="none" w:sz="0" w:space="0" w:color="auto"/>
      </w:divBdr>
    </w:div>
    <w:div w:id="1772509147">
      <w:bodyDiv w:val="1"/>
      <w:marLeft w:val="0"/>
      <w:marRight w:val="0"/>
      <w:marTop w:val="0"/>
      <w:marBottom w:val="0"/>
      <w:divBdr>
        <w:top w:val="none" w:sz="0" w:space="0" w:color="auto"/>
        <w:left w:val="none" w:sz="0" w:space="0" w:color="auto"/>
        <w:bottom w:val="none" w:sz="0" w:space="0" w:color="auto"/>
        <w:right w:val="none" w:sz="0" w:space="0" w:color="auto"/>
      </w:divBdr>
    </w:div>
    <w:div w:id="1798064565">
      <w:bodyDiv w:val="1"/>
      <w:marLeft w:val="0"/>
      <w:marRight w:val="0"/>
      <w:marTop w:val="0"/>
      <w:marBottom w:val="0"/>
      <w:divBdr>
        <w:top w:val="none" w:sz="0" w:space="0" w:color="auto"/>
        <w:left w:val="none" w:sz="0" w:space="0" w:color="auto"/>
        <w:bottom w:val="none" w:sz="0" w:space="0" w:color="auto"/>
        <w:right w:val="none" w:sz="0" w:space="0" w:color="auto"/>
      </w:divBdr>
    </w:div>
    <w:div w:id="1900700802">
      <w:bodyDiv w:val="1"/>
      <w:marLeft w:val="0"/>
      <w:marRight w:val="0"/>
      <w:marTop w:val="0"/>
      <w:marBottom w:val="0"/>
      <w:divBdr>
        <w:top w:val="none" w:sz="0" w:space="0" w:color="auto"/>
        <w:left w:val="none" w:sz="0" w:space="0" w:color="auto"/>
        <w:bottom w:val="none" w:sz="0" w:space="0" w:color="auto"/>
        <w:right w:val="none" w:sz="0" w:space="0" w:color="auto"/>
      </w:divBdr>
    </w:div>
    <w:div w:id="1921525327">
      <w:bodyDiv w:val="1"/>
      <w:marLeft w:val="0"/>
      <w:marRight w:val="0"/>
      <w:marTop w:val="0"/>
      <w:marBottom w:val="0"/>
      <w:divBdr>
        <w:top w:val="none" w:sz="0" w:space="0" w:color="auto"/>
        <w:left w:val="none" w:sz="0" w:space="0" w:color="auto"/>
        <w:bottom w:val="none" w:sz="0" w:space="0" w:color="auto"/>
        <w:right w:val="none" w:sz="0" w:space="0" w:color="auto"/>
      </w:divBdr>
    </w:div>
    <w:div w:id="1954744259">
      <w:bodyDiv w:val="1"/>
      <w:marLeft w:val="0"/>
      <w:marRight w:val="0"/>
      <w:marTop w:val="0"/>
      <w:marBottom w:val="0"/>
      <w:divBdr>
        <w:top w:val="none" w:sz="0" w:space="0" w:color="auto"/>
        <w:left w:val="none" w:sz="0" w:space="0" w:color="auto"/>
        <w:bottom w:val="none" w:sz="0" w:space="0" w:color="auto"/>
        <w:right w:val="none" w:sz="0" w:space="0" w:color="auto"/>
      </w:divBdr>
    </w:div>
    <w:div w:id="1973636601">
      <w:bodyDiv w:val="1"/>
      <w:marLeft w:val="0"/>
      <w:marRight w:val="0"/>
      <w:marTop w:val="0"/>
      <w:marBottom w:val="0"/>
      <w:divBdr>
        <w:top w:val="none" w:sz="0" w:space="0" w:color="auto"/>
        <w:left w:val="none" w:sz="0" w:space="0" w:color="auto"/>
        <w:bottom w:val="none" w:sz="0" w:space="0" w:color="auto"/>
        <w:right w:val="none" w:sz="0" w:space="0" w:color="auto"/>
      </w:divBdr>
    </w:div>
    <w:div w:id="1977418394">
      <w:bodyDiv w:val="1"/>
      <w:marLeft w:val="0"/>
      <w:marRight w:val="0"/>
      <w:marTop w:val="0"/>
      <w:marBottom w:val="0"/>
      <w:divBdr>
        <w:top w:val="none" w:sz="0" w:space="0" w:color="auto"/>
        <w:left w:val="none" w:sz="0" w:space="0" w:color="auto"/>
        <w:bottom w:val="none" w:sz="0" w:space="0" w:color="auto"/>
        <w:right w:val="none" w:sz="0" w:space="0" w:color="auto"/>
      </w:divBdr>
      <w:divsChild>
        <w:div w:id="1060320900">
          <w:marLeft w:val="480"/>
          <w:marRight w:val="0"/>
          <w:marTop w:val="0"/>
          <w:marBottom w:val="0"/>
          <w:divBdr>
            <w:top w:val="none" w:sz="0" w:space="0" w:color="auto"/>
            <w:left w:val="none" w:sz="0" w:space="0" w:color="auto"/>
            <w:bottom w:val="none" w:sz="0" w:space="0" w:color="auto"/>
            <w:right w:val="none" w:sz="0" w:space="0" w:color="auto"/>
          </w:divBdr>
          <w:divsChild>
            <w:div w:id="311957036">
              <w:marLeft w:val="480"/>
              <w:marRight w:val="0"/>
              <w:marTop w:val="0"/>
              <w:marBottom w:val="0"/>
              <w:divBdr>
                <w:top w:val="none" w:sz="0" w:space="0" w:color="auto"/>
                <w:left w:val="none" w:sz="0" w:space="0" w:color="auto"/>
                <w:bottom w:val="none" w:sz="0" w:space="0" w:color="auto"/>
                <w:right w:val="none" w:sz="0" w:space="0" w:color="auto"/>
              </w:divBdr>
            </w:div>
            <w:div w:id="723872740">
              <w:marLeft w:val="480"/>
              <w:marRight w:val="0"/>
              <w:marTop w:val="0"/>
              <w:marBottom w:val="0"/>
              <w:divBdr>
                <w:top w:val="none" w:sz="0" w:space="0" w:color="auto"/>
                <w:left w:val="none" w:sz="0" w:space="0" w:color="auto"/>
                <w:bottom w:val="none" w:sz="0" w:space="0" w:color="auto"/>
                <w:right w:val="none" w:sz="0" w:space="0" w:color="auto"/>
              </w:divBdr>
            </w:div>
          </w:divsChild>
        </w:div>
        <w:div w:id="1559974528">
          <w:marLeft w:val="480"/>
          <w:marRight w:val="0"/>
          <w:marTop w:val="0"/>
          <w:marBottom w:val="0"/>
          <w:divBdr>
            <w:top w:val="none" w:sz="0" w:space="0" w:color="auto"/>
            <w:left w:val="none" w:sz="0" w:space="0" w:color="auto"/>
            <w:bottom w:val="none" w:sz="0" w:space="0" w:color="auto"/>
            <w:right w:val="none" w:sz="0" w:space="0" w:color="auto"/>
          </w:divBdr>
        </w:div>
        <w:div w:id="2107262356">
          <w:marLeft w:val="480"/>
          <w:marRight w:val="0"/>
          <w:marTop w:val="0"/>
          <w:marBottom w:val="0"/>
          <w:divBdr>
            <w:top w:val="none" w:sz="0" w:space="0" w:color="auto"/>
            <w:left w:val="none" w:sz="0" w:space="0" w:color="auto"/>
            <w:bottom w:val="none" w:sz="0" w:space="0" w:color="auto"/>
            <w:right w:val="none" w:sz="0" w:space="0" w:color="auto"/>
          </w:divBdr>
        </w:div>
      </w:divsChild>
    </w:div>
    <w:div w:id="2000453623">
      <w:bodyDiv w:val="1"/>
      <w:marLeft w:val="0"/>
      <w:marRight w:val="0"/>
      <w:marTop w:val="0"/>
      <w:marBottom w:val="0"/>
      <w:divBdr>
        <w:top w:val="none" w:sz="0" w:space="0" w:color="auto"/>
        <w:left w:val="none" w:sz="0" w:space="0" w:color="auto"/>
        <w:bottom w:val="none" w:sz="0" w:space="0" w:color="auto"/>
        <w:right w:val="none" w:sz="0" w:space="0" w:color="auto"/>
      </w:divBdr>
    </w:div>
    <w:div w:id="2008819421">
      <w:bodyDiv w:val="1"/>
      <w:marLeft w:val="0"/>
      <w:marRight w:val="0"/>
      <w:marTop w:val="0"/>
      <w:marBottom w:val="0"/>
      <w:divBdr>
        <w:top w:val="none" w:sz="0" w:space="0" w:color="auto"/>
        <w:left w:val="none" w:sz="0" w:space="0" w:color="auto"/>
        <w:bottom w:val="none" w:sz="0" w:space="0" w:color="auto"/>
        <w:right w:val="none" w:sz="0" w:space="0" w:color="auto"/>
      </w:divBdr>
    </w:div>
    <w:div w:id="2012177649">
      <w:bodyDiv w:val="1"/>
      <w:marLeft w:val="0"/>
      <w:marRight w:val="0"/>
      <w:marTop w:val="0"/>
      <w:marBottom w:val="0"/>
      <w:divBdr>
        <w:top w:val="none" w:sz="0" w:space="0" w:color="auto"/>
        <w:left w:val="none" w:sz="0" w:space="0" w:color="auto"/>
        <w:bottom w:val="none" w:sz="0" w:space="0" w:color="auto"/>
        <w:right w:val="none" w:sz="0" w:space="0" w:color="auto"/>
      </w:divBdr>
    </w:div>
    <w:div w:id="2017531726">
      <w:bodyDiv w:val="1"/>
      <w:marLeft w:val="0"/>
      <w:marRight w:val="0"/>
      <w:marTop w:val="0"/>
      <w:marBottom w:val="0"/>
      <w:divBdr>
        <w:top w:val="none" w:sz="0" w:space="0" w:color="auto"/>
        <w:left w:val="none" w:sz="0" w:space="0" w:color="auto"/>
        <w:bottom w:val="none" w:sz="0" w:space="0" w:color="auto"/>
        <w:right w:val="none" w:sz="0" w:space="0" w:color="auto"/>
      </w:divBdr>
    </w:div>
    <w:div w:id="2031712280">
      <w:bodyDiv w:val="1"/>
      <w:marLeft w:val="0"/>
      <w:marRight w:val="0"/>
      <w:marTop w:val="0"/>
      <w:marBottom w:val="0"/>
      <w:divBdr>
        <w:top w:val="none" w:sz="0" w:space="0" w:color="auto"/>
        <w:left w:val="none" w:sz="0" w:space="0" w:color="auto"/>
        <w:bottom w:val="none" w:sz="0" w:space="0" w:color="auto"/>
        <w:right w:val="none" w:sz="0" w:space="0" w:color="auto"/>
      </w:divBdr>
      <w:divsChild>
        <w:div w:id="583295756">
          <w:marLeft w:val="0"/>
          <w:marRight w:val="0"/>
          <w:marTop w:val="0"/>
          <w:marBottom w:val="0"/>
          <w:divBdr>
            <w:top w:val="none" w:sz="0" w:space="0" w:color="auto"/>
            <w:left w:val="none" w:sz="0" w:space="0" w:color="auto"/>
            <w:bottom w:val="none" w:sz="0" w:space="0" w:color="auto"/>
            <w:right w:val="none" w:sz="0" w:space="0" w:color="auto"/>
          </w:divBdr>
        </w:div>
      </w:divsChild>
    </w:div>
    <w:div w:id="2054426847">
      <w:bodyDiv w:val="1"/>
      <w:marLeft w:val="0"/>
      <w:marRight w:val="0"/>
      <w:marTop w:val="0"/>
      <w:marBottom w:val="0"/>
      <w:divBdr>
        <w:top w:val="none" w:sz="0" w:space="0" w:color="auto"/>
        <w:left w:val="none" w:sz="0" w:space="0" w:color="auto"/>
        <w:bottom w:val="none" w:sz="0" w:space="0" w:color="auto"/>
        <w:right w:val="none" w:sz="0" w:space="0" w:color="auto"/>
      </w:divBdr>
      <w:divsChild>
        <w:div w:id="38014616">
          <w:marLeft w:val="480"/>
          <w:marRight w:val="0"/>
          <w:marTop w:val="0"/>
          <w:marBottom w:val="0"/>
          <w:divBdr>
            <w:top w:val="none" w:sz="0" w:space="0" w:color="auto"/>
            <w:left w:val="none" w:sz="0" w:space="0" w:color="auto"/>
            <w:bottom w:val="none" w:sz="0" w:space="0" w:color="auto"/>
            <w:right w:val="none" w:sz="0" w:space="0" w:color="auto"/>
          </w:divBdr>
          <w:divsChild>
            <w:div w:id="55204397">
              <w:marLeft w:val="480"/>
              <w:marRight w:val="0"/>
              <w:marTop w:val="0"/>
              <w:marBottom w:val="0"/>
              <w:divBdr>
                <w:top w:val="none" w:sz="0" w:space="0" w:color="auto"/>
                <w:left w:val="none" w:sz="0" w:space="0" w:color="auto"/>
                <w:bottom w:val="none" w:sz="0" w:space="0" w:color="auto"/>
                <w:right w:val="none" w:sz="0" w:space="0" w:color="auto"/>
              </w:divBdr>
            </w:div>
          </w:divsChild>
        </w:div>
        <w:div w:id="119111656">
          <w:marLeft w:val="480"/>
          <w:marRight w:val="0"/>
          <w:marTop w:val="0"/>
          <w:marBottom w:val="0"/>
          <w:divBdr>
            <w:top w:val="none" w:sz="0" w:space="0" w:color="auto"/>
            <w:left w:val="none" w:sz="0" w:space="0" w:color="auto"/>
            <w:bottom w:val="none" w:sz="0" w:space="0" w:color="auto"/>
            <w:right w:val="none" w:sz="0" w:space="0" w:color="auto"/>
          </w:divBdr>
        </w:div>
        <w:div w:id="134445910">
          <w:marLeft w:val="480"/>
          <w:marRight w:val="0"/>
          <w:marTop w:val="0"/>
          <w:marBottom w:val="0"/>
          <w:divBdr>
            <w:top w:val="none" w:sz="0" w:space="0" w:color="auto"/>
            <w:left w:val="none" w:sz="0" w:space="0" w:color="auto"/>
            <w:bottom w:val="none" w:sz="0" w:space="0" w:color="auto"/>
            <w:right w:val="none" w:sz="0" w:space="0" w:color="auto"/>
          </w:divBdr>
        </w:div>
        <w:div w:id="860825960">
          <w:marLeft w:val="480"/>
          <w:marRight w:val="0"/>
          <w:marTop w:val="0"/>
          <w:marBottom w:val="0"/>
          <w:divBdr>
            <w:top w:val="none" w:sz="0" w:space="0" w:color="auto"/>
            <w:left w:val="none" w:sz="0" w:space="0" w:color="auto"/>
            <w:bottom w:val="none" w:sz="0" w:space="0" w:color="auto"/>
            <w:right w:val="none" w:sz="0" w:space="0" w:color="auto"/>
          </w:divBdr>
        </w:div>
        <w:div w:id="1787189484">
          <w:marLeft w:val="480"/>
          <w:marRight w:val="0"/>
          <w:marTop w:val="0"/>
          <w:marBottom w:val="0"/>
          <w:divBdr>
            <w:top w:val="none" w:sz="0" w:space="0" w:color="auto"/>
            <w:left w:val="none" w:sz="0" w:space="0" w:color="auto"/>
            <w:bottom w:val="none" w:sz="0" w:space="0" w:color="auto"/>
            <w:right w:val="none" w:sz="0" w:space="0" w:color="auto"/>
          </w:divBdr>
        </w:div>
      </w:divsChild>
    </w:div>
    <w:div w:id="213752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11183</Words>
  <Characters>61624</Characters>
  <Application>Microsoft Office Word</Application>
  <DocSecurity>0</DocSecurity>
  <Lines>1283</Lines>
  <Paragraphs>266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72541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2024-02-02T22:55:00Z</dcterms:created>
  <dcterms:modified xsi:type="dcterms:W3CDTF">2024-02-02T22:55:00Z</dcterms:modified>
  <cp:category/>
</cp:coreProperties>
</file>