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4D23" w:rsidRPr="00BA7AF1" w:rsidRDefault="00196CB8" w:rsidP="00354D23">
      <w:pPr>
        <w:tabs>
          <w:tab w:val="left" w:pos="1440"/>
          <w:tab w:val="left" w:pos="2880"/>
          <w:tab w:val="left" w:pos="4320"/>
          <w:tab w:val="left" w:pos="5760"/>
          <w:tab w:val="left" w:pos="7200"/>
        </w:tabs>
        <w:spacing w:line="240" w:lineRule="auto"/>
        <w:rPr>
          <w:sz w:val="20"/>
          <w:szCs w:val="20"/>
        </w:rPr>
      </w:pPr>
      <w:r w:rsidRPr="00BA7AF1">
        <w:rPr>
          <w:sz w:val="20"/>
          <w:szCs w:val="20"/>
        </w:rPr>
        <w:t>Filed 12/9/19</w:t>
      </w:r>
      <w:r>
        <w:rPr>
          <w:sz w:val="20"/>
          <w:szCs w:val="20"/>
        </w:rPr>
        <w:t xml:space="preserve"> (unmodified opinion attached)</w:t>
      </w:r>
      <w:bookmarkStart w:id="0" w:name="_GoBack"/>
      <w:bookmarkEnd w:id="0"/>
      <w:r w:rsidRPr="00AB21C6">
        <w:rPr>
          <w:sz w:val="20"/>
        </w:rPr>
        <w:t>; THE SUPREME COURT OF CALIFORNIA HAS GRANTED REVIEW</w:t>
      </w:r>
    </w:p>
    <w:p w:rsidR="00354D23" w:rsidRPr="007625D7" w:rsidRDefault="00196CB8" w:rsidP="00354D23">
      <w:pPr>
        <w:tabs>
          <w:tab w:val="left" w:pos="1440"/>
          <w:tab w:val="left" w:pos="2880"/>
          <w:tab w:val="left" w:pos="4320"/>
          <w:tab w:val="left" w:pos="5760"/>
          <w:tab w:val="left" w:pos="7200"/>
        </w:tabs>
        <w:spacing w:line="240" w:lineRule="auto"/>
        <w:jc w:val="center"/>
        <w:rPr>
          <w:b/>
        </w:rPr>
      </w:pPr>
      <w:r w:rsidRPr="007625D7">
        <w:rPr>
          <w:b/>
        </w:rPr>
        <w:t>CERTIFIED FOR PUBLICATION</w:t>
      </w:r>
    </w:p>
    <w:p w:rsidR="00354D23" w:rsidRDefault="00196CB8" w:rsidP="00354D23">
      <w:pPr>
        <w:tabs>
          <w:tab w:val="left" w:pos="1440"/>
          <w:tab w:val="left" w:pos="2880"/>
          <w:tab w:val="left" w:pos="4320"/>
          <w:tab w:val="left" w:pos="5760"/>
          <w:tab w:val="left" w:pos="7200"/>
        </w:tabs>
        <w:spacing w:line="240" w:lineRule="auto"/>
        <w:jc w:val="center"/>
      </w:pPr>
    </w:p>
    <w:p w:rsidR="00354D23" w:rsidRDefault="00196CB8" w:rsidP="00354D23">
      <w:pPr>
        <w:tabs>
          <w:tab w:val="left" w:pos="1440"/>
          <w:tab w:val="left" w:pos="2880"/>
          <w:tab w:val="left" w:pos="4320"/>
          <w:tab w:val="left" w:pos="5760"/>
          <w:tab w:val="left" w:pos="7200"/>
        </w:tabs>
        <w:spacing w:line="240" w:lineRule="auto"/>
        <w:jc w:val="center"/>
      </w:pPr>
      <w:r>
        <w:t>IN THE COURT OF APPEAL OF THE STATE OF CALIFORNIA</w:t>
      </w:r>
    </w:p>
    <w:p w:rsidR="00354D23" w:rsidRDefault="00196CB8" w:rsidP="00354D23">
      <w:pPr>
        <w:tabs>
          <w:tab w:val="left" w:pos="1440"/>
          <w:tab w:val="left" w:pos="2880"/>
          <w:tab w:val="left" w:pos="4320"/>
          <w:tab w:val="left" w:pos="5760"/>
          <w:tab w:val="left" w:pos="7200"/>
        </w:tabs>
        <w:spacing w:line="240" w:lineRule="auto"/>
        <w:jc w:val="center"/>
      </w:pPr>
    </w:p>
    <w:p w:rsidR="00354D23" w:rsidRDefault="00196CB8" w:rsidP="00354D23">
      <w:pPr>
        <w:tabs>
          <w:tab w:val="left" w:pos="1440"/>
          <w:tab w:val="left" w:pos="2880"/>
          <w:tab w:val="left" w:pos="4320"/>
          <w:tab w:val="left" w:pos="5760"/>
          <w:tab w:val="left" w:pos="7200"/>
        </w:tabs>
        <w:spacing w:line="240" w:lineRule="auto"/>
        <w:jc w:val="center"/>
      </w:pPr>
      <w:r>
        <w:t>SECOND APPELLATE DISTRICT</w:t>
      </w:r>
    </w:p>
    <w:p w:rsidR="00354D23" w:rsidRDefault="00196CB8" w:rsidP="00354D23">
      <w:pPr>
        <w:tabs>
          <w:tab w:val="left" w:pos="1440"/>
          <w:tab w:val="left" w:pos="2880"/>
          <w:tab w:val="left" w:pos="4320"/>
          <w:tab w:val="left" w:pos="5760"/>
          <w:tab w:val="left" w:pos="7200"/>
        </w:tabs>
        <w:spacing w:line="240" w:lineRule="auto"/>
        <w:jc w:val="center"/>
      </w:pPr>
    </w:p>
    <w:p w:rsidR="00354D23" w:rsidRDefault="00196CB8" w:rsidP="00354D23">
      <w:pPr>
        <w:tabs>
          <w:tab w:val="left" w:pos="1440"/>
          <w:tab w:val="left" w:pos="2880"/>
          <w:tab w:val="left" w:pos="4320"/>
          <w:tab w:val="left" w:pos="5760"/>
          <w:tab w:val="left" w:pos="7200"/>
        </w:tabs>
        <w:spacing w:line="240" w:lineRule="auto"/>
        <w:jc w:val="center"/>
      </w:pPr>
      <w:r>
        <w:t>DIVISION SIX</w:t>
      </w:r>
    </w:p>
    <w:p w:rsidR="00354D23" w:rsidRDefault="00196CB8" w:rsidP="00354D23">
      <w:pPr>
        <w:tabs>
          <w:tab w:val="left" w:pos="1440"/>
          <w:tab w:val="left" w:pos="2880"/>
          <w:tab w:val="left" w:pos="4320"/>
          <w:tab w:val="left" w:pos="5760"/>
          <w:tab w:val="left" w:pos="7200"/>
        </w:tabs>
        <w:spacing w:line="240" w:lineRule="auto"/>
        <w:jc w:val="center"/>
      </w:pPr>
    </w:p>
    <w:p w:rsidR="00354D23" w:rsidRDefault="00196CB8" w:rsidP="00354D23">
      <w:pPr>
        <w:tabs>
          <w:tab w:val="left" w:pos="1440"/>
          <w:tab w:val="left" w:pos="2880"/>
          <w:tab w:val="left" w:pos="4320"/>
          <w:tab w:val="left" w:pos="5760"/>
          <w:tab w:val="left" w:pos="7200"/>
        </w:tabs>
        <w:spacing w:line="240" w:lineRule="auto"/>
        <w:jc w:val="center"/>
      </w:pPr>
    </w:p>
    <w:tbl>
      <w:tblPr>
        <w:tblW w:w="0" w:type="auto"/>
        <w:tblLayout w:type="fixed"/>
        <w:tblLook w:val="0000" w:firstRow="0" w:lastRow="0" w:firstColumn="0" w:lastColumn="0" w:noHBand="0" w:noVBand="0"/>
      </w:tblPr>
      <w:tblGrid>
        <w:gridCol w:w="4068"/>
        <w:gridCol w:w="4068"/>
      </w:tblGrid>
      <w:tr w:rsidR="00354D23" w:rsidTr="00354D23">
        <w:tc>
          <w:tcPr>
            <w:tcW w:w="4068" w:type="dxa"/>
            <w:tcBorders>
              <w:bottom w:val="single" w:sz="4" w:space="0" w:color="auto"/>
              <w:right w:val="single" w:sz="4" w:space="0" w:color="auto"/>
            </w:tcBorders>
            <w:shd w:val="clear" w:color="auto" w:fill="auto"/>
          </w:tcPr>
          <w:p w:rsidR="00354D23" w:rsidRDefault="00196CB8" w:rsidP="00354D23">
            <w:pPr>
              <w:tabs>
                <w:tab w:val="left" w:pos="1440"/>
                <w:tab w:val="left" w:pos="2880"/>
                <w:tab w:val="left" w:pos="4320"/>
                <w:tab w:val="left" w:pos="5760"/>
                <w:tab w:val="left" w:pos="7200"/>
              </w:tabs>
              <w:spacing w:line="240" w:lineRule="auto"/>
            </w:pPr>
            <w:r>
              <w:t>PRESBYTERIAN CAMP AND CONFERENCE CENTERS, INC.,</w:t>
            </w:r>
          </w:p>
          <w:p w:rsidR="00354D23" w:rsidRDefault="00196CB8" w:rsidP="00354D23">
            <w:pPr>
              <w:tabs>
                <w:tab w:val="left" w:pos="1440"/>
                <w:tab w:val="left" w:pos="2880"/>
                <w:tab w:val="left" w:pos="4320"/>
                <w:tab w:val="left" w:pos="5760"/>
                <w:tab w:val="left" w:pos="7200"/>
              </w:tabs>
              <w:spacing w:line="240" w:lineRule="auto"/>
            </w:pPr>
          </w:p>
          <w:p w:rsidR="00354D23" w:rsidRDefault="00196CB8" w:rsidP="00354D23">
            <w:pPr>
              <w:tabs>
                <w:tab w:val="left" w:pos="1440"/>
                <w:tab w:val="left" w:pos="2880"/>
                <w:tab w:val="left" w:pos="4320"/>
                <w:tab w:val="left" w:pos="5760"/>
                <w:tab w:val="left" w:pos="7200"/>
              </w:tabs>
              <w:spacing w:line="240" w:lineRule="auto"/>
            </w:pPr>
            <w:r>
              <w:t xml:space="preserve">    Petitioner,</w:t>
            </w:r>
          </w:p>
          <w:p w:rsidR="00354D23" w:rsidRDefault="00196CB8" w:rsidP="00354D23">
            <w:pPr>
              <w:tabs>
                <w:tab w:val="left" w:pos="1440"/>
                <w:tab w:val="left" w:pos="2880"/>
                <w:tab w:val="left" w:pos="4320"/>
                <w:tab w:val="left" w:pos="5760"/>
                <w:tab w:val="left" w:pos="7200"/>
              </w:tabs>
              <w:spacing w:line="240" w:lineRule="auto"/>
            </w:pPr>
          </w:p>
          <w:p w:rsidR="00354D23" w:rsidRDefault="00196CB8" w:rsidP="00354D23">
            <w:pPr>
              <w:tabs>
                <w:tab w:val="left" w:pos="1440"/>
                <w:tab w:val="left" w:pos="2880"/>
                <w:tab w:val="left" w:pos="4320"/>
                <w:tab w:val="left" w:pos="5760"/>
                <w:tab w:val="left" w:pos="7200"/>
              </w:tabs>
              <w:spacing w:line="240" w:lineRule="auto"/>
            </w:pPr>
            <w:r>
              <w:t>v.</w:t>
            </w:r>
          </w:p>
          <w:p w:rsidR="00354D23" w:rsidRDefault="00196CB8" w:rsidP="00354D23">
            <w:pPr>
              <w:tabs>
                <w:tab w:val="left" w:pos="1440"/>
                <w:tab w:val="left" w:pos="2880"/>
                <w:tab w:val="left" w:pos="4320"/>
                <w:tab w:val="left" w:pos="5760"/>
                <w:tab w:val="left" w:pos="7200"/>
              </w:tabs>
              <w:spacing w:line="240" w:lineRule="auto"/>
            </w:pPr>
          </w:p>
          <w:p w:rsidR="00354D23" w:rsidRDefault="00196CB8" w:rsidP="00354D23">
            <w:pPr>
              <w:tabs>
                <w:tab w:val="left" w:pos="1440"/>
                <w:tab w:val="left" w:pos="2880"/>
                <w:tab w:val="left" w:pos="4320"/>
                <w:tab w:val="left" w:pos="5760"/>
                <w:tab w:val="left" w:pos="7200"/>
              </w:tabs>
              <w:spacing w:line="240" w:lineRule="auto"/>
            </w:pPr>
            <w:r>
              <w:t xml:space="preserve">THE SUPERIOR COURT OF </w:t>
            </w:r>
            <w:r>
              <w:t xml:space="preserve">SANTA BARBARA COUNTY, </w:t>
            </w:r>
          </w:p>
          <w:p w:rsidR="00354D23" w:rsidRDefault="00196CB8" w:rsidP="00354D23">
            <w:pPr>
              <w:tabs>
                <w:tab w:val="left" w:pos="1440"/>
                <w:tab w:val="left" w:pos="2880"/>
                <w:tab w:val="left" w:pos="4320"/>
                <w:tab w:val="left" w:pos="5760"/>
                <w:tab w:val="left" w:pos="7200"/>
              </w:tabs>
              <w:spacing w:line="240" w:lineRule="auto"/>
            </w:pPr>
          </w:p>
          <w:p w:rsidR="00354D23" w:rsidRDefault="00196CB8" w:rsidP="00354D23">
            <w:pPr>
              <w:tabs>
                <w:tab w:val="left" w:pos="1440"/>
                <w:tab w:val="left" w:pos="2880"/>
                <w:tab w:val="left" w:pos="4320"/>
                <w:tab w:val="left" w:pos="5760"/>
                <w:tab w:val="left" w:pos="7200"/>
              </w:tabs>
              <w:spacing w:line="240" w:lineRule="auto"/>
            </w:pPr>
            <w:r>
              <w:t xml:space="preserve">    Respondent;</w:t>
            </w:r>
          </w:p>
          <w:p w:rsidR="00354D23" w:rsidRDefault="00196CB8" w:rsidP="00354D23">
            <w:pPr>
              <w:tabs>
                <w:tab w:val="left" w:pos="1440"/>
                <w:tab w:val="left" w:pos="2880"/>
                <w:tab w:val="left" w:pos="4320"/>
                <w:tab w:val="left" w:pos="5760"/>
                <w:tab w:val="left" w:pos="7200"/>
              </w:tabs>
              <w:spacing w:line="240" w:lineRule="auto"/>
            </w:pPr>
          </w:p>
          <w:p w:rsidR="00354D23" w:rsidRDefault="00196CB8" w:rsidP="00354D23">
            <w:pPr>
              <w:tabs>
                <w:tab w:val="left" w:pos="1440"/>
                <w:tab w:val="left" w:pos="2880"/>
                <w:tab w:val="left" w:pos="4320"/>
                <w:tab w:val="left" w:pos="5760"/>
                <w:tab w:val="left" w:pos="7200"/>
              </w:tabs>
              <w:spacing w:line="240" w:lineRule="auto"/>
            </w:pPr>
            <w:r>
              <w:t>CALIFORNIA DEPARTMENT OF FORESTRY AND FIRE PROTECTION,</w:t>
            </w:r>
          </w:p>
          <w:p w:rsidR="00354D23" w:rsidRDefault="00196CB8" w:rsidP="00354D23">
            <w:pPr>
              <w:tabs>
                <w:tab w:val="left" w:pos="1440"/>
                <w:tab w:val="left" w:pos="2880"/>
                <w:tab w:val="left" w:pos="4320"/>
                <w:tab w:val="left" w:pos="5760"/>
                <w:tab w:val="left" w:pos="7200"/>
              </w:tabs>
              <w:spacing w:line="240" w:lineRule="auto"/>
            </w:pPr>
          </w:p>
          <w:p w:rsidR="00354D23" w:rsidRDefault="00196CB8" w:rsidP="00354D23">
            <w:pPr>
              <w:tabs>
                <w:tab w:val="left" w:pos="1440"/>
                <w:tab w:val="left" w:pos="2880"/>
                <w:tab w:val="left" w:pos="4320"/>
                <w:tab w:val="left" w:pos="5760"/>
                <w:tab w:val="left" w:pos="7200"/>
              </w:tabs>
              <w:spacing w:line="240" w:lineRule="auto"/>
            </w:pPr>
            <w:r>
              <w:t xml:space="preserve">    Real Party in Interest.</w:t>
            </w:r>
          </w:p>
          <w:p w:rsidR="00354D23" w:rsidRDefault="00196CB8" w:rsidP="00354D23">
            <w:pPr>
              <w:tabs>
                <w:tab w:val="left" w:pos="1440"/>
                <w:tab w:val="left" w:pos="2880"/>
                <w:tab w:val="left" w:pos="4320"/>
                <w:tab w:val="left" w:pos="5760"/>
                <w:tab w:val="left" w:pos="7200"/>
              </w:tabs>
              <w:spacing w:line="240" w:lineRule="auto"/>
            </w:pPr>
          </w:p>
        </w:tc>
        <w:tc>
          <w:tcPr>
            <w:tcW w:w="4068" w:type="dxa"/>
            <w:tcBorders>
              <w:left w:val="single" w:sz="4" w:space="0" w:color="auto"/>
            </w:tcBorders>
            <w:shd w:val="clear" w:color="auto" w:fill="auto"/>
          </w:tcPr>
          <w:p w:rsidR="00354D23" w:rsidRDefault="00196CB8" w:rsidP="00354D23">
            <w:pPr>
              <w:tabs>
                <w:tab w:val="left" w:pos="1440"/>
                <w:tab w:val="left" w:pos="2880"/>
                <w:tab w:val="left" w:pos="4320"/>
                <w:tab w:val="left" w:pos="5760"/>
                <w:tab w:val="left" w:pos="7200"/>
              </w:tabs>
              <w:spacing w:line="240" w:lineRule="auto"/>
              <w:jc w:val="center"/>
            </w:pPr>
            <w:r>
              <w:t xml:space="preserve">2d Civil No. </w:t>
            </w:r>
            <w:bookmarkStart w:id="1" w:name="_Hlk26779386"/>
            <w:r>
              <w:t>B297195</w:t>
            </w:r>
            <w:bookmarkEnd w:id="1"/>
          </w:p>
          <w:p w:rsidR="00354D23" w:rsidRDefault="00196CB8" w:rsidP="00354D23">
            <w:pPr>
              <w:tabs>
                <w:tab w:val="left" w:pos="1440"/>
                <w:tab w:val="left" w:pos="2880"/>
                <w:tab w:val="left" w:pos="4320"/>
                <w:tab w:val="left" w:pos="5760"/>
                <w:tab w:val="left" w:pos="7200"/>
              </w:tabs>
              <w:spacing w:line="240" w:lineRule="auto"/>
              <w:jc w:val="center"/>
            </w:pPr>
            <w:r>
              <w:t>(Super. Ct. No. 18CV02968)</w:t>
            </w:r>
          </w:p>
          <w:p w:rsidR="00354D23" w:rsidRDefault="00196CB8" w:rsidP="00354D23">
            <w:pPr>
              <w:tabs>
                <w:tab w:val="left" w:pos="1440"/>
                <w:tab w:val="left" w:pos="2880"/>
                <w:tab w:val="left" w:pos="4320"/>
                <w:tab w:val="left" w:pos="5760"/>
                <w:tab w:val="left" w:pos="7200"/>
              </w:tabs>
              <w:spacing w:line="240" w:lineRule="auto"/>
              <w:jc w:val="center"/>
            </w:pPr>
            <w:r>
              <w:t>(Santa Barbara County)</w:t>
            </w:r>
          </w:p>
          <w:p w:rsidR="00354D23" w:rsidRDefault="00196CB8" w:rsidP="00354D23">
            <w:pPr>
              <w:tabs>
                <w:tab w:val="left" w:pos="1440"/>
                <w:tab w:val="left" w:pos="2880"/>
                <w:tab w:val="left" w:pos="4320"/>
                <w:tab w:val="left" w:pos="5760"/>
                <w:tab w:val="left" w:pos="7200"/>
              </w:tabs>
              <w:spacing w:line="240" w:lineRule="auto"/>
              <w:jc w:val="center"/>
            </w:pPr>
          </w:p>
          <w:p w:rsidR="00354D23" w:rsidRDefault="00196CB8" w:rsidP="00354D23">
            <w:pPr>
              <w:tabs>
                <w:tab w:val="left" w:pos="1440"/>
                <w:tab w:val="left" w:pos="2880"/>
                <w:tab w:val="left" w:pos="4320"/>
                <w:tab w:val="left" w:pos="5760"/>
                <w:tab w:val="left" w:pos="7200"/>
              </w:tabs>
              <w:spacing w:line="240" w:lineRule="auto"/>
              <w:jc w:val="center"/>
            </w:pPr>
          </w:p>
          <w:p w:rsidR="00354D23" w:rsidRPr="003C0A95" w:rsidRDefault="00196CB8" w:rsidP="00354D23">
            <w:pPr>
              <w:jc w:val="center"/>
              <w:rPr>
                <w:b/>
                <w:iCs/>
                <w:szCs w:val="26"/>
              </w:rPr>
            </w:pPr>
            <w:r w:rsidRPr="003C0A95">
              <w:rPr>
                <w:b/>
                <w:iCs/>
                <w:szCs w:val="26"/>
              </w:rPr>
              <w:t>ORDER MODIFYING OPINION</w:t>
            </w:r>
            <w:r>
              <w:rPr>
                <w:b/>
                <w:iCs/>
                <w:szCs w:val="26"/>
              </w:rPr>
              <w:t xml:space="preserve"> AND DENYING REHEARING</w:t>
            </w:r>
          </w:p>
          <w:p w:rsidR="00354D23" w:rsidRDefault="00196CB8" w:rsidP="00354D23">
            <w:pPr>
              <w:tabs>
                <w:tab w:val="left" w:pos="1440"/>
                <w:tab w:val="left" w:pos="2880"/>
                <w:tab w:val="left" w:pos="4320"/>
                <w:tab w:val="left" w:pos="5760"/>
                <w:tab w:val="left" w:pos="7200"/>
              </w:tabs>
              <w:spacing w:line="240" w:lineRule="auto"/>
              <w:jc w:val="center"/>
            </w:pPr>
            <w:r>
              <w:rPr>
                <w:b/>
                <w:iCs/>
                <w:szCs w:val="26"/>
              </w:rPr>
              <w:t xml:space="preserve">[NO CHANGE </w:t>
            </w:r>
            <w:r>
              <w:rPr>
                <w:b/>
                <w:iCs/>
                <w:szCs w:val="26"/>
              </w:rPr>
              <w:t>IN JUDGMENT</w:t>
            </w:r>
            <w:r w:rsidRPr="003C0A95">
              <w:rPr>
                <w:b/>
                <w:iCs/>
                <w:szCs w:val="26"/>
              </w:rPr>
              <w:t>]</w:t>
            </w:r>
          </w:p>
          <w:p w:rsidR="00354D23" w:rsidRDefault="00196CB8" w:rsidP="00354D23">
            <w:pPr>
              <w:tabs>
                <w:tab w:val="left" w:pos="1440"/>
                <w:tab w:val="left" w:pos="2880"/>
                <w:tab w:val="left" w:pos="4320"/>
                <w:tab w:val="left" w:pos="5760"/>
                <w:tab w:val="left" w:pos="7200"/>
              </w:tabs>
              <w:spacing w:line="240" w:lineRule="auto"/>
              <w:jc w:val="center"/>
            </w:pPr>
          </w:p>
        </w:tc>
      </w:tr>
    </w:tbl>
    <w:p w:rsidR="00354D23" w:rsidRDefault="00196CB8" w:rsidP="00354D23">
      <w:pPr>
        <w:tabs>
          <w:tab w:val="left" w:pos="1440"/>
          <w:tab w:val="left" w:pos="2880"/>
          <w:tab w:val="left" w:pos="4320"/>
          <w:tab w:val="left" w:pos="5760"/>
          <w:tab w:val="left" w:pos="7200"/>
        </w:tabs>
        <w:spacing w:line="240" w:lineRule="auto"/>
      </w:pPr>
      <w:r>
        <w:tab/>
      </w:r>
    </w:p>
    <w:p w:rsidR="00354D23" w:rsidRDefault="00196CB8" w:rsidP="00354D23">
      <w:pPr>
        <w:tabs>
          <w:tab w:val="left" w:pos="1440"/>
          <w:tab w:val="left" w:pos="2880"/>
          <w:tab w:val="left" w:pos="4320"/>
          <w:tab w:val="left" w:pos="5760"/>
          <w:tab w:val="left" w:pos="7200"/>
        </w:tabs>
      </w:pPr>
      <w:r>
        <w:t>THE COURT:</w:t>
      </w:r>
    </w:p>
    <w:p w:rsidR="00354D23" w:rsidRDefault="00196CB8" w:rsidP="00354D23">
      <w:pPr>
        <w:tabs>
          <w:tab w:val="left" w:pos="1440"/>
          <w:tab w:val="left" w:pos="2880"/>
          <w:tab w:val="left" w:pos="4320"/>
          <w:tab w:val="left" w:pos="5760"/>
          <w:tab w:val="left" w:pos="7200"/>
        </w:tabs>
      </w:pPr>
      <w:r>
        <w:tab/>
        <w:t>It is ordered that the opinion filed herein on November 18, 2019, and certified for publication, be modified as follows:</w:t>
      </w:r>
    </w:p>
    <w:p w:rsidR="00354D23" w:rsidRDefault="00196CB8" w:rsidP="00354D23">
      <w:pPr>
        <w:tabs>
          <w:tab w:val="left" w:pos="1440"/>
          <w:tab w:val="left" w:pos="2880"/>
          <w:tab w:val="left" w:pos="4320"/>
          <w:tab w:val="left" w:pos="5760"/>
          <w:tab w:val="left" w:pos="7200"/>
        </w:tabs>
      </w:pPr>
      <w:r>
        <w:lastRenderedPageBreak/>
        <w:tab/>
        <w:t>1.  On page 2, first sentence of the third full paragraph, the word “allegedly” is to be inserted between</w:t>
      </w:r>
      <w:r>
        <w:t xml:space="preserve"> the words “fire” and “started” so that the sentence reads:</w:t>
      </w:r>
    </w:p>
    <w:p w:rsidR="00354D23" w:rsidRDefault="00196CB8" w:rsidP="00354D23">
      <w:pPr>
        <w:tabs>
          <w:tab w:val="left" w:pos="1440"/>
          <w:tab w:val="left" w:pos="2880"/>
          <w:tab w:val="left" w:pos="4320"/>
          <w:tab w:val="left" w:pos="5760"/>
          <w:tab w:val="left" w:pos="7200"/>
        </w:tabs>
      </w:pPr>
      <w:r>
        <w:tab/>
      </w:r>
      <w:r w:rsidRPr="00EB777C">
        <w:t xml:space="preserve">The Department of Forestry and Fire Protection (CalFire) sued Presbyterian Camp and Conference Centers (PCCC) to recover costs </w:t>
      </w:r>
      <w:r>
        <w:t>arising from</w:t>
      </w:r>
      <w:r w:rsidRPr="00EB777C">
        <w:t xml:space="preserve"> a fire</w:t>
      </w:r>
      <w:r>
        <w:t xml:space="preserve"> allegedly</w:t>
      </w:r>
      <w:r w:rsidRPr="00EB777C">
        <w:t xml:space="preserve"> started by a PCCC employee.  </w:t>
      </w:r>
    </w:p>
    <w:p w:rsidR="00354D23" w:rsidRDefault="00196CB8" w:rsidP="00354D23">
      <w:pPr>
        <w:tabs>
          <w:tab w:val="left" w:pos="1440"/>
          <w:tab w:val="left" w:pos="2880"/>
          <w:tab w:val="left" w:pos="4320"/>
          <w:tab w:val="left" w:pos="5760"/>
          <w:tab w:val="left" w:pos="7200"/>
        </w:tabs>
      </w:pPr>
    </w:p>
    <w:p w:rsidR="00354D23" w:rsidRDefault="00196CB8" w:rsidP="00354D23">
      <w:pPr>
        <w:tabs>
          <w:tab w:val="left" w:pos="1440"/>
          <w:tab w:val="left" w:pos="2880"/>
          <w:tab w:val="left" w:pos="4320"/>
          <w:tab w:val="left" w:pos="5760"/>
          <w:tab w:val="left" w:pos="7200"/>
        </w:tabs>
      </w:pPr>
      <w:r>
        <w:tab/>
        <w:t>2.  On</w:t>
      </w:r>
      <w:r>
        <w:t xml:space="preserve"> page 2, second sentence of the fourth full paragraph, beginning “It contends” is deleted and the following sentence is inserted in its place:</w:t>
      </w:r>
    </w:p>
    <w:p w:rsidR="00354D23" w:rsidRDefault="00196CB8" w:rsidP="00354D23">
      <w:pPr>
        <w:tabs>
          <w:tab w:val="left" w:pos="1440"/>
          <w:tab w:val="left" w:pos="2880"/>
          <w:tab w:val="left" w:pos="4320"/>
          <w:tab w:val="left" w:pos="5760"/>
          <w:tab w:val="left" w:pos="7200"/>
        </w:tabs>
        <w:rPr>
          <w:rFonts w:eastAsia="Times New Roman"/>
          <w:szCs w:val="26"/>
        </w:rPr>
      </w:pPr>
      <w:r>
        <w:tab/>
        <w:t xml:space="preserve">It contends </w:t>
      </w:r>
      <w:r>
        <w:rPr>
          <w:rFonts w:eastAsia="Times New Roman"/>
          <w:szCs w:val="26"/>
        </w:rPr>
        <w:t>the court erroneously overruled its demurrer because</w:t>
      </w:r>
      <w:r w:rsidRPr="00381AFA">
        <w:rPr>
          <w:rFonts w:eastAsia="Times New Roman"/>
          <w:szCs w:val="26"/>
        </w:rPr>
        <w:t xml:space="preserve"> </w:t>
      </w:r>
      <w:r>
        <w:rPr>
          <w:rFonts w:eastAsia="Times New Roman"/>
          <w:szCs w:val="26"/>
        </w:rPr>
        <w:t xml:space="preserve">sections 13009 and 13009.1 do not permit it to </w:t>
      </w:r>
      <w:r>
        <w:rPr>
          <w:rFonts w:eastAsia="Times New Roman"/>
          <w:szCs w:val="26"/>
        </w:rPr>
        <w:t xml:space="preserve">be held liable for an alleged employee’s negligent or illegal acts.  </w:t>
      </w:r>
    </w:p>
    <w:p w:rsidR="00354D23" w:rsidRDefault="00196CB8" w:rsidP="00354D23">
      <w:pPr>
        <w:tabs>
          <w:tab w:val="left" w:pos="1440"/>
          <w:tab w:val="left" w:pos="2880"/>
          <w:tab w:val="left" w:pos="4320"/>
          <w:tab w:val="left" w:pos="5760"/>
          <w:tab w:val="left" w:pos="7200"/>
        </w:tabs>
        <w:rPr>
          <w:rFonts w:eastAsia="Times New Roman"/>
          <w:szCs w:val="26"/>
        </w:rPr>
      </w:pPr>
    </w:p>
    <w:p w:rsidR="00354D23" w:rsidRDefault="00196CB8" w:rsidP="00354D23">
      <w:pPr>
        <w:tabs>
          <w:tab w:val="left" w:pos="1440"/>
          <w:tab w:val="left" w:pos="2880"/>
          <w:tab w:val="left" w:pos="4320"/>
          <w:tab w:val="left" w:pos="5760"/>
          <w:tab w:val="left" w:pos="7200"/>
        </w:tabs>
        <w:rPr>
          <w:rFonts w:eastAsia="Times New Roman"/>
          <w:szCs w:val="26"/>
        </w:rPr>
      </w:pPr>
      <w:r>
        <w:rPr>
          <w:rFonts w:eastAsia="Times New Roman"/>
          <w:szCs w:val="26"/>
        </w:rPr>
        <w:tab/>
        <w:t>3.  On page 2, after section header “FACTUAL AND PROCEDURAL HISTORY,” add as footnote 2 the following footnote, which will require renumbering of all subsequent footnotes:</w:t>
      </w:r>
    </w:p>
    <w:p w:rsidR="00354D23" w:rsidRDefault="00196CB8" w:rsidP="00354D23">
      <w:pPr>
        <w:tabs>
          <w:tab w:val="left" w:pos="1440"/>
          <w:tab w:val="left" w:pos="2880"/>
          <w:tab w:val="left" w:pos="4320"/>
          <w:tab w:val="left" w:pos="5760"/>
          <w:tab w:val="left" w:pos="7200"/>
        </w:tabs>
        <w:rPr>
          <w:rFonts w:eastAsia="Times New Roman"/>
          <w:szCs w:val="26"/>
        </w:rPr>
      </w:pPr>
      <w:r>
        <w:rPr>
          <w:rFonts w:eastAsia="Times New Roman"/>
          <w:szCs w:val="26"/>
        </w:rPr>
        <w:tab/>
      </w:r>
      <w:r w:rsidRPr="00DE4781">
        <w:rPr>
          <w:rFonts w:eastAsia="Times New Roman"/>
          <w:position w:val="8"/>
          <w:sz w:val="20"/>
          <w:szCs w:val="20"/>
        </w:rPr>
        <w:t>2</w:t>
      </w:r>
      <w:r>
        <w:rPr>
          <w:rFonts w:eastAsia="Times New Roman"/>
          <w:szCs w:val="26"/>
        </w:rPr>
        <w:t xml:space="preserve"> The facts</w:t>
      </w:r>
      <w:r>
        <w:rPr>
          <w:rFonts w:eastAsia="Times New Roman"/>
          <w:szCs w:val="26"/>
        </w:rPr>
        <w:t xml:space="preserve"> are taken from CalFire’s complaint, which we accept as true in our review of the trial court’s order overruling PCCC’s demurrer.  (</w:t>
      </w:r>
      <w:r w:rsidRPr="00DE4781">
        <w:rPr>
          <w:rFonts w:eastAsia="Times New Roman"/>
          <w:i/>
          <w:szCs w:val="26"/>
        </w:rPr>
        <w:t>Blank v. Kirwan</w:t>
      </w:r>
      <w:r>
        <w:rPr>
          <w:rFonts w:eastAsia="Times New Roman"/>
          <w:szCs w:val="26"/>
        </w:rPr>
        <w:t xml:space="preserve"> (1985) 39 Cal.3d 311, 318 (</w:t>
      </w:r>
      <w:r w:rsidRPr="00DE4781">
        <w:rPr>
          <w:rFonts w:eastAsia="Times New Roman"/>
          <w:i/>
          <w:szCs w:val="26"/>
        </w:rPr>
        <w:t>Blank</w:t>
      </w:r>
      <w:r>
        <w:rPr>
          <w:rFonts w:eastAsia="Times New Roman"/>
          <w:szCs w:val="26"/>
        </w:rPr>
        <w:t>).)</w:t>
      </w:r>
    </w:p>
    <w:p w:rsidR="00354D23" w:rsidRDefault="00196CB8" w:rsidP="00354D23">
      <w:pPr>
        <w:tabs>
          <w:tab w:val="left" w:pos="1440"/>
          <w:tab w:val="left" w:pos="2880"/>
          <w:tab w:val="left" w:pos="4320"/>
          <w:tab w:val="left" w:pos="5760"/>
          <w:tab w:val="left" w:pos="7200"/>
        </w:tabs>
      </w:pPr>
    </w:p>
    <w:p w:rsidR="00354D23" w:rsidRDefault="00196CB8" w:rsidP="00354D23">
      <w:pPr>
        <w:tabs>
          <w:tab w:val="left" w:pos="1440"/>
          <w:tab w:val="left" w:pos="2880"/>
          <w:tab w:val="left" w:pos="4320"/>
          <w:tab w:val="left" w:pos="5760"/>
          <w:tab w:val="left" w:pos="7200"/>
        </w:tabs>
        <w:rPr>
          <w:rFonts w:eastAsia="Times New Roman"/>
          <w:szCs w:val="26"/>
        </w:rPr>
      </w:pPr>
      <w:r>
        <w:tab/>
        <w:t>4.  On page 5, first partial paragraph, second citation “(</w:t>
      </w:r>
      <w:r w:rsidRPr="00365405">
        <w:rPr>
          <w:rFonts w:eastAsia="Times New Roman"/>
          <w:i/>
          <w:szCs w:val="26"/>
        </w:rPr>
        <w:t>Blank v. Kir</w:t>
      </w:r>
      <w:r w:rsidRPr="00365405">
        <w:rPr>
          <w:rFonts w:eastAsia="Times New Roman"/>
          <w:i/>
          <w:szCs w:val="26"/>
        </w:rPr>
        <w:t>wan</w:t>
      </w:r>
      <w:r w:rsidRPr="00365405">
        <w:rPr>
          <w:rFonts w:eastAsia="Times New Roman"/>
          <w:szCs w:val="26"/>
        </w:rPr>
        <w:t xml:space="preserve"> (1985) 39 Cal.3d 311, 318</w:t>
      </w:r>
      <w:r>
        <w:rPr>
          <w:rFonts w:eastAsia="Times New Roman"/>
          <w:szCs w:val="26"/>
        </w:rPr>
        <w:t>.)” is modified to read as follows:</w:t>
      </w:r>
    </w:p>
    <w:p w:rsidR="00354D23" w:rsidRDefault="00196CB8" w:rsidP="00354D23">
      <w:pPr>
        <w:tabs>
          <w:tab w:val="left" w:pos="1440"/>
          <w:tab w:val="left" w:pos="2880"/>
          <w:tab w:val="left" w:pos="4320"/>
          <w:tab w:val="left" w:pos="5760"/>
          <w:tab w:val="left" w:pos="7200"/>
        </w:tabs>
        <w:rPr>
          <w:rFonts w:eastAsia="Times New Roman"/>
          <w:szCs w:val="26"/>
        </w:rPr>
      </w:pPr>
      <w:r>
        <w:rPr>
          <w:rFonts w:eastAsia="Times New Roman"/>
          <w:szCs w:val="26"/>
        </w:rPr>
        <w:tab/>
        <w:t>(</w:t>
      </w:r>
      <w:r>
        <w:rPr>
          <w:rFonts w:eastAsia="Times New Roman"/>
          <w:i/>
          <w:szCs w:val="26"/>
        </w:rPr>
        <w:t>Blank</w:t>
      </w:r>
      <w:r w:rsidRPr="00DE4781">
        <w:rPr>
          <w:rFonts w:eastAsia="Times New Roman"/>
          <w:szCs w:val="26"/>
        </w:rPr>
        <w:t>,</w:t>
      </w:r>
      <w:r>
        <w:rPr>
          <w:rFonts w:eastAsia="Times New Roman"/>
          <w:i/>
          <w:szCs w:val="26"/>
        </w:rPr>
        <w:t xml:space="preserve"> supra</w:t>
      </w:r>
      <w:r w:rsidRPr="00DE4781">
        <w:rPr>
          <w:rFonts w:eastAsia="Times New Roman"/>
          <w:szCs w:val="26"/>
        </w:rPr>
        <w:t xml:space="preserve">, </w:t>
      </w:r>
      <w:r>
        <w:rPr>
          <w:rFonts w:eastAsia="Times New Roman"/>
          <w:szCs w:val="26"/>
        </w:rPr>
        <w:t>39 Cal.3d at p.</w:t>
      </w:r>
      <w:r w:rsidRPr="00365405">
        <w:rPr>
          <w:rFonts w:eastAsia="Times New Roman"/>
          <w:szCs w:val="26"/>
        </w:rPr>
        <w:t xml:space="preserve"> 318</w:t>
      </w:r>
      <w:r>
        <w:rPr>
          <w:rFonts w:eastAsia="Times New Roman"/>
          <w:szCs w:val="26"/>
        </w:rPr>
        <w:t>.)</w:t>
      </w:r>
    </w:p>
    <w:p w:rsidR="00354D23" w:rsidRDefault="00196CB8" w:rsidP="00354D23">
      <w:pPr>
        <w:tabs>
          <w:tab w:val="left" w:pos="1440"/>
          <w:tab w:val="left" w:pos="2880"/>
          <w:tab w:val="left" w:pos="4320"/>
          <w:tab w:val="left" w:pos="5760"/>
          <w:tab w:val="left" w:pos="7200"/>
        </w:tabs>
        <w:rPr>
          <w:rFonts w:eastAsia="Times New Roman"/>
          <w:szCs w:val="26"/>
        </w:rPr>
      </w:pPr>
    </w:p>
    <w:p w:rsidR="00354D23" w:rsidRDefault="00196CB8" w:rsidP="00354D23">
      <w:pPr>
        <w:tabs>
          <w:tab w:val="left" w:pos="1440"/>
          <w:tab w:val="left" w:pos="2880"/>
          <w:tab w:val="left" w:pos="4320"/>
          <w:tab w:val="left" w:pos="5760"/>
          <w:tab w:val="left" w:pos="7200"/>
        </w:tabs>
        <w:rPr>
          <w:rFonts w:eastAsia="Times New Roman"/>
          <w:szCs w:val="26"/>
        </w:rPr>
      </w:pPr>
      <w:r>
        <w:rPr>
          <w:rFonts w:eastAsia="Times New Roman"/>
          <w:szCs w:val="26"/>
        </w:rPr>
        <w:lastRenderedPageBreak/>
        <w:tab/>
        <w:t>5.  On page 8, first full paragraph, beginning “Here, it is” is deleted and the following paragraph is inserted in its place:</w:t>
      </w:r>
    </w:p>
    <w:p w:rsidR="00354D23" w:rsidRDefault="00196CB8" w:rsidP="00354D23">
      <w:pPr>
        <w:tabs>
          <w:tab w:val="left" w:pos="1440"/>
          <w:tab w:val="left" w:pos="2880"/>
          <w:tab w:val="left" w:pos="4320"/>
          <w:tab w:val="left" w:pos="5760"/>
          <w:tab w:val="left" w:pos="7200"/>
        </w:tabs>
        <w:rPr>
          <w:rFonts w:eastAsia="Times New Roman"/>
          <w:szCs w:val="26"/>
        </w:rPr>
      </w:pPr>
      <w:r>
        <w:rPr>
          <w:rFonts w:eastAsia="Times New Roman"/>
          <w:szCs w:val="26"/>
        </w:rPr>
        <w:tab/>
      </w:r>
      <w:r w:rsidRPr="006D0003">
        <w:rPr>
          <w:rFonts w:eastAsia="Times New Roman"/>
          <w:szCs w:val="26"/>
        </w:rPr>
        <w:t>Here, it is alleged that</w:t>
      </w:r>
      <w:r w:rsidRPr="006D0003">
        <w:rPr>
          <w:rFonts w:eastAsia="Times New Roman"/>
          <w:szCs w:val="26"/>
        </w:rPr>
        <w:t xml:space="preserve"> Cook started the Sherpa Fire.  And it is alleged that PCCC was his employer at that time.  Therefore, if CalFire can prove that Cook was PCCC’s employee, that he started the fire negligently or in violation of law, and that he did so in the scope of his e</w:t>
      </w:r>
      <w:r w:rsidRPr="006D0003">
        <w:rPr>
          <w:rFonts w:eastAsia="Times New Roman"/>
          <w:szCs w:val="26"/>
        </w:rPr>
        <w:t>mployment, PCCC can, pursuant to sections 13009 and 13009.1, be held vicariously liable for CalFire’s fire suppression and investigation costs.</w:t>
      </w:r>
    </w:p>
    <w:p w:rsidR="00354D23" w:rsidRDefault="00196CB8" w:rsidP="00354D23">
      <w:pPr>
        <w:tabs>
          <w:tab w:val="left" w:pos="1440"/>
          <w:tab w:val="left" w:pos="2880"/>
          <w:tab w:val="left" w:pos="4320"/>
          <w:tab w:val="left" w:pos="5760"/>
          <w:tab w:val="left" w:pos="7200"/>
        </w:tabs>
        <w:rPr>
          <w:rFonts w:eastAsia="Times New Roman"/>
          <w:szCs w:val="26"/>
        </w:rPr>
      </w:pPr>
    </w:p>
    <w:p w:rsidR="00354D23" w:rsidRDefault="00196CB8" w:rsidP="00354D23">
      <w:pPr>
        <w:tabs>
          <w:tab w:val="left" w:pos="1440"/>
          <w:tab w:val="left" w:pos="2880"/>
          <w:tab w:val="left" w:pos="4320"/>
          <w:tab w:val="left" w:pos="5760"/>
          <w:tab w:val="left" w:pos="7200"/>
        </w:tabs>
      </w:pPr>
      <w:r>
        <w:rPr>
          <w:rFonts w:eastAsia="Times New Roman"/>
          <w:szCs w:val="26"/>
        </w:rPr>
        <w:tab/>
        <w:t>6.  On page 10, first full paragraph beginning “In 1931” is deleted and the following two paragraphs are inser</w:t>
      </w:r>
      <w:r>
        <w:rPr>
          <w:rFonts w:eastAsia="Times New Roman"/>
          <w:szCs w:val="26"/>
        </w:rPr>
        <w:t>ted in its place:</w:t>
      </w:r>
      <w:r>
        <w:t xml:space="preserve"> </w:t>
      </w:r>
    </w:p>
    <w:p w:rsidR="00354D23" w:rsidRPr="00C858B6" w:rsidRDefault="00196CB8" w:rsidP="00354D23">
      <w:pPr>
        <w:tabs>
          <w:tab w:val="left" w:pos="1440"/>
          <w:tab w:val="left" w:pos="2880"/>
          <w:tab w:val="left" w:pos="4320"/>
          <w:tab w:val="left" w:pos="5760"/>
          <w:tab w:val="left" w:pos="7200"/>
        </w:tabs>
      </w:pPr>
      <w:r>
        <w:tab/>
      </w:r>
      <w:r w:rsidRPr="00C858B6">
        <w:rPr>
          <w:rFonts w:eastAsia="Times New Roman"/>
          <w:szCs w:val="26"/>
        </w:rPr>
        <w:t xml:space="preserve">In 1872, the Legislature enacted the first predecessor to the fire liability statutes now codified at sections 13007, 13008, 13009, and 13009.1.  </w:t>
      </w:r>
      <w:r w:rsidRPr="00C858B6">
        <w:t>(</w:t>
      </w:r>
      <w:r w:rsidRPr="00C858B6">
        <w:rPr>
          <w:i/>
        </w:rPr>
        <w:t>McKay v. State of California</w:t>
      </w:r>
      <w:r w:rsidRPr="00C858B6">
        <w:t xml:space="preserve"> (1992) 8 Cal.App.4th 937, 939; </w:t>
      </w:r>
      <w:r w:rsidRPr="00C858B6">
        <w:rPr>
          <w:i/>
        </w:rPr>
        <w:t>Gould v. Madonna</w:t>
      </w:r>
      <w:r w:rsidRPr="00C858B6">
        <w:t xml:space="preserve"> (1970) 5 Cal</w:t>
      </w:r>
      <w:r w:rsidRPr="00C858B6">
        <w:t>.App.3d 404, 406-407 (</w:t>
      </w:r>
      <w:r w:rsidRPr="00C858B6">
        <w:rPr>
          <w:i/>
        </w:rPr>
        <w:t>Gould</w:t>
      </w:r>
      <w:r w:rsidRPr="00C858B6">
        <w:t xml:space="preserve">).)  As enacted, </w:t>
      </w:r>
      <w:r w:rsidRPr="00C858B6">
        <w:rPr>
          <w:rFonts w:eastAsia="Times New Roman"/>
          <w:szCs w:val="26"/>
        </w:rPr>
        <w:t>former Political Code section 3344 provided that “‘[e]</w:t>
      </w:r>
      <w:r w:rsidRPr="00C858B6">
        <w:t>very person negligently setting fire to [their] own woods, or negligently suffering any fire to extend beyond [their] own land, [was] liable in treble damages</w:t>
      </w:r>
      <w:r w:rsidRPr="00C858B6">
        <w:t xml:space="preserve"> to the party injured.’”  </w:t>
      </w:r>
      <w:r w:rsidRPr="00C858B6">
        <w:rPr>
          <w:rFonts w:eastAsia="Times New Roman"/>
          <w:szCs w:val="26"/>
        </w:rPr>
        <w:t>(</w:t>
      </w:r>
      <w:proofErr w:type="spellStart"/>
      <w:r w:rsidRPr="00C858B6">
        <w:rPr>
          <w:rFonts w:eastAsia="Times New Roman"/>
          <w:i/>
          <w:szCs w:val="26"/>
        </w:rPr>
        <w:t>Haverstick</w:t>
      </w:r>
      <w:proofErr w:type="spellEnd"/>
      <w:r w:rsidRPr="00C858B6">
        <w:rPr>
          <w:rFonts w:eastAsia="Times New Roman"/>
          <w:szCs w:val="26"/>
        </w:rPr>
        <w:t xml:space="preserve">, </w:t>
      </w:r>
      <w:r w:rsidRPr="00C858B6">
        <w:rPr>
          <w:rFonts w:eastAsia="Times New Roman"/>
          <w:i/>
          <w:szCs w:val="26"/>
        </w:rPr>
        <w:t>supra</w:t>
      </w:r>
      <w:r w:rsidRPr="00C858B6">
        <w:rPr>
          <w:rFonts w:eastAsia="Times New Roman"/>
          <w:szCs w:val="26"/>
        </w:rPr>
        <w:t xml:space="preserve">, 1 Cal.App.2d at p. 615.)  Thirty-three years later, the Legislature enacted </w:t>
      </w:r>
      <w:r w:rsidRPr="00C858B6">
        <w:t xml:space="preserve">Civil Code section 3346a.  (See </w:t>
      </w:r>
      <w:r w:rsidRPr="00C858B6">
        <w:rPr>
          <w:i/>
        </w:rPr>
        <w:t>McKay</w:t>
      </w:r>
      <w:r w:rsidRPr="00C858B6">
        <w:t>, at p. 939.)  Its language was identical to that in the Political Code</w:t>
      </w:r>
      <w:r w:rsidRPr="00C858B6">
        <w:rPr>
          <w:rFonts w:eastAsia="Times New Roman"/>
          <w:szCs w:val="26"/>
        </w:rPr>
        <w:t xml:space="preserve">.  (See </w:t>
      </w:r>
      <w:proofErr w:type="spellStart"/>
      <w:r w:rsidRPr="00C858B6">
        <w:rPr>
          <w:rFonts w:eastAsia="Times New Roman"/>
          <w:i/>
          <w:szCs w:val="26"/>
        </w:rPr>
        <w:t>Haverstick</w:t>
      </w:r>
      <w:proofErr w:type="spellEnd"/>
      <w:r w:rsidRPr="00C858B6">
        <w:rPr>
          <w:rFonts w:eastAsia="Times New Roman"/>
          <w:szCs w:val="26"/>
        </w:rPr>
        <w:t xml:space="preserve">, at p. </w:t>
      </w:r>
      <w:r w:rsidRPr="00C858B6">
        <w:rPr>
          <w:rFonts w:eastAsia="Times New Roman"/>
          <w:szCs w:val="26"/>
        </w:rPr>
        <w:t>615.)</w:t>
      </w:r>
    </w:p>
    <w:p w:rsidR="00354D23" w:rsidRDefault="00196CB8" w:rsidP="00354D23">
      <w:pPr>
        <w:tabs>
          <w:tab w:val="left" w:pos="1440"/>
          <w:tab w:val="left" w:pos="2880"/>
          <w:tab w:val="left" w:pos="4320"/>
          <w:tab w:val="left" w:pos="5760"/>
          <w:tab w:val="left" w:pos="7200"/>
        </w:tabs>
        <w:rPr>
          <w:rFonts w:eastAsia="Times New Roman"/>
          <w:szCs w:val="26"/>
        </w:rPr>
      </w:pPr>
      <w:r w:rsidRPr="00C858B6">
        <w:rPr>
          <w:rFonts w:eastAsia="Times New Roman"/>
          <w:szCs w:val="26"/>
        </w:rPr>
        <w:tab/>
        <w:t>The Legislature repealed Political Code section 3344 and Civil Code section 3346a when it enacted the Fire Liability Law in 1931.  (</w:t>
      </w:r>
      <w:r w:rsidRPr="00C858B6">
        <w:rPr>
          <w:rFonts w:eastAsia="Times New Roman"/>
          <w:i/>
          <w:szCs w:val="26"/>
        </w:rPr>
        <w:t>Gould</w:t>
      </w:r>
      <w:r w:rsidRPr="00C858B6">
        <w:rPr>
          <w:rFonts w:eastAsia="Times New Roman"/>
          <w:szCs w:val="26"/>
        </w:rPr>
        <w:t xml:space="preserve">, </w:t>
      </w:r>
      <w:r w:rsidRPr="00C858B6">
        <w:rPr>
          <w:rFonts w:eastAsia="Times New Roman"/>
          <w:i/>
          <w:szCs w:val="26"/>
        </w:rPr>
        <w:t>supra</w:t>
      </w:r>
      <w:r w:rsidRPr="00C858B6">
        <w:rPr>
          <w:rFonts w:eastAsia="Times New Roman"/>
          <w:szCs w:val="26"/>
        </w:rPr>
        <w:t xml:space="preserve">, 5 Cal.App.3d at p. 406; see Stats. 1931, </w:t>
      </w:r>
      <w:proofErr w:type="spellStart"/>
      <w:r w:rsidRPr="00C858B6">
        <w:rPr>
          <w:rFonts w:eastAsia="Times New Roman"/>
          <w:szCs w:val="26"/>
        </w:rPr>
        <w:t>ch.</w:t>
      </w:r>
      <w:proofErr w:type="spellEnd"/>
      <w:r w:rsidRPr="00C858B6">
        <w:rPr>
          <w:rFonts w:eastAsia="Times New Roman"/>
          <w:szCs w:val="26"/>
        </w:rPr>
        <w:t xml:space="preserve"> 790, §§ 5 &amp; 6, p. 1644.)  Section 1 of the new law provide</w:t>
      </w:r>
      <w:r w:rsidRPr="00C858B6">
        <w:rPr>
          <w:rFonts w:eastAsia="Times New Roman"/>
          <w:szCs w:val="26"/>
        </w:rPr>
        <w:t xml:space="preserve">d that “‘any person who:  (1) </w:t>
      </w:r>
      <w:r w:rsidRPr="00C858B6">
        <w:rPr>
          <w:rFonts w:eastAsia="Times New Roman"/>
          <w:iCs/>
          <w:szCs w:val="26"/>
        </w:rPr>
        <w:t>personally</w:t>
      </w:r>
      <w:r w:rsidRPr="007D164A">
        <w:rPr>
          <w:rFonts w:eastAsia="Times New Roman"/>
          <w:iCs/>
          <w:szCs w:val="26"/>
        </w:rPr>
        <w:t xml:space="preserve"> or through </w:t>
      </w:r>
      <w:r w:rsidRPr="007D164A">
        <w:rPr>
          <w:rFonts w:eastAsia="Times New Roman"/>
          <w:iCs/>
          <w:szCs w:val="26"/>
        </w:rPr>
        <w:lastRenderedPageBreak/>
        <w:t>another</w:t>
      </w:r>
      <w:r w:rsidRPr="00B217DE">
        <w:rPr>
          <w:rFonts w:eastAsia="Times New Roman"/>
          <w:szCs w:val="26"/>
        </w:rPr>
        <w:t>, and (2)</w:t>
      </w:r>
      <w:r>
        <w:rPr>
          <w:rFonts w:eastAsia="Times New Roman"/>
          <w:szCs w:val="26"/>
        </w:rPr>
        <w:t xml:space="preserve"> </w:t>
      </w:r>
      <w:proofErr w:type="spellStart"/>
      <w:r>
        <w:rPr>
          <w:rFonts w:eastAsia="Times New Roman"/>
          <w:szCs w:val="26"/>
        </w:rPr>
        <w:t>w</w:t>
      </w:r>
      <w:r w:rsidRPr="00B217DE">
        <w:rPr>
          <w:rFonts w:eastAsia="Times New Roman"/>
          <w:szCs w:val="26"/>
        </w:rPr>
        <w:t>ilfully</w:t>
      </w:r>
      <w:proofErr w:type="spellEnd"/>
      <w:r w:rsidRPr="00B217DE">
        <w:rPr>
          <w:rFonts w:eastAsia="Times New Roman"/>
          <w:szCs w:val="26"/>
        </w:rPr>
        <w:t>, negligently, or in violation of law, commit</w:t>
      </w:r>
      <w:r>
        <w:rPr>
          <w:rFonts w:eastAsia="Times New Roman"/>
          <w:szCs w:val="26"/>
        </w:rPr>
        <w:t>[ted]</w:t>
      </w:r>
      <w:r w:rsidRPr="00B217DE">
        <w:rPr>
          <w:rFonts w:eastAsia="Times New Roman"/>
          <w:szCs w:val="26"/>
        </w:rPr>
        <w:t xml:space="preserve"> any of the following acts: </w:t>
      </w:r>
      <w:r>
        <w:rPr>
          <w:rFonts w:eastAsia="Times New Roman"/>
          <w:szCs w:val="26"/>
        </w:rPr>
        <w:t xml:space="preserve"> (1) set[] fire to, (2) allow[ed] fire to be set to, (3) a</w:t>
      </w:r>
      <w:r w:rsidRPr="00B217DE">
        <w:rPr>
          <w:rFonts w:eastAsia="Times New Roman"/>
          <w:szCs w:val="26"/>
        </w:rPr>
        <w:t>llow</w:t>
      </w:r>
      <w:r>
        <w:rPr>
          <w:rFonts w:eastAsia="Times New Roman"/>
          <w:szCs w:val="26"/>
        </w:rPr>
        <w:t>[ed]</w:t>
      </w:r>
      <w:r w:rsidRPr="00B217DE">
        <w:rPr>
          <w:rFonts w:eastAsia="Times New Roman"/>
          <w:szCs w:val="26"/>
        </w:rPr>
        <w:t xml:space="preserve"> a fire kindled or attended by </w:t>
      </w:r>
      <w:r>
        <w:rPr>
          <w:rFonts w:eastAsia="Times New Roman"/>
          <w:szCs w:val="26"/>
        </w:rPr>
        <w:t>[the</w:t>
      </w:r>
      <w:r>
        <w:rPr>
          <w:rFonts w:eastAsia="Times New Roman"/>
          <w:szCs w:val="26"/>
        </w:rPr>
        <w:t>m]</w:t>
      </w:r>
      <w:r w:rsidRPr="00B217DE">
        <w:rPr>
          <w:rFonts w:eastAsia="Times New Roman"/>
          <w:szCs w:val="26"/>
        </w:rPr>
        <w:t xml:space="preserve"> to escape to the property, whether privately or public owned, of another</w:t>
      </w:r>
      <w:r>
        <w:rPr>
          <w:rFonts w:eastAsia="Times New Roman"/>
          <w:szCs w:val="26"/>
        </w:rPr>
        <w:t>’” was liable for the damage that ensued.  (</w:t>
      </w:r>
      <w:r w:rsidRPr="00ED7946">
        <w:rPr>
          <w:rFonts w:eastAsia="Times New Roman"/>
          <w:i/>
          <w:szCs w:val="26"/>
        </w:rPr>
        <w:t>Howell</w:t>
      </w:r>
      <w:r w:rsidRPr="00ED7946">
        <w:rPr>
          <w:rFonts w:eastAsia="Times New Roman"/>
          <w:szCs w:val="26"/>
        </w:rPr>
        <w:t xml:space="preserve">, </w:t>
      </w:r>
      <w:r w:rsidRPr="00ED7946">
        <w:rPr>
          <w:rFonts w:eastAsia="Times New Roman"/>
          <w:i/>
          <w:szCs w:val="26"/>
        </w:rPr>
        <w:t>supra</w:t>
      </w:r>
      <w:r w:rsidRPr="00ED7946">
        <w:rPr>
          <w:rFonts w:eastAsia="Times New Roman"/>
          <w:szCs w:val="26"/>
        </w:rPr>
        <w:t xml:space="preserve">, 18 Cal.App.5th </w:t>
      </w:r>
      <w:r>
        <w:rPr>
          <w:rFonts w:eastAsia="Times New Roman"/>
          <w:szCs w:val="26"/>
        </w:rPr>
        <w:t>at p. 177, italics and alterations omitted.)  Section 2 provided that “‘</w:t>
      </w:r>
      <w:r w:rsidRPr="00B217DE">
        <w:rPr>
          <w:rFonts w:eastAsia="Times New Roman"/>
          <w:szCs w:val="26"/>
        </w:rPr>
        <w:t>any person</w:t>
      </w:r>
      <w:r>
        <w:rPr>
          <w:rFonts w:eastAsia="Times New Roman"/>
          <w:szCs w:val="26"/>
        </w:rPr>
        <w:t>’</w:t>
      </w:r>
      <w:r w:rsidRPr="00B217DE">
        <w:rPr>
          <w:rFonts w:eastAsia="Times New Roman"/>
          <w:szCs w:val="26"/>
        </w:rPr>
        <w:t xml:space="preserve"> who allowed a fire burn</w:t>
      </w:r>
      <w:r w:rsidRPr="00B217DE">
        <w:rPr>
          <w:rFonts w:eastAsia="Times New Roman"/>
          <w:szCs w:val="26"/>
        </w:rPr>
        <w:t xml:space="preserve">ing on </w:t>
      </w:r>
      <w:r>
        <w:rPr>
          <w:rFonts w:eastAsia="Times New Roman"/>
          <w:szCs w:val="26"/>
        </w:rPr>
        <w:t>[their]</w:t>
      </w:r>
      <w:r w:rsidRPr="00B217DE">
        <w:rPr>
          <w:rFonts w:eastAsia="Times New Roman"/>
          <w:szCs w:val="26"/>
        </w:rPr>
        <w:t xml:space="preserve"> property t</w:t>
      </w:r>
      <w:r>
        <w:rPr>
          <w:rFonts w:eastAsia="Times New Roman"/>
          <w:szCs w:val="26"/>
        </w:rPr>
        <w:t>o escape to another’s property ‘</w:t>
      </w:r>
      <w:r w:rsidRPr="00B217DE">
        <w:rPr>
          <w:rFonts w:eastAsia="Times New Roman"/>
          <w:szCs w:val="26"/>
        </w:rPr>
        <w:t xml:space="preserve">without exercising due </w:t>
      </w:r>
      <w:r>
        <w:rPr>
          <w:rFonts w:eastAsia="Times New Roman"/>
          <w:szCs w:val="26"/>
        </w:rPr>
        <w:t>diligence to control such fire’” was liable for the resulting damage.  (</w:t>
      </w:r>
      <w:r w:rsidRPr="007D164A">
        <w:rPr>
          <w:rFonts w:eastAsia="Times New Roman"/>
          <w:i/>
          <w:szCs w:val="26"/>
        </w:rPr>
        <w:t>I</w:t>
      </w:r>
      <w:r>
        <w:rPr>
          <w:rFonts w:eastAsia="Times New Roman"/>
          <w:i/>
          <w:szCs w:val="26"/>
        </w:rPr>
        <w:t>bi</w:t>
      </w:r>
      <w:r w:rsidRPr="007D164A">
        <w:rPr>
          <w:rFonts w:eastAsia="Times New Roman"/>
          <w:i/>
          <w:szCs w:val="26"/>
        </w:rPr>
        <w:t>d</w:t>
      </w:r>
      <w:r w:rsidRPr="00553C3D">
        <w:rPr>
          <w:rFonts w:eastAsia="Times New Roman"/>
          <w:szCs w:val="26"/>
        </w:rPr>
        <w:t>.</w:t>
      </w:r>
      <w:r>
        <w:rPr>
          <w:rFonts w:eastAsia="Times New Roman"/>
          <w:szCs w:val="26"/>
        </w:rPr>
        <w:t xml:space="preserve">, italics and alterations omitted.)  </w:t>
      </w:r>
      <w:r w:rsidRPr="0016550A">
        <w:rPr>
          <w:rFonts w:eastAsia="Times New Roman"/>
          <w:szCs w:val="26"/>
        </w:rPr>
        <w:t>Section 3</w:t>
      </w:r>
      <w:r>
        <w:rPr>
          <w:rFonts w:eastAsia="Times New Roman"/>
          <w:szCs w:val="26"/>
        </w:rPr>
        <w:t xml:space="preserve"> “</w:t>
      </w:r>
      <w:r w:rsidRPr="0016550A">
        <w:rPr>
          <w:rFonts w:eastAsia="Times New Roman"/>
          <w:szCs w:val="26"/>
        </w:rPr>
        <w:t>permitted recovery of the e</w:t>
      </w:r>
      <w:r>
        <w:rPr>
          <w:rFonts w:eastAsia="Times New Roman"/>
          <w:szCs w:val="26"/>
        </w:rPr>
        <w:t>xpenses of fighting such</w:t>
      </w:r>
      <w:r>
        <w:rPr>
          <w:rFonts w:eastAsia="Times New Roman"/>
          <w:szCs w:val="26"/>
        </w:rPr>
        <w:t xml:space="preserve"> fires ‘</w:t>
      </w:r>
      <w:r w:rsidRPr="0016550A">
        <w:rPr>
          <w:rFonts w:eastAsia="Times New Roman"/>
          <w:szCs w:val="26"/>
        </w:rPr>
        <w:t xml:space="preserve">by the party, or by the federal, state, county, or private </w:t>
      </w:r>
      <w:r>
        <w:rPr>
          <w:rFonts w:eastAsia="Times New Roman"/>
          <w:szCs w:val="26"/>
        </w:rPr>
        <w:t>agency incurring such expenses.’  [Citation.]”  (</w:t>
      </w:r>
      <w:r w:rsidRPr="0016550A">
        <w:rPr>
          <w:rFonts w:eastAsia="Times New Roman"/>
          <w:i/>
          <w:szCs w:val="26"/>
        </w:rPr>
        <w:t>Ibid</w:t>
      </w:r>
      <w:r w:rsidRPr="00553C3D">
        <w:rPr>
          <w:rFonts w:eastAsia="Times New Roman"/>
          <w:szCs w:val="26"/>
        </w:rPr>
        <w:t>.</w:t>
      </w:r>
      <w:r>
        <w:rPr>
          <w:rFonts w:eastAsia="Times New Roman"/>
          <w:szCs w:val="26"/>
        </w:rPr>
        <w:t>)</w:t>
      </w:r>
    </w:p>
    <w:p w:rsidR="00354D23" w:rsidRDefault="00196CB8" w:rsidP="00354D23">
      <w:pPr>
        <w:tabs>
          <w:tab w:val="left" w:pos="1440"/>
          <w:tab w:val="left" w:pos="2880"/>
          <w:tab w:val="left" w:pos="4320"/>
          <w:tab w:val="left" w:pos="5760"/>
          <w:tab w:val="left" w:pos="7200"/>
        </w:tabs>
        <w:rPr>
          <w:rFonts w:eastAsia="Times New Roman"/>
          <w:szCs w:val="26"/>
        </w:rPr>
      </w:pPr>
    </w:p>
    <w:p w:rsidR="00354D23" w:rsidRDefault="00196CB8" w:rsidP="00354D23">
      <w:pPr>
        <w:tabs>
          <w:tab w:val="left" w:pos="1440"/>
          <w:tab w:val="left" w:pos="2880"/>
          <w:tab w:val="left" w:pos="4320"/>
          <w:tab w:val="left" w:pos="5760"/>
          <w:tab w:val="left" w:pos="7200"/>
        </w:tabs>
        <w:rPr>
          <w:rFonts w:eastAsia="Times New Roman"/>
          <w:szCs w:val="26"/>
        </w:rPr>
      </w:pPr>
      <w:r>
        <w:rPr>
          <w:rFonts w:eastAsia="Times New Roman"/>
          <w:szCs w:val="26"/>
        </w:rPr>
        <w:tab/>
        <w:t xml:space="preserve">7.  The last sentence of the paragraph commencing at the bottom of page 12 with “The </w:t>
      </w:r>
      <w:r w:rsidRPr="00B41120">
        <w:rPr>
          <w:rFonts w:eastAsia="Times New Roman"/>
          <w:i/>
          <w:szCs w:val="26"/>
        </w:rPr>
        <w:t>Howell</w:t>
      </w:r>
      <w:r>
        <w:rPr>
          <w:rFonts w:eastAsia="Times New Roman"/>
          <w:szCs w:val="26"/>
        </w:rPr>
        <w:t xml:space="preserve"> majority” and ending at the top of page</w:t>
      </w:r>
      <w:r>
        <w:rPr>
          <w:rFonts w:eastAsia="Times New Roman"/>
          <w:szCs w:val="26"/>
        </w:rPr>
        <w:t xml:space="preserve"> 13 with “liability in </w:t>
      </w:r>
      <w:proofErr w:type="spellStart"/>
      <w:r w:rsidRPr="00B41120">
        <w:rPr>
          <w:rFonts w:eastAsia="Times New Roman"/>
          <w:i/>
          <w:szCs w:val="26"/>
        </w:rPr>
        <w:t>Haverstick</w:t>
      </w:r>
      <w:proofErr w:type="spellEnd"/>
      <w:r>
        <w:rPr>
          <w:rFonts w:eastAsia="Times New Roman"/>
          <w:szCs w:val="26"/>
        </w:rPr>
        <w:t>” is deleted and the following sentence is inserted in its place:</w:t>
      </w:r>
    </w:p>
    <w:p w:rsidR="00354D23" w:rsidRDefault="00196CB8" w:rsidP="00354D23">
      <w:pPr>
        <w:tabs>
          <w:tab w:val="left" w:pos="1440"/>
          <w:tab w:val="left" w:pos="2880"/>
          <w:tab w:val="left" w:pos="4320"/>
          <w:tab w:val="left" w:pos="5760"/>
          <w:tab w:val="left" w:pos="7200"/>
        </w:tabs>
        <w:rPr>
          <w:rFonts w:eastAsia="Times New Roman"/>
          <w:szCs w:val="26"/>
        </w:rPr>
      </w:pPr>
      <w:r>
        <w:rPr>
          <w:rFonts w:eastAsia="Times New Roman"/>
          <w:szCs w:val="26"/>
        </w:rPr>
        <w:tab/>
      </w:r>
      <w:r w:rsidRPr="00B41120">
        <w:rPr>
          <w:rFonts w:eastAsia="Times New Roman"/>
          <w:szCs w:val="26"/>
        </w:rPr>
        <w:t>Yet that statute’s predecessors—former Political Code section 3344 and former Civil Code section 3346a—served as a basis for imposing vicarious corporate li</w:t>
      </w:r>
      <w:r w:rsidRPr="00B41120">
        <w:rPr>
          <w:rFonts w:eastAsia="Times New Roman"/>
          <w:szCs w:val="26"/>
        </w:rPr>
        <w:t xml:space="preserve">ability in </w:t>
      </w:r>
      <w:proofErr w:type="spellStart"/>
      <w:r w:rsidRPr="00B41120">
        <w:rPr>
          <w:rFonts w:eastAsia="Times New Roman"/>
          <w:i/>
          <w:szCs w:val="26"/>
        </w:rPr>
        <w:t>Haverstick</w:t>
      </w:r>
      <w:proofErr w:type="spellEnd"/>
      <w:r w:rsidRPr="00B41120">
        <w:rPr>
          <w:rFonts w:eastAsia="Times New Roman"/>
          <w:szCs w:val="26"/>
        </w:rPr>
        <w:t xml:space="preserve">.  </w:t>
      </w:r>
    </w:p>
    <w:p w:rsidR="00354D23" w:rsidRDefault="00196CB8" w:rsidP="00354D23">
      <w:pPr>
        <w:tabs>
          <w:tab w:val="left" w:pos="1440"/>
          <w:tab w:val="left" w:pos="2880"/>
          <w:tab w:val="left" w:pos="4320"/>
          <w:tab w:val="left" w:pos="5760"/>
          <w:tab w:val="left" w:pos="7200"/>
        </w:tabs>
        <w:rPr>
          <w:rFonts w:eastAsia="Times New Roman"/>
          <w:szCs w:val="26"/>
        </w:rPr>
      </w:pPr>
    </w:p>
    <w:p w:rsidR="00354D23" w:rsidRDefault="00196CB8" w:rsidP="00354D23">
      <w:pPr>
        <w:tabs>
          <w:tab w:val="left" w:pos="1440"/>
          <w:tab w:val="left" w:pos="2880"/>
          <w:tab w:val="left" w:pos="4320"/>
          <w:tab w:val="left" w:pos="5760"/>
          <w:tab w:val="left" w:pos="7200"/>
        </w:tabs>
        <w:rPr>
          <w:rFonts w:eastAsia="Times New Roman"/>
          <w:szCs w:val="26"/>
        </w:rPr>
      </w:pPr>
      <w:r>
        <w:rPr>
          <w:rFonts w:eastAsia="Times New Roman"/>
          <w:szCs w:val="26"/>
        </w:rPr>
        <w:tab/>
        <w:t xml:space="preserve">8.  On page 13, first full paragraph beginning “In </w:t>
      </w:r>
      <w:proofErr w:type="spellStart"/>
      <w:r w:rsidRPr="00260F3F">
        <w:rPr>
          <w:rFonts w:eastAsia="Times New Roman"/>
          <w:i/>
          <w:szCs w:val="26"/>
        </w:rPr>
        <w:t>Haverstick</w:t>
      </w:r>
      <w:proofErr w:type="spellEnd"/>
      <w:r>
        <w:rPr>
          <w:rFonts w:eastAsia="Times New Roman"/>
          <w:szCs w:val="26"/>
        </w:rPr>
        <w:t>,” is deleted and the following paragraph is inserted in its place:</w:t>
      </w:r>
    </w:p>
    <w:p w:rsidR="00354D23" w:rsidRDefault="00196CB8" w:rsidP="00354D23">
      <w:pPr>
        <w:tabs>
          <w:tab w:val="left" w:pos="1440"/>
          <w:tab w:val="left" w:pos="2880"/>
          <w:tab w:val="left" w:pos="4320"/>
          <w:tab w:val="left" w:pos="5760"/>
          <w:tab w:val="left" w:pos="7200"/>
        </w:tabs>
        <w:rPr>
          <w:rFonts w:eastAsia="Times New Roman"/>
          <w:iCs/>
          <w:szCs w:val="26"/>
        </w:rPr>
      </w:pPr>
      <w:r>
        <w:rPr>
          <w:rFonts w:eastAsia="Times New Roman"/>
          <w:szCs w:val="26"/>
        </w:rPr>
        <w:tab/>
        <w:t xml:space="preserve">In </w:t>
      </w:r>
      <w:proofErr w:type="spellStart"/>
      <w:r w:rsidRPr="00ED7946">
        <w:rPr>
          <w:rFonts w:eastAsia="Times New Roman"/>
          <w:i/>
          <w:szCs w:val="26"/>
        </w:rPr>
        <w:t>Haverstick</w:t>
      </w:r>
      <w:proofErr w:type="spellEnd"/>
      <w:r>
        <w:rPr>
          <w:rFonts w:eastAsia="Times New Roman"/>
          <w:szCs w:val="26"/>
        </w:rPr>
        <w:t xml:space="preserve">, </w:t>
      </w:r>
      <w:r w:rsidRPr="00ED7946">
        <w:rPr>
          <w:rFonts w:eastAsia="Times New Roman"/>
          <w:i/>
          <w:szCs w:val="26"/>
        </w:rPr>
        <w:t>supra</w:t>
      </w:r>
      <w:r>
        <w:rPr>
          <w:rFonts w:eastAsia="Times New Roman"/>
          <w:szCs w:val="26"/>
        </w:rPr>
        <w:t xml:space="preserve">, </w:t>
      </w:r>
      <w:r w:rsidRPr="00ED7946">
        <w:rPr>
          <w:rFonts w:eastAsia="Times New Roman"/>
          <w:szCs w:val="26"/>
        </w:rPr>
        <w:t>1</w:t>
      </w:r>
      <w:r w:rsidRPr="00031EEF">
        <w:rPr>
          <w:rFonts w:eastAsia="Times New Roman"/>
          <w:szCs w:val="26"/>
        </w:rPr>
        <w:t xml:space="preserve"> Cal.App.2d </w:t>
      </w:r>
      <w:r>
        <w:rPr>
          <w:rFonts w:eastAsia="Times New Roman"/>
          <w:szCs w:val="26"/>
        </w:rPr>
        <w:t>at pages 609-611, the court upheld liability imposed on a railro</w:t>
      </w:r>
      <w:r>
        <w:rPr>
          <w:rFonts w:eastAsia="Times New Roman"/>
          <w:szCs w:val="26"/>
        </w:rPr>
        <w:t xml:space="preserve">ad after its employees negligently permitted a fire to spread from a railway car to the plaintiff’s land.  </w:t>
      </w:r>
      <w:r w:rsidRPr="00260F3F">
        <w:rPr>
          <w:rFonts w:eastAsia="Times New Roman"/>
          <w:szCs w:val="26"/>
        </w:rPr>
        <w:t xml:space="preserve">Former Political Code section 3344 and former Civil Code section 3346a were in force when the fire broke </w:t>
      </w:r>
      <w:r w:rsidRPr="00260F3F">
        <w:rPr>
          <w:rFonts w:eastAsia="Times New Roman"/>
          <w:szCs w:val="26"/>
        </w:rPr>
        <w:lastRenderedPageBreak/>
        <w:t>out.  (</w:t>
      </w:r>
      <w:r w:rsidRPr="00260F3F">
        <w:rPr>
          <w:rFonts w:eastAsia="Times New Roman"/>
          <w:i/>
          <w:szCs w:val="26"/>
        </w:rPr>
        <w:t>Id</w:t>
      </w:r>
      <w:r w:rsidRPr="00260F3F">
        <w:rPr>
          <w:rFonts w:eastAsia="Times New Roman"/>
          <w:szCs w:val="26"/>
        </w:rPr>
        <w:t xml:space="preserve">. at pp. 614-615; compare </w:t>
      </w:r>
      <w:r w:rsidRPr="00260F3F">
        <w:rPr>
          <w:rFonts w:eastAsia="Times New Roman"/>
          <w:i/>
          <w:szCs w:val="26"/>
        </w:rPr>
        <w:t>id</w:t>
      </w:r>
      <w:r w:rsidRPr="00260F3F">
        <w:rPr>
          <w:rFonts w:eastAsia="Times New Roman"/>
          <w:szCs w:val="26"/>
        </w:rPr>
        <w:t>. at p.</w:t>
      </w:r>
      <w:r w:rsidRPr="00260F3F">
        <w:rPr>
          <w:rFonts w:eastAsia="Times New Roman"/>
          <w:szCs w:val="26"/>
        </w:rPr>
        <w:t xml:space="preserve"> 610 [fire started May 19, 1931] with Stats., </w:t>
      </w:r>
      <w:proofErr w:type="spellStart"/>
      <w:r w:rsidRPr="00260F3F">
        <w:rPr>
          <w:rFonts w:eastAsia="Times New Roman"/>
          <w:szCs w:val="26"/>
        </w:rPr>
        <w:t>ch.</w:t>
      </w:r>
      <w:proofErr w:type="spellEnd"/>
      <w:r w:rsidRPr="00260F3F">
        <w:rPr>
          <w:rFonts w:eastAsia="Times New Roman"/>
          <w:szCs w:val="26"/>
        </w:rPr>
        <w:t xml:space="preserve"> 790, p. 1644 [sections repealed August 14, 1931].)  Those sections—like their successors, section 2 of the Fire Liability Law and current section 13008—lacked the “</w:t>
      </w:r>
      <w:r w:rsidRPr="00260F3F">
        <w:rPr>
          <w:rFonts w:eastAsia="Times New Roman"/>
          <w:iCs/>
          <w:szCs w:val="26"/>
        </w:rPr>
        <w:t>personally or through another” language cu</w:t>
      </w:r>
      <w:r w:rsidRPr="00260F3F">
        <w:rPr>
          <w:rFonts w:eastAsia="Times New Roman"/>
          <w:iCs/>
          <w:szCs w:val="26"/>
        </w:rPr>
        <w:t xml:space="preserve">rrently found in section 13007.  </w:t>
      </w:r>
      <w:r w:rsidRPr="00260F3F">
        <w:rPr>
          <w:rFonts w:eastAsia="Times New Roman"/>
          <w:szCs w:val="26"/>
        </w:rPr>
        <w:t xml:space="preserve">(See </w:t>
      </w:r>
      <w:r w:rsidRPr="00260F3F">
        <w:rPr>
          <w:rFonts w:eastAsia="Times New Roman"/>
          <w:i/>
          <w:szCs w:val="26"/>
        </w:rPr>
        <w:t>id</w:t>
      </w:r>
      <w:r w:rsidRPr="00260F3F">
        <w:rPr>
          <w:rFonts w:eastAsia="Times New Roman"/>
          <w:szCs w:val="26"/>
        </w:rPr>
        <w:t xml:space="preserve">. at p. 615.)  </w:t>
      </w:r>
      <w:r w:rsidRPr="00260F3F">
        <w:rPr>
          <w:rFonts w:eastAsia="Times New Roman"/>
          <w:iCs/>
          <w:szCs w:val="26"/>
        </w:rPr>
        <w:t xml:space="preserve">The railroad’s vicarious liability thus did not hinge on the presence of that phrase:  “[T]he better reasoning supports the holding that the negligence </w:t>
      </w:r>
      <w:r w:rsidRPr="00260F3F">
        <w:rPr>
          <w:rFonts w:eastAsia="Times New Roman"/>
          <w:i/>
          <w:iCs/>
          <w:szCs w:val="26"/>
        </w:rPr>
        <w:t xml:space="preserve">of the company </w:t>
      </w:r>
      <w:r w:rsidRPr="00260F3F">
        <w:rPr>
          <w:rFonts w:eastAsia="Times New Roman"/>
          <w:iCs/>
          <w:szCs w:val="26"/>
        </w:rPr>
        <w:t xml:space="preserve">or person setting the fire is the </w:t>
      </w:r>
      <w:r w:rsidRPr="00260F3F">
        <w:rPr>
          <w:rFonts w:eastAsia="Times New Roman"/>
          <w:iCs/>
          <w:szCs w:val="26"/>
        </w:rPr>
        <w:t>proximate cause of the injury in the absence of a showing of contributory negligence on the part of the injured person.”  (</w:t>
      </w:r>
      <w:r w:rsidRPr="00260F3F">
        <w:rPr>
          <w:rFonts w:eastAsia="Times New Roman"/>
          <w:i/>
          <w:iCs/>
          <w:szCs w:val="26"/>
        </w:rPr>
        <w:t>Id</w:t>
      </w:r>
      <w:r w:rsidRPr="00260F3F">
        <w:rPr>
          <w:rFonts w:eastAsia="Times New Roman"/>
          <w:iCs/>
          <w:szCs w:val="26"/>
        </w:rPr>
        <w:t>. at p. 613, italics added.)</w:t>
      </w:r>
    </w:p>
    <w:p w:rsidR="00354D23" w:rsidRDefault="00196CB8" w:rsidP="00354D23">
      <w:pPr>
        <w:tabs>
          <w:tab w:val="left" w:pos="1440"/>
          <w:tab w:val="left" w:pos="2880"/>
          <w:tab w:val="left" w:pos="4320"/>
          <w:tab w:val="left" w:pos="5760"/>
          <w:tab w:val="left" w:pos="7200"/>
        </w:tabs>
        <w:rPr>
          <w:rFonts w:eastAsia="Times New Roman"/>
          <w:iCs/>
          <w:szCs w:val="26"/>
        </w:rPr>
      </w:pPr>
    </w:p>
    <w:p w:rsidR="00354D23" w:rsidRDefault="00196CB8" w:rsidP="00354D23">
      <w:pPr>
        <w:tabs>
          <w:tab w:val="left" w:pos="1440"/>
          <w:tab w:val="left" w:pos="2880"/>
          <w:tab w:val="left" w:pos="4320"/>
          <w:tab w:val="left" w:pos="5760"/>
          <w:tab w:val="left" w:pos="7200"/>
        </w:tabs>
        <w:rPr>
          <w:rFonts w:eastAsia="Times New Roman"/>
          <w:iCs/>
          <w:szCs w:val="26"/>
        </w:rPr>
      </w:pPr>
      <w:r>
        <w:rPr>
          <w:rFonts w:eastAsia="Times New Roman"/>
          <w:iCs/>
          <w:szCs w:val="26"/>
        </w:rPr>
        <w:tab/>
        <w:t xml:space="preserve">9.  On page 13, second full paragraph beginning “We presume” is deleted and the following paragraph </w:t>
      </w:r>
      <w:r>
        <w:rPr>
          <w:rFonts w:eastAsia="Times New Roman"/>
          <w:iCs/>
          <w:szCs w:val="26"/>
        </w:rPr>
        <w:t>is inserted in its place:</w:t>
      </w:r>
    </w:p>
    <w:p w:rsidR="00354D23" w:rsidRDefault="00196CB8" w:rsidP="00354D23">
      <w:pPr>
        <w:tabs>
          <w:tab w:val="left" w:pos="1440"/>
          <w:tab w:val="left" w:pos="2880"/>
          <w:tab w:val="left" w:pos="4320"/>
          <w:tab w:val="left" w:pos="5760"/>
          <w:tab w:val="left" w:pos="7200"/>
        </w:tabs>
        <w:rPr>
          <w:rFonts w:eastAsia="Times New Roman"/>
          <w:szCs w:val="26"/>
        </w:rPr>
      </w:pPr>
      <w:r w:rsidRPr="00A064DC">
        <w:rPr>
          <w:rFonts w:eastAsia="Times New Roman"/>
          <w:szCs w:val="26"/>
        </w:rPr>
        <w:tab/>
        <w:t xml:space="preserve">We presume the Legislature was aware of the </w:t>
      </w:r>
      <w:proofErr w:type="spellStart"/>
      <w:r w:rsidRPr="00A064DC">
        <w:rPr>
          <w:rFonts w:eastAsia="Times New Roman"/>
          <w:i/>
          <w:szCs w:val="26"/>
        </w:rPr>
        <w:t>Haverstick</w:t>
      </w:r>
      <w:proofErr w:type="spellEnd"/>
      <w:r w:rsidRPr="00A064DC">
        <w:rPr>
          <w:rFonts w:eastAsia="Times New Roman"/>
          <w:szCs w:val="26"/>
        </w:rPr>
        <w:t xml:space="preserve"> court’s interpretation of former Political Code section 3344 and former Civil Code section 3346a, and that it intended that the same interpretation apply to the substantially</w:t>
      </w:r>
      <w:r w:rsidRPr="00A064DC">
        <w:rPr>
          <w:rFonts w:eastAsia="Times New Roman"/>
          <w:szCs w:val="26"/>
        </w:rPr>
        <w:t xml:space="preserve"> similar language in the Fire Liability Law and section 13008.  (</w:t>
      </w:r>
      <w:r w:rsidRPr="00A064DC">
        <w:rPr>
          <w:rFonts w:eastAsia="Times New Roman"/>
          <w:i/>
          <w:color w:val="000000"/>
          <w:szCs w:val="26"/>
        </w:rPr>
        <w:t>Moran</w:t>
      </w:r>
      <w:r w:rsidRPr="00A064DC">
        <w:rPr>
          <w:rFonts w:eastAsia="Times New Roman"/>
          <w:color w:val="000000"/>
          <w:szCs w:val="26"/>
        </w:rPr>
        <w:t xml:space="preserve">, </w:t>
      </w:r>
      <w:r w:rsidRPr="00A064DC">
        <w:rPr>
          <w:rFonts w:eastAsia="Times New Roman"/>
          <w:i/>
          <w:color w:val="000000"/>
          <w:szCs w:val="26"/>
        </w:rPr>
        <w:t>supra</w:t>
      </w:r>
      <w:r w:rsidRPr="00A064DC">
        <w:rPr>
          <w:rFonts w:eastAsia="Times New Roman"/>
          <w:color w:val="000000"/>
          <w:szCs w:val="26"/>
        </w:rPr>
        <w:t>, 40 Cal.4th at p. 785.)</w:t>
      </w:r>
      <w:r w:rsidRPr="00A064DC">
        <w:rPr>
          <w:rFonts w:eastAsia="Times New Roman"/>
          <w:szCs w:val="26"/>
        </w:rPr>
        <w:t xml:space="preserve">  </w:t>
      </w:r>
      <w:r w:rsidRPr="00A064DC">
        <w:rPr>
          <w:rFonts w:eastAsia="Times New Roman"/>
          <w:color w:val="000000"/>
          <w:szCs w:val="26"/>
        </w:rPr>
        <w:t>We see no reason why a different</w:t>
      </w:r>
      <w:r w:rsidRPr="00A064DC">
        <w:rPr>
          <w:rFonts w:eastAsia="Times New Roman"/>
          <w:szCs w:val="26"/>
        </w:rPr>
        <w:t xml:space="preserve"> interpretation should apply to the same language in sections 13009 and 13009.1.</w:t>
      </w:r>
    </w:p>
    <w:p w:rsidR="00354D23" w:rsidRDefault="00196CB8" w:rsidP="00354D23">
      <w:pPr>
        <w:tabs>
          <w:tab w:val="left" w:pos="1440"/>
          <w:tab w:val="left" w:pos="2880"/>
          <w:tab w:val="left" w:pos="4320"/>
          <w:tab w:val="left" w:pos="5760"/>
          <w:tab w:val="left" w:pos="7200"/>
        </w:tabs>
        <w:rPr>
          <w:rFonts w:eastAsia="Times New Roman"/>
          <w:szCs w:val="26"/>
        </w:rPr>
      </w:pPr>
    </w:p>
    <w:p w:rsidR="00354D23" w:rsidRDefault="00196CB8" w:rsidP="00354D23">
      <w:pPr>
        <w:tabs>
          <w:tab w:val="left" w:pos="1440"/>
          <w:tab w:val="left" w:pos="2880"/>
          <w:tab w:val="left" w:pos="4320"/>
          <w:tab w:val="left" w:pos="5760"/>
          <w:tab w:val="left" w:pos="7200"/>
        </w:tabs>
        <w:rPr>
          <w:rFonts w:eastAsia="Times New Roman"/>
          <w:szCs w:val="26"/>
        </w:rPr>
      </w:pPr>
      <w:r>
        <w:rPr>
          <w:rFonts w:eastAsia="Times New Roman"/>
          <w:szCs w:val="26"/>
        </w:rPr>
        <w:tab/>
        <w:t>There is no change in judgment.</w:t>
      </w:r>
    </w:p>
    <w:p w:rsidR="00354D23" w:rsidRDefault="00196CB8" w:rsidP="00354D23">
      <w:pPr>
        <w:tabs>
          <w:tab w:val="left" w:pos="1440"/>
          <w:tab w:val="left" w:pos="2880"/>
          <w:tab w:val="left" w:pos="4320"/>
          <w:tab w:val="left" w:pos="5760"/>
          <w:tab w:val="left" w:pos="7200"/>
        </w:tabs>
        <w:rPr>
          <w:rFonts w:eastAsia="Times New Roman"/>
          <w:szCs w:val="26"/>
        </w:rPr>
      </w:pPr>
      <w:r>
        <w:rPr>
          <w:rFonts w:eastAsia="Times New Roman"/>
          <w:szCs w:val="26"/>
        </w:rPr>
        <w:tab/>
        <w:t>Petit</w:t>
      </w:r>
      <w:r>
        <w:rPr>
          <w:rFonts w:eastAsia="Times New Roman"/>
          <w:szCs w:val="26"/>
        </w:rPr>
        <w:t>ioner’s petition for rehearing is denied.</w:t>
      </w:r>
    </w:p>
    <w:p w:rsidR="00354D23" w:rsidRDefault="00196CB8" w:rsidP="00354D23">
      <w:pPr>
        <w:tabs>
          <w:tab w:val="left" w:pos="1440"/>
          <w:tab w:val="left" w:pos="2880"/>
          <w:tab w:val="left" w:pos="4320"/>
          <w:tab w:val="left" w:pos="5760"/>
          <w:tab w:val="left" w:pos="7200"/>
        </w:tabs>
        <w:rPr>
          <w:rFonts w:eastAsia="Times New Roman"/>
          <w:szCs w:val="26"/>
        </w:rPr>
      </w:pPr>
    </w:p>
    <w:p w:rsidR="00354D23" w:rsidRDefault="00196CB8" w:rsidP="00354D23">
      <w:pPr>
        <w:tabs>
          <w:tab w:val="left" w:pos="1440"/>
          <w:tab w:val="left" w:pos="2880"/>
          <w:tab w:val="left" w:pos="4320"/>
          <w:tab w:val="left" w:pos="5760"/>
          <w:tab w:val="left" w:pos="7200"/>
        </w:tabs>
        <w:rPr>
          <w:rFonts w:eastAsia="Times New Roman"/>
          <w:szCs w:val="26"/>
        </w:rPr>
      </w:pPr>
    </w:p>
    <w:p w:rsidR="00354D23" w:rsidRDefault="00196CB8" w:rsidP="00354D23">
      <w:pPr>
        <w:widowControl w:val="0"/>
        <w:autoSpaceDE w:val="0"/>
        <w:autoSpaceDN w:val="0"/>
        <w:adjustRightInd w:val="0"/>
        <w:spacing w:line="240" w:lineRule="auto"/>
        <w:rPr>
          <w:rFonts w:cs="Century Schoolbook"/>
        </w:rPr>
      </w:pPr>
      <w:r>
        <w:rPr>
          <w:rFonts w:cs="Century Schoolbook"/>
        </w:rPr>
        <w:t>____________________________________________________________TANGEMAN, J.                  GILBERT, P.J.                 PERREN, J.</w:t>
      </w:r>
    </w:p>
    <w:p w:rsidR="00BA7AF1" w:rsidRDefault="00196CB8" w:rsidP="00354D23">
      <w:pPr>
        <w:tabs>
          <w:tab w:val="left" w:pos="1440"/>
          <w:tab w:val="left" w:pos="2880"/>
          <w:tab w:val="left" w:pos="4320"/>
          <w:tab w:val="left" w:pos="5760"/>
          <w:tab w:val="left" w:pos="7200"/>
        </w:tabs>
        <w:rPr>
          <w:rFonts w:eastAsia="Times New Roman"/>
          <w:szCs w:val="26"/>
        </w:rPr>
        <w:sectPr w:rsidR="00BA7AF1" w:rsidSect="00354D23">
          <w:footerReference w:type="default" r:id="rId7"/>
          <w:pgSz w:w="12240" w:h="15840"/>
          <w:pgMar w:top="2160" w:right="2160" w:bottom="2160" w:left="2160" w:header="720" w:footer="720" w:gutter="0"/>
          <w:cols w:space="720"/>
          <w:titlePg/>
          <w:docGrid w:linePitch="360"/>
        </w:sectPr>
      </w:pPr>
    </w:p>
    <w:p w:rsidR="00BA7AF1" w:rsidRPr="002C0771" w:rsidRDefault="00196CB8" w:rsidP="00BA7AF1">
      <w:pPr>
        <w:tabs>
          <w:tab w:val="left" w:pos="1440"/>
          <w:tab w:val="left" w:pos="2880"/>
          <w:tab w:val="left" w:pos="4320"/>
          <w:tab w:val="left" w:pos="5760"/>
          <w:tab w:val="left" w:pos="7200"/>
        </w:tabs>
        <w:spacing w:line="240" w:lineRule="auto"/>
        <w:rPr>
          <w:sz w:val="20"/>
          <w:szCs w:val="20"/>
        </w:rPr>
      </w:pPr>
      <w:r w:rsidRPr="002C0771">
        <w:rPr>
          <w:sz w:val="20"/>
          <w:szCs w:val="20"/>
        </w:rPr>
        <w:lastRenderedPageBreak/>
        <w:t>Filed 11/18/19</w:t>
      </w:r>
      <w:r>
        <w:rPr>
          <w:sz w:val="20"/>
          <w:szCs w:val="20"/>
        </w:rPr>
        <w:t xml:space="preserve"> (unmodified opinion)</w:t>
      </w:r>
    </w:p>
    <w:p w:rsidR="00BA7AF1" w:rsidRPr="007625D7" w:rsidRDefault="00196CB8" w:rsidP="00BA7AF1">
      <w:pPr>
        <w:tabs>
          <w:tab w:val="left" w:pos="1440"/>
          <w:tab w:val="left" w:pos="2880"/>
          <w:tab w:val="left" w:pos="4320"/>
          <w:tab w:val="left" w:pos="5760"/>
          <w:tab w:val="left" w:pos="7200"/>
        </w:tabs>
        <w:spacing w:line="240" w:lineRule="auto"/>
        <w:jc w:val="center"/>
        <w:rPr>
          <w:b/>
        </w:rPr>
      </w:pPr>
      <w:r w:rsidRPr="007625D7">
        <w:rPr>
          <w:b/>
        </w:rPr>
        <w:t>CERTIFIED FOR PUBLICATION</w:t>
      </w:r>
    </w:p>
    <w:p w:rsidR="00BA7AF1" w:rsidRDefault="00196CB8" w:rsidP="00BA7AF1">
      <w:pPr>
        <w:tabs>
          <w:tab w:val="left" w:pos="1440"/>
          <w:tab w:val="left" w:pos="2880"/>
          <w:tab w:val="left" w:pos="4320"/>
          <w:tab w:val="left" w:pos="5760"/>
          <w:tab w:val="left" w:pos="7200"/>
        </w:tabs>
        <w:spacing w:line="240" w:lineRule="auto"/>
        <w:jc w:val="center"/>
      </w:pPr>
    </w:p>
    <w:p w:rsidR="00BA7AF1" w:rsidRDefault="00196CB8" w:rsidP="00BA7AF1">
      <w:pPr>
        <w:tabs>
          <w:tab w:val="left" w:pos="1440"/>
          <w:tab w:val="left" w:pos="2880"/>
          <w:tab w:val="left" w:pos="4320"/>
          <w:tab w:val="left" w:pos="5760"/>
          <w:tab w:val="left" w:pos="7200"/>
        </w:tabs>
        <w:spacing w:line="240" w:lineRule="auto"/>
        <w:jc w:val="center"/>
      </w:pPr>
      <w:r>
        <w:t>IN THE COURT OF A</w:t>
      </w:r>
      <w:r>
        <w:t>PPEAL OF THE STATE OF CALIFORNIA</w:t>
      </w:r>
    </w:p>
    <w:p w:rsidR="00BA7AF1" w:rsidRDefault="00196CB8" w:rsidP="00BA7AF1">
      <w:pPr>
        <w:tabs>
          <w:tab w:val="left" w:pos="1440"/>
          <w:tab w:val="left" w:pos="2880"/>
          <w:tab w:val="left" w:pos="4320"/>
          <w:tab w:val="left" w:pos="5760"/>
          <w:tab w:val="left" w:pos="7200"/>
        </w:tabs>
        <w:spacing w:line="240" w:lineRule="auto"/>
        <w:jc w:val="center"/>
      </w:pPr>
    </w:p>
    <w:p w:rsidR="00BA7AF1" w:rsidRDefault="00196CB8" w:rsidP="00BA7AF1">
      <w:pPr>
        <w:tabs>
          <w:tab w:val="left" w:pos="1440"/>
          <w:tab w:val="left" w:pos="2880"/>
          <w:tab w:val="left" w:pos="4320"/>
          <w:tab w:val="left" w:pos="5760"/>
          <w:tab w:val="left" w:pos="7200"/>
        </w:tabs>
        <w:spacing w:line="240" w:lineRule="auto"/>
        <w:jc w:val="center"/>
      </w:pPr>
      <w:r>
        <w:t>SECOND APPELLATE DISTRICT</w:t>
      </w:r>
    </w:p>
    <w:p w:rsidR="00BA7AF1" w:rsidRDefault="00196CB8" w:rsidP="00BA7AF1">
      <w:pPr>
        <w:tabs>
          <w:tab w:val="left" w:pos="1440"/>
          <w:tab w:val="left" w:pos="2880"/>
          <w:tab w:val="left" w:pos="4320"/>
          <w:tab w:val="left" w:pos="5760"/>
          <w:tab w:val="left" w:pos="7200"/>
        </w:tabs>
        <w:spacing w:line="240" w:lineRule="auto"/>
        <w:jc w:val="center"/>
      </w:pPr>
    </w:p>
    <w:p w:rsidR="00BA7AF1" w:rsidRDefault="00196CB8" w:rsidP="00BA7AF1">
      <w:pPr>
        <w:tabs>
          <w:tab w:val="left" w:pos="1440"/>
          <w:tab w:val="left" w:pos="2880"/>
          <w:tab w:val="left" w:pos="4320"/>
          <w:tab w:val="left" w:pos="5760"/>
          <w:tab w:val="left" w:pos="7200"/>
        </w:tabs>
        <w:spacing w:line="240" w:lineRule="auto"/>
        <w:jc w:val="center"/>
      </w:pPr>
      <w:r>
        <w:t>DIVISION SIX</w:t>
      </w:r>
    </w:p>
    <w:p w:rsidR="00BA7AF1" w:rsidRDefault="00196CB8" w:rsidP="00BA7AF1">
      <w:pPr>
        <w:tabs>
          <w:tab w:val="left" w:pos="1440"/>
          <w:tab w:val="left" w:pos="2880"/>
          <w:tab w:val="left" w:pos="4320"/>
          <w:tab w:val="left" w:pos="5760"/>
          <w:tab w:val="left" w:pos="7200"/>
        </w:tabs>
        <w:spacing w:line="240" w:lineRule="auto"/>
        <w:jc w:val="center"/>
      </w:pPr>
    </w:p>
    <w:p w:rsidR="00BA7AF1" w:rsidRDefault="00196CB8" w:rsidP="00BA7AF1">
      <w:pPr>
        <w:tabs>
          <w:tab w:val="left" w:pos="1440"/>
          <w:tab w:val="left" w:pos="2880"/>
          <w:tab w:val="left" w:pos="4320"/>
          <w:tab w:val="left" w:pos="5760"/>
          <w:tab w:val="left" w:pos="7200"/>
        </w:tabs>
        <w:spacing w:line="240" w:lineRule="auto"/>
        <w:jc w:val="center"/>
      </w:pPr>
    </w:p>
    <w:tbl>
      <w:tblPr>
        <w:tblW w:w="0" w:type="auto"/>
        <w:tblLayout w:type="fixed"/>
        <w:tblLook w:val="0000" w:firstRow="0" w:lastRow="0" w:firstColumn="0" w:lastColumn="0" w:noHBand="0" w:noVBand="0"/>
      </w:tblPr>
      <w:tblGrid>
        <w:gridCol w:w="4068"/>
        <w:gridCol w:w="4068"/>
      </w:tblGrid>
      <w:tr w:rsidR="00BA7AF1" w:rsidTr="00354D23">
        <w:tc>
          <w:tcPr>
            <w:tcW w:w="4068" w:type="dxa"/>
            <w:tcBorders>
              <w:bottom w:val="single" w:sz="4" w:space="0" w:color="auto"/>
              <w:right w:val="single" w:sz="4" w:space="0" w:color="auto"/>
            </w:tcBorders>
            <w:shd w:val="clear" w:color="auto" w:fill="auto"/>
          </w:tcPr>
          <w:p w:rsidR="00BA7AF1" w:rsidRDefault="00196CB8" w:rsidP="00354D23">
            <w:pPr>
              <w:tabs>
                <w:tab w:val="left" w:pos="1440"/>
                <w:tab w:val="left" w:pos="2880"/>
                <w:tab w:val="left" w:pos="4320"/>
                <w:tab w:val="left" w:pos="5760"/>
                <w:tab w:val="left" w:pos="7200"/>
              </w:tabs>
              <w:spacing w:line="240" w:lineRule="auto"/>
            </w:pPr>
            <w:r>
              <w:t>PRESBYTERIAN CAMP AND CONFERENCE CENTERS, INC.,</w:t>
            </w:r>
          </w:p>
          <w:p w:rsidR="00BA7AF1" w:rsidRDefault="00196CB8" w:rsidP="00354D23">
            <w:pPr>
              <w:tabs>
                <w:tab w:val="left" w:pos="1440"/>
                <w:tab w:val="left" w:pos="2880"/>
                <w:tab w:val="left" w:pos="4320"/>
                <w:tab w:val="left" w:pos="5760"/>
                <w:tab w:val="left" w:pos="7200"/>
              </w:tabs>
              <w:spacing w:line="240" w:lineRule="auto"/>
            </w:pPr>
          </w:p>
          <w:p w:rsidR="00BA7AF1" w:rsidRDefault="00196CB8" w:rsidP="00354D23">
            <w:pPr>
              <w:tabs>
                <w:tab w:val="left" w:pos="1440"/>
                <w:tab w:val="left" w:pos="2880"/>
                <w:tab w:val="left" w:pos="4320"/>
                <w:tab w:val="left" w:pos="5760"/>
                <w:tab w:val="left" w:pos="7200"/>
              </w:tabs>
              <w:spacing w:line="240" w:lineRule="auto"/>
            </w:pPr>
            <w:r>
              <w:t xml:space="preserve">    Petitioner,</w:t>
            </w:r>
          </w:p>
          <w:p w:rsidR="00BA7AF1" w:rsidRDefault="00196CB8" w:rsidP="00354D23">
            <w:pPr>
              <w:tabs>
                <w:tab w:val="left" w:pos="1440"/>
                <w:tab w:val="left" w:pos="2880"/>
                <w:tab w:val="left" w:pos="4320"/>
                <w:tab w:val="left" w:pos="5760"/>
                <w:tab w:val="left" w:pos="7200"/>
              </w:tabs>
              <w:spacing w:line="240" w:lineRule="auto"/>
            </w:pPr>
          </w:p>
          <w:p w:rsidR="00BA7AF1" w:rsidRDefault="00196CB8" w:rsidP="00354D23">
            <w:pPr>
              <w:tabs>
                <w:tab w:val="left" w:pos="1440"/>
                <w:tab w:val="left" w:pos="2880"/>
                <w:tab w:val="left" w:pos="4320"/>
                <w:tab w:val="left" w:pos="5760"/>
                <w:tab w:val="left" w:pos="7200"/>
              </w:tabs>
              <w:spacing w:line="240" w:lineRule="auto"/>
            </w:pPr>
            <w:r>
              <w:t>v.</w:t>
            </w:r>
          </w:p>
          <w:p w:rsidR="00BA7AF1" w:rsidRDefault="00196CB8" w:rsidP="00354D23">
            <w:pPr>
              <w:tabs>
                <w:tab w:val="left" w:pos="1440"/>
                <w:tab w:val="left" w:pos="2880"/>
                <w:tab w:val="left" w:pos="4320"/>
                <w:tab w:val="left" w:pos="5760"/>
                <w:tab w:val="left" w:pos="7200"/>
              </w:tabs>
              <w:spacing w:line="240" w:lineRule="auto"/>
            </w:pPr>
          </w:p>
          <w:p w:rsidR="00BA7AF1" w:rsidRDefault="00196CB8" w:rsidP="00354D23">
            <w:pPr>
              <w:tabs>
                <w:tab w:val="left" w:pos="1440"/>
                <w:tab w:val="left" w:pos="2880"/>
                <w:tab w:val="left" w:pos="4320"/>
                <w:tab w:val="left" w:pos="5760"/>
                <w:tab w:val="left" w:pos="7200"/>
              </w:tabs>
              <w:spacing w:line="240" w:lineRule="auto"/>
            </w:pPr>
            <w:r>
              <w:t xml:space="preserve">THE SUPERIOR COURT OF SANTA BARBARA COUNTY, </w:t>
            </w:r>
          </w:p>
          <w:p w:rsidR="00BA7AF1" w:rsidRDefault="00196CB8" w:rsidP="00354D23">
            <w:pPr>
              <w:tabs>
                <w:tab w:val="left" w:pos="1440"/>
                <w:tab w:val="left" w:pos="2880"/>
                <w:tab w:val="left" w:pos="4320"/>
                <w:tab w:val="left" w:pos="5760"/>
                <w:tab w:val="left" w:pos="7200"/>
              </w:tabs>
              <w:spacing w:line="240" w:lineRule="auto"/>
            </w:pPr>
          </w:p>
          <w:p w:rsidR="00BA7AF1" w:rsidRDefault="00196CB8" w:rsidP="00354D23">
            <w:pPr>
              <w:tabs>
                <w:tab w:val="left" w:pos="1440"/>
                <w:tab w:val="left" w:pos="2880"/>
                <w:tab w:val="left" w:pos="4320"/>
                <w:tab w:val="left" w:pos="5760"/>
                <w:tab w:val="left" w:pos="7200"/>
              </w:tabs>
              <w:spacing w:line="240" w:lineRule="auto"/>
            </w:pPr>
            <w:r>
              <w:t xml:space="preserve">    Respondent;</w:t>
            </w:r>
          </w:p>
          <w:p w:rsidR="00BA7AF1" w:rsidRDefault="00196CB8" w:rsidP="00354D23">
            <w:pPr>
              <w:tabs>
                <w:tab w:val="left" w:pos="1440"/>
                <w:tab w:val="left" w:pos="2880"/>
                <w:tab w:val="left" w:pos="4320"/>
                <w:tab w:val="left" w:pos="5760"/>
                <w:tab w:val="left" w:pos="7200"/>
              </w:tabs>
              <w:spacing w:line="240" w:lineRule="auto"/>
            </w:pPr>
          </w:p>
          <w:p w:rsidR="00BA7AF1" w:rsidRDefault="00196CB8" w:rsidP="00354D23">
            <w:pPr>
              <w:tabs>
                <w:tab w:val="left" w:pos="1440"/>
                <w:tab w:val="left" w:pos="2880"/>
                <w:tab w:val="left" w:pos="4320"/>
                <w:tab w:val="left" w:pos="5760"/>
                <w:tab w:val="left" w:pos="7200"/>
              </w:tabs>
              <w:spacing w:line="240" w:lineRule="auto"/>
            </w:pPr>
            <w:r>
              <w:t>CALIFORNIA DEPARTMENT OF FORESTRY AND FIRE PROT</w:t>
            </w:r>
            <w:r>
              <w:t>ECTION,</w:t>
            </w:r>
          </w:p>
          <w:p w:rsidR="00BA7AF1" w:rsidRDefault="00196CB8" w:rsidP="00354D23">
            <w:pPr>
              <w:tabs>
                <w:tab w:val="left" w:pos="1440"/>
                <w:tab w:val="left" w:pos="2880"/>
                <w:tab w:val="left" w:pos="4320"/>
                <w:tab w:val="left" w:pos="5760"/>
                <w:tab w:val="left" w:pos="7200"/>
              </w:tabs>
              <w:spacing w:line="240" w:lineRule="auto"/>
            </w:pPr>
          </w:p>
          <w:p w:rsidR="00BA7AF1" w:rsidRDefault="00196CB8" w:rsidP="00354D23">
            <w:pPr>
              <w:tabs>
                <w:tab w:val="left" w:pos="1440"/>
                <w:tab w:val="left" w:pos="2880"/>
                <w:tab w:val="left" w:pos="4320"/>
                <w:tab w:val="left" w:pos="5760"/>
                <w:tab w:val="left" w:pos="7200"/>
              </w:tabs>
              <w:spacing w:line="240" w:lineRule="auto"/>
            </w:pPr>
            <w:r>
              <w:t xml:space="preserve">    Real Party in Interest.</w:t>
            </w:r>
          </w:p>
          <w:p w:rsidR="00BA7AF1" w:rsidRDefault="00196CB8" w:rsidP="00354D23">
            <w:pPr>
              <w:tabs>
                <w:tab w:val="left" w:pos="1440"/>
                <w:tab w:val="left" w:pos="2880"/>
                <w:tab w:val="left" w:pos="4320"/>
                <w:tab w:val="left" w:pos="5760"/>
                <w:tab w:val="left" w:pos="7200"/>
              </w:tabs>
              <w:spacing w:line="240" w:lineRule="auto"/>
            </w:pPr>
          </w:p>
        </w:tc>
        <w:tc>
          <w:tcPr>
            <w:tcW w:w="4068" w:type="dxa"/>
            <w:tcBorders>
              <w:left w:val="single" w:sz="4" w:space="0" w:color="auto"/>
            </w:tcBorders>
            <w:shd w:val="clear" w:color="auto" w:fill="auto"/>
          </w:tcPr>
          <w:p w:rsidR="00BA7AF1" w:rsidRDefault="00196CB8" w:rsidP="00354D23">
            <w:pPr>
              <w:tabs>
                <w:tab w:val="left" w:pos="1440"/>
                <w:tab w:val="left" w:pos="2880"/>
                <w:tab w:val="left" w:pos="4320"/>
                <w:tab w:val="left" w:pos="5760"/>
                <w:tab w:val="left" w:pos="7200"/>
              </w:tabs>
              <w:spacing w:line="240" w:lineRule="auto"/>
              <w:jc w:val="center"/>
            </w:pPr>
            <w:r>
              <w:t>2d Civil No. B297195</w:t>
            </w:r>
          </w:p>
          <w:p w:rsidR="00BA7AF1" w:rsidRDefault="00196CB8" w:rsidP="00354D23">
            <w:pPr>
              <w:tabs>
                <w:tab w:val="left" w:pos="1440"/>
                <w:tab w:val="left" w:pos="2880"/>
                <w:tab w:val="left" w:pos="4320"/>
                <w:tab w:val="left" w:pos="5760"/>
                <w:tab w:val="left" w:pos="7200"/>
              </w:tabs>
              <w:spacing w:line="240" w:lineRule="auto"/>
              <w:jc w:val="center"/>
            </w:pPr>
            <w:r>
              <w:t>(Super. Ct. No. 18CV02968)</w:t>
            </w:r>
          </w:p>
          <w:p w:rsidR="00BA7AF1" w:rsidRDefault="00196CB8" w:rsidP="00354D23">
            <w:pPr>
              <w:tabs>
                <w:tab w:val="left" w:pos="1440"/>
                <w:tab w:val="left" w:pos="2880"/>
                <w:tab w:val="left" w:pos="4320"/>
                <w:tab w:val="left" w:pos="5760"/>
                <w:tab w:val="left" w:pos="7200"/>
              </w:tabs>
              <w:spacing w:line="240" w:lineRule="auto"/>
              <w:jc w:val="center"/>
            </w:pPr>
            <w:r>
              <w:t>(Santa Barbara County)</w:t>
            </w:r>
          </w:p>
        </w:tc>
      </w:tr>
    </w:tbl>
    <w:p w:rsidR="00BA7AF1" w:rsidRDefault="00196CB8" w:rsidP="00BA7AF1">
      <w:pPr>
        <w:tabs>
          <w:tab w:val="left" w:pos="1440"/>
          <w:tab w:val="left" w:pos="2880"/>
          <w:tab w:val="left" w:pos="4320"/>
          <w:tab w:val="left" w:pos="5760"/>
          <w:tab w:val="left" w:pos="7200"/>
        </w:tabs>
        <w:spacing w:line="240" w:lineRule="auto"/>
      </w:pPr>
      <w:r>
        <w:tab/>
      </w:r>
    </w:p>
    <w:p w:rsidR="00BA7AF1" w:rsidRDefault="00196CB8" w:rsidP="00BA7AF1">
      <w:pPr>
        <w:tabs>
          <w:tab w:val="left" w:pos="1440"/>
          <w:tab w:val="left" w:pos="2880"/>
          <w:tab w:val="left" w:pos="4320"/>
          <w:tab w:val="left" w:pos="5760"/>
          <w:tab w:val="left" w:pos="7200"/>
        </w:tabs>
      </w:pPr>
      <w:r>
        <w:tab/>
      </w:r>
      <w:r w:rsidRPr="00EB777C">
        <w:t>The law is replete with legal fictions.  Among the best known is that corporations are people, with many of the same rights and responsibilitie</w:t>
      </w:r>
      <w:r w:rsidRPr="00EB777C">
        <w:t>s as natural persons.  But corporations cannot act on their own; they “‘necessarily act through agents.’  [Citation.]”  (</w:t>
      </w:r>
      <w:proofErr w:type="spellStart"/>
      <w:r>
        <w:rPr>
          <w:i/>
        </w:rPr>
        <w:t>Snukal</w:t>
      </w:r>
      <w:proofErr w:type="spellEnd"/>
      <w:r>
        <w:rPr>
          <w:i/>
        </w:rPr>
        <w:t xml:space="preserve"> v. </w:t>
      </w:r>
      <w:proofErr w:type="spellStart"/>
      <w:r>
        <w:rPr>
          <w:i/>
        </w:rPr>
        <w:t>Flightways</w:t>
      </w:r>
      <w:proofErr w:type="spellEnd"/>
      <w:r>
        <w:rPr>
          <w:i/>
        </w:rPr>
        <w:t xml:space="preserve"> Manufacturing</w:t>
      </w:r>
      <w:r w:rsidRPr="00EB777C">
        <w:rPr>
          <w:i/>
        </w:rPr>
        <w:t>, Inc.</w:t>
      </w:r>
      <w:r w:rsidRPr="00EB777C">
        <w:t xml:space="preserve"> (2000) 23 Cal.4th 754, 782 (</w:t>
      </w:r>
      <w:proofErr w:type="spellStart"/>
      <w:r w:rsidRPr="00EB777C">
        <w:rPr>
          <w:i/>
        </w:rPr>
        <w:t>Snukal</w:t>
      </w:r>
      <w:proofErr w:type="spellEnd"/>
      <w:r w:rsidRPr="00EB777C">
        <w:t xml:space="preserve">).)  </w:t>
      </w:r>
      <w:r>
        <w:t xml:space="preserve">Thus </w:t>
      </w:r>
      <w:r w:rsidRPr="00EB777C">
        <w:t xml:space="preserve">the law draws “no distinction </w:t>
      </w:r>
      <w:r w:rsidRPr="00EB777C">
        <w:lastRenderedPageBreak/>
        <w:t>between [a] corporat</w:t>
      </w:r>
      <w:r w:rsidRPr="00EB777C">
        <w:t>ion’s ‘own’ liability and vicarious liability resulting from [the] negligence of [its] agents.”  (</w:t>
      </w:r>
      <w:proofErr w:type="spellStart"/>
      <w:r w:rsidRPr="00EB777C">
        <w:rPr>
          <w:i/>
        </w:rPr>
        <w:t>Tunkl</w:t>
      </w:r>
      <w:proofErr w:type="spellEnd"/>
      <w:r w:rsidRPr="00EB777C">
        <w:rPr>
          <w:i/>
        </w:rPr>
        <w:t xml:space="preserve"> v. Regents of University of Cal.</w:t>
      </w:r>
      <w:r w:rsidRPr="00EB777C">
        <w:t xml:space="preserve"> (1963) 60 Cal.2d 92, 103.)</w:t>
      </w:r>
      <w:r>
        <w:t xml:space="preserve">  </w:t>
      </w:r>
    </w:p>
    <w:p w:rsidR="00BA7AF1" w:rsidRDefault="00196CB8" w:rsidP="00BA7AF1">
      <w:pPr>
        <w:tabs>
          <w:tab w:val="left" w:pos="1440"/>
          <w:tab w:val="left" w:pos="2880"/>
          <w:tab w:val="left" w:pos="4320"/>
          <w:tab w:val="left" w:pos="5760"/>
          <w:tab w:val="left" w:pos="7200"/>
        </w:tabs>
      </w:pPr>
      <w:r>
        <w:tab/>
      </w:r>
      <w:r w:rsidRPr="00EB777C">
        <w:t xml:space="preserve">In a split decision, our colleagues in the Third </w:t>
      </w:r>
      <w:r>
        <w:t xml:space="preserve">Appellate </w:t>
      </w:r>
      <w:r w:rsidRPr="00EB777C">
        <w:t xml:space="preserve">District rejected </w:t>
      </w:r>
      <w:r>
        <w:t>this princip</w:t>
      </w:r>
      <w:r>
        <w:t>le in the context of</w:t>
      </w:r>
      <w:r w:rsidRPr="00EB777C">
        <w:t xml:space="preserve"> Health and Safety Code</w:t>
      </w:r>
      <w:r w:rsidRPr="00EC08B8">
        <w:rPr>
          <w:rStyle w:val="FootnoteReference"/>
          <w:position w:val="8"/>
          <w:sz w:val="20"/>
          <w:szCs w:val="20"/>
          <w:vertAlign w:val="baseline"/>
        </w:rPr>
        <w:footnoteReference w:id="1"/>
      </w:r>
      <w:r w:rsidRPr="00EB777C">
        <w:t xml:space="preserve"> sections 13009 and 13009.1.  (</w:t>
      </w:r>
      <w:r w:rsidRPr="00EB777C">
        <w:rPr>
          <w:i/>
        </w:rPr>
        <w:t>Department of Forestry &amp; Fire Protection v. Howell</w:t>
      </w:r>
      <w:r w:rsidRPr="00EB777C">
        <w:t xml:space="preserve"> (2017) 18 Cal.App.5th 154 (</w:t>
      </w:r>
      <w:r w:rsidRPr="00EB777C">
        <w:rPr>
          <w:i/>
        </w:rPr>
        <w:t>Howell</w:t>
      </w:r>
      <w:r w:rsidRPr="00EB777C">
        <w:t xml:space="preserve">).)  The </w:t>
      </w:r>
      <w:r w:rsidRPr="00EB777C">
        <w:rPr>
          <w:i/>
        </w:rPr>
        <w:t>Howell</w:t>
      </w:r>
      <w:r w:rsidRPr="00EB777C">
        <w:t xml:space="preserve"> majority concluded that corporations cannot be held liable for the costs of suppr</w:t>
      </w:r>
      <w:r w:rsidRPr="00EB777C">
        <w:t xml:space="preserve">essing and investigating fires their </w:t>
      </w:r>
      <w:r>
        <w:t xml:space="preserve">agents or employees </w:t>
      </w:r>
      <w:r w:rsidRPr="00EB777C">
        <w:t>negligently set, allow to be set, or allow to escape.  (</w:t>
      </w:r>
      <w:r w:rsidRPr="00EB777C">
        <w:rPr>
          <w:i/>
        </w:rPr>
        <w:t>Id</w:t>
      </w:r>
      <w:r w:rsidRPr="00553C3D">
        <w:t>.</w:t>
      </w:r>
      <w:r w:rsidRPr="00EB777C">
        <w:rPr>
          <w:i/>
        </w:rPr>
        <w:t xml:space="preserve"> </w:t>
      </w:r>
      <w:r w:rsidRPr="00EB777C">
        <w:t xml:space="preserve">at pp. 175-182.)  Justice </w:t>
      </w:r>
      <w:proofErr w:type="spellStart"/>
      <w:r w:rsidRPr="00EB777C">
        <w:t>Robie</w:t>
      </w:r>
      <w:proofErr w:type="spellEnd"/>
      <w:r w:rsidRPr="00EB777C">
        <w:t xml:space="preserve"> disagreed, concluding that sections 13009 and 13009.1 do permit vicarious </w:t>
      </w:r>
      <w:r>
        <w:t xml:space="preserve">corporate </w:t>
      </w:r>
      <w:r w:rsidRPr="00EB777C">
        <w:t>liability.  (</w:t>
      </w:r>
      <w:r w:rsidRPr="00EB777C">
        <w:rPr>
          <w:i/>
        </w:rPr>
        <w:t>Id</w:t>
      </w:r>
      <w:r w:rsidRPr="00553C3D">
        <w:t>.</w:t>
      </w:r>
      <w:r w:rsidRPr="00EB777C">
        <w:t xml:space="preserve"> at pp.</w:t>
      </w:r>
      <w:r w:rsidRPr="00EB777C">
        <w:t xml:space="preserve"> 204-208</w:t>
      </w:r>
      <w:r>
        <w:t xml:space="preserve"> (dis. </w:t>
      </w:r>
      <w:proofErr w:type="spellStart"/>
      <w:r>
        <w:t>opn</w:t>
      </w:r>
      <w:proofErr w:type="spellEnd"/>
      <w:r>
        <w:t xml:space="preserve">. of </w:t>
      </w:r>
      <w:proofErr w:type="spellStart"/>
      <w:r>
        <w:t>Robie</w:t>
      </w:r>
      <w:proofErr w:type="spellEnd"/>
      <w:r>
        <w:t>, J.)</w:t>
      </w:r>
      <w:r w:rsidRPr="00EB777C">
        <w:t>.)</w:t>
      </w:r>
      <w:r>
        <w:t xml:space="preserve">  </w:t>
      </w:r>
    </w:p>
    <w:p w:rsidR="00BA7AF1" w:rsidRDefault="00196CB8" w:rsidP="00BA7AF1">
      <w:pPr>
        <w:tabs>
          <w:tab w:val="left" w:pos="1440"/>
          <w:tab w:val="left" w:pos="2880"/>
          <w:tab w:val="left" w:pos="4320"/>
          <w:tab w:val="left" w:pos="5760"/>
          <w:tab w:val="left" w:pos="7200"/>
        </w:tabs>
      </w:pPr>
      <w:r>
        <w:tab/>
      </w:r>
      <w:r w:rsidRPr="00EB777C">
        <w:t xml:space="preserve">We agree with Justice </w:t>
      </w:r>
      <w:proofErr w:type="spellStart"/>
      <w:r w:rsidRPr="00EB777C">
        <w:t>Robie</w:t>
      </w:r>
      <w:proofErr w:type="spellEnd"/>
      <w:r w:rsidRPr="00EB777C">
        <w:t xml:space="preserve">.  </w:t>
      </w:r>
    </w:p>
    <w:p w:rsidR="00BA7AF1" w:rsidRDefault="00196CB8" w:rsidP="00BA7AF1">
      <w:pPr>
        <w:tabs>
          <w:tab w:val="left" w:pos="1440"/>
          <w:tab w:val="left" w:pos="2880"/>
          <w:tab w:val="left" w:pos="4320"/>
          <w:tab w:val="left" w:pos="5760"/>
          <w:tab w:val="left" w:pos="7200"/>
        </w:tabs>
      </w:pPr>
      <w:r>
        <w:tab/>
      </w:r>
      <w:r w:rsidRPr="00EB777C">
        <w:t xml:space="preserve">The Department of Forestry and Fire Protection (CalFire) sued Presbyterian Camp and Conference Centers (PCCC) to recover costs </w:t>
      </w:r>
      <w:r>
        <w:t>arising from</w:t>
      </w:r>
      <w:r w:rsidRPr="00EB777C">
        <w:t xml:space="preserve"> a fire started by a PCCC employee.  PCCC demu</w:t>
      </w:r>
      <w:r w:rsidRPr="00EB777C">
        <w:t xml:space="preserve">rred, arguing that </w:t>
      </w:r>
      <w:r w:rsidRPr="00EB777C">
        <w:rPr>
          <w:i/>
        </w:rPr>
        <w:t>Howell</w:t>
      </w:r>
      <w:r w:rsidRPr="00EB777C">
        <w:t xml:space="preserve"> precludes liability.  The trial court disagreed, and </w:t>
      </w:r>
      <w:r>
        <w:t>overruled</w:t>
      </w:r>
      <w:r w:rsidRPr="00EB777C">
        <w:t xml:space="preserve"> </w:t>
      </w:r>
      <w:r>
        <w:t>the</w:t>
      </w:r>
      <w:r w:rsidRPr="00EB777C">
        <w:t xml:space="preserve"> demurrer.</w:t>
      </w:r>
    </w:p>
    <w:p w:rsidR="00BA7AF1" w:rsidRDefault="00196CB8" w:rsidP="00BA7AF1">
      <w:pPr>
        <w:tabs>
          <w:tab w:val="left" w:pos="1440"/>
          <w:tab w:val="left" w:pos="2880"/>
          <w:tab w:val="left" w:pos="4320"/>
          <w:tab w:val="left" w:pos="5760"/>
          <w:tab w:val="left" w:pos="7200"/>
        </w:tabs>
      </w:pPr>
      <w:r>
        <w:tab/>
      </w:r>
      <w:r w:rsidRPr="00EB777C">
        <w:t>PCCC challenge</w:t>
      </w:r>
      <w:r>
        <w:t>s</w:t>
      </w:r>
      <w:r w:rsidRPr="00EB777C">
        <w:t xml:space="preserve"> the trial court’s order in a petition for writ of mandate.  </w:t>
      </w:r>
      <w:r>
        <w:t xml:space="preserve">It contends </w:t>
      </w:r>
      <w:r>
        <w:rPr>
          <w:rFonts w:eastAsia="Times New Roman"/>
          <w:szCs w:val="26"/>
        </w:rPr>
        <w:t>the court erroneously overruled its demurrer because</w:t>
      </w:r>
      <w:r w:rsidRPr="00381AFA">
        <w:rPr>
          <w:rFonts w:eastAsia="Times New Roman"/>
          <w:szCs w:val="26"/>
        </w:rPr>
        <w:t xml:space="preserve"> </w:t>
      </w:r>
      <w:r>
        <w:rPr>
          <w:rFonts w:eastAsia="Times New Roman"/>
          <w:szCs w:val="26"/>
        </w:rPr>
        <w:t>sections 13</w:t>
      </w:r>
      <w:r>
        <w:rPr>
          <w:rFonts w:eastAsia="Times New Roman"/>
          <w:szCs w:val="26"/>
        </w:rPr>
        <w:t xml:space="preserve">009 and 13009.1 do not permit it to be held liable for its employee’s negligent or illegal acts.  </w:t>
      </w:r>
      <w:r>
        <w:t>W</w:t>
      </w:r>
      <w:r w:rsidRPr="00EB777C">
        <w:t xml:space="preserve">e </w:t>
      </w:r>
      <w:r>
        <w:t xml:space="preserve">disagree, and </w:t>
      </w:r>
      <w:r w:rsidRPr="00EB777C">
        <w:t xml:space="preserve">deny </w:t>
      </w:r>
      <w:r>
        <w:t xml:space="preserve">the </w:t>
      </w:r>
      <w:r w:rsidRPr="00EB777C">
        <w:t>petition.</w:t>
      </w:r>
    </w:p>
    <w:p w:rsidR="00BA7AF1" w:rsidRPr="00BE386E" w:rsidRDefault="00196CB8" w:rsidP="00BA7AF1">
      <w:pPr>
        <w:tabs>
          <w:tab w:val="left" w:pos="1440"/>
          <w:tab w:val="left" w:pos="2880"/>
          <w:tab w:val="left" w:pos="4320"/>
          <w:tab w:val="left" w:pos="5760"/>
          <w:tab w:val="left" w:pos="7200"/>
        </w:tabs>
        <w:jc w:val="center"/>
        <w:rPr>
          <w:rFonts w:eastAsia="Times New Roman"/>
          <w:szCs w:val="26"/>
        </w:rPr>
      </w:pPr>
      <w:r w:rsidRPr="00BE386E">
        <w:rPr>
          <w:rFonts w:eastAsia="Times New Roman"/>
          <w:szCs w:val="26"/>
        </w:rPr>
        <w:t>FACTUAL AND PROCEDURAL HISTORY</w:t>
      </w:r>
    </w:p>
    <w:p w:rsidR="00BA7AF1" w:rsidRDefault="00196CB8" w:rsidP="00BA7AF1">
      <w:pPr>
        <w:tabs>
          <w:tab w:val="left" w:pos="1440"/>
          <w:tab w:val="left" w:pos="2880"/>
          <w:tab w:val="left" w:pos="4320"/>
          <w:tab w:val="left" w:pos="5760"/>
          <w:tab w:val="left" w:pos="7200"/>
        </w:tabs>
        <w:rPr>
          <w:szCs w:val="26"/>
        </w:rPr>
      </w:pPr>
      <w:r>
        <w:rPr>
          <w:szCs w:val="26"/>
        </w:rPr>
        <w:tab/>
      </w:r>
      <w:r w:rsidRPr="00B03BF4">
        <w:rPr>
          <w:szCs w:val="26"/>
        </w:rPr>
        <w:t>PCCC operates a camp and conference center in</w:t>
      </w:r>
      <w:r>
        <w:rPr>
          <w:szCs w:val="26"/>
        </w:rPr>
        <w:t xml:space="preserve"> rural </w:t>
      </w:r>
      <w:r w:rsidRPr="00B03BF4">
        <w:rPr>
          <w:szCs w:val="26"/>
        </w:rPr>
        <w:t xml:space="preserve">Santa Barbara County.  </w:t>
      </w:r>
      <w:r>
        <w:rPr>
          <w:szCs w:val="26"/>
        </w:rPr>
        <w:t>Its employee,</w:t>
      </w:r>
      <w:r w:rsidRPr="00B03BF4">
        <w:rPr>
          <w:szCs w:val="26"/>
        </w:rPr>
        <w:t xml:space="preserve"> C</w:t>
      </w:r>
      <w:r w:rsidRPr="00B03BF4">
        <w:rPr>
          <w:szCs w:val="26"/>
        </w:rPr>
        <w:t xml:space="preserve">harles Cook, </w:t>
      </w:r>
      <w:r>
        <w:rPr>
          <w:szCs w:val="26"/>
        </w:rPr>
        <w:t xml:space="preserve">was </w:t>
      </w:r>
      <w:r w:rsidRPr="00B03BF4">
        <w:rPr>
          <w:szCs w:val="26"/>
        </w:rPr>
        <w:lastRenderedPageBreak/>
        <w:t xml:space="preserve">responsible for maintaining </w:t>
      </w:r>
      <w:r>
        <w:rPr>
          <w:szCs w:val="26"/>
        </w:rPr>
        <w:t>the camp</w:t>
      </w:r>
      <w:r w:rsidRPr="00B03BF4">
        <w:rPr>
          <w:szCs w:val="26"/>
        </w:rPr>
        <w:t xml:space="preserve">.  </w:t>
      </w:r>
      <w:r>
        <w:rPr>
          <w:szCs w:val="26"/>
        </w:rPr>
        <w:t xml:space="preserve">In June </w:t>
      </w:r>
      <w:r w:rsidRPr="00B03BF4">
        <w:rPr>
          <w:szCs w:val="26"/>
        </w:rPr>
        <w:t xml:space="preserve">2016, </w:t>
      </w:r>
      <w:r>
        <w:rPr>
          <w:szCs w:val="26"/>
        </w:rPr>
        <w:t>a</w:t>
      </w:r>
      <w:r w:rsidRPr="00B03BF4">
        <w:rPr>
          <w:szCs w:val="26"/>
        </w:rPr>
        <w:t xml:space="preserve"> cabin </w:t>
      </w:r>
      <w:r>
        <w:rPr>
          <w:szCs w:val="26"/>
        </w:rPr>
        <w:t xml:space="preserve">on the property </w:t>
      </w:r>
      <w:r w:rsidRPr="00B03BF4">
        <w:rPr>
          <w:szCs w:val="26"/>
        </w:rPr>
        <w:t>filled with smoke after a</w:t>
      </w:r>
      <w:r>
        <w:rPr>
          <w:szCs w:val="26"/>
        </w:rPr>
        <w:t xml:space="preserve"> </w:t>
      </w:r>
      <w:r w:rsidRPr="00BF04E5">
        <w:rPr>
          <w:szCs w:val="26"/>
        </w:rPr>
        <w:t xml:space="preserve">chimney malfunctioned.  Cook </w:t>
      </w:r>
      <w:r>
        <w:rPr>
          <w:szCs w:val="26"/>
        </w:rPr>
        <w:t xml:space="preserve">removed </w:t>
      </w:r>
      <w:r w:rsidRPr="00BF04E5">
        <w:rPr>
          <w:szCs w:val="26"/>
        </w:rPr>
        <w:t xml:space="preserve">a burning log from the </w:t>
      </w:r>
      <w:r>
        <w:rPr>
          <w:szCs w:val="26"/>
        </w:rPr>
        <w:t>fireplace and carr</w:t>
      </w:r>
      <w:r w:rsidRPr="00BF04E5">
        <w:rPr>
          <w:szCs w:val="26"/>
        </w:rPr>
        <w:t>i</w:t>
      </w:r>
      <w:r>
        <w:rPr>
          <w:szCs w:val="26"/>
        </w:rPr>
        <w:t>ed it outside.  E</w:t>
      </w:r>
      <w:r w:rsidRPr="00BF04E5">
        <w:rPr>
          <w:szCs w:val="26"/>
        </w:rPr>
        <w:t>mbers</w:t>
      </w:r>
      <w:r>
        <w:rPr>
          <w:szCs w:val="26"/>
        </w:rPr>
        <w:t xml:space="preserve"> from the log</w:t>
      </w:r>
      <w:r w:rsidRPr="00BF04E5">
        <w:rPr>
          <w:szCs w:val="26"/>
        </w:rPr>
        <w:t xml:space="preserve"> fell onto </w:t>
      </w:r>
      <w:r>
        <w:rPr>
          <w:szCs w:val="26"/>
        </w:rPr>
        <w:t>dry</w:t>
      </w:r>
      <w:r w:rsidRPr="00BF04E5">
        <w:rPr>
          <w:szCs w:val="26"/>
        </w:rPr>
        <w:t xml:space="preserve"> vegetat</w:t>
      </w:r>
      <w:r w:rsidRPr="00BF04E5">
        <w:rPr>
          <w:szCs w:val="26"/>
        </w:rPr>
        <w:t xml:space="preserve">ion, igniting what is now known as the Sherpa Fire. </w:t>
      </w:r>
    </w:p>
    <w:p w:rsidR="00BA7AF1" w:rsidRDefault="00196CB8" w:rsidP="00BA7AF1">
      <w:pPr>
        <w:tabs>
          <w:tab w:val="left" w:pos="1440"/>
          <w:tab w:val="left" w:pos="2880"/>
          <w:tab w:val="left" w:pos="4320"/>
          <w:tab w:val="left" w:pos="5760"/>
          <w:tab w:val="left" w:pos="7200"/>
        </w:tabs>
        <w:rPr>
          <w:szCs w:val="26"/>
        </w:rPr>
      </w:pPr>
      <w:r>
        <w:rPr>
          <w:szCs w:val="26"/>
        </w:rPr>
        <w:tab/>
      </w:r>
      <w:r w:rsidRPr="00BF04E5">
        <w:rPr>
          <w:szCs w:val="26"/>
        </w:rPr>
        <w:t xml:space="preserve">The fire spread rapidly, </w:t>
      </w:r>
      <w:r>
        <w:rPr>
          <w:szCs w:val="26"/>
        </w:rPr>
        <w:t xml:space="preserve">and </w:t>
      </w:r>
      <w:r w:rsidRPr="00BF04E5">
        <w:rPr>
          <w:szCs w:val="26"/>
        </w:rPr>
        <w:t xml:space="preserve">ultimately </w:t>
      </w:r>
      <w:r>
        <w:rPr>
          <w:szCs w:val="26"/>
        </w:rPr>
        <w:t>burned nearly 7,500</w:t>
      </w:r>
      <w:r w:rsidRPr="00BF04E5">
        <w:rPr>
          <w:szCs w:val="26"/>
        </w:rPr>
        <w:t xml:space="preserve"> acres.  </w:t>
      </w:r>
      <w:r>
        <w:rPr>
          <w:szCs w:val="26"/>
        </w:rPr>
        <w:t>CalFire spent</w:t>
      </w:r>
      <w:r w:rsidRPr="00BF04E5">
        <w:rPr>
          <w:szCs w:val="26"/>
        </w:rPr>
        <w:t xml:space="preserve"> more than $12 million to fight the </w:t>
      </w:r>
      <w:r>
        <w:rPr>
          <w:szCs w:val="26"/>
        </w:rPr>
        <w:t>fire and investigate its cause.  The investigation</w:t>
      </w:r>
      <w:r w:rsidRPr="00BF04E5">
        <w:rPr>
          <w:szCs w:val="26"/>
        </w:rPr>
        <w:t xml:space="preserve"> revealed </w:t>
      </w:r>
      <w:r>
        <w:rPr>
          <w:szCs w:val="26"/>
        </w:rPr>
        <w:t xml:space="preserve">that </w:t>
      </w:r>
      <w:r w:rsidRPr="00BF04E5">
        <w:rPr>
          <w:szCs w:val="26"/>
        </w:rPr>
        <w:t>PCCC</w:t>
      </w:r>
      <w:r>
        <w:rPr>
          <w:szCs w:val="26"/>
        </w:rPr>
        <w:t>:</w:t>
      </w:r>
      <w:r w:rsidRPr="00BF04E5">
        <w:rPr>
          <w:szCs w:val="26"/>
        </w:rPr>
        <w:t xml:space="preserve"> </w:t>
      </w:r>
      <w:r>
        <w:rPr>
          <w:szCs w:val="26"/>
        </w:rPr>
        <w:t xml:space="preserve"> (1) failed to</w:t>
      </w:r>
      <w:r>
        <w:rPr>
          <w:szCs w:val="26"/>
        </w:rPr>
        <w:t xml:space="preserve"> clear </w:t>
      </w:r>
      <w:r w:rsidRPr="00BF04E5">
        <w:rPr>
          <w:szCs w:val="26"/>
        </w:rPr>
        <w:t>dry vegetation near at least on</w:t>
      </w:r>
      <w:r>
        <w:rPr>
          <w:szCs w:val="26"/>
        </w:rPr>
        <w:t>e</w:t>
      </w:r>
      <w:r w:rsidRPr="00BF04E5">
        <w:rPr>
          <w:szCs w:val="26"/>
        </w:rPr>
        <w:t xml:space="preserve"> of its cabins</w:t>
      </w:r>
      <w:r>
        <w:rPr>
          <w:szCs w:val="26"/>
        </w:rPr>
        <w:t xml:space="preserve">, (2) failed to </w:t>
      </w:r>
      <w:r w:rsidRPr="00BF04E5">
        <w:rPr>
          <w:szCs w:val="26"/>
        </w:rPr>
        <w:t>maintain the chimney that filled the cabin with smoke</w:t>
      </w:r>
      <w:r>
        <w:rPr>
          <w:szCs w:val="26"/>
        </w:rPr>
        <w:t>, and (3)</w:t>
      </w:r>
      <w:r w:rsidRPr="00BF04E5">
        <w:rPr>
          <w:szCs w:val="26"/>
        </w:rPr>
        <w:t xml:space="preserve"> </w:t>
      </w:r>
      <w:r>
        <w:rPr>
          <w:szCs w:val="26"/>
        </w:rPr>
        <w:t xml:space="preserve">failed to </w:t>
      </w:r>
      <w:r w:rsidRPr="00BF04E5">
        <w:rPr>
          <w:szCs w:val="26"/>
        </w:rPr>
        <w:t>inspect</w:t>
      </w:r>
      <w:r>
        <w:rPr>
          <w:szCs w:val="26"/>
        </w:rPr>
        <w:t xml:space="preserve"> and</w:t>
      </w:r>
      <w:r w:rsidRPr="00BF04E5">
        <w:rPr>
          <w:szCs w:val="26"/>
        </w:rPr>
        <w:t xml:space="preserve"> maintain fire safety devices.  These </w:t>
      </w:r>
      <w:r>
        <w:rPr>
          <w:szCs w:val="26"/>
        </w:rPr>
        <w:t>omissions</w:t>
      </w:r>
      <w:r w:rsidRPr="00BF04E5">
        <w:rPr>
          <w:szCs w:val="26"/>
        </w:rPr>
        <w:t xml:space="preserve"> </w:t>
      </w:r>
      <w:r>
        <w:rPr>
          <w:szCs w:val="26"/>
        </w:rPr>
        <w:t>constituted negligence and violated several laws and re</w:t>
      </w:r>
      <w:r>
        <w:rPr>
          <w:szCs w:val="26"/>
        </w:rPr>
        <w:t xml:space="preserve">gulations.  </w:t>
      </w:r>
      <w:r w:rsidRPr="00BF04E5">
        <w:rPr>
          <w:szCs w:val="26"/>
        </w:rPr>
        <w:t>Cook</w:t>
      </w:r>
      <w:r>
        <w:rPr>
          <w:szCs w:val="26"/>
        </w:rPr>
        <w:t>’s act of</w:t>
      </w:r>
      <w:r w:rsidRPr="00BF04E5">
        <w:rPr>
          <w:szCs w:val="26"/>
        </w:rPr>
        <w:t xml:space="preserve"> carr</w:t>
      </w:r>
      <w:r>
        <w:rPr>
          <w:szCs w:val="26"/>
        </w:rPr>
        <w:t xml:space="preserve">ying a smoldering log </w:t>
      </w:r>
      <w:r w:rsidRPr="00BF04E5">
        <w:rPr>
          <w:szCs w:val="26"/>
        </w:rPr>
        <w:t>over dry</w:t>
      </w:r>
      <w:r>
        <w:rPr>
          <w:szCs w:val="26"/>
        </w:rPr>
        <w:t xml:space="preserve"> </w:t>
      </w:r>
      <w:r w:rsidRPr="00BF04E5">
        <w:rPr>
          <w:szCs w:val="26"/>
        </w:rPr>
        <w:t>vegetation</w:t>
      </w:r>
      <w:r>
        <w:rPr>
          <w:szCs w:val="26"/>
        </w:rPr>
        <w:t xml:space="preserve"> was also negligent and in violation of the law</w:t>
      </w:r>
      <w:r w:rsidRPr="00BF04E5">
        <w:rPr>
          <w:szCs w:val="26"/>
        </w:rPr>
        <w:t xml:space="preserve">.  </w:t>
      </w:r>
      <w:r>
        <w:rPr>
          <w:szCs w:val="26"/>
        </w:rPr>
        <w:t xml:space="preserve">Together, PCCC’s and Cook’s acts and omissions </w:t>
      </w:r>
      <w:r w:rsidRPr="00BF04E5">
        <w:rPr>
          <w:szCs w:val="26"/>
        </w:rPr>
        <w:t xml:space="preserve">caused the </w:t>
      </w:r>
      <w:r>
        <w:rPr>
          <w:szCs w:val="26"/>
        </w:rPr>
        <w:t>Sherpa F</w:t>
      </w:r>
      <w:r w:rsidRPr="00BF04E5">
        <w:rPr>
          <w:szCs w:val="26"/>
        </w:rPr>
        <w:t xml:space="preserve">ire and contributed to its </w:t>
      </w:r>
      <w:r>
        <w:rPr>
          <w:szCs w:val="26"/>
        </w:rPr>
        <w:t xml:space="preserve">rapid </w:t>
      </w:r>
      <w:r w:rsidRPr="00BF04E5">
        <w:rPr>
          <w:szCs w:val="26"/>
        </w:rPr>
        <w:t xml:space="preserve">spread. </w:t>
      </w:r>
    </w:p>
    <w:p w:rsidR="00BA7AF1" w:rsidRDefault="00196CB8" w:rsidP="00BA7AF1">
      <w:pPr>
        <w:tabs>
          <w:tab w:val="left" w:pos="1440"/>
          <w:tab w:val="left" w:pos="2880"/>
          <w:tab w:val="left" w:pos="4320"/>
          <w:tab w:val="left" w:pos="5760"/>
          <w:tab w:val="left" w:pos="7200"/>
        </w:tabs>
        <w:rPr>
          <w:szCs w:val="26"/>
        </w:rPr>
      </w:pPr>
      <w:r>
        <w:rPr>
          <w:szCs w:val="26"/>
        </w:rPr>
        <w:tab/>
        <w:t>CalFire sued Cook and PCCC</w:t>
      </w:r>
      <w:r>
        <w:rPr>
          <w:szCs w:val="26"/>
        </w:rPr>
        <w:t xml:space="preserve"> to recover fire suppression and investigation costs.  (§§ 13009, 13009.1.)  PCCC demurred to CalFire’s complaint, arguing that it could not be held liable for Cook’s actions based on </w:t>
      </w:r>
      <w:r w:rsidRPr="00D86E32">
        <w:rPr>
          <w:i/>
          <w:szCs w:val="26"/>
        </w:rPr>
        <w:t>Howell</w:t>
      </w:r>
      <w:r>
        <w:rPr>
          <w:szCs w:val="26"/>
        </w:rPr>
        <w:t xml:space="preserve">, </w:t>
      </w:r>
      <w:r w:rsidRPr="00D86E32">
        <w:rPr>
          <w:i/>
          <w:szCs w:val="26"/>
        </w:rPr>
        <w:t>supra</w:t>
      </w:r>
      <w:r>
        <w:rPr>
          <w:szCs w:val="26"/>
        </w:rPr>
        <w:t xml:space="preserve">, 18 Cal.App.5th 154. </w:t>
      </w:r>
    </w:p>
    <w:p w:rsidR="00BA7AF1" w:rsidRDefault="00196CB8" w:rsidP="00BA7AF1">
      <w:pPr>
        <w:tabs>
          <w:tab w:val="left" w:pos="1440"/>
          <w:tab w:val="left" w:pos="2880"/>
          <w:tab w:val="left" w:pos="4320"/>
          <w:tab w:val="left" w:pos="5760"/>
          <w:tab w:val="left" w:pos="7200"/>
        </w:tabs>
        <w:rPr>
          <w:szCs w:val="26"/>
        </w:rPr>
      </w:pPr>
      <w:r>
        <w:rPr>
          <w:szCs w:val="26"/>
        </w:rPr>
        <w:tab/>
      </w:r>
      <w:r w:rsidRPr="00D141E7">
        <w:rPr>
          <w:i/>
          <w:szCs w:val="26"/>
        </w:rPr>
        <w:t>Howell</w:t>
      </w:r>
      <w:r>
        <w:rPr>
          <w:szCs w:val="26"/>
        </w:rPr>
        <w:t xml:space="preserve"> involved the Moonlight Fire </w:t>
      </w:r>
      <w:r>
        <w:rPr>
          <w:szCs w:val="26"/>
        </w:rPr>
        <w:t>that burned 65,000 acres in Plumas County.  (</w:t>
      </w:r>
      <w:r w:rsidRPr="00D86E32">
        <w:rPr>
          <w:i/>
          <w:szCs w:val="26"/>
        </w:rPr>
        <w:t>Howell</w:t>
      </w:r>
      <w:r>
        <w:rPr>
          <w:szCs w:val="26"/>
        </w:rPr>
        <w:t xml:space="preserve">, </w:t>
      </w:r>
      <w:r w:rsidRPr="00D86E32">
        <w:rPr>
          <w:i/>
          <w:szCs w:val="26"/>
        </w:rPr>
        <w:t>supra</w:t>
      </w:r>
      <w:r>
        <w:rPr>
          <w:szCs w:val="26"/>
        </w:rPr>
        <w:t>, 18 Cal.App.5th at p. 162.)  The fire started when a bulldozer struck a rock, causing superheated metal fragments to splinter off and ignite the surrounding vegetation.  (</w:t>
      </w:r>
      <w:r w:rsidRPr="00775A2A">
        <w:rPr>
          <w:i/>
          <w:szCs w:val="26"/>
        </w:rPr>
        <w:t>Id</w:t>
      </w:r>
      <w:r w:rsidRPr="00553C3D">
        <w:rPr>
          <w:szCs w:val="26"/>
        </w:rPr>
        <w:t>.</w:t>
      </w:r>
      <w:r>
        <w:rPr>
          <w:szCs w:val="26"/>
        </w:rPr>
        <w:t xml:space="preserve"> at p. 164.)  The opera</w:t>
      </w:r>
      <w:r>
        <w:rPr>
          <w:szCs w:val="26"/>
        </w:rPr>
        <w:t>tor of the bulldozer and his coworker did not timely inspect the area where they had been working, which allowed the fire to spread.  (</w:t>
      </w:r>
      <w:r w:rsidRPr="00775A2A">
        <w:rPr>
          <w:i/>
          <w:szCs w:val="26"/>
        </w:rPr>
        <w:t>Ibid</w:t>
      </w:r>
      <w:r w:rsidRPr="00553C3D">
        <w:rPr>
          <w:szCs w:val="26"/>
        </w:rPr>
        <w:t>.</w:t>
      </w:r>
      <w:r>
        <w:rPr>
          <w:szCs w:val="26"/>
        </w:rPr>
        <w:t xml:space="preserve">)  </w:t>
      </w:r>
    </w:p>
    <w:p w:rsidR="00BA7AF1" w:rsidRDefault="00196CB8" w:rsidP="00BA7AF1">
      <w:pPr>
        <w:tabs>
          <w:tab w:val="left" w:pos="1440"/>
          <w:tab w:val="left" w:pos="2880"/>
          <w:tab w:val="left" w:pos="4320"/>
          <w:tab w:val="left" w:pos="5760"/>
          <w:tab w:val="left" w:pos="7200"/>
        </w:tabs>
        <w:rPr>
          <w:szCs w:val="26"/>
        </w:rPr>
      </w:pPr>
      <w:r>
        <w:rPr>
          <w:szCs w:val="26"/>
        </w:rPr>
        <w:tab/>
        <w:t>CalFire sued the two workers for the costs of suppressing and investigating the resulting fire.  (</w:t>
      </w:r>
      <w:r w:rsidRPr="006F40AD">
        <w:rPr>
          <w:i/>
          <w:szCs w:val="26"/>
        </w:rPr>
        <w:t>Howell</w:t>
      </w:r>
      <w:r>
        <w:rPr>
          <w:szCs w:val="26"/>
        </w:rPr>
        <w:t xml:space="preserve">, </w:t>
      </w:r>
      <w:r w:rsidRPr="006F40AD">
        <w:rPr>
          <w:i/>
          <w:szCs w:val="26"/>
        </w:rPr>
        <w:t>supra</w:t>
      </w:r>
      <w:r>
        <w:rPr>
          <w:szCs w:val="26"/>
        </w:rPr>
        <w:t xml:space="preserve">, </w:t>
      </w:r>
      <w:r>
        <w:rPr>
          <w:szCs w:val="26"/>
        </w:rPr>
        <w:lastRenderedPageBreak/>
        <w:t>18 Cal.App.5th at pp. 162-163.)  It also sued the timber harvester that employed the workers, the company that purchased the timber from the harvester/employer, the company that managed the property, and the property owners.  (</w:t>
      </w:r>
      <w:r>
        <w:rPr>
          <w:i/>
          <w:szCs w:val="26"/>
        </w:rPr>
        <w:t>I</w:t>
      </w:r>
      <w:r w:rsidRPr="00A95669">
        <w:rPr>
          <w:i/>
          <w:szCs w:val="26"/>
        </w:rPr>
        <w:t>d</w:t>
      </w:r>
      <w:r w:rsidRPr="00553C3D">
        <w:rPr>
          <w:szCs w:val="26"/>
        </w:rPr>
        <w:t>.</w:t>
      </w:r>
      <w:r>
        <w:rPr>
          <w:szCs w:val="26"/>
        </w:rPr>
        <w:t xml:space="preserve"> at p. 163.)  The trial </w:t>
      </w:r>
      <w:r>
        <w:rPr>
          <w:szCs w:val="26"/>
        </w:rPr>
        <w:t>court granted motions dismissing the property owners, property manager, and timber purchaser from the case.  (</w:t>
      </w:r>
      <w:r w:rsidRPr="006F40AD">
        <w:rPr>
          <w:i/>
          <w:szCs w:val="26"/>
        </w:rPr>
        <w:t>Id</w:t>
      </w:r>
      <w:r w:rsidRPr="00553C3D">
        <w:rPr>
          <w:szCs w:val="26"/>
        </w:rPr>
        <w:t xml:space="preserve">. </w:t>
      </w:r>
      <w:r>
        <w:rPr>
          <w:szCs w:val="26"/>
        </w:rPr>
        <w:t>at p. 165.)  It concluded that sections 13009 and 13009.1 did not provide a basis for their liability.  (</w:t>
      </w:r>
      <w:r w:rsidRPr="00A24BA2">
        <w:rPr>
          <w:i/>
          <w:szCs w:val="26"/>
        </w:rPr>
        <w:t>Ibid</w:t>
      </w:r>
      <w:r w:rsidRPr="00553C3D">
        <w:rPr>
          <w:szCs w:val="26"/>
        </w:rPr>
        <w:t>.</w:t>
      </w:r>
      <w:r>
        <w:rPr>
          <w:szCs w:val="26"/>
        </w:rPr>
        <w:t>)  A majority of the Court of Ap</w:t>
      </w:r>
      <w:r>
        <w:rPr>
          <w:szCs w:val="26"/>
        </w:rPr>
        <w:t>peal agreed, concluding that the statutes do not provide for vicarious liability.  (</w:t>
      </w:r>
      <w:r w:rsidRPr="00A24BA2">
        <w:rPr>
          <w:i/>
          <w:szCs w:val="26"/>
        </w:rPr>
        <w:t>Id</w:t>
      </w:r>
      <w:r w:rsidRPr="00553C3D">
        <w:rPr>
          <w:szCs w:val="26"/>
        </w:rPr>
        <w:t xml:space="preserve">. </w:t>
      </w:r>
      <w:r>
        <w:rPr>
          <w:szCs w:val="26"/>
        </w:rPr>
        <w:t>at p. 182.)  Only CalFire’s claims against the workers and their employer remained.  (</w:t>
      </w:r>
      <w:r w:rsidRPr="00A24BA2">
        <w:rPr>
          <w:i/>
          <w:szCs w:val="26"/>
        </w:rPr>
        <w:t>Id</w:t>
      </w:r>
      <w:r w:rsidRPr="00553C3D">
        <w:rPr>
          <w:szCs w:val="26"/>
        </w:rPr>
        <w:t>.</w:t>
      </w:r>
      <w:r>
        <w:rPr>
          <w:szCs w:val="26"/>
        </w:rPr>
        <w:t xml:space="preserve"> at p. 176.)</w:t>
      </w:r>
    </w:p>
    <w:p w:rsidR="00BA7AF1" w:rsidRDefault="00196CB8" w:rsidP="00BA7AF1">
      <w:pPr>
        <w:tabs>
          <w:tab w:val="left" w:pos="1440"/>
          <w:tab w:val="left" w:pos="2880"/>
          <w:tab w:val="left" w:pos="4320"/>
          <w:tab w:val="left" w:pos="5760"/>
          <w:tab w:val="left" w:pos="7200"/>
        </w:tabs>
        <w:rPr>
          <w:szCs w:val="26"/>
        </w:rPr>
      </w:pPr>
      <w:r>
        <w:rPr>
          <w:szCs w:val="26"/>
        </w:rPr>
        <w:tab/>
        <w:t xml:space="preserve">The court below determined that </w:t>
      </w:r>
      <w:r w:rsidRPr="00A24BA2">
        <w:rPr>
          <w:i/>
          <w:szCs w:val="26"/>
        </w:rPr>
        <w:t>Howell</w:t>
      </w:r>
      <w:r>
        <w:rPr>
          <w:szCs w:val="26"/>
        </w:rPr>
        <w:t xml:space="preserve"> did not bar CalFire’s clai</w:t>
      </w:r>
      <w:r>
        <w:rPr>
          <w:szCs w:val="26"/>
        </w:rPr>
        <w:t xml:space="preserve">ms against PCCC.  While </w:t>
      </w:r>
      <w:r w:rsidRPr="00A24BA2">
        <w:rPr>
          <w:i/>
          <w:szCs w:val="26"/>
        </w:rPr>
        <w:t>Howell</w:t>
      </w:r>
      <w:r>
        <w:rPr>
          <w:szCs w:val="26"/>
        </w:rPr>
        <w:t xml:space="preserve"> concluded that the property owners, property manager, and timber purchaser could not be vicariously liable for the workers’ acts, it said nothing about the harvester/employer’s liability.  Indeed, the harvester/employer remai</w:t>
      </w:r>
      <w:r>
        <w:rPr>
          <w:szCs w:val="26"/>
        </w:rPr>
        <w:t xml:space="preserve">ned a defendant in the underlying case.  Because CalFire alleged that PCCC was Cook’s employer when the Sherpa Fire started, the court concluded that </w:t>
      </w:r>
      <w:r w:rsidRPr="00A24BA2">
        <w:rPr>
          <w:i/>
          <w:szCs w:val="26"/>
        </w:rPr>
        <w:t>Howell</w:t>
      </w:r>
      <w:r>
        <w:rPr>
          <w:szCs w:val="26"/>
        </w:rPr>
        <w:t xml:space="preserve"> did not apply to the facts of this case.  It overruled PCCC’s demurrer. </w:t>
      </w:r>
    </w:p>
    <w:p w:rsidR="00BA7AF1" w:rsidRPr="00BE386E" w:rsidRDefault="00196CB8" w:rsidP="00BA7AF1">
      <w:pPr>
        <w:tabs>
          <w:tab w:val="left" w:pos="1440"/>
          <w:tab w:val="left" w:pos="2880"/>
          <w:tab w:val="left" w:pos="4320"/>
          <w:tab w:val="left" w:pos="5760"/>
          <w:tab w:val="left" w:pos="7200"/>
        </w:tabs>
        <w:jc w:val="center"/>
        <w:rPr>
          <w:rFonts w:eastAsia="Times New Roman"/>
          <w:szCs w:val="26"/>
        </w:rPr>
      </w:pPr>
      <w:r w:rsidRPr="00BE386E">
        <w:rPr>
          <w:rFonts w:eastAsia="Times New Roman"/>
          <w:szCs w:val="26"/>
        </w:rPr>
        <w:t>DISCUSSION</w:t>
      </w:r>
    </w:p>
    <w:p w:rsidR="00BA7AF1" w:rsidRDefault="00196CB8" w:rsidP="00BA7AF1">
      <w:pPr>
        <w:tabs>
          <w:tab w:val="left" w:pos="1440"/>
          <w:tab w:val="left" w:pos="2880"/>
          <w:tab w:val="left" w:pos="4320"/>
          <w:tab w:val="left" w:pos="5760"/>
          <w:tab w:val="left" w:pos="7200"/>
        </w:tabs>
      </w:pPr>
      <w:r>
        <w:rPr>
          <w:rFonts w:eastAsia="Times New Roman"/>
          <w:szCs w:val="26"/>
        </w:rPr>
        <w:tab/>
        <w:t>PCCC argues th</w:t>
      </w:r>
      <w:r>
        <w:rPr>
          <w:rFonts w:eastAsia="Times New Roman"/>
          <w:szCs w:val="26"/>
        </w:rPr>
        <w:t xml:space="preserve">at the trial court erroneously overruled its demurrer because:  </w:t>
      </w:r>
      <w:r>
        <w:t>(1) a corporation is not a “person” for purposes of sections 13009 and 13009.1, (2) the legislative history of these statutes shows that they do not permit vicarious liability, and (3) permitt</w:t>
      </w:r>
      <w:r>
        <w:t xml:space="preserve">ing such liability would render superfluous language in related fire liability statutes.  </w:t>
      </w:r>
    </w:p>
    <w:p w:rsidR="00BA7AF1" w:rsidRPr="00BE386E" w:rsidRDefault="00196CB8" w:rsidP="00BA7AF1">
      <w:pPr>
        <w:tabs>
          <w:tab w:val="left" w:pos="1440"/>
          <w:tab w:val="left" w:pos="2880"/>
          <w:tab w:val="left" w:pos="4320"/>
          <w:tab w:val="left" w:pos="5760"/>
          <w:tab w:val="left" w:pos="7200"/>
        </w:tabs>
        <w:jc w:val="center"/>
        <w:rPr>
          <w:rFonts w:eastAsia="Times New Roman"/>
          <w:i/>
          <w:szCs w:val="26"/>
        </w:rPr>
      </w:pPr>
      <w:r w:rsidRPr="00BE386E">
        <w:rPr>
          <w:rFonts w:eastAsia="Times New Roman"/>
          <w:i/>
          <w:szCs w:val="26"/>
        </w:rPr>
        <w:t>Standard of review</w:t>
      </w:r>
    </w:p>
    <w:p w:rsidR="00BA7AF1" w:rsidRDefault="00196CB8" w:rsidP="00BA7AF1">
      <w:pPr>
        <w:tabs>
          <w:tab w:val="left" w:pos="1440"/>
          <w:tab w:val="left" w:pos="2880"/>
          <w:tab w:val="left" w:pos="4320"/>
          <w:tab w:val="left" w:pos="5760"/>
          <w:tab w:val="left" w:pos="7200"/>
        </w:tabs>
        <w:rPr>
          <w:rFonts w:eastAsia="Times New Roman"/>
          <w:szCs w:val="26"/>
        </w:rPr>
      </w:pPr>
      <w:r>
        <w:rPr>
          <w:rFonts w:eastAsia="Times New Roman"/>
          <w:szCs w:val="26"/>
        </w:rPr>
        <w:tab/>
        <w:t xml:space="preserve">When a party seeks writ review of a trial court’s order overruling a demurrer, “[t]he ‘ordinary standards of </w:t>
      </w:r>
      <w:r>
        <w:rPr>
          <w:rFonts w:eastAsia="Times New Roman"/>
          <w:szCs w:val="26"/>
        </w:rPr>
        <w:lastRenderedPageBreak/>
        <w:t>demurrer review still apply.’”  (</w:t>
      </w:r>
      <w:r w:rsidRPr="00CE0590">
        <w:rPr>
          <w:rFonts w:eastAsia="Times New Roman"/>
          <w:i/>
          <w:szCs w:val="26"/>
        </w:rPr>
        <w:t>Sou</w:t>
      </w:r>
      <w:r w:rsidRPr="00CE0590">
        <w:rPr>
          <w:rFonts w:eastAsia="Times New Roman"/>
          <w:i/>
          <w:szCs w:val="26"/>
        </w:rPr>
        <w:t>thern California Gas Leak Cases</w:t>
      </w:r>
      <w:r>
        <w:rPr>
          <w:rFonts w:eastAsia="Times New Roman"/>
          <w:szCs w:val="26"/>
        </w:rPr>
        <w:t xml:space="preserve"> (2019) 7 Cal.5th 391, 398, fn. 3.)  </w:t>
      </w:r>
      <w:r w:rsidRPr="004E64AF">
        <w:rPr>
          <w:rFonts w:eastAsia="Times New Roman"/>
          <w:szCs w:val="26"/>
        </w:rPr>
        <w:t>We independently determine whether the complaint states a cause of action.  (</w:t>
      </w:r>
      <w:r w:rsidRPr="00365405">
        <w:rPr>
          <w:rFonts w:eastAsia="Times New Roman"/>
          <w:i/>
          <w:szCs w:val="26"/>
        </w:rPr>
        <w:t>Blank v. Kirwan</w:t>
      </w:r>
      <w:r w:rsidRPr="00365405">
        <w:rPr>
          <w:rFonts w:eastAsia="Times New Roman"/>
          <w:szCs w:val="26"/>
        </w:rPr>
        <w:t xml:space="preserve"> (1985) 39 Cal.3d 311, 318.</w:t>
      </w:r>
      <w:r w:rsidRPr="004E64AF">
        <w:rPr>
          <w:rFonts w:eastAsia="Times New Roman"/>
          <w:szCs w:val="26"/>
        </w:rPr>
        <w:t xml:space="preserve">)  We reasonably interpret the complaint, “reading it as a whole and </w:t>
      </w:r>
      <w:r w:rsidRPr="004E64AF">
        <w:rPr>
          <w:rFonts w:eastAsia="Times New Roman"/>
          <w:szCs w:val="26"/>
        </w:rPr>
        <w:t>its parts in their context.”  (</w:t>
      </w:r>
      <w:r w:rsidRPr="004E64AF">
        <w:rPr>
          <w:rFonts w:eastAsia="Times New Roman"/>
          <w:i/>
          <w:szCs w:val="26"/>
        </w:rPr>
        <w:t>Ibid</w:t>
      </w:r>
      <w:r w:rsidRPr="004E64AF">
        <w:rPr>
          <w:rFonts w:eastAsia="Times New Roman"/>
          <w:szCs w:val="26"/>
        </w:rPr>
        <w:t>.)  We deem true “‘all material facts properly pleaded, but not contentions, deductions,</w:t>
      </w:r>
      <w:r>
        <w:rPr>
          <w:rFonts w:eastAsia="Times New Roman"/>
          <w:szCs w:val="26"/>
        </w:rPr>
        <w:t xml:space="preserve"> or conclusions of fact or law.</w:t>
      </w:r>
      <w:r w:rsidRPr="004E64AF">
        <w:rPr>
          <w:rFonts w:eastAsia="Times New Roman"/>
          <w:szCs w:val="26"/>
        </w:rPr>
        <w:t xml:space="preserve">  [Citation.]</w:t>
      </w:r>
      <w:r>
        <w:rPr>
          <w:rFonts w:eastAsia="Times New Roman"/>
          <w:szCs w:val="26"/>
        </w:rPr>
        <w:t>’</w:t>
      </w:r>
      <w:r w:rsidRPr="004E64AF">
        <w:rPr>
          <w:rFonts w:eastAsia="Times New Roman"/>
          <w:szCs w:val="26"/>
        </w:rPr>
        <w:t>”  (</w:t>
      </w:r>
      <w:r w:rsidRPr="004E64AF">
        <w:rPr>
          <w:rFonts w:eastAsia="Times New Roman"/>
          <w:i/>
          <w:szCs w:val="26"/>
        </w:rPr>
        <w:t>Ibid</w:t>
      </w:r>
      <w:r w:rsidRPr="004E64AF">
        <w:rPr>
          <w:rFonts w:eastAsia="Times New Roman"/>
          <w:szCs w:val="26"/>
        </w:rPr>
        <w:t xml:space="preserve">.)  </w:t>
      </w:r>
      <w:r w:rsidRPr="00365405">
        <w:rPr>
          <w:rFonts w:eastAsia="Times New Roman"/>
          <w:szCs w:val="26"/>
        </w:rPr>
        <w:t xml:space="preserve">“‘We also consider matters which may be judicially noticed.’  [Citation.]”  </w:t>
      </w:r>
      <w:r w:rsidRPr="00365405">
        <w:rPr>
          <w:rFonts w:eastAsia="Times New Roman"/>
          <w:szCs w:val="26"/>
        </w:rPr>
        <w:t>(</w:t>
      </w:r>
      <w:r w:rsidRPr="00365405">
        <w:rPr>
          <w:rFonts w:eastAsia="Times New Roman"/>
          <w:i/>
          <w:iCs/>
          <w:szCs w:val="26"/>
        </w:rPr>
        <w:t>Ibid</w:t>
      </w:r>
      <w:r w:rsidRPr="00962E43">
        <w:rPr>
          <w:rFonts w:eastAsia="Times New Roman"/>
          <w:iCs/>
          <w:szCs w:val="26"/>
        </w:rPr>
        <w:t>.</w:t>
      </w:r>
      <w:r>
        <w:rPr>
          <w:rFonts w:eastAsia="Times New Roman"/>
          <w:szCs w:val="26"/>
        </w:rPr>
        <w:t>)</w:t>
      </w:r>
    </w:p>
    <w:p w:rsidR="00BA7AF1" w:rsidRPr="00BE386E" w:rsidRDefault="00196CB8" w:rsidP="00BA7AF1">
      <w:pPr>
        <w:tabs>
          <w:tab w:val="left" w:pos="1440"/>
          <w:tab w:val="left" w:pos="2880"/>
          <w:tab w:val="left" w:pos="4320"/>
          <w:tab w:val="left" w:pos="5760"/>
          <w:tab w:val="left" w:pos="7200"/>
        </w:tabs>
        <w:jc w:val="center"/>
        <w:rPr>
          <w:rFonts w:eastAsia="Times New Roman"/>
          <w:i/>
          <w:szCs w:val="26"/>
        </w:rPr>
      </w:pPr>
      <w:r w:rsidRPr="00BE386E">
        <w:rPr>
          <w:rFonts w:eastAsia="Times New Roman"/>
          <w:i/>
          <w:color w:val="000000"/>
          <w:szCs w:val="26"/>
        </w:rPr>
        <w:t>Rules of statutory interpretation</w:t>
      </w:r>
    </w:p>
    <w:p w:rsidR="00BA7AF1" w:rsidRDefault="00196CB8" w:rsidP="00BA7AF1">
      <w:pPr>
        <w:tabs>
          <w:tab w:val="left" w:pos="1440"/>
          <w:tab w:val="left" w:pos="2880"/>
          <w:tab w:val="left" w:pos="4320"/>
          <w:tab w:val="left" w:pos="5760"/>
          <w:tab w:val="left" w:pos="7200"/>
        </w:tabs>
        <w:rPr>
          <w:rFonts w:eastAsia="Times New Roman"/>
          <w:szCs w:val="26"/>
        </w:rPr>
      </w:pPr>
      <w:r>
        <w:rPr>
          <w:rFonts w:eastAsia="Times New Roman"/>
          <w:szCs w:val="26"/>
        </w:rPr>
        <w:tab/>
      </w:r>
      <w:r w:rsidRPr="00DB65D3">
        <w:rPr>
          <w:rFonts w:eastAsia="Times New Roman"/>
          <w:szCs w:val="26"/>
        </w:rPr>
        <w:t xml:space="preserve">Whether PCCC can be </w:t>
      </w:r>
      <w:r>
        <w:rPr>
          <w:rFonts w:eastAsia="Times New Roman"/>
          <w:szCs w:val="26"/>
        </w:rPr>
        <w:t xml:space="preserve">vicariously </w:t>
      </w:r>
      <w:r w:rsidRPr="00DB65D3">
        <w:rPr>
          <w:rFonts w:eastAsia="Times New Roman"/>
          <w:szCs w:val="26"/>
        </w:rPr>
        <w:t xml:space="preserve">liable for Cook’s </w:t>
      </w:r>
      <w:r>
        <w:rPr>
          <w:rFonts w:eastAsia="Times New Roman"/>
          <w:szCs w:val="26"/>
        </w:rPr>
        <w:t xml:space="preserve">negligent or illegal </w:t>
      </w:r>
      <w:r w:rsidRPr="00DB65D3">
        <w:rPr>
          <w:rFonts w:eastAsia="Times New Roman"/>
          <w:szCs w:val="26"/>
        </w:rPr>
        <w:t xml:space="preserve">acts </w:t>
      </w:r>
      <w:r>
        <w:rPr>
          <w:rFonts w:eastAsia="Times New Roman"/>
          <w:szCs w:val="26"/>
        </w:rPr>
        <w:t>involves</w:t>
      </w:r>
      <w:r w:rsidRPr="00DB65D3">
        <w:rPr>
          <w:rFonts w:eastAsia="Times New Roman"/>
          <w:szCs w:val="26"/>
        </w:rPr>
        <w:t xml:space="preserve"> question</w:t>
      </w:r>
      <w:r>
        <w:rPr>
          <w:rFonts w:eastAsia="Times New Roman"/>
          <w:szCs w:val="26"/>
        </w:rPr>
        <w:t>s</w:t>
      </w:r>
      <w:r w:rsidRPr="00DB65D3">
        <w:rPr>
          <w:rFonts w:eastAsia="Times New Roman"/>
          <w:szCs w:val="26"/>
        </w:rPr>
        <w:t xml:space="preserve"> of statutory </w:t>
      </w:r>
      <w:r>
        <w:rPr>
          <w:rFonts w:eastAsia="Times New Roman"/>
          <w:szCs w:val="26"/>
        </w:rPr>
        <w:t>interpreta</w:t>
      </w:r>
      <w:r w:rsidRPr="00DB65D3">
        <w:rPr>
          <w:rFonts w:eastAsia="Times New Roman"/>
          <w:szCs w:val="26"/>
        </w:rPr>
        <w:t xml:space="preserve">tion for our </w:t>
      </w:r>
      <w:r w:rsidRPr="00DB65D3">
        <w:rPr>
          <w:szCs w:val="26"/>
        </w:rPr>
        <w:t>independent review</w:t>
      </w:r>
      <w:r>
        <w:rPr>
          <w:szCs w:val="26"/>
        </w:rPr>
        <w:t xml:space="preserve">.  </w:t>
      </w:r>
      <w:r w:rsidRPr="008B2638">
        <w:rPr>
          <w:szCs w:val="26"/>
        </w:rPr>
        <w:t>(</w:t>
      </w:r>
      <w:r w:rsidRPr="008B2638">
        <w:rPr>
          <w:i/>
          <w:szCs w:val="26"/>
        </w:rPr>
        <w:t>Western States Petroleum Assn. v. Board of Equalization</w:t>
      </w:r>
      <w:r>
        <w:rPr>
          <w:szCs w:val="26"/>
        </w:rPr>
        <w:t xml:space="preserve"> (201</w:t>
      </w:r>
      <w:r>
        <w:rPr>
          <w:szCs w:val="26"/>
        </w:rPr>
        <w:t xml:space="preserve">3) 57 Cal.4th 401, 415.)  </w:t>
      </w:r>
      <w:r>
        <w:rPr>
          <w:rFonts w:eastAsia="Times New Roman"/>
          <w:color w:val="000000"/>
          <w:szCs w:val="26"/>
        </w:rPr>
        <w:t>O</w:t>
      </w:r>
      <w:r w:rsidRPr="00686A2D">
        <w:rPr>
          <w:rFonts w:eastAsia="Times New Roman"/>
          <w:color w:val="000000"/>
          <w:szCs w:val="26"/>
        </w:rPr>
        <w:t>ur funda</w:t>
      </w:r>
      <w:r>
        <w:rPr>
          <w:rFonts w:eastAsia="Times New Roman"/>
          <w:color w:val="000000"/>
          <w:szCs w:val="26"/>
        </w:rPr>
        <w:t>mental task is to ascertain the Legislature’s intent</w:t>
      </w:r>
      <w:r w:rsidRPr="00686A2D">
        <w:rPr>
          <w:rFonts w:eastAsia="Times New Roman"/>
          <w:color w:val="000000"/>
          <w:szCs w:val="26"/>
        </w:rPr>
        <w:t xml:space="preserve"> </w:t>
      </w:r>
      <w:r>
        <w:rPr>
          <w:rFonts w:eastAsia="Times New Roman"/>
          <w:color w:val="000000"/>
          <w:szCs w:val="26"/>
        </w:rPr>
        <w:t xml:space="preserve">when it enacted sections 13009 and 13009.1.  </w:t>
      </w:r>
      <w:r>
        <w:rPr>
          <w:szCs w:val="26"/>
        </w:rPr>
        <w:t>(</w:t>
      </w:r>
      <w:r w:rsidRPr="00DB3534">
        <w:rPr>
          <w:i/>
        </w:rPr>
        <w:t>Pacific Palisades Bowl Mobile Estates, LLC v. City of Los Angeles</w:t>
      </w:r>
      <w:r>
        <w:t xml:space="preserve"> (2012) 55 Cal.4th 783, 803 (</w:t>
      </w:r>
      <w:r w:rsidRPr="001A749C">
        <w:rPr>
          <w:i/>
        </w:rPr>
        <w:t>Pacific Palisades</w:t>
      </w:r>
      <w:r>
        <w:t>)</w:t>
      </w:r>
      <w:r>
        <w:rPr>
          <w:szCs w:val="26"/>
        </w:rPr>
        <w:t xml:space="preserve">.)  </w:t>
      </w:r>
      <w:r>
        <w:rPr>
          <w:rFonts w:eastAsia="Times New Roman"/>
          <w:szCs w:val="26"/>
        </w:rPr>
        <w:t>We beg</w:t>
      </w:r>
      <w:r>
        <w:rPr>
          <w:rFonts w:eastAsia="Times New Roman"/>
          <w:szCs w:val="26"/>
        </w:rPr>
        <w:t xml:space="preserve">in with the statutes’ words, giving them their plain, commonsense meanings.  </w:t>
      </w:r>
      <w:r>
        <w:rPr>
          <w:szCs w:val="26"/>
        </w:rPr>
        <w:t>(</w:t>
      </w:r>
      <w:r w:rsidRPr="006A3332">
        <w:rPr>
          <w:i/>
          <w:szCs w:val="26"/>
        </w:rPr>
        <w:t xml:space="preserve">Bruns v. E-Commerce Exchange, Inc. </w:t>
      </w:r>
      <w:r>
        <w:rPr>
          <w:szCs w:val="26"/>
        </w:rPr>
        <w:t xml:space="preserve">(2011) 51 Cal.4th 717, 724.) </w:t>
      </w:r>
      <w:r>
        <w:rPr>
          <w:rFonts w:eastAsia="Times New Roman"/>
          <w:szCs w:val="26"/>
        </w:rPr>
        <w:t xml:space="preserve"> </w:t>
      </w:r>
      <w:r>
        <w:rPr>
          <w:szCs w:val="26"/>
        </w:rPr>
        <w:t xml:space="preserve">We interpret the </w:t>
      </w:r>
      <w:r>
        <w:rPr>
          <w:rFonts w:eastAsia="Times New Roman"/>
          <w:color w:val="000000"/>
          <w:szCs w:val="26"/>
        </w:rPr>
        <w:t>words in the context of related statutes, harmonizing them whenever possible.  (</w:t>
      </w:r>
      <w:r w:rsidRPr="00FF0EDA">
        <w:rPr>
          <w:rFonts w:eastAsia="Times New Roman"/>
          <w:i/>
          <w:color w:val="000000"/>
          <w:szCs w:val="26"/>
        </w:rPr>
        <w:t>Mejia v. Reed</w:t>
      </w:r>
      <w:r>
        <w:rPr>
          <w:rFonts w:eastAsia="Times New Roman"/>
          <w:color w:val="000000"/>
          <w:szCs w:val="26"/>
        </w:rPr>
        <w:t xml:space="preserve"> (2</w:t>
      </w:r>
      <w:r>
        <w:rPr>
          <w:rFonts w:eastAsia="Times New Roman"/>
          <w:color w:val="000000"/>
          <w:szCs w:val="26"/>
        </w:rPr>
        <w:t>003) 31 Cal.4th 657, 663 (</w:t>
      </w:r>
      <w:r w:rsidRPr="00FF0EDA">
        <w:rPr>
          <w:rFonts w:eastAsia="Times New Roman"/>
          <w:i/>
          <w:color w:val="000000"/>
          <w:szCs w:val="26"/>
        </w:rPr>
        <w:t>Mejia</w:t>
      </w:r>
      <w:r>
        <w:rPr>
          <w:rFonts w:eastAsia="Times New Roman"/>
          <w:color w:val="000000"/>
          <w:szCs w:val="26"/>
        </w:rPr>
        <w:t>).)</w:t>
      </w:r>
      <w:r>
        <w:rPr>
          <w:rFonts w:eastAsia="Times New Roman"/>
          <w:szCs w:val="26"/>
        </w:rPr>
        <w:t xml:space="preserve">  </w:t>
      </w:r>
      <w:r>
        <w:rPr>
          <w:szCs w:val="26"/>
        </w:rPr>
        <w:t xml:space="preserve">We also interpret them in a manner that </w:t>
      </w:r>
      <w:r w:rsidRPr="007857B0">
        <w:rPr>
          <w:rFonts w:eastAsia="Times New Roman"/>
          <w:szCs w:val="26"/>
        </w:rPr>
        <w:t>avoid</w:t>
      </w:r>
      <w:r>
        <w:rPr>
          <w:rFonts w:eastAsia="Times New Roman"/>
          <w:szCs w:val="26"/>
        </w:rPr>
        <w:t>s</w:t>
      </w:r>
      <w:r w:rsidRPr="007857B0">
        <w:rPr>
          <w:rFonts w:eastAsia="Times New Roman"/>
          <w:szCs w:val="26"/>
        </w:rPr>
        <w:t xml:space="preserve"> </w:t>
      </w:r>
      <w:r>
        <w:rPr>
          <w:rFonts w:eastAsia="Times New Roman"/>
          <w:szCs w:val="26"/>
        </w:rPr>
        <w:t>conflicts with common-law principles.  (</w:t>
      </w:r>
      <w:r w:rsidRPr="00455641">
        <w:rPr>
          <w:rFonts w:eastAsia="Times New Roman"/>
          <w:i/>
          <w:szCs w:val="26"/>
        </w:rPr>
        <w:t>California Assn. of Health Facilities v. Department of Health Services</w:t>
      </w:r>
      <w:r w:rsidRPr="007857B0">
        <w:rPr>
          <w:rFonts w:eastAsia="Times New Roman"/>
          <w:szCs w:val="26"/>
        </w:rPr>
        <w:t xml:space="preserve"> (1997) 16 Cal.4th 284, 297</w:t>
      </w:r>
      <w:r>
        <w:rPr>
          <w:rFonts w:eastAsia="Times New Roman"/>
          <w:szCs w:val="26"/>
        </w:rPr>
        <w:t>.)</w:t>
      </w:r>
    </w:p>
    <w:p w:rsidR="00BA7AF1" w:rsidRDefault="00196CB8" w:rsidP="00BA7AF1">
      <w:pPr>
        <w:tabs>
          <w:tab w:val="left" w:pos="1440"/>
          <w:tab w:val="left" w:pos="2880"/>
          <w:tab w:val="left" w:pos="4320"/>
          <w:tab w:val="left" w:pos="5760"/>
          <w:tab w:val="left" w:pos="7200"/>
        </w:tabs>
        <w:rPr>
          <w:rFonts w:eastAsia="Times New Roman"/>
          <w:szCs w:val="26"/>
        </w:rPr>
      </w:pPr>
      <w:r>
        <w:rPr>
          <w:rFonts w:eastAsia="Times New Roman"/>
          <w:szCs w:val="26"/>
        </w:rPr>
        <w:tab/>
      </w:r>
      <w:r>
        <w:rPr>
          <w:rFonts w:eastAsia="Times New Roman"/>
          <w:color w:val="000000"/>
          <w:szCs w:val="26"/>
        </w:rPr>
        <w:t xml:space="preserve">We presume the Legislature “was </w:t>
      </w:r>
      <w:r>
        <w:rPr>
          <w:rFonts w:eastAsia="Times New Roman"/>
          <w:color w:val="000000"/>
          <w:szCs w:val="26"/>
        </w:rPr>
        <w:t>aware of existing related laws” when it enacted sections 13009 and 13009.1, and that it “intended to maintain a consistent body of rules.”  (</w:t>
      </w:r>
      <w:r w:rsidRPr="00BE07A0">
        <w:rPr>
          <w:rFonts w:eastAsia="Times New Roman"/>
          <w:i/>
          <w:color w:val="000000"/>
          <w:szCs w:val="26"/>
        </w:rPr>
        <w:t xml:space="preserve">People v. Superior Court </w:t>
      </w:r>
      <w:r w:rsidRPr="0012495A">
        <w:rPr>
          <w:rFonts w:eastAsia="Times New Roman"/>
          <w:color w:val="000000"/>
          <w:szCs w:val="26"/>
        </w:rPr>
        <w:t>(</w:t>
      </w:r>
      <w:r w:rsidRPr="00BE07A0">
        <w:rPr>
          <w:rFonts w:eastAsia="Times New Roman"/>
          <w:i/>
          <w:color w:val="000000"/>
          <w:szCs w:val="26"/>
        </w:rPr>
        <w:t>Zamudio</w:t>
      </w:r>
      <w:r w:rsidRPr="0012495A">
        <w:rPr>
          <w:rFonts w:eastAsia="Times New Roman"/>
          <w:color w:val="000000"/>
          <w:szCs w:val="26"/>
        </w:rPr>
        <w:t>)</w:t>
      </w:r>
      <w:r>
        <w:rPr>
          <w:rFonts w:eastAsia="Times New Roman"/>
          <w:color w:val="000000"/>
          <w:szCs w:val="26"/>
        </w:rPr>
        <w:t xml:space="preserve"> (2000) 23 Cal.4th 183, 199 </w:t>
      </w:r>
      <w:r>
        <w:rPr>
          <w:rFonts w:eastAsia="Times New Roman"/>
          <w:color w:val="000000"/>
          <w:szCs w:val="26"/>
        </w:rPr>
        <w:lastRenderedPageBreak/>
        <w:t>(</w:t>
      </w:r>
      <w:r w:rsidRPr="003114A1">
        <w:rPr>
          <w:rFonts w:eastAsia="Times New Roman"/>
          <w:i/>
          <w:color w:val="000000"/>
          <w:szCs w:val="26"/>
        </w:rPr>
        <w:t>Zamudio</w:t>
      </w:r>
      <w:r>
        <w:rPr>
          <w:rFonts w:eastAsia="Times New Roman"/>
          <w:color w:val="000000"/>
          <w:szCs w:val="26"/>
        </w:rPr>
        <w:t>).)  We also presume the Legislature was awar</w:t>
      </w:r>
      <w:r>
        <w:rPr>
          <w:rFonts w:eastAsia="Times New Roman"/>
          <w:color w:val="000000"/>
          <w:szCs w:val="26"/>
        </w:rPr>
        <w:t xml:space="preserve">e of the judicial interpretations of those laws, and that it intended that the same interpretation </w:t>
      </w:r>
      <w:r w:rsidRPr="008F1931">
        <w:rPr>
          <w:rFonts w:eastAsia="Times New Roman"/>
          <w:color w:val="000000"/>
          <w:szCs w:val="26"/>
        </w:rPr>
        <w:t xml:space="preserve">apply to </w:t>
      </w:r>
      <w:r>
        <w:rPr>
          <w:rFonts w:eastAsia="Times New Roman"/>
          <w:color w:val="000000"/>
          <w:szCs w:val="26"/>
        </w:rPr>
        <w:t xml:space="preserve">related laws with </w:t>
      </w:r>
      <w:r w:rsidRPr="008F1931">
        <w:rPr>
          <w:rFonts w:eastAsia="Times New Roman"/>
          <w:color w:val="000000"/>
          <w:szCs w:val="26"/>
        </w:rPr>
        <w:t>identical or substantially similar language.  (</w:t>
      </w:r>
      <w:r w:rsidRPr="00B5776B">
        <w:rPr>
          <w:rFonts w:eastAsia="Times New Roman"/>
          <w:i/>
          <w:color w:val="000000"/>
          <w:szCs w:val="26"/>
        </w:rPr>
        <w:t>Moran v. Murtaugh Miller Meyer &amp; Nelson, LLP</w:t>
      </w:r>
      <w:r w:rsidRPr="008F1931">
        <w:rPr>
          <w:rFonts w:eastAsia="Times New Roman"/>
          <w:color w:val="000000"/>
          <w:szCs w:val="26"/>
        </w:rPr>
        <w:t xml:space="preserve"> (2007) 40 Cal.4th 780, 785</w:t>
      </w:r>
      <w:r>
        <w:rPr>
          <w:rFonts w:eastAsia="Times New Roman"/>
          <w:color w:val="000000"/>
          <w:szCs w:val="26"/>
        </w:rPr>
        <w:t xml:space="preserve"> (</w:t>
      </w:r>
      <w:r w:rsidRPr="00A94D89">
        <w:rPr>
          <w:rFonts w:eastAsia="Times New Roman"/>
          <w:i/>
          <w:color w:val="000000"/>
          <w:szCs w:val="26"/>
        </w:rPr>
        <w:t>Moran</w:t>
      </w:r>
      <w:r>
        <w:rPr>
          <w:rFonts w:eastAsia="Times New Roman"/>
          <w:color w:val="000000"/>
          <w:szCs w:val="26"/>
        </w:rPr>
        <w:t>)</w:t>
      </w:r>
      <w:r w:rsidRPr="008F1931">
        <w:rPr>
          <w:rFonts w:eastAsia="Times New Roman"/>
          <w:color w:val="000000"/>
          <w:szCs w:val="26"/>
        </w:rPr>
        <w:t>.)</w:t>
      </w:r>
      <w:r>
        <w:rPr>
          <w:rFonts w:eastAsia="Times New Roman"/>
          <w:szCs w:val="26"/>
        </w:rPr>
        <w:t xml:space="preserve">  </w:t>
      </w:r>
      <w:r>
        <w:rPr>
          <w:rFonts w:eastAsia="Times New Roman"/>
          <w:color w:val="000000"/>
          <w:szCs w:val="26"/>
        </w:rPr>
        <w:t>We will follow the statutes’ plain meanings unless doing so would lead to absurd results the Legislature did not intend.  (</w:t>
      </w:r>
      <w:r w:rsidRPr="002963B2">
        <w:rPr>
          <w:rFonts w:eastAsia="Times New Roman"/>
          <w:i/>
          <w:color w:val="000000"/>
          <w:szCs w:val="26"/>
        </w:rPr>
        <w:t>Meza v. Portfolio Recovery Associates, LLC</w:t>
      </w:r>
      <w:r>
        <w:rPr>
          <w:rFonts w:eastAsia="Times New Roman"/>
          <w:color w:val="000000"/>
          <w:szCs w:val="26"/>
        </w:rPr>
        <w:t xml:space="preserve"> (2019) 6 Cal.5th 844, 856.)</w:t>
      </w:r>
    </w:p>
    <w:p w:rsidR="00BA7AF1" w:rsidRDefault="00196CB8" w:rsidP="00BA7AF1">
      <w:pPr>
        <w:tabs>
          <w:tab w:val="left" w:pos="1440"/>
          <w:tab w:val="left" w:pos="2880"/>
          <w:tab w:val="left" w:pos="4320"/>
          <w:tab w:val="left" w:pos="5760"/>
          <w:tab w:val="left" w:pos="7200"/>
        </w:tabs>
        <w:rPr>
          <w:rFonts w:eastAsia="Times New Roman"/>
          <w:color w:val="000000"/>
          <w:szCs w:val="26"/>
        </w:rPr>
      </w:pPr>
      <w:r>
        <w:rPr>
          <w:rFonts w:eastAsia="Times New Roman"/>
          <w:szCs w:val="26"/>
        </w:rPr>
        <w:tab/>
      </w:r>
      <w:r>
        <w:rPr>
          <w:rFonts w:eastAsia="Times New Roman"/>
          <w:color w:val="000000"/>
          <w:szCs w:val="26"/>
        </w:rPr>
        <w:t>If the meanings of sections 13009 and 13009.1 are unclear, we</w:t>
      </w:r>
      <w:r>
        <w:rPr>
          <w:rFonts w:eastAsia="Times New Roman"/>
          <w:color w:val="000000"/>
          <w:szCs w:val="26"/>
        </w:rPr>
        <w:t xml:space="preserve"> may examine their </w:t>
      </w:r>
      <w:r>
        <w:t>legislative history to determine the Legislature’s intent.  (</w:t>
      </w:r>
      <w:r>
        <w:rPr>
          <w:i/>
        </w:rPr>
        <w:t xml:space="preserve">Pacific </w:t>
      </w:r>
      <w:r w:rsidRPr="00DB701F">
        <w:rPr>
          <w:i/>
        </w:rPr>
        <w:t>Palisades</w:t>
      </w:r>
      <w:r>
        <w:t xml:space="preserve">, </w:t>
      </w:r>
      <w:r w:rsidRPr="00DB701F">
        <w:rPr>
          <w:i/>
        </w:rPr>
        <w:t>supra</w:t>
      </w:r>
      <w:r>
        <w:t xml:space="preserve">, </w:t>
      </w:r>
      <w:r w:rsidRPr="00DB701F">
        <w:t>55</w:t>
      </w:r>
      <w:r>
        <w:t xml:space="preserve"> Cal.4th at p. 803.)</w:t>
      </w:r>
      <w:r>
        <w:rPr>
          <w:szCs w:val="26"/>
        </w:rPr>
        <w:t xml:space="preserve">  </w:t>
      </w:r>
      <w:r w:rsidRPr="0038772D">
        <w:rPr>
          <w:szCs w:val="26"/>
        </w:rPr>
        <w:t>We may also “c</w:t>
      </w:r>
      <w:r w:rsidRPr="0038772D">
        <w:rPr>
          <w:rFonts w:eastAsia="Times New Roman"/>
          <w:color w:val="000000"/>
          <w:szCs w:val="26"/>
        </w:rPr>
        <w:t xml:space="preserve">onsider the impact of an interpretation on public policy” and the consequences that </w:t>
      </w:r>
      <w:r>
        <w:rPr>
          <w:rFonts w:eastAsia="Times New Roman"/>
          <w:color w:val="000000"/>
          <w:szCs w:val="26"/>
        </w:rPr>
        <w:t>may</w:t>
      </w:r>
      <w:r w:rsidRPr="0038772D">
        <w:rPr>
          <w:rFonts w:eastAsia="Times New Roman"/>
          <w:color w:val="000000"/>
          <w:szCs w:val="26"/>
        </w:rPr>
        <w:t xml:space="preserve"> flow from </w:t>
      </w:r>
      <w:r>
        <w:rPr>
          <w:rFonts w:eastAsia="Times New Roman"/>
          <w:color w:val="000000"/>
          <w:szCs w:val="26"/>
        </w:rPr>
        <w:t>it.</w:t>
      </w:r>
      <w:r w:rsidRPr="0038772D">
        <w:rPr>
          <w:rFonts w:eastAsia="Times New Roman"/>
          <w:color w:val="000000"/>
          <w:szCs w:val="26"/>
        </w:rPr>
        <w:t xml:space="preserve">  (</w:t>
      </w:r>
      <w:r w:rsidRPr="0038772D">
        <w:rPr>
          <w:rFonts w:eastAsia="Times New Roman"/>
          <w:i/>
          <w:color w:val="000000"/>
          <w:szCs w:val="26"/>
        </w:rPr>
        <w:t>Mejia</w:t>
      </w:r>
      <w:r w:rsidRPr="0038772D">
        <w:rPr>
          <w:rFonts w:eastAsia="Times New Roman"/>
          <w:color w:val="000000"/>
          <w:szCs w:val="26"/>
        </w:rPr>
        <w:t xml:space="preserve">, </w:t>
      </w:r>
      <w:r w:rsidRPr="005073EB">
        <w:rPr>
          <w:rFonts w:eastAsia="Times New Roman"/>
          <w:i/>
          <w:color w:val="000000"/>
          <w:szCs w:val="26"/>
        </w:rPr>
        <w:t>s</w:t>
      </w:r>
      <w:r w:rsidRPr="005073EB">
        <w:rPr>
          <w:rFonts w:eastAsia="Times New Roman"/>
          <w:i/>
          <w:color w:val="000000"/>
          <w:szCs w:val="26"/>
        </w:rPr>
        <w:t>upra</w:t>
      </w:r>
      <w:r>
        <w:rPr>
          <w:rFonts w:eastAsia="Times New Roman"/>
          <w:color w:val="000000"/>
          <w:szCs w:val="26"/>
        </w:rPr>
        <w:t xml:space="preserve">, </w:t>
      </w:r>
      <w:r w:rsidRPr="0038772D">
        <w:rPr>
          <w:rFonts w:eastAsia="Times New Roman"/>
          <w:color w:val="000000"/>
          <w:szCs w:val="26"/>
        </w:rPr>
        <w:t>31 Cal.4th at p. 663.)</w:t>
      </w:r>
      <w:r>
        <w:rPr>
          <w:rFonts w:eastAsia="Times New Roman"/>
          <w:szCs w:val="26"/>
        </w:rPr>
        <w:t xml:space="preserve">  </w:t>
      </w:r>
      <w:r>
        <w:rPr>
          <w:rFonts w:eastAsia="Times New Roman"/>
          <w:color w:val="000000"/>
          <w:szCs w:val="26"/>
        </w:rPr>
        <w:t xml:space="preserve">But we cannot </w:t>
      </w:r>
      <w:r w:rsidRPr="00BB3202">
        <w:rPr>
          <w:rFonts w:eastAsia="Times New Roman"/>
          <w:color w:val="000000"/>
          <w:szCs w:val="26"/>
        </w:rPr>
        <w:t>insert w</w:t>
      </w:r>
      <w:r>
        <w:rPr>
          <w:rFonts w:eastAsia="Times New Roman"/>
          <w:color w:val="000000"/>
          <w:szCs w:val="26"/>
        </w:rPr>
        <w:t>ords into the statutes that</w:t>
      </w:r>
      <w:r w:rsidRPr="00BB3202">
        <w:rPr>
          <w:rFonts w:eastAsia="Times New Roman"/>
          <w:color w:val="000000"/>
          <w:szCs w:val="26"/>
        </w:rPr>
        <w:t xml:space="preserve"> </w:t>
      </w:r>
      <w:r>
        <w:rPr>
          <w:rFonts w:eastAsia="Times New Roman"/>
          <w:color w:val="000000"/>
          <w:szCs w:val="26"/>
        </w:rPr>
        <w:t xml:space="preserve">the Legislature has </w:t>
      </w:r>
      <w:r w:rsidRPr="00BB3202">
        <w:rPr>
          <w:rFonts w:eastAsia="Times New Roman"/>
          <w:color w:val="000000"/>
          <w:szCs w:val="26"/>
        </w:rPr>
        <w:t>omitted</w:t>
      </w:r>
      <w:r>
        <w:rPr>
          <w:rFonts w:eastAsia="Times New Roman"/>
          <w:color w:val="000000"/>
          <w:szCs w:val="26"/>
        </w:rPr>
        <w:t>.  (Code Civ. Proc., § </w:t>
      </w:r>
      <w:r w:rsidRPr="00BB3202">
        <w:rPr>
          <w:rFonts w:eastAsia="Times New Roman"/>
          <w:color w:val="000000"/>
          <w:szCs w:val="26"/>
        </w:rPr>
        <w:t>1858</w:t>
      </w:r>
      <w:r>
        <w:rPr>
          <w:rFonts w:eastAsia="Times New Roman"/>
          <w:color w:val="000000"/>
          <w:szCs w:val="26"/>
        </w:rPr>
        <w:t>.)</w:t>
      </w:r>
      <w:r>
        <w:rPr>
          <w:rFonts w:eastAsia="Times New Roman"/>
          <w:szCs w:val="26"/>
        </w:rPr>
        <w:t xml:space="preserve">  </w:t>
      </w:r>
      <w:r>
        <w:rPr>
          <w:rFonts w:eastAsia="Times New Roman"/>
          <w:color w:val="000000"/>
          <w:szCs w:val="26"/>
        </w:rPr>
        <w:t>Our job is not to rewrite statutes to conform to an assumed intent that does not appear from their language.  (</w:t>
      </w:r>
      <w:r w:rsidRPr="002D12D4">
        <w:rPr>
          <w:rFonts w:eastAsia="Times New Roman"/>
          <w:i/>
          <w:color w:val="000000"/>
          <w:szCs w:val="26"/>
        </w:rPr>
        <w:t xml:space="preserve">Doe v. </w:t>
      </w:r>
      <w:r w:rsidRPr="002D12D4">
        <w:rPr>
          <w:rFonts w:eastAsia="Times New Roman"/>
          <w:i/>
          <w:color w:val="000000"/>
          <w:szCs w:val="26"/>
        </w:rPr>
        <w:t>City of Los Angeles</w:t>
      </w:r>
      <w:r>
        <w:rPr>
          <w:rFonts w:eastAsia="Times New Roman"/>
          <w:color w:val="000000"/>
          <w:szCs w:val="26"/>
        </w:rPr>
        <w:t xml:space="preserve"> (2007) 42 Cal.4th 531, 545.)</w:t>
      </w:r>
    </w:p>
    <w:p w:rsidR="00BA7AF1" w:rsidRPr="00BE386E" w:rsidRDefault="00196CB8" w:rsidP="00BA7AF1">
      <w:pPr>
        <w:tabs>
          <w:tab w:val="left" w:pos="1440"/>
          <w:tab w:val="left" w:pos="2880"/>
          <w:tab w:val="left" w:pos="4320"/>
          <w:tab w:val="left" w:pos="5760"/>
          <w:tab w:val="left" w:pos="7200"/>
        </w:tabs>
        <w:jc w:val="center"/>
        <w:rPr>
          <w:rFonts w:eastAsia="Times New Roman"/>
          <w:i/>
          <w:szCs w:val="26"/>
        </w:rPr>
      </w:pPr>
      <w:r w:rsidRPr="00BE386E">
        <w:rPr>
          <w:rFonts w:eastAsia="Times New Roman"/>
          <w:i/>
          <w:color w:val="000000"/>
          <w:szCs w:val="26"/>
        </w:rPr>
        <w:t>Plain meanings of sections 13009 and 13009.1</w:t>
      </w:r>
    </w:p>
    <w:p w:rsidR="00BA7AF1" w:rsidRDefault="00196CB8" w:rsidP="00BA7AF1">
      <w:pPr>
        <w:tabs>
          <w:tab w:val="left" w:pos="1440"/>
          <w:tab w:val="left" w:pos="2880"/>
          <w:tab w:val="left" w:pos="4320"/>
          <w:tab w:val="left" w:pos="5760"/>
          <w:tab w:val="left" w:pos="7200"/>
        </w:tabs>
        <w:rPr>
          <w:rFonts w:eastAsia="Times New Roman"/>
          <w:szCs w:val="26"/>
        </w:rPr>
      </w:pPr>
      <w:r>
        <w:rPr>
          <w:rFonts w:eastAsia="Times New Roman"/>
          <w:szCs w:val="26"/>
        </w:rPr>
        <w:tab/>
        <w:t>CalFire’s ability to recover the costs of services it provides is limited to the recovery provided by statute.  (</w:t>
      </w:r>
      <w:r w:rsidRPr="000647E0">
        <w:rPr>
          <w:rFonts w:eastAsia="Times New Roman"/>
          <w:i/>
          <w:szCs w:val="26"/>
        </w:rPr>
        <w:t>Howell</w:t>
      </w:r>
      <w:r>
        <w:rPr>
          <w:rFonts w:eastAsia="Times New Roman"/>
          <w:szCs w:val="26"/>
        </w:rPr>
        <w:t xml:space="preserve">, </w:t>
      </w:r>
      <w:r w:rsidRPr="000647E0">
        <w:rPr>
          <w:rFonts w:eastAsia="Times New Roman"/>
          <w:i/>
          <w:szCs w:val="26"/>
        </w:rPr>
        <w:t>supra</w:t>
      </w:r>
      <w:r>
        <w:rPr>
          <w:rFonts w:eastAsia="Times New Roman"/>
          <w:szCs w:val="26"/>
        </w:rPr>
        <w:t xml:space="preserve">, 18 Cal.App.5th at p. 176.)  </w:t>
      </w:r>
      <w:r>
        <w:rPr>
          <w:rFonts w:eastAsia="Times New Roman"/>
          <w:color w:val="000000"/>
          <w:szCs w:val="26"/>
        </w:rPr>
        <w:t>Secti</w:t>
      </w:r>
      <w:r>
        <w:rPr>
          <w:rFonts w:eastAsia="Times New Roman"/>
          <w:color w:val="000000"/>
          <w:szCs w:val="26"/>
        </w:rPr>
        <w:t>on 13009, subdivision (a)(1), permits CalFire to recover fire suppression costs from “[a]</w:t>
      </w:r>
      <w:proofErr w:type="spellStart"/>
      <w:r w:rsidRPr="007367F1">
        <w:rPr>
          <w:rFonts w:eastAsia="Times New Roman"/>
          <w:szCs w:val="26"/>
        </w:rPr>
        <w:t>ny</w:t>
      </w:r>
      <w:proofErr w:type="spellEnd"/>
      <w:r w:rsidRPr="007367F1">
        <w:rPr>
          <w:rFonts w:eastAsia="Times New Roman"/>
          <w:szCs w:val="26"/>
        </w:rPr>
        <w:t xml:space="preserve"> person </w:t>
      </w:r>
      <w:r>
        <w:rPr>
          <w:rFonts w:eastAsia="Times New Roman"/>
          <w:szCs w:val="26"/>
        </w:rPr>
        <w:t xml:space="preserve">. . . </w:t>
      </w:r>
      <w:r w:rsidRPr="007367F1">
        <w:rPr>
          <w:rFonts w:eastAsia="Times New Roman"/>
          <w:szCs w:val="26"/>
        </w:rPr>
        <w:t xml:space="preserve">who negligently, or in violation of the law, sets a fire, allows a fire to be set, or allows a fire kindled or attended by </w:t>
      </w:r>
      <w:r>
        <w:rPr>
          <w:rFonts w:eastAsia="Times New Roman"/>
          <w:szCs w:val="26"/>
        </w:rPr>
        <w:t>[them]</w:t>
      </w:r>
      <w:r w:rsidRPr="007367F1">
        <w:rPr>
          <w:rFonts w:eastAsia="Times New Roman"/>
          <w:szCs w:val="26"/>
        </w:rPr>
        <w:t xml:space="preserve"> to escape onto any pu</w:t>
      </w:r>
      <w:r w:rsidRPr="007367F1">
        <w:rPr>
          <w:rFonts w:eastAsia="Times New Roman"/>
          <w:szCs w:val="26"/>
        </w:rPr>
        <w:t>blic or private property</w:t>
      </w:r>
      <w:r>
        <w:rPr>
          <w:rFonts w:eastAsia="Times New Roman"/>
          <w:szCs w:val="26"/>
        </w:rPr>
        <w:t>.”  Section 13009.1, subdivision (a)(1), permits CalFire to recover costs for investigating a fire from the same classes of persons.  A “person” includes “</w:t>
      </w:r>
      <w:r w:rsidRPr="007367F1">
        <w:rPr>
          <w:rFonts w:eastAsia="Times New Roman"/>
          <w:szCs w:val="26"/>
        </w:rPr>
        <w:t>any person, firm, association, organization, partnership, business trust, cor</w:t>
      </w:r>
      <w:r w:rsidRPr="007367F1">
        <w:rPr>
          <w:rFonts w:eastAsia="Times New Roman"/>
          <w:szCs w:val="26"/>
        </w:rPr>
        <w:t xml:space="preserve">poration, limited liability </w:t>
      </w:r>
      <w:r w:rsidRPr="007367F1">
        <w:rPr>
          <w:rFonts w:eastAsia="Times New Roman"/>
          <w:szCs w:val="26"/>
        </w:rPr>
        <w:lastRenderedPageBreak/>
        <w:t>company, or company.</w:t>
      </w:r>
      <w:r>
        <w:rPr>
          <w:rFonts w:eastAsia="Times New Roman"/>
          <w:szCs w:val="26"/>
        </w:rPr>
        <w:t>”  (§ 19.</w:t>
      </w:r>
      <w:r w:rsidRPr="00EC08B8">
        <w:rPr>
          <w:rStyle w:val="FootnoteReference"/>
          <w:position w:val="8"/>
          <w:sz w:val="20"/>
          <w:szCs w:val="20"/>
          <w:vertAlign w:val="baseline"/>
        </w:rPr>
        <w:footnoteReference w:id="2"/>
      </w:r>
      <w:r>
        <w:rPr>
          <w:rFonts w:eastAsia="Times New Roman"/>
          <w:szCs w:val="26"/>
        </w:rPr>
        <w:t>)  Thus, under the plain language of these statutes, CalFire can recover fire suppression and investigation costs from a corporation, like PCCC, that negligently or illegally sets a fire, allows a f</w:t>
      </w:r>
      <w:r>
        <w:rPr>
          <w:rFonts w:eastAsia="Times New Roman"/>
          <w:szCs w:val="26"/>
        </w:rPr>
        <w:t>ire to be set, or allows a fire it kindled or attended to escape.  And because a corporation “‘necessarily act[s] through agents’” (</w:t>
      </w:r>
      <w:proofErr w:type="spellStart"/>
      <w:r>
        <w:rPr>
          <w:rFonts w:eastAsia="Times New Roman"/>
          <w:i/>
          <w:szCs w:val="26"/>
        </w:rPr>
        <w:t>Snukal</w:t>
      </w:r>
      <w:proofErr w:type="spellEnd"/>
      <w:r>
        <w:rPr>
          <w:rFonts w:eastAsia="Times New Roman"/>
          <w:szCs w:val="26"/>
        </w:rPr>
        <w:t xml:space="preserve">, </w:t>
      </w:r>
      <w:r w:rsidRPr="008E5648">
        <w:rPr>
          <w:rFonts w:eastAsia="Times New Roman"/>
          <w:i/>
          <w:szCs w:val="26"/>
        </w:rPr>
        <w:t>supra</w:t>
      </w:r>
      <w:r>
        <w:rPr>
          <w:rFonts w:eastAsia="Times New Roman"/>
          <w:szCs w:val="26"/>
        </w:rPr>
        <w:t>, 23 Cal.4th at p. 782), it is vicariously liable if one of its agents sets a fire in the scope of their employ</w:t>
      </w:r>
      <w:r>
        <w:rPr>
          <w:rFonts w:eastAsia="Times New Roman"/>
          <w:szCs w:val="26"/>
        </w:rPr>
        <w:t>ment (</w:t>
      </w:r>
      <w:r w:rsidRPr="004B2AD0">
        <w:rPr>
          <w:rFonts w:eastAsia="Times New Roman"/>
          <w:i/>
          <w:szCs w:val="26"/>
        </w:rPr>
        <w:t>Perez v. Van Groningen &amp; Sons, Inc.</w:t>
      </w:r>
      <w:r>
        <w:rPr>
          <w:rFonts w:eastAsia="Times New Roman"/>
          <w:szCs w:val="26"/>
        </w:rPr>
        <w:t xml:space="preserve"> (1986) 41 Cal.3d 962, 968 (</w:t>
      </w:r>
      <w:r w:rsidRPr="00DE59BD">
        <w:rPr>
          <w:rFonts w:eastAsia="Times New Roman"/>
          <w:i/>
          <w:szCs w:val="26"/>
        </w:rPr>
        <w:t>Perez</w:t>
      </w:r>
      <w:r>
        <w:rPr>
          <w:rFonts w:eastAsia="Times New Roman"/>
          <w:szCs w:val="26"/>
        </w:rPr>
        <w:t>)).</w:t>
      </w:r>
    </w:p>
    <w:p w:rsidR="00BA7AF1" w:rsidRDefault="00196CB8" w:rsidP="00BA7AF1">
      <w:pPr>
        <w:tabs>
          <w:tab w:val="left" w:pos="1440"/>
          <w:tab w:val="left" w:pos="2880"/>
          <w:tab w:val="left" w:pos="4320"/>
          <w:tab w:val="left" w:pos="5760"/>
          <w:tab w:val="left" w:pos="7200"/>
        </w:tabs>
        <w:rPr>
          <w:rFonts w:eastAsia="Times New Roman"/>
          <w:szCs w:val="26"/>
        </w:rPr>
      </w:pPr>
      <w:r>
        <w:rPr>
          <w:rFonts w:eastAsia="Times New Roman"/>
          <w:szCs w:val="26"/>
        </w:rPr>
        <w:tab/>
        <w:t xml:space="preserve">Interpreting “person” in sections 13009 and 13009.1 to permit vicarious corporate liability is consistent with its interpretation in other fire liability laws in the Health and </w:t>
      </w:r>
      <w:r>
        <w:rPr>
          <w:rFonts w:eastAsia="Times New Roman"/>
          <w:szCs w:val="26"/>
        </w:rPr>
        <w:t>Safety Code.  For example, pursuant to section 13000, no “person” may allow a fire to escape their control.  Pursuant to section 13001, no “person” may use a device that might cause a fire without taking precautions to ensure against the fire’s spread.  In</w:t>
      </w:r>
      <w:r>
        <w:rPr>
          <w:rFonts w:eastAsia="Times New Roman"/>
          <w:szCs w:val="26"/>
        </w:rPr>
        <w:t xml:space="preserve"> </w:t>
      </w:r>
      <w:r w:rsidRPr="00AC5178">
        <w:rPr>
          <w:rFonts w:eastAsia="Times New Roman"/>
          <w:i/>
          <w:color w:val="000000"/>
          <w:szCs w:val="26"/>
        </w:rPr>
        <w:t>Golden v. Conway</w:t>
      </w:r>
      <w:r w:rsidRPr="00AC5178">
        <w:rPr>
          <w:rFonts w:eastAsia="Times New Roman"/>
          <w:color w:val="000000"/>
          <w:szCs w:val="26"/>
        </w:rPr>
        <w:t xml:space="preserve"> (1976) 55 Cal.App.3d 948, 963</w:t>
      </w:r>
      <w:r>
        <w:rPr>
          <w:rFonts w:eastAsia="Times New Roman"/>
          <w:color w:val="000000"/>
          <w:szCs w:val="26"/>
        </w:rPr>
        <w:t xml:space="preserve">, the court determined that, pursuant to these sections, a landlord may be able to recover damages resulting from a fire that occurred </w:t>
      </w:r>
      <w:r w:rsidRPr="007A24DA">
        <w:rPr>
          <w:rFonts w:eastAsia="Times New Roman"/>
          <w:color w:val="000000"/>
          <w:szCs w:val="26"/>
        </w:rPr>
        <w:t>in her</w:t>
      </w:r>
      <w:r>
        <w:rPr>
          <w:rFonts w:eastAsia="Times New Roman"/>
          <w:color w:val="000000"/>
          <w:szCs w:val="26"/>
        </w:rPr>
        <w:t xml:space="preserve"> building “</w:t>
      </w:r>
      <w:r w:rsidRPr="00AC5178">
        <w:rPr>
          <w:rFonts w:eastAsia="Times New Roman"/>
          <w:color w:val="000000"/>
          <w:szCs w:val="26"/>
        </w:rPr>
        <w:t xml:space="preserve">on the theory that </w:t>
      </w:r>
      <w:r w:rsidRPr="007A24DA">
        <w:rPr>
          <w:rFonts w:eastAsia="Times New Roman"/>
          <w:color w:val="000000"/>
          <w:szCs w:val="26"/>
        </w:rPr>
        <w:t>[her tenant</w:t>
      </w:r>
      <w:r>
        <w:rPr>
          <w:rFonts w:eastAsia="Times New Roman"/>
          <w:color w:val="000000"/>
          <w:szCs w:val="26"/>
        </w:rPr>
        <w:t>]</w:t>
      </w:r>
      <w:r w:rsidRPr="00AC5178">
        <w:rPr>
          <w:rFonts w:eastAsia="Times New Roman"/>
          <w:color w:val="000000"/>
          <w:szCs w:val="26"/>
        </w:rPr>
        <w:t xml:space="preserve"> </w:t>
      </w:r>
      <w:r w:rsidRPr="007A24DA">
        <w:rPr>
          <w:rFonts w:eastAsia="Times New Roman"/>
          <w:i/>
          <w:color w:val="000000"/>
          <w:szCs w:val="26"/>
        </w:rPr>
        <w:t>or one of his employees</w:t>
      </w:r>
      <w:r w:rsidRPr="00AC5178">
        <w:rPr>
          <w:rFonts w:eastAsia="Times New Roman"/>
          <w:color w:val="000000"/>
          <w:szCs w:val="26"/>
        </w:rPr>
        <w:t xml:space="preserve"> n</w:t>
      </w:r>
      <w:r w:rsidRPr="00AC5178">
        <w:rPr>
          <w:rFonts w:eastAsia="Times New Roman"/>
          <w:color w:val="000000"/>
          <w:szCs w:val="26"/>
        </w:rPr>
        <w:t xml:space="preserve">egligently left combustible material too close to </w:t>
      </w:r>
      <w:r>
        <w:rPr>
          <w:rFonts w:eastAsia="Times New Roman"/>
          <w:color w:val="000000"/>
          <w:szCs w:val="26"/>
        </w:rPr>
        <w:t>[a]</w:t>
      </w:r>
      <w:r w:rsidRPr="00AC5178">
        <w:rPr>
          <w:rFonts w:eastAsia="Times New Roman"/>
          <w:color w:val="000000"/>
          <w:szCs w:val="26"/>
        </w:rPr>
        <w:t xml:space="preserve"> wall heater.”</w:t>
      </w:r>
      <w:r>
        <w:rPr>
          <w:rFonts w:eastAsia="Times New Roman"/>
          <w:color w:val="000000"/>
          <w:szCs w:val="26"/>
        </w:rPr>
        <w:t xml:space="preserve">  (Italics added.)</w:t>
      </w:r>
    </w:p>
    <w:p w:rsidR="00BA7AF1" w:rsidRDefault="00196CB8" w:rsidP="00BA7AF1">
      <w:pPr>
        <w:tabs>
          <w:tab w:val="left" w:pos="1440"/>
          <w:tab w:val="left" w:pos="2880"/>
          <w:tab w:val="left" w:pos="4320"/>
          <w:tab w:val="left" w:pos="5760"/>
          <w:tab w:val="left" w:pos="7200"/>
        </w:tabs>
        <w:rPr>
          <w:rFonts w:eastAsia="Times New Roman"/>
          <w:szCs w:val="26"/>
        </w:rPr>
      </w:pPr>
      <w:r>
        <w:rPr>
          <w:rFonts w:eastAsia="Times New Roman"/>
          <w:szCs w:val="26"/>
        </w:rPr>
        <w:tab/>
        <w:t xml:space="preserve">Interpreting “person” in sections 13009 and 13009.1 to permit vicarious corporate liability is also consistent with longstanding common-law and statutory rules.  </w:t>
      </w:r>
      <w:r w:rsidRPr="00FC42BF">
        <w:rPr>
          <w:rFonts w:eastAsia="Times New Roman"/>
          <w:szCs w:val="26"/>
        </w:rPr>
        <w:t>Vicario</w:t>
      </w:r>
      <w:r w:rsidRPr="00FC42BF">
        <w:rPr>
          <w:rFonts w:eastAsia="Times New Roman"/>
          <w:szCs w:val="26"/>
        </w:rPr>
        <w:t xml:space="preserve">us liability </w:t>
      </w:r>
      <w:r>
        <w:rPr>
          <w:rFonts w:eastAsia="Times New Roman"/>
          <w:szCs w:val="26"/>
        </w:rPr>
        <w:t xml:space="preserve">is </w:t>
      </w:r>
      <w:r w:rsidRPr="00FC42BF">
        <w:rPr>
          <w:rFonts w:eastAsia="Times New Roman"/>
          <w:szCs w:val="26"/>
        </w:rPr>
        <w:t>“‘“a deeply rooted sentiment”’”</w:t>
      </w:r>
      <w:r>
        <w:rPr>
          <w:rFonts w:eastAsia="Times New Roman"/>
          <w:szCs w:val="26"/>
        </w:rPr>
        <w:t xml:space="preserve"> in California.</w:t>
      </w:r>
      <w:r w:rsidRPr="00FC42BF">
        <w:rPr>
          <w:rFonts w:eastAsia="Times New Roman"/>
          <w:szCs w:val="26"/>
        </w:rPr>
        <w:t xml:space="preserve">  (</w:t>
      </w:r>
      <w:r w:rsidRPr="00FC42BF">
        <w:rPr>
          <w:rFonts w:eastAsia="Times New Roman"/>
          <w:i/>
          <w:szCs w:val="26"/>
        </w:rPr>
        <w:t>Mary M. v. City of Los Angeles</w:t>
      </w:r>
      <w:r w:rsidRPr="00FC42BF">
        <w:rPr>
          <w:rFonts w:eastAsia="Times New Roman"/>
          <w:szCs w:val="26"/>
        </w:rPr>
        <w:t xml:space="preserve"> (1991) 54 Cal.3d 202, 208.)</w:t>
      </w:r>
      <w:r>
        <w:rPr>
          <w:rFonts w:eastAsia="Times New Roman"/>
          <w:szCs w:val="26"/>
        </w:rPr>
        <w:t xml:space="preserve">  At</w:t>
      </w:r>
      <w:r w:rsidRPr="00FC42BF">
        <w:rPr>
          <w:rFonts w:eastAsia="Times New Roman"/>
          <w:szCs w:val="26"/>
        </w:rPr>
        <w:t xml:space="preserve"> </w:t>
      </w:r>
      <w:r>
        <w:rPr>
          <w:rFonts w:eastAsia="Times New Roman"/>
          <w:szCs w:val="26"/>
        </w:rPr>
        <w:t>common law,</w:t>
      </w:r>
      <w:r w:rsidRPr="00FC42BF">
        <w:rPr>
          <w:rFonts w:eastAsia="Times New Roman"/>
          <w:szCs w:val="26"/>
        </w:rPr>
        <w:t xml:space="preserve"> an employer </w:t>
      </w:r>
      <w:r>
        <w:rPr>
          <w:rFonts w:eastAsia="Times New Roman"/>
          <w:szCs w:val="26"/>
        </w:rPr>
        <w:t>could be held</w:t>
      </w:r>
      <w:r w:rsidRPr="00FC42BF">
        <w:rPr>
          <w:rFonts w:eastAsia="Times New Roman"/>
          <w:szCs w:val="26"/>
        </w:rPr>
        <w:t xml:space="preserve"> vicariously liable for </w:t>
      </w:r>
      <w:r>
        <w:rPr>
          <w:rFonts w:eastAsia="Times New Roman"/>
          <w:szCs w:val="26"/>
        </w:rPr>
        <w:t>its</w:t>
      </w:r>
      <w:r w:rsidRPr="00FC42BF">
        <w:rPr>
          <w:rFonts w:eastAsia="Times New Roman"/>
          <w:szCs w:val="26"/>
        </w:rPr>
        <w:t xml:space="preserve"> employee’s torts if </w:t>
      </w:r>
      <w:r w:rsidRPr="00FC42BF">
        <w:rPr>
          <w:rFonts w:eastAsia="Times New Roman"/>
          <w:szCs w:val="26"/>
        </w:rPr>
        <w:lastRenderedPageBreak/>
        <w:t>the</w:t>
      </w:r>
      <w:r>
        <w:rPr>
          <w:rFonts w:eastAsia="Times New Roman"/>
          <w:szCs w:val="26"/>
        </w:rPr>
        <w:t xml:space="preserve"> torts</w:t>
      </w:r>
      <w:r w:rsidRPr="00FC42BF">
        <w:rPr>
          <w:rFonts w:eastAsia="Times New Roman"/>
          <w:szCs w:val="26"/>
        </w:rPr>
        <w:t xml:space="preserve"> </w:t>
      </w:r>
      <w:r>
        <w:rPr>
          <w:rFonts w:eastAsia="Times New Roman"/>
          <w:szCs w:val="26"/>
        </w:rPr>
        <w:t>were</w:t>
      </w:r>
      <w:r w:rsidRPr="00FC42BF">
        <w:rPr>
          <w:rFonts w:eastAsia="Times New Roman"/>
          <w:szCs w:val="26"/>
        </w:rPr>
        <w:t xml:space="preserve"> </w:t>
      </w:r>
      <w:r>
        <w:rPr>
          <w:rFonts w:eastAsia="Times New Roman"/>
          <w:szCs w:val="26"/>
        </w:rPr>
        <w:t xml:space="preserve">committed in the scope of </w:t>
      </w:r>
      <w:r w:rsidRPr="00FC42BF">
        <w:rPr>
          <w:rFonts w:eastAsia="Times New Roman"/>
          <w:szCs w:val="26"/>
        </w:rPr>
        <w:t>em</w:t>
      </w:r>
      <w:r w:rsidRPr="00FC42BF">
        <w:rPr>
          <w:rFonts w:eastAsia="Times New Roman"/>
          <w:szCs w:val="26"/>
        </w:rPr>
        <w:t xml:space="preserve">ployment. </w:t>
      </w:r>
      <w:r>
        <w:rPr>
          <w:rFonts w:eastAsia="Times New Roman"/>
          <w:szCs w:val="26"/>
        </w:rPr>
        <w:t xml:space="preserve"> </w:t>
      </w:r>
      <w:r w:rsidRPr="00FC42BF">
        <w:rPr>
          <w:rFonts w:eastAsia="Times New Roman"/>
          <w:szCs w:val="26"/>
        </w:rPr>
        <w:t>(</w:t>
      </w:r>
      <w:r w:rsidRPr="00FC42BF">
        <w:rPr>
          <w:rFonts w:eastAsia="Times New Roman"/>
          <w:i/>
          <w:iCs/>
          <w:szCs w:val="26"/>
        </w:rPr>
        <w:t>Perez</w:t>
      </w:r>
      <w:r w:rsidRPr="00FC42BF">
        <w:rPr>
          <w:rFonts w:eastAsia="Times New Roman"/>
          <w:iCs/>
          <w:szCs w:val="26"/>
        </w:rPr>
        <w:t xml:space="preserve">, </w:t>
      </w:r>
      <w:r w:rsidRPr="00FC42BF">
        <w:rPr>
          <w:rFonts w:eastAsia="Times New Roman"/>
          <w:i/>
          <w:iCs/>
          <w:szCs w:val="26"/>
        </w:rPr>
        <w:t>supra</w:t>
      </w:r>
      <w:r w:rsidRPr="00FC42BF">
        <w:rPr>
          <w:rFonts w:eastAsia="Times New Roman"/>
          <w:iCs/>
          <w:szCs w:val="26"/>
        </w:rPr>
        <w:t xml:space="preserve">, </w:t>
      </w:r>
      <w:r w:rsidRPr="00FC42BF">
        <w:rPr>
          <w:rFonts w:eastAsia="Times New Roman"/>
          <w:szCs w:val="26"/>
        </w:rPr>
        <w:t>41 Cal.3d at p. 967.)</w:t>
      </w:r>
      <w:r>
        <w:rPr>
          <w:rFonts w:eastAsia="Times New Roman"/>
          <w:szCs w:val="26"/>
        </w:rPr>
        <w:t xml:space="preserve">  T</w:t>
      </w:r>
      <w:r w:rsidRPr="00FC42BF">
        <w:rPr>
          <w:rFonts w:eastAsia="Times New Roman"/>
          <w:szCs w:val="26"/>
        </w:rPr>
        <w:t>he Legislature codified th</w:t>
      </w:r>
      <w:r>
        <w:rPr>
          <w:rFonts w:eastAsia="Times New Roman"/>
          <w:szCs w:val="26"/>
        </w:rPr>
        <w:t>is</w:t>
      </w:r>
      <w:r w:rsidRPr="00FC42BF">
        <w:rPr>
          <w:rFonts w:eastAsia="Times New Roman"/>
          <w:szCs w:val="26"/>
        </w:rPr>
        <w:t xml:space="preserve"> common</w:t>
      </w:r>
      <w:r>
        <w:rPr>
          <w:rFonts w:eastAsia="Times New Roman"/>
          <w:szCs w:val="26"/>
        </w:rPr>
        <w:t>-</w:t>
      </w:r>
      <w:r w:rsidRPr="00FC42BF">
        <w:rPr>
          <w:rFonts w:eastAsia="Times New Roman"/>
          <w:szCs w:val="26"/>
        </w:rPr>
        <w:t xml:space="preserve">law rule </w:t>
      </w:r>
      <w:r>
        <w:rPr>
          <w:rFonts w:eastAsia="Times New Roman"/>
          <w:szCs w:val="26"/>
        </w:rPr>
        <w:t>nearly 150 years ago.  (</w:t>
      </w:r>
      <w:r w:rsidRPr="00FC42BF">
        <w:rPr>
          <w:rFonts w:eastAsia="Times New Roman"/>
          <w:szCs w:val="26"/>
        </w:rPr>
        <w:t>Civ</w:t>
      </w:r>
      <w:r>
        <w:rPr>
          <w:rFonts w:eastAsia="Times New Roman"/>
          <w:szCs w:val="26"/>
        </w:rPr>
        <w:t>.</w:t>
      </w:r>
      <w:r w:rsidRPr="00FC42BF">
        <w:rPr>
          <w:rFonts w:eastAsia="Times New Roman"/>
          <w:szCs w:val="26"/>
        </w:rPr>
        <w:t xml:space="preserve"> Code</w:t>
      </w:r>
      <w:r>
        <w:rPr>
          <w:rFonts w:eastAsia="Times New Roman"/>
          <w:szCs w:val="26"/>
        </w:rPr>
        <w:t>, §</w:t>
      </w:r>
      <w:r w:rsidRPr="00FC42BF">
        <w:rPr>
          <w:rFonts w:eastAsia="Times New Roman"/>
          <w:szCs w:val="26"/>
        </w:rPr>
        <w:t xml:space="preserve"> 2338.)</w:t>
      </w:r>
      <w:r>
        <w:rPr>
          <w:rFonts w:eastAsia="Times New Roman"/>
          <w:szCs w:val="26"/>
        </w:rPr>
        <w:t xml:space="preserve">  </w:t>
      </w:r>
      <w:r w:rsidRPr="00FC42BF">
        <w:rPr>
          <w:rFonts w:eastAsia="Times New Roman"/>
          <w:szCs w:val="26"/>
        </w:rPr>
        <w:t xml:space="preserve">We presume the Legislature was aware of </w:t>
      </w:r>
      <w:r>
        <w:rPr>
          <w:rFonts w:eastAsia="Times New Roman"/>
          <w:szCs w:val="26"/>
        </w:rPr>
        <w:t>Civil Code section 2338</w:t>
      </w:r>
      <w:r w:rsidRPr="00FC42BF">
        <w:rPr>
          <w:rFonts w:eastAsia="Times New Roman"/>
          <w:szCs w:val="26"/>
        </w:rPr>
        <w:t xml:space="preserve"> and the common</w:t>
      </w:r>
      <w:r>
        <w:rPr>
          <w:rFonts w:eastAsia="Times New Roman"/>
          <w:szCs w:val="26"/>
        </w:rPr>
        <w:t>-</w:t>
      </w:r>
      <w:r w:rsidRPr="00FC42BF">
        <w:rPr>
          <w:rFonts w:eastAsia="Times New Roman"/>
          <w:szCs w:val="26"/>
        </w:rPr>
        <w:t>law rules governing vicarious liabili</w:t>
      </w:r>
      <w:r w:rsidRPr="00FC42BF">
        <w:rPr>
          <w:rFonts w:eastAsia="Times New Roman"/>
          <w:szCs w:val="26"/>
        </w:rPr>
        <w:t xml:space="preserve">ty when it enacted </w:t>
      </w:r>
      <w:r>
        <w:rPr>
          <w:rFonts w:eastAsia="Times New Roman"/>
          <w:szCs w:val="26"/>
        </w:rPr>
        <w:t>sections 13009 and 13009.1</w:t>
      </w:r>
      <w:r w:rsidRPr="00FC42BF">
        <w:rPr>
          <w:rFonts w:eastAsia="Times New Roman"/>
          <w:szCs w:val="26"/>
        </w:rPr>
        <w:t>.  (</w:t>
      </w:r>
      <w:r w:rsidRPr="00FC42BF">
        <w:rPr>
          <w:rFonts w:eastAsia="Times New Roman"/>
          <w:i/>
          <w:color w:val="000000"/>
          <w:szCs w:val="26"/>
        </w:rPr>
        <w:t>Zamudio</w:t>
      </w:r>
      <w:r w:rsidRPr="00FC42BF">
        <w:rPr>
          <w:rFonts w:eastAsia="Times New Roman"/>
          <w:color w:val="000000"/>
          <w:szCs w:val="26"/>
        </w:rPr>
        <w:t xml:space="preserve">, </w:t>
      </w:r>
      <w:r w:rsidRPr="00FC42BF">
        <w:rPr>
          <w:rFonts w:eastAsia="Times New Roman"/>
          <w:i/>
          <w:color w:val="000000"/>
          <w:szCs w:val="26"/>
        </w:rPr>
        <w:t>supra</w:t>
      </w:r>
      <w:r w:rsidRPr="00FC42BF">
        <w:rPr>
          <w:rFonts w:eastAsia="Times New Roman"/>
          <w:color w:val="000000"/>
          <w:szCs w:val="26"/>
        </w:rPr>
        <w:t xml:space="preserve">, 23 Cal.4th </w:t>
      </w:r>
      <w:r>
        <w:rPr>
          <w:rFonts w:eastAsia="Times New Roman"/>
          <w:color w:val="000000"/>
          <w:szCs w:val="26"/>
        </w:rPr>
        <w:t>at p. 199.)  And we presume</w:t>
      </w:r>
      <w:r w:rsidRPr="00FC42BF">
        <w:rPr>
          <w:rFonts w:eastAsia="Times New Roman"/>
          <w:color w:val="000000"/>
          <w:szCs w:val="26"/>
        </w:rPr>
        <w:t xml:space="preserve"> the Legislature</w:t>
      </w:r>
      <w:r>
        <w:rPr>
          <w:rFonts w:eastAsia="Times New Roman"/>
          <w:color w:val="000000"/>
          <w:szCs w:val="26"/>
        </w:rPr>
        <w:t xml:space="preserve"> did not intend to </w:t>
      </w:r>
      <w:r w:rsidRPr="00FC42BF">
        <w:rPr>
          <w:rFonts w:eastAsia="Times New Roman"/>
          <w:color w:val="000000"/>
          <w:szCs w:val="26"/>
        </w:rPr>
        <w:t xml:space="preserve">depart from </w:t>
      </w:r>
      <w:r>
        <w:rPr>
          <w:rFonts w:eastAsia="Times New Roman"/>
          <w:color w:val="000000"/>
          <w:szCs w:val="26"/>
        </w:rPr>
        <w:t>these rules</w:t>
      </w:r>
      <w:r w:rsidRPr="00FC42BF">
        <w:rPr>
          <w:rFonts w:eastAsia="Times New Roman"/>
          <w:color w:val="000000"/>
          <w:szCs w:val="26"/>
        </w:rPr>
        <w:t xml:space="preserve"> since </w:t>
      </w:r>
      <w:r>
        <w:rPr>
          <w:rFonts w:eastAsia="Times New Roman"/>
          <w:szCs w:val="26"/>
        </w:rPr>
        <w:t xml:space="preserve">sections 13009 and 13009.1 </w:t>
      </w:r>
      <w:r w:rsidRPr="00FC42BF">
        <w:rPr>
          <w:rFonts w:eastAsia="Times New Roman"/>
          <w:color w:val="000000"/>
          <w:szCs w:val="26"/>
        </w:rPr>
        <w:t xml:space="preserve">are silent on </w:t>
      </w:r>
      <w:r>
        <w:rPr>
          <w:rFonts w:eastAsia="Times New Roman"/>
          <w:color w:val="000000"/>
          <w:szCs w:val="26"/>
        </w:rPr>
        <w:t>the issue of vicarious liability</w:t>
      </w:r>
      <w:r w:rsidRPr="00FC42BF">
        <w:rPr>
          <w:rFonts w:eastAsia="Times New Roman"/>
          <w:color w:val="000000"/>
          <w:szCs w:val="26"/>
        </w:rPr>
        <w:t>.  (</w:t>
      </w:r>
      <w:r w:rsidRPr="00FC42BF">
        <w:rPr>
          <w:rFonts w:eastAsia="Times New Roman"/>
          <w:i/>
          <w:szCs w:val="26"/>
        </w:rPr>
        <w:t>Big Creek L</w:t>
      </w:r>
      <w:r w:rsidRPr="00FC42BF">
        <w:rPr>
          <w:rFonts w:eastAsia="Times New Roman"/>
          <w:i/>
          <w:szCs w:val="26"/>
        </w:rPr>
        <w:t>umber Co. v. County of Santa Cruz</w:t>
      </w:r>
      <w:r w:rsidRPr="00FC42BF">
        <w:rPr>
          <w:rFonts w:eastAsia="Times New Roman"/>
          <w:szCs w:val="26"/>
        </w:rPr>
        <w:t xml:space="preserve"> (2006) 38 Cal.4th 1139, 1149.)</w:t>
      </w:r>
    </w:p>
    <w:p w:rsidR="00BA7AF1" w:rsidRDefault="00196CB8" w:rsidP="00BA7AF1">
      <w:pPr>
        <w:tabs>
          <w:tab w:val="left" w:pos="1440"/>
          <w:tab w:val="left" w:pos="2880"/>
          <w:tab w:val="left" w:pos="4320"/>
          <w:tab w:val="left" w:pos="5760"/>
          <w:tab w:val="left" w:pos="7200"/>
        </w:tabs>
        <w:rPr>
          <w:rFonts w:eastAsia="Times New Roman"/>
          <w:szCs w:val="26"/>
        </w:rPr>
      </w:pPr>
      <w:r>
        <w:rPr>
          <w:rFonts w:eastAsia="Times New Roman"/>
          <w:szCs w:val="26"/>
        </w:rPr>
        <w:tab/>
        <w:t>Here, it is undisputed that Cook started the Sherpa Fire.  And it is undisputed that PCCC was his employer at that time.  Therefore, if CalFire can prove that Cook started the fire negligent</w:t>
      </w:r>
      <w:r>
        <w:rPr>
          <w:rFonts w:eastAsia="Times New Roman"/>
          <w:szCs w:val="26"/>
        </w:rPr>
        <w:t>ly or in violation of law, and did so in the scope of his employment, PCCC can, pursuant to sections 13009 and 13009.1, be held vicariously liable for CalFire’s fire suppression and investigation costs.</w:t>
      </w:r>
    </w:p>
    <w:p w:rsidR="00BA7AF1" w:rsidRPr="00BE386E" w:rsidRDefault="00196CB8" w:rsidP="00BA7AF1">
      <w:pPr>
        <w:tabs>
          <w:tab w:val="left" w:pos="1440"/>
          <w:tab w:val="left" w:pos="2880"/>
          <w:tab w:val="left" w:pos="4320"/>
          <w:tab w:val="left" w:pos="5760"/>
          <w:tab w:val="left" w:pos="7200"/>
        </w:tabs>
        <w:jc w:val="center"/>
        <w:rPr>
          <w:rFonts w:eastAsia="Times New Roman"/>
          <w:i/>
          <w:szCs w:val="26"/>
        </w:rPr>
      </w:pPr>
      <w:r w:rsidRPr="00BE386E">
        <w:rPr>
          <w:rFonts w:eastAsia="Times New Roman"/>
          <w:i/>
          <w:szCs w:val="26"/>
        </w:rPr>
        <w:t>Section 19’s definition of “person”</w:t>
      </w:r>
    </w:p>
    <w:p w:rsidR="00BA7AF1" w:rsidRDefault="00196CB8" w:rsidP="00BA7AF1">
      <w:pPr>
        <w:tabs>
          <w:tab w:val="left" w:pos="1440"/>
          <w:tab w:val="left" w:pos="2880"/>
          <w:tab w:val="left" w:pos="4320"/>
          <w:tab w:val="left" w:pos="5760"/>
          <w:tab w:val="left" w:pos="7200"/>
        </w:tabs>
        <w:rPr>
          <w:rFonts w:eastAsia="Times New Roman"/>
          <w:szCs w:val="26"/>
        </w:rPr>
      </w:pPr>
      <w:r>
        <w:rPr>
          <w:rFonts w:eastAsia="Times New Roman"/>
          <w:szCs w:val="26"/>
        </w:rPr>
        <w:tab/>
        <w:t>PCCC argues that</w:t>
      </w:r>
      <w:r>
        <w:rPr>
          <w:rFonts w:eastAsia="Times New Roman"/>
          <w:szCs w:val="26"/>
        </w:rPr>
        <w:t xml:space="preserve"> sections 13009 and 13009.1 do not apply to corporations.  But section 19’s definition of “person”—which includes a corporation—applies to all provisions of the Health and Safety Code “[u]</w:t>
      </w:r>
      <w:proofErr w:type="spellStart"/>
      <w:r>
        <w:rPr>
          <w:rFonts w:eastAsia="Times New Roman"/>
          <w:szCs w:val="26"/>
        </w:rPr>
        <w:t>nless</w:t>
      </w:r>
      <w:proofErr w:type="spellEnd"/>
      <w:r>
        <w:rPr>
          <w:rFonts w:eastAsia="Times New Roman"/>
          <w:szCs w:val="26"/>
        </w:rPr>
        <w:t xml:space="preserve"> the provision or the context otherwise requires.”  (§ 5.)  Nei</w:t>
      </w:r>
      <w:r>
        <w:rPr>
          <w:rFonts w:eastAsia="Times New Roman"/>
          <w:szCs w:val="26"/>
        </w:rPr>
        <w:t>ther of the provisions at issue here explicitly restricts “person” to a natural person.  And the predecessors to sections 13009 and 13009.1 were routinely used to recover firefighting costs from corporations—both before and after the Legislature enacted se</w:t>
      </w:r>
      <w:r>
        <w:rPr>
          <w:rFonts w:eastAsia="Times New Roman"/>
          <w:szCs w:val="26"/>
        </w:rPr>
        <w:t xml:space="preserve">ction 19 in 1939.  (See, e.g., </w:t>
      </w:r>
      <w:r>
        <w:rPr>
          <w:rFonts w:eastAsia="Times New Roman"/>
          <w:i/>
          <w:szCs w:val="26"/>
        </w:rPr>
        <w:t>County of Ventura v. So. Cal.</w:t>
      </w:r>
      <w:r w:rsidRPr="00AC4763">
        <w:rPr>
          <w:rFonts w:eastAsia="Times New Roman"/>
          <w:i/>
          <w:szCs w:val="26"/>
        </w:rPr>
        <w:t xml:space="preserve"> Edison Co.</w:t>
      </w:r>
      <w:r>
        <w:rPr>
          <w:rFonts w:eastAsia="Times New Roman"/>
          <w:szCs w:val="26"/>
        </w:rPr>
        <w:t xml:space="preserve"> (1948) 85 Cal.App.2d 529 (</w:t>
      </w:r>
      <w:r w:rsidRPr="00AC4763">
        <w:rPr>
          <w:rFonts w:eastAsia="Times New Roman"/>
          <w:i/>
          <w:szCs w:val="26"/>
        </w:rPr>
        <w:t>Ventura County</w:t>
      </w:r>
      <w:r>
        <w:rPr>
          <w:rFonts w:eastAsia="Times New Roman"/>
          <w:szCs w:val="26"/>
        </w:rPr>
        <w:t xml:space="preserve">); </w:t>
      </w:r>
      <w:proofErr w:type="spellStart"/>
      <w:r w:rsidRPr="00C37888">
        <w:rPr>
          <w:rFonts w:eastAsia="Times New Roman"/>
          <w:i/>
          <w:szCs w:val="26"/>
        </w:rPr>
        <w:t>Haverstick</w:t>
      </w:r>
      <w:proofErr w:type="spellEnd"/>
      <w:r w:rsidRPr="00C37888">
        <w:rPr>
          <w:rFonts w:eastAsia="Times New Roman"/>
          <w:i/>
          <w:szCs w:val="26"/>
        </w:rPr>
        <w:t xml:space="preserve"> v. Southern Pac. Co. </w:t>
      </w:r>
      <w:r>
        <w:rPr>
          <w:rFonts w:eastAsia="Times New Roman"/>
          <w:szCs w:val="26"/>
        </w:rPr>
        <w:t>(1934) 1 Cal.App.2d 605 (</w:t>
      </w:r>
      <w:proofErr w:type="spellStart"/>
      <w:r w:rsidRPr="00503B3D">
        <w:rPr>
          <w:rFonts w:eastAsia="Times New Roman"/>
          <w:i/>
          <w:szCs w:val="26"/>
        </w:rPr>
        <w:t>Haverstick</w:t>
      </w:r>
      <w:proofErr w:type="spellEnd"/>
      <w:r>
        <w:rPr>
          <w:rFonts w:eastAsia="Times New Roman"/>
          <w:szCs w:val="26"/>
        </w:rPr>
        <w:t xml:space="preserve">); </w:t>
      </w:r>
      <w:r>
        <w:rPr>
          <w:rFonts w:eastAsia="Times New Roman"/>
          <w:i/>
          <w:szCs w:val="26"/>
        </w:rPr>
        <w:t>Kennedy v. Minarets &amp; Western</w:t>
      </w:r>
      <w:r w:rsidRPr="00C37888">
        <w:rPr>
          <w:rFonts w:eastAsia="Times New Roman"/>
          <w:i/>
          <w:szCs w:val="26"/>
        </w:rPr>
        <w:t xml:space="preserve"> Ry. </w:t>
      </w:r>
      <w:r w:rsidRPr="00C37888">
        <w:rPr>
          <w:rFonts w:eastAsia="Times New Roman"/>
          <w:i/>
          <w:szCs w:val="26"/>
        </w:rPr>
        <w:lastRenderedPageBreak/>
        <w:t>Co.</w:t>
      </w:r>
      <w:r>
        <w:rPr>
          <w:rFonts w:eastAsia="Times New Roman"/>
          <w:szCs w:val="26"/>
        </w:rPr>
        <w:t xml:space="preserve"> (1928) 90 </w:t>
      </w:r>
      <w:proofErr w:type="spellStart"/>
      <w:r>
        <w:rPr>
          <w:rFonts w:eastAsia="Times New Roman"/>
          <w:szCs w:val="26"/>
        </w:rPr>
        <w:t>Cal.App</w:t>
      </w:r>
      <w:proofErr w:type="spellEnd"/>
      <w:r>
        <w:rPr>
          <w:rFonts w:eastAsia="Times New Roman"/>
          <w:szCs w:val="26"/>
        </w:rPr>
        <w:t>. 563.)  Had the</w:t>
      </w:r>
      <w:r>
        <w:rPr>
          <w:rFonts w:eastAsia="Times New Roman"/>
          <w:szCs w:val="26"/>
        </w:rPr>
        <w:t xml:space="preserve"> Legislature wanted to alter this well-established understanding of “person,” it would have done so in the ensuing 80 years.  (Cf. </w:t>
      </w:r>
      <w:r w:rsidRPr="005971F4">
        <w:rPr>
          <w:rFonts w:eastAsia="Times New Roman"/>
          <w:i/>
          <w:szCs w:val="26"/>
        </w:rPr>
        <w:t>Foodmaker, Inc. v. Alcoholic Bev. etc. Appeals Bd.</w:t>
      </w:r>
      <w:r w:rsidRPr="005971F4">
        <w:rPr>
          <w:rFonts w:eastAsia="Times New Roman"/>
          <w:szCs w:val="26"/>
        </w:rPr>
        <w:t xml:space="preserve"> (1974) 10 Cal.3d 605, 609 [</w:t>
      </w:r>
      <w:r>
        <w:rPr>
          <w:rFonts w:eastAsia="Times New Roman"/>
          <w:szCs w:val="26"/>
        </w:rPr>
        <w:t>definition of “person” in Business and Professi</w:t>
      </w:r>
      <w:r>
        <w:rPr>
          <w:rFonts w:eastAsia="Times New Roman"/>
          <w:szCs w:val="26"/>
        </w:rPr>
        <w:t>ons Code section 23008 applied in Business and Professions Code section 24071 where Legislature did not specify “natural person”].)</w:t>
      </w:r>
    </w:p>
    <w:p w:rsidR="00BA7AF1" w:rsidRDefault="00196CB8" w:rsidP="00BA7AF1">
      <w:pPr>
        <w:tabs>
          <w:tab w:val="left" w:pos="1440"/>
          <w:tab w:val="left" w:pos="2880"/>
          <w:tab w:val="left" w:pos="4320"/>
          <w:tab w:val="left" w:pos="5760"/>
          <w:tab w:val="left" w:pos="7200"/>
        </w:tabs>
        <w:rPr>
          <w:rFonts w:eastAsia="Times New Roman"/>
          <w:szCs w:val="26"/>
        </w:rPr>
      </w:pPr>
      <w:r>
        <w:rPr>
          <w:rFonts w:eastAsia="Times New Roman"/>
          <w:szCs w:val="26"/>
        </w:rPr>
        <w:tab/>
        <w:t>The context of sections 13009 and 13009.1 similarly does not require restricting their applicability to natural persons.  “</w:t>
      </w:r>
      <w:r w:rsidRPr="00446685">
        <w:rPr>
          <w:rFonts w:eastAsia="Times New Roman"/>
          <w:szCs w:val="26"/>
        </w:rPr>
        <w:t>The clear intent of [</w:t>
      </w:r>
      <w:r>
        <w:rPr>
          <w:rFonts w:eastAsia="Times New Roman"/>
          <w:szCs w:val="26"/>
        </w:rPr>
        <w:t xml:space="preserve">these </w:t>
      </w:r>
      <w:r w:rsidRPr="00446685">
        <w:rPr>
          <w:rFonts w:eastAsia="Times New Roman"/>
          <w:szCs w:val="26"/>
        </w:rPr>
        <w:t>sections</w:t>
      </w:r>
      <w:r>
        <w:rPr>
          <w:rFonts w:eastAsia="Times New Roman"/>
          <w:szCs w:val="26"/>
        </w:rPr>
        <w:t>]</w:t>
      </w:r>
      <w:r w:rsidRPr="00446685">
        <w:rPr>
          <w:rFonts w:eastAsia="Times New Roman"/>
          <w:szCs w:val="26"/>
        </w:rPr>
        <w:t xml:space="preserve"> is to require reimbursement by the wrongdoer for expenses incurred in the suppression of fire.</w:t>
      </w:r>
      <w:r>
        <w:rPr>
          <w:rFonts w:eastAsia="Times New Roman"/>
          <w:szCs w:val="26"/>
        </w:rPr>
        <w:t>”  (</w:t>
      </w:r>
      <w:r>
        <w:rPr>
          <w:rFonts w:eastAsia="Times New Roman"/>
          <w:i/>
          <w:szCs w:val="26"/>
        </w:rPr>
        <w:t xml:space="preserve">Ventura </w:t>
      </w:r>
      <w:r w:rsidRPr="005667B4">
        <w:rPr>
          <w:rFonts w:eastAsia="Times New Roman"/>
          <w:i/>
          <w:szCs w:val="26"/>
        </w:rPr>
        <w:t>County</w:t>
      </w:r>
      <w:r>
        <w:rPr>
          <w:rFonts w:eastAsia="Times New Roman"/>
          <w:szCs w:val="26"/>
        </w:rPr>
        <w:t xml:space="preserve">, </w:t>
      </w:r>
      <w:r w:rsidRPr="005667B4">
        <w:rPr>
          <w:rFonts w:eastAsia="Times New Roman"/>
          <w:i/>
          <w:szCs w:val="26"/>
        </w:rPr>
        <w:t>supra</w:t>
      </w:r>
      <w:r>
        <w:rPr>
          <w:rFonts w:eastAsia="Times New Roman"/>
          <w:szCs w:val="26"/>
        </w:rPr>
        <w:t xml:space="preserve">, 85 </w:t>
      </w:r>
      <w:r w:rsidRPr="00826ED5">
        <w:rPr>
          <w:rFonts w:eastAsia="Times New Roman"/>
          <w:szCs w:val="26"/>
        </w:rPr>
        <w:t>Cal</w:t>
      </w:r>
      <w:r w:rsidRPr="00794565">
        <w:rPr>
          <w:rFonts w:eastAsia="Times New Roman"/>
          <w:szCs w:val="26"/>
        </w:rPr>
        <w:t xml:space="preserve">.App.2d </w:t>
      </w:r>
      <w:r>
        <w:rPr>
          <w:rFonts w:eastAsia="Times New Roman"/>
          <w:szCs w:val="26"/>
        </w:rPr>
        <w:t>at p.</w:t>
      </w:r>
      <w:r w:rsidRPr="00794565">
        <w:rPr>
          <w:rFonts w:eastAsia="Times New Roman"/>
          <w:szCs w:val="26"/>
        </w:rPr>
        <w:t xml:space="preserve"> 533</w:t>
      </w:r>
      <w:r>
        <w:rPr>
          <w:rFonts w:eastAsia="Times New Roman"/>
          <w:szCs w:val="26"/>
        </w:rPr>
        <w:t>.)</w:t>
      </w:r>
      <w:r w:rsidRPr="00794565">
        <w:rPr>
          <w:rFonts w:eastAsia="Times New Roman"/>
          <w:szCs w:val="26"/>
        </w:rPr>
        <w:t xml:space="preserve"> </w:t>
      </w:r>
      <w:r>
        <w:rPr>
          <w:rFonts w:eastAsia="Times New Roman"/>
          <w:szCs w:val="26"/>
        </w:rPr>
        <w:t xml:space="preserve"> It would be contrary to the Legislature’s intent if we were to conclude</w:t>
      </w:r>
      <w:r>
        <w:rPr>
          <w:rFonts w:eastAsia="Times New Roman"/>
          <w:szCs w:val="26"/>
        </w:rPr>
        <w:t xml:space="preserve"> that corporations are not among the wrongdoers required to pay for fire suppression and investigation costs.  They are.</w:t>
      </w:r>
    </w:p>
    <w:p w:rsidR="00BA7AF1" w:rsidRPr="00BE386E" w:rsidRDefault="00196CB8" w:rsidP="00BA7AF1">
      <w:pPr>
        <w:tabs>
          <w:tab w:val="left" w:pos="1440"/>
          <w:tab w:val="left" w:pos="2880"/>
          <w:tab w:val="left" w:pos="4320"/>
          <w:tab w:val="left" w:pos="5760"/>
          <w:tab w:val="left" w:pos="7200"/>
        </w:tabs>
        <w:jc w:val="center"/>
        <w:rPr>
          <w:rFonts w:eastAsia="Times New Roman"/>
          <w:i/>
          <w:szCs w:val="26"/>
        </w:rPr>
      </w:pPr>
      <w:r w:rsidRPr="00BE386E">
        <w:rPr>
          <w:rFonts w:eastAsia="Times New Roman"/>
          <w:i/>
          <w:szCs w:val="26"/>
        </w:rPr>
        <w:t>Legislative history of sections 13009 and 13009.1</w:t>
      </w:r>
    </w:p>
    <w:p w:rsidR="00BA7AF1" w:rsidRDefault="00196CB8" w:rsidP="00BA7AF1">
      <w:pPr>
        <w:tabs>
          <w:tab w:val="left" w:pos="1440"/>
          <w:tab w:val="left" w:pos="2880"/>
          <w:tab w:val="left" w:pos="4320"/>
          <w:tab w:val="left" w:pos="5760"/>
          <w:tab w:val="left" w:pos="7200"/>
        </w:tabs>
        <w:rPr>
          <w:rFonts w:eastAsia="Times New Roman"/>
          <w:szCs w:val="26"/>
        </w:rPr>
      </w:pPr>
      <w:r>
        <w:rPr>
          <w:rFonts w:eastAsia="Times New Roman"/>
          <w:szCs w:val="26"/>
        </w:rPr>
        <w:tab/>
        <w:t xml:space="preserve">PCCC next argues that, even if sections 13009 and 13009.1 do apply to corporations, </w:t>
      </w:r>
      <w:r>
        <w:rPr>
          <w:rFonts w:eastAsia="Times New Roman"/>
          <w:szCs w:val="26"/>
        </w:rPr>
        <w:t xml:space="preserve">the legislative history shows that they do not permit vicarious liability.  </w:t>
      </w:r>
      <w:r w:rsidRPr="00ED7946">
        <w:rPr>
          <w:rFonts w:eastAsia="Times New Roman"/>
          <w:szCs w:val="26"/>
        </w:rPr>
        <w:t xml:space="preserve">The </w:t>
      </w:r>
      <w:r w:rsidRPr="00ED7946">
        <w:rPr>
          <w:rFonts w:eastAsia="Times New Roman"/>
          <w:i/>
          <w:szCs w:val="26"/>
        </w:rPr>
        <w:t>Howell</w:t>
      </w:r>
      <w:r w:rsidRPr="00ED7946">
        <w:rPr>
          <w:rFonts w:eastAsia="Times New Roman"/>
          <w:szCs w:val="26"/>
        </w:rPr>
        <w:t xml:space="preserve"> majority </w:t>
      </w:r>
      <w:r>
        <w:rPr>
          <w:rFonts w:eastAsia="Times New Roman"/>
          <w:szCs w:val="26"/>
        </w:rPr>
        <w:t>agreed with this argument.  (</w:t>
      </w:r>
      <w:r w:rsidRPr="00ED7946">
        <w:rPr>
          <w:rFonts w:eastAsia="Times New Roman"/>
          <w:i/>
          <w:szCs w:val="26"/>
        </w:rPr>
        <w:t>Howell</w:t>
      </w:r>
      <w:r w:rsidRPr="00ED7946">
        <w:rPr>
          <w:rFonts w:eastAsia="Times New Roman"/>
          <w:szCs w:val="26"/>
        </w:rPr>
        <w:t xml:space="preserve">, </w:t>
      </w:r>
      <w:r w:rsidRPr="00ED7946">
        <w:rPr>
          <w:rFonts w:eastAsia="Times New Roman"/>
          <w:i/>
          <w:szCs w:val="26"/>
        </w:rPr>
        <w:t>supra</w:t>
      </w:r>
      <w:r w:rsidRPr="00ED7946">
        <w:rPr>
          <w:rFonts w:eastAsia="Times New Roman"/>
          <w:szCs w:val="26"/>
        </w:rPr>
        <w:t>, 18 Cal.App.5th at</w:t>
      </w:r>
      <w:r>
        <w:rPr>
          <w:rFonts w:eastAsia="Times New Roman"/>
          <w:szCs w:val="26"/>
        </w:rPr>
        <w:t xml:space="preserve"> pp. 175-182.)  It concluded that sections 13009 and 13009.1 do not “clearly delineate the impact o</w:t>
      </w:r>
      <w:r>
        <w:rPr>
          <w:rFonts w:eastAsia="Times New Roman"/>
          <w:szCs w:val="26"/>
        </w:rPr>
        <w:t>f the inclusion of the term ‘negligently,’” and thus examined the statutes’ legislative history to determine whether the Legislature intended that they provide for vicarious liability.  (</w:t>
      </w:r>
      <w:r w:rsidRPr="00ED7946">
        <w:rPr>
          <w:rFonts w:eastAsia="Times New Roman"/>
          <w:i/>
          <w:szCs w:val="26"/>
        </w:rPr>
        <w:t>Id</w:t>
      </w:r>
      <w:r w:rsidRPr="00553C3D">
        <w:rPr>
          <w:rFonts w:eastAsia="Times New Roman"/>
          <w:szCs w:val="26"/>
        </w:rPr>
        <w:t xml:space="preserve">. </w:t>
      </w:r>
      <w:r>
        <w:rPr>
          <w:rFonts w:eastAsia="Times New Roman"/>
          <w:szCs w:val="26"/>
        </w:rPr>
        <w:t>at p. 177.)</w:t>
      </w:r>
    </w:p>
    <w:p w:rsidR="00BA7AF1" w:rsidRDefault="00196CB8" w:rsidP="00BA7AF1">
      <w:pPr>
        <w:tabs>
          <w:tab w:val="left" w:pos="1440"/>
          <w:tab w:val="left" w:pos="2880"/>
          <w:tab w:val="left" w:pos="4320"/>
          <w:tab w:val="left" w:pos="5760"/>
          <w:tab w:val="left" w:pos="7200"/>
        </w:tabs>
        <w:rPr>
          <w:rFonts w:eastAsia="Times New Roman"/>
          <w:szCs w:val="26"/>
        </w:rPr>
      </w:pPr>
      <w:r>
        <w:rPr>
          <w:rFonts w:eastAsia="Times New Roman"/>
          <w:szCs w:val="26"/>
        </w:rPr>
        <w:tab/>
        <w:t xml:space="preserve">We do not believe the use of the term “negligently” </w:t>
      </w:r>
      <w:r>
        <w:rPr>
          <w:rFonts w:eastAsia="Times New Roman"/>
          <w:szCs w:val="26"/>
        </w:rPr>
        <w:t>renders sections 13009 and 13009.1 unclear.  Whether the statutes permit corporations to be vicariously liable for the acts of their agents and employees hinges on the definition of “person,” not “negligently.”  And “person” is clearly defined in section 1</w:t>
      </w:r>
      <w:r>
        <w:rPr>
          <w:rFonts w:eastAsia="Times New Roman"/>
          <w:szCs w:val="26"/>
        </w:rPr>
        <w:t xml:space="preserve">9.  </w:t>
      </w:r>
      <w:r>
        <w:rPr>
          <w:rFonts w:eastAsia="Times New Roman"/>
          <w:szCs w:val="26"/>
        </w:rPr>
        <w:lastRenderedPageBreak/>
        <w:t>In any event, an examination of the statutes’ legislative history confirms that the Legislature intended that they provide for vicarious liability.</w:t>
      </w:r>
    </w:p>
    <w:p w:rsidR="00BA7AF1" w:rsidRDefault="00196CB8" w:rsidP="00BA7AF1">
      <w:pPr>
        <w:tabs>
          <w:tab w:val="left" w:pos="1440"/>
          <w:tab w:val="left" w:pos="2880"/>
          <w:tab w:val="left" w:pos="4320"/>
          <w:tab w:val="left" w:pos="5760"/>
          <w:tab w:val="left" w:pos="7200"/>
        </w:tabs>
        <w:rPr>
          <w:rFonts w:eastAsia="Times New Roman"/>
          <w:szCs w:val="26"/>
        </w:rPr>
      </w:pPr>
      <w:r>
        <w:rPr>
          <w:rFonts w:eastAsia="Times New Roman"/>
          <w:szCs w:val="26"/>
        </w:rPr>
        <w:tab/>
        <w:t xml:space="preserve">In 1931, the Legislature enacted the Fire Liability Law.  Section 1 of the law provided that </w:t>
      </w:r>
      <w:r w:rsidRPr="00B217DE">
        <w:rPr>
          <w:rFonts w:eastAsia="Times New Roman"/>
          <w:szCs w:val="26"/>
        </w:rPr>
        <w:t>“</w:t>
      </w:r>
      <w:r>
        <w:rPr>
          <w:rFonts w:eastAsia="Times New Roman"/>
          <w:szCs w:val="26"/>
        </w:rPr>
        <w:t>‘</w:t>
      </w:r>
      <w:r w:rsidRPr="00B217DE">
        <w:rPr>
          <w:rFonts w:eastAsia="Times New Roman"/>
          <w:szCs w:val="26"/>
        </w:rPr>
        <w:t>any pers</w:t>
      </w:r>
      <w:r w:rsidRPr="00B217DE">
        <w:rPr>
          <w:rFonts w:eastAsia="Times New Roman"/>
          <w:szCs w:val="26"/>
        </w:rPr>
        <w:t xml:space="preserve">on who: </w:t>
      </w:r>
      <w:r>
        <w:rPr>
          <w:rFonts w:eastAsia="Times New Roman"/>
          <w:szCs w:val="26"/>
        </w:rPr>
        <w:t xml:space="preserve"> (1) </w:t>
      </w:r>
      <w:r w:rsidRPr="007D164A">
        <w:rPr>
          <w:rFonts w:eastAsia="Times New Roman"/>
          <w:iCs/>
          <w:szCs w:val="26"/>
        </w:rPr>
        <w:t>personally or through another</w:t>
      </w:r>
      <w:r w:rsidRPr="00B217DE">
        <w:rPr>
          <w:rFonts w:eastAsia="Times New Roman"/>
          <w:szCs w:val="26"/>
        </w:rPr>
        <w:t>, and (2)</w:t>
      </w:r>
      <w:r>
        <w:rPr>
          <w:rFonts w:eastAsia="Times New Roman"/>
          <w:szCs w:val="26"/>
        </w:rPr>
        <w:t xml:space="preserve"> </w:t>
      </w:r>
      <w:proofErr w:type="spellStart"/>
      <w:r>
        <w:rPr>
          <w:rFonts w:eastAsia="Times New Roman"/>
          <w:szCs w:val="26"/>
        </w:rPr>
        <w:t>w</w:t>
      </w:r>
      <w:r w:rsidRPr="00B217DE">
        <w:rPr>
          <w:rFonts w:eastAsia="Times New Roman"/>
          <w:szCs w:val="26"/>
        </w:rPr>
        <w:t>ilfully</w:t>
      </w:r>
      <w:proofErr w:type="spellEnd"/>
      <w:r w:rsidRPr="00B217DE">
        <w:rPr>
          <w:rFonts w:eastAsia="Times New Roman"/>
          <w:szCs w:val="26"/>
        </w:rPr>
        <w:t>, negligently, or in violation of law, commit</w:t>
      </w:r>
      <w:r>
        <w:rPr>
          <w:rFonts w:eastAsia="Times New Roman"/>
          <w:szCs w:val="26"/>
        </w:rPr>
        <w:t>[ted]</w:t>
      </w:r>
      <w:r w:rsidRPr="00B217DE">
        <w:rPr>
          <w:rFonts w:eastAsia="Times New Roman"/>
          <w:szCs w:val="26"/>
        </w:rPr>
        <w:t xml:space="preserve"> any of the following acts: </w:t>
      </w:r>
      <w:r>
        <w:rPr>
          <w:rFonts w:eastAsia="Times New Roman"/>
          <w:szCs w:val="26"/>
        </w:rPr>
        <w:t xml:space="preserve"> (1) set[] fire to, (2) allow[ed] fire to be set to, (3) a</w:t>
      </w:r>
      <w:r w:rsidRPr="00B217DE">
        <w:rPr>
          <w:rFonts w:eastAsia="Times New Roman"/>
          <w:szCs w:val="26"/>
        </w:rPr>
        <w:t>llow</w:t>
      </w:r>
      <w:r>
        <w:rPr>
          <w:rFonts w:eastAsia="Times New Roman"/>
          <w:szCs w:val="26"/>
        </w:rPr>
        <w:t>[ed]</w:t>
      </w:r>
      <w:r w:rsidRPr="00B217DE">
        <w:rPr>
          <w:rFonts w:eastAsia="Times New Roman"/>
          <w:szCs w:val="26"/>
        </w:rPr>
        <w:t xml:space="preserve"> a fire kindled or attended by </w:t>
      </w:r>
      <w:r>
        <w:rPr>
          <w:rFonts w:eastAsia="Times New Roman"/>
          <w:szCs w:val="26"/>
        </w:rPr>
        <w:t>[them]</w:t>
      </w:r>
      <w:r w:rsidRPr="00B217DE">
        <w:rPr>
          <w:rFonts w:eastAsia="Times New Roman"/>
          <w:szCs w:val="26"/>
        </w:rPr>
        <w:t xml:space="preserve"> to escape to t</w:t>
      </w:r>
      <w:r w:rsidRPr="00B217DE">
        <w:rPr>
          <w:rFonts w:eastAsia="Times New Roman"/>
          <w:szCs w:val="26"/>
        </w:rPr>
        <w:t>he property, whether privately or public owned, of another</w:t>
      </w:r>
      <w:r>
        <w:rPr>
          <w:rFonts w:eastAsia="Times New Roman"/>
          <w:szCs w:val="26"/>
        </w:rPr>
        <w:t>’” was liable for the damage that ensued.  (</w:t>
      </w:r>
      <w:r w:rsidRPr="00ED7946">
        <w:rPr>
          <w:rFonts w:eastAsia="Times New Roman"/>
          <w:i/>
          <w:szCs w:val="26"/>
        </w:rPr>
        <w:t>Howell</w:t>
      </w:r>
      <w:r w:rsidRPr="00ED7946">
        <w:rPr>
          <w:rFonts w:eastAsia="Times New Roman"/>
          <w:szCs w:val="26"/>
        </w:rPr>
        <w:t xml:space="preserve">, </w:t>
      </w:r>
      <w:r w:rsidRPr="00ED7946">
        <w:rPr>
          <w:rFonts w:eastAsia="Times New Roman"/>
          <w:i/>
          <w:szCs w:val="26"/>
        </w:rPr>
        <w:t>supra</w:t>
      </w:r>
      <w:r w:rsidRPr="00ED7946">
        <w:rPr>
          <w:rFonts w:eastAsia="Times New Roman"/>
          <w:szCs w:val="26"/>
        </w:rPr>
        <w:t xml:space="preserve">, 18 Cal.App.5th </w:t>
      </w:r>
      <w:r>
        <w:rPr>
          <w:rFonts w:eastAsia="Times New Roman"/>
          <w:szCs w:val="26"/>
        </w:rPr>
        <w:t>at p. 177, italics and alterations omitted.)  Section 2 provided that “‘</w:t>
      </w:r>
      <w:r w:rsidRPr="00B217DE">
        <w:rPr>
          <w:rFonts w:eastAsia="Times New Roman"/>
          <w:szCs w:val="26"/>
        </w:rPr>
        <w:t>any person</w:t>
      </w:r>
      <w:r>
        <w:rPr>
          <w:rFonts w:eastAsia="Times New Roman"/>
          <w:szCs w:val="26"/>
        </w:rPr>
        <w:t>’</w:t>
      </w:r>
      <w:r w:rsidRPr="00B217DE">
        <w:rPr>
          <w:rFonts w:eastAsia="Times New Roman"/>
          <w:szCs w:val="26"/>
        </w:rPr>
        <w:t xml:space="preserve"> who allowed a fire burning on </w:t>
      </w:r>
      <w:r>
        <w:rPr>
          <w:rFonts w:eastAsia="Times New Roman"/>
          <w:szCs w:val="26"/>
        </w:rPr>
        <w:t>[their]</w:t>
      </w:r>
      <w:r w:rsidRPr="00B217DE">
        <w:rPr>
          <w:rFonts w:eastAsia="Times New Roman"/>
          <w:szCs w:val="26"/>
        </w:rPr>
        <w:t xml:space="preserve"> pr</w:t>
      </w:r>
      <w:r w:rsidRPr="00B217DE">
        <w:rPr>
          <w:rFonts w:eastAsia="Times New Roman"/>
          <w:szCs w:val="26"/>
        </w:rPr>
        <w:t>operty t</w:t>
      </w:r>
      <w:r>
        <w:rPr>
          <w:rFonts w:eastAsia="Times New Roman"/>
          <w:szCs w:val="26"/>
        </w:rPr>
        <w:t>o escape to another’s property ‘</w:t>
      </w:r>
      <w:r w:rsidRPr="00B217DE">
        <w:rPr>
          <w:rFonts w:eastAsia="Times New Roman"/>
          <w:szCs w:val="26"/>
        </w:rPr>
        <w:t xml:space="preserve">without exercising due </w:t>
      </w:r>
      <w:r>
        <w:rPr>
          <w:rFonts w:eastAsia="Times New Roman"/>
          <w:szCs w:val="26"/>
        </w:rPr>
        <w:t>diligence to control such fire’” was liable for the resulting damage.  (</w:t>
      </w:r>
      <w:r w:rsidRPr="007D164A">
        <w:rPr>
          <w:rFonts w:eastAsia="Times New Roman"/>
          <w:i/>
          <w:szCs w:val="26"/>
        </w:rPr>
        <w:t>I</w:t>
      </w:r>
      <w:r>
        <w:rPr>
          <w:rFonts w:eastAsia="Times New Roman"/>
          <w:i/>
          <w:szCs w:val="26"/>
        </w:rPr>
        <w:t>bi</w:t>
      </w:r>
      <w:r w:rsidRPr="007D164A">
        <w:rPr>
          <w:rFonts w:eastAsia="Times New Roman"/>
          <w:i/>
          <w:szCs w:val="26"/>
        </w:rPr>
        <w:t>d</w:t>
      </w:r>
      <w:r w:rsidRPr="00553C3D">
        <w:rPr>
          <w:rFonts w:eastAsia="Times New Roman"/>
          <w:szCs w:val="26"/>
        </w:rPr>
        <w:t>.</w:t>
      </w:r>
      <w:r>
        <w:rPr>
          <w:rFonts w:eastAsia="Times New Roman"/>
          <w:szCs w:val="26"/>
        </w:rPr>
        <w:t xml:space="preserve">, italics and alterations omitted.)  </w:t>
      </w:r>
      <w:r w:rsidRPr="0016550A">
        <w:rPr>
          <w:rFonts w:eastAsia="Times New Roman"/>
          <w:szCs w:val="26"/>
        </w:rPr>
        <w:t>Section 3</w:t>
      </w:r>
      <w:r>
        <w:rPr>
          <w:rFonts w:eastAsia="Times New Roman"/>
          <w:szCs w:val="26"/>
        </w:rPr>
        <w:t xml:space="preserve"> “</w:t>
      </w:r>
      <w:r w:rsidRPr="0016550A">
        <w:rPr>
          <w:rFonts w:eastAsia="Times New Roman"/>
          <w:szCs w:val="26"/>
        </w:rPr>
        <w:t>permitted recovery of the e</w:t>
      </w:r>
      <w:r>
        <w:rPr>
          <w:rFonts w:eastAsia="Times New Roman"/>
          <w:szCs w:val="26"/>
        </w:rPr>
        <w:t>xpenses of fighting such fires ‘</w:t>
      </w:r>
      <w:r w:rsidRPr="0016550A">
        <w:rPr>
          <w:rFonts w:eastAsia="Times New Roman"/>
          <w:szCs w:val="26"/>
        </w:rPr>
        <w:t>by the pa</w:t>
      </w:r>
      <w:r w:rsidRPr="0016550A">
        <w:rPr>
          <w:rFonts w:eastAsia="Times New Roman"/>
          <w:szCs w:val="26"/>
        </w:rPr>
        <w:t xml:space="preserve">rty, or by the federal, state, county, or private </w:t>
      </w:r>
      <w:r>
        <w:rPr>
          <w:rFonts w:eastAsia="Times New Roman"/>
          <w:szCs w:val="26"/>
        </w:rPr>
        <w:t>agency incurring such expenses.’  [Citation.]”  (</w:t>
      </w:r>
      <w:r w:rsidRPr="0016550A">
        <w:rPr>
          <w:rFonts w:eastAsia="Times New Roman"/>
          <w:i/>
          <w:szCs w:val="26"/>
        </w:rPr>
        <w:t>Ibid</w:t>
      </w:r>
      <w:r w:rsidRPr="00553C3D">
        <w:rPr>
          <w:rFonts w:eastAsia="Times New Roman"/>
          <w:szCs w:val="26"/>
        </w:rPr>
        <w:t>.</w:t>
      </w:r>
      <w:r>
        <w:rPr>
          <w:rFonts w:eastAsia="Times New Roman"/>
          <w:szCs w:val="26"/>
        </w:rPr>
        <w:t>)</w:t>
      </w:r>
    </w:p>
    <w:p w:rsidR="00BA7AF1" w:rsidRDefault="00196CB8" w:rsidP="00BA7AF1">
      <w:pPr>
        <w:tabs>
          <w:tab w:val="left" w:pos="1440"/>
          <w:tab w:val="left" w:pos="2880"/>
          <w:tab w:val="left" w:pos="4320"/>
          <w:tab w:val="left" w:pos="5760"/>
          <w:tab w:val="left" w:pos="7200"/>
        </w:tabs>
        <w:rPr>
          <w:rFonts w:eastAsia="Times New Roman"/>
          <w:szCs w:val="26"/>
        </w:rPr>
      </w:pPr>
      <w:r>
        <w:rPr>
          <w:rFonts w:eastAsia="Times New Roman"/>
          <w:szCs w:val="26"/>
        </w:rPr>
        <w:tab/>
      </w:r>
      <w:r w:rsidRPr="009D6327">
        <w:rPr>
          <w:rFonts w:eastAsia="Times New Roman"/>
          <w:szCs w:val="26"/>
        </w:rPr>
        <w:t>Twenty</w:t>
      </w:r>
      <w:r>
        <w:rPr>
          <w:rFonts w:eastAsia="Times New Roman"/>
          <w:szCs w:val="26"/>
        </w:rPr>
        <w:t>-</w:t>
      </w:r>
      <w:r w:rsidRPr="009D6327">
        <w:rPr>
          <w:rFonts w:eastAsia="Times New Roman"/>
          <w:szCs w:val="26"/>
        </w:rPr>
        <w:t>two years later, the Legislature codified the Fire Liability Law in the Health and Safety Code.  (</w:t>
      </w:r>
      <w:r w:rsidRPr="009D6327">
        <w:rPr>
          <w:rFonts w:eastAsia="Times New Roman"/>
          <w:i/>
          <w:szCs w:val="26"/>
        </w:rPr>
        <w:t>Howell</w:t>
      </w:r>
      <w:r w:rsidRPr="009D6327">
        <w:rPr>
          <w:rFonts w:eastAsia="Times New Roman"/>
          <w:szCs w:val="26"/>
        </w:rPr>
        <w:t xml:space="preserve">, </w:t>
      </w:r>
      <w:r w:rsidRPr="009D6327">
        <w:rPr>
          <w:rFonts w:eastAsia="Times New Roman"/>
          <w:i/>
          <w:szCs w:val="26"/>
        </w:rPr>
        <w:t>supra</w:t>
      </w:r>
      <w:r w:rsidRPr="009D6327">
        <w:rPr>
          <w:rFonts w:eastAsia="Times New Roman"/>
          <w:szCs w:val="26"/>
        </w:rPr>
        <w:t>, 18 Cal.App.5th at p. 177.)</w:t>
      </w:r>
      <w:r>
        <w:rPr>
          <w:rFonts w:eastAsia="Times New Roman"/>
          <w:szCs w:val="26"/>
        </w:rPr>
        <w:t xml:space="preserve">  </w:t>
      </w:r>
      <w:r w:rsidRPr="009D6327">
        <w:rPr>
          <w:rFonts w:eastAsia="Times New Roman"/>
          <w:szCs w:val="26"/>
        </w:rPr>
        <w:t>S</w:t>
      </w:r>
      <w:r w:rsidRPr="009D6327">
        <w:rPr>
          <w:rFonts w:eastAsia="Times New Roman"/>
          <w:szCs w:val="26"/>
        </w:rPr>
        <w:t>ection 1</w:t>
      </w:r>
      <w:r>
        <w:rPr>
          <w:rFonts w:eastAsia="Times New Roman"/>
          <w:szCs w:val="26"/>
        </w:rPr>
        <w:t xml:space="preserve"> of the Fire Liability Law was codified at section 1</w:t>
      </w:r>
      <w:r w:rsidRPr="009D6327">
        <w:rPr>
          <w:rFonts w:eastAsia="Times New Roman"/>
          <w:szCs w:val="26"/>
        </w:rPr>
        <w:t>3007</w:t>
      </w:r>
      <w:r>
        <w:rPr>
          <w:rFonts w:eastAsia="Times New Roman"/>
          <w:szCs w:val="26"/>
        </w:rPr>
        <w:t>.  (</w:t>
      </w:r>
      <w:r w:rsidRPr="009D6327">
        <w:rPr>
          <w:rFonts w:eastAsia="Times New Roman"/>
          <w:i/>
          <w:szCs w:val="26"/>
        </w:rPr>
        <w:t>Ibid</w:t>
      </w:r>
      <w:r w:rsidRPr="00553C3D">
        <w:rPr>
          <w:rFonts w:eastAsia="Times New Roman"/>
          <w:szCs w:val="26"/>
        </w:rPr>
        <w:t>.</w:t>
      </w:r>
      <w:r>
        <w:rPr>
          <w:rFonts w:eastAsia="Times New Roman"/>
          <w:szCs w:val="26"/>
        </w:rPr>
        <w:t xml:space="preserve">)  As codified, section 13007 permitted a property owner to </w:t>
      </w:r>
      <w:r w:rsidRPr="009D6327">
        <w:rPr>
          <w:rFonts w:eastAsia="Times New Roman"/>
          <w:szCs w:val="26"/>
        </w:rPr>
        <w:t>recover</w:t>
      </w:r>
      <w:r>
        <w:rPr>
          <w:rFonts w:eastAsia="Times New Roman"/>
          <w:szCs w:val="26"/>
        </w:rPr>
        <w:t xml:space="preserve"> </w:t>
      </w:r>
      <w:r w:rsidRPr="009D6327">
        <w:rPr>
          <w:rFonts w:eastAsia="Times New Roman"/>
          <w:szCs w:val="26"/>
        </w:rPr>
        <w:t xml:space="preserve">from “‘any person who </w:t>
      </w:r>
      <w:r w:rsidRPr="009D6327">
        <w:rPr>
          <w:rFonts w:eastAsia="Times New Roman"/>
          <w:iCs/>
          <w:szCs w:val="26"/>
        </w:rPr>
        <w:t>personally or through another</w:t>
      </w:r>
      <w:r w:rsidRPr="009D6327">
        <w:rPr>
          <w:rFonts w:eastAsia="Times New Roman"/>
          <w:szCs w:val="26"/>
        </w:rPr>
        <w:t xml:space="preserve"> </w:t>
      </w:r>
      <w:proofErr w:type="spellStart"/>
      <w:r w:rsidRPr="009D6327">
        <w:rPr>
          <w:rFonts w:eastAsia="Times New Roman"/>
          <w:szCs w:val="26"/>
        </w:rPr>
        <w:t>wilfully</w:t>
      </w:r>
      <w:proofErr w:type="spellEnd"/>
      <w:r w:rsidRPr="009D6327">
        <w:rPr>
          <w:rFonts w:eastAsia="Times New Roman"/>
          <w:szCs w:val="26"/>
        </w:rPr>
        <w:t>, negligently, or in violation of law set[] fire to, al</w:t>
      </w:r>
      <w:r w:rsidRPr="009D6327">
        <w:rPr>
          <w:rFonts w:eastAsia="Times New Roman"/>
          <w:szCs w:val="26"/>
        </w:rPr>
        <w:t xml:space="preserve">low[ed] fire to be set to, or allow[ed] a fire kindled or attended by [them] to escape to the </w:t>
      </w:r>
      <w:r>
        <w:rPr>
          <w:rFonts w:eastAsia="Times New Roman"/>
          <w:szCs w:val="26"/>
        </w:rPr>
        <w:t xml:space="preserve">[owner’s] </w:t>
      </w:r>
      <w:r w:rsidRPr="009D6327">
        <w:rPr>
          <w:rFonts w:eastAsia="Times New Roman"/>
          <w:szCs w:val="26"/>
        </w:rPr>
        <w:t>property.’”  (</w:t>
      </w:r>
      <w:r w:rsidRPr="009D6327">
        <w:rPr>
          <w:rFonts w:eastAsia="Times New Roman"/>
          <w:i/>
          <w:szCs w:val="26"/>
        </w:rPr>
        <w:t>Ibid</w:t>
      </w:r>
      <w:r w:rsidRPr="00553C3D">
        <w:rPr>
          <w:rFonts w:eastAsia="Times New Roman"/>
          <w:szCs w:val="26"/>
        </w:rPr>
        <w:t>.</w:t>
      </w:r>
      <w:r w:rsidRPr="009D6327">
        <w:rPr>
          <w:rFonts w:eastAsia="Times New Roman"/>
          <w:szCs w:val="26"/>
        </w:rPr>
        <w:t xml:space="preserve">, </w:t>
      </w:r>
      <w:r>
        <w:rPr>
          <w:rFonts w:eastAsia="Times New Roman"/>
          <w:szCs w:val="26"/>
        </w:rPr>
        <w:t xml:space="preserve">italics and </w:t>
      </w:r>
      <w:r w:rsidRPr="009D6327">
        <w:rPr>
          <w:rFonts w:eastAsia="Times New Roman"/>
          <w:szCs w:val="26"/>
        </w:rPr>
        <w:t>alterations omitted.)</w:t>
      </w:r>
      <w:r>
        <w:rPr>
          <w:rFonts w:eastAsia="Times New Roman"/>
          <w:szCs w:val="26"/>
        </w:rPr>
        <w:t xml:space="preserve">  </w:t>
      </w:r>
      <w:r w:rsidRPr="009D6327">
        <w:rPr>
          <w:rFonts w:eastAsia="Times New Roman"/>
          <w:szCs w:val="26"/>
        </w:rPr>
        <w:t xml:space="preserve">Section </w:t>
      </w:r>
      <w:r>
        <w:rPr>
          <w:rFonts w:eastAsia="Times New Roman"/>
          <w:szCs w:val="26"/>
        </w:rPr>
        <w:t xml:space="preserve">2 was codified at section </w:t>
      </w:r>
      <w:r w:rsidRPr="009D6327">
        <w:rPr>
          <w:rFonts w:eastAsia="Times New Roman"/>
          <w:szCs w:val="26"/>
        </w:rPr>
        <w:t>13008</w:t>
      </w:r>
      <w:r>
        <w:rPr>
          <w:rFonts w:eastAsia="Times New Roman"/>
          <w:szCs w:val="26"/>
        </w:rPr>
        <w:t>.  (</w:t>
      </w:r>
      <w:r w:rsidRPr="00F72F26">
        <w:rPr>
          <w:rFonts w:eastAsia="Times New Roman"/>
          <w:i/>
          <w:szCs w:val="26"/>
        </w:rPr>
        <w:t>Ibid</w:t>
      </w:r>
      <w:r w:rsidRPr="00553C3D">
        <w:rPr>
          <w:rFonts w:eastAsia="Times New Roman"/>
          <w:szCs w:val="26"/>
        </w:rPr>
        <w:t>.</w:t>
      </w:r>
      <w:r>
        <w:rPr>
          <w:rFonts w:eastAsia="Times New Roman"/>
          <w:szCs w:val="26"/>
        </w:rPr>
        <w:t>)  Section 13008 made liable “</w:t>
      </w:r>
      <w:r w:rsidRPr="009D6327">
        <w:rPr>
          <w:rFonts w:eastAsia="Times New Roman"/>
          <w:szCs w:val="26"/>
        </w:rPr>
        <w:t>‘any person’ who a</w:t>
      </w:r>
      <w:r w:rsidRPr="009D6327">
        <w:rPr>
          <w:rFonts w:eastAsia="Times New Roman"/>
          <w:szCs w:val="26"/>
        </w:rPr>
        <w:t xml:space="preserve">llowed a fire burning on [their] property to escape to another’s property ‘without exercising due diligence to control </w:t>
      </w:r>
      <w:r w:rsidRPr="009D6327">
        <w:rPr>
          <w:rFonts w:eastAsia="Times New Roman"/>
          <w:szCs w:val="26"/>
        </w:rPr>
        <w:lastRenderedPageBreak/>
        <w:t>such fire.’  [Citation.]”  (</w:t>
      </w:r>
      <w:r>
        <w:rPr>
          <w:rFonts w:eastAsia="Times New Roman"/>
          <w:i/>
          <w:szCs w:val="26"/>
        </w:rPr>
        <w:t>I</w:t>
      </w:r>
      <w:r w:rsidRPr="009D6327">
        <w:rPr>
          <w:rFonts w:eastAsia="Times New Roman"/>
          <w:i/>
          <w:szCs w:val="26"/>
        </w:rPr>
        <w:t>d</w:t>
      </w:r>
      <w:r w:rsidRPr="00553C3D">
        <w:rPr>
          <w:rFonts w:eastAsia="Times New Roman"/>
          <w:szCs w:val="26"/>
        </w:rPr>
        <w:t>.</w:t>
      </w:r>
      <w:r>
        <w:rPr>
          <w:rFonts w:eastAsia="Times New Roman"/>
          <w:szCs w:val="26"/>
        </w:rPr>
        <w:t xml:space="preserve"> at p. 178</w:t>
      </w:r>
      <w:r w:rsidRPr="009D6327">
        <w:rPr>
          <w:rFonts w:eastAsia="Times New Roman"/>
          <w:szCs w:val="26"/>
        </w:rPr>
        <w:t>, alterations omitted.)</w:t>
      </w:r>
      <w:r>
        <w:rPr>
          <w:rFonts w:eastAsia="Times New Roman"/>
          <w:szCs w:val="26"/>
        </w:rPr>
        <w:t xml:space="preserve">  Section 3 was codified at</w:t>
      </w:r>
      <w:r w:rsidRPr="009D6327">
        <w:rPr>
          <w:rFonts w:eastAsia="Times New Roman"/>
          <w:szCs w:val="26"/>
        </w:rPr>
        <w:t xml:space="preserve"> section 13009</w:t>
      </w:r>
      <w:r>
        <w:rPr>
          <w:rFonts w:eastAsia="Times New Roman"/>
          <w:szCs w:val="26"/>
        </w:rPr>
        <w:t>.  (</w:t>
      </w:r>
      <w:r w:rsidRPr="00F72F26">
        <w:rPr>
          <w:rFonts w:eastAsia="Times New Roman"/>
          <w:i/>
          <w:szCs w:val="26"/>
        </w:rPr>
        <w:t>Ibid</w:t>
      </w:r>
      <w:r w:rsidRPr="00553C3D">
        <w:rPr>
          <w:rFonts w:eastAsia="Times New Roman"/>
          <w:szCs w:val="26"/>
        </w:rPr>
        <w:t>.</w:t>
      </w:r>
      <w:r>
        <w:rPr>
          <w:rFonts w:eastAsia="Times New Roman"/>
          <w:szCs w:val="26"/>
        </w:rPr>
        <w:t xml:space="preserve">)  Section 13009 </w:t>
      </w:r>
      <w:r w:rsidRPr="009D6327">
        <w:rPr>
          <w:rFonts w:eastAsia="Times New Roman"/>
          <w:szCs w:val="26"/>
        </w:rPr>
        <w:t>permit</w:t>
      </w:r>
      <w:r w:rsidRPr="009D6327">
        <w:rPr>
          <w:rFonts w:eastAsia="Times New Roman"/>
          <w:szCs w:val="26"/>
        </w:rPr>
        <w:t xml:space="preserve">ted the recovery of </w:t>
      </w:r>
      <w:r>
        <w:rPr>
          <w:rFonts w:eastAsia="Times New Roman"/>
          <w:szCs w:val="26"/>
        </w:rPr>
        <w:t>“‘</w:t>
      </w:r>
      <w:r w:rsidRPr="00F72F26">
        <w:rPr>
          <w:rFonts w:eastAsia="Times New Roman"/>
          <w:szCs w:val="26"/>
        </w:rPr>
        <w:t xml:space="preserve">the expenses of fighting any fires mentioned in </w:t>
      </w:r>
      <w:r>
        <w:rPr>
          <w:rFonts w:eastAsia="Times New Roman"/>
          <w:szCs w:val="26"/>
        </w:rPr>
        <w:t>[s]</w:t>
      </w:r>
      <w:proofErr w:type="spellStart"/>
      <w:r w:rsidRPr="00F72F26">
        <w:rPr>
          <w:rFonts w:eastAsia="Times New Roman"/>
          <w:szCs w:val="26"/>
        </w:rPr>
        <w:t>ections</w:t>
      </w:r>
      <w:proofErr w:type="spellEnd"/>
      <w:r w:rsidRPr="00F72F26">
        <w:rPr>
          <w:rFonts w:eastAsia="Times New Roman"/>
          <w:szCs w:val="26"/>
        </w:rPr>
        <w:t xml:space="preserve"> 13007 and 13008</w:t>
      </w:r>
      <w:r>
        <w:rPr>
          <w:rFonts w:eastAsia="Times New Roman"/>
          <w:szCs w:val="26"/>
        </w:rPr>
        <w:t xml:space="preserve"> </w:t>
      </w:r>
      <w:r w:rsidRPr="00F72F26">
        <w:rPr>
          <w:rFonts w:eastAsia="Times New Roman"/>
          <w:szCs w:val="26"/>
        </w:rPr>
        <w:t>against any person made liable by those sections for damages caused by such fires.</w:t>
      </w:r>
      <w:r>
        <w:rPr>
          <w:rFonts w:eastAsia="Times New Roman"/>
          <w:szCs w:val="26"/>
        </w:rPr>
        <w:t>’  [Citation.]”  (</w:t>
      </w:r>
      <w:r>
        <w:rPr>
          <w:rFonts w:eastAsia="Times New Roman"/>
          <w:i/>
          <w:szCs w:val="26"/>
        </w:rPr>
        <w:t>I</w:t>
      </w:r>
      <w:r w:rsidRPr="00F72F26">
        <w:rPr>
          <w:rFonts w:eastAsia="Times New Roman"/>
          <w:i/>
          <w:szCs w:val="26"/>
        </w:rPr>
        <w:t>d</w:t>
      </w:r>
      <w:r w:rsidRPr="00E3751F">
        <w:rPr>
          <w:rFonts w:eastAsia="Times New Roman"/>
          <w:szCs w:val="26"/>
        </w:rPr>
        <w:t>.</w:t>
      </w:r>
      <w:r>
        <w:rPr>
          <w:rFonts w:eastAsia="Times New Roman"/>
          <w:szCs w:val="26"/>
        </w:rPr>
        <w:t xml:space="preserve"> at p. 177, alterations omitted</w:t>
      </w:r>
      <w:r w:rsidRPr="00F72F26">
        <w:rPr>
          <w:rFonts w:eastAsia="Times New Roman"/>
          <w:szCs w:val="26"/>
        </w:rPr>
        <w:t>.)</w:t>
      </w:r>
    </w:p>
    <w:p w:rsidR="00BA7AF1" w:rsidRDefault="00196CB8" w:rsidP="00BA7AF1">
      <w:pPr>
        <w:tabs>
          <w:tab w:val="left" w:pos="1440"/>
          <w:tab w:val="left" w:pos="2880"/>
          <w:tab w:val="left" w:pos="4320"/>
          <w:tab w:val="left" w:pos="5760"/>
          <w:tab w:val="left" w:pos="7200"/>
        </w:tabs>
        <w:rPr>
          <w:rFonts w:eastAsia="Times New Roman"/>
          <w:szCs w:val="26"/>
        </w:rPr>
      </w:pPr>
      <w:r>
        <w:rPr>
          <w:rFonts w:eastAsia="Times New Roman"/>
          <w:szCs w:val="26"/>
        </w:rPr>
        <w:tab/>
        <w:t>The Legislature amend</w:t>
      </w:r>
      <w:r>
        <w:rPr>
          <w:rFonts w:eastAsia="Times New Roman"/>
          <w:szCs w:val="26"/>
        </w:rPr>
        <w:t>ed section 13009 in 1971.  (</w:t>
      </w:r>
      <w:r w:rsidRPr="00CB077E">
        <w:rPr>
          <w:rFonts w:eastAsia="Times New Roman"/>
          <w:i/>
          <w:szCs w:val="26"/>
        </w:rPr>
        <w:t>Howell</w:t>
      </w:r>
      <w:r>
        <w:rPr>
          <w:rFonts w:eastAsia="Times New Roman"/>
          <w:szCs w:val="26"/>
        </w:rPr>
        <w:t xml:space="preserve">, </w:t>
      </w:r>
      <w:r w:rsidRPr="00CB077E">
        <w:rPr>
          <w:rFonts w:eastAsia="Times New Roman"/>
          <w:i/>
          <w:szCs w:val="26"/>
        </w:rPr>
        <w:t>supra</w:t>
      </w:r>
      <w:r>
        <w:rPr>
          <w:rFonts w:eastAsia="Times New Roman"/>
          <w:szCs w:val="26"/>
        </w:rPr>
        <w:t>, 18 Cal.App.5th at p. 178.)  This amendment expanded section 13009 to permit recovery of firefighting expenses for fires that burned only one’s own property.  (</w:t>
      </w:r>
      <w:r w:rsidRPr="00CB077E">
        <w:rPr>
          <w:rFonts w:eastAsia="Times New Roman"/>
          <w:i/>
          <w:szCs w:val="26"/>
        </w:rPr>
        <w:t>Ibid</w:t>
      </w:r>
      <w:r w:rsidRPr="00553C3D">
        <w:rPr>
          <w:rFonts w:eastAsia="Times New Roman"/>
          <w:szCs w:val="26"/>
        </w:rPr>
        <w:t>.</w:t>
      </w:r>
      <w:r>
        <w:rPr>
          <w:rFonts w:eastAsia="Times New Roman"/>
          <w:szCs w:val="26"/>
        </w:rPr>
        <w:t xml:space="preserve">)  It also deleted section 13009’s references to </w:t>
      </w:r>
      <w:r>
        <w:rPr>
          <w:rFonts w:eastAsia="Times New Roman"/>
          <w:szCs w:val="26"/>
        </w:rPr>
        <w:t>sections 13007 and 13008.  (</w:t>
      </w:r>
      <w:r w:rsidRPr="00CB077E">
        <w:rPr>
          <w:rFonts w:eastAsia="Times New Roman"/>
          <w:i/>
          <w:szCs w:val="26"/>
        </w:rPr>
        <w:t>Ibid</w:t>
      </w:r>
      <w:r w:rsidRPr="00553C3D">
        <w:rPr>
          <w:rFonts w:eastAsia="Times New Roman"/>
          <w:szCs w:val="26"/>
        </w:rPr>
        <w:t>.</w:t>
      </w:r>
      <w:r>
        <w:rPr>
          <w:rFonts w:eastAsia="Times New Roman"/>
          <w:szCs w:val="26"/>
        </w:rPr>
        <w:t>)  As amended, section 13009 permitted recovery of firefighting costs from “‘[a]</w:t>
      </w:r>
      <w:proofErr w:type="spellStart"/>
      <w:r w:rsidRPr="00B217DE">
        <w:rPr>
          <w:rFonts w:eastAsia="Times New Roman"/>
          <w:szCs w:val="26"/>
        </w:rPr>
        <w:t>ny</w:t>
      </w:r>
      <w:proofErr w:type="spellEnd"/>
      <w:r w:rsidRPr="00B217DE">
        <w:rPr>
          <w:rFonts w:eastAsia="Times New Roman"/>
          <w:szCs w:val="26"/>
        </w:rPr>
        <w:t xml:space="preserve"> person who negligently, or in violation of the law, set</w:t>
      </w:r>
      <w:r>
        <w:rPr>
          <w:rFonts w:eastAsia="Times New Roman"/>
          <w:szCs w:val="26"/>
        </w:rPr>
        <w:t>[]</w:t>
      </w:r>
      <w:r w:rsidRPr="00B217DE">
        <w:rPr>
          <w:rFonts w:eastAsia="Times New Roman"/>
          <w:szCs w:val="26"/>
        </w:rPr>
        <w:t xml:space="preserve"> a fire, allow</w:t>
      </w:r>
      <w:r>
        <w:rPr>
          <w:rFonts w:eastAsia="Times New Roman"/>
          <w:szCs w:val="26"/>
        </w:rPr>
        <w:t>[ed]</w:t>
      </w:r>
      <w:r w:rsidRPr="00B217DE">
        <w:rPr>
          <w:rFonts w:eastAsia="Times New Roman"/>
          <w:szCs w:val="26"/>
        </w:rPr>
        <w:t xml:space="preserve"> a fire to be set, or allow</w:t>
      </w:r>
      <w:r>
        <w:rPr>
          <w:rFonts w:eastAsia="Times New Roman"/>
          <w:szCs w:val="26"/>
        </w:rPr>
        <w:t>[ed]</w:t>
      </w:r>
      <w:r w:rsidRPr="00B217DE">
        <w:rPr>
          <w:rFonts w:eastAsia="Times New Roman"/>
          <w:szCs w:val="26"/>
        </w:rPr>
        <w:t xml:space="preserve"> a fire kindled or attended by </w:t>
      </w:r>
      <w:r>
        <w:rPr>
          <w:rFonts w:eastAsia="Times New Roman"/>
          <w:szCs w:val="26"/>
        </w:rPr>
        <w:t>[th</w:t>
      </w:r>
      <w:r>
        <w:rPr>
          <w:rFonts w:eastAsia="Times New Roman"/>
          <w:szCs w:val="26"/>
        </w:rPr>
        <w:t>em]</w:t>
      </w:r>
      <w:r w:rsidRPr="00B217DE">
        <w:rPr>
          <w:rFonts w:eastAsia="Times New Roman"/>
          <w:szCs w:val="26"/>
        </w:rPr>
        <w:t xml:space="preserve"> to escape onto any forest, range</w:t>
      </w:r>
      <w:r>
        <w:rPr>
          <w:rFonts w:eastAsia="Times New Roman"/>
          <w:szCs w:val="26"/>
        </w:rPr>
        <w:t>[,]</w:t>
      </w:r>
      <w:r w:rsidRPr="00B217DE">
        <w:rPr>
          <w:rFonts w:eastAsia="Times New Roman"/>
          <w:szCs w:val="26"/>
        </w:rPr>
        <w:t xml:space="preserve"> or nonresidential grass-covered land</w:t>
      </w:r>
      <w:r>
        <w:rPr>
          <w:rFonts w:eastAsia="Times New Roman"/>
          <w:szCs w:val="26"/>
        </w:rPr>
        <w:t>.’”  (</w:t>
      </w:r>
      <w:r w:rsidRPr="00CB077E">
        <w:rPr>
          <w:rFonts w:eastAsia="Times New Roman"/>
          <w:i/>
          <w:szCs w:val="26"/>
        </w:rPr>
        <w:t>Ibid</w:t>
      </w:r>
      <w:r w:rsidRPr="00553C3D">
        <w:rPr>
          <w:rFonts w:eastAsia="Times New Roman"/>
          <w:szCs w:val="26"/>
        </w:rPr>
        <w:t>.</w:t>
      </w:r>
      <w:r>
        <w:rPr>
          <w:rFonts w:eastAsia="Times New Roman"/>
          <w:szCs w:val="26"/>
        </w:rPr>
        <w:t>)</w:t>
      </w:r>
    </w:p>
    <w:p w:rsidR="00BA7AF1" w:rsidRDefault="00196CB8" w:rsidP="00BA7AF1">
      <w:pPr>
        <w:tabs>
          <w:tab w:val="left" w:pos="1440"/>
          <w:tab w:val="left" w:pos="2880"/>
          <w:tab w:val="left" w:pos="4320"/>
          <w:tab w:val="left" w:pos="5760"/>
          <w:tab w:val="left" w:pos="7200"/>
        </w:tabs>
        <w:rPr>
          <w:rFonts w:eastAsia="Times New Roman"/>
          <w:szCs w:val="26"/>
        </w:rPr>
      </w:pPr>
      <w:r>
        <w:rPr>
          <w:rFonts w:eastAsia="Times New Roman"/>
          <w:szCs w:val="26"/>
        </w:rPr>
        <w:tab/>
        <w:t xml:space="preserve">The Legislature added section 13009.1 in 1984 to permit recovery of fire investigation costs against the same persons described in the 1971 version of section 13009. </w:t>
      </w:r>
      <w:r>
        <w:rPr>
          <w:rFonts w:eastAsia="Times New Roman"/>
          <w:szCs w:val="26"/>
        </w:rPr>
        <w:t xml:space="preserve"> (</w:t>
      </w:r>
      <w:r w:rsidRPr="00CB077E">
        <w:rPr>
          <w:rFonts w:eastAsia="Times New Roman"/>
          <w:i/>
          <w:szCs w:val="26"/>
        </w:rPr>
        <w:t>Howell</w:t>
      </w:r>
      <w:r>
        <w:rPr>
          <w:rFonts w:eastAsia="Times New Roman"/>
          <w:szCs w:val="26"/>
        </w:rPr>
        <w:t xml:space="preserve">, </w:t>
      </w:r>
      <w:r w:rsidRPr="00CB077E">
        <w:rPr>
          <w:rFonts w:eastAsia="Times New Roman"/>
          <w:i/>
          <w:szCs w:val="26"/>
        </w:rPr>
        <w:t>supra</w:t>
      </w:r>
      <w:r>
        <w:rPr>
          <w:rFonts w:eastAsia="Times New Roman"/>
          <w:szCs w:val="26"/>
        </w:rPr>
        <w:t>, 18 Cal.App.5th at p. 178.)  Three years later, the Legislature amended sections 13009 and 13009.1 to extend liability for fire suppression and investigation costs:  Liability against the persons who set fires, allowed fires to be set, or a</w:t>
      </w:r>
      <w:r>
        <w:rPr>
          <w:rFonts w:eastAsia="Times New Roman"/>
          <w:szCs w:val="26"/>
        </w:rPr>
        <w:t xml:space="preserve">llowed fires to escape was </w:t>
      </w:r>
      <w:proofErr w:type="spellStart"/>
      <w:r>
        <w:rPr>
          <w:rFonts w:eastAsia="Times New Roman"/>
          <w:szCs w:val="26"/>
        </w:rPr>
        <w:t>recodified</w:t>
      </w:r>
      <w:proofErr w:type="spellEnd"/>
      <w:r>
        <w:rPr>
          <w:rFonts w:eastAsia="Times New Roman"/>
          <w:szCs w:val="26"/>
        </w:rPr>
        <w:t xml:space="preserve"> at subdivision (a)(1) of the statutes.  Subdivision (a)(2) extended liability to “[a]</w:t>
      </w:r>
      <w:proofErr w:type="spellStart"/>
      <w:r>
        <w:rPr>
          <w:rFonts w:eastAsia="Times New Roman"/>
          <w:szCs w:val="26"/>
        </w:rPr>
        <w:t>ny</w:t>
      </w:r>
      <w:proofErr w:type="spellEnd"/>
      <w:r>
        <w:rPr>
          <w:rFonts w:eastAsia="Times New Roman"/>
          <w:szCs w:val="26"/>
        </w:rPr>
        <w:t xml:space="preserve"> person . . . </w:t>
      </w:r>
      <w:r w:rsidRPr="004B2594">
        <w:rPr>
          <w:rFonts w:eastAsia="Times New Roman"/>
          <w:szCs w:val="26"/>
        </w:rPr>
        <w:t xml:space="preserve">other than a mortgagee, who, being in actual possession of a structure, fails or refuses to correct, within the time </w:t>
      </w:r>
      <w:r w:rsidRPr="004B2594">
        <w:rPr>
          <w:rFonts w:eastAsia="Times New Roman"/>
          <w:szCs w:val="26"/>
        </w:rPr>
        <w:t>allotted for correction, despite having the right to do so, a fire hazard prohibited by law, for which a public agency properly has issued a notice of violation respecting the hazard</w:t>
      </w:r>
      <w:r>
        <w:rPr>
          <w:rFonts w:eastAsia="Times New Roman"/>
          <w:szCs w:val="26"/>
        </w:rPr>
        <w:t xml:space="preserve">.”  (§§ 13009, </w:t>
      </w:r>
      <w:proofErr w:type="spellStart"/>
      <w:r>
        <w:rPr>
          <w:rFonts w:eastAsia="Times New Roman"/>
          <w:szCs w:val="26"/>
        </w:rPr>
        <w:t>subd</w:t>
      </w:r>
      <w:proofErr w:type="spellEnd"/>
      <w:r>
        <w:rPr>
          <w:rFonts w:eastAsia="Times New Roman"/>
          <w:szCs w:val="26"/>
        </w:rPr>
        <w:t xml:space="preserve">. (a)(2), </w:t>
      </w:r>
      <w:r>
        <w:rPr>
          <w:rFonts w:eastAsia="Times New Roman"/>
          <w:szCs w:val="26"/>
        </w:rPr>
        <w:lastRenderedPageBreak/>
        <w:t xml:space="preserve">13009.1, </w:t>
      </w:r>
      <w:proofErr w:type="spellStart"/>
      <w:r>
        <w:rPr>
          <w:rFonts w:eastAsia="Times New Roman"/>
          <w:szCs w:val="26"/>
        </w:rPr>
        <w:t>subd</w:t>
      </w:r>
      <w:proofErr w:type="spellEnd"/>
      <w:r>
        <w:rPr>
          <w:rFonts w:eastAsia="Times New Roman"/>
          <w:szCs w:val="26"/>
        </w:rPr>
        <w:t>. (a)(2).)  Subdivision (a)(3) e</w:t>
      </w:r>
      <w:r>
        <w:rPr>
          <w:rFonts w:eastAsia="Times New Roman"/>
          <w:szCs w:val="26"/>
        </w:rPr>
        <w:t>xtended liability to “[a]</w:t>
      </w:r>
      <w:proofErr w:type="spellStart"/>
      <w:r>
        <w:rPr>
          <w:rFonts w:eastAsia="Times New Roman"/>
          <w:szCs w:val="26"/>
        </w:rPr>
        <w:t>ny</w:t>
      </w:r>
      <w:proofErr w:type="spellEnd"/>
      <w:r>
        <w:rPr>
          <w:rFonts w:eastAsia="Times New Roman"/>
          <w:szCs w:val="26"/>
        </w:rPr>
        <w:t xml:space="preserve"> person . . . </w:t>
      </w:r>
      <w:r w:rsidRPr="004B2594">
        <w:rPr>
          <w:rFonts w:eastAsia="Times New Roman"/>
          <w:szCs w:val="26"/>
        </w:rPr>
        <w:t>including a mortgagee, who, having an obligation under other provisions of law to correct a fire hazard prohibited by law, for which a public agency has properly issued a notice of violation respecting the hazard, f</w:t>
      </w:r>
      <w:r w:rsidRPr="004B2594">
        <w:rPr>
          <w:rFonts w:eastAsia="Times New Roman"/>
          <w:szCs w:val="26"/>
        </w:rPr>
        <w:t>ails or refuses to correct the hazard within the time allotted for correction, despite having the right to do so</w:t>
      </w:r>
      <w:r>
        <w:rPr>
          <w:rFonts w:eastAsia="Times New Roman"/>
          <w:szCs w:val="26"/>
        </w:rPr>
        <w:t xml:space="preserve">.”  (§§ 13009, </w:t>
      </w:r>
      <w:proofErr w:type="spellStart"/>
      <w:r>
        <w:rPr>
          <w:rFonts w:eastAsia="Times New Roman"/>
          <w:szCs w:val="26"/>
        </w:rPr>
        <w:t>subd</w:t>
      </w:r>
      <w:proofErr w:type="spellEnd"/>
      <w:r>
        <w:rPr>
          <w:rFonts w:eastAsia="Times New Roman"/>
          <w:szCs w:val="26"/>
        </w:rPr>
        <w:t xml:space="preserve">. (a)(3), 13009.1, </w:t>
      </w:r>
      <w:proofErr w:type="spellStart"/>
      <w:r>
        <w:rPr>
          <w:rFonts w:eastAsia="Times New Roman"/>
          <w:szCs w:val="26"/>
        </w:rPr>
        <w:t>subd</w:t>
      </w:r>
      <w:proofErr w:type="spellEnd"/>
      <w:r>
        <w:rPr>
          <w:rFonts w:eastAsia="Times New Roman"/>
          <w:szCs w:val="26"/>
        </w:rPr>
        <w:t>. (a)(3).)</w:t>
      </w:r>
    </w:p>
    <w:p w:rsidR="00BA7AF1" w:rsidRDefault="00196CB8" w:rsidP="00BA7AF1">
      <w:pPr>
        <w:tabs>
          <w:tab w:val="left" w:pos="1440"/>
          <w:tab w:val="left" w:pos="2880"/>
          <w:tab w:val="left" w:pos="4320"/>
          <w:tab w:val="left" w:pos="5760"/>
          <w:tab w:val="left" w:pos="7200"/>
        </w:tabs>
        <w:rPr>
          <w:rFonts w:eastAsia="Times New Roman"/>
          <w:szCs w:val="26"/>
        </w:rPr>
      </w:pPr>
      <w:r>
        <w:rPr>
          <w:rFonts w:eastAsia="Times New Roman"/>
          <w:szCs w:val="26"/>
        </w:rPr>
        <w:tab/>
        <w:t>The 1992 and 1994 amendments to section 13009 did not reincorporate the “personally or thr</w:t>
      </w:r>
      <w:r>
        <w:rPr>
          <w:rFonts w:eastAsia="Times New Roman"/>
          <w:szCs w:val="26"/>
        </w:rPr>
        <w:t>ough another” language into the statute.  Nor has the language been included in section 13009.1.  The “personally or through another” language remains in section 13007, however, which has not been amended since its 1953 enactment.  It remains absent from s</w:t>
      </w:r>
      <w:r>
        <w:rPr>
          <w:rFonts w:eastAsia="Times New Roman"/>
          <w:szCs w:val="26"/>
        </w:rPr>
        <w:t>ection 13008, which, like section 13007, has not been amended since 1953.</w:t>
      </w:r>
    </w:p>
    <w:p w:rsidR="00BA7AF1" w:rsidRDefault="00196CB8" w:rsidP="00BA7AF1">
      <w:pPr>
        <w:tabs>
          <w:tab w:val="left" w:pos="1440"/>
          <w:tab w:val="left" w:pos="2880"/>
          <w:tab w:val="left" w:pos="4320"/>
          <w:tab w:val="left" w:pos="5760"/>
          <w:tab w:val="left" w:pos="7200"/>
        </w:tabs>
        <w:rPr>
          <w:rFonts w:eastAsia="Times New Roman"/>
          <w:szCs w:val="26"/>
        </w:rPr>
      </w:pPr>
      <w:r>
        <w:rPr>
          <w:rFonts w:eastAsia="Times New Roman"/>
          <w:szCs w:val="26"/>
        </w:rPr>
        <w:tab/>
        <w:t xml:space="preserve">The </w:t>
      </w:r>
      <w:r w:rsidRPr="00BA0AFD">
        <w:rPr>
          <w:rFonts w:eastAsia="Times New Roman"/>
          <w:i/>
          <w:szCs w:val="26"/>
        </w:rPr>
        <w:t>Howell</w:t>
      </w:r>
      <w:r>
        <w:rPr>
          <w:rFonts w:eastAsia="Times New Roman"/>
          <w:szCs w:val="26"/>
        </w:rPr>
        <w:t xml:space="preserve"> majority determined that “</w:t>
      </w:r>
      <w:r w:rsidRPr="00BA0AFD">
        <w:rPr>
          <w:rFonts w:eastAsia="Times New Roman"/>
          <w:szCs w:val="26"/>
        </w:rPr>
        <w:t xml:space="preserve">the presence of the </w:t>
      </w:r>
      <w:r>
        <w:rPr>
          <w:rFonts w:eastAsia="Times New Roman"/>
          <w:szCs w:val="26"/>
        </w:rPr>
        <w:t>‘</w:t>
      </w:r>
      <w:r w:rsidRPr="00BA0AFD">
        <w:rPr>
          <w:rFonts w:eastAsia="Times New Roman"/>
          <w:szCs w:val="26"/>
        </w:rPr>
        <w:t>personally or through another</w:t>
      </w:r>
      <w:r>
        <w:rPr>
          <w:rFonts w:eastAsia="Times New Roman"/>
          <w:szCs w:val="26"/>
        </w:rPr>
        <w:t>’</w:t>
      </w:r>
      <w:r w:rsidRPr="00BA0AFD">
        <w:rPr>
          <w:rFonts w:eastAsia="Times New Roman"/>
          <w:szCs w:val="26"/>
        </w:rPr>
        <w:t xml:space="preserve"> language in section 13007 and its absence in sections 13009 and 13009.1 </w:t>
      </w:r>
      <w:r>
        <w:rPr>
          <w:rFonts w:eastAsia="Times New Roman"/>
          <w:szCs w:val="26"/>
        </w:rPr>
        <w:t>[was]</w:t>
      </w:r>
      <w:r w:rsidRPr="00BA0AFD">
        <w:rPr>
          <w:rFonts w:eastAsia="Times New Roman"/>
          <w:szCs w:val="26"/>
        </w:rPr>
        <w:t xml:space="preserve"> indicative of </w:t>
      </w:r>
      <w:r>
        <w:rPr>
          <w:rFonts w:eastAsia="Times New Roman"/>
          <w:szCs w:val="26"/>
        </w:rPr>
        <w:t>[the Legislature’s]</w:t>
      </w:r>
      <w:r w:rsidRPr="00BA0AFD">
        <w:rPr>
          <w:rFonts w:eastAsia="Times New Roman"/>
          <w:szCs w:val="26"/>
        </w:rPr>
        <w:t xml:space="preserve"> intent to preclude application of vicarious liability concepts in the latter sections.</w:t>
      </w:r>
      <w:r>
        <w:rPr>
          <w:rFonts w:eastAsia="Times New Roman"/>
          <w:szCs w:val="26"/>
        </w:rPr>
        <w:t>”  (</w:t>
      </w:r>
      <w:r w:rsidRPr="00BA0AFD">
        <w:rPr>
          <w:rFonts w:eastAsia="Times New Roman"/>
          <w:i/>
          <w:szCs w:val="26"/>
        </w:rPr>
        <w:t>Howell</w:t>
      </w:r>
      <w:r>
        <w:rPr>
          <w:rFonts w:eastAsia="Times New Roman"/>
          <w:szCs w:val="26"/>
        </w:rPr>
        <w:t xml:space="preserve">, </w:t>
      </w:r>
      <w:r w:rsidRPr="00BA0AFD">
        <w:rPr>
          <w:rFonts w:eastAsia="Times New Roman"/>
          <w:i/>
          <w:szCs w:val="26"/>
        </w:rPr>
        <w:t>supra</w:t>
      </w:r>
      <w:r>
        <w:rPr>
          <w:rFonts w:eastAsia="Times New Roman"/>
          <w:szCs w:val="26"/>
        </w:rPr>
        <w:t xml:space="preserve">, 18 Cal.App.5th at p. 179, citing </w:t>
      </w:r>
      <w:r w:rsidRPr="008E2FED">
        <w:rPr>
          <w:rFonts w:eastAsia="Times New Roman"/>
          <w:i/>
          <w:szCs w:val="26"/>
        </w:rPr>
        <w:t>Los Angeles County Metropolitan Transportation Authority v. Alameda Produce Market, LLC</w:t>
      </w:r>
      <w:r w:rsidRPr="008E2FED">
        <w:rPr>
          <w:rFonts w:eastAsia="Times New Roman"/>
          <w:szCs w:val="26"/>
        </w:rPr>
        <w:t xml:space="preserve"> (2011) 52 </w:t>
      </w:r>
      <w:r w:rsidRPr="008E2FED">
        <w:rPr>
          <w:rFonts w:eastAsia="Times New Roman"/>
          <w:szCs w:val="26"/>
        </w:rPr>
        <w:t>Cal.4th 1100, 1108</w:t>
      </w:r>
      <w:r>
        <w:rPr>
          <w:rFonts w:eastAsia="Times New Roman"/>
          <w:szCs w:val="26"/>
        </w:rPr>
        <w:t xml:space="preserve"> [where statute contains a provision, the omission of that provision from a statute on a related subject “‘“</w:t>
      </w:r>
      <w:r w:rsidRPr="008E2FED">
        <w:rPr>
          <w:rFonts w:eastAsia="Times New Roman"/>
          <w:szCs w:val="26"/>
        </w:rPr>
        <w:t>is significant to show that a different legislative intent existed with reference to the different statutes</w:t>
      </w:r>
      <w:r>
        <w:rPr>
          <w:rFonts w:eastAsia="Times New Roman"/>
          <w:szCs w:val="26"/>
        </w:rPr>
        <w:t>”</w:t>
      </w:r>
      <w:r w:rsidRPr="008E2FED">
        <w:rPr>
          <w:rFonts w:eastAsia="Times New Roman"/>
          <w:szCs w:val="26"/>
        </w:rPr>
        <w:t>’”</w:t>
      </w:r>
      <w:r>
        <w:rPr>
          <w:rFonts w:eastAsia="Times New Roman"/>
          <w:szCs w:val="26"/>
        </w:rPr>
        <w:t>].)  But this determ</w:t>
      </w:r>
      <w:r>
        <w:rPr>
          <w:rFonts w:eastAsia="Times New Roman"/>
          <w:szCs w:val="26"/>
        </w:rPr>
        <w:t xml:space="preserve">ination ignores that, prior to 1971, section 13009 permitted recovery of firefighting costs from any person liable under </w:t>
      </w:r>
      <w:r w:rsidRPr="000C18C5">
        <w:rPr>
          <w:rFonts w:eastAsia="Times New Roman"/>
          <w:i/>
          <w:szCs w:val="26"/>
        </w:rPr>
        <w:t xml:space="preserve">either </w:t>
      </w:r>
      <w:r>
        <w:rPr>
          <w:rFonts w:eastAsia="Times New Roman"/>
          <w:szCs w:val="26"/>
        </w:rPr>
        <w:t>section 13007 or 13008.  Section 13008 did not—and still does not—contain the “</w:t>
      </w:r>
      <w:r w:rsidRPr="00BA0AFD">
        <w:rPr>
          <w:rFonts w:eastAsia="Times New Roman"/>
          <w:szCs w:val="26"/>
        </w:rPr>
        <w:t>personally or through another</w:t>
      </w:r>
      <w:r>
        <w:rPr>
          <w:rFonts w:eastAsia="Times New Roman"/>
          <w:szCs w:val="26"/>
        </w:rPr>
        <w:t>”</w:t>
      </w:r>
      <w:r w:rsidRPr="00BA0AFD">
        <w:rPr>
          <w:rFonts w:eastAsia="Times New Roman"/>
          <w:szCs w:val="26"/>
        </w:rPr>
        <w:t xml:space="preserve"> </w:t>
      </w:r>
      <w:r>
        <w:rPr>
          <w:rFonts w:eastAsia="Times New Roman"/>
          <w:szCs w:val="26"/>
        </w:rPr>
        <w:t>language.  Yet tha</w:t>
      </w:r>
      <w:r>
        <w:rPr>
          <w:rFonts w:eastAsia="Times New Roman"/>
          <w:szCs w:val="26"/>
        </w:rPr>
        <w:t xml:space="preserve">t statute’s </w:t>
      </w:r>
      <w:r>
        <w:rPr>
          <w:rFonts w:eastAsia="Times New Roman"/>
          <w:szCs w:val="26"/>
        </w:rPr>
        <w:lastRenderedPageBreak/>
        <w:t xml:space="preserve">predecessor—section 2 of the 1931 Fire Liability Law—served as a basis for imposing vicarious liability in </w:t>
      </w:r>
      <w:proofErr w:type="spellStart"/>
      <w:r w:rsidRPr="00090399">
        <w:rPr>
          <w:rFonts w:eastAsia="Times New Roman"/>
          <w:i/>
          <w:szCs w:val="26"/>
        </w:rPr>
        <w:t>Haverstick</w:t>
      </w:r>
      <w:proofErr w:type="spellEnd"/>
      <w:r>
        <w:rPr>
          <w:rFonts w:eastAsia="Times New Roman"/>
          <w:szCs w:val="26"/>
        </w:rPr>
        <w:t xml:space="preserve">.  </w:t>
      </w:r>
    </w:p>
    <w:p w:rsidR="00BA7AF1" w:rsidRPr="00BA39D7" w:rsidRDefault="00196CB8" w:rsidP="00BA7AF1">
      <w:pPr>
        <w:tabs>
          <w:tab w:val="left" w:pos="1440"/>
          <w:tab w:val="left" w:pos="2880"/>
          <w:tab w:val="left" w:pos="4320"/>
          <w:tab w:val="left" w:pos="5760"/>
          <w:tab w:val="left" w:pos="7200"/>
        </w:tabs>
        <w:rPr>
          <w:rFonts w:eastAsia="Times New Roman"/>
          <w:iCs/>
          <w:szCs w:val="26"/>
        </w:rPr>
      </w:pPr>
      <w:r>
        <w:rPr>
          <w:rFonts w:eastAsia="Times New Roman"/>
          <w:szCs w:val="26"/>
        </w:rPr>
        <w:tab/>
        <w:t xml:space="preserve">In </w:t>
      </w:r>
      <w:proofErr w:type="spellStart"/>
      <w:r w:rsidRPr="00ED7946">
        <w:rPr>
          <w:rFonts w:eastAsia="Times New Roman"/>
          <w:i/>
          <w:szCs w:val="26"/>
        </w:rPr>
        <w:t>Haverstick</w:t>
      </w:r>
      <w:proofErr w:type="spellEnd"/>
      <w:r>
        <w:rPr>
          <w:rFonts w:eastAsia="Times New Roman"/>
          <w:szCs w:val="26"/>
        </w:rPr>
        <w:t xml:space="preserve">, </w:t>
      </w:r>
      <w:r w:rsidRPr="00ED7946">
        <w:rPr>
          <w:rFonts w:eastAsia="Times New Roman"/>
          <w:i/>
          <w:szCs w:val="26"/>
        </w:rPr>
        <w:t>supra</w:t>
      </w:r>
      <w:r>
        <w:rPr>
          <w:rFonts w:eastAsia="Times New Roman"/>
          <w:szCs w:val="26"/>
        </w:rPr>
        <w:t xml:space="preserve">, </w:t>
      </w:r>
      <w:r w:rsidRPr="00ED7946">
        <w:rPr>
          <w:rFonts w:eastAsia="Times New Roman"/>
          <w:szCs w:val="26"/>
        </w:rPr>
        <w:t>1</w:t>
      </w:r>
      <w:r w:rsidRPr="00031EEF">
        <w:rPr>
          <w:rFonts w:eastAsia="Times New Roman"/>
          <w:szCs w:val="26"/>
        </w:rPr>
        <w:t xml:space="preserve"> Cal.App.2d </w:t>
      </w:r>
      <w:r>
        <w:rPr>
          <w:rFonts w:eastAsia="Times New Roman"/>
          <w:szCs w:val="26"/>
        </w:rPr>
        <w:t xml:space="preserve">at pages 609-611, the court upheld liability imposed on a railroad after its employees </w:t>
      </w:r>
      <w:r>
        <w:rPr>
          <w:rFonts w:eastAsia="Times New Roman"/>
          <w:szCs w:val="26"/>
        </w:rPr>
        <w:t xml:space="preserve">negligently permitted a fire to spread from a railway car to the plaintiff’s land.  The </w:t>
      </w:r>
      <w:proofErr w:type="spellStart"/>
      <w:r w:rsidRPr="004D5E75">
        <w:rPr>
          <w:rFonts w:eastAsia="Times New Roman"/>
          <w:i/>
          <w:szCs w:val="26"/>
        </w:rPr>
        <w:t>Haverstick</w:t>
      </w:r>
      <w:proofErr w:type="spellEnd"/>
      <w:r>
        <w:rPr>
          <w:rFonts w:eastAsia="Times New Roman"/>
          <w:szCs w:val="26"/>
        </w:rPr>
        <w:t xml:space="preserve"> court did not state explicitly that the statutory basis for the railroad’s liability was section 2 of the Fire Liability Law, but it is apparent from the fac</w:t>
      </w:r>
      <w:r>
        <w:rPr>
          <w:rFonts w:eastAsia="Times New Roman"/>
          <w:szCs w:val="26"/>
        </w:rPr>
        <w:t>ts of the case:  There was “[n]o . . . explanation” for how the fire started on board the train.  (</w:t>
      </w:r>
      <w:r w:rsidRPr="00127E16">
        <w:rPr>
          <w:rFonts w:eastAsia="Times New Roman"/>
          <w:i/>
          <w:szCs w:val="26"/>
        </w:rPr>
        <w:t>Id</w:t>
      </w:r>
      <w:r w:rsidRPr="00553C3D">
        <w:rPr>
          <w:rFonts w:eastAsia="Times New Roman"/>
          <w:szCs w:val="26"/>
        </w:rPr>
        <w:t>.</w:t>
      </w:r>
      <w:r>
        <w:rPr>
          <w:rFonts w:eastAsia="Times New Roman"/>
          <w:szCs w:val="26"/>
        </w:rPr>
        <w:t xml:space="preserve"> at p. 610.)  The employees did not set it, allow it to be set, or kindle it.  (See </w:t>
      </w:r>
      <w:r>
        <w:rPr>
          <w:rFonts w:eastAsia="Times New Roman"/>
          <w:i/>
          <w:szCs w:val="26"/>
        </w:rPr>
        <w:t>ibi</w:t>
      </w:r>
      <w:r w:rsidRPr="00E75EC9">
        <w:rPr>
          <w:rFonts w:eastAsia="Times New Roman"/>
          <w:i/>
          <w:szCs w:val="26"/>
        </w:rPr>
        <w:t>d</w:t>
      </w:r>
      <w:r w:rsidRPr="00553C3D">
        <w:rPr>
          <w:rFonts w:eastAsia="Times New Roman"/>
          <w:szCs w:val="26"/>
        </w:rPr>
        <w:t>.</w:t>
      </w:r>
      <w:r>
        <w:rPr>
          <w:rFonts w:eastAsia="Times New Roman"/>
          <w:szCs w:val="26"/>
        </w:rPr>
        <w:t>)  Section 1 of the Fire Liability Law was thus inapplicable.  Bu</w:t>
      </w:r>
      <w:r>
        <w:rPr>
          <w:rFonts w:eastAsia="Times New Roman"/>
          <w:szCs w:val="26"/>
        </w:rPr>
        <w:t>t the employees did allow the fire to escape from the train car onto the plaintiff’s land (</w:t>
      </w:r>
      <w:r>
        <w:rPr>
          <w:rFonts w:eastAsia="Times New Roman"/>
          <w:i/>
          <w:szCs w:val="26"/>
        </w:rPr>
        <w:t>i</w:t>
      </w:r>
      <w:r w:rsidRPr="00E75EC9">
        <w:rPr>
          <w:rFonts w:eastAsia="Times New Roman"/>
          <w:i/>
          <w:szCs w:val="26"/>
        </w:rPr>
        <w:t>d</w:t>
      </w:r>
      <w:r w:rsidRPr="00553C3D">
        <w:rPr>
          <w:rFonts w:eastAsia="Times New Roman"/>
          <w:szCs w:val="26"/>
        </w:rPr>
        <w:t>.</w:t>
      </w:r>
      <w:r>
        <w:rPr>
          <w:rFonts w:eastAsia="Times New Roman"/>
          <w:szCs w:val="26"/>
        </w:rPr>
        <w:t xml:space="preserve"> at pp. 607-608), permitting the railroad’s liability under section 2.  That section lacks the “</w:t>
      </w:r>
      <w:r w:rsidRPr="007D164A">
        <w:rPr>
          <w:rFonts w:eastAsia="Times New Roman"/>
          <w:iCs/>
          <w:szCs w:val="26"/>
        </w:rPr>
        <w:t>personally or through another</w:t>
      </w:r>
      <w:r>
        <w:rPr>
          <w:rFonts w:eastAsia="Times New Roman"/>
          <w:iCs/>
          <w:szCs w:val="26"/>
        </w:rPr>
        <w:t>” language of section 1.</w:t>
      </w:r>
      <w:r>
        <w:rPr>
          <w:rFonts w:eastAsia="Times New Roman"/>
          <w:szCs w:val="26"/>
        </w:rPr>
        <w:t xml:space="preserve">  </w:t>
      </w:r>
      <w:r>
        <w:rPr>
          <w:rFonts w:eastAsia="Times New Roman"/>
          <w:iCs/>
          <w:szCs w:val="26"/>
        </w:rPr>
        <w:t>The railroa</w:t>
      </w:r>
      <w:r>
        <w:rPr>
          <w:rFonts w:eastAsia="Times New Roman"/>
          <w:iCs/>
          <w:szCs w:val="26"/>
        </w:rPr>
        <w:t>d’s vicarious liability was thus necessarily based on the phrase “any person.”</w:t>
      </w:r>
    </w:p>
    <w:p w:rsidR="00BA7AF1" w:rsidRDefault="00196CB8" w:rsidP="00BA7AF1">
      <w:pPr>
        <w:tabs>
          <w:tab w:val="left" w:pos="1440"/>
          <w:tab w:val="left" w:pos="2880"/>
          <w:tab w:val="left" w:pos="4320"/>
          <w:tab w:val="left" w:pos="5760"/>
          <w:tab w:val="left" w:pos="7200"/>
        </w:tabs>
        <w:rPr>
          <w:rFonts w:eastAsia="Times New Roman"/>
          <w:szCs w:val="26"/>
        </w:rPr>
      </w:pPr>
      <w:r>
        <w:rPr>
          <w:rFonts w:eastAsia="Times New Roman"/>
          <w:szCs w:val="26"/>
        </w:rPr>
        <w:tab/>
        <w:t xml:space="preserve">We presume the Legislature was aware of the </w:t>
      </w:r>
      <w:proofErr w:type="spellStart"/>
      <w:r w:rsidRPr="00E75EC9">
        <w:rPr>
          <w:rFonts w:eastAsia="Times New Roman"/>
          <w:i/>
          <w:szCs w:val="26"/>
        </w:rPr>
        <w:t>Haverstick</w:t>
      </w:r>
      <w:proofErr w:type="spellEnd"/>
      <w:r>
        <w:rPr>
          <w:rFonts w:eastAsia="Times New Roman"/>
          <w:szCs w:val="26"/>
        </w:rPr>
        <w:t xml:space="preserve"> court’s interpretation of section 2 of the Fire Liability Law, and that it intended that the same interpretation apply to</w:t>
      </w:r>
      <w:r>
        <w:rPr>
          <w:rFonts w:eastAsia="Times New Roman"/>
          <w:szCs w:val="26"/>
        </w:rPr>
        <w:t xml:space="preserve"> the identical language it codified at section 13008.  (</w:t>
      </w:r>
      <w:r w:rsidRPr="004B3255">
        <w:rPr>
          <w:rFonts w:eastAsia="Times New Roman"/>
          <w:i/>
          <w:color w:val="000000"/>
          <w:szCs w:val="26"/>
        </w:rPr>
        <w:t>Moran</w:t>
      </w:r>
      <w:r>
        <w:rPr>
          <w:rFonts w:eastAsia="Times New Roman"/>
          <w:color w:val="000000"/>
          <w:szCs w:val="26"/>
        </w:rPr>
        <w:t xml:space="preserve">, </w:t>
      </w:r>
      <w:r w:rsidRPr="004B3255">
        <w:rPr>
          <w:rFonts w:eastAsia="Times New Roman"/>
          <w:i/>
          <w:color w:val="000000"/>
          <w:szCs w:val="26"/>
        </w:rPr>
        <w:t>supra</w:t>
      </w:r>
      <w:r>
        <w:rPr>
          <w:rFonts w:eastAsia="Times New Roman"/>
          <w:color w:val="000000"/>
          <w:szCs w:val="26"/>
        </w:rPr>
        <w:t xml:space="preserve">, </w:t>
      </w:r>
      <w:r w:rsidRPr="004B3255">
        <w:rPr>
          <w:rFonts w:eastAsia="Times New Roman"/>
          <w:color w:val="000000"/>
          <w:szCs w:val="26"/>
        </w:rPr>
        <w:t>40</w:t>
      </w:r>
      <w:r>
        <w:rPr>
          <w:rFonts w:eastAsia="Times New Roman"/>
          <w:color w:val="000000"/>
          <w:szCs w:val="26"/>
        </w:rPr>
        <w:t xml:space="preserve"> Cal.4th at p. </w:t>
      </w:r>
      <w:r w:rsidRPr="008F1931">
        <w:rPr>
          <w:rFonts w:eastAsia="Times New Roman"/>
          <w:color w:val="000000"/>
          <w:szCs w:val="26"/>
        </w:rPr>
        <w:t>785.)</w:t>
      </w:r>
      <w:r>
        <w:rPr>
          <w:rFonts w:eastAsia="Times New Roman"/>
          <w:szCs w:val="26"/>
        </w:rPr>
        <w:t xml:space="preserve">  </w:t>
      </w:r>
      <w:r>
        <w:rPr>
          <w:rFonts w:eastAsia="Times New Roman"/>
          <w:color w:val="000000"/>
          <w:szCs w:val="26"/>
        </w:rPr>
        <w:t>We see no reason why a different</w:t>
      </w:r>
      <w:r>
        <w:rPr>
          <w:rFonts w:eastAsia="Times New Roman"/>
          <w:szCs w:val="26"/>
        </w:rPr>
        <w:t xml:space="preserve"> interpretation should apply to the same language in sections 13009 and 13009.1.  </w:t>
      </w:r>
    </w:p>
    <w:p w:rsidR="00BA7AF1" w:rsidRDefault="00196CB8" w:rsidP="00BA7AF1">
      <w:pPr>
        <w:tabs>
          <w:tab w:val="left" w:pos="1440"/>
          <w:tab w:val="left" w:pos="2880"/>
          <w:tab w:val="left" w:pos="4320"/>
          <w:tab w:val="left" w:pos="5760"/>
          <w:tab w:val="left" w:pos="7200"/>
        </w:tabs>
        <w:rPr>
          <w:rFonts w:eastAsia="Times New Roman"/>
          <w:szCs w:val="26"/>
        </w:rPr>
      </w:pPr>
      <w:r>
        <w:rPr>
          <w:rFonts w:eastAsia="Times New Roman"/>
          <w:szCs w:val="26"/>
        </w:rPr>
        <w:tab/>
      </w:r>
      <w:r>
        <w:rPr>
          <w:rFonts w:eastAsia="Times New Roman"/>
          <w:color w:val="000000"/>
          <w:szCs w:val="26"/>
        </w:rPr>
        <w:t>The Legislature’s addition of section 19 in 19</w:t>
      </w:r>
      <w:r>
        <w:rPr>
          <w:rFonts w:eastAsia="Times New Roman"/>
          <w:color w:val="000000"/>
          <w:szCs w:val="26"/>
        </w:rPr>
        <w:t xml:space="preserve">39—five years after the </w:t>
      </w:r>
      <w:proofErr w:type="spellStart"/>
      <w:r w:rsidRPr="00E75EC9">
        <w:rPr>
          <w:rFonts w:eastAsia="Times New Roman"/>
          <w:i/>
          <w:szCs w:val="26"/>
        </w:rPr>
        <w:t>Haverstick</w:t>
      </w:r>
      <w:proofErr w:type="spellEnd"/>
      <w:r>
        <w:rPr>
          <w:rFonts w:eastAsia="Times New Roman"/>
          <w:i/>
          <w:szCs w:val="26"/>
        </w:rPr>
        <w:t xml:space="preserve"> </w:t>
      </w:r>
      <w:r>
        <w:rPr>
          <w:rFonts w:eastAsia="Times New Roman"/>
          <w:szCs w:val="26"/>
        </w:rPr>
        <w:t>decision</w:t>
      </w:r>
      <w:r>
        <w:rPr>
          <w:rFonts w:eastAsia="Times New Roman"/>
          <w:color w:val="000000"/>
          <w:szCs w:val="26"/>
        </w:rPr>
        <w:t>—reinforces our conclusion.</w:t>
      </w:r>
      <w:r>
        <w:rPr>
          <w:rFonts w:eastAsia="Times New Roman"/>
          <w:szCs w:val="26"/>
        </w:rPr>
        <w:t xml:space="preserve">  </w:t>
      </w:r>
      <w:r>
        <w:rPr>
          <w:rFonts w:eastAsia="Times New Roman"/>
          <w:color w:val="000000"/>
          <w:szCs w:val="26"/>
        </w:rPr>
        <w:t>Pursuant to section 19, the term “person” includes a corporation.</w:t>
      </w:r>
      <w:r>
        <w:rPr>
          <w:rFonts w:eastAsia="Times New Roman"/>
          <w:szCs w:val="26"/>
        </w:rPr>
        <w:t xml:space="preserve">  </w:t>
      </w:r>
      <w:r>
        <w:rPr>
          <w:rFonts w:eastAsia="Times New Roman"/>
          <w:color w:val="000000"/>
          <w:szCs w:val="26"/>
        </w:rPr>
        <w:t>That definition applies throughout the Health and Safety Code</w:t>
      </w:r>
      <w:r>
        <w:rPr>
          <w:rFonts w:eastAsia="Times New Roman"/>
          <w:szCs w:val="26"/>
        </w:rPr>
        <w:t xml:space="preserve">.  (§ 5.)  </w:t>
      </w:r>
      <w:r>
        <w:rPr>
          <w:rFonts w:eastAsia="Times New Roman"/>
          <w:color w:val="000000"/>
          <w:szCs w:val="26"/>
        </w:rPr>
        <w:t>Thus, when the Legislature codified section 2</w:t>
      </w:r>
      <w:r>
        <w:rPr>
          <w:rFonts w:eastAsia="Times New Roman"/>
          <w:color w:val="000000"/>
          <w:szCs w:val="26"/>
        </w:rPr>
        <w:t xml:space="preserve"> of the Fire Liability Law at section 13008 in 1953, corporations, by </w:t>
      </w:r>
      <w:r>
        <w:rPr>
          <w:rFonts w:eastAsia="Times New Roman"/>
          <w:color w:val="000000"/>
          <w:szCs w:val="26"/>
        </w:rPr>
        <w:lastRenderedPageBreak/>
        <w:t xml:space="preserve">definition, could be liable for fires that escaped onto others’ properties. </w:t>
      </w:r>
      <w:r>
        <w:rPr>
          <w:rFonts w:eastAsia="Times New Roman"/>
          <w:szCs w:val="26"/>
        </w:rPr>
        <w:t xml:space="preserve"> </w:t>
      </w:r>
      <w:r>
        <w:rPr>
          <w:rFonts w:eastAsia="Times New Roman"/>
          <w:color w:val="000000"/>
          <w:szCs w:val="26"/>
        </w:rPr>
        <w:t xml:space="preserve">As it was widely understood that corporations could act only though their agents and employees (see, e.g., </w:t>
      </w:r>
      <w:proofErr w:type="spellStart"/>
      <w:r w:rsidRPr="00374DE2">
        <w:rPr>
          <w:rFonts w:eastAsia="Times New Roman"/>
          <w:i/>
          <w:color w:val="000000"/>
          <w:szCs w:val="26"/>
        </w:rPr>
        <w:t>Je</w:t>
      </w:r>
      <w:r w:rsidRPr="00374DE2">
        <w:rPr>
          <w:rFonts w:eastAsia="Times New Roman"/>
          <w:i/>
          <w:color w:val="000000"/>
          <w:szCs w:val="26"/>
        </w:rPr>
        <w:t>ppi</w:t>
      </w:r>
      <w:proofErr w:type="spellEnd"/>
      <w:r w:rsidRPr="00374DE2">
        <w:rPr>
          <w:rFonts w:eastAsia="Times New Roman"/>
          <w:i/>
          <w:color w:val="000000"/>
          <w:szCs w:val="26"/>
        </w:rPr>
        <w:t xml:space="preserve"> v. Brockman Holding Co.</w:t>
      </w:r>
      <w:r>
        <w:rPr>
          <w:rFonts w:eastAsia="Times New Roman"/>
          <w:color w:val="000000"/>
          <w:szCs w:val="26"/>
        </w:rPr>
        <w:t xml:space="preserve"> (1949) 34 Cal.2d 11, 17; </w:t>
      </w:r>
      <w:r w:rsidRPr="00374DE2">
        <w:rPr>
          <w:rFonts w:eastAsia="Times New Roman"/>
          <w:i/>
          <w:color w:val="000000"/>
          <w:szCs w:val="26"/>
        </w:rPr>
        <w:t xml:space="preserve">Brown v. Central </w:t>
      </w:r>
      <w:r>
        <w:rPr>
          <w:rFonts w:eastAsia="Times New Roman"/>
          <w:i/>
          <w:color w:val="000000"/>
          <w:szCs w:val="26"/>
        </w:rPr>
        <w:t>Pacific R. R.</w:t>
      </w:r>
      <w:r w:rsidRPr="00374DE2">
        <w:rPr>
          <w:rFonts w:eastAsia="Times New Roman"/>
          <w:i/>
          <w:color w:val="000000"/>
          <w:szCs w:val="26"/>
        </w:rPr>
        <w:t xml:space="preserve"> Co.</w:t>
      </w:r>
      <w:r>
        <w:rPr>
          <w:rFonts w:eastAsia="Times New Roman"/>
          <w:color w:val="000000"/>
          <w:szCs w:val="26"/>
        </w:rPr>
        <w:t xml:space="preserve"> (1885) 68 Cal. 171, 174 (dis. </w:t>
      </w:r>
      <w:proofErr w:type="spellStart"/>
      <w:r>
        <w:rPr>
          <w:rFonts w:eastAsia="Times New Roman"/>
          <w:color w:val="000000"/>
          <w:szCs w:val="26"/>
        </w:rPr>
        <w:t>opn</w:t>
      </w:r>
      <w:proofErr w:type="spellEnd"/>
      <w:r>
        <w:rPr>
          <w:rFonts w:eastAsia="Times New Roman"/>
          <w:color w:val="000000"/>
          <w:szCs w:val="26"/>
        </w:rPr>
        <w:t>. of McKee, J.)), it was also understood that any corporate liability under section 13008 was vicarious (</w:t>
      </w:r>
      <w:proofErr w:type="spellStart"/>
      <w:r w:rsidRPr="00374DE2">
        <w:rPr>
          <w:rFonts w:eastAsia="Times New Roman"/>
          <w:i/>
          <w:color w:val="000000"/>
          <w:szCs w:val="26"/>
        </w:rPr>
        <w:t>Haverstick</w:t>
      </w:r>
      <w:proofErr w:type="spellEnd"/>
      <w:r>
        <w:rPr>
          <w:rFonts w:eastAsia="Times New Roman"/>
          <w:color w:val="000000"/>
          <w:szCs w:val="26"/>
        </w:rPr>
        <w:t xml:space="preserve">, </w:t>
      </w:r>
      <w:r w:rsidRPr="00374DE2">
        <w:rPr>
          <w:rFonts w:eastAsia="Times New Roman"/>
          <w:i/>
          <w:color w:val="000000"/>
          <w:szCs w:val="26"/>
        </w:rPr>
        <w:t>supra</w:t>
      </w:r>
      <w:r>
        <w:rPr>
          <w:rFonts w:eastAsia="Times New Roman"/>
          <w:color w:val="000000"/>
          <w:szCs w:val="26"/>
        </w:rPr>
        <w:t>, 1 Cal.App.2</w:t>
      </w:r>
      <w:r>
        <w:rPr>
          <w:rFonts w:eastAsia="Times New Roman"/>
          <w:color w:val="000000"/>
          <w:szCs w:val="26"/>
        </w:rPr>
        <w:t>d at pp. 607-611).</w:t>
      </w:r>
      <w:r>
        <w:rPr>
          <w:rFonts w:eastAsia="Times New Roman"/>
          <w:szCs w:val="26"/>
        </w:rPr>
        <w:t xml:space="preserve">  </w:t>
      </w:r>
      <w:r>
        <w:rPr>
          <w:rFonts w:eastAsia="Times New Roman"/>
          <w:color w:val="000000"/>
          <w:szCs w:val="26"/>
        </w:rPr>
        <w:t>With its reference to section 13008, section 13009 also incorporated vicarious liability principles.</w:t>
      </w:r>
      <w:r>
        <w:rPr>
          <w:rFonts w:eastAsia="Times New Roman"/>
          <w:szCs w:val="26"/>
        </w:rPr>
        <w:t xml:space="preserve">  </w:t>
      </w:r>
      <w:r>
        <w:rPr>
          <w:rFonts w:eastAsia="Times New Roman"/>
          <w:color w:val="000000"/>
          <w:szCs w:val="26"/>
        </w:rPr>
        <w:t>Nothing in the legislative history suggests that the Legislature sought to change that when, in 1971, it deleted section 13009’s refer</w:t>
      </w:r>
      <w:r>
        <w:rPr>
          <w:rFonts w:eastAsia="Times New Roman"/>
          <w:color w:val="000000"/>
          <w:szCs w:val="26"/>
        </w:rPr>
        <w:t>ence to section 13008 but continued its use of the phrase “any person.”</w:t>
      </w:r>
    </w:p>
    <w:p w:rsidR="00BA7AF1" w:rsidRDefault="00196CB8" w:rsidP="00BA7AF1">
      <w:pPr>
        <w:tabs>
          <w:tab w:val="left" w:pos="1440"/>
          <w:tab w:val="left" w:pos="2880"/>
          <w:tab w:val="left" w:pos="4320"/>
          <w:tab w:val="left" w:pos="5760"/>
          <w:tab w:val="left" w:pos="7200"/>
        </w:tabs>
        <w:rPr>
          <w:rFonts w:eastAsia="Times New Roman"/>
          <w:color w:val="000000"/>
          <w:szCs w:val="26"/>
        </w:rPr>
      </w:pPr>
      <w:r>
        <w:rPr>
          <w:rFonts w:eastAsia="Times New Roman"/>
          <w:szCs w:val="26"/>
        </w:rPr>
        <w:tab/>
      </w:r>
      <w:r>
        <w:rPr>
          <w:rFonts w:eastAsia="Times New Roman"/>
          <w:color w:val="000000"/>
          <w:szCs w:val="26"/>
        </w:rPr>
        <w:t>Indeed, the 1971 amendment of section 13009 was wholly unrelated to corporations’ vicarious liability.</w:t>
      </w:r>
      <w:r w:rsidRPr="00EC08B8">
        <w:rPr>
          <w:rStyle w:val="FootnoteReference"/>
          <w:position w:val="8"/>
          <w:sz w:val="20"/>
          <w:szCs w:val="20"/>
          <w:vertAlign w:val="baseline"/>
        </w:rPr>
        <w:footnoteReference w:id="3"/>
      </w:r>
      <w:r>
        <w:rPr>
          <w:rFonts w:eastAsia="Times New Roman"/>
          <w:color w:val="000000"/>
          <w:szCs w:val="26"/>
        </w:rPr>
        <w:t xml:space="preserve">  In 1963, the court in </w:t>
      </w:r>
      <w:r w:rsidRPr="003F3811">
        <w:rPr>
          <w:rFonts w:eastAsia="Times New Roman"/>
          <w:i/>
          <w:color w:val="000000"/>
          <w:szCs w:val="26"/>
        </w:rPr>
        <w:t>People v. Williams</w:t>
      </w:r>
      <w:r>
        <w:rPr>
          <w:rFonts w:eastAsia="Times New Roman"/>
          <w:color w:val="000000"/>
          <w:szCs w:val="26"/>
        </w:rPr>
        <w:t xml:space="preserve"> (1963) 222 Cal.App.2d 152 held that s</w:t>
      </w:r>
      <w:r>
        <w:rPr>
          <w:rFonts w:eastAsia="Times New Roman"/>
          <w:color w:val="000000"/>
          <w:szCs w:val="26"/>
        </w:rPr>
        <w:t>tate agencies could not, pursuant to section 13009, recover costs for fighting fires that remained on the properties of those who started them.  (</w:t>
      </w:r>
      <w:r w:rsidRPr="00EA3F09">
        <w:rPr>
          <w:rFonts w:eastAsia="Times New Roman"/>
          <w:i/>
          <w:color w:val="000000"/>
          <w:szCs w:val="26"/>
        </w:rPr>
        <w:t>Id.</w:t>
      </w:r>
      <w:r>
        <w:rPr>
          <w:rFonts w:eastAsia="Times New Roman"/>
          <w:color w:val="000000"/>
          <w:szCs w:val="26"/>
        </w:rPr>
        <w:t xml:space="preserve"> at p. 155.)  This “create[d] an inequality in favor of the very large property owner.”  (Dept. of Conserva</w:t>
      </w:r>
      <w:r>
        <w:rPr>
          <w:rFonts w:eastAsia="Times New Roman"/>
          <w:color w:val="000000"/>
          <w:szCs w:val="26"/>
        </w:rPr>
        <w:t xml:space="preserve">tion, Enrolled Bill Rep. on </w:t>
      </w:r>
      <w:proofErr w:type="spellStart"/>
      <w:r>
        <w:rPr>
          <w:rFonts w:eastAsia="Times New Roman"/>
          <w:color w:val="000000"/>
          <w:szCs w:val="26"/>
        </w:rPr>
        <w:t>Assem</w:t>
      </w:r>
      <w:proofErr w:type="spellEnd"/>
      <w:r>
        <w:rPr>
          <w:rFonts w:eastAsia="Times New Roman"/>
          <w:color w:val="000000"/>
          <w:szCs w:val="26"/>
        </w:rPr>
        <w:t xml:space="preserve">. Bill No. 1247 prepared for Governor Reagan (Oct. 1971), p. 1; see also Sen. Com. on Judiciary, Background Information on </w:t>
      </w:r>
      <w:proofErr w:type="spellStart"/>
      <w:r>
        <w:rPr>
          <w:rFonts w:eastAsia="Times New Roman"/>
          <w:color w:val="000000"/>
          <w:szCs w:val="26"/>
        </w:rPr>
        <w:t>Assem</w:t>
      </w:r>
      <w:proofErr w:type="spellEnd"/>
      <w:r>
        <w:rPr>
          <w:rFonts w:eastAsia="Times New Roman"/>
          <w:color w:val="000000"/>
          <w:szCs w:val="26"/>
        </w:rPr>
        <w:t>. Bill No. 1247, p. 1.)  The Department of Conservation requested that the Legislature amend se</w:t>
      </w:r>
      <w:r>
        <w:rPr>
          <w:rFonts w:eastAsia="Times New Roman"/>
          <w:color w:val="000000"/>
          <w:szCs w:val="26"/>
        </w:rPr>
        <w:t xml:space="preserve">ction 13009 to remedy this inequality and permit public agencies to recover fighting fires costs regardless of whether a fire escaped the property of origin.  (Dept. of Conservation, </w:t>
      </w:r>
      <w:r>
        <w:rPr>
          <w:rFonts w:eastAsia="Times New Roman"/>
          <w:color w:val="000000"/>
          <w:szCs w:val="26"/>
        </w:rPr>
        <w:lastRenderedPageBreak/>
        <w:t xml:space="preserve">Enrolled Bill Rep. on </w:t>
      </w:r>
      <w:proofErr w:type="spellStart"/>
      <w:r>
        <w:rPr>
          <w:rFonts w:eastAsia="Times New Roman"/>
          <w:color w:val="000000"/>
          <w:szCs w:val="26"/>
        </w:rPr>
        <w:t>Assem</w:t>
      </w:r>
      <w:proofErr w:type="spellEnd"/>
      <w:r>
        <w:rPr>
          <w:rFonts w:eastAsia="Times New Roman"/>
          <w:color w:val="000000"/>
          <w:szCs w:val="26"/>
        </w:rPr>
        <w:t>. Bill No. 1247 prepared for Governor Reagan (</w:t>
      </w:r>
      <w:r>
        <w:rPr>
          <w:rFonts w:eastAsia="Times New Roman"/>
          <w:color w:val="000000"/>
          <w:szCs w:val="26"/>
        </w:rPr>
        <w:t xml:space="preserve">Oct. 1971), p. 2.)  The Legislature did so by adopting Assembly Bill No. 1247.  (See Stats. 1971, </w:t>
      </w:r>
      <w:proofErr w:type="spellStart"/>
      <w:r>
        <w:rPr>
          <w:rFonts w:eastAsia="Times New Roman"/>
          <w:color w:val="000000"/>
          <w:szCs w:val="26"/>
        </w:rPr>
        <w:t>ch.</w:t>
      </w:r>
      <w:proofErr w:type="spellEnd"/>
      <w:r>
        <w:rPr>
          <w:rFonts w:eastAsia="Times New Roman"/>
          <w:color w:val="000000"/>
          <w:szCs w:val="26"/>
        </w:rPr>
        <w:t xml:space="preserve"> 1202, § 1, p. 2297.)  The bill amended section 13009 to provide that liability could no longer be imposed “only where the fire damages the property of ano</w:t>
      </w:r>
      <w:r>
        <w:rPr>
          <w:rFonts w:eastAsia="Times New Roman"/>
          <w:color w:val="000000"/>
          <w:szCs w:val="26"/>
        </w:rPr>
        <w:t xml:space="preserve">ther” (Legis. Counsel’s Dig., </w:t>
      </w:r>
      <w:proofErr w:type="spellStart"/>
      <w:r>
        <w:rPr>
          <w:rFonts w:eastAsia="Times New Roman"/>
          <w:color w:val="000000"/>
          <w:szCs w:val="26"/>
        </w:rPr>
        <w:t>Assem</w:t>
      </w:r>
      <w:proofErr w:type="spellEnd"/>
      <w:r>
        <w:rPr>
          <w:rFonts w:eastAsia="Times New Roman"/>
          <w:color w:val="000000"/>
          <w:szCs w:val="26"/>
        </w:rPr>
        <w:t xml:space="preserve">. Bill No. 1247 (1971 Reg. Sess.)), a direct response to the </w:t>
      </w:r>
      <w:r w:rsidRPr="0005401E">
        <w:rPr>
          <w:rFonts w:eastAsia="Times New Roman"/>
          <w:i/>
          <w:color w:val="000000"/>
          <w:szCs w:val="26"/>
        </w:rPr>
        <w:t>Williams</w:t>
      </w:r>
      <w:r>
        <w:rPr>
          <w:rFonts w:eastAsia="Times New Roman"/>
          <w:color w:val="000000"/>
          <w:szCs w:val="26"/>
        </w:rPr>
        <w:t xml:space="preserve"> decision (see </w:t>
      </w:r>
      <w:r w:rsidRPr="0005401E">
        <w:rPr>
          <w:rFonts w:eastAsia="Times New Roman"/>
          <w:i/>
          <w:color w:val="000000"/>
          <w:szCs w:val="26"/>
        </w:rPr>
        <w:t>People v. Southern Pacific Co.</w:t>
      </w:r>
      <w:r w:rsidRPr="003C675B">
        <w:rPr>
          <w:rFonts w:eastAsia="Times New Roman"/>
          <w:color w:val="000000"/>
          <w:szCs w:val="26"/>
        </w:rPr>
        <w:t xml:space="preserve"> (1983) 139 Cal.App.3d 627, 637</w:t>
      </w:r>
      <w:r>
        <w:rPr>
          <w:rFonts w:eastAsia="Times New Roman"/>
          <w:color w:val="000000"/>
          <w:szCs w:val="26"/>
        </w:rPr>
        <w:t xml:space="preserve">). </w:t>
      </w:r>
    </w:p>
    <w:p w:rsidR="00BA7AF1" w:rsidRDefault="00196CB8" w:rsidP="00BA7AF1">
      <w:pPr>
        <w:tabs>
          <w:tab w:val="left" w:pos="1440"/>
          <w:tab w:val="left" w:pos="2880"/>
          <w:tab w:val="left" w:pos="4320"/>
          <w:tab w:val="left" w:pos="5760"/>
          <w:tab w:val="left" w:pos="7200"/>
        </w:tabs>
        <w:rPr>
          <w:rFonts w:eastAsia="Times New Roman"/>
          <w:color w:val="000000"/>
          <w:szCs w:val="26"/>
        </w:rPr>
      </w:pPr>
      <w:r>
        <w:rPr>
          <w:rFonts w:eastAsia="Times New Roman"/>
          <w:color w:val="000000"/>
          <w:szCs w:val="26"/>
        </w:rPr>
        <w:tab/>
        <w:t>This legislative history makes clear that the Legislature adopted Assem</w:t>
      </w:r>
      <w:r>
        <w:rPr>
          <w:rFonts w:eastAsia="Times New Roman"/>
          <w:color w:val="000000"/>
          <w:szCs w:val="26"/>
        </w:rPr>
        <w:t>bly Bill No. 1247 “to address a very specific problem”:  recovery of costs for fighting fires that do not escape a landowner’s property.  (</w:t>
      </w:r>
      <w:r w:rsidRPr="00EA30E9">
        <w:rPr>
          <w:rFonts w:eastAsia="Times New Roman"/>
          <w:i/>
          <w:color w:val="000000"/>
          <w:szCs w:val="26"/>
        </w:rPr>
        <w:t>Apple, Inc. v. Superior Court</w:t>
      </w:r>
      <w:r>
        <w:rPr>
          <w:rFonts w:eastAsia="Times New Roman"/>
          <w:color w:val="000000"/>
          <w:szCs w:val="26"/>
        </w:rPr>
        <w:t xml:space="preserve"> (2013) 56 Cal.4th 128, 146-147.)  Given this narrow, specific focus, it is “not surpris</w:t>
      </w:r>
      <w:r>
        <w:rPr>
          <w:rFonts w:eastAsia="Times New Roman"/>
          <w:color w:val="000000"/>
          <w:szCs w:val="26"/>
        </w:rPr>
        <w:t>ing” that there was no discussion of continuing or eliminating vicarious corporate liability under section 13009.  (</w:t>
      </w:r>
      <w:r w:rsidRPr="00100393">
        <w:rPr>
          <w:rFonts w:eastAsia="Times New Roman"/>
          <w:i/>
          <w:color w:val="000000"/>
          <w:szCs w:val="26"/>
        </w:rPr>
        <w:t>Id</w:t>
      </w:r>
      <w:r w:rsidRPr="00553C3D">
        <w:rPr>
          <w:rFonts w:eastAsia="Times New Roman"/>
          <w:color w:val="000000"/>
          <w:szCs w:val="26"/>
        </w:rPr>
        <w:t xml:space="preserve">. </w:t>
      </w:r>
      <w:r>
        <w:rPr>
          <w:rFonts w:eastAsia="Times New Roman"/>
          <w:color w:val="000000"/>
          <w:szCs w:val="26"/>
        </w:rPr>
        <w:t>at p. 147.)  The Legislature simply “</w:t>
      </w:r>
      <w:r w:rsidRPr="00EA30E9">
        <w:rPr>
          <w:rFonts w:eastAsia="Times New Roman"/>
          <w:color w:val="000000"/>
          <w:szCs w:val="26"/>
        </w:rPr>
        <w:t>was not presented with that issue.</w:t>
      </w:r>
      <w:r>
        <w:rPr>
          <w:rFonts w:eastAsia="Times New Roman"/>
          <w:color w:val="000000"/>
          <w:szCs w:val="26"/>
        </w:rPr>
        <w:t>”  (</w:t>
      </w:r>
      <w:r w:rsidRPr="00100393">
        <w:rPr>
          <w:rFonts w:eastAsia="Times New Roman"/>
          <w:i/>
          <w:color w:val="000000"/>
          <w:szCs w:val="26"/>
        </w:rPr>
        <w:t>Ibid</w:t>
      </w:r>
      <w:r w:rsidRPr="00553C3D">
        <w:rPr>
          <w:rFonts w:eastAsia="Times New Roman"/>
          <w:color w:val="000000"/>
          <w:szCs w:val="26"/>
        </w:rPr>
        <w:t>.</w:t>
      </w:r>
      <w:r>
        <w:rPr>
          <w:rFonts w:eastAsia="Times New Roman"/>
          <w:color w:val="000000"/>
          <w:szCs w:val="26"/>
        </w:rPr>
        <w:t>)</w:t>
      </w:r>
    </w:p>
    <w:p w:rsidR="00BA7AF1" w:rsidRDefault="00196CB8" w:rsidP="00BA7AF1">
      <w:pPr>
        <w:tabs>
          <w:tab w:val="left" w:pos="1440"/>
          <w:tab w:val="left" w:pos="2880"/>
          <w:tab w:val="left" w:pos="4320"/>
          <w:tab w:val="left" w:pos="5760"/>
          <w:tab w:val="left" w:pos="7200"/>
        </w:tabs>
        <w:rPr>
          <w:rFonts w:eastAsia="Times New Roman"/>
          <w:color w:val="000000"/>
          <w:szCs w:val="26"/>
        </w:rPr>
      </w:pPr>
      <w:r>
        <w:rPr>
          <w:rFonts w:eastAsia="Times New Roman"/>
          <w:color w:val="000000"/>
          <w:szCs w:val="26"/>
        </w:rPr>
        <w:tab/>
      </w:r>
      <w:r w:rsidRPr="00EA3F09">
        <w:rPr>
          <w:rFonts w:eastAsia="Times New Roman"/>
          <w:color w:val="000000"/>
          <w:szCs w:val="26"/>
        </w:rPr>
        <w:t>Moreover, the legislative</w:t>
      </w:r>
      <w:r>
        <w:rPr>
          <w:rFonts w:eastAsia="Times New Roman"/>
          <w:color w:val="000000"/>
          <w:szCs w:val="26"/>
        </w:rPr>
        <w:t xml:space="preserve"> history materials show that</w:t>
      </w:r>
      <w:r>
        <w:rPr>
          <w:rFonts w:eastAsia="Times New Roman"/>
          <w:color w:val="000000"/>
          <w:szCs w:val="26"/>
        </w:rPr>
        <w:t xml:space="preserve"> the Legislature made no distinction between “persons” subject to liability under section 13007 and those subject to liability under section 13008.  An analysis of Assembly Bill No. 1247 stated that, pursuant to the version of section 13009 then in effect,</w:t>
      </w:r>
      <w:r>
        <w:rPr>
          <w:rFonts w:eastAsia="Times New Roman"/>
          <w:color w:val="000000"/>
          <w:szCs w:val="26"/>
        </w:rPr>
        <w:t xml:space="preserve"> </w:t>
      </w:r>
      <w:r w:rsidRPr="0042527B">
        <w:rPr>
          <w:rFonts w:eastAsia="Times New Roman"/>
          <w:i/>
          <w:color w:val="000000"/>
          <w:szCs w:val="26"/>
        </w:rPr>
        <w:t>a person</w:t>
      </w:r>
      <w:r>
        <w:rPr>
          <w:rFonts w:eastAsia="Times New Roman"/>
          <w:color w:val="000000"/>
          <w:szCs w:val="26"/>
        </w:rPr>
        <w:t xml:space="preserve"> was liable for firefighting costs if they violated either section 13007 or section 13008:</w:t>
      </w:r>
    </w:p>
    <w:p w:rsidR="00BA7AF1" w:rsidRDefault="00196CB8" w:rsidP="00BA7AF1">
      <w:pPr>
        <w:tabs>
          <w:tab w:val="left" w:pos="1440"/>
          <w:tab w:val="left" w:pos="2880"/>
          <w:tab w:val="left" w:pos="4320"/>
          <w:tab w:val="left" w:pos="5760"/>
          <w:tab w:val="left" w:pos="7200"/>
        </w:tabs>
        <w:rPr>
          <w:rFonts w:eastAsia="Times New Roman"/>
          <w:color w:val="000000"/>
          <w:szCs w:val="26"/>
        </w:rPr>
      </w:pPr>
    </w:p>
    <w:p w:rsidR="00BA7AF1" w:rsidRDefault="00196CB8" w:rsidP="00BA7AF1">
      <w:pPr>
        <w:tabs>
          <w:tab w:val="left" w:pos="1440"/>
          <w:tab w:val="left" w:pos="2880"/>
          <w:tab w:val="left" w:pos="4320"/>
          <w:tab w:val="left" w:pos="5760"/>
          <w:tab w:val="left" w:pos="7200"/>
        </w:tabs>
        <w:ind w:left="720" w:right="720"/>
        <w:jc w:val="both"/>
        <w:rPr>
          <w:rFonts w:eastAsia="Times New Roman"/>
          <w:color w:val="000000"/>
          <w:szCs w:val="26"/>
        </w:rPr>
      </w:pPr>
      <w:r>
        <w:rPr>
          <w:rFonts w:eastAsia="Times New Roman"/>
          <w:color w:val="000000"/>
          <w:szCs w:val="26"/>
        </w:rPr>
        <w:t xml:space="preserve">Under existing law, </w:t>
      </w:r>
      <w:r w:rsidRPr="006C6DD6">
        <w:rPr>
          <w:rFonts w:eastAsia="Times New Roman"/>
          <w:i/>
          <w:color w:val="000000"/>
          <w:szCs w:val="26"/>
        </w:rPr>
        <w:t>a person</w:t>
      </w:r>
      <w:r>
        <w:rPr>
          <w:rFonts w:eastAsia="Times New Roman"/>
          <w:color w:val="000000"/>
          <w:szCs w:val="26"/>
        </w:rPr>
        <w:t xml:space="preserve"> is liable for the expense in fighting a fire if [they do] either of the following:  </w:t>
      </w:r>
    </w:p>
    <w:p w:rsidR="00BA7AF1" w:rsidRDefault="00196CB8" w:rsidP="00BA7AF1">
      <w:pPr>
        <w:tabs>
          <w:tab w:val="left" w:pos="1440"/>
          <w:tab w:val="left" w:pos="2880"/>
          <w:tab w:val="left" w:pos="4320"/>
          <w:tab w:val="left" w:pos="5760"/>
          <w:tab w:val="left" w:pos="7200"/>
        </w:tabs>
        <w:ind w:left="720" w:right="720"/>
        <w:jc w:val="both"/>
        <w:rPr>
          <w:rFonts w:eastAsia="Times New Roman"/>
          <w:color w:val="000000"/>
          <w:szCs w:val="26"/>
        </w:rPr>
      </w:pPr>
    </w:p>
    <w:p w:rsidR="00BA7AF1" w:rsidRDefault="00196CB8" w:rsidP="00BA7AF1">
      <w:pPr>
        <w:tabs>
          <w:tab w:val="left" w:pos="1440"/>
          <w:tab w:val="left" w:pos="2880"/>
          <w:tab w:val="left" w:pos="4320"/>
          <w:tab w:val="left" w:pos="5760"/>
          <w:tab w:val="left" w:pos="7200"/>
        </w:tabs>
        <w:ind w:left="720" w:right="720"/>
        <w:jc w:val="both"/>
        <w:rPr>
          <w:rFonts w:eastAsia="Times New Roman"/>
          <w:color w:val="000000"/>
          <w:szCs w:val="26"/>
        </w:rPr>
      </w:pPr>
      <w:r>
        <w:rPr>
          <w:rFonts w:eastAsia="Times New Roman"/>
          <w:color w:val="000000"/>
          <w:szCs w:val="26"/>
        </w:rPr>
        <w:t>(a) Willfully, negligently, or in violat</w:t>
      </w:r>
      <w:r>
        <w:rPr>
          <w:rFonts w:eastAsia="Times New Roman"/>
          <w:color w:val="000000"/>
          <w:szCs w:val="26"/>
        </w:rPr>
        <w:t xml:space="preserve">ion of law, sets fire to, allows fire to be set to, or allows a fire kindled </w:t>
      </w:r>
      <w:r>
        <w:rPr>
          <w:rFonts w:eastAsia="Times New Roman"/>
          <w:color w:val="000000"/>
          <w:szCs w:val="26"/>
        </w:rPr>
        <w:lastRenderedPageBreak/>
        <w:t>or attended by [them] to escape to, the property of another.</w:t>
      </w:r>
    </w:p>
    <w:p w:rsidR="00BA7AF1" w:rsidRDefault="00196CB8" w:rsidP="00BA7AF1">
      <w:pPr>
        <w:tabs>
          <w:tab w:val="left" w:pos="1440"/>
          <w:tab w:val="left" w:pos="2880"/>
          <w:tab w:val="left" w:pos="4320"/>
          <w:tab w:val="left" w:pos="5760"/>
          <w:tab w:val="left" w:pos="7200"/>
        </w:tabs>
        <w:ind w:left="720" w:right="720"/>
        <w:jc w:val="both"/>
        <w:rPr>
          <w:rFonts w:eastAsia="Times New Roman"/>
          <w:color w:val="000000"/>
          <w:szCs w:val="26"/>
        </w:rPr>
      </w:pPr>
    </w:p>
    <w:p w:rsidR="00BA7AF1" w:rsidRDefault="00196CB8" w:rsidP="00BA7AF1">
      <w:pPr>
        <w:tabs>
          <w:tab w:val="left" w:pos="1440"/>
          <w:tab w:val="left" w:pos="2880"/>
          <w:tab w:val="left" w:pos="4320"/>
          <w:tab w:val="left" w:pos="5760"/>
          <w:tab w:val="left" w:pos="7200"/>
        </w:tabs>
        <w:ind w:left="720" w:right="720"/>
        <w:jc w:val="both"/>
        <w:rPr>
          <w:rFonts w:eastAsia="Times New Roman"/>
          <w:color w:val="000000"/>
          <w:szCs w:val="26"/>
        </w:rPr>
      </w:pPr>
      <w:r>
        <w:rPr>
          <w:rFonts w:eastAsia="Times New Roman"/>
          <w:color w:val="000000"/>
          <w:szCs w:val="26"/>
        </w:rPr>
        <w:t>(b) Allows any fire burning upon [their] property to escape to the property of another without exercising due diligen</w:t>
      </w:r>
      <w:r>
        <w:rPr>
          <w:rFonts w:eastAsia="Times New Roman"/>
          <w:color w:val="000000"/>
          <w:szCs w:val="26"/>
        </w:rPr>
        <w:t>ce to control the fire.</w:t>
      </w:r>
    </w:p>
    <w:p w:rsidR="00BA7AF1" w:rsidRDefault="00196CB8" w:rsidP="00BA7AF1">
      <w:pPr>
        <w:tabs>
          <w:tab w:val="left" w:pos="1440"/>
          <w:tab w:val="left" w:pos="2880"/>
          <w:tab w:val="left" w:pos="4320"/>
          <w:tab w:val="left" w:pos="5760"/>
          <w:tab w:val="left" w:pos="7200"/>
        </w:tabs>
        <w:rPr>
          <w:rFonts w:eastAsia="Times New Roman"/>
          <w:color w:val="000000"/>
          <w:szCs w:val="26"/>
        </w:rPr>
      </w:pPr>
    </w:p>
    <w:p w:rsidR="00BA7AF1" w:rsidRDefault="00196CB8" w:rsidP="00BA7AF1">
      <w:pPr>
        <w:rPr>
          <w:rFonts w:eastAsia="Times New Roman"/>
          <w:color w:val="000000"/>
          <w:szCs w:val="26"/>
        </w:rPr>
      </w:pPr>
      <w:r>
        <w:rPr>
          <w:rFonts w:eastAsia="Times New Roman"/>
          <w:color w:val="000000"/>
          <w:szCs w:val="26"/>
        </w:rPr>
        <w:t xml:space="preserve">(Dept. of Conservation, Fire Fighting Expenses Liability, Analysis of </w:t>
      </w:r>
      <w:proofErr w:type="spellStart"/>
      <w:r>
        <w:rPr>
          <w:rFonts w:eastAsia="Times New Roman"/>
          <w:color w:val="000000"/>
          <w:szCs w:val="26"/>
        </w:rPr>
        <w:t>Assem</w:t>
      </w:r>
      <w:proofErr w:type="spellEnd"/>
      <w:r>
        <w:rPr>
          <w:rFonts w:eastAsia="Times New Roman"/>
          <w:color w:val="000000"/>
          <w:szCs w:val="26"/>
        </w:rPr>
        <w:t>. Bill No. 1247, July 19, 1971, p. 2, italics added.)  The amended version of section 13009 would:</w:t>
      </w:r>
    </w:p>
    <w:p w:rsidR="00BA7AF1" w:rsidRDefault="00196CB8" w:rsidP="00BA7AF1">
      <w:pPr>
        <w:tabs>
          <w:tab w:val="left" w:pos="1440"/>
          <w:tab w:val="left" w:pos="2880"/>
          <w:tab w:val="left" w:pos="4320"/>
          <w:tab w:val="left" w:pos="5760"/>
          <w:tab w:val="left" w:pos="7200"/>
        </w:tabs>
        <w:rPr>
          <w:rFonts w:eastAsia="Times New Roman"/>
          <w:color w:val="000000"/>
          <w:szCs w:val="26"/>
        </w:rPr>
      </w:pPr>
    </w:p>
    <w:p w:rsidR="00BA7AF1" w:rsidRDefault="00196CB8" w:rsidP="00BA7AF1">
      <w:pPr>
        <w:tabs>
          <w:tab w:val="left" w:pos="1440"/>
          <w:tab w:val="left" w:pos="2880"/>
          <w:tab w:val="left" w:pos="4320"/>
          <w:tab w:val="left" w:pos="5760"/>
          <w:tab w:val="left" w:pos="7200"/>
        </w:tabs>
        <w:ind w:left="720" w:right="720"/>
        <w:jc w:val="both"/>
        <w:rPr>
          <w:rFonts w:eastAsia="Times New Roman"/>
          <w:color w:val="000000"/>
          <w:szCs w:val="26"/>
        </w:rPr>
      </w:pPr>
      <w:r>
        <w:rPr>
          <w:rFonts w:eastAsia="Times New Roman"/>
          <w:color w:val="000000"/>
          <w:szCs w:val="26"/>
        </w:rPr>
        <w:t xml:space="preserve">Impose[] liability for such expense upon </w:t>
      </w:r>
      <w:r w:rsidRPr="006C6DD6">
        <w:rPr>
          <w:rFonts w:eastAsia="Times New Roman"/>
          <w:i/>
          <w:color w:val="000000"/>
          <w:szCs w:val="26"/>
        </w:rPr>
        <w:t>a person</w:t>
      </w:r>
      <w:r>
        <w:rPr>
          <w:rFonts w:eastAsia="Times New Roman"/>
          <w:color w:val="000000"/>
          <w:szCs w:val="26"/>
        </w:rPr>
        <w:t xml:space="preserve"> who ne</w:t>
      </w:r>
      <w:r>
        <w:rPr>
          <w:rFonts w:eastAsia="Times New Roman"/>
          <w:color w:val="000000"/>
          <w:szCs w:val="26"/>
        </w:rPr>
        <w:t>gligently, or in violation of the law, does any of the following:</w:t>
      </w:r>
    </w:p>
    <w:p w:rsidR="00BA7AF1" w:rsidRDefault="00196CB8" w:rsidP="00BA7AF1">
      <w:pPr>
        <w:tabs>
          <w:tab w:val="left" w:pos="1440"/>
          <w:tab w:val="left" w:pos="2880"/>
          <w:tab w:val="left" w:pos="4320"/>
          <w:tab w:val="left" w:pos="5760"/>
          <w:tab w:val="left" w:pos="7200"/>
        </w:tabs>
        <w:rPr>
          <w:rFonts w:eastAsia="Times New Roman"/>
          <w:color w:val="000000"/>
          <w:szCs w:val="26"/>
        </w:rPr>
      </w:pPr>
    </w:p>
    <w:p w:rsidR="00BA7AF1" w:rsidRDefault="00196CB8" w:rsidP="00BA7AF1">
      <w:pPr>
        <w:tabs>
          <w:tab w:val="left" w:pos="1440"/>
          <w:tab w:val="left" w:pos="2880"/>
          <w:tab w:val="left" w:pos="4320"/>
          <w:tab w:val="left" w:pos="5760"/>
          <w:tab w:val="left" w:pos="7200"/>
        </w:tabs>
        <w:ind w:left="720" w:right="720"/>
        <w:jc w:val="both"/>
        <w:rPr>
          <w:rFonts w:eastAsia="Times New Roman"/>
          <w:color w:val="000000"/>
          <w:szCs w:val="26"/>
        </w:rPr>
      </w:pPr>
      <w:r>
        <w:rPr>
          <w:rFonts w:eastAsia="Times New Roman"/>
          <w:color w:val="000000"/>
          <w:szCs w:val="26"/>
        </w:rPr>
        <w:t>(1) Sets a fire.</w:t>
      </w:r>
    </w:p>
    <w:p w:rsidR="00BA7AF1" w:rsidRDefault="00196CB8" w:rsidP="00BA7AF1">
      <w:pPr>
        <w:tabs>
          <w:tab w:val="left" w:pos="1440"/>
          <w:tab w:val="left" w:pos="2880"/>
          <w:tab w:val="left" w:pos="4320"/>
          <w:tab w:val="left" w:pos="5760"/>
          <w:tab w:val="left" w:pos="7200"/>
        </w:tabs>
        <w:ind w:left="720" w:right="720"/>
        <w:jc w:val="both"/>
        <w:rPr>
          <w:rFonts w:eastAsia="Times New Roman"/>
          <w:color w:val="000000"/>
          <w:szCs w:val="26"/>
        </w:rPr>
      </w:pPr>
    </w:p>
    <w:p w:rsidR="00BA7AF1" w:rsidRDefault="00196CB8" w:rsidP="00BA7AF1">
      <w:pPr>
        <w:tabs>
          <w:tab w:val="left" w:pos="1440"/>
          <w:tab w:val="left" w:pos="2880"/>
          <w:tab w:val="left" w:pos="4320"/>
          <w:tab w:val="left" w:pos="5760"/>
          <w:tab w:val="left" w:pos="7200"/>
        </w:tabs>
        <w:ind w:left="720" w:right="720"/>
        <w:jc w:val="both"/>
        <w:rPr>
          <w:rFonts w:eastAsia="Times New Roman"/>
          <w:color w:val="000000"/>
          <w:szCs w:val="26"/>
        </w:rPr>
      </w:pPr>
      <w:r>
        <w:rPr>
          <w:rFonts w:eastAsia="Times New Roman"/>
          <w:color w:val="000000"/>
          <w:szCs w:val="26"/>
        </w:rPr>
        <w:t>(2) Allows a fire to be set.</w:t>
      </w:r>
    </w:p>
    <w:p w:rsidR="00BA7AF1" w:rsidRDefault="00196CB8" w:rsidP="00BA7AF1">
      <w:pPr>
        <w:tabs>
          <w:tab w:val="left" w:pos="1440"/>
          <w:tab w:val="left" w:pos="2880"/>
          <w:tab w:val="left" w:pos="4320"/>
          <w:tab w:val="left" w:pos="5760"/>
          <w:tab w:val="left" w:pos="7200"/>
        </w:tabs>
        <w:ind w:left="720" w:right="720"/>
        <w:jc w:val="both"/>
        <w:rPr>
          <w:rFonts w:eastAsia="Times New Roman"/>
          <w:color w:val="000000"/>
          <w:szCs w:val="26"/>
        </w:rPr>
      </w:pPr>
    </w:p>
    <w:p w:rsidR="00BA7AF1" w:rsidRDefault="00196CB8" w:rsidP="00BA7AF1">
      <w:pPr>
        <w:tabs>
          <w:tab w:val="left" w:pos="1440"/>
          <w:tab w:val="left" w:pos="2880"/>
          <w:tab w:val="left" w:pos="4320"/>
          <w:tab w:val="left" w:pos="5760"/>
          <w:tab w:val="left" w:pos="7200"/>
        </w:tabs>
        <w:ind w:left="720" w:right="720"/>
        <w:jc w:val="both"/>
        <w:rPr>
          <w:rFonts w:eastAsia="Times New Roman"/>
          <w:color w:val="000000"/>
          <w:szCs w:val="26"/>
        </w:rPr>
      </w:pPr>
      <w:r>
        <w:rPr>
          <w:rFonts w:eastAsia="Times New Roman"/>
          <w:color w:val="000000"/>
          <w:szCs w:val="26"/>
        </w:rPr>
        <w:t>(3) Allows a fire kindled or attended by [them] to escape onto any forest, range, or nonresidential grass-covered land.</w:t>
      </w:r>
    </w:p>
    <w:p w:rsidR="00BA7AF1" w:rsidRDefault="00196CB8" w:rsidP="00BA7AF1">
      <w:pPr>
        <w:tabs>
          <w:tab w:val="left" w:pos="1440"/>
          <w:tab w:val="left" w:pos="2880"/>
          <w:tab w:val="left" w:pos="4320"/>
          <w:tab w:val="left" w:pos="5760"/>
          <w:tab w:val="left" w:pos="7200"/>
        </w:tabs>
        <w:rPr>
          <w:rFonts w:eastAsia="Times New Roman"/>
          <w:color w:val="000000"/>
          <w:szCs w:val="26"/>
        </w:rPr>
      </w:pPr>
    </w:p>
    <w:p w:rsidR="00BA7AF1" w:rsidRDefault="00196CB8" w:rsidP="00BA7AF1">
      <w:pPr>
        <w:tabs>
          <w:tab w:val="left" w:pos="1440"/>
          <w:tab w:val="left" w:pos="2880"/>
          <w:tab w:val="left" w:pos="4320"/>
          <w:tab w:val="left" w:pos="5760"/>
          <w:tab w:val="left" w:pos="7200"/>
        </w:tabs>
        <w:rPr>
          <w:rFonts w:eastAsia="Times New Roman"/>
          <w:color w:val="000000"/>
          <w:szCs w:val="26"/>
        </w:rPr>
      </w:pPr>
      <w:r>
        <w:rPr>
          <w:rFonts w:eastAsia="Times New Roman"/>
          <w:color w:val="000000"/>
          <w:szCs w:val="26"/>
        </w:rPr>
        <w:t>(</w:t>
      </w:r>
      <w:r w:rsidRPr="006C6DD6">
        <w:rPr>
          <w:rFonts w:eastAsia="Times New Roman"/>
          <w:i/>
          <w:color w:val="000000"/>
          <w:szCs w:val="26"/>
        </w:rPr>
        <w:t>Id</w:t>
      </w:r>
      <w:r w:rsidRPr="00553C3D">
        <w:rPr>
          <w:rFonts w:eastAsia="Times New Roman"/>
          <w:color w:val="000000"/>
          <w:szCs w:val="26"/>
        </w:rPr>
        <w:t>.</w:t>
      </w:r>
      <w:r>
        <w:rPr>
          <w:rFonts w:eastAsia="Times New Roman"/>
          <w:color w:val="000000"/>
          <w:szCs w:val="26"/>
        </w:rPr>
        <w:t xml:space="preserve"> at p. 1, italic</w:t>
      </w:r>
      <w:r>
        <w:rPr>
          <w:rFonts w:eastAsia="Times New Roman"/>
          <w:color w:val="000000"/>
          <w:szCs w:val="26"/>
        </w:rPr>
        <w:t xml:space="preserve">s added.) </w:t>
      </w:r>
    </w:p>
    <w:p w:rsidR="00BA7AF1" w:rsidRDefault="00196CB8" w:rsidP="00BA7AF1">
      <w:pPr>
        <w:tabs>
          <w:tab w:val="left" w:pos="1440"/>
          <w:tab w:val="left" w:pos="2880"/>
          <w:tab w:val="left" w:pos="4320"/>
          <w:tab w:val="left" w:pos="5760"/>
          <w:tab w:val="left" w:pos="7200"/>
        </w:tabs>
        <w:rPr>
          <w:rFonts w:eastAsia="Times New Roman"/>
          <w:color w:val="000000"/>
          <w:szCs w:val="26"/>
        </w:rPr>
      </w:pPr>
      <w:r>
        <w:rPr>
          <w:rFonts w:eastAsia="Times New Roman"/>
          <w:color w:val="000000"/>
          <w:szCs w:val="26"/>
        </w:rPr>
        <w:tab/>
        <w:t>The Legislature’s consistent use of “</w:t>
      </w:r>
      <w:r w:rsidRPr="00101423">
        <w:rPr>
          <w:rFonts w:eastAsia="Times New Roman"/>
          <w:color w:val="000000"/>
          <w:szCs w:val="26"/>
        </w:rPr>
        <w:t>a person</w:t>
      </w:r>
      <w:r>
        <w:rPr>
          <w:rFonts w:eastAsia="Times New Roman"/>
          <w:color w:val="000000"/>
          <w:szCs w:val="26"/>
        </w:rPr>
        <w:t>”—not qualified by “personally or through another”—when discussing sections 13007, 13008, and 13009 reinforces our conclusion that it did not seek to eliminate vicarious liability when it amended sec</w:t>
      </w:r>
      <w:r>
        <w:rPr>
          <w:rFonts w:eastAsia="Times New Roman"/>
          <w:color w:val="000000"/>
          <w:szCs w:val="26"/>
        </w:rPr>
        <w:t xml:space="preserve">tion 13009 in 1971.  As the </w:t>
      </w:r>
      <w:r w:rsidRPr="003234E7">
        <w:rPr>
          <w:rFonts w:eastAsia="Times New Roman"/>
          <w:i/>
          <w:color w:val="000000"/>
          <w:szCs w:val="26"/>
        </w:rPr>
        <w:t>Howell</w:t>
      </w:r>
      <w:r>
        <w:rPr>
          <w:rFonts w:eastAsia="Times New Roman"/>
          <w:color w:val="000000"/>
          <w:szCs w:val="26"/>
        </w:rPr>
        <w:t xml:space="preserve"> majority recognized (and as PCCC concedes), section 13007 has always permitted vicarious </w:t>
      </w:r>
      <w:r>
        <w:rPr>
          <w:rFonts w:eastAsia="Times New Roman"/>
          <w:color w:val="000000"/>
          <w:szCs w:val="26"/>
        </w:rPr>
        <w:lastRenderedPageBreak/>
        <w:t>corporate liability.  (</w:t>
      </w:r>
      <w:r w:rsidRPr="003234E7">
        <w:rPr>
          <w:rFonts w:eastAsia="Times New Roman"/>
          <w:i/>
          <w:color w:val="000000"/>
          <w:szCs w:val="26"/>
        </w:rPr>
        <w:t>Howell</w:t>
      </w:r>
      <w:r>
        <w:rPr>
          <w:rFonts w:eastAsia="Times New Roman"/>
          <w:color w:val="000000"/>
          <w:szCs w:val="26"/>
        </w:rPr>
        <w:t xml:space="preserve">, </w:t>
      </w:r>
      <w:r w:rsidRPr="003234E7">
        <w:rPr>
          <w:rFonts w:eastAsia="Times New Roman"/>
          <w:i/>
          <w:color w:val="000000"/>
          <w:szCs w:val="26"/>
        </w:rPr>
        <w:t>supra</w:t>
      </w:r>
      <w:r>
        <w:rPr>
          <w:rFonts w:eastAsia="Times New Roman"/>
          <w:color w:val="000000"/>
          <w:szCs w:val="26"/>
        </w:rPr>
        <w:t>, 18 Cal.App.5th at pp. 178-180.)  Why sections 13008 and 13009 would not, despite the Legislatu</w:t>
      </w:r>
      <w:r>
        <w:rPr>
          <w:rFonts w:eastAsia="Times New Roman"/>
          <w:color w:val="000000"/>
          <w:szCs w:val="26"/>
        </w:rPr>
        <w:t xml:space="preserve">re’s use of the same descriptors, is left unanswered in </w:t>
      </w:r>
      <w:r w:rsidRPr="00831B5D">
        <w:rPr>
          <w:rFonts w:eastAsia="Times New Roman"/>
          <w:i/>
          <w:color w:val="000000"/>
          <w:szCs w:val="26"/>
        </w:rPr>
        <w:t>Howell</w:t>
      </w:r>
      <w:r>
        <w:rPr>
          <w:rFonts w:eastAsia="Times New Roman"/>
          <w:color w:val="000000"/>
          <w:szCs w:val="26"/>
        </w:rPr>
        <w:t>.  “</w:t>
      </w:r>
      <w:r w:rsidRPr="00836957">
        <w:rPr>
          <w:rFonts w:eastAsia="Times New Roman"/>
          <w:color w:val="000000"/>
          <w:szCs w:val="26"/>
        </w:rPr>
        <w:t>The Legislature [was] not required to use the same language to accomplish the same ends.”  (</w:t>
      </w:r>
      <w:r w:rsidRPr="00836957">
        <w:rPr>
          <w:rFonts w:eastAsia="Times New Roman"/>
          <w:i/>
          <w:color w:val="000000"/>
          <w:szCs w:val="26"/>
        </w:rPr>
        <w:t>Niles Freeman Equipment v. Joseph</w:t>
      </w:r>
      <w:r w:rsidRPr="00836957">
        <w:rPr>
          <w:rFonts w:eastAsia="Times New Roman"/>
          <w:color w:val="000000"/>
          <w:szCs w:val="26"/>
        </w:rPr>
        <w:t xml:space="preserve"> (2008) 161 Cal.App.4th 765, 783.)</w:t>
      </w:r>
    </w:p>
    <w:p w:rsidR="00BA7AF1" w:rsidRPr="00BE386E" w:rsidRDefault="00196CB8" w:rsidP="00BA7AF1">
      <w:pPr>
        <w:tabs>
          <w:tab w:val="left" w:pos="1440"/>
          <w:tab w:val="left" w:pos="2880"/>
          <w:tab w:val="left" w:pos="4320"/>
          <w:tab w:val="left" w:pos="5760"/>
          <w:tab w:val="left" w:pos="7200"/>
        </w:tabs>
        <w:jc w:val="center"/>
        <w:rPr>
          <w:rFonts w:eastAsia="Times New Roman"/>
          <w:i/>
          <w:color w:val="000000"/>
          <w:szCs w:val="26"/>
        </w:rPr>
      </w:pPr>
      <w:r w:rsidRPr="00BE386E">
        <w:rPr>
          <w:rFonts w:eastAsia="Times New Roman"/>
          <w:i/>
          <w:color w:val="000000"/>
          <w:szCs w:val="26"/>
        </w:rPr>
        <w:t>Rule against surplusage</w:t>
      </w:r>
    </w:p>
    <w:p w:rsidR="00BA7AF1" w:rsidRDefault="00196CB8" w:rsidP="00BA7AF1">
      <w:pPr>
        <w:tabs>
          <w:tab w:val="left" w:pos="1440"/>
          <w:tab w:val="left" w:pos="2880"/>
          <w:tab w:val="left" w:pos="4320"/>
          <w:tab w:val="left" w:pos="5760"/>
          <w:tab w:val="left" w:pos="7200"/>
        </w:tabs>
        <w:rPr>
          <w:rFonts w:eastAsia="Times New Roman"/>
          <w:color w:val="000000"/>
          <w:szCs w:val="26"/>
        </w:rPr>
      </w:pPr>
      <w:r>
        <w:rPr>
          <w:rFonts w:eastAsia="Times New Roman"/>
          <w:color w:val="000000"/>
          <w:szCs w:val="26"/>
        </w:rPr>
        <w:tab/>
        <w:t xml:space="preserve">PCCC </w:t>
      </w:r>
      <w:r>
        <w:rPr>
          <w:rFonts w:eastAsia="Times New Roman"/>
          <w:color w:val="000000"/>
          <w:szCs w:val="26"/>
        </w:rPr>
        <w:t xml:space="preserve">argues that basing its liability for the Sherpa Fire on sections 13009 and 13009.1 would render the phrase “personally or through another” surplusage in section 13007.  (See </w:t>
      </w:r>
      <w:r w:rsidRPr="00E12CA8">
        <w:rPr>
          <w:rFonts w:eastAsia="Times New Roman"/>
          <w:i/>
          <w:color w:val="000000"/>
          <w:szCs w:val="26"/>
        </w:rPr>
        <w:t>Howell</w:t>
      </w:r>
      <w:r>
        <w:rPr>
          <w:rFonts w:eastAsia="Times New Roman"/>
          <w:color w:val="000000"/>
          <w:szCs w:val="26"/>
        </w:rPr>
        <w:t xml:space="preserve">, </w:t>
      </w:r>
      <w:r w:rsidRPr="00E12CA8">
        <w:rPr>
          <w:rFonts w:eastAsia="Times New Roman"/>
          <w:i/>
          <w:color w:val="000000"/>
          <w:szCs w:val="26"/>
        </w:rPr>
        <w:t>supra</w:t>
      </w:r>
      <w:r>
        <w:rPr>
          <w:rFonts w:eastAsia="Times New Roman"/>
          <w:color w:val="000000"/>
          <w:szCs w:val="26"/>
        </w:rPr>
        <w:t xml:space="preserve">, 18 Cal.App.5th at p. 179, </w:t>
      </w:r>
      <w:r w:rsidRPr="00FC5F3E">
        <w:rPr>
          <w:rFonts w:eastAsia="Times New Roman"/>
          <w:szCs w:val="26"/>
        </w:rPr>
        <w:t xml:space="preserve">citing </w:t>
      </w:r>
      <w:r w:rsidRPr="00FC5F3E">
        <w:rPr>
          <w:rFonts w:eastAsia="Times New Roman"/>
          <w:i/>
          <w:iCs/>
          <w:szCs w:val="26"/>
        </w:rPr>
        <w:t>Tuolumne Jobs &amp; Small Business All</w:t>
      </w:r>
      <w:r w:rsidRPr="00FC5F3E">
        <w:rPr>
          <w:rFonts w:eastAsia="Times New Roman"/>
          <w:i/>
          <w:iCs/>
          <w:szCs w:val="26"/>
        </w:rPr>
        <w:t>iance v. Superior Court</w:t>
      </w:r>
      <w:r w:rsidRPr="00FC5F3E">
        <w:rPr>
          <w:rFonts w:eastAsia="Times New Roman"/>
          <w:szCs w:val="26"/>
        </w:rPr>
        <w:t xml:space="preserve"> (2014) 59 Cal.4th 1029, 1038 [courts should avoid interpretations that render provisions s</w:t>
      </w:r>
      <w:r>
        <w:rPr>
          <w:rFonts w:eastAsia="Times New Roman"/>
          <w:szCs w:val="26"/>
        </w:rPr>
        <w:t>uperfluous</w:t>
      </w:r>
      <w:r w:rsidRPr="00FC5F3E">
        <w:rPr>
          <w:rFonts w:eastAsia="Times New Roman"/>
          <w:szCs w:val="26"/>
        </w:rPr>
        <w:t>].)</w:t>
      </w:r>
      <w:r>
        <w:rPr>
          <w:rFonts w:eastAsia="Times New Roman"/>
          <w:color w:val="000000"/>
          <w:szCs w:val="26"/>
        </w:rPr>
        <w:t xml:space="preserve">  That may be true.  But “[w]e are not required to assume that the Legislature [chose] ‘the most economical means of expression’”</w:t>
      </w:r>
      <w:r>
        <w:rPr>
          <w:rFonts w:eastAsia="Times New Roman"/>
          <w:color w:val="000000"/>
          <w:szCs w:val="26"/>
        </w:rPr>
        <w:t xml:space="preserve"> when it wrote every statute.  (</w:t>
      </w:r>
      <w:r w:rsidRPr="009C00E5">
        <w:rPr>
          <w:rFonts w:eastAsia="Times New Roman"/>
          <w:i/>
          <w:color w:val="000000"/>
          <w:szCs w:val="26"/>
        </w:rPr>
        <w:t>People v. Martinez</w:t>
      </w:r>
      <w:r>
        <w:rPr>
          <w:rFonts w:eastAsia="Times New Roman"/>
          <w:color w:val="000000"/>
          <w:szCs w:val="26"/>
        </w:rPr>
        <w:t xml:space="preserve"> (1995) 11 Cal.4th 434, 449.)  Our job is to determine the Legislature’s intent.  (</w:t>
      </w:r>
      <w:r w:rsidRPr="009C00E5">
        <w:rPr>
          <w:rFonts w:eastAsia="Times New Roman"/>
          <w:i/>
          <w:color w:val="000000"/>
          <w:szCs w:val="26"/>
        </w:rPr>
        <w:t>Pacific Palisades</w:t>
      </w:r>
      <w:r>
        <w:rPr>
          <w:rFonts w:eastAsia="Times New Roman"/>
          <w:color w:val="000000"/>
          <w:szCs w:val="26"/>
        </w:rPr>
        <w:t xml:space="preserve">, </w:t>
      </w:r>
      <w:r w:rsidRPr="009C00E5">
        <w:rPr>
          <w:rFonts w:eastAsia="Times New Roman"/>
          <w:i/>
          <w:color w:val="000000"/>
          <w:szCs w:val="26"/>
        </w:rPr>
        <w:t>supra</w:t>
      </w:r>
      <w:r>
        <w:rPr>
          <w:rFonts w:eastAsia="Times New Roman"/>
          <w:color w:val="000000"/>
          <w:szCs w:val="26"/>
        </w:rPr>
        <w:t xml:space="preserve">, 55 Cal.4th at p. 803.)  </w:t>
      </w:r>
      <w:r w:rsidRPr="009C00E5">
        <w:rPr>
          <w:rFonts w:eastAsia="Times New Roman"/>
          <w:color w:val="000000"/>
          <w:szCs w:val="26"/>
        </w:rPr>
        <w:t>Where s</w:t>
      </w:r>
      <w:r>
        <w:rPr>
          <w:rFonts w:eastAsia="Times New Roman"/>
          <w:color w:val="000000"/>
          <w:szCs w:val="26"/>
        </w:rPr>
        <w:t>urplus</w:t>
      </w:r>
      <w:r w:rsidRPr="009C00E5">
        <w:rPr>
          <w:rFonts w:eastAsia="Times New Roman"/>
          <w:color w:val="000000"/>
          <w:szCs w:val="26"/>
        </w:rPr>
        <w:t xml:space="preserve"> language is absent in one statute but present in another, </w:t>
      </w:r>
      <w:r>
        <w:rPr>
          <w:rFonts w:eastAsia="Times New Roman"/>
          <w:color w:val="000000"/>
          <w:szCs w:val="26"/>
        </w:rPr>
        <w:t>w</w:t>
      </w:r>
      <w:r>
        <w:rPr>
          <w:rFonts w:eastAsia="Times New Roman"/>
          <w:color w:val="000000"/>
          <w:szCs w:val="26"/>
        </w:rPr>
        <w:t>e will</w:t>
      </w:r>
      <w:r w:rsidRPr="009C00E5">
        <w:rPr>
          <w:rFonts w:eastAsia="Times New Roman"/>
          <w:color w:val="000000"/>
          <w:szCs w:val="26"/>
        </w:rPr>
        <w:t xml:space="preserve"> not </w:t>
      </w:r>
      <w:r>
        <w:rPr>
          <w:rFonts w:eastAsia="Times New Roman"/>
          <w:color w:val="000000"/>
          <w:szCs w:val="26"/>
        </w:rPr>
        <w:t>ignore that intent simply so we can</w:t>
      </w:r>
      <w:r w:rsidRPr="009C00E5">
        <w:rPr>
          <w:rFonts w:eastAsia="Times New Roman"/>
          <w:color w:val="000000"/>
          <w:szCs w:val="26"/>
        </w:rPr>
        <w:t xml:space="preserve"> give special meaning to the </w:t>
      </w:r>
      <w:r>
        <w:rPr>
          <w:rFonts w:eastAsia="Times New Roman"/>
          <w:color w:val="000000"/>
          <w:szCs w:val="26"/>
        </w:rPr>
        <w:t>surplus</w:t>
      </w:r>
      <w:r w:rsidRPr="009C00E5">
        <w:rPr>
          <w:rFonts w:eastAsia="Times New Roman"/>
          <w:color w:val="000000"/>
          <w:szCs w:val="26"/>
        </w:rPr>
        <w:t xml:space="preserve"> words.  (</w:t>
      </w:r>
      <w:r w:rsidRPr="009C00E5">
        <w:rPr>
          <w:rFonts w:eastAsia="Times New Roman"/>
          <w:i/>
          <w:color w:val="000000"/>
          <w:szCs w:val="26"/>
        </w:rPr>
        <w:t xml:space="preserve">People v. </w:t>
      </w:r>
      <w:r>
        <w:rPr>
          <w:rFonts w:eastAsia="Times New Roman"/>
          <w:i/>
          <w:color w:val="000000"/>
          <w:szCs w:val="26"/>
        </w:rPr>
        <w:t>Cruz</w:t>
      </w:r>
      <w:r w:rsidRPr="009C00E5">
        <w:rPr>
          <w:rFonts w:eastAsia="Times New Roman"/>
          <w:color w:val="000000"/>
          <w:szCs w:val="26"/>
        </w:rPr>
        <w:t xml:space="preserve"> (199</w:t>
      </w:r>
      <w:r>
        <w:rPr>
          <w:rFonts w:eastAsia="Times New Roman"/>
          <w:color w:val="000000"/>
          <w:szCs w:val="26"/>
        </w:rPr>
        <w:t>6</w:t>
      </w:r>
      <w:r w:rsidRPr="009C00E5">
        <w:rPr>
          <w:rFonts w:eastAsia="Times New Roman"/>
          <w:color w:val="000000"/>
          <w:szCs w:val="26"/>
        </w:rPr>
        <w:t xml:space="preserve">) </w:t>
      </w:r>
      <w:r>
        <w:rPr>
          <w:rFonts w:eastAsia="Times New Roman"/>
          <w:color w:val="000000"/>
          <w:szCs w:val="26"/>
        </w:rPr>
        <w:t>13</w:t>
      </w:r>
      <w:r w:rsidRPr="009C00E5">
        <w:rPr>
          <w:rFonts w:eastAsia="Times New Roman"/>
          <w:color w:val="000000"/>
          <w:szCs w:val="26"/>
        </w:rPr>
        <w:t xml:space="preserve"> Cal.4th </w:t>
      </w:r>
      <w:r>
        <w:rPr>
          <w:rFonts w:eastAsia="Times New Roman"/>
          <w:color w:val="000000"/>
          <w:szCs w:val="26"/>
        </w:rPr>
        <w:t>764, 782-783.)</w:t>
      </w:r>
    </w:p>
    <w:p w:rsidR="00BA7AF1" w:rsidRDefault="00196CB8" w:rsidP="00BA7AF1">
      <w:pPr>
        <w:tabs>
          <w:tab w:val="left" w:pos="1440"/>
          <w:tab w:val="left" w:pos="2880"/>
          <w:tab w:val="left" w:pos="4320"/>
          <w:tab w:val="left" w:pos="5760"/>
          <w:tab w:val="left" w:pos="7200"/>
        </w:tabs>
        <w:rPr>
          <w:rFonts w:eastAsia="Times New Roman"/>
          <w:color w:val="000000"/>
          <w:szCs w:val="26"/>
        </w:rPr>
      </w:pPr>
      <w:r>
        <w:rPr>
          <w:rFonts w:eastAsia="Times New Roman"/>
          <w:color w:val="000000"/>
          <w:szCs w:val="26"/>
        </w:rPr>
        <w:tab/>
        <w:t>Here, both the plain meanings of sections 13009 and 13009.1 and their legislative history show that the Legislature</w:t>
      </w:r>
      <w:r>
        <w:rPr>
          <w:rFonts w:eastAsia="Times New Roman"/>
          <w:color w:val="000000"/>
          <w:szCs w:val="26"/>
        </w:rPr>
        <w:t xml:space="preserve"> intended that the statutes provide for vicarious corporate liability.  To conclude that the “personally or through another” language of section 13007 alone permits such liability would require us to ignore that intent.  We will not subordinate the Legisla</w:t>
      </w:r>
      <w:r>
        <w:rPr>
          <w:rFonts w:eastAsia="Times New Roman"/>
          <w:color w:val="000000"/>
          <w:szCs w:val="26"/>
        </w:rPr>
        <w:t>ture’s intent simply to avoid surplusage in section 13007.  (</w:t>
      </w:r>
      <w:r w:rsidRPr="00095593">
        <w:rPr>
          <w:rFonts w:eastAsia="Times New Roman"/>
          <w:i/>
          <w:color w:val="000000"/>
          <w:szCs w:val="26"/>
        </w:rPr>
        <w:t>People v. Townsend</w:t>
      </w:r>
      <w:r>
        <w:rPr>
          <w:rFonts w:eastAsia="Times New Roman"/>
          <w:color w:val="000000"/>
          <w:szCs w:val="26"/>
        </w:rPr>
        <w:t xml:space="preserve"> (1998) 62 Cal.App.4th 1390, 1399.)</w:t>
      </w:r>
    </w:p>
    <w:p w:rsidR="00BA7AF1" w:rsidRDefault="00196CB8" w:rsidP="00BA7AF1">
      <w:pPr>
        <w:tabs>
          <w:tab w:val="left" w:pos="1440"/>
          <w:tab w:val="left" w:pos="2880"/>
          <w:tab w:val="left" w:pos="4320"/>
          <w:tab w:val="left" w:pos="5760"/>
          <w:tab w:val="left" w:pos="7200"/>
        </w:tabs>
        <w:rPr>
          <w:rFonts w:eastAsia="Times New Roman"/>
          <w:color w:val="000000"/>
          <w:szCs w:val="26"/>
        </w:rPr>
      </w:pPr>
      <w:r>
        <w:rPr>
          <w:rFonts w:eastAsia="Times New Roman"/>
          <w:color w:val="000000"/>
          <w:szCs w:val="26"/>
        </w:rPr>
        <w:lastRenderedPageBreak/>
        <w:tab/>
        <w:t xml:space="preserve">Moreover, as Justice </w:t>
      </w:r>
      <w:proofErr w:type="spellStart"/>
      <w:r>
        <w:rPr>
          <w:rFonts w:eastAsia="Times New Roman"/>
          <w:color w:val="000000"/>
          <w:szCs w:val="26"/>
        </w:rPr>
        <w:t>Robie</w:t>
      </w:r>
      <w:proofErr w:type="spellEnd"/>
      <w:r>
        <w:rPr>
          <w:rFonts w:eastAsia="Times New Roman"/>
          <w:color w:val="000000"/>
          <w:szCs w:val="26"/>
        </w:rPr>
        <w:t xml:space="preserve"> noted, interpreting “person” in sections 13009 and 13009.1 to prohibit vicarious corporate liability “would resul</w:t>
      </w:r>
      <w:r>
        <w:rPr>
          <w:rFonts w:eastAsia="Times New Roman"/>
          <w:color w:val="000000"/>
          <w:szCs w:val="26"/>
        </w:rPr>
        <w:t>t in corporations . . . never being held liable for fire suppression costs.”  (</w:t>
      </w:r>
      <w:r w:rsidRPr="002C48B1">
        <w:rPr>
          <w:rFonts w:eastAsia="Times New Roman"/>
          <w:i/>
          <w:color w:val="000000"/>
          <w:szCs w:val="26"/>
        </w:rPr>
        <w:t>Howell</w:t>
      </w:r>
      <w:r>
        <w:rPr>
          <w:rFonts w:eastAsia="Times New Roman"/>
          <w:color w:val="000000"/>
          <w:szCs w:val="26"/>
        </w:rPr>
        <w:t xml:space="preserve">, </w:t>
      </w:r>
      <w:r w:rsidRPr="002C48B1">
        <w:rPr>
          <w:rFonts w:eastAsia="Times New Roman"/>
          <w:i/>
          <w:color w:val="000000"/>
          <w:szCs w:val="26"/>
        </w:rPr>
        <w:t>supra</w:t>
      </w:r>
      <w:r>
        <w:rPr>
          <w:rFonts w:eastAsia="Times New Roman"/>
          <w:color w:val="000000"/>
          <w:szCs w:val="26"/>
        </w:rPr>
        <w:t xml:space="preserve">, 18 Cal.App.5th at p. 206 (dis. </w:t>
      </w:r>
      <w:proofErr w:type="spellStart"/>
      <w:r>
        <w:rPr>
          <w:rFonts w:eastAsia="Times New Roman"/>
          <w:color w:val="000000"/>
          <w:szCs w:val="26"/>
        </w:rPr>
        <w:t>opn</w:t>
      </w:r>
      <w:proofErr w:type="spellEnd"/>
      <w:r>
        <w:rPr>
          <w:rFonts w:eastAsia="Times New Roman"/>
          <w:color w:val="000000"/>
          <w:szCs w:val="26"/>
        </w:rPr>
        <w:t xml:space="preserve">. of </w:t>
      </w:r>
      <w:proofErr w:type="spellStart"/>
      <w:r>
        <w:rPr>
          <w:rFonts w:eastAsia="Times New Roman"/>
          <w:color w:val="000000"/>
          <w:szCs w:val="26"/>
        </w:rPr>
        <w:t>Robie</w:t>
      </w:r>
      <w:proofErr w:type="spellEnd"/>
      <w:r>
        <w:rPr>
          <w:rFonts w:eastAsia="Times New Roman"/>
          <w:color w:val="000000"/>
          <w:szCs w:val="26"/>
        </w:rPr>
        <w:t xml:space="preserve">, J.).)  In </w:t>
      </w:r>
      <w:r>
        <w:rPr>
          <w:rFonts w:eastAsia="Times New Roman"/>
          <w:i/>
          <w:color w:val="000000"/>
          <w:szCs w:val="26"/>
        </w:rPr>
        <w:t xml:space="preserve">Ventura </w:t>
      </w:r>
      <w:r w:rsidRPr="006705A3">
        <w:rPr>
          <w:rFonts w:eastAsia="Times New Roman"/>
          <w:i/>
          <w:color w:val="000000"/>
          <w:szCs w:val="26"/>
        </w:rPr>
        <w:t>County</w:t>
      </w:r>
      <w:r>
        <w:rPr>
          <w:rFonts w:eastAsia="Times New Roman"/>
          <w:color w:val="000000"/>
          <w:szCs w:val="26"/>
        </w:rPr>
        <w:t xml:space="preserve">, </w:t>
      </w:r>
      <w:r w:rsidRPr="006705A3">
        <w:rPr>
          <w:rFonts w:eastAsia="Times New Roman"/>
          <w:i/>
          <w:color w:val="000000"/>
          <w:szCs w:val="26"/>
        </w:rPr>
        <w:t>supra</w:t>
      </w:r>
      <w:r>
        <w:rPr>
          <w:rFonts w:eastAsia="Times New Roman"/>
          <w:color w:val="000000"/>
          <w:szCs w:val="26"/>
        </w:rPr>
        <w:t xml:space="preserve">, </w:t>
      </w:r>
      <w:r w:rsidRPr="006705A3">
        <w:rPr>
          <w:rFonts w:eastAsia="Times New Roman"/>
          <w:color w:val="000000"/>
          <w:szCs w:val="26"/>
        </w:rPr>
        <w:t>85</w:t>
      </w:r>
      <w:r>
        <w:rPr>
          <w:rFonts w:eastAsia="Times New Roman"/>
          <w:color w:val="000000"/>
          <w:szCs w:val="26"/>
        </w:rPr>
        <w:t xml:space="preserve"> Cal.App.2d at pages 532-533, the Court of Appeal determined that </w:t>
      </w:r>
      <w:r>
        <w:rPr>
          <w:rFonts w:eastAsia="Times New Roman"/>
          <w:szCs w:val="26"/>
        </w:rPr>
        <w:t>an electric uti</w:t>
      </w:r>
      <w:r>
        <w:rPr>
          <w:rFonts w:eastAsia="Times New Roman"/>
          <w:szCs w:val="26"/>
        </w:rPr>
        <w:t xml:space="preserve">lity </w:t>
      </w:r>
      <w:r>
        <w:rPr>
          <w:rFonts w:eastAsia="Times New Roman"/>
          <w:color w:val="000000"/>
          <w:szCs w:val="26"/>
        </w:rPr>
        <w:t>could be liable for firefighting costs pursuant to section 3 of the Fire Liability Law based on its negligent construction and maintenance of power lines, a violation of the second prong of section 1</w:t>
      </w:r>
      <w:r w:rsidRPr="004677C6">
        <w:rPr>
          <w:rFonts w:eastAsia="Times New Roman"/>
          <w:color w:val="000000"/>
          <w:szCs w:val="26"/>
        </w:rPr>
        <w:t xml:space="preserve"> </w:t>
      </w:r>
      <w:r>
        <w:rPr>
          <w:rFonts w:eastAsia="Times New Roman"/>
          <w:color w:val="000000"/>
          <w:szCs w:val="26"/>
        </w:rPr>
        <w:t xml:space="preserve">of the Fire Liability Law.  The </w:t>
      </w:r>
      <w:r w:rsidRPr="0016550A">
        <w:rPr>
          <w:rFonts w:eastAsia="Times New Roman"/>
          <w:i/>
          <w:color w:val="000000"/>
          <w:szCs w:val="26"/>
        </w:rPr>
        <w:t>Howell</w:t>
      </w:r>
      <w:r>
        <w:rPr>
          <w:rFonts w:eastAsia="Times New Roman"/>
          <w:color w:val="000000"/>
          <w:szCs w:val="26"/>
        </w:rPr>
        <w:t xml:space="preserve"> majority dis</w:t>
      </w:r>
      <w:r>
        <w:rPr>
          <w:rFonts w:eastAsia="Times New Roman"/>
          <w:color w:val="000000"/>
          <w:szCs w:val="26"/>
        </w:rPr>
        <w:t xml:space="preserve">tinguished that case because:  (1) liability was imposed under a law that incorporated liability against a person who acted “personally or through another,” and (2) </w:t>
      </w:r>
      <w:r>
        <w:rPr>
          <w:rFonts w:eastAsia="Times New Roman"/>
          <w:szCs w:val="26"/>
        </w:rPr>
        <w:t xml:space="preserve">the utility </w:t>
      </w:r>
      <w:r>
        <w:rPr>
          <w:rFonts w:eastAsia="Times New Roman"/>
          <w:color w:val="000000"/>
          <w:szCs w:val="26"/>
        </w:rPr>
        <w:t xml:space="preserve">was a </w:t>
      </w:r>
      <w:r w:rsidRPr="0016550A">
        <w:rPr>
          <w:rFonts w:eastAsia="Times New Roman"/>
          <w:i/>
          <w:color w:val="000000"/>
          <w:szCs w:val="26"/>
        </w:rPr>
        <w:t>direct actor</w:t>
      </w:r>
      <w:r>
        <w:rPr>
          <w:rFonts w:eastAsia="Times New Roman"/>
          <w:color w:val="000000"/>
          <w:szCs w:val="26"/>
        </w:rPr>
        <w:t>.  (</w:t>
      </w:r>
      <w:r w:rsidRPr="006705A3">
        <w:rPr>
          <w:rFonts w:eastAsia="Times New Roman"/>
          <w:i/>
          <w:color w:val="000000"/>
          <w:szCs w:val="26"/>
        </w:rPr>
        <w:t>Howell</w:t>
      </w:r>
      <w:r>
        <w:rPr>
          <w:rFonts w:eastAsia="Times New Roman"/>
          <w:color w:val="000000"/>
          <w:szCs w:val="26"/>
        </w:rPr>
        <w:t>, at p. 180.)</w:t>
      </w:r>
    </w:p>
    <w:p w:rsidR="00BA7AF1" w:rsidRDefault="00196CB8" w:rsidP="00BA7AF1">
      <w:pPr>
        <w:tabs>
          <w:tab w:val="left" w:pos="1440"/>
          <w:tab w:val="left" w:pos="2880"/>
          <w:tab w:val="left" w:pos="4320"/>
          <w:tab w:val="left" w:pos="5760"/>
          <w:tab w:val="left" w:pos="7200"/>
        </w:tabs>
        <w:rPr>
          <w:rFonts w:eastAsia="Times New Roman"/>
          <w:color w:val="000000"/>
          <w:szCs w:val="26"/>
        </w:rPr>
      </w:pPr>
      <w:r>
        <w:rPr>
          <w:rFonts w:eastAsia="Times New Roman"/>
          <w:color w:val="000000"/>
          <w:szCs w:val="26"/>
        </w:rPr>
        <w:tab/>
        <w:t>Corporations are never direct actors</w:t>
      </w:r>
      <w:r>
        <w:rPr>
          <w:rFonts w:eastAsia="Times New Roman"/>
          <w:color w:val="000000"/>
          <w:szCs w:val="26"/>
        </w:rPr>
        <w:t xml:space="preserve">.  </w:t>
      </w:r>
      <w:r>
        <w:rPr>
          <w:rFonts w:eastAsia="Times New Roman"/>
          <w:szCs w:val="26"/>
        </w:rPr>
        <w:t>(</w:t>
      </w:r>
      <w:proofErr w:type="spellStart"/>
      <w:r>
        <w:rPr>
          <w:rFonts w:eastAsia="Times New Roman"/>
          <w:i/>
          <w:szCs w:val="26"/>
        </w:rPr>
        <w:t>Snukal</w:t>
      </w:r>
      <w:proofErr w:type="spellEnd"/>
      <w:r>
        <w:rPr>
          <w:rFonts w:eastAsia="Times New Roman"/>
          <w:szCs w:val="26"/>
        </w:rPr>
        <w:t xml:space="preserve">, </w:t>
      </w:r>
      <w:r w:rsidRPr="008E5648">
        <w:rPr>
          <w:rFonts w:eastAsia="Times New Roman"/>
          <w:i/>
          <w:szCs w:val="26"/>
        </w:rPr>
        <w:t>supra</w:t>
      </w:r>
      <w:r>
        <w:rPr>
          <w:rFonts w:eastAsia="Times New Roman"/>
          <w:szCs w:val="26"/>
        </w:rPr>
        <w:t>, 23 Cal.4th at p. 782.)</w:t>
      </w:r>
      <w:r>
        <w:rPr>
          <w:rFonts w:eastAsia="Times New Roman"/>
          <w:color w:val="000000"/>
          <w:szCs w:val="26"/>
        </w:rPr>
        <w:t xml:space="preserve">  </w:t>
      </w:r>
      <w:r>
        <w:rPr>
          <w:rFonts w:eastAsia="Times New Roman"/>
          <w:szCs w:val="26"/>
        </w:rPr>
        <w:t xml:space="preserve">The electric utility did not negligently construct and maintain its power lines; its employees did. </w:t>
      </w:r>
      <w:r>
        <w:rPr>
          <w:rFonts w:eastAsia="Times New Roman"/>
          <w:color w:val="000000"/>
          <w:szCs w:val="26"/>
        </w:rPr>
        <w:t xml:space="preserve"> </w:t>
      </w:r>
      <w:r>
        <w:rPr>
          <w:rFonts w:eastAsia="Times New Roman"/>
          <w:szCs w:val="26"/>
        </w:rPr>
        <w:t xml:space="preserve">The </w:t>
      </w:r>
      <w:r w:rsidRPr="006705A3">
        <w:rPr>
          <w:rFonts w:eastAsia="Times New Roman"/>
          <w:i/>
          <w:szCs w:val="26"/>
        </w:rPr>
        <w:t>Howell</w:t>
      </w:r>
      <w:r>
        <w:rPr>
          <w:rFonts w:eastAsia="Times New Roman"/>
          <w:szCs w:val="26"/>
        </w:rPr>
        <w:t xml:space="preserve"> majority’s assertion that sections 13009 and 13009.1 permit corporate liability when corporations are</w:t>
      </w:r>
      <w:r>
        <w:rPr>
          <w:rFonts w:eastAsia="Times New Roman"/>
          <w:szCs w:val="26"/>
        </w:rPr>
        <w:t xml:space="preserve"> “direct actors” is a legal impossibility.</w:t>
      </w:r>
      <w:r>
        <w:rPr>
          <w:rFonts w:eastAsia="Times New Roman"/>
          <w:color w:val="000000"/>
          <w:szCs w:val="26"/>
        </w:rPr>
        <w:t xml:space="preserve">  </w:t>
      </w:r>
    </w:p>
    <w:p w:rsidR="00BA7AF1" w:rsidRDefault="00196CB8" w:rsidP="00BA7AF1">
      <w:pPr>
        <w:tabs>
          <w:tab w:val="left" w:pos="1440"/>
          <w:tab w:val="left" w:pos="2880"/>
          <w:tab w:val="left" w:pos="4320"/>
          <w:tab w:val="left" w:pos="5760"/>
          <w:tab w:val="left" w:pos="7200"/>
        </w:tabs>
        <w:rPr>
          <w:rFonts w:eastAsia="Times New Roman"/>
          <w:color w:val="000000"/>
          <w:szCs w:val="26"/>
        </w:rPr>
      </w:pPr>
      <w:r>
        <w:rPr>
          <w:rFonts w:eastAsia="Times New Roman"/>
          <w:color w:val="000000"/>
          <w:szCs w:val="26"/>
        </w:rPr>
        <w:tab/>
        <w:t xml:space="preserve">PCCC also asserts that interpreting subdivision (a)(1) of </w:t>
      </w:r>
      <w:r>
        <w:rPr>
          <w:rFonts w:eastAsia="Times New Roman"/>
          <w:szCs w:val="26"/>
        </w:rPr>
        <w:t xml:space="preserve">sections 13009 and 13009.1 to </w:t>
      </w:r>
      <w:r>
        <w:rPr>
          <w:rFonts w:eastAsia="Times New Roman"/>
          <w:color w:val="000000"/>
          <w:szCs w:val="26"/>
        </w:rPr>
        <w:t>permit vicarious corporate liability would render meaningless subdivisions (a)(2) and (a)(3) of those statutes because the</w:t>
      </w:r>
      <w:r>
        <w:rPr>
          <w:rFonts w:eastAsia="Times New Roman"/>
          <w:color w:val="000000"/>
          <w:szCs w:val="26"/>
        </w:rPr>
        <w:t xml:space="preserve"> latter would no longer serve any purpose.  (See </w:t>
      </w:r>
      <w:r w:rsidRPr="007F49DF">
        <w:rPr>
          <w:rFonts w:eastAsia="Times New Roman"/>
          <w:i/>
          <w:color w:val="000000"/>
          <w:szCs w:val="26"/>
        </w:rPr>
        <w:t>Howell</w:t>
      </w:r>
      <w:r>
        <w:rPr>
          <w:rFonts w:eastAsia="Times New Roman"/>
          <w:color w:val="000000"/>
          <w:szCs w:val="26"/>
        </w:rPr>
        <w:t xml:space="preserve">, </w:t>
      </w:r>
      <w:r w:rsidRPr="007F49DF">
        <w:rPr>
          <w:rFonts w:eastAsia="Times New Roman"/>
          <w:i/>
          <w:color w:val="000000"/>
          <w:szCs w:val="26"/>
        </w:rPr>
        <w:t>supra</w:t>
      </w:r>
      <w:r>
        <w:rPr>
          <w:rFonts w:eastAsia="Times New Roman"/>
          <w:color w:val="000000"/>
          <w:szCs w:val="26"/>
        </w:rPr>
        <w:t>, 18 Cal.App.5th at pp. 181-182.)  Not true.  Consider a person who received notice of a fire hazard and had the right or obligation to correct it.  Pursuant to subdivisions (a)(2) and (a)(3), t</w:t>
      </w:r>
      <w:r>
        <w:rPr>
          <w:rFonts w:eastAsia="Times New Roman"/>
          <w:color w:val="000000"/>
          <w:szCs w:val="26"/>
        </w:rPr>
        <w:t xml:space="preserve">hat person could be liable if they did not correct the hazard and that hazard allowed a fire to </w:t>
      </w:r>
      <w:r w:rsidRPr="003A4A04">
        <w:rPr>
          <w:rFonts w:eastAsia="Times New Roman"/>
          <w:i/>
          <w:color w:val="000000"/>
          <w:szCs w:val="26"/>
        </w:rPr>
        <w:t>grow</w:t>
      </w:r>
      <w:r>
        <w:rPr>
          <w:rFonts w:eastAsia="Times New Roman"/>
          <w:color w:val="000000"/>
          <w:szCs w:val="26"/>
        </w:rPr>
        <w:t xml:space="preserve">.  (See </w:t>
      </w:r>
      <w:r w:rsidRPr="003A4A04">
        <w:rPr>
          <w:rFonts w:eastAsia="Times New Roman"/>
          <w:i/>
          <w:color w:val="000000"/>
          <w:szCs w:val="26"/>
        </w:rPr>
        <w:t xml:space="preserve">City of Los Angeles v. </w:t>
      </w:r>
      <w:proofErr w:type="spellStart"/>
      <w:r w:rsidRPr="003A4A04">
        <w:rPr>
          <w:rFonts w:eastAsia="Times New Roman"/>
          <w:i/>
          <w:color w:val="000000"/>
          <w:szCs w:val="26"/>
        </w:rPr>
        <w:t>Shpegel-Dimsey</w:t>
      </w:r>
      <w:proofErr w:type="spellEnd"/>
      <w:r w:rsidRPr="003A4A04">
        <w:rPr>
          <w:rFonts w:eastAsia="Times New Roman"/>
          <w:i/>
          <w:color w:val="000000"/>
          <w:szCs w:val="26"/>
        </w:rPr>
        <w:t>, Inc.</w:t>
      </w:r>
      <w:r>
        <w:rPr>
          <w:rFonts w:eastAsia="Times New Roman"/>
          <w:color w:val="000000"/>
          <w:szCs w:val="26"/>
        </w:rPr>
        <w:t xml:space="preserve"> (1988) 198 Cal.App.3d 1009, </w:t>
      </w:r>
      <w:r>
        <w:rPr>
          <w:rFonts w:eastAsia="Times New Roman"/>
          <w:color w:val="000000"/>
          <w:szCs w:val="26"/>
        </w:rPr>
        <w:lastRenderedPageBreak/>
        <w:t xml:space="preserve">1015-1016, 1019, fn. 2.)  But that same person could not be liable pursuant </w:t>
      </w:r>
      <w:r>
        <w:rPr>
          <w:rFonts w:eastAsia="Times New Roman"/>
          <w:color w:val="000000"/>
          <w:szCs w:val="26"/>
        </w:rPr>
        <w:t xml:space="preserve">to subdivision (a)(1) because they did not allow the fire to be </w:t>
      </w:r>
      <w:r w:rsidRPr="003A4A04">
        <w:rPr>
          <w:rFonts w:eastAsia="Times New Roman"/>
          <w:i/>
          <w:color w:val="000000"/>
          <w:szCs w:val="26"/>
        </w:rPr>
        <w:t>set</w:t>
      </w:r>
      <w:r>
        <w:rPr>
          <w:rFonts w:eastAsia="Times New Roman"/>
          <w:color w:val="000000"/>
          <w:szCs w:val="26"/>
        </w:rPr>
        <w:t>.  (</w:t>
      </w:r>
      <w:r w:rsidRPr="003A4A04">
        <w:rPr>
          <w:rFonts w:eastAsia="Times New Roman"/>
          <w:i/>
          <w:color w:val="000000"/>
          <w:szCs w:val="26"/>
        </w:rPr>
        <w:t>Id</w:t>
      </w:r>
      <w:r w:rsidRPr="00553C3D">
        <w:rPr>
          <w:rFonts w:eastAsia="Times New Roman"/>
          <w:color w:val="000000"/>
          <w:szCs w:val="26"/>
        </w:rPr>
        <w:t xml:space="preserve">. </w:t>
      </w:r>
      <w:r>
        <w:rPr>
          <w:rFonts w:eastAsia="Times New Roman"/>
          <w:color w:val="000000"/>
          <w:szCs w:val="26"/>
        </w:rPr>
        <w:t xml:space="preserve">at pp. 1019-1020.)  Conversely, if the person did correct the hazard, yet nevertheless allowed the fire to be set, they could </w:t>
      </w:r>
      <w:r w:rsidRPr="00246375">
        <w:rPr>
          <w:rFonts w:eastAsia="Times New Roman"/>
          <w:i/>
          <w:color w:val="000000"/>
          <w:szCs w:val="26"/>
        </w:rPr>
        <w:t>only</w:t>
      </w:r>
      <w:r>
        <w:rPr>
          <w:rFonts w:eastAsia="Times New Roman"/>
          <w:color w:val="000000"/>
          <w:szCs w:val="26"/>
        </w:rPr>
        <w:t xml:space="preserve"> be liable pursuant to subdivision (a)(1).  The </w:t>
      </w:r>
      <w:r w:rsidRPr="00246375">
        <w:rPr>
          <w:rFonts w:eastAsia="Times New Roman"/>
          <w:color w:val="000000"/>
          <w:szCs w:val="26"/>
        </w:rPr>
        <w:t>act</w:t>
      </w:r>
      <w:r w:rsidRPr="00246375">
        <w:rPr>
          <w:rFonts w:eastAsia="Times New Roman"/>
          <w:color w:val="000000"/>
          <w:szCs w:val="26"/>
        </w:rPr>
        <w:t>ions</w:t>
      </w:r>
      <w:r>
        <w:rPr>
          <w:rFonts w:eastAsia="Times New Roman"/>
          <w:color w:val="000000"/>
          <w:szCs w:val="26"/>
        </w:rPr>
        <w:t xml:space="preserve"> of the person responsible for the fire, not whether that person can be vicariously liable for it, are what differentiate subdivisions (a)(1), (a)(2), and (a)(3).  Because subdivisions (a)(2) and (a)(3) provide for liability where none exists under sub</w:t>
      </w:r>
      <w:r>
        <w:rPr>
          <w:rFonts w:eastAsia="Times New Roman"/>
          <w:color w:val="000000"/>
          <w:szCs w:val="26"/>
        </w:rPr>
        <w:t>division (a)(1), they are not meaningless if the latter permits vicarious liability.</w:t>
      </w:r>
    </w:p>
    <w:p w:rsidR="00BA7AF1" w:rsidRPr="00AF6AA3" w:rsidRDefault="00196CB8" w:rsidP="00BA7AF1">
      <w:pPr>
        <w:tabs>
          <w:tab w:val="left" w:pos="1440"/>
          <w:tab w:val="left" w:pos="2880"/>
          <w:tab w:val="left" w:pos="4320"/>
          <w:tab w:val="left" w:pos="5760"/>
          <w:tab w:val="left" w:pos="7200"/>
        </w:tabs>
        <w:rPr>
          <w:rFonts w:eastAsia="Times New Roman"/>
          <w:color w:val="000000"/>
          <w:szCs w:val="26"/>
        </w:rPr>
      </w:pPr>
      <w:r>
        <w:rPr>
          <w:rFonts w:eastAsia="Times New Roman"/>
          <w:color w:val="000000"/>
          <w:szCs w:val="26"/>
        </w:rPr>
        <w:tab/>
        <w:t>We thus conclude that sections 13009 and 13009.1 include principles of vicarious corporate liability.  They expressly permit the recovery of fire suppression and investig</w:t>
      </w:r>
      <w:r>
        <w:rPr>
          <w:rFonts w:eastAsia="Times New Roman"/>
          <w:color w:val="000000"/>
          <w:szCs w:val="26"/>
        </w:rPr>
        <w:t>ation costs from a corporation, like PCCC, when one of its agents or employees “</w:t>
      </w:r>
      <w:r w:rsidRPr="00AF6AA3">
        <w:rPr>
          <w:rFonts w:eastAsia="Times New Roman"/>
          <w:color w:val="000000"/>
          <w:szCs w:val="26"/>
        </w:rPr>
        <w:t xml:space="preserve">negligently, or in violation of the law, sets a fire, allows a fire to be set, or allows a fire kindled or attended by </w:t>
      </w:r>
      <w:r>
        <w:rPr>
          <w:rFonts w:eastAsia="Times New Roman"/>
          <w:color w:val="000000"/>
          <w:szCs w:val="26"/>
        </w:rPr>
        <w:t>[them]</w:t>
      </w:r>
      <w:r w:rsidRPr="00AF6AA3">
        <w:rPr>
          <w:rFonts w:eastAsia="Times New Roman"/>
          <w:color w:val="000000"/>
          <w:szCs w:val="26"/>
        </w:rPr>
        <w:t xml:space="preserve"> to escape onto any public or private property</w:t>
      </w:r>
      <w:r>
        <w:rPr>
          <w:rFonts w:eastAsia="Times New Roman"/>
          <w:color w:val="000000"/>
          <w:szCs w:val="26"/>
        </w:rPr>
        <w:t>.”  (</w:t>
      </w:r>
      <w:r>
        <w:rPr>
          <w:rFonts w:eastAsia="Times New Roman"/>
          <w:color w:val="000000"/>
          <w:szCs w:val="26"/>
        </w:rPr>
        <w:t xml:space="preserve">§§ 13009, </w:t>
      </w:r>
      <w:proofErr w:type="spellStart"/>
      <w:r>
        <w:rPr>
          <w:rFonts w:eastAsia="Times New Roman"/>
          <w:color w:val="000000"/>
          <w:szCs w:val="26"/>
        </w:rPr>
        <w:t>subd</w:t>
      </w:r>
      <w:proofErr w:type="spellEnd"/>
      <w:r>
        <w:rPr>
          <w:rFonts w:eastAsia="Times New Roman"/>
          <w:color w:val="000000"/>
          <w:szCs w:val="26"/>
        </w:rPr>
        <w:t xml:space="preserve">. (a)(1), 13009.1, </w:t>
      </w:r>
      <w:proofErr w:type="spellStart"/>
      <w:r>
        <w:rPr>
          <w:rFonts w:eastAsia="Times New Roman"/>
          <w:color w:val="000000"/>
          <w:szCs w:val="26"/>
        </w:rPr>
        <w:t>subd</w:t>
      </w:r>
      <w:proofErr w:type="spellEnd"/>
      <w:r>
        <w:rPr>
          <w:rFonts w:eastAsia="Times New Roman"/>
          <w:color w:val="000000"/>
          <w:szCs w:val="26"/>
        </w:rPr>
        <w:t xml:space="preserve">. (a)(1).)  </w:t>
      </w:r>
      <w:r>
        <w:rPr>
          <w:rFonts w:eastAsia="Times New Roman"/>
          <w:szCs w:val="26"/>
        </w:rPr>
        <w:t>The trial court correctly overruled PCCC’s demurrer to CalFire’s complaint.</w:t>
      </w:r>
      <w:r w:rsidRPr="00EC08B8">
        <w:rPr>
          <w:rStyle w:val="FootnoteReference"/>
          <w:position w:val="8"/>
          <w:sz w:val="20"/>
          <w:szCs w:val="20"/>
          <w:vertAlign w:val="baseline"/>
        </w:rPr>
        <w:footnoteReference w:id="4"/>
      </w:r>
      <w:r>
        <w:rPr>
          <w:rFonts w:eastAsia="Times New Roman"/>
          <w:szCs w:val="26"/>
        </w:rPr>
        <w:t xml:space="preserve">  </w:t>
      </w:r>
    </w:p>
    <w:p w:rsidR="00BA7AF1" w:rsidRDefault="00196CB8" w:rsidP="00BA7AF1">
      <w:pPr>
        <w:tabs>
          <w:tab w:val="left" w:pos="1440"/>
          <w:tab w:val="left" w:pos="2880"/>
          <w:tab w:val="left" w:pos="4320"/>
          <w:tab w:val="left" w:pos="5760"/>
          <w:tab w:val="left" w:pos="7200"/>
        </w:tabs>
        <w:jc w:val="center"/>
        <w:rPr>
          <w:b/>
        </w:rPr>
      </w:pPr>
    </w:p>
    <w:p w:rsidR="00BA7AF1" w:rsidRDefault="00196CB8" w:rsidP="00BA7AF1">
      <w:pPr>
        <w:tabs>
          <w:tab w:val="left" w:pos="1440"/>
          <w:tab w:val="left" w:pos="2880"/>
          <w:tab w:val="left" w:pos="4320"/>
          <w:tab w:val="left" w:pos="5760"/>
          <w:tab w:val="left" w:pos="7200"/>
        </w:tabs>
        <w:jc w:val="center"/>
        <w:rPr>
          <w:b/>
        </w:rPr>
      </w:pPr>
    </w:p>
    <w:p w:rsidR="00BA7AF1" w:rsidRDefault="00196CB8" w:rsidP="00BA7AF1">
      <w:pPr>
        <w:tabs>
          <w:tab w:val="left" w:pos="1440"/>
          <w:tab w:val="left" w:pos="2880"/>
          <w:tab w:val="left" w:pos="4320"/>
          <w:tab w:val="left" w:pos="5760"/>
          <w:tab w:val="left" w:pos="7200"/>
        </w:tabs>
        <w:jc w:val="center"/>
        <w:rPr>
          <w:b/>
        </w:rPr>
      </w:pPr>
    </w:p>
    <w:p w:rsidR="00BA7AF1" w:rsidRDefault="00196CB8" w:rsidP="00BA7AF1">
      <w:pPr>
        <w:tabs>
          <w:tab w:val="left" w:pos="1440"/>
          <w:tab w:val="left" w:pos="2880"/>
          <w:tab w:val="left" w:pos="4320"/>
          <w:tab w:val="left" w:pos="5760"/>
          <w:tab w:val="left" w:pos="7200"/>
        </w:tabs>
        <w:jc w:val="center"/>
        <w:rPr>
          <w:b/>
        </w:rPr>
      </w:pPr>
    </w:p>
    <w:p w:rsidR="00BA7AF1" w:rsidRDefault="00196CB8" w:rsidP="00BA7AF1">
      <w:pPr>
        <w:tabs>
          <w:tab w:val="left" w:pos="1440"/>
          <w:tab w:val="left" w:pos="2880"/>
          <w:tab w:val="left" w:pos="4320"/>
          <w:tab w:val="left" w:pos="5760"/>
          <w:tab w:val="left" w:pos="7200"/>
        </w:tabs>
        <w:jc w:val="center"/>
        <w:rPr>
          <w:b/>
        </w:rPr>
      </w:pPr>
    </w:p>
    <w:p w:rsidR="00BA7AF1" w:rsidRPr="00BE386E" w:rsidRDefault="00196CB8" w:rsidP="00BA7AF1">
      <w:pPr>
        <w:tabs>
          <w:tab w:val="left" w:pos="1440"/>
          <w:tab w:val="left" w:pos="2880"/>
          <w:tab w:val="left" w:pos="4320"/>
          <w:tab w:val="left" w:pos="5760"/>
          <w:tab w:val="left" w:pos="7200"/>
        </w:tabs>
        <w:jc w:val="center"/>
      </w:pPr>
      <w:r w:rsidRPr="00BE386E">
        <w:lastRenderedPageBreak/>
        <w:t>DISPOSITION</w:t>
      </w:r>
    </w:p>
    <w:p w:rsidR="00BA7AF1" w:rsidRDefault="00196CB8" w:rsidP="00BA7AF1">
      <w:pPr>
        <w:tabs>
          <w:tab w:val="left" w:pos="1440"/>
          <w:tab w:val="left" w:pos="2880"/>
          <w:tab w:val="left" w:pos="4320"/>
          <w:tab w:val="left" w:pos="5760"/>
          <w:tab w:val="left" w:pos="7200"/>
        </w:tabs>
        <w:rPr>
          <w:rFonts w:eastAsia="Times New Roman"/>
          <w:szCs w:val="26"/>
        </w:rPr>
      </w:pPr>
      <w:r>
        <w:tab/>
        <w:t>T</w:t>
      </w:r>
      <w:r w:rsidRPr="000564F8">
        <w:t xml:space="preserve">he </w:t>
      </w:r>
      <w:r>
        <w:rPr>
          <w:rFonts w:eastAsia="Times New Roman"/>
          <w:szCs w:val="26"/>
        </w:rPr>
        <w:t xml:space="preserve">order to show cause is discharged.  PCCC’s petition for writ of mandate is denied.  CalFire shall recover </w:t>
      </w:r>
      <w:r>
        <w:rPr>
          <w:rFonts w:eastAsia="Times New Roman"/>
          <w:szCs w:val="26"/>
        </w:rPr>
        <w:t>its costs in this writ proceeding.</w:t>
      </w:r>
    </w:p>
    <w:p w:rsidR="00BA7AF1" w:rsidRDefault="00196CB8" w:rsidP="00BA7AF1">
      <w:pPr>
        <w:tabs>
          <w:tab w:val="left" w:pos="1440"/>
          <w:tab w:val="left" w:pos="2880"/>
          <w:tab w:val="left" w:pos="4320"/>
          <w:tab w:val="left" w:pos="5760"/>
          <w:tab w:val="left" w:pos="7200"/>
        </w:tabs>
        <w:rPr>
          <w:rFonts w:eastAsia="Times New Roman"/>
          <w:szCs w:val="26"/>
        </w:rPr>
      </w:pPr>
      <w:r>
        <w:rPr>
          <w:rFonts w:eastAsia="Times New Roman"/>
          <w:szCs w:val="26"/>
        </w:rPr>
        <w:tab/>
      </w:r>
      <w:r>
        <w:rPr>
          <w:rFonts w:eastAsia="Times New Roman"/>
          <w:szCs w:val="26"/>
          <w:u w:val="single"/>
        </w:rPr>
        <w:t>CERTIFIED FOR PUBLICATION.</w:t>
      </w:r>
    </w:p>
    <w:p w:rsidR="00BA7AF1" w:rsidRDefault="00196CB8" w:rsidP="00BA7AF1">
      <w:pPr>
        <w:tabs>
          <w:tab w:val="left" w:pos="1440"/>
          <w:tab w:val="left" w:pos="2880"/>
          <w:tab w:val="left" w:pos="4320"/>
          <w:tab w:val="left" w:pos="5760"/>
          <w:tab w:val="left" w:pos="7200"/>
        </w:tabs>
        <w:spacing w:line="240" w:lineRule="auto"/>
        <w:rPr>
          <w:rFonts w:eastAsia="Times New Roman"/>
          <w:szCs w:val="26"/>
        </w:rPr>
      </w:pPr>
    </w:p>
    <w:p w:rsidR="00BA7AF1" w:rsidRDefault="00196CB8" w:rsidP="00BA7AF1">
      <w:pPr>
        <w:tabs>
          <w:tab w:val="left" w:pos="1440"/>
          <w:tab w:val="left" w:pos="2880"/>
          <w:tab w:val="left" w:pos="4320"/>
          <w:tab w:val="left" w:pos="5760"/>
          <w:tab w:val="left" w:pos="7200"/>
        </w:tabs>
        <w:spacing w:line="240" w:lineRule="auto"/>
        <w:rPr>
          <w:rFonts w:eastAsia="Times New Roman"/>
          <w:szCs w:val="26"/>
        </w:rPr>
      </w:pPr>
    </w:p>
    <w:p w:rsidR="00BA7AF1" w:rsidRDefault="00196CB8" w:rsidP="00BA7AF1">
      <w:pPr>
        <w:tabs>
          <w:tab w:val="left" w:pos="1440"/>
          <w:tab w:val="left" w:pos="2880"/>
          <w:tab w:val="left" w:pos="4320"/>
          <w:tab w:val="left" w:pos="5760"/>
          <w:tab w:val="left" w:pos="7200"/>
        </w:tabs>
        <w:spacing w:line="240" w:lineRule="auto"/>
        <w:rPr>
          <w:rFonts w:eastAsia="Times New Roman"/>
          <w:szCs w:val="26"/>
        </w:rPr>
      </w:pPr>
    </w:p>
    <w:p w:rsidR="00BA7AF1" w:rsidRDefault="00196CB8" w:rsidP="00BA7AF1">
      <w:pPr>
        <w:tabs>
          <w:tab w:val="left" w:pos="1440"/>
          <w:tab w:val="left" w:pos="2880"/>
          <w:tab w:val="left" w:pos="4320"/>
          <w:tab w:val="left" w:pos="5760"/>
          <w:tab w:val="left" w:pos="7200"/>
        </w:tabs>
        <w:spacing w:line="240" w:lineRule="auto"/>
        <w:rPr>
          <w:rFonts w:eastAsia="Times New Roman"/>
          <w:szCs w:val="26"/>
        </w:rPr>
      </w:pPr>
      <w:r>
        <w:rPr>
          <w:rFonts w:eastAsia="Times New Roman"/>
          <w:szCs w:val="26"/>
        </w:rPr>
        <w:tab/>
      </w:r>
      <w:r>
        <w:rPr>
          <w:rFonts w:eastAsia="Times New Roman"/>
          <w:szCs w:val="26"/>
        </w:rPr>
        <w:tab/>
      </w:r>
      <w:r>
        <w:rPr>
          <w:rFonts w:eastAsia="Times New Roman"/>
          <w:szCs w:val="26"/>
        </w:rPr>
        <w:tab/>
        <w:t>TANGEMAN, J.</w:t>
      </w:r>
    </w:p>
    <w:p w:rsidR="00BA7AF1" w:rsidRDefault="00196CB8" w:rsidP="00BA7AF1">
      <w:pPr>
        <w:tabs>
          <w:tab w:val="left" w:pos="1440"/>
          <w:tab w:val="left" w:pos="2880"/>
          <w:tab w:val="left" w:pos="4320"/>
          <w:tab w:val="left" w:pos="5760"/>
          <w:tab w:val="left" w:pos="7200"/>
        </w:tabs>
        <w:spacing w:line="240" w:lineRule="auto"/>
        <w:rPr>
          <w:rFonts w:eastAsia="Times New Roman"/>
          <w:szCs w:val="26"/>
        </w:rPr>
      </w:pPr>
      <w:r>
        <w:rPr>
          <w:rFonts w:eastAsia="Times New Roman"/>
          <w:szCs w:val="26"/>
        </w:rPr>
        <w:t>We concur:</w:t>
      </w:r>
    </w:p>
    <w:p w:rsidR="00BA7AF1" w:rsidRDefault="00196CB8" w:rsidP="00BA7AF1">
      <w:pPr>
        <w:tabs>
          <w:tab w:val="left" w:pos="1440"/>
          <w:tab w:val="left" w:pos="2880"/>
          <w:tab w:val="left" w:pos="4320"/>
          <w:tab w:val="left" w:pos="5760"/>
          <w:tab w:val="left" w:pos="7200"/>
        </w:tabs>
        <w:spacing w:line="240" w:lineRule="auto"/>
        <w:rPr>
          <w:rFonts w:eastAsia="Times New Roman"/>
          <w:szCs w:val="26"/>
        </w:rPr>
      </w:pPr>
    </w:p>
    <w:p w:rsidR="00BA7AF1" w:rsidRDefault="00196CB8" w:rsidP="00BA7AF1">
      <w:pPr>
        <w:tabs>
          <w:tab w:val="left" w:pos="1440"/>
          <w:tab w:val="left" w:pos="2880"/>
          <w:tab w:val="left" w:pos="4320"/>
          <w:tab w:val="left" w:pos="5760"/>
          <w:tab w:val="left" w:pos="7200"/>
        </w:tabs>
        <w:spacing w:line="240" w:lineRule="auto"/>
        <w:rPr>
          <w:rFonts w:eastAsia="Times New Roman"/>
          <w:szCs w:val="26"/>
        </w:rPr>
      </w:pPr>
    </w:p>
    <w:p w:rsidR="00BA7AF1" w:rsidRDefault="00196CB8" w:rsidP="00BA7AF1">
      <w:pPr>
        <w:tabs>
          <w:tab w:val="left" w:pos="1440"/>
          <w:tab w:val="left" w:pos="2880"/>
          <w:tab w:val="left" w:pos="4320"/>
          <w:tab w:val="left" w:pos="5760"/>
          <w:tab w:val="left" w:pos="7200"/>
        </w:tabs>
        <w:spacing w:line="240" w:lineRule="auto"/>
        <w:rPr>
          <w:rFonts w:eastAsia="Times New Roman"/>
          <w:szCs w:val="26"/>
        </w:rPr>
      </w:pPr>
      <w:r>
        <w:rPr>
          <w:rFonts w:eastAsia="Times New Roman"/>
          <w:szCs w:val="26"/>
        </w:rPr>
        <w:tab/>
        <w:t>GILBERT, P. J.</w:t>
      </w:r>
    </w:p>
    <w:p w:rsidR="00BA7AF1" w:rsidRDefault="00196CB8" w:rsidP="00BA7AF1">
      <w:pPr>
        <w:tabs>
          <w:tab w:val="left" w:pos="1440"/>
          <w:tab w:val="left" w:pos="2880"/>
          <w:tab w:val="left" w:pos="4320"/>
          <w:tab w:val="left" w:pos="5760"/>
          <w:tab w:val="left" w:pos="7200"/>
        </w:tabs>
        <w:spacing w:line="240" w:lineRule="auto"/>
        <w:rPr>
          <w:rFonts w:eastAsia="Times New Roman"/>
          <w:szCs w:val="26"/>
        </w:rPr>
      </w:pPr>
    </w:p>
    <w:p w:rsidR="00BA7AF1" w:rsidRDefault="00196CB8" w:rsidP="00BA7AF1">
      <w:pPr>
        <w:tabs>
          <w:tab w:val="left" w:pos="1440"/>
          <w:tab w:val="left" w:pos="2880"/>
          <w:tab w:val="left" w:pos="4320"/>
          <w:tab w:val="left" w:pos="5760"/>
          <w:tab w:val="left" w:pos="7200"/>
        </w:tabs>
        <w:spacing w:line="240" w:lineRule="auto"/>
        <w:rPr>
          <w:rFonts w:eastAsia="Times New Roman"/>
          <w:szCs w:val="26"/>
        </w:rPr>
      </w:pPr>
    </w:p>
    <w:p w:rsidR="00BA7AF1" w:rsidRDefault="00196CB8" w:rsidP="00BA7AF1">
      <w:pPr>
        <w:tabs>
          <w:tab w:val="left" w:pos="1440"/>
          <w:tab w:val="left" w:pos="2880"/>
          <w:tab w:val="left" w:pos="4320"/>
          <w:tab w:val="left" w:pos="5760"/>
          <w:tab w:val="left" w:pos="7200"/>
        </w:tabs>
        <w:spacing w:line="240" w:lineRule="auto"/>
        <w:rPr>
          <w:rFonts w:eastAsia="Times New Roman"/>
          <w:szCs w:val="26"/>
        </w:rPr>
      </w:pPr>
      <w:r>
        <w:rPr>
          <w:rFonts w:eastAsia="Times New Roman"/>
          <w:szCs w:val="26"/>
        </w:rPr>
        <w:tab/>
        <w:t>PERREN, J.</w:t>
      </w:r>
    </w:p>
    <w:p w:rsidR="00BA7AF1" w:rsidRDefault="00196CB8" w:rsidP="00BA7AF1">
      <w:pPr>
        <w:tabs>
          <w:tab w:val="left" w:pos="1440"/>
          <w:tab w:val="left" w:pos="2880"/>
          <w:tab w:val="left" w:pos="4320"/>
          <w:tab w:val="left" w:pos="5760"/>
          <w:tab w:val="left" w:pos="7200"/>
        </w:tabs>
        <w:spacing w:line="240" w:lineRule="auto"/>
        <w:rPr>
          <w:rFonts w:eastAsia="Times New Roman"/>
          <w:szCs w:val="26"/>
        </w:rPr>
        <w:sectPr w:rsidR="00BA7AF1" w:rsidSect="00BA7AF1">
          <w:footerReference w:type="default" r:id="rId8"/>
          <w:pgSz w:w="12240" w:h="15840"/>
          <w:pgMar w:top="2160" w:right="2160" w:bottom="2160" w:left="2160" w:header="720" w:footer="720" w:gutter="0"/>
          <w:pgNumType w:start="1"/>
          <w:cols w:space="720"/>
          <w:titlePg/>
          <w:docGrid w:linePitch="360"/>
        </w:sectPr>
      </w:pPr>
    </w:p>
    <w:p w:rsidR="00BA7AF1" w:rsidRDefault="00196CB8" w:rsidP="00BA7AF1">
      <w:pPr>
        <w:tabs>
          <w:tab w:val="left" w:pos="1440"/>
          <w:tab w:val="left" w:pos="2880"/>
          <w:tab w:val="left" w:pos="4320"/>
          <w:tab w:val="left" w:pos="5760"/>
          <w:tab w:val="left" w:pos="7200"/>
        </w:tabs>
        <w:spacing w:line="240" w:lineRule="auto"/>
        <w:jc w:val="center"/>
        <w:rPr>
          <w:rFonts w:eastAsia="Times New Roman"/>
          <w:szCs w:val="26"/>
        </w:rPr>
      </w:pPr>
      <w:r>
        <w:rPr>
          <w:rFonts w:eastAsia="Times New Roman"/>
          <w:szCs w:val="26"/>
        </w:rPr>
        <w:lastRenderedPageBreak/>
        <w:t>Thomas P. Anderle, Judge</w:t>
      </w:r>
    </w:p>
    <w:p w:rsidR="00BA7AF1" w:rsidRDefault="00196CB8" w:rsidP="00BA7AF1">
      <w:pPr>
        <w:tabs>
          <w:tab w:val="left" w:pos="1440"/>
          <w:tab w:val="left" w:pos="2880"/>
          <w:tab w:val="left" w:pos="4320"/>
          <w:tab w:val="left" w:pos="5760"/>
          <w:tab w:val="left" w:pos="7200"/>
        </w:tabs>
        <w:spacing w:line="240" w:lineRule="auto"/>
        <w:jc w:val="center"/>
        <w:rPr>
          <w:rFonts w:eastAsia="Times New Roman"/>
          <w:szCs w:val="26"/>
        </w:rPr>
      </w:pPr>
    </w:p>
    <w:p w:rsidR="00BA7AF1" w:rsidRDefault="00196CB8" w:rsidP="00BA7AF1">
      <w:pPr>
        <w:tabs>
          <w:tab w:val="left" w:pos="1440"/>
          <w:tab w:val="left" w:pos="2880"/>
          <w:tab w:val="left" w:pos="4320"/>
          <w:tab w:val="left" w:pos="5760"/>
          <w:tab w:val="left" w:pos="7200"/>
        </w:tabs>
        <w:spacing w:line="240" w:lineRule="auto"/>
        <w:jc w:val="center"/>
        <w:rPr>
          <w:rFonts w:eastAsia="Times New Roman"/>
          <w:szCs w:val="26"/>
        </w:rPr>
      </w:pPr>
      <w:r>
        <w:rPr>
          <w:rFonts w:eastAsia="Times New Roman"/>
          <w:szCs w:val="26"/>
        </w:rPr>
        <w:t>Superior Court County of Santa Barbara</w:t>
      </w:r>
    </w:p>
    <w:p w:rsidR="00BA7AF1" w:rsidRDefault="00196CB8" w:rsidP="00BA7AF1">
      <w:pPr>
        <w:tabs>
          <w:tab w:val="left" w:pos="1440"/>
          <w:tab w:val="left" w:pos="2880"/>
          <w:tab w:val="left" w:pos="4320"/>
          <w:tab w:val="left" w:pos="5760"/>
          <w:tab w:val="left" w:pos="7200"/>
        </w:tabs>
        <w:spacing w:line="240" w:lineRule="auto"/>
        <w:jc w:val="center"/>
        <w:rPr>
          <w:rFonts w:eastAsia="Times New Roman"/>
          <w:szCs w:val="26"/>
        </w:rPr>
      </w:pPr>
    </w:p>
    <w:p w:rsidR="00BA7AF1" w:rsidRDefault="00196CB8" w:rsidP="00BA7AF1">
      <w:pPr>
        <w:tabs>
          <w:tab w:val="left" w:pos="1440"/>
          <w:tab w:val="left" w:pos="2880"/>
          <w:tab w:val="left" w:pos="4320"/>
          <w:tab w:val="left" w:pos="5760"/>
          <w:tab w:val="left" w:pos="7200"/>
        </w:tabs>
        <w:spacing w:line="240" w:lineRule="auto"/>
        <w:jc w:val="center"/>
        <w:rPr>
          <w:rFonts w:eastAsia="Times New Roman"/>
          <w:szCs w:val="26"/>
        </w:rPr>
      </w:pPr>
      <w:r>
        <w:rPr>
          <w:rFonts w:eastAsia="Times New Roman"/>
          <w:szCs w:val="26"/>
        </w:rPr>
        <w:t>______________________________</w:t>
      </w:r>
    </w:p>
    <w:p w:rsidR="00BA7AF1" w:rsidRDefault="00196CB8" w:rsidP="00BA7AF1">
      <w:pPr>
        <w:tabs>
          <w:tab w:val="left" w:pos="1440"/>
          <w:tab w:val="left" w:pos="2880"/>
          <w:tab w:val="left" w:pos="4320"/>
          <w:tab w:val="left" w:pos="5760"/>
          <w:tab w:val="left" w:pos="7200"/>
        </w:tabs>
        <w:spacing w:line="240" w:lineRule="auto"/>
        <w:jc w:val="center"/>
        <w:rPr>
          <w:rFonts w:eastAsia="Times New Roman"/>
          <w:szCs w:val="26"/>
        </w:rPr>
      </w:pPr>
    </w:p>
    <w:p w:rsidR="00BA7AF1" w:rsidRDefault="00196CB8" w:rsidP="00BA7AF1">
      <w:pPr>
        <w:tabs>
          <w:tab w:val="left" w:pos="1440"/>
          <w:tab w:val="left" w:pos="2880"/>
          <w:tab w:val="left" w:pos="4320"/>
          <w:tab w:val="left" w:pos="5760"/>
          <w:tab w:val="left" w:pos="7200"/>
        </w:tabs>
        <w:jc w:val="center"/>
        <w:rPr>
          <w:rFonts w:eastAsia="Times New Roman"/>
          <w:szCs w:val="26"/>
        </w:rPr>
      </w:pPr>
    </w:p>
    <w:p w:rsidR="00BA7AF1" w:rsidRDefault="00196CB8" w:rsidP="00BA7AF1">
      <w:pPr>
        <w:tabs>
          <w:tab w:val="left" w:pos="1440"/>
          <w:tab w:val="left" w:pos="2880"/>
          <w:tab w:val="left" w:pos="4320"/>
          <w:tab w:val="left" w:pos="5760"/>
          <w:tab w:val="left" w:pos="7200"/>
        </w:tabs>
        <w:rPr>
          <w:rFonts w:eastAsia="Times New Roman"/>
          <w:szCs w:val="26"/>
        </w:rPr>
      </w:pPr>
      <w:r>
        <w:rPr>
          <w:rFonts w:eastAsia="Times New Roman"/>
          <w:szCs w:val="26"/>
        </w:rPr>
        <w:tab/>
        <w:t xml:space="preserve">Daley &amp; Heft, Lee H. </w:t>
      </w:r>
      <w:proofErr w:type="spellStart"/>
      <w:r>
        <w:rPr>
          <w:rFonts w:eastAsia="Times New Roman"/>
          <w:szCs w:val="26"/>
        </w:rPr>
        <w:t>Roistache</w:t>
      </w:r>
      <w:r>
        <w:rPr>
          <w:rFonts w:eastAsia="Times New Roman"/>
          <w:szCs w:val="26"/>
        </w:rPr>
        <w:t>r</w:t>
      </w:r>
      <w:proofErr w:type="spellEnd"/>
      <w:r>
        <w:rPr>
          <w:rFonts w:eastAsia="Times New Roman"/>
          <w:szCs w:val="26"/>
        </w:rPr>
        <w:t>, Robert W. Brockman, Jr,. and Garrett A. Marshall, for Petitioner.</w:t>
      </w:r>
    </w:p>
    <w:p w:rsidR="00BA7AF1" w:rsidRDefault="00196CB8" w:rsidP="00BA7AF1">
      <w:pPr>
        <w:tabs>
          <w:tab w:val="left" w:pos="1440"/>
          <w:tab w:val="left" w:pos="2880"/>
          <w:tab w:val="left" w:pos="4320"/>
          <w:tab w:val="left" w:pos="5760"/>
          <w:tab w:val="left" w:pos="7200"/>
        </w:tabs>
        <w:rPr>
          <w:rFonts w:eastAsia="Times New Roman"/>
          <w:szCs w:val="26"/>
        </w:rPr>
      </w:pPr>
    </w:p>
    <w:p w:rsidR="00BA7AF1" w:rsidRDefault="00196CB8" w:rsidP="00BA7AF1">
      <w:pPr>
        <w:tabs>
          <w:tab w:val="left" w:pos="1440"/>
          <w:tab w:val="left" w:pos="2880"/>
          <w:tab w:val="left" w:pos="4320"/>
          <w:tab w:val="left" w:pos="5760"/>
          <w:tab w:val="left" w:pos="7200"/>
        </w:tabs>
        <w:rPr>
          <w:rFonts w:eastAsia="Times New Roman"/>
          <w:szCs w:val="26"/>
        </w:rPr>
      </w:pPr>
      <w:r>
        <w:rPr>
          <w:rFonts w:eastAsia="Times New Roman"/>
          <w:szCs w:val="26"/>
        </w:rPr>
        <w:tab/>
        <w:t>No appearance for Respondent.</w:t>
      </w:r>
    </w:p>
    <w:p w:rsidR="00BA7AF1" w:rsidRDefault="00196CB8" w:rsidP="00BA7AF1">
      <w:pPr>
        <w:tabs>
          <w:tab w:val="left" w:pos="1440"/>
          <w:tab w:val="left" w:pos="2880"/>
          <w:tab w:val="left" w:pos="4320"/>
          <w:tab w:val="left" w:pos="5760"/>
          <w:tab w:val="left" w:pos="7200"/>
        </w:tabs>
        <w:rPr>
          <w:rFonts w:eastAsia="Times New Roman"/>
          <w:szCs w:val="26"/>
        </w:rPr>
      </w:pPr>
    </w:p>
    <w:p w:rsidR="00BA7AF1" w:rsidRPr="005E5650" w:rsidRDefault="00196CB8" w:rsidP="00BA7AF1">
      <w:pPr>
        <w:tabs>
          <w:tab w:val="left" w:pos="1440"/>
          <w:tab w:val="left" w:pos="2880"/>
          <w:tab w:val="left" w:pos="4320"/>
          <w:tab w:val="left" w:pos="5760"/>
          <w:tab w:val="left" w:pos="7200"/>
        </w:tabs>
        <w:rPr>
          <w:rFonts w:eastAsia="Times New Roman"/>
          <w:szCs w:val="26"/>
        </w:rPr>
      </w:pPr>
      <w:r>
        <w:rPr>
          <w:szCs w:val="26"/>
        </w:rPr>
        <w:tab/>
      </w:r>
      <w:r w:rsidRPr="005800F7">
        <w:rPr>
          <w:szCs w:val="26"/>
        </w:rPr>
        <w:t xml:space="preserve">Xavier Becerra, Attorney General, </w:t>
      </w:r>
      <w:r>
        <w:rPr>
          <w:szCs w:val="26"/>
        </w:rPr>
        <w:t xml:space="preserve">Robert W. </w:t>
      </w:r>
      <w:proofErr w:type="spellStart"/>
      <w:r>
        <w:rPr>
          <w:szCs w:val="26"/>
        </w:rPr>
        <w:t>Bryne</w:t>
      </w:r>
      <w:proofErr w:type="spellEnd"/>
      <w:r w:rsidRPr="005800F7">
        <w:rPr>
          <w:szCs w:val="26"/>
        </w:rPr>
        <w:t xml:space="preserve">, Assistant Attorney General, </w:t>
      </w:r>
      <w:r>
        <w:rPr>
          <w:szCs w:val="26"/>
        </w:rPr>
        <w:t xml:space="preserve">Gary E. </w:t>
      </w:r>
      <w:proofErr w:type="spellStart"/>
      <w:r>
        <w:rPr>
          <w:szCs w:val="26"/>
        </w:rPr>
        <w:t>Tavetian</w:t>
      </w:r>
      <w:proofErr w:type="spellEnd"/>
      <w:r>
        <w:rPr>
          <w:szCs w:val="26"/>
        </w:rPr>
        <w:t xml:space="preserve">, Ross Hirsch, Jessica Barclay-Strobel and Caitlan </w:t>
      </w:r>
      <w:proofErr w:type="spellStart"/>
      <w:r>
        <w:rPr>
          <w:szCs w:val="26"/>
        </w:rPr>
        <w:t>McLoon</w:t>
      </w:r>
      <w:proofErr w:type="spellEnd"/>
      <w:r>
        <w:rPr>
          <w:szCs w:val="26"/>
        </w:rPr>
        <w:t>,</w:t>
      </w:r>
      <w:r w:rsidRPr="005800F7">
        <w:rPr>
          <w:szCs w:val="26"/>
        </w:rPr>
        <w:t xml:space="preserve"> Deputy Attorneys General,</w:t>
      </w:r>
      <w:r>
        <w:rPr>
          <w:szCs w:val="26"/>
        </w:rPr>
        <w:t xml:space="preserve"> for Real Party in Interest.</w:t>
      </w:r>
    </w:p>
    <w:p w:rsidR="00354D23" w:rsidRPr="005E5650" w:rsidRDefault="00196CB8" w:rsidP="00354D23">
      <w:pPr>
        <w:tabs>
          <w:tab w:val="left" w:pos="1440"/>
          <w:tab w:val="left" w:pos="2880"/>
          <w:tab w:val="left" w:pos="4320"/>
          <w:tab w:val="left" w:pos="5760"/>
          <w:tab w:val="left" w:pos="7200"/>
        </w:tabs>
        <w:rPr>
          <w:rFonts w:eastAsia="Times New Roman"/>
          <w:szCs w:val="26"/>
        </w:rPr>
      </w:pPr>
    </w:p>
    <w:sectPr w:rsidR="00354D23" w:rsidRPr="005E5650" w:rsidSect="00354D23">
      <w:pgSz w:w="12240" w:h="15840"/>
      <w:pgMar w:top="2160" w:right="2160" w:bottom="2160" w:left="21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0969" w:rsidRDefault="00196CB8" w:rsidP="00354D23">
      <w:pPr>
        <w:spacing w:line="240" w:lineRule="auto"/>
      </w:pPr>
      <w:r>
        <w:separator/>
      </w:r>
    </w:p>
  </w:endnote>
  <w:endnote w:type="continuationSeparator" w:id="0">
    <w:p w:rsidR="007D0969" w:rsidRDefault="00196CB8" w:rsidP="00354D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4D23" w:rsidRDefault="00196CB8" w:rsidP="00354D23">
    <w:pPr>
      <w:pStyle w:val="Footer"/>
      <w:jc w:val="center"/>
    </w:pPr>
    <w:r>
      <w:fldChar w:fldCharType="begin"/>
    </w:r>
    <w:r>
      <w:instrText xml:space="preserve"> PAGE  \* MERGEFORMAT </w:instrText>
    </w:r>
    <w:r>
      <w:fldChar w:fldCharType="separate"/>
    </w:r>
    <w:r>
      <w:rPr>
        <w:noProof/>
      </w:rPr>
      <w:t>5</w:t>
    </w:r>
    <w:r>
      <w:fldChar w:fldCharType="end"/>
    </w:r>
    <w:r>
      <w:t xml:space="preserve"> </w:t>
    </w:r>
  </w:p>
  <w:p w:rsidR="00354D23" w:rsidRDefault="00196C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7AF1" w:rsidRDefault="00196CB8" w:rsidP="00354D23">
    <w:pPr>
      <w:pStyle w:val="Footer"/>
      <w:jc w:val="center"/>
    </w:pPr>
    <w:r>
      <w:fldChar w:fldCharType="begin"/>
    </w:r>
    <w:r>
      <w:instrText xml:space="preserve"> PAGE  \* MERGEFORMAT </w:instrText>
    </w:r>
    <w:r>
      <w:fldChar w:fldCharType="separate"/>
    </w:r>
    <w:r>
      <w:rPr>
        <w:noProof/>
      </w:rPr>
      <w:t>20</w:t>
    </w:r>
    <w:r>
      <w:fldChar w:fldCharType="end"/>
    </w:r>
    <w:r>
      <w:t xml:space="preserve"> </w:t>
    </w:r>
  </w:p>
  <w:p w:rsidR="00BA7AF1" w:rsidRDefault="00196C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0969" w:rsidRDefault="00196CB8" w:rsidP="00354D23">
      <w:pPr>
        <w:spacing w:line="240" w:lineRule="auto"/>
      </w:pPr>
      <w:r>
        <w:separator/>
      </w:r>
    </w:p>
  </w:footnote>
  <w:footnote w:type="continuationSeparator" w:id="0">
    <w:p w:rsidR="007D0969" w:rsidRDefault="00196CB8" w:rsidP="00354D23">
      <w:pPr>
        <w:spacing w:line="240" w:lineRule="auto"/>
      </w:pPr>
      <w:r>
        <w:continuationSeparator/>
      </w:r>
    </w:p>
  </w:footnote>
  <w:footnote w:id="1">
    <w:p w:rsidR="00BA7AF1" w:rsidRPr="00EB777C" w:rsidRDefault="00196CB8" w:rsidP="00BA7AF1">
      <w:pPr>
        <w:pStyle w:val="FootnoteText"/>
        <w:spacing w:line="240" w:lineRule="auto"/>
        <w:ind w:firstLine="720"/>
        <w:rPr>
          <w:rFonts w:eastAsia="Times New Roman"/>
          <w:sz w:val="26"/>
          <w:szCs w:val="26"/>
          <w:lang w:val="en-US"/>
        </w:rPr>
      </w:pPr>
      <w:r w:rsidRPr="00660864">
        <w:rPr>
          <w:rStyle w:val="FootnoteReference"/>
          <w:position w:val="8"/>
          <w:vertAlign w:val="baseline"/>
        </w:rPr>
        <w:footnoteRef/>
      </w:r>
      <w:r w:rsidRPr="00660864">
        <w:rPr>
          <w:position w:val="8"/>
        </w:rPr>
        <w:t xml:space="preserve"> </w:t>
      </w:r>
      <w:r>
        <w:rPr>
          <w:sz w:val="26"/>
          <w:szCs w:val="26"/>
          <w:lang w:val="en-US"/>
        </w:rPr>
        <w:t>All further unlabeled statutory references are to the Health and Safety Code.</w:t>
      </w:r>
    </w:p>
  </w:footnote>
  <w:footnote w:id="2">
    <w:p w:rsidR="00BA7AF1" w:rsidRPr="00EB777C" w:rsidRDefault="00196CB8" w:rsidP="00BA7AF1">
      <w:pPr>
        <w:pStyle w:val="FootnoteText"/>
        <w:spacing w:line="240" w:lineRule="auto"/>
        <w:ind w:firstLine="720"/>
        <w:rPr>
          <w:rFonts w:eastAsia="Times New Roman"/>
          <w:sz w:val="26"/>
          <w:szCs w:val="26"/>
          <w:lang w:val="en-US"/>
        </w:rPr>
      </w:pPr>
      <w:r w:rsidRPr="00660864">
        <w:rPr>
          <w:rStyle w:val="FootnoteReference"/>
          <w:position w:val="8"/>
          <w:vertAlign w:val="baseline"/>
        </w:rPr>
        <w:footnoteRef/>
      </w:r>
      <w:r w:rsidRPr="00660864">
        <w:rPr>
          <w:position w:val="8"/>
        </w:rPr>
        <w:t xml:space="preserve"> </w:t>
      </w:r>
      <w:r w:rsidRPr="00EB777C">
        <w:rPr>
          <w:rFonts w:eastAsia="Times New Roman"/>
          <w:sz w:val="26"/>
          <w:szCs w:val="26"/>
        </w:rPr>
        <w:t>The Legislature enacted section 19 in 1939.  (Stats. 1939, ch. 60, § 19, p. 484.)</w:t>
      </w:r>
    </w:p>
  </w:footnote>
  <w:footnote w:id="3">
    <w:p w:rsidR="00BA7AF1" w:rsidRPr="00EB777C" w:rsidRDefault="00196CB8" w:rsidP="00BA7AF1">
      <w:pPr>
        <w:pStyle w:val="FootnoteText"/>
        <w:spacing w:line="240" w:lineRule="auto"/>
        <w:ind w:firstLine="720"/>
        <w:rPr>
          <w:rFonts w:eastAsia="Times New Roman"/>
          <w:sz w:val="26"/>
          <w:szCs w:val="26"/>
          <w:lang w:val="en-US"/>
        </w:rPr>
      </w:pPr>
      <w:r w:rsidRPr="00660864">
        <w:rPr>
          <w:rStyle w:val="FootnoteReference"/>
          <w:position w:val="8"/>
          <w:vertAlign w:val="baseline"/>
        </w:rPr>
        <w:footnoteRef/>
      </w:r>
      <w:r w:rsidRPr="00660864">
        <w:rPr>
          <w:position w:val="8"/>
        </w:rPr>
        <w:t xml:space="preserve"> </w:t>
      </w:r>
      <w:r w:rsidRPr="005667B4">
        <w:rPr>
          <w:rFonts w:eastAsia="Times New Roman"/>
          <w:color w:val="000000"/>
          <w:sz w:val="26"/>
          <w:szCs w:val="26"/>
        </w:rPr>
        <w:t>We grant CalFire’s unopposed reque</w:t>
      </w:r>
      <w:r w:rsidRPr="005667B4">
        <w:rPr>
          <w:rFonts w:eastAsia="Times New Roman"/>
          <w:color w:val="000000"/>
          <w:sz w:val="26"/>
          <w:szCs w:val="26"/>
        </w:rPr>
        <w:t>st to take judicial notice of the legislative history materials cited here</w:t>
      </w:r>
      <w:r>
        <w:rPr>
          <w:rFonts w:eastAsia="Times New Roman"/>
          <w:color w:val="000000"/>
          <w:sz w:val="26"/>
          <w:szCs w:val="26"/>
          <w:lang w:val="en-US"/>
        </w:rPr>
        <w:t>in</w:t>
      </w:r>
      <w:r w:rsidRPr="005667B4">
        <w:rPr>
          <w:rFonts w:eastAsia="Times New Roman"/>
          <w:color w:val="000000"/>
          <w:sz w:val="26"/>
          <w:szCs w:val="26"/>
        </w:rPr>
        <w:t>.  (</w:t>
      </w:r>
      <w:r w:rsidRPr="005667B4">
        <w:rPr>
          <w:rFonts w:eastAsia="Times New Roman"/>
          <w:i/>
          <w:color w:val="000000"/>
          <w:sz w:val="26"/>
          <w:szCs w:val="26"/>
        </w:rPr>
        <w:t>In re J.W.</w:t>
      </w:r>
      <w:r w:rsidRPr="005667B4">
        <w:rPr>
          <w:rFonts w:eastAsia="Times New Roman"/>
          <w:color w:val="000000"/>
          <w:sz w:val="26"/>
          <w:szCs w:val="26"/>
        </w:rPr>
        <w:t xml:space="preserve"> (2002) 29 Cal.4th 200, 211-212; see Evid. Code, §§ 452, subd. (c), 459, subd. (a).)</w:t>
      </w:r>
    </w:p>
  </w:footnote>
  <w:footnote w:id="4">
    <w:p w:rsidR="00BA7AF1" w:rsidRPr="00417E4F" w:rsidRDefault="00196CB8" w:rsidP="00BA7AF1">
      <w:pPr>
        <w:pStyle w:val="FootnoteText"/>
        <w:spacing w:line="240" w:lineRule="auto"/>
        <w:ind w:firstLine="720"/>
        <w:rPr>
          <w:rFonts w:eastAsia="Times New Roman"/>
          <w:sz w:val="26"/>
          <w:szCs w:val="26"/>
          <w:lang w:val="en-US"/>
        </w:rPr>
      </w:pPr>
      <w:r w:rsidRPr="00660864">
        <w:rPr>
          <w:rStyle w:val="FootnoteReference"/>
          <w:position w:val="8"/>
          <w:vertAlign w:val="baseline"/>
        </w:rPr>
        <w:footnoteRef/>
      </w:r>
      <w:r>
        <w:rPr>
          <w:position w:val="8"/>
        </w:rPr>
        <w:t xml:space="preserve"> </w:t>
      </w:r>
      <w:r w:rsidRPr="00911D26">
        <w:rPr>
          <w:rFonts w:eastAsia="Times New Roman"/>
          <w:sz w:val="26"/>
          <w:szCs w:val="26"/>
        </w:rPr>
        <w:t>Given our conclusion, we need not decide whether the court successfully disting</w:t>
      </w:r>
      <w:r w:rsidRPr="00911D26">
        <w:rPr>
          <w:rFonts w:eastAsia="Times New Roman"/>
          <w:sz w:val="26"/>
          <w:szCs w:val="26"/>
        </w:rPr>
        <w:t xml:space="preserve">uished this case from </w:t>
      </w:r>
      <w:r w:rsidRPr="00911D26">
        <w:rPr>
          <w:rFonts w:eastAsia="Times New Roman"/>
          <w:i/>
          <w:sz w:val="26"/>
          <w:szCs w:val="26"/>
        </w:rPr>
        <w:t>Howell</w:t>
      </w:r>
      <w:r w:rsidRPr="00911D26">
        <w:rPr>
          <w:rFonts w:eastAsia="Times New Roman"/>
          <w:sz w:val="26"/>
          <w:szCs w:val="26"/>
        </w:rPr>
        <w:t xml:space="preserve">.  (See </w:t>
      </w:r>
      <w:r w:rsidRPr="00911D26">
        <w:rPr>
          <w:rFonts w:eastAsia="Times New Roman"/>
          <w:i/>
          <w:sz w:val="26"/>
          <w:szCs w:val="26"/>
        </w:rPr>
        <w:t>Gentry v. eBay, Inc.</w:t>
      </w:r>
      <w:r w:rsidRPr="00911D26">
        <w:rPr>
          <w:rFonts w:eastAsia="Times New Roman"/>
          <w:sz w:val="26"/>
          <w:szCs w:val="26"/>
        </w:rPr>
        <w:t xml:space="preserve"> (2002) 99 Cal.App.4th 816, 824-825 [appellate court will uphold trial court’s ruling on a demurrer if correct on any legal theory].)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oNotTrackMoves/>
  <w:defaultTabStop w:val="720"/>
  <w:drawingGridHorizontalSpacing w:val="13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B4D86"/>
    <w:rsid w:val="00196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532331"/>
  <w15:chartTrackingRefBased/>
  <w15:docId w15:val="{700AAE2D-9AB7-4DF2-BDE4-8AF156849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2B55"/>
    <w:pPr>
      <w:spacing w:line="288" w:lineRule="auto"/>
    </w:pPr>
    <w:rPr>
      <w:rFonts w:ascii="Century Schoolbook" w:hAnsi="Century Schoolbook"/>
      <w:sz w:val="26"/>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45905"/>
    <w:rPr>
      <w:sz w:val="20"/>
      <w:szCs w:val="20"/>
      <w:lang w:val="x-none" w:eastAsia="x-none"/>
    </w:rPr>
  </w:style>
  <w:style w:type="character" w:customStyle="1" w:styleId="FootnoteTextChar">
    <w:name w:val="Footnote Text Char"/>
    <w:link w:val="FootnoteText"/>
    <w:uiPriority w:val="99"/>
    <w:rsid w:val="00345905"/>
    <w:rPr>
      <w:rFonts w:ascii="Century Schoolbook" w:hAnsi="Century Schoolbook"/>
    </w:rPr>
  </w:style>
  <w:style w:type="character" w:styleId="FootnoteReference">
    <w:name w:val="footnote reference"/>
    <w:uiPriority w:val="99"/>
    <w:semiHidden/>
    <w:unhideWhenUsed/>
    <w:rsid w:val="00345905"/>
    <w:rPr>
      <w:vertAlign w:val="superscript"/>
    </w:rPr>
  </w:style>
  <w:style w:type="character" w:customStyle="1" w:styleId="cosearchterm">
    <w:name w:val="co_searchterm"/>
    <w:basedOn w:val="DefaultParagraphFont"/>
    <w:rsid w:val="00800830"/>
  </w:style>
  <w:style w:type="character" w:styleId="Emphasis">
    <w:name w:val="Emphasis"/>
    <w:uiPriority w:val="20"/>
    <w:qFormat/>
    <w:rsid w:val="0064611C"/>
    <w:rPr>
      <w:i/>
      <w:iCs/>
    </w:rPr>
  </w:style>
  <w:style w:type="paragraph" w:styleId="Header">
    <w:name w:val="header"/>
    <w:basedOn w:val="Normal"/>
    <w:link w:val="HeaderChar"/>
    <w:uiPriority w:val="99"/>
    <w:unhideWhenUsed/>
    <w:rsid w:val="00373A27"/>
    <w:pPr>
      <w:tabs>
        <w:tab w:val="center" w:pos="4680"/>
        <w:tab w:val="right" w:pos="9360"/>
      </w:tabs>
    </w:pPr>
    <w:rPr>
      <w:lang w:val="x-none" w:eastAsia="x-none"/>
    </w:rPr>
  </w:style>
  <w:style w:type="character" w:customStyle="1" w:styleId="HeaderChar">
    <w:name w:val="Header Char"/>
    <w:link w:val="Header"/>
    <w:uiPriority w:val="99"/>
    <w:rsid w:val="00373A27"/>
    <w:rPr>
      <w:rFonts w:ascii="Century Schoolbook" w:hAnsi="Century Schoolbook"/>
      <w:sz w:val="26"/>
      <w:szCs w:val="22"/>
    </w:rPr>
  </w:style>
  <w:style w:type="paragraph" w:styleId="Footer">
    <w:name w:val="footer"/>
    <w:basedOn w:val="Normal"/>
    <w:link w:val="FooterChar"/>
    <w:uiPriority w:val="99"/>
    <w:unhideWhenUsed/>
    <w:rsid w:val="00373A27"/>
    <w:pPr>
      <w:tabs>
        <w:tab w:val="center" w:pos="4680"/>
        <w:tab w:val="right" w:pos="9360"/>
      </w:tabs>
    </w:pPr>
    <w:rPr>
      <w:lang w:val="x-none" w:eastAsia="x-none"/>
    </w:rPr>
  </w:style>
  <w:style w:type="character" w:customStyle="1" w:styleId="FooterChar">
    <w:name w:val="Footer Char"/>
    <w:link w:val="Footer"/>
    <w:uiPriority w:val="99"/>
    <w:rsid w:val="00373A27"/>
    <w:rPr>
      <w:rFonts w:ascii="Century Schoolbook" w:hAnsi="Century Schoolbook"/>
      <w:sz w:val="26"/>
      <w:szCs w:val="22"/>
    </w:rPr>
  </w:style>
  <w:style w:type="paragraph" w:styleId="BalloonText">
    <w:name w:val="Balloon Text"/>
    <w:basedOn w:val="Normal"/>
    <w:link w:val="BalloonTextChar"/>
    <w:uiPriority w:val="99"/>
    <w:semiHidden/>
    <w:unhideWhenUsed/>
    <w:rsid w:val="00441918"/>
    <w:pPr>
      <w:spacing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441918"/>
    <w:rPr>
      <w:rFonts w:ascii="Tahoma" w:hAnsi="Tahoma" w:cs="Tahoma"/>
      <w:sz w:val="16"/>
      <w:szCs w:val="16"/>
    </w:rPr>
  </w:style>
  <w:style w:type="character" w:styleId="Hyperlink">
    <w:name w:val="Hyperlink"/>
    <w:uiPriority w:val="99"/>
    <w:semiHidden/>
    <w:unhideWhenUsed/>
    <w:rsid w:val="00E93060"/>
    <w:rPr>
      <w:color w:val="0000FF"/>
      <w:u w:val="single"/>
    </w:rPr>
  </w:style>
  <w:style w:type="character" w:customStyle="1" w:styleId="costarpage">
    <w:name w:val="co_starpage"/>
    <w:basedOn w:val="DefaultParagraphFont"/>
    <w:rsid w:val="009821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77183">
      <w:bodyDiv w:val="1"/>
      <w:marLeft w:val="0"/>
      <w:marRight w:val="0"/>
      <w:marTop w:val="0"/>
      <w:marBottom w:val="0"/>
      <w:divBdr>
        <w:top w:val="none" w:sz="0" w:space="0" w:color="auto"/>
        <w:left w:val="none" w:sz="0" w:space="0" w:color="auto"/>
        <w:bottom w:val="none" w:sz="0" w:space="0" w:color="auto"/>
        <w:right w:val="none" w:sz="0" w:space="0" w:color="auto"/>
      </w:divBdr>
      <w:divsChild>
        <w:div w:id="866262071">
          <w:marLeft w:val="0"/>
          <w:marRight w:val="0"/>
          <w:marTop w:val="0"/>
          <w:marBottom w:val="0"/>
          <w:divBdr>
            <w:top w:val="none" w:sz="0" w:space="0" w:color="auto"/>
            <w:left w:val="none" w:sz="0" w:space="0" w:color="auto"/>
            <w:bottom w:val="none" w:sz="0" w:space="0" w:color="auto"/>
            <w:right w:val="none" w:sz="0" w:space="0" w:color="auto"/>
          </w:divBdr>
          <w:divsChild>
            <w:div w:id="816339068">
              <w:marLeft w:val="0"/>
              <w:marRight w:val="0"/>
              <w:marTop w:val="0"/>
              <w:marBottom w:val="0"/>
              <w:divBdr>
                <w:top w:val="none" w:sz="0" w:space="0" w:color="auto"/>
                <w:left w:val="none" w:sz="0" w:space="0" w:color="auto"/>
                <w:bottom w:val="none" w:sz="0" w:space="0" w:color="auto"/>
                <w:right w:val="none" w:sz="0" w:space="0" w:color="auto"/>
              </w:divBdr>
            </w:div>
            <w:div w:id="1037195468">
              <w:marLeft w:val="0"/>
              <w:marRight w:val="0"/>
              <w:marTop w:val="0"/>
              <w:marBottom w:val="0"/>
              <w:divBdr>
                <w:top w:val="none" w:sz="0" w:space="0" w:color="auto"/>
                <w:left w:val="none" w:sz="0" w:space="0" w:color="auto"/>
                <w:bottom w:val="none" w:sz="0" w:space="0" w:color="auto"/>
                <w:right w:val="none" w:sz="0" w:space="0" w:color="auto"/>
              </w:divBdr>
              <w:divsChild>
                <w:div w:id="1970166108">
                  <w:marLeft w:val="0"/>
                  <w:marRight w:val="0"/>
                  <w:marTop w:val="0"/>
                  <w:marBottom w:val="0"/>
                  <w:divBdr>
                    <w:top w:val="none" w:sz="0" w:space="0" w:color="auto"/>
                    <w:left w:val="none" w:sz="0" w:space="0" w:color="auto"/>
                    <w:bottom w:val="none" w:sz="0" w:space="0" w:color="auto"/>
                    <w:right w:val="none" w:sz="0" w:space="0" w:color="auto"/>
                  </w:divBdr>
                  <w:divsChild>
                    <w:div w:id="116100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786373">
              <w:marLeft w:val="0"/>
              <w:marRight w:val="0"/>
              <w:marTop w:val="0"/>
              <w:marBottom w:val="0"/>
              <w:divBdr>
                <w:top w:val="none" w:sz="0" w:space="0" w:color="auto"/>
                <w:left w:val="none" w:sz="0" w:space="0" w:color="auto"/>
                <w:bottom w:val="none" w:sz="0" w:space="0" w:color="auto"/>
                <w:right w:val="none" w:sz="0" w:space="0" w:color="auto"/>
              </w:divBdr>
              <w:divsChild>
                <w:div w:id="145165736">
                  <w:marLeft w:val="0"/>
                  <w:marRight w:val="0"/>
                  <w:marTop w:val="0"/>
                  <w:marBottom w:val="0"/>
                  <w:divBdr>
                    <w:top w:val="none" w:sz="0" w:space="0" w:color="auto"/>
                    <w:left w:val="none" w:sz="0" w:space="0" w:color="auto"/>
                    <w:bottom w:val="none" w:sz="0" w:space="0" w:color="auto"/>
                    <w:right w:val="none" w:sz="0" w:space="0" w:color="auto"/>
                  </w:divBdr>
                  <w:divsChild>
                    <w:div w:id="530649176">
                      <w:marLeft w:val="0"/>
                      <w:marRight w:val="0"/>
                      <w:marTop w:val="0"/>
                      <w:marBottom w:val="0"/>
                      <w:divBdr>
                        <w:top w:val="none" w:sz="0" w:space="0" w:color="auto"/>
                        <w:left w:val="none" w:sz="0" w:space="0" w:color="auto"/>
                        <w:bottom w:val="none" w:sz="0" w:space="0" w:color="auto"/>
                        <w:right w:val="none" w:sz="0" w:space="0" w:color="auto"/>
                      </w:divBdr>
                    </w:div>
                  </w:divsChild>
                </w:div>
                <w:div w:id="253901905">
                  <w:marLeft w:val="0"/>
                  <w:marRight w:val="0"/>
                  <w:marTop w:val="0"/>
                  <w:marBottom w:val="0"/>
                  <w:divBdr>
                    <w:top w:val="none" w:sz="0" w:space="0" w:color="auto"/>
                    <w:left w:val="none" w:sz="0" w:space="0" w:color="auto"/>
                    <w:bottom w:val="none" w:sz="0" w:space="0" w:color="auto"/>
                    <w:right w:val="none" w:sz="0" w:space="0" w:color="auto"/>
                  </w:divBdr>
                  <w:divsChild>
                    <w:div w:id="272249406">
                      <w:marLeft w:val="0"/>
                      <w:marRight w:val="0"/>
                      <w:marTop w:val="0"/>
                      <w:marBottom w:val="0"/>
                      <w:divBdr>
                        <w:top w:val="none" w:sz="0" w:space="0" w:color="auto"/>
                        <w:left w:val="none" w:sz="0" w:space="0" w:color="auto"/>
                        <w:bottom w:val="none" w:sz="0" w:space="0" w:color="auto"/>
                        <w:right w:val="none" w:sz="0" w:space="0" w:color="auto"/>
                      </w:divBdr>
                      <w:divsChild>
                        <w:div w:id="31237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43158">
                  <w:marLeft w:val="0"/>
                  <w:marRight w:val="0"/>
                  <w:marTop w:val="0"/>
                  <w:marBottom w:val="0"/>
                  <w:divBdr>
                    <w:top w:val="none" w:sz="0" w:space="0" w:color="auto"/>
                    <w:left w:val="none" w:sz="0" w:space="0" w:color="auto"/>
                    <w:bottom w:val="none" w:sz="0" w:space="0" w:color="auto"/>
                    <w:right w:val="none" w:sz="0" w:space="0" w:color="auto"/>
                  </w:divBdr>
                  <w:divsChild>
                    <w:div w:id="466583052">
                      <w:marLeft w:val="0"/>
                      <w:marRight w:val="0"/>
                      <w:marTop w:val="0"/>
                      <w:marBottom w:val="0"/>
                      <w:divBdr>
                        <w:top w:val="none" w:sz="0" w:space="0" w:color="auto"/>
                        <w:left w:val="none" w:sz="0" w:space="0" w:color="auto"/>
                        <w:bottom w:val="none" w:sz="0" w:space="0" w:color="auto"/>
                        <w:right w:val="none" w:sz="0" w:space="0" w:color="auto"/>
                      </w:divBdr>
                      <w:divsChild>
                        <w:div w:id="1805657365">
                          <w:marLeft w:val="0"/>
                          <w:marRight w:val="0"/>
                          <w:marTop w:val="0"/>
                          <w:marBottom w:val="0"/>
                          <w:divBdr>
                            <w:top w:val="none" w:sz="0" w:space="0" w:color="auto"/>
                            <w:left w:val="none" w:sz="0" w:space="0" w:color="auto"/>
                            <w:bottom w:val="none" w:sz="0" w:space="0" w:color="auto"/>
                            <w:right w:val="none" w:sz="0" w:space="0" w:color="auto"/>
                          </w:divBdr>
                        </w:div>
                      </w:divsChild>
                    </w:div>
                    <w:div w:id="612446079">
                      <w:marLeft w:val="0"/>
                      <w:marRight w:val="0"/>
                      <w:marTop w:val="0"/>
                      <w:marBottom w:val="0"/>
                      <w:divBdr>
                        <w:top w:val="none" w:sz="0" w:space="0" w:color="auto"/>
                        <w:left w:val="none" w:sz="0" w:space="0" w:color="auto"/>
                        <w:bottom w:val="none" w:sz="0" w:space="0" w:color="auto"/>
                        <w:right w:val="none" w:sz="0" w:space="0" w:color="auto"/>
                      </w:divBdr>
                      <w:divsChild>
                        <w:div w:id="2041664729">
                          <w:marLeft w:val="0"/>
                          <w:marRight w:val="0"/>
                          <w:marTop w:val="0"/>
                          <w:marBottom w:val="0"/>
                          <w:divBdr>
                            <w:top w:val="none" w:sz="0" w:space="0" w:color="auto"/>
                            <w:left w:val="none" w:sz="0" w:space="0" w:color="auto"/>
                            <w:bottom w:val="none" w:sz="0" w:space="0" w:color="auto"/>
                            <w:right w:val="none" w:sz="0" w:space="0" w:color="auto"/>
                          </w:divBdr>
                          <w:divsChild>
                            <w:div w:id="111247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85148">
                      <w:marLeft w:val="0"/>
                      <w:marRight w:val="0"/>
                      <w:marTop w:val="0"/>
                      <w:marBottom w:val="0"/>
                      <w:divBdr>
                        <w:top w:val="none" w:sz="0" w:space="0" w:color="auto"/>
                        <w:left w:val="none" w:sz="0" w:space="0" w:color="auto"/>
                        <w:bottom w:val="none" w:sz="0" w:space="0" w:color="auto"/>
                        <w:right w:val="none" w:sz="0" w:space="0" w:color="auto"/>
                      </w:divBdr>
                      <w:divsChild>
                        <w:div w:id="824511480">
                          <w:marLeft w:val="0"/>
                          <w:marRight w:val="0"/>
                          <w:marTop w:val="0"/>
                          <w:marBottom w:val="0"/>
                          <w:divBdr>
                            <w:top w:val="none" w:sz="0" w:space="0" w:color="auto"/>
                            <w:left w:val="none" w:sz="0" w:space="0" w:color="auto"/>
                            <w:bottom w:val="none" w:sz="0" w:space="0" w:color="auto"/>
                            <w:right w:val="none" w:sz="0" w:space="0" w:color="auto"/>
                          </w:divBdr>
                          <w:divsChild>
                            <w:div w:id="56730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08318">
      <w:bodyDiv w:val="1"/>
      <w:marLeft w:val="0"/>
      <w:marRight w:val="0"/>
      <w:marTop w:val="0"/>
      <w:marBottom w:val="0"/>
      <w:divBdr>
        <w:top w:val="none" w:sz="0" w:space="0" w:color="auto"/>
        <w:left w:val="none" w:sz="0" w:space="0" w:color="auto"/>
        <w:bottom w:val="none" w:sz="0" w:space="0" w:color="auto"/>
        <w:right w:val="none" w:sz="0" w:space="0" w:color="auto"/>
      </w:divBdr>
      <w:divsChild>
        <w:div w:id="1738555466">
          <w:marLeft w:val="0"/>
          <w:marRight w:val="0"/>
          <w:marTop w:val="0"/>
          <w:marBottom w:val="0"/>
          <w:divBdr>
            <w:top w:val="none" w:sz="0" w:space="0" w:color="auto"/>
            <w:left w:val="none" w:sz="0" w:space="0" w:color="auto"/>
            <w:bottom w:val="none" w:sz="0" w:space="0" w:color="auto"/>
            <w:right w:val="none" w:sz="0" w:space="0" w:color="auto"/>
          </w:divBdr>
          <w:divsChild>
            <w:div w:id="206478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87180">
      <w:bodyDiv w:val="1"/>
      <w:marLeft w:val="0"/>
      <w:marRight w:val="0"/>
      <w:marTop w:val="0"/>
      <w:marBottom w:val="0"/>
      <w:divBdr>
        <w:top w:val="none" w:sz="0" w:space="0" w:color="auto"/>
        <w:left w:val="none" w:sz="0" w:space="0" w:color="auto"/>
        <w:bottom w:val="none" w:sz="0" w:space="0" w:color="auto"/>
        <w:right w:val="none" w:sz="0" w:space="0" w:color="auto"/>
      </w:divBdr>
      <w:divsChild>
        <w:div w:id="538279741">
          <w:marLeft w:val="0"/>
          <w:marRight w:val="0"/>
          <w:marTop w:val="0"/>
          <w:marBottom w:val="0"/>
          <w:divBdr>
            <w:top w:val="none" w:sz="0" w:space="0" w:color="auto"/>
            <w:left w:val="none" w:sz="0" w:space="0" w:color="auto"/>
            <w:bottom w:val="none" w:sz="0" w:space="0" w:color="auto"/>
            <w:right w:val="none" w:sz="0" w:space="0" w:color="auto"/>
          </w:divBdr>
          <w:divsChild>
            <w:div w:id="941843811">
              <w:marLeft w:val="0"/>
              <w:marRight w:val="0"/>
              <w:marTop w:val="0"/>
              <w:marBottom w:val="0"/>
              <w:divBdr>
                <w:top w:val="none" w:sz="0" w:space="0" w:color="auto"/>
                <w:left w:val="none" w:sz="0" w:space="0" w:color="auto"/>
                <w:bottom w:val="none" w:sz="0" w:space="0" w:color="auto"/>
                <w:right w:val="none" w:sz="0" w:space="0" w:color="auto"/>
              </w:divBdr>
              <w:divsChild>
                <w:div w:id="213397138">
                  <w:marLeft w:val="0"/>
                  <w:marRight w:val="0"/>
                  <w:marTop w:val="0"/>
                  <w:marBottom w:val="0"/>
                  <w:divBdr>
                    <w:top w:val="none" w:sz="0" w:space="0" w:color="auto"/>
                    <w:left w:val="none" w:sz="0" w:space="0" w:color="auto"/>
                    <w:bottom w:val="none" w:sz="0" w:space="0" w:color="auto"/>
                    <w:right w:val="none" w:sz="0" w:space="0" w:color="auto"/>
                  </w:divBdr>
                </w:div>
                <w:div w:id="1569925917">
                  <w:marLeft w:val="0"/>
                  <w:marRight w:val="0"/>
                  <w:marTop w:val="0"/>
                  <w:marBottom w:val="0"/>
                  <w:divBdr>
                    <w:top w:val="none" w:sz="0" w:space="0" w:color="auto"/>
                    <w:left w:val="none" w:sz="0" w:space="0" w:color="auto"/>
                    <w:bottom w:val="none" w:sz="0" w:space="0" w:color="auto"/>
                    <w:right w:val="none" w:sz="0" w:space="0" w:color="auto"/>
                  </w:divBdr>
                  <w:divsChild>
                    <w:div w:id="630865026">
                      <w:marLeft w:val="0"/>
                      <w:marRight w:val="0"/>
                      <w:marTop w:val="0"/>
                      <w:marBottom w:val="0"/>
                      <w:divBdr>
                        <w:top w:val="none" w:sz="0" w:space="0" w:color="auto"/>
                        <w:left w:val="none" w:sz="0" w:space="0" w:color="auto"/>
                        <w:bottom w:val="none" w:sz="0" w:space="0" w:color="auto"/>
                        <w:right w:val="none" w:sz="0" w:space="0" w:color="auto"/>
                      </w:divBdr>
                      <w:divsChild>
                        <w:div w:id="23733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261346">
                  <w:marLeft w:val="0"/>
                  <w:marRight w:val="0"/>
                  <w:marTop w:val="0"/>
                  <w:marBottom w:val="0"/>
                  <w:divBdr>
                    <w:top w:val="none" w:sz="0" w:space="0" w:color="auto"/>
                    <w:left w:val="none" w:sz="0" w:space="0" w:color="auto"/>
                    <w:bottom w:val="none" w:sz="0" w:space="0" w:color="auto"/>
                    <w:right w:val="none" w:sz="0" w:space="0" w:color="auto"/>
                  </w:divBdr>
                  <w:divsChild>
                    <w:div w:id="170775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850935">
      <w:bodyDiv w:val="1"/>
      <w:marLeft w:val="0"/>
      <w:marRight w:val="0"/>
      <w:marTop w:val="0"/>
      <w:marBottom w:val="0"/>
      <w:divBdr>
        <w:top w:val="none" w:sz="0" w:space="0" w:color="auto"/>
        <w:left w:val="none" w:sz="0" w:space="0" w:color="auto"/>
        <w:bottom w:val="none" w:sz="0" w:space="0" w:color="auto"/>
        <w:right w:val="none" w:sz="0" w:space="0" w:color="auto"/>
      </w:divBdr>
      <w:divsChild>
        <w:div w:id="424352570">
          <w:marLeft w:val="0"/>
          <w:marRight w:val="0"/>
          <w:marTop w:val="0"/>
          <w:marBottom w:val="0"/>
          <w:divBdr>
            <w:top w:val="none" w:sz="0" w:space="0" w:color="auto"/>
            <w:left w:val="none" w:sz="0" w:space="0" w:color="auto"/>
            <w:bottom w:val="none" w:sz="0" w:space="0" w:color="auto"/>
            <w:right w:val="none" w:sz="0" w:space="0" w:color="auto"/>
          </w:divBdr>
          <w:divsChild>
            <w:div w:id="31523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32252">
      <w:bodyDiv w:val="1"/>
      <w:marLeft w:val="0"/>
      <w:marRight w:val="0"/>
      <w:marTop w:val="0"/>
      <w:marBottom w:val="0"/>
      <w:divBdr>
        <w:top w:val="none" w:sz="0" w:space="0" w:color="auto"/>
        <w:left w:val="none" w:sz="0" w:space="0" w:color="auto"/>
        <w:bottom w:val="none" w:sz="0" w:space="0" w:color="auto"/>
        <w:right w:val="none" w:sz="0" w:space="0" w:color="auto"/>
      </w:divBdr>
      <w:divsChild>
        <w:div w:id="421071289">
          <w:marLeft w:val="0"/>
          <w:marRight w:val="0"/>
          <w:marTop w:val="0"/>
          <w:marBottom w:val="0"/>
          <w:divBdr>
            <w:top w:val="none" w:sz="0" w:space="0" w:color="auto"/>
            <w:left w:val="none" w:sz="0" w:space="0" w:color="auto"/>
            <w:bottom w:val="none" w:sz="0" w:space="0" w:color="auto"/>
            <w:right w:val="none" w:sz="0" w:space="0" w:color="auto"/>
          </w:divBdr>
          <w:divsChild>
            <w:div w:id="26877827">
              <w:marLeft w:val="0"/>
              <w:marRight w:val="0"/>
              <w:marTop w:val="0"/>
              <w:marBottom w:val="0"/>
              <w:divBdr>
                <w:top w:val="none" w:sz="0" w:space="0" w:color="auto"/>
                <w:left w:val="none" w:sz="0" w:space="0" w:color="auto"/>
                <w:bottom w:val="none" w:sz="0" w:space="0" w:color="auto"/>
                <w:right w:val="none" w:sz="0" w:space="0" w:color="auto"/>
              </w:divBdr>
              <w:divsChild>
                <w:div w:id="308443908">
                  <w:marLeft w:val="0"/>
                  <w:marRight w:val="0"/>
                  <w:marTop w:val="0"/>
                  <w:marBottom w:val="0"/>
                  <w:divBdr>
                    <w:top w:val="none" w:sz="0" w:space="0" w:color="auto"/>
                    <w:left w:val="none" w:sz="0" w:space="0" w:color="auto"/>
                    <w:bottom w:val="none" w:sz="0" w:space="0" w:color="auto"/>
                    <w:right w:val="none" w:sz="0" w:space="0" w:color="auto"/>
                  </w:divBdr>
                  <w:divsChild>
                    <w:div w:id="79692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299727">
              <w:marLeft w:val="0"/>
              <w:marRight w:val="0"/>
              <w:marTop w:val="0"/>
              <w:marBottom w:val="0"/>
              <w:divBdr>
                <w:top w:val="none" w:sz="0" w:space="0" w:color="auto"/>
                <w:left w:val="none" w:sz="0" w:space="0" w:color="auto"/>
                <w:bottom w:val="none" w:sz="0" w:space="0" w:color="auto"/>
                <w:right w:val="none" w:sz="0" w:space="0" w:color="auto"/>
              </w:divBdr>
              <w:divsChild>
                <w:div w:id="309133965">
                  <w:marLeft w:val="0"/>
                  <w:marRight w:val="0"/>
                  <w:marTop w:val="0"/>
                  <w:marBottom w:val="0"/>
                  <w:divBdr>
                    <w:top w:val="none" w:sz="0" w:space="0" w:color="auto"/>
                    <w:left w:val="none" w:sz="0" w:space="0" w:color="auto"/>
                    <w:bottom w:val="none" w:sz="0" w:space="0" w:color="auto"/>
                    <w:right w:val="none" w:sz="0" w:space="0" w:color="auto"/>
                  </w:divBdr>
                  <w:divsChild>
                    <w:div w:id="728574349">
                      <w:marLeft w:val="0"/>
                      <w:marRight w:val="0"/>
                      <w:marTop w:val="0"/>
                      <w:marBottom w:val="0"/>
                      <w:divBdr>
                        <w:top w:val="none" w:sz="0" w:space="0" w:color="auto"/>
                        <w:left w:val="none" w:sz="0" w:space="0" w:color="auto"/>
                        <w:bottom w:val="none" w:sz="0" w:space="0" w:color="auto"/>
                        <w:right w:val="none" w:sz="0" w:space="0" w:color="auto"/>
                      </w:divBdr>
                      <w:divsChild>
                        <w:div w:id="82170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795109">
                  <w:marLeft w:val="0"/>
                  <w:marRight w:val="0"/>
                  <w:marTop w:val="0"/>
                  <w:marBottom w:val="0"/>
                  <w:divBdr>
                    <w:top w:val="none" w:sz="0" w:space="0" w:color="auto"/>
                    <w:left w:val="none" w:sz="0" w:space="0" w:color="auto"/>
                    <w:bottom w:val="none" w:sz="0" w:space="0" w:color="auto"/>
                    <w:right w:val="none" w:sz="0" w:space="0" w:color="auto"/>
                  </w:divBdr>
                  <w:divsChild>
                    <w:div w:id="174928543">
                      <w:marLeft w:val="0"/>
                      <w:marRight w:val="0"/>
                      <w:marTop w:val="0"/>
                      <w:marBottom w:val="0"/>
                      <w:divBdr>
                        <w:top w:val="none" w:sz="0" w:space="0" w:color="auto"/>
                        <w:left w:val="none" w:sz="0" w:space="0" w:color="auto"/>
                        <w:bottom w:val="none" w:sz="0" w:space="0" w:color="auto"/>
                        <w:right w:val="none" w:sz="0" w:space="0" w:color="auto"/>
                      </w:divBdr>
                      <w:divsChild>
                        <w:div w:id="64737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226908">
                  <w:marLeft w:val="0"/>
                  <w:marRight w:val="0"/>
                  <w:marTop w:val="0"/>
                  <w:marBottom w:val="0"/>
                  <w:divBdr>
                    <w:top w:val="none" w:sz="0" w:space="0" w:color="auto"/>
                    <w:left w:val="none" w:sz="0" w:space="0" w:color="auto"/>
                    <w:bottom w:val="none" w:sz="0" w:space="0" w:color="auto"/>
                    <w:right w:val="none" w:sz="0" w:space="0" w:color="auto"/>
                  </w:divBdr>
                  <w:divsChild>
                    <w:div w:id="1806966587">
                      <w:marLeft w:val="0"/>
                      <w:marRight w:val="0"/>
                      <w:marTop w:val="0"/>
                      <w:marBottom w:val="0"/>
                      <w:divBdr>
                        <w:top w:val="none" w:sz="0" w:space="0" w:color="auto"/>
                        <w:left w:val="none" w:sz="0" w:space="0" w:color="auto"/>
                        <w:bottom w:val="none" w:sz="0" w:space="0" w:color="auto"/>
                        <w:right w:val="none" w:sz="0" w:space="0" w:color="auto"/>
                      </w:divBdr>
                      <w:divsChild>
                        <w:div w:id="140129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040238">
                  <w:marLeft w:val="0"/>
                  <w:marRight w:val="0"/>
                  <w:marTop w:val="0"/>
                  <w:marBottom w:val="0"/>
                  <w:divBdr>
                    <w:top w:val="none" w:sz="0" w:space="0" w:color="auto"/>
                    <w:left w:val="none" w:sz="0" w:space="0" w:color="auto"/>
                    <w:bottom w:val="none" w:sz="0" w:space="0" w:color="auto"/>
                    <w:right w:val="none" w:sz="0" w:space="0" w:color="auto"/>
                  </w:divBdr>
                  <w:divsChild>
                    <w:div w:id="152645700">
                      <w:marLeft w:val="0"/>
                      <w:marRight w:val="0"/>
                      <w:marTop w:val="0"/>
                      <w:marBottom w:val="0"/>
                      <w:divBdr>
                        <w:top w:val="none" w:sz="0" w:space="0" w:color="auto"/>
                        <w:left w:val="none" w:sz="0" w:space="0" w:color="auto"/>
                        <w:bottom w:val="none" w:sz="0" w:space="0" w:color="auto"/>
                        <w:right w:val="none" w:sz="0" w:space="0" w:color="auto"/>
                      </w:divBdr>
                      <w:divsChild>
                        <w:div w:id="159201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455860">
                  <w:marLeft w:val="0"/>
                  <w:marRight w:val="0"/>
                  <w:marTop w:val="0"/>
                  <w:marBottom w:val="0"/>
                  <w:divBdr>
                    <w:top w:val="none" w:sz="0" w:space="0" w:color="auto"/>
                    <w:left w:val="none" w:sz="0" w:space="0" w:color="auto"/>
                    <w:bottom w:val="none" w:sz="0" w:space="0" w:color="auto"/>
                    <w:right w:val="none" w:sz="0" w:space="0" w:color="auto"/>
                  </w:divBdr>
                  <w:divsChild>
                    <w:div w:id="202290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026761">
              <w:marLeft w:val="0"/>
              <w:marRight w:val="0"/>
              <w:marTop w:val="0"/>
              <w:marBottom w:val="0"/>
              <w:divBdr>
                <w:top w:val="none" w:sz="0" w:space="0" w:color="auto"/>
                <w:left w:val="none" w:sz="0" w:space="0" w:color="auto"/>
                <w:bottom w:val="none" w:sz="0" w:space="0" w:color="auto"/>
                <w:right w:val="none" w:sz="0" w:space="0" w:color="auto"/>
              </w:divBdr>
            </w:div>
            <w:div w:id="1445229654">
              <w:marLeft w:val="0"/>
              <w:marRight w:val="0"/>
              <w:marTop w:val="0"/>
              <w:marBottom w:val="0"/>
              <w:divBdr>
                <w:top w:val="none" w:sz="0" w:space="0" w:color="auto"/>
                <w:left w:val="none" w:sz="0" w:space="0" w:color="auto"/>
                <w:bottom w:val="none" w:sz="0" w:space="0" w:color="auto"/>
                <w:right w:val="none" w:sz="0" w:space="0" w:color="auto"/>
              </w:divBdr>
              <w:divsChild>
                <w:div w:id="707264594">
                  <w:marLeft w:val="0"/>
                  <w:marRight w:val="0"/>
                  <w:marTop w:val="0"/>
                  <w:marBottom w:val="0"/>
                  <w:divBdr>
                    <w:top w:val="none" w:sz="0" w:space="0" w:color="auto"/>
                    <w:left w:val="none" w:sz="0" w:space="0" w:color="auto"/>
                    <w:bottom w:val="none" w:sz="0" w:space="0" w:color="auto"/>
                    <w:right w:val="none" w:sz="0" w:space="0" w:color="auto"/>
                  </w:divBdr>
                  <w:divsChild>
                    <w:div w:id="193331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369391">
              <w:marLeft w:val="0"/>
              <w:marRight w:val="0"/>
              <w:marTop w:val="0"/>
              <w:marBottom w:val="0"/>
              <w:divBdr>
                <w:top w:val="none" w:sz="0" w:space="0" w:color="auto"/>
                <w:left w:val="none" w:sz="0" w:space="0" w:color="auto"/>
                <w:bottom w:val="none" w:sz="0" w:space="0" w:color="auto"/>
                <w:right w:val="none" w:sz="0" w:space="0" w:color="auto"/>
              </w:divBdr>
              <w:divsChild>
                <w:div w:id="626083227">
                  <w:marLeft w:val="0"/>
                  <w:marRight w:val="0"/>
                  <w:marTop w:val="0"/>
                  <w:marBottom w:val="0"/>
                  <w:divBdr>
                    <w:top w:val="none" w:sz="0" w:space="0" w:color="auto"/>
                    <w:left w:val="none" w:sz="0" w:space="0" w:color="auto"/>
                    <w:bottom w:val="none" w:sz="0" w:space="0" w:color="auto"/>
                    <w:right w:val="none" w:sz="0" w:space="0" w:color="auto"/>
                  </w:divBdr>
                  <w:divsChild>
                    <w:div w:id="67804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158405">
              <w:marLeft w:val="0"/>
              <w:marRight w:val="0"/>
              <w:marTop w:val="0"/>
              <w:marBottom w:val="0"/>
              <w:divBdr>
                <w:top w:val="none" w:sz="0" w:space="0" w:color="auto"/>
                <w:left w:val="none" w:sz="0" w:space="0" w:color="auto"/>
                <w:bottom w:val="none" w:sz="0" w:space="0" w:color="auto"/>
                <w:right w:val="none" w:sz="0" w:space="0" w:color="auto"/>
              </w:divBdr>
              <w:divsChild>
                <w:div w:id="53912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698914">
      <w:bodyDiv w:val="1"/>
      <w:marLeft w:val="0"/>
      <w:marRight w:val="0"/>
      <w:marTop w:val="0"/>
      <w:marBottom w:val="0"/>
      <w:divBdr>
        <w:top w:val="none" w:sz="0" w:space="0" w:color="auto"/>
        <w:left w:val="none" w:sz="0" w:space="0" w:color="auto"/>
        <w:bottom w:val="none" w:sz="0" w:space="0" w:color="auto"/>
        <w:right w:val="none" w:sz="0" w:space="0" w:color="auto"/>
      </w:divBdr>
      <w:divsChild>
        <w:div w:id="1441145785">
          <w:marLeft w:val="0"/>
          <w:marRight w:val="0"/>
          <w:marTop w:val="0"/>
          <w:marBottom w:val="0"/>
          <w:divBdr>
            <w:top w:val="none" w:sz="0" w:space="0" w:color="auto"/>
            <w:left w:val="none" w:sz="0" w:space="0" w:color="auto"/>
            <w:bottom w:val="none" w:sz="0" w:space="0" w:color="auto"/>
            <w:right w:val="none" w:sz="0" w:space="0" w:color="auto"/>
          </w:divBdr>
          <w:divsChild>
            <w:div w:id="759521793">
              <w:marLeft w:val="0"/>
              <w:marRight w:val="0"/>
              <w:marTop w:val="0"/>
              <w:marBottom w:val="0"/>
              <w:divBdr>
                <w:top w:val="none" w:sz="0" w:space="0" w:color="auto"/>
                <w:left w:val="none" w:sz="0" w:space="0" w:color="auto"/>
                <w:bottom w:val="none" w:sz="0" w:space="0" w:color="auto"/>
                <w:right w:val="none" w:sz="0" w:space="0" w:color="auto"/>
              </w:divBdr>
              <w:divsChild>
                <w:div w:id="118555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462710">
      <w:bodyDiv w:val="1"/>
      <w:marLeft w:val="0"/>
      <w:marRight w:val="0"/>
      <w:marTop w:val="0"/>
      <w:marBottom w:val="0"/>
      <w:divBdr>
        <w:top w:val="none" w:sz="0" w:space="0" w:color="auto"/>
        <w:left w:val="none" w:sz="0" w:space="0" w:color="auto"/>
        <w:bottom w:val="none" w:sz="0" w:space="0" w:color="auto"/>
        <w:right w:val="none" w:sz="0" w:space="0" w:color="auto"/>
      </w:divBdr>
      <w:divsChild>
        <w:div w:id="1072191007">
          <w:marLeft w:val="0"/>
          <w:marRight w:val="0"/>
          <w:marTop w:val="0"/>
          <w:marBottom w:val="0"/>
          <w:divBdr>
            <w:top w:val="none" w:sz="0" w:space="0" w:color="auto"/>
            <w:left w:val="none" w:sz="0" w:space="0" w:color="auto"/>
            <w:bottom w:val="none" w:sz="0" w:space="0" w:color="auto"/>
            <w:right w:val="none" w:sz="0" w:space="0" w:color="auto"/>
          </w:divBdr>
          <w:divsChild>
            <w:div w:id="65764394">
              <w:marLeft w:val="0"/>
              <w:marRight w:val="0"/>
              <w:marTop w:val="0"/>
              <w:marBottom w:val="0"/>
              <w:divBdr>
                <w:top w:val="none" w:sz="0" w:space="0" w:color="auto"/>
                <w:left w:val="none" w:sz="0" w:space="0" w:color="auto"/>
                <w:bottom w:val="none" w:sz="0" w:space="0" w:color="auto"/>
                <w:right w:val="none" w:sz="0" w:space="0" w:color="auto"/>
              </w:divBdr>
            </w:div>
            <w:div w:id="342707687">
              <w:marLeft w:val="0"/>
              <w:marRight w:val="0"/>
              <w:marTop w:val="0"/>
              <w:marBottom w:val="0"/>
              <w:divBdr>
                <w:top w:val="none" w:sz="0" w:space="0" w:color="auto"/>
                <w:left w:val="none" w:sz="0" w:space="0" w:color="auto"/>
                <w:bottom w:val="none" w:sz="0" w:space="0" w:color="auto"/>
                <w:right w:val="none" w:sz="0" w:space="0" w:color="auto"/>
              </w:divBdr>
            </w:div>
            <w:div w:id="370881851">
              <w:marLeft w:val="0"/>
              <w:marRight w:val="0"/>
              <w:marTop w:val="0"/>
              <w:marBottom w:val="0"/>
              <w:divBdr>
                <w:top w:val="none" w:sz="0" w:space="0" w:color="auto"/>
                <w:left w:val="none" w:sz="0" w:space="0" w:color="auto"/>
                <w:bottom w:val="none" w:sz="0" w:space="0" w:color="auto"/>
                <w:right w:val="none" w:sz="0" w:space="0" w:color="auto"/>
              </w:divBdr>
            </w:div>
            <w:div w:id="394355094">
              <w:marLeft w:val="0"/>
              <w:marRight w:val="0"/>
              <w:marTop w:val="0"/>
              <w:marBottom w:val="0"/>
              <w:divBdr>
                <w:top w:val="none" w:sz="0" w:space="0" w:color="auto"/>
                <w:left w:val="none" w:sz="0" w:space="0" w:color="auto"/>
                <w:bottom w:val="none" w:sz="0" w:space="0" w:color="auto"/>
                <w:right w:val="none" w:sz="0" w:space="0" w:color="auto"/>
              </w:divBdr>
            </w:div>
            <w:div w:id="754516445">
              <w:marLeft w:val="0"/>
              <w:marRight w:val="0"/>
              <w:marTop w:val="0"/>
              <w:marBottom w:val="0"/>
              <w:divBdr>
                <w:top w:val="none" w:sz="0" w:space="0" w:color="auto"/>
                <w:left w:val="none" w:sz="0" w:space="0" w:color="auto"/>
                <w:bottom w:val="none" w:sz="0" w:space="0" w:color="auto"/>
                <w:right w:val="none" w:sz="0" w:space="0" w:color="auto"/>
              </w:divBdr>
            </w:div>
            <w:div w:id="882182211">
              <w:marLeft w:val="0"/>
              <w:marRight w:val="0"/>
              <w:marTop w:val="0"/>
              <w:marBottom w:val="0"/>
              <w:divBdr>
                <w:top w:val="none" w:sz="0" w:space="0" w:color="auto"/>
                <w:left w:val="none" w:sz="0" w:space="0" w:color="auto"/>
                <w:bottom w:val="none" w:sz="0" w:space="0" w:color="auto"/>
                <w:right w:val="none" w:sz="0" w:space="0" w:color="auto"/>
              </w:divBdr>
            </w:div>
            <w:div w:id="1011879202">
              <w:marLeft w:val="0"/>
              <w:marRight w:val="0"/>
              <w:marTop w:val="0"/>
              <w:marBottom w:val="0"/>
              <w:divBdr>
                <w:top w:val="none" w:sz="0" w:space="0" w:color="auto"/>
                <w:left w:val="none" w:sz="0" w:space="0" w:color="auto"/>
                <w:bottom w:val="none" w:sz="0" w:space="0" w:color="auto"/>
                <w:right w:val="none" w:sz="0" w:space="0" w:color="auto"/>
              </w:divBdr>
            </w:div>
            <w:div w:id="1210070173">
              <w:marLeft w:val="0"/>
              <w:marRight w:val="0"/>
              <w:marTop w:val="0"/>
              <w:marBottom w:val="0"/>
              <w:divBdr>
                <w:top w:val="none" w:sz="0" w:space="0" w:color="auto"/>
                <w:left w:val="none" w:sz="0" w:space="0" w:color="auto"/>
                <w:bottom w:val="none" w:sz="0" w:space="0" w:color="auto"/>
                <w:right w:val="none" w:sz="0" w:space="0" w:color="auto"/>
              </w:divBdr>
            </w:div>
            <w:div w:id="1267150491">
              <w:marLeft w:val="0"/>
              <w:marRight w:val="0"/>
              <w:marTop w:val="0"/>
              <w:marBottom w:val="0"/>
              <w:divBdr>
                <w:top w:val="none" w:sz="0" w:space="0" w:color="auto"/>
                <w:left w:val="none" w:sz="0" w:space="0" w:color="auto"/>
                <w:bottom w:val="none" w:sz="0" w:space="0" w:color="auto"/>
                <w:right w:val="none" w:sz="0" w:space="0" w:color="auto"/>
              </w:divBdr>
            </w:div>
            <w:div w:id="1412043485">
              <w:marLeft w:val="0"/>
              <w:marRight w:val="0"/>
              <w:marTop w:val="0"/>
              <w:marBottom w:val="0"/>
              <w:divBdr>
                <w:top w:val="none" w:sz="0" w:space="0" w:color="auto"/>
                <w:left w:val="none" w:sz="0" w:space="0" w:color="auto"/>
                <w:bottom w:val="none" w:sz="0" w:space="0" w:color="auto"/>
                <w:right w:val="none" w:sz="0" w:space="0" w:color="auto"/>
              </w:divBdr>
            </w:div>
            <w:div w:id="1448087624">
              <w:marLeft w:val="0"/>
              <w:marRight w:val="0"/>
              <w:marTop w:val="0"/>
              <w:marBottom w:val="0"/>
              <w:divBdr>
                <w:top w:val="none" w:sz="0" w:space="0" w:color="auto"/>
                <w:left w:val="none" w:sz="0" w:space="0" w:color="auto"/>
                <w:bottom w:val="none" w:sz="0" w:space="0" w:color="auto"/>
                <w:right w:val="none" w:sz="0" w:space="0" w:color="auto"/>
              </w:divBdr>
            </w:div>
            <w:div w:id="214384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136567">
      <w:bodyDiv w:val="1"/>
      <w:marLeft w:val="0"/>
      <w:marRight w:val="0"/>
      <w:marTop w:val="0"/>
      <w:marBottom w:val="0"/>
      <w:divBdr>
        <w:top w:val="none" w:sz="0" w:space="0" w:color="auto"/>
        <w:left w:val="none" w:sz="0" w:space="0" w:color="auto"/>
        <w:bottom w:val="none" w:sz="0" w:space="0" w:color="auto"/>
        <w:right w:val="none" w:sz="0" w:space="0" w:color="auto"/>
      </w:divBdr>
      <w:divsChild>
        <w:div w:id="748387247">
          <w:marLeft w:val="0"/>
          <w:marRight w:val="0"/>
          <w:marTop w:val="0"/>
          <w:marBottom w:val="0"/>
          <w:divBdr>
            <w:top w:val="none" w:sz="0" w:space="0" w:color="auto"/>
            <w:left w:val="none" w:sz="0" w:space="0" w:color="auto"/>
            <w:bottom w:val="none" w:sz="0" w:space="0" w:color="auto"/>
            <w:right w:val="none" w:sz="0" w:space="0" w:color="auto"/>
          </w:divBdr>
          <w:divsChild>
            <w:div w:id="1206677253">
              <w:marLeft w:val="0"/>
              <w:marRight w:val="0"/>
              <w:marTop w:val="0"/>
              <w:marBottom w:val="0"/>
              <w:divBdr>
                <w:top w:val="none" w:sz="0" w:space="0" w:color="auto"/>
                <w:left w:val="none" w:sz="0" w:space="0" w:color="auto"/>
                <w:bottom w:val="none" w:sz="0" w:space="0" w:color="auto"/>
                <w:right w:val="none" w:sz="0" w:space="0" w:color="auto"/>
              </w:divBdr>
              <w:divsChild>
                <w:div w:id="6148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992596">
      <w:bodyDiv w:val="1"/>
      <w:marLeft w:val="0"/>
      <w:marRight w:val="0"/>
      <w:marTop w:val="0"/>
      <w:marBottom w:val="0"/>
      <w:divBdr>
        <w:top w:val="none" w:sz="0" w:space="0" w:color="auto"/>
        <w:left w:val="none" w:sz="0" w:space="0" w:color="auto"/>
        <w:bottom w:val="none" w:sz="0" w:space="0" w:color="auto"/>
        <w:right w:val="none" w:sz="0" w:space="0" w:color="auto"/>
      </w:divBdr>
      <w:divsChild>
        <w:div w:id="890846656">
          <w:marLeft w:val="0"/>
          <w:marRight w:val="0"/>
          <w:marTop w:val="0"/>
          <w:marBottom w:val="0"/>
          <w:divBdr>
            <w:top w:val="none" w:sz="0" w:space="0" w:color="auto"/>
            <w:left w:val="none" w:sz="0" w:space="0" w:color="auto"/>
            <w:bottom w:val="none" w:sz="0" w:space="0" w:color="auto"/>
            <w:right w:val="none" w:sz="0" w:space="0" w:color="auto"/>
          </w:divBdr>
          <w:divsChild>
            <w:div w:id="1516920703">
              <w:marLeft w:val="0"/>
              <w:marRight w:val="0"/>
              <w:marTop w:val="0"/>
              <w:marBottom w:val="0"/>
              <w:divBdr>
                <w:top w:val="none" w:sz="0" w:space="0" w:color="auto"/>
                <w:left w:val="none" w:sz="0" w:space="0" w:color="auto"/>
                <w:bottom w:val="none" w:sz="0" w:space="0" w:color="auto"/>
                <w:right w:val="none" w:sz="0" w:space="0" w:color="auto"/>
              </w:divBdr>
              <w:divsChild>
                <w:div w:id="205554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527472">
      <w:bodyDiv w:val="1"/>
      <w:marLeft w:val="0"/>
      <w:marRight w:val="0"/>
      <w:marTop w:val="0"/>
      <w:marBottom w:val="0"/>
      <w:divBdr>
        <w:top w:val="none" w:sz="0" w:space="0" w:color="auto"/>
        <w:left w:val="none" w:sz="0" w:space="0" w:color="auto"/>
        <w:bottom w:val="none" w:sz="0" w:space="0" w:color="auto"/>
        <w:right w:val="none" w:sz="0" w:space="0" w:color="auto"/>
      </w:divBdr>
      <w:divsChild>
        <w:div w:id="2089108409">
          <w:marLeft w:val="0"/>
          <w:marRight w:val="0"/>
          <w:marTop w:val="0"/>
          <w:marBottom w:val="0"/>
          <w:divBdr>
            <w:top w:val="none" w:sz="0" w:space="0" w:color="auto"/>
            <w:left w:val="none" w:sz="0" w:space="0" w:color="auto"/>
            <w:bottom w:val="none" w:sz="0" w:space="0" w:color="auto"/>
            <w:right w:val="none" w:sz="0" w:space="0" w:color="auto"/>
          </w:divBdr>
          <w:divsChild>
            <w:div w:id="180330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778611">
      <w:bodyDiv w:val="1"/>
      <w:marLeft w:val="0"/>
      <w:marRight w:val="0"/>
      <w:marTop w:val="0"/>
      <w:marBottom w:val="0"/>
      <w:divBdr>
        <w:top w:val="none" w:sz="0" w:space="0" w:color="auto"/>
        <w:left w:val="none" w:sz="0" w:space="0" w:color="auto"/>
        <w:bottom w:val="none" w:sz="0" w:space="0" w:color="auto"/>
        <w:right w:val="none" w:sz="0" w:space="0" w:color="auto"/>
      </w:divBdr>
      <w:divsChild>
        <w:div w:id="1627854600">
          <w:marLeft w:val="0"/>
          <w:marRight w:val="0"/>
          <w:marTop w:val="0"/>
          <w:marBottom w:val="0"/>
          <w:divBdr>
            <w:top w:val="none" w:sz="0" w:space="0" w:color="auto"/>
            <w:left w:val="none" w:sz="0" w:space="0" w:color="auto"/>
            <w:bottom w:val="none" w:sz="0" w:space="0" w:color="auto"/>
            <w:right w:val="none" w:sz="0" w:space="0" w:color="auto"/>
          </w:divBdr>
          <w:divsChild>
            <w:div w:id="25632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933096">
      <w:bodyDiv w:val="1"/>
      <w:marLeft w:val="0"/>
      <w:marRight w:val="0"/>
      <w:marTop w:val="0"/>
      <w:marBottom w:val="0"/>
      <w:divBdr>
        <w:top w:val="none" w:sz="0" w:space="0" w:color="auto"/>
        <w:left w:val="none" w:sz="0" w:space="0" w:color="auto"/>
        <w:bottom w:val="none" w:sz="0" w:space="0" w:color="auto"/>
        <w:right w:val="none" w:sz="0" w:space="0" w:color="auto"/>
      </w:divBdr>
      <w:divsChild>
        <w:div w:id="1848783510">
          <w:marLeft w:val="0"/>
          <w:marRight w:val="0"/>
          <w:marTop w:val="0"/>
          <w:marBottom w:val="0"/>
          <w:divBdr>
            <w:top w:val="none" w:sz="0" w:space="0" w:color="auto"/>
            <w:left w:val="none" w:sz="0" w:space="0" w:color="auto"/>
            <w:bottom w:val="none" w:sz="0" w:space="0" w:color="auto"/>
            <w:right w:val="none" w:sz="0" w:space="0" w:color="auto"/>
          </w:divBdr>
          <w:divsChild>
            <w:div w:id="62935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251939">
      <w:bodyDiv w:val="1"/>
      <w:marLeft w:val="0"/>
      <w:marRight w:val="0"/>
      <w:marTop w:val="0"/>
      <w:marBottom w:val="0"/>
      <w:divBdr>
        <w:top w:val="none" w:sz="0" w:space="0" w:color="auto"/>
        <w:left w:val="none" w:sz="0" w:space="0" w:color="auto"/>
        <w:bottom w:val="none" w:sz="0" w:space="0" w:color="auto"/>
        <w:right w:val="none" w:sz="0" w:space="0" w:color="auto"/>
      </w:divBdr>
      <w:divsChild>
        <w:div w:id="2069910802">
          <w:marLeft w:val="0"/>
          <w:marRight w:val="0"/>
          <w:marTop w:val="0"/>
          <w:marBottom w:val="0"/>
          <w:divBdr>
            <w:top w:val="none" w:sz="0" w:space="0" w:color="auto"/>
            <w:left w:val="none" w:sz="0" w:space="0" w:color="auto"/>
            <w:bottom w:val="none" w:sz="0" w:space="0" w:color="auto"/>
            <w:right w:val="none" w:sz="0" w:space="0" w:color="auto"/>
          </w:divBdr>
          <w:divsChild>
            <w:div w:id="164616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286611">
      <w:bodyDiv w:val="1"/>
      <w:marLeft w:val="0"/>
      <w:marRight w:val="0"/>
      <w:marTop w:val="0"/>
      <w:marBottom w:val="0"/>
      <w:divBdr>
        <w:top w:val="none" w:sz="0" w:space="0" w:color="auto"/>
        <w:left w:val="none" w:sz="0" w:space="0" w:color="auto"/>
        <w:bottom w:val="none" w:sz="0" w:space="0" w:color="auto"/>
        <w:right w:val="none" w:sz="0" w:space="0" w:color="auto"/>
      </w:divBdr>
      <w:divsChild>
        <w:div w:id="460147248">
          <w:marLeft w:val="0"/>
          <w:marRight w:val="0"/>
          <w:marTop w:val="0"/>
          <w:marBottom w:val="0"/>
          <w:divBdr>
            <w:top w:val="none" w:sz="0" w:space="0" w:color="auto"/>
            <w:left w:val="none" w:sz="0" w:space="0" w:color="auto"/>
            <w:bottom w:val="none" w:sz="0" w:space="0" w:color="auto"/>
            <w:right w:val="none" w:sz="0" w:space="0" w:color="auto"/>
          </w:divBdr>
          <w:divsChild>
            <w:div w:id="68507274">
              <w:marLeft w:val="0"/>
              <w:marRight w:val="0"/>
              <w:marTop w:val="0"/>
              <w:marBottom w:val="0"/>
              <w:divBdr>
                <w:top w:val="none" w:sz="0" w:space="0" w:color="auto"/>
                <w:left w:val="none" w:sz="0" w:space="0" w:color="auto"/>
                <w:bottom w:val="none" w:sz="0" w:space="0" w:color="auto"/>
                <w:right w:val="none" w:sz="0" w:space="0" w:color="auto"/>
              </w:divBdr>
              <w:divsChild>
                <w:div w:id="197861712">
                  <w:marLeft w:val="0"/>
                  <w:marRight w:val="0"/>
                  <w:marTop w:val="0"/>
                  <w:marBottom w:val="0"/>
                  <w:divBdr>
                    <w:top w:val="none" w:sz="0" w:space="0" w:color="auto"/>
                    <w:left w:val="none" w:sz="0" w:space="0" w:color="auto"/>
                    <w:bottom w:val="none" w:sz="0" w:space="0" w:color="auto"/>
                    <w:right w:val="none" w:sz="0" w:space="0" w:color="auto"/>
                  </w:divBdr>
                  <w:divsChild>
                    <w:div w:id="2055960518">
                      <w:marLeft w:val="0"/>
                      <w:marRight w:val="0"/>
                      <w:marTop w:val="0"/>
                      <w:marBottom w:val="0"/>
                      <w:divBdr>
                        <w:top w:val="none" w:sz="0" w:space="0" w:color="auto"/>
                        <w:left w:val="none" w:sz="0" w:space="0" w:color="auto"/>
                        <w:bottom w:val="none" w:sz="0" w:space="0" w:color="auto"/>
                        <w:right w:val="none" w:sz="0" w:space="0" w:color="auto"/>
                      </w:divBdr>
                      <w:divsChild>
                        <w:div w:id="65006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19084">
                  <w:marLeft w:val="0"/>
                  <w:marRight w:val="0"/>
                  <w:marTop w:val="0"/>
                  <w:marBottom w:val="0"/>
                  <w:divBdr>
                    <w:top w:val="none" w:sz="0" w:space="0" w:color="auto"/>
                    <w:left w:val="none" w:sz="0" w:space="0" w:color="auto"/>
                    <w:bottom w:val="none" w:sz="0" w:space="0" w:color="auto"/>
                    <w:right w:val="none" w:sz="0" w:space="0" w:color="auto"/>
                  </w:divBdr>
                </w:div>
                <w:div w:id="756941041">
                  <w:marLeft w:val="0"/>
                  <w:marRight w:val="0"/>
                  <w:marTop w:val="0"/>
                  <w:marBottom w:val="0"/>
                  <w:divBdr>
                    <w:top w:val="none" w:sz="0" w:space="0" w:color="auto"/>
                    <w:left w:val="none" w:sz="0" w:space="0" w:color="auto"/>
                    <w:bottom w:val="none" w:sz="0" w:space="0" w:color="auto"/>
                    <w:right w:val="none" w:sz="0" w:space="0" w:color="auto"/>
                  </w:divBdr>
                  <w:divsChild>
                    <w:div w:id="12589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787939">
      <w:bodyDiv w:val="1"/>
      <w:marLeft w:val="0"/>
      <w:marRight w:val="0"/>
      <w:marTop w:val="0"/>
      <w:marBottom w:val="0"/>
      <w:divBdr>
        <w:top w:val="none" w:sz="0" w:space="0" w:color="auto"/>
        <w:left w:val="none" w:sz="0" w:space="0" w:color="auto"/>
        <w:bottom w:val="none" w:sz="0" w:space="0" w:color="auto"/>
        <w:right w:val="none" w:sz="0" w:space="0" w:color="auto"/>
      </w:divBdr>
      <w:divsChild>
        <w:div w:id="1703553855">
          <w:marLeft w:val="0"/>
          <w:marRight w:val="0"/>
          <w:marTop w:val="0"/>
          <w:marBottom w:val="0"/>
          <w:divBdr>
            <w:top w:val="none" w:sz="0" w:space="0" w:color="auto"/>
            <w:left w:val="none" w:sz="0" w:space="0" w:color="auto"/>
            <w:bottom w:val="none" w:sz="0" w:space="0" w:color="auto"/>
            <w:right w:val="none" w:sz="0" w:space="0" w:color="auto"/>
          </w:divBdr>
          <w:divsChild>
            <w:div w:id="67770815">
              <w:marLeft w:val="0"/>
              <w:marRight w:val="0"/>
              <w:marTop w:val="0"/>
              <w:marBottom w:val="0"/>
              <w:divBdr>
                <w:top w:val="none" w:sz="0" w:space="0" w:color="auto"/>
                <w:left w:val="none" w:sz="0" w:space="0" w:color="auto"/>
                <w:bottom w:val="none" w:sz="0" w:space="0" w:color="auto"/>
                <w:right w:val="none" w:sz="0" w:space="0" w:color="auto"/>
              </w:divBdr>
              <w:divsChild>
                <w:div w:id="1497912666">
                  <w:marLeft w:val="0"/>
                  <w:marRight w:val="0"/>
                  <w:marTop w:val="0"/>
                  <w:marBottom w:val="0"/>
                  <w:divBdr>
                    <w:top w:val="none" w:sz="0" w:space="0" w:color="auto"/>
                    <w:left w:val="none" w:sz="0" w:space="0" w:color="auto"/>
                    <w:bottom w:val="none" w:sz="0" w:space="0" w:color="auto"/>
                    <w:right w:val="none" w:sz="0" w:space="0" w:color="auto"/>
                  </w:divBdr>
                  <w:divsChild>
                    <w:div w:id="157373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766293">
              <w:marLeft w:val="0"/>
              <w:marRight w:val="0"/>
              <w:marTop w:val="0"/>
              <w:marBottom w:val="0"/>
              <w:divBdr>
                <w:top w:val="none" w:sz="0" w:space="0" w:color="auto"/>
                <w:left w:val="none" w:sz="0" w:space="0" w:color="auto"/>
                <w:bottom w:val="none" w:sz="0" w:space="0" w:color="auto"/>
                <w:right w:val="none" w:sz="0" w:space="0" w:color="auto"/>
              </w:divBdr>
              <w:divsChild>
                <w:div w:id="416024364">
                  <w:marLeft w:val="0"/>
                  <w:marRight w:val="0"/>
                  <w:marTop w:val="0"/>
                  <w:marBottom w:val="0"/>
                  <w:divBdr>
                    <w:top w:val="none" w:sz="0" w:space="0" w:color="auto"/>
                    <w:left w:val="none" w:sz="0" w:space="0" w:color="auto"/>
                    <w:bottom w:val="none" w:sz="0" w:space="0" w:color="auto"/>
                    <w:right w:val="none" w:sz="0" w:space="0" w:color="auto"/>
                  </w:divBdr>
                  <w:divsChild>
                    <w:div w:id="452293047">
                      <w:marLeft w:val="0"/>
                      <w:marRight w:val="0"/>
                      <w:marTop w:val="0"/>
                      <w:marBottom w:val="0"/>
                      <w:divBdr>
                        <w:top w:val="none" w:sz="0" w:space="0" w:color="auto"/>
                        <w:left w:val="none" w:sz="0" w:space="0" w:color="auto"/>
                        <w:bottom w:val="none" w:sz="0" w:space="0" w:color="auto"/>
                        <w:right w:val="none" w:sz="0" w:space="0" w:color="auto"/>
                      </w:divBdr>
                      <w:divsChild>
                        <w:div w:id="207115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867173">
                  <w:marLeft w:val="0"/>
                  <w:marRight w:val="0"/>
                  <w:marTop w:val="0"/>
                  <w:marBottom w:val="0"/>
                  <w:divBdr>
                    <w:top w:val="none" w:sz="0" w:space="0" w:color="auto"/>
                    <w:left w:val="none" w:sz="0" w:space="0" w:color="auto"/>
                    <w:bottom w:val="none" w:sz="0" w:space="0" w:color="auto"/>
                    <w:right w:val="none" w:sz="0" w:space="0" w:color="auto"/>
                  </w:divBdr>
                  <w:divsChild>
                    <w:div w:id="1550991824">
                      <w:marLeft w:val="0"/>
                      <w:marRight w:val="0"/>
                      <w:marTop w:val="0"/>
                      <w:marBottom w:val="0"/>
                      <w:divBdr>
                        <w:top w:val="none" w:sz="0" w:space="0" w:color="auto"/>
                        <w:left w:val="none" w:sz="0" w:space="0" w:color="auto"/>
                        <w:bottom w:val="none" w:sz="0" w:space="0" w:color="auto"/>
                        <w:right w:val="none" w:sz="0" w:space="0" w:color="auto"/>
                      </w:divBdr>
                      <w:divsChild>
                        <w:div w:id="146757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574531">
                  <w:marLeft w:val="0"/>
                  <w:marRight w:val="0"/>
                  <w:marTop w:val="0"/>
                  <w:marBottom w:val="0"/>
                  <w:divBdr>
                    <w:top w:val="none" w:sz="0" w:space="0" w:color="auto"/>
                    <w:left w:val="none" w:sz="0" w:space="0" w:color="auto"/>
                    <w:bottom w:val="none" w:sz="0" w:space="0" w:color="auto"/>
                    <w:right w:val="none" w:sz="0" w:space="0" w:color="auto"/>
                  </w:divBdr>
                  <w:divsChild>
                    <w:div w:id="1019089493">
                      <w:marLeft w:val="0"/>
                      <w:marRight w:val="0"/>
                      <w:marTop w:val="0"/>
                      <w:marBottom w:val="0"/>
                      <w:divBdr>
                        <w:top w:val="none" w:sz="0" w:space="0" w:color="auto"/>
                        <w:left w:val="none" w:sz="0" w:space="0" w:color="auto"/>
                        <w:bottom w:val="none" w:sz="0" w:space="0" w:color="auto"/>
                        <w:right w:val="none" w:sz="0" w:space="0" w:color="auto"/>
                      </w:divBdr>
                    </w:div>
                  </w:divsChild>
                </w:div>
                <w:div w:id="2113167105">
                  <w:marLeft w:val="0"/>
                  <w:marRight w:val="0"/>
                  <w:marTop w:val="0"/>
                  <w:marBottom w:val="0"/>
                  <w:divBdr>
                    <w:top w:val="none" w:sz="0" w:space="0" w:color="auto"/>
                    <w:left w:val="none" w:sz="0" w:space="0" w:color="auto"/>
                    <w:bottom w:val="none" w:sz="0" w:space="0" w:color="auto"/>
                    <w:right w:val="none" w:sz="0" w:space="0" w:color="auto"/>
                  </w:divBdr>
                  <w:divsChild>
                    <w:div w:id="860165305">
                      <w:marLeft w:val="0"/>
                      <w:marRight w:val="0"/>
                      <w:marTop w:val="0"/>
                      <w:marBottom w:val="0"/>
                      <w:divBdr>
                        <w:top w:val="none" w:sz="0" w:space="0" w:color="auto"/>
                        <w:left w:val="none" w:sz="0" w:space="0" w:color="auto"/>
                        <w:bottom w:val="none" w:sz="0" w:space="0" w:color="auto"/>
                        <w:right w:val="none" w:sz="0" w:space="0" w:color="auto"/>
                      </w:divBdr>
                      <w:divsChild>
                        <w:div w:id="107041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89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711453">
      <w:bodyDiv w:val="1"/>
      <w:marLeft w:val="0"/>
      <w:marRight w:val="0"/>
      <w:marTop w:val="0"/>
      <w:marBottom w:val="0"/>
      <w:divBdr>
        <w:top w:val="none" w:sz="0" w:space="0" w:color="auto"/>
        <w:left w:val="none" w:sz="0" w:space="0" w:color="auto"/>
        <w:bottom w:val="none" w:sz="0" w:space="0" w:color="auto"/>
        <w:right w:val="none" w:sz="0" w:space="0" w:color="auto"/>
      </w:divBdr>
      <w:divsChild>
        <w:div w:id="751316429">
          <w:marLeft w:val="0"/>
          <w:marRight w:val="0"/>
          <w:marTop w:val="0"/>
          <w:marBottom w:val="0"/>
          <w:divBdr>
            <w:top w:val="none" w:sz="0" w:space="0" w:color="auto"/>
            <w:left w:val="none" w:sz="0" w:space="0" w:color="auto"/>
            <w:bottom w:val="none" w:sz="0" w:space="0" w:color="auto"/>
            <w:right w:val="none" w:sz="0" w:space="0" w:color="auto"/>
          </w:divBdr>
          <w:divsChild>
            <w:div w:id="184709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143409">
      <w:bodyDiv w:val="1"/>
      <w:marLeft w:val="0"/>
      <w:marRight w:val="0"/>
      <w:marTop w:val="0"/>
      <w:marBottom w:val="0"/>
      <w:divBdr>
        <w:top w:val="none" w:sz="0" w:space="0" w:color="auto"/>
        <w:left w:val="none" w:sz="0" w:space="0" w:color="auto"/>
        <w:bottom w:val="none" w:sz="0" w:space="0" w:color="auto"/>
        <w:right w:val="none" w:sz="0" w:space="0" w:color="auto"/>
      </w:divBdr>
      <w:divsChild>
        <w:div w:id="348410383">
          <w:marLeft w:val="0"/>
          <w:marRight w:val="0"/>
          <w:marTop w:val="0"/>
          <w:marBottom w:val="0"/>
          <w:divBdr>
            <w:top w:val="none" w:sz="0" w:space="0" w:color="auto"/>
            <w:left w:val="none" w:sz="0" w:space="0" w:color="auto"/>
            <w:bottom w:val="none" w:sz="0" w:space="0" w:color="auto"/>
            <w:right w:val="none" w:sz="0" w:space="0" w:color="auto"/>
          </w:divBdr>
          <w:divsChild>
            <w:div w:id="106715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442795">
      <w:bodyDiv w:val="1"/>
      <w:marLeft w:val="0"/>
      <w:marRight w:val="0"/>
      <w:marTop w:val="0"/>
      <w:marBottom w:val="0"/>
      <w:divBdr>
        <w:top w:val="none" w:sz="0" w:space="0" w:color="auto"/>
        <w:left w:val="none" w:sz="0" w:space="0" w:color="auto"/>
        <w:bottom w:val="none" w:sz="0" w:space="0" w:color="auto"/>
        <w:right w:val="none" w:sz="0" w:space="0" w:color="auto"/>
      </w:divBdr>
      <w:divsChild>
        <w:div w:id="686369229">
          <w:marLeft w:val="0"/>
          <w:marRight w:val="0"/>
          <w:marTop w:val="0"/>
          <w:marBottom w:val="0"/>
          <w:divBdr>
            <w:top w:val="none" w:sz="0" w:space="0" w:color="auto"/>
            <w:left w:val="none" w:sz="0" w:space="0" w:color="auto"/>
            <w:bottom w:val="none" w:sz="0" w:space="0" w:color="auto"/>
            <w:right w:val="none" w:sz="0" w:space="0" w:color="auto"/>
          </w:divBdr>
          <w:divsChild>
            <w:div w:id="2042900354">
              <w:marLeft w:val="0"/>
              <w:marRight w:val="0"/>
              <w:marTop w:val="0"/>
              <w:marBottom w:val="0"/>
              <w:divBdr>
                <w:top w:val="none" w:sz="0" w:space="0" w:color="auto"/>
                <w:left w:val="none" w:sz="0" w:space="0" w:color="auto"/>
                <w:bottom w:val="none" w:sz="0" w:space="0" w:color="auto"/>
                <w:right w:val="none" w:sz="0" w:space="0" w:color="auto"/>
              </w:divBdr>
              <w:divsChild>
                <w:div w:id="101052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077586">
      <w:bodyDiv w:val="1"/>
      <w:marLeft w:val="0"/>
      <w:marRight w:val="0"/>
      <w:marTop w:val="0"/>
      <w:marBottom w:val="0"/>
      <w:divBdr>
        <w:top w:val="none" w:sz="0" w:space="0" w:color="auto"/>
        <w:left w:val="none" w:sz="0" w:space="0" w:color="auto"/>
        <w:bottom w:val="none" w:sz="0" w:space="0" w:color="auto"/>
        <w:right w:val="none" w:sz="0" w:space="0" w:color="auto"/>
      </w:divBdr>
      <w:divsChild>
        <w:div w:id="711881594">
          <w:marLeft w:val="0"/>
          <w:marRight w:val="0"/>
          <w:marTop w:val="0"/>
          <w:marBottom w:val="0"/>
          <w:divBdr>
            <w:top w:val="none" w:sz="0" w:space="0" w:color="auto"/>
            <w:left w:val="none" w:sz="0" w:space="0" w:color="auto"/>
            <w:bottom w:val="none" w:sz="0" w:space="0" w:color="auto"/>
            <w:right w:val="none" w:sz="0" w:space="0" w:color="auto"/>
          </w:divBdr>
          <w:divsChild>
            <w:div w:id="111070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580793">
      <w:bodyDiv w:val="1"/>
      <w:marLeft w:val="0"/>
      <w:marRight w:val="0"/>
      <w:marTop w:val="0"/>
      <w:marBottom w:val="0"/>
      <w:divBdr>
        <w:top w:val="none" w:sz="0" w:space="0" w:color="auto"/>
        <w:left w:val="none" w:sz="0" w:space="0" w:color="auto"/>
        <w:bottom w:val="none" w:sz="0" w:space="0" w:color="auto"/>
        <w:right w:val="none" w:sz="0" w:space="0" w:color="auto"/>
      </w:divBdr>
      <w:divsChild>
        <w:div w:id="429470821">
          <w:marLeft w:val="0"/>
          <w:marRight w:val="0"/>
          <w:marTop w:val="0"/>
          <w:marBottom w:val="0"/>
          <w:divBdr>
            <w:top w:val="none" w:sz="0" w:space="0" w:color="auto"/>
            <w:left w:val="none" w:sz="0" w:space="0" w:color="auto"/>
            <w:bottom w:val="none" w:sz="0" w:space="0" w:color="auto"/>
            <w:right w:val="none" w:sz="0" w:space="0" w:color="auto"/>
          </w:divBdr>
          <w:divsChild>
            <w:div w:id="819734144">
              <w:marLeft w:val="0"/>
              <w:marRight w:val="0"/>
              <w:marTop w:val="0"/>
              <w:marBottom w:val="0"/>
              <w:divBdr>
                <w:top w:val="none" w:sz="0" w:space="0" w:color="auto"/>
                <w:left w:val="none" w:sz="0" w:space="0" w:color="auto"/>
                <w:bottom w:val="none" w:sz="0" w:space="0" w:color="auto"/>
                <w:right w:val="none" w:sz="0" w:space="0" w:color="auto"/>
              </w:divBdr>
            </w:div>
          </w:divsChild>
        </w:div>
        <w:div w:id="1945378019">
          <w:marLeft w:val="0"/>
          <w:marRight w:val="0"/>
          <w:marTop w:val="0"/>
          <w:marBottom w:val="0"/>
          <w:divBdr>
            <w:top w:val="none" w:sz="0" w:space="0" w:color="auto"/>
            <w:left w:val="none" w:sz="0" w:space="0" w:color="auto"/>
            <w:bottom w:val="none" w:sz="0" w:space="0" w:color="auto"/>
            <w:right w:val="none" w:sz="0" w:space="0" w:color="auto"/>
          </w:divBdr>
          <w:divsChild>
            <w:div w:id="43243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98410">
      <w:bodyDiv w:val="1"/>
      <w:marLeft w:val="0"/>
      <w:marRight w:val="0"/>
      <w:marTop w:val="0"/>
      <w:marBottom w:val="0"/>
      <w:divBdr>
        <w:top w:val="none" w:sz="0" w:space="0" w:color="auto"/>
        <w:left w:val="none" w:sz="0" w:space="0" w:color="auto"/>
        <w:bottom w:val="none" w:sz="0" w:space="0" w:color="auto"/>
        <w:right w:val="none" w:sz="0" w:space="0" w:color="auto"/>
      </w:divBdr>
      <w:divsChild>
        <w:div w:id="226645600">
          <w:marLeft w:val="0"/>
          <w:marRight w:val="0"/>
          <w:marTop w:val="0"/>
          <w:marBottom w:val="0"/>
          <w:divBdr>
            <w:top w:val="none" w:sz="0" w:space="0" w:color="auto"/>
            <w:left w:val="none" w:sz="0" w:space="0" w:color="auto"/>
            <w:bottom w:val="none" w:sz="0" w:space="0" w:color="auto"/>
            <w:right w:val="none" w:sz="0" w:space="0" w:color="auto"/>
          </w:divBdr>
          <w:divsChild>
            <w:div w:id="57478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606232">
      <w:bodyDiv w:val="1"/>
      <w:marLeft w:val="0"/>
      <w:marRight w:val="0"/>
      <w:marTop w:val="0"/>
      <w:marBottom w:val="0"/>
      <w:divBdr>
        <w:top w:val="none" w:sz="0" w:space="0" w:color="auto"/>
        <w:left w:val="none" w:sz="0" w:space="0" w:color="auto"/>
        <w:bottom w:val="none" w:sz="0" w:space="0" w:color="auto"/>
        <w:right w:val="none" w:sz="0" w:space="0" w:color="auto"/>
      </w:divBdr>
      <w:divsChild>
        <w:div w:id="461849029">
          <w:marLeft w:val="0"/>
          <w:marRight w:val="0"/>
          <w:marTop w:val="0"/>
          <w:marBottom w:val="0"/>
          <w:divBdr>
            <w:top w:val="none" w:sz="0" w:space="0" w:color="auto"/>
            <w:left w:val="none" w:sz="0" w:space="0" w:color="auto"/>
            <w:bottom w:val="none" w:sz="0" w:space="0" w:color="auto"/>
            <w:right w:val="none" w:sz="0" w:space="0" w:color="auto"/>
          </w:divBdr>
          <w:divsChild>
            <w:div w:id="536620349">
              <w:marLeft w:val="0"/>
              <w:marRight w:val="0"/>
              <w:marTop w:val="0"/>
              <w:marBottom w:val="0"/>
              <w:divBdr>
                <w:top w:val="none" w:sz="0" w:space="0" w:color="auto"/>
                <w:left w:val="none" w:sz="0" w:space="0" w:color="auto"/>
                <w:bottom w:val="none" w:sz="0" w:space="0" w:color="auto"/>
                <w:right w:val="none" w:sz="0" w:space="0" w:color="auto"/>
              </w:divBdr>
              <w:divsChild>
                <w:div w:id="146604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549927">
      <w:bodyDiv w:val="1"/>
      <w:marLeft w:val="0"/>
      <w:marRight w:val="0"/>
      <w:marTop w:val="0"/>
      <w:marBottom w:val="0"/>
      <w:divBdr>
        <w:top w:val="none" w:sz="0" w:space="0" w:color="auto"/>
        <w:left w:val="none" w:sz="0" w:space="0" w:color="auto"/>
        <w:bottom w:val="none" w:sz="0" w:space="0" w:color="auto"/>
        <w:right w:val="none" w:sz="0" w:space="0" w:color="auto"/>
      </w:divBdr>
      <w:divsChild>
        <w:div w:id="2017733350">
          <w:marLeft w:val="0"/>
          <w:marRight w:val="0"/>
          <w:marTop w:val="0"/>
          <w:marBottom w:val="0"/>
          <w:divBdr>
            <w:top w:val="none" w:sz="0" w:space="0" w:color="auto"/>
            <w:left w:val="none" w:sz="0" w:space="0" w:color="auto"/>
            <w:bottom w:val="none" w:sz="0" w:space="0" w:color="auto"/>
            <w:right w:val="none" w:sz="0" w:space="0" w:color="auto"/>
          </w:divBdr>
          <w:divsChild>
            <w:div w:id="172853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243757">
      <w:bodyDiv w:val="1"/>
      <w:marLeft w:val="0"/>
      <w:marRight w:val="0"/>
      <w:marTop w:val="0"/>
      <w:marBottom w:val="0"/>
      <w:divBdr>
        <w:top w:val="none" w:sz="0" w:space="0" w:color="auto"/>
        <w:left w:val="none" w:sz="0" w:space="0" w:color="auto"/>
        <w:bottom w:val="none" w:sz="0" w:space="0" w:color="auto"/>
        <w:right w:val="none" w:sz="0" w:space="0" w:color="auto"/>
      </w:divBdr>
      <w:divsChild>
        <w:div w:id="166218279">
          <w:marLeft w:val="0"/>
          <w:marRight w:val="0"/>
          <w:marTop w:val="0"/>
          <w:marBottom w:val="0"/>
          <w:divBdr>
            <w:top w:val="none" w:sz="0" w:space="0" w:color="auto"/>
            <w:left w:val="none" w:sz="0" w:space="0" w:color="auto"/>
            <w:bottom w:val="none" w:sz="0" w:space="0" w:color="auto"/>
            <w:right w:val="none" w:sz="0" w:space="0" w:color="auto"/>
          </w:divBdr>
          <w:divsChild>
            <w:div w:id="148839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838791">
      <w:bodyDiv w:val="1"/>
      <w:marLeft w:val="0"/>
      <w:marRight w:val="0"/>
      <w:marTop w:val="0"/>
      <w:marBottom w:val="0"/>
      <w:divBdr>
        <w:top w:val="none" w:sz="0" w:space="0" w:color="auto"/>
        <w:left w:val="none" w:sz="0" w:space="0" w:color="auto"/>
        <w:bottom w:val="none" w:sz="0" w:space="0" w:color="auto"/>
        <w:right w:val="none" w:sz="0" w:space="0" w:color="auto"/>
      </w:divBdr>
      <w:divsChild>
        <w:div w:id="34239542">
          <w:marLeft w:val="0"/>
          <w:marRight w:val="0"/>
          <w:marTop w:val="0"/>
          <w:marBottom w:val="0"/>
          <w:divBdr>
            <w:top w:val="none" w:sz="0" w:space="0" w:color="auto"/>
            <w:left w:val="none" w:sz="0" w:space="0" w:color="auto"/>
            <w:bottom w:val="none" w:sz="0" w:space="0" w:color="auto"/>
            <w:right w:val="none" w:sz="0" w:space="0" w:color="auto"/>
          </w:divBdr>
          <w:divsChild>
            <w:div w:id="97833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784195">
      <w:bodyDiv w:val="1"/>
      <w:marLeft w:val="0"/>
      <w:marRight w:val="0"/>
      <w:marTop w:val="0"/>
      <w:marBottom w:val="0"/>
      <w:divBdr>
        <w:top w:val="none" w:sz="0" w:space="0" w:color="auto"/>
        <w:left w:val="none" w:sz="0" w:space="0" w:color="auto"/>
        <w:bottom w:val="none" w:sz="0" w:space="0" w:color="auto"/>
        <w:right w:val="none" w:sz="0" w:space="0" w:color="auto"/>
      </w:divBdr>
      <w:divsChild>
        <w:div w:id="1408843859">
          <w:marLeft w:val="0"/>
          <w:marRight w:val="0"/>
          <w:marTop w:val="0"/>
          <w:marBottom w:val="0"/>
          <w:divBdr>
            <w:top w:val="none" w:sz="0" w:space="0" w:color="auto"/>
            <w:left w:val="none" w:sz="0" w:space="0" w:color="auto"/>
            <w:bottom w:val="none" w:sz="0" w:space="0" w:color="auto"/>
            <w:right w:val="none" w:sz="0" w:space="0" w:color="auto"/>
          </w:divBdr>
          <w:divsChild>
            <w:div w:id="1855457222">
              <w:marLeft w:val="0"/>
              <w:marRight w:val="0"/>
              <w:marTop w:val="0"/>
              <w:marBottom w:val="0"/>
              <w:divBdr>
                <w:top w:val="none" w:sz="0" w:space="0" w:color="auto"/>
                <w:left w:val="none" w:sz="0" w:space="0" w:color="auto"/>
                <w:bottom w:val="none" w:sz="0" w:space="0" w:color="auto"/>
                <w:right w:val="none" w:sz="0" w:space="0" w:color="auto"/>
              </w:divBdr>
              <w:divsChild>
                <w:div w:id="169943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384922">
      <w:bodyDiv w:val="1"/>
      <w:marLeft w:val="0"/>
      <w:marRight w:val="0"/>
      <w:marTop w:val="0"/>
      <w:marBottom w:val="0"/>
      <w:divBdr>
        <w:top w:val="none" w:sz="0" w:space="0" w:color="auto"/>
        <w:left w:val="none" w:sz="0" w:space="0" w:color="auto"/>
        <w:bottom w:val="none" w:sz="0" w:space="0" w:color="auto"/>
        <w:right w:val="none" w:sz="0" w:space="0" w:color="auto"/>
      </w:divBdr>
      <w:divsChild>
        <w:div w:id="820191217">
          <w:marLeft w:val="0"/>
          <w:marRight w:val="0"/>
          <w:marTop w:val="0"/>
          <w:marBottom w:val="0"/>
          <w:divBdr>
            <w:top w:val="none" w:sz="0" w:space="0" w:color="auto"/>
            <w:left w:val="none" w:sz="0" w:space="0" w:color="auto"/>
            <w:bottom w:val="none" w:sz="0" w:space="0" w:color="auto"/>
            <w:right w:val="none" w:sz="0" w:space="0" w:color="auto"/>
          </w:divBdr>
          <w:divsChild>
            <w:div w:id="15622632">
              <w:marLeft w:val="0"/>
              <w:marRight w:val="0"/>
              <w:marTop w:val="0"/>
              <w:marBottom w:val="0"/>
              <w:divBdr>
                <w:top w:val="none" w:sz="0" w:space="0" w:color="auto"/>
                <w:left w:val="none" w:sz="0" w:space="0" w:color="auto"/>
                <w:bottom w:val="none" w:sz="0" w:space="0" w:color="auto"/>
                <w:right w:val="none" w:sz="0" w:space="0" w:color="auto"/>
              </w:divBdr>
            </w:div>
            <w:div w:id="1468233720">
              <w:marLeft w:val="0"/>
              <w:marRight w:val="0"/>
              <w:marTop w:val="0"/>
              <w:marBottom w:val="0"/>
              <w:divBdr>
                <w:top w:val="none" w:sz="0" w:space="0" w:color="auto"/>
                <w:left w:val="none" w:sz="0" w:space="0" w:color="auto"/>
                <w:bottom w:val="none" w:sz="0" w:space="0" w:color="auto"/>
                <w:right w:val="none" w:sz="0" w:space="0" w:color="auto"/>
              </w:divBdr>
              <w:divsChild>
                <w:div w:id="744557">
                  <w:marLeft w:val="0"/>
                  <w:marRight w:val="0"/>
                  <w:marTop w:val="0"/>
                  <w:marBottom w:val="0"/>
                  <w:divBdr>
                    <w:top w:val="none" w:sz="0" w:space="0" w:color="auto"/>
                    <w:left w:val="none" w:sz="0" w:space="0" w:color="auto"/>
                    <w:bottom w:val="none" w:sz="0" w:space="0" w:color="auto"/>
                    <w:right w:val="none" w:sz="0" w:space="0" w:color="auto"/>
                  </w:divBdr>
                  <w:divsChild>
                    <w:div w:id="1498690580">
                      <w:marLeft w:val="0"/>
                      <w:marRight w:val="0"/>
                      <w:marTop w:val="0"/>
                      <w:marBottom w:val="0"/>
                      <w:divBdr>
                        <w:top w:val="none" w:sz="0" w:space="0" w:color="auto"/>
                        <w:left w:val="none" w:sz="0" w:space="0" w:color="auto"/>
                        <w:bottom w:val="none" w:sz="0" w:space="0" w:color="auto"/>
                        <w:right w:val="none" w:sz="0" w:space="0" w:color="auto"/>
                      </w:divBdr>
                      <w:divsChild>
                        <w:div w:id="123096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095832">
                  <w:marLeft w:val="0"/>
                  <w:marRight w:val="0"/>
                  <w:marTop w:val="0"/>
                  <w:marBottom w:val="0"/>
                  <w:divBdr>
                    <w:top w:val="none" w:sz="0" w:space="0" w:color="auto"/>
                    <w:left w:val="none" w:sz="0" w:space="0" w:color="auto"/>
                    <w:bottom w:val="none" w:sz="0" w:space="0" w:color="auto"/>
                    <w:right w:val="none" w:sz="0" w:space="0" w:color="auto"/>
                  </w:divBdr>
                  <w:divsChild>
                    <w:div w:id="702749036">
                      <w:marLeft w:val="0"/>
                      <w:marRight w:val="0"/>
                      <w:marTop w:val="0"/>
                      <w:marBottom w:val="0"/>
                      <w:divBdr>
                        <w:top w:val="none" w:sz="0" w:space="0" w:color="auto"/>
                        <w:left w:val="none" w:sz="0" w:space="0" w:color="auto"/>
                        <w:bottom w:val="none" w:sz="0" w:space="0" w:color="auto"/>
                        <w:right w:val="none" w:sz="0" w:space="0" w:color="auto"/>
                      </w:divBdr>
                      <w:divsChild>
                        <w:div w:id="87812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874208">
                  <w:marLeft w:val="0"/>
                  <w:marRight w:val="0"/>
                  <w:marTop w:val="0"/>
                  <w:marBottom w:val="0"/>
                  <w:divBdr>
                    <w:top w:val="none" w:sz="0" w:space="0" w:color="auto"/>
                    <w:left w:val="none" w:sz="0" w:space="0" w:color="auto"/>
                    <w:bottom w:val="none" w:sz="0" w:space="0" w:color="auto"/>
                    <w:right w:val="none" w:sz="0" w:space="0" w:color="auto"/>
                  </w:divBdr>
                  <w:divsChild>
                    <w:div w:id="443577525">
                      <w:marLeft w:val="0"/>
                      <w:marRight w:val="0"/>
                      <w:marTop w:val="0"/>
                      <w:marBottom w:val="0"/>
                      <w:divBdr>
                        <w:top w:val="none" w:sz="0" w:space="0" w:color="auto"/>
                        <w:left w:val="none" w:sz="0" w:space="0" w:color="auto"/>
                        <w:bottom w:val="none" w:sz="0" w:space="0" w:color="auto"/>
                        <w:right w:val="none" w:sz="0" w:space="0" w:color="auto"/>
                      </w:divBdr>
                      <w:divsChild>
                        <w:div w:id="51303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684579">
                  <w:marLeft w:val="0"/>
                  <w:marRight w:val="0"/>
                  <w:marTop w:val="0"/>
                  <w:marBottom w:val="0"/>
                  <w:divBdr>
                    <w:top w:val="none" w:sz="0" w:space="0" w:color="auto"/>
                    <w:left w:val="none" w:sz="0" w:space="0" w:color="auto"/>
                    <w:bottom w:val="none" w:sz="0" w:space="0" w:color="auto"/>
                    <w:right w:val="none" w:sz="0" w:space="0" w:color="auto"/>
                  </w:divBdr>
                  <w:divsChild>
                    <w:div w:id="200647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142957">
              <w:marLeft w:val="0"/>
              <w:marRight w:val="0"/>
              <w:marTop w:val="0"/>
              <w:marBottom w:val="0"/>
              <w:divBdr>
                <w:top w:val="none" w:sz="0" w:space="0" w:color="auto"/>
                <w:left w:val="none" w:sz="0" w:space="0" w:color="auto"/>
                <w:bottom w:val="none" w:sz="0" w:space="0" w:color="auto"/>
                <w:right w:val="none" w:sz="0" w:space="0" w:color="auto"/>
              </w:divBdr>
              <w:divsChild>
                <w:div w:id="1491289669">
                  <w:marLeft w:val="0"/>
                  <w:marRight w:val="0"/>
                  <w:marTop w:val="0"/>
                  <w:marBottom w:val="0"/>
                  <w:divBdr>
                    <w:top w:val="none" w:sz="0" w:space="0" w:color="auto"/>
                    <w:left w:val="none" w:sz="0" w:space="0" w:color="auto"/>
                    <w:bottom w:val="none" w:sz="0" w:space="0" w:color="auto"/>
                    <w:right w:val="none" w:sz="0" w:space="0" w:color="auto"/>
                  </w:divBdr>
                  <w:divsChild>
                    <w:div w:id="3651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229222">
      <w:bodyDiv w:val="1"/>
      <w:marLeft w:val="0"/>
      <w:marRight w:val="0"/>
      <w:marTop w:val="0"/>
      <w:marBottom w:val="0"/>
      <w:divBdr>
        <w:top w:val="none" w:sz="0" w:space="0" w:color="auto"/>
        <w:left w:val="none" w:sz="0" w:space="0" w:color="auto"/>
        <w:bottom w:val="none" w:sz="0" w:space="0" w:color="auto"/>
        <w:right w:val="none" w:sz="0" w:space="0" w:color="auto"/>
      </w:divBdr>
      <w:divsChild>
        <w:div w:id="2109886068">
          <w:marLeft w:val="0"/>
          <w:marRight w:val="0"/>
          <w:marTop w:val="0"/>
          <w:marBottom w:val="0"/>
          <w:divBdr>
            <w:top w:val="none" w:sz="0" w:space="0" w:color="auto"/>
            <w:left w:val="none" w:sz="0" w:space="0" w:color="auto"/>
            <w:bottom w:val="none" w:sz="0" w:space="0" w:color="auto"/>
            <w:right w:val="none" w:sz="0" w:space="0" w:color="auto"/>
          </w:divBdr>
          <w:divsChild>
            <w:div w:id="91436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788021">
      <w:bodyDiv w:val="1"/>
      <w:marLeft w:val="0"/>
      <w:marRight w:val="0"/>
      <w:marTop w:val="0"/>
      <w:marBottom w:val="0"/>
      <w:divBdr>
        <w:top w:val="none" w:sz="0" w:space="0" w:color="auto"/>
        <w:left w:val="none" w:sz="0" w:space="0" w:color="auto"/>
        <w:bottom w:val="none" w:sz="0" w:space="0" w:color="auto"/>
        <w:right w:val="none" w:sz="0" w:space="0" w:color="auto"/>
      </w:divBdr>
      <w:divsChild>
        <w:div w:id="290552516">
          <w:marLeft w:val="0"/>
          <w:marRight w:val="0"/>
          <w:marTop w:val="0"/>
          <w:marBottom w:val="0"/>
          <w:divBdr>
            <w:top w:val="none" w:sz="0" w:space="0" w:color="auto"/>
            <w:left w:val="none" w:sz="0" w:space="0" w:color="auto"/>
            <w:bottom w:val="none" w:sz="0" w:space="0" w:color="auto"/>
            <w:right w:val="none" w:sz="0" w:space="0" w:color="auto"/>
          </w:divBdr>
          <w:divsChild>
            <w:div w:id="141231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455249">
      <w:bodyDiv w:val="1"/>
      <w:marLeft w:val="0"/>
      <w:marRight w:val="0"/>
      <w:marTop w:val="0"/>
      <w:marBottom w:val="0"/>
      <w:divBdr>
        <w:top w:val="none" w:sz="0" w:space="0" w:color="auto"/>
        <w:left w:val="none" w:sz="0" w:space="0" w:color="auto"/>
        <w:bottom w:val="none" w:sz="0" w:space="0" w:color="auto"/>
        <w:right w:val="none" w:sz="0" w:space="0" w:color="auto"/>
      </w:divBdr>
      <w:divsChild>
        <w:div w:id="1589384333">
          <w:marLeft w:val="0"/>
          <w:marRight w:val="0"/>
          <w:marTop w:val="0"/>
          <w:marBottom w:val="0"/>
          <w:divBdr>
            <w:top w:val="none" w:sz="0" w:space="0" w:color="auto"/>
            <w:left w:val="none" w:sz="0" w:space="0" w:color="auto"/>
            <w:bottom w:val="none" w:sz="0" w:space="0" w:color="auto"/>
            <w:right w:val="none" w:sz="0" w:space="0" w:color="auto"/>
          </w:divBdr>
          <w:divsChild>
            <w:div w:id="187565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504325">
      <w:bodyDiv w:val="1"/>
      <w:marLeft w:val="0"/>
      <w:marRight w:val="0"/>
      <w:marTop w:val="0"/>
      <w:marBottom w:val="0"/>
      <w:divBdr>
        <w:top w:val="none" w:sz="0" w:space="0" w:color="auto"/>
        <w:left w:val="none" w:sz="0" w:space="0" w:color="auto"/>
        <w:bottom w:val="none" w:sz="0" w:space="0" w:color="auto"/>
        <w:right w:val="none" w:sz="0" w:space="0" w:color="auto"/>
      </w:divBdr>
      <w:divsChild>
        <w:div w:id="1909876439">
          <w:marLeft w:val="0"/>
          <w:marRight w:val="0"/>
          <w:marTop w:val="0"/>
          <w:marBottom w:val="0"/>
          <w:divBdr>
            <w:top w:val="none" w:sz="0" w:space="0" w:color="auto"/>
            <w:left w:val="none" w:sz="0" w:space="0" w:color="auto"/>
            <w:bottom w:val="none" w:sz="0" w:space="0" w:color="auto"/>
            <w:right w:val="none" w:sz="0" w:space="0" w:color="auto"/>
          </w:divBdr>
          <w:divsChild>
            <w:div w:id="74241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214985">
      <w:bodyDiv w:val="1"/>
      <w:marLeft w:val="0"/>
      <w:marRight w:val="0"/>
      <w:marTop w:val="0"/>
      <w:marBottom w:val="0"/>
      <w:divBdr>
        <w:top w:val="none" w:sz="0" w:space="0" w:color="auto"/>
        <w:left w:val="none" w:sz="0" w:space="0" w:color="auto"/>
        <w:bottom w:val="none" w:sz="0" w:space="0" w:color="auto"/>
        <w:right w:val="none" w:sz="0" w:space="0" w:color="auto"/>
      </w:divBdr>
      <w:divsChild>
        <w:div w:id="1214729434">
          <w:marLeft w:val="0"/>
          <w:marRight w:val="0"/>
          <w:marTop w:val="0"/>
          <w:marBottom w:val="0"/>
          <w:divBdr>
            <w:top w:val="none" w:sz="0" w:space="0" w:color="auto"/>
            <w:left w:val="none" w:sz="0" w:space="0" w:color="auto"/>
            <w:bottom w:val="none" w:sz="0" w:space="0" w:color="auto"/>
            <w:right w:val="none" w:sz="0" w:space="0" w:color="auto"/>
          </w:divBdr>
          <w:divsChild>
            <w:div w:id="1414159942">
              <w:marLeft w:val="0"/>
              <w:marRight w:val="0"/>
              <w:marTop w:val="0"/>
              <w:marBottom w:val="0"/>
              <w:divBdr>
                <w:top w:val="none" w:sz="0" w:space="0" w:color="auto"/>
                <w:left w:val="none" w:sz="0" w:space="0" w:color="auto"/>
                <w:bottom w:val="none" w:sz="0" w:space="0" w:color="auto"/>
                <w:right w:val="none" w:sz="0" w:space="0" w:color="auto"/>
              </w:divBdr>
              <w:divsChild>
                <w:div w:id="64424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422209">
      <w:bodyDiv w:val="1"/>
      <w:marLeft w:val="0"/>
      <w:marRight w:val="0"/>
      <w:marTop w:val="0"/>
      <w:marBottom w:val="0"/>
      <w:divBdr>
        <w:top w:val="none" w:sz="0" w:space="0" w:color="auto"/>
        <w:left w:val="none" w:sz="0" w:space="0" w:color="auto"/>
        <w:bottom w:val="none" w:sz="0" w:space="0" w:color="auto"/>
        <w:right w:val="none" w:sz="0" w:space="0" w:color="auto"/>
      </w:divBdr>
      <w:divsChild>
        <w:div w:id="252978822">
          <w:marLeft w:val="0"/>
          <w:marRight w:val="0"/>
          <w:marTop w:val="0"/>
          <w:marBottom w:val="0"/>
          <w:divBdr>
            <w:top w:val="none" w:sz="0" w:space="0" w:color="auto"/>
            <w:left w:val="none" w:sz="0" w:space="0" w:color="auto"/>
            <w:bottom w:val="none" w:sz="0" w:space="0" w:color="auto"/>
            <w:right w:val="none" w:sz="0" w:space="0" w:color="auto"/>
          </w:divBdr>
          <w:divsChild>
            <w:div w:id="92661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025783">
      <w:bodyDiv w:val="1"/>
      <w:marLeft w:val="0"/>
      <w:marRight w:val="0"/>
      <w:marTop w:val="0"/>
      <w:marBottom w:val="0"/>
      <w:divBdr>
        <w:top w:val="none" w:sz="0" w:space="0" w:color="auto"/>
        <w:left w:val="none" w:sz="0" w:space="0" w:color="auto"/>
        <w:bottom w:val="none" w:sz="0" w:space="0" w:color="auto"/>
        <w:right w:val="none" w:sz="0" w:space="0" w:color="auto"/>
      </w:divBdr>
      <w:divsChild>
        <w:div w:id="1380205276">
          <w:marLeft w:val="0"/>
          <w:marRight w:val="0"/>
          <w:marTop w:val="0"/>
          <w:marBottom w:val="0"/>
          <w:divBdr>
            <w:top w:val="none" w:sz="0" w:space="0" w:color="auto"/>
            <w:left w:val="none" w:sz="0" w:space="0" w:color="auto"/>
            <w:bottom w:val="none" w:sz="0" w:space="0" w:color="auto"/>
            <w:right w:val="none" w:sz="0" w:space="0" w:color="auto"/>
          </w:divBdr>
          <w:divsChild>
            <w:div w:id="46708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5862</Words>
  <Characters>33414</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Oldervik, Emma</dc:creator>
  <cp:keywords/>
  <cp:lastModifiedBy>Oldervik, Emma</cp:lastModifiedBy>
  <cp:revision>2</cp:revision>
  <cp:lastPrinted>1601-01-01T00:00:00Z</cp:lastPrinted>
  <dcterms:created xsi:type="dcterms:W3CDTF">2020-01-23T18:13:00Z</dcterms:created>
  <dcterms:modified xsi:type="dcterms:W3CDTF">2020-01-23T18:13:00Z</dcterms:modified>
</cp:coreProperties>
</file>