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532F" w14:textId="330E1604" w:rsidR="00501A84" w:rsidRPr="0038573E" w:rsidRDefault="00501A84" w:rsidP="00B351BE">
      <w:pPr>
        <w:spacing w:after="0" w:line="240" w:lineRule="auto"/>
        <w:jc w:val="center"/>
        <w:rPr>
          <w:sz w:val="20"/>
        </w:rPr>
      </w:pPr>
      <w:r>
        <w:rPr>
          <w:sz w:val="20"/>
        </w:rPr>
        <w:t>Filed 8/19/21 (unmodified opn. attached)</w:t>
      </w:r>
      <w:bookmarkStart w:id="0" w:name="_Hlk87882676"/>
      <w:r w:rsidR="00B351BE" w:rsidRPr="00B351BE">
        <w:rPr>
          <w:sz w:val="20"/>
        </w:rPr>
        <w:t xml:space="preserve"> </w:t>
      </w:r>
      <w:r w:rsidR="00B351BE" w:rsidRPr="00D35451">
        <w:rPr>
          <w:sz w:val="20"/>
        </w:rPr>
        <w:t>; REVIEW GRANTED.  See Cal. Rules of Court, rules 8.1105 and 8.1115 (and corresponding Comment, par. 2, concerning rule 8.1115(e)(3)).</w:t>
      </w:r>
      <w:bookmarkEnd w:id="0"/>
    </w:p>
    <w:p w14:paraId="14419120" w14:textId="77777777" w:rsidR="00501A84" w:rsidRPr="00A0157B" w:rsidRDefault="00501A84" w:rsidP="00501A84">
      <w:pPr>
        <w:spacing w:after="0" w:line="240" w:lineRule="auto"/>
        <w:jc w:val="center"/>
        <w:rPr>
          <w:b/>
          <w:bCs/>
        </w:rPr>
      </w:pPr>
      <w:r>
        <w:rPr>
          <w:b/>
          <w:bCs/>
        </w:rPr>
        <w:t>CERTIFIED FOR PUBLICATION</w:t>
      </w:r>
    </w:p>
    <w:p w14:paraId="32693970" w14:textId="77777777" w:rsidR="00501A84" w:rsidRDefault="00501A84" w:rsidP="00501A84">
      <w:pPr>
        <w:spacing w:after="0" w:line="240" w:lineRule="auto"/>
        <w:jc w:val="center"/>
      </w:pPr>
    </w:p>
    <w:p w14:paraId="09CD5C1A" w14:textId="77777777" w:rsidR="00501A84" w:rsidRPr="00AC1273" w:rsidRDefault="00501A84" w:rsidP="00501A84">
      <w:pPr>
        <w:spacing w:after="0" w:line="240" w:lineRule="auto"/>
        <w:jc w:val="center"/>
      </w:pPr>
      <w:r w:rsidRPr="00AC1273">
        <w:t>IN THE COURT OF APPEAL OF THE STATE OF CALIFORNIA</w:t>
      </w:r>
    </w:p>
    <w:p w14:paraId="2652FFD4" w14:textId="77777777" w:rsidR="00501A84" w:rsidRPr="00AC1273" w:rsidRDefault="00501A84" w:rsidP="00501A84">
      <w:pPr>
        <w:spacing w:after="0" w:line="240" w:lineRule="auto"/>
        <w:jc w:val="center"/>
      </w:pPr>
    </w:p>
    <w:p w14:paraId="592D2C33" w14:textId="77777777" w:rsidR="00501A84" w:rsidRPr="00AC1273" w:rsidRDefault="00501A84" w:rsidP="00501A84">
      <w:pPr>
        <w:spacing w:after="0" w:line="240" w:lineRule="auto"/>
        <w:jc w:val="center"/>
      </w:pPr>
      <w:r w:rsidRPr="00AC1273">
        <w:t>SECOND APPELLATE DISTRICT</w:t>
      </w:r>
    </w:p>
    <w:p w14:paraId="3505859B" w14:textId="77777777" w:rsidR="00501A84" w:rsidRPr="00AC1273" w:rsidRDefault="00501A84" w:rsidP="00501A84">
      <w:pPr>
        <w:spacing w:after="0" w:line="240" w:lineRule="auto"/>
        <w:jc w:val="center"/>
      </w:pPr>
    </w:p>
    <w:p w14:paraId="2FE3666C" w14:textId="77777777" w:rsidR="00501A84" w:rsidRPr="00AC1273" w:rsidRDefault="00501A84" w:rsidP="00501A84">
      <w:pPr>
        <w:spacing w:after="0" w:line="240" w:lineRule="auto"/>
        <w:jc w:val="center"/>
      </w:pPr>
      <w:r w:rsidRPr="00AC1273">
        <w:t xml:space="preserve">DIVISION </w:t>
      </w:r>
      <w:r>
        <w:t>TWO</w:t>
      </w:r>
    </w:p>
    <w:p w14:paraId="41DD1247" w14:textId="77777777" w:rsidR="00501A84" w:rsidRPr="00AC1273" w:rsidRDefault="00501A84" w:rsidP="00501A84">
      <w:pPr>
        <w:spacing w:after="0" w:line="240" w:lineRule="auto"/>
        <w:jc w:val="center"/>
      </w:pPr>
    </w:p>
    <w:p w14:paraId="59130DDA" w14:textId="77777777" w:rsidR="00501A84" w:rsidRPr="00AC1273" w:rsidRDefault="00501A84" w:rsidP="00501A84">
      <w:pPr>
        <w:spacing w:after="0" w:line="240" w:lineRule="auto"/>
        <w:jc w:val="center"/>
      </w:pPr>
    </w:p>
    <w:tbl>
      <w:tblPr>
        <w:tblW w:w="0" w:type="auto"/>
        <w:tblLayout w:type="fixed"/>
        <w:tblLook w:val="0000" w:firstRow="0" w:lastRow="0" w:firstColumn="0" w:lastColumn="0" w:noHBand="0" w:noVBand="0"/>
      </w:tblPr>
      <w:tblGrid>
        <w:gridCol w:w="4788"/>
        <w:gridCol w:w="4788"/>
      </w:tblGrid>
      <w:tr w:rsidR="00501A84" w14:paraId="63118459" w14:textId="77777777" w:rsidTr="00C43AD0">
        <w:tc>
          <w:tcPr>
            <w:tcW w:w="4788" w:type="dxa"/>
            <w:tcBorders>
              <w:bottom w:val="single" w:sz="4" w:space="0" w:color="auto"/>
              <w:right w:val="single" w:sz="4" w:space="0" w:color="auto"/>
            </w:tcBorders>
            <w:shd w:val="clear" w:color="auto" w:fill="auto"/>
          </w:tcPr>
          <w:p w14:paraId="4B0738CA" w14:textId="77777777" w:rsidR="00501A84" w:rsidRPr="00AC1273" w:rsidRDefault="00501A84" w:rsidP="00C43AD0">
            <w:pPr>
              <w:spacing w:after="0" w:line="240" w:lineRule="auto"/>
            </w:pPr>
            <w:r>
              <w:t>LAW FINANCE GROUP, LLC</w:t>
            </w:r>
            <w:r w:rsidRPr="00AC1273">
              <w:t>,</w:t>
            </w:r>
          </w:p>
          <w:p w14:paraId="6F1A79FE" w14:textId="77777777" w:rsidR="00501A84" w:rsidRPr="00AC1273" w:rsidRDefault="00501A84" w:rsidP="00C43AD0">
            <w:pPr>
              <w:spacing w:after="0" w:line="240" w:lineRule="auto"/>
            </w:pPr>
          </w:p>
          <w:p w14:paraId="65C6F298" w14:textId="77777777" w:rsidR="00501A84" w:rsidRPr="00AC1273" w:rsidRDefault="00501A84" w:rsidP="00C43AD0">
            <w:pPr>
              <w:spacing w:after="0" w:line="240" w:lineRule="auto"/>
            </w:pPr>
            <w:r w:rsidRPr="00AC1273">
              <w:tab/>
            </w:r>
            <w:r>
              <w:t>Plaintiff and Appellant</w:t>
            </w:r>
            <w:r w:rsidRPr="00AC1273">
              <w:t>,</w:t>
            </w:r>
          </w:p>
          <w:p w14:paraId="1C558BA9" w14:textId="77777777" w:rsidR="00501A84" w:rsidRPr="00AC1273" w:rsidRDefault="00501A84" w:rsidP="00C43AD0">
            <w:pPr>
              <w:spacing w:after="0" w:line="240" w:lineRule="auto"/>
            </w:pPr>
          </w:p>
          <w:p w14:paraId="18DB8F17" w14:textId="77777777" w:rsidR="00501A84" w:rsidRPr="00AC1273" w:rsidRDefault="00501A84" w:rsidP="00C43AD0">
            <w:pPr>
              <w:spacing w:after="0" w:line="240" w:lineRule="auto"/>
            </w:pPr>
            <w:r w:rsidRPr="00AC1273">
              <w:tab/>
              <w:t>v.</w:t>
            </w:r>
          </w:p>
          <w:p w14:paraId="3A0D1DC7" w14:textId="77777777" w:rsidR="00501A84" w:rsidRPr="00AC1273" w:rsidRDefault="00501A84" w:rsidP="00C43AD0">
            <w:pPr>
              <w:spacing w:after="0" w:line="240" w:lineRule="auto"/>
            </w:pPr>
          </w:p>
          <w:p w14:paraId="243C2C84" w14:textId="77777777" w:rsidR="00501A84" w:rsidRPr="00AC1273" w:rsidRDefault="00501A84" w:rsidP="00C43AD0">
            <w:pPr>
              <w:spacing w:after="0" w:line="240" w:lineRule="auto"/>
            </w:pPr>
            <w:r>
              <w:t>SARAH PLOTT KEY,</w:t>
            </w:r>
          </w:p>
          <w:p w14:paraId="338499E6" w14:textId="77777777" w:rsidR="00501A84" w:rsidRPr="00AC1273" w:rsidRDefault="00501A84" w:rsidP="00C43AD0">
            <w:pPr>
              <w:spacing w:after="0" w:line="240" w:lineRule="auto"/>
            </w:pPr>
          </w:p>
          <w:p w14:paraId="0110CD26" w14:textId="77777777" w:rsidR="00501A84" w:rsidRPr="00AC1273" w:rsidRDefault="00501A84" w:rsidP="00C43AD0">
            <w:pPr>
              <w:spacing w:after="0" w:line="240" w:lineRule="auto"/>
            </w:pPr>
            <w:r w:rsidRPr="00AC1273">
              <w:tab/>
            </w:r>
            <w:r>
              <w:t>Defendant and Respondent</w:t>
            </w:r>
            <w:r w:rsidRPr="00AC1273">
              <w:t>.</w:t>
            </w:r>
          </w:p>
          <w:p w14:paraId="7C9ACDF1" w14:textId="77777777" w:rsidR="00501A84" w:rsidRPr="00AC1273" w:rsidRDefault="00501A84" w:rsidP="00C43AD0">
            <w:pPr>
              <w:spacing w:after="0" w:line="240" w:lineRule="auto"/>
            </w:pPr>
          </w:p>
        </w:tc>
        <w:tc>
          <w:tcPr>
            <w:tcW w:w="4788" w:type="dxa"/>
            <w:tcBorders>
              <w:left w:val="single" w:sz="4" w:space="0" w:color="auto"/>
            </w:tcBorders>
            <w:shd w:val="clear" w:color="auto" w:fill="auto"/>
          </w:tcPr>
          <w:p w14:paraId="59DB9E05" w14:textId="77777777" w:rsidR="00501A84" w:rsidRPr="00AC1273" w:rsidRDefault="00501A84" w:rsidP="00C43AD0">
            <w:pPr>
              <w:tabs>
                <w:tab w:val="left" w:pos="432"/>
              </w:tabs>
              <w:spacing w:after="0" w:line="240" w:lineRule="auto"/>
            </w:pPr>
            <w:r w:rsidRPr="00AC1273">
              <w:tab/>
            </w:r>
            <w:r>
              <w:t>B305790</w:t>
            </w:r>
          </w:p>
          <w:p w14:paraId="594A1AC7" w14:textId="77777777" w:rsidR="00501A84" w:rsidRPr="00AC1273" w:rsidRDefault="00501A84" w:rsidP="00C43AD0">
            <w:pPr>
              <w:tabs>
                <w:tab w:val="left" w:pos="432"/>
              </w:tabs>
              <w:spacing w:after="0" w:line="240" w:lineRule="auto"/>
            </w:pPr>
          </w:p>
          <w:p w14:paraId="0AF232E4" w14:textId="77777777" w:rsidR="00501A84" w:rsidRPr="00AC1273" w:rsidRDefault="00501A84" w:rsidP="00C43AD0">
            <w:pPr>
              <w:tabs>
                <w:tab w:val="left" w:pos="432"/>
              </w:tabs>
              <w:spacing w:after="0" w:line="240" w:lineRule="auto"/>
            </w:pPr>
            <w:r w:rsidRPr="00AC1273">
              <w:tab/>
              <w:t>(Los Angeles County</w:t>
            </w:r>
          </w:p>
          <w:p w14:paraId="08970C34" w14:textId="77777777" w:rsidR="00501A84" w:rsidRDefault="00501A84" w:rsidP="00C43AD0">
            <w:pPr>
              <w:tabs>
                <w:tab w:val="left" w:pos="432"/>
              </w:tabs>
              <w:spacing w:after="0" w:line="240" w:lineRule="auto"/>
            </w:pPr>
            <w:r w:rsidRPr="00AC1273">
              <w:tab/>
              <w:t xml:space="preserve">Super. Ct. No. </w:t>
            </w:r>
            <w:r>
              <w:t>19STCP04251</w:t>
            </w:r>
            <w:r w:rsidRPr="00AC1273">
              <w:t>)</w:t>
            </w:r>
          </w:p>
          <w:p w14:paraId="25BBE349" w14:textId="77777777" w:rsidR="00501A84" w:rsidRDefault="00501A84" w:rsidP="00C43AD0">
            <w:pPr>
              <w:tabs>
                <w:tab w:val="left" w:pos="432"/>
              </w:tabs>
              <w:spacing w:after="0" w:line="240" w:lineRule="auto"/>
            </w:pPr>
          </w:p>
          <w:p w14:paraId="340B2A6E" w14:textId="77777777" w:rsidR="00501A84" w:rsidRDefault="00501A84" w:rsidP="00C43AD0">
            <w:pPr>
              <w:tabs>
                <w:tab w:val="left" w:pos="432"/>
              </w:tabs>
              <w:spacing w:after="0" w:line="240" w:lineRule="auto"/>
            </w:pPr>
            <w:r w:rsidRPr="00AC1273">
              <w:tab/>
            </w:r>
            <w:r>
              <w:t>ORDER MODIFYING OPINION</w:t>
            </w:r>
          </w:p>
          <w:p w14:paraId="2B679FAB" w14:textId="77777777" w:rsidR="00501A84" w:rsidRDefault="00501A84" w:rsidP="00C43AD0">
            <w:pPr>
              <w:tabs>
                <w:tab w:val="left" w:pos="432"/>
              </w:tabs>
              <w:spacing w:after="0" w:line="240" w:lineRule="auto"/>
            </w:pPr>
            <w:r w:rsidRPr="00AC1273">
              <w:tab/>
            </w:r>
            <w:r>
              <w:t>AND DENYING REHEARING</w:t>
            </w:r>
          </w:p>
          <w:p w14:paraId="41653791" w14:textId="77777777" w:rsidR="00501A84" w:rsidRPr="00AC1273" w:rsidRDefault="00501A84" w:rsidP="00C43AD0">
            <w:pPr>
              <w:tabs>
                <w:tab w:val="left" w:pos="432"/>
              </w:tabs>
              <w:spacing w:after="0" w:line="240" w:lineRule="auto"/>
            </w:pPr>
            <w:r w:rsidRPr="00AC1273">
              <w:tab/>
            </w:r>
            <w:r>
              <w:t>[NO CHANGE IN JUDGMENT]</w:t>
            </w:r>
          </w:p>
        </w:tc>
      </w:tr>
    </w:tbl>
    <w:p w14:paraId="320F3FE5" w14:textId="77777777" w:rsidR="00501A84" w:rsidRDefault="00501A84" w:rsidP="00501A84">
      <w:pPr>
        <w:spacing w:after="0" w:line="240" w:lineRule="auto"/>
      </w:pPr>
    </w:p>
    <w:p w14:paraId="0E130DCF" w14:textId="77777777" w:rsidR="00501A84" w:rsidRDefault="00501A84" w:rsidP="00501A84">
      <w:pPr>
        <w:spacing w:after="0" w:line="240" w:lineRule="auto"/>
      </w:pPr>
    </w:p>
    <w:p w14:paraId="0C057AF8" w14:textId="77777777" w:rsidR="00501A84" w:rsidRDefault="00501A84" w:rsidP="00501A84">
      <w:pPr>
        <w:spacing w:after="0" w:line="288" w:lineRule="auto"/>
      </w:pPr>
      <w:r>
        <w:t>THE COURT:</w:t>
      </w:r>
    </w:p>
    <w:p w14:paraId="494B3B7C" w14:textId="77777777" w:rsidR="00501A84" w:rsidRDefault="00501A84" w:rsidP="00501A84">
      <w:pPr>
        <w:spacing w:after="0" w:line="288" w:lineRule="auto"/>
      </w:pPr>
    </w:p>
    <w:p w14:paraId="6635D125" w14:textId="77777777" w:rsidR="00501A84" w:rsidRDefault="00501A84" w:rsidP="00501A84">
      <w:pPr>
        <w:spacing w:after="0" w:line="288" w:lineRule="auto"/>
      </w:pPr>
      <w:r>
        <w:tab/>
        <w:t>It is ordered that the opinion filed herein on July 30, 2021, and reported in the Official Reports (___ Cal.App.5th ___ [2021 Cal.App. Lexis 625]) be modified in the following particulars:</w:t>
      </w:r>
    </w:p>
    <w:p w14:paraId="39A5751F" w14:textId="77777777" w:rsidR="00501A84" w:rsidRDefault="00501A84" w:rsidP="00501A84">
      <w:pPr>
        <w:spacing w:after="0" w:line="288" w:lineRule="auto"/>
      </w:pPr>
    </w:p>
    <w:p w14:paraId="1B8B09B2" w14:textId="77777777" w:rsidR="00501A84" w:rsidRDefault="00501A84" w:rsidP="00501A84">
      <w:pPr>
        <w:spacing w:after="0" w:line="288" w:lineRule="auto"/>
      </w:pPr>
      <w:r>
        <w:tab/>
        <w:t>1.  On page *17, first full paragraph, after the quoted phrase “cannot be relied upon to excuse a party’s failure to comply with a jurisdictional statute of limitations,” add as footnote 8 the following footnote, which will require renumbering the subsequent footnote:</w:t>
      </w:r>
    </w:p>
    <w:p w14:paraId="3FFFA690" w14:textId="77777777" w:rsidR="00501A84" w:rsidRDefault="00501A84" w:rsidP="00501A84">
      <w:pPr>
        <w:spacing w:after="0" w:line="240" w:lineRule="auto"/>
      </w:pPr>
      <w:r>
        <w:lastRenderedPageBreak/>
        <w:tab/>
      </w:r>
      <w:r w:rsidRPr="007456F5">
        <w:rPr>
          <w:b/>
          <w:position w:val="6"/>
          <w:sz w:val="20"/>
        </w:rPr>
        <w:t>8</w:t>
      </w:r>
      <w:r>
        <w:t xml:space="preserve"> Our opinion in </w:t>
      </w:r>
      <w:r w:rsidRPr="007456F5">
        <w:rPr>
          <w:i/>
          <w:iCs/>
        </w:rPr>
        <w:t>Santa Monica</w:t>
      </w:r>
      <w:r>
        <w:t xml:space="preserve"> also forecloses another argument presented for the first time in Key’s petition for rehearing.  Key argues that she could raise her challenges to the arbitrators’ ruling in response to LFG’s petition to confirm whether or not she filed a timely request to vacate because the Loan Agreement was an illegal contract that the courts may not enforce.  Of course, the alleged illegality of the Loan Agreement under the governing statutes was an issue in the arbitration, the results of which Key sought to challenge in court.  In </w:t>
      </w:r>
      <w:r w:rsidRPr="007C2C32">
        <w:rPr>
          <w:i/>
          <w:iCs/>
        </w:rPr>
        <w:t>Santa Monica</w:t>
      </w:r>
      <w:r>
        <w:t>, we rejected the argument that a trial court is empowered “to entertain a challenge to an arbitration award based on the award’s illegality, even when the challenging party missed the 100-day filing and service deadline.”  (</w:t>
      </w:r>
      <w:r w:rsidRPr="007C2C32">
        <w:rPr>
          <w:i/>
          <w:iCs/>
        </w:rPr>
        <w:t>Santa Monica</w:t>
      </w:r>
      <w:r>
        <w:t xml:space="preserve">, </w:t>
      </w:r>
      <w:r w:rsidRPr="007C2C32">
        <w:rPr>
          <w:i/>
          <w:iCs/>
        </w:rPr>
        <w:t>supra</w:t>
      </w:r>
      <w:r>
        <w:t xml:space="preserve">, 243 Cal.App.4th at p. 546.)  Specifically, we declined to construe the holding in </w:t>
      </w:r>
      <w:r w:rsidRPr="00406706">
        <w:rPr>
          <w:i/>
          <w:iCs/>
        </w:rPr>
        <w:t>South Bay Radiology Medical Associates v. Asher</w:t>
      </w:r>
      <w:r>
        <w:t xml:space="preserve"> (1990) 220 Cal.App.3d 1074 as “authorizing judicial review of untimely challenges to arbitration awards whenever those challengers assert that the award contravenes a statute.”  (</w:t>
      </w:r>
      <w:r w:rsidRPr="007C2C32">
        <w:rPr>
          <w:i/>
          <w:iCs/>
        </w:rPr>
        <w:t>Santa Monica</w:t>
      </w:r>
      <w:r>
        <w:t>, at p. 546.)  We explained that “to do so would create an exception that would swallow the general rule hinging jurisdiction on the timeliness of the challenge.”  (</w:t>
      </w:r>
      <w:r w:rsidRPr="007C2C32">
        <w:rPr>
          <w:i/>
          <w:iCs/>
        </w:rPr>
        <w:t>Ibid</w:t>
      </w:r>
      <w:r>
        <w:t>.)  That same reasoning applies here.</w:t>
      </w:r>
    </w:p>
    <w:p w14:paraId="4DA5C54B" w14:textId="77777777" w:rsidR="00501A84" w:rsidRDefault="00501A84" w:rsidP="00501A84">
      <w:pPr>
        <w:spacing w:after="0" w:line="288" w:lineRule="auto"/>
      </w:pPr>
    </w:p>
    <w:p w14:paraId="6B8EA60F" w14:textId="77777777" w:rsidR="00501A84" w:rsidRDefault="00501A84" w:rsidP="00501A84">
      <w:pPr>
        <w:spacing w:after="0" w:line="288" w:lineRule="auto"/>
      </w:pPr>
      <w:r>
        <w:tab/>
        <w:t>2.  On page *21, at the end of the last paragraph of part 2 of the Discussion, add as footnote 10 the following two-paragraph footnote:</w:t>
      </w:r>
    </w:p>
    <w:p w14:paraId="5A858928" w14:textId="77777777" w:rsidR="00501A84" w:rsidRDefault="00501A84" w:rsidP="00501A84">
      <w:pPr>
        <w:spacing w:after="0" w:line="240" w:lineRule="auto"/>
      </w:pPr>
      <w:r>
        <w:tab/>
      </w:r>
      <w:r w:rsidRPr="00FF4839">
        <w:rPr>
          <w:b/>
          <w:position w:val="6"/>
          <w:sz w:val="20"/>
        </w:rPr>
        <w:t>10</w:t>
      </w:r>
      <w:r>
        <w:t xml:space="preserve"> In light of this analysis, Key’s reliance on </w:t>
      </w:r>
      <w:r w:rsidRPr="00FF4839">
        <w:rPr>
          <w:i/>
          <w:iCs/>
        </w:rPr>
        <w:t>Saint Francis Memorial Hospital v. State Dept. of Public Health</w:t>
      </w:r>
      <w:r>
        <w:t xml:space="preserve"> (2020) 9 Cal.5th 710 (</w:t>
      </w:r>
      <w:r w:rsidRPr="00FF4839">
        <w:rPr>
          <w:i/>
          <w:iCs/>
        </w:rPr>
        <w:t>Saint Francis</w:t>
      </w:r>
      <w:r>
        <w:t>) is misplaced.  In that case, which Key cited for the first time in her petition for rehearing, our Supreme Court held that, absent statutory language or a “manifest policy” to the contrary, “we presume that statutory deadlines are subject to equitable tolling.”  (</w:t>
      </w:r>
      <w:r w:rsidRPr="00FF4839">
        <w:rPr>
          <w:i/>
          <w:iCs/>
        </w:rPr>
        <w:t>Id.</w:t>
      </w:r>
      <w:r>
        <w:t xml:space="preserve"> at p. 720.)  Nothing in </w:t>
      </w:r>
      <w:r w:rsidRPr="00406706">
        <w:rPr>
          <w:i/>
          <w:iCs/>
        </w:rPr>
        <w:t>Saint Francis</w:t>
      </w:r>
      <w:r>
        <w:t xml:space="preserve"> undermines our conclusion that equitable relief is unavailable to Key here, even assuming (again, without deciding), that such relief is not foreclosed by the statutory scheme.</w:t>
      </w:r>
    </w:p>
    <w:p w14:paraId="4FEB992C" w14:textId="77777777" w:rsidR="00501A84" w:rsidRDefault="00501A84" w:rsidP="00501A84">
      <w:pPr>
        <w:spacing w:after="0" w:line="240" w:lineRule="auto"/>
      </w:pPr>
      <w:r>
        <w:lastRenderedPageBreak/>
        <w:tab/>
      </w:r>
      <w:r>
        <w:rPr>
          <w:szCs w:val="26"/>
        </w:rPr>
        <w:t xml:space="preserve">In </w:t>
      </w:r>
      <w:r>
        <w:rPr>
          <w:i/>
          <w:iCs/>
          <w:szCs w:val="26"/>
        </w:rPr>
        <w:t xml:space="preserve">Saint Francis, </w:t>
      </w:r>
      <w:r>
        <w:rPr>
          <w:szCs w:val="26"/>
        </w:rPr>
        <w:t>the court explained that, where equitable tolling is available under a statute, it is a “narrow remedy that applies to toll statutes of limitations only ‘occasionally and in special situations.’ ”  (</w:t>
      </w:r>
      <w:r>
        <w:rPr>
          <w:i/>
          <w:iCs/>
          <w:szCs w:val="26"/>
        </w:rPr>
        <w:t xml:space="preserve">Saint Francis, supra, </w:t>
      </w:r>
      <w:r>
        <w:rPr>
          <w:szCs w:val="26"/>
        </w:rPr>
        <w:t xml:space="preserve">9 Cal.5th at p. 724, quoting </w:t>
      </w:r>
      <w:r>
        <w:rPr>
          <w:i/>
          <w:iCs/>
          <w:szCs w:val="26"/>
        </w:rPr>
        <w:t xml:space="preserve">Addison v. State </w:t>
      </w:r>
      <w:r>
        <w:rPr>
          <w:szCs w:val="26"/>
        </w:rPr>
        <w:t>(1978) 21 Cal.3d 313, 316.)  The remedy applies only when three elements are present:  (1) timely notice; (2) lack of prejudice to the defendant; and (3) reasonable and good faith conduct on the part of the plaintiff.  (</w:t>
      </w:r>
      <w:r>
        <w:rPr>
          <w:i/>
          <w:iCs/>
          <w:szCs w:val="26"/>
        </w:rPr>
        <w:t xml:space="preserve">Saint Francis, </w:t>
      </w:r>
      <w:r>
        <w:rPr>
          <w:szCs w:val="26"/>
        </w:rPr>
        <w:t xml:space="preserve">at p. 724.)  The third element has both a subjective and an objective component:  “A plaintiff’s conduct must be objectively reasonable </w:t>
      </w:r>
      <w:r>
        <w:rPr>
          <w:i/>
          <w:iCs/>
          <w:szCs w:val="26"/>
        </w:rPr>
        <w:t xml:space="preserve">and </w:t>
      </w:r>
      <w:r>
        <w:rPr>
          <w:szCs w:val="26"/>
        </w:rPr>
        <w:t>subjectively in good faith.”  (</w:t>
      </w:r>
      <w:r>
        <w:rPr>
          <w:i/>
          <w:iCs/>
          <w:szCs w:val="26"/>
        </w:rPr>
        <w:t xml:space="preserve">Id. </w:t>
      </w:r>
      <w:r>
        <w:rPr>
          <w:szCs w:val="26"/>
        </w:rPr>
        <w:t xml:space="preserve">at p. 729, italics added.)  For the reasons discussed above, Key’s claimed reliance on LFG’s purported agreement to extend the 100-day deadline was not objectively reasonable because LFG did not have the authority to extend that deadline.  This conclusion is unrelated to the court’s authority to provide equitable relief.  Nothing in </w:t>
      </w:r>
      <w:r>
        <w:rPr>
          <w:i/>
          <w:iCs/>
          <w:szCs w:val="26"/>
        </w:rPr>
        <w:t xml:space="preserve">Saint Francis </w:t>
      </w:r>
      <w:r>
        <w:rPr>
          <w:szCs w:val="26"/>
        </w:rPr>
        <w:t>suggests that a court’s authority to excuse late filings in appropriate circumstances under the doctrine of equitable tolling means that parties may simply agree to extend jurisdictional deadlines.</w:t>
      </w:r>
    </w:p>
    <w:p w14:paraId="1C601E6E" w14:textId="77777777" w:rsidR="00501A84" w:rsidRDefault="00501A84" w:rsidP="00501A84">
      <w:pPr>
        <w:spacing w:after="0" w:line="288" w:lineRule="auto"/>
      </w:pPr>
    </w:p>
    <w:p w14:paraId="2E7C1597" w14:textId="77777777" w:rsidR="00501A84" w:rsidRDefault="00501A84" w:rsidP="00501A84">
      <w:pPr>
        <w:spacing w:after="0" w:line="288" w:lineRule="auto"/>
      </w:pPr>
      <w:r>
        <w:tab/>
        <w:t>There is no change in the judgment.</w:t>
      </w:r>
    </w:p>
    <w:p w14:paraId="6954FB19" w14:textId="77777777" w:rsidR="00501A84" w:rsidRDefault="00501A84" w:rsidP="00501A84">
      <w:pPr>
        <w:spacing w:after="0" w:line="288" w:lineRule="auto"/>
      </w:pPr>
      <w:r>
        <w:tab/>
        <w:t>Key’s petition for rehearing is denied.</w:t>
      </w:r>
    </w:p>
    <w:p w14:paraId="7C31E597" w14:textId="77777777" w:rsidR="00501A84" w:rsidRDefault="00501A84" w:rsidP="00501A84">
      <w:pPr>
        <w:keepNext/>
        <w:keepLines/>
        <w:spacing w:after="0" w:line="288" w:lineRule="auto"/>
      </w:pPr>
      <w:r>
        <w:tab/>
        <w:t>CERTIFIED FOR PUBLICATION.</w:t>
      </w:r>
    </w:p>
    <w:p w14:paraId="2141C732" w14:textId="77777777" w:rsidR="00501A84" w:rsidRDefault="00501A84" w:rsidP="00501A84">
      <w:pPr>
        <w:keepNext/>
        <w:keepLines/>
        <w:spacing w:after="0" w:line="288" w:lineRule="auto"/>
      </w:pPr>
    </w:p>
    <w:p w14:paraId="73838E05" w14:textId="77777777" w:rsidR="00501A84" w:rsidRDefault="00501A84" w:rsidP="00501A84">
      <w:pPr>
        <w:keepNext/>
        <w:keepLines/>
        <w:spacing w:after="0" w:line="288" w:lineRule="auto"/>
      </w:pPr>
    </w:p>
    <w:p w14:paraId="18EC5340" w14:textId="77777777" w:rsidR="00501A84" w:rsidRPr="008B4CF1" w:rsidRDefault="00501A84" w:rsidP="00501A84">
      <w:pPr>
        <w:keepNext/>
        <w:keepLines/>
        <w:spacing w:after="0" w:line="288" w:lineRule="auto"/>
      </w:pPr>
    </w:p>
    <w:p w14:paraId="3D42746C" w14:textId="77777777" w:rsidR="00501A84" w:rsidRPr="008B4CF1" w:rsidRDefault="00501A84" w:rsidP="00501A84">
      <w:pPr>
        <w:keepNext/>
        <w:keepLines/>
        <w:spacing w:after="0" w:line="288" w:lineRule="auto"/>
      </w:pPr>
    </w:p>
    <w:p w14:paraId="39793996" w14:textId="77777777" w:rsidR="00501A84" w:rsidRPr="008B4CF1" w:rsidRDefault="00501A84" w:rsidP="00501A84">
      <w:pPr>
        <w:keepNext/>
        <w:keepLines/>
        <w:spacing w:after="0" w:line="288" w:lineRule="auto"/>
      </w:pPr>
      <w:r w:rsidRPr="008B4CF1">
        <w:t xml:space="preserve">LUI, </w:t>
      </w:r>
      <w:r>
        <w:t xml:space="preserve">P. </w:t>
      </w:r>
      <w:r w:rsidRPr="008B4CF1">
        <w:t>J.</w:t>
      </w:r>
      <w:r>
        <w:t xml:space="preserve">              ASHMANN-GERST, </w:t>
      </w:r>
      <w:r w:rsidRPr="008B4CF1">
        <w:t>J.</w:t>
      </w:r>
      <w:r>
        <w:t xml:space="preserve">            HOFFSTADT,</w:t>
      </w:r>
      <w:r w:rsidRPr="008B4CF1">
        <w:t xml:space="preserve"> J.</w:t>
      </w:r>
    </w:p>
    <w:p w14:paraId="7AA30DF9" w14:textId="77777777" w:rsidR="00501A84" w:rsidRPr="008B4CF1" w:rsidRDefault="00501A84" w:rsidP="00501A84">
      <w:pPr>
        <w:keepNext/>
        <w:keepLines/>
        <w:spacing w:after="0" w:line="288" w:lineRule="auto"/>
      </w:pPr>
    </w:p>
    <w:p w14:paraId="4FE9BCBC" w14:textId="77777777" w:rsidR="00501A84" w:rsidRDefault="00501A84" w:rsidP="0038573E">
      <w:pPr>
        <w:spacing w:after="0" w:line="240" w:lineRule="auto"/>
        <w:rPr>
          <w:sz w:val="20"/>
        </w:rPr>
        <w:sectPr w:rsidR="00501A84" w:rsidSect="006010FF">
          <w:footerReference w:type="even" r:id="rId8"/>
          <w:footerReference w:type="default" r:id="rId9"/>
          <w:pgSz w:w="12240" w:h="15840"/>
          <w:pgMar w:top="2160" w:right="2160" w:bottom="2160" w:left="2160" w:header="720" w:footer="720" w:gutter="0"/>
          <w:cols w:space="720"/>
          <w:titlePg/>
          <w:docGrid w:linePitch="354"/>
        </w:sectPr>
      </w:pPr>
    </w:p>
    <w:p w14:paraId="24640A0F" w14:textId="56B098FB" w:rsidR="00066B3C" w:rsidRPr="0038573E" w:rsidRDefault="004D7594" w:rsidP="0038573E">
      <w:pPr>
        <w:spacing w:after="0" w:line="240" w:lineRule="auto"/>
        <w:rPr>
          <w:sz w:val="20"/>
        </w:rPr>
      </w:pPr>
      <w:r>
        <w:rPr>
          <w:sz w:val="20"/>
        </w:rPr>
        <w:lastRenderedPageBreak/>
        <w:t>Filed 7/30/21</w:t>
      </w:r>
      <w:r w:rsidR="00501A84">
        <w:rPr>
          <w:sz w:val="20"/>
        </w:rPr>
        <w:t xml:space="preserve"> (unmodified opinion)</w:t>
      </w:r>
    </w:p>
    <w:p w14:paraId="72980E65" w14:textId="77777777" w:rsidR="00066B3C" w:rsidRPr="00344183" w:rsidRDefault="00066B3C" w:rsidP="00AC1273">
      <w:pPr>
        <w:spacing w:after="0" w:line="240" w:lineRule="auto"/>
        <w:jc w:val="center"/>
      </w:pPr>
    </w:p>
    <w:p w14:paraId="5BA71EE4" w14:textId="54E305D8" w:rsidR="00A0157B" w:rsidRPr="00A0157B" w:rsidRDefault="004D7594" w:rsidP="00AC1273">
      <w:pPr>
        <w:spacing w:after="0" w:line="240" w:lineRule="auto"/>
        <w:jc w:val="center"/>
        <w:rPr>
          <w:b/>
          <w:bCs/>
        </w:rPr>
      </w:pPr>
      <w:r>
        <w:rPr>
          <w:b/>
          <w:bCs/>
        </w:rPr>
        <w:t>CERTIFIED FOR PUBLICATION</w:t>
      </w:r>
    </w:p>
    <w:p w14:paraId="318B18A3" w14:textId="77777777" w:rsidR="00A0157B" w:rsidRDefault="00A0157B" w:rsidP="00AC1273">
      <w:pPr>
        <w:spacing w:after="0" w:line="240" w:lineRule="auto"/>
        <w:jc w:val="center"/>
      </w:pPr>
    </w:p>
    <w:p w14:paraId="63589A46" w14:textId="39F0883B" w:rsidR="00AC1273" w:rsidRPr="00AC1273" w:rsidRDefault="004D7594" w:rsidP="00AC1273">
      <w:pPr>
        <w:spacing w:after="0" w:line="240" w:lineRule="auto"/>
        <w:jc w:val="center"/>
      </w:pPr>
      <w:r w:rsidRPr="00AC1273">
        <w:t>IN THE COURT OF APPEAL OF THE STATE OF CALIFORNIA</w:t>
      </w:r>
    </w:p>
    <w:p w14:paraId="63589A47" w14:textId="77777777" w:rsidR="00AC1273" w:rsidRPr="00AC1273" w:rsidRDefault="00AC1273" w:rsidP="00AC1273">
      <w:pPr>
        <w:spacing w:after="0" w:line="240" w:lineRule="auto"/>
        <w:jc w:val="center"/>
      </w:pPr>
    </w:p>
    <w:p w14:paraId="63589A48" w14:textId="77777777" w:rsidR="00AC1273" w:rsidRPr="00AC1273" w:rsidRDefault="004D7594" w:rsidP="00AC1273">
      <w:pPr>
        <w:spacing w:after="0" w:line="240" w:lineRule="auto"/>
        <w:jc w:val="center"/>
      </w:pPr>
      <w:r w:rsidRPr="00AC1273">
        <w:t>SECOND APPELLATE DISTRICT</w:t>
      </w:r>
    </w:p>
    <w:p w14:paraId="63589A49" w14:textId="77777777" w:rsidR="00AC1273" w:rsidRPr="00AC1273" w:rsidRDefault="00AC1273" w:rsidP="00AC1273">
      <w:pPr>
        <w:spacing w:after="0" w:line="240" w:lineRule="auto"/>
        <w:jc w:val="center"/>
      </w:pPr>
    </w:p>
    <w:p w14:paraId="63589A4A" w14:textId="77777777" w:rsidR="00AC1273" w:rsidRPr="00AC1273" w:rsidRDefault="004D7594" w:rsidP="00AC1273">
      <w:pPr>
        <w:spacing w:after="0" w:line="240" w:lineRule="auto"/>
        <w:jc w:val="center"/>
      </w:pPr>
      <w:r w:rsidRPr="00AC1273">
        <w:t xml:space="preserve">DIVISION </w:t>
      </w:r>
      <w:r w:rsidR="007279C1">
        <w:t>TWO</w:t>
      </w:r>
    </w:p>
    <w:p w14:paraId="63589A4B" w14:textId="77777777" w:rsidR="00AC1273" w:rsidRPr="00AC1273" w:rsidRDefault="00AC1273" w:rsidP="00AC1273">
      <w:pPr>
        <w:spacing w:after="0" w:line="240" w:lineRule="auto"/>
        <w:jc w:val="center"/>
      </w:pPr>
    </w:p>
    <w:p w14:paraId="63589A4C" w14:textId="77777777" w:rsidR="00AC1273" w:rsidRPr="00AC1273" w:rsidRDefault="00AC1273" w:rsidP="00AC1273">
      <w:pPr>
        <w:spacing w:after="0" w:line="240" w:lineRule="auto"/>
        <w:jc w:val="center"/>
      </w:pPr>
    </w:p>
    <w:tbl>
      <w:tblPr>
        <w:tblW w:w="0" w:type="auto"/>
        <w:tblLayout w:type="fixed"/>
        <w:tblLook w:val="0000" w:firstRow="0" w:lastRow="0" w:firstColumn="0" w:lastColumn="0" w:noHBand="0" w:noVBand="0"/>
      </w:tblPr>
      <w:tblGrid>
        <w:gridCol w:w="4788"/>
        <w:gridCol w:w="4788"/>
      </w:tblGrid>
      <w:tr w:rsidR="00622C29" w14:paraId="63589A5B" w14:textId="77777777" w:rsidTr="00195A47">
        <w:tc>
          <w:tcPr>
            <w:tcW w:w="4788" w:type="dxa"/>
            <w:tcBorders>
              <w:bottom w:val="single" w:sz="4" w:space="0" w:color="auto"/>
              <w:right w:val="single" w:sz="4" w:space="0" w:color="auto"/>
            </w:tcBorders>
            <w:shd w:val="clear" w:color="auto" w:fill="auto"/>
          </w:tcPr>
          <w:p w14:paraId="63589A4D" w14:textId="0A89249D" w:rsidR="00AC1273" w:rsidRPr="00AC1273" w:rsidRDefault="004D7594" w:rsidP="00AC1273">
            <w:pPr>
              <w:spacing w:after="0" w:line="240" w:lineRule="auto"/>
            </w:pPr>
            <w:r>
              <w:t>LAW FINANCE GROUP, LLC</w:t>
            </w:r>
            <w:r w:rsidRPr="00AC1273">
              <w:t>,</w:t>
            </w:r>
          </w:p>
          <w:p w14:paraId="63589A4E" w14:textId="77777777" w:rsidR="00AC1273" w:rsidRPr="00AC1273" w:rsidRDefault="00AC1273" w:rsidP="00AC1273">
            <w:pPr>
              <w:spacing w:after="0" w:line="240" w:lineRule="auto"/>
            </w:pPr>
          </w:p>
          <w:p w14:paraId="63589A4F" w14:textId="7D3D263D" w:rsidR="00AC1273" w:rsidRPr="00AC1273" w:rsidRDefault="004D7594" w:rsidP="00AC1273">
            <w:pPr>
              <w:spacing w:after="0" w:line="240" w:lineRule="auto"/>
            </w:pPr>
            <w:r w:rsidRPr="00AC1273">
              <w:tab/>
            </w:r>
            <w:r w:rsidR="00066B3C">
              <w:t xml:space="preserve">Plaintiff and </w:t>
            </w:r>
            <w:r w:rsidR="00925EDF">
              <w:t>Appellant</w:t>
            </w:r>
            <w:r w:rsidRPr="00AC1273">
              <w:t>,</w:t>
            </w:r>
          </w:p>
          <w:p w14:paraId="63589A50" w14:textId="77777777" w:rsidR="00AC1273" w:rsidRPr="00AC1273" w:rsidRDefault="00AC1273" w:rsidP="00AC1273">
            <w:pPr>
              <w:spacing w:after="0" w:line="240" w:lineRule="auto"/>
            </w:pPr>
          </w:p>
          <w:p w14:paraId="63589A51" w14:textId="77777777" w:rsidR="00AC1273" w:rsidRPr="00AC1273" w:rsidRDefault="004D7594" w:rsidP="00AC1273">
            <w:pPr>
              <w:spacing w:after="0" w:line="240" w:lineRule="auto"/>
            </w:pPr>
            <w:r w:rsidRPr="00AC1273">
              <w:tab/>
              <w:t>v.</w:t>
            </w:r>
          </w:p>
          <w:p w14:paraId="63589A52" w14:textId="77777777" w:rsidR="00AC1273" w:rsidRPr="00AC1273" w:rsidRDefault="00AC1273" w:rsidP="00AC1273">
            <w:pPr>
              <w:spacing w:after="0" w:line="240" w:lineRule="auto"/>
            </w:pPr>
          </w:p>
          <w:p w14:paraId="63589A53" w14:textId="48D9E0DB" w:rsidR="00AC1273" w:rsidRPr="00AC1273" w:rsidRDefault="004D7594" w:rsidP="00AC1273">
            <w:pPr>
              <w:spacing w:after="0" w:line="240" w:lineRule="auto"/>
            </w:pPr>
            <w:r>
              <w:t>SARAH PLOTT KEY</w:t>
            </w:r>
            <w:r w:rsidR="00EC6884">
              <w:t>,</w:t>
            </w:r>
          </w:p>
          <w:p w14:paraId="63589A54" w14:textId="77777777" w:rsidR="00AC1273" w:rsidRPr="00AC1273" w:rsidRDefault="00AC1273" w:rsidP="00AC1273">
            <w:pPr>
              <w:spacing w:after="0" w:line="240" w:lineRule="auto"/>
            </w:pPr>
          </w:p>
          <w:p w14:paraId="63589A55" w14:textId="1FDD064E" w:rsidR="00AC1273" w:rsidRPr="00AC1273" w:rsidRDefault="004D7594" w:rsidP="00AC1273">
            <w:pPr>
              <w:spacing w:after="0" w:line="240" w:lineRule="auto"/>
            </w:pPr>
            <w:r w:rsidRPr="00AC1273">
              <w:tab/>
            </w:r>
            <w:r w:rsidR="00066B3C">
              <w:t xml:space="preserve">Defendant and </w:t>
            </w:r>
            <w:r w:rsidR="001A3D74">
              <w:t>Respondent</w:t>
            </w:r>
            <w:r w:rsidRPr="00AC1273">
              <w:t>.</w:t>
            </w:r>
          </w:p>
          <w:p w14:paraId="63589A56" w14:textId="77777777" w:rsidR="00AC1273" w:rsidRPr="00AC1273" w:rsidRDefault="00AC1273" w:rsidP="00AC1273">
            <w:pPr>
              <w:spacing w:after="0" w:line="240" w:lineRule="auto"/>
            </w:pPr>
          </w:p>
        </w:tc>
        <w:tc>
          <w:tcPr>
            <w:tcW w:w="4788" w:type="dxa"/>
            <w:tcBorders>
              <w:left w:val="single" w:sz="4" w:space="0" w:color="auto"/>
            </w:tcBorders>
            <w:shd w:val="clear" w:color="auto" w:fill="auto"/>
          </w:tcPr>
          <w:p w14:paraId="63589A57" w14:textId="04C32EF1" w:rsidR="00AC1273" w:rsidRPr="00AC1273" w:rsidRDefault="004D7594" w:rsidP="00AC1273">
            <w:pPr>
              <w:tabs>
                <w:tab w:val="left" w:pos="432"/>
              </w:tabs>
              <w:spacing w:after="0" w:line="240" w:lineRule="auto"/>
            </w:pPr>
            <w:r w:rsidRPr="00AC1273">
              <w:tab/>
            </w:r>
            <w:r w:rsidR="001A3D74">
              <w:t>B305790</w:t>
            </w:r>
          </w:p>
          <w:p w14:paraId="63589A58" w14:textId="77777777" w:rsidR="00AC1273" w:rsidRPr="00AC1273" w:rsidRDefault="00AC1273" w:rsidP="00AC1273">
            <w:pPr>
              <w:tabs>
                <w:tab w:val="left" w:pos="432"/>
              </w:tabs>
              <w:spacing w:after="0" w:line="240" w:lineRule="auto"/>
            </w:pPr>
          </w:p>
          <w:p w14:paraId="63589A59" w14:textId="77777777" w:rsidR="00AC1273" w:rsidRPr="00AC1273" w:rsidRDefault="004D7594" w:rsidP="00AC1273">
            <w:pPr>
              <w:tabs>
                <w:tab w:val="left" w:pos="432"/>
              </w:tabs>
              <w:spacing w:after="0" w:line="240" w:lineRule="auto"/>
            </w:pPr>
            <w:r w:rsidRPr="00AC1273">
              <w:tab/>
              <w:t>(Los Angeles County</w:t>
            </w:r>
          </w:p>
          <w:p w14:paraId="63589A5A" w14:textId="265FB08C" w:rsidR="00AC1273" w:rsidRPr="00AC1273" w:rsidRDefault="004D7594" w:rsidP="00EC6884">
            <w:pPr>
              <w:tabs>
                <w:tab w:val="left" w:pos="432"/>
              </w:tabs>
              <w:spacing w:after="0" w:line="240" w:lineRule="auto"/>
            </w:pPr>
            <w:r w:rsidRPr="00AC1273">
              <w:tab/>
              <w:t xml:space="preserve">Super. Ct. No. </w:t>
            </w:r>
            <w:r w:rsidR="00B111CD">
              <w:t>19STCP04251</w:t>
            </w:r>
            <w:r w:rsidRPr="00AC1273">
              <w:t>)</w:t>
            </w:r>
          </w:p>
        </w:tc>
      </w:tr>
    </w:tbl>
    <w:p w14:paraId="63589A5C" w14:textId="7F53485A" w:rsidR="00AC1273" w:rsidRDefault="00AC1273" w:rsidP="00AC1273">
      <w:pPr>
        <w:spacing w:after="0" w:line="240" w:lineRule="auto"/>
      </w:pPr>
    </w:p>
    <w:p w14:paraId="390B9550" w14:textId="0C6BF834" w:rsidR="00344183" w:rsidRDefault="00344183" w:rsidP="00AC1273">
      <w:pPr>
        <w:spacing w:after="0" w:line="240" w:lineRule="auto"/>
      </w:pPr>
    </w:p>
    <w:p w14:paraId="251DAA13" w14:textId="77777777" w:rsidR="00344183" w:rsidRPr="00AC1273" w:rsidRDefault="00344183" w:rsidP="00AC1273">
      <w:pPr>
        <w:spacing w:after="0" w:line="240" w:lineRule="auto"/>
      </w:pPr>
    </w:p>
    <w:p w14:paraId="63589A5D" w14:textId="38103623" w:rsidR="00AC1273" w:rsidRPr="00AC1273" w:rsidRDefault="004D7594" w:rsidP="003C057A">
      <w:pPr>
        <w:widowControl w:val="0"/>
        <w:spacing w:after="0" w:line="288" w:lineRule="auto"/>
        <w:ind w:firstLine="720"/>
      </w:pPr>
      <w:r>
        <w:t xml:space="preserve">APPEAL from </w:t>
      </w:r>
      <w:r w:rsidR="00B111CD">
        <w:t>an order</w:t>
      </w:r>
      <w:r>
        <w:t xml:space="preserve"> </w:t>
      </w:r>
      <w:r w:rsidRPr="00AC1273">
        <w:t xml:space="preserve">of the Superior Court of Los Angeles County.  </w:t>
      </w:r>
      <w:r w:rsidR="002F396E">
        <w:t>Rafael</w:t>
      </w:r>
      <w:r w:rsidR="00125EC1">
        <w:t xml:space="preserve"> A.</w:t>
      </w:r>
      <w:r w:rsidR="002F396E">
        <w:t xml:space="preserve"> Ongkeko</w:t>
      </w:r>
      <w:r w:rsidRPr="00AC1273">
        <w:t xml:space="preserve">, Judge. </w:t>
      </w:r>
      <w:r>
        <w:t xml:space="preserve"> </w:t>
      </w:r>
      <w:r w:rsidR="002F396E">
        <w:t>Reversed</w:t>
      </w:r>
      <w:r w:rsidR="009A0B8D">
        <w:t xml:space="preserve"> and remanded with directions</w:t>
      </w:r>
      <w:r w:rsidRPr="00AC1273">
        <w:t>.</w:t>
      </w:r>
    </w:p>
    <w:p w14:paraId="63589A5E" w14:textId="189A83AA" w:rsidR="00AC1273" w:rsidRPr="00AC1273" w:rsidRDefault="004D7594" w:rsidP="003C057A">
      <w:pPr>
        <w:widowControl w:val="0"/>
        <w:spacing w:after="0" w:line="288" w:lineRule="auto"/>
        <w:ind w:firstLine="720"/>
      </w:pPr>
      <w:r>
        <w:t>Eisner</w:t>
      </w:r>
      <w:r w:rsidR="004E3F01">
        <w:t>, Christopher L. Frost</w:t>
      </w:r>
      <w:r w:rsidR="00315821">
        <w:t>,</w:t>
      </w:r>
      <w:r w:rsidR="004E3F01">
        <w:t xml:space="preserve"> Taylor</w:t>
      </w:r>
      <w:r w:rsidR="001C7CD4">
        <w:t xml:space="preserve"> S. Simeone; Greines, Martin, Stein &amp; Richland, </w:t>
      </w:r>
      <w:r w:rsidR="00723539">
        <w:t>Cynthia E. Tobisman and Alana H. Rotter</w:t>
      </w:r>
      <w:r w:rsidRPr="00AC1273">
        <w:t xml:space="preserve"> for </w:t>
      </w:r>
      <w:r w:rsidR="00315821">
        <w:t xml:space="preserve">Plaintiff and </w:t>
      </w:r>
      <w:r w:rsidR="00723539">
        <w:t>Appellant</w:t>
      </w:r>
      <w:r w:rsidRPr="00AC1273">
        <w:t>.</w:t>
      </w:r>
    </w:p>
    <w:p w14:paraId="63589A5F" w14:textId="72766A84" w:rsidR="00AC1273" w:rsidRPr="00AC1273" w:rsidRDefault="004D7594" w:rsidP="003C057A">
      <w:pPr>
        <w:widowControl w:val="0"/>
        <w:spacing w:after="0" w:line="288" w:lineRule="auto"/>
        <w:ind w:firstLine="720"/>
      </w:pPr>
      <w:r>
        <w:t xml:space="preserve">Grignon Law Firm, </w:t>
      </w:r>
      <w:r w:rsidR="00AF49B1">
        <w:t>Margaret M. Grignon and Anne M. Grignon</w:t>
      </w:r>
      <w:r w:rsidRPr="00AC1273">
        <w:t xml:space="preserve"> for</w:t>
      </w:r>
      <w:r w:rsidR="00315821">
        <w:t xml:space="preserve"> Defendant and</w:t>
      </w:r>
      <w:r w:rsidRPr="00AC1273">
        <w:t xml:space="preserve"> </w:t>
      </w:r>
      <w:r w:rsidR="00AF49B1">
        <w:t>Respondent</w:t>
      </w:r>
      <w:r w:rsidRPr="00AC1273">
        <w:t>.</w:t>
      </w:r>
    </w:p>
    <w:p w14:paraId="63589A60" w14:textId="77777777" w:rsidR="00AC1273" w:rsidRPr="00AC1273" w:rsidRDefault="004D7594" w:rsidP="00DF649F">
      <w:pPr>
        <w:widowControl w:val="0"/>
        <w:spacing w:after="0" w:line="288" w:lineRule="auto"/>
        <w:jc w:val="center"/>
      </w:pPr>
      <w:r w:rsidRPr="00AC1273">
        <w:t>_________________________________</w:t>
      </w:r>
    </w:p>
    <w:p w14:paraId="4566C725" w14:textId="5541A215" w:rsidR="000766AF" w:rsidRDefault="004D7594" w:rsidP="00A52283">
      <w:pPr>
        <w:spacing w:after="0" w:line="288" w:lineRule="auto"/>
        <w:ind w:firstLine="720"/>
        <w:rPr>
          <w:szCs w:val="26"/>
        </w:rPr>
      </w:pPr>
      <w:r w:rsidRPr="00AC1273">
        <w:br w:type="page"/>
      </w:r>
      <w:r w:rsidR="006F16C4">
        <w:lastRenderedPageBreak/>
        <w:t xml:space="preserve">Law Finance Group (LFG) </w:t>
      </w:r>
      <w:r w:rsidR="00A34687" w:rsidRPr="00527440">
        <w:rPr>
          <w:szCs w:val="26"/>
        </w:rPr>
        <w:t>appeals</w:t>
      </w:r>
      <w:r w:rsidR="00086D92">
        <w:rPr>
          <w:szCs w:val="26"/>
        </w:rPr>
        <w:t xml:space="preserve"> </w:t>
      </w:r>
      <w:r w:rsidR="00C66251">
        <w:rPr>
          <w:szCs w:val="26"/>
        </w:rPr>
        <w:t>from an order of the superior court denying its motion to confirm an arbitration award</w:t>
      </w:r>
      <w:r w:rsidR="001A33D4">
        <w:rPr>
          <w:szCs w:val="26"/>
        </w:rPr>
        <w:t xml:space="preserve"> against respondent Sarah Plott Key</w:t>
      </w:r>
      <w:r w:rsidR="00EC6884">
        <w:rPr>
          <w:szCs w:val="26"/>
        </w:rPr>
        <w:t>.</w:t>
      </w:r>
      <w:r w:rsidR="003B45E4">
        <w:rPr>
          <w:szCs w:val="26"/>
        </w:rPr>
        <w:t xml:space="preserve">  Key borrowed </w:t>
      </w:r>
      <w:r w:rsidR="00E74AEE">
        <w:rPr>
          <w:szCs w:val="26"/>
        </w:rPr>
        <w:t xml:space="preserve">$2.4 million from LFG to help finance a </w:t>
      </w:r>
      <w:r w:rsidR="0074288A">
        <w:rPr>
          <w:szCs w:val="26"/>
        </w:rPr>
        <w:t>probate action</w:t>
      </w:r>
      <w:r w:rsidR="00E74AEE">
        <w:rPr>
          <w:szCs w:val="26"/>
        </w:rPr>
        <w:t xml:space="preserve"> </w:t>
      </w:r>
      <w:r w:rsidR="0074288A">
        <w:rPr>
          <w:szCs w:val="26"/>
        </w:rPr>
        <w:t>alleging that Key’s sister,</w:t>
      </w:r>
      <w:r w:rsidR="00E92B41">
        <w:rPr>
          <w:szCs w:val="26"/>
        </w:rPr>
        <w:t xml:space="preserve"> Elizabeth </w:t>
      </w:r>
      <w:r w:rsidR="0074288A">
        <w:rPr>
          <w:szCs w:val="26"/>
        </w:rPr>
        <w:t xml:space="preserve">Plott Tyler, </w:t>
      </w:r>
      <w:r w:rsidR="00036682">
        <w:rPr>
          <w:szCs w:val="26"/>
        </w:rPr>
        <w:t xml:space="preserve">exercised undue influence </w:t>
      </w:r>
      <w:r w:rsidR="00827C85">
        <w:rPr>
          <w:szCs w:val="26"/>
        </w:rPr>
        <w:t xml:space="preserve">over </w:t>
      </w:r>
      <w:r w:rsidR="00352B8E">
        <w:rPr>
          <w:szCs w:val="26"/>
        </w:rPr>
        <w:t>their</w:t>
      </w:r>
      <w:r w:rsidR="00827C85">
        <w:rPr>
          <w:szCs w:val="26"/>
        </w:rPr>
        <w:t xml:space="preserve"> mother </w:t>
      </w:r>
      <w:r w:rsidR="00036682">
        <w:rPr>
          <w:szCs w:val="26"/>
        </w:rPr>
        <w:t xml:space="preserve">in </w:t>
      </w:r>
      <w:r w:rsidR="00827C85">
        <w:rPr>
          <w:szCs w:val="26"/>
        </w:rPr>
        <w:t>orchestrating</w:t>
      </w:r>
      <w:r w:rsidR="00036682">
        <w:rPr>
          <w:szCs w:val="26"/>
        </w:rPr>
        <w:t xml:space="preserve"> changes to </w:t>
      </w:r>
      <w:r w:rsidR="00E23993">
        <w:rPr>
          <w:szCs w:val="26"/>
        </w:rPr>
        <w:t>a trust</w:t>
      </w:r>
      <w:r w:rsidR="00B13027">
        <w:rPr>
          <w:szCs w:val="26"/>
        </w:rPr>
        <w:t xml:space="preserve"> (the Probate Action)</w:t>
      </w:r>
      <w:r w:rsidR="001A42F9">
        <w:rPr>
          <w:szCs w:val="26"/>
        </w:rPr>
        <w:t xml:space="preserve">.  </w:t>
      </w:r>
      <w:r w:rsidR="00D204DE">
        <w:rPr>
          <w:szCs w:val="26"/>
        </w:rPr>
        <w:t>Key ultimately prevailed in th</w:t>
      </w:r>
      <w:r w:rsidR="000105DA">
        <w:rPr>
          <w:szCs w:val="26"/>
        </w:rPr>
        <w:t>at</w:t>
      </w:r>
      <w:r w:rsidR="00D204DE">
        <w:rPr>
          <w:szCs w:val="26"/>
        </w:rPr>
        <w:t xml:space="preserve"> </w:t>
      </w:r>
      <w:r w:rsidR="000105DA">
        <w:rPr>
          <w:szCs w:val="26"/>
        </w:rPr>
        <w:t>action</w:t>
      </w:r>
      <w:r w:rsidR="007301CF">
        <w:rPr>
          <w:szCs w:val="26"/>
        </w:rPr>
        <w:t xml:space="preserve">, winning the right to </w:t>
      </w:r>
      <w:r w:rsidR="00C9607F">
        <w:rPr>
          <w:szCs w:val="26"/>
        </w:rPr>
        <w:t>a third of the parents’ estate</w:t>
      </w:r>
      <w:r w:rsidR="00FF419F">
        <w:rPr>
          <w:szCs w:val="26"/>
        </w:rPr>
        <w:t>.</w:t>
      </w:r>
      <w:r>
        <w:rPr>
          <w:szCs w:val="26"/>
        </w:rPr>
        <w:t xml:space="preserve">  This court </w:t>
      </w:r>
      <w:r w:rsidR="00EC7993">
        <w:rPr>
          <w:szCs w:val="26"/>
        </w:rPr>
        <w:t xml:space="preserve">previously </w:t>
      </w:r>
      <w:r>
        <w:rPr>
          <w:szCs w:val="26"/>
        </w:rPr>
        <w:t xml:space="preserve">affirmed </w:t>
      </w:r>
      <w:r w:rsidR="002B38C7">
        <w:rPr>
          <w:szCs w:val="26"/>
        </w:rPr>
        <w:t xml:space="preserve">the order of the probate court </w:t>
      </w:r>
      <w:r w:rsidR="00B64B4B">
        <w:rPr>
          <w:szCs w:val="26"/>
        </w:rPr>
        <w:t>awarding that relief</w:t>
      </w:r>
      <w:r w:rsidR="00EC7993">
        <w:rPr>
          <w:szCs w:val="26"/>
        </w:rPr>
        <w:t xml:space="preserve">.  (See </w:t>
      </w:r>
      <w:r w:rsidR="00EC7993">
        <w:rPr>
          <w:i/>
          <w:iCs/>
          <w:szCs w:val="26"/>
        </w:rPr>
        <w:t>Key v. Tyler</w:t>
      </w:r>
      <w:r w:rsidR="00DF43FF">
        <w:rPr>
          <w:i/>
          <w:iCs/>
          <w:szCs w:val="26"/>
        </w:rPr>
        <w:t xml:space="preserve"> </w:t>
      </w:r>
      <w:r w:rsidR="00DF43FF">
        <w:rPr>
          <w:szCs w:val="26"/>
        </w:rPr>
        <w:t xml:space="preserve">(June 27, 2016, </w:t>
      </w:r>
      <w:r w:rsidR="00EB11F5">
        <w:rPr>
          <w:szCs w:val="26"/>
        </w:rPr>
        <w:t>B258055)</w:t>
      </w:r>
      <w:r w:rsidR="00A52283">
        <w:rPr>
          <w:szCs w:val="26"/>
        </w:rPr>
        <w:t xml:space="preserve"> [nonpub. opn.]</w:t>
      </w:r>
      <w:r w:rsidR="00EB11F5">
        <w:rPr>
          <w:szCs w:val="26"/>
        </w:rPr>
        <w:t xml:space="preserve"> </w:t>
      </w:r>
      <w:r w:rsidR="00E34D3D">
        <w:rPr>
          <w:szCs w:val="26"/>
        </w:rPr>
        <w:t>[</w:t>
      </w:r>
      <w:r w:rsidR="00EB11F5">
        <w:rPr>
          <w:szCs w:val="26"/>
        </w:rPr>
        <w:t>2016 Cal.App.Unpub.LEXIS 4757</w:t>
      </w:r>
      <w:r w:rsidR="00E34D3D">
        <w:rPr>
          <w:szCs w:val="26"/>
        </w:rPr>
        <w:t>]</w:t>
      </w:r>
      <w:r w:rsidR="001B47DC">
        <w:rPr>
          <w:szCs w:val="26"/>
        </w:rPr>
        <w:t>.)</w:t>
      </w:r>
      <w:r>
        <w:rPr>
          <w:rStyle w:val="FootnoteReference"/>
          <w:szCs w:val="26"/>
        </w:rPr>
        <w:footnoteReference w:id="2"/>
      </w:r>
    </w:p>
    <w:p w14:paraId="0D1B6F38" w14:textId="35FC1578" w:rsidR="002762D2" w:rsidRDefault="004D7594" w:rsidP="00A52283">
      <w:pPr>
        <w:spacing w:after="0" w:line="288" w:lineRule="auto"/>
        <w:ind w:firstLine="720"/>
        <w:rPr>
          <w:szCs w:val="26"/>
        </w:rPr>
      </w:pPr>
      <w:r>
        <w:rPr>
          <w:szCs w:val="26"/>
        </w:rPr>
        <w:t xml:space="preserve">Although </w:t>
      </w:r>
      <w:r w:rsidR="008318E7">
        <w:rPr>
          <w:szCs w:val="26"/>
        </w:rPr>
        <w:t xml:space="preserve">Key repaid the principal that she borrowed from LFG, she refused to pay any interest, claiming that </w:t>
      </w:r>
      <w:r w:rsidR="004F5DB8">
        <w:rPr>
          <w:szCs w:val="26"/>
        </w:rPr>
        <w:t xml:space="preserve">the terms of the note violated the </w:t>
      </w:r>
      <w:r w:rsidR="00ED50FC">
        <w:rPr>
          <w:szCs w:val="26"/>
        </w:rPr>
        <w:t>California Financing Law (</w:t>
      </w:r>
      <w:r w:rsidR="009B5EF8">
        <w:rPr>
          <w:szCs w:val="26"/>
        </w:rPr>
        <w:t xml:space="preserve">Fin. Code, </w:t>
      </w:r>
      <w:r w:rsidR="00CE200F" w:rsidRPr="00CE200F">
        <w:rPr>
          <w:szCs w:val="26"/>
        </w:rPr>
        <w:t>§</w:t>
      </w:r>
      <w:r w:rsidR="00A52283">
        <w:rPr>
          <w:szCs w:val="26"/>
        </w:rPr>
        <w:t> </w:t>
      </w:r>
      <w:r w:rsidR="00CE200F">
        <w:rPr>
          <w:szCs w:val="26"/>
        </w:rPr>
        <w:t>22000 et seq.)</w:t>
      </w:r>
      <w:r w:rsidR="00A52283">
        <w:rPr>
          <w:szCs w:val="26"/>
        </w:rPr>
        <w:t>.</w:t>
      </w:r>
      <w:r w:rsidR="00CE200F">
        <w:rPr>
          <w:szCs w:val="26"/>
        </w:rPr>
        <w:t xml:space="preserve">  </w:t>
      </w:r>
      <w:r w:rsidR="00916A50">
        <w:rPr>
          <w:szCs w:val="26"/>
        </w:rPr>
        <w:t xml:space="preserve">LFG </w:t>
      </w:r>
      <w:r w:rsidR="00FA2096">
        <w:rPr>
          <w:szCs w:val="26"/>
        </w:rPr>
        <w:t>demanded binding arbitration under the loan agreement.</w:t>
      </w:r>
    </w:p>
    <w:p w14:paraId="3C43579C" w14:textId="30F5022A" w:rsidR="00D55387" w:rsidRDefault="004D7594" w:rsidP="00A52283">
      <w:pPr>
        <w:spacing w:after="0" w:line="288" w:lineRule="auto"/>
        <w:ind w:firstLine="720"/>
        <w:rPr>
          <w:szCs w:val="26"/>
        </w:rPr>
      </w:pPr>
      <w:r>
        <w:rPr>
          <w:szCs w:val="26"/>
        </w:rPr>
        <w:t xml:space="preserve">A panel of three arbitrators found that </w:t>
      </w:r>
      <w:r w:rsidR="00E27698">
        <w:rPr>
          <w:szCs w:val="26"/>
        </w:rPr>
        <w:t>some of the loan terms were invalid</w:t>
      </w:r>
      <w:r w:rsidR="006D5D52">
        <w:rPr>
          <w:szCs w:val="26"/>
        </w:rPr>
        <w:t xml:space="preserve"> but otherwise enforced the loan agreement, </w:t>
      </w:r>
      <w:r w:rsidR="00345C33">
        <w:rPr>
          <w:szCs w:val="26"/>
        </w:rPr>
        <w:t>awarding LFG $778,351 in simple interest along with attorney fees and costs.</w:t>
      </w:r>
      <w:r w:rsidR="00836543">
        <w:rPr>
          <w:szCs w:val="26"/>
        </w:rPr>
        <w:t xml:space="preserve">  </w:t>
      </w:r>
      <w:r w:rsidR="000C038E">
        <w:rPr>
          <w:szCs w:val="26"/>
        </w:rPr>
        <w:t>The panel issued a modified award on September</w:t>
      </w:r>
      <w:r w:rsidR="00A52283">
        <w:rPr>
          <w:szCs w:val="26"/>
        </w:rPr>
        <w:t> </w:t>
      </w:r>
      <w:r w:rsidR="000C038E">
        <w:rPr>
          <w:szCs w:val="26"/>
        </w:rPr>
        <w:t>18, 2019.</w:t>
      </w:r>
    </w:p>
    <w:p w14:paraId="68263F3C" w14:textId="616EB61F" w:rsidR="00B15B08" w:rsidRDefault="004D7594" w:rsidP="00A52283">
      <w:pPr>
        <w:spacing w:after="0" w:line="288" w:lineRule="auto"/>
        <w:ind w:firstLine="720"/>
        <w:rPr>
          <w:szCs w:val="26"/>
        </w:rPr>
      </w:pPr>
      <w:r>
        <w:rPr>
          <w:szCs w:val="26"/>
        </w:rPr>
        <w:t>Less than two weeks later, o</w:t>
      </w:r>
      <w:r w:rsidR="00836543">
        <w:rPr>
          <w:szCs w:val="26"/>
        </w:rPr>
        <w:t xml:space="preserve">n October </w:t>
      </w:r>
      <w:r>
        <w:rPr>
          <w:szCs w:val="26"/>
        </w:rPr>
        <w:t>1, 20</w:t>
      </w:r>
      <w:r w:rsidR="00306D8F">
        <w:rPr>
          <w:szCs w:val="26"/>
        </w:rPr>
        <w:t>19</w:t>
      </w:r>
      <w:r>
        <w:rPr>
          <w:szCs w:val="26"/>
        </w:rPr>
        <w:t xml:space="preserve">, LFG filed a petition </w:t>
      </w:r>
      <w:r w:rsidR="00350478">
        <w:rPr>
          <w:szCs w:val="26"/>
        </w:rPr>
        <w:t xml:space="preserve">in superior court </w:t>
      </w:r>
      <w:r>
        <w:rPr>
          <w:szCs w:val="26"/>
        </w:rPr>
        <w:t xml:space="preserve">to </w:t>
      </w:r>
      <w:r w:rsidR="00A66E88">
        <w:rPr>
          <w:szCs w:val="26"/>
        </w:rPr>
        <w:t xml:space="preserve">confirm the award.  </w:t>
      </w:r>
      <w:r w:rsidR="00F330C4">
        <w:rPr>
          <w:szCs w:val="26"/>
        </w:rPr>
        <w:t xml:space="preserve">Nearly four months </w:t>
      </w:r>
      <w:r w:rsidR="008B564B">
        <w:rPr>
          <w:szCs w:val="26"/>
        </w:rPr>
        <w:t>after that</w:t>
      </w:r>
      <w:r w:rsidR="00F330C4">
        <w:rPr>
          <w:szCs w:val="26"/>
        </w:rPr>
        <w:t xml:space="preserve">, and </w:t>
      </w:r>
      <w:r w:rsidR="00837F6A">
        <w:rPr>
          <w:szCs w:val="26"/>
        </w:rPr>
        <w:t xml:space="preserve">130 days after service of the modified </w:t>
      </w:r>
      <w:r w:rsidR="00837F6A">
        <w:rPr>
          <w:szCs w:val="26"/>
        </w:rPr>
        <w:lastRenderedPageBreak/>
        <w:t xml:space="preserve">arbitration award, Key filed a motion to vacate the award.  </w:t>
      </w:r>
      <w:r w:rsidR="00635E33">
        <w:rPr>
          <w:szCs w:val="26"/>
        </w:rPr>
        <w:t xml:space="preserve">Her motion claimed that the </w:t>
      </w:r>
      <w:r w:rsidR="00135998">
        <w:rPr>
          <w:szCs w:val="26"/>
        </w:rPr>
        <w:t xml:space="preserve">arbitrators exceeded their authority by finding that the </w:t>
      </w:r>
      <w:r w:rsidR="00FE000B">
        <w:rPr>
          <w:szCs w:val="26"/>
        </w:rPr>
        <w:t xml:space="preserve">loan from LFG was a consumer loan </w:t>
      </w:r>
      <w:r w:rsidR="00C00D1A">
        <w:rPr>
          <w:szCs w:val="26"/>
        </w:rPr>
        <w:t xml:space="preserve">but nevertheless enforcing some of </w:t>
      </w:r>
      <w:r w:rsidR="008D69C6">
        <w:rPr>
          <w:szCs w:val="26"/>
        </w:rPr>
        <w:t>the terms of the loan agreement rather than finding it void</w:t>
      </w:r>
      <w:r w:rsidR="00792606">
        <w:rPr>
          <w:szCs w:val="26"/>
        </w:rPr>
        <w:t>.</w:t>
      </w:r>
      <w:r w:rsidR="00D43CCA">
        <w:rPr>
          <w:szCs w:val="26"/>
        </w:rPr>
        <w:t xml:space="preserve">  </w:t>
      </w:r>
      <w:r w:rsidR="001A78C6">
        <w:rPr>
          <w:szCs w:val="26"/>
        </w:rPr>
        <w:t>Nine days later</w:t>
      </w:r>
      <w:r w:rsidR="00FF3957">
        <w:rPr>
          <w:szCs w:val="26"/>
        </w:rPr>
        <w:t xml:space="preserve">, </w:t>
      </w:r>
      <w:r w:rsidR="008D69C6">
        <w:rPr>
          <w:szCs w:val="26"/>
        </w:rPr>
        <w:t>Key</w:t>
      </w:r>
      <w:r w:rsidR="001A78C6">
        <w:rPr>
          <w:szCs w:val="26"/>
        </w:rPr>
        <w:t xml:space="preserve"> filed a </w:t>
      </w:r>
      <w:r w:rsidR="00635E33">
        <w:rPr>
          <w:szCs w:val="26"/>
        </w:rPr>
        <w:t xml:space="preserve">response to </w:t>
      </w:r>
      <w:r w:rsidR="00792606">
        <w:rPr>
          <w:szCs w:val="26"/>
        </w:rPr>
        <w:t>LFG’s petition raising the same arguments.</w:t>
      </w:r>
    </w:p>
    <w:p w14:paraId="14C706CD" w14:textId="12EC3974" w:rsidR="00FA2096" w:rsidRDefault="004D7594" w:rsidP="00A52283">
      <w:pPr>
        <w:spacing w:after="0" w:line="288" w:lineRule="auto"/>
        <w:ind w:firstLine="720"/>
        <w:rPr>
          <w:szCs w:val="26"/>
        </w:rPr>
      </w:pPr>
      <w:r>
        <w:rPr>
          <w:szCs w:val="26"/>
        </w:rPr>
        <w:t xml:space="preserve">The superior court </w:t>
      </w:r>
      <w:r w:rsidR="00344C37">
        <w:rPr>
          <w:szCs w:val="26"/>
        </w:rPr>
        <w:t>agreed with Key and vacated the arbitration award.</w:t>
      </w:r>
    </w:p>
    <w:p w14:paraId="7E9A80CE" w14:textId="0B64C5AD" w:rsidR="00640053" w:rsidRDefault="004D7594" w:rsidP="00A52283">
      <w:pPr>
        <w:spacing w:after="0" w:line="288" w:lineRule="auto"/>
        <w:ind w:firstLine="720"/>
        <w:rPr>
          <w:szCs w:val="26"/>
        </w:rPr>
      </w:pPr>
      <w:r>
        <w:rPr>
          <w:szCs w:val="26"/>
        </w:rPr>
        <w:t xml:space="preserve">On appeal, LFG argues that the trial court should have independently considered the evidence </w:t>
      </w:r>
      <w:r w:rsidR="00604B66">
        <w:rPr>
          <w:szCs w:val="26"/>
        </w:rPr>
        <w:t>underlying the arbitrators’ conclusion that th</w:t>
      </w:r>
      <w:r w:rsidR="005E3C5E">
        <w:rPr>
          <w:szCs w:val="26"/>
        </w:rPr>
        <w:t xml:space="preserve">e </w:t>
      </w:r>
      <w:r w:rsidR="008A47DA">
        <w:rPr>
          <w:szCs w:val="26"/>
        </w:rPr>
        <w:t xml:space="preserve">litigation </w:t>
      </w:r>
      <w:r w:rsidR="005E3C5E">
        <w:rPr>
          <w:szCs w:val="26"/>
        </w:rPr>
        <w:t xml:space="preserve">loan </w:t>
      </w:r>
      <w:r w:rsidR="008A47DA">
        <w:rPr>
          <w:szCs w:val="26"/>
        </w:rPr>
        <w:t xml:space="preserve">it made to Key </w:t>
      </w:r>
      <w:r w:rsidR="005E3C5E">
        <w:rPr>
          <w:szCs w:val="26"/>
        </w:rPr>
        <w:t xml:space="preserve">was a consumer loan rather than a commercial loan.  </w:t>
      </w:r>
      <w:r w:rsidR="00EA7A35">
        <w:rPr>
          <w:szCs w:val="26"/>
        </w:rPr>
        <w:t xml:space="preserve">LFG also argues that </w:t>
      </w:r>
      <w:r w:rsidR="00451835">
        <w:rPr>
          <w:szCs w:val="26"/>
        </w:rPr>
        <w:t>Key’s requests to vacate the arbitration award were untimely.</w:t>
      </w:r>
      <w:r w:rsidR="00D43CCA">
        <w:rPr>
          <w:szCs w:val="26"/>
        </w:rPr>
        <w:t xml:space="preserve">  </w:t>
      </w:r>
      <w:r w:rsidR="00EA7A35">
        <w:rPr>
          <w:szCs w:val="26"/>
        </w:rPr>
        <w:t xml:space="preserve">We do not </w:t>
      </w:r>
      <w:r w:rsidR="000F098B">
        <w:rPr>
          <w:szCs w:val="26"/>
        </w:rPr>
        <w:t>reach the substantive issue because we agree with LFG that Key did not timely request that the arbitration award be vacated.</w:t>
      </w:r>
    </w:p>
    <w:p w14:paraId="63589A61" w14:textId="60B34586" w:rsidR="006F214D" w:rsidRPr="00BF6E25" w:rsidRDefault="004D7594" w:rsidP="00A52283">
      <w:pPr>
        <w:spacing w:after="0" w:line="288" w:lineRule="auto"/>
        <w:ind w:firstLine="720"/>
        <w:rPr>
          <w:szCs w:val="26"/>
        </w:rPr>
      </w:pPr>
      <w:r>
        <w:rPr>
          <w:szCs w:val="26"/>
        </w:rPr>
        <w:t>Code of Civil Procedure section</w:t>
      </w:r>
      <w:r w:rsidR="00B63F5A">
        <w:rPr>
          <w:szCs w:val="26"/>
        </w:rPr>
        <w:t xml:space="preserve"> </w:t>
      </w:r>
      <w:r w:rsidR="00A36781">
        <w:rPr>
          <w:szCs w:val="26"/>
        </w:rPr>
        <w:t>1288</w:t>
      </w:r>
      <w:r w:rsidR="009B7F92">
        <w:rPr>
          <w:szCs w:val="26"/>
        </w:rPr>
        <w:t xml:space="preserve"> requires that a petition to vacate an arbitration award must be filed and served </w:t>
      </w:r>
      <w:r w:rsidR="00D34EC8">
        <w:rPr>
          <w:szCs w:val="26"/>
        </w:rPr>
        <w:t>not later than 100 days after service of the award.</w:t>
      </w:r>
      <w:r>
        <w:rPr>
          <w:rStyle w:val="FootnoteReference"/>
          <w:szCs w:val="26"/>
        </w:rPr>
        <w:footnoteReference w:id="3"/>
      </w:r>
      <w:r w:rsidR="00D34EC8">
        <w:rPr>
          <w:szCs w:val="26"/>
        </w:rPr>
        <w:t xml:space="preserve">  Section </w:t>
      </w:r>
      <w:r w:rsidR="00DD30E2">
        <w:rPr>
          <w:szCs w:val="26"/>
        </w:rPr>
        <w:t xml:space="preserve">1288.2 imposes the same deadline on a response to a </w:t>
      </w:r>
      <w:r w:rsidR="002E610D">
        <w:rPr>
          <w:szCs w:val="26"/>
        </w:rPr>
        <w:t>petition to confirm an arbitration award</w:t>
      </w:r>
      <w:r w:rsidR="00746888">
        <w:rPr>
          <w:szCs w:val="26"/>
        </w:rPr>
        <w:t xml:space="preserve"> when the response requests that the award be vacated.  These deadlines are jurisdictional.  </w:t>
      </w:r>
      <w:r w:rsidR="00B4018A">
        <w:rPr>
          <w:szCs w:val="26"/>
        </w:rPr>
        <w:t>(</w:t>
      </w:r>
      <w:r w:rsidR="0045661E">
        <w:rPr>
          <w:i/>
          <w:iCs/>
          <w:szCs w:val="26"/>
        </w:rPr>
        <w:t xml:space="preserve">Santa Monica College Faculty Assn. v. Santa Monica Community College Dist. </w:t>
      </w:r>
      <w:r w:rsidR="001B4498">
        <w:rPr>
          <w:szCs w:val="26"/>
        </w:rPr>
        <w:t xml:space="preserve">(2015) 243 Cal.App.4th 538, </w:t>
      </w:r>
      <w:r w:rsidR="0053379A">
        <w:rPr>
          <w:szCs w:val="26"/>
        </w:rPr>
        <w:t>544</w:t>
      </w:r>
      <w:r w:rsidR="00355E9F">
        <w:rPr>
          <w:szCs w:val="26"/>
        </w:rPr>
        <w:t>–</w:t>
      </w:r>
      <w:r w:rsidR="0053379A">
        <w:rPr>
          <w:szCs w:val="26"/>
        </w:rPr>
        <w:t>545 (</w:t>
      </w:r>
      <w:r w:rsidR="0053379A">
        <w:rPr>
          <w:i/>
          <w:iCs/>
          <w:szCs w:val="26"/>
        </w:rPr>
        <w:t>Santa Monica</w:t>
      </w:r>
      <w:r w:rsidR="0053379A">
        <w:rPr>
          <w:szCs w:val="26"/>
        </w:rPr>
        <w:t xml:space="preserve">); </w:t>
      </w:r>
      <w:r w:rsidR="00373B29">
        <w:rPr>
          <w:i/>
          <w:iCs/>
          <w:szCs w:val="26"/>
        </w:rPr>
        <w:t xml:space="preserve">Douglass v. Serenivision, Inc. </w:t>
      </w:r>
      <w:r w:rsidR="00373B29">
        <w:rPr>
          <w:szCs w:val="26"/>
        </w:rPr>
        <w:t>(</w:t>
      </w:r>
      <w:r w:rsidR="004B3E6E">
        <w:rPr>
          <w:szCs w:val="26"/>
        </w:rPr>
        <w:t xml:space="preserve">2018) </w:t>
      </w:r>
      <w:r w:rsidR="00AF7AA1">
        <w:rPr>
          <w:szCs w:val="26"/>
        </w:rPr>
        <w:t xml:space="preserve">20 Cal.App.5th 376, </w:t>
      </w:r>
      <w:r w:rsidR="003B4F4F">
        <w:rPr>
          <w:szCs w:val="26"/>
        </w:rPr>
        <w:t>384</w:t>
      </w:r>
      <w:r w:rsidR="00355E9F">
        <w:rPr>
          <w:szCs w:val="26"/>
        </w:rPr>
        <w:t>–</w:t>
      </w:r>
      <w:r w:rsidR="003B4F4F">
        <w:rPr>
          <w:szCs w:val="26"/>
        </w:rPr>
        <w:t>385 (</w:t>
      </w:r>
      <w:r w:rsidR="003B4F4F">
        <w:rPr>
          <w:i/>
          <w:iCs/>
          <w:szCs w:val="26"/>
        </w:rPr>
        <w:t>Douglass</w:t>
      </w:r>
      <w:r w:rsidR="003B4F4F">
        <w:rPr>
          <w:szCs w:val="26"/>
        </w:rPr>
        <w:t>).</w:t>
      </w:r>
      <w:r w:rsidR="002B113E">
        <w:rPr>
          <w:szCs w:val="26"/>
        </w:rPr>
        <w:t>)</w:t>
      </w:r>
      <w:r w:rsidR="003B4F4F">
        <w:rPr>
          <w:szCs w:val="26"/>
        </w:rPr>
        <w:t xml:space="preserve">  </w:t>
      </w:r>
      <w:r w:rsidR="00541E57">
        <w:rPr>
          <w:szCs w:val="26"/>
        </w:rPr>
        <w:t xml:space="preserve">Neither Key’s petition to vacate the arbitration award nor her </w:t>
      </w:r>
      <w:r w:rsidR="00AD4037">
        <w:rPr>
          <w:szCs w:val="26"/>
        </w:rPr>
        <w:t xml:space="preserve">request to vacate the award in her </w:t>
      </w:r>
      <w:r w:rsidR="00AD4037">
        <w:rPr>
          <w:szCs w:val="26"/>
        </w:rPr>
        <w:lastRenderedPageBreak/>
        <w:t>response to LFG’s petition to confirm were filed within the 100</w:t>
      </w:r>
      <w:r w:rsidR="00B42C63">
        <w:rPr>
          <w:szCs w:val="26"/>
        </w:rPr>
        <w:t>-</w:t>
      </w:r>
      <w:r w:rsidR="00AD4037">
        <w:rPr>
          <w:szCs w:val="26"/>
        </w:rPr>
        <w:t>day limit.  Th</w:t>
      </w:r>
      <w:r w:rsidR="00BF6E25">
        <w:rPr>
          <w:szCs w:val="26"/>
        </w:rPr>
        <w:t>us, th</w:t>
      </w:r>
      <w:r w:rsidR="00AD4037">
        <w:rPr>
          <w:szCs w:val="26"/>
        </w:rPr>
        <w:t xml:space="preserve">e trial court lacked jurisdiction to </w:t>
      </w:r>
      <w:r w:rsidR="00590B14">
        <w:rPr>
          <w:szCs w:val="26"/>
        </w:rPr>
        <w:t>consider Key’s request</w:t>
      </w:r>
      <w:r w:rsidR="00BF6E25">
        <w:rPr>
          <w:szCs w:val="26"/>
        </w:rPr>
        <w:t xml:space="preserve"> to vacate</w:t>
      </w:r>
      <w:r w:rsidR="00590B14">
        <w:rPr>
          <w:szCs w:val="26"/>
        </w:rPr>
        <w:t xml:space="preserve">, and the arbitration award must </w:t>
      </w:r>
      <w:r w:rsidR="00BF6E25">
        <w:rPr>
          <w:szCs w:val="26"/>
        </w:rPr>
        <w:t>be confirmed.</w:t>
      </w:r>
    </w:p>
    <w:p w14:paraId="63589A62" w14:textId="77777777" w:rsidR="00A42182" w:rsidRPr="00A42182" w:rsidRDefault="004D7594" w:rsidP="00A52283">
      <w:pPr>
        <w:keepNext/>
        <w:spacing w:after="0" w:line="288" w:lineRule="auto"/>
        <w:jc w:val="center"/>
        <w:rPr>
          <w:b/>
        </w:rPr>
      </w:pPr>
      <w:r w:rsidRPr="00A42182">
        <w:rPr>
          <w:b/>
        </w:rPr>
        <w:t>BACKGROUND</w:t>
      </w:r>
    </w:p>
    <w:p w14:paraId="63589A63" w14:textId="2330C683" w:rsidR="00A42182" w:rsidRPr="009C7043" w:rsidRDefault="004D7594" w:rsidP="00A52283">
      <w:pPr>
        <w:keepNext/>
        <w:spacing w:after="0" w:line="288" w:lineRule="auto"/>
        <w:ind w:left="720" w:right="720" w:hanging="720"/>
        <w:outlineLvl w:val="0"/>
        <w:rPr>
          <w:b/>
          <w:bCs/>
        </w:rPr>
      </w:pPr>
      <w:r w:rsidRPr="009C7043">
        <w:rPr>
          <w:b/>
          <w:bCs/>
        </w:rPr>
        <w:t>1.</w:t>
      </w:r>
      <w:r>
        <w:rPr>
          <w:b/>
          <w:bCs/>
        </w:rPr>
        <w:tab/>
        <w:t>The Loan Agreement</w:t>
      </w:r>
    </w:p>
    <w:p w14:paraId="0AF6F202" w14:textId="28083531" w:rsidR="005D7676" w:rsidRDefault="004D7594" w:rsidP="00A52283">
      <w:pPr>
        <w:spacing w:after="0" w:line="288" w:lineRule="auto"/>
        <w:ind w:firstLine="720"/>
      </w:pPr>
      <w:r>
        <w:t>In 20</w:t>
      </w:r>
      <w:r w:rsidR="00355E9F">
        <w:t>1</w:t>
      </w:r>
      <w:r>
        <w:t xml:space="preserve">3, Key needed money to </w:t>
      </w:r>
      <w:r w:rsidR="005D0689">
        <w:t>pay</w:t>
      </w:r>
      <w:r>
        <w:t xml:space="preserve"> </w:t>
      </w:r>
      <w:r w:rsidR="005D0689">
        <w:t xml:space="preserve">her </w:t>
      </w:r>
      <w:r w:rsidR="000E53F0">
        <w:t xml:space="preserve">ongoing legal fees in </w:t>
      </w:r>
      <w:r>
        <w:t xml:space="preserve">the Probate Action.  </w:t>
      </w:r>
      <w:r w:rsidR="00FD0A11">
        <w:t xml:space="preserve">Her counsel in that action </w:t>
      </w:r>
      <w:r w:rsidR="00B745D9">
        <w:t>referred</w:t>
      </w:r>
      <w:r w:rsidR="00FD0A11">
        <w:t xml:space="preserve"> her to </w:t>
      </w:r>
      <w:r w:rsidR="00B745D9">
        <w:t>LFG</w:t>
      </w:r>
      <w:r w:rsidR="00034654">
        <w:t>.</w:t>
      </w:r>
    </w:p>
    <w:p w14:paraId="6F30B765" w14:textId="7FF8D72C" w:rsidR="00883DC3" w:rsidRPr="001A1716" w:rsidRDefault="004D7594" w:rsidP="00A52283">
      <w:pPr>
        <w:spacing w:after="0" w:line="288" w:lineRule="auto"/>
        <w:ind w:firstLine="720"/>
      </w:pPr>
      <w:r>
        <w:t xml:space="preserve">Key borrowed </w:t>
      </w:r>
      <w:r w:rsidR="00983B25">
        <w:t xml:space="preserve">approximately </w:t>
      </w:r>
      <w:r w:rsidR="007E6FF9">
        <w:t xml:space="preserve">$2.4 million from LFG pursuant to a </w:t>
      </w:r>
      <w:r w:rsidR="005F0012">
        <w:t>Loan and Security Agreement (Loan Agreement)</w:t>
      </w:r>
      <w:r w:rsidR="009E03E3">
        <w:t xml:space="preserve"> </w:t>
      </w:r>
      <w:r w:rsidR="00A768FE">
        <w:t>that permitted her to borrow up to a maximum of $3 million</w:t>
      </w:r>
      <w:r w:rsidR="005F0012">
        <w:t xml:space="preserve">.  </w:t>
      </w:r>
      <w:r w:rsidR="005A49D9">
        <w:t xml:space="preserve">In addition to repayment of the principal, the Loan Agreement required Key to pay interest </w:t>
      </w:r>
      <w:r w:rsidR="0080547B">
        <w:t>at a rate of 1.53</w:t>
      </w:r>
      <w:r w:rsidR="00F8535A">
        <w:t> percent</w:t>
      </w:r>
      <w:r w:rsidR="0080547B">
        <w:t xml:space="preserve"> per month, compounded monthly</w:t>
      </w:r>
      <w:r w:rsidR="002860C6">
        <w:t xml:space="preserve">, along with </w:t>
      </w:r>
      <w:r w:rsidR="009E03E3">
        <w:t>an origination fee (</w:t>
      </w:r>
      <w:r w:rsidR="00A768FE">
        <w:t>calculated as 2</w:t>
      </w:r>
      <w:r w:rsidR="00F8535A">
        <w:t> percent</w:t>
      </w:r>
      <w:r w:rsidR="00A768FE">
        <w:t xml:space="preserve"> of the </w:t>
      </w:r>
      <w:r w:rsidR="00FB3551">
        <w:t>maximum loan availability</w:t>
      </w:r>
      <w:r w:rsidR="00A768FE">
        <w:t xml:space="preserve">), </w:t>
      </w:r>
      <w:r w:rsidR="00712C73">
        <w:t>a due diligence fee, and a servicing fee</w:t>
      </w:r>
      <w:r w:rsidR="00D22C35">
        <w:t xml:space="preserve"> (calculated as </w:t>
      </w:r>
      <w:r w:rsidR="00CB6B4A">
        <w:t>0.25</w:t>
      </w:r>
      <w:r w:rsidR="00F8535A">
        <w:t> percent</w:t>
      </w:r>
      <w:r w:rsidR="00CB6B4A">
        <w:t xml:space="preserve"> of the total amount that </w:t>
      </w:r>
      <w:r w:rsidR="005A0DCD">
        <w:t xml:space="preserve">Key owed </w:t>
      </w:r>
      <w:r w:rsidR="00DD7EA4">
        <w:t xml:space="preserve">at the end of each month). </w:t>
      </w:r>
      <w:r w:rsidR="0038573E">
        <w:t xml:space="preserve"> </w:t>
      </w:r>
      <w:r w:rsidR="00136400">
        <w:t xml:space="preserve">Absent a default, </w:t>
      </w:r>
      <w:r w:rsidR="00F624EC">
        <w:t xml:space="preserve">LFG’s right to </w:t>
      </w:r>
      <w:r w:rsidR="004F2F08">
        <w:t>repayment was limited to Key’s recovery in the Probate Action and her interest in the trust that was the subject of that action.</w:t>
      </w:r>
    </w:p>
    <w:p w14:paraId="0D71D237" w14:textId="0863A94D" w:rsidR="00FB3551" w:rsidRPr="00F8535A" w:rsidRDefault="004D7594" w:rsidP="00A52283">
      <w:pPr>
        <w:spacing w:after="0" w:line="288" w:lineRule="auto"/>
        <w:ind w:firstLine="720"/>
      </w:pPr>
      <w:r>
        <w:t xml:space="preserve">The Loan Agreement contained an arbitration provision.  </w:t>
      </w:r>
      <w:r w:rsidR="0006785E">
        <w:t xml:space="preserve">That provision required that </w:t>
      </w:r>
      <w:r w:rsidR="00044E54">
        <w:t xml:space="preserve">“any dispute between the Parties arising out of the transaction provided for in this Agreement” would be decided </w:t>
      </w:r>
      <w:r w:rsidR="002817CE">
        <w:t>by a three</w:t>
      </w:r>
      <w:r w:rsidR="00F8535A">
        <w:t>-</w:t>
      </w:r>
      <w:r w:rsidR="002817CE">
        <w:t>member arbitration panel under the Commercial Arbitration Rules of the American Arbitration Association.</w:t>
      </w:r>
      <w:r w:rsidR="00ED6AA9">
        <w:t xml:space="preserve">  </w:t>
      </w:r>
      <w:r w:rsidR="0083754A">
        <w:t>The provision also entitled the prevailing party to attorney fees.</w:t>
      </w:r>
    </w:p>
    <w:p w14:paraId="0CAB7620" w14:textId="6216CFE2" w:rsidR="001A1716" w:rsidRPr="00104A94" w:rsidRDefault="004D7594" w:rsidP="00A52283">
      <w:pPr>
        <w:keepNext/>
        <w:spacing w:after="0" w:line="288" w:lineRule="auto"/>
        <w:ind w:left="720" w:right="720" w:hanging="720"/>
        <w:outlineLvl w:val="0"/>
        <w:rPr>
          <w:b/>
          <w:bCs/>
        </w:rPr>
      </w:pPr>
      <w:r>
        <w:rPr>
          <w:b/>
          <w:bCs/>
        </w:rPr>
        <w:lastRenderedPageBreak/>
        <w:t>2.</w:t>
      </w:r>
      <w:r>
        <w:rPr>
          <w:b/>
          <w:bCs/>
        </w:rPr>
        <w:tab/>
        <w:t>The Arbitration</w:t>
      </w:r>
    </w:p>
    <w:p w14:paraId="10D8FEAB" w14:textId="0F9A4AD1" w:rsidR="001E7812" w:rsidRDefault="004D7594" w:rsidP="00A52283">
      <w:pPr>
        <w:spacing w:after="0" w:line="288" w:lineRule="auto"/>
        <w:ind w:firstLine="720"/>
      </w:pPr>
      <w:r>
        <w:t xml:space="preserve">Key prevailed in </w:t>
      </w:r>
      <w:r w:rsidR="00743228">
        <w:t xml:space="preserve">the Probate Action, </w:t>
      </w:r>
      <w:r w:rsidR="0044192D">
        <w:t xml:space="preserve">winning the right to a third of her parents’ estate which, at the time, was equivalent to about $20 million. </w:t>
      </w:r>
      <w:r w:rsidR="0038573E">
        <w:t xml:space="preserve"> </w:t>
      </w:r>
      <w:r w:rsidR="00225037">
        <w:t>She repaid the principal amount of the $2.4 million loan from LFG, but did not pay any interest or other fees.</w:t>
      </w:r>
    </w:p>
    <w:p w14:paraId="1D04ECD7" w14:textId="289F9B09" w:rsidR="003B3545" w:rsidRDefault="004D7594" w:rsidP="00A52283">
      <w:pPr>
        <w:spacing w:after="0" w:line="288" w:lineRule="auto"/>
        <w:ind w:firstLine="720"/>
      </w:pPr>
      <w:r>
        <w:t xml:space="preserve">LFG </w:t>
      </w:r>
      <w:r w:rsidR="004D6F34">
        <w:t>demanded</w:t>
      </w:r>
      <w:r>
        <w:t xml:space="preserve"> arbitration</w:t>
      </w:r>
      <w:r w:rsidR="006F09E0">
        <w:t xml:space="preserve">, seeking </w:t>
      </w:r>
      <w:r w:rsidR="005B7E70">
        <w:t xml:space="preserve">about </w:t>
      </w:r>
      <w:r w:rsidR="00865156">
        <w:t>$1</w:t>
      </w:r>
      <w:r w:rsidR="005B7E70">
        <w:t>.45 million that it claimed Key still owed under the Loan Agreement</w:t>
      </w:r>
      <w:r>
        <w:t>.</w:t>
      </w:r>
      <w:r w:rsidR="0038573E">
        <w:t xml:space="preserve">  </w:t>
      </w:r>
      <w:r w:rsidR="005B7E70">
        <w:t>In defense</w:t>
      </w:r>
      <w:r w:rsidR="00A05FF0">
        <w:t>, Key argue</w:t>
      </w:r>
      <w:r w:rsidR="0051385B">
        <w:t>d</w:t>
      </w:r>
      <w:r w:rsidR="00A05FF0">
        <w:t xml:space="preserve"> that the Loan Agreement was unconscionable and that the </w:t>
      </w:r>
      <w:r w:rsidR="00C373BD">
        <w:t xml:space="preserve">various fees in the agreement violated provisions of the California Financing Law </w:t>
      </w:r>
      <w:r w:rsidR="00CD5EB6">
        <w:t>applicable to consumer loans.</w:t>
      </w:r>
    </w:p>
    <w:p w14:paraId="75287E1F" w14:textId="0E0B8004" w:rsidR="001136F8" w:rsidRDefault="004D7594" w:rsidP="00A52283">
      <w:pPr>
        <w:spacing w:after="0" w:line="288" w:lineRule="auto"/>
        <w:ind w:firstLine="720"/>
      </w:pPr>
      <w:r>
        <w:t>On August 6, 2019</w:t>
      </w:r>
      <w:r w:rsidR="00F8535A">
        <w:t>,</w:t>
      </w:r>
      <w:r>
        <w:t xml:space="preserve"> the </w:t>
      </w:r>
      <w:r w:rsidR="00FB60D0">
        <w:t>three</w:t>
      </w:r>
      <w:r w:rsidR="00F8535A">
        <w:t>-</w:t>
      </w:r>
      <w:r w:rsidR="00FB60D0">
        <w:t>arbitrator panel served its final arbitration award.</w:t>
      </w:r>
      <w:r w:rsidR="00F8535A">
        <w:t xml:space="preserve"> </w:t>
      </w:r>
      <w:r w:rsidR="00FB60D0">
        <w:t xml:space="preserve"> </w:t>
      </w:r>
      <w:r w:rsidR="006F20A1">
        <w:t>At the request of the parties, the arbitrators later modif</w:t>
      </w:r>
      <w:r w:rsidR="00E40766">
        <w:t>ied the award to reduce the amount of costs awarded to LFG.</w:t>
      </w:r>
      <w:r w:rsidR="00F8535A">
        <w:t xml:space="preserve"> </w:t>
      </w:r>
      <w:r w:rsidR="00E40766">
        <w:t xml:space="preserve"> The modification was served </w:t>
      </w:r>
      <w:r w:rsidR="00330F02">
        <w:t>on September 19, 2019.</w:t>
      </w:r>
    </w:p>
    <w:p w14:paraId="37FD4EF0" w14:textId="39057F52" w:rsidR="008A6774" w:rsidRPr="00F8535A" w:rsidRDefault="004D7594" w:rsidP="00A52283">
      <w:pPr>
        <w:spacing w:after="0" w:line="288" w:lineRule="auto"/>
        <w:ind w:firstLine="720"/>
      </w:pPr>
      <w:r>
        <w:t xml:space="preserve">The arbitrators found that </w:t>
      </w:r>
      <w:r w:rsidR="00741EDE">
        <w:t>the Loan Agreement was binding and enforceable</w:t>
      </w:r>
      <w:r w:rsidR="00F8535A">
        <w:t>.</w:t>
      </w:r>
      <w:r w:rsidR="0038573E">
        <w:t xml:space="preserve">  </w:t>
      </w:r>
      <w:r w:rsidR="006F4636">
        <w:t xml:space="preserve">However, the arbitrators also found that the loan from LFG was a consumer loan </w:t>
      </w:r>
      <w:r w:rsidR="00C31C58">
        <w:t>and tha</w:t>
      </w:r>
      <w:r w:rsidR="0053166B">
        <w:t xml:space="preserve">t </w:t>
      </w:r>
      <w:r w:rsidR="00BD692F">
        <w:t xml:space="preserve">the provisions for compounded interest and </w:t>
      </w:r>
      <w:r w:rsidR="002F77D1">
        <w:t>servic</w:t>
      </w:r>
      <w:r w:rsidR="00E65636">
        <w:t>ing</w:t>
      </w:r>
      <w:r w:rsidR="00BD692F">
        <w:t xml:space="preserve"> fees were therefore unlawful under the </w:t>
      </w:r>
      <w:r w:rsidR="00FB4953">
        <w:t xml:space="preserve">California Financing Law. </w:t>
      </w:r>
      <w:r w:rsidR="00A66146">
        <w:t xml:space="preserve"> </w:t>
      </w:r>
      <w:r w:rsidR="00CC65D0">
        <w:t xml:space="preserve">The arbitrators </w:t>
      </w:r>
      <w:r w:rsidR="009062C3">
        <w:t xml:space="preserve">disregarded those provisions and awarded damages </w:t>
      </w:r>
      <w:r w:rsidR="00250F03">
        <w:t xml:space="preserve">consisting of simple interest </w:t>
      </w:r>
      <w:r w:rsidR="00B44007">
        <w:t>in the amount of $778,351.</w:t>
      </w:r>
      <w:r w:rsidR="0038573E">
        <w:t xml:space="preserve">  </w:t>
      </w:r>
      <w:r w:rsidR="00ED7343">
        <w:t xml:space="preserve">The arbitrators </w:t>
      </w:r>
      <w:r w:rsidR="00F674BF">
        <w:t>awarded</w:t>
      </w:r>
      <w:r w:rsidR="00ED7343">
        <w:t xml:space="preserve"> </w:t>
      </w:r>
      <w:r w:rsidR="00BC667B">
        <w:t xml:space="preserve">LFG </w:t>
      </w:r>
      <w:r w:rsidR="00F674BF">
        <w:t xml:space="preserve">costs and </w:t>
      </w:r>
      <w:r w:rsidR="00BC667B">
        <w:t xml:space="preserve">attorney fees </w:t>
      </w:r>
      <w:r w:rsidR="005D4A05">
        <w:t xml:space="preserve">in the amount of </w:t>
      </w:r>
      <w:r w:rsidR="0034022B">
        <w:t>$838,864</w:t>
      </w:r>
      <w:r w:rsidR="00F674BF">
        <w:t xml:space="preserve"> as the prevailing party</w:t>
      </w:r>
      <w:r w:rsidR="00934175">
        <w:t>.</w:t>
      </w:r>
    </w:p>
    <w:p w14:paraId="6505EC30" w14:textId="58F4B784" w:rsidR="008A6774" w:rsidRPr="00681A89" w:rsidRDefault="004D7594" w:rsidP="00A52283">
      <w:pPr>
        <w:keepNext/>
        <w:keepLines/>
        <w:spacing w:after="0" w:line="288" w:lineRule="auto"/>
        <w:ind w:left="720" w:right="720" w:hanging="720"/>
        <w:outlineLvl w:val="0"/>
        <w:rPr>
          <w:b/>
          <w:bCs/>
        </w:rPr>
      </w:pPr>
      <w:r>
        <w:rPr>
          <w:b/>
          <w:bCs/>
        </w:rPr>
        <w:t>3.</w:t>
      </w:r>
      <w:r>
        <w:rPr>
          <w:b/>
          <w:bCs/>
        </w:rPr>
        <w:tab/>
        <w:t xml:space="preserve">LFG’s Petition to Confirm </w:t>
      </w:r>
      <w:r w:rsidR="00F442A8">
        <w:rPr>
          <w:b/>
          <w:bCs/>
        </w:rPr>
        <w:t xml:space="preserve">the Arbitration Award </w:t>
      </w:r>
      <w:r>
        <w:rPr>
          <w:b/>
          <w:bCs/>
        </w:rPr>
        <w:t xml:space="preserve">and </w:t>
      </w:r>
      <w:r w:rsidR="00502B2B">
        <w:rPr>
          <w:b/>
          <w:bCs/>
        </w:rPr>
        <w:t>Key’s Requests to Vacate</w:t>
      </w:r>
    </w:p>
    <w:p w14:paraId="025FB371" w14:textId="52D85695" w:rsidR="00261B8A" w:rsidRPr="00F8535A" w:rsidRDefault="004D7594" w:rsidP="00A52283">
      <w:pPr>
        <w:spacing w:after="0" w:line="288" w:lineRule="auto"/>
        <w:ind w:firstLine="720"/>
      </w:pPr>
      <w:r>
        <w:t xml:space="preserve">LFG filed a petition </w:t>
      </w:r>
      <w:r w:rsidR="00DB4BC6">
        <w:t xml:space="preserve">to confirm the arbitration award on October 1, 2019, </w:t>
      </w:r>
      <w:r w:rsidR="00905BF2">
        <w:t>less than two weeks after the modified arbitration award was served.</w:t>
      </w:r>
      <w:r w:rsidR="0038573E">
        <w:t xml:space="preserve">  </w:t>
      </w:r>
      <w:r w:rsidR="0013465E">
        <w:t xml:space="preserve">The parties then </w:t>
      </w:r>
      <w:r w:rsidR="006B2229">
        <w:t xml:space="preserve">communicated </w:t>
      </w:r>
      <w:r w:rsidR="006B2229">
        <w:lastRenderedPageBreak/>
        <w:t xml:space="preserve">about </w:t>
      </w:r>
      <w:r w:rsidR="005C4614">
        <w:t xml:space="preserve">coordinating </w:t>
      </w:r>
      <w:r w:rsidR="006B2229">
        <w:t xml:space="preserve">the timing </w:t>
      </w:r>
      <w:r w:rsidR="008F608C">
        <w:t>for</w:t>
      </w:r>
      <w:r w:rsidR="006B2229">
        <w:t xml:space="preserve"> the hearing on LFG’s petition and </w:t>
      </w:r>
      <w:r w:rsidR="008F608C">
        <w:t>for the petition to vacate that Key intended to file.</w:t>
      </w:r>
    </w:p>
    <w:p w14:paraId="588600F0" w14:textId="507E6839" w:rsidR="00652CA7" w:rsidRPr="00F8535A" w:rsidRDefault="004D7594" w:rsidP="00A52283">
      <w:pPr>
        <w:spacing w:after="0" w:line="288" w:lineRule="auto"/>
        <w:ind w:firstLine="720"/>
      </w:pPr>
      <w:r>
        <w:t xml:space="preserve">Key’s counsel agreed to accept service of LFG’s petition </w:t>
      </w:r>
      <w:r w:rsidR="00F03D9A">
        <w:t xml:space="preserve">and to file a challenge under section 170.6 to the assigned judge.  </w:t>
      </w:r>
      <w:r w:rsidR="007316BD">
        <w:t xml:space="preserve">The parties further agreed that “the </w:t>
      </w:r>
      <w:r w:rsidR="002D3560">
        <w:t>10 day time period for filing a Petition to Vacate will not apply and that once the new judge is  appointed, and we can find out when a hearing can be set pursuant to th</w:t>
      </w:r>
      <w:r w:rsidR="00355E9F">
        <w:t>at</w:t>
      </w:r>
      <w:r w:rsidR="002D3560">
        <w:t xml:space="preserve"> judge’s calendar</w:t>
      </w:r>
      <w:r w:rsidR="00E22088">
        <w:t>, we will work backward</w:t>
      </w:r>
      <w:r w:rsidR="00355E9F">
        <w:t>s</w:t>
      </w:r>
      <w:r w:rsidR="00E22088">
        <w:t xml:space="preserve"> to come up with a briefing schedule for the Petition to Confirm and the Petition to Vacate that we will be filing.”</w:t>
      </w:r>
      <w:r w:rsidR="00F8535A">
        <w:t xml:space="preserve"> </w:t>
      </w:r>
      <w:r w:rsidR="00E22088">
        <w:t xml:space="preserve"> </w:t>
      </w:r>
      <w:r w:rsidR="00261B8A">
        <w:t>Key’s counsel confirmed this agreement by e</w:t>
      </w:r>
      <w:r w:rsidR="00F8535A">
        <w:t>-</w:t>
      </w:r>
      <w:r w:rsidR="00261B8A">
        <w:t>mail on October 10, 2019.</w:t>
      </w:r>
    </w:p>
    <w:p w14:paraId="7BE0075B" w14:textId="1C71213C" w:rsidR="008F608C" w:rsidRPr="000910EF" w:rsidRDefault="004D7594" w:rsidP="00A52283">
      <w:pPr>
        <w:spacing w:after="0" w:line="288" w:lineRule="auto"/>
        <w:ind w:firstLine="720"/>
      </w:pPr>
      <w:r>
        <w:t xml:space="preserve">Over the next few months, the parties </w:t>
      </w:r>
      <w:r w:rsidR="00E120DC">
        <w:t xml:space="preserve">discussed </w:t>
      </w:r>
      <w:r>
        <w:t>setting a hearing date</w:t>
      </w:r>
      <w:r w:rsidR="00EF71AF">
        <w:t xml:space="preserve">, and finally agreed on a hearing date of </w:t>
      </w:r>
      <w:r w:rsidR="00FA64B2">
        <w:t>February</w:t>
      </w:r>
      <w:r w:rsidR="00F8535A">
        <w:t> </w:t>
      </w:r>
      <w:r w:rsidR="00FA64B2">
        <w:t>20, 2020.</w:t>
      </w:r>
      <w:r w:rsidR="00F8535A">
        <w:t xml:space="preserve"> </w:t>
      </w:r>
      <w:r w:rsidR="00FA64B2">
        <w:t xml:space="preserve"> </w:t>
      </w:r>
      <w:r w:rsidR="00D232C2">
        <w:t xml:space="preserve">On December 12, 2019, </w:t>
      </w:r>
      <w:r w:rsidR="00A33310">
        <w:t>counsel for LFG sent an e</w:t>
      </w:r>
      <w:r w:rsidR="00F8535A">
        <w:t>-</w:t>
      </w:r>
      <w:r w:rsidR="00A33310">
        <w:t>mail</w:t>
      </w:r>
      <w:r w:rsidR="000739B0">
        <w:t xml:space="preserve"> to Key’s counsel</w:t>
      </w:r>
      <w:r w:rsidR="00A33310">
        <w:t xml:space="preserve"> </w:t>
      </w:r>
      <w:r w:rsidR="00CF2143">
        <w:t>asking, “</w:t>
      </w:r>
      <w:r w:rsidR="00F8535A">
        <w:t>D</w:t>
      </w:r>
      <w:r w:rsidR="00CF2143">
        <w:t xml:space="preserve">o you know when your substantive petition is due?  I know we talked conceptually about timelines way back.  I just don’t </w:t>
      </w:r>
      <w:r w:rsidR="00C53314">
        <w:t xml:space="preserve">know with the hearing date set for </w:t>
      </w:r>
      <w:r w:rsidR="00072722">
        <w:t>2/20 whether we need to revisit that or, jus</w:t>
      </w:r>
      <w:r w:rsidR="005E3B23">
        <w:t>t go according to standard timing.”</w:t>
      </w:r>
      <w:r w:rsidR="00F65869">
        <w:t xml:space="preserve">  Key apparently did not respond to that e</w:t>
      </w:r>
      <w:r w:rsidR="000910EF">
        <w:t>-</w:t>
      </w:r>
      <w:r w:rsidR="00F65869">
        <w:t>mail.</w:t>
      </w:r>
    </w:p>
    <w:p w14:paraId="07E1EC34" w14:textId="3B14BC0F" w:rsidR="00F65869" w:rsidRPr="000910EF" w:rsidRDefault="004D7594" w:rsidP="00A52283">
      <w:pPr>
        <w:spacing w:after="0" w:line="288" w:lineRule="auto"/>
        <w:ind w:firstLine="720"/>
      </w:pPr>
      <w:r>
        <w:t xml:space="preserve">The parties then </w:t>
      </w:r>
      <w:r w:rsidR="00E748F9">
        <w:t>communicated further</w:t>
      </w:r>
      <w:r>
        <w:t xml:space="preserve"> about </w:t>
      </w:r>
      <w:r w:rsidR="00633974">
        <w:t xml:space="preserve">the details of filing and service.  </w:t>
      </w:r>
      <w:r w:rsidR="00780C85">
        <w:t xml:space="preserve">They agreed to </w:t>
      </w:r>
      <w:r w:rsidR="00E120DC">
        <w:t xml:space="preserve">accept </w:t>
      </w:r>
      <w:r w:rsidR="00780C85">
        <w:t xml:space="preserve">electronic service, and </w:t>
      </w:r>
      <w:r w:rsidR="002E5C71">
        <w:t>Key’s counsel informed LFG’s counsel that Key intended to serve</w:t>
      </w:r>
      <w:r w:rsidR="005B0AB7">
        <w:t xml:space="preserve"> her petition to vacate on January </w:t>
      </w:r>
      <w:r w:rsidR="009609AF">
        <w:t>27, 2020.</w:t>
      </w:r>
    </w:p>
    <w:p w14:paraId="138A3780" w14:textId="257F6D4F" w:rsidR="007163AF" w:rsidRDefault="004D7594" w:rsidP="00A52283">
      <w:pPr>
        <w:spacing w:after="0" w:line="288" w:lineRule="auto"/>
        <w:ind w:firstLine="720"/>
      </w:pPr>
      <w:r>
        <w:t xml:space="preserve">As promised, Key filed her petition to vacate </w:t>
      </w:r>
      <w:r w:rsidR="00DA2B92">
        <w:t>with</w:t>
      </w:r>
      <w:r>
        <w:t xml:space="preserve"> supporting documents on January 27</w:t>
      </w:r>
      <w:r w:rsidR="00DA2B92">
        <w:t>, 2020</w:t>
      </w:r>
      <w:r w:rsidR="00154EFA">
        <w:t xml:space="preserve"> (130 days after service of the modified arbitration award).  </w:t>
      </w:r>
      <w:r w:rsidR="00DE65D5">
        <w:t xml:space="preserve">On February 5, </w:t>
      </w:r>
      <w:r w:rsidR="00A14A14">
        <w:t>2020</w:t>
      </w:r>
      <w:r w:rsidR="000910EF">
        <w:t>,</w:t>
      </w:r>
      <w:r w:rsidR="00A14A14">
        <w:t xml:space="preserve"> Key filed her response to LFG’s petition to confirm.  Key’s response also requested that the </w:t>
      </w:r>
      <w:r w:rsidR="00D85346">
        <w:t>arbitration award be vacated.</w:t>
      </w:r>
    </w:p>
    <w:p w14:paraId="499A92AA" w14:textId="24912BB8" w:rsidR="004C1415" w:rsidRDefault="004D7594" w:rsidP="00A52283">
      <w:pPr>
        <w:spacing w:after="0" w:line="288" w:lineRule="auto"/>
        <w:ind w:firstLine="720"/>
      </w:pPr>
      <w:r>
        <w:t xml:space="preserve">Both Key’s petition to vacate and her response to </w:t>
      </w:r>
      <w:r w:rsidR="00131035">
        <w:t xml:space="preserve">LFG’s petition to confirm argued that </w:t>
      </w:r>
      <w:r w:rsidR="00AA28AA">
        <w:t xml:space="preserve">the arbitrators exceeded their </w:t>
      </w:r>
      <w:r w:rsidR="00AA28AA">
        <w:lastRenderedPageBreak/>
        <w:t>powers by finding that the loan from LFG was a consumer loan</w:t>
      </w:r>
      <w:r w:rsidR="0082306C">
        <w:t xml:space="preserve"> </w:t>
      </w:r>
      <w:r w:rsidR="00362191">
        <w:t>while</w:t>
      </w:r>
      <w:r w:rsidR="0082306C">
        <w:t xml:space="preserve"> failing to void the loan (or at least cancel all interest and other charges) under </w:t>
      </w:r>
      <w:r w:rsidR="008747A3">
        <w:t xml:space="preserve">Financial Code sections </w:t>
      </w:r>
      <w:r w:rsidR="00727375">
        <w:t>22750</w:t>
      </w:r>
      <w:r w:rsidR="000910EF">
        <w:t>–</w:t>
      </w:r>
      <w:r w:rsidR="00727375">
        <w:t>22752.</w:t>
      </w:r>
    </w:p>
    <w:p w14:paraId="7D2CB7E6" w14:textId="4131F369" w:rsidR="004C1415" w:rsidRPr="004C1415" w:rsidRDefault="004D7594" w:rsidP="00A52283">
      <w:pPr>
        <w:keepNext/>
        <w:spacing w:after="0" w:line="288" w:lineRule="auto"/>
        <w:ind w:left="720" w:right="720" w:hanging="720"/>
        <w:outlineLvl w:val="0"/>
        <w:rPr>
          <w:b/>
          <w:bCs/>
        </w:rPr>
      </w:pPr>
      <w:r>
        <w:rPr>
          <w:b/>
          <w:bCs/>
        </w:rPr>
        <w:t>4.</w:t>
      </w:r>
      <w:r>
        <w:rPr>
          <w:b/>
          <w:bCs/>
        </w:rPr>
        <w:tab/>
        <w:t>The Trial Court’s Ruling</w:t>
      </w:r>
    </w:p>
    <w:p w14:paraId="5B34AF0D" w14:textId="0290CAAC" w:rsidR="004C1415" w:rsidRDefault="004D7594" w:rsidP="00A52283">
      <w:pPr>
        <w:spacing w:after="0" w:line="288" w:lineRule="auto"/>
        <w:ind w:firstLine="720"/>
      </w:pPr>
      <w:r>
        <w:t>In a written order, t</w:t>
      </w:r>
      <w:r w:rsidR="00017BC2">
        <w:t>he trial court ruled that Key’s petition to vacate was untimely under</w:t>
      </w:r>
      <w:r w:rsidR="00694131">
        <w:t xml:space="preserve"> the 100-day deadline of</w:t>
      </w:r>
      <w:r w:rsidR="00017BC2">
        <w:t xml:space="preserve"> section 1288</w:t>
      </w:r>
      <w:r w:rsidR="00ED6A49">
        <w:t xml:space="preserve">, which the court </w:t>
      </w:r>
      <w:r w:rsidR="00694131">
        <w:t>concluded was jurisdictional</w:t>
      </w:r>
      <w:r w:rsidR="00017BC2">
        <w:t>.</w:t>
      </w:r>
      <w:r w:rsidR="00694131">
        <w:t xml:space="preserve"> </w:t>
      </w:r>
      <w:r w:rsidR="00017BC2">
        <w:t xml:space="preserve"> However, the court also ruled that Key</w:t>
      </w:r>
      <w:r w:rsidR="005C0877">
        <w:t xml:space="preserve">’s request to vacate in her opposition to LFG’s petition was timely because it </w:t>
      </w:r>
      <w:r w:rsidR="00CC018E">
        <w:t xml:space="preserve">complied with </w:t>
      </w:r>
      <w:r w:rsidR="002D3403">
        <w:t xml:space="preserve">the time period to respond to petitions to confirm </w:t>
      </w:r>
      <w:r w:rsidR="00E53A19">
        <w:t xml:space="preserve">specified in </w:t>
      </w:r>
      <w:r w:rsidR="00CC018E">
        <w:t xml:space="preserve">section 1290.6.  </w:t>
      </w:r>
      <w:r w:rsidR="00941A1E">
        <w:t>The court further found that, “[i]f there is a need to extend the time to the actual filing date to enable the court to decide the petition on its merits, the court finds good cause to grant such an extension.”</w:t>
      </w:r>
      <w:r>
        <w:t xml:space="preserve">  The trial court’s order did not mention section 1288.2.</w:t>
      </w:r>
    </w:p>
    <w:p w14:paraId="1A925680" w14:textId="07BBE973" w:rsidR="00436D5A" w:rsidRPr="000910EF" w:rsidRDefault="004D7594" w:rsidP="00A52283">
      <w:pPr>
        <w:spacing w:after="0" w:line="288" w:lineRule="auto"/>
        <w:ind w:firstLine="720"/>
      </w:pPr>
      <w:r>
        <w:t xml:space="preserve">On the merits, the trial court found that </w:t>
      </w:r>
      <w:r w:rsidR="008430CC">
        <w:t>“the arbitrators exceeded their powers by issuing an award that violates a party’s unwaivable s</w:t>
      </w:r>
      <w:r w:rsidR="001B58A4">
        <w:t xml:space="preserve">tatutory rights or that contravenes an explicit legislative expression of public policy.”  </w:t>
      </w:r>
      <w:r w:rsidR="001602C5">
        <w:t xml:space="preserve">The court cited </w:t>
      </w:r>
      <w:r w:rsidR="00E667D6">
        <w:t>Financial Code section 22750, subdivision (a)</w:t>
      </w:r>
      <w:r w:rsidR="000910EF">
        <w:t>,</w:t>
      </w:r>
      <w:r w:rsidR="00E667D6">
        <w:t xml:space="preserve"> which provides that, “[i]f any amount other than, or in excess of, the charges permitted by this division is willfully charged, contracted for, or received, the contract of loan is void, and no person has any right to collect or receive any principal, charges, or recompense in connection with the transaction.”</w:t>
      </w:r>
    </w:p>
    <w:p w14:paraId="63589A64" w14:textId="77777777" w:rsidR="00C4418B" w:rsidRPr="008B4CF1" w:rsidRDefault="004D7594" w:rsidP="000910EF">
      <w:pPr>
        <w:keepNext/>
        <w:spacing w:after="0" w:line="288" w:lineRule="auto"/>
        <w:jc w:val="center"/>
        <w:outlineLvl w:val="0"/>
        <w:rPr>
          <w:b/>
        </w:rPr>
      </w:pPr>
      <w:r w:rsidRPr="008B4CF1">
        <w:rPr>
          <w:b/>
        </w:rPr>
        <w:lastRenderedPageBreak/>
        <w:t>DISCUSSION</w:t>
      </w:r>
    </w:p>
    <w:p w14:paraId="178F70E4" w14:textId="4B57D371" w:rsidR="00B276A3" w:rsidRPr="006271EC" w:rsidRDefault="004D7594" w:rsidP="00A52283">
      <w:pPr>
        <w:keepNext/>
        <w:spacing w:after="0" w:line="288" w:lineRule="auto"/>
        <w:ind w:left="720" w:right="720" w:hanging="720"/>
        <w:outlineLvl w:val="0"/>
        <w:rPr>
          <w:b/>
        </w:rPr>
      </w:pPr>
      <w:r>
        <w:rPr>
          <w:b/>
        </w:rPr>
        <w:t>1</w:t>
      </w:r>
      <w:r w:rsidR="009542C4" w:rsidRPr="008B4CF1">
        <w:rPr>
          <w:b/>
        </w:rPr>
        <w:t>.</w:t>
      </w:r>
      <w:r w:rsidR="009542C4" w:rsidRPr="008B4CF1">
        <w:rPr>
          <w:b/>
        </w:rPr>
        <w:tab/>
      </w:r>
      <w:r w:rsidR="00BC2061">
        <w:rPr>
          <w:b/>
        </w:rPr>
        <w:t xml:space="preserve">The </w:t>
      </w:r>
      <w:r w:rsidR="004061C6">
        <w:rPr>
          <w:b/>
        </w:rPr>
        <w:t xml:space="preserve">Governing Statutes Require </w:t>
      </w:r>
      <w:r w:rsidR="000910EF">
        <w:rPr>
          <w:b/>
        </w:rPr>
        <w:t>t</w:t>
      </w:r>
      <w:r w:rsidR="004061C6">
        <w:rPr>
          <w:b/>
        </w:rPr>
        <w:t xml:space="preserve">hat a Request to Vacate an Arbitration Award </w:t>
      </w:r>
      <w:r>
        <w:rPr>
          <w:b/>
        </w:rPr>
        <w:t xml:space="preserve">Be </w:t>
      </w:r>
      <w:r w:rsidR="00A2237B">
        <w:rPr>
          <w:b/>
        </w:rPr>
        <w:t>Served and Filed</w:t>
      </w:r>
      <w:r>
        <w:rPr>
          <w:b/>
        </w:rPr>
        <w:t xml:space="preserve"> Within 100 Days of Service of the Award</w:t>
      </w:r>
    </w:p>
    <w:p w14:paraId="18BAC819" w14:textId="434F22B8" w:rsidR="00EE5662" w:rsidRDefault="004D7594" w:rsidP="00A52283">
      <w:pPr>
        <w:spacing w:after="0" w:line="288" w:lineRule="auto"/>
        <w:ind w:firstLine="720"/>
        <w:outlineLvl w:val="0"/>
        <w:rPr>
          <w:szCs w:val="26"/>
        </w:rPr>
      </w:pPr>
      <w:r>
        <w:rPr>
          <w:szCs w:val="26"/>
        </w:rPr>
        <w:t>Section 1288</w:t>
      </w:r>
      <w:r w:rsidR="002C2953">
        <w:rPr>
          <w:szCs w:val="26"/>
        </w:rPr>
        <w:t xml:space="preserve"> governs the timing </w:t>
      </w:r>
      <w:r>
        <w:rPr>
          <w:szCs w:val="26"/>
        </w:rPr>
        <w:t xml:space="preserve">of </w:t>
      </w:r>
      <w:r w:rsidR="00E53A19">
        <w:rPr>
          <w:szCs w:val="26"/>
        </w:rPr>
        <w:t xml:space="preserve">both </w:t>
      </w:r>
      <w:r>
        <w:rPr>
          <w:szCs w:val="26"/>
        </w:rPr>
        <w:t>petitions to confirm and</w:t>
      </w:r>
      <w:r w:rsidR="002C2953">
        <w:rPr>
          <w:szCs w:val="26"/>
        </w:rPr>
        <w:t xml:space="preserve"> </w:t>
      </w:r>
      <w:r w:rsidR="00E53A19">
        <w:rPr>
          <w:szCs w:val="26"/>
        </w:rPr>
        <w:t xml:space="preserve">petitions </w:t>
      </w:r>
      <w:r w:rsidR="002C2953">
        <w:rPr>
          <w:szCs w:val="26"/>
        </w:rPr>
        <w:t>to vacate</w:t>
      </w:r>
      <w:r w:rsidR="005573AC">
        <w:rPr>
          <w:szCs w:val="26"/>
        </w:rPr>
        <w:t xml:space="preserve"> </w:t>
      </w:r>
      <w:r>
        <w:rPr>
          <w:szCs w:val="26"/>
        </w:rPr>
        <w:t>arbitration</w:t>
      </w:r>
      <w:r w:rsidR="005573AC">
        <w:rPr>
          <w:szCs w:val="26"/>
        </w:rPr>
        <w:t xml:space="preserve"> awards</w:t>
      </w:r>
      <w:r w:rsidR="002C2953">
        <w:rPr>
          <w:szCs w:val="26"/>
        </w:rPr>
        <w:t>.</w:t>
      </w:r>
      <w:r w:rsidR="005573AC">
        <w:rPr>
          <w:szCs w:val="26"/>
        </w:rPr>
        <w:t xml:space="preserve">  </w:t>
      </w:r>
      <w:r>
        <w:rPr>
          <w:szCs w:val="26"/>
        </w:rPr>
        <w:t>That section provides that a</w:t>
      </w:r>
      <w:r w:rsidR="00E81727">
        <w:rPr>
          <w:szCs w:val="26"/>
        </w:rPr>
        <w:t xml:space="preserve"> </w:t>
      </w:r>
      <w:r w:rsidR="00C45E6C">
        <w:rPr>
          <w:szCs w:val="26"/>
        </w:rPr>
        <w:t xml:space="preserve">party </w:t>
      </w:r>
      <w:r>
        <w:rPr>
          <w:szCs w:val="26"/>
        </w:rPr>
        <w:t>seeking</w:t>
      </w:r>
      <w:r w:rsidR="00CF6367">
        <w:rPr>
          <w:szCs w:val="26"/>
        </w:rPr>
        <w:t xml:space="preserve"> to confirm an award</w:t>
      </w:r>
      <w:r>
        <w:rPr>
          <w:szCs w:val="26"/>
        </w:rPr>
        <w:t xml:space="preserve"> may file a petition</w:t>
      </w:r>
      <w:r w:rsidR="00CF6367">
        <w:rPr>
          <w:szCs w:val="26"/>
        </w:rPr>
        <w:t xml:space="preserve"> any time</w:t>
      </w:r>
      <w:r w:rsidR="009004F6">
        <w:rPr>
          <w:szCs w:val="26"/>
        </w:rPr>
        <w:t xml:space="preserve"> within four</w:t>
      </w:r>
      <w:r w:rsidR="00C45E6C">
        <w:rPr>
          <w:szCs w:val="26"/>
        </w:rPr>
        <w:t xml:space="preserve"> years after service of the award.  </w:t>
      </w:r>
      <w:r w:rsidR="006526D3">
        <w:rPr>
          <w:szCs w:val="26"/>
        </w:rPr>
        <w:t>However, a</w:t>
      </w:r>
      <w:r w:rsidR="00BF5471">
        <w:rPr>
          <w:szCs w:val="26"/>
        </w:rPr>
        <w:t xml:space="preserve"> party </w:t>
      </w:r>
      <w:r w:rsidR="006526D3">
        <w:rPr>
          <w:szCs w:val="26"/>
        </w:rPr>
        <w:t xml:space="preserve">who wishes to vacate an award </w:t>
      </w:r>
      <w:r w:rsidR="00BF5471">
        <w:rPr>
          <w:szCs w:val="26"/>
        </w:rPr>
        <w:t>must act much more quickly.</w:t>
      </w:r>
      <w:r w:rsidR="00B65CFE">
        <w:rPr>
          <w:szCs w:val="26"/>
        </w:rPr>
        <w:t xml:space="preserve">  “A petition to vacate an award or to correct an award shall be served and filed not later than 100 days after the date of service of a signed copy of the award on the petitioner.”  (</w:t>
      </w:r>
      <w:r w:rsidRPr="00EE5662">
        <w:rPr>
          <w:szCs w:val="26"/>
        </w:rPr>
        <w:t xml:space="preserve">§ </w:t>
      </w:r>
      <w:r>
        <w:rPr>
          <w:szCs w:val="26"/>
        </w:rPr>
        <w:t>1288.)</w:t>
      </w:r>
    </w:p>
    <w:p w14:paraId="7DAFA653" w14:textId="4DF33DE9" w:rsidR="00654469" w:rsidRDefault="004D7594" w:rsidP="00A52283">
      <w:pPr>
        <w:spacing w:after="0" w:line="288" w:lineRule="auto"/>
        <w:ind w:firstLine="720"/>
        <w:outlineLvl w:val="0"/>
        <w:rPr>
          <w:szCs w:val="26"/>
        </w:rPr>
      </w:pPr>
      <w:r>
        <w:rPr>
          <w:szCs w:val="26"/>
        </w:rPr>
        <w:t xml:space="preserve">A request </w:t>
      </w:r>
      <w:r w:rsidR="0094646D">
        <w:rPr>
          <w:szCs w:val="26"/>
        </w:rPr>
        <w:t xml:space="preserve">to vacate an arbitration award may be included in a party’s response to a petition </w:t>
      </w:r>
      <w:r w:rsidR="00E92341">
        <w:rPr>
          <w:szCs w:val="26"/>
        </w:rPr>
        <w:t>to confirm.  (</w:t>
      </w:r>
      <w:r w:rsidR="00E92341" w:rsidRPr="00E92341">
        <w:rPr>
          <w:szCs w:val="26"/>
        </w:rPr>
        <w:t xml:space="preserve">§ </w:t>
      </w:r>
      <w:r w:rsidR="00E92341">
        <w:rPr>
          <w:szCs w:val="26"/>
        </w:rPr>
        <w:t xml:space="preserve">1285.2.)  However, </w:t>
      </w:r>
      <w:r w:rsidR="00720755">
        <w:rPr>
          <w:szCs w:val="26"/>
        </w:rPr>
        <w:t>such a request is also subject to the 100</w:t>
      </w:r>
      <w:r w:rsidR="00B42C63">
        <w:rPr>
          <w:szCs w:val="26"/>
        </w:rPr>
        <w:t>-</w:t>
      </w:r>
      <w:r w:rsidR="00720755">
        <w:rPr>
          <w:szCs w:val="26"/>
        </w:rPr>
        <w:t xml:space="preserve">day rule.  Under section 1288.2, “[a] response requesting that an award be vacated or </w:t>
      </w:r>
      <w:r w:rsidR="00CE1891">
        <w:rPr>
          <w:szCs w:val="26"/>
        </w:rPr>
        <w:t>that an award be corrected shall be served and filed not later than 100 days after the date of service of a signed copy of the award.”</w:t>
      </w:r>
    </w:p>
    <w:p w14:paraId="775C8C19" w14:textId="3EC04A85" w:rsidR="0024751F" w:rsidRDefault="004D7594" w:rsidP="00A52283">
      <w:pPr>
        <w:spacing w:after="0" w:line="288" w:lineRule="auto"/>
        <w:ind w:firstLine="720"/>
        <w:outlineLvl w:val="0"/>
        <w:rPr>
          <w:szCs w:val="26"/>
        </w:rPr>
      </w:pPr>
      <w:r>
        <w:rPr>
          <w:szCs w:val="26"/>
        </w:rPr>
        <w:t>Section</w:t>
      </w:r>
      <w:r w:rsidR="00F07D77">
        <w:rPr>
          <w:szCs w:val="26"/>
        </w:rPr>
        <w:t>s</w:t>
      </w:r>
      <w:r>
        <w:rPr>
          <w:szCs w:val="26"/>
        </w:rPr>
        <w:t xml:space="preserve"> 1288 and 1288.2 appear in </w:t>
      </w:r>
      <w:r w:rsidR="000910EF">
        <w:rPr>
          <w:szCs w:val="26"/>
        </w:rPr>
        <w:t>t</w:t>
      </w:r>
      <w:r w:rsidR="003E448E">
        <w:rPr>
          <w:szCs w:val="26"/>
        </w:rPr>
        <w:t>itle 9 of</w:t>
      </w:r>
      <w:r w:rsidR="00DA04BE">
        <w:rPr>
          <w:szCs w:val="26"/>
        </w:rPr>
        <w:t xml:space="preserve"> the </w:t>
      </w:r>
      <w:r w:rsidR="001252C6">
        <w:rPr>
          <w:szCs w:val="26"/>
        </w:rPr>
        <w:t xml:space="preserve">Code of Civil Procedure </w:t>
      </w:r>
      <w:r w:rsidR="007266E8">
        <w:rPr>
          <w:szCs w:val="26"/>
        </w:rPr>
        <w:t>(which governs</w:t>
      </w:r>
      <w:r w:rsidR="003E448E">
        <w:rPr>
          <w:szCs w:val="26"/>
        </w:rPr>
        <w:t xml:space="preserve"> arbitration</w:t>
      </w:r>
      <w:r w:rsidR="007266E8">
        <w:rPr>
          <w:szCs w:val="26"/>
        </w:rPr>
        <w:t>)</w:t>
      </w:r>
      <w:r w:rsidR="003E448E">
        <w:rPr>
          <w:szCs w:val="26"/>
        </w:rPr>
        <w:t xml:space="preserve"> </w:t>
      </w:r>
      <w:r w:rsidR="001252C6">
        <w:rPr>
          <w:szCs w:val="26"/>
        </w:rPr>
        <w:t xml:space="preserve">under </w:t>
      </w:r>
      <w:r w:rsidR="004068C9">
        <w:rPr>
          <w:szCs w:val="26"/>
        </w:rPr>
        <w:t xml:space="preserve">an article </w:t>
      </w:r>
      <w:r w:rsidR="00DA04BE">
        <w:rPr>
          <w:szCs w:val="26"/>
        </w:rPr>
        <w:t>entitled</w:t>
      </w:r>
      <w:r w:rsidR="000910EF">
        <w:rPr>
          <w:szCs w:val="26"/>
        </w:rPr>
        <w:t>,</w:t>
      </w:r>
      <w:r w:rsidR="00666B6E">
        <w:rPr>
          <w:szCs w:val="26"/>
        </w:rPr>
        <w:t xml:space="preserve"> “Limitations of Time.”  </w:t>
      </w:r>
      <w:r w:rsidR="00BE19B1">
        <w:rPr>
          <w:szCs w:val="26"/>
        </w:rPr>
        <w:t xml:space="preserve">Together, the sections establish a </w:t>
      </w:r>
      <w:r w:rsidR="00EF3FD4">
        <w:rPr>
          <w:szCs w:val="26"/>
        </w:rPr>
        <w:t xml:space="preserve">clear and certain </w:t>
      </w:r>
      <w:r w:rsidR="00523F48">
        <w:rPr>
          <w:szCs w:val="26"/>
        </w:rPr>
        <w:t>100</w:t>
      </w:r>
      <w:r w:rsidR="00010734">
        <w:rPr>
          <w:szCs w:val="26"/>
        </w:rPr>
        <w:t>-</w:t>
      </w:r>
      <w:r w:rsidR="00523F48">
        <w:rPr>
          <w:szCs w:val="26"/>
        </w:rPr>
        <w:t xml:space="preserve">day </w:t>
      </w:r>
      <w:r w:rsidR="00EF3FD4">
        <w:rPr>
          <w:szCs w:val="26"/>
        </w:rPr>
        <w:t xml:space="preserve">deadline </w:t>
      </w:r>
      <w:r w:rsidR="009E3545">
        <w:rPr>
          <w:szCs w:val="26"/>
        </w:rPr>
        <w:t xml:space="preserve">for any request to vacate </w:t>
      </w:r>
      <w:r w:rsidR="00523F48">
        <w:rPr>
          <w:szCs w:val="26"/>
        </w:rPr>
        <w:t>an a</w:t>
      </w:r>
      <w:r w:rsidR="008662B1">
        <w:rPr>
          <w:szCs w:val="26"/>
        </w:rPr>
        <w:t>rbitration award</w:t>
      </w:r>
      <w:r w:rsidR="009E3545">
        <w:rPr>
          <w:szCs w:val="26"/>
        </w:rPr>
        <w:t>.</w:t>
      </w:r>
    </w:p>
    <w:p w14:paraId="126C1022" w14:textId="44CFF7BC" w:rsidR="00697CC3" w:rsidRDefault="004D7594" w:rsidP="00A52283">
      <w:pPr>
        <w:spacing w:after="0" w:line="288" w:lineRule="auto"/>
        <w:ind w:firstLine="720"/>
        <w:outlineLvl w:val="0"/>
        <w:rPr>
          <w:szCs w:val="26"/>
        </w:rPr>
      </w:pPr>
      <w:r>
        <w:rPr>
          <w:szCs w:val="26"/>
        </w:rPr>
        <w:t xml:space="preserve">Title 9 also contains a separate chapter </w:t>
      </w:r>
      <w:r w:rsidR="001A7965">
        <w:rPr>
          <w:szCs w:val="26"/>
        </w:rPr>
        <w:t>entitled</w:t>
      </w:r>
      <w:r w:rsidR="000910EF">
        <w:rPr>
          <w:szCs w:val="26"/>
        </w:rPr>
        <w:t>,</w:t>
      </w:r>
      <w:r w:rsidR="00927ED6">
        <w:rPr>
          <w:szCs w:val="26"/>
        </w:rPr>
        <w:t xml:space="preserve"> “General Provisions </w:t>
      </w:r>
      <w:r w:rsidR="006A157F">
        <w:rPr>
          <w:szCs w:val="26"/>
        </w:rPr>
        <w:t xml:space="preserve">Relating to Judicial Proceedings,” which, among other things, addresses </w:t>
      </w:r>
      <w:r w:rsidR="004E6573">
        <w:rPr>
          <w:szCs w:val="26"/>
        </w:rPr>
        <w:t xml:space="preserve">the procedures applicable to petitions and responses.  </w:t>
      </w:r>
      <w:r w:rsidR="001A7965">
        <w:rPr>
          <w:szCs w:val="26"/>
        </w:rPr>
        <w:t xml:space="preserve">Section 1290.6 in that chapter </w:t>
      </w:r>
      <w:r w:rsidR="00D1579E">
        <w:rPr>
          <w:szCs w:val="26"/>
        </w:rPr>
        <w:t xml:space="preserve">provides that </w:t>
      </w:r>
      <w:r w:rsidR="004A2DB3">
        <w:rPr>
          <w:szCs w:val="26"/>
        </w:rPr>
        <w:t>a response to a petition must be served and filed “within 10 days after service of the petition”</w:t>
      </w:r>
      <w:r w:rsidR="00F07D77">
        <w:rPr>
          <w:szCs w:val="26"/>
        </w:rPr>
        <w:t xml:space="preserve"> (or within 30 days if the petition is </w:t>
      </w:r>
      <w:r w:rsidR="00F07D77">
        <w:rPr>
          <w:szCs w:val="26"/>
        </w:rPr>
        <w:lastRenderedPageBreak/>
        <w:t>served by mail outside the state).</w:t>
      </w:r>
      <w:r w:rsidR="004A2DB3">
        <w:rPr>
          <w:szCs w:val="26"/>
        </w:rPr>
        <w:t xml:space="preserve">  </w:t>
      </w:r>
      <w:r w:rsidR="00B63981">
        <w:rPr>
          <w:szCs w:val="26"/>
        </w:rPr>
        <w:t>It also provides that the “time provided in this section for serving and filing a response may be extended by an agreement in writing between the parties to the court proceeding or, for good cause, by order of the court.”</w:t>
      </w:r>
    </w:p>
    <w:p w14:paraId="2E3426A4" w14:textId="2CDD4A8E" w:rsidR="00DA4E9C" w:rsidRDefault="004D7594" w:rsidP="00A52283">
      <w:pPr>
        <w:spacing w:after="0" w:line="288" w:lineRule="auto"/>
        <w:ind w:firstLine="720"/>
        <w:outlineLvl w:val="0"/>
        <w:rPr>
          <w:szCs w:val="26"/>
        </w:rPr>
      </w:pPr>
      <w:r>
        <w:rPr>
          <w:szCs w:val="26"/>
        </w:rPr>
        <w:t xml:space="preserve">Key argues that when, as here, a petition to confirm </w:t>
      </w:r>
      <w:r w:rsidR="000E1A09">
        <w:rPr>
          <w:szCs w:val="26"/>
        </w:rPr>
        <w:t xml:space="preserve">an arbitration award is filed within 100 days of service of the award, the time </w:t>
      </w:r>
      <w:r w:rsidR="004927AF">
        <w:rPr>
          <w:szCs w:val="26"/>
        </w:rPr>
        <w:t xml:space="preserve">limit </w:t>
      </w:r>
      <w:r w:rsidR="000E1A09">
        <w:rPr>
          <w:szCs w:val="26"/>
        </w:rPr>
        <w:t xml:space="preserve">for filing a response </w:t>
      </w:r>
      <w:r w:rsidR="00F65F88">
        <w:rPr>
          <w:szCs w:val="26"/>
        </w:rPr>
        <w:t xml:space="preserve">to the petition </w:t>
      </w:r>
      <w:r w:rsidR="004927AF">
        <w:rPr>
          <w:szCs w:val="26"/>
        </w:rPr>
        <w:t xml:space="preserve">requesting that the award be vacated is governed by section 1290.6 rather than by section </w:t>
      </w:r>
      <w:r w:rsidR="00F65F88">
        <w:rPr>
          <w:szCs w:val="26"/>
        </w:rPr>
        <w:t xml:space="preserve">1288.2.  </w:t>
      </w:r>
      <w:r w:rsidR="00662736">
        <w:rPr>
          <w:szCs w:val="26"/>
        </w:rPr>
        <w:t>Thus, according to Key</w:t>
      </w:r>
      <w:r w:rsidR="00DA0F7D">
        <w:rPr>
          <w:szCs w:val="26"/>
        </w:rPr>
        <w:t>, if a petition to confirm is filed with</w:t>
      </w:r>
      <w:r w:rsidR="00A07618">
        <w:rPr>
          <w:szCs w:val="26"/>
        </w:rPr>
        <w:t xml:space="preserve">in 100 days of service of the arbitration award, a request to vacate the award is timely if </w:t>
      </w:r>
      <w:r w:rsidR="006A3860">
        <w:rPr>
          <w:szCs w:val="26"/>
        </w:rPr>
        <w:t xml:space="preserve">it complies with </w:t>
      </w:r>
      <w:r w:rsidR="00E31EC4">
        <w:rPr>
          <w:szCs w:val="26"/>
        </w:rPr>
        <w:t xml:space="preserve">the </w:t>
      </w:r>
      <w:r w:rsidR="000910EF">
        <w:rPr>
          <w:szCs w:val="26"/>
        </w:rPr>
        <w:t>10</w:t>
      </w:r>
      <w:r w:rsidR="00010734">
        <w:rPr>
          <w:szCs w:val="26"/>
        </w:rPr>
        <w:t>-</w:t>
      </w:r>
      <w:r w:rsidR="00E31EC4">
        <w:rPr>
          <w:szCs w:val="26"/>
        </w:rPr>
        <w:t xml:space="preserve">day requirement of </w:t>
      </w:r>
      <w:r w:rsidR="006A3860">
        <w:rPr>
          <w:szCs w:val="26"/>
        </w:rPr>
        <w:t>section 1290.6</w:t>
      </w:r>
      <w:r w:rsidR="00E31EC4">
        <w:rPr>
          <w:szCs w:val="26"/>
        </w:rPr>
        <w:t xml:space="preserve"> (a</w:t>
      </w:r>
      <w:r w:rsidR="002F1937">
        <w:rPr>
          <w:szCs w:val="26"/>
        </w:rPr>
        <w:t>s modified by</w:t>
      </w:r>
      <w:r w:rsidR="00E31EC4">
        <w:rPr>
          <w:szCs w:val="26"/>
        </w:rPr>
        <w:t xml:space="preserve"> any </w:t>
      </w:r>
      <w:r w:rsidR="005E0714">
        <w:rPr>
          <w:szCs w:val="26"/>
        </w:rPr>
        <w:t>extensions)</w:t>
      </w:r>
      <w:r w:rsidR="006A3860">
        <w:rPr>
          <w:szCs w:val="26"/>
        </w:rPr>
        <w:t xml:space="preserve">, even if the request to vacate is filed more than 100 days after </w:t>
      </w:r>
      <w:r w:rsidR="002F1937">
        <w:rPr>
          <w:szCs w:val="26"/>
        </w:rPr>
        <w:t>service of the arbitration award.</w:t>
      </w:r>
    </w:p>
    <w:p w14:paraId="7FD93E3A" w14:textId="25A544BD" w:rsidR="000910EF" w:rsidRDefault="004D7594" w:rsidP="00A52283">
      <w:pPr>
        <w:spacing w:after="0" w:line="288" w:lineRule="auto"/>
        <w:ind w:firstLine="720"/>
        <w:outlineLvl w:val="0"/>
        <w:rPr>
          <w:szCs w:val="26"/>
        </w:rPr>
      </w:pPr>
      <w:r>
        <w:rPr>
          <w:szCs w:val="26"/>
        </w:rPr>
        <w:t>T</w:t>
      </w:r>
      <w:r w:rsidR="00024BCC">
        <w:rPr>
          <w:szCs w:val="26"/>
        </w:rPr>
        <w:t>his</w:t>
      </w:r>
      <w:r w:rsidR="009607CA">
        <w:rPr>
          <w:szCs w:val="26"/>
        </w:rPr>
        <w:t xml:space="preserve"> </w:t>
      </w:r>
      <w:r w:rsidR="00875E55">
        <w:rPr>
          <w:szCs w:val="26"/>
        </w:rPr>
        <w:t xml:space="preserve">argument </w:t>
      </w:r>
      <w:r>
        <w:rPr>
          <w:szCs w:val="26"/>
        </w:rPr>
        <w:t>requires us to interpret</w:t>
      </w:r>
      <w:r w:rsidR="007B12BD">
        <w:rPr>
          <w:szCs w:val="26"/>
        </w:rPr>
        <w:t xml:space="preserve"> the </w:t>
      </w:r>
      <w:r w:rsidR="00F60A36">
        <w:rPr>
          <w:szCs w:val="26"/>
        </w:rPr>
        <w:t xml:space="preserve">governing statutes.  </w:t>
      </w:r>
      <w:r w:rsidR="002948D9">
        <w:rPr>
          <w:szCs w:val="26"/>
        </w:rPr>
        <w:t>We therefore</w:t>
      </w:r>
      <w:r w:rsidR="005D16D1">
        <w:rPr>
          <w:szCs w:val="26"/>
        </w:rPr>
        <w:t xml:space="preserve"> review </w:t>
      </w:r>
      <w:r w:rsidR="002948D9">
        <w:rPr>
          <w:szCs w:val="26"/>
        </w:rPr>
        <w:t>the issue</w:t>
      </w:r>
      <w:r w:rsidR="005D16D1">
        <w:rPr>
          <w:szCs w:val="26"/>
        </w:rPr>
        <w:t xml:space="preserve"> de novo.  (</w:t>
      </w:r>
      <w:r w:rsidR="008B6D19">
        <w:rPr>
          <w:i/>
          <w:iCs/>
          <w:szCs w:val="26"/>
        </w:rPr>
        <w:t>Apple</w:t>
      </w:r>
      <w:r w:rsidR="00355E9F">
        <w:rPr>
          <w:i/>
          <w:iCs/>
          <w:szCs w:val="26"/>
        </w:rPr>
        <w:t>, Inc.</w:t>
      </w:r>
      <w:r w:rsidR="008B6D19">
        <w:rPr>
          <w:i/>
          <w:iCs/>
          <w:szCs w:val="26"/>
        </w:rPr>
        <w:t xml:space="preserve"> v. Superior Court </w:t>
      </w:r>
      <w:r w:rsidR="008B6D19">
        <w:rPr>
          <w:szCs w:val="26"/>
        </w:rPr>
        <w:t>(2013) 56 Cal.4th 128, 135 (</w:t>
      </w:r>
      <w:r w:rsidR="008B6D19">
        <w:rPr>
          <w:i/>
          <w:iCs/>
          <w:szCs w:val="26"/>
        </w:rPr>
        <w:t>Apple</w:t>
      </w:r>
      <w:r w:rsidR="008B6D19">
        <w:rPr>
          <w:szCs w:val="26"/>
        </w:rPr>
        <w:t>)</w:t>
      </w:r>
      <w:r w:rsidR="005D16D1">
        <w:rPr>
          <w:szCs w:val="26"/>
        </w:rPr>
        <w:t xml:space="preserve">; </w:t>
      </w:r>
      <w:r w:rsidR="005D16D1">
        <w:rPr>
          <w:i/>
          <w:iCs/>
          <w:szCs w:val="26"/>
        </w:rPr>
        <w:t xml:space="preserve">Santa Monica, supra, </w:t>
      </w:r>
      <w:r w:rsidR="005D16D1">
        <w:rPr>
          <w:szCs w:val="26"/>
        </w:rPr>
        <w:t>243 Cal.App.4th at p. 544.)</w:t>
      </w:r>
    </w:p>
    <w:p w14:paraId="4C473392" w14:textId="617F9818" w:rsidR="00474AF4" w:rsidRDefault="004D7594" w:rsidP="00A52283">
      <w:pPr>
        <w:spacing w:after="0" w:line="288" w:lineRule="auto"/>
        <w:ind w:firstLine="720"/>
        <w:outlineLvl w:val="0"/>
        <w:rPr>
          <w:szCs w:val="26"/>
        </w:rPr>
      </w:pPr>
      <w:r>
        <w:rPr>
          <w:szCs w:val="26"/>
        </w:rPr>
        <w:t xml:space="preserve">In </w:t>
      </w:r>
      <w:r w:rsidR="0092075E">
        <w:rPr>
          <w:szCs w:val="26"/>
        </w:rPr>
        <w:t>analyzing the statutes</w:t>
      </w:r>
      <w:r>
        <w:rPr>
          <w:szCs w:val="26"/>
        </w:rPr>
        <w:t>, we are guided by well-known principles.</w:t>
      </w:r>
      <w:r w:rsidR="00AB2825">
        <w:rPr>
          <w:szCs w:val="26"/>
        </w:rPr>
        <w:t xml:space="preserve">  </w:t>
      </w:r>
      <w:r w:rsidR="00303334">
        <w:rPr>
          <w:szCs w:val="26"/>
        </w:rPr>
        <w:t>Our analysis</w:t>
      </w:r>
      <w:r>
        <w:rPr>
          <w:szCs w:val="26"/>
        </w:rPr>
        <w:t xml:space="preserve"> start</w:t>
      </w:r>
      <w:r w:rsidR="00303334">
        <w:rPr>
          <w:szCs w:val="26"/>
        </w:rPr>
        <w:t>s</w:t>
      </w:r>
      <w:r>
        <w:rPr>
          <w:szCs w:val="26"/>
        </w:rPr>
        <w:t xml:space="preserve"> with the language of the statutes, </w:t>
      </w:r>
      <w:r w:rsidR="00074C12">
        <w:rPr>
          <w:szCs w:val="26"/>
        </w:rPr>
        <w:t>giving t</w:t>
      </w:r>
      <w:r w:rsidR="00872A6D">
        <w:rPr>
          <w:szCs w:val="26"/>
        </w:rPr>
        <w:t>he words their usual and ordinary meaning</w:t>
      </w:r>
      <w:r w:rsidR="001B209E">
        <w:rPr>
          <w:szCs w:val="26"/>
        </w:rPr>
        <w:t>.  (</w:t>
      </w:r>
      <w:r w:rsidR="001B209E">
        <w:rPr>
          <w:i/>
          <w:iCs/>
          <w:szCs w:val="26"/>
        </w:rPr>
        <w:t>Apple</w:t>
      </w:r>
      <w:r w:rsidR="008B6D19">
        <w:rPr>
          <w:i/>
          <w:iCs/>
          <w:szCs w:val="26"/>
        </w:rPr>
        <w:t xml:space="preserve">, supra, </w:t>
      </w:r>
      <w:r w:rsidR="001B209E">
        <w:rPr>
          <w:szCs w:val="26"/>
        </w:rPr>
        <w:t xml:space="preserve">56 Cal.4th </w:t>
      </w:r>
      <w:r w:rsidR="008B6D19">
        <w:rPr>
          <w:szCs w:val="26"/>
        </w:rPr>
        <w:t xml:space="preserve">at p. </w:t>
      </w:r>
      <w:r w:rsidR="00D946C3">
        <w:rPr>
          <w:szCs w:val="26"/>
        </w:rPr>
        <w:t xml:space="preserve">135.)  </w:t>
      </w:r>
      <w:r w:rsidR="00303334">
        <w:rPr>
          <w:szCs w:val="26"/>
        </w:rPr>
        <w:t>If statutory language is not ambiguous, “we presume the lawmakers meant what they said, and the plain meaning of the language governs.”  (</w:t>
      </w:r>
      <w:r w:rsidR="00303334">
        <w:rPr>
          <w:i/>
          <w:iCs/>
          <w:szCs w:val="26"/>
        </w:rPr>
        <w:t xml:space="preserve">Day v. City of Fontana </w:t>
      </w:r>
      <w:r w:rsidR="00303334">
        <w:rPr>
          <w:szCs w:val="26"/>
        </w:rPr>
        <w:t>(2001) 25 Cal.4th 268, 272</w:t>
      </w:r>
      <w:r w:rsidR="000910EF">
        <w:rPr>
          <w:szCs w:val="26"/>
        </w:rPr>
        <w:t>.</w:t>
      </w:r>
      <w:r w:rsidR="00303334">
        <w:rPr>
          <w:szCs w:val="26"/>
        </w:rPr>
        <w:t xml:space="preserve">)  </w:t>
      </w:r>
      <w:r w:rsidR="003D2467">
        <w:rPr>
          <w:szCs w:val="26"/>
        </w:rPr>
        <w:t>T</w:t>
      </w:r>
      <w:r w:rsidR="00991D42">
        <w:rPr>
          <w:szCs w:val="26"/>
        </w:rPr>
        <w:t xml:space="preserve">he words </w:t>
      </w:r>
      <w:r w:rsidR="003D2467">
        <w:rPr>
          <w:szCs w:val="26"/>
        </w:rPr>
        <w:t xml:space="preserve">of a statute </w:t>
      </w:r>
      <w:r w:rsidR="00991D42">
        <w:rPr>
          <w:szCs w:val="26"/>
        </w:rPr>
        <w:t>are “construed in context, and provisions relating to the same subject matter must be harmonized to the extent possible.”  (</w:t>
      </w:r>
      <w:r w:rsidR="00991D42">
        <w:rPr>
          <w:i/>
          <w:iCs/>
          <w:szCs w:val="26"/>
        </w:rPr>
        <w:t>Lungren v. D</w:t>
      </w:r>
      <w:r w:rsidR="008858DE">
        <w:rPr>
          <w:i/>
          <w:iCs/>
          <w:szCs w:val="26"/>
        </w:rPr>
        <w:t xml:space="preserve">eukmejian </w:t>
      </w:r>
      <w:r w:rsidR="008858DE">
        <w:rPr>
          <w:szCs w:val="26"/>
        </w:rPr>
        <w:t xml:space="preserve">(1988) 45 Cal.3d 727, 735.)  </w:t>
      </w:r>
      <w:r w:rsidR="00D1386B">
        <w:rPr>
          <w:szCs w:val="26"/>
        </w:rPr>
        <w:t xml:space="preserve">“It is a basic canon of statutory construction that statutes in pari materia should be construed together so that all parts of the statutory scheme are </w:t>
      </w:r>
      <w:r w:rsidR="00D1386B">
        <w:rPr>
          <w:szCs w:val="26"/>
        </w:rPr>
        <w:lastRenderedPageBreak/>
        <w:t>given effect.”  (</w:t>
      </w:r>
      <w:r w:rsidR="00D1386B">
        <w:rPr>
          <w:i/>
          <w:iCs/>
          <w:szCs w:val="26"/>
        </w:rPr>
        <w:t>Le</w:t>
      </w:r>
      <w:r w:rsidR="00355E9F">
        <w:rPr>
          <w:i/>
          <w:iCs/>
          <w:szCs w:val="26"/>
        </w:rPr>
        <w:t>x</w:t>
      </w:r>
      <w:r w:rsidR="00D1386B">
        <w:rPr>
          <w:i/>
          <w:iCs/>
          <w:szCs w:val="26"/>
        </w:rPr>
        <w:t xml:space="preserve">in v. Superior Court </w:t>
      </w:r>
      <w:r w:rsidR="00D1386B">
        <w:rPr>
          <w:szCs w:val="26"/>
        </w:rPr>
        <w:t xml:space="preserve">(2010) 47 Cal.4th 1050, </w:t>
      </w:r>
      <w:r w:rsidR="000E4316">
        <w:rPr>
          <w:szCs w:val="26"/>
        </w:rPr>
        <w:t>1090</w:t>
      </w:r>
      <w:r w:rsidR="000910EF">
        <w:rPr>
          <w:szCs w:val="26"/>
        </w:rPr>
        <w:t>–</w:t>
      </w:r>
      <w:r w:rsidR="000E4316">
        <w:rPr>
          <w:szCs w:val="26"/>
        </w:rPr>
        <w:t>1091.)</w:t>
      </w:r>
    </w:p>
    <w:p w14:paraId="5D62816F" w14:textId="273F452F" w:rsidR="00761157" w:rsidRDefault="004D7594" w:rsidP="00A52283">
      <w:pPr>
        <w:spacing w:after="0" w:line="288" w:lineRule="auto"/>
        <w:ind w:firstLine="720"/>
        <w:outlineLvl w:val="0"/>
        <w:rPr>
          <w:szCs w:val="26"/>
        </w:rPr>
      </w:pPr>
      <w:r>
        <w:rPr>
          <w:szCs w:val="26"/>
        </w:rPr>
        <w:t xml:space="preserve">Key’s </w:t>
      </w:r>
      <w:r w:rsidR="002F1937">
        <w:rPr>
          <w:szCs w:val="26"/>
        </w:rPr>
        <w:t xml:space="preserve">interpretation </w:t>
      </w:r>
      <w:r w:rsidR="00932B0D">
        <w:rPr>
          <w:szCs w:val="26"/>
        </w:rPr>
        <w:t xml:space="preserve">of the governing statutes </w:t>
      </w:r>
      <w:r w:rsidR="00C823FE">
        <w:rPr>
          <w:szCs w:val="26"/>
        </w:rPr>
        <w:t>founders on these principles.</w:t>
      </w:r>
    </w:p>
    <w:p w14:paraId="2E049FC8" w14:textId="02CE4DCC" w:rsidR="008A06A4" w:rsidRDefault="004D7594" w:rsidP="00A52283">
      <w:pPr>
        <w:spacing w:after="0" w:line="288" w:lineRule="auto"/>
        <w:ind w:firstLine="720"/>
        <w:outlineLvl w:val="0"/>
        <w:rPr>
          <w:szCs w:val="26"/>
        </w:rPr>
      </w:pPr>
      <w:r>
        <w:rPr>
          <w:szCs w:val="26"/>
        </w:rPr>
        <w:t xml:space="preserve">Key’s claim that a </w:t>
      </w:r>
      <w:r w:rsidR="00421656">
        <w:rPr>
          <w:szCs w:val="26"/>
        </w:rPr>
        <w:t xml:space="preserve">request to vacate an arbitration award may be filed more than 100 days after </w:t>
      </w:r>
      <w:r w:rsidR="0064584E">
        <w:rPr>
          <w:szCs w:val="26"/>
        </w:rPr>
        <w:t xml:space="preserve">service of </w:t>
      </w:r>
      <w:r w:rsidR="00421656">
        <w:rPr>
          <w:szCs w:val="26"/>
        </w:rPr>
        <w:t xml:space="preserve">the award </w:t>
      </w:r>
      <w:r w:rsidR="0064584E">
        <w:rPr>
          <w:szCs w:val="26"/>
        </w:rPr>
        <w:t>contradicts</w:t>
      </w:r>
      <w:r>
        <w:rPr>
          <w:szCs w:val="26"/>
        </w:rPr>
        <w:t xml:space="preserve"> </w:t>
      </w:r>
      <w:r w:rsidR="002F1937">
        <w:rPr>
          <w:szCs w:val="26"/>
        </w:rPr>
        <w:t xml:space="preserve">the </w:t>
      </w:r>
      <w:r w:rsidR="00B55536">
        <w:rPr>
          <w:szCs w:val="26"/>
        </w:rPr>
        <w:t xml:space="preserve">plain language of section </w:t>
      </w:r>
      <w:r w:rsidR="0057296D">
        <w:rPr>
          <w:szCs w:val="26"/>
        </w:rPr>
        <w:t xml:space="preserve">1288.2.  </w:t>
      </w:r>
      <w:r w:rsidR="00834CF0">
        <w:rPr>
          <w:szCs w:val="26"/>
        </w:rPr>
        <w:t xml:space="preserve">That section </w:t>
      </w:r>
      <w:r w:rsidR="00761157">
        <w:rPr>
          <w:szCs w:val="26"/>
        </w:rPr>
        <w:t xml:space="preserve">states </w:t>
      </w:r>
      <w:r w:rsidR="002E59FB">
        <w:rPr>
          <w:szCs w:val="26"/>
        </w:rPr>
        <w:t>categorically</w:t>
      </w:r>
      <w:r w:rsidR="00761157">
        <w:rPr>
          <w:szCs w:val="26"/>
        </w:rPr>
        <w:t xml:space="preserve"> that </w:t>
      </w:r>
      <w:r w:rsidR="0031777A">
        <w:rPr>
          <w:szCs w:val="26"/>
        </w:rPr>
        <w:t xml:space="preserve">a response </w:t>
      </w:r>
      <w:r w:rsidR="00AE3414">
        <w:rPr>
          <w:szCs w:val="26"/>
        </w:rPr>
        <w:t xml:space="preserve">requesting that an award be vacated </w:t>
      </w:r>
      <w:r w:rsidR="002E59FB">
        <w:rPr>
          <w:szCs w:val="26"/>
        </w:rPr>
        <w:t>“</w:t>
      </w:r>
      <w:r w:rsidR="002E59FB" w:rsidRPr="00D3594F">
        <w:rPr>
          <w:i/>
          <w:iCs/>
          <w:szCs w:val="26"/>
        </w:rPr>
        <w:t>shall be</w:t>
      </w:r>
      <w:r w:rsidR="002E59FB">
        <w:rPr>
          <w:szCs w:val="26"/>
        </w:rPr>
        <w:t>” filed and served “not later than 100 days” after service of the award</w:t>
      </w:r>
      <w:r w:rsidR="00F435AD">
        <w:rPr>
          <w:szCs w:val="26"/>
        </w:rPr>
        <w:t xml:space="preserve">.  </w:t>
      </w:r>
      <w:r w:rsidR="00D3594F">
        <w:rPr>
          <w:szCs w:val="26"/>
        </w:rPr>
        <w:t xml:space="preserve">(§ </w:t>
      </w:r>
      <w:r w:rsidR="00335812">
        <w:rPr>
          <w:szCs w:val="26"/>
        </w:rPr>
        <w:t xml:space="preserve">1288.2, italics added.) </w:t>
      </w:r>
      <w:r w:rsidR="00D3594F">
        <w:rPr>
          <w:szCs w:val="26"/>
        </w:rPr>
        <w:t xml:space="preserve"> </w:t>
      </w:r>
      <w:r w:rsidR="00F435AD">
        <w:rPr>
          <w:szCs w:val="26"/>
        </w:rPr>
        <w:t xml:space="preserve">Key’s interpretation </w:t>
      </w:r>
      <w:r w:rsidR="006F7FA5">
        <w:rPr>
          <w:szCs w:val="26"/>
        </w:rPr>
        <w:t xml:space="preserve">would require </w:t>
      </w:r>
      <w:r w:rsidR="00B728DE">
        <w:rPr>
          <w:szCs w:val="26"/>
        </w:rPr>
        <w:t xml:space="preserve">reading </w:t>
      </w:r>
      <w:r w:rsidR="00A61D3C">
        <w:rPr>
          <w:szCs w:val="26"/>
        </w:rPr>
        <w:t xml:space="preserve">an exception into this rule </w:t>
      </w:r>
      <w:r w:rsidR="0041518C">
        <w:rPr>
          <w:szCs w:val="26"/>
        </w:rPr>
        <w:t xml:space="preserve">that applies </w:t>
      </w:r>
      <w:r w:rsidR="00A61D3C">
        <w:rPr>
          <w:szCs w:val="26"/>
        </w:rPr>
        <w:t xml:space="preserve">when </w:t>
      </w:r>
      <w:r w:rsidR="00B728DE">
        <w:rPr>
          <w:szCs w:val="26"/>
        </w:rPr>
        <w:t xml:space="preserve">a petition to confirm is filed </w:t>
      </w:r>
      <w:r w:rsidR="00E4053C">
        <w:rPr>
          <w:szCs w:val="26"/>
        </w:rPr>
        <w:t xml:space="preserve">within </w:t>
      </w:r>
      <w:r w:rsidR="00B728DE">
        <w:rPr>
          <w:szCs w:val="26"/>
        </w:rPr>
        <w:t>100 days after service of the arbitration award.</w:t>
      </w:r>
      <w:r>
        <w:rPr>
          <w:szCs w:val="26"/>
        </w:rPr>
        <w:t xml:space="preserve">  </w:t>
      </w:r>
      <w:r w:rsidR="00CD0C34">
        <w:rPr>
          <w:szCs w:val="26"/>
        </w:rPr>
        <w:t xml:space="preserve">We decline to </w:t>
      </w:r>
      <w:r w:rsidR="00335812">
        <w:rPr>
          <w:szCs w:val="26"/>
        </w:rPr>
        <w:t>create such an exception that does not exist in the statutory language</w:t>
      </w:r>
      <w:r w:rsidR="00CD0C34">
        <w:rPr>
          <w:szCs w:val="26"/>
        </w:rPr>
        <w:t>.</w:t>
      </w:r>
    </w:p>
    <w:p w14:paraId="04A08FDF" w14:textId="2A52BBE5" w:rsidR="00CD0C34" w:rsidRPr="00CD0C34" w:rsidRDefault="004D7594" w:rsidP="00A52283">
      <w:pPr>
        <w:spacing w:after="0" w:line="288" w:lineRule="auto"/>
        <w:ind w:firstLine="720"/>
        <w:outlineLvl w:val="0"/>
        <w:rPr>
          <w:szCs w:val="26"/>
        </w:rPr>
      </w:pPr>
      <w:r>
        <w:rPr>
          <w:szCs w:val="26"/>
        </w:rPr>
        <w:t xml:space="preserve">In </w:t>
      </w:r>
      <w:r>
        <w:rPr>
          <w:i/>
          <w:iCs/>
          <w:szCs w:val="26"/>
        </w:rPr>
        <w:t xml:space="preserve">Douglass, </w:t>
      </w:r>
      <w:r>
        <w:rPr>
          <w:szCs w:val="26"/>
        </w:rPr>
        <w:t xml:space="preserve">this court rejected </w:t>
      </w:r>
      <w:r w:rsidR="00EF1B31">
        <w:rPr>
          <w:szCs w:val="26"/>
        </w:rPr>
        <w:t>the</w:t>
      </w:r>
      <w:r w:rsidR="00621553">
        <w:rPr>
          <w:szCs w:val="26"/>
        </w:rPr>
        <w:t xml:space="preserve"> argument that </w:t>
      </w:r>
      <w:r w:rsidR="00FD2D0B">
        <w:rPr>
          <w:szCs w:val="26"/>
        </w:rPr>
        <w:t xml:space="preserve">a response requesting vacation of an arbitration award </w:t>
      </w:r>
      <w:r w:rsidR="004B01DB">
        <w:rPr>
          <w:szCs w:val="26"/>
        </w:rPr>
        <w:t>filed</w:t>
      </w:r>
      <w:r w:rsidR="00A018F4">
        <w:rPr>
          <w:szCs w:val="26"/>
        </w:rPr>
        <w:t xml:space="preserve"> after the 100-day period </w:t>
      </w:r>
      <w:r w:rsidR="00831A88">
        <w:rPr>
          <w:szCs w:val="26"/>
        </w:rPr>
        <w:t xml:space="preserve">has expired </w:t>
      </w:r>
      <w:r w:rsidR="00EF1B31">
        <w:rPr>
          <w:szCs w:val="26"/>
        </w:rPr>
        <w:t>is</w:t>
      </w:r>
      <w:r w:rsidR="004B01DB">
        <w:rPr>
          <w:szCs w:val="26"/>
        </w:rPr>
        <w:t xml:space="preserve"> </w:t>
      </w:r>
      <w:r w:rsidR="00831A88">
        <w:rPr>
          <w:szCs w:val="26"/>
        </w:rPr>
        <w:t xml:space="preserve">nevertheless </w:t>
      </w:r>
      <w:r w:rsidR="004B01DB">
        <w:rPr>
          <w:szCs w:val="26"/>
        </w:rPr>
        <w:t xml:space="preserve">timely </w:t>
      </w:r>
      <w:r w:rsidR="00EF1B31">
        <w:rPr>
          <w:szCs w:val="26"/>
        </w:rPr>
        <w:t>if</w:t>
      </w:r>
      <w:r w:rsidR="004B01DB">
        <w:rPr>
          <w:szCs w:val="26"/>
        </w:rPr>
        <w:t xml:space="preserve"> it </w:t>
      </w:r>
      <w:r w:rsidR="00A270EE">
        <w:rPr>
          <w:szCs w:val="26"/>
        </w:rPr>
        <w:t>complies with the time period for filing a response to a petition</w:t>
      </w:r>
      <w:r w:rsidR="002A491B">
        <w:rPr>
          <w:szCs w:val="26"/>
        </w:rPr>
        <w:t xml:space="preserve">.  </w:t>
      </w:r>
      <w:r w:rsidR="003543E6">
        <w:rPr>
          <w:szCs w:val="26"/>
        </w:rPr>
        <w:t xml:space="preserve">Citing the </w:t>
      </w:r>
      <w:r w:rsidR="006A7A56">
        <w:rPr>
          <w:szCs w:val="26"/>
        </w:rPr>
        <w:t xml:space="preserve">plain language of section 1288.2, we </w:t>
      </w:r>
      <w:r w:rsidR="00643866">
        <w:rPr>
          <w:szCs w:val="26"/>
        </w:rPr>
        <w:t xml:space="preserve">held that a response containing a request to vacate </w:t>
      </w:r>
      <w:r w:rsidR="00F01D26">
        <w:rPr>
          <w:szCs w:val="26"/>
        </w:rPr>
        <w:t>is timely</w:t>
      </w:r>
      <w:r w:rsidR="00355E9F">
        <w:rPr>
          <w:szCs w:val="26"/>
        </w:rPr>
        <w:t xml:space="preserve"> only</w:t>
      </w:r>
      <w:r w:rsidR="00F01D26">
        <w:rPr>
          <w:szCs w:val="26"/>
        </w:rPr>
        <w:t xml:space="preserve"> if it is served and filed not later than 100 days after service of the award.  </w:t>
      </w:r>
      <w:r w:rsidR="00953F2C">
        <w:rPr>
          <w:szCs w:val="26"/>
        </w:rPr>
        <w:t>(</w:t>
      </w:r>
      <w:r w:rsidR="00953F2C">
        <w:rPr>
          <w:i/>
          <w:iCs/>
          <w:szCs w:val="26"/>
        </w:rPr>
        <w:t xml:space="preserve">Douglass, supra, </w:t>
      </w:r>
      <w:r w:rsidR="00953F2C">
        <w:rPr>
          <w:szCs w:val="26"/>
        </w:rPr>
        <w:t>20 Cal.App.5th at p. 385</w:t>
      </w:r>
      <w:r w:rsidR="003A7DF8">
        <w:rPr>
          <w:szCs w:val="26"/>
        </w:rPr>
        <w:t>.</w:t>
      </w:r>
      <w:r w:rsidR="00953F2C">
        <w:rPr>
          <w:szCs w:val="26"/>
        </w:rPr>
        <w:t xml:space="preserve">)  </w:t>
      </w:r>
      <w:r w:rsidR="00F01D26">
        <w:rPr>
          <w:szCs w:val="26"/>
        </w:rPr>
        <w:t>We</w:t>
      </w:r>
      <w:r w:rsidR="00953F2C">
        <w:rPr>
          <w:szCs w:val="26"/>
        </w:rPr>
        <w:t xml:space="preserve"> </w:t>
      </w:r>
      <w:r w:rsidR="00F01D26">
        <w:rPr>
          <w:szCs w:val="26"/>
        </w:rPr>
        <w:t>explained that,</w:t>
      </w:r>
      <w:r w:rsidR="00DF449B">
        <w:rPr>
          <w:szCs w:val="26"/>
        </w:rPr>
        <w:t xml:space="preserve"> </w:t>
      </w:r>
      <w:r w:rsidR="00083F55">
        <w:rPr>
          <w:szCs w:val="26"/>
        </w:rPr>
        <w:t xml:space="preserve">“[i]f the rule were otherwise, a party who missed the initial 100-day deadline </w:t>
      </w:r>
      <w:r w:rsidR="0080761C">
        <w:rPr>
          <w:szCs w:val="26"/>
        </w:rPr>
        <w:t>would be able to resurrect any otherwise time-barred challenge by filing a timely response to a petition to confirm.</w:t>
      </w:r>
      <w:r w:rsidR="00590CB5">
        <w:rPr>
          <w:szCs w:val="26"/>
        </w:rPr>
        <w:t xml:space="preserve">”  </w:t>
      </w:r>
      <w:r w:rsidR="00953F2C">
        <w:rPr>
          <w:szCs w:val="26"/>
        </w:rPr>
        <w:t>(</w:t>
      </w:r>
      <w:r w:rsidR="00C05443">
        <w:rPr>
          <w:i/>
          <w:iCs/>
          <w:szCs w:val="26"/>
        </w:rPr>
        <w:t>Ibid</w:t>
      </w:r>
      <w:r w:rsidR="00953F2C">
        <w:rPr>
          <w:i/>
          <w:iCs/>
          <w:szCs w:val="26"/>
        </w:rPr>
        <w:t>.</w:t>
      </w:r>
      <w:r w:rsidR="00953F2C">
        <w:rPr>
          <w:szCs w:val="26"/>
        </w:rPr>
        <w:t xml:space="preserve">)  </w:t>
      </w:r>
      <w:r w:rsidR="00590CB5">
        <w:rPr>
          <w:szCs w:val="26"/>
        </w:rPr>
        <w:t>In light of the four</w:t>
      </w:r>
      <w:r w:rsidR="00691354">
        <w:rPr>
          <w:szCs w:val="26"/>
        </w:rPr>
        <w:t>-</w:t>
      </w:r>
      <w:r w:rsidR="00590CB5">
        <w:rPr>
          <w:szCs w:val="26"/>
        </w:rPr>
        <w:t xml:space="preserve">year time period to file such a petition, such a rule would “effectively turn the statute’s 100-day deadline into a 1,560-day </w:t>
      </w:r>
      <w:r w:rsidR="00DF449B">
        <w:rPr>
          <w:szCs w:val="26"/>
        </w:rPr>
        <w:t xml:space="preserve">deadline.”  </w:t>
      </w:r>
      <w:r w:rsidR="00642A5D">
        <w:rPr>
          <w:szCs w:val="26"/>
        </w:rPr>
        <w:t>(</w:t>
      </w:r>
      <w:r w:rsidR="00642A5D">
        <w:rPr>
          <w:i/>
          <w:iCs/>
          <w:szCs w:val="26"/>
        </w:rPr>
        <w:t>Ibid.</w:t>
      </w:r>
      <w:r w:rsidR="00642A5D">
        <w:rPr>
          <w:szCs w:val="26"/>
        </w:rPr>
        <w:t xml:space="preserve">)  </w:t>
      </w:r>
      <w:r w:rsidR="00DF449B">
        <w:rPr>
          <w:szCs w:val="26"/>
        </w:rPr>
        <w:t xml:space="preserve">We further explained that </w:t>
      </w:r>
      <w:r w:rsidR="00051217">
        <w:rPr>
          <w:szCs w:val="26"/>
        </w:rPr>
        <w:t>“</w:t>
      </w:r>
      <w:r w:rsidR="000C1A02">
        <w:rPr>
          <w:szCs w:val="26"/>
        </w:rPr>
        <w:t> </w:t>
      </w:r>
      <w:r w:rsidR="00051217">
        <w:rPr>
          <w:szCs w:val="26"/>
        </w:rPr>
        <w:t>‘</w:t>
      </w:r>
      <w:r w:rsidR="00355E9F">
        <w:rPr>
          <w:szCs w:val="26"/>
        </w:rPr>
        <w:t>[</w:t>
      </w:r>
      <w:r w:rsidR="00051217">
        <w:rPr>
          <w:szCs w:val="26"/>
        </w:rPr>
        <w:t>i</w:t>
      </w:r>
      <w:r w:rsidR="00355E9F">
        <w:rPr>
          <w:szCs w:val="26"/>
        </w:rPr>
        <w:t>]</w:t>
      </w:r>
      <w:r w:rsidR="00051217">
        <w:rPr>
          <w:szCs w:val="26"/>
        </w:rPr>
        <w:t xml:space="preserve">t is not for us to rewrite </w:t>
      </w:r>
      <w:r w:rsidR="000C1A02">
        <w:rPr>
          <w:szCs w:val="26"/>
        </w:rPr>
        <w:t>. . .</w:t>
      </w:r>
      <w:r w:rsidR="00051217">
        <w:rPr>
          <w:szCs w:val="26"/>
        </w:rPr>
        <w:t xml:space="preserve"> </w:t>
      </w:r>
      <w:r w:rsidR="00051217">
        <w:rPr>
          <w:szCs w:val="26"/>
        </w:rPr>
        <w:lastRenderedPageBreak/>
        <w:t>statute[s].’</w:t>
      </w:r>
      <w:r w:rsidR="000C1A02">
        <w:rPr>
          <w:szCs w:val="26"/>
        </w:rPr>
        <w:t> </w:t>
      </w:r>
      <w:r w:rsidR="00051217">
        <w:rPr>
          <w:szCs w:val="26"/>
        </w:rPr>
        <w:t>”  (</w:t>
      </w:r>
      <w:r w:rsidR="00642A5D">
        <w:rPr>
          <w:i/>
          <w:iCs/>
          <w:szCs w:val="26"/>
        </w:rPr>
        <w:t>Ibid.</w:t>
      </w:r>
      <w:r w:rsidR="00051217">
        <w:rPr>
          <w:szCs w:val="26"/>
        </w:rPr>
        <w:t xml:space="preserve">, quoting </w:t>
      </w:r>
      <w:r w:rsidR="00051217">
        <w:rPr>
          <w:i/>
          <w:iCs/>
          <w:szCs w:val="26"/>
        </w:rPr>
        <w:t xml:space="preserve">J.M. v. Huntington Beach Union High School Dist. </w:t>
      </w:r>
      <w:r w:rsidR="00051217">
        <w:rPr>
          <w:szCs w:val="26"/>
        </w:rPr>
        <w:t>(2017) 2 Cal.5th 648, 657, fn.7.)</w:t>
      </w:r>
      <w:r>
        <w:rPr>
          <w:rStyle w:val="FootnoteReference"/>
          <w:szCs w:val="26"/>
        </w:rPr>
        <w:footnoteReference w:id="4"/>
      </w:r>
    </w:p>
    <w:p w14:paraId="23A002A3" w14:textId="44ED1825" w:rsidR="006D2731" w:rsidRDefault="004D7594" w:rsidP="00A52283">
      <w:pPr>
        <w:spacing w:after="0" w:line="288" w:lineRule="auto"/>
        <w:ind w:firstLine="720"/>
        <w:outlineLvl w:val="0"/>
        <w:rPr>
          <w:szCs w:val="26"/>
        </w:rPr>
      </w:pPr>
      <w:r>
        <w:rPr>
          <w:szCs w:val="26"/>
        </w:rPr>
        <w:t xml:space="preserve">The same </w:t>
      </w:r>
      <w:r w:rsidR="002101B2">
        <w:rPr>
          <w:szCs w:val="26"/>
        </w:rPr>
        <w:t xml:space="preserve">reasoning applies here.  </w:t>
      </w:r>
      <w:r w:rsidR="001834AE">
        <w:rPr>
          <w:szCs w:val="26"/>
        </w:rPr>
        <w:t xml:space="preserve">Key’s </w:t>
      </w:r>
      <w:r w:rsidR="00ED18BD">
        <w:rPr>
          <w:szCs w:val="26"/>
        </w:rPr>
        <w:t>interpretation of section 1288.2</w:t>
      </w:r>
      <w:r w:rsidR="001834AE">
        <w:rPr>
          <w:szCs w:val="26"/>
        </w:rPr>
        <w:t xml:space="preserve"> </w:t>
      </w:r>
      <w:r w:rsidR="00780458">
        <w:rPr>
          <w:szCs w:val="26"/>
        </w:rPr>
        <w:t>would</w:t>
      </w:r>
      <w:r w:rsidR="001834AE">
        <w:rPr>
          <w:szCs w:val="26"/>
        </w:rPr>
        <w:t xml:space="preserve"> </w:t>
      </w:r>
      <w:r w:rsidR="003C4005">
        <w:rPr>
          <w:szCs w:val="26"/>
        </w:rPr>
        <w:t xml:space="preserve">theoretically </w:t>
      </w:r>
      <w:r w:rsidR="001834AE">
        <w:rPr>
          <w:szCs w:val="26"/>
        </w:rPr>
        <w:t xml:space="preserve">limit the outside range of timely responses by permitting a request to vacate </w:t>
      </w:r>
      <w:r w:rsidR="003637A6">
        <w:rPr>
          <w:szCs w:val="26"/>
        </w:rPr>
        <w:t xml:space="preserve">after the 100-day period only if </w:t>
      </w:r>
      <w:r w:rsidR="00012FC7">
        <w:rPr>
          <w:szCs w:val="26"/>
        </w:rPr>
        <w:t>the request</w:t>
      </w:r>
      <w:r w:rsidR="00F73632">
        <w:rPr>
          <w:szCs w:val="26"/>
        </w:rPr>
        <w:t xml:space="preserve"> responds to </w:t>
      </w:r>
      <w:r w:rsidR="003637A6">
        <w:rPr>
          <w:szCs w:val="26"/>
        </w:rPr>
        <w:t xml:space="preserve">a </w:t>
      </w:r>
      <w:r w:rsidR="00012FC7">
        <w:rPr>
          <w:szCs w:val="26"/>
        </w:rPr>
        <w:t>petition</w:t>
      </w:r>
      <w:r w:rsidR="003637A6">
        <w:rPr>
          <w:szCs w:val="26"/>
        </w:rPr>
        <w:t xml:space="preserve"> to confirm </w:t>
      </w:r>
      <w:r w:rsidR="00F73632">
        <w:rPr>
          <w:szCs w:val="26"/>
        </w:rPr>
        <w:t xml:space="preserve">that </w:t>
      </w:r>
      <w:r w:rsidR="003637A6">
        <w:rPr>
          <w:szCs w:val="26"/>
        </w:rPr>
        <w:t>was filed within 100 days.</w:t>
      </w:r>
      <w:r>
        <w:rPr>
          <w:rStyle w:val="FootnoteReference"/>
          <w:szCs w:val="26"/>
        </w:rPr>
        <w:footnoteReference w:id="5"/>
      </w:r>
      <w:r w:rsidR="003637A6">
        <w:rPr>
          <w:szCs w:val="26"/>
        </w:rPr>
        <w:t xml:space="preserve">  But nothing in </w:t>
      </w:r>
      <w:r w:rsidR="00691354">
        <w:rPr>
          <w:szCs w:val="26"/>
        </w:rPr>
        <w:t xml:space="preserve">the language of </w:t>
      </w:r>
      <w:r w:rsidR="00ED18BD">
        <w:rPr>
          <w:szCs w:val="26"/>
        </w:rPr>
        <w:t>the section</w:t>
      </w:r>
      <w:r w:rsidR="003637A6">
        <w:rPr>
          <w:szCs w:val="26"/>
        </w:rPr>
        <w:t xml:space="preserve"> supports </w:t>
      </w:r>
      <w:r w:rsidR="00023C7A">
        <w:rPr>
          <w:szCs w:val="26"/>
        </w:rPr>
        <w:t>such a</w:t>
      </w:r>
      <w:r w:rsidR="003637A6">
        <w:rPr>
          <w:szCs w:val="26"/>
        </w:rPr>
        <w:t xml:space="preserve"> specific exception.  </w:t>
      </w:r>
      <w:r w:rsidR="004254B5">
        <w:rPr>
          <w:szCs w:val="26"/>
        </w:rPr>
        <w:t>Rather, s</w:t>
      </w:r>
      <w:r w:rsidR="00075447">
        <w:rPr>
          <w:szCs w:val="26"/>
        </w:rPr>
        <w:t>ection</w:t>
      </w:r>
      <w:r w:rsidR="001641D4">
        <w:rPr>
          <w:szCs w:val="26"/>
        </w:rPr>
        <w:t>s</w:t>
      </w:r>
      <w:r w:rsidR="00075447">
        <w:rPr>
          <w:szCs w:val="26"/>
        </w:rPr>
        <w:t xml:space="preserve"> </w:t>
      </w:r>
      <w:r w:rsidR="004254B5">
        <w:rPr>
          <w:szCs w:val="26"/>
        </w:rPr>
        <w:lastRenderedPageBreak/>
        <w:t xml:space="preserve">1288.2 </w:t>
      </w:r>
      <w:r w:rsidR="002851FA">
        <w:rPr>
          <w:szCs w:val="26"/>
        </w:rPr>
        <w:t xml:space="preserve">and 1288 </w:t>
      </w:r>
      <w:r w:rsidR="00023C7A">
        <w:rPr>
          <w:szCs w:val="26"/>
        </w:rPr>
        <w:t xml:space="preserve">together </w:t>
      </w:r>
      <w:r w:rsidR="00075447">
        <w:rPr>
          <w:szCs w:val="26"/>
        </w:rPr>
        <w:t>establish</w:t>
      </w:r>
      <w:r w:rsidR="002851FA">
        <w:rPr>
          <w:szCs w:val="26"/>
        </w:rPr>
        <w:t xml:space="preserve"> </w:t>
      </w:r>
      <w:r w:rsidR="00075447">
        <w:rPr>
          <w:szCs w:val="26"/>
        </w:rPr>
        <w:t xml:space="preserve">a clear </w:t>
      </w:r>
      <w:r w:rsidR="00156A76">
        <w:rPr>
          <w:szCs w:val="26"/>
        </w:rPr>
        <w:t>deadline</w:t>
      </w:r>
      <w:r w:rsidR="00075447">
        <w:rPr>
          <w:szCs w:val="26"/>
        </w:rPr>
        <w:t xml:space="preserve"> of 100 days after which a request to vacate is untimely.</w:t>
      </w:r>
    </w:p>
    <w:p w14:paraId="564AA713" w14:textId="26B64322" w:rsidR="0051495F" w:rsidRDefault="004D7594" w:rsidP="00A52283">
      <w:pPr>
        <w:spacing w:after="0" w:line="288" w:lineRule="auto"/>
        <w:ind w:firstLine="720"/>
        <w:outlineLvl w:val="0"/>
        <w:rPr>
          <w:szCs w:val="26"/>
        </w:rPr>
      </w:pPr>
      <w:r>
        <w:rPr>
          <w:szCs w:val="26"/>
        </w:rPr>
        <w:t xml:space="preserve">Key’s interpretation </w:t>
      </w:r>
      <w:r w:rsidR="001C5584">
        <w:rPr>
          <w:szCs w:val="26"/>
        </w:rPr>
        <w:t xml:space="preserve">is </w:t>
      </w:r>
      <w:r w:rsidR="00F73632">
        <w:rPr>
          <w:szCs w:val="26"/>
        </w:rPr>
        <w:t xml:space="preserve">also </w:t>
      </w:r>
      <w:r w:rsidR="001C5584">
        <w:rPr>
          <w:szCs w:val="26"/>
        </w:rPr>
        <w:t>inconsistent</w:t>
      </w:r>
      <w:r w:rsidR="00DA1926">
        <w:rPr>
          <w:szCs w:val="26"/>
        </w:rPr>
        <w:t xml:space="preserve"> with</w:t>
      </w:r>
      <w:r>
        <w:rPr>
          <w:szCs w:val="26"/>
        </w:rPr>
        <w:t xml:space="preserve"> the </w:t>
      </w:r>
      <w:r w:rsidR="00E64722">
        <w:rPr>
          <w:szCs w:val="26"/>
        </w:rPr>
        <w:t xml:space="preserve">broader </w:t>
      </w:r>
      <w:r w:rsidR="00177F80">
        <w:rPr>
          <w:szCs w:val="26"/>
        </w:rPr>
        <w:t xml:space="preserve">statutory scheme.  </w:t>
      </w:r>
      <w:r w:rsidR="00933077">
        <w:rPr>
          <w:szCs w:val="26"/>
        </w:rPr>
        <w:t xml:space="preserve">Section 1288.2 </w:t>
      </w:r>
      <w:r w:rsidR="00E7388D">
        <w:rPr>
          <w:szCs w:val="26"/>
        </w:rPr>
        <w:t>establishes a</w:t>
      </w:r>
      <w:r w:rsidR="004466A9">
        <w:rPr>
          <w:szCs w:val="26"/>
        </w:rPr>
        <w:t xml:space="preserve"> time limitation for </w:t>
      </w:r>
      <w:r w:rsidR="009B3A3A">
        <w:rPr>
          <w:szCs w:val="26"/>
        </w:rPr>
        <w:t xml:space="preserve">filing </w:t>
      </w:r>
      <w:r w:rsidR="00E007B1">
        <w:rPr>
          <w:szCs w:val="26"/>
        </w:rPr>
        <w:t>a response</w:t>
      </w:r>
      <w:r w:rsidR="005C6666">
        <w:rPr>
          <w:szCs w:val="26"/>
        </w:rPr>
        <w:t xml:space="preserve"> to a petition to confirm</w:t>
      </w:r>
      <w:r w:rsidR="00220B0E">
        <w:rPr>
          <w:szCs w:val="26"/>
        </w:rPr>
        <w:t xml:space="preserve"> that includes a request to vacate</w:t>
      </w:r>
      <w:r w:rsidR="004466A9">
        <w:rPr>
          <w:szCs w:val="26"/>
        </w:rPr>
        <w:t xml:space="preserve">.  Section </w:t>
      </w:r>
      <w:r w:rsidR="00C26046">
        <w:rPr>
          <w:szCs w:val="26"/>
        </w:rPr>
        <w:t xml:space="preserve">1290.6 </w:t>
      </w:r>
      <w:r w:rsidR="0011027F">
        <w:rPr>
          <w:szCs w:val="26"/>
        </w:rPr>
        <w:t xml:space="preserve">is one of </w:t>
      </w:r>
      <w:r w:rsidR="00355E9F">
        <w:rPr>
          <w:szCs w:val="26"/>
        </w:rPr>
        <w:t xml:space="preserve">a </w:t>
      </w:r>
      <w:r w:rsidR="00635990">
        <w:rPr>
          <w:szCs w:val="26"/>
        </w:rPr>
        <w:t xml:space="preserve">number of sections in a separate chapter that </w:t>
      </w:r>
      <w:r w:rsidR="00C26046">
        <w:rPr>
          <w:szCs w:val="26"/>
        </w:rPr>
        <w:t xml:space="preserve">governs the procedure </w:t>
      </w:r>
      <w:r w:rsidR="00D77639">
        <w:rPr>
          <w:szCs w:val="26"/>
        </w:rPr>
        <w:t xml:space="preserve">for adjudicating </w:t>
      </w:r>
      <w:r w:rsidR="009615AA">
        <w:rPr>
          <w:szCs w:val="26"/>
        </w:rPr>
        <w:t xml:space="preserve">petitions relating to arbitration awards.  </w:t>
      </w:r>
      <w:r>
        <w:rPr>
          <w:szCs w:val="26"/>
        </w:rPr>
        <w:t xml:space="preserve">There is nothing in the statutory scheme suggesting that the Legislature intended the procedural rule in section 1290.6 </w:t>
      </w:r>
      <w:r w:rsidR="0068504E">
        <w:rPr>
          <w:szCs w:val="26"/>
        </w:rPr>
        <w:t xml:space="preserve">governing all responses </w:t>
      </w:r>
      <w:r>
        <w:rPr>
          <w:szCs w:val="26"/>
        </w:rPr>
        <w:t xml:space="preserve">to take precedence over </w:t>
      </w:r>
      <w:r w:rsidR="00FA253F">
        <w:rPr>
          <w:szCs w:val="26"/>
        </w:rPr>
        <w:t>the firm time limitation in section 1288.2</w:t>
      </w:r>
      <w:r w:rsidR="0068504E">
        <w:rPr>
          <w:szCs w:val="26"/>
        </w:rPr>
        <w:t xml:space="preserve"> applicable to requests to vacate</w:t>
      </w:r>
      <w:r w:rsidR="00FA253F">
        <w:rPr>
          <w:szCs w:val="26"/>
        </w:rPr>
        <w:t>.</w:t>
      </w:r>
    </w:p>
    <w:p w14:paraId="07C68BA0" w14:textId="34D25B6E" w:rsidR="00EF2581" w:rsidRDefault="004D7594" w:rsidP="00A52283">
      <w:pPr>
        <w:spacing w:after="0" w:line="288" w:lineRule="auto"/>
        <w:ind w:firstLine="720"/>
        <w:outlineLvl w:val="0"/>
        <w:rPr>
          <w:szCs w:val="26"/>
        </w:rPr>
      </w:pPr>
      <w:r>
        <w:rPr>
          <w:szCs w:val="26"/>
        </w:rPr>
        <w:t>Moreover, w</w:t>
      </w:r>
      <w:r w:rsidR="00DB02E1">
        <w:rPr>
          <w:szCs w:val="26"/>
        </w:rPr>
        <w:t xml:space="preserve">e </w:t>
      </w:r>
      <w:r w:rsidR="00980A27">
        <w:rPr>
          <w:szCs w:val="26"/>
        </w:rPr>
        <w:t>must give effect to both</w:t>
      </w:r>
      <w:r w:rsidR="00A10EAE">
        <w:rPr>
          <w:szCs w:val="26"/>
        </w:rPr>
        <w:t xml:space="preserve"> </w:t>
      </w:r>
      <w:r w:rsidR="001B5CD4">
        <w:rPr>
          <w:szCs w:val="26"/>
        </w:rPr>
        <w:t xml:space="preserve">statutes </w:t>
      </w:r>
      <w:r w:rsidR="00A10EAE">
        <w:rPr>
          <w:szCs w:val="26"/>
        </w:rPr>
        <w:t>if possible</w:t>
      </w:r>
      <w:r w:rsidR="00980A27">
        <w:rPr>
          <w:szCs w:val="26"/>
        </w:rPr>
        <w:t>.</w:t>
      </w:r>
      <w:r w:rsidR="00150EC4">
        <w:rPr>
          <w:szCs w:val="26"/>
        </w:rPr>
        <w:t xml:space="preserve">  </w:t>
      </w:r>
      <w:r w:rsidR="0047744A">
        <w:rPr>
          <w:szCs w:val="26"/>
        </w:rPr>
        <w:t>(</w:t>
      </w:r>
      <w:r w:rsidR="006D1AF0">
        <w:rPr>
          <w:szCs w:val="26"/>
        </w:rPr>
        <w:t xml:space="preserve">§ </w:t>
      </w:r>
      <w:r w:rsidR="003222D3">
        <w:rPr>
          <w:szCs w:val="26"/>
        </w:rPr>
        <w:t>1858;</w:t>
      </w:r>
      <w:r w:rsidR="002F1067">
        <w:rPr>
          <w:i/>
          <w:szCs w:val="26"/>
        </w:rPr>
        <w:t xml:space="preserve"> Chavez v. City of Los Angeles </w:t>
      </w:r>
      <w:r w:rsidR="002F1067">
        <w:rPr>
          <w:iCs/>
          <w:szCs w:val="26"/>
        </w:rPr>
        <w:t>(2010</w:t>
      </w:r>
      <w:r w:rsidR="006E05DD">
        <w:rPr>
          <w:iCs/>
          <w:szCs w:val="26"/>
        </w:rPr>
        <w:t>)</w:t>
      </w:r>
      <w:r w:rsidR="00355E9F">
        <w:rPr>
          <w:iCs/>
          <w:szCs w:val="26"/>
        </w:rPr>
        <w:t xml:space="preserve"> 47 Cal.4th</w:t>
      </w:r>
      <w:r w:rsidR="006E05DD">
        <w:rPr>
          <w:iCs/>
          <w:szCs w:val="26"/>
        </w:rPr>
        <w:t xml:space="preserve"> 970, 986</w:t>
      </w:r>
      <w:r w:rsidR="003222D3">
        <w:rPr>
          <w:szCs w:val="26"/>
        </w:rPr>
        <w:t>.</w:t>
      </w:r>
      <w:r w:rsidR="008902C6">
        <w:rPr>
          <w:szCs w:val="26"/>
        </w:rPr>
        <w:t>)</w:t>
      </w:r>
      <w:r w:rsidR="00FD23B3">
        <w:rPr>
          <w:szCs w:val="26"/>
        </w:rPr>
        <w:t xml:space="preserve">  </w:t>
      </w:r>
      <w:r w:rsidR="008902C6">
        <w:rPr>
          <w:szCs w:val="26"/>
        </w:rPr>
        <w:t>T</w:t>
      </w:r>
      <w:r w:rsidR="0060075A">
        <w:rPr>
          <w:szCs w:val="26"/>
        </w:rPr>
        <w:t>he two sections may easily be read together to provide that</w:t>
      </w:r>
      <w:r w:rsidR="00EB09DE">
        <w:rPr>
          <w:szCs w:val="26"/>
        </w:rPr>
        <w:t xml:space="preserve">, when a petition to confirm an arbitration </w:t>
      </w:r>
      <w:r w:rsidR="00D171C4">
        <w:rPr>
          <w:szCs w:val="26"/>
        </w:rPr>
        <w:t xml:space="preserve">award is filed, a response requesting that </w:t>
      </w:r>
      <w:r w:rsidR="00ED67C7">
        <w:rPr>
          <w:szCs w:val="26"/>
        </w:rPr>
        <w:t xml:space="preserve">the award </w:t>
      </w:r>
      <w:r w:rsidR="001218E0">
        <w:rPr>
          <w:szCs w:val="26"/>
        </w:rPr>
        <w:t xml:space="preserve">be vacated must be filed within </w:t>
      </w:r>
      <w:r w:rsidR="00BE67EF">
        <w:rPr>
          <w:szCs w:val="26"/>
        </w:rPr>
        <w:t>10</w:t>
      </w:r>
      <w:r w:rsidR="001218E0">
        <w:rPr>
          <w:szCs w:val="26"/>
        </w:rPr>
        <w:t xml:space="preserve"> days of the petition (plus any extensions), </w:t>
      </w:r>
      <w:r w:rsidR="00135429">
        <w:rPr>
          <w:szCs w:val="26"/>
        </w:rPr>
        <w:t>and</w:t>
      </w:r>
      <w:r w:rsidR="008C1489">
        <w:rPr>
          <w:szCs w:val="26"/>
        </w:rPr>
        <w:t xml:space="preserve"> in any event no </w:t>
      </w:r>
      <w:r w:rsidR="006E50EA">
        <w:rPr>
          <w:szCs w:val="26"/>
        </w:rPr>
        <w:t>later than</w:t>
      </w:r>
      <w:r w:rsidR="001218E0">
        <w:rPr>
          <w:szCs w:val="26"/>
        </w:rPr>
        <w:t xml:space="preserve"> 100 days </w:t>
      </w:r>
      <w:r w:rsidR="006E50EA">
        <w:rPr>
          <w:szCs w:val="26"/>
        </w:rPr>
        <w:t xml:space="preserve">after service of the award.  </w:t>
      </w:r>
      <w:r w:rsidR="008D0A69">
        <w:rPr>
          <w:szCs w:val="26"/>
        </w:rPr>
        <w:t xml:space="preserve">A </w:t>
      </w:r>
      <w:r w:rsidR="007C2A26">
        <w:rPr>
          <w:szCs w:val="26"/>
        </w:rPr>
        <w:t>response that fails to comply with either deadline is untimely</w:t>
      </w:r>
      <w:r w:rsidR="004B5AEF">
        <w:rPr>
          <w:szCs w:val="26"/>
        </w:rPr>
        <w:t>.</w:t>
      </w:r>
    </w:p>
    <w:p w14:paraId="1B41D077" w14:textId="6B546E6A" w:rsidR="001C5584" w:rsidRDefault="004D7594" w:rsidP="00A52283">
      <w:pPr>
        <w:spacing w:after="0" w:line="288" w:lineRule="auto"/>
        <w:ind w:firstLine="720"/>
        <w:outlineLvl w:val="0"/>
        <w:rPr>
          <w:szCs w:val="26"/>
        </w:rPr>
      </w:pPr>
      <w:r>
        <w:rPr>
          <w:szCs w:val="26"/>
        </w:rPr>
        <w:t>C</w:t>
      </w:r>
      <w:r w:rsidR="00A30E82">
        <w:rPr>
          <w:szCs w:val="26"/>
        </w:rPr>
        <w:t xml:space="preserve">ourts have </w:t>
      </w:r>
      <w:r>
        <w:rPr>
          <w:szCs w:val="26"/>
        </w:rPr>
        <w:t xml:space="preserve">consistently </w:t>
      </w:r>
      <w:r w:rsidR="00966554">
        <w:rPr>
          <w:szCs w:val="26"/>
        </w:rPr>
        <w:t xml:space="preserve">applied the two statutes in this manner.  As discussed above, this court and others have </w:t>
      </w:r>
      <w:r w:rsidR="00F8661D">
        <w:rPr>
          <w:szCs w:val="26"/>
        </w:rPr>
        <w:t xml:space="preserve">held that a </w:t>
      </w:r>
      <w:r w:rsidR="00F841E4">
        <w:rPr>
          <w:szCs w:val="26"/>
        </w:rPr>
        <w:t>request to vacate</w:t>
      </w:r>
      <w:r w:rsidR="00F8661D">
        <w:rPr>
          <w:szCs w:val="26"/>
        </w:rPr>
        <w:t xml:space="preserve"> is untimely if filed beyond 100 days even if </w:t>
      </w:r>
      <w:r w:rsidR="000805F5">
        <w:rPr>
          <w:szCs w:val="26"/>
        </w:rPr>
        <w:t xml:space="preserve">it </w:t>
      </w:r>
      <w:r w:rsidR="00F841E4">
        <w:rPr>
          <w:szCs w:val="26"/>
        </w:rPr>
        <w:t>responds to a petition to confirm</w:t>
      </w:r>
      <w:r w:rsidR="000805F5">
        <w:rPr>
          <w:szCs w:val="26"/>
        </w:rPr>
        <w:t xml:space="preserve">.  </w:t>
      </w:r>
      <w:r w:rsidR="005B56F1">
        <w:rPr>
          <w:szCs w:val="26"/>
        </w:rPr>
        <w:t xml:space="preserve">(See </w:t>
      </w:r>
      <w:r w:rsidR="005B56F1">
        <w:rPr>
          <w:i/>
          <w:iCs/>
          <w:szCs w:val="26"/>
        </w:rPr>
        <w:t xml:space="preserve">Douglass, supra, </w:t>
      </w:r>
      <w:r w:rsidR="006F0F09">
        <w:rPr>
          <w:szCs w:val="26"/>
        </w:rPr>
        <w:t>20 Cal.App.5th at p. 385;</w:t>
      </w:r>
      <w:r w:rsidR="000D0776">
        <w:rPr>
          <w:i/>
          <w:iCs/>
          <w:szCs w:val="26"/>
        </w:rPr>
        <w:t xml:space="preserve"> Soni v. Simplelayers, Inc. </w:t>
      </w:r>
      <w:r w:rsidR="001C3124">
        <w:rPr>
          <w:szCs w:val="26"/>
        </w:rPr>
        <w:t xml:space="preserve">(2019) </w:t>
      </w:r>
      <w:r w:rsidR="006F3344">
        <w:rPr>
          <w:szCs w:val="26"/>
        </w:rPr>
        <w:t>42 Cal.App.5th 1071, 1093</w:t>
      </w:r>
      <w:r w:rsidR="00095F30">
        <w:rPr>
          <w:szCs w:val="26"/>
        </w:rPr>
        <w:t xml:space="preserve">; </w:t>
      </w:r>
      <w:r w:rsidR="00095F30">
        <w:rPr>
          <w:i/>
          <w:iCs/>
          <w:szCs w:val="26"/>
        </w:rPr>
        <w:t xml:space="preserve">Eternity Investments, supra, </w:t>
      </w:r>
      <w:r w:rsidR="00095F30">
        <w:rPr>
          <w:szCs w:val="26"/>
        </w:rPr>
        <w:t xml:space="preserve">151 Cal.App.4th at pp. </w:t>
      </w:r>
      <w:r w:rsidR="00721080">
        <w:rPr>
          <w:szCs w:val="26"/>
        </w:rPr>
        <w:t xml:space="preserve">743, </w:t>
      </w:r>
      <w:r w:rsidR="00CD0807">
        <w:rPr>
          <w:szCs w:val="26"/>
        </w:rPr>
        <w:t>745</w:t>
      </w:r>
      <w:r w:rsidR="00BE67EF">
        <w:rPr>
          <w:szCs w:val="26"/>
        </w:rPr>
        <w:t>–</w:t>
      </w:r>
      <w:r w:rsidR="00CD0807">
        <w:rPr>
          <w:szCs w:val="26"/>
        </w:rPr>
        <w:t>746</w:t>
      </w:r>
      <w:r w:rsidR="006F3344">
        <w:rPr>
          <w:szCs w:val="26"/>
        </w:rPr>
        <w:t>.)</w:t>
      </w:r>
      <w:r w:rsidR="006F3344">
        <w:rPr>
          <w:i/>
          <w:iCs/>
          <w:szCs w:val="26"/>
        </w:rPr>
        <w:t xml:space="preserve">  </w:t>
      </w:r>
      <w:r w:rsidR="00DC2EF8">
        <w:rPr>
          <w:szCs w:val="26"/>
        </w:rPr>
        <w:t>And c</w:t>
      </w:r>
      <w:r w:rsidR="000805F5">
        <w:rPr>
          <w:szCs w:val="26"/>
        </w:rPr>
        <w:t xml:space="preserve">ourts have </w:t>
      </w:r>
      <w:r w:rsidR="005A0144">
        <w:rPr>
          <w:szCs w:val="26"/>
        </w:rPr>
        <w:t xml:space="preserve">held that a response </w:t>
      </w:r>
      <w:r w:rsidR="006F7108">
        <w:rPr>
          <w:szCs w:val="26"/>
        </w:rPr>
        <w:t xml:space="preserve">requesting vacation that is </w:t>
      </w:r>
      <w:r w:rsidR="005A0144">
        <w:rPr>
          <w:szCs w:val="26"/>
        </w:rPr>
        <w:t>filed within the 100</w:t>
      </w:r>
      <w:r w:rsidR="00BE67EF">
        <w:rPr>
          <w:szCs w:val="26"/>
        </w:rPr>
        <w:t>-</w:t>
      </w:r>
      <w:r w:rsidR="005A0144">
        <w:rPr>
          <w:szCs w:val="26"/>
        </w:rPr>
        <w:t xml:space="preserve">day deadline is nevertheless untimely </w:t>
      </w:r>
      <w:r w:rsidR="006F7108">
        <w:rPr>
          <w:szCs w:val="26"/>
        </w:rPr>
        <w:t xml:space="preserve">if it fails to comply with the </w:t>
      </w:r>
      <w:r w:rsidR="00BE67EF">
        <w:rPr>
          <w:szCs w:val="26"/>
        </w:rPr>
        <w:t>10-</w:t>
      </w:r>
      <w:r w:rsidR="006F7108">
        <w:rPr>
          <w:szCs w:val="26"/>
        </w:rPr>
        <w:t xml:space="preserve">day filing deadline of section </w:t>
      </w:r>
      <w:r w:rsidR="001F27F5">
        <w:rPr>
          <w:szCs w:val="26"/>
        </w:rPr>
        <w:t xml:space="preserve">1290.6.  </w:t>
      </w:r>
      <w:r w:rsidR="004B5AEF">
        <w:rPr>
          <w:szCs w:val="26"/>
        </w:rPr>
        <w:t xml:space="preserve">(See </w:t>
      </w:r>
      <w:r w:rsidR="004B5AEF">
        <w:rPr>
          <w:i/>
          <w:iCs/>
        </w:rPr>
        <w:t xml:space="preserve">Rivera v. Shivers </w:t>
      </w:r>
      <w:r w:rsidR="004B5AEF">
        <w:lastRenderedPageBreak/>
        <w:t>(2020) 54 Cal.App.5th 82, 93</w:t>
      </w:r>
      <w:r w:rsidR="00BE67EF">
        <w:t>–</w:t>
      </w:r>
      <w:r w:rsidR="004B5AEF">
        <w:t xml:space="preserve">94; </w:t>
      </w:r>
      <w:r w:rsidR="004B5AEF">
        <w:rPr>
          <w:i/>
          <w:iCs/>
        </w:rPr>
        <w:t xml:space="preserve">Coordinated Constr., Inc. v. Canoga Big “A”, Inc. </w:t>
      </w:r>
      <w:r w:rsidR="004B5AEF">
        <w:t>(1965) 238 Cal.App.2d 313, 317 [“</w:t>
      </w:r>
      <w:r w:rsidR="00DE579C">
        <w:t>section 1290.6 limits the 100-day provision found in section 1288.2”]</w:t>
      </w:r>
      <w:r w:rsidR="00B83B92">
        <w:t xml:space="preserve">; </w:t>
      </w:r>
      <w:r w:rsidR="001F16B1">
        <w:rPr>
          <w:i/>
          <w:iCs/>
        </w:rPr>
        <w:t xml:space="preserve">Oaktree Capital Management, L.P. v. Bernard </w:t>
      </w:r>
      <w:r w:rsidR="001F16B1">
        <w:t>(</w:t>
      </w:r>
      <w:r w:rsidR="005F1171">
        <w:t xml:space="preserve">2010) 182 Cal.App.4th 60, </w:t>
      </w:r>
      <w:r w:rsidR="00645CD6">
        <w:t>66</w:t>
      </w:r>
      <w:r w:rsidR="00BE67EF">
        <w:t>–</w:t>
      </w:r>
      <w:r w:rsidR="00645CD6">
        <w:t>68</w:t>
      </w:r>
      <w:r w:rsidR="00E94DA1">
        <w:t xml:space="preserve"> (</w:t>
      </w:r>
      <w:r w:rsidR="00E94DA1">
        <w:rPr>
          <w:i/>
          <w:iCs/>
        </w:rPr>
        <w:t>Oaktree Capital</w:t>
      </w:r>
      <w:r w:rsidR="0041140C">
        <w:t>)</w:t>
      </w:r>
      <w:r w:rsidR="00F14C9F">
        <w:t>.</w:t>
      </w:r>
      <w:r w:rsidR="004B5AEF">
        <w:t>)</w:t>
      </w:r>
      <w:r>
        <w:rPr>
          <w:rStyle w:val="FootnoteReference"/>
        </w:rPr>
        <w:footnoteReference w:id="6"/>
      </w:r>
    </w:p>
    <w:p w14:paraId="51C98840" w14:textId="5BC2C290" w:rsidR="003123E2" w:rsidRDefault="004D7594" w:rsidP="00A52283">
      <w:pPr>
        <w:spacing w:after="0" w:line="288" w:lineRule="auto"/>
        <w:ind w:firstLine="720"/>
        <w:outlineLvl w:val="0"/>
        <w:rPr>
          <w:szCs w:val="26"/>
        </w:rPr>
      </w:pPr>
      <w:r>
        <w:rPr>
          <w:szCs w:val="26"/>
        </w:rPr>
        <w:lastRenderedPageBreak/>
        <w:t>In contrast, Key’s interpretation fail</w:t>
      </w:r>
      <w:r w:rsidR="008617DD">
        <w:rPr>
          <w:szCs w:val="26"/>
        </w:rPr>
        <w:t>s</w:t>
      </w:r>
      <w:r>
        <w:rPr>
          <w:szCs w:val="26"/>
        </w:rPr>
        <w:t xml:space="preserve"> to give effect to the firm 100-day deadline </w:t>
      </w:r>
      <w:r w:rsidR="00455D05">
        <w:rPr>
          <w:szCs w:val="26"/>
        </w:rPr>
        <w:t>in</w:t>
      </w:r>
      <w:r w:rsidR="00F61B2B">
        <w:rPr>
          <w:szCs w:val="26"/>
        </w:rPr>
        <w:t xml:space="preserve"> </w:t>
      </w:r>
      <w:r>
        <w:rPr>
          <w:szCs w:val="26"/>
        </w:rPr>
        <w:t>section 1288.2.</w:t>
      </w:r>
      <w:r w:rsidR="006D735D">
        <w:rPr>
          <w:szCs w:val="26"/>
        </w:rPr>
        <w:t xml:space="preserve">  </w:t>
      </w:r>
      <w:r w:rsidR="00CE4EC3">
        <w:rPr>
          <w:szCs w:val="26"/>
        </w:rPr>
        <w:t>U</w:t>
      </w:r>
      <w:r w:rsidR="008617DD">
        <w:rPr>
          <w:szCs w:val="26"/>
        </w:rPr>
        <w:t xml:space="preserve">nder </w:t>
      </w:r>
      <w:r w:rsidR="00F61B2B">
        <w:rPr>
          <w:szCs w:val="26"/>
        </w:rPr>
        <w:t>Key’s</w:t>
      </w:r>
      <w:r w:rsidR="008617DD">
        <w:rPr>
          <w:szCs w:val="26"/>
        </w:rPr>
        <w:t xml:space="preserve"> interpretation, a</w:t>
      </w:r>
      <w:r w:rsidR="00F767FF">
        <w:rPr>
          <w:szCs w:val="26"/>
        </w:rPr>
        <w:t xml:space="preserve"> petition to confirm an arbitration award filed on day 99 </w:t>
      </w:r>
      <w:r w:rsidR="009D1BFF">
        <w:rPr>
          <w:szCs w:val="26"/>
        </w:rPr>
        <w:t xml:space="preserve">would permit a </w:t>
      </w:r>
      <w:r w:rsidR="00706EC2">
        <w:rPr>
          <w:szCs w:val="26"/>
        </w:rPr>
        <w:t xml:space="preserve">timely </w:t>
      </w:r>
      <w:r w:rsidR="009D1BFF">
        <w:rPr>
          <w:szCs w:val="26"/>
        </w:rPr>
        <w:t xml:space="preserve">response </w:t>
      </w:r>
      <w:r w:rsidR="00706EC2">
        <w:rPr>
          <w:szCs w:val="26"/>
        </w:rPr>
        <w:t xml:space="preserve">requesting vacation of the award on day </w:t>
      </w:r>
      <w:r w:rsidR="008617DD">
        <w:rPr>
          <w:szCs w:val="26"/>
        </w:rPr>
        <w:t xml:space="preserve">109.  Further, </w:t>
      </w:r>
      <w:r w:rsidR="00941DD0">
        <w:rPr>
          <w:szCs w:val="26"/>
        </w:rPr>
        <w:t xml:space="preserve">by giving precedence to </w:t>
      </w:r>
      <w:r w:rsidR="00F9129B">
        <w:rPr>
          <w:szCs w:val="26"/>
        </w:rPr>
        <w:t xml:space="preserve">the time limits of </w:t>
      </w:r>
      <w:r w:rsidR="00941DD0">
        <w:rPr>
          <w:szCs w:val="26"/>
        </w:rPr>
        <w:t xml:space="preserve">section </w:t>
      </w:r>
      <w:r w:rsidR="009370CE">
        <w:rPr>
          <w:szCs w:val="26"/>
        </w:rPr>
        <w:t xml:space="preserve">1290.6 </w:t>
      </w:r>
      <w:r w:rsidR="00A14639">
        <w:rPr>
          <w:szCs w:val="26"/>
        </w:rPr>
        <w:t xml:space="preserve">over section 1288.2 </w:t>
      </w:r>
      <w:r w:rsidR="00640BBE">
        <w:rPr>
          <w:szCs w:val="26"/>
        </w:rPr>
        <w:t>when a petition to confirm is filed within 100 days</w:t>
      </w:r>
      <w:r w:rsidR="00A14639">
        <w:rPr>
          <w:szCs w:val="26"/>
        </w:rPr>
        <w:t xml:space="preserve"> of the award</w:t>
      </w:r>
      <w:r w:rsidR="009370CE">
        <w:rPr>
          <w:szCs w:val="26"/>
        </w:rPr>
        <w:t>, Key’s interpretation</w:t>
      </w:r>
      <w:r w:rsidR="008617DD">
        <w:rPr>
          <w:szCs w:val="26"/>
        </w:rPr>
        <w:t xml:space="preserve"> would</w:t>
      </w:r>
      <w:r w:rsidR="00706EC2">
        <w:rPr>
          <w:szCs w:val="26"/>
        </w:rPr>
        <w:t xml:space="preserve"> </w:t>
      </w:r>
      <w:r w:rsidR="009370CE">
        <w:rPr>
          <w:szCs w:val="26"/>
        </w:rPr>
        <w:t xml:space="preserve">permit the parties to delay </w:t>
      </w:r>
      <w:r w:rsidR="00DF4BDB" w:rsidRPr="00A34983">
        <w:rPr>
          <w:i/>
          <w:iCs/>
          <w:szCs w:val="26"/>
        </w:rPr>
        <w:t>indefinitely</w:t>
      </w:r>
      <w:r w:rsidR="00DF4BDB">
        <w:rPr>
          <w:szCs w:val="26"/>
        </w:rPr>
        <w:t xml:space="preserve"> </w:t>
      </w:r>
      <w:r w:rsidR="009B2A24">
        <w:rPr>
          <w:szCs w:val="26"/>
        </w:rPr>
        <w:t>a re</w:t>
      </w:r>
      <w:r w:rsidR="00772CBC">
        <w:rPr>
          <w:szCs w:val="26"/>
        </w:rPr>
        <w:t xml:space="preserve">quest to vacate </w:t>
      </w:r>
      <w:r w:rsidR="00DF4BDB">
        <w:rPr>
          <w:szCs w:val="26"/>
        </w:rPr>
        <w:t>simply</w:t>
      </w:r>
      <w:r w:rsidR="009B2A24">
        <w:rPr>
          <w:szCs w:val="26"/>
        </w:rPr>
        <w:t xml:space="preserve"> by </w:t>
      </w:r>
      <w:r w:rsidR="00DF4BDB">
        <w:rPr>
          <w:szCs w:val="26"/>
        </w:rPr>
        <w:t>agreeing to do so</w:t>
      </w:r>
      <w:r w:rsidR="009B2A24">
        <w:rPr>
          <w:szCs w:val="26"/>
        </w:rPr>
        <w:t>.</w:t>
      </w:r>
    </w:p>
    <w:p w14:paraId="63589A66" w14:textId="70804C27" w:rsidR="00444F65" w:rsidRDefault="004D7594" w:rsidP="00A52283">
      <w:pPr>
        <w:spacing w:after="0" w:line="288" w:lineRule="auto"/>
        <w:ind w:firstLine="720"/>
        <w:outlineLvl w:val="0"/>
        <w:rPr>
          <w:szCs w:val="26"/>
        </w:rPr>
      </w:pPr>
      <w:r>
        <w:rPr>
          <w:szCs w:val="26"/>
        </w:rPr>
        <w:t xml:space="preserve">Section </w:t>
      </w:r>
      <w:r w:rsidR="00772CBC">
        <w:rPr>
          <w:szCs w:val="26"/>
        </w:rPr>
        <w:t xml:space="preserve">1290.6 permits the parties to </w:t>
      </w:r>
      <w:r w:rsidR="00E10192">
        <w:rPr>
          <w:szCs w:val="26"/>
        </w:rPr>
        <w:t>extend</w:t>
      </w:r>
      <w:r w:rsidR="004707CE">
        <w:rPr>
          <w:szCs w:val="26"/>
        </w:rPr>
        <w:t xml:space="preserve"> the time for filing and serving a response </w:t>
      </w:r>
      <w:r w:rsidR="00640BBE">
        <w:rPr>
          <w:szCs w:val="26"/>
        </w:rPr>
        <w:t xml:space="preserve">to a petition </w:t>
      </w:r>
      <w:r w:rsidR="004707CE">
        <w:rPr>
          <w:szCs w:val="26"/>
        </w:rPr>
        <w:t xml:space="preserve">by </w:t>
      </w:r>
      <w:r w:rsidR="00AB7994">
        <w:rPr>
          <w:szCs w:val="26"/>
        </w:rPr>
        <w:t xml:space="preserve">making </w:t>
      </w:r>
      <w:r w:rsidR="004707CE">
        <w:rPr>
          <w:szCs w:val="26"/>
        </w:rPr>
        <w:t>an agreement in writing.  Section 1288.2</w:t>
      </w:r>
      <w:r w:rsidR="009A7AF0">
        <w:rPr>
          <w:szCs w:val="26"/>
        </w:rPr>
        <w:t>, which was enacted at the same time,</w:t>
      </w:r>
      <w:r w:rsidR="004707CE">
        <w:rPr>
          <w:szCs w:val="26"/>
        </w:rPr>
        <w:t xml:space="preserve"> contains no such extension provision.  </w:t>
      </w:r>
      <w:r w:rsidR="00082F69">
        <w:rPr>
          <w:szCs w:val="26"/>
        </w:rPr>
        <w:t xml:space="preserve">We presume </w:t>
      </w:r>
      <w:r w:rsidR="00095DB0">
        <w:rPr>
          <w:szCs w:val="26"/>
        </w:rPr>
        <w:t xml:space="preserve">that this </w:t>
      </w:r>
      <w:r w:rsidR="003E4066">
        <w:rPr>
          <w:szCs w:val="26"/>
        </w:rPr>
        <w:t>omission was intentional</w:t>
      </w:r>
      <w:r w:rsidR="00724E9A">
        <w:rPr>
          <w:szCs w:val="26"/>
        </w:rPr>
        <w:t>.</w:t>
      </w:r>
      <w:r w:rsidR="003E4066">
        <w:rPr>
          <w:szCs w:val="26"/>
        </w:rPr>
        <w:t xml:space="preserve">  </w:t>
      </w:r>
      <w:r w:rsidR="009A7AF0">
        <w:rPr>
          <w:szCs w:val="26"/>
        </w:rPr>
        <w:t>(</w:t>
      </w:r>
      <w:r w:rsidR="00003145">
        <w:rPr>
          <w:i/>
          <w:iCs/>
          <w:szCs w:val="26"/>
        </w:rPr>
        <w:t xml:space="preserve">Walt Disney Parks &amp; Resorts U.S., Inc. v. Superior Court </w:t>
      </w:r>
      <w:r w:rsidR="00003145">
        <w:rPr>
          <w:szCs w:val="26"/>
        </w:rPr>
        <w:t>(</w:t>
      </w:r>
      <w:r w:rsidR="008B13CF">
        <w:rPr>
          <w:szCs w:val="26"/>
        </w:rPr>
        <w:t xml:space="preserve">2018) 21 Cal.App.5th 872, 879 [where a phrase is included in one provision of a statutory scheme but omitted from another provision, “we presume that the Legislature did not intend the language included in the first </w:t>
      </w:r>
      <w:r w:rsidR="00CB7594">
        <w:rPr>
          <w:szCs w:val="26"/>
        </w:rPr>
        <w:t xml:space="preserve">to be read into the second”]; </w:t>
      </w:r>
      <w:r w:rsidR="001117F4" w:rsidRPr="001117F4">
        <w:rPr>
          <w:i/>
          <w:iCs/>
          <w:szCs w:val="26"/>
        </w:rPr>
        <w:t>Hennigan v. United Pacific Ins. Co.</w:t>
      </w:r>
      <w:r w:rsidR="001117F4" w:rsidRPr="001117F4">
        <w:rPr>
          <w:szCs w:val="26"/>
        </w:rPr>
        <w:t> (1975) 53 Cal.App.3d 1, 8</w:t>
      </w:r>
      <w:r w:rsidR="00775F82">
        <w:rPr>
          <w:szCs w:val="26"/>
        </w:rPr>
        <w:t xml:space="preserve"> [</w:t>
      </w:r>
      <w:r w:rsidR="00103C14">
        <w:rPr>
          <w:szCs w:val="26"/>
        </w:rPr>
        <w:t>“</w:t>
      </w:r>
      <w:r w:rsidR="00103C14" w:rsidRPr="00103C14">
        <w:rPr>
          <w:szCs w:val="26"/>
        </w:rPr>
        <w:t>The fact that a provision of a statute on a given subject is omitted from other statutes relating to a similar subject is indicative of a different legislative intent for each of the statutes</w:t>
      </w:r>
      <w:r w:rsidR="00103C14">
        <w:rPr>
          <w:szCs w:val="26"/>
        </w:rPr>
        <w:t>”</w:t>
      </w:r>
      <w:r w:rsidR="00AB7994">
        <w:rPr>
          <w:szCs w:val="26"/>
        </w:rPr>
        <w:t>]</w:t>
      </w:r>
      <w:r w:rsidR="00103C14" w:rsidRPr="00103C14">
        <w:rPr>
          <w:szCs w:val="26"/>
        </w:rPr>
        <w:t>.</w:t>
      </w:r>
      <w:r w:rsidR="00AB7994">
        <w:rPr>
          <w:szCs w:val="26"/>
        </w:rPr>
        <w:t>)</w:t>
      </w:r>
      <w:r w:rsidR="00103C14">
        <w:rPr>
          <w:szCs w:val="26"/>
        </w:rPr>
        <w:t xml:space="preserve"> </w:t>
      </w:r>
      <w:r w:rsidR="00AB7994">
        <w:rPr>
          <w:szCs w:val="26"/>
        </w:rPr>
        <w:t xml:space="preserve"> </w:t>
      </w:r>
      <w:r w:rsidR="003E4066">
        <w:rPr>
          <w:szCs w:val="26"/>
        </w:rPr>
        <w:t xml:space="preserve">Key’s interpretation </w:t>
      </w:r>
      <w:r w:rsidR="00B51E04">
        <w:rPr>
          <w:szCs w:val="26"/>
        </w:rPr>
        <w:t xml:space="preserve">therefore undermines the </w:t>
      </w:r>
      <w:r w:rsidR="008564CC">
        <w:rPr>
          <w:szCs w:val="26"/>
        </w:rPr>
        <w:t>l</w:t>
      </w:r>
      <w:r w:rsidR="00B51E04">
        <w:rPr>
          <w:szCs w:val="26"/>
        </w:rPr>
        <w:t xml:space="preserve">egislative </w:t>
      </w:r>
      <w:r w:rsidR="00623D40">
        <w:rPr>
          <w:szCs w:val="26"/>
        </w:rPr>
        <w:t xml:space="preserve">scheme by </w:t>
      </w:r>
      <w:r w:rsidR="00797A33">
        <w:rPr>
          <w:szCs w:val="26"/>
        </w:rPr>
        <w:t xml:space="preserve">permitting the parties to </w:t>
      </w:r>
      <w:r w:rsidR="00054A55">
        <w:rPr>
          <w:szCs w:val="26"/>
        </w:rPr>
        <w:t>alter</w:t>
      </w:r>
      <w:r w:rsidR="002C5123">
        <w:rPr>
          <w:szCs w:val="26"/>
        </w:rPr>
        <w:t xml:space="preserve"> </w:t>
      </w:r>
      <w:r w:rsidR="0071547A">
        <w:rPr>
          <w:szCs w:val="26"/>
        </w:rPr>
        <w:t xml:space="preserve">a deadline that the </w:t>
      </w:r>
      <w:r w:rsidR="00157996">
        <w:rPr>
          <w:szCs w:val="26"/>
        </w:rPr>
        <w:t xml:space="preserve">statutory language </w:t>
      </w:r>
      <w:r w:rsidR="003F3524">
        <w:rPr>
          <w:szCs w:val="26"/>
        </w:rPr>
        <w:t xml:space="preserve">treats as </w:t>
      </w:r>
      <w:r w:rsidR="00B22C06">
        <w:rPr>
          <w:szCs w:val="26"/>
        </w:rPr>
        <w:t>firm</w:t>
      </w:r>
      <w:r w:rsidR="00157996">
        <w:rPr>
          <w:szCs w:val="26"/>
        </w:rPr>
        <w:t>.</w:t>
      </w:r>
      <w:r>
        <w:rPr>
          <w:rStyle w:val="FootnoteReference"/>
          <w:szCs w:val="26"/>
        </w:rPr>
        <w:footnoteReference w:id="7"/>
      </w:r>
    </w:p>
    <w:p w14:paraId="2D8090E5" w14:textId="22770062" w:rsidR="00E3562F" w:rsidRPr="00FA6F8F" w:rsidRDefault="004D7594" w:rsidP="00A52283">
      <w:pPr>
        <w:spacing w:after="0" w:line="288" w:lineRule="auto"/>
        <w:ind w:firstLine="720"/>
        <w:outlineLvl w:val="0"/>
        <w:rPr>
          <w:szCs w:val="26"/>
        </w:rPr>
      </w:pPr>
      <w:r>
        <w:rPr>
          <w:szCs w:val="26"/>
        </w:rPr>
        <w:lastRenderedPageBreak/>
        <w:t xml:space="preserve">Our prior decision in </w:t>
      </w:r>
      <w:r>
        <w:rPr>
          <w:i/>
          <w:iCs/>
          <w:szCs w:val="26"/>
        </w:rPr>
        <w:t>Santa Monica, supra</w:t>
      </w:r>
      <w:r>
        <w:rPr>
          <w:szCs w:val="26"/>
        </w:rPr>
        <w:t xml:space="preserve">, 243 Cal.App.4th 538, is not to the contrary.  Although in that case we stated that, “[a]s a general matter, a party seeking to vacate an arbitration award must </w:t>
      </w:r>
      <w:r w:rsidRPr="0038573E">
        <w:rPr>
          <w:i/>
          <w:iCs/>
          <w:szCs w:val="26"/>
        </w:rPr>
        <w:t>either</w:t>
      </w:r>
      <w:r>
        <w:rPr>
          <w:szCs w:val="26"/>
        </w:rPr>
        <w:t xml:space="preserve"> (1)</w:t>
      </w:r>
      <w:r w:rsidR="0038573E">
        <w:rPr>
          <w:szCs w:val="26"/>
        </w:rPr>
        <w:t> </w:t>
      </w:r>
      <w:r>
        <w:rPr>
          <w:szCs w:val="26"/>
        </w:rPr>
        <w:t xml:space="preserve">file and serve a petition to vacate that award ‘not later than 100 days after the date of service of a signed copy of the award’ [citations], </w:t>
      </w:r>
      <w:r w:rsidRPr="0038573E">
        <w:rPr>
          <w:i/>
          <w:iCs/>
          <w:szCs w:val="26"/>
        </w:rPr>
        <w:t>or</w:t>
      </w:r>
      <w:r>
        <w:rPr>
          <w:szCs w:val="26"/>
        </w:rPr>
        <w:t xml:space="preserve"> (2)</w:t>
      </w:r>
      <w:r w:rsidR="0038573E">
        <w:rPr>
          <w:szCs w:val="26"/>
        </w:rPr>
        <w:t> </w:t>
      </w:r>
      <w:r>
        <w:rPr>
          <w:szCs w:val="26"/>
        </w:rPr>
        <w:t>file and serve a timely response (that is, within 10 days) to the other party’s petition to confirm that award, which seeks to vacate that award [citations]” (</w:t>
      </w:r>
      <w:r>
        <w:rPr>
          <w:i/>
          <w:iCs/>
          <w:szCs w:val="26"/>
        </w:rPr>
        <w:t>id.</w:t>
      </w:r>
      <w:r>
        <w:rPr>
          <w:szCs w:val="26"/>
        </w:rPr>
        <w:t xml:space="preserve"> at p. 544, italics added), our use of the word “or” was not a holding that a response to a petition that also seeks to vacate an arbitration award is jurisdictionally proper as long as it is a timely response and irrespective of the 100-day deadline.  That is because (1)</w:t>
      </w:r>
      <w:r w:rsidR="0038573E">
        <w:rPr>
          <w:szCs w:val="26"/>
        </w:rPr>
        <w:t> </w:t>
      </w:r>
      <w:r>
        <w:rPr>
          <w:szCs w:val="26"/>
        </w:rPr>
        <w:t xml:space="preserve">the petition to vacate filed in </w:t>
      </w:r>
      <w:r>
        <w:rPr>
          <w:i/>
          <w:iCs/>
          <w:szCs w:val="26"/>
        </w:rPr>
        <w:t>Santa Monica</w:t>
      </w:r>
      <w:r>
        <w:rPr>
          <w:szCs w:val="26"/>
        </w:rPr>
        <w:t xml:space="preserve"> was an affirmative petition (not a response) that was served more than 100 days after the award was served (</w:t>
      </w:r>
      <w:r>
        <w:rPr>
          <w:i/>
          <w:iCs/>
          <w:szCs w:val="26"/>
        </w:rPr>
        <w:t>id</w:t>
      </w:r>
      <w:r>
        <w:rPr>
          <w:szCs w:val="26"/>
        </w:rPr>
        <w:t>. at p. 454) and (2)</w:t>
      </w:r>
      <w:r w:rsidR="0038573E">
        <w:rPr>
          <w:szCs w:val="26"/>
        </w:rPr>
        <w:t> </w:t>
      </w:r>
      <w:r>
        <w:rPr>
          <w:szCs w:val="26"/>
        </w:rPr>
        <w:t xml:space="preserve">the applicability of section 1288.2 was not at issue (and, indeed, section 1288.2 was never cited </w:t>
      </w:r>
      <w:r>
        <w:rPr>
          <w:i/>
          <w:iCs/>
          <w:szCs w:val="26"/>
        </w:rPr>
        <w:t>at all</w:t>
      </w:r>
      <w:r>
        <w:rPr>
          <w:szCs w:val="26"/>
        </w:rPr>
        <w:t>) (</w:t>
      </w:r>
      <w:r w:rsidR="00FA6F8F">
        <w:rPr>
          <w:i/>
          <w:iCs/>
          <w:szCs w:val="26"/>
        </w:rPr>
        <w:t>Silverbrand v. County of Los Angeles</w:t>
      </w:r>
      <w:r w:rsidR="00FA6F8F">
        <w:rPr>
          <w:szCs w:val="26"/>
        </w:rPr>
        <w:t xml:space="preserve"> (2009) 46 Cal.4th 106, 127 [“</w:t>
      </w:r>
      <w:r w:rsidR="0038573E">
        <w:rPr>
          <w:szCs w:val="26"/>
        </w:rPr>
        <w:t> </w:t>
      </w:r>
      <w:r w:rsidR="00FA6F8F">
        <w:rPr>
          <w:szCs w:val="26"/>
        </w:rPr>
        <w:t>‘</w:t>
      </w:r>
      <w:r w:rsidR="0038573E">
        <w:rPr>
          <w:szCs w:val="26"/>
        </w:rPr>
        <w:t> </w:t>
      </w:r>
      <w:r w:rsidR="00FA6F8F">
        <w:rPr>
          <w:szCs w:val="26"/>
        </w:rPr>
        <w:t>“cases are not authority for propositions not considered”</w:t>
      </w:r>
      <w:r w:rsidR="0038573E">
        <w:rPr>
          <w:szCs w:val="26"/>
        </w:rPr>
        <w:t> </w:t>
      </w:r>
      <w:r w:rsidR="00FA6F8F">
        <w:rPr>
          <w:szCs w:val="26"/>
        </w:rPr>
        <w:t>’</w:t>
      </w:r>
      <w:r w:rsidR="0038573E">
        <w:rPr>
          <w:szCs w:val="26"/>
        </w:rPr>
        <w:t> </w:t>
      </w:r>
      <w:r w:rsidR="00FA6F8F">
        <w:rPr>
          <w:szCs w:val="26"/>
        </w:rPr>
        <w:t>”])</w:t>
      </w:r>
      <w:r w:rsidR="003B682E">
        <w:rPr>
          <w:szCs w:val="26"/>
        </w:rPr>
        <w:t>.</w:t>
      </w:r>
    </w:p>
    <w:p w14:paraId="39BD8900" w14:textId="51BA0384" w:rsidR="00B90385" w:rsidRPr="00243E72" w:rsidRDefault="004D7594" w:rsidP="00A52283">
      <w:pPr>
        <w:keepNext/>
        <w:keepLines/>
        <w:spacing w:after="0" w:line="288" w:lineRule="auto"/>
        <w:ind w:left="720" w:right="720" w:hanging="720"/>
        <w:outlineLvl w:val="0"/>
        <w:rPr>
          <w:b/>
          <w:bCs/>
          <w:szCs w:val="26"/>
        </w:rPr>
      </w:pPr>
      <w:r>
        <w:rPr>
          <w:b/>
          <w:bCs/>
          <w:szCs w:val="26"/>
        </w:rPr>
        <w:t>2.</w:t>
      </w:r>
      <w:r>
        <w:rPr>
          <w:b/>
          <w:bCs/>
          <w:szCs w:val="26"/>
        </w:rPr>
        <w:tab/>
      </w:r>
      <w:r w:rsidR="00BD0847">
        <w:rPr>
          <w:b/>
          <w:bCs/>
          <w:szCs w:val="26"/>
        </w:rPr>
        <w:t>Key’s Late Filing Cannot Be Excused Under the Doctrines of Estoppel or Waiver</w:t>
      </w:r>
    </w:p>
    <w:p w14:paraId="0B5DD6C7" w14:textId="05A03EFE" w:rsidR="00A537EC" w:rsidRDefault="004D7594" w:rsidP="00A52283">
      <w:pPr>
        <w:spacing w:after="0" w:line="288" w:lineRule="auto"/>
        <w:ind w:firstLine="720"/>
        <w:outlineLvl w:val="0"/>
        <w:rPr>
          <w:szCs w:val="26"/>
        </w:rPr>
      </w:pPr>
      <w:r>
        <w:rPr>
          <w:szCs w:val="26"/>
        </w:rPr>
        <w:t xml:space="preserve">Key argues that </w:t>
      </w:r>
      <w:r w:rsidR="00ED5BD4">
        <w:rPr>
          <w:szCs w:val="26"/>
        </w:rPr>
        <w:t>LFG “expressly agreed in writing that the parties would not adhere to the statutory timeframes for arbitration proceedings, but instead would obtain a simultaneous hearing date for the competi</w:t>
      </w:r>
      <w:r w:rsidR="000007BE">
        <w:rPr>
          <w:szCs w:val="26"/>
        </w:rPr>
        <w:t xml:space="preserve">ng petitions.”  She further </w:t>
      </w:r>
      <w:r w:rsidR="003D5902">
        <w:rPr>
          <w:szCs w:val="26"/>
        </w:rPr>
        <w:t>claims</w:t>
      </w:r>
      <w:r w:rsidR="000007BE">
        <w:rPr>
          <w:szCs w:val="26"/>
        </w:rPr>
        <w:t xml:space="preserve"> that </w:t>
      </w:r>
      <w:r w:rsidR="00352751">
        <w:rPr>
          <w:szCs w:val="26"/>
        </w:rPr>
        <w:t xml:space="preserve">LFG knew that Key </w:t>
      </w:r>
      <w:r w:rsidR="00EA0DAA">
        <w:rPr>
          <w:szCs w:val="26"/>
        </w:rPr>
        <w:t>intended to file</w:t>
      </w:r>
      <w:r w:rsidR="00352751">
        <w:rPr>
          <w:szCs w:val="26"/>
        </w:rPr>
        <w:t xml:space="preserve"> a timely petition to vacate</w:t>
      </w:r>
      <w:r w:rsidR="00F53ED8">
        <w:rPr>
          <w:szCs w:val="26"/>
        </w:rPr>
        <w:t xml:space="preserve"> </w:t>
      </w:r>
      <w:r w:rsidR="00CA4C63">
        <w:rPr>
          <w:szCs w:val="26"/>
        </w:rPr>
        <w:t>and</w:t>
      </w:r>
      <w:r w:rsidR="00F53ED8">
        <w:rPr>
          <w:szCs w:val="26"/>
        </w:rPr>
        <w:t xml:space="preserve"> that she</w:t>
      </w:r>
      <w:r w:rsidR="00EA0DAA">
        <w:rPr>
          <w:szCs w:val="26"/>
        </w:rPr>
        <w:t xml:space="preserve"> delayed doing so because of the parties’ </w:t>
      </w:r>
      <w:r w:rsidR="00EA0DAA">
        <w:rPr>
          <w:szCs w:val="26"/>
        </w:rPr>
        <w:lastRenderedPageBreak/>
        <w:t>agreement</w:t>
      </w:r>
      <w:r w:rsidR="00F53ED8">
        <w:rPr>
          <w:szCs w:val="26"/>
        </w:rPr>
        <w:t>.</w:t>
      </w:r>
      <w:r w:rsidR="0038573E">
        <w:rPr>
          <w:szCs w:val="26"/>
        </w:rPr>
        <w:t xml:space="preserve">  </w:t>
      </w:r>
      <w:r w:rsidR="00D5116D">
        <w:rPr>
          <w:szCs w:val="26"/>
        </w:rPr>
        <w:t xml:space="preserve">Key </w:t>
      </w:r>
      <w:r w:rsidR="003D5902">
        <w:rPr>
          <w:szCs w:val="26"/>
        </w:rPr>
        <w:t>argues</w:t>
      </w:r>
      <w:r w:rsidR="00D5116D">
        <w:rPr>
          <w:szCs w:val="26"/>
        </w:rPr>
        <w:t xml:space="preserve"> that, based on this conduct, LFG is equitably estopped </w:t>
      </w:r>
      <w:r w:rsidR="004730A4">
        <w:rPr>
          <w:szCs w:val="26"/>
        </w:rPr>
        <w:t xml:space="preserve">from relying on the statutory 100-day filing deadline.  Alternatively, she </w:t>
      </w:r>
      <w:r w:rsidR="003D5902">
        <w:rPr>
          <w:szCs w:val="26"/>
        </w:rPr>
        <w:t>argues</w:t>
      </w:r>
      <w:r w:rsidR="004730A4">
        <w:rPr>
          <w:szCs w:val="26"/>
        </w:rPr>
        <w:t xml:space="preserve"> that LFG waived the </w:t>
      </w:r>
      <w:r w:rsidR="00E4209B">
        <w:rPr>
          <w:szCs w:val="26"/>
        </w:rPr>
        <w:t>right to assert that deadline.</w:t>
      </w:r>
    </w:p>
    <w:p w14:paraId="2608F96B" w14:textId="17708F4A" w:rsidR="0056243C" w:rsidRDefault="004D7594" w:rsidP="00A52283">
      <w:pPr>
        <w:spacing w:after="0" w:line="288" w:lineRule="auto"/>
        <w:ind w:firstLine="720"/>
        <w:outlineLvl w:val="0"/>
        <w:rPr>
          <w:szCs w:val="26"/>
        </w:rPr>
      </w:pPr>
      <w:r>
        <w:rPr>
          <w:szCs w:val="26"/>
        </w:rPr>
        <w:t xml:space="preserve">We reject </w:t>
      </w:r>
      <w:r w:rsidR="00A537EC">
        <w:rPr>
          <w:szCs w:val="26"/>
        </w:rPr>
        <w:t>both</w:t>
      </w:r>
      <w:r>
        <w:rPr>
          <w:szCs w:val="26"/>
        </w:rPr>
        <w:t xml:space="preserve"> argument</w:t>
      </w:r>
      <w:r w:rsidR="003D5902">
        <w:rPr>
          <w:szCs w:val="26"/>
        </w:rPr>
        <w:t>s</w:t>
      </w:r>
      <w:r>
        <w:rPr>
          <w:szCs w:val="26"/>
        </w:rPr>
        <w:t>.</w:t>
      </w:r>
      <w:r w:rsidR="00A537EC">
        <w:rPr>
          <w:szCs w:val="26"/>
        </w:rPr>
        <w:t xml:space="preserve">  </w:t>
      </w:r>
      <w:r>
        <w:rPr>
          <w:szCs w:val="26"/>
        </w:rPr>
        <w:t xml:space="preserve">Even assuming (without deciding) that there </w:t>
      </w:r>
      <w:r w:rsidR="0074109B">
        <w:rPr>
          <w:szCs w:val="26"/>
        </w:rPr>
        <w:t>could</w:t>
      </w:r>
      <w:r>
        <w:rPr>
          <w:szCs w:val="26"/>
        </w:rPr>
        <w:t xml:space="preserve"> be situations </w:t>
      </w:r>
      <w:r w:rsidR="00C968DD">
        <w:rPr>
          <w:szCs w:val="26"/>
        </w:rPr>
        <w:t xml:space="preserve">in which a party’s failure to comply with the 100-day rule may be excused </w:t>
      </w:r>
      <w:r w:rsidR="0074109B">
        <w:rPr>
          <w:szCs w:val="26"/>
        </w:rPr>
        <w:t>on equitable grounds, this is not one of them.</w:t>
      </w:r>
    </w:p>
    <w:p w14:paraId="282E2479" w14:textId="23CC4773" w:rsidR="00945095" w:rsidRDefault="004D7594" w:rsidP="00A52283">
      <w:pPr>
        <w:spacing w:after="0" w:line="288" w:lineRule="auto"/>
        <w:ind w:firstLine="720"/>
        <w:outlineLvl w:val="0"/>
        <w:rPr>
          <w:szCs w:val="26"/>
        </w:rPr>
      </w:pPr>
      <w:r>
        <w:rPr>
          <w:szCs w:val="26"/>
        </w:rPr>
        <w:t>Key’s</w:t>
      </w:r>
      <w:r w:rsidR="00DB7D00">
        <w:rPr>
          <w:szCs w:val="26"/>
        </w:rPr>
        <w:t xml:space="preserve"> estoppel and waiver arguments </w:t>
      </w:r>
      <w:r w:rsidR="004304CA">
        <w:rPr>
          <w:szCs w:val="26"/>
        </w:rPr>
        <w:t>both depend upon the assumption</w:t>
      </w:r>
      <w:r w:rsidR="002324C3">
        <w:rPr>
          <w:szCs w:val="26"/>
        </w:rPr>
        <w:t xml:space="preserve"> that the parties could alter the 100-day deadline by agreement.</w:t>
      </w:r>
      <w:r w:rsidR="003A04B7">
        <w:rPr>
          <w:szCs w:val="26"/>
        </w:rPr>
        <w:t xml:space="preserve">  But n</w:t>
      </w:r>
      <w:r w:rsidR="0088014D">
        <w:rPr>
          <w:szCs w:val="26"/>
        </w:rPr>
        <w:t>either section 1288 nor section 1288.2 permits extension of the 100-</w:t>
      </w:r>
      <w:r w:rsidR="00F73B85">
        <w:rPr>
          <w:szCs w:val="26"/>
        </w:rPr>
        <w:t xml:space="preserve">day </w:t>
      </w:r>
      <w:r w:rsidR="0088014D">
        <w:rPr>
          <w:szCs w:val="26"/>
        </w:rPr>
        <w:t>deadline</w:t>
      </w:r>
      <w:r w:rsidR="0073026D">
        <w:rPr>
          <w:szCs w:val="26"/>
        </w:rPr>
        <w:t xml:space="preserve"> </w:t>
      </w:r>
      <w:r w:rsidR="00941B8E">
        <w:rPr>
          <w:szCs w:val="26"/>
        </w:rPr>
        <w:t>through</w:t>
      </w:r>
      <w:r w:rsidR="0073026D">
        <w:rPr>
          <w:szCs w:val="26"/>
        </w:rPr>
        <w:t xml:space="preserve"> agreement</w:t>
      </w:r>
      <w:r w:rsidR="00941B8E">
        <w:rPr>
          <w:szCs w:val="26"/>
        </w:rPr>
        <w:t xml:space="preserve"> of the parties</w:t>
      </w:r>
      <w:r w:rsidR="0088014D">
        <w:rPr>
          <w:szCs w:val="26"/>
        </w:rPr>
        <w:t>.</w:t>
      </w:r>
      <w:r w:rsidR="003A04B7">
        <w:rPr>
          <w:szCs w:val="26"/>
        </w:rPr>
        <w:t xml:space="preserve">  </w:t>
      </w:r>
      <w:r w:rsidR="00284F55">
        <w:rPr>
          <w:szCs w:val="26"/>
        </w:rPr>
        <w:t>A</w:t>
      </w:r>
      <w:r w:rsidR="00CD55E9">
        <w:rPr>
          <w:szCs w:val="26"/>
        </w:rPr>
        <w:t>nd, a</w:t>
      </w:r>
      <w:r w:rsidR="00284F55">
        <w:rPr>
          <w:szCs w:val="26"/>
        </w:rPr>
        <w:t xml:space="preserve">s discussed above, the provision in section 1290.6 permitting extension of the </w:t>
      </w:r>
      <w:r w:rsidR="00F73B85">
        <w:rPr>
          <w:i/>
          <w:iCs/>
          <w:szCs w:val="26"/>
        </w:rPr>
        <w:t>10</w:t>
      </w:r>
      <w:r w:rsidR="00284F55">
        <w:rPr>
          <w:szCs w:val="26"/>
        </w:rPr>
        <w:t>-</w:t>
      </w:r>
      <w:r w:rsidR="00284F55" w:rsidRPr="0016049E">
        <w:rPr>
          <w:i/>
          <w:iCs/>
          <w:szCs w:val="26"/>
        </w:rPr>
        <w:t>day</w:t>
      </w:r>
      <w:r w:rsidR="00284F55">
        <w:rPr>
          <w:szCs w:val="26"/>
        </w:rPr>
        <w:t xml:space="preserve"> response deadline cannot be read into the 100-day limitation in sections 1288 and 1288.2.  </w:t>
      </w:r>
      <w:r w:rsidR="003A04B7">
        <w:rPr>
          <w:szCs w:val="26"/>
        </w:rPr>
        <w:t>Thus, even if Key believed that LFG had agreed to alter the 100-day deadline, she could not reasonably have relied on such an agreement</w:t>
      </w:r>
      <w:r w:rsidR="006E5E69">
        <w:rPr>
          <w:szCs w:val="26"/>
        </w:rPr>
        <w:t xml:space="preserve"> in filing her response</w:t>
      </w:r>
      <w:r w:rsidR="003A04B7">
        <w:rPr>
          <w:szCs w:val="26"/>
        </w:rPr>
        <w:t>.</w:t>
      </w:r>
      <w:r>
        <w:rPr>
          <w:rStyle w:val="FootnoteReference"/>
          <w:szCs w:val="26"/>
        </w:rPr>
        <w:footnoteReference w:id="8"/>
      </w:r>
    </w:p>
    <w:p w14:paraId="1E6F0060" w14:textId="258E1966" w:rsidR="0080426C" w:rsidRDefault="004D7594" w:rsidP="00A52283">
      <w:pPr>
        <w:spacing w:after="0" w:line="288" w:lineRule="auto"/>
        <w:ind w:firstLine="720"/>
        <w:outlineLvl w:val="0"/>
        <w:rPr>
          <w:szCs w:val="26"/>
        </w:rPr>
      </w:pPr>
      <w:r>
        <w:rPr>
          <w:szCs w:val="26"/>
        </w:rPr>
        <w:lastRenderedPageBreak/>
        <w:t>Moreover</w:t>
      </w:r>
      <w:r w:rsidR="0038400D">
        <w:rPr>
          <w:szCs w:val="26"/>
        </w:rPr>
        <w:t xml:space="preserve">, numerous cases treat the 100-day deadline as jurisdictional.  </w:t>
      </w:r>
      <w:r w:rsidR="00770ED7">
        <w:rPr>
          <w:szCs w:val="26"/>
        </w:rPr>
        <w:t>For example, i</w:t>
      </w:r>
      <w:r w:rsidR="00085900">
        <w:rPr>
          <w:szCs w:val="26"/>
        </w:rPr>
        <w:t>n</w:t>
      </w:r>
      <w:r w:rsidR="0039702B">
        <w:rPr>
          <w:szCs w:val="26"/>
        </w:rPr>
        <w:t xml:space="preserve"> </w:t>
      </w:r>
      <w:r w:rsidR="0039702B">
        <w:rPr>
          <w:i/>
          <w:iCs/>
          <w:szCs w:val="26"/>
        </w:rPr>
        <w:t xml:space="preserve">Santa </w:t>
      </w:r>
      <w:r w:rsidR="00665244">
        <w:rPr>
          <w:i/>
          <w:iCs/>
          <w:szCs w:val="26"/>
        </w:rPr>
        <w:t xml:space="preserve">Monica, </w:t>
      </w:r>
      <w:r w:rsidR="00665244">
        <w:rPr>
          <w:szCs w:val="26"/>
        </w:rPr>
        <w:t xml:space="preserve">this court </w:t>
      </w:r>
      <w:r w:rsidR="00C2209E">
        <w:rPr>
          <w:szCs w:val="26"/>
        </w:rPr>
        <w:t xml:space="preserve">held that the trial court </w:t>
      </w:r>
      <w:r w:rsidR="00FA50A0">
        <w:rPr>
          <w:szCs w:val="26"/>
        </w:rPr>
        <w:t xml:space="preserve">did not have the authority </w:t>
      </w:r>
      <w:r w:rsidR="005D14A6">
        <w:rPr>
          <w:szCs w:val="26"/>
        </w:rPr>
        <w:t xml:space="preserve">under section 473, subdivision (b) </w:t>
      </w:r>
      <w:r w:rsidR="00FA50A0">
        <w:rPr>
          <w:szCs w:val="26"/>
        </w:rPr>
        <w:t xml:space="preserve">to excuse </w:t>
      </w:r>
      <w:r w:rsidR="005D14A6">
        <w:rPr>
          <w:szCs w:val="26"/>
        </w:rPr>
        <w:t>a</w:t>
      </w:r>
      <w:r w:rsidR="00FA50A0">
        <w:rPr>
          <w:szCs w:val="26"/>
        </w:rPr>
        <w:t xml:space="preserve"> late-filed petition </w:t>
      </w:r>
      <w:r w:rsidR="005D14A6">
        <w:rPr>
          <w:szCs w:val="26"/>
        </w:rPr>
        <w:t>to vacate</w:t>
      </w:r>
      <w:r w:rsidR="00FA50A0">
        <w:rPr>
          <w:szCs w:val="26"/>
        </w:rPr>
        <w:t xml:space="preserve"> </w:t>
      </w:r>
      <w:r w:rsidR="00207DBD">
        <w:rPr>
          <w:szCs w:val="26"/>
        </w:rPr>
        <w:t>because that section “cannot be relied upon to excuse a party’s failure to comply with a jurisdictional statute of limitations</w:t>
      </w:r>
      <w:r w:rsidR="006403C1">
        <w:rPr>
          <w:szCs w:val="26"/>
        </w:rPr>
        <w:t xml:space="preserve">.”  </w:t>
      </w:r>
      <w:r w:rsidR="00B2782F">
        <w:rPr>
          <w:szCs w:val="26"/>
        </w:rPr>
        <w:t>(</w:t>
      </w:r>
      <w:r w:rsidR="002F22E1">
        <w:rPr>
          <w:i/>
          <w:iCs/>
          <w:szCs w:val="26"/>
        </w:rPr>
        <w:t xml:space="preserve">Santa Monica, supra, </w:t>
      </w:r>
      <w:r w:rsidR="00BA4EF2">
        <w:rPr>
          <w:szCs w:val="26"/>
        </w:rPr>
        <w:t>243 Cal.App.4th at p. 545</w:t>
      </w:r>
      <w:r w:rsidR="002D7B1D">
        <w:rPr>
          <w:szCs w:val="26"/>
        </w:rPr>
        <w:t xml:space="preserve">; see also </w:t>
      </w:r>
      <w:r w:rsidR="002D7B1D">
        <w:rPr>
          <w:i/>
          <w:iCs/>
          <w:szCs w:val="26"/>
        </w:rPr>
        <w:t xml:space="preserve">Abers v. Rohrs </w:t>
      </w:r>
      <w:r w:rsidR="002D7B1D">
        <w:rPr>
          <w:szCs w:val="26"/>
        </w:rPr>
        <w:t>(2013) 217 Cal.App.4th 1199</w:t>
      </w:r>
      <w:r w:rsidR="00F87F9C">
        <w:rPr>
          <w:szCs w:val="26"/>
        </w:rPr>
        <w:t>, 1203</w:t>
      </w:r>
      <w:r w:rsidR="002D7B1D">
        <w:rPr>
          <w:szCs w:val="26"/>
        </w:rPr>
        <w:t xml:space="preserve"> (</w:t>
      </w:r>
      <w:r w:rsidR="002D7B1D">
        <w:rPr>
          <w:i/>
          <w:iCs/>
          <w:szCs w:val="26"/>
        </w:rPr>
        <w:t>Abers</w:t>
      </w:r>
      <w:r w:rsidR="002D7B1D">
        <w:rPr>
          <w:szCs w:val="26"/>
        </w:rPr>
        <w:t>)</w:t>
      </w:r>
      <w:r w:rsidR="005C7FB4">
        <w:rPr>
          <w:szCs w:val="26"/>
        </w:rPr>
        <w:t xml:space="preserve"> [</w:t>
      </w:r>
      <w:r w:rsidR="00F87F9C">
        <w:rPr>
          <w:szCs w:val="26"/>
        </w:rPr>
        <w:t>the 100-day deadline “operates in the same manner as the deadline for filing an appeal, and the court loses jurisdiction to vacate the award if the petition is not timely served and filed</w:t>
      </w:r>
      <w:r w:rsidR="006767DB">
        <w:rPr>
          <w:szCs w:val="26"/>
        </w:rPr>
        <w:t>”</w:t>
      </w:r>
      <w:r w:rsidR="00F87F9C">
        <w:rPr>
          <w:szCs w:val="26"/>
        </w:rPr>
        <w:t>]</w:t>
      </w:r>
      <w:r w:rsidR="00B2782F">
        <w:rPr>
          <w:szCs w:val="26"/>
        </w:rPr>
        <w:t>.)</w:t>
      </w:r>
      <w:r>
        <w:rPr>
          <w:rStyle w:val="FootnoteReference"/>
          <w:szCs w:val="26"/>
        </w:rPr>
        <w:footnoteReference w:id="9"/>
      </w:r>
      <w:r w:rsidR="00B2782F">
        <w:rPr>
          <w:szCs w:val="26"/>
        </w:rPr>
        <w:t xml:space="preserve">  </w:t>
      </w:r>
      <w:r w:rsidR="00BE322E">
        <w:rPr>
          <w:szCs w:val="26"/>
        </w:rPr>
        <w:t xml:space="preserve">Like section 1288, </w:t>
      </w:r>
      <w:r w:rsidR="00BE322E">
        <w:rPr>
          <w:szCs w:val="26"/>
        </w:rPr>
        <w:lastRenderedPageBreak/>
        <w:t>section 1288.2 imposes a strict 100</w:t>
      </w:r>
      <w:r w:rsidR="00F73B85">
        <w:rPr>
          <w:szCs w:val="26"/>
        </w:rPr>
        <w:t>-</w:t>
      </w:r>
      <w:r w:rsidR="00BE322E">
        <w:rPr>
          <w:szCs w:val="26"/>
        </w:rPr>
        <w:t xml:space="preserve">day deadline </w:t>
      </w:r>
      <w:r w:rsidR="00890A71">
        <w:rPr>
          <w:szCs w:val="26"/>
        </w:rPr>
        <w:t>to file and serve a request to vacate.  It is similarly jurisdictional.</w:t>
      </w:r>
    </w:p>
    <w:p w14:paraId="2438DAC1" w14:textId="510C4B91" w:rsidR="000E61A9" w:rsidRPr="00904192" w:rsidRDefault="004D7594" w:rsidP="00A52283">
      <w:pPr>
        <w:spacing w:after="0" w:line="288" w:lineRule="auto"/>
        <w:ind w:firstLine="720"/>
        <w:outlineLvl w:val="0"/>
        <w:rPr>
          <w:szCs w:val="26"/>
        </w:rPr>
      </w:pPr>
      <w:bookmarkStart w:id="1" w:name="_Hlk78200709"/>
      <w:r>
        <w:rPr>
          <w:szCs w:val="26"/>
        </w:rPr>
        <w:t xml:space="preserve">The rule is firmly established that </w:t>
      </w:r>
      <w:r w:rsidR="00B90BEF">
        <w:rPr>
          <w:szCs w:val="26"/>
        </w:rPr>
        <w:t>p</w:t>
      </w:r>
      <w:r w:rsidR="00F42145">
        <w:rPr>
          <w:szCs w:val="26"/>
        </w:rPr>
        <w:t xml:space="preserve">arties may not </w:t>
      </w:r>
      <w:r w:rsidR="007B40A4">
        <w:rPr>
          <w:szCs w:val="26"/>
        </w:rPr>
        <w:t>confer jurisdiction by agreement</w:t>
      </w:r>
      <w:r w:rsidR="00B579B4">
        <w:rPr>
          <w:szCs w:val="26"/>
        </w:rPr>
        <w:t xml:space="preserve">.  </w:t>
      </w:r>
      <w:r w:rsidR="00A92BDE">
        <w:rPr>
          <w:szCs w:val="26"/>
        </w:rPr>
        <w:t>(</w:t>
      </w:r>
      <w:r w:rsidR="000C0B7B">
        <w:rPr>
          <w:szCs w:val="26"/>
        </w:rPr>
        <w:t xml:space="preserve">See </w:t>
      </w:r>
      <w:r w:rsidR="00A92BDE">
        <w:rPr>
          <w:i/>
          <w:iCs/>
          <w:szCs w:val="26"/>
        </w:rPr>
        <w:t xml:space="preserve">Rockefeller Technology Investments (Asia) VII v. Changzhou SinoType Technology Co., Ltd. </w:t>
      </w:r>
      <w:r w:rsidR="00A92BDE">
        <w:rPr>
          <w:szCs w:val="26"/>
        </w:rPr>
        <w:t>(2020) 9 Cal.5th 125, 138</w:t>
      </w:r>
      <w:r w:rsidR="00F73B85">
        <w:rPr>
          <w:szCs w:val="26"/>
        </w:rPr>
        <w:t>–</w:t>
      </w:r>
      <w:r w:rsidR="00A92BDE">
        <w:rPr>
          <w:szCs w:val="26"/>
        </w:rPr>
        <w:t>139 (</w:t>
      </w:r>
      <w:r w:rsidR="00A92BDE">
        <w:rPr>
          <w:i/>
          <w:iCs/>
          <w:szCs w:val="26"/>
        </w:rPr>
        <w:t>Rockefeller</w:t>
      </w:r>
      <w:r w:rsidR="00A92BDE">
        <w:rPr>
          <w:szCs w:val="26"/>
        </w:rPr>
        <w:t>) [“</w:t>
      </w:r>
      <w:r w:rsidR="00F73B85">
        <w:rPr>
          <w:szCs w:val="26"/>
        </w:rPr>
        <w:t> </w:t>
      </w:r>
      <w:r w:rsidR="00A92BDE">
        <w:rPr>
          <w:szCs w:val="26"/>
        </w:rPr>
        <w:t xml:space="preserve">‘[w]here the jurisdiction of the </w:t>
      </w:r>
      <w:r w:rsidR="00355E9F">
        <w:rPr>
          <w:szCs w:val="26"/>
        </w:rPr>
        <w:t>C</w:t>
      </w:r>
      <w:r w:rsidR="00A92BDE">
        <w:rPr>
          <w:szCs w:val="26"/>
        </w:rPr>
        <w:t xml:space="preserve">ourt as to the </w:t>
      </w:r>
      <w:r w:rsidR="00A92BDE">
        <w:rPr>
          <w:i/>
          <w:iCs/>
          <w:szCs w:val="26"/>
        </w:rPr>
        <w:t xml:space="preserve">subject-matter </w:t>
      </w:r>
      <w:r w:rsidR="00A92BDE">
        <w:rPr>
          <w:szCs w:val="26"/>
        </w:rPr>
        <w:t>has been limited by the Constitution or the statute, the consent of the parties cannot confer jurisdiction</w:t>
      </w:r>
      <w:r w:rsidR="00355E9F">
        <w:rPr>
          <w:szCs w:val="26"/>
        </w:rPr>
        <w:t>’ </w:t>
      </w:r>
      <w:r w:rsidR="00A92BDE">
        <w:rPr>
          <w:szCs w:val="26"/>
        </w:rPr>
        <w:t>”</w:t>
      </w:r>
      <w:r w:rsidR="005378A4">
        <w:rPr>
          <w:szCs w:val="26"/>
        </w:rPr>
        <w:t xml:space="preserve">], </w:t>
      </w:r>
      <w:r w:rsidR="00A92BDE">
        <w:rPr>
          <w:szCs w:val="26"/>
        </w:rPr>
        <w:t xml:space="preserve">quoting </w:t>
      </w:r>
      <w:r w:rsidR="00A92BDE">
        <w:rPr>
          <w:i/>
          <w:iCs/>
          <w:szCs w:val="26"/>
        </w:rPr>
        <w:t xml:space="preserve">Gray v. Hawes </w:t>
      </w:r>
      <w:r w:rsidR="00A92BDE">
        <w:rPr>
          <w:szCs w:val="26"/>
        </w:rPr>
        <w:t>(1857) 8 Cal.</w:t>
      </w:r>
      <w:r w:rsidR="00355E9F">
        <w:rPr>
          <w:szCs w:val="26"/>
        </w:rPr>
        <w:t xml:space="preserve"> </w:t>
      </w:r>
      <w:r w:rsidR="00A92BDE">
        <w:rPr>
          <w:szCs w:val="26"/>
        </w:rPr>
        <w:t xml:space="preserve">562, 568; </w:t>
      </w:r>
      <w:r w:rsidR="00A92BDE">
        <w:rPr>
          <w:i/>
          <w:iCs/>
          <w:szCs w:val="26"/>
        </w:rPr>
        <w:t xml:space="preserve">People v. Burhop </w:t>
      </w:r>
      <w:r w:rsidR="00A92BDE">
        <w:rPr>
          <w:szCs w:val="26"/>
        </w:rPr>
        <w:t>(</w:t>
      </w:r>
      <w:r w:rsidR="00E34D3D">
        <w:rPr>
          <w:szCs w:val="26"/>
        </w:rPr>
        <w:t xml:space="preserve">2021) </w:t>
      </w:r>
      <w:r w:rsidR="00D04D5A">
        <w:rPr>
          <w:szCs w:val="26"/>
        </w:rPr>
        <w:t>65</w:t>
      </w:r>
      <w:r w:rsidR="00E34D3D">
        <w:rPr>
          <w:szCs w:val="26"/>
        </w:rPr>
        <w:t xml:space="preserve"> Cal.App.5th </w:t>
      </w:r>
      <w:r w:rsidR="00D04D5A">
        <w:rPr>
          <w:szCs w:val="26"/>
        </w:rPr>
        <w:t>808, 813</w:t>
      </w:r>
      <w:r w:rsidR="00A92BDE">
        <w:rPr>
          <w:szCs w:val="26"/>
        </w:rPr>
        <w:t xml:space="preserve"> [trial court loses jurisdiction over the </w:t>
      </w:r>
      <w:r w:rsidR="00A92BDE" w:rsidRPr="003A5BF2">
        <w:rPr>
          <w:szCs w:val="26"/>
        </w:rPr>
        <w:t>subject matter</w:t>
      </w:r>
      <w:r w:rsidR="00A92BDE">
        <w:rPr>
          <w:szCs w:val="26"/>
        </w:rPr>
        <w:t xml:space="preserve"> of </w:t>
      </w:r>
      <w:r w:rsidR="005B58D9">
        <w:rPr>
          <w:szCs w:val="26"/>
        </w:rPr>
        <w:t xml:space="preserve">an </w:t>
      </w:r>
      <w:r w:rsidR="00A92BDE">
        <w:rPr>
          <w:szCs w:val="26"/>
        </w:rPr>
        <w:t>appealed order, and “even the consent of the parties has been held ineffective to reinvest the trial court with jurisdiction” until the remittitur issues]</w:t>
      </w:r>
      <w:r w:rsidR="00097B92">
        <w:rPr>
          <w:szCs w:val="26"/>
        </w:rPr>
        <w:t>,</w:t>
      </w:r>
      <w:r w:rsidR="00A92BDE">
        <w:rPr>
          <w:szCs w:val="26"/>
        </w:rPr>
        <w:t xml:space="preserve"> quoting </w:t>
      </w:r>
      <w:r w:rsidR="00A92BDE">
        <w:rPr>
          <w:i/>
          <w:iCs/>
          <w:szCs w:val="26"/>
        </w:rPr>
        <w:t xml:space="preserve">In re Lukasik </w:t>
      </w:r>
      <w:r w:rsidR="00A92BDE">
        <w:rPr>
          <w:szCs w:val="26"/>
        </w:rPr>
        <w:t>(1951) 108 Cal.App.2d 438, 443</w:t>
      </w:r>
      <w:r w:rsidR="00097B92">
        <w:rPr>
          <w:szCs w:val="26"/>
        </w:rPr>
        <w:t xml:space="preserve">; </w:t>
      </w:r>
      <w:r w:rsidR="00904192">
        <w:rPr>
          <w:i/>
          <w:iCs/>
          <w:szCs w:val="26"/>
        </w:rPr>
        <w:t xml:space="preserve">Land v. Johnston </w:t>
      </w:r>
      <w:r w:rsidR="00904192">
        <w:rPr>
          <w:szCs w:val="26"/>
        </w:rPr>
        <w:t>(1909) 156 Cal.</w:t>
      </w:r>
      <w:r w:rsidR="00355E9F">
        <w:rPr>
          <w:szCs w:val="26"/>
        </w:rPr>
        <w:t xml:space="preserve"> </w:t>
      </w:r>
      <w:r w:rsidR="00904192">
        <w:rPr>
          <w:szCs w:val="26"/>
        </w:rPr>
        <w:t>253, 254</w:t>
      </w:r>
      <w:r w:rsidR="00F73B85">
        <w:rPr>
          <w:szCs w:val="26"/>
        </w:rPr>
        <w:t>–</w:t>
      </w:r>
      <w:r w:rsidR="00904192">
        <w:rPr>
          <w:szCs w:val="26"/>
        </w:rPr>
        <w:t>255 [</w:t>
      </w:r>
      <w:r w:rsidR="008C65CF">
        <w:rPr>
          <w:szCs w:val="26"/>
        </w:rPr>
        <w:t xml:space="preserve">“the time within which a notice of appeal may be filed is fixed by law and cannot be enlarged by stipulation of the parties”].)  </w:t>
      </w:r>
      <w:r w:rsidR="00474470">
        <w:rPr>
          <w:szCs w:val="26"/>
        </w:rPr>
        <w:t xml:space="preserve">Thus, parties may not simply waive </w:t>
      </w:r>
      <w:r w:rsidR="00A13E7E">
        <w:rPr>
          <w:szCs w:val="26"/>
        </w:rPr>
        <w:t>the jurisdictional deadline in sections 1288 and 1288.2 by stipulation.</w:t>
      </w:r>
    </w:p>
    <w:bookmarkEnd w:id="1"/>
    <w:p w14:paraId="5872D38A" w14:textId="7EA59A32" w:rsidR="001A33B5" w:rsidRDefault="004D7594" w:rsidP="00A52283">
      <w:pPr>
        <w:spacing w:after="0" w:line="288" w:lineRule="auto"/>
        <w:ind w:firstLine="720"/>
        <w:outlineLvl w:val="0"/>
        <w:rPr>
          <w:szCs w:val="26"/>
        </w:rPr>
      </w:pPr>
      <w:r>
        <w:rPr>
          <w:szCs w:val="26"/>
        </w:rPr>
        <w:t xml:space="preserve">Key </w:t>
      </w:r>
      <w:r w:rsidR="00080EC3">
        <w:rPr>
          <w:szCs w:val="26"/>
        </w:rPr>
        <w:t xml:space="preserve">argues that the 100-day rule is not jurisdictional, but is </w:t>
      </w:r>
      <w:r w:rsidR="00AA1F45">
        <w:rPr>
          <w:szCs w:val="26"/>
        </w:rPr>
        <w:t>like other filing deadlines</w:t>
      </w:r>
      <w:r w:rsidR="00080EC3">
        <w:rPr>
          <w:szCs w:val="26"/>
        </w:rPr>
        <w:t xml:space="preserve"> that </w:t>
      </w:r>
      <w:r w:rsidR="00165C80">
        <w:rPr>
          <w:szCs w:val="26"/>
        </w:rPr>
        <w:t xml:space="preserve">parties </w:t>
      </w:r>
      <w:r w:rsidR="00080EC3">
        <w:rPr>
          <w:szCs w:val="26"/>
        </w:rPr>
        <w:t xml:space="preserve">may </w:t>
      </w:r>
      <w:r w:rsidR="00125DE1">
        <w:rPr>
          <w:szCs w:val="26"/>
        </w:rPr>
        <w:t>expressly or impliedly waive</w:t>
      </w:r>
      <w:r w:rsidR="00080EC3">
        <w:rPr>
          <w:szCs w:val="26"/>
        </w:rPr>
        <w:t xml:space="preserve">.  The cases she </w:t>
      </w:r>
      <w:r w:rsidR="00C71E40">
        <w:rPr>
          <w:szCs w:val="26"/>
        </w:rPr>
        <w:t xml:space="preserve">cites in support of that argument </w:t>
      </w:r>
      <w:r w:rsidR="00293397">
        <w:rPr>
          <w:szCs w:val="26"/>
        </w:rPr>
        <w:t xml:space="preserve">either do not stand for that proposition or </w:t>
      </w:r>
      <w:r w:rsidR="00E1449E">
        <w:rPr>
          <w:szCs w:val="26"/>
        </w:rPr>
        <w:t>are unpersuasive</w:t>
      </w:r>
      <w:r w:rsidR="00F10CCD">
        <w:rPr>
          <w:szCs w:val="26"/>
        </w:rPr>
        <w:t>.</w:t>
      </w:r>
    </w:p>
    <w:p w14:paraId="657C2E68" w14:textId="3C5095EA" w:rsidR="008E68E3" w:rsidRDefault="004D7594" w:rsidP="00A52283">
      <w:pPr>
        <w:spacing w:after="0" w:line="288" w:lineRule="auto"/>
        <w:ind w:firstLine="720"/>
        <w:outlineLvl w:val="0"/>
        <w:rPr>
          <w:szCs w:val="26"/>
        </w:rPr>
      </w:pPr>
      <w:r>
        <w:rPr>
          <w:szCs w:val="26"/>
        </w:rPr>
        <w:t>For example, Key cites</w:t>
      </w:r>
      <w:r w:rsidR="00B71787">
        <w:rPr>
          <w:szCs w:val="26"/>
        </w:rPr>
        <w:t xml:space="preserve"> </w:t>
      </w:r>
      <w:r w:rsidR="00B71787">
        <w:rPr>
          <w:i/>
          <w:iCs/>
          <w:szCs w:val="26"/>
        </w:rPr>
        <w:t xml:space="preserve">Abers </w:t>
      </w:r>
      <w:r w:rsidR="00B71787">
        <w:rPr>
          <w:szCs w:val="26"/>
        </w:rPr>
        <w:t xml:space="preserve">and </w:t>
      </w:r>
      <w:r w:rsidR="001700E6">
        <w:rPr>
          <w:i/>
          <w:iCs/>
          <w:szCs w:val="26"/>
        </w:rPr>
        <w:t>Southern Cal. Pipe Trades</w:t>
      </w:r>
      <w:r w:rsidR="00355E9F">
        <w:rPr>
          <w:i/>
          <w:iCs/>
          <w:szCs w:val="26"/>
        </w:rPr>
        <w:t xml:space="preserve"> Dist.</w:t>
      </w:r>
      <w:r w:rsidR="001700E6">
        <w:rPr>
          <w:i/>
          <w:iCs/>
          <w:szCs w:val="26"/>
        </w:rPr>
        <w:t xml:space="preserve"> Council </w:t>
      </w:r>
      <w:r w:rsidR="00D65065">
        <w:rPr>
          <w:i/>
          <w:iCs/>
          <w:szCs w:val="26"/>
        </w:rPr>
        <w:t xml:space="preserve">No. 16 v. Merritt </w:t>
      </w:r>
      <w:r w:rsidR="00D65065">
        <w:rPr>
          <w:szCs w:val="26"/>
        </w:rPr>
        <w:t>(1981) 126 Cal.App.3d 530</w:t>
      </w:r>
      <w:r w:rsidR="00881787">
        <w:rPr>
          <w:szCs w:val="26"/>
        </w:rPr>
        <w:t xml:space="preserve"> </w:t>
      </w:r>
      <w:r w:rsidR="00881787">
        <w:rPr>
          <w:szCs w:val="26"/>
        </w:rPr>
        <w:lastRenderedPageBreak/>
        <w:t>(</w:t>
      </w:r>
      <w:r w:rsidR="00881787">
        <w:rPr>
          <w:i/>
          <w:iCs/>
          <w:szCs w:val="26"/>
        </w:rPr>
        <w:t>So. Cal. Pipe Trades</w:t>
      </w:r>
      <w:r w:rsidR="00881787">
        <w:rPr>
          <w:szCs w:val="26"/>
        </w:rPr>
        <w:t xml:space="preserve">) </w:t>
      </w:r>
      <w:r w:rsidR="000F49F4">
        <w:rPr>
          <w:szCs w:val="26"/>
        </w:rPr>
        <w:t>for the principle that a party may be equitably estopped from asserting the 100-day limitations period.</w:t>
      </w:r>
      <w:r w:rsidR="00344183">
        <w:rPr>
          <w:szCs w:val="26"/>
        </w:rPr>
        <w:t xml:space="preserve">  </w:t>
      </w:r>
      <w:r w:rsidR="005557AB">
        <w:rPr>
          <w:szCs w:val="26"/>
        </w:rPr>
        <w:t xml:space="preserve">But those cases both concerned </w:t>
      </w:r>
      <w:r w:rsidR="00846603">
        <w:rPr>
          <w:szCs w:val="26"/>
        </w:rPr>
        <w:t xml:space="preserve">questions of proper </w:t>
      </w:r>
      <w:r w:rsidR="00846603" w:rsidRPr="00094A66">
        <w:rPr>
          <w:i/>
          <w:iCs/>
          <w:szCs w:val="26"/>
        </w:rPr>
        <w:t>service</w:t>
      </w:r>
      <w:r w:rsidR="00924E17">
        <w:rPr>
          <w:szCs w:val="26"/>
        </w:rPr>
        <w:t xml:space="preserve">, not </w:t>
      </w:r>
      <w:r w:rsidR="00094A66">
        <w:rPr>
          <w:szCs w:val="26"/>
        </w:rPr>
        <w:t>a purported agreement to extend</w:t>
      </w:r>
      <w:r w:rsidR="004F3AD3">
        <w:rPr>
          <w:szCs w:val="26"/>
        </w:rPr>
        <w:t xml:space="preserve"> the 100-day deadline</w:t>
      </w:r>
      <w:r w:rsidR="001F2082">
        <w:rPr>
          <w:szCs w:val="26"/>
        </w:rPr>
        <w:t xml:space="preserve">.  In </w:t>
      </w:r>
      <w:r w:rsidR="00751722">
        <w:rPr>
          <w:i/>
          <w:iCs/>
          <w:szCs w:val="26"/>
        </w:rPr>
        <w:t xml:space="preserve">So. Cal. Pipe Trades, </w:t>
      </w:r>
      <w:r w:rsidR="00751722">
        <w:rPr>
          <w:szCs w:val="26"/>
        </w:rPr>
        <w:t xml:space="preserve">the court </w:t>
      </w:r>
      <w:r w:rsidR="004F75DE">
        <w:rPr>
          <w:szCs w:val="26"/>
        </w:rPr>
        <w:t xml:space="preserve">ruled that an individual was not a party to the arbitration and that </w:t>
      </w:r>
      <w:r w:rsidR="00DE3F68">
        <w:rPr>
          <w:szCs w:val="26"/>
        </w:rPr>
        <w:t>it would therefore be “fundamentally unfair” to conclude that service on him on behalf of a corporation was adequate.  (</w:t>
      </w:r>
      <w:r w:rsidR="00F73B85">
        <w:rPr>
          <w:szCs w:val="26"/>
        </w:rPr>
        <w:t>126 Cal.App.3d</w:t>
      </w:r>
      <w:r w:rsidR="000A208F">
        <w:rPr>
          <w:i/>
          <w:iCs/>
          <w:szCs w:val="26"/>
        </w:rPr>
        <w:t xml:space="preserve"> </w:t>
      </w:r>
      <w:r w:rsidR="000A208F">
        <w:rPr>
          <w:szCs w:val="26"/>
        </w:rPr>
        <w:t xml:space="preserve">at p. 541.)  </w:t>
      </w:r>
      <w:r w:rsidR="00751722">
        <w:rPr>
          <w:szCs w:val="26"/>
        </w:rPr>
        <w:t xml:space="preserve">And in </w:t>
      </w:r>
      <w:r w:rsidR="00751722">
        <w:rPr>
          <w:i/>
          <w:iCs/>
          <w:szCs w:val="26"/>
        </w:rPr>
        <w:t xml:space="preserve">Abers, </w:t>
      </w:r>
      <w:r w:rsidR="00D27F79">
        <w:rPr>
          <w:szCs w:val="26"/>
        </w:rPr>
        <w:t xml:space="preserve">the court rejected the argument that a party was estopped from </w:t>
      </w:r>
      <w:r w:rsidR="006D249B">
        <w:rPr>
          <w:szCs w:val="26"/>
        </w:rPr>
        <w:t>contesting whether a petition was properly served</w:t>
      </w:r>
      <w:r w:rsidR="00D70A5E">
        <w:rPr>
          <w:szCs w:val="26"/>
        </w:rPr>
        <w:t xml:space="preserve">, finding that </w:t>
      </w:r>
      <w:r w:rsidR="007C3ABE">
        <w:rPr>
          <w:szCs w:val="26"/>
        </w:rPr>
        <w:t>there was “no basis in equity to estop the [party</w:t>
      </w:r>
      <w:r w:rsidR="00C132EE">
        <w:rPr>
          <w:szCs w:val="26"/>
        </w:rPr>
        <w:t>] from demanding compliance with legal requirements for service of process</w:t>
      </w:r>
      <w:r w:rsidR="002C0F14">
        <w:rPr>
          <w:szCs w:val="26"/>
        </w:rPr>
        <w:t>.</w:t>
      </w:r>
      <w:r w:rsidR="00C132EE">
        <w:rPr>
          <w:szCs w:val="26"/>
        </w:rPr>
        <w:t>”  (</w:t>
      </w:r>
      <w:r w:rsidR="00C132EE">
        <w:rPr>
          <w:i/>
          <w:iCs/>
          <w:szCs w:val="26"/>
        </w:rPr>
        <w:t xml:space="preserve">Abers, supra, </w:t>
      </w:r>
      <w:r w:rsidR="00C132EE">
        <w:rPr>
          <w:szCs w:val="26"/>
        </w:rPr>
        <w:t xml:space="preserve">217 Cal.App.4th at p. </w:t>
      </w:r>
      <w:r w:rsidR="00CC6A35">
        <w:rPr>
          <w:szCs w:val="26"/>
        </w:rPr>
        <w:t>1209.)</w:t>
      </w:r>
    </w:p>
    <w:p w14:paraId="0910FC35" w14:textId="580FA738" w:rsidR="00FD42B8" w:rsidRPr="00127544" w:rsidRDefault="004D7594" w:rsidP="00A52283">
      <w:pPr>
        <w:spacing w:after="0" w:line="288" w:lineRule="auto"/>
        <w:ind w:firstLine="720"/>
        <w:outlineLvl w:val="0"/>
        <w:rPr>
          <w:szCs w:val="26"/>
        </w:rPr>
      </w:pPr>
      <w:bookmarkStart w:id="2" w:name="_Hlk78200851"/>
      <w:r>
        <w:rPr>
          <w:szCs w:val="26"/>
        </w:rPr>
        <w:t>P</w:t>
      </w:r>
      <w:r w:rsidR="00905B1D">
        <w:rPr>
          <w:szCs w:val="26"/>
        </w:rPr>
        <w:t xml:space="preserve">arties </w:t>
      </w:r>
      <w:r w:rsidR="002372E2">
        <w:rPr>
          <w:szCs w:val="26"/>
        </w:rPr>
        <w:t xml:space="preserve">may </w:t>
      </w:r>
      <w:r w:rsidR="00E01A78">
        <w:rPr>
          <w:szCs w:val="26"/>
        </w:rPr>
        <w:t xml:space="preserve">generally </w:t>
      </w:r>
      <w:r w:rsidR="002372E2">
        <w:rPr>
          <w:szCs w:val="26"/>
        </w:rPr>
        <w:t xml:space="preserve">agree </w:t>
      </w:r>
      <w:r w:rsidR="00E01A78">
        <w:rPr>
          <w:szCs w:val="26"/>
        </w:rPr>
        <w:t xml:space="preserve">to </w:t>
      </w:r>
      <w:r w:rsidR="00AA4D1F" w:rsidRPr="00D35D19">
        <w:rPr>
          <w:i/>
          <w:iCs/>
          <w:szCs w:val="26"/>
        </w:rPr>
        <w:t>personal</w:t>
      </w:r>
      <w:r w:rsidR="00AA4D1F">
        <w:rPr>
          <w:szCs w:val="26"/>
        </w:rPr>
        <w:t xml:space="preserve"> jurisdiction </w:t>
      </w:r>
      <w:r w:rsidR="00CC3F23">
        <w:rPr>
          <w:szCs w:val="26"/>
        </w:rPr>
        <w:t>by accepting service of process or appearing in an action</w:t>
      </w:r>
      <w:r w:rsidR="00E01A78">
        <w:rPr>
          <w:szCs w:val="26"/>
        </w:rPr>
        <w:t xml:space="preserve">.  </w:t>
      </w:r>
      <w:r w:rsidR="00C97436">
        <w:rPr>
          <w:szCs w:val="26"/>
        </w:rPr>
        <w:t>(</w:t>
      </w:r>
      <w:r w:rsidR="00905B1D">
        <w:rPr>
          <w:szCs w:val="26"/>
        </w:rPr>
        <w:t xml:space="preserve">See </w:t>
      </w:r>
      <w:r w:rsidR="00C97436">
        <w:rPr>
          <w:i/>
          <w:iCs/>
          <w:szCs w:val="26"/>
        </w:rPr>
        <w:t>Rockefeller</w:t>
      </w:r>
      <w:r w:rsidR="00905B1D">
        <w:rPr>
          <w:i/>
          <w:iCs/>
          <w:szCs w:val="26"/>
        </w:rPr>
        <w:t xml:space="preserve">, supra, </w:t>
      </w:r>
      <w:r w:rsidR="00C97436">
        <w:rPr>
          <w:szCs w:val="26"/>
        </w:rPr>
        <w:t xml:space="preserve">9 Cal.5th </w:t>
      </w:r>
      <w:r w:rsidR="00905B1D">
        <w:rPr>
          <w:szCs w:val="26"/>
        </w:rPr>
        <w:t xml:space="preserve">at pp. </w:t>
      </w:r>
      <w:r w:rsidR="00C97436">
        <w:rPr>
          <w:szCs w:val="26"/>
        </w:rPr>
        <w:t>138</w:t>
      </w:r>
      <w:r w:rsidR="00633765">
        <w:rPr>
          <w:szCs w:val="26"/>
        </w:rPr>
        <w:t>–</w:t>
      </w:r>
      <w:r w:rsidR="00C97436">
        <w:rPr>
          <w:szCs w:val="26"/>
        </w:rPr>
        <w:t>139 [“Cases have recognized that one may waive both personal jurisdiction and notice aspects of service”].)</w:t>
      </w:r>
      <w:r w:rsidR="004E76BF">
        <w:rPr>
          <w:szCs w:val="26"/>
        </w:rPr>
        <w:t xml:space="preserve"> </w:t>
      </w:r>
      <w:r>
        <w:rPr>
          <w:szCs w:val="26"/>
        </w:rPr>
        <w:t xml:space="preserve"> In contrast, as discussed above, parties may not </w:t>
      </w:r>
      <w:r w:rsidR="00E43C6E" w:rsidRPr="002B113E">
        <w:rPr>
          <w:szCs w:val="26"/>
        </w:rPr>
        <w:t>circumvent statutory jurisdictional deadlines</w:t>
      </w:r>
      <w:r w:rsidR="00E43C6E">
        <w:rPr>
          <w:szCs w:val="26"/>
        </w:rPr>
        <w:t xml:space="preserve">. </w:t>
      </w:r>
      <w:r>
        <w:rPr>
          <w:szCs w:val="26"/>
        </w:rPr>
        <w:t xml:space="preserve"> </w:t>
      </w:r>
      <w:r w:rsidR="008A3E4B">
        <w:rPr>
          <w:szCs w:val="26"/>
        </w:rPr>
        <w:t>(</w:t>
      </w:r>
      <w:r w:rsidR="008A3E4B">
        <w:rPr>
          <w:i/>
          <w:iCs/>
          <w:szCs w:val="26"/>
        </w:rPr>
        <w:t>Ibid.</w:t>
      </w:r>
      <w:r w:rsidR="008A3E4B">
        <w:rPr>
          <w:szCs w:val="26"/>
        </w:rPr>
        <w:t xml:space="preserve">) </w:t>
      </w:r>
      <w:r w:rsidR="008A3E4B">
        <w:rPr>
          <w:i/>
          <w:iCs/>
          <w:szCs w:val="26"/>
        </w:rPr>
        <w:t xml:space="preserve"> </w:t>
      </w:r>
      <w:r w:rsidR="008E68E3">
        <w:rPr>
          <w:i/>
          <w:iCs/>
          <w:szCs w:val="26"/>
        </w:rPr>
        <w:t xml:space="preserve">Abers </w:t>
      </w:r>
      <w:r w:rsidR="008E68E3">
        <w:rPr>
          <w:szCs w:val="26"/>
        </w:rPr>
        <w:t xml:space="preserve">and </w:t>
      </w:r>
      <w:r w:rsidR="00127544">
        <w:rPr>
          <w:i/>
          <w:iCs/>
          <w:szCs w:val="26"/>
        </w:rPr>
        <w:t xml:space="preserve">So. Cal. Pipe Trades </w:t>
      </w:r>
      <w:r w:rsidR="00127544">
        <w:rPr>
          <w:szCs w:val="26"/>
        </w:rPr>
        <w:t xml:space="preserve">therefore do not support the </w:t>
      </w:r>
      <w:r w:rsidR="00EB3207">
        <w:rPr>
          <w:szCs w:val="26"/>
        </w:rPr>
        <w:t>conclusion</w:t>
      </w:r>
      <w:r w:rsidR="00127544">
        <w:rPr>
          <w:szCs w:val="26"/>
        </w:rPr>
        <w:t xml:space="preserve"> that </w:t>
      </w:r>
      <w:r w:rsidR="00933D74">
        <w:rPr>
          <w:szCs w:val="26"/>
        </w:rPr>
        <w:t>Key and LFG could</w:t>
      </w:r>
      <w:r w:rsidR="00127544">
        <w:rPr>
          <w:szCs w:val="26"/>
        </w:rPr>
        <w:t xml:space="preserve"> </w:t>
      </w:r>
      <w:r w:rsidR="00F04D52">
        <w:rPr>
          <w:szCs w:val="26"/>
        </w:rPr>
        <w:t>just agree</w:t>
      </w:r>
      <w:r w:rsidR="00290B7C">
        <w:rPr>
          <w:szCs w:val="26"/>
        </w:rPr>
        <w:t xml:space="preserve"> to extend the </w:t>
      </w:r>
      <w:r w:rsidR="00D35D19">
        <w:rPr>
          <w:szCs w:val="26"/>
        </w:rPr>
        <w:t>jurisdictional deadline</w:t>
      </w:r>
      <w:r w:rsidR="00206471">
        <w:rPr>
          <w:szCs w:val="26"/>
        </w:rPr>
        <w:t xml:space="preserve"> in sections 1288 and 1288.2.</w:t>
      </w:r>
    </w:p>
    <w:bookmarkEnd w:id="2"/>
    <w:p w14:paraId="2D6EE311" w14:textId="3F40B91B" w:rsidR="006A01A8" w:rsidRPr="008724D1" w:rsidRDefault="004D7594" w:rsidP="00A52283">
      <w:pPr>
        <w:spacing w:after="0" w:line="288" w:lineRule="auto"/>
        <w:ind w:firstLine="720"/>
        <w:outlineLvl w:val="0"/>
      </w:pPr>
      <w:r>
        <w:rPr>
          <w:szCs w:val="26"/>
        </w:rPr>
        <w:t xml:space="preserve">Key also cites </w:t>
      </w:r>
      <w:r w:rsidR="00EC7114">
        <w:rPr>
          <w:i/>
          <w:iCs/>
        </w:rPr>
        <w:t xml:space="preserve">Trabuco Highlands Community Assn. v. Head </w:t>
      </w:r>
      <w:r w:rsidR="00EC7114">
        <w:t xml:space="preserve">(2002) 96 Cal.App.4th 1183, which suggested in a footnote that the “failure to raise the limitations period under sections 1288 and 1288.2 in the trial court forfeits the issue on appeal.”  </w:t>
      </w:r>
      <w:r w:rsidR="006B590A">
        <w:t xml:space="preserve">The </w:t>
      </w:r>
      <w:r w:rsidR="008A2E69">
        <w:t xml:space="preserve">court did not actually </w:t>
      </w:r>
      <w:r w:rsidR="000C045B">
        <w:t>decide that issue, as it</w:t>
      </w:r>
      <w:r w:rsidR="00EB2B47">
        <w:t xml:space="preserve"> was raised for the first time at oral argument.  (</w:t>
      </w:r>
      <w:r w:rsidR="00633765">
        <w:t>A</w:t>
      </w:r>
      <w:r w:rsidR="00EB2B47">
        <w:t xml:space="preserve">t p. </w:t>
      </w:r>
      <w:r w:rsidR="00252167">
        <w:t>1192, fn. 10.)  In any event</w:t>
      </w:r>
      <w:r w:rsidR="00EC7114">
        <w:t xml:space="preserve">, </w:t>
      </w:r>
      <w:r>
        <w:t xml:space="preserve">to the extent the court in </w:t>
      </w:r>
      <w:r w:rsidR="008724D1">
        <w:rPr>
          <w:i/>
          <w:iCs/>
        </w:rPr>
        <w:t xml:space="preserve">Trabuco </w:t>
      </w:r>
      <w:r w:rsidR="008724D1">
        <w:t xml:space="preserve">intended to suggest that </w:t>
      </w:r>
      <w:r w:rsidR="00A666D9">
        <w:t>the 10</w:t>
      </w:r>
      <w:r w:rsidR="00A52067">
        <w:t>0</w:t>
      </w:r>
      <w:r w:rsidR="00A666D9">
        <w:t xml:space="preserve">-day rule is not jurisdictional, we disagree </w:t>
      </w:r>
      <w:r w:rsidR="005E7C87">
        <w:t xml:space="preserve">in light of the </w:t>
      </w:r>
      <w:r w:rsidR="005E7C87">
        <w:lastRenderedPageBreak/>
        <w:t>explicit statutory language and the clear precedent to the contrary</w:t>
      </w:r>
      <w:r w:rsidR="00A666D9">
        <w:t>.</w:t>
      </w:r>
    </w:p>
    <w:p w14:paraId="40B3984A" w14:textId="6AA1D000" w:rsidR="00A52067" w:rsidRDefault="004D7594" w:rsidP="00A52283">
      <w:pPr>
        <w:spacing w:after="0" w:line="288" w:lineRule="auto"/>
        <w:ind w:firstLine="720"/>
        <w:outlineLvl w:val="0"/>
        <w:rPr>
          <w:szCs w:val="26"/>
        </w:rPr>
      </w:pPr>
      <w:r>
        <w:rPr>
          <w:szCs w:val="26"/>
        </w:rPr>
        <w:t xml:space="preserve">Whatever else they might stand for, none of the cases that Key cites holds that parties </w:t>
      </w:r>
      <w:r w:rsidR="00B404EC">
        <w:rPr>
          <w:szCs w:val="26"/>
        </w:rPr>
        <w:t>are free</w:t>
      </w:r>
      <w:r>
        <w:rPr>
          <w:szCs w:val="26"/>
        </w:rPr>
        <w:t xml:space="preserve"> to extend the 100-day deadline in sections 1288 and 1288.2</w:t>
      </w:r>
      <w:r w:rsidR="00B404EC">
        <w:rPr>
          <w:szCs w:val="26"/>
        </w:rPr>
        <w:t xml:space="preserve"> by stipulation</w:t>
      </w:r>
      <w:r>
        <w:rPr>
          <w:szCs w:val="26"/>
        </w:rPr>
        <w:t>.  Thus, in light of the clear language of sections 1288 and 1288.2 and the cases interpreting them, Key could not have reasonably believed that LFG had the authority to waive the 100-day deadline.</w:t>
      </w:r>
    </w:p>
    <w:p w14:paraId="25C7E681" w14:textId="04EE50A7" w:rsidR="008F0CB8" w:rsidRPr="00585676" w:rsidRDefault="004D7594" w:rsidP="00A52283">
      <w:pPr>
        <w:spacing w:after="0" w:line="288" w:lineRule="auto"/>
        <w:ind w:firstLine="720"/>
        <w:outlineLvl w:val="0"/>
        <w:rPr>
          <w:szCs w:val="26"/>
        </w:rPr>
      </w:pPr>
      <w:r>
        <w:rPr>
          <w:szCs w:val="26"/>
        </w:rPr>
        <w:t xml:space="preserve">In sum, </w:t>
      </w:r>
      <w:r w:rsidR="0008091E">
        <w:rPr>
          <w:szCs w:val="26"/>
        </w:rPr>
        <w:t xml:space="preserve">Key might have been misled about </w:t>
      </w:r>
      <w:r w:rsidR="00C9185E">
        <w:rPr>
          <w:szCs w:val="26"/>
        </w:rPr>
        <w:t xml:space="preserve">LFG’s </w:t>
      </w:r>
      <w:r w:rsidR="00C9185E" w:rsidRPr="004663F4">
        <w:rPr>
          <w:i/>
          <w:iCs/>
          <w:szCs w:val="26"/>
        </w:rPr>
        <w:t>intention</w:t>
      </w:r>
      <w:r w:rsidR="00C9185E">
        <w:rPr>
          <w:szCs w:val="26"/>
        </w:rPr>
        <w:t xml:space="preserve"> to waive the 100-day deadline, but </w:t>
      </w:r>
      <w:r w:rsidR="00066F4D">
        <w:rPr>
          <w:szCs w:val="26"/>
        </w:rPr>
        <w:t xml:space="preserve">Key could not have </w:t>
      </w:r>
      <w:r w:rsidR="002A6DFF">
        <w:rPr>
          <w:szCs w:val="26"/>
        </w:rPr>
        <w:t>reasonably believed</w:t>
      </w:r>
      <w:r w:rsidR="00066F4D">
        <w:rPr>
          <w:szCs w:val="26"/>
        </w:rPr>
        <w:t xml:space="preserve"> that LFG had the legal </w:t>
      </w:r>
      <w:r w:rsidR="00066F4D" w:rsidRPr="00340023">
        <w:rPr>
          <w:i/>
          <w:iCs/>
          <w:szCs w:val="26"/>
        </w:rPr>
        <w:t>authority</w:t>
      </w:r>
      <w:r w:rsidR="00066F4D">
        <w:rPr>
          <w:szCs w:val="26"/>
        </w:rPr>
        <w:t xml:space="preserve"> to do so.</w:t>
      </w:r>
      <w:r w:rsidR="00340023">
        <w:rPr>
          <w:szCs w:val="26"/>
        </w:rPr>
        <w:t xml:space="preserve">  </w:t>
      </w:r>
      <w:r w:rsidR="006B7438">
        <w:rPr>
          <w:szCs w:val="26"/>
        </w:rPr>
        <w:t xml:space="preserve">Key was represented by counsel.  </w:t>
      </w:r>
      <w:r w:rsidR="00CF20A8">
        <w:rPr>
          <w:szCs w:val="26"/>
        </w:rPr>
        <w:t>For purposes of estoppel claims, “</w:t>
      </w:r>
      <w:r w:rsidR="00633765">
        <w:rPr>
          <w:szCs w:val="26"/>
        </w:rPr>
        <w:t> </w:t>
      </w:r>
      <w:r w:rsidR="00CF20A8">
        <w:rPr>
          <w:szCs w:val="26"/>
        </w:rPr>
        <w:t xml:space="preserve">‘attorneys are </w:t>
      </w:r>
      <w:r w:rsidR="00633765">
        <w:rPr>
          <w:szCs w:val="26"/>
        </w:rPr>
        <w:t>“</w:t>
      </w:r>
      <w:r w:rsidR="00CF20A8">
        <w:rPr>
          <w:szCs w:val="26"/>
        </w:rPr>
        <w:t>charged with knowledge of the law in California.</w:t>
      </w:r>
      <w:r w:rsidR="00633765">
        <w:rPr>
          <w:szCs w:val="26"/>
        </w:rPr>
        <w:t>” </w:t>
      </w:r>
      <w:r w:rsidR="00CF20A8">
        <w:rPr>
          <w:szCs w:val="26"/>
        </w:rPr>
        <w:t>’</w:t>
      </w:r>
      <w:r w:rsidR="00633765">
        <w:rPr>
          <w:szCs w:val="26"/>
        </w:rPr>
        <w:t> </w:t>
      </w:r>
      <w:r w:rsidR="00CF20A8">
        <w:rPr>
          <w:szCs w:val="26"/>
        </w:rPr>
        <w:t>”</w:t>
      </w:r>
      <w:r w:rsidR="00E91678">
        <w:rPr>
          <w:szCs w:val="26"/>
        </w:rPr>
        <w:t xml:space="preserve"> </w:t>
      </w:r>
      <w:r w:rsidR="00CF20A8">
        <w:rPr>
          <w:szCs w:val="26"/>
        </w:rPr>
        <w:t xml:space="preserve"> (</w:t>
      </w:r>
      <w:r w:rsidR="00CF20A8">
        <w:rPr>
          <w:i/>
          <w:iCs/>
          <w:szCs w:val="26"/>
        </w:rPr>
        <w:t xml:space="preserve">Abers, supra, </w:t>
      </w:r>
      <w:r w:rsidR="00CF20A8">
        <w:rPr>
          <w:szCs w:val="26"/>
        </w:rPr>
        <w:t xml:space="preserve">217 Cal.App.4th </w:t>
      </w:r>
      <w:r w:rsidR="00633765">
        <w:rPr>
          <w:szCs w:val="26"/>
        </w:rPr>
        <w:t>at p.</w:t>
      </w:r>
      <w:r w:rsidR="00CF20A8">
        <w:rPr>
          <w:szCs w:val="26"/>
        </w:rPr>
        <w:t xml:space="preserve"> 1210, quoting </w:t>
      </w:r>
      <w:r w:rsidR="00585676">
        <w:rPr>
          <w:i/>
          <w:iCs/>
          <w:szCs w:val="26"/>
        </w:rPr>
        <w:t xml:space="preserve">Steinhart v. County of Los Angeles </w:t>
      </w:r>
      <w:r w:rsidR="00585676">
        <w:rPr>
          <w:szCs w:val="26"/>
        </w:rPr>
        <w:t xml:space="preserve">(2010) 47 Cal.4th 1298, </w:t>
      </w:r>
      <w:r w:rsidR="00351536">
        <w:rPr>
          <w:szCs w:val="26"/>
        </w:rPr>
        <w:t xml:space="preserve">1316.)  </w:t>
      </w:r>
      <w:r w:rsidR="00E34CE7">
        <w:rPr>
          <w:szCs w:val="26"/>
        </w:rPr>
        <w:t xml:space="preserve">Key was </w:t>
      </w:r>
      <w:r w:rsidR="002A6DFF">
        <w:rPr>
          <w:szCs w:val="26"/>
        </w:rPr>
        <w:t xml:space="preserve">therefore </w:t>
      </w:r>
      <w:r w:rsidR="00E34CE7">
        <w:rPr>
          <w:szCs w:val="26"/>
        </w:rPr>
        <w:t xml:space="preserve">charged with the knowledge that </w:t>
      </w:r>
      <w:r w:rsidR="00B4528D">
        <w:rPr>
          <w:szCs w:val="26"/>
        </w:rPr>
        <w:t xml:space="preserve">the 100-day deadline is jurisdictional and could not be waived or extended by agreement.  </w:t>
      </w:r>
      <w:r w:rsidR="002A6DFF">
        <w:rPr>
          <w:szCs w:val="26"/>
        </w:rPr>
        <w:t xml:space="preserve">Thus, </w:t>
      </w:r>
      <w:r w:rsidR="005134A2">
        <w:rPr>
          <w:szCs w:val="26"/>
        </w:rPr>
        <w:t xml:space="preserve">LFG </w:t>
      </w:r>
      <w:r w:rsidR="00984F71">
        <w:rPr>
          <w:szCs w:val="26"/>
        </w:rPr>
        <w:t xml:space="preserve">could not waive the deadline </w:t>
      </w:r>
      <w:r w:rsidR="00553516">
        <w:rPr>
          <w:szCs w:val="26"/>
        </w:rPr>
        <w:t xml:space="preserve">and </w:t>
      </w:r>
      <w:r w:rsidR="002A6DFF">
        <w:rPr>
          <w:szCs w:val="26"/>
        </w:rPr>
        <w:t>was</w:t>
      </w:r>
      <w:r w:rsidR="005134A2">
        <w:rPr>
          <w:szCs w:val="26"/>
        </w:rPr>
        <w:t xml:space="preserve"> </w:t>
      </w:r>
      <w:r w:rsidR="00984F71">
        <w:rPr>
          <w:szCs w:val="26"/>
        </w:rPr>
        <w:t>not</w:t>
      </w:r>
      <w:r w:rsidR="005134A2">
        <w:rPr>
          <w:szCs w:val="26"/>
        </w:rPr>
        <w:t xml:space="preserve"> estopped from </w:t>
      </w:r>
      <w:r w:rsidR="002F75EF">
        <w:rPr>
          <w:szCs w:val="26"/>
        </w:rPr>
        <w:t xml:space="preserve">asserting </w:t>
      </w:r>
      <w:r w:rsidR="00984F71">
        <w:rPr>
          <w:szCs w:val="26"/>
        </w:rPr>
        <w:t xml:space="preserve">it as a ground for </w:t>
      </w:r>
      <w:r w:rsidR="00B52A0E">
        <w:rPr>
          <w:szCs w:val="26"/>
        </w:rPr>
        <w:t>di</w:t>
      </w:r>
      <w:r w:rsidR="00F609AB">
        <w:rPr>
          <w:szCs w:val="26"/>
        </w:rPr>
        <w:t xml:space="preserve">sregarding </w:t>
      </w:r>
      <w:r w:rsidR="00B52A0E">
        <w:rPr>
          <w:szCs w:val="26"/>
        </w:rPr>
        <w:t xml:space="preserve">Key’s </w:t>
      </w:r>
      <w:r w:rsidR="00F609AB">
        <w:rPr>
          <w:szCs w:val="26"/>
        </w:rPr>
        <w:t xml:space="preserve">untimely </w:t>
      </w:r>
      <w:r w:rsidR="00B52A0E">
        <w:rPr>
          <w:szCs w:val="26"/>
        </w:rPr>
        <w:t>request to vacate.</w:t>
      </w:r>
    </w:p>
    <w:p w14:paraId="1449C876" w14:textId="7BB692E2" w:rsidR="004E76BF" w:rsidRPr="002B6989" w:rsidRDefault="004D7594" w:rsidP="00A52283">
      <w:pPr>
        <w:keepNext/>
        <w:spacing w:after="0" w:line="288" w:lineRule="auto"/>
        <w:ind w:left="720" w:right="720" w:hanging="720"/>
        <w:outlineLvl w:val="0"/>
        <w:rPr>
          <w:b/>
          <w:bCs/>
          <w:szCs w:val="26"/>
        </w:rPr>
      </w:pPr>
      <w:r>
        <w:rPr>
          <w:b/>
          <w:bCs/>
          <w:szCs w:val="26"/>
        </w:rPr>
        <w:t>3.</w:t>
      </w:r>
      <w:r>
        <w:rPr>
          <w:b/>
          <w:bCs/>
          <w:szCs w:val="26"/>
        </w:rPr>
        <w:tab/>
        <w:t>LFG’s Petition to Confirm Must Be Granted</w:t>
      </w:r>
    </w:p>
    <w:p w14:paraId="2CF5F4E7" w14:textId="4657FBF0" w:rsidR="00866482" w:rsidRDefault="004D7594" w:rsidP="00A52283">
      <w:pPr>
        <w:spacing w:after="0" w:line="288" w:lineRule="auto"/>
        <w:ind w:firstLine="720"/>
        <w:outlineLvl w:val="0"/>
        <w:rPr>
          <w:szCs w:val="26"/>
        </w:rPr>
      </w:pPr>
      <w:r>
        <w:rPr>
          <w:szCs w:val="26"/>
        </w:rPr>
        <w:t xml:space="preserve">Section 1286 states that, if a petition to confirm is </w:t>
      </w:r>
      <w:r w:rsidR="00F643B3">
        <w:rPr>
          <w:szCs w:val="26"/>
        </w:rPr>
        <w:t xml:space="preserve">duly served and filed, “the court </w:t>
      </w:r>
      <w:r w:rsidR="00F643B3">
        <w:rPr>
          <w:i/>
          <w:iCs/>
          <w:szCs w:val="26"/>
        </w:rPr>
        <w:t xml:space="preserve">shall </w:t>
      </w:r>
      <w:r w:rsidR="00F643B3">
        <w:rPr>
          <w:szCs w:val="26"/>
        </w:rPr>
        <w:t xml:space="preserve">confirm the award as made,” unless </w:t>
      </w:r>
      <w:r w:rsidR="004E4D83">
        <w:rPr>
          <w:szCs w:val="26"/>
        </w:rPr>
        <w:t xml:space="preserve">the award is corrected or vacated or the proceeding is dismissed.  (§ 1286, italics added.)  </w:t>
      </w:r>
      <w:r w:rsidR="00FD509A">
        <w:rPr>
          <w:szCs w:val="26"/>
        </w:rPr>
        <w:t>“</w:t>
      </w:r>
      <w:r w:rsidR="00C57B27">
        <w:rPr>
          <w:szCs w:val="26"/>
        </w:rPr>
        <w:t xml:space="preserve">The Legislature’s use of the word </w:t>
      </w:r>
      <w:r w:rsidR="00FD509A">
        <w:rPr>
          <w:szCs w:val="26"/>
        </w:rPr>
        <w:t>‘</w:t>
      </w:r>
      <w:r w:rsidR="00C57B27">
        <w:rPr>
          <w:szCs w:val="26"/>
        </w:rPr>
        <w:t>shall</w:t>
      </w:r>
      <w:r w:rsidR="00FD509A">
        <w:rPr>
          <w:szCs w:val="26"/>
        </w:rPr>
        <w:t>’ renders this provision mandatory.”  (</w:t>
      </w:r>
      <w:r w:rsidR="00FD509A">
        <w:rPr>
          <w:i/>
          <w:iCs/>
          <w:szCs w:val="26"/>
        </w:rPr>
        <w:t xml:space="preserve">Law Offices of David S. Karton v. Segreto </w:t>
      </w:r>
      <w:r w:rsidR="00FD509A">
        <w:rPr>
          <w:szCs w:val="26"/>
        </w:rPr>
        <w:t>(2009) 176 Cal.App.4th 1,</w:t>
      </w:r>
      <w:r w:rsidR="003175B4">
        <w:rPr>
          <w:szCs w:val="26"/>
        </w:rPr>
        <w:t xml:space="preserve"> 8 (</w:t>
      </w:r>
      <w:r w:rsidR="003175B4">
        <w:rPr>
          <w:i/>
          <w:iCs/>
          <w:szCs w:val="26"/>
        </w:rPr>
        <w:t>Law Offices</w:t>
      </w:r>
      <w:r w:rsidR="003175B4">
        <w:rPr>
          <w:szCs w:val="26"/>
        </w:rPr>
        <w:t xml:space="preserve">).) </w:t>
      </w:r>
      <w:r w:rsidR="00E86249">
        <w:rPr>
          <w:szCs w:val="26"/>
        </w:rPr>
        <w:t xml:space="preserve"> </w:t>
      </w:r>
      <w:r w:rsidR="003175B4">
        <w:rPr>
          <w:szCs w:val="26"/>
        </w:rPr>
        <w:t>T</w:t>
      </w:r>
      <w:r w:rsidR="0031023B">
        <w:rPr>
          <w:szCs w:val="26"/>
        </w:rPr>
        <w:t xml:space="preserve">hus, confirmation of an arbitration award “is the mandatory outcome absent the correction or vacatur of the award </w:t>
      </w:r>
      <w:r w:rsidR="0031023B">
        <w:rPr>
          <w:szCs w:val="26"/>
        </w:rPr>
        <w:lastRenderedPageBreak/>
        <w:t>or the dismissal of the petition.”  (</w:t>
      </w:r>
      <w:r w:rsidR="0031023B">
        <w:rPr>
          <w:i/>
          <w:iCs/>
          <w:szCs w:val="26"/>
        </w:rPr>
        <w:t xml:space="preserve">Eternity Investments, supra, </w:t>
      </w:r>
      <w:r w:rsidR="0031023B">
        <w:rPr>
          <w:szCs w:val="26"/>
        </w:rPr>
        <w:t>151 Cal.App.4th at p. 745, citing § 1286.)</w:t>
      </w:r>
    </w:p>
    <w:p w14:paraId="2EDDE02F" w14:textId="6624F1FD" w:rsidR="00961D6D" w:rsidRPr="00961D6D" w:rsidRDefault="004D7594" w:rsidP="00A52283">
      <w:pPr>
        <w:spacing w:after="0" w:line="288" w:lineRule="auto"/>
        <w:ind w:firstLine="720"/>
        <w:outlineLvl w:val="0"/>
        <w:rPr>
          <w:szCs w:val="26"/>
        </w:rPr>
      </w:pPr>
      <w:r>
        <w:rPr>
          <w:szCs w:val="26"/>
        </w:rPr>
        <w:t xml:space="preserve">Key’s request to vacate was untimely, and she did not request any correction (which, in any event, would also </w:t>
      </w:r>
      <w:r w:rsidR="004A6D8B">
        <w:rPr>
          <w:szCs w:val="26"/>
        </w:rPr>
        <w:t xml:space="preserve">have </w:t>
      </w:r>
      <w:r>
        <w:rPr>
          <w:szCs w:val="26"/>
        </w:rPr>
        <w:t xml:space="preserve">been untimely under sections 1288 and 1288.2).  </w:t>
      </w:r>
      <w:r w:rsidR="00E912EB">
        <w:rPr>
          <w:szCs w:val="26"/>
        </w:rPr>
        <w:t xml:space="preserve">Key has not identified any grounds </w:t>
      </w:r>
      <w:r w:rsidR="00694975">
        <w:rPr>
          <w:szCs w:val="26"/>
        </w:rPr>
        <w:t>for dismissal of LFG’s petition.  The petition was timely</w:t>
      </w:r>
      <w:r w:rsidR="00D10C2B">
        <w:rPr>
          <w:szCs w:val="26"/>
        </w:rPr>
        <w:t xml:space="preserve"> and in proper form and Key was a party to the arbitration</w:t>
      </w:r>
      <w:r w:rsidR="006A22C2">
        <w:rPr>
          <w:szCs w:val="26"/>
        </w:rPr>
        <w:t>.</w:t>
      </w:r>
      <w:r w:rsidR="00D10C2B">
        <w:rPr>
          <w:szCs w:val="26"/>
        </w:rPr>
        <w:t xml:space="preserve"> </w:t>
      </w:r>
      <w:r w:rsidR="00633765">
        <w:rPr>
          <w:szCs w:val="26"/>
        </w:rPr>
        <w:t xml:space="preserve"> </w:t>
      </w:r>
      <w:r w:rsidR="00D10C2B">
        <w:rPr>
          <w:szCs w:val="26"/>
        </w:rPr>
        <w:t xml:space="preserve">(See §§ </w:t>
      </w:r>
      <w:r w:rsidR="006A22C2">
        <w:rPr>
          <w:szCs w:val="26"/>
        </w:rPr>
        <w:t>1285.4</w:t>
      </w:r>
      <w:r w:rsidR="00633765">
        <w:rPr>
          <w:szCs w:val="26"/>
        </w:rPr>
        <w:t>,</w:t>
      </w:r>
      <w:r w:rsidR="006A22C2">
        <w:rPr>
          <w:szCs w:val="26"/>
        </w:rPr>
        <w:t xml:space="preserve"> </w:t>
      </w:r>
      <w:r w:rsidR="00E745C1">
        <w:rPr>
          <w:szCs w:val="26"/>
        </w:rPr>
        <w:t>1287.2</w:t>
      </w:r>
      <w:r w:rsidR="00886177">
        <w:rPr>
          <w:szCs w:val="26"/>
        </w:rPr>
        <w:t xml:space="preserve">.)  </w:t>
      </w:r>
      <w:r w:rsidR="006F5D17">
        <w:rPr>
          <w:szCs w:val="26"/>
        </w:rPr>
        <w:t>The award must therefore be confirmed.  (</w:t>
      </w:r>
      <w:r w:rsidR="00B71ABD">
        <w:rPr>
          <w:szCs w:val="26"/>
        </w:rPr>
        <w:t xml:space="preserve">See </w:t>
      </w:r>
      <w:r w:rsidR="00366799">
        <w:rPr>
          <w:i/>
          <w:iCs/>
          <w:szCs w:val="26"/>
        </w:rPr>
        <w:t>Law Office</w:t>
      </w:r>
      <w:r w:rsidR="008B2205">
        <w:rPr>
          <w:i/>
          <w:iCs/>
          <w:szCs w:val="26"/>
        </w:rPr>
        <w:t xml:space="preserve">s, supra, </w:t>
      </w:r>
      <w:r w:rsidR="00366799">
        <w:rPr>
          <w:szCs w:val="26"/>
        </w:rPr>
        <w:t xml:space="preserve">176 Cal.App.4th </w:t>
      </w:r>
      <w:r w:rsidR="008B2205">
        <w:rPr>
          <w:szCs w:val="26"/>
        </w:rPr>
        <w:t>at p.</w:t>
      </w:r>
      <w:r w:rsidR="00366799">
        <w:rPr>
          <w:szCs w:val="26"/>
        </w:rPr>
        <w:t xml:space="preserve"> </w:t>
      </w:r>
      <w:r w:rsidR="00DF5705">
        <w:rPr>
          <w:szCs w:val="26"/>
        </w:rPr>
        <w:t xml:space="preserve">3 [remanding for trial court to confirm </w:t>
      </w:r>
      <w:r w:rsidR="00863E87">
        <w:rPr>
          <w:szCs w:val="26"/>
        </w:rPr>
        <w:t xml:space="preserve">an arbitration award as “the only proper resolution of this case” after the trial court correctly denied a </w:t>
      </w:r>
      <w:r w:rsidR="00AE2BB8">
        <w:rPr>
          <w:szCs w:val="26"/>
        </w:rPr>
        <w:t>petition to correct the award].)</w:t>
      </w:r>
    </w:p>
    <w:p w14:paraId="63589A6B" w14:textId="1A15CAF4" w:rsidR="00C4418B" w:rsidRPr="008B4CF1" w:rsidRDefault="004D7594" w:rsidP="00A36BB8">
      <w:pPr>
        <w:keepNext/>
        <w:keepLines/>
        <w:spacing w:after="0" w:line="288" w:lineRule="auto"/>
        <w:jc w:val="center"/>
        <w:outlineLvl w:val="0"/>
        <w:rPr>
          <w:b/>
        </w:rPr>
      </w:pPr>
      <w:r w:rsidRPr="008B4CF1">
        <w:rPr>
          <w:b/>
        </w:rPr>
        <w:lastRenderedPageBreak/>
        <w:t>DISPOSITION</w:t>
      </w:r>
    </w:p>
    <w:p w14:paraId="63589A6C" w14:textId="7F7B9FAA" w:rsidR="00C4418B" w:rsidRPr="008B4CF1" w:rsidRDefault="004D7594" w:rsidP="00A36BB8">
      <w:pPr>
        <w:keepNext/>
        <w:keepLines/>
        <w:spacing w:after="0" w:line="288" w:lineRule="auto"/>
      </w:pPr>
      <w:r>
        <w:tab/>
      </w:r>
      <w:r w:rsidRPr="008B4CF1">
        <w:t xml:space="preserve">The </w:t>
      </w:r>
      <w:r w:rsidR="00961D6D">
        <w:t xml:space="preserve">trial court’s order is </w:t>
      </w:r>
      <w:r w:rsidR="00B64AAA">
        <w:t>reversed</w:t>
      </w:r>
      <w:r w:rsidR="000A5871" w:rsidRPr="008B4CF1">
        <w:t>.</w:t>
      </w:r>
      <w:r w:rsidR="00735CEB">
        <w:t xml:space="preserve">  </w:t>
      </w:r>
      <w:r w:rsidR="004264D1">
        <w:t>On remand, the trial court shall enter an order confirming the arbitration award.  Appellant L</w:t>
      </w:r>
      <w:r w:rsidR="00633765">
        <w:t>aw Finance Group</w:t>
      </w:r>
      <w:r w:rsidR="00735CEB">
        <w:t xml:space="preserve"> is entitled to </w:t>
      </w:r>
      <w:r w:rsidR="004264D1">
        <w:t>its</w:t>
      </w:r>
      <w:r w:rsidR="00735CEB">
        <w:t xml:space="preserve"> costs on appeal.</w:t>
      </w:r>
    </w:p>
    <w:p w14:paraId="63589A6D" w14:textId="5D557112" w:rsidR="00C4418B" w:rsidRPr="008B4CF1" w:rsidRDefault="004D7594" w:rsidP="00A36BB8">
      <w:pPr>
        <w:keepNext/>
        <w:keepLines/>
        <w:spacing w:after="0" w:line="288" w:lineRule="auto"/>
      </w:pPr>
      <w:r>
        <w:tab/>
      </w:r>
      <w:r w:rsidR="00A52283">
        <w:t xml:space="preserve">CERTIFIED </w:t>
      </w:r>
      <w:r w:rsidR="004264D1">
        <w:t>FOR PUBLICATION</w:t>
      </w:r>
      <w:r w:rsidR="000B1ABD">
        <w:t>.</w:t>
      </w:r>
    </w:p>
    <w:p w14:paraId="63589A6E" w14:textId="31DFA717" w:rsidR="00A11E2C" w:rsidRDefault="00A11E2C" w:rsidP="00A36BB8">
      <w:pPr>
        <w:keepNext/>
        <w:keepLines/>
        <w:spacing w:after="0" w:line="288" w:lineRule="auto"/>
      </w:pPr>
    </w:p>
    <w:p w14:paraId="6C19F83E" w14:textId="77777777" w:rsidR="00A36BB8" w:rsidRPr="008B4CF1" w:rsidRDefault="00A36BB8" w:rsidP="00A36BB8">
      <w:pPr>
        <w:keepNext/>
        <w:keepLines/>
        <w:spacing w:after="0" w:line="288" w:lineRule="auto"/>
      </w:pPr>
    </w:p>
    <w:p w14:paraId="63589A6F" w14:textId="77777777" w:rsidR="00A11E2C" w:rsidRPr="008B4CF1" w:rsidRDefault="00A11E2C" w:rsidP="00A36BB8">
      <w:pPr>
        <w:keepNext/>
        <w:keepLines/>
        <w:spacing w:after="0" w:line="288" w:lineRule="auto"/>
      </w:pPr>
    </w:p>
    <w:p w14:paraId="63589A70" w14:textId="51DF579A" w:rsidR="006854B2" w:rsidRPr="008B4CF1" w:rsidRDefault="004D7594" w:rsidP="00A36BB8">
      <w:pPr>
        <w:keepNext/>
        <w:keepLines/>
        <w:spacing w:after="0" w:line="288" w:lineRule="auto"/>
      </w:pPr>
      <w:r>
        <w:tab/>
      </w:r>
      <w:r w:rsidR="00A07C03">
        <w:tab/>
      </w:r>
      <w:r w:rsidR="00A07C03">
        <w:tab/>
      </w:r>
      <w:r w:rsidR="00A07C03">
        <w:tab/>
      </w:r>
      <w:r w:rsidR="00A07C03">
        <w:tab/>
      </w:r>
      <w:r w:rsidRPr="008B4CF1">
        <w:tab/>
      </w:r>
      <w:r w:rsidR="00A36BB8">
        <w:tab/>
      </w:r>
      <w:r w:rsidR="000A5871" w:rsidRPr="008B4CF1">
        <w:t>LUI,</w:t>
      </w:r>
      <w:r w:rsidR="007A5829" w:rsidRPr="008B4CF1">
        <w:t xml:space="preserve"> </w:t>
      </w:r>
      <w:r w:rsidR="007279C1">
        <w:t xml:space="preserve">P. </w:t>
      </w:r>
      <w:r w:rsidR="00903024" w:rsidRPr="008B4CF1">
        <w:t>J.</w:t>
      </w:r>
    </w:p>
    <w:p w14:paraId="63589A71" w14:textId="77777777" w:rsidR="00C4418B" w:rsidRPr="008B4CF1" w:rsidRDefault="004D7594" w:rsidP="00A36BB8">
      <w:pPr>
        <w:keepNext/>
        <w:keepLines/>
        <w:spacing w:after="0" w:line="288" w:lineRule="auto"/>
      </w:pPr>
      <w:r w:rsidRPr="008B4CF1">
        <w:t>We concur:</w:t>
      </w:r>
    </w:p>
    <w:p w14:paraId="63589A72" w14:textId="77777777" w:rsidR="006010FF" w:rsidRDefault="006010FF" w:rsidP="00A36BB8">
      <w:pPr>
        <w:keepNext/>
        <w:keepLines/>
        <w:spacing w:after="0" w:line="288" w:lineRule="auto"/>
      </w:pPr>
    </w:p>
    <w:p w14:paraId="63589A73" w14:textId="0030826B" w:rsidR="006010FF" w:rsidRDefault="006010FF" w:rsidP="00A36BB8">
      <w:pPr>
        <w:keepNext/>
        <w:keepLines/>
        <w:spacing w:after="0" w:line="288" w:lineRule="auto"/>
      </w:pPr>
    </w:p>
    <w:p w14:paraId="600803AF" w14:textId="77777777" w:rsidR="00A36BB8" w:rsidRDefault="00A36BB8" w:rsidP="00A36BB8">
      <w:pPr>
        <w:keepNext/>
        <w:keepLines/>
        <w:spacing w:after="0" w:line="288" w:lineRule="auto"/>
      </w:pPr>
    </w:p>
    <w:p w14:paraId="63589A74" w14:textId="3109AE6A" w:rsidR="00C4418B" w:rsidRPr="008B4CF1" w:rsidRDefault="004D7594" w:rsidP="00A36BB8">
      <w:pPr>
        <w:keepNext/>
        <w:keepLines/>
        <w:spacing w:after="0" w:line="288" w:lineRule="auto"/>
      </w:pPr>
      <w:r w:rsidRPr="008B4CF1">
        <w:tab/>
      </w:r>
      <w:r w:rsidR="00EB2E46">
        <w:t>ASHMANN-GERST</w:t>
      </w:r>
      <w:r w:rsidR="00E9107D">
        <w:t>,</w:t>
      </w:r>
      <w:r w:rsidR="007279C1">
        <w:t xml:space="preserve"> </w:t>
      </w:r>
      <w:r w:rsidR="009A54E4" w:rsidRPr="008B4CF1">
        <w:t>J.</w:t>
      </w:r>
    </w:p>
    <w:p w14:paraId="63589A75" w14:textId="77777777" w:rsidR="006010FF" w:rsidRDefault="006010FF" w:rsidP="00A36BB8">
      <w:pPr>
        <w:keepNext/>
        <w:keepLines/>
        <w:spacing w:after="0" w:line="288" w:lineRule="auto"/>
      </w:pPr>
    </w:p>
    <w:p w14:paraId="63589A76" w14:textId="2E822EFD" w:rsidR="006010FF" w:rsidRDefault="006010FF" w:rsidP="00A36BB8">
      <w:pPr>
        <w:keepNext/>
        <w:keepLines/>
        <w:spacing w:after="0" w:line="288" w:lineRule="auto"/>
      </w:pPr>
    </w:p>
    <w:p w14:paraId="53515CAD" w14:textId="77777777" w:rsidR="00A36BB8" w:rsidRDefault="00A36BB8" w:rsidP="00A36BB8">
      <w:pPr>
        <w:keepNext/>
        <w:keepLines/>
        <w:spacing w:after="0" w:line="288" w:lineRule="auto"/>
      </w:pPr>
    </w:p>
    <w:p w14:paraId="63589A77" w14:textId="1B5B12D0" w:rsidR="00B36A3C" w:rsidRPr="008B4CF1" w:rsidRDefault="004D7594" w:rsidP="00A36BB8">
      <w:pPr>
        <w:keepNext/>
        <w:keepLines/>
        <w:spacing w:after="0" w:line="288" w:lineRule="auto"/>
      </w:pPr>
      <w:r w:rsidRPr="008B4CF1">
        <w:tab/>
      </w:r>
      <w:r w:rsidR="00EB2E46">
        <w:t>HOFFSTADT</w:t>
      </w:r>
      <w:r w:rsidR="00E9107D">
        <w:t>,</w:t>
      </w:r>
      <w:r w:rsidR="009A54E4" w:rsidRPr="008B4CF1">
        <w:t xml:space="preserve"> J.</w:t>
      </w:r>
    </w:p>
    <w:p w14:paraId="63589A78" w14:textId="77777777" w:rsidR="00C4418B" w:rsidRPr="008B4CF1" w:rsidRDefault="00C4418B" w:rsidP="00A36BB8">
      <w:pPr>
        <w:keepNext/>
        <w:keepLines/>
        <w:spacing w:after="0" w:line="288" w:lineRule="auto"/>
      </w:pPr>
    </w:p>
    <w:sectPr w:rsidR="00C4418B" w:rsidRPr="008B4CF1" w:rsidSect="00501A84">
      <w:pgSz w:w="12240" w:h="15840"/>
      <w:pgMar w:top="2160" w:right="2160" w:bottom="2160" w:left="2160" w:header="720" w:footer="72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79A0" w14:textId="77777777" w:rsidR="003724DD" w:rsidRDefault="004D7594">
      <w:pPr>
        <w:spacing w:after="0" w:line="240" w:lineRule="auto"/>
      </w:pPr>
      <w:r>
        <w:separator/>
      </w:r>
    </w:p>
  </w:endnote>
  <w:endnote w:type="continuationSeparator" w:id="0">
    <w:p w14:paraId="40B2BF52" w14:textId="77777777" w:rsidR="003724DD" w:rsidRDefault="004D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9A7E" w14:textId="77777777" w:rsidR="00B36A3C" w:rsidRDefault="004D7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89A7F" w14:textId="77777777" w:rsidR="00B36A3C" w:rsidRDefault="00B36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89A80" w14:textId="77777777" w:rsidR="00B36A3C" w:rsidRPr="00206978" w:rsidRDefault="004D7594">
    <w:pPr>
      <w:pStyle w:val="Footer"/>
      <w:framePr w:wrap="around" w:vAnchor="text" w:hAnchor="margin" w:xAlign="center" w:y="1"/>
      <w:rPr>
        <w:rStyle w:val="PageNumber"/>
      </w:rPr>
    </w:pPr>
    <w:r w:rsidRPr="00206978">
      <w:rPr>
        <w:rStyle w:val="PageNumber"/>
      </w:rPr>
      <w:fldChar w:fldCharType="begin"/>
    </w:r>
    <w:r w:rsidRPr="00206978">
      <w:rPr>
        <w:rStyle w:val="PageNumber"/>
      </w:rPr>
      <w:instrText xml:space="preserve">PAGE  </w:instrText>
    </w:r>
    <w:r w:rsidRPr="00206978">
      <w:rPr>
        <w:rStyle w:val="PageNumber"/>
      </w:rPr>
      <w:fldChar w:fldCharType="separate"/>
    </w:r>
    <w:r w:rsidR="00FE64A8">
      <w:rPr>
        <w:rStyle w:val="PageNumber"/>
        <w:noProof/>
      </w:rPr>
      <w:t>2</w:t>
    </w:r>
    <w:r w:rsidRPr="00206978">
      <w:rPr>
        <w:rStyle w:val="PageNumber"/>
      </w:rPr>
      <w:fldChar w:fldCharType="end"/>
    </w:r>
  </w:p>
  <w:p w14:paraId="63589A81" w14:textId="77777777" w:rsidR="00B36A3C" w:rsidRPr="00206978" w:rsidRDefault="00B36A3C">
    <w:pPr>
      <w:pStyle w:val="Footer"/>
      <w:widowControl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E459" w14:textId="77777777" w:rsidR="00D56F76" w:rsidRDefault="004D7594">
      <w:pPr>
        <w:pStyle w:val="FootnoteText"/>
        <w:spacing w:line="240" w:lineRule="auto"/>
      </w:pPr>
      <w:r>
        <w:continuationSeparator/>
      </w:r>
    </w:p>
  </w:footnote>
  <w:footnote w:type="continuationSeparator" w:id="0">
    <w:p w14:paraId="6E4BCC11" w14:textId="77777777" w:rsidR="00D56F76" w:rsidRDefault="004D7594">
      <w:pPr>
        <w:spacing w:line="240" w:lineRule="auto"/>
      </w:pPr>
      <w:r>
        <w:continuationSeparator/>
      </w:r>
    </w:p>
  </w:footnote>
  <w:footnote w:type="continuationNotice" w:id="1">
    <w:p w14:paraId="7E164C1B" w14:textId="77777777" w:rsidR="00D56F76" w:rsidRDefault="00D56F76">
      <w:pPr>
        <w:spacing w:line="240" w:lineRule="auto"/>
      </w:pPr>
    </w:p>
  </w:footnote>
  <w:footnote w:id="2">
    <w:p w14:paraId="633C32AA" w14:textId="33806BC5" w:rsidR="001B47DC" w:rsidRPr="002A72B4" w:rsidRDefault="004D7594" w:rsidP="0086291F">
      <w:pPr>
        <w:pStyle w:val="FootnoteText"/>
        <w:spacing w:line="240" w:lineRule="auto"/>
        <w:ind w:firstLine="720"/>
      </w:pPr>
      <w:r>
        <w:rPr>
          <w:rStyle w:val="FootnoteReference"/>
        </w:rPr>
        <w:footnoteRef/>
      </w:r>
      <w:r>
        <w:t xml:space="preserve"> Litigation among the sisters continues.  In </w:t>
      </w:r>
      <w:r w:rsidR="002A72B4">
        <w:rPr>
          <w:i/>
          <w:iCs/>
        </w:rPr>
        <w:t xml:space="preserve">Key v. Tyler </w:t>
      </w:r>
      <w:r w:rsidR="002A72B4">
        <w:t>(</w:t>
      </w:r>
      <w:r w:rsidR="00C0791A">
        <w:t>2019) 34 Cal.App.5th 505</w:t>
      </w:r>
      <w:r w:rsidR="002B113E">
        <w:t>,</w:t>
      </w:r>
      <w:r w:rsidR="00C0791A">
        <w:t xml:space="preserve"> we considered </w:t>
      </w:r>
      <w:r w:rsidR="00F40582">
        <w:t xml:space="preserve">an anti-SLAPP motion </w:t>
      </w:r>
      <w:r w:rsidR="00C652EB">
        <w:t xml:space="preserve">filed in a probate proceeding to enforce a no contest clause in </w:t>
      </w:r>
      <w:r w:rsidR="00A06103">
        <w:t xml:space="preserve">the parents’ trust instrument.  </w:t>
      </w:r>
      <w:r w:rsidR="00C13451">
        <w:t xml:space="preserve">Another currently pending appeal </w:t>
      </w:r>
      <w:r w:rsidR="00774FA6">
        <w:t>(B</w:t>
      </w:r>
      <w:r w:rsidR="00E51757">
        <w:t xml:space="preserve">298739) </w:t>
      </w:r>
      <w:r w:rsidR="00C13451">
        <w:t xml:space="preserve">concerns </w:t>
      </w:r>
      <w:r w:rsidR="00E51757">
        <w:t xml:space="preserve">issues arising from a petition by Key alleging that </w:t>
      </w:r>
      <w:r w:rsidR="00614F99">
        <w:t>Tyler breached her duties as trustee of the tr</w:t>
      </w:r>
      <w:r w:rsidR="00B83949">
        <w:t>ust.</w:t>
      </w:r>
    </w:p>
  </w:footnote>
  <w:footnote w:id="3">
    <w:p w14:paraId="6E12BC4D" w14:textId="3400299B" w:rsidR="00D34EC8" w:rsidRDefault="004D7594" w:rsidP="00D34EC8">
      <w:pPr>
        <w:pStyle w:val="FootnoteText"/>
        <w:spacing w:line="240" w:lineRule="auto"/>
        <w:ind w:firstLine="720"/>
      </w:pPr>
      <w:r>
        <w:rPr>
          <w:rStyle w:val="FootnoteReference"/>
        </w:rPr>
        <w:footnoteRef/>
      </w:r>
      <w:r>
        <w:t xml:space="preserve"> Subsequent undesignated statutory references are to the Code of Civil Procedure.</w:t>
      </w:r>
    </w:p>
  </w:footnote>
  <w:footnote w:id="4">
    <w:p w14:paraId="3FED3661" w14:textId="51041D9D" w:rsidR="00274694" w:rsidRPr="00B40954" w:rsidRDefault="004D7594" w:rsidP="00B40954">
      <w:pPr>
        <w:pStyle w:val="FootnoteText"/>
        <w:spacing w:line="240" w:lineRule="auto"/>
        <w:ind w:firstLine="720"/>
      </w:pPr>
      <w:r>
        <w:rPr>
          <w:rStyle w:val="FootnoteReference"/>
        </w:rPr>
        <w:footnoteRef/>
      </w:r>
      <w:r>
        <w:t xml:space="preserve"> The court in </w:t>
      </w:r>
      <w:r w:rsidR="003A7DF8">
        <w:rPr>
          <w:i/>
          <w:iCs/>
          <w:szCs w:val="26"/>
        </w:rPr>
        <w:t xml:space="preserve">Eternity Investments, Inc. v. Brown </w:t>
      </w:r>
      <w:r w:rsidR="003A7DF8">
        <w:rPr>
          <w:szCs w:val="26"/>
        </w:rPr>
        <w:t>(2007) 151 Cal.App.4th 739 (</w:t>
      </w:r>
      <w:r w:rsidR="003A7DF8">
        <w:rPr>
          <w:i/>
          <w:iCs/>
          <w:szCs w:val="26"/>
        </w:rPr>
        <w:t>Eternity Investments</w:t>
      </w:r>
      <w:r w:rsidR="003A7DF8">
        <w:rPr>
          <w:szCs w:val="26"/>
        </w:rPr>
        <w:t xml:space="preserve">) </w:t>
      </w:r>
      <w:r>
        <w:t xml:space="preserve">explained </w:t>
      </w:r>
      <w:r w:rsidR="007814AF">
        <w:t>the reason for the disparity between the four</w:t>
      </w:r>
      <w:r w:rsidR="000C1A02">
        <w:t>-</w:t>
      </w:r>
      <w:r w:rsidR="007814AF">
        <w:t>year deadline for a petition to confirm and the 100-day deadline for a petition to vacate.</w:t>
      </w:r>
      <w:r w:rsidR="00606CB3">
        <w:t xml:space="preserve">  A petition to vacate or correct an arbitration award typically requires factual determinations.  </w:t>
      </w:r>
      <w:r w:rsidR="00556928">
        <w:t>“Consequently, a challenge must be made soon after the award is served—within 100 days—while the evidence</w:t>
      </w:r>
      <w:r w:rsidR="00B83ADB">
        <w:t xml:space="preserve"> is fresh and witnesses</w:t>
      </w:r>
      <w:r w:rsidR="00355E9F">
        <w:t xml:space="preserve"> are</w:t>
      </w:r>
      <w:r w:rsidR="00B83ADB">
        <w:t xml:space="preserve"> available.  But absent a challenge, there may be no need for judicial intervention.  The award is treated as a contract</w:t>
      </w:r>
      <w:r w:rsidR="001A642C">
        <w:t xml:space="preserve"> (§ 1287.6)</w:t>
      </w:r>
      <w:r w:rsidR="00B83ADB">
        <w:t xml:space="preserve">, and the prevailing party has a substantially </w:t>
      </w:r>
      <w:r w:rsidR="001641D4">
        <w:t>l</w:t>
      </w:r>
      <w:r w:rsidR="00B83ADB">
        <w:t>onger period</w:t>
      </w:r>
      <w:r w:rsidR="00911516">
        <w:t xml:space="preserve">—up to four years (similar to the four-year statute of limitations for breach of contract (§ </w:t>
      </w:r>
      <w:r w:rsidR="007E030B">
        <w:t>337, subd.</w:t>
      </w:r>
      <w:r w:rsidR="001641D4">
        <w:t xml:space="preserve"> </w:t>
      </w:r>
      <w:r w:rsidR="007E030B">
        <w:t>1)—to obtain satisfaction of the award before resorting to the courts.</w:t>
      </w:r>
      <w:r w:rsidR="00B40954">
        <w:t xml:space="preserve">  In the event of satisfaction, judicial relief will not be necessary, conserving court resources.  If, however, the award is not satisfied, the prevailing party may convert it into an enforceable judgment by way of a petition to confirm.  (§§ 1287</w:t>
      </w:r>
      <w:r w:rsidR="00F4313B">
        <w:t>.</w:t>
      </w:r>
      <w:r w:rsidR="00B40954">
        <w:t>4, 1288.)  And confirmation will be a simple process absent a prompt, timely challenge to the award.”  (</w:t>
      </w:r>
      <w:r w:rsidR="000C1A02">
        <w:rPr>
          <w:i/>
          <w:iCs/>
        </w:rPr>
        <w:t>Eternity Investments</w:t>
      </w:r>
      <w:r w:rsidR="000C1A02">
        <w:t>,</w:t>
      </w:r>
      <w:r w:rsidR="00B40954">
        <w:t xml:space="preserve"> at p. 746.)</w:t>
      </w:r>
    </w:p>
  </w:footnote>
  <w:footnote w:id="5">
    <w:p w14:paraId="077C8E32" w14:textId="59110E2D" w:rsidR="00DA249F" w:rsidRDefault="004D7594" w:rsidP="00E6672A">
      <w:pPr>
        <w:pStyle w:val="FootnoteText"/>
        <w:spacing w:line="240" w:lineRule="auto"/>
        <w:ind w:firstLine="720"/>
      </w:pPr>
      <w:r>
        <w:rPr>
          <w:rStyle w:val="FootnoteReference"/>
        </w:rPr>
        <w:footnoteRef/>
      </w:r>
      <w:r>
        <w:t xml:space="preserve"> </w:t>
      </w:r>
      <w:r w:rsidR="008C720E">
        <w:t>However</w:t>
      </w:r>
      <w:r>
        <w:t xml:space="preserve">, as explained below, </w:t>
      </w:r>
      <w:r w:rsidR="00F959F7">
        <w:t>th</w:t>
      </w:r>
      <w:r w:rsidR="005C0986">
        <w:t xml:space="preserve">e </w:t>
      </w:r>
      <w:r w:rsidR="00913374">
        <w:t xml:space="preserve">outside limit </w:t>
      </w:r>
      <w:r w:rsidR="005C0986">
        <w:t xml:space="preserve">of timely responses </w:t>
      </w:r>
      <w:r w:rsidR="00913374">
        <w:t xml:space="preserve">would </w:t>
      </w:r>
      <w:r w:rsidR="00932222">
        <w:t xml:space="preserve">nevertheless </w:t>
      </w:r>
      <w:r w:rsidR="00913374">
        <w:t xml:space="preserve">be uncertain and </w:t>
      </w:r>
      <w:r w:rsidR="00F4313B">
        <w:t>beyond</w:t>
      </w:r>
      <w:r w:rsidR="00D51748">
        <w:t xml:space="preserve"> the court</w:t>
      </w:r>
      <w:r w:rsidR="00D9589B">
        <w:t xml:space="preserve">’s control </w:t>
      </w:r>
      <w:r w:rsidR="00913374">
        <w:t xml:space="preserve">because of </w:t>
      </w:r>
      <w:r w:rsidR="005C0986">
        <w:t xml:space="preserve">the provision in section </w:t>
      </w:r>
      <w:r w:rsidR="00E6672A">
        <w:rPr>
          <w:szCs w:val="26"/>
        </w:rPr>
        <w:t>1290.6</w:t>
      </w:r>
      <w:r w:rsidR="00D51748">
        <w:rPr>
          <w:szCs w:val="26"/>
        </w:rPr>
        <w:t xml:space="preserve"> permitting parties to extend the </w:t>
      </w:r>
      <w:r w:rsidR="00D9589B">
        <w:rPr>
          <w:szCs w:val="26"/>
        </w:rPr>
        <w:t xml:space="preserve">response </w:t>
      </w:r>
      <w:r w:rsidR="00D51748">
        <w:rPr>
          <w:szCs w:val="26"/>
        </w:rPr>
        <w:t xml:space="preserve">date </w:t>
      </w:r>
      <w:r w:rsidR="00D9589B">
        <w:rPr>
          <w:szCs w:val="26"/>
        </w:rPr>
        <w:t>by</w:t>
      </w:r>
      <w:r w:rsidR="00D51748">
        <w:rPr>
          <w:szCs w:val="26"/>
        </w:rPr>
        <w:t xml:space="preserve"> agreement</w:t>
      </w:r>
      <w:r w:rsidR="00E6672A">
        <w:rPr>
          <w:szCs w:val="26"/>
        </w:rPr>
        <w:t>.</w:t>
      </w:r>
    </w:p>
  </w:footnote>
  <w:footnote w:id="6">
    <w:p w14:paraId="1611B5E8" w14:textId="0A1A0C5C" w:rsidR="00FD73FA" w:rsidRDefault="004D7594" w:rsidP="00FD73FA">
      <w:pPr>
        <w:pStyle w:val="FootnoteText"/>
        <w:spacing w:after="0" w:line="240" w:lineRule="auto"/>
        <w:ind w:firstLine="720"/>
      </w:pPr>
      <w:r>
        <w:rPr>
          <w:rStyle w:val="FootnoteReference"/>
        </w:rPr>
        <w:footnoteRef/>
      </w:r>
      <w:r>
        <w:t xml:space="preserve"> </w:t>
      </w:r>
      <w:r w:rsidR="004977B5">
        <w:t xml:space="preserve">Key cites </w:t>
      </w:r>
      <w:r w:rsidR="00E94DA1">
        <w:rPr>
          <w:i/>
          <w:iCs/>
        </w:rPr>
        <w:t xml:space="preserve">Oaktree Capital </w:t>
      </w:r>
      <w:r w:rsidR="000C4CD1">
        <w:t xml:space="preserve">for the proposition that, </w:t>
      </w:r>
      <w:r w:rsidR="007E7C13">
        <w:t xml:space="preserve">when a petition to confirm is filed within 100 days of service of an arbitration award, “the </w:t>
      </w:r>
      <w:r w:rsidR="003B24CD">
        <w:t>10-day rule trumps the 100-day limitations period.”</w:t>
      </w:r>
      <w:r w:rsidR="0038573E">
        <w:t xml:space="preserve">  </w:t>
      </w:r>
      <w:r w:rsidR="00F8296B">
        <w:t xml:space="preserve">The opinion does not support such a broad </w:t>
      </w:r>
      <w:r w:rsidR="0069144A">
        <w:t>reading</w:t>
      </w:r>
      <w:r w:rsidR="00183BFC">
        <w:t>.</w:t>
      </w:r>
    </w:p>
    <w:p w14:paraId="2CA47AE3" w14:textId="2E9EEB91" w:rsidR="006A49AA" w:rsidRPr="00BE67EF" w:rsidRDefault="004D7594" w:rsidP="00FD73FA">
      <w:pPr>
        <w:pStyle w:val="FootnoteText"/>
        <w:spacing w:after="0" w:line="240" w:lineRule="auto"/>
        <w:ind w:firstLine="720"/>
      </w:pPr>
      <w:r>
        <w:t xml:space="preserve">In </w:t>
      </w:r>
      <w:r>
        <w:rPr>
          <w:i/>
          <w:iCs/>
        </w:rPr>
        <w:t xml:space="preserve">Oaktree Capital, </w:t>
      </w:r>
      <w:r w:rsidR="00CB1198">
        <w:t>the appellant</w:t>
      </w:r>
      <w:r w:rsidR="00C26A70">
        <w:t xml:space="preserve"> argued that his </w:t>
      </w:r>
      <w:r w:rsidR="009377D0">
        <w:t>request</w:t>
      </w:r>
      <w:r w:rsidR="000065B7">
        <w:t xml:space="preserve"> to vacate </w:t>
      </w:r>
      <w:r w:rsidR="009377D0">
        <w:t xml:space="preserve">was timely because it was filed </w:t>
      </w:r>
      <w:r w:rsidR="006B58D8">
        <w:t xml:space="preserve">within </w:t>
      </w:r>
      <w:r w:rsidR="00CB1198">
        <w:t>100 days of the arbitration award</w:t>
      </w:r>
      <w:r w:rsidR="006B58D8">
        <w:t xml:space="preserve">, even though there was a dispute about whether he </w:t>
      </w:r>
      <w:r w:rsidR="000A68BA">
        <w:t xml:space="preserve">had </w:t>
      </w:r>
      <w:r w:rsidR="009A7F8E">
        <w:t xml:space="preserve">complied with the </w:t>
      </w:r>
      <w:r w:rsidR="00BE67EF">
        <w:t>10</w:t>
      </w:r>
      <w:r w:rsidR="009A7F8E">
        <w:t xml:space="preserve">-day deadline </w:t>
      </w:r>
      <w:r w:rsidR="00CB1198">
        <w:t xml:space="preserve">under section </w:t>
      </w:r>
      <w:r w:rsidR="00584678">
        <w:t>1290.6</w:t>
      </w:r>
      <w:r w:rsidR="009A7F8E">
        <w:t>.  (</w:t>
      </w:r>
      <w:r w:rsidR="009841E3">
        <w:rPr>
          <w:i/>
          <w:iCs/>
        </w:rPr>
        <w:t xml:space="preserve">Oaktree Capital, supra, </w:t>
      </w:r>
      <w:r w:rsidR="009841E3">
        <w:t xml:space="preserve">182 Cal.App.4th at p. </w:t>
      </w:r>
      <w:r w:rsidR="008E1AD7">
        <w:t>66.)</w:t>
      </w:r>
      <w:r w:rsidR="000A68BA">
        <w:t xml:space="preserve">  The court held that</w:t>
      </w:r>
      <w:r w:rsidR="00700524">
        <w:t xml:space="preserve"> </w:t>
      </w:r>
      <w:r w:rsidR="009D60AE">
        <w:t xml:space="preserve">the appellant’s response was </w:t>
      </w:r>
      <w:r w:rsidR="00D16A3C">
        <w:t>timely because it was filed</w:t>
      </w:r>
      <w:r w:rsidR="009D60AE">
        <w:t xml:space="preserve"> within </w:t>
      </w:r>
      <w:r w:rsidR="00BE67EF">
        <w:t>10</w:t>
      </w:r>
      <w:r w:rsidR="009D60AE">
        <w:t xml:space="preserve"> days of the arbitration award, </w:t>
      </w:r>
      <w:r w:rsidR="000C5D7A">
        <w:t>“when one allow</w:t>
      </w:r>
      <w:r w:rsidR="00D85302">
        <w:t>s</w:t>
      </w:r>
      <w:r w:rsidR="000C5D7A">
        <w:t xml:space="preserve"> for the extra days for overnight mail and his temporary removal </w:t>
      </w:r>
      <w:r w:rsidR="00880620">
        <w:t>to federal court.”  (</w:t>
      </w:r>
      <w:r w:rsidR="00880620">
        <w:rPr>
          <w:i/>
          <w:iCs/>
        </w:rPr>
        <w:t>Ibid.</w:t>
      </w:r>
      <w:r w:rsidR="00880620">
        <w:t xml:space="preserve">)  </w:t>
      </w:r>
      <w:r w:rsidR="00356E19">
        <w:t xml:space="preserve">The court added that </w:t>
      </w:r>
      <w:r w:rsidR="00B066D9">
        <w:t>the response was therefore</w:t>
      </w:r>
      <w:r w:rsidR="003D662D">
        <w:t xml:space="preserve"> timely </w:t>
      </w:r>
      <w:r w:rsidR="00B066D9">
        <w:t>“</w:t>
      </w:r>
      <w:r w:rsidR="003D662D">
        <w:t xml:space="preserve">irrespective of the 100-day deadline, which case law establishes did not apply here.”  </w:t>
      </w:r>
      <w:r w:rsidR="004C1A59">
        <w:t>(</w:t>
      </w:r>
      <w:r w:rsidR="004C1A59">
        <w:rPr>
          <w:i/>
          <w:iCs/>
        </w:rPr>
        <w:t>Ibid.</w:t>
      </w:r>
      <w:r w:rsidR="004C1A59">
        <w:t xml:space="preserve">)  Because the appellant’s petition in </w:t>
      </w:r>
      <w:r w:rsidR="004771BF">
        <w:rPr>
          <w:i/>
          <w:iCs/>
        </w:rPr>
        <w:t xml:space="preserve">Oaktree Capital </w:t>
      </w:r>
      <w:r w:rsidR="004C1A59">
        <w:t xml:space="preserve">was filed within the 100-day deadline, the </w:t>
      </w:r>
      <w:r w:rsidR="00802978">
        <w:t xml:space="preserve">only deadline at issue was the </w:t>
      </w:r>
      <w:r w:rsidR="00BE67EF">
        <w:t>10</w:t>
      </w:r>
      <w:r w:rsidR="00802978">
        <w:t>-day deadline under section 1290.6</w:t>
      </w:r>
      <w:r w:rsidR="00C168FB">
        <w:t xml:space="preserve">.  </w:t>
      </w:r>
      <w:r w:rsidR="003255B7">
        <w:t>Fairly r</w:t>
      </w:r>
      <w:r w:rsidR="00B24963">
        <w:t>ead</w:t>
      </w:r>
      <w:r w:rsidR="009C7F11">
        <w:t xml:space="preserve"> in light of the</w:t>
      </w:r>
      <w:r w:rsidR="00D85C99">
        <w:t>se</w:t>
      </w:r>
      <w:r w:rsidR="009C7F11">
        <w:t xml:space="preserve"> facts</w:t>
      </w:r>
      <w:r w:rsidR="00B24963">
        <w:t xml:space="preserve">, the court’s </w:t>
      </w:r>
      <w:r w:rsidR="009C7F11">
        <w:t xml:space="preserve">statement that the </w:t>
      </w:r>
      <w:r w:rsidR="003255B7">
        <w:t xml:space="preserve">100-day deadline “did not apply” meant that </w:t>
      </w:r>
      <w:r w:rsidR="00770006">
        <w:t xml:space="preserve">the appellant’s request </w:t>
      </w:r>
      <w:r w:rsidR="003C6B47">
        <w:t>was not timely simply because it was filed within 100 days of the arbitration award</w:t>
      </w:r>
      <w:r w:rsidR="00D85C99">
        <w:t xml:space="preserve">; rather, the relevant issue was whether the appellant </w:t>
      </w:r>
      <w:r w:rsidR="00DF3D3B">
        <w:t xml:space="preserve">had </w:t>
      </w:r>
      <w:r w:rsidR="00D85C99">
        <w:t xml:space="preserve">complied with the </w:t>
      </w:r>
      <w:r w:rsidR="00BE67EF">
        <w:t>10</w:t>
      </w:r>
      <w:r w:rsidR="00D85C99">
        <w:t>-day rule in section 1290.6</w:t>
      </w:r>
      <w:r w:rsidR="002901AA">
        <w:t xml:space="preserve">.  </w:t>
      </w:r>
      <w:r w:rsidR="00DF3D3B">
        <w:rPr>
          <w:i/>
          <w:iCs/>
        </w:rPr>
        <w:t>Oaktree Capital</w:t>
      </w:r>
      <w:r w:rsidR="002901AA">
        <w:t xml:space="preserve"> is therefore consistent with the rule that, when </w:t>
      </w:r>
      <w:r w:rsidR="000068B8">
        <w:t xml:space="preserve">a party requests vacation of an arbitration award in response to a petition to confirm the award, the party’s response must comply with </w:t>
      </w:r>
      <w:r w:rsidR="000068B8">
        <w:rPr>
          <w:i/>
          <w:iCs/>
        </w:rPr>
        <w:t xml:space="preserve">both </w:t>
      </w:r>
      <w:r w:rsidR="000068B8">
        <w:t xml:space="preserve">the </w:t>
      </w:r>
      <w:r w:rsidR="00BE67EF">
        <w:t>10</w:t>
      </w:r>
      <w:r w:rsidR="000068B8">
        <w:t>-day deadline in section 1290.6 and the 100-day deadline in section 1288.2.</w:t>
      </w:r>
    </w:p>
  </w:footnote>
  <w:footnote w:id="7">
    <w:p w14:paraId="53214393" w14:textId="3CC3FBD1" w:rsidR="0054464D" w:rsidRDefault="004D7594" w:rsidP="0066192C">
      <w:pPr>
        <w:pStyle w:val="FootnoteText"/>
        <w:spacing w:line="240" w:lineRule="auto"/>
        <w:ind w:firstLine="720"/>
      </w:pPr>
      <w:r>
        <w:rPr>
          <w:rStyle w:val="FootnoteReference"/>
        </w:rPr>
        <w:footnoteRef/>
      </w:r>
      <w:r>
        <w:t xml:space="preserve"> That is </w:t>
      </w:r>
      <w:r w:rsidR="00006C61">
        <w:t xml:space="preserve">of course </w:t>
      </w:r>
      <w:r w:rsidR="0066192C">
        <w:t xml:space="preserve">precisely </w:t>
      </w:r>
      <w:r>
        <w:t xml:space="preserve">what </w:t>
      </w:r>
      <w:r w:rsidR="00F579F4">
        <w:t xml:space="preserve">Key </w:t>
      </w:r>
      <w:r w:rsidR="001E5A6E">
        <w:t>urges</w:t>
      </w:r>
      <w:r>
        <w:t xml:space="preserve"> here.  Although LFG filed its petition </w:t>
      </w:r>
      <w:r w:rsidR="00F579F4">
        <w:t xml:space="preserve">to </w:t>
      </w:r>
      <w:r w:rsidR="00377A6A">
        <w:t xml:space="preserve">confirm the arbitration award within weeks </w:t>
      </w:r>
      <w:r w:rsidR="006B2439">
        <w:t xml:space="preserve">after </w:t>
      </w:r>
      <w:r w:rsidR="00C65DCE">
        <w:t>it was served</w:t>
      </w:r>
      <w:r w:rsidR="006B2439">
        <w:t xml:space="preserve">, Key did not file her response </w:t>
      </w:r>
      <w:r w:rsidR="00B73CED">
        <w:t>for months, well</w:t>
      </w:r>
      <w:r w:rsidR="001E5A6E">
        <w:t xml:space="preserve"> after the 100</w:t>
      </w:r>
      <w:r w:rsidR="00BD7C5D">
        <w:t>-day</w:t>
      </w:r>
      <w:r w:rsidR="001E5A6E">
        <w:t xml:space="preserve"> deadline had passed</w:t>
      </w:r>
      <w:r w:rsidR="006B2439">
        <w:t>.</w:t>
      </w:r>
      <w:r w:rsidR="001E5A6E">
        <w:t xml:space="preserve">  </w:t>
      </w:r>
      <w:r w:rsidR="00927521">
        <w:t>She excuses the delay on the ground that the parties agreed to a different deadline.</w:t>
      </w:r>
    </w:p>
  </w:footnote>
  <w:footnote w:id="8">
    <w:p w14:paraId="1E0EA1C2" w14:textId="4E54CA25" w:rsidR="003A04B7" w:rsidRDefault="004D7594" w:rsidP="00EF258C">
      <w:pPr>
        <w:pStyle w:val="FootnoteText"/>
        <w:spacing w:line="240" w:lineRule="auto"/>
        <w:ind w:firstLine="720"/>
      </w:pPr>
      <w:r w:rsidRPr="0038573E">
        <w:rPr>
          <w:rStyle w:val="FootnoteReference"/>
        </w:rPr>
        <w:footnoteRef/>
      </w:r>
      <w:r w:rsidRPr="0038573E">
        <w:t xml:space="preserve"> </w:t>
      </w:r>
      <w:r w:rsidR="006E5E69" w:rsidRPr="0038573E">
        <w:t>The e</w:t>
      </w:r>
      <w:r w:rsidRPr="0038573E">
        <w:t xml:space="preserve">vidence </w:t>
      </w:r>
      <w:r w:rsidR="006E5E69" w:rsidRPr="0038573E">
        <w:t>of such an agreement is</w:t>
      </w:r>
      <w:r w:rsidRPr="0038573E">
        <w:t xml:space="preserve">, at best, ambiguous.  </w:t>
      </w:r>
      <w:r w:rsidR="006E5E69" w:rsidRPr="0038573E">
        <w:t xml:space="preserve">The </w:t>
      </w:r>
      <w:r w:rsidR="00EF258C" w:rsidRPr="0038573E">
        <w:t xml:space="preserve">record of the parties’ correspondence shows that LFG </w:t>
      </w:r>
      <w:r w:rsidR="00EF258C" w:rsidRPr="0038573E">
        <w:rPr>
          <w:i/>
          <w:iCs/>
        </w:rPr>
        <w:t>expressly</w:t>
      </w:r>
      <w:r w:rsidR="00EF258C" w:rsidRPr="0038573E">
        <w:t xml:space="preserve"> agreed </w:t>
      </w:r>
      <w:r w:rsidR="00A108C1" w:rsidRPr="0038573E">
        <w:t>on October 10, 2019</w:t>
      </w:r>
      <w:r w:rsidR="00F73B85" w:rsidRPr="0038573E">
        <w:t>,</w:t>
      </w:r>
      <w:r w:rsidR="00A108C1" w:rsidRPr="0038573E">
        <w:t xml:space="preserve"> </w:t>
      </w:r>
      <w:r w:rsidR="00CD58FA" w:rsidRPr="0038573E">
        <w:t xml:space="preserve">only </w:t>
      </w:r>
      <w:r w:rsidR="00EF258C" w:rsidRPr="0038573E">
        <w:t xml:space="preserve">to alter the </w:t>
      </w:r>
      <w:r w:rsidR="00F73B85" w:rsidRPr="0038573E">
        <w:rPr>
          <w:i/>
          <w:iCs/>
        </w:rPr>
        <w:t>10</w:t>
      </w:r>
      <w:r w:rsidR="00EF258C" w:rsidRPr="0038573E">
        <w:rPr>
          <w:i/>
          <w:iCs/>
        </w:rPr>
        <w:t>-day</w:t>
      </w:r>
      <w:r w:rsidR="00EF258C" w:rsidRPr="0038573E">
        <w:t xml:space="preserve"> period </w:t>
      </w:r>
      <w:r w:rsidR="00EC5E19" w:rsidRPr="0038573E">
        <w:t xml:space="preserve">to respond to LFG’s petition to confirm, which </w:t>
      </w:r>
      <w:r w:rsidR="0039000B" w:rsidRPr="0038573E">
        <w:t xml:space="preserve">was governed by </w:t>
      </w:r>
      <w:r w:rsidR="00EF258C" w:rsidRPr="0038573E">
        <w:t>section 1290.6.</w:t>
      </w:r>
      <w:r w:rsidR="00CD58FA" w:rsidRPr="0038573E">
        <w:t xml:space="preserve">  </w:t>
      </w:r>
      <w:r w:rsidR="0039000B" w:rsidRPr="0038573E">
        <w:t>(</w:t>
      </w:r>
      <w:r w:rsidR="004E4301" w:rsidRPr="0038573E">
        <w:t>While t</w:t>
      </w:r>
      <w:r w:rsidR="0039000B" w:rsidRPr="0038573E">
        <w:t>he confirming e</w:t>
      </w:r>
      <w:r w:rsidR="00BD3CAE" w:rsidRPr="0038573E">
        <w:t>-</w:t>
      </w:r>
      <w:r w:rsidR="0039000B" w:rsidRPr="0038573E">
        <w:t>mail</w:t>
      </w:r>
      <w:r w:rsidR="004E4301" w:rsidRPr="0038573E">
        <w:t xml:space="preserve"> referred to the “10 day time period for filing a Petition to Vacate,” </w:t>
      </w:r>
      <w:r w:rsidR="006F2C96" w:rsidRPr="0038573E">
        <w:t xml:space="preserve">that apparently meant a request to vacate </w:t>
      </w:r>
      <w:r w:rsidR="00F107FF" w:rsidRPr="0038573E">
        <w:t>in response to LFG’s petition</w:t>
      </w:r>
      <w:r w:rsidR="00D61F98" w:rsidRPr="0038573E">
        <w:t xml:space="preserve">.)  </w:t>
      </w:r>
      <w:r w:rsidR="00074652" w:rsidRPr="0038573E">
        <w:t>The parties communicated about coordinating a hearing date</w:t>
      </w:r>
      <w:r w:rsidR="00257AE8" w:rsidRPr="0038573E">
        <w:t xml:space="preserve"> for both petitions, but </w:t>
      </w:r>
      <w:r w:rsidR="00C35DD4" w:rsidRPr="0038573E">
        <w:t>a fixed</w:t>
      </w:r>
      <w:r w:rsidR="00DA6652" w:rsidRPr="0038573E">
        <w:t xml:space="preserve"> hearing date did not preclude Key from </w:t>
      </w:r>
      <w:r w:rsidR="00DA6652" w:rsidRPr="0038573E">
        <w:rPr>
          <w:i/>
          <w:iCs/>
        </w:rPr>
        <w:t xml:space="preserve">filing </w:t>
      </w:r>
      <w:r w:rsidR="00DA6652" w:rsidRPr="0038573E">
        <w:t xml:space="preserve">a timely petition to vacate </w:t>
      </w:r>
      <w:r w:rsidR="00C35DD4" w:rsidRPr="0038573E">
        <w:t xml:space="preserve">well </w:t>
      </w:r>
      <w:r w:rsidR="00DA6652" w:rsidRPr="0038573E">
        <w:t xml:space="preserve">in advance of the hearing.  </w:t>
      </w:r>
      <w:r w:rsidR="00DF3E15" w:rsidRPr="0038573E">
        <w:t xml:space="preserve">Based upon the correspondence record, it is certainly possible that LFG </w:t>
      </w:r>
      <w:r w:rsidR="0033413B" w:rsidRPr="0038573E">
        <w:t xml:space="preserve">intended to assert the 100-day deadline </w:t>
      </w:r>
      <w:r w:rsidR="00F059BD" w:rsidRPr="0038573E">
        <w:t xml:space="preserve">all along while waiting to see if Key would miss it.  However, </w:t>
      </w:r>
      <w:r w:rsidR="00C35DD4" w:rsidRPr="0038573E">
        <w:t xml:space="preserve">that does not </w:t>
      </w:r>
      <w:r w:rsidR="00D928D8" w:rsidRPr="0038573E">
        <w:t xml:space="preserve">necessarily </w:t>
      </w:r>
      <w:r w:rsidR="00C35DD4" w:rsidRPr="0038573E">
        <w:t xml:space="preserve">mean that LFG agreed to </w:t>
      </w:r>
      <w:r w:rsidR="0026468B" w:rsidRPr="0038573E">
        <w:t>extend the 100-day deadline</w:t>
      </w:r>
      <w:r w:rsidR="00D928D8" w:rsidRPr="0038573E">
        <w:t xml:space="preserve"> or intended to mislead Key</w:t>
      </w:r>
      <w:r w:rsidR="00014AB7" w:rsidRPr="0038573E">
        <w:t xml:space="preserve"> about the existence of such an agreement</w:t>
      </w:r>
      <w:r w:rsidR="0026468B" w:rsidRPr="0038573E">
        <w:t>.</w:t>
      </w:r>
      <w:r w:rsidR="00BB454C" w:rsidRPr="0038573E">
        <w:t xml:space="preserve">  Indeed, LFG </w:t>
      </w:r>
      <w:r w:rsidR="00997BA3" w:rsidRPr="0038573E">
        <w:t xml:space="preserve">itself </w:t>
      </w:r>
      <w:r w:rsidR="00BB454C" w:rsidRPr="0038573E">
        <w:t xml:space="preserve">raised the </w:t>
      </w:r>
      <w:r w:rsidR="00D928D8" w:rsidRPr="0038573E">
        <w:t>issue of the due date for Key’s petition to vacate well before the deadline had passed.  W</w:t>
      </w:r>
      <w:r w:rsidR="00F059BD" w:rsidRPr="0038573E">
        <w:t>hen LFG</w:t>
      </w:r>
      <w:r w:rsidR="008E4D99" w:rsidRPr="0038573E">
        <w:t>’s counsel</w:t>
      </w:r>
      <w:r w:rsidR="00F059BD" w:rsidRPr="0038573E">
        <w:t xml:space="preserve"> asked </w:t>
      </w:r>
      <w:r w:rsidR="008E4D99" w:rsidRPr="0038573E">
        <w:t xml:space="preserve">Key’s counsel </w:t>
      </w:r>
      <w:r w:rsidR="0044274B" w:rsidRPr="0038573E">
        <w:t>by e</w:t>
      </w:r>
      <w:r w:rsidR="00F73B85" w:rsidRPr="0038573E">
        <w:t>-</w:t>
      </w:r>
      <w:r w:rsidR="0044274B" w:rsidRPr="0038573E">
        <w:t xml:space="preserve">mail </w:t>
      </w:r>
      <w:r w:rsidR="00F059BD" w:rsidRPr="0038573E">
        <w:t>on December 12, 2019</w:t>
      </w:r>
      <w:r w:rsidR="0019213F" w:rsidRPr="0038573E">
        <w:t>, “</w:t>
      </w:r>
      <w:r w:rsidR="00F73B85" w:rsidRPr="0038573E">
        <w:t>D</w:t>
      </w:r>
      <w:r w:rsidR="0019213F" w:rsidRPr="0038573E">
        <w:t>o you know when your substantive petition is due,”</w:t>
      </w:r>
      <w:r w:rsidR="00443EEF" w:rsidRPr="0038573E">
        <w:t xml:space="preserve"> and </w:t>
      </w:r>
      <w:r w:rsidR="00190752" w:rsidRPr="0038573E">
        <w:t>suggested</w:t>
      </w:r>
      <w:r w:rsidR="00443EEF" w:rsidRPr="0038573E">
        <w:t xml:space="preserve"> that </w:t>
      </w:r>
      <w:r w:rsidR="00E119CF" w:rsidRPr="0038573E">
        <w:t xml:space="preserve">the parties might need to “revisit” </w:t>
      </w:r>
      <w:r w:rsidR="00711941" w:rsidRPr="0038573E">
        <w:t>their agreement about “timelines</w:t>
      </w:r>
      <w:r w:rsidR="00796FB7" w:rsidRPr="0038573E">
        <w:t>,</w:t>
      </w:r>
      <w:r w:rsidR="00711941" w:rsidRPr="0038573E">
        <w:t>”</w:t>
      </w:r>
      <w:r w:rsidR="0019213F" w:rsidRPr="0038573E">
        <w:t xml:space="preserve"> </w:t>
      </w:r>
      <w:r w:rsidR="00B51E7F" w:rsidRPr="0038573E">
        <w:t>over</w:t>
      </w:r>
      <w:r w:rsidR="00A31856" w:rsidRPr="0038573E">
        <w:t xml:space="preserve"> two weeks remained to file a timely petition to vacate (100 days from September 19, 2019</w:t>
      </w:r>
      <w:r w:rsidR="00F73B85" w:rsidRPr="0038573E">
        <w:t>,</w:t>
      </w:r>
      <w:r w:rsidR="00462BF7" w:rsidRPr="0038573E">
        <w:t xml:space="preserve"> was Saturday, December 28</w:t>
      </w:r>
      <w:r w:rsidR="003D6BE6" w:rsidRPr="0038573E">
        <w:t>)</w:t>
      </w:r>
      <w:r w:rsidR="004352AC" w:rsidRPr="0038573E">
        <w:t>.</w:t>
      </w:r>
      <w:r w:rsidR="0081175A" w:rsidRPr="0038573E">
        <w:t xml:space="preserve">  </w:t>
      </w:r>
      <w:r w:rsidR="00650C3F" w:rsidRPr="0038573E">
        <w:t xml:space="preserve">As far as the record shows, </w:t>
      </w:r>
      <w:r w:rsidR="00DA1909" w:rsidRPr="0038573E">
        <w:t>after receiving that e</w:t>
      </w:r>
      <w:r w:rsidR="00F73B85" w:rsidRPr="0038573E">
        <w:noBreakHyphen/>
      </w:r>
      <w:r w:rsidR="00DA1909" w:rsidRPr="0038573E">
        <w:t xml:space="preserve">mail </w:t>
      </w:r>
      <w:r w:rsidR="00650C3F" w:rsidRPr="0038573E">
        <w:t xml:space="preserve">Key did not </w:t>
      </w:r>
      <w:r w:rsidR="00C200D8" w:rsidRPr="0038573E">
        <w:t xml:space="preserve">attempt to confirm any </w:t>
      </w:r>
      <w:r w:rsidR="00BA6A62" w:rsidRPr="0038573E">
        <w:t xml:space="preserve">agreement </w:t>
      </w:r>
      <w:r w:rsidR="008B7583" w:rsidRPr="0038573E">
        <w:t>concerning the 100-day deadline</w:t>
      </w:r>
      <w:r w:rsidR="0031199F" w:rsidRPr="0038573E">
        <w:t>.</w:t>
      </w:r>
    </w:p>
  </w:footnote>
  <w:footnote w:id="9">
    <w:p w14:paraId="57EA90C6" w14:textId="6CAC604D" w:rsidR="00F31FAD" w:rsidRPr="002B0778" w:rsidRDefault="004D7594" w:rsidP="00F31FAD">
      <w:pPr>
        <w:pStyle w:val="FootnoteText"/>
        <w:tabs>
          <w:tab w:val="left" w:pos="3609"/>
        </w:tabs>
        <w:spacing w:line="240" w:lineRule="auto"/>
        <w:ind w:firstLine="720"/>
      </w:pPr>
      <w:r>
        <w:rPr>
          <w:rStyle w:val="FootnoteReference"/>
        </w:rPr>
        <w:footnoteRef/>
      </w:r>
      <w:r>
        <w:t xml:space="preserve"> A few cases suggest that relief may be granted under section 473 for late-filed petitions to vacate.  (See </w:t>
      </w:r>
      <w:r>
        <w:rPr>
          <w:i/>
          <w:iCs/>
        </w:rPr>
        <w:t xml:space="preserve">Eternity Investments, supra, </w:t>
      </w:r>
      <w:r>
        <w:t xml:space="preserve">151 Cal.App.4th at p. 746; </w:t>
      </w:r>
      <w:r>
        <w:rPr>
          <w:i/>
          <w:iCs/>
        </w:rPr>
        <w:t>De</w:t>
      </w:r>
      <w:r w:rsidR="00355E9F">
        <w:rPr>
          <w:i/>
          <w:iCs/>
        </w:rPr>
        <w:t> </w:t>
      </w:r>
      <w:r>
        <w:rPr>
          <w:i/>
          <w:iCs/>
        </w:rPr>
        <w:t xml:space="preserve">Mello v. Souza </w:t>
      </w:r>
      <w:r>
        <w:t xml:space="preserve">(1973) 36 Cal.App.3d 79, 84; </w:t>
      </w:r>
      <w:r>
        <w:rPr>
          <w:i/>
          <w:iCs/>
        </w:rPr>
        <w:t xml:space="preserve">Elden v. Superior Court </w:t>
      </w:r>
      <w:r>
        <w:t xml:space="preserve">(1997) 53 Cal.App.4th 1497, 1512.)  However, none of those cases actually granted relief under section 473, and their statements are therefore arguably dicta.  Moreover, as the court noted in </w:t>
      </w:r>
      <w:r>
        <w:rPr>
          <w:i/>
          <w:iCs/>
        </w:rPr>
        <w:t xml:space="preserve">Abers, </w:t>
      </w:r>
      <w:r>
        <w:t>the cases are not persuasive “for the simple reason that none of them makes any effort to persuade.”  (</w:t>
      </w:r>
      <w:r>
        <w:rPr>
          <w:i/>
          <w:iCs/>
        </w:rPr>
        <w:t xml:space="preserve">Abers, supra, </w:t>
      </w:r>
      <w:r>
        <w:t>217 Cal.App.4th at p. 1212.)  In any event, none of those cases suggests that the 100-day deadline can be changed by 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377"/>
    <w:multiLevelType w:val="hybridMultilevel"/>
    <w:tmpl w:val="22EC2124"/>
    <w:lvl w:ilvl="0" w:tplc="0852916E">
      <w:start w:val="1"/>
      <w:numFmt w:val="decimal"/>
      <w:lvlText w:val="%1."/>
      <w:lvlJc w:val="left"/>
      <w:pPr>
        <w:ind w:left="720" w:hanging="360"/>
      </w:pPr>
      <w:rPr>
        <w:rFonts w:hint="default"/>
      </w:rPr>
    </w:lvl>
    <w:lvl w:ilvl="1" w:tplc="A516E010" w:tentative="1">
      <w:start w:val="1"/>
      <w:numFmt w:val="lowerLetter"/>
      <w:lvlText w:val="%2."/>
      <w:lvlJc w:val="left"/>
      <w:pPr>
        <w:ind w:left="1440" w:hanging="360"/>
      </w:pPr>
    </w:lvl>
    <w:lvl w:ilvl="2" w:tplc="573E4BA0" w:tentative="1">
      <w:start w:val="1"/>
      <w:numFmt w:val="lowerRoman"/>
      <w:lvlText w:val="%3."/>
      <w:lvlJc w:val="right"/>
      <w:pPr>
        <w:ind w:left="2160" w:hanging="180"/>
      </w:pPr>
    </w:lvl>
    <w:lvl w:ilvl="3" w:tplc="97540354" w:tentative="1">
      <w:start w:val="1"/>
      <w:numFmt w:val="decimal"/>
      <w:lvlText w:val="%4."/>
      <w:lvlJc w:val="left"/>
      <w:pPr>
        <w:ind w:left="2880" w:hanging="360"/>
      </w:pPr>
    </w:lvl>
    <w:lvl w:ilvl="4" w:tplc="14C66340" w:tentative="1">
      <w:start w:val="1"/>
      <w:numFmt w:val="lowerLetter"/>
      <w:lvlText w:val="%5."/>
      <w:lvlJc w:val="left"/>
      <w:pPr>
        <w:ind w:left="3600" w:hanging="360"/>
      </w:pPr>
    </w:lvl>
    <w:lvl w:ilvl="5" w:tplc="F612A18A" w:tentative="1">
      <w:start w:val="1"/>
      <w:numFmt w:val="lowerRoman"/>
      <w:lvlText w:val="%6."/>
      <w:lvlJc w:val="right"/>
      <w:pPr>
        <w:ind w:left="4320" w:hanging="180"/>
      </w:pPr>
    </w:lvl>
    <w:lvl w:ilvl="6" w:tplc="98D0D0E4" w:tentative="1">
      <w:start w:val="1"/>
      <w:numFmt w:val="decimal"/>
      <w:lvlText w:val="%7."/>
      <w:lvlJc w:val="left"/>
      <w:pPr>
        <w:ind w:left="5040" w:hanging="360"/>
      </w:pPr>
    </w:lvl>
    <w:lvl w:ilvl="7" w:tplc="6EB8264C" w:tentative="1">
      <w:start w:val="1"/>
      <w:numFmt w:val="lowerLetter"/>
      <w:lvlText w:val="%8."/>
      <w:lvlJc w:val="left"/>
      <w:pPr>
        <w:ind w:left="5760" w:hanging="360"/>
      </w:pPr>
    </w:lvl>
    <w:lvl w:ilvl="8" w:tplc="A41A1DC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7"/>
    <w:rsid w:val="000007BE"/>
    <w:rsid w:val="00003145"/>
    <w:rsid w:val="00003E8D"/>
    <w:rsid w:val="000065B7"/>
    <w:rsid w:val="000068B8"/>
    <w:rsid w:val="00006C61"/>
    <w:rsid w:val="000105DA"/>
    <w:rsid w:val="00010734"/>
    <w:rsid w:val="00012FC7"/>
    <w:rsid w:val="000137D4"/>
    <w:rsid w:val="00013D7E"/>
    <w:rsid w:val="00014AB7"/>
    <w:rsid w:val="0001611A"/>
    <w:rsid w:val="00017BC2"/>
    <w:rsid w:val="00020D73"/>
    <w:rsid w:val="000220E7"/>
    <w:rsid w:val="00023C7A"/>
    <w:rsid w:val="00024BCC"/>
    <w:rsid w:val="00027ACD"/>
    <w:rsid w:val="000310FF"/>
    <w:rsid w:val="000328C9"/>
    <w:rsid w:val="00032E55"/>
    <w:rsid w:val="00033ED3"/>
    <w:rsid w:val="00034654"/>
    <w:rsid w:val="00035360"/>
    <w:rsid w:val="00036682"/>
    <w:rsid w:val="000367DC"/>
    <w:rsid w:val="000414A9"/>
    <w:rsid w:val="00044E54"/>
    <w:rsid w:val="000466A1"/>
    <w:rsid w:val="00050B4F"/>
    <w:rsid w:val="00051217"/>
    <w:rsid w:val="00054A55"/>
    <w:rsid w:val="00060215"/>
    <w:rsid w:val="00065E17"/>
    <w:rsid w:val="00066B3C"/>
    <w:rsid w:val="00066F4D"/>
    <w:rsid w:val="0006785E"/>
    <w:rsid w:val="00067EF9"/>
    <w:rsid w:val="00072722"/>
    <w:rsid w:val="000739B0"/>
    <w:rsid w:val="00074652"/>
    <w:rsid w:val="00074C12"/>
    <w:rsid w:val="00075447"/>
    <w:rsid w:val="0007567D"/>
    <w:rsid w:val="0007604D"/>
    <w:rsid w:val="000766AF"/>
    <w:rsid w:val="000805F5"/>
    <w:rsid w:val="0008091E"/>
    <w:rsid w:val="00080EC3"/>
    <w:rsid w:val="00082F69"/>
    <w:rsid w:val="00083F55"/>
    <w:rsid w:val="00085370"/>
    <w:rsid w:val="00085900"/>
    <w:rsid w:val="000862AA"/>
    <w:rsid w:val="00086D92"/>
    <w:rsid w:val="00087387"/>
    <w:rsid w:val="00090315"/>
    <w:rsid w:val="000910EF"/>
    <w:rsid w:val="00091C50"/>
    <w:rsid w:val="00094A66"/>
    <w:rsid w:val="00095DB0"/>
    <w:rsid w:val="00095F30"/>
    <w:rsid w:val="00097B92"/>
    <w:rsid w:val="000A208F"/>
    <w:rsid w:val="000A3C6F"/>
    <w:rsid w:val="000A5871"/>
    <w:rsid w:val="000A68BA"/>
    <w:rsid w:val="000A6A7A"/>
    <w:rsid w:val="000B0188"/>
    <w:rsid w:val="000B1ABD"/>
    <w:rsid w:val="000B6DB4"/>
    <w:rsid w:val="000C038E"/>
    <w:rsid w:val="000C045B"/>
    <w:rsid w:val="000C0B7B"/>
    <w:rsid w:val="000C1A02"/>
    <w:rsid w:val="000C1D70"/>
    <w:rsid w:val="000C3516"/>
    <w:rsid w:val="000C4CD1"/>
    <w:rsid w:val="000C5D7A"/>
    <w:rsid w:val="000C7169"/>
    <w:rsid w:val="000D0776"/>
    <w:rsid w:val="000D18E5"/>
    <w:rsid w:val="000D7B53"/>
    <w:rsid w:val="000E1A09"/>
    <w:rsid w:val="000E4316"/>
    <w:rsid w:val="000E53F0"/>
    <w:rsid w:val="000E61A9"/>
    <w:rsid w:val="000F098B"/>
    <w:rsid w:val="000F3A77"/>
    <w:rsid w:val="000F49F4"/>
    <w:rsid w:val="000F4B5B"/>
    <w:rsid w:val="000F6CEB"/>
    <w:rsid w:val="0010253A"/>
    <w:rsid w:val="00103C14"/>
    <w:rsid w:val="00104A94"/>
    <w:rsid w:val="0011027F"/>
    <w:rsid w:val="001117F4"/>
    <w:rsid w:val="00112FB9"/>
    <w:rsid w:val="001136F8"/>
    <w:rsid w:val="0011389A"/>
    <w:rsid w:val="00115733"/>
    <w:rsid w:val="00115CA7"/>
    <w:rsid w:val="00115ECB"/>
    <w:rsid w:val="00117C23"/>
    <w:rsid w:val="00121500"/>
    <w:rsid w:val="001218E0"/>
    <w:rsid w:val="0012339B"/>
    <w:rsid w:val="001252C6"/>
    <w:rsid w:val="00125DE1"/>
    <w:rsid w:val="00125EC1"/>
    <w:rsid w:val="00127544"/>
    <w:rsid w:val="00131035"/>
    <w:rsid w:val="00132CEB"/>
    <w:rsid w:val="0013465E"/>
    <w:rsid w:val="00135429"/>
    <w:rsid w:val="001355BA"/>
    <w:rsid w:val="00135998"/>
    <w:rsid w:val="00136400"/>
    <w:rsid w:val="00146607"/>
    <w:rsid w:val="00147652"/>
    <w:rsid w:val="00147754"/>
    <w:rsid w:val="00150229"/>
    <w:rsid w:val="00150EC4"/>
    <w:rsid w:val="00153C68"/>
    <w:rsid w:val="00154EFA"/>
    <w:rsid w:val="00156A76"/>
    <w:rsid w:val="00157498"/>
    <w:rsid w:val="00157996"/>
    <w:rsid w:val="001602C5"/>
    <w:rsid w:val="0016049E"/>
    <w:rsid w:val="001641D4"/>
    <w:rsid w:val="00165C80"/>
    <w:rsid w:val="001700E6"/>
    <w:rsid w:val="00175505"/>
    <w:rsid w:val="00177F80"/>
    <w:rsid w:val="001834AE"/>
    <w:rsid w:val="0018361D"/>
    <w:rsid w:val="00183BFC"/>
    <w:rsid w:val="00183C52"/>
    <w:rsid w:val="00186DAC"/>
    <w:rsid w:val="001876FC"/>
    <w:rsid w:val="00190752"/>
    <w:rsid w:val="00191EFB"/>
    <w:rsid w:val="0019213F"/>
    <w:rsid w:val="00192A87"/>
    <w:rsid w:val="00194E59"/>
    <w:rsid w:val="00196B3C"/>
    <w:rsid w:val="001A1716"/>
    <w:rsid w:val="001A33B5"/>
    <w:rsid w:val="001A33D4"/>
    <w:rsid w:val="001A3D74"/>
    <w:rsid w:val="001A42F9"/>
    <w:rsid w:val="001A4DDD"/>
    <w:rsid w:val="001A642C"/>
    <w:rsid w:val="001A78C6"/>
    <w:rsid w:val="001A7965"/>
    <w:rsid w:val="001B1409"/>
    <w:rsid w:val="001B1B97"/>
    <w:rsid w:val="001B209E"/>
    <w:rsid w:val="001B3F1E"/>
    <w:rsid w:val="001B4498"/>
    <w:rsid w:val="001B47DC"/>
    <w:rsid w:val="001B49A9"/>
    <w:rsid w:val="001B58A4"/>
    <w:rsid w:val="001B5CD4"/>
    <w:rsid w:val="001B6160"/>
    <w:rsid w:val="001C3124"/>
    <w:rsid w:val="001C5584"/>
    <w:rsid w:val="001C57AD"/>
    <w:rsid w:val="001C7CD4"/>
    <w:rsid w:val="001D04EA"/>
    <w:rsid w:val="001D41D8"/>
    <w:rsid w:val="001D620C"/>
    <w:rsid w:val="001E4A5C"/>
    <w:rsid w:val="001E5A6E"/>
    <w:rsid w:val="001E6057"/>
    <w:rsid w:val="001E60D1"/>
    <w:rsid w:val="001E7812"/>
    <w:rsid w:val="001F16B1"/>
    <w:rsid w:val="001F2082"/>
    <w:rsid w:val="001F27F5"/>
    <w:rsid w:val="001F40D5"/>
    <w:rsid w:val="001F597E"/>
    <w:rsid w:val="00206471"/>
    <w:rsid w:val="00206978"/>
    <w:rsid w:val="002076B7"/>
    <w:rsid w:val="00207DBD"/>
    <w:rsid w:val="002101B2"/>
    <w:rsid w:val="00214C0C"/>
    <w:rsid w:val="00217282"/>
    <w:rsid w:val="00220291"/>
    <w:rsid w:val="00220B0E"/>
    <w:rsid w:val="002222D6"/>
    <w:rsid w:val="00222FB9"/>
    <w:rsid w:val="00225037"/>
    <w:rsid w:val="002270C8"/>
    <w:rsid w:val="002324C3"/>
    <w:rsid w:val="0023424B"/>
    <w:rsid w:val="0023628F"/>
    <w:rsid w:val="002372E2"/>
    <w:rsid w:val="002379A0"/>
    <w:rsid w:val="0024137B"/>
    <w:rsid w:val="00243E72"/>
    <w:rsid w:val="0024751F"/>
    <w:rsid w:val="00250D7B"/>
    <w:rsid w:val="00250F03"/>
    <w:rsid w:val="00251952"/>
    <w:rsid w:val="00251B3B"/>
    <w:rsid w:val="00252167"/>
    <w:rsid w:val="00257AE8"/>
    <w:rsid w:val="002615F2"/>
    <w:rsid w:val="00261624"/>
    <w:rsid w:val="00261B8A"/>
    <w:rsid w:val="0026468B"/>
    <w:rsid w:val="00271288"/>
    <w:rsid w:val="00271D02"/>
    <w:rsid w:val="00272123"/>
    <w:rsid w:val="0027374F"/>
    <w:rsid w:val="00273984"/>
    <w:rsid w:val="00274694"/>
    <w:rsid w:val="002762D2"/>
    <w:rsid w:val="002803FE"/>
    <w:rsid w:val="00280665"/>
    <w:rsid w:val="002817CE"/>
    <w:rsid w:val="00284F55"/>
    <w:rsid w:val="002851FA"/>
    <w:rsid w:val="002855D6"/>
    <w:rsid w:val="00285DC8"/>
    <w:rsid w:val="00286047"/>
    <w:rsid w:val="002860C6"/>
    <w:rsid w:val="00286548"/>
    <w:rsid w:val="002901AA"/>
    <w:rsid w:val="00290B7C"/>
    <w:rsid w:val="00293397"/>
    <w:rsid w:val="002948D9"/>
    <w:rsid w:val="00294EE3"/>
    <w:rsid w:val="00296371"/>
    <w:rsid w:val="002A491B"/>
    <w:rsid w:val="002A5D44"/>
    <w:rsid w:val="002A6DFF"/>
    <w:rsid w:val="002A72B4"/>
    <w:rsid w:val="002B0778"/>
    <w:rsid w:val="002B113E"/>
    <w:rsid w:val="002B206A"/>
    <w:rsid w:val="002B38C7"/>
    <w:rsid w:val="002B6989"/>
    <w:rsid w:val="002C0F14"/>
    <w:rsid w:val="002C1922"/>
    <w:rsid w:val="002C2953"/>
    <w:rsid w:val="002C4F0E"/>
    <w:rsid w:val="002C5123"/>
    <w:rsid w:val="002C69B0"/>
    <w:rsid w:val="002C70FD"/>
    <w:rsid w:val="002C7921"/>
    <w:rsid w:val="002C7B2E"/>
    <w:rsid w:val="002D3403"/>
    <w:rsid w:val="002D3560"/>
    <w:rsid w:val="002D61F7"/>
    <w:rsid w:val="002D7B1D"/>
    <w:rsid w:val="002E4A8A"/>
    <w:rsid w:val="002E59FB"/>
    <w:rsid w:val="002E5C71"/>
    <w:rsid w:val="002E610D"/>
    <w:rsid w:val="002E7E0A"/>
    <w:rsid w:val="002F1067"/>
    <w:rsid w:val="002F1937"/>
    <w:rsid w:val="002F22E1"/>
    <w:rsid w:val="002F31D1"/>
    <w:rsid w:val="002F396E"/>
    <w:rsid w:val="002F75EF"/>
    <w:rsid w:val="002F77D1"/>
    <w:rsid w:val="00303334"/>
    <w:rsid w:val="00306D8F"/>
    <w:rsid w:val="00306DBB"/>
    <w:rsid w:val="00306E86"/>
    <w:rsid w:val="00307E12"/>
    <w:rsid w:val="0031023B"/>
    <w:rsid w:val="0031199F"/>
    <w:rsid w:val="003123E2"/>
    <w:rsid w:val="00314576"/>
    <w:rsid w:val="00315821"/>
    <w:rsid w:val="00315B99"/>
    <w:rsid w:val="00316435"/>
    <w:rsid w:val="003175B4"/>
    <w:rsid w:val="0031777A"/>
    <w:rsid w:val="00320094"/>
    <w:rsid w:val="003222D3"/>
    <w:rsid w:val="003255B7"/>
    <w:rsid w:val="00325E10"/>
    <w:rsid w:val="00330ABE"/>
    <w:rsid w:val="00330F02"/>
    <w:rsid w:val="0033413B"/>
    <w:rsid w:val="00335812"/>
    <w:rsid w:val="00335889"/>
    <w:rsid w:val="00340023"/>
    <w:rsid w:val="0034022B"/>
    <w:rsid w:val="003414E7"/>
    <w:rsid w:val="00344183"/>
    <w:rsid w:val="00344C37"/>
    <w:rsid w:val="00345C33"/>
    <w:rsid w:val="00345D3A"/>
    <w:rsid w:val="00350275"/>
    <w:rsid w:val="00350348"/>
    <w:rsid w:val="003503BC"/>
    <w:rsid w:val="00350478"/>
    <w:rsid w:val="00351536"/>
    <w:rsid w:val="0035194F"/>
    <w:rsid w:val="00352751"/>
    <w:rsid w:val="00352B8E"/>
    <w:rsid w:val="003538C6"/>
    <w:rsid w:val="003543E6"/>
    <w:rsid w:val="00355E9F"/>
    <w:rsid w:val="00356E19"/>
    <w:rsid w:val="00360692"/>
    <w:rsid w:val="00362191"/>
    <w:rsid w:val="0036302A"/>
    <w:rsid w:val="003637A6"/>
    <w:rsid w:val="00366799"/>
    <w:rsid w:val="00367B5F"/>
    <w:rsid w:val="00370084"/>
    <w:rsid w:val="00370A6F"/>
    <w:rsid w:val="003724DD"/>
    <w:rsid w:val="003736D1"/>
    <w:rsid w:val="00373B29"/>
    <w:rsid w:val="00375EC3"/>
    <w:rsid w:val="00377372"/>
    <w:rsid w:val="00377A6A"/>
    <w:rsid w:val="003809AF"/>
    <w:rsid w:val="0038400D"/>
    <w:rsid w:val="0038573E"/>
    <w:rsid w:val="003859CE"/>
    <w:rsid w:val="00386227"/>
    <w:rsid w:val="00387234"/>
    <w:rsid w:val="00387D56"/>
    <w:rsid w:val="0039000B"/>
    <w:rsid w:val="0039417F"/>
    <w:rsid w:val="00396820"/>
    <w:rsid w:val="0039702B"/>
    <w:rsid w:val="00397E42"/>
    <w:rsid w:val="003A04B7"/>
    <w:rsid w:val="003A3DC0"/>
    <w:rsid w:val="003A5BF2"/>
    <w:rsid w:val="003A68A7"/>
    <w:rsid w:val="003A7DF8"/>
    <w:rsid w:val="003B0BE0"/>
    <w:rsid w:val="003B24CD"/>
    <w:rsid w:val="003B3545"/>
    <w:rsid w:val="003B3AAD"/>
    <w:rsid w:val="003B3D65"/>
    <w:rsid w:val="003B45E4"/>
    <w:rsid w:val="003B4F4F"/>
    <w:rsid w:val="003B682E"/>
    <w:rsid w:val="003C03AB"/>
    <w:rsid w:val="003C057A"/>
    <w:rsid w:val="003C4005"/>
    <w:rsid w:val="003C4159"/>
    <w:rsid w:val="003C6B47"/>
    <w:rsid w:val="003C6CE7"/>
    <w:rsid w:val="003D14CD"/>
    <w:rsid w:val="003D2467"/>
    <w:rsid w:val="003D4A04"/>
    <w:rsid w:val="003D570B"/>
    <w:rsid w:val="003D5902"/>
    <w:rsid w:val="003D662D"/>
    <w:rsid w:val="003D6BB9"/>
    <w:rsid w:val="003D6BE6"/>
    <w:rsid w:val="003E38F2"/>
    <w:rsid w:val="003E4066"/>
    <w:rsid w:val="003E448E"/>
    <w:rsid w:val="003E64E3"/>
    <w:rsid w:val="003F162B"/>
    <w:rsid w:val="003F2407"/>
    <w:rsid w:val="003F3524"/>
    <w:rsid w:val="003F608F"/>
    <w:rsid w:val="00401FB0"/>
    <w:rsid w:val="004061C6"/>
    <w:rsid w:val="004068C9"/>
    <w:rsid w:val="0041140C"/>
    <w:rsid w:val="00411895"/>
    <w:rsid w:val="00412C47"/>
    <w:rsid w:val="00413F43"/>
    <w:rsid w:val="0041498C"/>
    <w:rsid w:val="0041518C"/>
    <w:rsid w:val="00421656"/>
    <w:rsid w:val="004254B5"/>
    <w:rsid w:val="004264D1"/>
    <w:rsid w:val="004304CA"/>
    <w:rsid w:val="00432F1C"/>
    <w:rsid w:val="004352AC"/>
    <w:rsid w:val="00435DC4"/>
    <w:rsid w:val="00436D5A"/>
    <w:rsid w:val="0044192D"/>
    <w:rsid w:val="00442100"/>
    <w:rsid w:val="0044274B"/>
    <w:rsid w:val="00442EB0"/>
    <w:rsid w:val="00443EEF"/>
    <w:rsid w:val="004444C6"/>
    <w:rsid w:val="00444F65"/>
    <w:rsid w:val="00445009"/>
    <w:rsid w:val="004466A9"/>
    <w:rsid w:val="004469CB"/>
    <w:rsid w:val="00451835"/>
    <w:rsid w:val="00451B84"/>
    <w:rsid w:val="00452506"/>
    <w:rsid w:val="00455D05"/>
    <w:rsid w:val="0045661E"/>
    <w:rsid w:val="0046254C"/>
    <w:rsid w:val="00462BF7"/>
    <w:rsid w:val="00463AAE"/>
    <w:rsid w:val="004653A9"/>
    <w:rsid w:val="004663F4"/>
    <w:rsid w:val="00467C07"/>
    <w:rsid w:val="004707CE"/>
    <w:rsid w:val="004727E6"/>
    <w:rsid w:val="004730A4"/>
    <w:rsid w:val="00474470"/>
    <w:rsid w:val="00474AF4"/>
    <w:rsid w:val="004771BF"/>
    <w:rsid w:val="0047744A"/>
    <w:rsid w:val="00477656"/>
    <w:rsid w:val="00491A5D"/>
    <w:rsid w:val="004923C0"/>
    <w:rsid w:val="004927AF"/>
    <w:rsid w:val="00493181"/>
    <w:rsid w:val="00493D6A"/>
    <w:rsid w:val="00494924"/>
    <w:rsid w:val="00496E89"/>
    <w:rsid w:val="004977B5"/>
    <w:rsid w:val="004A2DB3"/>
    <w:rsid w:val="004A394A"/>
    <w:rsid w:val="004A62EE"/>
    <w:rsid w:val="004A6BE9"/>
    <w:rsid w:val="004A6D8B"/>
    <w:rsid w:val="004B01DB"/>
    <w:rsid w:val="004B03A2"/>
    <w:rsid w:val="004B34CF"/>
    <w:rsid w:val="004B3E6E"/>
    <w:rsid w:val="004B5AEF"/>
    <w:rsid w:val="004C1415"/>
    <w:rsid w:val="004C1A59"/>
    <w:rsid w:val="004C2DA8"/>
    <w:rsid w:val="004C41AD"/>
    <w:rsid w:val="004D0253"/>
    <w:rsid w:val="004D1B46"/>
    <w:rsid w:val="004D3C55"/>
    <w:rsid w:val="004D6F34"/>
    <w:rsid w:val="004D7594"/>
    <w:rsid w:val="004E072A"/>
    <w:rsid w:val="004E0839"/>
    <w:rsid w:val="004E36F8"/>
    <w:rsid w:val="004E3F01"/>
    <w:rsid w:val="004E4301"/>
    <w:rsid w:val="004E4D83"/>
    <w:rsid w:val="004E6573"/>
    <w:rsid w:val="004E76BF"/>
    <w:rsid w:val="004F0C9A"/>
    <w:rsid w:val="004F1CCF"/>
    <w:rsid w:val="004F2F08"/>
    <w:rsid w:val="004F3AD3"/>
    <w:rsid w:val="004F542E"/>
    <w:rsid w:val="004F5DB8"/>
    <w:rsid w:val="004F75DE"/>
    <w:rsid w:val="005008E8"/>
    <w:rsid w:val="00501A84"/>
    <w:rsid w:val="005023DF"/>
    <w:rsid w:val="00502B2B"/>
    <w:rsid w:val="00511B18"/>
    <w:rsid w:val="00512451"/>
    <w:rsid w:val="005134A2"/>
    <w:rsid w:val="0051385B"/>
    <w:rsid w:val="00513EDB"/>
    <w:rsid w:val="0051495F"/>
    <w:rsid w:val="00522D21"/>
    <w:rsid w:val="00523F48"/>
    <w:rsid w:val="00527440"/>
    <w:rsid w:val="005305F6"/>
    <w:rsid w:val="0053166B"/>
    <w:rsid w:val="0053379A"/>
    <w:rsid w:val="00537574"/>
    <w:rsid w:val="005378A4"/>
    <w:rsid w:val="00540418"/>
    <w:rsid w:val="00541E57"/>
    <w:rsid w:val="0054464D"/>
    <w:rsid w:val="0054692D"/>
    <w:rsid w:val="00550850"/>
    <w:rsid w:val="00553516"/>
    <w:rsid w:val="005557AB"/>
    <w:rsid w:val="005565C5"/>
    <w:rsid w:val="00556928"/>
    <w:rsid w:val="005573AC"/>
    <w:rsid w:val="0056243C"/>
    <w:rsid w:val="00570429"/>
    <w:rsid w:val="0057296D"/>
    <w:rsid w:val="005753A2"/>
    <w:rsid w:val="00575736"/>
    <w:rsid w:val="00576E5F"/>
    <w:rsid w:val="00584678"/>
    <w:rsid w:val="00585676"/>
    <w:rsid w:val="00590B14"/>
    <w:rsid w:val="00590CB5"/>
    <w:rsid w:val="00593386"/>
    <w:rsid w:val="005963B2"/>
    <w:rsid w:val="005A0144"/>
    <w:rsid w:val="005A0CFD"/>
    <w:rsid w:val="005A0DCD"/>
    <w:rsid w:val="005A3539"/>
    <w:rsid w:val="005A49D9"/>
    <w:rsid w:val="005B0312"/>
    <w:rsid w:val="005B032F"/>
    <w:rsid w:val="005B0AB7"/>
    <w:rsid w:val="005B3301"/>
    <w:rsid w:val="005B56F1"/>
    <w:rsid w:val="005B58D9"/>
    <w:rsid w:val="005B70E0"/>
    <w:rsid w:val="005B7E70"/>
    <w:rsid w:val="005C0877"/>
    <w:rsid w:val="005C0986"/>
    <w:rsid w:val="005C17ED"/>
    <w:rsid w:val="005C1B5B"/>
    <w:rsid w:val="005C22B1"/>
    <w:rsid w:val="005C4614"/>
    <w:rsid w:val="005C6666"/>
    <w:rsid w:val="005C6732"/>
    <w:rsid w:val="005C7FB4"/>
    <w:rsid w:val="005D0689"/>
    <w:rsid w:val="005D0B80"/>
    <w:rsid w:val="005D14A6"/>
    <w:rsid w:val="005D14F7"/>
    <w:rsid w:val="005D16D1"/>
    <w:rsid w:val="005D3AB9"/>
    <w:rsid w:val="005D4A05"/>
    <w:rsid w:val="005D544F"/>
    <w:rsid w:val="005D5AE1"/>
    <w:rsid w:val="005D7676"/>
    <w:rsid w:val="005E0714"/>
    <w:rsid w:val="005E294E"/>
    <w:rsid w:val="005E3B23"/>
    <w:rsid w:val="005E3C5E"/>
    <w:rsid w:val="005E7C87"/>
    <w:rsid w:val="005F0012"/>
    <w:rsid w:val="005F1171"/>
    <w:rsid w:val="005F3BAB"/>
    <w:rsid w:val="005F42F0"/>
    <w:rsid w:val="0060075A"/>
    <w:rsid w:val="006010FF"/>
    <w:rsid w:val="00604B66"/>
    <w:rsid w:val="00606CB3"/>
    <w:rsid w:val="00607B8E"/>
    <w:rsid w:val="00614F99"/>
    <w:rsid w:val="00620AB7"/>
    <w:rsid w:val="00621553"/>
    <w:rsid w:val="00622C29"/>
    <w:rsid w:val="00623D40"/>
    <w:rsid w:val="00624D32"/>
    <w:rsid w:val="00625E4B"/>
    <w:rsid w:val="00625FA2"/>
    <w:rsid w:val="006271EC"/>
    <w:rsid w:val="00627FFA"/>
    <w:rsid w:val="00633765"/>
    <w:rsid w:val="00633974"/>
    <w:rsid w:val="00635990"/>
    <w:rsid w:val="00635E33"/>
    <w:rsid w:val="00640053"/>
    <w:rsid w:val="006403C1"/>
    <w:rsid w:val="00640BBE"/>
    <w:rsid w:val="006414EE"/>
    <w:rsid w:val="00642212"/>
    <w:rsid w:val="00642A5D"/>
    <w:rsid w:val="00642F88"/>
    <w:rsid w:val="00643866"/>
    <w:rsid w:val="00643D3F"/>
    <w:rsid w:val="006451F8"/>
    <w:rsid w:val="0064584E"/>
    <w:rsid w:val="00645CD6"/>
    <w:rsid w:val="00650C3F"/>
    <w:rsid w:val="006526D3"/>
    <w:rsid w:val="00652CA7"/>
    <w:rsid w:val="00654469"/>
    <w:rsid w:val="006550FB"/>
    <w:rsid w:val="00655602"/>
    <w:rsid w:val="00656059"/>
    <w:rsid w:val="00656217"/>
    <w:rsid w:val="00656271"/>
    <w:rsid w:val="00660894"/>
    <w:rsid w:val="0066192C"/>
    <w:rsid w:val="00662736"/>
    <w:rsid w:val="006628C1"/>
    <w:rsid w:val="00663153"/>
    <w:rsid w:val="0066317D"/>
    <w:rsid w:val="00665244"/>
    <w:rsid w:val="00666B6E"/>
    <w:rsid w:val="00667C58"/>
    <w:rsid w:val="0067061C"/>
    <w:rsid w:val="006767DB"/>
    <w:rsid w:val="006772FB"/>
    <w:rsid w:val="00680AA3"/>
    <w:rsid w:val="00681A89"/>
    <w:rsid w:val="00684AE6"/>
    <w:rsid w:val="00684D57"/>
    <w:rsid w:val="0068504E"/>
    <w:rsid w:val="006854B2"/>
    <w:rsid w:val="0068692D"/>
    <w:rsid w:val="00691354"/>
    <w:rsid w:val="0069144A"/>
    <w:rsid w:val="00694131"/>
    <w:rsid w:val="00694975"/>
    <w:rsid w:val="00695E16"/>
    <w:rsid w:val="00697CC3"/>
    <w:rsid w:val="006A01A8"/>
    <w:rsid w:val="006A157F"/>
    <w:rsid w:val="006A22C2"/>
    <w:rsid w:val="006A3860"/>
    <w:rsid w:val="006A4069"/>
    <w:rsid w:val="006A49AA"/>
    <w:rsid w:val="006A7A56"/>
    <w:rsid w:val="006B02A3"/>
    <w:rsid w:val="006B2229"/>
    <w:rsid w:val="006B2439"/>
    <w:rsid w:val="006B25A8"/>
    <w:rsid w:val="006B42CF"/>
    <w:rsid w:val="006B58D8"/>
    <w:rsid w:val="006B590A"/>
    <w:rsid w:val="006B7438"/>
    <w:rsid w:val="006C145C"/>
    <w:rsid w:val="006C255C"/>
    <w:rsid w:val="006D1AF0"/>
    <w:rsid w:val="006D249B"/>
    <w:rsid w:val="006D2731"/>
    <w:rsid w:val="006D36D2"/>
    <w:rsid w:val="006D3863"/>
    <w:rsid w:val="006D5D52"/>
    <w:rsid w:val="006D5E77"/>
    <w:rsid w:val="006D735D"/>
    <w:rsid w:val="006E05DD"/>
    <w:rsid w:val="006E11B1"/>
    <w:rsid w:val="006E3183"/>
    <w:rsid w:val="006E36D9"/>
    <w:rsid w:val="006E50EA"/>
    <w:rsid w:val="006E5E69"/>
    <w:rsid w:val="006E6DB6"/>
    <w:rsid w:val="006F09E0"/>
    <w:rsid w:val="006F0F09"/>
    <w:rsid w:val="006F10FD"/>
    <w:rsid w:val="006F16C4"/>
    <w:rsid w:val="006F20A1"/>
    <w:rsid w:val="006F211E"/>
    <w:rsid w:val="006F214D"/>
    <w:rsid w:val="006F2B59"/>
    <w:rsid w:val="006F2BB2"/>
    <w:rsid w:val="006F2C96"/>
    <w:rsid w:val="006F3344"/>
    <w:rsid w:val="006F4636"/>
    <w:rsid w:val="006F4C0D"/>
    <w:rsid w:val="006F5D17"/>
    <w:rsid w:val="006F7108"/>
    <w:rsid w:val="006F77E0"/>
    <w:rsid w:val="006F7FA5"/>
    <w:rsid w:val="00700524"/>
    <w:rsid w:val="00701BFE"/>
    <w:rsid w:val="00701E97"/>
    <w:rsid w:val="00706EC2"/>
    <w:rsid w:val="00707E57"/>
    <w:rsid w:val="00711941"/>
    <w:rsid w:val="00712C73"/>
    <w:rsid w:val="00715190"/>
    <w:rsid w:val="0071547A"/>
    <w:rsid w:val="007163AF"/>
    <w:rsid w:val="00720755"/>
    <w:rsid w:val="00721080"/>
    <w:rsid w:val="00723539"/>
    <w:rsid w:val="00724C81"/>
    <w:rsid w:val="00724E9A"/>
    <w:rsid w:val="007266E8"/>
    <w:rsid w:val="00727375"/>
    <w:rsid w:val="007279C1"/>
    <w:rsid w:val="007301CF"/>
    <w:rsid w:val="0073026D"/>
    <w:rsid w:val="007316BD"/>
    <w:rsid w:val="00734273"/>
    <w:rsid w:val="00735CEB"/>
    <w:rsid w:val="0074109B"/>
    <w:rsid w:val="00741EDE"/>
    <w:rsid w:val="0074288A"/>
    <w:rsid w:val="00743228"/>
    <w:rsid w:val="00746888"/>
    <w:rsid w:val="00751722"/>
    <w:rsid w:val="00751DC6"/>
    <w:rsid w:val="0075424B"/>
    <w:rsid w:val="00755DCF"/>
    <w:rsid w:val="007564D5"/>
    <w:rsid w:val="00761157"/>
    <w:rsid w:val="00765BEB"/>
    <w:rsid w:val="00767571"/>
    <w:rsid w:val="00770006"/>
    <w:rsid w:val="00770ED7"/>
    <w:rsid w:val="00771E33"/>
    <w:rsid w:val="00772CBC"/>
    <w:rsid w:val="00773E29"/>
    <w:rsid w:val="00774FA6"/>
    <w:rsid w:val="00775F82"/>
    <w:rsid w:val="00780458"/>
    <w:rsid w:val="00780C85"/>
    <w:rsid w:val="007814AF"/>
    <w:rsid w:val="00781E53"/>
    <w:rsid w:val="00782649"/>
    <w:rsid w:val="00782774"/>
    <w:rsid w:val="00786360"/>
    <w:rsid w:val="0078792D"/>
    <w:rsid w:val="00792606"/>
    <w:rsid w:val="00794567"/>
    <w:rsid w:val="0079604C"/>
    <w:rsid w:val="00796FB7"/>
    <w:rsid w:val="00797522"/>
    <w:rsid w:val="00797A33"/>
    <w:rsid w:val="007A09DC"/>
    <w:rsid w:val="007A5829"/>
    <w:rsid w:val="007A5E45"/>
    <w:rsid w:val="007B12BD"/>
    <w:rsid w:val="007B2B2B"/>
    <w:rsid w:val="007B3599"/>
    <w:rsid w:val="007B40A4"/>
    <w:rsid w:val="007C017B"/>
    <w:rsid w:val="007C0DBB"/>
    <w:rsid w:val="007C10FD"/>
    <w:rsid w:val="007C17EA"/>
    <w:rsid w:val="007C2A26"/>
    <w:rsid w:val="007C3ABE"/>
    <w:rsid w:val="007D17B0"/>
    <w:rsid w:val="007D1E05"/>
    <w:rsid w:val="007D21BC"/>
    <w:rsid w:val="007D528E"/>
    <w:rsid w:val="007D7EDA"/>
    <w:rsid w:val="007E030B"/>
    <w:rsid w:val="007E0B37"/>
    <w:rsid w:val="007E6FF9"/>
    <w:rsid w:val="007E754A"/>
    <w:rsid w:val="007E7C13"/>
    <w:rsid w:val="007F101F"/>
    <w:rsid w:val="007F4CFC"/>
    <w:rsid w:val="00800F1A"/>
    <w:rsid w:val="00802027"/>
    <w:rsid w:val="00802978"/>
    <w:rsid w:val="0080426C"/>
    <w:rsid w:val="0080547B"/>
    <w:rsid w:val="00806FF4"/>
    <w:rsid w:val="0080761C"/>
    <w:rsid w:val="0081175A"/>
    <w:rsid w:val="008122BD"/>
    <w:rsid w:val="008160A3"/>
    <w:rsid w:val="0081626C"/>
    <w:rsid w:val="00820A81"/>
    <w:rsid w:val="0082306C"/>
    <w:rsid w:val="008256C2"/>
    <w:rsid w:val="00826864"/>
    <w:rsid w:val="00827C85"/>
    <w:rsid w:val="008318E7"/>
    <w:rsid w:val="00831A88"/>
    <w:rsid w:val="00834CF0"/>
    <w:rsid w:val="00836543"/>
    <w:rsid w:val="00836DDB"/>
    <w:rsid w:val="0083754A"/>
    <w:rsid w:val="00837F6A"/>
    <w:rsid w:val="0084048E"/>
    <w:rsid w:val="008430CC"/>
    <w:rsid w:val="00846603"/>
    <w:rsid w:val="0085493D"/>
    <w:rsid w:val="008564CC"/>
    <w:rsid w:val="008617DD"/>
    <w:rsid w:val="0086291F"/>
    <w:rsid w:val="00863E87"/>
    <w:rsid w:val="00865156"/>
    <w:rsid w:val="008662B1"/>
    <w:rsid w:val="00866482"/>
    <w:rsid w:val="00866EF8"/>
    <w:rsid w:val="008724D1"/>
    <w:rsid w:val="00872A6D"/>
    <w:rsid w:val="008747A3"/>
    <w:rsid w:val="00875615"/>
    <w:rsid w:val="00875E55"/>
    <w:rsid w:val="0088014D"/>
    <w:rsid w:val="00880620"/>
    <w:rsid w:val="00881787"/>
    <w:rsid w:val="00882FAA"/>
    <w:rsid w:val="00883DC3"/>
    <w:rsid w:val="00885115"/>
    <w:rsid w:val="008858DE"/>
    <w:rsid w:val="00885F83"/>
    <w:rsid w:val="00886177"/>
    <w:rsid w:val="00886B3A"/>
    <w:rsid w:val="008902C6"/>
    <w:rsid w:val="00890A71"/>
    <w:rsid w:val="00891EC3"/>
    <w:rsid w:val="008941CF"/>
    <w:rsid w:val="00894603"/>
    <w:rsid w:val="008953C1"/>
    <w:rsid w:val="00897704"/>
    <w:rsid w:val="008A06A4"/>
    <w:rsid w:val="008A2E69"/>
    <w:rsid w:val="008A3E4B"/>
    <w:rsid w:val="008A47DA"/>
    <w:rsid w:val="008A6774"/>
    <w:rsid w:val="008A6D0D"/>
    <w:rsid w:val="008A7CBB"/>
    <w:rsid w:val="008B13CF"/>
    <w:rsid w:val="008B2205"/>
    <w:rsid w:val="008B4CF1"/>
    <w:rsid w:val="008B564B"/>
    <w:rsid w:val="008B6D19"/>
    <w:rsid w:val="008B7583"/>
    <w:rsid w:val="008C0CB1"/>
    <w:rsid w:val="008C1489"/>
    <w:rsid w:val="008C37B8"/>
    <w:rsid w:val="008C65CF"/>
    <w:rsid w:val="008C720E"/>
    <w:rsid w:val="008D0310"/>
    <w:rsid w:val="008D0A69"/>
    <w:rsid w:val="008D1030"/>
    <w:rsid w:val="008D11F9"/>
    <w:rsid w:val="008D1B33"/>
    <w:rsid w:val="008D3054"/>
    <w:rsid w:val="008D69C6"/>
    <w:rsid w:val="008E1AD7"/>
    <w:rsid w:val="008E20AB"/>
    <w:rsid w:val="008E24C5"/>
    <w:rsid w:val="008E4D99"/>
    <w:rsid w:val="008E588E"/>
    <w:rsid w:val="008E68E3"/>
    <w:rsid w:val="008E6E08"/>
    <w:rsid w:val="008F0CB8"/>
    <w:rsid w:val="008F14A8"/>
    <w:rsid w:val="008F608C"/>
    <w:rsid w:val="009004F6"/>
    <w:rsid w:val="00900A6F"/>
    <w:rsid w:val="00901304"/>
    <w:rsid w:val="00903024"/>
    <w:rsid w:val="00904192"/>
    <w:rsid w:val="009057EC"/>
    <w:rsid w:val="00905B1D"/>
    <w:rsid w:val="00905BF2"/>
    <w:rsid w:val="009062C3"/>
    <w:rsid w:val="00906F1F"/>
    <w:rsid w:val="0090767E"/>
    <w:rsid w:val="00911516"/>
    <w:rsid w:val="00913374"/>
    <w:rsid w:val="0091695F"/>
    <w:rsid w:val="00916A50"/>
    <w:rsid w:val="0092075E"/>
    <w:rsid w:val="00924E17"/>
    <w:rsid w:val="00925EDF"/>
    <w:rsid w:val="00927521"/>
    <w:rsid w:val="00927ED6"/>
    <w:rsid w:val="00932222"/>
    <w:rsid w:val="00932AC2"/>
    <w:rsid w:val="00932B0D"/>
    <w:rsid w:val="00933077"/>
    <w:rsid w:val="0093341F"/>
    <w:rsid w:val="00933D74"/>
    <w:rsid w:val="00934175"/>
    <w:rsid w:val="00934211"/>
    <w:rsid w:val="009363C9"/>
    <w:rsid w:val="009370CE"/>
    <w:rsid w:val="009377D0"/>
    <w:rsid w:val="00937B61"/>
    <w:rsid w:val="00941A1E"/>
    <w:rsid w:val="00941B8E"/>
    <w:rsid w:val="00941DD0"/>
    <w:rsid w:val="009424E3"/>
    <w:rsid w:val="009426F3"/>
    <w:rsid w:val="00942C7A"/>
    <w:rsid w:val="00943654"/>
    <w:rsid w:val="00945095"/>
    <w:rsid w:val="00946150"/>
    <w:rsid w:val="0094646D"/>
    <w:rsid w:val="00953F2C"/>
    <w:rsid w:val="009542C4"/>
    <w:rsid w:val="009576BB"/>
    <w:rsid w:val="009607CA"/>
    <w:rsid w:val="009609AF"/>
    <w:rsid w:val="009615AA"/>
    <w:rsid w:val="00961C15"/>
    <w:rsid w:val="00961D6D"/>
    <w:rsid w:val="00964B3D"/>
    <w:rsid w:val="00964D40"/>
    <w:rsid w:val="00966554"/>
    <w:rsid w:val="0096682F"/>
    <w:rsid w:val="009727F6"/>
    <w:rsid w:val="00980A27"/>
    <w:rsid w:val="00983B25"/>
    <w:rsid w:val="009841E3"/>
    <w:rsid w:val="00984F71"/>
    <w:rsid w:val="00985AD1"/>
    <w:rsid w:val="009907FC"/>
    <w:rsid w:val="0099135B"/>
    <w:rsid w:val="00991D42"/>
    <w:rsid w:val="00997BA3"/>
    <w:rsid w:val="009A0B8D"/>
    <w:rsid w:val="009A1E46"/>
    <w:rsid w:val="009A3280"/>
    <w:rsid w:val="009A3386"/>
    <w:rsid w:val="009A54E4"/>
    <w:rsid w:val="009A6805"/>
    <w:rsid w:val="009A7AF0"/>
    <w:rsid w:val="009A7F8E"/>
    <w:rsid w:val="009B2A24"/>
    <w:rsid w:val="009B3A3A"/>
    <w:rsid w:val="009B5EF8"/>
    <w:rsid w:val="009B7F92"/>
    <w:rsid w:val="009C1956"/>
    <w:rsid w:val="009C7043"/>
    <w:rsid w:val="009C7A03"/>
    <w:rsid w:val="009C7F11"/>
    <w:rsid w:val="009D1BFF"/>
    <w:rsid w:val="009D46B2"/>
    <w:rsid w:val="009D60AE"/>
    <w:rsid w:val="009E03E3"/>
    <w:rsid w:val="009E134D"/>
    <w:rsid w:val="009E3545"/>
    <w:rsid w:val="009E5A6C"/>
    <w:rsid w:val="009E6350"/>
    <w:rsid w:val="009F0D63"/>
    <w:rsid w:val="009F2F04"/>
    <w:rsid w:val="009F42B1"/>
    <w:rsid w:val="009F492D"/>
    <w:rsid w:val="00A0157B"/>
    <w:rsid w:val="00A018F4"/>
    <w:rsid w:val="00A03562"/>
    <w:rsid w:val="00A05601"/>
    <w:rsid w:val="00A05AC9"/>
    <w:rsid w:val="00A05FF0"/>
    <w:rsid w:val="00A06103"/>
    <w:rsid w:val="00A07618"/>
    <w:rsid w:val="00A07C03"/>
    <w:rsid w:val="00A108C1"/>
    <w:rsid w:val="00A10EAE"/>
    <w:rsid w:val="00A11774"/>
    <w:rsid w:val="00A11C69"/>
    <w:rsid w:val="00A11E2C"/>
    <w:rsid w:val="00A13E7E"/>
    <w:rsid w:val="00A14639"/>
    <w:rsid w:val="00A14A14"/>
    <w:rsid w:val="00A15215"/>
    <w:rsid w:val="00A16D19"/>
    <w:rsid w:val="00A177E0"/>
    <w:rsid w:val="00A2237B"/>
    <w:rsid w:val="00A270EE"/>
    <w:rsid w:val="00A30807"/>
    <w:rsid w:val="00A30E82"/>
    <w:rsid w:val="00A31856"/>
    <w:rsid w:val="00A33310"/>
    <w:rsid w:val="00A34687"/>
    <w:rsid w:val="00A34983"/>
    <w:rsid w:val="00A36781"/>
    <w:rsid w:val="00A36BB8"/>
    <w:rsid w:val="00A410F8"/>
    <w:rsid w:val="00A42182"/>
    <w:rsid w:val="00A449A7"/>
    <w:rsid w:val="00A45844"/>
    <w:rsid w:val="00A51A9A"/>
    <w:rsid w:val="00A51D8B"/>
    <w:rsid w:val="00A52067"/>
    <w:rsid w:val="00A52283"/>
    <w:rsid w:val="00A537EC"/>
    <w:rsid w:val="00A55AEB"/>
    <w:rsid w:val="00A5739D"/>
    <w:rsid w:val="00A60919"/>
    <w:rsid w:val="00A61D3C"/>
    <w:rsid w:val="00A631C5"/>
    <w:rsid w:val="00A64046"/>
    <w:rsid w:val="00A65D71"/>
    <w:rsid w:val="00A66146"/>
    <w:rsid w:val="00A666D9"/>
    <w:rsid w:val="00A66E88"/>
    <w:rsid w:val="00A709CE"/>
    <w:rsid w:val="00A75187"/>
    <w:rsid w:val="00A76414"/>
    <w:rsid w:val="00A768FE"/>
    <w:rsid w:val="00A8075A"/>
    <w:rsid w:val="00A83A2A"/>
    <w:rsid w:val="00A848A0"/>
    <w:rsid w:val="00A85657"/>
    <w:rsid w:val="00A85755"/>
    <w:rsid w:val="00A86E24"/>
    <w:rsid w:val="00A87215"/>
    <w:rsid w:val="00A92BDE"/>
    <w:rsid w:val="00A97AB8"/>
    <w:rsid w:val="00A97DC3"/>
    <w:rsid w:val="00AA1F45"/>
    <w:rsid w:val="00AA28AA"/>
    <w:rsid w:val="00AA4D1F"/>
    <w:rsid w:val="00AB2825"/>
    <w:rsid w:val="00AB51E2"/>
    <w:rsid w:val="00AB7994"/>
    <w:rsid w:val="00AB7DAA"/>
    <w:rsid w:val="00AB7FF0"/>
    <w:rsid w:val="00AC1273"/>
    <w:rsid w:val="00AC5F23"/>
    <w:rsid w:val="00AC7E5D"/>
    <w:rsid w:val="00AD3F56"/>
    <w:rsid w:val="00AD4037"/>
    <w:rsid w:val="00AD4D9C"/>
    <w:rsid w:val="00AD4F5E"/>
    <w:rsid w:val="00AD7E71"/>
    <w:rsid w:val="00AE2BB8"/>
    <w:rsid w:val="00AE3414"/>
    <w:rsid w:val="00AE4A43"/>
    <w:rsid w:val="00AF3C8B"/>
    <w:rsid w:val="00AF49B1"/>
    <w:rsid w:val="00AF7AA1"/>
    <w:rsid w:val="00B00532"/>
    <w:rsid w:val="00B03EA0"/>
    <w:rsid w:val="00B04617"/>
    <w:rsid w:val="00B05FD1"/>
    <w:rsid w:val="00B066D9"/>
    <w:rsid w:val="00B111CD"/>
    <w:rsid w:val="00B11E18"/>
    <w:rsid w:val="00B13027"/>
    <w:rsid w:val="00B13B12"/>
    <w:rsid w:val="00B14690"/>
    <w:rsid w:val="00B15B08"/>
    <w:rsid w:val="00B16AD3"/>
    <w:rsid w:val="00B2050D"/>
    <w:rsid w:val="00B21CEE"/>
    <w:rsid w:val="00B22C06"/>
    <w:rsid w:val="00B23677"/>
    <w:rsid w:val="00B24963"/>
    <w:rsid w:val="00B271AE"/>
    <w:rsid w:val="00B276A3"/>
    <w:rsid w:val="00B2782F"/>
    <w:rsid w:val="00B351BE"/>
    <w:rsid w:val="00B36A3C"/>
    <w:rsid w:val="00B37BFC"/>
    <w:rsid w:val="00B4018A"/>
    <w:rsid w:val="00B404EC"/>
    <w:rsid w:val="00B40954"/>
    <w:rsid w:val="00B41E46"/>
    <w:rsid w:val="00B42C63"/>
    <w:rsid w:val="00B44007"/>
    <w:rsid w:val="00B4435B"/>
    <w:rsid w:val="00B4528D"/>
    <w:rsid w:val="00B51E04"/>
    <w:rsid w:val="00B51E7F"/>
    <w:rsid w:val="00B52A0E"/>
    <w:rsid w:val="00B55536"/>
    <w:rsid w:val="00B579B4"/>
    <w:rsid w:val="00B613BC"/>
    <w:rsid w:val="00B63981"/>
    <w:rsid w:val="00B63F5A"/>
    <w:rsid w:val="00B64AAA"/>
    <w:rsid w:val="00B64B4B"/>
    <w:rsid w:val="00B65ADA"/>
    <w:rsid w:val="00B65CFE"/>
    <w:rsid w:val="00B71557"/>
    <w:rsid w:val="00B71787"/>
    <w:rsid w:val="00B71ABD"/>
    <w:rsid w:val="00B728DE"/>
    <w:rsid w:val="00B73CED"/>
    <w:rsid w:val="00B745D9"/>
    <w:rsid w:val="00B75360"/>
    <w:rsid w:val="00B767B0"/>
    <w:rsid w:val="00B76C03"/>
    <w:rsid w:val="00B802EB"/>
    <w:rsid w:val="00B8044A"/>
    <w:rsid w:val="00B82607"/>
    <w:rsid w:val="00B83949"/>
    <w:rsid w:val="00B83ADB"/>
    <w:rsid w:val="00B83B92"/>
    <w:rsid w:val="00B83C41"/>
    <w:rsid w:val="00B8438D"/>
    <w:rsid w:val="00B87F16"/>
    <w:rsid w:val="00B90385"/>
    <w:rsid w:val="00B90BEF"/>
    <w:rsid w:val="00B93805"/>
    <w:rsid w:val="00B96DE9"/>
    <w:rsid w:val="00BA4EF2"/>
    <w:rsid w:val="00BA6521"/>
    <w:rsid w:val="00BA6A62"/>
    <w:rsid w:val="00BB1143"/>
    <w:rsid w:val="00BB11B5"/>
    <w:rsid w:val="00BB2EF1"/>
    <w:rsid w:val="00BB454C"/>
    <w:rsid w:val="00BB53AE"/>
    <w:rsid w:val="00BB6B92"/>
    <w:rsid w:val="00BC1526"/>
    <w:rsid w:val="00BC2061"/>
    <w:rsid w:val="00BC3D1A"/>
    <w:rsid w:val="00BC431F"/>
    <w:rsid w:val="00BC619B"/>
    <w:rsid w:val="00BC667B"/>
    <w:rsid w:val="00BC7132"/>
    <w:rsid w:val="00BD0847"/>
    <w:rsid w:val="00BD085F"/>
    <w:rsid w:val="00BD24CF"/>
    <w:rsid w:val="00BD3CAE"/>
    <w:rsid w:val="00BD692F"/>
    <w:rsid w:val="00BD7C5D"/>
    <w:rsid w:val="00BE0A4F"/>
    <w:rsid w:val="00BE19B1"/>
    <w:rsid w:val="00BE322E"/>
    <w:rsid w:val="00BE44FC"/>
    <w:rsid w:val="00BE67EF"/>
    <w:rsid w:val="00BF3982"/>
    <w:rsid w:val="00BF5471"/>
    <w:rsid w:val="00BF6E25"/>
    <w:rsid w:val="00C00D1A"/>
    <w:rsid w:val="00C05443"/>
    <w:rsid w:val="00C0791A"/>
    <w:rsid w:val="00C11E7A"/>
    <w:rsid w:val="00C12B63"/>
    <w:rsid w:val="00C132EE"/>
    <w:rsid w:val="00C13451"/>
    <w:rsid w:val="00C15365"/>
    <w:rsid w:val="00C168FB"/>
    <w:rsid w:val="00C200D8"/>
    <w:rsid w:val="00C20F73"/>
    <w:rsid w:val="00C2209E"/>
    <w:rsid w:val="00C237C7"/>
    <w:rsid w:val="00C24BAD"/>
    <w:rsid w:val="00C26046"/>
    <w:rsid w:val="00C26A70"/>
    <w:rsid w:val="00C30D47"/>
    <w:rsid w:val="00C31844"/>
    <w:rsid w:val="00C31C58"/>
    <w:rsid w:val="00C3200C"/>
    <w:rsid w:val="00C34509"/>
    <w:rsid w:val="00C35DD4"/>
    <w:rsid w:val="00C35F23"/>
    <w:rsid w:val="00C373BD"/>
    <w:rsid w:val="00C378E6"/>
    <w:rsid w:val="00C41A2D"/>
    <w:rsid w:val="00C42103"/>
    <w:rsid w:val="00C4418B"/>
    <w:rsid w:val="00C45D4F"/>
    <w:rsid w:val="00C45E6C"/>
    <w:rsid w:val="00C46D34"/>
    <w:rsid w:val="00C51EBC"/>
    <w:rsid w:val="00C53314"/>
    <w:rsid w:val="00C53508"/>
    <w:rsid w:val="00C57B27"/>
    <w:rsid w:val="00C64155"/>
    <w:rsid w:val="00C64241"/>
    <w:rsid w:val="00C64D58"/>
    <w:rsid w:val="00C652EB"/>
    <w:rsid w:val="00C65DCE"/>
    <w:rsid w:val="00C661D2"/>
    <w:rsid w:val="00C66251"/>
    <w:rsid w:val="00C66BD0"/>
    <w:rsid w:val="00C715A9"/>
    <w:rsid w:val="00C71E40"/>
    <w:rsid w:val="00C82253"/>
    <w:rsid w:val="00C823FE"/>
    <w:rsid w:val="00C8291E"/>
    <w:rsid w:val="00C84824"/>
    <w:rsid w:val="00C85EE8"/>
    <w:rsid w:val="00C9185E"/>
    <w:rsid w:val="00C94850"/>
    <w:rsid w:val="00C951F2"/>
    <w:rsid w:val="00C9607F"/>
    <w:rsid w:val="00C968DD"/>
    <w:rsid w:val="00C97436"/>
    <w:rsid w:val="00C9747A"/>
    <w:rsid w:val="00CA4C63"/>
    <w:rsid w:val="00CA5C38"/>
    <w:rsid w:val="00CB1198"/>
    <w:rsid w:val="00CB6B4A"/>
    <w:rsid w:val="00CB7594"/>
    <w:rsid w:val="00CB7A03"/>
    <w:rsid w:val="00CB7AB7"/>
    <w:rsid w:val="00CB7C05"/>
    <w:rsid w:val="00CC018E"/>
    <w:rsid w:val="00CC3F23"/>
    <w:rsid w:val="00CC5852"/>
    <w:rsid w:val="00CC65D0"/>
    <w:rsid w:val="00CC6956"/>
    <w:rsid w:val="00CC6A35"/>
    <w:rsid w:val="00CC6E3A"/>
    <w:rsid w:val="00CC70A5"/>
    <w:rsid w:val="00CC740B"/>
    <w:rsid w:val="00CC7699"/>
    <w:rsid w:val="00CD0699"/>
    <w:rsid w:val="00CD0807"/>
    <w:rsid w:val="00CD0C34"/>
    <w:rsid w:val="00CD17D2"/>
    <w:rsid w:val="00CD18E8"/>
    <w:rsid w:val="00CD3305"/>
    <w:rsid w:val="00CD4324"/>
    <w:rsid w:val="00CD44D7"/>
    <w:rsid w:val="00CD4668"/>
    <w:rsid w:val="00CD55E9"/>
    <w:rsid w:val="00CD58FA"/>
    <w:rsid w:val="00CD5EB6"/>
    <w:rsid w:val="00CD6865"/>
    <w:rsid w:val="00CD75C8"/>
    <w:rsid w:val="00CD7B35"/>
    <w:rsid w:val="00CE15BD"/>
    <w:rsid w:val="00CE1891"/>
    <w:rsid w:val="00CE200F"/>
    <w:rsid w:val="00CE4634"/>
    <w:rsid w:val="00CE4EC3"/>
    <w:rsid w:val="00CE6587"/>
    <w:rsid w:val="00CE73B0"/>
    <w:rsid w:val="00CF18EC"/>
    <w:rsid w:val="00CF20A8"/>
    <w:rsid w:val="00CF2143"/>
    <w:rsid w:val="00CF3D54"/>
    <w:rsid w:val="00CF4068"/>
    <w:rsid w:val="00CF6367"/>
    <w:rsid w:val="00CF648C"/>
    <w:rsid w:val="00D04D5A"/>
    <w:rsid w:val="00D057EA"/>
    <w:rsid w:val="00D102E4"/>
    <w:rsid w:val="00D10C2B"/>
    <w:rsid w:val="00D132E9"/>
    <w:rsid w:val="00D1386B"/>
    <w:rsid w:val="00D14E69"/>
    <w:rsid w:val="00D1579E"/>
    <w:rsid w:val="00D167B8"/>
    <w:rsid w:val="00D16A3C"/>
    <w:rsid w:val="00D171C4"/>
    <w:rsid w:val="00D204DE"/>
    <w:rsid w:val="00D20636"/>
    <w:rsid w:val="00D22C35"/>
    <w:rsid w:val="00D232C2"/>
    <w:rsid w:val="00D27F79"/>
    <w:rsid w:val="00D316CA"/>
    <w:rsid w:val="00D34EC8"/>
    <w:rsid w:val="00D3594F"/>
    <w:rsid w:val="00D35D19"/>
    <w:rsid w:val="00D43CCA"/>
    <w:rsid w:val="00D45960"/>
    <w:rsid w:val="00D45DF8"/>
    <w:rsid w:val="00D46A89"/>
    <w:rsid w:val="00D5116D"/>
    <w:rsid w:val="00D51748"/>
    <w:rsid w:val="00D543C3"/>
    <w:rsid w:val="00D54DB4"/>
    <w:rsid w:val="00D55387"/>
    <w:rsid w:val="00D55C58"/>
    <w:rsid w:val="00D56F76"/>
    <w:rsid w:val="00D57BCB"/>
    <w:rsid w:val="00D60614"/>
    <w:rsid w:val="00D61F98"/>
    <w:rsid w:val="00D65065"/>
    <w:rsid w:val="00D709CC"/>
    <w:rsid w:val="00D70A5E"/>
    <w:rsid w:val="00D73502"/>
    <w:rsid w:val="00D741AA"/>
    <w:rsid w:val="00D758A5"/>
    <w:rsid w:val="00D77639"/>
    <w:rsid w:val="00D81940"/>
    <w:rsid w:val="00D85302"/>
    <w:rsid w:val="00D85346"/>
    <w:rsid w:val="00D85C99"/>
    <w:rsid w:val="00D912FF"/>
    <w:rsid w:val="00D928D8"/>
    <w:rsid w:val="00D93D91"/>
    <w:rsid w:val="00D940ED"/>
    <w:rsid w:val="00D946A3"/>
    <w:rsid w:val="00D946C3"/>
    <w:rsid w:val="00D9589B"/>
    <w:rsid w:val="00D962AB"/>
    <w:rsid w:val="00DA04BE"/>
    <w:rsid w:val="00DA0F7D"/>
    <w:rsid w:val="00DA1909"/>
    <w:rsid w:val="00DA1926"/>
    <w:rsid w:val="00DA249F"/>
    <w:rsid w:val="00DA2B6E"/>
    <w:rsid w:val="00DA2B92"/>
    <w:rsid w:val="00DA4E9C"/>
    <w:rsid w:val="00DA5D4E"/>
    <w:rsid w:val="00DA6652"/>
    <w:rsid w:val="00DA6C13"/>
    <w:rsid w:val="00DA7A0B"/>
    <w:rsid w:val="00DB02E1"/>
    <w:rsid w:val="00DB4BC6"/>
    <w:rsid w:val="00DB7D00"/>
    <w:rsid w:val="00DC2EF8"/>
    <w:rsid w:val="00DC3929"/>
    <w:rsid w:val="00DC6677"/>
    <w:rsid w:val="00DC7D8A"/>
    <w:rsid w:val="00DD01D4"/>
    <w:rsid w:val="00DD18F3"/>
    <w:rsid w:val="00DD30E2"/>
    <w:rsid w:val="00DD41A3"/>
    <w:rsid w:val="00DD5D06"/>
    <w:rsid w:val="00DD7084"/>
    <w:rsid w:val="00DD78A0"/>
    <w:rsid w:val="00DD7EA4"/>
    <w:rsid w:val="00DE1543"/>
    <w:rsid w:val="00DE3623"/>
    <w:rsid w:val="00DE3F68"/>
    <w:rsid w:val="00DE49CB"/>
    <w:rsid w:val="00DE5453"/>
    <w:rsid w:val="00DE579C"/>
    <w:rsid w:val="00DE65D5"/>
    <w:rsid w:val="00DF0CA1"/>
    <w:rsid w:val="00DF3D3B"/>
    <w:rsid w:val="00DF3E15"/>
    <w:rsid w:val="00DF43FF"/>
    <w:rsid w:val="00DF449B"/>
    <w:rsid w:val="00DF4BDB"/>
    <w:rsid w:val="00DF5705"/>
    <w:rsid w:val="00DF649F"/>
    <w:rsid w:val="00E007B1"/>
    <w:rsid w:val="00E01A78"/>
    <w:rsid w:val="00E03F81"/>
    <w:rsid w:val="00E05BD5"/>
    <w:rsid w:val="00E06DB9"/>
    <w:rsid w:val="00E10192"/>
    <w:rsid w:val="00E11649"/>
    <w:rsid w:val="00E119CF"/>
    <w:rsid w:val="00E120DC"/>
    <w:rsid w:val="00E13040"/>
    <w:rsid w:val="00E1449E"/>
    <w:rsid w:val="00E207CB"/>
    <w:rsid w:val="00E22088"/>
    <w:rsid w:val="00E233B5"/>
    <w:rsid w:val="00E23993"/>
    <w:rsid w:val="00E24469"/>
    <w:rsid w:val="00E27698"/>
    <w:rsid w:val="00E31EC4"/>
    <w:rsid w:val="00E3232A"/>
    <w:rsid w:val="00E33BDC"/>
    <w:rsid w:val="00E3423A"/>
    <w:rsid w:val="00E34CE7"/>
    <w:rsid w:val="00E34D3D"/>
    <w:rsid w:val="00E3562F"/>
    <w:rsid w:val="00E36CD2"/>
    <w:rsid w:val="00E400D1"/>
    <w:rsid w:val="00E4053C"/>
    <w:rsid w:val="00E40766"/>
    <w:rsid w:val="00E414C2"/>
    <w:rsid w:val="00E4209B"/>
    <w:rsid w:val="00E43292"/>
    <w:rsid w:val="00E43C6E"/>
    <w:rsid w:val="00E4560A"/>
    <w:rsid w:val="00E51757"/>
    <w:rsid w:val="00E53A19"/>
    <w:rsid w:val="00E54F1E"/>
    <w:rsid w:val="00E57A08"/>
    <w:rsid w:val="00E57AB5"/>
    <w:rsid w:val="00E57C9C"/>
    <w:rsid w:val="00E608FB"/>
    <w:rsid w:val="00E60D12"/>
    <w:rsid w:val="00E62371"/>
    <w:rsid w:val="00E63D4E"/>
    <w:rsid w:val="00E64722"/>
    <w:rsid w:val="00E65636"/>
    <w:rsid w:val="00E662EE"/>
    <w:rsid w:val="00E6672A"/>
    <w:rsid w:val="00E667D6"/>
    <w:rsid w:val="00E70156"/>
    <w:rsid w:val="00E7084B"/>
    <w:rsid w:val="00E7388D"/>
    <w:rsid w:val="00E73D41"/>
    <w:rsid w:val="00E745C1"/>
    <w:rsid w:val="00E748F9"/>
    <w:rsid w:val="00E74AEE"/>
    <w:rsid w:val="00E806D1"/>
    <w:rsid w:val="00E80DCD"/>
    <w:rsid w:val="00E81727"/>
    <w:rsid w:val="00E83E77"/>
    <w:rsid w:val="00E849CA"/>
    <w:rsid w:val="00E84D01"/>
    <w:rsid w:val="00E85400"/>
    <w:rsid w:val="00E8577B"/>
    <w:rsid w:val="00E86249"/>
    <w:rsid w:val="00E904C8"/>
    <w:rsid w:val="00E9107D"/>
    <w:rsid w:val="00E912EB"/>
    <w:rsid w:val="00E91678"/>
    <w:rsid w:val="00E92341"/>
    <w:rsid w:val="00E92B41"/>
    <w:rsid w:val="00E94BEF"/>
    <w:rsid w:val="00E94DA1"/>
    <w:rsid w:val="00E96E5E"/>
    <w:rsid w:val="00E97862"/>
    <w:rsid w:val="00EA0DAA"/>
    <w:rsid w:val="00EA4873"/>
    <w:rsid w:val="00EA7A35"/>
    <w:rsid w:val="00EB09DE"/>
    <w:rsid w:val="00EB11F5"/>
    <w:rsid w:val="00EB1742"/>
    <w:rsid w:val="00EB2B47"/>
    <w:rsid w:val="00EB2CF4"/>
    <w:rsid w:val="00EB2E46"/>
    <w:rsid w:val="00EB3207"/>
    <w:rsid w:val="00EB43BC"/>
    <w:rsid w:val="00EB4991"/>
    <w:rsid w:val="00EC10D3"/>
    <w:rsid w:val="00EC5E19"/>
    <w:rsid w:val="00EC6884"/>
    <w:rsid w:val="00EC7114"/>
    <w:rsid w:val="00EC7993"/>
    <w:rsid w:val="00ED18BD"/>
    <w:rsid w:val="00ED50FC"/>
    <w:rsid w:val="00ED5BD4"/>
    <w:rsid w:val="00ED67C7"/>
    <w:rsid w:val="00ED6A49"/>
    <w:rsid w:val="00ED6AA9"/>
    <w:rsid w:val="00ED7343"/>
    <w:rsid w:val="00EE50FF"/>
    <w:rsid w:val="00EE5662"/>
    <w:rsid w:val="00EE5676"/>
    <w:rsid w:val="00EE64D6"/>
    <w:rsid w:val="00EE6C46"/>
    <w:rsid w:val="00EF0CAA"/>
    <w:rsid w:val="00EF1B31"/>
    <w:rsid w:val="00EF2581"/>
    <w:rsid w:val="00EF258C"/>
    <w:rsid w:val="00EF3FD4"/>
    <w:rsid w:val="00EF58C1"/>
    <w:rsid w:val="00EF5CAF"/>
    <w:rsid w:val="00EF71AF"/>
    <w:rsid w:val="00F00AE9"/>
    <w:rsid w:val="00F01D26"/>
    <w:rsid w:val="00F03D9A"/>
    <w:rsid w:val="00F0453A"/>
    <w:rsid w:val="00F04D52"/>
    <w:rsid w:val="00F059BD"/>
    <w:rsid w:val="00F07D77"/>
    <w:rsid w:val="00F107FF"/>
    <w:rsid w:val="00F10CCD"/>
    <w:rsid w:val="00F144D9"/>
    <w:rsid w:val="00F148F9"/>
    <w:rsid w:val="00F14C9F"/>
    <w:rsid w:val="00F21B9E"/>
    <w:rsid w:val="00F246D4"/>
    <w:rsid w:val="00F30FEC"/>
    <w:rsid w:val="00F31FAD"/>
    <w:rsid w:val="00F323D3"/>
    <w:rsid w:val="00F330C4"/>
    <w:rsid w:val="00F358B8"/>
    <w:rsid w:val="00F36A73"/>
    <w:rsid w:val="00F36AA2"/>
    <w:rsid w:val="00F37C5D"/>
    <w:rsid w:val="00F40582"/>
    <w:rsid w:val="00F42145"/>
    <w:rsid w:val="00F4313B"/>
    <w:rsid w:val="00F435AD"/>
    <w:rsid w:val="00F442A8"/>
    <w:rsid w:val="00F4458C"/>
    <w:rsid w:val="00F53ED8"/>
    <w:rsid w:val="00F56BA7"/>
    <w:rsid w:val="00F579F4"/>
    <w:rsid w:val="00F609AB"/>
    <w:rsid w:val="00F60A36"/>
    <w:rsid w:val="00F61B2B"/>
    <w:rsid w:val="00F624EC"/>
    <w:rsid w:val="00F643B3"/>
    <w:rsid w:val="00F644A6"/>
    <w:rsid w:val="00F65869"/>
    <w:rsid w:val="00F65F88"/>
    <w:rsid w:val="00F674BF"/>
    <w:rsid w:val="00F70E02"/>
    <w:rsid w:val="00F7209B"/>
    <w:rsid w:val="00F73632"/>
    <w:rsid w:val="00F73B85"/>
    <w:rsid w:val="00F74434"/>
    <w:rsid w:val="00F75669"/>
    <w:rsid w:val="00F767FF"/>
    <w:rsid w:val="00F81B19"/>
    <w:rsid w:val="00F8296B"/>
    <w:rsid w:val="00F83281"/>
    <w:rsid w:val="00F841E4"/>
    <w:rsid w:val="00F8535A"/>
    <w:rsid w:val="00F8661D"/>
    <w:rsid w:val="00F87F9C"/>
    <w:rsid w:val="00F905DA"/>
    <w:rsid w:val="00F9129B"/>
    <w:rsid w:val="00F918B6"/>
    <w:rsid w:val="00F93DBC"/>
    <w:rsid w:val="00F95890"/>
    <w:rsid w:val="00F959F7"/>
    <w:rsid w:val="00F96A55"/>
    <w:rsid w:val="00FA2096"/>
    <w:rsid w:val="00FA253F"/>
    <w:rsid w:val="00FA3F39"/>
    <w:rsid w:val="00FA50A0"/>
    <w:rsid w:val="00FA64B2"/>
    <w:rsid w:val="00FA6F8F"/>
    <w:rsid w:val="00FA72A9"/>
    <w:rsid w:val="00FB17C5"/>
    <w:rsid w:val="00FB26C4"/>
    <w:rsid w:val="00FB2C55"/>
    <w:rsid w:val="00FB3215"/>
    <w:rsid w:val="00FB3551"/>
    <w:rsid w:val="00FB4953"/>
    <w:rsid w:val="00FB60D0"/>
    <w:rsid w:val="00FC0D3A"/>
    <w:rsid w:val="00FC0FF5"/>
    <w:rsid w:val="00FC59EA"/>
    <w:rsid w:val="00FC5EA7"/>
    <w:rsid w:val="00FD0A11"/>
    <w:rsid w:val="00FD23B3"/>
    <w:rsid w:val="00FD2D0B"/>
    <w:rsid w:val="00FD42B8"/>
    <w:rsid w:val="00FD509A"/>
    <w:rsid w:val="00FD73FA"/>
    <w:rsid w:val="00FE000B"/>
    <w:rsid w:val="00FE45E8"/>
    <w:rsid w:val="00FE64A8"/>
    <w:rsid w:val="00FE7B12"/>
    <w:rsid w:val="00FF190F"/>
    <w:rsid w:val="00FF1EB0"/>
    <w:rsid w:val="00FF3957"/>
    <w:rsid w:val="00FF419F"/>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3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imes New Roman" w:hAnsi="Century Schoolbook"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46"/>
    <w:pPr>
      <w:spacing w:line="360" w:lineRule="auto"/>
    </w:pPr>
    <w:rPr>
      <w:sz w:val="26"/>
    </w:rPr>
  </w:style>
  <w:style w:type="paragraph" w:styleId="Heading1">
    <w:name w:val="heading 1"/>
    <w:basedOn w:val="Normal"/>
    <w:next w:val="Normal"/>
    <w:link w:val="Heading1Char"/>
    <w:qFormat/>
    <w:rsid w:val="00E35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458C"/>
    <w:pPr>
      <w:tabs>
        <w:tab w:val="center" w:pos="4320"/>
        <w:tab w:val="right" w:pos="8640"/>
      </w:tabs>
    </w:pPr>
  </w:style>
  <w:style w:type="character" w:styleId="FootnoteReference">
    <w:name w:val="footnote reference"/>
    <w:uiPriority w:val="99"/>
    <w:semiHidden/>
    <w:rsid w:val="00F4458C"/>
    <w:rPr>
      <w:b/>
      <w:color w:val="auto"/>
      <w:position w:val="6"/>
      <w:sz w:val="20"/>
    </w:rPr>
  </w:style>
  <w:style w:type="paragraph" w:styleId="FootnoteText">
    <w:name w:val="footnote text"/>
    <w:basedOn w:val="Normal"/>
    <w:link w:val="FootnoteTextChar"/>
    <w:uiPriority w:val="99"/>
    <w:rsid w:val="00F4458C"/>
  </w:style>
  <w:style w:type="paragraph" w:styleId="Header">
    <w:name w:val="header"/>
    <w:basedOn w:val="Normal"/>
    <w:rsid w:val="00F4458C"/>
    <w:pPr>
      <w:tabs>
        <w:tab w:val="center" w:pos="4320"/>
        <w:tab w:val="right" w:pos="8640"/>
      </w:tabs>
    </w:pPr>
  </w:style>
  <w:style w:type="character" w:styleId="PageNumber">
    <w:name w:val="page number"/>
    <w:basedOn w:val="DefaultParagraphFont"/>
    <w:rsid w:val="00F4458C"/>
  </w:style>
  <w:style w:type="character" w:customStyle="1" w:styleId="FootnoteTextChar">
    <w:name w:val="Footnote Text Char"/>
    <w:link w:val="FootnoteText"/>
    <w:uiPriority w:val="99"/>
    <w:rsid w:val="009A54E4"/>
    <w:rPr>
      <w:sz w:val="26"/>
    </w:rPr>
  </w:style>
  <w:style w:type="paragraph" w:styleId="DocumentMap">
    <w:name w:val="Document Map"/>
    <w:basedOn w:val="Normal"/>
    <w:link w:val="DocumentMapChar"/>
    <w:rsid w:val="00D709CC"/>
    <w:rPr>
      <w:rFonts w:ascii="Tahoma" w:hAnsi="Tahoma" w:cs="Tahoma"/>
      <w:sz w:val="16"/>
      <w:szCs w:val="16"/>
    </w:rPr>
  </w:style>
  <w:style w:type="character" w:customStyle="1" w:styleId="DocumentMapChar">
    <w:name w:val="Document Map Char"/>
    <w:link w:val="DocumentMap"/>
    <w:rsid w:val="00D709CC"/>
    <w:rPr>
      <w:rFonts w:ascii="Tahoma" w:hAnsi="Tahoma" w:cs="Tahoma"/>
      <w:sz w:val="16"/>
      <w:szCs w:val="16"/>
    </w:rPr>
  </w:style>
  <w:style w:type="paragraph" w:styleId="ListParagraph">
    <w:name w:val="List Paragraph"/>
    <w:basedOn w:val="Normal"/>
    <w:uiPriority w:val="34"/>
    <w:qFormat/>
    <w:rsid w:val="00436D5A"/>
    <w:pPr>
      <w:ind w:left="720"/>
      <w:contextualSpacing/>
    </w:pPr>
  </w:style>
  <w:style w:type="paragraph" w:styleId="BalloonText">
    <w:name w:val="Balloon Text"/>
    <w:basedOn w:val="Normal"/>
    <w:link w:val="BalloonTextChar"/>
    <w:semiHidden/>
    <w:unhideWhenUsed/>
    <w:rsid w:val="00315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15821"/>
    <w:rPr>
      <w:rFonts w:ascii="Segoe UI" w:hAnsi="Segoe UI" w:cs="Segoe UI"/>
      <w:sz w:val="18"/>
      <w:szCs w:val="18"/>
    </w:rPr>
  </w:style>
  <w:style w:type="character" w:customStyle="1" w:styleId="Heading1Char">
    <w:name w:val="Heading 1 Char"/>
    <w:basedOn w:val="DefaultParagraphFont"/>
    <w:link w:val="Heading1"/>
    <w:rsid w:val="00E3562F"/>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E356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E3F28-936D-4BD7-83E0-0839ADAB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5456</Words>
  <Characters>27739</Characters>
  <Application>Microsoft Office Word</Application>
  <DocSecurity>0</DocSecurity>
  <Lines>639</Lines>
  <Paragraphs>112</Paragraphs>
  <ScaleCrop>false</ScaleCrop>
  <HeadingPairs>
    <vt:vector size="2" baseType="variant">
      <vt:variant>
        <vt:lpstr>Title</vt:lpstr>
      </vt:variant>
      <vt:variant>
        <vt:i4>1</vt:i4>
      </vt:variant>
    </vt:vector>
  </HeadingPairs>
  <TitlesOfParts>
    <vt:vector size="1" baseType="lpstr">
      <vt:lpstr>criminal opinion template</vt:lpstr>
    </vt:vector>
  </TitlesOfParts>
  <Manager/>
  <Company/>
  <LinksUpToDate>false</LinksUpToDate>
  <CharactersWithSpaces>33299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2021-11-15T23:40:00Z</dcterms:created>
  <dcterms:modified xsi:type="dcterms:W3CDTF">2021-11-15T23:40:00Z</dcterms:modified>
  <cp:category/>
</cp:coreProperties>
</file>