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A321" w14:textId="073E0EE6" w:rsidR="00E5798C" w:rsidRPr="009A35AE" w:rsidRDefault="009D4782" w:rsidP="00E146B8">
      <w:pPr>
        <w:spacing w:line="240" w:lineRule="auto"/>
        <w:jc w:val="center"/>
        <w:rPr>
          <w:sz w:val="20"/>
          <w:szCs w:val="20"/>
        </w:rPr>
      </w:pPr>
      <w:r w:rsidRPr="009A35AE">
        <w:rPr>
          <w:sz w:val="20"/>
          <w:szCs w:val="20"/>
        </w:rPr>
        <w:t>Filed 5/19/22</w:t>
      </w:r>
      <w:bookmarkStart w:id="0" w:name="_Hlk91684443"/>
      <w:r w:rsidR="00E146B8" w:rsidRPr="00EF30E6">
        <w:rPr>
          <w:sz w:val="20"/>
        </w:rPr>
        <w:t>; REVIEW GRANTED.  See Cal. Rules of Court, rules 8.1105 and 8.1115 (and corresponding Comment, par. 2, concerning rule 8.1115(e)(3)).</w:t>
      </w:r>
      <w:bookmarkEnd w:id="0"/>
    </w:p>
    <w:p w14:paraId="75A4D8CA" w14:textId="77777777" w:rsidR="007656F8" w:rsidRPr="009537DB" w:rsidRDefault="009D4782" w:rsidP="007656F8">
      <w:pPr>
        <w:spacing w:line="240" w:lineRule="auto"/>
        <w:jc w:val="center"/>
        <w:rPr>
          <w:b/>
          <w:u w:val="single"/>
        </w:rPr>
      </w:pPr>
      <w:r w:rsidRPr="009537DB">
        <w:rPr>
          <w:b/>
          <w:u w:val="single"/>
        </w:rPr>
        <w:t>CERTIFIED FOR PUBLICATION</w:t>
      </w:r>
    </w:p>
    <w:p w14:paraId="501DB93D" w14:textId="77777777" w:rsidR="00A7467F" w:rsidRPr="00C211A5" w:rsidRDefault="0028732F" w:rsidP="00A7467F">
      <w:pPr>
        <w:spacing w:line="240" w:lineRule="auto"/>
        <w:jc w:val="center"/>
      </w:pPr>
    </w:p>
    <w:p w14:paraId="1F583CBE" w14:textId="77777777" w:rsidR="00A7467F" w:rsidRPr="00C211A5" w:rsidRDefault="009D4782" w:rsidP="00A7467F">
      <w:pPr>
        <w:spacing w:line="240" w:lineRule="auto"/>
        <w:jc w:val="center"/>
      </w:pPr>
      <w:r w:rsidRPr="00C211A5">
        <w:t>IN THE COURT OF APPEAL OF THE STATE OF CALIFORNIA</w:t>
      </w:r>
    </w:p>
    <w:p w14:paraId="171F07DD" w14:textId="77777777" w:rsidR="00A7467F" w:rsidRPr="00C211A5" w:rsidRDefault="0028732F" w:rsidP="00A7467F">
      <w:pPr>
        <w:spacing w:line="240" w:lineRule="auto"/>
        <w:jc w:val="center"/>
      </w:pPr>
    </w:p>
    <w:p w14:paraId="1C7D5DAA" w14:textId="77777777" w:rsidR="00A7467F" w:rsidRPr="00C211A5" w:rsidRDefault="009D4782" w:rsidP="00A7467F">
      <w:pPr>
        <w:spacing w:line="240" w:lineRule="auto"/>
        <w:jc w:val="center"/>
      </w:pPr>
      <w:r w:rsidRPr="00C211A5">
        <w:t>SECOND APPELLATE DISTRICT</w:t>
      </w:r>
    </w:p>
    <w:p w14:paraId="107EF4F7" w14:textId="77777777" w:rsidR="00A7467F" w:rsidRPr="00C211A5" w:rsidRDefault="0028732F" w:rsidP="00A7467F">
      <w:pPr>
        <w:spacing w:line="240" w:lineRule="auto"/>
        <w:jc w:val="center"/>
      </w:pPr>
    </w:p>
    <w:p w14:paraId="71884FAA" w14:textId="77777777" w:rsidR="00A7467F" w:rsidRDefault="009D4782" w:rsidP="00A7467F">
      <w:pPr>
        <w:spacing w:line="240" w:lineRule="auto"/>
        <w:jc w:val="center"/>
      </w:pPr>
      <w:r w:rsidRPr="00C211A5">
        <w:t>DIVISION SEVEN</w:t>
      </w:r>
    </w:p>
    <w:p w14:paraId="156525D8" w14:textId="77777777" w:rsidR="00503AF5" w:rsidRDefault="0028732F" w:rsidP="00A7467F">
      <w:pPr>
        <w:spacing w:line="240" w:lineRule="auto"/>
        <w:jc w:val="center"/>
      </w:pPr>
    </w:p>
    <w:p w14:paraId="64699753" w14:textId="77777777" w:rsidR="00C46ABE" w:rsidRPr="00C211A5" w:rsidRDefault="0028732F" w:rsidP="00A7467F">
      <w:pPr>
        <w:spacing w:line="240" w:lineRule="auto"/>
        <w:jc w:val="center"/>
      </w:pPr>
    </w:p>
    <w:tbl>
      <w:tblPr>
        <w:tblW w:w="8640" w:type="dxa"/>
        <w:tblInd w:w="-90" w:type="dxa"/>
        <w:tblLayout w:type="fixed"/>
        <w:tblLook w:val="0000" w:firstRow="0" w:lastRow="0" w:firstColumn="0" w:lastColumn="0" w:noHBand="0" w:noVBand="0"/>
      </w:tblPr>
      <w:tblGrid>
        <w:gridCol w:w="4230"/>
        <w:gridCol w:w="4410"/>
      </w:tblGrid>
      <w:tr w:rsidR="00232DAE" w14:paraId="305C8E63" w14:textId="77777777" w:rsidTr="00A97AD4">
        <w:trPr>
          <w:trHeight w:val="900"/>
        </w:trPr>
        <w:tc>
          <w:tcPr>
            <w:tcW w:w="4230" w:type="dxa"/>
            <w:vMerge w:val="restart"/>
            <w:tcBorders>
              <w:right w:val="single" w:sz="4" w:space="0" w:color="auto"/>
            </w:tcBorders>
            <w:shd w:val="clear" w:color="auto" w:fill="auto"/>
          </w:tcPr>
          <w:p w14:paraId="41DF2C69" w14:textId="77777777" w:rsidR="00441CC9" w:rsidRPr="004D0AD7" w:rsidRDefault="009D4782" w:rsidP="00894084">
            <w:pPr>
              <w:spacing w:line="240" w:lineRule="auto"/>
              <w:rPr>
                <w:szCs w:val="26"/>
              </w:rPr>
            </w:pPr>
            <w:r w:rsidRPr="004D0AD7">
              <w:rPr>
                <w:szCs w:val="26"/>
              </w:rPr>
              <w:t xml:space="preserve">LOS ANGELES </w:t>
            </w:r>
            <w:r>
              <w:rPr>
                <w:szCs w:val="26"/>
              </w:rPr>
              <w:t>POLICE PROTECTIVE LEAGUE</w:t>
            </w:r>
            <w:r w:rsidRPr="004D0AD7">
              <w:rPr>
                <w:szCs w:val="26"/>
              </w:rPr>
              <w:t>,</w:t>
            </w:r>
          </w:p>
          <w:p w14:paraId="29B78925" w14:textId="77777777" w:rsidR="00441CC9" w:rsidRPr="004D0AD7" w:rsidRDefault="0028732F" w:rsidP="00894084">
            <w:pPr>
              <w:spacing w:line="240" w:lineRule="auto"/>
              <w:rPr>
                <w:szCs w:val="26"/>
              </w:rPr>
            </w:pPr>
          </w:p>
          <w:p w14:paraId="0115117C" w14:textId="77777777" w:rsidR="00441CC9" w:rsidRDefault="009D4782" w:rsidP="00894084">
            <w:pPr>
              <w:spacing w:line="240" w:lineRule="auto"/>
              <w:ind w:firstLine="720"/>
              <w:rPr>
                <w:szCs w:val="26"/>
              </w:rPr>
            </w:pPr>
            <w:r>
              <w:rPr>
                <w:szCs w:val="26"/>
              </w:rPr>
              <w:t>Plaintiff</w:t>
            </w:r>
            <w:r w:rsidRPr="004D0AD7">
              <w:rPr>
                <w:szCs w:val="26"/>
              </w:rPr>
              <w:t xml:space="preserve"> and Respondent,</w:t>
            </w:r>
          </w:p>
          <w:p w14:paraId="204C68A3" w14:textId="77777777" w:rsidR="00441CC9" w:rsidRPr="004D0AD7" w:rsidRDefault="0028732F" w:rsidP="00894084">
            <w:pPr>
              <w:spacing w:line="240" w:lineRule="auto"/>
              <w:rPr>
                <w:szCs w:val="26"/>
              </w:rPr>
            </w:pPr>
          </w:p>
          <w:p w14:paraId="2E56FD99" w14:textId="77777777" w:rsidR="00441CC9" w:rsidRPr="004D0AD7" w:rsidRDefault="009D4782" w:rsidP="00894084">
            <w:pPr>
              <w:spacing w:line="240" w:lineRule="auto"/>
              <w:ind w:firstLine="720"/>
              <w:rPr>
                <w:szCs w:val="26"/>
              </w:rPr>
            </w:pPr>
            <w:r w:rsidRPr="004D0AD7">
              <w:rPr>
                <w:szCs w:val="26"/>
              </w:rPr>
              <w:t>v.</w:t>
            </w:r>
          </w:p>
          <w:p w14:paraId="5A4BA764" w14:textId="77777777" w:rsidR="00441CC9" w:rsidRPr="004D0AD7" w:rsidRDefault="0028732F" w:rsidP="00894084">
            <w:pPr>
              <w:spacing w:line="240" w:lineRule="auto"/>
              <w:rPr>
                <w:szCs w:val="26"/>
              </w:rPr>
            </w:pPr>
          </w:p>
          <w:p w14:paraId="2361907E" w14:textId="77777777" w:rsidR="00441CC9" w:rsidRPr="004D0AD7" w:rsidRDefault="009D4782" w:rsidP="00894084">
            <w:pPr>
              <w:spacing w:line="240" w:lineRule="auto"/>
              <w:rPr>
                <w:szCs w:val="26"/>
              </w:rPr>
            </w:pPr>
            <w:r>
              <w:rPr>
                <w:szCs w:val="26"/>
              </w:rPr>
              <w:t>CITY OF LOS ANGELES et al.,</w:t>
            </w:r>
          </w:p>
          <w:p w14:paraId="70F0F5CE" w14:textId="77777777" w:rsidR="00441CC9" w:rsidRPr="004D0AD7" w:rsidRDefault="0028732F" w:rsidP="00894084">
            <w:pPr>
              <w:spacing w:line="240" w:lineRule="auto"/>
              <w:rPr>
                <w:szCs w:val="26"/>
              </w:rPr>
            </w:pPr>
          </w:p>
          <w:p w14:paraId="6712DD57" w14:textId="77777777" w:rsidR="00441CC9" w:rsidRPr="004D0AD7" w:rsidRDefault="009D4782" w:rsidP="008B7513">
            <w:pPr>
              <w:spacing w:line="240" w:lineRule="auto"/>
              <w:ind w:left="705" w:firstLine="15"/>
              <w:rPr>
                <w:szCs w:val="26"/>
              </w:rPr>
            </w:pPr>
            <w:r>
              <w:rPr>
                <w:szCs w:val="26"/>
              </w:rPr>
              <w:t>Defendants and Appellants</w:t>
            </w:r>
            <w:r w:rsidRPr="004D0AD7">
              <w:rPr>
                <w:szCs w:val="26"/>
              </w:rPr>
              <w:t>.</w:t>
            </w:r>
          </w:p>
          <w:p w14:paraId="59C23609" w14:textId="77777777" w:rsidR="00441CC9" w:rsidRPr="004D0AD7" w:rsidRDefault="0028732F" w:rsidP="00894084">
            <w:pPr>
              <w:spacing w:line="240" w:lineRule="auto"/>
              <w:rPr>
                <w:szCs w:val="26"/>
              </w:rPr>
            </w:pPr>
          </w:p>
        </w:tc>
        <w:tc>
          <w:tcPr>
            <w:tcW w:w="4410" w:type="dxa"/>
            <w:tcBorders>
              <w:left w:val="single" w:sz="4" w:space="0" w:color="auto"/>
            </w:tcBorders>
            <w:shd w:val="clear" w:color="auto" w:fill="auto"/>
          </w:tcPr>
          <w:p w14:paraId="0A9FD289" w14:textId="77777777" w:rsidR="00441CC9" w:rsidRPr="004D0AD7" w:rsidRDefault="009D4782" w:rsidP="00894084">
            <w:pPr>
              <w:spacing w:line="240" w:lineRule="auto"/>
              <w:rPr>
                <w:szCs w:val="26"/>
              </w:rPr>
            </w:pPr>
            <w:r>
              <w:rPr>
                <w:szCs w:val="26"/>
              </w:rPr>
              <w:t xml:space="preserve"> B306321</w:t>
            </w:r>
          </w:p>
        </w:tc>
      </w:tr>
      <w:tr w:rsidR="00232DAE" w14:paraId="256B76EB" w14:textId="77777777" w:rsidTr="00A97AD4">
        <w:tc>
          <w:tcPr>
            <w:tcW w:w="4230" w:type="dxa"/>
            <w:vMerge/>
            <w:tcBorders>
              <w:bottom w:val="single" w:sz="4" w:space="0" w:color="auto"/>
              <w:right w:val="single" w:sz="4" w:space="0" w:color="auto"/>
            </w:tcBorders>
            <w:shd w:val="clear" w:color="auto" w:fill="auto"/>
          </w:tcPr>
          <w:p w14:paraId="69CF43C7" w14:textId="77777777" w:rsidR="00441CC9" w:rsidRPr="004D0AD7" w:rsidRDefault="0028732F" w:rsidP="00894084">
            <w:pPr>
              <w:spacing w:line="240" w:lineRule="auto"/>
              <w:rPr>
                <w:szCs w:val="26"/>
              </w:rPr>
            </w:pPr>
          </w:p>
        </w:tc>
        <w:tc>
          <w:tcPr>
            <w:tcW w:w="4410" w:type="dxa"/>
            <w:tcBorders>
              <w:left w:val="single" w:sz="4" w:space="0" w:color="auto"/>
            </w:tcBorders>
            <w:shd w:val="clear" w:color="auto" w:fill="auto"/>
          </w:tcPr>
          <w:p w14:paraId="4F682500" w14:textId="77777777" w:rsidR="00441CC9" w:rsidRPr="004D0AD7" w:rsidRDefault="009D4782" w:rsidP="00894084">
            <w:pPr>
              <w:spacing w:line="240" w:lineRule="auto"/>
              <w:rPr>
                <w:szCs w:val="26"/>
              </w:rPr>
            </w:pPr>
            <w:r w:rsidRPr="004D0AD7">
              <w:rPr>
                <w:szCs w:val="26"/>
              </w:rPr>
              <w:t xml:space="preserve"> (Los Angeles County</w:t>
            </w:r>
          </w:p>
          <w:p w14:paraId="69604691" w14:textId="77777777" w:rsidR="00441CC9" w:rsidRPr="004D0AD7" w:rsidRDefault="009D4782" w:rsidP="00894084">
            <w:pPr>
              <w:spacing w:line="240" w:lineRule="auto"/>
              <w:rPr>
                <w:szCs w:val="26"/>
              </w:rPr>
            </w:pPr>
            <w:r>
              <w:rPr>
                <w:szCs w:val="26"/>
              </w:rPr>
              <w:t xml:space="preserve"> Super. Ct. No. BC676283</w:t>
            </w:r>
            <w:r w:rsidRPr="004D0AD7">
              <w:rPr>
                <w:szCs w:val="26"/>
              </w:rPr>
              <w:t>)</w:t>
            </w:r>
          </w:p>
          <w:p w14:paraId="2D801326" w14:textId="77777777" w:rsidR="00441CC9" w:rsidRPr="004D0AD7" w:rsidRDefault="0028732F" w:rsidP="00894084">
            <w:pPr>
              <w:spacing w:line="240" w:lineRule="auto"/>
              <w:rPr>
                <w:szCs w:val="26"/>
              </w:rPr>
            </w:pPr>
          </w:p>
        </w:tc>
      </w:tr>
    </w:tbl>
    <w:p w14:paraId="26BDCE3E" w14:textId="77777777" w:rsidR="00A7467F" w:rsidRPr="00C211A5" w:rsidRDefault="0028732F" w:rsidP="000D670F"/>
    <w:p w14:paraId="5A9DF531" w14:textId="77777777" w:rsidR="00A7467F" w:rsidRPr="00C211A5" w:rsidRDefault="009D4782" w:rsidP="003F7535">
      <w:pPr>
        <w:spacing w:line="276" w:lineRule="auto"/>
        <w:ind w:firstLine="720"/>
      </w:pPr>
      <w:r w:rsidRPr="00C211A5">
        <w:t>APPEAL from a</w:t>
      </w:r>
      <w:r>
        <w:t xml:space="preserve"> judgment of the</w:t>
      </w:r>
      <w:r w:rsidRPr="00C211A5">
        <w:t xml:space="preserve"> Superior Court of Los Angeles County, </w:t>
      </w:r>
      <w:r>
        <w:t>Robert B. Broadbelt III</w:t>
      </w:r>
      <w:r w:rsidRPr="00C211A5">
        <w:t xml:space="preserve">, Judge.  </w:t>
      </w:r>
      <w:r>
        <w:t>Affirmed.</w:t>
      </w:r>
    </w:p>
    <w:p w14:paraId="78D43C61" w14:textId="77777777" w:rsidR="00A7467F" w:rsidRPr="00C211A5" w:rsidRDefault="009D4782" w:rsidP="003F7535">
      <w:pPr>
        <w:spacing w:line="276" w:lineRule="auto"/>
        <w:ind w:firstLine="720"/>
      </w:pPr>
      <w:r>
        <w:t>Michael N. Feuer, City Attorney, Kathleen A. Kenealy, Chief Deputy City Attorney, Scott Marcus, Senior Assistant City Attorney, Blithe S. Bock, Managing Assistant City Attorney, and Michael M. Walsh, Deputy City Attorney</w:t>
      </w:r>
      <w:r w:rsidRPr="00C211A5">
        <w:t>, for Defendant</w:t>
      </w:r>
      <w:r>
        <w:t>s</w:t>
      </w:r>
      <w:r w:rsidRPr="00C211A5">
        <w:t xml:space="preserve"> and Appellant</w:t>
      </w:r>
      <w:r>
        <w:t>s.</w:t>
      </w:r>
    </w:p>
    <w:p w14:paraId="011D3E71" w14:textId="77777777" w:rsidR="00C357BA" w:rsidRDefault="009D4782" w:rsidP="003F7535">
      <w:pPr>
        <w:spacing w:line="276" w:lineRule="auto"/>
        <w:ind w:firstLine="720"/>
      </w:pPr>
      <w:r>
        <w:t>Rains Lucia Stern St. Phalle &amp; Silver, Richard A. Levine, and Michael A. Morguess</w:t>
      </w:r>
      <w:r w:rsidRPr="00C211A5">
        <w:t xml:space="preserve"> for Plaintiff and Respondent.</w:t>
      </w:r>
    </w:p>
    <w:p w14:paraId="59F1296D" w14:textId="77777777" w:rsidR="0032569F" w:rsidRPr="0032569F" w:rsidRDefault="0028732F" w:rsidP="0032569F">
      <w:pPr>
        <w:spacing w:line="276" w:lineRule="auto"/>
      </w:pPr>
    </w:p>
    <w:p w14:paraId="13CF132B" w14:textId="77777777" w:rsidR="00A96CF8" w:rsidRPr="00C211A5" w:rsidRDefault="009D4782" w:rsidP="00101415">
      <w:pPr>
        <w:pStyle w:val="CaCoA-Heading1"/>
        <w:keepNext/>
      </w:pPr>
      <w:r>
        <w:lastRenderedPageBreak/>
        <w:t>IN</w:t>
      </w:r>
      <w:r w:rsidRPr="00C211A5">
        <w:t>TRODUCTION</w:t>
      </w:r>
    </w:p>
    <w:p w14:paraId="0A1F0C07" w14:textId="77777777" w:rsidR="00157F72" w:rsidRPr="00C211A5" w:rsidRDefault="0028732F" w:rsidP="00101415">
      <w:pPr>
        <w:keepNext/>
        <w:spacing w:line="276" w:lineRule="auto"/>
        <w:ind w:firstLine="720"/>
        <w:rPr>
          <w:szCs w:val="26"/>
        </w:rPr>
      </w:pPr>
    </w:p>
    <w:p w14:paraId="641D0CE2" w14:textId="77777777" w:rsidR="00B430BD" w:rsidRDefault="009D4782" w:rsidP="00B430BD">
      <w:pPr>
        <w:ind w:firstLine="720"/>
      </w:pPr>
      <w:r>
        <w:t>California requires law enforcement agencies to investigate complaints against peace officers.  (See Pen. Code, § 832.5, subd. (a)(1).)</w:t>
      </w:r>
      <w:r>
        <w:rPr>
          <w:rStyle w:val="FootnoteReference"/>
        </w:rPr>
        <w:footnoteReference w:id="2"/>
      </w:r>
      <w:r>
        <w:t xml:space="preserve">  Section 148.6, subdivision (a)(1), makes it a crime to file a knowingly false allegation of misconduct against a peace officer.  And section 148.6, subdivision (a)(2), requires law enforcement agencies, before accepting a complaint alleging misconduct by a peace officer, to require the complainant to sign an advisory informing the complainant that filing a knowingly false complaint may result in criminal prosecution.</w:t>
      </w:r>
    </w:p>
    <w:p w14:paraId="4984179D" w14:textId="77777777" w:rsidR="00640870" w:rsidRDefault="009D4782" w:rsidP="00640870">
      <w:pPr>
        <w:ind w:firstLine="720"/>
      </w:pPr>
      <w:r>
        <w:t>In 2002 the California Supreme Court upheld section 148.6 against a challenge the statute was an impermissible content-based speech restriction under the First Amendment to the United States Constitution.  (</w:t>
      </w:r>
      <w:r>
        <w:rPr>
          <w:i/>
          <w:iCs/>
        </w:rPr>
        <w:t xml:space="preserve">People v. Stanistreet </w:t>
      </w:r>
      <w:r>
        <w:t>(2002) 29 Cal.4th 497, cert. den. 538 U.S. 120 [</w:t>
      </w:r>
      <w:r w:rsidRPr="003A05F8">
        <w:t>123 S.Ct. 1944, 155</w:t>
      </w:r>
      <w:r>
        <w:t> </w:t>
      </w:r>
      <w:r w:rsidRPr="003A05F8">
        <w:t>L.Ed.2d 861</w:t>
      </w:r>
      <w:r>
        <w:t>] (</w:t>
      </w:r>
      <w:r>
        <w:rPr>
          <w:i/>
          <w:iCs/>
        </w:rPr>
        <w:t>Stanistreet</w:t>
      </w:r>
      <w:r>
        <w:t>)).  Three years later, a panel of the United States Court of Appeals for the Ninth Circuit reached a different conclusion.  The Ninth Circuit ruled section 148.6 was an impermissible viewpoint-based speech restriction under the First Amendment because the statute criminalized false statements that accused a peace officer of misconduct, but not false statements, made by the officer or a witness</w:t>
      </w:r>
      <w:r w:rsidRPr="00B63FFD">
        <w:t xml:space="preserve"> </w:t>
      </w:r>
      <w:r>
        <w:t>during the investigation, that supported the officer.  (</w:t>
      </w:r>
      <w:r>
        <w:rPr>
          <w:i/>
          <w:iCs/>
        </w:rPr>
        <w:t xml:space="preserve">Chaker v. Crogan </w:t>
      </w:r>
      <w:r>
        <w:t xml:space="preserve">(9th Cir. 2005) 428 F.3d 1215, cert. den. </w:t>
      </w:r>
      <w:r w:rsidRPr="00782E1A">
        <w:t>547</w:t>
      </w:r>
      <w:r>
        <w:t> </w:t>
      </w:r>
      <w:r w:rsidRPr="00782E1A">
        <w:t>U.S. 1128 </w:t>
      </w:r>
      <w:r>
        <w:t>[</w:t>
      </w:r>
      <w:r w:rsidRPr="00A86482">
        <w:t>26 S.Ct. 2023</w:t>
      </w:r>
      <w:r>
        <w:t xml:space="preserve">, </w:t>
      </w:r>
      <w:r w:rsidRPr="00A86482">
        <w:t>164 L.Ed.2d 780</w:t>
      </w:r>
      <w:r>
        <w:t>] (</w:t>
      </w:r>
      <w:r>
        <w:rPr>
          <w:i/>
          <w:iCs/>
        </w:rPr>
        <w:t>Chaker</w:t>
      </w:r>
      <w:r>
        <w:t>).)</w:t>
      </w:r>
    </w:p>
    <w:p w14:paraId="6B8AAFE2" w14:textId="77777777" w:rsidR="00F8379D" w:rsidRDefault="009D4782" w:rsidP="00DC5B23">
      <w:pPr>
        <w:ind w:firstLine="720"/>
      </w:pPr>
      <w:r>
        <w:t xml:space="preserve">Until 2013 the City of Los Angeles and the United States were parties to a consent decree in the United States District Court that prevented the City from requiring complainants to </w:t>
      </w:r>
      <w:r>
        <w:lastRenderedPageBreak/>
        <w:t>sign the advisory required by section 148.6.  After the consent decree expired, the City continued to not require complainants to sign the advisory.  The Los Angeles Police Protective League filed this action against the City and its Chief of Police, Charlie Beck, seeking an injunction requiring them to comply with section 148.6, subdivision (a)(2).</w:t>
      </w:r>
      <w:r>
        <w:rPr>
          <w:rStyle w:val="FootnoteReference"/>
        </w:rPr>
        <w:footnoteReference w:id="3"/>
      </w:r>
      <w:r>
        <w:t xml:space="preserve">  Following a court trial, the court entered judgment in favor of the Police Protective League.  Concluding it was bound to follow </w:t>
      </w:r>
      <w:r>
        <w:rPr>
          <w:i/>
          <w:iCs/>
        </w:rPr>
        <w:t>Stanistreet</w:t>
      </w:r>
      <w:r>
        <w:t xml:space="preserve">, the trial court rejected the City’s First Amendment challenge to section 148.6 and enjoined the City from accepting any complaint alleging misconduct by a peace officer unless the complainant has signed the advisory required by section 148.6. </w:t>
      </w:r>
    </w:p>
    <w:p w14:paraId="428A66BD" w14:textId="77777777" w:rsidR="00C418FF" w:rsidRDefault="009D4782" w:rsidP="00F8379D">
      <w:pPr>
        <w:ind w:firstLine="720"/>
      </w:pPr>
      <w:r>
        <w:t xml:space="preserve">The City appeals, asking us to hold, as the Ninth Circuit held in </w:t>
      </w:r>
      <w:r>
        <w:rPr>
          <w:i/>
          <w:iCs/>
        </w:rPr>
        <w:t>Chaker</w:t>
      </w:r>
      <w:r>
        <w:t>,</w:t>
      </w:r>
      <w:r>
        <w:rPr>
          <w:i/>
          <w:iCs/>
        </w:rPr>
        <w:t xml:space="preserve"> </w:t>
      </w:r>
      <w:r>
        <w:t xml:space="preserve">section 148.6 is an impermissible viewpoint-based speech restriction.  The City correctly points out that the arguments the California Supreme Court rejected in </w:t>
      </w:r>
      <w:r>
        <w:rPr>
          <w:i/>
          <w:iCs/>
        </w:rPr>
        <w:t xml:space="preserve">Stanistreet </w:t>
      </w:r>
      <w:r>
        <w:t xml:space="preserve">are not entirely identical to the arguments the Ninth Circuit accepted in </w:t>
      </w:r>
      <w:r w:rsidRPr="00EA4A44">
        <w:rPr>
          <w:i/>
          <w:iCs/>
        </w:rPr>
        <w:t>Chaker</w:t>
      </w:r>
      <w:r>
        <w:rPr>
          <w:iCs/>
        </w:rPr>
        <w:t xml:space="preserve">.  The City also argues the injunction requires the City to enforce a statute federal courts have found is unconstitutional.  That’s a real problem.  But </w:t>
      </w:r>
      <w:r>
        <w:t xml:space="preserve">the Supreme Court’s analysis in </w:t>
      </w:r>
      <w:r>
        <w:rPr>
          <w:i/>
          <w:iCs/>
        </w:rPr>
        <w:t>Stanistreet</w:t>
      </w:r>
      <w:r>
        <w:t xml:space="preserve"> of why section 148.6 does not violate the First Amendment applies to the City’s </w:t>
      </w:r>
      <w:r w:rsidRPr="007F0766">
        <w:rPr>
          <w:i/>
        </w:rPr>
        <w:t>Chaker</w:t>
      </w:r>
      <w:r>
        <w:t xml:space="preserve">-based arguments here.  Because the United States Supreme Court has not ruled section 148.6 or an analogous statute is unconstitutional, we must follow </w:t>
      </w:r>
      <w:r>
        <w:rPr>
          <w:i/>
          <w:iCs/>
        </w:rPr>
        <w:t>Stanistreet</w:t>
      </w:r>
      <w:r>
        <w:t xml:space="preserve">.  Therefore, we do, and we affirm. </w:t>
      </w:r>
    </w:p>
    <w:p w14:paraId="52944164" w14:textId="77777777" w:rsidR="005E0E76" w:rsidRPr="0037093A" w:rsidRDefault="0028732F" w:rsidP="00F8379D">
      <w:pPr>
        <w:ind w:firstLine="720"/>
      </w:pPr>
    </w:p>
    <w:p w14:paraId="1C9D8647" w14:textId="77777777" w:rsidR="00220E4D" w:rsidRPr="007656F8" w:rsidRDefault="009D4782" w:rsidP="007656F8">
      <w:pPr>
        <w:pStyle w:val="CaCoA-BodyText"/>
      </w:pPr>
      <w:r w:rsidRPr="007656F8">
        <w:lastRenderedPageBreak/>
        <w:t>FACTUAL AND PROCEDURAL BACKGROUND</w:t>
      </w:r>
    </w:p>
    <w:p w14:paraId="62350950" w14:textId="77777777" w:rsidR="001D2B2E" w:rsidRPr="00C211A5" w:rsidRDefault="0028732F" w:rsidP="00101415">
      <w:pPr>
        <w:keepNext/>
        <w:jc w:val="center"/>
        <w:rPr>
          <w:b/>
          <w:szCs w:val="26"/>
        </w:rPr>
      </w:pPr>
    </w:p>
    <w:p w14:paraId="27B332C2" w14:textId="77777777" w:rsidR="00F602EE" w:rsidRDefault="009D4782" w:rsidP="00F670EF">
      <w:pPr>
        <w:ind w:left="1440" w:hanging="720"/>
      </w:pPr>
      <w:r w:rsidRPr="00C211A5">
        <w:t>A.</w:t>
      </w:r>
      <w:r w:rsidRPr="00C211A5">
        <w:tab/>
      </w:r>
      <w:r>
        <w:rPr>
          <w:i/>
          <w:iCs/>
        </w:rPr>
        <w:t xml:space="preserve">The Legislature Enacts </w:t>
      </w:r>
      <w:r w:rsidRPr="00226203">
        <w:rPr>
          <w:i/>
          <w:iCs/>
        </w:rPr>
        <w:t>Section 148.6</w:t>
      </w:r>
    </w:p>
    <w:p w14:paraId="20AEF726" w14:textId="77777777" w:rsidR="00F670EF" w:rsidRDefault="009D4782" w:rsidP="00F670EF">
      <w:pPr>
        <w:ind w:firstLine="720"/>
      </w:pPr>
      <w:r>
        <w:t>The</w:t>
      </w:r>
      <w:r>
        <w:rPr>
          <w:iCs/>
        </w:rPr>
        <w:t xml:space="preserve"> California Supreme Court </w:t>
      </w:r>
      <w:r>
        <w:t xml:space="preserve">in </w:t>
      </w:r>
      <w:r>
        <w:rPr>
          <w:i/>
          <w:iCs/>
        </w:rPr>
        <w:t>Stanistreet</w:t>
      </w:r>
      <w:r w:rsidRPr="00FB0196">
        <w:t xml:space="preserve"> </w:t>
      </w:r>
      <w:r>
        <w:t>explained the circumstances that prompted the Legislature to enact section 148.6:  After “‘</w:t>
      </w:r>
      <w:r w:rsidRPr="00CB7862">
        <w:t>the Rodney King incident in March 1991, law enforcement age</w:t>
      </w:r>
      <w:r>
        <w:t>ncies throughout the state . . . “</w:t>
      </w:r>
      <w:r w:rsidRPr="00CB7862">
        <w:t>revised their citizen complaint procedures to promote greater accountability on the part of their line officers.</w:t>
      </w:r>
      <w:r>
        <w:t>”’”  (</w:t>
      </w:r>
      <w:r w:rsidRPr="005F76B2">
        <w:rPr>
          <w:i/>
        </w:rPr>
        <w:t>Stanistreet</w:t>
      </w:r>
      <w:r>
        <w:t xml:space="preserve">, </w:t>
      </w:r>
      <w:r w:rsidRPr="005F76B2">
        <w:rPr>
          <w:i/>
        </w:rPr>
        <w:t>supra</w:t>
      </w:r>
      <w:r>
        <w:t xml:space="preserve">, 29 Cal.4th at p. 502.)  </w:t>
      </w:r>
      <w:r w:rsidRPr="005F76B2">
        <w:t>But</w:t>
      </w:r>
      <w:r>
        <w:t>, according to the Legislature, “‘a “</w:t>
      </w:r>
      <w:r w:rsidRPr="00CB7862">
        <w:t>glaringly negative side-effect</w:t>
      </w:r>
      <w:r>
        <w:t xml:space="preserve"> [was] </w:t>
      </w:r>
      <w:r w:rsidRPr="00CB7862">
        <w:t xml:space="preserve">the willingness on the part of many of </w:t>
      </w:r>
      <w:r>
        <w:t>[California’s]</w:t>
      </w:r>
      <w:r w:rsidRPr="00CB7862">
        <w:t xml:space="preserve"> less ethical citizens to maliciously file false allegations of misconduct against officers in an effort to punish them for simply doing their </w:t>
      </w:r>
      <w:r>
        <w:t>jobs.”</w:t>
      </w:r>
      <w:r w:rsidRPr="00CB7862">
        <w:t xml:space="preserve"> </w:t>
      </w:r>
      <w:r>
        <w:t xml:space="preserve"> [Citation.] </w:t>
      </w:r>
      <w:r w:rsidRPr="00CB7862">
        <w:t xml:space="preserve"> Against this backdrop, the Legislature enacted section 148.6 in an attempt to curb a perceived rising tide of knowingly false citizens</w:t>
      </w:r>
      <w:r>
        <w:t>’</w:t>
      </w:r>
      <w:r w:rsidRPr="00CB7862">
        <w:t xml:space="preserve"> complaints of misconduct by officers performing their duties.</w:t>
      </w:r>
      <w:r>
        <w:t>’</w:t>
      </w:r>
      <w:r w:rsidRPr="00CB7862">
        <w:t xml:space="preserve">” </w:t>
      </w:r>
      <w:r>
        <w:t xml:space="preserve"> (</w:t>
      </w:r>
      <w:r>
        <w:rPr>
          <w:i/>
        </w:rPr>
        <w:t>Id.</w:t>
      </w:r>
      <w:r>
        <w:t xml:space="preserve"> at pp. 502-503.) </w:t>
      </w:r>
    </w:p>
    <w:p w14:paraId="734C28E5" w14:textId="77777777" w:rsidR="000D1C95" w:rsidRDefault="009D4782" w:rsidP="00F670EF">
      <w:pPr>
        <w:ind w:firstLine="720"/>
      </w:pPr>
      <w:r>
        <w:t>Section 148.6, subdivision (a)(1), states:  “Every person who files any allegation of misconduct against any peace officer, . . . knowing the allegation to be false, is guilty of a misdemeanor.”  Section 148.6, subdivision (a)(2), states:  “A law enforcement agency accepting an allegation of misconduct against a peace officer shall require the complainant to read and sign the following advisory, all in boldface type:</w:t>
      </w:r>
    </w:p>
    <w:p w14:paraId="4BC9CCF5" w14:textId="77777777" w:rsidR="190ABED8" w:rsidRDefault="0028732F" w:rsidP="190ABED8">
      <w:pPr>
        <w:ind w:firstLine="720"/>
        <w:rPr>
          <w:rFonts w:eastAsia="Calibri"/>
          <w:szCs w:val="26"/>
        </w:rPr>
      </w:pPr>
    </w:p>
    <w:p w14:paraId="17C89EE9" w14:textId="77777777" w:rsidR="000D1C95" w:rsidRDefault="009D4782" w:rsidP="00F670EF">
      <w:r>
        <w:t xml:space="preserve">“YOU HAVE THE RIGHT TO MAKE A COMPLAINT AGAINST A POLICE OFFICER FOR ANY IMPROPER POLICE CONDUCT.  CALIFORNIA LAW REQUIRES THIS AGENCY TO HAVE A PROCEDURE TO INVESTIGATE CIVILIANS’ </w:t>
      </w:r>
      <w:r>
        <w:lastRenderedPageBreak/>
        <w:t>COMPLAINTS.  YOU HAVE A RIGHT TO A WRITTEN DESCRIPTION OF THIS PROCEDURE.  THIS AGENCY MAY FIND AFTER INVESTIGATION THAT THERE IS NOT ENOUGH EVIDENCE TO WARRANT ACTION ON YOUR COMPLAINT; EVEN IF THAT IS THE CASE, YOU HAVE THE RIGHT TO MAKE THE COMPLAINT AND HAVE IT INVESTIGATED IF YOU BELIEVE AN OFFICER BEHAVED IMPROPERLY.  CIVILIAN COMPLAINTS AND ANY REPORTS OR FINDINGS RELATING TO COMPLAINTS MUST BE RETAINED BY THIS AGENCY FOR AT LEAST FIVE YEARS.</w:t>
      </w:r>
    </w:p>
    <w:p w14:paraId="06850433" w14:textId="77777777" w:rsidR="000D1C95" w:rsidRDefault="0028732F" w:rsidP="007656F8">
      <w:pPr>
        <w:pStyle w:val="CaCoA-BodyText"/>
      </w:pPr>
    </w:p>
    <w:p w14:paraId="37FECACE" w14:textId="77777777" w:rsidR="000D1C95" w:rsidRDefault="009D4782" w:rsidP="00F670EF">
      <w:r>
        <w:t>“IT IS AGAINST THE LAW TO MAKE A COMPLAINT THAT YOU KNOW TO BE FALSE.  IF YOU MAKE A COMPLAINT AGAINST AN OFFICER KNOWING THAT IT IS FALSE, YOU CAN BE PROSECUTED ON A MISDEMEANOR CHARGE.</w:t>
      </w:r>
    </w:p>
    <w:p w14:paraId="44B7161B" w14:textId="77777777" w:rsidR="00CF1271" w:rsidRDefault="0028732F" w:rsidP="00CF1271"/>
    <w:p w14:paraId="3ED7D869" w14:textId="77777777" w:rsidR="00CF1271" w:rsidRDefault="009D4782" w:rsidP="00CF1271">
      <w:r>
        <w:t>“I have read and understood the above statement.</w:t>
      </w:r>
    </w:p>
    <w:p w14:paraId="7995FC5F" w14:textId="77777777" w:rsidR="00CF1271" w:rsidRDefault="0028732F" w:rsidP="007656F8">
      <w:pPr>
        <w:pStyle w:val="CaCoA-BodyText"/>
      </w:pPr>
    </w:p>
    <w:p w14:paraId="09FFCC9D" w14:textId="77777777" w:rsidR="00CF1271" w:rsidRPr="00D13991" w:rsidRDefault="009D4782" w:rsidP="00CF1271">
      <w:r>
        <w:t>“Complainant _______.”</w:t>
      </w:r>
    </w:p>
    <w:p w14:paraId="35595F81" w14:textId="77777777" w:rsidR="00593DF9" w:rsidRDefault="0028732F" w:rsidP="007656F8">
      <w:pPr>
        <w:pStyle w:val="CaCoA-BodyText"/>
      </w:pPr>
    </w:p>
    <w:p w14:paraId="40B1A1BE" w14:textId="77777777" w:rsidR="002260E0" w:rsidRDefault="009D4782" w:rsidP="00226203">
      <w:pPr>
        <w:ind w:firstLine="720"/>
        <w:rPr>
          <w:i/>
        </w:rPr>
      </w:pPr>
      <w:r>
        <w:rPr>
          <w:i/>
        </w:rPr>
        <w:t>B.</w:t>
      </w:r>
      <w:r>
        <w:rPr>
          <w:i/>
        </w:rPr>
        <w:tab/>
        <w:t xml:space="preserve">A Consent Decree Prevents the City from Requiring </w:t>
      </w:r>
      <w:r>
        <w:tab/>
      </w:r>
      <w:r>
        <w:tab/>
      </w:r>
      <w:r>
        <w:tab/>
      </w:r>
      <w:r>
        <w:rPr>
          <w:i/>
        </w:rPr>
        <w:t xml:space="preserve">Complainants To Sign the Advisory </w:t>
      </w:r>
    </w:p>
    <w:p w14:paraId="7996D39B" w14:textId="77777777" w:rsidR="00A357C3" w:rsidRDefault="009D4782" w:rsidP="00226203">
      <w:pPr>
        <w:ind w:firstLine="720"/>
      </w:pPr>
      <w:r>
        <w:t>In 2000 the United States filed a lawsuit against the City of Los Angeles alleging the City had failed to implement appropriate management practices, resulting in a pattern or practice of unconstitutional conduct that violated title 42 United States Code former section 14141.</w:t>
      </w:r>
      <w:r>
        <w:rPr>
          <w:rStyle w:val="FootnoteReference"/>
        </w:rPr>
        <w:footnoteReference w:id="4"/>
      </w:r>
      <w:r>
        <w:t xml:space="preserve">  The following year the </w:t>
      </w:r>
      <w:r>
        <w:lastRenderedPageBreak/>
        <w:t xml:space="preserve">United States and the City of Los Angeles entered into a consent decree that resolved the lawsuit.  Under the decree, the City of Los Angeles and the Los Angeles Police Department agreed to receive complaints against peace officers “in writing or verbally, in person, by mail, by telephone . . . , [by] facsimile transmission, or by electronic mail . . . .”  The City of Los Angeles also agreed to receive anonymous complaints and to “prohibit officers from asking or requiring a potential complainant to sign any form that in any manner limits . . . the ability of a civilian to file a police complaint with the [Department] or any other entity.”  The consent decree ended in 2013. </w:t>
      </w:r>
    </w:p>
    <w:p w14:paraId="2A40DC7E" w14:textId="77777777" w:rsidR="00054735" w:rsidRDefault="0028732F" w:rsidP="00226203">
      <w:pPr>
        <w:ind w:firstLine="720"/>
      </w:pPr>
    </w:p>
    <w:p w14:paraId="155798EE" w14:textId="77777777" w:rsidR="00054735" w:rsidRPr="00852639" w:rsidRDefault="009D4782" w:rsidP="00852639">
      <w:pPr>
        <w:ind w:left="1440" w:hanging="720"/>
        <w:rPr>
          <w:i/>
          <w:iCs/>
        </w:rPr>
      </w:pPr>
      <w:r>
        <w:t>C.</w:t>
      </w:r>
      <w:r>
        <w:tab/>
      </w:r>
      <w:r>
        <w:rPr>
          <w:i/>
          <w:iCs/>
        </w:rPr>
        <w:t>The Trial Court Orders the City To Comply with Section 148.6, Subdivision (a)(2)</w:t>
      </w:r>
    </w:p>
    <w:p w14:paraId="5C929D0E" w14:textId="77777777" w:rsidR="006520E2" w:rsidRDefault="009D4782" w:rsidP="00214FC4">
      <w:pPr>
        <w:ind w:firstLine="720"/>
        <w:rPr>
          <w:szCs w:val="26"/>
        </w:rPr>
      </w:pPr>
      <w:r>
        <w:rPr>
          <w:szCs w:val="26"/>
        </w:rPr>
        <w:t>In 2017 the Police Protective League—</w:t>
      </w:r>
      <w:r w:rsidRPr="003E3ECF">
        <w:rPr>
          <w:szCs w:val="26"/>
        </w:rPr>
        <w:t>an employee organization</w:t>
      </w:r>
      <w:r>
        <w:rPr>
          <w:szCs w:val="26"/>
          <w:vertAlign w:val="superscript"/>
        </w:rPr>
        <w:footnoteReference w:id="5"/>
      </w:r>
      <w:r w:rsidRPr="003E3ECF">
        <w:rPr>
          <w:szCs w:val="26"/>
        </w:rPr>
        <w:t xml:space="preserve"> </w:t>
      </w:r>
      <w:r>
        <w:rPr>
          <w:szCs w:val="26"/>
        </w:rPr>
        <w:t xml:space="preserve">that </w:t>
      </w:r>
      <w:r w:rsidRPr="003E3ECF">
        <w:rPr>
          <w:szCs w:val="26"/>
        </w:rPr>
        <w:t>represent</w:t>
      </w:r>
      <w:r>
        <w:rPr>
          <w:szCs w:val="26"/>
        </w:rPr>
        <w:t>s</w:t>
      </w:r>
      <w:r w:rsidRPr="003E3ECF">
        <w:rPr>
          <w:szCs w:val="26"/>
        </w:rPr>
        <w:t xml:space="preserve"> peac</w:t>
      </w:r>
      <w:r>
        <w:rPr>
          <w:szCs w:val="26"/>
        </w:rPr>
        <w:t xml:space="preserve">e officers employed by the City—filed this action, seeking a declaration section 148.6, subdivision (a)(2), was “legally valid [and] enforceable.”  The Police Protective League also sought an order “enjoining the </w:t>
      </w:r>
      <w:r>
        <w:rPr>
          <w:szCs w:val="26"/>
        </w:rPr>
        <w:lastRenderedPageBreak/>
        <w:t xml:space="preserve">[City] from accepting an allegation of misconduct against” peace officers represented by </w:t>
      </w:r>
      <w:r w:rsidRPr="004A01B2">
        <w:rPr>
          <w:szCs w:val="26"/>
        </w:rPr>
        <w:t>the Police Protective League</w:t>
      </w:r>
      <w:r>
        <w:rPr>
          <w:szCs w:val="26"/>
        </w:rPr>
        <w:t xml:space="preserve"> “without the complainant being required to read and sign” the required advisory. </w:t>
      </w:r>
    </w:p>
    <w:p w14:paraId="7F9FFD92" w14:textId="77777777" w:rsidR="00350611" w:rsidRDefault="009D4782" w:rsidP="009B1C5C">
      <w:pPr>
        <w:ind w:firstLine="720"/>
        <w:rPr>
          <w:szCs w:val="26"/>
        </w:rPr>
      </w:pPr>
      <w:r>
        <w:rPr>
          <w:szCs w:val="26"/>
        </w:rPr>
        <w:t xml:space="preserve">The parties stipulated at trial that, after the consent decree ended in 2013, the City declined to require complainants filing allegations of police misconduct to sign the advisory required by section 148.6.  The Police Protective League called one witness, Officer Steve Gordon, the director of the Police Protective League, who testified that serious complaints against officers may result in the Los Angeles Police Department removing the officers from an assignment pending an investigation.  Therefore, Officer Gordon stated, gang members try to “get rid of an officer” by “continually mak[ing] complaints.”  Gordon testified that false complaints against an officer “could” adversely affect the officer’s opportunity for promotion, but that he was not aware whether the police department had ever denied an officer a promotion because of a false complaint.  He also testified that, if a complaint against an officer were adjudicated false, it would not affect the officer’s ability to transfer to a different unit or division.   </w:t>
      </w:r>
    </w:p>
    <w:p w14:paraId="37CFC1ED" w14:textId="77777777" w:rsidR="00301E00" w:rsidRDefault="009D4782" w:rsidP="009B1C5C">
      <w:pPr>
        <w:ind w:firstLine="720"/>
        <w:rPr>
          <w:szCs w:val="26"/>
        </w:rPr>
      </w:pPr>
      <w:r>
        <w:rPr>
          <w:szCs w:val="26"/>
        </w:rPr>
        <w:t xml:space="preserve">In its trial brief the City argued the court should not issue an injunction requiring the City to comply with section 148.6 because the statute violates the First Amendment.  Citing </w:t>
      </w:r>
      <w:r w:rsidRPr="00781B7D">
        <w:rPr>
          <w:i/>
          <w:iCs/>
          <w:szCs w:val="26"/>
        </w:rPr>
        <w:t>Chaker</w:t>
      </w:r>
      <w:r>
        <w:rPr>
          <w:szCs w:val="26"/>
        </w:rPr>
        <w:t xml:space="preserve">, </w:t>
      </w:r>
      <w:r>
        <w:rPr>
          <w:i/>
          <w:iCs/>
          <w:szCs w:val="26"/>
        </w:rPr>
        <w:t>supra</w:t>
      </w:r>
      <w:r>
        <w:rPr>
          <w:szCs w:val="26"/>
        </w:rPr>
        <w:t>,</w:t>
      </w:r>
      <w:r w:rsidRPr="005867FB">
        <w:t xml:space="preserve"> </w:t>
      </w:r>
      <w:r>
        <w:t>428 F.3d</w:t>
      </w:r>
      <w:r>
        <w:rPr>
          <w:i/>
          <w:iCs/>
          <w:szCs w:val="26"/>
        </w:rPr>
        <w:t xml:space="preserve"> </w:t>
      </w:r>
      <w:r>
        <w:t xml:space="preserve">1215, </w:t>
      </w:r>
      <w:r>
        <w:rPr>
          <w:szCs w:val="26"/>
        </w:rPr>
        <w:t xml:space="preserve">the City argued the statute was an impermissible content- and viewpoint-based speech restriction because it criminalized knowingly false complaints against police officers, but not “false statements by police officers or witnesses in the same context.” </w:t>
      </w:r>
    </w:p>
    <w:p w14:paraId="384F6C8D" w14:textId="77777777" w:rsidR="00E37B4B" w:rsidRDefault="009D4782" w:rsidP="00932F09">
      <w:pPr>
        <w:ind w:firstLine="720"/>
        <w:rPr>
          <w:szCs w:val="26"/>
        </w:rPr>
      </w:pPr>
      <w:r>
        <w:rPr>
          <w:szCs w:val="26"/>
        </w:rPr>
        <w:t xml:space="preserve">The trial court ruled section 148.6, subdivision (a)(2), was not unconstitutional under the First Amendment.  The court </w:t>
      </w:r>
      <w:r>
        <w:rPr>
          <w:szCs w:val="26"/>
        </w:rPr>
        <w:lastRenderedPageBreak/>
        <w:t xml:space="preserve">ruled the California Supreme Court held in </w:t>
      </w:r>
      <w:r>
        <w:rPr>
          <w:i/>
          <w:iCs/>
          <w:szCs w:val="26"/>
        </w:rPr>
        <w:t>Stanistreet</w:t>
      </w:r>
      <w:r>
        <w:rPr>
          <w:szCs w:val="26"/>
        </w:rPr>
        <w:t xml:space="preserve">, </w:t>
      </w:r>
      <w:r>
        <w:rPr>
          <w:i/>
          <w:iCs/>
          <w:szCs w:val="26"/>
        </w:rPr>
        <w:t>supra</w:t>
      </w:r>
      <w:r>
        <w:rPr>
          <w:szCs w:val="26"/>
        </w:rPr>
        <w:t>,</w:t>
      </w:r>
      <w:r>
        <w:rPr>
          <w:i/>
          <w:iCs/>
          <w:szCs w:val="26"/>
        </w:rPr>
        <w:t xml:space="preserve"> </w:t>
      </w:r>
      <w:r>
        <w:rPr>
          <w:szCs w:val="26"/>
        </w:rPr>
        <w:t xml:space="preserve">29 Cal.4th </w:t>
      </w:r>
      <w:r>
        <w:t xml:space="preserve">497 </w:t>
      </w:r>
      <w:r>
        <w:rPr>
          <w:szCs w:val="26"/>
        </w:rPr>
        <w:t xml:space="preserve">that “section 148.6 falls within all the categories of permissible ‘content discrimination’ identified by the [United States] Supreme Court . . . .”  Recognizing “a split of authority between the California Supreme Court and the Ninth Circuit,” the trial court concluded it was bound by the California Supreme Court’s decision in </w:t>
      </w:r>
      <w:r>
        <w:rPr>
          <w:i/>
          <w:iCs/>
          <w:szCs w:val="26"/>
        </w:rPr>
        <w:t>Stanistreet</w:t>
      </w:r>
      <w:r>
        <w:rPr>
          <w:szCs w:val="26"/>
        </w:rPr>
        <w:t>.  The trial court declared section 148.6, subdivision (a)(2), is valid and enforceable and enjoined the City “from accepting an allegation of misconduct against a peace officer without requiring the complainant to read and sign the advisory set forth in Penal Code [section] 148.6, subdivision (a)(2).”</w:t>
      </w:r>
      <w:r>
        <w:rPr>
          <w:rStyle w:val="FootnoteReference"/>
          <w:szCs w:val="26"/>
        </w:rPr>
        <w:footnoteReference w:id="6"/>
      </w:r>
      <w:r>
        <w:rPr>
          <w:szCs w:val="26"/>
        </w:rPr>
        <w:t xml:space="preserve">  The City timely appealed.</w:t>
      </w:r>
    </w:p>
    <w:p w14:paraId="5A0433B0" w14:textId="77777777" w:rsidR="005E0E76" w:rsidRDefault="0028732F">
      <w:pPr>
        <w:spacing w:after="200" w:line="276" w:lineRule="auto"/>
        <w:rPr>
          <w:szCs w:val="26"/>
        </w:rPr>
      </w:pPr>
    </w:p>
    <w:p w14:paraId="6E3FD84D" w14:textId="77777777" w:rsidR="008A6A0D" w:rsidRPr="00C211A5" w:rsidRDefault="009D4782" w:rsidP="00F84CFF">
      <w:pPr>
        <w:keepNext/>
        <w:jc w:val="center"/>
        <w:rPr>
          <w:szCs w:val="26"/>
        </w:rPr>
      </w:pPr>
      <w:r w:rsidRPr="00C211A5">
        <w:rPr>
          <w:b/>
          <w:szCs w:val="26"/>
        </w:rPr>
        <w:t>DISCUSSION</w:t>
      </w:r>
      <w:r w:rsidRPr="00C211A5">
        <w:rPr>
          <w:szCs w:val="26"/>
        </w:rPr>
        <w:t xml:space="preserve"> </w:t>
      </w:r>
    </w:p>
    <w:p w14:paraId="2259FB5C" w14:textId="77777777" w:rsidR="00F50967" w:rsidRDefault="0028732F" w:rsidP="001E1812">
      <w:pPr>
        <w:rPr>
          <w:bCs/>
          <w:szCs w:val="26"/>
        </w:rPr>
      </w:pPr>
    </w:p>
    <w:p w14:paraId="710CB5C9" w14:textId="77777777" w:rsidR="00B05404" w:rsidRDefault="009D4782" w:rsidP="00C53DB2">
      <w:pPr>
        <w:ind w:left="1440" w:hanging="720"/>
      </w:pPr>
      <w:r>
        <w:t xml:space="preserve">A. </w:t>
      </w:r>
      <w:r>
        <w:tab/>
      </w:r>
      <w:r>
        <w:rPr>
          <w:i/>
          <w:iCs/>
        </w:rPr>
        <w:t xml:space="preserve">The City Has Standing </w:t>
      </w:r>
    </w:p>
    <w:p w14:paraId="0FA6D729" w14:textId="77777777" w:rsidR="00D66791" w:rsidRPr="009F42D3" w:rsidRDefault="009D4782" w:rsidP="0009024D">
      <w:pPr>
        <w:ind w:firstLine="720"/>
      </w:pPr>
      <w:r>
        <w:t xml:space="preserve">Relying on </w:t>
      </w:r>
      <w:r>
        <w:rPr>
          <w:i/>
          <w:iCs/>
        </w:rPr>
        <w:t xml:space="preserve">Lockyer v. City and County of San Francisco </w:t>
      </w:r>
      <w:r>
        <w:t>(2004) 33 Cal.4th 1055 (</w:t>
      </w:r>
      <w:r w:rsidRPr="00B038A0">
        <w:rPr>
          <w:i/>
        </w:rPr>
        <w:t>Lockyer</w:t>
      </w:r>
      <w:r>
        <w:t xml:space="preserve">), the Police Protective League argues the City does not have standing to appeal or to raise its constitutional arguments.  In </w:t>
      </w:r>
      <w:r>
        <w:rPr>
          <w:i/>
          <w:iCs/>
        </w:rPr>
        <w:t>Lockyer</w:t>
      </w:r>
      <w:r>
        <w:t xml:space="preserve"> a city clerk refused</w:t>
      </w:r>
      <w:r w:rsidRPr="00CB419B">
        <w:t xml:space="preserve"> </w:t>
      </w:r>
      <w:r>
        <w:t xml:space="preserve">to enforce then-existing </w:t>
      </w:r>
      <w:r w:rsidRPr="00CB419B">
        <w:t>provisions of California</w:t>
      </w:r>
      <w:r>
        <w:t>’</w:t>
      </w:r>
      <w:r w:rsidRPr="00CB419B">
        <w:t>s marriage statutes that limit</w:t>
      </w:r>
      <w:r>
        <w:t>ed</w:t>
      </w:r>
      <w:r w:rsidRPr="00CB419B">
        <w:t xml:space="preserve"> </w:t>
      </w:r>
      <w:r>
        <w:t>“</w:t>
      </w:r>
      <w:r w:rsidRPr="00CB419B">
        <w:t>the granting of a marriage license and marriage certificate only to a couple comprised of a man and a woman</w:t>
      </w:r>
      <w:r>
        <w:t>,” after the mayor of the city determined the marriage statutes violated the California Constitution.  (</w:t>
      </w:r>
      <w:r>
        <w:rPr>
          <w:i/>
          <w:iCs/>
        </w:rPr>
        <w:t xml:space="preserve">Id. </w:t>
      </w:r>
      <w:r>
        <w:t xml:space="preserve">at pp. 1067, 1070.)  </w:t>
      </w:r>
      <w:r>
        <w:lastRenderedPageBreak/>
        <w:t>Ruling the clerk could not refuse to enforce the statutes, the California Supreme Court stated that, “</w:t>
      </w:r>
      <w:r w:rsidRPr="003C0C06">
        <w:t>under California law, the determination whether a statute is unconstitutional and need not be obeyed is an exercise of judicial power and thus is reserved to those officials or entities that have been granted such power by the California Constitution</w:t>
      </w:r>
      <w:r>
        <w:t>.”  (</w:t>
      </w:r>
      <w:r>
        <w:rPr>
          <w:i/>
          <w:iCs/>
        </w:rPr>
        <w:t xml:space="preserve">Id. </w:t>
      </w:r>
      <w:r>
        <w:t>at p. 1093.)  Therefore, the Supreme Court held, “a</w:t>
      </w:r>
      <w:r w:rsidRPr="00081206">
        <w:t> local public official, charged with the ministerial duty of enforcing a statute, generally does not have the authority, in the absence of a judicial determination of unconstitutionality, to refuse to enforce the statute on the basis of the official</w:t>
      </w:r>
      <w:r>
        <w:t>’</w:t>
      </w:r>
      <w:r w:rsidRPr="00081206">
        <w:t>s view that it is unconstitutional</w:t>
      </w:r>
      <w:r w:rsidRPr="003C0C06">
        <w:t>.</w:t>
      </w:r>
      <w:r>
        <w:t>”  (</w:t>
      </w:r>
      <w:r>
        <w:rPr>
          <w:i/>
          <w:iCs/>
        </w:rPr>
        <w:t xml:space="preserve">Id. </w:t>
      </w:r>
      <w:r>
        <w:t xml:space="preserve">at p. 1082.)  According to the Police Protective League, because the City has a ministerial duty to comply with section 148.6, subdivision (a)(2), the City may not refuse to comply because it believes the statute is unconstitutional.  </w:t>
      </w:r>
    </w:p>
    <w:p w14:paraId="0E98EC2E" w14:textId="77777777" w:rsidR="00D66791" w:rsidRDefault="009D4782" w:rsidP="0009024D">
      <w:pPr>
        <w:ind w:firstLine="720"/>
        <w:rPr>
          <w:b/>
          <w:bCs/>
          <w:color w:val="3D3D3D"/>
          <w:shd w:val="clear" w:color="auto" w:fill="FFFFFF"/>
        </w:rPr>
      </w:pPr>
      <w:r>
        <w:t>This argument does not implicate the City’s standing to appeal.  “</w:t>
      </w:r>
      <w:r w:rsidRPr="004F2F27">
        <w:t xml:space="preserve">Under Code of Civil Procedure section 902, </w:t>
      </w:r>
      <w:r>
        <w:t>‘</w:t>
      </w:r>
      <w:r w:rsidRPr="004F2F27">
        <w:t>[a]ny party aggrieved</w:t>
      </w:r>
      <w:r>
        <w:t>’</w:t>
      </w:r>
      <w:r w:rsidRPr="004F2F27">
        <w:t xml:space="preserve"> may appeal a judgment.</w:t>
      </w:r>
      <w:r>
        <w:t>”  (</w:t>
      </w:r>
      <w:r>
        <w:rPr>
          <w:i/>
          <w:iCs/>
        </w:rPr>
        <w:t xml:space="preserve">Hernandez v. Restoration Hardware, Inc. </w:t>
      </w:r>
      <w:r>
        <w:t>(2018) 4 Cal.5th 260, 263.)  “</w:t>
      </w:r>
      <w:r w:rsidRPr="00784F8F">
        <w:t>An aggrieved person, for this purpose, is one whose rights or interests are injuriously affected by the decision in an immediate and substantial way, and not as a nominal or remote consequence of the decision</w:t>
      </w:r>
      <w:r>
        <w:t>.”  (</w:t>
      </w:r>
      <w:r>
        <w:rPr>
          <w:i/>
          <w:iCs/>
        </w:rPr>
        <w:t xml:space="preserve">In re. K.C. </w:t>
      </w:r>
      <w:r>
        <w:t>(</w:t>
      </w:r>
      <w:r w:rsidRPr="00442E57">
        <w:t>2011</w:t>
      </w:r>
      <w:r>
        <w:t xml:space="preserve">) </w:t>
      </w:r>
      <w:r w:rsidRPr="00442E57">
        <w:t>52 Cal.4th 231</w:t>
      </w:r>
      <w:r>
        <w:t xml:space="preserve">, 236; see </w:t>
      </w:r>
      <w:r w:rsidRPr="002C0971">
        <w:rPr>
          <w:i/>
          <w:iCs/>
        </w:rPr>
        <w:t>County of Riverside v. Public Employment Relations Bd.</w:t>
      </w:r>
      <w:r w:rsidRPr="002C0971">
        <w:t xml:space="preserve"> (2016) 246 Cal.App.4th 20, 27</w:t>
      </w:r>
      <w:r>
        <w:t>.)  An aggrieved party includes “t</w:t>
      </w:r>
      <w:r w:rsidRPr="003A68FD">
        <w:t>he party against whom an</w:t>
      </w:r>
      <w:r>
        <w:t xml:space="preserve"> </w:t>
      </w:r>
      <w:r w:rsidRPr="003A68FD">
        <w:t>appealable order or judgment</w:t>
      </w:r>
      <w:r>
        <w:t>,” including an injunction,</w:t>
      </w:r>
      <w:r w:rsidRPr="003A68FD">
        <w:t xml:space="preserve"> </w:t>
      </w:r>
      <w:r>
        <w:t>“</w:t>
      </w:r>
      <w:r w:rsidRPr="003A68FD">
        <w:t>has been entered</w:t>
      </w:r>
      <w:r>
        <w:t>.”  (</w:t>
      </w:r>
      <w:r>
        <w:rPr>
          <w:i/>
          <w:iCs/>
        </w:rPr>
        <w:t xml:space="preserve">Ely v. Frisbie </w:t>
      </w:r>
      <w:r>
        <w:t xml:space="preserve">(1861) 17 Cal. 250, 251; see </w:t>
      </w:r>
      <w:r>
        <w:rPr>
          <w:i/>
          <w:iCs/>
        </w:rPr>
        <w:t>County of Riverside</w:t>
      </w:r>
      <w:r>
        <w:t xml:space="preserve">, at p. 27.)  The City is a party against whom an appealable judgment that includes an injunction has been entered.  And the City’s interests are not remote—the judgment </w:t>
      </w:r>
      <w:r>
        <w:lastRenderedPageBreak/>
        <w:t xml:space="preserve">enjoins the City from continuing to engage in a prior course of conduct (accepting unsigned complaints alleging misconduct by a peace officer).  That is all that is required for standing to appeal.  (See </w:t>
      </w:r>
      <w:r>
        <w:rPr>
          <w:i/>
          <w:iCs/>
        </w:rPr>
        <w:t>K.C.</w:t>
      </w:r>
      <w:r>
        <w:t>, at p. 237 [“s</w:t>
      </w:r>
      <w:r w:rsidRPr="00C9769B">
        <w:t>tanding to appeal is construed liberally, and doubts are resolved in its favor</w:t>
      </w:r>
      <w:r>
        <w:t>”].)</w:t>
      </w:r>
      <w:r>
        <w:rPr>
          <w:rStyle w:val="FootnoteReference"/>
        </w:rPr>
        <w:footnoteReference w:id="7"/>
      </w:r>
    </w:p>
    <w:p w14:paraId="1BA9619A" w14:textId="77777777" w:rsidR="007C2203" w:rsidRDefault="009D4782" w:rsidP="00AB73D3">
      <w:pPr>
        <w:ind w:firstLine="720"/>
        <w:rPr>
          <w:szCs w:val="26"/>
        </w:rPr>
      </w:pPr>
      <w:r>
        <w:t xml:space="preserve">The Police Protective League’s argument, more properly framed, is that under </w:t>
      </w:r>
      <w:r>
        <w:rPr>
          <w:i/>
          <w:iCs/>
        </w:rPr>
        <w:t xml:space="preserve">Lockyer </w:t>
      </w:r>
      <w:r>
        <w:t>the City’s assertion that section 148.6 is unconstitutional is not a valid defense to the Police Protective League’s request for an injunction ordering it to comply with the statute.</w:t>
      </w:r>
      <w:r>
        <w:rPr>
          <w:rStyle w:val="FootnoteReference"/>
        </w:rPr>
        <w:footnoteReference w:id="8"/>
      </w:r>
      <w:r>
        <w:t xml:space="preserve">  The Police Protective League, however, forfeited this argument by not raising it in the trial court.  </w:t>
      </w:r>
      <w:r w:rsidRPr="002132F9">
        <w:rPr>
          <w:szCs w:val="26"/>
        </w:rPr>
        <w:t>(</w:t>
      </w:r>
      <w:r w:rsidRPr="00BC14DE">
        <w:rPr>
          <w:szCs w:val="26"/>
        </w:rPr>
        <w:t>See </w:t>
      </w:r>
      <w:r w:rsidRPr="00BC14DE">
        <w:rPr>
          <w:i/>
          <w:iCs/>
          <w:szCs w:val="26"/>
        </w:rPr>
        <w:t>Richey v. AutoNation, Inc.</w:t>
      </w:r>
      <w:r w:rsidRPr="00BC14DE">
        <w:rPr>
          <w:szCs w:val="26"/>
        </w:rPr>
        <w:t> (2015) 60 Cal.4th 909, 920, fn.</w:t>
      </w:r>
      <w:r>
        <w:rPr>
          <w:szCs w:val="26"/>
        </w:rPr>
        <w:t> </w:t>
      </w:r>
      <w:r w:rsidRPr="00BC14DE">
        <w:rPr>
          <w:szCs w:val="26"/>
        </w:rPr>
        <w:t>3; </w:t>
      </w:r>
      <w:r w:rsidRPr="00BC14DE">
        <w:rPr>
          <w:i/>
          <w:iCs/>
          <w:szCs w:val="26"/>
        </w:rPr>
        <w:t>Reid v. City of San Diego</w:t>
      </w:r>
      <w:r w:rsidRPr="00BC14DE">
        <w:rPr>
          <w:szCs w:val="26"/>
        </w:rPr>
        <w:t> (2018) 24 Cal.App.5th 343</w:t>
      </w:r>
      <w:r>
        <w:rPr>
          <w:szCs w:val="26"/>
        </w:rPr>
        <w:t>, 357</w:t>
      </w:r>
      <w:r w:rsidRPr="002132F9">
        <w:rPr>
          <w:szCs w:val="26"/>
        </w:rPr>
        <w:t xml:space="preserve">.)  </w:t>
      </w:r>
      <w:r>
        <w:rPr>
          <w:szCs w:val="26"/>
        </w:rPr>
        <w:t xml:space="preserve">In addition, </w:t>
      </w:r>
      <w:r>
        <w:t>as the City argues, the</w:t>
      </w:r>
      <w:r w:rsidRPr="0076352B">
        <w:rPr>
          <w:szCs w:val="26"/>
        </w:rPr>
        <w:t xml:space="preserve"> California Supreme </w:t>
      </w:r>
      <w:r w:rsidRPr="0076352B">
        <w:rPr>
          <w:szCs w:val="26"/>
        </w:rPr>
        <w:lastRenderedPageBreak/>
        <w:t xml:space="preserve">Court </w:t>
      </w:r>
      <w:r>
        <w:rPr>
          <w:szCs w:val="26"/>
        </w:rPr>
        <w:t xml:space="preserve">in </w:t>
      </w:r>
      <w:r w:rsidRPr="007A53CC">
        <w:rPr>
          <w:i/>
          <w:iCs/>
          <w:szCs w:val="26"/>
        </w:rPr>
        <w:t>Lockyer</w:t>
      </w:r>
      <w:r>
        <w:rPr>
          <w:szCs w:val="26"/>
        </w:rPr>
        <w:t xml:space="preserve"> </w:t>
      </w:r>
      <w:r w:rsidRPr="0076352B">
        <w:rPr>
          <w:szCs w:val="26"/>
        </w:rPr>
        <w:t>held only that officials may not refuse to enforce a statute “in the absence of a judicial determination of unconstitutionality</w:t>
      </w:r>
      <w:r>
        <w:rPr>
          <w:szCs w:val="26"/>
        </w:rPr>
        <w:t>.</w:t>
      </w:r>
      <w:r w:rsidRPr="0076352B">
        <w:rPr>
          <w:szCs w:val="26"/>
        </w:rPr>
        <w:t xml:space="preserve">”  </w:t>
      </w:r>
      <w:r>
        <w:rPr>
          <w:szCs w:val="26"/>
        </w:rPr>
        <w:t>(</w:t>
      </w:r>
      <w:r>
        <w:rPr>
          <w:i/>
          <w:iCs/>
          <w:szCs w:val="26"/>
        </w:rPr>
        <w:t>Lockyer</w:t>
      </w:r>
      <w:r w:rsidRPr="00E14C49">
        <w:rPr>
          <w:iCs/>
          <w:szCs w:val="26"/>
        </w:rPr>
        <w:t>,</w:t>
      </w:r>
      <w:r w:rsidRPr="00E14C49">
        <w:rPr>
          <w:szCs w:val="26"/>
        </w:rPr>
        <w:t xml:space="preserve"> </w:t>
      </w:r>
      <w:r>
        <w:rPr>
          <w:i/>
          <w:iCs/>
          <w:szCs w:val="26"/>
        </w:rPr>
        <w:t>supra</w:t>
      </w:r>
      <w:r>
        <w:rPr>
          <w:szCs w:val="26"/>
        </w:rPr>
        <w:t>,</w:t>
      </w:r>
      <w:r>
        <w:rPr>
          <w:i/>
          <w:iCs/>
          <w:szCs w:val="26"/>
        </w:rPr>
        <w:t xml:space="preserve"> </w:t>
      </w:r>
      <w:r>
        <w:rPr>
          <w:szCs w:val="26"/>
        </w:rPr>
        <w:t xml:space="preserve">33 Cal.4th at pp. 1067, 1069, 1082.)  </w:t>
      </w:r>
      <w:r w:rsidRPr="0076352B">
        <w:rPr>
          <w:szCs w:val="26"/>
        </w:rPr>
        <w:t xml:space="preserve">Here, there is a judicial determination of unconstitutionality—the Ninth Circuit in </w:t>
      </w:r>
      <w:r w:rsidRPr="0076352B">
        <w:rPr>
          <w:i/>
          <w:iCs/>
          <w:szCs w:val="26"/>
        </w:rPr>
        <w:t xml:space="preserve">Chaker </w:t>
      </w:r>
      <w:r w:rsidRPr="0076352B">
        <w:rPr>
          <w:szCs w:val="26"/>
        </w:rPr>
        <w:t>held section 148.6 violate</w:t>
      </w:r>
      <w:r>
        <w:rPr>
          <w:szCs w:val="26"/>
        </w:rPr>
        <w:t>s</w:t>
      </w:r>
      <w:r w:rsidRPr="0076352B">
        <w:rPr>
          <w:szCs w:val="26"/>
        </w:rPr>
        <w:t xml:space="preserve"> the First Amendment.  </w:t>
      </w:r>
      <w:r>
        <w:rPr>
          <w:szCs w:val="26"/>
        </w:rPr>
        <w:t xml:space="preserve">As has at least one other federal court.  (See </w:t>
      </w:r>
      <w:r>
        <w:rPr>
          <w:i/>
          <w:iCs/>
          <w:szCs w:val="26"/>
        </w:rPr>
        <w:t xml:space="preserve">Hamilton v. City of San Bernardino </w:t>
      </w:r>
      <w:r>
        <w:rPr>
          <w:szCs w:val="26"/>
        </w:rPr>
        <w:t>(C.D.Cal. 2000) 325 F.Supp.2d 1087, 1095.)</w:t>
      </w:r>
      <w:r>
        <w:rPr>
          <w:rStyle w:val="FootnoteReference"/>
          <w:szCs w:val="26"/>
        </w:rPr>
        <w:footnoteReference w:id="9"/>
      </w:r>
      <w:r>
        <w:rPr>
          <w:szCs w:val="26"/>
        </w:rPr>
        <w:t xml:space="preserve"> </w:t>
      </w:r>
    </w:p>
    <w:p w14:paraId="4C120FF6" w14:textId="77777777" w:rsidR="00803580" w:rsidRDefault="0028732F">
      <w:pPr>
        <w:spacing w:after="200" w:line="276" w:lineRule="auto"/>
        <w:rPr>
          <w:bCs/>
        </w:rPr>
      </w:pPr>
    </w:p>
    <w:p w14:paraId="6BFB20FD" w14:textId="77777777" w:rsidR="002305FD" w:rsidRDefault="009D4782" w:rsidP="00983397">
      <w:pPr>
        <w:pStyle w:val="CaCoA-Heading2"/>
        <w:rPr>
          <w:i/>
          <w:iCs/>
        </w:rPr>
      </w:pPr>
      <w:r>
        <w:t>B</w:t>
      </w:r>
      <w:r w:rsidRPr="00C211A5">
        <w:t>.</w:t>
      </w:r>
      <w:r w:rsidRPr="00C211A5">
        <w:tab/>
      </w:r>
      <w:r w:rsidRPr="00107CE4">
        <w:rPr>
          <w:i/>
          <w:iCs/>
        </w:rPr>
        <w:t>Section 148.6 Is Not an Impermissible Content</w:t>
      </w:r>
      <w:r>
        <w:rPr>
          <w:i/>
          <w:iCs/>
        </w:rPr>
        <w:t>-</w:t>
      </w:r>
      <w:r w:rsidRPr="00107CE4">
        <w:rPr>
          <w:i/>
          <w:iCs/>
        </w:rPr>
        <w:t xml:space="preserve"> or Viewpoint</w:t>
      </w:r>
      <w:r>
        <w:rPr>
          <w:i/>
          <w:iCs/>
        </w:rPr>
        <w:t>-b</w:t>
      </w:r>
      <w:r w:rsidRPr="00107CE4">
        <w:rPr>
          <w:i/>
          <w:iCs/>
        </w:rPr>
        <w:t xml:space="preserve">ased </w:t>
      </w:r>
      <w:r>
        <w:rPr>
          <w:i/>
          <w:iCs/>
        </w:rPr>
        <w:t xml:space="preserve">Speech </w:t>
      </w:r>
      <w:r w:rsidRPr="00107CE4">
        <w:rPr>
          <w:i/>
          <w:iCs/>
        </w:rPr>
        <w:t>Restriction</w:t>
      </w:r>
    </w:p>
    <w:p w14:paraId="1C2D74D6" w14:textId="77777777" w:rsidR="00983397" w:rsidRDefault="0028732F" w:rsidP="00D60248">
      <w:pPr>
        <w:ind w:left="1440" w:hanging="720"/>
      </w:pPr>
    </w:p>
    <w:p w14:paraId="16E7F103" w14:textId="77777777" w:rsidR="00206E38" w:rsidRDefault="009D4782" w:rsidP="00983397">
      <w:pPr>
        <w:ind w:left="2160" w:hanging="720"/>
        <w:rPr>
          <w:i/>
          <w:iCs/>
        </w:rPr>
      </w:pPr>
      <w:r>
        <w:t>1.</w:t>
      </w:r>
      <w:r>
        <w:tab/>
      </w:r>
      <w:r>
        <w:rPr>
          <w:i/>
          <w:iCs/>
        </w:rPr>
        <w:t>Applicable First Amendment Principles</w:t>
      </w:r>
    </w:p>
    <w:p w14:paraId="5B15CD90" w14:textId="77777777" w:rsidR="00206E38" w:rsidRPr="002B583E" w:rsidRDefault="009D4782" w:rsidP="0093369E">
      <w:pPr>
        <w:ind w:firstLine="720"/>
      </w:pPr>
      <w:r>
        <w:t xml:space="preserve">Under the First Amendment to the United States Constitution, “governments </w:t>
      </w:r>
      <w:r w:rsidRPr="002D42FE">
        <w:t>have</w:t>
      </w:r>
      <w:r w:rsidRPr="002D42FE">
        <w:rPr>
          <w:b/>
          <w:bCs/>
        </w:rPr>
        <w:t xml:space="preserve"> </w:t>
      </w:r>
      <w:r w:rsidRPr="002D42FE">
        <w:t>‘“no power to restrict expression because of its message, its ideas, its subject matter, or its content.</w:t>
      </w:r>
      <w:r>
        <w:t>”</w:t>
      </w:r>
      <w:r w:rsidRPr="002D42FE">
        <w:t>’”</w:t>
      </w:r>
      <w:r w:rsidRPr="006534E2">
        <w:t> </w:t>
      </w:r>
      <w:r>
        <w:t xml:space="preserve"> (</w:t>
      </w:r>
      <w:r w:rsidRPr="00D95FBC">
        <w:rPr>
          <w:i/>
          <w:iCs/>
        </w:rPr>
        <w:t>National Institute of Family and Life Advocates v. Becerra</w:t>
      </w:r>
      <w:r>
        <w:rPr>
          <w:i/>
          <w:iCs/>
        </w:rPr>
        <w:t xml:space="preserve"> </w:t>
      </w:r>
      <w:r>
        <w:t>(</w:t>
      </w:r>
      <w:r w:rsidRPr="00D95FBC">
        <w:t>2018</w:t>
      </w:r>
      <w:r>
        <w:t>) ___ U.S. ___, ___ [</w:t>
      </w:r>
      <w:r w:rsidRPr="00D95FBC">
        <w:t>138</w:t>
      </w:r>
      <w:r w:rsidRPr="00D95FBC">
        <w:rPr>
          <w:i/>
          <w:iCs/>
        </w:rPr>
        <w:t xml:space="preserve"> </w:t>
      </w:r>
      <w:r w:rsidRPr="006B72DD">
        <w:t>S</w:t>
      </w:r>
      <w:r w:rsidRPr="00D95FBC">
        <w:rPr>
          <w:i/>
          <w:iCs/>
        </w:rPr>
        <w:t>.</w:t>
      </w:r>
      <w:r w:rsidRPr="006B72DD">
        <w:t>Ct</w:t>
      </w:r>
      <w:r w:rsidRPr="00D95FBC">
        <w:rPr>
          <w:i/>
          <w:iCs/>
        </w:rPr>
        <w:t xml:space="preserve">. </w:t>
      </w:r>
      <w:r w:rsidRPr="006B72DD">
        <w:t>2361</w:t>
      </w:r>
      <w:r>
        <w:t xml:space="preserve">, 2371, </w:t>
      </w:r>
      <w:r w:rsidRPr="006B72DD">
        <w:t>201</w:t>
      </w:r>
      <w:r>
        <w:t> </w:t>
      </w:r>
      <w:r w:rsidRPr="006B72DD">
        <w:t>L.Ed.2d 835</w:t>
      </w:r>
      <w:r>
        <w:t xml:space="preserve">]; see </w:t>
      </w:r>
      <w:r>
        <w:rPr>
          <w:i/>
          <w:iCs/>
        </w:rPr>
        <w:t xml:space="preserve">Reed. v. Town of Gilbert </w:t>
      </w:r>
      <w:r>
        <w:t>(2005)</w:t>
      </w:r>
      <w:r>
        <w:rPr>
          <w:i/>
          <w:iCs/>
        </w:rPr>
        <w:t xml:space="preserve"> </w:t>
      </w:r>
      <w:r w:rsidRPr="003627FC">
        <w:t>576</w:t>
      </w:r>
      <w:r>
        <w:t> </w:t>
      </w:r>
      <w:r w:rsidRPr="003627FC">
        <w:t>U.S.</w:t>
      </w:r>
      <w:r>
        <w:t> </w:t>
      </w:r>
      <w:r w:rsidRPr="003627FC">
        <w:t>155</w:t>
      </w:r>
      <w:r>
        <w:t>, 163 [</w:t>
      </w:r>
      <w:r w:rsidRPr="003627FC">
        <w:t>135 S.Ct. 2218</w:t>
      </w:r>
      <w:r>
        <w:t xml:space="preserve">, </w:t>
      </w:r>
      <w:r w:rsidRPr="003627FC">
        <w:t>192 L.Ed.2d 236</w:t>
      </w:r>
      <w:r>
        <w:t xml:space="preserve">].) </w:t>
      </w:r>
      <w:r w:rsidRPr="00AC0FEC">
        <w:t xml:space="preserve"> </w:t>
      </w:r>
      <w:r>
        <w:t>“</w:t>
      </w:r>
      <w:r w:rsidRPr="008618FE">
        <w:t xml:space="preserve">Content-based regulations </w:t>
      </w:r>
      <w:r>
        <w:t>‘</w:t>
      </w:r>
      <w:r w:rsidRPr="008618FE">
        <w:t>target speech based on its communicative content.</w:t>
      </w:r>
      <w:r>
        <w:t>’</w:t>
      </w:r>
      <w:r w:rsidRPr="008618FE">
        <w:t xml:space="preserve"> </w:t>
      </w:r>
      <w:r>
        <w:t xml:space="preserve"> [Citation.]</w:t>
      </w:r>
      <w:r w:rsidRPr="008618FE">
        <w:t xml:space="preserve"> </w:t>
      </w:r>
      <w:r>
        <w:t xml:space="preserve"> </w:t>
      </w:r>
      <w:r w:rsidRPr="008618FE">
        <w:t xml:space="preserve">As a general matter, such laws </w:t>
      </w:r>
      <w:r>
        <w:t>‘</w:t>
      </w:r>
      <w:r w:rsidRPr="008618FE">
        <w:t>are presumptively unconstitutional and may be justified only if the government proves that they are narrowly tailored to serve compelling state interests.</w:t>
      </w:r>
      <w:r>
        <w:t>’”</w:t>
      </w:r>
      <w:r>
        <w:rPr>
          <w:i/>
          <w:iCs/>
        </w:rPr>
        <w:t xml:space="preserve">  </w:t>
      </w:r>
      <w:r>
        <w:t>(</w:t>
      </w:r>
      <w:r w:rsidRPr="00D95FBC">
        <w:rPr>
          <w:i/>
          <w:iCs/>
        </w:rPr>
        <w:t>National Institute</w:t>
      </w:r>
      <w:r>
        <w:t xml:space="preserve">, at p. ___ </w:t>
      </w:r>
      <w:r>
        <w:lastRenderedPageBreak/>
        <w:t xml:space="preserve">[138 S.Ct., at p. 2371]; see </w:t>
      </w:r>
      <w:r>
        <w:rPr>
          <w:i/>
          <w:iCs/>
        </w:rPr>
        <w:t>Reed</w:t>
      </w:r>
      <w:r>
        <w:t>, at p. 163.)  Viewpoint discrimination, where the “[g]</w:t>
      </w:r>
      <w:r w:rsidRPr="001D5253">
        <w:t>overnment</w:t>
      </w:r>
      <w:r>
        <w:t xml:space="preserve"> </w:t>
      </w:r>
      <w:r w:rsidRPr="001D5253">
        <w:t>discriminat</w:t>
      </w:r>
      <w:r>
        <w:t xml:space="preserve">[es] </w:t>
      </w:r>
      <w:r w:rsidRPr="001D5253">
        <w:t>among viewpoints</w:t>
      </w:r>
      <w:r>
        <w:t>[,]</w:t>
      </w:r>
      <w:r w:rsidRPr="001D5253">
        <w:t xml:space="preserve"> is a </w:t>
      </w:r>
      <w:r>
        <w:t>‘</w:t>
      </w:r>
      <w:r w:rsidRPr="001D5253">
        <w:t>more blatant</w:t>
      </w:r>
      <w:r>
        <w:t>’</w:t>
      </w:r>
      <w:r w:rsidRPr="001D5253">
        <w:t xml:space="preserve"> and </w:t>
      </w:r>
      <w:r>
        <w:t>‘</w:t>
      </w:r>
      <w:r w:rsidRPr="001D5253">
        <w:t>egregious form of content discrimination</w:t>
      </w:r>
      <w:r>
        <w:t xml:space="preserve"> . . . .’</w:t>
      </w:r>
      <w:r w:rsidRPr="001D5253">
        <w:t>”</w:t>
      </w:r>
      <w:r>
        <w:t xml:space="preserve">  (</w:t>
      </w:r>
      <w:r>
        <w:rPr>
          <w:i/>
          <w:iCs/>
        </w:rPr>
        <w:t>Reed</w:t>
      </w:r>
      <w:r>
        <w:t xml:space="preserve">, at p. 168; accord, </w:t>
      </w:r>
      <w:r w:rsidRPr="0093369E">
        <w:rPr>
          <w:i/>
          <w:iCs/>
        </w:rPr>
        <w:t>McCullen v. Coakley</w:t>
      </w:r>
      <w:r>
        <w:t xml:space="preserve"> (2014) 573 U.S. 464, 482-483 [</w:t>
      </w:r>
      <w:r w:rsidRPr="00420175">
        <w:t>134</w:t>
      </w:r>
      <w:r>
        <w:t> </w:t>
      </w:r>
      <w:r w:rsidRPr="00420175">
        <w:t>S.Ct.</w:t>
      </w:r>
      <w:r>
        <w:t> </w:t>
      </w:r>
      <w:r w:rsidRPr="00420175">
        <w:t>2518</w:t>
      </w:r>
      <w:r>
        <w:t xml:space="preserve">, </w:t>
      </w:r>
      <w:r w:rsidRPr="00420175">
        <w:t>189 L.Ed.2d 502</w:t>
      </w:r>
      <w:r>
        <w:t>].)</w:t>
      </w:r>
      <w:r>
        <w:rPr>
          <w:rStyle w:val="FootnoteReference"/>
        </w:rPr>
        <w:footnoteReference w:id="10"/>
      </w:r>
    </w:p>
    <w:p w14:paraId="6E7C0678" w14:textId="77777777" w:rsidR="00A03515" w:rsidRDefault="0028732F" w:rsidP="00206E38"/>
    <w:p w14:paraId="27111EC9" w14:textId="77777777" w:rsidR="00D60248" w:rsidRDefault="009D4782" w:rsidP="00983397">
      <w:pPr>
        <w:ind w:left="2160" w:hanging="720"/>
      </w:pPr>
      <w:r>
        <w:t>2.</w:t>
      </w:r>
      <w:r>
        <w:tab/>
      </w:r>
      <w:r w:rsidRPr="00071433">
        <w:t>Stanistreet</w:t>
      </w:r>
    </w:p>
    <w:p w14:paraId="56D6BBCB" w14:textId="77777777" w:rsidR="00782870" w:rsidRPr="00A22799" w:rsidRDefault="009D4782" w:rsidP="007D7F98">
      <w:pPr>
        <w:ind w:firstLine="720"/>
      </w:pPr>
      <w:r>
        <w:t xml:space="preserve">In </w:t>
      </w:r>
      <w:r>
        <w:rPr>
          <w:i/>
        </w:rPr>
        <w:t>Stanistreet</w:t>
      </w:r>
      <w:r>
        <w:t xml:space="preserve"> a jury convicted the defendant of violating section 148.6.  (</w:t>
      </w:r>
      <w:r>
        <w:rPr>
          <w:i/>
        </w:rPr>
        <w:t>Stanistreet</w:t>
      </w:r>
      <w:r>
        <w:t xml:space="preserve">, </w:t>
      </w:r>
      <w:r>
        <w:rPr>
          <w:i/>
        </w:rPr>
        <w:t>supra</w:t>
      </w:r>
      <w:r>
        <w:t>, 29 Cal.4th at p. 501.)  The Court of Appeal reversed the judgment, holding section 148.6 was unconstitutional under the First Amendment “because it proscribes knowingly false accusations of misconduct against peace officers only and not against others,” thereby “selectively prohibit[ing] expression because of its content.  (</w:t>
      </w:r>
      <w:r w:rsidRPr="008B0A43">
        <w:rPr>
          <w:i/>
          <w:iCs/>
        </w:rPr>
        <w:t>Ibid.</w:t>
      </w:r>
      <w:r>
        <w:t xml:space="preserve">)  The California Supreme Court reversed.  The Supreme Court acknowledged the statute was a content-based speech restriction because it criminalized false allegations of misconduct against peace officers (only), and not (for example) </w:t>
      </w:r>
      <w:r w:rsidRPr="00AC6E80">
        <w:t xml:space="preserve">firefighters, paramedics, teachers, </w:t>
      </w:r>
      <w:r>
        <w:t xml:space="preserve">and </w:t>
      </w:r>
      <w:r w:rsidRPr="00AC6E80">
        <w:t>elected officials</w:t>
      </w:r>
      <w:r>
        <w:t>.  (</w:t>
      </w:r>
      <w:r w:rsidRPr="005B1777">
        <w:rPr>
          <w:i/>
          <w:iCs/>
        </w:rPr>
        <w:t>Id.</w:t>
      </w:r>
      <w:r>
        <w:t xml:space="preserve"> pp. 503-504, 508.)  But the California Supreme Court held the statute fell within each of the “three categories of content discrimination that . . . are permissible” under the United States Supreme Court’s decision in </w:t>
      </w:r>
      <w:r w:rsidRPr="005B1777">
        <w:rPr>
          <w:i/>
          <w:iCs/>
        </w:rPr>
        <w:t>R.A.V. v. City of St. Paul, Minn.</w:t>
      </w:r>
      <w:r>
        <w:t xml:space="preserve"> (1992) 505 U.S. 377 </w:t>
      </w:r>
      <w:r>
        <w:lastRenderedPageBreak/>
        <w:t>[112 S.Ct. 2538, 120 L.Ed.2d 305] (</w:t>
      </w:r>
      <w:r w:rsidRPr="00DD4162">
        <w:rPr>
          <w:i/>
          <w:iCs/>
        </w:rPr>
        <w:t>R.A.V.</w:t>
      </w:r>
      <w:r>
        <w:t xml:space="preserve">).  (See </w:t>
      </w:r>
      <w:r>
        <w:rPr>
          <w:i/>
          <w:iCs/>
        </w:rPr>
        <w:t>Stanistreet</w:t>
      </w:r>
      <w:r>
        <w:t>, at p. 506.)</w:t>
      </w:r>
    </w:p>
    <w:p w14:paraId="06EF2C1F" w14:textId="77777777" w:rsidR="00871AE0" w:rsidRPr="00451875" w:rsidRDefault="009D4782" w:rsidP="00D86D78">
      <w:pPr>
        <w:ind w:firstLine="720"/>
      </w:pPr>
      <w:r>
        <w:t xml:space="preserve">In </w:t>
      </w:r>
      <w:r>
        <w:rPr>
          <w:i/>
          <w:iCs/>
        </w:rPr>
        <w:t>R.A.V.</w:t>
      </w:r>
      <w:r>
        <w:t xml:space="preserve"> the United States Supreme Court identified three permissible types of content-based restrictions that do not “pose [the] threat” that “‘the </w:t>
      </w:r>
      <w:r w:rsidRPr="008B51A1">
        <w:t>Government may effectively drive certain ideas or viewpoints from the marketplace</w:t>
      </w:r>
      <w:r>
        <w:t xml:space="preserve"> . . . .’</w:t>
      </w:r>
      <w:r w:rsidRPr="008B51A1">
        <w:t>” </w:t>
      </w:r>
      <w:r>
        <w:t xml:space="preserve"> (</w:t>
      </w:r>
      <w:r>
        <w:rPr>
          <w:i/>
          <w:iCs/>
        </w:rPr>
        <w:t>R.A.V.</w:t>
      </w:r>
      <w:r>
        <w:t xml:space="preserve">, </w:t>
      </w:r>
      <w:r w:rsidRPr="0016647B">
        <w:rPr>
          <w:i/>
          <w:iCs/>
        </w:rPr>
        <w:t>supra</w:t>
      </w:r>
      <w:r>
        <w:t xml:space="preserve">, 505 U.S. at p. 387.)  </w:t>
      </w:r>
      <w:r w:rsidRPr="00645477">
        <w:t>The</w:t>
      </w:r>
      <w:r>
        <w:t xml:space="preserve"> first is where</w:t>
      </w:r>
      <w:r w:rsidRPr="00236656">
        <w:rPr>
          <w:rFonts w:ascii="Source Sans Pro" w:hAnsi="Source Sans Pro"/>
          <w:color w:val="3D3D3D"/>
          <w:sz w:val="25"/>
          <w:szCs w:val="25"/>
          <w:shd w:val="clear" w:color="auto" w:fill="FFFFFF"/>
        </w:rPr>
        <w:t xml:space="preserve"> </w:t>
      </w:r>
      <w:r>
        <w:t>“</w:t>
      </w:r>
      <w:r w:rsidRPr="00236656">
        <w:t>the basis for the content discrimination consists entirely of the very reason the entire class of speech at issue is proscribable</w:t>
      </w:r>
      <w:r>
        <w:t>.”  (</w:t>
      </w:r>
      <w:r>
        <w:rPr>
          <w:i/>
          <w:iCs/>
        </w:rPr>
        <w:t xml:space="preserve">Id. </w:t>
      </w:r>
      <w:r>
        <w:t>at p. 388.)  The second is where the speech is “</w:t>
      </w:r>
      <w:r w:rsidRPr="00B53678">
        <w:t xml:space="preserve">associated with particular </w:t>
      </w:r>
      <w:r>
        <w:t>‘</w:t>
      </w:r>
      <w:r w:rsidRPr="00B53678">
        <w:t>secondary effects</w:t>
      </w:r>
      <w:r>
        <w:t>’</w:t>
      </w:r>
      <w:r w:rsidRPr="00B53678">
        <w:t xml:space="preserve"> of the speech, so that the regulation is </w:t>
      </w:r>
      <w:r>
        <w:t>‘</w:t>
      </w:r>
      <w:r w:rsidRPr="00B53678">
        <w:rPr>
          <w:i/>
          <w:iCs/>
        </w:rPr>
        <w:t>justified</w:t>
      </w:r>
      <w:r w:rsidRPr="00B53678">
        <w:t> without reference to the content of the .</w:t>
      </w:r>
      <w:r>
        <w:t> </w:t>
      </w:r>
      <w:r w:rsidRPr="00B53678">
        <w:t>.</w:t>
      </w:r>
      <w:r>
        <w:t> </w:t>
      </w:r>
      <w:r w:rsidRPr="00B53678">
        <w:t>. speech</w:t>
      </w:r>
      <w:r>
        <w:t xml:space="preserve"> . . . .’”  (</w:t>
      </w:r>
      <w:r>
        <w:rPr>
          <w:i/>
        </w:rPr>
        <w:t xml:space="preserve">Id. </w:t>
      </w:r>
      <w:r>
        <w:rPr>
          <w:iCs/>
        </w:rPr>
        <w:t>at p. 389.)  And the third is where “</w:t>
      </w:r>
      <w:r w:rsidRPr="00533F51">
        <w:rPr>
          <w:iCs/>
        </w:rPr>
        <w:t>the nature of the content discrimination is such that there is no realistic possibility that official suppression of ideas is afoot</w:t>
      </w:r>
      <w:r w:rsidRPr="00C27EF7">
        <w:t>.</w:t>
      </w:r>
      <w:r>
        <w:t>”  (</w:t>
      </w:r>
      <w:r>
        <w:rPr>
          <w:i/>
        </w:rPr>
        <w:t xml:space="preserve">Id. </w:t>
      </w:r>
      <w:r>
        <w:t xml:space="preserve">at p. 390.)  As we will discuss in more detail, the California Supreme Court in </w:t>
      </w:r>
      <w:r>
        <w:rPr>
          <w:i/>
        </w:rPr>
        <w:t xml:space="preserve">Stanistreet </w:t>
      </w:r>
      <w:r>
        <w:t>held all three exceptions applied to section 148.6, subdivision (a)(2), because of the state’s requirement, unique to peace officers, that agencies must investigate and retain a record of all complaints of misconduct.  (</w:t>
      </w:r>
      <w:r>
        <w:rPr>
          <w:i/>
          <w:iCs/>
        </w:rPr>
        <w:t>Stanistreet</w:t>
      </w:r>
      <w:r>
        <w:t xml:space="preserve">, </w:t>
      </w:r>
      <w:r>
        <w:rPr>
          <w:i/>
          <w:iCs/>
        </w:rPr>
        <w:t>supra</w:t>
      </w:r>
      <w:r>
        <w:t>, 29 Cal.4th at pp. 508-510.)</w:t>
      </w:r>
    </w:p>
    <w:p w14:paraId="207C5EC8" w14:textId="77777777" w:rsidR="00443E1F" w:rsidRDefault="0028732F" w:rsidP="00D60248">
      <w:pPr>
        <w:ind w:firstLine="720"/>
      </w:pPr>
    </w:p>
    <w:p w14:paraId="5E4CD700" w14:textId="77777777" w:rsidR="00D60248" w:rsidRDefault="009D4782" w:rsidP="00983397">
      <w:pPr>
        <w:ind w:left="2160" w:hanging="720"/>
      </w:pPr>
      <w:r>
        <w:t>3.</w:t>
      </w:r>
      <w:r>
        <w:tab/>
      </w:r>
      <w:r w:rsidRPr="00054735">
        <w:t>Chaker</w:t>
      </w:r>
      <w:r w:rsidRPr="00226203">
        <w:rPr>
          <w:i/>
          <w:iCs/>
        </w:rPr>
        <w:t xml:space="preserve"> </w:t>
      </w:r>
    </w:p>
    <w:p w14:paraId="44E10B9E" w14:textId="77777777" w:rsidR="00D60248" w:rsidRDefault="009D4782" w:rsidP="00D60248">
      <w:pPr>
        <w:ind w:firstLine="720"/>
      </w:pPr>
      <w:r>
        <w:t xml:space="preserve">Three years after the California Supreme Court decided </w:t>
      </w:r>
      <w:r>
        <w:rPr>
          <w:i/>
          <w:iCs/>
        </w:rPr>
        <w:t>Stanistreet</w:t>
      </w:r>
      <w:r>
        <w:t xml:space="preserve">, the United States Court of Appeals for the Ninth Circuit held in </w:t>
      </w:r>
      <w:r>
        <w:rPr>
          <w:i/>
          <w:iCs/>
        </w:rPr>
        <w:t>Chaker</w:t>
      </w:r>
      <w:r>
        <w:t xml:space="preserve">, </w:t>
      </w:r>
      <w:r>
        <w:rPr>
          <w:i/>
          <w:iCs/>
        </w:rPr>
        <w:t>supra</w:t>
      </w:r>
      <w:r>
        <w:t>,</w:t>
      </w:r>
      <w:r>
        <w:rPr>
          <w:i/>
          <w:iCs/>
        </w:rPr>
        <w:t xml:space="preserve"> </w:t>
      </w:r>
      <w:r>
        <w:t>428 F.3d 1215 that section 148.6 violated the First Amendment.  I</w:t>
      </w:r>
      <w:r w:rsidRPr="002D060F">
        <w:t>n</w:t>
      </w:r>
      <w:r>
        <w:t xml:space="preserve"> </w:t>
      </w:r>
      <w:r>
        <w:rPr>
          <w:i/>
          <w:iCs/>
        </w:rPr>
        <w:t>Chaker</w:t>
      </w:r>
      <w:r>
        <w:t xml:space="preserve"> a jury</w:t>
      </w:r>
      <w:r w:rsidRPr="006F6EB0">
        <w:t xml:space="preserve"> </w:t>
      </w:r>
      <w:r>
        <w:t>convicted the defendant in California state court of violating section 148.6.  (</w:t>
      </w:r>
      <w:r>
        <w:rPr>
          <w:i/>
          <w:iCs/>
        </w:rPr>
        <w:t xml:space="preserve">Id. </w:t>
      </w:r>
      <w:r>
        <w:t xml:space="preserve">at p. 1217.)  The defendant filed a petition for writ of habeas corpus in the United States District Court, alleging section 148.6 violated the First Amendment.  The district court denied the </w:t>
      </w:r>
      <w:r>
        <w:lastRenderedPageBreak/>
        <w:t>petition, but the Ninth Circuit reversed.  (</w:t>
      </w:r>
      <w:r>
        <w:rPr>
          <w:i/>
          <w:iCs/>
        </w:rPr>
        <w:t xml:space="preserve">Id. </w:t>
      </w:r>
      <w:r>
        <w:t xml:space="preserve">at p. 1218.)  The Ninth Circuit held section 148.6 was an impermissible viewpoint-based speech restriction because “[o]nly knowingly false speech </w:t>
      </w:r>
      <w:r>
        <w:rPr>
          <w:i/>
          <w:iCs/>
        </w:rPr>
        <w:t xml:space="preserve">critical </w:t>
      </w:r>
      <w:r>
        <w:t>of peace officer conduct during the course of a complaint investigation [was] subject to prosecution under section 148.6,” while “[k]nowingly false speech supportive of peace officer conduct [was] not similarly subject to prosecution.”  (</w:t>
      </w:r>
      <w:r>
        <w:rPr>
          <w:i/>
          <w:iCs/>
        </w:rPr>
        <w:t>Id.</w:t>
      </w:r>
      <w:r>
        <w:t xml:space="preserve"> at p. 1228.)  The Ninth Circuit in </w:t>
      </w:r>
      <w:r w:rsidRPr="00B31C02">
        <w:rPr>
          <w:i/>
          <w:iCs/>
        </w:rPr>
        <w:t>Chaker</w:t>
      </w:r>
      <w:r>
        <w:t xml:space="preserve"> also rejected as a valid basis for the restriction the “</w:t>
      </w:r>
      <w:r w:rsidRPr="00FF0B8E">
        <w:t>state</w:t>
      </w:r>
      <w:r>
        <w:t>’</w:t>
      </w:r>
      <w:r w:rsidRPr="00FF0B8E">
        <w:t>s asserted interest in saving valuable public resources and maintaining the integrity of the complaint process</w:t>
      </w:r>
      <w:r>
        <w:t>.”  (</w:t>
      </w:r>
      <w:r>
        <w:rPr>
          <w:i/>
          <w:iCs/>
        </w:rPr>
        <w:t xml:space="preserve">Id. </w:t>
      </w:r>
      <w:r>
        <w:t>at p. 1227.)</w:t>
      </w:r>
      <w:r>
        <w:rPr>
          <w:rStyle w:val="FootnoteReference"/>
        </w:rPr>
        <w:footnoteReference w:id="11"/>
      </w:r>
    </w:p>
    <w:p w14:paraId="08878677" w14:textId="77777777" w:rsidR="00D60248" w:rsidRDefault="0028732F" w:rsidP="00983397">
      <w:pPr>
        <w:pStyle w:val="CaCoA-Heading2"/>
      </w:pPr>
    </w:p>
    <w:p w14:paraId="523E4371" w14:textId="77777777" w:rsidR="00983397" w:rsidRPr="00871AE0" w:rsidRDefault="009D4782" w:rsidP="00983397">
      <w:pPr>
        <w:ind w:left="2160" w:hanging="720"/>
      </w:pPr>
      <w:r>
        <w:rPr>
          <w:iCs/>
        </w:rPr>
        <w:t>4.</w:t>
      </w:r>
      <w:r>
        <w:rPr>
          <w:iCs/>
        </w:rPr>
        <w:tab/>
      </w:r>
      <w:r>
        <w:rPr>
          <w:i/>
        </w:rPr>
        <w:t>The City’s</w:t>
      </w:r>
      <w:r>
        <w:rPr>
          <w:i/>
          <w:iCs/>
        </w:rPr>
        <w:t xml:space="preserve"> Constitutional Challenge Is Inconsistent with the Supreme Court’s Analysis in </w:t>
      </w:r>
      <w:r>
        <w:t>Stanistreet</w:t>
      </w:r>
    </w:p>
    <w:p w14:paraId="39AE3971" w14:textId="77777777" w:rsidR="00107CE4" w:rsidRDefault="009D4782" w:rsidP="00AE77D2">
      <w:pPr>
        <w:ind w:firstLine="720"/>
      </w:pPr>
      <w:r>
        <w:t xml:space="preserve">Relying on </w:t>
      </w:r>
      <w:r>
        <w:rPr>
          <w:i/>
          <w:iCs/>
        </w:rPr>
        <w:t>Chaker</w:t>
      </w:r>
      <w:r>
        <w:t xml:space="preserve">, the City argues section 148.6 “is a flagrant content and viewpoint-based restriction on speech, applying only to knowingly false statements against a police officer but not to knowingly false statements in favor of police officers . . . .”  The City also argues the Supreme Court’s decision in </w:t>
      </w:r>
      <w:r>
        <w:rPr>
          <w:i/>
          <w:iCs/>
        </w:rPr>
        <w:t xml:space="preserve">Stanistreet </w:t>
      </w:r>
      <w:r>
        <w:t>has “nothing to do” with the City’s argument because “</w:t>
      </w:r>
      <w:r>
        <w:rPr>
          <w:i/>
          <w:iCs/>
        </w:rPr>
        <w:t xml:space="preserve">Stanistreet </w:t>
      </w:r>
      <w:r>
        <w:t xml:space="preserve">never considered whether Section 148.6’s conflicting treatment of false complaints and false commendations was an acceptable regulation of speech.” </w:t>
      </w:r>
    </w:p>
    <w:p w14:paraId="6BDE7366" w14:textId="77777777" w:rsidR="00107CE4" w:rsidRDefault="009D4782" w:rsidP="00107CE4">
      <w:pPr>
        <w:ind w:firstLine="720"/>
      </w:pPr>
      <w:r>
        <w:t xml:space="preserve">We read </w:t>
      </w:r>
      <w:r>
        <w:rPr>
          <w:i/>
          <w:iCs/>
        </w:rPr>
        <w:t xml:space="preserve">Stanistreet </w:t>
      </w:r>
      <w:r>
        <w:t xml:space="preserve">differently.  True, the Supreme Court in </w:t>
      </w:r>
      <w:r>
        <w:rPr>
          <w:i/>
          <w:iCs/>
        </w:rPr>
        <w:t xml:space="preserve">Stanistreet </w:t>
      </w:r>
      <w:r>
        <w:t xml:space="preserve">did </w:t>
      </w:r>
      <w:r w:rsidRPr="002201BF">
        <w:t>not reject the exact argument the City now makes for why</w:t>
      </w:r>
      <w:r>
        <w:t xml:space="preserve"> section 148.6 is an impermissible content- and </w:t>
      </w:r>
      <w:r>
        <w:lastRenderedPageBreak/>
        <w:t xml:space="preserve">viewpoint-based speech restriction.  But the California Supreme </w:t>
      </w:r>
      <w:r w:rsidRPr="008C6C9A">
        <w:t>C</w:t>
      </w:r>
      <w:r>
        <w:t xml:space="preserve">ourt in </w:t>
      </w:r>
      <w:r w:rsidRPr="0092036F">
        <w:rPr>
          <w:i/>
          <w:iCs/>
        </w:rPr>
        <w:t>Stanistreet</w:t>
      </w:r>
      <w:r>
        <w:t xml:space="preserve"> held all “</w:t>
      </w:r>
      <w:r w:rsidRPr="00C65511">
        <w:t xml:space="preserve">three categories of content discrimination </w:t>
      </w:r>
      <w:r>
        <w:t xml:space="preserve">[the United States Supreme Court identified in </w:t>
      </w:r>
      <w:r>
        <w:rPr>
          <w:i/>
          <w:iCs/>
        </w:rPr>
        <w:t>R.A.V.</w:t>
      </w:r>
      <w:r>
        <w:t xml:space="preserve">] </w:t>
      </w:r>
      <w:r w:rsidRPr="00C65511">
        <w:t xml:space="preserve">that do not threaten to drive ideas </w:t>
      </w:r>
      <w:r w:rsidRPr="008D2C95">
        <w:t>or viewpoints</w:t>
      </w:r>
      <w:r w:rsidRPr="00C65511">
        <w:t xml:space="preserve"> from the marketplace and hence are permissible</w:t>
      </w:r>
      <w:r>
        <w:t xml:space="preserve"> . . . apply here.”  (</w:t>
      </w:r>
      <w:r>
        <w:rPr>
          <w:i/>
          <w:iCs/>
        </w:rPr>
        <w:t>Stanistreet</w:t>
      </w:r>
      <w:r>
        <w:t xml:space="preserve">, </w:t>
      </w:r>
      <w:r>
        <w:rPr>
          <w:i/>
          <w:iCs/>
        </w:rPr>
        <w:t>supra</w:t>
      </w:r>
      <w:r>
        <w:t xml:space="preserve">, 29 Cal.4th at p. 508.)  And the California Supreme Court’s analysis of why the three </w:t>
      </w:r>
      <w:r>
        <w:rPr>
          <w:i/>
          <w:iCs/>
        </w:rPr>
        <w:t xml:space="preserve">R.A.V. </w:t>
      </w:r>
      <w:r>
        <w:t>exceptions apply to section 148.6 applies to the City’s arguments.</w:t>
      </w:r>
    </w:p>
    <w:p w14:paraId="4FFDF79B" w14:textId="77777777" w:rsidR="00107CE4" w:rsidRDefault="009D4782" w:rsidP="00107CE4">
      <w:pPr>
        <w:ind w:firstLine="720"/>
      </w:pPr>
      <w:r>
        <w:t xml:space="preserve">Regarding the first </w:t>
      </w:r>
      <w:r>
        <w:rPr>
          <w:i/>
          <w:iCs/>
        </w:rPr>
        <w:t xml:space="preserve">R.A.V. </w:t>
      </w:r>
      <w:r>
        <w:t>exception—where</w:t>
      </w:r>
      <w:r w:rsidRPr="00236656">
        <w:rPr>
          <w:rFonts w:ascii="Source Sans Pro" w:hAnsi="Source Sans Pro"/>
          <w:color w:val="3D3D3D"/>
          <w:sz w:val="25"/>
          <w:szCs w:val="25"/>
          <w:shd w:val="clear" w:color="auto" w:fill="FFFFFF"/>
        </w:rPr>
        <w:t xml:space="preserve"> </w:t>
      </w:r>
      <w:r>
        <w:t>“</w:t>
      </w:r>
      <w:r w:rsidRPr="00236656">
        <w:t>the basis for the content discrimination consists entirely of the very reason the entire class of speech at issue is proscribable</w:t>
      </w:r>
      <w:r>
        <w:t>”  (</w:t>
      </w:r>
      <w:r>
        <w:rPr>
          <w:i/>
          <w:iCs/>
        </w:rPr>
        <w:t>R.A.V.</w:t>
      </w:r>
      <w:r>
        <w:t xml:space="preserve">, </w:t>
      </w:r>
      <w:r>
        <w:rPr>
          <w:i/>
          <w:iCs/>
        </w:rPr>
        <w:t>supra</w:t>
      </w:r>
      <w:r>
        <w:t>,</w:t>
      </w:r>
      <w:r>
        <w:rPr>
          <w:i/>
          <w:iCs/>
        </w:rPr>
        <w:t xml:space="preserve"> </w:t>
      </w:r>
      <w:r w:rsidRPr="00AE5F63">
        <w:t>505</w:t>
      </w:r>
      <w:r>
        <w:t> </w:t>
      </w:r>
      <w:r w:rsidRPr="00AE5F63">
        <w:t>U.S.</w:t>
      </w:r>
      <w:r>
        <w:rPr>
          <w:i/>
          <w:iCs/>
        </w:rPr>
        <w:t xml:space="preserve"> </w:t>
      </w:r>
      <w:r>
        <w:t>at p. 388)—the California Supreme Court held:  “The reason the entire class of speech at issue—knowingly false statements of fact—is proscribable has ‘special force’ [citation] when applied to false accusations against peace officers.”  (</w:t>
      </w:r>
      <w:r>
        <w:rPr>
          <w:i/>
          <w:iCs/>
        </w:rPr>
        <w:t>Stanistreet</w:t>
      </w:r>
      <w:r>
        <w:t xml:space="preserve">, </w:t>
      </w:r>
      <w:r>
        <w:rPr>
          <w:i/>
          <w:iCs/>
        </w:rPr>
        <w:t>supra</w:t>
      </w:r>
      <w:r>
        <w:t>, 29 Cal.4th at p. 508.)  The California Supreme Court explained that, when “a person makes a complaint against a peace officer,” the “agency receiving the complaint is legally obligated to investigate it and to retain the complaint and resulting reports or findings for at least five years” and that therefore “the potential harm of a knowingly false statement is greater . . . than in other situations.”  (</w:t>
      </w:r>
      <w:r>
        <w:rPr>
          <w:i/>
          <w:iCs/>
        </w:rPr>
        <w:t>Ibid</w:t>
      </w:r>
      <w:r>
        <w:t xml:space="preserve">.)  This reasoning applies whether section 148.6 is viewed as a restriction based on whom the complainant accuses of misconduct (e.g., police officer or firefighter) or as a restriction based on whether a person is accusing an officer of misconduct or commending the officer for his or her service.  When a person commends an officer, an agency is not legally obligated to investigate or retain the commendation.  Section 832.5 requires agencies to </w:t>
      </w:r>
      <w:r w:rsidRPr="000510B0">
        <w:t xml:space="preserve">investigate </w:t>
      </w:r>
      <w:r>
        <w:t>only “</w:t>
      </w:r>
      <w:r w:rsidRPr="000510B0">
        <w:t>complaints by members of the public</w:t>
      </w:r>
      <w:r>
        <w:t xml:space="preserve">” and to retain the </w:t>
      </w:r>
      <w:r>
        <w:lastRenderedPageBreak/>
        <w:t>“c</w:t>
      </w:r>
      <w:r w:rsidRPr="001E6293">
        <w:t>omplaints and any reports or findings relating to these complaints</w:t>
      </w:r>
      <w:r>
        <w:t xml:space="preserve"> . . . .”  (§ 832.5, subd. (a)(1), (2).)  </w:t>
      </w:r>
    </w:p>
    <w:p w14:paraId="5D10D058" w14:textId="77777777" w:rsidR="00107CE4" w:rsidRDefault="009D4782" w:rsidP="00107CE4">
      <w:pPr>
        <w:ind w:firstLine="720"/>
        <w:rPr>
          <w:iCs/>
        </w:rPr>
      </w:pPr>
      <w:r>
        <w:t xml:space="preserve">As for the second </w:t>
      </w:r>
      <w:r>
        <w:rPr>
          <w:i/>
          <w:iCs/>
        </w:rPr>
        <w:t xml:space="preserve">R.A.V. </w:t>
      </w:r>
      <w:r>
        <w:t>exception—where the category of proscribed speech is “</w:t>
      </w:r>
      <w:r w:rsidRPr="00B53678">
        <w:t xml:space="preserve">associated with particular </w:t>
      </w:r>
      <w:r>
        <w:t>‘</w:t>
      </w:r>
      <w:r w:rsidRPr="00B53678">
        <w:t>secondary effects</w:t>
      </w:r>
      <w:r>
        <w:t>’</w:t>
      </w:r>
      <w:r w:rsidRPr="00B53678">
        <w:t xml:space="preserve"> of the speech</w:t>
      </w:r>
      <w:r>
        <w:t>” (</w:t>
      </w:r>
      <w:r>
        <w:rPr>
          <w:i/>
          <w:iCs/>
        </w:rPr>
        <w:t>R.A.V.</w:t>
      </w:r>
      <w:r>
        <w:t xml:space="preserve">, </w:t>
      </w:r>
      <w:r>
        <w:rPr>
          <w:i/>
          <w:iCs/>
        </w:rPr>
        <w:t>supra</w:t>
      </w:r>
      <w:r>
        <w:t>,</w:t>
      </w:r>
      <w:r>
        <w:rPr>
          <w:i/>
          <w:iCs/>
        </w:rPr>
        <w:t xml:space="preserve"> </w:t>
      </w:r>
      <w:r>
        <w:t>505 U.S. at p. 389)—</w:t>
      </w:r>
      <w:r>
        <w:rPr>
          <w:iCs/>
        </w:rPr>
        <w:t xml:space="preserve">the California Supreme Court in </w:t>
      </w:r>
      <w:r>
        <w:rPr>
          <w:i/>
        </w:rPr>
        <w:t>Stanistreet</w:t>
      </w:r>
      <w:r>
        <w:rPr>
          <w:iCs/>
        </w:rPr>
        <w:t xml:space="preserve"> held “knowingly false accusations of misconduct against a peace officer have substantial secondary effects—</w:t>
      </w:r>
      <w:r w:rsidRPr="00276D5F">
        <w:rPr>
          <w:iCs/>
        </w:rPr>
        <w:t>they trigger mandatory investigation and record retention requirements</w:t>
      </w:r>
      <w:r>
        <w:rPr>
          <w:iCs/>
        </w:rPr>
        <w:t>” that do not apply to other persons.  (</w:t>
      </w:r>
      <w:r w:rsidRPr="003C1C64">
        <w:rPr>
          <w:i/>
        </w:rPr>
        <w:t>Stanistreet</w:t>
      </w:r>
      <w:r>
        <w:rPr>
          <w:iCs/>
        </w:rPr>
        <w:t xml:space="preserve">, </w:t>
      </w:r>
      <w:r w:rsidRPr="003C1C64">
        <w:rPr>
          <w:i/>
        </w:rPr>
        <w:t>supra</w:t>
      </w:r>
      <w:r>
        <w:rPr>
          <w:iCs/>
        </w:rPr>
        <w:t xml:space="preserve">, 29 Cal.4th </w:t>
      </w:r>
      <w:r w:rsidRPr="00A14B29">
        <w:rPr>
          <w:iCs/>
        </w:rPr>
        <w:t>at</w:t>
      </w:r>
      <w:r>
        <w:rPr>
          <w:iCs/>
        </w:rPr>
        <w:t xml:space="preserve"> p. 641.)  In addition, “[p]</w:t>
      </w:r>
      <w:r w:rsidRPr="00276D5F">
        <w:rPr>
          <w:iCs/>
        </w:rPr>
        <w:t>ublic resources are required to investigate these complaints, resources that could otherwise be used for other matters; the complaints may adversely affect the accused peace officer</w:t>
      </w:r>
      <w:r>
        <w:rPr>
          <w:iCs/>
        </w:rPr>
        <w:t>’</w:t>
      </w:r>
      <w:r w:rsidRPr="00276D5F">
        <w:rPr>
          <w:iCs/>
        </w:rPr>
        <w:t>s career, at least until the investigation is complete; and the complaints may be discoverable in criminal proceedings.</w:t>
      </w:r>
      <w:r>
        <w:rPr>
          <w:iCs/>
        </w:rPr>
        <w:t>”  (</w:t>
      </w:r>
      <w:r>
        <w:rPr>
          <w:i/>
        </w:rPr>
        <w:t>Ibid.</w:t>
      </w:r>
      <w:r>
        <w:rPr>
          <w:iCs/>
        </w:rPr>
        <w:t>)  And again, (false) commendations of officers do not trigger mandatory investigation and retention requirements that demand use of public resources</w:t>
      </w:r>
      <w:r>
        <w:rPr>
          <w:szCs w:val="26"/>
        </w:rPr>
        <w:t>.</w:t>
      </w:r>
      <w:r>
        <w:rPr>
          <w:rStyle w:val="FootnoteReference"/>
          <w:szCs w:val="26"/>
        </w:rPr>
        <w:footnoteReference w:id="12"/>
      </w:r>
      <w:r>
        <w:rPr>
          <w:szCs w:val="26"/>
        </w:rPr>
        <w:t xml:space="preserve">  It is hard to see, and the City does not explain, how false statements commending an officer or </w:t>
      </w:r>
      <w:r>
        <w:rPr>
          <w:szCs w:val="26"/>
        </w:rPr>
        <w:lastRenderedPageBreak/>
        <w:t xml:space="preserve">defending an officer against alleged misconduct could </w:t>
      </w:r>
      <w:r w:rsidRPr="00276D5F">
        <w:rPr>
          <w:iCs/>
        </w:rPr>
        <w:t xml:space="preserve">adversely affect </w:t>
      </w:r>
      <w:r>
        <w:rPr>
          <w:iCs/>
        </w:rPr>
        <w:t>anyone’s</w:t>
      </w:r>
      <w:r w:rsidRPr="00276D5F">
        <w:rPr>
          <w:iCs/>
        </w:rPr>
        <w:t xml:space="preserve"> career</w:t>
      </w:r>
      <w:r>
        <w:rPr>
          <w:iCs/>
        </w:rPr>
        <w:t>.  While complaints against an officer remain in the officer’s personnel file and may be discoverable in future criminal proceedings where the officer is a witness, false statements defending the officer and accusations by an officer or against a complainant are less likely to surface.</w:t>
      </w:r>
    </w:p>
    <w:p w14:paraId="6915B468" w14:textId="77777777" w:rsidR="00107CE4" w:rsidRDefault="009D4782" w:rsidP="00107CE4">
      <w:pPr>
        <w:ind w:firstLine="720"/>
      </w:pPr>
      <w:r>
        <w:t xml:space="preserve">On the final </w:t>
      </w:r>
      <w:r>
        <w:rPr>
          <w:i/>
        </w:rPr>
        <w:t xml:space="preserve">R.A.V. </w:t>
      </w:r>
      <w:r>
        <w:rPr>
          <w:iCs/>
        </w:rPr>
        <w:t xml:space="preserve">exception—where </w:t>
      </w:r>
      <w:r>
        <w:t>“</w:t>
      </w:r>
      <w:r w:rsidRPr="00C27EF7">
        <w:t>the nature of the content discrimination is such that there is no realistic possibility that official suppression of ideas is afoot</w:t>
      </w:r>
      <w:r>
        <w:t>” (</w:t>
      </w:r>
      <w:r>
        <w:rPr>
          <w:i/>
        </w:rPr>
        <w:t>R.A.V.</w:t>
      </w:r>
      <w:r>
        <w:t xml:space="preserve">, </w:t>
      </w:r>
      <w:r>
        <w:rPr>
          <w:i/>
        </w:rPr>
        <w:t>supra</w:t>
      </w:r>
      <w:r>
        <w:t>, 505 U.S.</w:t>
      </w:r>
      <w:r>
        <w:rPr>
          <w:i/>
        </w:rPr>
        <w:t xml:space="preserve"> </w:t>
      </w:r>
      <w:r>
        <w:t xml:space="preserve">at p. 390)—the California Supreme Court in </w:t>
      </w:r>
      <w:r>
        <w:rPr>
          <w:i/>
        </w:rPr>
        <w:t xml:space="preserve">Stanistreet </w:t>
      </w:r>
      <w:r>
        <w:t>held there was “no realistic possibility of official suppression of ideas.”  (</w:t>
      </w:r>
      <w:r>
        <w:rPr>
          <w:i/>
          <w:iCs/>
        </w:rPr>
        <w:t>Stanistreet</w:t>
      </w:r>
      <w:r>
        <w:t xml:space="preserve">, </w:t>
      </w:r>
      <w:r>
        <w:rPr>
          <w:i/>
          <w:iCs/>
        </w:rPr>
        <w:t>supra</w:t>
      </w:r>
      <w:r>
        <w:t>, 29 Cal.4th</w:t>
      </w:r>
      <w:r>
        <w:rPr>
          <w:i/>
          <w:iCs/>
        </w:rPr>
        <w:t xml:space="preserve"> </w:t>
      </w:r>
      <w:r>
        <w:t>at p. 473.)  The California Supreme Court stated the Legislature did not suppress “all complaints of police misconduct, only knowingly false ones . . . .”  (</w:t>
      </w:r>
      <w:r>
        <w:rPr>
          <w:i/>
          <w:iCs/>
        </w:rPr>
        <w:t>Ibid.</w:t>
      </w:r>
      <w:r>
        <w:t>)  According to the California Supreme Court, the Legislature did not render complaints critical of peace officers a “‘disfavored subject’” because such complaints were, “in other respects, favored.”  The Legislature actually “elevate[d] the status” of complaints against peace officers by “requir[ing] their investigation and retention of records” and, in doing so, sought only to strike a balance by penalizing “those who invoke that status with knowingly false complaints.”  (</w:t>
      </w:r>
      <w:r>
        <w:rPr>
          <w:i/>
        </w:rPr>
        <w:t>Ibid</w:t>
      </w:r>
      <w:r>
        <w:t>.)</w:t>
      </w:r>
    </w:p>
    <w:p w14:paraId="00B6DDF7" w14:textId="77777777" w:rsidR="003C1212" w:rsidRDefault="009D4782" w:rsidP="003E58B6">
      <w:pPr>
        <w:ind w:firstLine="720"/>
      </w:pPr>
      <w:r>
        <w:t xml:space="preserve">The Supreme Court’s analysis in </w:t>
      </w:r>
      <w:r>
        <w:rPr>
          <w:i/>
        </w:rPr>
        <w:t>Stanistreet</w:t>
      </w:r>
      <w:r>
        <w:t xml:space="preserve"> again applies whether section 148.6 is considered a restriction based on whom the complainant accuses of misconduct or a restriction based on whether the speaker complains about or commends a peace officer.  Because the Legislature elevated the status of misconduct complaints against peace officers by imposing mandatory investigation and retention requirements—an elevation it did not extend to other comments about peace </w:t>
      </w:r>
      <w:r>
        <w:lastRenderedPageBreak/>
        <w:t>officers—there is no realistic possibility the Legislature intended to suppress the viewpoint of speakers critical of such officers.  Therefore, section 148.6 does not</w:t>
      </w:r>
      <w:r w:rsidRPr="00BF2325">
        <w:t> “raise</w:t>
      </w:r>
      <w:r>
        <w:t>[ ]</w:t>
      </w:r>
      <w:r w:rsidRPr="00BF2325">
        <w:t xml:space="preserve"> the specter that the Government </w:t>
      </w:r>
      <w:r>
        <w:t>[was attempting to]</w:t>
      </w:r>
      <w:r w:rsidRPr="00BF2325">
        <w:t xml:space="preserve"> drive certain ideas or viewpoints from the marketplace</w:t>
      </w:r>
      <w:r>
        <w:t xml:space="preserve"> . . . .</w:t>
      </w:r>
      <w:r w:rsidRPr="00BF2325">
        <w:t>”</w:t>
      </w:r>
      <w:r>
        <w:t xml:space="preserve">  (</w:t>
      </w:r>
      <w:r w:rsidRPr="00497CA2">
        <w:rPr>
          <w:i/>
          <w:iCs/>
        </w:rPr>
        <w:t>Stanistreet</w:t>
      </w:r>
      <w:r>
        <w:t xml:space="preserve">, </w:t>
      </w:r>
      <w:r w:rsidRPr="00497CA2">
        <w:rPr>
          <w:i/>
          <w:iCs/>
        </w:rPr>
        <w:t>supra</w:t>
      </w:r>
      <w:r>
        <w:t xml:space="preserve">, 29 Cal.4th at p. 508, citing </w:t>
      </w:r>
      <w:r>
        <w:rPr>
          <w:i/>
        </w:rPr>
        <w:t>R.A.V.</w:t>
      </w:r>
      <w:r>
        <w:t xml:space="preserve">, </w:t>
      </w:r>
      <w:r>
        <w:rPr>
          <w:i/>
        </w:rPr>
        <w:t>supra</w:t>
      </w:r>
      <w:r>
        <w:t xml:space="preserve">, 505 U.S. at p. 388.) </w:t>
      </w:r>
    </w:p>
    <w:p w14:paraId="026DFA97" w14:textId="77777777" w:rsidR="00CB1E3E" w:rsidRPr="0083037E" w:rsidRDefault="009D4782" w:rsidP="003E58B6">
      <w:pPr>
        <w:ind w:firstLine="720"/>
      </w:pPr>
      <w:r>
        <w:t xml:space="preserve">The City does not meaningfully explain why the California Supreme Court’s analysis in </w:t>
      </w:r>
      <w:r>
        <w:rPr>
          <w:i/>
          <w:iCs/>
        </w:rPr>
        <w:t xml:space="preserve">Stanistreet </w:t>
      </w:r>
      <w:r>
        <w:t xml:space="preserve">of the third exception in </w:t>
      </w:r>
      <w:r w:rsidRPr="00497CA2">
        <w:rPr>
          <w:i/>
          <w:iCs/>
        </w:rPr>
        <w:t>R.A.V.</w:t>
      </w:r>
      <w:r>
        <w:t xml:space="preserve"> would not apply to the City’s viewpoint-based argument.  Instead, the City urges us to adopt the reasoning of </w:t>
      </w:r>
      <w:r>
        <w:rPr>
          <w:i/>
          <w:iCs/>
        </w:rPr>
        <w:t xml:space="preserve">Chaker </w:t>
      </w:r>
      <w:r>
        <w:t xml:space="preserve">and of the two concurring justices in </w:t>
      </w:r>
      <w:r>
        <w:rPr>
          <w:i/>
          <w:iCs/>
        </w:rPr>
        <w:t xml:space="preserve">Stanistreet </w:t>
      </w:r>
      <w:r>
        <w:t xml:space="preserve">who would have held the third exception in </w:t>
      </w:r>
      <w:r>
        <w:rPr>
          <w:i/>
          <w:iCs/>
        </w:rPr>
        <w:t xml:space="preserve">R.A.V. </w:t>
      </w:r>
      <w:r>
        <w:t xml:space="preserve">did not apply to section 148.6.  The concurring opinion in </w:t>
      </w:r>
      <w:r w:rsidRPr="00D161AC">
        <w:rPr>
          <w:i/>
          <w:iCs/>
        </w:rPr>
        <w:t>Stanistreet</w:t>
      </w:r>
      <w:r>
        <w:t xml:space="preserve"> concluded there was a realistic possibility that criminalizing even false complaints against peace officers would suppress legitimate ones.  (See </w:t>
      </w:r>
      <w:r>
        <w:rPr>
          <w:i/>
        </w:rPr>
        <w:t>Stanistreet</w:t>
      </w:r>
      <w:r>
        <w:t xml:space="preserve">, </w:t>
      </w:r>
      <w:r>
        <w:rPr>
          <w:i/>
        </w:rPr>
        <w:t>supra</w:t>
      </w:r>
      <w:r>
        <w:t xml:space="preserve">, 29 Cal.4th at pp. 513-514 (conc. opn. of Werdegar, J.).) </w:t>
      </w:r>
      <w:r>
        <w:rPr>
          <w:i/>
        </w:rPr>
        <w:t xml:space="preserve"> </w:t>
      </w:r>
      <w:r>
        <w:t xml:space="preserve">But our role is not to second guess a majority opinion of the California Supreme Court, however persuasive the reasoning of concurring or dissenting opinions may be.  </w:t>
      </w:r>
      <w:r w:rsidRPr="0083037E">
        <w:t>(</w:t>
      </w:r>
      <w:r>
        <w:t xml:space="preserve">See </w:t>
      </w:r>
      <w:r w:rsidRPr="0083037E">
        <w:rPr>
          <w:i/>
          <w:iCs/>
        </w:rPr>
        <w:t>Jeld-Wen, Inc. v. Superior Court</w:t>
      </w:r>
      <w:r w:rsidRPr="0083037E">
        <w:t xml:space="preserve"> (2005) 131 Cal.App.4th 853, 868 [“an appellate court may not properly disregard Supreme Court authority in favor of a [different] ruling that it prefers”]; </w:t>
      </w:r>
      <w:r w:rsidRPr="0083037E">
        <w:rPr>
          <w:i/>
          <w:iCs/>
        </w:rPr>
        <w:t>In</w:t>
      </w:r>
      <w:r>
        <w:rPr>
          <w:i/>
          <w:iCs/>
        </w:rPr>
        <w:t> </w:t>
      </w:r>
      <w:r w:rsidRPr="0083037E">
        <w:rPr>
          <w:i/>
          <w:iCs/>
        </w:rPr>
        <w:t xml:space="preserve">re Marriage of Bryant </w:t>
      </w:r>
      <w:r w:rsidRPr="0083037E">
        <w:t>(2001) 91 Cal.App.4th 789, 795 [“A principle stated in a California Supreme Court opinion is not the opinion of the court unless it is agreed to by at least four of the justices.”].)</w:t>
      </w:r>
    </w:p>
    <w:p w14:paraId="50332CA0" w14:textId="77777777" w:rsidR="00381BB5" w:rsidRPr="0083037E" w:rsidRDefault="009D4782" w:rsidP="003470A0">
      <w:pPr>
        <w:ind w:firstLine="720"/>
        <w:rPr>
          <w:szCs w:val="26"/>
          <w:shd w:val="clear" w:color="auto" w:fill="FFFFFF"/>
        </w:rPr>
      </w:pPr>
      <w:r w:rsidRPr="0083037E">
        <w:rPr>
          <w:iCs/>
          <w:szCs w:val="26"/>
        </w:rPr>
        <w:t>The City argue</w:t>
      </w:r>
      <w:r>
        <w:rPr>
          <w:iCs/>
          <w:szCs w:val="26"/>
        </w:rPr>
        <w:t>s</w:t>
      </w:r>
      <w:r w:rsidRPr="0083037E">
        <w:rPr>
          <w:iCs/>
          <w:szCs w:val="26"/>
        </w:rPr>
        <w:t xml:space="preserve"> that, because “</w:t>
      </w:r>
      <w:r w:rsidRPr="0083037E">
        <w:rPr>
          <w:i/>
          <w:szCs w:val="26"/>
        </w:rPr>
        <w:t xml:space="preserve">Stanistreet </w:t>
      </w:r>
      <w:r w:rsidRPr="0083037E">
        <w:rPr>
          <w:iCs/>
          <w:szCs w:val="26"/>
        </w:rPr>
        <w:t xml:space="preserve">and </w:t>
      </w:r>
      <w:r w:rsidRPr="0083037E">
        <w:rPr>
          <w:i/>
          <w:szCs w:val="26"/>
        </w:rPr>
        <w:t xml:space="preserve">Chaker </w:t>
      </w:r>
      <w:r w:rsidRPr="0083037E">
        <w:rPr>
          <w:iCs/>
          <w:szCs w:val="26"/>
        </w:rPr>
        <w:t>considered very different content</w:t>
      </w:r>
      <w:r>
        <w:rPr>
          <w:iCs/>
          <w:szCs w:val="26"/>
        </w:rPr>
        <w:t>-</w:t>
      </w:r>
      <w:r w:rsidRPr="0083037E">
        <w:rPr>
          <w:iCs/>
          <w:szCs w:val="26"/>
        </w:rPr>
        <w:t xml:space="preserve">based distinctions,” and “[b]ecause an opinion has no authority regarding an issue it did not address,” we </w:t>
      </w:r>
      <w:r>
        <w:rPr>
          <w:iCs/>
          <w:szCs w:val="26"/>
        </w:rPr>
        <w:t xml:space="preserve">can </w:t>
      </w:r>
      <w:r w:rsidRPr="0083037E">
        <w:rPr>
          <w:iCs/>
          <w:szCs w:val="26"/>
        </w:rPr>
        <w:t xml:space="preserve">follow the Ninth Circuit’s holding in </w:t>
      </w:r>
      <w:r w:rsidRPr="0083037E">
        <w:rPr>
          <w:i/>
          <w:szCs w:val="26"/>
        </w:rPr>
        <w:t xml:space="preserve">Chaker </w:t>
      </w:r>
      <w:r>
        <w:rPr>
          <w:iCs/>
          <w:szCs w:val="26"/>
        </w:rPr>
        <w:t>rather than the California Supreme Court’s holding in</w:t>
      </w:r>
      <w:r w:rsidRPr="0083037E">
        <w:rPr>
          <w:iCs/>
          <w:szCs w:val="26"/>
        </w:rPr>
        <w:t xml:space="preserve"> </w:t>
      </w:r>
      <w:r w:rsidRPr="0083037E">
        <w:rPr>
          <w:i/>
          <w:szCs w:val="26"/>
        </w:rPr>
        <w:lastRenderedPageBreak/>
        <w:t xml:space="preserve">Stanistreet. </w:t>
      </w:r>
      <w:r w:rsidRPr="0083037E">
        <w:rPr>
          <w:iCs/>
          <w:szCs w:val="26"/>
        </w:rPr>
        <w:t xml:space="preserve"> </w:t>
      </w:r>
      <w:r>
        <w:rPr>
          <w:iCs/>
          <w:szCs w:val="26"/>
        </w:rPr>
        <w:t>We cannot</w:t>
      </w:r>
      <w:r w:rsidRPr="0083037E">
        <w:rPr>
          <w:iCs/>
          <w:szCs w:val="26"/>
        </w:rPr>
        <w:t>.  Even</w:t>
      </w:r>
      <w:r w:rsidRPr="0083037E">
        <w:rPr>
          <w:szCs w:val="26"/>
          <w:shd w:val="clear" w:color="auto" w:fill="FFFFFF"/>
        </w:rPr>
        <w:t xml:space="preserve"> statements by the California Supreme Court </w:t>
      </w:r>
      <w:r>
        <w:rPr>
          <w:szCs w:val="26"/>
          <w:shd w:val="clear" w:color="auto" w:fill="FFFFFF"/>
        </w:rPr>
        <w:t xml:space="preserve">that do “not </w:t>
      </w:r>
      <w:r w:rsidRPr="0083037E">
        <w:rPr>
          <w:szCs w:val="26"/>
          <w:shd w:val="clear" w:color="auto" w:fill="FFFFFF"/>
        </w:rPr>
        <w:t>possess the force of a square holding may nevertheless be considered highly persuasive, particularly when made . . . after careful consideration, or in the course of an elaborate review of the authorities . . . .”  (</w:t>
      </w:r>
      <w:r w:rsidRPr="0083037E">
        <w:rPr>
          <w:i/>
          <w:iCs/>
          <w:szCs w:val="26"/>
          <w:shd w:val="clear" w:color="auto" w:fill="FFFFFF"/>
        </w:rPr>
        <w:t>Mero v. Sadoff</w:t>
      </w:r>
      <w:r w:rsidRPr="0083037E">
        <w:rPr>
          <w:szCs w:val="26"/>
          <w:shd w:val="clear" w:color="auto" w:fill="FFFFFF"/>
        </w:rPr>
        <w:t xml:space="preserve"> (1995) 31 Cal.App.4th 1466, 1472-1473.)  </w:t>
      </w:r>
      <w:r w:rsidRPr="003A19CA">
        <w:rPr>
          <w:szCs w:val="26"/>
          <w:shd w:val="clear" w:color="auto" w:fill="FFFFFF"/>
        </w:rPr>
        <w:t xml:space="preserve">Although the specific arguments the California Supreme Court </w:t>
      </w:r>
      <w:r>
        <w:rPr>
          <w:szCs w:val="26"/>
          <w:shd w:val="clear" w:color="auto" w:fill="FFFFFF"/>
        </w:rPr>
        <w:t xml:space="preserve">rejected </w:t>
      </w:r>
      <w:r w:rsidRPr="003A19CA">
        <w:rPr>
          <w:szCs w:val="26"/>
          <w:shd w:val="clear" w:color="auto" w:fill="FFFFFF"/>
        </w:rPr>
        <w:t xml:space="preserve">in </w:t>
      </w:r>
      <w:r w:rsidRPr="003A19CA">
        <w:rPr>
          <w:i/>
          <w:iCs/>
          <w:szCs w:val="26"/>
          <w:shd w:val="clear" w:color="auto" w:fill="FFFFFF"/>
        </w:rPr>
        <w:t xml:space="preserve">Stanistreet </w:t>
      </w:r>
      <w:r w:rsidRPr="003A19CA">
        <w:rPr>
          <w:szCs w:val="26"/>
          <w:shd w:val="clear" w:color="auto" w:fill="FFFFFF"/>
        </w:rPr>
        <w:t xml:space="preserve">are somewhat different </w:t>
      </w:r>
      <w:r>
        <w:rPr>
          <w:szCs w:val="26"/>
          <w:shd w:val="clear" w:color="auto" w:fill="FFFFFF"/>
        </w:rPr>
        <w:t>from</w:t>
      </w:r>
      <w:r w:rsidRPr="003A19CA">
        <w:rPr>
          <w:szCs w:val="26"/>
          <w:shd w:val="clear" w:color="auto" w:fill="FFFFFF"/>
        </w:rPr>
        <w:t xml:space="preserve"> </w:t>
      </w:r>
      <w:r>
        <w:rPr>
          <w:szCs w:val="26"/>
          <w:shd w:val="clear" w:color="auto" w:fill="FFFFFF"/>
        </w:rPr>
        <w:t xml:space="preserve">those </w:t>
      </w:r>
      <w:r w:rsidRPr="003A19CA">
        <w:rPr>
          <w:szCs w:val="26"/>
          <w:shd w:val="clear" w:color="auto" w:fill="FFFFFF"/>
        </w:rPr>
        <w:t>the City</w:t>
      </w:r>
      <w:r>
        <w:rPr>
          <w:szCs w:val="26"/>
          <w:shd w:val="clear" w:color="auto" w:fill="FFFFFF"/>
        </w:rPr>
        <w:t xml:space="preserve"> advances here</w:t>
      </w:r>
      <w:r w:rsidRPr="003A19CA">
        <w:rPr>
          <w:szCs w:val="26"/>
          <w:shd w:val="clear" w:color="auto" w:fill="FFFFFF"/>
        </w:rPr>
        <w:t xml:space="preserve">, the Supreme Court’s reasoning in </w:t>
      </w:r>
      <w:r w:rsidRPr="003A19CA">
        <w:rPr>
          <w:i/>
          <w:iCs/>
          <w:szCs w:val="26"/>
          <w:shd w:val="clear" w:color="auto" w:fill="FFFFFF"/>
        </w:rPr>
        <w:t xml:space="preserve">Stanistreet </w:t>
      </w:r>
      <w:r w:rsidRPr="003A19CA">
        <w:rPr>
          <w:szCs w:val="26"/>
          <w:shd w:val="clear" w:color="auto" w:fill="FFFFFF"/>
        </w:rPr>
        <w:t>applies.</w:t>
      </w:r>
      <w:r w:rsidRPr="0083037E">
        <w:rPr>
          <w:szCs w:val="26"/>
          <w:shd w:val="clear" w:color="auto" w:fill="FFFFFF"/>
        </w:rPr>
        <w:t xml:space="preserve">  That</w:t>
      </w:r>
      <w:r>
        <w:rPr>
          <w:szCs w:val="26"/>
          <w:shd w:val="clear" w:color="auto" w:fill="FFFFFF"/>
        </w:rPr>
        <w:t>’s enough to control our decision here</w:t>
      </w:r>
      <w:r w:rsidRPr="0083037E">
        <w:rPr>
          <w:szCs w:val="26"/>
          <w:shd w:val="clear" w:color="auto" w:fill="FFFFFF"/>
        </w:rPr>
        <w:t xml:space="preserve">.  (See </w:t>
      </w:r>
      <w:r w:rsidRPr="0083037E">
        <w:rPr>
          <w:i/>
          <w:iCs/>
          <w:szCs w:val="26"/>
          <w:shd w:val="clear" w:color="auto" w:fill="FFFFFF"/>
        </w:rPr>
        <w:t xml:space="preserve">Pogosyan v. Appellate Division of Superior Court </w:t>
      </w:r>
      <w:r w:rsidRPr="0083037E">
        <w:rPr>
          <w:szCs w:val="26"/>
          <w:shd w:val="clear" w:color="auto" w:fill="FFFFFF"/>
        </w:rPr>
        <w:t>(2018) 26 Cal.App.5th 1028, 1037 [“</w:t>
      </w:r>
      <w:r>
        <w:rPr>
          <w:szCs w:val="26"/>
          <w:shd w:val="clear" w:color="auto" w:fill="FFFFFF"/>
        </w:rPr>
        <w:t>w</w:t>
      </w:r>
      <w:r w:rsidRPr="0083037E">
        <w:rPr>
          <w:szCs w:val="26"/>
          <w:shd w:val="clear" w:color="auto" w:fill="FFFFFF"/>
        </w:rPr>
        <w:t xml:space="preserve">e must examine the questions actually presented” </w:t>
      </w:r>
      <w:r>
        <w:rPr>
          <w:szCs w:val="26"/>
          <w:shd w:val="clear" w:color="auto" w:fill="FFFFFF"/>
        </w:rPr>
        <w:t xml:space="preserve">to the Supreme Court </w:t>
      </w:r>
      <w:r w:rsidRPr="0083037E">
        <w:rPr>
          <w:szCs w:val="26"/>
          <w:shd w:val="clear" w:color="auto" w:fill="FFFFFF"/>
        </w:rPr>
        <w:t xml:space="preserve">and how the </w:t>
      </w:r>
      <w:r>
        <w:rPr>
          <w:szCs w:val="26"/>
          <w:shd w:val="clear" w:color="auto" w:fill="FFFFFF"/>
        </w:rPr>
        <w:t xml:space="preserve">Supreme </w:t>
      </w:r>
      <w:r w:rsidRPr="0083037E">
        <w:rPr>
          <w:szCs w:val="26"/>
          <w:shd w:val="clear" w:color="auto" w:fill="FFFFFF"/>
        </w:rPr>
        <w:t>Court’s “reasoning led to the statements at issue to determine the extent to which we must—or should—follow them”]</w:t>
      </w:r>
      <w:r>
        <w:rPr>
          <w:szCs w:val="26"/>
          <w:shd w:val="clear" w:color="auto" w:fill="FFFFFF"/>
        </w:rPr>
        <w:t>; see also</w:t>
      </w:r>
      <w:r w:rsidRPr="0083037E">
        <w:rPr>
          <w:szCs w:val="26"/>
          <w:shd w:val="clear" w:color="auto" w:fill="FFFFFF"/>
        </w:rPr>
        <w:t xml:space="preserve"> </w:t>
      </w:r>
      <w:r w:rsidRPr="0083037E">
        <w:rPr>
          <w:i/>
          <w:iCs/>
          <w:szCs w:val="26"/>
          <w:shd w:val="clear" w:color="auto" w:fill="FFFFFF"/>
        </w:rPr>
        <w:t>Masellis v. Law Office of Leslie F. Jensen</w:t>
      </w:r>
      <w:r w:rsidRPr="0083037E">
        <w:rPr>
          <w:szCs w:val="26"/>
          <w:shd w:val="clear" w:color="auto" w:fill="FFFFFF"/>
        </w:rPr>
        <w:t xml:space="preserve"> (2020) 50 Cal.App.5th 1077, 1093 [following </w:t>
      </w:r>
      <w:r>
        <w:rPr>
          <w:szCs w:val="26"/>
          <w:shd w:val="clear" w:color="auto" w:fill="FFFFFF"/>
        </w:rPr>
        <w:t xml:space="preserve">the </w:t>
      </w:r>
      <w:r w:rsidRPr="0083037E">
        <w:rPr>
          <w:szCs w:val="26"/>
          <w:shd w:val="clear" w:color="auto" w:fill="FFFFFF"/>
        </w:rPr>
        <w:t xml:space="preserve">“Supreme Court’s dicta” where </w:t>
      </w:r>
      <w:r>
        <w:rPr>
          <w:szCs w:val="26"/>
          <w:shd w:val="clear" w:color="auto" w:fill="FFFFFF"/>
        </w:rPr>
        <w:t xml:space="preserve">the appellant did </w:t>
      </w:r>
      <w:r w:rsidRPr="0083037E">
        <w:rPr>
          <w:szCs w:val="26"/>
          <w:shd w:val="clear" w:color="auto" w:fill="FFFFFF"/>
        </w:rPr>
        <w:t>not identif</w:t>
      </w:r>
      <w:r>
        <w:rPr>
          <w:szCs w:val="26"/>
          <w:shd w:val="clear" w:color="auto" w:fill="FFFFFF"/>
        </w:rPr>
        <w:t>y</w:t>
      </w:r>
      <w:r w:rsidRPr="0083037E">
        <w:rPr>
          <w:szCs w:val="26"/>
          <w:shd w:val="clear" w:color="auto" w:fill="FFFFFF"/>
        </w:rPr>
        <w:t xml:space="preserve"> </w:t>
      </w:r>
      <w:r>
        <w:rPr>
          <w:szCs w:val="26"/>
          <w:shd w:val="clear" w:color="auto" w:fill="FFFFFF"/>
        </w:rPr>
        <w:t>“</w:t>
      </w:r>
      <w:r w:rsidRPr="0083037E">
        <w:rPr>
          <w:szCs w:val="26"/>
          <w:shd w:val="clear" w:color="auto" w:fill="FFFFFF"/>
        </w:rPr>
        <w:t xml:space="preserve">a compelling reason for rejecting </w:t>
      </w:r>
      <w:r>
        <w:rPr>
          <w:szCs w:val="26"/>
          <w:shd w:val="clear" w:color="auto" w:fill="FFFFFF"/>
        </w:rPr>
        <w:t>[the]</w:t>
      </w:r>
      <w:r w:rsidRPr="0083037E">
        <w:rPr>
          <w:szCs w:val="26"/>
          <w:shd w:val="clear" w:color="auto" w:fill="FFFFFF"/>
        </w:rPr>
        <w:t xml:space="preserve"> Supreme Court’s statements”].)</w:t>
      </w:r>
      <w:r>
        <w:rPr>
          <w:rStyle w:val="FootnoteReference"/>
          <w:szCs w:val="26"/>
          <w:shd w:val="clear" w:color="auto" w:fill="FFFFFF"/>
        </w:rPr>
        <w:footnoteReference w:id="13"/>
      </w:r>
    </w:p>
    <w:p w14:paraId="5643DD2F" w14:textId="77777777" w:rsidR="006037CD" w:rsidRPr="008A6662" w:rsidRDefault="009D4782" w:rsidP="006E77C2">
      <w:pPr>
        <w:ind w:firstLine="720"/>
        <w:rPr>
          <w:i/>
          <w:iCs/>
        </w:rPr>
      </w:pPr>
      <w:r w:rsidRPr="0083037E">
        <w:rPr>
          <w:szCs w:val="26"/>
          <w:shd w:val="clear" w:color="auto" w:fill="FFFFFF"/>
        </w:rPr>
        <w:lastRenderedPageBreak/>
        <w:t>The City also argue</w:t>
      </w:r>
      <w:r>
        <w:rPr>
          <w:szCs w:val="26"/>
          <w:shd w:val="clear" w:color="auto" w:fill="FFFFFF"/>
        </w:rPr>
        <w:t>s</w:t>
      </w:r>
      <w:r w:rsidRPr="0083037E">
        <w:rPr>
          <w:szCs w:val="26"/>
          <w:shd w:val="clear" w:color="auto" w:fill="FFFFFF"/>
        </w:rPr>
        <w:t xml:space="preserve"> </w:t>
      </w:r>
      <w:r w:rsidRPr="0083037E">
        <w:rPr>
          <w:i/>
          <w:iCs/>
          <w:szCs w:val="26"/>
          <w:shd w:val="clear" w:color="auto" w:fill="FFFFFF"/>
        </w:rPr>
        <w:t xml:space="preserve">Stanistreet </w:t>
      </w:r>
      <w:r w:rsidRPr="0083037E">
        <w:rPr>
          <w:szCs w:val="26"/>
          <w:shd w:val="clear" w:color="auto" w:fill="FFFFFF"/>
        </w:rPr>
        <w:t xml:space="preserve">has “questionable legitimacy in the wake of” the United States Supreme Court’s decision in </w:t>
      </w:r>
      <w:r w:rsidRPr="0083037E">
        <w:rPr>
          <w:i/>
          <w:iCs/>
          <w:szCs w:val="26"/>
          <w:shd w:val="clear" w:color="auto" w:fill="FFFFFF"/>
        </w:rPr>
        <w:t>U.S. v. Alvarez</w:t>
      </w:r>
      <w:r w:rsidRPr="0083037E">
        <w:rPr>
          <w:szCs w:val="26"/>
          <w:shd w:val="clear" w:color="auto" w:fill="FFFFFF"/>
        </w:rPr>
        <w:t xml:space="preserve"> (2012) 567 U.S. 709</w:t>
      </w:r>
      <w:r>
        <w:rPr>
          <w:szCs w:val="26"/>
          <w:shd w:val="clear" w:color="auto" w:fill="FFFFFF"/>
        </w:rPr>
        <w:t xml:space="preserve"> [132 S.Ct. 2537, 183 L.Ed.2d 574]</w:t>
      </w:r>
      <w:r w:rsidRPr="0083037E">
        <w:rPr>
          <w:szCs w:val="26"/>
          <w:shd w:val="clear" w:color="auto" w:fill="FFFFFF"/>
        </w:rPr>
        <w:t xml:space="preserve">.  In </w:t>
      </w:r>
      <w:r w:rsidRPr="0083037E">
        <w:rPr>
          <w:i/>
          <w:iCs/>
          <w:szCs w:val="26"/>
          <w:shd w:val="clear" w:color="auto" w:fill="FFFFFF"/>
        </w:rPr>
        <w:t>Alvarez</w:t>
      </w:r>
      <w:r w:rsidRPr="0083037E">
        <w:rPr>
          <w:szCs w:val="26"/>
          <w:shd w:val="clear" w:color="auto" w:fill="FFFFFF"/>
        </w:rPr>
        <w:t xml:space="preserve"> six </w:t>
      </w:r>
      <w:r>
        <w:rPr>
          <w:szCs w:val="26"/>
          <w:shd w:val="clear" w:color="auto" w:fill="FFFFFF"/>
        </w:rPr>
        <w:t>j</w:t>
      </w:r>
      <w:r w:rsidRPr="0083037E">
        <w:rPr>
          <w:szCs w:val="26"/>
          <w:shd w:val="clear" w:color="auto" w:fill="FFFFFF"/>
        </w:rPr>
        <w:t xml:space="preserve">ustices of the United States Supreme Court </w:t>
      </w:r>
      <w:r>
        <w:rPr>
          <w:szCs w:val="26"/>
          <w:shd w:val="clear" w:color="auto" w:fill="FFFFFF"/>
        </w:rPr>
        <w:t>held</w:t>
      </w:r>
      <w:r w:rsidRPr="0083037E">
        <w:rPr>
          <w:szCs w:val="26"/>
          <w:shd w:val="clear" w:color="auto" w:fill="FFFFFF"/>
        </w:rPr>
        <w:t xml:space="preserve"> the Stolen Valor Act of 2005—which made it a crime for a person to falsely represent he or she was awarded the Congressional Medal of Honor—violated the First Amendment.  (See </w:t>
      </w:r>
      <w:r w:rsidRPr="006F16A7">
        <w:rPr>
          <w:i/>
          <w:iCs/>
          <w:szCs w:val="26"/>
          <w:shd w:val="clear" w:color="auto" w:fill="FFFFFF"/>
        </w:rPr>
        <w:t xml:space="preserve">id. </w:t>
      </w:r>
      <w:r w:rsidRPr="0083037E">
        <w:rPr>
          <w:szCs w:val="26"/>
          <w:shd w:val="clear" w:color="auto" w:fill="FFFFFF"/>
        </w:rPr>
        <w:t>at p. 715</w:t>
      </w:r>
      <w:r>
        <w:rPr>
          <w:szCs w:val="26"/>
          <w:shd w:val="clear" w:color="auto" w:fill="FFFFFF"/>
        </w:rPr>
        <w:t xml:space="preserve">; </w:t>
      </w:r>
      <w:r>
        <w:rPr>
          <w:i/>
          <w:iCs/>
          <w:szCs w:val="26"/>
          <w:shd w:val="clear" w:color="auto" w:fill="FFFFFF"/>
        </w:rPr>
        <w:t>id.</w:t>
      </w:r>
      <w:r>
        <w:rPr>
          <w:szCs w:val="26"/>
          <w:shd w:val="clear" w:color="auto" w:fill="FFFFFF"/>
        </w:rPr>
        <w:t xml:space="preserve"> at p. </w:t>
      </w:r>
      <w:r w:rsidRPr="0083037E">
        <w:rPr>
          <w:szCs w:val="26"/>
          <w:shd w:val="clear" w:color="auto" w:fill="FFFFFF"/>
        </w:rPr>
        <w:t>730 (conc. opn. of Breyer</w:t>
      </w:r>
      <w:r>
        <w:rPr>
          <w:szCs w:val="26"/>
          <w:shd w:val="clear" w:color="auto" w:fill="FFFFFF"/>
        </w:rPr>
        <w:t>, </w:t>
      </w:r>
      <w:r w:rsidRPr="0083037E">
        <w:rPr>
          <w:szCs w:val="26"/>
          <w:shd w:val="clear" w:color="auto" w:fill="FFFFFF"/>
        </w:rPr>
        <w:t xml:space="preserve">J.).)  </w:t>
      </w:r>
      <w:r>
        <w:rPr>
          <w:szCs w:val="26"/>
          <w:shd w:val="clear" w:color="auto" w:fill="FFFFFF"/>
        </w:rPr>
        <w:t xml:space="preserve">A </w:t>
      </w:r>
      <w:r w:rsidRPr="0083037E">
        <w:rPr>
          <w:szCs w:val="26"/>
          <w:shd w:val="clear" w:color="auto" w:fill="FFFFFF"/>
        </w:rPr>
        <w:t>plurality</w:t>
      </w:r>
      <w:r>
        <w:rPr>
          <w:szCs w:val="26"/>
          <w:shd w:val="clear" w:color="auto" w:fill="FFFFFF"/>
        </w:rPr>
        <w:t xml:space="preserve"> of the United States Supreme Court</w:t>
      </w:r>
      <w:r w:rsidRPr="0083037E">
        <w:rPr>
          <w:szCs w:val="26"/>
          <w:shd w:val="clear" w:color="auto" w:fill="FFFFFF"/>
        </w:rPr>
        <w:t xml:space="preserve"> stated there is no “general exception to the First Amendment for false statements.”  (</w:t>
      </w:r>
      <w:r w:rsidRPr="0083037E">
        <w:rPr>
          <w:i/>
          <w:iCs/>
          <w:szCs w:val="26"/>
          <w:shd w:val="clear" w:color="auto" w:fill="FFFFFF"/>
        </w:rPr>
        <w:t xml:space="preserve">Id. </w:t>
      </w:r>
      <w:r w:rsidRPr="0083037E">
        <w:rPr>
          <w:szCs w:val="26"/>
          <w:shd w:val="clear" w:color="auto" w:fill="FFFFFF"/>
        </w:rPr>
        <w:t xml:space="preserve">at p. 718.)  In </w:t>
      </w:r>
      <w:r w:rsidRPr="0083037E">
        <w:rPr>
          <w:i/>
          <w:iCs/>
          <w:szCs w:val="26"/>
          <w:shd w:val="clear" w:color="auto" w:fill="FFFFFF"/>
        </w:rPr>
        <w:t>Stanistreet</w:t>
      </w:r>
      <w:r>
        <w:rPr>
          <w:szCs w:val="26"/>
          <w:shd w:val="clear" w:color="auto" w:fill="FFFFFF"/>
        </w:rPr>
        <w:t xml:space="preserve"> </w:t>
      </w:r>
      <w:r w:rsidRPr="0083037E">
        <w:rPr>
          <w:szCs w:val="26"/>
          <w:shd w:val="clear" w:color="auto" w:fill="FFFFFF"/>
        </w:rPr>
        <w:t xml:space="preserve">the California Supreme Court stated </w:t>
      </w:r>
      <w:r>
        <w:rPr>
          <w:szCs w:val="26"/>
          <w:shd w:val="clear" w:color="auto" w:fill="FFFFFF"/>
        </w:rPr>
        <w:t xml:space="preserve">that </w:t>
      </w:r>
      <w:r w:rsidRPr="0083037E">
        <w:rPr>
          <w:szCs w:val="26"/>
          <w:shd w:val="clear" w:color="auto" w:fill="FFFFFF"/>
        </w:rPr>
        <w:t>“knowingly false statements of fact are constitutionally unprotected.”  (</w:t>
      </w:r>
      <w:r>
        <w:rPr>
          <w:i/>
          <w:iCs/>
        </w:rPr>
        <w:t>Stanistreet</w:t>
      </w:r>
      <w:r>
        <w:t xml:space="preserve">, </w:t>
      </w:r>
      <w:r>
        <w:rPr>
          <w:i/>
          <w:iCs/>
        </w:rPr>
        <w:t>supra</w:t>
      </w:r>
      <w:r>
        <w:t>, 29 Cal.4th</w:t>
      </w:r>
      <w:r>
        <w:rPr>
          <w:i/>
          <w:iCs/>
        </w:rPr>
        <w:t xml:space="preserve"> </w:t>
      </w:r>
      <w:r w:rsidRPr="0083037E">
        <w:rPr>
          <w:szCs w:val="26"/>
          <w:shd w:val="clear" w:color="auto" w:fill="FFFFFF"/>
        </w:rPr>
        <w:t xml:space="preserve">at pp. 505-506.)  Seizing on the </w:t>
      </w:r>
      <w:r>
        <w:rPr>
          <w:szCs w:val="26"/>
          <w:shd w:val="clear" w:color="auto" w:fill="FFFFFF"/>
        </w:rPr>
        <w:t>difference in High Court</w:t>
      </w:r>
      <w:r w:rsidRPr="0083037E">
        <w:rPr>
          <w:szCs w:val="26"/>
          <w:shd w:val="clear" w:color="auto" w:fill="FFFFFF"/>
        </w:rPr>
        <w:t xml:space="preserve"> language, the City argue</w:t>
      </w:r>
      <w:r>
        <w:rPr>
          <w:szCs w:val="26"/>
          <w:shd w:val="clear" w:color="auto" w:fill="FFFFFF"/>
        </w:rPr>
        <w:t>s</w:t>
      </w:r>
      <w:r w:rsidRPr="0083037E">
        <w:rPr>
          <w:szCs w:val="26"/>
          <w:shd w:val="clear" w:color="auto" w:fill="FFFFFF"/>
        </w:rPr>
        <w:t xml:space="preserve"> </w:t>
      </w:r>
      <w:r w:rsidRPr="0083037E">
        <w:rPr>
          <w:i/>
          <w:iCs/>
          <w:szCs w:val="26"/>
          <w:shd w:val="clear" w:color="auto" w:fill="FFFFFF"/>
        </w:rPr>
        <w:t xml:space="preserve">Alvarez </w:t>
      </w:r>
      <w:r w:rsidRPr="0083037E">
        <w:rPr>
          <w:szCs w:val="26"/>
          <w:shd w:val="clear" w:color="auto" w:fill="FFFFFF"/>
        </w:rPr>
        <w:t>overruled</w:t>
      </w:r>
      <w:r w:rsidRPr="0083037E">
        <w:rPr>
          <w:i/>
          <w:iCs/>
          <w:szCs w:val="26"/>
          <w:shd w:val="clear" w:color="auto" w:fill="FFFFFF"/>
        </w:rPr>
        <w:t xml:space="preserve"> </w:t>
      </w:r>
      <w:r w:rsidRPr="0083037E">
        <w:rPr>
          <w:szCs w:val="26"/>
          <w:shd w:val="clear" w:color="auto" w:fill="FFFFFF"/>
        </w:rPr>
        <w:t xml:space="preserve">the “legal pillar upon which the </w:t>
      </w:r>
      <w:r w:rsidRPr="0083037E">
        <w:rPr>
          <w:i/>
          <w:iCs/>
          <w:szCs w:val="26"/>
          <w:shd w:val="clear" w:color="auto" w:fill="FFFFFF"/>
        </w:rPr>
        <w:t>Stanistreet</w:t>
      </w:r>
      <w:r w:rsidRPr="0083037E">
        <w:rPr>
          <w:szCs w:val="26"/>
          <w:shd w:val="clear" w:color="auto" w:fill="FFFFFF"/>
        </w:rPr>
        <w:t xml:space="preserve"> holding rested.” </w:t>
      </w:r>
      <w:r>
        <w:rPr>
          <w:szCs w:val="26"/>
          <w:shd w:val="clear" w:color="auto" w:fill="FFFFFF"/>
        </w:rPr>
        <w:t xml:space="preserve"> </w:t>
      </w:r>
      <w:r w:rsidRPr="008A6662">
        <w:rPr>
          <w:szCs w:val="26"/>
          <w:shd w:val="clear" w:color="auto" w:fill="FFFFFF"/>
        </w:rPr>
        <w:t>The City</w:t>
      </w:r>
      <w:r>
        <w:rPr>
          <w:szCs w:val="26"/>
          <w:shd w:val="clear" w:color="auto" w:fill="FFFFFF"/>
        </w:rPr>
        <w:t>, however,</w:t>
      </w:r>
      <w:r w:rsidRPr="008A6662">
        <w:rPr>
          <w:szCs w:val="26"/>
          <w:shd w:val="clear" w:color="auto" w:fill="FFFFFF"/>
        </w:rPr>
        <w:t xml:space="preserve"> read</w:t>
      </w:r>
      <w:r>
        <w:rPr>
          <w:szCs w:val="26"/>
          <w:shd w:val="clear" w:color="auto" w:fill="FFFFFF"/>
        </w:rPr>
        <w:t>s</w:t>
      </w:r>
      <w:r w:rsidRPr="008A6662">
        <w:rPr>
          <w:szCs w:val="26"/>
          <w:shd w:val="clear" w:color="auto" w:fill="FFFFFF"/>
        </w:rPr>
        <w:t xml:space="preserve"> far too much into the </w:t>
      </w:r>
      <w:r>
        <w:rPr>
          <w:szCs w:val="26"/>
          <w:shd w:val="clear" w:color="auto" w:fill="FFFFFF"/>
        </w:rPr>
        <w:t xml:space="preserve">California Supreme Court’s statement in </w:t>
      </w:r>
      <w:r w:rsidRPr="008A6662">
        <w:rPr>
          <w:i/>
          <w:iCs/>
          <w:szCs w:val="26"/>
          <w:shd w:val="clear" w:color="auto" w:fill="FFFFFF"/>
        </w:rPr>
        <w:t>Stanistreet</w:t>
      </w:r>
      <w:r w:rsidRPr="008A6662">
        <w:rPr>
          <w:szCs w:val="26"/>
          <w:shd w:val="clear" w:color="auto" w:fill="FFFFFF"/>
        </w:rPr>
        <w:t xml:space="preserve">.  </w:t>
      </w:r>
      <w:r>
        <w:rPr>
          <w:szCs w:val="26"/>
          <w:shd w:val="clear" w:color="auto" w:fill="FFFFFF"/>
        </w:rPr>
        <w:t>Despite stating that false speech was “unprotected,” t</w:t>
      </w:r>
      <w:r w:rsidRPr="008A6662">
        <w:rPr>
          <w:szCs w:val="26"/>
          <w:shd w:val="clear" w:color="auto" w:fill="FFFFFF"/>
        </w:rPr>
        <w:t xml:space="preserve">he </w:t>
      </w:r>
      <w:r>
        <w:rPr>
          <w:szCs w:val="26"/>
          <w:shd w:val="clear" w:color="auto" w:fill="FFFFFF"/>
        </w:rPr>
        <w:t xml:space="preserve">California Supreme </w:t>
      </w:r>
      <w:r w:rsidRPr="008A6662">
        <w:rPr>
          <w:szCs w:val="26"/>
          <w:shd w:val="clear" w:color="auto" w:fill="FFFFFF"/>
        </w:rPr>
        <w:t xml:space="preserve">Court </w:t>
      </w:r>
      <w:r>
        <w:rPr>
          <w:szCs w:val="26"/>
          <w:shd w:val="clear" w:color="auto" w:fill="FFFFFF"/>
        </w:rPr>
        <w:t>recognized</w:t>
      </w:r>
      <w:r w:rsidRPr="008A6662">
        <w:rPr>
          <w:szCs w:val="26"/>
          <w:shd w:val="clear" w:color="auto" w:fill="FFFFFF"/>
        </w:rPr>
        <w:t xml:space="preserve"> that “constitutional protection is not withheld from all such” false statements even assuming they, “by themselves, have no constitutional value.”  (</w:t>
      </w:r>
      <w:r w:rsidRPr="008A6662">
        <w:rPr>
          <w:i/>
          <w:iCs/>
          <w:szCs w:val="26"/>
          <w:shd w:val="clear" w:color="auto" w:fill="FFFFFF"/>
        </w:rPr>
        <w:t xml:space="preserve">Id. </w:t>
      </w:r>
      <w:r w:rsidRPr="008A6662">
        <w:rPr>
          <w:szCs w:val="26"/>
          <w:shd w:val="clear" w:color="auto" w:fill="FFFFFF"/>
        </w:rPr>
        <w:t xml:space="preserve">at p. 637.)  </w:t>
      </w:r>
      <w:r>
        <w:rPr>
          <w:szCs w:val="26"/>
          <w:shd w:val="clear" w:color="auto" w:fill="FFFFFF"/>
        </w:rPr>
        <w:t>M</w:t>
      </w:r>
      <w:r w:rsidRPr="008A6662">
        <w:rPr>
          <w:szCs w:val="26"/>
          <w:shd w:val="clear" w:color="auto" w:fill="FFFFFF"/>
        </w:rPr>
        <w:t xml:space="preserve">ore importantly, the </w:t>
      </w:r>
      <w:r>
        <w:rPr>
          <w:szCs w:val="26"/>
          <w:shd w:val="clear" w:color="auto" w:fill="FFFFFF"/>
        </w:rPr>
        <w:t xml:space="preserve">California Supreme </w:t>
      </w:r>
      <w:r w:rsidRPr="008A6662">
        <w:rPr>
          <w:szCs w:val="26"/>
          <w:shd w:val="clear" w:color="auto" w:fill="FFFFFF"/>
        </w:rPr>
        <w:t xml:space="preserve">Court </w:t>
      </w:r>
      <w:r w:rsidRPr="008A6662">
        <w:rPr>
          <w:szCs w:val="26"/>
          <w:shd w:val="clear" w:color="auto" w:fill="FFFFFF"/>
        </w:rPr>
        <w:lastRenderedPageBreak/>
        <w:t>assumed a content</w:t>
      </w:r>
      <w:r>
        <w:rPr>
          <w:szCs w:val="26"/>
          <w:shd w:val="clear" w:color="auto" w:fill="FFFFFF"/>
        </w:rPr>
        <w:t>-</w:t>
      </w:r>
      <w:r w:rsidRPr="008A6662">
        <w:rPr>
          <w:szCs w:val="26"/>
          <w:shd w:val="clear" w:color="auto" w:fill="FFFFFF"/>
        </w:rPr>
        <w:t xml:space="preserve">based restriction on even unprotected speech would violate the First Amendment unless one of the exceptions </w:t>
      </w:r>
      <w:r>
        <w:rPr>
          <w:szCs w:val="26"/>
          <w:shd w:val="clear" w:color="auto" w:fill="FFFFFF"/>
        </w:rPr>
        <w:t xml:space="preserve">the United States Supreme Court </w:t>
      </w:r>
      <w:r w:rsidRPr="008A6662">
        <w:rPr>
          <w:szCs w:val="26"/>
          <w:shd w:val="clear" w:color="auto" w:fill="FFFFFF"/>
        </w:rPr>
        <w:t xml:space="preserve">enumerated in </w:t>
      </w:r>
      <w:r w:rsidRPr="008A6662">
        <w:rPr>
          <w:i/>
          <w:iCs/>
          <w:szCs w:val="26"/>
          <w:shd w:val="clear" w:color="auto" w:fill="FFFFFF"/>
        </w:rPr>
        <w:t xml:space="preserve">R.A.V. </w:t>
      </w:r>
      <w:r w:rsidRPr="008A6662">
        <w:rPr>
          <w:szCs w:val="26"/>
          <w:shd w:val="clear" w:color="auto" w:fill="FFFFFF"/>
        </w:rPr>
        <w:t xml:space="preserve">applied. </w:t>
      </w:r>
      <w:r w:rsidRPr="008A6662">
        <w:rPr>
          <w:i/>
          <w:iCs/>
          <w:szCs w:val="26"/>
          <w:shd w:val="clear" w:color="auto" w:fill="FFFFFF"/>
        </w:rPr>
        <w:t xml:space="preserve"> </w:t>
      </w:r>
      <w:r w:rsidRPr="008A6662">
        <w:rPr>
          <w:szCs w:val="26"/>
          <w:shd w:val="clear" w:color="auto" w:fill="FFFFFF"/>
        </w:rPr>
        <w:t xml:space="preserve">(See </w:t>
      </w:r>
      <w:r w:rsidRPr="008A6662">
        <w:rPr>
          <w:i/>
          <w:iCs/>
          <w:szCs w:val="26"/>
          <w:shd w:val="clear" w:color="auto" w:fill="FFFFFF"/>
        </w:rPr>
        <w:t xml:space="preserve">id. </w:t>
      </w:r>
      <w:r w:rsidRPr="008A6662">
        <w:rPr>
          <w:szCs w:val="26"/>
          <w:shd w:val="clear" w:color="auto" w:fill="FFFFFF"/>
        </w:rPr>
        <w:t>at p.</w:t>
      </w:r>
      <w:r>
        <w:rPr>
          <w:szCs w:val="26"/>
          <w:shd w:val="clear" w:color="auto" w:fill="FFFFFF"/>
        </w:rPr>
        <w:t> </w:t>
      </w:r>
      <w:r w:rsidRPr="008A6662">
        <w:rPr>
          <w:szCs w:val="26"/>
          <w:shd w:val="clear" w:color="auto" w:fill="FFFFFF"/>
        </w:rPr>
        <w:t>638.)</w:t>
      </w:r>
      <w:r>
        <w:rPr>
          <w:rStyle w:val="FootnoteReference"/>
          <w:szCs w:val="26"/>
          <w:shd w:val="clear" w:color="auto" w:fill="FFFFFF"/>
        </w:rPr>
        <w:footnoteReference w:id="14"/>
      </w:r>
      <w:r w:rsidRPr="008A6662">
        <w:rPr>
          <w:szCs w:val="26"/>
          <w:shd w:val="clear" w:color="auto" w:fill="FFFFFF"/>
        </w:rPr>
        <w:t xml:space="preserve">  </w:t>
      </w:r>
    </w:p>
    <w:p w14:paraId="04894A9D" w14:textId="77777777" w:rsidR="009D1BF5" w:rsidRDefault="009D4782" w:rsidP="009D1BF5">
      <w:r w:rsidRPr="008A6662">
        <w:rPr>
          <w:szCs w:val="26"/>
          <w:shd w:val="clear" w:color="auto" w:fill="FFFFFF"/>
        </w:rPr>
        <w:tab/>
      </w:r>
      <w:r>
        <w:rPr>
          <w:szCs w:val="26"/>
          <w:shd w:val="clear" w:color="auto" w:fill="FFFFFF"/>
        </w:rPr>
        <w:t>Finally, t</w:t>
      </w:r>
      <w:r w:rsidRPr="008A6662">
        <w:rPr>
          <w:szCs w:val="26"/>
          <w:shd w:val="clear" w:color="auto" w:fill="FFFFFF"/>
        </w:rPr>
        <w:t>he City</w:t>
      </w:r>
      <w:r>
        <w:rPr>
          <w:szCs w:val="26"/>
          <w:shd w:val="clear" w:color="auto" w:fill="FFFFFF"/>
        </w:rPr>
        <w:t xml:space="preserve"> </w:t>
      </w:r>
      <w:r w:rsidRPr="008A6662">
        <w:rPr>
          <w:szCs w:val="26"/>
          <w:shd w:val="clear" w:color="auto" w:fill="FFFFFF"/>
        </w:rPr>
        <w:t>contend</w:t>
      </w:r>
      <w:r>
        <w:rPr>
          <w:szCs w:val="26"/>
          <w:shd w:val="clear" w:color="auto" w:fill="FFFFFF"/>
        </w:rPr>
        <w:t>s</w:t>
      </w:r>
      <w:r w:rsidRPr="008A6662">
        <w:rPr>
          <w:szCs w:val="26"/>
          <w:shd w:val="clear" w:color="auto" w:fill="FFFFFF"/>
        </w:rPr>
        <w:t xml:space="preserve"> that, because the</w:t>
      </w:r>
      <w:r>
        <w:rPr>
          <w:szCs w:val="26"/>
          <w:shd w:val="clear" w:color="auto" w:fill="FFFFFF"/>
        </w:rPr>
        <w:t xml:space="preserve"> Ninth Circuit in</w:t>
      </w:r>
      <w:r w:rsidRPr="008A6662">
        <w:rPr>
          <w:szCs w:val="26"/>
          <w:shd w:val="clear" w:color="auto" w:fill="FFFFFF"/>
        </w:rPr>
        <w:t xml:space="preserve"> </w:t>
      </w:r>
      <w:r w:rsidRPr="008A6662">
        <w:rPr>
          <w:i/>
          <w:iCs/>
          <w:szCs w:val="26"/>
          <w:shd w:val="clear" w:color="auto" w:fill="FFFFFF"/>
        </w:rPr>
        <w:t xml:space="preserve">Chaker </w:t>
      </w:r>
      <w:r w:rsidRPr="008A6662">
        <w:rPr>
          <w:szCs w:val="26"/>
          <w:shd w:val="clear" w:color="auto" w:fill="FFFFFF"/>
        </w:rPr>
        <w:t xml:space="preserve">and </w:t>
      </w:r>
      <w:r>
        <w:rPr>
          <w:szCs w:val="26"/>
          <w:shd w:val="clear" w:color="auto" w:fill="FFFFFF"/>
        </w:rPr>
        <w:t>at least one d</w:t>
      </w:r>
      <w:r w:rsidRPr="008A6662">
        <w:rPr>
          <w:szCs w:val="26"/>
          <w:shd w:val="clear" w:color="auto" w:fill="FFFFFF"/>
        </w:rPr>
        <w:t xml:space="preserve">istrict </w:t>
      </w:r>
      <w:r>
        <w:rPr>
          <w:szCs w:val="26"/>
          <w:shd w:val="clear" w:color="auto" w:fill="FFFFFF"/>
        </w:rPr>
        <w:t>c</w:t>
      </w:r>
      <w:r w:rsidRPr="008A6662">
        <w:rPr>
          <w:szCs w:val="26"/>
          <w:shd w:val="clear" w:color="auto" w:fill="FFFFFF"/>
        </w:rPr>
        <w:t>ourt ha</w:t>
      </w:r>
      <w:r>
        <w:rPr>
          <w:szCs w:val="26"/>
          <w:shd w:val="clear" w:color="auto" w:fill="FFFFFF"/>
        </w:rPr>
        <w:t>ve</w:t>
      </w:r>
      <w:r w:rsidRPr="008A6662">
        <w:rPr>
          <w:szCs w:val="26"/>
          <w:shd w:val="clear" w:color="auto" w:fill="FFFFFF"/>
        </w:rPr>
        <w:t xml:space="preserve"> held section 148.6 violates the First Amendment,</w:t>
      </w:r>
      <w:r>
        <w:rPr>
          <w:rStyle w:val="FootnoteReference"/>
          <w:szCs w:val="26"/>
          <w:shd w:val="clear" w:color="auto" w:fill="FFFFFF"/>
        </w:rPr>
        <w:footnoteReference w:id="15"/>
      </w:r>
      <w:r w:rsidRPr="008A6662">
        <w:rPr>
          <w:szCs w:val="26"/>
          <w:shd w:val="clear" w:color="auto" w:fill="FFFFFF"/>
        </w:rPr>
        <w:t xml:space="preserve"> the City</w:t>
      </w:r>
      <w:r>
        <w:rPr>
          <w:szCs w:val="26"/>
          <w:shd w:val="clear" w:color="auto" w:fill="FFFFFF"/>
        </w:rPr>
        <w:t xml:space="preserve"> </w:t>
      </w:r>
      <w:r w:rsidRPr="008A6662">
        <w:rPr>
          <w:szCs w:val="26"/>
          <w:shd w:val="clear" w:color="auto" w:fill="FFFFFF"/>
        </w:rPr>
        <w:t>“face</w:t>
      </w:r>
      <w:r>
        <w:rPr>
          <w:szCs w:val="26"/>
          <w:shd w:val="clear" w:color="auto" w:fill="FFFFFF"/>
        </w:rPr>
        <w:t>s</w:t>
      </w:r>
      <w:r w:rsidRPr="008A6662">
        <w:rPr>
          <w:szCs w:val="26"/>
          <w:shd w:val="clear" w:color="auto" w:fill="FFFFFF"/>
        </w:rPr>
        <w:t xml:space="preserve"> real consequences if it enforces section 148.6 by including the admonition.”  That </w:t>
      </w:r>
      <w:r>
        <w:rPr>
          <w:szCs w:val="26"/>
          <w:shd w:val="clear" w:color="auto" w:fill="FFFFFF"/>
        </w:rPr>
        <w:t xml:space="preserve">may be—the City does seem caught between the Scylla of </w:t>
      </w:r>
      <w:r w:rsidRPr="002F761D">
        <w:rPr>
          <w:i/>
          <w:iCs/>
          <w:szCs w:val="26"/>
          <w:shd w:val="clear" w:color="auto" w:fill="FFFFFF"/>
        </w:rPr>
        <w:t>Chaker</w:t>
      </w:r>
      <w:r>
        <w:rPr>
          <w:szCs w:val="26"/>
          <w:shd w:val="clear" w:color="auto" w:fill="FFFFFF"/>
        </w:rPr>
        <w:t xml:space="preserve"> and the Charybdis of </w:t>
      </w:r>
      <w:r w:rsidRPr="002F761D">
        <w:rPr>
          <w:i/>
          <w:iCs/>
          <w:szCs w:val="26"/>
          <w:shd w:val="clear" w:color="auto" w:fill="FFFFFF"/>
        </w:rPr>
        <w:t>Stanistreet</w:t>
      </w:r>
      <w:r>
        <w:rPr>
          <w:szCs w:val="26"/>
          <w:shd w:val="clear" w:color="auto" w:fill="FFFFFF"/>
        </w:rPr>
        <w:t xml:space="preserve">.  </w:t>
      </w:r>
      <w:r w:rsidRPr="008A6662">
        <w:rPr>
          <w:szCs w:val="26"/>
          <w:shd w:val="clear" w:color="auto" w:fill="FFFFFF"/>
        </w:rPr>
        <w:t>But a</w:t>
      </w:r>
      <w:r>
        <w:rPr>
          <w:szCs w:val="26"/>
          <w:shd w:val="clear" w:color="auto" w:fill="FFFFFF"/>
        </w:rPr>
        <w:t>s a California</w:t>
      </w:r>
      <w:r w:rsidRPr="008A6662">
        <w:rPr>
          <w:szCs w:val="26"/>
          <w:shd w:val="clear" w:color="auto" w:fill="FFFFFF"/>
        </w:rPr>
        <w:t xml:space="preserve"> intermediate appellate court, </w:t>
      </w:r>
      <w:r>
        <w:rPr>
          <w:szCs w:val="26"/>
          <w:shd w:val="clear" w:color="auto" w:fill="FFFFFF"/>
        </w:rPr>
        <w:t xml:space="preserve">we must, when considering federal questions, </w:t>
      </w:r>
      <w:r>
        <w:t>“‘</w:t>
      </w:r>
      <w:r w:rsidRPr="008A6662">
        <w:t>follow the decisions of the California Supreme Court, unless the United States Supreme Court has decided the same question differently.’”  (</w:t>
      </w:r>
      <w:r w:rsidRPr="008A6662">
        <w:rPr>
          <w:i/>
          <w:iCs/>
        </w:rPr>
        <w:t>Winns v. Postmates Inc.</w:t>
      </w:r>
      <w:r w:rsidRPr="008A6662">
        <w:t xml:space="preserve"> (2021)</w:t>
      </w:r>
      <w:r w:rsidRPr="008A6662">
        <w:rPr>
          <w:i/>
          <w:iCs/>
        </w:rPr>
        <w:t xml:space="preserve"> </w:t>
      </w:r>
      <w:r w:rsidRPr="008A6662">
        <w:lastRenderedPageBreak/>
        <w:t>66</w:t>
      </w:r>
      <w:r>
        <w:t> </w:t>
      </w:r>
      <w:r w:rsidRPr="008A6662">
        <w:t xml:space="preserve">Cal.App.5th 803, 811; </w:t>
      </w:r>
      <w:r>
        <w:t>see</w:t>
      </w:r>
      <w:r w:rsidRPr="008A6662">
        <w:t xml:space="preserve"> </w:t>
      </w:r>
      <w:r w:rsidRPr="008A6662">
        <w:rPr>
          <w:i/>
          <w:iCs/>
        </w:rPr>
        <w:t>Correia v. NB Baker Electric,</w:t>
      </w:r>
      <w:r>
        <w:rPr>
          <w:i/>
          <w:iCs/>
        </w:rPr>
        <w:t xml:space="preserve"> Inc.</w:t>
      </w:r>
      <w:r w:rsidRPr="008A6662">
        <w:rPr>
          <w:i/>
          <w:iCs/>
        </w:rPr>
        <w:t xml:space="preserve"> </w:t>
      </w:r>
      <w:r w:rsidRPr="008A6662">
        <w:t>(2019) 32 Cal.App.5th 602, 619</w:t>
      </w:r>
      <w:r>
        <w:t>.</w:t>
      </w:r>
      <w:r w:rsidRPr="008A6662">
        <w:t>)  U</w:t>
      </w:r>
      <w:r>
        <w:t>nless and u</w:t>
      </w:r>
      <w:r w:rsidRPr="008A6662">
        <w:t>ntil the California Supreme Court reconsider</w:t>
      </w:r>
      <w:r>
        <w:t>s</w:t>
      </w:r>
      <w:r w:rsidRPr="008A6662">
        <w:t xml:space="preserve"> its decision in </w:t>
      </w:r>
      <w:r w:rsidRPr="008A6662">
        <w:rPr>
          <w:i/>
          <w:iCs/>
        </w:rPr>
        <w:t>Stanistreet</w:t>
      </w:r>
      <w:r w:rsidRPr="008A6662">
        <w:t xml:space="preserve"> (or the</w:t>
      </w:r>
      <w:r w:rsidRPr="008A6662">
        <w:rPr>
          <w:i/>
          <w:iCs/>
        </w:rPr>
        <w:t xml:space="preserve"> </w:t>
      </w:r>
      <w:r w:rsidRPr="008A6662">
        <w:t>United States Supreme Court consider</w:t>
      </w:r>
      <w:r>
        <w:t>s</w:t>
      </w:r>
      <w:r w:rsidRPr="008A6662">
        <w:t xml:space="preserve"> the constitutionality of section 148.6 or an analogous statute), we may not decide section 148.6 constitutes an impermissible </w:t>
      </w:r>
      <w:r>
        <w:t xml:space="preserve">restriction on </w:t>
      </w:r>
      <w:r w:rsidRPr="008A6662">
        <w:t>content</w:t>
      </w:r>
      <w:r>
        <w:t>-</w:t>
      </w:r>
      <w:r w:rsidRPr="008A6662">
        <w:t>based or viewpoint</w:t>
      </w:r>
      <w:r>
        <w:t>-based speech</w:t>
      </w:r>
      <w:r w:rsidRPr="008A6662">
        <w:t xml:space="preserve">.  </w:t>
      </w:r>
    </w:p>
    <w:p w14:paraId="22002A26" w14:textId="77777777" w:rsidR="005E0E76" w:rsidRPr="008A6662" w:rsidRDefault="009D4782" w:rsidP="009D1BF5">
      <w:pPr>
        <w:rPr>
          <w:szCs w:val="26"/>
          <w:shd w:val="clear" w:color="auto" w:fill="FFFFFF"/>
        </w:rPr>
      </w:pPr>
      <w:r>
        <w:tab/>
        <w:t>Which leaves the City in a practical quandary:  The City must either disobey a state court injunction or enforce a statute federal courts have held is unconstitutional and cannot be enforced.  The City currently has a temporary reprieve from this dilemma because the trial court stayed the injunction until this court issues its remittitur, which will not occur until the Supreme Court rules on a petition for review, if one is filed (or after the time to file such a petition expires).  In the absence of intervention by the California Supreme Court (or the United States Supreme Court), the stay will expire, and the injunction will take effect.</w:t>
      </w:r>
    </w:p>
    <w:p w14:paraId="7B5DC7B9" w14:textId="77777777" w:rsidR="00DD084A" w:rsidRDefault="009D4782" w:rsidP="00C24826">
      <w:pPr>
        <w:ind w:firstLine="720"/>
        <w:rPr>
          <w:color w:val="3D3D3D"/>
          <w:szCs w:val="26"/>
          <w:shd w:val="clear" w:color="auto" w:fill="FFFFFF"/>
        </w:rPr>
      </w:pPr>
      <w:r>
        <w:rPr>
          <w:color w:val="3D3D3D"/>
          <w:szCs w:val="26"/>
          <w:shd w:val="clear" w:color="auto" w:fill="FFFFFF"/>
        </w:rPr>
        <w:t xml:space="preserve">  </w:t>
      </w:r>
    </w:p>
    <w:p w14:paraId="57C3EED4" w14:textId="77777777" w:rsidR="00817D3A" w:rsidRPr="005D5901" w:rsidRDefault="009D4782" w:rsidP="005403B8">
      <w:pPr>
        <w:ind w:left="1440" w:hanging="720"/>
        <w:rPr>
          <w:i/>
        </w:rPr>
      </w:pPr>
      <w:r w:rsidRPr="005D5901">
        <w:t>C.</w:t>
      </w:r>
      <w:r w:rsidRPr="005D5901">
        <w:tab/>
      </w:r>
      <w:r w:rsidRPr="00CE323D">
        <w:rPr>
          <w:i/>
          <w:iCs/>
        </w:rPr>
        <w:t>The</w:t>
      </w:r>
      <w:r>
        <w:t xml:space="preserve"> </w:t>
      </w:r>
      <w:r w:rsidRPr="005D5901">
        <w:rPr>
          <w:i/>
        </w:rPr>
        <w:t xml:space="preserve">Advisory and Signature Requirements </w:t>
      </w:r>
      <w:r>
        <w:rPr>
          <w:i/>
        </w:rPr>
        <w:t xml:space="preserve">of </w:t>
      </w:r>
      <w:r w:rsidRPr="005D5901">
        <w:rPr>
          <w:i/>
        </w:rPr>
        <w:t>Section 148.6 Do Not Chill Protected Speech</w:t>
      </w:r>
    </w:p>
    <w:p w14:paraId="12AE2724" w14:textId="77777777" w:rsidR="00190010" w:rsidRPr="007449AA" w:rsidRDefault="009D4782" w:rsidP="00DC6C1F">
      <w:pPr>
        <w:rPr>
          <w:szCs w:val="26"/>
          <w:shd w:val="clear" w:color="auto" w:fill="FFFFFF"/>
        </w:rPr>
      </w:pPr>
      <w:r w:rsidRPr="005D5901">
        <w:tab/>
      </w:r>
      <w:r w:rsidRPr="007449AA">
        <w:t>The City also argue</w:t>
      </w:r>
      <w:r>
        <w:t>s</w:t>
      </w:r>
      <w:r w:rsidRPr="007449AA">
        <w:t xml:space="preserve"> </w:t>
      </w:r>
      <w:r w:rsidRPr="007449AA">
        <w:rPr>
          <w:szCs w:val="26"/>
          <w:shd w:val="clear" w:color="auto" w:fill="FFFFFF"/>
        </w:rPr>
        <w:t>section 148.6</w:t>
      </w:r>
      <w:r>
        <w:rPr>
          <w:szCs w:val="26"/>
          <w:shd w:val="clear" w:color="auto" w:fill="FFFFFF"/>
        </w:rPr>
        <w:t>, subdivision (a)(2),</w:t>
      </w:r>
      <w:r w:rsidRPr="007449AA">
        <w:rPr>
          <w:szCs w:val="26"/>
          <w:shd w:val="clear" w:color="auto" w:fill="FFFFFF"/>
        </w:rPr>
        <w:t xml:space="preserve"> violates the First Amendment by placing an impermissible burden on speech.  According to the City, the requirement that</w:t>
      </w:r>
      <w:r>
        <w:rPr>
          <w:szCs w:val="26"/>
          <w:shd w:val="clear" w:color="auto" w:fill="FFFFFF"/>
        </w:rPr>
        <w:t xml:space="preserve"> </w:t>
      </w:r>
      <w:r w:rsidRPr="007449AA">
        <w:rPr>
          <w:szCs w:val="26"/>
          <w:shd w:val="clear" w:color="auto" w:fill="FFFFFF"/>
        </w:rPr>
        <w:t xml:space="preserve">complainants sign an advisory containing “a preemptive and explicit threat of criminal prosecution” </w:t>
      </w:r>
      <w:r>
        <w:rPr>
          <w:szCs w:val="26"/>
          <w:shd w:val="clear" w:color="auto" w:fill="FFFFFF"/>
        </w:rPr>
        <w:t>for the filing of</w:t>
      </w:r>
      <w:r w:rsidRPr="007449AA">
        <w:rPr>
          <w:szCs w:val="26"/>
          <w:shd w:val="clear" w:color="auto" w:fill="FFFFFF"/>
        </w:rPr>
        <w:t xml:space="preserve"> false complaint</w:t>
      </w:r>
      <w:r>
        <w:rPr>
          <w:szCs w:val="26"/>
          <w:shd w:val="clear" w:color="auto" w:fill="FFFFFF"/>
        </w:rPr>
        <w:t>s</w:t>
      </w:r>
      <w:r w:rsidRPr="007449AA">
        <w:rPr>
          <w:szCs w:val="26"/>
          <w:shd w:val="clear" w:color="auto" w:fill="FFFFFF"/>
        </w:rPr>
        <w:t xml:space="preserve"> also deters people from filing good faith complaint</w:t>
      </w:r>
      <w:r>
        <w:rPr>
          <w:szCs w:val="26"/>
          <w:shd w:val="clear" w:color="auto" w:fill="FFFFFF"/>
        </w:rPr>
        <w:t>s</w:t>
      </w:r>
      <w:r w:rsidRPr="007449AA">
        <w:rPr>
          <w:szCs w:val="26"/>
          <w:shd w:val="clear" w:color="auto" w:fill="FFFFFF"/>
        </w:rPr>
        <w:t xml:space="preserve">.  </w:t>
      </w:r>
    </w:p>
    <w:p w14:paraId="3E2047AD" w14:textId="77777777" w:rsidR="009407B7" w:rsidRPr="007449AA" w:rsidRDefault="009D4782" w:rsidP="00190010">
      <w:pPr>
        <w:ind w:firstLine="720"/>
        <w:rPr>
          <w:szCs w:val="26"/>
          <w:shd w:val="clear" w:color="auto" w:fill="FFFFFF"/>
        </w:rPr>
      </w:pPr>
      <w:r w:rsidRPr="007449AA">
        <w:rPr>
          <w:szCs w:val="26"/>
          <w:shd w:val="clear" w:color="auto" w:fill="FFFFFF"/>
        </w:rPr>
        <w:t xml:space="preserve">The California Supreme Court in </w:t>
      </w:r>
      <w:r w:rsidRPr="007449AA">
        <w:rPr>
          <w:i/>
          <w:iCs/>
          <w:szCs w:val="26"/>
          <w:shd w:val="clear" w:color="auto" w:fill="FFFFFF"/>
        </w:rPr>
        <w:t>Stanistreet</w:t>
      </w:r>
      <w:r w:rsidRPr="007449AA">
        <w:rPr>
          <w:szCs w:val="26"/>
          <w:shd w:val="clear" w:color="auto" w:fill="FFFFFF"/>
        </w:rPr>
        <w:t xml:space="preserve"> rejected this argument.  The </w:t>
      </w:r>
      <w:r>
        <w:rPr>
          <w:szCs w:val="26"/>
          <w:shd w:val="clear" w:color="auto" w:fill="FFFFFF"/>
        </w:rPr>
        <w:t xml:space="preserve">Supreme </w:t>
      </w:r>
      <w:r w:rsidRPr="007449AA">
        <w:rPr>
          <w:szCs w:val="26"/>
          <w:shd w:val="clear" w:color="auto" w:fill="FFFFFF"/>
        </w:rPr>
        <w:t xml:space="preserve">Court specifically considered whether </w:t>
      </w:r>
      <w:r>
        <w:rPr>
          <w:szCs w:val="26"/>
          <w:shd w:val="clear" w:color="auto" w:fill="FFFFFF"/>
        </w:rPr>
        <w:t xml:space="preserve">the requirement in section 148.6, </w:t>
      </w:r>
      <w:r w:rsidRPr="007449AA">
        <w:rPr>
          <w:szCs w:val="26"/>
          <w:shd w:val="clear" w:color="auto" w:fill="FFFFFF"/>
        </w:rPr>
        <w:t>subdivision (a)(2)</w:t>
      </w:r>
      <w:r>
        <w:rPr>
          <w:szCs w:val="26"/>
          <w:shd w:val="clear" w:color="auto" w:fill="FFFFFF"/>
        </w:rPr>
        <w:t xml:space="preserve">, </w:t>
      </w:r>
      <w:r w:rsidRPr="007449AA">
        <w:rPr>
          <w:szCs w:val="26"/>
          <w:shd w:val="clear" w:color="auto" w:fill="FFFFFF"/>
        </w:rPr>
        <w:t xml:space="preserve">that </w:t>
      </w:r>
      <w:r w:rsidRPr="007449AA">
        <w:rPr>
          <w:szCs w:val="26"/>
          <w:shd w:val="clear" w:color="auto" w:fill="FFFFFF"/>
        </w:rPr>
        <w:lastRenderedPageBreak/>
        <w:t xml:space="preserve">complainants read and sign an admonition explaining the “criminal sanction for knowingly false complaints” demonstrated </w:t>
      </w:r>
      <w:r>
        <w:rPr>
          <w:szCs w:val="26"/>
          <w:shd w:val="clear" w:color="auto" w:fill="FFFFFF"/>
        </w:rPr>
        <w:t xml:space="preserve">that </w:t>
      </w:r>
      <w:r w:rsidRPr="007449AA">
        <w:rPr>
          <w:szCs w:val="26"/>
          <w:shd w:val="clear" w:color="auto" w:fill="FFFFFF"/>
        </w:rPr>
        <w:t>“official suppression of ideas [wa</w:t>
      </w:r>
      <w:r>
        <w:rPr>
          <w:szCs w:val="26"/>
          <w:shd w:val="clear" w:color="auto" w:fill="FFFFFF"/>
        </w:rPr>
        <w:t>s]</w:t>
      </w:r>
      <w:r w:rsidRPr="007449AA">
        <w:rPr>
          <w:szCs w:val="26"/>
          <w:shd w:val="clear" w:color="auto" w:fill="FFFFFF"/>
        </w:rPr>
        <w:t xml:space="preserve"> indeed afoot.”  (</w:t>
      </w:r>
      <w:r>
        <w:rPr>
          <w:i/>
          <w:iCs/>
          <w:szCs w:val="26"/>
          <w:shd w:val="clear" w:color="auto" w:fill="FFFFFF"/>
        </w:rPr>
        <w:t>Stanistreet</w:t>
      </w:r>
      <w:r>
        <w:rPr>
          <w:szCs w:val="26"/>
          <w:shd w:val="clear" w:color="auto" w:fill="FFFFFF"/>
        </w:rPr>
        <w:t xml:space="preserve">, </w:t>
      </w:r>
      <w:r>
        <w:rPr>
          <w:i/>
          <w:iCs/>
          <w:szCs w:val="26"/>
          <w:shd w:val="clear" w:color="auto" w:fill="FFFFFF"/>
        </w:rPr>
        <w:t>supra</w:t>
      </w:r>
      <w:r>
        <w:rPr>
          <w:szCs w:val="26"/>
          <w:shd w:val="clear" w:color="auto" w:fill="FFFFFF"/>
        </w:rPr>
        <w:t>, 29 Cal.4th</w:t>
      </w:r>
      <w:r w:rsidRPr="007449AA">
        <w:rPr>
          <w:i/>
          <w:iCs/>
          <w:szCs w:val="26"/>
          <w:shd w:val="clear" w:color="auto" w:fill="FFFFFF"/>
        </w:rPr>
        <w:t xml:space="preserve"> </w:t>
      </w:r>
      <w:r w:rsidRPr="007449AA">
        <w:rPr>
          <w:iCs/>
          <w:szCs w:val="26"/>
          <w:shd w:val="clear" w:color="auto" w:fill="FFFFFF"/>
        </w:rPr>
        <w:t xml:space="preserve">at p. 510.) </w:t>
      </w:r>
      <w:r w:rsidRPr="007449AA">
        <w:rPr>
          <w:szCs w:val="26"/>
          <w:shd w:val="clear" w:color="auto" w:fill="FFFFFF"/>
        </w:rPr>
        <w:t xml:space="preserve"> The </w:t>
      </w:r>
      <w:r>
        <w:rPr>
          <w:szCs w:val="26"/>
          <w:shd w:val="clear" w:color="auto" w:fill="FFFFFF"/>
        </w:rPr>
        <w:t xml:space="preserve">Supreme </w:t>
      </w:r>
      <w:r w:rsidRPr="007449AA">
        <w:rPr>
          <w:szCs w:val="26"/>
          <w:shd w:val="clear" w:color="auto" w:fill="FFFFFF"/>
        </w:rPr>
        <w:t xml:space="preserve">Court </w:t>
      </w:r>
      <w:r>
        <w:rPr>
          <w:szCs w:val="26"/>
          <w:shd w:val="clear" w:color="auto" w:fill="FFFFFF"/>
        </w:rPr>
        <w:t>held it did not</w:t>
      </w:r>
      <w:r w:rsidRPr="007449AA">
        <w:rPr>
          <w:szCs w:val="26"/>
          <w:shd w:val="clear" w:color="auto" w:fill="FFFFFF"/>
        </w:rPr>
        <w:t>:  “That admonition merely advises complainants of the law and impresses on them the significance of the formal complaint.  Warning people of the consequences of a knowingly false complaint is no more impermissible than advising people they are signing a document or testifying under penalty of perjury.  The explanation and admonition do not invalidate the statute.”  (</w:t>
      </w:r>
      <w:r w:rsidRPr="007449AA">
        <w:rPr>
          <w:i/>
          <w:iCs/>
          <w:szCs w:val="26"/>
          <w:shd w:val="clear" w:color="auto" w:fill="FFFFFF"/>
        </w:rPr>
        <w:t>Ibid</w:t>
      </w:r>
      <w:r w:rsidRPr="007449AA">
        <w:rPr>
          <w:szCs w:val="26"/>
          <w:shd w:val="clear" w:color="auto" w:fill="FFFFFF"/>
        </w:rPr>
        <w:t>.)  Absent a contrary ruling by the United States Supreme Court, we may not second guess the California Supreme Court</w:t>
      </w:r>
      <w:r>
        <w:rPr>
          <w:szCs w:val="26"/>
          <w:shd w:val="clear" w:color="auto" w:fill="FFFFFF"/>
        </w:rPr>
        <w:t xml:space="preserve"> on this (or any) issue</w:t>
      </w:r>
      <w:r w:rsidRPr="007449AA">
        <w:rPr>
          <w:szCs w:val="26"/>
          <w:shd w:val="clear" w:color="auto" w:fill="FFFFFF"/>
        </w:rPr>
        <w:t xml:space="preserve">.  </w:t>
      </w:r>
    </w:p>
    <w:p w14:paraId="776A8924" w14:textId="77777777" w:rsidR="007C7AB2" w:rsidRDefault="009D4782" w:rsidP="00DC6C1F">
      <w:pPr>
        <w:rPr>
          <w:color w:val="3D3D3D"/>
          <w:szCs w:val="26"/>
          <w:shd w:val="clear" w:color="auto" w:fill="FFFFFF"/>
        </w:rPr>
      </w:pPr>
      <w:r>
        <w:rPr>
          <w:color w:val="3D3D3D"/>
          <w:szCs w:val="26"/>
          <w:shd w:val="clear" w:color="auto" w:fill="FFFFFF"/>
        </w:rPr>
        <w:tab/>
      </w:r>
    </w:p>
    <w:p w14:paraId="4D1C2D5A" w14:textId="77777777" w:rsidR="007C7AB2" w:rsidRPr="00F12630" w:rsidRDefault="009D4782" w:rsidP="00C457F0">
      <w:pPr>
        <w:ind w:left="1440" w:hanging="720"/>
        <w:rPr>
          <w:i/>
          <w:iCs/>
          <w:szCs w:val="26"/>
          <w:shd w:val="clear" w:color="auto" w:fill="FFFFFF"/>
        </w:rPr>
      </w:pPr>
      <w:r w:rsidRPr="00F12630">
        <w:rPr>
          <w:szCs w:val="26"/>
          <w:shd w:val="clear" w:color="auto" w:fill="FFFFFF"/>
        </w:rPr>
        <w:t>D.</w:t>
      </w:r>
      <w:r w:rsidRPr="00F12630">
        <w:rPr>
          <w:szCs w:val="26"/>
          <w:shd w:val="clear" w:color="auto" w:fill="FFFFFF"/>
        </w:rPr>
        <w:tab/>
      </w:r>
      <w:r w:rsidRPr="00F12630">
        <w:rPr>
          <w:i/>
          <w:iCs/>
          <w:szCs w:val="26"/>
          <w:shd w:val="clear" w:color="auto" w:fill="FFFFFF"/>
        </w:rPr>
        <w:t>The City</w:t>
      </w:r>
      <w:r>
        <w:rPr>
          <w:i/>
          <w:iCs/>
          <w:szCs w:val="26"/>
          <w:shd w:val="clear" w:color="auto" w:fill="FFFFFF"/>
        </w:rPr>
        <w:t xml:space="preserve"> Forfeited Its Argument </w:t>
      </w:r>
      <w:r w:rsidRPr="00F12630">
        <w:rPr>
          <w:i/>
          <w:iCs/>
          <w:szCs w:val="26"/>
          <w:shd w:val="clear" w:color="auto" w:fill="FFFFFF"/>
        </w:rPr>
        <w:t>Section 148.6 Violates the First Amendment by Prohibiting Anonymous Complaints</w:t>
      </w:r>
    </w:p>
    <w:p w14:paraId="4D04B886" w14:textId="77777777" w:rsidR="007000EC" w:rsidRPr="00F12630" w:rsidRDefault="009D4782" w:rsidP="00665C9B">
      <w:pPr>
        <w:ind w:firstLine="720"/>
        <w:rPr>
          <w:szCs w:val="26"/>
          <w:shd w:val="clear" w:color="auto" w:fill="FFFFFF"/>
        </w:rPr>
      </w:pPr>
      <w:r w:rsidRPr="00F12630">
        <w:rPr>
          <w:szCs w:val="26"/>
          <w:shd w:val="clear" w:color="auto" w:fill="FFFFFF"/>
        </w:rPr>
        <w:t>Finally, the City contend</w:t>
      </w:r>
      <w:r>
        <w:rPr>
          <w:szCs w:val="26"/>
          <w:shd w:val="clear" w:color="auto" w:fill="FFFFFF"/>
        </w:rPr>
        <w:t xml:space="preserve">s for the </w:t>
      </w:r>
      <w:r w:rsidRPr="006618A7">
        <w:rPr>
          <w:szCs w:val="26"/>
          <w:shd w:val="clear" w:color="auto" w:fill="FFFFFF"/>
        </w:rPr>
        <w:t>first time, on appeal,</w:t>
      </w:r>
      <w:r w:rsidRPr="00F12630">
        <w:rPr>
          <w:szCs w:val="26"/>
          <w:shd w:val="clear" w:color="auto" w:fill="FFFFFF"/>
        </w:rPr>
        <w:t xml:space="preserve"> section 148.6, subdivision (a)(2)</w:t>
      </w:r>
      <w:r>
        <w:rPr>
          <w:szCs w:val="26"/>
          <w:shd w:val="clear" w:color="auto" w:fill="FFFFFF"/>
        </w:rPr>
        <w:t>,</w:t>
      </w:r>
      <w:r w:rsidRPr="00F12630">
        <w:rPr>
          <w:szCs w:val="26"/>
          <w:shd w:val="clear" w:color="auto" w:fill="FFFFFF"/>
        </w:rPr>
        <w:t xml:space="preserve"> violates the First Amendment because</w:t>
      </w:r>
      <w:r>
        <w:rPr>
          <w:szCs w:val="26"/>
          <w:shd w:val="clear" w:color="auto" w:fill="FFFFFF"/>
        </w:rPr>
        <w:t>, by requiring complainants to sign the admonition,</w:t>
      </w:r>
      <w:r w:rsidRPr="00F12630">
        <w:rPr>
          <w:szCs w:val="26"/>
          <w:shd w:val="clear" w:color="auto" w:fill="FFFFFF"/>
        </w:rPr>
        <w:t xml:space="preserve"> it prohibits persons from anonymously reporting government misconduct. </w:t>
      </w:r>
      <w:r>
        <w:rPr>
          <w:szCs w:val="26"/>
          <w:shd w:val="clear" w:color="auto" w:fill="FFFFFF"/>
        </w:rPr>
        <w:t xml:space="preserve"> </w:t>
      </w:r>
      <w:r w:rsidRPr="00F12630">
        <w:rPr>
          <w:szCs w:val="26"/>
          <w:shd w:val="clear" w:color="auto" w:fill="FFFFFF"/>
        </w:rPr>
        <w:t xml:space="preserve">This is one argument the </w:t>
      </w:r>
      <w:r>
        <w:rPr>
          <w:szCs w:val="26"/>
          <w:shd w:val="clear" w:color="auto" w:fill="FFFFFF"/>
        </w:rPr>
        <w:t xml:space="preserve">California Supreme </w:t>
      </w:r>
      <w:r w:rsidRPr="00F12630">
        <w:rPr>
          <w:szCs w:val="26"/>
          <w:shd w:val="clear" w:color="auto" w:fill="FFFFFF"/>
        </w:rPr>
        <w:t xml:space="preserve">Court in </w:t>
      </w:r>
      <w:r w:rsidRPr="00F12630">
        <w:rPr>
          <w:i/>
          <w:iCs/>
          <w:szCs w:val="26"/>
          <w:shd w:val="clear" w:color="auto" w:fill="FFFFFF"/>
        </w:rPr>
        <w:t xml:space="preserve">Stanistreet </w:t>
      </w:r>
      <w:r w:rsidRPr="00F12630">
        <w:rPr>
          <w:szCs w:val="26"/>
          <w:shd w:val="clear" w:color="auto" w:fill="FFFFFF"/>
        </w:rPr>
        <w:t xml:space="preserve">did not consider.  </w:t>
      </w:r>
    </w:p>
    <w:p w14:paraId="4927DCEC" w14:textId="77777777" w:rsidR="006704EE" w:rsidRDefault="009D4782" w:rsidP="00D57821">
      <w:pPr>
        <w:ind w:firstLine="720"/>
        <w:rPr>
          <w:szCs w:val="26"/>
          <w:shd w:val="clear" w:color="auto" w:fill="FFFFFF"/>
        </w:rPr>
      </w:pPr>
      <w:r w:rsidRPr="00F12630">
        <w:rPr>
          <w:szCs w:val="26"/>
          <w:shd w:val="clear" w:color="auto" w:fill="FFFFFF"/>
        </w:rPr>
        <w:t xml:space="preserve">“[T]he First Amendment right of freedom of speech includes the right to remain anonymous,” at least for some types of speech. </w:t>
      </w:r>
      <w:r>
        <w:rPr>
          <w:szCs w:val="26"/>
          <w:shd w:val="clear" w:color="auto" w:fill="FFFFFF"/>
        </w:rPr>
        <w:t xml:space="preserve"> </w:t>
      </w:r>
      <w:r w:rsidRPr="00F12630">
        <w:rPr>
          <w:szCs w:val="26"/>
          <w:shd w:val="clear" w:color="auto" w:fill="FFFFFF"/>
        </w:rPr>
        <w:t>(</w:t>
      </w:r>
      <w:r w:rsidRPr="00F12630">
        <w:rPr>
          <w:i/>
          <w:iCs/>
          <w:szCs w:val="26"/>
          <w:shd w:val="clear" w:color="auto" w:fill="FFFFFF"/>
        </w:rPr>
        <w:t xml:space="preserve">Huntley v. Public Utilities Commission </w:t>
      </w:r>
      <w:r w:rsidRPr="00F12630">
        <w:rPr>
          <w:szCs w:val="26"/>
          <w:shd w:val="clear" w:color="auto" w:fill="FFFFFF"/>
        </w:rPr>
        <w:t xml:space="preserve">(1968) 69 Cal.2d 67, 73.)  “‘[J]udicial recognition of the constitutional right to publish anonymously is a long-standing tradition . . . .  “Persecuted groups and sects from time to time throughout history have been able to criticize oppressive practices . . . either </w:t>
      </w:r>
      <w:r w:rsidRPr="00F12630">
        <w:rPr>
          <w:szCs w:val="26"/>
          <w:shd w:val="clear" w:color="auto" w:fill="FFFFFF"/>
        </w:rPr>
        <w:lastRenderedPageBreak/>
        <w:t>anonymously or not at all.”’”  (</w:t>
      </w:r>
      <w:r w:rsidRPr="00F12630">
        <w:rPr>
          <w:i/>
          <w:iCs/>
          <w:szCs w:val="26"/>
          <w:shd w:val="clear" w:color="auto" w:fill="FFFFFF"/>
        </w:rPr>
        <w:t xml:space="preserve">John Doe 2 v. Superior Court </w:t>
      </w:r>
      <w:r w:rsidRPr="00F12630">
        <w:rPr>
          <w:szCs w:val="26"/>
          <w:shd w:val="clear" w:color="auto" w:fill="FFFFFF"/>
        </w:rPr>
        <w:t>(2016) 1 Cal.App.5th 1300, 1310.)  The United States Supreme Court has recognized</w:t>
      </w:r>
      <w:r>
        <w:rPr>
          <w:szCs w:val="26"/>
          <w:shd w:val="clear" w:color="auto" w:fill="FFFFFF"/>
        </w:rPr>
        <w:t xml:space="preserve"> the right to speak anonymously</w:t>
      </w:r>
      <w:r w:rsidRPr="00F12630">
        <w:rPr>
          <w:szCs w:val="26"/>
          <w:shd w:val="clear" w:color="auto" w:fill="FFFFFF"/>
        </w:rPr>
        <w:t xml:space="preserve">, for example, </w:t>
      </w:r>
      <w:r>
        <w:rPr>
          <w:szCs w:val="26"/>
          <w:shd w:val="clear" w:color="auto" w:fill="FFFFFF"/>
        </w:rPr>
        <w:t>when</w:t>
      </w:r>
      <w:r w:rsidRPr="00F12630">
        <w:rPr>
          <w:szCs w:val="26"/>
          <w:shd w:val="clear" w:color="auto" w:fill="FFFFFF"/>
        </w:rPr>
        <w:t xml:space="preserve"> distribut</w:t>
      </w:r>
      <w:r>
        <w:rPr>
          <w:szCs w:val="26"/>
          <w:shd w:val="clear" w:color="auto" w:fill="FFFFFF"/>
        </w:rPr>
        <w:t>ing</w:t>
      </w:r>
      <w:r w:rsidRPr="00F12630">
        <w:rPr>
          <w:szCs w:val="26"/>
          <w:shd w:val="clear" w:color="auto" w:fill="FFFFFF"/>
        </w:rPr>
        <w:t xml:space="preserve"> handbills and pamphlets (see, e.g., </w:t>
      </w:r>
      <w:r w:rsidRPr="00F12630">
        <w:rPr>
          <w:i/>
          <w:iCs/>
          <w:szCs w:val="26"/>
          <w:shd w:val="clear" w:color="auto" w:fill="FFFFFF"/>
        </w:rPr>
        <w:t xml:space="preserve">Watchtower Bible Tract Society of New York, Inc. v. Village of Stratton </w:t>
      </w:r>
      <w:r w:rsidRPr="00F12630">
        <w:rPr>
          <w:szCs w:val="26"/>
          <w:shd w:val="clear" w:color="auto" w:fill="FFFFFF"/>
        </w:rPr>
        <w:t>(2002) 536</w:t>
      </w:r>
      <w:r>
        <w:rPr>
          <w:szCs w:val="26"/>
          <w:shd w:val="clear" w:color="auto" w:fill="FFFFFF"/>
        </w:rPr>
        <w:t> </w:t>
      </w:r>
      <w:r w:rsidRPr="00F12630">
        <w:rPr>
          <w:szCs w:val="26"/>
          <w:shd w:val="clear" w:color="auto" w:fill="FFFFFF"/>
        </w:rPr>
        <w:t>U.S. 150, 166-167</w:t>
      </w:r>
      <w:r>
        <w:rPr>
          <w:szCs w:val="26"/>
          <w:shd w:val="clear" w:color="auto" w:fill="FFFFFF"/>
        </w:rPr>
        <w:t xml:space="preserve"> [122 S.Ct. 2080, 153 L.Ed.2d 205]</w:t>
      </w:r>
      <w:r w:rsidRPr="00F12630">
        <w:rPr>
          <w:szCs w:val="26"/>
          <w:shd w:val="clear" w:color="auto" w:fill="FFFFFF"/>
        </w:rPr>
        <w:t xml:space="preserve">; </w:t>
      </w:r>
      <w:r w:rsidRPr="00F12630">
        <w:rPr>
          <w:i/>
          <w:iCs/>
          <w:szCs w:val="26"/>
          <w:shd w:val="clear" w:color="auto" w:fill="FFFFFF"/>
        </w:rPr>
        <w:t>McIntyre v. Ohio Elections Com</w:t>
      </w:r>
      <w:r>
        <w:rPr>
          <w:i/>
          <w:iCs/>
          <w:szCs w:val="26"/>
          <w:shd w:val="clear" w:color="auto" w:fill="FFFFFF"/>
        </w:rPr>
        <w:t>.</w:t>
      </w:r>
      <w:r w:rsidRPr="00F12630">
        <w:rPr>
          <w:szCs w:val="26"/>
          <w:shd w:val="clear" w:color="auto" w:fill="FFFFFF"/>
        </w:rPr>
        <w:t xml:space="preserve"> (1995) 514</w:t>
      </w:r>
      <w:r>
        <w:rPr>
          <w:szCs w:val="26"/>
          <w:shd w:val="clear" w:color="auto" w:fill="FFFFFF"/>
        </w:rPr>
        <w:t> </w:t>
      </w:r>
      <w:r w:rsidRPr="00F12630">
        <w:rPr>
          <w:szCs w:val="26"/>
          <w:shd w:val="clear" w:color="auto" w:fill="FFFFFF"/>
        </w:rPr>
        <w:t>U.S.</w:t>
      </w:r>
      <w:r>
        <w:rPr>
          <w:szCs w:val="26"/>
          <w:shd w:val="clear" w:color="auto" w:fill="FFFFFF"/>
        </w:rPr>
        <w:t> </w:t>
      </w:r>
      <w:r w:rsidRPr="00F12630">
        <w:rPr>
          <w:szCs w:val="26"/>
          <w:shd w:val="clear" w:color="auto" w:fill="FFFFFF"/>
        </w:rPr>
        <w:t>334, 357</w:t>
      </w:r>
      <w:r>
        <w:rPr>
          <w:szCs w:val="26"/>
          <w:shd w:val="clear" w:color="auto" w:fill="FFFFFF"/>
        </w:rPr>
        <w:t xml:space="preserve"> [115 S.Ct. 1511, 131 L.Ed.2d 426]</w:t>
      </w:r>
      <w:r w:rsidRPr="00F12630">
        <w:rPr>
          <w:szCs w:val="26"/>
          <w:shd w:val="clear" w:color="auto" w:fill="FFFFFF"/>
        </w:rPr>
        <w:t xml:space="preserve">; </w:t>
      </w:r>
      <w:r w:rsidRPr="00F12630">
        <w:rPr>
          <w:i/>
          <w:iCs/>
          <w:szCs w:val="26"/>
          <w:shd w:val="clear" w:color="auto" w:fill="FFFFFF"/>
        </w:rPr>
        <w:t>Talley v. California</w:t>
      </w:r>
      <w:r w:rsidRPr="00F12630">
        <w:rPr>
          <w:szCs w:val="26"/>
          <w:shd w:val="clear" w:color="auto" w:fill="FFFFFF"/>
        </w:rPr>
        <w:t xml:space="preserve"> (1960) 362</w:t>
      </w:r>
      <w:r>
        <w:rPr>
          <w:szCs w:val="26"/>
          <w:shd w:val="clear" w:color="auto" w:fill="FFFFFF"/>
        </w:rPr>
        <w:t> </w:t>
      </w:r>
      <w:r w:rsidRPr="00F12630">
        <w:rPr>
          <w:szCs w:val="26"/>
          <w:shd w:val="clear" w:color="auto" w:fill="FFFFFF"/>
        </w:rPr>
        <w:t>U.S. 60, 64-65</w:t>
      </w:r>
      <w:r>
        <w:rPr>
          <w:szCs w:val="26"/>
          <w:shd w:val="clear" w:color="auto" w:fill="FFFFFF"/>
        </w:rPr>
        <w:t xml:space="preserve"> [80 S.Ct. 536, 4 L.Ed.2d 559]</w:t>
      </w:r>
      <w:r w:rsidRPr="00F12630">
        <w:rPr>
          <w:szCs w:val="26"/>
          <w:shd w:val="clear" w:color="auto" w:fill="FFFFFF"/>
        </w:rPr>
        <w:t xml:space="preserve">) and </w:t>
      </w:r>
      <w:r>
        <w:rPr>
          <w:szCs w:val="26"/>
          <w:shd w:val="clear" w:color="auto" w:fill="FFFFFF"/>
        </w:rPr>
        <w:t xml:space="preserve">when </w:t>
      </w:r>
      <w:r w:rsidRPr="00F12630">
        <w:rPr>
          <w:szCs w:val="26"/>
          <w:shd w:val="clear" w:color="auto" w:fill="FFFFFF"/>
        </w:rPr>
        <w:t xml:space="preserve">circulating ballot-initiative petitions (see </w:t>
      </w:r>
      <w:r w:rsidRPr="00F12630">
        <w:rPr>
          <w:i/>
          <w:iCs/>
          <w:shd w:val="clear" w:color="auto" w:fill="FFFFFF"/>
        </w:rPr>
        <w:t>Buckley v. American Constitutional Law Foundation, Inc.</w:t>
      </w:r>
      <w:r w:rsidRPr="00F12630">
        <w:rPr>
          <w:b/>
          <w:bCs/>
          <w:shd w:val="clear" w:color="auto" w:fill="FFFFFF"/>
        </w:rPr>
        <w:t xml:space="preserve"> </w:t>
      </w:r>
      <w:r w:rsidRPr="00F12630">
        <w:rPr>
          <w:shd w:val="clear" w:color="auto" w:fill="FFFFFF"/>
        </w:rPr>
        <w:t>(</w:t>
      </w:r>
      <w:r w:rsidRPr="00665C9B">
        <w:rPr>
          <w:szCs w:val="26"/>
          <w:shd w:val="clear" w:color="auto" w:fill="FFFFFF"/>
        </w:rPr>
        <w:t>1999</w:t>
      </w:r>
      <w:r w:rsidRPr="00F12630">
        <w:rPr>
          <w:szCs w:val="26"/>
          <w:shd w:val="clear" w:color="auto" w:fill="FFFFFF"/>
        </w:rPr>
        <w:t xml:space="preserve">) </w:t>
      </w:r>
      <w:r w:rsidRPr="00665C9B">
        <w:rPr>
          <w:szCs w:val="26"/>
          <w:shd w:val="clear" w:color="auto" w:fill="FFFFFF"/>
        </w:rPr>
        <w:t>525</w:t>
      </w:r>
      <w:r>
        <w:rPr>
          <w:szCs w:val="26"/>
          <w:shd w:val="clear" w:color="auto" w:fill="FFFFFF"/>
        </w:rPr>
        <w:t> </w:t>
      </w:r>
      <w:r w:rsidRPr="00665C9B">
        <w:rPr>
          <w:szCs w:val="26"/>
          <w:shd w:val="clear" w:color="auto" w:fill="FFFFFF"/>
        </w:rPr>
        <w:t>U.S.</w:t>
      </w:r>
      <w:r>
        <w:rPr>
          <w:szCs w:val="26"/>
          <w:shd w:val="clear" w:color="auto" w:fill="FFFFFF"/>
        </w:rPr>
        <w:t> </w:t>
      </w:r>
      <w:r w:rsidRPr="00665C9B">
        <w:rPr>
          <w:szCs w:val="26"/>
          <w:shd w:val="clear" w:color="auto" w:fill="FFFFFF"/>
        </w:rPr>
        <w:t>182</w:t>
      </w:r>
      <w:r w:rsidRPr="00F12630">
        <w:rPr>
          <w:szCs w:val="26"/>
          <w:shd w:val="clear" w:color="auto" w:fill="FFFFFF"/>
        </w:rPr>
        <w:t>, 199-200</w:t>
      </w:r>
      <w:r>
        <w:rPr>
          <w:szCs w:val="26"/>
          <w:shd w:val="clear" w:color="auto" w:fill="FFFFFF"/>
        </w:rPr>
        <w:t xml:space="preserve"> [119 S.Ct. 636, 112 L.Ed.2d 599]</w:t>
      </w:r>
      <w:r w:rsidRPr="00F12630">
        <w:rPr>
          <w:szCs w:val="26"/>
          <w:shd w:val="clear" w:color="auto" w:fill="FFFFFF"/>
        </w:rPr>
        <w:t>.)</w:t>
      </w:r>
      <w:r>
        <w:rPr>
          <w:szCs w:val="26"/>
          <w:shd w:val="clear" w:color="auto" w:fill="FFFFFF"/>
        </w:rPr>
        <w:t xml:space="preserve">  </w:t>
      </w:r>
    </w:p>
    <w:p w14:paraId="19532753" w14:textId="77777777" w:rsidR="009D39BD" w:rsidRPr="009D39BD" w:rsidRDefault="009D4782" w:rsidP="009D39BD">
      <w:pPr>
        <w:ind w:firstLine="720"/>
        <w:rPr>
          <w:szCs w:val="26"/>
          <w:shd w:val="clear" w:color="auto" w:fill="FFFFFF"/>
        </w:rPr>
      </w:pPr>
      <w:r>
        <w:rPr>
          <w:szCs w:val="26"/>
          <w:shd w:val="clear" w:color="auto" w:fill="FFFFFF"/>
        </w:rPr>
        <w:t xml:space="preserve">There may be some merit to the City’s anonymity argument.  The City, however, </w:t>
      </w:r>
      <w:r w:rsidRPr="00F12630">
        <w:rPr>
          <w:szCs w:val="26"/>
          <w:shd w:val="clear" w:color="auto" w:fill="FFFFFF"/>
        </w:rPr>
        <w:t xml:space="preserve">forfeited </w:t>
      </w:r>
      <w:r>
        <w:rPr>
          <w:szCs w:val="26"/>
          <w:shd w:val="clear" w:color="auto" w:fill="FFFFFF"/>
        </w:rPr>
        <w:t>the argument</w:t>
      </w:r>
      <w:r w:rsidRPr="00F12630">
        <w:rPr>
          <w:szCs w:val="26"/>
          <w:shd w:val="clear" w:color="auto" w:fill="FFFFFF"/>
        </w:rPr>
        <w:t xml:space="preserve"> by </w:t>
      </w:r>
      <w:r>
        <w:rPr>
          <w:szCs w:val="26"/>
          <w:shd w:val="clear" w:color="auto" w:fill="FFFFFF"/>
        </w:rPr>
        <w:t>not making</w:t>
      </w:r>
      <w:r w:rsidRPr="00F12630">
        <w:rPr>
          <w:szCs w:val="26"/>
          <w:shd w:val="clear" w:color="auto" w:fill="FFFFFF"/>
        </w:rPr>
        <w:t xml:space="preserve"> it in the trial court.  </w:t>
      </w:r>
      <w:r>
        <w:rPr>
          <w:szCs w:val="26"/>
          <w:shd w:val="clear" w:color="auto" w:fill="FFFFFF"/>
        </w:rPr>
        <w:t xml:space="preserve">(See </w:t>
      </w:r>
      <w:r w:rsidRPr="004A2A4D">
        <w:rPr>
          <w:i/>
          <w:iCs/>
          <w:szCs w:val="26"/>
          <w:shd w:val="clear" w:color="auto" w:fill="FFFFFF"/>
        </w:rPr>
        <w:t>Jackpot Harvesting Co., Inc. v. Superior Court</w:t>
      </w:r>
      <w:r w:rsidRPr="004A2A4D">
        <w:rPr>
          <w:szCs w:val="26"/>
          <w:shd w:val="clear" w:color="auto" w:fill="FFFFFF"/>
        </w:rPr>
        <w:t xml:space="preserve"> (2018) 26 Cal.App.5th 125, 154</w:t>
      </w:r>
      <w:r>
        <w:rPr>
          <w:szCs w:val="26"/>
          <w:shd w:val="clear" w:color="auto" w:fill="FFFFFF"/>
        </w:rPr>
        <w:t xml:space="preserve"> [“</w:t>
      </w:r>
      <w:r w:rsidRPr="004A2A4D">
        <w:rPr>
          <w:szCs w:val="26"/>
          <w:shd w:val="clear" w:color="auto" w:fill="FFFFFF"/>
        </w:rPr>
        <w:t xml:space="preserve">As a general rule, </w:t>
      </w:r>
      <w:r>
        <w:rPr>
          <w:szCs w:val="26"/>
          <w:shd w:val="clear" w:color="auto" w:fill="FFFFFF"/>
        </w:rPr>
        <w:t>‘</w:t>
      </w:r>
      <w:r w:rsidRPr="004A2A4D">
        <w:rPr>
          <w:szCs w:val="26"/>
          <w:shd w:val="clear" w:color="auto" w:fill="FFFFFF"/>
        </w:rPr>
        <w:t>constitutional issues not raised in earlier civil proceedings are waived on appeal.</w:t>
      </w:r>
      <w:r>
        <w:rPr>
          <w:szCs w:val="26"/>
          <w:shd w:val="clear" w:color="auto" w:fill="FFFFFF"/>
        </w:rPr>
        <w:t>’</w:t>
      </w:r>
      <w:r w:rsidRPr="004A2A4D">
        <w:rPr>
          <w:szCs w:val="26"/>
          <w:shd w:val="clear" w:color="auto" w:fill="FFFFFF"/>
        </w:rPr>
        <w:t>”</w:t>
      </w:r>
      <w:r>
        <w:rPr>
          <w:szCs w:val="26"/>
          <w:shd w:val="clear" w:color="auto" w:fill="FFFFFF"/>
        </w:rPr>
        <w:t xml:space="preserve">]; </w:t>
      </w:r>
      <w:r w:rsidRPr="00AF034C">
        <w:rPr>
          <w:i/>
          <w:iCs/>
          <w:szCs w:val="26"/>
          <w:shd w:val="clear" w:color="auto" w:fill="FFFFFF"/>
        </w:rPr>
        <w:t>In re M.H.</w:t>
      </w:r>
      <w:r w:rsidRPr="00AF034C">
        <w:rPr>
          <w:szCs w:val="26"/>
          <w:shd w:val="clear" w:color="auto" w:fill="FFFFFF"/>
        </w:rPr>
        <w:t xml:space="preserve"> (2016) 1 Cal.App.5th 699, 713</w:t>
      </w:r>
      <w:r>
        <w:rPr>
          <w:szCs w:val="26"/>
          <w:shd w:val="clear" w:color="auto" w:fill="FFFFFF"/>
        </w:rPr>
        <w:t xml:space="preserve"> [by failing to raise the constitutional challenge in the trial court, appellant forfeited the argument a statute violated the First Amendment]; </w:t>
      </w:r>
      <w:r w:rsidRPr="006B432E">
        <w:rPr>
          <w:i/>
          <w:iCs/>
          <w:szCs w:val="26"/>
          <w:shd w:val="clear" w:color="auto" w:fill="FFFFFF"/>
        </w:rPr>
        <w:t>Fourth La Costa Condominium Owners Assn. v. Seith</w:t>
      </w:r>
      <w:r w:rsidRPr="006B432E">
        <w:rPr>
          <w:szCs w:val="26"/>
          <w:shd w:val="clear" w:color="auto" w:fill="FFFFFF"/>
        </w:rPr>
        <w:t xml:space="preserve"> (2008) 159 Cal.App.4th 563, 585</w:t>
      </w:r>
      <w:r>
        <w:rPr>
          <w:szCs w:val="26"/>
          <w:shd w:val="clear" w:color="auto" w:fill="FFFFFF"/>
        </w:rPr>
        <w:t xml:space="preserve"> [</w:t>
      </w:r>
      <w:r w:rsidRPr="006B432E">
        <w:rPr>
          <w:szCs w:val="26"/>
          <w:shd w:val="clear" w:color="auto" w:fill="FFFFFF"/>
        </w:rPr>
        <w:t xml:space="preserve">constitutional issues not raised in </w:t>
      </w:r>
      <w:r>
        <w:rPr>
          <w:szCs w:val="26"/>
          <w:shd w:val="clear" w:color="auto" w:fill="FFFFFF"/>
        </w:rPr>
        <w:t xml:space="preserve">the trial court are forfeited on appeal].)  Indeed, applying the forfeiture rule here is particularly appropriate given that </w:t>
      </w:r>
      <w:r w:rsidRPr="00F12630">
        <w:rPr>
          <w:szCs w:val="26"/>
          <w:shd w:val="clear" w:color="auto" w:fill="FFFFFF"/>
        </w:rPr>
        <w:t>“there is no absolute right to anonymity”</w:t>
      </w:r>
      <w:r>
        <w:rPr>
          <w:szCs w:val="26"/>
          <w:shd w:val="clear" w:color="auto" w:fill="FFFFFF"/>
        </w:rPr>
        <w:t xml:space="preserve"> and that a</w:t>
      </w:r>
      <w:r w:rsidRPr="00F12630">
        <w:rPr>
          <w:szCs w:val="26"/>
          <w:shd w:val="clear" w:color="auto" w:fill="FFFFFF"/>
        </w:rPr>
        <w:t xml:space="preserve"> </w:t>
      </w:r>
      <w:r>
        <w:rPr>
          <w:szCs w:val="26"/>
          <w:shd w:val="clear" w:color="auto" w:fill="FFFFFF"/>
        </w:rPr>
        <w:t xml:space="preserve">court must balance the </w:t>
      </w:r>
      <w:r w:rsidRPr="00F12630">
        <w:rPr>
          <w:szCs w:val="26"/>
          <w:shd w:val="clear" w:color="auto" w:fill="FFFFFF"/>
        </w:rPr>
        <w:t xml:space="preserve">right </w:t>
      </w:r>
      <w:r>
        <w:rPr>
          <w:szCs w:val="26"/>
          <w:shd w:val="clear" w:color="auto" w:fill="FFFFFF"/>
        </w:rPr>
        <w:t>ag</w:t>
      </w:r>
      <w:r w:rsidRPr="00F12630">
        <w:rPr>
          <w:szCs w:val="26"/>
          <w:shd w:val="clear" w:color="auto" w:fill="FFFFFF"/>
        </w:rPr>
        <w:t>ainst the government’s interest in requiring disclosure of identifying information</w:t>
      </w:r>
      <w:r>
        <w:rPr>
          <w:szCs w:val="26"/>
          <w:shd w:val="clear" w:color="auto" w:fill="FFFFFF"/>
        </w:rPr>
        <w:t>.  (</w:t>
      </w:r>
      <w:r w:rsidRPr="00F12630">
        <w:rPr>
          <w:i/>
          <w:iCs/>
          <w:szCs w:val="26"/>
          <w:shd w:val="clear" w:color="auto" w:fill="FFFFFF"/>
        </w:rPr>
        <w:t>Huntley v. Public Utilities Commission</w:t>
      </w:r>
      <w:r>
        <w:rPr>
          <w:szCs w:val="26"/>
          <w:shd w:val="clear" w:color="auto" w:fill="FFFFFF"/>
        </w:rPr>
        <w:t xml:space="preserve">, </w:t>
      </w:r>
      <w:r w:rsidRPr="001369DD">
        <w:rPr>
          <w:i/>
          <w:szCs w:val="26"/>
          <w:shd w:val="clear" w:color="auto" w:fill="FFFFFF"/>
        </w:rPr>
        <w:t>supra</w:t>
      </w:r>
      <w:r>
        <w:rPr>
          <w:szCs w:val="26"/>
          <w:shd w:val="clear" w:color="auto" w:fill="FFFFFF"/>
        </w:rPr>
        <w:t>,</w:t>
      </w:r>
      <w:r w:rsidRPr="00F12630">
        <w:rPr>
          <w:szCs w:val="26"/>
          <w:shd w:val="clear" w:color="auto" w:fill="FFFFFF"/>
        </w:rPr>
        <w:t xml:space="preserve"> 69 Cal.2d</w:t>
      </w:r>
      <w:r>
        <w:rPr>
          <w:szCs w:val="26"/>
          <w:shd w:val="clear" w:color="auto" w:fill="FFFFFF"/>
        </w:rPr>
        <w:t xml:space="preserve"> at p. 75.)  In this case neither side presented evidence of the </w:t>
      </w:r>
      <w:r w:rsidRPr="00F12630">
        <w:rPr>
          <w:szCs w:val="26"/>
          <w:shd w:val="clear" w:color="auto" w:fill="FFFFFF"/>
        </w:rPr>
        <w:t>state’s interests</w:t>
      </w:r>
      <w:r>
        <w:rPr>
          <w:szCs w:val="26"/>
          <w:shd w:val="clear" w:color="auto" w:fill="FFFFFF"/>
        </w:rPr>
        <w:t xml:space="preserve"> </w:t>
      </w:r>
      <w:r w:rsidRPr="00F12630">
        <w:rPr>
          <w:szCs w:val="26"/>
          <w:shd w:val="clear" w:color="auto" w:fill="FFFFFF"/>
        </w:rPr>
        <w:t>in requiring complainants to sign the ad</w:t>
      </w:r>
      <w:r>
        <w:rPr>
          <w:szCs w:val="26"/>
          <w:shd w:val="clear" w:color="auto" w:fill="FFFFFF"/>
        </w:rPr>
        <w:t>visory</w:t>
      </w:r>
      <w:r w:rsidRPr="00F12630">
        <w:rPr>
          <w:szCs w:val="26"/>
          <w:shd w:val="clear" w:color="auto" w:fill="FFFFFF"/>
        </w:rPr>
        <w:t xml:space="preserve"> </w:t>
      </w:r>
      <w:r>
        <w:rPr>
          <w:szCs w:val="26"/>
          <w:shd w:val="clear" w:color="auto" w:fill="FFFFFF"/>
        </w:rPr>
        <w:t xml:space="preserve">required by </w:t>
      </w:r>
      <w:r w:rsidRPr="00F12630">
        <w:rPr>
          <w:szCs w:val="26"/>
          <w:shd w:val="clear" w:color="auto" w:fill="FFFFFF"/>
        </w:rPr>
        <w:t xml:space="preserve">section </w:t>
      </w:r>
      <w:r w:rsidRPr="00F12630">
        <w:rPr>
          <w:szCs w:val="26"/>
          <w:shd w:val="clear" w:color="auto" w:fill="FFFFFF"/>
        </w:rPr>
        <w:lastRenderedPageBreak/>
        <w:t>148.6, subdivision (a)(2)</w:t>
      </w:r>
      <w:r>
        <w:rPr>
          <w:szCs w:val="26"/>
          <w:shd w:val="clear" w:color="auto" w:fill="FFFFFF"/>
        </w:rPr>
        <w:t>, so that the trial court could balance those interests against citizens’ right to file complaints of police misconduct anonymously</w:t>
      </w:r>
      <w:r w:rsidRPr="00F12630">
        <w:rPr>
          <w:szCs w:val="26"/>
          <w:shd w:val="clear" w:color="auto" w:fill="FFFFFF"/>
        </w:rPr>
        <w:t>.</w:t>
      </w:r>
      <w:r>
        <w:rPr>
          <w:szCs w:val="26"/>
          <w:shd w:val="clear" w:color="auto" w:fill="FFFFFF"/>
        </w:rPr>
        <w:t xml:space="preserve">  (See </w:t>
      </w:r>
      <w:r>
        <w:rPr>
          <w:i/>
          <w:iCs/>
          <w:szCs w:val="26"/>
          <w:shd w:val="clear" w:color="auto" w:fill="FFFFFF"/>
        </w:rPr>
        <w:t>In re </w:t>
      </w:r>
      <w:r w:rsidRPr="00AA2722">
        <w:rPr>
          <w:i/>
          <w:iCs/>
          <w:szCs w:val="26"/>
          <w:shd w:val="clear" w:color="auto" w:fill="FFFFFF"/>
        </w:rPr>
        <w:t>N.R.</w:t>
      </w:r>
      <w:r w:rsidRPr="00452F4E">
        <w:rPr>
          <w:szCs w:val="26"/>
          <w:shd w:val="clear" w:color="auto" w:fill="FFFFFF"/>
        </w:rPr>
        <w:t xml:space="preserve"> (2017) 15</w:t>
      </w:r>
      <w:r>
        <w:rPr>
          <w:szCs w:val="26"/>
          <w:shd w:val="clear" w:color="auto" w:fill="FFFFFF"/>
        </w:rPr>
        <w:t> </w:t>
      </w:r>
      <w:r w:rsidRPr="00452F4E">
        <w:rPr>
          <w:szCs w:val="26"/>
          <w:shd w:val="clear" w:color="auto" w:fill="FFFFFF"/>
        </w:rPr>
        <w:t>Cal.App.5th 590, 598</w:t>
      </w:r>
      <w:r>
        <w:rPr>
          <w:szCs w:val="26"/>
          <w:shd w:val="clear" w:color="auto" w:fill="FFFFFF"/>
        </w:rPr>
        <w:t xml:space="preserve"> [where an argument “</w:t>
      </w:r>
      <w:r w:rsidRPr="00452F4E">
        <w:rPr>
          <w:szCs w:val="26"/>
          <w:shd w:val="clear" w:color="auto" w:fill="FFFFFF"/>
        </w:rPr>
        <w:t>involves an issue of fact rather than a pure question of law,</w:t>
      </w:r>
      <w:r>
        <w:rPr>
          <w:szCs w:val="26"/>
          <w:shd w:val="clear" w:color="auto" w:fill="FFFFFF"/>
        </w:rPr>
        <w:t>” it is “</w:t>
      </w:r>
      <w:r w:rsidRPr="00452F4E">
        <w:rPr>
          <w:szCs w:val="26"/>
          <w:shd w:val="clear" w:color="auto" w:fill="FFFFFF"/>
        </w:rPr>
        <w:t>forfeited by appellant’s failure to raise it below</w:t>
      </w:r>
      <w:r>
        <w:rPr>
          <w:szCs w:val="26"/>
          <w:shd w:val="clear" w:color="auto" w:fill="FFFFFF"/>
        </w:rPr>
        <w:t xml:space="preserve">”]; </w:t>
      </w:r>
      <w:r w:rsidRPr="00485898">
        <w:rPr>
          <w:i/>
          <w:iCs/>
          <w:szCs w:val="26"/>
          <w:shd w:val="clear" w:color="auto" w:fill="FFFFFF"/>
        </w:rPr>
        <w:t>Blankenship v. Allstate Ins. Co.</w:t>
      </w:r>
      <w:r w:rsidRPr="009D39BD">
        <w:rPr>
          <w:szCs w:val="26"/>
          <w:shd w:val="clear" w:color="auto" w:fill="FFFFFF"/>
        </w:rPr>
        <w:t xml:space="preserve"> (2010) 186</w:t>
      </w:r>
      <w:r>
        <w:rPr>
          <w:szCs w:val="26"/>
          <w:shd w:val="clear" w:color="auto" w:fill="FFFFFF"/>
        </w:rPr>
        <w:t> </w:t>
      </w:r>
      <w:r w:rsidRPr="009D39BD">
        <w:rPr>
          <w:szCs w:val="26"/>
          <w:shd w:val="clear" w:color="auto" w:fill="FFFFFF"/>
        </w:rPr>
        <w:t>Cal.App.4th 87, 105</w:t>
      </w:r>
      <w:r>
        <w:rPr>
          <w:szCs w:val="26"/>
          <w:shd w:val="clear" w:color="auto" w:fill="FFFFFF"/>
        </w:rPr>
        <w:t xml:space="preserve"> [“</w:t>
      </w:r>
      <w:r w:rsidRPr="009D39BD">
        <w:rPr>
          <w:szCs w:val="26"/>
          <w:shd w:val="clear" w:color="auto" w:fill="FFFFFF"/>
        </w:rPr>
        <w:t>arguments raised for the first time on appeal</w:t>
      </w:r>
      <w:r>
        <w:rPr>
          <w:szCs w:val="26"/>
          <w:shd w:val="clear" w:color="auto" w:fill="FFFFFF"/>
        </w:rPr>
        <w:t xml:space="preserve">” that “involve questions of fact” are forfeited]; </w:t>
      </w:r>
      <w:r w:rsidRPr="00111FC2">
        <w:rPr>
          <w:i/>
          <w:iCs/>
          <w:szCs w:val="26"/>
          <w:shd w:val="clear" w:color="auto" w:fill="FFFFFF"/>
        </w:rPr>
        <w:t>Zimmerman, Rosenfeld, Gersh &amp; Leeds LLP v. Larson</w:t>
      </w:r>
      <w:r w:rsidRPr="00111FC2">
        <w:rPr>
          <w:szCs w:val="26"/>
          <w:shd w:val="clear" w:color="auto" w:fill="FFFFFF"/>
        </w:rPr>
        <w:t xml:space="preserve"> (2005) 131</w:t>
      </w:r>
      <w:r>
        <w:rPr>
          <w:szCs w:val="26"/>
          <w:shd w:val="clear" w:color="auto" w:fill="FFFFFF"/>
        </w:rPr>
        <w:t> </w:t>
      </w:r>
      <w:r w:rsidRPr="00111FC2">
        <w:rPr>
          <w:szCs w:val="26"/>
          <w:shd w:val="clear" w:color="auto" w:fill="FFFFFF"/>
        </w:rPr>
        <w:t>Cal.App.4th 1466, 1488</w:t>
      </w:r>
      <w:r>
        <w:rPr>
          <w:szCs w:val="26"/>
          <w:shd w:val="clear" w:color="auto" w:fill="FFFFFF"/>
        </w:rPr>
        <w:t xml:space="preserve"> [an argument is forfeited “i</w:t>
      </w:r>
      <w:r w:rsidRPr="00111FC2">
        <w:rPr>
          <w:szCs w:val="26"/>
          <w:shd w:val="clear" w:color="auto" w:fill="FFFFFF"/>
        </w:rPr>
        <w:t>f it was not raised below and requires consideration of new factual questions</w:t>
      </w:r>
      <w:r>
        <w:rPr>
          <w:szCs w:val="26"/>
          <w:shd w:val="clear" w:color="auto" w:fill="FFFFFF"/>
        </w:rPr>
        <w:t>”]</w:t>
      </w:r>
      <w:r w:rsidRPr="009D39BD">
        <w:rPr>
          <w:szCs w:val="26"/>
          <w:shd w:val="clear" w:color="auto" w:fill="FFFFFF"/>
        </w:rPr>
        <w:t>.</w:t>
      </w:r>
      <w:r>
        <w:rPr>
          <w:szCs w:val="26"/>
          <w:shd w:val="clear" w:color="auto" w:fill="FFFFFF"/>
        </w:rPr>
        <w:t>)</w:t>
      </w:r>
    </w:p>
    <w:p w14:paraId="2618499C" w14:textId="77777777" w:rsidR="00E0461B" w:rsidRDefault="009D4782">
      <w:pPr>
        <w:spacing w:after="200" w:line="276" w:lineRule="auto"/>
        <w:rPr>
          <w:b/>
        </w:rPr>
      </w:pPr>
      <w:r>
        <w:br w:type="page"/>
      </w:r>
    </w:p>
    <w:p w14:paraId="0CCCB0D4" w14:textId="77777777" w:rsidR="00973CD4" w:rsidRPr="00C211A5" w:rsidRDefault="009D4782" w:rsidP="00C05370">
      <w:pPr>
        <w:pStyle w:val="CaCoA-Heading1"/>
      </w:pPr>
      <w:r w:rsidRPr="00C211A5">
        <w:lastRenderedPageBreak/>
        <w:t>DISPOSITION</w:t>
      </w:r>
    </w:p>
    <w:p w14:paraId="23A86F9D" w14:textId="77777777" w:rsidR="00973CD4" w:rsidRPr="00C211A5" w:rsidRDefault="0028732F" w:rsidP="005E591B">
      <w:pPr>
        <w:keepNext/>
        <w:ind w:firstLine="720"/>
        <w:rPr>
          <w:szCs w:val="26"/>
        </w:rPr>
      </w:pPr>
    </w:p>
    <w:p w14:paraId="0FCE8F2A" w14:textId="77777777" w:rsidR="00973CD4" w:rsidRPr="00C211A5" w:rsidRDefault="009D4782" w:rsidP="005E591B">
      <w:pPr>
        <w:keepNext/>
        <w:ind w:firstLine="720"/>
        <w:rPr>
          <w:szCs w:val="26"/>
        </w:rPr>
      </w:pPr>
      <w:r w:rsidRPr="00C211A5">
        <w:rPr>
          <w:szCs w:val="26"/>
        </w:rPr>
        <w:t xml:space="preserve">The </w:t>
      </w:r>
      <w:r>
        <w:rPr>
          <w:szCs w:val="26"/>
        </w:rPr>
        <w:t xml:space="preserve">judgment is affirmed.  </w:t>
      </w:r>
    </w:p>
    <w:p w14:paraId="0256E96C" w14:textId="77777777" w:rsidR="00FB7A19" w:rsidRPr="00C211A5" w:rsidRDefault="0028732F" w:rsidP="00CA00E7">
      <w:pPr>
        <w:ind w:firstLine="720"/>
        <w:rPr>
          <w:szCs w:val="26"/>
        </w:rPr>
      </w:pPr>
    </w:p>
    <w:p w14:paraId="5B457953" w14:textId="77777777" w:rsidR="00240737" w:rsidRPr="00C211A5" w:rsidRDefault="0028732F" w:rsidP="00240737">
      <w:pPr>
        <w:contextualSpacing/>
        <w:outlineLvl w:val="0"/>
        <w:rPr>
          <w:szCs w:val="26"/>
        </w:rPr>
      </w:pPr>
    </w:p>
    <w:p w14:paraId="134C3BA0" w14:textId="77777777" w:rsidR="000F5847" w:rsidRPr="00C211A5" w:rsidRDefault="0028732F" w:rsidP="00240737">
      <w:pPr>
        <w:contextualSpacing/>
        <w:outlineLvl w:val="0"/>
        <w:rPr>
          <w:szCs w:val="26"/>
        </w:rPr>
      </w:pPr>
    </w:p>
    <w:p w14:paraId="6E9824C4" w14:textId="77777777" w:rsidR="00240737" w:rsidRPr="00C211A5" w:rsidRDefault="009D4782" w:rsidP="00737FA0">
      <w:pPr>
        <w:ind w:left="4320"/>
        <w:contextualSpacing/>
        <w:rPr>
          <w:szCs w:val="26"/>
        </w:rPr>
      </w:pPr>
      <w:r>
        <w:rPr>
          <w:szCs w:val="26"/>
        </w:rPr>
        <w:t xml:space="preserve"> </w:t>
      </w:r>
      <w:r w:rsidRPr="00C211A5">
        <w:rPr>
          <w:szCs w:val="26"/>
        </w:rPr>
        <w:t xml:space="preserve">SEGAL, J. </w:t>
      </w:r>
    </w:p>
    <w:p w14:paraId="5DC76385" w14:textId="77777777" w:rsidR="00240737" w:rsidRPr="00C211A5" w:rsidRDefault="0028732F" w:rsidP="00240737">
      <w:pPr>
        <w:contextualSpacing/>
        <w:outlineLvl w:val="0"/>
        <w:rPr>
          <w:szCs w:val="26"/>
        </w:rPr>
      </w:pPr>
    </w:p>
    <w:p w14:paraId="4541C9F2" w14:textId="77777777" w:rsidR="007F5A60" w:rsidRPr="00C211A5" w:rsidRDefault="0028732F" w:rsidP="00240737">
      <w:pPr>
        <w:contextualSpacing/>
        <w:outlineLvl w:val="0"/>
        <w:rPr>
          <w:szCs w:val="26"/>
        </w:rPr>
      </w:pPr>
    </w:p>
    <w:p w14:paraId="07ED2095" w14:textId="77777777" w:rsidR="00783E74" w:rsidRDefault="009D4782" w:rsidP="00783E74">
      <w:pPr>
        <w:ind w:firstLine="720"/>
        <w:contextualSpacing/>
        <w:rPr>
          <w:iCs/>
        </w:rPr>
      </w:pPr>
      <w:r w:rsidRPr="00C211A5">
        <w:rPr>
          <w:iCs/>
        </w:rPr>
        <w:t>We concur:</w:t>
      </w:r>
    </w:p>
    <w:p w14:paraId="2F07BB89" w14:textId="77777777" w:rsidR="00783E74" w:rsidRDefault="0028732F" w:rsidP="00783E74">
      <w:pPr>
        <w:ind w:firstLine="720"/>
        <w:contextualSpacing/>
        <w:rPr>
          <w:iCs/>
        </w:rPr>
      </w:pPr>
    </w:p>
    <w:p w14:paraId="56B25494" w14:textId="77777777" w:rsidR="00783E74" w:rsidRPr="00C211A5" w:rsidRDefault="0028732F" w:rsidP="00783E74">
      <w:pPr>
        <w:ind w:firstLine="720"/>
        <w:contextualSpacing/>
        <w:rPr>
          <w:iCs/>
        </w:rPr>
      </w:pPr>
    </w:p>
    <w:p w14:paraId="12639B7E" w14:textId="77777777" w:rsidR="00783E74" w:rsidRDefault="0028732F" w:rsidP="00783E74">
      <w:pPr>
        <w:ind w:left="2160"/>
        <w:contextualSpacing/>
        <w:rPr>
          <w:iCs/>
        </w:rPr>
      </w:pPr>
    </w:p>
    <w:p w14:paraId="1250EF91" w14:textId="77777777" w:rsidR="00783E74" w:rsidRDefault="009D4782" w:rsidP="00783E74">
      <w:pPr>
        <w:contextualSpacing/>
        <w:rPr>
          <w:iCs/>
        </w:rPr>
      </w:pPr>
      <w:r>
        <w:rPr>
          <w:iCs/>
        </w:rPr>
        <w:tab/>
      </w:r>
      <w:r>
        <w:rPr>
          <w:iCs/>
        </w:rPr>
        <w:tab/>
        <w:t>PERLUSS, P. J.</w:t>
      </w:r>
    </w:p>
    <w:p w14:paraId="46034965" w14:textId="77777777" w:rsidR="00783E74" w:rsidRDefault="0028732F" w:rsidP="00783E74">
      <w:pPr>
        <w:contextualSpacing/>
        <w:rPr>
          <w:iCs/>
        </w:rPr>
      </w:pPr>
    </w:p>
    <w:p w14:paraId="0723789E" w14:textId="77777777" w:rsidR="00835E46" w:rsidRDefault="0028732F" w:rsidP="00772EF1">
      <w:pPr>
        <w:ind w:left="2160"/>
        <w:contextualSpacing/>
        <w:rPr>
          <w:iCs/>
        </w:rPr>
      </w:pPr>
    </w:p>
    <w:p w14:paraId="76D6FF77" w14:textId="77777777" w:rsidR="00B72146" w:rsidRDefault="0028732F" w:rsidP="00835E46">
      <w:pPr>
        <w:contextualSpacing/>
        <w:rPr>
          <w:iCs/>
        </w:rPr>
      </w:pPr>
    </w:p>
    <w:p w14:paraId="31136FAB" w14:textId="77777777" w:rsidR="00213DD8" w:rsidRDefault="009D4782" w:rsidP="00835E46">
      <w:pPr>
        <w:contextualSpacing/>
        <w:rPr>
          <w:rFonts w:eastAsia="Times New Roman"/>
          <w:iCs/>
          <w:szCs w:val="26"/>
          <w:vertAlign w:val="superscript"/>
        </w:rPr>
        <w:sectPr w:rsidR="00213DD8" w:rsidSect="00C513E7">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pPr>
      <w:r>
        <w:rPr>
          <w:iCs/>
        </w:rPr>
        <w:tab/>
      </w:r>
      <w:r>
        <w:rPr>
          <w:iCs/>
        </w:rPr>
        <w:tab/>
        <w:t>WISE</w:t>
      </w:r>
      <w:r w:rsidRPr="00C211A5">
        <w:rPr>
          <w:iCs/>
        </w:rPr>
        <w:t>,</w:t>
      </w:r>
      <w:r>
        <w:rPr>
          <w:iCs/>
        </w:rPr>
        <w:t> </w:t>
      </w:r>
      <w:r w:rsidRPr="00C211A5">
        <w:rPr>
          <w:iCs/>
        </w:rPr>
        <w:t>J.</w:t>
      </w:r>
      <w:r w:rsidRPr="00FC6987">
        <w:rPr>
          <w:iCs/>
          <w:szCs w:val="26"/>
          <w:vertAlign w:val="superscript"/>
        </w:rPr>
        <w:t xml:space="preserve"> </w:t>
      </w:r>
      <w:r>
        <w:rPr>
          <w:rFonts w:eastAsia="Times New Roman"/>
          <w:iCs/>
          <w:szCs w:val="26"/>
          <w:vertAlign w:val="superscript"/>
        </w:rPr>
        <w:footnoteReference w:customMarkFollows="1" w:id="16"/>
        <w:t>*</w:t>
      </w:r>
    </w:p>
    <w:p w14:paraId="51AFBB47" w14:textId="77777777" w:rsidR="00213DD8" w:rsidRDefault="009D4782" w:rsidP="00213DD8">
      <w:pPr>
        <w:spacing w:after="120"/>
      </w:pPr>
      <w:r>
        <w:lastRenderedPageBreak/>
        <w:tab/>
        <w:t>PERLUSS, P. J., Concurring</w:t>
      </w:r>
    </w:p>
    <w:p w14:paraId="5DB0698F" w14:textId="77777777" w:rsidR="00213DD8" w:rsidRDefault="009D4782" w:rsidP="00213DD8">
      <w:r>
        <w:tab/>
        <w:t xml:space="preserve">I fully agree with, and have signed, the court’s opinion </w:t>
      </w:r>
      <w:r>
        <w:rPr>
          <w:rFonts w:cs="Calibri"/>
        </w:rPr>
        <w:t xml:space="preserve">adhering to the Supreme Court’s decision in </w:t>
      </w:r>
      <w:r>
        <w:rPr>
          <w:rFonts w:cs="Calibri"/>
          <w:i/>
        </w:rPr>
        <w:t>People v. Stanistreet</w:t>
      </w:r>
      <w:r>
        <w:rPr>
          <w:rFonts w:cs="Calibri"/>
        </w:rPr>
        <w:t xml:space="preserve"> (2002) 29 Cal.4th 497, holding Penal Code section 148.6 (section 148.6) is not an unconstitutional restraint on speech.  </w:t>
      </w:r>
      <w:r>
        <w:t xml:space="preserve">I add this grace note to briefly emphasize several issues our opinion does not address because the City focused its defense of the Police Protective League’s lawsuit on the rights of individuals seeking to complain about police misconduct, not the City’s own rights and responsibilities. </w:t>
      </w:r>
    </w:p>
    <w:p w14:paraId="53CE79D3" w14:textId="77777777" w:rsidR="00213DD8" w:rsidRDefault="009D4782" w:rsidP="00213DD8">
      <w:pPr>
        <w:pStyle w:val="NormalFirstLineIndent"/>
        <w:ind w:right="-90"/>
        <w:rPr>
          <w:color w:val="000000"/>
        </w:rPr>
      </w:pPr>
      <w:r>
        <w:rPr>
          <w:rFonts w:eastAsia="Times New Roman"/>
          <w:color w:val="000000"/>
          <w:szCs w:val="26"/>
        </w:rPr>
        <w:t xml:space="preserve">First, Los Angeles is a charter city.  (See Gov. Code, § 34101.)  </w:t>
      </w:r>
      <w:r>
        <w:rPr>
          <w:color w:val="000000"/>
        </w:rPr>
        <w:t xml:space="preserve">As the Supreme Court explained in </w:t>
      </w:r>
      <w:r>
        <w:rPr>
          <w:i/>
          <w:iCs/>
          <w:color w:val="000000"/>
        </w:rPr>
        <w:t>State Building &amp; Construction Trades Council of California v. City of Vista</w:t>
      </w:r>
      <w:r>
        <w:rPr>
          <w:color w:val="000000"/>
        </w:rPr>
        <w:t xml:space="preserve"> (2012) 54 Cal.4th 547 (</w:t>
      </w:r>
      <w:r>
        <w:rPr>
          <w:i/>
          <w:color w:val="000000"/>
        </w:rPr>
        <w:t>City of Vista</w:t>
      </w:r>
      <w:r>
        <w:rPr>
          <w:color w:val="000000"/>
        </w:rPr>
        <w:t>), “Charter cities are specifically authorized by our state Constitution to govern themselves, free of state legislative intrusion, as to those matters deemed municipal affairs.  Article XI, section 5, subdivision (a) of the California Constitution provides:  ‘It shall be competent in any city charter to provide that the city governed thereunder may make and enforce all ordinances and regulations in respect to municipal affairs</w:t>
      </w:r>
      <w:r>
        <w:rPr>
          <w:i/>
          <w:iCs/>
          <w:color w:val="000000"/>
        </w:rPr>
        <w:t>,</w:t>
      </w:r>
      <w:r>
        <w:rPr>
          <w:color w:val="000000"/>
        </w:rPr>
        <w:t xml:space="preserve"> subject only to restrictions and limitations provided in their several charters and in respect to other matters they shall be subject to general laws.  City charters adopted pursuant to this Constitution shall supersede any existing charter, and with respect to municipal affairs shall supersede all laws inconsistent therewith.’”  (</w:t>
      </w:r>
      <w:r>
        <w:rPr>
          <w:i/>
          <w:color w:val="000000"/>
        </w:rPr>
        <w:t>Id.</w:t>
      </w:r>
      <w:r>
        <w:rPr>
          <w:color w:val="000000"/>
        </w:rPr>
        <w:t xml:space="preserve"> at p. 555; italics omitted.)  Known as the home rule doctrine, the broad authority of charter cities was originally “‘enacted upon the principle that the municipality itself knew better what it wanted and needed than the state at large, and to give that municipality the exclusive privilege and right to enact </w:t>
      </w:r>
      <w:r>
        <w:rPr>
          <w:color w:val="000000"/>
        </w:rPr>
        <w:lastRenderedPageBreak/>
        <w:t>direct legislation which would carry out and satisfy its wants and needs.’  [Citation.]  The provision represents an ‘affirmative constitutional grant to charter cities of “all powers appropriate for a municipality to possess . . .” and [includes] the important corollary that “so far as ‘municipal affairs’ are concerned,” charter cities are “supreme and beyond the reach of legislative enactment.”’”  (</w:t>
      </w:r>
      <w:r>
        <w:rPr>
          <w:i/>
          <w:iCs/>
          <w:color w:val="000000"/>
        </w:rPr>
        <w:t xml:space="preserve">Id. </w:t>
      </w:r>
      <w:r>
        <w:rPr>
          <w:color w:val="000000"/>
        </w:rPr>
        <w:t xml:space="preserve">at pp. 555-556; see </w:t>
      </w:r>
      <w:r>
        <w:rPr>
          <w:i/>
          <w:iCs/>
          <w:color w:val="000000"/>
        </w:rPr>
        <w:t xml:space="preserve">Johnson v. Bradley </w:t>
      </w:r>
      <w:r>
        <w:rPr>
          <w:color w:val="000000"/>
        </w:rPr>
        <w:t xml:space="preserve">(1992) 4 Cal.4th 389, 394-398; </w:t>
      </w:r>
      <w:r>
        <w:rPr>
          <w:i/>
          <w:iCs/>
          <w:color w:val="000000"/>
        </w:rPr>
        <w:t xml:space="preserve">California Fed. Savings &amp; Loan Assn. v. City of Los Angeles </w:t>
      </w:r>
      <w:r>
        <w:rPr>
          <w:color w:val="000000"/>
        </w:rPr>
        <w:t>(1991) 54 Cal.3d 1, 12 (</w:t>
      </w:r>
      <w:r>
        <w:rPr>
          <w:i/>
          <w:color w:val="000000"/>
        </w:rPr>
        <w:t>California Fed</w:t>
      </w:r>
      <w:r>
        <w:rPr>
          <w:color w:val="000000"/>
        </w:rPr>
        <w:t xml:space="preserve">. </w:t>
      </w:r>
      <w:r>
        <w:rPr>
          <w:i/>
          <w:color w:val="000000"/>
        </w:rPr>
        <w:t>Savings</w:t>
      </w:r>
      <w:r>
        <w:rPr>
          <w:color w:val="000000"/>
        </w:rPr>
        <w:t>).)</w:t>
      </w:r>
    </w:p>
    <w:p w14:paraId="33247C8E" w14:textId="77777777" w:rsidR="00213DD8" w:rsidRDefault="009D4782" w:rsidP="00954002">
      <w:pPr>
        <w:shd w:val="clear" w:color="auto" w:fill="FFFFFF"/>
        <w:ind w:firstLine="720"/>
        <w:textAlignment w:val="baseline"/>
        <w:rPr>
          <w:rFonts w:eastAsia="Times New Roman"/>
          <w:color w:val="000000"/>
          <w:szCs w:val="26"/>
        </w:rPr>
      </w:pPr>
      <w:r>
        <w:rPr>
          <w:color w:val="000000"/>
        </w:rPr>
        <w:t xml:space="preserve">Article XI, section 5, subdivision (b), of the California Constitution sets out a nonexclusive list of four core categories that are, by definition, “municipal affairs.”  First on that list is </w:t>
      </w:r>
      <w:r>
        <w:rPr>
          <w:rFonts w:eastAsia="Times New Roman"/>
          <w:color w:val="212121"/>
          <w:szCs w:val="26"/>
        </w:rPr>
        <w:t xml:space="preserve">“the constitution, regulation, and government of the city police force.”  </w:t>
      </w:r>
      <w:r>
        <w:rPr>
          <w:color w:val="000000"/>
        </w:rPr>
        <w:t xml:space="preserve">(See </w:t>
      </w:r>
      <w:r>
        <w:rPr>
          <w:i/>
          <w:iCs/>
          <w:color w:val="000000"/>
        </w:rPr>
        <w:t xml:space="preserve">Johnson v. Bradley, supra, </w:t>
      </w:r>
      <w:r>
        <w:rPr>
          <w:color w:val="000000"/>
        </w:rPr>
        <w:t xml:space="preserve">4 Cal.4th at p. 398.)  Thus, if the City authorizes its police department to accept complaints of misconduct without a signed advisory, it may not be within the authority of the Legislature to prohibit it from doing so.  </w:t>
      </w:r>
      <w:r>
        <w:rPr>
          <w:rFonts w:eastAsia="Times New Roman"/>
          <w:color w:val="000000"/>
          <w:szCs w:val="26"/>
        </w:rPr>
        <w:t xml:space="preserve">(See generally </w:t>
      </w:r>
      <w:r>
        <w:rPr>
          <w:rFonts w:eastAsia="Times New Roman"/>
          <w:i/>
          <w:color w:val="000000"/>
          <w:szCs w:val="26"/>
        </w:rPr>
        <w:t>City of Huntington Beach v. Becerra</w:t>
      </w:r>
      <w:r>
        <w:rPr>
          <w:rFonts w:eastAsia="Times New Roman"/>
          <w:color w:val="000000"/>
          <w:szCs w:val="26"/>
        </w:rPr>
        <w:t xml:space="preserve"> (2020) 44 Cal.App.5th 243, 254, 259 [“[h]ome rule authority under article XI, section 5 of the California Constitution does not mean charter cities can never be subject to state laws that concern or regulate municipal affairs”; the Supreme Court’s analytical framework articulated in </w:t>
      </w:r>
      <w:r>
        <w:rPr>
          <w:rFonts w:eastAsia="Times New Roman"/>
          <w:i/>
          <w:iCs/>
          <w:color w:val="000000"/>
          <w:szCs w:val="26"/>
          <w:bdr w:val="none" w:sz="0" w:space="0" w:color="auto" w:frame="1"/>
        </w:rPr>
        <w:t>City of Vista</w:t>
      </w:r>
      <w:r>
        <w:rPr>
          <w:rFonts w:eastAsia="Times New Roman"/>
          <w:color w:val="000000"/>
          <w:szCs w:val="26"/>
        </w:rPr>
        <w:t xml:space="preserve"> and </w:t>
      </w:r>
      <w:r>
        <w:rPr>
          <w:rFonts w:eastAsia="Times New Roman"/>
          <w:i/>
          <w:iCs/>
          <w:color w:val="000000"/>
          <w:szCs w:val="26"/>
          <w:bdr w:val="none" w:sz="0" w:space="0" w:color="auto" w:frame="1"/>
        </w:rPr>
        <w:t>California Fed. Savings</w:t>
      </w:r>
      <w:r>
        <w:rPr>
          <w:rFonts w:eastAsia="Times New Roman"/>
          <w:color w:val="000000"/>
          <w:szCs w:val="26"/>
        </w:rPr>
        <w:t xml:space="preserve"> “appl[ies] to a state law that is claimed to intrude on a </w:t>
      </w:r>
      <w:r>
        <w:rPr>
          <w:rFonts w:eastAsia="Times New Roman"/>
          <w:color w:val="000000"/>
          <w:szCs w:val="26"/>
          <w:bdr w:val="none" w:sz="0" w:space="0" w:color="auto" w:frame="1"/>
        </w:rPr>
        <w:t>charter</w:t>
      </w:r>
      <w:r>
        <w:rPr>
          <w:rFonts w:eastAsia="Times New Roman"/>
          <w:color w:val="000000"/>
          <w:szCs w:val="26"/>
        </w:rPr>
        <w:t xml:space="preserve"> </w:t>
      </w:r>
      <w:r>
        <w:rPr>
          <w:rFonts w:eastAsia="Times New Roman"/>
          <w:color w:val="000000"/>
          <w:szCs w:val="26"/>
          <w:bdr w:val="none" w:sz="0" w:space="0" w:color="auto" w:frame="1"/>
        </w:rPr>
        <w:t>city’</w:t>
      </w:r>
      <w:r>
        <w:rPr>
          <w:rFonts w:eastAsia="Times New Roman"/>
          <w:color w:val="000000"/>
          <w:szCs w:val="26"/>
        </w:rPr>
        <w:t xml:space="preserve">s right under article XI, section 5(b) to create, </w:t>
      </w:r>
      <w:r>
        <w:rPr>
          <w:rFonts w:eastAsia="Times New Roman"/>
          <w:color w:val="000000"/>
          <w:szCs w:val="26"/>
          <w:bdr w:val="none" w:sz="0" w:space="0" w:color="auto" w:frame="1"/>
        </w:rPr>
        <w:t>regulate</w:t>
      </w:r>
      <w:r>
        <w:rPr>
          <w:rFonts w:eastAsia="Times New Roman"/>
          <w:color w:val="000000"/>
          <w:szCs w:val="26"/>
        </w:rPr>
        <w:t xml:space="preserve">, and govern a </w:t>
      </w:r>
      <w:r>
        <w:rPr>
          <w:rFonts w:eastAsia="Times New Roman"/>
          <w:color w:val="000000"/>
          <w:szCs w:val="26"/>
          <w:bdr w:val="none" w:sz="0" w:space="0" w:color="auto" w:frame="1"/>
        </w:rPr>
        <w:t xml:space="preserve">police </w:t>
      </w:r>
      <w:r>
        <w:rPr>
          <w:rFonts w:eastAsia="Times New Roman"/>
          <w:color w:val="000000"/>
          <w:szCs w:val="26"/>
        </w:rPr>
        <w:t>force”].)</w:t>
      </w:r>
    </w:p>
    <w:p w14:paraId="19CB1274" w14:textId="77777777" w:rsidR="00213DD8" w:rsidRDefault="009D4782" w:rsidP="00954002">
      <w:pPr>
        <w:ind w:firstLine="720"/>
        <w:rPr>
          <w:rFonts w:eastAsia="Times New Roman"/>
          <w:color w:val="000000"/>
          <w:szCs w:val="26"/>
        </w:rPr>
      </w:pPr>
      <w:r>
        <w:t xml:space="preserve">Second, although section 148.6 provides a law enforcement agency “shall” require a complainant to read and sign the advisory, “shall” can be construed as mandatory or directory.  </w:t>
      </w:r>
      <w:r>
        <w:lastRenderedPageBreak/>
        <w:t>(</w:t>
      </w:r>
      <w:r>
        <w:rPr>
          <w:i/>
        </w:rPr>
        <w:t>People v. Ledesma</w:t>
      </w:r>
      <w:r>
        <w:t xml:space="preserve"> (1997) 16 Cal.4th 90, 95.)  “</w:t>
      </w:r>
      <w:r>
        <w:rPr>
          <w:rFonts w:eastAsia="Times New Roman"/>
          <w:color w:val="000000"/>
          <w:szCs w:val="26"/>
        </w:rPr>
        <w:t>When, as here, a statute sets forth a procedural requirement but does not set forth any penalty for noncompliance, a party may reasonably question whether the statute is merely directory, not mandatory.  ‘[T]he “mandatory” or “directory” designation does not refer to whether a particular statutory requirement is obligatory or permissive, but instead denotes “‘whether the failure to comply with a particular procedural step will or will not have the effect of invalidating the governmental action to which the procedural requirement relates.”’”  (</w:t>
      </w:r>
      <w:r>
        <w:rPr>
          <w:rFonts w:eastAsia="Times New Roman"/>
          <w:i/>
          <w:color w:val="000000"/>
          <w:szCs w:val="26"/>
        </w:rPr>
        <w:t>People v. Gray</w:t>
      </w:r>
      <w:r>
        <w:rPr>
          <w:rFonts w:eastAsia="Times New Roman"/>
          <w:color w:val="000000"/>
          <w:szCs w:val="26"/>
        </w:rPr>
        <w:t xml:space="preserve"> (2014) 58 Cal.4th 901, 909; see </w:t>
      </w:r>
      <w:r>
        <w:rPr>
          <w:rFonts w:eastAsia="Times New Roman"/>
          <w:i/>
          <w:iCs/>
          <w:color w:val="000000"/>
          <w:szCs w:val="26"/>
          <w:bdr w:val="none" w:sz="0" w:space="0" w:color="auto" w:frame="1"/>
        </w:rPr>
        <w:t>Cal-Air Conditioning, Inc. v. Auburn Union School Dist.</w:t>
      </w:r>
      <w:r>
        <w:rPr>
          <w:rFonts w:eastAsia="Times New Roman"/>
          <w:color w:val="000000"/>
          <w:szCs w:val="26"/>
        </w:rPr>
        <w:t> (1993) 21 Cal.App.4th 655, 673 [“‘provisions defining time and mode in which public officials shall discharge their duties and which are obviously designed merely to secure order, uniformity, system and dispatch in the public bureaucracy are generally held to be directory’”].)  Even if section 148.6 applies to the City’s regulation of its police department despite the home rule doctrine, it is not clear—and we do not decide— that the City violates the statute by accepting a complaint of police misconduct without a signed advisory.</w:t>
      </w:r>
      <w:r>
        <w:rPr>
          <w:rStyle w:val="FootnoteReference"/>
          <w:rFonts w:eastAsia="Times New Roman"/>
          <w:color w:val="000000"/>
          <w:sz w:val="24"/>
          <w:szCs w:val="26"/>
        </w:rPr>
        <w:footnoteReference w:id="17"/>
      </w:r>
      <w:r>
        <w:rPr>
          <w:rFonts w:eastAsia="Times New Roman"/>
          <w:color w:val="000000"/>
          <w:sz w:val="24"/>
          <w:szCs w:val="26"/>
        </w:rPr>
        <w:t xml:space="preserve"> </w:t>
      </w:r>
      <w:r>
        <w:rPr>
          <w:rFonts w:eastAsia="Times New Roman"/>
          <w:color w:val="000000"/>
          <w:szCs w:val="26"/>
        </w:rPr>
        <w:t xml:space="preserve"> </w:t>
      </w:r>
    </w:p>
    <w:p w14:paraId="1E8FAED4" w14:textId="77777777" w:rsidR="00213DD8" w:rsidRDefault="009D4782" w:rsidP="00954002">
      <w:pPr>
        <w:ind w:firstLine="720"/>
        <w:rPr>
          <w:rFonts w:eastAsia="Times New Roman"/>
          <w:color w:val="000000"/>
          <w:szCs w:val="26"/>
        </w:rPr>
      </w:pPr>
      <w:r>
        <w:rPr>
          <w:rFonts w:eastAsia="Times New Roman"/>
          <w:color w:val="000000"/>
          <w:szCs w:val="26"/>
        </w:rPr>
        <w:t xml:space="preserve">Third, the import of a prohibition against “accepting an allegation of misconduct against a peace officer” without the signed advisory—the language of section 148.6 repeated in the injunction issued by the superior court—is, at best, unsettled.  In an opinion issued in 1996 shortly after the enactment of </w:t>
      </w:r>
      <w:r>
        <w:rPr>
          <w:rFonts w:eastAsia="Times New Roman"/>
          <w:color w:val="000000"/>
          <w:szCs w:val="26"/>
        </w:rPr>
        <w:lastRenderedPageBreak/>
        <w:t>section 148.6, Attorney General Daniel Lungen concluded, “A law enforcement agency may investigate an allegation of police misconduct even though the prescribed information advisory form has not been signed by the person filing the allegation.”  (79 Ops.Cal.Atty.Gen. 163 (1996).)  The Attorney General explained, “The plain wording and legislative history of section 148.6, along with the governing principles of statutory construction, including the duty to uphold the statute’s constitutional validity, all support the conclusion that a law enforcement agency does not lose its power and jurisdiction to investigate allegations of police misconduct even though it fails to secure the signature of the complainant on the advisory form.”  (</w:t>
      </w:r>
      <w:r>
        <w:rPr>
          <w:rFonts w:eastAsia="Times New Roman"/>
          <w:i/>
          <w:color w:val="000000"/>
          <w:szCs w:val="26"/>
        </w:rPr>
        <w:t>Id.</w:t>
      </w:r>
      <w:r>
        <w:rPr>
          <w:rFonts w:eastAsia="Times New Roman"/>
          <w:color w:val="000000"/>
          <w:szCs w:val="26"/>
        </w:rPr>
        <w:t xml:space="preserve"> at p. 167.)  What, if anything, the City and its police department may do after receiving, but not “accepting,” an unsigned or anonymous complaint is yet another issue we do not decide.</w:t>
      </w:r>
    </w:p>
    <w:p w14:paraId="0932C7D2" w14:textId="77777777" w:rsidR="00213DD8" w:rsidRDefault="0028732F" w:rsidP="00213DD8">
      <w:pPr>
        <w:rPr>
          <w:rFonts w:eastAsia="Times New Roman"/>
          <w:color w:val="000000"/>
          <w:szCs w:val="26"/>
        </w:rPr>
      </w:pPr>
    </w:p>
    <w:p w14:paraId="7C287DBB" w14:textId="77777777" w:rsidR="00213DD8" w:rsidRDefault="0028732F" w:rsidP="00213DD8">
      <w:pPr>
        <w:ind w:left="4320"/>
        <w:rPr>
          <w:rFonts w:eastAsia="Times New Roman"/>
          <w:color w:val="000000"/>
          <w:szCs w:val="26"/>
        </w:rPr>
      </w:pPr>
    </w:p>
    <w:p w14:paraId="386C62D9" w14:textId="77777777" w:rsidR="00213DD8" w:rsidRDefault="009D4782" w:rsidP="00213DD8">
      <w:pPr>
        <w:ind w:left="3600"/>
        <w:rPr>
          <w:rFonts w:eastAsia="Times New Roman"/>
          <w:color w:val="000000"/>
          <w:szCs w:val="26"/>
        </w:rPr>
      </w:pPr>
      <w:r>
        <w:rPr>
          <w:rFonts w:eastAsia="Times New Roman"/>
          <w:color w:val="000000"/>
          <w:szCs w:val="26"/>
        </w:rPr>
        <w:t>PERLUSS, P. J.</w:t>
      </w:r>
    </w:p>
    <w:p w14:paraId="3118F8AC" w14:textId="77777777" w:rsidR="006B4C0D" w:rsidRDefault="0028732F" w:rsidP="00835E46">
      <w:pPr>
        <w:contextualSpacing/>
        <w:rPr>
          <w:rFonts w:eastAsia="Times New Roman"/>
          <w:iCs/>
          <w:szCs w:val="26"/>
          <w:vertAlign w:val="superscript"/>
        </w:rPr>
      </w:pPr>
    </w:p>
    <w:p w14:paraId="2608B028" w14:textId="77777777" w:rsidR="00835E46" w:rsidRDefault="0028732F" w:rsidP="007656F8">
      <w:pPr>
        <w:pStyle w:val="CaCoA-BodyText"/>
        <w:rPr>
          <w:vertAlign w:val="superscript"/>
        </w:rPr>
      </w:pPr>
    </w:p>
    <w:p w14:paraId="365AC7EC" w14:textId="77777777" w:rsidR="001A3C5B" w:rsidRPr="00835E46" w:rsidRDefault="0028732F" w:rsidP="007656F8">
      <w:pPr>
        <w:pStyle w:val="CaCoA-BodyText"/>
      </w:pPr>
    </w:p>
    <w:sectPr w:rsidR="001A3C5B" w:rsidRPr="00835E46" w:rsidSect="00213DD8">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F7A9" w14:textId="77777777" w:rsidR="00AB6699" w:rsidRDefault="009D4782">
      <w:pPr>
        <w:spacing w:line="240" w:lineRule="auto"/>
      </w:pPr>
      <w:r>
        <w:separator/>
      </w:r>
    </w:p>
  </w:endnote>
  <w:endnote w:type="continuationSeparator" w:id="0">
    <w:p w14:paraId="1109C4A6" w14:textId="77777777" w:rsidR="00AB6699" w:rsidRDefault="009D4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351C" w14:textId="77777777" w:rsidR="00A97AD4" w:rsidRDefault="009D4782" w:rsidP="00196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8732F">
      <w:rPr>
        <w:rStyle w:val="PageNumber"/>
      </w:rPr>
      <w:fldChar w:fldCharType="separate"/>
    </w:r>
    <w:r>
      <w:rPr>
        <w:rStyle w:val="PageNumber"/>
      </w:rPr>
      <w:fldChar w:fldCharType="end"/>
    </w:r>
  </w:p>
  <w:p w14:paraId="2A4638B5" w14:textId="77777777" w:rsidR="00A97AD4" w:rsidRDefault="00287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22DC" w14:textId="77777777" w:rsidR="00A97AD4" w:rsidRDefault="009D4782" w:rsidP="00196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35672DB6" w14:textId="77777777" w:rsidR="00A97AD4" w:rsidRDefault="00287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5D7F" w14:textId="77777777" w:rsidR="008F12ED" w:rsidRDefault="00287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76F5" w14:textId="77777777" w:rsidR="00595A14" w:rsidRPr="005842E6" w:rsidRDefault="009D4782" w:rsidP="005842E6">
      <w:pPr>
        <w:pStyle w:val="Footer"/>
      </w:pPr>
      <w:r>
        <w:separator/>
      </w:r>
    </w:p>
  </w:footnote>
  <w:footnote w:type="continuationSeparator" w:id="0">
    <w:p w14:paraId="59007C3D" w14:textId="77777777" w:rsidR="00595A14" w:rsidRDefault="009D4782" w:rsidP="00C513E7">
      <w:pPr>
        <w:spacing w:line="240" w:lineRule="auto"/>
      </w:pPr>
      <w:r>
        <w:continuationSeparator/>
      </w:r>
    </w:p>
  </w:footnote>
  <w:footnote w:type="continuationNotice" w:id="1">
    <w:p w14:paraId="77B9A783" w14:textId="77777777" w:rsidR="00595A14" w:rsidRDefault="0028732F">
      <w:pPr>
        <w:spacing w:line="240" w:lineRule="auto"/>
      </w:pPr>
    </w:p>
  </w:footnote>
  <w:footnote w:id="2">
    <w:p w14:paraId="4DFF8167" w14:textId="77777777" w:rsidR="00A97AD4" w:rsidRPr="004A2951" w:rsidRDefault="009D4782">
      <w:pPr>
        <w:pStyle w:val="FootnoteText"/>
        <w:rPr>
          <w:sz w:val="26"/>
          <w:szCs w:val="26"/>
        </w:rPr>
      </w:pPr>
      <w:r w:rsidRPr="004A2951">
        <w:rPr>
          <w:rStyle w:val="FootnoteReference"/>
          <w:sz w:val="26"/>
          <w:szCs w:val="26"/>
        </w:rPr>
        <w:footnoteRef/>
      </w:r>
      <w:r w:rsidRPr="004A2951">
        <w:rPr>
          <w:sz w:val="26"/>
          <w:szCs w:val="26"/>
        </w:rPr>
        <w:t xml:space="preserve"> </w:t>
      </w:r>
      <w:r w:rsidRPr="004A2951">
        <w:rPr>
          <w:sz w:val="26"/>
          <w:szCs w:val="26"/>
        </w:rPr>
        <w:tab/>
      </w:r>
      <w:r>
        <w:rPr>
          <w:sz w:val="26"/>
          <w:szCs w:val="26"/>
        </w:rPr>
        <w:t>Undesignated s</w:t>
      </w:r>
      <w:r w:rsidRPr="004A2951">
        <w:rPr>
          <w:sz w:val="26"/>
          <w:szCs w:val="26"/>
        </w:rPr>
        <w:t>tatutory references are to the Penal Code.</w:t>
      </w:r>
    </w:p>
  </w:footnote>
  <w:footnote w:id="3">
    <w:p w14:paraId="5E1428CE" w14:textId="77777777" w:rsidR="00A97AD4" w:rsidRPr="004A2951" w:rsidRDefault="009D4782">
      <w:pPr>
        <w:pStyle w:val="FootnoteText"/>
        <w:rPr>
          <w:sz w:val="26"/>
          <w:szCs w:val="26"/>
        </w:rPr>
      </w:pPr>
      <w:r w:rsidRPr="004A2951">
        <w:rPr>
          <w:rStyle w:val="FootnoteReference"/>
          <w:sz w:val="26"/>
          <w:szCs w:val="26"/>
        </w:rPr>
        <w:footnoteRef/>
      </w:r>
      <w:r w:rsidRPr="004A2951">
        <w:rPr>
          <w:sz w:val="26"/>
          <w:szCs w:val="26"/>
        </w:rPr>
        <w:t xml:space="preserve"> </w:t>
      </w:r>
      <w:r w:rsidRPr="004A2951">
        <w:rPr>
          <w:sz w:val="26"/>
          <w:szCs w:val="26"/>
        </w:rPr>
        <w:tab/>
      </w:r>
      <w:r>
        <w:rPr>
          <w:sz w:val="26"/>
          <w:szCs w:val="26"/>
        </w:rPr>
        <w:t>We refer to t</w:t>
      </w:r>
      <w:r w:rsidRPr="004A2951">
        <w:rPr>
          <w:sz w:val="26"/>
          <w:szCs w:val="26"/>
        </w:rPr>
        <w:t xml:space="preserve">he City </w:t>
      </w:r>
      <w:r>
        <w:rPr>
          <w:sz w:val="26"/>
          <w:szCs w:val="26"/>
        </w:rPr>
        <w:t xml:space="preserve">of Los Angeles </w:t>
      </w:r>
      <w:r w:rsidRPr="004A2951">
        <w:rPr>
          <w:sz w:val="26"/>
          <w:szCs w:val="26"/>
        </w:rPr>
        <w:t>and Beck collectively as the City.</w:t>
      </w:r>
    </w:p>
  </w:footnote>
  <w:footnote w:id="4">
    <w:p w14:paraId="466E3F40" w14:textId="77777777" w:rsidR="00A97AD4" w:rsidRPr="004A2951" w:rsidRDefault="009D4782">
      <w:pPr>
        <w:pStyle w:val="FootnoteText"/>
        <w:rPr>
          <w:sz w:val="26"/>
          <w:szCs w:val="26"/>
        </w:rPr>
      </w:pPr>
      <w:r w:rsidRPr="004A2951">
        <w:rPr>
          <w:rStyle w:val="FootnoteReference"/>
          <w:sz w:val="26"/>
          <w:szCs w:val="26"/>
        </w:rPr>
        <w:footnoteRef/>
      </w:r>
      <w:r w:rsidRPr="004A2951">
        <w:rPr>
          <w:sz w:val="26"/>
          <w:szCs w:val="26"/>
        </w:rPr>
        <w:t xml:space="preserve"> </w:t>
      </w:r>
      <w:r w:rsidRPr="004A2951">
        <w:rPr>
          <w:sz w:val="26"/>
          <w:szCs w:val="26"/>
        </w:rPr>
        <w:tab/>
        <w:t>At the time</w:t>
      </w:r>
      <w:r>
        <w:rPr>
          <w:sz w:val="26"/>
          <w:szCs w:val="26"/>
        </w:rPr>
        <w:t xml:space="preserve">, that section </w:t>
      </w:r>
      <w:r w:rsidRPr="004A2951">
        <w:rPr>
          <w:sz w:val="26"/>
          <w:szCs w:val="26"/>
        </w:rPr>
        <w:t xml:space="preserve">provided:  “It shall be unlawful for any governmental authority . . . to engage in a pattern or practice of conduct by law enforcement officers . . . that deprives persons of rights, privileges, or immunities secured or protected by the Constitution or laws of the United States.”  (See 42 U.S.C. </w:t>
      </w:r>
      <w:r>
        <w:rPr>
          <w:sz w:val="26"/>
          <w:szCs w:val="26"/>
        </w:rPr>
        <w:t>former § </w:t>
      </w:r>
      <w:r w:rsidRPr="004A2951">
        <w:rPr>
          <w:sz w:val="26"/>
          <w:szCs w:val="26"/>
        </w:rPr>
        <w:t xml:space="preserve">14141, eff. Sept. 13, 1994.)  Congress has since renumbered that </w:t>
      </w:r>
      <w:r>
        <w:rPr>
          <w:sz w:val="26"/>
          <w:szCs w:val="26"/>
        </w:rPr>
        <w:t>law</w:t>
      </w:r>
      <w:r w:rsidRPr="004A2951">
        <w:rPr>
          <w:sz w:val="26"/>
          <w:szCs w:val="26"/>
        </w:rPr>
        <w:t xml:space="preserve"> as </w:t>
      </w:r>
      <w:r>
        <w:rPr>
          <w:sz w:val="26"/>
          <w:szCs w:val="26"/>
        </w:rPr>
        <w:t xml:space="preserve">title </w:t>
      </w:r>
      <w:r w:rsidRPr="004A2951">
        <w:rPr>
          <w:sz w:val="26"/>
          <w:szCs w:val="26"/>
        </w:rPr>
        <w:t>34 U</w:t>
      </w:r>
      <w:r>
        <w:rPr>
          <w:sz w:val="26"/>
          <w:szCs w:val="26"/>
        </w:rPr>
        <w:t>nited States Code section</w:t>
      </w:r>
      <w:r w:rsidRPr="004A2951">
        <w:rPr>
          <w:sz w:val="26"/>
          <w:szCs w:val="26"/>
        </w:rPr>
        <w:t xml:space="preserve"> 12601.</w:t>
      </w:r>
    </w:p>
    <w:p w14:paraId="0E7D60FB" w14:textId="77777777" w:rsidR="00A97AD4" w:rsidRPr="004A2951" w:rsidRDefault="0028732F">
      <w:pPr>
        <w:pStyle w:val="FootnoteText"/>
        <w:rPr>
          <w:sz w:val="26"/>
          <w:szCs w:val="26"/>
        </w:rPr>
      </w:pPr>
    </w:p>
  </w:footnote>
  <w:footnote w:id="5">
    <w:p w14:paraId="7AFE31C8" w14:textId="77777777" w:rsidR="00A97AD4" w:rsidRPr="004A2951" w:rsidRDefault="009D4782" w:rsidP="003E3ECF">
      <w:pPr>
        <w:pStyle w:val="FootnoteText"/>
        <w:rPr>
          <w:sz w:val="26"/>
          <w:szCs w:val="26"/>
        </w:rPr>
      </w:pPr>
      <w:r w:rsidRPr="004A2951">
        <w:rPr>
          <w:rStyle w:val="FootnoteReference"/>
          <w:sz w:val="26"/>
          <w:szCs w:val="26"/>
        </w:rPr>
        <w:footnoteRef/>
      </w:r>
      <w:r w:rsidRPr="004A2951">
        <w:rPr>
          <w:sz w:val="26"/>
          <w:szCs w:val="26"/>
        </w:rPr>
        <w:t xml:space="preserve"> </w:t>
      </w:r>
      <w:r w:rsidRPr="004A2951">
        <w:rPr>
          <w:sz w:val="26"/>
          <w:szCs w:val="26"/>
        </w:rPr>
        <w:tab/>
        <w:t xml:space="preserve">“Employee organization means . . . </w:t>
      </w:r>
      <w:r>
        <w:rPr>
          <w:sz w:val="26"/>
          <w:szCs w:val="26"/>
        </w:rPr>
        <w:t>[a]</w:t>
      </w:r>
      <w:r w:rsidRPr="004A2951">
        <w:rPr>
          <w:sz w:val="26"/>
          <w:szCs w:val="26"/>
        </w:rPr>
        <w:t>ny organization that includes employees of a public agency and that has as one of its primary purposes representing those employees in their relations with that public agency” or “[a]ny organization that seeks to represent employees of a public agency in their relations with that public agency.”  (Gov</w:t>
      </w:r>
      <w:r>
        <w:rPr>
          <w:sz w:val="26"/>
          <w:szCs w:val="26"/>
        </w:rPr>
        <w:t>.</w:t>
      </w:r>
      <w:r w:rsidRPr="004A2951">
        <w:rPr>
          <w:sz w:val="26"/>
          <w:szCs w:val="26"/>
        </w:rPr>
        <w:t xml:space="preserve"> Code, § 3501.)  </w:t>
      </w:r>
    </w:p>
  </w:footnote>
  <w:footnote w:id="6">
    <w:p w14:paraId="04C8B321" w14:textId="77777777" w:rsidR="005E0E76" w:rsidRPr="005E0E76" w:rsidRDefault="009D4782" w:rsidP="005E0E76">
      <w:pPr>
        <w:pStyle w:val="FootnoteText"/>
        <w:rPr>
          <w:sz w:val="26"/>
          <w:szCs w:val="26"/>
        </w:rPr>
      </w:pPr>
      <w:r w:rsidRPr="005E0E76">
        <w:rPr>
          <w:rStyle w:val="FootnoteReference"/>
          <w:sz w:val="26"/>
          <w:szCs w:val="26"/>
        </w:rPr>
        <w:footnoteRef/>
      </w:r>
      <w:r w:rsidRPr="005E0E76">
        <w:rPr>
          <w:sz w:val="26"/>
          <w:szCs w:val="26"/>
        </w:rPr>
        <w:tab/>
        <w:t>The trial court</w:t>
      </w:r>
      <w:r>
        <w:rPr>
          <w:sz w:val="26"/>
          <w:szCs w:val="26"/>
        </w:rPr>
        <w:t xml:space="preserve"> stayed the injunction “until either (1) the time to file an appeal has expired and no timely notice of appeal has been filed or (2) a timely notice of appeal is filed and the Court of Appeal issues a remittitur or the appeal is dismissed.”  Thus, the injunction is currently stayed.</w:t>
      </w:r>
    </w:p>
  </w:footnote>
  <w:footnote w:id="7">
    <w:p w14:paraId="228CBB01" w14:textId="77777777" w:rsidR="00A97AD4" w:rsidRDefault="009D4782" w:rsidP="00FC0C10">
      <w:pPr>
        <w:pStyle w:val="FootnoteText"/>
        <w:rPr>
          <w:sz w:val="26"/>
          <w:szCs w:val="26"/>
        </w:rPr>
      </w:pPr>
      <w:r w:rsidRPr="004A2951">
        <w:rPr>
          <w:rStyle w:val="FootnoteReference"/>
          <w:sz w:val="26"/>
          <w:szCs w:val="26"/>
        </w:rPr>
        <w:footnoteRef/>
      </w:r>
      <w:r w:rsidRPr="004A2951">
        <w:rPr>
          <w:sz w:val="26"/>
          <w:szCs w:val="26"/>
        </w:rPr>
        <w:t xml:space="preserve"> </w:t>
      </w:r>
      <w:r w:rsidRPr="004A2951">
        <w:rPr>
          <w:sz w:val="26"/>
          <w:szCs w:val="26"/>
        </w:rPr>
        <w:tab/>
        <w:t>The</w:t>
      </w:r>
      <w:r>
        <w:rPr>
          <w:sz w:val="26"/>
          <w:szCs w:val="26"/>
        </w:rPr>
        <w:t xml:space="preserve"> Police </w:t>
      </w:r>
      <w:r w:rsidRPr="004A2951">
        <w:rPr>
          <w:sz w:val="26"/>
          <w:szCs w:val="26"/>
        </w:rPr>
        <w:t xml:space="preserve">Protective League similarly </w:t>
      </w:r>
      <w:r>
        <w:rPr>
          <w:sz w:val="26"/>
          <w:szCs w:val="26"/>
        </w:rPr>
        <w:t>asserts that the constitutionality of section 148.6 is a</w:t>
      </w:r>
      <w:r w:rsidRPr="004A2951">
        <w:rPr>
          <w:sz w:val="26"/>
          <w:szCs w:val="26"/>
        </w:rPr>
        <w:t xml:space="preserve"> “nonjusticiable” issue.  This</w:t>
      </w:r>
      <w:r>
        <w:rPr>
          <w:sz w:val="26"/>
          <w:szCs w:val="26"/>
        </w:rPr>
        <w:t>,</w:t>
      </w:r>
      <w:r w:rsidRPr="004A2951">
        <w:rPr>
          <w:sz w:val="26"/>
          <w:szCs w:val="26"/>
        </w:rPr>
        <w:t xml:space="preserve"> </w:t>
      </w:r>
      <w:r>
        <w:rPr>
          <w:sz w:val="26"/>
          <w:szCs w:val="26"/>
        </w:rPr>
        <w:t>too, is incorrect</w:t>
      </w:r>
      <w:r w:rsidRPr="004A2951">
        <w:rPr>
          <w:sz w:val="26"/>
          <w:szCs w:val="26"/>
        </w:rPr>
        <w:t>.</w:t>
      </w:r>
      <w:r>
        <w:rPr>
          <w:sz w:val="26"/>
          <w:szCs w:val="26"/>
        </w:rPr>
        <w:t xml:space="preserve"> </w:t>
      </w:r>
      <w:r w:rsidRPr="004A2951">
        <w:rPr>
          <w:sz w:val="26"/>
          <w:szCs w:val="26"/>
        </w:rPr>
        <w:t xml:space="preserve"> “California courts decide only justiciable controversies and do not resolve lawsuits that are not based on an actual controversy.”  (</w:t>
      </w:r>
      <w:r w:rsidRPr="004A2951">
        <w:rPr>
          <w:i/>
          <w:iCs/>
          <w:sz w:val="26"/>
          <w:szCs w:val="26"/>
        </w:rPr>
        <w:t xml:space="preserve">Bichai v. Dignity Health </w:t>
      </w:r>
      <w:r w:rsidRPr="004A2951">
        <w:rPr>
          <w:sz w:val="26"/>
          <w:szCs w:val="26"/>
        </w:rPr>
        <w:t>(2021) 61 Cal.App.5th 869, 879.)  For example, “unripeness and mootness describe situations where there is no justiciable controversy.”  (</w:t>
      </w:r>
      <w:r w:rsidRPr="004A2951">
        <w:rPr>
          <w:i/>
          <w:iCs/>
          <w:sz w:val="26"/>
          <w:szCs w:val="26"/>
        </w:rPr>
        <w:t>Ibid.</w:t>
      </w:r>
      <w:r w:rsidRPr="004A2951">
        <w:rPr>
          <w:sz w:val="26"/>
          <w:szCs w:val="26"/>
        </w:rPr>
        <w:t>)</w:t>
      </w:r>
      <w:r>
        <w:rPr>
          <w:sz w:val="26"/>
          <w:szCs w:val="26"/>
        </w:rPr>
        <w:t xml:space="preserve"> </w:t>
      </w:r>
      <w:r w:rsidRPr="004A2951">
        <w:rPr>
          <w:sz w:val="26"/>
          <w:szCs w:val="26"/>
        </w:rPr>
        <w:t xml:space="preserve"> “Where there is no justiciable controversy the proper remedy is not to render judgment for one side or the other, but to dismiss.”  (</w:t>
      </w:r>
      <w:r w:rsidRPr="004A2951">
        <w:rPr>
          <w:i/>
          <w:iCs/>
          <w:sz w:val="26"/>
          <w:szCs w:val="26"/>
        </w:rPr>
        <w:t>Connerly v. Schwarzenegger</w:t>
      </w:r>
      <w:r w:rsidRPr="004A2951">
        <w:rPr>
          <w:sz w:val="26"/>
          <w:szCs w:val="26"/>
        </w:rPr>
        <w:t xml:space="preserve"> (2007) 146 </w:t>
      </w:r>
      <w:r>
        <w:rPr>
          <w:sz w:val="26"/>
          <w:szCs w:val="26"/>
        </w:rPr>
        <w:t>Cal.App.4th 739, 752.)  T</w:t>
      </w:r>
      <w:r w:rsidRPr="004A2951">
        <w:rPr>
          <w:sz w:val="26"/>
          <w:szCs w:val="26"/>
        </w:rPr>
        <w:t>he</w:t>
      </w:r>
      <w:r>
        <w:rPr>
          <w:sz w:val="26"/>
          <w:szCs w:val="26"/>
        </w:rPr>
        <w:t xml:space="preserve"> Police</w:t>
      </w:r>
      <w:r w:rsidRPr="004A2951">
        <w:rPr>
          <w:sz w:val="26"/>
          <w:szCs w:val="26"/>
        </w:rPr>
        <w:t xml:space="preserve"> Protective League </w:t>
      </w:r>
      <w:r>
        <w:rPr>
          <w:sz w:val="26"/>
          <w:szCs w:val="26"/>
        </w:rPr>
        <w:t xml:space="preserve">effectively </w:t>
      </w:r>
      <w:r w:rsidRPr="004A2951">
        <w:rPr>
          <w:sz w:val="26"/>
          <w:szCs w:val="26"/>
        </w:rPr>
        <w:t>admitted there was a</w:t>
      </w:r>
      <w:r>
        <w:rPr>
          <w:sz w:val="26"/>
          <w:szCs w:val="26"/>
        </w:rPr>
        <w:t xml:space="preserve"> justiciable </w:t>
      </w:r>
      <w:r w:rsidRPr="004A2951">
        <w:rPr>
          <w:sz w:val="26"/>
          <w:szCs w:val="26"/>
        </w:rPr>
        <w:t xml:space="preserve">controversy </w:t>
      </w:r>
      <w:r>
        <w:rPr>
          <w:sz w:val="26"/>
          <w:szCs w:val="26"/>
        </w:rPr>
        <w:t>when</w:t>
      </w:r>
      <w:r w:rsidRPr="004A2951">
        <w:rPr>
          <w:sz w:val="26"/>
          <w:szCs w:val="26"/>
        </w:rPr>
        <w:t xml:space="preserve"> </w:t>
      </w:r>
      <w:r>
        <w:rPr>
          <w:sz w:val="26"/>
          <w:szCs w:val="26"/>
        </w:rPr>
        <w:t xml:space="preserve">it filed a lawsuit seeking </w:t>
      </w:r>
      <w:r w:rsidRPr="004A2951">
        <w:rPr>
          <w:sz w:val="26"/>
          <w:szCs w:val="26"/>
        </w:rPr>
        <w:t xml:space="preserve">a judicial declaration and injunction.  </w:t>
      </w:r>
      <w:r>
        <w:rPr>
          <w:sz w:val="26"/>
          <w:szCs w:val="26"/>
        </w:rPr>
        <w:t xml:space="preserve">It also </w:t>
      </w:r>
      <w:r w:rsidRPr="004A2951">
        <w:rPr>
          <w:sz w:val="26"/>
          <w:szCs w:val="26"/>
        </w:rPr>
        <w:t xml:space="preserve">asks </w:t>
      </w:r>
      <w:r>
        <w:rPr>
          <w:sz w:val="26"/>
          <w:szCs w:val="26"/>
        </w:rPr>
        <w:t xml:space="preserve">us to </w:t>
      </w:r>
      <w:r w:rsidRPr="004A2951">
        <w:rPr>
          <w:sz w:val="26"/>
          <w:szCs w:val="26"/>
        </w:rPr>
        <w:t>affirm th</w:t>
      </w:r>
      <w:r>
        <w:rPr>
          <w:sz w:val="26"/>
          <w:szCs w:val="26"/>
        </w:rPr>
        <w:t>e</w:t>
      </w:r>
      <w:r w:rsidRPr="004A2951">
        <w:rPr>
          <w:sz w:val="26"/>
          <w:szCs w:val="26"/>
        </w:rPr>
        <w:t xml:space="preserve"> judgment, not </w:t>
      </w:r>
      <w:r>
        <w:rPr>
          <w:sz w:val="26"/>
          <w:szCs w:val="26"/>
        </w:rPr>
        <w:t xml:space="preserve">to </w:t>
      </w:r>
      <w:r w:rsidRPr="004A2951">
        <w:rPr>
          <w:sz w:val="26"/>
          <w:szCs w:val="26"/>
        </w:rPr>
        <w:t xml:space="preserve">vacate the judgment </w:t>
      </w:r>
      <w:r>
        <w:rPr>
          <w:sz w:val="26"/>
          <w:szCs w:val="26"/>
        </w:rPr>
        <w:t>or</w:t>
      </w:r>
      <w:r w:rsidRPr="004A2951">
        <w:rPr>
          <w:sz w:val="26"/>
          <w:szCs w:val="26"/>
        </w:rPr>
        <w:t xml:space="preserve"> order the </w:t>
      </w:r>
      <w:r>
        <w:rPr>
          <w:sz w:val="26"/>
          <w:szCs w:val="26"/>
        </w:rPr>
        <w:t xml:space="preserve">trial </w:t>
      </w:r>
      <w:r w:rsidRPr="004A2951">
        <w:rPr>
          <w:sz w:val="26"/>
          <w:szCs w:val="26"/>
        </w:rPr>
        <w:t xml:space="preserve">court to dismiss </w:t>
      </w:r>
      <w:r>
        <w:rPr>
          <w:sz w:val="26"/>
          <w:szCs w:val="26"/>
        </w:rPr>
        <w:t>the</w:t>
      </w:r>
      <w:r w:rsidRPr="004A2951">
        <w:rPr>
          <w:sz w:val="26"/>
          <w:szCs w:val="26"/>
        </w:rPr>
        <w:t xml:space="preserve"> action. </w:t>
      </w:r>
    </w:p>
    <w:p w14:paraId="0BEEC9D1" w14:textId="77777777" w:rsidR="00A97AD4" w:rsidRPr="004A2951" w:rsidRDefault="0028732F" w:rsidP="00FC0C10">
      <w:pPr>
        <w:pStyle w:val="FootnoteText"/>
        <w:rPr>
          <w:sz w:val="26"/>
          <w:szCs w:val="26"/>
        </w:rPr>
      </w:pPr>
    </w:p>
  </w:footnote>
  <w:footnote w:id="8">
    <w:p w14:paraId="62C11018" w14:textId="77777777" w:rsidR="00A97AD4" w:rsidRPr="003A402F" w:rsidRDefault="009D4782">
      <w:pPr>
        <w:pStyle w:val="FootnoteText"/>
        <w:rPr>
          <w:sz w:val="26"/>
          <w:szCs w:val="26"/>
        </w:rPr>
      </w:pPr>
      <w:r w:rsidRPr="003A402F">
        <w:rPr>
          <w:rStyle w:val="FootnoteReference"/>
          <w:sz w:val="26"/>
          <w:szCs w:val="26"/>
        </w:rPr>
        <w:footnoteRef/>
      </w:r>
      <w:r w:rsidRPr="003A402F">
        <w:rPr>
          <w:sz w:val="26"/>
          <w:szCs w:val="26"/>
        </w:rPr>
        <w:t xml:space="preserve"> </w:t>
      </w:r>
      <w:r w:rsidRPr="003A402F">
        <w:rPr>
          <w:sz w:val="26"/>
          <w:szCs w:val="26"/>
        </w:rPr>
        <w:tab/>
      </w:r>
      <w:r>
        <w:rPr>
          <w:sz w:val="26"/>
          <w:szCs w:val="26"/>
        </w:rPr>
        <w:t xml:space="preserve">The Court in </w:t>
      </w:r>
      <w:r w:rsidRPr="003A402F">
        <w:rPr>
          <w:i/>
          <w:iCs/>
          <w:sz w:val="26"/>
          <w:szCs w:val="26"/>
        </w:rPr>
        <w:t xml:space="preserve">Lockyer </w:t>
      </w:r>
      <w:r w:rsidRPr="003A402F">
        <w:rPr>
          <w:sz w:val="26"/>
          <w:szCs w:val="26"/>
        </w:rPr>
        <w:t xml:space="preserve">did not refer to the </w:t>
      </w:r>
      <w:r>
        <w:rPr>
          <w:sz w:val="26"/>
          <w:szCs w:val="26"/>
        </w:rPr>
        <w:t>issue as one of</w:t>
      </w:r>
      <w:r w:rsidRPr="003A402F">
        <w:rPr>
          <w:sz w:val="26"/>
          <w:szCs w:val="26"/>
        </w:rPr>
        <w:t xml:space="preserve"> “standing</w:t>
      </w:r>
      <w:r>
        <w:rPr>
          <w:sz w:val="26"/>
          <w:szCs w:val="26"/>
        </w:rPr>
        <w:t>.</w:t>
      </w:r>
      <w:r w:rsidRPr="003A402F">
        <w:rPr>
          <w:sz w:val="26"/>
          <w:szCs w:val="26"/>
        </w:rPr>
        <w:t>”</w:t>
      </w:r>
      <w:r>
        <w:rPr>
          <w:sz w:val="26"/>
          <w:szCs w:val="26"/>
        </w:rPr>
        <w:t xml:space="preserve"> </w:t>
      </w:r>
    </w:p>
  </w:footnote>
  <w:footnote w:id="9">
    <w:p w14:paraId="23935943" w14:textId="77777777" w:rsidR="00A97AD4" w:rsidRPr="00B36081" w:rsidRDefault="009D4782" w:rsidP="00B36081">
      <w:pPr>
        <w:pStyle w:val="FootnoteText"/>
        <w:rPr>
          <w:sz w:val="26"/>
          <w:szCs w:val="26"/>
        </w:rPr>
      </w:pPr>
      <w:r w:rsidRPr="00B36081">
        <w:rPr>
          <w:rStyle w:val="FootnoteReference"/>
          <w:sz w:val="26"/>
          <w:szCs w:val="26"/>
        </w:rPr>
        <w:footnoteRef/>
      </w:r>
      <w:r>
        <w:rPr>
          <w:sz w:val="26"/>
          <w:szCs w:val="26"/>
        </w:rPr>
        <w:t xml:space="preserve"> </w:t>
      </w:r>
      <w:r w:rsidRPr="00B36081">
        <w:rPr>
          <w:sz w:val="26"/>
          <w:szCs w:val="26"/>
        </w:rPr>
        <w:tab/>
        <w:t xml:space="preserve">We assume without deciding that </w:t>
      </w:r>
      <w:r>
        <w:rPr>
          <w:sz w:val="26"/>
          <w:szCs w:val="26"/>
        </w:rPr>
        <w:t xml:space="preserve">the decisions in </w:t>
      </w:r>
      <w:r w:rsidRPr="00A97AD4">
        <w:rPr>
          <w:i/>
          <w:iCs/>
          <w:sz w:val="26"/>
          <w:szCs w:val="26"/>
        </w:rPr>
        <w:t>Chaker</w:t>
      </w:r>
      <w:r>
        <w:rPr>
          <w:i/>
          <w:iCs/>
          <w:sz w:val="26"/>
          <w:szCs w:val="26"/>
        </w:rPr>
        <w:t xml:space="preserve"> </w:t>
      </w:r>
      <w:r>
        <w:rPr>
          <w:iCs/>
          <w:sz w:val="26"/>
          <w:szCs w:val="26"/>
        </w:rPr>
        <w:t xml:space="preserve">and </w:t>
      </w:r>
      <w:r w:rsidRPr="00A97AD4">
        <w:rPr>
          <w:i/>
          <w:iCs/>
          <w:sz w:val="26"/>
          <w:szCs w:val="26"/>
        </w:rPr>
        <w:t>Hamilton</w:t>
      </w:r>
      <w:r>
        <w:rPr>
          <w:iCs/>
          <w:sz w:val="26"/>
          <w:szCs w:val="26"/>
        </w:rPr>
        <w:t>,</w:t>
      </w:r>
      <w:r w:rsidRPr="00B36081">
        <w:rPr>
          <w:sz w:val="26"/>
          <w:szCs w:val="26"/>
        </w:rPr>
        <w:t xml:space="preserve"> holding </w:t>
      </w:r>
      <w:r>
        <w:rPr>
          <w:sz w:val="26"/>
          <w:szCs w:val="26"/>
        </w:rPr>
        <w:t xml:space="preserve">section 148.6 </w:t>
      </w:r>
      <w:r w:rsidRPr="00B36081">
        <w:rPr>
          <w:sz w:val="26"/>
          <w:szCs w:val="26"/>
        </w:rPr>
        <w:t>violates the United States Constitution</w:t>
      </w:r>
      <w:r>
        <w:rPr>
          <w:sz w:val="26"/>
          <w:szCs w:val="26"/>
        </w:rPr>
        <w:t>,</w:t>
      </w:r>
      <w:r w:rsidRPr="00B36081">
        <w:rPr>
          <w:sz w:val="26"/>
          <w:szCs w:val="26"/>
        </w:rPr>
        <w:t xml:space="preserve"> </w:t>
      </w:r>
      <w:r>
        <w:rPr>
          <w:sz w:val="26"/>
          <w:szCs w:val="26"/>
        </w:rPr>
        <w:t>are</w:t>
      </w:r>
      <w:r w:rsidRPr="00B36081">
        <w:rPr>
          <w:sz w:val="26"/>
          <w:szCs w:val="26"/>
        </w:rPr>
        <w:t xml:space="preserve"> “judicial determination</w:t>
      </w:r>
      <w:r>
        <w:rPr>
          <w:sz w:val="26"/>
          <w:szCs w:val="26"/>
        </w:rPr>
        <w:t>s</w:t>
      </w:r>
      <w:r w:rsidRPr="00B36081">
        <w:rPr>
          <w:sz w:val="26"/>
          <w:szCs w:val="26"/>
        </w:rPr>
        <w:t xml:space="preserve"> of unconstitutionality” that </w:t>
      </w:r>
      <w:r>
        <w:rPr>
          <w:sz w:val="26"/>
          <w:szCs w:val="26"/>
        </w:rPr>
        <w:t>allow</w:t>
      </w:r>
      <w:r w:rsidRPr="00B36081">
        <w:rPr>
          <w:sz w:val="26"/>
          <w:szCs w:val="26"/>
        </w:rPr>
        <w:t xml:space="preserve"> </w:t>
      </w:r>
      <w:r>
        <w:rPr>
          <w:sz w:val="26"/>
          <w:szCs w:val="26"/>
        </w:rPr>
        <w:t>the City</w:t>
      </w:r>
      <w:r w:rsidRPr="00B36081">
        <w:rPr>
          <w:sz w:val="26"/>
          <w:szCs w:val="26"/>
        </w:rPr>
        <w:t xml:space="preserve"> </w:t>
      </w:r>
      <w:r>
        <w:rPr>
          <w:sz w:val="26"/>
          <w:szCs w:val="26"/>
        </w:rPr>
        <w:t>to assert the statute’s unconstitutionality as a defense in this action.</w:t>
      </w:r>
    </w:p>
  </w:footnote>
  <w:footnote w:id="10">
    <w:p w14:paraId="66D4326F" w14:textId="77777777" w:rsidR="00A97AD4" w:rsidRPr="006C5383" w:rsidRDefault="009D4782">
      <w:pPr>
        <w:pStyle w:val="FootnoteText"/>
        <w:rPr>
          <w:sz w:val="26"/>
          <w:szCs w:val="26"/>
        </w:rPr>
      </w:pPr>
      <w:r w:rsidRPr="00F05F31">
        <w:rPr>
          <w:rStyle w:val="FootnoteReference"/>
          <w:sz w:val="26"/>
          <w:szCs w:val="26"/>
        </w:rPr>
        <w:footnoteRef/>
      </w:r>
      <w:r w:rsidRPr="00F05F31">
        <w:rPr>
          <w:sz w:val="26"/>
          <w:szCs w:val="26"/>
        </w:rPr>
        <w:t xml:space="preserve"> </w:t>
      </w:r>
      <w:r w:rsidRPr="00F05F31">
        <w:rPr>
          <w:sz w:val="26"/>
          <w:szCs w:val="26"/>
        </w:rPr>
        <w:tab/>
      </w:r>
      <w:r>
        <w:rPr>
          <w:sz w:val="26"/>
          <w:szCs w:val="26"/>
        </w:rPr>
        <w:t xml:space="preserve">The California </w:t>
      </w:r>
      <w:r w:rsidRPr="00F05F31">
        <w:rPr>
          <w:sz w:val="26"/>
          <w:szCs w:val="26"/>
        </w:rPr>
        <w:t>“state Constitution</w:t>
      </w:r>
      <w:r>
        <w:rPr>
          <w:sz w:val="26"/>
          <w:szCs w:val="26"/>
        </w:rPr>
        <w:t>’</w:t>
      </w:r>
      <w:r w:rsidRPr="00F05F31">
        <w:rPr>
          <w:sz w:val="26"/>
          <w:szCs w:val="26"/>
        </w:rPr>
        <w:t>s free speech provision is ‘at least as broad’ as [citation] and in some ways is broader than [citations] the comparable provision of the federal Constitution</w:t>
      </w:r>
      <w:r>
        <w:rPr>
          <w:sz w:val="26"/>
          <w:szCs w:val="26"/>
        </w:rPr>
        <w:t>’</w:t>
      </w:r>
      <w:r w:rsidRPr="00F05F31">
        <w:rPr>
          <w:sz w:val="26"/>
          <w:szCs w:val="26"/>
        </w:rPr>
        <w:t>s First Amendment.”</w:t>
      </w:r>
      <w:r>
        <w:rPr>
          <w:sz w:val="26"/>
          <w:szCs w:val="26"/>
        </w:rPr>
        <w:t xml:space="preserve">  (</w:t>
      </w:r>
      <w:r>
        <w:rPr>
          <w:i/>
          <w:iCs/>
          <w:sz w:val="26"/>
          <w:szCs w:val="26"/>
        </w:rPr>
        <w:t>Beeman v. Anthem Prescription Management, LLC</w:t>
      </w:r>
      <w:r>
        <w:rPr>
          <w:sz w:val="26"/>
          <w:szCs w:val="26"/>
        </w:rPr>
        <w:t xml:space="preserve"> (2013) </w:t>
      </w:r>
      <w:r w:rsidRPr="006C5383">
        <w:rPr>
          <w:sz w:val="26"/>
          <w:szCs w:val="26"/>
        </w:rPr>
        <w:t>58 Cal.4th 329</w:t>
      </w:r>
      <w:r>
        <w:rPr>
          <w:sz w:val="26"/>
          <w:szCs w:val="26"/>
        </w:rPr>
        <w:t>, 341; see Cal. Const., art. I, § 2.)  The City does not challenge section 148.6 under the California Constitution.</w:t>
      </w:r>
    </w:p>
  </w:footnote>
  <w:footnote w:id="11">
    <w:p w14:paraId="759FB705" w14:textId="77777777" w:rsidR="00A97AD4" w:rsidRPr="004A2951" w:rsidRDefault="009D4782" w:rsidP="00D60248">
      <w:pPr>
        <w:pStyle w:val="FootnoteText"/>
        <w:rPr>
          <w:i/>
          <w:iCs/>
          <w:sz w:val="26"/>
          <w:szCs w:val="26"/>
        </w:rPr>
      </w:pPr>
      <w:r w:rsidRPr="004A2951">
        <w:rPr>
          <w:rStyle w:val="FootnoteReference"/>
          <w:sz w:val="26"/>
          <w:szCs w:val="26"/>
        </w:rPr>
        <w:footnoteRef/>
      </w:r>
      <w:r w:rsidRPr="004A2951">
        <w:rPr>
          <w:sz w:val="26"/>
          <w:szCs w:val="26"/>
        </w:rPr>
        <w:t xml:space="preserve"> </w:t>
      </w:r>
      <w:r w:rsidRPr="004A2951">
        <w:rPr>
          <w:sz w:val="26"/>
          <w:szCs w:val="26"/>
        </w:rPr>
        <w:tab/>
      </w:r>
      <w:r>
        <w:rPr>
          <w:sz w:val="26"/>
          <w:szCs w:val="26"/>
        </w:rPr>
        <w:t>The</w:t>
      </w:r>
      <w:r w:rsidRPr="004A2951">
        <w:rPr>
          <w:sz w:val="26"/>
          <w:szCs w:val="26"/>
        </w:rPr>
        <w:t xml:space="preserve"> </w:t>
      </w:r>
      <w:r>
        <w:rPr>
          <w:sz w:val="26"/>
          <w:szCs w:val="26"/>
        </w:rPr>
        <w:t xml:space="preserve">court in </w:t>
      </w:r>
      <w:r w:rsidRPr="004A2951">
        <w:rPr>
          <w:i/>
          <w:iCs/>
          <w:sz w:val="26"/>
          <w:szCs w:val="26"/>
        </w:rPr>
        <w:t xml:space="preserve">Chaker </w:t>
      </w:r>
      <w:r w:rsidRPr="004A2951">
        <w:rPr>
          <w:sz w:val="26"/>
          <w:szCs w:val="26"/>
        </w:rPr>
        <w:t xml:space="preserve">discussed </w:t>
      </w:r>
      <w:r w:rsidRPr="004A2951">
        <w:rPr>
          <w:i/>
          <w:iCs/>
          <w:sz w:val="26"/>
          <w:szCs w:val="26"/>
        </w:rPr>
        <w:t>R.A.V.</w:t>
      </w:r>
      <w:r w:rsidRPr="004A2951">
        <w:rPr>
          <w:sz w:val="26"/>
          <w:szCs w:val="26"/>
        </w:rPr>
        <w:t xml:space="preserve">, </w:t>
      </w:r>
      <w:r>
        <w:rPr>
          <w:sz w:val="26"/>
          <w:szCs w:val="26"/>
        </w:rPr>
        <w:t xml:space="preserve">but did </w:t>
      </w:r>
      <w:r w:rsidRPr="004A2951">
        <w:rPr>
          <w:sz w:val="26"/>
          <w:szCs w:val="26"/>
        </w:rPr>
        <w:t>not analyze the three exceptions to content</w:t>
      </w:r>
      <w:r>
        <w:rPr>
          <w:sz w:val="26"/>
          <w:szCs w:val="26"/>
        </w:rPr>
        <w:t>-</w:t>
      </w:r>
      <w:r w:rsidRPr="004A2951">
        <w:rPr>
          <w:sz w:val="26"/>
          <w:szCs w:val="26"/>
        </w:rPr>
        <w:t xml:space="preserve">based speech restrictions </w:t>
      </w:r>
      <w:r>
        <w:rPr>
          <w:sz w:val="26"/>
          <w:szCs w:val="26"/>
        </w:rPr>
        <w:t xml:space="preserve">the California Supreme Court </w:t>
      </w:r>
      <w:r w:rsidRPr="004A2951">
        <w:rPr>
          <w:sz w:val="26"/>
          <w:szCs w:val="26"/>
        </w:rPr>
        <w:t xml:space="preserve">in </w:t>
      </w:r>
      <w:r w:rsidRPr="004A2951">
        <w:rPr>
          <w:i/>
          <w:iCs/>
          <w:sz w:val="26"/>
          <w:szCs w:val="26"/>
        </w:rPr>
        <w:t>Stanistreet</w:t>
      </w:r>
      <w:r>
        <w:rPr>
          <w:i/>
          <w:iCs/>
          <w:sz w:val="26"/>
          <w:szCs w:val="26"/>
        </w:rPr>
        <w:t xml:space="preserve"> </w:t>
      </w:r>
      <w:r>
        <w:rPr>
          <w:sz w:val="26"/>
          <w:szCs w:val="26"/>
        </w:rPr>
        <w:t>applied to section 148.6</w:t>
      </w:r>
      <w:r w:rsidRPr="004A2951">
        <w:rPr>
          <w:i/>
          <w:iCs/>
          <w:sz w:val="26"/>
          <w:szCs w:val="26"/>
        </w:rPr>
        <w:t>.</w:t>
      </w:r>
    </w:p>
  </w:footnote>
  <w:footnote w:id="12">
    <w:p w14:paraId="0B3D2DD6" w14:textId="77777777" w:rsidR="00A97AD4" w:rsidRPr="004A2951" w:rsidRDefault="009D4782">
      <w:pPr>
        <w:pStyle w:val="FootnoteText"/>
        <w:rPr>
          <w:sz w:val="26"/>
          <w:szCs w:val="26"/>
        </w:rPr>
      </w:pPr>
      <w:r w:rsidRPr="004A2951">
        <w:rPr>
          <w:rStyle w:val="FootnoteReference"/>
          <w:sz w:val="26"/>
          <w:szCs w:val="26"/>
        </w:rPr>
        <w:footnoteRef/>
      </w:r>
      <w:r w:rsidRPr="004A2951">
        <w:rPr>
          <w:sz w:val="26"/>
          <w:szCs w:val="26"/>
        </w:rPr>
        <w:t xml:space="preserve"> </w:t>
      </w:r>
      <w:r w:rsidRPr="004A2951">
        <w:rPr>
          <w:sz w:val="26"/>
          <w:szCs w:val="26"/>
        </w:rPr>
        <w:tab/>
      </w:r>
      <w:r w:rsidRPr="004150ED">
        <w:rPr>
          <w:sz w:val="26"/>
          <w:szCs w:val="26"/>
        </w:rPr>
        <w:t xml:space="preserve">Quoting </w:t>
      </w:r>
      <w:r w:rsidRPr="004150ED">
        <w:rPr>
          <w:i/>
          <w:iCs/>
          <w:sz w:val="26"/>
          <w:szCs w:val="26"/>
        </w:rPr>
        <w:t>Chaker</w:t>
      </w:r>
      <w:r w:rsidRPr="004150ED">
        <w:rPr>
          <w:sz w:val="26"/>
          <w:szCs w:val="26"/>
        </w:rPr>
        <w:t xml:space="preserve">, </w:t>
      </w:r>
      <w:r w:rsidRPr="004150ED">
        <w:rPr>
          <w:i/>
          <w:iCs/>
          <w:sz w:val="26"/>
          <w:szCs w:val="26"/>
        </w:rPr>
        <w:t>supra</w:t>
      </w:r>
      <w:r w:rsidRPr="004150ED">
        <w:rPr>
          <w:sz w:val="26"/>
          <w:szCs w:val="26"/>
        </w:rPr>
        <w:t xml:space="preserve">, 428 F.3d </w:t>
      </w:r>
      <w:r>
        <w:rPr>
          <w:sz w:val="26"/>
          <w:szCs w:val="26"/>
        </w:rPr>
        <w:t>at page 1226,</w:t>
      </w:r>
      <w:r w:rsidRPr="004150ED">
        <w:rPr>
          <w:i/>
          <w:iCs/>
          <w:sz w:val="26"/>
          <w:szCs w:val="26"/>
        </w:rPr>
        <w:t xml:space="preserve"> </w:t>
      </w:r>
      <w:r w:rsidRPr="004150ED">
        <w:rPr>
          <w:sz w:val="26"/>
          <w:szCs w:val="26"/>
        </w:rPr>
        <w:t>the</w:t>
      </w:r>
      <w:r w:rsidRPr="004A2951">
        <w:rPr>
          <w:sz w:val="26"/>
          <w:szCs w:val="26"/>
        </w:rPr>
        <w:t xml:space="preserve"> City argues “‘a peace officer or witness who lies during an investigation is equally to blame for wasting public resources by interfering with the expeditious resolution of an investigation.’”  A peace officer or </w:t>
      </w:r>
      <w:r>
        <w:rPr>
          <w:sz w:val="26"/>
          <w:szCs w:val="26"/>
        </w:rPr>
        <w:t xml:space="preserve">a </w:t>
      </w:r>
      <w:r w:rsidRPr="004A2951">
        <w:rPr>
          <w:sz w:val="26"/>
          <w:szCs w:val="26"/>
        </w:rPr>
        <w:t xml:space="preserve">witness who makes false statements during an investigation is certainly blameworthy.  But </w:t>
      </w:r>
      <w:r>
        <w:rPr>
          <w:sz w:val="26"/>
          <w:szCs w:val="26"/>
        </w:rPr>
        <w:t xml:space="preserve">once a complaint is filed, </w:t>
      </w:r>
      <w:r w:rsidRPr="004A2951">
        <w:rPr>
          <w:sz w:val="26"/>
          <w:szCs w:val="26"/>
        </w:rPr>
        <w:t xml:space="preserve">an agency </w:t>
      </w:r>
      <w:r>
        <w:rPr>
          <w:sz w:val="26"/>
          <w:szCs w:val="26"/>
        </w:rPr>
        <w:t>must</w:t>
      </w:r>
      <w:r w:rsidRPr="004A2951">
        <w:rPr>
          <w:sz w:val="26"/>
          <w:szCs w:val="26"/>
        </w:rPr>
        <w:t xml:space="preserve"> </w:t>
      </w:r>
      <w:r>
        <w:rPr>
          <w:sz w:val="26"/>
          <w:szCs w:val="26"/>
        </w:rPr>
        <w:t>complete an investigation of the</w:t>
      </w:r>
      <w:r w:rsidRPr="004A2951">
        <w:rPr>
          <w:sz w:val="26"/>
          <w:szCs w:val="26"/>
        </w:rPr>
        <w:t xml:space="preserve"> misconduct allegations</w:t>
      </w:r>
      <w:r>
        <w:rPr>
          <w:sz w:val="26"/>
          <w:szCs w:val="26"/>
        </w:rPr>
        <w:t xml:space="preserve">; the marginal cost and additional “waste” of public resources caused by investigating </w:t>
      </w:r>
      <w:r w:rsidRPr="004A2951">
        <w:rPr>
          <w:sz w:val="26"/>
          <w:szCs w:val="26"/>
        </w:rPr>
        <w:t xml:space="preserve">false statements </w:t>
      </w:r>
      <w:r>
        <w:rPr>
          <w:sz w:val="26"/>
          <w:szCs w:val="26"/>
        </w:rPr>
        <w:t xml:space="preserve">made </w:t>
      </w:r>
      <w:r w:rsidRPr="004A2951">
        <w:rPr>
          <w:sz w:val="26"/>
          <w:szCs w:val="26"/>
        </w:rPr>
        <w:t xml:space="preserve">after the complaint </w:t>
      </w:r>
      <w:r>
        <w:rPr>
          <w:sz w:val="26"/>
          <w:szCs w:val="26"/>
        </w:rPr>
        <w:t>are more difficult to quantify.  In</w:t>
      </w:r>
      <w:r w:rsidRPr="004A2951">
        <w:rPr>
          <w:sz w:val="26"/>
          <w:szCs w:val="26"/>
        </w:rPr>
        <w:t xml:space="preserve"> contrast, a person who chooses to file a knowingly false complaint necessarily wastes public resources by triggering the investigation. </w:t>
      </w:r>
    </w:p>
  </w:footnote>
  <w:footnote w:id="13">
    <w:p w14:paraId="45141753" w14:textId="77777777" w:rsidR="00A97AD4" w:rsidRDefault="009D4782">
      <w:pPr>
        <w:pStyle w:val="FootnoteText"/>
        <w:rPr>
          <w:sz w:val="26"/>
          <w:szCs w:val="26"/>
        </w:rPr>
      </w:pPr>
      <w:r w:rsidRPr="008D4435">
        <w:rPr>
          <w:rStyle w:val="FootnoteReference"/>
          <w:sz w:val="26"/>
          <w:szCs w:val="26"/>
        </w:rPr>
        <w:footnoteRef/>
      </w:r>
      <w:r w:rsidRPr="008D4435">
        <w:rPr>
          <w:sz w:val="26"/>
          <w:szCs w:val="26"/>
        </w:rPr>
        <w:t xml:space="preserve"> </w:t>
      </w:r>
      <w:r w:rsidRPr="008D4435">
        <w:rPr>
          <w:sz w:val="26"/>
          <w:szCs w:val="26"/>
        </w:rPr>
        <w:tab/>
      </w:r>
      <w:r>
        <w:rPr>
          <w:sz w:val="26"/>
          <w:szCs w:val="26"/>
        </w:rPr>
        <w:t xml:space="preserve">The City’s insistence that the California Supreme Court “considered” a different content-based distinction than the one the City makes here is incorrect.  In </w:t>
      </w:r>
      <w:r>
        <w:rPr>
          <w:i/>
          <w:iCs/>
          <w:sz w:val="26"/>
          <w:szCs w:val="26"/>
        </w:rPr>
        <w:t>Stanistreet</w:t>
      </w:r>
      <w:r>
        <w:rPr>
          <w:sz w:val="26"/>
          <w:szCs w:val="26"/>
        </w:rPr>
        <w:t xml:space="preserve"> the respondents devoted an entire section of their brief in the Supreme Court to a viewpoint discrimination challenge to section 148.6 that was essentially identical to the City’s argument.  (See </w:t>
      </w:r>
      <w:r>
        <w:rPr>
          <w:i/>
          <w:iCs/>
          <w:sz w:val="26"/>
          <w:szCs w:val="26"/>
        </w:rPr>
        <w:t>People v. Stanistreet</w:t>
      </w:r>
      <w:r>
        <w:rPr>
          <w:sz w:val="26"/>
          <w:szCs w:val="26"/>
        </w:rPr>
        <w:t>,</w:t>
      </w:r>
      <w:r>
        <w:rPr>
          <w:i/>
          <w:iCs/>
          <w:sz w:val="26"/>
          <w:szCs w:val="26"/>
        </w:rPr>
        <w:t xml:space="preserve"> </w:t>
      </w:r>
      <w:r w:rsidRPr="00B21C16">
        <w:rPr>
          <w:sz w:val="26"/>
          <w:szCs w:val="26"/>
        </w:rPr>
        <w:t>No. S102722</w:t>
      </w:r>
      <w:r>
        <w:rPr>
          <w:sz w:val="26"/>
          <w:szCs w:val="26"/>
        </w:rPr>
        <w:t xml:space="preserve">, </w:t>
      </w:r>
      <w:r w:rsidRPr="006D7E56">
        <w:rPr>
          <w:sz w:val="26"/>
          <w:szCs w:val="26"/>
        </w:rPr>
        <w:t xml:space="preserve">Answer Brief </w:t>
      </w:r>
      <w:r>
        <w:rPr>
          <w:sz w:val="26"/>
          <w:szCs w:val="26"/>
        </w:rPr>
        <w:t>o</w:t>
      </w:r>
      <w:r w:rsidRPr="006D7E56">
        <w:rPr>
          <w:sz w:val="26"/>
          <w:szCs w:val="26"/>
        </w:rPr>
        <w:t xml:space="preserve">n </w:t>
      </w:r>
      <w:r>
        <w:rPr>
          <w:sz w:val="26"/>
          <w:szCs w:val="26"/>
        </w:rPr>
        <w:t>t</w:t>
      </w:r>
      <w:r w:rsidRPr="006D7E56">
        <w:rPr>
          <w:sz w:val="26"/>
          <w:szCs w:val="26"/>
        </w:rPr>
        <w:t>he Merits</w:t>
      </w:r>
      <w:r>
        <w:rPr>
          <w:sz w:val="26"/>
          <w:szCs w:val="26"/>
        </w:rPr>
        <w:t>, filed May 24, 2002, at p. 17.)</w:t>
      </w:r>
      <w:r w:rsidRPr="007869DD">
        <w:rPr>
          <w:sz w:val="24"/>
          <w:szCs w:val="24"/>
          <w:vertAlign w:val="superscript"/>
        </w:rPr>
        <w:t>*</w:t>
      </w:r>
      <w:r>
        <w:rPr>
          <w:sz w:val="26"/>
          <w:szCs w:val="26"/>
        </w:rPr>
        <w:t xml:space="preserve">  For example, the respondent in </w:t>
      </w:r>
      <w:r w:rsidRPr="007A53CC">
        <w:rPr>
          <w:i/>
          <w:iCs/>
          <w:sz w:val="26"/>
          <w:szCs w:val="26"/>
        </w:rPr>
        <w:t>Stanistreet</w:t>
      </w:r>
      <w:r>
        <w:rPr>
          <w:sz w:val="26"/>
          <w:szCs w:val="26"/>
        </w:rPr>
        <w:t xml:space="preserve"> argued in its brief:  “T</w:t>
      </w:r>
      <w:r w:rsidRPr="001B79C4">
        <w:rPr>
          <w:sz w:val="26"/>
          <w:szCs w:val="26"/>
        </w:rPr>
        <w:t xml:space="preserve">he statute and the required statutory advisory make it clear that only knowingly false statements </w:t>
      </w:r>
      <w:r>
        <w:rPr>
          <w:sz w:val="26"/>
          <w:szCs w:val="26"/>
        </w:rPr>
        <w:t>‘</w:t>
      </w:r>
      <w:r w:rsidRPr="001B79C4">
        <w:rPr>
          <w:sz w:val="26"/>
          <w:szCs w:val="26"/>
        </w:rPr>
        <w:t>AGAINST AN OFFICER</w:t>
      </w:r>
      <w:r>
        <w:rPr>
          <w:sz w:val="26"/>
          <w:szCs w:val="26"/>
        </w:rPr>
        <w:t>’</w:t>
      </w:r>
      <w:r w:rsidRPr="001B79C4">
        <w:rPr>
          <w:sz w:val="26"/>
          <w:szCs w:val="26"/>
        </w:rPr>
        <w:t xml:space="preserve"> can be criminally punished.</w:t>
      </w:r>
      <w:r>
        <w:rPr>
          <w:sz w:val="26"/>
          <w:szCs w:val="26"/>
        </w:rPr>
        <w:t xml:space="preserve"> </w:t>
      </w:r>
      <w:r w:rsidRPr="001B79C4">
        <w:rPr>
          <w:sz w:val="26"/>
          <w:szCs w:val="26"/>
        </w:rPr>
        <w:t xml:space="preserve"> </w:t>
      </w:r>
      <w:r>
        <w:rPr>
          <w:sz w:val="26"/>
          <w:szCs w:val="26"/>
        </w:rPr>
        <w:t xml:space="preserve">[Citation.] </w:t>
      </w:r>
      <w:r w:rsidRPr="001B79C4">
        <w:rPr>
          <w:sz w:val="26"/>
          <w:szCs w:val="26"/>
        </w:rPr>
        <w:t> However, there is no threat of criminal punishment for knowingly false statements that the officer might make about the citizen in response to the complaint</w:t>
      </w:r>
      <w:r>
        <w:rPr>
          <w:sz w:val="26"/>
          <w:szCs w:val="26"/>
        </w:rPr>
        <w:t>.”  (</w:t>
      </w:r>
      <w:r>
        <w:rPr>
          <w:i/>
          <w:iCs/>
          <w:sz w:val="26"/>
          <w:szCs w:val="26"/>
        </w:rPr>
        <w:t xml:space="preserve">Id. </w:t>
      </w:r>
      <w:r>
        <w:rPr>
          <w:sz w:val="26"/>
          <w:szCs w:val="26"/>
        </w:rPr>
        <w:t>at p. 18, capitalization in original.)</w:t>
      </w:r>
    </w:p>
    <w:p w14:paraId="2ECFA7EA" w14:textId="77777777" w:rsidR="00A87633" w:rsidRPr="003A19CA" w:rsidRDefault="009D4782" w:rsidP="00996974">
      <w:pPr>
        <w:pStyle w:val="FootnoteText"/>
        <w:ind w:left="720"/>
        <w:rPr>
          <w:sz w:val="24"/>
          <w:szCs w:val="26"/>
        </w:rPr>
      </w:pPr>
      <w:r w:rsidRPr="007869DD">
        <w:rPr>
          <w:sz w:val="24"/>
          <w:szCs w:val="24"/>
        </w:rPr>
        <w:t>*</w:t>
      </w:r>
      <w:r>
        <w:rPr>
          <w:sz w:val="24"/>
          <w:szCs w:val="24"/>
        </w:rPr>
        <w:t xml:space="preserve">  </w:t>
      </w:r>
      <w:r w:rsidRPr="003A19CA">
        <w:rPr>
          <w:sz w:val="24"/>
          <w:szCs w:val="26"/>
        </w:rPr>
        <w:t xml:space="preserve">We take judicial notice of the </w:t>
      </w:r>
      <w:r>
        <w:rPr>
          <w:sz w:val="24"/>
          <w:szCs w:val="26"/>
        </w:rPr>
        <w:t xml:space="preserve">respondent’s answer brief in </w:t>
      </w:r>
      <w:r w:rsidRPr="003D67B0">
        <w:rPr>
          <w:i/>
          <w:iCs/>
          <w:sz w:val="24"/>
          <w:szCs w:val="26"/>
        </w:rPr>
        <w:t>Stanistreet</w:t>
      </w:r>
      <w:r>
        <w:rPr>
          <w:sz w:val="24"/>
          <w:szCs w:val="26"/>
        </w:rPr>
        <w:t xml:space="preserve"> </w:t>
      </w:r>
      <w:r w:rsidRPr="003A19CA">
        <w:rPr>
          <w:sz w:val="24"/>
          <w:szCs w:val="26"/>
        </w:rPr>
        <w:t>“for the purpose of determining the procedural posture of [</w:t>
      </w:r>
      <w:r>
        <w:rPr>
          <w:sz w:val="24"/>
          <w:szCs w:val="26"/>
        </w:rPr>
        <w:t>th</w:t>
      </w:r>
      <w:r w:rsidRPr="003A19CA">
        <w:rPr>
          <w:sz w:val="24"/>
          <w:szCs w:val="26"/>
        </w:rPr>
        <w:t>e] case before the” California Supreme Court.  (</w:t>
      </w:r>
      <w:r w:rsidRPr="003A19CA">
        <w:rPr>
          <w:i/>
          <w:sz w:val="24"/>
          <w:szCs w:val="26"/>
        </w:rPr>
        <w:t>Davis v. Southern California Edison Co.</w:t>
      </w:r>
      <w:r w:rsidRPr="003A19CA">
        <w:rPr>
          <w:sz w:val="24"/>
          <w:szCs w:val="26"/>
        </w:rPr>
        <w:t xml:space="preserve"> (2015) 236 Cal.App.4th 619, 632</w:t>
      </w:r>
      <w:r>
        <w:rPr>
          <w:sz w:val="24"/>
          <w:szCs w:val="26"/>
        </w:rPr>
        <w:t>,</w:t>
      </w:r>
      <w:r w:rsidRPr="003A19CA">
        <w:rPr>
          <w:sz w:val="24"/>
          <w:szCs w:val="26"/>
        </w:rPr>
        <w:t xml:space="preserve"> fn. 11; see Evid. Code, §§</w:t>
      </w:r>
      <w:r>
        <w:rPr>
          <w:sz w:val="24"/>
          <w:szCs w:val="26"/>
        </w:rPr>
        <w:t> </w:t>
      </w:r>
      <w:r w:rsidRPr="003A19CA">
        <w:rPr>
          <w:sz w:val="24"/>
          <w:szCs w:val="26"/>
        </w:rPr>
        <w:t>452, subd. (d)</w:t>
      </w:r>
      <w:r>
        <w:rPr>
          <w:sz w:val="24"/>
          <w:szCs w:val="26"/>
        </w:rPr>
        <w:t>, 459</w:t>
      </w:r>
      <w:r w:rsidRPr="003A19CA">
        <w:rPr>
          <w:sz w:val="24"/>
          <w:szCs w:val="26"/>
        </w:rPr>
        <w:t xml:space="preserve">; </w:t>
      </w:r>
      <w:r w:rsidRPr="003A19CA">
        <w:rPr>
          <w:i/>
          <w:sz w:val="24"/>
          <w:szCs w:val="26"/>
        </w:rPr>
        <w:t xml:space="preserve">People v. Sanchez </w:t>
      </w:r>
      <w:r w:rsidRPr="003A19CA">
        <w:rPr>
          <w:sz w:val="24"/>
          <w:szCs w:val="26"/>
        </w:rPr>
        <w:t>(1995) 12 Cal.4th 1, 85</w:t>
      </w:r>
      <w:r>
        <w:rPr>
          <w:sz w:val="24"/>
          <w:szCs w:val="26"/>
        </w:rPr>
        <w:t>,</w:t>
      </w:r>
      <w:r w:rsidRPr="003A19CA">
        <w:rPr>
          <w:sz w:val="24"/>
          <w:szCs w:val="26"/>
        </w:rPr>
        <w:t xml:space="preserve"> fn. 10 [taking judicial notice of </w:t>
      </w:r>
      <w:r>
        <w:rPr>
          <w:sz w:val="24"/>
          <w:szCs w:val="26"/>
        </w:rPr>
        <w:t xml:space="preserve">a </w:t>
      </w:r>
      <w:r w:rsidRPr="003A19CA">
        <w:rPr>
          <w:sz w:val="24"/>
          <w:szCs w:val="26"/>
        </w:rPr>
        <w:t xml:space="preserve">brief filed in </w:t>
      </w:r>
      <w:r>
        <w:rPr>
          <w:sz w:val="24"/>
          <w:szCs w:val="26"/>
        </w:rPr>
        <w:t xml:space="preserve">a </w:t>
      </w:r>
      <w:r w:rsidRPr="003A19CA">
        <w:rPr>
          <w:sz w:val="24"/>
          <w:szCs w:val="26"/>
        </w:rPr>
        <w:t>different appeal], disapproved on another ground in</w:t>
      </w:r>
      <w:r>
        <w:rPr>
          <w:sz w:val="24"/>
          <w:szCs w:val="26"/>
        </w:rPr>
        <w:t xml:space="preserve"> </w:t>
      </w:r>
      <w:r w:rsidRPr="003A19CA">
        <w:rPr>
          <w:i/>
          <w:sz w:val="24"/>
          <w:szCs w:val="26"/>
        </w:rPr>
        <w:t>People v. Doolin</w:t>
      </w:r>
      <w:r w:rsidRPr="003A19CA">
        <w:rPr>
          <w:sz w:val="24"/>
          <w:szCs w:val="26"/>
        </w:rPr>
        <w:t xml:space="preserve"> (2009) 45 Cal.4th 390.) </w:t>
      </w:r>
    </w:p>
  </w:footnote>
  <w:footnote w:id="14">
    <w:p w14:paraId="6F6990E6" w14:textId="77777777" w:rsidR="00A97AD4" w:rsidRDefault="009D4782" w:rsidP="007D407F">
      <w:pPr>
        <w:pStyle w:val="FootnoteText"/>
        <w:rPr>
          <w:sz w:val="26"/>
          <w:szCs w:val="26"/>
        </w:rPr>
      </w:pPr>
      <w:r w:rsidRPr="004A2951">
        <w:rPr>
          <w:rStyle w:val="FootnoteReference"/>
          <w:sz w:val="26"/>
          <w:szCs w:val="26"/>
        </w:rPr>
        <w:footnoteRef/>
      </w:r>
      <w:r w:rsidRPr="004A2951">
        <w:rPr>
          <w:sz w:val="26"/>
          <w:szCs w:val="26"/>
        </w:rPr>
        <w:t xml:space="preserve"> </w:t>
      </w:r>
      <w:r w:rsidRPr="004A2951">
        <w:rPr>
          <w:sz w:val="26"/>
          <w:szCs w:val="26"/>
        </w:rPr>
        <w:tab/>
        <w:t xml:space="preserve">Other language in </w:t>
      </w:r>
      <w:r w:rsidRPr="004A2951">
        <w:rPr>
          <w:i/>
          <w:iCs/>
          <w:sz w:val="26"/>
          <w:szCs w:val="26"/>
        </w:rPr>
        <w:t xml:space="preserve">Alvarez </w:t>
      </w:r>
      <w:r w:rsidRPr="004A2951">
        <w:rPr>
          <w:sz w:val="26"/>
          <w:szCs w:val="26"/>
        </w:rPr>
        <w:t xml:space="preserve">supports the </w:t>
      </w:r>
      <w:r>
        <w:rPr>
          <w:sz w:val="26"/>
          <w:szCs w:val="26"/>
        </w:rPr>
        <w:t xml:space="preserve">California Supreme Court’s </w:t>
      </w:r>
      <w:r w:rsidRPr="004A2951">
        <w:rPr>
          <w:sz w:val="26"/>
          <w:szCs w:val="26"/>
        </w:rPr>
        <w:t xml:space="preserve">holding in </w:t>
      </w:r>
      <w:r w:rsidRPr="004A2951">
        <w:rPr>
          <w:i/>
          <w:iCs/>
          <w:sz w:val="26"/>
          <w:szCs w:val="26"/>
        </w:rPr>
        <w:t>Stanistreet</w:t>
      </w:r>
      <w:r>
        <w:rPr>
          <w:i/>
          <w:iCs/>
          <w:sz w:val="26"/>
          <w:szCs w:val="26"/>
        </w:rPr>
        <w:t xml:space="preserve"> </w:t>
      </w:r>
      <w:r>
        <w:rPr>
          <w:sz w:val="26"/>
          <w:szCs w:val="26"/>
        </w:rPr>
        <w:t>that section 148.6 does not violate the First Amendment</w:t>
      </w:r>
      <w:r w:rsidRPr="004A2951">
        <w:rPr>
          <w:sz w:val="26"/>
          <w:szCs w:val="26"/>
        </w:rPr>
        <w:t xml:space="preserve">.  The plurality </w:t>
      </w:r>
      <w:r>
        <w:rPr>
          <w:sz w:val="26"/>
          <w:szCs w:val="26"/>
        </w:rPr>
        <w:t xml:space="preserve">in </w:t>
      </w:r>
      <w:r w:rsidRPr="00613503">
        <w:rPr>
          <w:i/>
          <w:iCs/>
          <w:sz w:val="26"/>
          <w:szCs w:val="26"/>
        </w:rPr>
        <w:t>Alvarez</w:t>
      </w:r>
      <w:r>
        <w:rPr>
          <w:sz w:val="26"/>
          <w:szCs w:val="26"/>
        </w:rPr>
        <w:t xml:space="preserve"> identified</w:t>
      </w:r>
      <w:r w:rsidRPr="004A2951">
        <w:rPr>
          <w:sz w:val="26"/>
          <w:szCs w:val="26"/>
        </w:rPr>
        <w:t xml:space="preserve"> several “examples of regulations on false speech” it did not intend to undermine, including </w:t>
      </w:r>
      <w:r>
        <w:rPr>
          <w:sz w:val="26"/>
          <w:szCs w:val="26"/>
        </w:rPr>
        <w:t xml:space="preserve">the prohibition in title </w:t>
      </w:r>
      <w:r w:rsidRPr="004A2951">
        <w:rPr>
          <w:sz w:val="26"/>
          <w:szCs w:val="26"/>
        </w:rPr>
        <w:t xml:space="preserve">18 </w:t>
      </w:r>
      <w:r>
        <w:rPr>
          <w:sz w:val="26"/>
          <w:szCs w:val="26"/>
        </w:rPr>
        <w:t>United States Code section</w:t>
      </w:r>
      <w:r w:rsidRPr="004A2951">
        <w:rPr>
          <w:sz w:val="26"/>
          <w:szCs w:val="26"/>
        </w:rPr>
        <w:t xml:space="preserve"> 1001</w:t>
      </w:r>
      <w:r>
        <w:rPr>
          <w:sz w:val="26"/>
          <w:szCs w:val="26"/>
        </w:rPr>
        <w:t xml:space="preserve"> </w:t>
      </w:r>
      <w:r w:rsidRPr="004A2951">
        <w:rPr>
          <w:sz w:val="26"/>
          <w:szCs w:val="26"/>
        </w:rPr>
        <w:t>“on false statements made to Government officials, in communications concerning official matters . . . .”</w:t>
      </w:r>
      <w:r>
        <w:rPr>
          <w:sz w:val="26"/>
          <w:szCs w:val="26"/>
        </w:rPr>
        <w:t xml:space="preserve"> </w:t>
      </w:r>
      <w:r w:rsidRPr="004A2951">
        <w:rPr>
          <w:sz w:val="26"/>
          <w:szCs w:val="26"/>
        </w:rPr>
        <w:t xml:space="preserve"> (</w:t>
      </w:r>
      <w:r>
        <w:rPr>
          <w:i/>
          <w:iCs/>
          <w:sz w:val="26"/>
          <w:szCs w:val="26"/>
        </w:rPr>
        <w:t>United States v. Alvarez</w:t>
      </w:r>
      <w:r>
        <w:rPr>
          <w:sz w:val="26"/>
          <w:szCs w:val="26"/>
        </w:rPr>
        <w:t xml:space="preserve">, </w:t>
      </w:r>
      <w:r>
        <w:rPr>
          <w:i/>
          <w:iCs/>
          <w:sz w:val="26"/>
          <w:szCs w:val="26"/>
        </w:rPr>
        <w:t>supra</w:t>
      </w:r>
      <w:r>
        <w:rPr>
          <w:sz w:val="26"/>
          <w:szCs w:val="26"/>
        </w:rPr>
        <w:t>,</w:t>
      </w:r>
      <w:r w:rsidRPr="004A2951">
        <w:rPr>
          <w:i/>
          <w:iCs/>
          <w:sz w:val="26"/>
          <w:szCs w:val="26"/>
        </w:rPr>
        <w:t xml:space="preserve"> </w:t>
      </w:r>
      <w:r w:rsidRPr="00531A67">
        <w:rPr>
          <w:sz w:val="26"/>
          <w:szCs w:val="26"/>
        </w:rPr>
        <w:t>567</w:t>
      </w:r>
      <w:r>
        <w:rPr>
          <w:sz w:val="26"/>
          <w:szCs w:val="26"/>
        </w:rPr>
        <w:t> </w:t>
      </w:r>
      <w:r w:rsidRPr="00531A67">
        <w:rPr>
          <w:sz w:val="26"/>
          <w:szCs w:val="26"/>
        </w:rPr>
        <w:t>U.S.</w:t>
      </w:r>
      <w:r w:rsidRPr="00531A67">
        <w:rPr>
          <w:i/>
          <w:iCs/>
          <w:sz w:val="26"/>
          <w:szCs w:val="26"/>
        </w:rPr>
        <w:t xml:space="preserve"> </w:t>
      </w:r>
      <w:r w:rsidRPr="004A2951">
        <w:rPr>
          <w:sz w:val="26"/>
          <w:szCs w:val="26"/>
        </w:rPr>
        <w:t>at p.</w:t>
      </w:r>
      <w:r>
        <w:rPr>
          <w:sz w:val="26"/>
          <w:szCs w:val="26"/>
        </w:rPr>
        <w:t> </w:t>
      </w:r>
      <w:r w:rsidRPr="004A2951">
        <w:rPr>
          <w:sz w:val="26"/>
          <w:szCs w:val="26"/>
        </w:rPr>
        <w:t>720.)</w:t>
      </w:r>
    </w:p>
    <w:p w14:paraId="3FE8C00A" w14:textId="77777777" w:rsidR="00A97AD4" w:rsidRPr="004A2951" w:rsidRDefault="0028732F" w:rsidP="007D407F">
      <w:pPr>
        <w:pStyle w:val="FootnoteText"/>
        <w:rPr>
          <w:sz w:val="26"/>
          <w:szCs w:val="26"/>
        </w:rPr>
      </w:pPr>
    </w:p>
  </w:footnote>
  <w:footnote w:id="15">
    <w:p w14:paraId="5F1C1C78" w14:textId="77777777" w:rsidR="00301DDD" w:rsidRPr="004A2951" w:rsidRDefault="009D4782" w:rsidP="00301DDD">
      <w:pPr>
        <w:pStyle w:val="FootnoteText"/>
        <w:rPr>
          <w:sz w:val="26"/>
          <w:szCs w:val="26"/>
        </w:rPr>
      </w:pPr>
      <w:r w:rsidRPr="004A2951">
        <w:rPr>
          <w:rStyle w:val="FootnoteReference"/>
          <w:sz w:val="26"/>
          <w:szCs w:val="26"/>
        </w:rPr>
        <w:footnoteRef/>
      </w:r>
      <w:r w:rsidRPr="004A2951">
        <w:rPr>
          <w:sz w:val="26"/>
          <w:szCs w:val="26"/>
        </w:rPr>
        <w:t xml:space="preserve"> </w:t>
      </w:r>
      <w:r w:rsidRPr="004A2951">
        <w:rPr>
          <w:sz w:val="26"/>
          <w:szCs w:val="26"/>
        </w:rPr>
        <w:tab/>
        <w:t>At least one state supreme court</w:t>
      </w:r>
      <w:r>
        <w:rPr>
          <w:sz w:val="26"/>
          <w:szCs w:val="26"/>
        </w:rPr>
        <w:t>, however,</w:t>
      </w:r>
      <w:r w:rsidRPr="004A2951">
        <w:rPr>
          <w:sz w:val="26"/>
          <w:szCs w:val="26"/>
        </w:rPr>
        <w:t xml:space="preserve"> </w:t>
      </w:r>
      <w:r>
        <w:rPr>
          <w:sz w:val="26"/>
          <w:szCs w:val="26"/>
        </w:rPr>
        <w:t xml:space="preserve">has </w:t>
      </w:r>
      <w:r w:rsidRPr="004A2951">
        <w:rPr>
          <w:sz w:val="26"/>
          <w:szCs w:val="26"/>
        </w:rPr>
        <w:t xml:space="preserve">upheld a statute </w:t>
      </w:r>
      <w:r>
        <w:rPr>
          <w:sz w:val="26"/>
          <w:szCs w:val="26"/>
        </w:rPr>
        <w:t xml:space="preserve">similar </w:t>
      </w:r>
      <w:r w:rsidRPr="004A2951">
        <w:rPr>
          <w:sz w:val="26"/>
          <w:szCs w:val="26"/>
        </w:rPr>
        <w:t>to section 148.6 against a</w:t>
      </w:r>
      <w:r>
        <w:rPr>
          <w:sz w:val="26"/>
          <w:szCs w:val="26"/>
        </w:rPr>
        <w:t xml:space="preserve"> challenge </w:t>
      </w:r>
      <w:r w:rsidRPr="004A2951">
        <w:rPr>
          <w:sz w:val="26"/>
          <w:szCs w:val="26"/>
        </w:rPr>
        <w:t xml:space="preserve">essentially identical </w:t>
      </w:r>
      <w:r>
        <w:rPr>
          <w:sz w:val="26"/>
          <w:szCs w:val="26"/>
        </w:rPr>
        <w:t xml:space="preserve">to </w:t>
      </w:r>
      <w:r w:rsidRPr="004A2951">
        <w:rPr>
          <w:sz w:val="26"/>
          <w:szCs w:val="26"/>
        </w:rPr>
        <w:t>the City</w:t>
      </w:r>
      <w:r>
        <w:rPr>
          <w:sz w:val="26"/>
          <w:szCs w:val="26"/>
        </w:rPr>
        <w:t>’s</w:t>
      </w:r>
      <w:r w:rsidRPr="004A2951">
        <w:rPr>
          <w:sz w:val="26"/>
          <w:szCs w:val="26"/>
        </w:rPr>
        <w:t xml:space="preserve">, disagreeing with the Ninth Circuit’s </w:t>
      </w:r>
      <w:r>
        <w:rPr>
          <w:sz w:val="26"/>
          <w:szCs w:val="26"/>
        </w:rPr>
        <w:t>decision</w:t>
      </w:r>
      <w:r w:rsidRPr="004A2951">
        <w:rPr>
          <w:sz w:val="26"/>
          <w:szCs w:val="26"/>
        </w:rPr>
        <w:t xml:space="preserve"> in </w:t>
      </w:r>
      <w:r w:rsidRPr="004A2951">
        <w:rPr>
          <w:i/>
          <w:iCs/>
          <w:sz w:val="26"/>
          <w:szCs w:val="26"/>
        </w:rPr>
        <w:t xml:space="preserve">Chaker.  </w:t>
      </w:r>
      <w:r w:rsidRPr="004A2951">
        <w:rPr>
          <w:sz w:val="26"/>
          <w:szCs w:val="26"/>
        </w:rPr>
        <w:t xml:space="preserve">(See </w:t>
      </w:r>
      <w:r w:rsidRPr="004A2951">
        <w:rPr>
          <w:i/>
          <w:iCs/>
          <w:sz w:val="26"/>
          <w:szCs w:val="26"/>
        </w:rPr>
        <w:t>State v. Crawley</w:t>
      </w:r>
      <w:r w:rsidRPr="004A2951">
        <w:rPr>
          <w:sz w:val="26"/>
          <w:szCs w:val="26"/>
        </w:rPr>
        <w:t xml:space="preserve"> (Minn. 2012) 819 N.W.</w:t>
      </w:r>
      <w:r>
        <w:rPr>
          <w:sz w:val="26"/>
          <w:szCs w:val="26"/>
        </w:rPr>
        <w:t> </w:t>
      </w:r>
      <w:r w:rsidRPr="004A2951">
        <w:rPr>
          <w:sz w:val="26"/>
          <w:szCs w:val="26"/>
        </w:rPr>
        <w:t>2d 94, 109, 114 [“Because speech that is supportive of peace officer conduct does not fall within the unprotected category of defamation, the statute does not discriminate on the basis of viewpoint.”], cert</w:t>
      </w:r>
      <w:r>
        <w:rPr>
          <w:sz w:val="26"/>
          <w:szCs w:val="26"/>
        </w:rPr>
        <w:t>.</w:t>
      </w:r>
      <w:r w:rsidRPr="004A2951">
        <w:rPr>
          <w:sz w:val="26"/>
          <w:szCs w:val="26"/>
        </w:rPr>
        <w:t xml:space="preserve"> den</w:t>
      </w:r>
      <w:r>
        <w:rPr>
          <w:sz w:val="26"/>
          <w:szCs w:val="26"/>
        </w:rPr>
        <w:t>.</w:t>
      </w:r>
      <w:r w:rsidRPr="004A2951">
        <w:rPr>
          <w:sz w:val="26"/>
          <w:szCs w:val="26"/>
        </w:rPr>
        <w:t xml:space="preserve"> 568 U.S. 1212</w:t>
      </w:r>
      <w:r>
        <w:rPr>
          <w:sz w:val="26"/>
          <w:szCs w:val="26"/>
        </w:rPr>
        <w:t xml:space="preserve"> [</w:t>
      </w:r>
      <w:r w:rsidRPr="005F6D61">
        <w:rPr>
          <w:sz w:val="26"/>
          <w:szCs w:val="26"/>
        </w:rPr>
        <w:t>133 S.Ct. 1493</w:t>
      </w:r>
      <w:r>
        <w:rPr>
          <w:sz w:val="26"/>
          <w:szCs w:val="26"/>
        </w:rPr>
        <w:t xml:space="preserve">, </w:t>
      </w:r>
      <w:r w:rsidRPr="005F6D61">
        <w:rPr>
          <w:sz w:val="26"/>
          <w:szCs w:val="26"/>
        </w:rPr>
        <w:t>185</w:t>
      </w:r>
      <w:r>
        <w:rPr>
          <w:sz w:val="26"/>
          <w:szCs w:val="26"/>
        </w:rPr>
        <w:t> </w:t>
      </w:r>
      <w:r w:rsidRPr="005F6D61">
        <w:rPr>
          <w:sz w:val="26"/>
          <w:szCs w:val="26"/>
        </w:rPr>
        <w:t>L.Ed.2d 548</w:t>
      </w:r>
      <w:r>
        <w:rPr>
          <w:sz w:val="26"/>
          <w:szCs w:val="26"/>
        </w:rPr>
        <w:t>]</w:t>
      </w:r>
      <w:r w:rsidRPr="004A2951">
        <w:rPr>
          <w:sz w:val="26"/>
          <w:szCs w:val="26"/>
        </w:rPr>
        <w:t>.)</w:t>
      </w:r>
    </w:p>
  </w:footnote>
  <w:footnote w:id="16">
    <w:p w14:paraId="547D0374" w14:textId="77777777" w:rsidR="00A97AD4" w:rsidRDefault="009D4782" w:rsidP="00FC6987">
      <w:pPr>
        <w:pStyle w:val="FootnoteText"/>
        <w:spacing w:after="120" w:line="300" w:lineRule="exact"/>
      </w:pPr>
      <w:r w:rsidRPr="00C7331C">
        <w:rPr>
          <w:rStyle w:val="FootnoteReference"/>
          <w:sz w:val="26"/>
          <w:szCs w:val="26"/>
        </w:rPr>
        <w:t>*</w:t>
      </w:r>
      <w:r w:rsidRPr="00C7331C">
        <w:rPr>
          <w:rStyle w:val="FootnoteReference"/>
          <w:sz w:val="26"/>
          <w:szCs w:val="26"/>
        </w:rPr>
        <w:tab/>
      </w:r>
      <w:r w:rsidRPr="00C7331C">
        <w:rPr>
          <w:sz w:val="26"/>
          <w:szCs w:val="26"/>
        </w:rPr>
        <w:t xml:space="preserve">Judge of the </w:t>
      </w:r>
      <w:r>
        <w:rPr>
          <w:sz w:val="26"/>
          <w:szCs w:val="26"/>
        </w:rPr>
        <w:t>Alameda</w:t>
      </w:r>
      <w:r w:rsidRPr="00C7331C">
        <w:rPr>
          <w:sz w:val="26"/>
          <w:szCs w:val="26"/>
        </w:rPr>
        <w:t xml:space="preserve"> </w:t>
      </w:r>
      <w:r>
        <w:rPr>
          <w:sz w:val="26"/>
          <w:szCs w:val="26"/>
        </w:rPr>
        <w:t xml:space="preserve">County </w:t>
      </w:r>
      <w:r w:rsidRPr="00C7331C">
        <w:rPr>
          <w:sz w:val="26"/>
          <w:szCs w:val="26"/>
        </w:rPr>
        <w:t>Superior Court, assigned by the Chief Justice pursuant to article VI, section 6 of the California Constitution.</w:t>
      </w:r>
    </w:p>
  </w:footnote>
  <w:footnote w:id="17">
    <w:p w14:paraId="5AFA6D81" w14:textId="77777777" w:rsidR="00213DD8" w:rsidRDefault="009D4782" w:rsidP="00213DD8">
      <w:pPr>
        <w:spacing w:after="120" w:line="240" w:lineRule="auto"/>
        <w:rPr>
          <w:rFonts w:eastAsia="Times New Roman"/>
          <w:color w:val="000000"/>
          <w:szCs w:val="26"/>
        </w:rPr>
      </w:pPr>
      <w:r>
        <w:rPr>
          <w:rStyle w:val="FootnoteReference"/>
          <w:sz w:val="24"/>
        </w:rPr>
        <w:footnoteRef/>
      </w:r>
      <w:r>
        <w:t xml:space="preserve"> </w:t>
      </w:r>
      <w:r>
        <w:tab/>
      </w:r>
      <w:r>
        <w:rPr>
          <w:rFonts w:eastAsia="Times New Roman"/>
          <w:color w:val="000000"/>
          <w:szCs w:val="26"/>
        </w:rPr>
        <w:t xml:space="preserve">Presumably, an appellate court decision that section 148.6 could not apply to the City under the home rule doctrine or that it was directory, not mandatory, would provide a basis for the City to seek to dissolve the injunction we affirm today. </w:t>
      </w:r>
    </w:p>
    <w:p w14:paraId="5447CB13" w14:textId="77777777" w:rsidR="00213DD8" w:rsidRDefault="0028732F" w:rsidP="00213DD8">
      <w:pPr>
        <w:pStyle w:val="FootnoteText"/>
        <w:rPr>
          <w:rFonts w:eastAsia="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C475" w14:textId="77777777" w:rsidR="008F12ED" w:rsidRDefault="00287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BAC9" w14:textId="77777777" w:rsidR="008F12ED" w:rsidRDefault="00287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A124" w14:textId="77777777" w:rsidR="008F12ED" w:rsidRDefault="00287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102"/>
    <w:multiLevelType w:val="multilevel"/>
    <w:tmpl w:val="BA1A04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62DFD"/>
    <w:multiLevelType w:val="hybridMultilevel"/>
    <w:tmpl w:val="67D27C6E"/>
    <w:lvl w:ilvl="0" w:tplc="7458DC5E">
      <w:start w:val="2"/>
      <w:numFmt w:val="bullet"/>
      <w:lvlText w:val=""/>
      <w:lvlJc w:val="left"/>
      <w:pPr>
        <w:ind w:left="720" w:hanging="360"/>
      </w:pPr>
      <w:rPr>
        <w:rFonts w:ascii="Symbol" w:eastAsiaTheme="minorHAnsi" w:hAnsi="Symbol" w:cs="Times New Roman" w:hint="default"/>
      </w:rPr>
    </w:lvl>
    <w:lvl w:ilvl="1" w:tplc="82A207E0">
      <w:start w:val="1"/>
      <w:numFmt w:val="bullet"/>
      <w:lvlText w:val="o"/>
      <w:lvlJc w:val="left"/>
      <w:pPr>
        <w:ind w:left="1440" w:hanging="360"/>
      </w:pPr>
      <w:rPr>
        <w:rFonts w:ascii="Courier New" w:hAnsi="Courier New" w:cs="Courier New" w:hint="default"/>
      </w:rPr>
    </w:lvl>
    <w:lvl w:ilvl="2" w:tplc="9C948990">
      <w:start w:val="1"/>
      <w:numFmt w:val="bullet"/>
      <w:lvlText w:val=""/>
      <w:lvlJc w:val="left"/>
      <w:pPr>
        <w:ind w:left="2160" w:hanging="360"/>
      </w:pPr>
      <w:rPr>
        <w:rFonts w:ascii="Wingdings" w:hAnsi="Wingdings" w:hint="default"/>
      </w:rPr>
    </w:lvl>
    <w:lvl w:ilvl="3" w:tplc="D71CF046">
      <w:start w:val="1"/>
      <w:numFmt w:val="bullet"/>
      <w:lvlText w:val=""/>
      <w:lvlJc w:val="left"/>
      <w:pPr>
        <w:ind w:left="2880" w:hanging="360"/>
      </w:pPr>
      <w:rPr>
        <w:rFonts w:ascii="Symbol" w:hAnsi="Symbol" w:hint="default"/>
      </w:rPr>
    </w:lvl>
    <w:lvl w:ilvl="4" w:tplc="5C7EC1A8" w:tentative="1">
      <w:start w:val="1"/>
      <w:numFmt w:val="bullet"/>
      <w:lvlText w:val="o"/>
      <w:lvlJc w:val="left"/>
      <w:pPr>
        <w:ind w:left="3600" w:hanging="360"/>
      </w:pPr>
      <w:rPr>
        <w:rFonts w:ascii="Courier New" w:hAnsi="Courier New" w:cs="Courier New" w:hint="default"/>
      </w:rPr>
    </w:lvl>
    <w:lvl w:ilvl="5" w:tplc="D76AA506" w:tentative="1">
      <w:start w:val="1"/>
      <w:numFmt w:val="bullet"/>
      <w:lvlText w:val=""/>
      <w:lvlJc w:val="left"/>
      <w:pPr>
        <w:ind w:left="4320" w:hanging="360"/>
      </w:pPr>
      <w:rPr>
        <w:rFonts w:ascii="Wingdings" w:hAnsi="Wingdings" w:hint="default"/>
      </w:rPr>
    </w:lvl>
    <w:lvl w:ilvl="6" w:tplc="4FC80F44" w:tentative="1">
      <w:start w:val="1"/>
      <w:numFmt w:val="bullet"/>
      <w:lvlText w:val=""/>
      <w:lvlJc w:val="left"/>
      <w:pPr>
        <w:ind w:left="5040" w:hanging="360"/>
      </w:pPr>
      <w:rPr>
        <w:rFonts w:ascii="Symbol" w:hAnsi="Symbol" w:hint="default"/>
      </w:rPr>
    </w:lvl>
    <w:lvl w:ilvl="7" w:tplc="E69C86BC" w:tentative="1">
      <w:start w:val="1"/>
      <w:numFmt w:val="bullet"/>
      <w:lvlText w:val="o"/>
      <w:lvlJc w:val="left"/>
      <w:pPr>
        <w:ind w:left="5760" w:hanging="360"/>
      </w:pPr>
      <w:rPr>
        <w:rFonts w:ascii="Courier New" w:hAnsi="Courier New" w:cs="Courier New" w:hint="default"/>
      </w:rPr>
    </w:lvl>
    <w:lvl w:ilvl="8" w:tplc="83AE4AEE" w:tentative="1">
      <w:start w:val="1"/>
      <w:numFmt w:val="bullet"/>
      <w:lvlText w:val=""/>
      <w:lvlJc w:val="left"/>
      <w:pPr>
        <w:ind w:left="6480" w:hanging="360"/>
      </w:pPr>
      <w:rPr>
        <w:rFonts w:ascii="Wingdings" w:hAnsi="Wingdings" w:hint="default"/>
      </w:rPr>
    </w:lvl>
  </w:abstractNum>
  <w:abstractNum w:abstractNumId="2" w15:restartNumberingAfterBreak="0">
    <w:nsid w:val="24CD0BB2"/>
    <w:multiLevelType w:val="hybridMultilevel"/>
    <w:tmpl w:val="258CF53E"/>
    <w:lvl w:ilvl="0" w:tplc="B086947E">
      <w:start w:val="1"/>
      <w:numFmt w:val="decimal"/>
      <w:lvlText w:val="%1."/>
      <w:lvlJc w:val="left"/>
      <w:pPr>
        <w:ind w:left="2160" w:hanging="720"/>
      </w:pPr>
      <w:rPr>
        <w:rFonts w:hint="default"/>
      </w:rPr>
    </w:lvl>
    <w:lvl w:ilvl="1" w:tplc="455EAAC4">
      <w:start w:val="1"/>
      <w:numFmt w:val="lowerLetter"/>
      <w:lvlText w:val="%2."/>
      <w:lvlJc w:val="left"/>
      <w:pPr>
        <w:ind w:left="2520" w:hanging="360"/>
      </w:pPr>
      <w:rPr>
        <w:i w:val="0"/>
        <w:iCs w:val="0"/>
      </w:rPr>
    </w:lvl>
    <w:lvl w:ilvl="2" w:tplc="B7862582" w:tentative="1">
      <w:start w:val="1"/>
      <w:numFmt w:val="lowerRoman"/>
      <w:lvlText w:val="%3."/>
      <w:lvlJc w:val="right"/>
      <w:pPr>
        <w:ind w:left="3240" w:hanging="180"/>
      </w:pPr>
    </w:lvl>
    <w:lvl w:ilvl="3" w:tplc="3D44A3D8" w:tentative="1">
      <w:start w:val="1"/>
      <w:numFmt w:val="decimal"/>
      <w:lvlText w:val="%4."/>
      <w:lvlJc w:val="left"/>
      <w:pPr>
        <w:ind w:left="3960" w:hanging="360"/>
      </w:pPr>
    </w:lvl>
    <w:lvl w:ilvl="4" w:tplc="12EE8D6E" w:tentative="1">
      <w:start w:val="1"/>
      <w:numFmt w:val="lowerLetter"/>
      <w:lvlText w:val="%5."/>
      <w:lvlJc w:val="left"/>
      <w:pPr>
        <w:ind w:left="4680" w:hanging="360"/>
      </w:pPr>
    </w:lvl>
    <w:lvl w:ilvl="5" w:tplc="51A6AE98" w:tentative="1">
      <w:start w:val="1"/>
      <w:numFmt w:val="lowerRoman"/>
      <w:lvlText w:val="%6."/>
      <w:lvlJc w:val="right"/>
      <w:pPr>
        <w:ind w:left="5400" w:hanging="180"/>
      </w:pPr>
    </w:lvl>
    <w:lvl w:ilvl="6" w:tplc="8776199E" w:tentative="1">
      <w:start w:val="1"/>
      <w:numFmt w:val="decimal"/>
      <w:lvlText w:val="%7."/>
      <w:lvlJc w:val="left"/>
      <w:pPr>
        <w:ind w:left="6120" w:hanging="360"/>
      </w:pPr>
    </w:lvl>
    <w:lvl w:ilvl="7" w:tplc="41DE426E" w:tentative="1">
      <w:start w:val="1"/>
      <w:numFmt w:val="lowerLetter"/>
      <w:lvlText w:val="%8."/>
      <w:lvlJc w:val="left"/>
      <w:pPr>
        <w:ind w:left="6840" w:hanging="360"/>
      </w:pPr>
    </w:lvl>
    <w:lvl w:ilvl="8" w:tplc="EBC80F90" w:tentative="1">
      <w:start w:val="1"/>
      <w:numFmt w:val="lowerRoman"/>
      <w:lvlText w:val="%9."/>
      <w:lvlJc w:val="right"/>
      <w:pPr>
        <w:ind w:left="7560" w:hanging="180"/>
      </w:pPr>
    </w:lvl>
  </w:abstractNum>
  <w:abstractNum w:abstractNumId="3" w15:restartNumberingAfterBreak="0">
    <w:nsid w:val="4AF8456E"/>
    <w:multiLevelType w:val="hybridMultilevel"/>
    <w:tmpl w:val="8CF049E0"/>
    <w:lvl w:ilvl="0" w:tplc="EDBCCC9A">
      <w:start w:val="1"/>
      <w:numFmt w:val="upperLetter"/>
      <w:lvlText w:val="%1."/>
      <w:lvlJc w:val="left"/>
      <w:pPr>
        <w:ind w:left="720" w:hanging="360"/>
      </w:pPr>
      <w:rPr>
        <w:rFonts w:hint="default"/>
      </w:rPr>
    </w:lvl>
    <w:lvl w:ilvl="1" w:tplc="E55C9A52" w:tentative="1">
      <w:start w:val="1"/>
      <w:numFmt w:val="lowerLetter"/>
      <w:lvlText w:val="%2."/>
      <w:lvlJc w:val="left"/>
      <w:pPr>
        <w:ind w:left="1440" w:hanging="360"/>
      </w:pPr>
    </w:lvl>
    <w:lvl w:ilvl="2" w:tplc="B7F22D52" w:tentative="1">
      <w:start w:val="1"/>
      <w:numFmt w:val="lowerRoman"/>
      <w:lvlText w:val="%3."/>
      <w:lvlJc w:val="right"/>
      <w:pPr>
        <w:ind w:left="2160" w:hanging="180"/>
      </w:pPr>
    </w:lvl>
    <w:lvl w:ilvl="3" w:tplc="F372FD50" w:tentative="1">
      <w:start w:val="1"/>
      <w:numFmt w:val="decimal"/>
      <w:lvlText w:val="%4."/>
      <w:lvlJc w:val="left"/>
      <w:pPr>
        <w:ind w:left="2880" w:hanging="360"/>
      </w:pPr>
    </w:lvl>
    <w:lvl w:ilvl="4" w:tplc="80108620" w:tentative="1">
      <w:start w:val="1"/>
      <w:numFmt w:val="lowerLetter"/>
      <w:lvlText w:val="%5."/>
      <w:lvlJc w:val="left"/>
      <w:pPr>
        <w:ind w:left="3600" w:hanging="360"/>
      </w:pPr>
    </w:lvl>
    <w:lvl w:ilvl="5" w:tplc="1CCC079E" w:tentative="1">
      <w:start w:val="1"/>
      <w:numFmt w:val="lowerRoman"/>
      <w:lvlText w:val="%6."/>
      <w:lvlJc w:val="right"/>
      <w:pPr>
        <w:ind w:left="4320" w:hanging="180"/>
      </w:pPr>
    </w:lvl>
    <w:lvl w:ilvl="6" w:tplc="7C5C3F96" w:tentative="1">
      <w:start w:val="1"/>
      <w:numFmt w:val="decimal"/>
      <w:lvlText w:val="%7."/>
      <w:lvlJc w:val="left"/>
      <w:pPr>
        <w:ind w:left="5040" w:hanging="360"/>
      </w:pPr>
    </w:lvl>
    <w:lvl w:ilvl="7" w:tplc="D8B41C82" w:tentative="1">
      <w:start w:val="1"/>
      <w:numFmt w:val="lowerLetter"/>
      <w:lvlText w:val="%8."/>
      <w:lvlJc w:val="left"/>
      <w:pPr>
        <w:ind w:left="5760" w:hanging="360"/>
      </w:pPr>
    </w:lvl>
    <w:lvl w:ilvl="8" w:tplc="2648E284" w:tentative="1">
      <w:start w:val="1"/>
      <w:numFmt w:val="lowerRoman"/>
      <w:lvlText w:val="%9."/>
      <w:lvlJc w:val="right"/>
      <w:pPr>
        <w:ind w:left="6480" w:hanging="180"/>
      </w:pPr>
    </w:lvl>
  </w:abstractNum>
  <w:abstractNum w:abstractNumId="4" w15:restartNumberingAfterBreak="0">
    <w:nsid w:val="561409F0"/>
    <w:multiLevelType w:val="hybridMultilevel"/>
    <w:tmpl w:val="28B610AC"/>
    <w:lvl w:ilvl="0" w:tplc="FA481F2E">
      <w:start w:val="1"/>
      <w:numFmt w:val="upperLetter"/>
      <w:lvlText w:val="%1."/>
      <w:lvlJc w:val="left"/>
      <w:pPr>
        <w:ind w:left="1080" w:hanging="360"/>
      </w:pPr>
      <w:rPr>
        <w:rFonts w:hint="default"/>
      </w:rPr>
    </w:lvl>
    <w:lvl w:ilvl="1" w:tplc="7668160C" w:tentative="1">
      <w:start w:val="1"/>
      <w:numFmt w:val="lowerLetter"/>
      <w:lvlText w:val="%2."/>
      <w:lvlJc w:val="left"/>
      <w:pPr>
        <w:ind w:left="1800" w:hanging="360"/>
      </w:pPr>
    </w:lvl>
    <w:lvl w:ilvl="2" w:tplc="39B8A7B8" w:tentative="1">
      <w:start w:val="1"/>
      <w:numFmt w:val="lowerRoman"/>
      <w:lvlText w:val="%3."/>
      <w:lvlJc w:val="right"/>
      <w:pPr>
        <w:ind w:left="2520" w:hanging="180"/>
      </w:pPr>
    </w:lvl>
    <w:lvl w:ilvl="3" w:tplc="EEF25594" w:tentative="1">
      <w:start w:val="1"/>
      <w:numFmt w:val="decimal"/>
      <w:lvlText w:val="%4."/>
      <w:lvlJc w:val="left"/>
      <w:pPr>
        <w:ind w:left="3240" w:hanging="360"/>
      </w:pPr>
    </w:lvl>
    <w:lvl w:ilvl="4" w:tplc="7F00CB86" w:tentative="1">
      <w:start w:val="1"/>
      <w:numFmt w:val="lowerLetter"/>
      <w:lvlText w:val="%5."/>
      <w:lvlJc w:val="left"/>
      <w:pPr>
        <w:ind w:left="3960" w:hanging="360"/>
      </w:pPr>
    </w:lvl>
    <w:lvl w:ilvl="5" w:tplc="4F6A04B0" w:tentative="1">
      <w:start w:val="1"/>
      <w:numFmt w:val="lowerRoman"/>
      <w:lvlText w:val="%6."/>
      <w:lvlJc w:val="right"/>
      <w:pPr>
        <w:ind w:left="4680" w:hanging="180"/>
      </w:pPr>
    </w:lvl>
    <w:lvl w:ilvl="6" w:tplc="1FB828F8" w:tentative="1">
      <w:start w:val="1"/>
      <w:numFmt w:val="decimal"/>
      <w:lvlText w:val="%7."/>
      <w:lvlJc w:val="left"/>
      <w:pPr>
        <w:ind w:left="5400" w:hanging="360"/>
      </w:pPr>
    </w:lvl>
    <w:lvl w:ilvl="7" w:tplc="27541150" w:tentative="1">
      <w:start w:val="1"/>
      <w:numFmt w:val="lowerLetter"/>
      <w:lvlText w:val="%8."/>
      <w:lvlJc w:val="left"/>
      <w:pPr>
        <w:ind w:left="6120" w:hanging="360"/>
      </w:pPr>
    </w:lvl>
    <w:lvl w:ilvl="8" w:tplc="6B0873B6" w:tentative="1">
      <w:start w:val="1"/>
      <w:numFmt w:val="lowerRoman"/>
      <w:lvlText w:val="%9."/>
      <w:lvlJc w:val="right"/>
      <w:pPr>
        <w:ind w:left="6840" w:hanging="180"/>
      </w:pPr>
    </w:lvl>
  </w:abstractNum>
  <w:abstractNum w:abstractNumId="5" w15:restartNumberingAfterBreak="0">
    <w:nsid w:val="58A737BE"/>
    <w:multiLevelType w:val="hybridMultilevel"/>
    <w:tmpl w:val="BDD66C88"/>
    <w:lvl w:ilvl="0" w:tplc="9D0095E4">
      <w:start w:val="1"/>
      <w:numFmt w:val="upperLetter"/>
      <w:lvlText w:val="%1."/>
      <w:lvlJc w:val="left"/>
      <w:pPr>
        <w:ind w:left="1440" w:hanging="720"/>
      </w:pPr>
      <w:rPr>
        <w:rFonts w:hint="default"/>
        <w:i w:val="0"/>
      </w:rPr>
    </w:lvl>
    <w:lvl w:ilvl="1" w:tplc="CFF2054E" w:tentative="1">
      <w:start w:val="1"/>
      <w:numFmt w:val="lowerLetter"/>
      <w:lvlText w:val="%2."/>
      <w:lvlJc w:val="left"/>
      <w:pPr>
        <w:ind w:left="1800" w:hanging="360"/>
      </w:pPr>
    </w:lvl>
    <w:lvl w:ilvl="2" w:tplc="D152EDF4" w:tentative="1">
      <w:start w:val="1"/>
      <w:numFmt w:val="lowerRoman"/>
      <w:lvlText w:val="%3."/>
      <w:lvlJc w:val="right"/>
      <w:pPr>
        <w:ind w:left="2520" w:hanging="180"/>
      </w:pPr>
    </w:lvl>
    <w:lvl w:ilvl="3" w:tplc="64FEF1A2" w:tentative="1">
      <w:start w:val="1"/>
      <w:numFmt w:val="decimal"/>
      <w:lvlText w:val="%4."/>
      <w:lvlJc w:val="left"/>
      <w:pPr>
        <w:ind w:left="3240" w:hanging="360"/>
      </w:pPr>
    </w:lvl>
    <w:lvl w:ilvl="4" w:tplc="8C508532" w:tentative="1">
      <w:start w:val="1"/>
      <w:numFmt w:val="lowerLetter"/>
      <w:lvlText w:val="%5."/>
      <w:lvlJc w:val="left"/>
      <w:pPr>
        <w:ind w:left="3960" w:hanging="360"/>
      </w:pPr>
    </w:lvl>
    <w:lvl w:ilvl="5" w:tplc="5B9872A0" w:tentative="1">
      <w:start w:val="1"/>
      <w:numFmt w:val="lowerRoman"/>
      <w:lvlText w:val="%6."/>
      <w:lvlJc w:val="right"/>
      <w:pPr>
        <w:ind w:left="4680" w:hanging="180"/>
      </w:pPr>
    </w:lvl>
    <w:lvl w:ilvl="6" w:tplc="CF0463B8" w:tentative="1">
      <w:start w:val="1"/>
      <w:numFmt w:val="decimal"/>
      <w:lvlText w:val="%7."/>
      <w:lvlJc w:val="left"/>
      <w:pPr>
        <w:ind w:left="5400" w:hanging="360"/>
      </w:pPr>
    </w:lvl>
    <w:lvl w:ilvl="7" w:tplc="1FF8DCA6" w:tentative="1">
      <w:start w:val="1"/>
      <w:numFmt w:val="lowerLetter"/>
      <w:lvlText w:val="%8."/>
      <w:lvlJc w:val="left"/>
      <w:pPr>
        <w:ind w:left="6120" w:hanging="360"/>
      </w:pPr>
    </w:lvl>
    <w:lvl w:ilvl="8" w:tplc="614C10EA" w:tentative="1">
      <w:start w:val="1"/>
      <w:numFmt w:val="lowerRoman"/>
      <w:lvlText w:val="%9."/>
      <w:lvlJc w:val="right"/>
      <w:pPr>
        <w:ind w:left="6840" w:hanging="180"/>
      </w:pPr>
    </w:lvl>
  </w:abstractNum>
  <w:abstractNum w:abstractNumId="6" w15:restartNumberingAfterBreak="0">
    <w:nsid w:val="6B351B05"/>
    <w:multiLevelType w:val="hybridMultilevel"/>
    <w:tmpl w:val="AD3A120A"/>
    <w:lvl w:ilvl="0" w:tplc="EADC98E6">
      <w:start w:val="1"/>
      <w:numFmt w:val="bullet"/>
      <w:lvlText w:val=""/>
      <w:lvlJc w:val="left"/>
      <w:pPr>
        <w:ind w:left="720" w:hanging="360"/>
      </w:pPr>
      <w:rPr>
        <w:rFonts w:ascii="Symbol" w:hAnsi="Symbol" w:hint="default"/>
      </w:rPr>
    </w:lvl>
    <w:lvl w:ilvl="1" w:tplc="43102C82" w:tentative="1">
      <w:start w:val="1"/>
      <w:numFmt w:val="bullet"/>
      <w:lvlText w:val="o"/>
      <w:lvlJc w:val="left"/>
      <w:pPr>
        <w:ind w:left="1440" w:hanging="360"/>
      </w:pPr>
      <w:rPr>
        <w:rFonts w:ascii="Courier New" w:hAnsi="Courier New" w:cs="Courier New" w:hint="default"/>
      </w:rPr>
    </w:lvl>
    <w:lvl w:ilvl="2" w:tplc="EC04EE86" w:tentative="1">
      <w:start w:val="1"/>
      <w:numFmt w:val="bullet"/>
      <w:lvlText w:val=""/>
      <w:lvlJc w:val="left"/>
      <w:pPr>
        <w:ind w:left="2160" w:hanging="360"/>
      </w:pPr>
      <w:rPr>
        <w:rFonts w:ascii="Wingdings" w:hAnsi="Wingdings" w:hint="default"/>
      </w:rPr>
    </w:lvl>
    <w:lvl w:ilvl="3" w:tplc="20AE09AE" w:tentative="1">
      <w:start w:val="1"/>
      <w:numFmt w:val="bullet"/>
      <w:lvlText w:val=""/>
      <w:lvlJc w:val="left"/>
      <w:pPr>
        <w:ind w:left="2880" w:hanging="360"/>
      </w:pPr>
      <w:rPr>
        <w:rFonts w:ascii="Symbol" w:hAnsi="Symbol" w:hint="default"/>
      </w:rPr>
    </w:lvl>
    <w:lvl w:ilvl="4" w:tplc="A4C0CDF2" w:tentative="1">
      <w:start w:val="1"/>
      <w:numFmt w:val="bullet"/>
      <w:lvlText w:val="o"/>
      <w:lvlJc w:val="left"/>
      <w:pPr>
        <w:ind w:left="3600" w:hanging="360"/>
      </w:pPr>
      <w:rPr>
        <w:rFonts w:ascii="Courier New" w:hAnsi="Courier New" w:cs="Courier New" w:hint="default"/>
      </w:rPr>
    </w:lvl>
    <w:lvl w:ilvl="5" w:tplc="556681D2" w:tentative="1">
      <w:start w:val="1"/>
      <w:numFmt w:val="bullet"/>
      <w:lvlText w:val=""/>
      <w:lvlJc w:val="left"/>
      <w:pPr>
        <w:ind w:left="4320" w:hanging="360"/>
      </w:pPr>
      <w:rPr>
        <w:rFonts w:ascii="Wingdings" w:hAnsi="Wingdings" w:hint="default"/>
      </w:rPr>
    </w:lvl>
    <w:lvl w:ilvl="6" w:tplc="ECEEF150" w:tentative="1">
      <w:start w:val="1"/>
      <w:numFmt w:val="bullet"/>
      <w:lvlText w:val=""/>
      <w:lvlJc w:val="left"/>
      <w:pPr>
        <w:ind w:left="5040" w:hanging="360"/>
      </w:pPr>
      <w:rPr>
        <w:rFonts w:ascii="Symbol" w:hAnsi="Symbol" w:hint="default"/>
      </w:rPr>
    </w:lvl>
    <w:lvl w:ilvl="7" w:tplc="2258EAD2" w:tentative="1">
      <w:start w:val="1"/>
      <w:numFmt w:val="bullet"/>
      <w:lvlText w:val="o"/>
      <w:lvlJc w:val="left"/>
      <w:pPr>
        <w:ind w:left="5760" w:hanging="360"/>
      </w:pPr>
      <w:rPr>
        <w:rFonts w:ascii="Courier New" w:hAnsi="Courier New" w:cs="Courier New" w:hint="default"/>
      </w:rPr>
    </w:lvl>
    <w:lvl w:ilvl="8" w:tplc="15860DA6" w:tentative="1">
      <w:start w:val="1"/>
      <w:numFmt w:val="bullet"/>
      <w:lvlText w:val=""/>
      <w:lvlJc w:val="left"/>
      <w:pPr>
        <w:ind w:left="6480" w:hanging="360"/>
      </w:pPr>
      <w:rPr>
        <w:rFonts w:ascii="Wingdings" w:hAnsi="Wingdings" w:hint="default"/>
      </w:rPr>
    </w:lvl>
  </w:abstractNum>
  <w:abstractNum w:abstractNumId="7" w15:restartNumberingAfterBreak="0">
    <w:nsid w:val="6CAD7452"/>
    <w:multiLevelType w:val="hybridMultilevel"/>
    <w:tmpl w:val="9E0E25BA"/>
    <w:lvl w:ilvl="0" w:tplc="92B49460">
      <w:start w:val="1"/>
      <w:numFmt w:val="decimal"/>
      <w:lvlText w:val="%1."/>
      <w:lvlJc w:val="left"/>
      <w:pPr>
        <w:ind w:left="2160" w:hanging="720"/>
      </w:pPr>
      <w:rPr>
        <w:rFonts w:hint="default"/>
      </w:rPr>
    </w:lvl>
    <w:lvl w:ilvl="1" w:tplc="BAF8481C" w:tentative="1">
      <w:start w:val="1"/>
      <w:numFmt w:val="lowerLetter"/>
      <w:lvlText w:val="%2."/>
      <w:lvlJc w:val="left"/>
      <w:pPr>
        <w:ind w:left="2520" w:hanging="360"/>
      </w:pPr>
    </w:lvl>
    <w:lvl w:ilvl="2" w:tplc="B5225396" w:tentative="1">
      <w:start w:val="1"/>
      <w:numFmt w:val="lowerRoman"/>
      <w:lvlText w:val="%3."/>
      <w:lvlJc w:val="right"/>
      <w:pPr>
        <w:ind w:left="3240" w:hanging="180"/>
      </w:pPr>
    </w:lvl>
    <w:lvl w:ilvl="3" w:tplc="17987676" w:tentative="1">
      <w:start w:val="1"/>
      <w:numFmt w:val="decimal"/>
      <w:lvlText w:val="%4."/>
      <w:lvlJc w:val="left"/>
      <w:pPr>
        <w:ind w:left="3960" w:hanging="360"/>
      </w:pPr>
    </w:lvl>
    <w:lvl w:ilvl="4" w:tplc="2916A484" w:tentative="1">
      <w:start w:val="1"/>
      <w:numFmt w:val="lowerLetter"/>
      <w:lvlText w:val="%5."/>
      <w:lvlJc w:val="left"/>
      <w:pPr>
        <w:ind w:left="4680" w:hanging="360"/>
      </w:pPr>
    </w:lvl>
    <w:lvl w:ilvl="5" w:tplc="F1A87B24" w:tentative="1">
      <w:start w:val="1"/>
      <w:numFmt w:val="lowerRoman"/>
      <w:lvlText w:val="%6."/>
      <w:lvlJc w:val="right"/>
      <w:pPr>
        <w:ind w:left="5400" w:hanging="180"/>
      </w:pPr>
    </w:lvl>
    <w:lvl w:ilvl="6" w:tplc="8244CE2C" w:tentative="1">
      <w:start w:val="1"/>
      <w:numFmt w:val="decimal"/>
      <w:lvlText w:val="%7."/>
      <w:lvlJc w:val="left"/>
      <w:pPr>
        <w:ind w:left="6120" w:hanging="360"/>
      </w:pPr>
    </w:lvl>
    <w:lvl w:ilvl="7" w:tplc="2458A042" w:tentative="1">
      <w:start w:val="1"/>
      <w:numFmt w:val="lowerLetter"/>
      <w:lvlText w:val="%8."/>
      <w:lvlJc w:val="left"/>
      <w:pPr>
        <w:ind w:left="6840" w:hanging="360"/>
      </w:pPr>
    </w:lvl>
    <w:lvl w:ilvl="8" w:tplc="7A6AADC4" w:tentative="1">
      <w:start w:val="1"/>
      <w:numFmt w:val="lowerRoman"/>
      <w:lvlText w:val="%9."/>
      <w:lvlJc w:val="right"/>
      <w:pPr>
        <w:ind w:left="7560" w:hanging="180"/>
      </w:pPr>
    </w:lvl>
  </w:abstractNum>
  <w:abstractNum w:abstractNumId="8" w15:restartNumberingAfterBreak="0">
    <w:nsid w:val="7357172E"/>
    <w:multiLevelType w:val="hybridMultilevel"/>
    <w:tmpl w:val="F0965CD2"/>
    <w:lvl w:ilvl="0" w:tplc="C05C43F4">
      <w:start w:val="1"/>
      <w:numFmt w:val="lowerLetter"/>
      <w:lvlText w:val="%1."/>
      <w:lvlJc w:val="left"/>
      <w:pPr>
        <w:ind w:left="1800" w:hanging="360"/>
      </w:pPr>
      <w:rPr>
        <w:i w:val="0"/>
        <w:iCs w:val="0"/>
      </w:rPr>
    </w:lvl>
    <w:lvl w:ilvl="1" w:tplc="411C4624" w:tentative="1">
      <w:start w:val="1"/>
      <w:numFmt w:val="lowerLetter"/>
      <w:lvlText w:val="%2."/>
      <w:lvlJc w:val="left"/>
      <w:pPr>
        <w:ind w:left="1440" w:hanging="360"/>
      </w:pPr>
    </w:lvl>
    <w:lvl w:ilvl="2" w:tplc="5B7AD618" w:tentative="1">
      <w:start w:val="1"/>
      <w:numFmt w:val="lowerRoman"/>
      <w:lvlText w:val="%3."/>
      <w:lvlJc w:val="right"/>
      <w:pPr>
        <w:ind w:left="2160" w:hanging="180"/>
      </w:pPr>
    </w:lvl>
    <w:lvl w:ilvl="3" w:tplc="070E02D2" w:tentative="1">
      <w:start w:val="1"/>
      <w:numFmt w:val="decimal"/>
      <w:lvlText w:val="%4."/>
      <w:lvlJc w:val="left"/>
      <w:pPr>
        <w:ind w:left="2880" w:hanging="360"/>
      </w:pPr>
    </w:lvl>
    <w:lvl w:ilvl="4" w:tplc="A3F2F3DE" w:tentative="1">
      <w:start w:val="1"/>
      <w:numFmt w:val="lowerLetter"/>
      <w:lvlText w:val="%5."/>
      <w:lvlJc w:val="left"/>
      <w:pPr>
        <w:ind w:left="3600" w:hanging="360"/>
      </w:pPr>
    </w:lvl>
    <w:lvl w:ilvl="5" w:tplc="0C4AED2C" w:tentative="1">
      <w:start w:val="1"/>
      <w:numFmt w:val="lowerRoman"/>
      <w:lvlText w:val="%6."/>
      <w:lvlJc w:val="right"/>
      <w:pPr>
        <w:ind w:left="4320" w:hanging="180"/>
      </w:pPr>
    </w:lvl>
    <w:lvl w:ilvl="6" w:tplc="3C1424F2" w:tentative="1">
      <w:start w:val="1"/>
      <w:numFmt w:val="decimal"/>
      <w:lvlText w:val="%7."/>
      <w:lvlJc w:val="left"/>
      <w:pPr>
        <w:ind w:left="5040" w:hanging="360"/>
      </w:pPr>
    </w:lvl>
    <w:lvl w:ilvl="7" w:tplc="BAD893A2" w:tentative="1">
      <w:start w:val="1"/>
      <w:numFmt w:val="lowerLetter"/>
      <w:lvlText w:val="%8."/>
      <w:lvlJc w:val="left"/>
      <w:pPr>
        <w:ind w:left="5760" w:hanging="360"/>
      </w:pPr>
    </w:lvl>
    <w:lvl w:ilvl="8" w:tplc="3274F81E"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5"/>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drawingGridHorizontalSpacing w:val="13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AE"/>
    <w:rsid w:val="00232DAE"/>
    <w:rsid w:val="0028732F"/>
    <w:rsid w:val="002B3006"/>
    <w:rsid w:val="009D4782"/>
    <w:rsid w:val="00AB6699"/>
    <w:rsid w:val="00E1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248"/>
    <w:pPr>
      <w:spacing w:after="0" w:line="288" w:lineRule="auto"/>
    </w:pPr>
    <w:rPr>
      <w:rFonts w:ascii="Century Schoolbook" w:hAnsi="Century Schoolbook" w:cs="Times New Roman"/>
      <w:sz w:val="26"/>
    </w:rPr>
  </w:style>
  <w:style w:type="paragraph" w:styleId="Heading2">
    <w:name w:val="heading 2"/>
    <w:basedOn w:val="Normal"/>
    <w:next w:val="Normal"/>
    <w:link w:val="Heading2Char"/>
    <w:uiPriority w:val="9"/>
    <w:semiHidden/>
    <w:unhideWhenUsed/>
    <w:qFormat/>
    <w:rsid w:val="00665C9B"/>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D5782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E7"/>
    <w:pPr>
      <w:tabs>
        <w:tab w:val="center" w:pos="4680"/>
        <w:tab w:val="right" w:pos="9360"/>
      </w:tabs>
      <w:spacing w:line="240" w:lineRule="auto"/>
    </w:pPr>
  </w:style>
  <w:style w:type="character" w:customStyle="1" w:styleId="HeaderChar">
    <w:name w:val="Header Char"/>
    <w:basedOn w:val="DefaultParagraphFont"/>
    <w:link w:val="Header"/>
    <w:uiPriority w:val="99"/>
    <w:rsid w:val="00C513E7"/>
    <w:rPr>
      <w:rFonts w:ascii="Century Schoolbook" w:hAnsi="Century Schoolbook" w:cs="Times New Roman"/>
      <w:sz w:val="26"/>
    </w:rPr>
  </w:style>
  <w:style w:type="paragraph" w:styleId="Footer">
    <w:name w:val="footer"/>
    <w:basedOn w:val="Normal"/>
    <w:link w:val="FooterChar"/>
    <w:uiPriority w:val="99"/>
    <w:unhideWhenUsed/>
    <w:rsid w:val="00C513E7"/>
    <w:pPr>
      <w:tabs>
        <w:tab w:val="center" w:pos="4680"/>
        <w:tab w:val="right" w:pos="9360"/>
      </w:tabs>
      <w:spacing w:line="240" w:lineRule="auto"/>
    </w:pPr>
  </w:style>
  <w:style w:type="character" w:customStyle="1" w:styleId="FooterChar">
    <w:name w:val="Footer Char"/>
    <w:basedOn w:val="DefaultParagraphFont"/>
    <w:link w:val="Footer"/>
    <w:uiPriority w:val="99"/>
    <w:rsid w:val="00C513E7"/>
    <w:rPr>
      <w:rFonts w:ascii="Century Schoolbook" w:hAnsi="Century Schoolbook" w:cs="Times New Roman"/>
      <w:sz w:val="26"/>
    </w:rPr>
  </w:style>
  <w:style w:type="character" w:styleId="PageNumber">
    <w:name w:val="page number"/>
    <w:basedOn w:val="DefaultParagraphFont"/>
    <w:uiPriority w:val="99"/>
    <w:semiHidden/>
    <w:unhideWhenUsed/>
    <w:rsid w:val="00C513E7"/>
  </w:style>
  <w:style w:type="paragraph" w:styleId="FootnoteText">
    <w:name w:val="footnote text"/>
    <w:basedOn w:val="Normal"/>
    <w:link w:val="FootnoteTextChar"/>
    <w:uiPriority w:val="99"/>
    <w:unhideWhenUsed/>
    <w:rsid w:val="00F91626"/>
    <w:pPr>
      <w:spacing w:line="240" w:lineRule="auto"/>
    </w:pPr>
    <w:rPr>
      <w:sz w:val="20"/>
      <w:szCs w:val="20"/>
    </w:rPr>
  </w:style>
  <w:style w:type="character" w:customStyle="1" w:styleId="FootnoteTextChar">
    <w:name w:val="Footnote Text Char"/>
    <w:basedOn w:val="DefaultParagraphFont"/>
    <w:link w:val="FootnoteText"/>
    <w:uiPriority w:val="99"/>
    <w:rsid w:val="00F91626"/>
    <w:rPr>
      <w:rFonts w:ascii="Century Schoolbook" w:hAnsi="Century Schoolbook" w:cs="Times New Roman"/>
      <w:sz w:val="20"/>
      <w:szCs w:val="20"/>
    </w:rPr>
  </w:style>
  <w:style w:type="character" w:styleId="FootnoteReference">
    <w:name w:val="footnote reference"/>
    <w:basedOn w:val="DefaultParagraphFont"/>
    <w:uiPriority w:val="99"/>
    <w:unhideWhenUsed/>
    <w:rsid w:val="00F91626"/>
    <w:rPr>
      <w:vertAlign w:val="superscript"/>
    </w:rPr>
  </w:style>
  <w:style w:type="paragraph" w:styleId="EndnoteText">
    <w:name w:val="endnote text"/>
    <w:basedOn w:val="Normal"/>
    <w:link w:val="EndnoteTextChar"/>
    <w:uiPriority w:val="99"/>
    <w:semiHidden/>
    <w:unhideWhenUsed/>
    <w:rsid w:val="001A40BB"/>
    <w:pPr>
      <w:spacing w:line="240" w:lineRule="auto"/>
    </w:pPr>
    <w:rPr>
      <w:sz w:val="20"/>
      <w:szCs w:val="20"/>
    </w:rPr>
  </w:style>
  <w:style w:type="character" w:customStyle="1" w:styleId="EndnoteTextChar">
    <w:name w:val="Endnote Text Char"/>
    <w:basedOn w:val="DefaultParagraphFont"/>
    <w:link w:val="EndnoteText"/>
    <w:uiPriority w:val="99"/>
    <w:semiHidden/>
    <w:rsid w:val="001A40BB"/>
    <w:rPr>
      <w:rFonts w:ascii="Century Schoolbook" w:hAnsi="Century Schoolbook" w:cs="Times New Roman"/>
      <w:sz w:val="20"/>
      <w:szCs w:val="20"/>
    </w:rPr>
  </w:style>
  <w:style w:type="character" w:styleId="EndnoteReference">
    <w:name w:val="endnote reference"/>
    <w:basedOn w:val="DefaultParagraphFont"/>
    <w:uiPriority w:val="99"/>
    <w:semiHidden/>
    <w:unhideWhenUsed/>
    <w:rsid w:val="001A40BB"/>
    <w:rPr>
      <w:vertAlign w:val="superscript"/>
    </w:rPr>
  </w:style>
  <w:style w:type="paragraph" w:styleId="BalloonText">
    <w:name w:val="Balloon Text"/>
    <w:basedOn w:val="Normal"/>
    <w:link w:val="BalloonTextChar"/>
    <w:uiPriority w:val="99"/>
    <w:semiHidden/>
    <w:unhideWhenUsed/>
    <w:rsid w:val="009617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5E"/>
    <w:rPr>
      <w:rFonts w:ascii="Segoe UI" w:hAnsi="Segoe UI" w:cs="Segoe UI"/>
      <w:sz w:val="18"/>
      <w:szCs w:val="18"/>
    </w:rPr>
  </w:style>
  <w:style w:type="paragraph" w:styleId="ListParagraph">
    <w:name w:val="List Paragraph"/>
    <w:basedOn w:val="Normal"/>
    <w:uiPriority w:val="34"/>
    <w:qFormat/>
    <w:rsid w:val="00D963EC"/>
    <w:pPr>
      <w:ind w:left="720"/>
      <w:contextualSpacing/>
    </w:pPr>
  </w:style>
  <w:style w:type="paragraph" w:customStyle="1" w:styleId="CaCoA-Heading2">
    <w:name w:val="CaCoA - Heading 2"/>
    <w:basedOn w:val="Normal"/>
    <w:autoRedefine/>
    <w:qFormat/>
    <w:rsid w:val="00983397"/>
    <w:pPr>
      <w:keepNext/>
      <w:ind w:left="1440" w:hanging="720"/>
    </w:pPr>
  </w:style>
  <w:style w:type="paragraph" w:customStyle="1" w:styleId="CaCoA-Heading1">
    <w:name w:val="CaCoA - Heading 1"/>
    <w:basedOn w:val="Normal"/>
    <w:autoRedefine/>
    <w:qFormat/>
    <w:rsid w:val="00C05370"/>
    <w:pPr>
      <w:spacing w:line="276" w:lineRule="auto"/>
      <w:jc w:val="center"/>
    </w:pPr>
    <w:rPr>
      <w:b/>
    </w:rPr>
  </w:style>
  <w:style w:type="paragraph" w:customStyle="1" w:styleId="CaCoA-Heading3">
    <w:name w:val="CaCoA - Heading 3"/>
    <w:basedOn w:val="Normal"/>
    <w:autoRedefine/>
    <w:qFormat/>
    <w:rsid w:val="00D823E3"/>
    <w:pPr>
      <w:spacing w:line="276" w:lineRule="auto"/>
    </w:pPr>
    <w:rPr>
      <w:i/>
      <w:iCs/>
    </w:rPr>
  </w:style>
  <w:style w:type="paragraph" w:customStyle="1" w:styleId="CaCoA-BodyText">
    <w:name w:val="CaCoA - Body Text"/>
    <w:basedOn w:val="Normal"/>
    <w:autoRedefine/>
    <w:qFormat/>
    <w:rsid w:val="007656F8"/>
    <w:pPr>
      <w:keepNext/>
      <w:jc w:val="center"/>
    </w:pPr>
    <w:rPr>
      <w:b/>
      <w:szCs w:val="26"/>
    </w:rPr>
  </w:style>
  <w:style w:type="character" w:styleId="CommentReference">
    <w:name w:val="annotation reference"/>
    <w:basedOn w:val="DefaultParagraphFont"/>
    <w:uiPriority w:val="99"/>
    <w:semiHidden/>
    <w:unhideWhenUsed/>
    <w:rsid w:val="00862C58"/>
    <w:rPr>
      <w:sz w:val="18"/>
      <w:szCs w:val="18"/>
    </w:rPr>
  </w:style>
  <w:style w:type="paragraph" w:styleId="CommentText">
    <w:name w:val="annotation text"/>
    <w:basedOn w:val="Normal"/>
    <w:link w:val="CommentTextChar"/>
    <w:uiPriority w:val="99"/>
    <w:unhideWhenUsed/>
    <w:rsid w:val="00862C58"/>
    <w:pPr>
      <w:spacing w:line="240" w:lineRule="auto"/>
    </w:pPr>
    <w:rPr>
      <w:sz w:val="24"/>
      <w:szCs w:val="24"/>
    </w:rPr>
  </w:style>
  <w:style w:type="character" w:customStyle="1" w:styleId="CommentTextChar">
    <w:name w:val="Comment Text Char"/>
    <w:basedOn w:val="DefaultParagraphFont"/>
    <w:link w:val="CommentText"/>
    <w:uiPriority w:val="99"/>
    <w:rsid w:val="00862C58"/>
    <w:rPr>
      <w:rFonts w:ascii="Century Schoolbook" w:hAnsi="Century Schoolbook" w:cs="Times New Roman"/>
      <w:sz w:val="24"/>
      <w:szCs w:val="24"/>
    </w:rPr>
  </w:style>
  <w:style w:type="paragraph" w:styleId="CommentSubject">
    <w:name w:val="annotation subject"/>
    <w:basedOn w:val="CommentText"/>
    <w:next w:val="CommentText"/>
    <w:link w:val="CommentSubjectChar"/>
    <w:uiPriority w:val="99"/>
    <w:semiHidden/>
    <w:unhideWhenUsed/>
    <w:rsid w:val="001D2B2E"/>
    <w:rPr>
      <w:b/>
      <w:bCs/>
      <w:sz w:val="20"/>
      <w:szCs w:val="20"/>
    </w:rPr>
  </w:style>
  <w:style w:type="character" w:customStyle="1" w:styleId="CommentSubjectChar">
    <w:name w:val="Comment Subject Char"/>
    <w:basedOn w:val="CommentTextChar"/>
    <w:link w:val="CommentSubject"/>
    <w:uiPriority w:val="99"/>
    <w:semiHidden/>
    <w:rsid w:val="001D2B2E"/>
    <w:rPr>
      <w:rFonts w:ascii="Century Schoolbook" w:hAnsi="Century Schoolbook" w:cs="Times New Roman"/>
      <w:b/>
      <w:bCs/>
      <w:sz w:val="20"/>
      <w:szCs w:val="20"/>
    </w:rPr>
  </w:style>
  <w:style w:type="paragraph" w:styleId="Revision">
    <w:name w:val="Revision"/>
    <w:hidden/>
    <w:uiPriority w:val="99"/>
    <w:semiHidden/>
    <w:rsid w:val="004C40F6"/>
    <w:pPr>
      <w:spacing w:after="0" w:line="240" w:lineRule="auto"/>
    </w:pPr>
    <w:rPr>
      <w:rFonts w:ascii="Century Schoolbook" w:hAnsi="Century Schoolbook" w:cs="Times New Roman"/>
      <w:sz w:val="26"/>
    </w:rPr>
  </w:style>
  <w:style w:type="character" w:customStyle="1" w:styleId="costarpage">
    <w:name w:val="co_starpage"/>
    <w:basedOn w:val="DefaultParagraphFont"/>
    <w:rsid w:val="00EE2FB6"/>
  </w:style>
  <w:style w:type="character" w:customStyle="1" w:styleId="copinpointicon">
    <w:name w:val="co_pinpointicon"/>
    <w:basedOn w:val="DefaultParagraphFont"/>
    <w:rsid w:val="00EE2FB6"/>
  </w:style>
  <w:style w:type="character" w:customStyle="1" w:styleId="apple-converted-space">
    <w:name w:val="apple-converted-space"/>
    <w:basedOn w:val="DefaultParagraphFont"/>
    <w:rsid w:val="007E17F4"/>
  </w:style>
  <w:style w:type="character" w:styleId="Emphasis">
    <w:name w:val="Emphasis"/>
    <w:basedOn w:val="DefaultParagraphFont"/>
    <w:uiPriority w:val="20"/>
    <w:qFormat/>
    <w:rsid w:val="007E17F4"/>
    <w:rPr>
      <w:i/>
      <w:iCs/>
    </w:rPr>
  </w:style>
  <w:style w:type="character" w:customStyle="1" w:styleId="coconcept2024">
    <w:name w:val="co_concept_20_24"/>
    <w:basedOn w:val="DefaultParagraphFont"/>
    <w:rsid w:val="007E17F4"/>
  </w:style>
  <w:style w:type="table" w:styleId="TableGrid">
    <w:name w:val="Table Grid"/>
    <w:basedOn w:val="TableNormal"/>
    <w:uiPriority w:val="59"/>
    <w:rsid w:val="0088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C06"/>
    <w:rPr>
      <w:color w:val="0000FF" w:themeColor="hyperlink"/>
      <w:u w:val="single"/>
    </w:rPr>
  </w:style>
  <w:style w:type="character" w:customStyle="1" w:styleId="UnresolvedMention1">
    <w:name w:val="Unresolved Mention1"/>
    <w:basedOn w:val="DefaultParagraphFont"/>
    <w:uiPriority w:val="99"/>
    <w:semiHidden/>
    <w:unhideWhenUsed/>
    <w:rsid w:val="003C0C06"/>
    <w:rPr>
      <w:color w:val="605E5C"/>
      <w:shd w:val="clear" w:color="auto" w:fill="E1DFDD"/>
    </w:rPr>
  </w:style>
  <w:style w:type="character" w:customStyle="1" w:styleId="Heading2Char">
    <w:name w:val="Heading 2 Char"/>
    <w:basedOn w:val="DefaultParagraphFont"/>
    <w:link w:val="Heading2"/>
    <w:uiPriority w:val="9"/>
    <w:semiHidden/>
    <w:rsid w:val="00665C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57821"/>
    <w:rPr>
      <w:rFonts w:asciiTheme="majorHAnsi" w:eastAsiaTheme="majorEastAsia" w:hAnsiTheme="majorHAnsi" w:cstheme="majorBidi"/>
      <w:color w:val="243F60" w:themeColor="accent1" w:themeShade="7F"/>
      <w:sz w:val="24"/>
      <w:szCs w:val="24"/>
    </w:rPr>
  </w:style>
  <w:style w:type="character" w:customStyle="1" w:styleId="NormalFirstLineIndentChar">
    <w:name w:val="Normal First Line Indent Char"/>
    <w:link w:val="NormalFirstLineIndent"/>
    <w:locked/>
    <w:rsid w:val="00213DD8"/>
    <w:rPr>
      <w:rFonts w:ascii="Century Schoolbook" w:hAnsi="Century Schoolbook"/>
      <w:sz w:val="26"/>
    </w:rPr>
  </w:style>
  <w:style w:type="paragraph" w:customStyle="1" w:styleId="NormalFirstLineIndent">
    <w:name w:val="Normal First Line Indent"/>
    <w:basedOn w:val="Normal"/>
    <w:link w:val="NormalFirstLineIndentChar"/>
    <w:qFormat/>
    <w:rsid w:val="00213DD8"/>
    <w:pPr>
      <w:ind w:firstLine="72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6473</Words>
  <Characters>35344</Characters>
  <Application>Microsoft Office Word</Application>
  <DocSecurity>0</DocSecurity>
  <Lines>767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2022-08-18T22:19:00Z</dcterms:created>
  <dcterms:modified xsi:type="dcterms:W3CDTF">2022-08-18T22:19:00Z</dcterms:modified>
  <cp:category/>
</cp:coreProperties>
</file>