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1175" w14:textId="28A1FE57" w:rsidR="00D409D7" w:rsidRPr="00674BD7" w:rsidRDefault="0072295F" w:rsidP="000B0A5C">
      <w:pPr>
        <w:spacing w:line="240" w:lineRule="auto"/>
        <w:jc w:val="center"/>
        <w:rPr>
          <w:rFonts w:ascii="Century Schoolbook" w:hAnsi="Century Schoolbook"/>
          <w:b w:val="0"/>
          <w:sz w:val="20"/>
          <w:szCs w:val="20"/>
        </w:rPr>
      </w:pPr>
      <w:r w:rsidRPr="00674BD7">
        <w:rPr>
          <w:rFonts w:ascii="Century Schoolbook" w:hAnsi="Century Schoolbook"/>
          <w:b w:val="0"/>
          <w:sz w:val="20"/>
          <w:szCs w:val="20"/>
        </w:rPr>
        <w:t>Filed 1/28/22</w:t>
      </w:r>
      <w:bookmarkStart w:id="0" w:name="_Hlk91684443"/>
      <w:r w:rsidR="000B0A5C" w:rsidRPr="000B0A5C">
        <w:rPr>
          <w:rFonts w:ascii="Century Schoolbook" w:hAnsi="Century Schoolbook"/>
          <w:b w:val="0"/>
          <w:bCs/>
          <w:sz w:val="20"/>
        </w:rPr>
        <w:t>; REVIEW GRANTED.  See Cal. Rules of Court, rules 8.1105 and 8.1115 (and corresponding Comment, par. 2, concerning rule 8.1115(e)(3)).</w:t>
      </w:r>
      <w:bookmarkEnd w:id="0"/>
    </w:p>
    <w:p w14:paraId="338698EF" w14:textId="77777777" w:rsidR="007A3F07" w:rsidRPr="00D409D7" w:rsidRDefault="00D409D7" w:rsidP="00D409D7">
      <w:pPr>
        <w:spacing w:line="240" w:lineRule="auto"/>
        <w:jc w:val="center"/>
        <w:rPr>
          <w:rFonts w:ascii="Century Schoolbook" w:hAnsi="Century Schoolbook"/>
          <w:szCs w:val="26"/>
        </w:rPr>
      </w:pPr>
      <w:r w:rsidRPr="00D409D7">
        <w:rPr>
          <w:rFonts w:ascii="Century Schoolbook" w:hAnsi="Century Schoolbook"/>
          <w:szCs w:val="26"/>
        </w:rPr>
        <w:t>CERTIFIED FOR PUBLICATION</w:t>
      </w:r>
    </w:p>
    <w:p w14:paraId="4DA5E416" w14:textId="77777777" w:rsidR="00292629" w:rsidRDefault="00292629" w:rsidP="007A3F07">
      <w:pPr>
        <w:spacing w:line="240" w:lineRule="auto"/>
        <w:jc w:val="center"/>
        <w:rPr>
          <w:rFonts w:ascii="Century Schoolbook" w:hAnsi="Century Schoolbook"/>
          <w:b w:val="0"/>
          <w:bCs/>
        </w:rPr>
      </w:pPr>
    </w:p>
    <w:p w14:paraId="702C02F8" w14:textId="77777777" w:rsidR="007A3F07" w:rsidRPr="00F82464" w:rsidRDefault="007A3F07" w:rsidP="007A3F07">
      <w:pPr>
        <w:spacing w:line="240" w:lineRule="auto"/>
        <w:jc w:val="center"/>
        <w:rPr>
          <w:rFonts w:ascii="Century Schoolbook" w:hAnsi="Century Schoolbook"/>
          <w:b w:val="0"/>
          <w:bCs/>
        </w:rPr>
      </w:pPr>
      <w:r w:rsidRPr="00F82464">
        <w:rPr>
          <w:rFonts w:ascii="Century Schoolbook" w:hAnsi="Century Schoolbook"/>
          <w:b w:val="0"/>
          <w:bCs/>
        </w:rPr>
        <w:t>IN THE COURT OF APPEAL OF THE STATE OF CALIFORNIA</w:t>
      </w:r>
    </w:p>
    <w:p w14:paraId="637AE245" w14:textId="77777777" w:rsidR="007A3F07" w:rsidRPr="00F82464" w:rsidRDefault="007A3F07" w:rsidP="007A3F07">
      <w:pPr>
        <w:spacing w:line="240" w:lineRule="auto"/>
        <w:jc w:val="center"/>
        <w:rPr>
          <w:rFonts w:ascii="Century Schoolbook" w:hAnsi="Century Schoolbook"/>
          <w:b w:val="0"/>
          <w:bCs/>
        </w:rPr>
      </w:pPr>
    </w:p>
    <w:p w14:paraId="7C476CC5" w14:textId="77777777" w:rsidR="007A3F07" w:rsidRPr="00F82464" w:rsidRDefault="007A3F07" w:rsidP="007A3F07">
      <w:pPr>
        <w:spacing w:line="240" w:lineRule="auto"/>
        <w:jc w:val="center"/>
        <w:rPr>
          <w:rFonts w:ascii="Century Schoolbook" w:hAnsi="Century Schoolbook"/>
          <w:b w:val="0"/>
          <w:bCs/>
        </w:rPr>
      </w:pPr>
      <w:r w:rsidRPr="00F82464">
        <w:rPr>
          <w:rFonts w:ascii="Century Schoolbook" w:hAnsi="Century Schoolbook"/>
          <w:b w:val="0"/>
          <w:bCs/>
        </w:rPr>
        <w:t>SECOND APPELLATE DISTRICT</w:t>
      </w:r>
    </w:p>
    <w:p w14:paraId="5B24BD7F" w14:textId="77777777" w:rsidR="007A3F07" w:rsidRPr="00F82464" w:rsidRDefault="007A3F07" w:rsidP="007A3F07">
      <w:pPr>
        <w:spacing w:line="240" w:lineRule="auto"/>
        <w:jc w:val="center"/>
        <w:rPr>
          <w:rFonts w:ascii="Century Schoolbook" w:hAnsi="Century Schoolbook"/>
          <w:b w:val="0"/>
          <w:bCs/>
        </w:rPr>
      </w:pPr>
    </w:p>
    <w:p w14:paraId="2B869BC3" w14:textId="77777777" w:rsidR="007A3F07" w:rsidRPr="00F82464" w:rsidRDefault="007A3F07" w:rsidP="007A3F07">
      <w:pPr>
        <w:spacing w:line="240" w:lineRule="auto"/>
        <w:jc w:val="center"/>
        <w:rPr>
          <w:rFonts w:ascii="Century Schoolbook" w:hAnsi="Century Schoolbook"/>
          <w:b w:val="0"/>
          <w:bCs/>
        </w:rPr>
      </w:pPr>
      <w:r w:rsidRPr="00F82464">
        <w:rPr>
          <w:rFonts w:ascii="Century Schoolbook" w:hAnsi="Century Schoolbook"/>
          <w:b w:val="0"/>
          <w:bCs/>
        </w:rPr>
        <w:t>DIVISION EIGHT</w:t>
      </w:r>
    </w:p>
    <w:p w14:paraId="66124D85" w14:textId="77777777" w:rsidR="009B6C7D" w:rsidRPr="00F82464" w:rsidRDefault="009B6C7D" w:rsidP="007A3F07">
      <w:pPr>
        <w:spacing w:line="240" w:lineRule="auto"/>
        <w:jc w:val="center"/>
        <w:rPr>
          <w:rFonts w:ascii="Century Schoolbook" w:hAnsi="Century Schoolbook"/>
          <w:b w:val="0"/>
          <w:bCs/>
        </w:rPr>
      </w:pPr>
    </w:p>
    <w:p w14:paraId="6734E4AB" w14:textId="77777777" w:rsidR="007A3F07" w:rsidRPr="00F82464" w:rsidRDefault="007A3F07" w:rsidP="007A3F07">
      <w:pPr>
        <w:spacing w:line="240" w:lineRule="auto"/>
        <w:jc w:val="center"/>
        <w:rPr>
          <w:rFonts w:ascii="Century Schoolbook" w:hAnsi="Century Schoolbook"/>
          <w:b w:val="0"/>
          <w:bCs/>
        </w:rPr>
      </w:pPr>
    </w:p>
    <w:tbl>
      <w:tblPr>
        <w:tblW w:w="10080" w:type="dxa"/>
        <w:tblLayout w:type="fixed"/>
        <w:tblLook w:val="0000" w:firstRow="0" w:lastRow="0" w:firstColumn="0" w:lastColumn="0" w:noHBand="0" w:noVBand="0"/>
      </w:tblPr>
      <w:tblGrid>
        <w:gridCol w:w="4158"/>
        <w:gridCol w:w="5040"/>
        <w:gridCol w:w="882"/>
      </w:tblGrid>
      <w:tr w:rsidR="007A3F07" w:rsidRPr="00F82464" w14:paraId="70B42440" w14:textId="77777777" w:rsidTr="00577935">
        <w:trPr>
          <w:gridAfter w:val="1"/>
          <w:wAfter w:w="882" w:type="dxa"/>
        </w:trPr>
        <w:tc>
          <w:tcPr>
            <w:tcW w:w="4158" w:type="dxa"/>
            <w:tcBorders>
              <w:top w:val="nil"/>
              <w:left w:val="nil"/>
              <w:bottom w:val="nil"/>
              <w:right w:val="single" w:sz="6" w:space="0" w:color="auto"/>
            </w:tcBorders>
          </w:tcPr>
          <w:p w14:paraId="73356FE6" w14:textId="77777777" w:rsidR="007A3F07" w:rsidRPr="00F82464" w:rsidRDefault="00FE735B" w:rsidP="00577935">
            <w:pPr>
              <w:spacing w:line="240" w:lineRule="auto"/>
              <w:rPr>
                <w:rFonts w:ascii="Century Schoolbook" w:hAnsi="Century Schoolbook"/>
                <w:b w:val="0"/>
                <w:bCs/>
              </w:rPr>
            </w:pPr>
            <w:r>
              <w:rPr>
                <w:rFonts w:ascii="Century Schoolbook" w:hAnsi="Century Schoolbook"/>
                <w:b w:val="0"/>
                <w:bCs/>
              </w:rPr>
              <w:t>JONATHAN ALEJANDRO MELENDEZ</w:t>
            </w:r>
            <w:r w:rsidR="00981F13" w:rsidRPr="00F82464">
              <w:rPr>
                <w:rFonts w:ascii="Century Schoolbook" w:hAnsi="Century Schoolbook"/>
                <w:b w:val="0"/>
                <w:bCs/>
              </w:rPr>
              <w:t>,</w:t>
            </w:r>
          </w:p>
          <w:p w14:paraId="6412CD74" w14:textId="77777777" w:rsidR="007A3F07" w:rsidRPr="00F82464" w:rsidRDefault="007A3F07" w:rsidP="00577935">
            <w:pPr>
              <w:spacing w:line="240" w:lineRule="auto"/>
              <w:rPr>
                <w:rFonts w:ascii="Century Schoolbook" w:hAnsi="Century Schoolbook"/>
                <w:b w:val="0"/>
                <w:bCs/>
              </w:rPr>
            </w:pPr>
          </w:p>
          <w:p w14:paraId="4060C191" w14:textId="77777777" w:rsidR="00981F13" w:rsidRPr="00F82464" w:rsidRDefault="007A3F07" w:rsidP="004C44E6">
            <w:pPr>
              <w:spacing w:line="240" w:lineRule="auto"/>
              <w:ind w:firstLine="611"/>
              <w:rPr>
                <w:rFonts w:ascii="Century Schoolbook" w:hAnsi="Century Schoolbook"/>
                <w:b w:val="0"/>
                <w:bCs/>
              </w:rPr>
            </w:pPr>
            <w:r w:rsidRPr="00F82464">
              <w:rPr>
                <w:rFonts w:ascii="Century Schoolbook" w:hAnsi="Century Schoolbook"/>
                <w:b w:val="0"/>
                <w:bCs/>
              </w:rPr>
              <w:t>P</w:t>
            </w:r>
            <w:r w:rsidR="00981F13" w:rsidRPr="00F82464">
              <w:rPr>
                <w:rFonts w:ascii="Century Schoolbook" w:hAnsi="Century Schoolbook"/>
                <w:b w:val="0"/>
                <w:bCs/>
              </w:rPr>
              <w:t>laintiff and</w:t>
            </w:r>
            <w:r w:rsidR="004C44E6" w:rsidRPr="00F82464">
              <w:rPr>
                <w:rFonts w:ascii="Century Schoolbook" w:hAnsi="Century Schoolbook"/>
                <w:b w:val="0"/>
                <w:bCs/>
              </w:rPr>
              <w:t xml:space="preserve"> </w:t>
            </w:r>
            <w:r w:rsidR="00FE735B">
              <w:rPr>
                <w:rFonts w:ascii="Century Schoolbook" w:hAnsi="Century Schoolbook"/>
                <w:b w:val="0"/>
                <w:bCs/>
              </w:rPr>
              <w:t>Respondent,</w:t>
            </w:r>
          </w:p>
          <w:p w14:paraId="5AEEBD21" w14:textId="77777777" w:rsidR="007A3F07" w:rsidRPr="00F82464" w:rsidRDefault="007A3F07" w:rsidP="00577935">
            <w:pPr>
              <w:spacing w:line="240" w:lineRule="auto"/>
              <w:rPr>
                <w:rFonts w:ascii="Century Schoolbook" w:hAnsi="Century Schoolbook"/>
                <w:b w:val="0"/>
                <w:bCs/>
              </w:rPr>
            </w:pPr>
          </w:p>
          <w:p w14:paraId="13DA7295" w14:textId="77777777" w:rsidR="007A3F07" w:rsidRPr="00F82464" w:rsidRDefault="007A3F07" w:rsidP="00577935">
            <w:pPr>
              <w:spacing w:line="240" w:lineRule="auto"/>
              <w:rPr>
                <w:rFonts w:ascii="Century Schoolbook" w:hAnsi="Century Schoolbook"/>
                <w:b w:val="0"/>
                <w:bCs/>
              </w:rPr>
            </w:pPr>
            <w:r w:rsidRPr="00F82464">
              <w:rPr>
                <w:rFonts w:ascii="Century Schoolbook" w:hAnsi="Century Schoolbook"/>
                <w:b w:val="0"/>
                <w:bCs/>
              </w:rPr>
              <w:tab/>
              <w:t>v.</w:t>
            </w:r>
          </w:p>
          <w:p w14:paraId="3E6A7E91" w14:textId="77777777" w:rsidR="007A3F07" w:rsidRPr="00F82464" w:rsidRDefault="007A3F07" w:rsidP="00577935">
            <w:pPr>
              <w:spacing w:line="240" w:lineRule="auto"/>
              <w:rPr>
                <w:rFonts w:ascii="Century Schoolbook" w:hAnsi="Century Schoolbook"/>
                <w:b w:val="0"/>
                <w:bCs/>
              </w:rPr>
            </w:pPr>
          </w:p>
          <w:p w14:paraId="1686629C" w14:textId="77777777" w:rsidR="007A3F07" w:rsidRPr="00F82464" w:rsidRDefault="00FE735B" w:rsidP="00577935">
            <w:pPr>
              <w:spacing w:line="240" w:lineRule="auto"/>
              <w:rPr>
                <w:rFonts w:ascii="Century Schoolbook" w:hAnsi="Century Schoolbook"/>
                <w:b w:val="0"/>
                <w:bCs/>
              </w:rPr>
            </w:pPr>
            <w:r>
              <w:rPr>
                <w:rFonts w:ascii="Century Schoolbook" w:hAnsi="Century Schoolbook"/>
                <w:b w:val="0"/>
                <w:bCs/>
              </w:rPr>
              <w:t>WESTLAKE SERVICES</w:t>
            </w:r>
            <w:r w:rsidR="0045483D">
              <w:rPr>
                <w:rFonts w:ascii="Century Schoolbook" w:hAnsi="Century Schoolbook"/>
                <w:b w:val="0"/>
                <w:bCs/>
              </w:rPr>
              <w:t>,</w:t>
            </w:r>
            <w:r>
              <w:rPr>
                <w:rFonts w:ascii="Century Schoolbook" w:hAnsi="Century Schoolbook"/>
                <w:b w:val="0"/>
                <w:bCs/>
              </w:rPr>
              <w:t xml:space="preserve"> LLC,</w:t>
            </w:r>
          </w:p>
          <w:p w14:paraId="3C81BDA9" w14:textId="77777777" w:rsidR="007A3F07" w:rsidRPr="00F82464" w:rsidRDefault="007A3F07" w:rsidP="00577935">
            <w:pPr>
              <w:spacing w:line="240" w:lineRule="auto"/>
              <w:rPr>
                <w:rFonts w:ascii="Century Schoolbook" w:hAnsi="Century Schoolbook"/>
                <w:b w:val="0"/>
                <w:bCs/>
              </w:rPr>
            </w:pPr>
          </w:p>
          <w:p w14:paraId="5855BEB4" w14:textId="77777777" w:rsidR="008A6637" w:rsidRPr="00F82464" w:rsidRDefault="00981F13" w:rsidP="004D7767">
            <w:pPr>
              <w:spacing w:line="240" w:lineRule="auto"/>
              <w:ind w:firstLine="521"/>
              <w:rPr>
                <w:rFonts w:ascii="Century Schoolbook" w:hAnsi="Century Schoolbook"/>
                <w:b w:val="0"/>
                <w:bCs/>
              </w:rPr>
            </w:pPr>
            <w:r w:rsidRPr="00F82464">
              <w:rPr>
                <w:rFonts w:ascii="Century Schoolbook" w:hAnsi="Century Schoolbook"/>
                <w:b w:val="0"/>
                <w:bCs/>
              </w:rPr>
              <w:t>Defendant and</w:t>
            </w:r>
            <w:r w:rsidR="004C44E6" w:rsidRPr="00F82464">
              <w:rPr>
                <w:rFonts w:ascii="Century Schoolbook" w:hAnsi="Century Schoolbook"/>
                <w:b w:val="0"/>
                <w:bCs/>
              </w:rPr>
              <w:t xml:space="preserve"> </w:t>
            </w:r>
            <w:r w:rsidR="008955D8" w:rsidRPr="00F82464">
              <w:rPr>
                <w:rFonts w:ascii="Century Schoolbook" w:hAnsi="Century Schoolbook"/>
                <w:b w:val="0"/>
                <w:bCs/>
              </w:rPr>
              <w:t>Appellant</w:t>
            </w:r>
            <w:r w:rsidR="007A3F07" w:rsidRPr="00F82464">
              <w:rPr>
                <w:rFonts w:ascii="Century Schoolbook" w:hAnsi="Century Schoolbook"/>
                <w:b w:val="0"/>
                <w:bCs/>
              </w:rPr>
              <w:t>.</w:t>
            </w:r>
          </w:p>
        </w:tc>
        <w:tc>
          <w:tcPr>
            <w:tcW w:w="5040" w:type="dxa"/>
            <w:tcBorders>
              <w:top w:val="nil"/>
              <w:left w:val="nil"/>
              <w:bottom w:val="nil"/>
              <w:right w:val="nil"/>
            </w:tcBorders>
          </w:tcPr>
          <w:p w14:paraId="6C81F613" w14:textId="77777777" w:rsidR="008955D8" w:rsidRPr="00F82464" w:rsidRDefault="007A3F07" w:rsidP="00FE735B">
            <w:pPr>
              <w:spacing w:line="240" w:lineRule="auto"/>
              <w:ind w:firstLine="504"/>
              <w:rPr>
                <w:rFonts w:ascii="Century Schoolbook" w:hAnsi="Century Schoolbook"/>
                <w:b w:val="0"/>
                <w:bCs/>
              </w:rPr>
            </w:pPr>
            <w:r w:rsidRPr="00F82464">
              <w:rPr>
                <w:rFonts w:ascii="Century Schoolbook" w:hAnsi="Century Schoolbook"/>
                <w:b w:val="0"/>
                <w:bCs/>
              </w:rPr>
              <w:t>B</w:t>
            </w:r>
            <w:r w:rsidR="008955D8" w:rsidRPr="00F82464">
              <w:rPr>
                <w:rFonts w:ascii="Century Schoolbook" w:hAnsi="Century Schoolbook"/>
                <w:b w:val="0"/>
                <w:bCs/>
              </w:rPr>
              <w:t>30</w:t>
            </w:r>
            <w:r w:rsidR="00FE735B">
              <w:rPr>
                <w:rFonts w:ascii="Century Schoolbook" w:hAnsi="Century Schoolbook"/>
                <w:b w:val="0"/>
                <w:bCs/>
              </w:rPr>
              <w:t>6976</w:t>
            </w:r>
          </w:p>
          <w:p w14:paraId="50CA2C50" w14:textId="77777777" w:rsidR="007A3F07" w:rsidRPr="00F82464" w:rsidRDefault="007A3F07" w:rsidP="004C44E6">
            <w:pPr>
              <w:spacing w:line="240" w:lineRule="auto"/>
              <w:ind w:firstLine="504"/>
              <w:rPr>
                <w:rFonts w:ascii="Century Schoolbook" w:hAnsi="Century Schoolbook"/>
                <w:b w:val="0"/>
                <w:bCs/>
              </w:rPr>
            </w:pPr>
          </w:p>
          <w:p w14:paraId="7712EB2D" w14:textId="77777777" w:rsidR="007A3F07" w:rsidRPr="00F82464" w:rsidRDefault="007A3F07" w:rsidP="004C44E6">
            <w:pPr>
              <w:spacing w:line="240" w:lineRule="auto"/>
              <w:ind w:firstLine="504"/>
              <w:rPr>
                <w:rFonts w:ascii="Century Schoolbook" w:hAnsi="Century Schoolbook"/>
                <w:b w:val="0"/>
                <w:bCs/>
              </w:rPr>
            </w:pPr>
          </w:p>
          <w:p w14:paraId="2BD50FB1" w14:textId="77777777" w:rsidR="00981F13" w:rsidRPr="00F82464" w:rsidRDefault="00981F13" w:rsidP="004C44E6">
            <w:pPr>
              <w:spacing w:line="240" w:lineRule="auto"/>
              <w:ind w:firstLine="504"/>
              <w:rPr>
                <w:rFonts w:ascii="Century Schoolbook" w:hAnsi="Century Schoolbook"/>
                <w:b w:val="0"/>
                <w:bCs/>
              </w:rPr>
            </w:pPr>
            <w:r w:rsidRPr="00F82464">
              <w:rPr>
                <w:rFonts w:ascii="Century Schoolbook" w:hAnsi="Century Schoolbook"/>
                <w:b w:val="0"/>
                <w:bCs/>
              </w:rPr>
              <w:t>Los Angeles County</w:t>
            </w:r>
          </w:p>
          <w:p w14:paraId="27C7B3F9" w14:textId="77777777" w:rsidR="007A3F07" w:rsidRPr="00F82464" w:rsidRDefault="00981F13" w:rsidP="004C44E6">
            <w:pPr>
              <w:spacing w:line="240" w:lineRule="auto"/>
              <w:ind w:firstLine="504"/>
              <w:rPr>
                <w:rFonts w:ascii="Century Schoolbook" w:hAnsi="Century Schoolbook"/>
                <w:b w:val="0"/>
                <w:bCs/>
              </w:rPr>
            </w:pPr>
            <w:r w:rsidRPr="00F82464">
              <w:rPr>
                <w:rFonts w:ascii="Century Schoolbook" w:hAnsi="Century Schoolbook"/>
                <w:b w:val="0"/>
                <w:bCs/>
              </w:rPr>
              <w:t xml:space="preserve">Super. Ct. No. </w:t>
            </w:r>
            <w:r w:rsidR="00437AC7">
              <w:rPr>
                <w:rFonts w:ascii="Century Schoolbook" w:hAnsi="Century Schoolbook"/>
                <w:b w:val="0"/>
                <w:bCs/>
              </w:rPr>
              <w:t>BC722737</w:t>
            </w:r>
          </w:p>
          <w:p w14:paraId="3350138D" w14:textId="77777777" w:rsidR="007A3F07" w:rsidRPr="00F82464" w:rsidRDefault="007A3F07" w:rsidP="004C44E6">
            <w:pPr>
              <w:spacing w:line="240" w:lineRule="auto"/>
              <w:ind w:firstLine="504"/>
              <w:rPr>
                <w:rFonts w:ascii="Century Schoolbook" w:hAnsi="Century Schoolbook"/>
                <w:b w:val="0"/>
                <w:bCs/>
                <w:u w:val="single"/>
              </w:rPr>
            </w:pPr>
            <w:r w:rsidRPr="00F82464">
              <w:rPr>
                <w:rFonts w:ascii="Century Schoolbook" w:hAnsi="Century Schoolbook"/>
                <w:b w:val="0"/>
                <w:bCs/>
              </w:rPr>
              <w:t xml:space="preserve">                          </w:t>
            </w:r>
          </w:p>
          <w:p w14:paraId="220AD5A0" w14:textId="77777777" w:rsidR="007A3F07" w:rsidRPr="00F82464" w:rsidRDefault="007A3F07" w:rsidP="004C44E6">
            <w:pPr>
              <w:spacing w:line="240" w:lineRule="auto"/>
              <w:ind w:firstLine="504"/>
              <w:rPr>
                <w:rFonts w:ascii="Century Schoolbook" w:hAnsi="Century Schoolbook"/>
                <w:b w:val="0"/>
                <w:bCs/>
              </w:rPr>
            </w:pPr>
          </w:p>
          <w:p w14:paraId="14B226F5" w14:textId="77777777" w:rsidR="007A3F07" w:rsidRPr="00F82464" w:rsidRDefault="007A3F07" w:rsidP="004C44E6">
            <w:pPr>
              <w:spacing w:line="240" w:lineRule="auto"/>
              <w:ind w:firstLine="504"/>
              <w:rPr>
                <w:rFonts w:ascii="Century Schoolbook" w:hAnsi="Century Schoolbook"/>
                <w:b w:val="0"/>
                <w:bCs/>
                <w:u w:val="single"/>
              </w:rPr>
            </w:pPr>
          </w:p>
          <w:p w14:paraId="118D3197" w14:textId="77777777" w:rsidR="007A3F07" w:rsidRPr="00F82464" w:rsidRDefault="007A3F07" w:rsidP="004C44E6">
            <w:pPr>
              <w:spacing w:line="240" w:lineRule="auto"/>
              <w:ind w:firstLine="504"/>
              <w:rPr>
                <w:rFonts w:ascii="Century Schoolbook" w:hAnsi="Century Schoolbook"/>
                <w:b w:val="0"/>
                <w:bCs/>
              </w:rPr>
            </w:pPr>
          </w:p>
        </w:tc>
      </w:tr>
      <w:tr w:rsidR="007A3F07" w:rsidRPr="00D26454" w14:paraId="396E620A" w14:textId="77777777" w:rsidTr="00577935">
        <w:tc>
          <w:tcPr>
            <w:tcW w:w="4158" w:type="dxa"/>
            <w:tcBorders>
              <w:top w:val="nil"/>
              <w:left w:val="nil"/>
              <w:bottom w:val="single" w:sz="6" w:space="0" w:color="auto"/>
              <w:right w:val="single" w:sz="6" w:space="0" w:color="auto"/>
            </w:tcBorders>
          </w:tcPr>
          <w:p w14:paraId="49DFA682" w14:textId="77777777" w:rsidR="007A3F07" w:rsidRPr="00D26454" w:rsidRDefault="007A3F07" w:rsidP="00577935">
            <w:pPr>
              <w:spacing w:line="240" w:lineRule="auto"/>
              <w:rPr>
                <w:rFonts w:ascii="Century Schoolbook" w:hAnsi="Century Schoolbook"/>
              </w:rPr>
            </w:pPr>
          </w:p>
        </w:tc>
        <w:tc>
          <w:tcPr>
            <w:tcW w:w="5922" w:type="dxa"/>
            <w:gridSpan w:val="2"/>
            <w:tcBorders>
              <w:top w:val="nil"/>
              <w:left w:val="nil"/>
              <w:bottom w:val="nil"/>
              <w:right w:val="nil"/>
            </w:tcBorders>
          </w:tcPr>
          <w:p w14:paraId="24039B6D" w14:textId="77777777" w:rsidR="007A3F07" w:rsidRPr="00D26454" w:rsidRDefault="007A3F07" w:rsidP="00577935">
            <w:pPr>
              <w:spacing w:line="240" w:lineRule="auto"/>
              <w:rPr>
                <w:rFonts w:ascii="Century Schoolbook" w:hAnsi="Century Schoolbook"/>
              </w:rPr>
            </w:pPr>
          </w:p>
        </w:tc>
      </w:tr>
    </w:tbl>
    <w:p w14:paraId="5AB3F15F" w14:textId="77777777" w:rsidR="007A3F07" w:rsidRDefault="007A3F07" w:rsidP="007A3F07">
      <w:pPr>
        <w:spacing w:line="240" w:lineRule="auto"/>
        <w:rPr>
          <w:rFonts w:ascii="Century Schoolbook" w:hAnsi="Century Schoolbook"/>
        </w:rPr>
      </w:pPr>
      <w:r w:rsidRPr="00D26454">
        <w:rPr>
          <w:rFonts w:ascii="Century Schoolbook" w:hAnsi="Century Schoolbook"/>
        </w:rPr>
        <w:tab/>
      </w:r>
    </w:p>
    <w:p w14:paraId="443FBE40" w14:textId="77777777" w:rsidR="004C44E6" w:rsidRPr="00F82464" w:rsidRDefault="004C44E6" w:rsidP="00F241E5">
      <w:pPr>
        <w:spacing w:line="288" w:lineRule="auto"/>
        <w:rPr>
          <w:rFonts w:ascii="Century Schoolbook" w:hAnsi="Century Schoolbook"/>
          <w:b w:val="0"/>
          <w:bCs/>
        </w:rPr>
      </w:pPr>
      <w:r>
        <w:rPr>
          <w:rFonts w:ascii="Century Schoolbook" w:hAnsi="Century Schoolbook"/>
        </w:rPr>
        <w:tab/>
      </w:r>
      <w:r w:rsidRPr="00F82464">
        <w:rPr>
          <w:rFonts w:ascii="Century Schoolbook" w:hAnsi="Century Schoolbook"/>
          <w:b w:val="0"/>
          <w:bCs/>
        </w:rPr>
        <w:t xml:space="preserve">APPEAL from a judgment of the Superior Court of Los Angeles County, </w:t>
      </w:r>
      <w:r w:rsidR="00E20C1C">
        <w:rPr>
          <w:rFonts w:ascii="Century Schoolbook" w:hAnsi="Century Schoolbook"/>
          <w:b w:val="0"/>
          <w:bCs/>
        </w:rPr>
        <w:t xml:space="preserve">Michael L. Stern, </w:t>
      </w:r>
      <w:r w:rsidRPr="00F82464">
        <w:rPr>
          <w:rFonts w:ascii="Century Schoolbook" w:hAnsi="Century Schoolbook"/>
          <w:b w:val="0"/>
          <w:bCs/>
        </w:rPr>
        <w:t>Judge.</w:t>
      </w:r>
      <w:r w:rsidR="00D91792">
        <w:rPr>
          <w:rFonts w:ascii="Century Schoolbook" w:hAnsi="Century Schoolbook"/>
          <w:b w:val="0"/>
          <w:bCs/>
        </w:rPr>
        <w:t xml:space="preserve">  Affirmed.</w:t>
      </w:r>
    </w:p>
    <w:p w14:paraId="5C7276F0" w14:textId="77777777" w:rsidR="00292629" w:rsidRDefault="007A3F07" w:rsidP="009B6C7D">
      <w:pPr>
        <w:pStyle w:val="Header"/>
        <w:tabs>
          <w:tab w:val="clear" w:pos="4680"/>
          <w:tab w:val="clear" w:pos="9360"/>
        </w:tabs>
        <w:spacing w:line="288" w:lineRule="auto"/>
        <w:rPr>
          <w:rFonts w:ascii="Century Schoolbook" w:hAnsi="Century Schoolbook"/>
          <w:b w:val="0"/>
          <w:bCs/>
        </w:rPr>
      </w:pPr>
      <w:r w:rsidRPr="00F82464">
        <w:rPr>
          <w:rFonts w:ascii="Century Schoolbook" w:hAnsi="Century Schoolbook"/>
          <w:b w:val="0"/>
          <w:bCs/>
        </w:rPr>
        <w:tab/>
      </w:r>
    </w:p>
    <w:p w14:paraId="2E49BF4A" w14:textId="77777777" w:rsidR="008A6637" w:rsidRPr="00F82464" w:rsidRDefault="00292629" w:rsidP="00292629">
      <w:pPr>
        <w:pStyle w:val="Header"/>
        <w:tabs>
          <w:tab w:val="clear" w:pos="4680"/>
          <w:tab w:val="clear" w:pos="9360"/>
        </w:tabs>
        <w:spacing w:line="288" w:lineRule="auto"/>
        <w:ind w:firstLine="720"/>
        <w:rPr>
          <w:rFonts w:ascii="Century Schoolbook" w:hAnsi="Century Schoolbook"/>
          <w:b w:val="0"/>
          <w:bCs/>
          <w:lang w:val="en-US"/>
        </w:rPr>
      </w:pPr>
      <w:r>
        <w:rPr>
          <w:rFonts w:ascii="Century Schoolbook" w:hAnsi="Century Schoolbook"/>
          <w:b w:val="0"/>
          <w:bCs/>
          <w:lang w:val="en-US"/>
        </w:rPr>
        <w:t>Madison Law, Jenos Firouznam-Heidari, James S. Sifers and Brett K. Wiseman for Defendant and Appellant.</w:t>
      </w:r>
    </w:p>
    <w:p w14:paraId="5E3C3526" w14:textId="77777777" w:rsidR="00292629" w:rsidRDefault="00292629" w:rsidP="008A6637">
      <w:pPr>
        <w:pStyle w:val="Header"/>
        <w:tabs>
          <w:tab w:val="clear" w:pos="4680"/>
          <w:tab w:val="clear" w:pos="9360"/>
        </w:tabs>
        <w:spacing w:line="288" w:lineRule="auto"/>
        <w:ind w:firstLine="720"/>
        <w:rPr>
          <w:rFonts w:ascii="Century Schoolbook" w:hAnsi="Century Schoolbook"/>
          <w:b w:val="0"/>
          <w:bCs/>
          <w:lang w:val="en-US"/>
        </w:rPr>
      </w:pPr>
    </w:p>
    <w:p w14:paraId="46CFE6A5" w14:textId="77777777" w:rsidR="008A6637" w:rsidRDefault="00292629" w:rsidP="008A6637">
      <w:pPr>
        <w:pStyle w:val="Header"/>
        <w:tabs>
          <w:tab w:val="clear" w:pos="4680"/>
          <w:tab w:val="clear" w:pos="9360"/>
        </w:tabs>
        <w:spacing w:line="288" w:lineRule="auto"/>
        <w:ind w:firstLine="720"/>
        <w:rPr>
          <w:rFonts w:ascii="Century Schoolbook" w:hAnsi="Century Schoolbook"/>
          <w:b w:val="0"/>
          <w:bCs/>
          <w:lang w:val="en-US"/>
        </w:rPr>
      </w:pPr>
      <w:r>
        <w:rPr>
          <w:rFonts w:ascii="Century Schoolbook" w:hAnsi="Century Schoolbook"/>
          <w:b w:val="0"/>
          <w:bCs/>
          <w:lang w:val="en-US"/>
        </w:rPr>
        <w:t>Rosner, Barry &amp; Babbitt, Hallen D. Rosner, Arlyn L. Escalante and Michael A. Klitzke for Plaintiff and Respondent.</w:t>
      </w:r>
    </w:p>
    <w:p w14:paraId="30D01ABD" w14:textId="77777777" w:rsidR="00292629" w:rsidRDefault="00292629" w:rsidP="008A6637">
      <w:pPr>
        <w:pStyle w:val="Header"/>
        <w:tabs>
          <w:tab w:val="clear" w:pos="4680"/>
          <w:tab w:val="clear" w:pos="9360"/>
        </w:tabs>
        <w:spacing w:line="288" w:lineRule="auto"/>
        <w:ind w:firstLine="720"/>
        <w:rPr>
          <w:rFonts w:ascii="Century Schoolbook" w:hAnsi="Century Schoolbook"/>
          <w:b w:val="0"/>
          <w:bCs/>
          <w:lang w:val="en-US"/>
        </w:rPr>
      </w:pPr>
    </w:p>
    <w:p w14:paraId="3A9E937C" w14:textId="77777777" w:rsidR="00292629" w:rsidRPr="00F82464" w:rsidRDefault="00292629" w:rsidP="008A6637">
      <w:pPr>
        <w:pStyle w:val="Header"/>
        <w:tabs>
          <w:tab w:val="clear" w:pos="4680"/>
          <w:tab w:val="clear" w:pos="9360"/>
        </w:tabs>
        <w:spacing w:line="288" w:lineRule="auto"/>
        <w:ind w:firstLine="720"/>
        <w:rPr>
          <w:rFonts w:ascii="Century Schoolbook" w:hAnsi="Century Schoolbook"/>
          <w:b w:val="0"/>
          <w:bCs/>
          <w:lang w:val="en-US"/>
        </w:rPr>
      </w:pPr>
    </w:p>
    <w:p w14:paraId="708CD92E" w14:textId="77777777" w:rsidR="007A3F07" w:rsidRDefault="007A3F07" w:rsidP="007A3F07">
      <w:pPr>
        <w:spacing w:line="288" w:lineRule="auto"/>
        <w:jc w:val="center"/>
        <w:rPr>
          <w:rFonts w:ascii="Century Schoolbook" w:hAnsi="Century Schoolbook"/>
          <w:b w:val="0"/>
          <w:bCs/>
        </w:rPr>
      </w:pPr>
      <w:r w:rsidRPr="00F82464">
        <w:rPr>
          <w:rFonts w:ascii="Century Schoolbook" w:hAnsi="Century Schoolbook"/>
          <w:b w:val="0"/>
          <w:bCs/>
        </w:rPr>
        <w:t>____________________________________</w:t>
      </w:r>
    </w:p>
    <w:p w14:paraId="25C84672" w14:textId="77777777" w:rsidR="00A76127" w:rsidRDefault="00A76127" w:rsidP="007706A1">
      <w:pPr>
        <w:spacing w:line="288" w:lineRule="auto"/>
        <w:jc w:val="center"/>
        <w:rPr>
          <w:rFonts w:ascii="Century Schoolbook" w:hAnsi="Century Schoolbook"/>
          <w:bCs/>
        </w:rPr>
      </w:pPr>
    </w:p>
    <w:p w14:paraId="0F4349B3" w14:textId="77777777" w:rsidR="007706A1" w:rsidRPr="00F82464" w:rsidRDefault="007706A1" w:rsidP="007706A1">
      <w:pPr>
        <w:spacing w:line="288" w:lineRule="auto"/>
        <w:jc w:val="center"/>
        <w:rPr>
          <w:rFonts w:ascii="Century Schoolbook" w:hAnsi="Century Schoolbook"/>
          <w:bCs/>
        </w:rPr>
      </w:pPr>
      <w:r w:rsidRPr="00F82464">
        <w:rPr>
          <w:rFonts w:ascii="Century Schoolbook" w:hAnsi="Century Schoolbook"/>
          <w:bCs/>
        </w:rPr>
        <w:lastRenderedPageBreak/>
        <w:t>SUMMARY</w:t>
      </w:r>
    </w:p>
    <w:p w14:paraId="236F1A0B" w14:textId="77777777" w:rsidR="00853966" w:rsidRDefault="00BE748B" w:rsidP="009354C7">
      <w:pPr>
        <w:spacing w:line="288" w:lineRule="auto"/>
        <w:ind w:firstLine="720"/>
        <w:rPr>
          <w:rFonts w:ascii="Century Schoolbook" w:hAnsi="Century Schoolbook"/>
          <w:b w:val="0"/>
          <w:bCs/>
          <w:szCs w:val="26"/>
        </w:rPr>
      </w:pPr>
      <w:r>
        <w:rPr>
          <w:rFonts w:ascii="Century Schoolbook" w:hAnsi="Century Schoolbook"/>
          <w:b w:val="0"/>
          <w:bCs/>
        </w:rPr>
        <w:t>The Federal Trade Commission’s “holder rule” makes the holder of a consumer credit contract subject to all claims the debtor could assert against the seller of the goods or services</w:t>
      </w:r>
      <w:r w:rsidR="00853966">
        <w:rPr>
          <w:rFonts w:ascii="Century Schoolbook" w:hAnsi="Century Schoolbook"/>
          <w:b w:val="0"/>
          <w:bCs/>
        </w:rPr>
        <w:t xml:space="preserve"> obtained under the contract (or its proceeds)</w:t>
      </w:r>
      <w:r>
        <w:rPr>
          <w:rFonts w:ascii="Century Schoolbook" w:hAnsi="Century Schoolbook"/>
          <w:b w:val="0"/>
          <w:bCs/>
        </w:rPr>
        <w:t xml:space="preserve">.  The holder rule also caps the debtor’s recovery </w:t>
      </w:r>
      <w:r w:rsidR="00853966">
        <w:rPr>
          <w:rFonts w:ascii="Century Schoolbook" w:hAnsi="Century Schoolbook"/>
          <w:b w:val="0"/>
          <w:bCs/>
        </w:rPr>
        <w:t xml:space="preserve">from the holder </w:t>
      </w:r>
      <w:r>
        <w:rPr>
          <w:rFonts w:ascii="Century Schoolbook" w:hAnsi="Century Schoolbook"/>
          <w:b w:val="0"/>
          <w:bCs/>
        </w:rPr>
        <w:t>to the amount paid by the debtor under the contract.</w:t>
      </w:r>
      <w:r w:rsidR="00853966">
        <w:rPr>
          <w:rFonts w:ascii="Century Schoolbook" w:hAnsi="Century Schoolbook"/>
          <w:b w:val="0"/>
          <w:bCs/>
        </w:rPr>
        <w:t xml:space="preserve">  The question in this and several recent or pending cases is whether this limitation on recovery </w:t>
      </w:r>
      <w:r w:rsidR="002C30CB">
        <w:rPr>
          <w:rFonts w:ascii="Century Schoolbook" w:hAnsi="Century Schoolbook"/>
          <w:b w:val="0"/>
          <w:bCs/>
        </w:rPr>
        <w:t xml:space="preserve">precludes the debtor from recovering </w:t>
      </w:r>
      <w:r w:rsidR="00853966">
        <w:rPr>
          <w:rFonts w:ascii="Century Schoolbook" w:hAnsi="Century Schoolbook"/>
          <w:b w:val="0"/>
          <w:bCs/>
        </w:rPr>
        <w:t xml:space="preserve">attorney fees the debtor incurs in obtaining redress from the holder.  </w:t>
      </w:r>
      <w:r w:rsidR="00866CA2">
        <w:rPr>
          <w:rFonts w:ascii="Century Schoolbook" w:hAnsi="Century Schoolbook"/>
          <w:b w:val="0"/>
          <w:bCs/>
        </w:rPr>
        <w:t xml:space="preserve">We hold, agreeing with </w:t>
      </w:r>
      <w:r w:rsidR="00866CA2" w:rsidRPr="00621D3A">
        <w:rPr>
          <w:rFonts w:ascii="Century Schoolbook" w:hAnsi="Century Schoolbook"/>
          <w:b w:val="0"/>
          <w:bCs/>
          <w:i/>
          <w:iCs/>
          <w:szCs w:val="26"/>
        </w:rPr>
        <w:t xml:space="preserve">Pulliam v. HNL Automotive Inc. </w:t>
      </w:r>
      <w:r w:rsidR="00866CA2" w:rsidRPr="00621D3A">
        <w:rPr>
          <w:rFonts w:ascii="Century Schoolbook" w:hAnsi="Century Schoolbook"/>
          <w:b w:val="0"/>
          <w:bCs/>
          <w:szCs w:val="26"/>
        </w:rPr>
        <w:t>(2021) 60 Cal.App.5</w:t>
      </w:r>
      <w:r w:rsidR="00866CA2">
        <w:rPr>
          <w:rFonts w:ascii="Century Schoolbook" w:hAnsi="Century Schoolbook"/>
          <w:b w:val="0"/>
          <w:bCs/>
          <w:szCs w:val="26"/>
        </w:rPr>
        <w:t xml:space="preserve">th </w:t>
      </w:r>
      <w:r w:rsidR="00866CA2" w:rsidRPr="00621D3A">
        <w:rPr>
          <w:rFonts w:ascii="Century Schoolbook" w:hAnsi="Century Schoolbook"/>
          <w:b w:val="0"/>
          <w:bCs/>
          <w:szCs w:val="26"/>
        </w:rPr>
        <w:t>396</w:t>
      </w:r>
      <w:r w:rsidR="00866CA2">
        <w:rPr>
          <w:rFonts w:ascii="Century Schoolbook" w:hAnsi="Century Schoolbook"/>
          <w:b w:val="0"/>
          <w:bCs/>
          <w:szCs w:val="26"/>
        </w:rPr>
        <w:t xml:space="preserve">, </w:t>
      </w:r>
      <w:r w:rsidR="00866CA2" w:rsidRPr="00621D3A">
        <w:rPr>
          <w:rFonts w:ascii="Century Schoolbook" w:hAnsi="Century Schoolbook"/>
          <w:b w:val="0"/>
          <w:bCs/>
          <w:szCs w:val="26"/>
        </w:rPr>
        <w:t>review granted</w:t>
      </w:r>
      <w:r w:rsidR="00866CA2">
        <w:rPr>
          <w:rFonts w:ascii="Century Schoolbook" w:hAnsi="Century Schoolbook"/>
          <w:b w:val="0"/>
          <w:bCs/>
          <w:szCs w:val="26"/>
        </w:rPr>
        <w:t xml:space="preserve"> Apr</w:t>
      </w:r>
      <w:r w:rsidR="00D409D7">
        <w:rPr>
          <w:rFonts w:ascii="Century Schoolbook" w:hAnsi="Century Schoolbook"/>
          <w:b w:val="0"/>
          <w:bCs/>
          <w:szCs w:val="26"/>
        </w:rPr>
        <w:t>il</w:t>
      </w:r>
      <w:r w:rsidR="00866CA2">
        <w:rPr>
          <w:rFonts w:ascii="Century Schoolbook" w:hAnsi="Century Schoolbook"/>
          <w:b w:val="0"/>
          <w:bCs/>
          <w:szCs w:val="26"/>
        </w:rPr>
        <w:t xml:space="preserve"> 28, </w:t>
      </w:r>
      <w:r w:rsidR="00866CA2" w:rsidRPr="00621D3A">
        <w:rPr>
          <w:rFonts w:ascii="Century Schoolbook" w:hAnsi="Century Schoolbook"/>
          <w:b w:val="0"/>
          <w:bCs/>
          <w:szCs w:val="26"/>
        </w:rPr>
        <w:t>2021, S267576</w:t>
      </w:r>
      <w:r w:rsidR="00866CA2">
        <w:rPr>
          <w:rFonts w:ascii="Century Schoolbook" w:hAnsi="Century Schoolbook"/>
          <w:b w:val="0"/>
          <w:bCs/>
          <w:szCs w:val="26"/>
        </w:rPr>
        <w:t xml:space="preserve"> </w:t>
      </w:r>
      <w:r w:rsidR="00866CA2" w:rsidRPr="00621D3A">
        <w:rPr>
          <w:rFonts w:ascii="Century Schoolbook" w:hAnsi="Century Schoolbook"/>
          <w:b w:val="0"/>
          <w:bCs/>
          <w:szCs w:val="26"/>
        </w:rPr>
        <w:t>(</w:t>
      </w:r>
      <w:r w:rsidR="00866CA2" w:rsidRPr="00621D3A">
        <w:rPr>
          <w:rFonts w:ascii="Century Schoolbook" w:hAnsi="Century Schoolbook"/>
          <w:b w:val="0"/>
          <w:bCs/>
          <w:i/>
          <w:iCs/>
          <w:szCs w:val="26"/>
        </w:rPr>
        <w:t>Pulliam</w:t>
      </w:r>
      <w:r w:rsidR="00866CA2" w:rsidRPr="00621D3A">
        <w:rPr>
          <w:rFonts w:ascii="Century Schoolbook" w:hAnsi="Century Schoolbook"/>
          <w:b w:val="0"/>
          <w:bCs/>
          <w:szCs w:val="26"/>
        </w:rPr>
        <w:t>)</w:t>
      </w:r>
      <w:r w:rsidR="00866CA2">
        <w:rPr>
          <w:rFonts w:ascii="Century Schoolbook" w:hAnsi="Century Schoolbook"/>
          <w:b w:val="0"/>
          <w:bCs/>
          <w:szCs w:val="26"/>
        </w:rPr>
        <w:t xml:space="preserve">, that the limitation does not </w:t>
      </w:r>
      <w:r w:rsidR="002C30CB">
        <w:rPr>
          <w:rFonts w:ascii="Century Schoolbook" w:hAnsi="Century Schoolbook"/>
          <w:b w:val="0"/>
          <w:bCs/>
          <w:szCs w:val="26"/>
        </w:rPr>
        <w:t>preclude recovery of</w:t>
      </w:r>
      <w:r w:rsidR="00866CA2">
        <w:rPr>
          <w:rFonts w:ascii="Century Schoolbook" w:hAnsi="Century Schoolbook"/>
          <w:b w:val="0"/>
          <w:bCs/>
          <w:szCs w:val="26"/>
        </w:rPr>
        <w:t xml:space="preserve"> attorney fees.  </w:t>
      </w:r>
      <w:r w:rsidR="003F72AB">
        <w:rPr>
          <w:rFonts w:ascii="Century Schoolbook" w:hAnsi="Century Schoolbook"/>
          <w:b w:val="0"/>
          <w:bCs/>
          <w:szCs w:val="26"/>
        </w:rPr>
        <w:t xml:space="preserve">We further hold the limitation </w:t>
      </w:r>
      <w:r w:rsidR="00866CA2">
        <w:rPr>
          <w:rFonts w:ascii="Century Schoolbook" w:hAnsi="Century Schoolbook"/>
          <w:b w:val="0"/>
          <w:bCs/>
          <w:szCs w:val="26"/>
        </w:rPr>
        <w:t xml:space="preserve">does </w:t>
      </w:r>
      <w:r w:rsidR="003F72AB">
        <w:rPr>
          <w:rFonts w:ascii="Century Schoolbook" w:hAnsi="Century Schoolbook"/>
          <w:b w:val="0"/>
          <w:bCs/>
          <w:szCs w:val="26"/>
        </w:rPr>
        <w:t>not</w:t>
      </w:r>
      <w:r w:rsidR="00866CA2">
        <w:rPr>
          <w:rFonts w:ascii="Century Schoolbook" w:hAnsi="Century Schoolbook"/>
          <w:b w:val="0"/>
          <w:bCs/>
          <w:szCs w:val="26"/>
        </w:rPr>
        <w:t xml:space="preserve"> </w:t>
      </w:r>
      <w:r w:rsidR="002C30CB">
        <w:rPr>
          <w:rFonts w:ascii="Century Schoolbook" w:hAnsi="Century Schoolbook"/>
          <w:b w:val="0"/>
          <w:bCs/>
          <w:szCs w:val="26"/>
        </w:rPr>
        <w:t>preclude recovery of</w:t>
      </w:r>
      <w:r w:rsidR="00866CA2">
        <w:rPr>
          <w:rFonts w:ascii="Century Schoolbook" w:hAnsi="Century Schoolbook"/>
          <w:b w:val="0"/>
          <w:bCs/>
          <w:szCs w:val="26"/>
        </w:rPr>
        <w:t xml:space="preserve"> costs, nonstatutory costs, or prejudgment interest.</w:t>
      </w:r>
    </w:p>
    <w:p w14:paraId="7846CC71" w14:textId="77777777" w:rsidR="008A3215" w:rsidRDefault="00866CA2" w:rsidP="00866CA2">
      <w:pPr>
        <w:spacing w:line="288" w:lineRule="auto"/>
        <w:ind w:firstLine="720"/>
        <w:rPr>
          <w:rFonts w:ascii="Century Schoolbook" w:hAnsi="Century Schoolbook"/>
          <w:bCs/>
        </w:rPr>
      </w:pPr>
      <w:r>
        <w:rPr>
          <w:rFonts w:ascii="Century Schoolbook" w:hAnsi="Century Schoolbook"/>
          <w:b w:val="0"/>
          <w:bCs/>
          <w:szCs w:val="26"/>
        </w:rPr>
        <w:t>We affirm the trial court’s judgment.</w:t>
      </w:r>
    </w:p>
    <w:p w14:paraId="4F1E10F2" w14:textId="77777777" w:rsidR="007706A1" w:rsidRPr="00F82464" w:rsidRDefault="007706A1" w:rsidP="00292629">
      <w:pPr>
        <w:spacing w:line="288" w:lineRule="auto"/>
        <w:jc w:val="center"/>
        <w:rPr>
          <w:rFonts w:ascii="Century Schoolbook" w:hAnsi="Century Schoolbook"/>
          <w:bCs/>
        </w:rPr>
      </w:pPr>
      <w:r w:rsidRPr="00F82464">
        <w:rPr>
          <w:rFonts w:ascii="Century Schoolbook" w:hAnsi="Century Schoolbook"/>
          <w:bCs/>
        </w:rPr>
        <w:t>FACT</w:t>
      </w:r>
      <w:r w:rsidR="00292629">
        <w:rPr>
          <w:rFonts w:ascii="Century Schoolbook" w:hAnsi="Century Schoolbook"/>
          <w:bCs/>
        </w:rPr>
        <w:t>S</w:t>
      </w:r>
    </w:p>
    <w:p w14:paraId="4F7D0488" w14:textId="77777777" w:rsidR="00F80B26" w:rsidRDefault="00866CA2" w:rsidP="00F80B26">
      <w:pPr>
        <w:spacing w:line="288" w:lineRule="auto"/>
        <w:rPr>
          <w:rFonts w:ascii="Century Schoolbook" w:hAnsi="Century Schoolbook"/>
          <w:b w:val="0"/>
        </w:rPr>
      </w:pPr>
      <w:r>
        <w:rPr>
          <w:rFonts w:ascii="Century Schoolbook" w:hAnsi="Century Schoolbook"/>
          <w:b w:val="0"/>
        </w:rPr>
        <w:tab/>
      </w:r>
      <w:r w:rsidR="007F78D2">
        <w:rPr>
          <w:rFonts w:ascii="Century Schoolbook" w:hAnsi="Century Schoolbook"/>
          <w:b w:val="0"/>
        </w:rPr>
        <w:t>In March 2018, p</w:t>
      </w:r>
      <w:r>
        <w:rPr>
          <w:rFonts w:ascii="Century Schoolbook" w:hAnsi="Century Schoolbook"/>
          <w:b w:val="0"/>
        </w:rPr>
        <w:t xml:space="preserve">laintiff </w:t>
      </w:r>
      <w:r w:rsidR="007F78D2">
        <w:rPr>
          <w:rFonts w:ascii="Century Schoolbook" w:hAnsi="Century Schoolbook"/>
          <w:b w:val="0"/>
        </w:rPr>
        <w:t xml:space="preserve">Jonathan Alejandro Melendez </w:t>
      </w:r>
      <w:r w:rsidR="007E2E46">
        <w:rPr>
          <w:rFonts w:ascii="Century Schoolbook" w:hAnsi="Century Schoolbook"/>
          <w:b w:val="0"/>
        </w:rPr>
        <w:t>purchased a used 2015 Toyota Camry from Southgate Auto, Inc.</w:t>
      </w:r>
      <w:r w:rsidR="00D409D7">
        <w:rPr>
          <w:rFonts w:ascii="Century Schoolbook" w:hAnsi="Century Schoolbook"/>
          <w:b w:val="0"/>
        </w:rPr>
        <w:t xml:space="preserve">, doing business as </w:t>
      </w:r>
      <w:r w:rsidR="007F78D2">
        <w:rPr>
          <w:rFonts w:ascii="Century Schoolbook" w:hAnsi="Century Schoolbook"/>
          <w:b w:val="0"/>
        </w:rPr>
        <w:t>Express Auto Lending, under a retail installment sales contract.  Southgate assigned the contract to defendant Westlake Services, LLC</w:t>
      </w:r>
      <w:r w:rsidR="00D409D7">
        <w:rPr>
          <w:rFonts w:ascii="Century Schoolbook" w:hAnsi="Century Schoolbook"/>
          <w:b w:val="0"/>
        </w:rPr>
        <w:t>,</w:t>
      </w:r>
      <w:r w:rsidR="007F78D2">
        <w:rPr>
          <w:rFonts w:ascii="Century Schoolbook" w:hAnsi="Century Schoolbook"/>
          <w:b w:val="0"/>
        </w:rPr>
        <w:t xml:space="preserve"> </w:t>
      </w:r>
      <w:r w:rsidR="00D409D7">
        <w:rPr>
          <w:rFonts w:ascii="Century Schoolbook" w:hAnsi="Century Schoolbook"/>
          <w:b w:val="0"/>
        </w:rPr>
        <w:t>doing business as</w:t>
      </w:r>
      <w:r w:rsidR="007F78D2">
        <w:rPr>
          <w:rFonts w:ascii="Century Schoolbook" w:hAnsi="Century Schoolbook"/>
          <w:b w:val="0"/>
        </w:rPr>
        <w:t xml:space="preserve"> Westlake Financial Services. </w:t>
      </w:r>
    </w:p>
    <w:p w14:paraId="0A23AF79" w14:textId="77777777" w:rsidR="00045B6F" w:rsidRDefault="00045B6F" w:rsidP="00F80B26">
      <w:pPr>
        <w:spacing w:line="288" w:lineRule="auto"/>
        <w:rPr>
          <w:rFonts w:ascii="Century Schoolbook" w:hAnsi="Century Schoolbook"/>
          <w:b w:val="0"/>
        </w:rPr>
      </w:pPr>
      <w:r>
        <w:rPr>
          <w:rFonts w:ascii="Century Schoolbook" w:hAnsi="Century Schoolbook"/>
          <w:b w:val="0"/>
        </w:rPr>
        <w:tab/>
        <w:t xml:space="preserve">In September 2018, </w:t>
      </w:r>
      <w:r w:rsidR="002C30CB">
        <w:rPr>
          <w:rFonts w:ascii="Century Schoolbook" w:hAnsi="Century Schoolbook"/>
          <w:b w:val="0"/>
        </w:rPr>
        <w:t>plaintiff sent</w:t>
      </w:r>
      <w:r>
        <w:rPr>
          <w:rFonts w:ascii="Century Schoolbook" w:hAnsi="Century Schoolbook"/>
          <w:b w:val="0"/>
        </w:rPr>
        <w:t xml:space="preserve"> </w:t>
      </w:r>
      <w:r w:rsidR="00981ED3">
        <w:rPr>
          <w:rFonts w:ascii="Century Schoolbook" w:hAnsi="Century Schoolbook"/>
          <w:b w:val="0"/>
        </w:rPr>
        <w:t>defendant</w:t>
      </w:r>
      <w:r>
        <w:rPr>
          <w:rFonts w:ascii="Century Schoolbook" w:hAnsi="Century Schoolbook"/>
          <w:b w:val="0"/>
        </w:rPr>
        <w:t xml:space="preserve"> a notice alleging Southgate violated the Consumer Legal Remedies Act </w:t>
      </w:r>
      <w:r w:rsidR="00981ED3">
        <w:rPr>
          <w:rFonts w:ascii="Century Schoolbook" w:hAnsi="Century Schoolbook"/>
          <w:b w:val="0"/>
        </w:rPr>
        <w:t>(CLRA</w:t>
      </w:r>
      <w:r w:rsidR="00C32A04">
        <w:rPr>
          <w:rFonts w:ascii="Century Schoolbook" w:hAnsi="Century Schoolbook"/>
          <w:b w:val="0"/>
        </w:rPr>
        <w:t>;</w:t>
      </w:r>
      <w:r w:rsidR="00981ED3">
        <w:rPr>
          <w:rFonts w:ascii="Century Schoolbook" w:hAnsi="Century Schoolbook"/>
          <w:b w:val="0"/>
        </w:rPr>
        <w:t xml:space="preserve"> Civ.</w:t>
      </w:r>
      <w:r w:rsidR="00D409D7">
        <w:rPr>
          <w:rFonts w:ascii="Century Schoolbook" w:hAnsi="Century Schoolbook"/>
          <w:b w:val="0"/>
        </w:rPr>
        <w:t> </w:t>
      </w:r>
      <w:r w:rsidR="00981ED3">
        <w:rPr>
          <w:rFonts w:ascii="Century Schoolbook" w:hAnsi="Century Schoolbook"/>
          <w:b w:val="0"/>
        </w:rPr>
        <w:t>Code</w:t>
      </w:r>
      <w:r w:rsidR="00D409D7">
        <w:rPr>
          <w:rFonts w:ascii="Century Schoolbook" w:hAnsi="Century Schoolbook"/>
          <w:b w:val="0"/>
        </w:rPr>
        <w:t>,</w:t>
      </w:r>
      <w:r w:rsidR="00981ED3">
        <w:rPr>
          <w:rFonts w:ascii="Century Schoolbook" w:hAnsi="Century Schoolbook"/>
          <w:b w:val="0"/>
        </w:rPr>
        <w:t xml:space="preserve"> § 1750 et seq.) </w:t>
      </w:r>
      <w:r>
        <w:rPr>
          <w:rFonts w:ascii="Century Schoolbook" w:hAnsi="Century Schoolbook"/>
          <w:b w:val="0"/>
        </w:rPr>
        <w:t>and demanding rescission, restitution and an injunction</w:t>
      </w:r>
      <w:r w:rsidR="002C30CB">
        <w:rPr>
          <w:rFonts w:ascii="Century Schoolbook" w:hAnsi="Century Schoolbook"/>
          <w:b w:val="0"/>
        </w:rPr>
        <w:t>.  P</w:t>
      </w:r>
      <w:r>
        <w:rPr>
          <w:rFonts w:ascii="Century Schoolbook" w:hAnsi="Century Schoolbook"/>
          <w:b w:val="0"/>
        </w:rPr>
        <w:t xml:space="preserve">laintiff </w:t>
      </w:r>
      <w:r w:rsidR="002C30CB">
        <w:rPr>
          <w:rFonts w:ascii="Century Schoolbook" w:hAnsi="Century Schoolbook"/>
          <w:b w:val="0"/>
        </w:rPr>
        <w:t>later sued both</w:t>
      </w:r>
      <w:r w:rsidR="00D0772A">
        <w:rPr>
          <w:rFonts w:ascii="Century Schoolbook" w:hAnsi="Century Schoolbook"/>
          <w:b w:val="0"/>
        </w:rPr>
        <w:t xml:space="preserve"> So</w:t>
      </w:r>
      <w:r w:rsidR="00332256">
        <w:rPr>
          <w:rFonts w:ascii="Century Schoolbook" w:hAnsi="Century Schoolbook"/>
          <w:b w:val="0"/>
        </w:rPr>
        <w:t>uthgate and defendant.</w:t>
      </w:r>
      <w:r w:rsidR="00D0772A">
        <w:rPr>
          <w:rFonts w:ascii="Century Schoolbook" w:hAnsi="Century Schoolbook"/>
          <w:b w:val="0"/>
        </w:rPr>
        <w:t xml:space="preserve"> Plaintiff alleged violation</w:t>
      </w:r>
      <w:r w:rsidR="00981ED3">
        <w:rPr>
          <w:rFonts w:ascii="Century Schoolbook" w:hAnsi="Century Schoolbook"/>
          <w:b w:val="0"/>
        </w:rPr>
        <w:t>s</w:t>
      </w:r>
      <w:r w:rsidR="00D0772A">
        <w:rPr>
          <w:rFonts w:ascii="Century Schoolbook" w:hAnsi="Century Schoolbook"/>
          <w:b w:val="0"/>
        </w:rPr>
        <w:t xml:space="preserve"> of the </w:t>
      </w:r>
      <w:r w:rsidR="00D0772A" w:rsidRPr="00B30B8D">
        <w:rPr>
          <w:rFonts w:ascii="Century Schoolbook" w:hAnsi="Century Schoolbook"/>
          <w:b w:val="0"/>
        </w:rPr>
        <w:t>CLRA, the Song-Beverly Consumer Warranty Act</w:t>
      </w:r>
      <w:r w:rsidR="00981ED3" w:rsidRPr="00B30B8D">
        <w:rPr>
          <w:rFonts w:ascii="Century Schoolbook" w:hAnsi="Century Schoolbook"/>
          <w:b w:val="0"/>
        </w:rPr>
        <w:t xml:space="preserve"> (Civ. Code, § 1790 et seq.)</w:t>
      </w:r>
      <w:r w:rsidR="00D0772A" w:rsidRPr="00B30B8D">
        <w:rPr>
          <w:rFonts w:ascii="Century Schoolbook" w:hAnsi="Century Schoolbook"/>
          <w:b w:val="0"/>
        </w:rPr>
        <w:t>,</w:t>
      </w:r>
      <w:r w:rsidR="00D0772A">
        <w:rPr>
          <w:rFonts w:ascii="Century Schoolbook" w:hAnsi="Century Schoolbook"/>
          <w:b w:val="0"/>
        </w:rPr>
        <w:t xml:space="preserve"> Civil Code section 1632</w:t>
      </w:r>
      <w:r w:rsidR="00C2574F">
        <w:rPr>
          <w:rFonts w:ascii="Century Schoolbook" w:hAnsi="Century Schoolbook"/>
          <w:b w:val="0"/>
        </w:rPr>
        <w:t xml:space="preserve"> (requiring translation of contracts negotiated primarily in Spanish)</w:t>
      </w:r>
      <w:r w:rsidR="00D0772A">
        <w:rPr>
          <w:rFonts w:ascii="Century Schoolbook" w:hAnsi="Century Schoolbook"/>
          <w:b w:val="0"/>
        </w:rPr>
        <w:t>, and the unfair competition law</w:t>
      </w:r>
      <w:r w:rsidR="00C2574F">
        <w:rPr>
          <w:rFonts w:ascii="Century Schoolbook" w:hAnsi="Century Schoolbook"/>
          <w:b w:val="0"/>
        </w:rPr>
        <w:t xml:space="preserve"> (Bus. &amp; Prof. Code</w:t>
      </w:r>
      <w:r w:rsidR="00D409D7">
        <w:rPr>
          <w:rFonts w:ascii="Century Schoolbook" w:hAnsi="Century Schoolbook"/>
          <w:b w:val="0"/>
        </w:rPr>
        <w:t>,</w:t>
      </w:r>
      <w:r w:rsidR="00C2574F">
        <w:rPr>
          <w:rFonts w:ascii="Century Schoolbook" w:hAnsi="Century Schoolbook"/>
          <w:b w:val="0"/>
        </w:rPr>
        <w:t xml:space="preserve"> </w:t>
      </w:r>
      <w:r w:rsidR="00C2574F">
        <w:rPr>
          <w:rFonts w:ascii="Century Schoolbook" w:hAnsi="Century Schoolbook"/>
          <w:b w:val="0"/>
        </w:rPr>
        <w:lastRenderedPageBreak/>
        <w:t>§</w:t>
      </w:r>
      <w:r w:rsidR="00332256">
        <w:rPr>
          <w:rFonts w:ascii="Century Schoolbook" w:hAnsi="Century Schoolbook"/>
          <w:b w:val="0"/>
        </w:rPr>
        <w:t> </w:t>
      </w:r>
      <w:r w:rsidR="00C2574F">
        <w:rPr>
          <w:rFonts w:ascii="Century Schoolbook" w:hAnsi="Century Schoolbook"/>
          <w:b w:val="0"/>
        </w:rPr>
        <w:t>17200 et seq.)</w:t>
      </w:r>
      <w:r w:rsidR="00D0772A">
        <w:rPr>
          <w:rFonts w:ascii="Century Schoolbook" w:hAnsi="Century Schoolbook"/>
          <w:b w:val="0"/>
        </w:rPr>
        <w:t xml:space="preserve">, plus causes of action for fraud and negligent misrepresentation. </w:t>
      </w:r>
    </w:p>
    <w:p w14:paraId="160F752C" w14:textId="77777777" w:rsidR="00324A05" w:rsidRDefault="006A1B8E" w:rsidP="00F80B26">
      <w:pPr>
        <w:spacing w:line="288" w:lineRule="auto"/>
        <w:rPr>
          <w:rFonts w:ascii="Century Schoolbook" w:hAnsi="Century Schoolbook"/>
          <w:b w:val="0"/>
        </w:rPr>
      </w:pPr>
      <w:r>
        <w:rPr>
          <w:rFonts w:ascii="Century Schoolbook" w:hAnsi="Century Schoolbook"/>
          <w:b w:val="0"/>
        </w:rPr>
        <w:tab/>
        <w:t xml:space="preserve">During the litigation, defendant assigned the contract back to Southgate. </w:t>
      </w:r>
      <w:r w:rsidR="004B64C9">
        <w:rPr>
          <w:rFonts w:ascii="Century Schoolbook" w:hAnsi="Century Schoolbook"/>
          <w:b w:val="0"/>
        </w:rPr>
        <w:t xml:space="preserve"> </w:t>
      </w:r>
      <w:r w:rsidR="006D45A8">
        <w:rPr>
          <w:rFonts w:ascii="Century Schoolbook" w:hAnsi="Century Schoolbook"/>
          <w:b w:val="0"/>
        </w:rPr>
        <w:t xml:space="preserve">In December 2019, </w:t>
      </w:r>
      <w:r>
        <w:rPr>
          <w:rFonts w:ascii="Century Schoolbook" w:hAnsi="Century Schoolbook"/>
          <w:b w:val="0"/>
        </w:rPr>
        <w:t xml:space="preserve">default was entered against Southgate, and </w:t>
      </w:r>
      <w:r w:rsidR="006D45A8">
        <w:rPr>
          <w:rFonts w:ascii="Century Schoolbook" w:hAnsi="Century Schoolbook"/>
          <w:b w:val="0"/>
        </w:rPr>
        <w:t xml:space="preserve">plaintiff and defendant settled the case. </w:t>
      </w:r>
      <w:r>
        <w:rPr>
          <w:rFonts w:ascii="Century Schoolbook" w:hAnsi="Century Schoolbook"/>
          <w:b w:val="0"/>
        </w:rPr>
        <w:t xml:space="preserve"> </w:t>
      </w:r>
    </w:p>
    <w:p w14:paraId="6A0EE602" w14:textId="77777777" w:rsidR="00324A05" w:rsidRDefault="00324A05" w:rsidP="00324A05">
      <w:pPr>
        <w:spacing w:line="288" w:lineRule="auto"/>
        <w:ind w:firstLine="720"/>
        <w:rPr>
          <w:rFonts w:ascii="Century Schoolbook" w:hAnsi="Century Schoolbook"/>
          <w:b w:val="0"/>
        </w:rPr>
      </w:pPr>
      <w:r>
        <w:rPr>
          <w:rFonts w:ascii="Century Schoolbook" w:hAnsi="Century Schoolbook"/>
          <w:b w:val="0"/>
        </w:rPr>
        <w:t>Under the settlement, d</w:t>
      </w:r>
      <w:r w:rsidR="003648F9">
        <w:rPr>
          <w:rFonts w:ascii="Century Schoolbook" w:hAnsi="Century Schoolbook"/>
          <w:b w:val="0"/>
        </w:rPr>
        <w:t xml:space="preserve">efendant agreed to pay plaintiff $6,204.68 (representing a $2,500 down payment and $3,704.68 plaintiff paid in monthly payments).  The parties acknowledged that Southgate was the current holder of the contract and would waive any balance due, so that plaintiff would have no further obligations under the contract. </w:t>
      </w:r>
      <w:r w:rsidR="004B64C9">
        <w:rPr>
          <w:rFonts w:ascii="Century Schoolbook" w:hAnsi="Century Schoolbook"/>
          <w:b w:val="0"/>
        </w:rPr>
        <w:t xml:space="preserve"> </w:t>
      </w:r>
      <w:r w:rsidR="003648F9">
        <w:rPr>
          <w:rFonts w:ascii="Century Schoolbook" w:hAnsi="Century Schoolbook"/>
          <w:b w:val="0"/>
        </w:rPr>
        <w:t>The parties further agreed plaintiff could file a motion for attorney fees, costs, expenses and prejudgment interest with respect to his claims against defendant; plaintiff was the prevailing party</w:t>
      </w:r>
      <w:r w:rsidR="00802A8D">
        <w:rPr>
          <w:rFonts w:ascii="Century Schoolbook" w:hAnsi="Century Schoolbook"/>
          <w:b w:val="0"/>
        </w:rPr>
        <w:t xml:space="preserve"> on all claims</w:t>
      </w:r>
      <w:r w:rsidR="003648F9">
        <w:rPr>
          <w:rFonts w:ascii="Century Schoolbook" w:hAnsi="Century Schoolbook"/>
          <w:b w:val="0"/>
        </w:rPr>
        <w:t>;</w:t>
      </w:r>
      <w:r>
        <w:rPr>
          <w:rFonts w:ascii="Century Schoolbook" w:hAnsi="Century Schoolbook"/>
          <w:b w:val="0"/>
        </w:rPr>
        <w:t xml:space="preserve"> </w:t>
      </w:r>
      <w:r w:rsidR="00896586">
        <w:rPr>
          <w:rFonts w:ascii="Century Schoolbook" w:hAnsi="Century Schoolbook"/>
          <w:b w:val="0"/>
        </w:rPr>
        <w:t>defendant was not precluded from disputing plaintiff’s entitlement to attorney fees and the other items</w:t>
      </w:r>
      <w:r w:rsidR="008D6F42">
        <w:rPr>
          <w:rFonts w:ascii="Century Schoolbook" w:hAnsi="Century Schoolbook"/>
          <w:b w:val="0"/>
        </w:rPr>
        <w:t xml:space="preserve">; and defendant was entitled to assert all available defenses to </w:t>
      </w:r>
      <w:r>
        <w:rPr>
          <w:rFonts w:ascii="Century Schoolbook" w:hAnsi="Century Schoolbook"/>
          <w:b w:val="0"/>
        </w:rPr>
        <w:t xml:space="preserve">plaintiff’s motion, “including the defense that no fees at all should be awarded against it as a Holder as that term is defined at law.” </w:t>
      </w:r>
    </w:p>
    <w:p w14:paraId="589AD070" w14:textId="77777777" w:rsidR="006D45A8" w:rsidRDefault="00324A05" w:rsidP="00C97585">
      <w:pPr>
        <w:spacing w:line="288" w:lineRule="auto"/>
        <w:rPr>
          <w:rFonts w:ascii="Century Schoolbook" w:hAnsi="Century Schoolbook"/>
          <w:b w:val="0"/>
        </w:rPr>
      </w:pPr>
      <w:r>
        <w:rPr>
          <w:rFonts w:ascii="Century Schoolbook" w:hAnsi="Century Schoolbook"/>
          <w:b w:val="0"/>
        </w:rPr>
        <w:tab/>
      </w:r>
      <w:r w:rsidR="006A1B8E">
        <w:rPr>
          <w:rFonts w:ascii="Century Schoolbook" w:hAnsi="Century Schoolbook"/>
          <w:b w:val="0"/>
        </w:rPr>
        <w:t xml:space="preserve"> </w:t>
      </w:r>
      <w:r w:rsidR="00344703">
        <w:rPr>
          <w:rFonts w:ascii="Century Schoolbook" w:hAnsi="Century Schoolbook"/>
          <w:b w:val="0"/>
        </w:rPr>
        <w:t>The trial court granted plaintiff’s motion</w:t>
      </w:r>
      <w:r w:rsidR="003639FD">
        <w:rPr>
          <w:rFonts w:ascii="Century Schoolbook" w:hAnsi="Century Schoolbook"/>
          <w:b w:val="0"/>
        </w:rPr>
        <w:t>.  The</w:t>
      </w:r>
      <w:r w:rsidR="00344703">
        <w:rPr>
          <w:rFonts w:ascii="Century Schoolbook" w:hAnsi="Century Schoolbook"/>
          <w:b w:val="0"/>
        </w:rPr>
        <w:t xml:space="preserve"> court awarded $115,987.50 in attorney fees; $2,956.62 in prejudgment interest; and costs of $14,295.63, for a total of $133,239.75, jointly and severally against defendant</w:t>
      </w:r>
      <w:r w:rsidR="00802A8D">
        <w:rPr>
          <w:rFonts w:ascii="Century Schoolbook" w:hAnsi="Century Schoolbook"/>
          <w:b w:val="0"/>
        </w:rPr>
        <w:t xml:space="preserve">, </w:t>
      </w:r>
      <w:r w:rsidR="00344703">
        <w:rPr>
          <w:rFonts w:ascii="Century Schoolbook" w:hAnsi="Century Schoolbook"/>
          <w:b w:val="0"/>
        </w:rPr>
        <w:t>Southgate</w:t>
      </w:r>
      <w:r w:rsidR="00802A8D">
        <w:rPr>
          <w:rFonts w:ascii="Century Schoolbook" w:hAnsi="Century Schoolbook"/>
          <w:b w:val="0"/>
        </w:rPr>
        <w:t xml:space="preserve"> and two other defendants</w:t>
      </w:r>
      <w:r w:rsidR="00344703">
        <w:rPr>
          <w:rFonts w:ascii="Century Schoolbook" w:hAnsi="Century Schoolbook"/>
          <w:b w:val="0"/>
        </w:rPr>
        <w:t xml:space="preserve">. </w:t>
      </w:r>
    </w:p>
    <w:p w14:paraId="463B403D" w14:textId="77777777" w:rsidR="00802A8D" w:rsidRPr="00F80B26" w:rsidRDefault="00802A8D" w:rsidP="00C97585">
      <w:pPr>
        <w:spacing w:line="288" w:lineRule="auto"/>
        <w:rPr>
          <w:rFonts w:ascii="Century Schoolbook" w:hAnsi="Century Schoolbook"/>
          <w:b w:val="0"/>
        </w:rPr>
      </w:pPr>
      <w:r>
        <w:rPr>
          <w:rFonts w:ascii="Century Schoolbook" w:hAnsi="Century Schoolbook"/>
          <w:b w:val="0"/>
        </w:rPr>
        <w:tab/>
        <w:t>Defendant filed a timely appeal.</w:t>
      </w:r>
    </w:p>
    <w:p w14:paraId="6A1C3F0C" w14:textId="77777777" w:rsidR="007706A1" w:rsidRPr="00F82464" w:rsidRDefault="007706A1" w:rsidP="00C97585">
      <w:pPr>
        <w:spacing w:line="288" w:lineRule="auto"/>
        <w:jc w:val="center"/>
        <w:rPr>
          <w:rFonts w:ascii="Century Schoolbook" w:hAnsi="Century Schoolbook"/>
          <w:bCs/>
        </w:rPr>
      </w:pPr>
      <w:r w:rsidRPr="00F82464">
        <w:rPr>
          <w:rFonts w:ascii="Century Schoolbook" w:hAnsi="Century Schoolbook"/>
          <w:bCs/>
        </w:rPr>
        <w:t>DISCUSSION</w:t>
      </w:r>
    </w:p>
    <w:p w14:paraId="58AB95DC" w14:textId="77777777" w:rsidR="00132197" w:rsidRPr="00132197" w:rsidRDefault="00132197" w:rsidP="00C97585">
      <w:pPr>
        <w:spacing w:line="288" w:lineRule="auto"/>
        <w:rPr>
          <w:rFonts w:ascii="Century Schoolbook" w:hAnsi="Century Schoolbook"/>
          <w:bCs/>
        </w:rPr>
      </w:pPr>
      <w:r>
        <w:rPr>
          <w:rFonts w:ascii="Century Schoolbook" w:hAnsi="Century Schoolbook"/>
          <w:bCs/>
        </w:rPr>
        <w:t>1</w:t>
      </w:r>
      <w:r w:rsidR="003639FD">
        <w:rPr>
          <w:rFonts w:ascii="Century Schoolbook" w:hAnsi="Century Schoolbook"/>
          <w:bCs/>
        </w:rPr>
        <w:t>.</w:t>
      </w:r>
      <w:r>
        <w:rPr>
          <w:rFonts w:ascii="Century Schoolbook" w:hAnsi="Century Schoolbook"/>
          <w:bCs/>
        </w:rPr>
        <w:tab/>
        <w:t>T</w:t>
      </w:r>
      <w:r w:rsidR="00A95DB0">
        <w:rPr>
          <w:rFonts w:ascii="Century Schoolbook" w:hAnsi="Century Schoolbook"/>
          <w:bCs/>
        </w:rPr>
        <w:t xml:space="preserve">he </w:t>
      </w:r>
      <w:r w:rsidR="007461BD">
        <w:rPr>
          <w:rFonts w:ascii="Century Schoolbook" w:hAnsi="Century Schoolbook"/>
          <w:bCs/>
        </w:rPr>
        <w:t>L</w:t>
      </w:r>
      <w:r w:rsidR="00A95DB0">
        <w:rPr>
          <w:rFonts w:ascii="Century Schoolbook" w:hAnsi="Century Schoolbook"/>
          <w:bCs/>
        </w:rPr>
        <w:t xml:space="preserve">egal </w:t>
      </w:r>
      <w:r w:rsidR="007461BD">
        <w:rPr>
          <w:rFonts w:ascii="Century Schoolbook" w:hAnsi="Century Schoolbook"/>
          <w:bCs/>
        </w:rPr>
        <w:t>B</w:t>
      </w:r>
      <w:r w:rsidR="00A95DB0">
        <w:rPr>
          <w:rFonts w:ascii="Century Schoolbook" w:hAnsi="Century Schoolbook"/>
          <w:bCs/>
        </w:rPr>
        <w:t>ackground</w:t>
      </w:r>
    </w:p>
    <w:p w14:paraId="49A10558" w14:textId="77777777" w:rsidR="00C97585" w:rsidRDefault="003639FD" w:rsidP="00462864">
      <w:pPr>
        <w:spacing w:line="288" w:lineRule="auto"/>
        <w:rPr>
          <w:rFonts w:ascii="Century Schoolbook" w:hAnsi="Century Schoolbook"/>
          <w:b w:val="0"/>
          <w:bCs/>
          <w:szCs w:val="26"/>
        </w:rPr>
      </w:pPr>
      <w:r>
        <w:rPr>
          <w:rFonts w:ascii="Century Schoolbook" w:hAnsi="Century Schoolbook"/>
          <w:b w:val="0"/>
        </w:rPr>
        <w:tab/>
      </w:r>
      <w:r w:rsidR="00C97585" w:rsidRPr="00621D3A">
        <w:rPr>
          <w:rFonts w:ascii="Century Schoolbook" w:hAnsi="Century Schoolbook"/>
          <w:b w:val="0"/>
          <w:bCs/>
          <w:szCs w:val="26"/>
        </w:rPr>
        <w:t>The holder rule</w:t>
      </w:r>
      <w:r w:rsidR="002C30CB">
        <w:rPr>
          <w:rFonts w:ascii="Century Schoolbook" w:hAnsi="Century Schoolbook"/>
          <w:b w:val="0"/>
          <w:bCs/>
          <w:szCs w:val="26"/>
        </w:rPr>
        <w:t xml:space="preserve"> is contained in a regulation</w:t>
      </w:r>
      <w:r w:rsidR="00C97585">
        <w:rPr>
          <w:rFonts w:ascii="Century Schoolbook" w:hAnsi="Century Schoolbook"/>
          <w:b w:val="0"/>
          <w:bCs/>
          <w:szCs w:val="26"/>
        </w:rPr>
        <w:t xml:space="preserve"> issued by the Federal Trade Commission (FTC) in 1975</w:t>
      </w:r>
      <w:r w:rsidR="002C30CB">
        <w:rPr>
          <w:rFonts w:ascii="Century Schoolbook" w:hAnsi="Century Schoolbook"/>
          <w:b w:val="0"/>
          <w:bCs/>
          <w:szCs w:val="26"/>
        </w:rPr>
        <w:t>.  It</w:t>
      </w:r>
      <w:r w:rsidR="00462864">
        <w:rPr>
          <w:rFonts w:ascii="Century Schoolbook" w:hAnsi="Century Schoolbook"/>
          <w:b w:val="0"/>
          <w:bCs/>
          <w:szCs w:val="26"/>
        </w:rPr>
        <w:t xml:space="preserve"> is a </w:t>
      </w:r>
      <w:r w:rsidR="00C97585" w:rsidRPr="00621D3A">
        <w:rPr>
          <w:rFonts w:ascii="Century Schoolbook" w:hAnsi="Century Schoolbook"/>
          <w:b w:val="0"/>
          <w:bCs/>
          <w:szCs w:val="26"/>
        </w:rPr>
        <w:t xml:space="preserve">consumer protection measure </w:t>
      </w:r>
      <w:r w:rsidR="00462864">
        <w:rPr>
          <w:rFonts w:ascii="Century Schoolbook" w:hAnsi="Century Schoolbook"/>
          <w:b w:val="0"/>
          <w:bCs/>
          <w:szCs w:val="26"/>
        </w:rPr>
        <w:t>that “</w:t>
      </w:r>
      <w:r w:rsidR="00C97585" w:rsidRPr="00621D3A">
        <w:rPr>
          <w:rFonts w:ascii="Century Schoolbook" w:hAnsi="Century Schoolbook"/>
          <w:b w:val="0"/>
          <w:bCs/>
          <w:szCs w:val="26"/>
        </w:rPr>
        <w:t>abrogate</w:t>
      </w:r>
      <w:r w:rsidR="00462864">
        <w:rPr>
          <w:rFonts w:ascii="Century Schoolbook" w:hAnsi="Century Schoolbook"/>
          <w:b w:val="0"/>
          <w:bCs/>
          <w:szCs w:val="26"/>
        </w:rPr>
        <w:t>[s]</w:t>
      </w:r>
      <w:r w:rsidR="00C97585" w:rsidRPr="00621D3A">
        <w:rPr>
          <w:rFonts w:ascii="Century Schoolbook" w:hAnsi="Century Schoolbook"/>
          <w:b w:val="0"/>
          <w:bCs/>
          <w:szCs w:val="26"/>
        </w:rPr>
        <w:t xml:space="preserve"> the holder in due course rule for consumer installment sale contracts that are funded by a commercial lender.”  (</w:t>
      </w:r>
      <w:r w:rsidR="00C97585" w:rsidRPr="00621D3A">
        <w:rPr>
          <w:rFonts w:ascii="Century Schoolbook" w:hAnsi="Century Schoolbook"/>
          <w:b w:val="0"/>
          <w:bCs/>
          <w:i/>
          <w:iCs/>
          <w:szCs w:val="26"/>
        </w:rPr>
        <w:t xml:space="preserve">Lafferty v. Wells Fargo Bank, N.A. </w:t>
      </w:r>
      <w:r w:rsidR="00C97585" w:rsidRPr="00621D3A">
        <w:rPr>
          <w:rFonts w:ascii="Century Schoolbook" w:hAnsi="Century Schoolbook"/>
          <w:b w:val="0"/>
          <w:bCs/>
          <w:szCs w:val="26"/>
        </w:rPr>
        <w:t xml:space="preserve">(2018) </w:t>
      </w:r>
      <w:r w:rsidR="00C97585" w:rsidRPr="00621D3A">
        <w:rPr>
          <w:rFonts w:ascii="Century Schoolbook" w:hAnsi="Century Schoolbook"/>
          <w:b w:val="0"/>
          <w:bCs/>
          <w:szCs w:val="26"/>
        </w:rPr>
        <w:lastRenderedPageBreak/>
        <w:t>25</w:t>
      </w:r>
      <w:r w:rsidR="00D409D7">
        <w:rPr>
          <w:rFonts w:ascii="Century Schoolbook" w:hAnsi="Century Schoolbook"/>
          <w:b w:val="0"/>
          <w:bCs/>
          <w:szCs w:val="26"/>
        </w:rPr>
        <w:t> </w:t>
      </w:r>
      <w:r w:rsidR="00C97585" w:rsidRPr="00621D3A">
        <w:rPr>
          <w:rFonts w:ascii="Century Schoolbook" w:hAnsi="Century Schoolbook"/>
          <w:b w:val="0"/>
          <w:bCs/>
          <w:szCs w:val="26"/>
        </w:rPr>
        <w:t>Cal.App.5</w:t>
      </w:r>
      <w:r w:rsidR="00462864">
        <w:rPr>
          <w:rFonts w:ascii="Century Schoolbook" w:hAnsi="Century Schoolbook"/>
          <w:b w:val="0"/>
          <w:bCs/>
          <w:szCs w:val="26"/>
        </w:rPr>
        <w:t xml:space="preserve">th </w:t>
      </w:r>
      <w:r w:rsidR="00C97585" w:rsidRPr="00621D3A">
        <w:rPr>
          <w:rFonts w:ascii="Century Schoolbook" w:hAnsi="Century Schoolbook"/>
          <w:b w:val="0"/>
          <w:bCs/>
          <w:szCs w:val="26"/>
        </w:rPr>
        <w:t>398</w:t>
      </w:r>
      <w:r w:rsidR="00C97585">
        <w:rPr>
          <w:rFonts w:ascii="Century Schoolbook" w:hAnsi="Century Schoolbook"/>
          <w:b w:val="0"/>
          <w:bCs/>
          <w:szCs w:val="26"/>
        </w:rPr>
        <w:t>, 410</w:t>
      </w:r>
      <w:r w:rsidR="00C97585" w:rsidRPr="00621D3A">
        <w:rPr>
          <w:rFonts w:ascii="Century Schoolbook" w:hAnsi="Century Schoolbook"/>
          <w:b w:val="0"/>
          <w:bCs/>
          <w:szCs w:val="26"/>
        </w:rPr>
        <w:t xml:space="preserve"> (</w:t>
      </w:r>
      <w:r w:rsidR="00C97585" w:rsidRPr="00621D3A">
        <w:rPr>
          <w:rFonts w:ascii="Century Schoolbook" w:hAnsi="Century Schoolbook"/>
          <w:b w:val="0"/>
          <w:bCs/>
          <w:i/>
          <w:iCs/>
          <w:szCs w:val="26"/>
        </w:rPr>
        <w:t>Lafferty</w:t>
      </w:r>
      <w:r w:rsidR="00C97585" w:rsidRPr="00621D3A">
        <w:rPr>
          <w:rFonts w:ascii="Century Schoolbook" w:hAnsi="Century Schoolbook"/>
          <w:b w:val="0"/>
          <w:bCs/>
          <w:szCs w:val="26"/>
        </w:rPr>
        <w:t>).)</w:t>
      </w:r>
      <w:r w:rsidR="002C30CB">
        <w:rPr>
          <w:rFonts w:ascii="Century Schoolbook" w:hAnsi="Century Schoolbook"/>
          <w:b w:val="0"/>
          <w:bCs/>
          <w:szCs w:val="26"/>
        </w:rPr>
        <w:t xml:space="preserve">  </w:t>
      </w:r>
      <w:r w:rsidR="00C97585" w:rsidRPr="00621D3A">
        <w:rPr>
          <w:rFonts w:ascii="Century Schoolbook" w:hAnsi="Century Schoolbook"/>
          <w:b w:val="0"/>
          <w:bCs/>
          <w:szCs w:val="26"/>
        </w:rPr>
        <w:t>The regulation (16 C.F.R. §</w:t>
      </w:r>
      <w:r w:rsidR="00D409D7">
        <w:rPr>
          <w:rFonts w:ascii="Century Schoolbook" w:hAnsi="Century Schoolbook"/>
          <w:b w:val="0"/>
          <w:bCs/>
          <w:szCs w:val="26"/>
        </w:rPr>
        <w:t> </w:t>
      </w:r>
      <w:r w:rsidR="00C97585" w:rsidRPr="00621D3A">
        <w:rPr>
          <w:rFonts w:ascii="Century Schoolbook" w:hAnsi="Century Schoolbook"/>
          <w:b w:val="0"/>
          <w:bCs/>
          <w:szCs w:val="26"/>
        </w:rPr>
        <w:t>433.2</w:t>
      </w:r>
      <w:r w:rsidR="00D81886">
        <w:rPr>
          <w:rFonts w:ascii="Century Schoolbook" w:hAnsi="Century Schoolbook"/>
          <w:b w:val="0"/>
          <w:bCs/>
          <w:szCs w:val="26"/>
        </w:rPr>
        <w:t xml:space="preserve"> (2022)</w:t>
      </w:r>
      <w:r w:rsidR="00C97585" w:rsidRPr="00621D3A">
        <w:rPr>
          <w:rFonts w:ascii="Century Schoolbook" w:hAnsi="Century Schoolbook"/>
          <w:b w:val="0"/>
          <w:bCs/>
          <w:szCs w:val="26"/>
        </w:rPr>
        <w:t xml:space="preserve">) makes it an unfair or deceptive act or practice for a seller to take or receive a consumer credit contract which does not contain the following provision in large, </w:t>
      </w:r>
      <w:r w:rsidR="00DB687E">
        <w:rPr>
          <w:rFonts w:ascii="Century Schoolbook" w:hAnsi="Century Schoolbook"/>
          <w:b w:val="0"/>
          <w:bCs/>
          <w:szCs w:val="26"/>
        </w:rPr>
        <w:t>boldface</w:t>
      </w:r>
      <w:r w:rsidR="00C97585" w:rsidRPr="00621D3A">
        <w:rPr>
          <w:rFonts w:ascii="Century Schoolbook" w:hAnsi="Century Schoolbook"/>
          <w:b w:val="0"/>
          <w:bCs/>
          <w:szCs w:val="26"/>
        </w:rPr>
        <w:t xml:space="preserve"> type:</w:t>
      </w:r>
      <w:r w:rsidR="00462864">
        <w:rPr>
          <w:rFonts w:ascii="Century Schoolbook" w:hAnsi="Century Schoolbook"/>
          <w:b w:val="0"/>
          <w:bCs/>
          <w:szCs w:val="26"/>
        </w:rPr>
        <w:t xml:space="preserve">  </w:t>
      </w:r>
      <w:r w:rsidR="00C97585" w:rsidRPr="00621D3A">
        <w:rPr>
          <w:rFonts w:ascii="Century Schoolbook" w:hAnsi="Century Schoolbook"/>
          <w:b w:val="0"/>
          <w:bCs/>
          <w:szCs w:val="26"/>
        </w:rPr>
        <w:t>“Notice</w:t>
      </w:r>
      <w:r w:rsidR="00376C1E">
        <w:rPr>
          <w:rFonts w:ascii="Century Schoolbook" w:hAnsi="Century Schoolbook"/>
          <w:b w:val="0"/>
          <w:bCs/>
          <w:szCs w:val="26"/>
        </w:rPr>
        <w:t xml:space="preserve"> </w:t>
      </w:r>
      <w:r w:rsidR="00C97585" w:rsidRPr="00621D3A">
        <w:rPr>
          <w:rFonts w:ascii="Century Schoolbook" w:hAnsi="Century Schoolbook"/>
          <w:b w:val="0"/>
          <w:bCs/>
          <w:szCs w:val="26"/>
        </w:rPr>
        <w:t xml:space="preserve"> [¶]  Any holder of this consumer credit contract is subject to all claims and defenses which the debtor could assert against the seller of goods or services obtained pursuant hereto or with the proceeds hereof</w:t>
      </w:r>
      <w:r w:rsidR="009D2D68">
        <w:rPr>
          <w:rFonts w:ascii="Century Schoolbook" w:hAnsi="Century Schoolbook"/>
          <w:b w:val="0"/>
          <w:bCs/>
          <w:szCs w:val="26"/>
        </w:rPr>
        <w:t xml:space="preserve">.  </w:t>
      </w:r>
      <w:r w:rsidR="00C97585" w:rsidRPr="00621D3A">
        <w:rPr>
          <w:rFonts w:ascii="Century Schoolbook" w:hAnsi="Century Schoolbook"/>
          <w:b w:val="0"/>
          <w:bCs/>
          <w:szCs w:val="26"/>
        </w:rPr>
        <w:t>Recovery hereunder by the debtor shall not exceed amounts paid by the debtor hereunder.”  (Capitalization omitted.)</w:t>
      </w:r>
    </w:p>
    <w:p w14:paraId="4156D470" w14:textId="77777777" w:rsidR="00C97585" w:rsidRDefault="00462864" w:rsidP="00C97585">
      <w:pPr>
        <w:spacing w:line="288" w:lineRule="auto"/>
        <w:rPr>
          <w:rFonts w:ascii="Century Schoolbook" w:hAnsi="Century Schoolbook"/>
          <w:b w:val="0"/>
          <w:bCs/>
          <w:szCs w:val="26"/>
        </w:rPr>
      </w:pPr>
      <w:r>
        <w:rPr>
          <w:rFonts w:ascii="Century Schoolbook" w:hAnsi="Century Schoolbook"/>
          <w:b w:val="0"/>
          <w:bCs/>
          <w:szCs w:val="26"/>
        </w:rPr>
        <w:tab/>
      </w:r>
      <w:r w:rsidR="00C97585" w:rsidRPr="00621D3A">
        <w:rPr>
          <w:rFonts w:ascii="Century Schoolbook" w:hAnsi="Century Schoolbook"/>
          <w:b w:val="0"/>
          <w:bCs/>
          <w:szCs w:val="26"/>
        </w:rPr>
        <w:t xml:space="preserve">“ ‘ “ ‘In abrogating the holder in due course rule in consumer credit transactions, the FTC preserved the consumer’s claims and defenses against the creditor-assignee.  The FTC rule was therefore designed to reallocate the cost of seller misconduct to the creditor.  The commission felt the creditor was in a better position to absorb the loss or recover the cost from the guilty </w:t>
      </w:r>
      <w:r w:rsidR="00D409D7">
        <w:rPr>
          <w:rFonts w:ascii="Century Schoolbook" w:hAnsi="Century Schoolbook"/>
          <w:b w:val="0"/>
          <w:bCs/>
          <w:szCs w:val="26"/>
        </w:rPr>
        <w:t>party—the</w:t>
      </w:r>
      <w:r w:rsidR="00C97585" w:rsidRPr="00621D3A">
        <w:rPr>
          <w:rFonts w:ascii="Century Schoolbook" w:hAnsi="Century Schoolbook"/>
          <w:b w:val="0"/>
          <w:bCs/>
          <w:szCs w:val="26"/>
        </w:rPr>
        <w:t xml:space="preserve"> seller.’ ” ’ ”  (</w:t>
      </w:r>
      <w:r w:rsidR="00C97585" w:rsidRPr="00621D3A">
        <w:rPr>
          <w:rFonts w:ascii="Century Schoolbook" w:hAnsi="Century Schoolbook"/>
          <w:b w:val="0"/>
          <w:bCs/>
          <w:i/>
          <w:iCs/>
          <w:szCs w:val="26"/>
        </w:rPr>
        <w:t xml:space="preserve">Lafferty, supra, </w:t>
      </w:r>
      <w:r w:rsidR="00C97585" w:rsidRPr="00621D3A">
        <w:rPr>
          <w:rFonts w:ascii="Century Schoolbook" w:hAnsi="Century Schoolbook"/>
          <w:b w:val="0"/>
          <w:bCs/>
          <w:szCs w:val="26"/>
        </w:rPr>
        <w:t>25 Cal.App.5</w:t>
      </w:r>
      <w:r>
        <w:rPr>
          <w:rFonts w:ascii="Century Schoolbook" w:hAnsi="Century Schoolbook"/>
          <w:b w:val="0"/>
          <w:bCs/>
          <w:szCs w:val="26"/>
        </w:rPr>
        <w:t xml:space="preserve">th </w:t>
      </w:r>
      <w:r w:rsidR="00C97585" w:rsidRPr="00621D3A">
        <w:rPr>
          <w:rFonts w:ascii="Century Schoolbook" w:hAnsi="Century Schoolbook"/>
          <w:b w:val="0"/>
          <w:bCs/>
          <w:szCs w:val="26"/>
        </w:rPr>
        <w:t>at p. 411.)</w:t>
      </w:r>
    </w:p>
    <w:p w14:paraId="3B20B3DD" w14:textId="77777777" w:rsidR="00F90A2E" w:rsidRDefault="00462864" w:rsidP="00C97585">
      <w:pPr>
        <w:spacing w:line="288" w:lineRule="auto"/>
        <w:rPr>
          <w:rFonts w:ascii="Century Schoolbook" w:hAnsi="Century Schoolbook"/>
          <w:b w:val="0"/>
          <w:bCs/>
          <w:szCs w:val="26"/>
        </w:rPr>
      </w:pPr>
      <w:r>
        <w:rPr>
          <w:rFonts w:ascii="Century Schoolbook" w:hAnsi="Century Schoolbook"/>
          <w:b w:val="0"/>
          <w:bCs/>
          <w:szCs w:val="26"/>
        </w:rPr>
        <w:tab/>
      </w:r>
      <w:r w:rsidR="002068E7">
        <w:rPr>
          <w:rFonts w:ascii="Century Schoolbook" w:hAnsi="Century Schoolbook"/>
          <w:b w:val="0"/>
          <w:bCs/>
          <w:szCs w:val="26"/>
        </w:rPr>
        <w:t xml:space="preserve">As mentioned at the outset, the principal point at issue is whether the </w:t>
      </w:r>
      <w:r w:rsidR="002068E7">
        <w:rPr>
          <w:rFonts w:ascii="Century Schoolbook" w:hAnsi="Century Schoolbook"/>
          <w:b w:val="0"/>
          <w:bCs/>
        </w:rPr>
        <w:t>limitation on recovery to “amounts paid by the debtor</w:t>
      </w:r>
      <w:r w:rsidR="007B6362">
        <w:rPr>
          <w:rFonts w:ascii="Century Schoolbook" w:hAnsi="Century Schoolbook"/>
          <w:b w:val="0"/>
          <w:bCs/>
        </w:rPr>
        <w:t xml:space="preserve"> hereunder</w:t>
      </w:r>
      <w:r w:rsidR="002068E7">
        <w:rPr>
          <w:rFonts w:ascii="Century Schoolbook" w:hAnsi="Century Schoolbook"/>
          <w:b w:val="0"/>
          <w:bCs/>
        </w:rPr>
        <w:t xml:space="preserve">” </w:t>
      </w:r>
      <w:r w:rsidR="002C30CB">
        <w:rPr>
          <w:rFonts w:ascii="Century Schoolbook" w:hAnsi="Century Schoolbook"/>
          <w:b w:val="0"/>
          <w:bCs/>
        </w:rPr>
        <w:t xml:space="preserve">means a consumer cannot recover </w:t>
      </w:r>
      <w:r w:rsidR="002068E7">
        <w:rPr>
          <w:rFonts w:ascii="Century Schoolbook" w:hAnsi="Century Schoolbook"/>
          <w:b w:val="0"/>
          <w:bCs/>
        </w:rPr>
        <w:t>attorney fees</w:t>
      </w:r>
      <w:r w:rsidR="002C30CB">
        <w:rPr>
          <w:rFonts w:ascii="Century Schoolbook" w:hAnsi="Century Schoolbook"/>
          <w:b w:val="0"/>
          <w:bCs/>
        </w:rPr>
        <w:t xml:space="preserve"> </w:t>
      </w:r>
      <w:r w:rsidR="005B56FB">
        <w:rPr>
          <w:rFonts w:ascii="Century Schoolbook" w:hAnsi="Century Schoolbook"/>
          <w:b w:val="0"/>
          <w:bCs/>
        </w:rPr>
        <w:t>from the creditor-assignee</w:t>
      </w:r>
      <w:r w:rsidR="002068E7">
        <w:rPr>
          <w:rFonts w:ascii="Century Schoolbook" w:hAnsi="Century Schoolbook"/>
          <w:b w:val="0"/>
          <w:bCs/>
        </w:rPr>
        <w:t>.</w:t>
      </w:r>
      <w:r w:rsidR="007B6362">
        <w:rPr>
          <w:rFonts w:ascii="Century Schoolbook" w:hAnsi="Century Schoolbook"/>
          <w:b w:val="0"/>
          <w:bCs/>
          <w:szCs w:val="26"/>
        </w:rPr>
        <w:t xml:space="preserve">  </w:t>
      </w:r>
      <w:r w:rsidR="002C650D">
        <w:rPr>
          <w:rFonts w:ascii="Century Schoolbook" w:hAnsi="Century Schoolbook"/>
          <w:b w:val="0"/>
          <w:bCs/>
          <w:szCs w:val="26"/>
        </w:rPr>
        <w:t>(</w:t>
      </w:r>
      <w:r w:rsidR="002C650D" w:rsidRPr="00621D3A">
        <w:rPr>
          <w:rFonts w:ascii="Century Schoolbook" w:hAnsi="Century Schoolbook"/>
          <w:b w:val="0"/>
          <w:bCs/>
          <w:szCs w:val="26"/>
        </w:rPr>
        <w:t>16 C.F.R. §</w:t>
      </w:r>
      <w:r w:rsidR="002C650D">
        <w:rPr>
          <w:rFonts w:ascii="Century Schoolbook" w:hAnsi="Century Schoolbook"/>
          <w:b w:val="0"/>
          <w:bCs/>
          <w:szCs w:val="26"/>
        </w:rPr>
        <w:t> </w:t>
      </w:r>
      <w:r w:rsidR="002C650D" w:rsidRPr="00621D3A">
        <w:rPr>
          <w:rFonts w:ascii="Century Schoolbook" w:hAnsi="Century Schoolbook"/>
          <w:b w:val="0"/>
          <w:bCs/>
          <w:szCs w:val="26"/>
        </w:rPr>
        <w:t>433.2</w:t>
      </w:r>
      <w:r w:rsidR="002C650D">
        <w:rPr>
          <w:rFonts w:ascii="Century Schoolbook" w:hAnsi="Century Schoolbook"/>
          <w:b w:val="0"/>
          <w:bCs/>
          <w:szCs w:val="26"/>
        </w:rPr>
        <w:t xml:space="preserve"> </w:t>
      </w:r>
      <w:r w:rsidR="0046488D">
        <w:rPr>
          <w:rFonts w:ascii="Century Schoolbook" w:hAnsi="Century Schoolbook"/>
          <w:b w:val="0"/>
          <w:bCs/>
          <w:szCs w:val="26"/>
        </w:rPr>
        <w:t>(2022</w:t>
      </w:r>
      <w:r w:rsidR="00DB687E">
        <w:rPr>
          <w:rFonts w:ascii="Century Schoolbook" w:hAnsi="Century Schoolbook"/>
          <w:b w:val="0"/>
          <w:bCs/>
          <w:szCs w:val="26"/>
        </w:rPr>
        <w:t>)</w:t>
      </w:r>
      <w:r w:rsidR="002C650D">
        <w:rPr>
          <w:rFonts w:ascii="Century Schoolbook" w:hAnsi="Century Schoolbook"/>
          <w:b w:val="0"/>
          <w:bCs/>
          <w:szCs w:val="26"/>
        </w:rPr>
        <w:t xml:space="preserve">.)  </w:t>
      </w:r>
      <w:r w:rsidR="007B6362">
        <w:rPr>
          <w:rFonts w:ascii="Century Schoolbook" w:hAnsi="Century Schoolbook"/>
          <w:b w:val="0"/>
          <w:bCs/>
          <w:szCs w:val="26"/>
        </w:rPr>
        <w:t xml:space="preserve">In California, there were no published precedents on this issue for the 40 years after the rule was issued.  </w:t>
      </w:r>
      <w:r w:rsidR="00264BF4">
        <w:rPr>
          <w:rFonts w:ascii="Century Schoolbook" w:hAnsi="Century Schoolbook"/>
          <w:b w:val="0"/>
          <w:bCs/>
          <w:szCs w:val="26"/>
        </w:rPr>
        <w:t xml:space="preserve">Then, in 2018, </w:t>
      </w:r>
      <w:r w:rsidR="00264BF4">
        <w:rPr>
          <w:rFonts w:ascii="Century Schoolbook" w:hAnsi="Century Schoolbook"/>
          <w:b w:val="0"/>
          <w:bCs/>
          <w:i/>
          <w:iCs/>
          <w:szCs w:val="26"/>
        </w:rPr>
        <w:t xml:space="preserve">Lafferty </w:t>
      </w:r>
      <w:r w:rsidR="00264BF4">
        <w:rPr>
          <w:rFonts w:ascii="Century Schoolbook" w:hAnsi="Century Schoolbook"/>
          <w:b w:val="0"/>
          <w:bCs/>
          <w:szCs w:val="26"/>
        </w:rPr>
        <w:t xml:space="preserve">held </w:t>
      </w:r>
      <w:r w:rsidR="00264BF4" w:rsidRPr="00621D3A">
        <w:rPr>
          <w:rFonts w:ascii="Century Schoolbook" w:hAnsi="Century Schoolbook"/>
          <w:b w:val="0"/>
          <w:bCs/>
          <w:szCs w:val="26"/>
        </w:rPr>
        <w:t>th</w:t>
      </w:r>
      <w:r w:rsidR="00264BF4">
        <w:rPr>
          <w:rFonts w:ascii="Century Schoolbook" w:hAnsi="Century Schoolbook"/>
          <w:b w:val="0"/>
          <w:bCs/>
          <w:szCs w:val="26"/>
        </w:rPr>
        <w:t>a</w:t>
      </w:r>
      <w:r w:rsidR="003E3585">
        <w:rPr>
          <w:rFonts w:ascii="Century Schoolbook" w:hAnsi="Century Schoolbook"/>
          <w:b w:val="0"/>
          <w:bCs/>
          <w:szCs w:val="26"/>
        </w:rPr>
        <w:t xml:space="preserve">t the </w:t>
      </w:r>
      <w:r w:rsidR="00264BF4" w:rsidRPr="00621D3A">
        <w:rPr>
          <w:rFonts w:ascii="Century Schoolbook" w:hAnsi="Century Schoolbook"/>
          <w:b w:val="0"/>
          <w:bCs/>
          <w:szCs w:val="26"/>
        </w:rPr>
        <w:t>plaintiffs were “limited under the plain meaning of the Holder Rule to recovering no more than</w:t>
      </w:r>
      <w:r w:rsidR="00264BF4">
        <w:rPr>
          <w:rFonts w:ascii="Century Schoolbook" w:hAnsi="Century Schoolbook"/>
          <w:b w:val="0"/>
          <w:bCs/>
          <w:szCs w:val="26"/>
        </w:rPr>
        <w:t>” the amount they paid</w:t>
      </w:r>
      <w:r w:rsidR="00264BF4" w:rsidRPr="00621D3A">
        <w:rPr>
          <w:rFonts w:ascii="Century Schoolbook" w:hAnsi="Century Schoolbook"/>
          <w:b w:val="0"/>
          <w:bCs/>
          <w:szCs w:val="26"/>
        </w:rPr>
        <w:t xml:space="preserve"> under terms of the</w:t>
      </w:r>
      <w:r w:rsidR="00264BF4">
        <w:rPr>
          <w:rFonts w:ascii="Century Schoolbook" w:hAnsi="Century Schoolbook"/>
          <w:b w:val="0"/>
          <w:bCs/>
          <w:szCs w:val="26"/>
        </w:rPr>
        <w:t xml:space="preserve">ir loan.  </w:t>
      </w:r>
      <w:r w:rsidR="00264BF4" w:rsidRPr="00621D3A">
        <w:rPr>
          <w:rFonts w:ascii="Century Schoolbook" w:hAnsi="Century Schoolbook"/>
          <w:b w:val="0"/>
          <w:bCs/>
          <w:szCs w:val="26"/>
        </w:rPr>
        <w:t>(</w:t>
      </w:r>
      <w:r w:rsidR="00264BF4" w:rsidRPr="00621D3A">
        <w:rPr>
          <w:rFonts w:ascii="Century Schoolbook" w:hAnsi="Century Schoolbook"/>
          <w:b w:val="0"/>
          <w:bCs/>
          <w:i/>
          <w:iCs/>
          <w:szCs w:val="26"/>
        </w:rPr>
        <w:t xml:space="preserve">Lafferty, supra, </w:t>
      </w:r>
      <w:r w:rsidR="00264BF4" w:rsidRPr="00621D3A">
        <w:rPr>
          <w:rFonts w:ascii="Century Schoolbook" w:hAnsi="Century Schoolbook"/>
          <w:b w:val="0"/>
          <w:bCs/>
          <w:szCs w:val="26"/>
        </w:rPr>
        <w:t>25</w:t>
      </w:r>
      <w:r w:rsidR="00D409D7">
        <w:rPr>
          <w:rFonts w:ascii="Century Schoolbook" w:hAnsi="Century Schoolbook"/>
          <w:b w:val="0"/>
          <w:bCs/>
          <w:szCs w:val="26"/>
        </w:rPr>
        <w:t> </w:t>
      </w:r>
      <w:r w:rsidR="00264BF4" w:rsidRPr="00621D3A">
        <w:rPr>
          <w:rFonts w:ascii="Century Schoolbook" w:hAnsi="Century Schoolbook"/>
          <w:b w:val="0"/>
          <w:bCs/>
          <w:szCs w:val="26"/>
        </w:rPr>
        <w:t>Cal.App.5</w:t>
      </w:r>
      <w:r w:rsidR="00264BF4">
        <w:rPr>
          <w:rFonts w:ascii="Century Schoolbook" w:hAnsi="Century Schoolbook"/>
          <w:b w:val="0"/>
          <w:bCs/>
          <w:szCs w:val="26"/>
        </w:rPr>
        <w:t xml:space="preserve">th </w:t>
      </w:r>
      <w:r w:rsidR="00264BF4" w:rsidRPr="00621D3A">
        <w:rPr>
          <w:rFonts w:ascii="Century Schoolbook" w:hAnsi="Century Schoolbook"/>
          <w:b w:val="0"/>
          <w:bCs/>
          <w:szCs w:val="26"/>
        </w:rPr>
        <w:t xml:space="preserve">at p. 405; </w:t>
      </w:r>
      <w:r w:rsidR="002E1CDC">
        <w:rPr>
          <w:rFonts w:ascii="Century Schoolbook" w:hAnsi="Century Schoolbook"/>
          <w:b w:val="0"/>
          <w:bCs/>
          <w:i/>
          <w:iCs/>
          <w:szCs w:val="26"/>
        </w:rPr>
        <w:t>ibid.</w:t>
      </w:r>
      <w:r w:rsidR="00264BF4" w:rsidRPr="00621D3A">
        <w:rPr>
          <w:rFonts w:ascii="Century Schoolbook" w:hAnsi="Century Schoolbook"/>
          <w:b w:val="0"/>
          <w:bCs/>
          <w:szCs w:val="26"/>
        </w:rPr>
        <w:t xml:space="preserve"> [“the trial court properly denied the [plaintiffs’] request for attorney fees and nonstatutory costs in excess of their recovery of the amount they actually paid under the loan”].)  </w:t>
      </w:r>
    </w:p>
    <w:p w14:paraId="70A103B1" w14:textId="77777777" w:rsidR="00156394" w:rsidRDefault="00F90A2E" w:rsidP="00F90A2E">
      <w:pPr>
        <w:spacing w:line="288" w:lineRule="auto"/>
        <w:ind w:firstLine="720"/>
        <w:rPr>
          <w:rFonts w:ascii="Century Schoolbook" w:hAnsi="Century Schoolbook"/>
          <w:b w:val="0"/>
          <w:bCs/>
          <w:szCs w:val="26"/>
        </w:rPr>
      </w:pPr>
      <w:r>
        <w:rPr>
          <w:rFonts w:ascii="Century Schoolbook" w:hAnsi="Century Schoolbook"/>
          <w:b w:val="0"/>
          <w:bCs/>
          <w:szCs w:val="26"/>
        </w:rPr>
        <w:t xml:space="preserve">The Legislature promptly passed a statute </w:t>
      </w:r>
      <w:r w:rsidRPr="00F90A2E">
        <w:rPr>
          <w:rFonts w:ascii="Century Schoolbook" w:hAnsi="Century Schoolbook"/>
          <w:b w:val="0"/>
          <w:bCs/>
          <w:szCs w:val="26"/>
        </w:rPr>
        <w:t xml:space="preserve">“to restore California courts’ interpretation of the Holder Rule </w:t>
      </w:r>
      <w:r w:rsidR="00D409D7">
        <w:rPr>
          <w:rFonts w:ascii="Century Schoolbook" w:hAnsi="Century Schoolbook"/>
          <w:b w:val="0"/>
          <w:bCs/>
          <w:szCs w:val="26"/>
        </w:rPr>
        <w:t>. . .</w:t>
      </w:r>
      <w:r w:rsidRPr="00F90A2E">
        <w:rPr>
          <w:rFonts w:ascii="Century Schoolbook" w:hAnsi="Century Schoolbook"/>
          <w:b w:val="0"/>
          <w:bCs/>
          <w:szCs w:val="26"/>
        </w:rPr>
        <w:t xml:space="preserve"> to the meaning it had for more than 40 years until </w:t>
      </w:r>
      <w:r w:rsidR="0093781B">
        <w:rPr>
          <w:rFonts w:ascii="Century Schoolbook" w:hAnsi="Century Schoolbook"/>
          <w:b w:val="0"/>
          <w:bCs/>
          <w:szCs w:val="26"/>
        </w:rPr>
        <w:t xml:space="preserve">[the </w:t>
      </w:r>
      <w:r w:rsidR="0093781B" w:rsidRPr="0093781B">
        <w:rPr>
          <w:rFonts w:ascii="Century Schoolbook" w:hAnsi="Century Schoolbook"/>
          <w:b w:val="0"/>
          <w:bCs/>
          <w:i/>
          <w:iCs/>
          <w:szCs w:val="26"/>
        </w:rPr>
        <w:t>Lafferty</w:t>
      </w:r>
      <w:r w:rsidR="0093781B">
        <w:rPr>
          <w:rFonts w:ascii="Century Schoolbook" w:hAnsi="Century Schoolbook"/>
          <w:b w:val="0"/>
          <w:bCs/>
          <w:szCs w:val="26"/>
        </w:rPr>
        <w:t>]</w:t>
      </w:r>
      <w:r w:rsidRPr="00F90A2E">
        <w:rPr>
          <w:rFonts w:ascii="Century Schoolbook" w:hAnsi="Century Schoolbook"/>
          <w:b w:val="0"/>
          <w:bCs/>
          <w:szCs w:val="26"/>
        </w:rPr>
        <w:t xml:space="preserve"> decision.”  </w:t>
      </w:r>
      <w:r w:rsidRPr="00F90A2E">
        <w:rPr>
          <w:rFonts w:ascii="Century Schoolbook" w:hAnsi="Century Schoolbook"/>
          <w:b w:val="0"/>
          <w:bCs/>
          <w:szCs w:val="26"/>
        </w:rPr>
        <w:lastRenderedPageBreak/>
        <w:t>(Assem. Com. on Judiciary, Analysis of Assem. Bill No. 1821 (2019</w:t>
      </w:r>
      <w:r w:rsidR="00A80E42" w:rsidRPr="001449A2">
        <w:rPr>
          <w:rFonts w:ascii="Century Schoolbook" w:hAnsi="Century Schoolbook"/>
          <w:szCs w:val="26"/>
        </w:rPr>
        <w:t>–</w:t>
      </w:r>
      <w:r w:rsidR="00A80E42">
        <w:rPr>
          <w:rFonts w:ascii="Century Schoolbook" w:hAnsi="Century Schoolbook"/>
          <w:b w:val="0"/>
          <w:bCs/>
          <w:szCs w:val="26"/>
        </w:rPr>
        <w:t>2020 Reg. Sess.)</w:t>
      </w:r>
      <w:r w:rsidRPr="00F90A2E">
        <w:rPr>
          <w:rFonts w:ascii="Century Schoolbook" w:hAnsi="Century Schoolbook"/>
          <w:b w:val="0"/>
          <w:bCs/>
          <w:szCs w:val="26"/>
        </w:rPr>
        <w:t xml:space="preserve"> </w:t>
      </w:r>
      <w:r w:rsidR="00257A5C" w:rsidRPr="00F90A2E">
        <w:rPr>
          <w:rFonts w:ascii="Century Schoolbook" w:hAnsi="Century Schoolbook"/>
          <w:b w:val="0"/>
          <w:bCs/>
          <w:szCs w:val="26"/>
        </w:rPr>
        <w:t>Apr</w:t>
      </w:r>
      <w:r w:rsidR="00257A5C">
        <w:rPr>
          <w:rFonts w:ascii="Century Schoolbook" w:hAnsi="Century Schoolbook"/>
          <w:b w:val="0"/>
          <w:bCs/>
          <w:szCs w:val="26"/>
        </w:rPr>
        <w:t>.</w:t>
      </w:r>
      <w:r w:rsidR="00257A5C" w:rsidRPr="00F90A2E">
        <w:rPr>
          <w:rFonts w:ascii="Century Schoolbook" w:hAnsi="Century Schoolbook"/>
          <w:b w:val="0"/>
          <w:bCs/>
          <w:szCs w:val="26"/>
        </w:rPr>
        <w:t xml:space="preserve"> </w:t>
      </w:r>
      <w:r w:rsidRPr="00F90A2E">
        <w:rPr>
          <w:rFonts w:ascii="Century Schoolbook" w:hAnsi="Century Schoolbook"/>
          <w:b w:val="0"/>
          <w:bCs/>
          <w:szCs w:val="26"/>
        </w:rPr>
        <w:t>9, 2019, p</w:t>
      </w:r>
      <w:r w:rsidR="00A80E42">
        <w:rPr>
          <w:rFonts w:ascii="Century Schoolbook" w:hAnsi="Century Schoolbook"/>
          <w:b w:val="0"/>
          <w:bCs/>
          <w:szCs w:val="26"/>
        </w:rPr>
        <w:t>p</w:t>
      </w:r>
      <w:r w:rsidRPr="00F90A2E">
        <w:rPr>
          <w:rFonts w:ascii="Century Schoolbook" w:hAnsi="Century Schoolbook"/>
          <w:b w:val="0"/>
          <w:bCs/>
          <w:szCs w:val="26"/>
        </w:rPr>
        <w:t>. 1, 3</w:t>
      </w:r>
      <w:r w:rsidR="00A80E42" w:rsidRPr="001449A2">
        <w:rPr>
          <w:rFonts w:ascii="Century Schoolbook" w:hAnsi="Century Schoolbook"/>
          <w:szCs w:val="26"/>
        </w:rPr>
        <w:t>–</w:t>
      </w:r>
      <w:r w:rsidRPr="00F90A2E">
        <w:rPr>
          <w:rFonts w:ascii="Century Schoolbook" w:hAnsi="Century Schoolbook"/>
          <w:b w:val="0"/>
          <w:bCs/>
          <w:szCs w:val="26"/>
        </w:rPr>
        <w:t>6.)</w:t>
      </w:r>
      <w:r w:rsidR="00156394">
        <w:rPr>
          <w:rFonts w:ascii="Century Schoolbook" w:hAnsi="Century Schoolbook"/>
          <w:b w:val="0"/>
          <w:bCs/>
          <w:szCs w:val="26"/>
        </w:rPr>
        <w:t xml:space="preserve">  The </w:t>
      </w:r>
      <w:r w:rsidR="00122A05">
        <w:rPr>
          <w:rFonts w:ascii="Century Schoolbook" w:hAnsi="Century Schoolbook"/>
          <w:b w:val="0"/>
          <w:bCs/>
          <w:szCs w:val="26"/>
        </w:rPr>
        <w:t>legislative</w:t>
      </w:r>
      <w:r w:rsidR="00156394">
        <w:rPr>
          <w:rFonts w:ascii="Century Schoolbook" w:hAnsi="Century Schoolbook"/>
          <w:b w:val="0"/>
          <w:bCs/>
          <w:szCs w:val="26"/>
        </w:rPr>
        <w:t xml:space="preserve"> analysis explains that </w:t>
      </w:r>
      <w:r w:rsidR="00156394" w:rsidRPr="00BC472C">
        <w:rPr>
          <w:rFonts w:ascii="Century Schoolbook" w:hAnsi="Century Schoolbook"/>
          <w:b w:val="0"/>
          <w:bCs/>
          <w:szCs w:val="26"/>
        </w:rPr>
        <w:t>holder</w:t>
      </w:r>
      <w:r w:rsidR="0093781B" w:rsidRPr="00BC472C">
        <w:rPr>
          <w:rFonts w:ascii="Century Schoolbook" w:hAnsi="Century Schoolbook"/>
          <w:b w:val="0"/>
          <w:bCs/>
          <w:szCs w:val="26"/>
        </w:rPr>
        <w:t>-</w:t>
      </w:r>
      <w:r w:rsidR="00156394" w:rsidRPr="00BC472C">
        <w:rPr>
          <w:rFonts w:ascii="Century Schoolbook" w:hAnsi="Century Schoolbook"/>
          <w:b w:val="0"/>
          <w:bCs/>
          <w:szCs w:val="26"/>
        </w:rPr>
        <w:t>rule</w:t>
      </w:r>
      <w:r w:rsidR="00156394">
        <w:rPr>
          <w:rFonts w:ascii="Century Schoolbook" w:hAnsi="Century Schoolbook"/>
          <w:b w:val="0"/>
          <w:bCs/>
          <w:szCs w:val="26"/>
        </w:rPr>
        <w:t xml:space="preserve"> cases “typically settle before trial,”</w:t>
      </w:r>
      <w:r w:rsidR="0031068E">
        <w:rPr>
          <w:rFonts w:ascii="Century Schoolbook" w:hAnsi="Century Schoolbook"/>
          <w:b w:val="0"/>
          <w:bCs/>
          <w:szCs w:val="26"/>
        </w:rPr>
        <w:t xml:space="preserve"> and “the relatively low actual damages against lenders make appeals uneconomical,” so “there are few pre-</w:t>
      </w:r>
      <w:r w:rsidR="0031068E">
        <w:rPr>
          <w:rFonts w:ascii="Century Schoolbook" w:hAnsi="Century Schoolbook"/>
          <w:b w:val="0"/>
          <w:bCs/>
          <w:i/>
          <w:iCs/>
          <w:szCs w:val="26"/>
        </w:rPr>
        <w:t xml:space="preserve">Lafferty </w:t>
      </w:r>
      <w:r w:rsidR="0031068E">
        <w:rPr>
          <w:rFonts w:ascii="Century Schoolbook" w:hAnsi="Century Schoolbook"/>
          <w:b w:val="0"/>
          <w:bCs/>
          <w:szCs w:val="26"/>
        </w:rPr>
        <w:t>California appellate decisions addressing whether attorney’s fees are limited by the Holder Rule.”  (</w:t>
      </w:r>
      <w:r w:rsidR="008E3315">
        <w:rPr>
          <w:rFonts w:ascii="Century Schoolbook" w:hAnsi="Century Schoolbook"/>
          <w:b w:val="0"/>
          <w:bCs/>
          <w:iCs/>
          <w:szCs w:val="26"/>
        </w:rPr>
        <w:t xml:space="preserve">Analysis of Assem. Bill No. 1821, </w:t>
      </w:r>
      <w:r w:rsidR="008E3315">
        <w:rPr>
          <w:rFonts w:ascii="Century Schoolbook" w:hAnsi="Century Schoolbook"/>
          <w:b w:val="0"/>
          <w:bCs/>
          <w:i/>
          <w:iCs/>
          <w:szCs w:val="26"/>
        </w:rPr>
        <w:t xml:space="preserve">supra, </w:t>
      </w:r>
      <w:r w:rsidR="008E3315">
        <w:rPr>
          <w:rFonts w:ascii="Century Schoolbook" w:hAnsi="Century Schoolbook"/>
          <w:b w:val="0"/>
          <w:bCs/>
          <w:iCs/>
          <w:szCs w:val="26"/>
        </w:rPr>
        <w:t>at</w:t>
      </w:r>
      <w:r w:rsidR="0031068E">
        <w:rPr>
          <w:rFonts w:ascii="Century Schoolbook" w:hAnsi="Century Schoolbook"/>
          <w:b w:val="0"/>
          <w:bCs/>
          <w:szCs w:val="26"/>
        </w:rPr>
        <w:t xml:space="preserve"> p. </w:t>
      </w:r>
      <w:r w:rsidR="00CC52D1">
        <w:rPr>
          <w:rFonts w:ascii="Century Schoolbook" w:hAnsi="Century Schoolbook"/>
          <w:b w:val="0"/>
          <w:bCs/>
          <w:szCs w:val="26"/>
        </w:rPr>
        <w:t>4</w:t>
      </w:r>
      <w:r w:rsidR="0031068E">
        <w:rPr>
          <w:rFonts w:ascii="Century Schoolbook" w:hAnsi="Century Schoolbook"/>
          <w:b w:val="0"/>
          <w:bCs/>
          <w:szCs w:val="26"/>
        </w:rPr>
        <w:t>.)  One exception was an unpublished case concluding th</w:t>
      </w:r>
      <w:r w:rsidR="001F5B1F">
        <w:rPr>
          <w:rFonts w:ascii="Century Schoolbook" w:hAnsi="Century Schoolbook"/>
          <w:b w:val="0"/>
          <w:bCs/>
          <w:szCs w:val="26"/>
        </w:rPr>
        <w:t xml:space="preserve">e </w:t>
      </w:r>
      <w:r w:rsidR="001F5B1F" w:rsidRPr="00BC472C">
        <w:rPr>
          <w:rFonts w:ascii="Century Schoolbook" w:hAnsi="Century Schoolbook"/>
          <w:b w:val="0"/>
          <w:bCs/>
          <w:szCs w:val="26"/>
        </w:rPr>
        <w:t>holder</w:t>
      </w:r>
      <w:r w:rsidR="00E74221" w:rsidRPr="00BC472C">
        <w:rPr>
          <w:rFonts w:ascii="Century Schoolbook" w:hAnsi="Century Schoolbook"/>
          <w:b w:val="0"/>
          <w:bCs/>
          <w:szCs w:val="26"/>
        </w:rPr>
        <w:t>-</w:t>
      </w:r>
      <w:r w:rsidR="001F5B1F" w:rsidRPr="00BC472C">
        <w:rPr>
          <w:rFonts w:ascii="Century Schoolbook" w:hAnsi="Century Schoolbook"/>
          <w:b w:val="0"/>
          <w:bCs/>
          <w:szCs w:val="26"/>
        </w:rPr>
        <w:t>rule</w:t>
      </w:r>
      <w:r w:rsidR="001F5B1F">
        <w:rPr>
          <w:rFonts w:ascii="Century Schoolbook" w:hAnsi="Century Schoolbook"/>
          <w:b w:val="0"/>
          <w:bCs/>
          <w:szCs w:val="26"/>
        </w:rPr>
        <w:t xml:space="preserve"> limitation did not apply to attorney fees</w:t>
      </w:r>
      <w:r w:rsidR="00122A05">
        <w:rPr>
          <w:rFonts w:ascii="Century Schoolbook" w:hAnsi="Century Schoolbook"/>
          <w:b w:val="0"/>
          <w:bCs/>
          <w:szCs w:val="26"/>
        </w:rPr>
        <w:t>; t</w:t>
      </w:r>
      <w:r w:rsidR="001F5B1F">
        <w:rPr>
          <w:rFonts w:ascii="Century Schoolbook" w:hAnsi="Century Schoolbook"/>
          <w:b w:val="0"/>
          <w:bCs/>
          <w:szCs w:val="26"/>
        </w:rPr>
        <w:t>he legislative analysis concluded</w:t>
      </w:r>
      <w:r w:rsidR="00122A05">
        <w:rPr>
          <w:rFonts w:ascii="Century Schoolbook" w:hAnsi="Century Schoolbook"/>
          <w:b w:val="0"/>
          <w:bCs/>
          <w:szCs w:val="26"/>
        </w:rPr>
        <w:t xml:space="preserve"> that </w:t>
      </w:r>
      <w:r w:rsidR="009B5365">
        <w:rPr>
          <w:rFonts w:ascii="Century Schoolbook" w:hAnsi="Century Schoolbook"/>
          <w:b w:val="0"/>
          <w:bCs/>
          <w:szCs w:val="26"/>
        </w:rPr>
        <w:t xml:space="preserve">case’s </w:t>
      </w:r>
      <w:r w:rsidR="00122A05">
        <w:rPr>
          <w:rFonts w:ascii="Century Schoolbook" w:hAnsi="Century Schoolbook"/>
          <w:b w:val="0"/>
          <w:bCs/>
          <w:szCs w:val="26"/>
        </w:rPr>
        <w:t>holding “represents the consensus among California courts before 2018:  that the Holder Rule does not cap attorney’s fees, only the plaintiff’s damages.”  (</w:t>
      </w:r>
      <w:r w:rsidR="008E3315">
        <w:rPr>
          <w:rFonts w:ascii="Century Schoolbook" w:hAnsi="Century Schoolbook"/>
          <w:b w:val="0"/>
          <w:bCs/>
          <w:iCs/>
          <w:szCs w:val="26"/>
        </w:rPr>
        <w:t xml:space="preserve">Analysis of Assem. Bill No. 1821, </w:t>
      </w:r>
      <w:r w:rsidR="008E3315">
        <w:rPr>
          <w:rFonts w:ascii="Century Schoolbook" w:hAnsi="Century Schoolbook"/>
          <w:b w:val="0"/>
          <w:bCs/>
          <w:i/>
          <w:iCs/>
          <w:szCs w:val="26"/>
        </w:rPr>
        <w:t xml:space="preserve">supra, </w:t>
      </w:r>
      <w:r w:rsidR="008E3315">
        <w:rPr>
          <w:rFonts w:ascii="Century Schoolbook" w:hAnsi="Century Schoolbook"/>
          <w:b w:val="0"/>
          <w:bCs/>
          <w:iCs/>
          <w:szCs w:val="26"/>
        </w:rPr>
        <w:t>at</w:t>
      </w:r>
      <w:r w:rsidR="008E3315">
        <w:rPr>
          <w:rFonts w:ascii="Century Schoolbook" w:hAnsi="Century Schoolbook"/>
          <w:b w:val="0"/>
          <w:bCs/>
          <w:szCs w:val="26"/>
        </w:rPr>
        <w:t xml:space="preserve"> </w:t>
      </w:r>
      <w:r w:rsidR="00122A05" w:rsidRPr="00257A5C">
        <w:rPr>
          <w:rFonts w:ascii="Century Schoolbook" w:hAnsi="Century Schoolbook"/>
          <w:b w:val="0"/>
          <w:bCs/>
        </w:rPr>
        <w:t xml:space="preserve">p. </w:t>
      </w:r>
      <w:r w:rsidR="00A834E6" w:rsidRPr="00257A5C">
        <w:rPr>
          <w:rFonts w:ascii="Century Schoolbook" w:hAnsi="Century Schoolbook"/>
          <w:b w:val="0"/>
          <w:bCs/>
        </w:rPr>
        <w:t>5</w:t>
      </w:r>
      <w:r w:rsidR="00122A05" w:rsidRPr="00257A5C">
        <w:rPr>
          <w:rFonts w:ascii="Century Schoolbook" w:hAnsi="Century Schoolbook"/>
          <w:b w:val="0"/>
          <w:bCs/>
        </w:rPr>
        <w:t>.)</w:t>
      </w:r>
      <w:r w:rsidR="00122A05">
        <w:rPr>
          <w:b w:val="0"/>
          <w:bCs/>
        </w:rPr>
        <w:t xml:space="preserve">  </w:t>
      </w:r>
      <w:r w:rsidRPr="00F90A2E">
        <w:rPr>
          <w:rFonts w:ascii="Century Schoolbook" w:hAnsi="Century Schoolbook"/>
          <w:b w:val="0"/>
          <w:bCs/>
          <w:szCs w:val="26"/>
        </w:rPr>
        <w:t xml:space="preserve">  </w:t>
      </w:r>
    </w:p>
    <w:p w14:paraId="6C179868" w14:textId="77777777" w:rsidR="00F90A2E" w:rsidRPr="00F90A2E" w:rsidRDefault="00122A05" w:rsidP="00F90A2E">
      <w:pPr>
        <w:spacing w:line="288" w:lineRule="auto"/>
        <w:ind w:firstLine="720"/>
        <w:rPr>
          <w:rFonts w:ascii="Century Schoolbook" w:hAnsi="Century Schoolbook"/>
          <w:b w:val="0"/>
          <w:bCs/>
          <w:szCs w:val="26"/>
        </w:rPr>
      </w:pPr>
      <w:r>
        <w:rPr>
          <w:rFonts w:ascii="Century Schoolbook" w:hAnsi="Century Schoolbook"/>
          <w:b w:val="0"/>
          <w:bCs/>
          <w:szCs w:val="26"/>
        </w:rPr>
        <w:t xml:space="preserve">Assembly Bill No. 1821 </w:t>
      </w:r>
      <w:r w:rsidR="00F90A2E" w:rsidRPr="00F90A2E">
        <w:rPr>
          <w:rFonts w:ascii="Century Schoolbook" w:hAnsi="Century Schoolbook"/>
          <w:b w:val="0"/>
          <w:bCs/>
          <w:szCs w:val="26"/>
        </w:rPr>
        <w:t xml:space="preserve">became law and went into effect on January 1, 2020. </w:t>
      </w:r>
      <w:r w:rsidR="00FC2C79">
        <w:rPr>
          <w:rFonts w:ascii="Century Schoolbook" w:hAnsi="Century Schoolbook"/>
          <w:b w:val="0"/>
          <w:bCs/>
          <w:szCs w:val="26"/>
        </w:rPr>
        <w:t xml:space="preserve"> </w:t>
      </w:r>
      <w:r w:rsidR="00F90A2E" w:rsidRPr="00F90A2E">
        <w:rPr>
          <w:rFonts w:ascii="Century Schoolbook" w:hAnsi="Century Schoolbook"/>
          <w:b w:val="0"/>
          <w:bCs/>
          <w:szCs w:val="26"/>
        </w:rPr>
        <w:t xml:space="preserve">It is codified as Civil Code section 1459.5 and states: </w:t>
      </w:r>
      <w:r>
        <w:rPr>
          <w:rFonts w:ascii="Century Schoolbook" w:hAnsi="Century Schoolbook"/>
          <w:b w:val="0"/>
          <w:bCs/>
          <w:szCs w:val="26"/>
        </w:rPr>
        <w:t xml:space="preserve"> </w:t>
      </w:r>
      <w:r w:rsidR="00F90A2E" w:rsidRPr="00F90A2E">
        <w:rPr>
          <w:rFonts w:ascii="Century Schoolbook" w:hAnsi="Century Schoolbook"/>
          <w:b w:val="0"/>
          <w:bCs/>
          <w:szCs w:val="26"/>
        </w:rPr>
        <w:t>“A plaintiff who prevails on a cause of action against a defendant named pursuant to Part 433 of Title 16 of the Code of Federal Regulations or any successor thereto, or pursuant to the contractual language required by that part or any successor thereto, may claim attorney’s fees, costs, and expenses from that defendant to the fullest extent permissible if the plaintiff had prevailed on that cause of action against the seller.”</w:t>
      </w:r>
      <w:r w:rsidR="00CE36C6">
        <w:rPr>
          <w:rFonts w:ascii="Century Schoolbook" w:hAnsi="Century Schoolbook"/>
          <w:b w:val="0"/>
          <w:bCs/>
          <w:szCs w:val="26"/>
        </w:rPr>
        <w:t xml:space="preserve">  </w:t>
      </w:r>
      <w:r w:rsidR="00FC2C79">
        <w:rPr>
          <w:rFonts w:ascii="Century Schoolbook" w:hAnsi="Century Schoolbook"/>
          <w:b w:val="0"/>
          <w:bCs/>
          <w:szCs w:val="26"/>
        </w:rPr>
        <w:t>(</w:t>
      </w:r>
      <w:r w:rsidR="00DB687E">
        <w:rPr>
          <w:rFonts w:ascii="Century Schoolbook" w:hAnsi="Century Schoolbook"/>
          <w:b w:val="0"/>
          <w:bCs/>
          <w:szCs w:val="26"/>
        </w:rPr>
        <w:t xml:space="preserve">Stats. 2019, ch. 116, </w:t>
      </w:r>
      <w:r w:rsidR="00DB687E" w:rsidRPr="00621D3A">
        <w:rPr>
          <w:rFonts w:ascii="Century Schoolbook" w:hAnsi="Century Schoolbook"/>
          <w:b w:val="0"/>
          <w:bCs/>
          <w:szCs w:val="26"/>
        </w:rPr>
        <w:t>§</w:t>
      </w:r>
      <w:r w:rsidR="00DB687E">
        <w:rPr>
          <w:rFonts w:ascii="Century Schoolbook" w:hAnsi="Century Schoolbook"/>
          <w:b w:val="0"/>
          <w:bCs/>
          <w:szCs w:val="26"/>
        </w:rPr>
        <w:t xml:space="preserve"> 1, a</w:t>
      </w:r>
      <w:r w:rsidR="00FC2C79">
        <w:rPr>
          <w:rFonts w:ascii="Century Schoolbook" w:hAnsi="Century Schoolbook"/>
          <w:b w:val="0"/>
          <w:bCs/>
          <w:szCs w:val="26"/>
        </w:rPr>
        <w:t xml:space="preserve">s amended by Stats. 2020, ch. 370, </w:t>
      </w:r>
      <w:r w:rsidR="00FC2C79" w:rsidRPr="00621D3A">
        <w:rPr>
          <w:rFonts w:ascii="Century Schoolbook" w:hAnsi="Century Schoolbook"/>
          <w:b w:val="0"/>
          <w:bCs/>
          <w:szCs w:val="26"/>
        </w:rPr>
        <w:t>§</w:t>
      </w:r>
      <w:r w:rsidR="00FC2C79">
        <w:rPr>
          <w:rFonts w:ascii="Century Schoolbook" w:hAnsi="Century Schoolbook"/>
          <w:b w:val="0"/>
          <w:bCs/>
          <w:szCs w:val="26"/>
        </w:rPr>
        <w:t xml:space="preserve"> 28.) </w:t>
      </w:r>
    </w:p>
    <w:p w14:paraId="603EB867" w14:textId="77777777" w:rsidR="0042199F" w:rsidRDefault="00122A05" w:rsidP="00857174">
      <w:pPr>
        <w:spacing w:line="288" w:lineRule="auto"/>
        <w:ind w:firstLine="720"/>
        <w:rPr>
          <w:rFonts w:ascii="Century Schoolbook" w:hAnsi="Century Schoolbook"/>
          <w:b w:val="0"/>
          <w:bCs/>
          <w:szCs w:val="26"/>
        </w:rPr>
      </w:pPr>
      <w:r>
        <w:rPr>
          <w:rFonts w:ascii="Century Schoolbook" w:hAnsi="Century Schoolbook"/>
          <w:b w:val="0"/>
          <w:bCs/>
          <w:szCs w:val="26"/>
        </w:rPr>
        <w:t xml:space="preserve">Meanwhile, </w:t>
      </w:r>
      <w:r w:rsidR="00857174">
        <w:rPr>
          <w:rFonts w:ascii="Century Schoolbook" w:hAnsi="Century Schoolbook"/>
          <w:b w:val="0"/>
          <w:bCs/>
          <w:szCs w:val="26"/>
        </w:rPr>
        <w:t>i</w:t>
      </w:r>
      <w:r w:rsidR="00857174" w:rsidRPr="00857174">
        <w:rPr>
          <w:rFonts w:ascii="Century Schoolbook" w:hAnsi="Century Schoolbook"/>
          <w:b w:val="0"/>
          <w:bCs/>
          <w:szCs w:val="26"/>
        </w:rPr>
        <w:t xml:space="preserve">n other states, some courts found the holder rule’s cap </w:t>
      </w:r>
      <w:r w:rsidR="005B56FB">
        <w:rPr>
          <w:rFonts w:ascii="Century Schoolbook" w:hAnsi="Century Schoolbook"/>
          <w:b w:val="0"/>
          <w:bCs/>
          <w:szCs w:val="26"/>
        </w:rPr>
        <w:t>precluded recovery of</w:t>
      </w:r>
      <w:r w:rsidR="00857174" w:rsidRPr="00857174">
        <w:rPr>
          <w:rFonts w:ascii="Century Schoolbook" w:hAnsi="Century Schoolbook"/>
          <w:b w:val="0"/>
          <w:bCs/>
          <w:szCs w:val="26"/>
        </w:rPr>
        <w:t xml:space="preserve"> attorney fees, others found it did not, and other</w:t>
      </w:r>
      <w:r w:rsidR="003E3585">
        <w:rPr>
          <w:rFonts w:ascii="Century Schoolbook" w:hAnsi="Century Schoolbook"/>
          <w:b w:val="0"/>
          <w:bCs/>
          <w:szCs w:val="26"/>
        </w:rPr>
        <w:t>s</w:t>
      </w:r>
      <w:r w:rsidR="00857174" w:rsidRPr="00857174">
        <w:rPr>
          <w:rFonts w:ascii="Century Schoolbook" w:hAnsi="Century Schoolbook"/>
          <w:b w:val="0"/>
          <w:bCs/>
          <w:szCs w:val="26"/>
        </w:rPr>
        <w:t xml:space="preserve"> imposed attorney fees on holders without addressing the issue.  (See </w:t>
      </w:r>
      <w:r w:rsidR="00857174" w:rsidRPr="00857174">
        <w:rPr>
          <w:rFonts w:ascii="Century Schoolbook" w:hAnsi="Century Schoolbook"/>
          <w:b w:val="0"/>
          <w:bCs/>
          <w:i/>
          <w:iCs/>
          <w:szCs w:val="26"/>
        </w:rPr>
        <w:t xml:space="preserve">Pulliam, supra, </w:t>
      </w:r>
      <w:r w:rsidR="00857174" w:rsidRPr="00857174">
        <w:rPr>
          <w:rFonts w:ascii="Century Schoolbook" w:hAnsi="Century Schoolbook"/>
          <w:b w:val="0"/>
          <w:bCs/>
          <w:szCs w:val="26"/>
        </w:rPr>
        <w:t>60 Cal.App.5</w:t>
      </w:r>
      <w:r w:rsidR="00857174">
        <w:rPr>
          <w:rFonts w:ascii="Century Schoolbook" w:hAnsi="Century Schoolbook"/>
          <w:b w:val="0"/>
          <w:bCs/>
          <w:szCs w:val="26"/>
        </w:rPr>
        <w:t xml:space="preserve">th </w:t>
      </w:r>
      <w:r w:rsidR="00857174" w:rsidRPr="00857174">
        <w:rPr>
          <w:rFonts w:ascii="Century Schoolbook" w:hAnsi="Century Schoolbook"/>
          <w:b w:val="0"/>
          <w:bCs/>
          <w:szCs w:val="26"/>
        </w:rPr>
        <w:t>at p. 411 (citing cases).)</w:t>
      </w:r>
    </w:p>
    <w:p w14:paraId="6135338A" w14:textId="77777777" w:rsidR="0042199F" w:rsidRDefault="0093781B" w:rsidP="0042199F">
      <w:pPr>
        <w:spacing w:line="288" w:lineRule="auto"/>
        <w:ind w:firstLine="720"/>
        <w:rPr>
          <w:rFonts w:ascii="Century Schoolbook" w:hAnsi="Century Schoolbook"/>
          <w:b w:val="0"/>
          <w:bCs/>
          <w:szCs w:val="26"/>
        </w:rPr>
      </w:pPr>
      <w:r>
        <w:rPr>
          <w:rFonts w:ascii="Century Schoolbook" w:hAnsi="Century Schoolbook"/>
          <w:b w:val="0"/>
          <w:bCs/>
          <w:szCs w:val="26"/>
        </w:rPr>
        <w:t>Also, in</w:t>
      </w:r>
      <w:r w:rsidR="00857174">
        <w:rPr>
          <w:rFonts w:ascii="Century Schoolbook" w:hAnsi="Century Schoolbook"/>
          <w:b w:val="0"/>
          <w:bCs/>
          <w:szCs w:val="26"/>
        </w:rPr>
        <w:t xml:space="preserve"> </w:t>
      </w:r>
      <w:r w:rsidR="00C25203">
        <w:rPr>
          <w:rFonts w:ascii="Century Schoolbook" w:hAnsi="Century Schoolbook"/>
          <w:b w:val="0"/>
          <w:bCs/>
          <w:szCs w:val="26"/>
        </w:rPr>
        <w:t xml:space="preserve">December </w:t>
      </w:r>
      <w:r w:rsidR="00857174">
        <w:rPr>
          <w:rFonts w:ascii="Century Schoolbook" w:hAnsi="Century Schoolbook"/>
          <w:b w:val="0"/>
          <w:bCs/>
          <w:szCs w:val="26"/>
        </w:rPr>
        <w:t>2015 the</w:t>
      </w:r>
      <w:r w:rsidR="00857174" w:rsidRPr="00857174">
        <w:rPr>
          <w:rFonts w:ascii="Century Schoolbook" w:hAnsi="Century Schoolbook"/>
          <w:b w:val="0"/>
          <w:bCs/>
          <w:szCs w:val="26"/>
        </w:rPr>
        <w:t xml:space="preserve"> FTC requested comments on “the overall costs and benefits, and regulatory and economic impact, of </w:t>
      </w:r>
      <w:r w:rsidR="00D409D7">
        <w:rPr>
          <w:rFonts w:ascii="Century Schoolbook" w:hAnsi="Century Schoolbook"/>
          <w:b w:val="0"/>
          <w:bCs/>
          <w:szCs w:val="26"/>
        </w:rPr>
        <w:t>.</w:t>
      </w:r>
      <w:r w:rsidR="00A80E42">
        <w:rPr>
          <w:rFonts w:ascii="Century Schoolbook" w:hAnsi="Century Schoolbook"/>
          <w:b w:val="0"/>
          <w:bCs/>
          <w:szCs w:val="26"/>
        </w:rPr>
        <w:t> </w:t>
      </w:r>
      <w:r w:rsidR="00D409D7">
        <w:rPr>
          <w:rFonts w:ascii="Century Schoolbook" w:hAnsi="Century Schoolbook"/>
          <w:b w:val="0"/>
          <w:bCs/>
          <w:szCs w:val="26"/>
        </w:rPr>
        <w:t>.</w:t>
      </w:r>
      <w:r w:rsidR="00A80E42">
        <w:rPr>
          <w:rFonts w:ascii="Century Schoolbook" w:hAnsi="Century Schoolbook"/>
          <w:b w:val="0"/>
          <w:bCs/>
          <w:szCs w:val="26"/>
        </w:rPr>
        <w:t> </w:t>
      </w:r>
      <w:r w:rsidR="00D409D7">
        <w:rPr>
          <w:rFonts w:ascii="Century Schoolbook" w:hAnsi="Century Schoolbook"/>
          <w:b w:val="0"/>
          <w:bCs/>
          <w:szCs w:val="26"/>
        </w:rPr>
        <w:t xml:space="preserve">. </w:t>
      </w:r>
      <w:r w:rsidR="00857174" w:rsidRPr="00857174">
        <w:rPr>
          <w:rFonts w:ascii="Century Schoolbook" w:hAnsi="Century Schoolbook"/>
          <w:b w:val="0"/>
          <w:bCs/>
          <w:szCs w:val="26"/>
        </w:rPr>
        <w:t xml:space="preserve">the ‘Holder Rule,’ as part of the agency’s regular review of all its </w:t>
      </w:r>
      <w:r w:rsidR="00857174" w:rsidRPr="00857174">
        <w:rPr>
          <w:rFonts w:ascii="Century Schoolbook" w:hAnsi="Century Schoolbook"/>
          <w:b w:val="0"/>
          <w:bCs/>
          <w:szCs w:val="26"/>
        </w:rPr>
        <w:lastRenderedPageBreak/>
        <w:t xml:space="preserve">regulations and guides.”  (80 Fed.Reg. 75018 </w:t>
      </w:r>
      <w:r w:rsidR="00CC3043">
        <w:rPr>
          <w:rFonts w:ascii="Century Schoolbook" w:hAnsi="Century Schoolbook"/>
          <w:b w:val="0"/>
          <w:bCs/>
          <w:szCs w:val="26"/>
        </w:rPr>
        <w:t>(</w:t>
      </w:r>
      <w:r w:rsidR="00857174" w:rsidRPr="00857174">
        <w:rPr>
          <w:rFonts w:ascii="Century Schoolbook" w:hAnsi="Century Schoolbook"/>
          <w:b w:val="0"/>
          <w:bCs/>
          <w:szCs w:val="26"/>
        </w:rPr>
        <w:t>Dec. 1, 2015</w:t>
      </w:r>
      <w:r w:rsidR="00CC3043">
        <w:rPr>
          <w:rFonts w:ascii="Century Schoolbook" w:hAnsi="Century Schoolbook"/>
          <w:b w:val="0"/>
          <w:bCs/>
          <w:szCs w:val="26"/>
        </w:rPr>
        <w:t>)</w:t>
      </w:r>
      <w:r w:rsidR="00857174" w:rsidRPr="00857174">
        <w:rPr>
          <w:rFonts w:ascii="Century Schoolbook" w:hAnsi="Century Schoolbook"/>
          <w:b w:val="0"/>
          <w:bCs/>
          <w:szCs w:val="26"/>
        </w:rPr>
        <w:t>.)</w:t>
      </w:r>
      <w:r w:rsidR="0042199F">
        <w:rPr>
          <w:rFonts w:ascii="Century Schoolbook" w:hAnsi="Century Schoolbook"/>
          <w:b w:val="0"/>
          <w:bCs/>
          <w:szCs w:val="26"/>
        </w:rPr>
        <w:t xml:space="preserve">  </w:t>
      </w:r>
      <w:r w:rsidR="00C25203">
        <w:rPr>
          <w:rFonts w:ascii="Century Schoolbook" w:hAnsi="Century Schoolbook"/>
          <w:b w:val="0"/>
          <w:bCs/>
          <w:szCs w:val="26"/>
        </w:rPr>
        <w:t>In May</w:t>
      </w:r>
      <w:r w:rsidR="00D409D7">
        <w:rPr>
          <w:rFonts w:ascii="Century Schoolbook" w:hAnsi="Century Schoolbook"/>
          <w:b w:val="0"/>
          <w:bCs/>
          <w:szCs w:val="26"/>
        </w:rPr>
        <w:t> </w:t>
      </w:r>
      <w:r w:rsidR="0042199F" w:rsidRPr="0042199F">
        <w:rPr>
          <w:rFonts w:ascii="Century Schoolbook" w:hAnsi="Century Schoolbook"/>
          <w:b w:val="0"/>
          <w:bCs/>
          <w:szCs w:val="26"/>
        </w:rPr>
        <w:t xml:space="preserve">2019, the FTC completed </w:t>
      </w:r>
      <w:r w:rsidR="0042199F">
        <w:rPr>
          <w:rFonts w:ascii="Century Schoolbook" w:hAnsi="Century Schoolbook"/>
          <w:b w:val="0"/>
          <w:bCs/>
          <w:szCs w:val="26"/>
        </w:rPr>
        <w:t xml:space="preserve">its </w:t>
      </w:r>
      <w:r w:rsidR="0042199F" w:rsidRPr="0042199F">
        <w:rPr>
          <w:rFonts w:ascii="Century Schoolbook" w:hAnsi="Century Schoolbook"/>
          <w:b w:val="0"/>
          <w:bCs/>
          <w:szCs w:val="26"/>
        </w:rPr>
        <w:t>regulatory review</w:t>
      </w:r>
      <w:r w:rsidR="0042199F">
        <w:rPr>
          <w:rFonts w:ascii="Century Schoolbook" w:hAnsi="Century Schoolbook"/>
          <w:b w:val="0"/>
          <w:bCs/>
          <w:szCs w:val="26"/>
        </w:rPr>
        <w:t>,</w:t>
      </w:r>
      <w:r w:rsidR="0042199F" w:rsidRPr="0042199F">
        <w:rPr>
          <w:rFonts w:ascii="Century Schoolbook" w:hAnsi="Century Schoolbook"/>
          <w:b w:val="0"/>
          <w:bCs/>
          <w:szCs w:val="26"/>
        </w:rPr>
        <w:t xml:space="preserve"> and determined to retain the holder rule in its present form.</w:t>
      </w:r>
      <w:r w:rsidR="0042199F">
        <w:rPr>
          <w:rFonts w:ascii="Century Schoolbook" w:hAnsi="Century Schoolbook"/>
          <w:b w:val="0"/>
          <w:bCs/>
          <w:szCs w:val="26"/>
        </w:rPr>
        <w:t xml:space="preserve">  </w:t>
      </w:r>
      <w:r w:rsidR="0042199F" w:rsidRPr="0042199F">
        <w:rPr>
          <w:rFonts w:ascii="Century Schoolbook" w:hAnsi="Century Schoolbook"/>
          <w:b w:val="0"/>
          <w:bCs/>
          <w:szCs w:val="26"/>
        </w:rPr>
        <w:t>(84</w:t>
      </w:r>
      <w:r w:rsidR="00D409D7">
        <w:rPr>
          <w:rFonts w:ascii="Century Schoolbook" w:hAnsi="Century Schoolbook"/>
          <w:b w:val="0"/>
          <w:bCs/>
          <w:szCs w:val="26"/>
        </w:rPr>
        <w:t> </w:t>
      </w:r>
      <w:r w:rsidR="0042199F" w:rsidRPr="0042199F">
        <w:rPr>
          <w:rFonts w:ascii="Century Schoolbook" w:hAnsi="Century Schoolbook"/>
          <w:b w:val="0"/>
          <w:bCs/>
          <w:szCs w:val="26"/>
        </w:rPr>
        <w:t>Fed.Reg. 18711</w:t>
      </w:r>
      <w:r w:rsidR="00C25203">
        <w:rPr>
          <w:rFonts w:ascii="Century Schoolbook" w:hAnsi="Century Schoolbook"/>
          <w:b w:val="0"/>
          <w:bCs/>
          <w:szCs w:val="26"/>
        </w:rPr>
        <w:t xml:space="preserve"> </w:t>
      </w:r>
      <w:r w:rsidR="00CC3043">
        <w:rPr>
          <w:rFonts w:ascii="Century Schoolbook" w:hAnsi="Century Schoolbook"/>
          <w:b w:val="0"/>
          <w:bCs/>
          <w:szCs w:val="26"/>
        </w:rPr>
        <w:t>(</w:t>
      </w:r>
      <w:r w:rsidR="00C25203">
        <w:rPr>
          <w:rFonts w:ascii="Century Schoolbook" w:hAnsi="Century Schoolbook"/>
          <w:b w:val="0"/>
          <w:bCs/>
          <w:szCs w:val="26"/>
        </w:rPr>
        <w:t>May</w:t>
      </w:r>
      <w:r w:rsidR="00D409D7">
        <w:rPr>
          <w:rFonts w:ascii="Century Schoolbook" w:hAnsi="Century Schoolbook"/>
          <w:b w:val="0"/>
          <w:bCs/>
          <w:szCs w:val="26"/>
        </w:rPr>
        <w:t> </w:t>
      </w:r>
      <w:r w:rsidR="00C25203">
        <w:rPr>
          <w:rFonts w:ascii="Century Schoolbook" w:hAnsi="Century Schoolbook"/>
          <w:b w:val="0"/>
          <w:bCs/>
          <w:szCs w:val="26"/>
        </w:rPr>
        <w:t>2, 2019</w:t>
      </w:r>
      <w:r w:rsidR="00CC3043">
        <w:rPr>
          <w:rFonts w:ascii="Century Schoolbook" w:hAnsi="Century Schoolbook"/>
          <w:b w:val="0"/>
          <w:bCs/>
          <w:szCs w:val="26"/>
        </w:rPr>
        <w:t>)</w:t>
      </w:r>
      <w:r w:rsidR="0042199F" w:rsidRPr="0042199F">
        <w:rPr>
          <w:rFonts w:ascii="Century Schoolbook" w:hAnsi="Century Schoolbook"/>
          <w:b w:val="0"/>
          <w:bCs/>
          <w:szCs w:val="26"/>
        </w:rPr>
        <w:t>.)  In issuing its “</w:t>
      </w:r>
      <w:r w:rsidR="009B6C92">
        <w:rPr>
          <w:rFonts w:ascii="Century Schoolbook" w:hAnsi="Century Schoolbook"/>
          <w:b w:val="0"/>
          <w:bCs/>
          <w:szCs w:val="26"/>
        </w:rPr>
        <w:t>[</w:t>
      </w:r>
      <w:r w:rsidR="0042199F" w:rsidRPr="0042199F">
        <w:rPr>
          <w:rFonts w:ascii="Century Schoolbook" w:hAnsi="Century Schoolbook"/>
          <w:b w:val="0"/>
          <w:bCs/>
          <w:szCs w:val="26"/>
        </w:rPr>
        <w:t>c</w:t>
      </w:r>
      <w:r w:rsidR="009B6C92">
        <w:rPr>
          <w:rFonts w:ascii="Century Schoolbook" w:hAnsi="Century Schoolbook"/>
          <w:b w:val="0"/>
          <w:bCs/>
          <w:szCs w:val="26"/>
        </w:rPr>
        <w:t>]</w:t>
      </w:r>
      <w:r w:rsidR="0042199F" w:rsidRPr="0042199F">
        <w:rPr>
          <w:rFonts w:ascii="Century Schoolbook" w:hAnsi="Century Schoolbook"/>
          <w:b w:val="0"/>
          <w:bCs/>
          <w:szCs w:val="26"/>
        </w:rPr>
        <w:t xml:space="preserve">onfirmation of rule,” among other things the FTC discussed six comments it received addressing “whether the Rule’s limitation on recovery to ‘amounts paid by the debtor’ allows or should allow consumers to recover attorneys’ fees above that cap.”  </w:t>
      </w:r>
      <w:r w:rsidR="009B6C92">
        <w:rPr>
          <w:rFonts w:ascii="Century Schoolbook" w:hAnsi="Century Schoolbook"/>
          <w:b w:val="0"/>
          <w:bCs/>
          <w:szCs w:val="26"/>
        </w:rPr>
        <w:t>(</w:t>
      </w:r>
      <w:r w:rsidR="00DC019C">
        <w:rPr>
          <w:rFonts w:ascii="Century Schoolbook" w:hAnsi="Century Schoolbook"/>
          <w:b w:val="0"/>
          <w:bCs/>
          <w:i/>
          <w:szCs w:val="26"/>
        </w:rPr>
        <w:t>I</w:t>
      </w:r>
      <w:r w:rsidR="009B6C92">
        <w:rPr>
          <w:rFonts w:ascii="Century Schoolbook" w:hAnsi="Century Schoolbook"/>
          <w:b w:val="0"/>
          <w:bCs/>
          <w:i/>
          <w:szCs w:val="26"/>
        </w:rPr>
        <w:t xml:space="preserve">d. </w:t>
      </w:r>
      <w:r w:rsidR="009B6C92">
        <w:rPr>
          <w:rFonts w:ascii="Century Schoolbook" w:hAnsi="Century Schoolbook"/>
          <w:b w:val="0"/>
          <w:bCs/>
          <w:szCs w:val="26"/>
        </w:rPr>
        <w:t xml:space="preserve">at p. 18713.)  </w:t>
      </w:r>
      <w:r w:rsidR="0042199F" w:rsidRPr="0042199F">
        <w:rPr>
          <w:rFonts w:ascii="Century Schoolbook" w:hAnsi="Century Schoolbook"/>
          <w:b w:val="0"/>
          <w:bCs/>
          <w:szCs w:val="26"/>
        </w:rPr>
        <w:t>The FTC stated:  “Four comments supported having no cap on recovery of attorneys’ fees, while one opposed it and one proposed a set fee schedule in some circumstances.  According to the comments, some courts have permitted fees above the cap, while others have not.”  (</w:t>
      </w:r>
      <w:r w:rsidR="00C25203">
        <w:rPr>
          <w:rFonts w:ascii="Century Schoolbook" w:hAnsi="Century Schoolbook"/>
          <w:b w:val="0"/>
          <w:bCs/>
          <w:i/>
          <w:iCs/>
          <w:szCs w:val="26"/>
        </w:rPr>
        <w:t>Id.</w:t>
      </w:r>
      <w:r w:rsidR="00C25203">
        <w:rPr>
          <w:rFonts w:ascii="Century Schoolbook" w:hAnsi="Century Schoolbook"/>
          <w:b w:val="0"/>
          <w:bCs/>
          <w:szCs w:val="26"/>
        </w:rPr>
        <w:t xml:space="preserve"> at p.</w:t>
      </w:r>
      <w:r w:rsidR="00D409D7">
        <w:rPr>
          <w:rFonts w:ascii="Century Schoolbook" w:hAnsi="Century Schoolbook"/>
          <w:b w:val="0"/>
          <w:bCs/>
          <w:szCs w:val="26"/>
        </w:rPr>
        <w:t> </w:t>
      </w:r>
      <w:r w:rsidR="0042199F" w:rsidRPr="0042199F">
        <w:rPr>
          <w:rFonts w:ascii="Century Schoolbook" w:hAnsi="Century Schoolbook"/>
          <w:b w:val="0"/>
          <w:bCs/>
          <w:szCs w:val="26"/>
        </w:rPr>
        <w:t>18713</w:t>
      </w:r>
      <w:r w:rsidR="006265CC">
        <w:rPr>
          <w:rFonts w:ascii="Century Schoolbook" w:hAnsi="Century Schoolbook"/>
          <w:b w:val="0"/>
          <w:bCs/>
          <w:szCs w:val="26"/>
        </w:rPr>
        <w:t>, fn. omitted</w:t>
      </w:r>
      <w:r w:rsidR="00C25203">
        <w:rPr>
          <w:rFonts w:ascii="Century Schoolbook" w:hAnsi="Century Schoolbook"/>
          <w:b w:val="0"/>
          <w:bCs/>
          <w:szCs w:val="26"/>
        </w:rPr>
        <w:t>.)</w:t>
      </w:r>
      <w:r w:rsidR="0042199F" w:rsidRPr="0042199F">
        <w:rPr>
          <w:rFonts w:ascii="Century Schoolbook" w:hAnsi="Century Schoolbook"/>
          <w:b w:val="0"/>
          <w:bCs/>
          <w:szCs w:val="26"/>
        </w:rPr>
        <w:t xml:space="preserve">  </w:t>
      </w:r>
    </w:p>
    <w:p w14:paraId="51071318" w14:textId="77777777" w:rsidR="0042199F" w:rsidRDefault="0042199F" w:rsidP="00346458">
      <w:pPr>
        <w:spacing w:line="288" w:lineRule="auto"/>
        <w:ind w:firstLine="720"/>
        <w:rPr>
          <w:rFonts w:ascii="Century Schoolbook" w:hAnsi="Century Schoolbook"/>
          <w:b w:val="0"/>
          <w:bCs/>
          <w:szCs w:val="26"/>
        </w:rPr>
      </w:pPr>
      <w:r w:rsidRPr="0042199F">
        <w:rPr>
          <w:rFonts w:ascii="Century Schoolbook" w:hAnsi="Century Schoolbook"/>
          <w:b w:val="0"/>
          <w:bCs/>
          <w:szCs w:val="26"/>
        </w:rPr>
        <w:t>After describing the comments</w:t>
      </w:r>
      <w:r>
        <w:rPr>
          <w:rFonts w:ascii="Century Schoolbook" w:hAnsi="Century Schoolbook"/>
          <w:b w:val="0"/>
          <w:bCs/>
          <w:szCs w:val="26"/>
        </w:rPr>
        <w:t xml:space="preserve"> and its view of the rule</w:t>
      </w:r>
      <w:r w:rsidRPr="0042199F">
        <w:rPr>
          <w:rFonts w:ascii="Century Schoolbook" w:hAnsi="Century Schoolbook"/>
          <w:b w:val="0"/>
          <w:bCs/>
          <w:szCs w:val="26"/>
        </w:rPr>
        <w:t xml:space="preserve">, the FTC </w:t>
      </w:r>
      <w:r w:rsidR="00346458">
        <w:rPr>
          <w:rFonts w:ascii="Century Schoolbook" w:hAnsi="Century Schoolbook"/>
          <w:b w:val="0"/>
          <w:bCs/>
          <w:szCs w:val="26"/>
        </w:rPr>
        <w:t>s</w:t>
      </w:r>
      <w:r w:rsidR="009B5365">
        <w:rPr>
          <w:rFonts w:ascii="Century Schoolbook" w:hAnsi="Century Schoolbook"/>
          <w:b w:val="0"/>
          <w:bCs/>
          <w:szCs w:val="26"/>
        </w:rPr>
        <w:t>ummarized</w:t>
      </w:r>
      <w:r w:rsidRPr="0042199F">
        <w:rPr>
          <w:rFonts w:ascii="Century Schoolbook" w:hAnsi="Century Schoolbook"/>
          <w:b w:val="0"/>
          <w:bCs/>
          <w:szCs w:val="26"/>
        </w:rPr>
        <w:t>:</w:t>
      </w:r>
      <w:r>
        <w:rPr>
          <w:rFonts w:ascii="Century Schoolbook" w:hAnsi="Century Schoolbook"/>
          <w:b w:val="0"/>
          <w:bCs/>
          <w:szCs w:val="26"/>
        </w:rPr>
        <w:t xml:space="preserve">  </w:t>
      </w:r>
      <w:r w:rsidR="00346458">
        <w:rPr>
          <w:rFonts w:ascii="Century Schoolbook" w:hAnsi="Century Schoolbook"/>
          <w:b w:val="0"/>
          <w:bCs/>
          <w:szCs w:val="26"/>
        </w:rPr>
        <w:t>“</w:t>
      </w:r>
      <w:r w:rsidRPr="0042199F">
        <w:rPr>
          <w:rFonts w:ascii="Century Schoolbook" w:hAnsi="Century Schoolbook"/>
          <w:b w:val="0"/>
          <w:bCs/>
          <w:szCs w:val="26"/>
        </w:rPr>
        <w:t>The Commission does not believe that the record supports modifying the Rule to authorize recovery of attorneys</w:t>
      </w:r>
      <w:r w:rsidR="009B5365">
        <w:rPr>
          <w:rFonts w:ascii="Century Schoolbook" w:hAnsi="Century Schoolbook"/>
          <w:b w:val="0"/>
          <w:bCs/>
          <w:szCs w:val="26"/>
        </w:rPr>
        <w:t>’</w:t>
      </w:r>
      <w:r w:rsidRPr="0042199F">
        <w:rPr>
          <w:rFonts w:ascii="Century Schoolbook" w:hAnsi="Century Schoolbook"/>
          <w:b w:val="0"/>
          <w:bCs/>
          <w:szCs w:val="26"/>
        </w:rPr>
        <w:t xml:space="preserve"> fees from the holder, based on the seller</w:t>
      </w:r>
      <w:r w:rsidR="00346458">
        <w:rPr>
          <w:rFonts w:ascii="Century Schoolbook" w:hAnsi="Century Schoolbook"/>
          <w:b w:val="0"/>
          <w:bCs/>
          <w:szCs w:val="26"/>
        </w:rPr>
        <w:t>’</w:t>
      </w:r>
      <w:r w:rsidRPr="0042199F">
        <w:rPr>
          <w:rFonts w:ascii="Century Schoolbook" w:hAnsi="Century Schoolbook"/>
          <w:b w:val="0"/>
          <w:bCs/>
          <w:szCs w:val="26"/>
        </w:rPr>
        <w:t>s conduct, if that recovery exceeds the amount paid by the consumer.”  (</w:t>
      </w:r>
      <w:bookmarkStart w:id="1" w:name="_Hlk91170125"/>
      <w:r w:rsidR="00C25203">
        <w:rPr>
          <w:rFonts w:ascii="Century Schoolbook" w:hAnsi="Century Schoolbook"/>
          <w:b w:val="0"/>
          <w:bCs/>
          <w:szCs w:val="26"/>
        </w:rPr>
        <w:t>84 Fed.Reg.</w:t>
      </w:r>
      <w:r w:rsidR="00DC019C">
        <w:rPr>
          <w:rFonts w:ascii="Century Schoolbook" w:hAnsi="Century Schoolbook"/>
          <w:b w:val="0"/>
          <w:bCs/>
          <w:szCs w:val="26"/>
        </w:rPr>
        <w:t xml:space="preserve">, </w:t>
      </w:r>
      <w:r w:rsidR="00DC019C">
        <w:rPr>
          <w:rFonts w:ascii="Century Schoolbook" w:hAnsi="Century Schoolbook"/>
          <w:b w:val="0"/>
          <w:bCs/>
          <w:i/>
          <w:szCs w:val="26"/>
        </w:rPr>
        <w:t>supra,</w:t>
      </w:r>
      <w:r w:rsidR="00C25203">
        <w:rPr>
          <w:rFonts w:ascii="Century Schoolbook" w:hAnsi="Century Schoolbook"/>
          <w:b w:val="0"/>
          <w:bCs/>
          <w:szCs w:val="26"/>
        </w:rPr>
        <w:t xml:space="preserve"> at p. 18713.</w:t>
      </w:r>
      <w:bookmarkEnd w:id="1"/>
      <w:r w:rsidR="00C25203">
        <w:rPr>
          <w:rFonts w:ascii="Century Schoolbook" w:hAnsi="Century Schoolbook"/>
          <w:b w:val="0"/>
          <w:bCs/>
          <w:szCs w:val="26"/>
        </w:rPr>
        <w:t>)</w:t>
      </w:r>
      <w:r w:rsidR="00DB399C">
        <w:rPr>
          <w:rFonts w:ascii="Century Schoolbook" w:hAnsi="Century Schoolbook"/>
          <w:b w:val="0"/>
          <w:bCs/>
          <w:szCs w:val="26"/>
        </w:rPr>
        <w:t xml:space="preserve">  </w:t>
      </w:r>
      <w:r w:rsidR="00DB399C">
        <w:rPr>
          <w:rFonts w:ascii="Century Schoolbook" w:hAnsi="Century Schoolbook"/>
          <w:b w:val="0"/>
          <w:bCs/>
        </w:rPr>
        <w:t xml:space="preserve">The FTC explained:  </w:t>
      </w:r>
      <w:r w:rsidR="00DB399C" w:rsidRPr="0042199F">
        <w:rPr>
          <w:rFonts w:ascii="Century Schoolbook" w:hAnsi="Century Schoolbook"/>
          <w:b w:val="0"/>
          <w:bCs/>
          <w:szCs w:val="26"/>
        </w:rPr>
        <w:t>“We conclude that if a federal or state law separately provides for recovery of attorneys</w:t>
      </w:r>
      <w:r w:rsidR="00DB399C">
        <w:rPr>
          <w:rFonts w:ascii="Century Schoolbook" w:hAnsi="Century Schoolbook"/>
          <w:b w:val="0"/>
          <w:bCs/>
          <w:szCs w:val="26"/>
        </w:rPr>
        <w:t>’</w:t>
      </w:r>
      <w:r w:rsidR="00DB399C" w:rsidRPr="0042199F">
        <w:rPr>
          <w:rFonts w:ascii="Century Schoolbook" w:hAnsi="Century Schoolbook"/>
          <w:b w:val="0"/>
          <w:bCs/>
          <w:szCs w:val="26"/>
        </w:rPr>
        <w:t xml:space="preserve"> fees independent of claims or defenses arising from the seller</w:t>
      </w:r>
      <w:r w:rsidR="00DB399C">
        <w:rPr>
          <w:rFonts w:ascii="Century Schoolbook" w:hAnsi="Century Schoolbook"/>
          <w:b w:val="0"/>
          <w:bCs/>
          <w:szCs w:val="26"/>
        </w:rPr>
        <w:t>’</w:t>
      </w:r>
      <w:r w:rsidR="00DB399C" w:rsidRPr="0042199F">
        <w:rPr>
          <w:rFonts w:ascii="Century Schoolbook" w:hAnsi="Century Schoolbook"/>
          <w:b w:val="0"/>
          <w:bCs/>
          <w:szCs w:val="26"/>
        </w:rPr>
        <w:t xml:space="preserve">s misconduct, nothing in the Rule limits such recovery. </w:t>
      </w:r>
      <w:r w:rsidR="00DB399C">
        <w:rPr>
          <w:rFonts w:ascii="Century Schoolbook" w:hAnsi="Century Schoolbook"/>
          <w:b w:val="0"/>
          <w:bCs/>
          <w:szCs w:val="26"/>
        </w:rPr>
        <w:t xml:space="preserve"> </w:t>
      </w:r>
      <w:r w:rsidR="00DB399C" w:rsidRPr="0042199F">
        <w:rPr>
          <w:rFonts w:ascii="Century Schoolbook" w:hAnsi="Century Schoolbook"/>
          <w:b w:val="0"/>
          <w:bCs/>
          <w:szCs w:val="26"/>
        </w:rPr>
        <w:t>Conversely, if the holder</w:t>
      </w:r>
      <w:r w:rsidR="00DB399C">
        <w:rPr>
          <w:rFonts w:ascii="Century Schoolbook" w:hAnsi="Century Schoolbook"/>
          <w:b w:val="0"/>
          <w:bCs/>
          <w:szCs w:val="26"/>
        </w:rPr>
        <w:t>’</w:t>
      </w:r>
      <w:r w:rsidR="00DB399C" w:rsidRPr="0042199F">
        <w:rPr>
          <w:rFonts w:ascii="Century Schoolbook" w:hAnsi="Century Schoolbook"/>
          <w:b w:val="0"/>
          <w:bCs/>
          <w:szCs w:val="26"/>
        </w:rPr>
        <w:t xml:space="preserve">s liability for fees is based on claims against the seller that are preserved by the Holder Rule Notice, the payment that the consumer may recover from the holder—including </w:t>
      </w:r>
      <w:r w:rsidR="00D409D7">
        <w:rPr>
          <w:rFonts w:ascii="Century Schoolbook" w:hAnsi="Century Schoolbook"/>
          <w:b w:val="0"/>
          <w:bCs/>
          <w:szCs w:val="26"/>
        </w:rPr>
        <w:t>any recovery based on attorneys’</w:t>
      </w:r>
      <w:r w:rsidR="00DB399C" w:rsidRPr="0042199F">
        <w:rPr>
          <w:rFonts w:ascii="Century Schoolbook" w:hAnsi="Century Schoolbook"/>
          <w:b w:val="0"/>
          <w:bCs/>
          <w:szCs w:val="26"/>
        </w:rPr>
        <w:t xml:space="preserve"> fees—cannot exceed the amount the consumer paid under the contract.  Claims against the seller for attorneys</w:t>
      </w:r>
      <w:r w:rsidR="00DB399C">
        <w:rPr>
          <w:rFonts w:ascii="Century Schoolbook" w:hAnsi="Century Schoolbook"/>
          <w:b w:val="0"/>
          <w:bCs/>
          <w:szCs w:val="26"/>
        </w:rPr>
        <w:t>’</w:t>
      </w:r>
      <w:r w:rsidR="00DB399C" w:rsidRPr="0042199F">
        <w:rPr>
          <w:rFonts w:ascii="Century Schoolbook" w:hAnsi="Century Schoolbook"/>
          <w:b w:val="0"/>
          <w:bCs/>
          <w:szCs w:val="26"/>
        </w:rPr>
        <w:t xml:space="preserve"> fees or other recovery may also provide a basis for set off against the holder that reduces or eliminates the consumer</w:t>
      </w:r>
      <w:r w:rsidR="00DB399C">
        <w:rPr>
          <w:rFonts w:ascii="Century Schoolbook" w:hAnsi="Century Schoolbook"/>
          <w:b w:val="0"/>
          <w:bCs/>
          <w:szCs w:val="26"/>
        </w:rPr>
        <w:t>’</w:t>
      </w:r>
      <w:r w:rsidR="00DB399C" w:rsidRPr="0042199F">
        <w:rPr>
          <w:rFonts w:ascii="Century Schoolbook" w:hAnsi="Century Schoolbook"/>
          <w:b w:val="0"/>
          <w:bCs/>
          <w:szCs w:val="26"/>
        </w:rPr>
        <w:t>s obligation.</w:t>
      </w:r>
      <w:r w:rsidR="00DB399C">
        <w:rPr>
          <w:rFonts w:ascii="Century Schoolbook" w:hAnsi="Century Schoolbook"/>
          <w:b w:val="0"/>
          <w:bCs/>
          <w:szCs w:val="26"/>
        </w:rPr>
        <w:t>”  (</w:t>
      </w:r>
      <w:r w:rsidR="00D409D7">
        <w:rPr>
          <w:rFonts w:ascii="Century Schoolbook" w:hAnsi="Century Schoolbook"/>
          <w:b w:val="0"/>
          <w:bCs/>
          <w:i/>
          <w:szCs w:val="26"/>
        </w:rPr>
        <w:t>Ibid</w:t>
      </w:r>
      <w:r w:rsidR="00DB399C" w:rsidRPr="008C5A09">
        <w:rPr>
          <w:rFonts w:ascii="Century Schoolbook" w:hAnsi="Century Schoolbook"/>
          <w:b w:val="0"/>
          <w:bCs/>
          <w:szCs w:val="26"/>
        </w:rPr>
        <w:t>.</w:t>
      </w:r>
      <w:r w:rsidR="00DB399C">
        <w:rPr>
          <w:rFonts w:ascii="Century Schoolbook" w:hAnsi="Century Schoolbook"/>
          <w:b w:val="0"/>
          <w:bCs/>
          <w:szCs w:val="26"/>
        </w:rPr>
        <w:t>)</w:t>
      </w:r>
      <w:r w:rsidRPr="0042199F">
        <w:rPr>
          <w:rFonts w:ascii="Century Schoolbook" w:hAnsi="Century Schoolbook"/>
          <w:b w:val="0"/>
          <w:bCs/>
          <w:szCs w:val="26"/>
        </w:rPr>
        <w:t xml:space="preserve"> </w:t>
      </w:r>
    </w:p>
    <w:p w14:paraId="17745105" w14:textId="77777777" w:rsidR="008C5A09" w:rsidRDefault="00DB399C" w:rsidP="008C5A09">
      <w:pPr>
        <w:spacing w:line="288" w:lineRule="auto"/>
        <w:ind w:firstLine="720"/>
        <w:rPr>
          <w:rFonts w:ascii="Century Schoolbook" w:hAnsi="Century Schoolbook"/>
          <w:b w:val="0"/>
          <w:bCs/>
          <w:szCs w:val="26"/>
        </w:rPr>
      </w:pPr>
      <w:r>
        <w:rPr>
          <w:rFonts w:ascii="Century Schoolbook" w:hAnsi="Century Schoolbook"/>
          <w:b w:val="0"/>
          <w:bCs/>
          <w:szCs w:val="26"/>
        </w:rPr>
        <w:lastRenderedPageBreak/>
        <w:t>In</w:t>
      </w:r>
      <w:r w:rsidR="008C5A09" w:rsidRPr="008C5A09">
        <w:rPr>
          <w:rFonts w:ascii="Century Schoolbook" w:hAnsi="Century Schoolbook"/>
          <w:b w:val="0"/>
          <w:bCs/>
          <w:szCs w:val="26"/>
        </w:rPr>
        <w:t xml:space="preserve"> 2020, the First District decided </w:t>
      </w:r>
      <w:r w:rsidR="008C5A09" w:rsidRPr="008C5A09">
        <w:rPr>
          <w:rFonts w:ascii="Century Schoolbook" w:hAnsi="Century Schoolbook"/>
          <w:b w:val="0"/>
          <w:bCs/>
          <w:i/>
          <w:iCs/>
          <w:szCs w:val="26"/>
        </w:rPr>
        <w:t xml:space="preserve">Spikener v. Ally Financial, Inc. </w:t>
      </w:r>
      <w:r w:rsidR="008C5A09" w:rsidRPr="008C5A09">
        <w:rPr>
          <w:rFonts w:ascii="Century Schoolbook" w:hAnsi="Century Schoolbook"/>
          <w:b w:val="0"/>
          <w:bCs/>
          <w:szCs w:val="26"/>
        </w:rPr>
        <w:t>(2020) 50 Cal.App.5</w:t>
      </w:r>
      <w:r w:rsidR="008C5A09">
        <w:rPr>
          <w:rFonts w:ascii="Century Schoolbook" w:hAnsi="Century Schoolbook"/>
          <w:b w:val="0"/>
          <w:bCs/>
          <w:szCs w:val="26"/>
        </w:rPr>
        <w:t xml:space="preserve">th </w:t>
      </w:r>
      <w:r w:rsidR="008C5A09" w:rsidRPr="008C5A09">
        <w:rPr>
          <w:rFonts w:ascii="Century Schoolbook" w:hAnsi="Century Schoolbook"/>
          <w:b w:val="0"/>
          <w:bCs/>
          <w:szCs w:val="26"/>
        </w:rPr>
        <w:t>151</w:t>
      </w:r>
      <w:r w:rsidR="008C5A09">
        <w:rPr>
          <w:rFonts w:ascii="Century Schoolbook" w:hAnsi="Century Schoolbook"/>
          <w:b w:val="0"/>
          <w:bCs/>
          <w:szCs w:val="26"/>
        </w:rPr>
        <w:t xml:space="preserve"> (</w:t>
      </w:r>
      <w:r w:rsidR="008C5A09" w:rsidRPr="008C5A09">
        <w:rPr>
          <w:rFonts w:ascii="Century Schoolbook" w:hAnsi="Century Schoolbook"/>
          <w:b w:val="0"/>
          <w:bCs/>
          <w:i/>
          <w:iCs/>
          <w:szCs w:val="26"/>
        </w:rPr>
        <w:t>Spikener</w:t>
      </w:r>
      <w:r w:rsidR="008C5A09">
        <w:rPr>
          <w:rFonts w:ascii="Century Schoolbook" w:hAnsi="Century Schoolbook"/>
          <w:b w:val="0"/>
          <w:bCs/>
          <w:szCs w:val="26"/>
        </w:rPr>
        <w:t>)</w:t>
      </w:r>
      <w:r w:rsidR="008C5A09" w:rsidRPr="008C5A09">
        <w:rPr>
          <w:rFonts w:ascii="Century Schoolbook" w:hAnsi="Century Schoolbook"/>
          <w:b w:val="0"/>
          <w:bCs/>
          <w:szCs w:val="26"/>
        </w:rPr>
        <w:t>.</w:t>
      </w:r>
      <w:r w:rsidR="008C5A09">
        <w:rPr>
          <w:rFonts w:ascii="Century Schoolbook" w:hAnsi="Century Schoolbook"/>
          <w:b w:val="0"/>
          <w:bCs/>
          <w:szCs w:val="26"/>
        </w:rPr>
        <w:t xml:space="preserve">  </w:t>
      </w:r>
      <w:r w:rsidR="008C5A09" w:rsidRPr="008C5A09">
        <w:rPr>
          <w:rFonts w:ascii="Century Schoolbook" w:hAnsi="Century Schoolbook"/>
          <w:b w:val="0"/>
          <w:bCs/>
          <w:i/>
          <w:iCs/>
          <w:szCs w:val="26"/>
        </w:rPr>
        <w:t xml:space="preserve">Spikener </w:t>
      </w:r>
      <w:r w:rsidR="008C5A09" w:rsidRPr="008C5A09">
        <w:rPr>
          <w:rFonts w:ascii="Century Schoolbook" w:hAnsi="Century Schoolbook"/>
          <w:b w:val="0"/>
          <w:bCs/>
          <w:szCs w:val="26"/>
        </w:rPr>
        <w:t xml:space="preserve">held the FTC’s interpretation of the </w:t>
      </w:r>
      <w:r w:rsidR="008C5A09" w:rsidRPr="00BC472C">
        <w:rPr>
          <w:rFonts w:ascii="Century Schoolbook" w:hAnsi="Century Schoolbook"/>
          <w:b w:val="0"/>
          <w:bCs/>
          <w:szCs w:val="26"/>
        </w:rPr>
        <w:t>holder rule</w:t>
      </w:r>
      <w:r w:rsidR="008C5A09" w:rsidRPr="008C5A09">
        <w:rPr>
          <w:rFonts w:ascii="Century Schoolbook" w:hAnsi="Century Schoolbook"/>
          <w:b w:val="0"/>
          <w:bCs/>
          <w:szCs w:val="26"/>
        </w:rPr>
        <w:t xml:space="preserve"> in 2019 was entitled to deference, and was “dispositive on the Holder Rule’s application to attorney fees.”  (</w:t>
      </w:r>
      <w:r w:rsidR="001F28EB">
        <w:rPr>
          <w:rFonts w:ascii="Century Schoolbook" w:hAnsi="Century Schoolbook"/>
          <w:b w:val="0"/>
          <w:bCs/>
          <w:i/>
          <w:iCs/>
          <w:szCs w:val="26"/>
        </w:rPr>
        <w:t>Spikener,</w:t>
      </w:r>
      <w:r w:rsidR="008C5A09" w:rsidRPr="008C5A09">
        <w:rPr>
          <w:rFonts w:ascii="Century Schoolbook" w:hAnsi="Century Schoolbook"/>
          <w:b w:val="0"/>
          <w:bCs/>
          <w:i/>
          <w:iCs/>
          <w:szCs w:val="26"/>
        </w:rPr>
        <w:t xml:space="preserve"> </w:t>
      </w:r>
      <w:r w:rsidR="008C5A09" w:rsidRPr="008C5A09">
        <w:rPr>
          <w:rFonts w:ascii="Century Schoolbook" w:hAnsi="Century Schoolbook"/>
          <w:b w:val="0"/>
          <w:bCs/>
          <w:szCs w:val="26"/>
        </w:rPr>
        <w:t>at pp. 158, 158</w:t>
      </w:r>
      <w:r w:rsidR="00A80E42" w:rsidRPr="001449A2">
        <w:rPr>
          <w:rFonts w:ascii="Century Schoolbook" w:hAnsi="Century Schoolbook"/>
          <w:szCs w:val="26"/>
        </w:rPr>
        <w:t>–</w:t>
      </w:r>
      <w:r w:rsidR="008C5A09" w:rsidRPr="008C5A09">
        <w:rPr>
          <w:rFonts w:ascii="Century Schoolbook" w:hAnsi="Century Schoolbook"/>
          <w:b w:val="0"/>
          <w:bCs/>
          <w:szCs w:val="26"/>
        </w:rPr>
        <w:t xml:space="preserve">160.)  </w:t>
      </w:r>
      <w:r w:rsidR="008C5A09" w:rsidRPr="008C5A09">
        <w:rPr>
          <w:rFonts w:ascii="Century Schoolbook" w:hAnsi="Century Schoolbook"/>
          <w:b w:val="0"/>
          <w:bCs/>
          <w:i/>
          <w:iCs/>
          <w:szCs w:val="26"/>
        </w:rPr>
        <w:t xml:space="preserve">Spikener </w:t>
      </w:r>
      <w:r w:rsidR="008C5A09" w:rsidRPr="008C5A09">
        <w:rPr>
          <w:rFonts w:ascii="Century Schoolbook" w:hAnsi="Century Schoolbook"/>
          <w:b w:val="0"/>
          <w:bCs/>
          <w:szCs w:val="26"/>
        </w:rPr>
        <w:t xml:space="preserve">held that, “to the extent [Civil Code] section 1459.5 authorizes a plaintiff’s total </w:t>
      </w:r>
      <w:r w:rsidR="00D409D7">
        <w:rPr>
          <w:rFonts w:ascii="Century Schoolbook" w:hAnsi="Century Schoolbook"/>
          <w:b w:val="0"/>
          <w:bCs/>
          <w:szCs w:val="26"/>
        </w:rPr>
        <w:t>recovery—including</w:t>
      </w:r>
      <w:r w:rsidR="008C5A09" w:rsidRPr="008C5A09">
        <w:rPr>
          <w:rFonts w:ascii="Century Schoolbook" w:hAnsi="Century Schoolbook"/>
          <w:b w:val="0"/>
          <w:bCs/>
          <w:szCs w:val="26"/>
        </w:rPr>
        <w:t xml:space="preserve"> attorney </w:t>
      </w:r>
      <w:r w:rsidR="00D409D7">
        <w:rPr>
          <w:rFonts w:ascii="Century Schoolbook" w:hAnsi="Century Schoolbook"/>
          <w:b w:val="0"/>
          <w:bCs/>
          <w:szCs w:val="26"/>
        </w:rPr>
        <w:t>fees—for</w:t>
      </w:r>
      <w:r w:rsidR="008C5A09" w:rsidRPr="008C5A09">
        <w:rPr>
          <w:rFonts w:ascii="Century Schoolbook" w:hAnsi="Century Schoolbook"/>
          <w:b w:val="0"/>
          <w:bCs/>
          <w:szCs w:val="26"/>
        </w:rPr>
        <w:t xml:space="preserve"> a Holder Rule claim to exceed the amount the plaintiff paid under the contract, it directly conflicts with the Holder Rule and is therefore preempted.”  (</w:t>
      </w:r>
      <w:r w:rsidR="00D409D7">
        <w:rPr>
          <w:rFonts w:ascii="Century Schoolbook" w:hAnsi="Century Schoolbook"/>
          <w:b w:val="0"/>
          <w:bCs/>
          <w:i/>
          <w:iCs/>
          <w:szCs w:val="26"/>
        </w:rPr>
        <w:t>Id</w:t>
      </w:r>
      <w:r w:rsidR="008C5A09" w:rsidRPr="008C5A09">
        <w:rPr>
          <w:rFonts w:ascii="Century Schoolbook" w:hAnsi="Century Schoolbook"/>
          <w:b w:val="0"/>
          <w:bCs/>
          <w:i/>
          <w:iCs/>
          <w:szCs w:val="26"/>
        </w:rPr>
        <w:t xml:space="preserve">. </w:t>
      </w:r>
      <w:r w:rsidR="008C5A09" w:rsidRPr="008C5A09">
        <w:rPr>
          <w:rFonts w:ascii="Century Schoolbook" w:hAnsi="Century Schoolbook"/>
          <w:b w:val="0"/>
          <w:bCs/>
          <w:szCs w:val="26"/>
        </w:rPr>
        <w:t>at pp. 162</w:t>
      </w:r>
      <w:r w:rsidR="00A80E42" w:rsidRPr="001449A2">
        <w:rPr>
          <w:rFonts w:ascii="Century Schoolbook" w:hAnsi="Century Schoolbook"/>
          <w:szCs w:val="26"/>
        </w:rPr>
        <w:t>–</w:t>
      </w:r>
      <w:r w:rsidR="008C5A09" w:rsidRPr="008C5A09">
        <w:rPr>
          <w:rFonts w:ascii="Century Schoolbook" w:hAnsi="Century Schoolbook"/>
          <w:b w:val="0"/>
          <w:bCs/>
          <w:szCs w:val="26"/>
        </w:rPr>
        <w:t>163.)</w:t>
      </w:r>
    </w:p>
    <w:p w14:paraId="6454E35D" w14:textId="77777777" w:rsidR="00E11129" w:rsidRPr="00E11129" w:rsidRDefault="00E11129" w:rsidP="00E11129">
      <w:pPr>
        <w:spacing w:line="288" w:lineRule="auto"/>
        <w:ind w:firstLine="720"/>
        <w:rPr>
          <w:rFonts w:ascii="Century Schoolbook" w:hAnsi="Century Schoolbook"/>
          <w:b w:val="0"/>
          <w:bCs/>
          <w:szCs w:val="26"/>
        </w:rPr>
      </w:pPr>
      <w:r>
        <w:rPr>
          <w:rFonts w:ascii="Century Schoolbook" w:hAnsi="Century Schoolbook"/>
          <w:b w:val="0"/>
          <w:bCs/>
          <w:szCs w:val="26"/>
        </w:rPr>
        <w:t xml:space="preserve">Finally, in </w:t>
      </w:r>
      <w:r w:rsidRPr="00E11129">
        <w:rPr>
          <w:rFonts w:ascii="Century Schoolbook" w:hAnsi="Century Schoolbook"/>
          <w:b w:val="0"/>
          <w:bCs/>
          <w:i/>
          <w:iCs/>
          <w:szCs w:val="26"/>
        </w:rPr>
        <w:t>Pulliam</w:t>
      </w:r>
      <w:r>
        <w:rPr>
          <w:rFonts w:ascii="Century Schoolbook" w:hAnsi="Century Schoolbook"/>
          <w:b w:val="0"/>
          <w:bCs/>
          <w:i/>
          <w:iCs/>
          <w:szCs w:val="26"/>
        </w:rPr>
        <w:t xml:space="preserve">, supra, </w:t>
      </w:r>
      <w:r w:rsidRPr="00E11129">
        <w:rPr>
          <w:rFonts w:ascii="Century Schoolbook" w:hAnsi="Century Schoolbook"/>
          <w:b w:val="0"/>
          <w:bCs/>
          <w:szCs w:val="26"/>
        </w:rPr>
        <w:t>60 Cal.App.5</w:t>
      </w:r>
      <w:r>
        <w:rPr>
          <w:rFonts w:ascii="Century Schoolbook" w:hAnsi="Century Schoolbook"/>
          <w:b w:val="0"/>
          <w:bCs/>
          <w:szCs w:val="26"/>
        </w:rPr>
        <w:t xml:space="preserve">th </w:t>
      </w:r>
      <w:r w:rsidRPr="00E11129">
        <w:rPr>
          <w:rFonts w:ascii="Century Schoolbook" w:hAnsi="Century Schoolbook"/>
          <w:b w:val="0"/>
          <w:bCs/>
          <w:szCs w:val="26"/>
        </w:rPr>
        <w:t>396</w:t>
      </w:r>
      <w:r>
        <w:rPr>
          <w:rFonts w:ascii="Century Schoolbook" w:hAnsi="Century Schoolbook"/>
          <w:b w:val="0"/>
          <w:bCs/>
          <w:szCs w:val="26"/>
        </w:rPr>
        <w:t xml:space="preserve">, </w:t>
      </w:r>
      <w:r w:rsidRPr="00E11129">
        <w:rPr>
          <w:rFonts w:ascii="Century Schoolbook" w:hAnsi="Century Schoolbook"/>
          <w:b w:val="0"/>
          <w:bCs/>
          <w:szCs w:val="26"/>
        </w:rPr>
        <w:t>review granted</w:t>
      </w:r>
      <w:r>
        <w:rPr>
          <w:rFonts w:ascii="Century Schoolbook" w:hAnsi="Century Schoolbook"/>
          <w:b w:val="0"/>
          <w:bCs/>
          <w:szCs w:val="26"/>
        </w:rPr>
        <w:t xml:space="preserve">, </w:t>
      </w:r>
      <w:r w:rsidRPr="00E11129">
        <w:rPr>
          <w:rFonts w:ascii="Century Schoolbook" w:hAnsi="Century Schoolbook"/>
          <w:b w:val="0"/>
          <w:bCs/>
          <w:szCs w:val="26"/>
        </w:rPr>
        <w:t xml:space="preserve">Division </w:t>
      </w:r>
      <w:r w:rsidR="00DC019C">
        <w:rPr>
          <w:rFonts w:ascii="Century Schoolbook" w:hAnsi="Century Schoolbook"/>
          <w:b w:val="0"/>
          <w:bCs/>
          <w:szCs w:val="26"/>
        </w:rPr>
        <w:t>Five</w:t>
      </w:r>
      <w:r w:rsidR="00DC019C" w:rsidRPr="00E11129">
        <w:rPr>
          <w:rFonts w:ascii="Century Schoolbook" w:hAnsi="Century Schoolbook"/>
          <w:b w:val="0"/>
          <w:bCs/>
          <w:szCs w:val="26"/>
        </w:rPr>
        <w:t xml:space="preserve"> </w:t>
      </w:r>
      <w:r w:rsidRPr="00E11129">
        <w:rPr>
          <w:rFonts w:ascii="Century Schoolbook" w:hAnsi="Century Schoolbook"/>
          <w:b w:val="0"/>
          <w:bCs/>
          <w:szCs w:val="26"/>
        </w:rPr>
        <w:t xml:space="preserve">disagreed with </w:t>
      </w:r>
      <w:r w:rsidRPr="00E11129">
        <w:rPr>
          <w:rFonts w:ascii="Century Schoolbook" w:hAnsi="Century Schoolbook"/>
          <w:b w:val="0"/>
          <w:bCs/>
          <w:i/>
          <w:iCs/>
          <w:szCs w:val="26"/>
        </w:rPr>
        <w:t>Lafferty</w:t>
      </w:r>
      <w:r w:rsidRPr="00E11129">
        <w:rPr>
          <w:rFonts w:ascii="Century Schoolbook" w:hAnsi="Century Schoolbook"/>
          <w:b w:val="0"/>
          <w:bCs/>
          <w:szCs w:val="26"/>
        </w:rPr>
        <w:t>, concluding “the Holder Rule’s cap itself does not apply to attorney fees.”  (</w:t>
      </w:r>
      <w:r w:rsidR="00DC019C">
        <w:rPr>
          <w:rFonts w:ascii="Century Schoolbook" w:hAnsi="Century Schoolbook"/>
          <w:b w:val="0"/>
          <w:bCs/>
          <w:i/>
          <w:iCs/>
          <w:szCs w:val="26"/>
        </w:rPr>
        <w:t>Pulliam,</w:t>
      </w:r>
      <w:r w:rsidRPr="00E11129">
        <w:rPr>
          <w:rFonts w:ascii="Century Schoolbook" w:hAnsi="Century Schoolbook"/>
          <w:b w:val="0"/>
          <w:bCs/>
          <w:i/>
          <w:iCs/>
          <w:szCs w:val="26"/>
        </w:rPr>
        <w:t xml:space="preserve"> </w:t>
      </w:r>
      <w:r w:rsidRPr="00E11129">
        <w:rPr>
          <w:rFonts w:ascii="Century Schoolbook" w:hAnsi="Century Schoolbook"/>
          <w:b w:val="0"/>
          <w:bCs/>
          <w:szCs w:val="26"/>
        </w:rPr>
        <w:t>at p</w:t>
      </w:r>
      <w:r w:rsidR="003A66DB">
        <w:rPr>
          <w:rFonts w:ascii="Century Schoolbook" w:hAnsi="Century Schoolbook"/>
          <w:b w:val="0"/>
          <w:bCs/>
          <w:szCs w:val="26"/>
        </w:rPr>
        <w:t>p</w:t>
      </w:r>
      <w:r w:rsidRPr="00E11129">
        <w:rPr>
          <w:rFonts w:ascii="Century Schoolbook" w:hAnsi="Century Schoolbook"/>
          <w:b w:val="0"/>
          <w:bCs/>
          <w:szCs w:val="26"/>
        </w:rPr>
        <w:t>. 412, 412</w:t>
      </w:r>
      <w:r w:rsidR="00A80E42" w:rsidRPr="001449A2">
        <w:rPr>
          <w:rFonts w:ascii="Century Schoolbook" w:hAnsi="Century Schoolbook"/>
          <w:szCs w:val="26"/>
        </w:rPr>
        <w:t>–</w:t>
      </w:r>
      <w:r w:rsidRPr="00E11129">
        <w:rPr>
          <w:rFonts w:ascii="Century Schoolbook" w:hAnsi="Century Schoolbook"/>
          <w:b w:val="0"/>
          <w:bCs/>
          <w:szCs w:val="26"/>
        </w:rPr>
        <w:t xml:space="preserve">416.)  </w:t>
      </w:r>
      <w:r w:rsidRPr="00E11129">
        <w:rPr>
          <w:rFonts w:ascii="Century Schoolbook" w:hAnsi="Century Schoolbook"/>
          <w:b w:val="0"/>
          <w:bCs/>
          <w:i/>
          <w:iCs/>
          <w:szCs w:val="26"/>
        </w:rPr>
        <w:t xml:space="preserve">Pulliam </w:t>
      </w:r>
      <w:r w:rsidRPr="00E11129">
        <w:rPr>
          <w:rFonts w:ascii="Century Schoolbook" w:hAnsi="Century Schoolbook"/>
          <w:b w:val="0"/>
          <w:bCs/>
          <w:szCs w:val="26"/>
        </w:rPr>
        <w:t xml:space="preserve">also disagreed with </w:t>
      </w:r>
      <w:r w:rsidRPr="00E11129">
        <w:rPr>
          <w:rFonts w:ascii="Century Schoolbook" w:hAnsi="Century Schoolbook"/>
          <w:b w:val="0"/>
          <w:bCs/>
          <w:i/>
          <w:iCs/>
          <w:szCs w:val="26"/>
        </w:rPr>
        <w:t>Spikener</w:t>
      </w:r>
      <w:r w:rsidR="006265CC">
        <w:rPr>
          <w:rFonts w:ascii="Century Schoolbook" w:hAnsi="Century Schoolbook"/>
          <w:b w:val="0"/>
          <w:bCs/>
          <w:i/>
          <w:iCs/>
          <w:szCs w:val="26"/>
        </w:rPr>
        <w:t xml:space="preserve"> </w:t>
      </w:r>
      <w:r w:rsidR="006265CC">
        <w:rPr>
          <w:rFonts w:ascii="Century Schoolbook" w:hAnsi="Century Schoolbook"/>
          <w:b w:val="0"/>
          <w:bCs/>
          <w:szCs w:val="26"/>
        </w:rPr>
        <w:t>(</w:t>
      </w:r>
      <w:r w:rsidR="006265CC">
        <w:rPr>
          <w:rFonts w:ascii="Century Schoolbook" w:hAnsi="Century Schoolbook"/>
          <w:b w:val="0"/>
          <w:bCs/>
          <w:i/>
          <w:iCs/>
          <w:szCs w:val="26"/>
        </w:rPr>
        <w:t xml:space="preserve">Pulliam, </w:t>
      </w:r>
      <w:r w:rsidR="006265CC">
        <w:rPr>
          <w:rFonts w:ascii="Century Schoolbook" w:hAnsi="Century Schoolbook"/>
          <w:b w:val="0"/>
          <w:bCs/>
          <w:szCs w:val="26"/>
        </w:rPr>
        <w:t>at pp. 421</w:t>
      </w:r>
      <w:r w:rsidR="00A80E42" w:rsidRPr="001449A2">
        <w:rPr>
          <w:rFonts w:ascii="Century Schoolbook" w:hAnsi="Century Schoolbook"/>
          <w:szCs w:val="26"/>
        </w:rPr>
        <w:t>–</w:t>
      </w:r>
      <w:r w:rsidR="006265CC">
        <w:rPr>
          <w:rFonts w:ascii="Century Schoolbook" w:hAnsi="Century Schoolbook"/>
          <w:b w:val="0"/>
          <w:bCs/>
          <w:szCs w:val="26"/>
        </w:rPr>
        <w:t>422)</w:t>
      </w:r>
      <w:r w:rsidRPr="00E11129">
        <w:rPr>
          <w:rFonts w:ascii="Century Schoolbook" w:hAnsi="Century Schoolbook"/>
          <w:b w:val="0"/>
          <w:bCs/>
          <w:i/>
          <w:iCs/>
          <w:szCs w:val="26"/>
        </w:rPr>
        <w:t xml:space="preserve">, </w:t>
      </w:r>
      <w:r w:rsidRPr="00E11129">
        <w:rPr>
          <w:rFonts w:ascii="Century Schoolbook" w:hAnsi="Century Schoolbook"/>
          <w:b w:val="0"/>
          <w:bCs/>
          <w:szCs w:val="26"/>
        </w:rPr>
        <w:t xml:space="preserve">concluding “the FTC’s interpretation to the contrary is not entitled to deference [and] the Holder Rule is consistent with </w:t>
      </w:r>
      <w:r w:rsidR="001F28EB">
        <w:rPr>
          <w:rFonts w:ascii="Century Schoolbook" w:hAnsi="Century Schoolbook"/>
          <w:b w:val="0"/>
          <w:bCs/>
          <w:szCs w:val="26"/>
        </w:rPr>
        <w:t xml:space="preserve">[Civil Code] </w:t>
      </w:r>
      <w:r w:rsidRPr="00E11129">
        <w:rPr>
          <w:rFonts w:ascii="Century Schoolbook" w:hAnsi="Century Schoolbook"/>
          <w:b w:val="0"/>
          <w:bCs/>
          <w:szCs w:val="26"/>
        </w:rPr>
        <w:t>section 1459.5.”  (</w:t>
      </w:r>
      <w:r w:rsidR="006265CC">
        <w:rPr>
          <w:rFonts w:ascii="Century Schoolbook" w:hAnsi="Century Schoolbook"/>
          <w:b w:val="0"/>
          <w:bCs/>
          <w:i/>
          <w:iCs/>
          <w:szCs w:val="26"/>
        </w:rPr>
        <w:t xml:space="preserve">Pulliam, </w:t>
      </w:r>
      <w:r w:rsidRPr="00E11129">
        <w:rPr>
          <w:rFonts w:ascii="Century Schoolbook" w:hAnsi="Century Schoolbook"/>
          <w:b w:val="0"/>
          <w:bCs/>
          <w:szCs w:val="26"/>
        </w:rPr>
        <w:t>at pp. 422, 416</w:t>
      </w:r>
      <w:r w:rsidR="00A80E42" w:rsidRPr="001449A2">
        <w:rPr>
          <w:rFonts w:ascii="Century Schoolbook" w:hAnsi="Century Schoolbook"/>
          <w:szCs w:val="26"/>
        </w:rPr>
        <w:t>–</w:t>
      </w:r>
      <w:r w:rsidRPr="00E11129">
        <w:rPr>
          <w:rFonts w:ascii="Century Schoolbook" w:hAnsi="Century Schoolbook"/>
          <w:b w:val="0"/>
          <w:bCs/>
          <w:szCs w:val="26"/>
        </w:rPr>
        <w:t>422.)</w:t>
      </w:r>
    </w:p>
    <w:p w14:paraId="27A3499E" w14:textId="77777777" w:rsidR="00E11129" w:rsidRPr="007461BD" w:rsidRDefault="007461BD" w:rsidP="007461BD">
      <w:pPr>
        <w:spacing w:line="288" w:lineRule="auto"/>
        <w:rPr>
          <w:rFonts w:ascii="Century Schoolbook" w:hAnsi="Century Schoolbook"/>
          <w:szCs w:val="26"/>
        </w:rPr>
      </w:pPr>
      <w:r>
        <w:rPr>
          <w:rFonts w:ascii="Century Schoolbook" w:hAnsi="Century Schoolbook"/>
          <w:szCs w:val="26"/>
        </w:rPr>
        <w:t>2.</w:t>
      </w:r>
      <w:r>
        <w:rPr>
          <w:rFonts w:ascii="Century Schoolbook" w:hAnsi="Century Schoolbook"/>
          <w:szCs w:val="26"/>
        </w:rPr>
        <w:tab/>
        <w:t>Contentions and Conclusions</w:t>
      </w:r>
    </w:p>
    <w:p w14:paraId="3E4BFC47" w14:textId="77777777" w:rsidR="00CD7391" w:rsidRDefault="00CD7391" w:rsidP="00281034">
      <w:pPr>
        <w:spacing w:line="288" w:lineRule="auto"/>
        <w:ind w:firstLine="720"/>
        <w:rPr>
          <w:rFonts w:ascii="Century Schoolbook" w:hAnsi="Century Schoolbook"/>
          <w:b w:val="0"/>
          <w:bCs/>
          <w:szCs w:val="26"/>
        </w:rPr>
      </w:pPr>
      <w:r>
        <w:rPr>
          <w:rFonts w:ascii="Century Schoolbook" w:hAnsi="Century Schoolbook"/>
          <w:szCs w:val="26"/>
        </w:rPr>
        <w:t>a.</w:t>
      </w:r>
      <w:r>
        <w:rPr>
          <w:rFonts w:ascii="Century Schoolbook" w:hAnsi="Century Schoolbook"/>
          <w:szCs w:val="26"/>
        </w:rPr>
        <w:tab/>
        <w:t xml:space="preserve">Attorney </w:t>
      </w:r>
      <w:r w:rsidRPr="00CD7391">
        <w:rPr>
          <w:rFonts w:ascii="Century Schoolbook" w:hAnsi="Century Schoolbook"/>
          <w:szCs w:val="26"/>
        </w:rPr>
        <w:t>fees</w:t>
      </w:r>
    </w:p>
    <w:p w14:paraId="041A0D62" w14:textId="77777777" w:rsidR="00E11129" w:rsidRDefault="007461BD" w:rsidP="00281034">
      <w:pPr>
        <w:spacing w:line="288" w:lineRule="auto"/>
        <w:ind w:firstLine="720"/>
        <w:rPr>
          <w:rFonts w:ascii="Century Schoolbook" w:hAnsi="Century Schoolbook"/>
          <w:b w:val="0"/>
          <w:bCs/>
        </w:rPr>
      </w:pPr>
      <w:r w:rsidRPr="00CD7391">
        <w:rPr>
          <w:rFonts w:ascii="Century Schoolbook" w:hAnsi="Century Schoolbook"/>
          <w:b w:val="0"/>
          <w:bCs/>
          <w:szCs w:val="26"/>
        </w:rPr>
        <w:t>We</w:t>
      </w:r>
      <w:r w:rsidRPr="00281034">
        <w:rPr>
          <w:rFonts w:ascii="Century Schoolbook" w:hAnsi="Century Schoolbook"/>
          <w:b w:val="0"/>
          <w:bCs/>
          <w:szCs w:val="26"/>
        </w:rPr>
        <w:t xml:space="preserve"> conclude, consonant with </w:t>
      </w:r>
      <w:r w:rsidRPr="00281034">
        <w:rPr>
          <w:rFonts w:ascii="Century Schoolbook" w:hAnsi="Century Schoolbook"/>
          <w:b w:val="0"/>
          <w:bCs/>
          <w:i/>
          <w:iCs/>
          <w:szCs w:val="26"/>
        </w:rPr>
        <w:t>Pulliam</w:t>
      </w:r>
      <w:r w:rsidRPr="00281034">
        <w:rPr>
          <w:rFonts w:ascii="Century Schoolbook" w:hAnsi="Century Schoolbook"/>
          <w:b w:val="0"/>
          <w:bCs/>
          <w:szCs w:val="26"/>
        </w:rPr>
        <w:t>, that the holder</w:t>
      </w:r>
      <w:r w:rsidR="00E74221">
        <w:rPr>
          <w:rFonts w:ascii="Century Schoolbook" w:hAnsi="Century Schoolbook"/>
          <w:b w:val="0"/>
          <w:bCs/>
          <w:szCs w:val="26"/>
        </w:rPr>
        <w:t>-</w:t>
      </w:r>
      <w:r w:rsidRPr="00281034">
        <w:rPr>
          <w:rFonts w:ascii="Century Schoolbook" w:hAnsi="Century Schoolbook"/>
          <w:b w:val="0"/>
          <w:bCs/>
          <w:szCs w:val="26"/>
        </w:rPr>
        <w:t>rule limitation on recovery does not apply to attorney fees, and the FTC’s contrary interpretation is not entitled to deference.</w:t>
      </w:r>
      <w:r w:rsidR="00281034" w:rsidRPr="00281034">
        <w:rPr>
          <w:rFonts w:ascii="Century Schoolbook" w:hAnsi="Century Schoolbook"/>
          <w:b w:val="0"/>
          <w:bCs/>
          <w:szCs w:val="26"/>
        </w:rPr>
        <w:t xml:space="preserve">  As in </w:t>
      </w:r>
      <w:r w:rsidR="00281034" w:rsidRPr="00281034">
        <w:rPr>
          <w:rFonts w:ascii="Century Schoolbook" w:hAnsi="Century Schoolbook"/>
          <w:b w:val="0"/>
          <w:bCs/>
          <w:i/>
          <w:iCs/>
          <w:szCs w:val="26"/>
        </w:rPr>
        <w:t>Pulliam,</w:t>
      </w:r>
      <w:r w:rsidR="00281034" w:rsidRPr="00281034">
        <w:rPr>
          <w:rFonts w:ascii="Century Schoolbook" w:hAnsi="Century Schoolbook"/>
          <w:i/>
          <w:iCs/>
        </w:rPr>
        <w:t xml:space="preserve"> </w:t>
      </w:r>
      <w:r w:rsidR="00281034" w:rsidRPr="00281034">
        <w:rPr>
          <w:rFonts w:ascii="Century Schoolbook" w:hAnsi="Century Schoolbook"/>
          <w:b w:val="0"/>
          <w:bCs/>
        </w:rPr>
        <w:t xml:space="preserve">we need not consider Civil Code section 1459.5, which is consistent with our construction of the holder rule. </w:t>
      </w:r>
    </w:p>
    <w:p w14:paraId="7680170E" w14:textId="77777777" w:rsidR="00281034" w:rsidRDefault="00BD1500" w:rsidP="00281034">
      <w:pPr>
        <w:spacing w:line="288" w:lineRule="auto"/>
        <w:ind w:firstLine="720"/>
        <w:rPr>
          <w:rFonts w:ascii="Century Schoolbook" w:hAnsi="Century Schoolbook"/>
          <w:b w:val="0"/>
          <w:bCs/>
        </w:rPr>
      </w:pPr>
      <w:r>
        <w:rPr>
          <w:rFonts w:ascii="Century Schoolbook" w:hAnsi="Century Schoolbook"/>
          <w:b w:val="0"/>
          <w:bCs/>
        </w:rPr>
        <w:t xml:space="preserve">We summarize the pertinent points, which are elaborated in detail in </w:t>
      </w:r>
      <w:r w:rsidRPr="00BD1500">
        <w:rPr>
          <w:rFonts w:ascii="Century Schoolbook" w:hAnsi="Century Schoolbook"/>
          <w:b w:val="0"/>
          <w:bCs/>
          <w:i/>
          <w:iCs/>
        </w:rPr>
        <w:t>Pulliam</w:t>
      </w:r>
      <w:r>
        <w:rPr>
          <w:rFonts w:ascii="Century Schoolbook" w:hAnsi="Century Schoolbook"/>
          <w:b w:val="0"/>
          <w:bCs/>
        </w:rPr>
        <w:t xml:space="preserve">.  </w:t>
      </w:r>
    </w:p>
    <w:p w14:paraId="2B01659B" w14:textId="77777777" w:rsidR="008E7412" w:rsidRDefault="00BD1500" w:rsidP="00281034">
      <w:pPr>
        <w:spacing w:line="288" w:lineRule="auto"/>
        <w:ind w:firstLine="720"/>
        <w:rPr>
          <w:rFonts w:ascii="Century Schoolbook" w:hAnsi="Century Schoolbook"/>
          <w:b w:val="0"/>
          <w:bCs/>
        </w:rPr>
      </w:pPr>
      <w:r>
        <w:rPr>
          <w:rFonts w:ascii="Century Schoolbook" w:hAnsi="Century Schoolbook"/>
          <w:b w:val="0"/>
          <w:bCs/>
          <w:i/>
          <w:iCs/>
        </w:rPr>
        <w:t xml:space="preserve">Pulliam </w:t>
      </w:r>
      <w:r w:rsidR="005167A9">
        <w:rPr>
          <w:rFonts w:ascii="Century Schoolbook" w:hAnsi="Century Schoolbook"/>
          <w:b w:val="0"/>
          <w:bCs/>
        </w:rPr>
        <w:t xml:space="preserve">begins by </w:t>
      </w:r>
      <w:r>
        <w:rPr>
          <w:rFonts w:ascii="Century Schoolbook" w:hAnsi="Century Schoolbook"/>
          <w:b w:val="0"/>
          <w:bCs/>
        </w:rPr>
        <w:t>address</w:t>
      </w:r>
      <w:r w:rsidR="005167A9">
        <w:rPr>
          <w:rFonts w:ascii="Century Schoolbook" w:hAnsi="Century Schoolbook"/>
          <w:b w:val="0"/>
          <w:bCs/>
        </w:rPr>
        <w:t>ing</w:t>
      </w:r>
      <w:r>
        <w:rPr>
          <w:rFonts w:ascii="Century Schoolbook" w:hAnsi="Century Schoolbook"/>
          <w:b w:val="0"/>
          <w:bCs/>
        </w:rPr>
        <w:t xml:space="preserve"> the statutory interpretation issue:  </w:t>
      </w:r>
      <w:r w:rsidR="005167A9">
        <w:rPr>
          <w:rFonts w:ascii="Century Schoolbook" w:hAnsi="Century Schoolbook"/>
          <w:b w:val="0"/>
          <w:bCs/>
        </w:rPr>
        <w:t>whether</w:t>
      </w:r>
      <w:r>
        <w:rPr>
          <w:rFonts w:ascii="Century Schoolbook" w:hAnsi="Century Schoolbook"/>
          <w:b w:val="0"/>
          <w:bCs/>
        </w:rPr>
        <w:t xml:space="preserve"> the word “recovery” as used in the holder rule include</w:t>
      </w:r>
      <w:r w:rsidR="005167A9">
        <w:rPr>
          <w:rFonts w:ascii="Century Schoolbook" w:hAnsi="Century Schoolbook"/>
          <w:b w:val="0"/>
          <w:bCs/>
        </w:rPr>
        <w:t>s</w:t>
      </w:r>
      <w:r>
        <w:rPr>
          <w:rFonts w:ascii="Century Schoolbook" w:hAnsi="Century Schoolbook"/>
          <w:b w:val="0"/>
          <w:bCs/>
        </w:rPr>
        <w:t xml:space="preserve"> attorney fees</w:t>
      </w:r>
      <w:r w:rsidR="005167A9">
        <w:rPr>
          <w:rFonts w:ascii="Century Schoolbook" w:hAnsi="Century Schoolbook"/>
          <w:b w:val="0"/>
          <w:bCs/>
        </w:rPr>
        <w:t xml:space="preserve">.  </w:t>
      </w:r>
      <w:r w:rsidR="005167A9">
        <w:rPr>
          <w:rFonts w:ascii="Century Schoolbook" w:hAnsi="Century Schoolbook"/>
          <w:b w:val="0"/>
          <w:bCs/>
          <w:i/>
          <w:iCs/>
        </w:rPr>
        <w:t xml:space="preserve">Pulliam </w:t>
      </w:r>
      <w:r w:rsidR="005167A9">
        <w:rPr>
          <w:rFonts w:ascii="Century Schoolbook" w:hAnsi="Century Schoolbook"/>
          <w:b w:val="0"/>
          <w:bCs/>
        </w:rPr>
        <w:t xml:space="preserve">concludes it does not, first citing the dictionary definition of “recovery” as the “ ‘regaining or </w:t>
      </w:r>
      <w:r w:rsidR="005167A9">
        <w:rPr>
          <w:rFonts w:ascii="Century Schoolbook" w:hAnsi="Century Schoolbook"/>
          <w:b w:val="0"/>
          <w:bCs/>
        </w:rPr>
        <w:lastRenderedPageBreak/>
        <w:t>restoration of something lost or taken away.’ ”  (</w:t>
      </w:r>
      <w:r w:rsidR="005167A9">
        <w:rPr>
          <w:rFonts w:ascii="Century Schoolbook" w:hAnsi="Century Schoolbook"/>
          <w:b w:val="0"/>
          <w:bCs/>
          <w:i/>
          <w:iCs/>
        </w:rPr>
        <w:t xml:space="preserve">Pulliam, supra, </w:t>
      </w:r>
      <w:r w:rsidR="005167A9">
        <w:rPr>
          <w:rFonts w:ascii="Century Schoolbook" w:hAnsi="Century Schoolbook"/>
          <w:b w:val="0"/>
          <w:bCs/>
        </w:rPr>
        <w:t>60</w:t>
      </w:r>
      <w:r w:rsidR="00D409D7">
        <w:rPr>
          <w:rFonts w:ascii="Century Schoolbook" w:hAnsi="Century Schoolbook"/>
          <w:b w:val="0"/>
          <w:bCs/>
        </w:rPr>
        <w:t> </w:t>
      </w:r>
      <w:r w:rsidR="005167A9">
        <w:rPr>
          <w:rFonts w:ascii="Century Schoolbook" w:hAnsi="Century Schoolbook"/>
          <w:b w:val="0"/>
          <w:bCs/>
        </w:rPr>
        <w:t>Cal.</w:t>
      </w:r>
      <w:r w:rsidR="0048259B">
        <w:rPr>
          <w:rFonts w:ascii="Century Schoolbook" w:hAnsi="Century Schoolbook"/>
          <w:b w:val="0"/>
          <w:bCs/>
        </w:rPr>
        <w:t>App.</w:t>
      </w:r>
      <w:r w:rsidR="005167A9">
        <w:rPr>
          <w:rFonts w:ascii="Century Schoolbook" w:hAnsi="Century Schoolbook"/>
          <w:b w:val="0"/>
          <w:bCs/>
        </w:rPr>
        <w:t>5</w:t>
      </w:r>
      <w:r w:rsidR="002268C3">
        <w:rPr>
          <w:rFonts w:ascii="Century Schoolbook" w:hAnsi="Century Schoolbook"/>
          <w:b w:val="0"/>
          <w:bCs/>
        </w:rPr>
        <w:t xml:space="preserve">th </w:t>
      </w:r>
      <w:r w:rsidR="005167A9">
        <w:rPr>
          <w:rFonts w:ascii="Century Schoolbook" w:hAnsi="Century Schoolbook"/>
          <w:b w:val="0"/>
          <w:bCs/>
        </w:rPr>
        <w:t>at p. 413.)</w:t>
      </w:r>
      <w:r w:rsidR="008E7412">
        <w:rPr>
          <w:rFonts w:ascii="Century Schoolbook" w:hAnsi="Century Schoolbook"/>
          <w:b w:val="0"/>
          <w:bCs/>
        </w:rPr>
        <w:t xml:space="preserve">  This definition, the court says, “focuses on damages, i.e. restoring money that was taken away from the plaintiff, and does not expressly address attorney fees.”  (</w:t>
      </w:r>
      <w:r w:rsidR="008E7412">
        <w:rPr>
          <w:rFonts w:ascii="Century Schoolbook" w:hAnsi="Century Schoolbook"/>
          <w:b w:val="0"/>
          <w:bCs/>
          <w:i/>
          <w:iCs/>
        </w:rPr>
        <w:t>Ibid.</w:t>
      </w:r>
      <w:r w:rsidR="008E7412">
        <w:rPr>
          <w:rFonts w:ascii="Century Schoolbook" w:hAnsi="Century Schoolbook"/>
          <w:b w:val="0"/>
          <w:bCs/>
        </w:rPr>
        <w:t>)</w:t>
      </w:r>
      <w:r w:rsidR="00E162E6">
        <w:rPr>
          <w:rFonts w:ascii="Century Schoolbook" w:hAnsi="Century Schoolbook"/>
          <w:b w:val="0"/>
          <w:bCs/>
        </w:rPr>
        <w:t xml:space="preserve">  (Defendant argues that </w:t>
      </w:r>
      <w:r w:rsidR="00E162E6">
        <w:rPr>
          <w:rFonts w:ascii="Century Schoolbook" w:hAnsi="Century Schoolbook"/>
          <w:b w:val="0"/>
          <w:bCs/>
          <w:i/>
          <w:iCs/>
        </w:rPr>
        <w:t xml:space="preserve">Pulliam </w:t>
      </w:r>
      <w:r w:rsidR="00E162E6">
        <w:rPr>
          <w:rFonts w:ascii="Century Schoolbook" w:hAnsi="Century Schoolbook"/>
          <w:b w:val="0"/>
          <w:bCs/>
        </w:rPr>
        <w:t>relied on the current definition of “recovery” in Black’s Law Dictionary (11th ed. 2019, available at Westlaw), but should have relied on the definition in the edition used in 1975 when the holder rule was issued.  This gets defendant nowhere, because that definition includes similar language:  “the obtaining, by [a] judgment, of some right or property which has been taken or withheld from [a person].”  (Black’s Law Dict. (rev. 4th ed. 1968) p. 1440, col. 1.)</w:t>
      </w:r>
    </w:p>
    <w:p w14:paraId="6FA3A5FA" w14:textId="77777777" w:rsidR="00CD7391" w:rsidRDefault="008E7412" w:rsidP="005E7A09">
      <w:pPr>
        <w:spacing w:line="288" w:lineRule="auto"/>
        <w:ind w:firstLine="720"/>
        <w:rPr>
          <w:rFonts w:ascii="Century Schoolbook" w:hAnsi="Century Schoolbook"/>
          <w:b w:val="0"/>
          <w:bCs/>
        </w:rPr>
      </w:pPr>
      <w:r>
        <w:rPr>
          <w:rFonts w:ascii="Century Schoolbook" w:hAnsi="Century Schoolbook"/>
          <w:b w:val="0"/>
          <w:bCs/>
        </w:rPr>
        <w:t xml:space="preserve">Next, </w:t>
      </w:r>
      <w:r>
        <w:rPr>
          <w:rFonts w:ascii="Century Schoolbook" w:hAnsi="Century Schoolbook"/>
          <w:b w:val="0"/>
          <w:bCs/>
          <w:i/>
          <w:iCs/>
        </w:rPr>
        <w:t xml:space="preserve">Pulliam </w:t>
      </w:r>
      <w:r>
        <w:rPr>
          <w:rFonts w:ascii="Century Schoolbook" w:hAnsi="Century Schoolbook"/>
          <w:b w:val="0"/>
          <w:bCs/>
        </w:rPr>
        <w:t>rejects precedents</w:t>
      </w:r>
      <w:r w:rsidR="000C293D">
        <w:rPr>
          <w:rFonts w:ascii="Century Schoolbook" w:hAnsi="Century Schoolbook"/>
          <w:b w:val="0"/>
          <w:bCs/>
        </w:rPr>
        <w:t xml:space="preserve"> relied on in </w:t>
      </w:r>
      <w:r w:rsidR="000C293D">
        <w:rPr>
          <w:rFonts w:ascii="Century Schoolbook" w:hAnsi="Century Schoolbook"/>
          <w:b w:val="0"/>
          <w:bCs/>
          <w:i/>
          <w:iCs/>
        </w:rPr>
        <w:t>Lafferty</w:t>
      </w:r>
      <w:r>
        <w:rPr>
          <w:rFonts w:ascii="Century Schoolbook" w:hAnsi="Century Schoolbook"/>
          <w:b w:val="0"/>
          <w:bCs/>
        </w:rPr>
        <w:t xml:space="preserve">, in contexts outside the holder rule, </w:t>
      </w:r>
      <w:r w:rsidR="005E7A09">
        <w:rPr>
          <w:rFonts w:ascii="Century Schoolbook" w:hAnsi="Century Schoolbook"/>
          <w:b w:val="0"/>
          <w:bCs/>
        </w:rPr>
        <w:t xml:space="preserve">that </w:t>
      </w:r>
      <w:r>
        <w:rPr>
          <w:rFonts w:ascii="Century Schoolbook" w:hAnsi="Century Schoolbook"/>
          <w:b w:val="0"/>
          <w:bCs/>
        </w:rPr>
        <w:t xml:space="preserve">discuss recovery as </w:t>
      </w:r>
      <w:r w:rsidR="000C293D">
        <w:rPr>
          <w:rFonts w:ascii="Century Schoolbook" w:hAnsi="Century Schoolbook"/>
          <w:b w:val="0"/>
          <w:bCs/>
        </w:rPr>
        <w:t xml:space="preserve">a broad term </w:t>
      </w:r>
      <w:r>
        <w:rPr>
          <w:rFonts w:ascii="Century Schoolbook" w:hAnsi="Century Schoolbook"/>
          <w:b w:val="0"/>
          <w:bCs/>
        </w:rPr>
        <w:t xml:space="preserve">including attorney fees. </w:t>
      </w:r>
      <w:r w:rsidR="000C293D">
        <w:rPr>
          <w:rFonts w:ascii="Century Schoolbook" w:hAnsi="Century Schoolbook"/>
          <w:b w:val="0"/>
          <w:bCs/>
        </w:rPr>
        <w:t xml:space="preserve"> (</w:t>
      </w:r>
      <w:r w:rsidR="005E7A09" w:rsidRPr="005E7A09">
        <w:rPr>
          <w:rFonts w:ascii="Century Schoolbook" w:hAnsi="Century Schoolbook"/>
          <w:b w:val="0"/>
          <w:bCs/>
          <w:i/>
          <w:iCs/>
        </w:rPr>
        <w:t>Pulliam</w:t>
      </w:r>
      <w:r w:rsidR="005E7A09">
        <w:rPr>
          <w:rFonts w:ascii="Century Schoolbook" w:hAnsi="Century Schoolbook"/>
          <w:b w:val="0"/>
          <w:bCs/>
          <w:i/>
          <w:iCs/>
        </w:rPr>
        <w:t xml:space="preserve">, supra, </w:t>
      </w:r>
      <w:r w:rsidR="005E7A09" w:rsidRPr="005E7A09">
        <w:rPr>
          <w:rFonts w:ascii="Century Schoolbook" w:hAnsi="Century Schoolbook"/>
          <w:b w:val="0"/>
          <w:bCs/>
        </w:rPr>
        <w:t xml:space="preserve">60 Cal.App.5th </w:t>
      </w:r>
      <w:r w:rsidR="005E7A09">
        <w:rPr>
          <w:rFonts w:ascii="Century Schoolbook" w:hAnsi="Century Schoolbook"/>
          <w:b w:val="0"/>
          <w:bCs/>
        </w:rPr>
        <w:t>at p.</w:t>
      </w:r>
      <w:r w:rsidR="00D409D7">
        <w:rPr>
          <w:rFonts w:ascii="Century Schoolbook" w:hAnsi="Century Schoolbook"/>
          <w:b w:val="0"/>
          <w:bCs/>
        </w:rPr>
        <w:t> </w:t>
      </w:r>
      <w:r w:rsidR="005E7A09">
        <w:rPr>
          <w:rFonts w:ascii="Century Schoolbook" w:hAnsi="Century Schoolbook"/>
          <w:b w:val="0"/>
          <w:bCs/>
        </w:rPr>
        <w:t>413</w:t>
      </w:r>
      <w:r w:rsidR="000C293D">
        <w:rPr>
          <w:rFonts w:ascii="Century Schoolbook" w:hAnsi="Century Schoolbook"/>
          <w:b w:val="0"/>
          <w:bCs/>
        </w:rPr>
        <w:t xml:space="preserve">.)  </w:t>
      </w:r>
      <w:r>
        <w:rPr>
          <w:rFonts w:ascii="Century Schoolbook" w:hAnsi="Century Schoolbook"/>
          <w:b w:val="0"/>
          <w:bCs/>
          <w:i/>
          <w:iCs/>
        </w:rPr>
        <w:t xml:space="preserve">Pulliam </w:t>
      </w:r>
      <w:r w:rsidR="005E7A09">
        <w:rPr>
          <w:rFonts w:ascii="Century Schoolbook" w:hAnsi="Century Schoolbook"/>
          <w:b w:val="0"/>
          <w:bCs/>
        </w:rPr>
        <w:t>describes the legislative history of the holder rule in detail</w:t>
      </w:r>
      <w:r w:rsidR="000458F0">
        <w:rPr>
          <w:rFonts w:ascii="Century Schoolbook" w:hAnsi="Century Schoolbook"/>
          <w:b w:val="0"/>
          <w:bCs/>
        </w:rPr>
        <w:t xml:space="preserve"> (</w:t>
      </w:r>
      <w:r w:rsidR="00FD42FB">
        <w:rPr>
          <w:rFonts w:ascii="Century Schoolbook" w:hAnsi="Century Schoolbook"/>
          <w:b w:val="0"/>
          <w:bCs/>
          <w:i/>
          <w:iCs/>
        </w:rPr>
        <w:t>Pulliam,</w:t>
      </w:r>
      <w:r w:rsidR="000458F0">
        <w:rPr>
          <w:rFonts w:ascii="Century Schoolbook" w:hAnsi="Century Schoolbook"/>
          <w:b w:val="0"/>
          <w:bCs/>
          <w:i/>
          <w:iCs/>
        </w:rPr>
        <w:t xml:space="preserve"> </w:t>
      </w:r>
      <w:r w:rsidR="000458F0">
        <w:rPr>
          <w:rFonts w:ascii="Century Schoolbook" w:hAnsi="Century Schoolbook"/>
          <w:b w:val="0"/>
          <w:bCs/>
        </w:rPr>
        <w:t>at pp. 413</w:t>
      </w:r>
      <w:r w:rsidR="00A80E42" w:rsidRPr="001449A2">
        <w:rPr>
          <w:rFonts w:ascii="Century Schoolbook" w:hAnsi="Century Schoolbook"/>
          <w:szCs w:val="26"/>
        </w:rPr>
        <w:t>–</w:t>
      </w:r>
      <w:r w:rsidR="000458F0">
        <w:rPr>
          <w:rFonts w:ascii="Century Schoolbook" w:hAnsi="Century Schoolbook"/>
          <w:b w:val="0"/>
          <w:bCs/>
        </w:rPr>
        <w:t>41</w:t>
      </w:r>
      <w:r w:rsidR="0048259B">
        <w:rPr>
          <w:rFonts w:ascii="Century Schoolbook" w:hAnsi="Century Schoolbook"/>
          <w:b w:val="0"/>
          <w:bCs/>
        </w:rPr>
        <w:t>5</w:t>
      </w:r>
      <w:r w:rsidR="000458F0">
        <w:rPr>
          <w:rFonts w:ascii="Century Schoolbook" w:hAnsi="Century Schoolbook"/>
          <w:b w:val="0"/>
          <w:bCs/>
        </w:rPr>
        <w:t>)</w:t>
      </w:r>
      <w:r w:rsidR="005E7A09">
        <w:rPr>
          <w:rFonts w:ascii="Century Schoolbook" w:hAnsi="Century Schoolbook"/>
          <w:b w:val="0"/>
          <w:bCs/>
        </w:rPr>
        <w:t xml:space="preserve">, </w:t>
      </w:r>
      <w:r w:rsidR="00FB1F7E">
        <w:rPr>
          <w:rFonts w:ascii="Century Schoolbook" w:hAnsi="Century Schoolbook"/>
          <w:b w:val="0"/>
          <w:bCs/>
        </w:rPr>
        <w:t>and recounts subsequent statements at a 1976 congressional hearing by the acting director of the FTC’s Bureau of Consumer Protection</w:t>
      </w:r>
      <w:r w:rsidR="0048259B">
        <w:rPr>
          <w:rFonts w:ascii="Century Schoolbook" w:hAnsi="Century Schoolbook"/>
          <w:b w:val="0"/>
          <w:bCs/>
        </w:rPr>
        <w:t xml:space="preserve"> (</w:t>
      </w:r>
      <w:r w:rsidR="0048259B">
        <w:rPr>
          <w:rFonts w:ascii="Century Schoolbook" w:hAnsi="Century Schoolbook"/>
          <w:b w:val="0"/>
          <w:bCs/>
          <w:i/>
          <w:iCs/>
        </w:rPr>
        <w:t xml:space="preserve">id. </w:t>
      </w:r>
      <w:r w:rsidR="0048259B">
        <w:rPr>
          <w:rFonts w:ascii="Century Schoolbook" w:hAnsi="Century Schoolbook"/>
          <w:b w:val="0"/>
          <w:bCs/>
        </w:rPr>
        <w:t>at pp. 414</w:t>
      </w:r>
      <w:r w:rsidR="00A80E42" w:rsidRPr="001449A2">
        <w:rPr>
          <w:rFonts w:ascii="Century Schoolbook" w:hAnsi="Century Schoolbook"/>
          <w:szCs w:val="26"/>
        </w:rPr>
        <w:t>–</w:t>
      </w:r>
      <w:r w:rsidR="0048259B">
        <w:rPr>
          <w:rFonts w:ascii="Century Schoolbook" w:hAnsi="Century Schoolbook"/>
          <w:b w:val="0"/>
          <w:bCs/>
        </w:rPr>
        <w:t>415)</w:t>
      </w:r>
      <w:r w:rsidR="008B2308">
        <w:rPr>
          <w:rFonts w:ascii="Century Schoolbook" w:hAnsi="Century Schoolbook"/>
          <w:b w:val="0"/>
          <w:bCs/>
        </w:rPr>
        <w:t>.  Among other things, the acting director recounted “one express cautionary limitation on a creditor’s exposure.  The consumer may never recover consequential damages under the provision which exceed the amount of the credit contract.”  (</w:t>
      </w:r>
      <w:r w:rsidR="008B2308">
        <w:rPr>
          <w:rFonts w:ascii="Century Schoolbook" w:hAnsi="Century Schoolbook"/>
          <w:b w:val="0"/>
          <w:bCs/>
          <w:i/>
          <w:iCs/>
        </w:rPr>
        <w:t xml:space="preserve">Pulliam, </w:t>
      </w:r>
      <w:r w:rsidR="008B2308">
        <w:rPr>
          <w:rFonts w:ascii="Century Schoolbook" w:hAnsi="Century Schoolbook"/>
          <w:b w:val="0"/>
          <w:bCs/>
        </w:rPr>
        <w:t>at p. 415.)</w:t>
      </w:r>
      <w:r w:rsidR="00D6444A">
        <w:rPr>
          <w:rFonts w:ascii="Century Schoolbook" w:hAnsi="Century Schoolbook"/>
          <w:b w:val="0"/>
          <w:bCs/>
        </w:rPr>
        <w:t xml:space="preserve">  </w:t>
      </w:r>
    </w:p>
    <w:p w14:paraId="74234A46" w14:textId="77777777" w:rsidR="00A03C4E" w:rsidRDefault="00D6444A" w:rsidP="005E7A09">
      <w:pPr>
        <w:spacing w:line="288" w:lineRule="auto"/>
        <w:ind w:firstLine="720"/>
        <w:rPr>
          <w:rFonts w:ascii="Century Schoolbook" w:hAnsi="Century Schoolbook"/>
          <w:b w:val="0"/>
          <w:bCs/>
        </w:rPr>
      </w:pPr>
      <w:r>
        <w:rPr>
          <w:rFonts w:ascii="Century Schoolbook" w:hAnsi="Century Schoolbook"/>
          <w:b w:val="0"/>
          <w:bCs/>
          <w:i/>
          <w:iCs/>
        </w:rPr>
        <w:t xml:space="preserve">Pulliam </w:t>
      </w:r>
      <w:r>
        <w:rPr>
          <w:rFonts w:ascii="Century Schoolbook" w:hAnsi="Century Schoolbook"/>
          <w:b w:val="0"/>
          <w:bCs/>
        </w:rPr>
        <w:t>observed that the acting director’s comments “indicate that at the time the FTC’s position on the limitation on recovery was that the rule limited consequential damages, not attorney’s fees</w:t>
      </w:r>
      <w:r w:rsidR="0048259B">
        <w:rPr>
          <w:rFonts w:ascii="Century Schoolbook" w:hAnsi="Century Schoolbook"/>
          <w:b w:val="0"/>
          <w:bCs/>
        </w:rPr>
        <w:t>.”  (</w:t>
      </w:r>
      <w:r w:rsidR="0048259B">
        <w:rPr>
          <w:rFonts w:ascii="Century Schoolbook" w:hAnsi="Century Schoolbook"/>
          <w:b w:val="0"/>
          <w:bCs/>
          <w:i/>
          <w:iCs/>
        </w:rPr>
        <w:t xml:space="preserve">Pulliam, supra, </w:t>
      </w:r>
      <w:r w:rsidR="0048259B">
        <w:rPr>
          <w:rFonts w:ascii="Century Schoolbook" w:hAnsi="Century Schoolbook"/>
          <w:b w:val="0"/>
          <w:bCs/>
        </w:rPr>
        <w:t>60 Cal.App.5th at p. 415.)  Including</w:t>
      </w:r>
      <w:r>
        <w:rPr>
          <w:rFonts w:ascii="Century Schoolbook" w:hAnsi="Century Schoolbook"/>
          <w:b w:val="0"/>
          <w:bCs/>
        </w:rPr>
        <w:t xml:space="preserve"> attorney fees in the limitation on recovery</w:t>
      </w:r>
      <w:r w:rsidR="0048259B">
        <w:rPr>
          <w:rFonts w:ascii="Century Schoolbook" w:hAnsi="Century Schoolbook"/>
          <w:b w:val="0"/>
          <w:bCs/>
        </w:rPr>
        <w:t xml:space="preserve">, the court said, </w:t>
      </w:r>
      <w:r>
        <w:rPr>
          <w:rFonts w:ascii="Century Schoolbook" w:hAnsi="Century Schoolbook"/>
          <w:b w:val="0"/>
          <w:bCs/>
        </w:rPr>
        <w:t>“would be out of sync with [the holder rule’s] objective of reallocating the costs of the seller’s misconduct from the consumer back to the seller and creditor.”  (</w:t>
      </w:r>
      <w:r w:rsidR="00CD7391">
        <w:rPr>
          <w:rFonts w:ascii="Century Schoolbook" w:hAnsi="Century Schoolbook"/>
          <w:b w:val="0"/>
          <w:bCs/>
          <w:i/>
          <w:iCs/>
        </w:rPr>
        <w:t>I</w:t>
      </w:r>
      <w:r w:rsidR="0048259B">
        <w:rPr>
          <w:rFonts w:ascii="Century Schoolbook" w:hAnsi="Century Schoolbook"/>
          <w:b w:val="0"/>
          <w:bCs/>
          <w:i/>
          <w:iCs/>
        </w:rPr>
        <w:t>bi</w:t>
      </w:r>
      <w:r w:rsidR="00CD7391">
        <w:rPr>
          <w:rFonts w:ascii="Century Schoolbook" w:hAnsi="Century Schoolbook"/>
          <w:b w:val="0"/>
          <w:bCs/>
          <w:i/>
          <w:iCs/>
        </w:rPr>
        <w:t>d.</w:t>
      </w:r>
      <w:r w:rsidR="00CD7391">
        <w:rPr>
          <w:rFonts w:ascii="Century Schoolbook" w:hAnsi="Century Schoolbook"/>
          <w:b w:val="0"/>
          <w:bCs/>
        </w:rPr>
        <w:t xml:space="preserve">)  </w:t>
      </w:r>
      <w:r w:rsidR="00A03C4E" w:rsidRPr="00621D3A">
        <w:rPr>
          <w:rFonts w:ascii="Century Schoolbook" w:hAnsi="Century Schoolbook"/>
          <w:b w:val="0"/>
          <w:bCs/>
          <w:szCs w:val="26"/>
        </w:rPr>
        <w:t xml:space="preserve">Similarly, in staff </w:t>
      </w:r>
      <w:r w:rsidR="00A03C4E" w:rsidRPr="00621D3A">
        <w:rPr>
          <w:rFonts w:ascii="Century Schoolbook" w:hAnsi="Century Schoolbook"/>
          <w:b w:val="0"/>
          <w:bCs/>
          <w:szCs w:val="26"/>
        </w:rPr>
        <w:lastRenderedPageBreak/>
        <w:t>guidelines on the rule issued in 1976, the staff, discussing the limitation on the creditor’s liability, stated that “[t]he consumer may not assert [against] the creditor any rights he might have against the seller for additional consequential damages and the like.”  (</w:t>
      </w:r>
      <w:r w:rsidR="00A03C4E" w:rsidRPr="00B854BD">
        <w:rPr>
          <w:rFonts w:ascii="Century Schoolbook" w:hAnsi="Century Schoolbook"/>
          <w:b w:val="0"/>
          <w:bCs/>
          <w:szCs w:val="26"/>
        </w:rPr>
        <w:t>41 Fed.Reg. 20023 (May 14, 1976).)</w:t>
      </w:r>
      <w:r w:rsidR="00A03C4E">
        <w:rPr>
          <w:rFonts w:ascii="Century Schoolbook" w:hAnsi="Century Schoolbook"/>
          <w:b w:val="0"/>
          <w:bCs/>
          <w:szCs w:val="26"/>
        </w:rPr>
        <w:t xml:space="preserve">  </w:t>
      </w:r>
      <w:r w:rsidR="008B2308">
        <w:rPr>
          <w:rFonts w:ascii="Century Schoolbook" w:hAnsi="Century Schoolbook"/>
          <w:b w:val="0"/>
          <w:bCs/>
        </w:rPr>
        <w:t xml:space="preserve">  </w:t>
      </w:r>
    </w:p>
    <w:p w14:paraId="08E55359" w14:textId="77777777" w:rsidR="00BD1500" w:rsidRDefault="008B2308" w:rsidP="005E7A09">
      <w:pPr>
        <w:spacing w:line="288" w:lineRule="auto"/>
        <w:ind w:firstLine="720"/>
        <w:rPr>
          <w:rFonts w:ascii="Century Schoolbook" w:hAnsi="Century Schoolbook"/>
          <w:b w:val="0"/>
          <w:bCs/>
        </w:rPr>
      </w:pPr>
      <w:r>
        <w:rPr>
          <w:rFonts w:ascii="Century Schoolbook" w:hAnsi="Century Schoolbook"/>
          <w:b w:val="0"/>
          <w:bCs/>
          <w:i/>
          <w:iCs/>
        </w:rPr>
        <w:t xml:space="preserve">Pulliam </w:t>
      </w:r>
      <w:r w:rsidR="005E7A09">
        <w:rPr>
          <w:rFonts w:ascii="Century Schoolbook" w:hAnsi="Century Schoolbook"/>
          <w:b w:val="0"/>
          <w:bCs/>
        </w:rPr>
        <w:t>ultimately conclud</w:t>
      </w:r>
      <w:r>
        <w:rPr>
          <w:rFonts w:ascii="Century Schoolbook" w:hAnsi="Century Schoolbook"/>
          <w:b w:val="0"/>
          <w:bCs/>
        </w:rPr>
        <w:t>es</w:t>
      </w:r>
      <w:r w:rsidR="005E7A09">
        <w:rPr>
          <w:rFonts w:ascii="Century Schoolbook" w:hAnsi="Century Schoolbook"/>
          <w:b w:val="0"/>
          <w:bCs/>
        </w:rPr>
        <w:t xml:space="preserve"> that “[b]</w:t>
      </w:r>
      <w:r w:rsidR="005E7A09" w:rsidRPr="005E7A09">
        <w:rPr>
          <w:rFonts w:ascii="Century Schoolbook" w:hAnsi="Century Schoolbook"/>
          <w:b w:val="0"/>
          <w:bCs/>
        </w:rPr>
        <w:t>oth consumer rights and the rule</w:t>
      </w:r>
      <w:r w:rsidR="005E7A09">
        <w:rPr>
          <w:rFonts w:ascii="Century Schoolbook" w:hAnsi="Century Schoolbook"/>
          <w:b w:val="0"/>
          <w:bCs/>
        </w:rPr>
        <w:t>’</w:t>
      </w:r>
      <w:r w:rsidR="005E7A09" w:rsidRPr="005E7A09">
        <w:rPr>
          <w:rFonts w:ascii="Century Schoolbook" w:hAnsi="Century Schoolbook"/>
          <w:b w:val="0"/>
          <w:bCs/>
        </w:rPr>
        <w:t>s purpose would be frustrated if attorney fees were not recoverable from both the seller and the creditor-assignee.</w:t>
      </w:r>
      <w:r w:rsidR="005E7A09">
        <w:rPr>
          <w:rFonts w:ascii="Century Schoolbook" w:hAnsi="Century Schoolbook"/>
          <w:b w:val="0"/>
          <w:bCs/>
        </w:rPr>
        <w:t xml:space="preserve">”  </w:t>
      </w:r>
      <w:r w:rsidR="005E7A09" w:rsidRPr="005E7A09">
        <w:rPr>
          <w:rFonts w:ascii="Century Schoolbook" w:hAnsi="Century Schoolbook"/>
          <w:b w:val="0"/>
          <w:bCs/>
        </w:rPr>
        <w:t>(</w:t>
      </w:r>
      <w:r w:rsidR="005E7A09" w:rsidRPr="005E7A09">
        <w:rPr>
          <w:rFonts w:ascii="Century Schoolbook" w:hAnsi="Century Schoolbook"/>
          <w:b w:val="0"/>
          <w:bCs/>
          <w:i/>
          <w:iCs/>
        </w:rPr>
        <w:t>Pulliam</w:t>
      </w:r>
      <w:r w:rsidR="005E7A09">
        <w:rPr>
          <w:rFonts w:ascii="Century Schoolbook" w:hAnsi="Century Schoolbook"/>
          <w:b w:val="0"/>
          <w:bCs/>
          <w:i/>
          <w:iCs/>
        </w:rPr>
        <w:t xml:space="preserve">, supra, </w:t>
      </w:r>
      <w:r w:rsidR="005E7A09" w:rsidRPr="005E7A09">
        <w:rPr>
          <w:rFonts w:ascii="Century Schoolbook" w:hAnsi="Century Schoolbook"/>
          <w:b w:val="0"/>
          <w:bCs/>
        </w:rPr>
        <w:t xml:space="preserve">60 Cal.App.5th </w:t>
      </w:r>
      <w:r w:rsidR="005E7A09">
        <w:rPr>
          <w:rFonts w:ascii="Century Schoolbook" w:hAnsi="Century Schoolbook"/>
          <w:b w:val="0"/>
          <w:bCs/>
        </w:rPr>
        <w:t xml:space="preserve">at p. </w:t>
      </w:r>
      <w:r w:rsidR="005E7A09" w:rsidRPr="005E7A09">
        <w:rPr>
          <w:rFonts w:ascii="Century Schoolbook" w:hAnsi="Century Schoolbook"/>
          <w:b w:val="0"/>
          <w:bCs/>
        </w:rPr>
        <w:t>416</w:t>
      </w:r>
      <w:r w:rsidR="005E7A09">
        <w:rPr>
          <w:rFonts w:ascii="Century Schoolbook" w:hAnsi="Century Schoolbook"/>
          <w:b w:val="0"/>
          <w:bCs/>
        </w:rPr>
        <w:t xml:space="preserve">.) </w:t>
      </w:r>
      <w:r w:rsidR="000458F0">
        <w:rPr>
          <w:rFonts w:ascii="Century Schoolbook" w:hAnsi="Century Schoolbook"/>
          <w:b w:val="0"/>
          <w:bCs/>
        </w:rPr>
        <w:t xml:space="preserve"> We agree with this analysis.</w:t>
      </w:r>
    </w:p>
    <w:p w14:paraId="60BB30CE" w14:textId="77777777" w:rsidR="00A03C4E" w:rsidRDefault="008B2308" w:rsidP="005E7A09">
      <w:pPr>
        <w:spacing w:line="288" w:lineRule="auto"/>
        <w:ind w:firstLine="720"/>
        <w:rPr>
          <w:rFonts w:ascii="Century Schoolbook" w:hAnsi="Century Schoolbook"/>
          <w:b w:val="0"/>
          <w:bCs/>
        </w:rPr>
      </w:pPr>
      <w:r>
        <w:rPr>
          <w:rFonts w:ascii="Century Schoolbook" w:hAnsi="Century Schoolbook"/>
          <w:b w:val="0"/>
          <w:bCs/>
          <w:i/>
          <w:iCs/>
        </w:rPr>
        <w:t xml:space="preserve">Pulliam </w:t>
      </w:r>
      <w:r>
        <w:rPr>
          <w:rFonts w:ascii="Century Schoolbook" w:hAnsi="Century Schoolbook"/>
          <w:b w:val="0"/>
          <w:bCs/>
        </w:rPr>
        <w:t>then addresses the FTC’s 2019 rule confirmation, described above</w:t>
      </w:r>
      <w:r w:rsidR="008548CB">
        <w:rPr>
          <w:rFonts w:ascii="Century Schoolbook" w:hAnsi="Century Schoolbook"/>
          <w:b w:val="0"/>
          <w:bCs/>
        </w:rPr>
        <w:t xml:space="preserve">, </w:t>
      </w:r>
      <w:r w:rsidR="005C6E31">
        <w:rPr>
          <w:rFonts w:ascii="Century Schoolbook" w:hAnsi="Century Schoolbook"/>
          <w:b w:val="0"/>
          <w:bCs/>
        </w:rPr>
        <w:t>and concludes the FTC’s contrary interpretation of the holder rule is not entitled to deference.  (</w:t>
      </w:r>
      <w:r w:rsidR="005C6E31">
        <w:rPr>
          <w:rFonts w:ascii="Century Schoolbook" w:hAnsi="Century Schoolbook"/>
          <w:b w:val="0"/>
          <w:bCs/>
          <w:i/>
          <w:iCs/>
        </w:rPr>
        <w:t xml:space="preserve">Pulliam, supra, </w:t>
      </w:r>
      <w:r w:rsidR="005C6E31">
        <w:rPr>
          <w:rFonts w:ascii="Century Schoolbook" w:hAnsi="Century Schoolbook"/>
          <w:b w:val="0"/>
          <w:bCs/>
        </w:rPr>
        <w:t>60</w:t>
      </w:r>
      <w:r w:rsidR="00D409D7">
        <w:rPr>
          <w:rFonts w:ascii="Century Schoolbook" w:hAnsi="Century Schoolbook"/>
          <w:b w:val="0"/>
          <w:bCs/>
        </w:rPr>
        <w:t> </w:t>
      </w:r>
      <w:r w:rsidR="005C6E31">
        <w:rPr>
          <w:rFonts w:ascii="Century Schoolbook" w:hAnsi="Century Schoolbook"/>
          <w:b w:val="0"/>
          <w:bCs/>
        </w:rPr>
        <w:t>Cal.App.5</w:t>
      </w:r>
      <w:r w:rsidR="002768A5">
        <w:rPr>
          <w:rFonts w:ascii="Century Schoolbook" w:hAnsi="Century Schoolbook"/>
          <w:b w:val="0"/>
          <w:bCs/>
        </w:rPr>
        <w:t xml:space="preserve">th </w:t>
      </w:r>
      <w:r w:rsidR="005C6E31">
        <w:rPr>
          <w:rFonts w:ascii="Century Schoolbook" w:hAnsi="Century Schoolbook"/>
          <w:b w:val="0"/>
          <w:bCs/>
        </w:rPr>
        <w:t>at pp. 419</w:t>
      </w:r>
      <w:r w:rsidR="00A80E42" w:rsidRPr="001449A2">
        <w:rPr>
          <w:rFonts w:ascii="Century Schoolbook" w:hAnsi="Century Schoolbook"/>
          <w:szCs w:val="26"/>
        </w:rPr>
        <w:t>–</w:t>
      </w:r>
      <w:r w:rsidR="005C6E31">
        <w:rPr>
          <w:rFonts w:ascii="Century Schoolbook" w:hAnsi="Century Schoolbook"/>
          <w:b w:val="0"/>
          <w:bCs/>
        </w:rPr>
        <w:t xml:space="preserve">422.)  </w:t>
      </w:r>
      <w:r w:rsidR="00A03C4E">
        <w:rPr>
          <w:rFonts w:ascii="Century Schoolbook" w:hAnsi="Century Schoolbook"/>
          <w:b w:val="0"/>
          <w:bCs/>
        </w:rPr>
        <w:t>We agree with this analysis as well.</w:t>
      </w:r>
    </w:p>
    <w:p w14:paraId="084C46E0" w14:textId="77777777" w:rsidR="00CE5EF7" w:rsidRDefault="002768A5" w:rsidP="00CE5EF7">
      <w:pPr>
        <w:spacing w:line="288" w:lineRule="auto"/>
        <w:ind w:firstLine="720"/>
        <w:rPr>
          <w:rFonts w:ascii="Century Schoolbook" w:hAnsi="Century Schoolbook"/>
          <w:b w:val="0"/>
          <w:bCs/>
        </w:rPr>
      </w:pPr>
      <w:r>
        <w:rPr>
          <w:rFonts w:ascii="Century Schoolbook" w:hAnsi="Century Schoolbook"/>
          <w:b w:val="0"/>
          <w:bCs/>
        </w:rPr>
        <w:t>After describing the rule confirmation proceeding and comments the FTC received (</w:t>
      </w:r>
      <w:r w:rsidR="009F3F7D">
        <w:rPr>
          <w:rFonts w:ascii="Century Schoolbook" w:hAnsi="Century Schoolbook"/>
          <w:b w:val="0"/>
          <w:bCs/>
          <w:i/>
          <w:iCs/>
        </w:rPr>
        <w:t xml:space="preserve">Pulliam, supra, </w:t>
      </w:r>
      <w:r w:rsidR="009F3F7D">
        <w:rPr>
          <w:rFonts w:ascii="Century Schoolbook" w:hAnsi="Century Schoolbook"/>
          <w:b w:val="0"/>
          <w:bCs/>
        </w:rPr>
        <w:t>60 Cal.App.5th</w:t>
      </w:r>
      <w:r>
        <w:rPr>
          <w:rFonts w:ascii="Century Schoolbook" w:hAnsi="Century Schoolbook"/>
          <w:b w:val="0"/>
          <w:bCs/>
          <w:i/>
          <w:iCs/>
        </w:rPr>
        <w:t xml:space="preserve"> </w:t>
      </w:r>
      <w:r>
        <w:rPr>
          <w:rFonts w:ascii="Century Schoolbook" w:hAnsi="Century Schoolbook"/>
          <w:b w:val="0"/>
          <w:bCs/>
        </w:rPr>
        <w:t>at pp.</w:t>
      </w:r>
      <w:r w:rsidR="00A80E42">
        <w:rPr>
          <w:rFonts w:ascii="Century Schoolbook" w:hAnsi="Century Schoolbook"/>
          <w:b w:val="0"/>
          <w:bCs/>
        </w:rPr>
        <w:t> </w:t>
      </w:r>
      <w:r>
        <w:rPr>
          <w:rFonts w:ascii="Century Schoolbook" w:hAnsi="Century Schoolbook"/>
          <w:b w:val="0"/>
          <w:bCs/>
        </w:rPr>
        <w:t>416</w:t>
      </w:r>
      <w:r w:rsidR="00A80E42" w:rsidRPr="001449A2">
        <w:rPr>
          <w:rFonts w:ascii="Century Schoolbook" w:hAnsi="Century Schoolbook"/>
          <w:szCs w:val="26"/>
        </w:rPr>
        <w:t>–</w:t>
      </w:r>
      <w:r>
        <w:rPr>
          <w:rFonts w:ascii="Century Schoolbook" w:hAnsi="Century Schoolbook"/>
          <w:b w:val="0"/>
          <w:bCs/>
        </w:rPr>
        <w:t xml:space="preserve">419), </w:t>
      </w:r>
      <w:r>
        <w:rPr>
          <w:rFonts w:ascii="Century Schoolbook" w:hAnsi="Century Schoolbook"/>
          <w:b w:val="0"/>
          <w:bCs/>
          <w:i/>
          <w:iCs/>
        </w:rPr>
        <w:t xml:space="preserve">Pulliam </w:t>
      </w:r>
      <w:r>
        <w:rPr>
          <w:rFonts w:ascii="Century Schoolbook" w:hAnsi="Century Schoolbook"/>
          <w:b w:val="0"/>
          <w:bCs/>
        </w:rPr>
        <w:t xml:space="preserve">analyzed the doctrine </w:t>
      </w:r>
      <w:r w:rsidR="00373572">
        <w:rPr>
          <w:rFonts w:ascii="Century Schoolbook" w:hAnsi="Century Schoolbook"/>
          <w:b w:val="0"/>
          <w:bCs/>
        </w:rPr>
        <w:t xml:space="preserve">of deference to an agency’s interpretation of its own regulations, </w:t>
      </w:r>
      <w:r>
        <w:rPr>
          <w:rFonts w:ascii="Century Schoolbook" w:hAnsi="Century Schoolbook"/>
          <w:b w:val="0"/>
          <w:bCs/>
        </w:rPr>
        <w:t xml:space="preserve">as described by the high court in </w:t>
      </w:r>
      <w:r>
        <w:rPr>
          <w:rFonts w:ascii="Century Schoolbook" w:hAnsi="Century Schoolbook"/>
          <w:b w:val="0"/>
          <w:bCs/>
          <w:i/>
          <w:iCs/>
        </w:rPr>
        <w:t xml:space="preserve">Kisor v. Wilkie </w:t>
      </w:r>
      <w:r>
        <w:rPr>
          <w:rFonts w:ascii="Century Schoolbook" w:hAnsi="Century Schoolbook"/>
          <w:b w:val="0"/>
          <w:bCs/>
        </w:rPr>
        <w:t xml:space="preserve">(2019) </w:t>
      </w:r>
      <w:r w:rsidR="00C92155">
        <w:rPr>
          <w:rFonts w:ascii="Century Schoolbook" w:hAnsi="Century Schoolbook"/>
          <w:b w:val="0"/>
          <w:bCs/>
        </w:rPr>
        <w:t>588</w:t>
      </w:r>
      <w:r>
        <w:rPr>
          <w:rFonts w:ascii="Century Schoolbook" w:hAnsi="Century Schoolbook"/>
          <w:b w:val="0"/>
          <w:bCs/>
        </w:rPr>
        <w:t xml:space="preserve"> U.S. ___</w:t>
      </w:r>
      <w:r w:rsidR="00D409D7">
        <w:rPr>
          <w:rFonts w:ascii="Century Schoolbook" w:hAnsi="Century Schoolbook"/>
          <w:b w:val="0"/>
          <w:bCs/>
        </w:rPr>
        <w:t xml:space="preserve"> [</w:t>
      </w:r>
      <w:r>
        <w:rPr>
          <w:rFonts w:ascii="Century Schoolbook" w:hAnsi="Century Schoolbook"/>
          <w:b w:val="0"/>
          <w:bCs/>
        </w:rPr>
        <w:t>139 S.Ct. 2400</w:t>
      </w:r>
      <w:r w:rsidR="00D409D7">
        <w:rPr>
          <w:rFonts w:ascii="Century Schoolbook" w:hAnsi="Century Schoolbook"/>
          <w:b w:val="0"/>
          <w:bCs/>
        </w:rPr>
        <w:t>]</w:t>
      </w:r>
      <w:r w:rsidR="009F3F7D">
        <w:rPr>
          <w:rFonts w:ascii="Century Schoolbook" w:hAnsi="Century Schoolbook"/>
          <w:b w:val="0"/>
          <w:bCs/>
        </w:rPr>
        <w:t xml:space="preserve"> (</w:t>
      </w:r>
      <w:r w:rsidR="009F3F7D">
        <w:rPr>
          <w:rFonts w:ascii="Century Schoolbook" w:hAnsi="Century Schoolbook"/>
          <w:b w:val="0"/>
          <w:bCs/>
          <w:i/>
          <w:iCs/>
        </w:rPr>
        <w:t>Kisor</w:t>
      </w:r>
      <w:r w:rsidR="009F3F7D">
        <w:rPr>
          <w:rFonts w:ascii="Century Schoolbook" w:hAnsi="Century Schoolbook"/>
          <w:b w:val="0"/>
          <w:bCs/>
        </w:rPr>
        <w:t>)</w:t>
      </w:r>
      <w:r>
        <w:rPr>
          <w:rFonts w:ascii="Century Schoolbook" w:hAnsi="Century Schoolbook"/>
          <w:b w:val="0"/>
          <w:bCs/>
        </w:rPr>
        <w:t>.</w:t>
      </w:r>
      <w:r w:rsidR="00FD4506">
        <w:rPr>
          <w:rFonts w:ascii="Century Schoolbook" w:hAnsi="Century Schoolbook"/>
          <w:b w:val="0"/>
          <w:bCs/>
        </w:rPr>
        <w:t xml:space="preserve">  (</w:t>
      </w:r>
      <w:r w:rsidR="00FD4506">
        <w:rPr>
          <w:rFonts w:ascii="Century Schoolbook" w:hAnsi="Century Schoolbook"/>
          <w:b w:val="0"/>
          <w:bCs/>
          <w:i/>
          <w:iCs/>
        </w:rPr>
        <w:t xml:space="preserve">Pulliam, </w:t>
      </w:r>
      <w:r w:rsidR="00FD4506">
        <w:rPr>
          <w:rFonts w:ascii="Century Schoolbook" w:hAnsi="Century Schoolbook"/>
          <w:b w:val="0"/>
          <w:bCs/>
        </w:rPr>
        <w:t>at pp. 419</w:t>
      </w:r>
      <w:r w:rsidR="00A80E42" w:rsidRPr="001449A2">
        <w:rPr>
          <w:rFonts w:ascii="Century Schoolbook" w:hAnsi="Century Schoolbook"/>
          <w:szCs w:val="26"/>
        </w:rPr>
        <w:t>–</w:t>
      </w:r>
      <w:r w:rsidR="00FD4506">
        <w:rPr>
          <w:rFonts w:ascii="Century Schoolbook" w:hAnsi="Century Schoolbook"/>
          <w:b w:val="0"/>
          <w:bCs/>
        </w:rPr>
        <w:t xml:space="preserve">420.)  </w:t>
      </w:r>
      <w:r w:rsidR="00FD4506">
        <w:rPr>
          <w:rFonts w:ascii="Century Schoolbook" w:hAnsi="Century Schoolbook"/>
          <w:b w:val="0"/>
          <w:bCs/>
          <w:i/>
          <w:iCs/>
        </w:rPr>
        <w:t>Kisor</w:t>
      </w:r>
      <w:r w:rsidR="00373572">
        <w:rPr>
          <w:rFonts w:ascii="Century Schoolbook" w:hAnsi="Century Schoolbook"/>
          <w:b w:val="0"/>
          <w:bCs/>
          <w:i/>
          <w:iCs/>
        </w:rPr>
        <w:t xml:space="preserve"> </w:t>
      </w:r>
      <w:r w:rsidR="00373572">
        <w:rPr>
          <w:rFonts w:ascii="Century Schoolbook" w:hAnsi="Century Schoolbook"/>
          <w:b w:val="0"/>
          <w:bCs/>
        </w:rPr>
        <w:t>reaffirme</w:t>
      </w:r>
      <w:r w:rsidR="004F32F8">
        <w:rPr>
          <w:rFonts w:ascii="Century Schoolbook" w:hAnsi="Century Schoolbook"/>
          <w:b w:val="0"/>
          <w:bCs/>
        </w:rPr>
        <w:t>d the doctrine and its limitations, instructing</w:t>
      </w:r>
      <w:r w:rsidR="00FD4506">
        <w:rPr>
          <w:rFonts w:ascii="Century Schoolbook" w:hAnsi="Century Schoolbook"/>
          <w:b w:val="0"/>
          <w:bCs/>
        </w:rPr>
        <w:t xml:space="preserve"> court</w:t>
      </w:r>
      <w:r w:rsidR="004F32F8">
        <w:rPr>
          <w:rFonts w:ascii="Century Schoolbook" w:hAnsi="Century Schoolbook"/>
          <w:b w:val="0"/>
          <w:bCs/>
        </w:rPr>
        <w:t>s</w:t>
      </w:r>
      <w:r w:rsidR="00FD4506">
        <w:rPr>
          <w:rFonts w:ascii="Century Schoolbook" w:hAnsi="Century Schoolbook"/>
          <w:b w:val="0"/>
          <w:bCs/>
        </w:rPr>
        <w:t xml:space="preserve"> to </w:t>
      </w:r>
      <w:r w:rsidR="00CE5EF7">
        <w:rPr>
          <w:rFonts w:ascii="Century Schoolbook" w:hAnsi="Century Schoolbook"/>
          <w:b w:val="0"/>
          <w:bCs/>
        </w:rPr>
        <w:t>“</w:t>
      </w:r>
      <w:r w:rsidR="00CE5EF7" w:rsidRPr="00CE5EF7">
        <w:rPr>
          <w:rFonts w:ascii="Century Schoolbook" w:hAnsi="Century Schoolbook"/>
          <w:b w:val="0"/>
          <w:bCs/>
        </w:rPr>
        <w:t>make an independent inquiry into whether the character and context of the agency interpretation entitles it to controlling weight</w:t>
      </w:r>
      <w:r w:rsidR="00CE5EF7">
        <w:rPr>
          <w:rFonts w:ascii="Century Schoolbook" w:hAnsi="Century Schoolbook"/>
          <w:b w:val="0"/>
          <w:bCs/>
        </w:rPr>
        <w:t>,” and indicate</w:t>
      </w:r>
      <w:r w:rsidR="004F32F8">
        <w:rPr>
          <w:rFonts w:ascii="Century Schoolbook" w:hAnsi="Century Schoolbook"/>
          <w:b w:val="0"/>
          <w:bCs/>
        </w:rPr>
        <w:t>d</w:t>
      </w:r>
      <w:r w:rsidR="00CE5EF7">
        <w:rPr>
          <w:rFonts w:ascii="Century Schoolbook" w:hAnsi="Century Schoolbook"/>
          <w:b w:val="0"/>
          <w:bCs/>
        </w:rPr>
        <w:t xml:space="preserve"> there is no “exhaustive test.”  (</w:t>
      </w:r>
      <w:r w:rsidR="00CE5EF7">
        <w:rPr>
          <w:rFonts w:ascii="Century Schoolbook" w:hAnsi="Century Schoolbook"/>
          <w:b w:val="0"/>
          <w:bCs/>
          <w:i/>
          <w:iCs/>
        </w:rPr>
        <w:t xml:space="preserve">Kisor, </w:t>
      </w:r>
      <w:r w:rsidR="00D409D7">
        <w:rPr>
          <w:rFonts w:ascii="Century Schoolbook" w:hAnsi="Century Schoolbook"/>
          <w:b w:val="0"/>
          <w:bCs/>
          <w:i/>
          <w:iCs/>
        </w:rPr>
        <w:t xml:space="preserve">supra, </w:t>
      </w:r>
      <w:r w:rsidR="00CE5EF7">
        <w:rPr>
          <w:rFonts w:ascii="Century Schoolbook" w:hAnsi="Century Schoolbook"/>
          <w:b w:val="0"/>
          <w:bCs/>
        </w:rPr>
        <w:t xml:space="preserve">139 S.Ct. at p. 2416.)  </w:t>
      </w:r>
      <w:r w:rsidR="007667F4">
        <w:rPr>
          <w:rFonts w:ascii="Century Schoolbook" w:hAnsi="Century Schoolbook"/>
          <w:b w:val="0"/>
          <w:bCs/>
          <w:i/>
          <w:iCs/>
        </w:rPr>
        <w:t xml:space="preserve">Kisor </w:t>
      </w:r>
      <w:r w:rsidR="007667F4">
        <w:rPr>
          <w:rFonts w:ascii="Century Schoolbook" w:hAnsi="Century Schoolbook"/>
          <w:b w:val="0"/>
          <w:bCs/>
        </w:rPr>
        <w:t xml:space="preserve">describes </w:t>
      </w:r>
      <w:r w:rsidR="00FE59D4">
        <w:rPr>
          <w:rFonts w:ascii="Century Schoolbook" w:hAnsi="Century Schoolbook"/>
          <w:b w:val="0"/>
          <w:bCs/>
        </w:rPr>
        <w:t>several</w:t>
      </w:r>
      <w:r w:rsidR="007667F4">
        <w:rPr>
          <w:rFonts w:ascii="Century Schoolbook" w:hAnsi="Century Schoolbook"/>
          <w:b w:val="0"/>
          <w:bCs/>
        </w:rPr>
        <w:t xml:space="preserve"> “especially important markers for identifying” when deference “is and is not appropriate.”  (</w:t>
      </w:r>
      <w:r w:rsidR="007667F4">
        <w:rPr>
          <w:rFonts w:ascii="Century Schoolbook" w:hAnsi="Century Schoolbook"/>
          <w:b w:val="0"/>
          <w:bCs/>
          <w:i/>
          <w:iCs/>
        </w:rPr>
        <w:t>Ibid.</w:t>
      </w:r>
      <w:r w:rsidR="007667F4">
        <w:rPr>
          <w:rFonts w:ascii="Century Schoolbook" w:hAnsi="Century Schoolbook"/>
          <w:b w:val="0"/>
          <w:bCs/>
        </w:rPr>
        <w:t>)  Briefly, the regulatory interpretation must be the agency’s authoritative or official position; must “in some way implic</w:t>
      </w:r>
      <w:r w:rsidR="00FE59D4">
        <w:rPr>
          <w:rFonts w:ascii="Century Schoolbook" w:hAnsi="Century Schoolbook"/>
          <w:b w:val="0"/>
          <w:bCs/>
        </w:rPr>
        <w:t>a</w:t>
      </w:r>
      <w:r w:rsidR="007667F4">
        <w:rPr>
          <w:rFonts w:ascii="Century Schoolbook" w:hAnsi="Century Schoolbook"/>
          <w:b w:val="0"/>
          <w:bCs/>
        </w:rPr>
        <w:t xml:space="preserve">te its substantive expertise”; </w:t>
      </w:r>
      <w:r w:rsidR="00FE59D4">
        <w:rPr>
          <w:rFonts w:ascii="Century Schoolbook" w:hAnsi="Century Schoolbook"/>
          <w:b w:val="0"/>
          <w:bCs/>
        </w:rPr>
        <w:t>must reflect “fair and considered judgment”</w:t>
      </w:r>
      <w:r w:rsidR="00B7161B">
        <w:rPr>
          <w:rFonts w:ascii="Century Schoolbook" w:hAnsi="Century Schoolbook"/>
          <w:b w:val="0"/>
          <w:bCs/>
        </w:rPr>
        <w:t xml:space="preserve">; and must not create unfair surprise </w:t>
      </w:r>
      <w:r w:rsidR="00EA62F4">
        <w:rPr>
          <w:rFonts w:ascii="Century Schoolbook" w:hAnsi="Century Schoolbook"/>
          <w:b w:val="0"/>
          <w:bCs/>
        </w:rPr>
        <w:t>to regulated parties</w:t>
      </w:r>
      <w:r w:rsidR="00B12777">
        <w:rPr>
          <w:rFonts w:ascii="Century Schoolbook" w:hAnsi="Century Schoolbook"/>
          <w:b w:val="0"/>
          <w:bCs/>
        </w:rPr>
        <w:t xml:space="preserve">, which may occur </w:t>
      </w:r>
      <w:r w:rsidR="00B12777">
        <w:rPr>
          <w:rFonts w:ascii="Century Schoolbook" w:hAnsi="Century Schoolbook"/>
          <w:b w:val="0"/>
          <w:bCs/>
        </w:rPr>
        <w:lastRenderedPageBreak/>
        <w:t xml:space="preserve">when an agency </w:t>
      </w:r>
      <w:r w:rsidR="00B7161B">
        <w:rPr>
          <w:rFonts w:ascii="Century Schoolbook" w:hAnsi="Century Schoolbook"/>
          <w:b w:val="0"/>
          <w:bCs/>
        </w:rPr>
        <w:t>substitut</w:t>
      </w:r>
      <w:r w:rsidR="00B12777">
        <w:rPr>
          <w:rFonts w:ascii="Century Schoolbook" w:hAnsi="Century Schoolbook"/>
          <w:b w:val="0"/>
          <w:bCs/>
        </w:rPr>
        <w:t xml:space="preserve">es </w:t>
      </w:r>
      <w:r w:rsidR="00B7161B">
        <w:rPr>
          <w:rFonts w:ascii="Century Schoolbook" w:hAnsi="Century Schoolbook"/>
          <w:b w:val="0"/>
          <w:bCs/>
        </w:rPr>
        <w:t xml:space="preserve">one view of a rule for another.  </w:t>
      </w:r>
      <w:r w:rsidR="00FE59D4">
        <w:rPr>
          <w:rFonts w:ascii="Century Schoolbook" w:hAnsi="Century Schoolbook"/>
          <w:b w:val="0"/>
          <w:bCs/>
        </w:rPr>
        <w:t>(</w:t>
      </w:r>
      <w:r w:rsidR="00FE59D4">
        <w:rPr>
          <w:rFonts w:ascii="Century Schoolbook" w:hAnsi="Century Schoolbook"/>
          <w:b w:val="0"/>
          <w:bCs/>
          <w:i/>
          <w:iCs/>
        </w:rPr>
        <w:t xml:space="preserve">Kisor, </w:t>
      </w:r>
      <w:r w:rsidR="00D409D7">
        <w:rPr>
          <w:rFonts w:ascii="Century Schoolbook" w:hAnsi="Century Schoolbook"/>
          <w:b w:val="0"/>
          <w:bCs/>
          <w:i/>
          <w:iCs/>
        </w:rPr>
        <w:t xml:space="preserve">supra, </w:t>
      </w:r>
      <w:r w:rsidR="00FE59D4">
        <w:rPr>
          <w:rFonts w:ascii="Century Schoolbook" w:hAnsi="Century Schoolbook"/>
          <w:b w:val="0"/>
          <w:bCs/>
        </w:rPr>
        <w:t>139 S.Ct. at pp.</w:t>
      </w:r>
      <w:r w:rsidR="000006DB">
        <w:rPr>
          <w:rFonts w:ascii="Century Schoolbook" w:hAnsi="Century Schoolbook"/>
          <w:b w:val="0"/>
          <w:bCs/>
        </w:rPr>
        <w:t xml:space="preserve"> </w:t>
      </w:r>
      <w:r w:rsidR="00FE59D4">
        <w:rPr>
          <w:rFonts w:ascii="Century Schoolbook" w:hAnsi="Century Schoolbook"/>
          <w:b w:val="0"/>
          <w:bCs/>
        </w:rPr>
        <w:t>2416</w:t>
      </w:r>
      <w:r w:rsidR="00A80E42" w:rsidRPr="001449A2">
        <w:rPr>
          <w:rFonts w:ascii="Century Schoolbook" w:hAnsi="Century Schoolbook"/>
          <w:szCs w:val="26"/>
        </w:rPr>
        <w:t>–</w:t>
      </w:r>
      <w:r w:rsidR="00FE59D4">
        <w:rPr>
          <w:rFonts w:ascii="Century Schoolbook" w:hAnsi="Century Schoolbook"/>
          <w:b w:val="0"/>
          <w:bCs/>
        </w:rPr>
        <w:t>2418.)</w:t>
      </w:r>
    </w:p>
    <w:p w14:paraId="7147B266" w14:textId="77777777" w:rsidR="009912CE" w:rsidRDefault="00FE59D4" w:rsidP="009912CE">
      <w:pPr>
        <w:spacing w:line="288" w:lineRule="auto"/>
        <w:ind w:firstLine="720"/>
        <w:rPr>
          <w:rFonts w:ascii="Century Schoolbook" w:hAnsi="Century Schoolbook"/>
          <w:b w:val="0"/>
          <w:bCs/>
        </w:rPr>
      </w:pPr>
      <w:r>
        <w:rPr>
          <w:rFonts w:ascii="Century Schoolbook" w:hAnsi="Century Schoolbook"/>
          <w:b w:val="0"/>
          <w:bCs/>
          <w:i/>
          <w:iCs/>
        </w:rPr>
        <w:t xml:space="preserve">Pulliam </w:t>
      </w:r>
      <w:r>
        <w:rPr>
          <w:rFonts w:ascii="Century Schoolbook" w:hAnsi="Century Schoolbook"/>
          <w:b w:val="0"/>
          <w:bCs/>
        </w:rPr>
        <w:t>analy</w:t>
      </w:r>
      <w:r w:rsidR="004723CA">
        <w:rPr>
          <w:rFonts w:ascii="Century Schoolbook" w:hAnsi="Century Schoolbook"/>
          <w:b w:val="0"/>
          <w:bCs/>
        </w:rPr>
        <w:t>z</w:t>
      </w:r>
      <w:r>
        <w:rPr>
          <w:rFonts w:ascii="Century Schoolbook" w:hAnsi="Century Schoolbook"/>
          <w:b w:val="0"/>
          <w:bCs/>
        </w:rPr>
        <w:t xml:space="preserve">es each of the </w:t>
      </w:r>
      <w:r>
        <w:rPr>
          <w:rFonts w:ascii="Century Schoolbook" w:hAnsi="Century Schoolbook"/>
          <w:b w:val="0"/>
          <w:bCs/>
          <w:i/>
          <w:iCs/>
        </w:rPr>
        <w:t xml:space="preserve">Kisor </w:t>
      </w:r>
      <w:r>
        <w:rPr>
          <w:rFonts w:ascii="Century Schoolbook" w:hAnsi="Century Schoolbook"/>
          <w:b w:val="0"/>
          <w:bCs/>
        </w:rPr>
        <w:t>factors</w:t>
      </w:r>
      <w:r w:rsidR="00EA62F4">
        <w:rPr>
          <w:rFonts w:ascii="Century Schoolbook" w:hAnsi="Century Schoolbook"/>
          <w:b w:val="0"/>
          <w:bCs/>
        </w:rPr>
        <w:t xml:space="preserve"> </w:t>
      </w:r>
      <w:r w:rsidR="00CE5EF7" w:rsidRPr="00CE5EF7">
        <w:rPr>
          <w:rFonts w:ascii="Century Schoolbook" w:hAnsi="Century Schoolbook"/>
          <w:b w:val="0"/>
          <w:bCs/>
        </w:rPr>
        <w:t>(</w:t>
      </w:r>
      <w:r w:rsidR="00CE5EF7" w:rsidRPr="00CE5EF7">
        <w:rPr>
          <w:rFonts w:ascii="Century Schoolbook" w:hAnsi="Century Schoolbook"/>
          <w:b w:val="0"/>
          <w:bCs/>
          <w:i/>
          <w:iCs/>
        </w:rPr>
        <w:t>Pulliam</w:t>
      </w:r>
      <w:r w:rsidR="00EA62F4">
        <w:rPr>
          <w:rFonts w:ascii="Century Schoolbook" w:hAnsi="Century Schoolbook"/>
          <w:b w:val="0"/>
          <w:bCs/>
          <w:i/>
          <w:iCs/>
        </w:rPr>
        <w:t xml:space="preserve">, supra, </w:t>
      </w:r>
      <w:r w:rsidR="00CE5EF7" w:rsidRPr="00CE5EF7">
        <w:rPr>
          <w:rFonts w:ascii="Century Schoolbook" w:hAnsi="Century Schoolbook"/>
          <w:b w:val="0"/>
          <w:bCs/>
        </w:rPr>
        <w:t>60</w:t>
      </w:r>
      <w:r w:rsidR="00D409D7">
        <w:rPr>
          <w:rFonts w:ascii="Century Schoolbook" w:hAnsi="Century Schoolbook"/>
          <w:b w:val="0"/>
          <w:bCs/>
        </w:rPr>
        <w:t> </w:t>
      </w:r>
      <w:r w:rsidR="00CE5EF7" w:rsidRPr="00CE5EF7">
        <w:rPr>
          <w:rFonts w:ascii="Century Schoolbook" w:hAnsi="Century Schoolbook"/>
          <w:b w:val="0"/>
          <w:bCs/>
        </w:rPr>
        <w:t xml:space="preserve">Cal.App.5th </w:t>
      </w:r>
      <w:r w:rsidR="00EA62F4">
        <w:rPr>
          <w:rFonts w:ascii="Century Schoolbook" w:hAnsi="Century Schoolbook"/>
          <w:b w:val="0"/>
          <w:bCs/>
        </w:rPr>
        <w:t xml:space="preserve">at p. </w:t>
      </w:r>
      <w:r w:rsidR="00CE5EF7" w:rsidRPr="00CE5EF7">
        <w:rPr>
          <w:rFonts w:ascii="Century Schoolbook" w:hAnsi="Century Schoolbook"/>
          <w:b w:val="0"/>
          <w:bCs/>
        </w:rPr>
        <w:t>4</w:t>
      </w:r>
      <w:r w:rsidR="00EA62F4">
        <w:rPr>
          <w:rFonts w:ascii="Century Schoolbook" w:hAnsi="Century Schoolbook"/>
          <w:b w:val="0"/>
          <w:bCs/>
        </w:rPr>
        <w:t>20</w:t>
      </w:r>
      <w:r w:rsidR="004723CA">
        <w:rPr>
          <w:rFonts w:ascii="Century Schoolbook" w:hAnsi="Century Schoolbook"/>
          <w:b w:val="0"/>
          <w:bCs/>
        </w:rPr>
        <w:t xml:space="preserve">), and rejects </w:t>
      </w:r>
      <w:r w:rsidR="004723CA">
        <w:rPr>
          <w:rFonts w:ascii="Century Schoolbook" w:hAnsi="Century Schoolbook"/>
          <w:b w:val="0"/>
          <w:bCs/>
          <w:i/>
          <w:iCs/>
        </w:rPr>
        <w:t>Spikener</w:t>
      </w:r>
      <w:r w:rsidR="004723CA">
        <w:rPr>
          <w:rFonts w:ascii="Century Schoolbook" w:hAnsi="Century Schoolbook"/>
          <w:b w:val="0"/>
          <w:bCs/>
        </w:rPr>
        <w:t>’s analysis as incorrect</w:t>
      </w:r>
      <w:r w:rsidR="00B12777">
        <w:rPr>
          <w:rFonts w:ascii="Century Schoolbook" w:hAnsi="Century Schoolbook"/>
          <w:b w:val="0"/>
          <w:bCs/>
        </w:rPr>
        <w:t xml:space="preserve"> (</w:t>
      </w:r>
      <w:r w:rsidR="00A80E42">
        <w:rPr>
          <w:rFonts w:ascii="Century Schoolbook" w:hAnsi="Century Schoolbook"/>
          <w:b w:val="0"/>
          <w:bCs/>
          <w:i/>
          <w:iCs/>
        </w:rPr>
        <w:t>Pulliam,</w:t>
      </w:r>
      <w:r w:rsidR="00B12777">
        <w:rPr>
          <w:rFonts w:ascii="Century Schoolbook" w:hAnsi="Century Schoolbook"/>
          <w:b w:val="0"/>
          <w:bCs/>
          <w:i/>
          <w:iCs/>
        </w:rPr>
        <w:t xml:space="preserve"> </w:t>
      </w:r>
      <w:r w:rsidR="00B12777">
        <w:rPr>
          <w:rFonts w:ascii="Century Schoolbook" w:hAnsi="Century Schoolbook"/>
          <w:b w:val="0"/>
          <w:bCs/>
        </w:rPr>
        <w:t>at p. 421)</w:t>
      </w:r>
      <w:r w:rsidR="004723CA">
        <w:rPr>
          <w:rFonts w:ascii="Century Schoolbook" w:hAnsi="Century Schoolbook"/>
          <w:b w:val="0"/>
          <w:bCs/>
        </w:rPr>
        <w:t>.  A</w:t>
      </w:r>
      <w:r w:rsidR="004F32F8">
        <w:rPr>
          <w:rFonts w:ascii="Century Schoolbook" w:hAnsi="Century Schoolbook"/>
          <w:b w:val="0"/>
          <w:bCs/>
        </w:rPr>
        <w:t xml:space="preserve">mong other points, </w:t>
      </w:r>
      <w:r w:rsidR="0003686B">
        <w:rPr>
          <w:rFonts w:ascii="Century Schoolbook" w:hAnsi="Century Schoolbook"/>
          <w:b w:val="0"/>
          <w:bCs/>
        </w:rPr>
        <w:t xml:space="preserve">the court in </w:t>
      </w:r>
      <w:r w:rsidR="004F32F8">
        <w:rPr>
          <w:rFonts w:ascii="Century Schoolbook" w:hAnsi="Century Schoolbook"/>
          <w:b w:val="0"/>
          <w:bCs/>
          <w:i/>
          <w:iCs/>
        </w:rPr>
        <w:t>P</w:t>
      </w:r>
      <w:r w:rsidR="004723CA">
        <w:rPr>
          <w:rFonts w:ascii="Century Schoolbook" w:hAnsi="Century Schoolbook"/>
          <w:b w:val="0"/>
          <w:bCs/>
          <w:i/>
          <w:iCs/>
        </w:rPr>
        <w:t>ulliam</w:t>
      </w:r>
      <w:r w:rsidR="00481FAC">
        <w:rPr>
          <w:rFonts w:ascii="Century Schoolbook" w:hAnsi="Century Schoolbook"/>
          <w:b w:val="0"/>
          <w:bCs/>
        </w:rPr>
        <w:t xml:space="preserve"> was not convinced the FTC’s rule confirmation “truly represented the ‘ “fair and considered judgment” [necessary] to receive </w:t>
      </w:r>
      <w:r w:rsidR="00D409D7">
        <w:rPr>
          <w:rFonts w:ascii="Century Schoolbook" w:hAnsi="Century Schoolbook"/>
          <w:b w:val="0"/>
          <w:bCs/>
        </w:rPr>
        <w:t>. . .</w:t>
      </w:r>
      <w:r w:rsidR="00481FAC">
        <w:rPr>
          <w:rFonts w:ascii="Century Schoolbook" w:hAnsi="Century Schoolbook"/>
          <w:b w:val="0"/>
          <w:bCs/>
        </w:rPr>
        <w:t xml:space="preserve"> deference.’ ”  (</w:t>
      </w:r>
      <w:r w:rsidR="00481FAC">
        <w:rPr>
          <w:rFonts w:ascii="Century Schoolbook" w:hAnsi="Century Schoolbook"/>
          <w:b w:val="0"/>
          <w:bCs/>
          <w:i/>
          <w:iCs/>
        </w:rPr>
        <w:t xml:space="preserve">Pulliam, </w:t>
      </w:r>
      <w:r w:rsidR="00481FAC">
        <w:rPr>
          <w:rFonts w:ascii="Century Schoolbook" w:hAnsi="Century Schoolbook"/>
          <w:b w:val="0"/>
          <w:bCs/>
        </w:rPr>
        <w:t>at p. 420.)  The court’s conclusion is persuasive</w:t>
      </w:r>
      <w:r w:rsidR="004723CA">
        <w:rPr>
          <w:rFonts w:ascii="Century Schoolbook" w:hAnsi="Century Schoolbook"/>
          <w:b w:val="0"/>
          <w:bCs/>
        </w:rPr>
        <w:t xml:space="preserve">:  </w:t>
      </w:r>
    </w:p>
    <w:p w14:paraId="6693E7A4" w14:textId="77777777" w:rsidR="009912CE" w:rsidRDefault="004723CA" w:rsidP="009912CE">
      <w:pPr>
        <w:spacing w:line="288" w:lineRule="auto"/>
        <w:ind w:firstLine="720"/>
        <w:rPr>
          <w:rFonts w:ascii="Century Schoolbook" w:hAnsi="Century Schoolbook"/>
          <w:b w:val="0"/>
          <w:bCs/>
        </w:rPr>
      </w:pPr>
      <w:r>
        <w:rPr>
          <w:rFonts w:ascii="Century Schoolbook" w:hAnsi="Century Schoolbook"/>
          <w:b w:val="0"/>
          <w:bCs/>
        </w:rPr>
        <w:t>“[W]</w:t>
      </w:r>
      <w:r w:rsidRPr="004723CA">
        <w:rPr>
          <w:rFonts w:ascii="Century Schoolbook" w:hAnsi="Century Schoolbook"/>
          <w:b w:val="0"/>
          <w:bCs/>
        </w:rPr>
        <w:t xml:space="preserve">e find significant that the agency initially had not previously spoken on the issue, and chose to express its opinion without seeking formal input on it. </w:t>
      </w:r>
      <w:r>
        <w:rPr>
          <w:rFonts w:ascii="Century Schoolbook" w:hAnsi="Century Schoolbook"/>
          <w:b w:val="0"/>
          <w:bCs/>
        </w:rPr>
        <w:t xml:space="preserve"> </w:t>
      </w:r>
      <w:r w:rsidRPr="004723CA">
        <w:rPr>
          <w:rFonts w:ascii="Century Schoolbook" w:hAnsi="Century Schoolbook"/>
          <w:b w:val="0"/>
          <w:bCs/>
        </w:rPr>
        <w:t xml:space="preserve">Instead, the FTC had requested comments on the Holder Rule in general terms, seeking arguments on modifying the rule only if supported by data setting forth the impact of any proposed modifications on consumers and businesses. </w:t>
      </w:r>
      <w:r>
        <w:rPr>
          <w:rFonts w:ascii="Century Schoolbook" w:hAnsi="Century Schoolbook"/>
          <w:b w:val="0"/>
          <w:bCs/>
        </w:rPr>
        <w:t xml:space="preserve"> </w:t>
      </w:r>
      <w:r w:rsidRPr="004723CA">
        <w:rPr>
          <w:rFonts w:ascii="Century Schoolbook" w:hAnsi="Century Schoolbook"/>
          <w:b w:val="0"/>
          <w:bCs/>
        </w:rPr>
        <w:t xml:space="preserve">It did not receive that data. </w:t>
      </w:r>
      <w:r>
        <w:rPr>
          <w:rFonts w:ascii="Century Schoolbook" w:hAnsi="Century Schoolbook"/>
          <w:b w:val="0"/>
          <w:bCs/>
        </w:rPr>
        <w:t xml:space="preserve"> </w:t>
      </w:r>
      <w:r w:rsidRPr="004723CA">
        <w:rPr>
          <w:rFonts w:ascii="Century Schoolbook" w:hAnsi="Century Schoolbook"/>
          <w:b w:val="0"/>
          <w:bCs/>
        </w:rPr>
        <w:t>Had the FTC issued a modification based on an analysis of submitted data, or after consideration of arguments submitted in response to an express notice, it would have made a stronger case for deference. </w:t>
      </w:r>
      <w:r>
        <w:rPr>
          <w:rFonts w:ascii="Century Schoolbook" w:hAnsi="Century Schoolbook"/>
          <w:b w:val="0"/>
          <w:bCs/>
        </w:rPr>
        <w:t xml:space="preserve"> </w:t>
      </w:r>
      <w:r w:rsidRPr="004723CA">
        <w:rPr>
          <w:rFonts w:ascii="Century Schoolbook" w:hAnsi="Century Schoolbook"/>
          <w:b w:val="0"/>
          <w:bCs/>
        </w:rPr>
        <w:t xml:space="preserve">Instead, the agency, based on no data and limited argument, spoke on an issue on which it had previously remained silent for decades, and had not given notice of an intent to speak. </w:t>
      </w:r>
      <w:r>
        <w:rPr>
          <w:rFonts w:ascii="Century Schoolbook" w:hAnsi="Century Schoolbook"/>
          <w:b w:val="0"/>
          <w:bCs/>
        </w:rPr>
        <w:t xml:space="preserve"> </w:t>
      </w:r>
      <w:r w:rsidRPr="004723CA">
        <w:rPr>
          <w:rFonts w:ascii="Century Schoolbook" w:hAnsi="Century Schoolbook"/>
          <w:b w:val="0"/>
          <w:bCs/>
        </w:rPr>
        <w:t>This falls short of the type of considered analysis entitled to dispositive deference.</w:t>
      </w:r>
      <w:r w:rsidR="00373572">
        <w:rPr>
          <w:rFonts w:ascii="Century Schoolbook" w:hAnsi="Century Schoolbook"/>
          <w:b w:val="0"/>
          <w:bCs/>
        </w:rPr>
        <w:t xml:space="preserve">”  </w:t>
      </w:r>
      <w:r w:rsidR="004418B7">
        <w:rPr>
          <w:rFonts w:ascii="Century Schoolbook" w:hAnsi="Century Schoolbook"/>
          <w:b w:val="0"/>
          <w:bCs/>
        </w:rPr>
        <w:t>(</w:t>
      </w:r>
      <w:r w:rsidR="004418B7">
        <w:rPr>
          <w:rFonts w:ascii="Century Schoolbook" w:hAnsi="Century Schoolbook"/>
          <w:b w:val="0"/>
          <w:bCs/>
          <w:i/>
          <w:iCs/>
        </w:rPr>
        <w:t xml:space="preserve">Pulliam, supra, </w:t>
      </w:r>
      <w:r w:rsidR="004418B7">
        <w:rPr>
          <w:rFonts w:ascii="Century Schoolbook" w:hAnsi="Century Schoolbook"/>
          <w:b w:val="0"/>
          <w:bCs/>
        </w:rPr>
        <w:t>60</w:t>
      </w:r>
      <w:r w:rsidR="00D409D7">
        <w:rPr>
          <w:rFonts w:ascii="Century Schoolbook" w:hAnsi="Century Schoolbook"/>
          <w:b w:val="0"/>
          <w:bCs/>
        </w:rPr>
        <w:t> </w:t>
      </w:r>
      <w:r w:rsidR="004418B7">
        <w:rPr>
          <w:rFonts w:ascii="Century Schoolbook" w:hAnsi="Century Schoolbook"/>
          <w:b w:val="0"/>
          <w:bCs/>
        </w:rPr>
        <w:t>Cal.App.5th at p. 421.)</w:t>
      </w:r>
    </w:p>
    <w:p w14:paraId="532A70B1" w14:textId="77777777" w:rsidR="009912CE" w:rsidRDefault="009912CE" w:rsidP="009912CE">
      <w:pPr>
        <w:spacing w:line="288" w:lineRule="auto"/>
        <w:ind w:firstLine="720"/>
        <w:rPr>
          <w:rFonts w:ascii="Century Schoolbook" w:hAnsi="Century Schoolbook"/>
          <w:b w:val="0"/>
          <w:bCs/>
        </w:rPr>
      </w:pPr>
      <w:r>
        <w:rPr>
          <w:rFonts w:ascii="Century Schoolbook" w:hAnsi="Century Schoolbook"/>
          <w:b w:val="0"/>
          <w:bCs/>
        </w:rPr>
        <w:t>Accordingly, we conclude the holder</w:t>
      </w:r>
      <w:r w:rsidR="0003686B">
        <w:rPr>
          <w:rFonts w:ascii="Century Schoolbook" w:hAnsi="Century Schoolbook"/>
          <w:b w:val="0"/>
          <w:bCs/>
        </w:rPr>
        <w:t>-</w:t>
      </w:r>
      <w:r>
        <w:rPr>
          <w:rFonts w:ascii="Century Schoolbook" w:hAnsi="Century Schoolbook"/>
          <w:b w:val="0"/>
          <w:bCs/>
        </w:rPr>
        <w:t xml:space="preserve">rule limitation on recovery does not </w:t>
      </w:r>
      <w:r w:rsidR="00DB399C">
        <w:rPr>
          <w:rFonts w:ascii="Century Schoolbook" w:hAnsi="Century Schoolbook"/>
          <w:b w:val="0"/>
          <w:bCs/>
        </w:rPr>
        <w:t>preclude recovery of</w:t>
      </w:r>
      <w:r>
        <w:rPr>
          <w:rFonts w:ascii="Century Schoolbook" w:hAnsi="Century Schoolbook"/>
          <w:b w:val="0"/>
          <w:bCs/>
        </w:rPr>
        <w:t xml:space="preserve"> attorney fees</w:t>
      </w:r>
      <w:r w:rsidR="008D18CA">
        <w:rPr>
          <w:rFonts w:ascii="Century Schoolbook" w:hAnsi="Century Schoolbook"/>
          <w:b w:val="0"/>
          <w:bCs/>
        </w:rPr>
        <w:t>, and the FTC’s contrary interpretation is not entitled to deference.</w:t>
      </w:r>
      <w:r w:rsidR="00E162E6" w:rsidRPr="000006DB">
        <w:rPr>
          <w:rStyle w:val="FootnoteReference"/>
          <w:rFonts w:ascii="Century Schoolbook" w:hAnsi="Century Schoolbook"/>
          <w:bCs/>
        </w:rPr>
        <w:footnoteReference w:id="1"/>
      </w:r>
      <w:r w:rsidR="001F3B48" w:rsidRPr="000006DB">
        <w:rPr>
          <w:rFonts w:ascii="Century Schoolbook" w:hAnsi="Century Schoolbook"/>
          <w:bCs/>
        </w:rPr>
        <w:t xml:space="preserve"> </w:t>
      </w:r>
      <w:r w:rsidR="001F3B48">
        <w:rPr>
          <w:rFonts w:ascii="Century Schoolbook" w:hAnsi="Century Schoolbook"/>
          <w:b w:val="0"/>
          <w:bCs/>
        </w:rPr>
        <w:t xml:space="preserve"> These </w:t>
      </w:r>
      <w:r w:rsidR="001F3B48">
        <w:rPr>
          <w:rFonts w:ascii="Century Schoolbook" w:hAnsi="Century Schoolbook"/>
          <w:b w:val="0"/>
          <w:bCs/>
        </w:rPr>
        <w:lastRenderedPageBreak/>
        <w:t xml:space="preserve">conclusions </w:t>
      </w:r>
      <w:r w:rsidR="00176F87">
        <w:rPr>
          <w:rFonts w:ascii="Century Schoolbook" w:hAnsi="Century Schoolbook"/>
          <w:b w:val="0"/>
          <w:bCs/>
        </w:rPr>
        <w:t>eliminate any need to consider defendant’s further contention that Civil Code section 1459.5 is preempted by the holder rule.</w:t>
      </w:r>
    </w:p>
    <w:p w14:paraId="1E3228A5" w14:textId="77777777" w:rsidR="00C7702D" w:rsidRDefault="00C82375" w:rsidP="00C97585">
      <w:pPr>
        <w:spacing w:line="288" w:lineRule="auto"/>
        <w:rPr>
          <w:rFonts w:ascii="Century Schoolbook" w:hAnsi="Century Schoolbook"/>
          <w:b w:val="0"/>
        </w:rPr>
      </w:pPr>
      <w:r>
        <w:rPr>
          <w:rFonts w:ascii="Century Schoolbook" w:hAnsi="Century Schoolbook"/>
          <w:b w:val="0"/>
        </w:rPr>
        <w:tab/>
      </w:r>
      <w:r w:rsidR="00D47CAB">
        <w:rPr>
          <w:rFonts w:ascii="Century Schoolbook" w:hAnsi="Century Schoolbook"/>
          <w:bCs/>
        </w:rPr>
        <w:t>b.</w:t>
      </w:r>
      <w:r w:rsidR="00AB2C09">
        <w:rPr>
          <w:rFonts w:ascii="Century Schoolbook" w:hAnsi="Century Schoolbook"/>
          <w:bCs/>
        </w:rPr>
        <w:tab/>
      </w:r>
      <w:r w:rsidR="00D47CAB">
        <w:rPr>
          <w:rFonts w:ascii="Century Schoolbook" w:hAnsi="Century Schoolbook"/>
          <w:bCs/>
        </w:rPr>
        <w:t>Cost</w:t>
      </w:r>
      <w:r w:rsidR="00D91792">
        <w:rPr>
          <w:rFonts w:ascii="Century Schoolbook" w:hAnsi="Century Schoolbook"/>
          <w:bCs/>
        </w:rPr>
        <w:t>s</w:t>
      </w:r>
      <w:r w:rsidR="00D47CAB">
        <w:rPr>
          <w:rFonts w:ascii="Century Schoolbook" w:hAnsi="Century Schoolbook"/>
          <w:bCs/>
        </w:rPr>
        <w:t xml:space="preserve">, </w:t>
      </w:r>
      <w:r w:rsidR="006F0DC4">
        <w:rPr>
          <w:rFonts w:ascii="Century Schoolbook" w:hAnsi="Century Schoolbook"/>
          <w:bCs/>
        </w:rPr>
        <w:t>expenses,</w:t>
      </w:r>
      <w:r w:rsidR="00D47CAB">
        <w:rPr>
          <w:rFonts w:ascii="Century Schoolbook" w:hAnsi="Century Schoolbook"/>
          <w:bCs/>
        </w:rPr>
        <w:t xml:space="preserve"> and prejudgment interest</w:t>
      </w:r>
    </w:p>
    <w:p w14:paraId="054DFC77" w14:textId="77777777" w:rsidR="00F80B26" w:rsidRPr="0047663A" w:rsidRDefault="00F80B26" w:rsidP="00C97585">
      <w:pPr>
        <w:spacing w:line="288" w:lineRule="auto"/>
        <w:rPr>
          <w:rFonts w:ascii="Century Schoolbook" w:hAnsi="Century Schoolbook"/>
          <w:b w:val="0"/>
        </w:rPr>
      </w:pPr>
      <w:r>
        <w:rPr>
          <w:rFonts w:ascii="Century Schoolbook" w:hAnsi="Century Schoolbook"/>
          <w:b w:val="0"/>
        </w:rPr>
        <w:tab/>
      </w:r>
      <w:r w:rsidR="00B706B2">
        <w:rPr>
          <w:rFonts w:ascii="Century Schoolbook" w:hAnsi="Century Schoolbook"/>
          <w:b w:val="0"/>
        </w:rPr>
        <w:t xml:space="preserve">Defendant contends the trial court erred in awarding plaintiff his costs, </w:t>
      </w:r>
      <w:r w:rsidR="006F0DC4">
        <w:rPr>
          <w:rFonts w:ascii="Century Schoolbook" w:hAnsi="Century Schoolbook"/>
          <w:b w:val="0"/>
        </w:rPr>
        <w:t>expenses,</w:t>
      </w:r>
      <w:r w:rsidR="00B706B2">
        <w:rPr>
          <w:rFonts w:ascii="Century Schoolbook" w:hAnsi="Century Schoolbook"/>
          <w:b w:val="0"/>
        </w:rPr>
        <w:t xml:space="preserve"> and prejudgment interest, objecting to “</w:t>
      </w:r>
      <w:r w:rsidR="00B706B2">
        <w:rPr>
          <w:rFonts w:ascii="Century Schoolbook" w:hAnsi="Century Schoolbook"/>
          <w:b w:val="0"/>
          <w:i/>
          <w:iCs/>
        </w:rPr>
        <w:t xml:space="preserve">any </w:t>
      </w:r>
      <w:r w:rsidR="00B706B2">
        <w:rPr>
          <w:rFonts w:ascii="Century Schoolbook" w:hAnsi="Century Schoolbook"/>
          <w:b w:val="0"/>
        </w:rPr>
        <w:t>amounts awarded as against [defendant] that exceed the amounts paid by the consumer under</w:t>
      </w:r>
      <w:r w:rsidR="00815A54">
        <w:rPr>
          <w:rFonts w:ascii="Century Schoolbook" w:hAnsi="Century Schoolbook"/>
          <w:b w:val="0"/>
        </w:rPr>
        <w:t xml:space="preserve"> the contract.” </w:t>
      </w:r>
      <w:r w:rsidR="00C31D44">
        <w:rPr>
          <w:rFonts w:ascii="Century Schoolbook" w:hAnsi="Century Schoolbook"/>
          <w:b w:val="0"/>
        </w:rPr>
        <w:t xml:space="preserve"> </w:t>
      </w:r>
      <w:r w:rsidR="00815A54">
        <w:rPr>
          <w:rFonts w:ascii="Century Schoolbook" w:hAnsi="Century Schoolbook"/>
          <w:b w:val="0"/>
        </w:rPr>
        <w:t xml:space="preserve">These items were not at issue in </w:t>
      </w:r>
      <w:r w:rsidR="00815A54">
        <w:rPr>
          <w:rFonts w:ascii="Century Schoolbook" w:hAnsi="Century Schoolbook"/>
          <w:b w:val="0"/>
          <w:i/>
          <w:iCs/>
        </w:rPr>
        <w:t>Pulliam</w:t>
      </w:r>
      <w:r w:rsidR="00E86EB9">
        <w:rPr>
          <w:rFonts w:ascii="Century Schoolbook" w:hAnsi="Century Schoolbook"/>
          <w:b w:val="0"/>
        </w:rPr>
        <w:t xml:space="preserve">.  However, </w:t>
      </w:r>
      <w:r w:rsidR="00815A54">
        <w:rPr>
          <w:rFonts w:ascii="Century Schoolbook" w:hAnsi="Century Schoolbook"/>
          <w:b w:val="0"/>
        </w:rPr>
        <w:t>the</w:t>
      </w:r>
      <w:r w:rsidR="00E86EB9">
        <w:rPr>
          <w:rFonts w:ascii="Century Schoolbook" w:hAnsi="Century Schoolbook"/>
          <w:b w:val="0"/>
        </w:rPr>
        <w:t xml:space="preserve"> r</w:t>
      </w:r>
      <w:r w:rsidR="00815A54">
        <w:rPr>
          <w:rFonts w:ascii="Century Schoolbook" w:hAnsi="Century Schoolbook"/>
          <w:b w:val="0"/>
        </w:rPr>
        <w:t xml:space="preserve">ationale </w:t>
      </w:r>
      <w:r w:rsidR="00E86EB9">
        <w:rPr>
          <w:rFonts w:ascii="Century Schoolbook" w:hAnsi="Century Schoolbook"/>
          <w:b w:val="0"/>
        </w:rPr>
        <w:t xml:space="preserve">described in </w:t>
      </w:r>
      <w:r w:rsidR="00E86EB9">
        <w:rPr>
          <w:rFonts w:ascii="Century Schoolbook" w:hAnsi="Century Schoolbook"/>
          <w:b w:val="0"/>
          <w:i/>
          <w:iCs/>
        </w:rPr>
        <w:t>Pulliam</w:t>
      </w:r>
      <w:r w:rsidR="005A492F">
        <w:rPr>
          <w:rFonts w:ascii="Century Schoolbook" w:hAnsi="Century Schoolbook"/>
          <w:b w:val="0"/>
          <w:i/>
          <w:iCs/>
        </w:rPr>
        <w:t>,</w:t>
      </w:r>
      <w:r w:rsidR="00E86EB9">
        <w:rPr>
          <w:rFonts w:ascii="Century Schoolbook" w:hAnsi="Century Schoolbook"/>
          <w:b w:val="0"/>
          <w:i/>
          <w:iCs/>
        </w:rPr>
        <w:t xml:space="preserve"> </w:t>
      </w:r>
      <w:r w:rsidR="00E86EB9">
        <w:rPr>
          <w:rFonts w:ascii="Century Schoolbook" w:hAnsi="Century Schoolbook"/>
          <w:b w:val="0"/>
        </w:rPr>
        <w:t>and that we adopt here</w:t>
      </w:r>
      <w:r w:rsidR="005A492F">
        <w:rPr>
          <w:rFonts w:ascii="Century Schoolbook" w:hAnsi="Century Schoolbook"/>
          <w:b w:val="0"/>
        </w:rPr>
        <w:t>,</w:t>
      </w:r>
      <w:r w:rsidR="00E86EB9">
        <w:rPr>
          <w:rFonts w:ascii="Century Schoolbook" w:hAnsi="Century Schoolbook"/>
          <w:b w:val="0"/>
        </w:rPr>
        <w:t xml:space="preserve"> likewise </w:t>
      </w:r>
      <w:r w:rsidR="00815A54">
        <w:rPr>
          <w:rFonts w:ascii="Century Schoolbook" w:hAnsi="Century Schoolbook"/>
          <w:b w:val="0"/>
        </w:rPr>
        <w:t>supports the availability of costs and</w:t>
      </w:r>
      <w:r w:rsidR="00646745">
        <w:rPr>
          <w:rFonts w:ascii="Century Schoolbook" w:hAnsi="Century Schoolbook"/>
          <w:b w:val="0"/>
        </w:rPr>
        <w:t xml:space="preserve"> </w:t>
      </w:r>
      <w:r w:rsidR="00815A54">
        <w:rPr>
          <w:rFonts w:ascii="Century Schoolbook" w:hAnsi="Century Schoolbook"/>
          <w:b w:val="0"/>
        </w:rPr>
        <w:t>expenses to a plaintiff who prevails on a claim based on the holder rule.</w:t>
      </w:r>
      <w:r w:rsidR="0047663A">
        <w:rPr>
          <w:rFonts w:ascii="Century Schoolbook" w:hAnsi="Century Schoolbook"/>
          <w:b w:val="0"/>
        </w:rPr>
        <w:t xml:space="preserve">  (See also </w:t>
      </w:r>
      <w:r w:rsidR="0047663A">
        <w:rPr>
          <w:rFonts w:ascii="Century Schoolbook" w:hAnsi="Century Schoolbook"/>
          <w:b w:val="0"/>
          <w:i/>
          <w:iCs/>
        </w:rPr>
        <w:t xml:space="preserve">Lafferty, supra, </w:t>
      </w:r>
      <w:r w:rsidR="0047663A">
        <w:rPr>
          <w:rFonts w:ascii="Century Schoolbook" w:hAnsi="Century Schoolbook"/>
          <w:b w:val="0"/>
        </w:rPr>
        <w:t>25</w:t>
      </w:r>
      <w:r w:rsidR="00D409D7">
        <w:rPr>
          <w:rFonts w:ascii="Century Schoolbook" w:hAnsi="Century Schoolbook"/>
          <w:b w:val="0"/>
        </w:rPr>
        <w:t> </w:t>
      </w:r>
      <w:r w:rsidR="0047663A">
        <w:rPr>
          <w:rFonts w:ascii="Century Schoolbook" w:hAnsi="Century Schoolbook"/>
          <w:b w:val="0"/>
        </w:rPr>
        <w:t>Cal.App.5th at p. 415 [</w:t>
      </w:r>
      <w:r w:rsidR="001F3B48">
        <w:rPr>
          <w:rFonts w:ascii="Century Schoolbook" w:hAnsi="Century Schoolbook"/>
          <w:b w:val="0"/>
        </w:rPr>
        <w:t xml:space="preserve">concluding </w:t>
      </w:r>
      <w:r w:rsidR="0047663A">
        <w:rPr>
          <w:rFonts w:ascii="Century Schoolbook" w:hAnsi="Century Schoolbook"/>
          <w:b w:val="0"/>
        </w:rPr>
        <w:t>costs of suit under Code of Civil Procedure section 1032, subdivision</w:t>
      </w:r>
      <w:r w:rsidR="000006DB">
        <w:rPr>
          <w:rFonts w:ascii="Century Schoolbook" w:hAnsi="Century Schoolbook"/>
          <w:b w:val="0"/>
        </w:rPr>
        <w:t> </w:t>
      </w:r>
      <w:r w:rsidR="0047663A">
        <w:rPr>
          <w:rFonts w:ascii="Century Schoolbook" w:hAnsi="Century Schoolbook"/>
          <w:b w:val="0"/>
        </w:rPr>
        <w:t xml:space="preserve">(b), </w:t>
      </w:r>
      <w:r w:rsidR="005A492F">
        <w:rPr>
          <w:rFonts w:ascii="Century Schoolbook" w:hAnsi="Century Schoolbook"/>
          <w:b w:val="0"/>
        </w:rPr>
        <w:t>“</w:t>
      </w:r>
      <w:r w:rsidR="0047663A">
        <w:rPr>
          <w:rFonts w:ascii="Century Schoolbook" w:hAnsi="Century Schoolbook"/>
          <w:b w:val="0"/>
        </w:rPr>
        <w:t>are not curtailed by the Holder Rule”].)</w:t>
      </w:r>
    </w:p>
    <w:p w14:paraId="1BDB0F64" w14:textId="77777777" w:rsidR="00053CC4" w:rsidRPr="00E702D1" w:rsidRDefault="00053CC4" w:rsidP="000B0DE6">
      <w:pPr>
        <w:spacing w:line="288" w:lineRule="auto"/>
        <w:rPr>
          <w:rFonts w:ascii="Century Schoolbook" w:hAnsi="Century Schoolbook"/>
          <w:b w:val="0"/>
        </w:rPr>
      </w:pPr>
      <w:r>
        <w:rPr>
          <w:rFonts w:ascii="Century Schoolbook" w:hAnsi="Century Schoolbook"/>
          <w:b w:val="0"/>
        </w:rPr>
        <w:tab/>
      </w:r>
      <w:r w:rsidR="00E86EB9">
        <w:rPr>
          <w:rFonts w:ascii="Century Schoolbook" w:hAnsi="Century Schoolbook"/>
          <w:b w:val="0"/>
        </w:rPr>
        <w:t xml:space="preserve">We likewise agree with the </w:t>
      </w:r>
      <w:r>
        <w:rPr>
          <w:rFonts w:ascii="Century Schoolbook" w:hAnsi="Century Schoolbook"/>
          <w:b w:val="0"/>
          <w:i/>
          <w:iCs/>
        </w:rPr>
        <w:t xml:space="preserve">Lafferty </w:t>
      </w:r>
      <w:r>
        <w:rPr>
          <w:rFonts w:ascii="Century Schoolbook" w:hAnsi="Century Schoolbook"/>
          <w:b w:val="0"/>
        </w:rPr>
        <w:t>court</w:t>
      </w:r>
      <w:r w:rsidR="00E86EB9">
        <w:rPr>
          <w:rFonts w:ascii="Century Schoolbook" w:hAnsi="Century Schoolbook"/>
          <w:b w:val="0"/>
        </w:rPr>
        <w:t xml:space="preserve"> that</w:t>
      </w:r>
      <w:r w:rsidR="000B0DE6">
        <w:rPr>
          <w:rFonts w:ascii="Century Schoolbook" w:hAnsi="Century Schoolbook"/>
          <w:b w:val="0"/>
        </w:rPr>
        <w:t xml:space="preserve"> prejudgment interest is available to plaintiff.  Civil Code section 3287, subdivision (a) states that “[a] person who </w:t>
      </w:r>
      <w:r w:rsidR="000B0DE6" w:rsidRPr="000B0DE6">
        <w:rPr>
          <w:rFonts w:ascii="Century Schoolbook" w:hAnsi="Century Schoolbook"/>
          <w:b w:val="0"/>
        </w:rPr>
        <w:t xml:space="preserve">is entitled to recover damages certain, or capable of being made certain by calculation, and the right to recover which is vested in the person upon a particular day, is entitled also to recover interest thereon from that </w:t>
      </w:r>
      <w:r w:rsidR="000B0DE6" w:rsidRPr="000B0DE6">
        <w:rPr>
          <w:rFonts w:ascii="Century Schoolbook" w:hAnsi="Century Schoolbook"/>
          <w:b w:val="0"/>
        </w:rPr>
        <w:lastRenderedPageBreak/>
        <w:t>day</w:t>
      </w:r>
      <w:r w:rsidR="000B0DE6">
        <w:rPr>
          <w:rFonts w:ascii="Century Schoolbook" w:hAnsi="Century Schoolbook"/>
          <w:b w:val="0"/>
        </w:rPr>
        <w:t xml:space="preserve"> </w:t>
      </w:r>
      <w:r w:rsidR="00D409D7">
        <w:rPr>
          <w:rFonts w:ascii="Century Schoolbook" w:hAnsi="Century Schoolbook"/>
          <w:b w:val="0"/>
        </w:rPr>
        <w:t>. . . .</w:t>
      </w:r>
      <w:r w:rsidR="000B0DE6">
        <w:rPr>
          <w:rFonts w:ascii="Century Schoolbook" w:hAnsi="Century Schoolbook"/>
          <w:b w:val="0"/>
        </w:rPr>
        <w:t xml:space="preserve">”  As </w:t>
      </w:r>
      <w:r w:rsidR="000B0DE6">
        <w:rPr>
          <w:rFonts w:ascii="Century Schoolbook" w:hAnsi="Century Schoolbook"/>
          <w:b w:val="0"/>
          <w:i/>
          <w:iCs/>
        </w:rPr>
        <w:t xml:space="preserve">Lafferty </w:t>
      </w:r>
      <w:r w:rsidR="000B0DE6">
        <w:rPr>
          <w:rFonts w:ascii="Century Schoolbook" w:hAnsi="Century Schoolbook"/>
          <w:b w:val="0"/>
        </w:rPr>
        <w:t xml:space="preserve">concludes, “Civil Code section 3287 applies to every person entitled to recover </w:t>
      </w:r>
      <w:r w:rsidR="00D409D7">
        <w:rPr>
          <w:rFonts w:ascii="Century Schoolbook" w:hAnsi="Century Schoolbook"/>
          <w:b w:val="0"/>
        </w:rPr>
        <w:t>damages—without</w:t>
      </w:r>
      <w:r w:rsidR="000B0DE6">
        <w:rPr>
          <w:rFonts w:ascii="Century Schoolbook" w:hAnsi="Century Schoolbook"/>
          <w:b w:val="0"/>
        </w:rPr>
        <w:t xml:space="preserve"> reference to the underlying </w:t>
      </w:r>
      <w:r w:rsidR="00E702D1">
        <w:rPr>
          <w:rFonts w:ascii="Century Schoolbook" w:hAnsi="Century Schoolbook"/>
          <w:b w:val="0"/>
        </w:rPr>
        <w:t>cause(s) of action for which damages are awarded.”  (</w:t>
      </w:r>
      <w:r w:rsidR="00E702D1">
        <w:rPr>
          <w:rFonts w:ascii="Century Schoolbook" w:hAnsi="Century Schoolbook"/>
          <w:b w:val="0"/>
          <w:i/>
          <w:iCs/>
        </w:rPr>
        <w:t xml:space="preserve">Lafferty, supra, </w:t>
      </w:r>
      <w:r w:rsidR="00E702D1">
        <w:rPr>
          <w:rFonts w:ascii="Century Schoolbook" w:hAnsi="Century Schoolbook"/>
          <w:b w:val="0"/>
        </w:rPr>
        <w:t>25 Cal.App.5</w:t>
      </w:r>
      <w:r w:rsidR="008158FE">
        <w:rPr>
          <w:rFonts w:ascii="Century Schoolbook" w:hAnsi="Century Schoolbook"/>
          <w:b w:val="0"/>
        </w:rPr>
        <w:t xml:space="preserve">th </w:t>
      </w:r>
      <w:r w:rsidR="00E702D1">
        <w:rPr>
          <w:rFonts w:ascii="Century Schoolbook" w:hAnsi="Century Schoolbook"/>
          <w:b w:val="0"/>
        </w:rPr>
        <w:t xml:space="preserve">at </w:t>
      </w:r>
      <w:r w:rsidR="00A80E42">
        <w:rPr>
          <w:rFonts w:ascii="Century Schoolbook" w:hAnsi="Century Schoolbook"/>
          <w:b w:val="0"/>
        </w:rPr>
        <w:t xml:space="preserve">p. </w:t>
      </w:r>
      <w:r w:rsidR="00E702D1">
        <w:rPr>
          <w:rFonts w:ascii="Century Schoolbook" w:hAnsi="Century Schoolbook"/>
          <w:b w:val="0"/>
        </w:rPr>
        <w:t xml:space="preserve">416; </w:t>
      </w:r>
      <w:r w:rsidR="00E702D1">
        <w:rPr>
          <w:rFonts w:ascii="Century Schoolbook" w:hAnsi="Century Schoolbook"/>
          <w:b w:val="0"/>
          <w:i/>
          <w:iCs/>
        </w:rPr>
        <w:t xml:space="preserve">ibid. </w:t>
      </w:r>
      <w:r w:rsidR="00E702D1">
        <w:rPr>
          <w:rFonts w:ascii="Century Schoolbook" w:hAnsi="Century Schoolbook"/>
          <w:b w:val="0"/>
        </w:rPr>
        <w:t>[“the limitation on recovery under the Holder Rule cause of action does not affect entitlement to prejudgment interest”</w:t>
      </w:r>
      <w:r w:rsidR="008158FE">
        <w:rPr>
          <w:rFonts w:ascii="Century Schoolbook" w:hAnsi="Century Schoolbook"/>
          <w:b w:val="0"/>
        </w:rPr>
        <w:t>]</w:t>
      </w:r>
      <w:r w:rsidR="005A492F">
        <w:rPr>
          <w:rFonts w:ascii="Century Schoolbook" w:hAnsi="Century Schoolbook"/>
          <w:b w:val="0"/>
        </w:rPr>
        <w:t>.)</w:t>
      </w:r>
    </w:p>
    <w:p w14:paraId="3DEA1E9C" w14:textId="77777777" w:rsidR="007706A1" w:rsidRPr="00F82464" w:rsidRDefault="007706A1" w:rsidP="00CC150E">
      <w:pPr>
        <w:spacing w:line="288" w:lineRule="auto"/>
        <w:jc w:val="center"/>
        <w:rPr>
          <w:rFonts w:ascii="Century Schoolbook" w:hAnsi="Century Schoolbook"/>
          <w:bCs/>
        </w:rPr>
      </w:pPr>
      <w:r w:rsidRPr="00F82464">
        <w:rPr>
          <w:rFonts w:ascii="Century Schoolbook" w:hAnsi="Century Schoolbook"/>
          <w:bCs/>
        </w:rPr>
        <w:t>DISPOSITION</w:t>
      </w:r>
    </w:p>
    <w:p w14:paraId="59A511C0" w14:textId="77777777" w:rsidR="00D409D7" w:rsidRDefault="00C562F9" w:rsidP="00D409D7">
      <w:pPr>
        <w:spacing w:line="288" w:lineRule="auto"/>
        <w:ind w:firstLine="720"/>
        <w:rPr>
          <w:rFonts w:ascii="Century Schoolbook" w:hAnsi="Century Schoolbook"/>
          <w:b w:val="0"/>
          <w:bCs/>
        </w:rPr>
      </w:pPr>
      <w:r w:rsidRPr="00C562F9">
        <w:rPr>
          <w:rFonts w:ascii="Century Schoolbook" w:hAnsi="Century Schoolbook"/>
          <w:b w:val="0"/>
        </w:rPr>
        <w:t>The judgment</w:t>
      </w:r>
      <w:r w:rsidR="009912CE">
        <w:rPr>
          <w:rFonts w:ascii="Century Schoolbook" w:hAnsi="Century Schoolbook"/>
          <w:b w:val="0"/>
        </w:rPr>
        <w:t xml:space="preserve"> is affirmed.  Plai</w:t>
      </w:r>
      <w:r w:rsidR="00F80B26">
        <w:rPr>
          <w:rFonts w:ascii="Century Schoolbook" w:hAnsi="Century Schoolbook"/>
          <w:b w:val="0"/>
        </w:rPr>
        <w:t>ntiff</w:t>
      </w:r>
      <w:r w:rsidRPr="00C562F9">
        <w:rPr>
          <w:rFonts w:ascii="Century Schoolbook" w:hAnsi="Century Schoolbook"/>
          <w:b w:val="0"/>
        </w:rPr>
        <w:t xml:space="preserve"> shall recover </w:t>
      </w:r>
      <w:r w:rsidR="00F80B26">
        <w:rPr>
          <w:rFonts w:ascii="Century Schoolbook" w:hAnsi="Century Schoolbook"/>
          <w:b w:val="0"/>
        </w:rPr>
        <w:t>his</w:t>
      </w:r>
      <w:r w:rsidRPr="00C562F9">
        <w:rPr>
          <w:rFonts w:ascii="Century Schoolbook" w:hAnsi="Century Schoolbook"/>
          <w:b w:val="0"/>
        </w:rPr>
        <w:t xml:space="preserve"> costs on appeal.</w:t>
      </w:r>
      <w:r w:rsidR="00D409D7">
        <w:rPr>
          <w:rFonts w:ascii="Century Schoolbook" w:hAnsi="Century Schoolbook"/>
          <w:b w:val="0"/>
        </w:rPr>
        <w:tab/>
      </w:r>
      <w:r w:rsidR="00D409D7">
        <w:rPr>
          <w:rFonts w:ascii="Century Schoolbook" w:hAnsi="Century Schoolbook"/>
          <w:b w:val="0"/>
        </w:rPr>
        <w:tab/>
      </w:r>
      <w:r w:rsidR="00D409D7" w:rsidRPr="00F82464">
        <w:rPr>
          <w:rFonts w:ascii="Century Schoolbook" w:hAnsi="Century Schoolbook"/>
          <w:b w:val="0"/>
          <w:bCs/>
        </w:rPr>
        <w:t xml:space="preserve"> </w:t>
      </w:r>
    </w:p>
    <w:p w14:paraId="2CA6CCBE" w14:textId="77777777" w:rsidR="00BC472C" w:rsidRDefault="00BC472C" w:rsidP="00D409D7">
      <w:pPr>
        <w:spacing w:line="288" w:lineRule="auto"/>
        <w:ind w:firstLine="720"/>
        <w:rPr>
          <w:rFonts w:ascii="Century Schoolbook" w:hAnsi="Century Schoolbook"/>
          <w:b w:val="0"/>
          <w:bCs/>
        </w:rPr>
      </w:pPr>
    </w:p>
    <w:p w14:paraId="16094E46" w14:textId="77777777" w:rsidR="00D409D7" w:rsidRDefault="00D409D7" w:rsidP="00D409D7">
      <w:pPr>
        <w:spacing w:line="288" w:lineRule="auto"/>
        <w:ind w:firstLine="720"/>
        <w:rPr>
          <w:rFonts w:ascii="Century Schoolbook" w:hAnsi="Century Schoolbook"/>
          <w:b w:val="0"/>
          <w:bCs/>
        </w:rPr>
      </w:pPr>
    </w:p>
    <w:p w14:paraId="7E0C7E36" w14:textId="77777777" w:rsidR="007706A1" w:rsidRDefault="007706A1" w:rsidP="00D409D7">
      <w:pPr>
        <w:spacing w:line="288" w:lineRule="auto"/>
        <w:ind w:left="2160" w:firstLine="720"/>
        <w:rPr>
          <w:rFonts w:ascii="Century Schoolbook" w:hAnsi="Century Schoolbook"/>
          <w:b w:val="0"/>
          <w:bCs/>
        </w:rPr>
      </w:pPr>
      <w:r w:rsidRPr="00F82464">
        <w:rPr>
          <w:rFonts w:ascii="Century Schoolbook" w:hAnsi="Century Schoolbook"/>
          <w:b w:val="0"/>
          <w:bCs/>
        </w:rPr>
        <w:t>GRIMES, Acting P.</w:t>
      </w:r>
      <w:r w:rsidR="004C44E6" w:rsidRPr="00F82464">
        <w:rPr>
          <w:rFonts w:ascii="Century Schoolbook" w:hAnsi="Century Schoolbook"/>
          <w:b w:val="0"/>
          <w:bCs/>
        </w:rPr>
        <w:t xml:space="preserve"> </w:t>
      </w:r>
      <w:r w:rsidRPr="00F82464">
        <w:rPr>
          <w:rFonts w:ascii="Century Schoolbook" w:hAnsi="Century Schoolbook"/>
          <w:b w:val="0"/>
          <w:bCs/>
        </w:rPr>
        <w:t>J.</w:t>
      </w:r>
    </w:p>
    <w:p w14:paraId="4052D2F5" w14:textId="77777777" w:rsidR="00EE3A59" w:rsidRDefault="00EE3A59" w:rsidP="00D409D7">
      <w:pPr>
        <w:spacing w:line="288" w:lineRule="auto"/>
        <w:ind w:left="2160" w:firstLine="720"/>
        <w:rPr>
          <w:rFonts w:ascii="Century Schoolbook" w:hAnsi="Century Schoolbook"/>
          <w:b w:val="0"/>
          <w:bCs/>
        </w:rPr>
      </w:pPr>
    </w:p>
    <w:p w14:paraId="4473C5DD" w14:textId="77777777" w:rsidR="00D409D7" w:rsidRDefault="00D409D7" w:rsidP="00D409D7">
      <w:pPr>
        <w:spacing w:line="288" w:lineRule="auto"/>
        <w:ind w:firstLine="720"/>
        <w:rPr>
          <w:rFonts w:ascii="Century Schoolbook" w:hAnsi="Century Schoolbook"/>
          <w:b w:val="0"/>
          <w:bCs/>
        </w:rPr>
      </w:pPr>
      <w:r>
        <w:rPr>
          <w:rFonts w:ascii="Century Schoolbook" w:hAnsi="Century Schoolbook"/>
          <w:b w:val="0"/>
          <w:bCs/>
        </w:rPr>
        <w:t>WE CONCUR:</w:t>
      </w:r>
      <w:r w:rsidR="007706A1" w:rsidRPr="00F82464">
        <w:rPr>
          <w:rFonts w:ascii="Century Schoolbook" w:hAnsi="Century Schoolbook"/>
          <w:b w:val="0"/>
          <w:bCs/>
        </w:rPr>
        <w:tab/>
      </w:r>
    </w:p>
    <w:p w14:paraId="287A865B" w14:textId="77777777" w:rsidR="00D409D7" w:rsidRDefault="00D409D7" w:rsidP="00D409D7">
      <w:pPr>
        <w:spacing w:line="288" w:lineRule="auto"/>
        <w:ind w:firstLine="720"/>
        <w:rPr>
          <w:rFonts w:ascii="Century Schoolbook" w:hAnsi="Century Schoolbook"/>
          <w:b w:val="0"/>
          <w:bCs/>
        </w:rPr>
      </w:pPr>
    </w:p>
    <w:p w14:paraId="7F810714" w14:textId="77777777" w:rsidR="00D409D7" w:rsidRDefault="00D409D7" w:rsidP="00D409D7">
      <w:pPr>
        <w:spacing w:line="288" w:lineRule="auto"/>
        <w:ind w:firstLine="720"/>
        <w:rPr>
          <w:rFonts w:ascii="Century Schoolbook" w:hAnsi="Century Schoolbook"/>
          <w:b w:val="0"/>
          <w:bCs/>
        </w:rPr>
      </w:pPr>
    </w:p>
    <w:p w14:paraId="13F9890C" w14:textId="77777777" w:rsidR="00D409D7" w:rsidRDefault="00D409D7" w:rsidP="00D409D7">
      <w:pPr>
        <w:spacing w:line="288" w:lineRule="auto"/>
        <w:ind w:left="2160" w:firstLine="720"/>
        <w:rPr>
          <w:rFonts w:ascii="Century Schoolbook" w:hAnsi="Century Schoolbook"/>
          <w:b w:val="0"/>
          <w:bCs/>
        </w:rPr>
      </w:pPr>
      <w:r>
        <w:rPr>
          <w:rFonts w:ascii="Century Schoolbook" w:hAnsi="Century Schoolbook"/>
          <w:b w:val="0"/>
          <w:bCs/>
        </w:rPr>
        <w:t xml:space="preserve">WILEY, J. </w:t>
      </w:r>
    </w:p>
    <w:p w14:paraId="670B51B9" w14:textId="77777777" w:rsidR="00D409D7" w:rsidRDefault="00D409D7" w:rsidP="00D409D7">
      <w:pPr>
        <w:spacing w:line="288" w:lineRule="auto"/>
        <w:ind w:left="2160" w:firstLine="720"/>
        <w:rPr>
          <w:rFonts w:ascii="Century Schoolbook" w:hAnsi="Century Schoolbook"/>
          <w:b w:val="0"/>
          <w:bCs/>
        </w:rPr>
      </w:pPr>
    </w:p>
    <w:p w14:paraId="384B012C" w14:textId="77777777" w:rsidR="00D409D7" w:rsidRDefault="00D409D7" w:rsidP="00D409D7">
      <w:pPr>
        <w:spacing w:line="288" w:lineRule="auto"/>
        <w:ind w:left="2160" w:firstLine="720"/>
        <w:rPr>
          <w:rFonts w:ascii="Century Schoolbook" w:hAnsi="Century Schoolbook"/>
          <w:b w:val="0"/>
          <w:bCs/>
        </w:rPr>
      </w:pPr>
    </w:p>
    <w:p w14:paraId="3078BC18" w14:textId="77777777" w:rsidR="00BC472C" w:rsidRDefault="00BC472C" w:rsidP="00D409D7">
      <w:pPr>
        <w:spacing w:line="288" w:lineRule="auto"/>
        <w:ind w:left="2160" w:firstLine="720"/>
        <w:rPr>
          <w:rFonts w:ascii="Century Schoolbook" w:hAnsi="Century Schoolbook"/>
          <w:b w:val="0"/>
          <w:bCs/>
        </w:rPr>
      </w:pPr>
    </w:p>
    <w:p w14:paraId="22D4A6A8" w14:textId="77777777" w:rsidR="00F80B26" w:rsidRDefault="00F80B26" w:rsidP="00D409D7">
      <w:pPr>
        <w:spacing w:line="288" w:lineRule="auto"/>
        <w:ind w:left="2160" w:firstLine="720"/>
        <w:rPr>
          <w:rFonts w:ascii="Century Schoolbook" w:hAnsi="Century Schoolbook"/>
          <w:b w:val="0"/>
          <w:bCs/>
        </w:rPr>
      </w:pPr>
      <w:r>
        <w:rPr>
          <w:rFonts w:ascii="Century Schoolbook" w:hAnsi="Century Schoolbook"/>
          <w:b w:val="0"/>
          <w:bCs/>
        </w:rPr>
        <w:t>HARUTUNIAN, J.</w:t>
      </w:r>
      <w:r w:rsidR="009D1A08" w:rsidRPr="00BC472C">
        <w:rPr>
          <w:rStyle w:val="FootnoteReference"/>
          <w:rFonts w:ascii="Century Schoolbook" w:hAnsi="Century Schoolbook"/>
          <w:b w:val="0"/>
          <w:color w:val="000000"/>
          <w:position w:val="8"/>
          <w:szCs w:val="26"/>
          <w:vertAlign w:val="baseline"/>
        </w:rPr>
        <w:footnoteReference w:customMarkFollows="1" w:id="2"/>
        <w:t>*</w:t>
      </w:r>
    </w:p>
    <w:sectPr w:rsidR="00F80B26" w:rsidSect="00D409D7">
      <w:footerReference w:type="default" r:id="rId8"/>
      <w:footerReference w:type="first" r:id="rId9"/>
      <w:pgSz w:w="12240" w:h="15840" w:code="1"/>
      <w:pgMar w:top="2016" w:right="2016" w:bottom="2016" w:left="201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043C" w14:textId="77777777" w:rsidR="0053072B" w:rsidRDefault="0053072B" w:rsidP="007706A1">
      <w:pPr>
        <w:spacing w:line="240" w:lineRule="auto"/>
      </w:pPr>
      <w:r>
        <w:separator/>
      </w:r>
    </w:p>
  </w:endnote>
  <w:endnote w:type="continuationSeparator" w:id="0">
    <w:p w14:paraId="022975D2" w14:textId="77777777" w:rsidR="0053072B" w:rsidRDefault="0053072B" w:rsidP="00770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264064"/>
      <w:docPartObj>
        <w:docPartGallery w:val="Page Numbers (Bottom of Page)"/>
        <w:docPartUnique/>
      </w:docPartObj>
    </w:sdtPr>
    <w:sdtEndPr>
      <w:rPr>
        <w:rFonts w:ascii="Century Schoolbook" w:hAnsi="Century Schoolbook"/>
        <w:b w:val="0"/>
        <w:noProof/>
      </w:rPr>
    </w:sdtEndPr>
    <w:sdtContent>
      <w:p w14:paraId="213267A0" w14:textId="77777777" w:rsidR="003448EF" w:rsidRPr="00D409D7" w:rsidRDefault="003448EF" w:rsidP="00D409D7">
        <w:pPr>
          <w:pStyle w:val="Footer"/>
          <w:jc w:val="center"/>
          <w:rPr>
            <w:rFonts w:ascii="Century Schoolbook" w:hAnsi="Century Schoolbook"/>
            <w:b w:val="0"/>
          </w:rPr>
        </w:pPr>
        <w:r w:rsidRPr="00D409D7">
          <w:rPr>
            <w:rFonts w:ascii="Century Schoolbook" w:hAnsi="Century Schoolbook"/>
            <w:b w:val="0"/>
          </w:rPr>
          <w:fldChar w:fldCharType="begin"/>
        </w:r>
        <w:r w:rsidRPr="00D409D7">
          <w:rPr>
            <w:rFonts w:ascii="Century Schoolbook" w:hAnsi="Century Schoolbook"/>
            <w:b w:val="0"/>
          </w:rPr>
          <w:instrText xml:space="preserve"> PAGE   \* MERGEFORMAT </w:instrText>
        </w:r>
        <w:r w:rsidRPr="00D409D7">
          <w:rPr>
            <w:rFonts w:ascii="Century Schoolbook" w:hAnsi="Century Schoolbook"/>
            <w:b w:val="0"/>
          </w:rPr>
          <w:fldChar w:fldCharType="separate"/>
        </w:r>
        <w:r w:rsidR="008D07EB">
          <w:rPr>
            <w:rFonts w:ascii="Century Schoolbook" w:hAnsi="Century Schoolbook"/>
            <w:b w:val="0"/>
            <w:noProof/>
          </w:rPr>
          <w:t>2</w:t>
        </w:r>
        <w:r w:rsidRPr="00D409D7">
          <w:rPr>
            <w:rFonts w:ascii="Century Schoolbook" w:hAnsi="Century Schoolbook"/>
            <w:b w:val="0"/>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6957" w14:textId="77777777" w:rsidR="00D409D7" w:rsidRPr="00EE3A59" w:rsidRDefault="00D409D7">
    <w:pPr>
      <w:pStyle w:val="Footer"/>
      <w:jc w:val="center"/>
      <w:rPr>
        <w:color w:val="000000" w:themeColor="text1"/>
      </w:rPr>
    </w:pPr>
  </w:p>
  <w:p w14:paraId="1AC7E8E7" w14:textId="77777777" w:rsidR="00144F1F" w:rsidRPr="00144F1F" w:rsidRDefault="00144F1F">
    <w:pPr>
      <w:pStyle w:val="Footer"/>
      <w:rPr>
        <w:color w:val="FF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4EE0" w14:textId="77777777" w:rsidR="0053072B" w:rsidRDefault="0053072B" w:rsidP="007706A1">
      <w:pPr>
        <w:spacing w:line="240" w:lineRule="auto"/>
      </w:pPr>
      <w:r>
        <w:separator/>
      </w:r>
    </w:p>
  </w:footnote>
  <w:footnote w:type="continuationSeparator" w:id="0">
    <w:p w14:paraId="60F9BBB5" w14:textId="77777777" w:rsidR="0053072B" w:rsidRDefault="0053072B" w:rsidP="007706A1">
      <w:pPr>
        <w:spacing w:line="240" w:lineRule="auto"/>
      </w:pPr>
      <w:r>
        <w:continuationSeparator/>
      </w:r>
    </w:p>
  </w:footnote>
  <w:footnote w:id="1">
    <w:p w14:paraId="04249078" w14:textId="77777777" w:rsidR="00E162E6" w:rsidRPr="00B30B8D" w:rsidRDefault="00E162E6" w:rsidP="00BC472C">
      <w:pPr>
        <w:tabs>
          <w:tab w:val="left" w:pos="720"/>
        </w:tabs>
        <w:spacing w:line="240" w:lineRule="auto"/>
        <w:textAlignment w:val="baseline"/>
        <w:rPr>
          <w:rFonts w:ascii="Century Schoolbook" w:eastAsia="Times New Roman" w:hAnsi="Century Schoolbook"/>
          <w:b w:val="0"/>
          <w:color w:val="000000"/>
          <w:szCs w:val="26"/>
        </w:rPr>
      </w:pPr>
      <w:r w:rsidRPr="00B30B8D">
        <w:rPr>
          <w:rStyle w:val="FootnoteReference"/>
          <w:rFonts w:ascii="Century Schoolbook" w:hAnsi="Century Schoolbook"/>
          <w:szCs w:val="26"/>
        </w:rPr>
        <w:footnoteRef/>
      </w:r>
      <w:r w:rsidRPr="00B30B8D">
        <w:rPr>
          <w:rFonts w:ascii="Century Schoolbook" w:hAnsi="Century Schoolbook"/>
          <w:szCs w:val="26"/>
        </w:rPr>
        <w:t xml:space="preserve"> </w:t>
      </w:r>
      <w:r w:rsidRPr="00B30B8D">
        <w:rPr>
          <w:rFonts w:ascii="Century Schoolbook" w:hAnsi="Century Schoolbook"/>
          <w:szCs w:val="26"/>
        </w:rPr>
        <w:tab/>
      </w:r>
      <w:r w:rsidRPr="00B30B8D">
        <w:rPr>
          <w:rFonts w:ascii="Century Schoolbook" w:hAnsi="Century Schoolbook"/>
          <w:b w:val="0"/>
          <w:bCs/>
          <w:szCs w:val="26"/>
        </w:rPr>
        <w:t>After briefing in this case and before oral argument, plaintiff notified the court and defendant that the FTC has issued an advisory opinion addressing the holder rule.  The</w:t>
      </w:r>
      <w:r>
        <w:rPr>
          <w:rFonts w:ascii="Century Schoolbook" w:hAnsi="Century Schoolbook"/>
          <w:b w:val="0"/>
          <w:bCs/>
          <w:szCs w:val="26"/>
        </w:rPr>
        <w:t xml:space="preserve"> advisory opinion </w:t>
      </w:r>
      <w:r w:rsidRPr="00B30B8D">
        <w:rPr>
          <w:rFonts w:ascii="Century Schoolbook" w:hAnsi="Century Schoolbook"/>
          <w:b w:val="0"/>
          <w:bCs/>
          <w:szCs w:val="26"/>
        </w:rPr>
        <w:t xml:space="preserve">states that </w:t>
      </w:r>
      <w:r w:rsidRPr="00640C8E">
        <w:rPr>
          <w:rFonts w:ascii="Century Schoolbook" w:hAnsi="Century Schoolbook"/>
          <w:b w:val="0"/>
          <w:bCs/>
          <w:i/>
          <w:iCs/>
          <w:szCs w:val="26"/>
        </w:rPr>
        <w:t xml:space="preserve">Pulliam </w:t>
      </w:r>
      <w:r w:rsidRPr="00640C8E">
        <w:rPr>
          <w:rFonts w:ascii="Century Schoolbook" w:hAnsi="Century Schoolbook"/>
          <w:b w:val="0"/>
          <w:bCs/>
          <w:szCs w:val="26"/>
        </w:rPr>
        <w:t>and cases in other states “correctly</w:t>
      </w:r>
      <w:r w:rsidRPr="00640C8E">
        <w:rPr>
          <w:rFonts w:ascii="Century Schoolbook" w:hAnsi="Century Schoolbook"/>
          <w:szCs w:val="26"/>
        </w:rPr>
        <w:t xml:space="preserve"> </w:t>
      </w:r>
      <w:r w:rsidRPr="00640C8E">
        <w:rPr>
          <w:rFonts w:ascii="Century Schoolbook" w:hAnsi="Century Schoolbook"/>
          <w:b w:val="0"/>
          <w:bCs/>
          <w:szCs w:val="26"/>
        </w:rPr>
        <w:t>conclud[e]</w:t>
      </w:r>
      <w:r w:rsidRPr="00B30B8D">
        <w:rPr>
          <w:rFonts w:ascii="Century Schoolbook" w:hAnsi="Century Schoolbook"/>
          <w:b w:val="0"/>
          <w:bCs/>
          <w:szCs w:val="26"/>
          <w:u w:val="single"/>
        </w:rPr>
        <w:t xml:space="preserve"> </w:t>
      </w:r>
      <w:r w:rsidRPr="00640C8E">
        <w:rPr>
          <w:rFonts w:ascii="Century Schoolbook" w:hAnsi="Century Schoolbook"/>
          <w:b w:val="0"/>
          <w:bCs/>
          <w:szCs w:val="26"/>
        </w:rPr>
        <w:t>that the Holder Rule does not limit recovery o</w:t>
      </w:r>
      <w:r w:rsidRPr="00BC472C">
        <w:rPr>
          <w:rFonts w:ascii="Century Schoolbook" w:hAnsi="Century Schoolbook"/>
          <w:b w:val="0"/>
          <w:bCs/>
          <w:szCs w:val="26"/>
        </w:rPr>
        <w:t xml:space="preserve">f </w:t>
      </w:r>
      <w:r w:rsidRPr="00B30B8D">
        <w:rPr>
          <w:rFonts w:ascii="Century Schoolbook" w:hAnsi="Century Schoolbook"/>
          <w:b w:val="0"/>
          <w:bCs/>
          <w:color w:val="000000"/>
          <w:szCs w:val="26"/>
          <w:shd w:val="clear" w:color="auto" w:fill="FFFFFF"/>
        </w:rPr>
        <w:t>attorneys’ fees and costs when state law authorizes awards against a holder,” and</w:t>
      </w:r>
      <w:r w:rsidRPr="00B30B8D">
        <w:rPr>
          <w:rFonts w:ascii="Century Schoolbook" w:hAnsi="Century Schoolbook"/>
          <w:color w:val="000000"/>
          <w:szCs w:val="26"/>
          <w:shd w:val="clear" w:color="auto" w:fill="FFFFFF"/>
        </w:rPr>
        <w:t xml:space="preserve"> </w:t>
      </w:r>
      <w:r w:rsidRPr="00B30B8D">
        <w:rPr>
          <w:rFonts w:ascii="Century Schoolbook" w:hAnsi="Century Schoolbook"/>
          <w:b w:val="0"/>
          <w:bCs/>
          <w:szCs w:val="26"/>
        </w:rPr>
        <w:t>“</w:t>
      </w:r>
      <w:r w:rsidRPr="00B30B8D">
        <w:rPr>
          <w:rFonts w:ascii="Century Schoolbook" w:eastAsia="Times New Roman" w:hAnsi="Century Schoolbook"/>
          <w:b w:val="0"/>
          <w:color w:val="000000"/>
          <w:szCs w:val="26"/>
        </w:rPr>
        <w:t>whether costs and attorneys</w:t>
      </w:r>
      <w:r>
        <w:rPr>
          <w:rFonts w:ascii="Century Schoolbook" w:eastAsia="Times New Roman" w:hAnsi="Century Schoolbook"/>
          <w:b w:val="0"/>
          <w:color w:val="000000"/>
          <w:szCs w:val="26"/>
        </w:rPr>
        <w:t xml:space="preserve">’ </w:t>
      </w:r>
      <w:r w:rsidRPr="00B30B8D">
        <w:rPr>
          <w:rFonts w:ascii="Century Schoolbook" w:eastAsia="Times New Roman" w:hAnsi="Century Schoolbook"/>
          <w:b w:val="0"/>
          <w:color w:val="000000"/>
          <w:szCs w:val="26"/>
        </w:rPr>
        <w:t>fees may be awarded against the holder of the credit contract is determined by the relevant law governing costs and fees.  Nothing in the Holder Rule states that application of such laws to holders is inconsistent with Section 5 of the FTC Act or that holders should be wholly or partially exempt from these laws.</w:t>
      </w:r>
      <w:r>
        <w:rPr>
          <w:rFonts w:ascii="Century Schoolbook" w:eastAsia="Times New Roman" w:hAnsi="Century Schoolbook"/>
          <w:b w:val="0"/>
          <w:color w:val="000000"/>
          <w:szCs w:val="26"/>
        </w:rPr>
        <w:t>”  (FTC, Commission Statement on the Holder Rule and Attorneys’ Fees and Costs (Jan. 18, 2022), pp. 1 &amp; 2</w:t>
      </w:r>
      <w:r w:rsidR="00B30B8D">
        <w:rPr>
          <w:rFonts w:ascii="Century Schoolbook" w:eastAsia="Times New Roman" w:hAnsi="Century Schoolbook"/>
          <w:b w:val="0"/>
          <w:color w:val="000000"/>
          <w:szCs w:val="26"/>
        </w:rPr>
        <w:t>,</w:t>
      </w:r>
      <w:r w:rsidR="0045353D">
        <w:rPr>
          <w:rFonts w:ascii="Century Schoolbook" w:eastAsia="Times New Roman" w:hAnsi="Century Schoolbook"/>
          <w:b w:val="0"/>
          <w:color w:val="000000"/>
          <w:szCs w:val="26"/>
        </w:rPr>
        <w:t xml:space="preserve"> </w:t>
      </w:r>
      <w:r>
        <w:rPr>
          <w:rFonts w:ascii="Century Schoolbook" w:eastAsia="Times New Roman" w:hAnsi="Century Schoolbook"/>
          <w:b w:val="0"/>
          <w:color w:val="000000"/>
          <w:szCs w:val="26"/>
        </w:rPr>
        <w:t>fn</w:t>
      </w:r>
      <w:r w:rsidR="00BC472C">
        <w:rPr>
          <w:rFonts w:ascii="Century Schoolbook" w:eastAsia="Times New Roman" w:hAnsi="Century Schoolbook"/>
          <w:b w:val="0"/>
          <w:color w:val="000000"/>
          <w:szCs w:val="26"/>
        </w:rPr>
        <w:t>. </w:t>
      </w:r>
      <w:r>
        <w:rPr>
          <w:rFonts w:ascii="Century Schoolbook" w:eastAsia="Times New Roman" w:hAnsi="Century Schoolbook"/>
          <w:b w:val="0"/>
          <w:color w:val="000000"/>
          <w:szCs w:val="26"/>
        </w:rPr>
        <w:t>omitted</w:t>
      </w:r>
      <w:r w:rsidR="0045353D">
        <w:rPr>
          <w:rFonts w:ascii="Century Schoolbook" w:eastAsia="Times New Roman" w:hAnsi="Century Schoolbook"/>
          <w:b w:val="0"/>
          <w:color w:val="000000"/>
          <w:szCs w:val="26"/>
        </w:rPr>
        <w:t>, at &lt;</w:t>
      </w:r>
      <w:r w:rsidR="000006DB">
        <w:rPr>
          <w:rFonts w:ascii="Century Schoolbook" w:eastAsia="Times New Roman" w:hAnsi="Century Schoolbook"/>
          <w:b w:val="0"/>
          <w:color w:val="000000"/>
          <w:szCs w:val="26"/>
        </w:rPr>
        <w:t>https://</w:t>
      </w:r>
      <w:r w:rsidR="0045353D" w:rsidRPr="0045353D">
        <w:rPr>
          <w:rFonts w:ascii="Century Schoolbook" w:eastAsia="Times New Roman" w:hAnsi="Century Schoolbook"/>
          <w:b w:val="0"/>
          <w:color w:val="000000"/>
          <w:szCs w:val="26"/>
        </w:rPr>
        <w:t>www.ftc.gov/policy/advisory-opinions&gt;</w:t>
      </w:r>
      <w:r w:rsidR="0045353D">
        <w:rPr>
          <w:rFonts w:ascii="Century Schoolbook" w:eastAsia="Times New Roman" w:hAnsi="Century Schoolbook"/>
          <w:color w:val="000000"/>
          <w:szCs w:val="26"/>
        </w:rPr>
        <w:t xml:space="preserve"> </w:t>
      </w:r>
      <w:r w:rsidR="00B854BD" w:rsidRPr="0045353D">
        <w:rPr>
          <w:rFonts w:ascii="Century Schoolbook" w:eastAsia="Times New Roman" w:hAnsi="Century Schoolbook"/>
          <w:b w:val="0"/>
          <w:color w:val="000000"/>
          <w:szCs w:val="26"/>
        </w:rPr>
        <w:t>[as of Jan.</w:t>
      </w:r>
      <w:r w:rsidR="00B854BD">
        <w:rPr>
          <w:rFonts w:ascii="Century Schoolbook" w:eastAsia="Times New Roman" w:hAnsi="Century Schoolbook"/>
          <w:b w:val="0"/>
          <w:color w:val="000000"/>
          <w:szCs w:val="26"/>
        </w:rPr>
        <w:t> </w:t>
      </w:r>
      <w:r w:rsidR="00B854BD" w:rsidRPr="0045353D">
        <w:rPr>
          <w:rFonts w:ascii="Century Schoolbook" w:eastAsia="Times New Roman" w:hAnsi="Century Schoolbook"/>
          <w:b w:val="0"/>
          <w:color w:val="000000"/>
          <w:szCs w:val="26"/>
        </w:rPr>
        <w:t>28, 2022]</w:t>
      </w:r>
      <w:r w:rsidR="00B854BD">
        <w:rPr>
          <w:rFonts w:ascii="Century Schoolbook" w:eastAsia="Times New Roman" w:hAnsi="Century Schoolbook"/>
          <w:b w:val="0"/>
          <w:color w:val="000000"/>
          <w:szCs w:val="26"/>
        </w:rPr>
        <w:t xml:space="preserve"> archived at &lt;</w:t>
      </w:r>
      <w:r w:rsidR="00B854BD" w:rsidRPr="00640C8E">
        <w:rPr>
          <w:rStyle w:val="Strong"/>
          <w:rFonts w:ascii="Century Schoolbook" w:hAnsi="Century Schoolbook" w:cs="Helvetica"/>
          <w:bCs w:val="0"/>
          <w:color w:val="000000" w:themeColor="text1"/>
          <w:szCs w:val="26"/>
          <w:shd w:val="clear" w:color="auto" w:fill="FFFFFF"/>
        </w:rPr>
        <w:t>https://perma.cc/54G3-2F5Q</w:t>
      </w:r>
      <w:r w:rsidR="00B854BD">
        <w:rPr>
          <w:rStyle w:val="Strong"/>
          <w:rFonts w:ascii="Century Schoolbook" w:hAnsi="Century Schoolbook" w:cs="Helvetica"/>
          <w:bCs w:val="0"/>
          <w:color w:val="000000" w:themeColor="text1"/>
          <w:szCs w:val="26"/>
          <w:shd w:val="clear" w:color="auto" w:fill="FFFFFF"/>
        </w:rPr>
        <w:t>&gt;</w:t>
      </w:r>
      <w:r w:rsidR="00B854BD">
        <w:rPr>
          <w:rStyle w:val="Strong"/>
          <w:rFonts w:ascii="Century Schoolbook" w:hAnsi="Century Schoolbook" w:cs="Helvetica"/>
          <w:color w:val="000000" w:themeColor="text1"/>
          <w:szCs w:val="26"/>
          <w:shd w:val="clear" w:color="auto" w:fill="FFFFFF"/>
        </w:rPr>
        <w:t>.)</w:t>
      </w:r>
    </w:p>
    <w:p w14:paraId="09C6FA6D" w14:textId="77777777" w:rsidR="00E162E6" w:rsidRPr="00B30B8D" w:rsidRDefault="00E162E6" w:rsidP="00E162E6">
      <w:pPr>
        <w:pStyle w:val="FootnoteText"/>
        <w:rPr>
          <w:lang w:val="en-US"/>
        </w:rPr>
      </w:pPr>
      <w:r>
        <w:rPr>
          <w:lang w:val="en-US"/>
        </w:rPr>
        <w:t xml:space="preserve"> </w:t>
      </w:r>
    </w:p>
  </w:footnote>
  <w:footnote w:id="2">
    <w:p w14:paraId="3181EF3B" w14:textId="77777777" w:rsidR="009D1A08" w:rsidRPr="00A51388" w:rsidRDefault="009D1A08" w:rsidP="009D1A08">
      <w:pPr>
        <w:pStyle w:val="FootnoteText"/>
        <w:spacing w:line="240" w:lineRule="auto"/>
        <w:rPr>
          <w:rFonts w:ascii="Century Schoolbook" w:hAnsi="Century Schoolbook"/>
          <w:b w:val="0"/>
          <w:bCs/>
        </w:rPr>
      </w:pPr>
      <w:r w:rsidRPr="00BC472C">
        <w:rPr>
          <w:rStyle w:val="FootnoteReference"/>
          <w:b w:val="0"/>
          <w:position w:val="8"/>
          <w:vertAlign w:val="baseline"/>
        </w:rPr>
        <w:t>*</w:t>
      </w:r>
      <w:r w:rsidRPr="00BC472C">
        <w:rPr>
          <w:b w:val="0"/>
          <w:position w:val="8"/>
        </w:rPr>
        <w:t xml:space="preserve"> </w:t>
      </w:r>
      <w:r w:rsidRPr="00691286">
        <w:rPr>
          <w:b w:val="0"/>
          <w:position w:val="8"/>
        </w:rPr>
        <w:t xml:space="preserve"> </w:t>
      </w:r>
      <w:r w:rsidRPr="00691286">
        <w:rPr>
          <w:b w:val="0"/>
        </w:rPr>
        <w:t xml:space="preserve">   </w:t>
      </w:r>
      <w:r>
        <w:t xml:space="preserve"> </w:t>
      </w:r>
      <w:r w:rsidRPr="00691286">
        <w:rPr>
          <w:szCs w:val="26"/>
        </w:rPr>
        <w:tab/>
      </w:r>
      <w:r w:rsidRPr="00A51388">
        <w:rPr>
          <w:rFonts w:ascii="Century Schoolbook" w:hAnsi="Century Schoolbook"/>
          <w:b w:val="0"/>
          <w:bCs/>
          <w:szCs w:val="26"/>
        </w:rPr>
        <w:t xml:space="preserve">Judge of the </w:t>
      </w:r>
      <w:r>
        <w:rPr>
          <w:rFonts w:ascii="Century Schoolbook" w:hAnsi="Century Schoolbook"/>
          <w:b w:val="0"/>
          <w:bCs/>
          <w:szCs w:val="26"/>
          <w:lang w:val="en-US"/>
        </w:rPr>
        <w:t>San Diego</w:t>
      </w:r>
      <w:r w:rsidRPr="00A51388">
        <w:rPr>
          <w:rFonts w:ascii="Century Schoolbook" w:hAnsi="Century Schoolbook"/>
          <w:b w:val="0"/>
          <w:bCs/>
          <w:szCs w:val="26"/>
        </w:rPr>
        <w:t xml:space="preserve"> Superior Court, assigned by the Chief Justice pursuant to article VI, section 6 of the California Constitution.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C60"/>
    <w:multiLevelType w:val="hybridMultilevel"/>
    <w:tmpl w:val="DE7E2220"/>
    <w:lvl w:ilvl="0" w:tplc="D26AA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44FCF"/>
    <w:multiLevelType w:val="hybridMultilevel"/>
    <w:tmpl w:val="C4B86ED4"/>
    <w:lvl w:ilvl="0" w:tplc="6D78F2F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0A406A87"/>
    <w:multiLevelType w:val="hybridMultilevel"/>
    <w:tmpl w:val="2FB0040C"/>
    <w:lvl w:ilvl="0" w:tplc="3006B0FC">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EE3AB3"/>
    <w:multiLevelType w:val="hybridMultilevel"/>
    <w:tmpl w:val="6C8228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16028"/>
    <w:multiLevelType w:val="hybridMultilevel"/>
    <w:tmpl w:val="01184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05E91"/>
    <w:multiLevelType w:val="hybridMultilevel"/>
    <w:tmpl w:val="7354E504"/>
    <w:lvl w:ilvl="0" w:tplc="BEDC98B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C2A2F"/>
    <w:multiLevelType w:val="hybridMultilevel"/>
    <w:tmpl w:val="86C01C58"/>
    <w:lvl w:ilvl="0" w:tplc="E9B20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E34C12"/>
    <w:multiLevelType w:val="hybridMultilevel"/>
    <w:tmpl w:val="F314FE96"/>
    <w:lvl w:ilvl="0" w:tplc="5D3C53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324E2"/>
    <w:multiLevelType w:val="hybridMultilevel"/>
    <w:tmpl w:val="4DF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70216"/>
    <w:multiLevelType w:val="hybridMultilevel"/>
    <w:tmpl w:val="FBC2DC8E"/>
    <w:lvl w:ilvl="0" w:tplc="05DABE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2714FC"/>
    <w:multiLevelType w:val="hybridMultilevel"/>
    <w:tmpl w:val="5346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E6D1B"/>
    <w:multiLevelType w:val="hybridMultilevel"/>
    <w:tmpl w:val="FD5A1B04"/>
    <w:lvl w:ilvl="0" w:tplc="7BD62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0F0B3D"/>
    <w:multiLevelType w:val="hybridMultilevel"/>
    <w:tmpl w:val="6580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E5ADF"/>
    <w:multiLevelType w:val="hybridMultilevel"/>
    <w:tmpl w:val="5A9C7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46FC1"/>
    <w:multiLevelType w:val="hybridMultilevel"/>
    <w:tmpl w:val="55DC5AD6"/>
    <w:lvl w:ilvl="0" w:tplc="1C4A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FB78E2"/>
    <w:multiLevelType w:val="hybridMultilevel"/>
    <w:tmpl w:val="735E5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B07BAF"/>
    <w:multiLevelType w:val="hybridMultilevel"/>
    <w:tmpl w:val="FA7E6F92"/>
    <w:lvl w:ilvl="0" w:tplc="7BD05B96">
      <w:start w:val="1"/>
      <w:numFmt w:val="lowerLetter"/>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223782"/>
    <w:multiLevelType w:val="hybridMultilevel"/>
    <w:tmpl w:val="1F94D0B8"/>
    <w:lvl w:ilvl="0" w:tplc="ABBE28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477F6"/>
    <w:multiLevelType w:val="hybridMultilevel"/>
    <w:tmpl w:val="F0C2FF64"/>
    <w:lvl w:ilvl="0" w:tplc="CF06CEF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637E16"/>
    <w:multiLevelType w:val="hybridMultilevel"/>
    <w:tmpl w:val="797E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B05EA"/>
    <w:multiLevelType w:val="hybridMultilevel"/>
    <w:tmpl w:val="11AC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A19C5"/>
    <w:multiLevelType w:val="hybridMultilevel"/>
    <w:tmpl w:val="6B76F618"/>
    <w:lvl w:ilvl="0" w:tplc="8FAAD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E7EB5"/>
    <w:multiLevelType w:val="hybridMultilevel"/>
    <w:tmpl w:val="11AC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5580D"/>
    <w:multiLevelType w:val="hybridMultilevel"/>
    <w:tmpl w:val="DBC4A924"/>
    <w:lvl w:ilvl="0" w:tplc="1748A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A663C3"/>
    <w:multiLevelType w:val="hybridMultilevel"/>
    <w:tmpl w:val="DCE867C2"/>
    <w:lvl w:ilvl="0" w:tplc="39A27D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2D3D87"/>
    <w:multiLevelType w:val="hybridMultilevel"/>
    <w:tmpl w:val="5CEA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C90D56"/>
    <w:multiLevelType w:val="hybridMultilevel"/>
    <w:tmpl w:val="39E44F82"/>
    <w:lvl w:ilvl="0" w:tplc="04D0F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6B3435"/>
    <w:multiLevelType w:val="hybridMultilevel"/>
    <w:tmpl w:val="E928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0637E"/>
    <w:multiLevelType w:val="hybridMultilevel"/>
    <w:tmpl w:val="EF064E88"/>
    <w:lvl w:ilvl="0" w:tplc="8B141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63700E"/>
    <w:multiLevelType w:val="hybridMultilevel"/>
    <w:tmpl w:val="DCC0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A5B09"/>
    <w:multiLevelType w:val="hybridMultilevel"/>
    <w:tmpl w:val="8FD2EF78"/>
    <w:lvl w:ilvl="0" w:tplc="4F52806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922787"/>
    <w:multiLevelType w:val="hybridMultilevel"/>
    <w:tmpl w:val="EB4E9AA6"/>
    <w:lvl w:ilvl="0" w:tplc="20F6E6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1B1D9B"/>
    <w:multiLevelType w:val="hybridMultilevel"/>
    <w:tmpl w:val="DBC25986"/>
    <w:lvl w:ilvl="0" w:tplc="C86EB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DD3116"/>
    <w:multiLevelType w:val="hybridMultilevel"/>
    <w:tmpl w:val="2EC0C054"/>
    <w:lvl w:ilvl="0" w:tplc="A8C03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EB3A06"/>
    <w:multiLevelType w:val="hybridMultilevel"/>
    <w:tmpl w:val="2F82EB3C"/>
    <w:lvl w:ilvl="0" w:tplc="3D5E9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6E3AE9"/>
    <w:multiLevelType w:val="hybridMultilevel"/>
    <w:tmpl w:val="4F34FC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772545"/>
    <w:multiLevelType w:val="hybridMultilevel"/>
    <w:tmpl w:val="E0B0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340181"/>
    <w:multiLevelType w:val="hybridMultilevel"/>
    <w:tmpl w:val="A3CA1CB0"/>
    <w:lvl w:ilvl="0" w:tplc="5A829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4F4279F"/>
    <w:multiLevelType w:val="hybridMultilevel"/>
    <w:tmpl w:val="0AD29480"/>
    <w:lvl w:ilvl="0" w:tplc="839EC4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6C26364"/>
    <w:multiLevelType w:val="hybridMultilevel"/>
    <w:tmpl w:val="D57EE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023446"/>
    <w:multiLevelType w:val="hybridMultilevel"/>
    <w:tmpl w:val="C39A6B72"/>
    <w:lvl w:ilvl="0" w:tplc="3756321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9EC416D"/>
    <w:multiLevelType w:val="hybridMultilevel"/>
    <w:tmpl w:val="22C68700"/>
    <w:lvl w:ilvl="0" w:tplc="28FED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7052D5"/>
    <w:multiLevelType w:val="hybridMultilevel"/>
    <w:tmpl w:val="8EF6F070"/>
    <w:lvl w:ilvl="0" w:tplc="572458E4">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02E745D"/>
    <w:multiLevelType w:val="hybridMultilevel"/>
    <w:tmpl w:val="1C9609B6"/>
    <w:lvl w:ilvl="0" w:tplc="2A987528">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5D736E"/>
    <w:multiLevelType w:val="hybridMultilevel"/>
    <w:tmpl w:val="43F6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F7F3E"/>
    <w:multiLevelType w:val="hybridMultilevel"/>
    <w:tmpl w:val="6FCE8AD2"/>
    <w:lvl w:ilvl="0" w:tplc="F4E48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DB3737"/>
    <w:multiLevelType w:val="multilevel"/>
    <w:tmpl w:val="F832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6"/>
  </w:num>
  <w:num w:numId="3">
    <w:abstractNumId w:val="36"/>
  </w:num>
  <w:num w:numId="4">
    <w:abstractNumId w:val="7"/>
  </w:num>
  <w:num w:numId="5">
    <w:abstractNumId w:val="4"/>
  </w:num>
  <w:num w:numId="6">
    <w:abstractNumId w:val="10"/>
  </w:num>
  <w:num w:numId="7">
    <w:abstractNumId w:val="12"/>
  </w:num>
  <w:num w:numId="8">
    <w:abstractNumId w:val="3"/>
  </w:num>
  <w:num w:numId="9">
    <w:abstractNumId w:val="1"/>
  </w:num>
  <w:num w:numId="10">
    <w:abstractNumId w:val="11"/>
  </w:num>
  <w:num w:numId="11">
    <w:abstractNumId w:val="15"/>
  </w:num>
  <w:num w:numId="12">
    <w:abstractNumId w:val="29"/>
  </w:num>
  <w:num w:numId="13">
    <w:abstractNumId w:val="21"/>
  </w:num>
  <w:num w:numId="14">
    <w:abstractNumId w:val="6"/>
  </w:num>
  <w:num w:numId="15">
    <w:abstractNumId w:val="31"/>
  </w:num>
  <w:num w:numId="16">
    <w:abstractNumId w:val="42"/>
  </w:num>
  <w:num w:numId="17">
    <w:abstractNumId w:val="27"/>
  </w:num>
  <w:num w:numId="18">
    <w:abstractNumId w:val="19"/>
  </w:num>
  <w:num w:numId="19">
    <w:abstractNumId w:val="25"/>
  </w:num>
  <w:num w:numId="20">
    <w:abstractNumId w:val="0"/>
  </w:num>
  <w:num w:numId="21">
    <w:abstractNumId w:val="37"/>
  </w:num>
  <w:num w:numId="22">
    <w:abstractNumId w:val="18"/>
  </w:num>
  <w:num w:numId="23">
    <w:abstractNumId w:val="40"/>
  </w:num>
  <w:num w:numId="24">
    <w:abstractNumId w:val="39"/>
  </w:num>
  <w:num w:numId="25">
    <w:abstractNumId w:val="17"/>
  </w:num>
  <w:num w:numId="26">
    <w:abstractNumId w:val="45"/>
  </w:num>
  <w:num w:numId="27">
    <w:abstractNumId w:val="5"/>
  </w:num>
  <w:num w:numId="28">
    <w:abstractNumId w:val="41"/>
  </w:num>
  <w:num w:numId="29">
    <w:abstractNumId w:val="24"/>
  </w:num>
  <w:num w:numId="30">
    <w:abstractNumId w:val="13"/>
  </w:num>
  <w:num w:numId="31">
    <w:abstractNumId w:val="20"/>
  </w:num>
  <w:num w:numId="32">
    <w:abstractNumId w:val="14"/>
  </w:num>
  <w:num w:numId="33">
    <w:abstractNumId w:val="33"/>
  </w:num>
  <w:num w:numId="34">
    <w:abstractNumId w:val="22"/>
  </w:num>
  <w:num w:numId="35">
    <w:abstractNumId w:val="9"/>
  </w:num>
  <w:num w:numId="36">
    <w:abstractNumId w:val="30"/>
  </w:num>
  <w:num w:numId="37">
    <w:abstractNumId w:val="23"/>
  </w:num>
  <w:num w:numId="38">
    <w:abstractNumId w:val="38"/>
  </w:num>
  <w:num w:numId="39">
    <w:abstractNumId w:val="28"/>
  </w:num>
  <w:num w:numId="40">
    <w:abstractNumId w:val="34"/>
  </w:num>
  <w:num w:numId="41">
    <w:abstractNumId w:val="43"/>
  </w:num>
  <w:num w:numId="42">
    <w:abstractNumId w:val="32"/>
  </w:num>
  <w:num w:numId="43">
    <w:abstractNumId w:val="35"/>
  </w:num>
  <w:num w:numId="44">
    <w:abstractNumId w:val="46"/>
  </w:num>
  <w:num w:numId="45">
    <w:abstractNumId w:val="2"/>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07"/>
    <w:rsid w:val="000006DB"/>
    <w:rsid w:val="000017A2"/>
    <w:rsid w:val="00002F9C"/>
    <w:rsid w:val="000055E3"/>
    <w:rsid w:val="0000684B"/>
    <w:rsid w:val="00007B0F"/>
    <w:rsid w:val="00020FD6"/>
    <w:rsid w:val="00021B6A"/>
    <w:rsid w:val="00022EB4"/>
    <w:rsid w:val="0003686B"/>
    <w:rsid w:val="0003759C"/>
    <w:rsid w:val="00041187"/>
    <w:rsid w:val="0004542B"/>
    <w:rsid w:val="000458F0"/>
    <w:rsid w:val="00045B6F"/>
    <w:rsid w:val="00047131"/>
    <w:rsid w:val="00050D5C"/>
    <w:rsid w:val="00052B7C"/>
    <w:rsid w:val="00053CC4"/>
    <w:rsid w:val="000611CF"/>
    <w:rsid w:val="00061E13"/>
    <w:rsid w:val="00066193"/>
    <w:rsid w:val="0007107C"/>
    <w:rsid w:val="00071426"/>
    <w:rsid w:val="00072F7D"/>
    <w:rsid w:val="000756C4"/>
    <w:rsid w:val="000778F4"/>
    <w:rsid w:val="000800A1"/>
    <w:rsid w:val="00090101"/>
    <w:rsid w:val="00092243"/>
    <w:rsid w:val="000956CB"/>
    <w:rsid w:val="00097526"/>
    <w:rsid w:val="000A1440"/>
    <w:rsid w:val="000A1543"/>
    <w:rsid w:val="000A1C36"/>
    <w:rsid w:val="000A47D5"/>
    <w:rsid w:val="000B0A5C"/>
    <w:rsid w:val="000B0DE6"/>
    <w:rsid w:val="000B319F"/>
    <w:rsid w:val="000B4042"/>
    <w:rsid w:val="000B6BEA"/>
    <w:rsid w:val="000B6DB4"/>
    <w:rsid w:val="000C109F"/>
    <w:rsid w:val="000C1D2B"/>
    <w:rsid w:val="000C293D"/>
    <w:rsid w:val="000C36C1"/>
    <w:rsid w:val="000C5340"/>
    <w:rsid w:val="000C6B5B"/>
    <w:rsid w:val="000D140F"/>
    <w:rsid w:val="000D386C"/>
    <w:rsid w:val="000D657F"/>
    <w:rsid w:val="000D768C"/>
    <w:rsid w:val="000D79BD"/>
    <w:rsid w:val="000E2FFF"/>
    <w:rsid w:val="000E35DE"/>
    <w:rsid w:val="000E69F4"/>
    <w:rsid w:val="000E6C1B"/>
    <w:rsid w:val="000E7C1B"/>
    <w:rsid w:val="000F2202"/>
    <w:rsid w:val="000F35E0"/>
    <w:rsid w:val="000F4C26"/>
    <w:rsid w:val="000F71C0"/>
    <w:rsid w:val="001001EC"/>
    <w:rsid w:val="00107609"/>
    <w:rsid w:val="00110661"/>
    <w:rsid w:val="00112A5A"/>
    <w:rsid w:val="00116B19"/>
    <w:rsid w:val="00122665"/>
    <w:rsid w:val="001228A6"/>
    <w:rsid w:val="00122A05"/>
    <w:rsid w:val="0012304E"/>
    <w:rsid w:val="00126F1A"/>
    <w:rsid w:val="00127034"/>
    <w:rsid w:val="001318F4"/>
    <w:rsid w:val="00132197"/>
    <w:rsid w:val="0013487D"/>
    <w:rsid w:val="001372A2"/>
    <w:rsid w:val="00144F1F"/>
    <w:rsid w:val="001456ED"/>
    <w:rsid w:val="00147550"/>
    <w:rsid w:val="001531A0"/>
    <w:rsid w:val="00154548"/>
    <w:rsid w:val="00156394"/>
    <w:rsid w:val="001565EB"/>
    <w:rsid w:val="00160F13"/>
    <w:rsid w:val="001631A1"/>
    <w:rsid w:val="0016437E"/>
    <w:rsid w:val="001647C9"/>
    <w:rsid w:val="00166264"/>
    <w:rsid w:val="0016658F"/>
    <w:rsid w:val="0017185E"/>
    <w:rsid w:val="0017199F"/>
    <w:rsid w:val="001737A5"/>
    <w:rsid w:val="0017612B"/>
    <w:rsid w:val="00176F87"/>
    <w:rsid w:val="00186526"/>
    <w:rsid w:val="001932EC"/>
    <w:rsid w:val="0019482F"/>
    <w:rsid w:val="00194973"/>
    <w:rsid w:val="00195261"/>
    <w:rsid w:val="00195AF7"/>
    <w:rsid w:val="0019638A"/>
    <w:rsid w:val="00197A09"/>
    <w:rsid w:val="001A0E21"/>
    <w:rsid w:val="001A107C"/>
    <w:rsid w:val="001A5069"/>
    <w:rsid w:val="001B0512"/>
    <w:rsid w:val="001B325F"/>
    <w:rsid w:val="001B4806"/>
    <w:rsid w:val="001B7B65"/>
    <w:rsid w:val="001C27EE"/>
    <w:rsid w:val="001C2AFD"/>
    <w:rsid w:val="001C5B0C"/>
    <w:rsid w:val="001C6003"/>
    <w:rsid w:val="001C6CEA"/>
    <w:rsid w:val="001D0EEB"/>
    <w:rsid w:val="001D27A6"/>
    <w:rsid w:val="001D3B56"/>
    <w:rsid w:val="001D4FFF"/>
    <w:rsid w:val="001E1E4C"/>
    <w:rsid w:val="001E373B"/>
    <w:rsid w:val="001E49AB"/>
    <w:rsid w:val="001E4EEE"/>
    <w:rsid w:val="001E5932"/>
    <w:rsid w:val="001F28EB"/>
    <w:rsid w:val="001F3B48"/>
    <w:rsid w:val="001F4BC7"/>
    <w:rsid w:val="001F5395"/>
    <w:rsid w:val="001F5B1F"/>
    <w:rsid w:val="00200B58"/>
    <w:rsid w:val="0020396D"/>
    <w:rsid w:val="00203F79"/>
    <w:rsid w:val="002068E7"/>
    <w:rsid w:val="00213D3D"/>
    <w:rsid w:val="00215D85"/>
    <w:rsid w:val="0021652C"/>
    <w:rsid w:val="00221A01"/>
    <w:rsid w:val="00221C8D"/>
    <w:rsid w:val="00223C88"/>
    <w:rsid w:val="00224F7C"/>
    <w:rsid w:val="002268C3"/>
    <w:rsid w:val="00231FBD"/>
    <w:rsid w:val="002320A7"/>
    <w:rsid w:val="00232E03"/>
    <w:rsid w:val="002339C7"/>
    <w:rsid w:val="00237200"/>
    <w:rsid w:val="00237E3B"/>
    <w:rsid w:val="00242889"/>
    <w:rsid w:val="00244F10"/>
    <w:rsid w:val="00245814"/>
    <w:rsid w:val="002502C1"/>
    <w:rsid w:val="00251AFE"/>
    <w:rsid w:val="00251C3B"/>
    <w:rsid w:val="0025519D"/>
    <w:rsid w:val="00256274"/>
    <w:rsid w:val="00257A5C"/>
    <w:rsid w:val="00263937"/>
    <w:rsid w:val="00264BF4"/>
    <w:rsid w:val="00265CF7"/>
    <w:rsid w:val="002704E3"/>
    <w:rsid w:val="00272DC9"/>
    <w:rsid w:val="00272FCA"/>
    <w:rsid w:val="0027445B"/>
    <w:rsid w:val="00274951"/>
    <w:rsid w:val="00276709"/>
    <w:rsid w:val="002768A5"/>
    <w:rsid w:val="00281034"/>
    <w:rsid w:val="00281792"/>
    <w:rsid w:val="00281E4D"/>
    <w:rsid w:val="00282BC9"/>
    <w:rsid w:val="0028463F"/>
    <w:rsid w:val="00292629"/>
    <w:rsid w:val="00293156"/>
    <w:rsid w:val="002940AA"/>
    <w:rsid w:val="00294A56"/>
    <w:rsid w:val="002977EE"/>
    <w:rsid w:val="002A140A"/>
    <w:rsid w:val="002A369B"/>
    <w:rsid w:val="002A4E69"/>
    <w:rsid w:val="002A63D0"/>
    <w:rsid w:val="002A74FF"/>
    <w:rsid w:val="002A79B6"/>
    <w:rsid w:val="002B152E"/>
    <w:rsid w:val="002B514C"/>
    <w:rsid w:val="002B6260"/>
    <w:rsid w:val="002C30CB"/>
    <w:rsid w:val="002C650D"/>
    <w:rsid w:val="002D0EE2"/>
    <w:rsid w:val="002D123D"/>
    <w:rsid w:val="002D2F65"/>
    <w:rsid w:val="002E1CDC"/>
    <w:rsid w:val="002E2ED0"/>
    <w:rsid w:val="002E4F34"/>
    <w:rsid w:val="002E542B"/>
    <w:rsid w:val="002E54A6"/>
    <w:rsid w:val="002E6FE2"/>
    <w:rsid w:val="002F5A6B"/>
    <w:rsid w:val="002F6DA7"/>
    <w:rsid w:val="0030056C"/>
    <w:rsid w:val="003028CB"/>
    <w:rsid w:val="00302EFA"/>
    <w:rsid w:val="00306811"/>
    <w:rsid w:val="0031068E"/>
    <w:rsid w:val="003107E0"/>
    <w:rsid w:val="00312709"/>
    <w:rsid w:val="003242CD"/>
    <w:rsid w:val="00324A05"/>
    <w:rsid w:val="00324E3D"/>
    <w:rsid w:val="00330B74"/>
    <w:rsid w:val="00332256"/>
    <w:rsid w:val="00332A15"/>
    <w:rsid w:val="003332BA"/>
    <w:rsid w:val="00334221"/>
    <w:rsid w:val="00335170"/>
    <w:rsid w:val="00340753"/>
    <w:rsid w:val="00343DBF"/>
    <w:rsid w:val="00344703"/>
    <w:rsid w:val="00344818"/>
    <w:rsid w:val="003448EF"/>
    <w:rsid w:val="00346458"/>
    <w:rsid w:val="003471DA"/>
    <w:rsid w:val="00347850"/>
    <w:rsid w:val="00356449"/>
    <w:rsid w:val="00356F2A"/>
    <w:rsid w:val="00357449"/>
    <w:rsid w:val="0036157C"/>
    <w:rsid w:val="00361928"/>
    <w:rsid w:val="00362672"/>
    <w:rsid w:val="003630CB"/>
    <w:rsid w:val="00363634"/>
    <w:rsid w:val="003639FD"/>
    <w:rsid w:val="003648F9"/>
    <w:rsid w:val="00364D29"/>
    <w:rsid w:val="00365BC0"/>
    <w:rsid w:val="00366B66"/>
    <w:rsid w:val="003706DB"/>
    <w:rsid w:val="00370F23"/>
    <w:rsid w:val="00371432"/>
    <w:rsid w:val="00372B64"/>
    <w:rsid w:val="00373572"/>
    <w:rsid w:val="00373588"/>
    <w:rsid w:val="003742F4"/>
    <w:rsid w:val="003767E4"/>
    <w:rsid w:val="00376C1E"/>
    <w:rsid w:val="00376DD7"/>
    <w:rsid w:val="00381123"/>
    <w:rsid w:val="00381689"/>
    <w:rsid w:val="00382B54"/>
    <w:rsid w:val="00393487"/>
    <w:rsid w:val="00394FD8"/>
    <w:rsid w:val="003A268A"/>
    <w:rsid w:val="003A66DB"/>
    <w:rsid w:val="003A7E73"/>
    <w:rsid w:val="003B1EF2"/>
    <w:rsid w:val="003B6D9E"/>
    <w:rsid w:val="003C1D89"/>
    <w:rsid w:val="003C37C1"/>
    <w:rsid w:val="003D201B"/>
    <w:rsid w:val="003D305B"/>
    <w:rsid w:val="003D5548"/>
    <w:rsid w:val="003D5D22"/>
    <w:rsid w:val="003D6B8C"/>
    <w:rsid w:val="003D77B4"/>
    <w:rsid w:val="003E0373"/>
    <w:rsid w:val="003E3585"/>
    <w:rsid w:val="003F0ECB"/>
    <w:rsid w:val="003F21C6"/>
    <w:rsid w:val="003F55EA"/>
    <w:rsid w:val="003F5BBA"/>
    <w:rsid w:val="003F72AB"/>
    <w:rsid w:val="0040207A"/>
    <w:rsid w:val="0040425E"/>
    <w:rsid w:val="00407E66"/>
    <w:rsid w:val="004100C1"/>
    <w:rsid w:val="004145E6"/>
    <w:rsid w:val="00415563"/>
    <w:rsid w:val="00415612"/>
    <w:rsid w:val="00415FCA"/>
    <w:rsid w:val="00417E16"/>
    <w:rsid w:val="00420316"/>
    <w:rsid w:val="00420762"/>
    <w:rsid w:val="0042199F"/>
    <w:rsid w:val="00425450"/>
    <w:rsid w:val="004320B4"/>
    <w:rsid w:val="00437270"/>
    <w:rsid w:val="004374EE"/>
    <w:rsid w:val="00437AC7"/>
    <w:rsid w:val="0044050B"/>
    <w:rsid w:val="004418B7"/>
    <w:rsid w:val="004423CB"/>
    <w:rsid w:val="004434A0"/>
    <w:rsid w:val="00452D50"/>
    <w:rsid w:val="0045353D"/>
    <w:rsid w:val="0045483D"/>
    <w:rsid w:val="00457C2F"/>
    <w:rsid w:val="00460918"/>
    <w:rsid w:val="00462864"/>
    <w:rsid w:val="00463F8C"/>
    <w:rsid w:val="0046488D"/>
    <w:rsid w:val="00465CF0"/>
    <w:rsid w:val="0046733E"/>
    <w:rsid w:val="0047208A"/>
    <w:rsid w:val="004723CA"/>
    <w:rsid w:val="00472EE7"/>
    <w:rsid w:val="004751B2"/>
    <w:rsid w:val="0047579A"/>
    <w:rsid w:val="0047663A"/>
    <w:rsid w:val="0047687A"/>
    <w:rsid w:val="0048093E"/>
    <w:rsid w:val="004814FA"/>
    <w:rsid w:val="00481FAC"/>
    <w:rsid w:val="00482306"/>
    <w:rsid w:val="0048259B"/>
    <w:rsid w:val="00483A96"/>
    <w:rsid w:val="00484673"/>
    <w:rsid w:val="004874A3"/>
    <w:rsid w:val="00490065"/>
    <w:rsid w:val="00493483"/>
    <w:rsid w:val="00495215"/>
    <w:rsid w:val="00497C7C"/>
    <w:rsid w:val="004A0950"/>
    <w:rsid w:val="004A28E7"/>
    <w:rsid w:val="004A3FE4"/>
    <w:rsid w:val="004A6214"/>
    <w:rsid w:val="004A7EAA"/>
    <w:rsid w:val="004B1187"/>
    <w:rsid w:val="004B39E9"/>
    <w:rsid w:val="004B51D1"/>
    <w:rsid w:val="004B59C4"/>
    <w:rsid w:val="004B5ACC"/>
    <w:rsid w:val="004B64C9"/>
    <w:rsid w:val="004B6A51"/>
    <w:rsid w:val="004B743E"/>
    <w:rsid w:val="004C1794"/>
    <w:rsid w:val="004C1C9D"/>
    <w:rsid w:val="004C43F0"/>
    <w:rsid w:val="004C44E6"/>
    <w:rsid w:val="004C53D1"/>
    <w:rsid w:val="004C6BCD"/>
    <w:rsid w:val="004D4955"/>
    <w:rsid w:val="004D6A16"/>
    <w:rsid w:val="004D6BAA"/>
    <w:rsid w:val="004D7767"/>
    <w:rsid w:val="004E2A80"/>
    <w:rsid w:val="004E6160"/>
    <w:rsid w:val="004E7B15"/>
    <w:rsid w:val="004F2F1E"/>
    <w:rsid w:val="004F326D"/>
    <w:rsid w:val="004F32F8"/>
    <w:rsid w:val="004F50C8"/>
    <w:rsid w:val="005048CF"/>
    <w:rsid w:val="00504FC2"/>
    <w:rsid w:val="00510935"/>
    <w:rsid w:val="00511A61"/>
    <w:rsid w:val="00512C1A"/>
    <w:rsid w:val="005166FB"/>
    <w:rsid w:val="005167A9"/>
    <w:rsid w:val="005230A5"/>
    <w:rsid w:val="005253DF"/>
    <w:rsid w:val="005264EB"/>
    <w:rsid w:val="0052738B"/>
    <w:rsid w:val="0053072B"/>
    <w:rsid w:val="00531F2D"/>
    <w:rsid w:val="00531F4F"/>
    <w:rsid w:val="005327E7"/>
    <w:rsid w:val="005328E8"/>
    <w:rsid w:val="00532EFA"/>
    <w:rsid w:val="0053379A"/>
    <w:rsid w:val="00535333"/>
    <w:rsid w:val="00535F78"/>
    <w:rsid w:val="00537C42"/>
    <w:rsid w:val="00541164"/>
    <w:rsid w:val="00542672"/>
    <w:rsid w:val="00544045"/>
    <w:rsid w:val="0054746F"/>
    <w:rsid w:val="00547A0E"/>
    <w:rsid w:val="00552F9E"/>
    <w:rsid w:val="005535C1"/>
    <w:rsid w:val="00553F60"/>
    <w:rsid w:val="0055489E"/>
    <w:rsid w:val="00555070"/>
    <w:rsid w:val="00556C80"/>
    <w:rsid w:val="005605A0"/>
    <w:rsid w:val="00560911"/>
    <w:rsid w:val="00560B6C"/>
    <w:rsid w:val="00561000"/>
    <w:rsid w:val="00561AAD"/>
    <w:rsid w:val="00565068"/>
    <w:rsid w:val="00572240"/>
    <w:rsid w:val="005739C6"/>
    <w:rsid w:val="00576D2E"/>
    <w:rsid w:val="00577935"/>
    <w:rsid w:val="00580A7C"/>
    <w:rsid w:val="00583421"/>
    <w:rsid w:val="005857D8"/>
    <w:rsid w:val="00586B0C"/>
    <w:rsid w:val="00587896"/>
    <w:rsid w:val="005908B3"/>
    <w:rsid w:val="00592A9B"/>
    <w:rsid w:val="00595CE2"/>
    <w:rsid w:val="00596CA4"/>
    <w:rsid w:val="00596F18"/>
    <w:rsid w:val="005A06BC"/>
    <w:rsid w:val="005A3106"/>
    <w:rsid w:val="005A322F"/>
    <w:rsid w:val="005A492F"/>
    <w:rsid w:val="005A50FA"/>
    <w:rsid w:val="005A59C9"/>
    <w:rsid w:val="005A5ACB"/>
    <w:rsid w:val="005B3BB6"/>
    <w:rsid w:val="005B47AD"/>
    <w:rsid w:val="005B56FB"/>
    <w:rsid w:val="005B7ABC"/>
    <w:rsid w:val="005C1D3C"/>
    <w:rsid w:val="005C2B3A"/>
    <w:rsid w:val="005C6E31"/>
    <w:rsid w:val="005D0C08"/>
    <w:rsid w:val="005D0C0F"/>
    <w:rsid w:val="005D147F"/>
    <w:rsid w:val="005D1AE6"/>
    <w:rsid w:val="005D4295"/>
    <w:rsid w:val="005D4952"/>
    <w:rsid w:val="005D607F"/>
    <w:rsid w:val="005D76E9"/>
    <w:rsid w:val="005E2E1C"/>
    <w:rsid w:val="005E4108"/>
    <w:rsid w:val="005E65A2"/>
    <w:rsid w:val="005E7A09"/>
    <w:rsid w:val="005F076D"/>
    <w:rsid w:val="005F0F35"/>
    <w:rsid w:val="005F3265"/>
    <w:rsid w:val="00603E59"/>
    <w:rsid w:val="00604E67"/>
    <w:rsid w:val="00611A44"/>
    <w:rsid w:val="0061230A"/>
    <w:rsid w:val="0061522E"/>
    <w:rsid w:val="006152D7"/>
    <w:rsid w:val="00616297"/>
    <w:rsid w:val="00617678"/>
    <w:rsid w:val="00622A4B"/>
    <w:rsid w:val="006237F4"/>
    <w:rsid w:val="00624E46"/>
    <w:rsid w:val="00625B9F"/>
    <w:rsid w:val="006265CC"/>
    <w:rsid w:val="0062725F"/>
    <w:rsid w:val="00630C53"/>
    <w:rsid w:val="00631C63"/>
    <w:rsid w:val="006332E4"/>
    <w:rsid w:val="00633797"/>
    <w:rsid w:val="006345BA"/>
    <w:rsid w:val="00635C8F"/>
    <w:rsid w:val="006402A9"/>
    <w:rsid w:val="00640810"/>
    <w:rsid w:val="00640C8E"/>
    <w:rsid w:val="00641557"/>
    <w:rsid w:val="00641BEE"/>
    <w:rsid w:val="00643486"/>
    <w:rsid w:val="00643804"/>
    <w:rsid w:val="006452F8"/>
    <w:rsid w:val="006456AB"/>
    <w:rsid w:val="00646745"/>
    <w:rsid w:val="00650ECD"/>
    <w:rsid w:val="0066093A"/>
    <w:rsid w:val="0066250E"/>
    <w:rsid w:val="006645BF"/>
    <w:rsid w:val="00674BD7"/>
    <w:rsid w:val="00675083"/>
    <w:rsid w:val="00676B77"/>
    <w:rsid w:val="006777BF"/>
    <w:rsid w:val="00681DB9"/>
    <w:rsid w:val="00683B1F"/>
    <w:rsid w:val="0068544E"/>
    <w:rsid w:val="00686E5B"/>
    <w:rsid w:val="006926B7"/>
    <w:rsid w:val="00694A0B"/>
    <w:rsid w:val="00696715"/>
    <w:rsid w:val="006A1B5D"/>
    <w:rsid w:val="006A1B8E"/>
    <w:rsid w:val="006A27DC"/>
    <w:rsid w:val="006A7AD8"/>
    <w:rsid w:val="006B0A42"/>
    <w:rsid w:val="006B2A7A"/>
    <w:rsid w:val="006B4056"/>
    <w:rsid w:val="006B5930"/>
    <w:rsid w:val="006B5E30"/>
    <w:rsid w:val="006C231F"/>
    <w:rsid w:val="006C53E5"/>
    <w:rsid w:val="006C61F2"/>
    <w:rsid w:val="006C699C"/>
    <w:rsid w:val="006D1433"/>
    <w:rsid w:val="006D45A8"/>
    <w:rsid w:val="006D6158"/>
    <w:rsid w:val="006E459B"/>
    <w:rsid w:val="006F0DC4"/>
    <w:rsid w:val="006F11E1"/>
    <w:rsid w:val="006F38D4"/>
    <w:rsid w:val="006F550D"/>
    <w:rsid w:val="006F679F"/>
    <w:rsid w:val="006F76A0"/>
    <w:rsid w:val="00700812"/>
    <w:rsid w:val="007009F9"/>
    <w:rsid w:val="00700DB0"/>
    <w:rsid w:val="007012A6"/>
    <w:rsid w:val="00702ADF"/>
    <w:rsid w:val="00703CAD"/>
    <w:rsid w:val="00703CBF"/>
    <w:rsid w:val="00704995"/>
    <w:rsid w:val="00706759"/>
    <w:rsid w:val="0071093B"/>
    <w:rsid w:val="00711002"/>
    <w:rsid w:val="00720627"/>
    <w:rsid w:val="007207A3"/>
    <w:rsid w:val="00721281"/>
    <w:rsid w:val="00721EF4"/>
    <w:rsid w:val="0072295F"/>
    <w:rsid w:val="007308EE"/>
    <w:rsid w:val="007354B7"/>
    <w:rsid w:val="00736F0F"/>
    <w:rsid w:val="00737946"/>
    <w:rsid w:val="00741EBE"/>
    <w:rsid w:val="00742871"/>
    <w:rsid w:val="007428AE"/>
    <w:rsid w:val="00743621"/>
    <w:rsid w:val="007461BD"/>
    <w:rsid w:val="007470FF"/>
    <w:rsid w:val="00750DB8"/>
    <w:rsid w:val="00757B5A"/>
    <w:rsid w:val="00760E44"/>
    <w:rsid w:val="00762902"/>
    <w:rsid w:val="00762B71"/>
    <w:rsid w:val="00766618"/>
    <w:rsid w:val="007667F4"/>
    <w:rsid w:val="007706A1"/>
    <w:rsid w:val="00771CE8"/>
    <w:rsid w:val="00772870"/>
    <w:rsid w:val="007763DE"/>
    <w:rsid w:val="0077779D"/>
    <w:rsid w:val="00782B90"/>
    <w:rsid w:val="0079029D"/>
    <w:rsid w:val="007902A4"/>
    <w:rsid w:val="00790BD0"/>
    <w:rsid w:val="0079297E"/>
    <w:rsid w:val="00793123"/>
    <w:rsid w:val="00793570"/>
    <w:rsid w:val="0079530F"/>
    <w:rsid w:val="007A1799"/>
    <w:rsid w:val="007A19EE"/>
    <w:rsid w:val="007A28AF"/>
    <w:rsid w:val="007A2D06"/>
    <w:rsid w:val="007A3BE6"/>
    <w:rsid w:val="007A3F07"/>
    <w:rsid w:val="007A65F2"/>
    <w:rsid w:val="007B2F12"/>
    <w:rsid w:val="007B4096"/>
    <w:rsid w:val="007B5850"/>
    <w:rsid w:val="007B6362"/>
    <w:rsid w:val="007B66CA"/>
    <w:rsid w:val="007B69B9"/>
    <w:rsid w:val="007B76B6"/>
    <w:rsid w:val="007C019F"/>
    <w:rsid w:val="007C4709"/>
    <w:rsid w:val="007C5A58"/>
    <w:rsid w:val="007C5E24"/>
    <w:rsid w:val="007D03C1"/>
    <w:rsid w:val="007D078B"/>
    <w:rsid w:val="007D094D"/>
    <w:rsid w:val="007D1752"/>
    <w:rsid w:val="007D5BCD"/>
    <w:rsid w:val="007E2E46"/>
    <w:rsid w:val="007E35EB"/>
    <w:rsid w:val="007E3CA8"/>
    <w:rsid w:val="007E6FB1"/>
    <w:rsid w:val="007F1359"/>
    <w:rsid w:val="007F3023"/>
    <w:rsid w:val="007F3DBE"/>
    <w:rsid w:val="007F6CEC"/>
    <w:rsid w:val="007F78D2"/>
    <w:rsid w:val="007F7928"/>
    <w:rsid w:val="007F79BF"/>
    <w:rsid w:val="0080254F"/>
    <w:rsid w:val="00802A8D"/>
    <w:rsid w:val="00814BCC"/>
    <w:rsid w:val="008158FE"/>
    <w:rsid w:val="00815A54"/>
    <w:rsid w:val="00822C01"/>
    <w:rsid w:val="00830668"/>
    <w:rsid w:val="008344F5"/>
    <w:rsid w:val="008359DE"/>
    <w:rsid w:val="00841625"/>
    <w:rsid w:val="00844ECC"/>
    <w:rsid w:val="00850E6B"/>
    <w:rsid w:val="00853966"/>
    <w:rsid w:val="00854674"/>
    <w:rsid w:val="008548CB"/>
    <w:rsid w:val="00855366"/>
    <w:rsid w:val="00855797"/>
    <w:rsid w:val="008566FA"/>
    <w:rsid w:val="00857174"/>
    <w:rsid w:val="0086168C"/>
    <w:rsid w:val="0086248B"/>
    <w:rsid w:val="00864C5D"/>
    <w:rsid w:val="008657CF"/>
    <w:rsid w:val="00866CA2"/>
    <w:rsid w:val="0087034F"/>
    <w:rsid w:val="00870F62"/>
    <w:rsid w:val="008730EC"/>
    <w:rsid w:val="00873B2C"/>
    <w:rsid w:val="00880B1C"/>
    <w:rsid w:val="00880FB9"/>
    <w:rsid w:val="00881231"/>
    <w:rsid w:val="0088138C"/>
    <w:rsid w:val="008815FE"/>
    <w:rsid w:val="00887807"/>
    <w:rsid w:val="00887C1B"/>
    <w:rsid w:val="00887F9A"/>
    <w:rsid w:val="00891702"/>
    <w:rsid w:val="00893D33"/>
    <w:rsid w:val="00893F96"/>
    <w:rsid w:val="008955D8"/>
    <w:rsid w:val="00896586"/>
    <w:rsid w:val="0089710A"/>
    <w:rsid w:val="008972E8"/>
    <w:rsid w:val="00897AB5"/>
    <w:rsid w:val="008A0CA1"/>
    <w:rsid w:val="008A3215"/>
    <w:rsid w:val="008A349F"/>
    <w:rsid w:val="008A3581"/>
    <w:rsid w:val="008A3746"/>
    <w:rsid w:val="008A4D7B"/>
    <w:rsid w:val="008A6637"/>
    <w:rsid w:val="008A7E1B"/>
    <w:rsid w:val="008B0EAB"/>
    <w:rsid w:val="008B2308"/>
    <w:rsid w:val="008B3A35"/>
    <w:rsid w:val="008B3AC3"/>
    <w:rsid w:val="008B53FB"/>
    <w:rsid w:val="008B5564"/>
    <w:rsid w:val="008B570A"/>
    <w:rsid w:val="008B63C3"/>
    <w:rsid w:val="008B6568"/>
    <w:rsid w:val="008C1E86"/>
    <w:rsid w:val="008C4323"/>
    <w:rsid w:val="008C4B54"/>
    <w:rsid w:val="008C4E09"/>
    <w:rsid w:val="008C5A09"/>
    <w:rsid w:val="008D0224"/>
    <w:rsid w:val="008D07EB"/>
    <w:rsid w:val="008D18CA"/>
    <w:rsid w:val="008D4753"/>
    <w:rsid w:val="008D49E2"/>
    <w:rsid w:val="008D6F42"/>
    <w:rsid w:val="008E1911"/>
    <w:rsid w:val="008E1F30"/>
    <w:rsid w:val="008E3315"/>
    <w:rsid w:val="008E7412"/>
    <w:rsid w:val="008F6FDF"/>
    <w:rsid w:val="00902465"/>
    <w:rsid w:val="00902608"/>
    <w:rsid w:val="0090502F"/>
    <w:rsid w:val="009051BB"/>
    <w:rsid w:val="00907B4E"/>
    <w:rsid w:val="009119BF"/>
    <w:rsid w:val="00912557"/>
    <w:rsid w:val="0091338D"/>
    <w:rsid w:val="009140B8"/>
    <w:rsid w:val="009155A7"/>
    <w:rsid w:val="00915E34"/>
    <w:rsid w:val="00917113"/>
    <w:rsid w:val="00920823"/>
    <w:rsid w:val="0092276C"/>
    <w:rsid w:val="00924060"/>
    <w:rsid w:val="00925E21"/>
    <w:rsid w:val="00927E03"/>
    <w:rsid w:val="009301AE"/>
    <w:rsid w:val="009354C7"/>
    <w:rsid w:val="00935559"/>
    <w:rsid w:val="0093781B"/>
    <w:rsid w:val="00937AB0"/>
    <w:rsid w:val="0094024D"/>
    <w:rsid w:val="00942262"/>
    <w:rsid w:val="00942277"/>
    <w:rsid w:val="0094284B"/>
    <w:rsid w:val="00943FAD"/>
    <w:rsid w:val="0094461F"/>
    <w:rsid w:val="00945F1E"/>
    <w:rsid w:val="00947A21"/>
    <w:rsid w:val="00947A92"/>
    <w:rsid w:val="00951CE9"/>
    <w:rsid w:val="00951F9B"/>
    <w:rsid w:val="0095314D"/>
    <w:rsid w:val="009564D3"/>
    <w:rsid w:val="00956E2B"/>
    <w:rsid w:val="009577E1"/>
    <w:rsid w:val="00961696"/>
    <w:rsid w:val="00961C65"/>
    <w:rsid w:val="009620A3"/>
    <w:rsid w:val="00972D4B"/>
    <w:rsid w:val="009748C0"/>
    <w:rsid w:val="009765F7"/>
    <w:rsid w:val="00980F12"/>
    <w:rsid w:val="00981ED3"/>
    <w:rsid w:val="00981F13"/>
    <w:rsid w:val="00985D6B"/>
    <w:rsid w:val="00986764"/>
    <w:rsid w:val="00986A2D"/>
    <w:rsid w:val="009912CE"/>
    <w:rsid w:val="00991556"/>
    <w:rsid w:val="00995181"/>
    <w:rsid w:val="00996781"/>
    <w:rsid w:val="009A0EBD"/>
    <w:rsid w:val="009A220F"/>
    <w:rsid w:val="009A4050"/>
    <w:rsid w:val="009A45B3"/>
    <w:rsid w:val="009A4FA8"/>
    <w:rsid w:val="009B2536"/>
    <w:rsid w:val="009B5365"/>
    <w:rsid w:val="009B5DB6"/>
    <w:rsid w:val="009B6534"/>
    <w:rsid w:val="009B687E"/>
    <w:rsid w:val="009B69D8"/>
    <w:rsid w:val="009B6C7D"/>
    <w:rsid w:val="009B6C86"/>
    <w:rsid w:val="009B6C92"/>
    <w:rsid w:val="009B7BFE"/>
    <w:rsid w:val="009C0AB7"/>
    <w:rsid w:val="009C506E"/>
    <w:rsid w:val="009C6C59"/>
    <w:rsid w:val="009C70B9"/>
    <w:rsid w:val="009C7975"/>
    <w:rsid w:val="009D1A08"/>
    <w:rsid w:val="009D2D68"/>
    <w:rsid w:val="009D2D7B"/>
    <w:rsid w:val="009D3C07"/>
    <w:rsid w:val="009D49CD"/>
    <w:rsid w:val="009D6DDA"/>
    <w:rsid w:val="009D7AE2"/>
    <w:rsid w:val="009E08D0"/>
    <w:rsid w:val="009E771D"/>
    <w:rsid w:val="009F1D02"/>
    <w:rsid w:val="009F3CD2"/>
    <w:rsid w:val="009F3F7D"/>
    <w:rsid w:val="009F5F3B"/>
    <w:rsid w:val="009F646E"/>
    <w:rsid w:val="00A03C4E"/>
    <w:rsid w:val="00A06C27"/>
    <w:rsid w:val="00A11344"/>
    <w:rsid w:val="00A11873"/>
    <w:rsid w:val="00A147E3"/>
    <w:rsid w:val="00A17354"/>
    <w:rsid w:val="00A17A92"/>
    <w:rsid w:val="00A20A61"/>
    <w:rsid w:val="00A20D8F"/>
    <w:rsid w:val="00A218C8"/>
    <w:rsid w:val="00A23E4D"/>
    <w:rsid w:val="00A24A51"/>
    <w:rsid w:val="00A24AD2"/>
    <w:rsid w:val="00A25316"/>
    <w:rsid w:val="00A311C1"/>
    <w:rsid w:val="00A31937"/>
    <w:rsid w:val="00A37238"/>
    <w:rsid w:val="00A37709"/>
    <w:rsid w:val="00A42CD6"/>
    <w:rsid w:val="00A47F15"/>
    <w:rsid w:val="00A5072B"/>
    <w:rsid w:val="00A52971"/>
    <w:rsid w:val="00A601B3"/>
    <w:rsid w:val="00A637A7"/>
    <w:rsid w:val="00A723BC"/>
    <w:rsid w:val="00A725DE"/>
    <w:rsid w:val="00A74041"/>
    <w:rsid w:val="00A76127"/>
    <w:rsid w:val="00A80E42"/>
    <w:rsid w:val="00A80F9E"/>
    <w:rsid w:val="00A83137"/>
    <w:rsid w:val="00A834E6"/>
    <w:rsid w:val="00A83568"/>
    <w:rsid w:val="00A90878"/>
    <w:rsid w:val="00A90A79"/>
    <w:rsid w:val="00A93BE0"/>
    <w:rsid w:val="00A95DB0"/>
    <w:rsid w:val="00AB00BF"/>
    <w:rsid w:val="00AB2C09"/>
    <w:rsid w:val="00AB4E46"/>
    <w:rsid w:val="00AB55DE"/>
    <w:rsid w:val="00AB7BEF"/>
    <w:rsid w:val="00AC5BB0"/>
    <w:rsid w:val="00AC5BD5"/>
    <w:rsid w:val="00AC689D"/>
    <w:rsid w:val="00AC7E51"/>
    <w:rsid w:val="00AD2B4B"/>
    <w:rsid w:val="00AD5D57"/>
    <w:rsid w:val="00AD7095"/>
    <w:rsid w:val="00AD78FD"/>
    <w:rsid w:val="00AE0834"/>
    <w:rsid w:val="00AE3ABF"/>
    <w:rsid w:val="00AE4F0C"/>
    <w:rsid w:val="00AF1917"/>
    <w:rsid w:val="00AF2EB4"/>
    <w:rsid w:val="00AF655D"/>
    <w:rsid w:val="00AF6CD1"/>
    <w:rsid w:val="00B01233"/>
    <w:rsid w:val="00B026BF"/>
    <w:rsid w:val="00B02AD6"/>
    <w:rsid w:val="00B068C2"/>
    <w:rsid w:val="00B06999"/>
    <w:rsid w:val="00B070C5"/>
    <w:rsid w:val="00B10812"/>
    <w:rsid w:val="00B12777"/>
    <w:rsid w:val="00B128ED"/>
    <w:rsid w:val="00B15E76"/>
    <w:rsid w:val="00B205AF"/>
    <w:rsid w:val="00B24F75"/>
    <w:rsid w:val="00B251BB"/>
    <w:rsid w:val="00B25F41"/>
    <w:rsid w:val="00B27F89"/>
    <w:rsid w:val="00B30665"/>
    <w:rsid w:val="00B30B8D"/>
    <w:rsid w:val="00B35A08"/>
    <w:rsid w:val="00B4511F"/>
    <w:rsid w:val="00B45221"/>
    <w:rsid w:val="00B455D3"/>
    <w:rsid w:val="00B45926"/>
    <w:rsid w:val="00B52110"/>
    <w:rsid w:val="00B554AA"/>
    <w:rsid w:val="00B640FB"/>
    <w:rsid w:val="00B6788A"/>
    <w:rsid w:val="00B706B2"/>
    <w:rsid w:val="00B70C02"/>
    <w:rsid w:val="00B71455"/>
    <w:rsid w:val="00B7161B"/>
    <w:rsid w:val="00B72FC2"/>
    <w:rsid w:val="00B730AE"/>
    <w:rsid w:val="00B808B1"/>
    <w:rsid w:val="00B81DD0"/>
    <w:rsid w:val="00B839BA"/>
    <w:rsid w:val="00B850D3"/>
    <w:rsid w:val="00B854BD"/>
    <w:rsid w:val="00B8775C"/>
    <w:rsid w:val="00B91054"/>
    <w:rsid w:val="00B92A39"/>
    <w:rsid w:val="00B938D0"/>
    <w:rsid w:val="00B939D1"/>
    <w:rsid w:val="00BA344E"/>
    <w:rsid w:val="00BB005F"/>
    <w:rsid w:val="00BB31DA"/>
    <w:rsid w:val="00BB3BF1"/>
    <w:rsid w:val="00BB5AD4"/>
    <w:rsid w:val="00BB6D5F"/>
    <w:rsid w:val="00BB79EE"/>
    <w:rsid w:val="00BC28C1"/>
    <w:rsid w:val="00BC472C"/>
    <w:rsid w:val="00BC6B7D"/>
    <w:rsid w:val="00BD1500"/>
    <w:rsid w:val="00BD1538"/>
    <w:rsid w:val="00BE0882"/>
    <w:rsid w:val="00BE748B"/>
    <w:rsid w:val="00BE7630"/>
    <w:rsid w:val="00BF20E4"/>
    <w:rsid w:val="00BF3404"/>
    <w:rsid w:val="00BF5941"/>
    <w:rsid w:val="00C02BAD"/>
    <w:rsid w:val="00C057CF"/>
    <w:rsid w:val="00C067A0"/>
    <w:rsid w:val="00C06CE0"/>
    <w:rsid w:val="00C10A09"/>
    <w:rsid w:val="00C143D1"/>
    <w:rsid w:val="00C159D1"/>
    <w:rsid w:val="00C21E0D"/>
    <w:rsid w:val="00C25203"/>
    <w:rsid w:val="00C2574F"/>
    <w:rsid w:val="00C30DC8"/>
    <w:rsid w:val="00C31D44"/>
    <w:rsid w:val="00C32A04"/>
    <w:rsid w:val="00C356CC"/>
    <w:rsid w:val="00C41275"/>
    <w:rsid w:val="00C41462"/>
    <w:rsid w:val="00C4566D"/>
    <w:rsid w:val="00C53B5D"/>
    <w:rsid w:val="00C54D4D"/>
    <w:rsid w:val="00C562F9"/>
    <w:rsid w:val="00C576E1"/>
    <w:rsid w:val="00C6211F"/>
    <w:rsid w:val="00C638AF"/>
    <w:rsid w:val="00C664A5"/>
    <w:rsid w:val="00C7702D"/>
    <w:rsid w:val="00C804B3"/>
    <w:rsid w:val="00C822FF"/>
    <w:rsid w:val="00C82375"/>
    <w:rsid w:val="00C834E1"/>
    <w:rsid w:val="00C84750"/>
    <w:rsid w:val="00C84ECE"/>
    <w:rsid w:val="00C915AC"/>
    <w:rsid w:val="00C91751"/>
    <w:rsid w:val="00C919E9"/>
    <w:rsid w:val="00C92155"/>
    <w:rsid w:val="00C9376C"/>
    <w:rsid w:val="00C94336"/>
    <w:rsid w:val="00C94397"/>
    <w:rsid w:val="00C97585"/>
    <w:rsid w:val="00CA4DA9"/>
    <w:rsid w:val="00CA6404"/>
    <w:rsid w:val="00CB289F"/>
    <w:rsid w:val="00CB6C4E"/>
    <w:rsid w:val="00CB7420"/>
    <w:rsid w:val="00CC0471"/>
    <w:rsid w:val="00CC150E"/>
    <w:rsid w:val="00CC3043"/>
    <w:rsid w:val="00CC52D1"/>
    <w:rsid w:val="00CC5959"/>
    <w:rsid w:val="00CC68B7"/>
    <w:rsid w:val="00CC736B"/>
    <w:rsid w:val="00CC7E4D"/>
    <w:rsid w:val="00CD08C8"/>
    <w:rsid w:val="00CD4B40"/>
    <w:rsid w:val="00CD7391"/>
    <w:rsid w:val="00CE0FE8"/>
    <w:rsid w:val="00CE31CD"/>
    <w:rsid w:val="00CE36C6"/>
    <w:rsid w:val="00CE5EF7"/>
    <w:rsid w:val="00CF2A8B"/>
    <w:rsid w:val="00CF50AA"/>
    <w:rsid w:val="00CF6D0F"/>
    <w:rsid w:val="00D01960"/>
    <w:rsid w:val="00D05DCB"/>
    <w:rsid w:val="00D0611B"/>
    <w:rsid w:val="00D0772A"/>
    <w:rsid w:val="00D1102B"/>
    <w:rsid w:val="00D131BD"/>
    <w:rsid w:val="00D135BF"/>
    <w:rsid w:val="00D1786D"/>
    <w:rsid w:val="00D20E26"/>
    <w:rsid w:val="00D2423B"/>
    <w:rsid w:val="00D27172"/>
    <w:rsid w:val="00D302DA"/>
    <w:rsid w:val="00D31C50"/>
    <w:rsid w:val="00D33D2E"/>
    <w:rsid w:val="00D3744A"/>
    <w:rsid w:val="00D409D7"/>
    <w:rsid w:val="00D44B71"/>
    <w:rsid w:val="00D47AD9"/>
    <w:rsid w:val="00D47CAB"/>
    <w:rsid w:val="00D54A6D"/>
    <w:rsid w:val="00D54B0F"/>
    <w:rsid w:val="00D55B15"/>
    <w:rsid w:val="00D60DF2"/>
    <w:rsid w:val="00D619BC"/>
    <w:rsid w:val="00D6444A"/>
    <w:rsid w:val="00D6725D"/>
    <w:rsid w:val="00D72C5C"/>
    <w:rsid w:val="00D732B8"/>
    <w:rsid w:val="00D74052"/>
    <w:rsid w:val="00D74EDC"/>
    <w:rsid w:val="00D762AF"/>
    <w:rsid w:val="00D76E30"/>
    <w:rsid w:val="00D81886"/>
    <w:rsid w:val="00D81934"/>
    <w:rsid w:val="00D85D1C"/>
    <w:rsid w:val="00D85D3A"/>
    <w:rsid w:val="00D875A1"/>
    <w:rsid w:val="00D91792"/>
    <w:rsid w:val="00D9247F"/>
    <w:rsid w:val="00D92495"/>
    <w:rsid w:val="00D9335D"/>
    <w:rsid w:val="00D9448E"/>
    <w:rsid w:val="00D957AA"/>
    <w:rsid w:val="00D959EC"/>
    <w:rsid w:val="00D96062"/>
    <w:rsid w:val="00DA2E0A"/>
    <w:rsid w:val="00DA4ABD"/>
    <w:rsid w:val="00DA6F10"/>
    <w:rsid w:val="00DB3069"/>
    <w:rsid w:val="00DB3162"/>
    <w:rsid w:val="00DB33F0"/>
    <w:rsid w:val="00DB399C"/>
    <w:rsid w:val="00DB458E"/>
    <w:rsid w:val="00DB4C5F"/>
    <w:rsid w:val="00DB687E"/>
    <w:rsid w:val="00DB6B1A"/>
    <w:rsid w:val="00DB7BE2"/>
    <w:rsid w:val="00DC019C"/>
    <w:rsid w:val="00DC1661"/>
    <w:rsid w:val="00DC2782"/>
    <w:rsid w:val="00DD48CF"/>
    <w:rsid w:val="00DD4C5B"/>
    <w:rsid w:val="00DD68F0"/>
    <w:rsid w:val="00DE1449"/>
    <w:rsid w:val="00DE4433"/>
    <w:rsid w:val="00DE5091"/>
    <w:rsid w:val="00DF0A7A"/>
    <w:rsid w:val="00DF1CF6"/>
    <w:rsid w:val="00DF2F69"/>
    <w:rsid w:val="00DF501D"/>
    <w:rsid w:val="00DF5688"/>
    <w:rsid w:val="00DF5B1F"/>
    <w:rsid w:val="00DF7F30"/>
    <w:rsid w:val="00E011E5"/>
    <w:rsid w:val="00E01E76"/>
    <w:rsid w:val="00E0497C"/>
    <w:rsid w:val="00E052E9"/>
    <w:rsid w:val="00E1110C"/>
    <w:rsid w:val="00E11129"/>
    <w:rsid w:val="00E12129"/>
    <w:rsid w:val="00E1373A"/>
    <w:rsid w:val="00E154C1"/>
    <w:rsid w:val="00E162E6"/>
    <w:rsid w:val="00E168D7"/>
    <w:rsid w:val="00E17B69"/>
    <w:rsid w:val="00E20B08"/>
    <w:rsid w:val="00E20C1C"/>
    <w:rsid w:val="00E21C1C"/>
    <w:rsid w:val="00E254A5"/>
    <w:rsid w:val="00E2607C"/>
    <w:rsid w:val="00E2759A"/>
    <w:rsid w:val="00E31BF7"/>
    <w:rsid w:val="00E34C0D"/>
    <w:rsid w:val="00E35A6B"/>
    <w:rsid w:val="00E35C92"/>
    <w:rsid w:val="00E36CC0"/>
    <w:rsid w:val="00E40F5C"/>
    <w:rsid w:val="00E413AF"/>
    <w:rsid w:val="00E418B8"/>
    <w:rsid w:val="00E41ADA"/>
    <w:rsid w:val="00E475AF"/>
    <w:rsid w:val="00E51D2E"/>
    <w:rsid w:val="00E628D4"/>
    <w:rsid w:val="00E6631A"/>
    <w:rsid w:val="00E67A02"/>
    <w:rsid w:val="00E702D1"/>
    <w:rsid w:val="00E71F78"/>
    <w:rsid w:val="00E72F88"/>
    <w:rsid w:val="00E74221"/>
    <w:rsid w:val="00E74D61"/>
    <w:rsid w:val="00E80F2E"/>
    <w:rsid w:val="00E8239A"/>
    <w:rsid w:val="00E82414"/>
    <w:rsid w:val="00E826B0"/>
    <w:rsid w:val="00E832F9"/>
    <w:rsid w:val="00E86EB9"/>
    <w:rsid w:val="00E9070A"/>
    <w:rsid w:val="00E92DC4"/>
    <w:rsid w:val="00E94759"/>
    <w:rsid w:val="00E95ABC"/>
    <w:rsid w:val="00E97280"/>
    <w:rsid w:val="00EA1C3C"/>
    <w:rsid w:val="00EA262C"/>
    <w:rsid w:val="00EA62F4"/>
    <w:rsid w:val="00EB729B"/>
    <w:rsid w:val="00EB7FB1"/>
    <w:rsid w:val="00EC03B0"/>
    <w:rsid w:val="00EC569B"/>
    <w:rsid w:val="00EC5B0B"/>
    <w:rsid w:val="00EC7228"/>
    <w:rsid w:val="00ED7694"/>
    <w:rsid w:val="00EE38A9"/>
    <w:rsid w:val="00EE3A59"/>
    <w:rsid w:val="00EE6656"/>
    <w:rsid w:val="00EE72E6"/>
    <w:rsid w:val="00EF27AC"/>
    <w:rsid w:val="00EF454F"/>
    <w:rsid w:val="00EF5DD9"/>
    <w:rsid w:val="00EF5E33"/>
    <w:rsid w:val="00EF7A43"/>
    <w:rsid w:val="00F00A96"/>
    <w:rsid w:val="00F0121A"/>
    <w:rsid w:val="00F04A41"/>
    <w:rsid w:val="00F077BD"/>
    <w:rsid w:val="00F07EC6"/>
    <w:rsid w:val="00F12922"/>
    <w:rsid w:val="00F1375E"/>
    <w:rsid w:val="00F17CD6"/>
    <w:rsid w:val="00F214F8"/>
    <w:rsid w:val="00F2294A"/>
    <w:rsid w:val="00F2391A"/>
    <w:rsid w:val="00F23D98"/>
    <w:rsid w:val="00F241E5"/>
    <w:rsid w:val="00F2475E"/>
    <w:rsid w:val="00F26656"/>
    <w:rsid w:val="00F30B38"/>
    <w:rsid w:val="00F31CE2"/>
    <w:rsid w:val="00F340D2"/>
    <w:rsid w:val="00F349F4"/>
    <w:rsid w:val="00F353EC"/>
    <w:rsid w:val="00F36459"/>
    <w:rsid w:val="00F36490"/>
    <w:rsid w:val="00F37FDD"/>
    <w:rsid w:val="00F414BF"/>
    <w:rsid w:val="00F42D37"/>
    <w:rsid w:val="00F453D3"/>
    <w:rsid w:val="00F4545C"/>
    <w:rsid w:val="00F466EA"/>
    <w:rsid w:val="00F46BA2"/>
    <w:rsid w:val="00F512D9"/>
    <w:rsid w:val="00F543E2"/>
    <w:rsid w:val="00F57009"/>
    <w:rsid w:val="00F6259A"/>
    <w:rsid w:val="00F64E2C"/>
    <w:rsid w:val="00F65B82"/>
    <w:rsid w:val="00F715BE"/>
    <w:rsid w:val="00F7174D"/>
    <w:rsid w:val="00F752B5"/>
    <w:rsid w:val="00F758F4"/>
    <w:rsid w:val="00F77062"/>
    <w:rsid w:val="00F805FF"/>
    <w:rsid w:val="00F80B26"/>
    <w:rsid w:val="00F81160"/>
    <w:rsid w:val="00F814FF"/>
    <w:rsid w:val="00F81FDF"/>
    <w:rsid w:val="00F82403"/>
    <w:rsid w:val="00F82464"/>
    <w:rsid w:val="00F8754A"/>
    <w:rsid w:val="00F90A2E"/>
    <w:rsid w:val="00F91143"/>
    <w:rsid w:val="00F9126A"/>
    <w:rsid w:val="00F927E2"/>
    <w:rsid w:val="00F94D59"/>
    <w:rsid w:val="00F96623"/>
    <w:rsid w:val="00FA0D9D"/>
    <w:rsid w:val="00FA2134"/>
    <w:rsid w:val="00FA2940"/>
    <w:rsid w:val="00FA2F27"/>
    <w:rsid w:val="00FA3F50"/>
    <w:rsid w:val="00FA590F"/>
    <w:rsid w:val="00FA5973"/>
    <w:rsid w:val="00FA6473"/>
    <w:rsid w:val="00FB03D2"/>
    <w:rsid w:val="00FB1493"/>
    <w:rsid w:val="00FB1F7E"/>
    <w:rsid w:val="00FB4BA9"/>
    <w:rsid w:val="00FB51A6"/>
    <w:rsid w:val="00FB62C3"/>
    <w:rsid w:val="00FC1925"/>
    <w:rsid w:val="00FC2C79"/>
    <w:rsid w:val="00FC41A0"/>
    <w:rsid w:val="00FC446E"/>
    <w:rsid w:val="00FC53FA"/>
    <w:rsid w:val="00FC5FD1"/>
    <w:rsid w:val="00FC6299"/>
    <w:rsid w:val="00FC76F3"/>
    <w:rsid w:val="00FC7F80"/>
    <w:rsid w:val="00FD20A0"/>
    <w:rsid w:val="00FD42FB"/>
    <w:rsid w:val="00FD4506"/>
    <w:rsid w:val="00FD6A0F"/>
    <w:rsid w:val="00FD7601"/>
    <w:rsid w:val="00FE221D"/>
    <w:rsid w:val="00FE229C"/>
    <w:rsid w:val="00FE3B02"/>
    <w:rsid w:val="00FE59D4"/>
    <w:rsid w:val="00FE5A60"/>
    <w:rsid w:val="00FE735B"/>
    <w:rsid w:val="00FE7DC4"/>
    <w:rsid w:val="00FF14D5"/>
    <w:rsid w:val="00FF2161"/>
    <w:rsid w:val="00FF36FC"/>
    <w:rsid w:val="00FF6F32"/>
    <w:rsid w:val="00FF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6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7A3F07"/>
    <w:pPr>
      <w:spacing w:line="360" w:lineRule="auto"/>
    </w:pPr>
    <w:rPr>
      <w:rFonts w:ascii="Times New Roman" w:eastAsia="Calibri" w:hAnsi="Times New Roman"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F07"/>
    <w:pPr>
      <w:tabs>
        <w:tab w:val="center" w:pos="4680"/>
        <w:tab w:val="right" w:pos="9360"/>
      </w:tabs>
    </w:pPr>
    <w:rPr>
      <w:szCs w:val="20"/>
      <w:lang w:val="x-none" w:eastAsia="x-none"/>
    </w:rPr>
  </w:style>
  <w:style w:type="character" w:customStyle="1" w:styleId="HeaderChar">
    <w:name w:val="Header Char"/>
    <w:basedOn w:val="DefaultParagraphFont"/>
    <w:link w:val="Header"/>
    <w:uiPriority w:val="99"/>
    <w:rsid w:val="007A3F07"/>
    <w:rPr>
      <w:rFonts w:ascii="Times New Roman" w:eastAsia="Calibri" w:hAnsi="Times New Roman" w:cs="Times New Roman"/>
      <w:b/>
      <w:sz w:val="26"/>
      <w:szCs w:val="20"/>
      <w:lang w:val="x-none" w:eastAsia="x-none"/>
    </w:rPr>
  </w:style>
  <w:style w:type="paragraph" w:styleId="BalloonText">
    <w:name w:val="Balloon Text"/>
    <w:basedOn w:val="Normal"/>
    <w:link w:val="BalloonTextChar"/>
    <w:uiPriority w:val="99"/>
    <w:semiHidden/>
    <w:unhideWhenUsed/>
    <w:rsid w:val="007A3F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F07"/>
    <w:rPr>
      <w:rFonts w:ascii="Segoe UI" w:eastAsia="Calibri" w:hAnsi="Segoe UI" w:cs="Segoe UI"/>
      <w:b/>
      <w:sz w:val="18"/>
      <w:szCs w:val="18"/>
    </w:rPr>
  </w:style>
  <w:style w:type="paragraph" w:styleId="FootnoteText">
    <w:name w:val="footnote text"/>
    <w:basedOn w:val="Normal"/>
    <w:link w:val="FootnoteTextChar"/>
    <w:uiPriority w:val="99"/>
    <w:unhideWhenUsed/>
    <w:qFormat/>
    <w:rsid w:val="007706A1"/>
    <w:rPr>
      <w:szCs w:val="20"/>
      <w:lang w:val="x-none" w:eastAsia="x-none"/>
    </w:rPr>
  </w:style>
  <w:style w:type="character" w:customStyle="1" w:styleId="FootnoteTextChar">
    <w:name w:val="Footnote Text Char"/>
    <w:basedOn w:val="DefaultParagraphFont"/>
    <w:link w:val="FootnoteText"/>
    <w:uiPriority w:val="99"/>
    <w:rsid w:val="007706A1"/>
    <w:rPr>
      <w:rFonts w:ascii="Times New Roman" w:eastAsia="Calibri" w:hAnsi="Times New Roman" w:cs="Times New Roman"/>
      <w:b/>
      <w:sz w:val="26"/>
      <w:szCs w:val="20"/>
      <w:lang w:val="x-none" w:eastAsia="x-none"/>
    </w:rPr>
  </w:style>
  <w:style w:type="paragraph" w:styleId="Footer">
    <w:name w:val="footer"/>
    <w:basedOn w:val="Normal"/>
    <w:link w:val="FooterChar"/>
    <w:uiPriority w:val="99"/>
    <w:unhideWhenUsed/>
    <w:rsid w:val="007706A1"/>
    <w:pPr>
      <w:tabs>
        <w:tab w:val="center" w:pos="4680"/>
        <w:tab w:val="right" w:pos="9360"/>
      </w:tabs>
    </w:pPr>
    <w:rPr>
      <w:szCs w:val="20"/>
      <w:lang w:val="x-none" w:eastAsia="x-none"/>
    </w:rPr>
  </w:style>
  <w:style w:type="character" w:customStyle="1" w:styleId="FooterChar">
    <w:name w:val="Footer Char"/>
    <w:basedOn w:val="DefaultParagraphFont"/>
    <w:link w:val="Footer"/>
    <w:uiPriority w:val="99"/>
    <w:rsid w:val="007706A1"/>
    <w:rPr>
      <w:rFonts w:ascii="Times New Roman" w:eastAsia="Calibri" w:hAnsi="Times New Roman" w:cs="Times New Roman"/>
      <w:b/>
      <w:sz w:val="26"/>
      <w:szCs w:val="20"/>
      <w:lang w:val="x-none" w:eastAsia="x-none"/>
    </w:rPr>
  </w:style>
  <w:style w:type="character" w:styleId="PageNumber">
    <w:name w:val="page number"/>
    <w:basedOn w:val="DefaultParagraphFont"/>
    <w:unhideWhenUsed/>
    <w:rsid w:val="007706A1"/>
  </w:style>
  <w:style w:type="character" w:styleId="Hyperlink">
    <w:name w:val="Hyperlink"/>
    <w:uiPriority w:val="99"/>
    <w:unhideWhenUsed/>
    <w:rsid w:val="007706A1"/>
    <w:rPr>
      <w:color w:val="0000FF"/>
      <w:u w:val="single"/>
    </w:rPr>
  </w:style>
  <w:style w:type="paragraph" w:styleId="ListParagraph">
    <w:name w:val="List Paragraph"/>
    <w:basedOn w:val="Normal"/>
    <w:uiPriority w:val="34"/>
    <w:qFormat/>
    <w:rsid w:val="007706A1"/>
    <w:pPr>
      <w:ind w:left="720"/>
    </w:pPr>
  </w:style>
  <w:style w:type="character" w:customStyle="1" w:styleId="pmterms31">
    <w:name w:val="pmterms31"/>
    <w:rsid w:val="007706A1"/>
    <w:rPr>
      <w:b/>
      <w:bCs/>
      <w:i w:val="0"/>
      <w:iCs w:val="0"/>
      <w:color w:val="000000"/>
    </w:rPr>
  </w:style>
  <w:style w:type="character" w:styleId="FootnoteReference">
    <w:name w:val="footnote reference"/>
    <w:uiPriority w:val="99"/>
    <w:unhideWhenUsed/>
    <w:rsid w:val="007706A1"/>
    <w:rPr>
      <w:vertAlign w:val="superscript"/>
    </w:rPr>
  </w:style>
  <w:style w:type="character" w:styleId="SubtleEmphasis">
    <w:name w:val="Subtle Emphasis"/>
    <w:uiPriority w:val="19"/>
    <w:qFormat/>
    <w:rsid w:val="007706A1"/>
    <w:rPr>
      <w:i/>
      <w:iCs/>
      <w:color w:val="808080"/>
    </w:rPr>
  </w:style>
  <w:style w:type="character" w:customStyle="1" w:styleId="pmterms21">
    <w:name w:val="pmterms21"/>
    <w:rsid w:val="007706A1"/>
    <w:rPr>
      <w:b/>
      <w:bCs/>
      <w:i w:val="0"/>
      <w:iCs w:val="0"/>
      <w:color w:val="000000"/>
    </w:rPr>
  </w:style>
  <w:style w:type="character" w:customStyle="1" w:styleId="pmterms11">
    <w:name w:val="pmterms11"/>
    <w:rsid w:val="007706A1"/>
    <w:rPr>
      <w:b/>
      <w:bCs/>
      <w:i w:val="0"/>
      <w:iCs w:val="0"/>
      <w:color w:val="000000"/>
    </w:rPr>
  </w:style>
  <w:style w:type="paragraph" w:styleId="Title">
    <w:name w:val="Title"/>
    <w:basedOn w:val="Normal"/>
    <w:next w:val="Normal"/>
    <w:link w:val="TitleChar"/>
    <w:uiPriority w:val="10"/>
    <w:qFormat/>
    <w:rsid w:val="007706A1"/>
    <w:pPr>
      <w:spacing w:before="240" w:after="60"/>
      <w:jc w:val="center"/>
      <w:outlineLvl w:val="0"/>
    </w:pPr>
    <w:rPr>
      <w:rFonts w:ascii="Cambria" w:eastAsia="Times New Roman" w:hAnsi="Cambria"/>
      <w:b w:val="0"/>
      <w:bCs/>
      <w:kern w:val="28"/>
      <w:sz w:val="32"/>
      <w:szCs w:val="32"/>
      <w:lang w:val="x-none" w:eastAsia="x-none"/>
    </w:rPr>
  </w:style>
  <w:style w:type="character" w:customStyle="1" w:styleId="TitleChar">
    <w:name w:val="Title Char"/>
    <w:basedOn w:val="DefaultParagraphFont"/>
    <w:link w:val="Title"/>
    <w:uiPriority w:val="10"/>
    <w:rsid w:val="007706A1"/>
    <w:rPr>
      <w:rFonts w:ascii="Cambria" w:eastAsia="Times New Roman" w:hAnsi="Cambria" w:cs="Times New Roman"/>
      <w:bCs/>
      <w:kern w:val="28"/>
      <w:sz w:val="32"/>
      <w:szCs w:val="32"/>
      <w:lang w:val="x-none" w:eastAsia="x-none"/>
    </w:rPr>
  </w:style>
  <w:style w:type="character" w:customStyle="1" w:styleId="ssrfcpassagedeactivated">
    <w:name w:val="ss_rfcpassage_deactivated"/>
    <w:rsid w:val="007706A1"/>
  </w:style>
  <w:style w:type="character" w:customStyle="1" w:styleId="sssh">
    <w:name w:val="ss_sh"/>
    <w:rsid w:val="007706A1"/>
  </w:style>
  <w:style w:type="paragraph" w:styleId="NormalWeb">
    <w:name w:val="Normal (Web)"/>
    <w:basedOn w:val="Normal"/>
    <w:uiPriority w:val="99"/>
    <w:unhideWhenUsed/>
    <w:rsid w:val="007706A1"/>
    <w:rPr>
      <w:sz w:val="24"/>
      <w:szCs w:val="24"/>
    </w:rPr>
  </w:style>
  <w:style w:type="character" w:customStyle="1" w:styleId="UnresolvedMention1">
    <w:name w:val="Unresolved Mention1"/>
    <w:uiPriority w:val="99"/>
    <w:semiHidden/>
    <w:unhideWhenUsed/>
    <w:rsid w:val="007706A1"/>
    <w:rPr>
      <w:color w:val="605E5C"/>
      <w:shd w:val="clear" w:color="auto" w:fill="E1DFDD"/>
    </w:rPr>
  </w:style>
  <w:style w:type="character" w:customStyle="1" w:styleId="UnresolvedMention2">
    <w:name w:val="Unresolved Mention2"/>
    <w:basedOn w:val="DefaultParagraphFont"/>
    <w:uiPriority w:val="99"/>
    <w:semiHidden/>
    <w:unhideWhenUsed/>
    <w:rsid w:val="00002F9C"/>
    <w:rPr>
      <w:color w:val="605E5C"/>
      <w:shd w:val="clear" w:color="auto" w:fill="E1DFDD"/>
    </w:rPr>
  </w:style>
  <w:style w:type="paragraph" w:customStyle="1" w:styleId="Body1">
    <w:name w:val="Body 1"/>
    <w:autoRedefine/>
    <w:rsid w:val="009C0AB7"/>
    <w:pPr>
      <w:spacing w:line="240" w:lineRule="auto"/>
    </w:pPr>
    <w:rPr>
      <w:rFonts w:ascii="Helvetica" w:eastAsia="Arial Unicode MS" w:hAnsi="Helvetica" w:cs="Times New Roman"/>
      <w:b/>
      <w:color w:val="000000"/>
      <w:sz w:val="24"/>
      <w:szCs w:val="20"/>
    </w:rPr>
  </w:style>
  <w:style w:type="character" w:customStyle="1" w:styleId="ssrfcsection">
    <w:name w:val="ss_rfcsection"/>
    <w:basedOn w:val="DefaultParagraphFont"/>
    <w:rsid w:val="005253DF"/>
  </w:style>
  <w:style w:type="character" w:customStyle="1" w:styleId="ssit">
    <w:name w:val="ss_it"/>
    <w:basedOn w:val="DefaultParagraphFont"/>
    <w:rsid w:val="005253DF"/>
  </w:style>
  <w:style w:type="paragraph" w:styleId="PlainText">
    <w:name w:val="Plain Text"/>
    <w:basedOn w:val="Normal"/>
    <w:link w:val="PlainTextChar"/>
    <w:uiPriority w:val="99"/>
    <w:semiHidden/>
    <w:unhideWhenUsed/>
    <w:rsid w:val="008A3215"/>
    <w:pPr>
      <w:spacing w:line="240" w:lineRule="auto"/>
    </w:pPr>
    <w:rPr>
      <w:rFonts w:ascii="Calibri" w:eastAsiaTheme="minorHAnsi" w:hAnsi="Calibri" w:cstheme="minorBidi"/>
      <w:b w:val="0"/>
      <w:sz w:val="22"/>
      <w:szCs w:val="21"/>
    </w:rPr>
  </w:style>
  <w:style w:type="character" w:customStyle="1" w:styleId="PlainTextChar">
    <w:name w:val="Plain Text Char"/>
    <w:basedOn w:val="DefaultParagraphFont"/>
    <w:link w:val="PlainText"/>
    <w:uiPriority w:val="99"/>
    <w:semiHidden/>
    <w:rsid w:val="008A3215"/>
    <w:rPr>
      <w:rFonts w:ascii="Calibri" w:hAnsi="Calibri"/>
      <w:sz w:val="22"/>
      <w:szCs w:val="21"/>
    </w:rPr>
  </w:style>
  <w:style w:type="paragraph" w:styleId="Revision">
    <w:name w:val="Revision"/>
    <w:hidden/>
    <w:uiPriority w:val="99"/>
    <w:semiHidden/>
    <w:rsid w:val="005A5ACB"/>
    <w:pPr>
      <w:spacing w:line="240" w:lineRule="auto"/>
    </w:pPr>
    <w:rPr>
      <w:rFonts w:ascii="Times New Roman" w:eastAsia="Calibri" w:hAnsi="Times New Roman" w:cs="Times New Roman"/>
      <w:b/>
      <w:sz w:val="26"/>
    </w:rPr>
  </w:style>
  <w:style w:type="character" w:styleId="Strong">
    <w:name w:val="Strong"/>
    <w:basedOn w:val="DefaultParagraphFont"/>
    <w:uiPriority w:val="22"/>
    <w:qFormat/>
    <w:rsid w:val="00640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9636">
      <w:bodyDiv w:val="1"/>
      <w:marLeft w:val="0"/>
      <w:marRight w:val="0"/>
      <w:marTop w:val="0"/>
      <w:marBottom w:val="0"/>
      <w:divBdr>
        <w:top w:val="none" w:sz="0" w:space="0" w:color="auto"/>
        <w:left w:val="none" w:sz="0" w:space="0" w:color="auto"/>
        <w:bottom w:val="none" w:sz="0" w:space="0" w:color="auto"/>
        <w:right w:val="none" w:sz="0" w:space="0" w:color="auto"/>
      </w:divBdr>
      <w:divsChild>
        <w:div w:id="1212116219">
          <w:marLeft w:val="0"/>
          <w:marRight w:val="0"/>
          <w:marTop w:val="0"/>
          <w:marBottom w:val="0"/>
          <w:divBdr>
            <w:top w:val="none" w:sz="0" w:space="0" w:color="auto"/>
            <w:left w:val="none" w:sz="0" w:space="0" w:color="auto"/>
            <w:bottom w:val="none" w:sz="0" w:space="0" w:color="auto"/>
            <w:right w:val="none" w:sz="0" w:space="0" w:color="auto"/>
          </w:divBdr>
        </w:div>
      </w:divsChild>
    </w:div>
    <w:div w:id="103501090">
      <w:bodyDiv w:val="1"/>
      <w:marLeft w:val="0"/>
      <w:marRight w:val="0"/>
      <w:marTop w:val="0"/>
      <w:marBottom w:val="0"/>
      <w:divBdr>
        <w:top w:val="none" w:sz="0" w:space="0" w:color="auto"/>
        <w:left w:val="none" w:sz="0" w:space="0" w:color="auto"/>
        <w:bottom w:val="none" w:sz="0" w:space="0" w:color="auto"/>
        <w:right w:val="none" w:sz="0" w:space="0" w:color="auto"/>
      </w:divBdr>
      <w:divsChild>
        <w:div w:id="57098318">
          <w:marLeft w:val="0"/>
          <w:marRight w:val="0"/>
          <w:marTop w:val="0"/>
          <w:marBottom w:val="0"/>
          <w:divBdr>
            <w:top w:val="none" w:sz="0" w:space="0" w:color="auto"/>
            <w:left w:val="none" w:sz="0" w:space="0" w:color="auto"/>
            <w:bottom w:val="none" w:sz="0" w:space="0" w:color="auto"/>
            <w:right w:val="none" w:sz="0" w:space="0" w:color="auto"/>
          </w:divBdr>
        </w:div>
      </w:divsChild>
    </w:div>
    <w:div w:id="187988397">
      <w:bodyDiv w:val="1"/>
      <w:marLeft w:val="0"/>
      <w:marRight w:val="0"/>
      <w:marTop w:val="0"/>
      <w:marBottom w:val="0"/>
      <w:divBdr>
        <w:top w:val="none" w:sz="0" w:space="0" w:color="auto"/>
        <w:left w:val="none" w:sz="0" w:space="0" w:color="auto"/>
        <w:bottom w:val="none" w:sz="0" w:space="0" w:color="auto"/>
        <w:right w:val="none" w:sz="0" w:space="0" w:color="auto"/>
      </w:divBdr>
      <w:divsChild>
        <w:div w:id="1785926547">
          <w:marLeft w:val="0"/>
          <w:marRight w:val="0"/>
          <w:marTop w:val="0"/>
          <w:marBottom w:val="0"/>
          <w:divBdr>
            <w:top w:val="none" w:sz="0" w:space="0" w:color="auto"/>
            <w:left w:val="none" w:sz="0" w:space="0" w:color="auto"/>
            <w:bottom w:val="none" w:sz="0" w:space="0" w:color="auto"/>
            <w:right w:val="none" w:sz="0" w:space="0" w:color="auto"/>
          </w:divBdr>
        </w:div>
      </w:divsChild>
    </w:div>
    <w:div w:id="203058659">
      <w:bodyDiv w:val="1"/>
      <w:marLeft w:val="0"/>
      <w:marRight w:val="0"/>
      <w:marTop w:val="0"/>
      <w:marBottom w:val="0"/>
      <w:divBdr>
        <w:top w:val="none" w:sz="0" w:space="0" w:color="auto"/>
        <w:left w:val="none" w:sz="0" w:space="0" w:color="auto"/>
        <w:bottom w:val="none" w:sz="0" w:space="0" w:color="auto"/>
        <w:right w:val="none" w:sz="0" w:space="0" w:color="auto"/>
      </w:divBdr>
      <w:divsChild>
        <w:div w:id="637295766">
          <w:marLeft w:val="0"/>
          <w:marRight w:val="0"/>
          <w:marTop w:val="0"/>
          <w:marBottom w:val="0"/>
          <w:divBdr>
            <w:top w:val="none" w:sz="0" w:space="0" w:color="auto"/>
            <w:left w:val="none" w:sz="0" w:space="0" w:color="auto"/>
            <w:bottom w:val="none" w:sz="0" w:space="0" w:color="auto"/>
            <w:right w:val="none" w:sz="0" w:space="0" w:color="auto"/>
          </w:divBdr>
          <w:divsChild>
            <w:div w:id="1415471809">
              <w:marLeft w:val="0"/>
              <w:marRight w:val="0"/>
              <w:marTop w:val="0"/>
              <w:marBottom w:val="0"/>
              <w:divBdr>
                <w:top w:val="none" w:sz="0" w:space="0" w:color="auto"/>
                <w:left w:val="none" w:sz="0" w:space="0" w:color="auto"/>
                <w:bottom w:val="none" w:sz="0" w:space="0" w:color="auto"/>
                <w:right w:val="none" w:sz="0" w:space="0" w:color="auto"/>
              </w:divBdr>
              <w:divsChild>
                <w:div w:id="2088725457">
                  <w:marLeft w:val="0"/>
                  <w:marRight w:val="0"/>
                  <w:marTop w:val="0"/>
                  <w:marBottom w:val="0"/>
                  <w:divBdr>
                    <w:top w:val="none" w:sz="0" w:space="0" w:color="auto"/>
                    <w:left w:val="none" w:sz="0" w:space="0" w:color="auto"/>
                    <w:bottom w:val="none" w:sz="0" w:space="0" w:color="auto"/>
                    <w:right w:val="none" w:sz="0" w:space="0" w:color="auto"/>
                  </w:divBdr>
                  <w:divsChild>
                    <w:div w:id="1800949248">
                      <w:marLeft w:val="0"/>
                      <w:marRight w:val="300"/>
                      <w:marTop w:val="0"/>
                      <w:marBottom w:val="0"/>
                      <w:divBdr>
                        <w:top w:val="none" w:sz="0" w:space="0" w:color="auto"/>
                        <w:left w:val="none" w:sz="0" w:space="0" w:color="auto"/>
                        <w:bottom w:val="none" w:sz="0" w:space="0" w:color="auto"/>
                        <w:right w:val="none" w:sz="0" w:space="0" w:color="auto"/>
                      </w:divBdr>
                      <w:divsChild>
                        <w:div w:id="1835796333">
                          <w:marLeft w:val="0"/>
                          <w:marRight w:val="300"/>
                          <w:marTop w:val="0"/>
                          <w:marBottom w:val="0"/>
                          <w:divBdr>
                            <w:top w:val="none" w:sz="0" w:space="0" w:color="auto"/>
                            <w:left w:val="none" w:sz="0" w:space="0" w:color="auto"/>
                            <w:bottom w:val="none" w:sz="0" w:space="0" w:color="auto"/>
                            <w:right w:val="none" w:sz="0" w:space="0" w:color="auto"/>
                          </w:divBdr>
                          <w:divsChild>
                            <w:div w:id="1152020797">
                              <w:marLeft w:val="0"/>
                              <w:marRight w:val="0"/>
                              <w:marTop w:val="0"/>
                              <w:marBottom w:val="0"/>
                              <w:divBdr>
                                <w:top w:val="none" w:sz="0" w:space="0" w:color="auto"/>
                                <w:left w:val="none" w:sz="0" w:space="0" w:color="auto"/>
                                <w:bottom w:val="none" w:sz="0" w:space="0" w:color="auto"/>
                                <w:right w:val="none" w:sz="0" w:space="0" w:color="auto"/>
                              </w:divBdr>
                              <w:divsChild>
                                <w:div w:id="1225723980">
                                  <w:marLeft w:val="0"/>
                                  <w:marRight w:val="0"/>
                                  <w:marTop w:val="0"/>
                                  <w:marBottom w:val="0"/>
                                  <w:divBdr>
                                    <w:top w:val="none" w:sz="0" w:space="0" w:color="auto"/>
                                    <w:left w:val="none" w:sz="0" w:space="0" w:color="auto"/>
                                    <w:bottom w:val="none" w:sz="0" w:space="0" w:color="auto"/>
                                    <w:right w:val="none" w:sz="0" w:space="0" w:color="auto"/>
                                  </w:divBdr>
                                  <w:divsChild>
                                    <w:div w:id="1738093356">
                                      <w:marLeft w:val="0"/>
                                      <w:marRight w:val="0"/>
                                      <w:marTop w:val="0"/>
                                      <w:marBottom w:val="0"/>
                                      <w:divBdr>
                                        <w:top w:val="none" w:sz="0" w:space="0" w:color="auto"/>
                                        <w:left w:val="none" w:sz="0" w:space="0" w:color="auto"/>
                                        <w:bottom w:val="none" w:sz="0" w:space="0" w:color="auto"/>
                                        <w:right w:val="none" w:sz="0" w:space="0" w:color="auto"/>
                                      </w:divBdr>
                                      <w:divsChild>
                                        <w:div w:id="1244874960">
                                          <w:marLeft w:val="0"/>
                                          <w:marRight w:val="0"/>
                                          <w:marTop w:val="0"/>
                                          <w:marBottom w:val="0"/>
                                          <w:divBdr>
                                            <w:top w:val="none" w:sz="0" w:space="0" w:color="auto"/>
                                            <w:left w:val="none" w:sz="0" w:space="0" w:color="auto"/>
                                            <w:bottom w:val="none" w:sz="0" w:space="0" w:color="auto"/>
                                            <w:right w:val="none" w:sz="0" w:space="0" w:color="auto"/>
                                          </w:divBdr>
                                        </w:div>
                                        <w:div w:id="1260915335">
                                          <w:marLeft w:val="0"/>
                                          <w:marRight w:val="0"/>
                                          <w:marTop w:val="0"/>
                                          <w:marBottom w:val="0"/>
                                          <w:divBdr>
                                            <w:top w:val="none" w:sz="0" w:space="0" w:color="auto"/>
                                            <w:left w:val="none" w:sz="0" w:space="0" w:color="auto"/>
                                            <w:bottom w:val="none" w:sz="0" w:space="0" w:color="auto"/>
                                            <w:right w:val="none" w:sz="0" w:space="0" w:color="auto"/>
                                          </w:divBdr>
                                        </w:div>
                                        <w:div w:id="1799639258">
                                          <w:marLeft w:val="0"/>
                                          <w:marRight w:val="0"/>
                                          <w:marTop w:val="0"/>
                                          <w:marBottom w:val="0"/>
                                          <w:divBdr>
                                            <w:top w:val="none" w:sz="0" w:space="0" w:color="auto"/>
                                            <w:left w:val="none" w:sz="0" w:space="0" w:color="auto"/>
                                            <w:bottom w:val="none" w:sz="0" w:space="0" w:color="auto"/>
                                            <w:right w:val="none" w:sz="0" w:space="0" w:color="auto"/>
                                          </w:divBdr>
                                          <w:divsChild>
                                            <w:div w:id="996494661">
                                              <w:marLeft w:val="0"/>
                                              <w:marRight w:val="0"/>
                                              <w:marTop w:val="0"/>
                                              <w:marBottom w:val="0"/>
                                              <w:divBdr>
                                                <w:top w:val="none" w:sz="0" w:space="0" w:color="auto"/>
                                                <w:left w:val="none" w:sz="0" w:space="0" w:color="auto"/>
                                                <w:bottom w:val="none" w:sz="0" w:space="0" w:color="auto"/>
                                                <w:right w:val="none" w:sz="0" w:space="0" w:color="auto"/>
                                              </w:divBdr>
                                            </w:div>
                                            <w:div w:id="1303846946">
                                              <w:marLeft w:val="0"/>
                                              <w:marRight w:val="0"/>
                                              <w:marTop w:val="0"/>
                                              <w:marBottom w:val="0"/>
                                              <w:divBdr>
                                                <w:top w:val="none" w:sz="0" w:space="0" w:color="auto"/>
                                                <w:left w:val="none" w:sz="0" w:space="0" w:color="auto"/>
                                                <w:bottom w:val="none" w:sz="0" w:space="0" w:color="auto"/>
                                                <w:right w:val="none" w:sz="0" w:space="0" w:color="auto"/>
                                              </w:divBdr>
                                            </w:div>
                                            <w:div w:id="1328288137">
                                              <w:marLeft w:val="0"/>
                                              <w:marRight w:val="0"/>
                                              <w:marTop w:val="0"/>
                                              <w:marBottom w:val="0"/>
                                              <w:divBdr>
                                                <w:top w:val="none" w:sz="0" w:space="0" w:color="auto"/>
                                                <w:left w:val="none" w:sz="0" w:space="0" w:color="auto"/>
                                                <w:bottom w:val="none" w:sz="0" w:space="0" w:color="auto"/>
                                                <w:right w:val="none" w:sz="0" w:space="0" w:color="auto"/>
                                              </w:divBdr>
                                              <w:divsChild>
                                                <w:div w:id="126051249">
                                                  <w:marLeft w:val="0"/>
                                                  <w:marRight w:val="0"/>
                                                  <w:marTop w:val="0"/>
                                                  <w:marBottom w:val="0"/>
                                                  <w:divBdr>
                                                    <w:top w:val="none" w:sz="0" w:space="0" w:color="auto"/>
                                                    <w:left w:val="none" w:sz="0" w:space="0" w:color="auto"/>
                                                    <w:bottom w:val="none" w:sz="0" w:space="0" w:color="auto"/>
                                                    <w:right w:val="none" w:sz="0" w:space="0" w:color="auto"/>
                                                  </w:divBdr>
                                                </w:div>
                                                <w:div w:id="345137925">
                                                  <w:marLeft w:val="0"/>
                                                  <w:marRight w:val="0"/>
                                                  <w:marTop w:val="0"/>
                                                  <w:marBottom w:val="0"/>
                                                  <w:divBdr>
                                                    <w:top w:val="none" w:sz="0" w:space="0" w:color="auto"/>
                                                    <w:left w:val="none" w:sz="0" w:space="0" w:color="auto"/>
                                                    <w:bottom w:val="none" w:sz="0" w:space="0" w:color="auto"/>
                                                    <w:right w:val="none" w:sz="0" w:space="0" w:color="auto"/>
                                                  </w:divBdr>
                                                </w:div>
                                                <w:div w:id="1164277665">
                                                  <w:marLeft w:val="0"/>
                                                  <w:marRight w:val="0"/>
                                                  <w:marTop w:val="0"/>
                                                  <w:marBottom w:val="0"/>
                                                  <w:divBdr>
                                                    <w:top w:val="none" w:sz="0" w:space="0" w:color="auto"/>
                                                    <w:left w:val="none" w:sz="0" w:space="0" w:color="auto"/>
                                                    <w:bottom w:val="none" w:sz="0" w:space="0" w:color="auto"/>
                                                    <w:right w:val="none" w:sz="0" w:space="0" w:color="auto"/>
                                                  </w:divBdr>
                                                </w:div>
                                              </w:divsChild>
                                            </w:div>
                                            <w:div w:id="1449469847">
                                              <w:marLeft w:val="0"/>
                                              <w:marRight w:val="0"/>
                                              <w:marTop w:val="0"/>
                                              <w:marBottom w:val="0"/>
                                              <w:divBdr>
                                                <w:top w:val="none" w:sz="0" w:space="0" w:color="auto"/>
                                                <w:left w:val="none" w:sz="0" w:space="0" w:color="auto"/>
                                                <w:bottom w:val="none" w:sz="0" w:space="0" w:color="auto"/>
                                                <w:right w:val="none" w:sz="0" w:space="0" w:color="auto"/>
                                              </w:divBdr>
                                              <w:divsChild>
                                                <w:div w:id="1178887381">
                                                  <w:marLeft w:val="0"/>
                                                  <w:marRight w:val="0"/>
                                                  <w:marTop w:val="0"/>
                                                  <w:marBottom w:val="0"/>
                                                  <w:divBdr>
                                                    <w:top w:val="none" w:sz="0" w:space="0" w:color="auto"/>
                                                    <w:left w:val="none" w:sz="0" w:space="0" w:color="auto"/>
                                                    <w:bottom w:val="none" w:sz="0" w:space="0" w:color="auto"/>
                                                    <w:right w:val="none" w:sz="0" w:space="0" w:color="auto"/>
                                                  </w:divBdr>
                                                </w:div>
                                                <w:div w:id="2041395226">
                                                  <w:marLeft w:val="0"/>
                                                  <w:marRight w:val="0"/>
                                                  <w:marTop w:val="0"/>
                                                  <w:marBottom w:val="0"/>
                                                  <w:divBdr>
                                                    <w:top w:val="none" w:sz="0" w:space="0" w:color="auto"/>
                                                    <w:left w:val="none" w:sz="0" w:space="0" w:color="auto"/>
                                                    <w:bottom w:val="none" w:sz="0" w:space="0" w:color="auto"/>
                                                    <w:right w:val="none" w:sz="0" w:space="0" w:color="auto"/>
                                                  </w:divBdr>
                                                  <w:divsChild>
                                                    <w:div w:id="128210125">
                                                      <w:marLeft w:val="0"/>
                                                      <w:marRight w:val="0"/>
                                                      <w:marTop w:val="0"/>
                                                      <w:marBottom w:val="0"/>
                                                      <w:divBdr>
                                                        <w:top w:val="none" w:sz="0" w:space="0" w:color="auto"/>
                                                        <w:left w:val="none" w:sz="0" w:space="0" w:color="auto"/>
                                                        <w:bottom w:val="none" w:sz="0" w:space="0" w:color="auto"/>
                                                        <w:right w:val="none" w:sz="0" w:space="0" w:color="auto"/>
                                                      </w:divBdr>
                                                    </w:div>
                                                    <w:div w:id="1098331560">
                                                      <w:marLeft w:val="0"/>
                                                      <w:marRight w:val="0"/>
                                                      <w:marTop w:val="0"/>
                                                      <w:marBottom w:val="0"/>
                                                      <w:divBdr>
                                                        <w:top w:val="none" w:sz="0" w:space="0" w:color="auto"/>
                                                        <w:left w:val="none" w:sz="0" w:space="0" w:color="auto"/>
                                                        <w:bottom w:val="none" w:sz="0" w:space="0" w:color="auto"/>
                                                        <w:right w:val="none" w:sz="0" w:space="0" w:color="auto"/>
                                                      </w:divBdr>
                                                    </w:div>
                                                    <w:div w:id="14317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6847">
                                          <w:marLeft w:val="0"/>
                                          <w:marRight w:val="0"/>
                                          <w:marTop w:val="0"/>
                                          <w:marBottom w:val="0"/>
                                          <w:divBdr>
                                            <w:top w:val="none" w:sz="0" w:space="0" w:color="auto"/>
                                            <w:left w:val="none" w:sz="0" w:space="0" w:color="auto"/>
                                            <w:bottom w:val="none" w:sz="0" w:space="0" w:color="auto"/>
                                            <w:right w:val="none" w:sz="0" w:space="0" w:color="auto"/>
                                          </w:divBdr>
                                        </w:div>
                                        <w:div w:id="19242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46365">
      <w:bodyDiv w:val="1"/>
      <w:marLeft w:val="0"/>
      <w:marRight w:val="0"/>
      <w:marTop w:val="0"/>
      <w:marBottom w:val="0"/>
      <w:divBdr>
        <w:top w:val="none" w:sz="0" w:space="0" w:color="auto"/>
        <w:left w:val="none" w:sz="0" w:space="0" w:color="auto"/>
        <w:bottom w:val="none" w:sz="0" w:space="0" w:color="auto"/>
        <w:right w:val="none" w:sz="0" w:space="0" w:color="auto"/>
      </w:divBdr>
      <w:divsChild>
        <w:div w:id="217278705">
          <w:marLeft w:val="0"/>
          <w:marRight w:val="0"/>
          <w:marTop w:val="0"/>
          <w:marBottom w:val="0"/>
          <w:divBdr>
            <w:top w:val="none" w:sz="0" w:space="0" w:color="auto"/>
            <w:left w:val="none" w:sz="0" w:space="0" w:color="auto"/>
            <w:bottom w:val="none" w:sz="0" w:space="0" w:color="auto"/>
            <w:right w:val="none" w:sz="0" w:space="0" w:color="auto"/>
          </w:divBdr>
        </w:div>
      </w:divsChild>
    </w:div>
    <w:div w:id="238642080">
      <w:bodyDiv w:val="1"/>
      <w:marLeft w:val="0"/>
      <w:marRight w:val="0"/>
      <w:marTop w:val="0"/>
      <w:marBottom w:val="0"/>
      <w:divBdr>
        <w:top w:val="none" w:sz="0" w:space="0" w:color="auto"/>
        <w:left w:val="none" w:sz="0" w:space="0" w:color="auto"/>
        <w:bottom w:val="none" w:sz="0" w:space="0" w:color="auto"/>
        <w:right w:val="none" w:sz="0" w:space="0" w:color="auto"/>
      </w:divBdr>
      <w:divsChild>
        <w:div w:id="661394320">
          <w:marLeft w:val="0"/>
          <w:marRight w:val="0"/>
          <w:marTop w:val="0"/>
          <w:marBottom w:val="0"/>
          <w:divBdr>
            <w:top w:val="none" w:sz="0" w:space="0" w:color="auto"/>
            <w:left w:val="none" w:sz="0" w:space="0" w:color="auto"/>
            <w:bottom w:val="none" w:sz="0" w:space="0" w:color="auto"/>
            <w:right w:val="none" w:sz="0" w:space="0" w:color="auto"/>
          </w:divBdr>
        </w:div>
      </w:divsChild>
    </w:div>
    <w:div w:id="402530847">
      <w:bodyDiv w:val="1"/>
      <w:marLeft w:val="0"/>
      <w:marRight w:val="0"/>
      <w:marTop w:val="0"/>
      <w:marBottom w:val="0"/>
      <w:divBdr>
        <w:top w:val="none" w:sz="0" w:space="0" w:color="auto"/>
        <w:left w:val="none" w:sz="0" w:space="0" w:color="auto"/>
        <w:bottom w:val="none" w:sz="0" w:space="0" w:color="auto"/>
        <w:right w:val="none" w:sz="0" w:space="0" w:color="auto"/>
      </w:divBdr>
      <w:divsChild>
        <w:div w:id="1225524962">
          <w:marLeft w:val="0"/>
          <w:marRight w:val="0"/>
          <w:marTop w:val="0"/>
          <w:marBottom w:val="0"/>
          <w:divBdr>
            <w:top w:val="none" w:sz="0" w:space="0" w:color="auto"/>
            <w:left w:val="none" w:sz="0" w:space="0" w:color="auto"/>
            <w:bottom w:val="none" w:sz="0" w:space="0" w:color="auto"/>
            <w:right w:val="none" w:sz="0" w:space="0" w:color="auto"/>
          </w:divBdr>
        </w:div>
      </w:divsChild>
    </w:div>
    <w:div w:id="414133062">
      <w:bodyDiv w:val="1"/>
      <w:marLeft w:val="0"/>
      <w:marRight w:val="0"/>
      <w:marTop w:val="0"/>
      <w:marBottom w:val="0"/>
      <w:divBdr>
        <w:top w:val="none" w:sz="0" w:space="0" w:color="auto"/>
        <w:left w:val="none" w:sz="0" w:space="0" w:color="auto"/>
        <w:bottom w:val="none" w:sz="0" w:space="0" w:color="auto"/>
        <w:right w:val="none" w:sz="0" w:space="0" w:color="auto"/>
      </w:divBdr>
      <w:divsChild>
        <w:div w:id="1062296069">
          <w:marLeft w:val="0"/>
          <w:marRight w:val="0"/>
          <w:marTop w:val="0"/>
          <w:marBottom w:val="0"/>
          <w:divBdr>
            <w:top w:val="none" w:sz="0" w:space="0" w:color="auto"/>
            <w:left w:val="none" w:sz="0" w:space="0" w:color="auto"/>
            <w:bottom w:val="none" w:sz="0" w:space="0" w:color="auto"/>
            <w:right w:val="none" w:sz="0" w:space="0" w:color="auto"/>
          </w:divBdr>
        </w:div>
      </w:divsChild>
    </w:div>
    <w:div w:id="418135018">
      <w:bodyDiv w:val="1"/>
      <w:marLeft w:val="0"/>
      <w:marRight w:val="0"/>
      <w:marTop w:val="0"/>
      <w:marBottom w:val="0"/>
      <w:divBdr>
        <w:top w:val="none" w:sz="0" w:space="0" w:color="auto"/>
        <w:left w:val="none" w:sz="0" w:space="0" w:color="auto"/>
        <w:bottom w:val="none" w:sz="0" w:space="0" w:color="auto"/>
        <w:right w:val="none" w:sz="0" w:space="0" w:color="auto"/>
      </w:divBdr>
      <w:divsChild>
        <w:div w:id="1903633881">
          <w:marLeft w:val="0"/>
          <w:marRight w:val="0"/>
          <w:marTop w:val="0"/>
          <w:marBottom w:val="0"/>
          <w:divBdr>
            <w:top w:val="none" w:sz="0" w:space="0" w:color="auto"/>
            <w:left w:val="none" w:sz="0" w:space="0" w:color="auto"/>
            <w:bottom w:val="none" w:sz="0" w:space="0" w:color="auto"/>
            <w:right w:val="none" w:sz="0" w:space="0" w:color="auto"/>
          </w:divBdr>
        </w:div>
      </w:divsChild>
    </w:div>
    <w:div w:id="457525684">
      <w:bodyDiv w:val="1"/>
      <w:marLeft w:val="0"/>
      <w:marRight w:val="0"/>
      <w:marTop w:val="0"/>
      <w:marBottom w:val="0"/>
      <w:divBdr>
        <w:top w:val="none" w:sz="0" w:space="0" w:color="auto"/>
        <w:left w:val="none" w:sz="0" w:space="0" w:color="auto"/>
        <w:bottom w:val="none" w:sz="0" w:space="0" w:color="auto"/>
        <w:right w:val="none" w:sz="0" w:space="0" w:color="auto"/>
      </w:divBdr>
      <w:divsChild>
        <w:div w:id="1171874590">
          <w:marLeft w:val="0"/>
          <w:marRight w:val="0"/>
          <w:marTop w:val="0"/>
          <w:marBottom w:val="0"/>
          <w:divBdr>
            <w:top w:val="none" w:sz="0" w:space="0" w:color="auto"/>
            <w:left w:val="none" w:sz="0" w:space="0" w:color="auto"/>
            <w:bottom w:val="none" w:sz="0" w:space="0" w:color="auto"/>
            <w:right w:val="none" w:sz="0" w:space="0" w:color="auto"/>
          </w:divBdr>
        </w:div>
      </w:divsChild>
    </w:div>
    <w:div w:id="462775720">
      <w:bodyDiv w:val="1"/>
      <w:marLeft w:val="0"/>
      <w:marRight w:val="0"/>
      <w:marTop w:val="0"/>
      <w:marBottom w:val="0"/>
      <w:divBdr>
        <w:top w:val="none" w:sz="0" w:space="0" w:color="auto"/>
        <w:left w:val="none" w:sz="0" w:space="0" w:color="auto"/>
        <w:bottom w:val="none" w:sz="0" w:space="0" w:color="auto"/>
        <w:right w:val="none" w:sz="0" w:space="0" w:color="auto"/>
      </w:divBdr>
      <w:divsChild>
        <w:div w:id="1176113641">
          <w:marLeft w:val="0"/>
          <w:marRight w:val="0"/>
          <w:marTop w:val="0"/>
          <w:marBottom w:val="0"/>
          <w:divBdr>
            <w:top w:val="none" w:sz="0" w:space="0" w:color="auto"/>
            <w:left w:val="none" w:sz="0" w:space="0" w:color="auto"/>
            <w:bottom w:val="none" w:sz="0" w:space="0" w:color="auto"/>
            <w:right w:val="none" w:sz="0" w:space="0" w:color="auto"/>
          </w:divBdr>
          <w:divsChild>
            <w:div w:id="483006974">
              <w:marLeft w:val="0"/>
              <w:marRight w:val="0"/>
              <w:marTop w:val="0"/>
              <w:marBottom w:val="0"/>
              <w:divBdr>
                <w:top w:val="none" w:sz="0" w:space="0" w:color="auto"/>
                <w:left w:val="none" w:sz="0" w:space="0" w:color="auto"/>
                <w:bottom w:val="none" w:sz="0" w:space="0" w:color="auto"/>
                <w:right w:val="none" w:sz="0" w:space="0" w:color="auto"/>
              </w:divBdr>
              <w:divsChild>
                <w:div w:id="1264991167">
                  <w:marLeft w:val="0"/>
                  <w:marRight w:val="0"/>
                  <w:marTop w:val="0"/>
                  <w:marBottom w:val="0"/>
                  <w:divBdr>
                    <w:top w:val="none" w:sz="0" w:space="0" w:color="auto"/>
                    <w:left w:val="none" w:sz="0" w:space="0" w:color="auto"/>
                    <w:bottom w:val="none" w:sz="0" w:space="0" w:color="auto"/>
                    <w:right w:val="none" w:sz="0" w:space="0" w:color="auto"/>
                  </w:divBdr>
                  <w:divsChild>
                    <w:div w:id="934364267">
                      <w:marLeft w:val="0"/>
                      <w:marRight w:val="300"/>
                      <w:marTop w:val="0"/>
                      <w:marBottom w:val="0"/>
                      <w:divBdr>
                        <w:top w:val="none" w:sz="0" w:space="0" w:color="auto"/>
                        <w:left w:val="none" w:sz="0" w:space="0" w:color="auto"/>
                        <w:bottom w:val="none" w:sz="0" w:space="0" w:color="auto"/>
                        <w:right w:val="none" w:sz="0" w:space="0" w:color="auto"/>
                      </w:divBdr>
                      <w:divsChild>
                        <w:div w:id="1745637857">
                          <w:marLeft w:val="0"/>
                          <w:marRight w:val="300"/>
                          <w:marTop w:val="0"/>
                          <w:marBottom w:val="0"/>
                          <w:divBdr>
                            <w:top w:val="none" w:sz="0" w:space="0" w:color="auto"/>
                            <w:left w:val="none" w:sz="0" w:space="0" w:color="auto"/>
                            <w:bottom w:val="none" w:sz="0" w:space="0" w:color="auto"/>
                            <w:right w:val="none" w:sz="0" w:space="0" w:color="auto"/>
                          </w:divBdr>
                          <w:divsChild>
                            <w:div w:id="327445327">
                              <w:marLeft w:val="0"/>
                              <w:marRight w:val="0"/>
                              <w:marTop w:val="0"/>
                              <w:marBottom w:val="0"/>
                              <w:divBdr>
                                <w:top w:val="none" w:sz="0" w:space="0" w:color="auto"/>
                                <w:left w:val="none" w:sz="0" w:space="0" w:color="auto"/>
                                <w:bottom w:val="none" w:sz="0" w:space="0" w:color="auto"/>
                                <w:right w:val="none" w:sz="0" w:space="0" w:color="auto"/>
                              </w:divBdr>
                              <w:divsChild>
                                <w:div w:id="1815216462">
                                  <w:marLeft w:val="0"/>
                                  <w:marRight w:val="0"/>
                                  <w:marTop w:val="0"/>
                                  <w:marBottom w:val="0"/>
                                  <w:divBdr>
                                    <w:top w:val="none" w:sz="0" w:space="0" w:color="auto"/>
                                    <w:left w:val="none" w:sz="0" w:space="0" w:color="auto"/>
                                    <w:bottom w:val="none" w:sz="0" w:space="0" w:color="auto"/>
                                    <w:right w:val="none" w:sz="0" w:space="0" w:color="auto"/>
                                  </w:divBdr>
                                  <w:divsChild>
                                    <w:div w:id="2103258265">
                                      <w:marLeft w:val="0"/>
                                      <w:marRight w:val="0"/>
                                      <w:marTop w:val="0"/>
                                      <w:marBottom w:val="0"/>
                                      <w:divBdr>
                                        <w:top w:val="none" w:sz="0" w:space="0" w:color="auto"/>
                                        <w:left w:val="none" w:sz="0" w:space="0" w:color="auto"/>
                                        <w:bottom w:val="none" w:sz="0" w:space="0" w:color="auto"/>
                                        <w:right w:val="none" w:sz="0" w:space="0" w:color="auto"/>
                                      </w:divBdr>
                                      <w:divsChild>
                                        <w:div w:id="176115735">
                                          <w:marLeft w:val="0"/>
                                          <w:marRight w:val="0"/>
                                          <w:marTop w:val="0"/>
                                          <w:marBottom w:val="0"/>
                                          <w:divBdr>
                                            <w:top w:val="none" w:sz="0" w:space="0" w:color="auto"/>
                                            <w:left w:val="none" w:sz="0" w:space="0" w:color="auto"/>
                                            <w:bottom w:val="none" w:sz="0" w:space="0" w:color="auto"/>
                                            <w:right w:val="none" w:sz="0" w:space="0" w:color="auto"/>
                                          </w:divBdr>
                                        </w:div>
                                        <w:div w:id="1241059259">
                                          <w:marLeft w:val="0"/>
                                          <w:marRight w:val="0"/>
                                          <w:marTop w:val="0"/>
                                          <w:marBottom w:val="0"/>
                                          <w:divBdr>
                                            <w:top w:val="none" w:sz="0" w:space="0" w:color="auto"/>
                                            <w:left w:val="none" w:sz="0" w:space="0" w:color="auto"/>
                                            <w:bottom w:val="none" w:sz="0" w:space="0" w:color="auto"/>
                                            <w:right w:val="none" w:sz="0" w:space="0" w:color="auto"/>
                                          </w:divBdr>
                                        </w:div>
                                        <w:div w:id="1547447365">
                                          <w:marLeft w:val="0"/>
                                          <w:marRight w:val="0"/>
                                          <w:marTop w:val="0"/>
                                          <w:marBottom w:val="0"/>
                                          <w:divBdr>
                                            <w:top w:val="none" w:sz="0" w:space="0" w:color="auto"/>
                                            <w:left w:val="none" w:sz="0" w:space="0" w:color="auto"/>
                                            <w:bottom w:val="none" w:sz="0" w:space="0" w:color="auto"/>
                                            <w:right w:val="none" w:sz="0" w:space="0" w:color="auto"/>
                                          </w:divBdr>
                                          <w:divsChild>
                                            <w:div w:id="974483902">
                                              <w:marLeft w:val="0"/>
                                              <w:marRight w:val="0"/>
                                              <w:marTop w:val="0"/>
                                              <w:marBottom w:val="0"/>
                                              <w:divBdr>
                                                <w:top w:val="none" w:sz="0" w:space="0" w:color="auto"/>
                                                <w:left w:val="none" w:sz="0" w:space="0" w:color="auto"/>
                                                <w:bottom w:val="none" w:sz="0" w:space="0" w:color="auto"/>
                                                <w:right w:val="none" w:sz="0" w:space="0" w:color="auto"/>
                                              </w:divBdr>
                                              <w:divsChild>
                                                <w:div w:id="49042933">
                                                  <w:marLeft w:val="0"/>
                                                  <w:marRight w:val="0"/>
                                                  <w:marTop w:val="0"/>
                                                  <w:marBottom w:val="0"/>
                                                  <w:divBdr>
                                                    <w:top w:val="none" w:sz="0" w:space="0" w:color="auto"/>
                                                    <w:left w:val="none" w:sz="0" w:space="0" w:color="auto"/>
                                                    <w:bottom w:val="none" w:sz="0" w:space="0" w:color="auto"/>
                                                    <w:right w:val="none" w:sz="0" w:space="0" w:color="auto"/>
                                                  </w:divBdr>
                                                </w:div>
                                                <w:div w:id="1749955891">
                                                  <w:marLeft w:val="0"/>
                                                  <w:marRight w:val="0"/>
                                                  <w:marTop w:val="0"/>
                                                  <w:marBottom w:val="0"/>
                                                  <w:divBdr>
                                                    <w:top w:val="none" w:sz="0" w:space="0" w:color="auto"/>
                                                    <w:left w:val="none" w:sz="0" w:space="0" w:color="auto"/>
                                                    <w:bottom w:val="none" w:sz="0" w:space="0" w:color="auto"/>
                                                    <w:right w:val="none" w:sz="0" w:space="0" w:color="auto"/>
                                                  </w:divBdr>
                                                  <w:divsChild>
                                                    <w:div w:id="374277379">
                                                      <w:marLeft w:val="0"/>
                                                      <w:marRight w:val="0"/>
                                                      <w:marTop w:val="0"/>
                                                      <w:marBottom w:val="0"/>
                                                      <w:divBdr>
                                                        <w:top w:val="none" w:sz="0" w:space="0" w:color="auto"/>
                                                        <w:left w:val="none" w:sz="0" w:space="0" w:color="auto"/>
                                                        <w:bottom w:val="none" w:sz="0" w:space="0" w:color="auto"/>
                                                        <w:right w:val="none" w:sz="0" w:space="0" w:color="auto"/>
                                                      </w:divBdr>
                                                    </w:div>
                                                    <w:div w:id="1460876705">
                                                      <w:marLeft w:val="0"/>
                                                      <w:marRight w:val="0"/>
                                                      <w:marTop w:val="0"/>
                                                      <w:marBottom w:val="0"/>
                                                      <w:divBdr>
                                                        <w:top w:val="none" w:sz="0" w:space="0" w:color="auto"/>
                                                        <w:left w:val="none" w:sz="0" w:space="0" w:color="auto"/>
                                                        <w:bottom w:val="none" w:sz="0" w:space="0" w:color="auto"/>
                                                        <w:right w:val="none" w:sz="0" w:space="0" w:color="auto"/>
                                                      </w:divBdr>
                                                    </w:div>
                                                    <w:div w:id="19626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369">
                                              <w:marLeft w:val="0"/>
                                              <w:marRight w:val="0"/>
                                              <w:marTop w:val="0"/>
                                              <w:marBottom w:val="0"/>
                                              <w:divBdr>
                                                <w:top w:val="none" w:sz="0" w:space="0" w:color="auto"/>
                                                <w:left w:val="none" w:sz="0" w:space="0" w:color="auto"/>
                                                <w:bottom w:val="none" w:sz="0" w:space="0" w:color="auto"/>
                                                <w:right w:val="none" w:sz="0" w:space="0" w:color="auto"/>
                                              </w:divBdr>
                                            </w:div>
                                            <w:div w:id="1207524754">
                                              <w:marLeft w:val="0"/>
                                              <w:marRight w:val="0"/>
                                              <w:marTop w:val="0"/>
                                              <w:marBottom w:val="0"/>
                                              <w:divBdr>
                                                <w:top w:val="none" w:sz="0" w:space="0" w:color="auto"/>
                                                <w:left w:val="none" w:sz="0" w:space="0" w:color="auto"/>
                                                <w:bottom w:val="none" w:sz="0" w:space="0" w:color="auto"/>
                                                <w:right w:val="none" w:sz="0" w:space="0" w:color="auto"/>
                                              </w:divBdr>
                                              <w:divsChild>
                                                <w:div w:id="560020620">
                                                  <w:marLeft w:val="0"/>
                                                  <w:marRight w:val="0"/>
                                                  <w:marTop w:val="0"/>
                                                  <w:marBottom w:val="0"/>
                                                  <w:divBdr>
                                                    <w:top w:val="none" w:sz="0" w:space="0" w:color="auto"/>
                                                    <w:left w:val="none" w:sz="0" w:space="0" w:color="auto"/>
                                                    <w:bottom w:val="none" w:sz="0" w:space="0" w:color="auto"/>
                                                    <w:right w:val="none" w:sz="0" w:space="0" w:color="auto"/>
                                                  </w:divBdr>
                                                </w:div>
                                                <w:div w:id="1346395058">
                                                  <w:marLeft w:val="0"/>
                                                  <w:marRight w:val="0"/>
                                                  <w:marTop w:val="0"/>
                                                  <w:marBottom w:val="0"/>
                                                  <w:divBdr>
                                                    <w:top w:val="none" w:sz="0" w:space="0" w:color="auto"/>
                                                    <w:left w:val="none" w:sz="0" w:space="0" w:color="auto"/>
                                                    <w:bottom w:val="none" w:sz="0" w:space="0" w:color="auto"/>
                                                    <w:right w:val="none" w:sz="0" w:space="0" w:color="auto"/>
                                                  </w:divBdr>
                                                </w:div>
                                                <w:div w:id="1821724412">
                                                  <w:marLeft w:val="0"/>
                                                  <w:marRight w:val="0"/>
                                                  <w:marTop w:val="0"/>
                                                  <w:marBottom w:val="0"/>
                                                  <w:divBdr>
                                                    <w:top w:val="none" w:sz="0" w:space="0" w:color="auto"/>
                                                    <w:left w:val="none" w:sz="0" w:space="0" w:color="auto"/>
                                                    <w:bottom w:val="none" w:sz="0" w:space="0" w:color="auto"/>
                                                    <w:right w:val="none" w:sz="0" w:space="0" w:color="auto"/>
                                                  </w:divBdr>
                                                </w:div>
                                              </w:divsChild>
                                            </w:div>
                                            <w:div w:id="1267618137">
                                              <w:marLeft w:val="0"/>
                                              <w:marRight w:val="0"/>
                                              <w:marTop w:val="0"/>
                                              <w:marBottom w:val="0"/>
                                              <w:divBdr>
                                                <w:top w:val="none" w:sz="0" w:space="0" w:color="auto"/>
                                                <w:left w:val="none" w:sz="0" w:space="0" w:color="auto"/>
                                                <w:bottom w:val="none" w:sz="0" w:space="0" w:color="auto"/>
                                                <w:right w:val="none" w:sz="0" w:space="0" w:color="auto"/>
                                              </w:divBdr>
                                            </w:div>
                                          </w:divsChild>
                                        </w:div>
                                        <w:div w:id="1774474866">
                                          <w:marLeft w:val="0"/>
                                          <w:marRight w:val="0"/>
                                          <w:marTop w:val="0"/>
                                          <w:marBottom w:val="0"/>
                                          <w:divBdr>
                                            <w:top w:val="none" w:sz="0" w:space="0" w:color="auto"/>
                                            <w:left w:val="none" w:sz="0" w:space="0" w:color="auto"/>
                                            <w:bottom w:val="none" w:sz="0" w:space="0" w:color="auto"/>
                                            <w:right w:val="none" w:sz="0" w:space="0" w:color="auto"/>
                                          </w:divBdr>
                                        </w:div>
                                        <w:div w:id="1961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934913">
      <w:bodyDiv w:val="1"/>
      <w:marLeft w:val="0"/>
      <w:marRight w:val="0"/>
      <w:marTop w:val="0"/>
      <w:marBottom w:val="0"/>
      <w:divBdr>
        <w:top w:val="none" w:sz="0" w:space="0" w:color="auto"/>
        <w:left w:val="none" w:sz="0" w:space="0" w:color="auto"/>
        <w:bottom w:val="none" w:sz="0" w:space="0" w:color="auto"/>
        <w:right w:val="none" w:sz="0" w:space="0" w:color="auto"/>
      </w:divBdr>
      <w:divsChild>
        <w:div w:id="665746435">
          <w:marLeft w:val="0"/>
          <w:marRight w:val="0"/>
          <w:marTop w:val="0"/>
          <w:marBottom w:val="0"/>
          <w:divBdr>
            <w:top w:val="none" w:sz="0" w:space="0" w:color="auto"/>
            <w:left w:val="none" w:sz="0" w:space="0" w:color="auto"/>
            <w:bottom w:val="none" w:sz="0" w:space="0" w:color="auto"/>
            <w:right w:val="none" w:sz="0" w:space="0" w:color="auto"/>
          </w:divBdr>
          <w:divsChild>
            <w:div w:id="1007682391">
              <w:marLeft w:val="0"/>
              <w:marRight w:val="0"/>
              <w:marTop w:val="0"/>
              <w:marBottom w:val="0"/>
              <w:divBdr>
                <w:top w:val="none" w:sz="0" w:space="0" w:color="auto"/>
                <w:left w:val="none" w:sz="0" w:space="0" w:color="auto"/>
                <w:bottom w:val="none" w:sz="0" w:space="0" w:color="auto"/>
                <w:right w:val="none" w:sz="0" w:space="0" w:color="auto"/>
              </w:divBdr>
              <w:divsChild>
                <w:div w:id="359859142">
                  <w:marLeft w:val="0"/>
                  <w:marRight w:val="0"/>
                  <w:marTop w:val="0"/>
                  <w:marBottom w:val="0"/>
                  <w:divBdr>
                    <w:top w:val="none" w:sz="0" w:space="0" w:color="auto"/>
                    <w:left w:val="none" w:sz="0" w:space="0" w:color="auto"/>
                    <w:bottom w:val="none" w:sz="0" w:space="0" w:color="auto"/>
                    <w:right w:val="none" w:sz="0" w:space="0" w:color="auto"/>
                  </w:divBdr>
                  <w:divsChild>
                    <w:div w:id="1626812763">
                      <w:marLeft w:val="0"/>
                      <w:marRight w:val="300"/>
                      <w:marTop w:val="0"/>
                      <w:marBottom w:val="0"/>
                      <w:divBdr>
                        <w:top w:val="none" w:sz="0" w:space="0" w:color="auto"/>
                        <w:left w:val="none" w:sz="0" w:space="0" w:color="auto"/>
                        <w:bottom w:val="none" w:sz="0" w:space="0" w:color="auto"/>
                        <w:right w:val="none" w:sz="0" w:space="0" w:color="auto"/>
                      </w:divBdr>
                      <w:divsChild>
                        <w:div w:id="1725761375">
                          <w:marLeft w:val="0"/>
                          <w:marRight w:val="300"/>
                          <w:marTop w:val="0"/>
                          <w:marBottom w:val="0"/>
                          <w:divBdr>
                            <w:top w:val="none" w:sz="0" w:space="0" w:color="auto"/>
                            <w:left w:val="none" w:sz="0" w:space="0" w:color="auto"/>
                            <w:bottom w:val="none" w:sz="0" w:space="0" w:color="auto"/>
                            <w:right w:val="none" w:sz="0" w:space="0" w:color="auto"/>
                          </w:divBdr>
                          <w:divsChild>
                            <w:div w:id="583338674">
                              <w:marLeft w:val="0"/>
                              <w:marRight w:val="0"/>
                              <w:marTop w:val="0"/>
                              <w:marBottom w:val="0"/>
                              <w:divBdr>
                                <w:top w:val="none" w:sz="0" w:space="0" w:color="auto"/>
                                <w:left w:val="none" w:sz="0" w:space="0" w:color="auto"/>
                                <w:bottom w:val="none" w:sz="0" w:space="0" w:color="auto"/>
                                <w:right w:val="none" w:sz="0" w:space="0" w:color="auto"/>
                              </w:divBdr>
                              <w:divsChild>
                                <w:div w:id="18114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194677">
      <w:bodyDiv w:val="1"/>
      <w:marLeft w:val="0"/>
      <w:marRight w:val="0"/>
      <w:marTop w:val="0"/>
      <w:marBottom w:val="0"/>
      <w:divBdr>
        <w:top w:val="none" w:sz="0" w:space="0" w:color="auto"/>
        <w:left w:val="none" w:sz="0" w:space="0" w:color="auto"/>
        <w:bottom w:val="none" w:sz="0" w:space="0" w:color="auto"/>
        <w:right w:val="none" w:sz="0" w:space="0" w:color="auto"/>
      </w:divBdr>
      <w:divsChild>
        <w:div w:id="1454247804">
          <w:marLeft w:val="0"/>
          <w:marRight w:val="0"/>
          <w:marTop w:val="0"/>
          <w:marBottom w:val="0"/>
          <w:divBdr>
            <w:top w:val="none" w:sz="0" w:space="0" w:color="auto"/>
            <w:left w:val="none" w:sz="0" w:space="0" w:color="auto"/>
            <w:bottom w:val="none" w:sz="0" w:space="0" w:color="auto"/>
            <w:right w:val="none" w:sz="0" w:space="0" w:color="auto"/>
          </w:divBdr>
        </w:div>
      </w:divsChild>
    </w:div>
    <w:div w:id="671178097">
      <w:bodyDiv w:val="1"/>
      <w:marLeft w:val="0"/>
      <w:marRight w:val="0"/>
      <w:marTop w:val="0"/>
      <w:marBottom w:val="0"/>
      <w:divBdr>
        <w:top w:val="none" w:sz="0" w:space="0" w:color="auto"/>
        <w:left w:val="none" w:sz="0" w:space="0" w:color="auto"/>
        <w:bottom w:val="none" w:sz="0" w:space="0" w:color="auto"/>
        <w:right w:val="none" w:sz="0" w:space="0" w:color="auto"/>
      </w:divBdr>
      <w:divsChild>
        <w:div w:id="361126482">
          <w:marLeft w:val="0"/>
          <w:marRight w:val="0"/>
          <w:marTop w:val="0"/>
          <w:marBottom w:val="0"/>
          <w:divBdr>
            <w:top w:val="none" w:sz="0" w:space="0" w:color="auto"/>
            <w:left w:val="none" w:sz="0" w:space="0" w:color="auto"/>
            <w:bottom w:val="none" w:sz="0" w:space="0" w:color="auto"/>
            <w:right w:val="none" w:sz="0" w:space="0" w:color="auto"/>
          </w:divBdr>
        </w:div>
      </w:divsChild>
    </w:div>
    <w:div w:id="725450594">
      <w:bodyDiv w:val="1"/>
      <w:marLeft w:val="0"/>
      <w:marRight w:val="0"/>
      <w:marTop w:val="0"/>
      <w:marBottom w:val="0"/>
      <w:divBdr>
        <w:top w:val="none" w:sz="0" w:space="0" w:color="auto"/>
        <w:left w:val="none" w:sz="0" w:space="0" w:color="auto"/>
        <w:bottom w:val="none" w:sz="0" w:space="0" w:color="auto"/>
        <w:right w:val="none" w:sz="0" w:space="0" w:color="auto"/>
      </w:divBdr>
      <w:divsChild>
        <w:div w:id="1045721030">
          <w:marLeft w:val="0"/>
          <w:marRight w:val="0"/>
          <w:marTop w:val="0"/>
          <w:marBottom w:val="0"/>
          <w:divBdr>
            <w:top w:val="none" w:sz="0" w:space="0" w:color="auto"/>
            <w:left w:val="none" w:sz="0" w:space="0" w:color="auto"/>
            <w:bottom w:val="none" w:sz="0" w:space="0" w:color="auto"/>
            <w:right w:val="none" w:sz="0" w:space="0" w:color="auto"/>
          </w:divBdr>
        </w:div>
      </w:divsChild>
    </w:div>
    <w:div w:id="826358575">
      <w:bodyDiv w:val="1"/>
      <w:marLeft w:val="0"/>
      <w:marRight w:val="0"/>
      <w:marTop w:val="0"/>
      <w:marBottom w:val="0"/>
      <w:divBdr>
        <w:top w:val="none" w:sz="0" w:space="0" w:color="auto"/>
        <w:left w:val="none" w:sz="0" w:space="0" w:color="auto"/>
        <w:bottom w:val="none" w:sz="0" w:space="0" w:color="auto"/>
        <w:right w:val="none" w:sz="0" w:space="0" w:color="auto"/>
      </w:divBdr>
      <w:divsChild>
        <w:div w:id="933318556">
          <w:marLeft w:val="0"/>
          <w:marRight w:val="0"/>
          <w:marTop w:val="0"/>
          <w:marBottom w:val="0"/>
          <w:divBdr>
            <w:top w:val="none" w:sz="0" w:space="0" w:color="auto"/>
            <w:left w:val="none" w:sz="0" w:space="0" w:color="auto"/>
            <w:bottom w:val="none" w:sz="0" w:space="0" w:color="auto"/>
            <w:right w:val="none" w:sz="0" w:space="0" w:color="auto"/>
          </w:divBdr>
        </w:div>
      </w:divsChild>
    </w:div>
    <w:div w:id="837888802">
      <w:bodyDiv w:val="1"/>
      <w:marLeft w:val="0"/>
      <w:marRight w:val="0"/>
      <w:marTop w:val="0"/>
      <w:marBottom w:val="0"/>
      <w:divBdr>
        <w:top w:val="none" w:sz="0" w:space="0" w:color="auto"/>
        <w:left w:val="none" w:sz="0" w:space="0" w:color="auto"/>
        <w:bottom w:val="none" w:sz="0" w:space="0" w:color="auto"/>
        <w:right w:val="none" w:sz="0" w:space="0" w:color="auto"/>
      </w:divBdr>
      <w:divsChild>
        <w:div w:id="1977372702">
          <w:marLeft w:val="0"/>
          <w:marRight w:val="0"/>
          <w:marTop w:val="0"/>
          <w:marBottom w:val="0"/>
          <w:divBdr>
            <w:top w:val="none" w:sz="0" w:space="0" w:color="auto"/>
            <w:left w:val="none" w:sz="0" w:space="0" w:color="auto"/>
            <w:bottom w:val="none" w:sz="0" w:space="0" w:color="auto"/>
            <w:right w:val="none" w:sz="0" w:space="0" w:color="auto"/>
          </w:divBdr>
        </w:div>
      </w:divsChild>
    </w:div>
    <w:div w:id="858350378">
      <w:bodyDiv w:val="1"/>
      <w:marLeft w:val="0"/>
      <w:marRight w:val="0"/>
      <w:marTop w:val="0"/>
      <w:marBottom w:val="0"/>
      <w:divBdr>
        <w:top w:val="none" w:sz="0" w:space="0" w:color="auto"/>
        <w:left w:val="none" w:sz="0" w:space="0" w:color="auto"/>
        <w:bottom w:val="none" w:sz="0" w:space="0" w:color="auto"/>
        <w:right w:val="none" w:sz="0" w:space="0" w:color="auto"/>
      </w:divBdr>
      <w:divsChild>
        <w:div w:id="661199625">
          <w:marLeft w:val="0"/>
          <w:marRight w:val="0"/>
          <w:marTop w:val="0"/>
          <w:marBottom w:val="0"/>
          <w:divBdr>
            <w:top w:val="none" w:sz="0" w:space="0" w:color="auto"/>
            <w:left w:val="none" w:sz="0" w:space="0" w:color="auto"/>
            <w:bottom w:val="none" w:sz="0" w:space="0" w:color="auto"/>
            <w:right w:val="none" w:sz="0" w:space="0" w:color="auto"/>
          </w:divBdr>
        </w:div>
      </w:divsChild>
    </w:div>
    <w:div w:id="1038508956">
      <w:bodyDiv w:val="1"/>
      <w:marLeft w:val="0"/>
      <w:marRight w:val="0"/>
      <w:marTop w:val="0"/>
      <w:marBottom w:val="0"/>
      <w:divBdr>
        <w:top w:val="none" w:sz="0" w:space="0" w:color="auto"/>
        <w:left w:val="none" w:sz="0" w:space="0" w:color="auto"/>
        <w:bottom w:val="none" w:sz="0" w:space="0" w:color="auto"/>
        <w:right w:val="none" w:sz="0" w:space="0" w:color="auto"/>
      </w:divBdr>
      <w:divsChild>
        <w:div w:id="1155611567">
          <w:marLeft w:val="0"/>
          <w:marRight w:val="0"/>
          <w:marTop w:val="0"/>
          <w:marBottom w:val="0"/>
          <w:divBdr>
            <w:top w:val="none" w:sz="0" w:space="0" w:color="auto"/>
            <w:left w:val="none" w:sz="0" w:space="0" w:color="auto"/>
            <w:bottom w:val="none" w:sz="0" w:space="0" w:color="auto"/>
            <w:right w:val="none" w:sz="0" w:space="0" w:color="auto"/>
          </w:divBdr>
        </w:div>
      </w:divsChild>
    </w:div>
    <w:div w:id="1157922807">
      <w:bodyDiv w:val="1"/>
      <w:marLeft w:val="0"/>
      <w:marRight w:val="0"/>
      <w:marTop w:val="0"/>
      <w:marBottom w:val="0"/>
      <w:divBdr>
        <w:top w:val="none" w:sz="0" w:space="0" w:color="auto"/>
        <w:left w:val="none" w:sz="0" w:space="0" w:color="auto"/>
        <w:bottom w:val="none" w:sz="0" w:space="0" w:color="auto"/>
        <w:right w:val="none" w:sz="0" w:space="0" w:color="auto"/>
      </w:divBdr>
      <w:divsChild>
        <w:div w:id="1945770564">
          <w:marLeft w:val="0"/>
          <w:marRight w:val="0"/>
          <w:marTop w:val="0"/>
          <w:marBottom w:val="0"/>
          <w:divBdr>
            <w:top w:val="none" w:sz="0" w:space="0" w:color="auto"/>
            <w:left w:val="none" w:sz="0" w:space="0" w:color="auto"/>
            <w:bottom w:val="none" w:sz="0" w:space="0" w:color="auto"/>
            <w:right w:val="none" w:sz="0" w:space="0" w:color="auto"/>
          </w:divBdr>
        </w:div>
      </w:divsChild>
    </w:div>
    <w:div w:id="1179809305">
      <w:bodyDiv w:val="1"/>
      <w:marLeft w:val="0"/>
      <w:marRight w:val="0"/>
      <w:marTop w:val="0"/>
      <w:marBottom w:val="0"/>
      <w:divBdr>
        <w:top w:val="none" w:sz="0" w:space="0" w:color="auto"/>
        <w:left w:val="none" w:sz="0" w:space="0" w:color="auto"/>
        <w:bottom w:val="none" w:sz="0" w:space="0" w:color="auto"/>
        <w:right w:val="none" w:sz="0" w:space="0" w:color="auto"/>
      </w:divBdr>
    </w:div>
    <w:div w:id="1182083696">
      <w:bodyDiv w:val="1"/>
      <w:marLeft w:val="0"/>
      <w:marRight w:val="0"/>
      <w:marTop w:val="0"/>
      <w:marBottom w:val="0"/>
      <w:divBdr>
        <w:top w:val="none" w:sz="0" w:space="0" w:color="auto"/>
        <w:left w:val="none" w:sz="0" w:space="0" w:color="auto"/>
        <w:bottom w:val="none" w:sz="0" w:space="0" w:color="auto"/>
        <w:right w:val="none" w:sz="0" w:space="0" w:color="auto"/>
      </w:divBdr>
      <w:divsChild>
        <w:div w:id="821508952">
          <w:marLeft w:val="0"/>
          <w:marRight w:val="0"/>
          <w:marTop w:val="0"/>
          <w:marBottom w:val="0"/>
          <w:divBdr>
            <w:top w:val="none" w:sz="0" w:space="0" w:color="auto"/>
            <w:left w:val="none" w:sz="0" w:space="0" w:color="auto"/>
            <w:bottom w:val="none" w:sz="0" w:space="0" w:color="auto"/>
            <w:right w:val="none" w:sz="0" w:space="0" w:color="auto"/>
          </w:divBdr>
        </w:div>
      </w:divsChild>
    </w:div>
    <w:div w:id="1225291237">
      <w:bodyDiv w:val="1"/>
      <w:marLeft w:val="0"/>
      <w:marRight w:val="0"/>
      <w:marTop w:val="0"/>
      <w:marBottom w:val="0"/>
      <w:divBdr>
        <w:top w:val="none" w:sz="0" w:space="0" w:color="auto"/>
        <w:left w:val="none" w:sz="0" w:space="0" w:color="auto"/>
        <w:bottom w:val="none" w:sz="0" w:space="0" w:color="auto"/>
        <w:right w:val="none" w:sz="0" w:space="0" w:color="auto"/>
      </w:divBdr>
      <w:divsChild>
        <w:div w:id="347754270">
          <w:marLeft w:val="0"/>
          <w:marRight w:val="0"/>
          <w:marTop w:val="0"/>
          <w:marBottom w:val="0"/>
          <w:divBdr>
            <w:top w:val="none" w:sz="0" w:space="0" w:color="auto"/>
            <w:left w:val="none" w:sz="0" w:space="0" w:color="auto"/>
            <w:bottom w:val="none" w:sz="0" w:space="0" w:color="auto"/>
            <w:right w:val="none" w:sz="0" w:space="0" w:color="auto"/>
          </w:divBdr>
        </w:div>
      </w:divsChild>
    </w:div>
    <w:div w:id="1235628282">
      <w:bodyDiv w:val="1"/>
      <w:marLeft w:val="0"/>
      <w:marRight w:val="0"/>
      <w:marTop w:val="0"/>
      <w:marBottom w:val="0"/>
      <w:divBdr>
        <w:top w:val="none" w:sz="0" w:space="0" w:color="auto"/>
        <w:left w:val="none" w:sz="0" w:space="0" w:color="auto"/>
        <w:bottom w:val="none" w:sz="0" w:space="0" w:color="auto"/>
        <w:right w:val="none" w:sz="0" w:space="0" w:color="auto"/>
      </w:divBdr>
      <w:divsChild>
        <w:div w:id="2107578401">
          <w:marLeft w:val="0"/>
          <w:marRight w:val="0"/>
          <w:marTop w:val="0"/>
          <w:marBottom w:val="0"/>
          <w:divBdr>
            <w:top w:val="none" w:sz="0" w:space="0" w:color="auto"/>
            <w:left w:val="none" w:sz="0" w:space="0" w:color="auto"/>
            <w:bottom w:val="none" w:sz="0" w:space="0" w:color="auto"/>
            <w:right w:val="none" w:sz="0" w:space="0" w:color="auto"/>
          </w:divBdr>
        </w:div>
      </w:divsChild>
    </w:div>
    <w:div w:id="1267929075">
      <w:bodyDiv w:val="1"/>
      <w:marLeft w:val="0"/>
      <w:marRight w:val="0"/>
      <w:marTop w:val="0"/>
      <w:marBottom w:val="0"/>
      <w:divBdr>
        <w:top w:val="none" w:sz="0" w:space="0" w:color="auto"/>
        <w:left w:val="none" w:sz="0" w:space="0" w:color="auto"/>
        <w:bottom w:val="none" w:sz="0" w:space="0" w:color="auto"/>
        <w:right w:val="none" w:sz="0" w:space="0" w:color="auto"/>
      </w:divBdr>
    </w:div>
    <w:div w:id="1277835570">
      <w:bodyDiv w:val="1"/>
      <w:marLeft w:val="0"/>
      <w:marRight w:val="0"/>
      <w:marTop w:val="0"/>
      <w:marBottom w:val="0"/>
      <w:divBdr>
        <w:top w:val="none" w:sz="0" w:space="0" w:color="auto"/>
        <w:left w:val="none" w:sz="0" w:space="0" w:color="auto"/>
        <w:bottom w:val="none" w:sz="0" w:space="0" w:color="auto"/>
        <w:right w:val="none" w:sz="0" w:space="0" w:color="auto"/>
      </w:divBdr>
      <w:divsChild>
        <w:div w:id="1432505728">
          <w:marLeft w:val="0"/>
          <w:marRight w:val="0"/>
          <w:marTop w:val="0"/>
          <w:marBottom w:val="0"/>
          <w:divBdr>
            <w:top w:val="none" w:sz="0" w:space="0" w:color="auto"/>
            <w:left w:val="none" w:sz="0" w:space="0" w:color="auto"/>
            <w:bottom w:val="none" w:sz="0" w:space="0" w:color="auto"/>
            <w:right w:val="none" w:sz="0" w:space="0" w:color="auto"/>
          </w:divBdr>
        </w:div>
      </w:divsChild>
    </w:div>
    <w:div w:id="1289891201">
      <w:bodyDiv w:val="1"/>
      <w:marLeft w:val="0"/>
      <w:marRight w:val="0"/>
      <w:marTop w:val="0"/>
      <w:marBottom w:val="0"/>
      <w:divBdr>
        <w:top w:val="none" w:sz="0" w:space="0" w:color="auto"/>
        <w:left w:val="none" w:sz="0" w:space="0" w:color="auto"/>
        <w:bottom w:val="none" w:sz="0" w:space="0" w:color="auto"/>
        <w:right w:val="none" w:sz="0" w:space="0" w:color="auto"/>
      </w:divBdr>
      <w:divsChild>
        <w:div w:id="1707946530">
          <w:marLeft w:val="0"/>
          <w:marRight w:val="0"/>
          <w:marTop w:val="0"/>
          <w:marBottom w:val="0"/>
          <w:divBdr>
            <w:top w:val="none" w:sz="0" w:space="0" w:color="auto"/>
            <w:left w:val="none" w:sz="0" w:space="0" w:color="auto"/>
            <w:bottom w:val="none" w:sz="0" w:space="0" w:color="auto"/>
            <w:right w:val="none" w:sz="0" w:space="0" w:color="auto"/>
          </w:divBdr>
        </w:div>
      </w:divsChild>
    </w:div>
    <w:div w:id="1431048227">
      <w:bodyDiv w:val="1"/>
      <w:marLeft w:val="0"/>
      <w:marRight w:val="0"/>
      <w:marTop w:val="0"/>
      <w:marBottom w:val="0"/>
      <w:divBdr>
        <w:top w:val="none" w:sz="0" w:space="0" w:color="auto"/>
        <w:left w:val="none" w:sz="0" w:space="0" w:color="auto"/>
        <w:bottom w:val="none" w:sz="0" w:space="0" w:color="auto"/>
        <w:right w:val="none" w:sz="0" w:space="0" w:color="auto"/>
      </w:divBdr>
      <w:divsChild>
        <w:div w:id="726299682">
          <w:marLeft w:val="0"/>
          <w:marRight w:val="0"/>
          <w:marTop w:val="0"/>
          <w:marBottom w:val="0"/>
          <w:divBdr>
            <w:top w:val="none" w:sz="0" w:space="0" w:color="auto"/>
            <w:left w:val="none" w:sz="0" w:space="0" w:color="auto"/>
            <w:bottom w:val="none" w:sz="0" w:space="0" w:color="auto"/>
            <w:right w:val="none" w:sz="0" w:space="0" w:color="auto"/>
          </w:divBdr>
        </w:div>
      </w:divsChild>
    </w:div>
    <w:div w:id="1439374741">
      <w:bodyDiv w:val="1"/>
      <w:marLeft w:val="0"/>
      <w:marRight w:val="0"/>
      <w:marTop w:val="0"/>
      <w:marBottom w:val="0"/>
      <w:divBdr>
        <w:top w:val="none" w:sz="0" w:space="0" w:color="auto"/>
        <w:left w:val="none" w:sz="0" w:space="0" w:color="auto"/>
        <w:bottom w:val="none" w:sz="0" w:space="0" w:color="auto"/>
        <w:right w:val="none" w:sz="0" w:space="0" w:color="auto"/>
      </w:divBdr>
      <w:divsChild>
        <w:div w:id="2121560474">
          <w:marLeft w:val="0"/>
          <w:marRight w:val="0"/>
          <w:marTop w:val="0"/>
          <w:marBottom w:val="0"/>
          <w:divBdr>
            <w:top w:val="none" w:sz="0" w:space="0" w:color="auto"/>
            <w:left w:val="none" w:sz="0" w:space="0" w:color="auto"/>
            <w:bottom w:val="none" w:sz="0" w:space="0" w:color="auto"/>
            <w:right w:val="none" w:sz="0" w:space="0" w:color="auto"/>
          </w:divBdr>
        </w:div>
      </w:divsChild>
    </w:div>
    <w:div w:id="1447040007">
      <w:bodyDiv w:val="1"/>
      <w:marLeft w:val="0"/>
      <w:marRight w:val="0"/>
      <w:marTop w:val="0"/>
      <w:marBottom w:val="0"/>
      <w:divBdr>
        <w:top w:val="none" w:sz="0" w:space="0" w:color="auto"/>
        <w:left w:val="none" w:sz="0" w:space="0" w:color="auto"/>
        <w:bottom w:val="none" w:sz="0" w:space="0" w:color="auto"/>
        <w:right w:val="none" w:sz="0" w:space="0" w:color="auto"/>
      </w:divBdr>
      <w:divsChild>
        <w:div w:id="857813892">
          <w:marLeft w:val="0"/>
          <w:marRight w:val="0"/>
          <w:marTop w:val="0"/>
          <w:marBottom w:val="0"/>
          <w:divBdr>
            <w:top w:val="none" w:sz="0" w:space="0" w:color="auto"/>
            <w:left w:val="none" w:sz="0" w:space="0" w:color="auto"/>
            <w:bottom w:val="none" w:sz="0" w:space="0" w:color="auto"/>
            <w:right w:val="none" w:sz="0" w:space="0" w:color="auto"/>
          </w:divBdr>
          <w:divsChild>
            <w:div w:id="1510757163">
              <w:marLeft w:val="0"/>
              <w:marRight w:val="0"/>
              <w:marTop w:val="0"/>
              <w:marBottom w:val="0"/>
              <w:divBdr>
                <w:top w:val="none" w:sz="0" w:space="0" w:color="auto"/>
                <w:left w:val="none" w:sz="0" w:space="0" w:color="auto"/>
                <w:bottom w:val="none" w:sz="0" w:space="0" w:color="auto"/>
                <w:right w:val="none" w:sz="0" w:space="0" w:color="auto"/>
              </w:divBdr>
              <w:divsChild>
                <w:div w:id="1388141807">
                  <w:marLeft w:val="0"/>
                  <w:marRight w:val="0"/>
                  <w:marTop w:val="0"/>
                  <w:marBottom w:val="0"/>
                  <w:divBdr>
                    <w:top w:val="none" w:sz="0" w:space="0" w:color="auto"/>
                    <w:left w:val="none" w:sz="0" w:space="0" w:color="auto"/>
                    <w:bottom w:val="none" w:sz="0" w:space="0" w:color="auto"/>
                    <w:right w:val="none" w:sz="0" w:space="0" w:color="auto"/>
                  </w:divBdr>
                  <w:divsChild>
                    <w:div w:id="347828551">
                      <w:marLeft w:val="0"/>
                      <w:marRight w:val="300"/>
                      <w:marTop w:val="0"/>
                      <w:marBottom w:val="0"/>
                      <w:divBdr>
                        <w:top w:val="none" w:sz="0" w:space="0" w:color="auto"/>
                        <w:left w:val="none" w:sz="0" w:space="0" w:color="auto"/>
                        <w:bottom w:val="none" w:sz="0" w:space="0" w:color="auto"/>
                        <w:right w:val="none" w:sz="0" w:space="0" w:color="auto"/>
                      </w:divBdr>
                      <w:divsChild>
                        <w:div w:id="1479808646">
                          <w:marLeft w:val="0"/>
                          <w:marRight w:val="300"/>
                          <w:marTop w:val="0"/>
                          <w:marBottom w:val="0"/>
                          <w:divBdr>
                            <w:top w:val="none" w:sz="0" w:space="0" w:color="auto"/>
                            <w:left w:val="none" w:sz="0" w:space="0" w:color="auto"/>
                            <w:bottom w:val="none" w:sz="0" w:space="0" w:color="auto"/>
                            <w:right w:val="none" w:sz="0" w:space="0" w:color="auto"/>
                          </w:divBdr>
                          <w:divsChild>
                            <w:div w:id="1819224686">
                              <w:marLeft w:val="0"/>
                              <w:marRight w:val="0"/>
                              <w:marTop w:val="0"/>
                              <w:marBottom w:val="0"/>
                              <w:divBdr>
                                <w:top w:val="none" w:sz="0" w:space="0" w:color="auto"/>
                                <w:left w:val="none" w:sz="0" w:space="0" w:color="auto"/>
                                <w:bottom w:val="none" w:sz="0" w:space="0" w:color="auto"/>
                                <w:right w:val="none" w:sz="0" w:space="0" w:color="auto"/>
                              </w:divBdr>
                              <w:divsChild>
                                <w:div w:id="14822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063628">
      <w:bodyDiv w:val="1"/>
      <w:marLeft w:val="0"/>
      <w:marRight w:val="0"/>
      <w:marTop w:val="0"/>
      <w:marBottom w:val="0"/>
      <w:divBdr>
        <w:top w:val="none" w:sz="0" w:space="0" w:color="auto"/>
        <w:left w:val="none" w:sz="0" w:space="0" w:color="auto"/>
        <w:bottom w:val="none" w:sz="0" w:space="0" w:color="auto"/>
        <w:right w:val="none" w:sz="0" w:space="0" w:color="auto"/>
      </w:divBdr>
      <w:divsChild>
        <w:div w:id="1966765927">
          <w:marLeft w:val="0"/>
          <w:marRight w:val="0"/>
          <w:marTop w:val="0"/>
          <w:marBottom w:val="0"/>
          <w:divBdr>
            <w:top w:val="none" w:sz="0" w:space="0" w:color="auto"/>
            <w:left w:val="none" w:sz="0" w:space="0" w:color="auto"/>
            <w:bottom w:val="none" w:sz="0" w:space="0" w:color="auto"/>
            <w:right w:val="none" w:sz="0" w:space="0" w:color="auto"/>
          </w:divBdr>
        </w:div>
      </w:divsChild>
    </w:div>
    <w:div w:id="1639796040">
      <w:bodyDiv w:val="1"/>
      <w:marLeft w:val="0"/>
      <w:marRight w:val="0"/>
      <w:marTop w:val="0"/>
      <w:marBottom w:val="0"/>
      <w:divBdr>
        <w:top w:val="none" w:sz="0" w:space="0" w:color="auto"/>
        <w:left w:val="none" w:sz="0" w:space="0" w:color="auto"/>
        <w:bottom w:val="none" w:sz="0" w:space="0" w:color="auto"/>
        <w:right w:val="none" w:sz="0" w:space="0" w:color="auto"/>
      </w:divBdr>
      <w:divsChild>
        <w:div w:id="834759617">
          <w:marLeft w:val="0"/>
          <w:marRight w:val="0"/>
          <w:marTop w:val="0"/>
          <w:marBottom w:val="0"/>
          <w:divBdr>
            <w:top w:val="none" w:sz="0" w:space="0" w:color="auto"/>
            <w:left w:val="none" w:sz="0" w:space="0" w:color="auto"/>
            <w:bottom w:val="none" w:sz="0" w:space="0" w:color="auto"/>
            <w:right w:val="none" w:sz="0" w:space="0" w:color="auto"/>
          </w:divBdr>
        </w:div>
      </w:divsChild>
    </w:div>
    <w:div w:id="1692607992">
      <w:bodyDiv w:val="1"/>
      <w:marLeft w:val="0"/>
      <w:marRight w:val="0"/>
      <w:marTop w:val="0"/>
      <w:marBottom w:val="0"/>
      <w:divBdr>
        <w:top w:val="none" w:sz="0" w:space="0" w:color="auto"/>
        <w:left w:val="none" w:sz="0" w:space="0" w:color="auto"/>
        <w:bottom w:val="none" w:sz="0" w:space="0" w:color="auto"/>
        <w:right w:val="none" w:sz="0" w:space="0" w:color="auto"/>
      </w:divBdr>
      <w:divsChild>
        <w:div w:id="174535209">
          <w:marLeft w:val="0"/>
          <w:marRight w:val="0"/>
          <w:marTop w:val="0"/>
          <w:marBottom w:val="0"/>
          <w:divBdr>
            <w:top w:val="none" w:sz="0" w:space="0" w:color="auto"/>
            <w:left w:val="none" w:sz="0" w:space="0" w:color="auto"/>
            <w:bottom w:val="none" w:sz="0" w:space="0" w:color="auto"/>
            <w:right w:val="none" w:sz="0" w:space="0" w:color="auto"/>
          </w:divBdr>
        </w:div>
      </w:divsChild>
    </w:div>
    <w:div w:id="1704743766">
      <w:bodyDiv w:val="1"/>
      <w:marLeft w:val="0"/>
      <w:marRight w:val="0"/>
      <w:marTop w:val="0"/>
      <w:marBottom w:val="0"/>
      <w:divBdr>
        <w:top w:val="none" w:sz="0" w:space="0" w:color="auto"/>
        <w:left w:val="none" w:sz="0" w:space="0" w:color="auto"/>
        <w:bottom w:val="none" w:sz="0" w:space="0" w:color="auto"/>
        <w:right w:val="none" w:sz="0" w:space="0" w:color="auto"/>
      </w:divBdr>
      <w:divsChild>
        <w:div w:id="146746213">
          <w:marLeft w:val="0"/>
          <w:marRight w:val="0"/>
          <w:marTop w:val="0"/>
          <w:marBottom w:val="0"/>
          <w:divBdr>
            <w:top w:val="none" w:sz="0" w:space="0" w:color="auto"/>
            <w:left w:val="none" w:sz="0" w:space="0" w:color="auto"/>
            <w:bottom w:val="none" w:sz="0" w:space="0" w:color="auto"/>
            <w:right w:val="none" w:sz="0" w:space="0" w:color="auto"/>
          </w:divBdr>
        </w:div>
      </w:divsChild>
    </w:div>
    <w:div w:id="1729454492">
      <w:bodyDiv w:val="1"/>
      <w:marLeft w:val="0"/>
      <w:marRight w:val="0"/>
      <w:marTop w:val="0"/>
      <w:marBottom w:val="0"/>
      <w:divBdr>
        <w:top w:val="none" w:sz="0" w:space="0" w:color="auto"/>
        <w:left w:val="none" w:sz="0" w:space="0" w:color="auto"/>
        <w:bottom w:val="none" w:sz="0" w:space="0" w:color="auto"/>
        <w:right w:val="none" w:sz="0" w:space="0" w:color="auto"/>
      </w:divBdr>
      <w:divsChild>
        <w:div w:id="1228615396">
          <w:marLeft w:val="0"/>
          <w:marRight w:val="0"/>
          <w:marTop w:val="0"/>
          <w:marBottom w:val="0"/>
          <w:divBdr>
            <w:top w:val="none" w:sz="0" w:space="0" w:color="auto"/>
            <w:left w:val="none" w:sz="0" w:space="0" w:color="auto"/>
            <w:bottom w:val="none" w:sz="0" w:space="0" w:color="auto"/>
            <w:right w:val="none" w:sz="0" w:space="0" w:color="auto"/>
          </w:divBdr>
        </w:div>
      </w:divsChild>
    </w:div>
    <w:div w:id="1754205815">
      <w:bodyDiv w:val="1"/>
      <w:marLeft w:val="0"/>
      <w:marRight w:val="0"/>
      <w:marTop w:val="0"/>
      <w:marBottom w:val="0"/>
      <w:divBdr>
        <w:top w:val="none" w:sz="0" w:space="0" w:color="auto"/>
        <w:left w:val="none" w:sz="0" w:space="0" w:color="auto"/>
        <w:bottom w:val="none" w:sz="0" w:space="0" w:color="auto"/>
        <w:right w:val="none" w:sz="0" w:space="0" w:color="auto"/>
      </w:divBdr>
      <w:divsChild>
        <w:div w:id="327369905">
          <w:marLeft w:val="0"/>
          <w:marRight w:val="0"/>
          <w:marTop w:val="0"/>
          <w:marBottom w:val="0"/>
          <w:divBdr>
            <w:top w:val="none" w:sz="0" w:space="0" w:color="auto"/>
            <w:left w:val="none" w:sz="0" w:space="0" w:color="auto"/>
            <w:bottom w:val="none" w:sz="0" w:space="0" w:color="auto"/>
            <w:right w:val="none" w:sz="0" w:space="0" w:color="auto"/>
          </w:divBdr>
        </w:div>
      </w:divsChild>
    </w:div>
    <w:div w:id="1764448606">
      <w:bodyDiv w:val="1"/>
      <w:marLeft w:val="0"/>
      <w:marRight w:val="0"/>
      <w:marTop w:val="0"/>
      <w:marBottom w:val="0"/>
      <w:divBdr>
        <w:top w:val="none" w:sz="0" w:space="0" w:color="auto"/>
        <w:left w:val="none" w:sz="0" w:space="0" w:color="auto"/>
        <w:bottom w:val="none" w:sz="0" w:space="0" w:color="auto"/>
        <w:right w:val="none" w:sz="0" w:space="0" w:color="auto"/>
      </w:divBdr>
      <w:divsChild>
        <w:div w:id="1449396297">
          <w:marLeft w:val="0"/>
          <w:marRight w:val="0"/>
          <w:marTop w:val="0"/>
          <w:marBottom w:val="0"/>
          <w:divBdr>
            <w:top w:val="none" w:sz="0" w:space="0" w:color="auto"/>
            <w:left w:val="none" w:sz="0" w:space="0" w:color="auto"/>
            <w:bottom w:val="none" w:sz="0" w:space="0" w:color="auto"/>
            <w:right w:val="none" w:sz="0" w:space="0" w:color="auto"/>
          </w:divBdr>
        </w:div>
      </w:divsChild>
    </w:div>
    <w:div w:id="1842577206">
      <w:bodyDiv w:val="1"/>
      <w:marLeft w:val="0"/>
      <w:marRight w:val="0"/>
      <w:marTop w:val="0"/>
      <w:marBottom w:val="0"/>
      <w:divBdr>
        <w:top w:val="none" w:sz="0" w:space="0" w:color="auto"/>
        <w:left w:val="none" w:sz="0" w:space="0" w:color="auto"/>
        <w:bottom w:val="none" w:sz="0" w:space="0" w:color="auto"/>
        <w:right w:val="none" w:sz="0" w:space="0" w:color="auto"/>
      </w:divBdr>
      <w:divsChild>
        <w:div w:id="504562578">
          <w:marLeft w:val="0"/>
          <w:marRight w:val="0"/>
          <w:marTop w:val="0"/>
          <w:marBottom w:val="0"/>
          <w:divBdr>
            <w:top w:val="none" w:sz="0" w:space="0" w:color="auto"/>
            <w:left w:val="none" w:sz="0" w:space="0" w:color="auto"/>
            <w:bottom w:val="none" w:sz="0" w:space="0" w:color="auto"/>
            <w:right w:val="none" w:sz="0" w:space="0" w:color="auto"/>
          </w:divBdr>
        </w:div>
      </w:divsChild>
    </w:div>
    <w:div w:id="1901358241">
      <w:bodyDiv w:val="1"/>
      <w:marLeft w:val="0"/>
      <w:marRight w:val="0"/>
      <w:marTop w:val="0"/>
      <w:marBottom w:val="0"/>
      <w:divBdr>
        <w:top w:val="none" w:sz="0" w:space="0" w:color="auto"/>
        <w:left w:val="none" w:sz="0" w:space="0" w:color="auto"/>
        <w:bottom w:val="none" w:sz="0" w:space="0" w:color="auto"/>
        <w:right w:val="none" w:sz="0" w:space="0" w:color="auto"/>
      </w:divBdr>
      <w:divsChild>
        <w:div w:id="475220083">
          <w:marLeft w:val="0"/>
          <w:marRight w:val="0"/>
          <w:marTop w:val="0"/>
          <w:marBottom w:val="0"/>
          <w:divBdr>
            <w:top w:val="none" w:sz="0" w:space="0" w:color="auto"/>
            <w:left w:val="none" w:sz="0" w:space="0" w:color="auto"/>
            <w:bottom w:val="none" w:sz="0" w:space="0" w:color="auto"/>
            <w:right w:val="none" w:sz="0" w:space="0" w:color="auto"/>
          </w:divBdr>
        </w:div>
      </w:divsChild>
    </w:div>
    <w:div w:id="1947273328">
      <w:bodyDiv w:val="1"/>
      <w:marLeft w:val="0"/>
      <w:marRight w:val="0"/>
      <w:marTop w:val="0"/>
      <w:marBottom w:val="0"/>
      <w:divBdr>
        <w:top w:val="none" w:sz="0" w:space="0" w:color="auto"/>
        <w:left w:val="none" w:sz="0" w:space="0" w:color="auto"/>
        <w:bottom w:val="none" w:sz="0" w:space="0" w:color="auto"/>
        <w:right w:val="none" w:sz="0" w:space="0" w:color="auto"/>
      </w:divBdr>
      <w:divsChild>
        <w:div w:id="1686326480">
          <w:marLeft w:val="0"/>
          <w:marRight w:val="0"/>
          <w:marTop w:val="0"/>
          <w:marBottom w:val="0"/>
          <w:divBdr>
            <w:top w:val="none" w:sz="0" w:space="0" w:color="auto"/>
            <w:left w:val="none" w:sz="0" w:space="0" w:color="auto"/>
            <w:bottom w:val="none" w:sz="0" w:space="0" w:color="auto"/>
            <w:right w:val="none" w:sz="0" w:space="0" w:color="auto"/>
          </w:divBdr>
        </w:div>
      </w:divsChild>
    </w:div>
    <w:div w:id="2019234452">
      <w:bodyDiv w:val="1"/>
      <w:marLeft w:val="0"/>
      <w:marRight w:val="0"/>
      <w:marTop w:val="0"/>
      <w:marBottom w:val="0"/>
      <w:divBdr>
        <w:top w:val="none" w:sz="0" w:space="0" w:color="auto"/>
        <w:left w:val="none" w:sz="0" w:space="0" w:color="auto"/>
        <w:bottom w:val="none" w:sz="0" w:space="0" w:color="auto"/>
        <w:right w:val="none" w:sz="0" w:space="0" w:color="auto"/>
      </w:divBdr>
      <w:divsChild>
        <w:div w:id="1137793887">
          <w:marLeft w:val="0"/>
          <w:marRight w:val="0"/>
          <w:marTop w:val="0"/>
          <w:marBottom w:val="0"/>
          <w:divBdr>
            <w:top w:val="none" w:sz="0" w:space="0" w:color="auto"/>
            <w:left w:val="none" w:sz="0" w:space="0" w:color="auto"/>
            <w:bottom w:val="none" w:sz="0" w:space="0" w:color="auto"/>
            <w:right w:val="none" w:sz="0" w:space="0" w:color="auto"/>
          </w:divBdr>
        </w:div>
      </w:divsChild>
    </w:div>
    <w:div w:id="2090761342">
      <w:bodyDiv w:val="1"/>
      <w:marLeft w:val="0"/>
      <w:marRight w:val="0"/>
      <w:marTop w:val="0"/>
      <w:marBottom w:val="0"/>
      <w:divBdr>
        <w:top w:val="none" w:sz="0" w:space="0" w:color="auto"/>
        <w:left w:val="none" w:sz="0" w:space="0" w:color="auto"/>
        <w:bottom w:val="none" w:sz="0" w:space="0" w:color="auto"/>
        <w:right w:val="none" w:sz="0" w:space="0" w:color="auto"/>
      </w:divBdr>
      <w:divsChild>
        <w:div w:id="18350265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B6DB-AC5B-4289-95FF-D10EFBC1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2978</Words>
  <Characters>15984</Characters>
  <Application>Microsoft Office Word</Application>
  <DocSecurity>0</DocSecurity>
  <Lines>360</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2022-01-28T19:36:00Z</cp:lastPrinted>
  <dcterms:created xsi:type="dcterms:W3CDTF">2022-05-13T18:11:00Z</dcterms:created>
  <dcterms:modified xsi:type="dcterms:W3CDTF">2022-05-13T18:11:00Z</dcterms:modified>
  <cp:category/>
</cp:coreProperties>
</file>