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B0322" w14:textId="25637C0F" w:rsidR="00E25F0E" w:rsidRDefault="002206B9" w:rsidP="00E55FFE">
      <w:pPr>
        <w:spacing w:line="240" w:lineRule="atLeast"/>
        <w:jc w:val="center"/>
        <w:rPr>
          <w:sz w:val="20"/>
        </w:rPr>
      </w:pPr>
      <w:bookmarkStart w:id="0" w:name="_Hlk65323803"/>
      <w:r w:rsidRPr="00587BA2">
        <w:rPr>
          <w:sz w:val="20"/>
        </w:rPr>
        <w:t>Filed 7/27/21</w:t>
      </w:r>
      <w:r w:rsidR="00487D36">
        <w:rPr>
          <w:sz w:val="20"/>
        </w:rPr>
        <w:t xml:space="preserve"> (mod.);</w:t>
      </w:r>
      <w:r>
        <w:rPr>
          <w:sz w:val="20"/>
        </w:rPr>
        <w:t xml:space="preserve"> </w:t>
      </w:r>
      <w:r w:rsidR="00487D36" w:rsidRPr="00487D36">
        <w:rPr>
          <w:sz w:val="20"/>
        </w:rPr>
        <w:t>Certified for Publication 7/</w:t>
      </w:r>
      <w:r w:rsidR="00487D36">
        <w:rPr>
          <w:sz w:val="20"/>
        </w:rPr>
        <w:t>30</w:t>
      </w:r>
      <w:r w:rsidR="00487D36" w:rsidRPr="00487D36">
        <w:rPr>
          <w:sz w:val="20"/>
        </w:rPr>
        <w:t>/21 (order attached</w:t>
      </w:r>
      <w:r w:rsidR="00487D36">
        <w:rPr>
          <w:sz w:val="20"/>
        </w:rPr>
        <w:t xml:space="preserve"> following unmodified opinion</w:t>
      </w:r>
      <w:r w:rsidR="00487D36" w:rsidRPr="00487D36">
        <w:rPr>
          <w:sz w:val="20"/>
        </w:rPr>
        <w:t>)</w:t>
      </w:r>
      <w:bookmarkStart w:id="1" w:name="_Hlk87882676"/>
      <w:r w:rsidR="00E55FFE" w:rsidRPr="00E55FFE">
        <w:rPr>
          <w:sz w:val="20"/>
        </w:rPr>
        <w:t xml:space="preserve"> </w:t>
      </w:r>
      <w:r w:rsidR="00E55FFE" w:rsidRPr="003C1C96">
        <w:rPr>
          <w:sz w:val="20"/>
        </w:rPr>
        <w:t>; REVIEW GRANTED.  See Cal. Rules of Court, rules 8.1105 and 8.1115 (and corresponding Comment, par. 2, concerning rule 8.1115(e)(3)).</w:t>
      </w:r>
      <w:bookmarkEnd w:id="1"/>
    </w:p>
    <w:p w14:paraId="26F46ED4" w14:textId="77777777" w:rsidR="00E55FFE" w:rsidRDefault="00E55FFE" w:rsidP="00E55FFE">
      <w:pPr>
        <w:spacing w:line="240" w:lineRule="atLeast"/>
        <w:rPr>
          <w:u w:val="words"/>
        </w:rPr>
      </w:pPr>
    </w:p>
    <w:p w14:paraId="0253E887" w14:textId="1D8C4554" w:rsidR="00E25F0E" w:rsidRDefault="00E25F0E" w:rsidP="00E25F0E">
      <w:pPr>
        <w:spacing w:line="240" w:lineRule="atLeast"/>
        <w:jc w:val="center"/>
        <w:rPr>
          <w:u w:val="words"/>
        </w:rPr>
      </w:pPr>
    </w:p>
    <w:p w14:paraId="294C78E4" w14:textId="77777777" w:rsidR="00E55FFE" w:rsidRDefault="00E55FFE" w:rsidP="00E25F0E">
      <w:pPr>
        <w:spacing w:line="240" w:lineRule="atLeast"/>
        <w:jc w:val="center"/>
        <w:rPr>
          <w:u w:val="words"/>
        </w:rPr>
      </w:pPr>
    </w:p>
    <w:p w14:paraId="353B9905" w14:textId="56F203E5" w:rsidR="00E25F0E" w:rsidRDefault="002206B9" w:rsidP="00E25F0E">
      <w:pPr>
        <w:jc w:val="center"/>
      </w:pPr>
      <w:r>
        <w:t>I</w:t>
      </w:r>
      <w:r>
        <w:t>N THE COURT OF APPEAL OF THE STATE OF CALIFORNIA</w:t>
      </w:r>
    </w:p>
    <w:p w14:paraId="4A6A3027" w14:textId="77777777" w:rsidR="00E25F0E" w:rsidRDefault="002206B9" w:rsidP="00E25F0E">
      <w:pPr>
        <w:jc w:val="center"/>
      </w:pPr>
      <w:r>
        <w:t>THIRD APPELLATE DISTRICT</w:t>
      </w:r>
    </w:p>
    <w:p w14:paraId="66C6321D" w14:textId="77777777" w:rsidR="00E25F0E" w:rsidRDefault="002206B9" w:rsidP="00E25F0E">
      <w:pPr>
        <w:jc w:val="center"/>
      </w:pPr>
      <w:r>
        <w:t>(S</w:t>
      </w:r>
      <w:r>
        <w:t>acramento)</w:t>
      </w:r>
    </w:p>
    <w:p w14:paraId="5C7D7C98" w14:textId="77777777" w:rsidR="00E25F0E" w:rsidRDefault="002206B9" w:rsidP="00E25F0E">
      <w:pPr>
        <w:jc w:val="center"/>
      </w:pPr>
      <w:r>
        <w:t>----</w:t>
      </w:r>
    </w:p>
    <w:p w14:paraId="5521A8F0" w14:textId="77777777" w:rsidR="00E25F0E" w:rsidRDefault="00E25F0E" w:rsidP="00E25F0E">
      <w:pPr>
        <w:jc w:val="center"/>
      </w:pPr>
    </w:p>
    <w:p w14:paraId="075AD13D" w14:textId="77777777" w:rsidR="00E25F0E" w:rsidRDefault="00E25F0E" w:rsidP="00E25F0E">
      <w:pPr>
        <w:spacing w:line="240" w:lineRule="atLeast"/>
      </w:pPr>
    </w:p>
    <w:p w14:paraId="4219C0AA" w14:textId="77777777" w:rsidR="00E25F0E" w:rsidRDefault="00E25F0E" w:rsidP="00E25F0E">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4B6533" w14:paraId="134D94FD" w14:textId="77777777" w:rsidTr="006F37ED">
        <w:tc>
          <w:tcPr>
            <w:tcW w:w="5904" w:type="dxa"/>
            <w:shd w:val="clear" w:color="auto" w:fill="auto"/>
          </w:tcPr>
          <w:p w14:paraId="710119BD" w14:textId="77777777" w:rsidR="00E25F0E" w:rsidRDefault="002206B9" w:rsidP="006F37ED">
            <w:pPr>
              <w:spacing w:line="240" w:lineRule="atLeast"/>
            </w:pPr>
            <w:r>
              <w:t>FAMILY HEALTH CENTERS OF SAN DIEGO,</w:t>
            </w:r>
          </w:p>
          <w:p w14:paraId="52455BA6" w14:textId="77777777" w:rsidR="00E25F0E" w:rsidRDefault="00E25F0E" w:rsidP="006F37ED">
            <w:pPr>
              <w:spacing w:line="240" w:lineRule="atLeast"/>
            </w:pPr>
          </w:p>
          <w:p w14:paraId="49D9D009" w14:textId="77777777" w:rsidR="00E25F0E" w:rsidRDefault="002206B9" w:rsidP="006F37ED">
            <w:pPr>
              <w:spacing w:line="240" w:lineRule="atLeast"/>
            </w:pPr>
            <w:r>
              <w:tab/>
            </w:r>
            <w:r>
              <w:tab/>
              <w:t>Plaintiff and Appellant,</w:t>
            </w:r>
          </w:p>
          <w:p w14:paraId="440ED637" w14:textId="77777777" w:rsidR="00E25F0E" w:rsidRDefault="00E25F0E" w:rsidP="006F37ED">
            <w:pPr>
              <w:spacing w:line="240" w:lineRule="atLeast"/>
            </w:pPr>
          </w:p>
          <w:p w14:paraId="083CD9DF" w14:textId="77777777" w:rsidR="00E25F0E" w:rsidRDefault="002206B9" w:rsidP="006F37ED">
            <w:pPr>
              <w:spacing w:line="240" w:lineRule="atLeast"/>
            </w:pPr>
            <w:r>
              <w:tab/>
              <w:t>v.</w:t>
            </w:r>
          </w:p>
          <w:p w14:paraId="217EE3FB" w14:textId="77777777" w:rsidR="00E25F0E" w:rsidRDefault="00E25F0E" w:rsidP="006F37ED">
            <w:pPr>
              <w:spacing w:line="240" w:lineRule="atLeast"/>
            </w:pPr>
          </w:p>
          <w:p w14:paraId="1BFCCEDB" w14:textId="77777777" w:rsidR="00E25F0E" w:rsidRDefault="002206B9" w:rsidP="006F37ED">
            <w:pPr>
              <w:spacing w:line="240" w:lineRule="atLeast"/>
            </w:pPr>
            <w:r>
              <w:t>STATE DEPARTMENT OF HEALTH CARE SERVICES,</w:t>
            </w:r>
          </w:p>
          <w:p w14:paraId="4C9863A7" w14:textId="77777777" w:rsidR="00E25F0E" w:rsidRDefault="00E25F0E" w:rsidP="006F37ED">
            <w:pPr>
              <w:spacing w:line="240" w:lineRule="atLeast"/>
            </w:pPr>
          </w:p>
          <w:p w14:paraId="0D33CB13" w14:textId="77777777" w:rsidR="00E25F0E" w:rsidRDefault="002206B9" w:rsidP="006F37ED">
            <w:pPr>
              <w:spacing w:line="240" w:lineRule="atLeast"/>
            </w:pPr>
            <w:r>
              <w:tab/>
            </w:r>
            <w:r>
              <w:tab/>
              <w:t>Defendant and Respondent.</w:t>
            </w:r>
          </w:p>
          <w:p w14:paraId="17023D5F" w14:textId="77777777" w:rsidR="00E25F0E" w:rsidRDefault="00E25F0E" w:rsidP="006F37ED">
            <w:pPr>
              <w:spacing w:line="240" w:lineRule="atLeast"/>
            </w:pPr>
          </w:p>
        </w:tc>
        <w:tc>
          <w:tcPr>
            <w:tcW w:w="3456" w:type="dxa"/>
            <w:shd w:val="clear" w:color="auto" w:fill="auto"/>
          </w:tcPr>
          <w:p w14:paraId="4BF91218" w14:textId="77777777" w:rsidR="00E25F0E" w:rsidRDefault="002206B9" w:rsidP="006F37ED">
            <w:pPr>
              <w:spacing w:line="240" w:lineRule="atLeast"/>
              <w:jc w:val="center"/>
            </w:pPr>
            <w:r>
              <w:t>C089555</w:t>
            </w:r>
          </w:p>
          <w:p w14:paraId="2D37FF7B" w14:textId="77777777" w:rsidR="00E25F0E" w:rsidRDefault="00E25F0E" w:rsidP="006F37ED">
            <w:pPr>
              <w:spacing w:line="240" w:lineRule="atLeast"/>
              <w:jc w:val="center"/>
            </w:pPr>
          </w:p>
          <w:p w14:paraId="5850E694" w14:textId="77777777" w:rsidR="00E25F0E" w:rsidRDefault="002206B9" w:rsidP="006F37ED">
            <w:pPr>
              <w:spacing w:line="240" w:lineRule="atLeast"/>
              <w:jc w:val="center"/>
            </w:pPr>
            <w:r>
              <w:t xml:space="preserve">(Super. Ct. No. </w:t>
            </w:r>
          </w:p>
          <w:p w14:paraId="32AA8DE3" w14:textId="77777777" w:rsidR="00E25F0E" w:rsidRDefault="002206B9" w:rsidP="006F37ED">
            <w:pPr>
              <w:spacing w:line="240" w:lineRule="atLeast"/>
              <w:jc w:val="center"/>
            </w:pPr>
            <w:r>
              <w:t>34-2018-80002953-CU-WM-GDS)</w:t>
            </w:r>
          </w:p>
          <w:p w14:paraId="54121A4D" w14:textId="77777777" w:rsidR="00E25F0E" w:rsidRDefault="00E25F0E" w:rsidP="006F37ED">
            <w:pPr>
              <w:spacing w:line="240" w:lineRule="atLeast"/>
              <w:jc w:val="center"/>
            </w:pPr>
          </w:p>
          <w:p w14:paraId="5587D7D5" w14:textId="77777777" w:rsidR="00E25F0E" w:rsidRDefault="002206B9" w:rsidP="006F37ED">
            <w:pPr>
              <w:spacing w:line="240" w:lineRule="atLeast"/>
              <w:jc w:val="center"/>
            </w:pPr>
            <w:r>
              <w:t>ORDER MODIFYING</w:t>
            </w:r>
          </w:p>
          <w:p w14:paraId="576FFABE" w14:textId="77777777" w:rsidR="00E25F0E" w:rsidRDefault="002206B9" w:rsidP="006F37ED">
            <w:pPr>
              <w:spacing w:line="240" w:lineRule="atLeast"/>
              <w:jc w:val="center"/>
            </w:pPr>
            <w:r>
              <w:t>OPINION AND</w:t>
            </w:r>
          </w:p>
          <w:p w14:paraId="7DF3283B" w14:textId="77777777" w:rsidR="00E25F0E" w:rsidRDefault="002206B9" w:rsidP="006F37ED">
            <w:pPr>
              <w:spacing w:line="240" w:lineRule="atLeast"/>
              <w:jc w:val="center"/>
            </w:pPr>
            <w:r>
              <w:t>DENYING REHEARING</w:t>
            </w:r>
          </w:p>
          <w:p w14:paraId="745B5E22" w14:textId="77777777" w:rsidR="00E25F0E" w:rsidRDefault="002206B9" w:rsidP="006F37ED">
            <w:pPr>
              <w:spacing w:line="240" w:lineRule="atLeast"/>
              <w:jc w:val="center"/>
            </w:pPr>
            <w:r>
              <w:t>[NO CHANGE IN JUDGMENT]</w:t>
            </w:r>
          </w:p>
          <w:p w14:paraId="7037448C" w14:textId="77777777" w:rsidR="00E25F0E" w:rsidRDefault="00E25F0E" w:rsidP="006F37ED">
            <w:pPr>
              <w:spacing w:line="240" w:lineRule="atLeast"/>
              <w:jc w:val="center"/>
            </w:pPr>
          </w:p>
        </w:tc>
      </w:tr>
    </w:tbl>
    <w:p w14:paraId="22597791" w14:textId="77777777" w:rsidR="00E25F0E" w:rsidRDefault="00E25F0E" w:rsidP="00E25F0E">
      <w:pPr>
        <w:spacing w:line="240" w:lineRule="atLeast"/>
      </w:pPr>
    </w:p>
    <w:p w14:paraId="5D4CBE5B" w14:textId="77777777" w:rsidR="00E25F0E" w:rsidRDefault="00E25F0E" w:rsidP="00E25F0E">
      <w:pPr>
        <w:spacing w:line="240" w:lineRule="atLeast"/>
      </w:pPr>
    </w:p>
    <w:p w14:paraId="642F8A3D" w14:textId="77777777" w:rsidR="00E25F0E" w:rsidRDefault="002206B9" w:rsidP="00E25F0E">
      <w:pPr>
        <w:spacing w:line="240" w:lineRule="atLeast"/>
      </w:pPr>
      <w:r>
        <w:t>THE COURT:</w:t>
      </w:r>
    </w:p>
    <w:p w14:paraId="0ED7368E" w14:textId="77777777" w:rsidR="00E25F0E" w:rsidRDefault="00E25F0E" w:rsidP="00E25F0E">
      <w:pPr>
        <w:spacing w:line="240" w:lineRule="atLeast"/>
      </w:pPr>
    </w:p>
    <w:p w14:paraId="7154AABE" w14:textId="77777777" w:rsidR="00E25F0E" w:rsidRPr="00E00915" w:rsidRDefault="00E25F0E" w:rsidP="00E25F0E">
      <w:pPr>
        <w:spacing w:line="240" w:lineRule="atLeast"/>
      </w:pPr>
    </w:p>
    <w:p w14:paraId="58272DF6" w14:textId="77777777" w:rsidR="00E25F0E" w:rsidRDefault="002206B9" w:rsidP="00E25F0E">
      <w:r>
        <w:tab/>
        <w:t>It is ordered that the opinion filed on July 6, 2021, be modified as follows:</w:t>
      </w:r>
    </w:p>
    <w:p w14:paraId="721B28C8" w14:textId="77777777" w:rsidR="00E25F0E" w:rsidRDefault="00E25F0E" w:rsidP="00E25F0E"/>
    <w:p w14:paraId="16F86882" w14:textId="77777777" w:rsidR="00E25F0E" w:rsidRDefault="002206B9" w:rsidP="00E25F0E">
      <w:r>
        <w:tab/>
        <w:t>1.</w:t>
      </w:r>
      <w:r>
        <w:tab/>
        <w:t xml:space="preserve">In the last partial paragraph starting at the bottom page 13 that begins with “We agree with the ALJ,” </w:t>
      </w:r>
      <w:r>
        <w:t>delete the second sentence that begins with “Plaintiff’s outreach efforts” and replace it with the following sentence:</w:t>
      </w:r>
    </w:p>
    <w:p w14:paraId="52CE13C6" w14:textId="77777777" w:rsidR="00E25F0E" w:rsidRDefault="002206B9" w:rsidP="00E25F0E">
      <w:pPr>
        <w:ind w:left="720" w:right="720"/>
        <w:jc w:val="both"/>
        <w:rPr>
          <w:bCs/>
        </w:rPr>
      </w:pPr>
      <w:r>
        <w:rPr>
          <w:bCs/>
        </w:rPr>
        <w:lastRenderedPageBreak/>
        <w:t>Plaintiff’s outreach efforts involve going into public spaces such as on the street, at schools, business venues, beaches, and parks to a</w:t>
      </w:r>
      <w:r>
        <w:rPr>
          <w:bCs/>
        </w:rPr>
        <w:t xml:space="preserve">ttract new patients from its audiences within the general public, provide counseling regarding eligibility for services, and make medical appointments for services.  </w:t>
      </w:r>
    </w:p>
    <w:p w14:paraId="46D976E2" w14:textId="77777777" w:rsidR="00E25F0E" w:rsidRDefault="00E25F0E" w:rsidP="00E25F0E"/>
    <w:p w14:paraId="1FB2A1C8" w14:textId="77777777" w:rsidR="00E25F0E" w:rsidRDefault="002206B9" w:rsidP="00E25F0E">
      <w:r>
        <w:tab/>
        <w:t>2.</w:t>
      </w:r>
      <w:r>
        <w:tab/>
        <w:t xml:space="preserve">Delete the first sentence in the first full paragraph on page 14 that begins </w:t>
      </w:r>
      <w:r>
        <w:t>with “The regulations exclude costs” and replace it with the following sentence:</w:t>
      </w:r>
    </w:p>
    <w:p w14:paraId="22F53BCB" w14:textId="77777777" w:rsidR="00E25F0E" w:rsidRDefault="00E25F0E" w:rsidP="00E25F0E"/>
    <w:p w14:paraId="35038ED2" w14:textId="77777777" w:rsidR="00E25F0E" w:rsidRDefault="002206B9" w:rsidP="00E25F0E">
      <w:pPr>
        <w:ind w:left="720" w:right="720"/>
        <w:jc w:val="both"/>
        <w:rPr>
          <w:bCs/>
        </w:rPr>
      </w:pPr>
      <w:r>
        <w:rPr>
          <w:bCs/>
        </w:rPr>
        <w:t>The regulations exclude costs that the program defines as not allowable, and the PRM makes clear that “[c]osts of advertising to the general public which seeks to increase pa</w:t>
      </w:r>
      <w:r>
        <w:rPr>
          <w:bCs/>
        </w:rPr>
        <w:t xml:space="preserve">tient utilization of the provider’s facilities are not allowable.”  </w:t>
      </w:r>
    </w:p>
    <w:p w14:paraId="648AF158" w14:textId="77777777" w:rsidR="00E25F0E" w:rsidRDefault="00E25F0E" w:rsidP="00E25F0E">
      <w:pPr>
        <w:rPr>
          <w:bCs/>
        </w:rPr>
      </w:pPr>
    </w:p>
    <w:p w14:paraId="41599BC1" w14:textId="77777777" w:rsidR="00E25F0E" w:rsidRDefault="002206B9" w:rsidP="00E25F0E">
      <w:pPr>
        <w:rPr>
          <w:bCs/>
        </w:rPr>
      </w:pPr>
      <w:r>
        <w:rPr>
          <w:bCs/>
        </w:rPr>
        <w:tab/>
        <w:t>3.</w:t>
      </w:r>
      <w:r>
        <w:rPr>
          <w:bCs/>
        </w:rPr>
        <w:tab/>
        <w:t xml:space="preserve">In the first full paragraph on page 14 that begins with “The regulations exclude costs,” delete the sentence in the fourth line that begins with “The evidence showed” and replace it </w:t>
      </w:r>
      <w:r>
        <w:rPr>
          <w:bCs/>
        </w:rPr>
        <w:t>with the following sentence:</w:t>
      </w:r>
    </w:p>
    <w:p w14:paraId="25B90C56" w14:textId="77777777" w:rsidR="00E25F0E" w:rsidRDefault="00E25F0E" w:rsidP="00E25F0E"/>
    <w:p w14:paraId="471B152F" w14:textId="77777777" w:rsidR="00E25F0E" w:rsidRDefault="002206B9" w:rsidP="00E25F0E">
      <w:pPr>
        <w:ind w:left="720" w:right="720"/>
        <w:jc w:val="both"/>
        <w:rPr>
          <w:bCs/>
        </w:rPr>
      </w:pPr>
      <w:r>
        <w:t xml:space="preserve">The evidence showed that plaintiff performed its outreach </w:t>
      </w:r>
      <w:r>
        <w:rPr>
          <w:bCs/>
        </w:rPr>
        <w:t>activities to “get the word out” about its various services to its audiences within the general public and “develop[ ] awareness of each clinic’s presence, resources, c</w:t>
      </w:r>
      <w:r>
        <w:rPr>
          <w:bCs/>
        </w:rPr>
        <w:t xml:space="preserve">ultural competence, and desire to serve among members of [plaintiff’s] target populations.”  </w:t>
      </w:r>
    </w:p>
    <w:p w14:paraId="75089306" w14:textId="77777777" w:rsidR="00E25F0E" w:rsidRDefault="00E25F0E" w:rsidP="00E25F0E">
      <w:pPr>
        <w:rPr>
          <w:bCs/>
        </w:rPr>
      </w:pPr>
    </w:p>
    <w:p w14:paraId="64FD3D0C" w14:textId="77777777" w:rsidR="00E25F0E" w:rsidRDefault="002206B9" w:rsidP="00E25F0E">
      <w:r>
        <w:tab/>
        <w:t>This modification does not change the judgment.</w:t>
      </w:r>
    </w:p>
    <w:p w14:paraId="621BD68A" w14:textId="77777777" w:rsidR="00E25F0E" w:rsidRDefault="002206B9" w:rsidP="00E25F0E">
      <w:r>
        <w:tab/>
        <w:t>The petition for rehearing is denied.</w:t>
      </w:r>
    </w:p>
    <w:p w14:paraId="61025C86" w14:textId="77777777" w:rsidR="00E25F0E" w:rsidRDefault="00E25F0E" w:rsidP="00E25F0E"/>
    <w:p w14:paraId="32A46C34" w14:textId="77777777" w:rsidR="00E25F0E" w:rsidRDefault="00E25F0E" w:rsidP="00E25F0E"/>
    <w:p w14:paraId="68D7D377" w14:textId="77777777" w:rsidR="00E25F0E" w:rsidRDefault="002206B9" w:rsidP="00E25F0E">
      <w:r>
        <w:lastRenderedPageBreak/>
        <w:t>BY THE COURT:</w:t>
      </w:r>
    </w:p>
    <w:p w14:paraId="3AD86E7F" w14:textId="77777777" w:rsidR="00E25F0E" w:rsidRDefault="00E25F0E" w:rsidP="00E25F0E"/>
    <w:p w14:paraId="1C13D80E" w14:textId="77777777" w:rsidR="00E25F0E" w:rsidRDefault="00E25F0E" w:rsidP="00E25F0E">
      <w:pPr>
        <w:pStyle w:val="FootnoteText"/>
        <w:spacing w:before="0" w:line="240" w:lineRule="auto"/>
      </w:pPr>
    </w:p>
    <w:p w14:paraId="4054435D" w14:textId="77777777" w:rsidR="00E25F0E" w:rsidRDefault="00E25F0E" w:rsidP="00E25F0E">
      <w:pPr>
        <w:pStyle w:val="FootnoteText"/>
        <w:spacing w:before="0" w:line="240" w:lineRule="auto"/>
      </w:pPr>
    </w:p>
    <w:p w14:paraId="7BA91C0D" w14:textId="77777777" w:rsidR="00E25F0E" w:rsidRDefault="00E25F0E" w:rsidP="00E25F0E">
      <w:pPr>
        <w:pStyle w:val="FootnoteText"/>
        <w:spacing w:before="0" w:line="240" w:lineRule="auto"/>
      </w:pPr>
    </w:p>
    <w:p w14:paraId="21A613B0" w14:textId="77777777" w:rsidR="00E25F0E" w:rsidRDefault="002206B9" w:rsidP="00E25F0E">
      <w:pPr>
        <w:pStyle w:val="FootnoteText"/>
        <w:tabs>
          <w:tab w:val="left" w:pos="2880"/>
        </w:tabs>
        <w:spacing w:before="0" w:line="240" w:lineRule="auto"/>
      </w:pPr>
      <w:r>
        <w:rPr>
          <w:u w:val="single"/>
        </w:rPr>
        <w:t xml:space="preserve">          ROBIE</w:t>
      </w:r>
      <w:r>
        <w:rPr>
          <w:u w:val="single"/>
        </w:rPr>
        <w:tab/>
      </w:r>
      <w:r>
        <w:t>, Acting P. J.</w:t>
      </w:r>
    </w:p>
    <w:p w14:paraId="7B4E0F3D" w14:textId="77777777" w:rsidR="00E25F0E" w:rsidRDefault="00E25F0E" w:rsidP="00E25F0E">
      <w:pPr>
        <w:pStyle w:val="FootnoteText"/>
        <w:spacing w:before="0" w:line="240" w:lineRule="auto"/>
      </w:pPr>
    </w:p>
    <w:p w14:paraId="7CABA239" w14:textId="77777777" w:rsidR="00E25F0E" w:rsidRDefault="00E25F0E" w:rsidP="00E25F0E">
      <w:pPr>
        <w:pStyle w:val="FootnoteText"/>
        <w:spacing w:before="0" w:line="240" w:lineRule="auto"/>
      </w:pPr>
    </w:p>
    <w:p w14:paraId="5F7B69B4" w14:textId="77777777" w:rsidR="00E25F0E" w:rsidRDefault="00E25F0E" w:rsidP="00E25F0E">
      <w:pPr>
        <w:pStyle w:val="FootnoteText"/>
        <w:spacing w:before="0" w:line="240" w:lineRule="auto"/>
      </w:pPr>
    </w:p>
    <w:p w14:paraId="1C93081E" w14:textId="77777777" w:rsidR="00E25F0E" w:rsidRDefault="00E25F0E" w:rsidP="00E25F0E">
      <w:pPr>
        <w:pStyle w:val="FootnoteText"/>
        <w:spacing w:before="0" w:line="240" w:lineRule="auto"/>
      </w:pPr>
    </w:p>
    <w:p w14:paraId="4FAB25B0" w14:textId="77777777" w:rsidR="00E25F0E" w:rsidRDefault="002206B9" w:rsidP="00E25F0E">
      <w:pPr>
        <w:pStyle w:val="FootnoteText"/>
        <w:tabs>
          <w:tab w:val="left" w:pos="2880"/>
        </w:tabs>
        <w:spacing w:before="0" w:line="240" w:lineRule="auto"/>
      </w:pPr>
      <w:r>
        <w:rPr>
          <w:u w:val="single"/>
        </w:rPr>
        <w:t xml:space="preserve">          HOCH</w:t>
      </w:r>
      <w:r>
        <w:rPr>
          <w:u w:val="single"/>
        </w:rPr>
        <w:tab/>
      </w:r>
      <w:r>
        <w:t>, J.</w:t>
      </w:r>
    </w:p>
    <w:p w14:paraId="73D1B304" w14:textId="77777777" w:rsidR="00E25F0E" w:rsidRDefault="00E25F0E" w:rsidP="00E25F0E">
      <w:pPr>
        <w:pStyle w:val="FootnoteText"/>
        <w:tabs>
          <w:tab w:val="left" w:pos="2880"/>
        </w:tabs>
        <w:spacing w:before="0" w:line="240" w:lineRule="auto"/>
      </w:pPr>
    </w:p>
    <w:p w14:paraId="4ECD97BD" w14:textId="77777777" w:rsidR="00E25F0E" w:rsidRDefault="00E25F0E" w:rsidP="00E25F0E">
      <w:pPr>
        <w:pStyle w:val="FootnoteText"/>
        <w:tabs>
          <w:tab w:val="left" w:pos="2880"/>
        </w:tabs>
        <w:spacing w:before="0" w:line="240" w:lineRule="auto"/>
      </w:pPr>
    </w:p>
    <w:p w14:paraId="40430E18" w14:textId="77777777" w:rsidR="00E25F0E" w:rsidRDefault="00E25F0E" w:rsidP="00E25F0E">
      <w:pPr>
        <w:pStyle w:val="FootnoteText"/>
        <w:tabs>
          <w:tab w:val="left" w:pos="2880"/>
        </w:tabs>
        <w:spacing w:before="0" w:line="240" w:lineRule="auto"/>
      </w:pPr>
    </w:p>
    <w:p w14:paraId="67807FCA" w14:textId="77777777" w:rsidR="00E25F0E" w:rsidRDefault="00E25F0E" w:rsidP="00E25F0E">
      <w:pPr>
        <w:pStyle w:val="FootnoteText"/>
        <w:tabs>
          <w:tab w:val="left" w:pos="2880"/>
        </w:tabs>
        <w:spacing w:before="0" w:line="240" w:lineRule="auto"/>
      </w:pPr>
    </w:p>
    <w:p w14:paraId="47B356C1" w14:textId="77777777" w:rsidR="00E25F0E" w:rsidRDefault="002206B9" w:rsidP="00E25F0E">
      <w:pPr>
        <w:pStyle w:val="FootnoteText"/>
        <w:tabs>
          <w:tab w:val="left" w:pos="2880"/>
        </w:tabs>
        <w:spacing w:before="0" w:line="240" w:lineRule="auto"/>
      </w:pPr>
      <w:r>
        <w:rPr>
          <w:u w:val="single"/>
        </w:rPr>
        <w:t xml:space="preserve">          KRAUSE</w:t>
      </w:r>
      <w:r>
        <w:rPr>
          <w:u w:val="single"/>
        </w:rPr>
        <w:tab/>
      </w:r>
      <w:r>
        <w:t>, J.</w:t>
      </w:r>
    </w:p>
    <w:p w14:paraId="4613F2F2" w14:textId="77777777" w:rsidR="00E25F0E" w:rsidRDefault="00E25F0E" w:rsidP="00E25F0E">
      <w:pPr>
        <w:pStyle w:val="FootnoteText"/>
        <w:tabs>
          <w:tab w:val="left" w:pos="2880"/>
        </w:tabs>
        <w:spacing w:before="0" w:line="240" w:lineRule="auto"/>
      </w:pPr>
    </w:p>
    <w:p w14:paraId="065BF6AC" w14:textId="77777777" w:rsidR="00E25F0E" w:rsidRDefault="00E25F0E" w:rsidP="00E25F0E">
      <w:pPr>
        <w:spacing w:line="240" w:lineRule="auto"/>
      </w:pPr>
    </w:p>
    <w:p w14:paraId="7BA6B4A8" w14:textId="77777777" w:rsidR="00E25F0E" w:rsidRDefault="00E25F0E" w:rsidP="002F411A">
      <w:pPr>
        <w:spacing w:line="240" w:lineRule="atLeast"/>
        <w:rPr>
          <w:sz w:val="20"/>
        </w:rPr>
        <w:sectPr w:rsidR="00E25F0E" w:rsidSect="00E009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54"/>
        </w:sectPr>
      </w:pPr>
    </w:p>
    <w:p w14:paraId="21920CCB" w14:textId="7B18A60A" w:rsidR="00E00915" w:rsidRPr="00426F8A" w:rsidRDefault="002206B9" w:rsidP="002F411A">
      <w:pPr>
        <w:spacing w:line="240" w:lineRule="atLeast"/>
        <w:rPr>
          <w:sz w:val="20"/>
        </w:rPr>
      </w:pPr>
      <w:r w:rsidRPr="00426F8A">
        <w:rPr>
          <w:sz w:val="20"/>
        </w:rPr>
        <w:lastRenderedPageBreak/>
        <w:t>Filed 7/6/21</w:t>
      </w:r>
      <w:r w:rsidR="00426F8A">
        <w:rPr>
          <w:sz w:val="20"/>
        </w:rPr>
        <w:t xml:space="preserve">  Family Health Centers etc. v. State Dept. of Health Care Services CA3</w:t>
      </w:r>
      <w:r w:rsidR="00E25F0E">
        <w:rPr>
          <w:sz w:val="20"/>
        </w:rPr>
        <w:t xml:space="preserve"> (unmodified opinion)</w:t>
      </w:r>
    </w:p>
    <w:p w14:paraId="4B0836FA" w14:textId="5B368EAD" w:rsidR="00E00915" w:rsidRDefault="00E55FFE" w:rsidP="00E00915">
      <w:pPr>
        <w:spacing w:line="240" w:lineRule="atLeast"/>
        <w:jc w:val="center"/>
        <w:rPr>
          <w:u w:val="words"/>
        </w:rPr>
      </w:pPr>
      <w:r>
        <w:rPr>
          <w:u w:val="words"/>
        </w:rPr>
        <w:t xml:space="preserve"> </w:t>
      </w:r>
    </w:p>
    <w:p w14:paraId="570C7377" w14:textId="13B6764C" w:rsidR="00E55FFE" w:rsidRDefault="00E55FFE" w:rsidP="00E00915">
      <w:pPr>
        <w:spacing w:line="240" w:lineRule="atLeast"/>
        <w:jc w:val="center"/>
        <w:rPr>
          <w:u w:val="words"/>
        </w:rPr>
      </w:pPr>
    </w:p>
    <w:p w14:paraId="59E501D2" w14:textId="4183C8AE" w:rsidR="00E55FFE" w:rsidRDefault="00E55FFE" w:rsidP="00E00915">
      <w:pPr>
        <w:spacing w:line="240" w:lineRule="atLeast"/>
        <w:jc w:val="center"/>
        <w:rPr>
          <w:u w:val="words"/>
        </w:rPr>
      </w:pPr>
    </w:p>
    <w:p w14:paraId="77B68A8F" w14:textId="77777777" w:rsidR="00E55FFE" w:rsidRDefault="00E55FFE" w:rsidP="00E00915">
      <w:pPr>
        <w:spacing w:line="240" w:lineRule="atLeast"/>
        <w:jc w:val="center"/>
        <w:rPr>
          <w:u w:val="words"/>
        </w:rPr>
      </w:pPr>
    </w:p>
    <w:p w14:paraId="7CDCC60A" w14:textId="3CA6776D" w:rsidR="00E00915" w:rsidRDefault="00E00915" w:rsidP="00E00915">
      <w:pPr>
        <w:spacing w:line="240" w:lineRule="atLeast"/>
        <w:jc w:val="center"/>
        <w:rPr>
          <w:u w:val="words"/>
        </w:rPr>
      </w:pPr>
    </w:p>
    <w:p w14:paraId="59406BEF" w14:textId="177999C7" w:rsidR="00E00915" w:rsidRDefault="00E00915" w:rsidP="00E00915">
      <w:pPr>
        <w:spacing w:line="240" w:lineRule="atLeast"/>
        <w:jc w:val="center"/>
        <w:rPr>
          <w:u w:val="words"/>
        </w:rPr>
      </w:pPr>
    </w:p>
    <w:p w14:paraId="2F0D14A0" w14:textId="734F1783" w:rsidR="00E00915" w:rsidRDefault="002206B9" w:rsidP="00E00915">
      <w:pPr>
        <w:jc w:val="center"/>
      </w:pPr>
      <w:r>
        <w:t>IN THE COURT OF APPEAL OF THE STATE OF CALIFORNIA</w:t>
      </w:r>
    </w:p>
    <w:p w14:paraId="3C45F8D2" w14:textId="1250BACD" w:rsidR="00E00915" w:rsidRDefault="002206B9" w:rsidP="00E00915">
      <w:pPr>
        <w:jc w:val="center"/>
      </w:pPr>
      <w:r>
        <w:t>THIRD APPELLATE DISTRICT</w:t>
      </w:r>
    </w:p>
    <w:p w14:paraId="3E1AFC9A" w14:textId="7CDBE5A2" w:rsidR="00E00915" w:rsidRDefault="002206B9" w:rsidP="00E00915">
      <w:pPr>
        <w:jc w:val="center"/>
      </w:pPr>
      <w:r>
        <w:t>(Sacramento)</w:t>
      </w:r>
    </w:p>
    <w:p w14:paraId="1B0565B3" w14:textId="65D68E65" w:rsidR="00E00915" w:rsidRDefault="002206B9" w:rsidP="00E00915">
      <w:pPr>
        <w:jc w:val="center"/>
      </w:pPr>
      <w:r>
        <w:t>----</w:t>
      </w:r>
    </w:p>
    <w:p w14:paraId="732195F9" w14:textId="6A837720" w:rsidR="00E00915" w:rsidRDefault="00E00915" w:rsidP="00E00915">
      <w:pPr>
        <w:jc w:val="center"/>
      </w:pPr>
    </w:p>
    <w:p w14:paraId="507E08A0" w14:textId="0E1DC196" w:rsidR="00E00915" w:rsidRDefault="00E00915" w:rsidP="00E00915">
      <w:pPr>
        <w:spacing w:line="240" w:lineRule="atLeast"/>
      </w:pPr>
    </w:p>
    <w:p w14:paraId="26985AB4" w14:textId="3DDC829C" w:rsidR="00E00915" w:rsidRDefault="00E00915" w:rsidP="00E00915">
      <w:pPr>
        <w:spacing w:line="240" w:lineRule="atLeast"/>
      </w:pPr>
    </w:p>
    <w:p w14:paraId="4F8B5EA2" w14:textId="30BA3D07" w:rsidR="00E00915" w:rsidRDefault="00E00915" w:rsidP="00E00915">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4B6533" w14:paraId="07F3EB9C" w14:textId="77777777" w:rsidTr="00E00915">
        <w:tc>
          <w:tcPr>
            <w:tcW w:w="5904" w:type="dxa"/>
            <w:shd w:val="clear" w:color="auto" w:fill="auto"/>
          </w:tcPr>
          <w:p w14:paraId="78A4E7C5" w14:textId="77777777" w:rsidR="00E00915" w:rsidRDefault="002206B9" w:rsidP="00E00915">
            <w:pPr>
              <w:spacing w:line="240" w:lineRule="atLeast"/>
            </w:pPr>
            <w:r>
              <w:t>FAMILY HEALTH CENTERS OF SAN DIEGO,</w:t>
            </w:r>
          </w:p>
          <w:p w14:paraId="1AA9C3F4" w14:textId="77777777" w:rsidR="00E00915" w:rsidRDefault="00E00915" w:rsidP="00E00915">
            <w:pPr>
              <w:spacing w:line="240" w:lineRule="atLeast"/>
            </w:pPr>
          </w:p>
          <w:p w14:paraId="56AD8A31" w14:textId="77777777" w:rsidR="00E00915" w:rsidRDefault="002206B9" w:rsidP="00E00915">
            <w:pPr>
              <w:spacing w:line="240" w:lineRule="atLeast"/>
            </w:pPr>
            <w:r>
              <w:tab/>
            </w:r>
            <w:r>
              <w:tab/>
              <w:t>Plaintiff and Appellant,</w:t>
            </w:r>
          </w:p>
          <w:p w14:paraId="12D098AB" w14:textId="77777777" w:rsidR="00E00915" w:rsidRDefault="00E00915" w:rsidP="00E00915">
            <w:pPr>
              <w:spacing w:line="240" w:lineRule="atLeast"/>
            </w:pPr>
          </w:p>
          <w:p w14:paraId="41F9D02A" w14:textId="77777777" w:rsidR="00E00915" w:rsidRDefault="002206B9" w:rsidP="00E00915">
            <w:pPr>
              <w:spacing w:line="240" w:lineRule="atLeast"/>
            </w:pPr>
            <w:r>
              <w:tab/>
              <w:t>v.</w:t>
            </w:r>
          </w:p>
          <w:p w14:paraId="355F646F" w14:textId="77777777" w:rsidR="00E00915" w:rsidRDefault="00E00915" w:rsidP="00E00915">
            <w:pPr>
              <w:spacing w:line="240" w:lineRule="atLeast"/>
            </w:pPr>
          </w:p>
          <w:p w14:paraId="0A3EDE1E" w14:textId="77777777" w:rsidR="00E00915" w:rsidRDefault="002206B9" w:rsidP="00E00915">
            <w:pPr>
              <w:spacing w:line="240" w:lineRule="atLeast"/>
            </w:pPr>
            <w:r>
              <w:t>STATE DEPARTMENT OF HEALTH CARE SERVICES,</w:t>
            </w:r>
          </w:p>
          <w:p w14:paraId="16DA5799" w14:textId="77777777" w:rsidR="00E00915" w:rsidRDefault="00E00915" w:rsidP="00E00915">
            <w:pPr>
              <w:spacing w:line="240" w:lineRule="atLeast"/>
            </w:pPr>
          </w:p>
          <w:p w14:paraId="65C01CB9" w14:textId="77777777" w:rsidR="00E00915" w:rsidRDefault="002206B9" w:rsidP="00E00915">
            <w:pPr>
              <w:spacing w:line="240" w:lineRule="atLeast"/>
            </w:pPr>
            <w:r>
              <w:tab/>
            </w:r>
            <w:r>
              <w:tab/>
              <w:t>Defendant and Respondent.</w:t>
            </w:r>
          </w:p>
          <w:p w14:paraId="4A6CB59A" w14:textId="5DA6DED9" w:rsidR="00E00915" w:rsidRDefault="00E00915" w:rsidP="00E00915">
            <w:pPr>
              <w:spacing w:line="240" w:lineRule="atLeast"/>
            </w:pPr>
          </w:p>
        </w:tc>
        <w:tc>
          <w:tcPr>
            <w:tcW w:w="3456" w:type="dxa"/>
            <w:shd w:val="clear" w:color="auto" w:fill="auto"/>
          </w:tcPr>
          <w:p w14:paraId="6308440C" w14:textId="77777777" w:rsidR="00E00915" w:rsidRDefault="002206B9" w:rsidP="00E00915">
            <w:pPr>
              <w:spacing w:line="240" w:lineRule="atLeast"/>
              <w:jc w:val="center"/>
            </w:pPr>
            <w:r>
              <w:t>C089555</w:t>
            </w:r>
          </w:p>
          <w:p w14:paraId="34B07D35" w14:textId="77777777" w:rsidR="00E00915" w:rsidRDefault="00E00915" w:rsidP="00E00915">
            <w:pPr>
              <w:spacing w:line="240" w:lineRule="atLeast"/>
              <w:jc w:val="center"/>
            </w:pPr>
          </w:p>
          <w:p w14:paraId="710294F4" w14:textId="77777777" w:rsidR="00731E48" w:rsidRDefault="002206B9" w:rsidP="00E00915">
            <w:pPr>
              <w:spacing w:line="240" w:lineRule="atLeast"/>
              <w:jc w:val="center"/>
            </w:pPr>
            <w:r>
              <w:t xml:space="preserve">(Super. Ct. No. </w:t>
            </w:r>
          </w:p>
          <w:p w14:paraId="7006F9C6" w14:textId="6D4E543D" w:rsidR="00E00915" w:rsidRDefault="002206B9" w:rsidP="00E00915">
            <w:pPr>
              <w:spacing w:line="240" w:lineRule="atLeast"/>
              <w:jc w:val="center"/>
            </w:pPr>
            <w:r>
              <w:t>34-2018-80002953-CU-WM-GDS)</w:t>
            </w:r>
          </w:p>
          <w:p w14:paraId="2CA05E31" w14:textId="77777777" w:rsidR="00E00915" w:rsidRDefault="00E00915" w:rsidP="00E00915">
            <w:pPr>
              <w:spacing w:line="240" w:lineRule="atLeast"/>
              <w:jc w:val="center"/>
            </w:pPr>
          </w:p>
          <w:p w14:paraId="477FABF0" w14:textId="56A90136" w:rsidR="00E00915" w:rsidRDefault="00E00915" w:rsidP="00E00915">
            <w:pPr>
              <w:spacing w:line="240" w:lineRule="atLeast"/>
              <w:jc w:val="center"/>
            </w:pPr>
          </w:p>
        </w:tc>
      </w:tr>
    </w:tbl>
    <w:p w14:paraId="73C3F6A7" w14:textId="1F4A5505" w:rsidR="00E00915" w:rsidRDefault="00E00915" w:rsidP="00E00915">
      <w:pPr>
        <w:spacing w:line="240" w:lineRule="atLeast"/>
      </w:pPr>
    </w:p>
    <w:p w14:paraId="01AC64C8" w14:textId="1EC2F92C" w:rsidR="00E00915" w:rsidRDefault="00E00915" w:rsidP="00E00915">
      <w:pPr>
        <w:spacing w:line="240" w:lineRule="atLeast"/>
      </w:pPr>
    </w:p>
    <w:p w14:paraId="38DDCBB3" w14:textId="2FDC6D24" w:rsidR="005C7B6F" w:rsidRDefault="005C7B6F" w:rsidP="00E00915">
      <w:pPr>
        <w:spacing w:line="240" w:lineRule="atLeast"/>
      </w:pPr>
    </w:p>
    <w:p w14:paraId="3653D31F" w14:textId="77777777" w:rsidR="005C7B6F" w:rsidRPr="00E00915" w:rsidRDefault="005C7B6F" w:rsidP="00E00915">
      <w:pPr>
        <w:spacing w:line="240" w:lineRule="atLeast"/>
      </w:pPr>
    </w:p>
    <w:p w14:paraId="569B6625" w14:textId="44A208EF" w:rsidR="0085713B" w:rsidRDefault="002206B9" w:rsidP="00ED4506">
      <w:r>
        <w:tab/>
      </w:r>
      <w:r w:rsidR="00B8792E">
        <w:t>Plaintiff</w:t>
      </w:r>
      <w:r w:rsidR="00C8659E">
        <w:t xml:space="preserve"> Family Health Centers of San Diego operates a federally qualified health center (FQHC) that provides various medical services to its patients, some of whom are Medi-Cal beneficiaries.  </w:t>
      </w:r>
      <w:bookmarkStart w:id="2" w:name="_Hlk69047158"/>
      <w:r w:rsidR="007B07CD">
        <w:t>Under section 330 of the Public Health Service Act</w:t>
      </w:r>
      <w:r w:rsidR="00731E48">
        <w:t xml:space="preserve"> (42 U.S.C. § 201 et seq.)</w:t>
      </w:r>
      <w:r w:rsidR="007B07CD">
        <w:t xml:space="preserve">, </w:t>
      </w:r>
      <w:r w:rsidR="00B6460B">
        <w:t>FQHC</w:t>
      </w:r>
      <w:r w:rsidR="00503A26">
        <w:t>’</w:t>
      </w:r>
      <w:r w:rsidR="00B6460B">
        <w:t xml:space="preserve">s </w:t>
      </w:r>
      <w:r w:rsidR="00CF17FE">
        <w:t xml:space="preserve">like </w:t>
      </w:r>
      <w:r w:rsidR="00B8792E">
        <w:t xml:space="preserve">plaintiff </w:t>
      </w:r>
      <w:r w:rsidR="00AA543A">
        <w:t>also</w:t>
      </w:r>
      <w:r w:rsidR="007B07CD">
        <w:t xml:space="preserve"> </w:t>
      </w:r>
      <w:r w:rsidR="00503A26">
        <w:t xml:space="preserve">may </w:t>
      </w:r>
      <w:r w:rsidR="007B07CD">
        <w:t xml:space="preserve">provide </w:t>
      </w:r>
      <w:r w:rsidR="005441EC">
        <w:t xml:space="preserve">additional </w:t>
      </w:r>
      <w:r w:rsidR="007B07CD">
        <w:t xml:space="preserve">health services, including </w:t>
      </w:r>
      <w:r w:rsidR="005441EC">
        <w:t>(1)</w:t>
      </w:r>
      <w:r w:rsidR="00B8792E">
        <w:t> </w:t>
      </w:r>
      <w:r w:rsidR="005441EC">
        <w:t xml:space="preserve">services designed to assist patients in establishing eligibility for and gaining access to federal and state assistance programs (such as Medi-Cal), (2) </w:t>
      </w:r>
      <w:r w:rsidR="007B07CD">
        <w:t xml:space="preserve">services that </w:t>
      </w:r>
      <w:r w:rsidR="007B07CD">
        <w:lastRenderedPageBreak/>
        <w:t>enable individuals to use the</w:t>
      </w:r>
      <w:r w:rsidR="00AA543A">
        <w:t xml:space="preserve"> health center’s</w:t>
      </w:r>
      <w:r w:rsidR="007B07CD">
        <w:t xml:space="preserve"> services (including outreach, transportation, and interpreter services), and </w:t>
      </w:r>
      <w:r w:rsidR="005441EC">
        <w:t>(</w:t>
      </w:r>
      <w:r w:rsidR="00503A26">
        <w:t>3</w:t>
      </w:r>
      <w:r w:rsidR="005441EC">
        <w:t xml:space="preserve">) </w:t>
      </w:r>
      <w:r w:rsidR="007B07CD">
        <w:t>education regarding the availability and proper use of health services.  (42 U.S.C. §§ 254b</w:t>
      </w:r>
      <w:r>
        <w:t>(b)(1)(A)(iii)-(v).)</w:t>
      </w:r>
      <w:r w:rsidR="007B07CD">
        <w:t xml:space="preserve"> </w:t>
      </w:r>
    </w:p>
    <w:p w14:paraId="2445265F" w14:textId="33F29550" w:rsidR="00BE010D" w:rsidRDefault="002206B9" w:rsidP="00ED4506">
      <w:r>
        <w:tab/>
      </w:r>
      <w:r w:rsidR="007B07CD">
        <w:t xml:space="preserve">Section </w:t>
      </w:r>
      <w:r w:rsidR="00601791">
        <w:t>330 of</w:t>
      </w:r>
      <w:r w:rsidR="00B6460B">
        <w:t xml:space="preserve"> the Public Health Service Act</w:t>
      </w:r>
      <w:r w:rsidR="007B07CD">
        <w:t xml:space="preserve"> </w:t>
      </w:r>
      <w:r w:rsidR="00941BB4">
        <w:t>authorizes</w:t>
      </w:r>
      <w:r w:rsidR="007B07CD">
        <w:t xml:space="preserve"> grants </w:t>
      </w:r>
      <w:r w:rsidR="00941BB4">
        <w:t>to be made to</w:t>
      </w:r>
      <w:r w:rsidR="007B07CD">
        <w:t xml:space="preserve"> FQHC</w:t>
      </w:r>
      <w:r w:rsidR="00136CC3">
        <w:t>’</w:t>
      </w:r>
      <w:r w:rsidR="007B07CD">
        <w:t>s</w:t>
      </w:r>
      <w:r w:rsidR="00B6460B">
        <w:t>.  (42</w:t>
      </w:r>
      <w:r w:rsidR="003720A4">
        <w:t> </w:t>
      </w:r>
      <w:r w:rsidR="00B6460B">
        <w:t xml:space="preserve">U.S.C. §§ 254b, 1395x(aa)(4).)  </w:t>
      </w:r>
      <w:r w:rsidR="00601791">
        <w:t xml:space="preserve">In addition, </w:t>
      </w:r>
      <w:r w:rsidR="00E657B6">
        <w:t>FQHC</w:t>
      </w:r>
      <w:r w:rsidR="00136CC3">
        <w:t>’</w:t>
      </w:r>
      <w:r w:rsidR="00A134D8">
        <w:t>s</w:t>
      </w:r>
      <w:r w:rsidR="00E657B6">
        <w:t xml:space="preserve"> </w:t>
      </w:r>
      <w:r w:rsidR="008E6DBC">
        <w:t>may seek reimbursement under Medi-Cal for certain expenses, including reasonable costs directly or indirectly related to patient care.</w:t>
      </w:r>
      <w:r w:rsidR="003851E7">
        <w:t xml:space="preserve">  </w:t>
      </w:r>
      <w:bookmarkEnd w:id="2"/>
      <w:r w:rsidR="00136CC3">
        <w:t>Plaintiff</w:t>
      </w:r>
      <w:r w:rsidR="003851E7">
        <w:t xml:space="preserve"> </w:t>
      </w:r>
      <w:r w:rsidR="00EA3838">
        <w:t xml:space="preserve">appeals from the trial court’s order denying its petition for writ of mandate seeking to compel the </w:t>
      </w:r>
      <w:r w:rsidR="009F00ED">
        <w:t xml:space="preserve">State </w:t>
      </w:r>
      <w:r w:rsidR="00EA3838">
        <w:t xml:space="preserve">Department of Health </w:t>
      </w:r>
      <w:r w:rsidR="00136CC3">
        <w:t xml:space="preserve">Care </w:t>
      </w:r>
      <w:r w:rsidR="00EA3838">
        <w:t>Services (DH</w:t>
      </w:r>
      <w:r w:rsidR="00136CC3">
        <w:t>C</w:t>
      </w:r>
      <w:r w:rsidR="00EA3838">
        <w:t xml:space="preserve">S) to reimburse </w:t>
      </w:r>
      <w:r w:rsidR="00136CC3">
        <w:t xml:space="preserve">plaintiff </w:t>
      </w:r>
      <w:r w:rsidR="00EA3838">
        <w:t>for money it expended for outreach services.</w:t>
      </w:r>
      <w:r w:rsidR="00F365E2">
        <w:t xml:space="preserve"> </w:t>
      </w:r>
    </w:p>
    <w:bookmarkEnd w:id="0"/>
    <w:p w14:paraId="16AE9CB9" w14:textId="14A50B9E" w:rsidR="00104770" w:rsidRPr="00ED4506" w:rsidRDefault="002206B9" w:rsidP="00ED4506">
      <w:r>
        <w:tab/>
        <w:t xml:space="preserve">We reject </w:t>
      </w:r>
      <w:r w:rsidR="00136CC3">
        <w:t xml:space="preserve">plaintiff’s </w:t>
      </w:r>
      <w:r>
        <w:t xml:space="preserve">contention that the trial court and </w:t>
      </w:r>
      <w:r w:rsidR="001C3FB7">
        <w:t xml:space="preserve">the </w:t>
      </w:r>
      <w:r>
        <w:t>DH</w:t>
      </w:r>
      <w:r w:rsidR="00136CC3">
        <w:t>C</w:t>
      </w:r>
      <w:r>
        <w:t xml:space="preserve">S improperly construed and applied </w:t>
      </w:r>
      <w:r w:rsidR="00941BB4">
        <w:t xml:space="preserve">applicable </w:t>
      </w:r>
      <w:r>
        <w:t xml:space="preserve">guidelines in the </w:t>
      </w:r>
      <w:r w:rsidR="00731E48">
        <w:t xml:space="preserve">Centers for Medicare &amp; Medicaid Services Publication 15-1, The </w:t>
      </w:r>
      <w:r w:rsidR="006D24EC">
        <w:t>P</w:t>
      </w:r>
      <w:r>
        <w:t xml:space="preserve">rovider </w:t>
      </w:r>
      <w:r w:rsidR="006D24EC">
        <w:t>R</w:t>
      </w:r>
      <w:r>
        <w:t xml:space="preserve">eimbursement </w:t>
      </w:r>
      <w:r w:rsidR="006D24EC">
        <w:t>M</w:t>
      </w:r>
      <w:r>
        <w:t>anual</w:t>
      </w:r>
      <w:r w:rsidR="00621092">
        <w:t xml:space="preserve"> (PRM)</w:t>
      </w:r>
      <w:r>
        <w:t>.</w:t>
      </w:r>
      <w:r w:rsidR="001D183C">
        <w:t xml:space="preserve">  </w:t>
      </w:r>
      <w:r w:rsidR="00941BB4">
        <w:t>We conclude that t</w:t>
      </w:r>
      <w:r>
        <w:t>he mon</w:t>
      </w:r>
      <w:r w:rsidR="00731E48">
        <w:t>i</w:t>
      </w:r>
      <w:r>
        <w:t xml:space="preserve">es spent by </w:t>
      </w:r>
      <w:r w:rsidR="00136CC3">
        <w:t xml:space="preserve">plaintiff </w:t>
      </w:r>
      <w:r>
        <w:t xml:space="preserve">were not an allowable cost because they were akin to advertising </w:t>
      </w:r>
      <w:r w:rsidR="000E4AFF">
        <w:t xml:space="preserve">to increase patient utilization of </w:t>
      </w:r>
      <w:r w:rsidR="00136CC3">
        <w:t xml:space="preserve">plaintiff’s </w:t>
      </w:r>
      <w:r w:rsidR="000E4AFF">
        <w:t>services</w:t>
      </w:r>
      <w:r>
        <w:t xml:space="preserve">.  We </w:t>
      </w:r>
      <w:r w:rsidR="00941BB4">
        <w:t xml:space="preserve">therefore will </w:t>
      </w:r>
      <w:r>
        <w:t xml:space="preserve">affirm </w:t>
      </w:r>
      <w:r w:rsidR="00690A2B" w:rsidRPr="00690A2B">
        <w:t>the trial court</w:t>
      </w:r>
      <w:r w:rsidR="00DC1040">
        <w:t>’</w:t>
      </w:r>
      <w:r w:rsidR="00690A2B" w:rsidRPr="00690A2B">
        <w:t xml:space="preserve">s </w:t>
      </w:r>
      <w:r w:rsidR="00FA0AF6">
        <w:t>denial</w:t>
      </w:r>
      <w:r w:rsidR="00690A2B" w:rsidRPr="00690A2B">
        <w:t xml:space="preserve"> of the petition for writ of mandate</w:t>
      </w:r>
      <w:r>
        <w:t>.</w:t>
      </w:r>
    </w:p>
    <w:p w14:paraId="1B949DCA" w14:textId="1C515A9C" w:rsidR="00136CC3" w:rsidRDefault="002206B9" w:rsidP="00136CC3">
      <w:pPr>
        <w:keepNext/>
        <w:jc w:val="center"/>
        <w:rPr>
          <w:bCs/>
        </w:rPr>
      </w:pPr>
      <w:r w:rsidRPr="00136CC3">
        <w:rPr>
          <w:bCs/>
        </w:rPr>
        <w:t>BACKGROUND</w:t>
      </w:r>
    </w:p>
    <w:p w14:paraId="1B4E3BD0" w14:textId="0A976BA6" w:rsidR="009467B2" w:rsidRPr="00136CC3" w:rsidRDefault="002206B9" w:rsidP="00136CC3">
      <w:pPr>
        <w:pStyle w:val="ListParagraph"/>
        <w:keepNext/>
        <w:numPr>
          <w:ilvl w:val="0"/>
          <w:numId w:val="6"/>
        </w:numPr>
        <w:ind w:left="0" w:firstLine="720"/>
        <w:rPr>
          <w:bCs/>
        </w:rPr>
      </w:pPr>
      <w:r w:rsidRPr="00136CC3">
        <w:rPr>
          <w:i/>
          <w:iCs/>
        </w:rPr>
        <w:t xml:space="preserve">Statutory </w:t>
      </w:r>
      <w:r w:rsidRPr="00136CC3">
        <w:rPr>
          <w:i/>
          <w:iCs/>
        </w:rPr>
        <w:t>background</w:t>
      </w:r>
    </w:p>
    <w:p w14:paraId="4CB41FD7" w14:textId="56549A8E" w:rsidR="00EA3838" w:rsidRDefault="002206B9" w:rsidP="00EA3838">
      <w:r>
        <w:tab/>
        <w:t>The federal government provides financial assistance to states in order to provide medical care to low-income individuals through the Medicaid program.  (42 U.S.C. §</w:t>
      </w:r>
      <w:r w:rsidR="00136CC3">
        <w:t> </w:t>
      </w:r>
      <w:r>
        <w:t xml:space="preserve">1396 </w:t>
      </w:r>
      <w:r w:rsidRPr="00136CC3">
        <w:t>et seq</w:t>
      </w:r>
      <w:r>
        <w:t xml:space="preserve">.)  California has implemented the program through </w:t>
      </w:r>
      <w:r>
        <w:t>Medi-Cal.  (Welf. &amp; Inst. Code, § 14000 et seq.</w:t>
      </w:r>
      <w:r w:rsidR="00473A19">
        <w:t xml:space="preserve">; </w:t>
      </w:r>
      <w:r w:rsidRPr="00CA604D">
        <w:rPr>
          <w:i/>
          <w:iCs/>
        </w:rPr>
        <w:t>Robert F. Kennedy Medical Center v. Belshé</w:t>
      </w:r>
      <w:r>
        <w:t xml:space="preserve"> (1996) 13 Cal.4th 748, 751 (</w:t>
      </w:r>
      <w:r w:rsidRPr="0083131A">
        <w:rPr>
          <w:i/>
          <w:iCs/>
        </w:rPr>
        <w:t>Kennedy</w:t>
      </w:r>
      <w:r>
        <w:t xml:space="preserve">).)  </w:t>
      </w:r>
      <w:r w:rsidR="001C3FB7">
        <w:t xml:space="preserve">The </w:t>
      </w:r>
      <w:r>
        <w:t>DH</w:t>
      </w:r>
      <w:r w:rsidR="00136CC3">
        <w:t>C</w:t>
      </w:r>
      <w:r>
        <w:t xml:space="preserve">S is the state agency designated to administer the Medi-Cal program. </w:t>
      </w:r>
      <w:r w:rsidR="00136CC3">
        <w:t xml:space="preserve"> </w:t>
      </w:r>
      <w:r>
        <w:t>(</w:t>
      </w:r>
      <w:r w:rsidR="00E67206">
        <w:t xml:space="preserve">Welf. &amp; Inst. Code, </w:t>
      </w:r>
      <w:r>
        <w:t>§ 14203.)</w:t>
      </w:r>
    </w:p>
    <w:p w14:paraId="35365878" w14:textId="1D329E98" w:rsidR="00EA3838" w:rsidRDefault="002206B9" w:rsidP="00EA3838">
      <w:bookmarkStart w:id="3" w:name="_Hlk68430068"/>
      <w:r>
        <w:tab/>
        <w:t>“Pursuant to Me</w:t>
      </w:r>
      <w:r>
        <w:t xml:space="preserve">di-Cal, participating health care providers, such as hospitals, receive reimbursement directly from </w:t>
      </w:r>
      <w:r w:rsidR="00E36636">
        <w:t xml:space="preserve">the </w:t>
      </w:r>
      <w:r w:rsidR="000F2B89">
        <w:t xml:space="preserve">[DHCS] </w:t>
      </w:r>
      <w:r>
        <w:t>for providing medical care to Medi</w:t>
      </w:r>
      <w:r w:rsidR="00016B87">
        <w:t>-</w:t>
      </w:r>
      <w:r>
        <w:t>Cal beneficiaries.”  (</w:t>
      </w:r>
      <w:r w:rsidRPr="0083131A">
        <w:rPr>
          <w:i/>
          <w:iCs/>
        </w:rPr>
        <w:t>Simi Valley Adventist Hospital v. Bontá</w:t>
      </w:r>
      <w:r>
        <w:t xml:space="preserve"> (2000) 81 Cal.App.4th 346, 348.)  Providers are </w:t>
      </w:r>
      <w:r>
        <w:t xml:space="preserve">reimbursed for their allowable costs, as determined under </w:t>
      </w:r>
      <w:r>
        <w:lastRenderedPageBreak/>
        <w:t>Medicare</w:t>
      </w:r>
      <w:r w:rsidR="00C41A1C">
        <w:t xml:space="preserve">/Medicaid </w:t>
      </w:r>
      <w:r>
        <w:t>standards and principles of reimbursement set forth in the Code of Federal Regulations and the P</w:t>
      </w:r>
      <w:r w:rsidR="00621092">
        <w:t>RM</w:t>
      </w:r>
      <w:r>
        <w:t>.  (</w:t>
      </w:r>
      <w:r w:rsidRPr="0083131A">
        <w:rPr>
          <w:i/>
          <w:iCs/>
        </w:rPr>
        <w:t>Oroville Hospital v. Department of Health Services</w:t>
      </w:r>
      <w:r>
        <w:t xml:space="preserve"> (2006) 146 Cal.App.4th 468,</w:t>
      </w:r>
      <w:r>
        <w:t xml:space="preserve"> 472; see also Cal. Code Regs., tit. 22, § 51536, subds. (a)(2) &amp; (b)(4)</w:t>
      </w:r>
      <w:r w:rsidR="00923E51">
        <w:t xml:space="preserve">; see also </w:t>
      </w:r>
      <w:r w:rsidR="00AA7FD7">
        <w:t>PRM</w:t>
      </w:r>
      <w:r w:rsidR="00621092">
        <w:t xml:space="preserve">; </w:t>
      </w:r>
      <w:r w:rsidR="001F02B1">
        <w:rPr>
          <w:i/>
          <w:iCs/>
        </w:rPr>
        <w:t xml:space="preserve">Community Care Foundation v. Thompson </w:t>
      </w:r>
      <w:r w:rsidR="001F02B1">
        <w:t>(2006) 412 F.Supp.2d 18, 22-23 [PRM provisions are interpretation</w:t>
      </w:r>
      <w:r w:rsidR="003C472C">
        <w:t>s</w:t>
      </w:r>
      <w:r w:rsidR="001F02B1">
        <w:t xml:space="preserve"> of the Medicare regulations</w:t>
      </w:r>
      <w:r w:rsidR="00FF7223">
        <w:t>]</w:t>
      </w:r>
      <w:r>
        <w:t>.)  In general, to be reimbursable,</w:t>
      </w:r>
      <w:r>
        <w:t xml:space="preserve"> claimed costs “must be based on the reasonable cost of </w:t>
      </w:r>
      <w:r w:rsidR="006618C4">
        <w:t xml:space="preserve">[covered] </w:t>
      </w:r>
      <w:r>
        <w:t>services” and “related to the care of beneficiaries.”  (42 C.F.R. § 413.9(a)</w:t>
      </w:r>
      <w:r w:rsidR="00DE37E7">
        <w:t xml:space="preserve"> (2021)</w:t>
      </w:r>
      <w:r w:rsidR="009A42FB">
        <w:t>; see also PRM § 2100</w:t>
      </w:r>
      <w:r w:rsidR="00DE37E7">
        <w:t xml:space="preserve"> (rev. 454, 09-12)</w:t>
      </w:r>
      <w:r w:rsidR="009A42FB">
        <w:t xml:space="preserve"> [“All payments to providers of services must be based on the reasonable cost of services covered under title XVIII of the Act and related to the care of beneficiaries”]</w:t>
      </w:r>
      <w:r>
        <w:t>.)</w:t>
      </w:r>
      <w:r w:rsidR="006618C4">
        <w:t xml:space="preserve">  </w:t>
      </w:r>
      <w:r w:rsidR="0028172A">
        <w:t>These federal regulations are incorporated into state law and apply to Medi-Cal providers</w:t>
      </w:r>
      <w:r w:rsidR="00D86CD1">
        <w:t xml:space="preserve"> such as </w:t>
      </w:r>
      <w:r w:rsidR="00CF17FE">
        <w:t>plaintiff</w:t>
      </w:r>
      <w:r w:rsidR="0028172A">
        <w:t>.  (Welf. &amp; Inst. Code, § 14132.100, subds. (e)(1)</w:t>
      </w:r>
      <w:r w:rsidR="00B85854">
        <w:t xml:space="preserve"> &amp;</w:t>
      </w:r>
      <w:r w:rsidR="0028172A">
        <w:t xml:space="preserve"> (i)(2)(B)(ii).)</w:t>
      </w:r>
    </w:p>
    <w:p w14:paraId="3B9CF067" w14:textId="227CA7E1" w:rsidR="00807659" w:rsidRPr="006618C4" w:rsidRDefault="002206B9" w:rsidP="00807659">
      <w:r>
        <w:tab/>
      </w:r>
      <w:r w:rsidR="00BC4C2E">
        <w:t xml:space="preserve">Under the </w:t>
      </w:r>
      <w:r w:rsidR="00A139A5">
        <w:t xml:space="preserve">federal </w:t>
      </w:r>
      <w:r w:rsidR="00BC4C2E">
        <w:t>regulations,</w:t>
      </w:r>
      <w:r w:rsidR="00BC4C2E" w:rsidRPr="00BC4C2E">
        <w:t xml:space="preserve"> </w:t>
      </w:r>
      <w:r w:rsidR="00BC4C2E">
        <w:t>“[r]</w:t>
      </w:r>
      <w:r w:rsidR="00BC4C2E" w:rsidRPr="00BC4C2E">
        <w:t xml:space="preserve">easonable cost includes all necessary and proper expenses incurred in furnishing services, such as administrative costs, maintenance costs, and premium payments for employee health and pension plans. </w:t>
      </w:r>
      <w:r w:rsidR="00052239">
        <w:t xml:space="preserve"> </w:t>
      </w:r>
      <w:r w:rsidR="00BC4C2E" w:rsidRPr="00BC4C2E">
        <w:t xml:space="preserve">It includes both direct and indirect costs and normal standby costs. </w:t>
      </w:r>
      <w:r w:rsidR="00052239">
        <w:t xml:space="preserve"> </w:t>
      </w:r>
      <w:r w:rsidR="00BC4C2E" w:rsidRPr="00BC4C2E">
        <w:t>However, if the provider</w:t>
      </w:r>
      <w:r w:rsidR="00052239">
        <w:t>’</w:t>
      </w:r>
      <w:r w:rsidR="00BC4C2E" w:rsidRPr="00BC4C2E">
        <w:t>s operating costs include amounts not related to patient care, specifically not reimbursable under the program, or flowing from the provision of luxury items or services (that is, those items or services substantially in excess of or more expensive than those generally considered necessary for the provision of needed health services), such amounts will not be allowable.</w:t>
      </w:r>
      <w:r w:rsidR="00052239">
        <w:t>”  (42 C.F.R. § 413.9(c)(3)</w:t>
      </w:r>
      <w:r w:rsidR="00DE37E7">
        <w:t xml:space="preserve"> (2021)</w:t>
      </w:r>
      <w:r w:rsidR="00052239">
        <w:t xml:space="preserve">.)  </w:t>
      </w:r>
      <w:r w:rsidR="00B002C5">
        <w:t>The regulations define n</w:t>
      </w:r>
      <w:r>
        <w:t>ecessary and proper costs as “</w:t>
      </w:r>
      <w:r w:rsidRPr="006618C4">
        <w:t xml:space="preserve">costs that are appropriate and helpful in developing and maintaining the operation of patient care facilities and activities. </w:t>
      </w:r>
      <w:r>
        <w:t xml:space="preserve"> </w:t>
      </w:r>
      <w:r w:rsidRPr="006618C4">
        <w:t>They are</w:t>
      </w:r>
      <w:r w:rsidRPr="006618C4">
        <w:t xml:space="preserve"> usually costs that are common and accepted occurrences in the field of the provider</w:t>
      </w:r>
      <w:r>
        <w:t>’</w:t>
      </w:r>
      <w:r w:rsidRPr="006618C4">
        <w:t>s activity.</w:t>
      </w:r>
      <w:r>
        <w:t>”  (42 C.F.R. § 413.9(b)(2)</w:t>
      </w:r>
      <w:r w:rsidR="00DE37E7">
        <w:t xml:space="preserve"> (2021)</w:t>
      </w:r>
      <w:r>
        <w:t>.)</w:t>
      </w:r>
      <w:r w:rsidR="00BC4C2E">
        <w:t xml:space="preserve">  </w:t>
      </w:r>
    </w:p>
    <w:p w14:paraId="0EBF8001" w14:textId="1ED925AB" w:rsidR="00807659" w:rsidRDefault="002206B9" w:rsidP="00807659">
      <w:bookmarkStart w:id="4" w:name="_Hlk74566772"/>
      <w:r>
        <w:tab/>
        <w:t>Advertising costs are allowable if they are “incurred in connection with the provider’s public relations activities</w:t>
      </w:r>
      <w:r w:rsidR="000247C0">
        <w:t xml:space="preserve"> </w:t>
      </w:r>
      <w:r>
        <w:t>[and</w:t>
      </w:r>
      <w:r>
        <w:t xml:space="preserve"> are] primarily concerned with the presentation </w:t>
      </w:r>
      <w:r>
        <w:lastRenderedPageBreak/>
        <w:t>of a good public image and directly or indirectly related to patient care.  Examples are:  visiting hours information, conduct of management-employee relations, etc.”  (PRM § 2136.1</w:t>
      </w:r>
      <w:r w:rsidR="00DE37E7">
        <w:t xml:space="preserve"> (rev. 267, 09-82).</w:t>
      </w:r>
      <w:r>
        <w:t>)  Howev</w:t>
      </w:r>
      <w:r>
        <w:t>er, “[c]osts of advertising to the general public which seeks to increase patient utilization of the provider’s facilities are not allowable. . . .</w:t>
      </w:r>
      <w:r w:rsidR="000247C0">
        <w:t xml:space="preserve">  </w:t>
      </w:r>
      <w:r>
        <w:t>While it is the policy of the [relevant federal agencies] to promote the growth and expansion of needed pro</w:t>
      </w:r>
      <w:r>
        <w:t xml:space="preserve">vider facilities, general advertising to promote an increase in the patient utilization of services is not properly related to the care of patients.”  </w:t>
      </w:r>
      <w:bookmarkStart w:id="5" w:name="_Hlk69049648"/>
      <w:bookmarkStart w:id="6" w:name="_Hlk69187005"/>
      <w:r w:rsidRPr="007E1B7D">
        <w:t>(PRM § 2136.2</w:t>
      </w:r>
      <w:bookmarkEnd w:id="5"/>
      <w:bookmarkEnd w:id="6"/>
      <w:r w:rsidR="00DE37E7">
        <w:t xml:space="preserve"> (rev. 267, 09-82).)</w:t>
      </w:r>
    </w:p>
    <w:bookmarkEnd w:id="3"/>
    <w:bookmarkEnd w:id="4"/>
    <w:p w14:paraId="00ECB383" w14:textId="69494164" w:rsidR="00EA3838" w:rsidRDefault="002206B9" w:rsidP="00EA3838">
      <w:r>
        <w:tab/>
        <w:t xml:space="preserve">“The method by which </w:t>
      </w:r>
      <w:r w:rsidR="00211368">
        <w:t xml:space="preserve">the </w:t>
      </w:r>
      <w:r w:rsidR="00614489">
        <w:t xml:space="preserve">[DHCS] </w:t>
      </w:r>
      <w:r>
        <w:t>reimburses [Medi-Cal</w:t>
      </w:r>
      <w:r w:rsidR="00A404B1">
        <w:t xml:space="preserve"> </w:t>
      </w:r>
      <w:r>
        <w:t>providers] is exp</w:t>
      </w:r>
      <w:r>
        <w:t>lained in detail in [</w:t>
      </w:r>
      <w:r w:rsidRPr="004E756F">
        <w:rPr>
          <w:i/>
          <w:iCs/>
        </w:rPr>
        <w:t>Kennedy</w:t>
      </w:r>
      <w:r w:rsidR="0034335C">
        <w:rPr>
          <w:i/>
          <w:iCs/>
        </w:rPr>
        <w:t>, supra</w:t>
      </w:r>
      <w:r w:rsidR="0034335C">
        <w:t>, 13 Cal.4th 748</w:t>
      </w:r>
      <w:r>
        <w:t xml:space="preserve">].  Briefly stated, [Medi-Cal providers] receive interim estimated payments of Medi-Cal reimbursement during each fiscal year, with retroactive adjustments occurring at the end of each fiscal year when actual costs are known.  (Cal. Code Regs., tit. 22, § </w:t>
      </w:r>
      <w:r>
        <w:t xml:space="preserve">51536, subds. (c)(2) &amp; (d).)  Within four months of the end of each fiscal year, the [provider] submits a cost report based on actual costs. </w:t>
      </w:r>
      <w:r w:rsidR="004E233B">
        <w:t xml:space="preserve"> </w:t>
      </w:r>
      <w:r>
        <w:t>(42 C.F.R. § 413.24(f)(2)[</w:t>
      </w:r>
      <w:r w:rsidR="004E233B">
        <w:t> </w:t>
      </w:r>
      <w:r>
        <w:t xml:space="preserve">].)  The </w:t>
      </w:r>
      <w:r w:rsidR="00211368">
        <w:t xml:space="preserve">[DHCS] </w:t>
      </w:r>
      <w:r>
        <w:t>makes a tentative settlement based on the [provider’s] unaudited cost r</w:t>
      </w:r>
      <w:r>
        <w:t>eport, making additional payments to the hospital if warranted.  Following an audit which must be completed within three years (</w:t>
      </w:r>
      <w:r w:rsidR="00731FFC">
        <w:t xml:space="preserve">Welf. &amp; Inst. Code, </w:t>
      </w:r>
      <w:r>
        <w:t>§</w:t>
      </w:r>
      <w:r w:rsidR="00211368">
        <w:t> </w:t>
      </w:r>
      <w:r>
        <w:t xml:space="preserve">14170, subd. (a)(1)), the </w:t>
      </w:r>
      <w:r w:rsidR="00211368">
        <w:t xml:space="preserve">[DHCS] </w:t>
      </w:r>
      <w:r>
        <w:t>issues a final audit report and settlement.”  (</w:t>
      </w:r>
      <w:r w:rsidRPr="004E756F">
        <w:rPr>
          <w:i/>
          <w:iCs/>
        </w:rPr>
        <w:t>Little Co</w:t>
      </w:r>
      <w:r w:rsidR="003D6AFC">
        <w:rPr>
          <w:i/>
          <w:iCs/>
        </w:rPr>
        <w:t>mpany</w:t>
      </w:r>
      <w:r w:rsidRPr="004E756F">
        <w:rPr>
          <w:i/>
          <w:iCs/>
        </w:rPr>
        <w:t xml:space="preserve"> of Mary Hos</w:t>
      </w:r>
      <w:r w:rsidRPr="004E756F">
        <w:rPr>
          <w:i/>
          <w:iCs/>
        </w:rPr>
        <w:t>pital v. Belshé</w:t>
      </w:r>
      <w:r>
        <w:t xml:space="preserve"> (1997) 53 Cal.App.4th 325, 327, fn. omitted.)</w:t>
      </w:r>
    </w:p>
    <w:p w14:paraId="13AF59BF" w14:textId="0FAD0496" w:rsidR="00EA3838" w:rsidRDefault="002206B9" w:rsidP="00EA3838">
      <w:r>
        <w:tab/>
        <w:t xml:space="preserve">“Consistent with [the] statutory authority [set forth in </w:t>
      </w:r>
      <w:r w:rsidR="002748C0">
        <w:t xml:space="preserve">Welfare and Institutions </w:t>
      </w:r>
      <w:r w:rsidR="00D714BB">
        <w:t xml:space="preserve">Code </w:t>
      </w:r>
      <w:r>
        <w:t>section 14171], the regulations establish detailed appeal procedures applicable to the audit process, incl</w:t>
      </w:r>
      <w:r>
        <w:t>uding an appeal from a final audit report.</w:t>
      </w:r>
      <w:r w:rsidR="00DE37E7">
        <w:t xml:space="preserve"> </w:t>
      </w:r>
      <w:r>
        <w:t xml:space="preserve"> (Cal. Code Regs., tit. 22, §</w:t>
      </w:r>
      <w:r w:rsidR="002748C0">
        <w:t> </w:t>
      </w:r>
      <w:r>
        <w:t>51016 et seq.)”  (</w:t>
      </w:r>
      <w:r w:rsidRPr="004E756F">
        <w:rPr>
          <w:i/>
          <w:iCs/>
        </w:rPr>
        <w:t>Kennedy, supra</w:t>
      </w:r>
      <w:r>
        <w:t xml:space="preserve">, 13 Cal.4th at p. 758.)  A Medi-Cal provider may request a hearing regarding disputed audit findings by submitting a statement of disputed issues to </w:t>
      </w:r>
      <w:r w:rsidR="00D17012">
        <w:t xml:space="preserve">the </w:t>
      </w:r>
      <w:r>
        <w:t>DH</w:t>
      </w:r>
      <w:r w:rsidR="00954BCE">
        <w:t>C</w:t>
      </w:r>
      <w:r>
        <w:t>S.  (Cal. Code Regs., tit. 22, § 51017.)</w:t>
      </w:r>
    </w:p>
    <w:p w14:paraId="0D5067AD" w14:textId="55AABD30" w:rsidR="003B3B2E" w:rsidRDefault="002206B9" w:rsidP="003B3B2E">
      <w:pPr>
        <w:keepNext/>
        <w:ind w:firstLine="720"/>
      </w:pPr>
      <w:bookmarkStart w:id="7" w:name="_Hlk69272056"/>
      <w:r>
        <w:lastRenderedPageBreak/>
        <w:t xml:space="preserve">At the </w:t>
      </w:r>
      <w:r w:rsidR="00CF16A2">
        <w:t xml:space="preserve">appeal </w:t>
      </w:r>
      <w:r>
        <w:t xml:space="preserve">hearing, </w:t>
      </w:r>
      <w:r w:rsidR="00DE37E7">
        <w:t xml:space="preserve">the </w:t>
      </w:r>
      <w:r w:rsidR="0042433C">
        <w:t>DH</w:t>
      </w:r>
      <w:r w:rsidR="00954BCE">
        <w:t>C</w:t>
      </w:r>
      <w:r w:rsidR="0042433C">
        <w:t xml:space="preserve">S bears the burden of establishing by a preponderance of the evidence that its audit findings were correct.  (Cal. Code Regs., tit. 22, § 51037, subd. (i).)  After </w:t>
      </w:r>
      <w:r w:rsidR="00DE37E7">
        <w:t xml:space="preserve">the </w:t>
      </w:r>
      <w:r w:rsidR="0042433C">
        <w:t>DH</w:t>
      </w:r>
      <w:r w:rsidR="00954BCE">
        <w:t>C</w:t>
      </w:r>
      <w:r w:rsidR="0042433C">
        <w:t xml:space="preserve">S has </w:t>
      </w:r>
      <w:r w:rsidR="00CF16A2">
        <w:t xml:space="preserve">made </w:t>
      </w:r>
      <w:r w:rsidR="0042433C">
        <w:t>a prima facie case, the burden shi</w:t>
      </w:r>
      <w:r w:rsidR="00D714BB">
        <w:t>f</w:t>
      </w:r>
      <w:r w:rsidR="0042433C">
        <w:t xml:space="preserve">ts to the provider to demonstrate by a preponderance of the evidence that its position is correct.  </w:t>
      </w:r>
      <w:r w:rsidR="006618C4">
        <w:t>(</w:t>
      </w:r>
      <w:r w:rsidR="0042433C">
        <w:rPr>
          <w:i/>
          <w:iCs/>
        </w:rPr>
        <w:t>Ibid</w:t>
      </w:r>
      <w:r w:rsidR="006618C4">
        <w:t xml:space="preserve">.)  </w:t>
      </w:r>
      <w:bookmarkEnd w:id="7"/>
    </w:p>
    <w:p w14:paraId="3A45CCC2" w14:textId="5CC843ED" w:rsidR="003B3B2E" w:rsidRDefault="002206B9" w:rsidP="003B3B2E">
      <w:pPr>
        <w:keepNext/>
        <w:ind w:firstLine="720"/>
        <w:rPr>
          <w:i/>
          <w:iCs/>
        </w:rPr>
      </w:pPr>
      <w:r>
        <w:t>2.</w:t>
      </w:r>
      <w:r>
        <w:tab/>
      </w:r>
      <w:r w:rsidR="005763E1" w:rsidRPr="002748C0">
        <w:rPr>
          <w:i/>
          <w:iCs/>
        </w:rPr>
        <w:t>Factual backgroun</w:t>
      </w:r>
      <w:r>
        <w:rPr>
          <w:i/>
          <w:iCs/>
        </w:rPr>
        <w:t>d</w:t>
      </w:r>
    </w:p>
    <w:p w14:paraId="0CE99C22" w14:textId="09E2CAAB" w:rsidR="000431B7" w:rsidRPr="003B3B2E" w:rsidRDefault="002206B9" w:rsidP="003B3B2E">
      <w:pPr>
        <w:keepNext/>
        <w:ind w:firstLine="720"/>
        <w:rPr>
          <w:i/>
          <w:iCs/>
        </w:rPr>
      </w:pPr>
      <w:r>
        <w:rPr>
          <w:i/>
          <w:iCs/>
        </w:rPr>
        <w:tab/>
      </w:r>
      <w:r w:rsidRPr="003B3B2E">
        <w:t>a.</w:t>
      </w:r>
      <w:r w:rsidRPr="003B3B2E">
        <w:tab/>
      </w:r>
      <w:r w:rsidRPr="003B3B2E">
        <w:rPr>
          <w:i/>
          <w:iCs/>
        </w:rPr>
        <w:t>December 2016 audit</w:t>
      </w:r>
      <w:r w:rsidR="0077195C" w:rsidRPr="003B3B2E">
        <w:rPr>
          <w:i/>
          <w:iCs/>
        </w:rPr>
        <w:t xml:space="preserve"> and appeal</w:t>
      </w:r>
    </w:p>
    <w:p w14:paraId="58777A6C" w14:textId="33C92F76" w:rsidR="00BE010D" w:rsidRDefault="002206B9" w:rsidP="00ED4506">
      <w:r>
        <w:tab/>
      </w:r>
      <w:r w:rsidR="001A1265">
        <w:t xml:space="preserve">In </w:t>
      </w:r>
      <w:r w:rsidR="004270DF">
        <w:t xml:space="preserve">December </w:t>
      </w:r>
      <w:r w:rsidR="001A1265">
        <w:t xml:space="preserve">2016, </w:t>
      </w:r>
      <w:r w:rsidR="00DE37E7">
        <w:t xml:space="preserve">the </w:t>
      </w:r>
      <w:r w:rsidR="001A1265">
        <w:t>DH</w:t>
      </w:r>
      <w:r w:rsidR="00954BCE">
        <w:t>C</w:t>
      </w:r>
      <w:r w:rsidR="001A1265">
        <w:t xml:space="preserve">S audited </w:t>
      </w:r>
      <w:r w:rsidR="003B3B2E">
        <w:t>plaintiff</w:t>
      </w:r>
      <w:r w:rsidR="001A1265">
        <w:t xml:space="preserve">’s 2013 cost report and reclassified </w:t>
      </w:r>
      <w:r w:rsidR="00E7340F">
        <w:t>as non</w:t>
      </w:r>
      <w:r w:rsidR="00500CBE">
        <w:t>reimbursable</w:t>
      </w:r>
      <w:r w:rsidR="00E7340F">
        <w:t xml:space="preserve"> </w:t>
      </w:r>
      <w:r w:rsidR="001A1265">
        <w:t>$78,032 in salary and benefit expenses that were for community outreach.</w:t>
      </w:r>
      <w:r w:rsidR="00E7340F">
        <w:t xml:space="preserve">  </w:t>
      </w:r>
      <w:r w:rsidR="002E04D3">
        <w:t xml:space="preserve">The </w:t>
      </w:r>
      <w:r>
        <w:t xml:space="preserve">audit </w:t>
      </w:r>
      <w:r w:rsidR="002E04D3">
        <w:t xml:space="preserve">report noted </w:t>
      </w:r>
      <w:r w:rsidR="00432C32">
        <w:t xml:space="preserve">(1) </w:t>
      </w:r>
      <w:r w:rsidR="002E04D3">
        <w:t>there was insufficient documentation demonstrating that the expenses were related to services and supplies incident to a</w:t>
      </w:r>
      <w:r w:rsidR="00CF16A2">
        <w:t>n</w:t>
      </w:r>
      <w:r w:rsidR="002E04D3">
        <w:t xml:space="preserve"> FQHC visit</w:t>
      </w:r>
      <w:r w:rsidR="00432C32">
        <w:t xml:space="preserve">, and (2) the expenses were not a covered benefit under </w:t>
      </w:r>
      <w:r w:rsidR="003B3B2E">
        <w:t xml:space="preserve">Welfare and Institutions Code </w:t>
      </w:r>
      <w:r w:rsidR="00432C32">
        <w:t>section 14132.100</w:t>
      </w:r>
      <w:r w:rsidR="002E04D3">
        <w:t xml:space="preserve">.  </w:t>
      </w:r>
      <w:r w:rsidR="00500CBE">
        <w:t>The report further noted the documentation was insufficient under 42 C</w:t>
      </w:r>
      <w:r w:rsidR="005A3E19">
        <w:t xml:space="preserve">ode of Federal Regulations </w:t>
      </w:r>
      <w:r w:rsidR="00B16C2E">
        <w:t xml:space="preserve">parts </w:t>
      </w:r>
      <w:r w:rsidR="00500CBE">
        <w:t xml:space="preserve">413.9, 413.20, and 413.24; </w:t>
      </w:r>
      <w:r w:rsidR="006D60C2">
        <w:t>PRM</w:t>
      </w:r>
      <w:r w:rsidR="00500CBE">
        <w:t xml:space="preserve"> section</w:t>
      </w:r>
      <w:r w:rsidR="0077269E">
        <w:t>s</w:t>
      </w:r>
      <w:r w:rsidR="00500CBE">
        <w:t xml:space="preserve"> 2102, 2300, 2304, and 2328; </w:t>
      </w:r>
      <w:r w:rsidR="005C42E9">
        <w:t>sections 1395x(s)(2)(A), 1395x(</w:t>
      </w:r>
      <w:r w:rsidR="0013608E">
        <w:t>AA</w:t>
      </w:r>
      <w:r w:rsidR="005C42E9">
        <w:t>)(1)(A)-(1)(C), 1396d(a)(2)(C), and 1396(d)(1)(2)</w:t>
      </w:r>
      <w:r w:rsidR="00D86197">
        <w:t xml:space="preserve"> of title 42 of the United States Code</w:t>
      </w:r>
      <w:r w:rsidR="005C42E9">
        <w:t xml:space="preserve">; and State Plan Amendments 09-001 and 09-015.  </w:t>
      </w:r>
    </w:p>
    <w:p w14:paraId="77922B35" w14:textId="3463D208" w:rsidR="000D3F50" w:rsidRDefault="002206B9" w:rsidP="000D3F50">
      <w:r>
        <w:tab/>
      </w:r>
      <w:r w:rsidR="005A3E19">
        <w:t>Plaintiff</w:t>
      </w:r>
      <w:r>
        <w:t xml:space="preserve"> appealed </w:t>
      </w:r>
      <w:r w:rsidR="00DE37E7">
        <w:t xml:space="preserve">the </w:t>
      </w:r>
      <w:r>
        <w:t>DH</w:t>
      </w:r>
      <w:r w:rsidR="00954BCE">
        <w:t>C</w:t>
      </w:r>
      <w:r>
        <w:t xml:space="preserve">S’s determination in January 2017.  After holding an informal hearing in March 2017, the hearing auditor upheld the adjustment in May 2017.  </w:t>
      </w:r>
      <w:r w:rsidR="003F029B">
        <w:t xml:space="preserve">The hearing </w:t>
      </w:r>
      <w:r w:rsidR="00212E56">
        <w:t>auditor</w:t>
      </w:r>
      <w:r w:rsidR="00E62967">
        <w:t xml:space="preserve"> reasoned that </w:t>
      </w:r>
      <w:r w:rsidR="00D86197">
        <w:t xml:space="preserve">Welfare and Institutions </w:t>
      </w:r>
      <w:r w:rsidR="00D714BB">
        <w:t xml:space="preserve">Code </w:t>
      </w:r>
      <w:r w:rsidR="00C215EB">
        <w:t>section 14132.100 defines the FQHC covered benefits</w:t>
      </w:r>
      <w:r w:rsidR="00CF16A2">
        <w:t xml:space="preserve"> </w:t>
      </w:r>
      <w:r w:rsidR="00C215EB">
        <w:t xml:space="preserve">reimbursable under the Medi-Cal program as physician services and services and supplies that meet the definition of being incident to an FQHC visit.  The hearing auditor found that </w:t>
      </w:r>
      <w:r w:rsidR="00FB15E2">
        <w:t xml:space="preserve">plaintiff </w:t>
      </w:r>
      <w:r w:rsidR="00C215EB">
        <w:t>had failed to demonstrate that its outreach encounters lead to a</w:t>
      </w:r>
      <w:r w:rsidR="00D714BB">
        <w:t>n</w:t>
      </w:r>
      <w:r w:rsidR="00C215EB">
        <w:t xml:space="preserve"> FQHC visit and a covered benefit under the Welfare and Institutions </w:t>
      </w:r>
      <w:r w:rsidR="00D714BB">
        <w:t>C</w:t>
      </w:r>
      <w:r w:rsidR="00C215EB">
        <w:t xml:space="preserve">ode.  </w:t>
      </w:r>
      <w:r w:rsidR="00C3316F">
        <w:t xml:space="preserve">In June 2017, </w:t>
      </w:r>
      <w:r>
        <w:t>plaintiff</w:t>
      </w:r>
      <w:r w:rsidR="00C3316F">
        <w:t xml:space="preserve"> requested a formal hearing.  </w:t>
      </w:r>
    </w:p>
    <w:p w14:paraId="37865828" w14:textId="1D8EA93A" w:rsidR="0077195C" w:rsidRDefault="002206B9" w:rsidP="000D3F50">
      <w:pPr>
        <w:keepNext/>
      </w:pPr>
      <w:r>
        <w:lastRenderedPageBreak/>
        <w:tab/>
      </w:r>
      <w:r>
        <w:tab/>
        <w:t>b.</w:t>
      </w:r>
      <w:r>
        <w:tab/>
      </w:r>
      <w:r w:rsidRPr="000D3F50">
        <w:rPr>
          <w:i/>
          <w:iCs/>
        </w:rPr>
        <w:t>October 2017 hearing</w:t>
      </w:r>
    </w:p>
    <w:p w14:paraId="5D70C363" w14:textId="7DDDF365" w:rsidR="00CF55B8" w:rsidRDefault="002206B9" w:rsidP="00ED4506">
      <w:r>
        <w:tab/>
      </w:r>
      <w:r w:rsidR="00EE71C2">
        <w:t xml:space="preserve">During the October 2017 </w:t>
      </w:r>
      <w:r>
        <w:t>hearing</w:t>
      </w:r>
      <w:r w:rsidR="00EE71C2">
        <w:t xml:space="preserve">, </w:t>
      </w:r>
      <w:r>
        <w:t>Jeff Cates</w:t>
      </w:r>
      <w:r w:rsidR="006F3F79">
        <w:t>,</w:t>
      </w:r>
      <w:r>
        <w:t xml:space="preserve"> </w:t>
      </w:r>
      <w:r w:rsidR="006F3F79">
        <w:t xml:space="preserve">a health program auditor for </w:t>
      </w:r>
      <w:r w:rsidR="00DE37E7">
        <w:t xml:space="preserve">the </w:t>
      </w:r>
      <w:r w:rsidR="006F3F79">
        <w:t xml:space="preserve">DHCS, testified first.  At the time, Cates </w:t>
      </w:r>
      <w:r>
        <w:t xml:space="preserve">had worked for over 17 years </w:t>
      </w:r>
      <w:r w:rsidR="006F3F79">
        <w:t>at</w:t>
      </w:r>
      <w:r w:rsidR="00DE37E7">
        <w:t xml:space="preserve"> the</w:t>
      </w:r>
      <w:r w:rsidR="006F3F79">
        <w:t xml:space="preserve"> DHCS </w:t>
      </w:r>
      <w:r w:rsidR="0030782D">
        <w:t>and had conducted approximately 200 audits</w:t>
      </w:r>
      <w:r>
        <w:t xml:space="preserve">.  </w:t>
      </w:r>
      <w:r w:rsidR="003C5C67">
        <w:t>He agree</w:t>
      </w:r>
      <w:r w:rsidR="00E712D2">
        <w:t>d</w:t>
      </w:r>
      <w:r w:rsidR="003C5C67">
        <w:t xml:space="preserve"> with </w:t>
      </w:r>
      <w:r w:rsidR="006F3F79">
        <w:t xml:space="preserve">the </w:t>
      </w:r>
      <w:r w:rsidR="003C5C67">
        <w:t>report</w:t>
      </w:r>
      <w:r w:rsidR="00E712D2">
        <w:t>’s</w:t>
      </w:r>
      <w:r w:rsidR="003C5C67">
        <w:t xml:space="preserve"> conclusion </w:t>
      </w:r>
      <w:r w:rsidR="00E712D2">
        <w:t xml:space="preserve">and </w:t>
      </w:r>
      <w:r w:rsidR="006F3F79">
        <w:t xml:space="preserve">testified to the accuracy of the basis for </w:t>
      </w:r>
      <w:r w:rsidR="00E712D2">
        <w:t xml:space="preserve">reclassification of </w:t>
      </w:r>
      <w:r w:rsidR="006F3F79">
        <w:t xml:space="preserve">plaintiff’s </w:t>
      </w:r>
      <w:r w:rsidR="00E712D2">
        <w:t xml:space="preserve">outreach costs as </w:t>
      </w:r>
      <w:r w:rsidR="00D714BB">
        <w:t>non</w:t>
      </w:r>
      <w:r w:rsidR="00E712D2">
        <w:t>reimbursable</w:t>
      </w:r>
      <w:r w:rsidR="003C5C67">
        <w:t xml:space="preserve">.  </w:t>
      </w:r>
      <w:r w:rsidR="00E712D2">
        <w:t xml:space="preserve">Cates had reviewed </w:t>
      </w:r>
      <w:r w:rsidR="00297ED9">
        <w:t>plaintiff</w:t>
      </w:r>
      <w:r w:rsidR="00B16469">
        <w:t xml:space="preserve">’s salary detail, job descriptions for those providing outreach services, and state plan amendments and regulations.  </w:t>
      </w:r>
      <w:r w:rsidR="00E712D2">
        <w:t xml:space="preserve">In Cates’s opinion, </w:t>
      </w:r>
      <w:r w:rsidR="00297ED9">
        <w:t>plaintiff</w:t>
      </w:r>
      <w:r w:rsidR="00E712D2">
        <w:t xml:space="preserve">’s </w:t>
      </w:r>
      <w:r w:rsidR="005F2D3D">
        <w:t xml:space="preserve">outreach costs were not allowable under the applicable regulations.  </w:t>
      </w:r>
    </w:p>
    <w:p w14:paraId="69B02436" w14:textId="41F25CB7" w:rsidR="00854731" w:rsidRDefault="002206B9" w:rsidP="00ED4506">
      <w:r>
        <w:tab/>
      </w:r>
      <w:r w:rsidR="00297ED9">
        <w:t>Plaintiff</w:t>
      </w:r>
      <w:r w:rsidR="005E45F1">
        <w:t xml:space="preserve">’s </w:t>
      </w:r>
      <w:r w:rsidR="00297ED9">
        <w:t>chief executive officer</w:t>
      </w:r>
      <w:r w:rsidR="00D714BB">
        <w:t>,</w:t>
      </w:r>
      <w:r w:rsidR="00297ED9">
        <w:t xml:space="preserve"> </w:t>
      </w:r>
      <w:r>
        <w:t>Fran Butler-Cohen</w:t>
      </w:r>
      <w:r w:rsidR="00D714BB">
        <w:t>,</w:t>
      </w:r>
      <w:r w:rsidR="005E45F1">
        <w:t xml:space="preserve"> </w:t>
      </w:r>
      <w:r>
        <w:t>testified</w:t>
      </w:r>
      <w:r w:rsidR="00DE37E7">
        <w:t xml:space="preserve"> next</w:t>
      </w:r>
      <w:r w:rsidR="006F3F79">
        <w:t xml:space="preserve">.  She explained </w:t>
      </w:r>
      <w:r>
        <w:t>that</w:t>
      </w:r>
      <w:r w:rsidR="006C5C8C">
        <w:t xml:space="preserve"> </w:t>
      </w:r>
      <w:r w:rsidR="00297ED9">
        <w:t>plaintiff</w:t>
      </w:r>
      <w:r w:rsidR="006C5C8C">
        <w:t xml:space="preserve"> </w:t>
      </w:r>
      <w:r w:rsidR="00897B98">
        <w:t xml:space="preserve">served </w:t>
      </w:r>
      <w:r w:rsidR="006C5C8C">
        <w:t>low</w:t>
      </w:r>
      <w:r w:rsidR="00F563C4">
        <w:t>-</w:t>
      </w:r>
      <w:r w:rsidR="006C5C8C">
        <w:t xml:space="preserve">income </w:t>
      </w:r>
      <w:r w:rsidR="00D3158D">
        <w:t xml:space="preserve">and diverse </w:t>
      </w:r>
      <w:r w:rsidR="006C5C8C">
        <w:t xml:space="preserve">populations that often are unaware </w:t>
      </w:r>
      <w:r w:rsidR="00897B98">
        <w:t xml:space="preserve">of the existence of </w:t>
      </w:r>
      <w:r w:rsidR="006C5C8C">
        <w:t xml:space="preserve">affordable or free health care services.  </w:t>
      </w:r>
      <w:r w:rsidR="00644AEE">
        <w:t xml:space="preserve">Plaintiff </w:t>
      </w:r>
      <w:r w:rsidR="00EC3502">
        <w:t>required its</w:t>
      </w:r>
      <w:r w:rsidR="000868EC">
        <w:t xml:space="preserve"> </w:t>
      </w:r>
      <w:r>
        <w:t xml:space="preserve">outreach workers to </w:t>
      </w:r>
      <w:r w:rsidR="000868EC">
        <w:t xml:space="preserve">go into the community and </w:t>
      </w:r>
      <w:r>
        <w:t xml:space="preserve">make medical appointments for people </w:t>
      </w:r>
      <w:r w:rsidR="00DE37E7">
        <w:t xml:space="preserve">with whom </w:t>
      </w:r>
      <w:r>
        <w:t>they c</w:t>
      </w:r>
      <w:r w:rsidR="00D714BB">
        <w:t>a</w:t>
      </w:r>
      <w:r>
        <w:t>me in contact</w:t>
      </w:r>
      <w:r w:rsidR="00847797">
        <w:t xml:space="preserve">, such as an outpatient visit, a pregnancy test, or entry </w:t>
      </w:r>
      <w:r w:rsidR="00D714BB">
        <w:t>in</w:t>
      </w:r>
      <w:r w:rsidR="00847797">
        <w:t>to the prenatal program</w:t>
      </w:r>
      <w:r>
        <w:t xml:space="preserve">.  </w:t>
      </w:r>
      <w:r w:rsidR="000868EC">
        <w:t xml:space="preserve">In her experience, patients contacted by outreach workers had a “very high show rate,” typically between 75 to 85 percent.  </w:t>
      </w:r>
      <w:r w:rsidR="00671392">
        <w:t xml:space="preserve">It is </w:t>
      </w:r>
      <w:r w:rsidR="00644AEE">
        <w:t xml:space="preserve">plaintiff’s </w:t>
      </w:r>
      <w:r w:rsidR="00671392">
        <w:t xml:space="preserve">practice to track the appointment rates for </w:t>
      </w:r>
      <w:r w:rsidR="00A856D3">
        <w:t>i</w:t>
      </w:r>
      <w:r w:rsidR="00671392">
        <w:t>ndividual outreach workers</w:t>
      </w:r>
      <w:r w:rsidR="000F2F66">
        <w:t xml:space="preserve"> and actual services received</w:t>
      </w:r>
      <w:r w:rsidR="00671392">
        <w:t xml:space="preserve">.  </w:t>
      </w:r>
      <w:r w:rsidR="00E60BFE">
        <w:t xml:space="preserve">She </w:t>
      </w:r>
      <w:r w:rsidR="00EC3502">
        <w:t xml:space="preserve">provided </w:t>
      </w:r>
      <w:r w:rsidR="00E60BFE">
        <w:t xml:space="preserve">a sample billing ledger </w:t>
      </w:r>
      <w:r w:rsidR="00B05E92">
        <w:t xml:space="preserve">that lists </w:t>
      </w:r>
      <w:r w:rsidR="00AF1FBE">
        <w:t xml:space="preserve">the services that occurred for </w:t>
      </w:r>
      <w:r w:rsidR="006417F8">
        <w:t xml:space="preserve">some of the patients that were </w:t>
      </w:r>
      <w:r w:rsidR="00DE37E7">
        <w:t xml:space="preserve">contacted </w:t>
      </w:r>
      <w:r w:rsidR="006417F8">
        <w:t xml:space="preserve">by outreach workers. </w:t>
      </w:r>
      <w:r w:rsidR="00AF1FBE">
        <w:t xml:space="preserve"> </w:t>
      </w:r>
    </w:p>
    <w:p w14:paraId="67187369" w14:textId="432DA83E" w:rsidR="00B05E92" w:rsidRDefault="002206B9" w:rsidP="00ED4506">
      <w:r>
        <w:tab/>
        <w:t>Butler-Cohen testified that</w:t>
      </w:r>
      <w:r w:rsidR="007021EC">
        <w:t>, in her opinion, FQHC’s are mandated</w:t>
      </w:r>
      <w:r w:rsidR="007F2395">
        <w:t xml:space="preserve"> by the federal government and the state</w:t>
      </w:r>
      <w:r w:rsidR="007021EC">
        <w:t xml:space="preserve"> to perform outreach services, and therefore such costs were allowable.  </w:t>
      </w:r>
      <w:r w:rsidR="00336142">
        <w:t xml:space="preserve">She </w:t>
      </w:r>
      <w:r w:rsidR="00D714BB">
        <w:t xml:space="preserve">cited several </w:t>
      </w:r>
      <w:r w:rsidR="00FA549A">
        <w:t xml:space="preserve">documents in support of her opinion.  For example, </w:t>
      </w:r>
      <w:r w:rsidR="00DE37E7">
        <w:t xml:space="preserve">the </w:t>
      </w:r>
      <w:r w:rsidR="00336142">
        <w:t>DHC</w:t>
      </w:r>
      <w:r w:rsidR="00644AEE">
        <w:t>S</w:t>
      </w:r>
      <w:r w:rsidR="00336142">
        <w:t xml:space="preserve">’s grant application form for FQHC’s lists “outreach” in the “required services provided” section.  </w:t>
      </w:r>
      <w:r w:rsidR="00924A70">
        <w:t xml:space="preserve">As reflected in the application, </w:t>
      </w:r>
      <w:r w:rsidR="00FB15E2">
        <w:t>plaintiff</w:t>
      </w:r>
      <w:r w:rsidR="00924A70">
        <w:t xml:space="preserve"> provided outreach services directly.  </w:t>
      </w:r>
      <w:r w:rsidR="008A636E">
        <w:t xml:space="preserve">As part of its nonclinical outreach, </w:t>
      </w:r>
      <w:r w:rsidR="00644AEE">
        <w:t xml:space="preserve">plaintiff </w:t>
      </w:r>
      <w:r w:rsidR="00217BAB">
        <w:t xml:space="preserve">also </w:t>
      </w:r>
      <w:r w:rsidR="008A636E">
        <w:t xml:space="preserve">provided counseling regarding eligibility for services, counseling regarding HIV-related issues, and counseling to teens regarding sexual </w:t>
      </w:r>
      <w:r w:rsidR="00DE37E7">
        <w:t xml:space="preserve">education </w:t>
      </w:r>
      <w:r w:rsidR="008A636E">
        <w:t xml:space="preserve">and health.  </w:t>
      </w:r>
      <w:r w:rsidR="00DF3ECB">
        <w:t xml:space="preserve">In addition, </w:t>
      </w:r>
      <w:r w:rsidR="00644AEE">
        <w:t xml:space="preserve">plaintiff </w:t>
      </w:r>
      <w:r w:rsidR="00DF3ECB">
        <w:t xml:space="preserve">provided outreach “for the specific purpose of developing awareness of each clinic’s presence, resources, cultural </w:t>
      </w:r>
      <w:r w:rsidR="00DF3ECB">
        <w:lastRenderedPageBreak/>
        <w:t>competence, and desire to serve among members of [</w:t>
      </w:r>
      <w:r w:rsidR="00644AEE">
        <w:t>plaintiff</w:t>
      </w:r>
      <w:r w:rsidR="00DF3ECB">
        <w:t xml:space="preserve">’s] target populations.”  </w:t>
      </w:r>
      <w:r w:rsidR="00575B9B">
        <w:t>Plaintiff performed these tasks “in the street, in schools, in agen</w:t>
      </w:r>
      <w:r w:rsidR="00C245BA">
        <w:t>[</w:t>
      </w:r>
      <w:r w:rsidR="00575B9B">
        <w:t>cies</w:t>
      </w:r>
      <w:r w:rsidR="00C245BA">
        <w:t>], business venues [such as LGBTQ bars and clubs</w:t>
      </w:r>
      <w:r w:rsidR="00DE37E7">
        <w:t>, etc.</w:t>
      </w:r>
      <w:r w:rsidR="00C245BA">
        <w:t>],</w:t>
      </w:r>
      <w:r w:rsidR="00DE37E7">
        <w:t xml:space="preserve"> </w:t>
      </w:r>
      <w:r w:rsidR="00C245BA">
        <w:t xml:space="preserve">[and] other public venues such as beaches and parks.”  </w:t>
      </w:r>
      <w:r w:rsidR="005F6BAB">
        <w:t>Butler-Cohen testified</w:t>
      </w:r>
      <w:r w:rsidR="00F60D36">
        <w:t xml:space="preserve"> that</w:t>
      </w:r>
      <w:r w:rsidR="005F6BAB">
        <w:t xml:space="preserve"> the purpose of </w:t>
      </w:r>
      <w:r w:rsidR="00F60D36">
        <w:t>the company’s</w:t>
      </w:r>
      <w:r w:rsidR="005F6BAB">
        <w:t xml:space="preserve"> efforts </w:t>
      </w:r>
      <w:r w:rsidR="00F60D36">
        <w:t>was</w:t>
      </w:r>
      <w:r w:rsidR="005F6BAB">
        <w:t xml:space="preserve"> to “get the word out, so to speak, for the various services we provide.”  </w:t>
      </w:r>
    </w:p>
    <w:p w14:paraId="794DB1E1" w14:textId="300E4BC7" w:rsidR="00374A4C" w:rsidRDefault="002206B9" w:rsidP="004E493B">
      <w:r>
        <w:tab/>
      </w:r>
      <w:r w:rsidR="00217BAB">
        <w:t xml:space="preserve">Butler-Cohen also cited </w:t>
      </w:r>
      <w:r w:rsidR="00FA549A">
        <w:t>a</w:t>
      </w:r>
      <w:r w:rsidR="006414BD">
        <w:t xml:space="preserve"> document </w:t>
      </w:r>
      <w:r w:rsidR="00E177F7">
        <w:t xml:space="preserve">published by the Health Resources and Services Administration (which regulates </w:t>
      </w:r>
      <w:r w:rsidR="00644AEE">
        <w:t>plaintiff</w:t>
      </w:r>
      <w:r w:rsidR="00E177F7">
        <w:t xml:space="preserve">) </w:t>
      </w:r>
      <w:r w:rsidR="006414BD">
        <w:t>titled “Program Requirements,”</w:t>
      </w:r>
      <w:r w:rsidR="00235BE5">
        <w:t xml:space="preserve"> </w:t>
      </w:r>
      <w:r>
        <w:t>which lists outreach as a required se</w:t>
      </w:r>
      <w:r>
        <w:t>rvice to be provided by a FQHC</w:t>
      </w:r>
      <w:r w:rsidR="00FA549A">
        <w:t xml:space="preserve"> like </w:t>
      </w:r>
      <w:r w:rsidR="00644AEE">
        <w:t>plaintiff</w:t>
      </w:r>
      <w:r>
        <w:t xml:space="preserve">.  </w:t>
      </w:r>
      <w:r w:rsidR="009B1DF3">
        <w:t>The document explains that “</w:t>
      </w:r>
      <w:r w:rsidR="00644AEE">
        <w:t>[o]</w:t>
      </w:r>
      <w:r w:rsidR="002F4D5A">
        <w:t>utreach services are a broad range of culturally and linguistically appropriate activities focused on recruiting and retaining patients from the target population/service area.  [¶]  A</w:t>
      </w:r>
      <w:r w:rsidR="009B1DF3">
        <w:t xml:space="preserve">t a minimum, </w:t>
      </w:r>
      <w:r w:rsidR="002F4D5A">
        <w:t xml:space="preserve">these services </w:t>
      </w:r>
      <w:r w:rsidR="009B1DF3">
        <w:t xml:space="preserve">must promote awareness of the health center’s services and support entry into care.  [¶]  These services do not involve direct patient care where a provider is generating a face-to-face visit with a patient, documenting the care in a patient </w:t>
      </w:r>
      <w:r w:rsidR="00A765F6">
        <w:t xml:space="preserve">medical </w:t>
      </w:r>
      <w:r w:rsidR="009B1DF3">
        <w:t xml:space="preserve">record, or exercising clinical judgment in the provision of services to a patient.”  </w:t>
      </w:r>
      <w:r w:rsidR="00043A13">
        <w:t xml:space="preserve">The document references section 330(b)(1)(A)(iv) </w:t>
      </w:r>
      <w:r w:rsidR="00235BE5">
        <w:t xml:space="preserve">of the Public Health Service Act </w:t>
      </w:r>
      <w:r w:rsidR="00043A13">
        <w:t>and 42 C</w:t>
      </w:r>
      <w:r w:rsidR="002513A2">
        <w:t xml:space="preserve">ode of Federal Regulations </w:t>
      </w:r>
      <w:r w:rsidR="00AE1338">
        <w:t>p</w:t>
      </w:r>
      <w:r w:rsidR="00043A13">
        <w:t>art 51c</w:t>
      </w:r>
      <w:r w:rsidR="00217BAB">
        <w:t>.</w:t>
      </w:r>
      <w:r w:rsidR="00043A13">
        <w:t>102(j)</w:t>
      </w:r>
      <w:r w:rsidR="003D00A7">
        <w:t>(14).</w:t>
      </w:r>
      <w:r w:rsidR="004C69A2">
        <w:t xml:space="preserve">  </w:t>
      </w:r>
      <w:r w:rsidR="004E493B">
        <w:t xml:space="preserve">She further testified about </w:t>
      </w:r>
      <w:r>
        <w:t>a “Policy Information Notice” published by the Hea</w:t>
      </w:r>
      <w:r w:rsidR="006F3F79">
        <w:t>l</w:t>
      </w:r>
      <w:r>
        <w:t>th Resources and Services Administration, list</w:t>
      </w:r>
      <w:r w:rsidR="000E1DFF">
        <w:t>ing</w:t>
      </w:r>
      <w:r>
        <w:t xml:space="preserve"> nonclinical outreach as a service that </w:t>
      </w:r>
      <w:r w:rsidR="00E10A98">
        <w:t xml:space="preserve">may be (and often is) </w:t>
      </w:r>
      <w:r w:rsidR="005D7087">
        <w:t>provided by FQHC</w:t>
      </w:r>
      <w:r w:rsidR="00AE1338">
        <w:t>’</w:t>
      </w:r>
      <w:r w:rsidR="005D7087">
        <w:t>s</w:t>
      </w:r>
      <w:r>
        <w:t xml:space="preserve">.  </w:t>
      </w:r>
      <w:r w:rsidR="008B0D1D">
        <w:t>The document explains that “</w:t>
      </w:r>
      <w:r w:rsidR="00EF41E9">
        <w:t>[i]</w:t>
      </w:r>
      <w:r w:rsidR="008B0D1D">
        <w:t>f it is the polic</w:t>
      </w:r>
      <w:r w:rsidR="005870CB">
        <w:t>y</w:t>
      </w:r>
      <w:r w:rsidR="008B0D1D">
        <w:t xml:space="preserve"> of the grantee that staff conduct outreach where no clinical services are offered, the grantee should list the activity as ‘non-clinical outreach.’ ”  </w:t>
      </w:r>
    </w:p>
    <w:p w14:paraId="4AE5DB48" w14:textId="450D656D" w:rsidR="00FF3A9C" w:rsidRDefault="002206B9" w:rsidP="00ED4506">
      <w:bookmarkStart w:id="8" w:name="_Hlk69293660"/>
      <w:r>
        <w:tab/>
      </w:r>
      <w:r w:rsidR="00EC06CF">
        <w:t xml:space="preserve">Butler-Cohen </w:t>
      </w:r>
      <w:r w:rsidR="00DC6E25">
        <w:t xml:space="preserve">testified that a 1994 letter from </w:t>
      </w:r>
      <w:r w:rsidR="0015499A">
        <w:t>Sally Richardson</w:t>
      </w:r>
      <w:r w:rsidR="00EF41E9">
        <w:t xml:space="preserve">, </w:t>
      </w:r>
      <w:r w:rsidR="00DC6E25">
        <w:t>the</w:t>
      </w:r>
      <w:r w:rsidR="006E0CAA">
        <w:t xml:space="preserve"> then-</w:t>
      </w:r>
      <w:r w:rsidR="00DC6E25">
        <w:t xml:space="preserve">Director of the </w:t>
      </w:r>
      <w:r w:rsidR="008A47CA">
        <w:t xml:space="preserve">federal </w:t>
      </w:r>
      <w:r w:rsidR="00DC6E25">
        <w:t>Medicaid Bureau at the Department of Health and Human Services</w:t>
      </w:r>
      <w:r w:rsidR="0015499A">
        <w:t xml:space="preserve">, </w:t>
      </w:r>
      <w:r w:rsidR="006E0CAA">
        <w:t xml:space="preserve">addressed to the state Medicaid director states that Medicaid outreach is “ ‘an administrative cost necessary for the proper and efficient administration of the state plan.’ ”  </w:t>
      </w:r>
      <w:r w:rsidR="008A47CA">
        <w:t>I</w:t>
      </w:r>
      <w:r w:rsidR="0015499A">
        <w:t xml:space="preserve">n Butler-Cohen’s opinion, Richardson’s </w:t>
      </w:r>
      <w:r w:rsidR="00CC1F28">
        <w:t xml:space="preserve">letter </w:t>
      </w:r>
      <w:r w:rsidR="008A47CA">
        <w:t>establishe</w:t>
      </w:r>
      <w:r w:rsidR="00BA2488">
        <w:t>d</w:t>
      </w:r>
      <w:r w:rsidR="008A47CA">
        <w:t xml:space="preserve"> </w:t>
      </w:r>
      <w:r w:rsidR="00CC1F28">
        <w:t>that outreach is an allowable expense</w:t>
      </w:r>
      <w:r w:rsidR="00EF41E9">
        <w:t xml:space="preserve">.  </w:t>
      </w:r>
    </w:p>
    <w:p w14:paraId="6810FD34" w14:textId="3F63E733" w:rsidR="0050237A" w:rsidRDefault="002206B9" w:rsidP="00ED4506">
      <w:r>
        <w:lastRenderedPageBreak/>
        <w:tab/>
        <w:t xml:space="preserve">Butler-Cohen </w:t>
      </w:r>
      <w:r w:rsidR="00BA2488">
        <w:t xml:space="preserve">also cited </w:t>
      </w:r>
      <w:r>
        <w:t xml:space="preserve">legislation and regulations </w:t>
      </w:r>
      <w:r w:rsidR="00BA2488">
        <w:t xml:space="preserve">that she believed </w:t>
      </w:r>
      <w:r>
        <w:t>support</w:t>
      </w:r>
      <w:r w:rsidR="00BA2488">
        <w:t>ed</w:t>
      </w:r>
      <w:r>
        <w:t xml:space="preserve"> her opinion regarding reimbursement for outreach costs.  She testified that 4</w:t>
      </w:r>
      <w:r w:rsidR="001A429D">
        <w:t>2</w:t>
      </w:r>
      <w:r>
        <w:t xml:space="preserve"> </w:t>
      </w:r>
      <w:r w:rsidR="00EF41E9">
        <w:t xml:space="preserve">Code of Federal Regulations part </w:t>
      </w:r>
      <w:r>
        <w:t>51c.102</w:t>
      </w:r>
      <w:r w:rsidR="001A429D">
        <w:t>(j)(14)</w:t>
      </w:r>
      <w:r>
        <w:t xml:space="preserve"> defines “</w:t>
      </w:r>
      <w:r w:rsidR="001A429D">
        <w:t>[</w:t>
      </w:r>
      <w:r>
        <w:t>s</w:t>
      </w:r>
      <w:r w:rsidR="001A429D">
        <w:t>]</w:t>
      </w:r>
      <w:r>
        <w:t>upplemental health services” to include “</w:t>
      </w:r>
      <w:r w:rsidR="001A429D">
        <w:t>[</w:t>
      </w:r>
      <w:r>
        <w:t>s</w:t>
      </w:r>
      <w:r w:rsidR="001A429D">
        <w:t>]</w:t>
      </w:r>
      <w:r>
        <w:t>ervices, including the services of outreach workers, which promote and facilitate optimal use of primary health services and [other</w:t>
      </w:r>
      <w:r w:rsidR="001A429D">
        <w:t>]</w:t>
      </w:r>
      <w:r>
        <w:t xml:space="preserve"> services</w:t>
      </w:r>
      <w:r w:rsidR="001A429D">
        <w:t> </w:t>
      </w:r>
      <w:r>
        <w:t>.</w:t>
      </w:r>
      <w:r w:rsidR="001A429D">
        <w:t> . . .</w:t>
      </w:r>
      <w:r>
        <w:t xml:space="preserve">”  </w:t>
      </w:r>
      <w:r w:rsidR="004C3B22">
        <w:t xml:space="preserve">She further opined that outreach was a required </w:t>
      </w:r>
      <w:r>
        <w:t>primary health care service under section 254b, subdivision (b)(1)</w:t>
      </w:r>
      <w:r w:rsidR="001A429D">
        <w:t>(A)</w:t>
      </w:r>
      <w:r>
        <w:t>(iv)</w:t>
      </w:r>
      <w:r w:rsidR="00EF41E9">
        <w:t xml:space="preserve"> of title 42 of the United States Code</w:t>
      </w:r>
      <w:r>
        <w:t xml:space="preserve">. </w:t>
      </w:r>
      <w:r w:rsidR="001A429D">
        <w:t xml:space="preserve"> </w:t>
      </w:r>
    </w:p>
    <w:bookmarkEnd w:id="8"/>
    <w:p w14:paraId="331D928E" w14:textId="1D03A6D9" w:rsidR="005F3F6D" w:rsidRDefault="002206B9" w:rsidP="00ED4506">
      <w:r>
        <w:tab/>
        <w:t xml:space="preserve">Butler-Cohen testified regarding the former </w:t>
      </w:r>
      <w:r w:rsidR="005A720F">
        <w:t>“</w:t>
      </w:r>
      <w:r>
        <w:t>Expanded Access to Primary Care</w:t>
      </w:r>
      <w:r w:rsidR="005A720F">
        <w:t>”</w:t>
      </w:r>
      <w:r>
        <w:t xml:space="preserve"> (EAPC)</w:t>
      </w:r>
      <w:r w:rsidR="005A720F">
        <w:t xml:space="preserve"> program</w:t>
      </w:r>
      <w:r>
        <w:t xml:space="preserve">, a state program designed to </w:t>
      </w:r>
      <w:r w:rsidR="005A720F">
        <w:t xml:space="preserve">expand </w:t>
      </w:r>
      <w:r>
        <w:t xml:space="preserve">access to and </w:t>
      </w:r>
      <w:r w:rsidR="005A720F">
        <w:t xml:space="preserve">improve the </w:t>
      </w:r>
      <w:r>
        <w:t xml:space="preserve">quality of outpatient health care for medically indigent persons.  </w:t>
      </w:r>
      <w:r w:rsidR="007E052B">
        <w:t xml:space="preserve">The program information </w:t>
      </w:r>
      <w:r w:rsidR="00BA2488">
        <w:t xml:space="preserve">defined </w:t>
      </w:r>
      <w:r w:rsidR="007E052B">
        <w:t>reimburs</w:t>
      </w:r>
      <w:r w:rsidR="00BA2488">
        <w:t xml:space="preserve">able </w:t>
      </w:r>
      <w:r w:rsidR="007E052B">
        <w:t xml:space="preserve">versus allowable services.  </w:t>
      </w:r>
      <w:r w:rsidR="00C33C95">
        <w:t>For example, outpatient visits were allowable and reimbursed under certain circumstances</w:t>
      </w:r>
      <w:r w:rsidR="00BA2488">
        <w:t xml:space="preserve">, while </w:t>
      </w:r>
      <w:r w:rsidR="005A720F">
        <w:t>“</w:t>
      </w:r>
      <w:r w:rsidR="001744BC">
        <w:t>i</w:t>
      </w:r>
      <w:r w:rsidR="00990A70">
        <w:t xml:space="preserve">nformation sessions for prospective recipients </w:t>
      </w:r>
      <w:r w:rsidR="005A720F">
        <w:t>[</w:t>
      </w:r>
      <w:r w:rsidR="00990A70">
        <w:t>and</w:t>
      </w:r>
      <w:r w:rsidR="005A720F">
        <w:t>]</w:t>
      </w:r>
      <w:r w:rsidR="00990A70">
        <w:t xml:space="preserve"> health presentations to community groups</w:t>
      </w:r>
      <w:r w:rsidR="005A720F">
        <w:t>”</w:t>
      </w:r>
      <w:r w:rsidR="00990A70">
        <w:t xml:space="preserve"> were not reimburs</w:t>
      </w:r>
      <w:r w:rsidR="00BA2488">
        <w:t>able</w:t>
      </w:r>
      <w:r w:rsidR="00990A70">
        <w:t xml:space="preserve">.  </w:t>
      </w:r>
    </w:p>
    <w:p w14:paraId="54F97AC3" w14:textId="1826EDA4" w:rsidR="007C7759" w:rsidRDefault="002206B9" w:rsidP="00ED4506">
      <w:r>
        <w:tab/>
        <w:t xml:space="preserve">Similarly, the May 2010 Affordable Care Act </w:t>
      </w:r>
      <w:r w:rsidR="00091662">
        <w:t xml:space="preserve">(ACA) </w:t>
      </w:r>
      <w:r>
        <w:t>encouraged assistance to low</w:t>
      </w:r>
      <w:r w:rsidR="00AA3C5A">
        <w:t>-</w:t>
      </w:r>
      <w:r>
        <w:t>income indi</w:t>
      </w:r>
      <w:r>
        <w:t>viduals to access and appropriately use health services,</w:t>
      </w:r>
      <w:r w:rsidR="00F84D00">
        <w:t xml:space="preserve"> </w:t>
      </w:r>
      <w:r>
        <w:t>enroll in health coverage programs</w:t>
      </w:r>
      <w:r w:rsidR="00F84D00">
        <w:t xml:space="preserve">, </w:t>
      </w:r>
      <w:r>
        <w:t>obtain a regular primary care provider or a medical home, provide case management and care management, perform health outreach using neighborhood health workers (w</w:t>
      </w:r>
      <w:r>
        <w:t xml:space="preserve">hich </w:t>
      </w:r>
      <w:r w:rsidR="00FB15E2">
        <w:t>plaintiff</w:t>
      </w:r>
      <w:r>
        <w:t xml:space="preserve"> had), </w:t>
      </w:r>
      <w:r w:rsidR="00F84D00">
        <w:t>p</w:t>
      </w:r>
      <w:r>
        <w:t>rovide transportation,</w:t>
      </w:r>
      <w:r w:rsidR="00F84D00">
        <w:t xml:space="preserve"> e</w:t>
      </w:r>
      <w:r>
        <w:t xml:space="preserve">xpand capacity, and </w:t>
      </w:r>
      <w:r w:rsidR="00F84D00">
        <w:t>p</w:t>
      </w:r>
      <w:r>
        <w:t>rovide direct patient care services</w:t>
      </w:r>
      <w:r w:rsidR="00F84D00">
        <w:t xml:space="preserve">.  </w:t>
      </w:r>
    </w:p>
    <w:p w14:paraId="7ADEB43F" w14:textId="3B8F562D" w:rsidR="00091662" w:rsidRDefault="002206B9" w:rsidP="00ED4506">
      <w:r>
        <w:tab/>
        <w:t xml:space="preserve">Butler-Cohen </w:t>
      </w:r>
      <w:r w:rsidR="00C7275F">
        <w:t xml:space="preserve">also </w:t>
      </w:r>
      <w:r>
        <w:t xml:space="preserve">testified regarding </w:t>
      </w:r>
      <w:r w:rsidR="00644372">
        <w:t>a</w:t>
      </w:r>
      <w:r w:rsidR="004E493B">
        <w:t xml:space="preserve"> Medi-Cal timeline produced by </w:t>
      </w:r>
      <w:r w:rsidR="00402C5D">
        <w:t xml:space="preserve">the </w:t>
      </w:r>
      <w:r w:rsidR="004E493B">
        <w:t>DHCS</w:t>
      </w:r>
      <w:r>
        <w:t xml:space="preserve">.  </w:t>
      </w:r>
      <w:r w:rsidR="004E493B">
        <w:t xml:space="preserve">The </w:t>
      </w:r>
      <w:r>
        <w:t>document indicates</w:t>
      </w:r>
      <w:r w:rsidR="004E493B">
        <w:t xml:space="preserve"> that</w:t>
      </w:r>
      <w:r>
        <w:t xml:space="preserve"> when the ACA was adopted in 2010, Califo</w:t>
      </w:r>
      <w:r>
        <w:t xml:space="preserve">rnia </w:t>
      </w:r>
      <w:r w:rsidR="00555BF1">
        <w:t>received $10 billion to implement health coverage for low-income</w:t>
      </w:r>
      <w:r w:rsidR="00814021">
        <w:t xml:space="preserve"> and</w:t>
      </w:r>
      <w:r w:rsidR="00555BF1">
        <w:t xml:space="preserve"> uninsured individuals</w:t>
      </w:r>
      <w:r w:rsidR="00814021">
        <w:t>,</w:t>
      </w:r>
      <w:r w:rsidR="0010390E">
        <w:t xml:space="preserve"> </w:t>
      </w:r>
      <w:r w:rsidR="00555BF1">
        <w:t xml:space="preserve">and </w:t>
      </w:r>
      <w:r w:rsidR="00814021">
        <w:t xml:space="preserve">to </w:t>
      </w:r>
      <w:r w:rsidR="00555BF1">
        <w:t>improve care for vulnerable populations</w:t>
      </w:r>
      <w:r>
        <w:t xml:space="preserve">.  </w:t>
      </w:r>
      <w:r w:rsidR="004A52F5">
        <w:t>T</w:t>
      </w:r>
      <w:r w:rsidR="007B64DE">
        <w:t xml:space="preserve">o get matching federal funds under the ACA, </w:t>
      </w:r>
      <w:r w:rsidR="002C7AD6">
        <w:t>California “funnel</w:t>
      </w:r>
      <w:r w:rsidR="007B64DE">
        <w:t>ed</w:t>
      </w:r>
      <w:r w:rsidR="002C7AD6">
        <w:t>” vulnerable individuals</w:t>
      </w:r>
      <w:r w:rsidR="007B64DE">
        <w:t xml:space="preserve"> </w:t>
      </w:r>
      <w:r w:rsidR="00790B70">
        <w:t xml:space="preserve">from </w:t>
      </w:r>
      <w:r w:rsidR="00402C5D">
        <w:t>the “</w:t>
      </w:r>
      <w:r w:rsidR="00790B70">
        <w:t xml:space="preserve">Healthy Families </w:t>
      </w:r>
      <w:r w:rsidR="00402C5D">
        <w:t xml:space="preserve">Program” </w:t>
      </w:r>
      <w:r w:rsidR="007B64DE">
        <w:t>into Medi-Cal</w:t>
      </w:r>
      <w:r w:rsidR="002C7AD6">
        <w:t xml:space="preserve">.  </w:t>
      </w:r>
      <w:r w:rsidR="00790B70">
        <w:t xml:space="preserve">Outreach was necessary to ensure </w:t>
      </w:r>
      <w:r w:rsidR="004A52F5">
        <w:t xml:space="preserve">that </w:t>
      </w:r>
      <w:r w:rsidR="00790B70">
        <w:t xml:space="preserve">these individuals were moved to Medi-Cal.  </w:t>
      </w:r>
    </w:p>
    <w:p w14:paraId="78B9AC08" w14:textId="76ED9B42" w:rsidR="00A53F11" w:rsidRDefault="002206B9" w:rsidP="00A53F11">
      <w:r>
        <w:lastRenderedPageBreak/>
        <w:tab/>
      </w:r>
      <w:r w:rsidRPr="006F5E29">
        <w:t xml:space="preserve">Butler-Cohen also testified </w:t>
      </w:r>
      <w:r w:rsidR="007812D3">
        <w:t>about</w:t>
      </w:r>
      <w:r w:rsidRPr="006F5E29">
        <w:t xml:space="preserve"> a 2012 letter from then</w:t>
      </w:r>
      <w:r w:rsidR="00650E64" w:rsidRPr="006F5E29">
        <w:t xml:space="preserve">-director of </w:t>
      </w:r>
      <w:r w:rsidR="002A7BDC">
        <w:t xml:space="preserve">the </w:t>
      </w:r>
      <w:r w:rsidR="006F5E29" w:rsidRPr="006F5E29">
        <w:t>DH</w:t>
      </w:r>
      <w:r w:rsidR="00954BCE">
        <w:t>C</w:t>
      </w:r>
      <w:r w:rsidR="006F5E29" w:rsidRPr="006F5E29">
        <w:t>S</w:t>
      </w:r>
      <w:r w:rsidR="00650E64" w:rsidRPr="006F5E29">
        <w:t xml:space="preserve">, Toby Douglas.  </w:t>
      </w:r>
      <w:r w:rsidR="001C0029" w:rsidRPr="006F5E29">
        <w:t xml:space="preserve">The letter </w:t>
      </w:r>
      <w:r w:rsidR="00BA2488">
        <w:t xml:space="preserve">discussed an </w:t>
      </w:r>
      <w:r w:rsidR="001C0029" w:rsidRPr="006F5E29">
        <w:t xml:space="preserve">initial plan to implement the ACA in California, including transitioning the </w:t>
      </w:r>
      <w:r w:rsidR="00D74637">
        <w:t>“L</w:t>
      </w:r>
      <w:r w:rsidR="0091560C" w:rsidRPr="006F5E29">
        <w:t>ow</w:t>
      </w:r>
      <w:r w:rsidR="00D74637">
        <w:t xml:space="preserve"> I</w:t>
      </w:r>
      <w:r w:rsidR="0091560C" w:rsidRPr="006F5E29">
        <w:t>ncome</w:t>
      </w:r>
      <w:r w:rsidR="001C0029" w:rsidRPr="006F5E29">
        <w:t xml:space="preserve"> </w:t>
      </w:r>
      <w:r w:rsidR="00D74637">
        <w:t>H</w:t>
      </w:r>
      <w:r w:rsidR="001C0029" w:rsidRPr="006F5E29">
        <w:t xml:space="preserve">ealth </w:t>
      </w:r>
      <w:r w:rsidR="00D74637">
        <w:t>P</w:t>
      </w:r>
      <w:r w:rsidR="001C0029" w:rsidRPr="006F5E29">
        <w:t>rogram</w:t>
      </w:r>
      <w:r w:rsidR="00D74637">
        <w:t>” (LIHP)</w:t>
      </w:r>
      <w:r w:rsidR="001C0029" w:rsidRPr="006F5E29">
        <w:t xml:space="preserve"> to ACA coverage options, with the goal of enrolling 450,000 to 500,000 individuals by December 31, 2013.  </w:t>
      </w:r>
      <w:r w:rsidR="0003007F" w:rsidRPr="006F5E29">
        <w:t xml:space="preserve">The </w:t>
      </w:r>
      <w:r w:rsidR="004E06F2">
        <w:t xml:space="preserve">attachment to the </w:t>
      </w:r>
      <w:r w:rsidR="0003007F" w:rsidRPr="006F5E29">
        <w:t>letter stated that</w:t>
      </w:r>
      <w:r w:rsidR="006F5E29">
        <w:t xml:space="preserve"> </w:t>
      </w:r>
      <w:r w:rsidR="00D74637">
        <w:t xml:space="preserve">the </w:t>
      </w:r>
      <w:r w:rsidR="006F5E29">
        <w:t>DH</w:t>
      </w:r>
      <w:r w:rsidR="00954BCE">
        <w:t>C</w:t>
      </w:r>
      <w:r w:rsidR="006F5E29">
        <w:t xml:space="preserve">S intended to “develop and partner with local </w:t>
      </w:r>
      <w:r w:rsidR="004E06F2">
        <w:t xml:space="preserve">LIHP[’]s, </w:t>
      </w:r>
      <w:r w:rsidR="00E81A6F">
        <w:t>the [insurance exchange (Exchange)]</w:t>
      </w:r>
      <w:r>
        <w:t xml:space="preserve"> </w:t>
      </w:r>
      <w:r w:rsidR="006F5E29">
        <w:t>and stakeholders on an outreach and communication strategy for the transition of LIHP enrollees to Medicaid or the Exchange.  The outreach and communication effort will include general notification f</w:t>
      </w:r>
      <w:r w:rsidR="005978E9">
        <w:t>r</w:t>
      </w:r>
      <w:r w:rsidR="006F5E29">
        <w:t>o</w:t>
      </w:r>
      <w:r w:rsidR="005978E9">
        <w:t>m</w:t>
      </w:r>
      <w:r w:rsidR="006F5E29">
        <w:t xml:space="preserve"> the LIHP transition to </w:t>
      </w:r>
      <w:r w:rsidR="005978E9">
        <w:t>enrollees</w:t>
      </w:r>
      <w:r w:rsidR="006F5E29">
        <w:t xml:space="preserve"> during 2013 and information on any available transition assistance through the Exchange o</w:t>
      </w:r>
      <w:r w:rsidR="004E06F2">
        <w:t>r</w:t>
      </w:r>
      <w:r w:rsidR="006F5E29">
        <w:t xml:space="preserve"> the counties.”  </w:t>
      </w:r>
      <w:r w:rsidR="00E81A6F">
        <w:t>This document was part of an effort by</w:t>
      </w:r>
      <w:r w:rsidR="004E06F2">
        <w:t xml:space="preserve"> the</w:t>
      </w:r>
      <w:r w:rsidR="00E81A6F">
        <w:t xml:space="preserve"> DH</w:t>
      </w:r>
      <w:r w:rsidR="00954BCE">
        <w:t>C</w:t>
      </w:r>
      <w:r w:rsidR="00E81A6F">
        <w:t xml:space="preserve">S to engage stakeholders such as </w:t>
      </w:r>
      <w:r>
        <w:t xml:space="preserve">plaintiff </w:t>
      </w:r>
      <w:r w:rsidR="00E81A6F">
        <w:t xml:space="preserve">to make contact with eligible individuals and enroll them.  Butler-Cohen testified there was “no question in </w:t>
      </w:r>
      <w:r w:rsidR="004E06F2">
        <w:t xml:space="preserve">[her] </w:t>
      </w:r>
      <w:r w:rsidR="00E81A6F">
        <w:t>mind that the direction from the [DH</w:t>
      </w:r>
      <w:r w:rsidR="00954BCE">
        <w:t>C</w:t>
      </w:r>
      <w:r w:rsidR="00E81A6F">
        <w:t xml:space="preserve">S] was clear in the utilization of </w:t>
      </w:r>
      <w:r w:rsidR="004E06F2">
        <w:t xml:space="preserve">[plaintiff’s] </w:t>
      </w:r>
      <w:r w:rsidR="00E81A6F">
        <w:t xml:space="preserve">outreach workers, because </w:t>
      </w:r>
      <w:r w:rsidR="004E06F2">
        <w:t xml:space="preserve">[they] </w:t>
      </w:r>
      <w:r w:rsidR="00E81A6F">
        <w:t xml:space="preserve">were the boots on the ground.”  In Butler-Cohen’s opinion, </w:t>
      </w:r>
      <w:r>
        <w:t xml:space="preserve">plaintiff </w:t>
      </w:r>
      <w:r w:rsidR="00E81A6F">
        <w:t>could reach eligible individuals “far better” than</w:t>
      </w:r>
      <w:r w:rsidR="004E06F2">
        <w:t xml:space="preserve"> the</w:t>
      </w:r>
      <w:r w:rsidR="00E81A6F">
        <w:t xml:space="preserve"> DH</w:t>
      </w:r>
      <w:r w:rsidR="00954BCE">
        <w:t>C</w:t>
      </w:r>
      <w:r w:rsidR="00E81A6F">
        <w:t xml:space="preserve">S or even the </w:t>
      </w:r>
      <w:r w:rsidR="00BA2488">
        <w:t>c</w:t>
      </w:r>
      <w:r w:rsidR="00E81A6F">
        <w:t>ounty.</w:t>
      </w:r>
      <w:r>
        <w:rPr>
          <w:rStyle w:val="FootnoteReference"/>
        </w:rPr>
        <w:footnoteReference w:id="1"/>
      </w:r>
      <w:r w:rsidR="00E81A6F">
        <w:t xml:space="preserve">  </w:t>
      </w:r>
    </w:p>
    <w:p w14:paraId="08500EDC" w14:textId="4F3FFFD6" w:rsidR="0077195C" w:rsidRDefault="002206B9" w:rsidP="00A53F11">
      <w:pPr>
        <w:keepNext/>
      </w:pPr>
      <w:r>
        <w:tab/>
      </w:r>
      <w:r>
        <w:tab/>
        <w:t>c.</w:t>
      </w:r>
      <w:r>
        <w:tab/>
      </w:r>
      <w:r w:rsidR="00EF3D64" w:rsidRPr="00A53F11">
        <w:rPr>
          <w:i/>
          <w:iCs/>
        </w:rPr>
        <w:t>Decision by administrative law judge</w:t>
      </w:r>
    </w:p>
    <w:p w14:paraId="21DF0009" w14:textId="4D89AC4B" w:rsidR="008B0B0F" w:rsidRDefault="002206B9" w:rsidP="004A52F5">
      <w:r>
        <w:tab/>
        <w:t xml:space="preserve">In </w:t>
      </w:r>
      <w:r w:rsidR="00A21493">
        <w:t xml:space="preserve">May </w:t>
      </w:r>
      <w:r>
        <w:t xml:space="preserve">2018, </w:t>
      </w:r>
      <w:r w:rsidR="00A21493">
        <w:t xml:space="preserve">the </w:t>
      </w:r>
      <w:r w:rsidR="002F6DA7">
        <w:t>a</w:t>
      </w:r>
      <w:r w:rsidR="00A21493">
        <w:t xml:space="preserve">dministrative </w:t>
      </w:r>
      <w:r w:rsidR="002F6DA7">
        <w:t>l</w:t>
      </w:r>
      <w:r w:rsidR="00A21493">
        <w:t xml:space="preserve">aw </w:t>
      </w:r>
      <w:r w:rsidR="002F6DA7">
        <w:t>j</w:t>
      </w:r>
      <w:r w:rsidR="00A21493">
        <w:t>udge (ALJ) issued a proposed decision finding that</w:t>
      </w:r>
      <w:r w:rsidR="00FE33D6">
        <w:t xml:space="preserve"> the </w:t>
      </w:r>
      <w:r w:rsidR="00FE2B3E">
        <w:t>“ ‘</w:t>
      </w:r>
      <w:r w:rsidR="00FE33D6">
        <w:t>community outreach services</w:t>
      </w:r>
      <w:r w:rsidR="00FE2B3E">
        <w:t>’ </w:t>
      </w:r>
      <w:r w:rsidR="00FE33D6">
        <w:t xml:space="preserve">” did not involve patient care and instead were efforts to attract new patients and increase patient utilization of </w:t>
      </w:r>
      <w:r w:rsidR="002F6DA7">
        <w:t>plaintiff</w:t>
      </w:r>
      <w:r w:rsidR="00FE33D6">
        <w:t xml:space="preserve">’s services.  </w:t>
      </w:r>
      <w:r w:rsidR="00D77C2A">
        <w:t xml:space="preserve">The ALJ noted </w:t>
      </w:r>
      <w:r w:rsidR="00495F87">
        <w:t xml:space="preserve">that members of </w:t>
      </w:r>
      <w:r w:rsidR="002F6DA7">
        <w:t>plaintiff</w:t>
      </w:r>
      <w:r w:rsidR="00ED195C">
        <w:t xml:space="preserve">’s </w:t>
      </w:r>
      <w:r w:rsidR="00D77C2A">
        <w:t xml:space="preserve">outreach staff were “tasked to ‘promote awareness of the health center’s services and support entry into care’ of the new patients contacted.”  </w:t>
      </w:r>
      <w:r w:rsidR="004A52F5">
        <w:t xml:space="preserve">These tasks </w:t>
      </w:r>
      <w:r w:rsidR="00D77C2A">
        <w:t xml:space="preserve">included </w:t>
      </w:r>
      <w:r w:rsidR="009D1B78">
        <w:t xml:space="preserve">“attempting to make new patients ‘comfortable </w:t>
      </w:r>
      <w:r w:rsidR="009D1B78">
        <w:lastRenderedPageBreak/>
        <w:t xml:space="preserve">enough to seek care,’ such as through repeated ‘passes’ of contact.”  </w:t>
      </w:r>
      <w:r w:rsidR="004A52F5">
        <w:t>The ALJ concluded that the evidence established that the disallowed amounts were spent for patient recruitment efforts not reimbursable with Medi-Cal</w:t>
      </w:r>
      <w:r w:rsidR="00FE2B3E">
        <w:t xml:space="preserve"> funds</w:t>
      </w:r>
      <w:r w:rsidR="00FE33D6">
        <w:t xml:space="preserve">.  </w:t>
      </w:r>
    </w:p>
    <w:p w14:paraId="49EF1D14" w14:textId="605FBB45" w:rsidR="00E657B6" w:rsidRDefault="002206B9" w:rsidP="00ED4506">
      <w:r>
        <w:tab/>
        <w:t xml:space="preserve">In making its decision, the ALJ </w:t>
      </w:r>
      <w:r w:rsidR="007432A8">
        <w:t xml:space="preserve">relied on </w:t>
      </w:r>
      <w:r w:rsidR="002F6DA7">
        <w:t>p</w:t>
      </w:r>
      <w:r w:rsidR="001C23E8">
        <w:t xml:space="preserve">art 413 of </w:t>
      </w:r>
      <w:r w:rsidR="0037370B">
        <w:t>title 42 of the</w:t>
      </w:r>
      <w:r w:rsidR="001C23E8">
        <w:t xml:space="preserve"> Code of Federal Regulations</w:t>
      </w:r>
      <w:r w:rsidR="00FA2841">
        <w:t xml:space="preserve"> </w:t>
      </w:r>
      <w:r w:rsidR="003E5B4F">
        <w:t xml:space="preserve">for the proposition that, to be reimbursable, costs must be reasonable and </w:t>
      </w:r>
      <w:r w:rsidR="00E63EAE">
        <w:t>related to the care of beneficiaries.  (42 C.F.R. § 413.9</w:t>
      </w:r>
      <w:r w:rsidR="0037370B">
        <w:t>.</w:t>
      </w:r>
      <w:r w:rsidR="00E63EAE">
        <w:t>)</w:t>
      </w:r>
      <w:r w:rsidR="004700DF">
        <w:t xml:space="preserve">  Per the PRM, </w:t>
      </w:r>
      <w:r w:rsidR="001401F6">
        <w:t>reasonable costs include</w:t>
      </w:r>
      <w:r w:rsidR="004700DF">
        <w:t xml:space="preserve"> “all necessary and proper costs incurred in rendering the services</w:t>
      </w:r>
      <w:r w:rsidR="001401F6">
        <w:t>,</w:t>
      </w:r>
      <w:r w:rsidR="004700DF">
        <w:t>”</w:t>
      </w:r>
      <w:r w:rsidR="001401F6">
        <w:t xml:space="preserve"> including both </w:t>
      </w:r>
      <w:r w:rsidR="00777CCC">
        <w:t>“</w:t>
      </w:r>
      <w:r w:rsidR="001401F6">
        <w:t xml:space="preserve">direct and indirect costs of providers </w:t>
      </w:r>
      <w:r w:rsidR="00777CCC">
        <w:t xml:space="preserve">of </w:t>
      </w:r>
      <w:r w:rsidR="001401F6">
        <w:t>services.”</w:t>
      </w:r>
      <w:r w:rsidR="004700DF">
        <w:t xml:space="preserve">  (PRM §</w:t>
      </w:r>
      <w:r w:rsidR="001401F6">
        <w:t>§</w:t>
      </w:r>
      <w:r w:rsidR="004700DF">
        <w:t> 2100</w:t>
      </w:r>
      <w:r w:rsidR="001401F6">
        <w:t>, 2102.1</w:t>
      </w:r>
      <w:r w:rsidR="00777CCC">
        <w:t xml:space="preserve"> (rev. 454, 09-12)</w:t>
      </w:r>
      <w:r w:rsidR="004700DF">
        <w:t xml:space="preserve">.)  </w:t>
      </w:r>
    </w:p>
    <w:p w14:paraId="36979712" w14:textId="063A87F6" w:rsidR="005A0E58" w:rsidRDefault="002206B9" w:rsidP="00ED4506">
      <w:r>
        <w:tab/>
        <w:t xml:space="preserve">The ALJ reviewed the authorities submitted by </w:t>
      </w:r>
      <w:r w:rsidR="0037370B">
        <w:t>plaintiff</w:t>
      </w:r>
      <w:r w:rsidR="00215E51">
        <w:t>, but found them unconvincing</w:t>
      </w:r>
      <w:r>
        <w:t xml:space="preserve">.  </w:t>
      </w:r>
      <w:r w:rsidR="00215E51">
        <w:t xml:space="preserve">According to </w:t>
      </w:r>
      <w:r w:rsidR="0037370B">
        <w:t>plaintiff</w:t>
      </w:r>
      <w:r w:rsidR="00215E51">
        <w:t xml:space="preserve">, section 220.3 of the Medicare Benefit Policy Manual identified outreach as “ ‘non-reimbursable [but] nevertheless allowable.’ ”  The ALJ noted that the cited section applied only to </w:t>
      </w:r>
      <w:r w:rsidR="008D2D95">
        <w:t>“ ‘</w:t>
      </w:r>
      <w:r w:rsidR="00215E51">
        <w:t>preven</w:t>
      </w:r>
      <w:r w:rsidR="008D2D95">
        <w:t>ta</w:t>
      </w:r>
      <w:r w:rsidR="00215E51">
        <w:t>t</w:t>
      </w:r>
      <w:r w:rsidR="0041144B">
        <w:t>ive</w:t>
      </w:r>
      <w:r w:rsidR="00215E51">
        <w:t xml:space="preserve"> health services</w:t>
      </w:r>
      <w:r w:rsidR="008D2D95">
        <w:t>’</w:t>
      </w:r>
      <w:r w:rsidR="00215E51">
        <w:t xml:space="preserve"> provided </w:t>
      </w:r>
      <w:r w:rsidR="008D2D95">
        <w:t>‘</w:t>
      </w:r>
      <w:r w:rsidR="00215E51">
        <w:t>by or under the direct supervision of a physician</w:t>
      </w:r>
      <w:r w:rsidR="008D2D95">
        <w:t>’</w:t>
      </w:r>
      <w:r w:rsidR="00215E51">
        <w:t xml:space="preserve"> and </w:t>
      </w:r>
      <w:r w:rsidR="008D2D95">
        <w:t>[</w:t>
      </w:r>
      <w:r w:rsidR="00215E51">
        <w:t>said</w:t>
      </w:r>
      <w:r w:rsidR="008D2D95">
        <w:t>]</w:t>
      </w:r>
      <w:r w:rsidR="00215E51">
        <w:t xml:space="preserve"> nothing about </w:t>
      </w:r>
      <w:r w:rsidR="008D2D95">
        <w:t xml:space="preserve">outreach or </w:t>
      </w:r>
      <w:r w:rsidR="00215E51">
        <w:t>patient recruitment.</w:t>
      </w:r>
      <w:r w:rsidR="008D2D95">
        <w:t>”</w:t>
      </w:r>
      <w:r w:rsidR="00215E51">
        <w:t xml:space="preserve">  </w:t>
      </w:r>
      <w:r w:rsidR="005D0DBC">
        <w:t xml:space="preserve">As such, even if </w:t>
      </w:r>
      <w:r w:rsidR="0037370B">
        <w:t xml:space="preserve">plaintiff </w:t>
      </w:r>
      <w:r w:rsidR="005D0DBC">
        <w:t xml:space="preserve">had provided such services at the specified locations, they would have been excluded from reimbursement </w:t>
      </w:r>
      <w:r w:rsidR="0041144B">
        <w:t>by</w:t>
      </w:r>
      <w:r w:rsidR="005D0DBC">
        <w:t xml:space="preserve"> Medi-Cal.  </w:t>
      </w:r>
    </w:p>
    <w:p w14:paraId="4E658499" w14:textId="18FD8DE8" w:rsidR="005D0DBC" w:rsidRDefault="002206B9" w:rsidP="00ED4506">
      <w:r>
        <w:tab/>
        <w:t xml:space="preserve">The ALJ </w:t>
      </w:r>
      <w:r w:rsidR="0041144B">
        <w:t xml:space="preserve">also </w:t>
      </w:r>
      <w:r>
        <w:t>rejected</w:t>
      </w:r>
      <w:r w:rsidR="0037370B">
        <w:t xml:space="preserve"> </w:t>
      </w:r>
      <w:r w:rsidR="0041144B">
        <w:t xml:space="preserve">the idea that </w:t>
      </w:r>
      <w:r w:rsidR="0037370B">
        <w:t>plaintiff</w:t>
      </w:r>
      <w:r w:rsidR="0041144B">
        <w:t xml:space="preserve"> </w:t>
      </w:r>
      <w:r>
        <w:t xml:space="preserve">should be reimbursed because it is required to provide outreach services in order to receive certain grants.  The ALJ reasoned that the availability of these grants was not in question, </w:t>
      </w:r>
      <w:r w:rsidR="00B35F0F">
        <w:t xml:space="preserve">nor did </w:t>
      </w:r>
      <w:r>
        <w:t>the gr</w:t>
      </w:r>
      <w:r>
        <w:t xml:space="preserve">ants </w:t>
      </w:r>
      <w:r w:rsidR="00B35F0F">
        <w:t xml:space="preserve">necessarily require Medi-Cal to also reimburse </w:t>
      </w:r>
      <w:r w:rsidR="0037370B">
        <w:t xml:space="preserve">plaintiff.  </w:t>
      </w:r>
    </w:p>
    <w:p w14:paraId="788D1661" w14:textId="52B63CB1" w:rsidR="00B35F0F" w:rsidRDefault="002206B9" w:rsidP="00ED4506">
      <w:r>
        <w:tab/>
        <w:t xml:space="preserve">The ALJ </w:t>
      </w:r>
      <w:r w:rsidR="00475146">
        <w:t>further concluded that</w:t>
      </w:r>
      <w:r>
        <w:t xml:space="preserve"> outreach activities are </w:t>
      </w:r>
      <w:r w:rsidR="00475146">
        <w:t xml:space="preserve">not </w:t>
      </w:r>
      <w:r w:rsidR="00771183">
        <w:t>reimbursable</w:t>
      </w:r>
      <w:r>
        <w:t xml:space="preserve"> as case management</w:t>
      </w:r>
      <w:r w:rsidR="00475146">
        <w:t xml:space="preserve"> under </w:t>
      </w:r>
      <w:r>
        <w:t xml:space="preserve">the 1994 letter </w:t>
      </w:r>
      <w:r w:rsidR="00475146">
        <w:t xml:space="preserve">to </w:t>
      </w:r>
      <w:r w:rsidR="00A92846">
        <w:t xml:space="preserve">the </w:t>
      </w:r>
      <w:r w:rsidR="00475146">
        <w:t>state M</w:t>
      </w:r>
      <w:r>
        <w:t xml:space="preserve">edicaid </w:t>
      </w:r>
      <w:r w:rsidR="00475146">
        <w:t>d</w:t>
      </w:r>
      <w:r>
        <w:t>irector.  The ALJ reasoned that the letter identified “ ‘Medicaid outreach’ as one of the ‘administrative costs necessary for the proper and efficient administration of the State plan,’ it does not contemplate subcontracting this to FQHC clinics through co</w:t>
      </w:r>
      <w:r>
        <w:t xml:space="preserve">st basis reimbursement but merely cites to the Center for Medicare/Medicaid Services’ </w:t>
      </w:r>
      <w:r w:rsidR="00A92846">
        <w:t xml:space="preserve">. . . </w:t>
      </w:r>
      <w:r>
        <w:t xml:space="preserve">Medicaid Manual authorizing the State to spend Federal money on case management services.  The Medicaid </w:t>
      </w:r>
      <w:r w:rsidR="0041144B">
        <w:t>M</w:t>
      </w:r>
      <w:r>
        <w:t xml:space="preserve">anual in its current </w:t>
      </w:r>
      <w:r>
        <w:lastRenderedPageBreak/>
        <w:t>form still authorizes such use of Fede</w:t>
      </w:r>
      <w:r>
        <w:t>ral Medicaid funds</w:t>
      </w:r>
      <w:r w:rsidR="005E5710">
        <w:t xml:space="preserve"> by the State</w:t>
      </w:r>
      <w:r>
        <w:t xml:space="preserve">, but does not discuss using FQHC clinics as outreach contractors or incorporating case management payments into FQHC per-visit rates.”  </w:t>
      </w:r>
    </w:p>
    <w:p w14:paraId="087D5F7F" w14:textId="38EE15E7" w:rsidR="00B35F0F" w:rsidRDefault="002206B9" w:rsidP="00ED4506">
      <w:r>
        <w:tab/>
      </w:r>
      <w:r w:rsidR="00756C0D">
        <w:t>W</w:t>
      </w:r>
      <w:r w:rsidR="003C01D0">
        <w:t xml:space="preserve">ith respect to the PRM, the ALJ rejected </w:t>
      </w:r>
      <w:r w:rsidR="0037370B">
        <w:t xml:space="preserve">plaintiff’s </w:t>
      </w:r>
      <w:r w:rsidR="003C01D0">
        <w:t xml:space="preserve">argument that outreach services were reimbursable because there was no provision that restricts it, </w:t>
      </w:r>
      <w:r w:rsidR="002C1C3F">
        <w:t>such</w:t>
      </w:r>
      <w:r w:rsidR="003C01D0">
        <w:t xml:space="preserve"> that general cost principles should be applied.  The ALJ reasoned</w:t>
      </w:r>
      <w:r w:rsidR="00367A2D">
        <w:t xml:space="preserve"> that</w:t>
      </w:r>
      <w:r w:rsidR="003C01D0">
        <w:t xml:space="preserve"> </w:t>
      </w:r>
      <w:r w:rsidR="00E01F8D">
        <w:t xml:space="preserve">outreach work is “performed </w:t>
      </w:r>
      <w:r w:rsidR="008C6287">
        <w:t xml:space="preserve">specifically </w:t>
      </w:r>
      <w:r w:rsidR="00E01F8D">
        <w:t xml:space="preserve">to bring new patients into the facilities.”  </w:t>
      </w:r>
      <w:r w:rsidR="00024686">
        <w:t xml:space="preserve">Although </w:t>
      </w:r>
      <w:r w:rsidR="00756C0D">
        <w:t xml:space="preserve">such activities are </w:t>
      </w:r>
      <w:r w:rsidR="00024686">
        <w:t>not prohibited, c</w:t>
      </w:r>
      <w:r w:rsidR="00E01F8D">
        <w:t xml:space="preserve">osts for patient recruitment are </w:t>
      </w:r>
      <w:r w:rsidR="00024686">
        <w:t xml:space="preserve">excluded </w:t>
      </w:r>
      <w:r w:rsidR="00E01F8D">
        <w:t>under section 2136.2 of the P</w:t>
      </w:r>
      <w:r w:rsidR="008C6287">
        <w:t>R</w:t>
      </w:r>
      <w:r w:rsidR="00E01F8D">
        <w:t xml:space="preserve">M.  </w:t>
      </w:r>
    </w:p>
    <w:p w14:paraId="5C1D4042" w14:textId="6AE73AF9" w:rsidR="0037370B" w:rsidRDefault="002206B9" w:rsidP="0037370B">
      <w:r>
        <w:tab/>
        <w:t xml:space="preserve">Given </w:t>
      </w:r>
      <w:r w:rsidR="00B005C6">
        <w:t>his</w:t>
      </w:r>
      <w:r>
        <w:t xml:space="preserve"> conclusions, the ALJ declined to reach </w:t>
      </w:r>
      <w:r w:rsidR="00081446">
        <w:t xml:space="preserve">the </w:t>
      </w:r>
      <w:r>
        <w:t>DH</w:t>
      </w:r>
      <w:r w:rsidR="00954BCE">
        <w:t>C</w:t>
      </w:r>
      <w:r>
        <w:t xml:space="preserve">S’s argument that the outreach costs were nonallowable due to insufficient documentation.  </w:t>
      </w:r>
    </w:p>
    <w:p w14:paraId="333876E3" w14:textId="6E3D2BEF" w:rsidR="006C294F" w:rsidRDefault="002206B9" w:rsidP="0037370B">
      <w:pPr>
        <w:keepNext/>
      </w:pPr>
      <w:r>
        <w:tab/>
      </w:r>
      <w:r>
        <w:tab/>
        <w:t>d.</w:t>
      </w:r>
      <w:r>
        <w:tab/>
      </w:r>
      <w:r w:rsidRPr="0037370B">
        <w:rPr>
          <w:i/>
          <w:iCs/>
        </w:rPr>
        <w:t>Motio</w:t>
      </w:r>
      <w:r w:rsidRPr="0037370B">
        <w:rPr>
          <w:i/>
          <w:iCs/>
        </w:rPr>
        <w:t>n for reconsideration and petition for writ of mandate</w:t>
      </w:r>
    </w:p>
    <w:p w14:paraId="33A28E0E" w14:textId="00A3D4F2" w:rsidR="006C294F" w:rsidRDefault="002206B9" w:rsidP="006C294F">
      <w:r>
        <w:tab/>
      </w:r>
      <w:r w:rsidR="00801554">
        <w:t xml:space="preserve">Plaintiff </w:t>
      </w:r>
      <w:r w:rsidR="00CF3BD6">
        <w:t xml:space="preserve">filed a petition for reconsideration.  In July 2018, the Chief </w:t>
      </w:r>
      <w:r w:rsidR="00E21279">
        <w:t>ALJ affirmed the ALJ’s decision</w:t>
      </w:r>
      <w:r w:rsidR="0041144B">
        <w:t xml:space="preserve">, finding </w:t>
      </w:r>
      <w:r w:rsidR="00E21279">
        <w:t xml:space="preserve">that the outreach costs were really patient recruitment costs and therefore nonreimbursable.  </w:t>
      </w:r>
    </w:p>
    <w:p w14:paraId="65223238" w14:textId="575EE604" w:rsidR="00221F53" w:rsidRDefault="002206B9" w:rsidP="006C294F">
      <w:r>
        <w:tab/>
      </w:r>
      <w:r w:rsidR="0052036F">
        <w:t xml:space="preserve">In August 2018, </w:t>
      </w:r>
      <w:r w:rsidR="002773D2">
        <w:t xml:space="preserve">plaintiff </w:t>
      </w:r>
      <w:r w:rsidR="0052036F">
        <w:t xml:space="preserve">filed a petition for writ of mandate in the trial court.  </w:t>
      </w:r>
      <w:r w:rsidR="00D40F4C">
        <w:t xml:space="preserve">The trial court denied the petition in April 2019.  </w:t>
      </w:r>
      <w:r w:rsidR="009E12FF">
        <w:t xml:space="preserve">Noting that outreach costs are not discussed in the PRM, the trial court </w:t>
      </w:r>
      <w:r w:rsidR="000921E8">
        <w:t xml:space="preserve">agreed with the ALJ and the Chief ALJ and </w:t>
      </w:r>
      <w:r w:rsidR="00257E53">
        <w:t>found</w:t>
      </w:r>
      <w:r w:rsidR="00291AC0">
        <w:t xml:space="preserve"> that </w:t>
      </w:r>
      <w:r w:rsidR="002773D2">
        <w:t xml:space="preserve">plaintiff’s </w:t>
      </w:r>
      <w:r w:rsidR="00291AC0">
        <w:t>outreach services are similar to advertising</w:t>
      </w:r>
      <w:r w:rsidR="002B7618">
        <w:t xml:space="preserve"> intended to increase patient use of </w:t>
      </w:r>
      <w:r w:rsidR="002773D2">
        <w:t xml:space="preserve">plaintiff’s </w:t>
      </w:r>
      <w:r w:rsidR="002B7618">
        <w:t>services</w:t>
      </w:r>
      <w:r w:rsidR="00291AC0">
        <w:t xml:space="preserve">.  Given that </w:t>
      </w:r>
      <w:r w:rsidR="00B005C6">
        <w:t xml:space="preserve">the cost of </w:t>
      </w:r>
      <w:r w:rsidR="00291AC0">
        <w:t xml:space="preserve">advertising to increase utilization of the provider’s facilities </w:t>
      </w:r>
      <w:r w:rsidR="009F05DA">
        <w:t>is</w:t>
      </w:r>
      <w:r w:rsidR="00291AC0">
        <w:t xml:space="preserve"> not allowable under the PRM, the trial court held that the costs were not reimbursable.  </w:t>
      </w:r>
    </w:p>
    <w:p w14:paraId="0467E9A0" w14:textId="77777777" w:rsidR="002D3E21" w:rsidRDefault="002206B9" w:rsidP="002D3E21">
      <w:pPr>
        <w:keepNext/>
        <w:jc w:val="center"/>
        <w:rPr>
          <w:bCs/>
        </w:rPr>
      </w:pPr>
      <w:r w:rsidRPr="002773D2">
        <w:rPr>
          <w:bCs/>
        </w:rPr>
        <w:t>DISCUSSION</w:t>
      </w:r>
    </w:p>
    <w:p w14:paraId="5919B76E" w14:textId="72AECBED" w:rsidR="007A5F9F" w:rsidRPr="002D3E21" w:rsidRDefault="002206B9" w:rsidP="002D3E21">
      <w:pPr>
        <w:keepNext/>
        <w:rPr>
          <w:bCs/>
        </w:rPr>
      </w:pPr>
      <w:r>
        <w:rPr>
          <w:bCs/>
        </w:rPr>
        <w:tab/>
        <w:t>1.</w:t>
      </w:r>
      <w:r>
        <w:rPr>
          <w:bCs/>
        </w:rPr>
        <w:tab/>
      </w:r>
      <w:r w:rsidRPr="002D3E21">
        <w:rPr>
          <w:i/>
          <w:iCs/>
        </w:rPr>
        <w:t>Standard of review</w:t>
      </w:r>
    </w:p>
    <w:p w14:paraId="22B9F6BF" w14:textId="20CB0BB9" w:rsidR="006A4135" w:rsidRDefault="002206B9" w:rsidP="007A5F9F">
      <w:r>
        <w:tab/>
      </w:r>
      <w:r w:rsidR="0042433C">
        <w:t>Pursuant to Code of Civil Procedure section 1094.5, t</w:t>
      </w:r>
      <w:r>
        <w:t xml:space="preserve">he </w:t>
      </w:r>
      <w:r w:rsidR="0042433C">
        <w:t xml:space="preserve">trial court may review a </w:t>
      </w:r>
      <w:r w:rsidR="00816FCB">
        <w:t xml:space="preserve">Chief ALJ’s </w:t>
      </w:r>
      <w:r>
        <w:t xml:space="preserve">final decision. </w:t>
      </w:r>
      <w:r w:rsidR="0042433C">
        <w:t xml:space="preserve"> </w:t>
      </w:r>
      <w:r>
        <w:t>(</w:t>
      </w:r>
      <w:r w:rsidR="008F3FB5">
        <w:t>Welf. &amp; Ins</w:t>
      </w:r>
      <w:r w:rsidR="00367A2D">
        <w:t>t</w:t>
      </w:r>
      <w:r w:rsidR="008F3FB5">
        <w:t xml:space="preserve">. Code, </w:t>
      </w:r>
      <w:r>
        <w:t>§ 14171, subd. (j).)</w:t>
      </w:r>
      <w:r w:rsidR="000921E8">
        <w:t xml:space="preserve">  </w:t>
      </w:r>
      <w:r>
        <w:t xml:space="preserve">“When reviewing the denial of a petition for writ of administrative mandate under Code of Civil Procedure </w:t>
      </w:r>
      <w:r>
        <w:lastRenderedPageBreak/>
        <w:t>section 1094.5, we ask whether the public agency committed a</w:t>
      </w:r>
      <w:r>
        <w:t xml:space="preserve"> prejudicial abuse of discretion. </w:t>
      </w:r>
      <w:r w:rsidR="000921E8">
        <w:t xml:space="preserve"> </w:t>
      </w:r>
      <w:r>
        <w:t>‘Abuse of discretion is established if the [public agency] has not proceeded in the manner required by law, the order or decision is not supported by the findings, or the findings are not supported by the evidence.’</w:t>
      </w:r>
      <w:r w:rsidR="008F3FB5">
        <w:t xml:space="preserve">  [Citations.]</w:t>
      </w:r>
      <w:r>
        <w:t xml:space="preserve">” </w:t>
      </w:r>
      <w:r w:rsidR="000921E8">
        <w:t xml:space="preserve"> </w:t>
      </w:r>
      <w:r>
        <w:t>(</w:t>
      </w:r>
      <w:r w:rsidRPr="000921E8">
        <w:rPr>
          <w:i/>
          <w:iCs/>
        </w:rPr>
        <w:t>County of Kern v. State Dept. of Health Care Services</w:t>
      </w:r>
      <w:r>
        <w:t xml:space="preserve"> (2009) 180 Cal.App.4th 1504, 1510.) </w:t>
      </w:r>
      <w:r w:rsidR="000921E8">
        <w:t xml:space="preserve"> </w:t>
      </w:r>
    </w:p>
    <w:p w14:paraId="1F953C88" w14:textId="073BBEC8" w:rsidR="002D3E21" w:rsidRDefault="002206B9" w:rsidP="002D3E21">
      <w:r>
        <w:tab/>
      </w:r>
      <w:r w:rsidR="004E45B7">
        <w:t xml:space="preserve">Like the trial court, an appellate court’s task is to </w:t>
      </w:r>
      <w:r w:rsidR="007A5F9F">
        <w:t xml:space="preserve">“determine whether the </w:t>
      </w:r>
      <w:r w:rsidR="00BB5DD3">
        <w:t>[DH</w:t>
      </w:r>
      <w:r w:rsidR="00954BCE">
        <w:t>C</w:t>
      </w:r>
      <w:r w:rsidR="00BB5DD3">
        <w:t>S’s]</w:t>
      </w:r>
      <w:r w:rsidR="007A5F9F">
        <w:t xml:space="preserve"> decision is supported by substantial evidence. </w:t>
      </w:r>
      <w:r w:rsidR="000921E8">
        <w:t xml:space="preserve"> </w:t>
      </w:r>
      <w:r w:rsidR="007A5F9F">
        <w:t xml:space="preserve">[Citation.] </w:t>
      </w:r>
      <w:r w:rsidR="000921E8">
        <w:t xml:space="preserve"> </w:t>
      </w:r>
      <w:r w:rsidR="007A5F9F">
        <w:t xml:space="preserve">[¶] </w:t>
      </w:r>
      <w:r w:rsidR="000921E8">
        <w:t xml:space="preserve"> </w:t>
      </w:r>
      <w:r w:rsidR="007A5F9F">
        <w:t>‘As to questions of law, appellate courts perform essentially the same function as trial courts in an administrative mandate proceeding, and the trial court</w:t>
      </w:r>
      <w:r w:rsidR="000921E8">
        <w:t>’</w:t>
      </w:r>
      <w:r w:rsidR="007A5F9F">
        <w:t>s conclusions of law are reviewed de novo.’</w:t>
      </w:r>
      <w:r>
        <w:t> </w:t>
      </w:r>
      <w:r w:rsidR="007A5F9F">
        <w:t xml:space="preserve">” </w:t>
      </w:r>
      <w:r w:rsidR="000921E8">
        <w:t xml:space="preserve"> </w:t>
      </w:r>
      <w:r w:rsidR="007A5F9F">
        <w:t>(</w:t>
      </w:r>
      <w:r w:rsidR="007A5F9F" w:rsidRPr="000921E8">
        <w:rPr>
          <w:i/>
          <w:iCs/>
        </w:rPr>
        <w:t>Hi-Desert Medical Center v. Douglas</w:t>
      </w:r>
      <w:r w:rsidR="007A5F9F">
        <w:t xml:space="preserve"> (2015) 239 Cal.App.4th 717, 730.)</w:t>
      </w:r>
      <w:bookmarkStart w:id="9" w:name="_Hlk69290938"/>
      <w:r w:rsidR="00933B92">
        <w:t xml:space="preserve">  With respect to questions of law, w</w:t>
      </w:r>
      <w:r w:rsidR="00B63203">
        <w:t>e apply the same rules governing interpretation of statutes to the interpretation of administrative regulations</w:t>
      </w:r>
      <w:r w:rsidR="001C247F">
        <w:t>,</w:t>
      </w:r>
      <w:r w:rsidR="00B63203">
        <w:t xml:space="preserve"> </w:t>
      </w:r>
      <w:r w:rsidR="0087067B">
        <w:t xml:space="preserve">with </w:t>
      </w:r>
      <w:r w:rsidR="001C247F">
        <w:t xml:space="preserve">the fundamental </w:t>
      </w:r>
      <w:r w:rsidR="0087067B">
        <w:t xml:space="preserve">goal of </w:t>
      </w:r>
      <w:r w:rsidR="001C247F">
        <w:t>ascertain</w:t>
      </w:r>
      <w:r w:rsidR="0087067B">
        <w:t>ing</w:t>
      </w:r>
      <w:r w:rsidR="001C247F">
        <w:t xml:space="preserve"> the</w:t>
      </w:r>
      <w:r w:rsidR="00F02323">
        <w:t xml:space="preserve"> agency’s</w:t>
      </w:r>
      <w:r w:rsidR="001C247F">
        <w:t xml:space="preserve"> intent </w:t>
      </w:r>
      <w:r w:rsidR="00F02323">
        <w:t xml:space="preserve">and </w:t>
      </w:r>
      <w:r w:rsidR="001C247F">
        <w:t>effectuat</w:t>
      </w:r>
      <w:r w:rsidR="00F02323">
        <w:t>ing</w:t>
      </w:r>
      <w:r w:rsidR="001C247F">
        <w:t xml:space="preserve"> the purpose of the law.  </w:t>
      </w:r>
      <w:r w:rsidR="0075079A">
        <w:t>(</w:t>
      </w:r>
      <w:r w:rsidR="0075079A">
        <w:rPr>
          <w:i/>
          <w:iCs/>
        </w:rPr>
        <w:t>Pang v. Beverly Hosp</w:t>
      </w:r>
      <w:r w:rsidR="008F3FB5">
        <w:rPr>
          <w:i/>
          <w:iCs/>
        </w:rPr>
        <w:t>ital</w:t>
      </w:r>
      <w:r w:rsidR="0075079A">
        <w:rPr>
          <w:i/>
          <w:iCs/>
        </w:rPr>
        <w:t xml:space="preserve">, Inc. </w:t>
      </w:r>
      <w:r w:rsidR="0075079A">
        <w:t xml:space="preserve">(2000) 79 Cal.App.4th 986, </w:t>
      </w:r>
      <w:r w:rsidR="001C247F">
        <w:t>994-995</w:t>
      </w:r>
      <w:r w:rsidR="0075079A">
        <w:t xml:space="preserve">.)  </w:t>
      </w:r>
      <w:r w:rsidR="00F02323">
        <w:t>We seek to “give the regulatory language its plain, commonsense meaning</w:t>
      </w:r>
      <w:r>
        <w:t xml:space="preserve"> </w:t>
      </w:r>
      <w:r w:rsidR="00F02323">
        <w:t>. . . ,</w:t>
      </w:r>
      <w:r>
        <w:t xml:space="preserve"> </w:t>
      </w:r>
      <w:r w:rsidR="00F02323">
        <w:t xml:space="preserve">and we must read </w:t>
      </w:r>
      <w:r w:rsidR="00F02323" w:rsidRPr="00F02323">
        <w:t>regulations as a whole so that all of the parts are given effect.</w:t>
      </w:r>
      <w:r w:rsidR="00F02323">
        <w:t>”  (</w:t>
      </w:r>
      <w:r w:rsidR="00F02323">
        <w:rPr>
          <w:i/>
          <w:iCs/>
        </w:rPr>
        <w:t>County of Kern v. State Dept. of Health Care Services</w:t>
      </w:r>
      <w:r w:rsidR="00B04692">
        <w:rPr>
          <w:i/>
          <w:iCs/>
        </w:rPr>
        <w:t>, supra</w:t>
      </w:r>
      <w:r w:rsidR="00B04692">
        <w:t>,</w:t>
      </w:r>
      <w:r w:rsidR="00F02323">
        <w:rPr>
          <w:i/>
          <w:iCs/>
        </w:rPr>
        <w:t xml:space="preserve"> </w:t>
      </w:r>
      <w:r w:rsidR="00F02323">
        <w:t xml:space="preserve">180 Cal.App.4th </w:t>
      </w:r>
      <w:r w:rsidR="00B04692">
        <w:t xml:space="preserve">at p. </w:t>
      </w:r>
      <w:r w:rsidR="00F02323">
        <w:t xml:space="preserve">1512.)  </w:t>
      </w:r>
      <w:r w:rsidR="00952458">
        <w:t xml:space="preserve">As this court recently explained, </w:t>
      </w:r>
      <w:r w:rsidR="006E679B">
        <w:t xml:space="preserve">although state agencies such as </w:t>
      </w:r>
      <w:r w:rsidR="008F3FB5">
        <w:t xml:space="preserve">the </w:t>
      </w:r>
      <w:r w:rsidR="006E679B">
        <w:t>DH</w:t>
      </w:r>
      <w:r w:rsidR="00954BCE">
        <w:t>C</w:t>
      </w:r>
      <w:r w:rsidR="006E679B">
        <w:t>S “</w:t>
      </w:r>
      <w:r w:rsidR="006E679B" w:rsidRPr="00952458">
        <w:t xml:space="preserve">may be entitled to deference in interpreting its </w:t>
      </w:r>
      <w:r w:rsidR="006E679B" w:rsidRPr="006E679B">
        <w:rPr>
          <w:i/>
          <w:iCs/>
        </w:rPr>
        <w:t>own</w:t>
      </w:r>
      <w:r w:rsidR="006E679B" w:rsidRPr="00952458">
        <w:t xml:space="preserve"> regulations and policies</w:t>
      </w:r>
      <w:r w:rsidR="006E679B">
        <w:t xml:space="preserve">” </w:t>
      </w:r>
      <w:r w:rsidR="008F3FB5">
        <w:t>(</w:t>
      </w:r>
      <w:r w:rsidR="008F3FB5">
        <w:rPr>
          <w:i/>
          <w:iCs/>
        </w:rPr>
        <w:t xml:space="preserve">Oak Valley Hospital District v. State Dept. of Health Care Services </w:t>
      </w:r>
      <w:r w:rsidR="008F3FB5">
        <w:t xml:space="preserve">(2020) 53 Cal.App.5th 212, 224), </w:t>
      </w:r>
      <w:r w:rsidR="006E679B">
        <w:t xml:space="preserve">we do not extend such deference when it comes to </w:t>
      </w:r>
      <w:r w:rsidR="008F3FB5">
        <w:t xml:space="preserve">the </w:t>
      </w:r>
      <w:r w:rsidR="006E679B">
        <w:t>DH</w:t>
      </w:r>
      <w:r w:rsidR="00954BCE">
        <w:t>C</w:t>
      </w:r>
      <w:r w:rsidR="006E679B">
        <w:t xml:space="preserve">S’s interpretation of regulations and policies such as the PRM that are issued by federal agencies like the Centers for Medicare and Medicaid Services.  </w:t>
      </w:r>
      <w:r w:rsidR="008F3FB5">
        <w:t>(</w:t>
      </w:r>
      <w:r w:rsidR="008F3FB5" w:rsidRPr="008F3FB5">
        <w:rPr>
          <w:i/>
          <w:iCs/>
        </w:rPr>
        <w:t>Id</w:t>
      </w:r>
      <w:r w:rsidR="008F3FB5">
        <w:t xml:space="preserve">. at pp. </w:t>
      </w:r>
      <w:r w:rsidR="006E679B">
        <w:t>224-225.)</w:t>
      </w:r>
      <w:bookmarkEnd w:id="9"/>
      <w:r w:rsidR="008F3FB5">
        <w:t xml:space="preserve">  </w:t>
      </w:r>
    </w:p>
    <w:p w14:paraId="06A95036" w14:textId="5DE24A55" w:rsidR="004837A0" w:rsidRDefault="002206B9" w:rsidP="002D3E21">
      <w:pPr>
        <w:keepNext/>
      </w:pPr>
      <w:r>
        <w:tab/>
        <w:t>2.</w:t>
      </w:r>
      <w:r>
        <w:tab/>
      </w:r>
      <w:r w:rsidRPr="002D3E21">
        <w:rPr>
          <w:i/>
          <w:iCs/>
        </w:rPr>
        <w:t xml:space="preserve">Plaintiff’s </w:t>
      </w:r>
      <w:r w:rsidR="00C35291" w:rsidRPr="002D3E21">
        <w:rPr>
          <w:i/>
          <w:iCs/>
        </w:rPr>
        <w:t>claims on appeal</w:t>
      </w:r>
    </w:p>
    <w:p w14:paraId="270AD754" w14:textId="0E14EF59" w:rsidR="006618C4" w:rsidRDefault="002206B9" w:rsidP="006618C4">
      <w:pPr>
        <w:rPr>
          <w:bCs/>
        </w:rPr>
      </w:pPr>
      <w:bookmarkStart w:id="10" w:name="_Hlk69203203"/>
      <w:r>
        <w:rPr>
          <w:bCs/>
        </w:rPr>
        <w:tab/>
      </w:r>
      <w:r w:rsidR="00CB6C6B">
        <w:rPr>
          <w:bCs/>
        </w:rPr>
        <w:t xml:space="preserve">Plaintiff </w:t>
      </w:r>
      <w:r>
        <w:rPr>
          <w:bCs/>
        </w:rPr>
        <w:t xml:space="preserve">contends the trial court </w:t>
      </w:r>
      <w:r w:rsidR="004837A0">
        <w:rPr>
          <w:bCs/>
        </w:rPr>
        <w:t>erred in</w:t>
      </w:r>
      <w:r>
        <w:rPr>
          <w:bCs/>
        </w:rPr>
        <w:t xml:space="preserve"> </w:t>
      </w:r>
      <w:r w:rsidR="004837A0">
        <w:rPr>
          <w:bCs/>
        </w:rPr>
        <w:t xml:space="preserve">concluding </w:t>
      </w:r>
      <w:r>
        <w:rPr>
          <w:bCs/>
        </w:rPr>
        <w:t xml:space="preserve">that outreach costs are not allowable under </w:t>
      </w:r>
      <w:r w:rsidR="00CB6C6B">
        <w:rPr>
          <w:bCs/>
        </w:rPr>
        <w:t xml:space="preserve">part 413.9 of title </w:t>
      </w:r>
      <w:r>
        <w:rPr>
          <w:bCs/>
        </w:rPr>
        <w:t xml:space="preserve">42 </w:t>
      </w:r>
      <w:r w:rsidR="00CB6C6B">
        <w:rPr>
          <w:bCs/>
        </w:rPr>
        <w:t xml:space="preserve">of the Code of Federal Regulations.  </w:t>
      </w:r>
      <w:r>
        <w:rPr>
          <w:bCs/>
        </w:rPr>
        <w:t xml:space="preserve">First, </w:t>
      </w:r>
      <w:r w:rsidR="00CB6C6B">
        <w:rPr>
          <w:bCs/>
        </w:rPr>
        <w:t xml:space="preserve">plaintiff </w:t>
      </w:r>
      <w:r>
        <w:rPr>
          <w:bCs/>
        </w:rPr>
        <w:t xml:space="preserve">argues that </w:t>
      </w:r>
      <w:r w:rsidR="00CB6C6B">
        <w:rPr>
          <w:bCs/>
        </w:rPr>
        <w:t xml:space="preserve">part </w:t>
      </w:r>
      <w:r>
        <w:rPr>
          <w:bCs/>
        </w:rPr>
        <w:t xml:space="preserve">413.9(c)(3)’s requirement that costs must be “related to the care of </w:t>
      </w:r>
      <w:r>
        <w:rPr>
          <w:bCs/>
        </w:rPr>
        <w:lastRenderedPageBreak/>
        <w:t>Medicare beneficiaries” should be interpreted und</w:t>
      </w:r>
      <w:r>
        <w:rPr>
          <w:bCs/>
        </w:rPr>
        <w:t xml:space="preserve">er its broad, ordinary meaning.  According to </w:t>
      </w:r>
      <w:r w:rsidR="00CB6C6B">
        <w:rPr>
          <w:bCs/>
        </w:rPr>
        <w:t xml:space="preserve">plaintiff, </w:t>
      </w:r>
      <w:r>
        <w:rPr>
          <w:bCs/>
        </w:rPr>
        <w:t xml:space="preserve">its outreach activities are related to patient care because they are “designed to inform indigent people about their healthcare options,” and there is a “direct linear connection” between </w:t>
      </w:r>
      <w:r w:rsidR="00AA68DF">
        <w:rPr>
          <w:bCs/>
        </w:rPr>
        <w:t xml:space="preserve">helping people obtain </w:t>
      </w:r>
      <w:r>
        <w:rPr>
          <w:bCs/>
        </w:rPr>
        <w:t xml:space="preserve">such information and providing the services.  </w:t>
      </w:r>
    </w:p>
    <w:bookmarkEnd w:id="10"/>
    <w:p w14:paraId="65F38788" w14:textId="7F76E97F" w:rsidR="006618C4" w:rsidRDefault="002206B9" w:rsidP="006618C4">
      <w:pPr>
        <w:rPr>
          <w:bCs/>
        </w:rPr>
      </w:pPr>
      <w:r>
        <w:rPr>
          <w:bCs/>
        </w:rPr>
        <w:tab/>
      </w:r>
      <w:r w:rsidR="00CB6C6B">
        <w:rPr>
          <w:bCs/>
        </w:rPr>
        <w:t xml:space="preserve">Plaintiff </w:t>
      </w:r>
      <w:r w:rsidR="004837A0">
        <w:rPr>
          <w:bCs/>
        </w:rPr>
        <w:t xml:space="preserve">also </w:t>
      </w:r>
      <w:r>
        <w:rPr>
          <w:bCs/>
        </w:rPr>
        <w:t xml:space="preserve">argues its outreach costs </w:t>
      </w:r>
      <w:r w:rsidR="0041144B">
        <w:rPr>
          <w:bCs/>
        </w:rPr>
        <w:t>we</w:t>
      </w:r>
      <w:r>
        <w:rPr>
          <w:bCs/>
        </w:rPr>
        <w:t xml:space="preserve">re “reasonable” (and allowable under </w:t>
      </w:r>
      <w:r w:rsidR="00CB6C6B">
        <w:rPr>
          <w:bCs/>
        </w:rPr>
        <w:t xml:space="preserve">part </w:t>
      </w:r>
      <w:r>
        <w:rPr>
          <w:bCs/>
        </w:rPr>
        <w:t>413.9(a)</w:t>
      </w:r>
      <w:r w:rsidR="00CB6C6B">
        <w:rPr>
          <w:bCs/>
        </w:rPr>
        <w:t xml:space="preserve"> of title 42 of the Code of Federal Regulations</w:t>
      </w:r>
      <w:r>
        <w:rPr>
          <w:bCs/>
        </w:rPr>
        <w:t xml:space="preserve">) because they </w:t>
      </w:r>
      <w:r w:rsidR="0041144B">
        <w:rPr>
          <w:bCs/>
        </w:rPr>
        <w:t>we</w:t>
      </w:r>
      <w:r>
        <w:rPr>
          <w:bCs/>
        </w:rPr>
        <w:t>re “necessary and proper” to the furnish</w:t>
      </w:r>
      <w:r>
        <w:rPr>
          <w:bCs/>
        </w:rPr>
        <w:t xml:space="preserve">ing of those health care services.  </w:t>
      </w:r>
      <w:r w:rsidR="003666A4">
        <w:rPr>
          <w:bCs/>
        </w:rPr>
        <w:t xml:space="preserve">According to </w:t>
      </w:r>
      <w:r w:rsidR="00CB6C6B">
        <w:rPr>
          <w:bCs/>
        </w:rPr>
        <w:t xml:space="preserve">plaintiff, </w:t>
      </w:r>
      <w:r w:rsidR="003666A4">
        <w:rPr>
          <w:bCs/>
        </w:rPr>
        <w:t xml:space="preserve">outreach is a crucial function in providing health care to indigent individuals.  </w:t>
      </w:r>
      <w:r w:rsidR="00CB6C6B">
        <w:rPr>
          <w:bCs/>
        </w:rPr>
        <w:t xml:space="preserve">Plaintiff </w:t>
      </w:r>
      <w:r w:rsidR="00370BE1">
        <w:rPr>
          <w:bCs/>
        </w:rPr>
        <w:t>contends s</w:t>
      </w:r>
      <w:r w:rsidR="00E20B52">
        <w:rPr>
          <w:bCs/>
        </w:rPr>
        <w:t xml:space="preserve">uch costs should be allowable, given the broad </w:t>
      </w:r>
      <w:r w:rsidR="003666A4">
        <w:rPr>
          <w:bCs/>
        </w:rPr>
        <w:t xml:space="preserve">scope of </w:t>
      </w:r>
      <w:r w:rsidR="00E20B52">
        <w:rPr>
          <w:bCs/>
        </w:rPr>
        <w:t xml:space="preserve">costs that are allowable under the regulations.  </w:t>
      </w:r>
    </w:p>
    <w:p w14:paraId="3690ABBE" w14:textId="0AC4B2E1" w:rsidR="00325B5B" w:rsidRDefault="002206B9" w:rsidP="00325B5B">
      <w:pPr>
        <w:rPr>
          <w:bCs/>
        </w:rPr>
      </w:pPr>
      <w:r>
        <w:rPr>
          <w:bCs/>
        </w:rPr>
        <w:tab/>
        <w:t xml:space="preserve">Finally, </w:t>
      </w:r>
      <w:r w:rsidR="00CB6C6B">
        <w:rPr>
          <w:bCs/>
        </w:rPr>
        <w:t xml:space="preserve">plaintiff </w:t>
      </w:r>
      <w:r>
        <w:rPr>
          <w:bCs/>
        </w:rPr>
        <w:t xml:space="preserve">argues the trial court erred in concluding that outreach was akin to advertising to the general public </w:t>
      </w:r>
      <w:r w:rsidR="007D12AB">
        <w:rPr>
          <w:bCs/>
        </w:rPr>
        <w:t>t</w:t>
      </w:r>
      <w:r w:rsidR="0092232B">
        <w:rPr>
          <w:bCs/>
        </w:rPr>
        <w:t xml:space="preserve">o increase patient utilization of its facilities </w:t>
      </w:r>
      <w:r>
        <w:rPr>
          <w:bCs/>
        </w:rPr>
        <w:t>and therefore unallowable</w:t>
      </w:r>
      <w:r w:rsidR="009514FA">
        <w:rPr>
          <w:bCs/>
        </w:rPr>
        <w:t xml:space="preserve"> per PRM section 2136.2</w:t>
      </w:r>
      <w:r>
        <w:rPr>
          <w:bCs/>
        </w:rPr>
        <w:t xml:space="preserve">.  </w:t>
      </w:r>
      <w:r w:rsidR="00CB6C6B">
        <w:rPr>
          <w:bCs/>
        </w:rPr>
        <w:t xml:space="preserve">Plaintiff </w:t>
      </w:r>
      <w:r w:rsidR="00222DB3">
        <w:rPr>
          <w:bCs/>
        </w:rPr>
        <w:t xml:space="preserve">argues the PRM was created </w:t>
      </w:r>
      <w:r w:rsidR="007D12AB">
        <w:rPr>
          <w:bCs/>
        </w:rPr>
        <w:t xml:space="preserve">before the advent of </w:t>
      </w:r>
      <w:r w:rsidR="00222DB3">
        <w:rPr>
          <w:bCs/>
        </w:rPr>
        <w:t>FQHC</w:t>
      </w:r>
      <w:r w:rsidR="00CB6C6B">
        <w:rPr>
          <w:bCs/>
        </w:rPr>
        <w:t>’</w:t>
      </w:r>
      <w:r w:rsidR="00222DB3">
        <w:rPr>
          <w:bCs/>
        </w:rPr>
        <w:t xml:space="preserve">s and </w:t>
      </w:r>
      <w:r w:rsidR="00E90B97">
        <w:rPr>
          <w:bCs/>
        </w:rPr>
        <w:t>wa</w:t>
      </w:r>
      <w:r w:rsidR="006A1102">
        <w:rPr>
          <w:bCs/>
        </w:rPr>
        <w:t>s</w:t>
      </w:r>
      <w:r w:rsidR="00E90B97">
        <w:rPr>
          <w:bCs/>
        </w:rPr>
        <w:t xml:space="preserve"> not intended to </w:t>
      </w:r>
      <w:r w:rsidR="00222DB3">
        <w:rPr>
          <w:bCs/>
        </w:rPr>
        <w:t>address the</w:t>
      </w:r>
      <w:r w:rsidR="004C36F7">
        <w:rPr>
          <w:bCs/>
        </w:rPr>
        <w:t>ir</w:t>
      </w:r>
      <w:r w:rsidR="00222DB3">
        <w:rPr>
          <w:bCs/>
        </w:rPr>
        <w:t xml:space="preserve"> outreach activities.  According to </w:t>
      </w:r>
      <w:r w:rsidR="00CB6C6B">
        <w:rPr>
          <w:bCs/>
        </w:rPr>
        <w:t xml:space="preserve">plaintiff, </w:t>
      </w:r>
      <w:r w:rsidR="008A3AEA">
        <w:rPr>
          <w:bCs/>
        </w:rPr>
        <w:t xml:space="preserve">courts have defined </w:t>
      </w:r>
      <w:r w:rsidR="00222DB3">
        <w:rPr>
          <w:bCs/>
        </w:rPr>
        <w:t xml:space="preserve">advertising </w:t>
      </w:r>
      <w:r w:rsidR="008A3AEA">
        <w:rPr>
          <w:bCs/>
        </w:rPr>
        <w:t xml:space="preserve">as “ ‘widespread promotional activities usually directed at the public at large,’ ” which is much different than </w:t>
      </w:r>
      <w:r>
        <w:rPr>
          <w:bCs/>
        </w:rPr>
        <w:t xml:space="preserve">plaintiff’s </w:t>
      </w:r>
      <w:r w:rsidR="00706318">
        <w:rPr>
          <w:bCs/>
        </w:rPr>
        <w:t xml:space="preserve">targeted activity of sending </w:t>
      </w:r>
      <w:r w:rsidR="008A3AEA">
        <w:rPr>
          <w:bCs/>
        </w:rPr>
        <w:t xml:space="preserve">trained individuals into the community to </w:t>
      </w:r>
      <w:r w:rsidR="007D12AB">
        <w:rPr>
          <w:bCs/>
        </w:rPr>
        <w:t xml:space="preserve">help </w:t>
      </w:r>
      <w:r w:rsidR="008A3AEA">
        <w:rPr>
          <w:bCs/>
        </w:rPr>
        <w:t xml:space="preserve">at-risk individuals obtain health care.  </w:t>
      </w:r>
      <w:r>
        <w:rPr>
          <w:bCs/>
        </w:rPr>
        <w:t xml:space="preserve">Plaintiff </w:t>
      </w:r>
      <w:r w:rsidR="00F269D1">
        <w:rPr>
          <w:bCs/>
        </w:rPr>
        <w:t xml:space="preserve">argues it is bad public policy to </w:t>
      </w:r>
      <w:r w:rsidR="00CB7B37">
        <w:rPr>
          <w:bCs/>
        </w:rPr>
        <w:t xml:space="preserve">disallow outreach costs given </w:t>
      </w:r>
      <w:r w:rsidR="00E90B97">
        <w:rPr>
          <w:bCs/>
        </w:rPr>
        <w:t xml:space="preserve">its value to society and the communities </w:t>
      </w:r>
      <w:r>
        <w:rPr>
          <w:bCs/>
        </w:rPr>
        <w:t xml:space="preserve">plaintiff </w:t>
      </w:r>
      <w:r w:rsidR="00E90B97">
        <w:rPr>
          <w:bCs/>
        </w:rPr>
        <w:t xml:space="preserve">serves.  </w:t>
      </w:r>
      <w:r w:rsidR="000521BC">
        <w:rPr>
          <w:bCs/>
        </w:rPr>
        <w:t xml:space="preserve">We find </w:t>
      </w:r>
      <w:r w:rsidR="0041144B">
        <w:rPr>
          <w:bCs/>
        </w:rPr>
        <w:t xml:space="preserve">no merit in </w:t>
      </w:r>
      <w:r>
        <w:rPr>
          <w:bCs/>
        </w:rPr>
        <w:t xml:space="preserve">plaintiff’s </w:t>
      </w:r>
      <w:r w:rsidR="000521BC">
        <w:rPr>
          <w:bCs/>
        </w:rPr>
        <w:t>arguments.</w:t>
      </w:r>
    </w:p>
    <w:p w14:paraId="3A839A4C" w14:textId="2699008D" w:rsidR="000521BC" w:rsidRDefault="002206B9" w:rsidP="00325B5B">
      <w:pPr>
        <w:keepNext/>
        <w:rPr>
          <w:bCs/>
        </w:rPr>
      </w:pPr>
      <w:r>
        <w:rPr>
          <w:bCs/>
        </w:rPr>
        <w:tab/>
        <w:t>3.</w:t>
      </w:r>
      <w:r>
        <w:rPr>
          <w:bCs/>
        </w:rPr>
        <w:tab/>
      </w:r>
      <w:r w:rsidR="007844FB" w:rsidRPr="00325B5B">
        <w:rPr>
          <w:bCs/>
          <w:i/>
          <w:iCs/>
        </w:rPr>
        <w:t>Analysis</w:t>
      </w:r>
    </w:p>
    <w:p w14:paraId="42FB5401" w14:textId="7D37E59B" w:rsidR="008978D8" w:rsidRDefault="002206B9" w:rsidP="0087046A">
      <w:pPr>
        <w:rPr>
          <w:bCs/>
        </w:rPr>
      </w:pPr>
      <w:bookmarkStart w:id="11" w:name="_Hlk69288911"/>
      <w:bookmarkStart w:id="12" w:name="_Hlk74566986"/>
      <w:r>
        <w:rPr>
          <w:bCs/>
        </w:rPr>
        <w:tab/>
      </w:r>
      <w:r w:rsidR="00B94717">
        <w:rPr>
          <w:bCs/>
        </w:rPr>
        <w:t xml:space="preserve">We agree with the </w:t>
      </w:r>
      <w:r w:rsidR="00DB4FCD">
        <w:rPr>
          <w:bCs/>
        </w:rPr>
        <w:t xml:space="preserve">ALJ, the </w:t>
      </w:r>
      <w:r w:rsidR="00B94717">
        <w:rPr>
          <w:bCs/>
        </w:rPr>
        <w:t>Chief ALJ</w:t>
      </w:r>
      <w:r w:rsidR="00DB4FCD">
        <w:rPr>
          <w:bCs/>
        </w:rPr>
        <w:t>,</w:t>
      </w:r>
      <w:r w:rsidR="00B94717">
        <w:rPr>
          <w:bCs/>
        </w:rPr>
        <w:t xml:space="preserve"> and </w:t>
      </w:r>
      <w:r w:rsidR="00DB4FCD">
        <w:rPr>
          <w:bCs/>
        </w:rPr>
        <w:t xml:space="preserve">the trial court that </w:t>
      </w:r>
      <w:r w:rsidR="0019778B">
        <w:rPr>
          <w:bCs/>
        </w:rPr>
        <w:t xml:space="preserve">the </w:t>
      </w:r>
      <w:r w:rsidR="00DB4FCD">
        <w:rPr>
          <w:bCs/>
        </w:rPr>
        <w:t>DH</w:t>
      </w:r>
      <w:r w:rsidR="00954BCE">
        <w:rPr>
          <w:bCs/>
        </w:rPr>
        <w:t>C</w:t>
      </w:r>
      <w:r w:rsidR="00DB4FCD">
        <w:rPr>
          <w:bCs/>
        </w:rPr>
        <w:t xml:space="preserve">S did not abuse its discretion in finding that </w:t>
      </w:r>
      <w:r w:rsidR="00325B5B">
        <w:rPr>
          <w:bCs/>
        </w:rPr>
        <w:t xml:space="preserve">plaintiff’s </w:t>
      </w:r>
      <w:r w:rsidR="00DB4FCD">
        <w:rPr>
          <w:bCs/>
        </w:rPr>
        <w:t>outreach costs were nonreimbursable.</w:t>
      </w:r>
      <w:r w:rsidR="00CB7F5F">
        <w:rPr>
          <w:bCs/>
        </w:rPr>
        <w:t xml:space="preserve">  </w:t>
      </w:r>
      <w:r w:rsidR="00325B5B">
        <w:rPr>
          <w:bCs/>
        </w:rPr>
        <w:t xml:space="preserve">Plaintiff’s </w:t>
      </w:r>
      <w:r w:rsidR="003955A0">
        <w:rPr>
          <w:bCs/>
        </w:rPr>
        <w:t xml:space="preserve">outreach efforts </w:t>
      </w:r>
      <w:r w:rsidR="00ED0F20">
        <w:rPr>
          <w:bCs/>
        </w:rPr>
        <w:t xml:space="preserve">involve going into public spaces </w:t>
      </w:r>
      <w:r w:rsidR="0024636D">
        <w:rPr>
          <w:bCs/>
        </w:rPr>
        <w:t xml:space="preserve">such as </w:t>
      </w:r>
      <w:r w:rsidR="00530DD6">
        <w:rPr>
          <w:bCs/>
        </w:rPr>
        <w:t xml:space="preserve">on </w:t>
      </w:r>
      <w:r w:rsidR="0024636D">
        <w:rPr>
          <w:bCs/>
        </w:rPr>
        <w:t xml:space="preserve">the street, </w:t>
      </w:r>
      <w:r w:rsidR="00530DD6">
        <w:rPr>
          <w:bCs/>
        </w:rPr>
        <w:t xml:space="preserve">at </w:t>
      </w:r>
      <w:r w:rsidR="0024636D">
        <w:rPr>
          <w:bCs/>
        </w:rPr>
        <w:t xml:space="preserve">schools, business venues, beaches, and parks </w:t>
      </w:r>
      <w:r w:rsidR="00ED0F20">
        <w:rPr>
          <w:bCs/>
        </w:rPr>
        <w:t>to attract new patients</w:t>
      </w:r>
      <w:r w:rsidR="00A3690B">
        <w:rPr>
          <w:bCs/>
        </w:rPr>
        <w:t xml:space="preserve">, </w:t>
      </w:r>
      <w:r w:rsidR="0024636D">
        <w:rPr>
          <w:bCs/>
        </w:rPr>
        <w:t xml:space="preserve">provide </w:t>
      </w:r>
      <w:r w:rsidR="007A0157">
        <w:rPr>
          <w:bCs/>
        </w:rPr>
        <w:t>counsel</w:t>
      </w:r>
      <w:r w:rsidR="004C36F7">
        <w:rPr>
          <w:bCs/>
        </w:rPr>
        <w:t>ing</w:t>
      </w:r>
      <w:r w:rsidR="007A0157">
        <w:rPr>
          <w:bCs/>
        </w:rPr>
        <w:t xml:space="preserve"> regarding eligibility for services, </w:t>
      </w:r>
      <w:r w:rsidR="00A3690B">
        <w:rPr>
          <w:bCs/>
        </w:rPr>
        <w:t>and mak</w:t>
      </w:r>
      <w:r w:rsidR="0024636D">
        <w:rPr>
          <w:bCs/>
        </w:rPr>
        <w:t>e</w:t>
      </w:r>
      <w:r w:rsidR="00A3690B">
        <w:rPr>
          <w:bCs/>
        </w:rPr>
        <w:t xml:space="preserve"> medical appointments for </w:t>
      </w:r>
      <w:r w:rsidR="007A0157">
        <w:rPr>
          <w:bCs/>
        </w:rPr>
        <w:t>services</w:t>
      </w:r>
      <w:r w:rsidR="00A3690B">
        <w:rPr>
          <w:bCs/>
        </w:rPr>
        <w:t>.</w:t>
      </w:r>
      <w:r w:rsidR="00ED0F20">
        <w:rPr>
          <w:bCs/>
        </w:rPr>
        <w:t xml:space="preserve">  </w:t>
      </w:r>
      <w:bookmarkStart w:id="13" w:name="_Hlk74563895"/>
      <w:r w:rsidR="0024636D">
        <w:rPr>
          <w:bCs/>
        </w:rPr>
        <w:t xml:space="preserve">Such </w:t>
      </w:r>
      <w:r w:rsidR="0024636D">
        <w:rPr>
          <w:bCs/>
        </w:rPr>
        <w:lastRenderedPageBreak/>
        <w:t xml:space="preserve">services may benefit the recipient by increasing awareness </w:t>
      </w:r>
      <w:r w:rsidR="000C0FAE">
        <w:rPr>
          <w:bCs/>
        </w:rPr>
        <w:t xml:space="preserve">of care available through plaintiff </w:t>
      </w:r>
      <w:r w:rsidR="0024636D">
        <w:rPr>
          <w:bCs/>
        </w:rPr>
        <w:t>and making the recipient feel more comfortable seeking care</w:t>
      </w:r>
      <w:r w:rsidR="004B05AD">
        <w:rPr>
          <w:bCs/>
        </w:rPr>
        <w:t xml:space="preserve">.  And, </w:t>
      </w:r>
      <w:r w:rsidR="000C0FAE">
        <w:rPr>
          <w:bCs/>
        </w:rPr>
        <w:t xml:space="preserve">such activities </w:t>
      </w:r>
      <w:r w:rsidR="0024636D">
        <w:rPr>
          <w:bCs/>
        </w:rPr>
        <w:t xml:space="preserve">are </w:t>
      </w:r>
      <w:r w:rsidR="00395A4D">
        <w:rPr>
          <w:bCs/>
        </w:rPr>
        <w:t xml:space="preserve">required as </w:t>
      </w:r>
      <w:r w:rsidR="00D86A75">
        <w:rPr>
          <w:bCs/>
        </w:rPr>
        <w:t xml:space="preserve">part of </w:t>
      </w:r>
      <w:r w:rsidR="00325B5B">
        <w:rPr>
          <w:bCs/>
        </w:rPr>
        <w:t xml:space="preserve">plaintiff’s </w:t>
      </w:r>
      <w:r w:rsidR="003955A0">
        <w:rPr>
          <w:bCs/>
        </w:rPr>
        <w:t xml:space="preserve">role </w:t>
      </w:r>
      <w:r w:rsidR="006C252A">
        <w:rPr>
          <w:bCs/>
        </w:rPr>
        <w:t>as a FQHC</w:t>
      </w:r>
      <w:r w:rsidR="00737480">
        <w:rPr>
          <w:bCs/>
        </w:rPr>
        <w:t xml:space="preserve"> </w:t>
      </w:r>
      <w:r w:rsidR="00395A4D">
        <w:rPr>
          <w:bCs/>
        </w:rPr>
        <w:t>grant recipient</w:t>
      </w:r>
      <w:r w:rsidR="004B05AD">
        <w:rPr>
          <w:bCs/>
        </w:rPr>
        <w:t>.</w:t>
      </w:r>
      <w:r w:rsidR="005B6458">
        <w:rPr>
          <w:bCs/>
        </w:rPr>
        <w:t xml:space="preserve"> </w:t>
      </w:r>
      <w:r w:rsidR="004B05AD">
        <w:rPr>
          <w:bCs/>
        </w:rPr>
        <w:t xml:space="preserve"> </w:t>
      </w:r>
      <w:r w:rsidR="00C579EF">
        <w:t>(42 U.S.C. §§ 254b(b)(1)(A)(iii)-(v), 1395x(aa)(4)</w:t>
      </w:r>
      <w:r w:rsidR="0019778B">
        <w:t>.</w:t>
      </w:r>
      <w:r w:rsidR="005B6458">
        <w:t xml:space="preserve">) </w:t>
      </w:r>
      <w:bookmarkEnd w:id="13"/>
      <w:r w:rsidR="0024636D">
        <w:t xml:space="preserve"> However, requiring plaintiff to perform such services as an FQHC grant </w:t>
      </w:r>
      <w:r w:rsidR="000C0FAE">
        <w:t xml:space="preserve">recipient </w:t>
      </w:r>
      <w:r w:rsidR="002660F1">
        <w:rPr>
          <w:bCs/>
        </w:rPr>
        <w:t xml:space="preserve">does </w:t>
      </w:r>
      <w:r w:rsidR="0041144B">
        <w:rPr>
          <w:bCs/>
        </w:rPr>
        <w:t xml:space="preserve">not </w:t>
      </w:r>
      <w:r w:rsidR="004C36F7">
        <w:rPr>
          <w:bCs/>
        </w:rPr>
        <w:t xml:space="preserve">automatically </w:t>
      </w:r>
      <w:r w:rsidR="002660F1">
        <w:rPr>
          <w:bCs/>
        </w:rPr>
        <w:t>make the associated costs reimbursable under Medicare</w:t>
      </w:r>
      <w:r w:rsidR="00F610FF">
        <w:rPr>
          <w:bCs/>
        </w:rPr>
        <w:t xml:space="preserve"> (or </w:t>
      </w:r>
      <w:r w:rsidR="002660F1">
        <w:rPr>
          <w:bCs/>
        </w:rPr>
        <w:t>Medi-Cal</w:t>
      </w:r>
      <w:r w:rsidR="00F610FF">
        <w:rPr>
          <w:bCs/>
        </w:rPr>
        <w:t>)</w:t>
      </w:r>
      <w:r w:rsidR="0019778B">
        <w:rPr>
          <w:bCs/>
        </w:rPr>
        <w:t>,</w:t>
      </w:r>
      <w:r w:rsidR="000C0FAE">
        <w:rPr>
          <w:bCs/>
        </w:rPr>
        <w:t xml:space="preserve"> even if they provide a benefit for the recipient</w:t>
      </w:r>
      <w:r w:rsidR="002660F1">
        <w:rPr>
          <w:bCs/>
        </w:rPr>
        <w:t xml:space="preserve">. </w:t>
      </w:r>
      <w:r w:rsidR="00B47880">
        <w:rPr>
          <w:bCs/>
        </w:rPr>
        <w:t xml:space="preserve"> </w:t>
      </w:r>
      <w:bookmarkEnd w:id="11"/>
    </w:p>
    <w:p w14:paraId="519B3DE9" w14:textId="4F72A089" w:rsidR="000C0FAE" w:rsidRDefault="002206B9" w:rsidP="00DE2744">
      <w:pPr>
        <w:rPr>
          <w:bCs/>
        </w:rPr>
      </w:pPr>
      <w:r>
        <w:rPr>
          <w:bCs/>
        </w:rPr>
        <w:tab/>
        <w:t>The regulations exclude costs that the program defines as not allo</w:t>
      </w:r>
      <w:r>
        <w:rPr>
          <w:bCs/>
        </w:rPr>
        <w:t xml:space="preserve">wable, </w:t>
      </w:r>
      <w:r w:rsidR="0024636D">
        <w:rPr>
          <w:bCs/>
        </w:rPr>
        <w:t xml:space="preserve">and the PRM makes clear that advertising costs “seek[ing] to increase patient utilization of the provider’s facilities are not allowable.”  </w:t>
      </w:r>
      <w:r w:rsidR="0024636D">
        <w:t>(PRM § 2136.2</w:t>
      </w:r>
      <w:r w:rsidR="008214A2">
        <w:t xml:space="preserve"> (rev. 267, 09-82); 42 C.F.R. § 413.9(c)(3) (2021)</w:t>
      </w:r>
      <w:r w:rsidR="0024636D">
        <w:t xml:space="preserve">.)  </w:t>
      </w:r>
      <w:r w:rsidR="00B850D3">
        <w:t xml:space="preserve">The evidence showed </w:t>
      </w:r>
      <w:r w:rsidR="00CF1B7F">
        <w:t xml:space="preserve">that </w:t>
      </w:r>
      <w:r w:rsidR="00B850D3">
        <w:t>plaintiff perform</w:t>
      </w:r>
      <w:r w:rsidR="00315015">
        <w:t>ed</w:t>
      </w:r>
      <w:r w:rsidR="00B850D3">
        <w:t xml:space="preserve"> </w:t>
      </w:r>
      <w:r w:rsidR="00CF1B7F">
        <w:t xml:space="preserve">its outreach </w:t>
      </w:r>
      <w:r w:rsidR="00CF1B7F">
        <w:rPr>
          <w:bCs/>
        </w:rPr>
        <w:t xml:space="preserve">activities to “get the word out” about </w:t>
      </w:r>
      <w:r w:rsidR="00B850D3">
        <w:rPr>
          <w:bCs/>
        </w:rPr>
        <w:t>it</w:t>
      </w:r>
      <w:r w:rsidR="007052F5">
        <w:rPr>
          <w:bCs/>
        </w:rPr>
        <w:t>s</w:t>
      </w:r>
      <w:r w:rsidR="00B850D3">
        <w:rPr>
          <w:bCs/>
        </w:rPr>
        <w:t xml:space="preserve"> </w:t>
      </w:r>
      <w:r w:rsidR="00CF1B7F">
        <w:rPr>
          <w:bCs/>
        </w:rPr>
        <w:t>various services</w:t>
      </w:r>
      <w:r w:rsidR="00B850D3">
        <w:rPr>
          <w:bCs/>
        </w:rPr>
        <w:t xml:space="preserve"> and “develop[ ] awareness of each clinic’s presence</w:t>
      </w:r>
      <w:r>
        <w:rPr>
          <w:bCs/>
        </w:rPr>
        <w:t xml:space="preserve">, </w:t>
      </w:r>
      <w:r w:rsidR="00B850D3">
        <w:rPr>
          <w:bCs/>
        </w:rPr>
        <w:t xml:space="preserve">resources, </w:t>
      </w:r>
      <w:r w:rsidR="00CE52B9">
        <w:rPr>
          <w:bCs/>
        </w:rPr>
        <w:t>cultural competence, and desire to serve among members of [plaintiff’s] target populations.”  It was not an abuse of discretion to find that such activities ha</w:t>
      </w:r>
      <w:r w:rsidR="00315015">
        <w:rPr>
          <w:bCs/>
        </w:rPr>
        <w:t>d</w:t>
      </w:r>
      <w:r w:rsidR="00CE52B9">
        <w:rPr>
          <w:bCs/>
        </w:rPr>
        <w:t xml:space="preserve"> the purpose and effect of bringing </w:t>
      </w:r>
      <w:r>
        <w:rPr>
          <w:bCs/>
        </w:rPr>
        <w:t xml:space="preserve">in </w:t>
      </w:r>
      <w:r w:rsidR="00CF1B7F">
        <w:rPr>
          <w:bCs/>
        </w:rPr>
        <w:t xml:space="preserve">new patients </w:t>
      </w:r>
      <w:r>
        <w:rPr>
          <w:bCs/>
        </w:rPr>
        <w:t>and increas</w:t>
      </w:r>
      <w:r w:rsidR="00CE52B9">
        <w:rPr>
          <w:bCs/>
        </w:rPr>
        <w:t>ing</w:t>
      </w:r>
      <w:r>
        <w:rPr>
          <w:bCs/>
        </w:rPr>
        <w:t xml:space="preserve"> utilization of </w:t>
      </w:r>
      <w:r w:rsidR="00CE52B9">
        <w:rPr>
          <w:bCs/>
        </w:rPr>
        <w:t xml:space="preserve">plaintiff’s </w:t>
      </w:r>
      <w:r w:rsidR="00CF1B7F">
        <w:rPr>
          <w:bCs/>
        </w:rPr>
        <w:t>facilities</w:t>
      </w:r>
      <w:r w:rsidR="00CE52B9">
        <w:rPr>
          <w:bCs/>
        </w:rPr>
        <w:t xml:space="preserve">, making them </w:t>
      </w:r>
      <w:r w:rsidR="009E0B86">
        <w:rPr>
          <w:bCs/>
        </w:rPr>
        <w:t xml:space="preserve">akin to advertising.  </w:t>
      </w:r>
      <w:bookmarkStart w:id="14" w:name="_Hlk69289839"/>
    </w:p>
    <w:p w14:paraId="66FAC9CF" w14:textId="48D72C52" w:rsidR="00DE2744" w:rsidRDefault="002206B9" w:rsidP="00DE2744">
      <w:r>
        <w:rPr>
          <w:bCs/>
        </w:rPr>
        <w:tab/>
      </w:r>
      <w:r>
        <w:t xml:space="preserve">We disagree with </w:t>
      </w:r>
      <w:r w:rsidR="003E1D92">
        <w:t xml:space="preserve">plaintiff </w:t>
      </w:r>
      <w:r>
        <w:t xml:space="preserve">that we must disregard the PRM’s clear guidance </w:t>
      </w:r>
      <w:r w:rsidR="00CE52B9">
        <w:t xml:space="preserve">about advertising costs </w:t>
      </w:r>
      <w:r>
        <w:t xml:space="preserve">merely because the </w:t>
      </w:r>
      <w:r w:rsidR="00315015">
        <w:t xml:space="preserve">manual </w:t>
      </w:r>
      <w:r w:rsidR="004C36F7">
        <w:t xml:space="preserve">was </w:t>
      </w:r>
      <w:r>
        <w:t xml:space="preserve">drafted before </w:t>
      </w:r>
      <w:r w:rsidR="00781517">
        <w:t xml:space="preserve">the current </w:t>
      </w:r>
      <w:r>
        <w:t>FQHC</w:t>
      </w:r>
      <w:r w:rsidR="00781517">
        <w:t xml:space="preserve"> program</w:t>
      </w:r>
      <w:r w:rsidR="00E70AF5">
        <w:t xml:space="preserve"> was implemented</w:t>
      </w:r>
      <w:r>
        <w:t>.</w:t>
      </w:r>
      <w:r w:rsidR="00550DDE">
        <w:t xml:space="preserve">  </w:t>
      </w:r>
      <w:r w:rsidR="00FC3142">
        <w:t xml:space="preserve">Had the relevant agencies wished to change the </w:t>
      </w:r>
      <w:r w:rsidR="00315015">
        <w:t xml:space="preserve">manual </w:t>
      </w:r>
      <w:r w:rsidR="00FC3142">
        <w:t xml:space="preserve">to make FQHC outreach costs reimbursable, </w:t>
      </w:r>
      <w:r w:rsidR="00F02323">
        <w:t xml:space="preserve">they </w:t>
      </w:r>
      <w:r w:rsidR="00FC3142">
        <w:t xml:space="preserve">would have done so.  </w:t>
      </w:r>
      <w:r w:rsidR="00AF3B84">
        <w:t xml:space="preserve">(See </w:t>
      </w:r>
      <w:r w:rsidR="00AF3B84">
        <w:rPr>
          <w:i/>
          <w:iCs/>
        </w:rPr>
        <w:t>City of Long Beach v. Workers’ Comp</w:t>
      </w:r>
      <w:r w:rsidR="003E1D92">
        <w:rPr>
          <w:i/>
          <w:iCs/>
        </w:rPr>
        <w:t>.</w:t>
      </w:r>
      <w:r w:rsidR="00AF3B84">
        <w:rPr>
          <w:i/>
          <w:iCs/>
        </w:rPr>
        <w:t xml:space="preserve"> Appeals Bd</w:t>
      </w:r>
      <w:r w:rsidR="003E1D92">
        <w:rPr>
          <w:i/>
          <w:iCs/>
        </w:rPr>
        <w:t>.</w:t>
      </w:r>
      <w:r w:rsidR="00AF3B84">
        <w:rPr>
          <w:i/>
          <w:iCs/>
        </w:rPr>
        <w:t xml:space="preserve"> </w:t>
      </w:r>
      <w:r w:rsidR="00AF3B84">
        <w:t>(2005) 126 Cal.App.4th 298, 311 [“[i]f</w:t>
      </w:r>
      <w:r w:rsidR="00AF3B84" w:rsidRPr="00AF3B84">
        <w:t xml:space="preserve"> the language of the statute is unambiguous, we presume the Legislature meant what it said</w:t>
      </w:r>
      <w:r w:rsidR="00AF3B84">
        <w:t>”].)</w:t>
      </w:r>
      <w:r w:rsidR="00B456C3">
        <w:t xml:space="preserve">  </w:t>
      </w:r>
    </w:p>
    <w:p w14:paraId="01CC1A63" w14:textId="48CB7C9B" w:rsidR="005C7B6F" w:rsidRDefault="002206B9">
      <w:pPr>
        <w:spacing w:line="240" w:lineRule="auto"/>
      </w:pPr>
      <w:r>
        <w:br w:type="page"/>
      </w:r>
    </w:p>
    <w:bookmarkEnd w:id="12"/>
    <w:bookmarkEnd w:id="14"/>
    <w:p w14:paraId="4F19F542" w14:textId="77777777" w:rsidR="00BE010D" w:rsidRPr="00FB15E2" w:rsidRDefault="002206B9" w:rsidP="00FB15E2">
      <w:pPr>
        <w:keepNext/>
        <w:jc w:val="center"/>
        <w:rPr>
          <w:bCs/>
        </w:rPr>
      </w:pPr>
      <w:r w:rsidRPr="00FB15E2">
        <w:rPr>
          <w:bCs/>
        </w:rPr>
        <w:lastRenderedPageBreak/>
        <w:t>DISPOSITION</w:t>
      </w:r>
    </w:p>
    <w:p w14:paraId="47A94184" w14:textId="4DA2F677" w:rsidR="00BE010D" w:rsidRDefault="002206B9">
      <w:r w:rsidRPr="00ED4506">
        <w:tab/>
        <w:t>The judgment is affirmed.</w:t>
      </w:r>
      <w:r w:rsidR="00E04184">
        <w:t xml:space="preserve"> </w:t>
      </w:r>
      <w:r w:rsidR="00FB15E2">
        <w:t xml:space="preserve"> </w:t>
      </w:r>
      <w:r w:rsidR="0080368D">
        <w:t xml:space="preserve">Costs on appeal are awarded to defendant.  (Cal. Rules of Court, rule 8.278(a)(1), (2).)  </w:t>
      </w:r>
    </w:p>
    <w:p w14:paraId="11BAEDB2" w14:textId="714EE71B" w:rsidR="00E00915" w:rsidRDefault="00E00915" w:rsidP="00E00915">
      <w:pPr>
        <w:spacing w:line="240" w:lineRule="auto"/>
      </w:pPr>
    </w:p>
    <w:p w14:paraId="7B04E46D" w14:textId="1614FE23" w:rsidR="005C7B6F" w:rsidRDefault="005C7B6F" w:rsidP="00E00915">
      <w:pPr>
        <w:spacing w:line="240" w:lineRule="auto"/>
      </w:pPr>
    </w:p>
    <w:p w14:paraId="3E6643BB" w14:textId="77777777" w:rsidR="005C7B6F" w:rsidRDefault="005C7B6F" w:rsidP="00E00915">
      <w:pPr>
        <w:spacing w:line="240" w:lineRule="auto"/>
      </w:pPr>
    </w:p>
    <w:p w14:paraId="0EB69EC4" w14:textId="718C2711" w:rsidR="00E00915" w:rsidRDefault="002206B9" w:rsidP="00E00915">
      <w:pPr>
        <w:tabs>
          <w:tab w:val="left" w:pos="5040"/>
          <w:tab w:val="left" w:pos="7920"/>
        </w:tabs>
        <w:spacing w:line="240" w:lineRule="auto"/>
      </w:pPr>
      <w:r>
        <w:tab/>
      </w:r>
      <w:r w:rsidRPr="00E00915">
        <w:rPr>
          <w:u w:val="single"/>
        </w:rPr>
        <w:t xml:space="preserve">          </w:t>
      </w:r>
      <w:r w:rsidR="002F411A">
        <w:rPr>
          <w:u w:val="single"/>
        </w:rPr>
        <w:t>KRAUSE</w:t>
      </w:r>
      <w:r w:rsidRPr="00E00915">
        <w:rPr>
          <w:u w:val="single"/>
        </w:rPr>
        <w:tab/>
      </w:r>
      <w:r>
        <w:t>, J.</w:t>
      </w:r>
    </w:p>
    <w:p w14:paraId="11FB2017" w14:textId="74412D8E" w:rsidR="00E00915" w:rsidRDefault="00E00915" w:rsidP="00E00915">
      <w:pPr>
        <w:tabs>
          <w:tab w:val="left" w:pos="5040"/>
          <w:tab w:val="left" w:pos="7920"/>
        </w:tabs>
        <w:spacing w:line="240" w:lineRule="auto"/>
      </w:pPr>
    </w:p>
    <w:p w14:paraId="037D8B83" w14:textId="025DDBDD" w:rsidR="005C7B6F" w:rsidRDefault="005C7B6F" w:rsidP="00E00915">
      <w:pPr>
        <w:tabs>
          <w:tab w:val="left" w:pos="5040"/>
          <w:tab w:val="left" w:pos="7920"/>
        </w:tabs>
        <w:spacing w:line="240" w:lineRule="auto"/>
      </w:pPr>
    </w:p>
    <w:p w14:paraId="65C85465" w14:textId="77777777" w:rsidR="005C7B6F" w:rsidRDefault="005C7B6F" w:rsidP="00E00915">
      <w:pPr>
        <w:tabs>
          <w:tab w:val="left" w:pos="5040"/>
          <w:tab w:val="left" w:pos="7920"/>
        </w:tabs>
        <w:spacing w:line="240" w:lineRule="auto"/>
      </w:pPr>
    </w:p>
    <w:p w14:paraId="6765715E" w14:textId="39BB0AB3" w:rsidR="00E00915" w:rsidRDefault="00E00915" w:rsidP="00E00915">
      <w:pPr>
        <w:tabs>
          <w:tab w:val="left" w:pos="5040"/>
          <w:tab w:val="left" w:pos="7920"/>
        </w:tabs>
        <w:spacing w:line="240" w:lineRule="auto"/>
      </w:pPr>
    </w:p>
    <w:p w14:paraId="57964FEA" w14:textId="488E29A6" w:rsidR="00E00915" w:rsidRDefault="002206B9" w:rsidP="00E00915">
      <w:pPr>
        <w:spacing w:line="240" w:lineRule="auto"/>
      </w:pPr>
      <w:r>
        <w:t>We concur:</w:t>
      </w:r>
    </w:p>
    <w:p w14:paraId="43E9A938" w14:textId="515A9FDA" w:rsidR="00E00915" w:rsidRDefault="00E00915" w:rsidP="00E00915">
      <w:pPr>
        <w:spacing w:line="240" w:lineRule="auto"/>
      </w:pPr>
    </w:p>
    <w:p w14:paraId="1CB35406" w14:textId="77777777" w:rsidR="005C7B6F" w:rsidRDefault="005C7B6F" w:rsidP="00E00915">
      <w:pPr>
        <w:spacing w:line="240" w:lineRule="auto"/>
      </w:pPr>
    </w:p>
    <w:p w14:paraId="03769C8B" w14:textId="78603F5C" w:rsidR="00E00915" w:rsidRDefault="00E00915" w:rsidP="00E00915">
      <w:pPr>
        <w:spacing w:line="240" w:lineRule="auto"/>
      </w:pPr>
    </w:p>
    <w:p w14:paraId="1F6B9579" w14:textId="335D134D" w:rsidR="00E00915" w:rsidRDefault="002206B9" w:rsidP="00E00915">
      <w:pPr>
        <w:tabs>
          <w:tab w:val="left" w:pos="2880"/>
        </w:tabs>
        <w:spacing w:line="240" w:lineRule="auto"/>
      </w:pPr>
      <w:r w:rsidRPr="00E00915">
        <w:rPr>
          <w:u w:val="single"/>
        </w:rPr>
        <w:t xml:space="preserve">          </w:t>
      </w:r>
      <w:r w:rsidR="002F411A">
        <w:rPr>
          <w:u w:val="single"/>
        </w:rPr>
        <w:t>ROBIE</w:t>
      </w:r>
      <w:r w:rsidRPr="00E00915">
        <w:rPr>
          <w:u w:val="single"/>
        </w:rPr>
        <w:tab/>
      </w:r>
      <w:r>
        <w:t>, Acting P. J.</w:t>
      </w:r>
    </w:p>
    <w:p w14:paraId="042B0874" w14:textId="26AB3E40" w:rsidR="00E00915" w:rsidRDefault="00E00915" w:rsidP="00E00915">
      <w:pPr>
        <w:tabs>
          <w:tab w:val="left" w:pos="2880"/>
        </w:tabs>
        <w:spacing w:line="240" w:lineRule="auto"/>
      </w:pPr>
    </w:p>
    <w:p w14:paraId="127FEF73" w14:textId="5111CC38" w:rsidR="005C7B6F" w:rsidRDefault="005C7B6F" w:rsidP="00E00915">
      <w:pPr>
        <w:tabs>
          <w:tab w:val="left" w:pos="2880"/>
        </w:tabs>
        <w:spacing w:line="240" w:lineRule="auto"/>
      </w:pPr>
    </w:p>
    <w:p w14:paraId="32D45816" w14:textId="77777777" w:rsidR="005C7B6F" w:rsidRDefault="005C7B6F" w:rsidP="00E00915">
      <w:pPr>
        <w:tabs>
          <w:tab w:val="left" w:pos="2880"/>
        </w:tabs>
        <w:spacing w:line="240" w:lineRule="auto"/>
      </w:pPr>
    </w:p>
    <w:p w14:paraId="4B7E606B" w14:textId="77777777" w:rsidR="00E00915" w:rsidRDefault="00E00915" w:rsidP="00E00915">
      <w:pPr>
        <w:tabs>
          <w:tab w:val="left" w:pos="2880"/>
        </w:tabs>
        <w:spacing w:line="240" w:lineRule="auto"/>
      </w:pPr>
    </w:p>
    <w:p w14:paraId="172C3FC0" w14:textId="0F4C6729" w:rsidR="00E00915" w:rsidRDefault="002206B9" w:rsidP="00E00915">
      <w:pPr>
        <w:tabs>
          <w:tab w:val="left" w:pos="2880"/>
        </w:tabs>
        <w:spacing w:line="240" w:lineRule="auto"/>
      </w:pPr>
      <w:r w:rsidRPr="00E00915">
        <w:rPr>
          <w:u w:val="single"/>
        </w:rPr>
        <w:t xml:space="preserve">          </w:t>
      </w:r>
      <w:r w:rsidR="002F411A">
        <w:rPr>
          <w:u w:val="single"/>
        </w:rPr>
        <w:t>HOCH</w:t>
      </w:r>
      <w:r w:rsidRPr="00E00915">
        <w:rPr>
          <w:u w:val="single"/>
        </w:rPr>
        <w:tab/>
      </w:r>
      <w:r>
        <w:t>, J.</w:t>
      </w:r>
    </w:p>
    <w:p w14:paraId="4387F2BE" w14:textId="77777777" w:rsidR="00487D36" w:rsidRDefault="00487D36" w:rsidP="00E00915">
      <w:pPr>
        <w:tabs>
          <w:tab w:val="left" w:pos="2880"/>
        </w:tabs>
        <w:spacing w:line="240" w:lineRule="auto"/>
        <w:sectPr w:rsidR="00487D36" w:rsidSect="00E25F0E">
          <w:pgSz w:w="12240" w:h="15840" w:code="1"/>
          <w:pgMar w:top="1440" w:right="1440" w:bottom="1440" w:left="1440" w:header="720" w:footer="720" w:gutter="0"/>
          <w:pgNumType w:start="1"/>
          <w:cols w:space="720"/>
          <w:docGrid w:linePitch="354"/>
        </w:sectPr>
      </w:pPr>
    </w:p>
    <w:p w14:paraId="6F1E1BCE" w14:textId="77777777" w:rsidR="00487D36" w:rsidRPr="004969F4" w:rsidRDefault="002206B9" w:rsidP="00487D36">
      <w:pPr>
        <w:spacing w:line="240" w:lineRule="atLeast"/>
        <w:rPr>
          <w:sz w:val="20"/>
          <w:szCs w:val="20"/>
        </w:rPr>
      </w:pPr>
      <w:r w:rsidRPr="004969F4">
        <w:rPr>
          <w:sz w:val="20"/>
          <w:szCs w:val="20"/>
        </w:rPr>
        <w:lastRenderedPageBreak/>
        <w:t>Filed 7/30/21</w:t>
      </w:r>
    </w:p>
    <w:p w14:paraId="711D995B" w14:textId="77777777" w:rsidR="00487D36" w:rsidRDefault="002206B9" w:rsidP="00487D36">
      <w:pPr>
        <w:spacing w:line="240" w:lineRule="atLeast"/>
        <w:jc w:val="center"/>
        <w:rPr>
          <w:u w:val="words"/>
        </w:rPr>
      </w:pPr>
      <w:r>
        <w:rPr>
          <w:u w:val="words"/>
        </w:rPr>
        <w:t>CERTIFIED FOR</w:t>
      </w:r>
      <w:r w:rsidRPr="0021588A">
        <w:rPr>
          <w:u w:val="words"/>
        </w:rPr>
        <w:t xml:space="preserve"> PUBLI</w:t>
      </w:r>
      <w:r>
        <w:rPr>
          <w:u w:val="words"/>
        </w:rPr>
        <w:t>CATION</w:t>
      </w:r>
    </w:p>
    <w:p w14:paraId="17912B14" w14:textId="77777777" w:rsidR="00487D36" w:rsidRDefault="00487D36" w:rsidP="00487D36">
      <w:pPr>
        <w:spacing w:line="240" w:lineRule="atLeast"/>
        <w:jc w:val="center"/>
        <w:rPr>
          <w:u w:val="words"/>
        </w:rPr>
      </w:pPr>
    </w:p>
    <w:p w14:paraId="372E4AD9" w14:textId="77777777" w:rsidR="00487D36" w:rsidRDefault="00487D36" w:rsidP="00487D36">
      <w:pPr>
        <w:spacing w:line="240" w:lineRule="atLeast"/>
        <w:jc w:val="center"/>
        <w:rPr>
          <w:u w:val="words"/>
        </w:rPr>
      </w:pPr>
    </w:p>
    <w:p w14:paraId="05FA4399" w14:textId="77777777" w:rsidR="00487D36" w:rsidRDefault="00487D36" w:rsidP="00487D36">
      <w:pPr>
        <w:spacing w:line="240" w:lineRule="atLeast"/>
        <w:jc w:val="center"/>
        <w:rPr>
          <w:u w:val="words"/>
        </w:rPr>
      </w:pPr>
    </w:p>
    <w:p w14:paraId="6CFFF31C" w14:textId="77777777" w:rsidR="00487D36" w:rsidRDefault="002206B9" w:rsidP="00487D36">
      <w:pPr>
        <w:jc w:val="center"/>
      </w:pPr>
      <w:r>
        <w:t>IN THE COURT OF APPEAL OF THE STATE OF CALIFORNIA</w:t>
      </w:r>
    </w:p>
    <w:p w14:paraId="321E71A8" w14:textId="77777777" w:rsidR="00487D36" w:rsidRDefault="002206B9" w:rsidP="00487D36">
      <w:pPr>
        <w:jc w:val="center"/>
      </w:pPr>
      <w:r>
        <w:t>THIRD APPELLATE DISTRICT</w:t>
      </w:r>
    </w:p>
    <w:p w14:paraId="54FB16DE" w14:textId="77777777" w:rsidR="00487D36" w:rsidRDefault="002206B9" w:rsidP="00487D36">
      <w:pPr>
        <w:jc w:val="center"/>
      </w:pPr>
      <w:r>
        <w:t>(Sacramento)</w:t>
      </w:r>
    </w:p>
    <w:p w14:paraId="3FA91E83" w14:textId="77777777" w:rsidR="00487D36" w:rsidRDefault="002206B9" w:rsidP="00487D36">
      <w:pPr>
        <w:jc w:val="center"/>
      </w:pPr>
      <w:r>
        <w:t>----</w:t>
      </w:r>
    </w:p>
    <w:p w14:paraId="56045597" w14:textId="77777777" w:rsidR="00487D36" w:rsidRDefault="00487D36" w:rsidP="00487D36">
      <w:pPr>
        <w:jc w:val="center"/>
      </w:pPr>
    </w:p>
    <w:p w14:paraId="7F545F10" w14:textId="77777777" w:rsidR="00487D36" w:rsidRDefault="00487D36" w:rsidP="00487D36">
      <w:pPr>
        <w:jc w:val="center"/>
      </w:pPr>
    </w:p>
    <w:p w14:paraId="62CFE784" w14:textId="77777777" w:rsidR="00487D36" w:rsidRDefault="00487D36" w:rsidP="00487D36">
      <w:pPr>
        <w:spacing w:line="240" w:lineRule="atLeast"/>
      </w:pPr>
    </w:p>
    <w:p w14:paraId="5CF192C9" w14:textId="77777777" w:rsidR="00487D36" w:rsidRDefault="00487D36" w:rsidP="00487D36">
      <w:pPr>
        <w:spacing w:line="240" w:lineRule="atLeast"/>
      </w:pPr>
    </w:p>
    <w:p w14:paraId="3A990F13" w14:textId="77777777" w:rsidR="00487D36" w:rsidRDefault="00487D36" w:rsidP="00487D36">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4B6533" w14:paraId="68599EAC" w14:textId="77777777" w:rsidTr="00D87444">
        <w:tc>
          <w:tcPr>
            <w:tcW w:w="5904" w:type="dxa"/>
            <w:shd w:val="clear" w:color="auto" w:fill="auto"/>
          </w:tcPr>
          <w:p w14:paraId="1CE40E84" w14:textId="77777777" w:rsidR="00487D36" w:rsidRDefault="002206B9" w:rsidP="00D87444">
            <w:pPr>
              <w:spacing w:line="240" w:lineRule="atLeast"/>
            </w:pPr>
            <w:r>
              <w:t xml:space="preserve">FAMILY HEALTH </w:t>
            </w:r>
            <w:r>
              <w:t>CENTERS OF SAN DIEGO</w:t>
            </w:r>
          </w:p>
          <w:p w14:paraId="740DA3C9" w14:textId="77777777" w:rsidR="00487D36" w:rsidRDefault="00487D36" w:rsidP="00D87444">
            <w:pPr>
              <w:spacing w:line="240" w:lineRule="atLeast"/>
            </w:pPr>
          </w:p>
          <w:p w14:paraId="4A513AF3" w14:textId="77777777" w:rsidR="00487D36" w:rsidRDefault="002206B9" w:rsidP="00D87444">
            <w:pPr>
              <w:spacing w:line="240" w:lineRule="atLeast"/>
            </w:pPr>
            <w:r>
              <w:tab/>
            </w:r>
            <w:r>
              <w:tab/>
              <w:t>Plaintiff and Appellant,</w:t>
            </w:r>
          </w:p>
          <w:p w14:paraId="294F4988" w14:textId="77777777" w:rsidR="00487D36" w:rsidRDefault="00487D36" w:rsidP="00D87444">
            <w:pPr>
              <w:spacing w:line="240" w:lineRule="atLeast"/>
            </w:pPr>
          </w:p>
          <w:p w14:paraId="61C4A44C" w14:textId="77777777" w:rsidR="00487D36" w:rsidRDefault="002206B9" w:rsidP="00D87444">
            <w:pPr>
              <w:spacing w:line="240" w:lineRule="atLeast"/>
            </w:pPr>
            <w:r>
              <w:tab/>
              <w:t>v.</w:t>
            </w:r>
          </w:p>
          <w:p w14:paraId="4FDFD2CC" w14:textId="77777777" w:rsidR="00487D36" w:rsidRDefault="00487D36" w:rsidP="00D87444">
            <w:pPr>
              <w:spacing w:line="240" w:lineRule="atLeast"/>
            </w:pPr>
          </w:p>
          <w:p w14:paraId="58A6B81F" w14:textId="77777777" w:rsidR="00487D36" w:rsidRDefault="002206B9" w:rsidP="00D87444">
            <w:pPr>
              <w:spacing w:line="240" w:lineRule="atLeast"/>
            </w:pPr>
            <w:r>
              <w:t>STATE DEPARTMENT OF HEALTH CARE SERVICES,</w:t>
            </w:r>
          </w:p>
          <w:p w14:paraId="0EF25934" w14:textId="77777777" w:rsidR="00487D36" w:rsidRDefault="00487D36" w:rsidP="00D87444">
            <w:pPr>
              <w:spacing w:line="240" w:lineRule="atLeast"/>
            </w:pPr>
          </w:p>
          <w:p w14:paraId="0254CE80" w14:textId="77777777" w:rsidR="00487D36" w:rsidRDefault="002206B9" w:rsidP="00D87444">
            <w:pPr>
              <w:spacing w:line="240" w:lineRule="atLeast"/>
            </w:pPr>
            <w:r>
              <w:tab/>
            </w:r>
            <w:r>
              <w:tab/>
              <w:t>Defendant and Respondent.</w:t>
            </w:r>
          </w:p>
          <w:p w14:paraId="0A82B73B" w14:textId="77777777" w:rsidR="00487D36" w:rsidRDefault="00487D36" w:rsidP="00D87444">
            <w:pPr>
              <w:spacing w:line="240" w:lineRule="atLeast"/>
            </w:pPr>
          </w:p>
        </w:tc>
        <w:tc>
          <w:tcPr>
            <w:tcW w:w="3456" w:type="dxa"/>
            <w:shd w:val="clear" w:color="auto" w:fill="auto"/>
          </w:tcPr>
          <w:p w14:paraId="53BC04C9" w14:textId="77777777" w:rsidR="00487D36" w:rsidRDefault="002206B9" w:rsidP="00D87444">
            <w:pPr>
              <w:spacing w:line="240" w:lineRule="atLeast"/>
              <w:jc w:val="center"/>
            </w:pPr>
            <w:bookmarkStart w:id="15" w:name="_Hlk78535216"/>
            <w:r>
              <w:t>C089555</w:t>
            </w:r>
          </w:p>
          <w:bookmarkEnd w:id="15"/>
          <w:p w14:paraId="6F10863F" w14:textId="77777777" w:rsidR="00487D36" w:rsidRDefault="00487D36" w:rsidP="00D87444">
            <w:pPr>
              <w:spacing w:line="240" w:lineRule="atLeast"/>
              <w:jc w:val="center"/>
            </w:pPr>
          </w:p>
          <w:p w14:paraId="67FB1DBD" w14:textId="77777777" w:rsidR="00487D36" w:rsidRDefault="002206B9" w:rsidP="00D87444">
            <w:pPr>
              <w:spacing w:line="240" w:lineRule="atLeast"/>
              <w:jc w:val="center"/>
            </w:pPr>
            <w:r>
              <w:t xml:space="preserve">(Super. Ct. No. </w:t>
            </w:r>
          </w:p>
          <w:p w14:paraId="27B0C96F" w14:textId="77777777" w:rsidR="00487D36" w:rsidRDefault="002206B9" w:rsidP="00D87444">
            <w:pPr>
              <w:spacing w:line="240" w:lineRule="atLeast"/>
              <w:jc w:val="center"/>
            </w:pPr>
            <w:r>
              <w:t>34-2018-80002953-CU-WM-GDS)</w:t>
            </w:r>
          </w:p>
          <w:p w14:paraId="442C5EC5" w14:textId="77777777" w:rsidR="00487D36" w:rsidRDefault="00487D36" w:rsidP="00D87444">
            <w:pPr>
              <w:spacing w:line="240" w:lineRule="atLeast"/>
              <w:jc w:val="center"/>
            </w:pPr>
          </w:p>
          <w:p w14:paraId="753C954A" w14:textId="77777777" w:rsidR="00487D36" w:rsidRDefault="002206B9" w:rsidP="00D87444">
            <w:pPr>
              <w:spacing w:line="240" w:lineRule="atLeast"/>
              <w:jc w:val="center"/>
            </w:pPr>
            <w:r>
              <w:t>ORDER CERTIFYING</w:t>
            </w:r>
          </w:p>
          <w:p w14:paraId="30381D0A" w14:textId="77777777" w:rsidR="00487D36" w:rsidRDefault="002206B9" w:rsidP="00D87444">
            <w:pPr>
              <w:spacing w:line="240" w:lineRule="atLeast"/>
              <w:jc w:val="center"/>
            </w:pPr>
            <w:r>
              <w:t>OPINION FOR</w:t>
            </w:r>
          </w:p>
          <w:p w14:paraId="73BEC47F" w14:textId="77777777" w:rsidR="00487D36" w:rsidRDefault="002206B9" w:rsidP="00D87444">
            <w:pPr>
              <w:spacing w:line="240" w:lineRule="atLeast"/>
              <w:jc w:val="center"/>
            </w:pPr>
            <w:r>
              <w:t>PUBLICATION</w:t>
            </w:r>
          </w:p>
          <w:p w14:paraId="7885415B" w14:textId="77777777" w:rsidR="00487D36" w:rsidRDefault="00487D36" w:rsidP="00D87444">
            <w:pPr>
              <w:spacing w:line="240" w:lineRule="atLeast"/>
              <w:jc w:val="center"/>
            </w:pPr>
          </w:p>
          <w:p w14:paraId="2B293EC4" w14:textId="77777777" w:rsidR="00487D36" w:rsidRDefault="00487D36" w:rsidP="00D87444">
            <w:pPr>
              <w:spacing w:line="240" w:lineRule="atLeast"/>
              <w:jc w:val="center"/>
            </w:pPr>
          </w:p>
        </w:tc>
      </w:tr>
    </w:tbl>
    <w:p w14:paraId="51291289" w14:textId="77777777" w:rsidR="00487D36" w:rsidRDefault="00487D36" w:rsidP="00487D36">
      <w:pPr>
        <w:spacing w:line="240" w:lineRule="atLeast"/>
      </w:pPr>
    </w:p>
    <w:p w14:paraId="2FB8FABF" w14:textId="77777777" w:rsidR="00487D36" w:rsidRDefault="00487D36" w:rsidP="00487D36">
      <w:pPr>
        <w:spacing w:line="240" w:lineRule="atLeast"/>
      </w:pPr>
    </w:p>
    <w:p w14:paraId="66783738" w14:textId="77777777" w:rsidR="00487D36" w:rsidRDefault="00487D36" w:rsidP="00487D36">
      <w:pPr>
        <w:spacing w:line="240" w:lineRule="atLeast"/>
      </w:pPr>
    </w:p>
    <w:p w14:paraId="2CEB4446" w14:textId="77777777" w:rsidR="00487D36" w:rsidRDefault="00487D36" w:rsidP="00487D36">
      <w:pPr>
        <w:spacing w:line="240" w:lineRule="atLeast"/>
      </w:pPr>
    </w:p>
    <w:p w14:paraId="58A6FE9B" w14:textId="77777777" w:rsidR="00487D36" w:rsidRDefault="00487D36" w:rsidP="00487D36">
      <w:pPr>
        <w:spacing w:line="240" w:lineRule="atLeast"/>
      </w:pPr>
    </w:p>
    <w:p w14:paraId="19825D99" w14:textId="77777777" w:rsidR="00487D36" w:rsidRDefault="002206B9" w:rsidP="00487D36">
      <w:pPr>
        <w:spacing w:line="240" w:lineRule="atLeast"/>
      </w:pPr>
      <w:r>
        <w:tab/>
        <w:t xml:space="preserve">APPEAL from a </w:t>
      </w:r>
      <w:r>
        <w:t>judgment denying a petition for writ of mandate of the Superior Court of Sacramento County, Steven M. Gevercer, Judge.  Affirmed.</w:t>
      </w:r>
    </w:p>
    <w:p w14:paraId="394D6F87" w14:textId="77777777" w:rsidR="00487D36" w:rsidRDefault="00487D36" w:rsidP="00487D36">
      <w:pPr>
        <w:spacing w:line="240" w:lineRule="atLeast"/>
      </w:pPr>
    </w:p>
    <w:p w14:paraId="6ABC69AE" w14:textId="77777777" w:rsidR="00487D36" w:rsidRDefault="002206B9" w:rsidP="00487D36">
      <w:pPr>
        <w:spacing w:line="240" w:lineRule="atLeast"/>
      </w:pPr>
      <w:r>
        <w:tab/>
        <w:t>Douglas Cumming Medical Law, Douglas S. Cumming; Murphy, Campbell, Alliston &amp; Quinn and George E. Murphy for Plaintiff and A</w:t>
      </w:r>
      <w:r>
        <w:t xml:space="preserve">ppellant.  </w:t>
      </w:r>
    </w:p>
    <w:p w14:paraId="592F17AB" w14:textId="77777777" w:rsidR="00487D36" w:rsidRDefault="00487D36" w:rsidP="00487D36">
      <w:pPr>
        <w:spacing w:line="240" w:lineRule="atLeast"/>
      </w:pPr>
    </w:p>
    <w:p w14:paraId="7EABE4B1" w14:textId="77777777" w:rsidR="00487D36" w:rsidRDefault="002206B9" w:rsidP="00487D36">
      <w:pPr>
        <w:spacing w:line="240" w:lineRule="atLeast"/>
      </w:pPr>
      <w:r>
        <w:tab/>
        <w:t>Xavier Becerra and Rob Bonta, Attorneys General, Cheryl L. Feiner, Assistant Attorney General, Niromi W. Pfeiffer, Gregory D. Brown, Marianne A. Pansa, and Kevin L. Quade, Deputy Attorneys General, for Defendant and Respondent.</w:t>
      </w:r>
    </w:p>
    <w:p w14:paraId="237157E2" w14:textId="77777777" w:rsidR="00487D36" w:rsidRDefault="002206B9" w:rsidP="00487D36">
      <w:pPr>
        <w:spacing w:line="240" w:lineRule="atLeast"/>
      </w:pPr>
      <w:r>
        <w:lastRenderedPageBreak/>
        <w:t>THE COURT:</w:t>
      </w:r>
    </w:p>
    <w:p w14:paraId="4E453D10" w14:textId="77777777" w:rsidR="00487D36" w:rsidRDefault="00487D36" w:rsidP="00487D36">
      <w:pPr>
        <w:spacing w:line="240" w:lineRule="atLeast"/>
      </w:pPr>
    </w:p>
    <w:p w14:paraId="51445EFC" w14:textId="77777777" w:rsidR="00487D36" w:rsidRDefault="00487D36" w:rsidP="00487D36">
      <w:pPr>
        <w:spacing w:line="240" w:lineRule="atLeast"/>
      </w:pPr>
    </w:p>
    <w:p w14:paraId="46FCD106" w14:textId="77777777" w:rsidR="00487D36" w:rsidRDefault="002206B9" w:rsidP="00487D36">
      <w:r>
        <w:tab/>
      </w:r>
      <w:r>
        <w:t xml:space="preserve">The opinion in the above-entitled matter filed on July 6, 2021, was not certified for publication in the Official Reports.  For good cause it now appears that the opinion should be published in the Official Reports, and it is so ordered.  </w:t>
      </w:r>
    </w:p>
    <w:p w14:paraId="6BEBA719" w14:textId="77777777" w:rsidR="00487D36" w:rsidRDefault="00487D36" w:rsidP="00487D36"/>
    <w:p w14:paraId="4A7654B4" w14:textId="77777777" w:rsidR="00487D36" w:rsidRDefault="00487D36" w:rsidP="00487D36">
      <w:pPr>
        <w:spacing w:line="240" w:lineRule="atLeast"/>
      </w:pPr>
    </w:p>
    <w:p w14:paraId="389C6983" w14:textId="77777777" w:rsidR="00487D36" w:rsidRDefault="002206B9" w:rsidP="00487D36">
      <w:pPr>
        <w:spacing w:line="240" w:lineRule="atLeast"/>
      </w:pPr>
      <w:r>
        <w:t>BY THE COURT:</w:t>
      </w:r>
    </w:p>
    <w:p w14:paraId="6388A48C" w14:textId="77777777" w:rsidR="00487D36" w:rsidRDefault="00487D36" w:rsidP="00487D36">
      <w:pPr>
        <w:spacing w:line="240" w:lineRule="atLeast"/>
      </w:pPr>
    </w:p>
    <w:p w14:paraId="0C1D8686" w14:textId="77777777" w:rsidR="00487D36" w:rsidRDefault="00487D36" w:rsidP="00487D36">
      <w:pPr>
        <w:spacing w:line="240" w:lineRule="atLeast"/>
      </w:pPr>
    </w:p>
    <w:p w14:paraId="63BE793A" w14:textId="77777777" w:rsidR="00487D36" w:rsidRDefault="00487D36" w:rsidP="00487D36">
      <w:pPr>
        <w:spacing w:line="240" w:lineRule="atLeast"/>
      </w:pPr>
    </w:p>
    <w:p w14:paraId="1D3D88E7" w14:textId="77777777" w:rsidR="00487D36" w:rsidRDefault="002206B9" w:rsidP="00487D36">
      <w:pPr>
        <w:tabs>
          <w:tab w:val="left" w:pos="2880"/>
        </w:tabs>
        <w:spacing w:line="240" w:lineRule="auto"/>
      </w:pPr>
      <w:r>
        <w:rPr>
          <w:u w:val="single"/>
        </w:rPr>
        <w:t xml:space="preserve">          ROBIE</w:t>
      </w:r>
      <w:r>
        <w:rPr>
          <w:u w:val="single"/>
        </w:rPr>
        <w:tab/>
      </w:r>
      <w:r>
        <w:t>, Acting P. J.</w:t>
      </w:r>
    </w:p>
    <w:p w14:paraId="5CB9CFCC" w14:textId="77777777" w:rsidR="00487D36" w:rsidRDefault="00487D36" w:rsidP="00487D36">
      <w:pPr>
        <w:spacing w:line="240" w:lineRule="auto"/>
      </w:pPr>
    </w:p>
    <w:p w14:paraId="5F65A2B1" w14:textId="77777777" w:rsidR="00487D36" w:rsidRDefault="00487D36" w:rsidP="00487D36">
      <w:pPr>
        <w:spacing w:line="240" w:lineRule="auto"/>
      </w:pPr>
    </w:p>
    <w:p w14:paraId="591F5B7B" w14:textId="77777777" w:rsidR="00487D36" w:rsidRDefault="00487D36" w:rsidP="00487D36">
      <w:pPr>
        <w:spacing w:line="240" w:lineRule="auto"/>
      </w:pPr>
    </w:p>
    <w:p w14:paraId="23056F34" w14:textId="77777777" w:rsidR="00487D36" w:rsidRDefault="00487D36" w:rsidP="00487D36">
      <w:pPr>
        <w:spacing w:line="240" w:lineRule="auto"/>
      </w:pPr>
    </w:p>
    <w:p w14:paraId="2287D87D" w14:textId="77777777" w:rsidR="00487D36" w:rsidRDefault="002206B9" w:rsidP="00487D36">
      <w:pPr>
        <w:tabs>
          <w:tab w:val="left" w:pos="2880"/>
        </w:tabs>
        <w:spacing w:line="240" w:lineRule="auto"/>
      </w:pPr>
      <w:r>
        <w:rPr>
          <w:u w:val="single"/>
        </w:rPr>
        <w:t xml:space="preserve">          HOCH</w:t>
      </w:r>
      <w:r>
        <w:rPr>
          <w:u w:val="single"/>
        </w:rPr>
        <w:tab/>
      </w:r>
      <w:r>
        <w:t>, J.</w:t>
      </w:r>
    </w:p>
    <w:p w14:paraId="5088E889" w14:textId="77777777" w:rsidR="00487D36" w:rsidRDefault="00487D36" w:rsidP="00487D36">
      <w:pPr>
        <w:tabs>
          <w:tab w:val="left" w:pos="2880"/>
        </w:tabs>
        <w:spacing w:line="240" w:lineRule="auto"/>
      </w:pPr>
    </w:p>
    <w:p w14:paraId="2F4DA14B" w14:textId="77777777" w:rsidR="00487D36" w:rsidRDefault="00487D36" w:rsidP="00487D36">
      <w:pPr>
        <w:tabs>
          <w:tab w:val="left" w:pos="2880"/>
        </w:tabs>
        <w:spacing w:line="240" w:lineRule="auto"/>
      </w:pPr>
    </w:p>
    <w:p w14:paraId="503185B3" w14:textId="77777777" w:rsidR="00487D36" w:rsidRDefault="00487D36" w:rsidP="00487D36">
      <w:pPr>
        <w:tabs>
          <w:tab w:val="left" w:pos="2880"/>
        </w:tabs>
        <w:spacing w:line="240" w:lineRule="auto"/>
      </w:pPr>
    </w:p>
    <w:p w14:paraId="16E2FA7F" w14:textId="77777777" w:rsidR="00487D36" w:rsidRDefault="00487D36" w:rsidP="00487D36">
      <w:pPr>
        <w:tabs>
          <w:tab w:val="left" w:pos="2880"/>
        </w:tabs>
        <w:spacing w:line="240" w:lineRule="auto"/>
      </w:pPr>
    </w:p>
    <w:p w14:paraId="1CB0A524" w14:textId="77777777" w:rsidR="00487D36" w:rsidRDefault="002206B9" w:rsidP="00487D36">
      <w:pPr>
        <w:tabs>
          <w:tab w:val="left" w:pos="2880"/>
        </w:tabs>
        <w:spacing w:line="240" w:lineRule="auto"/>
      </w:pPr>
      <w:r>
        <w:rPr>
          <w:u w:val="single"/>
        </w:rPr>
        <w:t xml:space="preserve">          KRAUSE</w:t>
      </w:r>
      <w:r>
        <w:rPr>
          <w:u w:val="single"/>
        </w:rPr>
        <w:tab/>
      </w:r>
      <w:r>
        <w:t>, J.</w:t>
      </w:r>
    </w:p>
    <w:p w14:paraId="3FBC2919" w14:textId="77777777" w:rsidR="00487D36" w:rsidRPr="002D33C5" w:rsidRDefault="00487D36" w:rsidP="00487D36">
      <w:pPr>
        <w:tabs>
          <w:tab w:val="left" w:pos="2880"/>
        </w:tabs>
        <w:spacing w:line="240" w:lineRule="auto"/>
      </w:pPr>
    </w:p>
    <w:p w14:paraId="45AB4F4D" w14:textId="45FE3018" w:rsidR="00E00915" w:rsidRPr="00E00915" w:rsidRDefault="00E00915" w:rsidP="00E00915">
      <w:pPr>
        <w:tabs>
          <w:tab w:val="left" w:pos="2880"/>
        </w:tabs>
        <w:spacing w:line="240" w:lineRule="auto"/>
      </w:pPr>
    </w:p>
    <w:sectPr w:rsidR="00E00915" w:rsidRPr="00E00915" w:rsidSect="00487D3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7A7D1" w14:textId="77777777" w:rsidR="00000000" w:rsidRDefault="002206B9">
      <w:pPr>
        <w:spacing w:line="240" w:lineRule="auto"/>
      </w:pPr>
      <w:r>
        <w:separator/>
      </w:r>
    </w:p>
  </w:endnote>
  <w:endnote w:type="continuationSeparator" w:id="0">
    <w:p w14:paraId="1CA62E8C" w14:textId="77777777" w:rsidR="00000000" w:rsidRDefault="00220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F1134" w14:textId="77777777" w:rsidR="006A100D" w:rsidRDefault="006A1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C372" w14:textId="64F83E13" w:rsidR="006D15D1" w:rsidRPr="00E00915" w:rsidRDefault="002206B9" w:rsidP="00E0091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C062" w14:textId="77777777" w:rsidR="006A100D" w:rsidRDefault="006A10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FD07" w14:textId="77777777" w:rsidR="005F05A9" w:rsidRDefault="005F05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C2A6" w14:textId="77777777" w:rsidR="004E389B" w:rsidRPr="0021588A" w:rsidRDefault="002206B9" w:rsidP="0021588A">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01B9" w14:textId="77777777" w:rsidR="005F05A9" w:rsidRDefault="005F0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AC4B4" w14:textId="77777777" w:rsidR="00BB3D0A" w:rsidRDefault="002206B9">
      <w:r>
        <w:separator/>
      </w:r>
    </w:p>
  </w:footnote>
  <w:footnote w:type="continuationSeparator" w:id="0">
    <w:p w14:paraId="0D4645C1" w14:textId="77777777" w:rsidR="00BB3D0A" w:rsidRDefault="002206B9">
      <w:r>
        <w:continuationSeparator/>
      </w:r>
    </w:p>
  </w:footnote>
  <w:footnote w:id="1">
    <w:p w14:paraId="146A32BB" w14:textId="4000C03E" w:rsidR="002B013D" w:rsidRDefault="002206B9">
      <w:pPr>
        <w:pStyle w:val="FootnoteText"/>
      </w:pPr>
      <w:r>
        <w:rPr>
          <w:rStyle w:val="FootnoteReference"/>
        </w:rPr>
        <w:footnoteRef/>
      </w:r>
      <w:r w:rsidR="002C11C8">
        <w:tab/>
      </w:r>
      <w:r>
        <w:t xml:space="preserve">DHCS </w:t>
      </w:r>
      <w:r w:rsidRPr="002B013D">
        <w:t xml:space="preserve">requests we take judicial notice of </w:t>
      </w:r>
      <w:r w:rsidR="00A96515">
        <w:t xml:space="preserve">the </w:t>
      </w:r>
      <w:r>
        <w:t xml:space="preserve">(1) California Medicaid State Plan, Attachment 4.19-B (as in effect in 2013); and (2) California Medicaid State Plan Amendments 05-006, 08-003, 09-015, 11-037a.  </w:t>
      </w:r>
      <w:r w:rsidRPr="002B013D">
        <w:t>We deny the request.</w:t>
      </w:r>
      <w:r w:rsidR="003412DF">
        <w:t xml:space="preserve"> </w:t>
      </w:r>
      <w:r w:rsidRPr="002B013D">
        <w:t xml:space="preserve"> (</w:t>
      </w:r>
      <w:r w:rsidRPr="002C11C8">
        <w:rPr>
          <w:i/>
          <w:iCs/>
        </w:rPr>
        <w:t>People v. P</w:t>
      </w:r>
      <w:r w:rsidR="00863B3B">
        <w:rPr>
          <w:i/>
          <w:iCs/>
        </w:rPr>
        <w:t>reslie</w:t>
      </w:r>
      <w:r w:rsidRPr="005C7B6F">
        <w:rPr>
          <w:i/>
          <w:iCs/>
        </w:rPr>
        <w:t xml:space="preserve"> </w:t>
      </w:r>
      <w:r w:rsidRPr="002B013D">
        <w:t>(1977) 70 Cal.App.3d 486, 493.)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CA73" w14:textId="77777777" w:rsidR="006A100D" w:rsidRDefault="006A1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B8DA9" w14:textId="77777777" w:rsidR="006A100D" w:rsidRDefault="006A1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8969" w14:textId="77777777" w:rsidR="006A100D" w:rsidRDefault="006A10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187D0" w14:textId="77777777" w:rsidR="005F05A9" w:rsidRDefault="005F05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A40BC" w14:textId="77777777" w:rsidR="005F05A9" w:rsidRDefault="005F05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FFDA3" w14:textId="77777777" w:rsidR="005F05A9" w:rsidRDefault="005F0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D74C2"/>
    <w:multiLevelType w:val="hybridMultilevel"/>
    <w:tmpl w:val="AB36AF04"/>
    <w:lvl w:ilvl="0" w:tplc="067ACAF4">
      <w:start w:val="1"/>
      <w:numFmt w:val="lowerLetter"/>
      <w:lvlText w:val="%1."/>
      <w:lvlJc w:val="left"/>
      <w:pPr>
        <w:ind w:left="1800" w:hanging="360"/>
      </w:pPr>
      <w:rPr>
        <w:rFonts w:hint="default"/>
      </w:rPr>
    </w:lvl>
    <w:lvl w:ilvl="1" w:tplc="8D44D292" w:tentative="1">
      <w:start w:val="1"/>
      <w:numFmt w:val="lowerLetter"/>
      <w:lvlText w:val="%2."/>
      <w:lvlJc w:val="left"/>
      <w:pPr>
        <w:ind w:left="2520" w:hanging="360"/>
      </w:pPr>
    </w:lvl>
    <w:lvl w:ilvl="2" w:tplc="C52A9652" w:tentative="1">
      <w:start w:val="1"/>
      <w:numFmt w:val="lowerRoman"/>
      <w:lvlText w:val="%3."/>
      <w:lvlJc w:val="right"/>
      <w:pPr>
        <w:ind w:left="3240" w:hanging="180"/>
      </w:pPr>
    </w:lvl>
    <w:lvl w:ilvl="3" w:tplc="359AE6EC" w:tentative="1">
      <w:start w:val="1"/>
      <w:numFmt w:val="decimal"/>
      <w:lvlText w:val="%4."/>
      <w:lvlJc w:val="left"/>
      <w:pPr>
        <w:ind w:left="3960" w:hanging="360"/>
      </w:pPr>
    </w:lvl>
    <w:lvl w:ilvl="4" w:tplc="7FB012EC" w:tentative="1">
      <w:start w:val="1"/>
      <w:numFmt w:val="lowerLetter"/>
      <w:lvlText w:val="%5."/>
      <w:lvlJc w:val="left"/>
      <w:pPr>
        <w:ind w:left="4680" w:hanging="360"/>
      </w:pPr>
    </w:lvl>
    <w:lvl w:ilvl="5" w:tplc="5442DC66" w:tentative="1">
      <w:start w:val="1"/>
      <w:numFmt w:val="lowerRoman"/>
      <w:lvlText w:val="%6."/>
      <w:lvlJc w:val="right"/>
      <w:pPr>
        <w:ind w:left="5400" w:hanging="180"/>
      </w:pPr>
    </w:lvl>
    <w:lvl w:ilvl="6" w:tplc="E2405438" w:tentative="1">
      <w:start w:val="1"/>
      <w:numFmt w:val="decimal"/>
      <w:lvlText w:val="%7."/>
      <w:lvlJc w:val="left"/>
      <w:pPr>
        <w:ind w:left="6120" w:hanging="360"/>
      </w:pPr>
    </w:lvl>
    <w:lvl w:ilvl="7" w:tplc="423672F8" w:tentative="1">
      <w:start w:val="1"/>
      <w:numFmt w:val="lowerLetter"/>
      <w:lvlText w:val="%8."/>
      <w:lvlJc w:val="left"/>
      <w:pPr>
        <w:ind w:left="6840" w:hanging="360"/>
      </w:pPr>
    </w:lvl>
    <w:lvl w:ilvl="8" w:tplc="1978611E" w:tentative="1">
      <w:start w:val="1"/>
      <w:numFmt w:val="lowerRoman"/>
      <w:lvlText w:val="%9."/>
      <w:lvlJc w:val="right"/>
      <w:pPr>
        <w:ind w:left="7560" w:hanging="180"/>
      </w:pPr>
    </w:lvl>
  </w:abstractNum>
  <w:abstractNum w:abstractNumId="1" w15:restartNumberingAfterBreak="0">
    <w:nsid w:val="132242E2"/>
    <w:multiLevelType w:val="hybridMultilevel"/>
    <w:tmpl w:val="4726DE5E"/>
    <w:lvl w:ilvl="0" w:tplc="C9462F42">
      <w:start w:val="1"/>
      <w:numFmt w:val="lowerLetter"/>
      <w:lvlText w:val="%1."/>
      <w:lvlJc w:val="left"/>
      <w:pPr>
        <w:ind w:left="1800" w:hanging="360"/>
      </w:pPr>
      <w:rPr>
        <w:rFonts w:hint="default"/>
      </w:rPr>
    </w:lvl>
    <w:lvl w:ilvl="1" w:tplc="5A04A052" w:tentative="1">
      <w:start w:val="1"/>
      <w:numFmt w:val="lowerLetter"/>
      <w:lvlText w:val="%2."/>
      <w:lvlJc w:val="left"/>
      <w:pPr>
        <w:ind w:left="2520" w:hanging="360"/>
      </w:pPr>
    </w:lvl>
    <w:lvl w:ilvl="2" w:tplc="090A366A" w:tentative="1">
      <w:start w:val="1"/>
      <w:numFmt w:val="lowerRoman"/>
      <w:lvlText w:val="%3."/>
      <w:lvlJc w:val="right"/>
      <w:pPr>
        <w:ind w:left="3240" w:hanging="180"/>
      </w:pPr>
    </w:lvl>
    <w:lvl w:ilvl="3" w:tplc="C7D02738" w:tentative="1">
      <w:start w:val="1"/>
      <w:numFmt w:val="decimal"/>
      <w:lvlText w:val="%4."/>
      <w:lvlJc w:val="left"/>
      <w:pPr>
        <w:ind w:left="3960" w:hanging="360"/>
      </w:pPr>
    </w:lvl>
    <w:lvl w:ilvl="4" w:tplc="19009B3E" w:tentative="1">
      <w:start w:val="1"/>
      <w:numFmt w:val="lowerLetter"/>
      <w:lvlText w:val="%5."/>
      <w:lvlJc w:val="left"/>
      <w:pPr>
        <w:ind w:left="4680" w:hanging="360"/>
      </w:pPr>
    </w:lvl>
    <w:lvl w:ilvl="5" w:tplc="15D4C448" w:tentative="1">
      <w:start w:val="1"/>
      <w:numFmt w:val="lowerRoman"/>
      <w:lvlText w:val="%6."/>
      <w:lvlJc w:val="right"/>
      <w:pPr>
        <w:ind w:left="5400" w:hanging="180"/>
      </w:pPr>
    </w:lvl>
    <w:lvl w:ilvl="6" w:tplc="973ED214" w:tentative="1">
      <w:start w:val="1"/>
      <w:numFmt w:val="decimal"/>
      <w:lvlText w:val="%7."/>
      <w:lvlJc w:val="left"/>
      <w:pPr>
        <w:ind w:left="6120" w:hanging="360"/>
      </w:pPr>
    </w:lvl>
    <w:lvl w:ilvl="7" w:tplc="02BE853C" w:tentative="1">
      <w:start w:val="1"/>
      <w:numFmt w:val="lowerLetter"/>
      <w:lvlText w:val="%8."/>
      <w:lvlJc w:val="left"/>
      <w:pPr>
        <w:ind w:left="6840" w:hanging="360"/>
      </w:pPr>
    </w:lvl>
    <w:lvl w:ilvl="8" w:tplc="F95C035A" w:tentative="1">
      <w:start w:val="1"/>
      <w:numFmt w:val="lowerRoman"/>
      <w:lvlText w:val="%9."/>
      <w:lvlJc w:val="right"/>
      <w:pPr>
        <w:ind w:left="7560" w:hanging="180"/>
      </w:pPr>
    </w:lvl>
  </w:abstractNum>
  <w:abstractNum w:abstractNumId="2" w15:restartNumberingAfterBreak="0">
    <w:nsid w:val="152F564C"/>
    <w:multiLevelType w:val="hybridMultilevel"/>
    <w:tmpl w:val="E5081A6E"/>
    <w:lvl w:ilvl="0" w:tplc="773493B6">
      <w:start w:val="1"/>
      <w:numFmt w:val="lowerLetter"/>
      <w:lvlText w:val="%1."/>
      <w:lvlJc w:val="left"/>
      <w:pPr>
        <w:ind w:left="1440" w:hanging="360"/>
      </w:pPr>
    </w:lvl>
    <w:lvl w:ilvl="1" w:tplc="325A0B62" w:tentative="1">
      <w:start w:val="1"/>
      <w:numFmt w:val="lowerLetter"/>
      <w:lvlText w:val="%2."/>
      <w:lvlJc w:val="left"/>
      <w:pPr>
        <w:ind w:left="2160" w:hanging="360"/>
      </w:pPr>
    </w:lvl>
    <w:lvl w:ilvl="2" w:tplc="24A095E8" w:tentative="1">
      <w:start w:val="1"/>
      <w:numFmt w:val="lowerRoman"/>
      <w:lvlText w:val="%3."/>
      <w:lvlJc w:val="right"/>
      <w:pPr>
        <w:ind w:left="2880" w:hanging="180"/>
      </w:pPr>
    </w:lvl>
    <w:lvl w:ilvl="3" w:tplc="7FA092A6" w:tentative="1">
      <w:start w:val="1"/>
      <w:numFmt w:val="decimal"/>
      <w:lvlText w:val="%4."/>
      <w:lvlJc w:val="left"/>
      <w:pPr>
        <w:ind w:left="3600" w:hanging="360"/>
      </w:pPr>
    </w:lvl>
    <w:lvl w:ilvl="4" w:tplc="854C47C8" w:tentative="1">
      <w:start w:val="1"/>
      <w:numFmt w:val="lowerLetter"/>
      <w:lvlText w:val="%5."/>
      <w:lvlJc w:val="left"/>
      <w:pPr>
        <w:ind w:left="4320" w:hanging="360"/>
      </w:pPr>
    </w:lvl>
    <w:lvl w:ilvl="5" w:tplc="5142DC66" w:tentative="1">
      <w:start w:val="1"/>
      <w:numFmt w:val="lowerRoman"/>
      <w:lvlText w:val="%6."/>
      <w:lvlJc w:val="right"/>
      <w:pPr>
        <w:ind w:left="5040" w:hanging="180"/>
      </w:pPr>
    </w:lvl>
    <w:lvl w:ilvl="6" w:tplc="D82824C4" w:tentative="1">
      <w:start w:val="1"/>
      <w:numFmt w:val="decimal"/>
      <w:lvlText w:val="%7."/>
      <w:lvlJc w:val="left"/>
      <w:pPr>
        <w:ind w:left="5760" w:hanging="360"/>
      </w:pPr>
    </w:lvl>
    <w:lvl w:ilvl="7" w:tplc="CBC4D752" w:tentative="1">
      <w:start w:val="1"/>
      <w:numFmt w:val="lowerLetter"/>
      <w:lvlText w:val="%8."/>
      <w:lvlJc w:val="left"/>
      <w:pPr>
        <w:ind w:left="6480" w:hanging="360"/>
      </w:pPr>
    </w:lvl>
    <w:lvl w:ilvl="8" w:tplc="FEA213B4" w:tentative="1">
      <w:start w:val="1"/>
      <w:numFmt w:val="lowerRoman"/>
      <w:lvlText w:val="%9."/>
      <w:lvlJc w:val="right"/>
      <w:pPr>
        <w:ind w:left="7200" w:hanging="180"/>
      </w:pPr>
    </w:lvl>
  </w:abstractNum>
  <w:abstractNum w:abstractNumId="3" w15:restartNumberingAfterBreak="0">
    <w:nsid w:val="18971FB2"/>
    <w:multiLevelType w:val="hybridMultilevel"/>
    <w:tmpl w:val="07581588"/>
    <w:lvl w:ilvl="0" w:tplc="73B0C6D2">
      <w:start w:val="1"/>
      <w:numFmt w:val="decimal"/>
      <w:lvlText w:val="%1."/>
      <w:lvlJc w:val="left"/>
      <w:pPr>
        <w:ind w:left="1080" w:hanging="360"/>
      </w:pPr>
      <w:rPr>
        <w:rFonts w:hint="default"/>
      </w:rPr>
    </w:lvl>
    <w:lvl w:ilvl="1" w:tplc="ECBA5DFC" w:tentative="1">
      <w:start w:val="1"/>
      <w:numFmt w:val="lowerLetter"/>
      <w:lvlText w:val="%2."/>
      <w:lvlJc w:val="left"/>
      <w:pPr>
        <w:ind w:left="1800" w:hanging="360"/>
      </w:pPr>
    </w:lvl>
    <w:lvl w:ilvl="2" w:tplc="F62A4544" w:tentative="1">
      <w:start w:val="1"/>
      <w:numFmt w:val="lowerRoman"/>
      <w:lvlText w:val="%3."/>
      <w:lvlJc w:val="right"/>
      <w:pPr>
        <w:ind w:left="2520" w:hanging="180"/>
      </w:pPr>
    </w:lvl>
    <w:lvl w:ilvl="3" w:tplc="9336008C" w:tentative="1">
      <w:start w:val="1"/>
      <w:numFmt w:val="decimal"/>
      <w:lvlText w:val="%4."/>
      <w:lvlJc w:val="left"/>
      <w:pPr>
        <w:ind w:left="3240" w:hanging="360"/>
      </w:pPr>
    </w:lvl>
    <w:lvl w:ilvl="4" w:tplc="39D28BE4" w:tentative="1">
      <w:start w:val="1"/>
      <w:numFmt w:val="lowerLetter"/>
      <w:lvlText w:val="%5."/>
      <w:lvlJc w:val="left"/>
      <w:pPr>
        <w:ind w:left="3960" w:hanging="360"/>
      </w:pPr>
    </w:lvl>
    <w:lvl w:ilvl="5" w:tplc="39EC6C1E" w:tentative="1">
      <w:start w:val="1"/>
      <w:numFmt w:val="lowerRoman"/>
      <w:lvlText w:val="%6."/>
      <w:lvlJc w:val="right"/>
      <w:pPr>
        <w:ind w:left="4680" w:hanging="180"/>
      </w:pPr>
    </w:lvl>
    <w:lvl w:ilvl="6" w:tplc="1D6E4612" w:tentative="1">
      <w:start w:val="1"/>
      <w:numFmt w:val="decimal"/>
      <w:lvlText w:val="%7."/>
      <w:lvlJc w:val="left"/>
      <w:pPr>
        <w:ind w:left="5400" w:hanging="360"/>
      </w:pPr>
    </w:lvl>
    <w:lvl w:ilvl="7" w:tplc="9A229066" w:tentative="1">
      <w:start w:val="1"/>
      <w:numFmt w:val="lowerLetter"/>
      <w:lvlText w:val="%8."/>
      <w:lvlJc w:val="left"/>
      <w:pPr>
        <w:ind w:left="6120" w:hanging="360"/>
      </w:pPr>
    </w:lvl>
    <w:lvl w:ilvl="8" w:tplc="17569B02" w:tentative="1">
      <w:start w:val="1"/>
      <w:numFmt w:val="lowerRoman"/>
      <w:lvlText w:val="%9."/>
      <w:lvlJc w:val="right"/>
      <w:pPr>
        <w:ind w:left="6840" w:hanging="180"/>
      </w:pPr>
    </w:lvl>
  </w:abstractNum>
  <w:abstractNum w:abstractNumId="4" w15:restartNumberingAfterBreak="0">
    <w:nsid w:val="18EE1476"/>
    <w:multiLevelType w:val="hybridMultilevel"/>
    <w:tmpl w:val="6A7A3E7E"/>
    <w:lvl w:ilvl="0" w:tplc="85E2A852">
      <w:start w:val="1"/>
      <w:numFmt w:val="lowerLetter"/>
      <w:lvlText w:val="%1."/>
      <w:lvlJc w:val="left"/>
      <w:pPr>
        <w:ind w:left="1080" w:hanging="360"/>
      </w:pPr>
      <w:rPr>
        <w:rFonts w:hint="default"/>
        <w:i w:val="0"/>
      </w:rPr>
    </w:lvl>
    <w:lvl w:ilvl="1" w:tplc="C43489C8" w:tentative="1">
      <w:start w:val="1"/>
      <w:numFmt w:val="lowerLetter"/>
      <w:lvlText w:val="%2."/>
      <w:lvlJc w:val="left"/>
      <w:pPr>
        <w:ind w:left="1800" w:hanging="360"/>
      </w:pPr>
    </w:lvl>
    <w:lvl w:ilvl="2" w:tplc="42205B72" w:tentative="1">
      <w:start w:val="1"/>
      <w:numFmt w:val="lowerRoman"/>
      <w:lvlText w:val="%3."/>
      <w:lvlJc w:val="right"/>
      <w:pPr>
        <w:ind w:left="2520" w:hanging="180"/>
      </w:pPr>
    </w:lvl>
    <w:lvl w:ilvl="3" w:tplc="9418D008" w:tentative="1">
      <w:start w:val="1"/>
      <w:numFmt w:val="decimal"/>
      <w:lvlText w:val="%4."/>
      <w:lvlJc w:val="left"/>
      <w:pPr>
        <w:ind w:left="3240" w:hanging="360"/>
      </w:pPr>
    </w:lvl>
    <w:lvl w:ilvl="4" w:tplc="5142B384" w:tentative="1">
      <w:start w:val="1"/>
      <w:numFmt w:val="lowerLetter"/>
      <w:lvlText w:val="%5."/>
      <w:lvlJc w:val="left"/>
      <w:pPr>
        <w:ind w:left="3960" w:hanging="360"/>
      </w:pPr>
    </w:lvl>
    <w:lvl w:ilvl="5" w:tplc="534E6E92" w:tentative="1">
      <w:start w:val="1"/>
      <w:numFmt w:val="lowerRoman"/>
      <w:lvlText w:val="%6."/>
      <w:lvlJc w:val="right"/>
      <w:pPr>
        <w:ind w:left="4680" w:hanging="180"/>
      </w:pPr>
    </w:lvl>
    <w:lvl w:ilvl="6" w:tplc="4F04A58C" w:tentative="1">
      <w:start w:val="1"/>
      <w:numFmt w:val="decimal"/>
      <w:lvlText w:val="%7."/>
      <w:lvlJc w:val="left"/>
      <w:pPr>
        <w:ind w:left="5400" w:hanging="360"/>
      </w:pPr>
    </w:lvl>
    <w:lvl w:ilvl="7" w:tplc="6D62A984" w:tentative="1">
      <w:start w:val="1"/>
      <w:numFmt w:val="lowerLetter"/>
      <w:lvlText w:val="%8."/>
      <w:lvlJc w:val="left"/>
      <w:pPr>
        <w:ind w:left="6120" w:hanging="360"/>
      </w:pPr>
    </w:lvl>
    <w:lvl w:ilvl="8" w:tplc="CDC20554" w:tentative="1">
      <w:start w:val="1"/>
      <w:numFmt w:val="lowerRoman"/>
      <w:lvlText w:val="%9."/>
      <w:lvlJc w:val="right"/>
      <w:pPr>
        <w:ind w:left="6840" w:hanging="180"/>
      </w:pPr>
    </w:lvl>
  </w:abstractNum>
  <w:abstractNum w:abstractNumId="5" w15:restartNumberingAfterBreak="0">
    <w:nsid w:val="1A7C2F94"/>
    <w:multiLevelType w:val="hybridMultilevel"/>
    <w:tmpl w:val="BD9A7876"/>
    <w:lvl w:ilvl="0" w:tplc="B8180994">
      <w:start w:val="1"/>
      <w:numFmt w:val="lowerLetter"/>
      <w:lvlText w:val="%1."/>
      <w:lvlJc w:val="left"/>
      <w:pPr>
        <w:ind w:left="1800" w:hanging="360"/>
      </w:pPr>
      <w:rPr>
        <w:rFonts w:hint="default"/>
      </w:rPr>
    </w:lvl>
    <w:lvl w:ilvl="1" w:tplc="C406ABF6" w:tentative="1">
      <w:start w:val="1"/>
      <w:numFmt w:val="lowerLetter"/>
      <w:lvlText w:val="%2."/>
      <w:lvlJc w:val="left"/>
      <w:pPr>
        <w:ind w:left="2520" w:hanging="360"/>
      </w:pPr>
    </w:lvl>
    <w:lvl w:ilvl="2" w:tplc="880E213E" w:tentative="1">
      <w:start w:val="1"/>
      <w:numFmt w:val="lowerRoman"/>
      <w:lvlText w:val="%3."/>
      <w:lvlJc w:val="right"/>
      <w:pPr>
        <w:ind w:left="3240" w:hanging="180"/>
      </w:pPr>
    </w:lvl>
    <w:lvl w:ilvl="3" w:tplc="BCCA0548" w:tentative="1">
      <w:start w:val="1"/>
      <w:numFmt w:val="decimal"/>
      <w:lvlText w:val="%4."/>
      <w:lvlJc w:val="left"/>
      <w:pPr>
        <w:ind w:left="3960" w:hanging="360"/>
      </w:pPr>
    </w:lvl>
    <w:lvl w:ilvl="4" w:tplc="DEB8DD2E" w:tentative="1">
      <w:start w:val="1"/>
      <w:numFmt w:val="lowerLetter"/>
      <w:lvlText w:val="%5."/>
      <w:lvlJc w:val="left"/>
      <w:pPr>
        <w:ind w:left="4680" w:hanging="360"/>
      </w:pPr>
    </w:lvl>
    <w:lvl w:ilvl="5" w:tplc="DFF0AC4C" w:tentative="1">
      <w:start w:val="1"/>
      <w:numFmt w:val="lowerRoman"/>
      <w:lvlText w:val="%6."/>
      <w:lvlJc w:val="right"/>
      <w:pPr>
        <w:ind w:left="5400" w:hanging="180"/>
      </w:pPr>
    </w:lvl>
    <w:lvl w:ilvl="6" w:tplc="5F5A5AD6" w:tentative="1">
      <w:start w:val="1"/>
      <w:numFmt w:val="decimal"/>
      <w:lvlText w:val="%7."/>
      <w:lvlJc w:val="left"/>
      <w:pPr>
        <w:ind w:left="6120" w:hanging="360"/>
      </w:pPr>
    </w:lvl>
    <w:lvl w:ilvl="7" w:tplc="5D6685DE" w:tentative="1">
      <w:start w:val="1"/>
      <w:numFmt w:val="lowerLetter"/>
      <w:lvlText w:val="%8."/>
      <w:lvlJc w:val="left"/>
      <w:pPr>
        <w:ind w:left="6840" w:hanging="360"/>
      </w:pPr>
    </w:lvl>
    <w:lvl w:ilvl="8" w:tplc="3490E768" w:tentative="1">
      <w:start w:val="1"/>
      <w:numFmt w:val="lowerRoman"/>
      <w:lvlText w:val="%9."/>
      <w:lvlJc w:val="right"/>
      <w:pPr>
        <w:ind w:left="7560" w:hanging="180"/>
      </w:pPr>
    </w:lvl>
  </w:abstractNum>
  <w:abstractNum w:abstractNumId="6" w15:restartNumberingAfterBreak="0">
    <w:nsid w:val="210564ED"/>
    <w:multiLevelType w:val="hybridMultilevel"/>
    <w:tmpl w:val="B2527E5C"/>
    <w:lvl w:ilvl="0" w:tplc="8A00B754">
      <w:start w:val="1"/>
      <w:numFmt w:val="decimal"/>
      <w:lvlText w:val="%1."/>
      <w:lvlJc w:val="left"/>
      <w:pPr>
        <w:ind w:left="720" w:hanging="360"/>
      </w:pPr>
    </w:lvl>
    <w:lvl w:ilvl="1" w:tplc="82C8D23C">
      <w:start w:val="1"/>
      <w:numFmt w:val="lowerLetter"/>
      <w:lvlText w:val="%2."/>
      <w:lvlJc w:val="left"/>
      <w:pPr>
        <w:ind w:left="1440" w:hanging="360"/>
      </w:pPr>
    </w:lvl>
    <w:lvl w:ilvl="2" w:tplc="D6503AE6" w:tentative="1">
      <w:start w:val="1"/>
      <w:numFmt w:val="lowerRoman"/>
      <w:lvlText w:val="%3."/>
      <w:lvlJc w:val="right"/>
      <w:pPr>
        <w:ind w:left="2160" w:hanging="180"/>
      </w:pPr>
    </w:lvl>
    <w:lvl w:ilvl="3" w:tplc="E5407712" w:tentative="1">
      <w:start w:val="1"/>
      <w:numFmt w:val="decimal"/>
      <w:lvlText w:val="%4."/>
      <w:lvlJc w:val="left"/>
      <w:pPr>
        <w:ind w:left="2880" w:hanging="360"/>
      </w:pPr>
    </w:lvl>
    <w:lvl w:ilvl="4" w:tplc="56186E7E" w:tentative="1">
      <w:start w:val="1"/>
      <w:numFmt w:val="lowerLetter"/>
      <w:lvlText w:val="%5."/>
      <w:lvlJc w:val="left"/>
      <w:pPr>
        <w:ind w:left="3600" w:hanging="360"/>
      </w:pPr>
    </w:lvl>
    <w:lvl w:ilvl="5" w:tplc="55D2ED6E" w:tentative="1">
      <w:start w:val="1"/>
      <w:numFmt w:val="lowerRoman"/>
      <w:lvlText w:val="%6."/>
      <w:lvlJc w:val="right"/>
      <w:pPr>
        <w:ind w:left="4320" w:hanging="180"/>
      </w:pPr>
    </w:lvl>
    <w:lvl w:ilvl="6" w:tplc="427851C0" w:tentative="1">
      <w:start w:val="1"/>
      <w:numFmt w:val="decimal"/>
      <w:lvlText w:val="%7."/>
      <w:lvlJc w:val="left"/>
      <w:pPr>
        <w:ind w:left="5040" w:hanging="360"/>
      </w:pPr>
    </w:lvl>
    <w:lvl w:ilvl="7" w:tplc="C0A887F6" w:tentative="1">
      <w:start w:val="1"/>
      <w:numFmt w:val="lowerLetter"/>
      <w:lvlText w:val="%8."/>
      <w:lvlJc w:val="left"/>
      <w:pPr>
        <w:ind w:left="5760" w:hanging="360"/>
      </w:pPr>
    </w:lvl>
    <w:lvl w:ilvl="8" w:tplc="922C29BE" w:tentative="1">
      <w:start w:val="1"/>
      <w:numFmt w:val="lowerRoman"/>
      <w:lvlText w:val="%9."/>
      <w:lvlJc w:val="right"/>
      <w:pPr>
        <w:ind w:left="6480" w:hanging="180"/>
      </w:pPr>
    </w:lvl>
  </w:abstractNum>
  <w:abstractNum w:abstractNumId="7" w15:restartNumberingAfterBreak="0">
    <w:nsid w:val="26F3025E"/>
    <w:multiLevelType w:val="hybridMultilevel"/>
    <w:tmpl w:val="339063B4"/>
    <w:lvl w:ilvl="0" w:tplc="4B7AD642">
      <w:start w:val="1"/>
      <w:numFmt w:val="lowerLetter"/>
      <w:lvlText w:val="%1."/>
      <w:lvlJc w:val="left"/>
      <w:pPr>
        <w:ind w:left="1800" w:hanging="360"/>
      </w:pPr>
      <w:rPr>
        <w:rFonts w:hint="default"/>
        <w:i w:val="0"/>
      </w:rPr>
    </w:lvl>
    <w:lvl w:ilvl="1" w:tplc="342030C2" w:tentative="1">
      <w:start w:val="1"/>
      <w:numFmt w:val="lowerLetter"/>
      <w:lvlText w:val="%2."/>
      <w:lvlJc w:val="left"/>
      <w:pPr>
        <w:ind w:left="2520" w:hanging="360"/>
      </w:pPr>
    </w:lvl>
    <w:lvl w:ilvl="2" w:tplc="F1FC1586" w:tentative="1">
      <w:start w:val="1"/>
      <w:numFmt w:val="lowerRoman"/>
      <w:lvlText w:val="%3."/>
      <w:lvlJc w:val="right"/>
      <w:pPr>
        <w:ind w:left="3240" w:hanging="180"/>
      </w:pPr>
    </w:lvl>
    <w:lvl w:ilvl="3" w:tplc="0B40FE6E" w:tentative="1">
      <w:start w:val="1"/>
      <w:numFmt w:val="decimal"/>
      <w:lvlText w:val="%4."/>
      <w:lvlJc w:val="left"/>
      <w:pPr>
        <w:ind w:left="3960" w:hanging="360"/>
      </w:pPr>
    </w:lvl>
    <w:lvl w:ilvl="4" w:tplc="658A0042" w:tentative="1">
      <w:start w:val="1"/>
      <w:numFmt w:val="lowerLetter"/>
      <w:lvlText w:val="%5."/>
      <w:lvlJc w:val="left"/>
      <w:pPr>
        <w:ind w:left="4680" w:hanging="360"/>
      </w:pPr>
    </w:lvl>
    <w:lvl w:ilvl="5" w:tplc="59FEFC6E" w:tentative="1">
      <w:start w:val="1"/>
      <w:numFmt w:val="lowerRoman"/>
      <w:lvlText w:val="%6."/>
      <w:lvlJc w:val="right"/>
      <w:pPr>
        <w:ind w:left="5400" w:hanging="180"/>
      </w:pPr>
    </w:lvl>
    <w:lvl w:ilvl="6" w:tplc="991C3D08" w:tentative="1">
      <w:start w:val="1"/>
      <w:numFmt w:val="decimal"/>
      <w:lvlText w:val="%7."/>
      <w:lvlJc w:val="left"/>
      <w:pPr>
        <w:ind w:left="6120" w:hanging="360"/>
      </w:pPr>
    </w:lvl>
    <w:lvl w:ilvl="7" w:tplc="A956DD7C" w:tentative="1">
      <w:start w:val="1"/>
      <w:numFmt w:val="lowerLetter"/>
      <w:lvlText w:val="%8."/>
      <w:lvlJc w:val="left"/>
      <w:pPr>
        <w:ind w:left="6840" w:hanging="360"/>
      </w:pPr>
    </w:lvl>
    <w:lvl w:ilvl="8" w:tplc="76006018" w:tentative="1">
      <w:start w:val="1"/>
      <w:numFmt w:val="lowerRoman"/>
      <w:lvlText w:val="%9."/>
      <w:lvlJc w:val="right"/>
      <w:pPr>
        <w:ind w:left="7560" w:hanging="180"/>
      </w:pPr>
    </w:lvl>
  </w:abstractNum>
  <w:abstractNum w:abstractNumId="8" w15:restartNumberingAfterBreak="0">
    <w:nsid w:val="2ED37E4C"/>
    <w:multiLevelType w:val="hybridMultilevel"/>
    <w:tmpl w:val="5AEA250A"/>
    <w:lvl w:ilvl="0" w:tplc="AB7EA5B0">
      <w:start w:val="1"/>
      <w:numFmt w:val="lowerLetter"/>
      <w:lvlText w:val="%1."/>
      <w:lvlJc w:val="left"/>
      <w:pPr>
        <w:ind w:left="1800" w:hanging="360"/>
      </w:pPr>
      <w:rPr>
        <w:rFonts w:hint="default"/>
        <w:i w:val="0"/>
      </w:rPr>
    </w:lvl>
    <w:lvl w:ilvl="1" w:tplc="DF0C5B08" w:tentative="1">
      <w:start w:val="1"/>
      <w:numFmt w:val="lowerLetter"/>
      <w:lvlText w:val="%2."/>
      <w:lvlJc w:val="left"/>
      <w:pPr>
        <w:ind w:left="2520" w:hanging="360"/>
      </w:pPr>
    </w:lvl>
    <w:lvl w:ilvl="2" w:tplc="C2DA9CB6" w:tentative="1">
      <w:start w:val="1"/>
      <w:numFmt w:val="lowerRoman"/>
      <w:lvlText w:val="%3."/>
      <w:lvlJc w:val="right"/>
      <w:pPr>
        <w:ind w:left="3240" w:hanging="180"/>
      </w:pPr>
    </w:lvl>
    <w:lvl w:ilvl="3" w:tplc="904087E4" w:tentative="1">
      <w:start w:val="1"/>
      <w:numFmt w:val="decimal"/>
      <w:lvlText w:val="%4."/>
      <w:lvlJc w:val="left"/>
      <w:pPr>
        <w:ind w:left="3960" w:hanging="360"/>
      </w:pPr>
    </w:lvl>
    <w:lvl w:ilvl="4" w:tplc="AE186C7C" w:tentative="1">
      <w:start w:val="1"/>
      <w:numFmt w:val="lowerLetter"/>
      <w:lvlText w:val="%5."/>
      <w:lvlJc w:val="left"/>
      <w:pPr>
        <w:ind w:left="4680" w:hanging="360"/>
      </w:pPr>
    </w:lvl>
    <w:lvl w:ilvl="5" w:tplc="33605A5C" w:tentative="1">
      <w:start w:val="1"/>
      <w:numFmt w:val="lowerRoman"/>
      <w:lvlText w:val="%6."/>
      <w:lvlJc w:val="right"/>
      <w:pPr>
        <w:ind w:left="5400" w:hanging="180"/>
      </w:pPr>
    </w:lvl>
    <w:lvl w:ilvl="6" w:tplc="F9A02BB2" w:tentative="1">
      <w:start w:val="1"/>
      <w:numFmt w:val="decimal"/>
      <w:lvlText w:val="%7."/>
      <w:lvlJc w:val="left"/>
      <w:pPr>
        <w:ind w:left="6120" w:hanging="360"/>
      </w:pPr>
    </w:lvl>
    <w:lvl w:ilvl="7" w:tplc="B1DE4086" w:tentative="1">
      <w:start w:val="1"/>
      <w:numFmt w:val="lowerLetter"/>
      <w:lvlText w:val="%8."/>
      <w:lvlJc w:val="left"/>
      <w:pPr>
        <w:ind w:left="6840" w:hanging="360"/>
      </w:pPr>
    </w:lvl>
    <w:lvl w:ilvl="8" w:tplc="D31A31BC" w:tentative="1">
      <w:start w:val="1"/>
      <w:numFmt w:val="lowerRoman"/>
      <w:lvlText w:val="%9."/>
      <w:lvlJc w:val="right"/>
      <w:pPr>
        <w:ind w:left="7560" w:hanging="180"/>
      </w:pPr>
    </w:lvl>
  </w:abstractNum>
  <w:abstractNum w:abstractNumId="9" w15:restartNumberingAfterBreak="0">
    <w:nsid w:val="332D05BC"/>
    <w:multiLevelType w:val="hybridMultilevel"/>
    <w:tmpl w:val="6598162C"/>
    <w:lvl w:ilvl="0" w:tplc="EAEE5BBC">
      <w:start w:val="1"/>
      <w:numFmt w:val="lowerLetter"/>
      <w:lvlText w:val="%1."/>
      <w:lvlJc w:val="left"/>
      <w:pPr>
        <w:ind w:left="1800" w:hanging="360"/>
      </w:pPr>
      <w:rPr>
        <w:rFonts w:hint="default"/>
        <w:i w:val="0"/>
      </w:rPr>
    </w:lvl>
    <w:lvl w:ilvl="1" w:tplc="A426D4CC" w:tentative="1">
      <w:start w:val="1"/>
      <w:numFmt w:val="lowerLetter"/>
      <w:lvlText w:val="%2."/>
      <w:lvlJc w:val="left"/>
      <w:pPr>
        <w:ind w:left="2520" w:hanging="360"/>
      </w:pPr>
    </w:lvl>
    <w:lvl w:ilvl="2" w:tplc="42EE360A" w:tentative="1">
      <w:start w:val="1"/>
      <w:numFmt w:val="lowerRoman"/>
      <w:lvlText w:val="%3."/>
      <w:lvlJc w:val="right"/>
      <w:pPr>
        <w:ind w:left="3240" w:hanging="180"/>
      </w:pPr>
    </w:lvl>
    <w:lvl w:ilvl="3" w:tplc="A698BA24" w:tentative="1">
      <w:start w:val="1"/>
      <w:numFmt w:val="decimal"/>
      <w:lvlText w:val="%4."/>
      <w:lvlJc w:val="left"/>
      <w:pPr>
        <w:ind w:left="3960" w:hanging="360"/>
      </w:pPr>
    </w:lvl>
    <w:lvl w:ilvl="4" w:tplc="B0A09628" w:tentative="1">
      <w:start w:val="1"/>
      <w:numFmt w:val="lowerLetter"/>
      <w:lvlText w:val="%5."/>
      <w:lvlJc w:val="left"/>
      <w:pPr>
        <w:ind w:left="4680" w:hanging="360"/>
      </w:pPr>
    </w:lvl>
    <w:lvl w:ilvl="5" w:tplc="195643AE" w:tentative="1">
      <w:start w:val="1"/>
      <w:numFmt w:val="lowerRoman"/>
      <w:lvlText w:val="%6."/>
      <w:lvlJc w:val="right"/>
      <w:pPr>
        <w:ind w:left="5400" w:hanging="180"/>
      </w:pPr>
    </w:lvl>
    <w:lvl w:ilvl="6" w:tplc="FC3E7DE6" w:tentative="1">
      <w:start w:val="1"/>
      <w:numFmt w:val="decimal"/>
      <w:lvlText w:val="%7."/>
      <w:lvlJc w:val="left"/>
      <w:pPr>
        <w:ind w:left="6120" w:hanging="360"/>
      </w:pPr>
    </w:lvl>
    <w:lvl w:ilvl="7" w:tplc="658062F0" w:tentative="1">
      <w:start w:val="1"/>
      <w:numFmt w:val="lowerLetter"/>
      <w:lvlText w:val="%8."/>
      <w:lvlJc w:val="left"/>
      <w:pPr>
        <w:ind w:left="6840" w:hanging="360"/>
      </w:pPr>
    </w:lvl>
    <w:lvl w:ilvl="8" w:tplc="F77E2192" w:tentative="1">
      <w:start w:val="1"/>
      <w:numFmt w:val="lowerRoman"/>
      <w:lvlText w:val="%9."/>
      <w:lvlJc w:val="right"/>
      <w:pPr>
        <w:ind w:left="7560" w:hanging="180"/>
      </w:pPr>
    </w:lvl>
  </w:abstractNum>
  <w:abstractNum w:abstractNumId="10" w15:restartNumberingAfterBreak="0">
    <w:nsid w:val="39C163E7"/>
    <w:multiLevelType w:val="hybridMultilevel"/>
    <w:tmpl w:val="105034E8"/>
    <w:lvl w:ilvl="0" w:tplc="EDAEB05E">
      <w:start w:val="1"/>
      <w:numFmt w:val="lowerLetter"/>
      <w:lvlText w:val="%1."/>
      <w:lvlJc w:val="left"/>
      <w:pPr>
        <w:ind w:left="1800" w:hanging="360"/>
      </w:pPr>
      <w:rPr>
        <w:rFonts w:hint="default"/>
      </w:rPr>
    </w:lvl>
    <w:lvl w:ilvl="1" w:tplc="B9AEB79E" w:tentative="1">
      <w:start w:val="1"/>
      <w:numFmt w:val="lowerLetter"/>
      <w:lvlText w:val="%2."/>
      <w:lvlJc w:val="left"/>
      <w:pPr>
        <w:ind w:left="2520" w:hanging="360"/>
      </w:pPr>
    </w:lvl>
    <w:lvl w:ilvl="2" w:tplc="A8D44766" w:tentative="1">
      <w:start w:val="1"/>
      <w:numFmt w:val="lowerRoman"/>
      <w:lvlText w:val="%3."/>
      <w:lvlJc w:val="right"/>
      <w:pPr>
        <w:ind w:left="3240" w:hanging="180"/>
      </w:pPr>
    </w:lvl>
    <w:lvl w:ilvl="3" w:tplc="A6C68C7E" w:tentative="1">
      <w:start w:val="1"/>
      <w:numFmt w:val="decimal"/>
      <w:lvlText w:val="%4."/>
      <w:lvlJc w:val="left"/>
      <w:pPr>
        <w:ind w:left="3960" w:hanging="360"/>
      </w:pPr>
    </w:lvl>
    <w:lvl w:ilvl="4" w:tplc="35BA84D8" w:tentative="1">
      <w:start w:val="1"/>
      <w:numFmt w:val="lowerLetter"/>
      <w:lvlText w:val="%5."/>
      <w:lvlJc w:val="left"/>
      <w:pPr>
        <w:ind w:left="4680" w:hanging="360"/>
      </w:pPr>
    </w:lvl>
    <w:lvl w:ilvl="5" w:tplc="CE58C512" w:tentative="1">
      <w:start w:val="1"/>
      <w:numFmt w:val="lowerRoman"/>
      <w:lvlText w:val="%6."/>
      <w:lvlJc w:val="right"/>
      <w:pPr>
        <w:ind w:left="5400" w:hanging="180"/>
      </w:pPr>
    </w:lvl>
    <w:lvl w:ilvl="6" w:tplc="D324C256" w:tentative="1">
      <w:start w:val="1"/>
      <w:numFmt w:val="decimal"/>
      <w:lvlText w:val="%7."/>
      <w:lvlJc w:val="left"/>
      <w:pPr>
        <w:ind w:left="6120" w:hanging="360"/>
      </w:pPr>
    </w:lvl>
    <w:lvl w:ilvl="7" w:tplc="DE54EB58" w:tentative="1">
      <w:start w:val="1"/>
      <w:numFmt w:val="lowerLetter"/>
      <w:lvlText w:val="%8."/>
      <w:lvlJc w:val="left"/>
      <w:pPr>
        <w:ind w:left="6840" w:hanging="360"/>
      </w:pPr>
    </w:lvl>
    <w:lvl w:ilvl="8" w:tplc="4EB2529C" w:tentative="1">
      <w:start w:val="1"/>
      <w:numFmt w:val="lowerRoman"/>
      <w:lvlText w:val="%9."/>
      <w:lvlJc w:val="right"/>
      <w:pPr>
        <w:ind w:left="7560" w:hanging="180"/>
      </w:pPr>
    </w:lvl>
  </w:abstractNum>
  <w:abstractNum w:abstractNumId="11" w15:restartNumberingAfterBreak="0">
    <w:nsid w:val="3E9C2910"/>
    <w:multiLevelType w:val="hybridMultilevel"/>
    <w:tmpl w:val="15826B96"/>
    <w:lvl w:ilvl="0" w:tplc="DD04A65A">
      <w:start w:val="1"/>
      <w:numFmt w:val="lowerLetter"/>
      <w:lvlText w:val="%1."/>
      <w:lvlJc w:val="left"/>
      <w:pPr>
        <w:ind w:left="1440" w:hanging="360"/>
      </w:pPr>
    </w:lvl>
    <w:lvl w:ilvl="1" w:tplc="6D165D3A" w:tentative="1">
      <w:start w:val="1"/>
      <w:numFmt w:val="lowerLetter"/>
      <w:lvlText w:val="%2."/>
      <w:lvlJc w:val="left"/>
      <w:pPr>
        <w:ind w:left="2160" w:hanging="360"/>
      </w:pPr>
    </w:lvl>
    <w:lvl w:ilvl="2" w:tplc="04DE2AC2" w:tentative="1">
      <w:start w:val="1"/>
      <w:numFmt w:val="lowerRoman"/>
      <w:lvlText w:val="%3."/>
      <w:lvlJc w:val="right"/>
      <w:pPr>
        <w:ind w:left="2880" w:hanging="180"/>
      </w:pPr>
    </w:lvl>
    <w:lvl w:ilvl="3" w:tplc="B0C272CC" w:tentative="1">
      <w:start w:val="1"/>
      <w:numFmt w:val="decimal"/>
      <w:lvlText w:val="%4."/>
      <w:lvlJc w:val="left"/>
      <w:pPr>
        <w:ind w:left="3600" w:hanging="360"/>
      </w:pPr>
    </w:lvl>
    <w:lvl w:ilvl="4" w:tplc="7B640F6C" w:tentative="1">
      <w:start w:val="1"/>
      <w:numFmt w:val="lowerLetter"/>
      <w:lvlText w:val="%5."/>
      <w:lvlJc w:val="left"/>
      <w:pPr>
        <w:ind w:left="4320" w:hanging="360"/>
      </w:pPr>
    </w:lvl>
    <w:lvl w:ilvl="5" w:tplc="02EC5EBE" w:tentative="1">
      <w:start w:val="1"/>
      <w:numFmt w:val="lowerRoman"/>
      <w:lvlText w:val="%6."/>
      <w:lvlJc w:val="right"/>
      <w:pPr>
        <w:ind w:left="5040" w:hanging="180"/>
      </w:pPr>
    </w:lvl>
    <w:lvl w:ilvl="6" w:tplc="1E8C2308" w:tentative="1">
      <w:start w:val="1"/>
      <w:numFmt w:val="decimal"/>
      <w:lvlText w:val="%7."/>
      <w:lvlJc w:val="left"/>
      <w:pPr>
        <w:ind w:left="5760" w:hanging="360"/>
      </w:pPr>
    </w:lvl>
    <w:lvl w:ilvl="7" w:tplc="3B6AB92A" w:tentative="1">
      <w:start w:val="1"/>
      <w:numFmt w:val="lowerLetter"/>
      <w:lvlText w:val="%8."/>
      <w:lvlJc w:val="left"/>
      <w:pPr>
        <w:ind w:left="6480" w:hanging="360"/>
      </w:pPr>
    </w:lvl>
    <w:lvl w:ilvl="8" w:tplc="214CD2A6" w:tentative="1">
      <w:start w:val="1"/>
      <w:numFmt w:val="lowerRoman"/>
      <w:lvlText w:val="%9."/>
      <w:lvlJc w:val="right"/>
      <w:pPr>
        <w:ind w:left="7200" w:hanging="180"/>
      </w:pPr>
    </w:lvl>
  </w:abstractNum>
  <w:abstractNum w:abstractNumId="12" w15:restartNumberingAfterBreak="0">
    <w:nsid w:val="44A65239"/>
    <w:multiLevelType w:val="hybridMultilevel"/>
    <w:tmpl w:val="D33410D4"/>
    <w:lvl w:ilvl="0" w:tplc="4EFED50E">
      <w:start w:val="1"/>
      <w:numFmt w:val="lowerLetter"/>
      <w:lvlText w:val="%1."/>
      <w:lvlJc w:val="left"/>
      <w:pPr>
        <w:ind w:left="1800" w:hanging="360"/>
      </w:pPr>
      <w:rPr>
        <w:rFonts w:hint="default"/>
        <w:i w:val="0"/>
      </w:rPr>
    </w:lvl>
    <w:lvl w:ilvl="1" w:tplc="29806944" w:tentative="1">
      <w:start w:val="1"/>
      <w:numFmt w:val="lowerLetter"/>
      <w:lvlText w:val="%2."/>
      <w:lvlJc w:val="left"/>
      <w:pPr>
        <w:ind w:left="2520" w:hanging="360"/>
      </w:pPr>
    </w:lvl>
    <w:lvl w:ilvl="2" w:tplc="F6D6FBD8" w:tentative="1">
      <w:start w:val="1"/>
      <w:numFmt w:val="lowerRoman"/>
      <w:lvlText w:val="%3."/>
      <w:lvlJc w:val="right"/>
      <w:pPr>
        <w:ind w:left="3240" w:hanging="180"/>
      </w:pPr>
    </w:lvl>
    <w:lvl w:ilvl="3" w:tplc="138AD946" w:tentative="1">
      <w:start w:val="1"/>
      <w:numFmt w:val="decimal"/>
      <w:lvlText w:val="%4."/>
      <w:lvlJc w:val="left"/>
      <w:pPr>
        <w:ind w:left="3960" w:hanging="360"/>
      </w:pPr>
    </w:lvl>
    <w:lvl w:ilvl="4" w:tplc="D5F261DC" w:tentative="1">
      <w:start w:val="1"/>
      <w:numFmt w:val="lowerLetter"/>
      <w:lvlText w:val="%5."/>
      <w:lvlJc w:val="left"/>
      <w:pPr>
        <w:ind w:left="4680" w:hanging="360"/>
      </w:pPr>
    </w:lvl>
    <w:lvl w:ilvl="5" w:tplc="A9BAEF88" w:tentative="1">
      <w:start w:val="1"/>
      <w:numFmt w:val="lowerRoman"/>
      <w:lvlText w:val="%6."/>
      <w:lvlJc w:val="right"/>
      <w:pPr>
        <w:ind w:left="5400" w:hanging="180"/>
      </w:pPr>
    </w:lvl>
    <w:lvl w:ilvl="6" w:tplc="E8BE6724" w:tentative="1">
      <w:start w:val="1"/>
      <w:numFmt w:val="decimal"/>
      <w:lvlText w:val="%7."/>
      <w:lvlJc w:val="left"/>
      <w:pPr>
        <w:ind w:left="6120" w:hanging="360"/>
      </w:pPr>
    </w:lvl>
    <w:lvl w:ilvl="7" w:tplc="3CB8D37E" w:tentative="1">
      <w:start w:val="1"/>
      <w:numFmt w:val="lowerLetter"/>
      <w:lvlText w:val="%8."/>
      <w:lvlJc w:val="left"/>
      <w:pPr>
        <w:ind w:left="6840" w:hanging="360"/>
      </w:pPr>
    </w:lvl>
    <w:lvl w:ilvl="8" w:tplc="2142606E" w:tentative="1">
      <w:start w:val="1"/>
      <w:numFmt w:val="lowerRoman"/>
      <w:lvlText w:val="%9."/>
      <w:lvlJc w:val="right"/>
      <w:pPr>
        <w:ind w:left="7560" w:hanging="180"/>
      </w:pPr>
    </w:lvl>
  </w:abstractNum>
  <w:abstractNum w:abstractNumId="13" w15:restartNumberingAfterBreak="0">
    <w:nsid w:val="4A8D476B"/>
    <w:multiLevelType w:val="hybridMultilevel"/>
    <w:tmpl w:val="06E0132A"/>
    <w:lvl w:ilvl="0" w:tplc="9550A928">
      <w:start w:val="1"/>
      <w:numFmt w:val="lowerLetter"/>
      <w:lvlText w:val="%1."/>
      <w:lvlJc w:val="left"/>
      <w:pPr>
        <w:ind w:left="1800" w:hanging="360"/>
      </w:pPr>
      <w:rPr>
        <w:rFonts w:hint="default"/>
        <w:i w:val="0"/>
      </w:rPr>
    </w:lvl>
    <w:lvl w:ilvl="1" w:tplc="F9E2F9F0" w:tentative="1">
      <w:start w:val="1"/>
      <w:numFmt w:val="lowerLetter"/>
      <w:lvlText w:val="%2."/>
      <w:lvlJc w:val="left"/>
      <w:pPr>
        <w:ind w:left="2520" w:hanging="360"/>
      </w:pPr>
    </w:lvl>
    <w:lvl w:ilvl="2" w:tplc="F3F2370A" w:tentative="1">
      <w:start w:val="1"/>
      <w:numFmt w:val="lowerRoman"/>
      <w:lvlText w:val="%3."/>
      <w:lvlJc w:val="right"/>
      <w:pPr>
        <w:ind w:left="3240" w:hanging="180"/>
      </w:pPr>
    </w:lvl>
    <w:lvl w:ilvl="3" w:tplc="F254055A" w:tentative="1">
      <w:start w:val="1"/>
      <w:numFmt w:val="decimal"/>
      <w:lvlText w:val="%4."/>
      <w:lvlJc w:val="left"/>
      <w:pPr>
        <w:ind w:left="3960" w:hanging="360"/>
      </w:pPr>
    </w:lvl>
    <w:lvl w:ilvl="4" w:tplc="A15495D0" w:tentative="1">
      <w:start w:val="1"/>
      <w:numFmt w:val="lowerLetter"/>
      <w:lvlText w:val="%5."/>
      <w:lvlJc w:val="left"/>
      <w:pPr>
        <w:ind w:left="4680" w:hanging="360"/>
      </w:pPr>
    </w:lvl>
    <w:lvl w:ilvl="5" w:tplc="D9D8C840" w:tentative="1">
      <w:start w:val="1"/>
      <w:numFmt w:val="lowerRoman"/>
      <w:lvlText w:val="%6."/>
      <w:lvlJc w:val="right"/>
      <w:pPr>
        <w:ind w:left="5400" w:hanging="180"/>
      </w:pPr>
    </w:lvl>
    <w:lvl w:ilvl="6" w:tplc="C03C6DFA" w:tentative="1">
      <w:start w:val="1"/>
      <w:numFmt w:val="decimal"/>
      <w:lvlText w:val="%7."/>
      <w:lvlJc w:val="left"/>
      <w:pPr>
        <w:ind w:left="6120" w:hanging="360"/>
      </w:pPr>
    </w:lvl>
    <w:lvl w:ilvl="7" w:tplc="7BBC67A8" w:tentative="1">
      <w:start w:val="1"/>
      <w:numFmt w:val="lowerLetter"/>
      <w:lvlText w:val="%8."/>
      <w:lvlJc w:val="left"/>
      <w:pPr>
        <w:ind w:left="6840" w:hanging="360"/>
      </w:pPr>
    </w:lvl>
    <w:lvl w:ilvl="8" w:tplc="2F4E2684" w:tentative="1">
      <w:start w:val="1"/>
      <w:numFmt w:val="lowerRoman"/>
      <w:lvlText w:val="%9."/>
      <w:lvlJc w:val="right"/>
      <w:pPr>
        <w:ind w:left="7560" w:hanging="180"/>
      </w:pPr>
    </w:lvl>
  </w:abstractNum>
  <w:abstractNum w:abstractNumId="14" w15:restartNumberingAfterBreak="0">
    <w:nsid w:val="54C54046"/>
    <w:multiLevelType w:val="hybridMultilevel"/>
    <w:tmpl w:val="4B7E850E"/>
    <w:lvl w:ilvl="0" w:tplc="4348A6A4">
      <w:start w:val="1"/>
      <w:numFmt w:val="decimal"/>
      <w:lvlText w:val="%1."/>
      <w:lvlJc w:val="left"/>
      <w:pPr>
        <w:ind w:left="1080" w:hanging="360"/>
      </w:pPr>
      <w:rPr>
        <w:rFonts w:hint="default"/>
      </w:rPr>
    </w:lvl>
    <w:lvl w:ilvl="1" w:tplc="8FFC482C" w:tentative="1">
      <w:start w:val="1"/>
      <w:numFmt w:val="lowerLetter"/>
      <w:lvlText w:val="%2."/>
      <w:lvlJc w:val="left"/>
      <w:pPr>
        <w:ind w:left="1800" w:hanging="360"/>
      </w:pPr>
    </w:lvl>
    <w:lvl w:ilvl="2" w:tplc="524ECD72" w:tentative="1">
      <w:start w:val="1"/>
      <w:numFmt w:val="lowerRoman"/>
      <w:lvlText w:val="%3."/>
      <w:lvlJc w:val="right"/>
      <w:pPr>
        <w:ind w:left="2520" w:hanging="180"/>
      </w:pPr>
    </w:lvl>
    <w:lvl w:ilvl="3" w:tplc="29224E98" w:tentative="1">
      <w:start w:val="1"/>
      <w:numFmt w:val="decimal"/>
      <w:lvlText w:val="%4."/>
      <w:lvlJc w:val="left"/>
      <w:pPr>
        <w:ind w:left="3240" w:hanging="360"/>
      </w:pPr>
    </w:lvl>
    <w:lvl w:ilvl="4" w:tplc="85D81E9C" w:tentative="1">
      <w:start w:val="1"/>
      <w:numFmt w:val="lowerLetter"/>
      <w:lvlText w:val="%5."/>
      <w:lvlJc w:val="left"/>
      <w:pPr>
        <w:ind w:left="3960" w:hanging="360"/>
      </w:pPr>
    </w:lvl>
    <w:lvl w:ilvl="5" w:tplc="BB8679CA" w:tentative="1">
      <w:start w:val="1"/>
      <w:numFmt w:val="lowerRoman"/>
      <w:lvlText w:val="%6."/>
      <w:lvlJc w:val="right"/>
      <w:pPr>
        <w:ind w:left="4680" w:hanging="180"/>
      </w:pPr>
    </w:lvl>
    <w:lvl w:ilvl="6" w:tplc="CEBA4E7E" w:tentative="1">
      <w:start w:val="1"/>
      <w:numFmt w:val="decimal"/>
      <w:lvlText w:val="%7."/>
      <w:lvlJc w:val="left"/>
      <w:pPr>
        <w:ind w:left="5400" w:hanging="360"/>
      </w:pPr>
    </w:lvl>
    <w:lvl w:ilvl="7" w:tplc="A43626D2" w:tentative="1">
      <w:start w:val="1"/>
      <w:numFmt w:val="lowerLetter"/>
      <w:lvlText w:val="%8."/>
      <w:lvlJc w:val="left"/>
      <w:pPr>
        <w:ind w:left="6120" w:hanging="360"/>
      </w:pPr>
    </w:lvl>
    <w:lvl w:ilvl="8" w:tplc="A3961B92" w:tentative="1">
      <w:start w:val="1"/>
      <w:numFmt w:val="lowerRoman"/>
      <w:lvlText w:val="%9."/>
      <w:lvlJc w:val="right"/>
      <w:pPr>
        <w:ind w:left="6840" w:hanging="180"/>
      </w:pPr>
    </w:lvl>
  </w:abstractNum>
  <w:abstractNum w:abstractNumId="15" w15:restartNumberingAfterBreak="0">
    <w:nsid w:val="6A3411DF"/>
    <w:multiLevelType w:val="hybridMultilevel"/>
    <w:tmpl w:val="CC3A6308"/>
    <w:lvl w:ilvl="0" w:tplc="DC1CD5BC">
      <w:start w:val="1"/>
      <w:numFmt w:val="lowerLetter"/>
      <w:lvlText w:val="%1."/>
      <w:lvlJc w:val="left"/>
      <w:pPr>
        <w:ind w:left="1800" w:hanging="360"/>
      </w:pPr>
      <w:rPr>
        <w:rFonts w:hint="default"/>
      </w:rPr>
    </w:lvl>
    <w:lvl w:ilvl="1" w:tplc="1DD01986" w:tentative="1">
      <w:start w:val="1"/>
      <w:numFmt w:val="lowerLetter"/>
      <w:lvlText w:val="%2."/>
      <w:lvlJc w:val="left"/>
      <w:pPr>
        <w:ind w:left="2520" w:hanging="360"/>
      </w:pPr>
    </w:lvl>
    <w:lvl w:ilvl="2" w:tplc="8EF86BAC" w:tentative="1">
      <w:start w:val="1"/>
      <w:numFmt w:val="lowerRoman"/>
      <w:lvlText w:val="%3."/>
      <w:lvlJc w:val="right"/>
      <w:pPr>
        <w:ind w:left="3240" w:hanging="180"/>
      </w:pPr>
    </w:lvl>
    <w:lvl w:ilvl="3" w:tplc="2EB4F4F2" w:tentative="1">
      <w:start w:val="1"/>
      <w:numFmt w:val="decimal"/>
      <w:lvlText w:val="%4."/>
      <w:lvlJc w:val="left"/>
      <w:pPr>
        <w:ind w:left="3960" w:hanging="360"/>
      </w:pPr>
    </w:lvl>
    <w:lvl w:ilvl="4" w:tplc="7FE63B74" w:tentative="1">
      <w:start w:val="1"/>
      <w:numFmt w:val="lowerLetter"/>
      <w:lvlText w:val="%5."/>
      <w:lvlJc w:val="left"/>
      <w:pPr>
        <w:ind w:left="4680" w:hanging="360"/>
      </w:pPr>
    </w:lvl>
    <w:lvl w:ilvl="5" w:tplc="47BC44E0" w:tentative="1">
      <w:start w:val="1"/>
      <w:numFmt w:val="lowerRoman"/>
      <w:lvlText w:val="%6."/>
      <w:lvlJc w:val="right"/>
      <w:pPr>
        <w:ind w:left="5400" w:hanging="180"/>
      </w:pPr>
    </w:lvl>
    <w:lvl w:ilvl="6" w:tplc="D144B8D6" w:tentative="1">
      <w:start w:val="1"/>
      <w:numFmt w:val="decimal"/>
      <w:lvlText w:val="%7."/>
      <w:lvlJc w:val="left"/>
      <w:pPr>
        <w:ind w:left="6120" w:hanging="360"/>
      </w:pPr>
    </w:lvl>
    <w:lvl w:ilvl="7" w:tplc="71321E32" w:tentative="1">
      <w:start w:val="1"/>
      <w:numFmt w:val="lowerLetter"/>
      <w:lvlText w:val="%8."/>
      <w:lvlJc w:val="left"/>
      <w:pPr>
        <w:ind w:left="6840" w:hanging="360"/>
      </w:pPr>
    </w:lvl>
    <w:lvl w:ilvl="8" w:tplc="B5BC7276" w:tentative="1">
      <w:start w:val="1"/>
      <w:numFmt w:val="lowerRoman"/>
      <w:lvlText w:val="%9."/>
      <w:lvlJc w:val="right"/>
      <w:pPr>
        <w:ind w:left="7560" w:hanging="180"/>
      </w:pPr>
    </w:lvl>
  </w:abstractNum>
  <w:abstractNum w:abstractNumId="16" w15:restartNumberingAfterBreak="0">
    <w:nsid w:val="78DF444D"/>
    <w:multiLevelType w:val="hybridMultilevel"/>
    <w:tmpl w:val="48126E8E"/>
    <w:lvl w:ilvl="0" w:tplc="B11886E2">
      <w:start w:val="1"/>
      <w:numFmt w:val="decimal"/>
      <w:lvlText w:val="%1."/>
      <w:lvlJc w:val="left"/>
      <w:pPr>
        <w:ind w:left="720" w:hanging="360"/>
      </w:pPr>
    </w:lvl>
    <w:lvl w:ilvl="1" w:tplc="05BE843E">
      <w:start w:val="1"/>
      <w:numFmt w:val="lowerLetter"/>
      <w:lvlText w:val="%2."/>
      <w:lvlJc w:val="left"/>
      <w:pPr>
        <w:ind w:left="1440" w:hanging="360"/>
      </w:pPr>
    </w:lvl>
    <w:lvl w:ilvl="2" w:tplc="BADE6784" w:tentative="1">
      <w:start w:val="1"/>
      <w:numFmt w:val="lowerRoman"/>
      <w:lvlText w:val="%3."/>
      <w:lvlJc w:val="right"/>
      <w:pPr>
        <w:ind w:left="2160" w:hanging="180"/>
      </w:pPr>
    </w:lvl>
    <w:lvl w:ilvl="3" w:tplc="9800C00A" w:tentative="1">
      <w:start w:val="1"/>
      <w:numFmt w:val="decimal"/>
      <w:lvlText w:val="%4."/>
      <w:lvlJc w:val="left"/>
      <w:pPr>
        <w:ind w:left="2880" w:hanging="360"/>
      </w:pPr>
    </w:lvl>
    <w:lvl w:ilvl="4" w:tplc="E9DA03DE" w:tentative="1">
      <w:start w:val="1"/>
      <w:numFmt w:val="lowerLetter"/>
      <w:lvlText w:val="%5."/>
      <w:lvlJc w:val="left"/>
      <w:pPr>
        <w:ind w:left="3600" w:hanging="360"/>
      </w:pPr>
    </w:lvl>
    <w:lvl w:ilvl="5" w:tplc="AA46B024" w:tentative="1">
      <w:start w:val="1"/>
      <w:numFmt w:val="lowerRoman"/>
      <w:lvlText w:val="%6."/>
      <w:lvlJc w:val="right"/>
      <w:pPr>
        <w:ind w:left="4320" w:hanging="180"/>
      </w:pPr>
    </w:lvl>
    <w:lvl w:ilvl="6" w:tplc="CFD80A06" w:tentative="1">
      <w:start w:val="1"/>
      <w:numFmt w:val="decimal"/>
      <w:lvlText w:val="%7."/>
      <w:lvlJc w:val="left"/>
      <w:pPr>
        <w:ind w:left="5040" w:hanging="360"/>
      </w:pPr>
    </w:lvl>
    <w:lvl w:ilvl="7" w:tplc="CF2AFAB0" w:tentative="1">
      <w:start w:val="1"/>
      <w:numFmt w:val="lowerLetter"/>
      <w:lvlText w:val="%8."/>
      <w:lvlJc w:val="left"/>
      <w:pPr>
        <w:ind w:left="5760" w:hanging="360"/>
      </w:pPr>
    </w:lvl>
    <w:lvl w:ilvl="8" w:tplc="F092D77C" w:tentative="1">
      <w:start w:val="1"/>
      <w:numFmt w:val="lowerRoman"/>
      <w:lvlText w:val="%9."/>
      <w:lvlJc w:val="right"/>
      <w:pPr>
        <w:ind w:left="6480" w:hanging="180"/>
      </w:pPr>
    </w:lvl>
  </w:abstractNum>
  <w:abstractNum w:abstractNumId="17" w15:restartNumberingAfterBreak="0">
    <w:nsid w:val="7B2058BE"/>
    <w:multiLevelType w:val="hybridMultilevel"/>
    <w:tmpl w:val="31B427AA"/>
    <w:lvl w:ilvl="0" w:tplc="819846A2">
      <w:start w:val="1"/>
      <w:numFmt w:val="lowerLetter"/>
      <w:lvlText w:val="%1."/>
      <w:lvlJc w:val="left"/>
      <w:pPr>
        <w:ind w:left="1800" w:hanging="360"/>
      </w:pPr>
      <w:rPr>
        <w:rFonts w:hint="default"/>
        <w:i w:val="0"/>
      </w:rPr>
    </w:lvl>
    <w:lvl w:ilvl="1" w:tplc="30C6A5E2" w:tentative="1">
      <w:start w:val="1"/>
      <w:numFmt w:val="lowerLetter"/>
      <w:lvlText w:val="%2."/>
      <w:lvlJc w:val="left"/>
      <w:pPr>
        <w:ind w:left="2520" w:hanging="360"/>
      </w:pPr>
    </w:lvl>
    <w:lvl w:ilvl="2" w:tplc="6F2C771A" w:tentative="1">
      <w:start w:val="1"/>
      <w:numFmt w:val="lowerRoman"/>
      <w:lvlText w:val="%3."/>
      <w:lvlJc w:val="right"/>
      <w:pPr>
        <w:ind w:left="3240" w:hanging="180"/>
      </w:pPr>
    </w:lvl>
    <w:lvl w:ilvl="3" w:tplc="9BC45ED6" w:tentative="1">
      <w:start w:val="1"/>
      <w:numFmt w:val="decimal"/>
      <w:lvlText w:val="%4."/>
      <w:lvlJc w:val="left"/>
      <w:pPr>
        <w:ind w:left="3960" w:hanging="360"/>
      </w:pPr>
    </w:lvl>
    <w:lvl w:ilvl="4" w:tplc="B3E01D42" w:tentative="1">
      <w:start w:val="1"/>
      <w:numFmt w:val="lowerLetter"/>
      <w:lvlText w:val="%5."/>
      <w:lvlJc w:val="left"/>
      <w:pPr>
        <w:ind w:left="4680" w:hanging="360"/>
      </w:pPr>
    </w:lvl>
    <w:lvl w:ilvl="5" w:tplc="AE1638DA" w:tentative="1">
      <w:start w:val="1"/>
      <w:numFmt w:val="lowerRoman"/>
      <w:lvlText w:val="%6."/>
      <w:lvlJc w:val="right"/>
      <w:pPr>
        <w:ind w:left="5400" w:hanging="180"/>
      </w:pPr>
    </w:lvl>
    <w:lvl w:ilvl="6" w:tplc="6C3A89D6" w:tentative="1">
      <w:start w:val="1"/>
      <w:numFmt w:val="decimal"/>
      <w:lvlText w:val="%7."/>
      <w:lvlJc w:val="left"/>
      <w:pPr>
        <w:ind w:left="6120" w:hanging="360"/>
      </w:pPr>
    </w:lvl>
    <w:lvl w:ilvl="7" w:tplc="66345F66" w:tentative="1">
      <w:start w:val="1"/>
      <w:numFmt w:val="lowerLetter"/>
      <w:lvlText w:val="%8."/>
      <w:lvlJc w:val="left"/>
      <w:pPr>
        <w:ind w:left="6840" w:hanging="360"/>
      </w:pPr>
    </w:lvl>
    <w:lvl w:ilvl="8" w:tplc="61A2084C" w:tentative="1">
      <w:start w:val="1"/>
      <w:numFmt w:val="lowerRoman"/>
      <w:lvlText w:val="%9."/>
      <w:lvlJc w:val="right"/>
      <w:pPr>
        <w:ind w:left="7560" w:hanging="180"/>
      </w:pPr>
    </w:lvl>
  </w:abstractNum>
  <w:abstractNum w:abstractNumId="18" w15:restartNumberingAfterBreak="0">
    <w:nsid w:val="7D5871DC"/>
    <w:multiLevelType w:val="hybridMultilevel"/>
    <w:tmpl w:val="823807A6"/>
    <w:lvl w:ilvl="0" w:tplc="75C688DE">
      <w:start w:val="1"/>
      <w:numFmt w:val="lowerLetter"/>
      <w:lvlText w:val="%1."/>
      <w:lvlJc w:val="left"/>
      <w:pPr>
        <w:ind w:left="1800" w:hanging="360"/>
      </w:pPr>
      <w:rPr>
        <w:rFonts w:hint="default"/>
        <w:i w:val="0"/>
      </w:rPr>
    </w:lvl>
    <w:lvl w:ilvl="1" w:tplc="1EF4FA76" w:tentative="1">
      <w:start w:val="1"/>
      <w:numFmt w:val="lowerLetter"/>
      <w:lvlText w:val="%2."/>
      <w:lvlJc w:val="left"/>
      <w:pPr>
        <w:ind w:left="2520" w:hanging="360"/>
      </w:pPr>
    </w:lvl>
    <w:lvl w:ilvl="2" w:tplc="3AE26E9E" w:tentative="1">
      <w:start w:val="1"/>
      <w:numFmt w:val="lowerRoman"/>
      <w:lvlText w:val="%3."/>
      <w:lvlJc w:val="right"/>
      <w:pPr>
        <w:ind w:left="3240" w:hanging="180"/>
      </w:pPr>
    </w:lvl>
    <w:lvl w:ilvl="3" w:tplc="0D8E455C" w:tentative="1">
      <w:start w:val="1"/>
      <w:numFmt w:val="decimal"/>
      <w:lvlText w:val="%4."/>
      <w:lvlJc w:val="left"/>
      <w:pPr>
        <w:ind w:left="3960" w:hanging="360"/>
      </w:pPr>
    </w:lvl>
    <w:lvl w:ilvl="4" w:tplc="3EA0FBC4" w:tentative="1">
      <w:start w:val="1"/>
      <w:numFmt w:val="lowerLetter"/>
      <w:lvlText w:val="%5."/>
      <w:lvlJc w:val="left"/>
      <w:pPr>
        <w:ind w:left="4680" w:hanging="360"/>
      </w:pPr>
    </w:lvl>
    <w:lvl w:ilvl="5" w:tplc="29F6315E" w:tentative="1">
      <w:start w:val="1"/>
      <w:numFmt w:val="lowerRoman"/>
      <w:lvlText w:val="%6."/>
      <w:lvlJc w:val="right"/>
      <w:pPr>
        <w:ind w:left="5400" w:hanging="180"/>
      </w:pPr>
    </w:lvl>
    <w:lvl w:ilvl="6" w:tplc="57303F92" w:tentative="1">
      <w:start w:val="1"/>
      <w:numFmt w:val="decimal"/>
      <w:lvlText w:val="%7."/>
      <w:lvlJc w:val="left"/>
      <w:pPr>
        <w:ind w:left="6120" w:hanging="360"/>
      </w:pPr>
    </w:lvl>
    <w:lvl w:ilvl="7" w:tplc="5434C712" w:tentative="1">
      <w:start w:val="1"/>
      <w:numFmt w:val="lowerLetter"/>
      <w:lvlText w:val="%8."/>
      <w:lvlJc w:val="left"/>
      <w:pPr>
        <w:ind w:left="6840" w:hanging="360"/>
      </w:pPr>
    </w:lvl>
    <w:lvl w:ilvl="8" w:tplc="91CA9D96" w:tentative="1">
      <w:start w:val="1"/>
      <w:numFmt w:val="lowerRoman"/>
      <w:lvlText w:val="%9."/>
      <w:lvlJc w:val="right"/>
      <w:pPr>
        <w:ind w:left="7560" w:hanging="180"/>
      </w:pPr>
    </w:lvl>
  </w:abstractNum>
  <w:num w:numId="1">
    <w:abstractNumId w:val="16"/>
  </w:num>
  <w:num w:numId="2">
    <w:abstractNumId w:val="2"/>
  </w:num>
  <w:num w:numId="3">
    <w:abstractNumId w:val="11"/>
  </w:num>
  <w:num w:numId="4">
    <w:abstractNumId w:val="6"/>
  </w:num>
  <w:num w:numId="5">
    <w:abstractNumId w:val="3"/>
  </w:num>
  <w:num w:numId="6">
    <w:abstractNumId w:val="14"/>
  </w:num>
  <w:num w:numId="7">
    <w:abstractNumId w:val="5"/>
  </w:num>
  <w:num w:numId="8">
    <w:abstractNumId w:val="1"/>
  </w:num>
  <w:num w:numId="9">
    <w:abstractNumId w:val="15"/>
  </w:num>
  <w:num w:numId="10">
    <w:abstractNumId w:val="18"/>
  </w:num>
  <w:num w:numId="11">
    <w:abstractNumId w:val="0"/>
  </w:num>
  <w:num w:numId="12">
    <w:abstractNumId w:val="9"/>
  </w:num>
  <w:num w:numId="13">
    <w:abstractNumId w:val="17"/>
  </w:num>
  <w:num w:numId="14">
    <w:abstractNumId w:val="7"/>
  </w:num>
  <w:num w:numId="15">
    <w:abstractNumId w:val="4"/>
  </w:num>
  <w:num w:numId="16">
    <w:abstractNumId w:val="8"/>
  </w:num>
  <w:num w:numId="17">
    <w:abstractNumId w:val="1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0D"/>
    <w:rsid w:val="00003D03"/>
    <w:rsid w:val="00007B39"/>
    <w:rsid w:val="0001002A"/>
    <w:rsid w:val="00016B87"/>
    <w:rsid w:val="000234C4"/>
    <w:rsid w:val="00024686"/>
    <w:rsid w:val="000247C0"/>
    <w:rsid w:val="000253EC"/>
    <w:rsid w:val="0003007F"/>
    <w:rsid w:val="00037F61"/>
    <w:rsid w:val="000431B7"/>
    <w:rsid w:val="00043A13"/>
    <w:rsid w:val="000442D4"/>
    <w:rsid w:val="00044647"/>
    <w:rsid w:val="000521BC"/>
    <w:rsid w:val="00052239"/>
    <w:rsid w:val="000551D7"/>
    <w:rsid w:val="0006031A"/>
    <w:rsid w:val="00061575"/>
    <w:rsid w:val="0006201E"/>
    <w:rsid w:val="00062215"/>
    <w:rsid w:val="0006494B"/>
    <w:rsid w:val="00073B14"/>
    <w:rsid w:val="00081446"/>
    <w:rsid w:val="000845BA"/>
    <w:rsid w:val="00086697"/>
    <w:rsid w:val="000868EC"/>
    <w:rsid w:val="00091662"/>
    <w:rsid w:val="000921E8"/>
    <w:rsid w:val="000B5E94"/>
    <w:rsid w:val="000C0FAE"/>
    <w:rsid w:val="000C3A3A"/>
    <w:rsid w:val="000C4B3C"/>
    <w:rsid w:val="000D3F50"/>
    <w:rsid w:val="000D574D"/>
    <w:rsid w:val="000E1116"/>
    <w:rsid w:val="000E1DFF"/>
    <w:rsid w:val="000E4AFF"/>
    <w:rsid w:val="000F2B89"/>
    <w:rsid w:val="000F2F66"/>
    <w:rsid w:val="00101043"/>
    <w:rsid w:val="001032F2"/>
    <w:rsid w:val="0010390E"/>
    <w:rsid w:val="00104770"/>
    <w:rsid w:val="00115C1F"/>
    <w:rsid w:val="001179A8"/>
    <w:rsid w:val="0013608E"/>
    <w:rsid w:val="00136CC3"/>
    <w:rsid w:val="001401F6"/>
    <w:rsid w:val="00140E7A"/>
    <w:rsid w:val="0015499A"/>
    <w:rsid w:val="00157FCF"/>
    <w:rsid w:val="00162498"/>
    <w:rsid w:val="001714D6"/>
    <w:rsid w:val="00172540"/>
    <w:rsid w:val="001742A2"/>
    <w:rsid w:val="001744BC"/>
    <w:rsid w:val="0019054F"/>
    <w:rsid w:val="0019778B"/>
    <w:rsid w:val="001A1265"/>
    <w:rsid w:val="001A429D"/>
    <w:rsid w:val="001A4B69"/>
    <w:rsid w:val="001A78E3"/>
    <w:rsid w:val="001B3732"/>
    <w:rsid w:val="001B58FB"/>
    <w:rsid w:val="001C0029"/>
    <w:rsid w:val="001C23E8"/>
    <w:rsid w:val="001C247F"/>
    <w:rsid w:val="001C3FB7"/>
    <w:rsid w:val="001C67D3"/>
    <w:rsid w:val="001C78EB"/>
    <w:rsid w:val="001D183C"/>
    <w:rsid w:val="001F02B1"/>
    <w:rsid w:val="00211368"/>
    <w:rsid w:val="00212E56"/>
    <w:rsid w:val="0021588A"/>
    <w:rsid w:val="00215E51"/>
    <w:rsid w:val="00217BAB"/>
    <w:rsid w:val="002206B9"/>
    <w:rsid w:val="002206F2"/>
    <w:rsid w:val="00221F53"/>
    <w:rsid w:val="00222DB3"/>
    <w:rsid w:val="00227DBA"/>
    <w:rsid w:val="0023050D"/>
    <w:rsid w:val="00235BE5"/>
    <w:rsid w:val="00241176"/>
    <w:rsid w:val="00244FB9"/>
    <w:rsid w:val="0024636D"/>
    <w:rsid w:val="002513A2"/>
    <w:rsid w:val="00257E53"/>
    <w:rsid w:val="00262020"/>
    <w:rsid w:val="002660F1"/>
    <w:rsid w:val="0026679C"/>
    <w:rsid w:val="002748C0"/>
    <w:rsid w:val="0027494D"/>
    <w:rsid w:val="002773D2"/>
    <w:rsid w:val="0028172A"/>
    <w:rsid w:val="00285DF8"/>
    <w:rsid w:val="00291AC0"/>
    <w:rsid w:val="00297ED9"/>
    <w:rsid w:val="002A0D2C"/>
    <w:rsid w:val="002A2072"/>
    <w:rsid w:val="002A41CF"/>
    <w:rsid w:val="002A7BDC"/>
    <w:rsid w:val="002B013D"/>
    <w:rsid w:val="002B1455"/>
    <w:rsid w:val="002B5103"/>
    <w:rsid w:val="002B5282"/>
    <w:rsid w:val="002B7618"/>
    <w:rsid w:val="002C11C8"/>
    <w:rsid w:val="002C1C3F"/>
    <w:rsid w:val="002C7AD6"/>
    <w:rsid w:val="002D33C5"/>
    <w:rsid w:val="002D3E21"/>
    <w:rsid w:val="002E04D3"/>
    <w:rsid w:val="002E10F4"/>
    <w:rsid w:val="002F0AF1"/>
    <w:rsid w:val="002F1D6E"/>
    <w:rsid w:val="002F1F14"/>
    <w:rsid w:val="002F411A"/>
    <w:rsid w:val="002F4D5A"/>
    <w:rsid w:val="002F5EAE"/>
    <w:rsid w:val="002F64E4"/>
    <w:rsid w:val="002F6DA7"/>
    <w:rsid w:val="0030782D"/>
    <w:rsid w:val="00315015"/>
    <w:rsid w:val="00320D44"/>
    <w:rsid w:val="00325B5B"/>
    <w:rsid w:val="0032632B"/>
    <w:rsid w:val="003313FC"/>
    <w:rsid w:val="003344A6"/>
    <w:rsid w:val="00336142"/>
    <w:rsid w:val="003412DF"/>
    <w:rsid w:val="0034335C"/>
    <w:rsid w:val="00344C1B"/>
    <w:rsid w:val="003621A2"/>
    <w:rsid w:val="00362EE1"/>
    <w:rsid w:val="003666A4"/>
    <w:rsid w:val="00367A2D"/>
    <w:rsid w:val="0037091F"/>
    <w:rsid w:val="00370BE1"/>
    <w:rsid w:val="003720A4"/>
    <w:rsid w:val="0037370B"/>
    <w:rsid w:val="00374A4C"/>
    <w:rsid w:val="003851E7"/>
    <w:rsid w:val="003853F1"/>
    <w:rsid w:val="003955A0"/>
    <w:rsid w:val="00395A4D"/>
    <w:rsid w:val="00397241"/>
    <w:rsid w:val="003A7403"/>
    <w:rsid w:val="003B3B2E"/>
    <w:rsid w:val="003C01D0"/>
    <w:rsid w:val="003C472C"/>
    <w:rsid w:val="003C5C67"/>
    <w:rsid w:val="003C7986"/>
    <w:rsid w:val="003D00A7"/>
    <w:rsid w:val="003D2FA8"/>
    <w:rsid w:val="003D497E"/>
    <w:rsid w:val="003D6AFC"/>
    <w:rsid w:val="003E1D92"/>
    <w:rsid w:val="003E5B4F"/>
    <w:rsid w:val="003F029B"/>
    <w:rsid w:val="00402C5D"/>
    <w:rsid w:val="0040458F"/>
    <w:rsid w:val="00410B25"/>
    <w:rsid w:val="0041144B"/>
    <w:rsid w:val="00420041"/>
    <w:rsid w:val="00422350"/>
    <w:rsid w:val="0042433C"/>
    <w:rsid w:val="00426C5D"/>
    <w:rsid w:val="00426F8A"/>
    <w:rsid w:val="004270DF"/>
    <w:rsid w:val="00432464"/>
    <w:rsid w:val="00432C32"/>
    <w:rsid w:val="00433A59"/>
    <w:rsid w:val="00434918"/>
    <w:rsid w:val="00442DB1"/>
    <w:rsid w:val="00446953"/>
    <w:rsid w:val="00447901"/>
    <w:rsid w:val="00454483"/>
    <w:rsid w:val="00456001"/>
    <w:rsid w:val="004700DF"/>
    <w:rsid w:val="00471F90"/>
    <w:rsid w:val="00473A19"/>
    <w:rsid w:val="00475146"/>
    <w:rsid w:val="0048049E"/>
    <w:rsid w:val="004837A0"/>
    <w:rsid w:val="00487D36"/>
    <w:rsid w:val="00495F87"/>
    <w:rsid w:val="004969F4"/>
    <w:rsid w:val="004A52F5"/>
    <w:rsid w:val="004A63AC"/>
    <w:rsid w:val="004B05AD"/>
    <w:rsid w:val="004B107D"/>
    <w:rsid w:val="004B6533"/>
    <w:rsid w:val="004C1814"/>
    <w:rsid w:val="004C2360"/>
    <w:rsid w:val="004C36F7"/>
    <w:rsid w:val="004C3B22"/>
    <w:rsid w:val="004C4841"/>
    <w:rsid w:val="004C69A2"/>
    <w:rsid w:val="004E06F2"/>
    <w:rsid w:val="004E233B"/>
    <w:rsid w:val="004E389B"/>
    <w:rsid w:val="004E45B7"/>
    <w:rsid w:val="004E493B"/>
    <w:rsid w:val="004E756F"/>
    <w:rsid w:val="004F116E"/>
    <w:rsid w:val="00500CBE"/>
    <w:rsid w:val="0050237A"/>
    <w:rsid w:val="00503A26"/>
    <w:rsid w:val="00515753"/>
    <w:rsid w:val="00515EAB"/>
    <w:rsid w:val="0052036F"/>
    <w:rsid w:val="005232F1"/>
    <w:rsid w:val="00530DD6"/>
    <w:rsid w:val="005345E7"/>
    <w:rsid w:val="00540767"/>
    <w:rsid w:val="005441EC"/>
    <w:rsid w:val="005478AA"/>
    <w:rsid w:val="00547FFA"/>
    <w:rsid w:val="00550DDE"/>
    <w:rsid w:val="00555BF1"/>
    <w:rsid w:val="00563870"/>
    <w:rsid w:val="0056570B"/>
    <w:rsid w:val="00570301"/>
    <w:rsid w:val="00575B9B"/>
    <w:rsid w:val="005763E1"/>
    <w:rsid w:val="005870CB"/>
    <w:rsid w:val="00587BA2"/>
    <w:rsid w:val="005978E9"/>
    <w:rsid w:val="005A0E58"/>
    <w:rsid w:val="005A3E19"/>
    <w:rsid w:val="005A720F"/>
    <w:rsid w:val="005B19E4"/>
    <w:rsid w:val="005B6458"/>
    <w:rsid w:val="005C42E9"/>
    <w:rsid w:val="005C7B6F"/>
    <w:rsid w:val="005C7D72"/>
    <w:rsid w:val="005D0DBC"/>
    <w:rsid w:val="005D3C1F"/>
    <w:rsid w:val="005D42F1"/>
    <w:rsid w:val="005D634F"/>
    <w:rsid w:val="005D7087"/>
    <w:rsid w:val="005E1558"/>
    <w:rsid w:val="005E45F1"/>
    <w:rsid w:val="005E5710"/>
    <w:rsid w:val="005E6304"/>
    <w:rsid w:val="005F05A9"/>
    <w:rsid w:val="005F2D3D"/>
    <w:rsid w:val="005F3F6D"/>
    <w:rsid w:val="005F6BAB"/>
    <w:rsid w:val="0060005E"/>
    <w:rsid w:val="00601791"/>
    <w:rsid w:val="00614489"/>
    <w:rsid w:val="006160BE"/>
    <w:rsid w:val="00621092"/>
    <w:rsid w:val="006248D6"/>
    <w:rsid w:val="00624F6F"/>
    <w:rsid w:val="00632324"/>
    <w:rsid w:val="00632590"/>
    <w:rsid w:val="006342A0"/>
    <w:rsid w:val="00635F52"/>
    <w:rsid w:val="0063657D"/>
    <w:rsid w:val="006414BD"/>
    <w:rsid w:val="006417F8"/>
    <w:rsid w:val="006442EB"/>
    <w:rsid w:val="00644372"/>
    <w:rsid w:val="00644AEE"/>
    <w:rsid w:val="00650E64"/>
    <w:rsid w:val="00661297"/>
    <w:rsid w:val="006618C4"/>
    <w:rsid w:val="00671392"/>
    <w:rsid w:val="00671FA3"/>
    <w:rsid w:val="00690A2B"/>
    <w:rsid w:val="00691DA3"/>
    <w:rsid w:val="00693109"/>
    <w:rsid w:val="0069464D"/>
    <w:rsid w:val="006A100D"/>
    <w:rsid w:val="006A1102"/>
    <w:rsid w:val="006A4135"/>
    <w:rsid w:val="006A7B66"/>
    <w:rsid w:val="006B5461"/>
    <w:rsid w:val="006B701C"/>
    <w:rsid w:val="006B765F"/>
    <w:rsid w:val="006C252A"/>
    <w:rsid w:val="006C294F"/>
    <w:rsid w:val="006C5C8C"/>
    <w:rsid w:val="006D15D1"/>
    <w:rsid w:val="006D24EC"/>
    <w:rsid w:val="006D4319"/>
    <w:rsid w:val="006D60C2"/>
    <w:rsid w:val="006D7F3D"/>
    <w:rsid w:val="006E0CAA"/>
    <w:rsid w:val="006E679B"/>
    <w:rsid w:val="006F074D"/>
    <w:rsid w:val="006F37ED"/>
    <w:rsid w:val="006F3F79"/>
    <w:rsid w:val="006F5E29"/>
    <w:rsid w:val="0070069E"/>
    <w:rsid w:val="007021EC"/>
    <w:rsid w:val="007052F5"/>
    <w:rsid w:val="00706318"/>
    <w:rsid w:val="007122A5"/>
    <w:rsid w:val="00712950"/>
    <w:rsid w:val="007269B1"/>
    <w:rsid w:val="00727844"/>
    <w:rsid w:val="00731E48"/>
    <w:rsid w:val="00731FFC"/>
    <w:rsid w:val="0073339F"/>
    <w:rsid w:val="00737480"/>
    <w:rsid w:val="007432A8"/>
    <w:rsid w:val="0075079A"/>
    <w:rsid w:val="00756C0D"/>
    <w:rsid w:val="00771183"/>
    <w:rsid w:val="0077195C"/>
    <w:rsid w:val="0077269E"/>
    <w:rsid w:val="007747D1"/>
    <w:rsid w:val="00777CCC"/>
    <w:rsid w:val="00780AE9"/>
    <w:rsid w:val="007812D3"/>
    <w:rsid w:val="00781517"/>
    <w:rsid w:val="007844FB"/>
    <w:rsid w:val="0078576A"/>
    <w:rsid w:val="00786240"/>
    <w:rsid w:val="007879EC"/>
    <w:rsid w:val="00790B70"/>
    <w:rsid w:val="007A0157"/>
    <w:rsid w:val="007A2A88"/>
    <w:rsid w:val="007A324D"/>
    <w:rsid w:val="007A3DB6"/>
    <w:rsid w:val="007A4FD6"/>
    <w:rsid w:val="007A5F9F"/>
    <w:rsid w:val="007B07CD"/>
    <w:rsid w:val="007B64DE"/>
    <w:rsid w:val="007C125D"/>
    <w:rsid w:val="007C7759"/>
    <w:rsid w:val="007D12AB"/>
    <w:rsid w:val="007E052B"/>
    <w:rsid w:val="007E1B7D"/>
    <w:rsid w:val="007F2395"/>
    <w:rsid w:val="007F2FE7"/>
    <w:rsid w:val="00801554"/>
    <w:rsid w:val="0080368D"/>
    <w:rsid w:val="008037F1"/>
    <w:rsid w:val="008038BA"/>
    <w:rsid w:val="00807659"/>
    <w:rsid w:val="008128E5"/>
    <w:rsid w:val="00814021"/>
    <w:rsid w:val="00816FCB"/>
    <w:rsid w:val="00820E45"/>
    <w:rsid w:val="008214A2"/>
    <w:rsid w:val="00824506"/>
    <w:rsid w:val="00825DA8"/>
    <w:rsid w:val="0083131A"/>
    <w:rsid w:val="008368A1"/>
    <w:rsid w:val="00836C74"/>
    <w:rsid w:val="00845604"/>
    <w:rsid w:val="00847797"/>
    <w:rsid w:val="00854731"/>
    <w:rsid w:val="00854E79"/>
    <w:rsid w:val="0085713B"/>
    <w:rsid w:val="008578F9"/>
    <w:rsid w:val="00863B3B"/>
    <w:rsid w:val="0087046A"/>
    <w:rsid w:val="0087067B"/>
    <w:rsid w:val="00874BEA"/>
    <w:rsid w:val="008755D2"/>
    <w:rsid w:val="00884D5D"/>
    <w:rsid w:val="00887476"/>
    <w:rsid w:val="00893B24"/>
    <w:rsid w:val="008978D8"/>
    <w:rsid w:val="00897B98"/>
    <w:rsid w:val="008A3AEA"/>
    <w:rsid w:val="008A47CA"/>
    <w:rsid w:val="008A4A7A"/>
    <w:rsid w:val="008A636E"/>
    <w:rsid w:val="008B0B0F"/>
    <w:rsid w:val="008B0D1D"/>
    <w:rsid w:val="008B3E0F"/>
    <w:rsid w:val="008B6BE2"/>
    <w:rsid w:val="008C3AD1"/>
    <w:rsid w:val="008C6287"/>
    <w:rsid w:val="008D2D95"/>
    <w:rsid w:val="008E2A6C"/>
    <w:rsid w:val="008E52F6"/>
    <w:rsid w:val="008E6DBC"/>
    <w:rsid w:val="008F1DB7"/>
    <w:rsid w:val="008F3FB5"/>
    <w:rsid w:val="008F5CBC"/>
    <w:rsid w:val="008F6A67"/>
    <w:rsid w:val="00911027"/>
    <w:rsid w:val="0091560C"/>
    <w:rsid w:val="0092232B"/>
    <w:rsid w:val="00923E51"/>
    <w:rsid w:val="00924A70"/>
    <w:rsid w:val="00933B92"/>
    <w:rsid w:val="00941BB4"/>
    <w:rsid w:val="009467B2"/>
    <w:rsid w:val="00946A06"/>
    <w:rsid w:val="009514FA"/>
    <w:rsid w:val="00952458"/>
    <w:rsid w:val="00954BCE"/>
    <w:rsid w:val="00961B53"/>
    <w:rsid w:val="00964B68"/>
    <w:rsid w:val="00970936"/>
    <w:rsid w:val="00971738"/>
    <w:rsid w:val="009848C8"/>
    <w:rsid w:val="00990A70"/>
    <w:rsid w:val="009A423C"/>
    <w:rsid w:val="009A42FB"/>
    <w:rsid w:val="009A6C0B"/>
    <w:rsid w:val="009B1993"/>
    <w:rsid w:val="009B1DF3"/>
    <w:rsid w:val="009B586A"/>
    <w:rsid w:val="009B7BD1"/>
    <w:rsid w:val="009C7C7A"/>
    <w:rsid w:val="009C7F5C"/>
    <w:rsid w:val="009D1B78"/>
    <w:rsid w:val="009D3D3A"/>
    <w:rsid w:val="009D4623"/>
    <w:rsid w:val="009E0B86"/>
    <w:rsid w:val="009E12FF"/>
    <w:rsid w:val="009E74D4"/>
    <w:rsid w:val="009F00ED"/>
    <w:rsid w:val="009F05DA"/>
    <w:rsid w:val="009F53EE"/>
    <w:rsid w:val="00A134D8"/>
    <w:rsid w:val="00A139A5"/>
    <w:rsid w:val="00A1624E"/>
    <w:rsid w:val="00A21275"/>
    <w:rsid w:val="00A21493"/>
    <w:rsid w:val="00A30203"/>
    <w:rsid w:val="00A319C1"/>
    <w:rsid w:val="00A3690B"/>
    <w:rsid w:val="00A404B1"/>
    <w:rsid w:val="00A45168"/>
    <w:rsid w:val="00A456D7"/>
    <w:rsid w:val="00A524E5"/>
    <w:rsid w:val="00A53F11"/>
    <w:rsid w:val="00A70858"/>
    <w:rsid w:val="00A70E0C"/>
    <w:rsid w:val="00A7301D"/>
    <w:rsid w:val="00A765F6"/>
    <w:rsid w:val="00A80372"/>
    <w:rsid w:val="00A84DC5"/>
    <w:rsid w:val="00A856D3"/>
    <w:rsid w:val="00A924FD"/>
    <w:rsid w:val="00A92846"/>
    <w:rsid w:val="00A96515"/>
    <w:rsid w:val="00AA3C5A"/>
    <w:rsid w:val="00AA543A"/>
    <w:rsid w:val="00AA68DF"/>
    <w:rsid w:val="00AA75F2"/>
    <w:rsid w:val="00AA7F37"/>
    <w:rsid w:val="00AA7FD7"/>
    <w:rsid w:val="00AB0131"/>
    <w:rsid w:val="00AB30F9"/>
    <w:rsid w:val="00AB3D16"/>
    <w:rsid w:val="00AC123A"/>
    <w:rsid w:val="00AD1E79"/>
    <w:rsid w:val="00AE1338"/>
    <w:rsid w:val="00AF0311"/>
    <w:rsid w:val="00AF1FBE"/>
    <w:rsid w:val="00AF3B84"/>
    <w:rsid w:val="00AF5F69"/>
    <w:rsid w:val="00AF7511"/>
    <w:rsid w:val="00B002C5"/>
    <w:rsid w:val="00B005C6"/>
    <w:rsid w:val="00B0252D"/>
    <w:rsid w:val="00B04202"/>
    <w:rsid w:val="00B04692"/>
    <w:rsid w:val="00B05E92"/>
    <w:rsid w:val="00B16469"/>
    <w:rsid w:val="00B16C2E"/>
    <w:rsid w:val="00B267FE"/>
    <w:rsid w:val="00B34135"/>
    <w:rsid w:val="00B35F0F"/>
    <w:rsid w:val="00B40491"/>
    <w:rsid w:val="00B415C7"/>
    <w:rsid w:val="00B456C3"/>
    <w:rsid w:val="00B47880"/>
    <w:rsid w:val="00B573A1"/>
    <w:rsid w:val="00B63203"/>
    <w:rsid w:val="00B6460B"/>
    <w:rsid w:val="00B6534C"/>
    <w:rsid w:val="00B70318"/>
    <w:rsid w:val="00B82032"/>
    <w:rsid w:val="00B824A0"/>
    <w:rsid w:val="00B850D3"/>
    <w:rsid w:val="00B85854"/>
    <w:rsid w:val="00B8792E"/>
    <w:rsid w:val="00B87BEF"/>
    <w:rsid w:val="00B94717"/>
    <w:rsid w:val="00BA2488"/>
    <w:rsid w:val="00BB3D0A"/>
    <w:rsid w:val="00BB4BE4"/>
    <w:rsid w:val="00BB5DD3"/>
    <w:rsid w:val="00BC4C2E"/>
    <w:rsid w:val="00BC74A2"/>
    <w:rsid w:val="00BE010D"/>
    <w:rsid w:val="00C00419"/>
    <w:rsid w:val="00C215EB"/>
    <w:rsid w:val="00C245BA"/>
    <w:rsid w:val="00C2526A"/>
    <w:rsid w:val="00C3316F"/>
    <w:rsid w:val="00C33C95"/>
    <w:rsid w:val="00C35291"/>
    <w:rsid w:val="00C41A1C"/>
    <w:rsid w:val="00C42F84"/>
    <w:rsid w:val="00C47AD5"/>
    <w:rsid w:val="00C579EF"/>
    <w:rsid w:val="00C678C4"/>
    <w:rsid w:val="00C7275F"/>
    <w:rsid w:val="00C74A92"/>
    <w:rsid w:val="00C80FD1"/>
    <w:rsid w:val="00C85B57"/>
    <w:rsid w:val="00C8659E"/>
    <w:rsid w:val="00CA604D"/>
    <w:rsid w:val="00CB6C6B"/>
    <w:rsid w:val="00CB7B37"/>
    <w:rsid w:val="00CB7F5F"/>
    <w:rsid w:val="00CC1F28"/>
    <w:rsid w:val="00CC5A34"/>
    <w:rsid w:val="00CD5FC0"/>
    <w:rsid w:val="00CE52B9"/>
    <w:rsid w:val="00CF16A2"/>
    <w:rsid w:val="00CF17FE"/>
    <w:rsid w:val="00CF1B7F"/>
    <w:rsid w:val="00CF3BD6"/>
    <w:rsid w:val="00CF55B8"/>
    <w:rsid w:val="00D02580"/>
    <w:rsid w:val="00D02DAD"/>
    <w:rsid w:val="00D03F04"/>
    <w:rsid w:val="00D1379C"/>
    <w:rsid w:val="00D17012"/>
    <w:rsid w:val="00D21116"/>
    <w:rsid w:val="00D213C4"/>
    <w:rsid w:val="00D3158D"/>
    <w:rsid w:val="00D40F4C"/>
    <w:rsid w:val="00D51EBF"/>
    <w:rsid w:val="00D5225A"/>
    <w:rsid w:val="00D635F2"/>
    <w:rsid w:val="00D659CE"/>
    <w:rsid w:val="00D67894"/>
    <w:rsid w:val="00D67F16"/>
    <w:rsid w:val="00D714BB"/>
    <w:rsid w:val="00D71F9F"/>
    <w:rsid w:val="00D74637"/>
    <w:rsid w:val="00D75850"/>
    <w:rsid w:val="00D77C2A"/>
    <w:rsid w:val="00D835A5"/>
    <w:rsid w:val="00D86197"/>
    <w:rsid w:val="00D86A75"/>
    <w:rsid w:val="00D86CD1"/>
    <w:rsid w:val="00D87444"/>
    <w:rsid w:val="00D90F16"/>
    <w:rsid w:val="00D9741D"/>
    <w:rsid w:val="00DA680D"/>
    <w:rsid w:val="00DB2313"/>
    <w:rsid w:val="00DB4FCD"/>
    <w:rsid w:val="00DB51A5"/>
    <w:rsid w:val="00DB7D27"/>
    <w:rsid w:val="00DC1040"/>
    <w:rsid w:val="00DC3007"/>
    <w:rsid w:val="00DC4DFD"/>
    <w:rsid w:val="00DC6D08"/>
    <w:rsid w:val="00DC6E25"/>
    <w:rsid w:val="00DD4F60"/>
    <w:rsid w:val="00DE0750"/>
    <w:rsid w:val="00DE22AC"/>
    <w:rsid w:val="00DE2744"/>
    <w:rsid w:val="00DE37A5"/>
    <w:rsid w:val="00DE37E7"/>
    <w:rsid w:val="00DE6849"/>
    <w:rsid w:val="00DF0119"/>
    <w:rsid w:val="00DF384E"/>
    <w:rsid w:val="00DF3ECB"/>
    <w:rsid w:val="00DF40A2"/>
    <w:rsid w:val="00E00915"/>
    <w:rsid w:val="00E01F8D"/>
    <w:rsid w:val="00E04184"/>
    <w:rsid w:val="00E10A98"/>
    <w:rsid w:val="00E12DB6"/>
    <w:rsid w:val="00E177F7"/>
    <w:rsid w:val="00E20B52"/>
    <w:rsid w:val="00E20E3A"/>
    <w:rsid w:val="00E21279"/>
    <w:rsid w:val="00E25F0E"/>
    <w:rsid w:val="00E30F82"/>
    <w:rsid w:val="00E36636"/>
    <w:rsid w:val="00E40BEA"/>
    <w:rsid w:val="00E5511D"/>
    <w:rsid w:val="00E55FAE"/>
    <w:rsid w:val="00E55FFE"/>
    <w:rsid w:val="00E60BFE"/>
    <w:rsid w:val="00E62967"/>
    <w:rsid w:val="00E63EAE"/>
    <w:rsid w:val="00E657B6"/>
    <w:rsid w:val="00E669B2"/>
    <w:rsid w:val="00E67206"/>
    <w:rsid w:val="00E70AF5"/>
    <w:rsid w:val="00E712D2"/>
    <w:rsid w:val="00E72B64"/>
    <w:rsid w:val="00E7340F"/>
    <w:rsid w:val="00E7574D"/>
    <w:rsid w:val="00E81A6F"/>
    <w:rsid w:val="00E90B97"/>
    <w:rsid w:val="00E968D9"/>
    <w:rsid w:val="00EA3075"/>
    <w:rsid w:val="00EA3838"/>
    <w:rsid w:val="00EB12FC"/>
    <w:rsid w:val="00EB444B"/>
    <w:rsid w:val="00EB613D"/>
    <w:rsid w:val="00EC06CF"/>
    <w:rsid w:val="00EC3502"/>
    <w:rsid w:val="00EC59BA"/>
    <w:rsid w:val="00ED0F20"/>
    <w:rsid w:val="00ED195C"/>
    <w:rsid w:val="00ED2457"/>
    <w:rsid w:val="00ED4506"/>
    <w:rsid w:val="00ED66F7"/>
    <w:rsid w:val="00EE71C2"/>
    <w:rsid w:val="00EF301E"/>
    <w:rsid w:val="00EF3D64"/>
    <w:rsid w:val="00EF41E9"/>
    <w:rsid w:val="00F02323"/>
    <w:rsid w:val="00F13F1D"/>
    <w:rsid w:val="00F171FC"/>
    <w:rsid w:val="00F23270"/>
    <w:rsid w:val="00F24702"/>
    <w:rsid w:val="00F24963"/>
    <w:rsid w:val="00F269D1"/>
    <w:rsid w:val="00F26F48"/>
    <w:rsid w:val="00F31021"/>
    <w:rsid w:val="00F365E2"/>
    <w:rsid w:val="00F50F10"/>
    <w:rsid w:val="00F52B16"/>
    <w:rsid w:val="00F563C4"/>
    <w:rsid w:val="00F60D36"/>
    <w:rsid w:val="00F610FF"/>
    <w:rsid w:val="00F630B4"/>
    <w:rsid w:val="00F63D57"/>
    <w:rsid w:val="00F6617B"/>
    <w:rsid w:val="00F71348"/>
    <w:rsid w:val="00F80C67"/>
    <w:rsid w:val="00F82CCE"/>
    <w:rsid w:val="00F84D00"/>
    <w:rsid w:val="00F87705"/>
    <w:rsid w:val="00F96AA0"/>
    <w:rsid w:val="00FA0AF6"/>
    <w:rsid w:val="00FA2841"/>
    <w:rsid w:val="00FA549A"/>
    <w:rsid w:val="00FA7861"/>
    <w:rsid w:val="00FB15E2"/>
    <w:rsid w:val="00FB1EBE"/>
    <w:rsid w:val="00FB67B6"/>
    <w:rsid w:val="00FC3142"/>
    <w:rsid w:val="00FD3F69"/>
    <w:rsid w:val="00FE24BB"/>
    <w:rsid w:val="00FE2B3E"/>
    <w:rsid w:val="00FE33D6"/>
    <w:rsid w:val="00FF3A9C"/>
    <w:rsid w:val="00FF6D83"/>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47D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9467B2"/>
    <w:pPr>
      <w:ind w:left="720"/>
      <w:contextualSpacing/>
    </w:pPr>
  </w:style>
  <w:style w:type="character" w:styleId="Hyperlink">
    <w:name w:val="Hyperlink"/>
    <w:basedOn w:val="DefaultParagraphFont"/>
    <w:unhideWhenUsed/>
    <w:rsid w:val="000253EC"/>
    <w:rPr>
      <w:color w:val="0000FF" w:themeColor="hyperlink"/>
      <w:u w:val="single"/>
    </w:rPr>
  </w:style>
  <w:style w:type="character" w:customStyle="1" w:styleId="UnresolvedMention1">
    <w:name w:val="Unresolved Mention1"/>
    <w:basedOn w:val="DefaultParagraphFont"/>
    <w:uiPriority w:val="99"/>
    <w:semiHidden/>
    <w:unhideWhenUsed/>
    <w:rsid w:val="000253EC"/>
    <w:rPr>
      <w:color w:val="605E5C"/>
      <w:shd w:val="clear" w:color="auto" w:fill="E1DFDD"/>
    </w:rPr>
  </w:style>
  <w:style w:type="character" w:styleId="CommentReference">
    <w:name w:val="annotation reference"/>
    <w:basedOn w:val="DefaultParagraphFont"/>
    <w:semiHidden/>
    <w:unhideWhenUsed/>
    <w:rsid w:val="00B16C2E"/>
    <w:rPr>
      <w:sz w:val="16"/>
      <w:szCs w:val="16"/>
    </w:rPr>
  </w:style>
  <w:style w:type="paragraph" w:styleId="CommentText">
    <w:name w:val="annotation text"/>
    <w:basedOn w:val="Normal"/>
    <w:link w:val="CommentTextChar"/>
    <w:semiHidden/>
    <w:unhideWhenUsed/>
    <w:rsid w:val="00B16C2E"/>
    <w:pPr>
      <w:spacing w:line="240" w:lineRule="auto"/>
    </w:pPr>
    <w:rPr>
      <w:sz w:val="20"/>
      <w:szCs w:val="20"/>
    </w:rPr>
  </w:style>
  <w:style w:type="character" w:customStyle="1" w:styleId="CommentTextChar">
    <w:name w:val="Comment Text Char"/>
    <w:basedOn w:val="DefaultParagraphFont"/>
    <w:link w:val="CommentText"/>
    <w:semiHidden/>
    <w:rsid w:val="00B16C2E"/>
    <w:rPr>
      <w:sz w:val="20"/>
      <w:szCs w:val="20"/>
    </w:rPr>
  </w:style>
  <w:style w:type="paragraph" w:styleId="CommentSubject">
    <w:name w:val="annotation subject"/>
    <w:basedOn w:val="CommentText"/>
    <w:next w:val="CommentText"/>
    <w:link w:val="CommentSubjectChar"/>
    <w:semiHidden/>
    <w:unhideWhenUsed/>
    <w:rsid w:val="00B16C2E"/>
    <w:rPr>
      <w:b/>
      <w:bCs/>
    </w:rPr>
  </w:style>
  <w:style w:type="character" w:customStyle="1" w:styleId="CommentSubjectChar">
    <w:name w:val="Comment Subject Char"/>
    <w:basedOn w:val="CommentTextChar"/>
    <w:link w:val="CommentSubject"/>
    <w:semiHidden/>
    <w:rsid w:val="00B16C2E"/>
    <w:rPr>
      <w:b/>
      <w:bCs/>
      <w:sz w:val="20"/>
      <w:szCs w:val="20"/>
    </w:rPr>
  </w:style>
  <w:style w:type="paragraph" w:styleId="BalloonText">
    <w:name w:val="Balloon Text"/>
    <w:basedOn w:val="Normal"/>
    <w:link w:val="BalloonTextChar"/>
    <w:semiHidden/>
    <w:unhideWhenUsed/>
    <w:rsid w:val="00B16C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16C2E"/>
    <w:rPr>
      <w:rFonts w:ascii="Segoe UI" w:hAnsi="Segoe UI" w:cs="Segoe UI"/>
      <w:sz w:val="18"/>
      <w:szCs w:val="18"/>
    </w:rPr>
  </w:style>
  <w:style w:type="character" w:customStyle="1" w:styleId="FootnoteTextChar">
    <w:name w:val="Footnote Text Char"/>
    <w:basedOn w:val="DefaultParagraphFont"/>
    <w:link w:val="FootnoteText"/>
    <w:semiHidden/>
    <w:rsid w:val="00E2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4717</Words>
  <Characters>26451</Characters>
  <Application>Microsoft Office Word</Application>
  <DocSecurity>0</DocSecurity>
  <Lines>571</Lines>
  <Paragraphs>126</Paragraphs>
  <ScaleCrop>false</ScaleCrop>
  <Manager/>
  <Company/>
  <LinksUpToDate>false</LinksUpToDate>
  <CharactersWithSpaces>31429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2021-11-18T17:23:00Z</dcterms:created>
  <dcterms:modified xsi:type="dcterms:W3CDTF">2021-11-18T17:23:00Z</dcterms:modified>
  <cp:category/>
</cp:coreProperties>
</file>