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E0EA" w14:textId="485FF0A5" w:rsidR="002C1A67" w:rsidRPr="00AE191B" w:rsidRDefault="0066628E" w:rsidP="0066628E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Filed 7/17/23</w:t>
      </w:r>
      <w:r w:rsidRPr="0066628E">
        <w:rPr>
          <w:sz w:val="20"/>
          <w:szCs w:val="20"/>
        </w:rPr>
        <w:t>; REVIEW GRANTED.  See Cal. Rules of Court, rules 8.1105 and 8.1115 (and corresponding Comment, par. 2, concerning rule 8.1115(e)(3)).</w:t>
      </w:r>
    </w:p>
    <w:p w14:paraId="425ABBC5" w14:textId="604B01E8" w:rsidR="002C3B97" w:rsidRDefault="0066628E" w:rsidP="002C3B97">
      <w:pPr>
        <w:spacing w:line="240" w:lineRule="atLeast"/>
        <w:jc w:val="center"/>
        <w:rPr>
          <w:u w:val="words"/>
        </w:rPr>
      </w:pPr>
      <w:r w:rsidRPr="002C3B97">
        <w:rPr>
          <w:u w:val="words"/>
        </w:rPr>
        <w:t>CERTIFIED FOR PUBLICATION</w:t>
      </w:r>
    </w:p>
    <w:p w14:paraId="3894FF3E" w14:textId="4710BED2" w:rsidR="002C3B97" w:rsidRDefault="002C3B97" w:rsidP="002C3B97">
      <w:pPr>
        <w:spacing w:line="240" w:lineRule="atLeast"/>
        <w:jc w:val="center"/>
        <w:rPr>
          <w:u w:val="words"/>
        </w:rPr>
      </w:pPr>
    </w:p>
    <w:p w14:paraId="68755B33" w14:textId="7938965B" w:rsidR="002C3B97" w:rsidRDefault="002C3B97" w:rsidP="002C3B97">
      <w:pPr>
        <w:spacing w:line="240" w:lineRule="atLeast"/>
        <w:jc w:val="center"/>
        <w:rPr>
          <w:u w:val="words"/>
        </w:rPr>
      </w:pPr>
    </w:p>
    <w:p w14:paraId="0AED114E" w14:textId="43BD94B5" w:rsidR="002C3B97" w:rsidRDefault="002C3B97" w:rsidP="002C3B97">
      <w:pPr>
        <w:spacing w:line="240" w:lineRule="atLeast"/>
        <w:jc w:val="center"/>
        <w:rPr>
          <w:u w:val="words"/>
        </w:rPr>
      </w:pPr>
    </w:p>
    <w:p w14:paraId="5AFEC682" w14:textId="7B12527F" w:rsidR="002C3B97" w:rsidRDefault="002C3B97" w:rsidP="002C3B97">
      <w:pPr>
        <w:spacing w:line="240" w:lineRule="atLeast"/>
        <w:jc w:val="center"/>
        <w:rPr>
          <w:u w:val="words"/>
        </w:rPr>
      </w:pPr>
    </w:p>
    <w:p w14:paraId="08F3DA36" w14:textId="0E06F7B4" w:rsidR="002C3B97" w:rsidRDefault="002C3B97" w:rsidP="002C3B97">
      <w:pPr>
        <w:spacing w:line="240" w:lineRule="atLeast"/>
        <w:jc w:val="center"/>
        <w:rPr>
          <w:u w:val="words"/>
        </w:rPr>
      </w:pPr>
    </w:p>
    <w:p w14:paraId="3C595CB4" w14:textId="5F5C5E78" w:rsidR="002C3B97" w:rsidRDefault="0066628E" w:rsidP="002C3B97">
      <w:pPr>
        <w:jc w:val="center"/>
      </w:pPr>
      <w:r>
        <w:t>IN THE COURT OF APPEAL OF THE STATE OF CALIFORNIA</w:t>
      </w:r>
    </w:p>
    <w:p w14:paraId="75A104B9" w14:textId="37C7349E" w:rsidR="002C3B97" w:rsidRDefault="0066628E" w:rsidP="002C3B97">
      <w:pPr>
        <w:jc w:val="center"/>
      </w:pPr>
      <w:r>
        <w:t>THIRD APPELLATE DISTRICT</w:t>
      </w:r>
    </w:p>
    <w:p w14:paraId="703A75A6" w14:textId="289D47A6" w:rsidR="002C3B97" w:rsidRDefault="0066628E" w:rsidP="002C3B97">
      <w:pPr>
        <w:jc w:val="center"/>
      </w:pPr>
      <w:r>
        <w:t>(Sacramento)</w:t>
      </w:r>
    </w:p>
    <w:p w14:paraId="34D267D9" w14:textId="5D7AACAD" w:rsidR="002C3B97" w:rsidRDefault="0066628E" w:rsidP="002C3B97">
      <w:pPr>
        <w:jc w:val="center"/>
      </w:pPr>
      <w:r>
        <w:t>----</w:t>
      </w:r>
    </w:p>
    <w:p w14:paraId="463F3E0B" w14:textId="033BF3A2" w:rsidR="002C3B97" w:rsidRDefault="002C3B97" w:rsidP="002C3B97">
      <w:pPr>
        <w:jc w:val="center"/>
      </w:pPr>
    </w:p>
    <w:p w14:paraId="2DFE33D7" w14:textId="0C179C79" w:rsidR="002C3B97" w:rsidRDefault="002C3B97" w:rsidP="002C3B97">
      <w:pPr>
        <w:spacing w:line="240" w:lineRule="atLeast"/>
      </w:pPr>
    </w:p>
    <w:p w14:paraId="00DA7E84" w14:textId="5934360A" w:rsidR="002C3B97" w:rsidRDefault="002C3B97" w:rsidP="002C3B97">
      <w:pPr>
        <w:spacing w:line="240" w:lineRule="atLeast"/>
      </w:pPr>
    </w:p>
    <w:p w14:paraId="4309FE4B" w14:textId="716D4E52" w:rsidR="002C3B97" w:rsidRDefault="002C3B97" w:rsidP="002C3B97">
      <w:pPr>
        <w:spacing w:line="240" w:lineRule="atLeast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4"/>
        <w:gridCol w:w="3456"/>
      </w:tblGrid>
      <w:tr w:rsidR="00314D48" w14:paraId="4F39F856" w14:textId="77777777" w:rsidTr="002C3B97">
        <w:tc>
          <w:tcPr>
            <w:tcW w:w="5904" w:type="dxa"/>
            <w:shd w:val="clear" w:color="auto" w:fill="auto"/>
          </w:tcPr>
          <w:p w14:paraId="69272BC2" w14:textId="77777777" w:rsidR="002C3B97" w:rsidRDefault="0066628E" w:rsidP="002C3B97">
            <w:pPr>
              <w:spacing w:line="240" w:lineRule="atLeast"/>
            </w:pPr>
            <w:r>
              <w:t>THE PEOPLE,</w:t>
            </w:r>
          </w:p>
          <w:p w14:paraId="454DEC65" w14:textId="77777777" w:rsidR="002C3B97" w:rsidRDefault="002C3B97" w:rsidP="002C3B97">
            <w:pPr>
              <w:spacing w:line="240" w:lineRule="atLeast"/>
            </w:pPr>
          </w:p>
          <w:p w14:paraId="3E2AA745" w14:textId="77777777" w:rsidR="002C3B97" w:rsidRDefault="0066628E" w:rsidP="002C3B97">
            <w:pPr>
              <w:spacing w:line="240" w:lineRule="atLeast"/>
            </w:pPr>
            <w:r>
              <w:tab/>
            </w:r>
            <w:r>
              <w:tab/>
              <w:t>Plaintiff and Respondent,</w:t>
            </w:r>
          </w:p>
          <w:p w14:paraId="4A83F971" w14:textId="77777777" w:rsidR="002C3B97" w:rsidRDefault="002C3B97" w:rsidP="002C3B97">
            <w:pPr>
              <w:spacing w:line="240" w:lineRule="atLeast"/>
            </w:pPr>
          </w:p>
          <w:p w14:paraId="13FC0EF3" w14:textId="77777777" w:rsidR="002C3B97" w:rsidRDefault="0066628E" w:rsidP="002C3B97">
            <w:pPr>
              <w:spacing w:line="240" w:lineRule="atLeast"/>
            </w:pPr>
            <w:r>
              <w:tab/>
              <w:t>v.</w:t>
            </w:r>
          </w:p>
          <w:p w14:paraId="7E9ACFA5" w14:textId="77777777" w:rsidR="002C3B97" w:rsidRDefault="002C3B97" w:rsidP="002C3B97">
            <w:pPr>
              <w:spacing w:line="240" w:lineRule="atLeast"/>
            </w:pPr>
          </w:p>
          <w:p w14:paraId="38E36B24" w14:textId="77777777" w:rsidR="002C3B97" w:rsidRDefault="0066628E" w:rsidP="002C3B97">
            <w:pPr>
              <w:spacing w:line="240" w:lineRule="atLeast"/>
            </w:pPr>
            <w:r>
              <w:t>MARVIN SLOAN,</w:t>
            </w:r>
          </w:p>
          <w:p w14:paraId="098D2953" w14:textId="77777777" w:rsidR="002C3B97" w:rsidRDefault="002C3B97" w:rsidP="002C3B97">
            <w:pPr>
              <w:spacing w:line="240" w:lineRule="atLeast"/>
            </w:pPr>
          </w:p>
          <w:p w14:paraId="466D307B" w14:textId="77777777" w:rsidR="002C3B97" w:rsidRDefault="0066628E" w:rsidP="002C3B97">
            <w:pPr>
              <w:spacing w:line="240" w:lineRule="atLeast"/>
            </w:pPr>
            <w:r>
              <w:tab/>
            </w:r>
            <w:r>
              <w:tab/>
              <w:t>Defendant and Appellant.</w:t>
            </w:r>
          </w:p>
          <w:p w14:paraId="4D51D5DB" w14:textId="2A70DA23" w:rsidR="002C3B97" w:rsidRDefault="002C3B97" w:rsidP="002C3B97">
            <w:pPr>
              <w:spacing w:line="240" w:lineRule="atLeast"/>
            </w:pPr>
          </w:p>
        </w:tc>
        <w:tc>
          <w:tcPr>
            <w:tcW w:w="3456" w:type="dxa"/>
            <w:shd w:val="clear" w:color="auto" w:fill="auto"/>
          </w:tcPr>
          <w:p w14:paraId="37DB99D0" w14:textId="77777777" w:rsidR="002C3B97" w:rsidRDefault="0066628E" w:rsidP="002C3B97">
            <w:pPr>
              <w:spacing w:line="240" w:lineRule="atLeast"/>
              <w:jc w:val="center"/>
            </w:pPr>
            <w:r>
              <w:t>C095622</w:t>
            </w:r>
          </w:p>
          <w:p w14:paraId="22CB4F07" w14:textId="77777777" w:rsidR="002C3B97" w:rsidRDefault="002C3B97" w:rsidP="002C3B97">
            <w:pPr>
              <w:spacing w:line="240" w:lineRule="atLeast"/>
              <w:jc w:val="center"/>
            </w:pPr>
          </w:p>
          <w:p w14:paraId="4B50EA04" w14:textId="77777777" w:rsidR="002C3B97" w:rsidRDefault="0066628E" w:rsidP="002C3B97">
            <w:pPr>
              <w:spacing w:line="240" w:lineRule="atLeast"/>
              <w:jc w:val="center"/>
            </w:pPr>
            <w:r>
              <w:t xml:space="preserve">(Super. Ct. </w:t>
            </w:r>
            <w:r>
              <w:t>No. 03F00743)</w:t>
            </w:r>
          </w:p>
          <w:p w14:paraId="638D2D75" w14:textId="77777777" w:rsidR="002C3B97" w:rsidRDefault="002C3B97" w:rsidP="002C3B97">
            <w:pPr>
              <w:spacing w:line="240" w:lineRule="atLeast"/>
              <w:jc w:val="center"/>
            </w:pPr>
          </w:p>
          <w:p w14:paraId="57861E01" w14:textId="7A2E76B6" w:rsidR="002C3B97" w:rsidRDefault="002C3B97" w:rsidP="002C3B97">
            <w:pPr>
              <w:spacing w:line="240" w:lineRule="atLeast"/>
              <w:jc w:val="center"/>
            </w:pPr>
          </w:p>
        </w:tc>
      </w:tr>
    </w:tbl>
    <w:p w14:paraId="0962A025" w14:textId="3A15DFC2" w:rsidR="002C3B97" w:rsidRDefault="002C3B97" w:rsidP="002C3B97">
      <w:pPr>
        <w:spacing w:line="240" w:lineRule="atLeast"/>
      </w:pPr>
    </w:p>
    <w:p w14:paraId="7435F1C9" w14:textId="3F5EE6F0" w:rsidR="002C3B97" w:rsidRPr="00B82DC8" w:rsidRDefault="0066628E" w:rsidP="002C3B97">
      <w:pPr>
        <w:spacing w:line="240" w:lineRule="atLeast"/>
      </w:pPr>
      <w:r>
        <w:tab/>
      </w:r>
      <w:r w:rsidRPr="00B82DC8">
        <w:t>APPEAL from a judgment of the Superior Court of Sacramento County, Allen H. Sumner, Judge.  Reversed with directions.</w:t>
      </w:r>
    </w:p>
    <w:p w14:paraId="36CE66BF" w14:textId="274873E5" w:rsidR="002C3B97" w:rsidRPr="00B82DC8" w:rsidRDefault="002C3B97" w:rsidP="002C3B97">
      <w:pPr>
        <w:spacing w:line="240" w:lineRule="atLeast"/>
      </w:pPr>
    </w:p>
    <w:p w14:paraId="2192EF1C" w14:textId="78640AC4" w:rsidR="002C3B97" w:rsidRPr="00B82DC8" w:rsidRDefault="0066628E" w:rsidP="002C3B97">
      <w:pPr>
        <w:spacing w:line="240" w:lineRule="atLeast"/>
      </w:pPr>
      <w:r w:rsidRPr="00B82DC8">
        <w:tab/>
      </w:r>
      <w:r w:rsidR="007E080C">
        <w:t>Rudy Kraft</w:t>
      </w:r>
      <w:r w:rsidRPr="00B82DC8">
        <w:t>, under appointment by the Court of Appeal, for Defendant and Appellant.</w:t>
      </w:r>
    </w:p>
    <w:p w14:paraId="2719FDDA" w14:textId="2B2C4FD7" w:rsidR="002C3B97" w:rsidRPr="00B82DC8" w:rsidRDefault="002C3B97" w:rsidP="002C3B97">
      <w:pPr>
        <w:spacing w:line="240" w:lineRule="atLeast"/>
      </w:pPr>
    </w:p>
    <w:p w14:paraId="4017150B" w14:textId="51BB272F" w:rsidR="002C3B97" w:rsidRDefault="0066628E" w:rsidP="002C3B97">
      <w:pPr>
        <w:spacing w:line="240" w:lineRule="atLeast"/>
      </w:pPr>
      <w:r w:rsidRPr="00B82DC8">
        <w:tab/>
        <w:t>Rob Bonta, Attorney General, Lan</w:t>
      </w:r>
      <w:r w:rsidRPr="00B82DC8">
        <w:t>ce E. Winters, Chief Assistant Attorney General, Michael P. Farrell,</w:t>
      </w:r>
      <w:r w:rsidR="00B82DC8">
        <w:t xml:space="preserve"> </w:t>
      </w:r>
      <w:r w:rsidRPr="00B82DC8">
        <w:t xml:space="preserve">Assistant Attorney General, </w:t>
      </w:r>
      <w:r w:rsidR="00B82DC8">
        <w:t xml:space="preserve">Dina </w:t>
      </w:r>
      <w:proofErr w:type="spellStart"/>
      <w:r w:rsidR="00B82DC8">
        <w:t>Petrushenko</w:t>
      </w:r>
      <w:proofErr w:type="spellEnd"/>
      <w:r w:rsidR="00037B1E">
        <w:t xml:space="preserve"> </w:t>
      </w:r>
      <w:r w:rsidR="002409CF">
        <w:t>and</w:t>
      </w:r>
      <w:r w:rsidR="00B82DC8">
        <w:t xml:space="preserve"> </w:t>
      </w:r>
      <w:r w:rsidRPr="00B82DC8">
        <w:t xml:space="preserve">Julie </w:t>
      </w:r>
      <w:proofErr w:type="spellStart"/>
      <w:r w:rsidRPr="00B82DC8">
        <w:t>Hokans</w:t>
      </w:r>
      <w:proofErr w:type="spellEnd"/>
      <w:r w:rsidRPr="00B82DC8">
        <w:t>,</w:t>
      </w:r>
      <w:r w:rsidR="00B82DC8">
        <w:t xml:space="preserve"> Deputy Attorney</w:t>
      </w:r>
      <w:r w:rsidR="002409CF">
        <w:t>s</w:t>
      </w:r>
      <w:r w:rsidR="00B82DC8">
        <w:t xml:space="preserve"> General,</w:t>
      </w:r>
      <w:r w:rsidRPr="00B82DC8">
        <w:t xml:space="preserve"> for Plaintiff and Respondent.</w:t>
      </w:r>
    </w:p>
    <w:p w14:paraId="78073A56" w14:textId="77777777" w:rsidR="002C3B97" w:rsidRDefault="002C3B97" w:rsidP="002C3B97">
      <w:pPr>
        <w:spacing w:line="240" w:lineRule="atLeast"/>
      </w:pPr>
    </w:p>
    <w:p w14:paraId="7C6A341E" w14:textId="047F5645" w:rsidR="00ED6BD3" w:rsidRDefault="0066628E" w:rsidP="009F2911">
      <w:pPr>
        <w:spacing w:line="480" w:lineRule="exact"/>
        <w:ind w:firstLine="720"/>
      </w:pPr>
      <w:r>
        <w:t>Marvin Sloan appeals from t</w:t>
      </w:r>
      <w:r w:rsidR="00CF16E1">
        <w:t>he trial court</w:t>
      </w:r>
      <w:r>
        <w:t>’s order</w:t>
      </w:r>
      <w:r w:rsidR="00CF16E1">
        <w:t xml:space="preserve"> </w:t>
      </w:r>
      <w:r>
        <w:t>finding</w:t>
      </w:r>
      <w:r w:rsidR="00CF16E1">
        <w:t xml:space="preserve"> </w:t>
      </w:r>
      <w:r w:rsidR="00B16909">
        <w:t>he</w:t>
      </w:r>
      <w:r>
        <w:t xml:space="preserve"> </w:t>
      </w:r>
      <w:r w:rsidR="00F256CC">
        <w:t xml:space="preserve">qualified as a sexually violent predator (SVP) and </w:t>
      </w:r>
      <w:r>
        <w:t>committing him</w:t>
      </w:r>
      <w:r w:rsidR="00F256CC">
        <w:t xml:space="preserve"> to the </w:t>
      </w:r>
      <w:r w:rsidR="00745C21">
        <w:t xml:space="preserve">State </w:t>
      </w:r>
      <w:r w:rsidR="00F256CC">
        <w:t xml:space="preserve">Department of State Hospitals </w:t>
      </w:r>
      <w:r w:rsidR="00F256CC">
        <w:lastRenderedPageBreak/>
        <w:t>(D</w:t>
      </w:r>
      <w:r w:rsidR="00D64450">
        <w:t>epartment of State Hospitals</w:t>
      </w:r>
      <w:r w:rsidR="00F256CC">
        <w:t xml:space="preserve">).  </w:t>
      </w:r>
      <w:r>
        <w:t>His sole argument on appeal is that</w:t>
      </w:r>
      <w:r w:rsidR="00F256CC">
        <w:t xml:space="preserve"> the trial court erred in allowing the People to use a privately retained expert to testify at trial</w:t>
      </w:r>
      <w:r w:rsidR="000F07D3">
        <w:t xml:space="preserve">.  </w:t>
      </w:r>
      <w:r w:rsidR="00B16909">
        <w:t>To support</w:t>
      </w:r>
      <w:r w:rsidR="00745C21">
        <w:t xml:space="preserve"> </w:t>
      </w:r>
      <w:r>
        <w:t>this</w:t>
      </w:r>
      <w:r w:rsidR="00745C21">
        <w:t xml:space="preserve"> position, </w:t>
      </w:r>
      <w:r w:rsidR="00F47288">
        <w:t>Sloan</w:t>
      </w:r>
      <w:r w:rsidR="00745C21">
        <w:t xml:space="preserve"> cites</w:t>
      </w:r>
      <w:r w:rsidR="00F256CC">
        <w:t xml:space="preserve"> </w:t>
      </w:r>
      <w:bookmarkStart w:id="0" w:name="_Hlk140041749"/>
      <w:r w:rsidR="00F256CC">
        <w:rPr>
          <w:i/>
          <w:iCs/>
        </w:rPr>
        <w:t xml:space="preserve">Needham v. Superior Court </w:t>
      </w:r>
      <w:r w:rsidR="00F256CC">
        <w:t>(2022) 82</w:t>
      </w:r>
      <w:r w:rsidR="007D164E">
        <w:t> </w:t>
      </w:r>
      <w:r w:rsidR="00F256CC">
        <w:t>Cal.App.5th 114</w:t>
      </w:r>
      <w:r w:rsidR="000F07D3">
        <w:t>, review granted October</w:t>
      </w:r>
      <w:r w:rsidR="007D164E">
        <w:t> </w:t>
      </w:r>
      <w:r w:rsidR="000F07D3">
        <w:t xml:space="preserve">26, 2022, </w:t>
      </w:r>
      <w:r w:rsidR="000F07D3" w:rsidRPr="00B4683C">
        <w:t>S276395</w:t>
      </w:r>
      <w:r w:rsidR="00A71D3B" w:rsidRPr="00B4683C">
        <w:t xml:space="preserve"> (</w:t>
      </w:r>
      <w:r w:rsidR="00A71D3B" w:rsidRPr="00B4683C">
        <w:rPr>
          <w:i/>
          <w:iCs/>
        </w:rPr>
        <w:t>Needham</w:t>
      </w:r>
      <w:r w:rsidR="00A71D3B" w:rsidRPr="00B4683C">
        <w:t>)</w:t>
      </w:r>
      <w:bookmarkEnd w:id="0"/>
      <w:r w:rsidR="000F07D3" w:rsidRPr="00B4683C">
        <w:t>,</w:t>
      </w:r>
      <w:r w:rsidR="000F07D3">
        <w:t xml:space="preserve"> which held </w:t>
      </w:r>
      <w:r w:rsidR="002143BD">
        <w:t xml:space="preserve">that </w:t>
      </w:r>
      <w:r w:rsidR="000F07D3">
        <w:t>the People have no right to privately retain an expert under the Sexually Violent Predators Act (</w:t>
      </w:r>
      <w:proofErr w:type="spellStart"/>
      <w:r w:rsidR="000F07D3">
        <w:t>SVPA</w:t>
      </w:r>
      <w:proofErr w:type="spellEnd"/>
      <w:r w:rsidR="000F07D3">
        <w:t>)</w:t>
      </w:r>
      <w:r w:rsidR="00F256CC">
        <w:t xml:space="preserve">.  </w:t>
      </w:r>
      <w:r w:rsidR="000F07D3">
        <w:t>(</w:t>
      </w:r>
      <w:r w:rsidR="000F07D3">
        <w:rPr>
          <w:i/>
          <w:iCs/>
        </w:rPr>
        <w:t>Needham</w:t>
      </w:r>
      <w:r w:rsidR="000F07D3" w:rsidRPr="00B16909">
        <w:t>,</w:t>
      </w:r>
      <w:r w:rsidR="000F07D3">
        <w:rPr>
          <w:i/>
          <w:iCs/>
        </w:rPr>
        <w:t xml:space="preserve"> </w:t>
      </w:r>
      <w:r w:rsidR="000F07D3">
        <w:t>at p.</w:t>
      </w:r>
      <w:r w:rsidR="007D164E">
        <w:t> </w:t>
      </w:r>
      <w:r w:rsidR="000F07D3">
        <w:t>12</w:t>
      </w:r>
      <w:r w:rsidR="00F55857">
        <w:t>8</w:t>
      </w:r>
      <w:r w:rsidR="000F07D3">
        <w:t xml:space="preserve">.)  </w:t>
      </w:r>
      <w:r w:rsidR="00745C21">
        <w:t xml:space="preserve">Our Supreme Court has recently granted review in </w:t>
      </w:r>
      <w:r w:rsidR="00745C21">
        <w:rPr>
          <w:i/>
          <w:iCs/>
        </w:rPr>
        <w:t>Needham</w:t>
      </w:r>
      <w:r w:rsidR="00745C21">
        <w:t xml:space="preserve"> and will decide whether </w:t>
      </w:r>
      <w:r w:rsidR="007B2842">
        <w:rPr>
          <w:i/>
          <w:iCs/>
        </w:rPr>
        <w:t>Needham</w:t>
      </w:r>
      <w:r w:rsidR="007B2842">
        <w:t xml:space="preserve">’s interpretation of the </w:t>
      </w:r>
      <w:proofErr w:type="spellStart"/>
      <w:r w:rsidR="007B2842">
        <w:t>SVPA</w:t>
      </w:r>
      <w:proofErr w:type="spellEnd"/>
      <w:r w:rsidR="007B2842">
        <w:t xml:space="preserve"> was correct</w:t>
      </w:r>
      <w:r w:rsidR="00745C21">
        <w:t xml:space="preserve">.  In the meantime, we join </w:t>
      </w:r>
      <w:r w:rsidR="00745C21">
        <w:rPr>
          <w:i/>
          <w:iCs/>
        </w:rPr>
        <w:t>Needham</w:t>
      </w:r>
      <w:r w:rsidR="00745C21">
        <w:t xml:space="preserve"> in concluding </w:t>
      </w:r>
      <w:r w:rsidR="00F25D26">
        <w:t xml:space="preserve">that </w:t>
      </w:r>
      <w:r w:rsidR="00745C21">
        <w:t xml:space="preserve">the </w:t>
      </w:r>
      <w:r w:rsidR="00F25D26">
        <w:t xml:space="preserve">People cannot </w:t>
      </w:r>
      <w:r w:rsidR="007B2842">
        <w:t>retain an</w:t>
      </w:r>
      <w:r w:rsidR="00F25D26">
        <w:t xml:space="preserve"> expert to testify at an SVP trial</w:t>
      </w:r>
      <w:r w:rsidR="00745C21">
        <w:t xml:space="preserve">. </w:t>
      </w:r>
    </w:p>
    <w:p w14:paraId="2EC51860" w14:textId="241D415A" w:rsidR="00745C21" w:rsidRPr="000F07D3" w:rsidRDefault="0066628E" w:rsidP="009F2911">
      <w:pPr>
        <w:spacing w:line="480" w:lineRule="exact"/>
        <w:ind w:firstLine="720"/>
      </w:pPr>
      <w:r>
        <w:t xml:space="preserve">We </w:t>
      </w:r>
      <w:r w:rsidR="002279DE">
        <w:t xml:space="preserve">therefore </w:t>
      </w:r>
      <w:r w:rsidR="0060310C">
        <w:t xml:space="preserve">reverse the </w:t>
      </w:r>
      <w:r w:rsidR="002279DE">
        <w:t xml:space="preserve">order </w:t>
      </w:r>
      <w:r>
        <w:t xml:space="preserve">declaring Sloan </w:t>
      </w:r>
      <w:r w:rsidR="00B0397E">
        <w:t xml:space="preserve">to be </w:t>
      </w:r>
      <w:r>
        <w:t>an SVP and committing him to the D</w:t>
      </w:r>
      <w:r w:rsidR="00D64450">
        <w:t>epartment of State Hospitals</w:t>
      </w:r>
      <w:r>
        <w:t xml:space="preserve">.  We </w:t>
      </w:r>
      <w:r>
        <w:t>remand t</w:t>
      </w:r>
      <w:r w:rsidR="00B0397E">
        <w:t xml:space="preserve">o the trial court </w:t>
      </w:r>
      <w:r>
        <w:t xml:space="preserve">to issue an order excluding the testimony of the </w:t>
      </w:r>
      <w:proofErr w:type="gramStart"/>
      <w:r>
        <w:t>People’s</w:t>
      </w:r>
      <w:proofErr w:type="gramEnd"/>
      <w:r>
        <w:t xml:space="preserve"> privately retained expert and</w:t>
      </w:r>
      <w:r w:rsidR="003E6B7B">
        <w:t xml:space="preserve"> </w:t>
      </w:r>
      <w:r>
        <w:t xml:space="preserve">to conduct a new trial.  We express no opinion as to the People’s ability to obtain a replacement evaluator.  </w:t>
      </w:r>
    </w:p>
    <w:p w14:paraId="77A37A78" w14:textId="34A3B70C" w:rsidR="007A7CE5" w:rsidRDefault="0066628E" w:rsidP="00D0692D">
      <w:pPr>
        <w:keepNext/>
        <w:spacing w:line="480" w:lineRule="exact"/>
        <w:jc w:val="center"/>
      </w:pPr>
      <w:r>
        <w:t xml:space="preserve">FACTUAL AND PROCEDURAL </w:t>
      </w:r>
      <w:r w:rsidR="00E248B2">
        <w:t>BACKGROUND</w:t>
      </w:r>
    </w:p>
    <w:p w14:paraId="6A4F73D8" w14:textId="4BAE6B82" w:rsidR="00737C83" w:rsidRDefault="0066628E" w:rsidP="009F2911">
      <w:pPr>
        <w:spacing w:line="480" w:lineRule="exact"/>
      </w:pPr>
      <w:r>
        <w:tab/>
      </w:r>
      <w:r w:rsidR="00F25D26">
        <w:t>T</w:t>
      </w:r>
      <w:r>
        <w:t xml:space="preserve">he Sacramento County District Attorney filed a petition to commit </w:t>
      </w:r>
      <w:r w:rsidR="004F75F5">
        <w:t>Sloan</w:t>
      </w:r>
      <w:r>
        <w:t xml:space="preserve"> as a</w:t>
      </w:r>
      <w:r w:rsidR="00F23ACB">
        <w:t>n</w:t>
      </w:r>
      <w:r>
        <w:t xml:space="preserve"> SVP (</w:t>
      </w:r>
      <w:proofErr w:type="spellStart"/>
      <w:r>
        <w:t>Welf</w:t>
      </w:r>
      <w:proofErr w:type="spellEnd"/>
      <w:r>
        <w:t>. &amp; Inst. Code,</w:t>
      </w:r>
      <w:r>
        <w:rPr>
          <w:rStyle w:val="FootnoteReference"/>
        </w:rPr>
        <w:footnoteReference w:id="1"/>
      </w:r>
      <w:r>
        <w:t xml:space="preserve"> §</w:t>
      </w:r>
      <w:r w:rsidR="00C85CD0">
        <w:t> </w:t>
      </w:r>
      <w:r>
        <w:t>6600 et seq.)</w:t>
      </w:r>
      <w:r w:rsidR="00F25D26">
        <w:t xml:space="preserve"> in November</w:t>
      </w:r>
      <w:r w:rsidR="007D164E">
        <w:t> </w:t>
      </w:r>
      <w:r w:rsidR="00F25D26">
        <w:t>2018</w:t>
      </w:r>
      <w:r>
        <w:t xml:space="preserve">.  </w:t>
      </w:r>
      <w:r w:rsidR="00230AA2">
        <w:t xml:space="preserve">The People supported this petition with evaluations of </w:t>
      </w:r>
      <w:r w:rsidR="004F75F5">
        <w:t>Sloan</w:t>
      </w:r>
      <w:r w:rsidR="00230AA2">
        <w:t xml:space="preserve"> prepared by Dr.</w:t>
      </w:r>
      <w:r w:rsidR="00F06428">
        <w:t> </w:t>
      </w:r>
      <w:r w:rsidR="00230AA2">
        <w:t>Jocelyn Chen and Dr.</w:t>
      </w:r>
      <w:r w:rsidR="00F06428">
        <w:t> </w:t>
      </w:r>
      <w:proofErr w:type="spellStart"/>
      <w:r w:rsidR="00230AA2">
        <w:t>Roudabeh</w:t>
      </w:r>
      <w:proofErr w:type="spellEnd"/>
      <w:r w:rsidR="00230AA2">
        <w:t xml:space="preserve"> Rahbar.  </w:t>
      </w:r>
      <w:r w:rsidR="00664148">
        <w:t>Both Dr.</w:t>
      </w:r>
      <w:r w:rsidR="00F06428">
        <w:t> </w:t>
      </w:r>
      <w:r w:rsidR="00664148">
        <w:t>Chen and Dr.</w:t>
      </w:r>
      <w:r w:rsidR="00F06428">
        <w:t> </w:t>
      </w:r>
      <w:r w:rsidR="00664148">
        <w:t xml:space="preserve">Rahbar testified at </w:t>
      </w:r>
      <w:r w:rsidR="004F75F5">
        <w:t>Sloan’s</w:t>
      </w:r>
      <w:r w:rsidR="00664148">
        <w:t xml:space="preserve"> probable cause hearing </w:t>
      </w:r>
      <w:r w:rsidR="00EC57DE">
        <w:t>(§</w:t>
      </w:r>
      <w:r w:rsidR="00812BED">
        <w:t> </w:t>
      </w:r>
      <w:r w:rsidR="00EC57DE">
        <w:t xml:space="preserve">6602) </w:t>
      </w:r>
      <w:r w:rsidR="00664148">
        <w:t xml:space="preserve">in 2019.  </w:t>
      </w:r>
    </w:p>
    <w:p w14:paraId="36A59AF2" w14:textId="7E09A060" w:rsidR="00664148" w:rsidRDefault="0066628E" w:rsidP="009F2911">
      <w:pPr>
        <w:spacing w:line="480" w:lineRule="exact"/>
      </w:pPr>
      <w:r>
        <w:tab/>
      </w:r>
      <w:r w:rsidR="00A42399">
        <w:t xml:space="preserve">In April 2021, the People </w:t>
      </w:r>
      <w:r w:rsidR="000D4805">
        <w:t>told</w:t>
      </w:r>
      <w:r w:rsidR="00A42399">
        <w:t xml:space="preserve"> the trial court that Dr.</w:t>
      </w:r>
      <w:r w:rsidR="00812BED">
        <w:t> </w:t>
      </w:r>
      <w:r w:rsidR="00A42399">
        <w:t>Rahbar was no longer available as an expert due to private medical and personal matters.  The People disclosed Dr.</w:t>
      </w:r>
      <w:r w:rsidR="00812BED">
        <w:t> </w:t>
      </w:r>
      <w:r w:rsidR="00A42399">
        <w:t xml:space="preserve">Craig King as a replacement evaluator in July 2021.  </w:t>
      </w:r>
      <w:r>
        <w:t>Dr.</w:t>
      </w:r>
      <w:r w:rsidR="00812BED">
        <w:t> </w:t>
      </w:r>
      <w:r>
        <w:t xml:space="preserve">King </w:t>
      </w:r>
      <w:r w:rsidR="00B86E4C">
        <w:t xml:space="preserve">had </w:t>
      </w:r>
      <w:r>
        <w:t xml:space="preserve">started working on </w:t>
      </w:r>
      <w:r w:rsidR="004F75F5">
        <w:t>Sloan’s</w:t>
      </w:r>
      <w:r>
        <w:t xml:space="preserve"> case in February 2021 and completed an evaluation report of </w:t>
      </w:r>
      <w:r w:rsidR="004F75F5">
        <w:t>Sloan</w:t>
      </w:r>
      <w:r>
        <w:t xml:space="preserve"> </w:t>
      </w:r>
      <w:r w:rsidR="00F55857">
        <w:t>in March</w:t>
      </w:r>
      <w:r>
        <w:t xml:space="preserve"> 2021.  In preparing the report, Dr. King </w:t>
      </w:r>
      <w:r w:rsidR="00B16909">
        <w:t xml:space="preserve">did not interview Sloan, but he did </w:t>
      </w:r>
      <w:r>
        <w:t xml:space="preserve">review </w:t>
      </w:r>
      <w:r>
        <w:lastRenderedPageBreak/>
        <w:t xml:space="preserve">documents from the </w:t>
      </w:r>
      <w:r w:rsidR="004F75F5">
        <w:t>Department of Corrections and Rehabilitation</w:t>
      </w:r>
      <w:r>
        <w:t xml:space="preserve">, prior SVP evaluations of </w:t>
      </w:r>
      <w:r w:rsidR="004F75F5">
        <w:t>Sloan</w:t>
      </w:r>
      <w:r>
        <w:t xml:space="preserve">, documents relating to </w:t>
      </w:r>
      <w:r w:rsidR="004F75F5">
        <w:t>Sloan’s</w:t>
      </w:r>
      <w:r>
        <w:t xml:space="preserve"> offenses</w:t>
      </w:r>
      <w:r w:rsidR="000C1978">
        <w:t xml:space="preserve">, and </w:t>
      </w:r>
      <w:r w:rsidR="004F75F5">
        <w:t>Sloan’s</w:t>
      </w:r>
      <w:r w:rsidR="000C1978">
        <w:t xml:space="preserve"> </w:t>
      </w:r>
      <w:r w:rsidR="00B0397E">
        <w:t>Department of State Hospital</w:t>
      </w:r>
      <w:r w:rsidR="000F67CD">
        <w:t>s</w:t>
      </w:r>
      <w:r w:rsidR="003A0D6D">
        <w:t xml:space="preserve"> </w:t>
      </w:r>
      <w:r w:rsidR="000C1978">
        <w:t>record</w:t>
      </w:r>
      <w:r w:rsidR="00B16909">
        <w:t>s</w:t>
      </w:r>
      <w:r>
        <w:t xml:space="preserve">.  </w:t>
      </w:r>
    </w:p>
    <w:p w14:paraId="1F95134B" w14:textId="33B30D3D" w:rsidR="00664148" w:rsidRDefault="0066628E" w:rsidP="009F2911">
      <w:pPr>
        <w:spacing w:line="480" w:lineRule="exact"/>
      </w:pPr>
      <w:r>
        <w:tab/>
      </w:r>
      <w:r w:rsidR="004F75F5">
        <w:t>Sloan</w:t>
      </w:r>
      <w:r w:rsidR="000C1978">
        <w:t xml:space="preserve"> filed a motion to strike Dr.</w:t>
      </w:r>
      <w:r w:rsidR="005B4A99">
        <w:t> </w:t>
      </w:r>
      <w:r w:rsidR="000C1978">
        <w:t xml:space="preserve">King’s evaluation, arguing that </w:t>
      </w:r>
      <w:r w:rsidR="003D27C4">
        <w:t>Dr.</w:t>
      </w:r>
      <w:r w:rsidR="005B4A99">
        <w:t> </w:t>
      </w:r>
      <w:r w:rsidR="003D27C4">
        <w:t xml:space="preserve">King’s appointment was improper because </w:t>
      </w:r>
      <w:r w:rsidR="003F58DF">
        <w:t>the People failed to establish Dr.</w:t>
      </w:r>
      <w:r w:rsidR="005B4A99">
        <w:t> </w:t>
      </w:r>
      <w:r w:rsidR="003F58DF">
        <w:t xml:space="preserve">Rahbar </w:t>
      </w:r>
      <w:r w:rsidR="003D27C4">
        <w:t>was unavailable</w:t>
      </w:r>
      <w:r w:rsidR="000C1978">
        <w:t xml:space="preserve">, </w:t>
      </w:r>
      <w:r w:rsidR="00B0397E">
        <w:t xml:space="preserve">the People prejudiced the defense case by </w:t>
      </w:r>
      <w:r w:rsidR="00B16909">
        <w:t>disclosing</w:t>
      </w:r>
      <w:r w:rsidR="000C1978">
        <w:t xml:space="preserve"> </w:t>
      </w:r>
      <w:r w:rsidR="003F58DF">
        <w:t>Dr.</w:t>
      </w:r>
      <w:r w:rsidR="005B4A99">
        <w:t> </w:t>
      </w:r>
      <w:r w:rsidR="003F58DF">
        <w:t xml:space="preserve">King as a replacement </w:t>
      </w:r>
      <w:r w:rsidR="000C1978">
        <w:t>on the eve of t</w:t>
      </w:r>
      <w:r w:rsidR="00B0397E">
        <w:t>rial</w:t>
      </w:r>
      <w:r w:rsidR="000C1978">
        <w:t xml:space="preserve">, </w:t>
      </w:r>
      <w:r w:rsidR="003D27C4">
        <w:t xml:space="preserve">and </w:t>
      </w:r>
      <w:r w:rsidR="00FD33B4">
        <w:t>Dr.</w:t>
      </w:r>
      <w:r w:rsidR="00ED7211">
        <w:t> </w:t>
      </w:r>
      <w:r w:rsidR="00FD33B4">
        <w:t>King produced a deficient report</w:t>
      </w:r>
      <w:r w:rsidR="000D4805">
        <w:t xml:space="preserve"> </w:t>
      </w:r>
      <w:r w:rsidR="003D27C4">
        <w:t>because he failed to interview Sloan</w:t>
      </w:r>
      <w:r w:rsidR="000C1978">
        <w:t xml:space="preserve">.  </w:t>
      </w:r>
      <w:r w:rsidR="003D27C4">
        <w:t>The</w:t>
      </w:r>
      <w:r w:rsidR="003F58DF">
        <w:t xml:space="preserve"> trial court found</w:t>
      </w:r>
      <w:r w:rsidR="00744F50">
        <w:t xml:space="preserve"> </w:t>
      </w:r>
      <w:r w:rsidR="00D64450">
        <w:t xml:space="preserve">that the Department of State Hospitals </w:t>
      </w:r>
      <w:r w:rsidR="003F58DF">
        <w:t xml:space="preserve">had not met its burden to show that </w:t>
      </w:r>
      <w:r w:rsidR="00744F50">
        <w:t>Dr.</w:t>
      </w:r>
      <w:r w:rsidR="005B4A99">
        <w:t> </w:t>
      </w:r>
      <w:r w:rsidR="00744F50">
        <w:t xml:space="preserve">Rahbar was unavailable, </w:t>
      </w:r>
      <w:r w:rsidR="000D4805">
        <w:t xml:space="preserve">so </w:t>
      </w:r>
      <w:r w:rsidR="00744F50">
        <w:t>Dr.</w:t>
      </w:r>
      <w:r w:rsidR="005B4A99">
        <w:t> </w:t>
      </w:r>
      <w:r w:rsidR="00744F50">
        <w:t xml:space="preserve">King could not be appointed as a replacement evaluator.  </w:t>
      </w:r>
    </w:p>
    <w:p w14:paraId="2BAE6C28" w14:textId="690241DE" w:rsidR="009F3C50" w:rsidRDefault="0066628E" w:rsidP="009F2911">
      <w:pPr>
        <w:spacing w:line="480" w:lineRule="exact"/>
      </w:pPr>
      <w:r>
        <w:tab/>
      </w:r>
      <w:r w:rsidR="00C32127">
        <w:t xml:space="preserve">The People </w:t>
      </w:r>
      <w:r w:rsidR="00FD33B4">
        <w:t xml:space="preserve">then </w:t>
      </w:r>
      <w:r w:rsidR="00C32127">
        <w:t xml:space="preserve">subpoenaed </w:t>
      </w:r>
      <w:r w:rsidR="005B4A99">
        <w:t>Dr. </w:t>
      </w:r>
      <w:r w:rsidR="00C32127">
        <w:t xml:space="preserve">Rahbar.  </w:t>
      </w:r>
      <w:r w:rsidR="00B16909">
        <w:t>In August</w:t>
      </w:r>
      <w:r>
        <w:t xml:space="preserve"> 2021, the trial court granted </w:t>
      </w:r>
      <w:r w:rsidR="0087629E">
        <w:t xml:space="preserve">the </w:t>
      </w:r>
      <w:r w:rsidR="00FD33B4">
        <w:t xml:space="preserve">Department of State </w:t>
      </w:r>
      <w:proofErr w:type="spellStart"/>
      <w:r w:rsidR="00FD33B4">
        <w:t>Hospital</w:t>
      </w:r>
      <w:r w:rsidR="000F67CD">
        <w:t>s</w:t>
      </w:r>
      <w:r w:rsidR="00FD33B4">
        <w:t>’s</w:t>
      </w:r>
      <w:proofErr w:type="spellEnd"/>
      <w:r w:rsidR="00FD33B4">
        <w:t xml:space="preserve"> </w:t>
      </w:r>
      <w:r>
        <w:t xml:space="preserve">motion to quash the People’s subpoena of </w:t>
      </w:r>
      <w:r w:rsidR="005B4A99">
        <w:t>Dr. </w:t>
      </w:r>
      <w:r>
        <w:t xml:space="preserve">Rahbar.  </w:t>
      </w:r>
      <w:r w:rsidR="00B16909">
        <w:t xml:space="preserve">Arguing the trial court’s ruling </w:t>
      </w:r>
      <w:r w:rsidR="00C32127">
        <w:t xml:space="preserve">confirmed </w:t>
      </w:r>
      <w:r w:rsidR="005B4A99">
        <w:t>Dr. </w:t>
      </w:r>
      <w:r w:rsidR="00C32127">
        <w:t xml:space="preserve">Rahbar’s unavailability, </w:t>
      </w:r>
      <w:r w:rsidR="00B16909">
        <w:t>the People</w:t>
      </w:r>
      <w:r w:rsidR="00C32127">
        <w:t xml:space="preserve"> asked the trial court to reconsider allowing </w:t>
      </w:r>
      <w:r w:rsidR="005B4A99">
        <w:t>Dr. </w:t>
      </w:r>
      <w:r w:rsidR="00C32127">
        <w:t>King to testify in the People’s case</w:t>
      </w:r>
      <w:r w:rsidR="00C82C15">
        <w:t>-</w:t>
      </w:r>
      <w:r w:rsidR="00C32127">
        <w:t>in</w:t>
      </w:r>
      <w:r w:rsidR="00C82C15">
        <w:t>-</w:t>
      </w:r>
      <w:r w:rsidR="00C32127">
        <w:t xml:space="preserve">chief as </w:t>
      </w:r>
      <w:r w:rsidR="005B4A99">
        <w:t>Dr. </w:t>
      </w:r>
      <w:r w:rsidR="00C32127">
        <w:t xml:space="preserve">Rahbar’s replacement.  The trial court responded that its prior ruling precluded </w:t>
      </w:r>
      <w:r w:rsidR="005B4A99">
        <w:t>Dr. </w:t>
      </w:r>
      <w:r w:rsidR="00C32127">
        <w:t xml:space="preserve">King from testifying </w:t>
      </w:r>
      <w:r w:rsidR="00FD33B4">
        <w:t xml:space="preserve">only </w:t>
      </w:r>
      <w:r w:rsidR="00C32127">
        <w:t xml:space="preserve">as a replacement evaluator, but </w:t>
      </w:r>
      <w:r w:rsidR="00B86E4C">
        <w:t xml:space="preserve">it </w:t>
      </w:r>
      <w:r w:rsidR="00C32127">
        <w:t xml:space="preserve">did not “preclude him from testifying in some other capacity.”  </w:t>
      </w:r>
      <w:r w:rsidR="004C708D">
        <w:t xml:space="preserve">Thus, the People could retain </w:t>
      </w:r>
      <w:r w:rsidR="005B4A99">
        <w:t>Dr. </w:t>
      </w:r>
      <w:r w:rsidR="004C708D">
        <w:t xml:space="preserve">King as a “third expert” to review the evaluations prepared by </w:t>
      </w:r>
      <w:r w:rsidR="00D64450">
        <w:t xml:space="preserve">evaluators appointed by </w:t>
      </w:r>
      <w:r w:rsidR="004C708D">
        <w:t>the</w:t>
      </w:r>
      <w:r w:rsidR="00D64450">
        <w:t xml:space="preserve"> Department of State Hospital</w:t>
      </w:r>
      <w:r w:rsidR="000F67CD">
        <w:t>s</w:t>
      </w:r>
      <w:r w:rsidR="004C708D">
        <w:t xml:space="preserve"> “and come in here and testify.”  Defense counsel objected, arguing that</w:t>
      </w:r>
      <w:r w:rsidR="00416EBB">
        <w:t xml:space="preserve"> </w:t>
      </w:r>
      <w:r w:rsidR="005B4A99">
        <w:t>Dr. </w:t>
      </w:r>
      <w:r w:rsidR="004C708D">
        <w:t xml:space="preserve">King was an </w:t>
      </w:r>
      <w:r>
        <w:t>un</w:t>
      </w:r>
      <w:r w:rsidR="004C708D">
        <w:t xml:space="preserve">authorized replacement evaluator, </w:t>
      </w:r>
      <w:r w:rsidR="005B4A99">
        <w:t>Dr. </w:t>
      </w:r>
      <w:r w:rsidR="004C708D">
        <w:t xml:space="preserve">King’s evaluation contained material legal error because </w:t>
      </w:r>
      <w:r w:rsidR="005B4A99">
        <w:t>Dr. </w:t>
      </w:r>
      <w:r w:rsidR="004C708D">
        <w:t xml:space="preserve">King did not interview </w:t>
      </w:r>
      <w:r w:rsidR="004F75F5">
        <w:t>Sloan</w:t>
      </w:r>
      <w:r w:rsidR="004C708D">
        <w:t xml:space="preserve">, </w:t>
      </w:r>
      <w:r w:rsidR="00416EBB">
        <w:t xml:space="preserve">and </w:t>
      </w:r>
      <w:r w:rsidR="004C708D">
        <w:t xml:space="preserve">the late disclosure of </w:t>
      </w:r>
      <w:r w:rsidR="005B4A99">
        <w:t>Dr. </w:t>
      </w:r>
      <w:r w:rsidR="004C708D">
        <w:t xml:space="preserve">King’s retainment prejudiced the defense.  </w:t>
      </w:r>
      <w:r w:rsidR="00416EBB">
        <w:t>Defense counsel add</w:t>
      </w:r>
      <w:r w:rsidR="00FD33B4">
        <w:t xml:space="preserve">ed </w:t>
      </w:r>
      <w:r w:rsidR="00416EBB">
        <w:t xml:space="preserve">that the People could not use </w:t>
      </w:r>
      <w:r w:rsidR="005B4A99">
        <w:t>Dr. </w:t>
      </w:r>
      <w:r w:rsidR="00416EBB">
        <w:t xml:space="preserve">King as a retained expert because they failed to comply with the procedures set forth in the Code of Civil Procedure.  </w:t>
      </w:r>
    </w:p>
    <w:p w14:paraId="785E7B2A" w14:textId="3097E61E" w:rsidR="00744F50" w:rsidRDefault="0066628E" w:rsidP="009F2911">
      <w:pPr>
        <w:spacing w:line="480" w:lineRule="exact"/>
        <w:ind w:firstLine="720"/>
      </w:pPr>
      <w:r>
        <w:t xml:space="preserve">The trial court </w:t>
      </w:r>
      <w:r w:rsidR="009F3C50">
        <w:t xml:space="preserve">acknowledged that the People could “initiate the full replacement evaluation” or offer </w:t>
      </w:r>
      <w:r w:rsidR="005B4A99">
        <w:t>Dr. </w:t>
      </w:r>
      <w:r w:rsidR="009F3C50">
        <w:t>King “simply as a retained expert.</w:t>
      </w:r>
      <w:r w:rsidR="00B16909">
        <w:t>”</w:t>
      </w:r>
      <w:r w:rsidR="009F3C50">
        <w:t xml:space="preserve">  </w:t>
      </w:r>
      <w:r w:rsidR="006468DA">
        <w:t xml:space="preserve">But considering Sloan’s “competing interest in a speedy trial” and the importance of expert reports in SVP cases, </w:t>
      </w:r>
      <w:r w:rsidR="006468DA">
        <w:lastRenderedPageBreak/>
        <w:t xml:space="preserve">the trial court preferred to “get the case on track for trial with the most complete expert reports available.”  It ultimately </w:t>
      </w:r>
      <w:r w:rsidR="00B16909">
        <w:t>permitted</w:t>
      </w:r>
      <w:r>
        <w:t xml:space="preserve"> the People to retain </w:t>
      </w:r>
      <w:r w:rsidR="005B4A99">
        <w:t>Dr. </w:t>
      </w:r>
      <w:r>
        <w:t xml:space="preserve">King as an expert.  </w:t>
      </w:r>
    </w:p>
    <w:p w14:paraId="4914D587" w14:textId="7563D3BD" w:rsidR="00283828" w:rsidRDefault="0066628E" w:rsidP="009F2911">
      <w:pPr>
        <w:spacing w:line="480" w:lineRule="exact"/>
      </w:pPr>
      <w:r>
        <w:tab/>
      </w:r>
      <w:r w:rsidR="004F75F5">
        <w:t>Sloan’s</w:t>
      </w:r>
      <w:r>
        <w:t xml:space="preserve"> SVP</w:t>
      </w:r>
      <w:r w:rsidR="0087629E">
        <w:t xml:space="preserve"> court</w:t>
      </w:r>
      <w:r>
        <w:t xml:space="preserve"> trial began </w:t>
      </w:r>
      <w:r w:rsidR="00B16909">
        <w:t>in October 2021</w:t>
      </w:r>
      <w:r>
        <w:t xml:space="preserve">, </w:t>
      </w:r>
      <w:r w:rsidR="00B16909">
        <w:t>and</w:t>
      </w:r>
      <w:r>
        <w:t xml:space="preserve"> </w:t>
      </w:r>
      <w:r w:rsidR="005B4A99">
        <w:t>Dr. </w:t>
      </w:r>
      <w:r>
        <w:t xml:space="preserve">King testified.  </w:t>
      </w:r>
      <w:r w:rsidR="00B16909">
        <w:t>F</w:t>
      </w:r>
      <w:r w:rsidR="00AB78B3">
        <w:t>ollowing the parties’ posttrial briefings, the trial court issued an order</w:t>
      </w:r>
      <w:r w:rsidR="00F23ACB">
        <w:t xml:space="preserve"> effective </w:t>
      </w:r>
      <w:r w:rsidR="00AB78B3">
        <w:t>on January</w:t>
      </w:r>
      <w:r w:rsidR="00B82DC8">
        <w:t> </w:t>
      </w:r>
      <w:r w:rsidR="00AB78B3">
        <w:t>25, 2022</w:t>
      </w:r>
      <w:r w:rsidR="00B16909">
        <w:t>,</w:t>
      </w:r>
      <w:r w:rsidR="00AB78B3">
        <w:t xml:space="preserve"> finding that </w:t>
      </w:r>
      <w:r w:rsidR="004F75F5">
        <w:t>Sloan</w:t>
      </w:r>
      <w:r w:rsidR="00AB78B3">
        <w:t xml:space="preserve"> qualified as an SVP and ordered him committed to the </w:t>
      </w:r>
      <w:r w:rsidR="00FD33B4">
        <w:t>Department of State Hospitals.</w:t>
      </w:r>
      <w:r w:rsidR="00AB78B3">
        <w:t xml:space="preserve">  </w:t>
      </w:r>
      <w:r w:rsidR="004F75F5">
        <w:t>Sloan</w:t>
      </w:r>
      <w:r w:rsidR="00AB78B3">
        <w:t xml:space="preserve"> timely appealed.</w:t>
      </w:r>
      <w:r>
        <w:rPr>
          <w:rStyle w:val="FootnoteReference"/>
        </w:rPr>
        <w:footnoteReference w:id="2"/>
      </w:r>
    </w:p>
    <w:p w14:paraId="3F5A725C" w14:textId="4BA754BF" w:rsidR="00E248B2" w:rsidRDefault="0066628E" w:rsidP="009F2911">
      <w:pPr>
        <w:keepNext/>
        <w:spacing w:line="480" w:lineRule="exact"/>
        <w:jc w:val="center"/>
      </w:pPr>
      <w:r>
        <w:t>DISCUSSION</w:t>
      </w:r>
    </w:p>
    <w:p w14:paraId="60FA9121" w14:textId="0447B72B" w:rsidR="00BC2396" w:rsidRDefault="0066628E" w:rsidP="009F2911">
      <w:pPr>
        <w:spacing w:line="480" w:lineRule="exact"/>
      </w:pPr>
      <w:r>
        <w:tab/>
      </w:r>
      <w:r w:rsidR="00B16909">
        <w:t xml:space="preserve">Citing </w:t>
      </w:r>
      <w:r w:rsidR="00B16909" w:rsidRPr="00B16909">
        <w:rPr>
          <w:i/>
          <w:iCs/>
        </w:rPr>
        <w:t>Needham</w:t>
      </w:r>
      <w:r w:rsidR="00B16909">
        <w:t xml:space="preserve">, </w:t>
      </w:r>
      <w:r w:rsidR="004F75F5" w:rsidRPr="00B16909">
        <w:t>Sloan</w:t>
      </w:r>
      <w:r>
        <w:t xml:space="preserve"> contends</w:t>
      </w:r>
      <w:r w:rsidR="00B16909">
        <w:t xml:space="preserve"> </w:t>
      </w:r>
      <w:r w:rsidR="00A44618">
        <w:t xml:space="preserve">the People </w:t>
      </w:r>
      <w:r w:rsidR="003424A0">
        <w:t>have</w:t>
      </w:r>
      <w:r w:rsidR="00FA1A5D">
        <w:t xml:space="preserve"> no right under the </w:t>
      </w:r>
      <w:proofErr w:type="spellStart"/>
      <w:r w:rsidR="00FA1A5D">
        <w:t>SVPA</w:t>
      </w:r>
      <w:proofErr w:type="spellEnd"/>
      <w:r w:rsidR="00FA1A5D">
        <w:t xml:space="preserve"> </w:t>
      </w:r>
      <w:r w:rsidR="00A44618">
        <w:t xml:space="preserve">to </w:t>
      </w:r>
      <w:r w:rsidR="00FA1A5D">
        <w:t>retain a testifying expert</w:t>
      </w:r>
      <w:r w:rsidR="000D4805">
        <w:t xml:space="preserve">, so </w:t>
      </w:r>
      <w:r w:rsidR="00414051">
        <w:t xml:space="preserve">he argues </w:t>
      </w:r>
      <w:r w:rsidR="000D4805">
        <w:t xml:space="preserve">the trial court erred in </w:t>
      </w:r>
      <w:r w:rsidR="00A44618">
        <w:t xml:space="preserve">permitting </w:t>
      </w:r>
      <w:r w:rsidR="005B4A99">
        <w:t>Dr. </w:t>
      </w:r>
      <w:r w:rsidR="00A44618">
        <w:t xml:space="preserve">King to testify </w:t>
      </w:r>
      <w:r w:rsidR="00FA1A5D">
        <w:t>at his trial</w:t>
      </w:r>
      <w:r w:rsidR="00A44618">
        <w:t xml:space="preserve">.  </w:t>
      </w:r>
      <w:r w:rsidR="00FD33B4">
        <w:t xml:space="preserve">On our de novo review, we agree.  (See </w:t>
      </w:r>
      <w:r w:rsidR="00FD33B4">
        <w:rPr>
          <w:i/>
          <w:iCs/>
        </w:rPr>
        <w:t>Gilbert</w:t>
      </w:r>
      <w:r w:rsidR="00ED7211">
        <w:rPr>
          <w:i/>
          <w:iCs/>
        </w:rPr>
        <w:t> </w:t>
      </w:r>
      <w:r w:rsidR="00FD33B4">
        <w:rPr>
          <w:i/>
          <w:iCs/>
        </w:rPr>
        <w:t xml:space="preserve">v. Superior Court </w:t>
      </w:r>
      <w:r w:rsidR="00FD33B4">
        <w:t>(2014) 224</w:t>
      </w:r>
      <w:r w:rsidR="00A71D3B">
        <w:t> </w:t>
      </w:r>
      <w:r w:rsidR="00FD33B4">
        <w:t>Cal.App.4th 376, 380</w:t>
      </w:r>
      <w:r w:rsidR="004B5D89">
        <w:t xml:space="preserve"> [</w:t>
      </w:r>
      <w:r w:rsidR="00325D41">
        <w:t>review is d</w:t>
      </w:r>
      <w:r w:rsidR="004B5D89">
        <w:t>e novo]</w:t>
      </w:r>
      <w:r w:rsidR="00FD33B4">
        <w:t>.)</w:t>
      </w:r>
    </w:p>
    <w:p w14:paraId="080E83ED" w14:textId="17560811" w:rsidR="00034FF5" w:rsidRDefault="0066628E" w:rsidP="009F2911">
      <w:pPr>
        <w:spacing w:line="480" w:lineRule="exact"/>
        <w:ind w:firstLine="720"/>
      </w:pPr>
      <w:r>
        <w:t xml:space="preserve">The </w:t>
      </w:r>
      <w:proofErr w:type="spellStart"/>
      <w:r>
        <w:t>SVPA</w:t>
      </w:r>
      <w:proofErr w:type="spellEnd"/>
      <w:r>
        <w:t xml:space="preserve"> </w:t>
      </w:r>
      <w:r w:rsidR="009F52DE">
        <w:t xml:space="preserve">provides a civil commitment scheme </w:t>
      </w:r>
      <w:r>
        <w:t>to confine and treat a limited group of criminal offenders who are “extremely dangerous as the result of mental impairment, and who are likely to continue committing acts of sexual violence even after they hav</w:t>
      </w:r>
      <w:r>
        <w:t>e been punished for such crimes.”  (</w:t>
      </w:r>
      <w:proofErr w:type="spellStart"/>
      <w:r>
        <w:rPr>
          <w:i/>
          <w:iCs/>
        </w:rPr>
        <w:t>Hubbart</w:t>
      </w:r>
      <w:proofErr w:type="spellEnd"/>
      <w:r w:rsidR="00ED7211">
        <w:rPr>
          <w:i/>
          <w:iCs/>
        </w:rPr>
        <w:t> </w:t>
      </w:r>
      <w:r>
        <w:rPr>
          <w:i/>
          <w:iCs/>
        </w:rPr>
        <w:t xml:space="preserve">v. Superior Court </w:t>
      </w:r>
      <w:r>
        <w:t>(1999) 19</w:t>
      </w:r>
      <w:r w:rsidR="00A71D3B">
        <w:t> </w:t>
      </w:r>
      <w:r>
        <w:t>Cal.4th 1138, 1143-1144.)</w:t>
      </w:r>
      <w:r w:rsidR="00CF16E1">
        <w:t xml:space="preserve">  </w:t>
      </w:r>
      <w:r w:rsidR="00F25D26">
        <w:t xml:space="preserve">We recognize, as did the </w:t>
      </w:r>
      <w:r w:rsidR="00F25D26">
        <w:rPr>
          <w:i/>
          <w:iCs/>
        </w:rPr>
        <w:t xml:space="preserve">Needham </w:t>
      </w:r>
      <w:r w:rsidR="00F25D26">
        <w:t xml:space="preserve">court, that “the clear and present danger posed by sexually violent predators warrants such a scheme.”  </w:t>
      </w:r>
      <w:bookmarkStart w:id="2" w:name="_Hlk140041795"/>
      <w:r w:rsidR="00F25D26">
        <w:t>(</w:t>
      </w:r>
      <w:r w:rsidR="00F25D26" w:rsidRPr="00F25D26">
        <w:rPr>
          <w:i/>
          <w:iCs/>
        </w:rPr>
        <w:t>Needham</w:t>
      </w:r>
      <w:r w:rsidR="00F25D26">
        <w:rPr>
          <w:i/>
          <w:iCs/>
        </w:rPr>
        <w:t xml:space="preserve">, </w:t>
      </w:r>
      <w:r w:rsidR="00F25D26" w:rsidRPr="00F25D26">
        <w:rPr>
          <w:i/>
          <w:iCs/>
        </w:rPr>
        <w:t>supra</w:t>
      </w:r>
      <w:r w:rsidR="00F25D26">
        <w:t>, 82</w:t>
      </w:r>
      <w:r w:rsidR="008D11C6">
        <w:t> </w:t>
      </w:r>
      <w:r w:rsidR="00F25D26">
        <w:t>Cal.App.5th at p.</w:t>
      </w:r>
      <w:r w:rsidR="00374A9C">
        <w:t> </w:t>
      </w:r>
      <w:r w:rsidR="00F25D26">
        <w:t>120</w:t>
      </w:r>
      <w:r w:rsidR="007072F4">
        <w:t xml:space="preserve">, </w:t>
      </w:r>
      <w:r w:rsidR="007072F4" w:rsidRPr="00841731">
        <w:t>rev</w:t>
      </w:r>
      <w:r w:rsidR="000A71AB" w:rsidRPr="00841731">
        <w:t>.</w:t>
      </w:r>
      <w:r w:rsidR="007072F4" w:rsidRPr="00841731">
        <w:t xml:space="preserve"> granted</w:t>
      </w:r>
      <w:r w:rsidR="00F25D26">
        <w:t xml:space="preserve">.)  </w:t>
      </w:r>
      <w:bookmarkEnd w:id="2"/>
      <w:r w:rsidR="00F25D26">
        <w:t>But at the same time, t</w:t>
      </w:r>
      <w:r w:rsidR="00CF16E1" w:rsidRPr="00F25D26">
        <w:t>his</w:t>
      </w:r>
      <w:r w:rsidR="00CF16E1">
        <w:t xml:space="preserve"> is “an extraordinary deprivation of a person’s liberty:  it enables the state to indefinitely detain a person, not for a crime actually committed, but for a crime that may be committed in the future.”  (</w:t>
      </w:r>
      <w:r w:rsidR="00F25D26">
        <w:rPr>
          <w:i/>
          <w:iCs/>
        </w:rPr>
        <w:t>Ibid.</w:t>
      </w:r>
      <w:r w:rsidR="00CF16E1">
        <w:t xml:space="preserve">)  </w:t>
      </w:r>
      <w:r w:rsidR="00314234">
        <w:t>Therefore</w:t>
      </w:r>
      <w:r w:rsidR="00F25D26">
        <w:t>, the scheme “must be carefully implemented and applied only where there is a high degree of certainty that it is warranted.”  (</w:t>
      </w:r>
      <w:r w:rsidR="00F25D26">
        <w:rPr>
          <w:i/>
          <w:iCs/>
        </w:rPr>
        <w:t>Ibid.</w:t>
      </w:r>
      <w:r w:rsidR="00F25D26">
        <w:t>)</w:t>
      </w:r>
    </w:p>
    <w:p w14:paraId="16269B47" w14:textId="6B52B147" w:rsidR="00471CA2" w:rsidRDefault="0066628E" w:rsidP="009F2911">
      <w:pPr>
        <w:spacing w:line="480" w:lineRule="exact"/>
      </w:pPr>
      <w:r>
        <w:lastRenderedPageBreak/>
        <w:tab/>
        <w:t xml:space="preserve">The Legislature </w:t>
      </w:r>
      <w:r w:rsidR="009F52DE">
        <w:t xml:space="preserve">prescribed a detailed process for an SVP commitment that “centers around multiple evaluations by </w:t>
      </w:r>
      <w:r w:rsidR="009F52DE">
        <w:rPr>
          <w:i/>
          <w:iCs/>
        </w:rPr>
        <w:t xml:space="preserve">independent </w:t>
      </w:r>
      <w:r w:rsidR="009F52DE">
        <w:t>experts.”  (</w:t>
      </w:r>
      <w:r w:rsidR="009F52DE">
        <w:rPr>
          <w:i/>
          <w:iCs/>
        </w:rPr>
        <w:t>Needham, supra</w:t>
      </w:r>
      <w:r w:rsidR="009F52DE">
        <w:t>, 82</w:t>
      </w:r>
      <w:r w:rsidR="00F034FB">
        <w:t> </w:t>
      </w:r>
      <w:r w:rsidR="009F52DE">
        <w:t>Cal.App.5th at p.</w:t>
      </w:r>
      <w:r w:rsidR="00A75135">
        <w:t> </w:t>
      </w:r>
      <w:r w:rsidR="009F52DE">
        <w:t>120</w:t>
      </w:r>
      <w:r w:rsidR="007072F4">
        <w:t xml:space="preserve">, </w:t>
      </w:r>
      <w:r w:rsidR="007072F4" w:rsidRPr="00841731">
        <w:t>rev. granted</w:t>
      </w:r>
      <w:r w:rsidR="009F52DE">
        <w:t>.)  This process</w:t>
      </w:r>
      <w:r w:rsidR="001E1E9A">
        <w:t xml:space="preserve"> expressly</w:t>
      </w:r>
      <w:r w:rsidR="009F52DE">
        <w:t xml:space="preserve"> provides that a person subject to an SVP petition may retain an expert to testify at trial (§</w:t>
      </w:r>
      <w:r w:rsidR="00A75135">
        <w:t> </w:t>
      </w:r>
      <w:r w:rsidR="009F52DE">
        <w:t xml:space="preserve">6603, subd. (a)), but </w:t>
      </w:r>
      <w:r w:rsidR="00B86E4C">
        <w:t xml:space="preserve">it </w:t>
      </w:r>
      <w:r w:rsidR="009F52DE">
        <w:t>makes no mention of the district attorney’s right to do the same.  (</w:t>
      </w:r>
      <w:r w:rsidR="009F52DE">
        <w:rPr>
          <w:i/>
          <w:iCs/>
        </w:rPr>
        <w:t>Needham</w:t>
      </w:r>
      <w:r w:rsidR="009F52DE">
        <w:t>, at pp.</w:t>
      </w:r>
      <w:r w:rsidR="00ED7211">
        <w:t> </w:t>
      </w:r>
      <w:r w:rsidR="009F52DE">
        <w:t>125-12</w:t>
      </w:r>
      <w:r w:rsidR="00BC2396">
        <w:t>7</w:t>
      </w:r>
      <w:r w:rsidR="009F52DE">
        <w:t xml:space="preserve">.)  </w:t>
      </w:r>
      <w:r w:rsidR="00775BE7">
        <w:t xml:space="preserve">This invokes the statutory principle that </w:t>
      </w:r>
      <w:r w:rsidR="00BC2396">
        <w:t>“</w:t>
      </w:r>
      <w:r w:rsidR="00775BE7">
        <w:t>t</w:t>
      </w:r>
      <w:r w:rsidR="00BC2396">
        <w:t>he expression of one thing in a statute ordinarily implies the exclusion of other things.”  (</w:t>
      </w:r>
      <w:r w:rsidR="00BC2396">
        <w:rPr>
          <w:i/>
          <w:iCs/>
        </w:rPr>
        <w:t xml:space="preserve">In re </w:t>
      </w:r>
      <w:proofErr w:type="spellStart"/>
      <w:r w:rsidR="00BC2396">
        <w:rPr>
          <w:i/>
          <w:iCs/>
        </w:rPr>
        <w:t>J.W</w:t>
      </w:r>
      <w:proofErr w:type="spellEnd"/>
      <w:r w:rsidR="00BC2396">
        <w:rPr>
          <w:i/>
          <w:iCs/>
        </w:rPr>
        <w:t>.</w:t>
      </w:r>
      <w:r w:rsidR="00BC2396">
        <w:t xml:space="preserve"> (2002) 29</w:t>
      </w:r>
      <w:r w:rsidR="00F034FB">
        <w:t> </w:t>
      </w:r>
      <w:r w:rsidR="00BC2396">
        <w:t>Cal.4th 200, 209.)  Although this principle is not “applied invariably and without regard to other indicia of legislative intent,” (</w:t>
      </w:r>
      <w:r w:rsidR="00775BE7">
        <w:rPr>
          <w:i/>
          <w:iCs/>
        </w:rPr>
        <w:t>i</w:t>
      </w:r>
      <w:r w:rsidR="00BC2396">
        <w:rPr>
          <w:i/>
          <w:iCs/>
        </w:rPr>
        <w:t>bid.</w:t>
      </w:r>
      <w:r w:rsidR="00BC2396">
        <w:t xml:space="preserve">) the carefully crafted </w:t>
      </w:r>
      <w:proofErr w:type="spellStart"/>
      <w:r w:rsidR="00BC2396">
        <w:t>SVPA</w:t>
      </w:r>
      <w:proofErr w:type="spellEnd"/>
      <w:r w:rsidR="00BC2396">
        <w:t xml:space="preserve"> demonstrates that the Legislature intended to provide a “one-sided right” to retain a testifying expert.  (</w:t>
      </w:r>
      <w:r w:rsidR="00BC2396">
        <w:rPr>
          <w:i/>
          <w:iCs/>
        </w:rPr>
        <w:t>Needham</w:t>
      </w:r>
      <w:r w:rsidR="00BC2396" w:rsidRPr="00775BE7">
        <w:t>,</w:t>
      </w:r>
      <w:r w:rsidR="00BC2396">
        <w:rPr>
          <w:i/>
          <w:iCs/>
        </w:rPr>
        <w:t xml:space="preserve"> </w:t>
      </w:r>
      <w:r w:rsidR="00BC2396">
        <w:t xml:space="preserve">at </w:t>
      </w:r>
      <w:r w:rsidR="00775BE7">
        <w:t>p.</w:t>
      </w:r>
      <w:r w:rsidR="003E1145">
        <w:t> </w:t>
      </w:r>
      <w:r w:rsidR="00775BE7">
        <w:t>126</w:t>
      </w:r>
      <w:r w:rsidR="00BC2396">
        <w:t>.)</w:t>
      </w:r>
      <w:r w:rsidR="00314234">
        <w:t xml:space="preserve">  </w:t>
      </w:r>
    </w:p>
    <w:p w14:paraId="768790B7" w14:textId="46FBB1C1" w:rsidR="00471CA2" w:rsidRDefault="0066628E" w:rsidP="009F2911">
      <w:pPr>
        <w:spacing w:line="480" w:lineRule="exact"/>
        <w:ind w:firstLine="720"/>
      </w:pPr>
      <w:r>
        <w:t xml:space="preserve">The Civil Discovery Act </w:t>
      </w:r>
      <w:r w:rsidR="00775BE7">
        <w:t xml:space="preserve">also </w:t>
      </w:r>
      <w:r>
        <w:t xml:space="preserve">does not give the People the right to retain a testifying expert.  </w:t>
      </w:r>
      <w:r w:rsidR="003424A0">
        <w:t>A</w:t>
      </w:r>
      <w:r>
        <w:t xml:space="preserve">n </w:t>
      </w:r>
      <w:proofErr w:type="spellStart"/>
      <w:r>
        <w:t>SVP</w:t>
      </w:r>
      <w:r>
        <w:t>A</w:t>
      </w:r>
      <w:proofErr w:type="spellEnd"/>
      <w:r>
        <w:t xml:space="preserve"> proceeding is civil in nature,</w:t>
      </w:r>
      <w:r w:rsidR="003424A0">
        <w:t xml:space="preserve"> to which</w:t>
      </w:r>
      <w:r>
        <w:t xml:space="preserve"> the Civil Discovery Act generally applies.  (</w:t>
      </w:r>
      <w:r>
        <w:rPr>
          <w:i/>
          <w:iCs/>
        </w:rPr>
        <w:t xml:space="preserve">People v. Superior Court (Cheek) </w:t>
      </w:r>
      <w:r>
        <w:t>(2001) 94</w:t>
      </w:r>
      <w:r w:rsidR="00982DCA">
        <w:t> </w:t>
      </w:r>
      <w:r>
        <w:t xml:space="preserve">Cal.App.4th 980, 988.)  But due to the unique nature of the </w:t>
      </w:r>
      <w:proofErr w:type="spellStart"/>
      <w:r>
        <w:t>SVPA</w:t>
      </w:r>
      <w:proofErr w:type="spellEnd"/>
      <w:r>
        <w:t xml:space="preserve"> proceedings, “[t]he Civil Discovery Act must be applied in ea</w:t>
      </w:r>
      <w:r>
        <w:t xml:space="preserve">ch </w:t>
      </w:r>
      <w:proofErr w:type="spellStart"/>
      <w:r>
        <w:t>SVPA</w:t>
      </w:r>
      <w:proofErr w:type="spellEnd"/>
      <w:r>
        <w:t xml:space="preserve"> proceeding on a case-by-case basis.”  (</w:t>
      </w:r>
      <w:r>
        <w:rPr>
          <w:i/>
          <w:iCs/>
        </w:rPr>
        <w:t>Id.</w:t>
      </w:r>
      <w:r>
        <w:t xml:space="preserve"> at p.</w:t>
      </w:r>
      <w:r w:rsidR="00A56335">
        <w:t> </w:t>
      </w:r>
      <w:r>
        <w:t xml:space="preserve">994.) </w:t>
      </w:r>
      <w:r w:rsidR="009E7BC4">
        <w:t xml:space="preserve"> The </w:t>
      </w:r>
      <w:proofErr w:type="spellStart"/>
      <w:r w:rsidR="009E7BC4">
        <w:t>SVPA</w:t>
      </w:r>
      <w:proofErr w:type="spellEnd"/>
      <w:r w:rsidR="009E7BC4">
        <w:t xml:space="preserve"> scheme was drafted carefully to “ensure that an extraordinary deprivation of liberty has as many safeguards as possible”</w:t>
      </w:r>
      <w:r w:rsidR="006C637A">
        <w:t xml:space="preserve"> and “revolves around the </w:t>
      </w:r>
      <w:r w:rsidR="006C637A">
        <w:rPr>
          <w:i/>
          <w:iCs/>
        </w:rPr>
        <w:t xml:space="preserve">independent </w:t>
      </w:r>
      <w:r w:rsidR="006C637A">
        <w:t>experts.”</w:t>
      </w:r>
      <w:r w:rsidR="009E7BC4">
        <w:t xml:space="preserve">  (</w:t>
      </w:r>
      <w:r w:rsidR="009E7BC4">
        <w:rPr>
          <w:i/>
          <w:iCs/>
        </w:rPr>
        <w:t>Needham, supra</w:t>
      </w:r>
      <w:r w:rsidR="009E7BC4">
        <w:t>, 82</w:t>
      </w:r>
      <w:r w:rsidR="007D164E">
        <w:t> </w:t>
      </w:r>
      <w:r w:rsidR="009E7BC4">
        <w:t>Cal.App.5th at p.</w:t>
      </w:r>
      <w:r w:rsidR="00A56335">
        <w:t> </w:t>
      </w:r>
      <w:r w:rsidR="009E7BC4">
        <w:t>127</w:t>
      </w:r>
      <w:r w:rsidR="007072F4">
        <w:t xml:space="preserve">, </w:t>
      </w:r>
      <w:r w:rsidR="007072F4" w:rsidRPr="00841731">
        <w:t>rev. granted</w:t>
      </w:r>
      <w:r w:rsidR="009E7BC4">
        <w:t xml:space="preserve">.)  </w:t>
      </w:r>
      <w:bookmarkStart w:id="3" w:name="_Hlk140042965"/>
      <w:r>
        <w:t>These safeguards include the procedures for retaining independent experts and specific assessment protocols that the independent experts must follow in their evaluations.  (</w:t>
      </w:r>
      <w:r w:rsidR="0087629E">
        <w:t>§§</w:t>
      </w:r>
      <w:r w:rsidR="00A56335">
        <w:t> </w:t>
      </w:r>
      <w:r w:rsidR="0087629E">
        <w:t xml:space="preserve">6601, subds. (c)-(g), 6603, subd. (d); </w:t>
      </w:r>
      <w:r w:rsidR="0087629E">
        <w:rPr>
          <w:i/>
          <w:iCs/>
        </w:rPr>
        <w:t>Needham</w:t>
      </w:r>
      <w:r w:rsidR="0087629E">
        <w:t>,</w:t>
      </w:r>
      <w:r>
        <w:rPr>
          <w:i/>
          <w:iCs/>
        </w:rPr>
        <w:t xml:space="preserve"> </w:t>
      </w:r>
      <w:r>
        <w:t>at pp.</w:t>
      </w:r>
      <w:r w:rsidR="00A56335">
        <w:t> </w:t>
      </w:r>
      <w:r>
        <w:t>125</w:t>
      </w:r>
      <w:r w:rsidR="006C637A">
        <w:t>-126</w:t>
      </w:r>
      <w:r>
        <w:t xml:space="preserve">.)  </w:t>
      </w:r>
      <w:r w:rsidR="009E7BC4">
        <w:t xml:space="preserve">Allowing the People to bypass these safeguards by presenting testimony from their own experts who need to meet </w:t>
      </w:r>
      <w:r w:rsidR="001E1E9A">
        <w:t>only t</w:t>
      </w:r>
      <w:r w:rsidR="009E7BC4">
        <w:t>he basic requirements of the Civil Discovery Act would seriously undermine these safeguards.  (</w:t>
      </w:r>
      <w:r w:rsidR="00691B0D">
        <w:rPr>
          <w:i/>
          <w:iCs/>
        </w:rPr>
        <w:t>Needham,</w:t>
      </w:r>
      <w:r w:rsidR="006C637A">
        <w:t xml:space="preserve"> at p.</w:t>
      </w:r>
      <w:r w:rsidR="006C222A">
        <w:t> </w:t>
      </w:r>
      <w:r w:rsidR="006C637A">
        <w:t>127</w:t>
      </w:r>
      <w:r w:rsidR="009E7BC4">
        <w:rPr>
          <w:i/>
          <w:iCs/>
        </w:rPr>
        <w:t>.</w:t>
      </w:r>
      <w:r w:rsidR="009E7BC4">
        <w:t xml:space="preserve">)  </w:t>
      </w:r>
      <w:r w:rsidR="005007A1">
        <w:t>Thus, the expert</w:t>
      </w:r>
      <w:r w:rsidR="006C222A">
        <w:t xml:space="preserve"> </w:t>
      </w:r>
      <w:r w:rsidR="005007A1">
        <w:t xml:space="preserve">witness provisions of the Civil Discovery Act do not apply in </w:t>
      </w:r>
      <w:proofErr w:type="spellStart"/>
      <w:r w:rsidR="005007A1">
        <w:t>SVPA</w:t>
      </w:r>
      <w:proofErr w:type="spellEnd"/>
      <w:r w:rsidR="005007A1">
        <w:t xml:space="preserve"> proceedings.  (</w:t>
      </w:r>
      <w:r w:rsidR="006C222A">
        <w:rPr>
          <w:i/>
          <w:iCs/>
        </w:rPr>
        <w:t>Needham,</w:t>
      </w:r>
      <w:r w:rsidR="005007A1">
        <w:t xml:space="preserve"> at p.</w:t>
      </w:r>
      <w:r w:rsidR="00ED7211">
        <w:t> </w:t>
      </w:r>
      <w:r w:rsidR="005007A1">
        <w:t xml:space="preserve">120.)  </w:t>
      </w:r>
    </w:p>
    <w:bookmarkEnd w:id="3"/>
    <w:p w14:paraId="2F70A0A0" w14:textId="49E17277" w:rsidR="002A514D" w:rsidRPr="005007A1" w:rsidRDefault="0066628E" w:rsidP="009F2911">
      <w:pPr>
        <w:spacing w:line="480" w:lineRule="exact"/>
      </w:pPr>
      <w:r>
        <w:lastRenderedPageBreak/>
        <w:tab/>
      </w:r>
      <w:r w:rsidR="00325D41">
        <w:t>For th</w:t>
      </w:r>
      <w:r w:rsidR="001E1E9A">
        <w:t>ese</w:t>
      </w:r>
      <w:r w:rsidR="00325D41">
        <w:t xml:space="preserve"> reasons, t</w:t>
      </w:r>
      <w:r w:rsidR="00F5330A">
        <w:t>he</w:t>
      </w:r>
      <w:r>
        <w:t xml:space="preserve"> trial court</w:t>
      </w:r>
      <w:r w:rsidR="006C637A">
        <w:t xml:space="preserve"> </w:t>
      </w:r>
      <w:r>
        <w:t xml:space="preserve">erred in allowing the People to use </w:t>
      </w:r>
      <w:r w:rsidR="005B4A99">
        <w:t>Dr. </w:t>
      </w:r>
      <w:r>
        <w:t>King as their retained expert to tes</w:t>
      </w:r>
      <w:r>
        <w:t xml:space="preserve">tify at trial.  </w:t>
      </w:r>
    </w:p>
    <w:p w14:paraId="2FC0B870" w14:textId="15D1ED2F" w:rsidR="00E248B2" w:rsidRDefault="0066628E" w:rsidP="009F2911">
      <w:pPr>
        <w:keepNext/>
        <w:spacing w:line="480" w:lineRule="exact"/>
        <w:jc w:val="center"/>
      </w:pPr>
      <w:r>
        <w:t>DISPOSITION</w:t>
      </w:r>
    </w:p>
    <w:p w14:paraId="7EF3C169" w14:textId="442D98B5" w:rsidR="00C97299" w:rsidRDefault="0066628E" w:rsidP="009F2911">
      <w:pPr>
        <w:spacing w:line="480" w:lineRule="exact"/>
        <w:ind w:firstLine="720"/>
      </w:pPr>
      <w:r>
        <w:t xml:space="preserve">The </w:t>
      </w:r>
      <w:r w:rsidR="002A514D">
        <w:t xml:space="preserve">order </w:t>
      </w:r>
      <w:r w:rsidR="00F5330A">
        <w:t xml:space="preserve">finding Sloan qualified as an SVP and </w:t>
      </w:r>
      <w:r w:rsidR="002A514D">
        <w:t xml:space="preserve">committing </w:t>
      </w:r>
      <w:r w:rsidR="00F5330A">
        <w:t>him</w:t>
      </w:r>
      <w:r w:rsidR="002A514D">
        <w:t xml:space="preserve"> to the </w:t>
      </w:r>
      <w:r w:rsidR="00D64450">
        <w:t>Department of State Hospital</w:t>
      </w:r>
      <w:r w:rsidR="0040663E">
        <w:t>s</w:t>
      </w:r>
      <w:r>
        <w:t xml:space="preserve"> is reversed</w:t>
      </w:r>
      <w:r w:rsidR="00325D41">
        <w:t>.  T</w:t>
      </w:r>
      <w:r>
        <w:t xml:space="preserve">he matter </w:t>
      </w:r>
      <w:r w:rsidR="00F5330A">
        <w:t xml:space="preserve">is </w:t>
      </w:r>
      <w:r>
        <w:t>remanded</w:t>
      </w:r>
      <w:r w:rsidR="00D64450">
        <w:t xml:space="preserve"> to the trial court </w:t>
      </w:r>
      <w:r w:rsidR="0060310C">
        <w:t xml:space="preserve">to </w:t>
      </w:r>
      <w:r w:rsidR="007A7CE5">
        <w:t xml:space="preserve">issue an order excluding the testimony of the </w:t>
      </w:r>
      <w:proofErr w:type="gramStart"/>
      <w:r w:rsidR="007A7CE5">
        <w:t>People’s</w:t>
      </w:r>
      <w:proofErr w:type="gramEnd"/>
      <w:r w:rsidR="007A7CE5">
        <w:t xml:space="preserve"> privately retained expert and</w:t>
      </w:r>
      <w:r w:rsidR="001E1E9A">
        <w:t xml:space="preserve"> to</w:t>
      </w:r>
      <w:r w:rsidR="007A7CE5">
        <w:t xml:space="preserve"> conduct a new </w:t>
      </w:r>
      <w:r w:rsidR="005007A1">
        <w:t>trial</w:t>
      </w:r>
      <w:r w:rsidR="007A7CE5">
        <w:t>.</w:t>
      </w:r>
    </w:p>
    <w:p w14:paraId="16413D50" w14:textId="2F891C95" w:rsidR="005C55C0" w:rsidRDefault="005C55C0" w:rsidP="00D3476A">
      <w:pPr>
        <w:keepNext/>
        <w:spacing w:line="240" w:lineRule="auto"/>
      </w:pPr>
    </w:p>
    <w:p w14:paraId="3A1A3E65" w14:textId="1BD8805C" w:rsidR="005F1019" w:rsidRDefault="005F1019" w:rsidP="00D3476A">
      <w:pPr>
        <w:keepNext/>
        <w:spacing w:line="240" w:lineRule="auto"/>
      </w:pPr>
    </w:p>
    <w:p w14:paraId="5BC110D4" w14:textId="77777777" w:rsidR="005F1019" w:rsidRDefault="005F1019" w:rsidP="00D3476A">
      <w:pPr>
        <w:keepNext/>
        <w:spacing w:line="240" w:lineRule="auto"/>
      </w:pPr>
    </w:p>
    <w:p w14:paraId="5FD9E4A0" w14:textId="77777777" w:rsidR="005C55C0" w:rsidRDefault="005C55C0" w:rsidP="00D3476A">
      <w:pPr>
        <w:keepNext/>
        <w:spacing w:line="240" w:lineRule="auto"/>
      </w:pPr>
    </w:p>
    <w:p w14:paraId="4524C1AA" w14:textId="77777777" w:rsidR="005C55C0" w:rsidRPr="00296660" w:rsidRDefault="0066628E" w:rsidP="00D3476A">
      <w:pPr>
        <w:keepNext/>
        <w:tabs>
          <w:tab w:val="left" w:pos="5040"/>
          <w:tab w:val="left" w:pos="7920"/>
        </w:tabs>
        <w:spacing w:line="240" w:lineRule="auto"/>
      </w:pPr>
      <w:r w:rsidRPr="00296660">
        <w:tab/>
      </w:r>
      <w:r w:rsidRPr="00296660">
        <w:rPr>
          <w:u w:val="single"/>
        </w:rPr>
        <w:t xml:space="preserve">  </w:t>
      </w:r>
      <w:r w:rsidRPr="00296660">
        <w:rPr>
          <w:u w:val="single"/>
        </w:rPr>
        <w:tab/>
      </w:r>
    </w:p>
    <w:p w14:paraId="2E26740C" w14:textId="77777777" w:rsidR="005C55C0" w:rsidRPr="00296660" w:rsidRDefault="0066628E" w:rsidP="00D3476A">
      <w:pPr>
        <w:keepNext/>
        <w:tabs>
          <w:tab w:val="left" w:pos="5040"/>
          <w:tab w:val="left" w:pos="7920"/>
        </w:tabs>
        <w:spacing w:line="240" w:lineRule="auto"/>
      </w:pPr>
      <w:r w:rsidRPr="00296660">
        <w:tab/>
      </w:r>
      <w:proofErr w:type="spellStart"/>
      <w:r>
        <w:t>MESIWALA</w:t>
      </w:r>
      <w:proofErr w:type="spellEnd"/>
      <w:r w:rsidRPr="00296660">
        <w:t>,</w:t>
      </w:r>
      <w:r>
        <w:t xml:space="preserve"> </w:t>
      </w:r>
      <w:r w:rsidRPr="00296660">
        <w:t>J.</w:t>
      </w:r>
    </w:p>
    <w:p w14:paraId="143EA94F" w14:textId="77777777" w:rsidR="005C55C0" w:rsidRPr="00296660" w:rsidRDefault="005C55C0" w:rsidP="00D3476A">
      <w:pPr>
        <w:keepNext/>
        <w:tabs>
          <w:tab w:val="left" w:pos="5040"/>
          <w:tab w:val="left" w:pos="7920"/>
        </w:tabs>
        <w:spacing w:line="240" w:lineRule="auto"/>
      </w:pPr>
    </w:p>
    <w:p w14:paraId="42F1F0F9" w14:textId="77777777" w:rsidR="005C55C0" w:rsidRPr="00296660" w:rsidRDefault="005C55C0" w:rsidP="00D3476A">
      <w:pPr>
        <w:keepNext/>
        <w:tabs>
          <w:tab w:val="left" w:pos="5040"/>
          <w:tab w:val="left" w:pos="7920"/>
        </w:tabs>
        <w:spacing w:line="240" w:lineRule="auto"/>
      </w:pPr>
    </w:p>
    <w:p w14:paraId="56B65FEA" w14:textId="77777777" w:rsidR="005C55C0" w:rsidRPr="00296660" w:rsidRDefault="005C55C0" w:rsidP="00D3476A">
      <w:pPr>
        <w:keepNext/>
        <w:tabs>
          <w:tab w:val="left" w:pos="5040"/>
          <w:tab w:val="left" w:pos="7920"/>
        </w:tabs>
        <w:spacing w:line="240" w:lineRule="auto"/>
      </w:pPr>
    </w:p>
    <w:p w14:paraId="2D8A7D95" w14:textId="77777777" w:rsidR="005C55C0" w:rsidRPr="00296660" w:rsidRDefault="0066628E" w:rsidP="00D3476A">
      <w:pPr>
        <w:keepNext/>
        <w:tabs>
          <w:tab w:val="left" w:pos="5040"/>
          <w:tab w:val="left" w:pos="7920"/>
        </w:tabs>
        <w:spacing w:line="240" w:lineRule="auto"/>
      </w:pPr>
      <w:r w:rsidRPr="00296660">
        <w:t>We concur:</w:t>
      </w:r>
    </w:p>
    <w:p w14:paraId="35009459" w14:textId="77777777" w:rsidR="005C55C0" w:rsidRPr="00296660" w:rsidRDefault="005C55C0" w:rsidP="00D3476A">
      <w:pPr>
        <w:keepNext/>
        <w:tabs>
          <w:tab w:val="left" w:pos="3600"/>
          <w:tab w:val="left" w:pos="7920"/>
        </w:tabs>
        <w:spacing w:line="240" w:lineRule="auto"/>
      </w:pPr>
    </w:p>
    <w:p w14:paraId="7247DE4A" w14:textId="77777777" w:rsidR="005C55C0" w:rsidRPr="00296660" w:rsidRDefault="005C55C0" w:rsidP="00D3476A">
      <w:pPr>
        <w:keepNext/>
        <w:tabs>
          <w:tab w:val="left" w:pos="3600"/>
          <w:tab w:val="left" w:pos="7920"/>
        </w:tabs>
        <w:spacing w:line="240" w:lineRule="auto"/>
      </w:pPr>
    </w:p>
    <w:p w14:paraId="4A27B36B" w14:textId="77777777" w:rsidR="005C55C0" w:rsidRPr="00296660" w:rsidRDefault="005C55C0" w:rsidP="00D3476A">
      <w:pPr>
        <w:keepNext/>
        <w:tabs>
          <w:tab w:val="left" w:pos="3600"/>
          <w:tab w:val="left" w:pos="7920"/>
        </w:tabs>
        <w:spacing w:line="240" w:lineRule="auto"/>
      </w:pPr>
    </w:p>
    <w:p w14:paraId="701AF77F" w14:textId="77777777" w:rsidR="005C55C0" w:rsidRPr="00296660" w:rsidRDefault="0066628E" w:rsidP="00D3476A">
      <w:pPr>
        <w:keepNext/>
        <w:tabs>
          <w:tab w:val="left" w:pos="2880"/>
          <w:tab w:val="left" w:pos="7920"/>
        </w:tabs>
        <w:spacing w:line="240" w:lineRule="auto"/>
      </w:pPr>
      <w:r w:rsidRPr="00296660">
        <w:rPr>
          <w:u w:val="single"/>
        </w:rPr>
        <w:t xml:space="preserve">  </w:t>
      </w:r>
      <w:r w:rsidRPr="00296660">
        <w:rPr>
          <w:u w:val="single"/>
        </w:rPr>
        <w:tab/>
      </w:r>
    </w:p>
    <w:p w14:paraId="5595A4FE" w14:textId="42C6C329" w:rsidR="005C55C0" w:rsidRPr="00296660" w:rsidRDefault="0066628E" w:rsidP="00D3476A">
      <w:pPr>
        <w:keepNext/>
        <w:tabs>
          <w:tab w:val="left" w:pos="3600"/>
          <w:tab w:val="left" w:pos="7920"/>
        </w:tabs>
        <w:spacing w:line="240" w:lineRule="auto"/>
      </w:pPr>
      <w:r>
        <w:t xml:space="preserve">DUARTE, Acting P. </w:t>
      </w:r>
      <w:r w:rsidRPr="00296660">
        <w:t>J.</w:t>
      </w:r>
    </w:p>
    <w:p w14:paraId="68E786CD" w14:textId="77777777" w:rsidR="005C55C0" w:rsidRPr="00296660" w:rsidRDefault="005C55C0" w:rsidP="00D3476A">
      <w:pPr>
        <w:keepNext/>
        <w:tabs>
          <w:tab w:val="left" w:pos="3600"/>
          <w:tab w:val="left" w:pos="7920"/>
        </w:tabs>
        <w:spacing w:line="240" w:lineRule="auto"/>
      </w:pPr>
    </w:p>
    <w:p w14:paraId="152B6135" w14:textId="77777777" w:rsidR="005C55C0" w:rsidRPr="00296660" w:rsidRDefault="005C55C0" w:rsidP="00D3476A">
      <w:pPr>
        <w:keepNext/>
        <w:tabs>
          <w:tab w:val="left" w:pos="3600"/>
          <w:tab w:val="left" w:pos="7920"/>
        </w:tabs>
        <w:spacing w:line="240" w:lineRule="auto"/>
      </w:pPr>
    </w:p>
    <w:p w14:paraId="3C3CF5F6" w14:textId="77777777" w:rsidR="005C55C0" w:rsidRPr="00296660" w:rsidRDefault="005C55C0" w:rsidP="00D3476A">
      <w:pPr>
        <w:keepNext/>
        <w:tabs>
          <w:tab w:val="left" w:pos="3600"/>
          <w:tab w:val="left" w:pos="7920"/>
        </w:tabs>
        <w:spacing w:line="240" w:lineRule="auto"/>
      </w:pPr>
    </w:p>
    <w:p w14:paraId="09B4B1B1" w14:textId="77777777" w:rsidR="005C55C0" w:rsidRPr="00296660" w:rsidRDefault="0066628E" w:rsidP="00D3476A">
      <w:pPr>
        <w:keepNext/>
        <w:tabs>
          <w:tab w:val="left" w:pos="2880"/>
          <w:tab w:val="left" w:pos="7920"/>
        </w:tabs>
        <w:spacing w:line="240" w:lineRule="auto"/>
      </w:pPr>
      <w:r w:rsidRPr="00296660">
        <w:rPr>
          <w:u w:val="single"/>
        </w:rPr>
        <w:t xml:space="preserve">  </w:t>
      </w:r>
      <w:r w:rsidRPr="00296660">
        <w:rPr>
          <w:u w:val="single"/>
        </w:rPr>
        <w:tab/>
      </w:r>
    </w:p>
    <w:p w14:paraId="7411862D" w14:textId="6D2FB395" w:rsidR="005C55C0" w:rsidRPr="005D7E1B" w:rsidRDefault="0066628E" w:rsidP="00D3476A">
      <w:pPr>
        <w:keepNext/>
        <w:tabs>
          <w:tab w:val="left" w:pos="3600"/>
          <w:tab w:val="left" w:pos="7920"/>
        </w:tabs>
        <w:spacing w:line="240" w:lineRule="auto"/>
      </w:pPr>
      <w:r>
        <w:t xml:space="preserve">BOULWARE </w:t>
      </w:r>
      <w:proofErr w:type="spellStart"/>
      <w:r>
        <w:t>EURIE</w:t>
      </w:r>
      <w:proofErr w:type="spellEnd"/>
      <w:r w:rsidRPr="00296660">
        <w:t>, J.</w:t>
      </w:r>
    </w:p>
    <w:p w14:paraId="55E3063F" w14:textId="77777777" w:rsidR="002C3B97" w:rsidRPr="002C3B97" w:rsidRDefault="002C3B97" w:rsidP="002C3B97"/>
    <w:sectPr w:rsidR="002C3B97" w:rsidRPr="002C3B97" w:rsidSect="002C3B97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01D4" w14:textId="77777777" w:rsidR="00000000" w:rsidRDefault="0066628E">
      <w:pPr>
        <w:spacing w:line="240" w:lineRule="auto"/>
      </w:pPr>
      <w:r>
        <w:separator/>
      </w:r>
    </w:p>
  </w:endnote>
  <w:endnote w:type="continuationSeparator" w:id="0">
    <w:p w14:paraId="01D3CC58" w14:textId="77777777" w:rsidR="00000000" w:rsidRDefault="0066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985A" w14:textId="377D1112" w:rsidR="009A6C0B" w:rsidRPr="002C3B97" w:rsidRDefault="0066628E" w:rsidP="002C3B9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209C" w14:textId="77777777" w:rsidR="005441FE" w:rsidRDefault="0066628E">
      <w:r>
        <w:separator/>
      </w:r>
    </w:p>
  </w:footnote>
  <w:footnote w:type="continuationSeparator" w:id="0">
    <w:p w14:paraId="7C90A046" w14:textId="77777777" w:rsidR="005441FE" w:rsidRDefault="0066628E">
      <w:r>
        <w:continuationSeparator/>
      </w:r>
    </w:p>
  </w:footnote>
  <w:footnote w:id="1">
    <w:p w14:paraId="1F4DC7C8" w14:textId="63D877BF" w:rsidR="00737C83" w:rsidRDefault="0066628E">
      <w:pPr>
        <w:pStyle w:val="FootnoteText"/>
      </w:pPr>
      <w:r>
        <w:rPr>
          <w:rStyle w:val="FootnoteReference"/>
        </w:rPr>
        <w:footnoteRef/>
      </w:r>
      <w:r>
        <w:t xml:space="preserve">  Undesignated </w:t>
      </w:r>
      <w:bookmarkStart w:id="1" w:name="_Hlk140043088"/>
      <w:r>
        <w:t xml:space="preserve">statutory references are to the Welfare and </w:t>
      </w:r>
      <w:r>
        <w:t>Institutions Code</w:t>
      </w:r>
      <w:bookmarkEnd w:id="1"/>
      <w:r>
        <w:t xml:space="preserve">.  </w:t>
      </w:r>
    </w:p>
  </w:footnote>
  <w:footnote w:id="2">
    <w:p w14:paraId="556552EE" w14:textId="5990113B" w:rsidR="00AB78B3" w:rsidRDefault="0066628E">
      <w:pPr>
        <w:pStyle w:val="FootnoteText"/>
      </w:pPr>
      <w:r>
        <w:rPr>
          <w:rStyle w:val="FootnoteReference"/>
        </w:rPr>
        <w:footnoteRef/>
      </w:r>
      <w:r>
        <w:rPr>
          <w:b/>
          <w:bCs/>
        </w:rPr>
        <w:t xml:space="preserve"> </w:t>
      </w:r>
      <w:r>
        <w:t>We received defendant’s notice of appeal on February</w:t>
      </w:r>
      <w:r w:rsidR="00ED7211">
        <w:t> </w:t>
      </w:r>
      <w:r>
        <w:t>1, 2022.  The briefing schedule was delayed due to defendant’s motion to augment record and the parties’ requests for extension of time</w:t>
      </w:r>
      <w:r w:rsidR="00974A53">
        <w:t xml:space="preserve">.  </w:t>
      </w:r>
      <w:r>
        <w:t>The case was fully briefed on April</w:t>
      </w:r>
      <w:r w:rsidR="00ED7211">
        <w:t> </w:t>
      </w:r>
      <w:r>
        <w:t>3, 202</w:t>
      </w:r>
      <w:r>
        <w:t xml:space="preserve">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F4E9D"/>
    <w:multiLevelType w:val="hybridMultilevel"/>
    <w:tmpl w:val="20EC72A2"/>
    <w:lvl w:ilvl="0" w:tplc="99B080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AE2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C4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EC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898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C43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E8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2E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404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96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CF"/>
    <w:rsid w:val="00016B93"/>
    <w:rsid w:val="00034FF5"/>
    <w:rsid w:val="00036EA2"/>
    <w:rsid w:val="00037B1E"/>
    <w:rsid w:val="00064151"/>
    <w:rsid w:val="00066D95"/>
    <w:rsid w:val="000A5C5A"/>
    <w:rsid w:val="000A71AB"/>
    <w:rsid w:val="000C1978"/>
    <w:rsid w:val="000D4805"/>
    <w:rsid w:val="000F07D3"/>
    <w:rsid w:val="000F67CD"/>
    <w:rsid w:val="00101043"/>
    <w:rsid w:val="00121559"/>
    <w:rsid w:val="0014046D"/>
    <w:rsid w:val="00141CFE"/>
    <w:rsid w:val="00162498"/>
    <w:rsid w:val="00186CAB"/>
    <w:rsid w:val="00194FB5"/>
    <w:rsid w:val="001A5EAA"/>
    <w:rsid w:val="001B31EF"/>
    <w:rsid w:val="001E1E9A"/>
    <w:rsid w:val="001F215E"/>
    <w:rsid w:val="002143BD"/>
    <w:rsid w:val="00215BDD"/>
    <w:rsid w:val="002279DE"/>
    <w:rsid w:val="00230AA2"/>
    <w:rsid w:val="002409CF"/>
    <w:rsid w:val="00241571"/>
    <w:rsid w:val="00264C30"/>
    <w:rsid w:val="00283828"/>
    <w:rsid w:val="00296660"/>
    <w:rsid w:val="002A514D"/>
    <w:rsid w:val="002C1A67"/>
    <w:rsid w:val="002C3B97"/>
    <w:rsid w:val="00314234"/>
    <w:rsid w:val="00314D48"/>
    <w:rsid w:val="00325D41"/>
    <w:rsid w:val="00326A9F"/>
    <w:rsid w:val="003424A0"/>
    <w:rsid w:val="00343526"/>
    <w:rsid w:val="003602FA"/>
    <w:rsid w:val="003621A2"/>
    <w:rsid w:val="00374A9C"/>
    <w:rsid w:val="003758F4"/>
    <w:rsid w:val="0038642A"/>
    <w:rsid w:val="00386DD1"/>
    <w:rsid w:val="003A0D6D"/>
    <w:rsid w:val="003D27C4"/>
    <w:rsid w:val="003D4687"/>
    <w:rsid w:val="003D497E"/>
    <w:rsid w:val="003E1145"/>
    <w:rsid w:val="003E6B7B"/>
    <w:rsid w:val="003F58DF"/>
    <w:rsid w:val="0040663E"/>
    <w:rsid w:val="00407535"/>
    <w:rsid w:val="00414051"/>
    <w:rsid w:val="00416EBB"/>
    <w:rsid w:val="00440E90"/>
    <w:rsid w:val="0045356D"/>
    <w:rsid w:val="00471CA2"/>
    <w:rsid w:val="0048049E"/>
    <w:rsid w:val="004846F6"/>
    <w:rsid w:val="004A0E54"/>
    <w:rsid w:val="004B5D89"/>
    <w:rsid w:val="004C4010"/>
    <w:rsid w:val="004C708D"/>
    <w:rsid w:val="004F75F5"/>
    <w:rsid w:val="005007A1"/>
    <w:rsid w:val="00502355"/>
    <w:rsid w:val="005075F5"/>
    <w:rsid w:val="00513381"/>
    <w:rsid w:val="005412F5"/>
    <w:rsid w:val="005441FE"/>
    <w:rsid w:val="00544444"/>
    <w:rsid w:val="0056182F"/>
    <w:rsid w:val="005B4A99"/>
    <w:rsid w:val="005C55C0"/>
    <w:rsid w:val="005D7E1B"/>
    <w:rsid w:val="005E4CD6"/>
    <w:rsid w:val="005F1019"/>
    <w:rsid w:val="0060310C"/>
    <w:rsid w:val="00633A4E"/>
    <w:rsid w:val="006468DA"/>
    <w:rsid w:val="00664148"/>
    <w:rsid w:val="0066628E"/>
    <w:rsid w:val="006832E6"/>
    <w:rsid w:val="00685221"/>
    <w:rsid w:val="00691B0D"/>
    <w:rsid w:val="006B5461"/>
    <w:rsid w:val="006C222A"/>
    <w:rsid w:val="006C637A"/>
    <w:rsid w:val="006E0D08"/>
    <w:rsid w:val="007072F4"/>
    <w:rsid w:val="00733246"/>
    <w:rsid w:val="00737C83"/>
    <w:rsid w:val="00744F50"/>
    <w:rsid w:val="00745C21"/>
    <w:rsid w:val="007503F9"/>
    <w:rsid w:val="00753A7A"/>
    <w:rsid w:val="007567B4"/>
    <w:rsid w:val="00774F50"/>
    <w:rsid w:val="00775BE7"/>
    <w:rsid w:val="007773C7"/>
    <w:rsid w:val="0079466A"/>
    <w:rsid w:val="007A7CE5"/>
    <w:rsid w:val="007B2842"/>
    <w:rsid w:val="007D164E"/>
    <w:rsid w:val="007E080C"/>
    <w:rsid w:val="00812BED"/>
    <w:rsid w:val="0081727E"/>
    <w:rsid w:val="00826F27"/>
    <w:rsid w:val="00830EF6"/>
    <w:rsid w:val="00841731"/>
    <w:rsid w:val="00865A53"/>
    <w:rsid w:val="00874BEA"/>
    <w:rsid w:val="0087629E"/>
    <w:rsid w:val="00881C55"/>
    <w:rsid w:val="008C2941"/>
    <w:rsid w:val="008C482C"/>
    <w:rsid w:val="008D11C6"/>
    <w:rsid w:val="00931CAB"/>
    <w:rsid w:val="0093227D"/>
    <w:rsid w:val="00974A53"/>
    <w:rsid w:val="00976242"/>
    <w:rsid w:val="009824B4"/>
    <w:rsid w:val="00982DCA"/>
    <w:rsid w:val="009973FC"/>
    <w:rsid w:val="009A6C0B"/>
    <w:rsid w:val="009D16A3"/>
    <w:rsid w:val="009E7BC4"/>
    <w:rsid w:val="009F23CA"/>
    <w:rsid w:val="009F2911"/>
    <w:rsid w:val="009F3C50"/>
    <w:rsid w:val="009F52DE"/>
    <w:rsid w:val="009F53EE"/>
    <w:rsid w:val="00A02AF6"/>
    <w:rsid w:val="00A25709"/>
    <w:rsid w:val="00A42399"/>
    <w:rsid w:val="00A44618"/>
    <w:rsid w:val="00A56335"/>
    <w:rsid w:val="00A71D3B"/>
    <w:rsid w:val="00A75135"/>
    <w:rsid w:val="00AA4CEA"/>
    <w:rsid w:val="00AB0748"/>
    <w:rsid w:val="00AB78B3"/>
    <w:rsid w:val="00AD26EA"/>
    <w:rsid w:val="00AD78C5"/>
    <w:rsid w:val="00AE191B"/>
    <w:rsid w:val="00B0397E"/>
    <w:rsid w:val="00B11FCF"/>
    <w:rsid w:val="00B16909"/>
    <w:rsid w:val="00B27024"/>
    <w:rsid w:val="00B4683C"/>
    <w:rsid w:val="00B57283"/>
    <w:rsid w:val="00B82032"/>
    <w:rsid w:val="00B82DC8"/>
    <w:rsid w:val="00B86E4C"/>
    <w:rsid w:val="00BA6F0B"/>
    <w:rsid w:val="00BC2396"/>
    <w:rsid w:val="00BE216F"/>
    <w:rsid w:val="00C00419"/>
    <w:rsid w:val="00C049B3"/>
    <w:rsid w:val="00C2574C"/>
    <w:rsid w:val="00C306BA"/>
    <w:rsid w:val="00C32127"/>
    <w:rsid w:val="00C82C15"/>
    <w:rsid w:val="00C85CD0"/>
    <w:rsid w:val="00C97299"/>
    <w:rsid w:val="00CA58C3"/>
    <w:rsid w:val="00CF16E1"/>
    <w:rsid w:val="00D0692D"/>
    <w:rsid w:val="00D153EC"/>
    <w:rsid w:val="00D345A8"/>
    <w:rsid w:val="00D3476A"/>
    <w:rsid w:val="00D62737"/>
    <w:rsid w:val="00D635F2"/>
    <w:rsid w:val="00D64450"/>
    <w:rsid w:val="00DB4A3D"/>
    <w:rsid w:val="00DC36CF"/>
    <w:rsid w:val="00E02054"/>
    <w:rsid w:val="00E1690A"/>
    <w:rsid w:val="00E248B2"/>
    <w:rsid w:val="00E5439A"/>
    <w:rsid w:val="00E77A67"/>
    <w:rsid w:val="00E951F3"/>
    <w:rsid w:val="00EC57DE"/>
    <w:rsid w:val="00ED3772"/>
    <w:rsid w:val="00ED6BD3"/>
    <w:rsid w:val="00ED7211"/>
    <w:rsid w:val="00F02ABA"/>
    <w:rsid w:val="00F034FB"/>
    <w:rsid w:val="00F06428"/>
    <w:rsid w:val="00F23ACB"/>
    <w:rsid w:val="00F256CC"/>
    <w:rsid w:val="00F25D26"/>
    <w:rsid w:val="00F31F06"/>
    <w:rsid w:val="00F33693"/>
    <w:rsid w:val="00F47288"/>
    <w:rsid w:val="00F5330A"/>
    <w:rsid w:val="00F55857"/>
    <w:rsid w:val="00F752A8"/>
    <w:rsid w:val="00F96B2A"/>
    <w:rsid w:val="00FA1A5D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3C7"/>
    <w:pPr>
      <w:spacing w:line="4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0419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C00419"/>
    <w:rPr>
      <w:rFonts w:ascii="Times New Roman" w:hAnsi="Times New Roman"/>
      <w:b/>
      <w:kern w:val="0"/>
      <w:position w:val="8"/>
      <w:sz w:val="20"/>
      <w:u w:val="none"/>
      <w:vertAlign w:val="baseline"/>
    </w:rPr>
  </w:style>
  <w:style w:type="paragraph" w:styleId="FootnoteText">
    <w:name w:val="footnote text"/>
    <w:basedOn w:val="Normal"/>
    <w:semiHidden/>
    <w:rsid w:val="00C00419"/>
    <w:pPr>
      <w:spacing w:before="240" w:line="240" w:lineRule="atLeast"/>
    </w:pPr>
  </w:style>
  <w:style w:type="paragraph" w:styleId="Header">
    <w:name w:val="header"/>
    <w:basedOn w:val="Normal"/>
    <w:rsid w:val="00C00419"/>
    <w:pPr>
      <w:tabs>
        <w:tab w:val="center" w:pos="4680"/>
        <w:tab w:val="right" w:pos="9360"/>
      </w:tabs>
    </w:pPr>
  </w:style>
  <w:style w:type="paragraph" w:customStyle="1" w:styleId="indentedquote">
    <w:name w:val="indented quote"/>
    <w:basedOn w:val="Normal"/>
    <w:rsid w:val="00C00419"/>
    <w:pPr>
      <w:spacing w:before="240" w:line="240" w:lineRule="atLeast"/>
      <w:ind w:left="1440" w:right="1440"/>
    </w:pPr>
  </w:style>
  <w:style w:type="character" w:styleId="PageNumber">
    <w:name w:val="page number"/>
    <w:basedOn w:val="DefaultParagraphFont"/>
    <w:rsid w:val="00C00419"/>
  </w:style>
  <w:style w:type="paragraph" w:styleId="EnvelopeAddress">
    <w:name w:val="envelope address"/>
    <w:rsid w:val="00C0041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rsid w:val="00C00419"/>
    <w:rPr>
      <w:rFonts w:ascii="Arial" w:hAnsi="Arial" w:cs="Arial"/>
    </w:rPr>
  </w:style>
  <w:style w:type="paragraph" w:styleId="Revision">
    <w:name w:val="Revision"/>
    <w:hidden/>
    <w:uiPriority w:val="99"/>
    <w:semiHidden/>
    <w:rsid w:val="005E4CD6"/>
  </w:style>
  <w:style w:type="character" w:styleId="CommentReference">
    <w:name w:val="annotation reference"/>
    <w:basedOn w:val="DefaultParagraphFont"/>
    <w:semiHidden/>
    <w:unhideWhenUsed/>
    <w:rsid w:val="00186C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6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6C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7932</Characters>
  <Application>Microsoft Office Word</Application>
  <DocSecurity>0</DocSecurity>
  <Lines>144</Lines>
  <Paragraphs>22</Paragraphs>
  <ScaleCrop>false</ScaleCrop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2023-09-21T21:38:00Z</dcterms:created>
  <dcterms:modified xsi:type="dcterms:W3CDTF">2023-09-21T21:38:00Z</dcterms:modified>
</cp:coreProperties>
</file>