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63C1" w14:textId="6FE46001" w:rsidR="00A912AF" w:rsidRPr="00A912AF" w:rsidRDefault="00D16B2E" w:rsidP="00D16B2E">
      <w:pPr>
        <w:tabs>
          <w:tab w:val="left" w:pos="720"/>
          <w:tab w:val="center" w:pos="4680"/>
          <w:tab w:val="left" w:pos="7650"/>
        </w:tabs>
        <w:jc w:val="center"/>
        <w:rPr>
          <w:bCs/>
          <w:sz w:val="20"/>
        </w:rPr>
      </w:pPr>
      <w:r w:rsidRPr="00A912AF">
        <w:rPr>
          <w:bCs/>
          <w:sz w:val="20"/>
        </w:rPr>
        <w:t>Filed 7/24/23</w:t>
      </w:r>
      <w:r w:rsidRPr="00D16B2E">
        <w:rPr>
          <w:bCs/>
          <w:sz w:val="20"/>
        </w:rPr>
        <w:t>; REVIEW GRANTED.  See Cal. Rules of Court, rules 8.1105 and 8.1115 (and corresponding Comment, par. 2, concerning rule 8.1115(e)(3)).</w:t>
      </w:r>
    </w:p>
    <w:p w14:paraId="56259C48" w14:textId="77777777" w:rsidR="00B74F80" w:rsidRDefault="00D16B2E" w:rsidP="00EC5E8A">
      <w:pPr>
        <w:tabs>
          <w:tab w:val="left" w:pos="720"/>
          <w:tab w:val="center" w:pos="4680"/>
          <w:tab w:val="left" w:pos="7650"/>
        </w:tabs>
        <w:jc w:val="center"/>
      </w:pPr>
      <w:r>
        <w:rPr>
          <w:b/>
        </w:rPr>
        <w:t>CERTIFIED FOR PARTIAL PUBLICATION</w:t>
      </w:r>
      <w:r>
        <w:rPr>
          <w:rStyle w:val="FootnoteReference"/>
          <w:b w:val="0"/>
        </w:rPr>
        <w:footnoteReference w:customMarkFollows="1" w:id="2"/>
        <w:t>*</w:t>
      </w:r>
    </w:p>
    <w:p w14:paraId="7BE966B2" w14:textId="77777777" w:rsidR="00EC5E8A" w:rsidRDefault="00EC5E8A" w:rsidP="00B74F80">
      <w:pPr>
        <w:tabs>
          <w:tab w:val="left" w:pos="720"/>
          <w:tab w:val="center" w:pos="4680"/>
          <w:tab w:val="left" w:pos="7650"/>
        </w:tabs>
        <w:jc w:val="center"/>
        <w:rPr>
          <w:b/>
        </w:rPr>
      </w:pPr>
    </w:p>
    <w:p w14:paraId="4415B41F" w14:textId="77777777" w:rsidR="00B74F80" w:rsidRPr="007C68F1" w:rsidRDefault="00D16B2E" w:rsidP="00B74F80">
      <w:pPr>
        <w:tabs>
          <w:tab w:val="left" w:pos="720"/>
          <w:tab w:val="center" w:pos="4680"/>
          <w:tab w:val="left" w:pos="7650"/>
        </w:tabs>
        <w:jc w:val="center"/>
        <w:rPr>
          <w:b/>
        </w:rPr>
      </w:pPr>
      <w:r w:rsidRPr="007C68F1">
        <w:rPr>
          <w:b/>
        </w:rPr>
        <w:t>IN THE COURT OF APPEAL OF THE STATE OF CALIFORNIA</w:t>
      </w:r>
    </w:p>
    <w:p w14:paraId="0FABF40A" w14:textId="77777777" w:rsidR="00B74F80" w:rsidRPr="007C68F1" w:rsidRDefault="00B74F80" w:rsidP="00B74F80">
      <w:pPr>
        <w:tabs>
          <w:tab w:val="left" w:pos="720"/>
          <w:tab w:val="center" w:pos="4680"/>
          <w:tab w:val="left" w:pos="7650"/>
        </w:tabs>
        <w:jc w:val="center"/>
        <w:rPr>
          <w:b/>
        </w:rPr>
      </w:pPr>
    </w:p>
    <w:p w14:paraId="52BDD0E4" w14:textId="77777777" w:rsidR="00B74F80" w:rsidRPr="007C68F1" w:rsidRDefault="00D16B2E" w:rsidP="00B74F80">
      <w:pPr>
        <w:tabs>
          <w:tab w:val="left" w:pos="720"/>
          <w:tab w:val="center" w:pos="4680"/>
          <w:tab w:val="left" w:pos="7650"/>
        </w:tabs>
        <w:jc w:val="center"/>
        <w:rPr>
          <w:b/>
        </w:rPr>
      </w:pPr>
      <w:r w:rsidRPr="007C68F1">
        <w:rPr>
          <w:b/>
        </w:rPr>
        <w:t>FOURTH APPELLATE DISTRICT</w:t>
      </w:r>
    </w:p>
    <w:p w14:paraId="57038994" w14:textId="77777777" w:rsidR="00B74F80" w:rsidRPr="007C68F1" w:rsidRDefault="00B74F80" w:rsidP="00B74F80">
      <w:pPr>
        <w:tabs>
          <w:tab w:val="left" w:pos="720"/>
          <w:tab w:val="center" w:pos="4680"/>
          <w:tab w:val="left" w:pos="7650"/>
        </w:tabs>
        <w:jc w:val="center"/>
        <w:rPr>
          <w:b/>
        </w:rPr>
      </w:pPr>
    </w:p>
    <w:p w14:paraId="4E464E51" w14:textId="2744072B" w:rsidR="00B74F80" w:rsidRPr="00D16B2E" w:rsidRDefault="00D16B2E" w:rsidP="00D16B2E">
      <w:pPr>
        <w:tabs>
          <w:tab w:val="left" w:pos="720"/>
          <w:tab w:val="center" w:pos="4680"/>
          <w:tab w:val="left" w:pos="7650"/>
        </w:tabs>
        <w:jc w:val="center"/>
        <w:rPr>
          <w:b/>
        </w:rPr>
      </w:pPr>
      <w:r w:rsidRPr="007C68F1">
        <w:rPr>
          <w:b/>
        </w:rPr>
        <w:t>DIVISION TWO</w:t>
      </w:r>
    </w:p>
    <w:p w14:paraId="7A375CED" w14:textId="77777777" w:rsidR="00B74F80" w:rsidRPr="007C68F1" w:rsidRDefault="00B74F80" w:rsidP="00B74F80">
      <w:pPr>
        <w:tabs>
          <w:tab w:val="left" w:pos="720"/>
          <w:tab w:val="center" w:pos="4680"/>
          <w:tab w:val="left" w:pos="765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3019E" w14:paraId="1EE70B56" w14:textId="77777777" w:rsidTr="00B74F80">
        <w:tc>
          <w:tcPr>
            <w:tcW w:w="4675" w:type="dxa"/>
            <w:tcBorders>
              <w:bottom w:val="single" w:sz="4" w:space="0" w:color="auto"/>
              <w:right w:val="single" w:sz="4" w:space="0" w:color="auto"/>
            </w:tcBorders>
            <w:shd w:val="clear" w:color="auto" w:fill="auto"/>
          </w:tcPr>
          <w:p w14:paraId="38F4F8B1" w14:textId="77777777" w:rsidR="00B74F80" w:rsidRPr="007C68F1" w:rsidRDefault="00D16B2E" w:rsidP="00B74F80">
            <w:pPr>
              <w:tabs>
                <w:tab w:val="left" w:pos="720"/>
                <w:tab w:val="center" w:pos="4680"/>
                <w:tab w:val="left" w:pos="7650"/>
              </w:tabs>
            </w:pPr>
            <w:r w:rsidRPr="007C68F1">
              <w:t>NICOLE WOODWORTH,</w:t>
            </w:r>
          </w:p>
          <w:p w14:paraId="28F57D3D" w14:textId="77777777" w:rsidR="00B74F80" w:rsidRPr="007C68F1" w:rsidRDefault="00B74F80" w:rsidP="00B74F80">
            <w:pPr>
              <w:tabs>
                <w:tab w:val="left" w:pos="720"/>
                <w:tab w:val="center" w:pos="4680"/>
                <w:tab w:val="left" w:pos="7650"/>
              </w:tabs>
            </w:pPr>
          </w:p>
          <w:p w14:paraId="6CD245F4" w14:textId="77777777" w:rsidR="00B74F80" w:rsidRPr="007C68F1" w:rsidRDefault="00D16B2E" w:rsidP="00B74F80">
            <w:pPr>
              <w:tabs>
                <w:tab w:val="left" w:pos="720"/>
                <w:tab w:val="center" w:pos="4680"/>
                <w:tab w:val="left" w:pos="7650"/>
              </w:tabs>
            </w:pPr>
            <w:r w:rsidRPr="007C68F1">
              <w:tab/>
              <w:t>Plaintiff and Appellant,</w:t>
            </w:r>
          </w:p>
          <w:p w14:paraId="59D295B4" w14:textId="77777777" w:rsidR="00B74F80" w:rsidRPr="007C68F1" w:rsidRDefault="00B74F80" w:rsidP="00B74F80">
            <w:pPr>
              <w:tabs>
                <w:tab w:val="left" w:pos="720"/>
                <w:tab w:val="center" w:pos="4680"/>
                <w:tab w:val="left" w:pos="7650"/>
              </w:tabs>
            </w:pPr>
          </w:p>
          <w:p w14:paraId="7EC6022A" w14:textId="77777777" w:rsidR="00B74F80" w:rsidRPr="007C68F1" w:rsidRDefault="00D16B2E" w:rsidP="00B74F80">
            <w:pPr>
              <w:tabs>
                <w:tab w:val="left" w:pos="720"/>
                <w:tab w:val="center" w:pos="4680"/>
                <w:tab w:val="left" w:pos="7650"/>
              </w:tabs>
            </w:pPr>
            <w:r w:rsidRPr="007C68F1">
              <w:t>v.</w:t>
            </w:r>
          </w:p>
          <w:p w14:paraId="0D4DF50E" w14:textId="77777777" w:rsidR="00B74F80" w:rsidRPr="007C68F1" w:rsidRDefault="00B74F80" w:rsidP="00B74F80">
            <w:pPr>
              <w:tabs>
                <w:tab w:val="left" w:pos="720"/>
                <w:tab w:val="center" w:pos="4680"/>
                <w:tab w:val="left" w:pos="7650"/>
              </w:tabs>
            </w:pPr>
          </w:p>
          <w:p w14:paraId="02BECDDE" w14:textId="77777777" w:rsidR="00B74F80" w:rsidRPr="007C68F1" w:rsidRDefault="00D16B2E" w:rsidP="00B74F80">
            <w:pPr>
              <w:tabs>
                <w:tab w:val="left" w:pos="720"/>
                <w:tab w:val="center" w:pos="4680"/>
                <w:tab w:val="left" w:pos="7650"/>
              </w:tabs>
            </w:pPr>
            <w:r w:rsidRPr="007C68F1">
              <w:t>LOMA LINDA UNIVERSITY MEDICAL CENTER,</w:t>
            </w:r>
          </w:p>
          <w:p w14:paraId="6CEC5E77" w14:textId="77777777" w:rsidR="00B74F80" w:rsidRPr="007C68F1" w:rsidRDefault="00B74F80" w:rsidP="00B74F80">
            <w:pPr>
              <w:tabs>
                <w:tab w:val="left" w:pos="720"/>
                <w:tab w:val="center" w:pos="4680"/>
                <w:tab w:val="left" w:pos="7650"/>
              </w:tabs>
            </w:pPr>
          </w:p>
          <w:p w14:paraId="42F0EA80" w14:textId="77777777" w:rsidR="00B74F80" w:rsidRPr="007C68F1" w:rsidRDefault="00D16B2E" w:rsidP="00B74F80">
            <w:pPr>
              <w:tabs>
                <w:tab w:val="left" w:pos="720"/>
                <w:tab w:val="center" w:pos="4680"/>
                <w:tab w:val="left" w:pos="7650"/>
              </w:tabs>
            </w:pPr>
            <w:r w:rsidRPr="007C68F1">
              <w:tab/>
            </w:r>
            <w:r w:rsidRPr="007C68F1">
              <w:t xml:space="preserve">Defendant and </w:t>
            </w:r>
            <w:r w:rsidR="00414FA2" w:rsidRPr="007C68F1">
              <w:t>Appellant</w:t>
            </w:r>
            <w:r w:rsidRPr="007C68F1">
              <w:t>.</w:t>
            </w:r>
          </w:p>
          <w:p w14:paraId="2F61173A" w14:textId="77777777" w:rsidR="00B74F80" w:rsidRPr="007C68F1" w:rsidRDefault="00B74F80" w:rsidP="00B74F80">
            <w:pPr>
              <w:tabs>
                <w:tab w:val="left" w:pos="720"/>
                <w:tab w:val="center" w:pos="4680"/>
                <w:tab w:val="left" w:pos="7650"/>
              </w:tabs>
            </w:pPr>
          </w:p>
        </w:tc>
        <w:tc>
          <w:tcPr>
            <w:tcW w:w="4675" w:type="dxa"/>
            <w:tcBorders>
              <w:left w:val="single" w:sz="4" w:space="0" w:color="auto"/>
            </w:tcBorders>
            <w:shd w:val="clear" w:color="auto" w:fill="auto"/>
          </w:tcPr>
          <w:p w14:paraId="3AC4E709" w14:textId="77777777" w:rsidR="00B74F80" w:rsidRPr="007C68F1" w:rsidRDefault="00B74F80" w:rsidP="00B74F80">
            <w:pPr>
              <w:tabs>
                <w:tab w:val="left" w:pos="720"/>
                <w:tab w:val="center" w:pos="4680"/>
                <w:tab w:val="left" w:pos="7650"/>
              </w:tabs>
            </w:pPr>
          </w:p>
          <w:p w14:paraId="2EE00B61" w14:textId="77777777" w:rsidR="00B74F80" w:rsidRPr="007C68F1" w:rsidRDefault="00B74F80" w:rsidP="00B74F80">
            <w:pPr>
              <w:tabs>
                <w:tab w:val="left" w:pos="720"/>
                <w:tab w:val="center" w:pos="4680"/>
                <w:tab w:val="left" w:pos="7650"/>
              </w:tabs>
            </w:pPr>
          </w:p>
          <w:p w14:paraId="64214A2C" w14:textId="77777777" w:rsidR="00B74F80" w:rsidRPr="007C68F1" w:rsidRDefault="00D16B2E" w:rsidP="00B74F80">
            <w:pPr>
              <w:tabs>
                <w:tab w:val="left" w:pos="720"/>
                <w:tab w:val="center" w:pos="4680"/>
                <w:tab w:val="left" w:pos="7650"/>
              </w:tabs>
            </w:pPr>
            <w:r w:rsidRPr="007C68F1">
              <w:tab/>
              <w:t>E072704</w:t>
            </w:r>
          </w:p>
          <w:p w14:paraId="6C277431" w14:textId="77777777" w:rsidR="00B74F80" w:rsidRPr="007C68F1" w:rsidRDefault="00B74F80" w:rsidP="00B74F80">
            <w:pPr>
              <w:tabs>
                <w:tab w:val="left" w:pos="720"/>
                <w:tab w:val="center" w:pos="4680"/>
                <w:tab w:val="left" w:pos="7650"/>
              </w:tabs>
            </w:pPr>
          </w:p>
          <w:p w14:paraId="40A15F75" w14:textId="77777777" w:rsidR="00B74F80" w:rsidRPr="007C68F1" w:rsidRDefault="00D16B2E" w:rsidP="00B74F80">
            <w:pPr>
              <w:tabs>
                <w:tab w:val="left" w:pos="720"/>
                <w:tab w:val="center" w:pos="4680"/>
                <w:tab w:val="left" w:pos="7650"/>
              </w:tabs>
            </w:pPr>
            <w:r w:rsidRPr="007C68F1">
              <w:tab/>
              <w:t>(Super.Ct.No. CIVDS1408640)</w:t>
            </w:r>
          </w:p>
          <w:p w14:paraId="09D7D576" w14:textId="77777777" w:rsidR="00B74F80" w:rsidRPr="007C68F1" w:rsidRDefault="00B74F80" w:rsidP="00B74F80">
            <w:pPr>
              <w:tabs>
                <w:tab w:val="left" w:pos="720"/>
                <w:tab w:val="center" w:pos="4680"/>
                <w:tab w:val="left" w:pos="7650"/>
              </w:tabs>
            </w:pPr>
          </w:p>
          <w:p w14:paraId="3824CE0F" w14:textId="77777777" w:rsidR="00B74F80" w:rsidRPr="007C68F1" w:rsidRDefault="00D16B2E" w:rsidP="00B74F80">
            <w:pPr>
              <w:tabs>
                <w:tab w:val="left" w:pos="720"/>
                <w:tab w:val="center" w:pos="4680"/>
                <w:tab w:val="left" w:pos="7650"/>
              </w:tabs>
            </w:pPr>
            <w:r w:rsidRPr="007C68F1">
              <w:tab/>
              <w:t>OPINION</w:t>
            </w:r>
          </w:p>
          <w:p w14:paraId="7701E625" w14:textId="77777777" w:rsidR="00B74F80" w:rsidRPr="007C68F1" w:rsidRDefault="00B74F80" w:rsidP="00B74F80">
            <w:pPr>
              <w:tabs>
                <w:tab w:val="left" w:pos="720"/>
                <w:tab w:val="center" w:pos="4680"/>
                <w:tab w:val="left" w:pos="7650"/>
              </w:tabs>
            </w:pPr>
          </w:p>
        </w:tc>
      </w:tr>
    </w:tbl>
    <w:p w14:paraId="20AA9951" w14:textId="77777777" w:rsidR="00B74F80" w:rsidRPr="007C68F1" w:rsidRDefault="00B74F80" w:rsidP="00B74F80">
      <w:pPr>
        <w:tabs>
          <w:tab w:val="left" w:pos="720"/>
          <w:tab w:val="center" w:pos="4680"/>
          <w:tab w:val="left" w:pos="7650"/>
        </w:tabs>
        <w:spacing w:line="480" w:lineRule="auto"/>
      </w:pPr>
    </w:p>
    <w:p w14:paraId="4BC87F4F" w14:textId="77777777" w:rsidR="00B74F80" w:rsidRPr="007C68F1" w:rsidRDefault="00D16B2E" w:rsidP="007D1009">
      <w:pPr>
        <w:tabs>
          <w:tab w:val="left" w:pos="720"/>
          <w:tab w:val="center" w:pos="4680"/>
          <w:tab w:val="left" w:pos="7650"/>
        </w:tabs>
        <w:spacing w:line="480" w:lineRule="auto"/>
      </w:pPr>
      <w:r w:rsidRPr="007C68F1">
        <w:tab/>
        <w:t>APPEAL from the Superior Court of San Bernardino County.  David S. Cohn, Judge.  Affirmed in part</w:t>
      </w:r>
      <w:r w:rsidR="00E974CF" w:rsidRPr="007C68F1">
        <w:t>;</w:t>
      </w:r>
      <w:r w:rsidRPr="007C68F1">
        <w:t xml:space="preserve"> reversed in part with directions.</w:t>
      </w:r>
      <w:r w:rsidR="0022371B" w:rsidRPr="007C68F1">
        <w:t xml:space="preserve">  Motion to dismiss appeal denied.  Motion to dismiss cross-appeal granted.</w:t>
      </w:r>
    </w:p>
    <w:p w14:paraId="65C8CD18" w14:textId="77777777" w:rsidR="00B74F80" w:rsidRPr="007C68F1" w:rsidRDefault="00D16B2E" w:rsidP="007D1009">
      <w:pPr>
        <w:tabs>
          <w:tab w:val="left" w:pos="720"/>
          <w:tab w:val="center" w:pos="4680"/>
          <w:tab w:val="left" w:pos="7650"/>
        </w:tabs>
        <w:spacing w:line="480" w:lineRule="auto"/>
      </w:pPr>
      <w:r w:rsidRPr="007C68F1">
        <w:tab/>
      </w:r>
      <w:r w:rsidR="006057EA" w:rsidRPr="007C68F1">
        <w:t>Law Office of Joseph Antonelli, Joseph Antonelli</w:t>
      </w:r>
      <w:r w:rsidR="00887A63">
        <w:t>,</w:t>
      </w:r>
      <w:r w:rsidR="006057EA" w:rsidRPr="007C68F1">
        <w:t xml:space="preserve"> Janelle Carney</w:t>
      </w:r>
      <w:r w:rsidR="00887A63">
        <w:t xml:space="preserve">; Clarkson Law Firm and Glenn A. Danas </w:t>
      </w:r>
      <w:r w:rsidR="006057EA" w:rsidRPr="007C68F1">
        <w:t>for Plaintiff and Appellant</w:t>
      </w:r>
      <w:r w:rsidR="008C2433" w:rsidRPr="007C68F1">
        <w:t xml:space="preserve"> Nicole Woodworth</w:t>
      </w:r>
      <w:r w:rsidR="006057EA" w:rsidRPr="007C68F1">
        <w:t>.</w:t>
      </w:r>
    </w:p>
    <w:p w14:paraId="6370F1ED" w14:textId="77777777" w:rsidR="006057EA" w:rsidRPr="007C68F1" w:rsidRDefault="00D16B2E" w:rsidP="007D1009">
      <w:pPr>
        <w:tabs>
          <w:tab w:val="left" w:pos="720"/>
          <w:tab w:val="center" w:pos="4680"/>
          <w:tab w:val="left" w:pos="7650"/>
        </w:tabs>
        <w:spacing w:line="480" w:lineRule="auto"/>
      </w:pPr>
      <w:r w:rsidRPr="007C68F1">
        <w:tab/>
        <w:t>Lewis Brisbois Bisgaard &amp; Smi</w:t>
      </w:r>
      <w:r w:rsidRPr="007C68F1">
        <w:t xml:space="preserve">th, Jeffry A. Miller, Allison Arabian Hill, Jon P. Kardassakis and Michael K. Grimaldi for Defendant and </w:t>
      </w:r>
      <w:r w:rsidR="00414FA2" w:rsidRPr="007C68F1">
        <w:t>Appellant</w:t>
      </w:r>
      <w:r w:rsidR="008C2433" w:rsidRPr="007C68F1">
        <w:t xml:space="preserve"> Loma Linda University Medical Center</w:t>
      </w:r>
      <w:r w:rsidRPr="007C68F1">
        <w:t>.</w:t>
      </w:r>
    </w:p>
    <w:p w14:paraId="7EFDF3A0" w14:textId="77777777" w:rsidR="00E974CF" w:rsidRPr="007C68F1" w:rsidRDefault="00D16B2E" w:rsidP="007D1009">
      <w:pPr>
        <w:tabs>
          <w:tab w:val="left" w:pos="720"/>
          <w:tab w:val="center" w:pos="4680"/>
          <w:tab w:val="left" w:pos="7650"/>
        </w:tabs>
        <w:spacing w:line="480" w:lineRule="auto"/>
      </w:pPr>
      <w:r w:rsidRPr="007C68F1">
        <w:lastRenderedPageBreak/>
        <w:tab/>
      </w:r>
      <w:r w:rsidRPr="007C68F1">
        <w:t xml:space="preserve">Seyfarth Shaw, Jeffrey A. Berman and Kiran A. Seldon </w:t>
      </w:r>
      <w:r w:rsidR="008C2433" w:rsidRPr="007C68F1">
        <w:t xml:space="preserve">for California Hospital Association </w:t>
      </w:r>
      <w:r w:rsidRPr="007C68F1">
        <w:t xml:space="preserve">as Amicus Curiae on behalf of Defendant and </w:t>
      </w:r>
      <w:r w:rsidR="00414FA2" w:rsidRPr="007C68F1">
        <w:t>Appellant</w:t>
      </w:r>
      <w:r w:rsidR="008C2433" w:rsidRPr="007C68F1">
        <w:t xml:space="preserve"> Loma Linda University Medical Center.</w:t>
      </w:r>
    </w:p>
    <w:p w14:paraId="6F783BDB" w14:textId="77777777" w:rsidR="00972718" w:rsidRPr="007C68F1" w:rsidRDefault="00D16B2E" w:rsidP="007D1009">
      <w:pPr>
        <w:keepNext/>
        <w:keepLines/>
        <w:tabs>
          <w:tab w:val="left" w:pos="720"/>
          <w:tab w:val="center" w:pos="4680"/>
          <w:tab w:val="left" w:pos="7650"/>
        </w:tabs>
        <w:spacing w:line="480" w:lineRule="auto"/>
        <w:rPr>
          <w:shd w:val="clear" w:color="auto" w:fill="FFFFFF"/>
        </w:rPr>
      </w:pPr>
      <w:r w:rsidRPr="007C68F1">
        <w:tab/>
      </w:r>
      <w:r w:rsidR="002337E8" w:rsidRPr="007C68F1">
        <w:t xml:space="preserve">Nicole Woodworth was a registered nurse at Loma Linda University Medical Center (the medical center) from </w:t>
      </w:r>
      <w:r w:rsidR="007F6CD8" w:rsidRPr="007C68F1">
        <w:t>December 2011</w:t>
      </w:r>
      <w:r w:rsidR="00000D22" w:rsidRPr="007C68F1">
        <w:t xml:space="preserve"> to </w:t>
      </w:r>
      <w:r w:rsidR="005E7F3C" w:rsidRPr="007C68F1">
        <w:t xml:space="preserve">June </w:t>
      </w:r>
      <w:r w:rsidR="00000D22" w:rsidRPr="007C68F1">
        <w:t>2014.</w:t>
      </w:r>
      <w:r w:rsidR="00B16470" w:rsidRPr="007C68F1">
        <w:t xml:space="preserve">  In </w:t>
      </w:r>
      <w:r w:rsidR="005E7F3C" w:rsidRPr="007C68F1">
        <w:t xml:space="preserve">June 2014, she filed this putative class action against the medical center, alleging a </w:t>
      </w:r>
      <w:r w:rsidR="001728E0" w:rsidRPr="007C68F1">
        <w:t>host</w:t>
      </w:r>
      <w:r w:rsidR="005E7F3C" w:rsidRPr="007C68F1">
        <w:t xml:space="preserve"> of wage and hour claims</w:t>
      </w:r>
      <w:r w:rsidR="00DD6130" w:rsidRPr="007C68F1">
        <w:t xml:space="preserve"> </w:t>
      </w:r>
      <w:r w:rsidR="00651DA8" w:rsidRPr="007C68F1">
        <w:t xml:space="preserve">on behalf of herself and </w:t>
      </w:r>
      <w:r w:rsidR="00341901" w:rsidRPr="007C68F1">
        <w:t>other</w:t>
      </w:r>
      <w:r w:rsidR="00651DA8" w:rsidRPr="007C68F1">
        <w:t xml:space="preserve"> employees</w:t>
      </w:r>
      <w:r w:rsidR="005E7F3C" w:rsidRPr="007C68F1">
        <w:t>.</w:t>
      </w:r>
      <w:r w:rsidR="00F524AF" w:rsidRPr="007C68F1">
        <w:t xml:space="preserve">  She later amended her complaint to add a cause of action under the Private Attorneys General Act of 2004 (PAGA) (</w:t>
      </w:r>
      <w:bookmarkStart w:id="1" w:name="dabmci_be4611ab7dab4f5298bc6a8ee5d02685"/>
      <w:r w:rsidR="00F0235A" w:rsidRPr="007C68F1">
        <w:t xml:space="preserve">Lab. Code, </w:t>
      </w:r>
      <w:r w:rsidR="00F524AF" w:rsidRPr="007C68F1">
        <w:t>§ 2698</w:t>
      </w:r>
      <w:bookmarkEnd w:id="1"/>
      <w:r w:rsidR="00F524AF" w:rsidRPr="007C68F1">
        <w:t xml:space="preserve"> et seq.).</w:t>
      </w:r>
      <w:r w:rsidR="000C2742">
        <w:t xml:space="preserve">  (U</w:t>
      </w:r>
      <w:r w:rsidR="000C2742" w:rsidRPr="007C68F1">
        <w:t>nlabeled statutory citations refer to the Labor Code</w:t>
      </w:r>
      <w:r w:rsidR="000C2742">
        <w:t>.)</w:t>
      </w:r>
      <w:r w:rsidR="0020603F" w:rsidRPr="007C68F1">
        <w:rPr>
          <w:shd w:val="clear" w:color="auto" w:fill="FFFFFF"/>
        </w:rPr>
        <w:t xml:space="preserve">  </w:t>
      </w:r>
    </w:p>
    <w:p w14:paraId="729D2EC6" w14:textId="77777777" w:rsidR="00286E5B" w:rsidRPr="007C68F1" w:rsidRDefault="00D16B2E" w:rsidP="007D1009">
      <w:pPr>
        <w:tabs>
          <w:tab w:val="left" w:pos="720"/>
          <w:tab w:val="center" w:pos="4680"/>
          <w:tab w:val="left" w:pos="7650"/>
        </w:tabs>
        <w:spacing w:line="480" w:lineRule="auto"/>
        <w:rPr>
          <w:shd w:val="clear" w:color="auto" w:fill="FFFFFF"/>
        </w:rPr>
      </w:pPr>
      <w:r w:rsidRPr="007C68F1">
        <w:rPr>
          <w:shd w:val="clear" w:color="auto" w:fill="FFFFFF"/>
        </w:rPr>
        <w:tab/>
      </w:r>
      <w:r w:rsidR="00DD6130" w:rsidRPr="007C68F1">
        <w:rPr>
          <w:shd w:val="clear" w:color="auto" w:fill="FFFFFF"/>
        </w:rPr>
        <w:t xml:space="preserve">After several years of litigation, </w:t>
      </w:r>
      <w:r w:rsidR="001728E0" w:rsidRPr="007C68F1">
        <w:rPr>
          <w:shd w:val="clear" w:color="auto" w:fill="FFFFFF"/>
        </w:rPr>
        <w:t>only</w:t>
      </w:r>
      <w:r w:rsidR="00651DA8" w:rsidRPr="007C68F1">
        <w:rPr>
          <w:shd w:val="clear" w:color="auto" w:fill="FFFFFF"/>
        </w:rPr>
        <w:t xml:space="preserve"> her individual claim for failure to provide rest periods</w:t>
      </w:r>
      <w:r w:rsidR="001728E0" w:rsidRPr="007C68F1">
        <w:rPr>
          <w:shd w:val="clear" w:color="auto" w:fill="FFFFFF"/>
        </w:rPr>
        <w:t xml:space="preserve"> remained.</w:t>
      </w:r>
      <w:r w:rsidR="00044EED" w:rsidRPr="007C68F1">
        <w:rPr>
          <w:shd w:val="clear" w:color="auto" w:fill="FFFFFF"/>
        </w:rPr>
        <w:t xml:space="preserve">  The court </w:t>
      </w:r>
      <w:r w:rsidR="007D5E0F" w:rsidRPr="007C68F1">
        <w:rPr>
          <w:shd w:val="clear" w:color="auto" w:fill="FFFFFF"/>
        </w:rPr>
        <w:t xml:space="preserve">had </w:t>
      </w:r>
      <w:r w:rsidR="00044EED" w:rsidRPr="007C68F1">
        <w:rPr>
          <w:shd w:val="clear" w:color="auto" w:fill="FFFFFF"/>
        </w:rPr>
        <w:t>granted four motions for summary adjudication in favor of the medical center, denied Woodworth’s motion for class</w:t>
      </w:r>
      <w:r w:rsidR="00B60A7B" w:rsidRPr="007C68F1">
        <w:rPr>
          <w:shd w:val="clear" w:color="auto" w:fill="FFFFFF"/>
        </w:rPr>
        <w:t xml:space="preserve"> certification, and denied her motion to strike putative class member</w:t>
      </w:r>
      <w:r w:rsidR="0009635F" w:rsidRPr="007C68F1">
        <w:rPr>
          <w:shd w:val="clear" w:color="auto" w:fill="FFFFFF"/>
        </w:rPr>
        <w:t>s’</w:t>
      </w:r>
      <w:r w:rsidR="00B60A7B" w:rsidRPr="007C68F1">
        <w:rPr>
          <w:shd w:val="clear" w:color="auto" w:fill="FFFFFF"/>
        </w:rPr>
        <w:t xml:space="preserve"> declarations.  </w:t>
      </w:r>
      <w:r w:rsidR="00D668F1" w:rsidRPr="007C68F1">
        <w:rPr>
          <w:shd w:val="clear" w:color="auto" w:fill="FFFFFF"/>
        </w:rPr>
        <w:t>Woodworth appeal</w:t>
      </w:r>
      <w:r w:rsidR="00B60A7B" w:rsidRPr="007C68F1">
        <w:rPr>
          <w:shd w:val="clear" w:color="auto" w:fill="FFFFFF"/>
        </w:rPr>
        <w:t>s</w:t>
      </w:r>
      <w:r w:rsidR="00D668F1" w:rsidRPr="007C68F1">
        <w:rPr>
          <w:shd w:val="clear" w:color="auto" w:fill="FFFFFF"/>
        </w:rPr>
        <w:t xml:space="preserve"> from </w:t>
      </w:r>
      <w:r w:rsidR="00503477" w:rsidRPr="007C68F1">
        <w:rPr>
          <w:shd w:val="clear" w:color="auto" w:fill="FFFFFF"/>
        </w:rPr>
        <w:t>th</w:t>
      </w:r>
      <w:r w:rsidR="00B60A7B" w:rsidRPr="007C68F1">
        <w:rPr>
          <w:shd w:val="clear" w:color="auto" w:fill="FFFFFF"/>
        </w:rPr>
        <w:t xml:space="preserve">ose </w:t>
      </w:r>
      <w:r w:rsidR="00503477" w:rsidRPr="007C68F1">
        <w:rPr>
          <w:shd w:val="clear" w:color="auto" w:fill="FFFFFF"/>
        </w:rPr>
        <w:t>orders</w:t>
      </w:r>
      <w:r w:rsidR="00B60A7B" w:rsidRPr="007C68F1">
        <w:rPr>
          <w:shd w:val="clear" w:color="auto" w:fill="FFFFFF"/>
        </w:rPr>
        <w:t>, which</w:t>
      </w:r>
      <w:r w:rsidR="00503477" w:rsidRPr="007C68F1">
        <w:rPr>
          <w:shd w:val="clear" w:color="auto" w:fill="FFFFFF"/>
        </w:rPr>
        <w:t xml:space="preserve"> dispos</w:t>
      </w:r>
      <w:r w:rsidR="00B60A7B" w:rsidRPr="007C68F1">
        <w:rPr>
          <w:shd w:val="clear" w:color="auto" w:fill="FFFFFF"/>
        </w:rPr>
        <w:t xml:space="preserve">ed </w:t>
      </w:r>
      <w:r w:rsidR="00503477" w:rsidRPr="007C68F1">
        <w:rPr>
          <w:shd w:val="clear" w:color="auto" w:fill="FFFFFF"/>
        </w:rPr>
        <w:t>of the putative class members’ claims, the PAGA claims, and</w:t>
      </w:r>
      <w:r w:rsidR="00B60A7B" w:rsidRPr="007C68F1">
        <w:rPr>
          <w:shd w:val="clear" w:color="auto" w:fill="FFFFFF"/>
        </w:rPr>
        <w:t xml:space="preserve"> all of</w:t>
      </w:r>
      <w:r w:rsidR="00503477" w:rsidRPr="007C68F1">
        <w:rPr>
          <w:shd w:val="clear" w:color="auto" w:fill="FFFFFF"/>
        </w:rPr>
        <w:t xml:space="preserve"> her individual claims</w:t>
      </w:r>
      <w:r w:rsidR="00B60A7B" w:rsidRPr="007C68F1">
        <w:rPr>
          <w:shd w:val="clear" w:color="auto" w:fill="FFFFFF"/>
        </w:rPr>
        <w:t xml:space="preserve"> (apart from her claim about rest periods)</w:t>
      </w:r>
      <w:r w:rsidR="00503477" w:rsidRPr="007C68F1">
        <w:rPr>
          <w:shd w:val="clear" w:color="auto" w:fill="FFFFFF"/>
        </w:rPr>
        <w:t>.</w:t>
      </w:r>
      <w:r w:rsidR="00706545" w:rsidRPr="007C68F1">
        <w:rPr>
          <w:shd w:val="clear" w:color="auto" w:fill="FFFFFF"/>
        </w:rPr>
        <w:t xml:space="preserve"> </w:t>
      </w:r>
      <w:r w:rsidR="00DF5A90" w:rsidRPr="007C68F1">
        <w:rPr>
          <w:shd w:val="clear" w:color="auto" w:fill="FFFFFF"/>
        </w:rPr>
        <w:t xml:space="preserve"> The medical center moves to dismiss most of Woodworth’s appeal, but we deny the motion.</w:t>
      </w:r>
    </w:p>
    <w:p w14:paraId="131869A1" w14:textId="77777777" w:rsidR="00926EEB" w:rsidRDefault="00D16B2E" w:rsidP="007D1009">
      <w:pPr>
        <w:tabs>
          <w:tab w:val="left" w:pos="720"/>
          <w:tab w:val="center" w:pos="4680"/>
          <w:tab w:val="left" w:pos="7650"/>
        </w:tabs>
        <w:spacing w:line="480" w:lineRule="auto"/>
        <w:rPr>
          <w:shd w:val="clear" w:color="auto" w:fill="FFFFFF"/>
        </w:rPr>
      </w:pPr>
      <w:r w:rsidRPr="007C68F1">
        <w:rPr>
          <w:shd w:val="clear" w:color="auto" w:fill="FFFFFF"/>
        </w:rPr>
        <w:tab/>
      </w:r>
      <w:r w:rsidR="00503477" w:rsidRPr="007C68F1">
        <w:rPr>
          <w:shd w:val="clear" w:color="auto" w:fill="FFFFFF"/>
        </w:rPr>
        <w:t xml:space="preserve">We affirm the orders in large part but reverse in </w:t>
      </w:r>
      <w:r w:rsidR="00C326D8" w:rsidRPr="007C68F1">
        <w:rPr>
          <w:shd w:val="clear" w:color="auto" w:fill="FFFFFF"/>
        </w:rPr>
        <w:t xml:space="preserve">a number of </w:t>
      </w:r>
      <w:r w:rsidR="00503477" w:rsidRPr="007C68F1">
        <w:rPr>
          <w:shd w:val="clear" w:color="auto" w:fill="FFFFFF"/>
        </w:rPr>
        <w:t>respects.</w:t>
      </w:r>
      <w:r w:rsidR="00B60A7B" w:rsidRPr="007C68F1">
        <w:rPr>
          <w:shd w:val="clear" w:color="auto" w:fill="FFFFFF"/>
        </w:rPr>
        <w:t xml:space="preserve">  </w:t>
      </w:r>
      <w:r w:rsidR="00A2381B" w:rsidRPr="007C68F1">
        <w:rPr>
          <w:shd w:val="clear" w:color="auto" w:fill="FFFFFF"/>
        </w:rPr>
        <w:t>In particular</w:t>
      </w:r>
      <w:r w:rsidR="00B60A7B" w:rsidRPr="007C68F1">
        <w:rPr>
          <w:shd w:val="clear" w:color="auto" w:fill="FFFFFF"/>
        </w:rPr>
        <w:t>, we reverse</w:t>
      </w:r>
      <w:r w:rsidR="00A133BC" w:rsidRPr="007C68F1">
        <w:rPr>
          <w:shd w:val="clear" w:color="auto" w:fill="FFFFFF"/>
        </w:rPr>
        <w:t xml:space="preserve"> in part</w:t>
      </w:r>
      <w:r w:rsidR="00B60A7B" w:rsidRPr="007C68F1">
        <w:rPr>
          <w:shd w:val="clear" w:color="auto" w:fill="FFFFFF"/>
        </w:rPr>
        <w:t xml:space="preserve"> the order denying</w:t>
      </w:r>
      <w:r w:rsidR="00A133BC" w:rsidRPr="007C68F1">
        <w:rPr>
          <w:shd w:val="clear" w:color="auto" w:fill="FFFFFF"/>
        </w:rPr>
        <w:t xml:space="preserve"> class</w:t>
      </w:r>
      <w:r w:rsidR="00B60A7B" w:rsidRPr="007C68F1">
        <w:rPr>
          <w:shd w:val="clear" w:color="auto" w:fill="FFFFFF"/>
        </w:rPr>
        <w:t xml:space="preserve"> certification</w:t>
      </w:r>
      <w:r w:rsidR="00A133BC" w:rsidRPr="007C68F1">
        <w:rPr>
          <w:shd w:val="clear" w:color="auto" w:fill="FFFFFF"/>
        </w:rPr>
        <w:t xml:space="preserve">.  The court erred with respect to </w:t>
      </w:r>
      <w:r w:rsidR="002848F6" w:rsidRPr="007C68F1">
        <w:rPr>
          <w:shd w:val="clear" w:color="auto" w:fill="FFFFFF"/>
        </w:rPr>
        <w:t>Woodworth’s</w:t>
      </w:r>
      <w:r w:rsidRPr="007C68F1">
        <w:rPr>
          <w:shd w:val="clear" w:color="auto" w:fill="FFFFFF"/>
        </w:rPr>
        <w:t xml:space="preserve"> proposed wage statement class, which consisted of employees who received allegedly inaccurate wage statements.  We remand for the trial court to reconsider certification </w:t>
      </w:r>
      <w:r w:rsidR="0053731F" w:rsidRPr="007C68F1">
        <w:rPr>
          <w:shd w:val="clear" w:color="auto" w:fill="FFFFFF"/>
        </w:rPr>
        <w:t xml:space="preserve">of that class.  </w:t>
      </w:r>
    </w:p>
    <w:p w14:paraId="2A98F72B" w14:textId="77777777" w:rsidR="00902BC5" w:rsidRDefault="00D16B2E" w:rsidP="007D1009">
      <w:pPr>
        <w:tabs>
          <w:tab w:val="left" w:pos="720"/>
          <w:tab w:val="center" w:pos="4680"/>
          <w:tab w:val="left" w:pos="7650"/>
        </w:tabs>
        <w:spacing w:line="480" w:lineRule="auto"/>
        <w:rPr>
          <w:shd w:val="clear" w:color="auto" w:fill="FFFFFF"/>
        </w:rPr>
      </w:pPr>
      <w:r>
        <w:rPr>
          <w:shd w:val="clear" w:color="auto" w:fill="FFFFFF"/>
        </w:rPr>
        <w:lastRenderedPageBreak/>
        <w:tab/>
      </w:r>
      <w:r w:rsidR="0053731F" w:rsidRPr="007C68F1">
        <w:rPr>
          <w:shd w:val="clear" w:color="auto" w:fill="FFFFFF"/>
        </w:rPr>
        <w:t xml:space="preserve">We also </w:t>
      </w:r>
      <w:r w:rsidR="000F3C2C" w:rsidRPr="007C68F1">
        <w:rPr>
          <w:shd w:val="clear" w:color="auto" w:fill="FFFFFF"/>
        </w:rPr>
        <w:t xml:space="preserve">conclude that the court erred by </w:t>
      </w:r>
      <w:r w:rsidR="002E55ED" w:rsidRPr="007C68F1">
        <w:rPr>
          <w:shd w:val="clear" w:color="auto" w:fill="FFFFFF"/>
        </w:rPr>
        <w:t xml:space="preserve">granting summary adjudication for the medical center on the </w:t>
      </w:r>
      <w:r w:rsidR="00192562" w:rsidRPr="007C68F1">
        <w:rPr>
          <w:shd w:val="clear" w:color="auto" w:fill="FFFFFF"/>
        </w:rPr>
        <w:t xml:space="preserve">PAGA </w:t>
      </w:r>
      <w:r w:rsidR="002E55ED" w:rsidRPr="007C68F1">
        <w:rPr>
          <w:shd w:val="clear" w:color="auto" w:fill="FFFFFF"/>
        </w:rPr>
        <w:t>rest period</w:t>
      </w:r>
      <w:r w:rsidR="00192562" w:rsidRPr="007C68F1">
        <w:rPr>
          <w:shd w:val="clear" w:color="auto" w:fill="FFFFFF"/>
        </w:rPr>
        <w:t>,</w:t>
      </w:r>
      <w:r w:rsidR="002E55ED" w:rsidRPr="007C68F1">
        <w:rPr>
          <w:shd w:val="clear" w:color="auto" w:fill="FFFFFF"/>
        </w:rPr>
        <w:t xml:space="preserve"> regular rat</w:t>
      </w:r>
      <w:r w:rsidR="00192562" w:rsidRPr="007C68F1">
        <w:rPr>
          <w:shd w:val="clear" w:color="auto" w:fill="FFFFFF"/>
        </w:rPr>
        <w:t>e, wage statement, and</w:t>
      </w:r>
      <w:r w:rsidR="002E55ED" w:rsidRPr="007C68F1">
        <w:rPr>
          <w:shd w:val="clear" w:color="auto" w:fill="FFFFFF"/>
        </w:rPr>
        <w:t xml:space="preserve"> waiting time claim</w:t>
      </w:r>
      <w:r w:rsidR="00192562" w:rsidRPr="007C68F1">
        <w:rPr>
          <w:shd w:val="clear" w:color="auto" w:fill="FFFFFF"/>
        </w:rPr>
        <w:t>s, as well as Woodworth’s individual wage statement</w:t>
      </w:r>
      <w:r w:rsidR="003569C8" w:rsidRPr="007C68F1">
        <w:rPr>
          <w:shd w:val="clear" w:color="auto" w:fill="FFFFFF"/>
        </w:rPr>
        <w:t xml:space="preserve"> claim</w:t>
      </w:r>
      <w:r w:rsidR="000F3C2C" w:rsidRPr="007C68F1">
        <w:rPr>
          <w:shd w:val="clear" w:color="auto" w:fill="FFFFFF"/>
        </w:rPr>
        <w:t xml:space="preserve">.  We thus reverse </w:t>
      </w:r>
      <w:r w:rsidR="001C312A" w:rsidRPr="007C68F1">
        <w:rPr>
          <w:shd w:val="clear" w:color="auto" w:fill="FFFFFF"/>
        </w:rPr>
        <w:t xml:space="preserve">the order granting the relevant motions </w:t>
      </w:r>
      <w:r w:rsidR="000F3C2C" w:rsidRPr="007C68F1">
        <w:rPr>
          <w:shd w:val="clear" w:color="auto" w:fill="FFFFFF"/>
        </w:rPr>
        <w:t xml:space="preserve">and direct </w:t>
      </w:r>
      <w:r w:rsidR="002848F6" w:rsidRPr="007C68F1">
        <w:rPr>
          <w:shd w:val="clear" w:color="auto" w:fill="FFFFFF"/>
        </w:rPr>
        <w:t>the court</w:t>
      </w:r>
      <w:r w:rsidR="000F3C2C" w:rsidRPr="007C68F1">
        <w:rPr>
          <w:shd w:val="clear" w:color="auto" w:fill="FFFFFF"/>
        </w:rPr>
        <w:t xml:space="preserve"> to enter a new order </w:t>
      </w:r>
      <w:r w:rsidR="002848F6" w:rsidRPr="007C68F1">
        <w:rPr>
          <w:shd w:val="clear" w:color="auto" w:fill="FFFFFF"/>
        </w:rPr>
        <w:t xml:space="preserve">granting the motions in </w:t>
      </w:r>
      <w:r w:rsidR="00192562" w:rsidRPr="007C68F1">
        <w:rPr>
          <w:shd w:val="clear" w:color="auto" w:fill="FFFFFF"/>
        </w:rPr>
        <w:t>part</w:t>
      </w:r>
      <w:r w:rsidR="002848F6" w:rsidRPr="007C68F1">
        <w:rPr>
          <w:shd w:val="clear" w:color="auto" w:fill="FFFFFF"/>
        </w:rPr>
        <w:t xml:space="preserve"> and denying them in </w:t>
      </w:r>
      <w:r w:rsidR="00192562" w:rsidRPr="007C68F1">
        <w:rPr>
          <w:shd w:val="clear" w:color="auto" w:fill="FFFFFF"/>
        </w:rPr>
        <w:t>part</w:t>
      </w:r>
      <w:r w:rsidR="002848F6" w:rsidRPr="007C68F1">
        <w:rPr>
          <w:shd w:val="clear" w:color="auto" w:fill="FFFFFF"/>
        </w:rPr>
        <w:t>.</w:t>
      </w:r>
      <w:r w:rsidR="00A4211A" w:rsidRPr="007C68F1">
        <w:rPr>
          <w:shd w:val="clear" w:color="auto" w:fill="FFFFFF"/>
        </w:rPr>
        <w:t xml:space="preserve">  </w:t>
      </w:r>
    </w:p>
    <w:p w14:paraId="494EF082" w14:textId="77777777" w:rsidR="00C227E9" w:rsidRDefault="00D16B2E" w:rsidP="007D1009">
      <w:pPr>
        <w:tabs>
          <w:tab w:val="left" w:pos="720"/>
          <w:tab w:val="center" w:pos="4680"/>
          <w:tab w:val="left" w:pos="7650"/>
        </w:tabs>
        <w:spacing w:line="480" w:lineRule="auto"/>
      </w:pPr>
      <w:r>
        <w:rPr>
          <w:shd w:val="clear" w:color="auto" w:fill="FFFFFF"/>
        </w:rPr>
        <w:tab/>
        <w:t>Additionally, the court erred by granting</w:t>
      </w:r>
      <w:r w:rsidR="00AC165C">
        <w:rPr>
          <w:shd w:val="clear" w:color="auto" w:fill="FFFFFF"/>
        </w:rPr>
        <w:t xml:space="preserve"> summary adjudication for</w:t>
      </w:r>
      <w:r>
        <w:rPr>
          <w:shd w:val="clear" w:color="auto" w:fill="FFFFFF"/>
        </w:rPr>
        <w:t xml:space="preserve"> the medical center</w:t>
      </w:r>
      <w:r w:rsidR="00AC165C">
        <w:rPr>
          <w:shd w:val="clear" w:color="auto" w:fill="FFFFFF"/>
        </w:rPr>
        <w:t xml:space="preserve"> </w:t>
      </w:r>
      <w:r>
        <w:rPr>
          <w:shd w:val="clear" w:color="auto" w:fill="FFFFFF"/>
        </w:rPr>
        <w:t xml:space="preserve">on </w:t>
      </w:r>
      <w:r w:rsidR="00AC165C">
        <w:rPr>
          <w:shd w:val="clear" w:color="auto" w:fill="FFFFFF"/>
        </w:rPr>
        <w:t xml:space="preserve">Woodworth’s </w:t>
      </w:r>
      <w:r>
        <w:rPr>
          <w:shd w:val="clear" w:color="auto" w:fill="FFFFFF"/>
        </w:rPr>
        <w:t xml:space="preserve">claim that </w:t>
      </w:r>
      <w:r w:rsidR="00AC165C">
        <w:rPr>
          <w:shd w:val="clear" w:color="auto" w:fill="FFFFFF"/>
        </w:rPr>
        <w:t xml:space="preserve">she </w:t>
      </w:r>
      <w:r>
        <w:rPr>
          <w:shd w:val="clear" w:color="auto" w:fill="FFFFFF"/>
        </w:rPr>
        <w:t xml:space="preserve">and other nonexempt employees were underpaid as a result of </w:t>
      </w:r>
      <w:r w:rsidR="00AC165C">
        <w:rPr>
          <w:shd w:val="clear" w:color="auto" w:fill="FFFFFF"/>
        </w:rPr>
        <w:t xml:space="preserve">time </w:t>
      </w:r>
      <w:r>
        <w:rPr>
          <w:shd w:val="clear" w:color="auto" w:fill="FFFFFF"/>
        </w:rPr>
        <w:t xml:space="preserve">rounding.  </w:t>
      </w:r>
      <w:r w:rsidR="00AC165C">
        <w:rPr>
          <w:shd w:val="clear" w:color="auto" w:fill="FFFFFF"/>
        </w:rPr>
        <w:t>The</w:t>
      </w:r>
      <w:r>
        <w:rPr>
          <w:shd w:val="clear" w:color="auto" w:fill="FFFFFF"/>
        </w:rPr>
        <w:t xml:space="preserve"> medical center had a policy of rounding employees’ time punches down to the nearest tenth of an hour</w:t>
      </w:r>
      <w:r w:rsidR="00AC165C">
        <w:rPr>
          <w:shd w:val="clear" w:color="auto" w:fill="FFFFFF"/>
        </w:rPr>
        <w:t xml:space="preserve">.  </w:t>
      </w:r>
      <w:bookmarkStart w:id="2" w:name="dabmci_65c0ef699bc64b9d86ee5e3db14c814c"/>
      <w:r w:rsidR="00AC165C" w:rsidRPr="007C68F1">
        <w:rPr>
          <w:i/>
          <w:iCs/>
          <w:bdr w:val="none" w:sz="0" w:space="0" w:color="auto" w:frame="1"/>
        </w:rPr>
        <w:t>See’s Candy Shops, Inc. v. Superior Court</w:t>
      </w:r>
      <w:r w:rsidR="00AC165C" w:rsidRPr="007C68F1">
        <w:t xml:space="preserve"> (2012) 210 Cal.App.4th 889 (</w:t>
      </w:r>
      <w:r w:rsidR="00AC165C" w:rsidRPr="007C68F1">
        <w:rPr>
          <w:i/>
          <w:iCs/>
        </w:rPr>
        <w:t>See’s Candy</w:t>
      </w:r>
      <w:r w:rsidR="00AC165C" w:rsidRPr="007C68F1">
        <w:t>)</w:t>
      </w:r>
      <w:bookmarkEnd w:id="2"/>
      <w:r w:rsidR="00AC165C">
        <w:t xml:space="preserve"> approved of time rounding</w:t>
      </w:r>
      <w:r w:rsidR="004A6179">
        <w:t xml:space="preserve">, </w:t>
      </w:r>
      <w:r w:rsidR="00AC165C">
        <w:t xml:space="preserve">so long as </w:t>
      </w:r>
      <w:r w:rsidR="005362E6">
        <w:t xml:space="preserve">the rounding policy </w:t>
      </w:r>
      <w:r w:rsidR="00D443AB">
        <w:t>is</w:t>
      </w:r>
      <w:r w:rsidR="005362E6">
        <w:t xml:space="preserve"> </w:t>
      </w:r>
      <w:bookmarkStart w:id="3" w:name="dabmq_0"/>
      <w:r w:rsidR="005362E6">
        <w:t>“f</w:t>
      </w:r>
      <w:r w:rsidR="005362E6" w:rsidRPr="005362E6">
        <w:t>air and neutral on its fac</w:t>
      </w:r>
      <w:r w:rsidR="005362E6">
        <w:t>e”</w:t>
      </w:r>
      <w:bookmarkEnd w:id="3"/>
      <w:r w:rsidR="005362E6">
        <w:t xml:space="preserve"> and </w:t>
      </w:r>
      <w:bookmarkStart w:id="4" w:name="dabmq_1"/>
      <w:r w:rsidR="005362E6">
        <w:t>“‘</w:t>
      </w:r>
      <w:r w:rsidR="005362E6" w:rsidRPr="005362E6">
        <w:t>used in such a manner that</w:t>
      </w:r>
      <w:r w:rsidR="005362E6">
        <w:t xml:space="preserve"> </w:t>
      </w:r>
      <w:r w:rsidR="005362E6" w:rsidRPr="005362E6">
        <w:t>it will not result, over a period of time, in failure to compensate the employees properly for all the time they have actually worked.</w:t>
      </w:r>
      <w:r w:rsidR="005362E6">
        <w:t>’”</w:t>
      </w:r>
      <w:bookmarkEnd w:id="4"/>
      <w:r w:rsidR="005362E6">
        <w:t xml:space="preserve">  (</w:t>
      </w:r>
      <w:bookmarkStart w:id="5" w:name="dabmci_fb189727d7fc46598661ff9f9ebe8963"/>
      <w:r w:rsidR="005362E6">
        <w:rPr>
          <w:i/>
          <w:iCs/>
        </w:rPr>
        <w:t>Id.</w:t>
      </w:r>
      <w:r w:rsidR="005362E6">
        <w:t xml:space="preserve"> at p. 907</w:t>
      </w:r>
      <w:bookmarkEnd w:id="5"/>
      <w:r w:rsidR="005362E6">
        <w:t xml:space="preserve">.)  Recently, another </w:t>
      </w:r>
      <w:r w:rsidR="00D443AB">
        <w:t>appellate court</w:t>
      </w:r>
      <w:r w:rsidR="005362E6">
        <w:t xml:space="preserve"> rejected the </w:t>
      </w:r>
      <w:bookmarkStart w:id="6" w:name="dabmci_15c359a3328a4a4d98825796b446f359"/>
      <w:r w:rsidR="005362E6">
        <w:rPr>
          <w:i/>
          <w:iCs/>
        </w:rPr>
        <w:t>See’s Candy</w:t>
      </w:r>
      <w:bookmarkEnd w:id="6"/>
      <w:r w:rsidR="005362E6">
        <w:rPr>
          <w:i/>
          <w:iCs/>
        </w:rPr>
        <w:t xml:space="preserve"> </w:t>
      </w:r>
      <w:r w:rsidR="005362E6">
        <w:t>rounding standard.  (</w:t>
      </w:r>
      <w:bookmarkStart w:id="7" w:name="dabmci_85eed5fd2409402f9ca735d99125df1d"/>
      <w:r w:rsidR="00AC165C" w:rsidRPr="00032059">
        <w:rPr>
          <w:i/>
          <w:iCs/>
          <w:bdr w:val="none" w:sz="0" w:space="0" w:color="auto" w:frame="1"/>
        </w:rPr>
        <w:t>Camp v. Home Depot U.S.A., Inc.</w:t>
      </w:r>
      <w:r w:rsidR="00AC165C" w:rsidRPr="007C68F1">
        <w:t xml:space="preserve"> (2022) 84 Cal.App.5th 638, 643 (</w:t>
      </w:r>
      <w:r w:rsidR="00AC165C" w:rsidRPr="007C68F1">
        <w:rPr>
          <w:i/>
          <w:iCs/>
        </w:rPr>
        <w:t>Camp</w:t>
      </w:r>
      <w:r w:rsidR="00AC165C" w:rsidRPr="007C68F1">
        <w:t>)</w:t>
      </w:r>
      <w:bookmarkEnd w:id="7"/>
      <w:r w:rsidR="00AC165C" w:rsidRPr="007C68F1">
        <w:t>, review granted Feb. 1, 2023, S277518.</w:t>
      </w:r>
      <w:r w:rsidR="00E107C2">
        <w:t>)</w:t>
      </w:r>
      <w:r w:rsidR="00AC165C" w:rsidRPr="007C68F1">
        <w:t xml:space="preserve"> </w:t>
      </w:r>
      <w:r w:rsidR="00E107C2">
        <w:t xml:space="preserve"> </w:t>
      </w:r>
      <w:r w:rsidR="00AC165C">
        <w:t xml:space="preserve">We publish our discussion of the rounding motion to express our agreement with </w:t>
      </w:r>
      <w:r w:rsidR="00AC165C">
        <w:rPr>
          <w:i/>
          <w:iCs/>
        </w:rPr>
        <w:t>Camp</w:t>
      </w:r>
      <w:r w:rsidR="00AC165C">
        <w:t xml:space="preserve">. </w:t>
      </w:r>
    </w:p>
    <w:p w14:paraId="746D746E" w14:textId="77777777" w:rsidR="006019A3" w:rsidRPr="00E107C2" w:rsidRDefault="00D16B2E" w:rsidP="007D1009">
      <w:pPr>
        <w:tabs>
          <w:tab w:val="left" w:pos="720"/>
          <w:tab w:val="center" w:pos="4680"/>
          <w:tab w:val="left" w:pos="7650"/>
        </w:tabs>
        <w:spacing w:line="480" w:lineRule="auto"/>
      </w:pPr>
      <w:r>
        <w:tab/>
      </w:r>
      <w:r w:rsidR="00E107C2">
        <w:t xml:space="preserve">We </w:t>
      </w:r>
      <w:r>
        <w:t xml:space="preserve">also </w:t>
      </w:r>
      <w:r w:rsidR="00E107C2">
        <w:t>publish a</w:t>
      </w:r>
      <w:r>
        <w:t>nother</w:t>
      </w:r>
      <w:r w:rsidR="00E107C2">
        <w:t xml:space="preserve"> portion of our discussion regarding </w:t>
      </w:r>
      <w:r>
        <w:t xml:space="preserve">the alternative workweek schedule (AWS) instituted by the medical center.  </w:t>
      </w:r>
      <w:r w:rsidRPr="007C68F1">
        <w:t>California law permits employers to institute an</w:t>
      </w:r>
      <w:r>
        <w:t xml:space="preserve"> AWS </w:t>
      </w:r>
      <w:r w:rsidRPr="007C68F1">
        <w:t xml:space="preserve">that operates as an exception to overtime requirements.  (§§ 510, subd. (a)(1), 511; </w:t>
      </w:r>
      <w:bookmarkStart w:id="8" w:name="dabmci_cd82edc2675449a3bbe17b9bde3a501a"/>
      <w:r w:rsidRPr="007C68F1">
        <w:rPr>
          <w:i/>
          <w:iCs/>
          <w:bdr w:val="none" w:sz="0" w:space="0" w:color="auto" w:frame="1"/>
        </w:rPr>
        <w:t>Maldonado v. Epsilon Plastics, Inc.</w:t>
      </w:r>
      <w:r w:rsidRPr="007C68F1">
        <w:t xml:space="preserve"> (2018) </w:t>
      </w:r>
      <w:r w:rsidRPr="007C68F1">
        <w:t>22 Cal.App.5th 1308, 1314 (</w:t>
      </w:r>
      <w:r w:rsidRPr="007C68F1">
        <w:rPr>
          <w:i/>
          <w:iCs/>
        </w:rPr>
        <w:t>Maldonado</w:t>
      </w:r>
      <w:r w:rsidRPr="007C68F1">
        <w:t>)</w:t>
      </w:r>
      <w:bookmarkEnd w:id="8"/>
      <w:r w:rsidRPr="007C68F1">
        <w:t>.)</w:t>
      </w:r>
      <w:r>
        <w:t xml:space="preserve">  </w:t>
      </w:r>
      <w:r w:rsidR="0052638D">
        <w:t>Employees must vote to adopt an AWS, and the law requires employers to disclose the effects of an AWS before the vote.  (</w:t>
      </w:r>
      <w:bookmarkStart w:id="9" w:name="dabmci_9321b80ef5fd4253be187553d3711431"/>
      <w:r w:rsidR="0052638D" w:rsidRPr="007C68F1">
        <w:t xml:space="preserve">Cal. Code Regs., tit. 8, </w:t>
      </w:r>
      <w:r w:rsidR="0052638D" w:rsidRPr="007C68F1">
        <w:lastRenderedPageBreak/>
        <w:t>§ 11050, subd. 3(C)(3)</w:t>
      </w:r>
      <w:bookmarkEnd w:id="9"/>
      <w:r w:rsidR="0052638D" w:rsidRPr="007C68F1">
        <w:t>.)</w:t>
      </w:r>
      <w:r w:rsidR="0052638D">
        <w:t xml:space="preserve">  </w:t>
      </w:r>
      <w:r>
        <w:t>The medical center moved for summary adjudi</w:t>
      </w:r>
      <w:r>
        <w:t xml:space="preserve">cation on its AWS defense to Woodworth’s claim for unpaid overtime.  The trial court granted that motion, and we affirm that order.  </w:t>
      </w:r>
      <w:r w:rsidR="0052638D">
        <w:t>In doing so, w</w:t>
      </w:r>
      <w:r w:rsidRPr="007C68F1">
        <w:t xml:space="preserve">e hold that an employer’s failure to comply with the pre-election disclosure requirement renders </w:t>
      </w:r>
      <w:r w:rsidR="0052638D">
        <w:t>an AWS</w:t>
      </w:r>
      <w:r w:rsidRPr="007C68F1">
        <w:t xml:space="preserve"> elect</w:t>
      </w:r>
      <w:r w:rsidRPr="007C68F1">
        <w:t xml:space="preserve">ion null and void only if the employer omits material information about the proposed AWS’s effects.  </w:t>
      </w:r>
    </w:p>
    <w:p w14:paraId="26188B8F" w14:textId="77777777" w:rsidR="00CA3105" w:rsidRPr="007C68F1" w:rsidRDefault="00D16B2E" w:rsidP="007D1009">
      <w:pPr>
        <w:tabs>
          <w:tab w:val="left" w:pos="720"/>
          <w:tab w:val="center" w:pos="4680"/>
          <w:tab w:val="left" w:pos="7650"/>
        </w:tabs>
        <w:spacing w:line="480" w:lineRule="auto"/>
        <w:rPr>
          <w:shd w:val="clear" w:color="auto" w:fill="FFFFFF"/>
        </w:rPr>
      </w:pPr>
      <w:r w:rsidRPr="007C68F1">
        <w:rPr>
          <w:shd w:val="clear" w:color="auto" w:fill="FFFFFF"/>
        </w:rPr>
        <w:tab/>
        <w:t>The medical center has filed a cross-appeal</w:t>
      </w:r>
      <w:r w:rsidR="006357D8" w:rsidRPr="007C68F1">
        <w:rPr>
          <w:shd w:val="clear" w:color="auto" w:fill="FFFFFF"/>
        </w:rPr>
        <w:t xml:space="preserve"> from the order denying its motion</w:t>
      </w:r>
      <w:r w:rsidR="00A133BC" w:rsidRPr="007C68F1">
        <w:rPr>
          <w:shd w:val="clear" w:color="auto" w:fill="FFFFFF"/>
        </w:rPr>
        <w:t xml:space="preserve"> to strike </w:t>
      </w:r>
      <w:r w:rsidR="00902BC5" w:rsidRPr="007C68F1">
        <w:rPr>
          <w:shd w:val="clear" w:color="auto" w:fill="FFFFFF"/>
        </w:rPr>
        <w:t xml:space="preserve">all of </w:t>
      </w:r>
      <w:r w:rsidR="00A133BC" w:rsidRPr="007C68F1">
        <w:rPr>
          <w:shd w:val="clear" w:color="auto" w:fill="FFFFFF"/>
        </w:rPr>
        <w:t>the PAGA allegations from the operative complaint</w:t>
      </w:r>
      <w:r w:rsidR="00902BC5" w:rsidRPr="007C68F1">
        <w:rPr>
          <w:shd w:val="clear" w:color="auto" w:fill="FFFFFF"/>
        </w:rPr>
        <w:t xml:space="preserve"> </w:t>
      </w:r>
      <w:r w:rsidR="006357D8" w:rsidRPr="007C68F1">
        <w:rPr>
          <w:shd w:val="clear" w:color="auto" w:fill="FFFFFF"/>
        </w:rPr>
        <w:t>on the ground</w:t>
      </w:r>
      <w:r w:rsidR="00902BC5" w:rsidRPr="007C68F1">
        <w:rPr>
          <w:shd w:val="clear" w:color="auto" w:fill="FFFFFF"/>
        </w:rPr>
        <w:t xml:space="preserve"> that the PAGA claims were unmanageable</w:t>
      </w:r>
      <w:r w:rsidR="00FC6290" w:rsidRPr="007C68F1">
        <w:rPr>
          <w:shd w:val="clear" w:color="auto" w:fill="FFFFFF"/>
        </w:rPr>
        <w:t xml:space="preserve">.  </w:t>
      </w:r>
      <w:r w:rsidR="00902BC5" w:rsidRPr="007C68F1">
        <w:rPr>
          <w:shd w:val="clear" w:color="auto" w:fill="FFFFFF"/>
        </w:rPr>
        <w:t>Woodworth</w:t>
      </w:r>
      <w:r w:rsidR="004E0AF6" w:rsidRPr="007C68F1">
        <w:rPr>
          <w:shd w:val="clear" w:color="auto" w:fill="FFFFFF"/>
        </w:rPr>
        <w:t xml:space="preserve"> move</w:t>
      </w:r>
      <w:r w:rsidR="00210627" w:rsidRPr="007C68F1">
        <w:rPr>
          <w:shd w:val="clear" w:color="auto" w:fill="FFFFFF"/>
        </w:rPr>
        <w:t>s</w:t>
      </w:r>
      <w:r w:rsidR="004E0AF6" w:rsidRPr="007C68F1">
        <w:rPr>
          <w:shd w:val="clear" w:color="auto" w:fill="FFFFFF"/>
        </w:rPr>
        <w:t xml:space="preserve"> to dismiss the cross-appeal.  </w:t>
      </w:r>
      <w:r w:rsidR="00902BC5" w:rsidRPr="007C68F1">
        <w:rPr>
          <w:shd w:val="clear" w:color="auto" w:fill="FFFFFF"/>
        </w:rPr>
        <w:t xml:space="preserve">We grant that motion, but we consider the arguments raised in the cross-appeal </w:t>
      </w:r>
      <w:r w:rsidR="00946BB1" w:rsidRPr="007C68F1">
        <w:rPr>
          <w:shd w:val="clear" w:color="auto" w:fill="FFFFFF"/>
        </w:rPr>
        <w:t>to the extent that they</w:t>
      </w:r>
      <w:r w:rsidR="00902BC5" w:rsidRPr="007C68F1">
        <w:rPr>
          <w:shd w:val="clear" w:color="auto" w:fill="FFFFFF"/>
        </w:rPr>
        <w:t xml:space="preserve"> provide alternative grounds to affirm </w:t>
      </w:r>
      <w:r w:rsidR="00946BB1" w:rsidRPr="007C68F1">
        <w:rPr>
          <w:shd w:val="clear" w:color="auto" w:fill="FFFFFF"/>
        </w:rPr>
        <w:t>the erroneous</w:t>
      </w:r>
      <w:r w:rsidR="00902BC5" w:rsidRPr="007C68F1">
        <w:rPr>
          <w:shd w:val="clear" w:color="auto" w:fill="FFFFFF"/>
        </w:rPr>
        <w:t xml:space="preserve"> orders</w:t>
      </w:r>
      <w:r w:rsidR="00946BB1" w:rsidRPr="007C68F1">
        <w:rPr>
          <w:shd w:val="clear" w:color="auto" w:fill="FFFFFF"/>
        </w:rPr>
        <w:t xml:space="preserve"> terminating the PAGA claims</w:t>
      </w:r>
      <w:r w:rsidR="00902BC5" w:rsidRPr="007C68F1">
        <w:rPr>
          <w:shd w:val="clear" w:color="auto" w:fill="FFFFFF"/>
        </w:rPr>
        <w:t>.</w:t>
      </w:r>
      <w:r w:rsidR="00946BB1" w:rsidRPr="007C68F1">
        <w:rPr>
          <w:shd w:val="clear" w:color="auto" w:fill="FFFFFF"/>
        </w:rPr>
        <w:t xml:space="preserve">  </w:t>
      </w:r>
    </w:p>
    <w:p w14:paraId="16AEC07F" w14:textId="77777777" w:rsidR="0019600F" w:rsidRPr="00CD19F0" w:rsidRDefault="00D16B2E" w:rsidP="007D1009">
      <w:pPr>
        <w:tabs>
          <w:tab w:val="left" w:pos="720"/>
          <w:tab w:val="center" w:pos="4680"/>
          <w:tab w:val="left" w:pos="7650"/>
        </w:tabs>
        <w:spacing w:line="480" w:lineRule="auto"/>
        <w:rPr>
          <w:shd w:val="clear" w:color="auto" w:fill="FFFFFF"/>
        </w:rPr>
      </w:pPr>
      <w:r w:rsidRPr="007C68F1">
        <w:rPr>
          <w:shd w:val="clear" w:color="auto" w:fill="FFFFFF"/>
        </w:rPr>
        <w:tab/>
      </w:r>
      <w:r w:rsidR="00946BB1" w:rsidRPr="007C68F1">
        <w:rPr>
          <w:shd w:val="clear" w:color="auto" w:fill="FFFFFF"/>
        </w:rPr>
        <w:t xml:space="preserve">We conclude that </w:t>
      </w:r>
      <w:r w:rsidRPr="007C68F1">
        <w:rPr>
          <w:shd w:val="clear" w:color="auto" w:fill="FFFFFF"/>
        </w:rPr>
        <w:t>the medical center’s manageability arguments</w:t>
      </w:r>
      <w:r w:rsidR="00946BB1" w:rsidRPr="007C68F1">
        <w:rPr>
          <w:shd w:val="clear" w:color="auto" w:fill="FFFFFF"/>
        </w:rPr>
        <w:t xml:space="preserve"> do not</w:t>
      </w:r>
      <w:r w:rsidR="009146C7" w:rsidRPr="007C68F1">
        <w:rPr>
          <w:shd w:val="clear" w:color="auto" w:fill="FFFFFF"/>
        </w:rPr>
        <w:t xml:space="preserve"> provide alternative grounds for affirmance. </w:t>
      </w:r>
      <w:r w:rsidRPr="007C68F1">
        <w:rPr>
          <w:shd w:val="clear" w:color="auto" w:fill="FFFFFF"/>
        </w:rPr>
        <w:t xml:space="preserve"> There is a split in the appellate courts over whether trial courts may strike or dismiss PAGA claims for lack</w:t>
      </w:r>
      <w:r w:rsidRPr="007C68F1">
        <w:rPr>
          <w:shd w:val="clear" w:color="auto" w:fill="FFFFFF"/>
        </w:rPr>
        <w:t xml:space="preserve"> of manageability</w:t>
      </w:r>
      <w:r w:rsidR="00F97DFD">
        <w:rPr>
          <w:shd w:val="clear" w:color="auto" w:fill="FFFFFF"/>
        </w:rPr>
        <w:t>, and we also publish th</w:t>
      </w:r>
      <w:r w:rsidR="008A303E">
        <w:rPr>
          <w:shd w:val="clear" w:color="auto" w:fill="FFFFFF"/>
        </w:rPr>
        <w:t>e relevant</w:t>
      </w:r>
      <w:r w:rsidR="00F97DFD">
        <w:rPr>
          <w:shd w:val="clear" w:color="auto" w:fill="FFFFFF"/>
        </w:rPr>
        <w:t xml:space="preserve"> portion of our discussion to express our agreement with one side</w:t>
      </w:r>
      <w:r w:rsidR="008A303E">
        <w:rPr>
          <w:shd w:val="clear" w:color="auto" w:fill="FFFFFF"/>
        </w:rPr>
        <w:t xml:space="preserve"> of that split</w:t>
      </w:r>
      <w:r w:rsidRPr="007C68F1">
        <w:rPr>
          <w:shd w:val="clear" w:color="auto" w:fill="FFFFFF"/>
        </w:rPr>
        <w:t>.  (</w:t>
      </w:r>
      <w:bookmarkStart w:id="10" w:name="dabmci_a4e6528c1642442a87053829cb36b642"/>
      <w:r w:rsidRPr="007C68F1">
        <w:rPr>
          <w:i/>
          <w:iCs/>
          <w:bdr w:val="none" w:sz="0" w:space="0" w:color="auto" w:frame="1"/>
        </w:rPr>
        <w:t>Wesson v. Staples the Office Superstore, LLC</w:t>
      </w:r>
      <w:r w:rsidRPr="007C68F1">
        <w:t> (2021) 68 Cal.App.5th 746</w:t>
      </w:r>
      <w:r w:rsidR="00AB3517" w:rsidRPr="007C68F1">
        <w:t>, 75</w:t>
      </w:r>
      <w:r w:rsidR="009357D3" w:rsidRPr="007C68F1">
        <w:t>6</w:t>
      </w:r>
      <w:r w:rsidRPr="007C68F1">
        <w:t xml:space="preserve"> (</w:t>
      </w:r>
      <w:r w:rsidRPr="007C68F1">
        <w:rPr>
          <w:i/>
          <w:iCs/>
        </w:rPr>
        <w:t>Wesson</w:t>
      </w:r>
      <w:r w:rsidRPr="007C68F1">
        <w:t>)</w:t>
      </w:r>
      <w:bookmarkEnd w:id="10"/>
      <w:r w:rsidR="00AB3517" w:rsidRPr="007C68F1">
        <w:t xml:space="preserve"> [holding that courts have inherent authority to strike unmanageable PAGA claims]; </w:t>
      </w:r>
      <w:bookmarkStart w:id="11" w:name="dabmci_dfefb80470be48f99be546a8a65ad2bb"/>
      <w:r w:rsidRPr="007C68F1">
        <w:rPr>
          <w:i/>
          <w:iCs/>
          <w:bdr w:val="none" w:sz="0" w:space="0" w:color="auto" w:frame="1"/>
        </w:rPr>
        <w:t>Estrada v. Royalty Carpet Mills, Inc.</w:t>
      </w:r>
      <w:r w:rsidRPr="007C68F1">
        <w:t xml:space="preserve"> (2022) 76 Cal.App.5th 685</w:t>
      </w:r>
      <w:r w:rsidR="009357D3" w:rsidRPr="007C68F1">
        <w:t>, 697</w:t>
      </w:r>
      <w:r w:rsidRPr="007C68F1">
        <w:t xml:space="preserve"> (</w:t>
      </w:r>
      <w:r w:rsidRPr="007C68F1">
        <w:rPr>
          <w:i/>
          <w:iCs/>
        </w:rPr>
        <w:t>Estrada</w:t>
      </w:r>
      <w:r w:rsidRPr="007C68F1">
        <w:t>)</w:t>
      </w:r>
      <w:bookmarkEnd w:id="11"/>
      <w:r w:rsidRPr="007C68F1">
        <w:t>, review granted June 22, 2022, S274340</w:t>
      </w:r>
      <w:r w:rsidR="00AB3517" w:rsidRPr="007C68F1">
        <w:t xml:space="preserve"> [holding that courts cannot strike PAGA claims on the basis of manageability concerns</w:t>
      </w:r>
      <w:r w:rsidR="009357D3" w:rsidRPr="007C68F1">
        <w:t>]</w:t>
      </w:r>
      <w:r w:rsidRPr="007C68F1">
        <w:t>.)</w:t>
      </w:r>
      <w:r w:rsidRPr="007C68F1">
        <w:rPr>
          <w:shd w:val="clear" w:color="auto" w:fill="FFFFFF"/>
        </w:rPr>
        <w:t xml:space="preserve">  </w:t>
      </w:r>
      <w:r w:rsidR="008A303E">
        <w:rPr>
          <w:shd w:val="clear" w:color="auto" w:fill="FFFFFF"/>
        </w:rPr>
        <w:t>W</w:t>
      </w:r>
      <w:r w:rsidR="00701B33">
        <w:rPr>
          <w:shd w:val="clear" w:color="auto" w:fill="FFFFFF"/>
        </w:rPr>
        <w:t>e</w:t>
      </w:r>
      <w:r w:rsidR="00701B33" w:rsidRPr="007C68F1">
        <w:rPr>
          <w:shd w:val="clear" w:color="auto" w:fill="FFFFFF"/>
        </w:rPr>
        <w:t xml:space="preserve"> </w:t>
      </w:r>
      <w:r w:rsidR="009357D3" w:rsidRPr="007C68F1">
        <w:rPr>
          <w:shd w:val="clear" w:color="auto" w:fill="FFFFFF"/>
        </w:rPr>
        <w:t xml:space="preserve">agree with the court in </w:t>
      </w:r>
      <w:bookmarkStart w:id="12" w:name="dabmci_c4db4e6aec2f4d7b97b60ac4e9a47e06"/>
      <w:r w:rsidR="009357D3" w:rsidRPr="007C68F1">
        <w:rPr>
          <w:i/>
          <w:iCs/>
          <w:shd w:val="clear" w:color="auto" w:fill="FFFFFF"/>
        </w:rPr>
        <w:t>Estrada</w:t>
      </w:r>
      <w:bookmarkEnd w:id="12"/>
      <w:r w:rsidR="009357D3" w:rsidRPr="007C68F1">
        <w:rPr>
          <w:shd w:val="clear" w:color="auto" w:fill="FFFFFF"/>
        </w:rPr>
        <w:t xml:space="preserve"> and </w:t>
      </w:r>
      <w:r w:rsidR="009146C7" w:rsidRPr="007C68F1">
        <w:rPr>
          <w:shd w:val="clear" w:color="auto" w:fill="FFFFFF"/>
        </w:rPr>
        <w:t xml:space="preserve">hold that </w:t>
      </w:r>
      <w:r w:rsidR="009146C7" w:rsidRPr="007C68F1">
        <w:rPr>
          <w:bdr w:val="none" w:sz="0" w:space="0" w:color="auto" w:frame="1"/>
        </w:rPr>
        <w:t>tr</w:t>
      </w:r>
      <w:r w:rsidR="009146C7" w:rsidRPr="007C68F1">
        <w:t xml:space="preserve">ial courts may not strike or dismiss a PAGA claim for lack of manageability.  When faced with unwieldy PAGA claims, </w:t>
      </w:r>
      <w:r w:rsidR="006357D8" w:rsidRPr="007C68F1">
        <w:t>trial</w:t>
      </w:r>
      <w:r w:rsidR="009146C7" w:rsidRPr="007C68F1">
        <w:t xml:space="preserve"> courts may limit the scope of the claims or the </w:t>
      </w:r>
      <w:r w:rsidR="009146C7" w:rsidRPr="007C68F1">
        <w:lastRenderedPageBreak/>
        <w:t xml:space="preserve">evidence to be presented at trial but may not prohibit PAGA plaintiffs from presenting their claims entirely.  </w:t>
      </w:r>
    </w:p>
    <w:p w14:paraId="491B8FEB" w14:textId="77777777" w:rsidR="00DD02E2" w:rsidRPr="007C68F1" w:rsidRDefault="00D16B2E" w:rsidP="007D1009">
      <w:pPr>
        <w:keepNext/>
        <w:tabs>
          <w:tab w:val="left" w:pos="720"/>
          <w:tab w:val="center" w:pos="4680"/>
          <w:tab w:val="left" w:pos="7650"/>
        </w:tabs>
        <w:spacing w:line="480" w:lineRule="auto"/>
        <w:jc w:val="center"/>
      </w:pPr>
      <w:r w:rsidRPr="007C68F1">
        <w:t>BACKGROUND</w:t>
      </w:r>
    </w:p>
    <w:p w14:paraId="416D04A9" w14:textId="77777777" w:rsidR="0069089A" w:rsidRPr="007C68F1" w:rsidRDefault="00D16B2E" w:rsidP="007D1009">
      <w:pPr>
        <w:keepNext/>
        <w:tabs>
          <w:tab w:val="left" w:pos="720"/>
          <w:tab w:val="center" w:pos="4680"/>
          <w:tab w:val="left" w:pos="7650"/>
        </w:tabs>
        <w:spacing w:line="480" w:lineRule="auto"/>
        <w:rPr>
          <w:i/>
          <w:iCs/>
        </w:rPr>
      </w:pPr>
      <w:r w:rsidRPr="007C68F1">
        <w:t xml:space="preserve">I.  </w:t>
      </w:r>
      <w:r w:rsidRPr="007C68F1">
        <w:rPr>
          <w:i/>
          <w:iCs/>
        </w:rPr>
        <w:t>The Operative Complaint</w:t>
      </w:r>
    </w:p>
    <w:p w14:paraId="0E589C84" w14:textId="77777777" w:rsidR="00E30C50" w:rsidRPr="007C68F1" w:rsidRDefault="00D16B2E" w:rsidP="007D1009">
      <w:pPr>
        <w:tabs>
          <w:tab w:val="left" w:pos="720"/>
          <w:tab w:val="center" w:pos="4680"/>
          <w:tab w:val="left" w:pos="7650"/>
        </w:tabs>
        <w:spacing w:line="480" w:lineRule="auto"/>
      </w:pPr>
      <w:r w:rsidRPr="007C68F1">
        <w:tab/>
      </w:r>
      <w:r w:rsidR="00EB1C35" w:rsidRPr="007C68F1">
        <w:t>Woodworth’s</w:t>
      </w:r>
      <w:r w:rsidR="007B3C4F" w:rsidRPr="007C68F1">
        <w:t xml:space="preserve"> third amended complaint (TAC) allege</w:t>
      </w:r>
      <w:r w:rsidR="00B6602E" w:rsidRPr="007C68F1">
        <w:t>d</w:t>
      </w:r>
      <w:r w:rsidR="007B3C4F" w:rsidRPr="007C68F1">
        <w:t xml:space="preserve"> </w:t>
      </w:r>
      <w:r w:rsidR="00A917D8" w:rsidRPr="007C68F1">
        <w:t>numerous</w:t>
      </w:r>
      <w:r w:rsidR="007B3C4F" w:rsidRPr="007C68F1">
        <w:t xml:space="preserve"> theories of liability.</w:t>
      </w:r>
      <w:r w:rsidR="00B6602E" w:rsidRPr="007C68F1">
        <w:t xml:space="preserve">  First, Woodworth alleged that the medical center failed to pay</w:t>
      </w:r>
      <w:r w:rsidR="00A61927" w:rsidRPr="007C68F1">
        <w:t xml:space="preserve"> overtime compensation to hourly </w:t>
      </w:r>
      <w:r w:rsidR="00A77E82" w:rsidRPr="007C68F1">
        <w:t xml:space="preserve">nonexempt </w:t>
      </w:r>
      <w:r w:rsidR="00A61927" w:rsidRPr="007C68F1">
        <w:t>employees</w:t>
      </w:r>
      <w:r w:rsidR="00ED6BDC" w:rsidRPr="007C68F1">
        <w:t xml:space="preserve"> for work in excess of eight hours per day</w:t>
      </w:r>
      <w:r w:rsidR="00B6602E" w:rsidRPr="007C68F1">
        <w:t xml:space="preserve">.  </w:t>
      </w:r>
      <w:r w:rsidR="005F1DF3" w:rsidRPr="007C68F1">
        <w:t>E</w:t>
      </w:r>
      <w:r w:rsidR="009653FF" w:rsidRPr="007C68F1">
        <w:t>mployees in the healthcare industry may adopt an AWS</w:t>
      </w:r>
      <w:r w:rsidR="005F1DF3" w:rsidRPr="007C68F1">
        <w:t xml:space="preserve"> consisting</w:t>
      </w:r>
      <w:r w:rsidR="009653FF" w:rsidRPr="007C68F1">
        <w:t xml:space="preserve"> </w:t>
      </w:r>
      <w:r w:rsidR="005F1DF3" w:rsidRPr="007C68F1">
        <w:t>of</w:t>
      </w:r>
      <w:r w:rsidR="009653FF" w:rsidRPr="007C68F1">
        <w:t xml:space="preserve"> </w:t>
      </w:r>
      <w:r w:rsidR="00DC5D34" w:rsidRPr="007C68F1">
        <w:t>10</w:t>
      </w:r>
      <w:r w:rsidR="009653FF" w:rsidRPr="007C68F1">
        <w:t xml:space="preserve">- or 12-hour workdays </w:t>
      </w:r>
      <w:r w:rsidR="005F1DF3" w:rsidRPr="007C68F1">
        <w:t>for which they will not receive overtime pay</w:t>
      </w:r>
      <w:r w:rsidR="009653FF" w:rsidRPr="007C68F1">
        <w:t>.  (</w:t>
      </w:r>
      <w:bookmarkStart w:id="13" w:name="dabmci_503cef2d86f2445bb41fe5359919f132"/>
      <w:r w:rsidR="00B75822" w:rsidRPr="007C68F1">
        <w:t>Cal. Code Regs., tit. 8, § 11050, subd. 3(B)(1), (8)</w:t>
      </w:r>
      <w:bookmarkEnd w:id="13"/>
      <w:r w:rsidR="00B75822" w:rsidRPr="007C68F1">
        <w:t>.)</w:t>
      </w:r>
      <w:r w:rsidR="007831A6" w:rsidRPr="007C68F1">
        <w:t xml:space="preserve">  </w:t>
      </w:r>
      <w:r w:rsidR="00A917D8" w:rsidRPr="007C68F1">
        <w:t>Employees</w:t>
      </w:r>
      <w:r w:rsidR="007A3555" w:rsidRPr="007C68F1">
        <w:t xml:space="preserve"> adopt </w:t>
      </w:r>
      <w:r w:rsidR="00A917D8" w:rsidRPr="007C68F1">
        <w:t>the</w:t>
      </w:r>
      <w:r w:rsidR="007A3555" w:rsidRPr="007C68F1">
        <w:t xml:space="preserve"> AWS through a </w:t>
      </w:r>
      <w:r w:rsidR="006E5E4E" w:rsidRPr="007C68F1">
        <w:t>secret-</w:t>
      </w:r>
      <w:r w:rsidR="007A3555" w:rsidRPr="007C68F1">
        <w:t>ballot</w:t>
      </w:r>
      <w:r w:rsidR="00BF646A" w:rsidRPr="007C68F1">
        <w:t xml:space="preserve"> </w:t>
      </w:r>
      <w:r w:rsidR="007A3555" w:rsidRPr="007C68F1">
        <w:t>election in which at least two-thirds of the affected employees vote in favor of the AWS.  (</w:t>
      </w:r>
      <w:bookmarkStart w:id="14" w:name="dabmci_dfed19e5a7444395b9042f7663dbfbaf"/>
      <w:r w:rsidR="007A3555" w:rsidRPr="007C68F1">
        <w:rPr>
          <w:i/>
          <w:iCs/>
        </w:rPr>
        <w:t>Maldonado</w:t>
      </w:r>
      <w:r w:rsidR="007A3555" w:rsidRPr="007C68F1">
        <w:t xml:space="preserve">, </w:t>
      </w:r>
      <w:r w:rsidR="00492EB3" w:rsidRPr="007C68F1">
        <w:rPr>
          <w:i/>
          <w:iCs/>
        </w:rPr>
        <w:t>supra</w:t>
      </w:r>
      <w:r w:rsidR="00492EB3" w:rsidRPr="007C68F1">
        <w:t xml:space="preserve">, </w:t>
      </w:r>
      <w:r w:rsidR="000C2742">
        <w:t xml:space="preserve">22 Cal.App.5th </w:t>
      </w:r>
      <w:r w:rsidR="007A3555" w:rsidRPr="007C68F1">
        <w:t>at p. 1314</w:t>
      </w:r>
      <w:bookmarkEnd w:id="14"/>
      <w:r w:rsidR="007A3555" w:rsidRPr="007C68F1">
        <w:t xml:space="preserve">.)  </w:t>
      </w:r>
      <w:r w:rsidR="007831A6" w:rsidRPr="007C68F1">
        <w:t xml:space="preserve">According to </w:t>
      </w:r>
      <w:r w:rsidR="002264FE" w:rsidRPr="007C68F1">
        <w:t>Woodworth’s</w:t>
      </w:r>
      <w:r w:rsidR="007831A6" w:rsidRPr="007C68F1">
        <w:t xml:space="preserve"> TAC, the medical center </w:t>
      </w:r>
      <w:r w:rsidR="005F1DF3" w:rsidRPr="007C68F1">
        <w:t>did not comply</w:t>
      </w:r>
      <w:r w:rsidR="007831A6" w:rsidRPr="007C68F1">
        <w:t xml:space="preserve"> with </w:t>
      </w:r>
      <w:r w:rsidR="005F1DF3" w:rsidRPr="007C68F1">
        <w:t xml:space="preserve">all </w:t>
      </w:r>
      <w:r w:rsidR="007831A6" w:rsidRPr="007C68F1">
        <w:t>AWS election procedures</w:t>
      </w:r>
      <w:r w:rsidR="005F1DF3" w:rsidRPr="007C68F1">
        <w:t xml:space="preserve"> when it instituted </w:t>
      </w:r>
      <w:r w:rsidR="00DC5D34" w:rsidRPr="007C68F1">
        <w:t>10</w:t>
      </w:r>
      <w:r w:rsidR="005F1DF3" w:rsidRPr="007C68F1">
        <w:t>- and 12-hour shifts for employees</w:t>
      </w:r>
      <w:r w:rsidR="007831A6" w:rsidRPr="007C68F1">
        <w:t xml:space="preserve">, </w:t>
      </w:r>
      <w:r w:rsidR="005F1DF3" w:rsidRPr="007C68F1">
        <w:t>so the AWS was invalid, and the medical center owed those employees overtime</w:t>
      </w:r>
      <w:r w:rsidR="00F15BB2" w:rsidRPr="007C68F1">
        <w:t xml:space="preserve"> pay</w:t>
      </w:r>
      <w:r w:rsidR="005F1DF3" w:rsidRPr="007C68F1">
        <w:t xml:space="preserve"> for work </w:t>
      </w:r>
      <w:r w:rsidR="00F15BB2" w:rsidRPr="007C68F1">
        <w:t>under the AWS</w:t>
      </w:r>
      <w:r w:rsidR="004B3C46" w:rsidRPr="007C68F1">
        <w:t xml:space="preserve"> (the overtime claim)</w:t>
      </w:r>
      <w:r w:rsidR="005F1DF3" w:rsidRPr="007C68F1">
        <w:t>.</w:t>
      </w:r>
      <w:r w:rsidR="00510928" w:rsidRPr="007C68F1">
        <w:t xml:space="preserve">  </w:t>
      </w:r>
    </w:p>
    <w:p w14:paraId="7879349D" w14:textId="77777777" w:rsidR="00510928" w:rsidRPr="007C68F1" w:rsidRDefault="00D16B2E" w:rsidP="007D1009">
      <w:pPr>
        <w:tabs>
          <w:tab w:val="left" w:pos="720"/>
          <w:tab w:val="center" w:pos="4680"/>
          <w:tab w:val="left" w:pos="7650"/>
        </w:tabs>
        <w:spacing w:line="480" w:lineRule="auto"/>
      </w:pPr>
      <w:r w:rsidRPr="007C68F1">
        <w:tab/>
        <w:t xml:space="preserve">Second, Woodworth alleged that </w:t>
      </w:r>
      <w:r w:rsidR="00C23FF3" w:rsidRPr="007C68F1">
        <w:t xml:space="preserve">the medical center miscalculated overtime </w:t>
      </w:r>
      <w:r w:rsidR="00F125CE" w:rsidRPr="007C68F1">
        <w:t>rate</w:t>
      </w:r>
      <w:r w:rsidR="008E3BAF" w:rsidRPr="007C68F1">
        <w:t>s</w:t>
      </w:r>
      <w:r w:rsidR="00C66A7A" w:rsidRPr="007C68F1">
        <w:t xml:space="preserve"> and </w:t>
      </w:r>
      <w:r w:rsidR="00297D31" w:rsidRPr="007C68F1">
        <w:t xml:space="preserve">premium pay for </w:t>
      </w:r>
      <w:r w:rsidR="00760A1E" w:rsidRPr="007C68F1">
        <w:t xml:space="preserve">missed </w:t>
      </w:r>
      <w:r w:rsidR="00C66A7A" w:rsidRPr="007C68F1">
        <w:t>meal</w:t>
      </w:r>
      <w:r w:rsidR="008C5A4F" w:rsidRPr="007C68F1">
        <w:t xml:space="preserve"> </w:t>
      </w:r>
      <w:r w:rsidR="00297D31" w:rsidRPr="007C68F1">
        <w:t xml:space="preserve">or </w:t>
      </w:r>
      <w:r w:rsidR="008C5A4F" w:rsidRPr="007C68F1">
        <w:t>rest</w:t>
      </w:r>
      <w:r w:rsidR="00C66A7A" w:rsidRPr="007C68F1">
        <w:t xml:space="preserve"> perio</w:t>
      </w:r>
      <w:r w:rsidR="00297D31" w:rsidRPr="007C68F1">
        <w:t xml:space="preserve">ds </w:t>
      </w:r>
      <w:r w:rsidR="00C23FF3" w:rsidRPr="007C68F1">
        <w:t>by failing to include all remuneration in the employees’ regular rate of pay</w:t>
      </w:r>
      <w:r w:rsidR="00D33494" w:rsidRPr="007C68F1">
        <w:t xml:space="preserve"> (the regular rate claim).</w:t>
      </w:r>
      <w:r w:rsidR="00177E6F" w:rsidRPr="007C68F1">
        <w:t xml:space="preserve">  </w:t>
      </w:r>
      <w:r w:rsidR="00186503" w:rsidRPr="007C68F1">
        <w:t>In particular, t</w:t>
      </w:r>
      <w:r w:rsidR="00C23FF3" w:rsidRPr="007C68F1">
        <w:t xml:space="preserve">he medical center allegedly failed to include nondiscretionary bonuses in the employees’ regular rate of pay.  </w:t>
      </w:r>
      <w:r w:rsidR="00042E74" w:rsidRPr="007C68F1">
        <w:t xml:space="preserve">Overtime hours are compensated at either one and one-half times or twice an employee’s </w:t>
      </w:r>
      <w:bookmarkStart w:id="15" w:name="dabmq_2"/>
      <w:r w:rsidR="00042E74" w:rsidRPr="007C68F1">
        <w:t>“regular rate of pay.”</w:t>
      </w:r>
      <w:bookmarkEnd w:id="15"/>
      <w:r w:rsidR="00042E74" w:rsidRPr="007C68F1">
        <w:t xml:space="preserve">  (§ 510, subd. (a).</w:t>
      </w:r>
      <w:r w:rsidR="007D264F">
        <w:t>)</w:t>
      </w:r>
      <w:r w:rsidR="00042E74" w:rsidRPr="007C68F1">
        <w:t xml:space="preserve">  If an employer fails to provide a </w:t>
      </w:r>
      <w:r w:rsidR="00042E74" w:rsidRPr="007C68F1">
        <w:lastRenderedPageBreak/>
        <w:t xml:space="preserve">meal or rest period as required by law, it must pay the employee an additional hour at the employee’s </w:t>
      </w:r>
      <w:bookmarkStart w:id="16" w:name="dabmq_3"/>
      <w:r w:rsidR="00042E74" w:rsidRPr="007C68F1">
        <w:t>“regular rate of compensation.”</w:t>
      </w:r>
      <w:bookmarkEnd w:id="16"/>
      <w:r w:rsidR="00042E74" w:rsidRPr="007C68F1">
        <w:t xml:space="preserve">  (§ 226.7, subd. (c).)</w:t>
      </w:r>
    </w:p>
    <w:p w14:paraId="5CE461DF" w14:textId="77777777" w:rsidR="00274D75" w:rsidRPr="007C68F1" w:rsidRDefault="00D16B2E" w:rsidP="007D1009">
      <w:pPr>
        <w:tabs>
          <w:tab w:val="left" w:pos="720"/>
          <w:tab w:val="center" w:pos="4680"/>
          <w:tab w:val="left" w:pos="7650"/>
        </w:tabs>
        <w:spacing w:line="480" w:lineRule="auto"/>
      </w:pPr>
      <w:r w:rsidRPr="007C68F1">
        <w:tab/>
        <w:t>Third, Woodworth alleged that the medical center round</w:t>
      </w:r>
      <w:r w:rsidR="002A584F" w:rsidRPr="007C68F1">
        <w:t xml:space="preserve">ed the number of hours that employees worked </w:t>
      </w:r>
      <w:r w:rsidRPr="007C68F1">
        <w:t xml:space="preserve">to the nearest tenth of an hour.  She alleged that </w:t>
      </w:r>
      <w:r w:rsidR="000078C4" w:rsidRPr="007C68F1">
        <w:t xml:space="preserve">as a result of </w:t>
      </w:r>
      <w:r w:rsidR="006E5E4E" w:rsidRPr="007C68F1">
        <w:t xml:space="preserve">the </w:t>
      </w:r>
      <w:r w:rsidR="000078C4" w:rsidRPr="007C68F1">
        <w:t xml:space="preserve">rounding policy, </w:t>
      </w:r>
      <w:r w:rsidRPr="007C68F1">
        <w:t xml:space="preserve">the medical center </w:t>
      </w:r>
      <w:r w:rsidR="002A584F" w:rsidRPr="007C68F1">
        <w:t xml:space="preserve">systematically </w:t>
      </w:r>
      <w:r w:rsidRPr="007C68F1">
        <w:t xml:space="preserve">underpaid </w:t>
      </w:r>
      <w:r w:rsidR="00C81954" w:rsidRPr="007C68F1">
        <w:t xml:space="preserve">her and </w:t>
      </w:r>
      <w:r w:rsidRPr="007C68F1">
        <w:t xml:space="preserve">the </w:t>
      </w:r>
      <w:r w:rsidR="00A917D8" w:rsidRPr="007C68F1">
        <w:t>other nonexempt employees</w:t>
      </w:r>
      <w:r w:rsidR="000078C4" w:rsidRPr="007C68F1">
        <w:t xml:space="preserve"> (the rounding claim)</w:t>
      </w:r>
      <w:r w:rsidRPr="007C68F1">
        <w:t xml:space="preserve">. </w:t>
      </w:r>
    </w:p>
    <w:p w14:paraId="408B8526" w14:textId="77777777" w:rsidR="00435610" w:rsidRPr="007C68F1" w:rsidRDefault="00D16B2E" w:rsidP="007D1009">
      <w:pPr>
        <w:tabs>
          <w:tab w:val="left" w:pos="720"/>
          <w:tab w:val="center" w:pos="4680"/>
          <w:tab w:val="left" w:pos="7650"/>
        </w:tabs>
        <w:spacing w:line="480" w:lineRule="auto"/>
      </w:pPr>
      <w:r w:rsidRPr="007C68F1">
        <w:tab/>
      </w:r>
      <w:r w:rsidR="00B57454" w:rsidRPr="007C68F1">
        <w:t xml:space="preserve">Fourth, Woodworth alleged that the medical center failed to </w:t>
      </w:r>
      <w:r w:rsidR="00B123EE" w:rsidRPr="007C68F1">
        <w:t>provide</w:t>
      </w:r>
      <w:r w:rsidR="00B57454" w:rsidRPr="007C68F1">
        <w:t xml:space="preserve"> a third rest period for employees who worked 10 hours or more per shift.</w:t>
      </w:r>
      <w:r w:rsidR="00B123EE" w:rsidRPr="007C68F1">
        <w:t xml:space="preserve">  </w:t>
      </w:r>
      <w:r w:rsidR="00F54EF1" w:rsidRPr="007C68F1">
        <w:t xml:space="preserve">The medical center allegedly failed to implement a relief system that would enable employees to take </w:t>
      </w:r>
      <w:r w:rsidR="00DF3E6B" w:rsidRPr="007C68F1">
        <w:t>mandated</w:t>
      </w:r>
      <w:r w:rsidR="00F54EF1" w:rsidRPr="007C68F1">
        <w:t xml:space="preserve"> rest periods</w:t>
      </w:r>
      <w:r w:rsidR="00BB5779" w:rsidRPr="007C68F1">
        <w:t xml:space="preserve"> (the rest period claim)</w:t>
      </w:r>
      <w:r w:rsidR="00F54EF1" w:rsidRPr="007C68F1">
        <w:t>.</w:t>
      </w:r>
    </w:p>
    <w:p w14:paraId="437FD42D" w14:textId="77777777" w:rsidR="00D33494" w:rsidRPr="007C68F1" w:rsidRDefault="00D16B2E" w:rsidP="007D1009">
      <w:pPr>
        <w:tabs>
          <w:tab w:val="left" w:pos="720"/>
          <w:tab w:val="center" w:pos="4680"/>
          <w:tab w:val="left" w:pos="7650"/>
        </w:tabs>
        <w:spacing w:line="480" w:lineRule="auto"/>
      </w:pPr>
      <w:r w:rsidRPr="007C68F1">
        <w:tab/>
      </w:r>
      <w:r w:rsidR="00CC0CE9" w:rsidRPr="007C68F1">
        <w:t>Fifth</w:t>
      </w:r>
      <w:r w:rsidRPr="007C68F1">
        <w:t xml:space="preserve">, Woodworth alleged that the medical center failed to </w:t>
      </w:r>
      <w:r w:rsidR="00297D31" w:rsidRPr="007C68F1">
        <w:t>pay empl</w:t>
      </w:r>
      <w:r w:rsidR="00A605DF" w:rsidRPr="007C68F1">
        <w:t xml:space="preserve">oyees </w:t>
      </w:r>
      <w:r w:rsidR="00297D31" w:rsidRPr="007C68F1">
        <w:t>all wages due</w:t>
      </w:r>
      <w:r w:rsidR="00A605DF" w:rsidRPr="007C68F1">
        <w:t>, or failed to pay them</w:t>
      </w:r>
      <w:r w:rsidR="00297D31" w:rsidRPr="007C68F1">
        <w:t xml:space="preserve"> </w:t>
      </w:r>
      <w:r w:rsidR="00A605DF" w:rsidRPr="007C68F1">
        <w:t xml:space="preserve">in a timely manner, when </w:t>
      </w:r>
      <w:r w:rsidR="00A917D8" w:rsidRPr="007C68F1">
        <w:t>the employees</w:t>
      </w:r>
      <w:r w:rsidRPr="007C68F1">
        <w:t xml:space="preserve"> separated from the medical center</w:t>
      </w:r>
      <w:r w:rsidR="0055469F" w:rsidRPr="007C68F1">
        <w:t xml:space="preserve">.  She sought penalties for those </w:t>
      </w:r>
      <w:r w:rsidR="00676C85" w:rsidRPr="007C68F1">
        <w:t xml:space="preserve">alleged </w:t>
      </w:r>
      <w:bookmarkStart w:id="17" w:name="dabmq_4"/>
      <w:r w:rsidR="00676C85" w:rsidRPr="007C68F1">
        <w:t>“delays in the payment of end-of-employment wages,”</w:t>
      </w:r>
      <w:bookmarkEnd w:id="17"/>
      <w:r w:rsidR="00676C85" w:rsidRPr="007C68F1">
        <w:t xml:space="preserve"> which are </w:t>
      </w:r>
      <w:bookmarkStart w:id="18" w:name="dabmq_5"/>
      <w:r w:rsidR="00676C85" w:rsidRPr="007C68F1">
        <w:t>“commonly referred to as ‘waiting time penalties’”</w:t>
      </w:r>
      <w:bookmarkEnd w:id="18"/>
      <w:r w:rsidR="00676C85" w:rsidRPr="007C68F1">
        <w:t xml:space="preserve"> (the </w:t>
      </w:r>
      <w:r w:rsidRPr="007C68F1">
        <w:t>waiting time claim).</w:t>
      </w:r>
      <w:r w:rsidR="00676C85" w:rsidRPr="007C68F1">
        <w:t xml:space="preserve">  (</w:t>
      </w:r>
      <w:bookmarkStart w:id="19" w:name="dabmci_afed05e2b7984a4ca13760aa98aacf21"/>
      <w:r w:rsidR="00676C85" w:rsidRPr="007C68F1">
        <w:rPr>
          <w:i/>
          <w:iCs/>
        </w:rPr>
        <w:t>Naranjo v. Spectrum Security Services, Inc.</w:t>
      </w:r>
      <w:r w:rsidR="00676C85" w:rsidRPr="007C68F1">
        <w:t xml:space="preserve"> (2022) </w:t>
      </w:r>
      <w:r w:rsidR="00444A5F" w:rsidRPr="007C68F1">
        <w:t xml:space="preserve">13 </w:t>
      </w:r>
      <w:r w:rsidR="00676C85" w:rsidRPr="007C68F1">
        <w:t>Cal.5th</w:t>
      </w:r>
      <w:r w:rsidR="00444A5F" w:rsidRPr="007C68F1">
        <w:t xml:space="preserve"> 93</w:t>
      </w:r>
      <w:r w:rsidR="00676C85" w:rsidRPr="007C68F1">
        <w:t>,</w:t>
      </w:r>
      <w:r w:rsidR="00444A5F" w:rsidRPr="007C68F1">
        <w:t xml:space="preserve"> 106</w:t>
      </w:r>
      <w:r w:rsidR="00676C85" w:rsidRPr="007C68F1">
        <w:t xml:space="preserve"> </w:t>
      </w:r>
      <w:r w:rsidR="00660191" w:rsidRPr="007C68F1">
        <w:t>(</w:t>
      </w:r>
      <w:r w:rsidR="00660191" w:rsidRPr="007C68F1">
        <w:rPr>
          <w:i/>
          <w:iCs/>
        </w:rPr>
        <w:t>Naranjo</w:t>
      </w:r>
      <w:r w:rsidR="00660191" w:rsidRPr="007C68F1">
        <w:t>)</w:t>
      </w:r>
      <w:bookmarkEnd w:id="19"/>
      <w:r w:rsidR="00676C85" w:rsidRPr="007C68F1">
        <w:t>.)</w:t>
      </w:r>
    </w:p>
    <w:p w14:paraId="19FBA63B" w14:textId="77777777" w:rsidR="007B59BE" w:rsidRPr="007C68F1" w:rsidRDefault="00D16B2E" w:rsidP="007D1009">
      <w:pPr>
        <w:tabs>
          <w:tab w:val="left" w:pos="720"/>
          <w:tab w:val="center" w:pos="4680"/>
          <w:tab w:val="left" w:pos="7650"/>
        </w:tabs>
        <w:spacing w:line="480" w:lineRule="auto"/>
      </w:pPr>
      <w:r w:rsidRPr="007C68F1">
        <w:tab/>
      </w:r>
      <w:r w:rsidR="00401CA1" w:rsidRPr="007C68F1">
        <w:t>And s</w:t>
      </w:r>
      <w:r w:rsidR="00CC0CE9" w:rsidRPr="007C68F1">
        <w:t>ixth</w:t>
      </w:r>
      <w:r w:rsidRPr="007C68F1">
        <w:t xml:space="preserve">, </w:t>
      </w:r>
      <w:r w:rsidR="00A6492B" w:rsidRPr="007C68F1">
        <w:t xml:space="preserve">Woodworth alleged that </w:t>
      </w:r>
      <w:r w:rsidRPr="007C68F1">
        <w:t>the medical center failed to p</w:t>
      </w:r>
      <w:r w:rsidRPr="007C68F1">
        <w:t xml:space="preserve">rovide employees with accurate itemized wage statements.  The wage statements allegedly were improper in a number of respects, including by failing to show </w:t>
      </w:r>
      <w:bookmarkStart w:id="20" w:name="dabmq_6"/>
      <w:r w:rsidRPr="007C68F1">
        <w:t>“total hours worked</w:t>
      </w:r>
      <w:r w:rsidR="00A6492B" w:rsidRPr="007C68F1">
        <w:t xml:space="preserve"> by the employee[s</w:t>
      </w:r>
      <w:r w:rsidR="00044933" w:rsidRPr="007C68F1">
        <w:t>]”</w:t>
      </w:r>
      <w:bookmarkEnd w:id="20"/>
      <w:r w:rsidR="00044933" w:rsidRPr="007C68F1">
        <w:t xml:space="preserve"> (the wage statement claim).</w:t>
      </w:r>
      <w:r w:rsidR="00A6492B" w:rsidRPr="007C68F1">
        <w:t xml:space="preserve">  (§ 226, subd. (a).)  </w:t>
      </w:r>
    </w:p>
    <w:p w14:paraId="6624DDC7" w14:textId="77777777" w:rsidR="0015177A" w:rsidRPr="007C68F1" w:rsidRDefault="00D16B2E" w:rsidP="007D1009">
      <w:pPr>
        <w:tabs>
          <w:tab w:val="left" w:pos="720"/>
          <w:tab w:val="center" w:pos="4680"/>
          <w:tab w:val="left" w:pos="7650"/>
        </w:tabs>
        <w:spacing w:line="480" w:lineRule="auto"/>
      </w:pPr>
      <w:r w:rsidRPr="007C68F1">
        <w:tab/>
        <w:t>On the b</w:t>
      </w:r>
      <w:r w:rsidRPr="007C68F1">
        <w:t>asis of the foregoing allegations, the TAC alleged</w:t>
      </w:r>
      <w:r w:rsidR="00186503" w:rsidRPr="007C68F1">
        <w:t xml:space="preserve"> </w:t>
      </w:r>
      <w:r w:rsidRPr="007C68F1">
        <w:t>seven</w:t>
      </w:r>
      <w:r w:rsidR="00186503" w:rsidRPr="007C68F1">
        <w:t xml:space="preserve"> </w:t>
      </w:r>
      <w:r w:rsidR="00EF0808" w:rsidRPr="007C68F1">
        <w:t xml:space="preserve">overlapping </w:t>
      </w:r>
      <w:r w:rsidRPr="007C68F1">
        <w:t>causes of action</w:t>
      </w:r>
      <w:r w:rsidR="008536C0" w:rsidRPr="007C68F1">
        <w:t>, styled as follows</w:t>
      </w:r>
      <w:r w:rsidRPr="007C68F1">
        <w:t>:</w:t>
      </w:r>
      <w:r w:rsidR="008E2667" w:rsidRPr="007C68F1">
        <w:t xml:space="preserve"> </w:t>
      </w:r>
      <w:r w:rsidR="006E5E4E" w:rsidRPr="007C68F1">
        <w:t xml:space="preserve"> </w:t>
      </w:r>
      <w:r w:rsidR="008E2667" w:rsidRPr="007C68F1">
        <w:t>(1)</w:t>
      </w:r>
      <w:r w:rsidR="00492EB3" w:rsidRPr="007C68F1">
        <w:t xml:space="preserve"> </w:t>
      </w:r>
      <w:r w:rsidR="00047F4B" w:rsidRPr="007C68F1">
        <w:t>violation</w:t>
      </w:r>
      <w:r w:rsidR="00795A8F" w:rsidRPr="007C68F1">
        <w:t>s</w:t>
      </w:r>
      <w:r w:rsidR="00047F4B" w:rsidRPr="007C68F1">
        <w:t xml:space="preserve"> of the unfair competition law (UCL) </w:t>
      </w:r>
      <w:r w:rsidR="00047F4B" w:rsidRPr="007C68F1">
        <w:lastRenderedPageBreak/>
        <w:t>(</w:t>
      </w:r>
      <w:bookmarkStart w:id="21" w:name="dabmci_9b8c18c135f64fb0ad38429075937ba1"/>
      <w:r w:rsidR="00047F4B" w:rsidRPr="007C68F1">
        <w:t>Bus. &amp; Prof. Code, § 17200</w:t>
      </w:r>
      <w:bookmarkEnd w:id="21"/>
      <w:r w:rsidR="00047F4B" w:rsidRPr="007C68F1">
        <w:t xml:space="preserve"> et seq.); (2)</w:t>
      </w:r>
      <w:r w:rsidR="00492EB3" w:rsidRPr="007C68F1">
        <w:t xml:space="preserve"> </w:t>
      </w:r>
      <w:r w:rsidR="00EF0808" w:rsidRPr="007C68F1">
        <w:t>recovery of unpaid wages and penalties under numerous Labor Code sections</w:t>
      </w:r>
      <w:r w:rsidR="00A605DF" w:rsidRPr="007C68F1">
        <w:t xml:space="preserve"> (</w:t>
      </w:r>
      <w:r w:rsidR="00495598" w:rsidRPr="007C68F1">
        <w:t>§§ 204, 206, 218, 226, 510, 511, 1194, 1198)</w:t>
      </w:r>
      <w:r w:rsidR="00EF0808" w:rsidRPr="007C68F1">
        <w:t>; (3)</w:t>
      </w:r>
      <w:r w:rsidR="005605E9" w:rsidRPr="007C68F1">
        <w:t xml:space="preserve"> </w:t>
      </w:r>
      <w:r w:rsidR="00EF0808" w:rsidRPr="007C68F1">
        <w:t>violation of section</w:t>
      </w:r>
      <w:r w:rsidR="00A605DF" w:rsidRPr="007C68F1">
        <w:t>s 20</w:t>
      </w:r>
      <w:r w:rsidR="00495598" w:rsidRPr="007C68F1">
        <w:t>1</w:t>
      </w:r>
      <w:r w:rsidR="00A605DF" w:rsidRPr="007C68F1">
        <w:t xml:space="preserve"> through </w:t>
      </w:r>
      <w:r w:rsidR="00EF0808" w:rsidRPr="007C68F1">
        <w:t>20</w:t>
      </w:r>
      <w:r w:rsidR="00A605DF" w:rsidRPr="007C68F1">
        <w:t>3</w:t>
      </w:r>
      <w:r w:rsidR="00EF0808" w:rsidRPr="007C68F1">
        <w:t xml:space="preserve">, requiring payment of all wages due upon separation; </w:t>
      </w:r>
      <w:r w:rsidR="00AF2E89" w:rsidRPr="007C68F1">
        <w:t>(</w:t>
      </w:r>
      <w:r w:rsidRPr="007C68F1">
        <w:t>4</w:t>
      </w:r>
      <w:r w:rsidR="00AF2E89" w:rsidRPr="007C68F1">
        <w:t>)</w:t>
      </w:r>
      <w:r w:rsidR="005605E9" w:rsidRPr="007C68F1">
        <w:t xml:space="preserve"> </w:t>
      </w:r>
      <w:r w:rsidR="00AF2E89" w:rsidRPr="007C68F1">
        <w:t>failure to provide accurate itemized wage statements</w:t>
      </w:r>
      <w:r w:rsidR="00495598" w:rsidRPr="007C68F1">
        <w:t xml:space="preserve"> (§ 226)</w:t>
      </w:r>
      <w:r w:rsidR="00AF2E89" w:rsidRPr="007C68F1">
        <w:t>; (</w:t>
      </w:r>
      <w:r w:rsidRPr="007C68F1">
        <w:t>5)</w:t>
      </w:r>
      <w:r w:rsidR="005605E9" w:rsidRPr="007C68F1">
        <w:t xml:space="preserve"> </w:t>
      </w:r>
      <w:r w:rsidR="00AF2E89" w:rsidRPr="007C68F1">
        <w:t>failure to provide rest periods</w:t>
      </w:r>
      <w:r w:rsidR="00FB318D" w:rsidRPr="007C68F1">
        <w:t xml:space="preserve"> (§ 226.7)</w:t>
      </w:r>
      <w:r w:rsidR="00AF2E89" w:rsidRPr="007C68F1">
        <w:t>; (</w:t>
      </w:r>
      <w:r w:rsidRPr="007C68F1">
        <w:t>6</w:t>
      </w:r>
      <w:r w:rsidR="00AF2E89" w:rsidRPr="007C68F1">
        <w:t>)</w:t>
      </w:r>
      <w:r w:rsidR="005605E9" w:rsidRPr="007C68F1">
        <w:t xml:space="preserve"> </w:t>
      </w:r>
      <w:r w:rsidR="00AF2E89" w:rsidRPr="007C68F1">
        <w:t xml:space="preserve">failure to pay all wages </w:t>
      </w:r>
      <w:r w:rsidR="006E5E4E" w:rsidRPr="007C68F1">
        <w:t>because of</w:t>
      </w:r>
      <w:r w:rsidR="008536C0" w:rsidRPr="007C68F1">
        <w:t xml:space="preserve"> illegal rounding</w:t>
      </w:r>
      <w:r w:rsidR="00FB318D" w:rsidRPr="007C68F1">
        <w:t xml:space="preserve"> </w:t>
      </w:r>
      <w:r w:rsidR="006E5E4E" w:rsidRPr="007C68F1">
        <w:t>(§§ </w:t>
      </w:r>
      <w:r w:rsidR="00FB318D" w:rsidRPr="007C68F1">
        <w:t xml:space="preserve">510, 1194, 1197, 1198; </w:t>
      </w:r>
      <w:bookmarkStart w:id="22" w:name="dabmci_ba93aac64958469e8b90bdd963f11d23"/>
      <w:r w:rsidR="00FB318D" w:rsidRPr="007C68F1">
        <w:t>Cal. Code Reg</w:t>
      </w:r>
      <w:r w:rsidR="008536C0" w:rsidRPr="007C68F1">
        <w:t>s</w:t>
      </w:r>
      <w:r w:rsidR="00FB318D" w:rsidRPr="007C68F1">
        <w:t>.</w:t>
      </w:r>
      <w:r w:rsidR="005A77C0" w:rsidRPr="007C68F1">
        <w:t>, tit. 8, § 11000(2)</w:t>
      </w:r>
      <w:bookmarkEnd w:id="22"/>
      <w:r w:rsidR="00FB318D" w:rsidRPr="007C68F1">
        <w:t>)</w:t>
      </w:r>
      <w:r w:rsidR="00AF2E89" w:rsidRPr="007C68F1">
        <w:t>; and (</w:t>
      </w:r>
      <w:r w:rsidRPr="007C68F1">
        <w:t>7</w:t>
      </w:r>
      <w:r w:rsidR="00AF2E89" w:rsidRPr="007C68F1">
        <w:t>)</w:t>
      </w:r>
      <w:r w:rsidR="005605E9" w:rsidRPr="007C68F1">
        <w:t xml:space="preserve"> </w:t>
      </w:r>
      <w:r w:rsidR="00AF2E89" w:rsidRPr="007C68F1">
        <w:t>violation</w:t>
      </w:r>
      <w:r w:rsidR="00795A8F" w:rsidRPr="007C68F1">
        <w:t>s</w:t>
      </w:r>
      <w:r w:rsidR="00AF2E89" w:rsidRPr="007C68F1">
        <w:t xml:space="preserve"> of </w:t>
      </w:r>
      <w:r w:rsidR="00795A8F" w:rsidRPr="007C68F1">
        <w:t>PAGA</w:t>
      </w:r>
      <w:r w:rsidR="00D80878" w:rsidRPr="007C68F1">
        <w:t>.</w:t>
      </w:r>
      <w:r w:rsidR="00D10806" w:rsidRPr="007C68F1">
        <w:t xml:space="preserve">  The TAC also alleged a cause of action for failure to provide meal periods, but Woodworth does not challenge the court’s ruling granting summary adjudication for the medical center on that cause of action</w:t>
      </w:r>
      <w:r w:rsidRPr="007C68F1">
        <w:t>.</w:t>
      </w:r>
    </w:p>
    <w:p w14:paraId="2F5D0BE9" w14:textId="77777777" w:rsidR="0069089A" w:rsidRPr="007C68F1" w:rsidRDefault="00D16B2E" w:rsidP="007D1009">
      <w:pPr>
        <w:keepNext/>
        <w:tabs>
          <w:tab w:val="left" w:pos="720"/>
          <w:tab w:val="center" w:pos="4680"/>
          <w:tab w:val="left" w:pos="7650"/>
        </w:tabs>
        <w:spacing w:line="480" w:lineRule="auto"/>
      </w:pPr>
      <w:r w:rsidRPr="007C68F1">
        <w:t xml:space="preserve">II.  </w:t>
      </w:r>
      <w:r w:rsidRPr="007C68F1">
        <w:rPr>
          <w:i/>
          <w:iCs/>
        </w:rPr>
        <w:t>The Motions and Rulings at Issue</w:t>
      </w:r>
    </w:p>
    <w:p w14:paraId="1F9EC3B6" w14:textId="77777777" w:rsidR="00B13923" w:rsidRPr="007C68F1" w:rsidRDefault="00D16B2E" w:rsidP="007D1009">
      <w:pPr>
        <w:tabs>
          <w:tab w:val="left" w:pos="720"/>
          <w:tab w:val="center" w:pos="4680"/>
          <w:tab w:val="left" w:pos="7650"/>
        </w:tabs>
        <w:spacing w:line="480" w:lineRule="auto"/>
      </w:pPr>
      <w:r w:rsidRPr="007C68F1">
        <w:tab/>
        <w:t>Woodworth</w:t>
      </w:r>
      <w:r w:rsidRPr="007C68F1">
        <w:t xml:space="preserve"> </w:t>
      </w:r>
      <w:r w:rsidR="00A016C2" w:rsidRPr="007C68F1">
        <w:t>challenge</w:t>
      </w:r>
      <w:r w:rsidR="00D10806" w:rsidRPr="007C68F1">
        <w:t>s</w:t>
      </w:r>
      <w:r w:rsidRPr="007C68F1">
        <w:t xml:space="preserve"> the court’s ruling on </w:t>
      </w:r>
      <w:r w:rsidR="007C5CA3" w:rsidRPr="007C68F1">
        <w:t xml:space="preserve">six </w:t>
      </w:r>
      <w:r w:rsidRPr="007C68F1">
        <w:t>motions</w:t>
      </w:r>
      <w:r w:rsidR="007C5CA3" w:rsidRPr="007C68F1">
        <w:t xml:space="preserve"> between November 2018 and May 2019.  In </w:t>
      </w:r>
      <w:r w:rsidR="00807DB6" w:rsidRPr="007C68F1">
        <w:t>the medical center’s</w:t>
      </w:r>
      <w:r w:rsidR="007C5CA3" w:rsidRPr="007C68F1">
        <w:t xml:space="preserve"> cross-appeal, </w:t>
      </w:r>
      <w:r w:rsidR="00807DB6" w:rsidRPr="007C68F1">
        <w:t>it</w:t>
      </w:r>
      <w:r w:rsidR="007C5CA3" w:rsidRPr="007C68F1">
        <w:t xml:space="preserve"> challenges the court’s ruling on one motion</w:t>
      </w:r>
      <w:r w:rsidR="00E71842" w:rsidRPr="007C68F1">
        <w:t xml:space="preserve"> </w:t>
      </w:r>
      <w:r w:rsidR="00C43EFB" w:rsidRPr="007C68F1">
        <w:t>during that period</w:t>
      </w:r>
      <w:r w:rsidR="007C5CA3" w:rsidRPr="007C68F1">
        <w:t xml:space="preserve">.  </w:t>
      </w:r>
      <w:r w:rsidR="0054369D" w:rsidRPr="007C68F1">
        <w:t>For now, w</w:t>
      </w:r>
      <w:r w:rsidR="00E71842" w:rsidRPr="007C68F1">
        <w:t>e</w:t>
      </w:r>
      <w:r w:rsidR="007C5CA3" w:rsidRPr="007C68F1">
        <w:t xml:space="preserve"> </w:t>
      </w:r>
      <w:r w:rsidR="0069089A" w:rsidRPr="007C68F1">
        <w:t xml:space="preserve">briefly </w:t>
      </w:r>
      <w:r w:rsidR="007C5CA3" w:rsidRPr="007C68F1">
        <w:t xml:space="preserve">describe the </w:t>
      </w:r>
      <w:r w:rsidR="0069089A" w:rsidRPr="007C68F1">
        <w:t xml:space="preserve">relevant motions and </w:t>
      </w:r>
      <w:r w:rsidR="00807DB6" w:rsidRPr="007C68F1">
        <w:t xml:space="preserve">challenged </w:t>
      </w:r>
      <w:r w:rsidR="007C5CA3" w:rsidRPr="007C68F1">
        <w:t>rulings</w:t>
      </w:r>
      <w:r w:rsidR="0054369D" w:rsidRPr="007C68F1">
        <w:t xml:space="preserve">.  </w:t>
      </w:r>
      <w:r w:rsidR="0069089A" w:rsidRPr="007C68F1">
        <w:t xml:space="preserve">In the </w:t>
      </w:r>
      <w:r w:rsidR="00D10806" w:rsidRPr="007C68F1">
        <w:t>d</w:t>
      </w:r>
      <w:r w:rsidR="00583D75" w:rsidRPr="007C68F1">
        <w:t xml:space="preserve">iscussion section, </w:t>
      </w:r>
      <w:r w:rsidR="00583D75" w:rsidRPr="007C68F1">
        <w:rPr>
          <w:i/>
          <w:iCs/>
        </w:rPr>
        <w:t>post</w:t>
      </w:r>
      <w:r w:rsidR="0069089A" w:rsidRPr="007C68F1">
        <w:t xml:space="preserve">, we take each motion in turn, providing </w:t>
      </w:r>
      <w:r w:rsidR="00583D75" w:rsidRPr="007C68F1">
        <w:t>more</w:t>
      </w:r>
      <w:r w:rsidR="0069089A" w:rsidRPr="007C68F1">
        <w:t xml:space="preserve"> background and</w:t>
      </w:r>
      <w:r w:rsidR="0054369D" w:rsidRPr="007C68F1">
        <w:t xml:space="preserve"> </w:t>
      </w:r>
      <w:r w:rsidR="00E71842" w:rsidRPr="007C68F1">
        <w:t>review</w:t>
      </w:r>
      <w:r w:rsidR="0069089A" w:rsidRPr="007C68F1">
        <w:t>ing</w:t>
      </w:r>
      <w:r w:rsidR="007C5CA3" w:rsidRPr="007C68F1">
        <w:t xml:space="preserve"> the parties’ evidence and arguments in</w:t>
      </w:r>
      <w:r w:rsidR="0069089A" w:rsidRPr="007C68F1">
        <w:t xml:space="preserve"> </w:t>
      </w:r>
      <w:r w:rsidR="007C5CA3" w:rsidRPr="007C68F1">
        <w:t>detail</w:t>
      </w:r>
      <w:r w:rsidR="00807DB6" w:rsidRPr="007C68F1">
        <w:t>.</w:t>
      </w:r>
    </w:p>
    <w:p w14:paraId="28C6DD55" w14:textId="77777777" w:rsidR="00E30C50" w:rsidRPr="007C68F1" w:rsidRDefault="00D16B2E" w:rsidP="007D1009">
      <w:pPr>
        <w:tabs>
          <w:tab w:val="left" w:pos="720"/>
          <w:tab w:val="center" w:pos="4680"/>
          <w:tab w:val="left" w:pos="7650"/>
        </w:tabs>
        <w:spacing w:line="480" w:lineRule="auto"/>
      </w:pPr>
      <w:r w:rsidRPr="007C68F1">
        <w:tab/>
      </w:r>
      <w:r w:rsidR="00807DB6" w:rsidRPr="007C68F1">
        <w:t xml:space="preserve">First, the medical center moved for summary adjudication </w:t>
      </w:r>
      <w:r w:rsidR="0050174F" w:rsidRPr="007C68F1">
        <w:t>on the rounding claim.</w:t>
      </w:r>
      <w:r w:rsidR="00E34AAA" w:rsidRPr="007C68F1">
        <w:t xml:space="preserve">  </w:t>
      </w:r>
      <w:r w:rsidR="002C74F4" w:rsidRPr="007C68F1">
        <w:t>In November 2018, t</w:t>
      </w:r>
      <w:r w:rsidR="00E34AAA" w:rsidRPr="007C68F1">
        <w:t>he court granted that motion as to the stand</w:t>
      </w:r>
      <w:r w:rsidR="00131B24" w:rsidRPr="007C68F1">
        <w:t>-</w:t>
      </w:r>
      <w:r w:rsidR="00E34AAA" w:rsidRPr="007C68F1">
        <w:t xml:space="preserve">alone cause of action alleging rounding, as well as </w:t>
      </w:r>
      <w:r w:rsidR="00131B24" w:rsidRPr="007C68F1">
        <w:t xml:space="preserve">to </w:t>
      </w:r>
      <w:r w:rsidR="00E34AAA" w:rsidRPr="007C68F1">
        <w:t>the UCL</w:t>
      </w:r>
      <w:r w:rsidR="00131B24" w:rsidRPr="007C68F1">
        <w:t xml:space="preserve"> cause of action, the </w:t>
      </w:r>
      <w:r w:rsidR="00E34AAA" w:rsidRPr="007C68F1">
        <w:t>PAGA cause of action,</w:t>
      </w:r>
      <w:r w:rsidR="00131B24" w:rsidRPr="007C68F1">
        <w:t xml:space="preserve"> and the cause of action for recovery of unpaid wages,</w:t>
      </w:r>
      <w:r w:rsidR="00E34AAA" w:rsidRPr="007C68F1">
        <w:t xml:space="preserve"> to the extent that they alleged illegal rounding.</w:t>
      </w:r>
    </w:p>
    <w:p w14:paraId="7025D2E7" w14:textId="77777777" w:rsidR="00131B24" w:rsidRPr="007C68F1" w:rsidRDefault="00D16B2E" w:rsidP="007D1009">
      <w:pPr>
        <w:tabs>
          <w:tab w:val="left" w:pos="720"/>
          <w:tab w:val="center" w:pos="4680"/>
          <w:tab w:val="left" w:pos="7650"/>
        </w:tabs>
        <w:spacing w:line="480" w:lineRule="auto"/>
      </w:pPr>
      <w:r w:rsidRPr="007C68F1">
        <w:tab/>
        <w:t>Next, Woodworth moved</w:t>
      </w:r>
      <w:r w:rsidR="00D61823" w:rsidRPr="007C68F1">
        <w:t xml:space="preserve"> for class certification.</w:t>
      </w:r>
      <w:r w:rsidR="00B860D7" w:rsidRPr="007C68F1">
        <w:t xml:space="preserve"> </w:t>
      </w:r>
      <w:r w:rsidR="00C362A0" w:rsidRPr="007C68F1">
        <w:t xml:space="preserve"> </w:t>
      </w:r>
      <w:r w:rsidR="00B860D7" w:rsidRPr="007C68F1">
        <w:t xml:space="preserve">As part of its </w:t>
      </w:r>
      <w:r w:rsidR="00D61823" w:rsidRPr="007C68F1">
        <w:t>opposition to the motion, the medical center filed 43 declarations from putative class members.</w:t>
      </w:r>
      <w:r w:rsidR="00B860D7" w:rsidRPr="007C68F1">
        <w:t xml:space="preserve">  </w:t>
      </w:r>
      <w:r w:rsidR="00B860D7" w:rsidRPr="007C68F1">
        <w:lastRenderedPageBreak/>
        <w:t>Woodworth moved to strike those putative class member</w:t>
      </w:r>
      <w:r w:rsidR="0009635F" w:rsidRPr="007C68F1">
        <w:t>s’</w:t>
      </w:r>
      <w:r w:rsidR="00B860D7" w:rsidRPr="007C68F1">
        <w:t xml:space="preserve"> declarations.</w:t>
      </w:r>
      <w:r w:rsidR="006F78AB" w:rsidRPr="007C68F1">
        <w:t xml:space="preserve">  </w:t>
      </w:r>
      <w:r w:rsidR="0081520C" w:rsidRPr="007C68F1">
        <w:t>In March 2019, t</w:t>
      </w:r>
      <w:r w:rsidR="006F78AB" w:rsidRPr="007C68F1">
        <w:t>he court denied the motion to strike the declarations and denied the motion for class certification.</w:t>
      </w:r>
    </w:p>
    <w:p w14:paraId="7618DDA1" w14:textId="77777777" w:rsidR="00C362A0" w:rsidRPr="007C68F1" w:rsidRDefault="00D16B2E" w:rsidP="007D1009">
      <w:pPr>
        <w:tabs>
          <w:tab w:val="left" w:pos="720"/>
          <w:tab w:val="center" w:pos="4680"/>
          <w:tab w:val="left" w:pos="7650"/>
        </w:tabs>
        <w:spacing w:line="480" w:lineRule="auto"/>
      </w:pPr>
      <w:r w:rsidRPr="007C68F1">
        <w:tab/>
      </w:r>
      <w:r w:rsidR="002B0243" w:rsidRPr="007C68F1">
        <w:t xml:space="preserve">While the parties were briefing the motion for class certification, the </w:t>
      </w:r>
      <w:r w:rsidR="00060D6D" w:rsidRPr="007C68F1">
        <w:t xml:space="preserve">medical center filed three motions for summary adjudication </w:t>
      </w:r>
      <w:r w:rsidR="009A4746" w:rsidRPr="007C68F1">
        <w:t>and</w:t>
      </w:r>
      <w:r w:rsidR="00060D6D" w:rsidRPr="007C68F1">
        <w:t xml:space="preserve"> a motion to strike the PAGA </w:t>
      </w:r>
      <w:r w:rsidR="009F779A" w:rsidRPr="007C68F1">
        <w:t>allegations</w:t>
      </w:r>
      <w:r w:rsidR="009A4746" w:rsidRPr="007C68F1">
        <w:t xml:space="preserve">.  </w:t>
      </w:r>
      <w:r w:rsidR="008C5A4F" w:rsidRPr="007C68F1">
        <w:t>One</w:t>
      </w:r>
      <w:r w:rsidR="009A4746" w:rsidRPr="007C68F1">
        <w:t xml:space="preserve"> motion </w:t>
      </w:r>
      <w:r w:rsidR="008C5A4F" w:rsidRPr="007C68F1">
        <w:t xml:space="preserve">sought summary adjudication on the regular rate claim, the wage statement claim, and the waiting time claim.  </w:t>
      </w:r>
      <w:r w:rsidR="003C580C" w:rsidRPr="007C68F1">
        <w:t>Another</w:t>
      </w:r>
      <w:r w:rsidR="00AA0980" w:rsidRPr="007C68F1">
        <w:t xml:space="preserve"> motion sought summary adjudication on </w:t>
      </w:r>
      <w:r w:rsidR="00054434" w:rsidRPr="007C68F1">
        <w:t xml:space="preserve">the PAGA cause of action </w:t>
      </w:r>
      <w:r w:rsidR="00EF4B7C" w:rsidRPr="007C68F1">
        <w:t>on the ground that Woodworth had failed</w:t>
      </w:r>
      <w:r w:rsidR="00054434" w:rsidRPr="007C68F1">
        <w:t xml:space="preserve"> to</w:t>
      </w:r>
      <w:r w:rsidR="00D10806" w:rsidRPr="007C68F1">
        <w:t xml:space="preserve"> exhaust administrative remedies</w:t>
      </w:r>
      <w:r w:rsidR="00054434" w:rsidRPr="007C68F1">
        <w:t>.</w:t>
      </w:r>
      <w:r w:rsidR="00896440" w:rsidRPr="007C68F1">
        <w:t xml:space="preserve">  </w:t>
      </w:r>
      <w:r w:rsidR="003C580C" w:rsidRPr="007C68F1">
        <w:t>The third mo</w:t>
      </w:r>
      <w:r w:rsidR="00DC6011" w:rsidRPr="007C68F1">
        <w:t>tion</w:t>
      </w:r>
      <w:r w:rsidR="003C580C" w:rsidRPr="007C68F1">
        <w:t xml:space="preserve"> sought summary adjudication on the medical center’s AWS defense to the overtime claim.  </w:t>
      </w:r>
      <w:r w:rsidR="00896440" w:rsidRPr="007C68F1">
        <w:t xml:space="preserve">And the medical center moved to strike the PAGA </w:t>
      </w:r>
      <w:r w:rsidR="009F779A" w:rsidRPr="007C68F1">
        <w:t>allegations on the ground that the PAGA cause of action was</w:t>
      </w:r>
      <w:r w:rsidR="00896440" w:rsidRPr="007C68F1">
        <w:t xml:space="preserve"> unmanageable.</w:t>
      </w:r>
      <w:r w:rsidR="004B25FA" w:rsidRPr="007C68F1">
        <w:t xml:space="preserve"> </w:t>
      </w:r>
    </w:p>
    <w:p w14:paraId="32FB511E" w14:textId="77777777" w:rsidR="009D1FF3" w:rsidRPr="007C68F1" w:rsidRDefault="00D16B2E" w:rsidP="007D1009">
      <w:pPr>
        <w:tabs>
          <w:tab w:val="left" w:pos="720"/>
          <w:tab w:val="center" w:pos="4680"/>
          <w:tab w:val="left" w:pos="7650"/>
        </w:tabs>
        <w:spacing w:line="480" w:lineRule="auto"/>
      </w:pPr>
      <w:r w:rsidRPr="007C68F1">
        <w:tab/>
      </w:r>
      <w:r w:rsidR="00443225" w:rsidRPr="007C68F1">
        <w:t xml:space="preserve">In </w:t>
      </w:r>
      <w:r w:rsidR="00D00048" w:rsidRPr="007C68F1">
        <w:t>May 2019, t</w:t>
      </w:r>
      <w:r w:rsidRPr="007C68F1">
        <w:t xml:space="preserve">he court </w:t>
      </w:r>
      <w:r w:rsidR="00FF0B81" w:rsidRPr="007C68F1">
        <w:t>entered an order (</w:t>
      </w:r>
      <w:r w:rsidR="00284F16" w:rsidRPr="007C68F1">
        <w:t xml:space="preserve">1) </w:t>
      </w:r>
      <w:r w:rsidR="00FF0B81" w:rsidRPr="007C68F1">
        <w:t>granting</w:t>
      </w:r>
      <w:r w:rsidR="00284F16" w:rsidRPr="007C68F1">
        <w:t xml:space="preserve"> </w:t>
      </w:r>
      <w:r w:rsidR="005C6F0C" w:rsidRPr="007C68F1">
        <w:t>the motion for summary adjudication on the regular rate claim, the wage statement claim, and the waiting time claim</w:t>
      </w:r>
      <w:r w:rsidRPr="007C68F1">
        <w:t xml:space="preserve"> and</w:t>
      </w:r>
      <w:r w:rsidR="00284F16" w:rsidRPr="007C68F1">
        <w:t xml:space="preserve"> (2) </w:t>
      </w:r>
      <w:r w:rsidR="00FF0B81" w:rsidRPr="007C68F1">
        <w:t>granting</w:t>
      </w:r>
      <w:r w:rsidR="003A2FD2" w:rsidRPr="007C68F1">
        <w:t xml:space="preserve"> the motion for summary adjudication on the AWS defense</w:t>
      </w:r>
      <w:r w:rsidRPr="007C68F1">
        <w:t xml:space="preserve"> to the overtime claim</w:t>
      </w:r>
      <w:r w:rsidR="00284F16" w:rsidRPr="007C68F1">
        <w:t>.</w:t>
      </w:r>
      <w:r w:rsidRPr="007C68F1">
        <w:t xml:space="preserve">  The court’s ruling disposed of the various causes of action</w:t>
      </w:r>
      <w:r w:rsidR="007071BE" w:rsidRPr="007C68F1">
        <w:t xml:space="preserve">, including the </w:t>
      </w:r>
      <w:r w:rsidR="00AC2489" w:rsidRPr="007C68F1">
        <w:t xml:space="preserve">UCL and </w:t>
      </w:r>
      <w:r w:rsidR="007071BE" w:rsidRPr="007C68F1">
        <w:t>PAGA cause</w:t>
      </w:r>
      <w:r w:rsidR="00AC2489" w:rsidRPr="007C68F1">
        <w:t>s</w:t>
      </w:r>
      <w:r w:rsidR="007071BE" w:rsidRPr="007C68F1">
        <w:t xml:space="preserve"> of action,</w:t>
      </w:r>
      <w:r w:rsidRPr="007C68F1">
        <w:t xml:space="preserve"> to the ext</w:t>
      </w:r>
      <w:r w:rsidRPr="007C68F1">
        <w:t xml:space="preserve">ent that they were predicated on those claims.  </w:t>
      </w:r>
    </w:p>
    <w:p w14:paraId="6E63A777" w14:textId="77777777" w:rsidR="00C362A0" w:rsidRPr="007C68F1" w:rsidRDefault="00D16B2E" w:rsidP="007D1009">
      <w:pPr>
        <w:tabs>
          <w:tab w:val="left" w:pos="720"/>
          <w:tab w:val="center" w:pos="4680"/>
          <w:tab w:val="left" w:pos="7650"/>
        </w:tabs>
        <w:spacing w:line="480" w:lineRule="auto"/>
      </w:pPr>
      <w:r w:rsidRPr="007C68F1">
        <w:tab/>
      </w:r>
      <w:r w:rsidR="009D1FF3" w:rsidRPr="007C68F1">
        <w:t xml:space="preserve">The </w:t>
      </w:r>
      <w:r w:rsidR="00FF0B81" w:rsidRPr="007C68F1">
        <w:t>May 2019 order</w:t>
      </w:r>
      <w:r w:rsidR="009D1FF3" w:rsidRPr="007C68F1">
        <w:t xml:space="preserve"> also</w:t>
      </w:r>
      <w:r w:rsidR="00284F16" w:rsidRPr="007C68F1">
        <w:t xml:space="preserve"> granted the motion for summary adjudication on the PAGA cause of action</w:t>
      </w:r>
      <w:r w:rsidR="007071BE" w:rsidRPr="007C68F1">
        <w:t xml:space="preserve">, to the extent that </w:t>
      </w:r>
      <w:r w:rsidR="0053368A" w:rsidRPr="007C68F1">
        <w:t>the court</w:t>
      </w:r>
      <w:r w:rsidR="007071BE" w:rsidRPr="007C68F1">
        <w:t xml:space="preserve"> had </w:t>
      </w:r>
      <w:bookmarkStart w:id="23" w:name="dabmq_7"/>
      <w:r w:rsidR="007071BE" w:rsidRPr="007C68F1">
        <w:t>“not otherwise summarily adjudicated”</w:t>
      </w:r>
      <w:bookmarkEnd w:id="23"/>
      <w:r w:rsidR="007071BE" w:rsidRPr="007C68F1">
        <w:t xml:space="preserve"> the cause of action in favor of the medical center.  </w:t>
      </w:r>
      <w:r w:rsidR="0054369D" w:rsidRPr="007C68F1">
        <w:t>More specifically</w:t>
      </w:r>
      <w:r w:rsidR="007071BE" w:rsidRPr="007C68F1">
        <w:t xml:space="preserve">, the court ruled that Woodworth had not provided sufficient notice of her rest period claim to the Labor and Workforce Development Agency (LWDA).  </w:t>
      </w:r>
      <w:r w:rsidR="0053368A" w:rsidRPr="007C68F1">
        <w:t>Lastly</w:t>
      </w:r>
      <w:r w:rsidR="007071BE" w:rsidRPr="007C68F1">
        <w:t xml:space="preserve">, the </w:t>
      </w:r>
      <w:r w:rsidR="00FF0B81" w:rsidRPr="007C68F1">
        <w:t>May 2019 order</w:t>
      </w:r>
      <w:r w:rsidR="007071BE" w:rsidRPr="007C68F1">
        <w:t xml:space="preserve"> </w:t>
      </w:r>
      <w:r w:rsidR="000A1828" w:rsidRPr="007C68F1">
        <w:lastRenderedPageBreak/>
        <w:t xml:space="preserve">denied the medical center’s motion to strike the PAGA </w:t>
      </w:r>
      <w:r w:rsidR="009F779A" w:rsidRPr="007C68F1">
        <w:t>allegations</w:t>
      </w:r>
      <w:r w:rsidR="000A1828" w:rsidRPr="007C68F1">
        <w:t xml:space="preserve">.  The court ruled that the motion was moot in light of its rulings on the medical center’s other motions.  </w:t>
      </w:r>
      <w:r w:rsidR="00944A99" w:rsidRPr="007C68F1">
        <w:t>But the</w:t>
      </w:r>
      <w:r w:rsidR="000A1828" w:rsidRPr="007C68F1">
        <w:t xml:space="preserve"> court</w:t>
      </w:r>
      <w:r w:rsidR="00944A99" w:rsidRPr="007C68F1">
        <w:t xml:space="preserve"> also ruled that</w:t>
      </w:r>
      <w:r w:rsidR="00C43EFB" w:rsidRPr="007C68F1">
        <w:t xml:space="preserve"> </w:t>
      </w:r>
      <w:r w:rsidR="00944A99" w:rsidRPr="007C68F1">
        <w:t>even if the motion were not moot, it would deny the motion</w:t>
      </w:r>
      <w:r w:rsidR="009872AC" w:rsidRPr="007C68F1">
        <w:t xml:space="preserve">, because </w:t>
      </w:r>
      <w:r w:rsidR="000A1828" w:rsidRPr="007C68F1">
        <w:t>there was no controlling authority for striking a PAGA claim as unmanageable</w:t>
      </w:r>
      <w:r w:rsidR="00DD53C5" w:rsidRPr="007C68F1">
        <w:t>.</w:t>
      </w:r>
      <w:r w:rsidR="00A87C68" w:rsidRPr="007C68F1">
        <w:t xml:space="preserve">  After all of those rulings</w:t>
      </w:r>
      <w:r w:rsidR="00C43EFB" w:rsidRPr="007C68F1">
        <w:t>, only Woodworth’s individual rest period claim</w:t>
      </w:r>
      <w:r w:rsidR="007E5F07" w:rsidRPr="007C68F1">
        <w:t xml:space="preserve"> survive</w:t>
      </w:r>
      <w:r w:rsidR="009872AC" w:rsidRPr="007C68F1">
        <w:t>d</w:t>
      </w:r>
      <w:r w:rsidR="00C43EFB" w:rsidRPr="007C68F1">
        <w:t xml:space="preserve">.  </w:t>
      </w:r>
    </w:p>
    <w:p w14:paraId="001C6995" w14:textId="77777777" w:rsidR="00876386" w:rsidRPr="007C68F1" w:rsidRDefault="00D16B2E" w:rsidP="007D1009">
      <w:pPr>
        <w:keepNext/>
        <w:spacing w:line="480" w:lineRule="auto"/>
        <w:jc w:val="center"/>
      </w:pPr>
      <w:r w:rsidRPr="007C68F1">
        <w:t>DISCUSSION</w:t>
      </w:r>
      <w:r w:rsidR="00F13F1A" w:rsidRPr="007C68F1">
        <w:t xml:space="preserve"> </w:t>
      </w:r>
    </w:p>
    <w:p w14:paraId="5D0B3B97" w14:textId="77777777" w:rsidR="006F564F" w:rsidRPr="007C68F1" w:rsidRDefault="00D16B2E" w:rsidP="007D1009">
      <w:pPr>
        <w:keepNext/>
        <w:spacing w:line="480" w:lineRule="auto"/>
      </w:pPr>
      <w:r w:rsidRPr="007C68F1">
        <w:t xml:space="preserve">I.  </w:t>
      </w:r>
      <w:r w:rsidRPr="007C68F1">
        <w:rPr>
          <w:i/>
          <w:iCs/>
        </w:rPr>
        <w:t>Motions to Dismiss</w:t>
      </w:r>
    </w:p>
    <w:p w14:paraId="12F9EE1F" w14:textId="77777777" w:rsidR="005E1B3C" w:rsidRPr="007C68F1" w:rsidRDefault="00D16B2E" w:rsidP="007D1009">
      <w:pPr>
        <w:tabs>
          <w:tab w:val="left" w:pos="720"/>
          <w:tab w:val="center" w:pos="4680"/>
          <w:tab w:val="left" w:pos="7650"/>
        </w:tabs>
        <w:spacing w:line="480" w:lineRule="auto"/>
      </w:pPr>
      <w:r w:rsidRPr="007C68F1">
        <w:tab/>
        <w:t>Woodworth appeals from</w:t>
      </w:r>
      <w:r w:rsidR="009872AC" w:rsidRPr="007C68F1">
        <w:t xml:space="preserve"> </w:t>
      </w:r>
      <w:r w:rsidRPr="007C68F1">
        <w:t>(1)</w:t>
      </w:r>
      <w:r w:rsidR="002C74F4" w:rsidRPr="007C68F1">
        <w:t xml:space="preserve"> the November 2018 order</w:t>
      </w:r>
      <w:r w:rsidRPr="007C68F1">
        <w:t xml:space="preserve"> granting the medi</w:t>
      </w:r>
      <w:r w:rsidRPr="007C68F1">
        <w:t xml:space="preserve">cal center’s motion for summary adjudication on the rounding claim; (2) </w:t>
      </w:r>
      <w:r w:rsidR="002C74F4" w:rsidRPr="007C68F1">
        <w:t xml:space="preserve">the March 2019 order </w:t>
      </w:r>
      <w:r w:rsidRPr="007C68F1">
        <w:t>denying her motion to strike the putative class member</w:t>
      </w:r>
      <w:r w:rsidR="0009635F" w:rsidRPr="007C68F1">
        <w:t>s’</w:t>
      </w:r>
      <w:r w:rsidRPr="007C68F1">
        <w:t xml:space="preserve"> declarations</w:t>
      </w:r>
      <w:r w:rsidR="00FA7796" w:rsidRPr="007C68F1">
        <w:t xml:space="preserve"> and </w:t>
      </w:r>
      <w:r w:rsidRPr="007C68F1">
        <w:t xml:space="preserve">denying her motion for class certification; </w:t>
      </w:r>
      <w:r w:rsidR="00FA7796" w:rsidRPr="007C68F1">
        <w:t xml:space="preserve">and </w:t>
      </w:r>
      <w:r w:rsidRPr="007C68F1">
        <w:t>(</w:t>
      </w:r>
      <w:r w:rsidR="00FA7796" w:rsidRPr="007C68F1">
        <w:t>3</w:t>
      </w:r>
      <w:r w:rsidRPr="007C68F1">
        <w:t xml:space="preserve">) </w:t>
      </w:r>
      <w:r w:rsidR="002C74F4" w:rsidRPr="007C68F1">
        <w:t xml:space="preserve">the May 2019 order </w:t>
      </w:r>
      <w:r w:rsidRPr="007C68F1">
        <w:t>granting the medic</w:t>
      </w:r>
      <w:r w:rsidRPr="007C68F1">
        <w:t>al center’s motion for summary adjudication on the regular rate claim, the wage statement claim, and the waiting time claim; granting the medical center’s motion for summary adjudication on the AWS defense; and granting the medical center’s motion for summ</w:t>
      </w:r>
      <w:r w:rsidRPr="007C68F1">
        <w:t>ary adjudication on the PAGA</w:t>
      </w:r>
      <w:r w:rsidR="009872AC" w:rsidRPr="007C68F1">
        <w:t xml:space="preserve"> cause of action for failure to exhaust administrative remedies</w:t>
      </w:r>
      <w:r w:rsidRPr="007C68F1">
        <w:t xml:space="preserve">.  </w:t>
      </w:r>
      <w:r w:rsidRPr="007C68F1">
        <w:tab/>
        <w:t>The medical center cross</w:t>
      </w:r>
      <w:r w:rsidR="00F528ED" w:rsidRPr="007C68F1">
        <w:t>-</w:t>
      </w:r>
      <w:r w:rsidRPr="007C68F1">
        <w:t xml:space="preserve">appeals from the court’s </w:t>
      </w:r>
      <w:r w:rsidR="002C74F4" w:rsidRPr="007C68F1">
        <w:t xml:space="preserve">May 2019 </w:t>
      </w:r>
      <w:r w:rsidRPr="007C68F1">
        <w:t xml:space="preserve">order denying the motion to strike the PAGA </w:t>
      </w:r>
      <w:r w:rsidR="00ED5E1B" w:rsidRPr="007C68F1">
        <w:t>allegations</w:t>
      </w:r>
      <w:r w:rsidRPr="007C68F1">
        <w:t>.</w:t>
      </w:r>
    </w:p>
    <w:p w14:paraId="1930CA18" w14:textId="77777777" w:rsidR="002225A0" w:rsidRPr="007C68F1" w:rsidRDefault="00D16B2E" w:rsidP="007D1009">
      <w:pPr>
        <w:spacing w:line="480" w:lineRule="auto"/>
      </w:pPr>
      <w:r w:rsidRPr="007C68F1">
        <w:tab/>
      </w:r>
      <w:r w:rsidR="005E1B3C" w:rsidRPr="007C68F1">
        <w:t xml:space="preserve">Both parties have filed motions to dismiss.  </w:t>
      </w:r>
      <w:r w:rsidRPr="007C68F1">
        <w:t xml:space="preserve">The medical </w:t>
      </w:r>
      <w:r w:rsidR="00C727C4" w:rsidRPr="007C68F1">
        <w:t xml:space="preserve">center </w:t>
      </w:r>
      <w:r w:rsidRPr="007C68F1">
        <w:t>moves to dismiss</w:t>
      </w:r>
      <w:r w:rsidR="00B70FAF" w:rsidRPr="007C68F1">
        <w:t xml:space="preserve"> all but a small portion of</w:t>
      </w:r>
      <w:r w:rsidR="005E1B3C" w:rsidRPr="007C68F1">
        <w:t xml:space="preserve"> Woodworth’s appeal.</w:t>
      </w:r>
      <w:r w:rsidR="00B9073D" w:rsidRPr="007C68F1">
        <w:t xml:space="preserve">  Woodworth moves to dismiss the cross</w:t>
      </w:r>
      <w:r w:rsidR="00F528ED" w:rsidRPr="007C68F1">
        <w:noBreakHyphen/>
      </w:r>
      <w:r w:rsidR="00B9073D" w:rsidRPr="007C68F1">
        <w:t xml:space="preserve">appeal in its entirety.  </w:t>
      </w:r>
      <w:r w:rsidR="007F4F0D" w:rsidRPr="007C68F1">
        <w:t>The medical center’s motion</w:t>
      </w:r>
      <w:r w:rsidR="00C727C4" w:rsidRPr="007C68F1">
        <w:t xml:space="preserve"> lack</w:t>
      </w:r>
      <w:r w:rsidR="007F4F0D" w:rsidRPr="007C68F1">
        <w:t>s</w:t>
      </w:r>
      <w:r w:rsidR="00C727C4" w:rsidRPr="007C68F1">
        <w:t xml:space="preserve"> merit</w:t>
      </w:r>
      <w:r w:rsidR="007F4F0D" w:rsidRPr="007C68F1">
        <w:t>, but Woodworth’s motion is well taken</w:t>
      </w:r>
      <w:r w:rsidR="00C727C4" w:rsidRPr="007C68F1">
        <w:t>.</w:t>
      </w:r>
    </w:p>
    <w:p w14:paraId="7FC5C259" w14:textId="77777777" w:rsidR="005A76E4" w:rsidRPr="007C68F1" w:rsidRDefault="00D16B2E" w:rsidP="007D1009">
      <w:pPr>
        <w:keepNext/>
        <w:spacing w:line="480" w:lineRule="auto"/>
      </w:pPr>
      <w:r w:rsidRPr="007C68F1">
        <w:lastRenderedPageBreak/>
        <w:tab/>
        <w:t xml:space="preserve">A.  </w:t>
      </w:r>
      <w:r w:rsidRPr="007C68F1">
        <w:rPr>
          <w:i/>
          <w:iCs/>
        </w:rPr>
        <w:t xml:space="preserve">The Medical Center’s Motion </w:t>
      </w:r>
      <w:r w:rsidR="00B9073D" w:rsidRPr="007C68F1">
        <w:rPr>
          <w:i/>
          <w:iCs/>
        </w:rPr>
        <w:t>for Partial</w:t>
      </w:r>
      <w:r w:rsidRPr="007C68F1">
        <w:rPr>
          <w:i/>
          <w:iCs/>
        </w:rPr>
        <w:t xml:space="preserve"> Dismiss</w:t>
      </w:r>
      <w:r w:rsidR="00B9073D" w:rsidRPr="007C68F1">
        <w:rPr>
          <w:i/>
          <w:iCs/>
        </w:rPr>
        <w:t>al</w:t>
      </w:r>
      <w:r w:rsidR="00F818FC" w:rsidRPr="007C68F1">
        <w:rPr>
          <w:i/>
          <w:iCs/>
        </w:rPr>
        <w:t xml:space="preserve"> of the Appeal</w:t>
      </w:r>
    </w:p>
    <w:p w14:paraId="60BDC30C" w14:textId="77777777" w:rsidR="00B9073D" w:rsidRPr="007C68F1" w:rsidRDefault="00D16B2E" w:rsidP="007D1009">
      <w:pPr>
        <w:keepNext/>
        <w:spacing w:line="480" w:lineRule="auto"/>
        <w:ind w:firstLine="720"/>
      </w:pPr>
      <w:r w:rsidRPr="007C68F1">
        <w:t xml:space="preserve">The medical center contends that, under the death knell doctrine, we may review only the order denying class certification of </w:t>
      </w:r>
      <w:r w:rsidR="00F97B43" w:rsidRPr="007C68F1">
        <w:t>the</w:t>
      </w:r>
      <w:r w:rsidRPr="007C68F1">
        <w:t xml:space="preserve"> rest period claim</w:t>
      </w:r>
      <w:r w:rsidR="00F97B43" w:rsidRPr="007C68F1">
        <w:t xml:space="preserve"> and the order denying the motion to strike the putative class declarations</w:t>
      </w:r>
      <w:r w:rsidRPr="007C68F1">
        <w:t xml:space="preserve">.  According to the medical center, we have no jurisdiction to review the remainder of the order denying </w:t>
      </w:r>
      <w:r w:rsidR="00E35F9C" w:rsidRPr="007C68F1">
        <w:t>the motion for class certification</w:t>
      </w:r>
      <w:r w:rsidRPr="007C68F1">
        <w:t xml:space="preserve"> or any of the other orders that Woodworth challenges.  We disagree.</w:t>
      </w:r>
    </w:p>
    <w:p w14:paraId="6AF080CB" w14:textId="77777777" w:rsidR="002F378C" w:rsidRPr="007C68F1" w:rsidRDefault="00D16B2E" w:rsidP="007D1009">
      <w:pPr>
        <w:spacing w:line="480" w:lineRule="auto"/>
        <w:ind w:firstLine="720"/>
      </w:pPr>
      <w:bookmarkStart w:id="24" w:name="dabmq_8"/>
      <w:r w:rsidRPr="007C68F1">
        <w:rPr>
          <w:shd w:val="clear" w:color="auto" w:fill="FFFFFF"/>
        </w:rPr>
        <w:t>“Under the one fin</w:t>
      </w:r>
      <w:r w:rsidRPr="007C68F1">
        <w:rPr>
          <w:shd w:val="clear" w:color="auto" w:fill="FFFFFF"/>
        </w:rPr>
        <w:t>al judgment rule, ‘“an appeal may be taken only from the final judgment in an entire action.”</w:t>
      </w:r>
      <w:bookmarkEnd w:id="24"/>
      <w:r w:rsidRPr="007C68F1">
        <w:rPr>
          <w:shd w:val="clear" w:color="auto" w:fill="FFFFFF"/>
        </w:rPr>
        <w:t>’”  (</w:t>
      </w:r>
      <w:bookmarkStart w:id="25" w:name="dabmci_89b6f5bf4b6a4d1d95fe6fb194426320"/>
      <w:r w:rsidRPr="007C68F1">
        <w:rPr>
          <w:i/>
          <w:iCs/>
          <w:bdr w:val="none" w:sz="0" w:space="0" w:color="auto" w:frame="1"/>
        </w:rPr>
        <w:t xml:space="preserve">In re Baycol Cases I &amp; II </w:t>
      </w:r>
      <w:r w:rsidRPr="007C68F1">
        <w:t>(2011) 51 Cal.4th 751, 756</w:t>
      </w:r>
      <w:r w:rsidR="00CB15E3" w:rsidRPr="007C68F1">
        <w:t xml:space="preserve"> (</w:t>
      </w:r>
      <w:r w:rsidR="00CB15E3" w:rsidRPr="007C68F1">
        <w:rPr>
          <w:i/>
          <w:iCs/>
        </w:rPr>
        <w:t>Baycol</w:t>
      </w:r>
      <w:r w:rsidR="00CB15E3" w:rsidRPr="007C68F1">
        <w:t>)</w:t>
      </w:r>
      <w:bookmarkEnd w:id="25"/>
      <w:r w:rsidRPr="007C68F1">
        <w:t xml:space="preserve">.)  </w:t>
      </w:r>
      <w:r w:rsidR="00E565D5" w:rsidRPr="007C68F1">
        <w:t xml:space="preserve">The death knell doctrine is a judicially created </w:t>
      </w:r>
      <w:r w:rsidR="00876DD2" w:rsidRPr="007C68F1">
        <w:t>exception to the one final judgment rule.  (</w:t>
      </w:r>
      <w:bookmarkStart w:id="26" w:name="dabmci_a9e552d37b06488cbf3ecd90df5063b1"/>
      <w:r w:rsidR="0057240A" w:rsidRPr="007C68F1">
        <w:rPr>
          <w:i/>
          <w:iCs/>
        </w:rPr>
        <w:t>Id.</w:t>
      </w:r>
      <w:r w:rsidR="00876DD2" w:rsidRPr="007C68F1">
        <w:t xml:space="preserve"> at p. 757</w:t>
      </w:r>
      <w:bookmarkEnd w:id="26"/>
      <w:r w:rsidR="00876DD2" w:rsidRPr="007C68F1">
        <w:t xml:space="preserve">.)  </w:t>
      </w:r>
      <w:r w:rsidR="0035506D" w:rsidRPr="007C68F1">
        <w:t xml:space="preserve">Under the doctrine, we treat an order that </w:t>
      </w:r>
      <w:r w:rsidR="00D33655" w:rsidRPr="007C68F1">
        <w:t>terminates</w:t>
      </w:r>
      <w:r w:rsidR="0035506D" w:rsidRPr="007C68F1">
        <w:t xml:space="preserve"> class claims but </w:t>
      </w:r>
      <w:r w:rsidR="00944277" w:rsidRPr="007C68F1">
        <w:t>permits individual claims to proceed</w:t>
      </w:r>
      <w:r w:rsidR="0035506D" w:rsidRPr="007C68F1">
        <w:t xml:space="preserve"> </w:t>
      </w:r>
      <w:bookmarkStart w:id="27" w:name="dabmq_9"/>
      <w:r w:rsidR="0035506D" w:rsidRPr="007C68F1">
        <w:t>“as in essence a final judgment”</w:t>
      </w:r>
      <w:bookmarkEnd w:id="27"/>
      <w:r w:rsidR="0035506D" w:rsidRPr="007C68F1">
        <w:t xml:space="preserve"> on the class claims.</w:t>
      </w:r>
      <w:r w:rsidRPr="007C68F1">
        <w:t xml:space="preserve">  (</w:t>
      </w:r>
      <w:bookmarkStart w:id="28" w:name="dabmci_d4649726f216433dbd3a1cf96ac03759"/>
      <w:r w:rsidRPr="007C68F1">
        <w:rPr>
          <w:i/>
          <w:iCs/>
        </w:rPr>
        <w:t>Ibid.</w:t>
      </w:r>
      <w:bookmarkEnd w:id="28"/>
      <w:r w:rsidRPr="007C68F1">
        <w:t xml:space="preserve">) </w:t>
      </w:r>
      <w:r w:rsidR="00154205" w:rsidRPr="007C68F1">
        <w:t xml:space="preserve"> </w:t>
      </w:r>
      <w:r w:rsidR="0035506D" w:rsidRPr="007C68F1">
        <w:t xml:space="preserve">Such an order effectively rings </w:t>
      </w:r>
      <w:bookmarkStart w:id="29" w:name="dabmq_10"/>
      <w:r w:rsidR="0035506D" w:rsidRPr="007C68F1">
        <w:t>“the death knell for the class claims”</w:t>
      </w:r>
      <w:bookmarkEnd w:id="29"/>
      <w:r w:rsidR="0035506D" w:rsidRPr="007C68F1">
        <w:t xml:space="preserve"> and is “appealable immediately.”</w:t>
      </w:r>
      <w:r w:rsidRPr="007C68F1">
        <w:t xml:space="preserve">  (</w:t>
      </w:r>
      <w:bookmarkStart w:id="30" w:name="dabmci_d834ad3d68e241a5aed3368ed6dc02b6"/>
      <w:r w:rsidRPr="007C68F1">
        <w:rPr>
          <w:i/>
          <w:iCs/>
        </w:rPr>
        <w:t>Ibid.</w:t>
      </w:r>
      <w:bookmarkEnd w:id="30"/>
      <w:r w:rsidRPr="007C68F1">
        <w:t>)</w:t>
      </w:r>
    </w:p>
    <w:p w14:paraId="2789D8FE" w14:textId="77777777" w:rsidR="00E565D5" w:rsidRPr="007C68F1" w:rsidRDefault="00D16B2E" w:rsidP="007D1009">
      <w:pPr>
        <w:spacing w:line="480" w:lineRule="auto"/>
        <w:ind w:firstLine="720"/>
      </w:pPr>
      <w:bookmarkStart w:id="31" w:name="dabmq_11"/>
      <w:r w:rsidRPr="007C68F1">
        <w:rPr>
          <w:shd w:val="clear" w:color="auto" w:fill="FFFFFF"/>
        </w:rPr>
        <w:t>“</w:t>
      </w:r>
      <w:r w:rsidR="002F378C" w:rsidRPr="007C68F1">
        <w:rPr>
          <w:shd w:val="clear" w:color="auto" w:fill="FFFFFF"/>
        </w:rPr>
        <w:t xml:space="preserve">The doctrine is animated by two basic considerations: </w:t>
      </w:r>
      <w:r w:rsidRPr="007C68F1">
        <w:rPr>
          <w:shd w:val="clear" w:color="auto" w:fill="FFFFFF"/>
        </w:rPr>
        <w:t xml:space="preserve"> </w:t>
      </w:r>
      <w:r w:rsidR="002F378C" w:rsidRPr="007C68F1">
        <w:rPr>
          <w:shd w:val="clear" w:color="auto" w:fill="FFFFFF"/>
        </w:rPr>
        <w:t xml:space="preserve">(1) The order terminating class claims is the practical equivalent of a final judgment for absent class members; and (2) without the possibility of a group recovery, the plaintiff will lack incentive to pursue </w:t>
      </w:r>
      <w:r w:rsidRPr="007C68F1">
        <w:rPr>
          <w:shd w:val="clear" w:color="auto" w:fill="FFFFFF"/>
        </w:rPr>
        <w:t xml:space="preserve">[individual] </w:t>
      </w:r>
      <w:r w:rsidR="002F378C" w:rsidRPr="007C68F1">
        <w:rPr>
          <w:shd w:val="clear" w:color="auto" w:fill="FFFFFF"/>
        </w:rPr>
        <w:t>claims to final judgment, thus allowing the order terminating class claims to evade review entirely.</w:t>
      </w:r>
      <w:r w:rsidRPr="007C68F1">
        <w:rPr>
          <w:shd w:val="clear" w:color="auto" w:fill="FFFFFF"/>
        </w:rPr>
        <w:t>”</w:t>
      </w:r>
      <w:bookmarkEnd w:id="31"/>
      <w:r w:rsidRPr="007C68F1">
        <w:rPr>
          <w:shd w:val="clear" w:color="auto" w:fill="FFFFFF"/>
        </w:rPr>
        <w:t xml:space="preserve">  (</w:t>
      </w:r>
      <w:bookmarkStart w:id="32" w:name="dabmci_18f2974149064c7b96842b4af25b4c0d"/>
      <w:r w:rsidR="002F378C" w:rsidRPr="007C68F1">
        <w:rPr>
          <w:i/>
          <w:iCs/>
          <w:bdr w:val="none" w:sz="0" w:space="0" w:color="auto" w:frame="1"/>
        </w:rPr>
        <w:t>Cortez v. Doty Bros. Equipment Co.</w:t>
      </w:r>
      <w:r w:rsidRPr="007C68F1">
        <w:t xml:space="preserve"> </w:t>
      </w:r>
      <w:r w:rsidR="002F378C" w:rsidRPr="007C68F1">
        <w:t>(2017) 15 Cal.App.5th 1, 8</w:t>
      </w:r>
      <w:r w:rsidRPr="007C68F1">
        <w:t xml:space="preserve"> (</w:t>
      </w:r>
      <w:r w:rsidRPr="007C68F1">
        <w:rPr>
          <w:i/>
          <w:iCs/>
        </w:rPr>
        <w:t>Cortez</w:t>
      </w:r>
      <w:r w:rsidRPr="007C68F1">
        <w:t>)</w:t>
      </w:r>
      <w:bookmarkEnd w:id="32"/>
      <w:r w:rsidRPr="007C68F1">
        <w:t>.)</w:t>
      </w:r>
    </w:p>
    <w:p w14:paraId="6E565BD1" w14:textId="77777777" w:rsidR="00FE3AF4" w:rsidRPr="007C68F1" w:rsidRDefault="00D16B2E" w:rsidP="007D1009">
      <w:pPr>
        <w:spacing w:line="480" w:lineRule="auto"/>
        <w:ind w:firstLine="720"/>
      </w:pPr>
      <w:r w:rsidRPr="007C68F1">
        <w:rPr>
          <w:shd w:val="clear" w:color="auto" w:fill="FFFFFF"/>
        </w:rPr>
        <w:t>The de</w:t>
      </w:r>
      <w:r w:rsidRPr="007C68F1">
        <w:rPr>
          <w:shd w:val="clear" w:color="auto" w:fill="FFFFFF"/>
        </w:rPr>
        <w:t>ath knell doctrine also applies when an order terminates representative PAGA claims and permits only individual claims to proceed.  (</w:t>
      </w:r>
      <w:bookmarkStart w:id="33" w:name="dabmci_e19b2b01a6b64bddbaec5002b51b3277"/>
      <w:r w:rsidRPr="007C68F1">
        <w:rPr>
          <w:i/>
          <w:iCs/>
          <w:bdr w:val="none" w:sz="0" w:space="0" w:color="auto" w:frame="1"/>
        </w:rPr>
        <w:t>Miranda v. Anderson Enterprises, Inc.</w:t>
      </w:r>
      <w:r w:rsidRPr="007C68F1">
        <w:t xml:space="preserve"> (2015) 241 Cal.App.4th 196, 199, 201</w:t>
      </w:r>
      <w:r w:rsidR="00FE0AC0" w:rsidRPr="007C68F1">
        <w:t xml:space="preserve"> (</w:t>
      </w:r>
      <w:r w:rsidR="00FE0AC0" w:rsidRPr="007C68F1">
        <w:rPr>
          <w:i/>
        </w:rPr>
        <w:t>Miranda</w:t>
      </w:r>
      <w:r w:rsidR="00FE0AC0" w:rsidRPr="007C68F1">
        <w:rPr>
          <w:iCs/>
        </w:rPr>
        <w:t>)</w:t>
      </w:r>
      <w:bookmarkEnd w:id="33"/>
      <w:r w:rsidR="00E35F9C" w:rsidRPr="007C68F1">
        <w:t xml:space="preserve">.)  </w:t>
      </w:r>
      <w:r w:rsidRPr="007C68F1">
        <w:t>The concern</w:t>
      </w:r>
      <w:r w:rsidR="00E67F72" w:rsidRPr="007C68F1">
        <w:t>s</w:t>
      </w:r>
      <w:r w:rsidRPr="007C68F1">
        <w:t xml:space="preserve"> </w:t>
      </w:r>
      <w:r w:rsidRPr="007C68F1">
        <w:lastRenderedPageBreak/>
        <w:t>underlying the doctrine appl</w:t>
      </w:r>
      <w:r w:rsidR="00E67F72" w:rsidRPr="007C68F1">
        <w:t>y</w:t>
      </w:r>
      <w:r w:rsidRPr="007C68F1">
        <w:t xml:space="preserve"> to PAGA claims and class claims in equal measure.  (</w:t>
      </w:r>
      <w:bookmarkStart w:id="34" w:name="dabmci_05fc00f488af4a1c886c021470c1d64d"/>
      <w:r w:rsidRPr="007C68F1">
        <w:rPr>
          <w:i/>
          <w:iCs/>
        </w:rPr>
        <w:t>Id.</w:t>
      </w:r>
      <w:r w:rsidRPr="007C68F1">
        <w:t xml:space="preserve"> at p. 201</w:t>
      </w:r>
      <w:bookmarkEnd w:id="34"/>
      <w:r w:rsidRPr="007C68F1">
        <w:t xml:space="preserve">.)  </w:t>
      </w:r>
      <w:r w:rsidR="00E75A8C" w:rsidRPr="007C68F1">
        <w:t>That is,</w:t>
      </w:r>
      <w:r w:rsidRPr="007C68F1">
        <w:t xml:space="preserve"> without the possibility of group recovery, plaintiffs will lack an economic incentive to pursue their individual claims, thereby permitting the ord</w:t>
      </w:r>
      <w:r w:rsidRPr="007C68F1">
        <w:t xml:space="preserve">er </w:t>
      </w:r>
      <w:r w:rsidR="00E75A8C" w:rsidRPr="007C68F1">
        <w:t xml:space="preserve">terminating PAGA claims </w:t>
      </w:r>
      <w:r w:rsidRPr="007C68F1">
        <w:t>to evade review.  (</w:t>
      </w:r>
      <w:bookmarkStart w:id="35" w:name="dabmci_366ed768d77f47689d259a38c83a7d13"/>
      <w:r w:rsidR="00E75A8C" w:rsidRPr="007C68F1">
        <w:rPr>
          <w:i/>
          <w:iCs/>
        </w:rPr>
        <w:t>Ibid</w:t>
      </w:r>
      <w:r w:rsidRPr="007C68F1">
        <w:t>.</w:t>
      </w:r>
      <w:bookmarkEnd w:id="35"/>
      <w:r w:rsidRPr="007C68F1">
        <w:t xml:space="preserve">)  </w:t>
      </w:r>
    </w:p>
    <w:p w14:paraId="020D4F13" w14:textId="77777777" w:rsidR="00A61D8F" w:rsidRPr="007C68F1" w:rsidRDefault="00D16B2E" w:rsidP="007D1009">
      <w:pPr>
        <w:spacing w:line="480" w:lineRule="auto"/>
        <w:ind w:firstLine="720"/>
        <w:rPr>
          <w:shd w:val="clear" w:color="auto" w:fill="FFFFFF"/>
        </w:rPr>
      </w:pPr>
      <w:r w:rsidRPr="007C68F1">
        <w:t>But t</w:t>
      </w:r>
      <w:r w:rsidR="009F724B" w:rsidRPr="007C68F1">
        <w:t xml:space="preserve">he death knell doctrine does not apply when PAGA claims remain pending after the </w:t>
      </w:r>
      <w:r w:rsidR="00954F88" w:rsidRPr="007C68F1">
        <w:t xml:space="preserve">trial </w:t>
      </w:r>
      <w:r w:rsidR="009F724B" w:rsidRPr="007C68F1">
        <w:t>court terminates class claims.  (</w:t>
      </w:r>
      <w:bookmarkStart w:id="36" w:name="dabmci_e5b559abd0cd407b912abf7f9e044bb1"/>
      <w:r w:rsidR="009F724B" w:rsidRPr="007C68F1">
        <w:rPr>
          <w:i/>
          <w:iCs/>
        </w:rPr>
        <w:t>Cortez</w:t>
      </w:r>
      <w:r w:rsidR="009F724B" w:rsidRPr="007C68F1">
        <w:t xml:space="preserve">, </w:t>
      </w:r>
      <w:r w:rsidR="009F724B" w:rsidRPr="007C68F1">
        <w:rPr>
          <w:i/>
          <w:iCs/>
        </w:rPr>
        <w:t>supra</w:t>
      </w:r>
      <w:r w:rsidR="009F724B" w:rsidRPr="007C68F1">
        <w:t>, 15 Cal.App.5th at p. 8</w:t>
      </w:r>
      <w:bookmarkEnd w:id="36"/>
      <w:r w:rsidR="009F724B" w:rsidRPr="007C68F1">
        <w:t>;</w:t>
      </w:r>
      <w:r w:rsidR="00C7265F" w:rsidRPr="007C68F1">
        <w:t xml:space="preserve"> </w:t>
      </w:r>
      <w:bookmarkStart w:id="37" w:name="dabmci_6d90c8b8cb3844aaa061a9b5e5a722c5"/>
      <w:r w:rsidR="00C7265F" w:rsidRPr="007C68F1">
        <w:rPr>
          <w:i/>
          <w:iCs/>
          <w:bdr w:val="none" w:sz="0" w:space="0" w:color="auto" w:frame="1"/>
        </w:rPr>
        <w:t>Nguyen v. Applied Medical Resources Corp.</w:t>
      </w:r>
      <w:r w:rsidR="00C7265F" w:rsidRPr="007C68F1">
        <w:t xml:space="preserve"> (2016) 4 Cal.App.5th 232, 243</w:t>
      </w:r>
      <w:bookmarkEnd w:id="37"/>
      <w:r w:rsidR="00C7265F" w:rsidRPr="007C68F1">
        <w:t>;</w:t>
      </w:r>
      <w:r w:rsidR="000A5E57" w:rsidRPr="007C68F1">
        <w:t xml:space="preserve"> </w:t>
      </w:r>
      <w:bookmarkStart w:id="38" w:name="dabmci_c7d38fa9f1df4619bf49ee5f8861eaea"/>
      <w:r w:rsidR="000A5E57" w:rsidRPr="007C68F1">
        <w:rPr>
          <w:i/>
          <w:iCs/>
          <w:bdr w:val="none" w:sz="0" w:space="0" w:color="auto" w:frame="1"/>
        </w:rPr>
        <w:t>Young v. RemX, Inc.</w:t>
      </w:r>
      <w:r w:rsidR="000A5E57" w:rsidRPr="007C68F1">
        <w:t xml:space="preserve"> (2016) 2 Cal.App.5th 630, 635</w:t>
      </w:r>
      <w:bookmarkEnd w:id="38"/>
      <w:r w:rsidR="000A5E57" w:rsidRPr="007C68F1">
        <w:t xml:space="preserve">; </w:t>
      </w:r>
      <w:bookmarkStart w:id="39" w:name="dabmci_fc263d3738784b20a40e9fb3a349832f"/>
      <w:r w:rsidR="009F724B" w:rsidRPr="007C68F1">
        <w:rPr>
          <w:i/>
          <w:iCs/>
          <w:bdr w:val="none" w:sz="0" w:space="0" w:color="auto" w:frame="1"/>
        </w:rPr>
        <w:t>Munoz v. Chipotle Mexican Grill, Inc.</w:t>
      </w:r>
      <w:r w:rsidR="009F724B" w:rsidRPr="007C68F1">
        <w:t xml:space="preserve"> (2015) 238 Cal.App.4th 291, 310</w:t>
      </w:r>
      <w:bookmarkEnd w:id="39"/>
      <w:r w:rsidR="00AA03FF" w:rsidRPr="007C68F1">
        <w:t xml:space="preserve">.)  </w:t>
      </w:r>
      <w:r w:rsidR="00C87B74" w:rsidRPr="007C68F1">
        <w:t xml:space="preserve">In those circumstances, </w:t>
      </w:r>
      <w:r w:rsidR="0028387C" w:rsidRPr="007C68F1">
        <w:t>the possibility of group recovery</w:t>
      </w:r>
      <w:r w:rsidR="0069447F" w:rsidRPr="007C68F1">
        <w:t xml:space="preserve"> under PAGA</w:t>
      </w:r>
      <w:r w:rsidR="0028387C" w:rsidRPr="007C68F1">
        <w:t xml:space="preserve"> still exists</w:t>
      </w:r>
      <w:r w:rsidR="00C87B74" w:rsidRPr="007C68F1">
        <w:t xml:space="preserve"> despite the termination of class claims</w:t>
      </w:r>
      <w:r w:rsidR="0028387C" w:rsidRPr="007C68F1">
        <w:t>.</w:t>
      </w:r>
      <w:r w:rsidRPr="007C68F1">
        <w:t xml:space="preserve">  </w:t>
      </w:r>
      <w:r w:rsidR="0028387C" w:rsidRPr="007C68F1">
        <w:t>(</w:t>
      </w:r>
      <w:bookmarkStart w:id="40" w:name="dabmci_3c66ba27c72f4cf980ce22b5e4a86ea2"/>
      <w:r w:rsidR="005605E9" w:rsidRPr="007C68F1">
        <w:rPr>
          <w:i/>
          <w:iCs/>
        </w:rPr>
        <w:t>Cortez</w:t>
      </w:r>
      <w:r w:rsidR="0022371B" w:rsidRPr="007C68F1">
        <w:t>, at p. 8</w:t>
      </w:r>
      <w:bookmarkEnd w:id="40"/>
      <w:r w:rsidR="0022371B" w:rsidRPr="007C68F1">
        <w:t>.</w:t>
      </w:r>
      <w:r w:rsidRPr="007C68F1">
        <w:t xml:space="preserve">)  </w:t>
      </w:r>
      <w:bookmarkStart w:id="41" w:name="dabmq_12"/>
      <w:r w:rsidRPr="007C68F1">
        <w:t>“[T]</w:t>
      </w:r>
      <w:r w:rsidR="0028387C" w:rsidRPr="007C68F1">
        <w:rPr>
          <w:shd w:val="clear" w:color="auto" w:fill="FFFFFF"/>
        </w:rPr>
        <w:t>he PAGA plaintiff remains incentivized by the statutory scheme to proceed to judgment on behalf of himself or herself as well as the individuals he or she represents.</w:t>
      </w:r>
      <w:r w:rsidRPr="007C68F1">
        <w:rPr>
          <w:shd w:val="clear" w:color="auto" w:fill="FFFFFF"/>
        </w:rPr>
        <w:t>”</w:t>
      </w:r>
      <w:bookmarkEnd w:id="41"/>
      <w:r w:rsidRPr="007C68F1">
        <w:rPr>
          <w:shd w:val="clear" w:color="auto" w:fill="FFFFFF"/>
        </w:rPr>
        <w:t xml:space="preserve">  (</w:t>
      </w:r>
      <w:bookmarkStart w:id="42" w:name="dabmci_e17d19087b2343239103bb1a63158a2f"/>
      <w:r w:rsidRPr="007C68F1">
        <w:rPr>
          <w:i/>
          <w:iCs/>
          <w:shd w:val="clear" w:color="auto" w:fill="FFFFFF"/>
        </w:rPr>
        <w:t>Ibid.</w:t>
      </w:r>
      <w:bookmarkEnd w:id="42"/>
      <w:r w:rsidRPr="007C68F1">
        <w:rPr>
          <w:shd w:val="clear" w:color="auto" w:fill="FFFFFF"/>
        </w:rPr>
        <w:t>)</w:t>
      </w:r>
    </w:p>
    <w:p w14:paraId="539F3FFA" w14:textId="77777777" w:rsidR="0069447F" w:rsidRPr="007C68F1" w:rsidRDefault="00D16B2E" w:rsidP="007D1009">
      <w:pPr>
        <w:spacing w:line="480" w:lineRule="auto"/>
        <w:ind w:firstLine="720"/>
        <w:rPr>
          <w:shd w:val="clear" w:color="auto" w:fill="FFFFFF"/>
        </w:rPr>
      </w:pPr>
      <w:r w:rsidRPr="007C68F1">
        <w:rPr>
          <w:shd w:val="clear" w:color="auto" w:fill="FFFFFF"/>
        </w:rPr>
        <w:t>In this case,</w:t>
      </w:r>
      <w:r w:rsidR="005061AC" w:rsidRPr="007C68F1">
        <w:rPr>
          <w:shd w:val="clear" w:color="auto" w:fill="FFFFFF"/>
        </w:rPr>
        <w:t xml:space="preserve"> the May 2019 order granting the medical center’s three motions for summary adjudication constituted an appealable order</w:t>
      </w:r>
      <w:r w:rsidR="005F1100" w:rsidRPr="007C68F1">
        <w:rPr>
          <w:shd w:val="clear" w:color="auto" w:fill="FFFFFF"/>
        </w:rPr>
        <w:t xml:space="preserve"> under the death knell doctrine</w:t>
      </w:r>
      <w:r w:rsidR="005061AC" w:rsidRPr="007C68F1">
        <w:rPr>
          <w:shd w:val="clear" w:color="auto" w:fill="FFFFFF"/>
        </w:rPr>
        <w:t xml:space="preserve">. </w:t>
      </w:r>
      <w:r w:rsidR="004801D3" w:rsidRPr="007C68F1">
        <w:rPr>
          <w:shd w:val="clear" w:color="auto" w:fill="FFFFFF"/>
        </w:rPr>
        <w:t xml:space="preserve"> </w:t>
      </w:r>
      <w:r w:rsidR="005F1100" w:rsidRPr="007C68F1">
        <w:rPr>
          <w:shd w:val="clear" w:color="auto" w:fill="FFFFFF"/>
        </w:rPr>
        <w:t>That order</w:t>
      </w:r>
      <w:r w:rsidR="004801D3" w:rsidRPr="007C68F1">
        <w:rPr>
          <w:shd w:val="clear" w:color="auto" w:fill="FFFFFF"/>
        </w:rPr>
        <w:t xml:space="preserve"> </w:t>
      </w:r>
      <w:r w:rsidR="005061AC" w:rsidRPr="007C68F1">
        <w:rPr>
          <w:shd w:val="clear" w:color="auto" w:fill="FFFFFF"/>
        </w:rPr>
        <w:t>terminated</w:t>
      </w:r>
      <w:r w:rsidR="004801D3" w:rsidRPr="007C68F1">
        <w:rPr>
          <w:shd w:val="clear" w:color="auto" w:fill="FFFFFF"/>
        </w:rPr>
        <w:t xml:space="preserve"> Woodworth’s PAGA </w:t>
      </w:r>
      <w:r w:rsidR="004324A3" w:rsidRPr="007C68F1">
        <w:rPr>
          <w:shd w:val="clear" w:color="auto" w:fill="FFFFFF"/>
        </w:rPr>
        <w:t>cause of action</w:t>
      </w:r>
      <w:r w:rsidR="005061AC" w:rsidRPr="007C68F1">
        <w:rPr>
          <w:shd w:val="clear" w:color="auto" w:fill="FFFFFF"/>
        </w:rPr>
        <w:t xml:space="preserve">, </w:t>
      </w:r>
      <w:r w:rsidR="00E364E2" w:rsidRPr="007C68F1">
        <w:rPr>
          <w:shd w:val="clear" w:color="auto" w:fill="FFFFFF"/>
        </w:rPr>
        <w:t>sound</w:t>
      </w:r>
      <w:r w:rsidR="005061AC" w:rsidRPr="007C68F1">
        <w:rPr>
          <w:shd w:val="clear" w:color="auto" w:fill="FFFFFF"/>
        </w:rPr>
        <w:t>ing</w:t>
      </w:r>
      <w:r w:rsidR="004801D3" w:rsidRPr="007C68F1">
        <w:rPr>
          <w:shd w:val="clear" w:color="auto" w:fill="FFFFFF"/>
        </w:rPr>
        <w:t xml:space="preserve"> the death knell for </w:t>
      </w:r>
      <w:r w:rsidR="005061AC" w:rsidRPr="007C68F1">
        <w:rPr>
          <w:shd w:val="clear" w:color="auto" w:fill="FFFFFF"/>
        </w:rPr>
        <w:t>the claims of the absent aggrieved employees</w:t>
      </w:r>
      <w:r w:rsidR="005F1100" w:rsidRPr="007C68F1">
        <w:rPr>
          <w:shd w:val="clear" w:color="auto" w:fill="FFFFFF"/>
        </w:rPr>
        <w:t>.</w:t>
      </w:r>
      <w:r w:rsidR="00E35F9C" w:rsidRPr="007C68F1">
        <w:rPr>
          <w:shd w:val="clear" w:color="auto" w:fill="FFFFFF"/>
        </w:rPr>
        <w:t xml:space="preserve">  (See </w:t>
      </w:r>
      <w:bookmarkStart w:id="43" w:name="dabmci_7a285fa0d0d34e329cb7b6b7eb6b67b1"/>
      <w:r w:rsidR="00E35F9C" w:rsidRPr="007C68F1">
        <w:rPr>
          <w:i/>
          <w:iCs/>
          <w:bdr w:val="none" w:sz="0" w:space="0" w:color="auto" w:frame="1"/>
        </w:rPr>
        <w:t>ZB, N.A. v. Superior Court</w:t>
      </w:r>
      <w:r w:rsidR="00E35F9C" w:rsidRPr="007C68F1">
        <w:t xml:space="preserve"> (2019) 8 Cal.5th 175, 184-185</w:t>
      </w:r>
      <w:bookmarkEnd w:id="43"/>
      <w:r w:rsidR="00E35F9C" w:rsidRPr="007C68F1">
        <w:t xml:space="preserve"> [P</w:t>
      </w:r>
      <w:r w:rsidR="00E35F9C" w:rsidRPr="007C68F1">
        <w:rPr>
          <w:bdr w:val="none" w:sz="0" w:space="0" w:color="auto" w:frame="1"/>
          <w:shd w:val="clear" w:color="auto" w:fill="FFFFFF"/>
        </w:rPr>
        <w:t xml:space="preserve">AGA </w:t>
      </w:r>
      <w:bookmarkStart w:id="44" w:name="dabmq_13"/>
      <w:r w:rsidR="00E35F9C" w:rsidRPr="007C68F1">
        <w:rPr>
          <w:bdr w:val="none" w:sz="0" w:space="0" w:color="auto" w:frame="1"/>
          <w:shd w:val="clear" w:color="auto" w:fill="FFFFFF"/>
        </w:rPr>
        <w:t>“</w:t>
      </w:r>
      <w:r w:rsidR="00E35F9C" w:rsidRPr="007C68F1">
        <w:rPr>
          <w:shd w:val="clear" w:color="auto" w:fill="FFFFFF"/>
        </w:rPr>
        <w:t xml:space="preserve">empowers </w:t>
      </w:r>
      <w:r w:rsidR="00E35F9C" w:rsidRPr="007C68F1">
        <w:rPr>
          <w:bdr w:val="none" w:sz="0" w:space="0" w:color="auto" w:frame="1"/>
          <w:shd w:val="clear" w:color="auto" w:fill="FFFFFF"/>
        </w:rPr>
        <w:t>employees</w:t>
      </w:r>
      <w:r w:rsidR="00E35F9C" w:rsidRPr="007C68F1">
        <w:rPr>
          <w:shd w:val="clear" w:color="auto" w:fill="FFFFFF"/>
        </w:rPr>
        <w:t xml:space="preserve"> to sue </w:t>
      </w:r>
      <w:r w:rsidR="00E35F9C" w:rsidRPr="007C68F1">
        <w:rPr>
          <w:bdr w:val="none" w:sz="0" w:space="0" w:color="auto" w:frame="1"/>
          <w:shd w:val="clear" w:color="auto" w:fill="FFFFFF"/>
        </w:rPr>
        <w:t>on</w:t>
      </w:r>
      <w:r w:rsidR="00E35F9C" w:rsidRPr="007C68F1">
        <w:rPr>
          <w:shd w:val="clear" w:color="auto" w:fill="FFFFFF"/>
        </w:rPr>
        <w:t xml:space="preserve"> </w:t>
      </w:r>
      <w:r w:rsidR="00E35F9C" w:rsidRPr="007C68F1">
        <w:rPr>
          <w:bdr w:val="none" w:sz="0" w:space="0" w:color="auto" w:frame="1"/>
          <w:shd w:val="clear" w:color="auto" w:fill="FFFFFF"/>
        </w:rPr>
        <w:t xml:space="preserve">behalf of </w:t>
      </w:r>
      <w:r w:rsidR="00E35F9C" w:rsidRPr="007C68F1">
        <w:rPr>
          <w:shd w:val="clear" w:color="auto" w:fill="FFFFFF"/>
        </w:rPr>
        <w:t xml:space="preserve">themselves and other </w:t>
      </w:r>
      <w:r w:rsidR="00E35F9C" w:rsidRPr="007C68F1">
        <w:rPr>
          <w:bdr w:val="none" w:sz="0" w:space="0" w:color="auto" w:frame="1"/>
          <w:shd w:val="clear" w:color="auto" w:fill="FFFFFF"/>
        </w:rPr>
        <w:t>aggrieved</w:t>
      </w:r>
      <w:r w:rsidR="00E35F9C" w:rsidRPr="007C68F1">
        <w:rPr>
          <w:shd w:val="clear" w:color="auto" w:fill="FFFFFF"/>
        </w:rPr>
        <w:t xml:space="preserve"> </w:t>
      </w:r>
      <w:r w:rsidR="00E35F9C" w:rsidRPr="007C68F1">
        <w:rPr>
          <w:bdr w:val="none" w:sz="0" w:space="0" w:color="auto" w:frame="1"/>
          <w:shd w:val="clear" w:color="auto" w:fill="FFFFFF"/>
        </w:rPr>
        <w:t>employees</w:t>
      </w:r>
      <w:r w:rsidR="00E35F9C" w:rsidRPr="007C68F1">
        <w:rPr>
          <w:shd w:val="clear" w:color="auto" w:fill="FFFFFF"/>
        </w:rPr>
        <w:t xml:space="preserve"> to recover civil penalties”</w:t>
      </w:r>
      <w:bookmarkEnd w:id="44"/>
      <w:r w:rsidR="00E35F9C" w:rsidRPr="007C68F1">
        <w:rPr>
          <w:shd w:val="clear" w:color="auto" w:fill="FFFFFF"/>
        </w:rPr>
        <w:t>].)</w:t>
      </w:r>
      <w:r w:rsidR="00FE0AC0" w:rsidRPr="007C68F1">
        <w:rPr>
          <w:shd w:val="clear" w:color="auto" w:fill="FFFFFF"/>
        </w:rPr>
        <w:t xml:space="preserve">  Woodworth’s individual rest period claim survive</w:t>
      </w:r>
      <w:r w:rsidR="009872AC" w:rsidRPr="007C68F1">
        <w:rPr>
          <w:shd w:val="clear" w:color="auto" w:fill="FFFFFF"/>
        </w:rPr>
        <w:t>d</w:t>
      </w:r>
      <w:r w:rsidR="00FE0AC0" w:rsidRPr="007C68F1">
        <w:rPr>
          <w:shd w:val="clear" w:color="auto" w:fill="FFFFFF"/>
        </w:rPr>
        <w:t xml:space="preserve">, but the persistence of that “‘de minimis individual’” claim </w:t>
      </w:r>
      <w:bookmarkStart w:id="45" w:name="dabmq_14"/>
      <w:r w:rsidR="00FE0AC0" w:rsidRPr="007C68F1">
        <w:rPr>
          <w:shd w:val="clear" w:color="auto" w:fill="FFFFFF"/>
        </w:rPr>
        <w:t xml:space="preserve">“‘creates a risk no </w:t>
      </w:r>
      <w:r w:rsidR="00FE0AC0" w:rsidRPr="007C68F1">
        <w:rPr>
          <w:i/>
          <w:iCs/>
          <w:shd w:val="clear" w:color="auto" w:fill="FFFFFF"/>
        </w:rPr>
        <w:t>formal</w:t>
      </w:r>
      <w:r w:rsidR="00FE0AC0" w:rsidRPr="007C68F1">
        <w:rPr>
          <w:shd w:val="clear" w:color="auto" w:fill="FFFFFF"/>
        </w:rPr>
        <w:t xml:space="preserve"> final judgment will ever be entered.’”</w:t>
      </w:r>
      <w:bookmarkEnd w:id="45"/>
      <w:r w:rsidR="00FE0AC0" w:rsidRPr="007C68F1">
        <w:rPr>
          <w:shd w:val="clear" w:color="auto" w:fill="FFFFFF"/>
        </w:rPr>
        <w:t xml:space="preserve">  (</w:t>
      </w:r>
      <w:bookmarkStart w:id="46" w:name="dabmci_8948422577a24b9eaadcf88e3c2d51b7"/>
      <w:r w:rsidR="00FE0AC0" w:rsidRPr="007C68F1">
        <w:rPr>
          <w:i/>
          <w:iCs/>
          <w:shd w:val="clear" w:color="auto" w:fill="FFFFFF"/>
        </w:rPr>
        <w:t>Miranda</w:t>
      </w:r>
      <w:r w:rsidR="00FE0AC0" w:rsidRPr="007C68F1">
        <w:rPr>
          <w:shd w:val="clear" w:color="auto" w:fill="FFFFFF"/>
        </w:rPr>
        <w:t xml:space="preserve">, </w:t>
      </w:r>
      <w:r w:rsidR="00FE0AC0" w:rsidRPr="007C68F1">
        <w:rPr>
          <w:i/>
          <w:iCs/>
          <w:shd w:val="clear" w:color="auto" w:fill="FFFFFF"/>
        </w:rPr>
        <w:t>supra</w:t>
      </w:r>
      <w:r w:rsidR="00FE0AC0" w:rsidRPr="007C68F1">
        <w:rPr>
          <w:shd w:val="clear" w:color="auto" w:fill="FFFFFF"/>
        </w:rPr>
        <w:t xml:space="preserve">, </w:t>
      </w:r>
      <w:r w:rsidR="008016C7" w:rsidRPr="007C68F1">
        <w:rPr>
          <w:shd w:val="clear" w:color="auto" w:fill="FFFFFF"/>
        </w:rPr>
        <w:t xml:space="preserve">241 Cal.App.4th </w:t>
      </w:r>
      <w:r w:rsidR="00FE0AC0" w:rsidRPr="007C68F1">
        <w:rPr>
          <w:shd w:val="clear" w:color="auto" w:fill="FFFFFF"/>
        </w:rPr>
        <w:t>at p. 202</w:t>
      </w:r>
      <w:bookmarkEnd w:id="46"/>
      <w:r w:rsidR="00FE0AC0" w:rsidRPr="007C68F1">
        <w:rPr>
          <w:shd w:val="clear" w:color="auto" w:fill="FFFFFF"/>
        </w:rPr>
        <w:t xml:space="preserve">.)  </w:t>
      </w:r>
      <w:r w:rsidR="008016C7" w:rsidRPr="007C68F1">
        <w:rPr>
          <w:shd w:val="clear" w:color="auto" w:fill="FFFFFF"/>
        </w:rPr>
        <w:t>And although t</w:t>
      </w:r>
      <w:r w:rsidR="004324A3" w:rsidRPr="007C68F1">
        <w:rPr>
          <w:shd w:val="clear" w:color="auto" w:fill="FFFFFF"/>
        </w:rPr>
        <w:t xml:space="preserve">he court had terminated </w:t>
      </w:r>
      <w:r w:rsidR="005F1100" w:rsidRPr="007C68F1">
        <w:rPr>
          <w:shd w:val="clear" w:color="auto" w:fill="FFFFFF"/>
        </w:rPr>
        <w:t>Woodworth’s</w:t>
      </w:r>
      <w:r w:rsidR="004324A3" w:rsidRPr="007C68F1">
        <w:rPr>
          <w:shd w:val="clear" w:color="auto" w:fill="FFFFFF"/>
        </w:rPr>
        <w:t xml:space="preserve"> class claims </w:t>
      </w:r>
      <w:r w:rsidR="00C64ADB" w:rsidRPr="007C68F1">
        <w:rPr>
          <w:shd w:val="clear" w:color="auto" w:fill="FFFFFF"/>
        </w:rPr>
        <w:t xml:space="preserve">by denying class certification </w:t>
      </w:r>
      <w:r w:rsidR="004324A3" w:rsidRPr="007C68F1">
        <w:rPr>
          <w:shd w:val="clear" w:color="auto" w:fill="FFFFFF"/>
        </w:rPr>
        <w:t xml:space="preserve">several months earlier, the </w:t>
      </w:r>
      <w:r w:rsidR="005F1100" w:rsidRPr="007C68F1">
        <w:rPr>
          <w:shd w:val="clear" w:color="auto" w:fill="FFFFFF"/>
        </w:rPr>
        <w:t xml:space="preserve">death knell </w:t>
      </w:r>
      <w:r w:rsidR="004324A3" w:rsidRPr="007C68F1">
        <w:rPr>
          <w:shd w:val="clear" w:color="auto" w:fill="FFFFFF"/>
        </w:rPr>
        <w:t xml:space="preserve">doctrine did not </w:t>
      </w:r>
      <w:r w:rsidR="004324A3" w:rsidRPr="007C68F1">
        <w:rPr>
          <w:shd w:val="clear" w:color="auto" w:fill="FFFFFF"/>
        </w:rPr>
        <w:lastRenderedPageBreak/>
        <w:t>render that order appealable.  Her pending PAGA cause of action precluded that</w:t>
      </w:r>
      <w:r w:rsidR="00394B0A" w:rsidRPr="007C68F1">
        <w:rPr>
          <w:shd w:val="clear" w:color="auto" w:fill="FFFFFF"/>
        </w:rPr>
        <w:t xml:space="preserve"> result. </w:t>
      </w:r>
      <w:r w:rsidR="00E35F9C" w:rsidRPr="007C68F1">
        <w:rPr>
          <w:shd w:val="clear" w:color="auto" w:fill="FFFFFF"/>
        </w:rPr>
        <w:t xml:space="preserve"> (</w:t>
      </w:r>
      <w:bookmarkStart w:id="47" w:name="dabmci_eec8e5d07ab64eef9ad431e63598b902"/>
      <w:r w:rsidR="00E35F9C" w:rsidRPr="007C68F1">
        <w:rPr>
          <w:i/>
          <w:iCs/>
        </w:rPr>
        <w:t>Cortez</w:t>
      </w:r>
      <w:r w:rsidR="00E35F9C" w:rsidRPr="007C68F1">
        <w:t xml:space="preserve">, </w:t>
      </w:r>
      <w:r w:rsidR="00E35F9C" w:rsidRPr="007C68F1">
        <w:rPr>
          <w:i/>
          <w:iCs/>
        </w:rPr>
        <w:t>supra</w:t>
      </w:r>
      <w:r w:rsidR="00E35F9C" w:rsidRPr="007C68F1">
        <w:t>, 15 Cal.App.5th at p. 8</w:t>
      </w:r>
      <w:bookmarkEnd w:id="47"/>
      <w:r w:rsidR="00E35F9C" w:rsidRPr="007C68F1">
        <w:t>.)</w:t>
      </w:r>
    </w:p>
    <w:p w14:paraId="1F663CE1" w14:textId="77777777" w:rsidR="000F565F" w:rsidRPr="007C68F1" w:rsidRDefault="00D16B2E" w:rsidP="007D1009">
      <w:pPr>
        <w:spacing w:line="480" w:lineRule="auto"/>
        <w:ind w:firstLine="720"/>
        <w:rPr>
          <w:shd w:val="clear" w:color="auto" w:fill="FFFFFF"/>
        </w:rPr>
      </w:pPr>
      <w:r w:rsidRPr="007C68F1">
        <w:rPr>
          <w:shd w:val="clear" w:color="auto" w:fill="FFFFFF"/>
        </w:rPr>
        <w:t xml:space="preserve">The medical center </w:t>
      </w:r>
      <w:r w:rsidR="00FE312B" w:rsidRPr="007C68F1">
        <w:rPr>
          <w:shd w:val="clear" w:color="auto" w:fill="FFFFFF"/>
        </w:rPr>
        <w:t>argues</w:t>
      </w:r>
      <w:r w:rsidR="001A3FF8" w:rsidRPr="007C68F1">
        <w:rPr>
          <w:shd w:val="clear" w:color="auto" w:fill="FFFFFF"/>
        </w:rPr>
        <w:t xml:space="preserve"> that </w:t>
      </w:r>
      <w:r w:rsidR="001A3FF8" w:rsidRPr="007C68F1">
        <w:rPr>
          <w:i/>
          <w:iCs/>
          <w:shd w:val="clear" w:color="auto" w:fill="FFFFFF"/>
        </w:rPr>
        <w:t>Baycol</w:t>
      </w:r>
      <w:r w:rsidR="00160A15" w:rsidRPr="007C68F1">
        <w:rPr>
          <w:shd w:val="clear" w:color="auto" w:fill="FFFFFF"/>
        </w:rPr>
        <w:t xml:space="preserve"> requires dismissal of most of the appeal.</w:t>
      </w:r>
      <w:r w:rsidR="00E67F72" w:rsidRPr="007C68F1">
        <w:rPr>
          <w:shd w:val="clear" w:color="auto" w:fill="FFFFFF"/>
        </w:rPr>
        <w:t xml:space="preserve">  We are not persuaded.</w:t>
      </w:r>
      <w:r w:rsidR="00DA085F" w:rsidRPr="007C68F1">
        <w:rPr>
          <w:shd w:val="clear" w:color="auto" w:fill="FFFFFF"/>
        </w:rPr>
        <w:t xml:space="preserve">  </w:t>
      </w:r>
      <w:r w:rsidR="00B57BE2" w:rsidRPr="007C68F1">
        <w:rPr>
          <w:i/>
          <w:iCs/>
          <w:shd w:val="clear" w:color="auto" w:fill="FFFFFF"/>
        </w:rPr>
        <w:t>Baycol</w:t>
      </w:r>
      <w:r w:rsidR="00B57BE2" w:rsidRPr="007C68F1">
        <w:rPr>
          <w:shd w:val="clear" w:color="auto" w:fill="FFFFFF"/>
        </w:rPr>
        <w:t xml:space="preserve"> considered an order sustaining a demurrer to </w:t>
      </w:r>
      <w:r w:rsidR="00DA085F" w:rsidRPr="007C68F1">
        <w:rPr>
          <w:shd w:val="clear" w:color="auto" w:fill="FFFFFF"/>
        </w:rPr>
        <w:t>class claims and individual claims</w:t>
      </w:r>
      <w:r w:rsidR="00B57BE2" w:rsidRPr="007C68F1">
        <w:rPr>
          <w:shd w:val="clear" w:color="auto" w:fill="FFFFFF"/>
        </w:rPr>
        <w:t>, which</w:t>
      </w:r>
      <w:r w:rsidR="003C283C" w:rsidRPr="007C68F1">
        <w:rPr>
          <w:shd w:val="clear" w:color="auto" w:fill="FFFFFF"/>
        </w:rPr>
        <w:t xml:space="preserve"> disposed of the </w:t>
      </w:r>
      <w:r w:rsidR="00B57BE2" w:rsidRPr="007C68F1">
        <w:rPr>
          <w:shd w:val="clear" w:color="auto" w:fill="FFFFFF"/>
        </w:rPr>
        <w:t xml:space="preserve">plaintiff’s </w:t>
      </w:r>
      <w:r w:rsidR="003C283C" w:rsidRPr="007C68F1">
        <w:rPr>
          <w:shd w:val="clear" w:color="auto" w:fill="FFFFFF"/>
        </w:rPr>
        <w:t>action</w:t>
      </w:r>
      <w:r w:rsidR="00160A15" w:rsidRPr="007C68F1">
        <w:rPr>
          <w:shd w:val="clear" w:color="auto" w:fill="FFFFFF"/>
        </w:rPr>
        <w:t xml:space="preserve"> entirely</w:t>
      </w:r>
      <w:r w:rsidR="003C283C" w:rsidRPr="007C68F1">
        <w:rPr>
          <w:shd w:val="clear" w:color="auto" w:fill="FFFFFF"/>
        </w:rPr>
        <w:t>.  (</w:t>
      </w:r>
      <w:bookmarkStart w:id="48" w:name="dabmci_e82f5eb5175f4f92ba0c873e32437862"/>
      <w:r w:rsidR="00080EF9" w:rsidRPr="007C68F1">
        <w:rPr>
          <w:i/>
          <w:iCs/>
          <w:shd w:val="clear" w:color="auto" w:fill="FFFFFF"/>
        </w:rPr>
        <w:t>Baycol</w:t>
      </w:r>
      <w:r w:rsidR="00080EF9" w:rsidRPr="007C68F1">
        <w:rPr>
          <w:shd w:val="clear" w:color="auto" w:fill="FFFFFF"/>
        </w:rPr>
        <w:t xml:space="preserve">, </w:t>
      </w:r>
      <w:r w:rsidR="00080EF9" w:rsidRPr="007C68F1">
        <w:rPr>
          <w:i/>
          <w:iCs/>
          <w:shd w:val="clear" w:color="auto" w:fill="FFFFFF"/>
        </w:rPr>
        <w:t>supra</w:t>
      </w:r>
      <w:r w:rsidR="00080EF9" w:rsidRPr="007C68F1">
        <w:rPr>
          <w:shd w:val="clear" w:color="auto" w:fill="FFFFFF"/>
        </w:rPr>
        <w:t>, 51 Cal.4th</w:t>
      </w:r>
      <w:r w:rsidR="00A63EF4" w:rsidRPr="007C68F1">
        <w:rPr>
          <w:shd w:val="clear" w:color="auto" w:fill="FFFFFF"/>
        </w:rPr>
        <w:t xml:space="preserve"> at p. 755</w:t>
      </w:r>
      <w:bookmarkEnd w:id="48"/>
      <w:r w:rsidR="003C283C" w:rsidRPr="007C68F1">
        <w:rPr>
          <w:i/>
          <w:iCs/>
          <w:shd w:val="clear" w:color="auto" w:fill="FFFFFF"/>
        </w:rPr>
        <w:t>.</w:t>
      </w:r>
      <w:r w:rsidR="003C283C" w:rsidRPr="007C68F1">
        <w:rPr>
          <w:shd w:val="clear" w:color="auto" w:fill="FFFFFF"/>
        </w:rPr>
        <w:t xml:space="preserve">)  </w:t>
      </w:r>
      <w:r w:rsidR="00A63EF4" w:rsidRPr="007C68F1">
        <w:rPr>
          <w:shd w:val="clear" w:color="auto" w:fill="FFFFFF"/>
        </w:rPr>
        <w:t xml:space="preserve">Our Supreme Court </w:t>
      </w:r>
      <w:r w:rsidR="00D5014F" w:rsidRPr="007C68F1">
        <w:rPr>
          <w:shd w:val="clear" w:color="auto" w:fill="FFFFFF"/>
        </w:rPr>
        <w:t>reasoned</w:t>
      </w:r>
      <w:r w:rsidR="00A63EF4" w:rsidRPr="007C68F1">
        <w:rPr>
          <w:shd w:val="clear" w:color="auto" w:fill="FFFFFF"/>
        </w:rPr>
        <w:t xml:space="preserve"> that the death knell doctrine did not </w:t>
      </w:r>
      <w:r w:rsidR="00B57BE2" w:rsidRPr="007C68F1">
        <w:rPr>
          <w:shd w:val="clear" w:color="auto" w:fill="FFFFFF"/>
        </w:rPr>
        <w:t>render the order</w:t>
      </w:r>
      <w:r w:rsidR="00A63EF4" w:rsidRPr="007C68F1">
        <w:rPr>
          <w:shd w:val="clear" w:color="auto" w:fill="FFFFFF"/>
        </w:rPr>
        <w:t xml:space="preserve"> </w:t>
      </w:r>
      <w:r w:rsidR="00B57BE2" w:rsidRPr="007C68F1">
        <w:rPr>
          <w:shd w:val="clear" w:color="auto" w:fill="FFFFFF"/>
        </w:rPr>
        <w:t xml:space="preserve">immediately appealable because the plaintiff could </w:t>
      </w:r>
      <w:r w:rsidR="008215E1" w:rsidRPr="007C68F1">
        <w:rPr>
          <w:shd w:val="clear" w:color="auto" w:fill="FFFFFF"/>
        </w:rPr>
        <w:t xml:space="preserve">(and did) </w:t>
      </w:r>
      <w:r w:rsidR="00B57BE2" w:rsidRPr="007C68F1">
        <w:rPr>
          <w:shd w:val="clear" w:color="auto" w:fill="FFFFFF"/>
        </w:rPr>
        <w:t>appeal from the judgment of dismissal</w:t>
      </w:r>
      <w:r w:rsidR="002160EF" w:rsidRPr="007C68F1">
        <w:rPr>
          <w:shd w:val="clear" w:color="auto" w:fill="FFFFFF"/>
        </w:rPr>
        <w:t>.</w:t>
      </w:r>
      <w:r w:rsidR="00704C0F" w:rsidRPr="007C68F1">
        <w:rPr>
          <w:shd w:val="clear" w:color="auto" w:fill="FFFFFF"/>
        </w:rPr>
        <w:t xml:space="preserve">  (</w:t>
      </w:r>
      <w:bookmarkStart w:id="49" w:name="dabmci_7a777a5c7a7c461aadcf7ebbaf1904e7"/>
      <w:r w:rsidR="00704C0F" w:rsidRPr="007C68F1">
        <w:rPr>
          <w:i/>
          <w:iCs/>
          <w:shd w:val="clear" w:color="auto" w:fill="FFFFFF"/>
        </w:rPr>
        <w:t>Id</w:t>
      </w:r>
      <w:r w:rsidR="00704C0F" w:rsidRPr="007C68F1">
        <w:rPr>
          <w:shd w:val="clear" w:color="auto" w:fill="FFFFFF"/>
        </w:rPr>
        <w:t>. at p</w:t>
      </w:r>
      <w:r w:rsidR="002E2379" w:rsidRPr="007C68F1">
        <w:rPr>
          <w:shd w:val="clear" w:color="auto" w:fill="FFFFFF"/>
        </w:rPr>
        <w:t>p</w:t>
      </w:r>
      <w:r w:rsidR="00704C0F" w:rsidRPr="007C68F1">
        <w:rPr>
          <w:shd w:val="clear" w:color="auto" w:fill="FFFFFF"/>
        </w:rPr>
        <w:t>.</w:t>
      </w:r>
      <w:r w:rsidR="0092444F" w:rsidRPr="007C68F1">
        <w:rPr>
          <w:shd w:val="clear" w:color="auto" w:fill="FFFFFF"/>
        </w:rPr>
        <w:t> </w:t>
      </w:r>
      <w:r w:rsidR="00704C0F" w:rsidRPr="007C68F1">
        <w:rPr>
          <w:shd w:val="clear" w:color="auto" w:fill="FFFFFF"/>
        </w:rPr>
        <w:t>760</w:t>
      </w:r>
      <w:r w:rsidRPr="007C68F1">
        <w:rPr>
          <w:shd w:val="clear" w:color="auto" w:fill="FFFFFF"/>
        </w:rPr>
        <w:t>-762</w:t>
      </w:r>
      <w:bookmarkEnd w:id="49"/>
      <w:r w:rsidR="00704C0F" w:rsidRPr="007C68F1">
        <w:rPr>
          <w:shd w:val="clear" w:color="auto" w:fill="FFFFFF"/>
        </w:rPr>
        <w:t xml:space="preserve">.) </w:t>
      </w:r>
      <w:r w:rsidR="008215E1" w:rsidRPr="007C68F1">
        <w:rPr>
          <w:shd w:val="clear" w:color="auto" w:fill="FFFFFF"/>
        </w:rPr>
        <w:t xml:space="preserve"> </w:t>
      </w:r>
      <w:r w:rsidR="00AD4A6A" w:rsidRPr="007C68F1">
        <w:rPr>
          <w:shd w:val="clear" w:color="auto" w:fill="FFFFFF"/>
        </w:rPr>
        <w:t>Thus, t</w:t>
      </w:r>
      <w:r w:rsidR="00E93E0A" w:rsidRPr="007C68F1">
        <w:rPr>
          <w:shd w:val="clear" w:color="auto" w:fill="FFFFFF"/>
        </w:rPr>
        <w:t xml:space="preserve">here </w:t>
      </w:r>
      <w:r w:rsidR="002E2379" w:rsidRPr="007C68F1">
        <w:rPr>
          <w:shd w:val="clear" w:color="auto" w:fill="FFFFFF"/>
        </w:rPr>
        <w:t>was</w:t>
      </w:r>
      <w:r w:rsidR="00EA75D8" w:rsidRPr="007C68F1">
        <w:rPr>
          <w:shd w:val="clear" w:color="auto" w:fill="FFFFFF"/>
        </w:rPr>
        <w:t xml:space="preserve"> </w:t>
      </w:r>
      <w:bookmarkStart w:id="50" w:name="dabmq_15"/>
      <w:r w:rsidR="00EA75D8" w:rsidRPr="007C68F1">
        <w:rPr>
          <w:shd w:val="clear" w:color="auto" w:fill="FFFFFF"/>
        </w:rPr>
        <w:t>“no need to apply any special exception to the usual one final judgment rule to ensure appellate review of class claims.”</w:t>
      </w:r>
      <w:bookmarkEnd w:id="50"/>
      <w:r w:rsidR="00EA75D8" w:rsidRPr="007C68F1">
        <w:rPr>
          <w:shd w:val="clear" w:color="auto" w:fill="FFFFFF"/>
        </w:rPr>
        <w:t xml:space="preserve">  (</w:t>
      </w:r>
      <w:bookmarkStart w:id="51" w:name="dabmci_07cef56559924e9c88c96664184b4169"/>
      <w:r w:rsidR="00EA75D8" w:rsidRPr="007C68F1">
        <w:rPr>
          <w:i/>
          <w:iCs/>
          <w:shd w:val="clear" w:color="auto" w:fill="FFFFFF"/>
        </w:rPr>
        <w:t>Id.</w:t>
      </w:r>
      <w:r w:rsidR="00EA75D8" w:rsidRPr="007C68F1">
        <w:rPr>
          <w:shd w:val="clear" w:color="auto" w:fill="FFFFFF"/>
        </w:rPr>
        <w:t xml:space="preserve"> at p. 754</w:t>
      </w:r>
      <w:bookmarkEnd w:id="51"/>
      <w:r w:rsidR="00EA75D8" w:rsidRPr="007C68F1">
        <w:rPr>
          <w:shd w:val="clear" w:color="auto" w:fill="FFFFFF"/>
        </w:rPr>
        <w:t xml:space="preserve">.)  </w:t>
      </w:r>
      <w:r w:rsidR="008215E1" w:rsidRPr="007C68F1">
        <w:rPr>
          <w:shd w:val="clear" w:color="auto" w:fill="FFFFFF"/>
        </w:rPr>
        <w:t xml:space="preserve">The court </w:t>
      </w:r>
      <w:r w:rsidR="00D5014F" w:rsidRPr="007C68F1">
        <w:rPr>
          <w:shd w:val="clear" w:color="auto" w:fill="FFFFFF"/>
        </w:rPr>
        <w:t>held</w:t>
      </w:r>
      <w:r w:rsidR="008215E1" w:rsidRPr="007C68F1">
        <w:rPr>
          <w:shd w:val="clear" w:color="auto" w:fill="FFFFFF"/>
        </w:rPr>
        <w:t xml:space="preserve"> that</w:t>
      </w:r>
      <w:r w:rsidR="00F0785A" w:rsidRPr="007C68F1">
        <w:rPr>
          <w:shd w:val="clear" w:color="auto" w:fill="FFFFFF"/>
        </w:rPr>
        <w:t xml:space="preserve"> t</w:t>
      </w:r>
      <w:r w:rsidR="00EA75D8" w:rsidRPr="007C68F1">
        <w:t>he</w:t>
      </w:r>
      <w:r w:rsidR="000E57A5" w:rsidRPr="007C68F1">
        <w:t xml:space="preserve"> death knell </w:t>
      </w:r>
      <w:bookmarkStart w:id="52" w:name="dabmq_16"/>
      <w:r w:rsidR="000E57A5" w:rsidRPr="007C68F1">
        <w:t>“doctrine render</w:t>
      </w:r>
      <w:r w:rsidR="00F0785A" w:rsidRPr="007C68F1">
        <w:t>s</w:t>
      </w:r>
      <w:r w:rsidR="000E57A5" w:rsidRPr="007C68F1">
        <w:t xml:space="preserve"> appealable only those orders that effectively terminate class claims but permit individual claims to continue.”</w:t>
      </w:r>
      <w:bookmarkEnd w:id="52"/>
      <w:r w:rsidR="000E57A5" w:rsidRPr="007C68F1">
        <w:t xml:space="preserve">  (</w:t>
      </w:r>
      <w:bookmarkStart w:id="53" w:name="dabmci_80a965080bcf41fe99349472003619c5"/>
      <w:r w:rsidR="007239F5" w:rsidRPr="007C68F1">
        <w:rPr>
          <w:i/>
        </w:rPr>
        <w:t>Ibid</w:t>
      </w:r>
      <w:r w:rsidR="000E57A5" w:rsidRPr="007C68F1">
        <w:rPr>
          <w:iCs/>
        </w:rPr>
        <w:t>.</w:t>
      </w:r>
      <w:bookmarkEnd w:id="53"/>
      <w:r w:rsidR="000E57A5" w:rsidRPr="007C68F1">
        <w:rPr>
          <w:iCs/>
        </w:rPr>
        <w:t>)</w:t>
      </w:r>
    </w:p>
    <w:p w14:paraId="303A532A" w14:textId="77777777" w:rsidR="00C52840" w:rsidRPr="007C68F1" w:rsidRDefault="00D16B2E" w:rsidP="007D1009">
      <w:pPr>
        <w:spacing w:line="480" w:lineRule="auto"/>
        <w:ind w:firstLine="720"/>
      </w:pPr>
      <w:r w:rsidRPr="007C68F1">
        <w:t xml:space="preserve">According to the medical center, </w:t>
      </w:r>
      <w:r w:rsidRPr="007C68F1">
        <w:rPr>
          <w:i/>
          <w:iCs/>
        </w:rPr>
        <w:t>Baycol</w:t>
      </w:r>
      <w:r w:rsidRPr="007C68F1">
        <w:t xml:space="preserve"> limits our review to the denial of class certification on the rest period claim, because </w:t>
      </w:r>
      <w:bookmarkStart w:id="54" w:name="dabmq_17"/>
      <w:r w:rsidR="00B73DE5" w:rsidRPr="007C68F1">
        <w:t>“the class part of the claim is foreclosed and, at the same time, the underlying ‘individual claim[] survive[s].’”</w:t>
      </w:r>
      <w:bookmarkEnd w:id="54"/>
      <w:r w:rsidR="00E364E2" w:rsidRPr="007C68F1">
        <w:t xml:space="preserve">  </w:t>
      </w:r>
      <w:r w:rsidR="00160A15" w:rsidRPr="007C68F1">
        <w:rPr>
          <w:i/>
          <w:iCs/>
        </w:rPr>
        <w:t>Baycol</w:t>
      </w:r>
      <w:r w:rsidR="00160A15" w:rsidRPr="007C68F1">
        <w:t xml:space="preserve"> does not impose that limitation on our review.  </w:t>
      </w:r>
      <w:r w:rsidR="00D32582" w:rsidRPr="007C68F1">
        <w:t xml:space="preserve">The </w:t>
      </w:r>
      <w:r w:rsidR="007813B1" w:rsidRPr="007C68F1">
        <w:rPr>
          <w:i/>
          <w:iCs/>
        </w:rPr>
        <w:t>Baycol</w:t>
      </w:r>
      <w:r w:rsidR="00D5014F" w:rsidRPr="007C68F1">
        <w:t xml:space="preserve"> </w:t>
      </w:r>
      <w:r w:rsidR="00D32582" w:rsidRPr="007C68F1">
        <w:t xml:space="preserve">court </w:t>
      </w:r>
      <w:r w:rsidR="00D5014F" w:rsidRPr="007C68F1">
        <w:t xml:space="preserve">required </w:t>
      </w:r>
      <w:r w:rsidR="007813B1" w:rsidRPr="007C68F1">
        <w:t xml:space="preserve">that </w:t>
      </w:r>
      <w:r w:rsidR="00D5014F" w:rsidRPr="007C68F1">
        <w:t>an</w:t>
      </w:r>
      <w:r w:rsidR="007813B1" w:rsidRPr="007C68F1">
        <w:t xml:space="preserve"> order </w:t>
      </w:r>
      <w:r w:rsidR="008227CE" w:rsidRPr="007C68F1">
        <w:t xml:space="preserve">must </w:t>
      </w:r>
      <w:r w:rsidR="007E5F07" w:rsidRPr="007C68F1">
        <w:t>allow</w:t>
      </w:r>
      <w:r w:rsidR="007813B1" w:rsidRPr="007C68F1">
        <w:t xml:space="preserve"> individual claims to survive</w:t>
      </w:r>
      <w:r w:rsidR="00D5014F" w:rsidRPr="007C68F1">
        <w:t xml:space="preserve"> </w:t>
      </w:r>
      <w:r w:rsidR="008227CE" w:rsidRPr="007C68F1">
        <w:t xml:space="preserve">in order </w:t>
      </w:r>
      <w:r w:rsidR="00D5014F" w:rsidRPr="007C68F1">
        <w:t xml:space="preserve">to trigger the death knell exception.  But it </w:t>
      </w:r>
      <w:r w:rsidR="00BE0303" w:rsidRPr="007C68F1">
        <w:t>did not</w:t>
      </w:r>
      <w:r w:rsidR="00D5014F" w:rsidRPr="007C68F1">
        <w:t xml:space="preserve"> </w:t>
      </w:r>
      <w:r w:rsidR="00BE0303" w:rsidRPr="007C68F1">
        <w:t>limit the</w:t>
      </w:r>
      <w:r w:rsidR="00D32582" w:rsidRPr="007C68F1">
        <w:t xml:space="preserve"> parts of the appealable order </w:t>
      </w:r>
      <w:r w:rsidR="00BE0303" w:rsidRPr="007C68F1">
        <w:t xml:space="preserve">that </w:t>
      </w:r>
      <w:r w:rsidR="008227CE" w:rsidRPr="007C68F1">
        <w:t xml:space="preserve">are </w:t>
      </w:r>
      <w:r w:rsidR="00D32582" w:rsidRPr="007C68F1">
        <w:t xml:space="preserve">reviewable once the exception </w:t>
      </w:r>
      <w:r w:rsidR="008227CE" w:rsidRPr="007C68F1">
        <w:t>applies</w:t>
      </w:r>
      <w:r w:rsidR="00D32582" w:rsidRPr="007C68F1">
        <w:t xml:space="preserve">.  And the limitation that the medical center seeks to impose </w:t>
      </w:r>
      <w:r w:rsidR="002875C1" w:rsidRPr="007C68F1">
        <w:t>makes no sense</w:t>
      </w:r>
      <w:r w:rsidR="00D32582" w:rsidRPr="007C68F1">
        <w:t xml:space="preserve">, given the rationale for the death knell doctrine.  </w:t>
      </w:r>
      <w:r w:rsidR="00080EF9" w:rsidRPr="007C68F1">
        <w:t>Suppose</w:t>
      </w:r>
      <w:r w:rsidR="00D32582" w:rsidRPr="007C68F1">
        <w:t xml:space="preserve"> we review</w:t>
      </w:r>
      <w:r w:rsidR="00080EF9" w:rsidRPr="007C68F1">
        <w:t xml:space="preserve">ed </w:t>
      </w:r>
      <w:r w:rsidR="00D32582" w:rsidRPr="007C68F1">
        <w:t>only that part of the order denying class certification on the rest period claim</w:t>
      </w:r>
      <w:r w:rsidR="00080EF9" w:rsidRPr="007C68F1">
        <w:t xml:space="preserve">, and we affirmed it.  On remand, </w:t>
      </w:r>
      <w:r w:rsidR="007E5F07" w:rsidRPr="007C68F1">
        <w:t>the concerns underlying the death knell doctrine would still exist</w:t>
      </w:r>
      <w:r w:rsidR="00080EF9" w:rsidRPr="007C68F1">
        <w:t xml:space="preserve">.  </w:t>
      </w:r>
      <w:r w:rsidR="007E5F07" w:rsidRPr="007C68F1">
        <w:t xml:space="preserve">Woodworth’s </w:t>
      </w:r>
      <w:r w:rsidR="00080EF9" w:rsidRPr="007C68F1">
        <w:t xml:space="preserve">class claims </w:t>
      </w:r>
      <w:r w:rsidR="00080EF9" w:rsidRPr="007C68F1">
        <w:lastRenderedPageBreak/>
        <w:t>would be terminated</w:t>
      </w:r>
      <w:r w:rsidR="00AD4A6A" w:rsidRPr="007C68F1">
        <w:t xml:space="preserve"> entirely</w:t>
      </w:r>
      <w:r w:rsidR="00080EF9" w:rsidRPr="007C68F1">
        <w:t xml:space="preserve">, and only her individual rest period claim would remain.  </w:t>
      </w:r>
      <w:r w:rsidR="00AD4A6A" w:rsidRPr="007C68F1">
        <w:t>S</w:t>
      </w:r>
      <w:r w:rsidR="00080EF9" w:rsidRPr="007C68F1">
        <w:t>he would still lack an incentive to pursue that individual claim to judgment</w:t>
      </w:r>
      <w:r w:rsidR="00BE0303" w:rsidRPr="007C68F1">
        <w:t xml:space="preserve">, so most of the order </w:t>
      </w:r>
      <w:r w:rsidR="00080EF9" w:rsidRPr="007C68F1">
        <w:t>terminating her class claim</w:t>
      </w:r>
      <w:r w:rsidR="00BE0303" w:rsidRPr="007C68F1">
        <w:t>s</w:t>
      </w:r>
      <w:r w:rsidR="00080EF9" w:rsidRPr="007C68F1">
        <w:t xml:space="preserve"> </w:t>
      </w:r>
      <w:r w:rsidR="00BE0303" w:rsidRPr="007C68F1">
        <w:t>would</w:t>
      </w:r>
      <w:r w:rsidR="00080EF9" w:rsidRPr="007C68F1">
        <w:t xml:space="preserve"> evade review</w:t>
      </w:r>
      <w:r w:rsidR="00FE312B" w:rsidRPr="007C68F1">
        <w:t xml:space="preserve">.  That is to say nothing of the May 2019 order terminating her </w:t>
      </w:r>
      <w:r w:rsidR="00080EF9" w:rsidRPr="007C68F1">
        <w:t>PAGA cause of action</w:t>
      </w:r>
      <w:r w:rsidR="00FE312B" w:rsidRPr="007C68F1">
        <w:t xml:space="preserve">, which would also evade review if we were to </w:t>
      </w:r>
      <w:r w:rsidR="005061AC" w:rsidRPr="007C68F1">
        <w:t>follow the course urged by the medical center.</w:t>
      </w:r>
    </w:p>
    <w:p w14:paraId="48953A6A" w14:textId="77777777" w:rsidR="00CB4DF4" w:rsidRPr="007C68F1" w:rsidRDefault="00D16B2E" w:rsidP="007D1009">
      <w:pPr>
        <w:spacing w:line="480" w:lineRule="auto"/>
        <w:ind w:firstLine="720"/>
      </w:pPr>
      <w:r w:rsidRPr="007C68F1">
        <w:t xml:space="preserve">The </w:t>
      </w:r>
      <w:r w:rsidR="007E5F07" w:rsidRPr="007C68F1">
        <w:t>proper</w:t>
      </w:r>
      <w:r w:rsidR="00741E01" w:rsidRPr="007C68F1">
        <w:t xml:space="preserve"> course </w:t>
      </w:r>
      <w:r w:rsidRPr="007C68F1">
        <w:t xml:space="preserve">is </w:t>
      </w:r>
      <w:r w:rsidR="002303E2" w:rsidRPr="007C68F1">
        <w:t xml:space="preserve">to review the entirety of the orders </w:t>
      </w:r>
      <w:r w:rsidR="001350F7" w:rsidRPr="007C68F1">
        <w:t>underlying</w:t>
      </w:r>
      <w:r w:rsidR="002303E2" w:rsidRPr="007C68F1">
        <w:t xml:space="preserve"> the </w:t>
      </w:r>
      <w:bookmarkStart w:id="55" w:name="dabmq_18"/>
      <w:r w:rsidR="00520058" w:rsidRPr="007C68F1">
        <w:t>“de facto final judgment for absent plaintiffs</w:t>
      </w:r>
      <w:r w:rsidR="002303E2" w:rsidRPr="007C68F1">
        <w:t>.</w:t>
      </w:r>
      <w:r w:rsidR="00520058" w:rsidRPr="007C68F1">
        <w:t>”</w:t>
      </w:r>
      <w:bookmarkEnd w:id="55"/>
      <w:r w:rsidRPr="007C68F1">
        <w:t xml:space="preserve"> </w:t>
      </w:r>
      <w:r w:rsidR="002303E2" w:rsidRPr="007C68F1">
        <w:t xml:space="preserve"> </w:t>
      </w:r>
      <w:r w:rsidRPr="007C68F1">
        <w:t>(</w:t>
      </w:r>
      <w:bookmarkStart w:id="56" w:name="dabmci_f6a0711ccb2140699e13dc0c0d278ba5"/>
      <w:r w:rsidRPr="007C68F1">
        <w:rPr>
          <w:i/>
          <w:iCs/>
        </w:rPr>
        <w:t>Baycol</w:t>
      </w:r>
      <w:r w:rsidRPr="007C68F1">
        <w:t xml:space="preserve">, </w:t>
      </w:r>
      <w:r w:rsidRPr="007C68F1">
        <w:rPr>
          <w:i/>
          <w:iCs/>
        </w:rPr>
        <w:t>supra</w:t>
      </w:r>
      <w:r w:rsidRPr="007C68F1">
        <w:t xml:space="preserve">, </w:t>
      </w:r>
      <w:r w:rsidRPr="007C68F1">
        <w:rPr>
          <w:shd w:val="clear" w:color="auto" w:fill="FFFFFF"/>
        </w:rPr>
        <w:t>51 Cal.4th at p. 759</w:t>
      </w:r>
      <w:bookmarkEnd w:id="56"/>
      <w:r w:rsidR="0015307D" w:rsidRPr="007C68F1">
        <w:rPr>
          <w:shd w:val="clear" w:color="auto" w:fill="FFFFFF"/>
        </w:rPr>
        <w:t>;</w:t>
      </w:r>
      <w:r w:rsidR="000531BD" w:rsidRPr="007C68F1">
        <w:rPr>
          <w:shd w:val="clear" w:color="auto" w:fill="FFFFFF"/>
        </w:rPr>
        <w:t xml:space="preserve"> see</w:t>
      </w:r>
      <w:r w:rsidR="0015307D" w:rsidRPr="007C68F1">
        <w:rPr>
          <w:shd w:val="clear" w:color="auto" w:fill="FFFFFF"/>
        </w:rPr>
        <w:t xml:space="preserve"> </w:t>
      </w:r>
      <w:bookmarkStart w:id="57" w:name="dabmci_f216e119c8f34beca0f7a78f8ff4bead"/>
      <w:r w:rsidR="0015307D" w:rsidRPr="007C68F1">
        <w:rPr>
          <w:i/>
          <w:iCs/>
          <w:bdr w:val="none" w:sz="0" w:space="0" w:color="auto" w:frame="1"/>
        </w:rPr>
        <w:t>Wallace v. GEICO General Ins. Co.</w:t>
      </w:r>
      <w:r w:rsidR="0015307D" w:rsidRPr="007C68F1">
        <w:t xml:space="preserve"> (2010) 183 Cal.App.4th 1390, </w:t>
      </w:r>
      <w:r w:rsidR="001F6EAB" w:rsidRPr="007C68F1">
        <w:t>1395-</w:t>
      </w:r>
      <w:r w:rsidR="0015307D" w:rsidRPr="007C68F1">
        <w:t>1396</w:t>
      </w:r>
      <w:r w:rsidR="001F6EAB" w:rsidRPr="007C68F1">
        <w:t xml:space="preserve"> &amp; </w:t>
      </w:r>
      <w:r w:rsidR="0015307D" w:rsidRPr="007C68F1">
        <w:t>fn. 5</w:t>
      </w:r>
      <w:bookmarkEnd w:id="57"/>
      <w:r w:rsidR="0015307D" w:rsidRPr="007C68F1">
        <w:t xml:space="preserve"> [</w:t>
      </w:r>
      <w:r w:rsidR="000531BD" w:rsidRPr="007C68F1">
        <w:t>appellate</w:t>
      </w:r>
      <w:r w:rsidR="0015307D" w:rsidRPr="007C68F1">
        <w:t xml:space="preserve"> court could review interim order on</w:t>
      </w:r>
      <w:r w:rsidR="000531BD" w:rsidRPr="007C68F1">
        <w:t xml:space="preserve"> summary judgment motion, because the ruling </w:t>
      </w:r>
      <w:bookmarkStart w:id="58" w:name="dabmq_19"/>
      <w:r w:rsidR="000531BD" w:rsidRPr="007C68F1">
        <w:t>“impacted the trial court’s decision to strike the class allegations”</w:t>
      </w:r>
      <w:bookmarkEnd w:id="58"/>
      <w:r w:rsidR="000531BD" w:rsidRPr="007C68F1">
        <w:t>].</w:t>
      </w:r>
      <w:r w:rsidR="002303E2" w:rsidRPr="007C68F1">
        <w:rPr>
          <w:shd w:val="clear" w:color="auto" w:fill="FFFFFF"/>
        </w:rPr>
        <w:t xml:space="preserve">)  </w:t>
      </w:r>
      <w:r w:rsidR="00741E01" w:rsidRPr="007C68F1">
        <w:t xml:space="preserve">As to the </w:t>
      </w:r>
      <w:r w:rsidRPr="007C68F1">
        <w:rPr>
          <w:shd w:val="clear" w:color="auto" w:fill="FFFFFF"/>
        </w:rPr>
        <w:t xml:space="preserve">absent </w:t>
      </w:r>
      <w:r w:rsidR="00741E01" w:rsidRPr="007C68F1">
        <w:rPr>
          <w:shd w:val="clear" w:color="auto" w:fill="FFFFFF"/>
        </w:rPr>
        <w:t xml:space="preserve">putative </w:t>
      </w:r>
      <w:r w:rsidRPr="007C68F1">
        <w:rPr>
          <w:shd w:val="clear" w:color="auto" w:fill="FFFFFF"/>
        </w:rPr>
        <w:t>class members</w:t>
      </w:r>
      <w:r w:rsidR="00741E01" w:rsidRPr="007C68F1">
        <w:rPr>
          <w:shd w:val="clear" w:color="auto" w:fill="FFFFFF"/>
        </w:rPr>
        <w:t xml:space="preserve">, that means </w:t>
      </w:r>
      <w:r w:rsidR="008227CE" w:rsidRPr="007C68F1">
        <w:rPr>
          <w:shd w:val="clear" w:color="auto" w:fill="FFFFFF"/>
        </w:rPr>
        <w:t xml:space="preserve">we should review </w:t>
      </w:r>
      <w:r w:rsidR="00741E01" w:rsidRPr="007C68F1">
        <w:rPr>
          <w:shd w:val="clear" w:color="auto" w:fill="FFFFFF"/>
        </w:rPr>
        <w:t>the order denying Woodworth’s motion to strike their declarations</w:t>
      </w:r>
      <w:r w:rsidR="002906EB" w:rsidRPr="007C68F1">
        <w:rPr>
          <w:shd w:val="clear" w:color="auto" w:fill="FFFFFF"/>
        </w:rPr>
        <w:t xml:space="preserve"> and denying her motion for class certification</w:t>
      </w:r>
      <w:r w:rsidR="00741E01" w:rsidRPr="007C68F1">
        <w:rPr>
          <w:shd w:val="clear" w:color="auto" w:fill="FFFFFF"/>
        </w:rPr>
        <w:t>.  (</w:t>
      </w:r>
      <w:bookmarkStart w:id="59" w:name="dabmci_1b776d68dced41ca8109a71b11d4d6e8"/>
      <w:r w:rsidR="00025EAA" w:rsidRPr="007C68F1">
        <w:rPr>
          <w:i/>
          <w:iCs/>
          <w:bdr w:val="none" w:sz="0" w:space="0" w:color="auto" w:frame="1"/>
        </w:rPr>
        <w:t>Barriga v. 99 Cents Only Stores LLC</w:t>
      </w:r>
      <w:r w:rsidR="00025EAA" w:rsidRPr="007C68F1">
        <w:t xml:space="preserve"> (2020) 51 Cal.App.5th 299, 320-321 (</w:t>
      </w:r>
      <w:r w:rsidR="00025EAA" w:rsidRPr="007C68F1">
        <w:rPr>
          <w:i/>
          <w:iCs/>
        </w:rPr>
        <w:t>Barriga</w:t>
      </w:r>
      <w:r w:rsidR="00025EAA" w:rsidRPr="007C68F1">
        <w:t>) [order denying motion</w:t>
      </w:r>
      <w:bookmarkEnd w:id="59"/>
      <w:r w:rsidR="00025EAA" w:rsidRPr="007C68F1">
        <w:t xml:space="preserve"> to strike putative class declarations was reviewable on appeal from order denying class certification motion].)  </w:t>
      </w:r>
      <w:r w:rsidR="00741E01" w:rsidRPr="007C68F1">
        <w:rPr>
          <w:shd w:val="clear" w:color="auto" w:fill="FFFFFF"/>
        </w:rPr>
        <w:t>As to the a</w:t>
      </w:r>
      <w:r w:rsidRPr="007C68F1">
        <w:rPr>
          <w:shd w:val="clear" w:color="auto" w:fill="FFFFFF"/>
        </w:rPr>
        <w:t>bsent aggrieved employees</w:t>
      </w:r>
      <w:r w:rsidR="007B793F" w:rsidRPr="007C68F1">
        <w:rPr>
          <w:shd w:val="clear" w:color="auto" w:fill="FFFFFF"/>
        </w:rPr>
        <w:t xml:space="preserve">, </w:t>
      </w:r>
      <w:r w:rsidR="008227CE" w:rsidRPr="007C68F1">
        <w:rPr>
          <w:shd w:val="clear" w:color="auto" w:fill="FFFFFF"/>
        </w:rPr>
        <w:t xml:space="preserve">it </w:t>
      </w:r>
      <w:r w:rsidR="007B793F" w:rsidRPr="007C68F1">
        <w:rPr>
          <w:shd w:val="clear" w:color="auto" w:fill="FFFFFF"/>
        </w:rPr>
        <w:t xml:space="preserve">means </w:t>
      </w:r>
      <w:r w:rsidR="008227CE" w:rsidRPr="007C68F1">
        <w:rPr>
          <w:shd w:val="clear" w:color="auto" w:fill="FFFFFF"/>
        </w:rPr>
        <w:t xml:space="preserve">we should review </w:t>
      </w:r>
      <w:r w:rsidR="007B793F" w:rsidRPr="007C68F1">
        <w:rPr>
          <w:shd w:val="clear" w:color="auto" w:fill="FFFFFF"/>
        </w:rPr>
        <w:t>the May 2019</w:t>
      </w:r>
      <w:r w:rsidR="00AF5402" w:rsidRPr="007C68F1">
        <w:rPr>
          <w:shd w:val="clear" w:color="auto" w:fill="FFFFFF"/>
        </w:rPr>
        <w:t xml:space="preserve"> order</w:t>
      </w:r>
      <w:r w:rsidR="007B793F" w:rsidRPr="007C68F1">
        <w:rPr>
          <w:shd w:val="clear" w:color="auto" w:fill="FFFFFF"/>
        </w:rPr>
        <w:t xml:space="preserve"> granting the medical center’s motions for summary adjudication, </w:t>
      </w:r>
      <w:r w:rsidR="00AF5402" w:rsidRPr="007C68F1">
        <w:rPr>
          <w:shd w:val="clear" w:color="auto" w:fill="FFFFFF"/>
        </w:rPr>
        <w:t>plus</w:t>
      </w:r>
      <w:r w:rsidR="007B793F" w:rsidRPr="007C68F1">
        <w:rPr>
          <w:shd w:val="clear" w:color="auto" w:fill="FFFFFF"/>
        </w:rPr>
        <w:t xml:space="preserve"> the </w:t>
      </w:r>
      <w:r w:rsidR="004F2920" w:rsidRPr="007C68F1">
        <w:rPr>
          <w:shd w:val="clear" w:color="auto" w:fill="FFFFFF"/>
        </w:rPr>
        <w:t>November 2018</w:t>
      </w:r>
      <w:r w:rsidR="007B793F" w:rsidRPr="007C68F1">
        <w:rPr>
          <w:shd w:val="clear" w:color="auto" w:fill="FFFFFF"/>
        </w:rPr>
        <w:t xml:space="preserve"> order granting</w:t>
      </w:r>
      <w:r w:rsidR="00522394" w:rsidRPr="007C68F1">
        <w:rPr>
          <w:shd w:val="clear" w:color="auto" w:fill="FFFFFF"/>
        </w:rPr>
        <w:t xml:space="preserve"> </w:t>
      </w:r>
      <w:r w:rsidR="008227CE" w:rsidRPr="007C68F1">
        <w:rPr>
          <w:shd w:val="clear" w:color="auto" w:fill="FFFFFF"/>
        </w:rPr>
        <w:t xml:space="preserve">the medical center’s </w:t>
      </w:r>
      <w:r w:rsidR="007B793F" w:rsidRPr="007C68F1">
        <w:rPr>
          <w:shd w:val="clear" w:color="auto" w:fill="FFFFFF"/>
        </w:rPr>
        <w:t>motion for summary</w:t>
      </w:r>
      <w:r w:rsidR="007402B6" w:rsidRPr="007C68F1">
        <w:rPr>
          <w:shd w:val="clear" w:color="auto" w:fill="FFFFFF"/>
        </w:rPr>
        <w:t xml:space="preserve"> </w:t>
      </w:r>
      <w:r w:rsidR="007B793F" w:rsidRPr="007C68F1">
        <w:rPr>
          <w:shd w:val="clear" w:color="auto" w:fill="FFFFFF"/>
        </w:rPr>
        <w:t xml:space="preserve">adjudication on the rounding claim.  </w:t>
      </w:r>
      <w:r w:rsidR="00D41F5A" w:rsidRPr="007C68F1">
        <w:rPr>
          <w:shd w:val="clear" w:color="auto" w:fill="FFFFFF"/>
        </w:rPr>
        <w:t>The</w:t>
      </w:r>
      <w:r w:rsidR="007402B6" w:rsidRPr="007C68F1">
        <w:rPr>
          <w:shd w:val="clear" w:color="auto" w:fill="FFFFFF"/>
        </w:rPr>
        <w:t xml:space="preserve"> court granted </w:t>
      </w:r>
      <w:r w:rsidR="00D41F5A" w:rsidRPr="007C68F1">
        <w:rPr>
          <w:shd w:val="clear" w:color="auto" w:fill="FFFFFF"/>
        </w:rPr>
        <w:t xml:space="preserve">each of those </w:t>
      </w:r>
      <w:r w:rsidR="007402B6" w:rsidRPr="007C68F1">
        <w:rPr>
          <w:shd w:val="clear" w:color="auto" w:fill="FFFFFF"/>
        </w:rPr>
        <w:t>motion</w:t>
      </w:r>
      <w:r w:rsidR="00FA7796" w:rsidRPr="007C68F1">
        <w:rPr>
          <w:shd w:val="clear" w:color="auto" w:fill="FFFFFF"/>
        </w:rPr>
        <w:t>s</w:t>
      </w:r>
      <w:r w:rsidR="007402B6" w:rsidRPr="007C68F1">
        <w:rPr>
          <w:shd w:val="clear" w:color="auto" w:fill="FFFFFF"/>
        </w:rPr>
        <w:t xml:space="preserve"> with respect to </w:t>
      </w:r>
      <w:r w:rsidR="004F2920" w:rsidRPr="007C68F1">
        <w:rPr>
          <w:shd w:val="clear" w:color="auto" w:fill="FFFFFF"/>
        </w:rPr>
        <w:t>the</w:t>
      </w:r>
      <w:r w:rsidR="007402B6" w:rsidRPr="007C68F1">
        <w:rPr>
          <w:shd w:val="clear" w:color="auto" w:fill="FFFFFF"/>
        </w:rPr>
        <w:t xml:space="preserve"> PAGA cause of action</w:t>
      </w:r>
      <w:r w:rsidR="004F2920" w:rsidRPr="007C68F1">
        <w:rPr>
          <w:shd w:val="clear" w:color="auto" w:fill="FFFFFF"/>
        </w:rPr>
        <w:t xml:space="preserve"> (as well as Woodworth’s individual claims)</w:t>
      </w:r>
      <w:r w:rsidR="007402B6" w:rsidRPr="007C68F1">
        <w:rPr>
          <w:shd w:val="clear" w:color="auto" w:fill="FFFFFF"/>
        </w:rPr>
        <w:t>.</w:t>
      </w:r>
      <w:r w:rsidR="004F2920" w:rsidRPr="007C68F1">
        <w:rPr>
          <w:shd w:val="clear" w:color="auto" w:fill="FFFFFF"/>
        </w:rPr>
        <w:t xml:space="preserve">  C</w:t>
      </w:r>
      <w:r w:rsidR="007402B6" w:rsidRPr="007C68F1">
        <w:rPr>
          <w:shd w:val="clear" w:color="auto" w:fill="FFFFFF"/>
        </w:rPr>
        <w:t xml:space="preserve">ollectively, </w:t>
      </w:r>
      <w:r w:rsidR="00FA7796" w:rsidRPr="007C68F1">
        <w:rPr>
          <w:shd w:val="clear" w:color="auto" w:fill="FFFFFF"/>
        </w:rPr>
        <w:t>the</w:t>
      </w:r>
      <w:r w:rsidR="00AB46ED" w:rsidRPr="007C68F1">
        <w:rPr>
          <w:shd w:val="clear" w:color="auto" w:fill="FFFFFF"/>
        </w:rPr>
        <w:t xml:space="preserve"> two</w:t>
      </w:r>
      <w:r w:rsidR="00CA0D8A" w:rsidRPr="007C68F1">
        <w:rPr>
          <w:shd w:val="clear" w:color="auto" w:fill="FFFFFF"/>
        </w:rPr>
        <w:t xml:space="preserve"> orders disposed of every theory of liability on which </w:t>
      </w:r>
      <w:r w:rsidR="0071507B" w:rsidRPr="007C68F1">
        <w:rPr>
          <w:shd w:val="clear" w:color="auto" w:fill="FFFFFF"/>
        </w:rPr>
        <w:t>Woodworth</w:t>
      </w:r>
      <w:r w:rsidR="00CA0D8A" w:rsidRPr="007C68F1">
        <w:rPr>
          <w:shd w:val="clear" w:color="auto" w:fill="FFFFFF"/>
        </w:rPr>
        <w:t xml:space="preserve"> based </w:t>
      </w:r>
      <w:r w:rsidR="003B377F" w:rsidRPr="007C68F1">
        <w:rPr>
          <w:shd w:val="clear" w:color="auto" w:fill="FFFFFF"/>
        </w:rPr>
        <w:t>the</w:t>
      </w:r>
      <w:r w:rsidR="00CA0D8A" w:rsidRPr="007C68F1">
        <w:rPr>
          <w:shd w:val="clear" w:color="auto" w:fill="FFFFFF"/>
        </w:rPr>
        <w:t xml:space="preserve"> PAGA cause of action—the </w:t>
      </w:r>
      <w:r w:rsidR="00CA0D8A" w:rsidRPr="007C68F1">
        <w:t xml:space="preserve">regular rate claim, the wage statement claim, the waiting time claim, the overtime claim, the rest period claim, and the rounding </w:t>
      </w:r>
      <w:r w:rsidR="00CA0D8A" w:rsidRPr="007C68F1">
        <w:lastRenderedPageBreak/>
        <w:t>claim</w:t>
      </w:r>
      <w:r w:rsidR="002906EB" w:rsidRPr="007C68F1">
        <w:t xml:space="preserve">.  All of </w:t>
      </w:r>
      <w:r w:rsidR="00D41F5A" w:rsidRPr="007C68F1">
        <w:t>those</w:t>
      </w:r>
      <w:r w:rsidR="002906EB" w:rsidRPr="007C68F1">
        <w:t xml:space="preserve"> orders contributed to the de fact</w:t>
      </w:r>
      <w:r w:rsidR="009872AC" w:rsidRPr="007C68F1">
        <w:t>o</w:t>
      </w:r>
      <w:r w:rsidR="002906EB" w:rsidRPr="007C68F1">
        <w:t xml:space="preserve"> final judgment for the absent plaintiffs.</w:t>
      </w:r>
      <w:r w:rsidR="00A61CD3" w:rsidRPr="007C68F1">
        <w:t xml:space="preserve"> </w:t>
      </w:r>
    </w:p>
    <w:p w14:paraId="1FEECB47" w14:textId="77777777" w:rsidR="00FE156D" w:rsidRPr="007C68F1" w:rsidRDefault="00D16B2E" w:rsidP="007D1009">
      <w:pPr>
        <w:spacing w:line="480" w:lineRule="auto"/>
        <w:ind w:firstLine="720"/>
      </w:pPr>
      <w:r w:rsidRPr="007C68F1">
        <w:t>For all of these reasons, we deny the medical center’s motion for partial dismissal of the appeal.</w:t>
      </w:r>
    </w:p>
    <w:p w14:paraId="26F9234F" w14:textId="77777777" w:rsidR="00FE156D" w:rsidRPr="007C68F1" w:rsidRDefault="00D16B2E" w:rsidP="007D1009">
      <w:pPr>
        <w:keepNext/>
        <w:spacing w:line="480" w:lineRule="auto"/>
        <w:ind w:firstLine="720"/>
        <w:rPr>
          <w:i/>
          <w:iCs/>
        </w:rPr>
      </w:pPr>
      <w:r w:rsidRPr="007C68F1">
        <w:t>B.</w:t>
      </w:r>
      <w:r w:rsidR="000D6680" w:rsidRPr="007C68F1">
        <w:t xml:space="preserve">  </w:t>
      </w:r>
      <w:r w:rsidR="000D6680" w:rsidRPr="007C68F1">
        <w:rPr>
          <w:i/>
          <w:iCs/>
        </w:rPr>
        <w:t>Woodworth’s Motion to Dismiss</w:t>
      </w:r>
      <w:r w:rsidR="00F818FC" w:rsidRPr="007C68F1">
        <w:rPr>
          <w:i/>
          <w:iCs/>
        </w:rPr>
        <w:t xml:space="preserve"> the Cross-Appeal</w:t>
      </w:r>
    </w:p>
    <w:p w14:paraId="3ECC503C" w14:textId="77777777" w:rsidR="000A0DCD" w:rsidRPr="007C68F1" w:rsidRDefault="00D16B2E" w:rsidP="007D1009">
      <w:pPr>
        <w:spacing w:line="480" w:lineRule="auto"/>
        <w:ind w:firstLine="720"/>
      </w:pPr>
      <w:r w:rsidRPr="007C68F1">
        <w:t xml:space="preserve">Woodworth moves to dismiss the </w:t>
      </w:r>
      <w:r w:rsidR="00A61CD3" w:rsidRPr="007C68F1">
        <w:t xml:space="preserve">medical center’s </w:t>
      </w:r>
      <w:r w:rsidRPr="007C68F1">
        <w:t>cross</w:t>
      </w:r>
      <w:r w:rsidR="00A61CD3" w:rsidRPr="007C68F1">
        <w:t>-</w:t>
      </w:r>
      <w:r w:rsidRPr="007C68F1">
        <w:t>appeal</w:t>
      </w:r>
      <w:r w:rsidR="00A61CD3" w:rsidRPr="007C68F1">
        <w:t xml:space="preserve">, arguing that </w:t>
      </w:r>
      <w:r w:rsidR="001A1F84" w:rsidRPr="007C68F1">
        <w:t>the death knell doctrine renders the orders that she challenges appealable, but it does not give the medical center the right to appeal.</w:t>
      </w:r>
      <w:r w:rsidR="0059276C" w:rsidRPr="007C68F1">
        <w:t xml:space="preserve">  </w:t>
      </w:r>
      <w:r w:rsidR="001A1F84" w:rsidRPr="007C68F1">
        <w:t>We agree.</w:t>
      </w:r>
    </w:p>
    <w:p w14:paraId="3F2EF306" w14:textId="77777777" w:rsidR="00F26F05" w:rsidRPr="007C68F1" w:rsidRDefault="00D16B2E" w:rsidP="007D1009">
      <w:pPr>
        <w:spacing w:line="480" w:lineRule="auto"/>
        <w:ind w:firstLine="720"/>
        <w:rPr>
          <w:shd w:val="clear" w:color="auto" w:fill="FFFFFF"/>
        </w:rPr>
      </w:pPr>
      <w:r w:rsidRPr="007C68F1">
        <w:rPr>
          <w:shd w:val="clear" w:color="auto" w:fill="FFFFFF"/>
        </w:rPr>
        <w:t xml:space="preserve">As discussed, </w:t>
      </w:r>
      <w:r w:rsidR="00A05D32" w:rsidRPr="007C68F1">
        <w:rPr>
          <w:shd w:val="clear" w:color="auto" w:fill="FFFFFF"/>
        </w:rPr>
        <w:t xml:space="preserve">the death knell doctrine permits us to review </w:t>
      </w:r>
      <w:r w:rsidR="004B77C8" w:rsidRPr="007C68F1">
        <w:rPr>
          <w:shd w:val="clear" w:color="auto" w:fill="FFFFFF"/>
        </w:rPr>
        <w:t xml:space="preserve">orders </w:t>
      </w:r>
      <w:r w:rsidR="00AE19C6" w:rsidRPr="007C68F1">
        <w:rPr>
          <w:shd w:val="clear" w:color="auto" w:fill="FFFFFF"/>
        </w:rPr>
        <w:t xml:space="preserve">that </w:t>
      </w:r>
      <w:r w:rsidR="006B0FD2" w:rsidRPr="007C68F1">
        <w:rPr>
          <w:shd w:val="clear" w:color="auto" w:fill="FFFFFF"/>
        </w:rPr>
        <w:t>terminated</w:t>
      </w:r>
      <w:r w:rsidR="00AE19C6" w:rsidRPr="007C68F1">
        <w:rPr>
          <w:shd w:val="clear" w:color="auto" w:fill="FFFFFF"/>
        </w:rPr>
        <w:t xml:space="preserve"> the claims of </w:t>
      </w:r>
      <w:r w:rsidR="004B77C8" w:rsidRPr="007C68F1">
        <w:rPr>
          <w:shd w:val="clear" w:color="auto" w:fill="FFFFFF"/>
        </w:rPr>
        <w:t>absent class members and absent aggrieved employees</w:t>
      </w:r>
      <w:r w:rsidRPr="007C68F1">
        <w:rPr>
          <w:shd w:val="clear" w:color="auto" w:fill="FFFFFF"/>
        </w:rPr>
        <w:t>.</w:t>
      </w:r>
      <w:r w:rsidR="004B77C8" w:rsidRPr="007C68F1">
        <w:rPr>
          <w:shd w:val="clear" w:color="auto" w:fill="FFFFFF"/>
        </w:rPr>
        <w:t xml:space="preserve">  But the </w:t>
      </w:r>
      <w:r w:rsidR="000810E5" w:rsidRPr="007C68F1">
        <w:rPr>
          <w:shd w:val="clear" w:color="auto" w:fill="FFFFFF"/>
        </w:rPr>
        <w:t xml:space="preserve">order from which the </w:t>
      </w:r>
      <w:r w:rsidR="007F4F0D" w:rsidRPr="007C68F1">
        <w:rPr>
          <w:shd w:val="clear" w:color="auto" w:fill="FFFFFF"/>
        </w:rPr>
        <w:t xml:space="preserve">medical center cross-appeals—the order denying </w:t>
      </w:r>
      <w:r w:rsidR="00AE19C6" w:rsidRPr="007C68F1">
        <w:rPr>
          <w:shd w:val="clear" w:color="auto" w:fill="FFFFFF"/>
        </w:rPr>
        <w:t>the</w:t>
      </w:r>
      <w:r w:rsidR="007F4F0D" w:rsidRPr="007C68F1">
        <w:rPr>
          <w:shd w:val="clear" w:color="auto" w:fill="FFFFFF"/>
        </w:rPr>
        <w:t xml:space="preserve"> motion to strike the PAGA allegations—</w:t>
      </w:r>
      <w:r w:rsidR="001B15C6" w:rsidRPr="007C68F1">
        <w:rPr>
          <w:shd w:val="clear" w:color="auto" w:fill="FFFFFF"/>
        </w:rPr>
        <w:t>did not contribute to that de facto final judgment</w:t>
      </w:r>
      <w:r w:rsidR="003F7D52" w:rsidRPr="007C68F1">
        <w:rPr>
          <w:shd w:val="clear" w:color="auto" w:fill="FFFFFF"/>
        </w:rPr>
        <w:t xml:space="preserve"> against the absent class members and aggrieved employees.  </w:t>
      </w:r>
      <w:r w:rsidR="00CD224E" w:rsidRPr="007C68F1">
        <w:rPr>
          <w:shd w:val="clear" w:color="auto" w:fill="FFFFFF"/>
        </w:rPr>
        <w:t>Rather, the order would</w:t>
      </w:r>
      <w:r w:rsidR="003F7D52" w:rsidRPr="007C68F1">
        <w:rPr>
          <w:shd w:val="clear" w:color="auto" w:fill="FFFFFF"/>
        </w:rPr>
        <w:t xml:space="preserve"> have kept the PAGA claims alive, </w:t>
      </w:r>
      <w:r w:rsidR="005E63F8" w:rsidRPr="007C68F1">
        <w:rPr>
          <w:shd w:val="clear" w:color="auto" w:fill="FFFFFF"/>
        </w:rPr>
        <w:t>if</w:t>
      </w:r>
      <w:r w:rsidR="003F7D52" w:rsidRPr="007C68F1">
        <w:rPr>
          <w:shd w:val="clear" w:color="auto" w:fill="FFFFFF"/>
        </w:rPr>
        <w:t xml:space="preserve"> </w:t>
      </w:r>
      <w:r w:rsidR="00366B33" w:rsidRPr="007C68F1">
        <w:rPr>
          <w:shd w:val="clear" w:color="auto" w:fill="FFFFFF"/>
        </w:rPr>
        <w:t>the clai</w:t>
      </w:r>
      <w:r w:rsidR="005E63F8" w:rsidRPr="007C68F1">
        <w:rPr>
          <w:shd w:val="clear" w:color="auto" w:fill="FFFFFF"/>
        </w:rPr>
        <w:t>ms</w:t>
      </w:r>
      <w:r w:rsidR="003F7D52" w:rsidRPr="007C68F1">
        <w:rPr>
          <w:shd w:val="clear" w:color="auto" w:fill="FFFFFF"/>
        </w:rPr>
        <w:t xml:space="preserve"> </w:t>
      </w:r>
      <w:r w:rsidR="005E63F8" w:rsidRPr="007C68F1">
        <w:rPr>
          <w:shd w:val="clear" w:color="auto" w:fill="FFFFFF"/>
        </w:rPr>
        <w:t xml:space="preserve">had </w:t>
      </w:r>
      <w:r w:rsidR="003F7D52" w:rsidRPr="007C68F1">
        <w:rPr>
          <w:shd w:val="clear" w:color="auto" w:fill="FFFFFF"/>
        </w:rPr>
        <w:t>survived the medical center’s other motions.</w:t>
      </w:r>
      <w:r w:rsidR="00AC457A" w:rsidRPr="007C68F1">
        <w:rPr>
          <w:shd w:val="clear" w:color="auto" w:fill="FFFFFF"/>
        </w:rPr>
        <w:t xml:space="preserve">  The death knell doctrine therefore does not give us jurisdiction over the cross-appeal.</w:t>
      </w:r>
    </w:p>
    <w:p w14:paraId="072E163C" w14:textId="77777777" w:rsidR="00FF3DEC" w:rsidRPr="007C68F1" w:rsidRDefault="00D16B2E" w:rsidP="007D1009">
      <w:pPr>
        <w:spacing w:line="480" w:lineRule="auto"/>
        <w:ind w:firstLine="720"/>
      </w:pPr>
      <w:r w:rsidRPr="007C68F1">
        <w:rPr>
          <w:shd w:val="clear" w:color="auto" w:fill="FFFFFF"/>
        </w:rPr>
        <w:t>Nevertheless, Woodworth observes that we may consider</w:t>
      </w:r>
      <w:r w:rsidRPr="007C68F1">
        <w:rPr>
          <w:shd w:val="clear" w:color="auto" w:fill="FFFFFF"/>
        </w:rPr>
        <w:t xml:space="preserve"> the medical center’s arguments in its cross-appeal as </w:t>
      </w:r>
      <w:bookmarkStart w:id="60" w:name="dabmq_20"/>
      <w:r w:rsidRPr="007C68F1">
        <w:rPr>
          <w:shd w:val="clear" w:color="auto" w:fill="FFFFFF"/>
        </w:rPr>
        <w:t>“alternative grounds to affirm”</w:t>
      </w:r>
      <w:bookmarkEnd w:id="60"/>
      <w:r w:rsidRPr="007C68F1">
        <w:rPr>
          <w:shd w:val="clear" w:color="auto" w:fill="FFFFFF"/>
        </w:rPr>
        <w:t xml:space="preserve"> </w:t>
      </w:r>
      <w:r w:rsidR="003C5085" w:rsidRPr="007C68F1">
        <w:t>the court’s rulings terminating the PAGA cause of action, so the cross-appeal is “wholly unnecessary.”</w:t>
      </w:r>
      <w:r w:rsidR="008D2AFC" w:rsidRPr="007C68F1">
        <w:t xml:space="preserve">  </w:t>
      </w:r>
      <w:r w:rsidR="003D3796" w:rsidRPr="007C68F1">
        <w:t>Again, we agree with her.  To</w:t>
      </w:r>
      <w:r w:rsidR="00276819" w:rsidRPr="007C68F1">
        <w:t xml:space="preserve"> the extent that we conclude the trial court erred </w:t>
      </w:r>
      <w:r w:rsidR="009E48E4" w:rsidRPr="007C68F1">
        <w:t>by</w:t>
      </w:r>
      <w:r w:rsidR="00276819" w:rsidRPr="007C68F1">
        <w:t xml:space="preserve"> </w:t>
      </w:r>
      <w:r w:rsidR="009E48E4" w:rsidRPr="007C68F1">
        <w:t>terminating</w:t>
      </w:r>
      <w:r w:rsidR="00276819" w:rsidRPr="007C68F1">
        <w:t xml:space="preserve"> the PAGA claims, we </w:t>
      </w:r>
      <w:r w:rsidR="003D3796" w:rsidRPr="007C68F1">
        <w:t>consider the argument</w:t>
      </w:r>
      <w:r w:rsidR="009E48E4" w:rsidRPr="007C68F1">
        <w:t>s</w:t>
      </w:r>
      <w:r w:rsidR="00276819" w:rsidRPr="007C68F1">
        <w:t xml:space="preserve"> </w:t>
      </w:r>
      <w:r w:rsidR="009E48E4" w:rsidRPr="007C68F1">
        <w:t>advanced</w:t>
      </w:r>
      <w:r w:rsidR="00276819" w:rsidRPr="007C68F1">
        <w:t xml:space="preserve"> by the medical center in </w:t>
      </w:r>
      <w:r w:rsidR="003D3796" w:rsidRPr="007C68F1">
        <w:t>its</w:t>
      </w:r>
      <w:r w:rsidR="00276819" w:rsidRPr="007C68F1">
        <w:t xml:space="preserve"> motion to strike</w:t>
      </w:r>
      <w:r w:rsidR="003D3796" w:rsidRPr="007C68F1">
        <w:t xml:space="preserve"> the PAGA allegations as alternative grounds to affirm </w:t>
      </w:r>
      <w:r w:rsidR="00D716AD" w:rsidRPr="007C68F1">
        <w:t>those</w:t>
      </w:r>
      <w:r w:rsidR="003D3796" w:rsidRPr="007C68F1">
        <w:t xml:space="preserve"> orders.</w:t>
      </w:r>
      <w:r w:rsidRPr="007C68F1">
        <w:t xml:space="preserve">  (See </w:t>
      </w:r>
      <w:bookmarkStart w:id="61" w:name="dabmci_2a231c33eadb4ae297f0e727e7aa9937"/>
      <w:r w:rsidRPr="007C68F1">
        <w:rPr>
          <w:i/>
          <w:iCs/>
          <w:bdr w:val="none" w:sz="0" w:space="0" w:color="auto" w:frame="1"/>
        </w:rPr>
        <w:t xml:space="preserve">Hicks v. Kaufman </w:t>
      </w:r>
      <w:r w:rsidR="0092444F" w:rsidRPr="007C68F1">
        <w:rPr>
          <w:i/>
          <w:iCs/>
          <w:bdr w:val="none" w:sz="0" w:space="0" w:color="auto" w:frame="1"/>
        </w:rPr>
        <w:t>&amp;</w:t>
      </w:r>
      <w:r w:rsidRPr="007C68F1">
        <w:rPr>
          <w:i/>
          <w:iCs/>
          <w:bdr w:val="none" w:sz="0" w:space="0" w:color="auto" w:frame="1"/>
        </w:rPr>
        <w:t xml:space="preserve"> Broad Home Corp.</w:t>
      </w:r>
      <w:r w:rsidRPr="007C68F1">
        <w:t xml:space="preserve"> (2001) 89 Cal.App.4th 908, 924, fn. 56</w:t>
      </w:r>
      <w:bookmarkEnd w:id="61"/>
      <w:r w:rsidRPr="007C68F1">
        <w:t xml:space="preserve"> [</w:t>
      </w:r>
      <w:bookmarkStart w:id="62" w:name="dabmq_21"/>
      <w:r w:rsidRPr="007C68F1">
        <w:t>“</w:t>
      </w:r>
      <w:r w:rsidRPr="007C68F1">
        <w:rPr>
          <w:shd w:val="clear" w:color="auto" w:fill="FFFFFF"/>
        </w:rPr>
        <w:t xml:space="preserve">it </w:t>
      </w:r>
      <w:r w:rsidRPr="007C68F1">
        <w:rPr>
          <w:shd w:val="clear" w:color="auto" w:fill="FFFFFF"/>
        </w:rPr>
        <w:lastRenderedPageBreak/>
        <w:t>is not necessary for the respondent to file a cross-appeal in order to raise an additional legal ground for affirming the judgment or order against the appellant”</w:t>
      </w:r>
      <w:bookmarkEnd w:id="62"/>
      <w:r w:rsidRPr="007C68F1">
        <w:rPr>
          <w:shd w:val="clear" w:color="auto" w:fill="FFFFFF"/>
        </w:rPr>
        <w:t>].)</w:t>
      </w:r>
    </w:p>
    <w:p w14:paraId="0E17A23D" w14:textId="77777777" w:rsidR="001F3B07" w:rsidRPr="007C68F1" w:rsidRDefault="00D16B2E" w:rsidP="007D1009">
      <w:pPr>
        <w:spacing w:line="480" w:lineRule="auto"/>
        <w:ind w:firstLine="720"/>
      </w:pPr>
      <w:r w:rsidRPr="007C68F1">
        <w:t>For these reasons, we dismiss the cross-appea</w:t>
      </w:r>
      <w:r w:rsidRPr="007C68F1">
        <w:t>l</w:t>
      </w:r>
      <w:r w:rsidR="005E5E70" w:rsidRPr="007C68F1">
        <w:t xml:space="preserve"> </w:t>
      </w:r>
      <w:r w:rsidRPr="007C68F1">
        <w:t xml:space="preserve">but consider the arguments raised in the cross-appeal as alternative </w:t>
      </w:r>
      <w:r w:rsidR="009E48E4" w:rsidRPr="007C68F1">
        <w:t>grounds</w:t>
      </w:r>
      <w:r w:rsidRPr="007C68F1">
        <w:t xml:space="preserve"> to affirm the orders </w:t>
      </w:r>
      <w:r w:rsidR="009E48E4" w:rsidRPr="007C68F1">
        <w:t>from which Woodworth appeals</w:t>
      </w:r>
      <w:r w:rsidR="000333F4" w:rsidRPr="007C68F1">
        <w:t xml:space="preserve">. </w:t>
      </w:r>
    </w:p>
    <w:p w14:paraId="3BB7B89B" w14:textId="77777777" w:rsidR="002A47BF" w:rsidRPr="007C68F1" w:rsidRDefault="00D16B2E" w:rsidP="007D1009">
      <w:pPr>
        <w:keepNext/>
        <w:keepLines/>
        <w:spacing w:line="480" w:lineRule="auto"/>
        <w:rPr>
          <w:i/>
          <w:iCs/>
        </w:rPr>
      </w:pPr>
      <w:r w:rsidRPr="007C68F1">
        <w:t xml:space="preserve">II.  </w:t>
      </w:r>
      <w:r w:rsidRPr="007C68F1">
        <w:rPr>
          <w:i/>
          <w:iCs/>
        </w:rPr>
        <w:t xml:space="preserve">Motion for Summary Adjudication </w:t>
      </w:r>
      <w:r w:rsidR="00965A4E" w:rsidRPr="007C68F1">
        <w:rPr>
          <w:i/>
          <w:iCs/>
        </w:rPr>
        <w:t>on the Rounding Claim</w:t>
      </w:r>
    </w:p>
    <w:p w14:paraId="1231DFDD" w14:textId="77777777" w:rsidR="00965A4E" w:rsidRPr="007C68F1" w:rsidRDefault="00D16B2E" w:rsidP="007D1009">
      <w:pPr>
        <w:spacing w:line="480" w:lineRule="auto"/>
      </w:pPr>
      <w:r w:rsidRPr="007C68F1">
        <w:tab/>
      </w:r>
      <w:r w:rsidR="000C2FE6" w:rsidRPr="007C68F1">
        <w:t xml:space="preserve">Woodworth argues that the trial court erred by granting the medical center’s motion for summary adjudication on the rounding claim.  </w:t>
      </w:r>
      <w:r w:rsidR="009A741B" w:rsidRPr="007C68F1">
        <w:t xml:space="preserve">In particular, she urges us to </w:t>
      </w:r>
      <w:r w:rsidR="008A303E">
        <w:t>follow</w:t>
      </w:r>
      <w:r w:rsidR="00AC4255" w:rsidRPr="007C68F1">
        <w:t xml:space="preserve"> </w:t>
      </w:r>
      <w:r w:rsidR="00AC4255" w:rsidRPr="007C68F1">
        <w:rPr>
          <w:i/>
          <w:iCs/>
        </w:rPr>
        <w:t>Camp</w:t>
      </w:r>
      <w:r w:rsidR="00AC4255" w:rsidRPr="007C68F1">
        <w:t xml:space="preserve">.  </w:t>
      </w:r>
      <w:r w:rsidR="00AC4255" w:rsidRPr="007C68F1">
        <w:rPr>
          <w:i/>
          <w:iCs/>
        </w:rPr>
        <w:t xml:space="preserve">Camp </w:t>
      </w:r>
      <w:r w:rsidR="00AC4255" w:rsidRPr="007C68F1">
        <w:t xml:space="preserve">reversed </w:t>
      </w:r>
      <w:r w:rsidR="0051521F" w:rsidRPr="007C68F1">
        <w:t>a judgment</w:t>
      </w:r>
      <w:r w:rsidR="00AC4255" w:rsidRPr="007C68F1">
        <w:t xml:space="preserve"> for </w:t>
      </w:r>
      <w:r w:rsidR="0051521F" w:rsidRPr="007C68F1">
        <w:t>the</w:t>
      </w:r>
      <w:r w:rsidR="00AC4255" w:rsidRPr="007C68F1">
        <w:t xml:space="preserve"> </w:t>
      </w:r>
      <w:r w:rsidR="0051521F" w:rsidRPr="007C68F1">
        <w:t>employer</w:t>
      </w:r>
      <w:r w:rsidR="00AC4255" w:rsidRPr="007C68F1">
        <w:t xml:space="preserve"> on a rounding </w:t>
      </w:r>
      <w:r w:rsidR="0051521F" w:rsidRPr="007C68F1">
        <w:t xml:space="preserve">claim, holding </w:t>
      </w:r>
      <w:r w:rsidR="00AC4255" w:rsidRPr="007C68F1">
        <w:t xml:space="preserve">that </w:t>
      </w:r>
      <w:bookmarkStart w:id="63" w:name="dabmq_22"/>
      <w:r w:rsidR="00AC4255" w:rsidRPr="007C68F1">
        <w:t>“if an employer . . . can capture and has captured the exact amount of time an employee has worked during a shift, the employer must pay the employee for ‘all the time’ worked.”</w:t>
      </w:r>
      <w:bookmarkEnd w:id="63"/>
      <w:r w:rsidR="00AC4255" w:rsidRPr="007C68F1">
        <w:t xml:space="preserve">  (</w:t>
      </w:r>
      <w:bookmarkStart w:id="64" w:name="dabmci_15d62a423d1b4d3092988c5d0684d472"/>
      <w:r w:rsidR="00AC4255" w:rsidRPr="00032059">
        <w:rPr>
          <w:i/>
          <w:iCs/>
          <w:bdr w:val="none" w:sz="0" w:space="0" w:color="auto" w:frame="1"/>
        </w:rPr>
        <w:t>Camp</w:t>
      </w:r>
      <w:r w:rsidR="0051521F" w:rsidRPr="00032059">
        <w:rPr>
          <w:bdr w:val="none" w:sz="0" w:space="0" w:color="auto" w:frame="1"/>
        </w:rPr>
        <w:t xml:space="preserve">, </w:t>
      </w:r>
      <w:r w:rsidR="0051521F" w:rsidRPr="00032059">
        <w:rPr>
          <w:i/>
          <w:iCs/>
          <w:bdr w:val="none" w:sz="0" w:space="0" w:color="auto" w:frame="1"/>
        </w:rPr>
        <w:t>supra</w:t>
      </w:r>
      <w:r w:rsidR="0051521F" w:rsidRPr="00032059">
        <w:rPr>
          <w:bdr w:val="none" w:sz="0" w:space="0" w:color="auto" w:frame="1"/>
        </w:rPr>
        <w:t xml:space="preserve">, </w:t>
      </w:r>
      <w:r w:rsidR="00AC4255" w:rsidRPr="007C68F1">
        <w:t xml:space="preserve">84 Cal.App.5th </w:t>
      </w:r>
      <w:r w:rsidR="0051521F" w:rsidRPr="007C68F1">
        <w:t xml:space="preserve">at p. </w:t>
      </w:r>
      <w:r w:rsidR="00AC4255" w:rsidRPr="007C68F1">
        <w:t>660</w:t>
      </w:r>
      <w:bookmarkEnd w:id="64"/>
      <w:r w:rsidR="00AC4255" w:rsidRPr="007C68F1">
        <w:t>.)</w:t>
      </w:r>
      <w:r w:rsidR="0051521F" w:rsidRPr="007C68F1">
        <w:t xml:space="preserve">  We agree with the reasoning in </w:t>
      </w:r>
      <w:bookmarkStart w:id="65" w:name="dabmci_6ee01d1b6e334997ad9a83414bd5b2f1"/>
      <w:r w:rsidR="0051521F" w:rsidRPr="007C68F1">
        <w:rPr>
          <w:i/>
          <w:iCs/>
        </w:rPr>
        <w:t>Camp</w:t>
      </w:r>
      <w:bookmarkEnd w:id="65"/>
      <w:r w:rsidR="0051521F" w:rsidRPr="007C68F1">
        <w:t xml:space="preserve">, and we </w:t>
      </w:r>
      <w:r w:rsidR="007F792E" w:rsidRPr="007C68F1">
        <w:t xml:space="preserve">accordingly </w:t>
      </w:r>
      <w:r w:rsidR="0051521F" w:rsidRPr="007C68F1">
        <w:t xml:space="preserve">reverse the order granting </w:t>
      </w:r>
      <w:r w:rsidR="00E84540" w:rsidRPr="007C68F1">
        <w:t>summary adjudication for the medical center on</w:t>
      </w:r>
      <w:r w:rsidR="00402D3B" w:rsidRPr="007C68F1">
        <w:t xml:space="preserve"> the rounding</w:t>
      </w:r>
      <w:r w:rsidR="00E84540" w:rsidRPr="007C68F1">
        <w:t xml:space="preserve"> claim.</w:t>
      </w:r>
    </w:p>
    <w:p w14:paraId="1E65D4B0" w14:textId="77777777" w:rsidR="000C2FE6" w:rsidRPr="007C68F1" w:rsidRDefault="00D16B2E" w:rsidP="007D1009">
      <w:pPr>
        <w:keepNext/>
        <w:spacing w:line="480" w:lineRule="auto"/>
      </w:pPr>
      <w:r w:rsidRPr="007C68F1">
        <w:tab/>
        <w:t xml:space="preserve">A.  </w:t>
      </w:r>
      <w:r w:rsidRPr="007C68F1">
        <w:rPr>
          <w:i/>
          <w:iCs/>
        </w:rPr>
        <w:t>Relevant Background</w:t>
      </w:r>
    </w:p>
    <w:p w14:paraId="439D2EA4" w14:textId="77777777" w:rsidR="00837BDC" w:rsidRPr="007C68F1" w:rsidRDefault="00D16B2E" w:rsidP="007D1009">
      <w:pPr>
        <w:spacing w:line="480" w:lineRule="auto"/>
        <w:ind w:firstLine="720"/>
      </w:pPr>
      <w:r w:rsidRPr="007C68F1">
        <w:t>The medical center</w:t>
      </w:r>
      <w:r w:rsidR="007F792E" w:rsidRPr="007C68F1">
        <w:t>’s motion for</w:t>
      </w:r>
      <w:r w:rsidRPr="007C68F1">
        <w:t xml:space="preserve"> summary adjudication argu</w:t>
      </w:r>
      <w:r w:rsidR="007F792E" w:rsidRPr="007C68F1">
        <w:t>ed</w:t>
      </w:r>
      <w:r w:rsidRPr="007C68F1">
        <w:t xml:space="preserve"> that its rounding policy was fair </w:t>
      </w:r>
      <w:r w:rsidR="009454F4" w:rsidRPr="007C68F1">
        <w:t xml:space="preserve">and </w:t>
      </w:r>
      <w:r w:rsidRPr="007C68F1">
        <w:t xml:space="preserve">neutral </w:t>
      </w:r>
      <w:r w:rsidR="007F792E" w:rsidRPr="007C68F1">
        <w:t xml:space="preserve">as to all nonexempt employees, </w:t>
      </w:r>
      <w:r w:rsidRPr="007C68F1">
        <w:t xml:space="preserve">and </w:t>
      </w:r>
      <w:r w:rsidR="007F792E" w:rsidRPr="007C68F1">
        <w:t xml:space="preserve">the policy </w:t>
      </w:r>
      <w:r w:rsidRPr="007C68F1">
        <w:t xml:space="preserve">therefore </w:t>
      </w:r>
      <w:r w:rsidR="007F792E" w:rsidRPr="007C68F1">
        <w:t xml:space="preserve">was </w:t>
      </w:r>
      <w:r w:rsidRPr="007C68F1">
        <w:t>lawful</w:t>
      </w:r>
      <w:r w:rsidR="00096D54" w:rsidRPr="007C68F1">
        <w:t xml:space="preserve"> under </w:t>
      </w:r>
      <w:bookmarkStart w:id="66" w:name="dabmci_b7726a4c685146858c7c7ad9af195f7d"/>
      <w:r w:rsidR="00096D54" w:rsidRPr="007C68F1">
        <w:rPr>
          <w:i/>
          <w:iCs/>
          <w:bdr w:val="none" w:sz="0" w:space="0" w:color="auto" w:frame="1"/>
        </w:rPr>
        <w:t xml:space="preserve">See’s </w:t>
      </w:r>
      <w:r w:rsidR="00096D54" w:rsidRPr="00AC165C">
        <w:rPr>
          <w:i/>
          <w:iCs/>
          <w:bdr w:val="none" w:sz="0" w:space="0" w:color="auto" w:frame="1"/>
        </w:rPr>
        <w:t>Candy</w:t>
      </w:r>
      <w:r w:rsidR="00AC165C">
        <w:rPr>
          <w:bdr w:val="none" w:sz="0" w:space="0" w:color="auto" w:frame="1"/>
        </w:rPr>
        <w:t xml:space="preserve">, </w:t>
      </w:r>
      <w:r w:rsidR="00AC165C" w:rsidRPr="00AC165C">
        <w:rPr>
          <w:i/>
          <w:iCs/>
          <w:bdr w:val="none" w:sz="0" w:space="0" w:color="auto" w:frame="1"/>
        </w:rPr>
        <w:t>supra</w:t>
      </w:r>
      <w:r w:rsidR="00AC165C">
        <w:rPr>
          <w:bdr w:val="none" w:sz="0" w:space="0" w:color="auto" w:frame="1"/>
        </w:rPr>
        <w:t xml:space="preserve">, </w:t>
      </w:r>
      <w:r w:rsidR="00096D54" w:rsidRPr="00AC165C">
        <w:t>210</w:t>
      </w:r>
      <w:r w:rsidR="00096D54" w:rsidRPr="007C68F1">
        <w:t xml:space="preserve"> Cal.App.4th </w:t>
      </w:r>
      <w:bookmarkEnd w:id="66"/>
      <w:r w:rsidR="00936E15">
        <w:t>889</w:t>
      </w:r>
      <w:r w:rsidR="00AC165C">
        <w:t>.</w:t>
      </w:r>
      <w:r w:rsidR="00D516F0" w:rsidRPr="007C68F1">
        <w:t xml:space="preserve">  (</w:t>
      </w:r>
      <w:bookmarkStart w:id="67" w:name="dabmci_4349917e0e5b4225ba208284fc52a263"/>
      <w:r w:rsidR="00D516F0" w:rsidRPr="007C68F1">
        <w:rPr>
          <w:i/>
        </w:rPr>
        <w:t>Id.</w:t>
      </w:r>
      <w:r w:rsidR="00D516F0" w:rsidRPr="007C68F1">
        <w:t xml:space="preserve"> at p.</w:t>
      </w:r>
      <w:r w:rsidR="001A52AB">
        <w:t> </w:t>
      </w:r>
      <w:r w:rsidR="00D516F0" w:rsidRPr="007C68F1">
        <w:t>903</w:t>
      </w:r>
      <w:bookmarkEnd w:id="67"/>
      <w:r w:rsidR="00D516F0" w:rsidRPr="007C68F1">
        <w:t xml:space="preserve"> </w:t>
      </w:r>
      <w:r w:rsidR="00096D54" w:rsidRPr="007C68F1">
        <w:t>[</w:t>
      </w:r>
      <w:bookmarkStart w:id="68" w:name="dabmq_23"/>
      <w:r w:rsidR="00D516F0" w:rsidRPr="007C68F1">
        <w:t>“</w:t>
      </w:r>
      <w:r w:rsidR="00096D54" w:rsidRPr="007C68F1">
        <w:t>Assuming a rounding-over-time policy is neutral, both facially and as applied, the practice is proper under California law</w:t>
      </w:r>
      <w:r w:rsidR="00D516F0" w:rsidRPr="007C68F1">
        <w:t>”</w:t>
      </w:r>
      <w:bookmarkEnd w:id="68"/>
      <w:r w:rsidR="00D516F0" w:rsidRPr="007C68F1">
        <w:t>].)</w:t>
      </w:r>
      <w:r w:rsidRPr="007C68F1">
        <w:t xml:space="preserve">  </w:t>
      </w:r>
      <w:r w:rsidR="00D516F0" w:rsidRPr="007C68F1">
        <w:t xml:space="preserve">It </w:t>
      </w:r>
      <w:r w:rsidRPr="007C68F1">
        <w:t xml:space="preserve">sought summary adjudication on the stand-alone cause of action alleging rounding and </w:t>
      </w:r>
      <w:r w:rsidR="0073784F" w:rsidRPr="007C68F1">
        <w:t>several</w:t>
      </w:r>
      <w:r w:rsidRPr="007C68F1">
        <w:t xml:space="preserve"> other causes of action, including the PAGA cause of action, to the extent that they were based on the rounding claim.  </w:t>
      </w:r>
    </w:p>
    <w:p w14:paraId="00132718" w14:textId="77777777" w:rsidR="000C2FE6" w:rsidRPr="007C68F1" w:rsidRDefault="00D16B2E" w:rsidP="007D1009">
      <w:pPr>
        <w:spacing w:line="480" w:lineRule="auto"/>
        <w:ind w:firstLine="720"/>
      </w:pPr>
      <w:r w:rsidRPr="007C68F1">
        <w:lastRenderedPageBreak/>
        <w:t>The</w:t>
      </w:r>
      <w:r w:rsidR="00837BDC" w:rsidRPr="007C68F1">
        <w:t xml:space="preserve"> evidence offered by the medical center showed that </w:t>
      </w:r>
      <w:r w:rsidR="00416A5B" w:rsidRPr="007C68F1">
        <w:t xml:space="preserve">employees clock in and out for work on a computer-based system.  </w:t>
      </w:r>
      <w:r w:rsidR="00502498" w:rsidRPr="007C68F1">
        <w:t>For purposes of calculating employees’ pay, t</w:t>
      </w:r>
      <w:r w:rsidRPr="007C68F1">
        <w:t>he medical center</w:t>
      </w:r>
      <w:r w:rsidR="00502498" w:rsidRPr="007C68F1">
        <w:t xml:space="preserve"> rounds </w:t>
      </w:r>
      <w:r w:rsidR="0073784F" w:rsidRPr="007C68F1">
        <w:t xml:space="preserve">the </w:t>
      </w:r>
      <w:r w:rsidR="00502498" w:rsidRPr="007C68F1">
        <w:t>employee</w:t>
      </w:r>
      <w:r w:rsidR="0073784F" w:rsidRPr="007C68F1">
        <w:t>s’</w:t>
      </w:r>
      <w:r w:rsidR="00502498" w:rsidRPr="007C68F1">
        <w:t xml:space="preserve"> </w:t>
      </w:r>
      <w:r w:rsidR="0073784F" w:rsidRPr="007C68F1">
        <w:t>time punches</w:t>
      </w:r>
      <w:r w:rsidR="00502498" w:rsidRPr="007C68F1">
        <w:t>.</w:t>
      </w:r>
      <w:r w:rsidR="00416A5B" w:rsidRPr="007C68F1">
        <w:t xml:space="preserve">  The hourly time clock is divided into 10 six-minute increments</w:t>
      </w:r>
      <w:r w:rsidR="00724485" w:rsidRPr="007C68F1">
        <w:t xml:space="preserve"> beginning with the hour mark</w:t>
      </w:r>
      <w:r w:rsidR="00610616" w:rsidRPr="007C68F1">
        <w:t>, and t</w:t>
      </w:r>
      <w:r w:rsidR="00416A5B" w:rsidRPr="007C68F1">
        <w:t xml:space="preserve">he </w:t>
      </w:r>
      <w:r w:rsidR="0073784F" w:rsidRPr="007C68F1">
        <w:t>time punches</w:t>
      </w:r>
      <w:r w:rsidR="00416A5B" w:rsidRPr="007C68F1">
        <w:t xml:space="preserve"> are rounded down to the nearest tenth of an hour.</w:t>
      </w:r>
      <w:r w:rsidR="00610616" w:rsidRPr="007C68F1">
        <w:t xml:space="preserve">  For example, if an employee clocks in for a 7:00 a.m. shift at 6:59 a.m., the </w:t>
      </w:r>
      <w:r w:rsidR="0073784F" w:rsidRPr="007C68F1">
        <w:t>time punch</w:t>
      </w:r>
      <w:r w:rsidR="00610616" w:rsidRPr="007C68F1">
        <w:t xml:space="preserve"> is rounded down to 6:54 a.m.  If </w:t>
      </w:r>
      <w:r w:rsidR="00A51EC5" w:rsidRPr="007C68F1">
        <w:t xml:space="preserve">that same employee clocks in at 7:05 a.m., the </w:t>
      </w:r>
      <w:r w:rsidR="0073784F" w:rsidRPr="007C68F1">
        <w:t>time punch</w:t>
      </w:r>
      <w:r w:rsidR="00A51EC5" w:rsidRPr="007C68F1">
        <w:t xml:space="preserve"> is rounded down to 7:00 a.m.  And if the employee clocks in at 7:00 a.m., no rounding occurs, because the </w:t>
      </w:r>
      <w:r w:rsidR="0073784F" w:rsidRPr="007C68F1">
        <w:t>time punch</w:t>
      </w:r>
      <w:r w:rsidR="00A51EC5" w:rsidRPr="007C68F1">
        <w:t xml:space="preserve"> is already at the nearest tenth of an hour.</w:t>
      </w:r>
    </w:p>
    <w:p w14:paraId="79CF6B34" w14:textId="77777777" w:rsidR="00BC0F3D" w:rsidRPr="007C68F1" w:rsidRDefault="00D16B2E" w:rsidP="007D1009">
      <w:pPr>
        <w:spacing w:line="480" w:lineRule="auto"/>
      </w:pPr>
      <w:r w:rsidRPr="007C68F1">
        <w:tab/>
      </w:r>
      <w:r w:rsidR="00605B98" w:rsidRPr="007C68F1">
        <w:t>In support of the motion, the medical center</w:t>
      </w:r>
      <w:r w:rsidR="00D5051B" w:rsidRPr="007C68F1">
        <w:t xml:space="preserve"> also</w:t>
      </w:r>
      <w:r w:rsidR="00605B98" w:rsidRPr="007C68F1">
        <w:t xml:space="preserve"> offered the declaration of Michael </w:t>
      </w:r>
      <w:r w:rsidR="0092444F" w:rsidRPr="007C68F1">
        <w:t xml:space="preserve">J. </w:t>
      </w:r>
      <w:r w:rsidR="00605B98" w:rsidRPr="007C68F1">
        <w:t xml:space="preserve">Buchanan, </w:t>
      </w:r>
      <w:r w:rsidR="009E6058" w:rsidRPr="007C68F1">
        <w:t>an applied economist with experience in evaluating economic and statistical issues in class action cases.</w:t>
      </w:r>
      <w:r w:rsidR="002E480A" w:rsidRPr="007C68F1">
        <w:t xml:space="preserve">  Buchanan analyzed </w:t>
      </w:r>
      <w:r w:rsidR="005C08DE" w:rsidRPr="007C68F1">
        <w:t>the time</w:t>
      </w:r>
      <w:r w:rsidR="00566206" w:rsidRPr="007C68F1">
        <w:t xml:space="preserve">keeping </w:t>
      </w:r>
      <w:r w:rsidR="005C08DE" w:rsidRPr="007C68F1">
        <w:t xml:space="preserve">and payroll data for all </w:t>
      </w:r>
      <w:r w:rsidR="00C61EB9" w:rsidRPr="007C68F1">
        <w:t xml:space="preserve">hourly </w:t>
      </w:r>
      <w:r w:rsidR="005C08DE" w:rsidRPr="007C68F1">
        <w:t>nonexempt employees from June 2010 to August 2015.</w:t>
      </w:r>
      <w:r w:rsidR="00B354B9" w:rsidRPr="007C68F1">
        <w:t xml:space="preserve">  (Woodworth proposed a class period starting in June 2010.</w:t>
      </w:r>
      <w:r w:rsidR="00F80DEA" w:rsidRPr="007C68F1">
        <w:t>)</w:t>
      </w:r>
      <w:r w:rsidR="00AC0414" w:rsidRPr="007C68F1">
        <w:t xml:space="preserve">  </w:t>
      </w:r>
      <w:r w:rsidR="00315353" w:rsidRPr="007C68F1">
        <w:t>The data set</w:t>
      </w:r>
      <w:r w:rsidR="00AC0414" w:rsidRPr="007C68F1">
        <w:t xml:space="preserve"> included </w:t>
      </w:r>
      <w:r w:rsidR="00315353" w:rsidRPr="007C68F1">
        <w:t xml:space="preserve">records for </w:t>
      </w:r>
      <w:r w:rsidRPr="007C68F1">
        <w:t>10,534 employees</w:t>
      </w:r>
      <w:r w:rsidR="00AC0414" w:rsidRPr="007C68F1">
        <w:t xml:space="preserve">.  </w:t>
      </w:r>
      <w:r w:rsidR="00F80DEA" w:rsidRPr="007C68F1">
        <w:t xml:space="preserve">He compared the rounded time from the payroll data to the unrounded clock entries from the </w:t>
      </w:r>
      <w:r w:rsidR="00566206" w:rsidRPr="007C68F1">
        <w:t>timekeeping</w:t>
      </w:r>
      <w:r w:rsidR="00F80DEA" w:rsidRPr="007C68F1">
        <w:t xml:space="preserve"> data.</w:t>
      </w:r>
      <w:r w:rsidR="00497D22" w:rsidRPr="007C68F1">
        <w:t xml:space="preserve">  The timekeeping data </w:t>
      </w:r>
      <w:r w:rsidR="00EE5491" w:rsidRPr="007C68F1">
        <w:t>reflected</w:t>
      </w:r>
      <w:r w:rsidR="00497D22" w:rsidRPr="007C68F1">
        <w:t xml:space="preserve"> </w:t>
      </w:r>
      <w:bookmarkStart w:id="69" w:name="dabmq_24"/>
      <w:r w:rsidR="00497D22" w:rsidRPr="007C68F1">
        <w:t>“the actual time an employee punched in or out.”</w:t>
      </w:r>
      <w:bookmarkEnd w:id="69"/>
    </w:p>
    <w:p w14:paraId="25509F88" w14:textId="77777777" w:rsidR="00F80DEA" w:rsidRPr="007C68F1" w:rsidRDefault="00D16B2E" w:rsidP="007D1009">
      <w:pPr>
        <w:spacing w:line="480" w:lineRule="auto"/>
      </w:pPr>
      <w:r w:rsidRPr="007C68F1">
        <w:tab/>
        <w:t xml:space="preserve">Buchanan concluded that </w:t>
      </w:r>
      <w:r w:rsidR="00950917" w:rsidRPr="007C68F1">
        <w:t>5,418 employees (or approximately 51.4 percent) were paid for more time than they were on the clock, while 5,002 employees (or approximately 47.4 percent) were paid for less time than they were on the clock.  Another 114 employees (or about 1.1 percent) were unaffected by rounding.</w:t>
      </w:r>
      <w:r w:rsidR="00B33C81" w:rsidRPr="007C68F1">
        <w:t xml:space="preserve">  </w:t>
      </w:r>
      <w:r w:rsidRPr="007C68F1">
        <w:t xml:space="preserve">Buchanan opined that the </w:t>
      </w:r>
      <w:r w:rsidRPr="007C68F1">
        <w:lastRenderedPageBreak/>
        <w:t xml:space="preserve">rounding policy was neutral and that there was no systematic advantage to </w:t>
      </w:r>
      <w:r w:rsidR="00E00553" w:rsidRPr="007C68F1">
        <w:t xml:space="preserve">either </w:t>
      </w:r>
      <w:r w:rsidRPr="007C68F1">
        <w:t xml:space="preserve">the medical center or the employees.  </w:t>
      </w:r>
    </w:p>
    <w:p w14:paraId="2104EC6A" w14:textId="77777777" w:rsidR="00955025" w:rsidRPr="007C68F1" w:rsidRDefault="00D16B2E" w:rsidP="007D1009">
      <w:pPr>
        <w:spacing w:line="480" w:lineRule="auto"/>
      </w:pPr>
      <w:r w:rsidRPr="007C68F1">
        <w:tab/>
      </w:r>
      <w:r w:rsidR="0097030C" w:rsidRPr="007C68F1">
        <w:t>In opposition to the motion</w:t>
      </w:r>
      <w:r w:rsidR="00EB4316" w:rsidRPr="007C68F1">
        <w:t xml:space="preserve"> for summary adjudication</w:t>
      </w:r>
      <w:r w:rsidR="0097030C" w:rsidRPr="007C68F1">
        <w:t xml:space="preserve">, Woodworth argued that the rounding policy was not neutral </w:t>
      </w:r>
      <w:r w:rsidR="00EB4316" w:rsidRPr="007C68F1">
        <w:t>because it</w:t>
      </w:r>
      <w:r w:rsidR="0097030C" w:rsidRPr="007C68F1">
        <w:t xml:space="preserve"> systematically undercompensated </w:t>
      </w:r>
      <w:r w:rsidR="00F10CDD" w:rsidRPr="007C68F1">
        <w:t>employees assigned to work 12-hour shifts (the 12-hour employees).</w:t>
      </w:r>
      <w:r w:rsidRPr="007C68F1">
        <w:t xml:space="preserve">  </w:t>
      </w:r>
      <w:r w:rsidR="00CD1031" w:rsidRPr="007C68F1">
        <w:t xml:space="preserve">She asserted that she was going to seek certification of a rounding class consisting of 12-hour employees only.  </w:t>
      </w:r>
    </w:p>
    <w:p w14:paraId="54EE6756" w14:textId="77777777" w:rsidR="00427811" w:rsidRPr="007C68F1" w:rsidRDefault="00D16B2E" w:rsidP="007D1009">
      <w:pPr>
        <w:spacing w:line="480" w:lineRule="auto"/>
        <w:ind w:firstLine="720"/>
      </w:pPr>
      <w:r w:rsidRPr="007C68F1">
        <w:t>Woodworth offered the declaration of Brian Kriegler, a statistician who was the managing director of an economic and statistical consul</w:t>
      </w:r>
      <w:r w:rsidRPr="007C68F1">
        <w:t>ting firm.  Kriegler analyzed the timekeeping and payroll data from the same period as Buchanan, but</w:t>
      </w:r>
      <w:r w:rsidR="00F10CDD" w:rsidRPr="007C68F1">
        <w:t xml:space="preserve"> </w:t>
      </w:r>
      <w:r w:rsidR="001522F0" w:rsidRPr="007C68F1">
        <w:t>Kriegler</w:t>
      </w:r>
      <w:r w:rsidR="00F10CDD" w:rsidRPr="007C68F1">
        <w:t xml:space="preserve"> did not analyze the data for all nonexempt employees.  Instead, he analyzed the data only for the 12-hour employees.</w:t>
      </w:r>
      <w:r w:rsidR="002E0D93" w:rsidRPr="007C68F1">
        <w:t xml:space="preserve">  </w:t>
      </w:r>
      <w:r w:rsidR="007D57E0" w:rsidRPr="007C68F1">
        <w:t xml:space="preserve">His data set included 4,620 employees.  </w:t>
      </w:r>
    </w:p>
    <w:p w14:paraId="58FF3D5C" w14:textId="77777777" w:rsidR="007F12E9" w:rsidRPr="007C68F1" w:rsidRDefault="00D16B2E" w:rsidP="007D1009">
      <w:pPr>
        <w:spacing w:line="480" w:lineRule="auto"/>
      </w:pPr>
      <w:r w:rsidRPr="007C68F1">
        <w:tab/>
        <w:t xml:space="preserve">Kriegler’s analysis differed from Buchanan’s </w:t>
      </w:r>
      <w:r w:rsidR="00557FA6" w:rsidRPr="007C68F1">
        <w:t xml:space="preserve">analysis </w:t>
      </w:r>
      <w:r w:rsidRPr="007C68F1">
        <w:t xml:space="preserve">in another way.  </w:t>
      </w:r>
      <w:r w:rsidR="004E1DAD" w:rsidRPr="007C68F1">
        <w:t>Kriegler conducted a “</w:t>
      </w:r>
      <w:r w:rsidR="003417C3" w:rsidRPr="007C68F1">
        <w:t>‘</w:t>
      </w:r>
      <w:r w:rsidR="004E1DAD" w:rsidRPr="007C68F1">
        <w:t>weighted hours</w:t>
      </w:r>
      <w:r w:rsidR="003417C3" w:rsidRPr="007C68F1">
        <w:t>’</w:t>
      </w:r>
      <w:r w:rsidR="004E1DAD" w:rsidRPr="007C68F1">
        <w:t>” analysis that attempted to quantify how rounding impacted the 12-hour employees’ earnings.</w:t>
      </w:r>
      <w:r w:rsidR="003417C3" w:rsidRPr="007C68F1">
        <w:t xml:space="preserve">  He noted that 12-hour employees </w:t>
      </w:r>
      <w:r w:rsidR="004F2CFA" w:rsidRPr="007C68F1">
        <w:t xml:space="preserve">worked </w:t>
      </w:r>
      <w:r w:rsidR="003417C3" w:rsidRPr="007C68F1">
        <w:t xml:space="preserve">straight time </w:t>
      </w:r>
      <w:r w:rsidR="004F2CFA" w:rsidRPr="007C68F1">
        <w:t>hours</w:t>
      </w:r>
      <w:r w:rsidR="003417C3" w:rsidRPr="007C68F1">
        <w:t xml:space="preserve"> </w:t>
      </w:r>
      <w:r w:rsidR="004F2CFA" w:rsidRPr="007C68F1">
        <w:t xml:space="preserve">but often also worked </w:t>
      </w:r>
      <w:r w:rsidR="003417C3" w:rsidRPr="007C68F1">
        <w:t xml:space="preserve">overtime </w:t>
      </w:r>
      <w:r w:rsidR="004F2CFA" w:rsidRPr="007C68F1">
        <w:t>hours</w:t>
      </w:r>
      <w:r w:rsidR="003417C3" w:rsidRPr="007C68F1">
        <w:t xml:space="preserve"> </w:t>
      </w:r>
      <w:r w:rsidR="004F2CFA" w:rsidRPr="007C68F1">
        <w:t>(one and one-half times their regular rate of pay) and double time hours (two times their regular rate of pay).</w:t>
      </w:r>
      <w:r w:rsidR="00F45058" w:rsidRPr="007C68F1">
        <w:t xml:space="preserve">  He opined that determining </w:t>
      </w:r>
      <w:bookmarkStart w:id="70" w:name="dabmq_25"/>
      <w:r w:rsidR="00F45058" w:rsidRPr="007C68F1">
        <w:t>“whether rounding is fair in terms of earnings requires taking into account the respective amounts of straight time, overtime, and double time—and not simply applying equal weight to all hours worked.”</w:t>
      </w:r>
      <w:bookmarkEnd w:id="70"/>
      <w:r>
        <w:rPr>
          <w:rStyle w:val="FootnoteReference"/>
        </w:rPr>
        <w:footnoteReference w:id="3"/>
      </w:r>
      <w:r w:rsidR="00F45058" w:rsidRPr="007C68F1">
        <w:t xml:space="preserve"> </w:t>
      </w:r>
      <w:r w:rsidR="007644E4" w:rsidRPr="007C68F1">
        <w:t xml:space="preserve"> Kriegler criticized Buchanan’s </w:t>
      </w:r>
      <w:r w:rsidR="00641DB4" w:rsidRPr="007C68F1">
        <w:lastRenderedPageBreak/>
        <w:t xml:space="preserve">analysis because it </w:t>
      </w:r>
      <w:r w:rsidR="00047913" w:rsidRPr="007C68F1">
        <w:t>compared</w:t>
      </w:r>
      <w:r w:rsidR="00641DB4" w:rsidRPr="007C68F1">
        <w:t xml:space="preserve"> the employees’ time on the clock</w:t>
      </w:r>
      <w:r w:rsidR="00047913" w:rsidRPr="007C68F1">
        <w:t xml:space="preserve"> to their rounded time, but it did not </w:t>
      </w:r>
      <w:r w:rsidR="00641DB4" w:rsidRPr="007C68F1">
        <w:t>examin</w:t>
      </w:r>
      <w:r w:rsidR="00047913" w:rsidRPr="007C68F1">
        <w:t>e how the difference might have affected</w:t>
      </w:r>
      <w:r w:rsidR="00641DB4" w:rsidRPr="007C68F1">
        <w:t xml:space="preserve"> their earnings</w:t>
      </w:r>
      <w:r w:rsidR="0031345C" w:rsidRPr="007C68F1">
        <w:t xml:space="preserve">, and it did not apply </w:t>
      </w:r>
      <w:bookmarkStart w:id="72" w:name="dabmq_26"/>
      <w:r w:rsidR="0031345C" w:rsidRPr="007C68F1">
        <w:t>“the correct weight to straight time, overtime, and double time hours</w:t>
      </w:r>
      <w:r w:rsidR="00641DB4" w:rsidRPr="007C68F1">
        <w:t>.</w:t>
      </w:r>
      <w:r w:rsidR="0031345C" w:rsidRPr="007C68F1">
        <w:t>”</w:t>
      </w:r>
      <w:bookmarkEnd w:id="72"/>
      <w:r w:rsidR="00641DB4" w:rsidRPr="007C68F1">
        <w:t xml:space="preserve"> </w:t>
      </w:r>
    </w:p>
    <w:p w14:paraId="52E1DA92" w14:textId="77777777" w:rsidR="007F5CD1" w:rsidRPr="007C68F1" w:rsidRDefault="00D16B2E" w:rsidP="007D1009">
      <w:pPr>
        <w:spacing w:line="480" w:lineRule="auto"/>
      </w:pPr>
      <w:r w:rsidRPr="007C68F1">
        <w:tab/>
        <w:t xml:space="preserve">According to Kriegler’s weighted hours analysis, </w:t>
      </w:r>
      <w:r w:rsidR="00D75456" w:rsidRPr="007C68F1">
        <w:t xml:space="preserve">3,121 of the 12-hour employees (or </w:t>
      </w:r>
      <w:r w:rsidR="004953E2" w:rsidRPr="007C68F1">
        <w:t xml:space="preserve">approximately </w:t>
      </w:r>
      <w:r w:rsidR="00D75456" w:rsidRPr="007C68F1">
        <w:t xml:space="preserve">67.6 percent) were underpaid </w:t>
      </w:r>
      <w:r w:rsidRPr="007C68F1">
        <w:t>because of rounding</w:t>
      </w:r>
      <w:r w:rsidR="00883BD3" w:rsidRPr="007C68F1">
        <w:t>, while 1,477 of them (or about 32 percent) were overpaid</w:t>
      </w:r>
      <w:r w:rsidR="00D75456" w:rsidRPr="007C68F1">
        <w:t xml:space="preserve">. </w:t>
      </w:r>
      <w:r w:rsidR="00586E00" w:rsidRPr="007C68F1">
        <w:t xml:space="preserve"> Another 22 of the 12-hour employees </w:t>
      </w:r>
      <w:r w:rsidR="00A81471" w:rsidRPr="007C68F1">
        <w:t>(or about 0.5 percent) were neither underpaid nor overpaid</w:t>
      </w:r>
      <w:r w:rsidR="00586E00" w:rsidRPr="007C68F1">
        <w:t>.</w:t>
      </w:r>
      <w:r w:rsidR="00A81471" w:rsidRPr="007C68F1">
        <w:t xml:space="preserve">  </w:t>
      </w:r>
      <w:r w:rsidR="007C7F12" w:rsidRPr="007C68F1">
        <w:t xml:space="preserve">Kriegler also analyzed all of Woodworth’s </w:t>
      </w:r>
      <w:r w:rsidR="008A303E">
        <w:t xml:space="preserve">own </w:t>
      </w:r>
      <w:r w:rsidR="007C7F12" w:rsidRPr="007C68F1">
        <w:t xml:space="preserve">data.  He concluded that the medical center underpaid her in 37 out of 60 pay periods, </w:t>
      </w:r>
      <w:r w:rsidR="00060C13" w:rsidRPr="007C68F1">
        <w:t xml:space="preserve">resulting in </w:t>
      </w:r>
      <w:r w:rsidR="00060C13" w:rsidRPr="003D3C5A">
        <w:t>6.3 weighted hours</w:t>
      </w:r>
      <w:r w:rsidR="00060C13" w:rsidRPr="007C68F1">
        <w:t xml:space="preserve"> of unpaid work worth </w:t>
      </w:r>
      <w:r w:rsidR="007C7F12" w:rsidRPr="007C68F1">
        <w:t>$202.72.</w:t>
      </w:r>
    </w:p>
    <w:p w14:paraId="3D8AFF50" w14:textId="77777777" w:rsidR="00B10D60" w:rsidRPr="007C68F1" w:rsidRDefault="00D16B2E" w:rsidP="007D1009">
      <w:pPr>
        <w:spacing w:line="480" w:lineRule="auto"/>
      </w:pPr>
      <w:r w:rsidRPr="007C68F1">
        <w:tab/>
      </w:r>
      <w:r w:rsidR="004E4361" w:rsidRPr="007C68F1">
        <w:t xml:space="preserve">In the medical center’s reply brief, it argued that </w:t>
      </w:r>
      <w:r w:rsidR="004236A4" w:rsidRPr="007C68F1">
        <w:t xml:space="preserve">Woodworth’s evidence </w:t>
      </w:r>
      <w:r w:rsidR="007212CD" w:rsidRPr="007C68F1">
        <w:t xml:space="preserve">did not dispute that the rounding policy was neutral as applied to all employees.  Instead, her evidence focused on 12-hour employees, a theory that she did not plead in the TAC.  </w:t>
      </w:r>
      <w:r w:rsidR="00EE3935" w:rsidRPr="007C68F1">
        <w:t xml:space="preserve">The TAC defined the putative class for the rounding claim as all hourly nonexempt employees.  Likewise, the PAGA cause of action defined “‘aggrieved employees’” as all hourly nonexempt employees of the medical center.  </w:t>
      </w:r>
      <w:r w:rsidR="007212CD" w:rsidRPr="007C68F1">
        <w:t xml:space="preserve">The medical center asserted that opposition papers could not </w:t>
      </w:r>
      <w:bookmarkStart w:id="73" w:name="dabmq_27"/>
      <w:r w:rsidR="007212CD" w:rsidRPr="007C68F1">
        <w:t>“create issues outside the pleadings.”</w:t>
      </w:r>
      <w:bookmarkEnd w:id="73"/>
      <w:r w:rsidR="00EE3935" w:rsidRPr="007C68F1">
        <w:t xml:space="preserve">  It further argued that it was irrelevant whether Woodworth was underpaid as a result of rounding, because the proper analysis examined the effect of rounding on the employees as a whole.</w:t>
      </w:r>
    </w:p>
    <w:p w14:paraId="18716599" w14:textId="77777777" w:rsidR="00311BBB" w:rsidRPr="007C68F1" w:rsidRDefault="00D16B2E" w:rsidP="007D1009">
      <w:pPr>
        <w:spacing w:line="480" w:lineRule="auto"/>
        <w:ind w:firstLine="720"/>
      </w:pPr>
      <w:r w:rsidRPr="007C68F1">
        <w:lastRenderedPageBreak/>
        <w:t>The court granted the medical center’s motion for summary adjudication</w:t>
      </w:r>
      <w:r w:rsidR="003D466C" w:rsidRPr="007C68F1">
        <w:t xml:space="preserve"> on Woodworth’s individual rounding claim and the PAGA cause of action, to the extent that the cause of action </w:t>
      </w:r>
      <w:bookmarkStart w:id="74" w:name="dabmq_28"/>
      <w:r w:rsidR="003D466C" w:rsidRPr="007C68F1">
        <w:t>“reiterate[d] the rounding claim.”</w:t>
      </w:r>
      <w:bookmarkEnd w:id="74"/>
      <w:r w:rsidR="00615369" w:rsidRPr="007C68F1">
        <w:t xml:space="preserve">  The court ruled that Buchanan’s declaration constituted a “prima facie” showing that the rounding policy was neutral on its face</w:t>
      </w:r>
      <w:r w:rsidR="000566DC" w:rsidRPr="007C68F1">
        <w:t xml:space="preserve"> and as applied</w:t>
      </w:r>
      <w:r w:rsidR="00615369" w:rsidRPr="007C68F1">
        <w:t xml:space="preserve">.  The court </w:t>
      </w:r>
      <w:r w:rsidR="00E27D1A" w:rsidRPr="007C68F1">
        <w:t>reasoned</w:t>
      </w:r>
      <w:r w:rsidR="00615369" w:rsidRPr="007C68F1">
        <w:t xml:space="preserve"> that Kriegler’s declaration did not controvert that evidence</w:t>
      </w:r>
      <w:r w:rsidR="00E27D1A" w:rsidRPr="007C68F1">
        <w:t>, because he looked only at the 12</w:t>
      </w:r>
      <w:r w:rsidR="00E27D1A" w:rsidRPr="007C68F1">
        <w:noBreakHyphen/>
        <w:t>hour employees</w:t>
      </w:r>
      <w:r w:rsidR="00615369" w:rsidRPr="007C68F1">
        <w:t>.</w:t>
      </w:r>
      <w:r w:rsidR="00E27D1A" w:rsidRPr="007C68F1">
        <w:t xml:space="preserve">  </w:t>
      </w:r>
      <w:r w:rsidR="003D466C" w:rsidRPr="007C68F1">
        <w:t>The TAC defined the issues for summary adjudication, and the TAC defined the allegedly affected class as all nonexempt employees, not just the 12</w:t>
      </w:r>
      <w:r w:rsidR="003D466C" w:rsidRPr="007C68F1">
        <w:noBreakHyphen/>
        <w:t xml:space="preserve">hour employees.  The court further reasoned that </w:t>
      </w:r>
      <w:r w:rsidR="00FC0421" w:rsidRPr="007C68F1">
        <w:t>Woodworth’s individual experience was irrelevant</w:t>
      </w:r>
      <w:r w:rsidR="003D466C" w:rsidRPr="007C68F1">
        <w:t>, because the question was how the employees as a group fared</w:t>
      </w:r>
      <w:r w:rsidR="00FC0421" w:rsidRPr="007C68F1">
        <w:t>.</w:t>
      </w:r>
    </w:p>
    <w:p w14:paraId="515367A3" w14:textId="77777777" w:rsidR="00FE6B1B" w:rsidRPr="007C68F1" w:rsidRDefault="00D16B2E" w:rsidP="007D1009">
      <w:pPr>
        <w:keepNext/>
        <w:spacing w:line="480" w:lineRule="auto"/>
        <w:ind w:firstLine="720"/>
        <w:rPr>
          <w:i/>
          <w:iCs/>
        </w:rPr>
      </w:pPr>
      <w:r w:rsidRPr="007C68F1">
        <w:t xml:space="preserve">B.  </w:t>
      </w:r>
      <w:r w:rsidR="005C74FB" w:rsidRPr="007C68F1">
        <w:rPr>
          <w:i/>
          <w:iCs/>
        </w:rPr>
        <w:t>Standard of Review</w:t>
      </w:r>
    </w:p>
    <w:p w14:paraId="07BBB5E1" w14:textId="77777777" w:rsidR="006A439B" w:rsidRPr="007C68F1" w:rsidRDefault="00D16B2E" w:rsidP="007D1009">
      <w:pPr>
        <w:spacing w:line="480" w:lineRule="auto"/>
        <w:ind w:firstLine="720"/>
      </w:pPr>
      <w:r w:rsidRPr="007C68F1">
        <w:rPr>
          <w:shd w:val="clear" w:color="auto" w:fill="FFFFFF"/>
        </w:rPr>
        <w:t>A defendant ma</w:t>
      </w:r>
      <w:r w:rsidRPr="007C68F1">
        <w:rPr>
          <w:shd w:val="clear" w:color="auto" w:fill="FFFFFF"/>
        </w:rPr>
        <w:t xml:space="preserve">y move for summary adjudication on </w:t>
      </w:r>
      <w:r w:rsidR="00DD2D29" w:rsidRPr="007C68F1">
        <w:rPr>
          <w:shd w:val="clear" w:color="auto" w:fill="FFFFFF"/>
        </w:rPr>
        <w:t>a</w:t>
      </w:r>
      <w:r w:rsidRPr="007C68F1">
        <w:rPr>
          <w:shd w:val="clear" w:color="auto" w:fill="FFFFFF"/>
        </w:rPr>
        <w:t xml:space="preserve"> caus</w:t>
      </w:r>
      <w:r w:rsidR="00DD2D29" w:rsidRPr="007C68F1">
        <w:rPr>
          <w:shd w:val="clear" w:color="auto" w:fill="FFFFFF"/>
        </w:rPr>
        <w:t>e</w:t>
      </w:r>
      <w:r w:rsidRPr="007C68F1">
        <w:rPr>
          <w:shd w:val="clear" w:color="auto" w:fill="FFFFFF"/>
        </w:rPr>
        <w:t xml:space="preserve"> of action if the defendant contends that the cause of action has no merit.  (</w:t>
      </w:r>
      <w:bookmarkStart w:id="75" w:name="dabmci_d262f032a4d0488f876cb63ab5b5916b"/>
      <w:r w:rsidRPr="007C68F1">
        <w:rPr>
          <w:shd w:val="clear" w:color="auto" w:fill="FFFFFF"/>
        </w:rPr>
        <w:t>Code Civ. Proc., § 437c, subd. (f)(1)</w:t>
      </w:r>
      <w:bookmarkEnd w:id="75"/>
      <w:r w:rsidRPr="007C68F1">
        <w:rPr>
          <w:shd w:val="clear" w:color="auto" w:fill="FFFFFF"/>
        </w:rPr>
        <w:t>.)  The</w:t>
      </w:r>
      <w:r w:rsidR="00640DE9" w:rsidRPr="007C68F1">
        <w:rPr>
          <w:shd w:val="clear" w:color="auto" w:fill="FFFFFF"/>
        </w:rPr>
        <w:t xml:space="preserve"> defendant</w:t>
      </w:r>
      <w:r w:rsidRPr="007C68F1">
        <w:rPr>
          <w:shd w:val="clear" w:color="auto" w:fill="FFFFFF"/>
        </w:rPr>
        <w:t xml:space="preserve"> </w:t>
      </w:r>
      <w:r w:rsidR="00640DE9" w:rsidRPr="007C68F1">
        <w:rPr>
          <w:shd w:val="clear" w:color="auto" w:fill="FFFFFF"/>
        </w:rPr>
        <w:t>may carry its initial</w:t>
      </w:r>
      <w:r w:rsidRPr="007C68F1">
        <w:rPr>
          <w:shd w:val="clear" w:color="auto" w:fill="FFFFFF"/>
        </w:rPr>
        <w:t xml:space="preserve"> burden </w:t>
      </w:r>
      <w:r w:rsidR="00640DE9" w:rsidRPr="007C68F1">
        <w:rPr>
          <w:shd w:val="clear" w:color="auto" w:fill="FFFFFF"/>
        </w:rPr>
        <w:t xml:space="preserve">by showing that one or more elements of </w:t>
      </w:r>
      <w:r w:rsidR="00216F20" w:rsidRPr="007C68F1">
        <w:rPr>
          <w:shd w:val="clear" w:color="auto" w:fill="FFFFFF"/>
        </w:rPr>
        <w:t xml:space="preserve">the challenged cause of action cannot be established or that there is a complete defense to the cause of action. </w:t>
      </w:r>
      <w:r w:rsidR="008B4373" w:rsidRPr="007C68F1">
        <w:rPr>
          <w:shd w:val="clear" w:color="auto" w:fill="FFFFFF"/>
        </w:rPr>
        <w:t xml:space="preserve"> </w:t>
      </w:r>
      <w:r w:rsidR="00216F20" w:rsidRPr="007C68F1">
        <w:rPr>
          <w:shd w:val="clear" w:color="auto" w:fill="FFFFFF"/>
        </w:rPr>
        <w:t>(</w:t>
      </w:r>
      <w:bookmarkStart w:id="76" w:name="dabmci_20bf7b98d6534bfcb99bb64ae44c8e99"/>
      <w:r w:rsidR="00640DE9" w:rsidRPr="007C68F1">
        <w:rPr>
          <w:shd w:val="clear" w:color="auto" w:fill="FFFFFF"/>
        </w:rPr>
        <w:t xml:space="preserve">Code Civ. Proc., </w:t>
      </w:r>
      <w:r w:rsidR="00216F20" w:rsidRPr="007C68F1">
        <w:rPr>
          <w:shd w:val="clear" w:color="auto" w:fill="FFFFFF"/>
        </w:rPr>
        <w:t>§</w:t>
      </w:r>
      <w:r w:rsidR="00EA378F" w:rsidRPr="007C68F1">
        <w:rPr>
          <w:shd w:val="clear" w:color="auto" w:fill="FFFFFF"/>
        </w:rPr>
        <w:t> </w:t>
      </w:r>
      <w:r w:rsidR="00216F20" w:rsidRPr="007C68F1">
        <w:rPr>
          <w:shd w:val="clear" w:color="auto" w:fill="FFFFFF"/>
        </w:rPr>
        <w:t>437c, subd</w:t>
      </w:r>
      <w:r w:rsidR="008B4373" w:rsidRPr="007C68F1">
        <w:rPr>
          <w:shd w:val="clear" w:color="auto" w:fill="FFFFFF"/>
        </w:rPr>
        <w:t xml:space="preserve">. </w:t>
      </w:r>
      <w:r w:rsidR="00216F20" w:rsidRPr="007C68F1">
        <w:rPr>
          <w:shd w:val="clear" w:color="auto" w:fill="FFFFFF"/>
        </w:rPr>
        <w:t>(p)(2)</w:t>
      </w:r>
      <w:bookmarkEnd w:id="76"/>
      <w:r w:rsidR="008B4373" w:rsidRPr="007C68F1">
        <w:rPr>
          <w:shd w:val="clear" w:color="auto" w:fill="FFFFFF"/>
        </w:rPr>
        <w:t>.)  For purposes of summary adjudication</w:t>
      </w:r>
      <w:r w:rsidR="00366A1E" w:rsidRPr="007C68F1">
        <w:rPr>
          <w:shd w:val="clear" w:color="auto" w:fill="FFFFFF"/>
        </w:rPr>
        <w:t xml:space="preserve">, a cause of action </w:t>
      </w:r>
      <w:bookmarkStart w:id="77" w:name="dabmq_29"/>
      <w:r w:rsidR="00366A1E" w:rsidRPr="007C68F1">
        <w:rPr>
          <w:shd w:val="clear" w:color="auto" w:fill="FFFFFF"/>
        </w:rPr>
        <w:t xml:space="preserve">“‘means “‘a group of related paragraphs in the complaint reflecting a </w:t>
      </w:r>
      <w:r w:rsidR="00366A1E" w:rsidRPr="007C68F1">
        <w:rPr>
          <w:i/>
          <w:iCs/>
          <w:shd w:val="clear" w:color="auto" w:fill="FFFFFF"/>
        </w:rPr>
        <w:t>separate theory</w:t>
      </w:r>
      <w:r w:rsidR="00366A1E" w:rsidRPr="007C68F1">
        <w:rPr>
          <w:shd w:val="clear" w:color="auto" w:fill="FFFFFF"/>
        </w:rPr>
        <w:t xml:space="preserve"> of liability.’”</w:t>
      </w:r>
      <w:bookmarkEnd w:id="77"/>
      <w:r w:rsidR="00366A1E" w:rsidRPr="007C68F1">
        <w:rPr>
          <w:shd w:val="clear" w:color="auto" w:fill="FFFFFF"/>
        </w:rPr>
        <w:t>’”  (</w:t>
      </w:r>
      <w:bookmarkStart w:id="78" w:name="dabmci_69e2e93410c2496aa0a0e05ad4b5260e"/>
      <w:r w:rsidRPr="007C68F1">
        <w:rPr>
          <w:i/>
          <w:iCs/>
        </w:rPr>
        <w:t>Silva v. See</w:t>
      </w:r>
      <w:r w:rsidR="00366A1E" w:rsidRPr="007C68F1">
        <w:rPr>
          <w:i/>
          <w:iCs/>
        </w:rPr>
        <w:t>’</w:t>
      </w:r>
      <w:r w:rsidRPr="007C68F1">
        <w:rPr>
          <w:i/>
          <w:iCs/>
        </w:rPr>
        <w:t>s Candy Shops, Inc.</w:t>
      </w:r>
      <w:r w:rsidR="00366A1E" w:rsidRPr="007C68F1">
        <w:t xml:space="preserve"> </w:t>
      </w:r>
      <w:r w:rsidRPr="007C68F1">
        <w:t>(2016) 7 Cal.App.5th 235, 257</w:t>
      </w:r>
      <w:r w:rsidR="00BF5981" w:rsidRPr="007C68F1">
        <w:t xml:space="preserve"> (</w:t>
      </w:r>
      <w:r w:rsidR="00BF5981" w:rsidRPr="007C68F1">
        <w:rPr>
          <w:i/>
          <w:iCs/>
        </w:rPr>
        <w:t>Silva</w:t>
      </w:r>
      <w:r w:rsidR="00BF5981" w:rsidRPr="007C68F1">
        <w:t>)</w:t>
      </w:r>
      <w:bookmarkEnd w:id="78"/>
      <w:r w:rsidR="00366A1E" w:rsidRPr="007C68F1">
        <w:t>,</w:t>
      </w:r>
      <w:r w:rsidR="00BF5981" w:rsidRPr="007C68F1">
        <w:t xml:space="preserve"> </w:t>
      </w:r>
      <w:r w:rsidR="00BF5981" w:rsidRPr="007C68F1">
        <w:rPr>
          <w:shd w:val="clear" w:color="auto" w:fill="FFFFFF"/>
        </w:rPr>
        <w:t xml:space="preserve">disapproved on another ground by </w:t>
      </w:r>
      <w:bookmarkStart w:id="79" w:name="dabmci_d1918fea263c4ee0a6c89ea49df4f5e2"/>
      <w:r w:rsidR="00BF5981" w:rsidRPr="007C68F1">
        <w:rPr>
          <w:i/>
          <w:iCs/>
          <w:bdr w:val="none" w:sz="0" w:space="0" w:color="auto" w:frame="1"/>
        </w:rPr>
        <w:t>Donohue v. AMN Services, LLC</w:t>
      </w:r>
      <w:r w:rsidR="00BF5981" w:rsidRPr="007C68F1">
        <w:t xml:space="preserve"> (2021) 11 Cal.5th 58, 77</w:t>
      </w:r>
      <w:bookmarkEnd w:id="79"/>
      <w:r w:rsidR="00BF5981" w:rsidRPr="007C68F1">
        <w:t>.)</w:t>
      </w:r>
    </w:p>
    <w:p w14:paraId="473D2E29" w14:textId="77777777" w:rsidR="00AA5080" w:rsidRPr="007C68F1" w:rsidRDefault="00D16B2E" w:rsidP="007D1009">
      <w:pPr>
        <w:spacing w:line="480" w:lineRule="auto"/>
        <w:ind w:firstLine="720"/>
      </w:pPr>
      <w:r w:rsidRPr="007C68F1">
        <w:t>Once the moving defendan</w:t>
      </w:r>
      <w:r w:rsidR="00F471EB" w:rsidRPr="007C68F1">
        <w:t>t has</w:t>
      </w:r>
      <w:r w:rsidRPr="007C68F1">
        <w:t xml:space="preserve"> carried </w:t>
      </w:r>
      <w:r w:rsidR="00F471EB" w:rsidRPr="007C68F1">
        <w:t>its</w:t>
      </w:r>
      <w:r w:rsidRPr="007C68F1">
        <w:t xml:space="preserve"> initial burden, the burden shifts to the plaintiff to show a triable issue of material fact with respect to the cause of action. </w:t>
      </w:r>
      <w:r w:rsidR="00F471EB" w:rsidRPr="007C68F1">
        <w:t xml:space="preserve"> </w:t>
      </w:r>
      <w:r w:rsidRPr="007C68F1">
        <w:t>(</w:t>
      </w:r>
      <w:bookmarkStart w:id="80" w:name="dabmci_465fd5b09146417fa214510a1288ed5c"/>
      <w:r w:rsidR="00640DE9" w:rsidRPr="007C68F1">
        <w:t xml:space="preserve">Code </w:t>
      </w:r>
      <w:r w:rsidR="00640DE9" w:rsidRPr="007C68F1">
        <w:lastRenderedPageBreak/>
        <w:t xml:space="preserve">Civ. Proc., </w:t>
      </w:r>
      <w:r w:rsidRPr="007C68F1">
        <w:t>§</w:t>
      </w:r>
      <w:r w:rsidR="00F471EB" w:rsidRPr="007C68F1">
        <w:t> </w:t>
      </w:r>
      <w:r w:rsidRPr="007C68F1">
        <w:t>437c, subd. (p)(2)</w:t>
      </w:r>
      <w:bookmarkEnd w:id="80"/>
      <w:r w:rsidR="00F471EB" w:rsidRPr="007C68F1">
        <w:t>.)</w:t>
      </w:r>
      <w:r w:rsidRPr="007C68F1">
        <w:t xml:space="preserve"> </w:t>
      </w:r>
      <w:r w:rsidR="00F471EB" w:rsidRPr="007C68F1">
        <w:t xml:space="preserve"> </w:t>
      </w:r>
      <w:r w:rsidRPr="007C68F1">
        <w:t xml:space="preserve">The </w:t>
      </w:r>
      <w:r w:rsidR="00C46687" w:rsidRPr="007C68F1">
        <w:t xml:space="preserve">trial </w:t>
      </w:r>
      <w:r w:rsidRPr="007C68F1">
        <w:t>court must consider all</w:t>
      </w:r>
      <w:r w:rsidR="00640DE9" w:rsidRPr="007C68F1">
        <w:t xml:space="preserve"> of</w:t>
      </w:r>
      <w:r w:rsidRPr="007C68F1">
        <w:t xml:space="preserve"> the evidence and the reasonable in</w:t>
      </w:r>
      <w:r w:rsidRPr="007C68F1">
        <w:t>ferences from it in the light most favorable to the nonmoving party.</w:t>
      </w:r>
      <w:r w:rsidR="00D57FB2" w:rsidRPr="007C68F1">
        <w:t xml:space="preserve">  </w:t>
      </w:r>
      <w:r w:rsidRPr="007C68F1">
        <w:t>(</w:t>
      </w:r>
      <w:bookmarkStart w:id="81" w:name="dabmci_8d60d9714f5443629f89c1be0fbead6f"/>
      <w:r w:rsidR="006C5A21" w:rsidRPr="007C68F1">
        <w:rPr>
          <w:i/>
          <w:iCs/>
          <w:bdr w:val="none" w:sz="0" w:space="0" w:color="auto" w:frame="1"/>
        </w:rPr>
        <w:t>Aguilar v. Atlantic Richfield Co.</w:t>
      </w:r>
      <w:r w:rsidR="00D57FB2" w:rsidRPr="007C68F1">
        <w:t xml:space="preserve"> </w:t>
      </w:r>
      <w:r w:rsidR="006C5A21" w:rsidRPr="007C68F1">
        <w:t>(2001) 25 Cal.4th 826, 843</w:t>
      </w:r>
      <w:bookmarkEnd w:id="81"/>
      <w:r w:rsidR="00D57FB2" w:rsidRPr="007C68F1">
        <w:t>.</w:t>
      </w:r>
      <w:r w:rsidRPr="007C68F1">
        <w:t xml:space="preserve">) </w:t>
      </w:r>
      <w:r w:rsidR="00F471EB" w:rsidRPr="007C68F1">
        <w:t xml:space="preserve"> </w:t>
      </w:r>
      <w:r w:rsidR="00277623" w:rsidRPr="007C68F1">
        <w:rPr>
          <w:shd w:val="clear" w:color="auto" w:fill="FFFFFF"/>
        </w:rPr>
        <w:t xml:space="preserve">The court may grant </w:t>
      </w:r>
      <w:r w:rsidR="00640DE9" w:rsidRPr="007C68F1">
        <w:rPr>
          <w:shd w:val="clear" w:color="auto" w:fill="FFFFFF"/>
        </w:rPr>
        <w:t>the</w:t>
      </w:r>
      <w:r w:rsidR="00277623" w:rsidRPr="007C68F1">
        <w:rPr>
          <w:shd w:val="clear" w:color="auto" w:fill="FFFFFF"/>
        </w:rPr>
        <w:t xml:space="preserve"> motion if there is no triable issue of material fact and the issues raised by the pleadings may be decided as a matter of law.  (</w:t>
      </w:r>
      <w:bookmarkStart w:id="82" w:name="dabmci_442110b8489b4ee7a641636192aae2db"/>
      <w:r w:rsidR="00163752" w:rsidRPr="007C68F1">
        <w:rPr>
          <w:shd w:val="clear" w:color="auto" w:fill="FFFFFF"/>
        </w:rPr>
        <w:t xml:space="preserve">Code Civ. Proc., </w:t>
      </w:r>
      <w:r w:rsidR="00277623" w:rsidRPr="007C68F1">
        <w:rPr>
          <w:shd w:val="clear" w:color="auto" w:fill="FFFFFF"/>
        </w:rPr>
        <w:t>§ 437c, subds. (c), (f)(1)</w:t>
      </w:r>
      <w:bookmarkEnd w:id="82"/>
      <w:r w:rsidR="00277623" w:rsidRPr="007C68F1">
        <w:rPr>
          <w:shd w:val="clear" w:color="auto" w:fill="FFFFFF"/>
        </w:rPr>
        <w:t xml:space="preserve">; </w:t>
      </w:r>
      <w:bookmarkStart w:id="83" w:name="dabmci_c199f0d83f05498187ea6c45393feb05"/>
      <w:r w:rsidR="00277623" w:rsidRPr="007C68F1">
        <w:rPr>
          <w:i/>
          <w:iCs/>
          <w:bdr w:val="none" w:sz="0" w:space="0" w:color="auto" w:frame="1"/>
        </w:rPr>
        <w:t>Biancalana v. T.D. Service Co.</w:t>
      </w:r>
      <w:r w:rsidR="00277623" w:rsidRPr="007C68F1">
        <w:rPr>
          <w:shd w:val="clear" w:color="auto" w:fill="FFFFFF"/>
        </w:rPr>
        <w:t xml:space="preserve"> (2013) 56 Cal.4th 807, 813</w:t>
      </w:r>
      <w:bookmarkEnd w:id="83"/>
      <w:r w:rsidR="00277623" w:rsidRPr="007C68F1">
        <w:rPr>
          <w:shd w:val="clear" w:color="auto" w:fill="FFFFFF"/>
        </w:rPr>
        <w:t xml:space="preserve">.)  </w:t>
      </w:r>
      <w:bookmarkStart w:id="84" w:name="dabmq_30"/>
      <w:r w:rsidRPr="007C68F1">
        <w:t xml:space="preserve">“There is a triable </w:t>
      </w:r>
      <w:r w:rsidRPr="007C68F1">
        <w:t>issue of material fact if, and only if, the evidence would allow a reasonable trier of fact to find the underlying fact in favor of the party opposing the motion in accordance with the applicable standard of proof.”</w:t>
      </w:r>
      <w:bookmarkEnd w:id="84"/>
      <w:r w:rsidRPr="007C68F1">
        <w:t xml:space="preserve"> </w:t>
      </w:r>
      <w:r w:rsidR="007232C3" w:rsidRPr="007C68F1">
        <w:t xml:space="preserve"> </w:t>
      </w:r>
      <w:r w:rsidRPr="007C68F1">
        <w:t>(</w:t>
      </w:r>
      <w:bookmarkStart w:id="85" w:name="dabmci_c6409eab366d40c494af0697df883361"/>
      <w:r w:rsidR="00C46687" w:rsidRPr="007C68F1">
        <w:rPr>
          <w:i/>
          <w:iCs/>
          <w:bdr w:val="none" w:sz="0" w:space="0" w:color="auto" w:frame="1"/>
        </w:rPr>
        <w:t>Aguilar</w:t>
      </w:r>
      <w:r w:rsidR="00C46687" w:rsidRPr="007C68F1">
        <w:rPr>
          <w:bdr w:val="none" w:sz="0" w:space="0" w:color="auto" w:frame="1"/>
        </w:rPr>
        <w:t>,</w:t>
      </w:r>
      <w:r w:rsidR="008240C2" w:rsidRPr="007C68F1">
        <w:t xml:space="preserve"> </w:t>
      </w:r>
      <w:r w:rsidR="0045196A" w:rsidRPr="007C68F1">
        <w:rPr>
          <w:i/>
          <w:iCs/>
        </w:rPr>
        <w:t>supra,</w:t>
      </w:r>
      <w:r w:rsidR="0045196A" w:rsidRPr="007C68F1">
        <w:t xml:space="preserve"> </w:t>
      </w:r>
      <w:r w:rsidRPr="007C68F1">
        <w:t>at p. 850</w:t>
      </w:r>
      <w:bookmarkEnd w:id="85"/>
      <w:r w:rsidRPr="007C68F1">
        <w:t>.)</w:t>
      </w:r>
    </w:p>
    <w:p w14:paraId="1120C84B" w14:textId="77777777" w:rsidR="00955025" w:rsidRPr="007C68F1" w:rsidRDefault="00D16B2E" w:rsidP="007D1009">
      <w:pPr>
        <w:spacing w:line="480" w:lineRule="auto"/>
        <w:ind w:firstLine="720"/>
      </w:pPr>
      <w:r w:rsidRPr="007C68F1">
        <w:t xml:space="preserve">We review </w:t>
      </w:r>
      <w:r w:rsidRPr="007C68F1">
        <w:t>summary adjudication orders de novo and apply the same legal standard as the trial court.</w:t>
      </w:r>
      <w:r w:rsidR="007232C3" w:rsidRPr="007C68F1">
        <w:t xml:space="preserve"> </w:t>
      </w:r>
      <w:r w:rsidRPr="007C68F1">
        <w:t xml:space="preserve"> (</w:t>
      </w:r>
      <w:bookmarkStart w:id="86" w:name="dabmci_6f98184796a844239183b4b8acda27cd"/>
      <w:r w:rsidRPr="007C68F1">
        <w:rPr>
          <w:i/>
          <w:iCs/>
          <w:bdr w:val="none" w:sz="0" w:space="0" w:color="auto" w:frame="1"/>
        </w:rPr>
        <w:t>Travelers Property Casualty Co. of America v. Superior Court</w:t>
      </w:r>
      <w:r w:rsidR="007232C3" w:rsidRPr="007C68F1">
        <w:t xml:space="preserve"> </w:t>
      </w:r>
      <w:r w:rsidRPr="007C68F1">
        <w:t>(2013) 215 Cal.App.4th 561, 574</w:t>
      </w:r>
      <w:bookmarkEnd w:id="86"/>
      <w:r w:rsidRPr="007C68F1">
        <w:t xml:space="preserve">.) </w:t>
      </w:r>
      <w:r w:rsidR="008240C2" w:rsidRPr="007C68F1">
        <w:t xml:space="preserve"> </w:t>
      </w:r>
      <w:r w:rsidRPr="007C68F1">
        <w:t>We independently examine the record to determine whether there are t</w:t>
      </w:r>
      <w:r w:rsidRPr="007C68F1">
        <w:t xml:space="preserve">riable issues of material fact and whether the moving party is entitled to summary adjudication as a matter of law. </w:t>
      </w:r>
      <w:r w:rsidR="008240C2" w:rsidRPr="007C68F1">
        <w:t xml:space="preserve"> </w:t>
      </w:r>
      <w:r w:rsidRPr="007C68F1">
        <w:t>(</w:t>
      </w:r>
      <w:bookmarkStart w:id="87" w:name="dabmci_1fcb5a7c26944bff865e1eb2152c62f3"/>
      <w:r w:rsidR="008240C2" w:rsidRPr="007C68F1">
        <w:rPr>
          <w:i/>
          <w:iCs/>
        </w:rPr>
        <w:t>Id.</w:t>
      </w:r>
      <w:r w:rsidRPr="007C68F1">
        <w:t xml:space="preserve"> at p. 574</w:t>
      </w:r>
      <w:bookmarkEnd w:id="87"/>
      <w:r w:rsidRPr="007C68F1">
        <w:t>.)</w:t>
      </w:r>
    </w:p>
    <w:p w14:paraId="31B0A037" w14:textId="77777777" w:rsidR="000B4E23" w:rsidRPr="007C68F1" w:rsidRDefault="00D16B2E" w:rsidP="007D1009">
      <w:pPr>
        <w:keepNext/>
        <w:spacing w:line="480" w:lineRule="auto"/>
        <w:ind w:firstLine="720"/>
      </w:pPr>
      <w:r w:rsidRPr="007C68F1">
        <w:t xml:space="preserve">C.  </w:t>
      </w:r>
      <w:r w:rsidR="00226470" w:rsidRPr="007C68F1">
        <w:rPr>
          <w:i/>
          <w:iCs/>
        </w:rPr>
        <w:t>Analysis</w:t>
      </w:r>
    </w:p>
    <w:p w14:paraId="5FFF35F2" w14:textId="77777777" w:rsidR="00F9583A" w:rsidRPr="007C68F1" w:rsidRDefault="00D16B2E" w:rsidP="007D1009">
      <w:pPr>
        <w:spacing w:line="480" w:lineRule="auto"/>
        <w:ind w:firstLine="720"/>
        <w:rPr>
          <w:shd w:val="clear" w:color="auto" w:fill="FFFFFF"/>
        </w:rPr>
      </w:pPr>
      <w:r w:rsidRPr="007C68F1">
        <w:rPr>
          <w:shd w:val="clear" w:color="auto" w:fill="FFFFFF"/>
        </w:rPr>
        <w:t xml:space="preserve">A federal regulation </w:t>
      </w:r>
      <w:bookmarkStart w:id="88" w:name="dabmq_31"/>
      <w:r w:rsidRPr="007C68F1">
        <w:rPr>
          <w:shd w:val="clear" w:color="auto" w:fill="FFFFFF"/>
        </w:rPr>
        <w:t xml:space="preserve">“allows employers to compute employee worktime by rounding ‘to the nearest 5 </w:t>
      </w:r>
      <w:r w:rsidRPr="007C68F1">
        <w:rPr>
          <w:shd w:val="clear" w:color="auto" w:fill="FFFFFF"/>
        </w:rPr>
        <w:t>minutes, or to the nearest one-tenth or quarter of an hour,’ provided that the rounding system adopted by the employer ‘is used in such a manner that it will not result, over a period of time, in failure to compensate the employees properly for all the tim</w:t>
      </w:r>
      <w:r w:rsidRPr="007C68F1">
        <w:rPr>
          <w:shd w:val="clear" w:color="auto" w:fill="FFFFFF"/>
        </w:rPr>
        <w:t>e they have actually worked.’”</w:t>
      </w:r>
      <w:bookmarkEnd w:id="88"/>
      <w:r w:rsidRPr="007C68F1">
        <w:rPr>
          <w:shd w:val="clear" w:color="auto" w:fill="FFFFFF"/>
        </w:rPr>
        <w:t xml:space="preserve">  (</w:t>
      </w:r>
      <w:bookmarkStart w:id="89" w:name="dabmci_2f38a742eea84d3ea25ea95b0b7b477e"/>
      <w:r w:rsidRPr="007C68F1">
        <w:rPr>
          <w:i/>
          <w:iCs/>
          <w:bdr w:val="none" w:sz="0" w:space="0" w:color="auto" w:frame="1"/>
        </w:rPr>
        <w:t>AHMC Healthcare, Inc. v. Superior Court</w:t>
      </w:r>
      <w:r w:rsidR="00B35859" w:rsidRPr="007C68F1">
        <w:t xml:space="preserve"> </w:t>
      </w:r>
      <w:r w:rsidRPr="007C68F1">
        <w:t>(2018) 24 Cal.App.5th 1014, 1020-1021</w:t>
      </w:r>
      <w:r w:rsidR="003A3047" w:rsidRPr="007C68F1">
        <w:t xml:space="preserve"> (</w:t>
      </w:r>
      <w:r w:rsidR="003A3047" w:rsidRPr="007C68F1">
        <w:rPr>
          <w:i/>
          <w:iCs/>
        </w:rPr>
        <w:t>AHMC</w:t>
      </w:r>
      <w:r w:rsidR="003A3047" w:rsidRPr="007C68F1">
        <w:t xml:space="preserve"> </w:t>
      </w:r>
      <w:r w:rsidR="003A3047" w:rsidRPr="007C68F1">
        <w:rPr>
          <w:i/>
          <w:iCs/>
        </w:rPr>
        <w:t>Healthcare</w:t>
      </w:r>
      <w:r w:rsidR="003A3047" w:rsidRPr="007C68F1">
        <w:t>)</w:t>
      </w:r>
      <w:bookmarkEnd w:id="89"/>
      <w:r w:rsidR="00C23D18" w:rsidRPr="007C68F1">
        <w:t xml:space="preserve">, quoting </w:t>
      </w:r>
      <w:bookmarkStart w:id="90" w:name="dabmci_28b802b89aa84e5fb953d462c8abf7c8"/>
      <w:r w:rsidR="00C23D18" w:rsidRPr="007C68F1">
        <w:t>29 C.F.R. § 785.48(b)</w:t>
      </w:r>
      <w:bookmarkEnd w:id="90"/>
      <w:r w:rsidRPr="007C68F1">
        <w:t>.)</w:t>
      </w:r>
      <w:r w:rsidR="004A3A72" w:rsidRPr="007C68F1">
        <w:t xml:space="preserve"> </w:t>
      </w:r>
      <w:r w:rsidR="009F6990" w:rsidRPr="007C68F1">
        <w:t xml:space="preserve"> </w:t>
      </w:r>
      <w:r w:rsidR="000C3FDA" w:rsidRPr="007C68F1">
        <w:t xml:space="preserve">Under </w:t>
      </w:r>
      <w:r w:rsidR="00AD3EFC" w:rsidRPr="007C68F1">
        <w:t xml:space="preserve">that </w:t>
      </w:r>
      <w:r w:rsidR="000C3FDA" w:rsidRPr="007C68F1">
        <w:t>regulation, t</w:t>
      </w:r>
      <w:r w:rsidR="002C5A86" w:rsidRPr="007C68F1">
        <w:t>he practice</w:t>
      </w:r>
      <w:r w:rsidR="0053646C" w:rsidRPr="007C68F1">
        <w:t xml:space="preserve"> of rounding time</w:t>
      </w:r>
      <w:r w:rsidR="002C5A86" w:rsidRPr="007C68F1">
        <w:t xml:space="preserve"> is lawful </w:t>
      </w:r>
      <w:bookmarkStart w:id="91" w:name="dabmq_32"/>
      <w:r w:rsidR="002C5A86" w:rsidRPr="007C68F1">
        <w:t>“‘i</w:t>
      </w:r>
      <w:r w:rsidR="009F6990" w:rsidRPr="007C68F1">
        <w:rPr>
          <w:shd w:val="clear" w:color="auto" w:fill="FFFFFF"/>
        </w:rPr>
        <w:t xml:space="preserve">f the </w:t>
      </w:r>
      <w:r w:rsidR="009F6990" w:rsidRPr="007C68F1">
        <w:rPr>
          <w:shd w:val="clear" w:color="auto" w:fill="FFFFFF"/>
        </w:rPr>
        <w:lastRenderedPageBreak/>
        <w:t>employer applies a consistent rounding policy that, on average, favors neither overpayment nor underpayment</w:t>
      </w:r>
      <w:r w:rsidR="002C5A86" w:rsidRPr="007C68F1">
        <w:rPr>
          <w:shd w:val="clear" w:color="auto" w:fill="FFFFFF"/>
        </w:rPr>
        <w:t>.’</w:t>
      </w:r>
      <w:r w:rsidR="009F6990" w:rsidRPr="007C68F1">
        <w:rPr>
          <w:shd w:val="clear" w:color="auto" w:fill="FFFFFF"/>
        </w:rPr>
        <w:t>”</w:t>
      </w:r>
      <w:bookmarkEnd w:id="91"/>
      <w:r w:rsidR="002C5A86" w:rsidRPr="007C68F1">
        <w:rPr>
          <w:shd w:val="clear" w:color="auto" w:fill="FFFFFF"/>
        </w:rPr>
        <w:t xml:space="preserve">  (</w:t>
      </w:r>
      <w:bookmarkStart w:id="92" w:name="dabmci_5b571484816c40979c2e262ded8b9f49"/>
      <w:r w:rsidR="0053646C" w:rsidRPr="007C68F1">
        <w:rPr>
          <w:i/>
          <w:iCs/>
          <w:bdr w:val="none" w:sz="0" w:space="0" w:color="auto" w:frame="1"/>
        </w:rPr>
        <w:t>See’s Candy</w:t>
      </w:r>
      <w:r w:rsidR="00D516F0" w:rsidRPr="007C68F1">
        <w:rPr>
          <w:bdr w:val="none" w:sz="0" w:space="0" w:color="auto" w:frame="1"/>
        </w:rPr>
        <w:t xml:space="preserve">, </w:t>
      </w:r>
      <w:r w:rsidR="00D516F0" w:rsidRPr="007C68F1">
        <w:rPr>
          <w:i/>
          <w:iCs/>
          <w:bdr w:val="none" w:sz="0" w:space="0" w:color="auto" w:frame="1"/>
        </w:rPr>
        <w:t>supra</w:t>
      </w:r>
      <w:r w:rsidR="00D516F0" w:rsidRPr="007C68F1">
        <w:rPr>
          <w:bdr w:val="none" w:sz="0" w:space="0" w:color="auto" w:frame="1"/>
        </w:rPr>
        <w:t xml:space="preserve">, </w:t>
      </w:r>
      <w:r w:rsidR="0053646C" w:rsidRPr="007C68F1">
        <w:t xml:space="preserve">210 Cal.App.4th </w:t>
      </w:r>
      <w:r w:rsidR="00D516F0" w:rsidRPr="007C68F1">
        <w:t>at p.</w:t>
      </w:r>
      <w:r w:rsidR="008253D7">
        <w:t> </w:t>
      </w:r>
      <w:r w:rsidR="0053646C" w:rsidRPr="007C68F1">
        <w:t>901</w:t>
      </w:r>
      <w:bookmarkEnd w:id="92"/>
      <w:r w:rsidR="002C5A86" w:rsidRPr="007C68F1">
        <w:rPr>
          <w:i/>
          <w:iCs/>
          <w:shd w:val="clear" w:color="auto" w:fill="FFFFFF"/>
        </w:rPr>
        <w:t>.</w:t>
      </w:r>
      <w:r w:rsidR="002C5A86" w:rsidRPr="007C68F1">
        <w:rPr>
          <w:shd w:val="clear" w:color="auto" w:fill="FFFFFF"/>
        </w:rPr>
        <w:t>)</w:t>
      </w:r>
      <w:r w:rsidR="000F2F0C" w:rsidRPr="007C68F1">
        <w:rPr>
          <w:shd w:val="clear" w:color="auto" w:fill="FFFFFF"/>
        </w:rPr>
        <w:t xml:space="preserve">  </w:t>
      </w:r>
      <w:bookmarkStart w:id="93" w:name="dabmq_33"/>
      <w:r w:rsidR="000F2F0C" w:rsidRPr="007C68F1">
        <w:rPr>
          <w:shd w:val="clear" w:color="auto" w:fill="FFFFFF"/>
        </w:rPr>
        <w:t>“‘Presumably, this arrangement averages out so that the employees are fully compensated for all the time they actually work.’”</w:t>
      </w:r>
      <w:bookmarkEnd w:id="93"/>
      <w:r w:rsidR="000F2F0C" w:rsidRPr="007C68F1">
        <w:rPr>
          <w:shd w:val="clear" w:color="auto" w:fill="FFFFFF"/>
        </w:rPr>
        <w:t xml:space="preserve">  (</w:t>
      </w:r>
      <w:bookmarkStart w:id="94" w:name="dabmci_495fa4f1b6b7473db0c528fdba2b2b28"/>
      <w:r w:rsidR="000F2F0C" w:rsidRPr="007C68F1">
        <w:rPr>
          <w:i/>
          <w:iCs/>
          <w:shd w:val="clear" w:color="auto" w:fill="FFFFFF"/>
        </w:rPr>
        <w:t>Ibid.</w:t>
      </w:r>
      <w:bookmarkEnd w:id="94"/>
      <w:r w:rsidR="000F2F0C" w:rsidRPr="007C68F1">
        <w:rPr>
          <w:shd w:val="clear" w:color="auto" w:fill="FFFFFF"/>
        </w:rPr>
        <w:t>)</w:t>
      </w:r>
      <w:r w:rsidRPr="007C68F1">
        <w:rPr>
          <w:shd w:val="clear" w:color="auto" w:fill="FFFFFF"/>
        </w:rPr>
        <w:t xml:space="preserve">  </w:t>
      </w:r>
    </w:p>
    <w:p w14:paraId="5CC56831" w14:textId="77777777" w:rsidR="003D466C" w:rsidRPr="007C68F1" w:rsidRDefault="00D16B2E" w:rsidP="007D1009">
      <w:pPr>
        <w:spacing w:line="480" w:lineRule="auto"/>
        <w:ind w:firstLine="720"/>
      </w:pPr>
      <w:r>
        <w:t xml:space="preserve">In 2012, </w:t>
      </w:r>
      <w:bookmarkStart w:id="95" w:name="dabmci_9f9084e7404c4f30b6bc1721aff185b6"/>
      <w:r w:rsidR="00F9583A" w:rsidRPr="007C68F1">
        <w:rPr>
          <w:i/>
          <w:iCs/>
        </w:rPr>
        <w:t>See’s Candy</w:t>
      </w:r>
      <w:bookmarkEnd w:id="95"/>
      <w:r w:rsidR="00F9583A" w:rsidRPr="007C68F1">
        <w:t xml:space="preserve"> adopted the federal regulatory standard</w:t>
      </w:r>
      <w:r w:rsidR="004D2F6C" w:rsidRPr="007C68F1">
        <w:t xml:space="preserve"> for </w:t>
      </w:r>
      <w:r w:rsidR="0021343C">
        <w:t xml:space="preserve">rounding </w:t>
      </w:r>
      <w:r w:rsidR="004D2F6C" w:rsidRPr="007C68F1">
        <w:t>claims under California law</w:t>
      </w:r>
      <w:r w:rsidR="00F9583A" w:rsidRPr="007C68F1">
        <w:t>.  (</w:t>
      </w:r>
      <w:bookmarkStart w:id="96" w:name="dabmci_04d61e1b9ba34da7aea4020fcb6d9afb"/>
      <w:r w:rsidR="00F9583A" w:rsidRPr="007C68F1">
        <w:rPr>
          <w:i/>
          <w:iCs/>
          <w:bdr w:val="none" w:sz="0" w:space="0" w:color="auto" w:frame="1"/>
        </w:rPr>
        <w:t>See’s Candy</w:t>
      </w:r>
      <w:r w:rsidR="00F9583A" w:rsidRPr="007C68F1">
        <w:rPr>
          <w:bdr w:val="none" w:sz="0" w:space="0" w:color="auto" w:frame="1"/>
        </w:rPr>
        <w:t xml:space="preserve">, </w:t>
      </w:r>
      <w:r w:rsidR="00F9583A" w:rsidRPr="007C68F1">
        <w:rPr>
          <w:i/>
          <w:iCs/>
          <w:bdr w:val="none" w:sz="0" w:space="0" w:color="auto" w:frame="1"/>
        </w:rPr>
        <w:t>supra</w:t>
      </w:r>
      <w:r w:rsidR="00F9583A" w:rsidRPr="007C68F1">
        <w:rPr>
          <w:bdr w:val="none" w:sz="0" w:space="0" w:color="auto" w:frame="1"/>
        </w:rPr>
        <w:t xml:space="preserve">, </w:t>
      </w:r>
      <w:r w:rsidR="00F9583A" w:rsidRPr="007C68F1">
        <w:t>210 Cal.App.4th at p. 907</w:t>
      </w:r>
      <w:bookmarkEnd w:id="96"/>
      <w:r w:rsidR="00F9583A" w:rsidRPr="007C68F1">
        <w:t>.)  The court reasoned that no California statute or case law prohibited the practice of rounding</w:t>
      </w:r>
      <w:r w:rsidR="004946D1" w:rsidRPr="007C68F1">
        <w:t>,</w:t>
      </w:r>
      <w:r w:rsidR="00F9583A" w:rsidRPr="007C68F1">
        <w:t xml:space="preserve"> and </w:t>
      </w:r>
      <w:r w:rsidR="004946D1" w:rsidRPr="007C68F1">
        <w:t>in the absence of state authorities, California courts generally look to federal labor law for guidance.  (</w:t>
      </w:r>
      <w:bookmarkStart w:id="97" w:name="dabmci_6ff4a55354fb4fb3b840140a974956c0"/>
      <w:r w:rsidR="004946D1" w:rsidRPr="007C68F1">
        <w:rPr>
          <w:i/>
        </w:rPr>
        <w:t>Id.</w:t>
      </w:r>
      <w:r w:rsidR="004946D1" w:rsidRPr="007C68F1">
        <w:rPr>
          <w:iCs/>
        </w:rPr>
        <w:t xml:space="preserve"> at pp. 901, 903</w:t>
      </w:r>
      <w:bookmarkEnd w:id="97"/>
      <w:r w:rsidR="004946D1" w:rsidRPr="007C68F1">
        <w:rPr>
          <w:iCs/>
        </w:rPr>
        <w:t>.)  The court also found persuasive that the</w:t>
      </w:r>
      <w:r w:rsidR="00F9583A" w:rsidRPr="007C68F1">
        <w:t xml:space="preserve"> agency responsible for enforcing California’s labor law</w:t>
      </w:r>
      <w:r w:rsidR="004946D1" w:rsidRPr="007C68F1">
        <w:t>s</w:t>
      </w:r>
      <w:r w:rsidR="00F9583A" w:rsidRPr="007C68F1">
        <w:t xml:space="preserve">, the </w:t>
      </w:r>
      <w:r w:rsidR="004946D1" w:rsidRPr="007C68F1">
        <w:t xml:space="preserve">Division of Labor Standards Enforcement (DLSE), had adopted the federal regulation in </w:t>
      </w:r>
      <w:r w:rsidR="00FA595B">
        <w:t>the agency’s 2002 revised</w:t>
      </w:r>
      <w:r w:rsidR="004946D1" w:rsidRPr="007C68F1">
        <w:t xml:space="preserve"> </w:t>
      </w:r>
      <w:r w:rsidR="00FA595B">
        <w:t xml:space="preserve">enforcement </w:t>
      </w:r>
      <w:r w:rsidR="004946D1" w:rsidRPr="007C68F1">
        <w:t>manual</w:t>
      </w:r>
      <w:r w:rsidR="00F9583A" w:rsidRPr="007C68F1">
        <w:t>.</w:t>
      </w:r>
      <w:r w:rsidR="00F9583A" w:rsidRPr="007C68F1">
        <w:rPr>
          <w:iCs/>
        </w:rPr>
        <w:t xml:space="preserve"> </w:t>
      </w:r>
      <w:r w:rsidR="004946D1" w:rsidRPr="007C68F1">
        <w:rPr>
          <w:iCs/>
        </w:rPr>
        <w:t xml:space="preserve"> (</w:t>
      </w:r>
      <w:bookmarkStart w:id="98" w:name="dabmci_573498a03ef4479bac72b1bb03e480db"/>
      <w:r w:rsidR="004946D1" w:rsidRPr="007C68F1">
        <w:rPr>
          <w:i/>
        </w:rPr>
        <w:t>Id.</w:t>
      </w:r>
      <w:r w:rsidR="004946D1" w:rsidRPr="007C68F1">
        <w:rPr>
          <w:iCs/>
        </w:rPr>
        <w:t xml:space="preserve"> at p. 902</w:t>
      </w:r>
      <w:bookmarkEnd w:id="98"/>
      <w:r w:rsidR="004946D1" w:rsidRPr="007C68F1">
        <w:rPr>
          <w:iCs/>
        </w:rPr>
        <w:t>.)</w:t>
      </w:r>
      <w:r w:rsidR="00F9583A" w:rsidRPr="007C68F1">
        <w:rPr>
          <w:iCs/>
        </w:rPr>
        <w:t xml:space="preserve"> </w:t>
      </w:r>
      <w:r w:rsidR="004946D1" w:rsidRPr="007C68F1">
        <w:rPr>
          <w:iCs/>
        </w:rPr>
        <w:t xml:space="preserve"> </w:t>
      </w:r>
      <w:r w:rsidR="00F9583A" w:rsidRPr="007C68F1">
        <w:rPr>
          <w:iCs/>
        </w:rPr>
        <w:t>The</w:t>
      </w:r>
      <w:r w:rsidR="00F9583A" w:rsidRPr="007C68F1">
        <w:t xml:space="preserve"> </w:t>
      </w:r>
      <w:bookmarkStart w:id="99" w:name="dabmci_0f5e1e5d26cf4e43ab8c6955f03c4deb"/>
      <w:r w:rsidR="004946D1" w:rsidRPr="007C68F1">
        <w:rPr>
          <w:i/>
          <w:iCs/>
        </w:rPr>
        <w:t>See’s Candy</w:t>
      </w:r>
      <w:bookmarkEnd w:id="99"/>
      <w:r w:rsidR="004946D1" w:rsidRPr="007C68F1">
        <w:t xml:space="preserve"> </w:t>
      </w:r>
      <w:r w:rsidR="00F9583A" w:rsidRPr="007C68F1">
        <w:t xml:space="preserve">court </w:t>
      </w:r>
      <w:r w:rsidR="004946D1" w:rsidRPr="007C68F1">
        <w:t xml:space="preserve">thus </w:t>
      </w:r>
      <w:r w:rsidR="00F9583A" w:rsidRPr="007C68F1">
        <w:t xml:space="preserve">held that a rounding policy is lawful if it is </w:t>
      </w:r>
      <w:r w:rsidR="004946D1" w:rsidRPr="007C68F1">
        <w:t>facially</w:t>
      </w:r>
      <w:r w:rsidR="00F9583A" w:rsidRPr="007C68F1">
        <w:t xml:space="preserve"> neutral and applied </w:t>
      </w:r>
      <w:bookmarkStart w:id="100" w:name="dabmq_34"/>
      <w:r w:rsidR="00F9583A" w:rsidRPr="007C68F1">
        <w:t>“‘in such a manner that it will not result, over a period of time</w:t>
      </w:r>
      <w:r w:rsidR="00316D4D" w:rsidRPr="007C68F1">
        <w:t>, in failure to compensate the employees properly for all the time they have actually worked</w:t>
      </w:r>
      <w:r w:rsidR="00F9583A" w:rsidRPr="007C68F1">
        <w:t>.</w:t>
      </w:r>
      <w:r w:rsidR="00316D4D" w:rsidRPr="007C68F1">
        <w:t>”</w:t>
      </w:r>
      <w:bookmarkEnd w:id="100"/>
      <w:r w:rsidR="00F9583A" w:rsidRPr="007C68F1">
        <w:t xml:space="preserve">  (</w:t>
      </w:r>
      <w:bookmarkStart w:id="101" w:name="dabmci_20864181135e4da1800b1259c8d0209a"/>
      <w:r w:rsidR="00F9583A" w:rsidRPr="007C68F1">
        <w:rPr>
          <w:i/>
          <w:iCs/>
        </w:rPr>
        <w:t>Id.</w:t>
      </w:r>
      <w:r w:rsidR="00F9583A" w:rsidRPr="007C68F1">
        <w:t xml:space="preserve"> at p. 907</w:t>
      </w:r>
      <w:bookmarkEnd w:id="101"/>
      <w:r w:rsidR="00F9583A" w:rsidRPr="007C68F1">
        <w:t>.)</w:t>
      </w:r>
      <w:r w:rsidR="00316D4D" w:rsidRPr="007C68F1">
        <w:t xml:space="preserve">  </w:t>
      </w:r>
    </w:p>
    <w:p w14:paraId="1C3B137E" w14:textId="77777777" w:rsidR="000B1D74" w:rsidRPr="007C68F1" w:rsidRDefault="00D16B2E" w:rsidP="007D1009">
      <w:pPr>
        <w:spacing w:line="480" w:lineRule="auto"/>
        <w:ind w:firstLine="720"/>
      </w:pPr>
      <w:r>
        <w:t>Since 2012, o</w:t>
      </w:r>
      <w:r w:rsidR="004D2F6C" w:rsidRPr="007C68F1">
        <w:t>ther</w:t>
      </w:r>
      <w:r w:rsidR="00316D4D" w:rsidRPr="007C68F1">
        <w:t xml:space="preserve"> courts of appeal have followed </w:t>
      </w:r>
      <w:bookmarkStart w:id="102" w:name="dabmci_e12fb32f881f4fbca7945d59cbc00cb0"/>
      <w:r w:rsidR="00316D4D" w:rsidRPr="007C68F1">
        <w:rPr>
          <w:i/>
          <w:iCs/>
        </w:rPr>
        <w:t>See’s Candy</w:t>
      </w:r>
      <w:bookmarkEnd w:id="102"/>
      <w:r w:rsidR="00316D4D" w:rsidRPr="007C68F1">
        <w:rPr>
          <w:i/>
          <w:iCs/>
        </w:rPr>
        <w:t xml:space="preserve"> </w:t>
      </w:r>
      <w:r w:rsidR="00316D4D" w:rsidRPr="007C68F1">
        <w:t>by applying the federal regulatory standard to rounding claims under California law.</w:t>
      </w:r>
      <w:r w:rsidR="00A67761" w:rsidRPr="007C68F1">
        <w:t xml:space="preserve">  (</w:t>
      </w:r>
      <w:bookmarkStart w:id="103" w:name="dabmci_2bc8e8da50784e71a9cc942ac5ced7a9"/>
      <w:r w:rsidR="00B46672" w:rsidRPr="007C68F1">
        <w:rPr>
          <w:i/>
          <w:iCs/>
          <w:bdr w:val="none" w:sz="0" w:space="0" w:color="auto" w:frame="1"/>
        </w:rPr>
        <w:t>David v. Queen of Valley Medical Center</w:t>
      </w:r>
      <w:r w:rsidR="00B46672" w:rsidRPr="007C68F1">
        <w:t xml:space="preserve"> (2020) 51 Cal.App.5th 653, 664-665</w:t>
      </w:r>
      <w:bookmarkEnd w:id="103"/>
      <w:r w:rsidR="00B46672" w:rsidRPr="007C68F1">
        <w:t xml:space="preserve">; </w:t>
      </w:r>
      <w:bookmarkStart w:id="104" w:name="dabmci_7164d5dff88a46cbb85377bf2079581e"/>
      <w:r w:rsidR="00111566" w:rsidRPr="007C68F1">
        <w:rPr>
          <w:i/>
          <w:iCs/>
        </w:rPr>
        <w:t>AHMC</w:t>
      </w:r>
      <w:r w:rsidR="00111566" w:rsidRPr="007C68F1">
        <w:t xml:space="preserve"> </w:t>
      </w:r>
      <w:r w:rsidR="00111566" w:rsidRPr="007C68F1">
        <w:rPr>
          <w:i/>
          <w:iCs/>
        </w:rPr>
        <w:t>Healthcare</w:t>
      </w:r>
      <w:r w:rsidR="00111566" w:rsidRPr="007C68F1">
        <w:t xml:space="preserve">, </w:t>
      </w:r>
      <w:r w:rsidR="00111566" w:rsidRPr="007C68F1">
        <w:rPr>
          <w:i/>
          <w:iCs/>
        </w:rPr>
        <w:t>supra</w:t>
      </w:r>
      <w:r w:rsidR="00111566" w:rsidRPr="007C68F1">
        <w:t>, 24 Cal.App.5th at pp.</w:t>
      </w:r>
      <w:r w:rsidR="0088276E" w:rsidRPr="007C68F1">
        <w:t> </w:t>
      </w:r>
      <w:r w:rsidR="00111566" w:rsidRPr="007C68F1">
        <w:t>1028-1029</w:t>
      </w:r>
      <w:bookmarkEnd w:id="104"/>
      <w:r w:rsidR="00111566" w:rsidRPr="007C68F1">
        <w:t>.)</w:t>
      </w:r>
      <w:r w:rsidR="00BC317E" w:rsidRPr="007C68F1">
        <w:t xml:space="preserve">  In one case, the court observed that the federal standard d</w:t>
      </w:r>
      <w:r w:rsidR="003D466C" w:rsidRPr="007C68F1">
        <w:t xml:space="preserve">oes not require that a rounding policy </w:t>
      </w:r>
      <w:bookmarkStart w:id="105" w:name="dabmq_35"/>
      <w:r w:rsidR="003D466C" w:rsidRPr="007C68F1">
        <w:t>“work out neutrally for every employee.”</w:t>
      </w:r>
      <w:bookmarkEnd w:id="105"/>
      <w:r w:rsidR="003D466C" w:rsidRPr="007C68F1">
        <w:t xml:space="preserve">  (</w:t>
      </w:r>
      <w:bookmarkStart w:id="106" w:name="dabmci_4f10e01e9ba94dbb9d08e224cf165501"/>
      <w:r w:rsidR="003D466C" w:rsidRPr="007C68F1">
        <w:rPr>
          <w:i/>
          <w:iCs/>
          <w:bdr w:val="none" w:sz="0" w:space="0" w:color="auto" w:frame="1"/>
        </w:rPr>
        <w:t>AHMC Healthcare</w:t>
      </w:r>
      <w:r w:rsidR="003D466C" w:rsidRPr="007C68F1">
        <w:rPr>
          <w:bdr w:val="none" w:sz="0" w:space="0" w:color="auto" w:frame="1"/>
        </w:rPr>
        <w:t xml:space="preserve">, </w:t>
      </w:r>
      <w:r w:rsidR="003D466C" w:rsidRPr="007C68F1">
        <w:t>at p. 1022</w:t>
      </w:r>
      <w:bookmarkEnd w:id="106"/>
      <w:r w:rsidR="003D466C" w:rsidRPr="007C68F1">
        <w:t xml:space="preserve">; </w:t>
      </w:r>
      <w:r w:rsidR="00BC317E" w:rsidRPr="007C68F1">
        <w:t xml:space="preserve">accord </w:t>
      </w:r>
      <w:bookmarkStart w:id="107" w:name="dabmci_e64a8907dc914d7eaf91111d4f58897c"/>
      <w:r w:rsidR="003D466C" w:rsidRPr="007C68F1">
        <w:rPr>
          <w:i/>
          <w:iCs/>
          <w:bdr w:val="none" w:sz="0" w:space="0" w:color="auto" w:frame="1"/>
        </w:rPr>
        <w:t>Corbin v. Time Warner Entm’t-Advance/Newhouse P’ship</w:t>
      </w:r>
      <w:r w:rsidR="003D466C" w:rsidRPr="007C68F1">
        <w:t xml:space="preserve"> (9th Cir. 2016) 821 F.3d 1069, 1077</w:t>
      </w:r>
      <w:bookmarkEnd w:id="107"/>
      <w:r w:rsidR="003D466C" w:rsidRPr="007C68F1">
        <w:t xml:space="preserve"> [rejecting the argument </w:t>
      </w:r>
      <w:r w:rsidR="003D466C" w:rsidRPr="007C68F1">
        <w:lastRenderedPageBreak/>
        <w:t xml:space="preserve">that every employee must </w:t>
      </w:r>
      <w:bookmarkStart w:id="108" w:name="dabmq_36"/>
      <w:r w:rsidR="003D466C" w:rsidRPr="007C68F1">
        <w:t>“</w:t>
      </w:r>
      <w:r w:rsidR="003D466C" w:rsidRPr="007C68F1">
        <w:rPr>
          <w:shd w:val="clear" w:color="auto" w:fill="FFFFFF"/>
        </w:rPr>
        <w:t xml:space="preserve">gain[] or break[] even over </w:t>
      </w:r>
      <w:r w:rsidR="003D466C" w:rsidRPr="007C68F1">
        <w:rPr>
          <w:i/>
          <w:iCs/>
          <w:bdr w:val="none" w:sz="0" w:space="0" w:color="auto" w:frame="1"/>
        </w:rPr>
        <w:t xml:space="preserve">every </w:t>
      </w:r>
      <w:r w:rsidR="003D466C" w:rsidRPr="007C68F1">
        <w:rPr>
          <w:shd w:val="clear" w:color="auto" w:fill="FFFFFF"/>
        </w:rPr>
        <w:t>pay period or set of pay periods analyzed”</w:t>
      </w:r>
      <w:bookmarkEnd w:id="108"/>
      <w:r w:rsidR="003D466C" w:rsidRPr="007C68F1">
        <w:rPr>
          <w:shd w:val="clear" w:color="auto" w:fill="FFFFFF"/>
        </w:rPr>
        <w:t xml:space="preserve">].)  Requiring neutral results for every individual employee </w:t>
      </w:r>
      <w:bookmarkStart w:id="109" w:name="dabmq_37"/>
      <w:r w:rsidR="003D466C" w:rsidRPr="007C68F1">
        <w:rPr>
          <w:shd w:val="clear" w:color="auto" w:fill="FFFFFF"/>
        </w:rPr>
        <w:t>“‘would undercut the purpose’ and ‘gut the effectiveness’ of the typical rounding policy.”</w:t>
      </w:r>
      <w:bookmarkEnd w:id="109"/>
      <w:r w:rsidR="003D466C" w:rsidRPr="007C68F1">
        <w:rPr>
          <w:shd w:val="clear" w:color="auto" w:fill="FFFFFF"/>
        </w:rPr>
        <w:t xml:space="preserve">  (</w:t>
      </w:r>
      <w:bookmarkStart w:id="110" w:name="dabmci_074d8ac5789c4cb68df8f13c6f33bee5"/>
      <w:r w:rsidR="003D466C" w:rsidRPr="007C68F1">
        <w:rPr>
          <w:i/>
          <w:iCs/>
          <w:bdr w:val="none" w:sz="0" w:space="0" w:color="auto" w:frame="1"/>
        </w:rPr>
        <w:t>AHMC Healthcare</w:t>
      </w:r>
      <w:r w:rsidR="003D466C" w:rsidRPr="007C68F1">
        <w:rPr>
          <w:bdr w:val="none" w:sz="0" w:space="0" w:color="auto" w:frame="1"/>
        </w:rPr>
        <w:t>, at p. 1022</w:t>
      </w:r>
      <w:bookmarkEnd w:id="110"/>
      <w:r w:rsidR="003D466C" w:rsidRPr="007C68F1">
        <w:rPr>
          <w:bdr w:val="none" w:sz="0" w:space="0" w:color="auto" w:frame="1"/>
        </w:rPr>
        <w:t>.)</w:t>
      </w:r>
    </w:p>
    <w:p w14:paraId="21678DA2" w14:textId="77777777" w:rsidR="00E20F1C" w:rsidRPr="007C68F1" w:rsidRDefault="00D16B2E" w:rsidP="007D1009">
      <w:pPr>
        <w:spacing w:line="480" w:lineRule="auto"/>
        <w:ind w:firstLine="720"/>
      </w:pPr>
      <w:r w:rsidRPr="007C68F1">
        <w:rPr>
          <w:i/>
          <w:iCs/>
        </w:rPr>
        <w:t>Camp</w:t>
      </w:r>
      <w:r w:rsidRPr="007C68F1">
        <w:t xml:space="preserve"> recently broke with </w:t>
      </w:r>
      <w:r w:rsidR="00BC317E" w:rsidRPr="007C68F1">
        <w:t xml:space="preserve">the </w:t>
      </w:r>
      <w:bookmarkStart w:id="111" w:name="dabmci_869e723e5bd84711ac3bd04a96c42bc4"/>
      <w:r w:rsidRPr="007C68F1">
        <w:rPr>
          <w:i/>
          <w:iCs/>
        </w:rPr>
        <w:t>See’s Can</w:t>
      </w:r>
      <w:r w:rsidR="00BC317E" w:rsidRPr="007C68F1">
        <w:rPr>
          <w:i/>
          <w:iCs/>
        </w:rPr>
        <w:t>dy</w:t>
      </w:r>
      <w:bookmarkEnd w:id="111"/>
      <w:r w:rsidR="00BC317E" w:rsidRPr="007C68F1">
        <w:t xml:space="preserve"> line of cases.</w:t>
      </w:r>
      <w:r w:rsidRPr="007C68F1">
        <w:t xml:space="preserve"> </w:t>
      </w:r>
      <w:r w:rsidR="004D2F6C" w:rsidRPr="007C68F1">
        <w:t xml:space="preserve"> </w:t>
      </w:r>
      <w:r w:rsidRPr="007C68F1">
        <w:t xml:space="preserve">In </w:t>
      </w:r>
      <w:bookmarkStart w:id="112" w:name="dabmci_e10b18bad8b04f35b80135cbf581c417"/>
      <w:r w:rsidRPr="007C68F1">
        <w:rPr>
          <w:i/>
          <w:iCs/>
        </w:rPr>
        <w:t>Camp</w:t>
      </w:r>
      <w:bookmarkEnd w:id="112"/>
      <w:r w:rsidR="00807E4B" w:rsidRPr="007C68F1">
        <w:t xml:space="preserve">, the stipulated evidence showed that under the employer’s rounding policy, 56.6 percent of employees were paid for the same or a greater amount of time than their actual work time, while 43.4 percent </w:t>
      </w:r>
      <w:r w:rsidR="0024015C">
        <w:t xml:space="preserve">of employees </w:t>
      </w:r>
      <w:r w:rsidR="00807E4B" w:rsidRPr="007C68F1">
        <w:t xml:space="preserve">were </w:t>
      </w:r>
      <w:r w:rsidR="00686A82" w:rsidRPr="007C68F1">
        <w:t>underpaid.  (</w:t>
      </w:r>
      <w:bookmarkStart w:id="113" w:name="dabmci_cd624e51b251461998c3b9e312c9a5e1"/>
      <w:r w:rsidR="00686A82" w:rsidRPr="007C68F1">
        <w:rPr>
          <w:i/>
          <w:iCs/>
        </w:rPr>
        <w:t>Camp</w:t>
      </w:r>
      <w:r w:rsidR="00686A82" w:rsidRPr="007C68F1">
        <w:t xml:space="preserve">, </w:t>
      </w:r>
      <w:r w:rsidRPr="007C68F1">
        <w:rPr>
          <w:i/>
          <w:iCs/>
        </w:rPr>
        <w:t>supra</w:t>
      </w:r>
      <w:r w:rsidRPr="007C68F1">
        <w:t>, 84 Cal.App.5th at p. 646</w:t>
      </w:r>
      <w:bookmarkEnd w:id="113"/>
      <w:r w:rsidRPr="007C68F1">
        <w:t>.)  The plaintiff was one of the employees whom the employer had underpaid</w:t>
      </w:r>
      <w:r w:rsidR="0024015C">
        <w:t xml:space="preserve">—he had </w:t>
      </w:r>
      <w:r w:rsidR="0024015C" w:rsidRPr="007C68F1">
        <w:t xml:space="preserve">lost 7.83 hours </w:t>
      </w:r>
      <w:r w:rsidR="00866690">
        <w:t>because of</w:t>
      </w:r>
      <w:r w:rsidR="0024015C" w:rsidRPr="007C68F1">
        <w:t xml:space="preserve"> rounding</w:t>
      </w:r>
      <w:r w:rsidRPr="007C68F1">
        <w:t>.  (</w:t>
      </w:r>
      <w:bookmarkStart w:id="114" w:name="dabmci_9548dfacd3a246b99cdcbd0bf999d809"/>
      <w:r w:rsidRPr="007C68F1">
        <w:rPr>
          <w:i/>
          <w:iCs/>
        </w:rPr>
        <w:t>Ibid.</w:t>
      </w:r>
      <w:bookmarkEnd w:id="114"/>
      <w:r w:rsidRPr="007C68F1">
        <w:t>)</w:t>
      </w:r>
    </w:p>
    <w:p w14:paraId="1CB156EC" w14:textId="77777777" w:rsidR="0083622F" w:rsidRDefault="00D16B2E" w:rsidP="007D1009">
      <w:pPr>
        <w:spacing w:line="480" w:lineRule="auto"/>
        <w:ind w:firstLine="720"/>
      </w:pPr>
      <w:r w:rsidRPr="007C68F1">
        <w:t xml:space="preserve">The employer argued </w:t>
      </w:r>
      <w:r w:rsidR="00E20F1C" w:rsidRPr="007C68F1">
        <w:t>that it</w:t>
      </w:r>
      <w:r w:rsidRPr="007C68F1">
        <w:t xml:space="preserve">s rounding policy was lawful under </w:t>
      </w:r>
      <w:r w:rsidRPr="007C68F1">
        <w:rPr>
          <w:i/>
          <w:iCs/>
        </w:rPr>
        <w:t>See’s Candy</w:t>
      </w:r>
      <w:r w:rsidRPr="007C68F1">
        <w:t xml:space="preserve"> and that it therefore was entitled to summary judgment on the plaintiff’s claim for unpaid wages, but the </w:t>
      </w:r>
      <w:r w:rsidRPr="007C68F1">
        <w:rPr>
          <w:i/>
          <w:iCs/>
        </w:rPr>
        <w:t>Camp</w:t>
      </w:r>
      <w:r w:rsidRPr="007C68F1">
        <w:t xml:space="preserve"> court rejected that argument.  (</w:t>
      </w:r>
      <w:bookmarkStart w:id="115" w:name="dabmci_415fc0f6c94440a89033379ed25fd6eb"/>
      <w:r w:rsidRPr="007C68F1">
        <w:rPr>
          <w:i/>
          <w:iCs/>
        </w:rPr>
        <w:t>Camp</w:t>
      </w:r>
      <w:r w:rsidRPr="007C68F1">
        <w:t xml:space="preserve">, </w:t>
      </w:r>
      <w:r w:rsidRPr="007C68F1">
        <w:rPr>
          <w:i/>
          <w:iCs/>
        </w:rPr>
        <w:t>supra</w:t>
      </w:r>
      <w:r w:rsidRPr="007C68F1">
        <w:t>, 84 Cal.App.5th at pp.</w:t>
      </w:r>
      <w:r w:rsidR="008253D7">
        <w:t> </w:t>
      </w:r>
      <w:r w:rsidRPr="007C68F1">
        <w:t>643-644</w:t>
      </w:r>
      <w:bookmarkEnd w:id="115"/>
      <w:r w:rsidRPr="007C68F1">
        <w:t xml:space="preserve">.)  The court held that if an employer </w:t>
      </w:r>
      <w:bookmarkStart w:id="116" w:name="dabmq_38"/>
      <w:r>
        <w:t>“c</w:t>
      </w:r>
      <w:r w:rsidRPr="007C68F1">
        <w:rPr>
          <w:bdr w:val="none" w:sz="0" w:space="0" w:color="auto" w:frame="1"/>
          <w:shd w:val="clear" w:color="auto" w:fill="FFFFFF"/>
        </w:rPr>
        <w:t>an capture and has captured t</w:t>
      </w:r>
      <w:r w:rsidRPr="007C68F1">
        <w:rPr>
          <w:bdr w:val="none" w:sz="0" w:space="0" w:color="auto" w:frame="1"/>
          <w:shd w:val="clear" w:color="auto" w:fill="FFFFFF"/>
        </w:rPr>
        <w:t xml:space="preserve">he exact amount of time an employee has worked during a shift, the employer must pay the employee for </w:t>
      </w:r>
      <w:r>
        <w:rPr>
          <w:bdr w:val="none" w:sz="0" w:space="0" w:color="auto" w:frame="1"/>
          <w:shd w:val="clear" w:color="auto" w:fill="FFFFFF"/>
        </w:rPr>
        <w:t>‘</w:t>
      </w:r>
      <w:r w:rsidRPr="007C68F1">
        <w:rPr>
          <w:bdr w:val="none" w:sz="0" w:space="0" w:color="auto" w:frame="1"/>
          <w:shd w:val="clear" w:color="auto" w:fill="FFFFFF"/>
        </w:rPr>
        <w:t>all the time</w:t>
      </w:r>
      <w:r>
        <w:rPr>
          <w:bdr w:val="none" w:sz="0" w:space="0" w:color="auto" w:frame="1"/>
          <w:shd w:val="clear" w:color="auto" w:fill="FFFFFF"/>
        </w:rPr>
        <w:t>’</w:t>
      </w:r>
      <w:r w:rsidRPr="007C68F1">
        <w:rPr>
          <w:bdr w:val="none" w:sz="0" w:space="0" w:color="auto" w:frame="1"/>
          <w:shd w:val="clear" w:color="auto" w:fill="FFFFFF"/>
        </w:rPr>
        <w:t xml:space="preserve"> worked</w:t>
      </w:r>
      <w:r w:rsidRPr="007C68F1">
        <w:t>.</w:t>
      </w:r>
      <w:r>
        <w:t>”</w:t>
      </w:r>
      <w:bookmarkEnd w:id="116"/>
      <w:r>
        <w:t xml:space="preserve">  (</w:t>
      </w:r>
      <w:bookmarkStart w:id="117" w:name="dabmci_3784e20d24cf464181418b559d0c0b86"/>
      <w:r w:rsidR="008253D7" w:rsidRPr="00936E15">
        <w:rPr>
          <w:i/>
          <w:iCs/>
        </w:rPr>
        <w:t>Id</w:t>
      </w:r>
      <w:r w:rsidR="008253D7">
        <w:t xml:space="preserve">. </w:t>
      </w:r>
      <w:r>
        <w:t>at p.</w:t>
      </w:r>
      <w:r w:rsidRPr="007C68F1">
        <w:t xml:space="preserve"> 660</w:t>
      </w:r>
      <w:bookmarkEnd w:id="117"/>
      <w:r>
        <w:t>.)</w:t>
      </w:r>
    </w:p>
    <w:p w14:paraId="5A6051C2" w14:textId="77777777" w:rsidR="004857D6" w:rsidRDefault="00D16B2E" w:rsidP="007D1009">
      <w:pPr>
        <w:spacing w:line="480" w:lineRule="auto"/>
        <w:ind w:firstLine="720"/>
      </w:pPr>
      <w:r>
        <w:t xml:space="preserve">The </w:t>
      </w:r>
      <w:r>
        <w:rPr>
          <w:i/>
          <w:iCs/>
        </w:rPr>
        <w:t>Camp</w:t>
      </w:r>
      <w:r w:rsidR="00665D22">
        <w:t xml:space="preserve"> court relied heavily on two California Supreme Court decisions that postdate </w:t>
      </w:r>
      <w:r w:rsidR="00665D22">
        <w:rPr>
          <w:i/>
          <w:iCs/>
        </w:rPr>
        <w:t>See’s Candy</w:t>
      </w:r>
      <w:r w:rsidR="00665D22">
        <w:t>.  The first</w:t>
      </w:r>
      <w:r w:rsidR="00633945">
        <w:t xml:space="preserve"> decision</w:t>
      </w:r>
      <w:r w:rsidR="00665D22" w:rsidRPr="004857D6">
        <w:t xml:space="preserve">, </w:t>
      </w:r>
      <w:bookmarkStart w:id="118" w:name="dabmci_88d9e43146304b2aaeaf2613f29c814a"/>
      <w:r w:rsidR="00665D22" w:rsidRPr="004857D6">
        <w:rPr>
          <w:i/>
          <w:iCs/>
        </w:rPr>
        <w:t xml:space="preserve">Troester v. </w:t>
      </w:r>
      <w:r w:rsidR="00633945" w:rsidRPr="004857D6">
        <w:rPr>
          <w:i/>
          <w:iCs/>
        </w:rPr>
        <w:t>Starbucks Corp.</w:t>
      </w:r>
      <w:r w:rsidR="00633945" w:rsidRPr="004857D6">
        <w:t xml:space="preserve"> (2018) 5 Cal.5th 829 (</w:t>
      </w:r>
      <w:r w:rsidR="00633945" w:rsidRPr="004857D6">
        <w:rPr>
          <w:i/>
          <w:iCs/>
        </w:rPr>
        <w:t>Troester</w:t>
      </w:r>
      <w:r w:rsidR="00633945" w:rsidRPr="004857D6">
        <w:t>)</w:t>
      </w:r>
      <w:bookmarkEnd w:id="118"/>
      <w:r w:rsidR="00633945" w:rsidRPr="004857D6">
        <w:t xml:space="preserve">, </w:t>
      </w:r>
      <w:r w:rsidR="00503093">
        <w:t>concerned the de minimis doctrine found in federal labor law</w:t>
      </w:r>
      <w:r w:rsidR="00E91294">
        <w:t xml:space="preserve">, which </w:t>
      </w:r>
      <w:bookmarkStart w:id="119" w:name="dabmq_39"/>
      <w:r w:rsidR="00E91294">
        <w:t>“</w:t>
      </w:r>
      <w:r w:rsidR="00E91294" w:rsidRPr="009F4EF3">
        <w:t>excuse</w:t>
      </w:r>
      <w:r w:rsidR="00E91294">
        <w:t>[s]</w:t>
      </w:r>
      <w:r w:rsidR="00E91294" w:rsidRPr="009F4EF3">
        <w:t xml:space="preserve"> the payment of wages for small amounts of otherwise compensable time upon a showing that the bits of time are administratively difficult to record.</w:t>
      </w:r>
      <w:r w:rsidR="00E91294">
        <w:t>”</w:t>
      </w:r>
      <w:bookmarkEnd w:id="119"/>
      <w:r w:rsidR="00503093">
        <w:t xml:space="preserve">  (</w:t>
      </w:r>
      <w:bookmarkStart w:id="120" w:name="dabmci_66f78ed89bfe4ad5a064bb6441a74840"/>
      <w:r w:rsidR="00503093">
        <w:rPr>
          <w:i/>
          <w:iCs/>
        </w:rPr>
        <w:t>Id.</w:t>
      </w:r>
      <w:r w:rsidR="00503093">
        <w:t xml:space="preserve"> at p. 835</w:t>
      </w:r>
      <w:bookmarkEnd w:id="120"/>
      <w:r w:rsidR="00503093">
        <w:t xml:space="preserve">.)  </w:t>
      </w:r>
      <w:r w:rsidR="00E91294">
        <w:rPr>
          <w:i/>
          <w:iCs/>
        </w:rPr>
        <w:t xml:space="preserve">Troester </w:t>
      </w:r>
      <w:r w:rsidR="00633945" w:rsidRPr="004857D6">
        <w:t xml:space="preserve">declined to adopt </w:t>
      </w:r>
      <w:r w:rsidR="00633945">
        <w:t xml:space="preserve">the </w:t>
      </w:r>
      <w:r w:rsidR="00E91294">
        <w:t xml:space="preserve">federal </w:t>
      </w:r>
      <w:r w:rsidR="00633945">
        <w:t>de minimis doctrine.  (</w:t>
      </w:r>
      <w:bookmarkStart w:id="121" w:name="dabmci_f3e0ea0c2c694442b5cdd40a2ba457e7"/>
      <w:r w:rsidR="00633945">
        <w:rPr>
          <w:i/>
          <w:iCs/>
        </w:rPr>
        <w:t>Id.</w:t>
      </w:r>
      <w:r w:rsidR="00633945">
        <w:t xml:space="preserve"> at pp. 835, 837-841</w:t>
      </w:r>
      <w:bookmarkEnd w:id="121"/>
      <w:r w:rsidR="00633945">
        <w:t xml:space="preserve">.)  </w:t>
      </w:r>
      <w:r w:rsidR="009F4EF3">
        <w:lastRenderedPageBreak/>
        <w:t>The second decision</w:t>
      </w:r>
      <w:r w:rsidR="009F4EF3" w:rsidRPr="004D63F3">
        <w:t xml:space="preserve">, </w:t>
      </w:r>
      <w:bookmarkStart w:id="122" w:name="dabmci_d3321e2342d44d0f892d22f4b2b425ce"/>
      <w:r w:rsidR="009F4EF3" w:rsidRPr="004D63F3">
        <w:rPr>
          <w:i/>
          <w:iCs/>
        </w:rPr>
        <w:t>Don</w:t>
      </w:r>
      <w:r w:rsidR="00AA3F07">
        <w:rPr>
          <w:i/>
          <w:iCs/>
        </w:rPr>
        <w:t>o</w:t>
      </w:r>
      <w:r w:rsidR="009F4EF3" w:rsidRPr="004D63F3">
        <w:rPr>
          <w:i/>
          <w:iCs/>
        </w:rPr>
        <w:t>hue</w:t>
      </w:r>
      <w:r w:rsidR="00F56365" w:rsidRPr="004D63F3">
        <w:rPr>
          <w:i/>
          <w:iCs/>
        </w:rPr>
        <w:t xml:space="preserve"> v. AMN Services, LLC </w:t>
      </w:r>
      <w:r w:rsidR="00F56365" w:rsidRPr="004D63F3">
        <w:t>(2021) 11 Cal.5th 58 (</w:t>
      </w:r>
      <w:r w:rsidR="00F56365" w:rsidRPr="004D63F3">
        <w:rPr>
          <w:i/>
          <w:iCs/>
        </w:rPr>
        <w:t>Don</w:t>
      </w:r>
      <w:r w:rsidR="00AA3F07">
        <w:rPr>
          <w:i/>
          <w:iCs/>
        </w:rPr>
        <w:t>o</w:t>
      </w:r>
      <w:r w:rsidR="00F56365" w:rsidRPr="004D63F3">
        <w:rPr>
          <w:i/>
          <w:iCs/>
        </w:rPr>
        <w:t>hue</w:t>
      </w:r>
      <w:r w:rsidR="00F56365" w:rsidRPr="004D63F3">
        <w:t>)</w:t>
      </w:r>
      <w:bookmarkEnd w:id="122"/>
      <w:r w:rsidR="00F56365" w:rsidRPr="004D63F3">
        <w:t xml:space="preserve">, </w:t>
      </w:r>
      <w:r w:rsidRPr="004D63F3">
        <w:t xml:space="preserve">held that </w:t>
      </w:r>
      <w:bookmarkStart w:id="123" w:name="dabmq_40"/>
      <w:r w:rsidRPr="004D63F3">
        <w:t xml:space="preserve">“employers cannot engage in the practice of rounding time punches . . . in the meal period context.  The </w:t>
      </w:r>
      <w:r w:rsidRPr="004857D6">
        <w:t>meal period provisions are designed to prevent even minor</w:t>
      </w:r>
      <w:r w:rsidRPr="004857D6">
        <w:t xml:space="preserve"> infringements on meal period requirements, and rounding is incompatible with that objective.</w:t>
      </w:r>
      <w:r w:rsidR="00E91294">
        <w:t>”</w:t>
      </w:r>
      <w:bookmarkEnd w:id="123"/>
      <w:r>
        <w:t xml:space="preserve">  (</w:t>
      </w:r>
      <w:bookmarkStart w:id="124" w:name="dabmci_daa7c373eb74497ebcb964305b626235"/>
      <w:r>
        <w:rPr>
          <w:i/>
          <w:iCs/>
        </w:rPr>
        <w:t>Id.</w:t>
      </w:r>
      <w:r>
        <w:t xml:space="preserve"> at p. 61</w:t>
      </w:r>
      <w:bookmarkEnd w:id="124"/>
      <w:r>
        <w:t>.)</w:t>
      </w:r>
      <w:r>
        <w:rPr>
          <w:rStyle w:val="FootnoteReference"/>
        </w:rPr>
        <w:footnoteReference w:id="4"/>
      </w:r>
      <w:r>
        <w:t xml:space="preserve"> </w:t>
      </w:r>
    </w:p>
    <w:p w14:paraId="3C2D57E4" w14:textId="77777777" w:rsidR="00575ED8" w:rsidRDefault="00D16B2E" w:rsidP="007D1009">
      <w:pPr>
        <w:spacing w:line="480" w:lineRule="auto"/>
        <w:ind w:firstLine="720"/>
      </w:pPr>
      <w:r>
        <w:rPr>
          <w:i/>
          <w:iCs/>
        </w:rPr>
        <w:t>Camp</w:t>
      </w:r>
      <w:r>
        <w:t xml:space="preserve"> </w:t>
      </w:r>
      <w:r w:rsidR="004A46C8">
        <w:t xml:space="preserve">identified </w:t>
      </w:r>
      <w:r>
        <w:t>four reasons</w:t>
      </w:r>
      <w:r w:rsidR="00503093">
        <w:t xml:space="preserve"> for rejecting the employer’s showing that its rounding policy was lawful</w:t>
      </w:r>
      <w:r>
        <w:t>.  (</w:t>
      </w:r>
      <w:bookmarkStart w:id="127" w:name="dabmci_cbd23e598641451a9d22af4e6d6680fd"/>
      <w:r>
        <w:rPr>
          <w:i/>
          <w:iCs/>
        </w:rPr>
        <w:t>Camp</w:t>
      </w:r>
      <w:r>
        <w:t xml:space="preserve">, </w:t>
      </w:r>
      <w:r>
        <w:rPr>
          <w:i/>
          <w:iCs/>
        </w:rPr>
        <w:t>supra</w:t>
      </w:r>
      <w:r>
        <w:t>, 84 Cal.App.5th at pp. 6</w:t>
      </w:r>
      <w:r>
        <w:t>56-658</w:t>
      </w:r>
      <w:bookmarkEnd w:id="127"/>
      <w:r>
        <w:t xml:space="preserve">.)  First, </w:t>
      </w:r>
      <w:r w:rsidR="00503093">
        <w:rPr>
          <w:i/>
          <w:iCs/>
        </w:rPr>
        <w:t>Troester</w:t>
      </w:r>
      <w:r w:rsidR="00503093">
        <w:t xml:space="preserve"> clarified that the Labor Code </w:t>
      </w:r>
      <w:r w:rsidR="004A46C8">
        <w:t xml:space="preserve">and the relevant wage order both contemplate that </w:t>
      </w:r>
      <w:r w:rsidR="004D63F3">
        <w:t>employers will pay employees for “‘all work performed.’”</w:t>
      </w:r>
      <w:r>
        <w:rPr>
          <w:rStyle w:val="FootnoteReference"/>
        </w:rPr>
        <w:footnoteReference w:id="5"/>
      </w:r>
      <w:r w:rsidR="004D63F3">
        <w:t xml:space="preserve">  (</w:t>
      </w:r>
      <w:bookmarkStart w:id="131" w:name="dabmci_2182c70cc728439ca68cbcf3d4daa4de"/>
      <w:r w:rsidR="004D63F3">
        <w:rPr>
          <w:i/>
          <w:iCs/>
        </w:rPr>
        <w:t>Camp</w:t>
      </w:r>
      <w:r w:rsidR="004D63F3">
        <w:t>, at p. 657</w:t>
      </w:r>
      <w:bookmarkEnd w:id="131"/>
      <w:r w:rsidR="004D63F3">
        <w:t>.)</w:t>
      </w:r>
      <w:r>
        <w:t xml:space="preserve">  </w:t>
      </w:r>
      <w:r w:rsidR="004D63F3">
        <w:t xml:space="preserve">The evidence </w:t>
      </w:r>
      <w:r w:rsidR="0021343C">
        <w:t xml:space="preserve">in </w:t>
      </w:r>
      <w:bookmarkStart w:id="132" w:name="dabmci_7e5619bbc4934ab6b6109b1b9cc17e6a"/>
      <w:r w:rsidR="0021343C" w:rsidRPr="0021343C">
        <w:rPr>
          <w:i/>
          <w:iCs/>
        </w:rPr>
        <w:t>Camp</w:t>
      </w:r>
      <w:bookmarkEnd w:id="132"/>
      <w:r w:rsidR="0021343C">
        <w:t xml:space="preserve"> </w:t>
      </w:r>
      <w:r w:rsidR="004D63F3" w:rsidRPr="0021343C">
        <w:t>showed</w:t>
      </w:r>
      <w:r w:rsidR="004D63F3">
        <w:t xml:space="preserve"> that the </w:t>
      </w:r>
      <w:r>
        <w:t xml:space="preserve">employer had not paid the </w:t>
      </w:r>
      <w:r w:rsidR="004D63F3">
        <w:t>plaintiff for all work</w:t>
      </w:r>
      <w:r>
        <w:t xml:space="preserve"> performed</w:t>
      </w:r>
      <w:r w:rsidR="004D63F3">
        <w:t>.  (</w:t>
      </w:r>
      <w:bookmarkStart w:id="133" w:name="dabmci_c99a812b0b6e468086924291650df544"/>
      <w:r w:rsidR="004D63F3">
        <w:rPr>
          <w:i/>
          <w:iCs/>
        </w:rPr>
        <w:t>Ibid.</w:t>
      </w:r>
      <w:bookmarkEnd w:id="133"/>
      <w:r w:rsidR="004D63F3">
        <w:t xml:space="preserve">)  </w:t>
      </w:r>
    </w:p>
    <w:p w14:paraId="3291AC8E" w14:textId="77777777" w:rsidR="00575ED8" w:rsidRPr="003C2A59" w:rsidRDefault="00D16B2E" w:rsidP="007D1009">
      <w:pPr>
        <w:spacing w:line="480" w:lineRule="auto"/>
        <w:ind w:firstLine="720"/>
      </w:pPr>
      <w:r>
        <w:t xml:space="preserve">Second, </w:t>
      </w:r>
      <w:r w:rsidR="00D32AA4">
        <w:t xml:space="preserve">as our high court explained in </w:t>
      </w:r>
      <w:bookmarkStart w:id="134" w:name="dabmci_63711df0d6f74e778b4f12a5644afc64"/>
      <w:r w:rsidR="00D32AA4">
        <w:rPr>
          <w:i/>
          <w:iCs/>
        </w:rPr>
        <w:t>Troester</w:t>
      </w:r>
      <w:bookmarkEnd w:id="134"/>
      <w:r w:rsidR="00D32AA4">
        <w:t xml:space="preserve">, the Labor Code and the wage order provisions form a regulatory scheme that </w:t>
      </w:r>
      <w:bookmarkStart w:id="135" w:name="dabmq_41"/>
      <w:r w:rsidR="00D32AA4">
        <w:t>“‘is . . . concerned with “small things.”</w:t>
      </w:r>
      <w:bookmarkEnd w:id="135"/>
      <w:r w:rsidR="00D32AA4">
        <w:t>’”  (</w:t>
      </w:r>
      <w:bookmarkStart w:id="136" w:name="dabmci_34e57be54ec4454ebb540445e4ba2527"/>
      <w:r w:rsidR="00D32AA4">
        <w:rPr>
          <w:i/>
          <w:iCs/>
        </w:rPr>
        <w:t>Camp</w:t>
      </w:r>
      <w:r w:rsidR="00D32AA4">
        <w:t xml:space="preserve">, </w:t>
      </w:r>
      <w:r w:rsidR="00D32AA4">
        <w:rPr>
          <w:i/>
          <w:iCs/>
        </w:rPr>
        <w:t>supra</w:t>
      </w:r>
      <w:r w:rsidR="00D32AA4">
        <w:t>, 84 Cal.App.5th at p. 657</w:t>
      </w:r>
      <w:bookmarkEnd w:id="136"/>
      <w:r w:rsidR="00D32AA4">
        <w:t xml:space="preserve">.)  And when </w:t>
      </w:r>
      <w:r w:rsidR="00D32AA4">
        <w:rPr>
          <w:i/>
          <w:iCs/>
        </w:rPr>
        <w:t>Troester</w:t>
      </w:r>
      <w:r w:rsidR="00D32AA4">
        <w:t xml:space="preserve"> rejected </w:t>
      </w:r>
      <w:r w:rsidR="00293995">
        <w:t xml:space="preserve">the de minimis doctrine, it </w:t>
      </w:r>
      <w:bookmarkStart w:id="137" w:name="dabmq_42"/>
      <w:r w:rsidR="00293995">
        <w:t>“indicated that e</w:t>
      </w:r>
      <w:r w:rsidR="00293995" w:rsidRPr="00293995">
        <w:t xml:space="preserve">ven small amounts of worktime—indeed amounts measured in minutes—are </w:t>
      </w:r>
      <w:r w:rsidR="00293995">
        <w:t xml:space="preserve">compensable </w:t>
      </w:r>
      <w:r w:rsidR="00293995" w:rsidRPr="00293995">
        <w:t>where the worktime is regularly occurring.</w:t>
      </w:r>
      <w:r w:rsidR="00293995">
        <w:t>”</w:t>
      </w:r>
      <w:bookmarkEnd w:id="137"/>
      <w:r w:rsidR="00293995">
        <w:t xml:space="preserve">  (</w:t>
      </w:r>
      <w:bookmarkStart w:id="138" w:name="dabmci_293c88ba90094e4ea0ee36ef5203da8f"/>
      <w:r w:rsidR="00293995">
        <w:rPr>
          <w:i/>
          <w:iCs/>
        </w:rPr>
        <w:t>Camp</w:t>
      </w:r>
      <w:r w:rsidR="00293995">
        <w:t xml:space="preserve">, at </w:t>
      </w:r>
      <w:r w:rsidR="00293995">
        <w:lastRenderedPageBreak/>
        <w:t>p.</w:t>
      </w:r>
      <w:r w:rsidR="00C15941">
        <w:t> </w:t>
      </w:r>
      <w:r w:rsidR="00293995">
        <w:t>657</w:t>
      </w:r>
      <w:bookmarkEnd w:id="138"/>
      <w:r w:rsidR="003B0A41">
        <w:t xml:space="preserve">; accord </w:t>
      </w:r>
      <w:bookmarkStart w:id="139" w:name="dabmci_a5819a1a099647acab5ac2dd09d4851a"/>
      <w:r w:rsidR="003B0A41">
        <w:rPr>
          <w:i/>
          <w:iCs/>
        </w:rPr>
        <w:t>Don</w:t>
      </w:r>
      <w:r w:rsidR="00AA3F07">
        <w:rPr>
          <w:i/>
          <w:iCs/>
        </w:rPr>
        <w:t>o</w:t>
      </w:r>
      <w:r w:rsidR="003B0A41">
        <w:rPr>
          <w:i/>
          <w:iCs/>
        </w:rPr>
        <w:t>hue</w:t>
      </w:r>
      <w:r w:rsidR="003B0A41">
        <w:t xml:space="preserve">, </w:t>
      </w:r>
      <w:r w:rsidR="003B0A41">
        <w:rPr>
          <w:i/>
          <w:iCs/>
        </w:rPr>
        <w:t>supra</w:t>
      </w:r>
      <w:r w:rsidR="003B0A41">
        <w:t>, 11 Cal.5th at p. 68</w:t>
      </w:r>
      <w:bookmarkEnd w:id="139"/>
      <w:r w:rsidR="003B0A41">
        <w:t xml:space="preserve"> [given the regulatory scheme’s concern </w:t>
      </w:r>
      <w:bookmarkStart w:id="140" w:name="dabmq_43"/>
      <w:r w:rsidR="003B0A41">
        <w:t>“with small amounts of time”</w:t>
      </w:r>
      <w:bookmarkEnd w:id="140"/>
      <w:r w:rsidR="003B0A41">
        <w:t xml:space="preserve"> and </w:t>
      </w:r>
      <w:bookmarkStart w:id="141" w:name="dabmq_44"/>
      <w:r w:rsidR="003B0A41">
        <w:t>“the relatively short length of a 30-minute meal period, the potential incursion that might result from rounding is significant”</w:t>
      </w:r>
      <w:bookmarkEnd w:id="141"/>
      <w:r w:rsidR="003B0A41">
        <w:t>]</w:t>
      </w:r>
      <w:r w:rsidR="00293995">
        <w:rPr>
          <w:i/>
          <w:iCs/>
        </w:rPr>
        <w:t>.</w:t>
      </w:r>
      <w:r w:rsidR="00293995">
        <w:t>)</w:t>
      </w:r>
      <w:r w:rsidR="003C2A59">
        <w:t xml:space="preserve">  The evidence</w:t>
      </w:r>
      <w:r w:rsidR="0093122A">
        <w:t xml:space="preserve"> in </w:t>
      </w:r>
      <w:bookmarkStart w:id="142" w:name="dabmci_f4cb8f12c7e74183a94916df4e7c1be7"/>
      <w:r w:rsidR="0093122A">
        <w:rPr>
          <w:i/>
          <w:iCs/>
        </w:rPr>
        <w:t>Camp</w:t>
      </w:r>
      <w:bookmarkEnd w:id="142"/>
      <w:r w:rsidR="003C2A59">
        <w:t xml:space="preserve"> demonstrated that the small amounts of worktime periodically lost through rounding could add up over time—indeed, the plaintiff lost more than seven hours of worktime over five-plus years.  (</w:t>
      </w:r>
      <w:r w:rsidR="00C15941" w:rsidRPr="00936E15">
        <w:rPr>
          <w:i/>
          <w:iCs/>
        </w:rPr>
        <w:t>Camp</w:t>
      </w:r>
      <w:r w:rsidR="00C15941">
        <w:t>,</w:t>
      </w:r>
      <w:r w:rsidR="003C2A59">
        <w:t xml:space="preserve"> </w:t>
      </w:r>
      <w:bookmarkStart w:id="143" w:name="dabmci_d5b45715ce3f40228b993f23d9b49236"/>
      <w:r w:rsidR="003C2A59">
        <w:t>at pp. 646, 657</w:t>
      </w:r>
      <w:bookmarkEnd w:id="143"/>
      <w:r w:rsidR="00724B3F">
        <w:t>.</w:t>
      </w:r>
      <w:r w:rsidR="003C2A59">
        <w:t>)</w:t>
      </w:r>
    </w:p>
    <w:p w14:paraId="19959E8D" w14:textId="77777777" w:rsidR="00C61158" w:rsidRPr="008307B1" w:rsidRDefault="00D16B2E" w:rsidP="007D1009">
      <w:pPr>
        <w:spacing w:line="480" w:lineRule="auto"/>
        <w:ind w:firstLine="720"/>
        <w:rPr>
          <w:i/>
          <w:iCs/>
        </w:rPr>
      </w:pPr>
      <w:r>
        <w:t xml:space="preserve">Third, </w:t>
      </w:r>
      <w:r w:rsidR="00ED45AE">
        <w:t xml:space="preserve">there was no convincing evidence that the IWC or the Legislature intended to adopt the federal </w:t>
      </w:r>
      <w:r w:rsidR="004F6AF1">
        <w:t xml:space="preserve">rounding </w:t>
      </w:r>
      <w:r w:rsidR="007B5AFB">
        <w:t>regulation</w:t>
      </w:r>
      <w:r w:rsidR="00ED45AE">
        <w:t xml:space="preserve"> for </w:t>
      </w:r>
      <w:r w:rsidR="00FF2544">
        <w:t xml:space="preserve">determining whether time is compensable under </w:t>
      </w:r>
      <w:r w:rsidR="00ED45AE">
        <w:t>state law.  (</w:t>
      </w:r>
      <w:bookmarkStart w:id="144" w:name="dabmci_b6ecc3f5a349482b85c0922cf4cdcb18"/>
      <w:r w:rsidR="00ED45AE" w:rsidRPr="00ED45AE">
        <w:rPr>
          <w:i/>
          <w:iCs/>
        </w:rPr>
        <w:t>Camp</w:t>
      </w:r>
      <w:r w:rsidR="00ED45AE">
        <w:t xml:space="preserve">, </w:t>
      </w:r>
      <w:r w:rsidR="00ED45AE" w:rsidRPr="00ED45AE">
        <w:rPr>
          <w:i/>
          <w:iCs/>
        </w:rPr>
        <w:t>supra</w:t>
      </w:r>
      <w:r w:rsidR="00ED45AE">
        <w:t>, 84 Cal.App.5th at p. 657</w:t>
      </w:r>
      <w:bookmarkEnd w:id="144"/>
      <w:r w:rsidR="00ED45AE">
        <w:t xml:space="preserve">.)  Under those circumstances, our high court </w:t>
      </w:r>
      <w:r w:rsidR="00CB408E">
        <w:t>ha</w:t>
      </w:r>
      <w:r w:rsidR="00615796">
        <w:t>d</w:t>
      </w:r>
      <w:r w:rsidR="00ED45AE">
        <w:t xml:space="preserve"> declined to adopt by implication any federal standard that expressly eliminate</w:t>
      </w:r>
      <w:r w:rsidR="00CB408E">
        <w:t>s</w:t>
      </w:r>
      <w:r w:rsidR="00ED45AE">
        <w:t xml:space="preserve"> substantial protections </w:t>
      </w:r>
      <w:r w:rsidR="00866690">
        <w:t>for</w:t>
      </w:r>
      <w:r w:rsidR="00ED45AE">
        <w:t xml:space="preserve"> employees.  (</w:t>
      </w:r>
      <w:bookmarkStart w:id="145" w:name="dabmci_9a3738c53e2d4a6d9f8106a0ab3333c5"/>
      <w:r w:rsidR="00ED45AE">
        <w:rPr>
          <w:i/>
          <w:iCs/>
        </w:rPr>
        <w:t>Ibid.</w:t>
      </w:r>
      <w:bookmarkEnd w:id="145"/>
      <w:r w:rsidR="00ED45AE">
        <w:t xml:space="preserve">)  </w:t>
      </w:r>
      <w:r w:rsidR="00CB408E">
        <w:t>Similarly, our high court ha</w:t>
      </w:r>
      <w:r w:rsidR="00615796">
        <w:t>d</w:t>
      </w:r>
      <w:r w:rsidR="00CB408E">
        <w:t xml:space="preserve"> cautioned against relying on federal labor law to construe state labor law if the language or intent of the laws substantially differ</w:t>
      </w:r>
      <w:r w:rsidR="009805D9">
        <w:t>s</w:t>
      </w:r>
      <w:r w:rsidR="00CB408E">
        <w:t>.  (</w:t>
      </w:r>
      <w:bookmarkStart w:id="146" w:name="dabmci_2d6ed6fd32c14a9183548b394ffc0cc7"/>
      <w:r w:rsidR="00CB408E">
        <w:rPr>
          <w:i/>
          <w:iCs/>
        </w:rPr>
        <w:t>Ibid.</w:t>
      </w:r>
      <w:bookmarkEnd w:id="146"/>
      <w:r w:rsidR="00CB408E">
        <w:t xml:space="preserve">)  In the case of rounding, there was not merely a difference in language but </w:t>
      </w:r>
      <w:bookmarkStart w:id="147" w:name="dabmq_45"/>
      <w:r w:rsidR="00CB408E">
        <w:t>“a complete absence of language.”</w:t>
      </w:r>
      <w:bookmarkEnd w:id="147"/>
      <w:r w:rsidR="00FF2544">
        <w:t xml:space="preserve">  (</w:t>
      </w:r>
      <w:bookmarkStart w:id="148" w:name="dabmci_e5c887844b994baf84414410318cf9eb"/>
      <w:r w:rsidR="00FF2544">
        <w:rPr>
          <w:i/>
          <w:iCs/>
        </w:rPr>
        <w:t>Ibid.</w:t>
      </w:r>
      <w:bookmarkEnd w:id="148"/>
      <w:r w:rsidR="00FF2544">
        <w:t>)  The</w:t>
      </w:r>
      <w:r w:rsidR="00CB408E">
        <w:t xml:space="preserve"> federal r</w:t>
      </w:r>
      <w:r>
        <w:t xml:space="preserve">egulation has no analog in the Labor Code or in </w:t>
      </w:r>
      <w:r w:rsidR="00FF2544">
        <w:t xml:space="preserve">the relevant </w:t>
      </w:r>
      <w:r>
        <w:t xml:space="preserve">wage </w:t>
      </w:r>
      <w:r>
        <w:t>orde</w:t>
      </w:r>
      <w:r w:rsidR="00615796">
        <w:t>r</w:t>
      </w:r>
      <w:r>
        <w:t>.  (</w:t>
      </w:r>
      <w:bookmarkStart w:id="149" w:name="dabmci_784b56d93974480fad5593c2bf725879"/>
      <w:r w:rsidR="007B5AFB">
        <w:rPr>
          <w:i/>
          <w:iCs/>
        </w:rPr>
        <w:t>Id</w:t>
      </w:r>
      <w:r>
        <w:t>.</w:t>
      </w:r>
      <w:r w:rsidR="007B5AFB">
        <w:t xml:space="preserve"> at p.</w:t>
      </w:r>
      <w:r>
        <w:t xml:space="preserve"> 657</w:t>
      </w:r>
      <w:bookmarkEnd w:id="149"/>
      <w:r w:rsidR="00ED45AE">
        <w:rPr>
          <w:iCs/>
        </w:rPr>
        <w:t xml:space="preserve">.)  In </w:t>
      </w:r>
      <w:r w:rsidR="00B1596E">
        <w:rPr>
          <w:iCs/>
        </w:rPr>
        <w:t>the</w:t>
      </w:r>
      <w:r w:rsidR="00ED45AE">
        <w:rPr>
          <w:iCs/>
        </w:rPr>
        <w:t xml:space="preserve"> </w:t>
      </w:r>
      <w:r w:rsidR="007B5AFB">
        <w:rPr>
          <w:iCs/>
        </w:rPr>
        <w:t>6</w:t>
      </w:r>
      <w:r w:rsidR="00ED45AE">
        <w:rPr>
          <w:iCs/>
        </w:rPr>
        <w:t>0</w:t>
      </w:r>
      <w:r w:rsidR="00B1596E">
        <w:rPr>
          <w:iCs/>
        </w:rPr>
        <w:t>-plus</w:t>
      </w:r>
      <w:r w:rsidR="00ED45AE">
        <w:rPr>
          <w:iCs/>
        </w:rPr>
        <w:t xml:space="preserve"> years</w:t>
      </w:r>
      <w:r w:rsidR="00B1596E">
        <w:rPr>
          <w:iCs/>
        </w:rPr>
        <w:t xml:space="preserve"> since the federal regulation took effect</w:t>
      </w:r>
      <w:r w:rsidR="00ED45AE">
        <w:rPr>
          <w:iCs/>
        </w:rPr>
        <w:t xml:space="preserve">, neither the Legislature nor the IWC </w:t>
      </w:r>
      <w:r w:rsidR="008307B1">
        <w:rPr>
          <w:iCs/>
        </w:rPr>
        <w:t>ha</w:t>
      </w:r>
      <w:r w:rsidR="00F528D3">
        <w:rPr>
          <w:iCs/>
        </w:rPr>
        <w:t>d</w:t>
      </w:r>
      <w:r w:rsidR="00ED45AE">
        <w:rPr>
          <w:iCs/>
        </w:rPr>
        <w:t xml:space="preserve"> amended the law to recognize </w:t>
      </w:r>
      <w:r w:rsidR="008307B1">
        <w:rPr>
          <w:iCs/>
        </w:rPr>
        <w:t>a rounding exception to the general requirement that an employee be paid for all time worked.  (</w:t>
      </w:r>
      <w:bookmarkStart w:id="150" w:name="dabmci_3ff35e0b6557452b9cd4f2c82b9a4d26"/>
      <w:r w:rsidR="008307B1">
        <w:rPr>
          <w:i/>
          <w:iCs/>
        </w:rPr>
        <w:t>Id.</w:t>
      </w:r>
      <w:r w:rsidR="007B5AFB">
        <w:t xml:space="preserve"> at p. 658</w:t>
      </w:r>
      <w:bookmarkEnd w:id="150"/>
      <w:r w:rsidR="007B5AFB">
        <w:t>.</w:t>
      </w:r>
      <w:r w:rsidR="008307B1">
        <w:t xml:space="preserve">)  </w:t>
      </w:r>
      <w:r w:rsidR="008307B1">
        <w:rPr>
          <w:i/>
          <w:iCs/>
        </w:rPr>
        <w:t>Troester</w:t>
      </w:r>
      <w:r w:rsidR="008307B1">
        <w:t xml:space="preserve"> declined to adopt the federal de minimis doctrine under substantially similar circumstances.  (</w:t>
      </w:r>
      <w:bookmarkStart w:id="151" w:name="dabmci_aff5058218dc4acf8fb0becd032e5ccb"/>
      <w:r w:rsidR="008307B1" w:rsidRPr="008307B1">
        <w:rPr>
          <w:i/>
          <w:iCs/>
        </w:rPr>
        <w:t>Troester</w:t>
      </w:r>
      <w:r w:rsidR="008307B1">
        <w:t xml:space="preserve">, </w:t>
      </w:r>
      <w:r w:rsidR="008307B1" w:rsidRPr="008307B1">
        <w:rPr>
          <w:i/>
          <w:iCs/>
        </w:rPr>
        <w:t>supra</w:t>
      </w:r>
      <w:r w:rsidR="008307B1">
        <w:t>, 5 Cal.5th at p. 841</w:t>
      </w:r>
      <w:bookmarkEnd w:id="151"/>
      <w:r w:rsidR="008307B1">
        <w:t xml:space="preserve">; </w:t>
      </w:r>
      <w:bookmarkStart w:id="152" w:name="dabmci_29f53739458a4d15bd882bc19dd42147"/>
      <w:r w:rsidR="008307B1" w:rsidRPr="008307B1">
        <w:rPr>
          <w:i/>
          <w:iCs/>
        </w:rPr>
        <w:t>Camp</w:t>
      </w:r>
      <w:r w:rsidR="008307B1">
        <w:t>, at p. 658</w:t>
      </w:r>
      <w:bookmarkEnd w:id="152"/>
      <w:r w:rsidR="008307B1">
        <w:t>.)</w:t>
      </w:r>
    </w:p>
    <w:p w14:paraId="1BF04E55" w14:textId="77777777" w:rsidR="00BB5F53" w:rsidRDefault="00D16B2E" w:rsidP="007D1009">
      <w:pPr>
        <w:spacing w:line="480" w:lineRule="auto"/>
        <w:ind w:firstLine="720"/>
      </w:pPr>
      <w:r w:rsidRPr="007B5AFB">
        <w:t xml:space="preserve">Fourth and finally, </w:t>
      </w:r>
      <w:r w:rsidR="007B5AFB">
        <w:rPr>
          <w:i/>
          <w:iCs/>
        </w:rPr>
        <w:t>Don</w:t>
      </w:r>
      <w:r w:rsidR="00AA3F07">
        <w:rPr>
          <w:i/>
          <w:iCs/>
        </w:rPr>
        <w:t>o</w:t>
      </w:r>
      <w:r w:rsidR="007B5AFB">
        <w:rPr>
          <w:i/>
          <w:iCs/>
        </w:rPr>
        <w:t xml:space="preserve">hue </w:t>
      </w:r>
      <w:bookmarkStart w:id="153" w:name="dabmq_46"/>
      <w:r w:rsidR="007B5AFB">
        <w:t>“</w:t>
      </w:r>
      <w:r w:rsidR="007B5AFB" w:rsidRPr="007B5AFB">
        <w:t>appear</w:t>
      </w:r>
      <w:r w:rsidR="00F528D3">
        <w:t>[ed]</w:t>
      </w:r>
      <w:r w:rsidR="007B5AFB" w:rsidRPr="007B5AFB">
        <w:t xml:space="preserve"> to have called into question the efficiencies historically attributed to time rounding given that advances in technology </w:t>
      </w:r>
      <w:r w:rsidR="007B5AFB" w:rsidRPr="007B5AFB">
        <w:lastRenderedPageBreak/>
        <w:t>have enabled employers to more easily and more precisely capture time worked by employees.</w:t>
      </w:r>
      <w:r w:rsidR="007B5AFB">
        <w:t>”</w:t>
      </w:r>
      <w:bookmarkEnd w:id="153"/>
      <w:r w:rsidR="007B5AFB" w:rsidRPr="007B5AFB">
        <w:t xml:space="preserve"> </w:t>
      </w:r>
      <w:r w:rsidR="007B5AFB">
        <w:t xml:space="preserve"> (</w:t>
      </w:r>
      <w:bookmarkStart w:id="154" w:name="dabmci_a9d71d4f5976462fae25768c8b7bbd6d"/>
      <w:r w:rsidR="007B5AFB" w:rsidRPr="007B5AFB">
        <w:rPr>
          <w:i/>
          <w:iCs/>
          <w:bdr w:val="none" w:sz="0" w:space="0" w:color="auto" w:frame="1"/>
        </w:rPr>
        <w:t>Camp</w:t>
      </w:r>
      <w:r w:rsidR="007B5AFB">
        <w:rPr>
          <w:bdr w:val="none" w:sz="0" w:space="0" w:color="auto" w:frame="1"/>
        </w:rPr>
        <w:t xml:space="preserve">, </w:t>
      </w:r>
      <w:r w:rsidR="007B5AFB" w:rsidRPr="007B5AFB">
        <w:rPr>
          <w:i/>
          <w:iCs/>
          <w:bdr w:val="none" w:sz="0" w:space="0" w:color="auto" w:frame="1"/>
        </w:rPr>
        <w:t>supra</w:t>
      </w:r>
      <w:r w:rsidR="007B5AFB">
        <w:rPr>
          <w:bdr w:val="none" w:sz="0" w:space="0" w:color="auto" w:frame="1"/>
        </w:rPr>
        <w:t xml:space="preserve">, </w:t>
      </w:r>
      <w:r w:rsidR="007B5AFB" w:rsidRPr="007B5AFB">
        <w:t xml:space="preserve">84 Cal.App.5th </w:t>
      </w:r>
      <w:r w:rsidR="007B5AFB">
        <w:t xml:space="preserve">at p. </w:t>
      </w:r>
      <w:r w:rsidR="007B5AFB" w:rsidRPr="007B5AFB">
        <w:t>658</w:t>
      </w:r>
      <w:bookmarkEnd w:id="154"/>
      <w:r w:rsidR="007B5AFB">
        <w:t xml:space="preserve">.)  </w:t>
      </w:r>
      <w:r w:rsidR="00B17022">
        <w:rPr>
          <w:i/>
          <w:iCs/>
        </w:rPr>
        <w:t>Don</w:t>
      </w:r>
      <w:r w:rsidR="00AA3F07">
        <w:rPr>
          <w:i/>
          <w:iCs/>
        </w:rPr>
        <w:t>o</w:t>
      </w:r>
      <w:r w:rsidR="00B17022">
        <w:rPr>
          <w:i/>
          <w:iCs/>
        </w:rPr>
        <w:t xml:space="preserve">hue </w:t>
      </w:r>
      <w:r w:rsidR="00B17022">
        <w:t>recognized that employers had developed rounding as a way to efficiently calculate hours worked and wages owed.  (</w:t>
      </w:r>
      <w:bookmarkStart w:id="155" w:name="dabmci_db502f9c3b2d4fe882dffeb3fb716680"/>
      <w:r w:rsidR="00B17022">
        <w:rPr>
          <w:i/>
          <w:iCs/>
        </w:rPr>
        <w:t>Don</w:t>
      </w:r>
      <w:r w:rsidR="00AA3F07">
        <w:rPr>
          <w:i/>
          <w:iCs/>
        </w:rPr>
        <w:t>o</w:t>
      </w:r>
      <w:r w:rsidR="00B17022">
        <w:rPr>
          <w:i/>
          <w:iCs/>
        </w:rPr>
        <w:t>hue</w:t>
      </w:r>
      <w:r w:rsidR="00B17022">
        <w:t xml:space="preserve">, </w:t>
      </w:r>
      <w:r w:rsidR="00C15941" w:rsidRPr="00936E15">
        <w:rPr>
          <w:i/>
          <w:iCs/>
        </w:rPr>
        <w:t>supra</w:t>
      </w:r>
      <w:r w:rsidR="00C15941">
        <w:t xml:space="preserve">, </w:t>
      </w:r>
      <w:r w:rsidR="00B17022">
        <w:t>11 Cal.5th at p. 73</w:t>
      </w:r>
      <w:bookmarkEnd w:id="155"/>
      <w:r w:rsidR="00B17022">
        <w:t xml:space="preserve">.)  But the employer in </w:t>
      </w:r>
      <w:bookmarkStart w:id="156" w:name="dabmci_bb5d39e7cf204ceb92b59584fe3dfff8"/>
      <w:r w:rsidR="009805D9" w:rsidRPr="00C227E9">
        <w:rPr>
          <w:i/>
          <w:iCs/>
        </w:rPr>
        <w:t>Donohue</w:t>
      </w:r>
      <w:bookmarkEnd w:id="156"/>
      <w:r w:rsidR="00B17022">
        <w:t xml:space="preserve"> used an electronic timekeeping system that </w:t>
      </w:r>
      <w:bookmarkStart w:id="157" w:name="dabmq_47"/>
      <w:r w:rsidR="00B17022">
        <w:t>“had to take the extra step of converting</w:t>
      </w:r>
      <w:r w:rsidR="008142ED">
        <w:t xml:space="preserve"> the</w:t>
      </w:r>
      <w:r w:rsidR="00B17022">
        <w:t xml:space="preserve"> unrounded time punches to rounded ones,”</w:t>
      </w:r>
      <w:bookmarkEnd w:id="157"/>
      <w:r w:rsidR="00B17022">
        <w:t xml:space="preserve"> so it was unclear what efficiencies the employer had gained from the practice.  (</w:t>
      </w:r>
      <w:bookmarkStart w:id="158" w:name="dabmci_12e604977663424e955cce2fd4839b4b"/>
      <w:r w:rsidR="00B17022">
        <w:rPr>
          <w:i/>
          <w:iCs/>
        </w:rPr>
        <w:t>Id.</w:t>
      </w:r>
      <w:r w:rsidR="00B17022">
        <w:t xml:space="preserve"> at p. 74</w:t>
      </w:r>
      <w:bookmarkEnd w:id="158"/>
      <w:r w:rsidR="00B17022">
        <w:t xml:space="preserve">.)  The same was true in </w:t>
      </w:r>
      <w:bookmarkStart w:id="159" w:name="dabmci_4c6c82c296b24177baeec45ac7d395e3"/>
      <w:r w:rsidR="00B17022">
        <w:rPr>
          <w:i/>
          <w:iCs/>
        </w:rPr>
        <w:t>Camp</w:t>
      </w:r>
      <w:bookmarkEnd w:id="159"/>
      <w:r w:rsidR="009805D9">
        <w:t>:</w:t>
      </w:r>
      <w:r w:rsidR="003B0A41">
        <w:t xml:space="preserve"> </w:t>
      </w:r>
      <w:r w:rsidR="009805D9">
        <w:t xml:space="preserve"> T</w:t>
      </w:r>
      <w:r w:rsidR="003B0A41">
        <w:t>he employer’s timekeeping system recorded time worked to the minute and took the extra step of rounding that time, but there were no clear efficiencies gained.</w:t>
      </w:r>
      <w:r w:rsidR="00304CA2">
        <w:t xml:space="preserve">  (</w:t>
      </w:r>
      <w:bookmarkStart w:id="160" w:name="dabmci_87e432a52cd043ad8e51680f421a7a43"/>
      <w:r w:rsidR="00304CA2">
        <w:rPr>
          <w:i/>
          <w:iCs/>
        </w:rPr>
        <w:t>Camp</w:t>
      </w:r>
      <w:r w:rsidR="00304CA2">
        <w:t>, at p. 658</w:t>
      </w:r>
      <w:bookmarkEnd w:id="160"/>
      <w:r w:rsidR="00304CA2">
        <w:t>.)</w:t>
      </w:r>
    </w:p>
    <w:p w14:paraId="6CF9D4D0" w14:textId="77777777" w:rsidR="002514E8" w:rsidRDefault="00D16B2E" w:rsidP="007D1009">
      <w:pPr>
        <w:spacing w:line="480" w:lineRule="auto"/>
        <w:ind w:firstLine="720"/>
      </w:pPr>
      <w:r>
        <w:t xml:space="preserve">We find </w:t>
      </w:r>
      <w:r>
        <w:rPr>
          <w:i/>
          <w:iCs/>
        </w:rPr>
        <w:t>Camp</w:t>
      </w:r>
      <w:r>
        <w:t xml:space="preserve">’s reasons for rejecting the </w:t>
      </w:r>
      <w:r>
        <w:rPr>
          <w:i/>
          <w:iCs/>
        </w:rPr>
        <w:t xml:space="preserve">See’s Candy </w:t>
      </w:r>
      <w:r>
        <w:t>rounding standard persuasive.  W</w:t>
      </w:r>
      <w:r w:rsidRPr="00C227E9">
        <w:t>e</w:t>
      </w:r>
      <w:r>
        <w:t xml:space="preserve"> therefore conclude that </w:t>
      </w:r>
      <w:r w:rsidR="00D311D2">
        <w:t>the medical center was not entitled to summary adjudication on Woodworth’s individual rounding claim or the PAGA rounding claim.</w:t>
      </w:r>
      <w:r w:rsidR="00FC072A">
        <w:t xml:space="preserve">  The medical center’s</w:t>
      </w:r>
      <w:r w:rsidR="007155F5">
        <w:t xml:space="preserve"> </w:t>
      </w:r>
      <w:r w:rsidR="00FC072A">
        <w:t xml:space="preserve">evidence showed that </w:t>
      </w:r>
      <w:r w:rsidR="007155F5">
        <w:t>over 5,000</w:t>
      </w:r>
      <w:r w:rsidR="00FC072A">
        <w:t xml:space="preserve"> employees were not paid for all time worked under the rounding policy.</w:t>
      </w:r>
      <w:r w:rsidR="007155F5">
        <w:t xml:space="preserve">  Woodworth’s evidence showed that she was not paid for 6.3 weighted hours under the policy.  In addition, the evidence showed that the medical center’s computer-based timekeeping system captured the employees</w:t>
      </w:r>
      <w:r w:rsidR="00997DF3">
        <w:t>’</w:t>
      </w:r>
      <w:r w:rsidR="007155F5">
        <w:t xml:space="preserve"> time to the minute and </w:t>
      </w:r>
      <w:r w:rsidR="00997DF3">
        <w:t>took</w:t>
      </w:r>
      <w:r w:rsidR="007155F5">
        <w:t xml:space="preserve"> the </w:t>
      </w:r>
      <w:r w:rsidR="00997DF3">
        <w:t xml:space="preserve">extra step of rounding the time punches.  Because the medical center could and did capture the exact number of minutes that employees worked, </w:t>
      </w:r>
      <w:bookmarkStart w:id="161" w:name="dabmq_48"/>
      <w:r w:rsidR="00997DF3">
        <w:t xml:space="preserve">it </w:t>
      </w:r>
      <w:r w:rsidR="008142ED">
        <w:t>“</w:t>
      </w:r>
      <w:r w:rsidR="00997DF3">
        <w:t>must pay the employee[s] for ‘all the time’ worked.”</w:t>
      </w:r>
      <w:bookmarkEnd w:id="161"/>
      <w:r w:rsidR="00997DF3">
        <w:t xml:space="preserve">  (</w:t>
      </w:r>
      <w:bookmarkStart w:id="162" w:name="dabmci_8979c5a33d6041808ce0d2f42acd3438"/>
      <w:r w:rsidR="00997DF3">
        <w:rPr>
          <w:i/>
          <w:iCs/>
        </w:rPr>
        <w:t>Camp</w:t>
      </w:r>
      <w:r w:rsidR="00997DF3">
        <w:t xml:space="preserve">, </w:t>
      </w:r>
      <w:r w:rsidR="00997DF3">
        <w:rPr>
          <w:i/>
          <w:iCs/>
        </w:rPr>
        <w:t>supra</w:t>
      </w:r>
      <w:r w:rsidR="00997DF3">
        <w:t>, 84 Cal.App.5th at p. 660</w:t>
      </w:r>
      <w:bookmarkEnd w:id="162"/>
      <w:r w:rsidR="00997DF3">
        <w:t>.)</w:t>
      </w:r>
    </w:p>
    <w:p w14:paraId="476629C5" w14:textId="77777777" w:rsidR="00F23C33" w:rsidRDefault="00D16B2E" w:rsidP="007D1009">
      <w:pPr>
        <w:spacing w:line="480" w:lineRule="auto"/>
        <w:ind w:firstLine="720"/>
      </w:pPr>
      <w:r>
        <w:rPr>
          <w:i/>
          <w:iCs/>
        </w:rPr>
        <w:t>Camp</w:t>
      </w:r>
      <w:r>
        <w:t xml:space="preserve"> was decided after we issued our tentative opinion in </w:t>
      </w:r>
      <w:r>
        <w:t xml:space="preserve">this matter, so we gave the parties an opportunity to file supplemental briefs regarding </w:t>
      </w:r>
      <w:r w:rsidR="00FB7ADB">
        <w:t>the case</w:t>
      </w:r>
      <w:r>
        <w:t xml:space="preserve">.  </w:t>
      </w:r>
      <w:r w:rsidR="007B521C">
        <w:t xml:space="preserve">In its supplemental brief, the medical center </w:t>
      </w:r>
      <w:r w:rsidR="007A1862">
        <w:t>contends</w:t>
      </w:r>
      <w:r w:rsidR="007B521C">
        <w:t xml:space="preserve"> that </w:t>
      </w:r>
      <w:r w:rsidR="007A1862">
        <w:t xml:space="preserve">Woodworth forfeited the argument </w:t>
      </w:r>
      <w:r w:rsidR="007A1862">
        <w:lastRenderedPageBreak/>
        <w:t xml:space="preserve">that </w:t>
      </w:r>
      <w:r w:rsidR="007A1862">
        <w:rPr>
          <w:i/>
          <w:iCs/>
        </w:rPr>
        <w:t>See’s Candy</w:t>
      </w:r>
      <w:r w:rsidR="007A1862">
        <w:t xml:space="preserve"> </w:t>
      </w:r>
      <w:r w:rsidR="00B147C1">
        <w:t>does not apply here</w:t>
      </w:r>
      <w:r w:rsidR="007A1862">
        <w:t xml:space="preserve">.  It points out that Woodworth did not challenge </w:t>
      </w:r>
      <w:r w:rsidR="007A1862">
        <w:rPr>
          <w:i/>
          <w:iCs/>
        </w:rPr>
        <w:t>See’s Candy</w:t>
      </w:r>
      <w:r w:rsidR="007A1862">
        <w:t xml:space="preserve"> in the trial court</w:t>
      </w:r>
      <w:r w:rsidR="00B147C1">
        <w:t xml:space="preserve"> or in her opening or reply brief on appeal.  We agree that</w:t>
      </w:r>
      <w:r w:rsidR="00ED774C">
        <w:t>,</w:t>
      </w:r>
      <w:r w:rsidR="00B147C1">
        <w:t xml:space="preserve"> in general, appellants forfeit arguments not raised in the trial court</w:t>
      </w:r>
      <w:r w:rsidR="00DD64F6">
        <w:t xml:space="preserve"> or in their appellate briefing</w:t>
      </w:r>
      <w:r w:rsidR="00B147C1">
        <w:t xml:space="preserve">. </w:t>
      </w:r>
      <w:r w:rsidR="009D2124">
        <w:t xml:space="preserve"> (</w:t>
      </w:r>
      <w:bookmarkStart w:id="163" w:name="dabmci_13572d1a9592409eb69830b9e0e2850c"/>
      <w:r w:rsidR="009D2124" w:rsidRPr="00032059">
        <w:rPr>
          <w:i/>
          <w:iCs/>
          <w:bdr w:val="none" w:sz="0" w:space="0" w:color="auto" w:frame="1"/>
        </w:rPr>
        <w:t>DiCola v. White Brothers Performance Products, Inc.</w:t>
      </w:r>
      <w:r w:rsidR="009D2124" w:rsidRPr="007C68F1">
        <w:t xml:space="preserve"> (2008) 158 Cal.App.4th 666, 676</w:t>
      </w:r>
      <w:r w:rsidR="009D2124">
        <w:t xml:space="preserve"> (</w:t>
      </w:r>
      <w:r w:rsidR="009D2124">
        <w:rPr>
          <w:i/>
          <w:iCs/>
        </w:rPr>
        <w:t>DiCola</w:t>
      </w:r>
      <w:r w:rsidR="009D2124">
        <w:t>)</w:t>
      </w:r>
      <w:bookmarkEnd w:id="163"/>
      <w:r w:rsidR="009D2124">
        <w:t>.</w:t>
      </w:r>
      <w:r w:rsidR="00C57E19">
        <w:t xml:space="preserve">)  </w:t>
      </w:r>
      <w:r w:rsidR="00B147C1">
        <w:t>But</w:t>
      </w:r>
      <w:r w:rsidR="00FB7ADB">
        <w:t xml:space="preserve"> we </w:t>
      </w:r>
      <w:r w:rsidR="00A52AC7">
        <w:t xml:space="preserve">also </w:t>
      </w:r>
      <w:r w:rsidR="00FB7ADB">
        <w:t xml:space="preserve">have discretion to </w:t>
      </w:r>
      <w:r w:rsidR="00FD7F1D">
        <w:t xml:space="preserve">consider a forfeited </w:t>
      </w:r>
      <w:r w:rsidR="00A52AC7">
        <w:t>issue on the merits.</w:t>
      </w:r>
      <w:r w:rsidR="00FB7ADB">
        <w:t xml:space="preserve"> </w:t>
      </w:r>
      <w:r w:rsidR="00A52AC7">
        <w:t xml:space="preserve"> (</w:t>
      </w:r>
      <w:bookmarkStart w:id="164" w:name="dabmci_e88920a614514eec9882cea782be57a8"/>
      <w:r w:rsidR="00A52AC7" w:rsidRPr="00FA4CB5">
        <w:rPr>
          <w:i/>
          <w:iCs/>
          <w:bdr w:val="none" w:sz="0" w:space="0" w:color="auto" w:frame="1"/>
        </w:rPr>
        <w:t>JRS Products, Inc. v. Matsushita Electric Corp. of America</w:t>
      </w:r>
      <w:r w:rsidR="004D7448" w:rsidRPr="00FA4CB5">
        <w:t xml:space="preserve"> </w:t>
      </w:r>
      <w:r w:rsidR="00A52AC7" w:rsidRPr="00A52AC7">
        <w:t>(2004) 115 Cal.App.4th 168, 179</w:t>
      </w:r>
      <w:bookmarkEnd w:id="164"/>
      <w:r w:rsidR="004D7448">
        <w:t xml:space="preserve">.)  </w:t>
      </w:r>
    </w:p>
    <w:p w14:paraId="355D4E4C" w14:textId="77777777" w:rsidR="00F23C33" w:rsidRDefault="00D16B2E" w:rsidP="007D1009">
      <w:pPr>
        <w:spacing w:line="480" w:lineRule="auto"/>
        <w:ind w:firstLine="720"/>
      </w:pPr>
      <w:r>
        <w:t xml:space="preserve">We conclude that there </w:t>
      </w:r>
      <w:r w:rsidR="00FD7F1D">
        <w:t>are</w:t>
      </w:r>
      <w:r>
        <w:t xml:space="preserve"> good reason</w:t>
      </w:r>
      <w:r w:rsidR="00FD7F1D">
        <w:t>s</w:t>
      </w:r>
      <w:r>
        <w:t xml:space="preserve"> to exercise that discretion here</w:t>
      </w:r>
      <w:r w:rsidR="00FD7F1D">
        <w:t xml:space="preserve">.  </w:t>
      </w:r>
      <w:r w:rsidR="00C57E19" w:rsidRPr="00C57E19">
        <w:rPr>
          <w:i/>
          <w:iCs/>
        </w:rPr>
        <w:t>Camp</w:t>
      </w:r>
      <w:r w:rsidR="00C57E19">
        <w:t xml:space="preserve"> had not been decided when the parties briefed this motion in the trial court.  Even </w:t>
      </w:r>
      <w:r w:rsidR="00DB620A">
        <w:t xml:space="preserve">the cases on which </w:t>
      </w:r>
      <w:r w:rsidR="00DB620A" w:rsidRPr="00DB620A">
        <w:rPr>
          <w:i/>
          <w:iCs/>
        </w:rPr>
        <w:t>Camp</w:t>
      </w:r>
      <w:r w:rsidR="00DB620A">
        <w:t xml:space="preserve"> relied, </w:t>
      </w:r>
      <w:r w:rsidR="00DB620A">
        <w:rPr>
          <w:i/>
          <w:iCs/>
        </w:rPr>
        <w:t xml:space="preserve">Troester </w:t>
      </w:r>
      <w:r w:rsidR="00DB620A">
        <w:t xml:space="preserve">and </w:t>
      </w:r>
      <w:r w:rsidR="00DB620A">
        <w:rPr>
          <w:i/>
          <w:iCs/>
        </w:rPr>
        <w:t>Don</w:t>
      </w:r>
      <w:r w:rsidR="00AA3F07">
        <w:rPr>
          <w:i/>
          <w:iCs/>
        </w:rPr>
        <w:t>o</w:t>
      </w:r>
      <w:r w:rsidR="00DB620A">
        <w:rPr>
          <w:i/>
          <w:iCs/>
        </w:rPr>
        <w:t>hue</w:t>
      </w:r>
      <w:r w:rsidR="00DB620A">
        <w:t xml:space="preserve">, </w:t>
      </w:r>
      <w:r w:rsidR="00C57E19">
        <w:t xml:space="preserve">were decided </w:t>
      </w:r>
      <w:r w:rsidR="00AA3F07">
        <w:t xml:space="preserve">after </w:t>
      </w:r>
      <w:r w:rsidR="00B02870">
        <w:t xml:space="preserve">the parties had fully briefed the </w:t>
      </w:r>
      <w:r w:rsidR="00DB620A">
        <w:t xml:space="preserve">motion </w:t>
      </w:r>
      <w:r w:rsidR="00B02870">
        <w:t>in</w:t>
      </w:r>
      <w:r w:rsidR="00DB620A">
        <w:t xml:space="preserve"> </w:t>
      </w:r>
      <w:r w:rsidR="00C57E19">
        <w:t>mid-</w:t>
      </w:r>
      <w:r w:rsidR="00AA3F07">
        <w:t>July</w:t>
      </w:r>
      <w:r w:rsidR="00DB620A">
        <w:t xml:space="preserve"> 2018.</w:t>
      </w:r>
      <w:r w:rsidR="00AA3F07">
        <w:t xml:space="preserve">  </w:t>
      </w:r>
      <w:r>
        <w:t xml:space="preserve">And when the trial court ruled on the motion in November 2018, </w:t>
      </w:r>
      <w:r>
        <w:rPr>
          <w:i/>
          <w:iCs/>
        </w:rPr>
        <w:t xml:space="preserve">See’s Candy </w:t>
      </w:r>
      <w:r>
        <w:t xml:space="preserve">was binding appellate authority.  </w:t>
      </w:r>
      <w:r>
        <w:rPr>
          <w:i/>
          <w:iCs/>
        </w:rPr>
        <w:t>Troester</w:t>
      </w:r>
      <w:r>
        <w:t xml:space="preserve">, </w:t>
      </w:r>
      <w:r>
        <w:rPr>
          <w:i/>
          <w:iCs/>
        </w:rPr>
        <w:t>Donohue</w:t>
      </w:r>
      <w:r>
        <w:t xml:space="preserve">, and </w:t>
      </w:r>
      <w:r>
        <w:rPr>
          <w:i/>
          <w:iCs/>
        </w:rPr>
        <w:t xml:space="preserve">Camp </w:t>
      </w:r>
      <w:r>
        <w:t>represent an intervening change in the case law that validates the new argumen</w:t>
      </w:r>
      <w:r>
        <w:t>t urged on appeal.  (</w:t>
      </w:r>
      <w:bookmarkStart w:id="165" w:name="dabmci_83c5bd9ab0bc471fabb12a7ad3917e47"/>
      <w:r w:rsidRPr="00F23C33">
        <w:rPr>
          <w:i/>
          <w:iCs/>
          <w:bdr w:val="none" w:sz="0" w:space="0" w:color="auto" w:frame="1"/>
        </w:rPr>
        <w:t>In re Marriage of Moschetta</w:t>
      </w:r>
      <w:r>
        <w:t xml:space="preserve"> </w:t>
      </w:r>
      <w:r w:rsidRPr="00F23C33">
        <w:t>(1994) 25 Cal.App.4th 1218, 1227, fn. 12</w:t>
      </w:r>
      <w:bookmarkEnd w:id="165"/>
      <w:r>
        <w:t xml:space="preserve">.)  </w:t>
      </w:r>
    </w:p>
    <w:p w14:paraId="57918A62" w14:textId="77777777" w:rsidR="00A12481" w:rsidRDefault="00D16B2E" w:rsidP="007D1009">
      <w:pPr>
        <w:spacing w:line="480" w:lineRule="auto"/>
        <w:ind w:firstLine="720"/>
      </w:pPr>
      <w:r>
        <w:t xml:space="preserve">Moreover, </w:t>
      </w:r>
      <w:r w:rsidR="005B2A16">
        <w:t xml:space="preserve">the medical center </w:t>
      </w:r>
      <w:r w:rsidR="00C57E19">
        <w:t>has not identified any disputed factual issue</w:t>
      </w:r>
      <w:r w:rsidR="00B02870">
        <w:t xml:space="preserve"> </w:t>
      </w:r>
      <w:r w:rsidR="00C57E19">
        <w:t>preclud</w:t>
      </w:r>
      <w:r w:rsidR="00B02870">
        <w:t>ing</w:t>
      </w:r>
      <w:r w:rsidR="00C57E19">
        <w:t xml:space="preserve"> reliance on </w:t>
      </w:r>
      <w:r w:rsidR="00C57E19">
        <w:rPr>
          <w:i/>
          <w:iCs/>
        </w:rPr>
        <w:t>Camp</w:t>
      </w:r>
      <w:r w:rsidR="00C57E19">
        <w:t>.  (</w:t>
      </w:r>
      <w:r w:rsidR="00CC4F59">
        <w:t xml:space="preserve">See </w:t>
      </w:r>
      <w:bookmarkStart w:id="166" w:name="dabmci_013dc8c67e5a4a5aa856b42614736627"/>
      <w:r w:rsidR="00CC4F59" w:rsidRPr="00375F6D">
        <w:rPr>
          <w:i/>
          <w:iCs/>
          <w:bdr w:val="none" w:sz="0" w:space="0" w:color="auto" w:frame="1"/>
        </w:rPr>
        <w:t>Krechuniak v. Noorzoy</w:t>
      </w:r>
      <w:r w:rsidR="00CC4F59" w:rsidRPr="00375F6D">
        <w:t xml:space="preserve"> </w:t>
      </w:r>
      <w:r w:rsidR="00CC4F59" w:rsidRPr="00C57E19">
        <w:t>(2017) 11 Cal.App.5th 713</w:t>
      </w:r>
      <w:bookmarkEnd w:id="166"/>
      <w:r w:rsidR="00CC4F59" w:rsidRPr="00C57E19">
        <w:t>, 725</w:t>
      </w:r>
      <w:r w:rsidR="00CC4F59">
        <w:t xml:space="preserve"> [if </w:t>
      </w:r>
      <w:bookmarkStart w:id="167" w:name="dabmq_49"/>
      <w:r w:rsidR="00CC4F59">
        <w:t xml:space="preserve">a </w:t>
      </w:r>
      <w:r w:rsidR="00945E61">
        <w:t>“‘</w:t>
      </w:r>
      <w:r w:rsidR="00CC4F59">
        <w:t>new t</w:t>
      </w:r>
      <w:r w:rsidR="00C57E19" w:rsidRPr="00C57E19">
        <w:t xml:space="preserve">heory contemplates a factual situation </w:t>
      </w:r>
      <w:r w:rsidR="00CC4F59">
        <w:t>. . .</w:t>
      </w:r>
      <w:r w:rsidR="00C57E19" w:rsidRPr="00C57E19">
        <w:t xml:space="preserve"> open to controversy</w:t>
      </w:r>
      <w:r w:rsidR="00CC4F59">
        <w:t>’”</w:t>
      </w:r>
      <w:bookmarkEnd w:id="167"/>
      <w:r w:rsidR="00CC4F59">
        <w:t xml:space="preserve"> </w:t>
      </w:r>
      <w:r w:rsidR="000A58A1">
        <w:t>and</w:t>
      </w:r>
      <w:r w:rsidR="00CC4F59">
        <w:t xml:space="preserve"> </w:t>
      </w:r>
      <w:bookmarkStart w:id="168" w:name="dabmq_50"/>
      <w:r w:rsidR="00CC4F59">
        <w:t>“‘</w:t>
      </w:r>
      <w:r w:rsidR="00C57E19" w:rsidRPr="00C57E19">
        <w:t>not put in issue or presented</w:t>
      </w:r>
      <w:r w:rsidR="00CC4F59">
        <w:t>’”</w:t>
      </w:r>
      <w:bookmarkEnd w:id="168"/>
      <w:r w:rsidR="00C57E19" w:rsidRPr="00C57E19">
        <w:t xml:space="preserve"> </w:t>
      </w:r>
      <w:r w:rsidR="00CC4F59">
        <w:t>in the trial court,</w:t>
      </w:r>
      <w:r w:rsidR="00C57E19" w:rsidRPr="00C57E19">
        <w:t xml:space="preserve"> </w:t>
      </w:r>
      <w:r w:rsidR="000A58A1">
        <w:t xml:space="preserve">then </w:t>
      </w:r>
      <w:bookmarkStart w:id="169" w:name="dabmq_51"/>
      <w:r w:rsidR="00CC4F59">
        <w:t>“‘</w:t>
      </w:r>
      <w:r w:rsidR="00C57E19" w:rsidRPr="00C57E19">
        <w:t>the opposing party should not be required to defend against it on appeal</w:t>
      </w:r>
      <w:r w:rsidR="000A58A1">
        <w:t>’</w:t>
      </w:r>
      <w:r w:rsidR="00C57E19" w:rsidRPr="00C57E19">
        <w:t>”</w:t>
      </w:r>
      <w:bookmarkEnd w:id="169"/>
      <w:r w:rsidR="000A58A1">
        <w:t xml:space="preserve">].)  </w:t>
      </w:r>
      <w:r w:rsidR="00D03D7D">
        <w:t xml:space="preserve">It argues that </w:t>
      </w:r>
      <w:r w:rsidR="00255040">
        <w:t>section 2928</w:t>
      </w:r>
      <w:r w:rsidR="00D03D7D">
        <w:t xml:space="preserve"> </w:t>
      </w:r>
      <w:bookmarkStart w:id="170" w:name="dabmq_52"/>
      <w:r w:rsidR="00D03D7D">
        <w:t>“require[s] a new factual analysis”</w:t>
      </w:r>
      <w:bookmarkEnd w:id="170"/>
      <w:r w:rsidR="00D03D7D">
        <w:t xml:space="preserve"> and that </w:t>
      </w:r>
      <w:r w:rsidR="00D03D7D">
        <w:rPr>
          <w:i/>
          <w:iCs/>
        </w:rPr>
        <w:t>Camp</w:t>
      </w:r>
      <w:r w:rsidR="00D03D7D">
        <w:t xml:space="preserve"> is distinguishable because it does not address section 2928. </w:t>
      </w:r>
      <w:r w:rsidR="004F30EE">
        <w:t xml:space="preserve"> On this record, w</w:t>
      </w:r>
      <w:r w:rsidR="00D03D7D">
        <w:t>e d</w:t>
      </w:r>
      <w:r w:rsidR="00375F6D">
        <w:t>is</w:t>
      </w:r>
      <w:r w:rsidR="007B1D8E">
        <w:t xml:space="preserve">agree that section 2928 </w:t>
      </w:r>
      <w:r w:rsidR="00892495">
        <w:t>renders</w:t>
      </w:r>
      <w:r w:rsidR="007B1D8E">
        <w:t xml:space="preserve"> </w:t>
      </w:r>
      <w:r w:rsidR="007B1D8E">
        <w:rPr>
          <w:i/>
          <w:iCs/>
        </w:rPr>
        <w:t>Camp</w:t>
      </w:r>
      <w:r w:rsidR="007B1D8E">
        <w:t xml:space="preserve"> </w:t>
      </w:r>
      <w:r w:rsidR="00892495">
        <w:t>inapplicable</w:t>
      </w:r>
      <w:r w:rsidR="007B1D8E">
        <w:t>.</w:t>
      </w:r>
      <w:r w:rsidR="00255040">
        <w:t xml:space="preserve">  </w:t>
      </w:r>
    </w:p>
    <w:p w14:paraId="0576A41A" w14:textId="77777777" w:rsidR="0076510A" w:rsidRDefault="00D16B2E" w:rsidP="007D1009">
      <w:pPr>
        <w:spacing w:line="480" w:lineRule="auto"/>
        <w:ind w:firstLine="720"/>
      </w:pPr>
      <w:r>
        <w:lastRenderedPageBreak/>
        <w:t xml:space="preserve">Section 2928 states:  </w:t>
      </w:r>
      <w:bookmarkStart w:id="171" w:name="dabmq_53"/>
      <w:r>
        <w:t>“</w:t>
      </w:r>
      <w:r w:rsidRPr="00255040">
        <w:t xml:space="preserve">No deduction from the </w:t>
      </w:r>
      <w:r w:rsidRPr="00255040">
        <w:t>wages of an employee on account of his coming late to work shall be made in excess of the proportionate wage which would have been earned during the time actually lost, but for a loss of time less than thirty minutes, a half hour</w:t>
      </w:r>
      <w:r>
        <w:t>’</w:t>
      </w:r>
      <w:r w:rsidRPr="00255040">
        <w:t>s wage may be deducted</w:t>
      </w:r>
      <w:r>
        <w:t>.”</w:t>
      </w:r>
      <w:bookmarkEnd w:id="171"/>
      <w:r w:rsidR="00A12481">
        <w:t xml:space="preserve">  The medical center asserts that </w:t>
      </w:r>
      <w:r w:rsidR="00892495">
        <w:t>nothing</w:t>
      </w:r>
      <w:r w:rsidR="00A12481">
        <w:t xml:space="preserve"> in the record shows that Woodworth would have lost time</w:t>
      </w:r>
      <w:r w:rsidR="007B1D8E">
        <w:t xml:space="preserve"> if the medical center had </w:t>
      </w:r>
      <w:r>
        <w:t>chosen to apply s</w:t>
      </w:r>
      <w:r w:rsidR="007B1D8E">
        <w:t xml:space="preserve">ection 2928 as opposed to rounding. </w:t>
      </w:r>
      <w:r w:rsidR="009C1D3F">
        <w:t xml:space="preserve"> The apparent argument is that </w:t>
      </w:r>
      <w:r w:rsidR="007B1D8E">
        <w:t xml:space="preserve">Woodworth might have fared better under rounding than she would have if the medical center </w:t>
      </w:r>
      <w:r w:rsidR="009C1D3F">
        <w:t xml:space="preserve">had </w:t>
      </w:r>
      <w:r w:rsidR="007B1D8E">
        <w:t xml:space="preserve">deducted one-half hour’s wage every time she clocked in </w:t>
      </w:r>
      <w:r w:rsidR="004F34BF">
        <w:t>fewer</w:t>
      </w:r>
      <w:r w:rsidR="007B1D8E">
        <w:t xml:space="preserve"> than 30 minutes late</w:t>
      </w:r>
      <w:r w:rsidR="009C1D3F">
        <w:t xml:space="preserve">.  But </w:t>
      </w:r>
      <w:r w:rsidR="00F26CFE">
        <w:t xml:space="preserve">that comparative analysis would not change </w:t>
      </w:r>
      <w:r w:rsidR="00ED774C">
        <w:t xml:space="preserve">the fact </w:t>
      </w:r>
      <w:r w:rsidR="00F26CFE">
        <w:t>that in actual practice, the medical center was applying rounding and not section 2928.</w:t>
      </w:r>
      <w:r w:rsidR="004F30EE">
        <w:t xml:space="preserve">  </w:t>
      </w:r>
      <w:r w:rsidR="00F26CFE">
        <w:t>And the evidence showed that under that rounding policy, Woodworth was not paid for all time worked.</w:t>
      </w:r>
      <w:r>
        <w:t xml:space="preserve">  </w:t>
      </w:r>
    </w:p>
    <w:p w14:paraId="33822C66" w14:textId="77777777" w:rsidR="00F95105" w:rsidRDefault="00D16B2E" w:rsidP="007D1009">
      <w:pPr>
        <w:spacing w:line="480" w:lineRule="auto"/>
      </w:pPr>
      <w:r>
        <w:tab/>
        <w:t xml:space="preserve">The medical center </w:t>
      </w:r>
      <w:r w:rsidR="00991CAE">
        <w:t>further</w:t>
      </w:r>
      <w:r>
        <w:t xml:space="preserve"> argues that we should decline to follow </w:t>
      </w:r>
      <w:r>
        <w:rPr>
          <w:i/>
          <w:iCs/>
        </w:rPr>
        <w:t>Camp</w:t>
      </w:r>
      <w:r>
        <w:t xml:space="preserve"> because </w:t>
      </w:r>
      <w:r w:rsidR="00991CAE">
        <w:t>the court did</w:t>
      </w:r>
      <w:r>
        <w:t xml:space="preserve"> not identify any language in the Labor </w:t>
      </w:r>
      <w:r>
        <w:t>Code or wage orders prohibit</w:t>
      </w:r>
      <w:r w:rsidR="00694A4C">
        <w:t>ing</w:t>
      </w:r>
      <w:r>
        <w:t xml:space="preserve"> a neutral rounding policy.  On the contrary, </w:t>
      </w:r>
      <w:r>
        <w:rPr>
          <w:i/>
          <w:iCs/>
        </w:rPr>
        <w:t>Camp</w:t>
      </w:r>
      <w:r>
        <w:t xml:space="preserve"> </w:t>
      </w:r>
      <w:r w:rsidR="00991CAE">
        <w:t xml:space="preserve">identified specific provisions of the Labor Code and the relevant wage order that required employees to </w:t>
      </w:r>
      <w:bookmarkStart w:id="172" w:name="dabmq_54"/>
      <w:r w:rsidR="00991CAE">
        <w:t>“‘be paid for all work performed.’”</w:t>
      </w:r>
      <w:bookmarkEnd w:id="172"/>
      <w:r w:rsidR="00991CAE">
        <w:t xml:space="preserve">  (</w:t>
      </w:r>
      <w:bookmarkStart w:id="173" w:name="dabmci_dfd210ca6af241f7b347982699978322"/>
      <w:r w:rsidR="00991CAE">
        <w:rPr>
          <w:i/>
        </w:rPr>
        <w:t>Camp</w:t>
      </w:r>
      <w:r w:rsidR="00991CAE">
        <w:rPr>
          <w:iCs/>
        </w:rPr>
        <w:t xml:space="preserve">, </w:t>
      </w:r>
      <w:r w:rsidR="00C15941" w:rsidRPr="00936E15">
        <w:rPr>
          <w:i/>
        </w:rPr>
        <w:t>supra</w:t>
      </w:r>
      <w:r w:rsidR="00C15941">
        <w:rPr>
          <w:iCs/>
        </w:rPr>
        <w:t xml:space="preserve">, </w:t>
      </w:r>
      <w:r w:rsidR="00991CAE">
        <w:rPr>
          <w:iCs/>
        </w:rPr>
        <w:t>84 Cal.App.5th at p. 657</w:t>
      </w:r>
      <w:bookmarkEnd w:id="173"/>
      <w:r w:rsidR="00991CAE">
        <w:rPr>
          <w:iCs/>
        </w:rPr>
        <w:t xml:space="preserve">, citing </w:t>
      </w:r>
      <w:bookmarkStart w:id="174" w:name="dabmci_1f9debeed96a4789a586400d1087a50f"/>
      <w:r w:rsidR="00991CAE">
        <w:rPr>
          <w:iCs/>
        </w:rPr>
        <w:t>§ 510, subd. (a), Cal. Code Regs., tit. 8</w:t>
      </w:r>
      <w:bookmarkEnd w:id="174"/>
      <w:r w:rsidR="00991CAE">
        <w:rPr>
          <w:iCs/>
        </w:rPr>
        <w:t>, § 11070, subds. 2(G)</w:t>
      </w:r>
      <w:r w:rsidR="009C07A7">
        <w:rPr>
          <w:iCs/>
        </w:rPr>
        <w:t xml:space="preserve">, </w:t>
      </w:r>
      <w:r w:rsidR="003F40D5">
        <w:rPr>
          <w:iCs/>
        </w:rPr>
        <w:t>3</w:t>
      </w:r>
      <w:r w:rsidR="009C07A7">
        <w:rPr>
          <w:iCs/>
        </w:rPr>
        <w:t xml:space="preserve">(A), </w:t>
      </w:r>
      <w:r w:rsidR="003F40D5">
        <w:rPr>
          <w:iCs/>
        </w:rPr>
        <w:t>4</w:t>
      </w:r>
      <w:r w:rsidR="009C07A7">
        <w:rPr>
          <w:iCs/>
        </w:rPr>
        <w:t>(A)</w:t>
      </w:r>
      <w:r w:rsidR="00991CAE">
        <w:rPr>
          <w:iCs/>
        </w:rPr>
        <w:t xml:space="preserve">.)  </w:t>
      </w:r>
      <w:r w:rsidR="00B118D4">
        <w:rPr>
          <w:iCs/>
        </w:rPr>
        <w:t xml:space="preserve">And although </w:t>
      </w:r>
      <w:bookmarkStart w:id="175" w:name="dabmci_58ebcb76bc664767950d3bc9f75de04a"/>
      <w:r w:rsidR="00575ED8">
        <w:rPr>
          <w:i/>
          <w:iCs/>
        </w:rPr>
        <w:t>Camp</w:t>
      </w:r>
      <w:bookmarkEnd w:id="175"/>
      <w:r w:rsidR="00575ED8">
        <w:t xml:space="preserve"> involved wage order No. 7-2001</w:t>
      </w:r>
      <w:r w:rsidR="00B118D4">
        <w:t xml:space="preserve"> </w:t>
      </w:r>
      <w:r w:rsidR="00575ED8">
        <w:t>(</w:t>
      </w:r>
      <w:r w:rsidR="00C15941" w:rsidRPr="00936E15">
        <w:rPr>
          <w:i/>
          <w:iCs/>
        </w:rPr>
        <w:t>Camp</w:t>
      </w:r>
      <w:r w:rsidR="00C15941">
        <w:t xml:space="preserve">, </w:t>
      </w:r>
      <w:bookmarkStart w:id="176" w:name="dabmci_5f38feaa8fc54ccd9fd3e64ebf8a29a8"/>
      <w:r w:rsidR="00575ED8">
        <w:t>at p. 648</w:t>
      </w:r>
      <w:bookmarkEnd w:id="176"/>
      <w:r w:rsidR="00575ED8">
        <w:t>)</w:t>
      </w:r>
      <w:r w:rsidR="00B118D4">
        <w:t xml:space="preserve">, and this </w:t>
      </w:r>
      <w:r w:rsidR="009C07A7">
        <w:t>case involves w</w:t>
      </w:r>
      <w:r w:rsidR="00575ED8" w:rsidRPr="007C68F1">
        <w:rPr>
          <w:shd w:val="clear" w:color="auto" w:fill="FFFFFF"/>
        </w:rPr>
        <w:t xml:space="preserve">age order 5-2001 </w:t>
      </w:r>
      <w:r w:rsidR="00575ED8" w:rsidRPr="007C68F1">
        <w:t>(</w:t>
      </w:r>
      <w:r w:rsidR="00575ED8" w:rsidRPr="007C68F1">
        <w:rPr>
          <w:shd w:val="clear" w:color="auto" w:fill="FFFFFF"/>
        </w:rPr>
        <w:t>Wage Order 5)</w:t>
      </w:r>
      <w:r w:rsidR="00B118D4">
        <w:t xml:space="preserve">, </w:t>
      </w:r>
      <w:r w:rsidR="009C07A7">
        <w:t>there are no material differences between the relevant provisions of the two wage orders.  (</w:t>
      </w:r>
      <w:bookmarkStart w:id="177" w:name="dabmci_3fc3354cacfb435bbfd666daa15f0260"/>
      <w:r w:rsidR="009C07A7">
        <w:rPr>
          <w:iCs/>
        </w:rPr>
        <w:t>Cal. Code Regs., tit. 8, § 11070, subds. 2(G), 3(A)</w:t>
      </w:r>
      <w:r w:rsidR="003F40D5">
        <w:rPr>
          <w:iCs/>
        </w:rPr>
        <w:t>, 4(A)</w:t>
      </w:r>
      <w:bookmarkEnd w:id="177"/>
      <w:r w:rsidR="009C07A7">
        <w:rPr>
          <w:iCs/>
        </w:rPr>
        <w:t xml:space="preserve">; </w:t>
      </w:r>
      <w:bookmarkStart w:id="178" w:name="dabmci_e7134e11dcef4705afaa4ecc098bf269"/>
      <w:r w:rsidR="009C07A7">
        <w:rPr>
          <w:iCs/>
        </w:rPr>
        <w:t>Cal. Code Regs., tit. 8, § 11050, subds</w:t>
      </w:r>
      <w:r w:rsidR="00B118D4">
        <w:rPr>
          <w:iCs/>
        </w:rPr>
        <w:t xml:space="preserve">. </w:t>
      </w:r>
      <w:r w:rsidR="003F40D5">
        <w:rPr>
          <w:iCs/>
        </w:rPr>
        <w:t>2(K), 3(A), 4(A)</w:t>
      </w:r>
      <w:bookmarkEnd w:id="178"/>
      <w:r w:rsidR="00B118D4">
        <w:rPr>
          <w:iCs/>
        </w:rPr>
        <w:t xml:space="preserve">; see </w:t>
      </w:r>
      <w:bookmarkStart w:id="179" w:name="dabmci_1af0a017a3ad42ba87bf17c2d53cd4dd"/>
      <w:r w:rsidR="00B118D4" w:rsidRPr="007C68F1">
        <w:rPr>
          <w:i/>
          <w:iCs/>
          <w:bdr w:val="none" w:sz="0" w:space="0" w:color="auto" w:frame="1"/>
        </w:rPr>
        <w:t>Singh</w:t>
      </w:r>
      <w:r w:rsidR="00B118D4">
        <w:rPr>
          <w:i/>
          <w:iCs/>
          <w:bdr w:val="none" w:sz="0" w:space="0" w:color="auto" w:frame="1"/>
        </w:rPr>
        <w:t xml:space="preserve"> v. Superior Court</w:t>
      </w:r>
      <w:r w:rsidR="00B118D4">
        <w:rPr>
          <w:bdr w:val="none" w:sz="0" w:space="0" w:color="auto" w:frame="1"/>
        </w:rPr>
        <w:t xml:space="preserve"> (2006) </w:t>
      </w:r>
      <w:r w:rsidR="00B118D4" w:rsidRPr="007C68F1">
        <w:t>140 Cal.App.4th</w:t>
      </w:r>
      <w:r w:rsidR="00B118D4">
        <w:t xml:space="preserve"> 387, 390, </w:t>
      </w:r>
      <w:r w:rsidR="00B118D4" w:rsidRPr="007C68F1">
        <w:t>397-398</w:t>
      </w:r>
      <w:r w:rsidR="00C23AF9">
        <w:t xml:space="preserve"> (</w:t>
      </w:r>
      <w:r w:rsidR="00C23AF9">
        <w:rPr>
          <w:i/>
          <w:iCs/>
        </w:rPr>
        <w:t>Singh</w:t>
      </w:r>
      <w:r w:rsidR="00C23AF9">
        <w:t>)</w:t>
      </w:r>
      <w:bookmarkEnd w:id="179"/>
      <w:r w:rsidR="00B118D4">
        <w:t xml:space="preserve"> [Wage Order 5 governs hospitals].)  </w:t>
      </w:r>
    </w:p>
    <w:p w14:paraId="23EE0C50" w14:textId="77777777" w:rsidR="00FA595B" w:rsidRDefault="00D16B2E" w:rsidP="007D1009">
      <w:pPr>
        <w:spacing w:line="480" w:lineRule="auto"/>
      </w:pPr>
      <w:r>
        <w:lastRenderedPageBreak/>
        <w:tab/>
        <w:t>The medical center lastly argues</w:t>
      </w:r>
      <w:r w:rsidR="009609A3">
        <w:t xml:space="preserve"> that </w:t>
      </w:r>
      <w:r w:rsidR="009609A3">
        <w:rPr>
          <w:i/>
          <w:iCs/>
        </w:rPr>
        <w:t>Camp</w:t>
      </w:r>
      <w:r w:rsidR="009609A3">
        <w:t>’s holding should apply prospectively only</w:t>
      </w:r>
      <w:r w:rsidR="000376A9">
        <w:t xml:space="preserve">, given the longstanding approval of rounding by the DLSE </w:t>
      </w:r>
      <w:r w:rsidR="005F5786">
        <w:t xml:space="preserve">manual </w:t>
      </w:r>
      <w:r w:rsidR="000376A9">
        <w:t xml:space="preserve">and </w:t>
      </w:r>
      <w:r w:rsidR="000376A9">
        <w:rPr>
          <w:i/>
          <w:iCs/>
        </w:rPr>
        <w:t>See’s Candy</w:t>
      </w:r>
      <w:r w:rsidR="009609A3">
        <w:t>.</w:t>
      </w:r>
      <w:r w:rsidR="000376A9">
        <w:t xml:space="preserve">  The medical center contends that retroactive application would be unfair and violate its due process rights.</w:t>
      </w:r>
      <w:r w:rsidR="00143A8E">
        <w:t xml:space="preserve">  We are not persuaded.  </w:t>
      </w:r>
      <w:bookmarkStart w:id="180" w:name="dabmq_55"/>
      <w:r w:rsidR="00143A8E">
        <w:t>“</w:t>
      </w:r>
      <w:r w:rsidR="00143A8E" w:rsidRPr="00143A8E">
        <w:t>The general rule that judicial decisions are given retroactive effect is basic in our legal tradition.</w:t>
      </w:r>
      <w:r w:rsidR="00143A8E">
        <w:t>”</w:t>
      </w:r>
      <w:bookmarkEnd w:id="180"/>
      <w:r w:rsidR="00143A8E" w:rsidRPr="00143A8E">
        <w:t xml:space="preserve"> </w:t>
      </w:r>
      <w:r w:rsidR="00143A8E">
        <w:t xml:space="preserve"> (</w:t>
      </w:r>
      <w:bookmarkStart w:id="181" w:name="dabmci_021f02c9a9b9459fa97f8ae3a14b93a1"/>
      <w:r w:rsidR="00143A8E" w:rsidRPr="006E5536">
        <w:rPr>
          <w:i/>
          <w:iCs/>
          <w:bdr w:val="none" w:sz="0" w:space="0" w:color="auto" w:frame="1"/>
        </w:rPr>
        <w:t>Newman v. Emerson Radio Corp.</w:t>
      </w:r>
      <w:r w:rsidR="00143A8E" w:rsidRPr="006E5536">
        <w:t xml:space="preserve"> (</w:t>
      </w:r>
      <w:r w:rsidR="00143A8E" w:rsidRPr="00143A8E">
        <w:t>1989) 48 Cal.3d 973, 978</w:t>
      </w:r>
      <w:bookmarkEnd w:id="181"/>
      <w:r w:rsidR="00143A8E">
        <w:t>.)</w:t>
      </w:r>
      <w:r w:rsidR="00DD25D9">
        <w:t xml:space="preserve">  In exceptional circumstances, </w:t>
      </w:r>
      <w:bookmarkStart w:id="182" w:name="dabmq_56"/>
      <w:r w:rsidR="00DD25D9">
        <w:t>“‘“</w:t>
      </w:r>
      <w:r w:rsidR="00DD25D9" w:rsidRPr="00DD25D9">
        <w:t>fairness and public policy</w:t>
      </w:r>
      <w:bookmarkEnd w:id="182"/>
      <w:r w:rsidR="00DD25D9" w:rsidRPr="00DD25D9">
        <w:t xml:space="preserve"> may require that a decision be given only prospective application. </w:t>
      </w:r>
      <w:r w:rsidR="00DD25D9">
        <w:t xml:space="preserve"> </w:t>
      </w:r>
      <w:r w:rsidR="00DD25D9" w:rsidRPr="00DD25D9">
        <w:t xml:space="preserve">[Citations.] </w:t>
      </w:r>
      <w:r w:rsidR="00DD25D9">
        <w:t xml:space="preserve"> </w:t>
      </w:r>
      <w:r w:rsidR="00DD25D9" w:rsidRPr="00DD25D9">
        <w:t>Particular considerations relevant to the retroactivity determination include the reasonableness of the parties</w:t>
      </w:r>
      <w:r w:rsidR="00DD25D9">
        <w:t xml:space="preserve">’ </w:t>
      </w:r>
      <w:r w:rsidR="00DD25D9" w:rsidRPr="00DD25D9">
        <w:t>reliance on the former rule, the nature of the change as substantive or procedural, retroactivity</w:t>
      </w:r>
      <w:r w:rsidR="00DD25D9">
        <w:t>’</w:t>
      </w:r>
      <w:r w:rsidR="00DD25D9" w:rsidRPr="00DD25D9">
        <w:t>s effect on the administration of justice, and the</w:t>
      </w:r>
      <w:r w:rsidR="00DD25D9">
        <w:t xml:space="preserve"> </w:t>
      </w:r>
      <w:r w:rsidR="00DD25D9" w:rsidRPr="00DD25D9">
        <w:t>purposes to be served by the new rule.</w:t>
      </w:r>
      <w:r w:rsidR="00DD25D9">
        <w:t>’</w:t>
      </w:r>
      <w:r w:rsidR="00DD25D9" w:rsidRPr="00DD25D9">
        <w:t>”</w:t>
      </w:r>
      <w:r w:rsidR="00213B04">
        <w:t>”</w:t>
      </w:r>
      <w:r w:rsidR="00DD25D9">
        <w:t xml:space="preserve">  (</w:t>
      </w:r>
      <w:bookmarkStart w:id="183" w:name="dabmci_e068310ce7574f7eac7fac21683ffb7a"/>
      <w:r w:rsidR="00DD25D9" w:rsidRPr="00DD25D9">
        <w:rPr>
          <w:i/>
          <w:iCs/>
          <w:bdr w:val="none" w:sz="0" w:space="0" w:color="auto" w:frame="1"/>
        </w:rPr>
        <w:t>Claxton v. Waters</w:t>
      </w:r>
      <w:r w:rsidR="00DD25D9" w:rsidRPr="00DD25D9">
        <w:t xml:space="preserve"> (2004) 34 Cal.4th 367, 378</w:t>
      </w:r>
      <w:r w:rsidR="00DD25D9">
        <w:t>-</w:t>
      </w:r>
      <w:r w:rsidR="00DD25D9" w:rsidRPr="00DD25D9">
        <w:t>379</w:t>
      </w:r>
      <w:bookmarkEnd w:id="183"/>
      <w:r w:rsidR="00DD25D9">
        <w:t>.)  The medical center relies on the reasonableness of its reliance on the pre-</w:t>
      </w:r>
      <w:r w:rsidR="00DD25D9">
        <w:rPr>
          <w:i/>
          <w:iCs/>
        </w:rPr>
        <w:t>Camp</w:t>
      </w:r>
      <w:r w:rsidR="00DD25D9">
        <w:t xml:space="preserve"> authorities</w:t>
      </w:r>
      <w:r w:rsidR="00405B5B">
        <w:t xml:space="preserve"> but </w:t>
      </w:r>
      <w:r w:rsidR="00061BC8">
        <w:t>ignores</w:t>
      </w:r>
      <w:r w:rsidR="00405B5B">
        <w:t xml:space="preserve"> the other relevant factors.  The medical center thus fails to demonstrate that this case warrants an exception to the general rule of retroactivity. </w:t>
      </w:r>
    </w:p>
    <w:p w14:paraId="7E5B28EF" w14:textId="77777777" w:rsidR="00973AEC" w:rsidRPr="007C68F1" w:rsidRDefault="00D16B2E" w:rsidP="007D1009">
      <w:pPr>
        <w:spacing w:line="480" w:lineRule="auto"/>
        <w:ind w:firstLine="720"/>
        <w:rPr>
          <w:bdr w:val="none" w:sz="0" w:space="0" w:color="auto" w:frame="1"/>
        </w:rPr>
      </w:pPr>
      <w:r>
        <w:t xml:space="preserve">In sum, </w:t>
      </w:r>
      <w:r w:rsidR="00905DBB">
        <w:t xml:space="preserve">we agree with </w:t>
      </w:r>
      <w:r w:rsidR="00905DBB">
        <w:rPr>
          <w:i/>
          <w:iCs/>
        </w:rPr>
        <w:t>Camp</w:t>
      </w:r>
      <w:r w:rsidR="00905DBB">
        <w:t xml:space="preserve"> that if a</w:t>
      </w:r>
      <w:r w:rsidR="00905DBB" w:rsidRPr="00905DBB">
        <w:t xml:space="preserve">n employer </w:t>
      </w:r>
      <w:bookmarkStart w:id="184" w:name="dabmq_57"/>
      <w:r w:rsidR="00905DBB" w:rsidRPr="00905DBB">
        <w:t xml:space="preserve">“can capture and has captured the exact amount of time an employee has worked during a shift, the employer must pay the employee for </w:t>
      </w:r>
      <w:r w:rsidR="00905DBB">
        <w:t>‘</w:t>
      </w:r>
      <w:r w:rsidR="00905DBB" w:rsidRPr="00905DBB">
        <w:t>all the time</w:t>
      </w:r>
      <w:r w:rsidR="00905DBB">
        <w:t>’</w:t>
      </w:r>
      <w:r w:rsidR="00905DBB" w:rsidRPr="00905DBB">
        <w:t xml:space="preserve"> worked.</w:t>
      </w:r>
      <w:r w:rsidR="00905DBB">
        <w:t>”</w:t>
      </w:r>
      <w:bookmarkEnd w:id="184"/>
      <w:r w:rsidR="00905DBB">
        <w:t xml:space="preserve">  (</w:t>
      </w:r>
      <w:bookmarkStart w:id="185" w:name="dabmci_a9ec089c9fe143eb97123c972f08087a"/>
      <w:r w:rsidR="00905DBB" w:rsidRPr="00905DBB">
        <w:rPr>
          <w:i/>
          <w:iCs/>
          <w:bdr w:val="none" w:sz="0" w:space="0" w:color="auto" w:frame="1"/>
        </w:rPr>
        <w:t>Camp</w:t>
      </w:r>
      <w:r w:rsidR="00905DBB">
        <w:rPr>
          <w:bdr w:val="none" w:sz="0" w:space="0" w:color="auto" w:frame="1"/>
        </w:rPr>
        <w:t>,</w:t>
      </w:r>
      <w:r w:rsidR="00905DBB">
        <w:rPr>
          <w:i/>
          <w:iCs/>
          <w:bdr w:val="none" w:sz="0" w:space="0" w:color="auto" w:frame="1"/>
        </w:rPr>
        <w:t xml:space="preserve"> </w:t>
      </w:r>
      <w:r w:rsidR="00C15941">
        <w:rPr>
          <w:i/>
          <w:iCs/>
          <w:bdr w:val="none" w:sz="0" w:space="0" w:color="auto" w:frame="1"/>
        </w:rPr>
        <w:t xml:space="preserve">supra, </w:t>
      </w:r>
      <w:r w:rsidR="00905DBB" w:rsidRPr="00905DBB">
        <w:t xml:space="preserve">84 Cal.App.5th </w:t>
      </w:r>
      <w:r w:rsidR="00905DBB">
        <w:t>at p. 660</w:t>
      </w:r>
      <w:bookmarkEnd w:id="185"/>
      <w:r w:rsidR="00F8287F">
        <w:t>.</w:t>
      </w:r>
      <w:r w:rsidR="00905DBB">
        <w:t>)  The evidence in this case showed that</w:t>
      </w:r>
      <w:r w:rsidR="00721E62">
        <w:t xml:space="preserve"> under the rounding policy,</w:t>
      </w:r>
      <w:r w:rsidR="00905DBB">
        <w:t xml:space="preserve"> </w:t>
      </w:r>
      <w:r w:rsidR="00721E62">
        <w:t xml:space="preserve">(1) the medical center captured the exact </w:t>
      </w:r>
      <w:r w:rsidR="000B0761">
        <w:t>number of minutes</w:t>
      </w:r>
      <w:r w:rsidR="00721E62">
        <w:t xml:space="preserve"> employees worked, and (2) Woodworth and many </w:t>
      </w:r>
      <w:r w:rsidR="00721E62">
        <w:lastRenderedPageBreak/>
        <w:t xml:space="preserve">other employees were not paid for all time worked.  The </w:t>
      </w:r>
      <w:r>
        <w:t xml:space="preserve">medical center </w:t>
      </w:r>
      <w:r w:rsidR="00721E62">
        <w:t xml:space="preserve">therefore </w:t>
      </w:r>
      <w:r>
        <w:t>was not e</w:t>
      </w:r>
      <w:r>
        <w:t>ntitled to summary adjudication on Woodworth’s individual rounding claim or the PAGA rounding claim.</w:t>
      </w:r>
    </w:p>
    <w:p w14:paraId="0A3E4ACB" w14:textId="77777777" w:rsidR="00B10F31" w:rsidRPr="007C68F1" w:rsidRDefault="00D16B2E" w:rsidP="007D1009">
      <w:pPr>
        <w:keepNext/>
        <w:spacing w:line="480" w:lineRule="auto"/>
        <w:rPr>
          <w:i/>
          <w:iCs/>
          <w:bdr w:val="none" w:sz="0" w:space="0" w:color="auto" w:frame="1"/>
        </w:rPr>
      </w:pPr>
      <w:r w:rsidRPr="007C68F1">
        <w:rPr>
          <w:bdr w:val="none" w:sz="0" w:space="0" w:color="auto" w:frame="1"/>
        </w:rPr>
        <w:t>II</w:t>
      </w:r>
      <w:r w:rsidR="001C31ED" w:rsidRPr="007C68F1">
        <w:rPr>
          <w:bdr w:val="none" w:sz="0" w:space="0" w:color="auto" w:frame="1"/>
        </w:rPr>
        <w:t>I</w:t>
      </w:r>
      <w:r w:rsidRPr="007C68F1">
        <w:rPr>
          <w:bdr w:val="none" w:sz="0" w:space="0" w:color="auto" w:frame="1"/>
        </w:rPr>
        <w:t>.</w:t>
      </w:r>
      <w:r w:rsidR="001C31ED" w:rsidRPr="007C68F1">
        <w:rPr>
          <w:bdr w:val="none" w:sz="0" w:space="0" w:color="auto" w:frame="1"/>
        </w:rPr>
        <w:t xml:space="preserve">  </w:t>
      </w:r>
      <w:r w:rsidR="001C31ED" w:rsidRPr="007C68F1">
        <w:rPr>
          <w:i/>
          <w:iCs/>
          <w:bdr w:val="none" w:sz="0" w:space="0" w:color="auto" w:frame="1"/>
        </w:rPr>
        <w:t>Motion to Strike</w:t>
      </w:r>
      <w:r w:rsidR="00FD474B" w:rsidRPr="007C68F1">
        <w:rPr>
          <w:i/>
          <w:iCs/>
          <w:bdr w:val="none" w:sz="0" w:space="0" w:color="auto" w:frame="1"/>
        </w:rPr>
        <w:t xml:space="preserve"> the</w:t>
      </w:r>
      <w:r w:rsidR="001C31ED" w:rsidRPr="007C68F1">
        <w:rPr>
          <w:i/>
          <w:iCs/>
          <w:bdr w:val="none" w:sz="0" w:space="0" w:color="auto" w:frame="1"/>
        </w:rPr>
        <w:t xml:space="preserve"> Putative Class</w:t>
      </w:r>
      <w:r w:rsidR="00FD474B" w:rsidRPr="007C68F1">
        <w:rPr>
          <w:i/>
          <w:iCs/>
          <w:bdr w:val="none" w:sz="0" w:space="0" w:color="auto" w:frame="1"/>
        </w:rPr>
        <w:t xml:space="preserve"> Member</w:t>
      </w:r>
      <w:r w:rsidR="0009635F" w:rsidRPr="007C68F1">
        <w:rPr>
          <w:i/>
          <w:iCs/>
          <w:bdr w:val="none" w:sz="0" w:space="0" w:color="auto" w:frame="1"/>
        </w:rPr>
        <w:t>s’</w:t>
      </w:r>
      <w:r w:rsidR="001C31ED" w:rsidRPr="007C68F1">
        <w:rPr>
          <w:i/>
          <w:iCs/>
          <w:bdr w:val="none" w:sz="0" w:space="0" w:color="auto" w:frame="1"/>
        </w:rPr>
        <w:t xml:space="preserve"> Declarations</w:t>
      </w:r>
    </w:p>
    <w:p w14:paraId="12C80BDD" w14:textId="77777777" w:rsidR="00FD474B" w:rsidRPr="007C68F1" w:rsidRDefault="00D16B2E" w:rsidP="007D1009">
      <w:pPr>
        <w:spacing w:line="480" w:lineRule="auto"/>
        <w:rPr>
          <w:bdr w:val="none" w:sz="0" w:space="0" w:color="auto" w:frame="1"/>
        </w:rPr>
      </w:pPr>
      <w:r w:rsidRPr="007C68F1">
        <w:rPr>
          <w:bdr w:val="none" w:sz="0" w:space="0" w:color="auto" w:frame="1"/>
        </w:rPr>
        <w:tab/>
        <w:t xml:space="preserve">Woodworth contends that the court </w:t>
      </w:r>
      <w:r w:rsidR="00D76A64" w:rsidRPr="007C68F1">
        <w:rPr>
          <w:bdr w:val="none" w:sz="0" w:space="0" w:color="auto" w:frame="1"/>
        </w:rPr>
        <w:t>erred</w:t>
      </w:r>
      <w:r w:rsidRPr="007C68F1">
        <w:rPr>
          <w:bdr w:val="none" w:sz="0" w:space="0" w:color="auto" w:frame="1"/>
        </w:rPr>
        <w:t xml:space="preserve"> by denying her motion to strike </w:t>
      </w:r>
      <w:r w:rsidR="00407197" w:rsidRPr="007C68F1">
        <w:rPr>
          <w:bdr w:val="none" w:sz="0" w:space="0" w:color="auto" w:frame="1"/>
        </w:rPr>
        <w:t xml:space="preserve">the </w:t>
      </w:r>
      <w:r w:rsidRPr="007C68F1">
        <w:rPr>
          <w:bdr w:val="none" w:sz="0" w:space="0" w:color="auto" w:frame="1"/>
        </w:rPr>
        <w:t>putative class</w:t>
      </w:r>
      <w:r w:rsidRPr="007C68F1">
        <w:rPr>
          <w:bdr w:val="none" w:sz="0" w:space="0" w:color="auto" w:frame="1"/>
        </w:rPr>
        <w:t xml:space="preserve"> member</w:t>
      </w:r>
      <w:r w:rsidR="0009635F" w:rsidRPr="007C68F1">
        <w:rPr>
          <w:bdr w:val="none" w:sz="0" w:space="0" w:color="auto" w:frame="1"/>
        </w:rPr>
        <w:t>s’</w:t>
      </w:r>
      <w:r w:rsidRPr="007C68F1">
        <w:rPr>
          <w:bdr w:val="none" w:sz="0" w:space="0" w:color="auto" w:frame="1"/>
        </w:rPr>
        <w:t xml:space="preserve"> declarations.</w:t>
      </w:r>
      <w:r w:rsidR="00842C55" w:rsidRPr="007C68F1">
        <w:rPr>
          <w:bdr w:val="none" w:sz="0" w:space="0" w:color="auto" w:frame="1"/>
        </w:rPr>
        <w:t xml:space="preserve">  She </w:t>
      </w:r>
      <w:r w:rsidR="00407197" w:rsidRPr="007C68F1">
        <w:rPr>
          <w:bdr w:val="none" w:sz="0" w:space="0" w:color="auto" w:frame="1"/>
        </w:rPr>
        <w:t>argues</w:t>
      </w:r>
      <w:r w:rsidR="00842C55" w:rsidRPr="007C68F1">
        <w:rPr>
          <w:bdr w:val="none" w:sz="0" w:space="0" w:color="auto" w:frame="1"/>
        </w:rPr>
        <w:t xml:space="preserve"> that the court abused its discretion because she presented evidence that the medical center’s counsel </w:t>
      </w:r>
      <w:r w:rsidR="0090302C" w:rsidRPr="007C68F1">
        <w:rPr>
          <w:bdr w:val="none" w:sz="0" w:space="0" w:color="auto" w:frame="1"/>
        </w:rPr>
        <w:t>behaved</w:t>
      </w:r>
      <w:r w:rsidR="00407197" w:rsidRPr="007C68F1">
        <w:rPr>
          <w:bdr w:val="none" w:sz="0" w:space="0" w:color="auto" w:frame="1"/>
        </w:rPr>
        <w:t xml:space="preserve"> in</w:t>
      </w:r>
      <w:r w:rsidR="0090302C" w:rsidRPr="007C68F1">
        <w:rPr>
          <w:bdr w:val="none" w:sz="0" w:space="0" w:color="auto" w:frame="1"/>
        </w:rPr>
        <w:t xml:space="preserve"> a</w:t>
      </w:r>
      <w:r w:rsidR="00407197" w:rsidRPr="007C68F1">
        <w:rPr>
          <w:bdr w:val="none" w:sz="0" w:space="0" w:color="auto" w:frame="1"/>
        </w:rPr>
        <w:t xml:space="preserve"> </w:t>
      </w:r>
      <w:r w:rsidR="00842C55" w:rsidRPr="007C68F1">
        <w:rPr>
          <w:bdr w:val="none" w:sz="0" w:space="0" w:color="auto" w:frame="1"/>
        </w:rPr>
        <w:t xml:space="preserve">deceptive and coercive </w:t>
      </w:r>
      <w:r w:rsidR="00407197" w:rsidRPr="007C68F1">
        <w:rPr>
          <w:bdr w:val="none" w:sz="0" w:space="0" w:color="auto" w:frame="1"/>
        </w:rPr>
        <w:t>manner</w:t>
      </w:r>
      <w:r w:rsidR="00842C55" w:rsidRPr="007C68F1">
        <w:rPr>
          <w:bdr w:val="none" w:sz="0" w:space="0" w:color="auto" w:frame="1"/>
        </w:rPr>
        <w:t xml:space="preserve"> with respect to the declarants.  We </w:t>
      </w:r>
      <w:r w:rsidR="002460EB" w:rsidRPr="007C68F1">
        <w:rPr>
          <w:bdr w:val="none" w:sz="0" w:space="0" w:color="auto" w:frame="1"/>
        </w:rPr>
        <w:t>conclude that Woodworth has not shown an abuse of discretion</w:t>
      </w:r>
      <w:r w:rsidR="00842C55" w:rsidRPr="007C68F1">
        <w:rPr>
          <w:bdr w:val="none" w:sz="0" w:space="0" w:color="auto" w:frame="1"/>
        </w:rPr>
        <w:t>.</w:t>
      </w:r>
    </w:p>
    <w:p w14:paraId="1F7BE704" w14:textId="77777777" w:rsidR="003123D1" w:rsidRPr="008A24E2" w:rsidRDefault="00D16B2E" w:rsidP="007D1009">
      <w:pPr>
        <w:keepNext/>
        <w:spacing w:line="480" w:lineRule="auto"/>
        <w:rPr>
          <w:bdr w:val="none" w:sz="0" w:space="0" w:color="auto" w:frame="1"/>
        </w:rPr>
      </w:pPr>
      <w:r w:rsidRPr="00C23AF9">
        <w:rPr>
          <w:bdr w:val="none" w:sz="0" w:space="0" w:color="auto" w:frame="1"/>
        </w:rPr>
        <w:tab/>
        <w:t xml:space="preserve">A.  </w:t>
      </w:r>
      <w:r w:rsidRPr="008A24E2">
        <w:rPr>
          <w:i/>
          <w:iCs/>
          <w:bdr w:val="none" w:sz="0" w:space="0" w:color="auto" w:frame="1"/>
        </w:rPr>
        <w:t>Relevant Background</w:t>
      </w:r>
    </w:p>
    <w:p w14:paraId="6F5A5419" w14:textId="77777777" w:rsidR="00B3121B" w:rsidRPr="007C68F1" w:rsidRDefault="00D16B2E" w:rsidP="007D1009">
      <w:pPr>
        <w:spacing w:line="480" w:lineRule="auto"/>
        <w:ind w:firstLine="720"/>
      </w:pPr>
      <w:r w:rsidRPr="007C68F1">
        <w:rPr>
          <w:bdr w:val="none" w:sz="0" w:space="0" w:color="auto" w:frame="1"/>
        </w:rPr>
        <w:t>Woodworth moved to certify five classes of current and former medical center employees.  The medical center offered 43 putative class member declarations in support of its opposition.</w:t>
      </w:r>
      <w:r w:rsidRPr="007C68F1">
        <w:t xml:space="preserve">  </w:t>
      </w:r>
      <w:r w:rsidR="0034361A" w:rsidRPr="007C68F1">
        <w:t>All</w:t>
      </w:r>
      <w:r w:rsidRPr="007C68F1">
        <w:t xml:space="preserve"> 43 declarant</w:t>
      </w:r>
      <w:r w:rsidRPr="007C68F1">
        <w:t>s were current employees of the medical center.</w:t>
      </w:r>
    </w:p>
    <w:p w14:paraId="77594681" w14:textId="77777777" w:rsidR="00D87EB6" w:rsidRPr="007C68F1" w:rsidRDefault="00D16B2E" w:rsidP="007D1009">
      <w:pPr>
        <w:spacing w:line="480" w:lineRule="auto"/>
        <w:ind w:firstLine="720"/>
      </w:pPr>
      <w:r w:rsidRPr="007C68F1">
        <w:t xml:space="preserve">The declarations all </w:t>
      </w:r>
      <w:r w:rsidR="006E46B8" w:rsidRPr="007C68F1">
        <w:t xml:space="preserve">stated that the declarant understood a former employee had </w:t>
      </w:r>
      <w:bookmarkStart w:id="186" w:name="dabmq_58"/>
      <w:r w:rsidR="006E46B8" w:rsidRPr="007C68F1">
        <w:t>“</w:t>
      </w:r>
      <w:r w:rsidRPr="007C68F1">
        <w:t>filed a proposed class action lawsuit which alleges that she and other hourly employees were denied rest breaks, not paid all w</w:t>
      </w:r>
      <w:r w:rsidRPr="007C68F1">
        <w:t>ages owed due to an invalid [AWS] and failing to include certain bonuses in calculating overtime, and provided with inaccurate paystubs.”</w:t>
      </w:r>
      <w:bookmarkEnd w:id="186"/>
    </w:p>
    <w:p w14:paraId="36F2B3C8" w14:textId="77777777" w:rsidR="00E05193" w:rsidRPr="007C68F1" w:rsidRDefault="00D16B2E" w:rsidP="007D1009">
      <w:pPr>
        <w:spacing w:line="480" w:lineRule="auto"/>
        <w:ind w:firstLine="720"/>
      </w:pPr>
      <w:r w:rsidRPr="007C68F1">
        <w:t xml:space="preserve">The final </w:t>
      </w:r>
      <w:r w:rsidR="007B4D0D" w:rsidRPr="007C68F1">
        <w:t xml:space="preserve">numbered </w:t>
      </w:r>
      <w:r w:rsidRPr="007C68F1">
        <w:t xml:space="preserve">paragraph of </w:t>
      </w:r>
      <w:r w:rsidR="0034361A" w:rsidRPr="007C68F1">
        <w:t>42</w:t>
      </w:r>
      <w:r w:rsidRPr="007C68F1">
        <w:t xml:space="preserve"> of the declarations stated</w:t>
      </w:r>
      <w:r w:rsidR="00F423AD" w:rsidRPr="007C68F1">
        <w:t xml:space="preserve">: </w:t>
      </w:r>
      <w:r w:rsidR="001457A4" w:rsidRPr="007C68F1">
        <w:t xml:space="preserve"> </w:t>
      </w:r>
      <w:bookmarkStart w:id="187" w:name="dabmq_59"/>
      <w:r w:rsidR="00F423AD" w:rsidRPr="007C68F1">
        <w:t xml:space="preserve">“The statements in this declaration are voluntary and I understand that I do not have any obligation to sign this declaration.  I understand that whether I choose to do so or not will not affect my employment status in any way.  I have not been pressured or promised anything in connection with this declaration, nor have I been coerced to provide this declaration.  I </w:t>
      </w:r>
      <w:r w:rsidR="00F423AD" w:rsidRPr="007C68F1">
        <w:lastRenderedPageBreak/>
        <w:t xml:space="preserve">have had the opportunity to review the contents of this declaration and make any changes I believe are necessary to ensure that it is accurate.  I understand that this declaration may be used in the proposed class action case entitled </w:t>
      </w:r>
      <w:r w:rsidR="00F423AD" w:rsidRPr="007C68F1">
        <w:rPr>
          <w:i/>
          <w:iCs/>
        </w:rPr>
        <w:t>Woodworth v. Loma Linda University Medical Center</w:t>
      </w:r>
      <w:r w:rsidR="00F423AD" w:rsidRPr="007C68F1">
        <w:t xml:space="preserve">.  I have also been advised that I could potentially be a member of such a class action if the Plaintiff is successful, and that my statement and this declaration could affect whether this matter is certified as a class action and my potential recovery from such a lawsuit, if any.  I understand that the attorney who discussed this testimony with me is the [medical center’s] attorney and that the </w:t>
      </w:r>
      <w:r w:rsidR="00DD345F" w:rsidRPr="007C68F1">
        <w:t>[</w:t>
      </w:r>
      <w:r w:rsidR="00F423AD" w:rsidRPr="007C68F1">
        <w:t>medical center</w:t>
      </w:r>
      <w:r w:rsidR="00DD345F" w:rsidRPr="007C68F1">
        <w:t>] does not represent me or the individual who brought this lawsuit.  Finally, I know that if I ever become a participant in the lawsuit, my interests will be opposed to [the medical center’s] interests.”</w:t>
      </w:r>
      <w:bookmarkEnd w:id="187"/>
      <w:r w:rsidR="00151AAA" w:rsidRPr="007C68F1">
        <w:t xml:space="preserve">  The </w:t>
      </w:r>
      <w:r w:rsidR="0034361A" w:rsidRPr="007C68F1">
        <w:t>43</w:t>
      </w:r>
      <w:r w:rsidR="00151AAA" w:rsidRPr="007C68F1">
        <w:t>rd declaration contained the same</w:t>
      </w:r>
      <w:r w:rsidRPr="007C68F1">
        <w:t xml:space="preserve"> final</w:t>
      </w:r>
      <w:r w:rsidR="00151AAA" w:rsidRPr="007C68F1">
        <w:t xml:space="preserve"> </w:t>
      </w:r>
      <w:r w:rsidR="00817794" w:rsidRPr="007C68F1">
        <w:t xml:space="preserve">numbered </w:t>
      </w:r>
      <w:r w:rsidR="00151AAA" w:rsidRPr="007C68F1">
        <w:t>paragraph</w:t>
      </w:r>
      <w:r w:rsidR="001457A4" w:rsidRPr="007C68F1">
        <w:t xml:space="preserve"> with one</w:t>
      </w:r>
      <w:r w:rsidR="00A87099" w:rsidRPr="007C68F1">
        <w:t xml:space="preserve"> minor</w:t>
      </w:r>
      <w:r w:rsidR="001457A4" w:rsidRPr="007C68F1">
        <w:t xml:space="preserve"> change—t</w:t>
      </w:r>
      <w:r w:rsidR="00151AAA" w:rsidRPr="007C68F1">
        <w:t>he declarant</w:t>
      </w:r>
      <w:r w:rsidR="00757B3B" w:rsidRPr="007C68F1">
        <w:t xml:space="preserve"> </w:t>
      </w:r>
      <w:r w:rsidR="00151AAA" w:rsidRPr="007C68F1">
        <w:t xml:space="preserve">crossed out “coerced” and handwrote “forced” in its place. </w:t>
      </w:r>
    </w:p>
    <w:p w14:paraId="17E7CF4F" w14:textId="77777777" w:rsidR="00561C0D" w:rsidRPr="007C68F1" w:rsidRDefault="00D16B2E" w:rsidP="007D1009">
      <w:pPr>
        <w:spacing w:line="480" w:lineRule="auto"/>
        <w:ind w:firstLine="720"/>
      </w:pPr>
      <w:r w:rsidRPr="007C68F1">
        <w:t>Woodworth moved to strike all of the putative class member</w:t>
      </w:r>
      <w:r w:rsidR="0009635F" w:rsidRPr="007C68F1">
        <w:t>s’</w:t>
      </w:r>
      <w:r w:rsidRPr="007C68F1">
        <w:t xml:space="preserve"> declarations, arguing that the medical center misled the declarants about the nature of the lawsuit</w:t>
      </w:r>
      <w:r w:rsidR="00FD2275" w:rsidRPr="007C68F1">
        <w:t xml:space="preserve"> and</w:t>
      </w:r>
      <w:r w:rsidR="00C7301E" w:rsidRPr="007C68F1">
        <w:t xml:space="preserve"> </w:t>
      </w:r>
      <w:r w:rsidR="00FB5D59" w:rsidRPr="007C68F1">
        <w:t>obtained</w:t>
      </w:r>
      <w:r w:rsidRPr="007C68F1">
        <w:t xml:space="preserve"> statements against </w:t>
      </w:r>
      <w:r w:rsidR="00FB5D59" w:rsidRPr="007C68F1">
        <w:t>the declarants’ i</w:t>
      </w:r>
      <w:r w:rsidRPr="007C68F1">
        <w:t>nterest</w:t>
      </w:r>
      <w:r w:rsidR="00FB5D59" w:rsidRPr="007C68F1">
        <w:t>s</w:t>
      </w:r>
      <w:r w:rsidR="00FD2275" w:rsidRPr="007C68F1">
        <w:t xml:space="preserve"> in a coercive setting</w:t>
      </w:r>
      <w:r w:rsidR="00450E9F" w:rsidRPr="007C68F1">
        <w:t>.</w:t>
      </w:r>
      <w:r w:rsidR="002E6A1A" w:rsidRPr="007C68F1">
        <w:t xml:space="preserve"> </w:t>
      </w:r>
      <w:r w:rsidR="00450E9F" w:rsidRPr="007C68F1">
        <w:t xml:space="preserve"> </w:t>
      </w:r>
      <w:r w:rsidR="002E6A1A" w:rsidRPr="007C68F1">
        <w:t xml:space="preserve">She also argued that the </w:t>
      </w:r>
      <w:r w:rsidR="000E06BB" w:rsidRPr="007C68F1">
        <w:t>defense</w:t>
      </w:r>
      <w:r w:rsidR="002E6A1A" w:rsidRPr="007C68F1">
        <w:t xml:space="preserve"> counsel had violated </w:t>
      </w:r>
      <w:r w:rsidR="000E06BB" w:rsidRPr="007C68F1">
        <w:t xml:space="preserve">the </w:t>
      </w:r>
      <w:r w:rsidR="002E6A1A" w:rsidRPr="007C68F1">
        <w:t>California Rule of Professional Conduct</w:t>
      </w:r>
      <w:r w:rsidR="000E06BB" w:rsidRPr="007C68F1">
        <w:t xml:space="preserve"> governing</w:t>
      </w:r>
      <w:r w:rsidR="0063644C" w:rsidRPr="007C68F1">
        <w:t xml:space="preserve"> communications between an organization’s lawyer and the organization’s constituents</w:t>
      </w:r>
      <w:r w:rsidR="002E6A1A" w:rsidRPr="007C68F1">
        <w:t>.</w:t>
      </w:r>
    </w:p>
    <w:p w14:paraId="3308C066" w14:textId="77777777" w:rsidR="00401FCB" w:rsidRPr="007C68F1" w:rsidRDefault="00D16B2E" w:rsidP="007D1009">
      <w:pPr>
        <w:spacing w:line="480" w:lineRule="auto"/>
        <w:ind w:firstLine="720"/>
      </w:pPr>
      <w:r w:rsidRPr="007C68F1">
        <w:t>A</w:t>
      </w:r>
      <w:r w:rsidR="00693B9F" w:rsidRPr="007C68F1">
        <w:t xml:space="preserve"> few days after Woodworth moved to strike the declarations, she also filed an ex parte application seeking to disqualify defense counsel or</w:t>
      </w:r>
      <w:r w:rsidR="0051408A" w:rsidRPr="007C68F1">
        <w:t>, in the alternative,</w:t>
      </w:r>
      <w:r w:rsidR="00693B9F" w:rsidRPr="007C68F1">
        <w:t xml:space="preserve"> </w:t>
      </w:r>
      <w:r w:rsidR="0034361A" w:rsidRPr="007C68F1">
        <w:t xml:space="preserve">to </w:t>
      </w:r>
      <w:r w:rsidR="00693B9F" w:rsidRPr="007C68F1">
        <w:t>limit counsel’s communications with putative class members.</w:t>
      </w:r>
      <w:r w:rsidR="001E7762" w:rsidRPr="007C68F1">
        <w:t xml:space="preserve">  Like the motion to strike, the ex parte application argued that defense counsel’s communications with the putative class </w:t>
      </w:r>
      <w:r w:rsidR="001E7762" w:rsidRPr="007C68F1">
        <w:lastRenderedPageBreak/>
        <w:t>members were misleading and coercive, and the ex parte application also requested that the court strike the declarations.</w:t>
      </w:r>
      <w:r w:rsidR="00652649" w:rsidRPr="007C68F1">
        <w:t xml:space="preserve">  </w:t>
      </w:r>
      <w:r w:rsidR="007336BB" w:rsidRPr="007C68F1">
        <w:t xml:space="preserve">The court </w:t>
      </w:r>
      <w:r w:rsidR="00652649" w:rsidRPr="007C68F1">
        <w:t>ordered</w:t>
      </w:r>
      <w:r w:rsidR="007336BB" w:rsidRPr="007C68F1">
        <w:t xml:space="preserve"> </w:t>
      </w:r>
      <w:r w:rsidR="00652649" w:rsidRPr="007C68F1">
        <w:t>the ex parte application</w:t>
      </w:r>
      <w:r w:rsidR="007336BB" w:rsidRPr="007C68F1">
        <w:t xml:space="preserve"> to proceed as a notice</w:t>
      </w:r>
      <w:r w:rsidR="00652649" w:rsidRPr="007C68F1">
        <w:t>d</w:t>
      </w:r>
      <w:r w:rsidR="007336BB" w:rsidRPr="007C68F1">
        <w:t xml:space="preserve"> motion</w:t>
      </w:r>
      <w:r w:rsidR="00652649" w:rsidRPr="007C68F1">
        <w:t>, giving the parties time to file opposition and reply briefs.</w:t>
      </w:r>
      <w:r w:rsidR="005A4DAB" w:rsidRPr="007C68F1">
        <w:t xml:space="preserve"> </w:t>
      </w:r>
    </w:p>
    <w:p w14:paraId="71C9D375" w14:textId="77777777" w:rsidR="008F7E54" w:rsidRPr="007C68F1" w:rsidRDefault="00D16B2E" w:rsidP="007D1009">
      <w:pPr>
        <w:keepNext/>
        <w:spacing w:line="480" w:lineRule="auto"/>
        <w:ind w:left="720" w:firstLine="720"/>
      </w:pPr>
      <w:r w:rsidRPr="007C68F1">
        <w:t xml:space="preserve">1.  </w:t>
      </w:r>
      <w:r w:rsidRPr="008A24E2">
        <w:rPr>
          <w:i/>
          <w:iCs/>
        </w:rPr>
        <w:t>The Declarants’ Deposition Testimony</w:t>
      </w:r>
    </w:p>
    <w:p w14:paraId="66C21781" w14:textId="77777777" w:rsidR="002266E4" w:rsidRPr="007C68F1" w:rsidRDefault="00D16B2E" w:rsidP="007D1009">
      <w:pPr>
        <w:spacing w:line="480" w:lineRule="auto"/>
        <w:ind w:firstLine="720"/>
      </w:pPr>
      <w:r w:rsidRPr="007C68F1">
        <w:t xml:space="preserve">Woodworth based her motion </w:t>
      </w:r>
      <w:r w:rsidR="0051408A" w:rsidRPr="007C68F1">
        <w:t xml:space="preserve">to strike and ex parte application </w:t>
      </w:r>
      <w:r w:rsidRPr="007C68F1">
        <w:t xml:space="preserve">largely on the deposition </w:t>
      </w:r>
      <w:r w:rsidRPr="007C68F1">
        <w:t xml:space="preserve">testimony of </w:t>
      </w:r>
      <w:r w:rsidR="0034361A" w:rsidRPr="007C68F1">
        <w:t>10</w:t>
      </w:r>
      <w:r w:rsidR="00470C94" w:rsidRPr="007C68F1">
        <w:t xml:space="preserve"> </w:t>
      </w:r>
      <w:r w:rsidRPr="007C68F1">
        <w:t>declarants</w:t>
      </w:r>
      <w:r w:rsidR="00470C94" w:rsidRPr="007C68F1">
        <w:t xml:space="preserve">. </w:t>
      </w:r>
      <w:r w:rsidR="009E310A" w:rsidRPr="007C68F1">
        <w:t xml:space="preserve"> She randomly selected the </w:t>
      </w:r>
      <w:r w:rsidR="0034361A" w:rsidRPr="007C68F1">
        <w:t xml:space="preserve">10 </w:t>
      </w:r>
      <w:r w:rsidR="007B7712" w:rsidRPr="007C68F1">
        <w:t>deponents</w:t>
      </w:r>
      <w:r w:rsidR="009E310A" w:rsidRPr="007C68F1">
        <w:t xml:space="preserve"> from the group of 43</w:t>
      </w:r>
      <w:r w:rsidR="00247AD5" w:rsidRPr="007C68F1">
        <w:t xml:space="preserve"> </w:t>
      </w:r>
      <w:r w:rsidR="007B7712" w:rsidRPr="007C68F1">
        <w:t>declarants</w:t>
      </w:r>
      <w:r w:rsidR="009E310A" w:rsidRPr="007C68F1">
        <w:t>.  In the medical center’s opposition</w:t>
      </w:r>
      <w:r w:rsidR="0072040E" w:rsidRPr="007C68F1">
        <w:t xml:space="preserve"> briefs</w:t>
      </w:r>
      <w:r w:rsidR="009E310A" w:rsidRPr="007C68F1">
        <w:t xml:space="preserve">, it </w:t>
      </w:r>
      <w:r w:rsidR="00247AD5" w:rsidRPr="007C68F1">
        <w:t xml:space="preserve">also </w:t>
      </w:r>
      <w:r w:rsidR="009E310A" w:rsidRPr="007C68F1">
        <w:t xml:space="preserve">relied </w:t>
      </w:r>
      <w:r w:rsidR="0072040E" w:rsidRPr="007C68F1">
        <w:t xml:space="preserve">on </w:t>
      </w:r>
      <w:r w:rsidR="009E310A" w:rsidRPr="007C68F1">
        <w:t>portions of the deposition testimony</w:t>
      </w:r>
      <w:r w:rsidR="00247AD5" w:rsidRPr="007C68F1">
        <w:t xml:space="preserve">.  We summarize </w:t>
      </w:r>
      <w:r w:rsidR="00D81176" w:rsidRPr="007C68F1">
        <w:t>relevant deposition testimony in the following paragraphs.</w:t>
      </w:r>
    </w:p>
    <w:p w14:paraId="3F0C8E33" w14:textId="77777777" w:rsidR="00E64507" w:rsidRPr="007C68F1" w:rsidRDefault="00D16B2E" w:rsidP="007D1009">
      <w:pPr>
        <w:spacing w:line="480" w:lineRule="auto"/>
        <w:ind w:firstLine="720"/>
      </w:pPr>
      <w:r w:rsidRPr="007C68F1">
        <w:rPr>
          <w:u w:val="single"/>
        </w:rPr>
        <w:t>Maricela Baca</w:t>
      </w:r>
      <w:r w:rsidRPr="007C68F1">
        <w:t xml:space="preserve">:  </w:t>
      </w:r>
      <w:r w:rsidR="00B873B3" w:rsidRPr="007C68F1">
        <w:t>Baca</w:t>
      </w:r>
      <w:r w:rsidR="00C52244" w:rsidRPr="007C68F1">
        <w:t>’s director told her that the director had to choose two people from the department for an interview with the medical center’s lawyers regarding breaks.  The director said that someone was going to cover for Baca so that the lawyers could interview her.</w:t>
      </w:r>
      <w:r w:rsidR="00140D43" w:rsidRPr="007C68F1">
        <w:t xml:space="preserve">  T</w:t>
      </w:r>
      <w:r w:rsidRPr="007C68F1">
        <w:t>he medical center’s lawyers</w:t>
      </w:r>
      <w:r w:rsidR="00E13BCC" w:rsidRPr="007C68F1">
        <w:t xml:space="preserve"> told her about this case, but not “down to de</w:t>
      </w:r>
      <w:r w:rsidRPr="007C68F1">
        <w:t>t</w:t>
      </w:r>
      <w:r w:rsidR="00E13BCC" w:rsidRPr="007C68F1">
        <w:t xml:space="preserve">ail.”  They “mainly” told her that a former employee (a nurse) was suing </w:t>
      </w:r>
      <w:r w:rsidR="007F1231" w:rsidRPr="007C68F1">
        <w:t xml:space="preserve">the medical center </w:t>
      </w:r>
      <w:bookmarkStart w:id="188" w:name="dabmq_60"/>
      <w:r w:rsidR="007F1231" w:rsidRPr="007C68F1">
        <w:t xml:space="preserve">“over breaks and </w:t>
      </w:r>
      <w:r w:rsidR="00D90AB8" w:rsidRPr="007C68F1">
        <w:t xml:space="preserve">the </w:t>
      </w:r>
      <w:r w:rsidR="007F1231" w:rsidRPr="007C68F1">
        <w:t>three 12s.”</w:t>
      </w:r>
      <w:bookmarkEnd w:id="188"/>
      <w:r w:rsidR="007F1231" w:rsidRPr="007C68F1">
        <w:t xml:space="preserve">  </w:t>
      </w:r>
      <w:r w:rsidR="000A5273" w:rsidRPr="007C68F1">
        <w:t xml:space="preserve">Baca did not know </w:t>
      </w:r>
      <w:r w:rsidRPr="007C68F1">
        <w:t>that Woodworth was alleging the medical center should have included Christmas bonuses when calculating the overt</w:t>
      </w:r>
      <w:r w:rsidRPr="007C68F1">
        <w:t>ime rate.</w:t>
      </w:r>
      <w:r w:rsidR="0045098D" w:rsidRPr="007C68F1">
        <w:t xml:space="preserve">  She discussed her pay stub with the medical center’s lawyers, and she told them that she understood it.  </w:t>
      </w:r>
      <w:r w:rsidR="00106ADD" w:rsidRPr="007C68F1">
        <w:t>No one</w:t>
      </w:r>
      <w:r w:rsidR="0045098D" w:rsidRPr="007C68F1">
        <w:t xml:space="preserve"> explain</w:t>
      </w:r>
      <w:r w:rsidR="00106ADD" w:rsidRPr="007C68F1">
        <w:t>ed</w:t>
      </w:r>
      <w:r w:rsidR="0045098D" w:rsidRPr="007C68F1">
        <w:t xml:space="preserve"> to her that Woodworth was claiming an employee should be able to look at his or her pay stub </w:t>
      </w:r>
      <w:r w:rsidR="007B1930" w:rsidRPr="007C68F1">
        <w:t>and see ‘</w:t>
      </w:r>
      <w:bookmarkStart w:id="189" w:name="dabmq_61"/>
      <w:r w:rsidR="007B1930" w:rsidRPr="007C68F1">
        <w:t>“t</w:t>
      </w:r>
      <w:r w:rsidR="0045098D" w:rsidRPr="007C68F1">
        <w:t>he total number of hour</w:t>
      </w:r>
      <w:r w:rsidR="007B1930" w:rsidRPr="007C68F1">
        <w:t>s</w:t>
      </w:r>
      <w:r w:rsidR="0045098D" w:rsidRPr="007C68F1">
        <w:t>’”</w:t>
      </w:r>
      <w:bookmarkEnd w:id="189"/>
      <w:r w:rsidR="007B1930" w:rsidRPr="007C68F1">
        <w:t xml:space="preserve"> worked.</w:t>
      </w:r>
      <w:r w:rsidR="0045098D" w:rsidRPr="007C68F1">
        <w:t xml:space="preserve"> </w:t>
      </w:r>
    </w:p>
    <w:p w14:paraId="5FB8084D" w14:textId="77777777" w:rsidR="00464625" w:rsidRPr="007C68F1" w:rsidRDefault="00D16B2E" w:rsidP="007D1009">
      <w:pPr>
        <w:spacing w:line="480" w:lineRule="auto"/>
        <w:ind w:firstLine="720"/>
      </w:pPr>
      <w:r w:rsidRPr="007C68F1">
        <w:t>Baca did not know</w:t>
      </w:r>
      <w:r w:rsidR="00650537" w:rsidRPr="007C68F1">
        <w:t xml:space="preserve"> that Woodworth </w:t>
      </w:r>
      <w:r w:rsidR="007B1930" w:rsidRPr="007C68F1">
        <w:t xml:space="preserve">had </w:t>
      </w:r>
      <w:r w:rsidR="00650537" w:rsidRPr="007C68F1">
        <w:t>filed this lawsuit on behalf of the state, and</w:t>
      </w:r>
      <w:r w:rsidRPr="007C68F1">
        <w:t xml:space="preserve"> she did not know</w:t>
      </w:r>
      <w:r w:rsidR="00650537" w:rsidRPr="007C68F1">
        <w:t xml:space="preserve"> that Woodworth was seeking penalties for the state on behalf of the </w:t>
      </w:r>
      <w:r w:rsidR="00650537" w:rsidRPr="007C68F1">
        <w:lastRenderedPageBreak/>
        <w:t xml:space="preserve">medical center employees.  </w:t>
      </w:r>
      <w:r w:rsidRPr="007C68F1">
        <w:t>No one told her that she</w:t>
      </w:r>
      <w:r w:rsidR="00650537" w:rsidRPr="007C68F1">
        <w:t xml:space="preserve"> would be considered an aggrieved employee under PAGA, and </w:t>
      </w:r>
      <w:r w:rsidRPr="007C68F1">
        <w:t>no one told her</w:t>
      </w:r>
      <w:r w:rsidR="00650537" w:rsidRPr="007C68F1">
        <w:t xml:space="preserve"> that she might be a class member in this case.  </w:t>
      </w:r>
      <w:r w:rsidR="002011C4" w:rsidRPr="007C68F1">
        <w:t>No one explained to her that</w:t>
      </w:r>
      <w:r w:rsidR="00650537" w:rsidRPr="007C68F1">
        <w:t xml:space="preserve"> the plaintiff’s attorney was “on [her] side” and </w:t>
      </w:r>
      <w:bookmarkStart w:id="190" w:name="dabmq_62"/>
      <w:r w:rsidR="00650537" w:rsidRPr="007C68F1">
        <w:t>“want[ed] the employees to be paid properly.”</w:t>
      </w:r>
      <w:bookmarkEnd w:id="190"/>
      <w:r w:rsidR="00B646C3" w:rsidRPr="007C68F1">
        <w:t xml:space="preserve">  </w:t>
      </w:r>
    </w:p>
    <w:p w14:paraId="322360A5" w14:textId="77777777" w:rsidR="009C7756" w:rsidRPr="007C68F1" w:rsidRDefault="00D16B2E" w:rsidP="007D1009">
      <w:pPr>
        <w:spacing w:line="480" w:lineRule="auto"/>
        <w:ind w:firstLine="720"/>
      </w:pPr>
      <w:r w:rsidRPr="007C68F1">
        <w:t>Baca did not remember if a</w:t>
      </w:r>
      <w:r w:rsidRPr="007C68F1">
        <w:t xml:space="preserve">nyone told her that her declaration would be filed in court.  The medical center’s lawyers </w:t>
      </w:r>
      <w:r w:rsidR="00B646C3" w:rsidRPr="007C68F1">
        <w:t xml:space="preserve">did not say </w:t>
      </w:r>
      <w:r w:rsidR="005751C8" w:rsidRPr="007C68F1">
        <w:t>whether</w:t>
      </w:r>
      <w:r w:rsidRPr="007C68F1">
        <w:t xml:space="preserve"> </w:t>
      </w:r>
      <w:r w:rsidR="00B646C3" w:rsidRPr="007C68F1">
        <w:t xml:space="preserve">they were going to do </w:t>
      </w:r>
      <w:r w:rsidRPr="007C68F1">
        <w:t xml:space="preserve">anything </w:t>
      </w:r>
      <w:r w:rsidR="00B646C3" w:rsidRPr="007C68F1">
        <w:t>with the declaration</w:t>
      </w:r>
      <w:r w:rsidRPr="007C68F1">
        <w:t>.</w:t>
      </w:r>
      <w:r w:rsidR="008F0357" w:rsidRPr="007C68F1">
        <w:t xml:space="preserve">  </w:t>
      </w:r>
      <w:r w:rsidRPr="007C68F1">
        <w:t xml:space="preserve">They did not tell her that her declaration might hurt Woodworth’s chances of prevailing on </w:t>
      </w:r>
      <w:r w:rsidRPr="007C68F1">
        <w:t>the motion for class certification</w:t>
      </w:r>
      <w:r w:rsidR="005C5E88" w:rsidRPr="007C68F1">
        <w:t>.</w:t>
      </w:r>
      <w:r w:rsidRPr="007C68F1">
        <w:t xml:space="preserve">  </w:t>
      </w:r>
      <w:r w:rsidR="00CE52AA" w:rsidRPr="007C68F1">
        <w:t xml:space="preserve">No one told her to look at her declaration before she signed it.  But </w:t>
      </w:r>
      <w:r w:rsidR="000A5273" w:rsidRPr="007C68F1">
        <w:t>the statements about the “day-to-day work environment” in her declaration were true.</w:t>
      </w:r>
      <w:r w:rsidR="007818A0" w:rsidRPr="007C68F1">
        <w:t xml:space="preserve">  The statements in her declaration were also voluntary, no one forced her to sign the declaration, and no one promised her anything for signing it.</w:t>
      </w:r>
      <w:r w:rsidR="000A5273" w:rsidRPr="007C68F1">
        <w:t xml:space="preserve">  </w:t>
      </w:r>
      <w:r w:rsidR="008F0357" w:rsidRPr="007C68F1">
        <w:t>She did not get a copy of her declaration.</w:t>
      </w:r>
    </w:p>
    <w:p w14:paraId="123F5849" w14:textId="77777777" w:rsidR="000873D3" w:rsidRPr="007C68F1" w:rsidRDefault="00D16B2E" w:rsidP="007D1009">
      <w:pPr>
        <w:spacing w:line="480" w:lineRule="auto"/>
        <w:ind w:firstLine="720"/>
      </w:pPr>
      <w:r w:rsidRPr="007C68F1">
        <w:rPr>
          <w:u w:val="single"/>
        </w:rPr>
        <w:t>Marissa Benter</w:t>
      </w:r>
      <w:r w:rsidRPr="007C68F1">
        <w:t>:  Benter’s boss told her that she needed to meet</w:t>
      </w:r>
      <w:r w:rsidRPr="007C68F1">
        <w:t xml:space="preserve"> with the medical center’s lawyer regarding a declaration.  Benter felt that she could refuse to go to the meeting, and it was not a “scary” meeting. </w:t>
      </w:r>
      <w:r w:rsidR="008E0058" w:rsidRPr="007C68F1">
        <w:t xml:space="preserve"> </w:t>
      </w:r>
      <w:r w:rsidR="00C7720A" w:rsidRPr="007C68F1">
        <w:t>The medical center’s lawyer told her that Woodworth’s case was a proposed class action.</w:t>
      </w:r>
      <w:r w:rsidR="00AB1CA9" w:rsidRPr="007C68F1">
        <w:t xml:space="preserve">  The lawyer told her that she could be a potential member of the class because Woodworth was seeking to represent “the whole hospital.”</w:t>
      </w:r>
      <w:r w:rsidR="00C7720A" w:rsidRPr="007C68F1">
        <w:t xml:space="preserve">  </w:t>
      </w:r>
      <w:r w:rsidRPr="007C68F1">
        <w:t>T</w:t>
      </w:r>
      <w:r w:rsidR="00372247" w:rsidRPr="007C68F1">
        <w:t xml:space="preserve">he lawyer </w:t>
      </w:r>
      <w:r w:rsidR="00AB1CA9" w:rsidRPr="007C68F1">
        <w:t>explained</w:t>
      </w:r>
      <w:r w:rsidR="00372247" w:rsidRPr="007C68F1">
        <w:t xml:space="preserve"> that Woodworth was attempting to invalidate the AWS.  </w:t>
      </w:r>
    </w:p>
    <w:p w14:paraId="232AA0CB" w14:textId="77777777" w:rsidR="00823AC9" w:rsidRPr="007C68F1" w:rsidRDefault="00D16B2E" w:rsidP="007D1009">
      <w:pPr>
        <w:spacing w:line="480" w:lineRule="auto"/>
        <w:ind w:firstLine="720"/>
      </w:pPr>
      <w:r w:rsidRPr="007C68F1">
        <w:t>Benter did not know whether her declaration had been filed i</w:t>
      </w:r>
      <w:r w:rsidRPr="007C68F1">
        <w:t xml:space="preserve">n court, but the lawyer told her that the declaration was “[f]or the lawsuit.”  </w:t>
      </w:r>
      <w:r w:rsidR="000873D3" w:rsidRPr="007C68F1">
        <w:t>Benter reviewed her declaration</w:t>
      </w:r>
      <w:r w:rsidRPr="007C68F1">
        <w:t xml:space="preserve"> and made changes</w:t>
      </w:r>
      <w:r w:rsidR="000873D3" w:rsidRPr="007C68F1">
        <w:t xml:space="preserve"> before signing it.</w:t>
      </w:r>
      <w:r w:rsidR="00AB1CA9" w:rsidRPr="007C68F1">
        <w:t xml:space="preserve">  </w:t>
      </w:r>
      <w:r w:rsidR="00327DAC" w:rsidRPr="007C68F1">
        <w:t xml:space="preserve">All of the statements in the final </w:t>
      </w:r>
      <w:r w:rsidR="00281E12" w:rsidRPr="007C68F1">
        <w:t xml:space="preserve">numbered </w:t>
      </w:r>
      <w:r w:rsidR="00327DAC" w:rsidRPr="007C68F1">
        <w:t>paragraph of her declaration were true.</w:t>
      </w:r>
    </w:p>
    <w:p w14:paraId="35674F08" w14:textId="77777777" w:rsidR="00E25620" w:rsidRPr="007C68F1" w:rsidRDefault="00D16B2E" w:rsidP="007D1009">
      <w:pPr>
        <w:spacing w:line="480" w:lineRule="auto"/>
        <w:ind w:firstLine="720"/>
      </w:pPr>
      <w:r w:rsidRPr="007C68F1">
        <w:rPr>
          <w:u w:val="single"/>
        </w:rPr>
        <w:lastRenderedPageBreak/>
        <w:t>Elvia Bermudez</w:t>
      </w:r>
      <w:r w:rsidRPr="007C68F1">
        <w:t xml:space="preserve">:  </w:t>
      </w:r>
      <w:r w:rsidR="008F7F09" w:rsidRPr="007C68F1">
        <w:t>A</w:t>
      </w:r>
      <w:r w:rsidR="000E0788" w:rsidRPr="007C68F1">
        <w:t xml:space="preserve"> nurse manager a</w:t>
      </w:r>
      <w:r w:rsidRPr="007C68F1">
        <w:t xml:space="preserve">sked </w:t>
      </w:r>
      <w:r w:rsidR="008F7F09" w:rsidRPr="007C68F1">
        <w:t>Bermudez</w:t>
      </w:r>
      <w:r w:rsidRPr="007C68F1">
        <w:t xml:space="preserve"> if she could go to a meeting about a case against the medical center.</w:t>
      </w:r>
      <w:r w:rsidR="000E0788" w:rsidRPr="007C68F1">
        <w:t xml:space="preserve">  The manager said that a person was suing the medical center about breaks, and she said that if Bermudez did not feel comfortable going to the meeting, </w:t>
      </w:r>
      <w:r w:rsidR="00733C15" w:rsidRPr="007C68F1">
        <w:t xml:space="preserve">Bermudez </w:t>
      </w:r>
      <w:r w:rsidR="000E0788" w:rsidRPr="007C68F1">
        <w:t xml:space="preserve">could refuse.  Bermudez said that she would go.  </w:t>
      </w:r>
      <w:r w:rsidR="00573787" w:rsidRPr="007C68F1">
        <w:t>At the meeting, t</w:t>
      </w:r>
      <w:r w:rsidR="000E0788" w:rsidRPr="007C68F1">
        <w:t>he lawyers told her that they worked for a law firm that represented the medical center.</w:t>
      </w:r>
      <w:r w:rsidR="00BE1169" w:rsidRPr="007C68F1">
        <w:t xml:space="preserve">  They explained that a person named “Nicole” was suing the medical center about rest breaks </w:t>
      </w:r>
      <w:bookmarkStart w:id="191" w:name="dabmq_63"/>
      <w:r w:rsidR="00BE1169" w:rsidRPr="007C68F1">
        <w:t>“and all this stuff,”</w:t>
      </w:r>
      <w:bookmarkEnd w:id="191"/>
      <w:r w:rsidR="00BE1169" w:rsidRPr="007C68F1">
        <w:t xml:space="preserve"> but she did not recall exactly what they said.</w:t>
      </w:r>
    </w:p>
    <w:p w14:paraId="574FC417" w14:textId="77777777" w:rsidR="00F06A65" w:rsidRPr="007C68F1" w:rsidRDefault="00D16B2E" w:rsidP="007D1009">
      <w:pPr>
        <w:spacing w:line="480" w:lineRule="auto"/>
        <w:ind w:firstLine="720"/>
      </w:pPr>
      <w:r w:rsidRPr="007C68F1">
        <w:t>Bermudez</w:t>
      </w:r>
      <w:r w:rsidR="003C33C5" w:rsidRPr="007C68F1">
        <w:t xml:space="preserve"> did not remember the lawyers </w:t>
      </w:r>
      <w:r w:rsidR="005C3C86" w:rsidRPr="007C68F1">
        <w:t>using</w:t>
      </w:r>
      <w:r w:rsidR="003C33C5" w:rsidRPr="007C68F1">
        <w:t xml:space="preserve"> the term “class action</w:t>
      </w:r>
      <w:r w:rsidR="00405171" w:rsidRPr="007C68F1">
        <w:t>,</w:t>
      </w:r>
      <w:r w:rsidR="003C33C5" w:rsidRPr="007C68F1">
        <w:t>”</w:t>
      </w:r>
      <w:r w:rsidR="00405171" w:rsidRPr="007C68F1">
        <w:t xml:space="preserve"> and they did not tell her that if the lawsuit </w:t>
      </w:r>
      <w:r w:rsidR="00733C15" w:rsidRPr="007C68F1">
        <w:t>were</w:t>
      </w:r>
      <w:r w:rsidR="00405171" w:rsidRPr="007C68F1">
        <w:t xml:space="preserve"> successful, she would receive money.</w:t>
      </w:r>
      <w:r w:rsidR="003C33C5" w:rsidRPr="007C68F1">
        <w:t xml:space="preserve">  They did not tell her that Woodworth was suing on behalf of all employees, and they did not tell her that Woodworth was suing as a private attorney general.  She also did not remember them saying that Woodworth was suing on behalf of the state.  </w:t>
      </w:r>
      <w:r w:rsidR="00440176" w:rsidRPr="007C68F1">
        <w:t xml:space="preserve">She did not understand what it meant </w:t>
      </w:r>
      <w:bookmarkStart w:id="192" w:name="dabmq_64"/>
      <w:r w:rsidR="00440176" w:rsidRPr="007C68F1">
        <w:t>“to be potentially a member of a class action”</w:t>
      </w:r>
      <w:bookmarkEnd w:id="192"/>
      <w:r w:rsidR="00440176" w:rsidRPr="007C68F1">
        <w:t xml:space="preserve"> or </w:t>
      </w:r>
      <w:bookmarkStart w:id="193" w:name="dabmq_65"/>
      <w:r w:rsidR="00440176" w:rsidRPr="007C68F1">
        <w:t>“to be certified as a class action.”</w:t>
      </w:r>
      <w:bookmarkEnd w:id="193"/>
      <w:r w:rsidR="00A7138B" w:rsidRPr="007C68F1">
        <w:t xml:space="preserve">  </w:t>
      </w:r>
      <w:r w:rsidR="00A5384F" w:rsidRPr="007C68F1">
        <w:t>The lawyers</w:t>
      </w:r>
      <w:r w:rsidRPr="007C68F1">
        <w:t xml:space="preserve"> did not tell her that she could talk to the lawyer representing the employees, and </w:t>
      </w:r>
      <w:r w:rsidR="00A7138B" w:rsidRPr="007C68F1">
        <w:t>they did not tell her that she could contact Joseph Antonelli, who represented Woodworth</w:t>
      </w:r>
      <w:r w:rsidRPr="007C68F1">
        <w:t xml:space="preserve">.  </w:t>
      </w:r>
    </w:p>
    <w:p w14:paraId="2A228C8F" w14:textId="77777777" w:rsidR="009638E6" w:rsidRPr="007C68F1" w:rsidRDefault="00D16B2E" w:rsidP="007D1009">
      <w:pPr>
        <w:spacing w:line="480" w:lineRule="auto"/>
        <w:ind w:firstLine="720"/>
      </w:pPr>
      <w:r w:rsidRPr="007C68F1">
        <w:t>Bermudez</w:t>
      </w:r>
      <w:r w:rsidR="00440176" w:rsidRPr="007C68F1">
        <w:t xml:space="preserve"> did not know what the following sentence </w:t>
      </w:r>
      <w:r w:rsidR="00925685" w:rsidRPr="007C68F1">
        <w:t xml:space="preserve">from her declaration </w:t>
      </w:r>
      <w:r w:rsidR="00440176" w:rsidRPr="007C68F1">
        <w:t xml:space="preserve">meant:  </w:t>
      </w:r>
      <w:bookmarkStart w:id="194" w:name="dabmq_66"/>
      <w:r w:rsidR="00440176" w:rsidRPr="007C68F1">
        <w:t>“‘I know that if I ever become a participant in the lawsuit, my interests will be opposed to [the medical center’s] interests.’”</w:t>
      </w:r>
      <w:bookmarkEnd w:id="194"/>
      <w:r w:rsidR="00440176" w:rsidRPr="007C68F1">
        <w:t xml:space="preserve">  But she signed the declaration because she “was agreeing” with what she had said</w:t>
      </w:r>
      <w:r w:rsidR="007B62B1" w:rsidRPr="007C68F1">
        <w:t>, and no one forced her to sign it</w:t>
      </w:r>
      <w:r w:rsidR="00440176" w:rsidRPr="007C68F1">
        <w:t xml:space="preserve">. </w:t>
      </w:r>
      <w:r w:rsidR="008E3655" w:rsidRPr="007C68F1">
        <w:t xml:space="preserve"> </w:t>
      </w:r>
      <w:r w:rsidR="00A72ADC" w:rsidRPr="007C68F1">
        <w:t>She reviewed it line by line before signing it.</w:t>
      </w:r>
      <w:r w:rsidRPr="007C68F1">
        <w:t xml:space="preserve">  </w:t>
      </w:r>
      <w:r w:rsidR="008E3655" w:rsidRPr="007C68F1">
        <w:t xml:space="preserve">Woodworth’s counsel asked whether Bermudez would have signed the declaration if she knew that the medical center would use it to defeat the class </w:t>
      </w:r>
      <w:r w:rsidR="008E3655" w:rsidRPr="007C68F1">
        <w:lastRenderedPageBreak/>
        <w:t xml:space="preserve">action and that Bermudez would “‘not get money.’”  Bermudez replied:  </w:t>
      </w:r>
      <w:bookmarkStart w:id="195" w:name="dabmq_67"/>
      <w:r w:rsidR="008E3655" w:rsidRPr="007C68F1">
        <w:t>“Well, I cannot do just because the money.  I just can say the truth about the money.”</w:t>
      </w:r>
      <w:bookmarkEnd w:id="195"/>
      <w:r w:rsidRPr="007C68F1">
        <w:t xml:space="preserve">  </w:t>
      </w:r>
    </w:p>
    <w:p w14:paraId="0A771A80" w14:textId="77777777" w:rsidR="003C33C5" w:rsidRPr="007C68F1" w:rsidRDefault="00D16B2E" w:rsidP="007D1009">
      <w:pPr>
        <w:spacing w:line="480" w:lineRule="auto"/>
        <w:ind w:firstLine="720"/>
      </w:pPr>
      <w:r w:rsidRPr="007C68F1">
        <w:t>W</w:t>
      </w:r>
      <w:r w:rsidR="00C0126F" w:rsidRPr="007C68F1">
        <w:t xml:space="preserve">ith one minor correction to a date, </w:t>
      </w:r>
      <w:r w:rsidR="002E4996" w:rsidRPr="007C68F1">
        <w:t>Bermudez</w:t>
      </w:r>
      <w:r w:rsidR="004361EE" w:rsidRPr="007C68F1">
        <w:t xml:space="preserve"> confirmed that everything in her declaration was accurate</w:t>
      </w:r>
      <w:r w:rsidR="00C0126F" w:rsidRPr="007C68F1">
        <w:t>.</w:t>
      </w:r>
      <w:r w:rsidR="00F06A65" w:rsidRPr="007C68F1">
        <w:t xml:space="preserve">  </w:t>
      </w:r>
      <w:r w:rsidR="00A5384F" w:rsidRPr="007C68F1">
        <w:t>No one told</w:t>
      </w:r>
      <w:r w:rsidR="00FA6AD9" w:rsidRPr="007C68F1">
        <w:t xml:space="preserve"> </w:t>
      </w:r>
      <w:r w:rsidR="00A72ADC" w:rsidRPr="007C68F1">
        <w:t>Bermudez</w:t>
      </w:r>
      <w:r w:rsidR="00FA6AD9" w:rsidRPr="007C68F1">
        <w:t xml:space="preserve"> that </w:t>
      </w:r>
      <w:r w:rsidR="00A5384F" w:rsidRPr="007C68F1">
        <w:t>the declaration would be filed</w:t>
      </w:r>
      <w:r w:rsidR="007D5237" w:rsidRPr="007C68F1">
        <w:t xml:space="preserve"> in court</w:t>
      </w:r>
      <w:r w:rsidR="00A416ED" w:rsidRPr="007C68F1">
        <w:t xml:space="preserve">, and </w:t>
      </w:r>
      <w:r w:rsidR="007B62B1" w:rsidRPr="007C68F1">
        <w:t>the lawyers</w:t>
      </w:r>
      <w:r w:rsidR="00A416ED" w:rsidRPr="007C68F1">
        <w:t xml:space="preserve"> did not tell her that the declaration</w:t>
      </w:r>
      <w:r w:rsidR="007B62B1" w:rsidRPr="007C68F1">
        <w:t xml:space="preserve"> might be against her interests.</w:t>
      </w:r>
      <w:r w:rsidR="00884E2E" w:rsidRPr="007C68F1">
        <w:t xml:space="preserve">  </w:t>
      </w:r>
      <w:r w:rsidR="00373953" w:rsidRPr="007C68F1">
        <w:t>But they told her that her declaration could be used by the medical center.</w:t>
      </w:r>
    </w:p>
    <w:p w14:paraId="16405E18" w14:textId="77777777" w:rsidR="00042092" w:rsidRPr="007C68F1" w:rsidRDefault="00D16B2E" w:rsidP="007D1009">
      <w:pPr>
        <w:spacing w:line="480" w:lineRule="auto"/>
        <w:ind w:firstLine="720"/>
      </w:pPr>
      <w:r w:rsidRPr="007C68F1">
        <w:rPr>
          <w:u w:val="single"/>
        </w:rPr>
        <w:t>Steven Clark</w:t>
      </w:r>
      <w:r w:rsidRPr="007C68F1">
        <w:t xml:space="preserve">:  </w:t>
      </w:r>
      <w:r w:rsidR="00B35B89" w:rsidRPr="007C68F1">
        <w:t xml:space="preserve">Clark did not feel </w:t>
      </w:r>
      <w:r w:rsidR="006E4CA0" w:rsidRPr="007C68F1">
        <w:t>that</w:t>
      </w:r>
      <w:r w:rsidR="00B35B89" w:rsidRPr="007C68F1">
        <w:t xml:space="preserve"> the meeting with the medical center’s lawyers was a coercive environment, and he did not feel intimidated. </w:t>
      </w:r>
      <w:r w:rsidR="004C5461" w:rsidRPr="007C68F1">
        <w:t xml:space="preserve"> The lawyers introduced themselves and told him that they represented the medical center.  They told him that a former employee was suing the </w:t>
      </w:r>
      <w:r w:rsidR="008B71D4" w:rsidRPr="007C68F1">
        <w:t>medical center</w:t>
      </w:r>
      <w:r w:rsidR="004C5461" w:rsidRPr="007C68F1">
        <w:t xml:space="preserve"> regarding rest periods, pay, and “something else,” but he did not remember their exact words.  </w:t>
      </w:r>
      <w:r w:rsidR="00F831CE" w:rsidRPr="007C68F1">
        <w:t>Before he signed his declaration, he did not know that</w:t>
      </w:r>
      <w:r w:rsidR="00FE3B07" w:rsidRPr="007C68F1">
        <w:t xml:space="preserve"> Woodworth’s pay stub claim involved </w:t>
      </w:r>
      <w:r w:rsidR="00703AB0" w:rsidRPr="007C68F1">
        <w:t>the failure to put the words “</w:t>
      </w:r>
      <w:r w:rsidR="00FE3B07" w:rsidRPr="007C68F1">
        <w:t>‘Total Hours Worked’” on the pay stubs.</w:t>
      </w:r>
      <w:r w:rsidR="00411106" w:rsidRPr="007C68F1">
        <w:t xml:space="preserve">  </w:t>
      </w:r>
    </w:p>
    <w:p w14:paraId="3E667E09" w14:textId="77777777" w:rsidR="002212FE" w:rsidRPr="007C68F1" w:rsidRDefault="00D16B2E" w:rsidP="007D1009">
      <w:pPr>
        <w:spacing w:line="480" w:lineRule="auto"/>
        <w:ind w:firstLine="720"/>
      </w:pPr>
      <w:r w:rsidRPr="007C68F1">
        <w:t>Clark</w:t>
      </w:r>
      <w:r w:rsidR="00F3138D" w:rsidRPr="007C68F1">
        <w:t xml:space="preserve"> did not remember </w:t>
      </w:r>
      <w:r w:rsidR="00EF3731" w:rsidRPr="007C68F1">
        <w:t xml:space="preserve">anyone using the </w:t>
      </w:r>
      <w:r w:rsidR="00F3138D" w:rsidRPr="007C68F1">
        <w:t>term “private attorney general”</w:t>
      </w:r>
      <w:r w:rsidR="00EF3731" w:rsidRPr="007C68F1">
        <w:t xml:space="preserve"> before he signed his declaration.</w:t>
      </w:r>
      <w:r w:rsidR="00F3138D" w:rsidRPr="007C68F1">
        <w:t xml:space="preserve">  He had never heard of the </w:t>
      </w:r>
      <w:bookmarkStart w:id="196" w:name="dabmq_68"/>
      <w:r w:rsidR="00F3138D" w:rsidRPr="007C68F1">
        <w:t>“Private Attorney General Act of California.”</w:t>
      </w:r>
      <w:bookmarkEnd w:id="196"/>
      <w:r w:rsidRPr="007C68F1">
        <w:t xml:space="preserve">  He did not remember the medical center’s lawyers explaining that </w:t>
      </w:r>
      <w:r w:rsidRPr="007C68F1">
        <w:t xml:space="preserve">Woodworth was representing the employees on behalf of the state.  </w:t>
      </w:r>
      <w:r w:rsidR="007B17C0" w:rsidRPr="007C68F1">
        <w:t>Nobody explained</w:t>
      </w:r>
      <w:r w:rsidRPr="007C68F1">
        <w:t xml:space="preserve"> that Woodworth was seeking more than $60 million in penalties for failing to put “‘Total Hours Worked’” on the pay stubs.</w:t>
      </w:r>
      <w:r w:rsidR="00F3138D" w:rsidRPr="007C68F1">
        <w:t xml:space="preserve">  </w:t>
      </w:r>
      <w:r w:rsidR="00881EDE" w:rsidRPr="007C68F1">
        <w:t>Clark did not remember the lawyers telling him that he was a potential class member</w:t>
      </w:r>
      <w:r w:rsidRPr="007C68F1">
        <w:t xml:space="preserve">, </w:t>
      </w:r>
      <w:r w:rsidR="00881EDE" w:rsidRPr="007C68F1">
        <w:t>but he read that in the declaration.</w:t>
      </w:r>
      <w:r w:rsidR="001C47E8" w:rsidRPr="007C68F1">
        <w:t xml:space="preserve">  </w:t>
      </w:r>
      <w:r w:rsidR="003E2615" w:rsidRPr="007C68F1">
        <w:t xml:space="preserve">Clark </w:t>
      </w:r>
      <w:r w:rsidRPr="007C68F1">
        <w:t xml:space="preserve">also </w:t>
      </w:r>
      <w:r w:rsidR="003E2615" w:rsidRPr="007C68F1">
        <w:t xml:space="preserve">did not remember the lawyers saying that he had a right to speak to the lawyers representing Woodworth or the employees.  </w:t>
      </w:r>
    </w:p>
    <w:p w14:paraId="7CFDE566" w14:textId="77777777" w:rsidR="00F3138D" w:rsidRPr="007C68F1" w:rsidRDefault="00D16B2E" w:rsidP="007D1009">
      <w:pPr>
        <w:spacing w:line="480" w:lineRule="auto"/>
        <w:ind w:firstLine="720"/>
      </w:pPr>
      <w:r w:rsidRPr="007C68F1">
        <w:lastRenderedPageBreak/>
        <w:t xml:space="preserve">When </w:t>
      </w:r>
      <w:r w:rsidR="002212FE" w:rsidRPr="007C68F1">
        <w:t>Clark</w:t>
      </w:r>
      <w:r w:rsidRPr="007C68F1">
        <w:t xml:space="preserve"> signed the declaration, he believed th</w:t>
      </w:r>
      <w:r w:rsidRPr="007C68F1">
        <w:t xml:space="preserve">at the declaration </w:t>
      </w:r>
      <w:bookmarkStart w:id="197" w:name="dabmq_69"/>
      <w:r w:rsidRPr="007C68F1">
        <w:t>“could be used to support the case.”</w:t>
      </w:r>
      <w:bookmarkEnd w:id="197"/>
      <w:r w:rsidRPr="007C68F1">
        <w:t xml:space="preserve">  The lawyers did not specify how they would use the declaration</w:t>
      </w:r>
      <w:r w:rsidR="00B20830" w:rsidRPr="007C68F1">
        <w:t>.</w:t>
      </w:r>
      <w:r w:rsidRPr="007C68F1">
        <w:t xml:space="preserve">  He did not remember if they told him that Woodworth had filed a class certification motion</w:t>
      </w:r>
      <w:r w:rsidR="00AB3168" w:rsidRPr="007C68F1">
        <w:t xml:space="preserve">, and </w:t>
      </w:r>
      <w:r w:rsidR="00B20830" w:rsidRPr="007C68F1">
        <w:t>they did not</w:t>
      </w:r>
      <w:r w:rsidR="00AB3168" w:rsidRPr="007C68F1">
        <w:t xml:space="preserve"> </w:t>
      </w:r>
      <w:r w:rsidR="00B20830" w:rsidRPr="007C68F1">
        <w:t>explain</w:t>
      </w:r>
      <w:r w:rsidR="004726E6" w:rsidRPr="007C68F1">
        <w:t xml:space="preserve"> t</w:t>
      </w:r>
      <w:r w:rsidR="00AB3168" w:rsidRPr="007C68F1">
        <w:t xml:space="preserve">hat his declaration could be </w:t>
      </w:r>
      <w:r w:rsidR="00B20830" w:rsidRPr="007C68F1">
        <w:t>against</w:t>
      </w:r>
      <w:r w:rsidR="00AB3168" w:rsidRPr="007C68F1">
        <w:t xml:space="preserve"> his interests</w:t>
      </w:r>
      <w:r w:rsidRPr="007C68F1">
        <w:t>.</w:t>
      </w:r>
      <w:r w:rsidR="00FE42EB" w:rsidRPr="007C68F1">
        <w:t xml:space="preserve">  </w:t>
      </w:r>
      <w:r w:rsidR="007C15DF" w:rsidRPr="007C68F1">
        <w:t>Clark</w:t>
      </w:r>
      <w:r w:rsidR="003E2615" w:rsidRPr="007C68F1">
        <w:t xml:space="preserve"> confirmed that</w:t>
      </w:r>
      <w:r w:rsidR="007C15DF" w:rsidRPr="007C68F1">
        <w:t xml:space="preserve"> he understood </w:t>
      </w:r>
      <w:r w:rsidR="003E2615" w:rsidRPr="007C68F1">
        <w:t xml:space="preserve">the statements in the final </w:t>
      </w:r>
      <w:r w:rsidR="00281E12" w:rsidRPr="007C68F1">
        <w:t xml:space="preserve">numbered </w:t>
      </w:r>
      <w:r w:rsidR="003E2615" w:rsidRPr="007C68F1">
        <w:t xml:space="preserve">paragraph of his declaration </w:t>
      </w:r>
      <w:r w:rsidR="007C15DF" w:rsidRPr="007C68F1">
        <w:t>at the time he signed it</w:t>
      </w:r>
      <w:r w:rsidR="003E2615" w:rsidRPr="007C68F1">
        <w:t xml:space="preserve">. </w:t>
      </w:r>
      <w:r w:rsidR="00FE42EB" w:rsidRPr="007C68F1">
        <w:t xml:space="preserve"> </w:t>
      </w:r>
      <w:r w:rsidR="00F32986" w:rsidRPr="007C68F1">
        <w:t xml:space="preserve">He reviewed the declaration before signing it and believed everything in it was accurate.  </w:t>
      </w:r>
      <w:r w:rsidR="00362FC2" w:rsidRPr="007C68F1">
        <w:t xml:space="preserve">He would not make any changes to the statements in his declaration about his experience at the medical center.  </w:t>
      </w:r>
      <w:r w:rsidR="008F0357" w:rsidRPr="007C68F1">
        <w:t>He did not get a copy of his declaration.</w:t>
      </w:r>
    </w:p>
    <w:p w14:paraId="33567ADC" w14:textId="77777777" w:rsidR="00BB32FA" w:rsidRPr="007C68F1" w:rsidRDefault="00D16B2E" w:rsidP="007D1009">
      <w:pPr>
        <w:spacing w:line="480" w:lineRule="auto"/>
        <w:ind w:firstLine="720"/>
      </w:pPr>
      <w:r w:rsidRPr="007C68F1">
        <w:rPr>
          <w:u w:val="single"/>
        </w:rPr>
        <w:t>Devon Dean</w:t>
      </w:r>
      <w:r w:rsidRPr="007C68F1">
        <w:t xml:space="preserve">: </w:t>
      </w:r>
      <w:r w:rsidR="008502DA" w:rsidRPr="007C68F1">
        <w:t xml:space="preserve"> </w:t>
      </w:r>
      <w:r w:rsidR="00D56631" w:rsidRPr="007C68F1">
        <w:t>One of Dean’s</w:t>
      </w:r>
      <w:r w:rsidR="00C321DA" w:rsidRPr="007C68F1">
        <w:t xml:space="preserve"> supervisors asked whether </w:t>
      </w:r>
      <w:r w:rsidR="007A35AF" w:rsidRPr="007C68F1">
        <w:t>she</w:t>
      </w:r>
      <w:r w:rsidR="00C321DA" w:rsidRPr="007C68F1">
        <w:t xml:space="preserve"> would be willing to talk with </w:t>
      </w:r>
      <w:bookmarkStart w:id="198" w:name="dabmq_70"/>
      <w:r w:rsidR="00C321DA" w:rsidRPr="007C68F1">
        <w:t>“some people for the [medical center] about meal breaks.”</w:t>
      </w:r>
      <w:bookmarkEnd w:id="198"/>
      <w:r w:rsidR="00C321DA" w:rsidRPr="007C68F1">
        <w:t xml:space="preserve">  </w:t>
      </w:r>
      <w:r w:rsidR="008502DA" w:rsidRPr="007C68F1">
        <w:t xml:space="preserve">The supervisor did not say that </w:t>
      </w:r>
      <w:r w:rsidR="00F53FFE" w:rsidRPr="007C68F1">
        <w:t>the meeting</w:t>
      </w:r>
      <w:r w:rsidR="008502DA" w:rsidRPr="007C68F1">
        <w:t xml:space="preserve"> involved a lawsuit.  </w:t>
      </w:r>
      <w:r w:rsidR="001F6346" w:rsidRPr="007C68F1">
        <w:t xml:space="preserve">The lawyers that interviewed </w:t>
      </w:r>
      <w:r w:rsidR="007A35AF" w:rsidRPr="007C68F1">
        <w:t>her</w:t>
      </w:r>
      <w:r w:rsidR="001F6346" w:rsidRPr="007C68F1">
        <w:t xml:space="preserve"> did not explain </w:t>
      </w:r>
      <w:bookmarkStart w:id="199" w:name="dabmq_71"/>
      <w:r w:rsidR="000D5A28" w:rsidRPr="007C68F1">
        <w:t>“anything really about the case.”</w:t>
      </w:r>
      <w:bookmarkEnd w:id="199"/>
      <w:r w:rsidR="000D5A28" w:rsidRPr="007C68F1">
        <w:t xml:space="preserve">  </w:t>
      </w:r>
    </w:p>
    <w:p w14:paraId="17B406B1" w14:textId="77777777" w:rsidR="00914185" w:rsidRPr="007C68F1" w:rsidRDefault="00D16B2E" w:rsidP="007D1009">
      <w:pPr>
        <w:spacing w:line="480" w:lineRule="auto"/>
        <w:ind w:firstLine="720"/>
      </w:pPr>
      <w:r w:rsidRPr="007C68F1">
        <w:t>T</w:t>
      </w:r>
      <w:r w:rsidR="00F3138D" w:rsidRPr="007C68F1">
        <w:t xml:space="preserve">he medical center’s lawyers did not tell </w:t>
      </w:r>
      <w:r w:rsidR="00D56631" w:rsidRPr="007C68F1">
        <w:t>Dean</w:t>
      </w:r>
      <w:r w:rsidR="00F3138D" w:rsidRPr="007C68F1">
        <w:t xml:space="preserve"> that Woodworth was suing on behalf of the state and all employees as a private attorney general.  </w:t>
      </w:r>
      <w:r w:rsidR="00020EC5" w:rsidRPr="007C68F1">
        <w:t xml:space="preserve">At one point, </w:t>
      </w:r>
      <w:r w:rsidR="007A35AF" w:rsidRPr="007C68F1">
        <w:t>she</w:t>
      </w:r>
      <w:r w:rsidR="00020EC5" w:rsidRPr="007C68F1">
        <w:t xml:space="preserve"> testified that </w:t>
      </w:r>
      <w:r w:rsidR="007A35AF" w:rsidRPr="007C68F1">
        <w:t>she</w:t>
      </w:r>
      <w:r w:rsidR="008A1738" w:rsidRPr="007C68F1">
        <w:t xml:space="preserve"> did not remember if the lawyers told </w:t>
      </w:r>
      <w:r w:rsidR="007A35AF" w:rsidRPr="007C68F1">
        <w:t>her</w:t>
      </w:r>
      <w:r w:rsidR="008A1738" w:rsidRPr="007C68F1">
        <w:t xml:space="preserve"> that the case involved a class action claim or that </w:t>
      </w:r>
      <w:r w:rsidR="007A35AF" w:rsidRPr="007C68F1">
        <w:t>she</w:t>
      </w:r>
      <w:r w:rsidR="008A1738" w:rsidRPr="007C68F1">
        <w:t xml:space="preserve"> might</w:t>
      </w:r>
      <w:r w:rsidR="005513F1" w:rsidRPr="007C68F1">
        <w:t xml:space="preserve"> be</w:t>
      </w:r>
      <w:r w:rsidR="008A1738" w:rsidRPr="007C68F1">
        <w:t xml:space="preserve"> </w:t>
      </w:r>
      <w:r w:rsidR="002C75A7" w:rsidRPr="007C68F1">
        <w:t xml:space="preserve">a </w:t>
      </w:r>
      <w:r w:rsidR="008A1738" w:rsidRPr="007C68F1">
        <w:t>member of a class action.</w:t>
      </w:r>
      <w:r w:rsidR="00020EC5" w:rsidRPr="007C68F1">
        <w:t xml:space="preserve">  But at another point, </w:t>
      </w:r>
      <w:r w:rsidR="007A35AF" w:rsidRPr="007C68F1">
        <w:t>she</w:t>
      </w:r>
      <w:r w:rsidR="00020EC5" w:rsidRPr="007C68F1">
        <w:t xml:space="preserve"> testified that they said this could be a class action lawsuit</w:t>
      </w:r>
      <w:r w:rsidR="005D6C9C" w:rsidRPr="007C68F1">
        <w:t xml:space="preserve"> </w:t>
      </w:r>
      <w:r w:rsidR="00020EC5" w:rsidRPr="007C68F1">
        <w:t xml:space="preserve">and that </w:t>
      </w:r>
      <w:r w:rsidR="007A35AF" w:rsidRPr="007C68F1">
        <w:t>she</w:t>
      </w:r>
      <w:r w:rsidR="00020EC5" w:rsidRPr="007C68F1">
        <w:t xml:space="preserve"> could be included as a </w:t>
      </w:r>
      <w:r w:rsidR="00556AA3" w:rsidRPr="007C68F1">
        <w:t xml:space="preserve">class </w:t>
      </w:r>
      <w:r w:rsidR="00020EC5" w:rsidRPr="007C68F1">
        <w:t>member</w:t>
      </w:r>
      <w:r w:rsidR="00847433" w:rsidRPr="007C68F1">
        <w:t>.</w:t>
      </w:r>
      <w:r w:rsidR="00817794" w:rsidRPr="007C68F1">
        <w:t xml:space="preserve">  </w:t>
      </w:r>
      <w:r w:rsidR="00F3138D" w:rsidRPr="007C68F1">
        <w:t xml:space="preserve">Before </w:t>
      </w:r>
      <w:r w:rsidR="00DE7132" w:rsidRPr="007C68F1">
        <w:t>Dean</w:t>
      </w:r>
      <w:r w:rsidR="00F3138D" w:rsidRPr="007C68F1">
        <w:t xml:space="preserve"> signed </w:t>
      </w:r>
      <w:r w:rsidR="007A35AF" w:rsidRPr="007C68F1">
        <w:t>her</w:t>
      </w:r>
      <w:r w:rsidR="00F3138D" w:rsidRPr="007C68F1">
        <w:t xml:space="preserve"> declaration, the lawyers did not tell h</w:t>
      </w:r>
      <w:r w:rsidR="007A35AF" w:rsidRPr="007C68F1">
        <w:t xml:space="preserve">er </w:t>
      </w:r>
      <w:r w:rsidR="00F3138D" w:rsidRPr="007C68F1">
        <w:t xml:space="preserve">that </w:t>
      </w:r>
      <w:r w:rsidR="007A35AF" w:rsidRPr="007C68F1">
        <w:t>she</w:t>
      </w:r>
      <w:r w:rsidR="00F3138D" w:rsidRPr="007C68F1">
        <w:t xml:space="preserve"> could speak to Woodworth’s attorneys.  They did not mention Antonelli by name.</w:t>
      </w:r>
      <w:r w:rsidR="00DE7132" w:rsidRPr="007C68F1">
        <w:t xml:space="preserve">  </w:t>
      </w:r>
      <w:r w:rsidR="00222E1B" w:rsidRPr="007C68F1">
        <w:t>She did not remember the lawyers telling her that she could talk to any lawyer of her choosing about this case.</w:t>
      </w:r>
    </w:p>
    <w:p w14:paraId="707173B0" w14:textId="77777777" w:rsidR="00F3138D" w:rsidRPr="007C68F1" w:rsidRDefault="00D16B2E" w:rsidP="007D1009">
      <w:pPr>
        <w:spacing w:line="480" w:lineRule="auto"/>
        <w:ind w:firstLine="720"/>
      </w:pPr>
      <w:r w:rsidRPr="007C68F1">
        <w:lastRenderedPageBreak/>
        <w:t xml:space="preserve">The </w:t>
      </w:r>
      <w:r w:rsidR="00556AA3" w:rsidRPr="007C68F1">
        <w:t xml:space="preserve">medical center’s </w:t>
      </w:r>
      <w:r w:rsidRPr="007C68F1">
        <w:t xml:space="preserve">lawyers did not </w:t>
      </w:r>
      <w:r w:rsidR="00587C98" w:rsidRPr="007C68F1">
        <w:t>explain</w:t>
      </w:r>
      <w:r w:rsidRPr="007C68F1">
        <w:t xml:space="preserve"> how </w:t>
      </w:r>
      <w:r w:rsidR="007A35AF" w:rsidRPr="007C68F1">
        <w:t>her</w:t>
      </w:r>
      <w:r w:rsidRPr="007C68F1">
        <w:t xml:space="preserve"> declaration could affect </w:t>
      </w:r>
      <w:r w:rsidR="007A35AF" w:rsidRPr="007C68F1">
        <w:t>her</w:t>
      </w:r>
      <w:r w:rsidRPr="007C68F1">
        <w:t xml:space="preserve"> potential recovery from this lawsuit.  The lawyers said that </w:t>
      </w:r>
      <w:r w:rsidR="007A35AF" w:rsidRPr="007C68F1">
        <w:t>her</w:t>
      </w:r>
      <w:r w:rsidRPr="007C68F1">
        <w:t xml:space="preserve"> declaration could be used in court</w:t>
      </w:r>
      <w:r w:rsidR="00556AA3" w:rsidRPr="007C68F1">
        <w:t xml:space="preserve"> and that it might be used against her as a potential class member</w:t>
      </w:r>
      <w:r w:rsidRPr="007C68F1">
        <w:t xml:space="preserve">, but </w:t>
      </w:r>
      <w:r w:rsidR="007A35AF" w:rsidRPr="007C68F1">
        <w:t>she</w:t>
      </w:r>
      <w:r w:rsidRPr="007C68F1">
        <w:t xml:space="preserve"> did not rec</w:t>
      </w:r>
      <w:r w:rsidRPr="007C68F1">
        <w:t>all</w:t>
      </w:r>
      <w:r w:rsidR="00556AA3" w:rsidRPr="007C68F1">
        <w:t xml:space="preserve"> </w:t>
      </w:r>
      <w:r w:rsidRPr="007C68F1">
        <w:t xml:space="preserve">what they said about how it could </w:t>
      </w:r>
      <w:r w:rsidR="008D492F" w:rsidRPr="007C68F1">
        <w:t xml:space="preserve">be </w:t>
      </w:r>
      <w:r w:rsidRPr="007C68F1">
        <w:t>used.</w:t>
      </w:r>
      <w:r w:rsidR="000C6BFC" w:rsidRPr="007C68F1">
        <w:t xml:space="preserve">  The lawyers </w:t>
      </w:r>
      <w:bookmarkStart w:id="200" w:name="dabmq_72"/>
      <w:r w:rsidR="000C6BFC" w:rsidRPr="007C68F1">
        <w:t>“wanted to make sure that [she] agreed with everything that [she] was about to sign,”</w:t>
      </w:r>
      <w:bookmarkEnd w:id="200"/>
      <w:r w:rsidR="000C6BFC" w:rsidRPr="007C68F1">
        <w:t xml:space="preserve"> so they had her review her declaration</w:t>
      </w:r>
      <w:r w:rsidR="00DF3744" w:rsidRPr="007C68F1">
        <w:t>.</w:t>
      </w:r>
      <w:r w:rsidR="006278B3" w:rsidRPr="007C68F1">
        <w:t xml:space="preserve">  </w:t>
      </w:r>
      <w:r w:rsidR="007B4D0D" w:rsidRPr="007C68F1">
        <w:t xml:space="preserve">Dean reviewed </w:t>
      </w:r>
      <w:r w:rsidR="000C6BFC" w:rsidRPr="007C68F1">
        <w:t>it and</w:t>
      </w:r>
      <w:r w:rsidR="007B4D0D" w:rsidRPr="007C68F1">
        <w:t xml:space="preserve"> sign</w:t>
      </w:r>
      <w:r w:rsidR="000C6BFC" w:rsidRPr="007C68F1">
        <w:t>ed</w:t>
      </w:r>
      <w:r w:rsidR="007B4D0D" w:rsidRPr="007C68F1">
        <w:t xml:space="preserve"> it.</w:t>
      </w:r>
      <w:r w:rsidRPr="007C68F1">
        <w:t xml:space="preserve"> </w:t>
      </w:r>
      <w:r w:rsidR="00817794" w:rsidRPr="007C68F1">
        <w:t xml:space="preserve"> She</w:t>
      </w:r>
      <w:r w:rsidR="008360C9" w:rsidRPr="007C68F1">
        <w:t xml:space="preserve"> did not </w:t>
      </w:r>
      <w:r w:rsidR="008502DA" w:rsidRPr="007C68F1">
        <w:t>get</w:t>
      </w:r>
      <w:r w:rsidR="008360C9" w:rsidRPr="007C68F1">
        <w:t xml:space="preserve"> a copy of </w:t>
      </w:r>
      <w:r w:rsidR="007A35AF" w:rsidRPr="007C68F1">
        <w:t>her</w:t>
      </w:r>
      <w:r w:rsidR="008360C9" w:rsidRPr="007C68F1">
        <w:t xml:space="preserve"> declaration. </w:t>
      </w:r>
    </w:p>
    <w:p w14:paraId="4B701A67" w14:textId="77777777" w:rsidR="0089295F" w:rsidRPr="007C68F1" w:rsidRDefault="00D16B2E" w:rsidP="007D1009">
      <w:pPr>
        <w:spacing w:line="480" w:lineRule="auto"/>
        <w:ind w:firstLine="720"/>
      </w:pPr>
      <w:r w:rsidRPr="007C68F1">
        <w:rPr>
          <w:u w:val="single"/>
        </w:rPr>
        <w:t>Rebecca Manzo</w:t>
      </w:r>
      <w:r w:rsidRPr="007C68F1">
        <w:t>:</w:t>
      </w:r>
      <w:r w:rsidR="004C0E2D" w:rsidRPr="007C68F1">
        <w:t xml:space="preserve">  </w:t>
      </w:r>
      <w:r w:rsidR="00467630" w:rsidRPr="007C68F1">
        <w:t>Manzo’s manager asked her to go to a meeting, and Manzo</w:t>
      </w:r>
      <w:r w:rsidR="0080166B" w:rsidRPr="007C68F1">
        <w:t xml:space="preserve"> agreed.</w:t>
      </w:r>
      <w:r w:rsidR="00467630" w:rsidRPr="007C68F1">
        <w:t xml:space="preserve">  Manzo did “not really” know what the meeting was about before she got there.  She met with two </w:t>
      </w:r>
      <w:r w:rsidR="002C75A7" w:rsidRPr="007C68F1">
        <w:t xml:space="preserve">women </w:t>
      </w:r>
      <w:r w:rsidR="00467630" w:rsidRPr="007C68F1">
        <w:t>whom she believed were lawyers</w:t>
      </w:r>
      <w:r w:rsidR="0038005C" w:rsidRPr="007C68F1">
        <w:t xml:space="preserve">, and she knew that they represented </w:t>
      </w:r>
      <w:r w:rsidR="00467630" w:rsidRPr="007C68F1">
        <w:t xml:space="preserve">the medical center.  </w:t>
      </w:r>
      <w:r w:rsidRPr="007C68F1">
        <w:t xml:space="preserve">They told her that a former employee was suing the hospital, and they wanted to ask her some questions.  </w:t>
      </w:r>
      <w:r w:rsidR="00CF6F04" w:rsidRPr="007C68F1">
        <w:t xml:space="preserve">Manzo </w:t>
      </w:r>
      <w:r w:rsidR="009272C4" w:rsidRPr="007C68F1">
        <w:t>could not recall whether the</w:t>
      </w:r>
      <w:r w:rsidR="00CF6F04" w:rsidRPr="007C68F1">
        <w:t xml:space="preserve"> medical center’s lawyers</w:t>
      </w:r>
      <w:r w:rsidR="0016368E" w:rsidRPr="007C68F1">
        <w:t xml:space="preserve"> </w:t>
      </w:r>
      <w:r w:rsidRPr="007C68F1">
        <w:t>told her</w:t>
      </w:r>
      <w:r w:rsidR="0016368E" w:rsidRPr="007C68F1">
        <w:t xml:space="preserve"> about Woodworth’s claims.</w:t>
      </w:r>
      <w:r w:rsidR="00CF6F04" w:rsidRPr="007C68F1">
        <w:t xml:space="preserve"> </w:t>
      </w:r>
      <w:r w:rsidR="0016368E" w:rsidRPr="007C68F1">
        <w:t xml:space="preserve"> </w:t>
      </w:r>
    </w:p>
    <w:p w14:paraId="26B1B7D0" w14:textId="77777777" w:rsidR="00E37707" w:rsidRPr="007C68F1" w:rsidRDefault="00D16B2E" w:rsidP="007D1009">
      <w:pPr>
        <w:spacing w:line="480" w:lineRule="auto"/>
        <w:ind w:firstLine="720"/>
      </w:pPr>
      <w:r w:rsidRPr="007C68F1">
        <w:t>The medical</w:t>
      </w:r>
      <w:r w:rsidRPr="007C68F1">
        <w:t xml:space="preserve"> center’s lawyers </w:t>
      </w:r>
      <w:r w:rsidR="00CF6F04" w:rsidRPr="007C68F1">
        <w:t xml:space="preserve">told </w:t>
      </w:r>
      <w:r w:rsidR="002C75A7" w:rsidRPr="007C68F1">
        <w:t xml:space="preserve">Manzo </w:t>
      </w:r>
      <w:r w:rsidR="00CF6F04" w:rsidRPr="007C68F1">
        <w:t xml:space="preserve">that Woodworth had filed a class action, </w:t>
      </w:r>
      <w:r w:rsidR="00207FC8" w:rsidRPr="007C68F1">
        <w:t xml:space="preserve">and </w:t>
      </w:r>
      <w:r w:rsidRPr="007C68F1">
        <w:t>Manzo</w:t>
      </w:r>
      <w:r w:rsidR="00207FC8" w:rsidRPr="007C68F1">
        <w:t xml:space="preserve"> knew that she could be a member of a class action, </w:t>
      </w:r>
      <w:r w:rsidR="00CF6F04" w:rsidRPr="007C68F1">
        <w:t xml:space="preserve">but they did not tell </w:t>
      </w:r>
      <w:r w:rsidRPr="007C68F1">
        <w:t>her</w:t>
      </w:r>
      <w:r w:rsidR="00CF6F04" w:rsidRPr="007C68F1">
        <w:t xml:space="preserve"> what a class action was.  </w:t>
      </w:r>
      <w:r w:rsidR="00801923" w:rsidRPr="007C68F1">
        <w:t>They did not tell her that Woodworth was seeking to represent other hourly employees, and s</w:t>
      </w:r>
      <w:r w:rsidR="00CF6F04" w:rsidRPr="007C68F1">
        <w:t>he did not understand what a class action was when she signed her declaration.</w:t>
      </w:r>
    </w:p>
    <w:p w14:paraId="0AE56A9A" w14:textId="77777777" w:rsidR="00E37707" w:rsidRPr="007C68F1" w:rsidRDefault="00D16B2E" w:rsidP="007D1009">
      <w:pPr>
        <w:spacing w:line="480" w:lineRule="auto"/>
        <w:ind w:firstLine="720"/>
      </w:pPr>
      <w:r w:rsidRPr="007C68F1">
        <w:t>The lawyers told her that the judge in this case might see her declaration, but they did not tell her that the medical center would use the declaration to</w:t>
      </w:r>
      <w:r w:rsidRPr="007C68F1">
        <w:t xml:space="preserve"> oppose Woodworth’s request for class certification.</w:t>
      </w:r>
      <w:r w:rsidR="00956E82" w:rsidRPr="007C68F1">
        <w:t xml:space="preserve"> </w:t>
      </w:r>
      <w:r w:rsidRPr="007C68F1">
        <w:t xml:space="preserve"> Manzo testified that each of the statements in the final </w:t>
      </w:r>
      <w:r w:rsidR="001553E6" w:rsidRPr="007C68F1">
        <w:t xml:space="preserve">numbered </w:t>
      </w:r>
      <w:r w:rsidRPr="007C68F1">
        <w:t>paragraph of her declaration were true at the time she signed it.</w:t>
      </w:r>
      <w:r w:rsidR="00E403FD" w:rsidRPr="007C68F1">
        <w:t xml:space="preserve">  </w:t>
      </w:r>
      <w:r w:rsidRPr="007C68F1">
        <w:t xml:space="preserve">She reviewed her declaration before signing it.  </w:t>
      </w:r>
      <w:r w:rsidR="00E403FD" w:rsidRPr="007C68F1">
        <w:t xml:space="preserve">She explained:  </w:t>
      </w:r>
      <w:bookmarkStart w:id="201" w:name="dabmq_73"/>
      <w:r w:rsidR="00E403FD" w:rsidRPr="007C68F1">
        <w:t xml:space="preserve">“So I just know that when I signed this, </w:t>
      </w:r>
      <w:r w:rsidR="00E403FD" w:rsidRPr="007C68F1">
        <w:lastRenderedPageBreak/>
        <w:t>I was willing and voluntarily [</w:t>
      </w:r>
      <w:r w:rsidR="00E403FD" w:rsidRPr="007C68F1">
        <w:rPr>
          <w:i/>
          <w:iCs/>
        </w:rPr>
        <w:t>sic</w:t>
      </w:r>
      <w:r w:rsidR="00E403FD" w:rsidRPr="007C68F1">
        <w:t>] to just give the truth of whatever I know to the best of my ability and whoever it’s going to help or not help.”</w:t>
      </w:r>
      <w:bookmarkEnd w:id="201"/>
      <w:r w:rsidR="00E403FD" w:rsidRPr="007C68F1">
        <w:t xml:space="preserve">  </w:t>
      </w:r>
      <w:r w:rsidR="004C0E2D" w:rsidRPr="007C68F1">
        <w:t>She did not get a copy of her declaration.</w:t>
      </w:r>
    </w:p>
    <w:p w14:paraId="1E3746BA" w14:textId="77777777" w:rsidR="001A7793" w:rsidRPr="007C68F1" w:rsidRDefault="00D16B2E" w:rsidP="007D1009">
      <w:pPr>
        <w:tabs>
          <w:tab w:val="left" w:pos="450"/>
        </w:tabs>
        <w:spacing w:line="480" w:lineRule="auto"/>
        <w:ind w:firstLine="720"/>
      </w:pPr>
      <w:r w:rsidRPr="007C68F1">
        <w:rPr>
          <w:u w:val="single"/>
        </w:rPr>
        <w:t>Craig Midget</w:t>
      </w:r>
      <w:r w:rsidRPr="007C68F1">
        <w:t xml:space="preserve">:  </w:t>
      </w:r>
      <w:r w:rsidR="00301CBE" w:rsidRPr="007C68F1">
        <w:t xml:space="preserve">Midget’s supervisor asked Midget if he </w:t>
      </w:r>
      <w:bookmarkStart w:id="202" w:name="dabmq_74"/>
      <w:r w:rsidR="00301CBE" w:rsidRPr="007C68F1">
        <w:t xml:space="preserve">“would </w:t>
      </w:r>
      <w:r w:rsidR="00565527" w:rsidRPr="007C68F1">
        <w:t xml:space="preserve">. . . </w:t>
      </w:r>
      <w:r w:rsidR="00301CBE" w:rsidRPr="007C68F1">
        <w:t>mind going to talk to the lawyers.”</w:t>
      </w:r>
      <w:bookmarkEnd w:id="202"/>
      <w:r w:rsidR="00301CBE" w:rsidRPr="007C68F1">
        <w:t xml:space="preserve">  </w:t>
      </w:r>
      <w:r w:rsidRPr="007C68F1">
        <w:t xml:space="preserve">He felt that he could refuse to go to the meeting.  </w:t>
      </w:r>
      <w:r w:rsidR="00301CBE" w:rsidRPr="007C68F1">
        <w:t xml:space="preserve">He could not remember what the supervisor said about the subject of the </w:t>
      </w:r>
      <w:r w:rsidRPr="007C68F1">
        <w:t>interview</w:t>
      </w:r>
      <w:r w:rsidR="00301CBE" w:rsidRPr="007C68F1">
        <w:t>.</w:t>
      </w:r>
      <w:r w:rsidRPr="007C68F1">
        <w:t xml:space="preserve">  When Midget met with the lawyers, he under</w:t>
      </w:r>
      <w:r w:rsidRPr="007C68F1">
        <w:t xml:space="preserve">stood that they represented the medical center.  </w:t>
      </w:r>
      <w:r w:rsidR="008B3E1A" w:rsidRPr="007C68F1">
        <w:t xml:space="preserve">The lawyers told him that Woodworth was trying </w:t>
      </w:r>
      <w:bookmarkStart w:id="203" w:name="dabmq_75"/>
      <w:r w:rsidR="008B3E1A" w:rsidRPr="007C68F1">
        <w:t>“to invalidate the [AWS], the voting part of it.”</w:t>
      </w:r>
      <w:bookmarkEnd w:id="203"/>
      <w:r w:rsidR="008B3E1A" w:rsidRPr="007C68F1">
        <w:t xml:space="preserve">  He might have been told that Woodworth was seeking overtime wages for her AWS claim, but he could not remember.  He could not remember if he had been told about her rest period allegations, but he had been told about her allegations regarding pay stubs.</w:t>
      </w:r>
    </w:p>
    <w:p w14:paraId="49A10A90" w14:textId="77777777" w:rsidR="00B9242A" w:rsidRPr="007C68F1" w:rsidRDefault="00D16B2E" w:rsidP="007D1009">
      <w:pPr>
        <w:tabs>
          <w:tab w:val="left" w:pos="450"/>
        </w:tabs>
        <w:spacing w:line="480" w:lineRule="auto"/>
        <w:ind w:firstLine="720"/>
      </w:pPr>
      <w:r w:rsidRPr="007C68F1">
        <w:t xml:space="preserve">Midget asked the </w:t>
      </w:r>
      <w:r w:rsidR="00A64CC7" w:rsidRPr="007C68F1">
        <w:t xml:space="preserve">medical center’s </w:t>
      </w:r>
      <w:r w:rsidRPr="007C68F1">
        <w:t xml:space="preserve">lawyers about </w:t>
      </w:r>
      <w:bookmarkStart w:id="204" w:name="dabmq_76"/>
      <w:r w:rsidRPr="007C68F1">
        <w:t xml:space="preserve">“the exact nature of </w:t>
      </w:r>
      <w:r w:rsidR="00565527" w:rsidRPr="007C68F1">
        <w:t>this</w:t>
      </w:r>
      <w:r w:rsidRPr="007C68F1">
        <w:t xml:space="preserve"> lawsuit,”</w:t>
      </w:r>
      <w:bookmarkEnd w:id="204"/>
      <w:r w:rsidRPr="007C68F1">
        <w:t xml:space="preserve"> and they explained that the</w:t>
      </w:r>
      <w:r w:rsidRPr="007C68F1">
        <w:t xml:space="preserve"> plaintiff had alleged a class action on behalf of herself and other hourly employees.  They did not say that Midget could be a member of the class if Woodworth were successful, but he understood that he might be entitled to some money if Woodworth were su</w:t>
      </w:r>
      <w:r w:rsidRPr="007C68F1">
        <w:t xml:space="preserve">ccessful.  </w:t>
      </w:r>
    </w:p>
    <w:p w14:paraId="421F0A9B" w14:textId="77777777" w:rsidR="00967C38" w:rsidRPr="007C68F1" w:rsidRDefault="00D16B2E" w:rsidP="007D1009">
      <w:pPr>
        <w:spacing w:line="480" w:lineRule="auto"/>
        <w:ind w:firstLine="720"/>
      </w:pPr>
      <w:r w:rsidRPr="007C68F1">
        <w:t>The medical center’s lawyers</w:t>
      </w:r>
      <w:r w:rsidR="0025033C" w:rsidRPr="007C68F1">
        <w:t xml:space="preserve"> stressed that his declaration </w:t>
      </w:r>
      <w:bookmarkStart w:id="205" w:name="dabmq_77"/>
      <w:r w:rsidR="0025033C" w:rsidRPr="007C68F1">
        <w:t>“would go to the other side,”</w:t>
      </w:r>
      <w:bookmarkEnd w:id="205"/>
      <w:r w:rsidR="0025033C" w:rsidRPr="007C68F1">
        <w:t xml:space="preserve"> and he assumed that meant the judge would see it also.</w:t>
      </w:r>
      <w:r w:rsidR="00DF0695" w:rsidRPr="007C68F1">
        <w:t xml:space="preserve">  </w:t>
      </w:r>
      <w:r w:rsidR="000B6552" w:rsidRPr="007C68F1">
        <w:t>He reviewed his declaration, and he did not think that he made any changes to it.  Midget</w:t>
      </w:r>
      <w:r w:rsidR="008B3E1A" w:rsidRPr="007C68F1">
        <w:t xml:space="preserve"> did not recall the lawyers giving him the contact information for the plaintiff’s lawyers.  </w:t>
      </w:r>
      <w:r w:rsidR="00693047" w:rsidRPr="007C68F1">
        <w:t>He did not receive a document from the medical center’s lawyers asking for a conflict waiver.</w:t>
      </w:r>
    </w:p>
    <w:p w14:paraId="3BE6C369" w14:textId="77777777" w:rsidR="00727336" w:rsidRPr="007C68F1" w:rsidRDefault="00D16B2E" w:rsidP="007D1009">
      <w:pPr>
        <w:spacing w:line="480" w:lineRule="auto"/>
        <w:ind w:firstLine="720"/>
      </w:pPr>
      <w:r w:rsidRPr="007C68F1">
        <w:rPr>
          <w:u w:val="single"/>
        </w:rPr>
        <w:lastRenderedPageBreak/>
        <w:t>Brittany Ormerod</w:t>
      </w:r>
      <w:r w:rsidRPr="007C68F1">
        <w:t xml:space="preserve">:  </w:t>
      </w:r>
      <w:r w:rsidR="00F4144C" w:rsidRPr="007C68F1">
        <w:t>Ormerod</w:t>
      </w:r>
      <w:r w:rsidR="001B6D70" w:rsidRPr="007C68F1">
        <w:t xml:space="preserve">’s </w:t>
      </w:r>
      <w:r w:rsidRPr="007C68F1">
        <w:t xml:space="preserve">manager asked her </w:t>
      </w:r>
      <w:bookmarkStart w:id="206" w:name="dabmq_78"/>
      <w:r w:rsidRPr="007C68F1">
        <w:t xml:space="preserve">“to meet with our lawyers and talk about the rest breaks and other things </w:t>
      </w:r>
      <w:r w:rsidR="00C65AED" w:rsidRPr="007C68F1">
        <w:t>that might come up due to a lawsuit that was going on with the hospital.”</w:t>
      </w:r>
      <w:bookmarkEnd w:id="206"/>
      <w:r w:rsidR="00C65AED" w:rsidRPr="007C68F1">
        <w:t xml:space="preserve">  </w:t>
      </w:r>
      <w:r w:rsidR="0049656A" w:rsidRPr="007C68F1">
        <w:t xml:space="preserve">When she met with the lawyers, they told her that they represented the medical center, and she did not think that they represented her.  </w:t>
      </w:r>
      <w:r w:rsidR="00C65AED" w:rsidRPr="007C68F1">
        <w:t>She felt that she could have told her manager that she did not want to meet with the lawyers, and she felt that she could leave the meeting at any time.</w:t>
      </w:r>
    </w:p>
    <w:p w14:paraId="1EE36A97" w14:textId="77777777" w:rsidR="00602113" w:rsidRPr="007C68F1" w:rsidRDefault="00D16B2E" w:rsidP="007D1009">
      <w:pPr>
        <w:spacing w:line="480" w:lineRule="auto"/>
        <w:ind w:firstLine="720"/>
      </w:pPr>
      <w:r w:rsidRPr="007C68F1">
        <w:t xml:space="preserve">The </w:t>
      </w:r>
      <w:r w:rsidR="00721BE4" w:rsidRPr="007C68F1">
        <w:t xml:space="preserve">medical center’s </w:t>
      </w:r>
      <w:r w:rsidRPr="007C68F1">
        <w:t xml:space="preserve">lawyers did “[n]ot really” tell </w:t>
      </w:r>
      <w:r w:rsidR="001B6D70" w:rsidRPr="007C68F1">
        <w:t>Ormerod</w:t>
      </w:r>
      <w:r w:rsidRPr="007C68F1">
        <w:t xml:space="preserve"> anything abo</w:t>
      </w:r>
      <w:r w:rsidRPr="007C68F1">
        <w:t xml:space="preserve">ut this lawsuit.  They told her about the rest period allegations, but she did not </w:t>
      </w:r>
      <w:r w:rsidR="008E1104" w:rsidRPr="007C68F1">
        <w:t xml:space="preserve">think </w:t>
      </w:r>
      <w:r w:rsidRPr="007C68F1">
        <w:t>they mention</w:t>
      </w:r>
      <w:r w:rsidR="008E1104" w:rsidRPr="007C68F1">
        <w:t>ed</w:t>
      </w:r>
      <w:r w:rsidRPr="007C68F1">
        <w:t xml:space="preserve"> a claim for overtime or allegations about pay stubs, and she could not remember any allegations about the Christmas bonus.  But they asked her questions</w:t>
      </w:r>
      <w:r w:rsidRPr="007C68F1">
        <w:t xml:space="preserve"> about all of those things.  </w:t>
      </w:r>
      <w:r w:rsidR="009C3A89" w:rsidRPr="007C68F1">
        <w:t xml:space="preserve">The lawyers might have </w:t>
      </w:r>
      <w:r w:rsidRPr="007C68F1">
        <w:t xml:space="preserve">told her that Woodworth had brought a class action, </w:t>
      </w:r>
      <w:r w:rsidR="009C3A89" w:rsidRPr="007C68F1">
        <w:t>but she did not recall.</w:t>
      </w:r>
      <w:r w:rsidR="00727336" w:rsidRPr="007C68F1">
        <w:t xml:space="preserve">  </w:t>
      </w:r>
      <w:r w:rsidR="009C3A89" w:rsidRPr="007C68F1">
        <w:t>S</w:t>
      </w:r>
      <w:r w:rsidR="00CE0C1E" w:rsidRPr="007C68F1">
        <w:t>he understood that she could be</w:t>
      </w:r>
      <w:r w:rsidRPr="007C68F1">
        <w:t xml:space="preserve"> a</w:t>
      </w:r>
      <w:r w:rsidR="00CE0C1E" w:rsidRPr="007C68F1">
        <w:t xml:space="preserve"> class member</w:t>
      </w:r>
      <w:r w:rsidR="009C3A89" w:rsidRPr="007C68F1">
        <w:t xml:space="preserve"> if Woodworth were successful</w:t>
      </w:r>
      <w:r w:rsidR="00087A93" w:rsidRPr="007C68F1">
        <w:t>, although she di</w:t>
      </w:r>
      <w:r w:rsidR="008F0357" w:rsidRPr="007C68F1">
        <w:t>d</w:t>
      </w:r>
      <w:r w:rsidR="00087A93" w:rsidRPr="007C68F1">
        <w:t xml:space="preserve"> not recall what the lawyers said about that possibility</w:t>
      </w:r>
      <w:r w:rsidR="00CE0C1E" w:rsidRPr="007C68F1">
        <w:t xml:space="preserve">.  </w:t>
      </w:r>
    </w:p>
    <w:p w14:paraId="157CD55C" w14:textId="77777777" w:rsidR="00062D34" w:rsidRPr="007C68F1" w:rsidRDefault="00D16B2E" w:rsidP="007D1009">
      <w:pPr>
        <w:spacing w:line="480" w:lineRule="auto"/>
        <w:ind w:firstLine="720"/>
      </w:pPr>
      <w:r w:rsidRPr="007C68F1">
        <w:t xml:space="preserve">The </w:t>
      </w:r>
      <w:r w:rsidR="001B6D70" w:rsidRPr="007C68F1">
        <w:t xml:space="preserve">medical center’s </w:t>
      </w:r>
      <w:r w:rsidRPr="007C68F1">
        <w:t xml:space="preserve">lawyers told </w:t>
      </w:r>
      <w:r w:rsidR="001B6D70" w:rsidRPr="007C68F1">
        <w:t>Ormerod</w:t>
      </w:r>
      <w:r w:rsidRPr="007C68F1">
        <w:t xml:space="preserve"> that her declaration could be used in the lawsuit, but she did not recall if they told her for “which side” </w:t>
      </w:r>
      <w:r w:rsidR="00727336" w:rsidRPr="007C68F1">
        <w:t>it could be used.</w:t>
      </w:r>
      <w:r w:rsidR="00DF0695" w:rsidRPr="007C68F1">
        <w:t xml:space="preserve">  She did not know whether they had filed her declaration.</w:t>
      </w:r>
      <w:r w:rsidR="00727336" w:rsidRPr="007C68F1">
        <w:t xml:space="preserve"> </w:t>
      </w:r>
      <w:r w:rsidR="00602113" w:rsidRPr="007C68F1">
        <w:t xml:space="preserve"> </w:t>
      </w:r>
      <w:r w:rsidR="001B6D70" w:rsidRPr="007C68F1">
        <w:t>She</w:t>
      </w:r>
      <w:r w:rsidR="00602113" w:rsidRPr="007C68F1">
        <w:t xml:space="preserve"> did not receive or sign any documents referring to a waiver of any conflict.  </w:t>
      </w:r>
      <w:r w:rsidR="00706ED5" w:rsidRPr="007C68F1">
        <w:t>She reviewed her declaration before she signed it, and everything in it was truthful.</w:t>
      </w:r>
    </w:p>
    <w:p w14:paraId="7111EE3B" w14:textId="77777777" w:rsidR="00D41641" w:rsidRPr="007C68F1" w:rsidRDefault="00D16B2E" w:rsidP="007D1009">
      <w:pPr>
        <w:spacing w:line="480" w:lineRule="auto"/>
        <w:ind w:firstLine="720"/>
      </w:pPr>
      <w:r w:rsidRPr="007C68F1">
        <w:rPr>
          <w:u w:val="single"/>
        </w:rPr>
        <w:t>Dominic Ortiz</w:t>
      </w:r>
      <w:r w:rsidRPr="007C68F1">
        <w:t>:  Ortiz</w:t>
      </w:r>
      <w:r w:rsidR="00FA6E4B" w:rsidRPr="007C68F1">
        <w:t xml:space="preserve">’s </w:t>
      </w:r>
      <w:r w:rsidR="0024437A" w:rsidRPr="007C68F1">
        <w:t xml:space="preserve">managers asked him if he </w:t>
      </w:r>
      <w:r w:rsidR="00013053" w:rsidRPr="007C68F1">
        <w:t>would be</w:t>
      </w:r>
      <w:r w:rsidR="0024437A" w:rsidRPr="007C68F1">
        <w:t xml:space="preserve"> willing to meet with the medical center’s lawyers.  When he met with the lawyers, they told him that they represented the medical center.  They wanted to know about his rest breaks, and they told </w:t>
      </w:r>
      <w:r w:rsidR="0024437A" w:rsidRPr="007C68F1">
        <w:lastRenderedPageBreak/>
        <w:t xml:space="preserve">him that </w:t>
      </w:r>
      <w:bookmarkStart w:id="207" w:name="dabmq_79"/>
      <w:r w:rsidR="0024437A" w:rsidRPr="007C68F1">
        <w:t>“there was someone filing a lawsuit.”</w:t>
      </w:r>
      <w:bookmarkEnd w:id="207"/>
      <w:r w:rsidR="0024437A" w:rsidRPr="007C68F1">
        <w:t xml:space="preserve">  He</w:t>
      </w:r>
      <w:r w:rsidRPr="007C68F1">
        <w:t xml:space="preserve"> believed</w:t>
      </w:r>
      <w:r w:rsidRPr="007C68F1">
        <w:t xml:space="preserve"> </w:t>
      </w:r>
      <w:r w:rsidR="00E822A8" w:rsidRPr="007C68F1">
        <w:t>they</w:t>
      </w:r>
      <w:r w:rsidRPr="007C68F1">
        <w:t xml:space="preserve"> told him that this case was a class action</w:t>
      </w:r>
      <w:r w:rsidR="00EC2075" w:rsidRPr="007C68F1">
        <w:t xml:space="preserve">, but </w:t>
      </w:r>
      <w:r w:rsidR="00E822A8" w:rsidRPr="007C68F1">
        <w:t>no one explained that</w:t>
      </w:r>
      <w:r w:rsidR="00EC2075" w:rsidRPr="007C68F1">
        <w:t xml:space="preserve"> </w:t>
      </w:r>
      <w:r w:rsidR="00986043" w:rsidRPr="007C68F1">
        <w:t>Woodworth had</w:t>
      </w:r>
      <w:r w:rsidR="00092B7B" w:rsidRPr="007C68F1">
        <w:t xml:space="preserve"> brought </w:t>
      </w:r>
      <w:r w:rsidR="00EC2075" w:rsidRPr="007C68F1">
        <w:t xml:space="preserve">the action </w:t>
      </w:r>
      <w:r w:rsidR="00092B7B" w:rsidRPr="007C68F1">
        <w:t xml:space="preserve">on </w:t>
      </w:r>
      <w:r w:rsidR="00EC2075" w:rsidRPr="007C68F1">
        <w:t>behalf of herself and all hourly nonexempt employees</w:t>
      </w:r>
      <w:r w:rsidRPr="007C68F1">
        <w:t xml:space="preserve">.  </w:t>
      </w:r>
      <w:r w:rsidR="00A17458" w:rsidRPr="007C68F1">
        <w:t>He</w:t>
      </w:r>
      <w:r w:rsidRPr="007C68F1">
        <w:t xml:space="preserve"> did not think that they told him </w:t>
      </w:r>
      <w:r w:rsidR="00DB7C58" w:rsidRPr="007C68F1">
        <w:t>he would stand to win if Woodworth won the law</w:t>
      </w:r>
      <w:r w:rsidR="00EC2075" w:rsidRPr="007C68F1">
        <w:t>s</w:t>
      </w:r>
      <w:r w:rsidR="00DB7C58" w:rsidRPr="007C68F1">
        <w:t>uit</w:t>
      </w:r>
      <w:r w:rsidRPr="007C68F1">
        <w:t xml:space="preserve">.  </w:t>
      </w:r>
      <w:r w:rsidRPr="007C68F1">
        <w:t xml:space="preserve">He does not remember whether they said anything about the lawsuit also being a private attorney general action.  </w:t>
      </w:r>
      <w:r w:rsidR="003071B3" w:rsidRPr="007C68F1">
        <w:t>No one</w:t>
      </w:r>
      <w:r w:rsidRPr="007C68F1">
        <w:t xml:space="preserve"> explain</w:t>
      </w:r>
      <w:r w:rsidR="003071B3" w:rsidRPr="007C68F1">
        <w:t>ed</w:t>
      </w:r>
      <w:r w:rsidRPr="007C68F1">
        <w:t xml:space="preserve"> that employees can sue on behalf of the state and all the employees at a place of business.</w:t>
      </w:r>
    </w:p>
    <w:p w14:paraId="57ED3608" w14:textId="77777777" w:rsidR="000A1F2B" w:rsidRPr="007C68F1" w:rsidRDefault="00D16B2E" w:rsidP="007D1009">
      <w:pPr>
        <w:spacing w:line="480" w:lineRule="auto"/>
        <w:ind w:firstLine="720"/>
      </w:pPr>
      <w:r w:rsidRPr="007C68F1">
        <w:t>Ortiz did not remember the</w:t>
      </w:r>
      <w:r w:rsidR="00AC59CE" w:rsidRPr="007C68F1">
        <w:t xml:space="preserve"> medical center’s</w:t>
      </w:r>
      <w:r w:rsidRPr="007C68F1">
        <w:t xml:space="preserve"> lawyers mentioning that there was a plaintiff’s lawyer in this case or providing the name of that person.  They did not tell him that he could talk to Woodworth’s lawyers.  </w:t>
      </w:r>
      <w:r w:rsidR="00DB7C58" w:rsidRPr="007C68F1">
        <w:t xml:space="preserve">They told him that his declaration </w:t>
      </w:r>
      <w:r w:rsidR="00A17458" w:rsidRPr="007C68F1">
        <w:t>would probably</w:t>
      </w:r>
      <w:r w:rsidR="00DB7C58" w:rsidRPr="007C68F1">
        <w:t xml:space="preserve"> be used in </w:t>
      </w:r>
      <w:r w:rsidR="00A17458" w:rsidRPr="007C68F1">
        <w:t>this</w:t>
      </w:r>
      <w:r w:rsidR="00DB7C58" w:rsidRPr="007C68F1">
        <w:t xml:space="preserve"> lawsuit</w:t>
      </w:r>
      <w:r w:rsidR="00A17458" w:rsidRPr="007C68F1">
        <w:t>, but they did not explain how</w:t>
      </w:r>
      <w:r w:rsidR="00DB7C58" w:rsidRPr="007C68F1">
        <w:t>.</w:t>
      </w:r>
      <w:r w:rsidR="00107756" w:rsidRPr="007C68F1">
        <w:t xml:space="preserve">  He did not know how his declaration could affect whether the matter was certified as a class action.</w:t>
      </w:r>
      <w:r w:rsidR="00164E43" w:rsidRPr="007C68F1">
        <w:t xml:space="preserve">  </w:t>
      </w:r>
      <w:r w:rsidR="00581D0B" w:rsidRPr="007C68F1">
        <w:t>Ortiz understood that if he had any questions, the medical center’s lawyers would answer them, but he did not have any questions.</w:t>
      </w:r>
      <w:r w:rsidR="007B5A95" w:rsidRPr="007C68F1">
        <w:t xml:space="preserve">  </w:t>
      </w:r>
      <w:r w:rsidR="00164E43" w:rsidRPr="007C68F1">
        <w:t>He reviewed his declaration and made one change to it before he signed it.</w:t>
      </w:r>
      <w:r w:rsidR="00367D0B" w:rsidRPr="007C68F1">
        <w:t xml:space="preserve"> </w:t>
      </w:r>
      <w:r w:rsidR="00164E43" w:rsidRPr="007C68F1">
        <w:t xml:space="preserve"> </w:t>
      </w:r>
    </w:p>
    <w:p w14:paraId="423EC0A0" w14:textId="77777777" w:rsidR="006C7B50" w:rsidRPr="007C68F1" w:rsidRDefault="00D16B2E" w:rsidP="007D1009">
      <w:pPr>
        <w:spacing w:line="480" w:lineRule="auto"/>
        <w:ind w:firstLine="720"/>
      </w:pPr>
      <w:r w:rsidRPr="007C68F1">
        <w:rPr>
          <w:u w:val="single"/>
        </w:rPr>
        <w:t>Elizabeth Picazo</w:t>
      </w:r>
      <w:r w:rsidRPr="007C68F1">
        <w:t>:</w:t>
      </w:r>
      <w:r w:rsidR="007F4E62" w:rsidRPr="007C68F1">
        <w:t xml:space="preserve">  </w:t>
      </w:r>
      <w:r w:rsidR="00000FE1" w:rsidRPr="007C68F1">
        <w:t>Picazo</w:t>
      </w:r>
      <w:r w:rsidR="00B9314F" w:rsidRPr="007C68F1">
        <w:t xml:space="preserve">’s </w:t>
      </w:r>
      <w:r w:rsidR="00000FE1" w:rsidRPr="007C68F1">
        <w:t xml:space="preserve">supervisor asked if she could go to a meeting to talk about how everything works in Picazo’s unit, and Picazo </w:t>
      </w:r>
      <w:r w:rsidR="00021D4E" w:rsidRPr="007C68F1">
        <w:t>agreed.</w:t>
      </w:r>
      <w:r w:rsidR="00000FE1" w:rsidRPr="007C68F1">
        <w:t xml:space="preserve">  </w:t>
      </w:r>
      <w:r w:rsidR="00946F59" w:rsidRPr="007C68F1">
        <w:t xml:space="preserve">At the meeting, the </w:t>
      </w:r>
      <w:r w:rsidR="00DB08FB" w:rsidRPr="007C68F1">
        <w:t xml:space="preserve">medical center’s </w:t>
      </w:r>
      <w:r w:rsidR="00B00532" w:rsidRPr="007C68F1">
        <w:t>lawyers</w:t>
      </w:r>
      <w:r w:rsidR="00D36C79" w:rsidRPr="007C68F1">
        <w:t xml:space="preserve"> told her that they represented the hospital.  They</w:t>
      </w:r>
      <w:r w:rsidR="00B00532" w:rsidRPr="007C68F1">
        <w:t xml:space="preserve"> told her that there was a pending lawsuit, they wanted to ask her questions, and they </w:t>
      </w:r>
      <w:bookmarkStart w:id="208" w:name="dabmq_80"/>
      <w:r w:rsidR="00B00532" w:rsidRPr="007C68F1">
        <w:t>“wanted [her] honest opinion.”</w:t>
      </w:r>
      <w:bookmarkEnd w:id="208"/>
      <w:r w:rsidR="00367D0B" w:rsidRPr="007C68F1">
        <w:t xml:space="preserve">  </w:t>
      </w:r>
      <w:r w:rsidR="00E35998" w:rsidRPr="007C68F1">
        <w:t xml:space="preserve">She did not remember if they told her what the lawsuit was about, and she did not remember their words “exactly.”  </w:t>
      </w:r>
      <w:r w:rsidRPr="007C68F1">
        <w:t>They did not say anything about the Christmas bonus in the meeti</w:t>
      </w:r>
      <w:r w:rsidRPr="007C68F1">
        <w:t>ng</w:t>
      </w:r>
      <w:r w:rsidR="0034066C" w:rsidRPr="007C68F1">
        <w:t>.</w:t>
      </w:r>
      <w:r w:rsidR="001C669F" w:rsidRPr="007C68F1">
        <w:t xml:space="preserve"> </w:t>
      </w:r>
      <w:r w:rsidR="00012153" w:rsidRPr="007C68F1">
        <w:t xml:space="preserve"> No one explained Woodworth’s claim that the pay stubs </w:t>
      </w:r>
      <w:r w:rsidR="00012153" w:rsidRPr="007C68F1">
        <w:lastRenderedPageBreak/>
        <w:t>should include “‘Total Hours Worked’” on them.  Picazo</w:t>
      </w:r>
      <w:r w:rsidR="001751C0" w:rsidRPr="007C68F1">
        <w:t xml:space="preserve"> did not know whether Woodworth </w:t>
      </w:r>
      <w:r w:rsidR="001C56AB" w:rsidRPr="007C68F1">
        <w:t>wanted</w:t>
      </w:r>
      <w:r w:rsidR="001751C0" w:rsidRPr="007C68F1">
        <w:t xml:space="preserve"> </w:t>
      </w:r>
      <w:bookmarkStart w:id="209" w:name="dabmq_81"/>
      <w:r w:rsidR="001751C0" w:rsidRPr="007C68F1">
        <w:t>“to get rid of”</w:t>
      </w:r>
      <w:bookmarkEnd w:id="209"/>
      <w:r w:rsidR="001751C0" w:rsidRPr="007C68F1">
        <w:t xml:space="preserve"> the AWS.</w:t>
      </w:r>
      <w:r w:rsidR="001C669F" w:rsidRPr="007C68F1">
        <w:t xml:space="preserve">  </w:t>
      </w:r>
      <w:r w:rsidR="001C56AB" w:rsidRPr="007C68F1">
        <w:t xml:space="preserve">No one explained </w:t>
      </w:r>
      <w:r w:rsidR="001C669F" w:rsidRPr="007C68F1">
        <w:t xml:space="preserve">that Woodworth was </w:t>
      </w:r>
      <w:r w:rsidR="005C2D7A" w:rsidRPr="007C68F1">
        <w:t>claiming</w:t>
      </w:r>
      <w:r w:rsidR="001C669F" w:rsidRPr="007C68F1">
        <w:t xml:space="preserve"> the medical center </w:t>
      </w:r>
      <w:bookmarkStart w:id="210" w:name="dabmq_82"/>
      <w:r w:rsidR="00A876DB" w:rsidRPr="007C68F1">
        <w:t>“didn’t do the right things”</w:t>
      </w:r>
      <w:bookmarkEnd w:id="210"/>
      <w:r w:rsidR="00A876DB" w:rsidRPr="007C68F1">
        <w:t xml:space="preserve"> necessary to pay the employees </w:t>
      </w:r>
      <w:bookmarkStart w:id="211" w:name="dabmq_83"/>
      <w:r w:rsidR="00A876DB" w:rsidRPr="007C68F1">
        <w:t>“straight time for 12 hours,”</w:t>
      </w:r>
      <w:bookmarkEnd w:id="211"/>
      <w:r w:rsidR="00A876DB" w:rsidRPr="007C68F1">
        <w:t xml:space="preserve"> </w:t>
      </w:r>
      <w:r w:rsidR="00AD4F21" w:rsidRPr="007C68F1">
        <w:t xml:space="preserve">and </w:t>
      </w:r>
      <w:r w:rsidR="001C56AB" w:rsidRPr="007C68F1">
        <w:t>no one</w:t>
      </w:r>
      <w:r w:rsidR="00AD4F21" w:rsidRPr="007C68F1">
        <w:t xml:space="preserve"> explain</w:t>
      </w:r>
      <w:r w:rsidR="001C56AB" w:rsidRPr="007C68F1">
        <w:t>ed</w:t>
      </w:r>
      <w:r w:rsidR="00AD4F21" w:rsidRPr="007C68F1">
        <w:t xml:space="preserve"> that</w:t>
      </w:r>
      <w:r w:rsidR="001C669F" w:rsidRPr="007C68F1">
        <w:t xml:space="preserve"> </w:t>
      </w:r>
      <w:r w:rsidR="005C2D7A" w:rsidRPr="007C68F1">
        <w:t>Woodworth</w:t>
      </w:r>
      <w:r w:rsidR="001C669F" w:rsidRPr="007C68F1">
        <w:t xml:space="preserve"> was seeking backpay for everyone who worked overtime</w:t>
      </w:r>
      <w:r w:rsidR="005C2D7A" w:rsidRPr="007C68F1">
        <w:t xml:space="preserve"> on 12-hour shifts.</w:t>
      </w:r>
    </w:p>
    <w:p w14:paraId="7C708D4B" w14:textId="77777777" w:rsidR="00D41641" w:rsidRPr="007C68F1" w:rsidRDefault="00D16B2E" w:rsidP="007D1009">
      <w:pPr>
        <w:spacing w:line="480" w:lineRule="auto"/>
        <w:ind w:firstLine="720"/>
      </w:pPr>
      <w:r w:rsidRPr="007C68F1">
        <w:t xml:space="preserve">Picazo </w:t>
      </w:r>
      <w:r w:rsidR="00CE6C73" w:rsidRPr="007C68F1">
        <w:t xml:space="preserve">did not recall if </w:t>
      </w:r>
      <w:r w:rsidR="00606FA1" w:rsidRPr="007C68F1">
        <w:t xml:space="preserve">the </w:t>
      </w:r>
      <w:r w:rsidR="000E71B2" w:rsidRPr="007C68F1">
        <w:t xml:space="preserve">medical center’s </w:t>
      </w:r>
      <w:r w:rsidR="00606FA1" w:rsidRPr="007C68F1">
        <w:t>lawyers</w:t>
      </w:r>
      <w:r w:rsidR="00CE6C73" w:rsidRPr="007C68F1">
        <w:t xml:space="preserve"> </w:t>
      </w:r>
      <w:r w:rsidR="00606FA1" w:rsidRPr="007C68F1">
        <w:t>told</w:t>
      </w:r>
      <w:r w:rsidR="00CE6C73" w:rsidRPr="007C68F1">
        <w:t xml:space="preserve"> her that Woodworth was suing on behalf of other people.</w:t>
      </w:r>
      <w:r w:rsidR="00AD4F21" w:rsidRPr="007C68F1">
        <w:t xml:space="preserve">  She did not know what a class action was, and they did not tell her that she was a potential class member.  </w:t>
      </w:r>
      <w:r w:rsidR="007812C0" w:rsidRPr="007C68F1">
        <w:t>She did not know</w:t>
      </w:r>
      <w:r w:rsidR="00AD4F21" w:rsidRPr="007C68F1">
        <w:t xml:space="preserve"> that she had the chance of recovering some money if this lawsuit were successful.</w:t>
      </w:r>
      <w:r w:rsidR="00CE6C73" w:rsidRPr="007C68F1">
        <w:t xml:space="preserve">  </w:t>
      </w:r>
      <w:r w:rsidR="009946BC" w:rsidRPr="007C68F1">
        <w:t>I</w:t>
      </w:r>
      <w:r w:rsidR="007F4E62" w:rsidRPr="007C68F1">
        <w:t xml:space="preserve">t was possible the medical center’s </w:t>
      </w:r>
      <w:r w:rsidR="00BF0DBC" w:rsidRPr="007C68F1">
        <w:t>lawyers</w:t>
      </w:r>
      <w:r w:rsidR="007F4E62" w:rsidRPr="007C68F1">
        <w:t xml:space="preserve"> told </w:t>
      </w:r>
      <w:r w:rsidRPr="007C68F1">
        <w:t>her</w:t>
      </w:r>
      <w:r w:rsidR="007F4E62" w:rsidRPr="007C68F1">
        <w:t xml:space="preserve"> that Woodworth was suing on behalf of the state as a private attorney general.</w:t>
      </w:r>
      <w:r w:rsidR="00C47C39" w:rsidRPr="007C68F1">
        <w:t xml:space="preserve">  But </w:t>
      </w:r>
      <w:r w:rsidR="00065CD4" w:rsidRPr="007C68F1">
        <w:t>Picazo</w:t>
      </w:r>
      <w:r w:rsidR="00C47C39" w:rsidRPr="007C68F1">
        <w:t xml:space="preserve"> had never heard of the </w:t>
      </w:r>
      <w:bookmarkStart w:id="212" w:name="dabmq_84"/>
      <w:r w:rsidR="00C47C39" w:rsidRPr="007C68F1">
        <w:t>“Private Attorney General Act.”</w:t>
      </w:r>
      <w:bookmarkEnd w:id="212"/>
      <w:r w:rsidR="007F4E62" w:rsidRPr="007C68F1">
        <w:t xml:space="preserve">  </w:t>
      </w:r>
      <w:r w:rsidR="007812C0" w:rsidRPr="007C68F1">
        <w:t xml:space="preserve">No one explained </w:t>
      </w:r>
      <w:r w:rsidR="007F4E62" w:rsidRPr="007C68F1">
        <w:t xml:space="preserve">to her that </w:t>
      </w:r>
      <w:r w:rsidR="00136C57" w:rsidRPr="007C68F1">
        <w:t>this</w:t>
      </w:r>
      <w:r w:rsidR="007F4E62" w:rsidRPr="007C68F1">
        <w:t xml:space="preserve"> lawsuit was seeking more than $60 million in penalties</w:t>
      </w:r>
      <w:r w:rsidR="007812C0" w:rsidRPr="007C68F1">
        <w:t>,</w:t>
      </w:r>
      <w:r w:rsidR="004F165A" w:rsidRPr="007C68F1">
        <w:t xml:space="preserve"> and </w:t>
      </w:r>
      <w:r w:rsidR="00AB4F1B" w:rsidRPr="007C68F1">
        <w:t>no one told her</w:t>
      </w:r>
      <w:r w:rsidR="004F165A" w:rsidRPr="007C68F1">
        <w:t xml:space="preserve"> that she could potentially recover money if Woodworth won on her private attorney general claim</w:t>
      </w:r>
      <w:r w:rsidR="007F4E62" w:rsidRPr="007C68F1">
        <w:t>.</w:t>
      </w:r>
    </w:p>
    <w:p w14:paraId="04E967EB" w14:textId="77777777" w:rsidR="0044074C" w:rsidRPr="007C68F1" w:rsidRDefault="00D16B2E" w:rsidP="007D1009">
      <w:pPr>
        <w:spacing w:line="480" w:lineRule="auto"/>
        <w:ind w:firstLine="720"/>
      </w:pPr>
      <w:r w:rsidRPr="007C68F1">
        <w:t xml:space="preserve">The </w:t>
      </w:r>
      <w:r w:rsidR="00AB4F1B" w:rsidRPr="007C68F1">
        <w:t xml:space="preserve">medical center’s </w:t>
      </w:r>
      <w:r w:rsidRPr="007C68F1">
        <w:t>lawyers</w:t>
      </w:r>
      <w:r w:rsidR="002D5223" w:rsidRPr="007C68F1">
        <w:t xml:space="preserve"> did not tell </w:t>
      </w:r>
      <w:r w:rsidR="00AD4F21" w:rsidRPr="007C68F1">
        <w:t>Picazo</w:t>
      </w:r>
      <w:r w:rsidR="002D5223" w:rsidRPr="007C68F1">
        <w:t xml:space="preserve"> that her </w:t>
      </w:r>
      <w:bookmarkStart w:id="213" w:name="dabmq_85"/>
      <w:r w:rsidR="002D5223" w:rsidRPr="007C68F1">
        <w:t>“‘declaration could affect whether this matter is certified as a class action and [her] potential recovery from such a lawsuit, if any.’”</w:t>
      </w:r>
      <w:bookmarkEnd w:id="213"/>
      <w:r w:rsidR="002D5223" w:rsidRPr="007C68F1">
        <w:t xml:space="preserve">  She did not understand what those words meant when she </w:t>
      </w:r>
      <w:r w:rsidR="00AB4F1B" w:rsidRPr="007C68F1">
        <w:t xml:space="preserve">read and </w:t>
      </w:r>
      <w:r w:rsidR="002D5223" w:rsidRPr="007C68F1">
        <w:t>signed her declaration, but she signed it because sh</w:t>
      </w:r>
      <w:r w:rsidR="00130F0A" w:rsidRPr="007C68F1">
        <w:t>e</w:t>
      </w:r>
      <w:r w:rsidR="00AD3EE6" w:rsidRPr="007C68F1">
        <w:t xml:space="preserve"> was</w:t>
      </w:r>
      <w:r w:rsidR="00130F0A" w:rsidRPr="007C68F1">
        <w:t xml:space="preserve"> </w:t>
      </w:r>
      <w:bookmarkStart w:id="214" w:name="dabmq_86"/>
      <w:r w:rsidR="00130F0A" w:rsidRPr="007C68F1">
        <w:t>“honest on the questions”</w:t>
      </w:r>
      <w:bookmarkEnd w:id="214"/>
      <w:r w:rsidR="00130F0A" w:rsidRPr="007C68F1">
        <w:t xml:space="preserve"> the lawyers asked her in the </w:t>
      </w:r>
      <w:r w:rsidR="00065CD4" w:rsidRPr="007C68F1">
        <w:t>meeting</w:t>
      </w:r>
      <w:r w:rsidR="00130F0A" w:rsidRPr="007C68F1">
        <w:t>.</w:t>
      </w:r>
      <w:r w:rsidR="00766C49" w:rsidRPr="007C68F1">
        <w:t xml:space="preserve">  </w:t>
      </w:r>
      <w:r w:rsidR="0036202E" w:rsidRPr="007C68F1">
        <w:t>They told her that</w:t>
      </w:r>
      <w:r w:rsidR="00AD3EE6" w:rsidRPr="007C68F1">
        <w:t xml:space="preserve"> </w:t>
      </w:r>
      <w:r w:rsidR="006278B3" w:rsidRPr="007C68F1">
        <w:t xml:space="preserve">the </w:t>
      </w:r>
      <w:r w:rsidR="00AD3EE6" w:rsidRPr="007C68F1">
        <w:t>declaration was in support of the medical center and that</w:t>
      </w:r>
      <w:r w:rsidR="0036202E" w:rsidRPr="007C68F1">
        <w:t xml:space="preserve"> it was possible her declaration would be filed in court.  </w:t>
      </w:r>
      <w:r w:rsidR="00766C49" w:rsidRPr="007C68F1">
        <w:t>The lawyers did not tell her how she could contact the lawyer for the plaintiff, and they did not tell her Antonelli’s name.</w:t>
      </w:r>
      <w:r w:rsidR="005F5A59" w:rsidRPr="007C68F1">
        <w:t xml:space="preserve">  </w:t>
      </w:r>
      <w:r w:rsidR="00CA36CB" w:rsidRPr="007C68F1">
        <w:t xml:space="preserve">After showing Picazo her declaration and asking whether it </w:t>
      </w:r>
      <w:r w:rsidR="00CA36CB" w:rsidRPr="007C68F1">
        <w:lastRenderedPageBreak/>
        <w:t>was accurate, the lawyers said that she was not obligated to sign it.  T</w:t>
      </w:r>
      <w:r w:rsidR="00DB08FB" w:rsidRPr="007C68F1">
        <w:t>here was nothing inaccurate in the declaration about her “actual work” at the medical center.</w:t>
      </w:r>
      <w:r w:rsidR="00CA36CB" w:rsidRPr="007C68F1">
        <w:t xml:space="preserve">  Picazo told the lawyers that she had “‘no problem signing</w:t>
      </w:r>
      <w:r w:rsidR="00460F23" w:rsidRPr="007C68F1">
        <w:t>”’</w:t>
      </w:r>
      <w:r w:rsidR="00CA36CB" w:rsidRPr="007C68F1">
        <w:t xml:space="preserve"> it, and she</w:t>
      </w:r>
      <w:r w:rsidR="005F5A59" w:rsidRPr="007C68F1">
        <w:t xml:space="preserve"> asked for a copy of </w:t>
      </w:r>
      <w:r w:rsidR="00CA36CB" w:rsidRPr="007C68F1">
        <w:t>it</w:t>
      </w:r>
      <w:r w:rsidR="005F5A59" w:rsidRPr="007C68F1">
        <w:t xml:space="preserve">, </w:t>
      </w:r>
      <w:r w:rsidR="00CA36CB" w:rsidRPr="007C68F1">
        <w:t>which</w:t>
      </w:r>
      <w:r w:rsidR="005F5A59" w:rsidRPr="007C68F1">
        <w:t xml:space="preserve"> they gave her.</w:t>
      </w:r>
    </w:p>
    <w:p w14:paraId="0944449E" w14:textId="77777777" w:rsidR="00C356EE" w:rsidRPr="007C68F1" w:rsidRDefault="00D16B2E" w:rsidP="007D1009">
      <w:pPr>
        <w:keepNext/>
        <w:spacing w:line="480" w:lineRule="auto"/>
        <w:ind w:firstLine="720"/>
        <w:rPr>
          <w:i/>
          <w:iCs/>
        </w:rPr>
      </w:pPr>
      <w:r w:rsidRPr="007C68F1">
        <w:tab/>
        <w:t xml:space="preserve">2.  </w:t>
      </w:r>
      <w:r w:rsidRPr="007C68F1">
        <w:rPr>
          <w:i/>
          <w:iCs/>
        </w:rPr>
        <w:t>Defense Counsel’s Declaration in Opposition to the Motion to Strike</w:t>
      </w:r>
    </w:p>
    <w:p w14:paraId="1B091540" w14:textId="77777777" w:rsidR="00751DCF" w:rsidRPr="007C68F1" w:rsidRDefault="00D16B2E" w:rsidP="007D1009">
      <w:pPr>
        <w:spacing w:line="480" w:lineRule="auto"/>
        <w:ind w:firstLine="720"/>
      </w:pPr>
      <w:r w:rsidRPr="007C68F1">
        <w:t xml:space="preserve">In opposition </w:t>
      </w:r>
      <w:r w:rsidR="00C356EE" w:rsidRPr="007C68F1">
        <w:t xml:space="preserve">to the motion to strike </w:t>
      </w:r>
      <w:r w:rsidRPr="007C68F1">
        <w:t>the putativ</w:t>
      </w:r>
      <w:r w:rsidRPr="007C68F1">
        <w:t>e class member</w:t>
      </w:r>
      <w:r w:rsidR="0009635F" w:rsidRPr="007C68F1">
        <w:t>s’</w:t>
      </w:r>
      <w:r w:rsidRPr="007C68F1">
        <w:t xml:space="preserve"> declarations, the medical center also relied on the declaration of Rachel Lee, </w:t>
      </w:r>
      <w:r w:rsidR="000065B6" w:rsidRPr="007C68F1">
        <w:t xml:space="preserve">a partner at the firm representing the </w:t>
      </w:r>
      <w:r w:rsidRPr="007C68F1">
        <w:t>medical center.</w:t>
      </w:r>
      <w:r w:rsidR="001907A1" w:rsidRPr="007C68F1">
        <w:t xml:space="preserve">  Lee </w:t>
      </w:r>
      <w:r w:rsidR="001C4B8B" w:rsidRPr="007C68F1">
        <w:t>and</w:t>
      </w:r>
      <w:r w:rsidR="00EA7195" w:rsidRPr="007C68F1">
        <w:t xml:space="preserve"> an associate attorney at </w:t>
      </w:r>
      <w:r w:rsidR="001C4B8B" w:rsidRPr="007C68F1">
        <w:t xml:space="preserve">her firm </w:t>
      </w:r>
      <w:r w:rsidR="001907A1" w:rsidRPr="007C68F1">
        <w:t>conducted the interviews of the putative class</w:t>
      </w:r>
      <w:r w:rsidR="002626A8" w:rsidRPr="007C68F1">
        <w:t xml:space="preserve"> members</w:t>
      </w:r>
      <w:r w:rsidR="001907A1" w:rsidRPr="007C68F1">
        <w:t xml:space="preserve">.  </w:t>
      </w:r>
      <w:r w:rsidR="001C4B8B" w:rsidRPr="007C68F1">
        <w:t xml:space="preserve">The </w:t>
      </w:r>
      <w:r w:rsidR="001907A1" w:rsidRPr="007C68F1">
        <w:t>interviews took place at the medical center</w:t>
      </w:r>
      <w:r w:rsidR="001C4B8B" w:rsidRPr="007C68F1">
        <w:t xml:space="preserve"> in a </w:t>
      </w:r>
      <w:r w:rsidR="001907A1" w:rsidRPr="007C68F1">
        <w:t>private room.</w:t>
      </w:r>
      <w:r w:rsidR="001C4B8B" w:rsidRPr="007C68F1">
        <w:t xml:space="preserve">  No medical center employees were present at the interviews, other than the</w:t>
      </w:r>
      <w:r w:rsidR="00C13DD2" w:rsidRPr="007C68F1">
        <w:t xml:space="preserve"> employees </w:t>
      </w:r>
      <w:r w:rsidR="001C4B8B" w:rsidRPr="007C68F1">
        <w:t>being interviewed.</w:t>
      </w:r>
      <w:r w:rsidR="00EA7195" w:rsidRPr="007C68F1">
        <w:t xml:space="preserve"> </w:t>
      </w:r>
      <w:r w:rsidR="00C13DD2" w:rsidRPr="007C68F1">
        <w:t xml:space="preserve"> </w:t>
      </w:r>
    </w:p>
    <w:p w14:paraId="46810666" w14:textId="77777777" w:rsidR="007712AB" w:rsidRPr="007C68F1" w:rsidRDefault="00D16B2E" w:rsidP="007D1009">
      <w:pPr>
        <w:spacing w:line="480" w:lineRule="auto"/>
        <w:ind w:firstLine="720"/>
      </w:pPr>
      <w:r w:rsidRPr="007C68F1">
        <w:t xml:space="preserve">Lee’s declaration described </w:t>
      </w:r>
      <w:r w:rsidR="00C13DD2" w:rsidRPr="007C68F1">
        <w:t>“standard disclosures”</w:t>
      </w:r>
      <w:r w:rsidRPr="007C68F1">
        <w:t xml:space="preserve"> that defense counsel made</w:t>
      </w:r>
      <w:r w:rsidR="00C13DD2" w:rsidRPr="007C68F1">
        <w:t xml:space="preserve"> during each interview.  </w:t>
      </w:r>
      <w:r w:rsidRPr="007C68F1">
        <w:t>T</w:t>
      </w:r>
      <w:r w:rsidR="00F25F83" w:rsidRPr="007C68F1">
        <w:t>he attorneys</w:t>
      </w:r>
      <w:r w:rsidR="00C13DD2" w:rsidRPr="007C68F1">
        <w:t xml:space="preserve"> introduced themselves and informed the</w:t>
      </w:r>
      <w:r w:rsidR="002626A8" w:rsidRPr="007C68F1">
        <w:t xml:space="preserve"> employees </w:t>
      </w:r>
      <w:r w:rsidR="00C13DD2" w:rsidRPr="007C68F1">
        <w:t>that</w:t>
      </w:r>
      <w:r w:rsidR="002626A8" w:rsidRPr="007C68F1">
        <w:t xml:space="preserve"> counsel </w:t>
      </w:r>
      <w:r w:rsidR="00C13DD2" w:rsidRPr="007C68F1">
        <w:t xml:space="preserve">represented </w:t>
      </w:r>
      <w:r w:rsidR="008E1104" w:rsidRPr="007C68F1">
        <w:t xml:space="preserve">only </w:t>
      </w:r>
      <w:r w:rsidR="00C13DD2" w:rsidRPr="007C68F1">
        <w:t>the medical center and did not represent the</w:t>
      </w:r>
      <w:r w:rsidR="002626A8" w:rsidRPr="007C68F1">
        <w:t xml:space="preserve"> employees</w:t>
      </w:r>
      <w:r w:rsidR="00C13DD2" w:rsidRPr="007C68F1">
        <w:t>.</w:t>
      </w:r>
      <w:r w:rsidRPr="007C68F1">
        <w:t xml:space="preserve">  Next</w:t>
      </w:r>
      <w:r w:rsidR="00C13DD2" w:rsidRPr="007C68F1">
        <w:t xml:space="preserve">, </w:t>
      </w:r>
      <w:r w:rsidR="00C577E4" w:rsidRPr="007C68F1">
        <w:t xml:space="preserve">defense </w:t>
      </w:r>
      <w:r w:rsidR="002626A8" w:rsidRPr="007C68F1">
        <w:t>counsel</w:t>
      </w:r>
      <w:r w:rsidR="00C13DD2" w:rsidRPr="007C68F1">
        <w:t xml:space="preserve"> asked whether an attorney</w:t>
      </w:r>
      <w:r w:rsidR="002626A8" w:rsidRPr="007C68F1">
        <w:t xml:space="preserve"> represented the employees and whether an attorney had contacted them regarding this case.  </w:t>
      </w:r>
      <w:r w:rsidR="00C577E4" w:rsidRPr="007C68F1">
        <w:t>Defense c</w:t>
      </w:r>
      <w:r w:rsidR="002626A8" w:rsidRPr="007C68F1">
        <w:t>ou</w:t>
      </w:r>
      <w:r w:rsidR="00C378F3" w:rsidRPr="007C68F1">
        <w:t xml:space="preserve">nsel briefly described </w:t>
      </w:r>
      <w:bookmarkStart w:id="215" w:name="dabmq_87"/>
      <w:r w:rsidR="00C378F3" w:rsidRPr="007C68F1">
        <w:t>“</w:t>
      </w:r>
      <w:r w:rsidR="002626A8" w:rsidRPr="007C68F1">
        <w:t>the proposed class action lawsuit and the claims at issue.”</w:t>
      </w:r>
      <w:bookmarkEnd w:id="215"/>
      <w:r w:rsidR="009304C7" w:rsidRPr="007C68F1">
        <w:t xml:space="preserve">  </w:t>
      </w:r>
      <w:r w:rsidR="00C577E4" w:rsidRPr="007C68F1">
        <w:t>Lee and the associate attorney</w:t>
      </w:r>
      <w:r w:rsidR="002626A8" w:rsidRPr="007C68F1">
        <w:t xml:space="preserve"> explained that </w:t>
      </w:r>
      <w:r w:rsidR="00F25F83" w:rsidRPr="007C68F1">
        <w:t>they</w:t>
      </w:r>
      <w:r w:rsidR="002626A8" w:rsidRPr="007C68F1">
        <w:t xml:space="preserve"> wanted to</w:t>
      </w:r>
      <w:r w:rsidR="00FA6017" w:rsidRPr="007C68F1">
        <w:t xml:space="preserve"> talk to</w:t>
      </w:r>
      <w:r w:rsidR="002626A8" w:rsidRPr="007C68F1">
        <w:t xml:space="preserve"> the employees because </w:t>
      </w:r>
      <w:bookmarkStart w:id="216" w:name="dabmq_88"/>
      <w:r w:rsidR="002626A8" w:rsidRPr="007C68F1">
        <w:t>“this was being brought as a class action”</w:t>
      </w:r>
      <w:bookmarkEnd w:id="216"/>
      <w:r w:rsidR="002626A8" w:rsidRPr="007C68F1">
        <w:t xml:space="preserve"> and counsel </w:t>
      </w:r>
      <w:bookmarkStart w:id="217" w:name="dabmq_89"/>
      <w:r w:rsidR="002626A8" w:rsidRPr="007C68F1">
        <w:t>“wanted to find out what the employee[s] had experienced in [their</w:t>
      </w:r>
      <w:r w:rsidR="00CB78A2" w:rsidRPr="007C68F1">
        <w:t>]</w:t>
      </w:r>
      <w:r w:rsidR="002626A8" w:rsidRPr="007C68F1">
        <w:t xml:space="preserve"> department.”</w:t>
      </w:r>
      <w:bookmarkEnd w:id="217"/>
    </w:p>
    <w:p w14:paraId="5EDF6233" w14:textId="77777777" w:rsidR="00CB78A2" w:rsidRPr="007C68F1" w:rsidRDefault="00D16B2E" w:rsidP="007D1009">
      <w:pPr>
        <w:spacing w:line="480" w:lineRule="auto"/>
        <w:ind w:firstLine="720"/>
      </w:pPr>
      <w:r w:rsidRPr="007C68F1">
        <w:t xml:space="preserve">Defense counsel </w:t>
      </w:r>
      <w:r w:rsidR="00751DCF" w:rsidRPr="007C68F1">
        <w:t>also explained</w:t>
      </w:r>
      <w:r w:rsidRPr="007C68F1">
        <w:t xml:space="preserve"> that the interviews were voluntary and that the employees did not </w:t>
      </w:r>
      <w:r w:rsidRPr="007C68F1">
        <w:t xml:space="preserve">have to participate in the interviews.  Counsel </w:t>
      </w:r>
      <w:r w:rsidR="00237E11" w:rsidRPr="007C68F1">
        <w:t>stated</w:t>
      </w:r>
      <w:r w:rsidRPr="007C68F1">
        <w:t xml:space="preserve"> that </w:t>
      </w:r>
      <w:r w:rsidR="00C703E5" w:rsidRPr="007C68F1">
        <w:t xml:space="preserve">the </w:t>
      </w:r>
      <w:r w:rsidRPr="007C68F1">
        <w:t xml:space="preserve">medical </w:t>
      </w:r>
      <w:r w:rsidRPr="007C68F1">
        <w:lastRenderedPageBreak/>
        <w:t>center could not retaliate against the employees for participating or failing to participate in the interviews or for any information provided during interviews.  Counsel then ask</w:t>
      </w:r>
      <w:r w:rsidR="009304C7" w:rsidRPr="007C68F1">
        <w:t>ed the employees to affirm that they were comfortable proceeding with the interview</w:t>
      </w:r>
      <w:r w:rsidRPr="007C68F1">
        <w:t xml:space="preserve"> and </w:t>
      </w:r>
      <w:r w:rsidR="009304C7" w:rsidRPr="007C68F1">
        <w:t xml:space="preserve">whether </w:t>
      </w:r>
      <w:r w:rsidRPr="007C68F1">
        <w:t>they</w:t>
      </w:r>
      <w:r w:rsidR="009304C7" w:rsidRPr="007C68F1">
        <w:t xml:space="preserve"> had any questions before </w:t>
      </w:r>
      <w:r w:rsidRPr="007C68F1">
        <w:t>starting the interview</w:t>
      </w:r>
      <w:r w:rsidR="009304C7" w:rsidRPr="007C68F1">
        <w:t>.</w:t>
      </w:r>
      <w:r w:rsidR="00AF33AB" w:rsidRPr="007C68F1">
        <w:t xml:space="preserve">  </w:t>
      </w:r>
      <w:r w:rsidR="00237E11" w:rsidRPr="007C68F1">
        <w:t xml:space="preserve">According to Lee, the </w:t>
      </w:r>
      <w:bookmarkStart w:id="218" w:name="dabmq_90"/>
      <w:r w:rsidR="00237E11" w:rsidRPr="007C68F1">
        <w:t>“</w:t>
      </w:r>
      <w:r w:rsidR="00AF33AB" w:rsidRPr="007C68F1">
        <w:t>amount of information provided to the employees about the lawsuit varied depending on whether they had specific questions about it.”</w:t>
      </w:r>
      <w:bookmarkEnd w:id="218"/>
      <w:r w:rsidR="00AF33AB" w:rsidRPr="007C68F1">
        <w:t xml:space="preserve"> </w:t>
      </w:r>
    </w:p>
    <w:p w14:paraId="3AC734FD" w14:textId="77777777" w:rsidR="001B6F77" w:rsidRPr="007C68F1" w:rsidRDefault="00D16B2E" w:rsidP="007D1009">
      <w:pPr>
        <w:spacing w:line="480" w:lineRule="auto"/>
        <w:ind w:firstLine="720"/>
      </w:pPr>
      <w:r w:rsidRPr="007C68F1">
        <w:t>For</w:t>
      </w:r>
      <w:r w:rsidR="00C703E5" w:rsidRPr="007C68F1">
        <w:t xml:space="preserve"> those employees who chose to participate in the interview</w:t>
      </w:r>
      <w:r w:rsidR="00B25EFD" w:rsidRPr="007C68F1">
        <w:t>s</w:t>
      </w:r>
      <w:r w:rsidR="00C703E5" w:rsidRPr="007C68F1">
        <w:t xml:space="preserve">, </w:t>
      </w:r>
      <w:r w:rsidRPr="007C68F1">
        <w:t xml:space="preserve">defense </w:t>
      </w:r>
      <w:r w:rsidR="00C703E5" w:rsidRPr="007C68F1">
        <w:t>counsel asked that they be as truthful, honest, and accurate as possible, and counsel told them that they could decline to respond to any question.</w:t>
      </w:r>
      <w:r w:rsidR="00B25EFD" w:rsidRPr="007C68F1">
        <w:t xml:space="preserve">  </w:t>
      </w:r>
      <w:r w:rsidR="00A979F8" w:rsidRPr="007C68F1">
        <w:t xml:space="preserve">At no time did counsel suggest or recommend to the employees that they should answer the questions in a certain way.  </w:t>
      </w:r>
      <w:r w:rsidRPr="007C68F1">
        <w:t>At</w:t>
      </w:r>
      <w:r w:rsidR="00B25EFD" w:rsidRPr="007C68F1">
        <w:t xml:space="preserve"> the end of the interviews, counsel asked whether the employees would be willing to provide a declaration summarizing the information</w:t>
      </w:r>
      <w:r w:rsidRPr="007C68F1">
        <w:t xml:space="preserve"> that</w:t>
      </w:r>
      <w:r w:rsidR="00B25EFD" w:rsidRPr="007C68F1">
        <w:t xml:space="preserve"> they </w:t>
      </w:r>
      <w:r w:rsidRPr="007C68F1">
        <w:t xml:space="preserve">had </w:t>
      </w:r>
      <w:r w:rsidR="00B25EFD" w:rsidRPr="007C68F1">
        <w:t xml:space="preserve">conveyed. </w:t>
      </w:r>
      <w:r w:rsidR="00250E6C" w:rsidRPr="007C68F1">
        <w:t xml:space="preserve"> Counsel advised them that the declaration would be under oath and subject to the perjury laws, that the declaration was voluntary, and that they did not have to provide one. </w:t>
      </w:r>
      <w:r w:rsidR="00BF4A12" w:rsidRPr="007C68F1">
        <w:t xml:space="preserve"> Counsel did not promise the employees anything in exchange for their declarations</w:t>
      </w:r>
      <w:r w:rsidRPr="007C68F1">
        <w:t>, and c</w:t>
      </w:r>
      <w:r w:rsidR="00250E6C" w:rsidRPr="007C68F1">
        <w:t xml:space="preserve">ounsel did not obtain declarations from any employee who said that </w:t>
      </w:r>
      <w:r w:rsidR="000E674A" w:rsidRPr="007C68F1">
        <w:t>they</w:t>
      </w:r>
      <w:r w:rsidR="00250E6C" w:rsidRPr="007C68F1">
        <w:t xml:space="preserve"> did not want to provide one.</w:t>
      </w:r>
      <w:r w:rsidRPr="007C68F1">
        <w:t xml:space="preserve">  </w:t>
      </w:r>
    </w:p>
    <w:p w14:paraId="0748AE6C" w14:textId="77777777" w:rsidR="001B6F77" w:rsidRPr="007C68F1" w:rsidRDefault="00D16B2E" w:rsidP="007D1009">
      <w:pPr>
        <w:spacing w:line="480" w:lineRule="auto"/>
        <w:ind w:firstLine="720"/>
      </w:pPr>
      <w:r w:rsidRPr="007C68F1">
        <w:t xml:space="preserve">If an employee was willing to provide a declaration, </w:t>
      </w:r>
      <w:r w:rsidR="00C577E4" w:rsidRPr="007C68F1">
        <w:t xml:space="preserve">defense </w:t>
      </w:r>
      <w:r w:rsidRPr="007C68F1">
        <w:t>cou</w:t>
      </w:r>
      <w:r w:rsidRPr="007C68F1">
        <w:t xml:space="preserve">nsel prepared and printed it.  </w:t>
      </w:r>
      <w:r w:rsidR="00BF4A12" w:rsidRPr="007C68F1">
        <w:t xml:space="preserve">Counsel gave </w:t>
      </w:r>
      <w:r w:rsidR="00A979F8" w:rsidRPr="007C68F1">
        <w:t>t</w:t>
      </w:r>
      <w:r w:rsidR="00BF4A12" w:rsidRPr="007C68F1">
        <w:t xml:space="preserve">he employees a chance to review their declarations and make changes to ensure that they were accurate, and some employees </w:t>
      </w:r>
      <w:r w:rsidR="00065A48" w:rsidRPr="007C68F1">
        <w:t>made</w:t>
      </w:r>
      <w:r w:rsidR="00BF4A12" w:rsidRPr="007C68F1">
        <w:t xml:space="preserve"> changes.</w:t>
      </w:r>
      <w:r w:rsidR="00A979F8" w:rsidRPr="007C68F1">
        <w:t xml:space="preserve">  Counsel asked the employees to</w:t>
      </w:r>
      <w:r w:rsidR="00065A48" w:rsidRPr="007C68F1">
        <w:t xml:space="preserve"> let </w:t>
      </w:r>
      <w:r w:rsidR="00A979F8" w:rsidRPr="007C68F1">
        <w:t>counsel</w:t>
      </w:r>
      <w:r w:rsidR="00065A48" w:rsidRPr="007C68F1">
        <w:t xml:space="preserve"> know</w:t>
      </w:r>
      <w:r w:rsidR="00A979F8" w:rsidRPr="007C68F1">
        <w:t xml:space="preserve"> if they had questions about their declarations. </w:t>
      </w:r>
    </w:p>
    <w:p w14:paraId="0A5816EA" w14:textId="77777777" w:rsidR="00AF33AB" w:rsidRPr="007C68F1" w:rsidRDefault="00D16B2E" w:rsidP="007D1009">
      <w:pPr>
        <w:spacing w:line="480" w:lineRule="auto"/>
        <w:ind w:firstLine="720"/>
      </w:pPr>
      <w:r w:rsidRPr="007C68F1">
        <w:lastRenderedPageBreak/>
        <w:t>Defense counsel</w:t>
      </w:r>
      <w:r w:rsidR="00A979F8" w:rsidRPr="007C68F1">
        <w:t xml:space="preserve"> </w:t>
      </w:r>
      <w:r w:rsidR="007A21BC" w:rsidRPr="007C68F1">
        <w:t xml:space="preserve">advised the employees that the declarations </w:t>
      </w:r>
      <w:bookmarkStart w:id="219" w:name="dabmq_91"/>
      <w:r w:rsidR="007A21BC" w:rsidRPr="007C68F1">
        <w:t xml:space="preserve">“would be used in the case of </w:t>
      </w:r>
      <w:r w:rsidR="007A21BC" w:rsidRPr="007C68F1">
        <w:rPr>
          <w:i/>
          <w:iCs/>
        </w:rPr>
        <w:t>Woodworth v. Loma Linda University Medical Center</w:t>
      </w:r>
      <w:r w:rsidR="007A21BC" w:rsidRPr="007C68F1">
        <w:t xml:space="preserve"> and filed with the court to defend [the medical center] against the Plaintiff’s claims.”</w:t>
      </w:r>
      <w:bookmarkEnd w:id="219"/>
      <w:r w:rsidR="007A21BC" w:rsidRPr="007C68F1">
        <w:t xml:space="preserve">  </w:t>
      </w:r>
      <w:r w:rsidR="00AF356E" w:rsidRPr="007C68F1">
        <w:t xml:space="preserve">Counsel explained to the employees </w:t>
      </w:r>
      <w:bookmarkStart w:id="220" w:name="dabmq_92"/>
      <w:r w:rsidR="00AF356E" w:rsidRPr="007C68F1">
        <w:t>“that the attorney on the other side is trying to bring this case as a class action”</w:t>
      </w:r>
      <w:bookmarkEnd w:id="220"/>
      <w:r w:rsidR="00AF356E" w:rsidRPr="007C68F1">
        <w:t xml:space="preserve"> and that counsel was </w:t>
      </w:r>
      <w:bookmarkStart w:id="221" w:name="dabmq_93"/>
      <w:r w:rsidR="00AF356E" w:rsidRPr="007C68F1">
        <w:t>“going to use the declarations to try to prevent that from happening, or words to that effect.”</w:t>
      </w:r>
      <w:bookmarkEnd w:id="221"/>
      <w:r w:rsidR="00AF356E" w:rsidRPr="007C68F1">
        <w:t xml:space="preserve">  </w:t>
      </w:r>
      <w:r w:rsidR="00385B68" w:rsidRPr="007C68F1">
        <w:t xml:space="preserve">Consistent with the final </w:t>
      </w:r>
      <w:r w:rsidR="00281E12" w:rsidRPr="007C68F1">
        <w:t xml:space="preserve">numbered </w:t>
      </w:r>
      <w:r w:rsidR="00385B68" w:rsidRPr="007C68F1">
        <w:t xml:space="preserve">paragraph of the declarations, counsel advised the employees that (1) </w:t>
      </w:r>
      <w:bookmarkStart w:id="222" w:name="dabmq_94"/>
      <w:r w:rsidR="00385B68" w:rsidRPr="007C68F1">
        <w:t>“they could potentially be members of the class if Plaintiff succeeded on her motion,”</w:t>
      </w:r>
      <w:bookmarkEnd w:id="222"/>
      <w:r w:rsidR="00385B68" w:rsidRPr="007C68F1">
        <w:t xml:space="preserve"> (2) </w:t>
      </w:r>
      <w:bookmarkStart w:id="223" w:name="dabmq_95"/>
      <w:r w:rsidR="00385B68" w:rsidRPr="007C68F1">
        <w:t>“their statements could affect whether the case was certified as a class action and their potential recovery from the lawsuit,”</w:t>
      </w:r>
      <w:bookmarkEnd w:id="223"/>
      <w:r w:rsidR="00385B68" w:rsidRPr="007C68F1">
        <w:t xml:space="preserve"> and (3) </w:t>
      </w:r>
      <w:bookmarkStart w:id="224" w:name="dabmq_96"/>
      <w:r w:rsidR="00753606" w:rsidRPr="007C68F1">
        <w:t>“if they ever became participants in the lawsuit, their interests would be opposed to [the medical center’s] interests</w:t>
      </w:r>
      <w:r w:rsidR="005816DF" w:rsidRPr="007C68F1">
        <w:t>.”</w:t>
      </w:r>
      <w:bookmarkEnd w:id="224"/>
      <w:r w:rsidR="005816DF" w:rsidRPr="007C68F1">
        <w:t xml:space="preserve">  Some employees had questions about those disclosures, so counsel provided “additional information” to those employees. </w:t>
      </w:r>
    </w:p>
    <w:p w14:paraId="7073D2E4" w14:textId="77777777" w:rsidR="00065A48" w:rsidRPr="007C68F1" w:rsidRDefault="00D16B2E" w:rsidP="007D1009">
      <w:pPr>
        <w:keepNext/>
        <w:spacing w:line="480" w:lineRule="auto"/>
        <w:ind w:left="720" w:firstLine="720"/>
        <w:rPr>
          <w:i/>
          <w:iCs/>
        </w:rPr>
      </w:pPr>
      <w:r w:rsidRPr="007C68F1">
        <w:t xml:space="preserve">3.  </w:t>
      </w:r>
      <w:r w:rsidR="00DF1D4D" w:rsidRPr="007C68F1">
        <w:rPr>
          <w:i/>
          <w:iCs/>
        </w:rPr>
        <w:t xml:space="preserve">Defense Counsel’s </w:t>
      </w:r>
      <w:r w:rsidRPr="007C68F1">
        <w:rPr>
          <w:i/>
          <w:iCs/>
        </w:rPr>
        <w:t>PowerPoint Presentation</w:t>
      </w:r>
    </w:p>
    <w:p w14:paraId="266E6466" w14:textId="77777777" w:rsidR="006A2BAD" w:rsidRPr="007C68F1" w:rsidRDefault="00D16B2E" w:rsidP="007D1009">
      <w:pPr>
        <w:spacing w:line="480" w:lineRule="auto"/>
        <w:ind w:firstLine="720"/>
      </w:pPr>
      <w:r w:rsidRPr="007C68F1">
        <w:t xml:space="preserve">The </w:t>
      </w:r>
      <w:r w:rsidR="00AF54BC" w:rsidRPr="007C68F1">
        <w:t xml:space="preserve">43 </w:t>
      </w:r>
      <w:r w:rsidRPr="007C68F1">
        <w:t xml:space="preserve">putative class member interviews took place between January 2 and </w:t>
      </w:r>
      <w:r w:rsidR="003200B8" w:rsidRPr="007C68F1">
        <w:t xml:space="preserve">January </w:t>
      </w:r>
      <w:r w:rsidRPr="007C68F1">
        <w:t xml:space="preserve">14, 2019.  </w:t>
      </w:r>
      <w:r w:rsidR="00AF54BC" w:rsidRPr="007C68F1">
        <w:t xml:space="preserve">The depositions of the </w:t>
      </w:r>
      <w:r w:rsidR="003200B8" w:rsidRPr="007C68F1">
        <w:t xml:space="preserve">10 </w:t>
      </w:r>
      <w:r w:rsidR="00AF54BC" w:rsidRPr="007C68F1">
        <w:t xml:space="preserve">putative class members took place between February 7 and </w:t>
      </w:r>
      <w:r w:rsidR="003200B8" w:rsidRPr="007C68F1">
        <w:t xml:space="preserve">February </w:t>
      </w:r>
      <w:r w:rsidR="00AF54BC" w:rsidRPr="007C68F1">
        <w:t xml:space="preserve">11, 2019.  </w:t>
      </w:r>
      <w:r w:rsidR="00DF1D4D" w:rsidRPr="007C68F1">
        <w:t>Before the depositions, o</w:t>
      </w:r>
      <w:r w:rsidR="00AF54BC" w:rsidRPr="007C68F1">
        <w:t xml:space="preserve">n February 6, 2019, defense counsel met with the </w:t>
      </w:r>
      <w:r w:rsidR="003200B8" w:rsidRPr="007C68F1">
        <w:t xml:space="preserve">10 </w:t>
      </w:r>
      <w:r w:rsidR="00AF54BC" w:rsidRPr="007C68F1">
        <w:t>deponents and</w:t>
      </w:r>
      <w:r w:rsidRPr="007C68F1">
        <w:t xml:space="preserve"> reviewed </w:t>
      </w:r>
      <w:r w:rsidR="00DF1D4D" w:rsidRPr="007C68F1">
        <w:t>a</w:t>
      </w:r>
      <w:r w:rsidRPr="007C68F1">
        <w:t xml:space="preserve"> 2</w:t>
      </w:r>
      <w:r w:rsidR="00DF1D4D" w:rsidRPr="007C68F1">
        <w:t>3-slide</w:t>
      </w:r>
      <w:r w:rsidRPr="007C68F1">
        <w:t xml:space="preserve"> PowerPoint </w:t>
      </w:r>
      <w:r w:rsidR="00DF1D4D" w:rsidRPr="007C68F1">
        <w:t>presentation</w:t>
      </w:r>
      <w:r w:rsidRPr="007C68F1">
        <w:t xml:space="preserve"> with them.  At th</w:t>
      </w:r>
      <w:r w:rsidR="00DF1D4D" w:rsidRPr="007C68F1">
        <w:t xml:space="preserve">at </w:t>
      </w:r>
      <w:r w:rsidRPr="007C68F1">
        <w:t>meeting</w:t>
      </w:r>
      <w:r w:rsidR="002D5960" w:rsidRPr="007C68F1">
        <w:t>,</w:t>
      </w:r>
      <w:r w:rsidRPr="007C68F1">
        <w:t xml:space="preserve"> defense counsel</w:t>
      </w:r>
      <w:r w:rsidRPr="007C68F1">
        <w:t xml:space="preserve"> confirmed that each employee </w:t>
      </w:r>
      <w:bookmarkStart w:id="225" w:name="dabmq_97"/>
      <w:r w:rsidR="00AC073E" w:rsidRPr="007C68F1">
        <w:t>“</w:t>
      </w:r>
      <w:r w:rsidRPr="007C68F1">
        <w:t>already knew and continued to understand</w:t>
      </w:r>
      <w:r w:rsidR="00AC073E" w:rsidRPr="007C68F1">
        <w:t>”</w:t>
      </w:r>
      <w:bookmarkEnd w:id="225"/>
      <w:r w:rsidRPr="007C68F1">
        <w:t xml:space="preserve"> that counsel represented the medical center and not the individual employees. </w:t>
      </w:r>
    </w:p>
    <w:p w14:paraId="740E625C" w14:textId="77777777" w:rsidR="006A2BAD" w:rsidRPr="007C68F1" w:rsidRDefault="00D16B2E" w:rsidP="007D1009">
      <w:pPr>
        <w:spacing w:line="480" w:lineRule="auto"/>
        <w:ind w:firstLine="720"/>
      </w:pPr>
      <w:r w:rsidRPr="007C68F1">
        <w:t>The PowerPoint presentation included slides briefly describing this lawsuit, identifying the medical cen</w:t>
      </w:r>
      <w:r w:rsidRPr="007C68F1">
        <w:t xml:space="preserve">ter’s counsel, and identifying Woodworth’s counsel.  </w:t>
      </w:r>
      <w:r w:rsidR="0046452F" w:rsidRPr="007C68F1">
        <w:t xml:space="preserve">One </w:t>
      </w:r>
      <w:r w:rsidR="0046452F" w:rsidRPr="007C68F1">
        <w:lastRenderedPageBreak/>
        <w:t>slide</w:t>
      </w:r>
      <w:r w:rsidRPr="007C68F1">
        <w:t xml:space="preserve"> </w:t>
      </w:r>
      <w:r w:rsidR="0046452F" w:rsidRPr="007C68F1">
        <w:t xml:space="preserve">explained the </w:t>
      </w:r>
      <w:bookmarkStart w:id="226" w:name="dabmq_98"/>
      <w:r w:rsidR="0046452F" w:rsidRPr="007C68F1">
        <w:t>“[p]urpose of a deposition”</w:t>
      </w:r>
      <w:bookmarkEnd w:id="226"/>
      <w:r w:rsidR="0046452F" w:rsidRPr="007C68F1">
        <w:t xml:space="preserve"> </w:t>
      </w:r>
      <w:r w:rsidR="009C4DC9" w:rsidRPr="007C68F1">
        <w:t>and stated</w:t>
      </w:r>
      <w:r w:rsidR="0046452F" w:rsidRPr="007C68F1">
        <w:t xml:space="preserve">:  </w:t>
      </w:r>
      <w:bookmarkStart w:id="227" w:name="dabmq_99"/>
      <w:r w:rsidR="0046452F" w:rsidRPr="007C68F1">
        <w:t>“Your obligation is to tell the truth.  [¶] You are not required to guess about anything.  [¶] If you don’t kn</w:t>
      </w:r>
      <w:r w:rsidR="00D120E9" w:rsidRPr="007C68F1">
        <w:t>ow or don’t remember, saying you don’t know is perfectly appropriate.”</w:t>
      </w:r>
      <w:bookmarkEnd w:id="227"/>
      <w:r w:rsidR="00D120E9" w:rsidRPr="007C68F1">
        <w:t xml:space="preserve">  Another slide explained the </w:t>
      </w:r>
      <w:bookmarkStart w:id="228" w:name="dabmq_100"/>
      <w:r w:rsidR="00D120E9" w:rsidRPr="007C68F1">
        <w:t>“[i]ssues in the lawsuit”</w:t>
      </w:r>
      <w:bookmarkEnd w:id="228"/>
      <w:r w:rsidR="00D120E9" w:rsidRPr="007C68F1">
        <w:t xml:space="preserve"> as (1)</w:t>
      </w:r>
      <w:r w:rsidR="00466BC5">
        <w:t xml:space="preserve"> </w:t>
      </w:r>
      <w:r w:rsidR="00D120E9" w:rsidRPr="007C68F1">
        <w:t>“AWS elections,” (2) “Regular rate,” (3) “Overtime,” (4) “Wage statements,” (5)</w:t>
      </w:r>
      <w:r w:rsidR="00466BC5">
        <w:t xml:space="preserve"> </w:t>
      </w:r>
      <w:r w:rsidR="00D120E9" w:rsidRPr="007C68F1">
        <w:t xml:space="preserve">“Rest period,” and (6) “PAGA.” </w:t>
      </w:r>
      <w:r w:rsidR="00505457" w:rsidRPr="007C68F1">
        <w:t xml:space="preserve"> </w:t>
      </w:r>
      <w:r w:rsidR="005A3B26" w:rsidRPr="007C68F1">
        <w:t>Five</w:t>
      </w:r>
      <w:r w:rsidR="004C744A" w:rsidRPr="007C68F1">
        <w:t xml:space="preserve"> more slides briefly addressed t</w:t>
      </w:r>
      <w:r w:rsidR="00505457" w:rsidRPr="007C68F1">
        <w:t>he AWS issue, the regular rate claim, the overtime claim, the rest period claim</w:t>
      </w:r>
      <w:r w:rsidR="00A65B5C" w:rsidRPr="007C68F1">
        <w:t>, and the wage statement claim</w:t>
      </w:r>
      <w:r w:rsidR="00505457" w:rsidRPr="007C68F1">
        <w:t xml:space="preserve">.  </w:t>
      </w:r>
      <w:r w:rsidR="00372C44" w:rsidRPr="007C68F1">
        <w:t>Other</w:t>
      </w:r>
      <w:r w:rsidR="003B6AE2" w:rsidRPr="007C68F1">
        <w:t xml:space="preserve"> slides </w:t>
      </w:r>
      <w:r w:rsidR="00372C44" w:rsidRPr="007C68F1">
        <w:t>showed the medical center’s rest period policies and sample wage statements.</w:t>
      </w:r>
    </w:p>
    <w:p w14:paraId="66E0644C" w14:textId="77777777" w:rsidR="0058084D" w:rsidRPr="007C68F1" w:rsidRDefault="00D16B2E" w:rsidP="007D1009">
      <w:pPr>
        <w:keepNext/>
        <w:keepLines/>
        <w:spacing w:line="480" w:lineRule="auto"/>
        <w:ind w:left="720" w:firstLine="720"/>
        <w:rPr>
          <w:i/>
          <w:iCs/>
        </w:rPr>
      </w:pPr>
      <w:r w:rsidRPr="007C68F1">
        <w:t xml:space="preserve">4.  </w:t>
      </w:r>
      <w:r w:rsidRPr="007C68F1">
        <w:rPr>
          <w:i/>
          <w:iCs/>
        </w:rPr>
        <w:t>The Court’s Ruling</w:t>
      </w:r>
    </w:p>
    <w:p w14:paraId="4974A1A2" w14:textId="77777777" w:rsidR="00EC7532" w:rsidRPr="007C68F1" w:rsidRDefault="00D16B2E" w:rsidP="007D1009">
      <w:pPr>
        <w:spacing w:line="480" w:lineRule="auto"/>
        <w:ind w:firstLine="720"/>
        <w:rPr>
          <w:bdr w:val="none" w:sz="0" w:space="0" w:color="auto" w:frame="1"/>
        </w:rPr>
      </w:pPr>
      <w:r w:rsidRPr="007C68F1">
        <w:rPr>
          <w:bdr w:val="none" w:sz="0" w:space="0" w:color="auto" w:frame="1"/>
        </w:rPr>
        <w:t xml:space="preserve">At the hearing on the motion to </w:t>
      </w:r>
      <w:r w:rsidRPr="007C68F1">
        <w:rPr>
          <w:bdr w:val="none" w:sz="0" w:space="0" w:color="auto" w:frame="1"/>
        </w:rPr>
        <w:t>strike the p</w:t>
      </w:r>
      <w:r w:rsidR="00422010" w:rsidRPr="007C68F1">
        <w:rPr>
          <w:bdr w:val="none" w:sz="0" w:space="0" w:color="auto" w:frame="1"/>
        </w:rPr>
        <w:t>utative class member</w:t>
      </w:r>
      <w:r w:rsidR="0009635F" w:rsidRPr="007C68F1">
        <w:rPr>
          <w:bdr w:val="none" w:sz="0" w:space="0" w:color="auto" w:frame="1"/>
        </w:rPr>
        <w:t>s’</w:t>
      </w:r>
      <w:r w:rsidR="00422010" w:rsidRPr="007C68F1">
        <w:rPr>
          <w:bdr w:val="none" w:sz="0" w:space="0" w:color="auto" w:frame="1"/>
        </w:rPr>
        <w:t xml:space="preserve"> declarations and the motion to disqualify defense counsel</w:t>
      </w:r>
      <w:r w:rsidRPr="007C68F1">
        <w:rPr>
          <w:bdr w:val="none" w:sz="0" w:space="0" w:color="auto" w:frame="1"/>
        </w:rPr>
        <w:t>, t</w:t>
      </w:r>
      <w:r w:rsidR="00F26E58" w:rsidRPr="007C68F1">
        <w:rPr>
          <w:bdr w:val="none" w:sz="0" w:space="0" w:color="auto" w:frame="1"/>
        </w:rPr>
        <w:t xml:space="preserve">he court indicated that it had reviewed </w:t>
      </w:r>
      <w:r w:rsidR="006970C0" w:rsidRPr="007C68F1">
        <w:rPr>
          <w:bdr w:val="none" w:sz="0" w:space="0" w:color="auto" w:frame="1"/>
        </w:rPr>
        <w:t>all of the materials identified</w:t>
      </w:r>
      <w:r w:rsidRPr="007C68F1">
        <w:rPr>
          <w:bdr w:val="none" w:sz="0" w:space="0" w:color="auto" w:frame="1"/>
        </w:rPr>
        <w:t xml:space="preserve"> in its written tentative decision.  The tentative decision listed all of the parties’ fil</w:t>
      </w:r>
      <w:r w:rsidRPr="007C68F1">
        <w:rPr>
          <w:bdr w:val="none" w:sz="0" w:space="0" w:color="auto" w:frame="1"/>
        </w:rPr>
        <w:t>ings, including th</w:t>
      </w:r>
      <w:r w:rsidR="00F26E58" w:rsidRPr="007C68F1">
        <w:rPr>
          <w:bdr w:val="none" w:sz="0" w:space="0" w:color="auto" w:frame="1"/>
        </w:rPr>
        <w:t>e hundreds of pages of deposition excerpts, the putative class member</w:t>
      </w:r>
      <w:r w:rsidR="006970C0" w:rsidRPr="007C68F1">
        <w:rPr>
          <w:bdr w:val="none" w:sz="0" w:space="0" w:color="auto" w:frame="1"/>
        </w:rPr>
        <w:t>s’</w:t>
      </w:r>
      <w:r w:rsidR="00F26E58" w:rsidRPr="007C68F1">
        <w:rPr>
          <w:bdr w:val="none" w:sz="0" w:space="0" w:color="auto" w:frame="1"/>
        </w:rPr>
        <w:t xml:space="preserve"> declarations, and defense counsel’s declaration.</w:t>
      </w:r>
      <w:r w:rsidR="00422010" w:rsidRPr="007C68F1">
        <w:rPr>
          <w:bdr w:val="none" w:sz="0" w:space="0" w:color="auto" w:frame="1"/>
        </w:rPr>
        <w:t xml:space="preserve">  At the end of the hearing, the court adopted its tentative decision denying both motions.</w:t>
      </w:r>
      <w:r w:rsidRPr="007C68F1">
        <w:t xml:space="preserve">  </w:t>
      </w:r>
    </w:p>
    <w:p w14:paraId="1A699E84" w14:textId="77777777" w:rsidR="00F26E58" w:rsidRPr="007C68F1" w:rsidRDefault="00D16B2E" w:rsidP="007D1009">
      <w:pPr>
        <w:spacing w:line="480" w:lineRule="auto"/>
        <w:ind w:firstLine="720"/>
        <w:rPr>
          <w:bdr w:val="none" w:sz="0" w:space="0" w:color="auto" w:frame="1"/>
        </w:rPr>
      </w:pPr>
      <w:r w:rsidRPr="007C68F1">
        <w:rPr>
          <w:bdr w:val="none" w:sz="0" w:space="0" w:color="auto" w:frame="1"/>
        </w:rPr>
        <w:t>As to the motion to disq</w:t>
      </w:r>
      <w:r w:rsidRPr="007C68F1">
        <w:rPr>
          <w:bdr w:val="none" w:sz="0" w:space="0" w:color="auto" w:frame="1"/>
        </w:rPr>
        <w:t>ualify defense counsel, the court</w:t>
      </w:r>
      <w:r w:rsidR="00026E74" w:rsidRPr="007C68F1">
        <w:rPr>
          <w:bdr w:val="none" w:sz="0" w:space="0" w:color="auto" w:frame="1"/>
        </w:rPr>
        <w:t xml:space="preserve">’s </w:t>
      </w:r>
      <w:r w:rsidR="009C5493" w:rsidRPr="007C68F1">
        <w:rPr>
          <w:bdr w:val="none" w:sz="0" w:space="0" w:color="auto" w:frame="1"/>
        </w:rPr>
        <w:t xml:space="preserve">written </w:t>
      </w:r>
      <w:r w:rsidR="00026E74" w:rsidRPr="007C68F1">
        <w:rPr>
          <w:bdr w:val="none" w:sz="0" w:space="0" w:color="auto" w:frame="1"/>
        </w:rPr>
        <w:t>ruling summarized the evidence on which the parties relied.  The court observed</w:t>
      </w:r>
      <w:r w:rsidRPr="007C68F1">
        <w:rPr>
          <w:bdr w:val="none" w:sz="0" w:space="0" w:color="auto" w:frame="1"/>
        </w:rPr>
        <w:t xml:space="preserve"> that </w:t>
      </w:r>
      <w:r w:rsidR="00026E74" w:rsidRPr="007C68F1">
        <w:rPr>
          <w:bdr w:val="none" w:sz="0" w:space="0" w:color="auto" w:frame="1"/>
        </w:rPr>
        <w:t xml:space="preserve">some of the deposition testimony supported </w:t>
      </w:r>
      <w:r w:rsidR="004040BE" w:rsidRPr="007C68F1">
        <w:rPr>
          <w:bdr w:val="none" w:sz="0" w:space="0" w:color="auto" w:frame="1"/>
        </w:rPr>
        <w:t>Woodworth’s</w:t>
      </w:r>
      <w:r w:rsidR="00026E74" w:rsidRPr="007C68F1">
        <w:rPr>
          <w:bdr w:val="none" w:sz="0" w:space="0" w:color="auto" w:frame="1"/>
        </w:rPr>
        <w:t xml:space="preserve"> argument that the deponents did not understand or retain all of the information that defense counsel</w:t>
      </w:r>
      <w:r w:rsidR="004040BE" w:rsidRPr="007C68F1">
        <w:rPr>
          <w:bdr w:val="none" w:sz="0" w:space="0" w:color="auto" w:frame="1"/>
        </w:rPr>
        <w:t xml:space="preserve"> conveyed.  But the court also observed that the disclosures in the putative class member</w:t>
      </w:r>
      <w:r w:rsidR="006970C0" w:rsidRPr="007C68F1">
        <w:rPr>
          <w:bdr w:val="none" w:sz="0" w:space="0" w:color="auto" w:frame="1"/>
        </w:rPr>
        <w:t>s’</w:t>
      </w:r>
      <w:r w:rsidR="004040BE" w:rsidRPr="007C68F1">
        <w:rPr>
          <w:bdr w:val="none" w:sz="0" w:space="0" w:color="auto" w:frame="1"/>
        </w:rPr>
        <w:t xml:space="preserve"> declarations and Lee’s declaration regarding the interviews were “more reliable” than the “inconsistent” and “less clear” deposition testimony of the putative class members.  The court also </w:t>
      </w:r>
      <w:r w:rsidR="004040BE" w:rsidRPr="007C68F1">
        <w:rPr>
          <w:bdr w:val="none" w:sz="0" w:space="0" w:color="auto" w:frame="1"/>
        </w:rPr>
        <w:lastRenderedPageBreak/>
        <w:t xml:space="preserve">concluded that Woodworth based her motion largely on federal district court cases </w:t>
      </w:r>
      <w:bookmarkStart w:id="229" w:name="dabmq_101"/>
      <w:r w:rsidR="004040BE" w:rsidRPr="007C68F1">
        <w:rPr>
          <w:bdr w:val="none" w:sz="0" w:space="0" w:color="auto" w:frame="1"/>
        </w:rPr>
        <w:t>“involving facts considerably more serious tha[n] those at issue here.”</w:t>
      </w:r>
      <w:bookmarkEnd w:id="229"/>
      <w:r w:rsidR="00AA4679" w:rsidRPr="007C68F1">
        <w:rPr>
          <w:bdr w:val="none" w:sz="0" w:space="0" w:color="auto" w:frame="1"/>
        </w:rPr>
        <w:t xml:space="preserve">  The court ruled that the facts and authorities did not support disqualification.  </w:t>
      </w:r>
    </w:p>
    <w:p w14:paraId="60F2FF8C" w14:textId="77777777" w:rsidR="00747C48" w:rsidRPr="007C68F1" w:rsidRDefault="00D16B2E" w:rsidP="007D1009">
      <w:pPr>
        <w:spacing w:line="480" w:lineRule="auto"/>
        <w:ind w:firstLine="720"/>
        <w:rPr>
          <w:bdr w:val="none" w:sz="0" w:space="0" w:color="auto" w:frame="1"/>
        </w:rPr>
      </w:pPr>
      <w:r w:rsidRPr="007C68F1">
        <w:rPr>
          <w:bdr w:val="none" w:sz="0" w:space="0" w:color="auto" w:frame="1"/>
        </w:rPr>
        <w:t>As to the motion to strike, the court</w:t>
      </w:r>
      <w:r w:rsidR="009C5493" w:rsidRPr="007C68F1">
        <w:rPr>
          <w:bdr w:val="none" w:sz="0" w:space="0" w:color="auto" w:frame="1"/>
        </w:rPr>
        <w:t xml:space="preserve">’s written ruling </w:t>
      </w:r>
      <w:r w:rsidRPr="007C68F1">
        <w:rPr>
          <w:bdr w:val="none" w:sz="0" w:space="0" w:color="auto" w:frame="1"/>
        </w:rPr>
        <w:t>noted that Woodworth made</w:t>
      </w:r>
      <w:r w:rsidR="00D828AC" w:rsidRPr="007C68F1">
        <w:rPr>
          <w:bdr w:val="none" w:sz="0" w:space="0" w:color="auto" w:frame="1"/>
        </w:rPr>
        <w:t xml:space="preserve"> largely</w:t>
      </w:r>
      <w:r w:rsidRPr="007C68F1">
        <w:rPr>
          <w:bdr w:val="none" w:sz="0" w:space="0" w:color="auto" w:frame="1"/>
        </w:rPr>
        <w:t xml:space="preserve"> the same </w:t>
      </w:r>
      <w:r w:rsidR="00D828AC" w:rsidRPr="007C68F1">
        <w:rPr>
          <w:bdr w:val="none" w:sz="0" w:space="0" w:color="auto" w:frame="1"/>
        </w:rPr>
        <w:t>arguments in support of her motion to disqualify defense counsel.</w:t>
      </w:r>
      <w:r w:rsidR="00614D1F" w:rsidRPr="007C68F1">
        <w:rPr>
          <w:bdr w:val="none" w:sz="0" w:space="0" w:color="auto" w:frame="1"/>
        </w:rPr>
        <w:t xml:space="preserve">  The court determined that there was no evidence defense counsel had affirmatively misrepresented facts to the putative class members.  </w:t>
      </w:r>
      <w:r w:rsidR="00721168" w:rsidRPr="007C68F1">
        <w:rPr>
          <w:bdr w:val="none" w:sz="0" w:space="0" w:color="auto" w:frame="1"/>
        </w:rPr>
        <w:t>The court</w:t>
      </w:r>
      <w:r w:rsidR="00614D1F" w:rsidRPr="007C68F1">
        <w:rPr>
          <w:bdr w:val="none" w:sz="0" w:space="0" w:color="auto" w:frame="1"/>
        </w:rPr>
        <w:t xml:space="preserve"> </w:t>
      </w:r>
      <w:r w:rsidR="00721168" w:rsidRPr="007C68F1">
        <w:rPr>
          <w:bdr w:val="none" w:sz="0" w:space="0" w:color="auto" w:frame="1"/>
        </w:rPr>
        <w:t xml:space="preserve">also observed that, as it had explained in connection with the motion to disqualify, </w:t>
      </w:r>
      <w:r w:rsidR="00614D1F" w:rsidRPr="007C68F1">
        <w:rPr>
          <w:bdr w:val="none" w:sz="0" w:space="0" w:color="auto" w:frame="1"/>
        </w:rPr>
        <w:t>the putative class member</w:t>
      </w:r>
      <w:r w:rsidR="006970C0" w:rsidRPr="007C68F1">
        <w:rPr>
          <w:bdr w:val="none" w:sz="0" w:space="0" w:color="auto" w:frame="1"/>
        </w:rPr>
        <w:t>s’</w:t>
      </w:r>
      <w:r w:rsidR="00614D1F" w:rsidRPr="007C68F1">
        <w:rPr>
          <w:bdr w:val="none" w:sz="0" w:space="0" w:color="auto" w:frame="1"/>
        </w:rPr>
        <w:t xml:space="preserve"> declarations and Lee’s declaration </w:t>
      </w:r>
      <w:bookmarkStart w:id="230" w:name="dabmq_102"/>
      <w:r w:rsidR="00721168" w:rsidRPr="007C68F1">
        <w:rPr>
          <w:bdr w:val="none" w:sz="0" w:space="0" w:color="auto" w:frame="1"/>
        </w:rPr>
        <w:t>“demonstrate the lack of coercion or unethical tactics by defense counsel.”</w:t>
      </w:r>
      <w:bookmarkEnd w:id="230"/>
      <w:r w:rsidR="00F906EA" w:rsidRPr="007C68F1">
        <w:rPr>
          <w:rStyle w:val="FootnoteReference"/>
        </w:rPr>
        <w:t xml:space="preserve"> </w:t>
      </w:r>
      <w:r>
        <w:rPr>
          <w:rStyle w:val="FootnoteReference"/>
        </w:rPr>
        <w:footnoteReference w:id="6"/>
      </w:r>
      <w:r w:rsidR="00721168" w:rsidRPr="007C68F1">
        <w:rPr>
          <w:bdr w:val="none" w:sz="0" w:space="0" w:color="auto" w:frame="1"/>
        </w:rPr>
        <w:t xml:space="preserve">  In addition, the court </w:t>
      </w:r>
      <w:r w:rsidR="000100FF" w:rsidRPr="007C68F1">
        <w:rPr>
          <w:bdr w:val="none" w:sz="0" w:space="0" w:color="auto" w:frame="1"/>
        </w:rPr>
        <w:t>determined</w:t>
      </w:r>
      <w:r w:rsidR="006970C0" w:rsidRPr="007C68F1">
        <w:rPr>
          <w:bdr w:val="none" w:sz="0" w:space="0" w:color="auto" w:frame="1"/>
        </w:rPr>
        <w:t xml:space="preserve"> that</w:t>
      </w:r>
      <w:r w:rsidR="004B4314" w:rsidRPr="007C68F1">
        <w:rPr>
          <w:bdr w:val="none" w:sz="0" w:space="0" w:color="auto" w:frame="1"/>
        </w:rPr>
        <w:t>, under the Code of Civil Procedure,</w:t>
      </w:r>
      <w:r w:rsidR="00721168" w:rsidRPr="007C68F1">
        <w:rPr>
          <w:bdr w:val="none" w:sz="0" w:space="0" w:color="auto" w:frame="1"/>
        </w:rPr>
        <w:t xml:space="preserve"> motions to strike applied only to pleadings</w:t>
      </w:r>
      <w:r w:rsidR="00F44309" w:rsidRPr="007C68F1">
        <w:rPr>
          <w:bdr w:val="none" w:sz="0" w:space="0" w:color="auto" w:frame="1"/>
        </w:rPr>
        <w:t xml:space="preserve"> and </w:t>
      </w:r>
      <w:r w:rsidR="00721168" w:rsidRPr="007C68F1">
        <w:rPr>
          <w:bdr w:val="none" w:sz="0" w:space="0" w:color="auto" w:frame="1"/>
        </w:rPr>
        <w:t>not</w:t>
      </w:r>
      <w:r w:rsidR="00B2588E" w:rsidRPr="007C68F1">
        <w:rPr>
          <w:bdr w:val="none" w:sz="0" w:space="0" w:color="auto" w:frame="1"/>
        </w:rPr>
        <w:t xml:space="preserve"> to</w:t>
      </w:r>
      <w:r w:rsidR="00721168" w:rsidRPr="007C68F1">
        <w:rPr>
          <w:bdr w:val="none" w:sz="0" w:space="0" w:color="auto" w:frame="1"/>
        </w:rPr>
        <w:t xml:space="preserve"> declarations</w:t>
      </w:r>
      <w:r w:rsidR="00B2588E" w:rsidRPr="007C68F1">
        <w:rPr>
          <w:bdr w:val="none" w:sz="0" w:space="0" w:color="auto" w:frame="1"/>
        </w:rPr>
        <w:t xml:space="preserve">.  The court ruled that </w:t>
      </w:r>
      <w:r w:rsidR="005E2A81" w:rsidRPr="007C68F1">
        <w:rPr>
          <w:bdr w:val="none" w:sz="0" w:space="0" w:color="auto" w:frame="1"/>
        </w:rPr>
        <w:t xml:space="preserve">(1) </w:t>
      </w:r>
      <w:r w:rsidR="00B2588E" w:rsidRPr="007C68F1">
        <w:rPr>
          <w:bdr w:val="none" w:sz="0" w:space="0" w:color="auto" w:frame="1"/>
        </w:rPr>
        <w:t xml:space="preserve">the motion to strike was procedurally defective and </w:t>
      </w:r>
      <w:r w:rsidR="005E2A81" w:rsidRPr="007C68F1">
        <w:rPr>
          <w:bdr w:val="none" w:sz="0" w:space="0" w:color="auto" w:frame="1"/>
        </w:rPr>
        <w:t>(2)</w:t>
      </w:r>
      <w:r w:rsidR="00B2588E" w:rsidRPr="007C68F1">
        <w:rPr>
          <w:bdr w:val="none" w:sz="0" w:space="0" w:color="auto" w:frame="1"/>
        </w:rPr>
        <w:t xml:space="preserve"> the evidence did not support Woodworth’s argument that defense counsel </w:t>
      </w:r>
      <w:r w:rsidR="002D5485" w:rsidRPr="007C68F1">
        <w:rPr>
          <w:bdr w:val="none" w:sz="0" w:space="0" w:color="auto" w:frame="1"/>
        </w:rPr>
        <w:t xml:space="preserve">had </w:t>
      </w:r>
      <w:r w:rsidR="00B2588E" w:rsidRPr="007C68F1">
        <w:rPr>
          <w:bdr w:val="none" w:sz="0" w:space="0" w:color="auto" w:frame="1"/>
        </w:rPr>
        <w:t>misled the declarants</w:t>
      </w:r>
      <w:r w:rsidR="005E2A81" w:rsidRPr="007C68F1">
        <w:rPr>
          <w:bdr w:val="none" w:sz="0" w:space="0" w:color="auto" w:frame="1"/>
        </w:rPr>
        <w:t xml:space="preserve">.  </w:t>
      </w:r>
      <w:r w:rsidR="006970C0" w:rsidRPr="007C68F1">
        <w:rPr>
          <w:bdr w:val="none" w:sz="0" w:space="0" w:color="auto" w:frame="1"/>
        </w:rPr>
        <w:t xml:space="preserve">The court </w:t>
      </w:r>
      <w:r w:rsidR="00B2588E" w:rsidRPr="007C68F1">
        <w:rPr>
          <w:bdr w:val="none" w:sz="0" w:space="0" w:color="auto" w:frame="1"/>
        </w:rPr>
        <w:t>therefore denied the motion.</w:t>
      </w:r>
    </w:p>
    <w:p w14:paraId="654296A4" w14:textId="77777777" w:rsidR="003123D1" w:rsidRPr="007C68F1" w:rsidRDefault="00D16B2E" w:rsidP="007D1009">
      <w:pPr>
        <w:keepNext/>
        <w:spacing w:line="480" w:lineRule="auto"/>
        <w:rPr>
          <w:bdr w:val="none" w:sz="0" w:space="0" w:color="auto" w:frame="1"/>
        </w:rPr>
      </w:pPr>
      <w:r w:rsidRPr="007C68F1">
        <w:rPr>
          <w:bdr w:val="none" w:sz="0" w:space="0" w:color="auto" w:frame="1"/>
        </w:rPr>
        <w:tab/>
        <w:t xml:space="preserve">B.  </w:t>
      </w:r>
      <w:r w:rsidRPr="007C68F1">
        <w:rPr>
          <w:i/>
          <w:iCs/>
          <w:bdr w:val="none" w:sz="0" w:space="0" w:color="auto" w:frame="1"/>
        </w:rPr>
        <w:t>Analysis</w:t>
      </w:r>
    </w:p>
    <w:p w14:paraId="469A0A4A" w14:textId="77777777" w:rsidR="00E4082F" w:rsidRPr="007C68F1" w:rsidRDefault="00D16B2E" w:rsidP="007D1009">
      <w:pPr>
        <w:spacing w:line="480" w:lineRule="auto"/>
        <w:ind w:firstLine="720"/>
      </w:pPr>
      <w:r w:rsidRPr="007C68F1">
        <w:rPr>
          <w:shd w:val="clear" w:color="auto" w:fill="FFFFFF"/>
        </w:rPr>
        <w:t>In employment litigation, e</w:t>
      </w:r>
      <w:r w:rsidR="00D72CC4" w:rsidRPr="007C68F1">
        <w:rPr>
          <w:shd w:val="clear" w:color="auto" w:fill="FFFFFF"/>
        </w:rPr>
        <w:t xml:space="preserve">mployers may investigate </w:t>
      </w:r>
      <w:r w:rsidR="006F1AC6" w:rsidRPr="007C68F1">
        <w:rPr>
          <w:shd w:val="clear" w:color="auto" w:fill="FFFFFF"/>
        </w:rPr>
        <w:t>a p</w:t>
      </w:r>
      <w:r w:rsidR="00D72CC4" w:rsidRPr="007C68F1">
        <w:rPr>
          <w:shd w:val="clear" w:color="auto" w:fill="FFFFFF"/>
        </w:rPr>
        <w:t>laintiff</w:t>
      </w:r>
      <w:r w:rsidR="006F1AC6" w:rsidRPr="007C68F1">
        <w:rPr>
          <w:shd w:val="clear" w:color="auto" w:fill="FFFFFF"/>
        </w:rPr>
        <w:t xml:space="preserve">-employee’s </w:t>
      </w:r>
      <w:r w:rsidR="00D72CC4" w:rsidRPr="007C68F1">
        <w:rPr>
          <w:shd w:val="clear" w:color="auto" w:fill="FFFFFF"/>
        </w:rPr>
        <w:t xml:space="preserve">allegations and </w:t>
      </w:r>
      <w:r w:rsidR="006F1AC6" w:rsidRPr="007C68F1">
        <w:rPr>
          <w:shd w:val="clear" w:color="auto" w:fill="FFFFFF"/>
        </w:rPr>
        <w:t xml:space="preserve">obtain </w:t>
      </w:r>
      <w:r w:rsidR="00B23696" w:rsidRPr="007C68F1">
        <w:rPr>
          <w:shd w:val="clear" w:color="auto" w:fill="FFFFFF"/>
        </w:rPr>
        <w:t>statements</w:t>
      </w:r>
      <w:r w:rsidR="00D72CC4" w:rsidRPr="007C68F1">
        <w:rPr>
          <w:shd w:val="clear" w:color="auto" w:fill="FFFFFF"/>
        </w:rPr>
        <w:t xml:space="preserve"> from other employees.  (</w:t>
      </w:r>
      <w:bookmarkStart w:id="235" w:name="dabmci_c4e3c3e47e3440e3ac36214609fa669e"/>
      <w:r w:rsidR="00D72CC4" w:rsidRPr="007C68F1">
        <w:rPr>
          <w:i/>
          <w:iCs/>
          <w:bdr w:val="none" w:sz="0" w:space="0" w:color="auto" w:frame="1"/>
        </w:rPr>
        <w:t>Barriga</w:t>
      </w:r>
      <w:r w:rsidR="00D72CC4" w:rsidRPr="007C68F1">
        <w:rPr>
          <w:bdr w:val="none" w:sz="0" w:space="0" w:color="auto" w:frame="1"/>
        </w:rPr>
        <w:t xml:space="preserve">, </w:t>
      </w:r>
      <w:r w:rsidR="00D72CC4" w:rsidRPr="007C68F1">
        <w:rPr>
          <w:i/>
          <w:iCs/>
          <w:bdr w:val="none" w:sz="0" w:space="0" w:color="auto" w:frame="1"/>
        </w:rPr>
        <w:t>supra</w:t>
      </w:r>
      <w:r w:rsidR="00D72CC4" w:rsidRPr="007C68F1">
        <w:rPr>
          <w:bdr w:val="none" w:sz="0" w:space="0" w:color="auto" w:frame="1"/>
        </w:rPr>
        <w:t xml:space="preserve">, </w:t>
      </w:r>
      <w:r w:rsidR="00D72CC4" w:rsidRPr="007C68F1">
        <w:t xml:space="preserve">51 Cal.App.5th </w:t>
      </w:r>
      <w:r w:rsidR="00D72CC4" w:rsidRPr="007C68F1">
        <w:lastRenderedPageBreak/>
        <w:t>at p. 327</w:t>
      </w:r>
      <w:bookmarkEnd w:id="235"/>
      <w:r w:rsidR="006B6756" w:rsidRPr="007C68F1">
        <w:t>;</w:t>
      </w:r>
      <w:r w:rsidR="001C563B" w:rsidRPr="007C68F1">
        <w:t xml:space="preserve"> see </w:t>
      </w:r>
      <w:r w:rsidR="006B6756" w:rsidRPr="007C68F1">
        <w:t xml:space="preserve">Weil &amp; Brown, Cal. Practice Guide: </w:t>
      </w:r>
      <w:r w:rsidR="006970C0" w:rsidRPr="007C68F1">
        <w:t xml:space="preserve"> </w:t>
      </w:r>
      <w:r w:rsidR="006B6756" w:rsidRPr="007C68F1">
        <w:t>Civil Procedure Before Trial (The Rutter Group</w:t>
      </w:r>
      <w:r w:rsidR="00461F7B" w:rsidRPr="007C68F1">
        <w:t xml:space="preserve"> 2022</w:t>
      </w:r>
      <w:r w:rsidR="006B6756" w:rsidRPr="007C68F1">
        <w:t xml:space="preserve">) </w:t>
      </w:r>
      <w:r w:rsidR="001C563B" w:rsidRPr="007C68F1">
        <w:t xml:space="preserve">¶ 14:92.1 [before class certification, </w:t>
      </w:r>
      <w:bookmarkStart w:id="236" w:name="dabmq_103"/>
      <w:r w:rsidR="001C563B" w:rsidRPr="007C68F1">
        <w:t>“</w:t>
      </w:r>
      <w:r w:rsidR="006B6756" w:rsidRPr="007C68F1">
        <w:rPr>
          <w:shd w:val="clear" w:color="auto" w:fill="FFFFFF"/>
        </w:rPr>
        <w:t>it is not ethically improper for defendant to contact members of the putative class, conduct informal discovery or attempt to defeat the class action by explaining its position, offering settlements, etc</w:t>
      </w:r>
      <w:r w:rsidR="001C563B" w:rsidRPr="007C68F1">
        <w:rPr>
          <w:shd w:val="clear" w:color="auto" w:fill="FFFFFF"/>
        </w:rPr>
        <w:t>.”</w:t>
      </w:r>
      <w:bookmarkEnd w:id="236"/>
      <w:r w:rsidR="001C563B" w:rsidRPr="007C68F1">
        <w:rPr>
          <w:shd w:val="clear" w:color="auto" w:fill="FFFFFF"/>
        </w:rPr>
        <w:t>].)</w:t>
      </w:r>
      <w:r w:rsidR="00D72CC4" w:rsidRPr="007C68F1">
        <w:rPr>
          <w:shd w:val="clear" w:color="auto" w:fill="FFFFFF"/>
        </w:rPr>
        <w:t xml:space="preserve">  </w:t>
      </w:r>
      <w:r w:rsidR="00A11262" w:rsidRPr="007C68F1">
        <w:rPr>
          <w:shd w:val="clear" w:color="auto" w:fill="FFFFFF"/>
        </w:rPr>
        <w:t>However,</w:t>
      </w:r>
      <w:r w:rsidR="00D72CC4" w:rsidRPr="007C68F1">
        <w:rPr>
          <w:shd w:val="clear" w:color="auto" w:fill="FFFFFF"/>
        </w:rPr>
        <w:t xml:space="preserve"> </w:t>
      </w:r>
      <w:bookmarkStart w:id="237" w:name="dabmq_104"/>
      <w:r w:rsidR="00D72CC4" w:rsidRPr="007C68F1">
        <w:t>“</w:t>
      </w:r>
      <w:r w:rsidR="00D72CC4" w:rsidRPr="007C68F1">
        <w:rPr>
          <w:shd w:val="clear" w:color="auto" w:fill="FFFFFF"/>
        </w:rPr>
        <w:t>[c]ourts must be cognizant of the danger of coercion and exercise a healthy skepticism when assessing the evidentiary weight to be given to employee statements.”</w:t>
      </w:r>
      <w:bookmarkEnd w:id="237"/>
      <w:r w:rsidR="00D72CC4" w:rsidRPr="007C68F1">
        <w:rPr>
          <w:shd w:val="clear" w:color="auto" w:fill="FFFFFF"/>
        </w:rPr>
        <w:t xml:space="preserve">  (</w:t>
      </w:r>
      <w:bookmarkStart w:id="238" w:name="dabmci_7cc5b98902004a73ac596f6d99222309"/>
      <w:r w:rsidR="00461F7B" w:rsidRPr="007C68F1">
        <w:rPr>
          <w:i/>
          <w:iCs/>
          <w:shd w:val="clear" w:color="auto" w:fill="FFFFFF"/>
        </w:rPr>
        <w:t>Barriga</w:t>
      </w:r>
      <w:r w:rsidR="00461F7B" w:rsidRPr="007C68F1">
        <w:rPr>
          <w:shd w:val="clear" w:color="auto" w:fill="FFFFFF"/>
        </w:rPr>
        <w:t>, at p. 327</w:t>
      </w:r>
      <w:bookmarkEnd w:id="238"/>
      <w:r w:rsidR="00D72CC4" w:rsidRPr="007C68F1">
        <w:rPr>
          <w:i/>
          <w:iCs/>
          <w:shd w:val="clear" w:color="auto" w:fill="FFFFFF"/>
        </w:rPr>
        <w:t>.</w:t>
      </w:r>
      <w:r w:rsidR="00D72CC4" w:rsidRPr="007C68F1">
        <w:rPr>
          <w:shd w:val="clear" w:color="auto" w:fill="FFFFFF"/>
        </w:rPr>
        <w:t>)</w:t>
      </w:r>
      <w:r w:rsidR="00A11262" w:rsidRPr="007C68F1">
        <w:rPr>
          <w:shd w:val="clear" w:color="auto" w:fill="FFFFFF"/>
        </w:rPr>
        <w:t xml:space="preserve">  Thus, w</w:t>
      </w:r>
      <w:r w:rsidR="00A11262" w:rsidRPr="007C68F1">
        <w:rPr>
          <w:bdr w:val="none" w:sz="0" w:space="0" w:color="auto" w:frame="1"/>
        </w:rPr>
        <w:t xml:space="preserve">hen an employer offers declarations of </w:t>
      </w:r>
      <w:r w:rsidR="00877947" w:rsidRPr="007C68F1">
        <w:rPr>
          <w:bdr w:val="none" w:sz="0" w:space="0" w:color="auto" w:frame="1"/>
        </w:rPr>
        <w:t>employees</w:t>
      </w:r>
      <w:r w:rsidR="00A11262" w:rsidRPr="007C68F1">
        <w:rPr>
          <w:bdr w:val="none" w:sz="0" w:space="0" w:color="auto" w:frame="1"/>
        </w:rPr>
        <w:t xml:space="preserve"> in opposition to a motion for class certification, the trial court has</w:t>
      </w:r>
      <w:r w:rsidR="00A11262" w:rsidRPr="007C68F1">
        <w:rPr>
          <w:shd w:val="clear" w:color="auto" w:fill="FFFFFF"/>
        </w:rPr>
        <w:t xml:space="preserve"> </w:t>
      </w:r>
      <w:bookmarkStart w:id="239" w:name="dabmq_105"/>
      <w:r w:rsidR="00A11262" w:rsidRPr="007C68F1">
        <w:rPr>
          <w:shd w:val="clear" w:color="auto" w:fill="FFFFFF"/>
        </w:rPr>
        <w:t>“the duty to carefully scrutinize”</w:t>
      </w:r>
      <w:bookmarkEnd w:id="239"/>
      <w:r w:rsidR="00A11262" w:rsidRPr="007C68F1">
        <w:rPr>
          <w:shd w:val="clear" w:color="auto" w:fill="FFFFFF"/>
        </w:rPr>
        <w:t xml:space="preserve"> those declarations </w:t>
      </w:r>
      <w:bookmarkStart w:id="240" w:name="dabmq_106"/>
      <w:r w:rsidR="00A11262" w:rsidRPr="007C68F1">
        <w:rPr>
          <w:shd w:val="clear" w:color="auto" w:fill="FFFFFF"/>
        </w:rPr>
        <w:t>“for coercion or abuse.”</w:t>
      </w:r>
      <w:bookmarkEnd w:id="240"/>
      <w:r w:rsidR="00A11262" w:rsidRPr="007C68F1">
        <w:rPr>
          <w:shd w:val="clear" w:color="auto" w:fill="FFFFFF"/>
        </w:rPr>
        <w:t xml:space="preserve">  (</w:t>
      </w:r>
      <w:bookmarkStart w:id="241" w:name="dabmci_f17fa633632d4985a1bd08a578cc68f6"/>
      <w:r w:rsidR="00A11262" w:rsidRPr="007C68F1">
        <w:rPr>
          <w:i/>
          <w:iCs/>
          <w:shd w:val="clear" w:color="auto" w:fill="FFFFFF"/>
        </w:rPr>
        <w:t>Id</w:t>
      </w:r>
      <w:r w:rsidR="00A11262" w:rsidRPr="007C68F1">
        <w:rPr>
          <w:shd w:val="clear" w:color="auto" w:fill="FFFFFF"/>
        </w:rPr>
        <w:t>. at p. 323</w:t>
      </w:r>
      <w:bookmarkEnd w:id="241"/>
      <w:r w:rsidR="00A11262" w:rsidRPr="007C68F1">
        <w:rPr>
          <w:shd w:val="clear" w:color="auto" w:fill="FFFFFF"/>
        </w:rPr>
        <w:t xml:space="preserve">.)  </w:t>
      </w:r>
    </w:p>
    <w:p w14:paraId="1E898443" w14:textId="77777777" w:rsidR="00D4243A" w:rsidRPr="007C68F1" w:rsidRDefault="00D16B2E" w:rsidP="007D1009">
      <w:pPr>
        <w:spacing w:line="480" w:lineRule="auto"/>
        <w:ind w:firstLine="720"/>
        <w:rPr>
          <w:shd w:val="clear" w:color="auto" w:fill="FFFFFF"/>
        </w:rPr>
      </w:pPr>
      <w:r w:rsidRPr="007C68F1">
        <w:rPr>
          <w:shd w:val="clear" w:color="auto" w:fill="FFFFFF"/>
        </w:rPr>
        <w:t xml:space="preserve">Some federal district courts have </w:t>
      </w:r>
      <w:bookmarkStart w:id="242" w:name="dabmq_107"/>
      <w:r w:rsidRPr="007C68F1">
        <w:rPr>
          <w:shd w:val="clear" w:color="auto" w:fill="FFFFFF"/>
        </w:rPr>
        <w:t xml:space="preserve">“concluded an ongoing employer-employee relationship between the class opponent and putative class members is </w:t>
      </w:r>
      <w:r w:rsidRPr="007C68F1">
        <w:rPr>
          <w:i/>
          <w:iCs/>
          <w:shd w:val="clear" w:color="auto" w:fill="FFFFFF"/>
        </w:rPr>
        <w:t xml:space="preserve">inherently </w:t>
      </w:r>
      <w:r w:rsidRPr="007C68F1">
        <w:rPr>
          <w:shd w:val="clear" w:color="auto" w:fill="FFFFFF"/>
        </w:rPr>
        <w:t>conducive to coercive influence.”</w:t>
      </w:r>
      <w:bookmarkEnd w:id="242"/>
      <w:r w:rsidRPr="007C68F1">
        <w:rPr>
          <w:shd w:val="clear" w:color="auto" w:fill="FFFFFF"/>
        </w:rPr>
        <w:t xml:space="preserve">  (</w:t>
      </w:r>
      <w:bookmarkStart w:id="243" w:name="dabmci_c5215bd2347a43e980191c888031d5ee"/>
      <w:r w:rsidRPr="007C68F1">
        <w:rPr>
          <w:i/>
          <w:iCs/>
          <w:shd w:val="clear" w:color="auto" w:fill="FFFFFF"/>
        </w:rPr>
        <w:t>Barriga</w:t>
      </w:r>
      <w:r w:rsidRPr="007C68F1">
        <w:rPr>
          <w:shd w:val="clear" w:color="auto" w:fill="FFFFFF"/>
        </w:rPr>
        <w:t xml:space="preserve">, </w:t>
      </w:r>
      <w:r w:rsidRPr="007C68F1">
        <w:rPr>
          <w:i/>
          <w:iCs/>
          <w:shd w:val="clear" w:color="auto" w:fill="FFFFFF"/>
        </w:rPr>
        <w:t>supra</w:t>
      </w:r>
      <w:r w:rsidRPr="007C68F1">
        <w:rPr>
          <w:shd w:val="clear" w:color="auto" w:fill="FFFFFF"/>
        </w:rPr>
        <w:t>, 51 Cal.App.5th at p. 326</w:t>
      </w:r>
      <w:bookmarkEnd w:id="243"/>
      <w:r w:rsidRPr="007C68F1">
        <w:rPr>
          <w:shd w:val="clear" w:color="auto" w:fill="FFFFFF"/>
        </w:rPr>
        <w:t xml:space="preserve">.)  But </w:t>
      </w:r>
      <w:bookmarkStart w:id="244" w:name="dabmq_108"/>
      <w:r w:rsidRPr="007C68F1">
        <w:rPr>
          <w:shd w:val="clear" w:color="auto" w:fill="FFFFFF"/>
        </w:rPr>
        <w:t>“t</w:t>
      </w:r>
      <w:r w:rsidR="00885867" w:rsidRPr="007C68F1">
        <w:rPr>
          <w:shd w:val="clear" w:color="auto" w:fill="FFFFFF"/>
        </w:rPr>
        <w:t>h</w:t>
      </w:r>
      <w:r w:rsidR="00F001D0" w:rsidRPr="007C68F1">
        <w:rPr>
          <w:shd w:val="clear" w:color="auto" w:fill="FFFFFF"/>
        </w:rPr>
        <w:t>e mere existence of a potentially or inherently coercive relationship is insufficient to support an order</w:t>
      </w:r>
      <w:r w:rsidRPr="007C68F1">
        <w:rPr>
          <w:shd w:val="clear" w:color="auto" w:fill="FFFFFF"/>
        </w:rPr>
        <w:t>”</w:t>
      </w:r>
      <w:bookmarkEnd w:id="244"/>
      <w:r w:rsidRPr="007C68F1">
        <w:rPr>
          <w:shd w:val="clear" w:color="auto" w:fill="FFFFFF"/>
        </w:rPr>
        <w:t xml:space="preserve"> </w:t>
      </w:r>
      <w:r w:rsidR="00F001D0" w:rsidRPr="007C68F1">
        <w:rPr>
          <w:shd w:val="clear" w:color="auto" w:fill="FFFFFF"/>
        </w:rPr>
        <w:t xml:space="preserve">striking employee declarations </w:t>
      </w:r>
      <w:r w:rsidRPr="007C68F1">
        <w:rPr>
          <w:shd w:val="clear" w:color="auto" w:fill="FFFFFF"/>
        </w:rPr>
        <w:t xml:space="preserve">or </w:t>
      </w:r>
      <w:bookmarkStart w:id="245" w:name="dabmq_109"/>
      <w:r w:rsidRPr="007C68F1">
        <w:rPr>
          <w:shd w:val="clear" w:color="auto" w:fill="FFFFFF"/>
        </w:rPr>
        <w:t>“</w:t>
      </w:r>
      <w:r w:rsidR="00F001D0" w:rsidRPr="007C68F1">
        <w:rPr>
          <w:shd w:val="clear" w:color="auto" w:fill="FFFFFF"/>
        </w:rPr>
        <w:t>severely discounting the weight to be given those declarations.”</w:t>
      </w:r>
      <w:bookmarkEnd w:id="245"/>
      <w:r w:rsidR="00F001D0" w:rsidRPr="007C68F1">
        <w:rPr>
          <w:shd w:val="clear" w:color="auto" w:fill="FFFFFF"/>
        </w:rPr>
        <w:t xml:space="preserve">  (</w:t>
      </w:r>
      <w:bookmarkStart w:id="246" w:name="dabmci_d5288823fb914d7388e6b90ae15f83c9"/>
      <w:r w:rsidR="00461F7B" w:rsidRPr="007C68F1">
        <w:rPr>
          <w:i/>
          <w:iCs/>
          <w:shd w:val="clear" w:color="auto" w:fill="FFFFFF"/>
        </w:rPr>
        <w:t>Id</w:t>
      </w:r>
      <w:r w:rsidR="00461F7B" w:rsidRPr="007C68F1">
        <w:rPr>
          <w:shd w:val="clear" w:color="auto" w:fill="FFFFFF"/>
        </w:rPr>
        <w:t xml:space="preserve">. </w:t>
      </w:r>
      <w:r w:rsidR="00F001D0" w:rsidRPr="007C68F1">
        <w:rPr>
          <w:shd w:val="clear" w:color="auto" w:fill="FFFFFF"/>
        </w:rPr>
        <w:t>at p. 327</w:t>
      </w:r>
      <w:bookmarkEnd w:id="246"/>
      <w:r w:rsidR="00F001D0" w:rsidRPr="007C68F1">
        <w:rPr>
          <w:shd w:val="clear" w:color="auto" w:fill="FFFFFF"/>
        </w:rPr>
        <w:t>.)</w:t>
      </w:r>
      <w:r w:rsidRPr="007C68F1">
        <w:rPr>
          <w:shd w:val="clear" w:color="auto" w:fill="FFFFFF"/>
        </w:rPr>
        <w:t xml:space="preserve">  On the other hand, </w:t>
      </w:r>
      <w:bookmarkStart w:id="247" w:name="dabmq_110"/>
      <w:r w:rsidRPr="007C68F1">
        <w:rPr>
          <w:shd w:val="clear" w:color="auto" w:fill="FFFFFF"/>
        </w:rPr>
        <w:t>“a</w:t>
      </w:r>
      <w:r w:rsidR="00F001D0" w:rsidRPr="007C68F1">
        <w:rPr>
          <w:shd w:val="clear" w:color="auto" w:fill="FFFFFF"/>
        </w:rPr>
        <w:t xml:space="preserve"> compelling showing that the employees were misled or that the declarations were not freely and voluntarily given will suffice.</w:t>
      </w:r>
      <w:r w:rsidR="006556D8" w:rsidRPr="007C68F1">
        <w:rPr>
          <w:shd w:val="clear" w:color="auto" w:fill="FFFFFF"/>
        </w:rPr>
        <w:t>”</w:t>
      </w:r>
      <w:bookmarkEnd w:id="247"/>
      <w:r w:rsidR="00F001D0" w:rsidRPr="007C68F1">
        <w:rPr>
          <w:shd w:val="clear" w:color="auto" w:fill="FFFFFF"/>
        </w:rPr>
        <w:t xml:space="preserve">  (</w:t>
      </w:r>
      <w:bookmarkStart w:id="248" w:name="dabmci_a664575990c34d19b4e65ea2f6e908ff"/>
      <w:r w:rsidR="00F001D0" w:rsidRPr="007C68F1">
        <w:rPr>
          <w:i/>
          <w:iCs/>
          <w:shd w:val="clear" w:color="auto" w:fill="FFFFFF"/>
        </w:rPr>
        <w:t>Ibid.</w:t>
      </w:r>
      <w:bookmarkEnd w:id="248"/>
      <w:r w:rsidR="00F001D0" w:rsidRPr="007C68F1">
        <w:rPr>
          <w:shd w:val="clear" w:color="auto" w:fill="FFFFFF"/>
        </w:rPr>
        <w:t>)</w:t>
      </w:r>
      <w:r w:rsidR="00885867" w:rsidRPr="007C68F1">
        <w:rPr>
          <w:shd w:val="clear" w:color="auto" w:fill="FFFFFF"/>
        </w:rPr>
        <w:t xml:space="preserve"> </w:t>
      </w:r>
    </w:p>
    <w:p w14:paraId="1CA3CDD7" w14:textId="77777777" w:rsidR="00ED46C5" w:rsidRPr="007C68F1" w:rsidRDefault="00D16B2E" w:rsidP="007D1009">
      <w:pPr>
        <w:spacing w:line="480" w:lineRule="auto"/>
        <w:ind w:firstLine="720"/>
      </w:pPr>
      <w:bookmarkStart w:id="249" w:name="dabmq_111"/>
      <w:r w:rsidRPr="007C68F1">
        <w:rPr>
          <w:shd w:val="clear" w:color="auto" w:fill="FFFFFF"/>
        </w:rPr>
        <w:t>“‘In considering whether pre-certification communications between employers and employees are sufficiently deceptive or coercive to warrant relief, courts have considered several factors, including whether the employer adequately informed the employees abo</w:t>
      </w:r>
      <w:r w:rsidRPr="007C68F1">
        <w:rPr>
          <w:shd w:val="clear" w:color="auto" w:fill="FFFFFF"/>
        </w:rPr>
        <w:t xml:space="preserve">ut: </w:t>
      </w:r>
      <w:r w:rsidR="003E44CA" w:rsidRPr="007C68F1">
        <w:rPr>
          <w:shd w:val="clear" w:color="auto" w:fill="FFFFFF"/>
        </w:rPr>
        <w:t xml:space="preserve"> </w:t>
      </w:r>
      <w:r w:rsidRPr="007C68F1">
        <w:rPr>
          <w:shd w:val="clear" w:color="auto" w:fill="FFFFFF"/>
        </w:rPr>
        <w:t xml:space="preserve">(1) the details underlying the lawsuit, (2) the nature and purpose of the communications, and (3) the fact that any defense attorneys conducting the </w:t>
      </w:r>
      <w:r w:rsidRPr="007C68F1">
        <w:rPr>
          <w:shd w:val="clear" w:color="auto" w:fill="FFFFFF"/>
        </w:rPr>
        <w:lastRenderedPageBreak/>
        <w:t>communications represent the employer and not the employee.’”</w:t>
      </w:r>
      <w:bookmarkEnd w:id="249"/>
      <w:r w:rsidR="00A15FEE" w:rsidRPr="007C68F1">
        <w:rPr>
          <w:shd w:val="clear" w:color="auto" w:fill="FFFFFF"/>
        </w:rPr>
        <w:t xml:space="preserve">  (</w:t>
      </w:r>
      <w:bookmarkStart w:id="250" w:name="dabmci_3b92d37f95694f48910b4e228524a494"/>
      <w:r w:rsidR="00D4243A" w:rsidRPr="007C68F1">
        <w:rPr>
          <w:i/>
          <w:iCs/>
          <w:shd w:val="clear" w:color="auto" w:fill="FFFFFF"/>
        </w:rPr>
        <w:t>Barriga</w:t>
      </w:r>
      <w:r w:rsidR="00D4243A" w:rsidRPr="007C68F1">
        <w:rPr>
          <w:shd w:val="clear" w:color="auto" w:fill="FFFFFF"/>
        </w:rPr>
        <w:t xml:space="preserve">, </w:t>
      </w:r>
      <w:r w:rsidR="00D4243A" w:rsidRPr="007C68F1">
        <w:rPr>
          <w:i/>
          <w:iCs/>
          <w:shd w:val="clear" w:color="auto" w:fill="FFFFFF"/>
        </w:rPr>
        <w:t>supra</w:t>
      </w:r>
      <w:r w:rsidR="00D4243A" w:rsidRPr="007C68F1">
        <w:rPr>
          <w:shd w:val="clear" w:color="auto" w:fill="FFFFFF"/>
        </w:rPr>
        <w:t>, 51 Cal.App.5th at</w:t>
      </w:r>
      <w:r w:rsidR="00885867" w:rsidRPr="007C68F1">
        <w:rPr>
          <w:bdr w:val="none" w:sz="0" w:space="0" w:color="auto" w:frame="1"/>
        </w:rPr>
        <w:t xml:space="preserve"> p. </w:t>
      </w:r>
      <w:r w:rsidRPr="007C68F1">
        <w:t>3</w:t>
      </w:r>
      <w:r w:rsidRPr="007C68F1">
        <w:t>30</w:t>
      </w:r>
      <w:bookmarkEnd w:id="250"/>
      <w:r w:rsidR="00A15FEE" w:rsidRPr="007C68F1">
        <w:t xml:space="preserve">.) </w:t>
      </w:r>
    </w:p>
    <w:p w14:paraId="531C803B" w14:textId="77777777" w:rsidR="00945EE6" w:rsidRPr="007C68F1" w:rsidRDefault="00D16B2E" w:rsidP="007D1009">
      <w:pPr>
        <w:spacing w:line="480" w:lineRule="auto"/>
        <w:ind w:firstLine="720"/>
      </w:pPr>
      <w:r w:rsidRPr="007C68F1">
        <w:rPr>
          <w:shd w:val="clear" w:color="auto" w:fill="FFFFFF"/>
        </w:rPr>
        <w:t xml:space="preserve">If the court </w:t>
      </w:r>
      <w:r w:rsidR="006D0548" w:rsidRPr="007C68F1">
        <w:rPr>
          <w:shd w:val="clear" w:color="auto" w:fill="FFFFFF"/>
        </w:rPr>
        <w:t>concludes</w:t>
      </w:r>
      <w:r w:rsidRPr="007C68F1">
        <w:rPr>
          <w:shd w:val="clear" w:color="auto" w:fill="FFFFFF"/>
        </w:rPr>
        <w:t xml:space="preserve"> that the employer obtained the </w:t>
      </w:r>
      <w:r w:rsidR="00F05824" w:rsidRPr="007C68F1">
        <w:rPr>
          <w:shd w:val="clear" w:color="auto" w:fill="FFFFFF"/>
        </w:rPr>
        <w:t xml:space="preserve">employee </w:t>
      </w:r>
      <w:r w:rsidRPr="007C68F1">
        <w:rPr>
          <w:shd w:val="clear" w:color="auto" w:fill="FFFFFF"/>
        </w:rPr>
        <w:t xml:space="preserve">declarations through coercion or abuse, it has </w:t>
      </w:r>
      <w:bookmarkStart w:id="251" w:name="dabmq_112"/>
      <w:r w:rsidRPr="007C68F1">
        <w:rPr>
          <w:shd w:val="clear" w:color="auto" w:fill="FFFFFF"/>
        </w:rPr>
        <w:t>“broad discretion to either strike some or all of the declarations or to discount the evidentiary weight to be given the declarations.”</w:t>
      </w:r>
      <w:bookmarkEnd w:id="251"/>
      <w:r w:rsidRPr="007C68F1">
        <w:rPr>
          <w:shd w:val="clear" w:color="auto" w:fill="FFFFFF"/>
        </w:rPr>
        <w:t xml:space="preserve">  (</w:t>
      </w:r>
      <w:bookmarkStart w:id="252" w:name="dabmci_37f46ebfa8fd4dc69a4f25866211d4a9"/>
      <w:r w:rsidR="00F05824" w:rsidRPr="007C68F1">
        <w:rPr>
          <w:i/>
          <w:iCs/>
          <w:shd w:val="clear" w:color="auto" w:fill="FFFFFF"/>
        </w:rPr>
        <w:t>Barriga</w:t>
      </w:r>
      <w:r w:rsidR="00F05824" w:rsidRPr="007C68F1">
        <w:rPr>
          <w:shd w:val="clear" w:color="auto" w:fill="FFFFFF"/>
        </w:rPr>
        <w:t xml:space="preserve">, </w:t>
      </w:r>
      <w:r w:rsidR="00466BC5" w:rsidRPr="00936E15">
        <w:rPr>
          <w:i/>
          <w:iCs/>
          <w:shd w:val="clear" w:color="auto" w:fill="FFFFFF"/>
        </w:rPr>
        <w:t>supra</w:t>
      </w:r>
      <w:r w:rsidR="00466BC5">
        <w:rPr>
          <w:shd w:val="clear" w:color="auto" w:fill="FFFFFF"/>
        </w:rPr>
        <w:t xml:space="preserve">, </w:t>
      </w:r>
      <w:r w:rsidR="00F05824" w:rsidRPr="007C68F1">
        <w:rPr>
          <w:shd w:val="clear" w:color="auto" w:fill="FFFFFF"/>
        </w:rPr>
        <w:t>51 Cal.App.5th at p. 323</w:t>
      </w:r>
      <w:bookmarkEnd w:id="252"/>
      <w:r w:rsidR="00CE269D" w:rsidRPr="007C68F1">
        <w:rPr>
          <w:shd w:val="clear" w:color="auto" w:fill="FFFFFF"/>
        </w:rPr>
        <w:t xml:space="preserve">; see </w:t>
      </w:r>
      <w:bookmarkStart w:id="253" w:name="dabmci_54ab2774567142309be029c03279b7aa"/>
      <w:r w:rsidR="00CE269D" w:rsidRPr="007C68F1">
        <w:rPr>
          <w:i/>
          <w:iCs/>
          <w:bdr w:val="none" w:sz="0" w:space="0" w:color="auto" w:frame="1"/>
        </w:rPr>
        <w:t>Sav-On Drug Stores, Inc. v. Superior Court</w:t>
      </w:r>
      <w:r w:rsidR="002A61A9" w:rsidRPr="007C68F1">
        <w:t xml:space="preserve"> </w:t>
      </w:r>
      <w:r w:rsidR="00CE269D" w:rsidRPr="007C68F1">
        <w:t>(2004) 34 Cal.4th 319, 334</w:t>
      </w:r>
      <w:r w:rsidR="00B54E03" w:rsidRPr="007C68F1">
        <w:t xml:space="preserve"> (</w:t>
      </w:r>
      <w:r w:rsidR="00B54E03" w:rsidRPr="007C68F1">
        <w:rPr>
          <w:i/>
          <w:iCs/>
        </w:rPr>
        <w:t>Sav-On Drug Stores</w:t>
      </w:r>
      <w:r w:rsidR="00B54E03" w:rsidRPr="007C68F1">
        <w:t>)</w:t>
      </w:r>
      <w:bookmarkEnd w:id="253"/>
      <w:r w:rsidR="00CE269D" w:rsidRPr="007C68F1">
        <w:t xml:space="preserve"> [</w:t>
      </w:r>
      <w:r w:rsidR="006F3007" w:rsidRPr="007C68F1">
        <w:rPr>
          <w:shd w:val="clear" w:color="auto" w:fill="FFFFFF"/>
        </w:rPr>
        <w:t xml:space="preserve">weight </w:t>
      </w:r>
      <w:r w:rsidR="003E44CA" w:rsidRPr="007C68F1">
        <w:rPr>
          <w:shd w:val="clear" w:color="auto" w:fill="FFFFFF"/>
        </w:rPr>
        <w:t xml:space="preserve">accorded </w:t>
      </w:r>
      <w:r w:rsidR="00CE269D" w:rsidRPr="007C68F1">
        <w:rPr>
          <w:shd w:val="clear" w:color="auto" w:fill="FFFFFF"/>
        </w:rPr>
        <w:t xml:space="preserve">to declarations </w:t>
      </w:r>
      <w:r w:rsidR="002A61A9" w:rsidRPr="007C68F1">
        <w:rPr>
          <w:shd w:val="clear" w:color="auto" w:fill="FFFFFF"/>
        </w:rPr>
        <w:t>is</w:t>
      </w:r>
      <w:r w:rsidR="00CE269D" w:rsidRPr="007C68F1">
        <w:rPr>
          <w:shd w:val="clear" w:color="auto" w:fill="FFFFFF"/>
        </w:rPr>
        <w:t xml:space="preserve"> </w:t>
      </w:r>
      <w:bookmarkStart w:id="254" w:name="dabmq_113"/>
      <w:r w:rsidR="00CE269D" w:rsidRPr="007C68F1">
        <w:rPr>
          <w:shd w:val="clear" w:color="auto" w:fill="FFFFFF"/>
        </w:rPr>
        <w:t>“a</w:t>
      </w:r>
      <w:r w:rsidR="006F3007" w:rsidRPr="007C68F1">
        <w:rPr>
          <w:shd w:val="clear" w:color="auto" w:fill="FFFFFF"/>
        </w:rPr>
        <w:t xml:space="preserve"> matter generally entrusted to the trial court</w:t>
      </w:r>
      <w:r w:rsidR="002A61A9" w:rsidRPr="007C68F1">
        <w:rPr>
          <w:shd w:val="clear" w:color="auto" w:fill="FFFFFF"/>
        </w:rPr>
        <w:t>’</w:t>
      </w:r>
      <w:r w:rsidR="006F3007" w:rsidRPr="007C68F1">
        <w:rPr>
          <w:shd w:val="clear" w:color="auto" w:fill="FFFFFF"/>
        </w:rPr>
        <w:t>s discretion</w:t>
      </w:r>
      <w:r w:rsidR="00CE269D" w:rsidRPr="007C68F1">
        <w:t>”</w:t>
      </w:r>
      <w:bookmarkEnd w:id="254"/>
      <w:r w:rsidR="00CE269D" w:rsidRPr="007C68F1">
        <w:t>].</w:t>
      </w:r>
      <w:r w:rsidRPr="007C68F1">
        <w:rPr>
          <w:shd w:val="clear" w:color="auto" w:fill="FFFFFF"/>
        </w:rPr>
        <w:t>)</w:t>
      </w:r>
      <w:r w:rsidR="002D5485" w:rsidRPr="007C68F1">
        <w:rPr>
          <w:shd w:val="clear" w:color="auto" w:fill="FFFFFF"/>
        </w:rPr>
        <w:t xml:space="preserve">  </w:t>
      </w:r>
      <w:r w:rsidRPr="007C68F1">
        <w:rPr>
          <w:shd w:val="clear" w:color="auto" w:fill="FFFFFF"/>
        </w:rPr>
        <w:t xml:space="preserve">In deciding whether the court abused its discretion, </w:t>
      </w:r>
      <w:bookmarkStart w:id="255" w:name="dabmq_114"/>
      <w:r w:rsidRPr="007C68F1">
        <w:rPr>
          <w:shd w:val="clear" w:color="auto" w:fill="FFFFFF"/>
        </w:rPr>
        <w:t>“[w]e are also bound in our reviewing function by the substantial evidence rule.  [Citations.]  Thus, if substantial evidence supports the</w:t>
      </w:r>
      <w:r w:rsidRPr="007C68F1">
        <w:rPr>
          <w:shd w:val="clear" w:color="auto" w:fill="FFFFFF"/>
        </w:rPr>
        <w:t xml:space="preserve"> trial court’s express or implied findings of fact, we review the resulting legal conclusions for an abuse of discretion.  [Citation.]  The judgment of the trial court is presumed correct; all intendments and presumptions are indulged to support the judgme</w:t>
      </w:r>
      <w:r w:rsidRPr="007C68F1">
        <w:rPr>
          <w:shd w:val="clear" w:color="auto" w:fill="FFFFFF"/>
        </w:rPr>
        <w:t xml:space="preserve">nt; conflicts in the </w:t>
      </w:r>
      <w:r w:rsidR="00B029AE" w:rsidRPr="007C68F1">
        <w:rPr>
          <w:shd w:val="clear" w:color="auto" w:fill="FFFFFF"/>
        </w:rPr>
        <w:t>[evidence]</w:t>
      </w:r>
      <w:r w:rsidRPr="007C68F1">
        <w:rPr>
          <w:shd w:val="clear" w:color="auto" w:fill="FFFFFF"/>
        </w:rPr>
        <w:t xml:space="preserve"> must be resolved in favor of the prevailing party, and the trial court’s resolution of any factual disputes arising from the evidence is conclusive.”</w:t>
      </w:r>
      <w:bookmarkEnd w:id="255"/>
      <w:r w:rsidRPr="007C68F1">
        <w:rPr>
          <w:shd w:val="clear" w:color="auto" w:fill="FFFFFF"/>
        </w:rPr>
        <w:t xml:space="preserve">  (</w:t>
      </w:r>
      <w:bookmarkStart w:id="256" w:name="dabmci_a55fb8a229304985959944cd28d9bb14"/>
      <w:r w:rsidRPr="007C68F1">
        <w:rPr>
          <w:i/>
          <w:iCs/>
          <w:bdr w:val="none" w:sz="0" w:space="0" w:color="auto" w:frame="1"/>
        </w:rPr>
        <w:t>In re Marriage of Zimmerman</w:t>
      </w:r>
      <w:r w:rsidRPr="007C68F1">
        <w:t> (1993) 16 Cal.App.4th 556, 561-562</w:t>
      </w:r>
      <w:bookmarkEnd w:id="256"/>
      <w:r w:rsidRPr="007C68F1">
        <w:t xml:space="preserve">.)  </w:t>
      </w:r>
    </w:p>
    <w:p w14:paraId="07702A15" w14:textId="77777777" w:rsidR="00CC3EFD" w:rsidRPr="007C68F1" w:rsidRDefault="00D16B2E" w:rsidP="007D1009">
      <w:pPr>
        <w:spacing w:line="480" w:lineRule="auto"/>
        <w:ind w:firstLine="720"/>
      </w:pPr>
      <w:r w:rsidRPr="007C68F1">
        <w:t xml:space="preserve">Here, the </w:t>
      </w:r>
      <w:r w:rsidR="00152D1B" w:rsidRPr="007C68F1">
        <w:t>court did not abuse its discretion by denying the motion to strike the putative class member</w:t>
      </w:r>
      <w:r w:rsidR="00732467" w:rsidRPr="007C68F1">
        <w:t>s’</w:t>
      </w:r>
      <w:r w:rsidR="00152D1B" w:rsidRPr="007C68F1">
        <w:t xml:space="preserve"> declarations.  The </w:t>
      </w:r>
      <w:r w:rsidR="00BA4017" w:rsidRPr="007C68F1">
        <w:t xml:space="preserve">record contains substantial evidence </w:t>
      </w:r>
      <w:r w:rsidR="00D9431A" w:rsidRPr="007C68F1">
        <w:t>supporting</w:t>
      </w:r>
      <w:r w:rsidR="00BA4017" w:rsidRPr="007C68F1">
        <w:t xml:space="preserve"> the </w:t>
      </w:r>
      <w:r w:rsidR="00152D1B" w:rsidRPr="007C68F1">
        <w:t>trial court’s finding</w:t>
      </w:r>
      <w:r w:rsidR="00BA4017" w:rsidRPr="007C68F1">
        <w:t xml:space="preserve"> </w:t>
      </w:r>
      <w:r w:rsidR="00152D1B" w:rsidRPr="007C68F1">
        <w:t xml:space="preserve">that </w:t>
      </w:r>
      <w:r w:rsidR="00912D9B" w:rsidRPr="007C68F1">
        <w:t>there was a lack of coercion</w:t>
      </w:r>
      <w:r w:rsidR="00B9212E" w:rsidRPr="007C68F1">
        <w:t xml:space="preserve">.  </w:t>
      </w:r>
      <w:r w:rsidR="00664ABB" w:rsidRPr="007C68F1">
        <w:t xml:space="preserve">Eight of the </w:t>
      </w:r>
      <w:r w:rsidR="00732467" w:rsidRPr="007C68F1">
        <w:t xml:space="preserve">10 </w:t>
      </w:r>
      <w:r w:rsidR="0040570C" w:rsidRPr="007C68F1">
        <w:t xml:space="preserve">employees testified that their supervisors or managers asked if they would attend the interview with defense counsel, not that they were ordered to attend.  Several </w:t>
      </w:r>
      <w:r w:rsidR="00664ABB" w:rsidRPr="007C68F1">
        <w:t>of those employees also</w:t>
      </w:r>
      <w:r w:rsidR="0040570C" w:rsidRPr="007C68F1">
        <w:t xml:space="preserve"> said that they felt comfortable refusing the request</w:t>
      </w:r>
      <w:r w:rsidR="00664ABB" w:rsidRPr="007C68F1">
        <w:t xml:space="preserve"> or were told that they </w:t>
      </w:r>
      <w:r w:rsidR="00664ABB" w:rsidRPr="007C68F1">
        <w:lastRenderedPageBreak/>
        <w:t>could refuse the request, and one testified that he did not feel that the environment was coercive</w:t>
      </w:r>
      <w:r w:rsidR="00DE4446" w:rsidRPr="007C68F1">
        <w:t>.  Two of the employees, Baca and Benter, testified that their supervisors told them to attend, not that they asked the employees to attend.</w:t>
      </w:r>
      <w:r w:rsidR="00C53381" w:rsidRPr="007C68F1">
        <w:t xml:space="preserve">  But Benter </w:t>
      </w:r>
      <w:r w:rsidR="007413A2" w:rsidRPr="007C68F1">
        <w:t xml:space="preserve">also </w:t>
      </w:r>
      <w:r w:rsidR="00C53381" w:rsidRPr="007C68F1">
        <w:t xml:space="preserve">felt that she could refuse to go to the meeting, and Baca </w:t>
      </w:r>
      <w:r w:rsidR="00C754CE" w:rsidRPr="007C68F1">
        <w:t>testified</w:t>
      </w:r>
      <w:r w:rsidR="00C53381" w:rsidRPr="007C68F1">
        <w:t xml:space="preserve"> that the statements in her declaration were voluntary, no one forced her to sign it, and no one promised her anything for signing it.</w:t>
      </w:r>
      <w:r w:rsidR="008D0CA6" w:rsidRPr="007C68F1">
        <w:t xml:space="preserve">  In addition, according to </w:t>
      </w:r>
      <w:r w:rsidR="00BF461C" w:rsidRPr="007C68F1">
        <w:t>Lee’s</w:t>
      </w:r>
      <w:r w:rsidR="008D0CA6" w:rsidRPr="007C68F1">
        <w:t xml:space="preserve"> declaration, </w:t>
      </w:r>
      <w:r w:rsidR="00BF461C" w:rsidRPr="007C68F1">
        <w:t xml:space="preserve">defense </w:t>
      </w:r>
      <w:r w:rsidR="008D0CA6" w:rsidRPr="007C68F1">
        <w:t xml:space="preserve">counsel told all of the employees that the interviews were voluntary and that the medical center could not retaliate against them for failing to participate. </w:t>
      </w:r>
      <w:r w:rsidR="003B1901" w:rsidRPr="007C68F1">
        <w:t xml:space="preserve"> Defense counsel also told the employees that providing a declaration was voluntary, and </w:t>
      </w:r>
      <w:r w:rsidR="007413A2" w:rsidRPr="007C68F1">
        <w:t>counsel</w:t>
      </w:r>
      <w:r w:rsidR="003B1901" w:rsidRPr="007C68F1">
        <w:t xml:space="preserve"> asked the employees whether they would be willing to provide one.  Defense counsel did not obtain declarations from employees who said that they were </w:t>
      </w:r>
      <w:r w:rsidR="003B121E" w:rsidRPr="007C68F1">
        <w:t>un</w:t>
      </w:r>
      <w:r w:rsidR="003B1901" w:rsidRPr="007C68F1">
        <w:t>willing.  The</w:t>
      </w:r>
      <w:r w:rsidR="008173D8" w:rsidRPr="007C68F1">
        <w:t xml:space="preserve"> declarations </w:t>
      </w:r>
      <w:r w:rsidR="00C754CE" w:rsidRPr="007C68F1">
        <w:t>stated</w:t>
      </w:r>
      <w:r w:rsidR="00183929" w:rsidRPr="007C68F1">
        <w:t xml:space="preserve"> that the declarants’ statements were voluntary, and all but one of the</w:t>
      </w:r>
      <w:r w:rsidR="003B121E" w:rsidRPr="007C68F1">
        <w:t xml:space="preserve"> </w:t>
      </w:r>
      <w:r w:rsidR="00183929" w:rsidRPr="007C68F1">
        <w:t xml:space="preserve">employees </w:t>
      </w:r>
      <w:r w:rsidR="003B121E" w:rsidRPr="007C68F1">
        <w:t>testified</w:t>
      </w:r>
      <w:r w:rsidR="00C754CE" w:rsidRPr="007C68F1">
        <w:t xml:space="preserve"> </w:t>
      </w:r>
      <w:r w:rsidR="00183929" w:rsidRPr="007C68F1">
        <w:t xml:space="preserve">that they reviewed their declarations before signing.  </w:t>
      </w:r>
    </w:p>
    <w:p w14:paraId="750B2884" w14:textId="77777777" w:rsidR="005553CC" w:rsidRPr="007C68F1" w:rsidRDefault="00D16B2E" w:rsidP="007D1009">
      <w:pPr>
        <w:spacing w:line="480" w:lineRule="auto"/>
        <w:ind w:firstLine="720"/>
      </w:pPr>
      <w:r w:rsidRPr="007C68F1">
        <w:t xml:space="preserve">The record also contains substantial evidence </w:t>
      </w:r>
      <w:r w:rsidR="00D9431A" w:rsidRPr="007C68F1">
        <w:t>supporting</w:t>
      </w:r>
      <w:r w:rsidRPr="007C68F1">
        <w:t xml:space="preserve"> the finding </w:t>
      </w:r>
      <w:r w:rsidR="003B1901" w:rsidRPr="007C68F1">
        <w:t>that defense counsel did not affirmatively mislead the declarant</w:t>
      </w:r>
      <w:r w:rsidRPr="007C68F1">
        <w:t xml:space="preserve">s.  </w:t>
      </w:r>
      <w:r w:rsidR="00A92565" w:rsidRPr="007C68F1">
        <w:t>The record shows that</w:t>
      </w:r>
      <w:r w:rsidR="00CC3EFD" w:rsidRPr="007C68F1">
        <w:t xml:space="preserve"> defense counsel </w:t>
      </w:r>
      <w:r w:rsidR="00A92565" w:rsidRPr="007C68F1">
        <w:t>informed the employees that counsel represented the medical center, not the employees.  Lee’s declaration provided evidence of that, and several employees testified that they were told defense counsel represented the medical center or that they understood that.</w:t>
      </w:r>
      <w:r w:rsidR="00946B81" w:rsidRPr="007C68F1">
        <w:t xml:space="preserve">  </w:t>
      </w:r>
      <w:r w:rsidR="007C14E4" w:rsidRPr="007C68F1">
        <w:t xml:space="preserve">The declarations all stated that the declarants understood defense counsel represented the medical center and not the employees.  </w:t>
      </w:r>
      <w:r w:rsidR="00946B81" w:rsidRPr="007C68F1">
        <w:t>And there was no evidence that the employees failed to understand who</w:t>
      </w:r>
      <w:r w:rsidR="00732467" w:rsidRPr="007C68F1">
        <w:t>m</w:t>
      </w:r>
      <w:r w:rsidR="00946B81" w:rsidRPr="007C68F1">
        <w:t xml:space="preserve"> defense counsel represented.</w:t>
      </w:r>
      <w:r w:rsidR="008173D8" w:rsidRPr="007C68F1">
        <w:t xml:space="preserve"> </w:t>
      </w:r>
      <w:r w:rsidR="00946B81" w:rsidRPr="007C68F1">
        <w:t xml:space="preserve"> </w:t>
      </w:r>
    </w:p>
    <w:p w14:paraId="481E3555" w14:textId="77777777" w:rsidR="00F3191D" w:rsidRPr="007C68F1" w:rsidRDefault="00D16B2E" w:rsidP="007D1009">
      <w:pPr>
        <w:spacing w:line="480" w:lineRule="auto"/>
        <w:ind w:firstLine="720"/>
        <w:rPr>
          <w:shd w:val="clear" w:color="auto" w:fill="FFFFFF"/>
        </w:rPr>
      </w:pPr>
      <w:r w:rsidRPr="007C68F1">
        <w:lastRenderedPageBreak/>
        <w:t>Further</w:t>
      </w:r>
      <w:r w:rsidR="00946B81" w:rsidRPr="007C68F1">
        <w:t>, t</w:t>
      </w:r>
      <w:r w:rsidR="008173D8" w:rsidRPr="007C68F1">
        <w:t xml:space="preserve">here </w:t>
      </w:r>
      <w:r w:rsidRPr="007C68F1">
        <w:t>is</w:t>
      </w:r>
      <w:r w:rsidR="008173D8" w:rsidRPr="007C68F1">
        <w:t xml:space="preserve"> substantial evidence that defense counsel </w:t>
      </w:r>
      <w:bookmarkStart w:id="257" w:name="dabmq_115"/>
      <w:r w:rsidR="008173D8" w:rsidRPr="007C68F1">
        <w:t>“‘a</w:t>
      </w:r>
      <w:r w:rsidR="008173D8" w:rsidRPr="007C68F1">
        <w:rPr>
          <w:shd w:val="clear" w:color="auto" w:fill="FFFFFF"/>
        </w:rPr>
        <w:t>dequately informed the employees about . . . the details underlying the lawsuit</w:t>
      </w:r>
      <w:r w:rsidR="001D380F" w:rsidRPr="007C68F1">
        <w:rPr>
          <w:shd w:val="clear" w:color="auto" w:fill="FFFFFF"/>
        </w:rPr>
        <w:t>.</w:t>
      </w:r>
      <w:r w:rsidR="00877C41" w:rsidRPr="007C68F1">
        <w:rPr>
          <w:shd w:val="clear" w:color="auto" w:fill="FFFFFF"/>
        </w:rPr>
        <w:t>’</w:t>
      </w:r>
      <w:r w:rsidR="001D380F" w:rsidRPr="007C68F1">
        <w:rPr>
          <w:shd w:val="clear" w:color="auto" w:fill="FFFFFF"/>
        </w:rPr>
        <w:t>”</w:t>
      </w:r>
      <w:bookmarkEnd w:id="257"/>
      <w:r w:rsidR="001D380F" w:rsidRPr="007C68F1">
        <w:rPr>
          <w:shd w:val="clear" w:color="auto" w:fill="FFFFFF"/>
        </w:rPr>
        <w:t xml:space="preserve">  (</w:t>
      </w:r>
      <w:bookmarkStart w:id="258" w:name="dabmci_5ce913c5b1e042c3b0ab0c08dbb25567"/>
      <w:r w:rsidR="001D380F" w:rsidRPr="007C68F1">
        <w:rPr>
          <w:i/>
          <w:iCs/>
          <w:shd w:val="clear" w:color="auto" w:fill="FFFFFF"/>
        </w:rPr>
        <w:t>Barriga</w:t>
      </w:r>
      <w:r w:rsidR="001D380F" w:rsidRPr="007C68F1">
        <w:rPr>
          <w:shd w:val="clear" w:color="auto" w:fill="FFFFFF"/>
        </w:rPr>
        <w:t xml:space="preserve">, </w:t>
      </w:r>
      <w:r w:rsidR="001F7AB9" w:rsidRPr="00936E15">
        <w:rPr>
          <w:i/>
          <w:iCs/>
          <w:shd w:val="clear" w:color="auto" w:fill="FFFFFF"/>
        </w:rPr>
        <w:t>supra</w:t>
      </w:r>
      <w:r w:rsidR="001F7AB9">
        <w:rPr>
          <w:shd w:val="clear" w:color="auto" w:fill="FFFFFF"/>
        </w:rPr>
        <w:t xml:space="preserve">, </w:t>
      </w:r>
      <w:r w:rsidR="001D380F" w:rsidRPr="007C68F1">
        <w:rPr>
          <w:shd w:val="clear" w:color="auto" w:fill="FFFFFF"/>
        </w:rPr>
        <w:t>51 Cal.App.5th at p. 330</w:t>
      </w:r>
      <w:bookmarkEnd w:id="258"/>
      <w:r w:rsidR="001D380F" w:rsidRPr="007C68F1">
        <w:rPr>
          <w:shd w:val="clear" w:color="auto" w:fill="FFFFFF"/>
        </w:rPr>
        <w:t>.)</w:t>
      </w:r>
      <w:r w:rsidR="00E30D6F" w:rsidRPr="007C68F1">
        <w:rPr>
          <w:shd w:val="clear" w:color="auto" w:fill="FFFFFF"/>
        </w:rPr>
        <w:t xml:space="preserve"> </w:t>
      </w:r>
      <w:r w:rsidR="001D380F" w:rsidRPr="007C68F1">
        <w:rPr>
          <w:shd w:val="clear" w:color="auto" w:fill="FFFFFF"/>
        </w:rPr>
        <w:t xml:space="preserve"> </w:t>
      </w:r>
      <w:r w:rsidR="00E30D6F" w:rsidRPr="007C68F1">
        <w:rPr>
          <w:shd w:val="clear" w:color="auto" w:fill="FFFFFF"/>
        </w:rPr>
        <w:t xml:space="preserve">According to Lee, </w:t>
      </w:r>
      <w:r w:rsidR="00294551" w:rsidRPr="007C68F1">
        <w:rPr>
          <w:shd w:val="clear" w:color="auto" w:fill="FFFFFF"/>
        </w:rPr>
        <w:t>defense counsel briefly described this lawsuit and Woodworth’s claims</w:t>
      </w:r>
      <w:r w:rsidR="00B90107" w:rsidRPr="007C68F1">
        <w:rPr>
          <w:shd w:val="clear" w:color="auto" w:fill="FFFFFF"/>
        </w:rPr>
        <w:t xml:space="preserve">.  Counsel also told the </w:t>
      </w:r>
      <w:r w:rsidR="00294551" w:rsidRPr="007C68F1">
        <w:rPr>
          <w:shd w:val="clear" w:color="auto" w:fill="FFFFFF"/>
        </w:rPr>
        <w:t>employees that Woodworth had brought the case as a class action</w:t>
      </w:r>
      <w:r w:rsidR="00B90107" w:rsidRPr="007C68F1">
        <w:rPr>
          <w:shd w:val="clear" w:color="auto" w:fill="FFFFFF"/>
        </w:rPr>
        <w:t xml:space="preserve"> and that they could potentially be members of the class if she were successful</w:t>
      </w:r>
      <w:r w:rsidR="00294551" w:rsidRPr="007C68F1">
        <w:rPr>
          <w:shd w:val="clear" w:color="auto" w:fill="FFFFFF"/>
        </w:rPr>
        <w:t xml:space="preserve">.  </w:t>
      </w:r>
      <w:r w:rsidR="008C6CCB" w:rsidRPr="007C68F1">
        <w:rPr>
          <w:shd w:val="clear" w:color="auto" w:fill="FFFFFF"/>
        </w:rPr>
        <w:t>Further</w:t>
      </w:r>
      <w:r w:rsidR="003A1BD2" w:rsidRPr="007C68F1">
        <w:rPr>
          <w:shd w:val="clear" w:color="auto" w:fill="FFFFFF"/>
        </w:rPr>
        <w:t>, t</w:t>
      </w:r>
      <w:r w:rsidR="00294551" w:rsidRPr="007C68F1">
        <w:rPr>
          <w:shd w:val="clear" w:color="auto" w:fill="FFFFFF"/>
        </w:rPr>
        <w:t>he</w:t>
      </w:r>
      <w:r w:rsidR="007D13E7" w:rsidRPr="007C68F1">
        <w:rPr>
          <w:shd w:val="clear" w:color="auto" w:fill="FFFFFF"/>
        </w:rPr>
        <w:t xml:space="preserve"> employee</w:t>
      </w:r>
      <w:r w:rsidR="00294551" w:rsidRPr="007C68F1">
        <w:rPr>
          <w:shd w:val="clear" w:color="auto" w:fill="FFFFFF"/>
        </w:rPr>
        <w:t xml:space="preserve"> declaration</w:t>
      </w:r>
      <w:r w:rsidR="001D380F" w:rsidRPr="007C68F1">
        <w:rPr>
          <w:shd w:val="clear" w:color="auto" w:fill="FFFFFF"/>
        </w:rPr>
        <w:t>s</w:t>
      </w:r>
      <w:r w:rsidR="00AF27E4" w:rsidRPr="007C68F1">
        <w:rPr>
          <w:shd w:val="clear" w:color="auto" w:fill="FFFFFF"/>
        </w:rPr>
        <w:t xml:space="preserve"> </w:t>
      </w:r>
      <w:r w:rsidR="00294551" w:rsidRPr="007C68F1">
        <w:rPr>
          <w:shd w:val="clear" w:color="auto" w:fill="FFFFFF"/>
        </w:rPr>
        <w:t xml:space="preserve">contained a brief description of Woodworth’s claims </w:t>
      </w:r>
      <w:r w:rsidRPr="007C68F1">
        <w:rPr>
          <w:shd w:val="clear" w:color="auto" w:fill="FFFFFF"/>
        </w:rPr>
        <w:t>and explained that the case was a proposed class action.</w:t>
      </w:r>
      <w:r w:rsidR="001D380F" w:rsidRPr="007C68F1">
        <w:rPr>
          <w:shd w:val="clear" w:color="auto" w:fill="FFFFFF"/>
        </w:rPr>
        <w:t xml:space="preserve">  </w:t>
      </w:r>
      <w:r w:rsidR="00AA079A" w:rsidRPr="007C68F1">
        <w:rPr>
          <w:shd w:val="clear" w:color="auto" w:fill="FFFFFF"/>
        </w:rPr>
        <w:t xml:space="preserve">And </w:t>
      </w:r>
      <w:r w:rsidR="007D13E7" w:rsidRPr="007C68F1">
        <w:rPr>
          <w:shd w:val="clear" w:color="auto" w:fill="FFFFFF"/>
        </w:rPr>
        <w:t xml:space="preserve">much of the employee testimony substantiated </w:t>
      </w:r>
      <w:r w:rsidR="00AA079A" w:rsidRPr="007C68F1">
        <w:rPr>
          <w:shd w:val="clear" w:color="auto" w:fill="FFFFFF"/>
        </w:rPr>
        <w:t xml:space="preserve">defense counsel’s </w:t>
      </w:r>
      <w:r w:rsidR="007D13E7" w:rsidRPr="007C68F1">
        <w:rPr>
          <w:shd w:val="clear" w:color="auto" w:fill="FFFFFF"/>
        </w:rPr>
        <w:t>statement that counsel had described the lawsuit and Woodworth’s claims</w:t>
      </w:r>
      <w:r w:rsidR="00AA079A" w:rsidRPr="007C68F1">
        <w:rPr>
          <w:shd w:val="clear" w:color="auto" w:fill="FFFFFF"/>
        </w:rPr>
        <w:t xml:space="preserve">.  For instance, </w:t>
      </w:r>
      <w:r w:rsidR="00DB5D04" w:rsidRPr="007C68F1">
        <w:rPr>
          <w:shd w:val="clear" w:color="auto" w:fill="FFFFFF"/>
        </w:rPr>
        <w:t xml:space="preserve">Baca testified that </w:t>
      </w:r>
      <w:r w:rsidR="00FE7B58" w:rsidRPr="007C68F1">
        <w:rPr>
          <w:shd w:val="clear" w:color="auto" w:fill="FFFFFF"/>
        </w:rPr>
        <w:t xml:space="preserve">defense counsel told </w:t>
      </w:r>
      <w:r w:rsidR="00DB5D04" w:rsidRPr="007C68F1">
        <w:rPr>
          <w:shd w:val="clear" w:color="auto" w:fill="FFFFFF"/>
        </w:rPr>
        <w:t>her</w:t>
      </w:r>
      <w:r w:rsidR="00AA079A" w:rsidRPr="007C68F1">
        <w:rPr>
          <w:shd w:val="clear" w:color="auto" w:fill="FFFFFF"/>
        </w:rPr>
        <w:t xml:space="preserve"> that a former employee was suing </w:t>
      </w:r>
      <w:r w:rsidR="007D13E7" w:rsidRPr="007C68F1">
        <w:rPr>
          <w:shd w:val="clear" w:color="auto" w:fill="FFFFFF"/>
        </w:rPr>
        <w:t xml:space="preserve">the medical center </w:t>
      </w:r>
      <w:bookmarkStart w:id="259" w:name="dabmq_116"/>
      <w:r w:rsidR="007D13E7" w:rsidRPr="007C68F1">
        <w:rPr>
          <w:shd w:val="clear" w:color="auto" w:fill="FFFFFF"/>
        </w:rPr>
        <w:t>“over breaks and three 12s”</w:t>
      </w:r>
      <w:bookmarkEnd w:id="259"/>
      <w:r w:rsidR="007D13E7" w:rsidRPr="007C68F1">
        <w:rPr>
          <w:shd w:val="clear" w:color="auto" w:fill="FFFFFF"/>
        </w:rPr>
        <w:t xml:space="preserve"> (an apparent reference to the AWS issue).  </w:t>
      </w:r>
      <w:r w:rsidR="00DB5D04" w:rsidRPr="007C68F1">
        <w:rPr>
          <w:shd w:val="clear" w:color="auto" w:fill="FFFFFF"/>
        </w:rPr>
        <w:t>Benter said that cou</w:t>
      </w:r>
      <w:r w:rsidR="00FE7B58" w:rsidRPr="007C68F1">
        <w:rPr>
          <w:shd w:val="clear" w:color="auto" w:fill="FFFFFF"/>
        </w:rPr>
        <w:t xml:space="preserve">nsel told </w:t>
      </w:r>
      <w:r w:rsidR="00DB5D04" w:rsidRPr="007C68F1">
        <w:rPr>
          <w:shd w:val="clear" w:color="auto" w:fill="FFFFFF"/>
        </w:rPr>
        <w:t>her</w:t>
      </w:r>
      <w:r w:rsidR="00FE7B58" w:rsidRPr="007C68F1">
        <w:rPr>
          <w:shd w:val="clear" w:color="auto" w:fill="FFFFFF"/>
        </w:rPr>
        <w:t xml:space="preserve"> that</w:t>
      </w:r>
      <w:r w:rsidR="007D13E7" w:rsidRPr="007C68F1">
        <w:rPr>
          <w:shd w:val="clear" w:color="auto" w:fill="FFFFFF"/>
        </w:rPr>
        <w:t xml:space="preserve"> Woodworth had filed a proposed class action and that Woodworth was seeking to represent “the whole hospital.”  Bermudez </w:t>
      </w:r>
      <w:r w:rsidR="00DB5D04" w:rsidRPr="007C68F1">
        <w:rPr>
          <w:shd w:val="clear" w:color="auto" w:fill="FFFFFF"/>
        </w:rPr>
        <w:t xml:space="preserve">said that counsel told her </w:t>
      </w:r>
      <w:r w:rsidR="007D13E7" w:rsidRPr="007C68F1">
        <w:rPr>
          <w:shd w:val="clear" w:color="auto" w:fill="FFFFFF"/>
        </w:rPr>
        <w:t xml:space="preserve">that </w:t>
      </w:r>
      <w:r w:rsidR="005D624E" w:rsidRPr="007C68F1">
        <w:rPr>
          <w:shd w:val="clear" w:color="auto" w:fill="FFFFFF"/>
        </w:rPr>
        <w:t>Woodworth was suing over rest breaks and other things, but she could not recall exactly what was said.  Clark said something similar—</w:t>
      </w:r>
      <w:r w:rsidR="00FE7B58" w:rsidRPr="007C68F1">
        <w:rPr>
          <w:shd w:val="clear" w:color="auto" w:fill="FFFFFF"/>
        </w:rPr>
        <w:t>counsel</w:t>
      </w:r>
      <w:r w:rsidR="005D624E" w:rsidRPr="007C68F1">
        <w:rPr>
          <w:shd w:val="clear" w:color="auto" w:fill="FFFFFF"/>
        </w:rPr>
        <w:t xml:space="preserve"> told </w:t>
      </w:r>
      <w:r w:rsidR="00FE7B58" w:rsidRPr="007C68F1">
        <w:rPr>
          <w:shd w:val="clear" w:color="auto" w:fill="FFFFFF"/>
        </w:rPr>
        <w:t xml:space="preserve">him </w:t>
      </w:r>
      <w:r w:rsidR="005D624E" w:rsidRPr="007C68F1">
        <w:rPr>
          <w:shd w:val="clear" w:color="auto" w:fill="FFFFFF"/>
        </w:rPr>
        <w:t xml:space="preserve">that the former employee was suing the medical </w:t>
      </w:r>
      <w:r w:rsidR="00B94933" w:rsidRPr="007C68F1">
        <w:rPr>
          <w:shd w:val="clear" w:color="auto" w:fill="FFFFFF"/>
        </w:rPr>
        <w:t>center over rest periods, pay, and something else, but he did not recall what else was said.</w:t>
      </w:r>
      <w:r w:rsidR="00336075" w:rsidRPr="007C68F1">
        <w:rPr>
          <w:shd w:val="clear" w:color="auto" w:fill="FFFFFF"/>
        </w:rPr>
        <w:t xml:space="preserve"> </w:t>
      </w:r>
      <w:r w:rsidR="00621A3F" w:rsidRPr="007C68F1">
        <w:rPr>
          <w:shd w:val="clear" w:color="auto" w:fill="FFFFFF"/>
        </w:rPr>
        <w:t xml:space="preserve"> </w:t>
      </w:r>
      <w:r w:rsidR="00B8544A" w:rsidRPr="007C68F1">
        <w:rPr>
          <w:shd w:val="clear" w:color="auto" w:fill="FFFFFF"/>
        </w:rPr>
        <w:t xml:space="preserve">Dean </w:t>
      </w:r>
      <w:r w:rsidR="00DB5D04" w:rsidRPr="007C68F1">
        <w:rPr>
          <w:shd w:val="clear" w:color="auto" w:fill="FFFFFF"/>
        </w:rPr>
        <w:t xml:space="preserve">said that she </w:t>
      </w:r>
      <w:r w:rsidR="00B8544A" w:rsidRPr="007C68F1">
        <w:rPr>
          <w:shd w:val="clear" w:color="auto" w:fill="FFFFFF"/>
        </w:rPr>
        <w:t xml:space="preserve">was told this </w:t>
      </w:r>
      <w:r w:rsidR="00DB5D04" w:rsidRPr="007C68F1">
        <w:rPr>
          <w:shd w:val="clear" w:color="auto" w:fill="FFFFFF"/>
        </w:rPr>
        <w:t xml:space="preserve">case </w:t>
      </w:r>
      <w:r w:rsidR="00B8544A" w:rsidRPr="007C68F1">
        <w:rPr>
          <w:shd w:val="clear" w:color="auto" w:fill="FFFFFF"/>
        </w:rPr>
        <w:t>could be a class action and that she could be included as a class member.</w:t>
      </w:r>
      <w:r w:rsidR="00336075" w:rsidRPr="007C68F1">
        <w:rPr>
          <w:shd w:val="clear" w:color="auto" w:fill="FFFFFF"/>
        </w:rPr>
        <w:t xml:space="preserve"> </w:t>
      </w:r>
      <w:r w:rsidR="00B8544A" w:rsidRPr="007C68F1">
        <w:rPr>
          <w:shd w:val="clear" w:color="auto" w:fill="FFFFFF"/>
        </w:rPr>
        <w:t xml:space="preserve"> </w:t>
      </w:r>
      <w:r w:rsidR="00DB5D04" w:rsidRPr="007C68F1">
        <w:rPr>
          <w:shd w:val="clear" w:color="auto" w:fill="FFFFFF"/>
        </w:rPr>
        <w:t>According to Midget, c</w:t>
      </w:r>
      <w:r w:rsidR="00FE7B58" w:rsidRPr="007C68F1">
        <w:rPr>
          <w:shd w:val="clear" w:color="auto" w:fill="FFFFFF"/>
        </w:rPr>
        <w:t>ounsel</w:t>
      </w:r>
      <w:r w:rsidR="006C0D68" w:rsidRPr="007C68F1">
        <w:rPr>
          <w:shd w:val="clear" w:color="auto" w:fill="FFFFFF"/>
        </w:rPr>
        <w:t xml:space="preserve"> told </w:t>
      </w:r>
      <w:r w:rsidR="00DB5D04" w:rsidRPr="007C68F1">
        <w:rPr>
          <w:shd w:val="clear" w:color="auto" w:fill="FFFFFF"/>
        </w:rPr>
        <w:t>him</w:t>
      </w:r>
      <w:r w:rsidR="00FE7B58" w:rsidRPr="007C68F1">
        <w:rPr>
          <w:shd w:val="clear" w:color="auto" w:fill="FFFFFF"/>
        </w:rPr>
        <w:t xml:space="preserve"> </w:t>
      </w:r>
      <w:r w:rsidR="006C0D68" w:rsidRPr="007C68F1">
        <w:rPr>
          <w:shd w:val="clear" w:color="auto" w:fill="FFFFFF"/>
        </w:rPr>
        <w:t>that Woodworth had brought a class action on behalf of herself and other hourly employees.</w:t>
      </w:r>
      <w:r w:rsidR="000F3159" w:rsidRPr="007C68F1">
        <w:rPr>
          <w:shd w:val="clear" w:color="auto" w:fill="FFFFFF"/>
        </w:rPr>
        <w:t xml:space="preserve">  </w:t>
      </w:r>
      <w:r w:rsidR="00811060" w:rsidRPr="007C68F1">
        <w:rPr>
          <w:shd w:val="clear" w:color="auto" w:fill="FFFFFF"/>
        </w:rPr>
        <w:t xml:space="preserve">Midget understood that he might be entitled to some money if Woodworth were successful.  </w:t>
      </w:r>
      <w:r w:rsidR="000F3159" w:rsidRPr="007C68F1">
        <w:rPr>
          <w:shd w:val="clear" w:color="auto" w:fill="FFFFFF"/>
        </w:rPr>
        <w:t xml:space="preserve">He was also told </w:t>
      </w:r>
      <w:r w:rsidR="005A79B0" w:rsidRPr="007C68F1">
        <w:rPr>
          <w:shd w:val="clear" w:color="auto" w:fill="FFFFFF"/>
        </w:rPr>
        <w:t xml:space="preserve">about </w:t>
      </w:r>
      <w:r w:rsidR="00811060" w:rsidRPr="007C68F1">
        <w:rPr>
          <w:shd w:val="clear" w:color="auto" w:fill="FFFFFF"/>
        </w:rPr>
        <w:t>Woodworth’s</w:t>
      </w:r>
      <w:r w:rsidR="005A79B0" w:rsidRPr="007C68F1">
        <w:rPr>
          <w:shd w:val="clear" w:color="auto" w:fill="FFFFFF"/>
        </w:rPr>
        <w:t xml:space="preserve"> pay stub claim and </w:t>
      </w:r>
      <w:r w:rsidR="000F3159" w:rsidRPr="007C68F1">
        <w:rPr>
          <w:shd w:val="clear" w:color="auto" w:fill="FFFFFF"/>
        </w:rPr>
        <w:t xml:space="preserve">that Woodworth was </w:t>
      </w:r>
      <w:r w:rsidR="00FE7B58" w:rsidRPr="007C68F1">
        <w:rPr>
          <w:shd w:val="clear" w:color="auto" w:fill="FFFFFF"/>
        </w:rPr>
        <w:t xml:space="preserve">trying to </w:t>
      </w:r>
      <w:r w:rsidR="00FE7B58" w:rsidRPr="007C68F1">
        <w:rPr>
          <w:shd w:val="clear" w:color="auto" w:fill="FFFFFF"/>
        </w:rPr>
        <w:lastRenderedPageBreak/>
        <w:t xml:space="preserve">invalidate the AWS, and he might have been told </w:t>
      </w:r>
      <w:r w:rsidR="005A79B0" w:rsidRPr="007C68F1">
        <w:rPr>
          <w:shd w:val="clear" w:color="auto" w:fill="FFFFFF"/>
        </w:rPr>
        <w:t xml:space="preserve">that she was seeking overtime wages for her AWS claim. </w:t>
      </w:r>
      <w:r w:rsidR="00811060" w:rsidRPr="007C68F1">
        <w:rPr>
          <w:shd w:val="clear" w:color="auto" w:fill="FFFFFF"/>
        </w:rPr>
        <w:t xml:space="preserve"> </w:t>
      </w:r>
    </w:p>
    <w:p w14:paraId="49F0CE94" w14:textId="77777777" w:rsidR="001D380F" w:rsidRPr="007C68F1" w:rsidRDefault="00D16B2E" w:rsidP="007D1009">
      <w:pPr>
        <w:spacing w:line="480" w:lineRule="auto"/>
        <w:ind w:firstLine="720"/>
      </w:pPr>
      <w:r w:rsidRPr="007C68F1">
        <w:rPr>
          <w:shd w:val="clear" w:color="auto" w:fill="FFFFFF"/>
        </w:rPr>
        <w:t xml:space="preserve">Lastly, there </w:t>
      </w:r>
      <w:r w:rsidR="006467B2" w:rsidRPr="007C68F1">
        <w:rPr>
          <w:shd w:val="clear" w:color="auto" w:fill="FFFFFF"/>
        </w:rPr>
        <w:t>is</w:t>
      </w:r>
      <w:r w:rsidRPr="007C68F1">
        <w:rPr>
          <w:shd w:val="clear" w:color="auto" w:fill="FFFFFF"/>
        </w:rPr>
        <w:t xml:space="preserve"> substantial evidence that defense counsel informed the employees about </w:t>
      </w:r>
      <w:bookmarkStart w:id="260" w:name="dabmq_117"/>
      <w:r w:rsidR="006467B2" w:rsidRPr="007C68F1">
        <w:rPr>
          <w:shd w:val="clear" w:color="auto" w:fill="FFFFFF"/>
        </w:rPr>
        <w:t>“‘the</w:t>
      </w:r>
      <w:r w:rsidRPr="007C68F1">
        <w:rPr>
          <w:shd w:val="clear" w:color="auto" w:fill="FFFFFF"/>
        </w:rPr>
        <w:t xml:space="preserve"> nature and purpose’”</w:t>
      </w:r>
      <w:bookmarkEnd w:id="260"/>
      <w:r w:rsidRPr="007C68F1">
        <w:rPr>
          <w:shd w:val="clear" w:color="auto" w:fill="FFFFFF"/>
        </w:rPr>
        <w:t xml:space="preserve"> </w:t>
      </w:r>
      <w:r w:rsidR="00301591" w:rsidRPr="007C68F1">
        <w:rPr>
          <w:shd w:val="clear" w:color="auto" w:fill="FFFFFF"/>
        </w:rPr>
        <w:t xml:space="preserve">of </w:t>
      </w:r>
      <w:r w:rsidRPr="007C68F1">
        <w:rPr>
          <w:shd w:val="clear" w:color="auto" w:fill="FFFFFF"/>
        </w:rPr>
        <w:t>the interviews</w:t>
      </w:r>
      <w:r w:rsidR="006467B2" w:rsidRPr="007C68F1">
        <w:rPr>
          <w:shd w:val="clear" w:color="auto" w:fill="FFFFFF"/>
        </w:rPr>
        <w:t>.  (</w:t>
      </w:r>
      <w:bookmarkStart w:id="261" w:name="dabmci_37ddbd419532487c80754ad5e50a936c"/>
      <w:r w:rsidR="006467B2" w:rsidRPr="007C68F1">
        <w:rPr>
          <w:i/>
          <w:iCs/>
          <w:shd w:val="clear" w:color="auto" w:fill="FFFFFF"/>
        </w:rPr>
        <w:t>Barriga</w:t>
      </w:r>
      <w:r w:rsidR="006467B2" w:rsidRPr="007C68F1">
        <w:rPr>
          <w:shd w:val="clear" w:color="auto" w:fill="FFFFFF"/>
        </w:rPr>
        <w:t xml:space="preserve">, </w:t>
      </w:r>
      <w:r w:rsidR="001F7AB9" w:rsidRPr="00936E15">
        <w:rPr>
          <w:i/>
          <w:iCs/>
          <w:shd w:val="clear" w:color="auto" w:fill="FFFFFF"/>
        </w:rPr>
        <w:t>supra</w:t>
      </w:r>
      <w:r w:rsidR="001F7AB9">
        <w:rPr>
          <w:shd w:val="clear" w:color="auto" w:fill="FFFFFF"/>
        </w:rPr>
        <w:t>,</w:t>
      </w:r>
      <w:bookmarkEnd w:id="261"/>
      <w:r w:rsidR="001F7AB9">
        <w:rPr>
          <w:shd w:val="clear" w:color="auto" w:fill="FFFFFF"/>
        </w:rPr>
        <w:t xml:space="preserve"> </w:t>
      </w:r>
      <w:r w:rsidR="006467B2" w:rsidRPr="007C68F1">
        <w:rPr>
          <w:shd w:val="clear" w:color="auto" w:fill="FFFFFF"/>
        </w:rPr>
        <w:t>51 Cal.App.5th at p</w:t>
      </w:r>
      <w:r w:rsidR="00C60717" w:rsidRPr="007C68F1">
        <w:rPr>
          <w:shd w:val="clear" w:color="auto" w:fill="FFFFFF"/>
        </w:rPr>
        <w:t>.</w:t>
      </w:r>
      <w:r w:rsidR="00C60717">
        <w:rPr>
          <w:shd w:val="clear" w:color="auto" w:fill="FFFFFF"/>
        </w:rPr>
        <w:t> </w:t>
      </w:r>
      <w:r w:rsidR="006467B2" w:rsidRPr="007C68F1">
        <w:rPr>
          <w:shd w:val="clear" w:color="auto" w:fill="FFFFFF"/>
        </w:rPr>
        <w:t>330.)</w:t>
      </w:r>
      <w:r w:rsidR="00977141" w:rsidRPr="007C68F1">
        <w:rPr>
          <w:shd w:val="clear" w:color="auto" w:fill="FFFFFF"/>
        </w:rPr>
        <w:t xml:space="preserve">  According to Lee, defense counsel told the employees that </w:t>
      </w:r>
      <w:r w:rsidR="003028D6" w:rsidRPr="007C68F1">
        <w:rPr>
          <w:shd w:val="clear" w:color="auto" w:fill="FFFFFF"/>
        </w:rPr>
        <w:t xml:space="preserve">the </w:t>
      </w:r>
      <w:r w:rsidR="00977141" w:rsidRPr="007C68F1">
        <w:rPr>
          <w:shd w:val="clear" w:color="auto" w:fill="FFFFFF"/>
        </w:rPr>
        <w:t>declarations would be filed in court to defend the medical center against Woodworth’s claims</w:t>
      </w:r>
      <w:r w:rsidR="003028D6" w:rsidRPr="007C68F1">
        <w:rPr>
          <w:shd w:val="clear" w:color="auto" w:fill="FFFFFF"/>
        </w:rPr>
        <w:t xml:space="preserve">.  Counsel also explained that the medical center was going to use the declarations to try to prevent the case from becoming a class action, </w:t>
      </w:r>
      <w:bookmarkStart w:id="262" w:name="dabmq_118"/>
      <w:r w:rsidR="003028D6" w:rsidRPr="007C68F1">
        <w:rPr>
          <w:shd w:val="clear" w:color="auto" w:fill="FFFFFF"/>
        </w:rPr>
        <w:t>“</w:t>
      </w:r>
      <w:r w:rsidR="003028D6" w:rsidRPr="007C68F1">
        <w:t>or words to that effect.”</w:t>
      </w:r>
      <w:bookmarkEnd w:id="262"/>
      <w:r w:rsidR="001D1B8B" w:rsidRPr="007C68F1">
        <w:t xml:space="preserve">  And counsel advised the employees that their statements could affect </w:t>
      </w:r>
      <w:r w:rsidR="003B107E" w:rsidRPr="007C68F1">
        <w:t xml:space="preserve">(1) </w:t>
      </w:r>
      <w:r w:rsidR="001D1B8B" w:rsidRPr="007C68F1">
        <w:t xml:space="preserve">whether the court certified the case as a class action and </w:t>
      </w:r>
      <w:r w:rsidR="003B107E" w:rsidRPr="007C68F1">
        <w:t xml:space="preserve">(2) </w:t>
      </w:r>
      <w:r w:rsidR="001D1B8B" w:rsidRPr="007C68F1">
        <w:t xml:space="preserve">the employees’ potential recovery from the action.  Again, employee testimony </w:t>
      </w:r>
      <w:r w:rsidR="008110E3" w:rsidRPr="007C68F1">
        <w:t xml:space="preserve">corroborated </w:t>
      </w:r>
      <w:r w:rsidR="00811060" w:rsidRPr="007C68F1">
        <w:t xml:space="preserve">much of </w:t>
      </w:r>
      <w:r w:rsidR="008110E3" w:rsidRPr="007C68F1">
        <w:t>Lee’s declaration</w:t>
      </w:r>
      <w:r w:rsidR="00811060" w:rsidRPr="007C68F1">
        <w:t xml:space="preserve"> on </w:t>
      </w:r>
      <w:r w:rsidR="00732467" w:rsidRPr="007C68F1">
        <w:t xml:space="preserve">those </w:t>
      </w:r>
      <w:r w:rsidR="00811060" w:rsidRPr="007C68F1">
        <w:t>points</w:t>
      </w:r>
      <w:r w:rsidR="008110E3" w:rsidRPr="007C68F1">
        <w:t xml:space="preserve">. </w:t>
      </w:r>
      <w:r w:rsidR="00DB5D04" w:rsidRPr="007C68F1">
        <w:t xml:space="preserve"> </w:t>
      </w:r>
      <w:r w:rsidR="008110E3" w:rsidRPr="007C68F1">
        <w:t>Benter said that</w:t>
      </w:r>
      <w:r w:rsidR="007C14E4" w:rsidRPr="007C68F1">
        <w:t xml:space="preserve"> defense counsel told her that the declaration was for this action, and </w:t>
      </w:r>
      <w:r w:rsidR="008A4EE1" w:rsidRPr="007C68F1">
        <w:t>Benter</w:t>
      </w:r>
      <w:r w:rsidR="007C14E4" w:rsidRPr="007C68F1">
        <w:t xml:space="preserve"> confirmed the truth of the statements in the final numbered paragraph of </w:t>
      </w:r>
      <w:r w:rsidR="00A233EF" w:rsidRPr="007C68F1">
        <w:t>her</w:t>
      </w:r>
      <w:r w:rsidR="007C14E4" w:rsidRPr="007C68F1">
        <w:t xml:space="preserve"> declaration.  That is, </w:t>
      </w:r>
      <w:r w:rsidR="008A4EE1" w:rsidRPr="007C68F1">
        <w:t xml:space="preserve">she understood that </w:t>
      </w:r>
      <w:r w:rsidR="000A1768" w:rsidRPr="007C68F1">
        <w:t>she could be a member of the class if Woodworth were successful and that her declaration could affect whether the court certified this case as a class action.</w:t>
      </w:r>
      <w:r w:rsidR="00A233EF" w:rsidRPr="007C68F1">
        <w:t xml:space="preserve">  Clark </w:t>
      </w:r>
      <w:r w:rsidR="00BA505A" w:rsidRPr="007C68F1">
        <w:t xml:space="preserve">and Manzo </w:t>
      </w:r>
      <w:r w:rsidR="00A233EF" w:rsidRPr="007C68F1">
        <w:t xml:space="preserve">similarly confirmed </w:t>
      </w:r>
      <w:r w:rsidR="00BA505A" w:rsidRPr="007C68F1">
        <w:t>that, at the time they signed their declarations, the</w:t>
      </w:r>
      <w:r w:rsidR="00A233EF" w:rsidRPr="007C68F1">
        <w:t xml:space="preserve"> statements in the final numbered paragraph </w:t>
      </w:r>
      <w:r w:rsidR="00BA505A" w:rsidRPr="007C68F1">
        <w:t>were true.</w:t>
      </w:r>
      <w:r w:rsidR="00F70CAD" w:rsidRPr="007C68F1">
        <w:t xml:space="preserve">  </w:t>
      </w:r>
      <w:r w:rsidR="00DB5D04" w:rsidRPr="007C68F1">
        <w:t xml:space="preserve">Dean testified that counsel </w:t>
      </w:r>
      <w:r w:rsidR="00996146" w:rsidRPr="007C68F1">
        <w:t>said</w:t>
      </w:r>
      <w:r w:rsidR="00DB5D04" w:rsidRPr="007C68F1">
        <w:t xml:space="preserve"> that her declaration might be used in court and against her as a potential class member.</w:t>
      </w:r>
      <w:r w:rsidR="00996146" w:rsidRPr="007C68F1">
        <w:t xml:space="preserve">  According to Ormerod, defense counsel told her that her declaration could be used in this case</w:t>
      </w:r>
      <w:r w:rsidR="00331748" w:rsidRPr="007C68F1">
        <w:t>.  Similarly, Ortiz said that defense counsel told him that his declaration would probably be used in this case.</w:t>
      </w:r>
    </w:p>
    <w:p w14:paraId="3631CF4B" w14:textId="77777777" w:rsidR="00BC7B4C" w:rsidRPr="007C68F1" w:rsidRDefault="00D16B2E" w:rsidP="007D1009">
      <w:pPr>
        <w:spacing w:line="480" w:lineRule="auto"/>
        <w:ind w:firstLine="720"/>
      </w:pPr>
      <w:r w:rsidRPr="007C68F1">
        <w:lastRenderedPageBreak/>
        <w:t xml:space="preserve">In sum, </w:t>
      </w:r>
      <w:r w:rsidR="00331748" w:rsidRPr="007C68F1">
        <w:t xml:space="preserve">the record contains substantial evidence </w:t>
      </w:r>
      <w:r w:rsidR="00C14855" w:rsidRPr="007C68F1">
        <w:t xml:space="preserve">that </w:t>
      </w:r>
      <w:r w:rsidRPr="007C68F1">
        <w:t>the medical center did not coerce the employees o</w:t>
      </w:r>
      <w:r w:rsidR="00C14855" w:rsidRPr="007C68F1">
        <w:t>r affirmatively mislead them</w:t>
      </w:r>
      <w:r w:rsidRPr="007C68F1">
        <w:t xml:space="preserve"> into providing declarations.  </w:t>
      </w:r>
      <w:r w:rsidR="00DC7DF3" w:rsidRPr="007C68F1">
        <w:t xml:space="preserve">This is not a case in which there was a compelling showing of coercion or abuse.  </w:t>
      </w:r>
      <w:r w:rsidR="000911D5" w:rsidRPr="007C68F1">
        <w:t>On this record</w:t>
      </w:r>
      <w:r w:rsidRPr="007C68F1">
        <w:t xml:space="preserve">, </w:t>
      </w:r>
      <w:r w:rsidR="00FC686C" w:rsidRPr="007C68F1">
        <w:t>the trial court did not abuse its discretion by declining to strike the employees’ declarations.</w:t>
      </w:r>
      <w:r w:rsidRPr="007C68F1">
        <w:t xml:space="preserve">  </w:t>
      </w:r>
    </w:p>
    <w:p w14:paraId="2FEA4DAF" w14:textId="77777777" w:rsidR="00F13F76" w:rsidRPr="007C68F1" w:rsidRDefault="00D16B2E" w:rsidP="007D1009">
      <w:pPr>
        <w:spacing w:line="480" w:lineRule="auto"/>
        <w:ind w:firstLine="720"/>
      </w:pPr>
      <w:r w:rsidRPr="007C68F1">
        <w:t>Woodworth’s arguments do not convince us otherwise.  She ar</w:t>
      </w:r>
      <w:r w:rsidRPr="007C68F1">
        <w:t>gues that</w:t>
      </w:r>
      <w:r w:rsidR="0090302C" w:rsidRPr="007C68F1">
        <w:t xml:space="preserve"> the court </w:t>
      </w:r>
      <w:r w:rsidR="009172EC" w:rsidRPr="007C68F1">
        <w:t>erred because</w:t>
      </w:r>
      <w:r w:rsidRPr="007C68F1">
        <w:t xml:space="preserve"> defense counsel affirmatively misrepresented that Woodworth sought to invalidate the AWS.</w:t>
      </w:r>
      <w:r w:rsidR="00506119" w:rsidRPr="007C68F1">
        <w:t xml:space="preserve">  The declarations </w:t>
      </w:r>
      <w:r w:rsidR="00BF2F09" w:rsidRPr="007C68F1">
        <w:t xml:space="preserve">do </w:t>
      </w:r>
      <w:r w:rsidR="00506119" w:rsidRPr="007C68F1">
        <w:t xml:space="preserve">state that the declarants understood </w:t>
      </w:r>
      <w:r w:rsidR="00A876DB" w:rsidRPr="007C68F1">
        <w:t xml:space="preserve">that </w:t>
      </w:r>
      <w:r w:rsidR="00506119" w:rsidRPr="007C68F1">
        <w:t xml:space="preserve">Woodworth was alleging she and other hourly employees were </w:t>
      </w:r>
      <w:bookmarkStart w:id="263" w:name="dabmq_119"/>
      <w:r w:rsidR="00506119" w:rsidRPr="007C68F1">
        <w:t xml:space="preserve">“not paid all </w:t>
      </w:r>
      <w:r w:rsidR="00E11392" w:rsidRPr="007C68F1">
        <w:t>w</w:t>
      </w:r>
      <w:r w:rsidR="00506119" w:rsidRPr="007C68F1">
        <w:t>ages owed due to an invalid”</w:t>
      </w:r>
      <w:bookmarkEnd w:id="263"/>
      <w:r w:rsidR="00506119" w:rsidRPr="007C68F1">
        <w:t xml:space="preserve"> AWS</w:t>
      </w:r>
      <w:r w:rsidR="00BF2F09" w:rsidRPr="007C68F1">
        <w:t>, but that was not a misrepresentation</w:t>
      </w:r>
      <w:r w:rsidR="00506119" w:rsidRPr="007C68F1">
        <w:t xml:space="preserve">.  </w:t>
      </w:r>
      <w:r w:rsidR="001026D5" w:rsidRPr="007C68F1">
        <w:t>T</w:t>
      </w:r>
      <w:r w:rsidR="00506119" w:rsidRPr="007C68F1">
        <w:t>hat wa</w:t>
      </w:r>
      <w:r w:rsidR="00A876DB" w:rsidRPr="007C68F1">
        <w:t>s what the TAC alleged</w:t>
      </w:r>
      <w:r w:rsidR="004E5318" w:rsidRPr="007C68F1">
        <w:t>—that the AWS was</w:t>
      </w:r>
      <w:r w:rsidR="001026D5" w:rsidRPr="007C68F1">
        <w:t xml:space="preserve"> </w:t>
      </w:r>
      <w:r w:rsidR="004E5318" w:rsidRPr="007C68F1">
        <w:t>“null and void” because of defects in the process by which employees voted to implement it</w:t>
      </w:r>
      <w:r w:rsidR="00E11392" w:rsidRPr="007C68F1">
        <w:t>, and the medical center therefore owed overtime backpay</w:t>
      </w:r>
      <w:r w:rsidR="004E5318" w:rsidRPr="007C68F1">
        <w:t>.</w:t>
      </w:r>
      <w:r w:rsidR="00EA7536" w:rsidRPr="007C68F1">
        <w:t xml:space="preserve">  </w:t>
      </w:r>
    </w:p>
    <w:p w14:paraId="4AB2F975" w14:textId="77777777" w:rsidR="00DF2065" w:rsidRPr="007C68F1" w:rsidRDefault="00D16B2E" w:rsidP="007D1009">
      <w:pPr>
        <w:spacing w:line="480" w:lineRule="auto"/>
        <w:ind w:firstLine="720"/>
      </w:pPr>
      <w:r w:rsidRPr="007C68F1">
        <w:t>Woodworth also argues that</w:t>
      </w:r>
      <w:r w:rsidR="009172EC" w:rsidRPr="007C68F1">
        <w:t xml:space="preserve"> defense counsel failed to obtain a signed </w:t>
      </w:r>
      <w:r w:rsidRPr="007C68F1">
        <w:t xml:space="preserve">waiver of or consent to any </w:t>
      </w:r>
      <w:r w:rsidR="009172EC" w:rsidRPr="007C68F1">
        <w:t>conflict</w:t>
      </w:r>
      <w:r w:rsidRPr="007C68F1">
        <w:t xml:space="preserve"> of interest</w:t>
      </w:r>
      <w:r w:rsidR="00C41F08" w:rsidRPr="007C68F1">
        <w:t>.</w:t>
      </w:r>
      <w:r w:rsidRPr="007C68F1">
        <w:t xml:space="preserve">  The single legal authority that Woodworth cites</w:t>
      </w:r>
      <w:r w:rsidR="00387BE3" w:rsidRPr="007C68F1">
        <w:t xml:space="preserve"> on this point</w:t>
      </w:r>
      <w:r w:rsidRPr="007C68F1">
        <w:t xml:space="preserve">, </w:t>
      </w:r>
      <w:bookmarkStart w:id="264" w:name="dabmci_18c0883b202e4e4e871de1b2f9a4b814"/>
      <w:r w:rsidRPr="00032059">
        <w:rPr>
          <w:i/>
          <w:iCs/>
          <w:bdr w:val="none" w:sz="0" w:space="0" w:color="auto" w:frame="1"/>
        </w:rPr>
        <w:t xml:space="preserve">Richardson v. Interstate Hotels &amp; Resorts, Inc. </w:t>
      </w:r>
      <w:r w:rsidRPr="007C68F1">
        <w:t xml:space="preserve">(N.D. </w:t>
      </w:r>
      <w:r w:rsidRPr="007C68F1">
        <w:t>Cal. Mar. 12, 2018</w:t>
      </w:r>
      <w:r w:rsidR="00565D92" w:rsidRPr="007C68F1">
        <w:t>,</w:t>
      </w:r>
      <w:r w:rsidR="00461F7B" w:rsidRPr="007C68F1">
        <w:t xml:space="preserve"> No. C</w:t>
      </w:r>
      <w:r w:rsidR="00565D92" w:rsidRPr="007C68F1">
        <w:t xml:space="preserve"> </w:t>
      </w:r>
      <w:r w:rsidR="00461F7B" w:rsidRPr="007C68F1">
        <w:t>16-06772 WHA</w:t>
      </w:r>
      <w:r w:rsidRPr="007C68F1">
        <w:t>) 2018 U.S.Dist. L</w:t>
      </w:r>
      <w:r w:rsidR="00565D92" w:rsidRPr="007C68F1">
        <w:t>exis</w:t>
      </w:r>
      <w:r w:rsidRPr="007C68F1">
        <w:t xml:space="preserve"> 40377</w:t>
      </w:r>
      <w:bookmarkEnd w:id="264"/>
      <w:r w:rsidRPr="00032059">
        <w:t xml:space="preserve">, </w:t>
      </w:r>
      <w:r w:rsidRPr="007C68F1">
        <w:t xml:space="preserve">does not </w:t>
      </w:r>
      <w:r w:rsidR="00387BE3" w:rsidRPr="007C68F1">
        <w:t>show</w:t>
      </w:r>
      <w:r w:rsidRPr="007C68F1">
        <w:t xml:space="preserve"> an abuse of discretion.  In </w:t>
      </w:r>
      <w:r w:rsidRPr="00032059">
        <w:rPr>
          <w:i/>
          <w:iCs/>
        </w:rPr>
        <w:t>Richardson</w:t>
      </w:r>
      <w:r w:rsidRPr="007C68F1">
        <w:t xml:space="preserve">, the employer’s defense counsel also represented the employee declarants at their depositions </w:t>
      </w:r>
      <w:bookmarkStart w:id="265" w:name="dabmq_120"/>
      <w:r w:rsidRPr="007C68F1">
        <w:t>“without obtaining informed written consent”</w:t>
      </w:r>
      <w:bookmarkEnd w:id="265"/>
      <w:r w:rsidRPr="007C68F1">
        <w:t xml:space="preserve"> </w:t>
      </w:r>
      <w:r w:rsidR="00BF2F09" w:rsidRPr="007C68F1">
        <w:t xml:space="preserve">as </w:t>
      </w:r>
      <w:r w:rsidRPr="007C68F1">
        <w:t>to the conflict of interest.  (</w:t>
      </w:r>
      <w:r w:rsidRPr="007C68F1">
        <w:rPr>
          <w:i/>
          <w:iCs/>
        </w:rPr>
        <w:t>Id.</w:t>
      </w:r>
      <w:r w:rsidRPr="007C68F1">
        <w:t xml:space="preserve"> at p. *23.)  The failure to obtain the employees’ consent </w:t>
      </w:r>
      <w:r w:rsidR="00BF2F09" w:rsidRPr="007C68F1">
        <w:t xml:space="preserve">regarding </w:t>
      </w:r>
      <w:r w:rsidRPr="007C68F1">
        <w:t>the confli</w:t>
      </w:r>
      <w:r w:rsidRPr="007C68F1">
        <w:t xml:space="preserve">ct was </w:t>
      </w:r>
      <w:r w:rsidR="008E5BCB" w:rsidRPr="007C68F1">
        <w:t xml:space="preserve">only </w:t>
      </w:r>
      <w:r w:rsidRPr="007C68F1">
        <w:t xml:space="preserve">one </w:t>
      </w:r>
      <w:r w:rsidR="00704D8A" w:rsidRPr="007C68F1">
        <w:t>facto</w:t>
      </w:r>
      <w:r w:rsidR="008E5BCB" w:rsidRPr="007C68F1">
        <w:t xml:space="preserve">r, </w:t>
      </w:r>
      <w:r w:rsidRPr="007C68F1">
        <w:t>among others</w:t>
      </w:r>
      <w:r w:rsidR="008E5BCB" w:rsidRPr="007C68F1">
        <w:t>,</w:t>
      </w:r>
      <w:r w:rsidRPr="007C68F1">
        <w:t xml:space="preserve"> </w:t>
      </w:r>
      <w:r w:rsidR="00153CE9" w:rsidRPr="007C68F1">
        <w:t xml:space="preserve">that justified </w:t>
      </w:r>
      <w:r w:rsidRPr="007C68F1">
        <w:t>striking the employees’ declarations.  (</w:t>
      </w:r>
      <w:r w:rsidRPr="007C68F1">
        <w:rPr>
          <w:i/>
          <w:iCs/>
        </w:rPr>
        <w:t>Id.</w:t>
      </w:r>
      <w:r w:rsidRPr="007C68F1">
        <w:t xml:space="preserve"> at pp. *19-21</w:t>
      </w:r>
      <w:r w:rsidRPr="007C68F1">
        <w:rPr>
          <w:i/>
          <w:iCs/>
        </w:rPr>
        <w:t>.</w:t>
      </w:r>
      <w:r w:rsidRPr="007C68F1">
        <w:t>)</w:t>
      </w:r>
      <w:r w:rsidR="0036099F" w:rsidRPr="007C68F1">
        <w:t xml:space="preserve">  Woodworth does not contend that defense counsel </w:t>
      </w:r>
      <w:r w:rsidR="0036099F" w:rsidRPr="007C68F1">
        <w:lastRenderedPageBreak/>
        <w:t>represented the employees at their depositions.  And</w:t>
      </w:r>
      <w:r w:rsidRPr="007C68F1">
        <w:t xml:space="preserve"> </w:t>
      </w:r>
      <w:r w:rsidRPr="007C68F1">
        <w:rPr>
          <w:i/>
          <w:iCs/>
        </w:rPr>
        <w:t>Richardson</w:t>
      </w:r>
      <w:r w:rsidRPr="007C68F1">
        <w:t xml:space="preserve"> did not state a blanket rule t</w:t>
      </w:r>
      <w:r w:rsidRPr="007C68F1">
        <w:t xml:space="preserve">hat a waiver of any conflict of interest was required in every case.  </w:t>
      </w:r>
    </w:p>
    <w:p w14:paraId="4F18D0E6" w14:textId="77777777" w:rsidR="0018611C" w:rsidRPr="007C68F1" w:rsidRDefault="00D16B2E" w:rsidP="007D1009">
      <w:pPr>
        <w:spacing w:line="480" w:lineRule="auto"/>
        <w:ind w:firstLine="720"/>
      </w:pPr>
      <w:r w:rsidRPr="007C68F1">
        <w:t>Woodworth further</w:t>
      </w:r>
      <w:r w:rsidR="00C41F08" w:rsidRPr="007C68F1">
        <w:t xml:space="preserve"> argues that defense counsel omitted important information</w:t>
      </w:r>
      <w:r w:rsidR="003A1BD2" w:rsidRPr="007C68F1">
        <w:t xml:space="preserve">.  For example, she asserts that counsel </w:t>
      </w:r>
      <w:r w:rsidR="00EC766D" w:rsidRPr="007C68F1">
        <w:t>did not</w:t>
      </w:r>
      <w:r w:rsidR="003A1BD2" w:rsidRPr="007C68F1">
        <w:t xml:space="preserve"> </w:t>
      </w:r>
      <w:r w:rsidR="0094055D" w:rsidRPr="007C68F1">
        <w:t>(1)</w:t>
      </w:r>
      <w:r w:rsidR="00565D92" w:rsidRPr="007C68F1">
        <w:t xml:space="preserve"> </w:t>
      </w:r>
      <w:r w:rsidR="00EE7E54" w:rsidRPr="007C68F1">
        <w:t xml:space="preserve">provide </w:t>
      </w:r>
      <w:r w:rsidR="00C41F08" w:rsidRPr="007C68F1">
        <w:t>a copy of</w:t>
      </w:r>
      <w:r w:rsidR="009172EC" w:rsidRPr="007C68F1">
        <w:t xml:space="preserve"> the TAC, </w:t>
      </w:r>
      <w:r w:rsidR="0094055D" w:rsidRPr="007C68F1">
        <w:t>(2)</w:t>
      </w:r>
      <w:r w:rsidR="00565D92" w:rsidRPr="007C68F1">
        <w:t xml:space="preserve"> </w:t>
      </w:r>
      <w:r w:rsidR="00EE7E54" w:rsidRPr="007C68F1">
        <w:t xml:space="preserve">provide </w:t>
      </w:r>
      <w:r w:rsidR="005747EC" w:rsidRPr="007C68F1">
        <w:t xml:space="preserve">contact </w:t>
      </w:r>
      <w:r w:rsidR="009172EC" w:rsidRPr="007C68F1">
        <w:t xml:space="preserve">information </w:t>
      </w:r>
      <w:r w:rsidR="005747EC" w:rsidRPr="007C68F1">
        <w:t>for</w:t>
      </w:r>
      <w:r w:rsidR="009172EC" w:rsidRPr="007C68F1">
        <w:t xml:space="preserve"> Woodworth’s counsel,</w:t>
      </w:r>
      <w:r w:rsidR="006F0676" w:rsidRPr="007C68F1">
        <w:t xml:space="preserve"> </w:t>
      </w:r>
      <w:r w:rsidR="0094055D" w:rsidRPr="007C68F1">
        <w:t>(3)</w:t>
      </w:r>
      <w:r w:rsidR="00565D92" w:rsidRPr="007C68F1">
        <w:t xml:space="preserve"> </w:t>
      </w:r>
      <w:r w:rsidR="00AD6769" w:rsidRPr="007C68F1">
        <w:t>give</w:t>
      </w:r>
      <w:r w:rsidR="0094055D" w:rsidRPr="007C68F1">
        <w:t xml:space="preserve"> </w:t>
      </w:r>
      <w:r w:rsidR="006F0676" w:rsidRPr="007C68F1">
        <w:t xml:space="preserve">full detail about each of Woodworth’s claims, </w:t>
      </w:r>
      <w:r w:rsidR="00A839BF" w:rsidRPr="007C68F1">
        <w:t xml:space="preserve">including that she was alleging a PAGA claim, </w:t>
      </w:r>
      <w:r w:rsidR="0094055D" w:rsidRPr="007C68F1">
        <w:t>(4)</w:t>
      </w:r>
      <w:r w:rsidR="00565D92" w:rsidRPr="007C68F1">
        <w:t xml:space="preserve"> </w:t>
      </w:r>
      <w:r w:rsidR="00AD6769" w:rsidRPr="007C68F1">
        <w:t>explain that employees could become class members and would benefit if Woodworth prevailed</w:t>
      </w:r>
      <w:r w:rsidR="006F0676" w:rsidRPr="007C68F1">
        <w:t xml:space="preserve">, </w:t>
      </w:r>
      <w:r w:rsidR="0094055D" w:rsidRPr="007C68F1">
        <w:t>and</w:t>
      </w:r>
      <w:r w:rsidR="006F0676" w:rsidRPr="007C68F1">
        <w:t xml:space="preserve"> </w:t>
      </w:r>
      <w:r w:rsidR="0094055D" w:rsidRPr="007C68F1">
        <w:t>(5)</w:t>
      </w:r>
      <w:r w:rsidR="00565D92" w:rsidRPr="007C68F1">
        <w:t xml:space="preserve"> </w:t>
      </w:r>
      <w:r w:rsidR="00AD6769" w:rsidRPr="007C68F1">
        <w:t>explain</w:t>
      </w:r>
      <w:r w:rsidR="006F0676" w:rsidRPr="007C68F1">
        <w:t xml:space="preserve"> </w:t>
      </w:r>
      <w:r w:rsidR="00AD6769" w:rsidRPr="007C68F1">
        <w:t>h</w:t>
      </w:r>
      <w:r w:rsidR="006F0676" w:rsidRPr="007C68F1">
        <w:t>ow the medical center would use the declarations</w:t>
      </w:r>
      <w:r w:rsidR="00EE7E54" w:rsidRPr="007C68F1">
        <w:t xml:space="preserve"> or how they could affect any recovery</w:t>
      </w:r>
      <w:r w:rsidR="006F0676" w:rsidRPr="007C68F1">
        <w:t>.</w:t>
      </w:r>
      <w:r w:rsidR="00B6322B" w:rsidRPr="007C68F1">
        <w:t xml:space="preserve">  </w:t>
      </w:r>
      <w:r w:rsidR="00B61F4C" w:rsidRPr="007C68F1">
        <w:t xml:space="preserve">There is evidence that defense counsel </w:t>
      </w:r>
      <w:r w:rsidR="00D10456" w:rsidRPr="007C68F1">
        <w:t xml:space="preserve">explained some of these points, like </w:t>
      </w:r>
      <w:r w:rsidR="00197544" w:rsidRPr="007C68F1">
        <w:t xml:space="preserve">the fact </w:t>
      </w:r>
      <w:r w:rsidR="00D10456" w:rsidRPr="007C68F1">
        <w:t>that employees could be class members if Woodworth prevailed on her motion</w:t>
      </w:r>
      <w:r w:rsidR="00197544" w:rsidRPr="007C68F1">
        <w:t xml:space="preserve"> </w:t>
      </w:r>
      <w:r w:rsidR="00D10456" w:rsidRPr="007C68F1">
        <w:t xml:space="preserve">or that the medical center was going to use the declarations to try to prevent the case from becoming a class action.  </w:t>
      </w:r>
      <w:r w:rsidR="00197544" w:rsidRPr="007C68F1">
        <w:t>To the extent that Woodworth relies on conflicting evidence, we</w:t>
      </w:r>
      <w:r w:rsidR="00924117" w:rsidRPr="007C68F1">
        <w:t xml:space="preserve"> defer to the trial court’s resolution of conflicts in the evidence </w:t>
      </w:r>
      <w:r w:rsidR="00A706BD" w:rsidRPr="007C68F1">
        <w:t>and do not reweigh the evidence.  (</w:t>
      </w:r>
      <w:bookmarkStart w:id="266" w:name="dabmci_234723aabc404ff79309048f1b498a21"/>
      <w:r w:rsidR="00C92945" w:rsidRPr="007C68F1">
        <w:rPr>
          <w:i/>
          <w:iCs/>
          <w:bdr w:val="none" w:sz="0" w:space="0" w:color="auto" w:frame="1"/>
        </w:rPr>
        <w:t>Eidsmore v. RBB, Inc.</w:t>
      </w:r>
      <w:r w:rsidR="00A706BD" w:rsidRPr="007C68F1">
        <w:t xml:space="preserve"> </w:t>
      </w:r>
      <w:r w:rsidR="00C92945" w:rsidRPr="007C68F1">
        <w:t>(1994) 25 Cal.App.4th 189, 195</w:t>
      </w:r>
      <w:bookmarkEnd w:id="266"/>
      <w:r w:rsidR="00A706BD" w:rsidRPr="007C68F1">
        <w:t xml:space="preserve">.)  </w:t>
      </w:r>
    </w:p>
    <w:p w14:paraId="0612E7C4" w14:textId="77777777" w:rsidR="00301591" w:rsidRPr="007C68F1" w:rsidRDefault="00D16B2E" w:rsidP="007D1009">
      <w:pPr>
        <w:spacing w:line="480" w:lineRule="auto"/>
        <w:ind w:firstLine="720"/>
      </w:pPr>
      <w:r w:rsidRPr="007C68F1">
        <w:t>As to</w:t>
      </w:r>
      <w:r w:rsidR="005747EC" w:rsidRPr="007C68F1">
        <w:t xml:space="preserve"> other points that are undisputed—for instance, defense counsel did not provide a copy of the TAC or contact information for Woodworth’s counsel—Woodworth fails to show an abuse of discretion.  </w:t>
      </w:r>
      <w:r w:rsidR="00030588" w:rsidRPr="007C68F1">
        <w:t xml:space="preserve">She cites a handful of federal district court decisions in which the trial courts found defense counsel’s communications with putative class members </w:t>
      </w:r>
      <w:r w:rsidR="007879BB" w:rsidRPr="007C68F1">
        <w:t>coercive</w:t>
      </w:r>
      <w:r w:rsidR="00030588" w:rsidRPr="007C68F1">
        <w:t xml:space="preserve"> or misleading</w:t>
      </w:r>
      <w:r w:rsidR="0047260C" w:rsidRPr="007C68F1">
        <w:t xml:space="preserve"> on the basis of various omissions</w:t>
      </w:r>
      <w:r w:rsidR="00362F41" w:rsidRPr="007C68F1">
        <w:t>,</w:t>
      </w:r>
      <w:r w:rsidR="0047260C" w:rsidRPr="007C68F1">
        <w:t xml:space="preserve"> plus other evidenc</w:t>
      </w:r>
      <w:r w:rsidR="00155B3D" w:rsidRPr="007C68F1">
        <w:t>e.</w:t>
      </w:r>
      <w:r w:rsidR="007879BB" w:rsidRPr="007C68F1">
        <w:t xml:space="preserve">  The cases </w:t>
      </w:r>
      <w:r w:rsidR="00311A00" w:rsidRPr="007C68F1">
        <w:t xml:space="preserve">are distinguishable on their facts and do not compel </w:t>
      </w:r>
      <w:r w:rsidR="00F15BB2" w:rsidRPr="007C68F1">
        <w:t>the conclusion that the trial court here abused its discretion</w:t>
      </w:r>
      <w:r w:rsidR="007879BB" w:rsidRPr="007C68F1">
        <w:t xml:space="preserve">.  </w:t>
      </w:r>
      <w:r w:rsidR="00155B3D" w:rsidRPr="007C68F1">
        <w:t>(</w:t>
      </w:r>
      <w:r w:rsidR="007879BB" w:rsidRPr="007C68F1">
        <w:t xml:space="preserve">E.g., </w:t>
      </w:r>
      <w:bookmarkStart w:id="267" w:name="dabmci_fb9508a8e4e341f18fc6a5ae980561cd"/>
      <w:r w:rsidR="00155B3D" w:rsidRPr="007C68F1">
        <w:rPr>
          <w:i/>
          <w:iCs/>
          <w:bdr w:val="none" w:sz="0" w:space="0" w:color="auto" w:frame="1"/>
        </w:rPr>
        <w:t>Camp v. Alexander</w:t>
      </w:r>
      <w:r w:rsidR="008E5BCB" w:rsidRPr="007C68F1">
        <w:t xml:space="preserve"> </w:t>
      </w:r>
      <w:r w:rsidR="00155B3D" w:rsidRPr="007C68F1">
        <w:t>(N.D. Cal. 2014) 300 F.R.D. 617, 623-624</w:t>
      </w:r>
      <w:bookmarkEnd w:id="267"/>
      <w:r w:rsidR="00155B3D" w:rsidRPr="007C68F1">
        <w:t xml:space="preserve"> [letter sent to employees to </w:t>
      </w:r>
      <w:r w:rsidR="00F15BB2" w:rsidRPr="007C68F1">
        <w:t>c</w:t>
      </w:r>
      <w:r w:rsidR="00155B3D" w:rsidRPr="007C68F1">
        <w:t xml:space="preserve">onvince them to sign </w:t>
      </w:r>
      <w:r w:rsidR="00155B3D" w:rsidRPr="007C68F1">
        <w:lastRenderedPageBreak/>
        <w:t xml:space="preserve">opt-out declaration predicted that the class action, if successful, would cause the employer to shut down, </w:t>
      </w:r>
      <w:bookmarkStart w:id="268" w:name="dabmq_121"/>
      <w:r w:rsidR="00155B3D" w:rsidRPr="007C68F1">
        <w:t>“with the obvious consequence that employees would lose their jobs”</w:t>
      </w:r>
      <w:bookmarkEnd w:id="268"/>
      <w:r w:rsidR="00155B3D" w:rsidRPr="007C68F1">
        <w:t>]</w:t>
      </w:r>
      <w:r w:rsidR="00311A00" w:rsidRPr="007C68F1">
        <w:t>;</w:t>
      </w:r>
      <w:r w:rsidR="0018611C" w:rsidRPr="007C68F1">
        <w:t xml:space="preserve"> </w:t>
      </w:r>
      <w:r w:rsidR="007879BB" w:rsidRPr="007C68F1">
        <w:rPr>
          <w:i/>
          <w:iCs/>
          <w:bdr w:val="none" w:sz="0" w:space="0" w:color="auto" w:frame="1"/>
        </w:rPr>
        <w:t>Acosta v. Southwest Fuel Mgmt.</w:t>
      </w:r>
      <w:r w:rsidR="007879BB" w:rsidRPr="007C68F1">
        <w:t xml:space="preserve"> (C.D.Cal. Feb. </w:t>
      </w:r>
      <w:bookmarkStart w:id="269" w:name="dabmci_5eb799d824d24b429d4de6baecc880a3"/>
      <w:r w:rsidR="007879BB" w:rsidRPr="007C68F1">
        <w:t>20, 2018</w:t>
      </w:r>
      <w:r w:rsidR="00565D92" w:rsidRPr="007C68F1">
        <w:t>, No. CV 16-4547 FMO (AGRx)</w:t>
      </w:r>
      <w:r w:rsidR="007879BB" w:rsidRPr="007C68F1">
        <w:t>) 2018 U.S.Dist. L</w:t>
      </w:r>
      <w:r w:rsidR="00565D92" w:rsidRPr="007C68F1">
        <w:t>exis</w:t>
      </w:r>
      <w:r w:rsidR="007879BB" w:rsidRPr="007C68F1">
        <w:t xml:space="preserve"> 203389</w:t>
      </w:r>
      <w:r w:rsidR="004117EF" w:rsidRPr="007C68F1">
        <w:t>,</w:t>
      </w:r>
      <w:r w:rsidR="007879BB" w:rsidRPr="007C68F1">
        <w:t xml:space="preserve"> </w:t>
      </w:r>
      <w:r w:rsidR="00013167" w:rsidRPr="007C68F1">
        <w:t xml:space="preserve">at </w:t>
      </w:r>
      <w:r w:rsidR="007879BB" w:rsidRPr="007C68F1">
        <w:t>p</w:t>
      </w:r>
      <w:r w:rsidR="00D75EA1" w:rsidRPr="007C68F1">
        <w:t>p</w:t>
      </w:r>
      <w:r w:rsidR="007879BB" w:rsidRPr="007C68F1">
        <w:t>.</w:t>
      </w:r>
      <w:r w:rsidR="00D75EA1" w:rsidRPr="007C68F1">
        <w:t xml:space="preserve"> *4-5</w:t>
      </w:r>
      <w:bookmarkEnd w:id="269"/>
      <w:r w:rsidR="007879BB" w:rsidRPr="007C68F1">
        <w:t xml:space="preserve"> [</w:t>
      </w:r>
      <w:r w:rsidR="00D75EA1" w:rsidRPr="007C68F1">
        <w:t>employees instructed to attend meeting with defense counsel</w:t>
      </w:r>
      <w:r w:rsidR="004A6FF2" w:rsidRPr="007C68F1">
        <w:t xml:space="preserve"> where </w:t>
      </w:r>
      <w:r w:rsidR="00D75EA1" w:rsidRPr="007C68F1">
        <w:t>counsel did not say the meeting was voluntary</w:t>
      </w:r>
      <w:r w:rsidR="004A6FF2" w:rsidRPr="007C68F1">
        <w:t xml:space="preserve">; one employee signed his declaration because he </w:t>
      </w:r>
      <w:r w:rsidR="0018611C" w:rsidRPr="007C68F1">
        <w:t>felt</w:t>
      </w:r>
      <w:r w:rsidR="004A6FF2" w:rsidRPr="007C68F1">
        <w:t xml:space="preserve"> employer would fire him or cut his hours if he did not, and other employees similarly testified</w:t>
      </w:r>
      <w:r w:rsidR="0018611C" w:rsidRPr="007C68F1">
        <w:t xml:space="preserve">]; </w:t>
      </w:r>
      <w:r w:rsidR="0018611C" w:rsidRPr="007C68F1">
        <w:rPr>
          <w:i/>
          <w:iCs/>
          <w:bdr w:val="none" w:sz="0" w:space="0" w:color="auto" w:frame="1"/>
        </w:rPr>
        <w:t>Quezada v. Schneider Logistics Transloading &amp; Distrib.</w:t>
      </w:r>
      <w:r w:rsidR="0018611C" w:rsidRPr="007C68F1">
        <w:t xml:space="preserve"> (C.D.Cal. Mar. </w:t>
      </w:r>
      <w:bookmarkStart w:id="270" w:name="dabmci_68353597b4cc4a02a4599331385a9ed5"/>
      <w:r w:rsidR="0018611C" w:rsidRPr="007C68F1">
        <w:t>25, 2013</w:t>
      </w:r>
      <w:r w:rsidR="00F2620F" w:rsidRPr="007C68F1">
        <w:t>, No. CV 12-2188 CAS (DTBx)</w:t>
      </w:r>
      <w:r w:rsidR="0018611C" w:rsidRPr="007C68F1">
        <w:t>) 2013 U.S.Dist. L</w:t>
      </w:r>
      <w:r w:rsidR="00F2620F" w:rsidRPr="007C68F1">
        <w:t>exis</w:t>
      </w:r>
      <w:r w:rsidR="0018611C" w:rsidRPr="007C68F1">
        <w:t xml:space="preserve"> 47639, </w:t>
      </w:r>
      <w:r w:rsidR="00013167" w:rsidRPr="007C68F1">
        <w:t xml:space="preserve">at </w:t>
      </w:r>
      <w:r w:rsidR="0018611C" w:rsidRPr="007C68F1">
        <w:t>p</w:t>
      </w:r>
      <w:r w:rsidR="001665B5" w:rsidRPr="007C68F1">
        <w:t>p</w:t>
      </w:r>
      <w:r w:rsidR="0018611C" w:rsidRPr="007C68F1">
        <w:t>. *14</w:t>
      </w:r>
      <w:r w:rsidR="001665B5" w:rsidRPr="007C68F1">
        <w:t xml:space="preserve">, </w:t>
      </w:r>
      <w:r w:rsidR="003818E3" w:rsidRPr="007C68F1">
        <w:t>*</w:t>
      </w:r>
      <w:r w:rsidR="001665B5" w:rsidRPr="007C68F1">
        <w:t>16-17</w:t>
      </w:r>
      <w:r w:rsidR="00013167" w:rsidRPr="007C68F1">
        <w:t xml:space="preserve"> (</w:t>
      </w:r>
      <w:r w:rsidR="00013167" w:rsidRPr="007C68F1">
        <w:rPr>
          <w:i/>
          <w:iCs/>
        </w:rPr>
        <w:t>Quezada</w:t>
      </w:r>
      <w:r w:rsidR="00013167" w:rsidRPr="007C68F1">
        <w:t>)</w:t>
      </w:r>
      <w:bookmarkEnd w:id="270"/>
      <w:r w:rsidR="00013167" w:rsidRPr="007C68F1">
        <w:t xml:space="preserve"> </w:t>
      </w:r>
      <w:r w:rsidR="0018611C" w:rsidRPr="007C68F1">
        <w:t>[</w:t>
      </w:r>
      <w:r w:rsidR="00ED48E8" w:rsidRPr="007C68F1">
        <w:t xml:space="preserve">employees were summoned to meeting with defense counsel over loudspeaker or ordered to attend; defense counsel told employees that interviews were an “‘internal investigation’”; </w:t>
      </w:r>
      <w:r w:rsidR="001665B5" w:rsidRPr="007C68F1">
        <w:t xml:space="preserve">employees were not told counsel </w:t>
      </w:r>
      <w:r w:rsidR="00ED48E8" w:rsidRPr="007C68F1">
        <w:t>was gathering evidence to use against them in a lawsui</w:t>
      </w:r>
      <w:r w:rsidR="001665B5" w:rsidRPr="007C68F1">
        <w:t xml:space="preserve">t or </w:t>
      </w:r>
      <w:r w:rsidR="00ED48E8" w:rsidRPr="007C68F1">
        <w:t>that document they were signing was a sworn declaration</w:t>
      </w:r>
      <w:r w:rsidR="001665B5" w:rsidRPr="007C68F1">
        <w:t>, and some employees felt pressure to sign]</w:t>
      </w:r>
      <w:r w:rsidR="0018611C" w:rsidRPr="007C68F1">
        <w:t>.)</w:t>
      </w:r>
    </w:p>
    <w:p w14:paraId="1E52065F" w14:textId="77777777" w:rsidR="00CF5868" w:rsidRPr="007C68F1" w:rsidRDefault="00D16B2E" w:rsidP="007D1009">
      <w:pPr>
        <w:spacing w:line="480" w:lineRule="auto"/>
        <w:ind w:firstLine="720"/>
      </w:pPr>
      <w:r w:rsidRPr="007C68F1">
        <w:t xml:space="preserve">Woodworth also </w:t>
      </w:r>
      <w:r w:rsidR="008E03D3" w:rsidRPr="007C68F1">
        <w:t xml:space="preserve">contends that </w:t>
      </w:r>
      <w:r w:rsidR="00FF6530" w:rsidRPr="007C68F1">
        <w:t xml:space="preserve">the court abused its discretion because </w:t>
      </w:r>
      <w:r w:rsidR="008E03D3" w:rsidRPr="007C68F1">
        <w:t>defense counsel</w:t>
      </w:r>
      <w:r w:rsidR="00FF6530" w:rsidRPr="007C68F1">
        <w:t xml:space="preserve"> </w:t>
      </w:r>
      <w:r w:rsidR="008E03D3" w:rsidRPr="007C68F1">
        <w:t>violat</w:t>
      </w:r>
      <w:r w:rsidR="00FF6530" w:rsidRPr="007C68F1">
        <w:t>ed</w:t>
      </w:r>
      <w:r w:rsidR="008E03D3" w:rsidRPr="007C68F1">
        <w:t xml:space="preserve"> the </w:t>
      </w:r>
      <w:r w:rsidR="00FF6530" w:rsidRPr="007C68F1">
        <w:t xml:space="preserve">California </w:t>
      </w:r>
      <w:r w:rsidR="008E03D3" w:rsidRPr="007C68F1">
        <w:t xml:space="preserve">Rules of </w:t>
      </w:r>
      <w:r w:rsidR="00FF6530" w:rsidRPr="007C68F1">
        <w:t xml:space="preserve">Professional </w:t>
      </w:r>
      <w:r w:rsidR="008E03D3" w:rsidRPr="007C68F1">
        <w:t>Conduct</w:t>
      </w:r>
      <w:r w:rsidR="000E06BB" w:rsidRPr="007C68F1">
        <w:t>.</w:t>
      </w:r>
      <w:r w:rsidR="00444C60" w:rsidRPr="007C68F1">
        <w:t xml:space="preserve">  (Undesignated rule references are to the Rules of Professional Conduct.)</w:t>
      </w:r>
      <w:r w:rsidR="000E06BB" w:rsidRPr="007C68F1">
        <w:t xml:space="preserve">  More specifically, she asserts that counsel violated</w:t>
      </w:r>
      <w:r w:rsidR="00054295" w:rsidRPr="007C68F1">
        <w:t xml:space="preserve"> rule</w:t>
      </w:r>
      <w:r w:rsidR="00BC1188" w:rsidRPr="007C68F1">
        <w:t>s</w:t>
      </w:r>
      <w:r w:rsidR="00054295" w:rsidRPr="007C68F1">
        <w:t xml:space="preserve"> 1.13(f)</w:t>
      </w:r>
      <w:r w:rsidR="00BC1188" w:rsidRPr="007C68F1">
        <w:t xml:space="preserve"> and 4.3(a)</w:t>
      </w:r>
      <w:r w:rsidR="00054295" w:rsidRPr="007C68F1">
        <w:t xml:space="preserve"> by</w:t>
      </w:r>
      <w:r w:rsidR="002260B2" w:rsidRPr="007C68F1">
        <w:t xml:space="preserve"> </w:t>
      </w:r>
      <w:r w:rsidR="00557A4C" w:rsidRPr="007C68F1">
        <w:t>coaching</w:t>
      </w:r>
      <w:r w:rsidR="002260B2" w:rsidRPr="007C68F1">
        <w:t xml:space="preserve"> the employees before their deposition</w:t>
      </w:r>
      <w:r w:rsidR="00707E8C" w:rsidRPr="007C68F1">
        <w:t>s</w:t>
      </w:r>
      <w:r w:rsidR="002260B2" w:rsidRPr="007C68F1">
        <w:t xml:space="preserve">, </w:t>
      </w:r>
      <w:r w:rsidR="00BC1188" w:rsidRPr="007C68F1">
        <w:t>which created</w:t>
      </w:r>
      <w:r w:rsidR="002260B2" w:rsidRPr="007C68F1">
        <w:t xml:space="preserve"> the false impression that defense counsel represented the employees</w:t>
      </w:r>
      <w:r w:rsidRPr="007C68F1">
        <w:t xml:space="preserve"> and </w:t>
      </w:r>
      <w:r w:rsidR="005009CE" w:rsidRPr="007C68F1">
        <w:t>amounted</w:t>
      </w:r>
      <w:r w:rsidRPr="007C68F1">
        <w:t xml:space="preserve"> to giving legal advice</w:t>
      </w:r>
      <w:r w:rsidR="002260B2" w:rsidRPr="007C68F1">
        <w:t>.</w:t>
      </w:r>
      <w:r w:rsidR="00444C60" w:rsidRPr="007C68F1">
        <w:t xml:space="preserve">  </w:t>
      </w:r>
    </w:p>
    <w:p w14:paraId="4BCB3EE1" w14:textId="77777777" w:rsidR="002260B2" w:rsidRPr="007C68F1" w:rsidRDefault="00D16B2E" w:rsidP="007D1009">
      <w:pPr>
        <w:spacing w:line="480" w:lineRule="auto"/>
        <w:ind w:firstLine="720"/>
      </w:pPr>
      <w:r w:rsidRPr="007C68F1">
        <w:t xml:space="preserve">Some federal </w:t>
      </w:r>
      <w:r w:rsidR="001C631E" w:rsidRPr="007C68F1">
        <w:t>district courts</w:t>
      </w:r>
      <w:r w:rsidRPr="007C68F1">
        <w:t xml:space="preserve"> have </w:t>
      </w:r>
      <w:r w:rsidR="001C631E" w:rsidRPr="007C68F1">
        <w:t>concluded</w:t>
      </w:r>
      <w:r w:rsidRPr="007C68F1">
        <w:t xml:space="preserve"> that </w:t>
      </w:r>
      <w:r w:rsidR="001C631E" w:rsidRPr="007C68F1">
        <w:t xml:space="preserve">violations of former rule 3-600, the predecessor to rule 1.13, weigh in favor </w:t>
      </w:r>
      <w:r w:rsidR="00013167" w:rsidRPr="007C68F1">
        <w:t>of</w:t>
      </w:r>
      <w:r w:rsidR="001C631E" w:rsidRPr="007C68F1">
        <w:t xml:space="preserve"> finding improper communications.  </w:t>
      </w:r>
      <w:r w:rsidR="00013167" w:rsidRPr="007C68F1">
        <w:t>(</w:t>
      </w:r>
      <w:bookmarkStart w:id="271" w:name="dabmci_90feafc431d54b53806a1f986e212e20"/>
      <w:r w:rsidR="00013167" w:rsidRPr="007C68F1">
        <w:rPr>
          <w:i/>
          <w:iCs/>
        </w:rPr>
        <w:t>Quezada</w:t>
      </w:r>
      <w:r w:rsidR="00013167" w:rsidRPr="007C68F1">
        <w:t xml:space="preserve">, </w:t>
      </w:r>
      <w:r w:rsidR="00013167" w:rsidRPr="007C68F1">
        <w:rPr>
          <w:i/>
          <w:iCs/>
        </w:rPr>
        <w:t>supra</w:t>
      </w:r>
      <w:r w:rsidR="00013167" w:rsidRPr="007C68F1">
        <w:t xml:space="preserve">, </w:t>
      </w:r>
      <w:r w:rsidR="00F2620F" w:rsidRPr="007C68F1">
        <w:t xml:space="preserve">2013 U.S.Dist. Lexis 47639, </w:t>
      </w:r>
      <w:r w:rsidR="00013167" w:rsidRPr="007C68F1">
        <w:t>at p</w:t>
      </w:r>
      <w:r w:rsidR="00460F23" w:rsidRPr="007C68F1">
        <w:t>p</w:t>
      </w:r>
      <w:r w:rsidR="00013167" w:rsidRPr="007C68F1">
        <w:t>. *</w:t>
      </w:r>
      <w:r w:rsidR="00460F23" w:rsidRPr="007C68F1">
        <w:t>11-12</w:t>
      </w:r>
      <w:bookmarkEnd w:id="271"/>
      <w:r w:rsidR="00B3142E" w:rsidRPr="007C68F1">
        <w:t xml:space="preserve">; see </w:t>
      </w:r>
      <w:bookmarkStart w:id="272" w:name="dabmci_ccf5cca7a2a74d62b049ef0a45518072"/>
      <w:r w:rsidR="00B3142E" w:rsidRPr="007C68F1">
        <w:rPr>
          <w:i/>
          <w:iCs/>
          <w:bdr w:val="none" w:sz="0" w:space="0" w:color="auto" w:frame="1"/>
        </w:rPr>
        <w:t>Sprengel v. Zbylut</w:t>
      </w:r>
      <w:r w:rsidR="00B3142E" w:rsidRPr="007C68F1">
        <w:t xml:space="preserve"> </w:t>
      </w:r>
      <w:r w:rsidR="00B3142E" w:rsidRPr="007C68F1">
        <w:lastRenderedPageBreak/>
        <w:t>(2019) 40 Cal.App.5th 1028, 1042 &amp; fn. 3</w:t>
      </w:r>
      <w:bookmarkEnd w:id="272"/>
      <w:r w:rsidR="00B3142E" w:rsidRPr="007C68F1">
        <w:t xml:space="preserve"> [former rule 3-600 preceded rule 1.13].)  </w:t>
      </w:r>
      <w:r w:rsidR="00E2691E" w:rsidRPr="007C68F1">
        <w:t>But Woodworth has not shown a violation of rule 1.13 or 4.3</w:t>
      </w:r>
      <w:r w:rsidR="00153CE9" w:rsidRPr="007C68F1">
        <w:t xml:space="preserve"> here</w:t>
      </w:r>
      <w:r w:rsidR="00E2691E" w:rsidRPr="007C68F1">
        <w:t xml:space="preserve">.  </w:t>
      </w:r>
      <w:r w:rsidR="00444C60" w:rsidRPr="007C68F1">
        <w:t xml:space="preserve">Rule 1.13(f) states:  </w:t>
      </w:r>
      <w:bookmarkStart w:id="273" w:name="dabmq_122"/>
      <w:r w:rsidR="00444C60" w:rsidRPr="007C68F1">
        <w:t>“</w:t>
      </w:r>
      <w:r w:rsidRPr="007C68F1">
        <w:rPr>
          <w:shd w:val="clear" w:color="auto" w:fill="FFFFFF"/>
        </w:rPr>
        <w:t>In dealing with an organization</w:t>
      </w:r>
      <w:r w:rsidR="00444C60" w:rsidRPr="007C68F1">
        <w:rPr>
          <w:shd w:val="clear" w:color="auto" w:fill="FFFFFF"/>
        </w:rPr>
        <w:t>’</w:t>
      </w:r>
      <w:r w:rsidRPr="007C68F1">
        <w:rPr>
          <w:shd w:val="clear" w:color="auto" w:fill="FFFFFF"/>
        </w:rPr>
        <w:t>s constituents, a lawyer representing the organization shall explain the identity of the lawyer</w:t>
      </w:r>
      <w:r w:rsidR="00444C60" w:rsidRPr="007C68F1">
        <w:rPr>
          <w:shd w:val="clear" w:color="auto" w:fill="FFFFFF"/>
        </w:rPr>
        <w:t>’</w:t>
      </w:r>
      <w:r w:rsidRPr="007C68F1">
        <w:rPr>
          <w:shd w:val="clear" w:color="auto" w:fill="FFFFFF"/>
        </w:rPr>
        <w:t>s client when</w:t>
      </w:r>
      <w:r w:rsidRPr="007C68F1">
        <w:rPr>
          <w:shd w:val="clear" w:color="auto" w:fill="FFFFFF"/>
        </w:rPr>
        <w:t>ever the lawyer knows</w:t>
      </w:r>
      <w:r w:rsidR="00981311" w:rsidRPr="007C68F1">
        <w:rPr>
          <w:shd w:val="clear" w:color="auto" w:fill="FFFFFF"/>
        </w:rPr>
        <w:t xml:space="preserve"> </w:t>
      </w:r>
      <w:r w:rsidRPr="007C68F1">
        <w:rPr>
          <w:shd w:val="clear" w:color="auto" w:fill="FFFFFF"/>
        </w:rPr>
        <w:t>or reasonably should know that the organization</w:t>
      </w:r>
      <w:r w:rsidR="00444C60" w:rsidRPr="007C68F1">
        <w:rPr>
          <w:shd w:val="clear" w:color="auto" w:fill="FFFFFF"/>
        </w:rPr>
        <w:t>’</w:t>
      </w:r>
      <w:r w:rsidRPr="007C68F1">
        <w:rPr>
          <w:shd w:val="clear" w:color="auto" w:fill="FFFFFF"/>
        </w:rPr>
        <w:t>s interests are adverse to those of the constituent(s) with whom the lawyer is dealing.</w:t>
      </w:r>
      <w:r w:rsidR="00444C60" w:rsidRPr="007C68F1">
        <w:rPr>
          <w:shd w:val="clear" w:color="auto" w:fill="FFFFFF"/>
        </w:rPr>
        <w:t>”</w:t>
      </w:r>
      <w:bookmarkEnd w:id="273"/>
      <w:r w:rsidR="00981311" w:rsidRPr="007C68F1">
        <w:rPr>
          <w:shd w:val="clear" w:color="auto" w:fill="FFFFFF"/>
        </w:rPr>
        <w:t xml:space="preserve">  (Asterisk omitted.)  </w:t>
      </w:r>
      <w:r w:rsidR="00707E8C" w:rsidRPr="007C68F1">
        <w:rPr>
          <w:shd w:val="clear" w:color="auto" w:fill="FFFFFF"/>
        </w:rPr>
        <w:t xml:space="preserve">Ample evidence shows that defense counsel complied with </w:t>
      </w:r>
      <w:r w:rsidR="00090694" w:rsidRPr="007C68F1">
        <w:rPr>
          <w:shd w:val="clear" w:color="auto" w:fill="FFFFFF"/>
        </w:rPr>
        <w:t xml:space="preserve">that </w:t>
      </w:r>
      <w:r w:rsidR="00707E8C" w:rsidRPr="007C68F1">
        <w:rPr>
          <w:shd w:val="clear" w:color="auto" w:fill="FFFFFF"/>
        </w:rPr>
        <w:t xml:space="preserve">rule by explaining that counsel represented the medical center.  </w:t>
      </w:r>
      <w:r w:rsidR="003E74C5" w:rsidRPr="007C68F1">
        <w:rPr>
          <w:shd w:val="clear" w:color="auto" w:fill="FFFFFF"/>
        </w:rPr>
        <w:t xml:space="preserve">As to </w:t>
      </w:r>
      <w:r w:rsidR="003B7BAC" w:rsidRPr="007C68F1">
        <w:rPr>
          <w:shd w:val="clear" w:color="auto" w:fill="FFFFFF"/>
        </w:rPr>
        <w:t>r</w:t>
      </w:r>
      <w:r w:rsidR="00707E8C" w:rsidRPr="007C68F1">
        <w:rPr>
          <w:shd w:val="clear" w:color="auto" w:fill="FFFFFF"/>
        </w:rPr>
        <w:t>ule 4.3(a)</w:t>
      </w:r>
      <w:r w:rsidR="003E74C5" w:rsidRPr="007C68F1">
        <w:rPr>
          <w:shd w:val="clear" w:color="auto" w:fill="FFFFFF"/>
        </w:rPr>
        <w:t>, it</w:t>
      </w:r>
      <w:r w:rsidR="00557A4C" w:rsidRPr="007C68F1">
        <w:rPr>
          <w:shd w:val="clear" w:color="auto" w:fill="FFFFFF"/>
        </w:rPr>
        <w:t xml:space="preserve"> states in relevant part:  </w:t>
      </w:r>
      <w:bookmarkStart w:id="274" w:name="dabmq_123"/>
      <w:r w:rsidR="00D341BA" w:rsidRPr="007C68F1">
        <w:rPr>
          <w:shd w:val="clear" w:color="auto" w:fill="FFFFFF"/>
        </w:rPr>
        <w:t>“</w:t>
      </w:r>
      <w:r w:rsidR="00D3329A" w:rsidRPr="007C68F1">
        <w:rPr>
          <w:shd w:val="clear" w:color="auto" w:fill="FFFFFF"/>
        </w:rPr>
        <w:t>If the lawyer knows</w:t>
      </w:r>
      <w:r w:rsidR="00D341BA" w:rsidRPr="007C68F1">
        <w:rPr>
          <w:shd w:val="clear" w:color="auto" w:fill="FFFFFF"/>
        </w:rPr>
        <w:t xml:space="preserve"> </w:t>
      </w:r>
      <w:r w:rsidR="00D3329A" w:rsidRPr="007C68F1">
        <w:rPr>
          <w:shd w:val="clear" w:color="auto" w:fill="FFFFFF"/>
        </w:rPr>
        <w:t>or reasonably should know that the interests of the unrepresented person are in conflict with the interests of the client, the lawyer shall not give legal advice to that person, except that the lawyer may, but is not required to, advise the person to secure counsel.</w:t>
      </w:r>
      <w:r w:rsidR="00D341BA" w:rsidRPr="007C68F1">
        <w:rPr>
          <w:shd w:val="clear" w:color="auto" w:fill="FFFFFF"/>
        </w:rPr>
        <w:t>”</w:t>
      </w:r>
      <w:bookmarkEnd w:id="274"/>
      <w:r w:rsidR="00D341BA" w:rsidRPr="007C68F1">
        <w:rPr>
          <w:shd w:val="clear" w:color="auto" w:fill="FFFFFF"/>
        </w:rPr>
        <w:t xml:space="preserve">  (Asterisks omitted.)</w:t>
      </w:r>
      <w:r w:rsidR="003E74C5" w:rsidRPr="007C68F1">
        <w:rPr>
          <w:shd w:val="clear" w:color="auto" w:fill="FFFFFF"/>
        </w:rPr>
        <w:t xml:space="preserve">  Woodworth cites no evidence that after the predeposition meeting, the employees had the impression that defense counsel represented them.  Moreover, </w:t>
      </w:r>
      <w:r w:rsidR="005B6942" w:rsidRPr="007C68F1">
        <w:rPr>
          <w:shd w:val="clear" w:color="auto" w:fill="FFFFFF"/>
        </w:rPr>
        <w:t xml:space="preserve">beyond the </w:t>
      </w:r>
      <w:r w:rsidR="00153CE9" w:rsidRPr="007C68F1">
        <w:rPr>
          <w:shd w:val="clear" w:color="auto" w:fill="FFFFFF"/>
        </w:rPr>
        <w:t xml:space="preserve">conclusory assertion that the </w:t>
      </w:r>
      <w:r w:rsidR="005B6942" w:rsidRPr="007C68F1">
        <w:rPr>
          <w:shd w:val="clear" w:color="auto" w:fill="FFFFFF"/>
        </w:rPr>
        <w:t xml:space="preserve">employees were coached, </w:t>
      </w:r>
      <w:r w:rsidR="003E74C5" w:rsidRPr="007C68F1">
        <w:rPr>
          <w:shd w:val="clear" w:color="auto" w:fill="FFFFFF"/>
        </w:rPr>
        <w:t xml:space="preserve">she does not explain what </w:t>
      </w:r>
      <w:r w:rsidR="005B6942" w:rsidRPr="007C68F1">
        <w:rPr>
          <w:shd w:val="clear" w:color="auto" w:fill="FFFFFF"/>
        </w:rPr>
        <w:t xml:space="preserve">precisely </w:t>
      </w:r>
      <w:r w:rsidR="003E74C5" w:rsidRPr="007C68F1">
        <w:rPr>
          <w:shd w:val="clear" w:color="auto" w:fill="FFFFFF"/>
        </w:rPr>
        <w:t xml:space="preserve">defense counsel did at </w:t>
      </w:r>
      <w:r w:rsidR="0035317C" w:rsidRPr="007C68F1">
        <w:rPr>
          <w:shd w:val="clear" w:color="auto" w:fill="FFFFFF"/>
        </w:rPr>
        <w:t>the</w:t>
      </w:r>
      <w:r w:rsidR="003E74C5" w:rsidRPr="007C68F1">
        <w:rPr>
          <w:shd w:val="clear" w:color="auto" w:fill="FFFFFF"/>
        </w:rPr>
        <w:t xml:space="preserve"> meeting that amounted to providing legal advice.  We have no duty to develop the argument for her.</w:t>
      </w:r>
      <w:r w:rsidR="00890791" w:rsidRPr="007C68F1">
        <w:rPr>
          <w:shd w:val="clear" w:color="auto" w:fill="FFFFFF"/>
        </w:rPr>
        <w:t xml:space="preserve">  (</w:t>
      </w:r>
      <w:bookmarkStart w:id="275" w:name="dabmci_f921d0c5da97480da14b6a37b264329a"/>
      <w:r w:rsidR="00FE6E56" w:rsidRPr="007C68F1">
        <w:rPr>
          <w:i/>
          <w:iCs/>
        </w:rPr>
        <w:t>Cahill v. San Diego Gas &amp; Electric Co.</w:t>
      </w:r>
      <w:r w:rsidR="00FE6E56" w:rsidRPr="007C68F1">
        <w:t xml:space="preserve"> (2011) 194 Cal.App.4th 939, 956</w:t>
      </w:r>
      <w:r w:rsidR="006641CD" w:rsidRPr="007C68F1">
        <w:t xml:space="preserve"> (</w:t>
      </w:r>
      <w:r w:rsidR="006641CD" w:rsidRPr="007C68F1">
        <w:rPr>
          <w:i/>
          <w:iCs/>
        </w:rPr>
        <w:t>Cahill</w:t>
      </w:r>
      <w:r w:rsidR="006641CD" w:rsidRPr="007C68F1">
        <w:t>)</w:t>
      </w:r>
      <w:bookmarkEnd w:id="275"/>
      <w:r w:rsidR="00FE6E56" w:rsidRPr="007C68F1">
        <w:t>.)</w:t>
      </w:r>
      <w:r w:rsidR="00707E8C" w:rsidRPr="007C68F1">
        <w:rPr>
          <w:shd w:val="clear" w:color="auto" w:fill="FFFFFF"/>
        </w:rPr>
        <w:t xml:space="preserve"> </w:t>
      </w:r>
    </w:p>
    <w:p w14:paraId="4F382BCF" w14:textId="77777777" w:rsidR="006F3007" w:rsidRPr="007C68F1" w:rsidRDefault="00D16B2E" w:rsidP="007D1009">
      <w:pPr>
        <w:spacing w:line="480" w:lineRule="auto"/>
        <w:ind w:firstLine="720"/>
      </w:pPr>
      <w:r w:rsidRPr="007C68F1">
        <w:t>Finally, i</w:t>
      </w:r>
      <w:r w:rsidR="00FD2275" w:rsidRPr="007C68F1">
        <w:t xml:space="preserve">n her reply brief, </w:t>
      </w:r>
      <w:r w:rsidR="00945EE6" w:rsidRPr="007C68F1">
        <w:t xml:space="preserve">Woodworth </w:t>
      </w:r>
      <w:r w:rsidR="00FD2275" w:rsidRPr="007C68F1">
        <w:t>argues th</w:t>
      </w:r>
      <w:r w:rsidR="00E6297F" w:rsidRPr="007C68F1">
        <w:t xml:space="preserve">at this court’s decision in </w:t>
      </w:r>
      <w:bookmarkStart w:id="276" w:name="dabmci_57e216f47ce24a0b87d47999a70a87f7"/>
      <w:r w:rsidR="00E6297F" w:rsidRPr="007C68F1">
        <w:rPr>
          <w:i/>
          <w:iCs/>
        </w:rPr>
        <w:t>Barriga</w:t>
      </w:r>
      <w:bookmarkEnd w:id="276"/>
      <w:r w:rsidR="00E6297F" w:rsidRPr="007C68F1">
        <w:rPr>
          <w:i/>
          <w:iCs/>
        </w:rPr>
        <w:t xml:space="preserve"> </w:t>
      </w:r>
      <w:r w:rsidR="00E6297F" w:rsidRPr="007C68F1">
        <w:t xml:space="preserve">requires </w:t>
      </w:r>
      <w:r w:rsidR="006D06ED" w:rsidRPr="007C68F1">
        <w:t xml:space="preserve">us to reverse </w:t>
      </w:r>
      <w:r w:rsidR="00B94B16" w:rsidRPr="007C68F1">
        <w:t>the order denying the motion to strike</w:t>
      </w:r>
      <w:r w:rsidR="00E6297F" w:rsidRPr="007C68F1">
        <w:t>.</w:t>
      </w:r>
      <w:r w:rsidR="0092115F" w:rsidRPr="007C68F1">
        <w:t xml:space="preserve"> </w:t>
      </w:r>
      <w:r w:rsidR="006D06ED" w:rsidRPr="007C68F1">
        <w:t xml:space="preserve"> (We decided </w:t>
      </w:r>
      <w:bookmarkStart w:id="277" w:name="dabmci_2035aaca02d64a1e8422c3e2d753c771"/>
      <w:r w:rsidR="006D06ED" w:rsidRPr="007C68F1">
        <w:rPr>
          <w:i/>
          <w:iCs/>
        </w:rPr>
        <w:t>Barriga</w:t>
      </w:r>
      <w:bookmarkEnd w:id="277"/>
      <w:r w:rsidR="006D06ED" w:rsidRPr="007C68F1">
        <w:t xml:space="preserve"> after Woodworth had filed her opening brief.) </w:t>
      </w:r>
      <w:r w:rsidR="0092115F" w:rsidRPr="007C68F1">
        <w:t xml:space="preserve"> </w:t>
      </w:r>
      <w:r w:rsidR="006020E8" w:rsidRPr="007C68F1">
        <w:t xml:space="preserve">While some of </w:t>
      </w:r>
      <w:r w:rsidR="0092115F" w:rsidRPr="007C68F1">
        <w:rPr>
          <w:i/>
          <w:iCs/>
        </w:rPr>
        <w:t>Barriga</w:t>
      </w:r>
      <w:r w:rsidR="0092115F" w:rsidRPr="007C68F1">
        <w:t xml:space="preserve">’s statements of the law </w:t>
      </w:r>
      <w:r w:rsidR="00D73C28" w:rsidRPr="007C68F1">
        <w:t>are relevant</w:t>
      </w:r>
      <w:r w:rsidR="0092115F" w:rsidRPr="007C68F1">
        <w:t xml:space="preserve"> here, </w:t>
      </w:r>
      <w:r w:rsidR="00610913" w:rsidRPr="007C68F1">
        <w:t>it does not compel a reversal</w:t>
      </w:r>
      <w:r w:rsidR="00C316EA" w:rsidRPr="007C68F1">
        <w:t>.  T</w:t>
      </w:r>
      <w:r w:rsidR="000B5B80" w:rsidRPr="007C68F1">
        <w:t>he facts of the case render it materially distinguishable</w:t>
      </w:r>
      <w:r w:rsidR="00F271DB" w:rsidRPr="007C68F1">
        <w:t>.</w:t>
      </w:r>
      <w:r w:rsidR="006D06ED" w:rsidRPr="007C68F1">
        <w:t xml:space="preserve">  </w:t>
      </w:r>
      <w:r w:rsidR="00957175" w:rsidRPr="007C68F1">
        <w:t xml:space="preserve">In </w:t>
      </w:r>
      <w:bookmarkStart w:id="278" w:name="dabmci_17d59fc47bec49d0b05e863f123efd89"/>
      <w:r w:rsidR="00957175" w:rsidRPr="007C68F1">
        <w:rPr>
          <w:i/>
          <w:iCs/>
        </w:rPr>
        <w:t>Barriga</w:t>
      </w:r>
      <w:bookmarkEnd w:id="278"/>
      <w:r w:rsidR="00957175" w:rsidRPr="007C68F1">
        <w:t>,</w:t>
      </w:r>
      <w:r w:rsidR="00E559E7" w:rsidRPr="007C68F1">
        <w:t xml:space="preserve"> </w:t>
      </w:r>
      <w:r w:rsidR="00957175" w:rsidRPr="007C68F1">
        <w:t>w</w:t>
      </w:r>
      <w:r w:rsidR="00DA24F1" w:rsidRPr="007C68F1">
        <w:t xml:space="preserve">e reversed for the </w:t>
      </w:r>
      <w:r w:rsidR="00DE38C5" w:rsidRPr="007C68F1">
        <w:t xml:space="preserve">trial </w:t>
      </w:r>
      <w:r w:rsidR="00DA24F1" w:rsidRPr="007C68F1">
        <w:t xml:space="preserve">court to reconsider the motion to </w:t>
      </w:r>
      <w:r w:rsidR="00DA24F1" w:rsidRPr="007C68F1">
        <w:lastRenderedPageBreak/>
        <w:t xml:space="preserve">strike </w:t>
      </w:r>
      <w:r w:rsidR="00877947" w:rsidRPr="007C68F1">
        <w:t>employee</w:t>
      </w:r>
      <w:r w:rsidR="00DA24F1" w:rsidRPr="007C68F1">
        <w:t xml:space="preserve"> declaration</w:t>
      </w:r>
      <w:r w:rsidR="00D73C28" w:rsidRPr="007C68F1">
        <w:t>s</w:t>
      </w:r>
      <w:r w:rsidR="00B8553C" w:rsidRPr="007C68F1">
        <w:t xml:space="preserve">.  </w:t>
      </w:r>
      <w:r w:rsidR="00D73C28" w:rsidRPr="007C68F1">
        <w:t>(</w:t>
      </w:r>
      <w:bookmarkStart w:id="279" w:name="dabmci_b0c4dfa8f98b4c7abf100c7d1161e4c1"/>
      <w:r w:rsidR="00E559E7" w:rsidRPr="007C68F1">
        <w:rPr>
          <w:i/>
          <w:iCs/>
        </w:rPr>
        <w:t>Barriga</w:t>
      </w:r>
      <w:r w:rsidR="00E559E7" w:rsidRPr="007C68F1">
        <w:t xml:space="preserve">, </w:t>
      </w:r>
      <w:r w:rsidR="00E559E7" w:rsidRPr="007C68F1">
        <w:rPr>
          <w:i/>
          <w:iCs/>
        </w:rPr>
        <w:t>supra</w:t>
      </w:r>
      <w:r w:rsidR="00E559E7" w:rsidRPr="007C68F1">
        <w:t xml:space="preserve">, </w:t>
      </w:r>
      <w:r w:rsidR="00E559E7" w:rsidRPr="007C68F1">
        <w:rPr>
          <w:shd w:val="clear" w:color="auto" w:fill="FFFFFF"/>
        </w:rPr>
        <w:t>51 Cal.App.5th</w:t>
      </w:r>
      <w:r w:rsidR="00D73C28" w:rsidRPr="007C68F1">
        <w:t xml:space="preserve"> at p.</w:t>
      </w:r>
      <w:r w:rsidR="00E559E7" w:rsidRPr="007C68F1">
        <w:t xml:space="preserve"> </w:t>
      </w:r>
      <w:r w:rsidR="00D73C28" w:rsidRPr="007C68F1">
        <w:t>338</w:t>
      </w:r>
      <w:bookmarkEnd w:id="279"/>
      <w:r w:rsidR="00D73C28" w:rsidRPr="007C68F1">
        <w:t>.)</w:t>
      </w:r>
      <w:r w:rsidR="00E559E7" w:rsidRPr="007C68F1">
        <w:t xml:space="preserve">  We did that for two reasons.  </w:t>
      </w:r>
      <w:r w:rsidR="00D73C28" w:rsidRPr="007C68F1">
        <w:t xml:space="preserve">First, </w:t>
      </w:r>
      <w:r w:rsidR="00456A15" w:rsidRPr="007C68F1">
        <w:t>the court concluded that it lacked statutory authority to strike the employee declarations.  (</w:t>
      </w:r>
      <w:bookmarkStart w:id="280" w:name="dabmci_f8da8f19f3a44df0b033da30d3ffaca9"/>
      <w:r w:rsidR="00456A15" w:rsidRPr="007C68F1">
        <w:rPr>
          <w:i/>
          <w:iCs/>
        </w:rPr>
        <w:t>Id.</w:t>
      </w:r>
      <w:r w:rsidR="00456A15" w:rsidRPr="007C68F1">
        <w:t xml:space="preserve"> at p. 335</w:t>
      </w:r>
      <w:bookmarkEnd w:id="280"/>
      <w:r w:rsidR="00456A15" w:rsidRPr="007C68F1">
        <w:t xml:space="preserve">.)  And although </w:t>
      </w:r>
      <w:r w:rsidR="000B5B80" w:rsidRPr="007C68F1">
        <w:t>the court also</w:t>
      </w:r>
      <w:r w:rsidR="00456A15" w:rsidRPr="007C68F1">
        <w:t xml:space="preserve"> addressed the </w:t>
      </w:r>
      <w:r w:rsidR="000B5B80" w:rsidRPr="007C68F1">
        <w:t xml:space="preserve">merits of the </w:t>
      </w:r>
      <w:r w:rsidR="00456A15" w:rsidRPr="007C68F1">
        <w:t xml:space="preserve">plaintiff’s </w:t>
      </w:r>
      <w:r w:rsidR="000B5B80" w:rsidRPr="007C68F1">
        <w:t>argument</w:t>
      </w:r>
      <w:r w:rsidR="00456A15" w:rsidRPr="007C68F1">
        <w:t>, it</w:t>
      </w:r>
      <w:r w:rsidR="00DA24F1" w:rsidRPr="007C68F1">
        <w:t xml:space="preserve"> was </w:t>
      </w:r>
      <w:bookmarkStart w:id="281" w:name="dabmq_124"/>
      <w:r w:rsidR="00DA24F1" w:rsidRPr="007C68F1">
        <w:t>“not entirely clear the court scrutinized the</w:t>
      </w:r>
      <w:r w:rsidR="00957175" w:rsidRPr="007C68F1">
        <w:t xml:space="preserve"> declarations from the perspective that communications between a class opponent and its current employees are fraught with potential abuse.”</w:t>
      </w:r>
      <w:bookmarkEnd w:id="281"/>
      <w:r w:rsidR="00957175" w:rsidRPr="007C68F1">
        <w:t xml:space="preserve">  (</w:t>
      </w:r>
      <w:bookmarkStart w:id="282" w:name="dabmci_99d854d19584420d933ca72fa92f9472"/>
      <w:r w:rsidR="00205688" w:rsidRPr="007C68F1">
        <w:rPr>
          <w:i/>
          <w:iCs/>
        </w:rPr>
        <w:t>Ibid</w:t>
      </w:r>
      <w:r w:rsidR="00957175" w:rsidRPr="007C68F1">
        <w:t>.</w:t>
      </w:r>
      <w:bookmarkEnd w:id="282"/>
      <w:r w:rsidR="00957175" w:rsidRPr="007C68F1">
        <w:t>)</w:t>
      </w:r>
    </w:p>
    <w:p w14:paraId="38F57785" w14:textId="77777777" w:rsidR="00CB6823" w:rsidRPr="007C68F1" w:rsidRDefault="00D16B2E" w:rsidP="007D1009">
      <w:pPr>
        <w:spacing w:line="480" w:lineRule="auto"/>
        <w:ind w:firstLine="720"/>
      </w:pPr>
      <w:r w:rsidRPr="007C68F1">
        <w:t>Second, the trial court</w:t>
      </w:r>
      <w:r w:rsidR="008A7238" w:rsidRPr="007C68F1">
        <w:t xml:space="preserve"> </w:t>
      </w:r>
      <w:bookmarkStart w:id="283" w:name="dabmq_125"/>
      <w:r w:rsidR="008A7238" w:rsidRPr="007C68F1">
        <w:t xml:space="preserve">“misunderstood the </w:t>
      </w:r>
      <w:r w:rsidR="008A7238" w:rsidRPr="007C68F1">
        <w:rPr>
          <w:i/>
          <w:iCs/>
        </w:rPr>
        <w:t>scope</w:t>
      </w:r>
      <w:r w:rsidR="008A7238" w:rsidRPr="007C68F1">
        <w:t xml:space="preserve"> of its authority,”</w:t>
      </w:r>
      <w:bookmarkEnd w:id="283"/>
      <w:r w:rsidR="008A7238" w:rsidRPr="007C68F1">
        <w:t xml:space="preserve"> </w:t>
      </w:r>
      <w:r w:rsidR="000A0B30" w:rsidRPr="007C68F1">
        <w:t xml:space="preserve">because it </w:t>
      </w:r>
      <w:r w:rsidR="00C86388" w:rsidRPr="007C68F1">
        <w:t xml:space="preserve">ruled that the </w:t>
      </w:r>
      <w:r w:rsidR="00222A0B" w:rsidRPr="007C68F1">
        <w:t>federal</w:t>
      </w:r>
      <w:r w:rsidR="00C86388" w:rsidRPr="007C68F1">
        <w:t xml:space="preserve"> case law </w:t>
      </w:r>
      <w:r w:rsidR="000B5B80" w:rsidRPr="007C68F1">
        <w:t xml:space="preserve">on which the plaintiff relied </w:t>
      </w:r>
      <w:r w:rsidR="00C86388" w:rsidRPr="007C68F1">
        <w:t>did</w:t>
      </w:r>
      <w:r w:rsidR="00713E0C" w:rsidRPr="007C68F1">
        <w:t xml:space="preserve"> not</w:t>
      </w:r>
      <w:r w:rsidR="00C86388" w:rsidRPr="007C68F1">
        <w:t xml:space="preserve"> </w:t>
      </w:r>
      <w:r w:rsidR="00E317DE" w:rsidRPr="007C68F1">
        <w:t>warrant</w:t>
      </w:r>
      <w:r w:rsidR="00C86388" w:rsidRPr="007C68F1">
        <w:t xml:space="preserve"> striking the declarations of employees who were not putative </w:t>
      </w:r>
      <w:r w:rsidR="00713E0C" w:rsidRPr="007C68F1">
        <w:t>class members (which amounted to 121 of the 174 declarations at issue).  (</w:t>
      </w:r>
      <w:bookmarkStart w:id="284" w:name="dabmci_35c846d996704608933f2b59932290f9"/>
      <w:r w:rsidR="00713E0C" w:rsidRPr="007C68F1">
        <w:rPr>
          <w:i/>
          <w:iCs/>
        </w:rPr>
        <w:t>Barriga</w:t>
      </w:r>
      <w:r w:rsidR="00713E0C" w:rsidRPr="007C68F1">
        <w:t xml:space="preserve">, </w:t>
      </w:r>
      <w:r w:rsidR="00713E0C" w:rsidRPr="007C68F1">
        <w:rPr>
          <w:i/>
          <w:iCs/>
        </w:rPr>
        <w:t>supra</w:t>
      </w:r>
      <w:r w:rsidR="00713E0C" w:rsidRPr="007C68F1">
        <w:t xml:space="preserve">, </w:t>
      </w:r>
      <w:r w:rsidR="00713E0C" w:rsidRPr="007C68F1">
        <w:rPr>
          <w:shd w:val="clear" w:color="auto" w:fill="FFFFFF"/>
        </w:rPr>
        <w:t>51 Cal.App.5th</w:t>
      </w:r>
      <w:r w:rsidR="00713E0C" w:rsidRPr="007C68F1">
        <w:t xml:space="preserve"> at p. 335</w:t>
      </w:r>
      <w:bookmarkEnd w:id="284"/>
      <w:r w:rsidR="00713E0C" w:rsidRPr="007C68F1">
        <w:t xml:space="preserve">.)  We held that the court had a duty to scrutinize all of the declarations and </w:t>
      </w:r>
      <w:r w:rsidR="005A4ABA" w:rsidRPr="007C68F1">
        <w:t xml:space="preserve">had </w:t>
      </w:r>
      <w:r w:rsidR="000B5B80" w:rsidRPr="007C68F1">
        <w:t xml:space="preserve">the </w:t>
      </w:r>
      <w:r w:rsidR="00713E0C" w:rsidRPr="007C68F1">
        <w:t xml:space="preserve">authority to strike any of them, regardless of whether </w:t>
      </w:r>
      <w:r w:rsidR="005A4ABA" w:rsidRPr="007C68F1">
        <w:t>the declarants</w:t>
      </w:r>
      <w:r w:rsidR="00713E0C" w:rsidRPr="007C68F1">
        <w:t xml:space="preserve"> were putative class members.  (</w:t>
      </w:r>
      <w:bookmarkStart w:id="285" w:name="dabmci_7b985a3a3ecb47368b0a417395f9e0dc"/>
      <w:r w:rsidR="00713E0C" w:rsidRPr="007C68F1">
        <w:rPr>
          <w:i/>
          <w:iCs/>
        </w:rPr>
        <w:t>Id.</w:t>
      </w:r>
      <w:r w:rsidR="00713E0C" w:rsidRPr="007C68F1">
        <w:t xml:space="preserve"> at p.</w:t>
      </w:r>
      <w:r w:rsidR="00F2620F" w:rsidRPr="007C68F1">
        <w:t> </w:t>
      </w:r>
      <w:r w:rsidR="00713E0C" w:rsidRPr="007C68F1">
        <w:t>336</w:t>
      </w:r>
      <w:bookmarkEnd w:id="285"/>
      <w:r w:rsidR="00713E0C" w:rsidRPr="007C68F1">
        <w:t xml:space="preserve">.)  </w:t>
      </w:r>
    </w:p>
    <w:p w14:paraId="3BF7028E" w14:textId="77777777" w:rsidR="007F44BF" w:rsidRPr="007C68F1" w:rsidRDefault="00D16B2E" w:rsidP="007D1009">
      <w:pPr>
        <w:spacing w:line="480" w:lineRule="auto"/>
        <w:ind w:firstLine="720"/>
      </w:pPr>
      <w:r w:rsidRPr="007C68F1">
        <w:t>The</w:t>
      </w:r>
      <w:r w:rsidR="009C2A12" w:rsidRPr="007C68F1">
        <w:t xml:space="preserve"> circumstances </w:t>
      </w:r>
      <w:r w:rsidR="00E77F9B" w:rsidRPr="007C68F1">
        <w:t xml:space="preserve">that compelled reversal in </w:t>
      </w:r>
      <w:bookmarkStart w:id="286" w:name="dabmci_2175673971114c3db93ca7129b285768"/>
      <w:r w:rsidR="00E77F9B" w:rsidRPr="007C68F1">
        <w:rPr>
          <w:i/>
          <w:iCs/>
        </w:rPr>
        <w:t>Barriga</w:t>
      </w:r>
      <w:bookmarkEnd w:id="286"/>
      <w:r w:rsidR="00E77F9B" w:rsidRPr="007C68F1">
        <w:t xml:space="preserve"> </w:t>
      </w:r>
      <w:r w:rsidRPr="007C68F1">
        <w:t>are not</w:t>
      </w:r>
      <w:r w:rsidR="00E77F9B" w:rsidRPr="007C68F1">
        <w:t xml:space="preserve"> present here.</w:t>
      </w:r>
      <w:r w:rsidR="009C2A12" w:rsidRPr="007C68F1">
        <w:t xml:space="preserve">  </w:t>
      </w:r>
      <w:r w:rsidR="00FD5A16" w:rsidRPr="007C68F1">
        <w:t>The record demonstrates</w:t>
      </w:r>
      <w:r w:rsidR="00B23696" w:rsidRPr="007C68F1">
        <w:t xml:space="preserve"> </w:t>
      </w:r>
      <w:r w:rsidR="009C5493" w:rsidRPr="007C68F1">
        <w:t xml:space="preserve">that the trial court </w:t>
      </w:r>
      <w:r w:rsidR="00222A0B" w:rsidRPr="007C68F1">
        <w:t>carefully</w:t>
      </w:r>
      <w:r w:rsidR="009C5493" w:rsidRPr="007C68F1">
        <w:t xml:space="preserve"> scrutinize</w:t>
      </w:r>
      <w:r w:rsidR="00222A0B" w:rsidRPr="007C68F1">
        <w:t>d</w:t>
      </w:r>
      <w:r w:rsidR="009C5493" w:rsidRPr="007C68F1">
        <w:t xml:space="preserve"> the declarations for coercion and abuse.  Even if </w:t>
      </w:r>
      <w:r w:rsidR="00690BCA" w:rsidRPr="007C68F1">
        <w:t>the court</w:t>
      </w:r>
      <w:r w:rsidR="00F44309" w:rsidRPr="007C68F1">
        <w:t xml:space="preserve"> ruled that</w:t>
      </w:r>
      <w:r w:rsidR="00284954" w:rsidRPr="007C68F1">
        <w:t xml:space="preserve"> the</w:t>
      </w:r>
      <w:r w:rsidR="00F44309" w:rsidRPr="007C68F1">
        <w:t xml:space="preserve"> Code of Civil Procedure did not authorize the motion to strike, </w:t>
      </w:r>
      <w:r w:rsidR="00FD5A16" w:rsidRPr="007C68F1">
        <w:t>the record is clear that the court</w:t>
      </w:r>
      <w:r w:rsidR="008C22AA" w:rsidRPr="007C68F1">
        <w:t xml:space="preserve"> </w:t>
      </w:r>
      <w:r w:rsidR="00FD5A16" w:rsidRPr="007C68F1">
        <w:t xml:space="preserve">also </w:t>
      </w:r>
      <w:r w:rsidR="008C22AA" w:rsidRPr="007C68F1">
        <w:t xml:space="preserve">considered all of the evidence and </w:t>
      </w:r>
      <w:r w:rsidR="00CE5873" w:rsidRPr="007C68F1">
        <w:t xml:space="preserve">ruled on the merits of the motion.  </w:t>
      </w:r>
      <w:r w:rsidR="000B5B80" w:rsidRPr="007C68F1">
        <w:t>Im</w:t>
      </w:r>
      <w:r w:rsidR="00FD5A16" w:rsidRPr="007C68F1">
        <w:t>portantly, the court</w:t>
      </w:r>
      <w:r w:rsidR="00CE5873" w:rsidRPr="007C68F1">
        <w:t xml:space="preserve"> considered essentially the same evidence and arguments in connection with the motion to disqualify defense counsel.</w:t>
      </w:r>
      <w:r w:rsidR="00FD5A16" w:rsidRPr="007C68F1">
        <w:t xml:space="preserve">  The court did not question the procedural validity of the motion to disqualify and ruled purely on the merits</w:t>
      </w:r>
      <w:r w:rsidR="001328D7" w:rsidRPr="007C68F1">
        <w:t xml:space="preserve">.  Moreover, </w:t>
      </w:r>
      <w:r w:rsidR="00222A0B" w:rsidRPr="007C68F1">
        <w:t>the court here did no</w:t>
      </w:r>
      <w:r w:rsidR="007D0970" w:rsidRPr="007C68F1">
        <w:t xml:space="preserve">t misunderstand the scope </w:t>
      </w:r>
      <w:r w:rsidR="00090694" w:rsidRPr="007C68F1">
        <w:t xml:space="preserve">of </w:t>
      </w:r>
      <w:r w:rsidR="007D0970" w:rsidRPr="007C68F1">
        <w:t xml:space="preserve">its authority </w:t>
      </w:r>
      <w:r w:rsidR="00A845BB" w:rsidRPr="007C68F1">
        <w:t xml:space="preserve">in the manner at issue in </w:t>
      </w:r>
      <w:bookmarkStart w:id="287" w:name="dabmci_613c1256fbae463c88f524da21fa2c47"/>
      <w:r w:rsidR="00A845BB" w:rsidRPr="007C68F1">
        <w:rPr>
          <w:i/>
          <w:iCs/>
        </w:rPr>
        <w:t>Barriga</w:t>
      </w:r>
      <w:bookmarkEnd w:id="287"/>
      <w:r w:rsidR="007417CE" w:rsidRPr="007C68F1">
        <w:t>;</w:t>
      </w:r>
      <w:r w:rsidR="007D0970" w:rsidRPr="007C68F1">
        <w:t xml:space="preserve"> the declarants were </w:t>
      </w:r>
      <w:r w:rsidR="007417CE" w:rsidRPr="007C68F1">
        <w:t xml:space="preserve">all </w:t>
      </w:r>
      <w:r w:rsidR="007D0970" w:rsidRPr="007C68F1">
        <w:t xml:space="preserve">putative class </w:t>
      </w:r>
      <w:r w:rsidR="007D0970" w:rsidRPr="007C68F1">
        <w:lastRenderedPageBreak/>
        <w:t>members</w:t>
      </w:r>
      <w:r w:rsidR="007417CE" w:rsidRPr="007C68F1">
        <w:t>, so there was no question about whether the court had authority to strike declarations from nonmembers</w:t>
      </w:r>
      <w:r w:rsidR="00C316EA" w:rsidRPr="007C68F1">
        <w:t xml:space="preserve">.  Accordingly, there was no reason to believe that the court carefully scrutinized some declarations but not others.  </w:t>
      </w:r>
    </w:p>
    <w:p w14:paraId="0E29E83E" w14:textId="77777777" w:rsidR="005B6942" w:rsidRPr="007C68F1" w:rsidRDefault="00D16B2E" w:rsidP="007D1009">
      <w:pPr>
        <w:spacing w:line="480" w:lineRule="auto"/>
        <w:ind w:firstLine="720"/>
        <w:rPr>
          <w:shd w:val="clear" w:color="auto" w:fill="FFFFFF"/>
        </w:rPr>
      </w:pPr>
      <w:r w:rsidRPr="007C68F1">
        <w:t xml:space="preserve">For all of these reasons, we conclude that the court did not abuse </w:t>
      </w:r>
      <w:r w:rsidRPr="007C68F1">
        <w:t>its discretion by denying Woodworth’s motion to strike the putative class member</w:t>
      </w:r>
      <w:r w:rsidR="00A845BB" w:rsidRPr="007C68F1">
        <w:t>s’</w:t>
      </w:r>
      <w:r w:rsidRPr="007C68F1">
        <w:t xml:space="preserve"> declarations.</w:t>
      </w:r>
    </w:p>
    <w:p w14:paraId="78BF4027" w14:textId="77777777" w:rsidR="00961D74" w:rsidRPr="007C68F1" w:rsidRDefault="00D16B2E" w:rsidP="007D1009">
      <w:pPr>
        <w:keepNext/>
        <w:spacing w:line="480" w:lineRule="auto"/>
        <w:rPr>
          <w:i/>
          <w:iCs/>
          <w:bdr w:val="none" w:sz="0" w:space="0" w:color="auto" w:frame="1"/>
        </w:rPr>
      </w:pPr>
      <w:r w:rsidRPr="007C68F1">
        <w:rPr>
          <w:bdr w:val="none" w:sz="0" w:space="0" w:color="auto" w:frame="1"/>
        </w:rPr>
        <w:t xml:space="preserve">IV.  </w:t>
      </w:r>
      <w:r w:rsidRPr="007C68F1">
        <w:rPr>
          <w:i/>
          <w:iCs/>
          <w:bdr w:val="none" w:sz="0" w:space="0" w:color="auto" w:frame="1"/>
        </w:rPr>
        <w:t xml:space="preserve">Motion for Class Certification </w:t>
      </w:r>
    </w:p>
    <w:p w14:paraId="5C0D09C2" w14:textId="77777777" w:rsidR="00F466BC" w:rsidRPr="007C68F1" w:rsidRDefault="00D16B2E" w:rsidP="007D1009">
      <w:pPr>
        <w:spacing w:line="480" w:lineRule="auto"/>
        <w:rPr>
          <w:shd w:val="clear" w:color="auto" w:fill="FFFFFF"/>
        </w:rPr>
      </w:pPr>
      <w:r w:rsidRPr="007C68F1">
        <w:rPr>
          <w:shd w:val="clear" w:color="auto" w:fill="FFFFFF"/>
        </w:rPr>
        <w:tab/>
        <w:t xml:space="preserve">Woodworth </w:t>
      </w:r>
      <w:r w:rsidR="00174144" w:rsidRPr="007C68F1">
        <w:rPr>
          <w:shd w:val="clear" w:color="auto" w:fill="FFFFFF"/>
        </w:rPr>
        <w:t xml:space="preserve">contends that the court abused its discretion by denying her motion for class certification.  We </w:t>
      </w:r>
      <w:r w:rsidR="00FD5456" w:rsidRPr="007C68F1">
        <w:rPr>
          <w:shd w:val="clear" w:color="auto" w:fill="FFFFFF"/>
        </w:rPr>
        <w:t>agree</w:t>
      </w:r>
      <w:r w:rsidR="00F64167" w:rsidRPr="007C68F1">
        <w:rPr>
          <w:shd w:val="clear" w:color="auto" w:fill="FFFFFF"/>
        </w:rPr>
        <w:t xml:space="preserve"> that the court abused its discretion as to the class</w:t>
      </w:r>
      <w:r w:rsidR="00D346A3" w:rsidRPr="007C68F1">
        <w:rPr>
          <w:shd w:val="clear" w:color="auto" w:fill="FFFFFF"/>
        </w:rPr>
        <w:t xml:space="preserve"> proposed for her </w:t>
      </w:r>
      <w:r w:rsidR="00C46163" w:rsidRPr="007C68F1">
        <w:rPr>
          <w:shd w:val="clear" w:color="auto" w:fill="FFFFFF"/>
        </w:rPr>
        <w:t xml:space="preserve">stand-alone </w:t>
      </w:r>
      <w:r w:rsidR="00D346A3" w:rsidRPr="007C68F1">
        <w:rPr>
          <w:shd w:val="clear" w:color="auto" w:fill="FFFFFF"/>
        </w:rPr>
        <w:t>wage statement claim.  B</w:t>
      </w:r>
      <w:r w:rsidR="00F64167" w:rsidRPr="007C68F1">
        <w:rPr>
          <w:shd w:val="clear" w:color="auto" w:fill="FFFFFF"/>
        </w:rPr>
        <w:t>ut as t</w:t>
      </w:r>
      <w:r w:rsidR="00147925" w:rsidRPr="007C68F1">
        <w:rPr>
          <w:shd w:val="clear" w:color="auto" w:fill="FFFFFF"/>
        </w:rPr>
        <w:t>o the</w:t>
      </w:r>
      <w:r w:rsidR="00D047AF" w:rsidRPr="007C68F1">
        <w:rPr>
          <w:shd w:val="clear" w:color="auto" w:fill="FFFFFF"/>
        </w:rPr>
        <w:t xml:space="preserve"> </w:t>
      </w:r>
      <w:r w:rsidR="00F64167" w:rsidRPr="007C68F1">
        <w:rPr>
          <w:shd w:val="clear" w:color="auto" w:fill="FFFFFF"/>
        </w:rPr>
        <w:t>other classes</w:t>
      </w:r>
      <w:r w:rsidR="00147925" w:rsidRPr="007C68F1">
        <w:rPr>
          <w:shd w:val="clear" w:color="auto" w:fill="FFFFFF"/>
        </w:rPr>
        <w:t xml:space="preserve"> </w:t>
      </w:r>
      <w:r w:rsidR="00D346A3" w:rsidRPr="007C68F1">
        <w:rPr>
          <w:shd w:val="clear" w:color="auto" w:fill="FFFFFF"/>
        </w:rPr>
        <w:t>that she sought to certify</w:t>
      </w:r>
      <w:r w:rsidR="00F64167" w:rsidRPr="007C68F1">
        <w:rPr>
          <w:shd w:val="clear" w:color="auto" w:fill="FFFFFF"/>
        </w:rPr>
        <w:t>, the court did not</w:t>
      </w:r>
      <w:r w:rsidR="00FD5456" w:rsidRPr="007C68F1">
        <w:rPr>
          <w:shd w:val="clear" w:color="auto" w:fill="FFFFFF"/>
        </w:rPr>
        <w:t xml:space="preserve"> </w:t>
      </w:r>
      <w:r w:rsidR="00D346A3" w:rsidRPr="007C68F1">
        <w:rPr>
          <w:shd w:val="clear" w:color="auto" w:fill="FFFFFF"/>
        </w:rPr>
        <w:t>abuse its discretion</w:t>
      </w:r>
      <w:r w:rsidR="00FD5456" w:rsidRPr="007C68F1">
        <w:rPr>
          <w:shd w:val="clear" w:color="auto" w:fill="FFFFFF"/>
        </w:rPr>
        <w:t>.</w:t>
      </w:r>
    </w:p>
    <w:p w14:paraId="7B3C3F66" w14:textId="77777777" w:rsidR="00C56B30" w:rsidRPr="007C68F1" w:rsidRDefault="00D16B2E" w:rsidP="007D1009">
      <w:pPr>
        <w:keepNext/>
        <w:spacing w:line="480" w:lineRule="auto"/>
        <w:ind w:firstLine="720"/>
      </w:pPr>
      <w:r w:rsidRPr="007C68F1">
        <w:t xml:space="preserve">A.  </w:t>
      </w:r>
      <w:r w:rsidRPr="008A24E2">
        <w:rPr>
          <w:i/>
          <w:iCs/>
        </w:rPr>
        <w:t>Overview of Class Certification Principles</w:t>
      </w:r>
      <w:r w:rsidR="00D35796" w:rsidRPr="008A24E2">
        <w:rPr>
          <w:i/>
          <w:iCs/>
        </w:rPr>
        <w:t xml:space="preserve"> and Standard of Review</w:t>
      </w:r>
    </w:p>
    <w:p w14:paraId="515929C9" w14:textId="77777777" w:rsidR="00C56B30" w:rsidRPr="007C68F1" w:rsidRDefault="00D16B2E" w:rsidP="007D1009">
      <w:pPr>
        <w:spacing w:line="480" w:lineRule="auto"/>
        <w:ind w:firstLine="720"/>
        <w:rPr>
          <w:shd w:val="clear" w:color="auto" w:fill="FFFFFF"/>
        </w:rPr>
      </w:pPr>
      <w:bookmarkStart w:id="288" w:name="dabmq_126"/>
      <w:r w:rsidRPr="007C68F1">
        <w:rPr>
          <w:shd w:val="clear" w:color="auto" w:fill="FFFFFF"/>
        </w:rPr>
        <w:t>“[T]he class action proponent bears the burden of establishing the propriety of class certification.”</w:t>
      </w:r>
      <w:bookmarkEnd w:id="288"/>
      <w:r w:rsidRPr="007C68F1">
        <w:rPr>
          <w:shd w:val="clear" w:color="auto" w:fill="FFFFFF"/>
        </w:rPr>
        <w:t xml:space="preserve">  (</w:t>
      </w:r>
      <w:bookmarkStart w:id="289" w:name="dabmci_7b1130c8020b43769cd921a06fa494d9"/>
      <w:r w:rsidRPr="007C68F1">
        <w:rPr>
          <w:i/>
          <w:iCs/>
          <w:bdr w:val="none" w:sz="0" w:space="0" w:color="auto" w:frame="1"/>
        </w:rPr>
        <w:t>Washington Mutual Bank v. Superior Court</w:t>
      </w:r>
      <w:r w:rsidRPr="007C68F1">
        <w:t xml:space="preserve"> (2001) 24 Cal.4th 906, 922</w:t>
      </w:r>
      <w:bookmarkEnd w:id="289"/>
      <w:r w:rsidRPr="007C68F1">
        <w:t xml:space="preserve">.)  </w:t>
      </w:r>
      <w:r w:rsidRPr="007C68F1">
        <w:rPr>
          <w:shd w:val="clear" w:color="auto" w:fill="FFFFFF"/>
        </w:rPr>
        <w:t xml:space="preserve">The movant </w:t>
      </w:r>
      <w:bookmarkStart w:id="290" w:name="dabmq_127"/>
      <w:r w:rsidRPr="007C68F1">
        <w:rPr>
          <w:shd w:val="clear" w:color="auto" w:fill="FFFFFF"/>
        </w:rPr>
        <w:t xml:space="preserve">“must demonstrate the existence of an </w:t>
      </w:r>
      <w:r w:rsidRPr="007C68F1">
        <w:rPr>
          <w:shd w:val="clear" w:color="auto" w:fill="FFFFFF"/>
        </w:rPr>
        <w:t>ascertainable and sufficiently numerous class, a well-defined community of interest, and substantial benefits from certification that render proceeding as a class superior to the alternatives.”</w:t>
      </w:r>
      <w:bookmarkEnd w:id="290"/>
      <w:r w:rsidRPr="007C68F1">
        <w:rPr>
          <w:shd w:val="clear" w:color="auto" w:fill="FFFFFF"/>
        </w:rPr>
        <w:t xml:space="preserve">  (</w:t>
      </w:r>
      <w:bookmarkStart w:id="291" w:name="dabmci_7cb18903a59a4badafeebbc0b02094ae"/>
      <w:r w:rsidRPr="007C68F1">
        <w:rPr>
          <w:i/>
          <w:iCs/>
          <w:bdr w:val="none" w:sz="0" w:space="0" w:color="auto" w:frame="1"/>
        </w:rPr>
        <w:t>Brinker Restaurant Corp. v. Superior Court</w:t>
      </w:r>
      <w:r w:rsidRPr="007C68F1">
        <w:t xml:space="preserve"> (2012) 53 Cal.4th</w:t>
      </w:r>
      <w:r w:rsidRPr="007C68F1">
        <w:t xml:space="preserve"> 1004, 1021 (</w:t>
      </w:r>
      <w:r w:rsidRPr="007C68F1">
        <w:rPr>
          <w:i/>
          <w:iCs/>
        </w:rPr>
        <w:t>Brinker</w:t>
      </w:r>
      <w:r w:rsidRPr="007C68F1">
        <w:t>)</w:t>
      </w:r>
      <w:bookmarkEnd w:id="291"/>
      <w:r w:rsidRPr="007C68F1">
        <w:t xml:space="preserve">.)  </w:t>
      </w:r>
      <w:bookmarkStart w:id="292" w:name="dabmq_128"/>
      <w:r w:rsidRPr="007C68F1">
        <w:t>“‘</w:t>
      </w:r>
      <w:r w:rsidRPr="007C68F1">
        <w:rPr>
          <w:shd w:val="clear" w:color="auto" w:fill="FFFFFF"/>
        </w:rPr>
        <w:t>In turn, the “community of interest requirement embodies three factors:</w:t>
      </w:r>
      <w:r w:rsidR="00913E0C" w:rsidRPr="007C68F1">
        <w:rPr>
          <w:shd w:val="clear" w:color="auto" w:fill="FFFFFF"/>
        </w:rPr>
        <w:t xml:space="preserve"> </w:t>
      </w:r>
      <w:r w:rsidRPr="007C68F1">
        <w:rPr>
          <w:shd w:val="clear" w:color="auto" w:fill="FFFFFF"/>
        </w:rPr>
        <w:t xml:space="preserve"> (1)</w:t>
      </w:r>
      <w:r w:rsidR="00C60717">
        <w:rPr>
          <w:shd w:val="clear" w:color="auto" w:fill="FFFFFF"/>
        </w:rPr>
        <w:t xml:space="preserve"> </w:t>
      </w:r>
      <w:r w:rsidRPr="007C68F1">
        <w:rPr>
          <w:shd w:val="clear" w:color="auto" w:fill="FFFFFF"/>
        </w:rPr>
        <w:t>predominant common questions of law or fact; (2)</w:t>
      </w:r>
      <w:r w:rsidR="00C60717">
        <w:rPr>
          <w:shd w:val="clear" w:color="auto" w:fill="FFFFFF"/>
        </w:rPr>
        <w:t xml:space="preserve"> </w:t>
      </w:r>
      <w:r w:rsidRPr="007C68F1">
        <w:rPr>
          <w:shd w:val="clear" w:color="auto" w:fill="FFFFFF"/>
        </w:rPr>
        <w:t>class representatives with claims or defenses typical of the class; and (3)</w:t>
      </w:r>
      <w:r w:rsidR="00C60717">
        <w:rPr>
          <w:shd w:val="clear" w:color="auto" w:fill="FFFFFF"/>
        </w:rPr>
        <w:t xml:space="preserve"> </w:t>
      </w:r>
      <w:r w:rsidRPr="007C68F1">
        <w:rPr>
          <w:shd w:val="clear" w:color="auto" w:fill="FFFFFF"/>
        </w:rPr>
        <w:t xml:space="preserve">class </w:t>
      </w:r>
      <w:r w:rsidRPr="007C68F1">
        <w:rPr>
          <w:shd w:val="clear" w:color="auto" w:fill="FFFFFF"/>
        </w:rPr>
        <w:t>representatives who can adequately represent the class.”</w:t>
      </w:r>
      <w:bookmarkEnd w:id="292"/>
      <w:r w:rsidRPr="007C68F1">
        <w:rPr>
          <w:shd w:val="clear" w:color="auto" w:fill="FFFFFF"/>
        </w:rPr>
        <w:t>’”  (</w:t>
      </w:r>
      <w:bookmarkStart w:id="293" w:name="dabmci_8108e34cb217413f849c5b00c6cb5106"/>
      <w:r w:rsidRPr="007C68F1">
        <w:rPr>
          <w:i/>
          <w:iCs/>
          <w:shd w:val="clear" w:color="auto" w:fill="FFFFFF"/>
        </w:rPr>
        <w:t>Ibid.</w:t>
      </w:r>
      <w:bookmarkEnd w:id="293"/>
      <w:r w:rsidRPr="007C68F1">
        <w:rPr>
          <w:shd w:val="clear" w:color="auto" w:fill="FFFFFF"/>
        </w:rPr>
        <w:t>)</w:t>
      </w:r>
    </w:p>
    <w:p w14:paraId="64A4D610" w14:textId="77777777" w:rsidR="00C56B30" w:rsidRPr="007C68F1" w:rsidRDefault="00D16B2E" w:rsidP="007D1009">
      <w:pPr>
        <w:spacing w:line="480" w:lineRule="auto"/>
        <w:ind w:firstLine="720"/>
        <w:rPr>
          <w:iCs/>
          <w:bdr w:val="none" w:sz="0" w:space="0" w:color="auto" w:frame="1"/>
        </w:rPr>
      </w:pPr>
      <w:r w:rsidRPr="007C68F1">
        <w:rPr>
          <w:shd w:val="clear" w:color="auto" w:fill="FFFFFF"/>
        </w:rPr>
        <w:lastRenderedPageBreak/>
        <w:t xml:space="preserve">The predominance element </w:t>
      </w:r>
      <w:bookmarkStart w:id="294" w:name="dabmq_129"/>
      <w:r w:rsidRPr="007C68F1">
        <w:rPr>
          <w:shd w:val="clear" w:color="auto" w:fill="FFFFFF"/>
        </w:rPr>
        <w:t>“hinges</w:t>
      </w:r>
      <w:r w:rsidR="00C60717">
        <w:rPr>
          <w:shd w:val="clear" w:color="auto" w:fill="FFFFFF"/>
        </w:rPr>
        <w:t xml:space="preserve"> </w:t>
      </w:r>
      <w:r w:rsidRPr="007C68F1">
        <w:rPr>
          <w:shd w:val="clear" w:color="auto" w:fill="FFFFFF"/>
        </w:rPr>
        <w:t>on ‘whether</w:t>
      </w:r>
      <w:r w:rsidR="00C60717">
        <w:rPr>
          <w:shd w:val="clear" w:color="auto" w:fill="FFFFFF"/>
        </w:rPr>
        <w:t xml:space="preserve"> </w:t>
      </w:r>
      <w:r w:rsidRPr="007C68F1">
        <w:rPr>
          <w:shd w:val="clear" w:color="auto" w:fill="FFFFFF"/>
        </w:rPr>
        <w:t>the theory of recovery advanced by the proponents of certification is, as an analytical matter, likely to prove amenable to class treatment.’”</w:t>
      </w:r>
      <w:bookmarkEnd w:id="294"/>
      <w:r w:rsidRPr="007C68F1">
        <w:rPr>
          <w:shd w:val="clear" w:color="auto" w:fill="FFFFFF"/>
        </w:rPr>
        <w:t xml:space="preserve"> </w:t>
      </w:r>
      <w:r w:rsidRPr="007C68F1">
        <w:rPr>
          <w:shd w:val="clear" w:color="auto" w:fill="FFFFFF"/>
        </w:rPr>
        <w:t xml:space="preserve"> (</w:t>
      </w:r>
      <w:bookmarkStart w:id="295" w:name="dabmci_ef14f4fac8ee4978bc5b4793c2507b9a"/>
      <w:r w:rsidRPr="007C68F1">
        <w:rPr>
          <w:i/>
          <w:iCs/>
          <w:bdr w:val="none" w:sz="0" w:space="0" w:color="auto" w:frame="1"/>
        </w:rPr>
        <w:t>Brinker</w:t>
      </w:r>
      <w:r w:rsidRPr="007C68F1">
        <w:rPr>
          <w:bdr w:val="none" w:sz="0" w:space="0" w:color="auto" w:frame="1"/>
        </w:rPr>
        <w:t xml:space="preserve">, </w:t>
      </w:r>
      <w:r w:rsidRPr="007C68F1">
        <w:rPr>
          <w:i/>
          <w:iCs/>
          <w:bdr w:val="none" w:sz="0" w:space="0" w:color="auto" w:frame="1"/>
        </w:rPr>
        <w:t>supra</w:t>
      </w:r>
      <w:r w:rsidRPr="007C68F1">
        <w:rPr>
          <w:bdr w:val="none" w:sz="0" w:space="0" w:color="auto" w:frame="1"/>
        </w:rPr>
        <w:t xml:space="preserve">, </w:t>
      </w:r>
      <w:r w:rsidRPr="007C68F1">
        <w:t>53 Cal.4th at p. 1021</w:t>
      </w:r>
      <w:bookmarkEnd w:id="295"/>
      <w:r w:rsidRPr="007C68F1">
        <w:t xml:space="preserve">.)  </w:t>
      </w:r>
      <w:r w:rsidRPr="007C68F1">
        <w:rPr>
          <w:shd w:val="clear" w:color="auto" w:fill="FFFFFF"/>
        </w:rPr>
        <w:t xml:space="preserve">The </w:t>
      </w:r>
      <w:bookmarkStart w:id="296" w:name="dabmq_130"/>
      <w:r w:rsidRPr="007C68F1">
        <w:rPr>
          <w:shd w:val="clear" w:color="auto" w:fill="FFFFFF"/>
        </w:rPr>
        <w:t>“court must examine the plaintiff’s theory of recovery, assess the nature of the legal and factual disputes likely to be presented, and decide whether individual or common issues predominate.”</w:t>
      </w:r>
      <w:bookmarkEnd w:id="296"/>
      <w:r w:rsidRPr="007C68F1">
        <w:rPr>
          <w:shd w:val="clear" w:color="auto" w:fill="FFFFFF"/>
        </w:rPr>
        <w:t xml:space="preserve">  (</w:t>
      </w:r>
      <w:bookmarkStart w:id="297" w:name="dabmci_daa6e30c9cae490b8a12895af8dd035d"/>
      <w:r w:rsidRPr="007C68F1">
        <w:rPr>
          <w:i/>
          <w:iCs/>
          <w:bdr w:val="none" w:sz="0" w:space="0" w:color="auto" w:frame="1"/>
        </w:rPr>
        <w:t>Id.</w:t>
      </w:r>
      <w:r w:rsidRPr="007C68F1">
        <w:rPr>
          <w:bdr w:val="none" w:sz="0" w:space="0" w:color="auto" w:frame="1"/>
        </w:rPr>
        <w:t xml:space="preserve"> at p</w:t>
      </w:r>
      <w:r w:rsidR="005D44C9" w:rsidRPr="007C68F1">
        <w:rPr>
          <w:bdr w:val="none" w:sz="0" w:space="0" w:color="auto" w:frame="1"/>
        </w:rPr>
        <w:t>. </w:t>
      </w:r>
      <w:r w:rsidRPr="007C68F1">
        <w:rPr>
          <w:bdr w:val="none" w:sz="0" w:space="0" w:color="auto" w:frame="1"/>
        </w:rPr>
        <w:t>1025</w:t>
      </w:r>
      <w:bookmarkEnd w:id="297"/>
      <w:r w:rsidRPr="007C68F1">
        <w:rPr>
          <w:bdr w:val="none" w:sz="0" w:space="0" w:color="auto" w:frame="1"/>
        </w:rPr>
        <w:t>.</w:t>
      </w:r>
      <w:r w:rsidRPr="007C68F1">
        <w:t xml:space="preserve">)  “The ‘ultimate question’” is </w:t>
      </w:r>
      <w:bookmarkStart w:id="298" w:name="dabmq_131"/>
      <w:r w:rsidRPr="007C68F1">
        <w:t>“whether ‘</w:t>
      </w:r>
      <w:r w:rsidRPr="007C68F1">
        <w:rPr>
          <w:shd w:val="clear" w:color="auto" w:fill="FFFFFF"/>
        </w:rPr>
        <w:t xml:space="preserve">the issues which may be jointly tried, when compared with those requiring separate adjudication, are so numerous or substantial that the maintenance of a class action would be advantageous to the judicial process </w:t>
      </w:r>
      <w:r w:rsidRPr="007C68F1">
        <w:rPr>
          <w:shd w:val="clear" w:color="auto" w:fill="FFFFFF"/>
        </w:rPr>
        <w:t>and to the litigants.’”</w:t>
      </w:r>
      <w:bookmarkEnd w:id="298"/>
      <w:r w:rsidRPr="007C68F1">
        <w:rPr>
          <w:shd w:val="clear" w:color="auto" w:fill="FFFFFF"/>
        </w:rPr>
        <w:t xml:space="preserve">  (</w:t>
      </w:r>
      <w:bookmarkStart w:id="299" w:name="dabmci_ca04649727d947ba8a41729bcb71f70a"/>
      <w:r w:rsidRPr="007C68F1">
        <w:rPr>
          <w:i/>
          <w:iCs/>
          <w:bdr w:val="none" w:sz="0" w:space="0" w:color="auto" w:frame="1"/>
        </w:rPr>
        <w:t>Id</w:t>
      </w:r>
      <w:r w:rsidRPr="007C68F1">
        <w:rPr>
          <w:iCs/>
          <w:bdr w:val="none" w:sz="0" w:space="0" w:color="auto" w:frame="1"/>
        </w:rPr>
        <w:t>.</w:t>
      </w:r>
      <w:r w:rsidRPr="007C68F1">
        <w:rPr>
          <w:i/>
          <w:bdr w:val="none" w:sz="0" w:space="0" w:color="auto" w:frame="1"/>
        </w:rPr>
        <w:t xml:space="preserve"> </w:t>
      </w:r>
      <w:r w:rsidRPr="007C68F1">
        <w:rPr>
          <w:iCs/>
          <w:bdr w:val="none" w:sz="0" w:space="0" w:color="auto" w:frame="1"/>
        </w:rPr>
        <w:t>at p. 1021</w:t>
      </w:r>
      <w:bookmarkEnd w:id="299"/>
      <w:r w:rsidRPr="007C68F1">
        <w:rPr>
          <w:iCs/>
          <w:bdr w:val="none" w:sz="0" w:space="0" w:color="auto" w:frame="1"/>
        </w:rPr>
        <w:t xml:space="preserve">.)  </w:t>
      </w:r>
    </w:p>
    <w:p w14:paraId="22B5200C" w14:textId="77777777" w:rsidR="00932195" w:rsidRPr="007C68F1" w:rsidRDefault="00D16B2E" w:rsidP="007D1009">
      <w:pPr>
        <w:spacing w:line="480" w:lineRule="auto"/>
        <w:ind w:firstLine="720"/>
      </w:pPr>
      <w:bookmarkStart w:id="300" w:name="dabmq_132"/>
      <w:r w:rsidRPr="007C68F1">
        <w:rPr>
          <w:shd w:val="clear" w:color="auto" w:fill="FFFFFF"/>
        </w:rPr>
        <w:t>“[W]hether common or individual questions predominate will often depend upon resolution of issues closely tied to the merits.</w:t>
      </w:r>
      <w:r w:rsidRPr="007C68F1">
        <w:rPr>
          <w:noProof/>
          <w:bdr w:val="none" w:sz="0" w:space="0" w:color="auto" w:frame="1"/>
          <w:shd w:val="clear" w:color="auto" w:fill="FFFFFF"/>
        </w:rPr>
        <w:t>”</w:t>
      </w:r>
      <w:bookmarkEnd w:id="300"/>
      <w:r w:rsidRPr="007C68F1">
        <w:rPr>
          <w:noProof/>
          <w:bdr w:val="none" w:sz="0" w:space="0" w:color="auto" w:frame="1"/>
          <w:shd w:val="clear" w:color="auto" w:fill="FFFFFF"/>
        </w:rPr>
        <w:t xml:space="preserve">  (</w:t>
      </w:r>
      <w:bookmarkStart w:id="301" w:name="dabmci_9a72ed22b38840c1b203a17a9d94a46c"/>
      <w:r w:rsidRPr="007C68F1">
        <w:rPr>
          <w:i/>
          <w:iCs/>
          <w:noProof/>
          <w:bdr w:val="none" w:sz="0" w:space="0" w:color="auto" w:frame="1"/>
          <w:shd w:val="clear" w:color="auto" w:fill="FFFFFF"/>
        </w:rPr>
        <w:t>Brinker</w:t>
      </w:r>
      <w:r w:rsidRPr="007C68F1">
        <w:rPr>
          <w:noProof/>
          <w:bdr w:val="none" w:sz="0" w:space="0" w:color="auto" w:frame="1"/>
          <w:shd w:val="clear" w:color="auto" w:fill="FFFFFF"/>
        </w:rPr>
        <w:t xml:space="preserve">, </w:t>
      </w:r>
      <w:r w:rsidRPr="007C68F1">
        <w:rPr>
          <w:i/>
          <w:iCs/>
          <w:noProof/>
          <w:bdr w:val="none" w:sz="0" w:space="0" w:color="auto" w:frame="1"/>
          <w:shd w:val="clear" w:color="auto" w:fill="FFFFFF"/>
        </w:rPr>
        <w:t>supra</w:t>
      </w:r>
      <w:r w:rsidRPr="007C68F1">
        <w:rPr>
          <w:noProof/>
          <w:bdr w:val="none" w:sz="0" w:space="0" w:color="auto" w:frame="1"/>
          <w:shd w:val="clear" w:color="auto" w:fill="FFFFFF"/>
        </w:rPr>
        <w:t>, 53 Cal.4th at p. 1024</w:t>
      </w:r>
      <w:bookmarkEnd w:id="301"/>
      <w:r w:rsidRPr="007C68F1">
        <w:rPr>
          <w:noProof/>
          <w:bdr w:val="none" w:sz="0" w:space="0" w:color="auto" w:frame="1"/>
          <w:shd w:val="clear" w:color="auto" w:fill="FFFFFF"/>
        </w:rPr>
        <w:t xml:space="preserve">.) </w:t>
      </w:r>
      <w:r w:rsidRPr="007C68F1">
        <w:rPr>
          <w:shd w:val="clear" w:color="auto" w:fill="FFFFFF"/>
        </w:rPr>
        <w:t xml:space="preserve"> To assess predominance, the trial court must examine the law applicable to the plaintiff’s causes of action and </w:t>
      </w:r>
      <w:bookmarkStart w:id="302" w:name="dabmq_133"/>
      <w:r w:rsidRPr="007C68F1">
        <w:rPr>
          <w:shd w:val="clear" w:color="auto" w:fill="FFFFFF"/>
        </w:rPr>
        <w:t>“determine whether the elements necessary to establish liability are susceptible of common proof or, if not, whether there are ways to manage e</w:t>
      </w:r>
      <w:r w:rsidRPr="007C68F1">
        <w:rPr>
          <w:shd w:val="clear" w:color="auto" w:fill="FFFFFF"/>
        </w:rPr>
        <w:t>ffectively proof of any elements that may require individualized evidence.”</w:t>
      </w:r>
      <w:bookmarkEnd w:id="302"/>
      <w:r w:rsidRPr="007C68F1">
        <w:rPr>
          <w:shd w:val="clear" w:color="auto" w:fill="FFFFFF"/>
        </w:rPr>
        <w:t xml:space="preserve">  (</w:t>
      </w:r>
      <w:bookmarkStart w:id="303" w:name="dabmci_497396dc76e642d6a63411c65ec0b314"/>
      <w:r w:rsidRPr="007C68F1">
        <w:rPr>
          <w:i/>
          <w:iCs/>
          <w:bdr w:val="none" w:sz="0" w:space="0" w:color="auto" w:frame="1"/>
        </w:rPr>
        <w:t>Ibid</w:t>
      </w:r>
      <w:r w:rsidRPr="007C68F1">
        <w:t>.</w:t>
      </w:r>
      <w:bookmarkEnd w:id="303"/>
      <w:r w:rsidRPr="007C68F1">
        <w:t xml:space="preserve">)  In addition, the court must consider the defendant’s </w:t>
      </w:r>
      <w:r w:rsidRPr="007C68F1">
        <w:rPr>
          <w:shd w:val="clear" w:color="auto" w:fill="FFFFFF"/>
        </w:rPr>
        <w:t xml:space="preserve">affirmative defenses, because the individualized issues presented by </w:t>
      </w:r>
      <w:r w:rsidR="00A54E79" w:rsidRPr="007C68F1">
        <w:rPr>
          <w:shd w:val="clear" w:color="auto" w:fill="FFFFFF"/>
        </w:rPr>
        <w:t xml:space="preserve">those </w:t>
      </w:r>
      <w:r w:rsidRPr="007C68F1">
        <w:rPr>
          <w:shd w:val="clear" w:color="auto" w:fill="FFFFFF"/>
        </w:rPr>
        <w:t>defense</w:t>
      </w:r>
      <w:r w:rsidR="00A54E79" w:rsidRPr="007C68F1">
        <w:rPr>
          <w:shd w:val="clear" w:color="auto" w:fill="FFFFFF"/>
        </w:rPr>
        <w:t>s</w:t>
      </w:r>
      <w:r w:rsidRPr="007C68F1">
        <w:rPr>
          <w:shd w:val="clear" w:color="auto" w:fill="FFFFFF"/>
        </w:rPr>
        <w:t xml:space="preserve"> </w:t>
      </w:r>
      <w:r w:rsidR="004F7D5F" w:rsidRPr="007C68F1">
        <w:rPr>
          <w:shd w:val="clear" w:color="auto" w:fill="FFFFFF"/>
        </w:rPr>
        <w:t xml:space="preserve">may </w:t>
      </w:r>
      <w:r w:rsidRPr="007C68F1">
        <w:rPr>
          <w:shd w:val="clear" w:color="auto" w:fill="FFFFFF"/>
        </w:rPr>
        <w:t>predominate over common issue</w:t>
      </w:r>
      <w:r w:rsidRPr="007C68F1">
        <w:rPr>
          <w:shd w:val="clear" w:color="auto" w:fill="FFFFFF"/>
        </w:rPr>
        <w:t>s.  (</w:t>
      </w:r>
      <w:bookmarkStart w:id="304" w:name="dabmci_f98e6581e598470c853bcce07bb114ae"/>
      <w:r w:rsidRPr="007C68F1">
        <w:rPr>
          <w:i/>
          <w:iCs/>
          <w:bdr w:val="none" w:sz="0" w:space="0" w:color="auto" w:frame="1"/>
        </w:rPr>
        <w:t>Walsh v. IKON Office Solutions, Inc.</w:t>
      </w:r>
      <w:r w:rsidR="004F7D5F" w:rsidRPr="007C68F1">
        <w:t xml:space="preserve"> </w:t>
      </w:r>
      <w:r w:rsidRPr="007C68F1">
        <w:t>(2007) 148 Cal.App.4th 1440, 1450</w:t>
      </w:r>
      <w:bookmarkEnd w:id="304"/>
      <w:r w:rsidRPr="007C68F1">
        <w:t xml:space="preserve">.)  </w:t>
      </w:r>
    </w:p>
    <w:p w14:paraId="199B25FB" w14:textId="77777777" w:rsidR="00D75696" w:rsidRPr="007C68F1" w:rsidRDefault="00D16B2E" w:rsidP="007D1009">
      <w:pPr>
        <w:spacing w:line="480" w:lineRule="auto"/>
        <w:ind w:firstLine="720"/>
      </w:pPr>
      <w:r w:rsidRPr="007C68F1">
        <w:rPr>
          <w:shd w:val="clear" w:color="auto" w:fill="FFFFFF"/>
        </w:rPr>
        <w:t>Ev</w:t>
      </w:r>
      <w:r w:rsidR="00C56B30" w:rsidRPr="007C68F1">
        <w:rPr>
          <w:shd w:val="clear" w:color="auto" w:fill="FFFFFF"/>
        </w:rPr>
        <w:t xml:space="preserve">en if common questions predominate, </w:t>
      </w:r>
      <w:bookmarkStart w:id="305" w:name="dabmq_134"/>
      <w:r w:rsidR="00C56B30" w:rsidRPr="007C68F1">
        <w:rPr>
          <w:shd w:val="clear" w:color="auto" w:fill="FFFFFF"/>
        </w:rPr>
        <w:t>“[i]n considering whether a class action is a superior device for resolving a controversy,”</w:t>
      </w:r>
      <w:bookmarkEnd w:id="305"/>
      <w:r w:rsidR="00C56B30" w:rsidRPr="007C68F1">
        <w:rPr>
          <w:shd w:val="clear" w:color="auto" w:fill="FFFFFF"/>
        </w:rPr>
        <w:t xml:space="preserve"> the court </w:t>
      </w:r>
      <w:bookmarkStart w:id="306" w:name="dabmq_135"/>
      <w:r w:rsidR="00C56B30" w:rsidRPr="007C68F1">
        <w:rPr>
          <w:shd w:val="clear" w:color="auto" w:fill="FFFFFF"/>
        </w:rPr>
        <w:t>“must pay careful attention”</w:t>
      </w:r>
      <w:bookmarkEnd w:id="306"/>
      <w:r w:rsidR="00C56B30" w:rsidRPr="007C68F1">
        <w:rPr>
          <w:shd w:val="clear" w:color="auto" w:fill="FFFFFF"/>
        </w:rPr>
        <w:t xml:space="preserve"> to the manageability of any individual issues, including those arising from affirmative defenses.  (</w:t>
      </w:r>
      <w:bookmarkStart w:id="307" w:name="dabmci_d2b0cbe69f5242fc855cef7512a6be18"/>
      <w:r w:rsidR="00C56B30" w:rsidRPr="007C68F1">
        <w:rPr>
          <w:i/>
          <w:iCs/>
          <w:bdr w:val="none" w:sz="0" w:space="0" w:color="auto" w:frame="1"/>
        </w:rPr>
        <w:t>Duran v. U.S. Bank National Assn.</w:t>
      </w:r>
      <w:r w:rsidR="00C56B30" w:rsidRPr="007C68F1">
        <w:t xml:space="preserve"> (2014) 59 Cal.4th 1, 29 (</w:t>
      </w:r>
      <w:r w:rsidR="00C56B30" w:rsidRPr="007C68F1">
        <w:rPr>
          <w:i/>
          <w:iCs/>
        </w:rPr>
        <w:t>Duran</w:t>
      </w:r>
      <w:r w:rsidR="00C56B30" w:rsidRPr="007C68F1">
        <w:t>)</w:t>
      </w:r>
      <w:bookmarkEnd w:id="307"/>
      <w:r w:rsidR="00C56B30" w:rsidRPr="007C68F1">
        <w:t xml:space="preserve">.)  </w:t>
      </w:r>
      <w:r w:rsidR="00C56B30" w:rsidRPr="007C68F1">
        <w:rPr>
          <w:shd w:val="clear" w:color="auto" w:fill="FFFFFF"/>
        </w:rPr>
        <w:t xml:space="preserve">Class </w:t>
      </w:r>
      <w:r w:rsidR="00C56B30" w:rsidRPr="007C68F1">
        <w:rPr>
          <w:shd w:val="clear" w:color="auto" w:fill="FFFFFF"/>
        </w:rPr>
        <w:lastRenderedPageBreak/>
        <w:t>certification is appropriate only if the plaintiff’s trial plan shows how the individual issues can be managed fairly and efficiently.  (</w:t>
      </w:r>
      <w:bookmarkStart w:id="308" w:name="dabmci_00fe239c38794c67802e1c31ded78d08"/>
      <w:r w:rsidR="00C56B30" w:rsidRPr="007C68F1">
        <w:rPr>
          <w:i/>
          <w:iCs/>
          <w:shd w:val="clear" w:color="auto" w:fill="FFFFFF"/>
        </w:rPr>
        <w:t>Id.</w:t>
      </w:r>
      <w:r w:rsidR="00C56B30" w:rsidRPr="007C68F1">
        <w:rPr>
          <w:shd w:val="clear" w:color="auto" w:fill="FFFFFF"/>
        </w:rPr>
        <w:t xml:space="preserve"> at pp. 27, 29</w:t>
      </w:r>
      <w:bookmarkEnd w:id="308"/>
      <w:r w:rsidR="00C56B30" w:rsidRPr="007C68F1">
        <w:rPr>
          <w:shd w:val="clear" w:color="auto" w:fill="FFFFFF"/>
        </w:rPr>
        <w:t xml:space="preserve">.) </w:t>
      </w:r>
      <w:r w:rsidRPr="007C68F1">
        <w:rPr>
          <w:shd w:val="clear" w:color="auto" w:fill="FFFFFF"/>
        </w:rPr>
        <w:t xml:space="preserve"> </w:t>
      </w:r>
      <w:bookmarkStart w:id="309" w:name="dabmq_136"/>
      <w:r w:rsidRPr="007C68F1">
        <w:rPr>
          <w:shd w:val="clear" w:color="auto" w:fill="FFFFFF"/>
        </w:rPr>
        <w:t>“[A]ny procedure</w:t>
      </w:r>
      <w:r w:rsidR="005D44C9" w:rsidRPr="007C68F1">
        <w:rPr>
          <w:shd w:val="clear" w:color="auto" w:fill="FFFFFF"/>
        </w:rPr>
        <w:t xml:space="preserve"> </w:t>
      </w:r>
      <w:r w:rsidRPr="007C68F1">
        <w:rPr>
          <w:shd w:val="clear" w:color="auto" w:fill="FFFFFF"/>
        </w:rPr>
        <w:t>to determine the defendant’s liability to the class must still permit the defendant to introduce its own evidence, both to challenge the plaintiffs’ showing and to reduc</w:t>
      </w:r>
      <w:r w:rsidRPr="007C68F1">
        <w:rPr>
          <w:shd w:val="clear" w:color="auto" w:fill="FFFFFF"/>
        </w:rPr>
        <w:t>e overall damages.”</w:t>
      </w:r>
      <w:bookmarkEnd w:id="309"/>
      <w:r w:rsidRPr="007C68F1">
        <w:rPr>
          <w:shd w:val="clear" w:color="auto" w:fill="FFFFFF"/>
        </w:rPr>
        <w:t xml:space="preserve">  (</w:t>
      </w:r>
      <w:bookmarkStart w:id="310" w:name="dabmci_e2235926eb0a457ca6cb1505845336b3"/>
      <w:r w:rsidRPr="007C68F1">
        <w:rPr>
          <w:i/>
          <w:iCs/>
          <w:shd w:val="clear" w:color="auto" w:fill="FFFFFF"/>
        </w:rPr>
        <w:t>Id.</w:t>
      </w:r>
      <w:r w:rsidRPr="007C68F1">
        <w:rPr>
          <w:shd w:val="clear" w:color="auto" w:fill="FFFFFF"/>
        </w:rPr>
        <w:t xml:space="preserve"> at p.</w:t>
      </w:r>
      <w:r w:rsidRPr="007C68F1">
        <w:t xml:space="preserve"> 38</w:t>
      </w:r>
      <w:bookmarkEnd w:id="310"/>
      <w:r w:rsidRPr="007C68F1">
        <w:t xml:space="preserve">.)  </w:t>
      </w:r>
      <w:r w:rsidR="00B01D8F" w:rsidRPr="007C68F1">
        <w:t xml:space="preserve">The court cannot abridge the defendant’s presentation of a defense </w:t>
      </w:r>
      <w:bookmarkStart w:id="311" w:name="dabmq_137"/>
      <w:r w:rsidR="00B01D8F" w:rsidRPr="007C68F1">
        <w:t>“simply because that defense [is] cumbersome to litigate in a class action.”</w:t>
      </w:r>
      <w:bookmarkEnd w:id="311"/>
      <w:r w:rsidR="00B01D8F" w:rsidRPr="007C68F1">
        <w:t xml:space="preserve">  (</w:t>
      </w:r>
      <w:bookmarkStart w:id="312" w:name="dabmci_0756b6bd74ae4761ba1dee0725bf265a"/>
      <w:r w:rsidR="00B01D8F" w:rsidRPr="007C68F1">
        <w:rPr>
          <w:i/>
          <w:iCs/>
        </w:rPr>
        <w:t>Id.</w:t>
      </w:r>
      <w:r w:rsidR="005D44C9" w:rsidRPr="007C68F1">
        <w:t> </w:t>
      </w:r>
      <w:r w:rsidR="00B01D8F" w:rsidRPr="007C68F1">
        <w:t>at p. 35</w:t>
      </w:r>
      <w:bookmarkEnd w:id="312"/>
      <w:r w:rsidR="00B01D8F" w:rsidRPr="007C68F1">
        <w:t xml:space="preserve">.) </w:t>
      </w:r>
    </w:p>
    <w:p w14:paraId="700CDBCF" w14:textId="77777777" w:rsidR="00FC6001" w:rsidRPr="007C68F1" w:rsidRDefault="00D16B2E" w:rsidP="007D1009">
      <w:pPr>
        <w:spacing w:line="480" w:lineRule="auto"/>
        <w:ind w:firstLine="720"/>
        <w:rPr>
          <w:shd w:val="clear" w:color="auto" w:fill="FFFFFF"/>
        </w:rPr>
      </w:pPr>
      <w:r w:rsidRPr="007C68F1">
        <w:rPr>
          <w:shd w:val="clear" w:color="auto" w:fill="FFFFFF"/>
        </w:rPr>
        <w:t xml:space="preserve">Trial courts have broad discretion to grant or deny certification because they are </w:t>
      </w:r>
      <w:bookmarkStart w:id="313" w:name="dabmq_138"/>
      <w:r w:rsidRPr="007C68F1">
        <w:rPr>
          <w:shd w:val="clear" w:color="auto" w:fill="FFFFFF"/>
        </w:rPr>
        <w:t>“ideally situated to evaluate the efficiencies and practicalities of permitting group action.”</w:t>
      </w:r>
      <w:bookmarkEnd w:id="313"/>
      <w:r w:rsidRPr="007C68F1">
        <w:rPr>
          <w:shd w:val="clear" w:color="auto" w:fill="FFFFFF"/>
        </w:rPr>
        <w:t xml:space="preserve">  (</w:t>
      </w:r>
      <w:bookmarkStart w:id="314" w:name="dabmci_1fc58e755e27416589111acbe45cc458"/>
      <w:r w:rsidRPr="007C68F1">
        <w:rPr>
          <w:i/>
          <w:iCs/>
          <w:bdr w:val="none" w:sz="0" w:space="0" w:color="auto" w:frame="1"/>
        </w:rPr>
        <w:t>Linder v. Thrifty Oil Co.</w:t>
      </w:r>
      <w:r w:rsidRPr="007C68F1">
        <w:t xml:space="preserve"> (2000) 23 Cal.4th 429, 435 (</w:t>
      </w:r>
      <w:r w:rsidRPr="007C68F1">
        <w:rPr>
          <w:i/>
          <w:iCs/>
        </w:rPr>
        <w:t>Linder</w:t>
      </w:r>
      <w:r w:rsidRPr="007C68F1">
        <w:t>)</w:t>
      </w:r>
      <w:bookmarkEnd w:id="314"/>
      <w:r w:rsidRPr="007C68F1">
        <w:t xml:space="preserve">.)  Our review </w:t>
      </w:r>
      <w:r w:rsidRPr="007C68F1">
        <w:t>is “narrowly circumscribed.”  (</w:t>
      </w:r>
      <w:bookmarkStart w:id="315" w:name="dabmci_c11daa77f2274a48b380f7d4db38257c"/>
      <w:r w:rsidRPr="007C68F1">
        <w:rPr>
          <w:i/>
          <w:iCs/>
        </w:rPr>
        <w:t>Brinker</w:t>
      </w:r>
      <w:r w:rsidRPr="007C68F1">
        <w:t xml:space="preserve">, </w:t>
      </w:r>
      <w:r w:rsidRPr="007C68F1">
        <w:rPr>
          <w:i/>
          <w:iCs/>
        </w:rPr>
        <w:t>supra</w:t>
      </w:r>
      <w:r w:rsidRPr="007C68F1">
        <w:t>, 53 Cal.4th at p. 1022</w:t>
      </w:r>
      <w:bookmarkEnd w:id="315"/>
      <w:r w:rsidRPr="007C68F1">
        <w:t xml:space="preserve">.)  </w:t>
      </w:r>
      <w:bookmarkStart w:id="316" w:name="dabmq_139"/>
      <w:r w:rsidRPr="007C68F1">
        <w:t>“</w:t>
      </w:r>
      <w:r w:rsidR="005D44C9" w:rsidRPr="007C68F1">
        <w:t>[</w:t>
      </w:r>
      <w:r w:rsidRPr="007C68F1">
        <w:rPr>
          <w:shd w:val="clear" w:color="auto" w:fill="FFFFFF"/>
        </w:rPr>
        <w:t>W</w:t>
      </w:r>
      <w:r w:rsidR="005D44C9" w:rsidRPr="007C68F1">
        <w:rPr>
          <w:shd w:val="clear" w:color="auto" w:fill="FFFFFF"/>
        </w:rPr>
        <w:t>]</w:t>
      </w:r>
      <w:r w:rsidRPr="007C68F1">
        <w:rPr>
          <w:shd w:val="clear" w:color="auto" w:fill="FFFFFF"/>
        </w:rPr>
        <w:t>e must examine the trial court’s reasons for denying class certification.  ‘Any valid pertinent reason stated will be sufficient to uphold the order.’”</w:t>
      </w:r>
      <w:bookmarkEnd w:id="316"/>
      <w:r w:rsidRPr="007C68F1">
        <w:rPr>
          <w:shd w:val="clear" w:color="auto" w:fill="FFFFFF"/>
        </w:rPr>
        <w:t xml:space="preserve">  (</w:t>
      </w:r>
      <w:bookmarkStart w:id="317" w:name="dabmci_653ec062537e421da6c6edd4b3f2ca91"/>
      <w:r w:rsidRPr="007C68F1">
        <w:rPr>
          <w:i/>
          <w:iCs/>
          <w:bdr w:val="none" w:sz="0" w:space="0" w:color="auto" w:frame="1"/>
        </w:rPr>
        <w:t>Linder</w:t>
      </w:r>
      <w:r w:rsidRPr="007C68F1">
        <w:rPr>
          <w:bdr w:val="none" w:sz="0" w:space="0" w:color="auto" w:frame="1"/>
        </w:rPr>
        <w:t xml:space="preserve">, </w:t>
      </w:r>
      <w:r w:rsidRPr="007C68F1">
        <w:rPr>
          <w:i/>
          <w:iCs/>
          <w:bdr w:val="none" w:sz="0" w:space="0" w:color="auto" w:frame="1"/>
        </w:rPr>
        <w:t>supra</w:t>
      </w:r>
      <w:r w:rsidRPr="007C68F1">
        <w:rPr>
          <w:bdr w:val="none" w:sz="0" w:space="0" w:color="auto" w:frame="1"/>
        </w:rPr>
        <w:t xml:space="preserve">, </w:t>
      </w:r>
      <w:r w:rsidRPr="007C68F1">
        <w:t>at p. 436</w:t>
      </w:r>
      <w:bookmarkEnd w:id="317"/>
      <w:r w:rsidRPr="007C68F1">
        <w:rPr>
          <w:shd w:val="clear" w:color="auto" w:fill="FFFFFF"/>
        </w:rPr>
        <w:t>.)</w:t>
      </w:r>
      <w:r w:rsidRPr="007C68F1">
        <w:rPr>
          <w:shd w:val="clear" w:color="auto" w:fill="FFFFFF"/>
        </w:rPr>
        <w:t xml:space="preserve">  But if the court’s stated reasons </w:t>
      </w:r>
      <w:bookmarkStart w:id="318" w:name="dabmq_140"/>
      <w:r w:rsidRPr="007C68F1">
        <w:rPr>
          <w:shd w:val="clear" w:color="auto" w:fill="FFFFFF"/>
        </w:rPr>
        <w:t>“are erroneous, we must reverse, whether or not other reasons not relied upon might have supported the ruling.”</w:t>
      </w:r>
      <w:bookmarkEnd w:id="318"/>
      <w:r w:rsidRPr="007C68F1">
        <w:rPr>
          <w:shd w:val="clear" w:color="auto" w:fill="FFFFFF"/>
        </w:rPr>
        <w:t xml:space="preserve">  (</w:t>
      </w:r>
      <w:bookmarkStart w:id="319" w:name="dabmci_21499a1b6dd9451b9f4054491df918c1"/>
      <w:r w:rsidRPr="007C68F1">
        <w:rPr>
          <w:i/>
          <w:iCs/>
          <w:bdr w:val="none" w:sz="0" w:space="0" w:color="auto" w:frame="1"/>
        </w:rPr>
        <w:t xml:space="preserve">Ayala v. Antelope Valley Newspapers, Inc. </w:t>
      </w:r>
      <w:r w:rsidRPr="007C68F1">
        <w:t>(2014) 59 Cal.4th 522, 530</w:t>
      </w:r>
      <w:r w:rsidR="009F4408" w:rsidRPr="007C68F1">
        <w:t xml:space="preserve"> (</w:t>
      </w:r>
      <w:r w:rsidR="009F4408" w:rsidRPr="007C68F1">
        <w:rPr>
          <w:i/>
          <w:iCs/>
        </w:rPr>
        <w:t>Ayala</w:t>
      </w:r>
      <w:r w:rsidR="009F4408" w:rsidRPr="007C68F1">
        <w:t>)</w:t>
      </w:r>
      <w:bookmarkEnd w:id="319"/>
      <w:r w:rsidRPr="007C68F1">
        <w:t xml:space="preserve">.)  </w:t>
      </w:r>
    </w:p>
    <w:p w14:paraId="385974EF" w14:textId="77777777" w:rsidR="00C56B30" w:rsidRPr="007C68F1" w:rsidRDefault="00D16B2E" w:rsidP="007D1009">
      <w:pPr>
        <w:spacing w:line="480" w:lineRule="auto"/>
        <w:ind w:firstLine="720"/>
        <w:rPr>
          <w:shd w:val="clear" w:color="auto" w:fill="FFFFFF"/>
        </w:rPr>
      </w:pPr>
      <w:r w:rsidRPr="007C68F1">
        <w:t>We review the court’s ord</w:t>
      </w:r>
      <w:r w:rsidRPr="007C68F1">
        <w:t xml:space="preserve">er granting or denying certification </w:t>
      </w:r>
      <w:bookmarkStart w:id="320" w:name="dabmq_141"/>
      <w:r w:rsidRPr="007C68F1">
        <w:t>“‘for a manifest abuse of discretion.’”</w:t>
      </w:r>
      <w:bookmarkEnd w:id="320"/>
      <w:r w:rsidRPr="007C68F1">
        <w:t xml:space="preserve">  (</w:t>
      </w:r>
      <w:bookmarkStart w:id="321" w:name="dabmci_f5abf5c0664d425e9b59b696c135d777"/>
      <w:r w:rsidRPr="007C68F1">
        <w:rPr>
          <w:i/>
          <w:iCs/>
        </w:rPr>
        <w:t>Brinker</w:t>
      </w:r>
      <w:r w:rsidRPr="007C68F1">
        <w:t xml:space="preserve">, </w:t>
      </w:r>
      <w:r w:rsidRPr="007C68F1">
        <w:rPr>
          <w:i/>
          <w:iCs/>
        </w:rPr>
        <w:t>supra</w:t>
      </w:r>
      <w:r w:rsidRPr="007C68F1">
        <w:t>, 53 Cal.4th at p. 1022</w:t>
      </w:r>
      <w:bookmarkEnd w:id="321"/>
      <w:r w:rsidRPr="007C68F1">
        <w:rPr>
          <w:i/>
          <w:iCs/>
        </w:rPr>
        <w:t>.</w:t>
      </w:r>
      <w:r w:rsidRPr="007C68F1">
        <w:t xml:space="preserve">)  At the same time, we review the trial court’s underlying factual determinations for substantial evidence, presuming </w:t>
      </w:r>
      <w:r w:rsidRPr="007C68F1">
        <w:rPr>
          <w:shd w:val="clear" w:color="auto" w:fill="FFFFFF"/>
        </w:rPr>
        <w:t>in favor of the orde</w:t>
      </w:r>
      <w:r w:rsidRPr="007C68F1">
        <w:rPr>
          <w:shd w:val="clear" w:color="auto" w:fill="FFFFFF"/>
        </w:rPr>
        <w:t xml:space="preserve">r </w:t>
      </w:r>
      <w:bookmarkStart w:id="322" w:name="dabmq_142"/>
      <w:r w:rsidRPr="007C68F1">
        <w:rPr>
          <w:shd w:val="clear" w:color="auto" w:fill="FFFFFF"/>
        </w:rPr>
        <w:t>“‘the existence of every fact the trial court could reasonably deduce from the record.’”</w:t>
      </w:r>
      <w:bookmarkEnd w:id="322"/>
      <w:r w:rsidRPr="007C68F1">
        <w:rPr>
          <w:shd w:val="clear" w:color="auto" w:fill="FFFFFF"/>
        </w:rPr>
        <w:t xml:space="preserve">  (</w:t>
      </w:r>
      <w:bookmarkStart w:id="323" w:name="dabmci_1527e212625f42669d9da23c58fe0e36"/>
      <w:r w:rsidRPr="007C68F1">
        <w:rPr>
          <w:i/>
          <w:iCs/>
          <w:shd w:val="clear" w:color="auto" w:fill="FFFFFF"/>
        </w:rPr>
        <w:t>Ibid.</w:t>
      </w:r>
      <w:bookmarkEnd w:id="323"/>
      <w:r w:rsidRPr="007C68F1">
        <w:rPr>
          <w:shd w:val="clear" w:color="auto" w:fill="FFFFFF"/>
        </w:rPr>
        <w:t xml:space="preserve">)  Overall, we will not disturb the court’s </w:t>
      </w:r>
      <w:r w:rsidRPr="007C68F1">
        <w:rPr>
          <w:shd w:val="clear" w:color="auto" w:fill="FFFFFF"/>
        </w:rPr>
        <w:lastRenderedPageBreak/>
        <w:t xml:space="preserve">order </w:t>
      </w:r>
      <w:bookmarkStart w:id="324" w:name="dabmq_143"/>
      <w:r w:rsidRPr="007C68F1">
        <w:rPr>
          <w:shd w:val="clear" w:color="auto" w:fill="FFFFFF"/>
        </w:rPr>
        <w:t>“‘unless (1)</w:t>
      </w:r>
      <w:r w:rsidR="005D44C9" w:rsidRPr="007C68F1">
        <w:rPr>
          <w:shd w:val="clear" w:color="auto" w:fill="FFFFFF"/>
        </w:rPr>
        <w:t xml:space="preserve"> </w:t>
      </w:r>
      <w:r w:rsidRPr="007C68F1">
        <w:rPr>
          <w:shd w:val="clear" w:color="auto" w:fill="FFFFFF"/>
        </w:rPr>
        <w:t>it is unsupported by substantial evidence, (2)</w:t>
      </w:r>
      <w:r w:rsidR="005D44C9" w:rsidRPr="007C68F1">
        <w:rPr>
          <w:shd w:val="clear" w:color="auto" w:fill="FFFFFF"/>
        </w:rPr>
        <w:t xml:space="preserve"> </w:t>
      </w:r>
      <w:r w:rsidRPr="007C68F1">
        <w:rPr>
          <w:shd w:val="clear" w:color="auto" w:fill="FFFFFF"/>
        </w:rPr>
        <w:t>it rests on improper criteria, or</w:t>
      </w:r>
      <w:r w:rsidR="005D44C9" w:rsidRPr="007C68F1">
        <w:rPr>
          <w:shd w:val="clear" w:color="auto" w:fill="FFFFFF"/>
        </w:rPr>
        <w:t xml:space="preserve"> </w:t>
      </w:r>
      <w:r w:rsidRPr="007C68F1">
        <w:rPr>
          <w:shd w:val="clear" w:color="auto" w:fill="FFFFFF"/>
        </w:rPr>
        <w:t xml:space="preserve">(3) it </w:t>
      </w:r>
      <w:r w:rsidRPr="007C68F1">
        <w:rPr>
          <w:shd w:val="clear" w:color="auto" w:fill="FFFFFF"/>
        </w:rPr>
        <w:t>rests on erroneous legal assumptions.’”</w:t>
      </w:r>
      <w:bookmarkEnd w:id="324"/>
      <w:r w:rsidRPr="007C68F1">
        <w:rPr>
          <w:shd w:val="clear" w:color="auto" w:fill="FFFFFF"/>
        </w:rPr>
        <w:t xml:space="preserve">  (</w:t>
      </w:r>
      <w:bookmarkStart w:id="325" w:name="dabmci_6e1ea51f44ea4fbdb4d731c663e9bcb4"/>
      <w:r w:rsidRPr="007C68F1">
        <w:rPr>
          <w:i/>
          <w:iCs/>
          <w:shd w:val="clear" w:color="auto" w:fill="FFFFFF"/>
        </w:rPr>
        <w:t>Ibid.</w:t>
      </w:r>
      <w:bookmarkEnd w:id="325"/>
      <w:r w:rsidRPr="007C68F1">
        <w:rPr>
          <w:shd w:val="clear" w:color="auto" w:fill="FFFFFF"/>
        </w:rPr>
        <w:t xml:space="preserve">) </w:t>
      </w:r>
      <w:r w:rsidR="00EF454A" w:rsidRPr="007C68F1">
        <w:rPr>
          <w:shd w:val="clear" w:color="auto" w:fill="FFFFFF"/>
        </w:rPr>
        <w:t xml:space="preserve"> </w:t>
      </w:r>
    </w:p>
    <w:p w14:paraId="5AE7BB7B" w14:textId="77777777" w:rsidR="00C56B30" w:rsidRPr="007C68F1" w:rsidRDefault="00D16B2E" w:rsidP="007D1009">
      <w:pPr>
        <w:spacing w:line="480" w:lineRule="auto"/>
        <w:ind w:firstLine="720"/>
        <w:rPr>
          <w:shd w:val="clear" w:color="auto" w:fill="FFFFFF"/>
        </w:rPr>
      </w:pPr>
      <w:r w:rsidRPr="007C68F1">
        <w:t>The predominance element presents a factual question, so we review the trial court’s predominance finding for substantial evidence.  (</w:t>
      </w:r>
      <w:bookmarkStart w:id="326" w:name="dabmci_a02fdd1850914207a94af0aa82081fe3"/>
      <w:r w:rsidRPr="007C68F1">
        <w:rPr>
          <w:i/>
          <w:iCs/>
        </w:rPr>
        <w:t>Brinker</w:t>
      </w:r>
      <w:r w:rsidRPr="007C68F1">
        <w:t xml:space="preserve">, </w:t>
      </w:r>
      <w:r w:rsidRPr="007C68F1">
        <w:rPr>
          <w:i/>
          <w:iCs/>
        </w:rPr>
        <w:t>supra</w:t>
      </w:r>
      <w:r w:rsidRPr="007C68F1">
        <w:t>, 53 Cal.4th at p.</w:t>
      </w:r>
      <w:r w:rsidR="005D44C9" w:rsidRPr="007C68F1">
        <w:t> </w:t>
      </w:r>
      <w:r w:rsidRPr="007C68F1">
        <w:t>1022</w:t>
      </w:r>
      <w:bookmarkEnd w:id="326"/>
      <w:r w:rsidRPr="007C68F1">
        <w:t xml:space="preserve">; </w:t>
      </w:r>
      <w:bookmarkStart w:id="327" w:name="dabmci_74a171662cbc4c35a933b68ec862c3bb"/>
      <w:r w:rsidRPr="007C68F1">
        <w:rPr>
          <w:i/>
          <w:iCs/>
        </w:rPr>
        <w:t>Sav</w:t>
      </w:r>
      <w:r w:rsidRPr="007C68F1">
        <w:rPr>
          <w:i/>
          <w:iCs/>
        </w:rPr>
        <w:noBreakHyphen/>
        <w:t>On Drug Stores</w:t>
      </w:r>
      <w:r w:rsidRPr="007C68F1">
        <w:t xml:space="preserve">, </w:t>
      </w:r>
      <w:r w:rsidRPr="007C68F1">
        <w:rPr>
          <w:i/>
          <w:iCs/>
        </w:rPr>
        <w:t>supra</w:t>
      </w:r>
      <w:r w:rsidRPr="007C68F1">
        <w:t>, 34 Ca</w:t>
      </w:r>
      <w:r w:rsidRPr="007C68F1">
        <w:t>l.4th at p. 328</w:t>
      </w:r>
      <w:bookmarkEnd w:id="327"/>
      <w:r w:rsidRPr="007C68F1">
        <w:t xml:space="preserve">.)  </w:t>
      </w:r>
      <w:bookmarkStart w:id="328" w:name="dabmq_144"/>
      <w:r w:rsidRPr="007C68F1">
        <w:t>“[I]f</w:t>
      </w:r>
      <w:r w:rsidRPr="007C68F1">
        <w:rPr>
          <w:shd w:val="clear" w:color="auto" w:fill="FFFFFF"/>
        </w:rPr>
        <w:t xml:space="preserve"> the parties’ evidence is conflicting on the issue of whether common or individual questions predominate . . . , the trial court is permitted to credit one party’s evidence over the other’s in determining whether the requirements fo</w:t>
      </w:r>
      <w:r w:rsidRPr="007C68F1">
        <w:rPr>
          <w:shd w:val="clear" w:color="auto" w:fill="FFFFFF"/>
        </w:rPr>
        <w:t>r class certification have been met.”</w:t>
      </w:r>
      <w:bookmarkEnd w:id="328"/>
      <w:r w:rsidRPr="007C68F1">
        <w:rPr>
          <w:shd w:val="clear" w:color="auto" w:fill="FFFFFF"/>
        </w:rPr>
        <w:t xml:space="preserve">  (</w:t>
      </w:r>
      <w:bookmarkStart w:id="329" w:name="dabmci_7dd23429c88f416ab390385fd2b3fd4c"/>
      <w:r w:rsidRPr="007C68F1">
        <w:rPr>
          <w:i/>
          <w:iCs/>
          <w:bdr w:val="none" w:sz="0" w:space="0" w:color="auto" w:frame="1"/>
        </w:rPr>
        <w:t>Dailey v. Sears, Roebuck &amp; Co.</w:t>
      </w:r>
      <w:r w:rsidRPr="007C68F1">
        <w:t xml:space="preserve"> (2013) 214 Cal.App.4th 974, 991 (</w:t>
      </w:r>
      <w:r w:rsidRPr="007C68F1">
        <w:rPr>
          <w:i/>
          <w:iCs/>
        </w:rPr>
        <w:t>Dailey</w:t>
      </w:r>
      <w:r w:rsidRPr="007C68F1">
        <w:t>)</w:t>
      </w:r>
      <w:bookmarkEnd w:id="329"/>
      <w:r w:rsidRPr="007C68F1">
        <w:t xml:space="preserve">; </w:t>
      </w:r>
      <w:bookmarkStart w:id="330" w:name="dabmci_093ffdca7d0c4bc3a8629792ad1b9c0c"/>
      <w:r w:rsidRPr="007C68F1">
        <w:rPr>
          <w:i/>
          <w:iCs/>
        </w:rPr>
        <w:t>Sav</w:t>
      </w:r>
      <w:r w:rsidRPr="007C68F1">
        <w:rPr>
          <w:i/>
          <w:iCs/>
        </w:rPr>
        <w:noBreakHyphen/>
        <w:t>On Drug Stores</w:t>
      </w:r>
      <w:r w:rsidRPr="007C68F1">
        <w:t>, at p. 331</w:t>
      </w:r>
      <w:bookmarkEnd w:id="330"/>
      <w:r w:rsidRPr="007C68F1">
        <w:t xml:space="preserve"> [</w:t>
      </w:r>
      <w:bookmarkStart w:id="331" w:name="dabmq_145"/>
      <w:r w:rsidRPr="007C68F1">
        <w:t>“</w:t>
      </w:r>
      <w:r w:rsidRPr="007C68F1">
        <w:rPr>
          <w:shd w:val="clear" w:color="auto" w:fill="FFFFFF"/>
        </w:rPr>
        <w:t xml:space="preserve">the trial court was within its discretion to credit plaintiffs’ evidence on these points over defendant’s, and </w:t>
      </w:r>
      <w:r w:rsidRPr="007C68F1">
        <w:rPr>
          <w:shd w:val="clear" w:color="auto" w:fill="FFFFFF"/>
        </w:rPr>
        <w:t>we have no authority to substitute our own judgment for the trial court’s respecting this or any other conflict in the evidence”</w:t>
      </w:r>
      <w:bookmarkEnd w:id="331"/>
      <w:r w:rsidRPr="007C68F1">
        <w:rPr>
          <w:shd w:val="clear" w:color="auto" w:fill="FFFFFF"/>
        </w:rPr>
        <w:t>].)  We need not conclude that the prevailing party’s evidence is compelling or that the trial court would have abused its discr</w:t>
      </w:r>
      <w:r w:rsidRPr="007C68F1">
        <w:rPr>
          <w:shd w:val="clear" w:color="auto" w:fill="FFFFFF"/>
        </w:rPr>
        <w:t>etion if it had credited the other party’s evidence instead.  (</w:t>
      </w:r>
      <w:bookmarkStart w:id="332" w:name="dabmci_a1fa25d62e694a2d8b1a076c8cb4eb2a"/>
      <w:r w:rsidRPr="007C68F1">
        <w:rPr>
          <w:i/>
          <w:iCs/>
        </w:rPr>
        <w:t>Sav</w:t>
      </w:r>
      <w:r w:rsidRPr="007C68F1">
        <w:rPr>
          <w:i/>
          <w:iCs/>
        </w:rPr>
        <w:noBreakHyphen/>
        <w:t>On Drug Stores</w:t>
      </w:r>
      <w:r w:rsidRPr="007C68F1">
        <w:t>, at p.</w:t>
      </w:r>
      <w:r w:rsidR="00C60717">
        <w:t> </w:t>
      </w:r>
      <w:r w:rsidRPr="007C68F1">
        <w:t>331</w:t>
      </w:r>
      <w:bookmarkEnd w:id="332"/>
      <w:r w:rsidRPr="007C68F1">
        <w:t xml:space="preserve">.)  </w:t>
      </w:r>
      <w:bookmarkStart w:id="333" w:name="dabmq_146"/>
      <w:r w:rsidRPr="007C68F1">
        <w:rPr>
          <w:shd w:val="clear" w:color="auto" w:fill="FFFFFF"/>
        </w:rPr>
        <w:t>“‘[I]t is of no consequence that the trial court believing other evidence, or drawing other reasonable inferences, might have reached a contrary conclusion.’”</w:t>
      </w:r>
      <w:bookmarkEnd w:id="333"/>
      <w:r w:rsidRPr="007C68F1">
        <w:rPr>
          <w:shd w:val="clear" w:color="auto" w:fill="FFFFFF"/>
        </w:rPr>
        <w:t xml:space="preserve">  </w:t>
      </w:r>
      <w:r w:rsidRPr="007C68F1">
        <w:rPr>
          <w:shd w:val="clear" w:color="auto" w:fill="FFFFFF"/>
        </w:rPr>
        <w:t>(</w:t>
      </w:r>
      <w:bookmarkStart w:id="334" w:name="dabmci_9bada7b7258f43ec9f53542ab6ce35f1"/>
      <w:r w:rsidRPr="007C68F1">
        <w:rPr>
          <w:i/>
          <w:iCs/>
          <w:shd w:val="clear" w:color="auto" w:fill="FFFFFF"/>
        </w:rPr>
        <w:t>Ibid.</w:t>
      </w:r>
      <w:bookmarkEnd w:id="334"/>
      <w:r w:rsidRPr="007C68F1">
        <w:rPr>
          <w:shd w:val="clear" w:color="auto" w:fill="FFFFFF"/>
        </w:rPr>
        <w:t>)</w:t>
      </w:r>
    </w:p>
    <w:p w14:paraId="0710428A" w14:textId="77777777" w:rsidR="00F64167" w:rsidRPr="007C68F1" w:rsidRDefault="00D16B2E" w:rsidP="007D1009">
      <w:pPr>
        <w:keepNext/>
        <w:spacing w:line="480" w:lineRule="auto"/>
        <w:rPr>
          <w:shd w:val="clear" w:color="auto" w:fill="FFFFFF"/>
        </w:rPr>
      </w:pPr>
      <w:r w:rsidRPr="007C68F1">
        <w:rPr>
          <w:shd w:val="clear" w:color="auto" w:fill="FFFFFF"/>
        </w:rPr>
        <w:tab/>
      </w:r>
      <w:r w:rsidR="00DE48CE" w:rsidRPr="007C68F1">
        <w:rPr>
          <w:shd w:val="clear" w:color="auto" w:fill="FFFFFF"/>
        </w:rPr>
        <w:t>B</w:t>
      </w:r>
      <w:r w:rsidRPr="007C68F1">
        <w:rPr>
          <w:shd w:val="clear" w:color="auto" w:fill="FFFFFF"/>
        </w:rPr>
        <w:t xml:space="preserve">.  </w:t>
      </w:r>
      <w:r w:rsidR="00DE48CE" w:rsidRPr="007C68F1">
        <w:rPr>
          <w:i/>
          <w:iCs/>
          <w:shd w:val="clear" w:color="auto" w:fill="FFFFFF"/>
        </w:rPr>
        <w:t>Woodworth’s Class Certification Motion</w:t>
      </w:r>
    </w:p>
    <w:p w14:paraId="15D56E58" w14:textId="77777777" w:rsidR="00817B75" w:rsidRPr="007C68F1" w:rsidRDefault="00D16B2E" w:rsidP="007D1009">
      <w:pPr>
        <w:spacing w:line="480" w:lineRule="auto"/>
        <w:rPr>
          <w:shd w:val="clear" w:color="auto" w:fill="FFFFFF"/>
        </w:rPr>
      </w:pPr>
      <w:r w:rsidRPr="007C68F1">
        <w:rPr>
          <w:shd w:val="clear" w:color="auto" w:fill="FFFFFF"/>
        </w:rPr>
        <w:tab/>
        <w:t>Woodworth moved to certify five classes</w:t>
      </w:r>
      <w:r w:rsidR="00E7344E" w:rsidRPr="007C68F1">
        <w:rPr>
          <w:shd w:val="clear" w:color="auto" w:fill="FFFFFF"/>
        </w:rPr>
        <w:t xml:space="preserve"> of current and former medical center employees</w:t>
      </w:r>
      <w:r w:rsidR="00270E7B" w:rsidRPr="007C68F1">
        <w:rPr>
          <w:shd w:val="clear" w:color="auto" w:fill="FFFFFF"/>
        </w:rPr>
        <w:t>.</w:t>
      </w:r>
      <w:r w:rsidR="00460F23" w:rsidRPr="007C68F1">
        <w:rPr>
          <w:shd w:val="clear" w:color="auto" w:fill="FFFFFF"/>
        </w:rPr>
        <w:t xml:space="preserve">  </w:t>
      </w:r>
      <w:r w:rsidR="00EC3D56" w:rsidRPr="007C68F1">
        <w:rPr>
          <w:shd w:val="clear" w:color="auto" w:fill="FFFFFF"/>
        </w:rPr>
        <w:t>The proposed</w:t>
      </w:r>
      <w:r w:rsidRPr="007C68F1">
        <w:rPr>
          <w:shd w:val="clear" w:color="auto" w:fill="FFFFFF"/>
        </w:rPr>
        <w:t xml:space="preserve"> “‘AWS Overtime Class’”</w:t>
      </w:r>
      <w:r w:rsidR="00A77E82" w:rsidRPr="007C68F1">
        <w:rPr>
          <w:shd w:val="clear" w:color="auto" w:fill="FFFFFF"/>
        </w:rPr>
        <w:t xml:space="preserve"> consist</w:t>
      </w:r>
      <w:r w:rsidR="00EC3D56" w:rsidRPr="007C68F1">
        <w:rPr>
          <w:shd w:val="clear" w:color="auto" w:fill="FFFFFF"/>
        </w:rPr>
        <w:t>ed</w:t>
      </w:r>
      <w:r w:rsidR="00A77E82" w:rsidRPr="007C68F1">
        <w:rPr>
          <w:shd w:val="clear" w:color="auto" w:fill="FFFFFF"/>
        </w:rPr>
        <w:t xml:space="preserve"> of a</w:t>
      </w:r>
      <w:r w:rsidRPr="007C68F1">
        <w:rPr>
          <w:shd w:val="clear" w:color="auto" w:fill="FFFFFF"/>
        </w:rPr>
        <w:t xml:space="preserve">ll hourly nonexempt employees who </w:t>
      </w:r>
      <w:r w:rsidR="00852E4B" w:rsidRPr="007C68F1">
        <w:rPr>
          <w:shd w:val="clear" w:color="auto" w:fill="FFFFFF"/>
        </w:rPr>
        <w:t xml:space="preserve">were scheduled to work and did work </w:t>
      </w:r>
      <w:r w:rsidRPr="007C68F1">
        <w:rPr>
          <w:shd w:val="clear" w:color="auto" w:fill="FFFFFF"/>
        </w:rPr>
        <w:t>at least one</w:t>
      </w:r>
      <w:r w:rsidR="00BF3BC1" w:rsidRPr="007C68F1">
        <w:rPr>
          <w:shd w:val="clear" w:color="auto" w:fill="FFFFFF"/>
        </w:rPr>
        <w:t xml:space="preserve"> day of more than eight hours and up to 12 hours </w:t>
      </w:r>
      <w:r w:rsidR="00A77E82" w:rsidRPr="007C68F1">
        <w:rPr>
          <w:shd w:val="clear" w:color="auto" w:fill="FFFFFF"/>
        </w:rPr>
        <w:t>without receiving overtime pay</w:t>
      </w:r>
      <w:r w:rsidR="00EC3D56" w:rsidRPr="007C68F1">
        <w:rPr>
          <w:shd w:val="clear" w:color="auto" w:fill="FFFFFF"/>
        </w:rPr>
        <w:t>.</w:t>
      </w:r>
      <w:r w:rsidR="00962B32" w:rsidRPr="007C68F1">
        <w:rPr>
          <w:shd w:val="clear" w:color="auto" w:fill="FFFFFF"/>
        </w:rPr>
        <w:t xml:space="preserve">  (Boldface omitted.)</w:t>
      </w:r>
    </w:p>
    <w:p w14:paraId="37F6E103" w14:textId="77777777" w:rsidR="00817B75" w:rsidRPr="007C68F1" w:rsidRDefault="00D16B2E" w:rsidP="007D1009">
      <w:pPr>
        <w:spacing w:line="480" w:lineRule="auto"/>
        <w:ind w:firstLine="720"/>
        <w:rPr>
          <w:shd w:val="clear" w:color="auto" w:fill="FFFFFF"/>
        </w:rPr>
      </w:pPr>
      <w:r w:rsidRPr="007C68F1">
        <w:rPr>
          <w:shd w:val="clear" w:color="auto" w:fill="FFFFFF"/>
        </w:rPr>
        <w:lastRenderedPageBreak/>
        <w:t>The</w:t>
      </w:r>
      <w:r w:rsidR="00E7344E" w:rsidRPr="007C68F1">
        <w:rPr>
          <w:shd w:val="clear" w:color="auto" w:fill="FFFFFF"/>
        </w:rPr>
        <w:t xml:space="preserve"> proposed</w:t>
      </w:r>
      <w:r w:rsidRPr="007C68F1">
        <w:rPr>
          <w:shd w:val="clear" w:color="auto" w:fill="FFFFFF"/>
        </w:rPr>
        <w:t xml:space="preserve"> “‘Regular Rate Class’” consisted of all hourly nonexempt em</w:t>
      </w:r>
      <w:r w:rsidRPr="007C68F1">
        <w:rPr>
          <w:shd w:val="clear" w:color="auto" w:fill="FFFFFF"/>
        </w:rPr>
        <w:t>ployees who were paid overtime</w:t>
      </w:r>
      <w:r w:rsidR="009D0B34" w:rsidRPr="007C68F1">
        <w:rPr>
          <w:shd w:val="clear" w:color="auto" w:fill="FFFFFF"/>
        </w:rPr>
        <w:t xml:space="preserve"> or</w:t>
      </w:r>
      <w:r w:rsidRPr="007C68F1">
        <w:rPr>
          <w:shd w:val="clear" w:color="auto" w:fill="FFFFFF"/>
        </w:rPr>
        <w:t xml:space="preserve"> a missed meal </w:t>
      </w:r>
      <w:r w:rsidR="009D0B34" w:rsidRPr="007C68F1">
        <w:rPr>
          <w:shd w:val="clear" w:color="auto" w:fill="FFFFFF"/>
        </w:rPr>
        <w:t xml:space="preserve">or rest </w:t>
      </w:r>
      <w:r w:rsidRPr="007C68F1">
        <w:rPr>
          <w:shd w:val="clear" w:color="auto" w:fill="FFFFFF"/>
        </w:rPr>
        <w:t>period premium</w:t>
      </w:r>
      <w:r w:rsidR="009D0B34" w:rsidRPr="007C68F1">
        <w:rPr>
          <w:shd w:val="clear" w:color="auto" w:fill="FFFFFF"/>
        </w:rPr>
        <w:t xml:space="preserve"> (the missed break premium) </w:t>
      </w:r>
      <w:r w:rsidRPr="007C68F1">
        <w:rPr>
          <w:shd w:val="clear" w:color="auto" w:fill="FFFFFF"/>
        </w:rPr>
        <w:t xml:space="preserve">in a week when the employee earned a </w:t>
      </w:r>
      <w:r w:rsidR="007D537E" w:rsidRPr="007C68F1">
        <w:rPr>
          <w:shd w:val="clear" w:color="auto" w:fill="FFFFFF"/>
        </w:rPr>
        <w:t>Ch</w:t>
      </w:r>
      <w:r w:rsidRPr="007C68F1">
        <w:rPr>
          <w:shd w:val="clear" w:color="auto" w:fill="FFFFFF"/>
        </w:rPr>
        <w:t>ristmas bonus</w:t>
      </w:r>
      <w:r w:rsidR="009577BC" w:rsidRPr="007C68F1">
        <w:rPr>
          <w:shd w:val="clear" w:color="auto" w:fill="FFFFFF"/>
        </w:rPr>
        <w:t xml:space="preserve"> or a “flat sum bonus.”</w:t>
      </w:r>
      <w:r>
        <w:rPr>
          <w:rStyle w:val="FootnoteReference"/>
          <w:shd w:val="clear" w:color="auto" w:fill="FFFFFF"/>
        </w:rPr>
        <w:footnoteReference w:id="7"/>
      </w:r>
      <w:r w:rsidR="00501261" w:rsidRPr="007C68F1">
        <w:rPr>
          <w:shd w:val="clear" w:color="auto" w:fill="FFFFFF"/>
        </w:rPr>
        <w:t xml:space="preserve">  (Boldface omitted.)</w:t>
      </w:r>
    </w:p>
    <w:p w14:paraId="15230F07" w14:textId="77777777" w:rsidR="00817B75" w:rsidRPr="007C68F1" w:rsidRDefault="00D16B2E" w:rsidP="007D1009">
      <w:pPr>
        <w:spacing w:line="480" w:lineRule="auto"/>
        <w:ind w:firstLine="720"/>
        <w:rPr>
          <w:shd w:val="clear" w:color="auto" w:fill="FFFFFF"/>
        </w:rPr>
      </w:pPr>
      <w:r w:rsidRPr="007C68F1">
        <w:rPr>
          <w:shd w:val="clear" w:color="auto" w:fill="FFFFFF"/>
        </w:rPr>
        <w:t>The proposed “‘Rest Break Class’”</w:t>
      </w:r>
      <w:r w:rsidR="00D73AE1" w:rsidRPr="007C68F1">
        <w:rPr>
          <w:shd w:val="clear" w:color="auto" w:fill="FFFFFF"/>
        </w:rPr>
        <w:t xml:space="preserve"> consisted of all hourly nonexempt employees who were in patient care and worked under the medical center’s policy requiring employees to remain on premises during their rest </w:t>
      </w:r>
      <w:r w:rsidR="009D0B34" w:rsidRPr="007C68F1">
        <w:rPr>
          <w:shd w:val="clear" w:color="auto" w:fill="FFFFFF"/>
        </w:rPr>
        <w:t>periods</w:t>
      </w:r>
      <w:r w:rsidR="00D73AE1" w:rsidRPr="007C68F1">
        <w:rPr>
          <w:shd w:val="clear" w:color="auto" w:fill="FFFFFF"/>
        </w:rPr>
        <w:t xml:space="preserve">.  </w:t>
      </w:r>
      <w:r w:rsidR="007949D4" w:rsidRPr="007C68F1">
        <w:rPr>
          <w:shd w:val="clear" w:color="auto" w:fill="FFFFFF"/>
        </w:rPr>
        <w:t>“A</w:t>
      </w:r>
      <w:r w:rsidR="007E7043" w:rsidRPr="007C68F1">
        <w:rPr>
          <w:shd w:val="clear" w:color="auto" w:fill="FFFFFF"/>
        </w:rPr>
        <w:t>lternative</w:t>
      </w:r>
      <w:r w:rsidR="007949D4" w:rsidRPr="007C68F1">
        <w:rPr>
          <w:shd w:val="clear" w:color="auto" w:fill="FFFFFF"/>
        </w:rPr>
        <w:t>ly</w:t>
      </w:r>
      <w:r w:rsidR="00D73AE1" w:rsidRPr="007C68F1">
        <w:rPr>
          <w:shd w:val="clear" w:color="auto" w:fill="FFFFFF"/>
        </w:rPr>
        <w:t>,</w:t>
      </w:r>
      <w:r w:rsidR="007949D4" w:rsidRPr="007C68F1">
        <w:rPr>
          <w:shd w:val="clear" w:color="auto" w:fill="FFFFFF"/>
        </w:rPr>
        <w:t>”</w:t>
      </w:r>
      <w:r w:rsidR="00D73AE1" w:rsidRPr="007C68F1">
        <w:rPr>
          <w:shd w:val="clear" w:color="auto" w:fill="FFFFFF"/>
        </w:rPr>
        <w:t xml:space="preserve"> Woodworth proposed </w:t>
      </w:r>
      <w:r w:rsidR="007E7043" w:rsidRPr="007C68F1">
        <w:rPr>
          <w:shd w:val="clear" w:color="auto" w:fill="FFFFFF"/>
        </w:rPr>
        <w:t>a</w:t>
      </w:r>
      <w:r w:rsidR="00D73AE1" w:rsidRPr="007C68F1">
        <w:rPr>
          <w:shd w:val="clear" w:color="auto" w:fill="FFFFFF"/>
        </w:rPr>
        <w:t xml:space="preserve"> Rest Break Class consisting of </w:t>
      </w:r>
      <w:r w:rsidR="007E7043" w:rsidRPr="007C68F1">
        <w:rPr>
          <w:shd w:val="clear" w:color="auto" w:fill="FFFFFF"/>
        </w:rPr>
        <w:t>nonexempt</w:t>
      </w:r>
      <w:r w:rsidR="00D73AE1" w:rsidRPr="007C68F1">
        <w:rPr>
          <w:shd w:val="clear" w:color="auto" w:fill="FFFFFF"/>
        </w:rPr>
        <w:t xml:space="preserve"> patient care employee</w:t>
      </w:r>
      <w:r w:rsidR="00FD6683" w:rsidRPr="007C68F1">
        <w:rPr>
          <w:shd w:val="clear" w:color="auto" w:fill="FFFFFF"/>
        </w:rPr>
        <w:t>s</w:t>
      </w:r>
      <w:r w:rsidR="00D73AE1" w:rsidRPr="007C68F1">
        <w:rPr>
          <w:shd w:val="clear" w:color="auto" w:fill="FFFFFF"/>
        </w:rPr>
        <w:t xml:space="preserve"> who did not take at least one rest period because the </w:t>
      </w:r>
      <w:r w:rsidR="00962B32" w:rsidRPr="007C68F1">
        <w:rPr>
          <w:shd w:val="clear" w:color="auto" w:fill="FFFFFF"/>
        </w:rPr>
        <w:t>medical center failed to provide a relief worker</w:t>
      </w:r>
      <w:r w:rsidR="00D73AE1" w:rsidRPr="007C68F1">
        <w:rPr>
          <w:shd w:val="clear" w:color="auto" w:fill="FFFFFF"/>
        </w:rPr>
        <w:t>.</w:t>
      </w:r>
      <w:r w:rsidR="00501261" w:rsidRPr="007C68F1">
        <w:rPr>
          <w:shd w:val="clear" w:color="auto" w:fill="FFFFFF"/>
        </w:rPr>
        <w:t xml:space="preserve"> </w:t>
      </w:r>
      <w:r w:rsidR="00793872">
        <w:rPr>
          <w:shd w:val="clear" w:color="auto" w:fill="FFFFFF"/>
        </w:rPr>
        <w:t xml:space="preserve"> </w:t>
      </w:r>
      <w:r w:rsidR="00501261" w:rsidRPr="007C68F1">
        <w:rPr>
          <w:shd w:val="clear" w:color="auto" w:fill="FFFFFF"/>
        </w:rPr>
        <w:t>(Boldface omitted.)</w:t>
      </w:r>
    </w:p>
    <w:p w14:paraId="7D043856" w14:textId="77777777" w:rsidR="000816C7" w:rsidRPr="007C68F1" w:rsidRDefault="00D16B2E" w:rsidP="007D1009">
      <w:pPr>
        <w:spacing w:line="480" w:lineRule="auto"/>
        <w:ind w:firstLine="720"/>
        <w:rPr>
          <w:shd w:val="clear" w:color="auto" w:fill="FFFFFF"/>
        </w:rPr>
      </w:pPr>
      <w:r w:rsidRPr="007C68F1">
        <w:rPr>
          <w:shd w:val="clear" w:color="auto" w:fill="FFFFFF"/>
        </w:rPr>
        <w:t>The proposed “‘Wage Statement Class’” consisted of all hourly nonexempt employees who received a wag</w:t>
      </w:r>
      <w:r w:rsidRPr="007C68F1">
        <w:rPr>
          <w:shd w:val="clear" w:color="auto" w:fill="FFFFFF"/>
        </w:rPr>
        <w:t>e statement that did not include “‘Total Hours Worked’” or did not accurately report hourly rates and all wages earned.  (Boldface omitted.)  Woodworth characterized this as both a stand-alone class and a derivative class.</w:t>
      </w:r>
    </w:p>
    <w:p w14:paraId="25F22F4F" w14:textId="77777777" w:rsidR="00F64167" w:rsidRPr="007C68F1" w:rsidRDefault="00D16B2E" w:rsidP="007D1009">
      <w:pPr>
        <w:spacing w:line="480" w:lineRule="auto"/>
        <w:ind w:firstLine="720"/>
        <w:rPr>
          <w:shd w:val="clear" w:color="auto" w:fill="FFFFFF"/>
        </w:rPr>
      </w:pPr>
      <w:r w:rsidRPr="007C68F1">
        <w:rPr>
          <w:shd w:val="clear" w:color="auto" w:fill="FFFFFF"/>
        </w:rPr>
        <w:t xml:space="preserve">The proposed </w:t>
      </w:r>
      <w:bookmarkStart w:id="339" w:name="dabmq_147"/>
      <w:r w:rsidRPr="007C68F1">
        <w:rPr>
          <w:shd w:val="clear" w:color="auto" w:fill="FFFFFF"/>
        </w:rPr>
        <w:t>“‘Waiting Time Penal</w:t>
      </w:r>
      <w:r w:rsidRPr="007C68F1">
        <w:rPr>
          <w:shd w:val="clear" w:color="auto" w:fill="FFFFFF"/>
        </w:rPr>
        <w:t>ty Class’”</w:t>
      </w:r>
      <w:bookmarkEnd w:id="339"/>
      <w:r w:rsidRPr="007C68F1">
        <w:rPr>
          <w:shd w:val="clear" w:color="auto" w:fill="FFFFFF"/>
        </w:rPr>
        <w:t xml:space="preserve"> consisted of all hourly nonexempt employees who no longer worked for the medical center but were members of the AWS Overtime Class, the Regular Rate Class, or the Rest Break Class.</w:t>
      </w:r>
      <w:r w:rsidR="00501261" w:rsidRPr="007C68F1">
        <w:rPr>
          <w:shd w:val="clear" w:color="auto" w:fill="FFFFFF"/>
        </w:rPr>
        <w:t xml:space="preserve"> </w:t>
      </w:r>
      <w:r w:rsidR="00793872">
        <w:rPr>
          <w:shd w:val="clear" w:color="auto" w:fill="FFFFFF"/>
        </w:rPr>
        <w:t xml:space="preserve"> </w:t>
      </w:r>
      <w:r w:rsidR="00501261" w:rsidRPr="007C68F1">
        <w:rPr>
          <w:shd w:val="clear" w:color="auto" w:fill="FFFFFF"/>
        </w:rPr>
        <w:t>(Boldface omitted.)</w:t>
      </w:r>
      <w:r w:rsidR="00064472" w:rsidRPr="007C68F1">
        <w:rPr>
          <w:shd w:val="clear" w:color="auto" w:fill="FFFFFF"/>
        </w:rPr>
        <w:t xml:space="preserve">  Woodworth characterized this </w:t>
      </w:r>
      <w:r w:rsidR="008D39B1" w:rsidRPr="007C68F1">
        <w:rPr>
          <w:shd w:val="clear" w:color="auto" w:fill="FFFFFF"/>
        </w:rPr>
        <w:t xml:space="preserve">as </w:t>
      </w:r>
      <w:r w:rsidR="00064472" w:rsidRPr="007C68F1">
        <w:rPr>
          <w:shd w:val="clear" w:color="auto" w:fill="FFFFFF"/>
        </w:rPr>
        <w:t>a derivative class only.</w:t>
      </w:r>
    </w:p>
    <w:p w14:paraId="570DAB1C" w14:textId="77777777" w:rsidR="00270E7B" w:rsidRPr="00C23AF9" w:rsidRDefault="00D16B2E" w:rsidP="007D1009">
      <w:pPr>
        <w:keepNext/>
        <w:spacing w:line="480" w:lineRule="auto"/>
        <w:ind w:firstLine="720"/>
        <w:rPr>
          <w:shd w:val="clear" w:color="auto" w:fill="FFFFFF"/>
        </w:rPr>
      </w:pPr>
      <w:r w:rsidRPr="00C23AF9">
        <w:rPr>
          <w:shd w:val="clear" w:color="auto" w:fill="FFFFFF"/>
        </w:rPr>
        <w:lastRenderedPageBreak/>
        <w:tab/>
        <w:t xml:space="preserve">1.  </w:t>
      </w:r>
      <w:r w:rsidRPr="008A24E2">
        <w:rPr>
          <w:i/>
          <w:iCs/>
          <w:shd w:val="clear" w:color="auto" w:fill="FFFFFF"/>
        </w:rPr>
        <w:t>AWS Overtime Class</w:t>
      </w:r>
    </w:p>
    <w:p w14:paraId="426A40F7" w14:textId="77777777" w:rsidR="002B5D90" w:rsidRPr="007C68F1" w:rsidRDefault="00D16B2E" w:rsidP="007D1009">
      <w:pPr>
        <w:keepNext/>
        <w:spacing w:line="480" w:lineRule="auto"/>
        <w:ind w:firstLine="720"/>
      </w:pPr>
      <w:r w:rsidRPr="007C68F1">
        <w:t>Woodworth contends that the court abused its discretion by denying certification of the AWS Overtime Class because she presented substantial evidence of common legal and factual issues.  The argument lacks mer</w:t>
      </w:r>
      <w:r w:rsidRPr="007C68F1">
        <w:t xml:space="preserve">it.  </w:t>
      </w:r>
    </w:p>
    <w:p w14:paraId="014B1DE0" w14:textId="77777777" w:rsidR="002B5D90" w:rsidRPr="00C23AF9" w:rsidRDefault="00D16B2E" w:rsidP="007D1009">
      <w:pPr>
        <w:keepNext/>
        <w:spacing w:line="480" w:lineRule="auto"/>
        <w:ind w:firstLine="720"/>
        <w:rPr>
          <w:shd w:val="clear" w:color="auto" w:fill="FFFFFF"/>
        </w:rPr>
      </w:pPr>
      <w:r w:rsidRPr="00C23AF9">
        <w:rPr>
          <w:shd w:val="clear" w:color="auto" w:fill="FFFFFF"/>
        </w:rPr>
        <w:tab/>
      </w:r>
      <w:r w:rsidRPr="00C23AF9">
        <w:rPr>
          <w:shd w:val="clear" w:color="auto" w:fill="FFFFFF"/>
        </w:rPr>
        <w:tab/>
      </w:r>
      <w:r w:rsidR="00C92ED2" w:rsidRPr="00C23AF9">
        <w:rPr>
          <w:shd w:val="clear" w:color="auto" w:fill="FFFFFF"/>
        </w:rPr>
        <w:t>i</w:t>
      </w:r>
      <w:r w:rsidRPr="00C23AF9">
        <w:rPr>
          <w:shd w:val="clear" w:color="auto" w:fill="FFFFFF"/>
        </w:rPr>
        <w:t xml:space="preserve">.  </w:t>
      </w:r>
      <w:r w:rsidRPr="008A24E2">
        <w:rPr>
          <w:i/>
          <w:iCs/>
          <w:shd w:val="clear" w:color="auto" w:fill="FFFFFF"/>
        </w:rPr>
        <w:t>Relevant Background</w:t>
      </w:r>
    </w:p>
    <w:p w14:paraId="39C5BB32" w14:textId="77777777" w:rsidR="007F7DA0" w:rsidRPr="007C68F1" w:rsidRDefault="00D16B2E" w:rsidP="007D1009">
      <w:pPr>
        <w:spacing w:line="480" w:lineRule="auto"/>
        <w:ind w:firstLine="720"/>
      </w:pPr>
      <w:r w:rsidRPr="007C68F1">
        <w:rPr>
          <w:shd w:val="clear" w:color="auto" w:fill="FFFFFF"/>
        </w:rPr>
        <w:t>Woodworth proposed an</w:t>
      </w:r>
      <w:r w:rsidR="004C6D1F" w:rsidRPr="007C68F1">
        <w:rPr>
          <w:shd w:val="clear" w:color="auto" w:fill="FFFFFF"/>
        </w:rPr>
        <w:t xml:space="preserve"> AWS Overtime Class </w:t>
      </w:r>
      <w:r w:rsidRPr="007C68F1">
        <w:rPr>
          <w:shd w:val="clear" w:color="auto" w:fill="FFFFFF"/>
        </w:rPr>
        <w:t xml:space="preserve">period starting </w:t>
      </w:r>
      <w:r w:rsidR="00DE48CE" w:rsidRPr="007C68F1">
        <w:rPr>
          <w:shd w:val="clear" w:color="auto" w:fill="FFFFFF"/>
        </w:rPr>
        <w:t>in June 2010</w:t>
      </w:r>
      <w:r w:rsidRPr="007C68F1">
        <w:rPr>
          <w:shd w:val="clear" w:color="auto" w:fill="FFFFFF"/>
        </w:rPr>
        <w:t xml:space="preserve"> and ending on the date of certification.</w:t>
      </w:r>
      <w:r w:rsidR="004C6D1F" w:rsidRPr="007C68F1">
        <w:rPr>
          <w:shd w:val="clear" w:color="auto" w:fill="FFFFFF"/>
        </w:rPr>
        <w:t xml:space="preserve"> </w:t>
      </w:r>
      <w:r w:rsidR="00EB1C35" w:rsidRPr="007C68F1">
        <w:rPr>
          <w:shd w:val="clear" w:color="auto" w:fill="FFFFFF"/>
        </w:rPr>
        <w:t xml:space="preserve"> </w:t>
      </w:r>
      <w:r w:rsidR="009914BD" w:rsidRPr="007C68F1">
        <w:rPr>
          <w:shd w:val="clear" w:color="auto" w:fill="FFFFFF"/>
        </w:rPr>
        <w:t>According to her</w:t>
      </w:r>
      <w:r w:rsidR="001839C1" w:rsidRPr="007C68F1">
        <w:rPr>
          <w:shd w:val="clear" w:color="auto" w:fill="FFFFFF"/>
        </w:rPr>
        <w:t xml:space="preserve"> moving papers</w:t>
      </w:r>
      <w:r w:rsidR="009914BD" w:rsidRPr="007C68F1">
        <w:rPr>
          <w:shd w:val="clear" w:color="auto" w:fill="FFFFFF"/>
        </w:rPr>
        <w:t>, this class consisted of 5,8</w:t>
      </w:r>
      <w:r w:rsidR="00C17108" w:rsidRPr="007C68F1">
        <w:rPr>
          <w:shd w:val="clear" w:color="auto" w:fill="FFFFFF"/>
        </w:rPr>
        <w:t>5</w:t>
      </w:r>
      <w:r w:rsidR="009914BD" w:rsidRPr="007C68F1">
        <w:rPr>
          <w:shd w:val="clear" w:color="auto" w:fill="FFFFFF"/>
        </w:rPr>
        <w:t>5 employees</w:t>
      </w:r>
      <w:r w:rsidR="00386C30" w:rsidRPr="007C68F1">
        <w:rPr>
          <w:shd w:val="clear" w:color="auto" w:fill="FFFFFF"/>
        </w:rPr>
        <w:t xml:space="preserve"> who work</w:t>
      </w:r>
      <w:r w:rsidR="00C07762" w:rsidRPr="007C68F1">
        <w:rPr>
          <w:shd w:val="clear" w:color="auto" w:fill="FFFFFF"/>
        </w:rPr>
        <w:t>ed</w:t>
      </w:r>
      <w:r w:rsidR="00386C30" w:rsidRPr="007C68F1">
        <w:rPr>
          <w:shd w:val="clear" w:color="auto" w:fill="FFFFFF"/>
        </w:rPr>
        <w:t xml:space="preserve"> shifts of eight and one-half, nine, 10, or 12 hours during which they </w:t>
      </w:r>
      <w:r w:rsidR="00C07762" w:rsidRPr="007C68F1">
        <w:rPr>
          <w:shd w:val="clear" w:color="auto" w:fill="FFFFFF"/>
        </w:rPr>
        <w:t>were</w:t>
      </w:r>
      <w:r w:rsidR="00386C30" w:rsidRPr="007C68F1">
        <w:rPr>
          <w:shd w:val="clear" w:color="auto" w:fill="FFFFFF"/>
        </w:rPr>
        <w:t xml:space="preserve"> paid straight time wages only</w:t>
      </w:r>
      <w:r w:rsidR="00793872">
        <w:rPr>
          <w:shd w:val="clear" w:color="auto" w:fill="FFFFFF"/>
        </w:rPr>
        <w:t>.</w:t>
      </w:r>
      <w:r w:rsidR="00386C30" w:rsidRPr="007C68F1">
        <w:rPr>
          <w:shd w:val="clear" w:color="auto" w:fill="FFFFFF"/>
        </w:rPr>
        <w:t xml:space="preserve"> </w:t>
      </w:r>
      <w:r w:rsidR="00C07762" w:rsidRPr="007C68F1">
        <w:rPr>
          <w:shd w:val="clear" w:color="auto" w:fill="FFFFFF"/>
        </w:rPr>
        <w:t xml:space="preserve"> </w:t>
      </w:r>
      <w:r w:rsidR="00C476B5" w:rsidRPr="007C68F1">
        <w:t xml:space="preserve">The medical center instituted the relevant AWS’s through elections </w:t>
      </w:r>
      <w:r w:rsidR="00FD40EF" w:rsidRPr="007C68F1">
        <w:t>dating back to</w:t>
      </w:r>
      <w:r w:rsidR="00C476B5" w:rsidRPr="007C68F1">
        <w:t xml:space="preserve"> 2001.</w:t>
      </w:r>
    </w:p>
    <w:p w14:paraId="71AB3611" w14:textId="77777777" w:rsidR="001D13EC" w:rsidRPr="007C68F1" w:rsidRDefault="00D16B2E" w:rsidP="007D1009">
      <w:pPr>
        <w:spacing w:line="480" w:lineRule="auto"/>
        <w:ind w:firstLine="720"/>
        <w:rPr>
          <w:shd w:val="clear" w:color="auto" w:fill="FFFFFF"/>
        </w:rPr>
      </w:pPr>
      <w:r w:rsidRPr="007C68F1">
        <w:rPr>
          <w:shd w:val="clear" w:color="auto" w:fill="FFFFFF"/>
        </w:rPr>
        <w:t xml:space="preserve">Woodworth argued that </w:t>
      </w:r>
      <w:r w:rsidR="0069018A" w:rsidRPr="007C68F1">
        <w:rPr>
          <w:shd w:val="clear" w:color="auto" w:fill="FFFFFF"/>
        </w:rPr>
        <w:t xml:space="preserve">the medical center would have the burden of proving that it had instituted a valid AWS for the various work units </w:t>
      </w:r>
      <w:r w:rsidR="00C41414" w:rsidRPr="007C68F1">
        <w:rPr>
          <w:shd w:val="clear" w:color="auto" w:fill="FFFFFF"/>
        </w:rPr>
        <w:t xml:space="preserve">that were </w:t>
      </w:r>
      <w:r w:rsidR="0069018A" w:rsidRPr="007C68F1">
        <w:rPr>
          <w:shd w:val="clear" w:color="auto" w:fill="FFFFFF"/>
        </w:rPr>
        <w:t xml:space="preserve">subject to an AWS.  </w:t>
      </w:r>
      <w:r w:rsidR="00DE5269" w:rsidRPr="007C68F1">
        <w:rPr>
          <w:shd w:val="clear" w:color="auto" w:fill="FFFFFF"/>
        </w:rPr>
        <w:t xml:space="preserve">In her trial plan, she explained </w:t>
      </w:r>
      <w:r w:rsidR="00C41414" w:rsidRPr="007C68F1">
        <w:rPr>
          <w:shd w:val="clear" w:color="auto" w:fill="FFFFFF"/>
        </w:rPr>
        <w:t xml:space="preserve">that </w:t>
      </w:r>
      <w:r w:rsidR="00DE5269" w:rsidRPr="007C68F1">
        <w:rPr>
          <w:shd w:val="clear" w:color="auto" w:fill="FFFFFF"/>
        </w:rPr>
        <w:t xml:space="preserve">the medical </w:t>
      </w:r>
      <w:r w:rsidR="00C41414" w:rsidRPr="007C68F1">
        <w:rPr>
          <w:shd w:val="clear" w:color="auto" w:fill="FFFFFF"/>
        </w:rPr>
        <w:t xml:space="preserve">center </w:t>
      </w:r>
      <w:r w:rsidR="00DE5269" w:rsidRPr="007C68F1">
        <w:rPr>
          <w:shd w:val="clear" w:color="auto" w:fill="FFFFFF"/>
        </w:rPr>
        <w:t xml:space="preserve">would have to prove </w:t>
      </w:r>
      <w:r w:rsidR="00B76189" w:rsidRPr="007C68F1">
        <w:rPr>
          <w:shd w:val="clear" w:color="auto" w:fill="FFFFFF"/>
        </w:rPr>
        <w:t>that (1)</w:t>
      </w:r>
      <w:r w:rsidR="00102286">
        <w:rPr>
          <w:shd w:val="clear" w:color="auto" w:fill="FFFFFF"/>
        </w:rPr>
        <w:t xml:space="preserve"> </w:t>
      </w:r>
      <w:r w:rsidR="00B76189" w:rsidRPr="007C68F1">
        <w:rPr>
          <w:shd w:val="clear" w:color="auto" w:fill="FFFFFF"/>
        </w:rPr>
        <w:t>it made the proper written disclosures to the employees before they voted on whether to adopt the AWS, (2)</w:t>
      </w:r>
      <w:r w:rsidR="00102286">
        <w:rPr>
          <w:shd w:val="clear" w:color="auto" w:fill="FFFFFF"/>
        </w:rPr>
        <w:t xml:space="preserve"> </w:t>
      </w:r>
      <w:r w:rsidR="00B76189" w:rsidRPr="007C68F1">
        <w:rPr>
          <w:shd w:val="clear" w:color="auto" w:fill="FFFFFF"/>
        </w:rPr>
        <w:t xml:space="preserve">it duly noticed </w:t>
      </w:r>
      <w:r w:rsidR="0054347B" w:rsidRPr="007C68F1">
        <w:rPr>
          <w:shd w:val="clear" w:color="auto" w:fill="FFFFFF"/>
        </w:rPr>
        <w:t xml:space="preserve">informational </w:t>
      </w:r>
      <w:r w:rsidR="00B76189" w:rsidRPr="007C68F1">
        <w:rPr>
          <w:shd w:val="clear" w:color="auto" w:fill="FFFFFF"/>
        </w:rPr>
        <w:t>meetings with the employees before the votes, and (3)</w:t>
      </w:r>
      <w:r w:rsidR="00102286">
        <w:rPr>
          <w:shd w:val="clear" w:color="auto" w:fill="FFFFFF"/>
        </w:rPr>
        <w:t xml:space="preserve"> </w:t>
      </w:r>
      <w:r w:rsidR="00B76189" w:rsidRPr="007C68F1">
        <w:rPr>
          <w:shd w:val="clear" w:color="auto" w:fill="FFFFFF"/>
        </w:rPr>
        <w:t xml:space="preserve">each unit of affected employees voted in favor of the AWS by a two-thirds majority.  </w:t>
      </w:r>
      <w:r w:rsidR="0069018A" w:rsidRPr="007C68F1">
        <w:rPr>
          <w:shd w:val="clear" w:color="auto" w:fill="FFFFFF"/>
        </w:rPr>
        <w:t xml:space="preserve">She further argued that </w:t>
      </w:r>
      <w:r w:rsidRPr="007C68F1">
        <w:rPr>
          <w:shd w:val="clear" w:color="auto" w:fill="FFFFFF"/>
        </w:rPr>
        <w:t xml:space="preserve">there were </w:t>
      </w:r>
      <w:bookmarkStart w:id="340" w:name="dabmq_148"/>
      <w:r w:rsidRPr="007C68F1">
        <w:rPr>
          <w:shd w:val="clear" w:color="auto" w:fill="FFFFFF"/>
        </w:rPr>
        <w:t>“no true ‘individual’ issues”</w:t>
      </w:r>
      <w:bookmarkEnd w:id="340"/>
      <w:r w:rsidR="00C20785" w:rsidRPr="007C68F1">
        <w:rPr>
          <w:shd w:val="clear" w:color="auto" w:fill="FFFFFF"/>
        </w:rPr>
        <w:t xml:space="preserve"> as to this class</w:t>
      </w:r>
      <w:r w:rsidRPr="007C68F1">
        <w:rPr>
          <w:shd w:val="clear" w:color="auto" w:fill="FFFFFF"/>
        </w:rPr>
        <w:t xml:space="preserve"> because the medical center used the same method and templates for all of the AWS elections</w:t>
      </w:r>
      <w:r w:rsidR="009D5BB7" w:rsidRPr="007C68F1">
        <w:rPr>
          <w:shd w:val="clear" w:color="auto" w:fill="FFFFFF"/>
        </w:rPr>
        <w:t>.</w:t>
      </w:r>
      <w:r w:rsidR="00B76189" w:rsidRPr="007C68F1">
        <w:rPr>
          <w:shd w:val="clear" w:color="auto" w:fill="FFFFFF"/>
        </w:rPr>
        <w:t xml:space="preserve">  </w:t>
      </w:r>
      <w:r w:rsidR="006B562C" w:rsidRPr="007C68F1">
        <w:rPr>
          <w:shd w:val="clear" w:color="auto" w:fill="FFFFFF"/>
        </w:rPr>
        <w:t>She asserted that the template disclosures were invalid on their face, so the question of whether the medical center complied with the applicable legal requirements</w:t>
      </w:r>
      <w:r w:rsidR="00F94799" w:rsidRPr="007C68F1">
        <w:rPr>
          <w:shd w:val="clear" w:color="auto" w:fill="FFFFFF"/>
        </w:rPr>
        <w:t xml:space="preserve"> for disclosures</w:t>
      </w:r>
      <w:r w:rsidR="006B562C" w:rsidRPr="007C68F1">
        <w:rPr>
          <w:shd w:val="clear" w:color="auto" w:fill="FFFFFF"/>
        </w:rPr>
        <w:t xml:space="preserve">, which </w:t>
      </w:r>
      <w:r w:rsidR="00715276" w:rsidRPr="007C68F1">
        <w:rPr>
          <w:shd w:val="clear" w:color="auto" w:fill="FFFFFF"/>
        </w:rPr>
        <w:t xml:space="preserve">Wage Order </w:t>
      </w:r>
      <w:r w:rsidR="00F679FF" w:rsidRPr="007C68F1">
        <w:rPr>
          <w:shd w:val="clear" w:color="auto" w:fill="FFFFFF"/>
        </w:rPr>
        <w:t>5</w:t>
      </w:r>
      <w:r w:rsidR="006B562C" w:rsidRPr="007C68F1">
        <w:t xml:space="preserve"> </w:t>
      </w:r>
      <w:r w:rsidR="006B562C" w:rsidRPr="007C68F1">
        <w:rPr>
          <w:shd w:val="clear" w:color="auto" w:fill="FFFFFF"/>
        </w:rPr>
        <w:t xml:space="preserve">sets forth, was common to all class members. </w:t>
      </w:r>
    </w:p>
    <w:p w14:paraId="50462BBA" w14:textId="77777777" w:rsidR="00D20DFD" w:rsidRPr="007C68F1" w:rsidRDefault="00D16B2E" w:rsidP="007D1009">
      <w:pPr>
        <w:spacing w:line="480" w:lineRule="auto"/>
        <w:ind w:firstLine="720"/>
        <w:rPr>
          <w:shd w:val="clear" w:color="auto" w:fill="FFFFFF"/>
        </w:rPr>
      </w:pPr>
      <w:r w:rsidRPr="007C68F1">
        <w:rPr>
          <w:shd w:val="clear" w:color="auto" w:fill="FFFFFF"/>
        </w:rPr>
        <w:lastRenderedPageBreak/>
        <w:t xml:space="preserve">Woodworth’s evidence in support of the motion included </w:t>
      </w:r>
      <w:r w:rsidR="00090107" w:rsidRPr="007C68F1">
        <w:rPr>
          <w:shd w:val="clear" w:color="auto" w:fill="FFFFFF"/>
        </w:rPr>
        <w:t xml:space="preserve">12 </w:t>
      </w:r>
      <w:r w:rsidRPr="007C68F1">
        <w:rPr>
          <w:shd w:val="clear" w:color="auto" w:fill="FFFFFF"/>
        </w:rPr>
        <w:t xml:space="preserve">examples of AWS agreements with </w:t>
      </w:r>
      <w:r w:rsidRPr="007C68F1">
        <w:rPr>
          <w:shd w:val="clear" w:color="auto" w:fill="FFFFFF"/>
        </w:rPr>
        <w:t>various dates</w:t>
      </w:r>
      <w:r w:rsidR="005365B8" w:rsidRPr="007C68F1">
        <w:rPr>
          <w:shd w:val="clear" w:color="auto" w:fill="FFFFFF"/>
        </w:rPr>
        <w:t>.</w:t>
      </w:r>
      <w:r w:rsidRPr="007C68F1">
        <w:rPr>
          <w:shd w:val="clear" w:color="auto" w:fill="FFFFFF"/>
        </w:rPr>
        <w:t xml:space="preserve">  (</w:t>
      </w:r>
      <w:r w:rsidR="00715276" w:rsidRPr="007C68F1">
        <w:rPr>
          <w:shd w:val="clear" w:color="auto" w:fill="FFFFFF"/>
        </w:rPr>
        <w:t xml:space="preserve">See </w:t>
      </w:r>
      <w:bookmarkStart w:id="341" w:name="dabmci_5c4aa47673cc4d11a413cbde0077c95c"/>
      <w:r w:rsidR="00715276" w:rsidRPr="007C68F1">
        <w:t>Cal. Code Regs., tit. 8, § 11050, subd. 3(C)(1)</w:t>
      </w:r>
      <w:bookmarkEnd w:id="341"/>
      <w:r w:rsidR="00715276" w:rsidRPr="007C68F1">
        <w:t xml:space="preserve"> [requiring that </w:t>
      </w:r>
      <w:r w:rsidR="00253F76" w:rsidRPr="007C68F1">
        <w:t xml:space="preserve">the </w:t>
      </w:r>
      <w:r w:rsidR="00715276" w:rsidRPr="007C68F1">
        <w:t>employer</w:t>
      </w:r>
      <w:r w:rsidR="002D7F7D" w:rsidRPr="007C68F1">
        <w:t xml:space="preserve"> propose an</w:t>
      </w:r>
      <w:r w:rsidR="00715276" w:rsidRPr="007C68F1">
        <w:t xml:space="preserve"> AWS</w:t>
      </w:r>
      <w:r w:rsidR="002D7F7D" w:rsidRPr="007C68F1">
        <w:t xml:space="preserve"> to employees </w:t>
      </w:r>
      <w:bookmarkStart w:id="342" w:name="dabmq_149"/>
      <w:r w:rsidR="00715276" w:rsidRPr="007C68F1">
        <w:t>“</w:t>
      </w:r>
      <w:r w:rsidR="002D7F7D" w:rsidRPr="007C68F1">
        <w:t xml:space="preserve">in </w:t>
      </w:r>
      <w:r w:rsidR="00715276" w:rsidRPr="007C68F1">
        <w:t>the form of a written agreement”</w:t>
      </w:r>
      <w:bookmarkEnd w:id="342"/>
      <w:r w:rsidR="00715276" w:rsidRPr="007C68F1">
        <w:t>].)</w:t>
      </w:r>
      <w:r w:rsidR="00090107" w:rsidRPr="007C68F1">
        <w:t xml:space="preserve">  One agreement had a date of June 2001, and the others had a range of dates from January 2012 through March 2014.</w:t>
      </w:r>
      <w:r w:rsidR="00090107" w:rsidRPr="007C68F1">
        <w:rPr>
          <w:shd w:val="clear" w:color="auto" w:fill="FFFFFF"/>
        </w:rPr>
        <w:t xml:space="preserve">  The agreements </w:t>
      </w:r>
      <w:r w:rsidR="00140194" w:rsidRPr="007C68F1">
        <w:rPr>
          <w:shd w:val="clear" w:color="auto" w:fill="FFFFFF"/>
        </w:rPr>
        <w:t>were</w:t>
      </w:r>
      <w:r w:rsidR="00090107" w:rsidRPr="007C68F1">
        <w:rPr>
          <w:shd w:val="clear" w:color="auto" w:fill="FFFFFF"/>
        </w:rPr>
        <w:t xml:space="preserve"> substantially similar but not identical.  For </w:t>
      </w:r>
      <w:r w:rsidR="00F94799" w:rsidRPr="007C68F1">
        <w:rPr>
          <w:shd w:val="clear" w:color="auto" w:fill="FFFFFF"/>
        </w:rPr>
        <w:t>example</w:t>
      </w:r>
      <w:r w:rsidR="00140194" w:rsidRPr="007C68F1">
        <w:rPr>
          <w:shd w:val="clear" w:color="auto" w:fill="FFFFFF"/>
        </w:rPr>
        <w:t xml:space="preserve">, </w:t>
      </w:r>
      <w:r w:rsidR="00710BAB" w:rsidRPr="007C68F1">
        <w:rPr>
          <w:shd w:val="clear" w:color="auto" w:fill="FFFFFF"/>
        </w:rPr>
        <w:t>two</w:t>
      </w:r>
      <w:r w:rsidR="002F2D85" w:rsidRPr="007C68F1">
        <w:rPr>
          <w:shd w:val="clear" w:color="auto" w:fill="FFFFFF"/>
        </w:rPr>
        <w:t xml:space="preserve"> agreement</w:t>
      </w:r>
      <w:r w:rsidR="00710BAB" w:rsidRPr="007C68F1">
        <w:rPr>
          <w:shd w:val="clear" w:color="auto" w:fill="FFFFFF"/>
        </w:rPr>
        <w:t>s</w:t>
      </w:r>
      <w:r w:rsidR="002F2D85" w:rsidRPr="007C68F1">
        <w:rPr>
          <w:shd w:val="clear" w:color="auto" w:fill="FFFFFF"/>
        </w:rPr>
        <w:t xml:space="preserve"> </w:t>
      </w:r>
      <w:r w:rsidR="00F94799" w:rsidRPr="007C68F1">
        <w:rPr>
          <w:shd w:val="clear" w:color="auto" w:fill="FFFFFF"/>
        </w:rPr>
        <w:t xml:space="preserve">stated that </w:t>
      </w:r>
      <w:bookmarkStart w:id="343" w:name="dabmq_150"/>
      <w:r w:rsidR="002F2D85" w:rsidRPr="007C68F1">
        <w:rPr>
          <w:shd w:val="clear" w:color="auto" w:fill="FFFFFF"/>
        </w:rPr>
        <w:t>“</w:t>
      </w:r>
      <w:r w:rsidR="00F94799" w:rsidRPr="007C68F1">
        <w:rPr>
          <w:shd w:val="clear" w:color="auto" w:fill="FFFFFF"/>
        </w:rPr>
        <w:t>no</w:t>
      </w:r>
      <w:r w:rsidR="002F2D85" w:rsidRPr="007C68F1">
        <w:rPr>
          <w:shd w:val="clear" w:color="auto" w:fill="FFFFFF"/>
        </w:rPr>
        <w:t xml:space="preserve"> regularly scheduled shift shall be for a period of less than four hours.”</w:t>
      </w:r>
      <w:bookmarkEnd w:id="343"/>
      <w:r w:rsidR="002F2D85" w:rsidRPr="007C68F1">
        <w:rPr>
          <w:shd w:val="clear" w:color="auto" w:fill="FFFFFF"/>
        </w:rPr>
        <w:t xml:space="preserve">  </w:t>
      </w:r>
      <w:r w:rsidR="00710BAB" w:rsidRPr="007C68F1">
        <w:rPr>
          <w:shd w:val="clear" w:color="auto" w:fill="FFFFFF"/>
        </w:rPr>
        <w:t>The other agreements did not contain</w:t>
      </w:r>
      <w:r w:rsidR="002F2D85" w:rsidRPr="007C68F1">
        <w:rPr>
          <w:shd w:val="clear" w:color="auto" w:fill="FFFFFF"/>
        </w:rPr>
        <w:t xml:space="preserve"> that statement.</w:t>
      </w:r>
      <w:r w:rsidR="00710BAB" w:rsidRPr="007C68F1">
        <w:rPr>
          <w:shd w:val="clear" w:color="auto" w:fill="FFFFFF"/>
        </w:rPr>
        <w:t xml:space="preserve"> </w:t>
      </w:r>
      <w:r w:rsidR="002F2D85" w:rsidRPr="007C68F1">
        <w:rPr>
          <w:shd w:val="clear" w:color="auto" w:fill="FFFFFF"/>
        </w:rPr>
        <w:t xml:space="preserve"> </w:t>
      </w:r>
    </w:p>
    <w:p w14:paraId="2F085AA9" w14:textId="77777777" w:rsidR="004F0B65" w:rsidRPr="007C68F1" w:rsidRDefault="00D16B2E" w:rsidP="007D1009">
      <w:pPr>
        <w:spacing w:line="480" w:lineRule="auto"/>
        <w:ind w:firstLine="720"/>
        <w:rPr>
          <w:shd w:val="clear" w:color="auto" w:fill="FFFFFF"/>
        </w:rPr>
      </w:pPr>
      <w:r w:rsidRPr="007C68F1">
        <w:rPr>
          <w:shd w:val="clear" w:color="auto" w:fill="FFFFFF"/>
        </w:rPr>
        <w:t>Woodworth also offered</w:t>
      </w:r>
      <w:r w:rsidR="002D7F7D" w:rsidRPr="007C68F1">
        <w:rPr>
          <w:shd w:val="clear" w:color="auto" w:fill="FFFFFF"/>
        </w:rPr>
        <w:t xml:space="preserve"> </w:t>
      </w:r>
      <w:r w:rsidR="00FE1EC4" w:rsidRPr="007C68F1">
        <w:rPr>
          <w:shd w:val="clear" w:color="auto" w:fill="FFFFFF"/>
        </w:rPr>
        <w:t xml:space="preserve">18 </w:t>
      </w:r>
      <w:r w:rsidRPr="007C68F1">
        <w:rPr>
          <w:shd w:val="clear" w:color="auto" w:fill="FFFFFF"/>
        </w:rPr>
        <w:t xml:space="preserve">examples of written disclosures that the medical center </w:t>
      </w:r>
      <w:r w:rsidR="002D7F7D" w:rsidRPr="007C68F1">
        <w:rPr>
          <w:shd w:val="clear" w:color="auto" w:fill="FFFFFF"/>
        </w:rPr>
        <w:t xml:space="preserve">had </w:t>
      </w:r>
      <w:r w:rsidRPr="007C68F1">
        <w:rPr>
          <w:shd w:val="clear" w:color="auto" w:fill="FFFFFF"/>
        </w:rPr>
        <w:t xml:space="preserve">provided to employees </w:t>
      </w:r>
      <w:r w:rsidR="006004C6" w:rsidRPr="007C68F1">
        <w:rPr>
          <w:shd w:val="clear" w:color="auto" w:fill="FFFFFF"/>
        </w:rPr>
        <w:t>for</w:t>
      </w:r>
      <w:r w:rsidRPr="007C68F1">
        <w:rPr>
          <w:shd w:val="clear" w:color="auto" w:fill="FFFFFF"/>
        </w:rPr>
        <w:t xml:space="preserve"> AWS elections</w:t>
      </w:r>
      <w:r w:rsidR="00160C4F" w:rsidRPr="007C68F1">
        <w:rPr>
          <w:shd w:val="clear" w:color="auto" w:fill="FFFFFF"/>
        </w:rPr>
        <w:t xml:space="preserve"> in 2013 and 2014</w:t>
      </w:r>
      <w:r w:rsidRPr="007C68F1">
        <w:rPr>
          <w:shd w:val="clear" w:color="auto" w:fill="FFFFFF"/>
        </w:rPr>
        <w:t>.</w:t>
      </w:r>
      <w:r w:rsidR="000E563E" w:rsidRPr="007C68F1">
        <w:rPr>
          <w:shd w:val="clear" w:color="auto" w:fill="FFFFFF"/>
        </w:rPr>
        <w:t xml:space="preserve">  (See </w:t>
      </w:r>
      <w:bookmarkStart w:id="344" w:name="dabmci_f3d6f1d93d3e435fb961bfc063842d91"/>
      <w:r w:rsidR="000E563E" w:rsidRPr="007C68F1">
        <w:t>Cal. Code Regs., tit. 8, § 11050, subd. 3(C)(3)</w:t>
      </w:r>
      <w:bookmarkEnd w:id="344"/>
      <w:r w:rsidR="000E563E" w:rsidRPr="007C68F1">
        <w:t xml:space="preserve"> [requiring the employer to make </w:t>
      </w:r>
      <w:bookmarkStart w:id="345" w:name="dabmq_151"/>
      <w:r w:rsidR="000E563E" w:rsidRPr="007C68F1">
        <w:t>“</w:t>
      </w:r>
      <w:r w:rsidR="000E563E" w:rsidRPr="007C68F1">
        <w:rPr>
          <w:shd w:val="clear" w:color="auto" w:fill="FFFFFF"/>
        </w:rPr>
        <w:t>a disclosure in writing to the affected employees, including the effects of the proposed arrangement on the employees’ wages, hours, and benefits”</w:t>
      </w:r>
      <w:bookmarkEnd w:id="345"/>
      <w:r w:rsidR="000E563E" w:rsidRPr="007C68F1">
        <w:rPr>
          <w:shd w:val="clear" w:color="auto" w:fill="FFFFFF"/>
        </w:rPr>
        <w:t>].)</w:t>
      </w:r>
      <w:r w:rsidR="00115880" w:rsidRPr="007C68F1">
        <w:rPr>
          <w:shd w:val="clear" w:color="auto" w:fill="FFFFFF"/>
        </w:rPr>
        <w:t xml:space="preserve">  The disclosures were </w:t>
      </w:r>
      <w:r w:rsidR="00536738" w:rsidRPr="007C68F1">
        <w:rPr>
          <w:shd w:val="clear" w:color="auto" w:fill="FFFFFF"/>
        </w:rPr>
        <w:t>substantia</w:t>
      </w:r>
      <w:r w:rsidR="00684242" w:rsidRPr="007C68F1">
        <w:rPr>
          <w:shd w:val="clear" w:color="auto" w:fill="FFFFFF"/>
        </w:rPr>
        <w:t>lly similar</w:t>
      </w:r>
      <w:r w:rsidR="009C4316" w:rsidRPr="007C68F1">
        <w:rPr>
          <w:shd w:val="clear" w:color="auto" w:fill="FFFFFF"/>
        </w:rPr>
        <w:t xml:space="preserve"> but included variations</w:t>
      </w:r>
      <w:r w:rsidR="004C3CCE" w:rsidRPr="007C68F1">
        <w:rPr>
          <w:shd w:val="clear" w:color="auto" w:fill="FFFFFF"/>
        </w:rPr>
        <w:t xml:space="preserve"> for the name of the relevant work unit, the date of the AWS election, and the </w:t>
      </w:r>
      <w:r w:rsidR="00281613" w:rsidRPr="007C68F1">
        <w:rPr>
          <w:shd w:val="clear" w:color="auto" w:fill="FFFFFF"/>
        </w:rPr>
        <w:t>schedule</w:t>
      </w:r>
      <w:r w:rsidR="004C3CCE" w:rsidRPr="007C68F1">
        <w:rPr>
          <w:shd w:val="clear" w:color="auto" w:fill="FFFFFF"/>
        </w:rPr>
        <w:t xml:space="preserve"> proposed (three 12</w:t>
      </w:r>
      <w:r w:rsidR="00281613" w:rsidRPr="007C68F1">
        <w:rPr>
          <w:shd w:val="clear" w:color="auto" w:fill="FFFFFF"/>
        </w:rPr>
        <w:noBreakHyphen/>
      </w:r>
      <w:r w:rsidR="004C3CCE" w:rsidRPr="007C68F1">
        <w:rPr>
          <w:shd w:val="clear" w:color="auto" w:fill="FFFFFF"/>
        </w:rPr>
        <w:t>hour shifts</w:t>
      </w:r>
      <w:r w:rsidR="005429E6" w:rsidRPr="007C68F1">
        <w:rPr>
          <w:shd w:val="clear" w:color="auto" w:fill="FFFFFF"/>
        </w:rPr>
        <w:t xml:space="preserve">, </w:t>
      </w:r>
      <w:r w:rsidR="004C3CCE" w:rsidRPr="007C68F1">
        <w:rPr>
          <w:shd w:val="clear" w:color="auto" w:fill="FFFFFF"/>
        </w:rPr>
        <w:t>four 10</w:t>
      </w:r>
      <w:r w:rsidR="00B73B02" w:rsidRPr="007C68F1">
        <w:rPr>
          <w:shd w:val="clear" w:color="auto" w:fill="FFFFFF"/>
        </w:rPr>
        <w:noBreakHyphen/>
      </w:r>
      <w:r w:rsidR="004C3CCE" w:rsidRPr="007C68F1">
        <w:rPr>
          <w:shd w:val="clear" w:color="auto" w:fill="FFFFFF"/>
        </w:rPr>
        <w:t>hour shifts</w:t>
      </w:r>
      <w:r w:rsidR="005429E6" w:rsidRPr="007C68F1">
        <w:rPr>
          <w:shd w:val="clear" w:color="auto" w:fill="FFFFFF"/>
        </w:rPr>
        <w:t>, or four nine-hour shifts per week</w:t>
      </w:r>
      <w:r w:rsidR="004C3CCE" w:rsidRPr="007C68F1">
        <w:rPr>
          <w:shd w:val="clear" w:color="auto" w:fill="FFFFFF"/>
        </w:rPr>
        <w:t>).</w:t>
      </w:r>
    </w:p>
    <w:p w14:paraId="6E8AC1EF" w14:textId="77777777" w:rsidR="009D5BB7" w:rsidRPr="007C68F1" w:rsidRDefault="00D16B2E" w:rsidP="007D1009">
      <w:pPr>
        <w:spacing w:line="480" w:lineRule="auto"/>
        <w:ind w:firstLine="720"/>
        <w:rPr>
          <w:shd w:val="clear" w:color="auto" w:fill="FFFFFF"/>
        </w:rPr>
      </w:pPr>
      <w:r w:rsidRPr="007C68F1">
        <w:rPr>
          <w:shd w:val="clear" w:color="auto" w:fill="FFFFFF"/>
        </w:rPr>
        <w:t>Woodworth relied on deposition testimony f</w:t>
      </w:r>
      <w:r w:rsidRPr="007C68F1">
        <w:rPr>
          <w:shd w:val="clear" w:color="auto" w:fill="FFFFFF"/>
        </w:rPr>
        <w:t xml:space="preserve">rom several </w:t>
      </w:r>
      <w:r w:rsidR="00C256FA" w:rsidRPr="007C68F1">
        <w:rPr>
          <w:shd w:val="clear" w:color="auto" w:fill="FFFFFF"/>
        </w:rPr>
        <w:t xml:space="preserve">medical center employees </w:t>
      </w:r>
      <w:r w:rsidR="00AA0BD7" w:rsidRPr="007C68F1">
        <w:rPr>
          <w:shd w:val="clear" w:color="auto" w:fill="FFFFFF"/>
        </w:rPr>
        <w:t>stating</w:t>
      </w:r>
      <w:r w:rsidR="00C256FA" w:rsidRPr="007C68F1">
        <w:rPr>
          <w:shd w:val="clear" w:color="auto" w:fill="FFFFFF"/>
        </w:rPr>
        <w:t xml:space="preserve"> that the medical center </w:t>
      </w:r>
      <w:r w:rsidR="00AD0E0B" w:rsidRPr="007C68F1">
        <w:rPr>
          <w:shd w:val="clear" w:color="auto" w:fill="FFFFFF"/>
        </w:rPr>
        <w:t>used</w:t>
      </w:r>
      <w:r w:rsidR="00C256FA" w:rsidRPr="007C68F1">
        <w:rPr>
          <w:shd w:val="clear" w:color="auto" w:fill="FFFFFF"/>
        </w:rPr>
        <w:t xml:space="preserve"> templates for the AWS written disclosures</w:t>
      </w:r>
      <w:r w:rsidRPr="007C68F1">
        <w:rPr>
          <w:shd w:val="clear" w:color="auto" w:fill="FFFFFF"/>
        </w:rPr>
        <w:t>.</w:t>
      </w:r>
      <w:r w:rsidR="00C256FA" w:rsidRPr="007C68F1">
        <w:rPr>
          <w:shd w:val="clear" w:color="auto" w:fill="FFFFFF"/>
        </w:rPr>
        <w:t xml:space="preserve"> </w:t>
      </w:r>
      <w:r w:rsidR="00F96854" w:rsidRPr="007C68F1">
        <w:rPr>
          <w:shd w:val="clear" w:color="auto" w:fill="FFFFFF"/>
        </w:rPr>
        <w:t xml:space="preserve"> One employee</w:t>
      </w:r>
      <w:r w:rsidR="001D2778" w:rsidRPr="007C68F1">
        <w:rPr>
          <w:shd w:val="clear" w:color="auto" w:fill="FFFFFF"/>
        </w:rPr>
        <w:t>—</w:t>
      </w:r>
      <w:r w:rsidR="00753318" w:rsidRPr="007C68F1">
        <w:rPr>
          <w:shd w:val="clear" w:color="auto" w:fill="FFFFFF"/>
        </w:rPr>
        <w:t xml:space="preserve">Kenya Baker, </w:t>
      </w:r>
      <w:r w:rsidR="001D2778" w:rsidRPr="007C68F1">
        <w:rPr>
          <w:shd w:val="clear" w:color="auto" w:fill="FFFFFF"/>
        </w:rPr>
        <w:t xml:space="preserve">the </w:t>
      </w:r>
      <w:r w:rsidR="00D8260A" w:rsidRPr="007C68F1">
        <w:rPr>
          <w:shd w:val="clear" w:color="auto" w:fill="FFFFFF"/>
        </w:rPr>
        <w:t>manager of compensation in the human resources department</w:t>
      </w:r>
      <w:r w:rsidR="001D2778" w:rsidRPr="007C68F1">
        <w:rPr>
          <w:shd w:val="clear" w:color="auto" w:fill="FFFFFF"/>
        </w:rPr>
        <w:t>—</w:t>
      </w:r>
      <w:r w:rsidR="00D8260A" w:rsidRPr="007C68F1">
        <w:rPr>
          <w:shd w:val="clear" w:color="auto" w:fill="FFFFFF"/>
        </w:rPr>
        <w:t>testifie</w:t>
      </w:r>
      <w:r w:rsidR="00F96854" w:rsidRPr="007C68F1">
        <w:rPr>
          <w:shd w:val="clear" w:color="auto" w:fill="FFFFFF"/>
        </w:rPr>
        <w:t>d that she had made changes to the templates, but she could not recall the specific changes.</w:t>
      </w:r>
    </w:p>
    <w:p w14:paraId="5C3EE509" w14:textId="77777777" w:rsidR="00D1157D" w:rsidRPr="007C68F1" w:rsidRDefault="00D16B2E" w:rsidP="007D1009">
      <w:pPr>
        <w:spacing w:line="480" w:lineRule="auto"/>
        <w:ind w:firstLine="720"/>
        <w:rPr>
          <w:shd w:val="clear" w:color="auto" w:fill="FFFFFF"/>
        </w:rPr>
      </w:pPr>
      <w:r w:rsidRPr="007C68F1">
        <w:rPr>
          <w:shd w:val="clear" w:color="auto" w:fill="FFFFFF"/>
        </w:rPr>
        <w:lastRenderedPageBreak/>
        <w:t>Woodworth contended that all of the AWS disclosures failed to comply with Wage Order 5, because they did not fully disclose the proposed AWS’s effects on wages, hours, and benefits.</w:t>
      </w:r>
      <w:r w:rsidR="006E4F76" w:rsidRPr="007C68F1">
        <w:rPr>
          <w:shd w:val="clear" w:color="auto" w:fill="FFFFFF"/>
        </w:rPr>
        <w:t xml:space="preserve">  She identified eight claimed </w:t>
      </w:r>
      <w:r w:rsidR="00F94799" w:rsidRPr="007C68F1">
        <w:rPr>
          <w:shd w:val="clear" w:color="auto" w:fill="FFFFFF"/>
        </w:rPr>
        <w:t>omissions</w:t>
      </w:r>
      <w:r w:rsidR="006E4F76" w:rsidRPr="007C68F1">
        <w:rPr>
          <w:shd w:val="clear" w:color="auto" w:fill="FFFFFF"/>
        </w:rPr>
        <w:t xml:space="preserve"> in the disclosures.</w:t>
      </w:r>
      <w:r w:rsidR="00515C3B" w:rsidRPr="007C68F1">
        <w:rPr>
          <w:shd w:val="clear" w:color="auto" w:fill="FFFFFF"/>
        </w:rPr>
        <w:t xml:space="preserve">  </w:t>
      </w:r>
      <w:r w:rsidRPr="007C68F1">
        <w:rPr>
          <w:shd w:val="clear" w:color="auto" w:fill="FFFFFF"/>
        </w:rPr>
        <w:t>Woodworth</w:t>
      </w:r>
      <w:r w:rsidR="00EB551A" w:rsidRPr="007C68F1">
        <w:rPr>
          <w:shd w:val="clear" w:color="auto" w:fill="FFFFFF"/>
        </w:rPr>
        <w:t xml:space="preserve"> </w:t>
      </w:r>
      <w:r w:rsidR="006D2161" w:rsidRPr="007C68F1">
        <w:rPr>
          <w:shd w:val="clear" w:color="auto" w:fill="FFFFFF"/>
        </w:rPr>
        <w:t xml:space="preserve">also </w:t>
      </w:r>
      <w:r w:rsidR="00BB0D98" w:rsidRPr="007C68F1">
        <w:rPr>
          <w:shd w:val="clear" w:color="auto" w:fill="FFFFFF"/>
        </w:rPr>
        <w:t>claimed</w:t>
      </w:r>
      <w:r w:rsidR="00EB551A" w:rsidRPr="007C68F1">
        <w:rPr>
          <w:shd w:val="clear" w:color="auto" w:fill="FFFFFF"/>
        </w:rPr>
        <w:t xml:space="preserve"> that the AWS’s were invalid </w:t>
      </w:r>
      <w:r w:rsidR="006D2161" w:rsidRPr="007C68F1">
        <w:rPr>
          <w:shd w:val="clear" w:color="auto" w:fill="FFFFFF"/>
        </w:rPr>
        <w:t>because</w:t>
      </w:r>
      <w:r w:rsidR="00EB551A" w:rsidRPr="007C68F1">
        <w:rPr>
          <w:shd w:val="clear" w:color="auto" w:fill="FFFFFF"/>
        </w:rPr>
        <w:t xml:space="preserve"> </w:t>
      </w:r>
      <w:r w:rsidR="006D2161" w:rsidRPr="007C68F1">
        <w:rPr>
          <w:shd w:val="clear" w:color="auto" w:fill="FFFFFF"/>
        </w:rPr>
        <w:t xml:space="preserve">the </w:t>
      </w:r>
      <w:r w:rsidR="00EB551A" w:rsidRPr="007C68F1">
        <w:rPr>
          <w:shd w:val="clear" w:color="auto" w:fill="FFFFFF"/>
        </w:rPr>
        <w:t>AWS disclosures and agreements granted the medical center the right to terminate the AWS’s.</w:t>
      </w:r>
      <w:r w:rsidR="00BB0D98" w:rsidRPr="007C68F1">
        <w:rPr>
          <w:shd w:val="clear" w:color="auto" w:fill="FFFFFF"/>
        </w:rPr>
        <w:t xml:space="preserve"> </w:t>
      </w:r>
      <w:r w:rsidR="006D2161" w:rsidRPr="007C68F1">
        <w:rPr>
          <w:shd w:val="clear" w:color="auto" w:fill="FFFFFF"/>
        </w:rPr>
        <w:t xml:space="preserve"> She further </w:t>
      </w:r>
      <w:r w:rsidRPr="007C68F1">
        <w:rPr>
          <w:shd w:val="clear" w:color="auto" w:fill="FFFFFF"/>
        </w:rPr>
        <w:t>claimed that the medical center had not com</w:t>
      </w:r>
      <w:r w:rsidRPr="007C68F1">
        <w:rPr>
          <w:shd w:val="clear" w:color="auto" w:fill="FFFFFF"/>
        </w:rPr>
        <w:t xml:space="preserve">plied with “additional pre-election requirements,” but she did not </w:t>
      </w:r>
      <w:r w:rsidR="004041CC" w:rsidRPr="007C68F1">
        <w:rPr>
          <w:shd w:val="clear" w:color="auto" w:fill="FFFFFF"/>
        </w:rPr>
        <w:t>elaborate further</w:t>
      </w:r>
      <w:r w:rsidRPr="007C68F1">
        <w:rPr>
          <w:shd w:val="clear" w:color="auto" w:fill="FFFFFF"/>
        </w:rPr>
        <w:t xml:space="preserve">.  Instead, she cited her </w:t>
      </w:r>
      <w:r w:rsidR="009D3EDC" w:rsidRPr="007C68F1">
        <w:rPr>
          <w:shd w:val="clear" w:color="auto" w:fill="FFFFFF"/>
        </w:rPr>
        <w:t>brief in opposition to the medical center’s</w:t>
      </w:r>
      <w:r w:rsidR="004041CC" w:rsidRPr="007C68F1">
        <w:rPr>
          <w:shd w:val="clear" w:color="auto" w:fill="FFFFFF"/>
        </w:rPr>
        <w:t xml:space="preserve"> earlier</w:t>
      </w:r>
      <w:r w:rsidR="009D3EDC" w:rsidRPr="007C68F1">
        <w:rPr>
          <w:shd w:val="clear" w:color="auto" w:fill="FFFFFF"/>
        </w:rPr>
        <w:t xml:space="preserve"> motion for summary adjudication on the AWS defense.</w:t>
      </w:r>
      <w:r w:rsidR="008741A4" w:rsidRPr="007C68F1">
        <w:rPr>
          <w:shd w:val="clear" w:color="auto" w:fill="FFFFFF"/>
        </w:rPr>
        <w:t xml:space="preserve">  That brief is not part of the record.</w:t>
      </w:r>
      <w:r>
        <w:rPr>
          <w:rStyle w:val="FootnoteReference"/>
          <w:shd w:val="clear" w:color="auto" w:fill="FFFFFF"/>
        </w:rPr>
        <w:footnoteReference w:id="8"/>
      </w:r>
      <w:r w:rsidR="009D3EDC" w:rsidRPr="007C68F1">
        <w:rPr>
          <w:shd w:val="clear" w:color="auto" w:fill="FFFFFF"/>
        </w:rPr>
        <w:t xml:space="preserve">  </w:t>
      </w:r>
    </w:p>
    <w:p w14:paraId="73E563CE" w14:textId="77777777" w:rsidR="00457711" w:rsidRPr="007C68F1" w:rsidRDefault="00D16B2E" w:rsidP="007D1009">
      <w:pPr>
        <w:spacing w:line="480" w:lineRule="auto"/>
        <w:ind w:firstLine="720"/>
        <w:rPr>
          <w:shd w:val="clear" w:color="auto" w:fill="FFFFFF"/>
        </w:rPr>
      </w:pPr>
      <w:r w:rsidRPr="007C68F1">
        <w:rPr>
          <w:shd w:val="clear" w:color="auto" w:fill="FFFFFF"/>
        </w:rPr>
        <w:t xml:space="preserve">In opposition to the class certification motion, the medical center argued that </w:t>
      </w:r>
      <w:r w:rsidR="00101CE6" w:rsidRPr="007C68F1">
        <w:rPr>
          <w:shd w:val="clear" w:color="auto" w:fill="FFFFFF"/>
        </w:rPr>
        <w:t xml:space="preserve">Woodworth was not an adequate class representative because she </w:t>
      </w:r>
      <w:r w:rsidR="00515C3B" w:rsidRPr="007C68F1">
        <w:rPr>
          <w:shd w:val="clear" w:color="auto" w:fill="FFFFFF"/>
        </w:rPr>
        <w:t>had</w:t>
      </w:r>
      <w:r w:rsidR="00101CE6" w:rsidRPr="007C68F1">
        <w:rPr>
          <w:shd w:val="clear" w:color="auto" w:fill="FFFFFF"/>
        </w:rPr>
        <w:t xml:space="preserve"> a conflict of interest with the current medical center employees.  The medical center asserted that the AWS’s were popular, and the employees had voted overwhelmingly to adopt them.  </w:t>
      </w:r>
      <w:r w:rsidR="00153669" w:rsidRPr="007C68F1">
        <w:rPr>
          <w:shd w:val="clear" w:color="auto" w:fill="FFFFFF"/>
        </w:rPr>
        <w:t>I</w:t>
      </w:r>
      <w:r w:rsidR="00101CE6" w:rsidRPr="007C68F1">
        <w:rPr>
          <w:shd w:val="clear" w:color="auto" w:fill="FFFFFF"/>
        </w:rPr>
        <w:t xml:space="preserve">f they were invalidated, the medical center would </w:t>
      </w:r>
      <w:r w:rsidR="00D245C3" w:rsidRPr="007C68F1">
        <w:rPr>
          <w:shd w:val="clear" w:color="auto" w:fill="FFFFFF"/>
        </w:rPr>
        <w:t>adopt</w:t>
      </w:r>
      <w:r w:rsidR="00101CE6" w:rsidRPr="007C68F1">
        <w:rPr>
          <w:shd w:val="clear" w:color="auto" w:fill="FFFFFF"/>
        </w:rPr>
        <w:t xml:space="preserve"> five eight-hour shifts per week.</w:t>
      </w:r>
      <w:r w:rsidR="008652AC" w:rsidRPr="007C68F1">
        <w:rPr>
          <w:shd w:val="clear" w:color="auto" w:fill="FFFFFF"/>
        </w:rPr>
        <w:t xml:space="preserve">  According to the medical center, because Woodworth sought to invalidate the AWS’s</w:t>
      </w:r>
      <w:r w:rsidR="002B4070" w:rsidRPr="007C68F1">
        <w:rPr>
          <w:shd w:val="clear" w:color="auto" w:fill="FFFFFF"/>
        </w:rPr>
        <w:t xml:space="preserve"> and </w:t>
      </w:r>
      <w:r w:rsidR="008652AC" w:rsidRPr="007C68F1">
        <w:rPr>
          <w:shd w:val="clear" w:color="auto" w:fill="FFFFFF"/>
        </w:rPr>
        <w:t>the majority of employees</w:t>
      </w:r>
      <w:r w:rsidR="002B4070" w:rsidRPr="007C68F1">
        <w:rPr>
          <w:shd w:val="clear" w:color="auto" w:fill="FFFFFF"/>
        </w:rPr>
        <w:t xml:space="preserve"> had</w:t>
      </w:r>
      <w:r w:rsidR="008652AC" w:rsidRPr="007C68F1">
        <w:rPr>
          <w:shd w:val="clear" w:color="auto" w:fill="FFFFFF"/>
        </w:rPr>
        <w:t xml:space="preserve"> voted for them, she had a conflict that precluded her from representing the class.</w:t>
      </w:r>
      <w:r w:rsidR="003F2A3A" w:rsidRPr="007C68F1">
        <w:rPr>
          <w:shd w:val="clear" w:color="auto" w:fill="FFFFFF"/>
        </w:rPr>
        <w:t xml:space="preserve">  </w:t>
      </w:r>
    </w:p>
    <w:p w14:paraId="4232D85C" w14:textId="77777777" w:rsidR="007173A7" w:rsidRPr="007C68F1" w:rsidRDefault="00D16B2E" w:rsidP="007D1009">
      <w:pPr>
        <w:spacing w:line="480" w:lineRule="auto"/>
        <w:ind w:firstLine="720"/>
        <w:rPr>
          <w:shd w:val="clear" w:color="auto" w:fill="FFFFFF"/>
        </w:rPr>
      </w:pPr>
      <w:r w:rsidRPr="007C68F1">
        <w:rPr>
          <w:shd w:val="clear" w:color="auto" w:fill="FFFFFF"/>
        </w:rPr>
        <w:lastRenderedPageBreak/>
        <w:t>The medical center also argued that common questions of law or fact did not predominat</w:t>
      </w:r>
      <w:r w:rsidR="00F40E47" w:rsidRPr="007C68F1">
        <w:rPr>
          <w:shd w:val="clear" w:color="auto" w:fill="FFFFFF"/>
        </w:rPr>
        <w:t>e</w:t>
      </w:r>
      <w:r w:rsidRPr="007C68F1">
        <w:rPr>
          <w:shd w:val="clear" w:color="auto" w:fill="FFFFFF"/>
        </w:rPr>
        <w:t xml:space="preserve"> because liability would depend on reviewing the election procedures for hundreds of AWS elections</w:t>
      </w:r>
      <w:r w:rsidR="0041328F" w:rsidRPr="007C68F1">
        <w:rPr>
          <w:shd w:val="clear" w:color="auto" w:fill="FFFFFF"/>
        </w:rPr>
        <w:t>.</w:t>
      </w:r>
      <w:r w:rsidRPr="007C68F1">
        <w:rPr>
          <w:shd w:val="clear" w:color="auto" w:fill="FFFFFF"/>
        </w:rPr>
        <w:t xml:space="preserve">  The medical center offered evidence that it had conducted more than </w:t>
      </w:r>
      <w:r w:rsidR="00051008" w:rsidRPr="007C68F1">
        <w:rPr>
          <w:shd w:val="clear" w:color="auto" w:fill="FFFFFF"/>
        </w:rPr>
        <w:t>390</w:t>
      </w:r>
      <w:r w:rsidRPr="007C68F1">
        <w:rPr>
          <w:shd w:val="clear" w:color="auto" w:fill="FFFFFF"/>
        </w:rPr>
        <w:t xml:space="preserve"> AWS elections between 2001 and 2013</w:t>
      </w:r>
      <w:r w:rsidR="00051008" w:rsidRPr="007C68F1">
        <w:rPr>
          <w:shd w:val="clear" w:color="auto" w:fill="FFFFFF"/>
        </w:rPr>
        <w:t xml:space="preserve">, approximately 150 elections in 2013, and </w:t>
      </w:r>
      <w:r w:rsidRPr="007C68F1">
        <w:rPr>
          <w:shd w:val="clear" w:color="auto" w:fill="FFFFFF"/>
        </w:rPr>
        <w:t>approximately 100 elections</w:t>
      </w:r>
      <w:r w:rsidR="00051008" w:rsidRPr="007C68F1">
        <w:rPr>
          <w:shd w:val="clear" w:color="auto" w:fill="FFFFFF"/>
        </w:rPr>
        <w:t xml:space="preserve"> since 2013</w:t>
      </w:r>
      <w:r w:rsidRPr="007C68F1">
        <w:rPr>
          <w:shd w:val="clear" w:color="auto" w:fill="FFFFFF"/>
        </w:rPr>
        <w:t xml:space="preserve">.  </w:t>
      </w:r>
    </w:p>
    <w:p w14:paraId="33A32B72" w14:textId="77777777" w:rsidR="00D87323" w:rsidRPr="007C68F1" w:rsidRDefault="00D16B2E" w:rsidP="007D1009">
      <w:pPr>
        <w:spacing w:line="480" w:lineRule="auto"/>
        <w:ind w:firstLine="720"/>
        <w:rPr>
          <w:shd w:val="clear" w:color="auto" w:fill="FFFFFF"/>
        </w:rPr>
      </w:pPr>
      <w:r w:rsidRPr="007C68F1">
        <w:rPr>
          <w:shd w:val="clear" w:color="auto" w:fill="FFFFFF"/>
        </w:rPr>
        <w:t>The medical center’s opposition relied in large part on the de</w:t>
      </w:r>
      <w:r w:rsidRPr="007C68F1">
        <w:rPr>
          <w:shd w:val="clear" w:color="auto" w:fill="FFFFFF"/>
        </w:rPr>
        <w:t xml:space="preserve">claration of </w:t>
      </w:r>
      <w:r w:rsidR="00E82E09" w:rsidRPr="007C68F1">
        <w:rPr>
          <w:shd w:val="clear" w:color="auto" w:fill="FFFFFF"/>
        </w:rPr>
        <w:t>Baker</w:t>
      </w:r>
      <w:r w:rsidRPr="007C68F1">
        <w:rPr>
          <w:shd w:val="clear" w:color="auto" w:fill="FFFFFF"/>
        </w:rPr>
        <w:t>, who</w:t>
      </w:r>
      <w:r w:rsidR="00E82E09" w:rsidRPr="007C68F1">
        <w:rPr>
          <w:shd w:val="clear" w:color="auto" w:fill="FFFFFF"/>
        </w:rPr>
        <w:t xml:space="preserve"> had been directly involved in conducting AWS elections </w:t>
      </w:r>
      <w:r w:rsidR="007173A7" w:rsidRPr="007C68F1">
        <w:rPr>
          <w:shd w:val="clear" w:color="auto" w:fill="FFFFFF"/>
        </w:rPr>
        <w:t>since 2003.</w:t>
      </w:r>
      <w:r w:rsidR="00E82E09" w:rsidRPr="007C68F1">
        <w:rPr>
          <w:shd w:val="clear" w:color="auto" w:fill="FFFFFF"/>
        </w:rPr>
        <w:t xml:space="preserve">  </w:t>
      </w:r>
      <w:r w:rsidR="00AA0BD7" w:rsidRPr="007C68F1">
        <w:rPr>
          <w:shd w:val="clear" w:color="auto" w:fill="FFFFFF"/>
        </w:rPr>
        <w:t>According to</w:t>
      </w:r>
      <w:r w:rsidR="00E82E09" w:rsidRPr="007C68F1">
        <w:rPr>
          <w:shd w:val="clear" w:color="auto" w:fill="FFFFFF"/>
        </w:rPr>
        <w:t xml:space="preserve"> </w:t>
      </w:r>
      <w:r w:rsidR="00D245C3" w:rsidRPr="007C68F1">
        <w:rPr>
          <w:shd w:val="clear" w:color="auto" w:fill="FFFFFF"/>
        </w:rPr>
        <w:t>Baker’s</w:t>
      </w:r>
      <w:r w:rsidR="00E82E09" w:rsidRPr="007C68F1">
        <w:rPr>
          <w:shd w:val="clear" w:color="auto" w:fill="FFFFFF"/>
        </w:rPr>
        <w:t xml:space="preserve"> </w:t>
      </w:r>
      <w:r w:rsidR="00AA0BD7" w:rsidRPr="007C68F1">
        <w:rPr>
          <w:shd w:val="clear" w:color="auto" w:fill="FFFFFF"/>
        </w:rPr>
        <w:t>declaratio</w:t>
      </w:r>
      <w:r w:rsidR="00C16198" w:rsidRPr="007C68F1">
        <w:rPr>
          <w:shd w:val="clear" w:color="auto" w:fill="FFFFFF"/>
        </w:rPr>
        <w:t>n,</w:t>
      </w:r>
      <w:r w:rsidR="004A69CC" w:rsidRPr="007C68F1">
        <w:rPr>
          <w:shd w:val="clear" w:color="auto" w:fill="FFFFFF"/>
        </w:rPr>
        <w:t xml:space="preserve"> the medical center did not use the same templates for all AWS </w:t>
      </w:r>
      <w:r w:rsidR="00536738" w:rsidRPr="007C68F1">
        <w:rPr>
          <w:shd w:val="clear" w:color="auto" w:fill="FFFFFF"/>
        </w:rPr>
        <w:t>elections</w:t>
      </w:r>
      <w:r w:rsidR="004A69CC" w:rsidRPr="007C68F1">
        <w:rPr>
          <w:shd w:val="clear" w:color="auto" w:fill="FFFFFF"/>
        </w:rPr>
        <w:t xml:space="preserve">.  </w:t>
      </w:r>
      <w:r w:rsidR="008E7DF0" w:rsidRPr="007C68F1">
        <w:rPr>
          <w:shd w:val="clear" w:color="auto" w:fill="FFFFFF"/>
        </w:rPr>
        <w:t>Baker</w:t>
      </w:r>
      <w:r w:rsidR="004A69CC" w:rsidRPr="007C68F1">
        <w:rPr>
          <w:shd w:val="clear" w:color="auto" w:fill="FFFFFF"/>
        </w:rPr>
        <w:t xml:space="preserve"> had personally revised most of the template agreements </w:t>
      </w:r>
      <w:r w:rsidR="007173A7" w:rsidRPr="007C68F1">
        <w:rPr>
          <w:shd w:val="clear" w:color="auto" w:fill="FFFFFF"/>
        </w:rPr>
        <w:t>on which</w:t>
      </w:r>
      <w:r w:rsidR="004A69CC" w:rsidRPr="007C68F1">
        <w:rPr>
          <w:shd w:val="clear" w:color="auto" w:fill="FFFFFF"/>
        </w:rPr>
        <w:t xml:space="preserve"> Woodworth relied in her moving papers.  There were </w:t>
      </w:r>
      <w:bookmarkStart w:id="346" w:name="dabmq_152"/>
      <w:r w:rsidR="004A69CC" w:rsidRPr="007C68F1">
        <w:rPr>
          <w:shd w:val="clear" w:color="auto" w:fill="FFFFFF"/>
        </w:rPr>
        <w:t>“dozens of other forms”</w:t>
      </w:r>
      <w:bookmarkEnd w:id="346"/>
      <w:r w:rsidR="004A69CC" w:rsidRPr="007C68F1">
        <w:rPr>
          <w:shd w:val="clear" w:color="auto" w:fill="FFFFFF"/>
        </w:rPr>
        <w:t xml:space="preserve"> of agreements </w:t>
      </w:r>
      <w:r w:rsidR="001A57AF" w:rsidRPr="007C68F1">
        <w:rPr>
          <w:shd w:val="clear" w:color="auto" w:fill="FFFFFF"/>
        </w:rPr>
        <w:t xml:space="preserve">that the medical center had used for other elections.  The medical center offered 12 more examples of AWS agreements that were substantially similar but not identical. </w:t>
      </w:r>
      <w:r w:rsidR="00F70179" w:rsidRPr="007C68F1">
        <w:rPr>
          <w:shd w:val="clear" w:color="auto" w:fill="FFFFFF"/>
        </w:rPr>
        <w:t xml:space="preserve"> </w:t>
      </w:r>
      <w:r w:rsidR="00536738" w:rsidRPr="007C68F1">
        <w:rPr>
          <w:shd w:val="clear" w:color="auto" w:fill="FFFFFF"/>
        </w:rPr>
        <w:t>Baker asserted that the examples were not an exhaustive set of all templates used for the AWS elections</w:t>
      </w:r>
      <w:r w:rsidR="000A5481" w:rsidRPr="007C68F1">
        <w:rPr>
          <w:shd w:val="clear" w:color="auto" w:fill="FFFFFF"/>
        </w:rPr>
        <w:t>.  The medical center also</w:t>
      </w:r>
      <w:r w:rsidR="00536738" w:rsidRPr="007C68F1">
        <w:rPr>
          <w:shd w:val="clear" w:color="auto" w:fill="FFFFFF"/>
        </w:rPr>
        <w:t xml:space="preserve"> offered 20</w:t>
      </w:r>
      <w:r w:rsidR="000A5481" w:rsidRPr="007C68F1">
        <w:rPr>
          <w:shd w:val="clear" w:color="auto" w:fill="FFFFFF"/>
        </w:rPr>
        <w:t xml:space="preserve"> more</w:t>
      </w:r>
      <w:r w:rsidR="00536738" w:rsidRPr="007C68F1">
        <w:rPr>
          <w:shd w:val="clear" w:color="auto" w:fill="FFFFFF"/>
        </w:rPr>
        <w:t xml:space="preserve"> examples of AWS disclosure statements</w:t>
      </w:r>
      <w:r w:rsidR="000A5481" w:rsidRPr="007C68F1">
        <w:rPr>
          <w:shd w:val="clear" w:color="auto" w:fill="FFFFFF"/>
        </w:rPr>
        <w:t xml:space="preserve"> that, again, were substantially similar but not identical.  </w:t>
      </w:r>
    </w:p>
    <w:p w14:paraId="15C68F15" w14:textId="77777777" w:rsidR="004E1DCE" w:rsidRPr="007C68F1" w:rsidRDefault="00D16B2E" w:rsidP="007D1009">
      <w:pPr>
        <w:spacing w:line="480" w:lineRule="auto"/>
        <w:ind w:firstLine="720"/>
        <w:rPr>
          <w:shd w:val="clear" w:color="auto" w:fill="FFFFFF"/>
        </w:rPr>
      </w:pPr>
      <w:r w:rsidRPr="007C68F1">
        <w:rPr>
          <w:shd w:val="clear" w:color="auto" w:fill="FFFFFF"/>
        </w:rPr>
        <w:t>Setting aside the template agreements and disclosures, the medical center also argued that Woodworth sought to challenge the AWS elections for reasons that did not apply to all of the hundreds o</w:t>
      </w:r>
      <w:r w:rsidRPr="007C68F1">
        <w:rPr>
          <w:shd w:val="clear" w:color="auto" w:fill="FFFFFF"/>
        </w:rPr>
        <w:t xml:space="preserve">f elections.  </w:t>
      </w:r>
      <w:r w:rsidR="00D245C3" w:rsidRPr="007C68F1">
        <w:rPr>
          <w:shd w:val="clear" w:color="auto" w:fill="FFFFFF"/>
        </w:rPr>
        <w:t>It noted that in discovery, it had</w:t>
      </w:r>
      <w:r w:rsidR="00B62909" w:rsidRPr="007C68F1">
        <w:rPr>
          <w:shd w:val="clear" w:color="auto" w:fill="FFFFFF"/>
        </w:rPr>
        <w:t xml:space="preserve"> asked her to state the facts supporting her allegation</w:t>
      </w:r>
      <w:r w:rsidR="00EF419E" w:rsidRPr="007C68F1">
        <w:rPr>
          <w:shd w:val="clear" w:color="auto" w:fill="FFFFFF"/>
        </w:rPr>
        <w:t xml:space="preserve"> </w:t>
      </w:r>
      <w:r w:rsidR="00B62909" w:rsidRPr="007C68F1">
        <w:rPr>
          <w:shd w:val="clear" w:color="auto" w:fill="FFFFFF"/>
        </w:rPr>
        <w:t>that the medical center failed to institute a valid AWS.</w:t>
      </w:r>
      <w:r w:rsidR="008853C4" w:rsidRPr="007C68F1">
        <w:rPr>
          <w:shd w:val="clear" w:color="auto" w:fill="FFFFFF"/>
        </w:rPr>
        <w:t xml:space="preserve">  </w:t>
      </w:r>
      <w:r w:rsidR="00EF419E" w:rsidRPr="007C68F1">
        <w:rPr>
          <w:shd w:val="clear" w:color="auto" w:fill="FFFFFF"/>
        </w:rPr>
        <w:t>Woodworth responded with numerous factual theories, including</w:t>
      </w:r>
      <w:r w:rsidR="008B1F88" w:rsidRPr="007C68F1">
        <w:rPr>
          <w:shd w:val="clear" w:color="auto" w:fill="FFFFFF"/>
        </w:rPr>
        <w:t xml:space="preserve"> that </w:t>
      </w:r>
      <w:r w:rsidR="00EF419E" w:rsidRPr="007C68F1">
        <w:rPr>
          <w:shd w:val="clear" w:color="auto" w:fill="FFFFFF"/>
        </w:rPr>
        <w:t xml:space="preserve">(1) </w:t>
      </w:r>
      <w:r w:rsidR="008B1F88" w:rsidRPr="007C68F1">
        <w:rPr>
          <w:shd w:val="clear" w:color="auto" w:fill="FFFFFF"/>
        </w:rPr>
        <w:t>t</w:t>
      </w:r>
      <w:r w:rsidR="00EF419E" w:rsidRPr="007C68F1">
        <w:rPr>
          <w:shd w:val="clear" w:color="auto" w:fill="FFFFFF"/>
        </w:rPr>
        <w:t>he medical center had failed to report the results of many AWS elections to the Division of Labor Statistics and Research</w:t>
      </w:r>
      <w:r w:rsidR="00A52F1D" w:rsidRPr="007C68F1">
        <w:rPr>
          <w:shd w:val="clear" w:color="auto" w:fill="FFFFFF"/>
        </w:rPr>
        <w:t xml:space="preserve"> (DLSR)</w:t>
      </w:r>
      <w:r w:rsidR="008B1F88" w:rsidRPr="007C68F1">
        <w:rPr>
          <w:shd w:val="clear" w:color="auto" w:fill="FFFFFF"/>
        </w:rPr>
        <w:t>; and (</w:t>
      </w:r>
      <w:r w:rsidR="00531634" w:rsidRPr="007C68F1">
        <w:rPr>
          <w:shd w:val="clear" w:color="auto" w:fill="FFFFFF"/>
        </w:rPr>
        <w:t>2</w:t>
      </w:r>
      <w:r w:rsidR="007B0C0A" w:rsidRPr="007C68F1">
        <w:rPr>
          <w:shd w:val="clear" w:color="auto" w:fill="FFFFFF"/>
        </w:rPr>
        <w:t xml:space="preserve">) </w:t>
      </w:r>
      <w:r w:rsidR="008B1F88" w:rsidRPr="007C68F1">
        <w:rPr>
          <w:shd w:val="clear" w:color="auto" w:fill="FFFFFF"/>
        </w:rPr>
        <w:t>a</w:t>
      </w:r>
      <w:r w:rsidR="008F075C" w:rsidRPr="007C68F1">
        <w:rPr>
          <w:shd w:val="clear" w:color="auto" w:fill="FFFFFF"/>
        </w:rPr>
        <w:t xml:space="preserve"> change in work hours could not be </w:t>
      </w:r>
      <w:r w:rsidR="008F075C" w:rsidRPr="007C68F1">
        <w:rPr>
          <w:shd w:val="clear" w:color="auto" w:fill="FFFFFF"/>
        </w:rPr>
        <w:lastRenderedPageBreak/>
        <w:t xml:space="preserve">implemented for at least 30 days after the announcement of the election results, </w:t>
      </w:r>
      <w:r w:rsidR="00534D25" w:rsidRPr="007C68F1">
        <w:rPr>
          <w:shd w:val="clear" w:color="auto" w:fill="FFFFFF"/>
        </w:rPr>
        <w:t>but</w:t>
      </w:r>
      <w:r w:rsidR="008F075C" w:rsidRPr="007C68F1">
        <w:rPr>
          <w:shd w:val="clear" w:color="auto" w:fill="FFFFFF"/>
        </w:rPr>
        <w:t xml:space="preserve"> the medical center had implemented some AW</w:t>
      </w:r>
      <w:r w:rsidR="007B0C0A" w:rsidRPr="007C68F1">
        <w:rPr>
          <w:shd w:val="clear" w:color="auto" w:fill="FFFFFF"/>
        </w:rPr>
        <w:t xml:space="preserve">S’s </w:t>
      </w:r>
      <w:r w:rsidR="008F075C" w:rsidRPr="007C68F1">
        <w:rPr>
          <w:shd w:val="clear" w:color="auto" w:fill="FFFFFF"/>
        </w:rPr>
        <w:t xml:space="preserve">before </w:t>
      </w:r>
      <w:r w:rsidR="00A32BB3" w:rsidRPr="007C68F1">
        <w:rPr>
          <w:shd w:val="clear" w:color="auto" w:fill="FFFFFF"/>
        </w:rPr>
        <w:t xml:space="preserve">the </w:t>
      </w:r>
      <w:r w:rsidR="008F075C" w:rsidRPr="007C68F1">
        <w:rPr>
          <w:shd w:val="clear" w:color="auto" w:fill="FFFFFF"/>
        </w:rPr>
        <w:t>waiting period had expired</w:t>
      </w:r>
      <w:r w:rsidR="007B0C0A" w:rsidRPr="007C68F1">
        <w:rPr>
          <w:shd w:val="clear" w:color="auto" w:fill="FFFFFF"/>
        </w:rPr>
        <w:t>.</w:t>
      </w:r>
      <w:r w:rsidR="00531634" w:rsidRPr="007C68F1">
        <w:rPr>
          <w:shd w:val="clear" w:color="auto" w:fill="FFFFFF"/>
        </w:rPr>
        <w:t xml:space="preserve">  The medical center </w:t>
      </w:r>
      <w:r w:rsidR="00D15623" w:rsidRPr="007C68F1">
        <w:rPr>
          <w:shd w:val="clear" w:color="auto" w:fill="FFFFFF"/>
        </w:rPr>
        <w:t>also noted that</w:t>
      </w:r>
      <w:r w:rsidR="00090A1E" w:rsidRPr="007C68F1">
        <w:rPr>
          <w:shd w:val="clear" w:color="auto" w:fill="FFFFFF"/>
        </w:rPr>
        <w:t xml:space="preserve"> Woodworth had pursued another theory when deposing a medical center employee</w:t>
      </w:r>
      <w:r w:rsidR="003348D4" w:rsidRPr="007C68F1">
        <w:rPr>
          <w:shd w:val="clear" w:color="auto" w:fill="FFFFFF"/>
        </w:rPr>
        <w:t xml:space="preserve">—that </w:t>
      </w:r>
      <w:r w:rsidR="00D61F84" w:rsidRPr="007C68F1">
        <w:rPr>
          <w:shd w:val="clear" w:color="auto" w:fill="FFFFFF"/>
        </w:rPr>
        <w:t>one</w:t>
      </w:r>
      <w:r w:rsidR="003348D4" w:rsidRPr="007C68F1">
        <w:rPr>
          <w:shd w:val="clear" w:color="auto" w:fill="FFFFFF"/>
        </w:rPr>
        <w:t xml:space="preserve"> AWS was invalid because fewer than two-thirds of the affected employees had approved it.  </w:t>
      </w:r>
      <w:r w:rsidR="00534D25" w:rsidRPr="007C68F1">
        <w:rPr>
          <w:shd w:val="clear" w:color="auto" w:fill="FFFFFF"/>
        </w:rPr>
        <w:t xml:space="preserve">In </w:t>
      </w:r>
      <w:r w:rsidR="003348D4" w:rsidRPr="007C68F1">
        <w:rPr>
          <w:shd w:val="clear" w:color="auto" w:fill="FFFFFF"/>
        </w:rPr>
        <w:t xml:space="preserve">that deposition, Woodworth questioned the employee about documentation showing that out of 121 employees, 80 of them had voted in favor of the </w:t>
      </w:r>
      <w:r w:rsidR="00534D25" w:rsidRPr="007C68F1">
        <w:rPr>
          <w:shd w:val="clear" w:color="auto" w:fill="FFFFFF"/>
        </w:rPr>
        <w:t xml:space="preserve">particular </w:t>
      </w:r>
      <w:r w:rsidR="003348D4" w:rsidRPr="007C68F1">
        <w:rPr>
          <w:shd w:val="clear" w:color="auto" w:fill="FFFFFF"/>
        </w:rPr>
        <w:t xml:space="preserve">AWS, which was one vote shy of </w:t>
      </w:r>
      <w:r w:rsidR="005253E7" w:rsidRPr="007C68F1">
        <w:rPr>
          <w:shd w:val="clear" w:color="auto" w:fill="FFFFFF"/>
        </w:rPr>
        <w:t xml:space="preserve">the required </w:t>
      </w:r>
      <w:r w:rsidR="003348D4" w:rsidRPr="007C68F1">
        <w:rPr>
          <w:shd w:val="clear" w:color="auto" w:fill="FFFFFF"/>
        </w:rPr>
        <w:t>two</w:t>
      </w:r>
      <w:r w:rsidR="00534D25" w:rsidRPr="007C68F1">
        <w:rPr>
          <w:shd w:val="clear" w:color="auto" w:fill="FFFFFF"/>
        </w:rPr>
        <w:t>-</w:t>
      </w:r>
      <w:r w:rsidR="003348D4" w:rsidRPr="007C68F1">
        <w:rPr>
          <w:shd w:val="clear" w:color="auto" w:fill="FFFFFF"/>
        </w:rPr>
        <w:t>thirds</w:t>
      </w:r>
      <w:r w:rsidR="005253E7" w:rsidRPr="007C68F1">
        <w:rPr>
          <w:shd w:val="clear" w:color="auto" w:fill="FFFFFF"/>
        </w:rPr>
        <w:t xml:space="preserve"> majority</w:t>
      </w:r>
      <w:r w:rsidR="003348D4" w:rsidRPr="007C68F1">
        <w:rPr>
          <w:shd w:val="clear" w:color="auto" w:fill="FFFFFF"/>
        </w:rPr>
        <w:t>.</w:t>
      </w:r>
    </w:p>
    <w:p w14:paraId="7D6BC3DC" w14:textId="77777777" w:rsidR="00534D25" w:rsidRPr="007C68F1" w:rsidRDefault="00D16B2E" w:rsidP="007D1009">
      <w:pPr>
        <w:spacing w:line="480" w:lineRule="auto"/>
        <w:ind w:firstLine="720"/>
        <w:rPr>
          <w:shd w:val="clear" w:color="auto" w:fill="FFFFFF"/>
        </w:rPr>
      </w:pPr>
      <w:r w:rsidRPr="007C68F1">
        <w:rPr>
          <w:shd w:val="clear" w:color="auto" w:fill="FFFFFF"/>
        </w:rPr>
        <w:t xml:space="preserve">The medical center </w:t>
      </w:r>
      <w:r w:rsidR="001D5ADB" w:rsidRPr="007C68F1">
        <w:rPr>
          <w:shd w:val="clear" w:color="auto" w:fill="FFFFFF"/>
        </w:rPr>
        <w:t xml:space="preserve">argued that the failure to report the results of an AWS election, the failure to observe the 30-day waiting period, or the failure to </w:t>
      </w:r>
      <w:r w:rsidR="00404E25" w:rsidRPr="007C68F1">
        <w:rPr>
          <w:shd w:val="clear" w:color="auto" w:fill="FFFFFF"/>
        </w:rPr>
        <w:t>obtain</w:t>
      </w:r>
      <w:r w:rsidR="001D5ADB" w:rsidRPr="007C68F1">
        <w:rPr>
          <w:shd w:val="clear" w:color="auto" w:fill="FFFFFF"/>
        </w:rPr>
        <w:t xml:space="preserve"> the required two</w:t>
      </w:r>
      <w:r w:rsidR="001D5ADB" w:rsidRPr="007C68F1">
        <w:rPr>
          <w:shd w:val="clear" w:color="auto" w:fill="FFFFFF"/>
        </w:rPr>
        <w:noBreakHyphen/>
        <w:t xml:space="preserve">thirds approval might, if proven, invalidate some elections but not others in which those failures did not occur.  It thus </w:t>
      </w:r>
      <w:r w:rsidRPr="007C68F1">
        <w:rPr>
          <w:shd w:val="clear" w:color="auto" w:fill="FFFFFF"/>
        </w:rPr>
        <w:t xml:space="preserve">argued that Woodworth’s theories would require </w:t>
      </w:r>
      <w:r w:rsidR="00DD4250" w:rsidRPr="007C68F1">
        <w:rPr>
          <w:shd w:val="clear" w:color="auto" w:fill="FFFFFF"/>
        </w:rPr>
        <w:t>election-</w:t>
      </w:r>
      <w:r w:rsidRPr="007C68F1">
        <w:rPr>
          <w:shd w:val="clear" w:color="auto" w:fill="FFFFFF"/>
        </w:rPr>
        <w:t>specific</w:t>
      </w:r>
      <w:r w:rsidR="00DD4250" w:rsidRPr="007C68F1">
        <w:rPr>
          <w:shd w:val="clear" w:color="auto" w:fill="FFFFFF"/>
        </w:rPr>
        <w:t xml:space="preserve"> </w:t>
      </w:r>
      <w:r w:rsidRPr="007C68F1">
        <w:rPr>
          <w:shd w:val="clear" w:color="auto" w:fill="FFFFFF"/>
        </w:rPr>
        <w:t>evidence and would generate different results for</w:t>
      </w:r>
      <w:r w:rsidR="001D5ADB" w:rsidRPr="007C68F1">
        <w:rPr>
          <w:shd w:val="clear" w:color="auto" w:fill="FFFFFF"/>
        </w:rPr>
        <w:t xml:space="preserve"> the</w:t>
      </w:r>
      <w:r w:rsidRPr="007C68F1">
        <w:rPr>
          <w:shd w:val="clear" w:color="auto" w:fill="FFFFFF"/>
        </w:rPr>
        <w:t xml:space="preserve"> </w:t>
      </w:r>
      <w:r w:rsidR="001D5ADB" w:rsidRPr="007C68F1">
        <w:rPr>
          <w:shd w:val="clear" w:color="auto" w:fill="FFFFFF"/>
        </w:rPr>
        <w:t xml:space="preserve">hundreds of </w:t>
      </w:r>
      <w:r w:rsidRPr="007C68F1">
        <w:rPr>
          <w:shd w:val="clear" w:color="auto" w:fill="FFFFFF"/>
        </w:rPr>
        <w:t>different elections.</w:t>
      </w:r>
    </w:p>
    <w:p w14:paraId="2A45C7B5" w14:textId="77777777" w:rsidR="001664EB" w:rsidRPr="007C68F1" w:rsidRDefault="00D16B2E" w:rsidP="007D1009">
      <w:pPr>
        <w:spacing w:line="480" w:lineRule="auto"/>
        <w:ind w:firstLine="720"/>
        <w:rPr>
          <w:shd w:val="clear" w:color="auto" w:fill="FFFFFF"/>
        </w:rPr>
      </w:pPr>
      <w:r w:rsidRPr="007C68F1">
        <w:rPr>
          <w:shd w:val="clear" w:color="auto" w:fill="FFFFFF"/>
        </w:rPr>
        <w:t xml:space="preserve">In her reply brief, Woodworth continued to argue that whether the AWS disclosures </w:t>
      </w:r>
      <w:r w:rsidR="000D0E0E" w:rsidRPr="007C68F1">
        <w:rPr>
          <w:shd w:val="clear" w:color="auto" w:fill="FFFFFF"/>
        </w:rPr>
        <w:t xml:space="preserve">and agreements </w:t>
      </w:r>
      <w:r w:rsidRPr="007C68F1">
        <w:rPr>
          <w:shd w:val="clear" w:color="auto" w:fill="FFFFFF"/>
        </w:rPr>
        <w:t>complied with Wage Order 5</w:t>
      </w:r>
      <w:r w:rsidR="00F679FF" w:rsidRPr="007C68F1">
        <w:rPr>
          <w:shd w:val="clear" w:color="auto" w:fill="FFFFFF"/>
        </w:rPr>
        <w:t xml:space="preserve"> </w:t>
      </w:r>
      <w:r w:rsidRPr="007C68F1">
        <w:rPr>
          <w:shd w:val="clear" w:color="auto" w:fill="FFFFFF"/>
        </w:rPr>
        <w:t xml:space="preserve">presented a common question </w:t>
      </w:r>
      <w:r w:rsidR="000D0E0E" w:rsidRPr="007C68F1">
        <w:rPr>
          <w:shd w:val="clear" w:color="auto" w:fill="FFFFFF"/>
        </w:rPr>
        <w:t xml:space="preserve">applicable to </w:t>
      </w:r>
      <w:r w:rsidRPr="007C68F1">
        <w:rPr>
          <w:shd w:val="clear" w:color="auto" w:fill="FFFFFF"/>
        </w:rPr>
        <w:t>all AWS Overtime Class members</w:t>
      </w:r>
      <w:r w:rsidR="000D0E0E" w:rsidRPr="007C68F1">
        <w:rPr>
          <w:shd w:val="clear" w:color="auto" w:fill="FFFFFF"/>
        </w:rPr>
        <w:t xml:space="preserve">.  She </w:t>
      </w:r>
      <w:r w:rsidR="00926265" w:rsidRPr="007C68F1">
        <w:rPr>
          <w:shd w:val="clear" w:color="auto" w:fill="FFFFFF"/>
        </w:rPr>
        <w:t>argued</w:t>
      </w:r>
      <w:r w:rsidR="000D0E0E" w:rsidRPr="007C68F1">
        <w:rPr>
          <w:shd w:val="clear" w:color="auto" w:fill="FFFFFF"/>
        </w:rPr>
        <w:t xml:space="preserve"> that her other theories of liability</w:t>
      </w:r>
      <w:r w:rsidR="00926265" w:rsidRPr="007C68F1">
        <w:rPr>
          <w:shd w:val="clear" w:color="auto" w:fill="FFFFFF"/>
        </w:rPr>
        <w:t xml:space="preserve">—such as the failure to observe the 30-day waiting period or the failure to report AWS election results to the </w:t>
      </w:r>
      <w:r w:rsidR="00FB0544" w:rsidRPr="007C68F1">
        <w:rPr>
          <w:shd w:val="clear" w:color="auto" w:fill="FFFFFF"/>
        </w:rPr>
        <w:t>DLSR</w:t>
      </w:r>
      <w:r w:rsidR="00926265" w:rsidRPr="007C68F1">
        <w:rPr>
          <w:shd w:val="clear" w:color="auto" w:fill="FFFFFF"/>
        </w:rPr>
        <w:t>—did not preclude certification.</w:t>
      </w:r>
      <w:r w:rsidR="009F7A82" w:rsidRPr="007C68F1">
        <w:rPr>
          <w:shd w:val="clear" w:color="auto" w:fill="FFFFFF"/>
        </w:rPr>
        <w:t xml:space="preserve">  She contended that to the extent those theories applied </w:t>
      </w:r>
      <w:r w:rsidR="006967D1" w:rsidRPr="007C68F1">
        <w:rPr>
          <w:shd w:val="clear" w:color="auto" w:fill="FFFFFF"/>
        </w:rPr>
        <w:t xml:space="preserve">to some but not all </w:t>
      </w:r>
      <w:r w:rsidR="009F7A82" w:rsidRPr="007C68F1">
        <w:rPr>
          <w:shd w:val="clear" w:color="auto" w:fill="FFFFFF"/>
        </w:rPr>
        <w:t>AWS elections, the court could certify subclasses to address them.</w:t>
      </w:r>
    </w:p>
    <w:p w14:paraId="520B3D19" w14:textId="77777777" w:rsidR="006B265E" w:rsidRPr="007C68F1" w:rsidRDefault="00D16B2E" w:rsidP="007D1009">
      <w:pPr>
        <w:spacing w:line="480" w:lineRule="auto"/>
        <w:ind w:firstLine="720"/>
        <w:rPr>
          <w:shd w:val="clear" w:color="auto" w:fill="FFFFFF"/>
        </w:rPr>
      </w:pPr>
      <w:r w:rsidRPr="007C68F1">
        <w:rPr>
          <w:shd w:val="clear" w:color="auto" w:fill="FFFFFF"/>
        </w:rPr>
        <w:lastRenderedPageBreak/>
        <w:t xml:space="preserve">The trial court denied certification of </w:t>
      </w:r>
      <w:r w:rsidR="00D15CF3" w:rsidRPr="007C68F1">
        <w:rPr>
          <w:shd w:val="clear" w:color="auto" w:fill="FFFFFF"/>
        </w:rPr>
        <w:t xml:space="preserve">the </w:t>
      </w:r>
      <w:r w:rsidRPr="007C68F1">
        <w:rPr>
          <w:shd w:val="clear" w:color="auto" w:fill="FFFFFF"/>
        </w:rPr>
        <w:t>AWS Overtime Clas</w:t>
      </w:r>
      <w:r w:rsidR="00D15CF3" w:rsidRPr="007C68F1">
        <w:rPr>
          <w:shd w:val="clear" w:color="auto" w:fill="FFFFFF"/>
        </w:rPr>
        <w:t>s for several reasons.</w:t>
      </w:r>
      <w:r w:rsidR="005D66E1" w:rsidRPr="007C68F1">
        <w:rPr>
          <w:shd w:val="clear" w:color="auto" w:fill="FFFFFF"/>
        </w:rPr>
        <w:t xml:space="preserve">  </w:t>
      </w:r>
      <w:r w:rsidR="000E32CD" w:rsidRPr="007C68F1">
        <w:rPr>
          <w:shd w:val="clear" w:color="auto" w:fill="FFFFFF"/>
        </w:rPr>
        <w:t>To start</w:t>
      </w:r>
      <w:r w:rsidR="005D66E1" w:rsidRPr="007C68F1">
        <w:rPr>
          <w:shd w:val="clear" w:color="auto" w:fill="FFFFFF"/>
        </w:rPr>
        <w:t xml:space="preserve">, </w:t>
      </w:r>
      <w:r w:rsidR="000E32CD" w:rsidRPr="007C68F1">
        <w:rPr>
          <w:shd w:val="clear" w:color="auto" w:fill="FFFFFF"/>
        </w:rPr>
        <w:t>the court</w:t>
      </w:r>
      <w:r w:rsidR="005D66E1" w:rsidRPr="007C68F1">
        <w:rPr>
          <w:shd w:val="clear" w:color="auto" w:fill="FFFFFF"/>
        </w:rPr>
        <w:t xml:space="preserve"> concluded that Woodworth was not an adequate </w:t>
      </w:r>
      <w:r w:rsidR="005253E7" w:rsidRPr="007C68F1">
        <w:rPr>
          <w:shd w:val="clear" w:color="auto" w:fill="FFFFFF"/>
        </w:rPr>
        <w:t>class r</w:t>
      </w:r>
      <w:r w:rsidR="005D66E1" w:rsidRPr="007C68F1">
        <w:rPr>
          <w:shd w:val="clear" w:color="auto" w:fill="FFFFFF"/>
        </w:rPr>
        <w:t xml:space="preserve">epresentative, because she had a conflict of interest with the </w:t>
      </w:r>
      <w:r w:rsidR="005253E7" w:rsidRPr="007C68F1">
        <w:rPr>
          <w:shd w:val="clear" w:color="auto" w:fill="FFFFFF"/>
        </w:rPr>
        <w:t>AWS Overtime Class</w:t>
      </w:r>
      <w:r w:rsidR="005D66E1" w:rsidRPr="007C68F1">
        <w:rPr>
          <w:shd w:val="clear" w:color="auto" w:fill="FFFFFF"/>
        </w:rPr>
        <w:t xml:space="preserve">. </w:t>
      </w:r>
      <w:r w:rsidR="005253E7" w:rsidRPr="007C68F1">
        <w:rPr>
          <w:shd w:val="clear" w:color="auto" w:fill="FFFFFF"/>
        </w:rPr>
        <w:t xml:space="preserve"> </w:t>
      </w:r>
    </w:p>
    <w:p w14:paraId="1433D9D4" w14:textId="77777777" w:rsidR="008741A4" w:rsidRPr="007C68F1" w:rsidRDefault="00D16B2E" w:rsidP="007D1009">
      <w:pPr>
        <w:spacing w:line="480" w:lineRule="auto"/>
        <w:ind w:firstLine="720"/>
        <w:rPr>
          <w:shd w:val="clear" w:color="auto" w:fill="FFFFFF"/>
        </w:rPr>
      </w:pPr>
      <w:r w:rsidRPr="007C68F1">
        <w:rPr>
          <w:shd w:val="clear" w:color="auto" w:fill="FFFFFF"/>
        </w:rPr>
        <w:t xml:space="preserve">In addition, the court concluded that </w:t>
      </w:r>
      <w:r w:rsidR="00684C8E" w:rsidRPr="007C68F1">
        <w:rPr>
          <w:shd w:val="clear" w:color="auto" w:fill="FFFFFF"/>
        </w:rPr>
        <w:t>common questions of law or fact did not predominate</w:t>
      </w:r>
      <w:r w:rsidR="00E455C5" w:rsidRPr="007C68F1">
        <w:rPr>
          <w:shd w:val="clear" w:color="auto" w:fill="FFFFFF"/>
        </w:rPr>
        <w:t>, so Woodworth failed to show a well-defined community of interest</w:t>
      </w:r>
      <w:r w:rsidR="00684C8E" w:rsidRPr="007C68F1">
        <w:rPr>
          <w:shd w:val="clear" w:color="auto" w:fill="FFFFFF"/>
        </w:rPr>
        <w:t>.</w:t>
      </w:r>
      <w:r w:rsidR="002C40D9" w:rsidRPr="007C68F1">
        <w:rPr>
          <w:shd w:val="clear" w:color="auto" w:fill="FFFFFF"/>
        </w:rPr>
        <w:t xml:space="preserve">  It observed that proof of liability would depend on the validity of potentially hundreds of different AWS elections.  </w:t>
      </w:r>
      <w:r w:rsidR="00736395" w:rsidRPr="007C68F1">
        <w:rPr>
          <w:shd w:val="clear" w:color="auto" w:fill="FFFFFF"/>
        </w:rPr>
        <w:t xml:space="preserve">The court rejected Woodworth’s argument that the AWS templates permitted common proof, noting that even if the documents were similar, that </w:t>
      </w:r>
      <w:bookmarkStart w:id="347" w:name="dabmq_153"/>
      <w:r w:rsidR="00736395" w:rsidRPr="007C68F1">
        <w:rPr>
          <w:shd w:val="clear" w:color="auto" w:fill="FFFFFF"/>
        </w:rPr>
        <w:t>“does not show they [were] the same.”</w:t>
      </w:r>
      <w:bookmarkEnd w:id="347"/>
      <w:r w:rsidR="00E84CF5" w:rsidRPr="007C68F1">
        <w:rPr>
          <w:shd w:val="clear" w:color="auto" w:fill="FFFFFF"/>
        </w:rPr>
        <w:t xml:space="preserve">  The court also observed that one of Woodworth’s theories of liability—the failure to gain </w:t>
      </w:r>
      <w:r w:rsidR="006B265E" w:rsidRPr="007C68F1">
        <w:rPr>
          <w:shd w:val="clear" w:color="auto" w:fill="FFFFFF"/>
        </w:rPr>
        <w:t>a</w:t>
      </w:r>
      <w:r w:rsidR="00E84CF5" w:rsidRPr="007C68F1">
        <w:rPr>
          <w:shd w:val="clear" w:color="auto" w:fill="FFFFFF"/>
        </w:rPr>
        <w:t xml:space="preserve"> two-thirds majority approval—</w:t>
      </w:r>
      <w:r w:rsidR="006B265E" w:rsidRPr="007C68F1">
        <w:rPr>
          <w:shd w:val="clear" w:color="auto" w:fill="FFFFFF"/>
        </w:rPr>
        <w:t xml:space="preserve">would require individual proof.  </w:t>
      </w:r>
      <w:r w:rsidR="00DA1B0A" w:rsidRPr="007C68F1">
        <w:rPr>
          <w:shd w:val="clear" w:color="auto" w:fill="FFFFFF"/>
        </w:rPr>
        <w:t xml:space="preserve">And </w:t>
      </w:r>
      <w:r w:rsidR="006B265E" w:rsidRPr="007C68F1">
        <w:rPr>
          <w:shd w:val="clear" w:color="auto" w:fill="FFFFFF"/>
        </w:rPr>
        <w:t xml:space="preserve">the court rejected Woodworth’s argument </w:t>
      </w:r>
      <w:r w:rsidR="000E32CD" w:rsidRPr="007C68F1">
        <w:rPr>
          <w:shd w:val="clear" w:color="auto" w:fill="FFFFFF"/>
        </w:rPr>
        <w:t>that the court could certify subclasses to</w:t>
      </w:r>
      <w:r w:rsidR="006B265E" w:rsidRPr="007C68F1">
        <w:rPr>
          <w:shd w:val="clear" w:color="auto" w:fill="FFFFFF"/>
        </w:rPr>
        <w:t xml:space="preserve"> deal with the various theories of liability</w:t>
      </w:r>
      <w:r w:rsidR="000E32CD" w:rsidRPr="007C68F1">
        <w:rPr>
          <w:shd w:val="clear" w:color="auto" w:fill="FFFFFF"/>
        </w:rPr>
        <w:t xml:space="preserve">, noting that it was unclear whether the proposed subclasses would require the parties </w:t>
      </w:r>
      <w:bookmarkStart w:id="348" w:name="dabmq_154"/>
      <w:r w:rsidR="000E32CD" w:rsidRPr="007C68F1">
        <w:rPr>
          <w:shd w:val="clear" w:color="auto" w:fill="FFFFFF"/>
        </w:rPr>
        <w:t>“to go back to the drawing board on discovery that should have occurred pre-certification</w:t>
      </w:r>
      <w:r w:rsidR="006B265E" w:rsidRPr="007C68F1">
        <w:rPr>
          <w:shd w:val="clear" w:color="auto" w:fill="FFFFFF"/>
        </w:rPr>
        <w:t>.</w:t>
      </w:r>
      <w:r w:rsidR="000E32CD" w:rsidRPr="007C68F1">
        <w:rPr>
          <w:shd w:val="clear" w:color="auto" w:fill="FFFFFF"/>
        </w:rPr>
        <w:t>”</w:t>
      </w:r>
      <w:bookmarkEnd w:id="348"/>
      <w:r w:rsidR="00453504" w:rsidRPr="007C68F1">
        <w:rPr>
          <w:shd w:val="clear" w:color="auto" w:fill="FFFFFF"/>
        </w:rPr>
        <w:t xml:space="preserve">  </w:t>
      </w:r>
      <w:r w:rsidR="00BF3BF5" w:rsidRPr="007C68F1">
        <w:rPr>
          <w:shd w:val="clear" w:color="auto" w:fill="FFFFFF"/>
        </w:rPr>
        <w:t>Lastly, t</w:t>
      </w:r>
      <w:r w:rsidR="002C40D9" w:rsidRPr="007C68F1">
        <w:rPr>
          <w:shd w:val="clear" w:color="auto" w:fill="FFFFFF"/>
        </w:rPr>
        <w:t>he court</w:t>
      </w:r>
      <w:r w:rsidR="005B435E" w:rsidRPr="007C68F1">
        <w:rPr>
          <w:shd w:val="clear" w:color="auto" w:fill="FFFFFF"/>
        </w:rPr>
        <w:t xml:space="preserve"> ruled that Woodworth had not provided a manageable trial plan </w:t>
      </w:r>
      <w:r w:rsidR="00BF3BF5" w:rsidRPr="007C68F1">
        <w:rPr>
          <w:shd w:val="clear" w:color="auto" w:fill="FFFFFF"/>
        </w:rPr>
        <w:t>for dealing with the validity of hundreds of AWS elections.</w:t>
      </w:r>
    </w:p>
    <w:p w14:paraId="24384327" w14:textId="77777777" w:rsidR="002B5D90" w:rsidRPr="007C68F1" w:rsidRDefault="00D16B2E" w:rsidP="007D1009">
      <w:pPr>
        <w:keepNext/>
        <w:spacing w:line="480" w:lineRule="auto"/>
        <w:ind w:left="1440" w:firstLine="720"/>
      </w:pPr>
      <w:r w:rsidRPr="007C68F1">
        <w:rPr>
          <w:shd w:val="clear" w:color="auto" w:fill="FFFFFF"/>
        </w:rPr>
        <w:t xml:space="preserve">ii. </w:t>
      </w:r>
      <w:r w:rsidR="00D129E9" w:rsidRPr="007C68F1">
        <w:rPr>
          <w:shd w:val="clear" w:color="auto" w:fill="FFFFFF"/>
        </w:rPr>
        <w:t xml:space="preserve"> </w:t>
      </w:r>
      <w:r w:rsidRPr="007C68F1">
        <w:rPr>
          <w:i/>
          <w:iCs/>
          <w:shd w:val="clear" w:color="auto" w:fill="FFFFFF"/>
        </w:rPr>
        <w:t>Analysis</w:t>
      </w:r>
      <w:r w:rsidRPr="007C68F1">
        <w:t xml:space="preserve"> </w:t>
      </w:r>
    </w:p>
    <w:p w14:paraId="1D74FE4B" w14:textId="77777777" w:rsidR="002B5D90" w:rsidRPr="007C68F1" w:rsidRDefault="00D16B2E" w:rsidP="007D1009">
      <w:pPr>
        <w:keepNext/>
        <w:spacing w:line="480" w:lineRule="auto"/>
        <w:ind w:firstLine="720"/>
      </w:pPr>
      <w:r w:rsidRPr="007C68F1">
        <w:t>Section 510 mandates that employees receive one and one-half times their regular rate of pay for work in excess o</w:t>
      </w:r>
      <w:r w:rsidRPr="007C68F1">
        <w:t>f eight hours per workday, unless an exception applies.  (§ 510, subd. (a).)  A validly adopted AWS is one such exception.  (</w:t>
      </w:r>
      <w:bookmarkStart w:id="349" w:name="dabmci_419a30f4c5ac4daba5bd2f572b3c0c29"/>
      <w:r w:rsidRPr="007C68F1">
        <w:rPr>
          <w:i/>
        </w:rPr>
        <w:t>Ibid</w:t>
      </w:r>
      <w:bookmarkEnd w:id="349"/>
      <w:r w:rsidRPr="007C68F1">
        <w:t xml:space="preserve">.)  As an exception to the overtime </w:t>
      </w:r>
      <w:r w:rsidR="00482B33" w:rsidRPr="007C68F1">
        <w:t>rules</w:t>
      </w:r>
      <w:r w:rsidRPr="007C68F1">
        <w:t>, a properly adopted AWS constitutes an affirmative defense that the employer bears th</w:t>
      </w:r>
      <w:r w:rsidRPr="007C68F1">
        <w:t>e burden of proving.  (</w:t>
      </w:r>
      <w:bookmarkStart w:id="350" w:name="dabmci_940d340bf7a64dbd84c2428ac8a646d9"/>
      <w:r w:rsidRPr="007C68F1">
        <w:rPr>
          <w:i/>
          <w:iCs/>
          <w:bdr w:val="none" w:sz="0" w:space="0" w:color="auto" w:frame="1"/>
        </w:rPr>
        <w:t>Ramirez v. Yosemite Water Co.</w:t>
      </w:r>
      <w:r w:rsidRPr="007C68F1">
        <w:t xml:space="preserve"> </w:t>
      </w:r>
      <w:r w:rsidRPr="007C68F1">
        <w:lastRenderedPageBreak/>
        <w:t>(1999) 20 Cal.4th 785, 794-795</w:t>
      </w:r>
      <w:r w:rsidR="00482B33" w:rsidRPr="007C68F1">
        <w:t xml:space="preserve"> (</w:t>
      </w:r>
      <w:r w:rsidR="00482B33" w:rsidRPr="007C68F1">
        <w:rPr>
          <w:i/>
          <w:iCs/>
        </w:rPr>
        <w:t>Ramirez</w:t>
      </w:r>
      <w:r w:rsidR="00482B33" w:rsidRPr="007C68F1">
        <w:t>)</w:t>
      </w:r>
      <w:bookmarkEnd w:id="350"/>
      <w:r w:rsidRPr="007C68F1">
        <w:t xml:space="preserve">; </w:t>
      </w:r>
      <w:bookmarkStart w:id="351" w:name="dabmci_8ac4d69844db4d15b560f99c37a84814"/>
      <w:r w:rsidRPr="007C68F1">
        <w:rPr>
          <w:i/>
          <w:iCs/>
        </w:rPr>
        <w:t>Maldonado</w:t>
      </w:r>
      <w:r w:rsidRPr="007C68F1">
        <w:t xml:space="preserve">, </w:t>
      </w:r>
      <w:r w:rsidRPr="007C68F1">
        <w:rPr>
          <w:i/>
          <w:iCs/>
        </w:rPr>
        <w:t>supra</w:t>
      </w:r>
      <w:r w:rsidRPr="007C68F1">
        <w:t>, 22 Cal.App.5th at p.</w:t>
      </w:r>
      <w:r w:rsidR="00A76BDA" w:rsidRPr="007C68F1">
        <w:t> </w:t>
      </w:r>
      <w:r w:rsidRPr="007C68F1">
        <w:t>1327</w:t>
      </w:r>
      <w:bookmarkEnd w:id="351"/>
      <w:r w:rsidRPr="007C68F1">
        <w:t>.)</w:t>
      </w:r>
    </w:p>
    <w:p w14:paraId="2C4C55E5" w14:textId="77777777" w:rsidR="002B5D90" w:rsidRPr="007C68F1" w:rsidRDefault="00D16B2E" w:rsidP="007D1009">
      <w:pPr>
        <w:spacing w:line="480" w:lineRule="auto"/>
        <w:ind w:firstLine="720"/>
      </w:pPr>
      <w:r w:rsidRPr="007C68F1">
        <w:t>When the Legislature enacted section 510, it also directed the IWC to issue wage orders regulating AWS’s for the he</w:t>
      </w:r>
      <w:r w:rsidRPr="007C68F1">
        <w:t xml:space="preserve">alth care industry and other industries.  (§ 517, subds. (a)-(b); </w:t>
      </w:r>
      <w:bookmarkStart w:id="352" w:name="dabmci_33ffa84904fa4f6ca706596d578d35c5"/>
      <w:r w:rsidRPr="007C68F1">
        <w:rPr>
          <w:i/>
          <w:iCs/>
          <w:bdr w:val="none" w:sz="0" w:space="0" w:color="auto" w:frame="1"/>
        </w:rPr>
        <w:t>Singh</w:t>
      </w:r>
      <w:r w:rsidR="00B72AD0">
        <w:rPr>
          <w:bdr w:val="none" w:sz="0" w:space="0" w:color="auto" w:frame="1"/>
        </w:rPr>
        <w:t xml:space="preserve">, </w:t>
      </w:r>
      <w:r w:rsidR="00B72AD0">
        <w:rPr>
          <w:i/>
          <w:iCs/>
          <w:bdr w:val="none" w:sz="0" w:space="0" w:color="auto" w:frame="1"/>
        </w:rPr>
        <w:t>supra</w:t>
      </w:r>
      <w:r w:rsidR="00B72AD0">
        <w:rPr>
          <w:bdr w:val="none" w:sz="0" w:space="0" w:color="auto" w:frame="1"/>
        </w:rPr>
        <w:t>,</w:t>
      </w:r>
      <w:r w:rsidRPr="007C68F1">
        <w:t xml:space="preserve"> 140 Cal.App.4th</w:t>
      </w:r>
      <w:r w:rsidR="00C23AF9">
        <w:t xml:space="preserve"> </w:t>
      </w:r>
      <w:r w:rsidR="00B72AD0">
        <w:t>at pp.</w:t>
      </w:r>
      <w:r w:rsidRPr="007C68F1">
        <w:t xml:space="preserve"> 396-397</w:t>
      </w:r>
      <w:bookmarkEnd w:id="352"/>
      <w:r w:rsidRPr="007C68F1">
        <w:t xml:space="preserve">.)  </w:t>
      </w:r>
      <w:r w:rsidR="005F7FAD" w:rsidRPr="007C68F1">
        <w:t xml:space="preserve">The IWC’s wage orders </w:t>
      </w:r>
      <w:bookmarkStart w:id="353" w:name="dabmq_155"/>
      <w:r w:rsidR="005F7FAD" w:rsidRPr="007C68F1">
        <w:t>“are legislative regulations specifying minimum requirements with respect to wages, hours, and working conditions.”</w:t>
      </w:r>
      <w:bookmarkEnd w:id="353"/>
      <w:r w:rsidR="005F7FAD" w:rsidRPr="007C68F1">
        <w:t xml:space="preserve">  (</w:t>
      </w:r>
      <w:bookmarkStart w:id="354" w:name="dabmci_54c588f1020e4fcc84852db3172fcd57"/>
      <w:r w:rsidR="005F7FAD" w:rsidRPr="007C68F1">
        <w:rPr>
          <w:i/>
          <w:iCs/>
          <w:bdr w:val="none" w:sz="0" w:space="0" w:color="auto" w:frame="1"/>
        </w:rPr>
        <w:t>Augustus v. ABM Security Services, Inc.</w:t>
      </w:r>
      <w:r w:rsidR="005F7FAD" w:rsidRPr="007C68F1">
        <w:t xml:space="preserve"> (2016) 2 Cal.5th 257, 26</w:t>
      </w:r>
      <w:r w:rsidR="0021599F" w:rsidRPr="007C68F1">
        <w:t>2</w:t>
      </w:r>
      <w:r w:rsidR="005F7FAD" w:rsidRPr="007C68F1">
        <w:t>, fn. 5</w:t>
      </w:r>
      <w:r w:rsidR="00A319A2" w:rsidRPr="007C68F1">
        <w:t xml:space="preserve"> (</w:t>
      </w:r>
      <w:r w:rsidR="00A319A2" w:rsidRPr="007C68F1">
        <w:rPr>
          <w:i/>
          <w:iCs/>
        </w:rPr>
        <w:t>Augustus</w:t>
      </w:r>
      <w:r w:rsidR="00A319A2" w:rsidRPr="007C68F1">
        <w:t>)</w:t>
      </w:r>
      <w:bookmarkEnd w:id="354"/>
      <w:r w:rsidR="00A319A2" w:rsidRPr="007C68F1">
        <w:t>.</w:t>
      </w:r>
      <w:r w:rsidR="005F7FAD" w:rsidRPr="007C68F1">
        <w:t xml:space="preserve">)  </w:t>
      </w:r>
      <w:r w:rsidR="00C23AF9">
        <w:t xml:space="preserve">As already explained, </w:t>
      </w:r>
      <w:bookmarkStart w:id="355" w:name="dabmq_156"/>
      <w:r w:rsidR="005F7FAD" w:rsidRPr="007C68F1">
        <w:t>“</w:t>
      </w:r>
      <w:r w:rsidR="00C23AF9">
        <w:t>[t]</w:t>
      </w:r>
      <w:r w:rsidR="005F7FAD" w:rsidRPr="007C68F1">
        <w:t xml:space="preserve">he </w:t>
      </w:r>
      <w:r w:rsidRPr="007C68F1">
        <w:rPr>
          <w:bdr w:val="none" w:sz="0" w:space="0" w:color="auto" w:frame="1"/>
          <w:shd w:val="clear" w:color="auto" w:fill="FFFFFF"/>
        </w:rPr>
        <w:t>IWC’s</w:t>
      </w:r>
      <w:r w:rsidR="00A319A2" w:rsidRPr="007C68F1">
        <w:rPr>
          <w:bdr w:val="none" w:sz="0" w:space="0" w:color="auto" w:frame="1"/>
          <w:shd w:val="clear" w:color="auto" w:fill="FFFFFF"/>
        </w:rPr>
        <w:t xml:space="preserve"> </w:t>
      </w:r>
      <w:r w:rsidRPr="007C68F1">
        <w:rPr>
          <w:bdr w:val="none" w:sz="0" w:space="0" w:color="auto" w:frame="1"/>
          <w:shd w:val="clear" w:color="auto" w:fill="FFFFFF"/>
        </w:rPr>
        <w:t>wage</w:t>
      </w:r>
      <w:r w:rsidR="00A319A2" w:rsidRPr="007C68F1">
        <w:rPr>
          <w:shd w:val="clear" w:color="auto" w:fill="FFFFFF"/>
        </w:rPr>
        <w:t xml:space="preserve"> </w:t>
      </w:r>
      <w:r w:rsidRPr="007C68F1">
        <w:rPr>
          <w:bdr w:val="none" w:sz="0" w:space="0" w:color="auto" w:frame="1"/>
          <w:shd w:val="clear" w:color="auto" w:fill="FFFFFF"/>
        </w:rPr>
        <w:t>orders</w:t>
      </w:r>
      <w:r w:rsidR="00A319A2" w:rsidRPr="007C68F1">
        <w:rPr>
          <w:shd w:val="clear" w:color="auto" w:fill="FFFFFF"/>
        </w:rPr>
        <w:t xml:space="preserve"> </w:t>
      </w:r>
      <w:r w:rsidRPr="007C68F1">
        <w:rPr>
          <w:shd w:val="clear" w:color="auto" w:fill="FFFFFF"/>
        </w:rPr>
        <w:t>are to be accorded the same dignity as statutes.  They are ‘presumptively valid’ . . . .”</w:t>
      </w:r>
      <w:bookmarkEnd w:id="355"/>
      <w:r w:rsidRPr="007C68F1">
        <w:rPr>
          <w:shd w:val="clear" w:color="auto" w:fill="FFFFFF"/>
        </w:rPr>
        <w:t xml:space="preserve">  (</w:t>
      </w:r>
      <w:bookmarkStart w:id="356" w:name="dabmci_a8c8946561854fe6942bd289033696e1"/>
      <w:r w:rsidRPr="007C68F1">
        <w:rPr>
          <w:i/>
          <w:iCs/>
          <w:bdr w:val="none" w:sz="0" w:space="0" w:color="auto" w:frame="1"/>
        </w:rPr>
        <w:t>Brinker</w:t>
      </w:r>
      <w:r w:rsidRPr="007C68F1">
        <w:rPr>
          <w:bdr w:val="none" w:sz="0" w:space="0" w:color="auto" w:frame="1"/>
        </w:rPr>
        <w:t xml:space="preserve">, </w:t>
      </w:r>
      <w:r w:rsidRPr="007C68F1">
        <w:rPr>
          <w:i/>
          <w:iCs/>
          <w:bdr w:val="none" w:sz="0" w:space="0" w:color="auto" w:frame="1"/>
        </w:rPr>
        <w:t>supra</w:t>
      </w:r>
      <w:r w:rsidRPr="007C68F1">
        <w:rPr>
          <w:bdr w:val="none" w:sz="0" w:space="0" w:color="auto" w:frame="1"/>
        </w:rPr>
        <w:t>,</w:t>
      </w:r>
      <w:r w:rsidRPr="007C68F1">
        <w:t xml:space="preserve"> 53 Cal.4th at p. 1027</w:t>
      </w:r>
      <w:bookmarkEnd w:id="356"/>
      <w:r w:rsidRPr="007C68F1">
        <w:t xml:space="preserve">.)  </w:t>
      </w:r>
    </w:p>
    <w:p w14:paraId="0787F315" w14:textId="77777777" w:rsidR="002B5D90" w:rsidRPr="007C68F1" w:rsidRDefault="00D16B2E" w:rsidP="007D1009">
      <w:pPr>
        <w:spacing w:line="480" w:lineRule="auto"/>
        <w:ind w:firstLine="720"/>
      </w:pPr>
      <w:r w:rsidRPr="007C68F1">
        <w:t>Wage Order 5 governs AWS’s in the health care industry.  (</w:t>
      </w:r>
      <w:bookmarkStart w:id="357" w:name="dabmci_dd65d50be2494e14aafe41ef96082244"/>
      <w:r w:rsidRPr="007C68F1">
        <w:t>Cal. Code Regs., tit. 8, § 11050, subds. 1, 2(G), (J), (P)(4)</w:t>
      </w:r>
      <w:bookmarkEnd w:id="357"/>
      <w:r w:rsidRPr="007C68F1">
        <w:t xml:space="preserve">; </w:t>
      </w:r>
      <w:bookmarkStart w:id="358" w:name="dabmci_9c61f52cb9114b1c977bc493d601cf4f"/>
      <w:r w:rsidRPr="007C68F1">
        <w:rPr>
          <w:i/>
          <w:iCs/>
          <w:bdr w:val="none" w:sz="0" w:space="0" w:color="auto" w:frame="1"/>
        </w:rPr>
        <w:t>Singh</w:t>
      </w:r>
      <w:r w:rsidRPr="007C68F1">
        <w:rPr>
          <w:bdr w:val="none" w:sz="0" w:space="0" w:color="auto" w:frame="1"/>
        </w:rPr>
        <w:t xml:space="preserve">, </w:t>
      </w:r>
      <w:r w:rsidRPr="007C68F1">
        <w:rPr>
          <w:i/>
          <w:iCs/>
          <w:bdr w:val="none" w:sz="0" w:space="0" w:color="auto" w:frame="1"/>
        </w:rPr>
        <w:t>supra</w:t>
      </w:r>
      <w:r w:rsidRPr="007C68F1">
        <w:rPr>
          <w:bdr w:val="none" w:sz="0" w:space="0" w:color="auto" w:frame="1"/>
        </w:rPr>
        <w:t xml:space="preserve">, </w:t>
      </w:r>
      <w:r w:rsidRPr="007C68F1">
        <w:t>140 Cal.App.4th at pp. 397-398</w:t>
      </w:r>
      <w:bookmarkEnd w:id="358"/>
      <w:r w:rsidRPr="007C68F1">
        <w:t>.)  According to the wage order, the employer must propose the A</w:t>
      </w:r>
      <w:r w:rsidRPr="007C68F1">
        <w:t xml:space="preserve">WS </w:t>
      </w:r>
      <w:bookmarkStart w:id="359" w:name="dabmq_157"/>
      <w:r w:rsidRPr="007C68F1">
        <w:t>“in the form of a written agreement.”</w:t>
      </w:r>
      <w:bookmarkEnd w:id="359"/>
      <w:r w:rsidRPr="007C68F1">
        <w:t xml:space="preserve">  (</w:t>
      </w:r>
      <w:bookmarkStart w:id="360" w:name="dabmci_f8b391b00bf44d0ea276753eb5e24101"/>
      <w:r w:rsidRPr="007C68F1">
        <w:t>Cal. Code Regs., tit. 8, § 11050, subd. 3(C)(1)</w:t>
      </w:r>
      <w:bookmarkEnd w:id="360"/>
      <w:r w:rsidRPr="007C68F1">
        <w:t>.)  For an AWS to be valid, at least two-thirds of the employees in the affected work unit must vote in favor of the AWS in a secret</w:t>
      </w:r>
      <w:r w:rsidR="005824AB" w:rsidRPr="007C68F1">
        <w:t>-</w:t>
      </w:r>
      <w:r w:rsidRPr="007C68F1">
        <w:t>ballot election.  (</w:t>
      </w:r>
      <w:bookmarkStart w:id="361" w:name="dabmci_2a832fd2333546969d9b48b6a87df377"/>
      <w:r w:rsidRPr="007C68F1">
        <w:rPr>
          <w:i/>
          <w:iCs/>
        </w:rPr>
        <w:t>Id.</w:t>
      </w:r>
      <w:r w:rsidRPr="007C68F1">
        <w:t xml:space="preserve">, § 11050, </w:t>
      </w:r>
      <w:r w:rsidRPr="007C68F1">
        <w:t>subd. 3(C)(2)</w:t>
      </w:r>
      <w:bookmarkEnd w:id="361"/>
      <w:r w:rsidRPr="007C68F1">
        <w:t xml:space="preserve">.)  Before the election, the employer must disclose in writing </w:t>
      </w:r>
      <w:bookmarkStart w:id="362" w:name="dabmq_158"/>
      <w:r w:rsidRPr="007C68F1">
        <w:t>“the effects of the proposed [AWS] on the employees’ wages, hours, and benefits.”</w:t>
      </w:r>
      <w:bookmarkEnd w:id="362"/>
      <w:r w:rsidRPr="007C68F1">
        <w:t xml:space="preserve">  (</w:t>
      </w:r>
      <w:bookmarkStart w:id="363" w:name="dabmci_d7caa1f1ac924b40b5d0d1b58ce1750c"/>
      <w:r w:rsidRPr="007C68F1">
        <w:rPr>
          <w:i/>
          <w:iCs/>
        </w:rPr>
        <w:t>Id.</w:t>
      </w:r>
      <w:r w:rsidRPr="007C68F1">
        <w:t>, § 11050, subd. 3(C)(3)</w:t>
      </w:r>
      <w:bookmarkEnd w:id="363"/>
      <w:r w:rsidRPr="007C68F1">
        <w:t xml:space="preserve">.)  </w:t>
      </w:r>
      <w:bookmarkStart w:id="364" w:name="dabmq_159"/>
      <w:r w:rsidRPr="007C68F1">
        <w:t>“Such a disclosure shall include meeting(s), duly noticed, held a</w:t>
      </w:r>
      <w:r w:rsidRPr="007C68F1">
        <w:t>t least 14 days prior to voting, for the specific purpose of discussing the effects”</w:t>
      </w:r>
      <w:bookmarkEnd w:id="364"/>
      <w:r w:rsidRPr="007C68F1">
        <w:t xml:space="preserve"> of the AWS.  (</w:t>
      </w:r>
      <w:bookmarkStart w:id="365" w:name="dabmci_6bdab9a823db4351bc4270d33714f1fe"/>
      <w:r w:rsidRPr="007C68F1">
        <w:rPr>
          <w:i/>
          <w:iCs/>
        </w:rPr>
        <w:t>Ibid</w:t>
      </w:r>
      <w:bookmarkEnd w:id="365"/>
      <w:r w:rsidRPr="007C68F1">
        <w:rPr>
          <w:i/>
          <w:iCs/>
        </w:rPr>
        <w:t>.</w:t>
      </w:r>
      <w:r w:rsidRPr="007C68F1">
        <w:t>)  The employer must report the results of the election to the DLSR within 30 days.  (</w:t>
      </w:r>
      <w:bookmarkStart w:id="366" w:name="dabmci_897b787eb2484da79e639ffd1c482c13"/>
      <w:r w:rsidRPr="007C68F1">
        <w:rPr>
          <w:i/>
          <w:iCs/>
        </w:rPr>
        <w:t>Id.</w:t>
      </w:r>
      <w:r w:rsidRPr="007C68F1">
        <w:t>, § 11050, subd. 3(C)(6)</w:t>
      </w:r>
      <w:bookmarkEnd w:id="366"/>
      <w:r w:rsidRPr="007C68F1">
        <w:t xml:space="preserve">.)  The employer may not require the </w:t>
      </w:r>
      <w:r w:rsidRPr="007C68F1">
        <w:t xml:space="preserve">affected employees to work a newly adopted </w:t>
      </w:r>
      <w:r w:rsidRPr="007C68F1">
        <w:lastRenderedPageBreak/>
        <w:t>AWS for at least 30 days after the announcement of the elections results.  (</w:t>
      </w:r>
      <w:bookmarkStart w:id="367" w:name="dabmci_ec838d3627cc450e964a069ce3a7271d"/>
      <w:r w:rsidRPr="007C68F1">
        <w:rPr>
          <w:i/>
          <w:iCs/>
        </w:rPr>
        <w:t>Id.</w:t>
      </w:r>
      <w:r w:rsidRPr="007C68F1">
        <w:t>, § 11050, subd. 3(C)(7)</w:t>
      </w:r>
      <w:bookmarkEnd w:id="367"/>
      <w:r w:rsidRPr="007C68F1">
        <w:t xml:space="preserve">.)  </w:t>
      </w:r>
    </w:p>
    <w:p w14:paraId="05852BA6" w14:textId="77777777" w:rsidR="002B5D90" w:rsidRPr="007C68F1" w:rsidRDefault="00D16B2E" w:rsidP="007D1009">
      <w:pPr>
        <w:spacing w:line="480" w:lineRule="auto"/>
        <w:ind w:firstLine="720"/>
      </w:pPr>
      <w:r w:rsidRPr="007C68F1">
        <w:t>Here, the record contains substantial evidence supporting the trial court’s finding that common questions</w:t>
      </w:r>
      <w:r w:rsidRPr="007C68F1">
        <w:t xml:space="preserve"> of law or fact did not predominate.  The medical center proffered evidence that the thousands of employees in the proposed AWS Overtime Class had worked or were working under AWS’s implemented through hundreds of separate elections dating back to 2001.  I</w:t>
      </w:r>
      <w:r w:rsidRPr="007C68F1">
        <w:t xml:space="preserve">n defending against Woodworth’s overtime claim, the medical center would have the burden of proving the validity of all those AWS’s.  That would require the medical center to prove that it had made the proper written disclosures, duly noticed pre-election </w:t>
      </w:r>
      <w:r w:rsidRPr="007C68F1">
        <w:t xml:space="preserve">meetings, held the meetings at least 14 days </w:t>
      </w:r>
      <w:r w:rsidR="00096883" w:rsidRPr="007C68F1">
        <w:t>before</w:t>
      </w:r>
      <w:r w:rsidRPr="007C68F1">
        <w:t xml:space="preserve"> the elections, and obtained a two-thirds majority approval for each AWS.  In addition, Woodworth’s theories of liability included other claimed failures to comply with AWS requirements, such as the failur</w:t>
      </w:r>
      <w:r w:rsidRPr="007C68F1">
        <w:t xml:space="preserve">e to report the results of the election to the DLSR and the failure to observe the 30-day waiting period for implementing a newly approved AWS.  </w:t>
      </w:r>
    </w:p>
    <w:p w14:paraId="60E82990" w14:textId="77777777" w:rsidR="002B5D90" w:rsidRPr="007C68F1" w:rsidRDefault="00D16B2E" w:rsidP="007D1009">
      <w:pPr>
        <w:spacing w:line="480" w:lineRule="auto"/>
        <w:ind w:firstLine="720"/>
      </w:pPr>
      <w:r w:rsidRPr="007C68F1">
        <w:t>Woodworth argued that the medical center’s AWS templates would permit common proof of liability because they a</w:t>
      </w:r>
      <w:r w:rsidRPr="007C68F1">
        <w:t xml:space="preserve">ll contained the same material omissions, but that was not uniformly true.  For instance, any AWS agreement adopted under Wage Order 5 </w:t>
      </w:r>
      <w:bookmarkStart w:id="368" w:name="dabmq_160"/>
      <w:r w:rsidRPr="007C68F1">
        <w:t>“shall provide for not less than four (4) hours of work in any shift.”</w:t>
      </w:r>
      <w:bookmarkEnd w:id="368"/>
      <w:r w:rsidRPr="007C68F1">
        <w:t xml:space="preserve">  (</w:t>
      </w:r>
      <w:bookmarkStart w:id="369" w:name="dabmci_9a86f73f32e048bca4cbf5321aa2f1e5"/>
      <w:r w:rsidRPr="007C68F1">
        <w:t>Cal. Code Regs., tit. 8, § 11050, subd. 3(B)(1),</w:t>
      </w:r>
      <w:r w:rsidRPr="007C68F1">
        <w:t xml:space="preserve"> (B)(8)(c)</w:t>
      </w:r>
      <w:bookmarkEnd w:id="369"/>
      <w:r w:rsidRPr="007C68F1">
        <w:t>.)  Woodworth claimed that the templates were deficient in part because neither</w:t>
      </w:r>
      <w:r w:rsidRPr="007C68F1">
        <w:rPr>
          <w:shd w:val="clear" w:color="auto" w:fill="FFFFFF"/>
        </w:rPr>
        <w:t xml:space="preserve"> the disclosures nor the agreements informed employees that they were entitled to at least four hours of work per shift.  But two agreements on which Woodworth relied </w:t>
      </w:r>
      <w:r w:rsidRPr="007C68F1">
        <w:rPr>
          <w:shd w:val="clear" w:color="auto" w:fill="FFFFFF"/>
        </w:rPr>
        <w:t>contained that disclosure.  (</w:t>
      </w:r>
      <w:bookmarkStart w:id="370" w:name="dabmq_161"/>
      <w:r w:rsidRPr="007C68F1">
        <w:rPr>
          <w:shd w:val="clear" w:color="auto" w:fill="FFFFFF"/>
        </w:rPr>
        <w:t xml:space="preserve">“[N]o regularly </w:t>
      </w:r>
      <w:r w:rsidRPr="007C68F1">
        <w:rPr>
          <w:shd w:val="clear" w:color="auto" w:fill="FFFFFF"/>
        </w:rPr>
        <w:lastRenderedPageBreak/>
        <w:t>scheduled shift shall be for a period of less than four hours.”</w:t>
      </w:r>
      <w:bookmarkEnd w:id="370"/>
      <w:r w:rsidRPr="007C68F1">
        <w:rPr>
          <w:shd w:val="clear" w:color="auto" w:fill="FFFFFF"/>
        </w:rPr>
        <w:t>)  The other agreements on which she relied did not contain that disclosure.  In addition, five of the agreements on which the medical center relied</w:t>
      </w:r>
      <w:r w:rsidRPr="007C68F1">
        <w:rPr>
          <w:shd w:val="clear" w:color="auto" w:fill="FFFFFF"/>
        </w:rPr>
        <w:t xml:space="preserve"> in its opposition papers contained the same disclosure, but seven others did not.  There was thus some evidence that the templates were dissimilar in ways relevant to Woodworth’s theories of liability. </w:t>
      </w:r>
    </w:p>
    <w:p w14:paraId="458F643C" w14:textId="77777777" w:rsidR="002B5D90" w:rsidRPr="007C68F1" w:rsidRDefault="00D16B2E" w:rsidP="007D1009">
      <w:pPr>
        <w:spacing w:line="480" w:lineRule="auto"/>
        <w:ind w:firstLine="720"/>
      </w:pPr>
      <w:r w:rsidRPr="007C68F1">
        <w:t>In any event, even if the medical center used identi</w:t>
      </w:r>
      <w:r w:rsidRPr="007C68F1">
        <w:t xml:space="preserve">cal templates for its written disclosures for the hundreds of AWS elections, the sufficiency of those disclosures presented only one issue subject to common proof.  The medical center would still have to prove that for each of the hundreds of elections at </w:t>
      </w:r>
      <w:r w:rsidRPr="007C68F1">
        <w:t>issue, the other requirements were met.</w:t>
      </w:r>
      <w:r w:rsidR="005778E2" w:rsidRPr="007C68F1">
        <w:t xml:space="preserve">  (</w:t>
      </w:r>
      <w:bookmarkStart w:id="371" w:name="dabmci_0f3da1eb16264b5db1a8f32879454b56"/>
      <w:r w:rsidR="005778E2" w:rsidRPr="007C68F1">
        <w:rPr>
          <w:i/>
          <w:iCs/>
          <w:bdr w:val="none" w:sz="0" w:space="0" w:color="auto" w:frame="1"/>
        </w:rPr>
        <w:t xml:space="preserve">Soderstedt v. CBIZ Southern California, LLC </w:t>
      </w:r>
      <w:r w:rsidR="005778E2" w:rsidRPr="007C68F1">
        <w:t>(2011) 197 Cal.App.4th 133, 154</w:t>
      </w:r>
      <w:bookmarkEnd w:id="371"/>
      <w:r w:rsidR="005778E2" w:rsidRPr="007C68F1">
        <w:t xml:space="preserve"> [</w:t>
      </w:r>
      <w:bookmarkStart w:id="372" w:name="dabmq_162"/>
      <w:r w:rsidR="005778E2" w:rsidRPr="007C68F1">
        <w:rPr>
          <w:shd w:val="clear" w:color="auto" w:fill="FFFFFF"/>
        </w:rPr>
        <w:t>“‘A court may properly deny certification where there are diverse factual issues to be resolved even though there may also be many common questions of law’”</w:t>
      </w:r>
      <w:bookmarkEnd w:id="372"/>
      <w:r w:rsidR="005778E2" w:rsidRPr="007C68F1">
        <w:rPr>
          <w:shd w:val="clear" w:color="auto" w:fill="FFFFFF"/>
        </w:rPr>
        <w:t xml:space="preserve">].)  </w:t>
      </w:r>
      <w:r w:rsidRPr="007C68F1">
        <w:t>Each election would present an individualized factual determination regarding whether the medical center duly noticed pre-election meetings and whether each voting unit approved the AWS by a two-thirds vote.</w:t>
      </w:r>
      <w:r w:rsidR="005778E2" w:rsidRPr="007C68F1">
        <w:t xml:space="preserve">  </w:t>
      </w:r>
      <w:r w:rsidRPr="007C68F1">
        <w:t>And Woodworth had other</w:t>
      </w:r>
      <w:r w:rsidRPr="007C68F1">
        <w:t xml:space="preserve"> theories of liability that required an individualized look at the elections—the failure to report election results to the DLSR and the failure to wait 30 days before implementing a new AWS.  She did not demonstrate how compliance with </w:t>
      </w:r>
      <w:r w:rsidR="00D72020" w:rsidRPr="007C68F1">
        <w:t>those</w:t>
      </w:r>
      <w:r w:rsidRPr="007C68F1">
        <w:t xml:space="preserve"> other requirem</w:t>
      </w:r>
      <w:r w:rsidRPr="007C68F1">
        <w:t>ents was subject to common proof.</w:t>
      </w:r>
      <w:r w:rsidR="00D72020" w:rsidRPr="007C68F1">
        <w:t xml:space="preserve">  (</w:t>
      </w:r>
      <w:bookmarkStart w:id="373" w:name="dabmci_9e4bf16ea9da476a94845bcfb3b4fbd7"/>
      <w:r w:rsidR="00D72020" w:rsidRPr="007C68F1">
        <w:rPr>
          <w:i/>
          <w:iCs/>
        </w:rPr>
        <w:t>Brinker</w:t>
      </w:r>
      <w:r w:rsidR="00D72020" w:rsidRPr="007C68F1">
        <w:t xml:space="preserve">, </w:t>
      </w:r>
      <w:r w:rsidR="00D72020" w:rsidRPr="007C68F1">
        <w:rPr>
          <w:i/>
          <w:iCs/>
        </w:rPr>
        <w:t>supra</w:t>
      </w:r>
      <w:r w:rsidR="00D72020" w:rsidRPr="007C68F1">
        <w:t>, 53 Cal.4th at p. 1052</w:t>
      </w:r>
      <w:bookmarkEnd w:id="373"/>
      <w:r w:rsidR="00D72020" w:rsidRPr="007C68F1">
        <w:t xml:space="preserve"> [certification not proper when no evidence of uniform practice showing employer knew employees perform</w:t>
      </w:r>
      <w:r w:rsidR="00772EC3" w:rsidRPr="007C68F1">
        <w:t>ed</w:t>
      </w:r>
      <w:r w:rsidR="00D72020" w:rsidRPr="007C68F1">
        <w:t xml:space="preserve"> off-the-clock work, and nothing before </w:t>
      </w:r>
      <w:r w:rsidR="00772EC3" w:rsidRPr="007C68F1">
        <w:t xml:space="preserve">the </w:t>
      </w:r>
      <w:r w:rsidR="00D72020" w:rsidRPr="007C68F1">
        <w:t xml:space="preserve">court demonstrated how that could be shown through common proof].)  </w:t>
      </w:r>
      <w:r w:rsidRPr="007C68F1">
        <w:t xml:space="preserve">Substantial evidence thus supports the trial court’s finding that common </w:t>
      </w:r>
      <w:r w:rsidRPr="007C68F1">
        <w:lastRenderedPageBreak/>
        <w:t xml:space="preserve">questions did not predominate, and the court did not abuse its discretion by denying class certification on that ground.  </w:t>
      </w:r>
    </w:p>
    <w:p w14:paraId="2905335B" w14:textId="77777777" w:rsidR="002B5D90" w:rsidRPr="007C68F1" w:rsidRDefault="00D16B2E" w:rsidP="007D1009">
      <w:pPr>
        <w:spacing w:line="480" w:lineRule="auto"/>
        <w:ind w:firstLine="720"/>
        <w:rPr>
          <w:shd w:val="clear" w:color="auto" w:fill="FFFFFF"/>
        </w:rPr>
      </w:pPr>
      <w:r w:rsidRPr="007C68F1">
        <w:t>Moreover, the court did no</w:t>
      </w:r>
      <w:r w:rsidRPr="007C68F1">
        <w:t>t abuse its discretion by concluding that Woodworth failed to present a manageable trial plan for determining the validity of hundreds of AWS elections.  While she proposed subclasses in her reply brief to deal with her various theories of noncompliance, s</w:t>
      </w:r>
      <w:r w:rsidRPr="007C68F1">
        <w:t>he did not explain at all how the subclasses would manage the individualized issues arising from the existence of hundreds of elections.  (</w:t>
      </w:r>
      <w:bookmarkStart w:id="374" w:name="dabmci_98df2aecac2e4129961cb9985e7b6b1a"/>
      <w:r w:rsidR="00AD023A" w:rsidRPr="007C68F1">
        <w:rPr>
          <w:i/>
          <w:iCs/>
          <w:bdr w:val="none" w:sz="0" w:space="0" w:color="auto" w:frame="1"/>
        </w:rPr>
        <w:t>Evans v. Lasco Bathware, Inc.</w:t>
      </w:r>
      <w:r w:rsidR="00AD023A" w:rsidRPr="007C68F1">
        <w:t xml:space="preserve"> (2009) 178 Cal.App.4th 1417, 1434</w:t>
      </w:r>
      <w:r w:rsidR="001B7E0E" w:rsidRPr="007C68F1">
        <w:t xml:space="preserve"> (</w:t>
      </w:r>
      <w:r w:rsidR="001B7E0E" w:rsidRPr="007C68F1">
        <w:rPr>
          <w:i/>
        </w:rPr>
        <w:t>Evans</w:t>
      </w:r>
      <w:r w:rsidR="001B7E0E" w:rsidRPr="007C68F1">
        <w:rPr>
          <w:iCs/>
        </w:rPr>
        <w:t>)</w:t>
      </w:r>
      <w:bookmarkEnd w:id="374"/>
      <w:r w:rsidR="00AD023A" w:rsidRPr="007C68F1">
        <w:t xml:space="preserve"> [</w:t>
      </w:r>
      <w:bookmarkStart w:id="375" w:name="dabmq_163"/>
      <w:r w:rsidR="00AD023A" w:rsidRPr="007C68F1">
        <w:t>“</w:t>
      </w:r>
      <w:r w:rsidR="00AD023A" w:rsidRPr="007C68F1">
        <w:rPr>
          <w:shd w:val="clear" w:color="auto" w:fill="FFFFFF"/>
        </w:rPr>
        <w:t xml:space="preserve">creating subclasses here would merely resurrect all of the individualized issues . . </w:t>
      </w:r>
      <w:r w:rsidR="00AD023A" w:rsidRPr="007C68F1">
        <w:rPr>
          <w:sz w:val="28"/>
          <w:szCs w:val="28"/>
          <w:shd w:val="clear" w:color="auto" w:fill="FFFFFF"/>
        </w:rPr>
        <w:t>.</w:t>
      </w:r>
      <w:r w:rsidR="00AD023A" w:rsidRPr="007C68F1">
        <w:rPr>
          <w:shd w:val="clear" w:color="auto" w:fill="FFFFFF"/>
        </w:rPr>
        <w:t xml:space="preserve"> as well as individualized showing[s] of damages, which would splinter the class into thousands of minitrials and largely defeat the benefits of proceeding as a class actio</w:t>
      </w:r>
      <w:r w:rsidR="00AD023A" w:rsidRPr="007C68F1">
        <w:t>n”</w:t>
      </w:r>
      <w:bookmarkEnd w:id="375"/>
      <w:r w:rsidR="00AD023A" w:rsidRPr="007C68F1">
        <w:t xml:space="preserve">]; </w:t>
      </w:r>
      <w:bookmarkStart w:id="376" w:name="dabmci_0278fa7deb1741c7b3f3de47a7e0bc1e"/>
      <w:r w:rsidRPr="007C68F1">
        <w:rPr>
          <w:i/>
          <w:iCs/>
          <w:bdr w:val="none" w:sz="0" w:space="0" w:color="auto" w:frame="1"/>
        </w:rPr>
        <w:t>Payton v. CSI Electrical Contractors, Inc.</w:t>
      </w:r>
      <w:r w:rsidRPr="007C68F1">
        <w:t> (2018) 27 Cal.App.5th 832, 844</w:t>
      </w:r>
      <w:bookmarkEnd w:id="376"/>
      <w:r w:rsidRPr="007C68F1">
        <w:t xml:space="preserve"> [general outline of a two-phase trial </w:t>
      </w:r>
      <w:r w:rsidR="00FB13EE" w:rsidRPr="007C68F1">
        <w:t>‘</w:t>
      </w:r>
      <w:bookmarkStart w:id="377" w:name="dabmq_164"/>
      <w:r w:rsidRPr="007C68F1">
        <w:rPr>
          <w:shd w:val="clear" w:color="auto" w:fill="FFFFFF"/>
        </w:rPr>
        <w:t>“fail[ed] to show how the individualized issues arising from Defendants’ defenses can be managed”</w:t>
      </w:r>
      <w:bookmarkEnd w:id="377"/>
      <w:r w:rsidR="00FB13EE" w:rsidRPr="007C68F1">
        <w:rPr>
          <w:shd w:val="clear" w:color="auto" w:fill="FFFFFF"/>
        </w:rPr>
        <w:t>’</w:t>
      </w:r>
      <w:r w:rsidRPr="007C68F1">
        <w:rPr>
          <w:shd w:val="clear" w:color="auto" w:fill="FFFFFF"/>
        </w:rPr>
        <w:t>].)  She therefore failed to carry her</w:t>
      </w:r>
      <w:r w:rsidRPr="007C68F1">
        <w:rPr>
          <w:shd w:val="clear" w:color="auto" w:fill="FFFFFF"/>
        </w:rPr>
        <w:t xml:space="preserve"> burden of showing that class treatment was appropriate. </w:t>
      </w:r>
    </w:p>
    <w:p w14:paraId="478FF091" w14:textId="77777777" w:rsidR="002B5D90" w:rsidRPr="007C68F1" w:rsidRDefault="00D16B2E" w:rsidP="007D1009">
      <w:pPr>
        <w:spacing w:line="480" w:lineRule="auto"/>
        <w:ind w:firstLine="720"/>
      </w:pPr>
      <w:r w:rsidRPr="007C68F1">
        <w:rPr>
          <w:shd w:val="clear" w:color="auto" w:fill="FFFFFF"/>
        </w:rPr>
        <w:t>Woodworth argues that the court abused its discretion because she presented substantial evidence of common questions with respect to the templates.  But on appeal, we do not ask whether her evidence</w:t>
      </w:r>
      <w:r w:rsidRPr="007C68F1">
        <w:rPr>
          <w:shd w:val="clear" w:color="auto" w:fill="FFFFFF"/>
        </w:rPr>
        <w:t xml:space="preserve"> may have been sufficient to support class certification.  (</w:t>
      </w:r>
      <w:bookmarkStart w:id="378" w:name="dabmci_74ade48f954b4835a77155b410ad4b2a"/>
      <w:r w:rsidRPr="007C68F1">
        <w:rPr>
          <w:i/>
          <w:iCs/>
          <w:bdr w:val="none" w:sz="0" w:space="0" w:color="auto" w:frame="1"/>
        </w:rPr>
        <w:t>Dailey</w:t>
      </w:r>
      <w:r w:rsidRPr="007C68F1">
        <w:rPr>
          <w:bdr w:val="none" w:sz="0" w:space="0" w:color="auto" w:frame="1"/>
        </w:rPr>
        <w:t xml:space="preserve">, </w:t>
      </w:r>
      <w:r w:rsidRPr="007C68F1">
        <w:rPr>
          <w:i/>
          <w:iCs/>
          <w:bdr w:val="none" w:sz="0" w:space="0" w:color="auto" w:frame="1"/>
        </w:rPr>
        <w:t>supra</w:t>
      </w:r>
      <w:r w:rsidRPr="007C68F1">
        <w:rPr>
          <w:bdr w:val="none" w:sz="0" w:space="0" w:color="auto" w:frame="1"/>
        </w:rPr>
        <w:t xml:space="preserve">, </w:t>
      </w:r>
      <w:r w:rsidRPr="007C68F1">
        <w:t>214 Cal.App.4th at p. 992</w:t>
      </w:r>
      <w:bookmarkEnd w:id="378"/>
      <w:r w:rsidRPr="007C68F1">
        <w:t>.)</w:t>
      </w:r>
      <w:r w:rsidRPr="007C68F1">
        <w:rPr>
          <w:shd w:val="clear" w:color="auto" w:fill="FFFFFF"/>
        </w:rPr>
        <w:t xml:space="preserve">  We ask only whether the record contains substantial evidence supporting the trial court’s predominance finding. (</w:t>
      </w:r>
      <w:bookmarkStart w:id="379" w:name="dabmci_341fae0286d64b57888eb681422acdbb"/>
      <w:r w:rsidRPr="007C68F1">
        <w:rPr>
          <w:i/>
          <w:iCs/>
          <w:shd w:val="clear" w:color="auto" w:fill="FFFFFF"/>
        </w:rPr>
        <w:t>Ibid.</w:t>
      </w:r>
      <w:bookmarkEnd w:id="379"/>
      <w:r w:rsidRPr="007C68F1">
        <w:rPr>
          <w:shd w:val="clear" w:color="auto" w:fill="FFFFFF"/>
        </w:rPr>
        <w:t xml:space="preserve">)  It does. </w:t>
      </w:r>
    </w:p>
    <w:p w14:paraId="780CC197" w14:textId="77777777" w:rsidR="002B5D90" w:rsidRPr="007C68F1" w:rsidRDefault="00D16B2E" w:rsidP="007D1009">
      <w:pPr>
        <w:spacing w:line="480" w:lineRule="auto"/>
        <w:ind w:firstLine="720"/>
        <w:rPr>
          <w:shd w:val="clear" w:color="auto" w:fill="FFFFFF"/>
        </w:rPr>
      </w:pPr>
      <w:r w:rsidRPr="007C68F1">
        <w:lastRenderedPageBreak/>
        <w:t>For all of these reas</w:t>
      </w:r>
      <w:r w:rsidRPr="007C68F1">
        <w:t xml:space="preserve">ons, the court did not abuse its discretion by denying certification of the AWS Overtime Class on the basis of the predominance element or the manageability requirement.  In light of </w:t>
      </w:r>
      <w:r w:rsidR="00005AFA" w:rsidRPr="007C68F1">
        <w:t xml:space="preserve">that </w:t>
      </w:r>
      <w:r w:rsidRPr="007C68F1">
        <w:t xml:space="preserve">conclusion, we need not reach Woodworth’s independent argument that </w:t>
      </w:r>
      <w:r w:rsidRPr="007C68F1">
        <w:t>the court erred because she did not have a conflict of interest with the class members.  (</w:t>
      </w:r>
      <w:bookmarkStart w:id="380" w:name="dabmci_f59be8fcd6fa4e339317b9ec7687d461"/>
      <w:r w:rsidR="00C24F67" w:rsidRPr="007C68F1">
        <w:rPr>
          <w:i/>
          <w:iCs/>
          <w:bdr w:val="none" w:sz="0" w:space="0" w:color="auto" w:frame="1"/>
        </w:rPr>
        <w:t>Cruz v. Sun World Internat., LLC</w:t>
      </w:r>
      <w:r w:rsidR="00332BB4" w:rsidRPr="007C68F1">
        <w:t xml:space="preserve"> </w:t>
      </w:r>
      <w:r w:rsidR="00C24F67" w:rsidRPr="007C68F1">
        <w:t>(2015) 243 Cal.App.4th 367, 394</w:t>
      </w:r>
      <w:r w:rsidR="006328D5" w:rsidRPr="007C68F1">
        <w:t xml:space="preserve"> (</w:t>
      </w:r>
      <w:r w:rsidR="006328D5" w:rsidRPr="007C68F1">
        <w:rPr>
          <w:i/>
          <w:iCs/>
        </w:rPr>
        <w:t>Cruz</w:t>
      </w:r>
      <w:r w:rsidR="006328D5" w:rsidRPr="007C68F1">
        <w:t>)</w:t>
      </w:r>
      <w:bookmarkEnd w:id="380"/>
      <w:r w:rsidR="00C24F67" w:rsidRPr="007C68F1">
        <w:t xml:space="preserve"> [because </w:t>
      </w:r>
      <w:r w:rsidR="00332BB4" w:rsidRPr="007C68F1">
        <w:t>substantial evidence supported trial court’s</w:t>
      </w:r>
      <w:r w:rsidR="00C24F67" w:rsidRPr="007C68F1">
        <w:t xml:space="preserve"> predominance finding, appellate court </w:t>
      </w:r>
      <w:r w:rsidR="00332BB4" w:rsidRPr="007C68F1">
        <w:t>did not need to</w:t>
      </w:r>
      <w:r w:rsidR="00C24F67" w:rsidRPr="007C68F1">
        <w:t xml:space="preserve"> address trial court’s </w:t>
      </w:r>
      <w:r w:rsidR="00332BB4" w:rsidRPr="007C68F1">
        <w:t xml:space="preserve">rulings on other elements of class certification], disapproved on another ground by </w:t>
      </w:r>
      <w:bookmarkStart w:id="381" w:name="dabmci_cef8493ffde64c89a7dfb787d5564256"/>
      <w:r w:rsidR="00EF47EA" w:rsidRPr="007C68F1">
        <w:rPr>
          <w:i/>
          <w:iCs/>
          <w:bdr w:val="none" w:sz="0" w:space="0" w:color="auto" w:frame="1"/>
        </w:rPr>
        <w:t>Noel v. Thrifty Payless, Inc.</w:t>
      </w:r>
      <w:r w:rsidR="00DF0619" w:rsidRPr="007C68F1">
        <w:t xml:space="preserve"> </w:t>
      </w:r>
      <w:r w:rsidR="00EF47EA" w:rsidRPr="007C68F1">
        <w:t>(2019) 7 Cal.5th 955, 986, fn. 15</w:t>
      </w:r>
      <w:bookmarkEnd w:id="381"/>
      <w:r w:rsidR="00EF47EA" w:rsidRPr="007C68F1">
        <w:t>.</w:t>
      </w:r>
      <w:r w:rsidRPr="007C68F1">
        <w:rPr>
          <w:shd w:val="clear" w:color="auto" w:fill="FFFFFF"/>
        </w:rPr>
        <w:t>)</w:t>
      </w:r>
    </w:p>
    <w:p w14:paraId="1C6BB2AC" w14:textId="77777777" w:rsidR="00684C8E" w:rsidRPr="007C68F1" w:rsidRDefault="00D16B2E" w:rsidP="007D1009">
      <w:pPr>
        <w:keepNext/>
        <w:spacing w:line="480" w:lineRule="auto"/>
        <w:ind w:left="720" w:firstLine="720"/>
        <w:rPr>
          <w:shd w:val="clear" w:color="auto" w:fill="FFFFFF"/>
        </w:rPr>
      </w:pPr>
      <w:r w:rsidRPr="007C68F1">
        <w:rPr>
          <w:shd w:val="clear" w:color="auto" w:fill="FFFFFF"/>
        </w:rPr>
        <w:t xml:space="preserve">2.  </w:t>
      </w:r>
      <w:r w:rsidRPr="007C68F1">
        <w:rPr>
          <w:i/>
          <w:iCs/>
          <w:shd w:val="clear" w:color="auto" w:fill="FFFFFF"/>
        </w:rPr>
        <w:t>Regular Rate Class</w:t>
      </w:r>
      <w:r w:rsidR="00BF3BF5" w:rsidRPr="007C68F1">
        <w:rPr>
          <w:i/>
          <w:iCs/>
          <w:shd w:val="clear" w:color="auto" w:fill="FFFFFF"/>
        </w:rPr>
        <w:t xml:space="preserve"> </w:t>
      </w:r>
    </w:p>
    <w:p w14:paraId="6AB22ADA" w14:textId="77777777" w:rsidR="00B9146F" w:rsidRPr="007C68F1" w:rsidRDefault="00D16B2E" w:rsidP="007D1009">
      <w:pPr>
        <w:spacing w:line="480" w:lineRule="auto"/>
        <w:ind w:firstLine="720"/>
        <w:rPr>
          <w:shd w:val="clear" w:color="auto" w:fill="FFFFFF"/>
        </w:rPr>
      </w:pPr>
      <w:r w:rsidRPr="007C68F1">
        <w:rPr>
          <w:shd w:val="clear" w:color="auto" w:fill="FFFFFF"/>
        </w:rPr>
        <w:t>Woodw</w:t>
      </w:r>
      <w:r w:rsidRPr="007C68F1">
        <w:rPr>
          <w:shd w:val="clear" w:color="auto" w:fill="FFFFFF"/>
        </w:rPr>
        <w:t>orth argues that the court abused its discretion by denying certification of the Regular Rate Class because common questions predominated.  The argument again lacks merit.</w:t>
      </w:r>
    </w:p>
    <w:p w14:paraId="5022DA24" w14:textId="77777777" w:rsidR="00B9146F" w:rsidRPr="007C68F1" w:rsidRDefault="00D16B2E" w:rsidP="007D1009">
      <w:pPr>
        <w:keepNext/>
        <w:spacing w:line="480" w:lineRule="auto"/>
        <w:ind w:firstLine="720"/>
        <w:rPr>
          <w:i/>
          <w:iCs/>
          <w:shd w:val="clear" w:color="auto" w:fill="FFFFFF"/>
        </w:rPr>
      </w:pPr>
      <w:r w:rsidRPr="007C68F1">
        <w:rPr>
          <w:shd w:val="clear" w:color="auto" w:fill="FFFFFF"/>
        </w:rPr>
        <w:tab/>
      </w:r>
      <w:r w:rsidRPr="007C68F1">
        <w:rPr>
          <w:shd w:val="clear" w:color="auto" w:fill="FFFFFF"/>
        </w:rPr>
        <w:tab/>
        <w:t xml:space="preserve">i.  </w:t>
      </w:r>
      <w:r w:rsidRPr="007C68F1">
        <w:rPr>
          <w:i/>
          <w:iCs/>
          <w:shd w:val="clear" w:color="auto" w:fill="FFFFFF"/>
        </w:rPr>
        <w:t>Relevant Background</w:t>
      </w:r>
    </w:p>
    <w:p w14:paraId="641774F6" w14:textId="77777777" w:rsidR="00684C8E" w:rsidRPr="007C68F1" w:rsidRDefault="00D16B2E" w:rsidP="007D1009">
      <w:pPr>
        <w:spacing w:line="480" w:lineRule="auto"/>
        <w:ind w:firstLine="720"/>
        <w:rPr>
          <w:shd w:val="clear" w:color="auto" w:fill="FFFFFF"/>
        </w:rPr>
      </w:pPr>
      <w:r w:rsidRPr="007C68F1">
        <w:rPr>
          <w:shd w:val="clear" w:color="auto" w:fill="FFFFFF"/>
        </w:rPr>
        <w:t xml:space="preserve">According to Woodworth’s moving papers, </w:t>
      </w:r>
      <w:r w:rsidR="009B36DF" w:rsidRPr="007C68F1">
        <w:rPr>
          <w:shd w:val="clear" w:color="auto" w:fill="FFFFFF"/>
        </w:rPr>
        <w:t>the Regular Rate Class consisted of 1,435 employees who received flat sum bonuses and an unspecified number of employees who received Christmas bonuses.</w:t>
      </w:r>
      <w:r w:rsidR="00873537" w:rsidRPr="007C68F1">
        <w:rPr>
          <w:shd w:val="clear" w:color="auto" w:fill="FFFFFF"/>
        </w:rPr>
        <w:t xml:space="preserve">  She argued that t</w:t>
      </w:r>
      <w:r w:rsidR="00911DF8" w:rsidRPr="007C68F1">
        <w:rPr>
          <w:shd w:val="clear" w:color="auto" w:fill="FFFFFF"/>
        </w:rPr>
        <w:t xml:space="preserve">he medical center had a uniform practice of </w:t>
      </w:r>
      <w:r w:rsidR="00DA7D66" w:rsidRPr="007C68F1">
        <w:rPr>
          <w:shd w:val="clear" w:color="auto" w:fill="FFFFFF"/>
        </w:rPr>
        <w:t xml:space="preserve">excluding </w:t>
      </w:r>
      <w:r w:rsidR="00911DF8" w:rsidRPr="007C68F1">
        <w:rPr>
          <w:shd w:val="clear" w:color="auto" w:fill="FFFFFF"/>
        </w:rPr>
        <w:t>Christmas bonuses and</w:t>
      </w:r>
      <w:r w:rsidR="00DA7D66" w:rsidRPr="007C68F1">
        <w:rPr>
          <w:shd w:val="clear" w:color="auto" w:fill="FFFFFF"/>
        </w:rPr>
        <w:t xml:space="preserve"> other flat sum bonuses </w:t>
      </w:r>
      <w:r w:rsidR="00911DF8" w:rsidRPr="007C68F1">
        <w:rPr>
          <w:shd w:val="clear" w:color="auto" w:fill="FFFFFF"/>
        </w:rPr>
        <w:t>from the calculation of an employee’s regular rate of pay.</w:t>
      </w:r>
      <w:r w:rsidR="00DA7D66" w:rsidRPr="007C68F1">
        <w:rPr>
          <w:shd w:val="clear" w:color="auto" w:fill="FFFFFF"/>
        </w:rPr>
        <w:t xml:space="preserve">  </w:t>
      </w:r>
      <w:r w:rsidR="00EF5C1F" w:rsidRPr="007C68F1">
        <w:rPr>
          <w:shd w:val="clear" w:color="auto" w:fill="FFFFFF"/>
        </w:rPr>
        <w:t xml:space="preserve">She </w:t>
      </w:r>
      <w:r w:rsidR="00DA7D66" w:rsidRPr="007C68F1">
        <w:rPr>
          <w:shd w:val="clear" w:color="auto" w:fill="FFFFFF"/>
        </w:rPr>
        <w:t>contended that Christmas bonuses and flat sum bonuses were nondiscretionary</w:t>
      </w:r>
      <w:r w:rsidR="00EF5C1F" w:rsidRPr="007C68F1">
        <w:rPr>
          <w:shd w:val="clear" w:color="auto" w:fill="FFFFFF"/>
        </w:rPr>
        <w:t xml:space="preserve"> </w:t>
      </w:r>
      <w:r w:rsidR="00DA7D66" w:rsidRPr="007C68F1">
        <w:rPr>
          <w:shd w:val="clear" w:color="auto" w:fill="FFFFFF"/>
        </w:rPr>
        <w:t xml:space="preserve">and </w:t>
      </w:r>
      <w:r w:rsidR="00002015" w:rsidRPr="007C68F1">
        <w:rPr>
          <w:shd w:val="clear" w:color="auto" w:fill="FFFFFF"/>
        </w:rPr>
        <w:t xml:space="preserve">that </w:t>
      </w:r>
      <w:r w:rsidR="00EF5C1F" w:rsidRPr="007C68F1">
        <w:rPr>
          <w:shd w:val="clear" w:color="auto" w:fill="FFFFFF"/>
        </w:rPr>
        <w:t xml:space="preserve">the law </w:t>
      </w:r>
      <w:r w:rsidR="00DA7D66" w:rsidRPr="007C68F1">
        <w:rPr>
          <w:shd w:val="clear" w:color="auto" w:fill="FFFFFF"/>
        </w:rPr>
        <w:t>therefore required</w:t>
      </w:r>
      <w:r w:rsidR="00EF5C1F" w:rsidRPr="007C68F1">
        <w:rPr>
          <w:shd w:val="clear" w:color="auto" w:fill="FFFFFF"/>
        </w:rPr>
        <w:t xml:space="preserve"> them</w:t>
      </w:r>
      <w:r w:rsidR="00DA7D66" w:rsidRPr="007C68F1">
        <w:rPr>
          <w:shd w:val="clear" w:color="auto" w:fill="FFFFFF"/>
        </w:rPr>
        <w:t xml:space="preserve"> to be included</w:t>
      </w:r>
      <w:r w:rsidR="00EF5C1F" w:rsidRPr="007C68F1">
        <w:rPr>
          <w:shd w:val="clear" w:color="auto" w:fill="FFFFFF"/>
        </w:rPr>
        <w:t xml:space="preserve"> when calculating the regular rate of pay.  Moreover, she argued</w:t>
      </w:r>
      <w:r w:rsidR="003D05F9" w:rsidRPr="007C68F1">
        <w:rPr>
          <w:shd w:val="clear" w:color="auto" w:fill="FFFFFF"/>
        </w:rPr>
        <w:t xml:space="preserve"> that </w:t>
      </w:r>
      <w:r w:rsidR="00EF5C1F" w:rsidRPr="007C68F1">
        <w:rPr>
          <w:shd w:val="clear" w:color="auto" w:fill="FFFFFF"/>
        </w:rPr>
        <w:t xml:space="preserve">whether </w:t>
      </w:r>
      <w:r w:rsidR="00EF5C1F" w:rsidRPr="007C68F1">
        <w:rPr>
          <w:shd w:val="clear" w:color="auto" w:fill="FFFFFF"/>
        </w:rPr>
        <w:lastRenderedPageBreak/>
        <w:t>the medical center properly excluded those bonuses from the regular rate of pay presented a common legal question, rendering class treatment appropriate.</w:t>
      </w:r>
      <w:r w:rsidR="003D05F9" w:rsidRPr="007C68F1">
        <w:rPr>
          <w:shd w:val="clear" w:color="auto" w:fill="FFFFFF"/>
        </w:rPr>
        <w:t xml:space="preserve">  </w:t>
      </w:r>
    </w:p>
    <w:p w14:paraId="72EEF20E" w14:textId="77777777" w:rsidR="003D05F9" w:rsidRPr="007C68F1" w:rsidRDefault="00D16B2E" w:rsidP="007D1009">
      <w:pPr>
        <w:spacing w:line="480" w:lineRule="auto"/>
        <w:ind w:firstLine="720"/>
        <w:rPr>
          <w:shd w:val="clear" w:color="auto" w:fill="FFFFFF"/>
        </w:rPr>
      </w:pPr>
      <w:r w:rsidRPr="007C68F1">
        <w:rPr>
          <w:shd w:val="clear" w:color="auto" w:fill="FFFFFF"/>
        </w:rPr>
        <w:t>Woodworth offered deposition testimony from</w:t>
      </w:r>
      <w:r w:rsidR="001C2763" w:rsidRPr="007C68F1">
        <w:rPr>
          <w:shd w:val="clear" w:color="auto" w:fill="FFFFFF"/>
        </w:rPr>
        <w:t xml:space="preserve"> the medical center’s payroll manager</w:t>
      </w:r>
      <w:r w:rsidRPr="007C68F1">
        <w:rPr>
          <w:shd w:val="clear" w:color="auto" w:fill="FFFFFF"/>
        </w:rPr>
        <w:t>, Crystal Bowell, who testified that</w:t>
      </w:r>
      <w:r w:rsidR="00772072" w:rsidRPr="007C68F1">
        <w:rPr>
          <w:shd w:val="clear" w:color="auto" w:fill="FFFFFF"/>
        </w:rPr>
        <w:t xml:space="preserve"> the medical center uniformly excluded</w:t>
      </w:r>
      <w:r w:rsidRPr="007C68F1">
        <w:rPr>
          <w:shd w:val="clear" w:color="auto" w:fill="FFFFFF"/>
        </w:rPr>
        <w:t xml:space="preserve"> Christmas bonuses from the regular rate calculation.</w:t>
      </w:r>
      <w:r w:rsidR="004A0A59" w:rsidRPr="007C68F1">
        <w:rPr>
          <w:shd w:val="clear" w:color="auto" w:fill="FFFFFF"/>
        </w:rPr>
        <w:t xml:space="preserve">  She also offered the medical center’s written policy on </w:t>
      </w:r>
      <w:r w:rsidRPr="007C68F1">
        <w:rPr>
          <w:shd w:val="clear" w:color="auto" w:fill="FFFFFF"/>
        </w:rPr>
        <w:t>Christmas bonu</w:t>
      </w:r>
      <w:r w:rsidR="004A0A59" w:rsidRPr="007C68F1">
        <w:rPr>
          <w:shd w:val="clear" w:color="auto" w:fill="FFFFFF"/>
        </w:rPr>
        <w:t xml:space="preserve">ses, which described the Christmas bonus as </w:t>
      </w:r>
      <w:bookmarkStart w:id="382" w:name="dabmq_165"/>
      <w:r w:rsidR="004A0A59" w:rsidRPr="007C68F1">
        <w:rPr>
          <w:shd w:val="clear" w:color="auto" w:fill="FFFFFF"/>
        </w:rPr>
        <w:t>“</w:t>
      </w:r>
      <w:r w:rsidR="00FB13EE" w:rsidRPr="007C68F1">
        <w:rPr>
          <w:shd w:val="clear" w:color="auto" w:fill="FFFFFF"/>
        </w:rPr>
        <w:t>[</w:t>
      </w:r>
      <w:r w:rsidR="004A0A59" w:rsidRPr="007C68F1">
        <w:rPr>
          <w:shd w:val="clear" w:color="auto" w:fill="FFFFFF"/>
        </w:rPr>
        <w:t>a</w:t>
      </w:r>
      <w:r w:rsidR="00FB13EE" w:rsidRPr="007C68F1">
        <w:rPr>
          <w:shd w:val="clear" w:color="auto" w:fill="FFFFFF"/>
        </w:rPr>
        <w:t>]</w:t>
      </w:r>
      <w:r w:rsidR="004A0A59" w:rsidRPr="007C68F1">
        <w:rPr>
          <w:shd w:val="clear" w:color="auto" w:fill="FFFFFF"/>
        </w:rPr>
        <w:t xml:space="preserve"> discretionary bonus provided to eligible employees as a gift for their service.”</w:t>
      </w:r>
      <w:bookmarkEnd w:id="382"/>
    </w:p>
    <w:p w14:paraId="53C90A7B" w14:textId="77777777" w:rsidR="00133FC9" w:rsidRPr="007C68F1" w:rsidRDefault="00D16B2E" w:rsidP="007D1009">
      <w:pPr>
        <w:spacing w:line="480" w:lineRule="auto"/>
        <w:ind w:firstLine="720"/>
        <w:rPr>
          <w:shd w:val="clear" w:color="auto" w:fill="FFFFFF"/>
        </w:rPr>
      </w:pPr>
      <w:r w:rsidRPr="007C68F1">
        <w:rPr>
          <w:shd w:val="clear" w:color="auto" w:fill="FFFFFF"/>
        </w:rPr>
        <w:t xml:space="preserve">In its opposition papers, </w:t>
      </w:r>
      <w:r w:rsidR="007B311B" w:rsidRPr="007C68F1">
        <w:rPr>
          <w:shd w:val="clear" w:color="auto" w:fill="FFFFFF"/>
        </w:rPr>
        <w:t>the medical center argued that common questions of fact or law did not predominate</w:t>
      </w:r>
      <w:r w:rsidR="00A56A99" w:rsidRPr="007C68F1">
        <w:rPr>
          <w:shd w:val="clear" w:color="auto" w:fill="FFFFFF"/>
        </w:rPr>
        <w:t xml:space="preserve">, because liability would depend on </w:t>
      </w:r>
      <w:r w:rsidR="00FB13EE" w:rsidRPr="007C68F1">
        <w:rPr>
          <w:shd w:val="clear" w:color="auto" w:fill="FFFFFF"/>
        </w:rPr>
        <w:t>“</w:t>
      </w:r>
      <w:r w:rsidR="00A56A99" w:rsidRPr="007C68F1">
        <w:rPr>
          <w:shd w:val="clear" w:color="auto" w:fill="FFFFFF"/>
        </w:rPr>
        <w:t>employee-specific</w:t>
      </w:r>
      <w:r w:rsidR="00FB13EE" w:rsidRPr="007C68F1">
        <w:rPr>
          <w:shd w:val="clear" w:color="auto" w:fill="FFFFFF"/>
        </w:rPr>
        <w:t>”</w:t>
      </w:r>
      <w:r w:rsidR="00A56A99" w:rsidRPr="007C68F1">
        <w:rPr>
          <w:shd w:val="clear" w:color="auto" w:fill="FFFFFF"/>
        </w:rPr>
        <w:t xml:space="preserve"> and </w:t>
      </w:r>
      <w:r w:rsidR="00FB13EE" w:rsidRPr="007C68F1">
        <w:rPr>
          <w:shd w:val="clear" w:color="auto" w:fill="FFFFFF"/>
        </w:rPr>
        <w:t>“</w:t>
      </w:r>
      <w:r w:rsidR="00A56A99" w:rsidRPr="007C68F1">
        <w:rPr>
          <w:shd w:val="clear" w:color="auto" w:fill="FFFFFF"/>
        </w:rPr>
        <w:t>bonus-specific</w:t>
      </w:r>
      <w:r w:rsidR="00FB13EE" w:rsidRPr="007C68F1">
        <w:rPr>
          <w:shd w:val="clear" w:color="auto" w:fill="FFFFFF"/>
        </w:rPr>
        <w:t>”</w:t>
      </w:r>
      <w:r w:rsidR="00A56A99" w:rsidRPr="007C68F1">
        <w:rPr>
          <w:shd w:val="clear" w:color="auto" w:fill="FFFFFF"/>
        </w:rPr>
        <w:t xml:space="preserve"> evidence</w:t>
      </w:r>
      <w:r w:rsidR="007B311B" w:rsidRPr="007C68F1">
        <w:rPr>
          <w:shd w:val="clear" w:color="auto" w:fill="FFFFFF"/>
        </w:rPr>
        <w:t>.</w:t>
      </w:r>
      <w:r w:rsidR="00591461" w:rsidRPr="007C68F1">
        <w:rPr>
          <w:shd w:val="clear" w:color="auto" w:fill="FFFFFF"/>
        </w:rPr>
        <w:t xml:space="preserve">  </w:t>
      </w:r>
      <w:r w:rsidR="00A56A99" w:rsidRPr="007C68F1">
        <w:rPr>
          <w:shd w:val="clear" w:color="auto" w:fill="FFFFFF"/>
        </w:rPr>
        <w:t>As to the Christmas bonus, t</w:t>
      </w:r>
      <w:r w:rsidR="00591461" w:rsidRPr="007C68F1">
        <w:rPr>
          <w:shd w:val="clear" w:color="auto" w:fill="FFFFFF"/>
        </w:rPr>
        <w:t xml:space="preserve">he medical center contended that employers were permitted to exclude </w:t>
      </w:r>
      <w:bookmarkStart w:id="383" w:name="dabmq_166"/>
      <w:r w:rsidR="00591461" w:rsidRPr="007C68F1">
        <w:rPr>
          <w:shd w:val="clear" w:color="auto" w:fill="FFFFFF"/>
        </w:rPr>
        <w:t>“‘gifts on special occasions’”</w:t>
      </w:r>
      <w:bookmarkEnd w:id="383"/>
      <w:r w:rsidR="00591461" w:rsidRPr="007C68F1">
        <w:rPr>
          <w:shd w:val="clear" w:color="auto" w:fill="FFFFFF"/>
        </w:rPr>
        <w:t xml:space="preserve"> from the calculation of an employee’s regular rate.</w:t>
      </w:r>
      <w:r w:rsidR="00C1771C" w:rsidRPr="007C68F1">
        <w:rPr>
          <w:shd w:val="clear" w:color="auto" w:fill="FFFFFF"/>
        </w:rPr>
        <w:t xml:space="preserve">  So long as the Christmas bonus was actually a gift and not paid pursuant to a contract, the bonus </w:t>
      </w:r>
      <w:r w:rsidR="002D05EF" w:rsidRPr="007C68F1">
        <w:rPr>
          <w:shd w:val="clear" w:color="auto" w:fill="FFFFFF"/>
        </w:rPr>
        <w:t xml:space="preserve">thus </w:t>
      </w:r>
      <w:r w:rsidR="00C1771C" w:rsidRPr="007C68F1">
        <w:rPr>
          <w:shd w:val="clear" w:color="auto" w:fill="FFFFFF"/>
        </w:rPr>
        <w:t>was excludable.  But according to the medical center, Woodworth</w:t>
      </w:r>
      <w:r w:rsidR="00433EEB" w:rsidRPr="007C68F1">
        <w:rPr>
          <w:shd w:val="clear" w:color="auto" w:fill="FFFFFF"/>
        </w:rPr>
        <w:t xml:space="preserve"> intended to claim that the medical center had promised the Christmas bonus to employees, rendering it a contractual obligation.</w:t>
      </w:r>
      <w:r w:rsidR="00820601" w:rsidRPr="007C68F1">
        <w:rPr>
          <w:shd w:val="clear" w:color="auto" w:fill="FFFFFF"/>
        </w:rPr>
        <w:t xml:space="preserve">  The medical center relied on Woodworth’s discovery responses.  It</w:t>
      </w:r>
      <w:r w:rsidR="009A5C72" w:rsidRPr="007C68F1">
        <w:rPr>
          <w:shd w:val="clear" w:color="auto" w:fill="FFFFFF"/>
        </w:rPr>
        <w:t xml:space="preserve"> asked her to state the facts supporting </w:t>
      </w:r>
      <w:r w:rsidR="00820601" w:rsidRPr="007C68F1">
        <w:rPr>
          <w:shd w:val="clear" w:color="auto" w:fill="FFFFFF"/>
        </w:rPr>
        <w:t xml:space="preserve">her allegation that it had improperly calculated the regular rate of pay.  She responded </w:t>
      </w:r>
      <w:r w:rsidR="00C44B43" w:rsidRPr="007C68F1">
        <w:rPr>
          <w:shd w:val="clear" w:color="auto" w:fill="FFFFFF"/>
        </w:rPr>
        <w:t xml:space="preserve">in part </w:t>
      </w:r>
      <w:r w:rsidR="00820601" w:rsidRPr="007C68F1">
        <w:rPr>
          <w:shd w:val="clear" w:color="auto" w:fill="FFFFFF"/>
        </w:rPr>
        <w:t xml:space="preserve">that </w:t>
      </w:r>
      <w:r w:rsidR="001F5D3D" w:rsidRPr="007C68F1">
        <w:rPr>
          <w:shd w:val="clear" w:color="auto" w:fill="FFFFFF"/>
        </w:rPr>
        <w:t xml:space="preserve">the medical center had published an “Outline of Benefits,” which stated:  </w:t>
      </w:r>
      <w:bookmarkStart w:id="384" w:name="dabmq_167"/>
      <w:r w:rsidR="001F5D3D" w:rsidRPr="007C68F1">
        <w:rPr>
          <w:shd w:val="clear" w:color="auto" w:fill="FFFFFF"/>
        </w:rPr>
        <w:t>“‘A Christmas bonus is available for full-time regular employees and part-time regular benefit eligible employees.’”</w:t>
      </w:r>
      <w:bookmarkEnd w:id="384"/>
      <w:r w:rsidR="001F5D3D" w:rsidRPr="007C68F1">
        <w:rPr>
          <w:shd w:val="clear" w:color="auto" w:fill="FFFFFF"/>
        </w:rPr>
        <w:t xml:space="preserve">  (Boldface omitted.)</w:t>
      </w:r>
      <w:r w:rsidR="00CD2667" w:rsidRPr="007C68F1">
        <w:rPr>
          <w:shd w:val="clear" w:color="auto" w:fill="FFFFFF"/>
        </w:rPr>
        <w:t xml:space="preserve">  </w:t>
      </w:r>
      <w:r w:rsidR="00E41A54" w:rsidRPr="007C68F1">
        <w:rPr>
          <w:shd w:val="clear" w:color="auto" w:fill="FFFFFF"/>
        </w:rPr>
        <w:t>She</w:t>
      </w:r>
      <w:r w:rsidR="00CD2667" w:rsidRPr="007C68F1">
        <w:rPr>
          <w:shd w:val="clear" w:color="auto" w:fill="FFFFFF"/>
        </w:rPr>
        <w:t xml:space="preserve"> further responded that the medical center </w:t>
      </w:r>
      <w:r w:rsidR="001F5D3D" w:rsidRPr="007C68F1">
        <w:rPr>
          <w:shd w:val="clear" w:color="auto" w:fill="FFFFFF"/>
        </w:rPr>
        <w:t xml:space="preserve">“clearly intended” employees to rely on this summary </w:t>
      </w:r>
      <w:r w:rsidR="00CD2667" w:rsidRPr="007C68F1">
        <w:rPr>
          <w:shd w:val="clear" w:color="auto" w:fill="FFFFFF"/>
        </w:rPr>
        <w:t>of benefits without delving into detailed policies or handbooks.</w:t>
      </w:r>
      <w:r w:rsidR="00652A1E" w:rsidRPr="007C68F1">
        <w:rPr>
          <w:shd w:val="clear" w:color="auto" w:fill="FFFFFF"/>
        </w:rPr>
        <w:t xml:space="preserve">  The medical center argued that</w:t>
      </w:r>
      <w:r w:rsidR="009D5A15" w:rsidRPr="007C68F1">
        <w:rPr>
          <w:shd w:val="clear" w:color="auto" w:fill="FFFFFF"/>
        </w:rPr>
        <w:t xml:space="preserve"> employee-specific </w:t>
      </w:r>
      <w:r w:rsidR="009D5A15" w:rsidRPr="007C68F1">
        <w:rPr>
          <w:shd w:val="clear" w:color="auto" w:fill="FFFFFF"/>
        </w:rPr>
        <w:lastRenderedPageBreak/>
        <w:t>evidence would be required to determine</w:t>
      </w:r>
      <w:r w:rsidR="00652A1E" w:rsidRPr="007C68F1">
        <w:rPr>
          <w:shd w:val="clear" w:color="auto" w:fill="FFFFFF"/>
        </w:rPr>
        <w:t xml:space="preserve"> </w:t>
      </w:r>
      <w:r w:rsidR="009D5A15" w:rsidRPr="007C68F1">
        <w:rPr>
          <w:shd w:val="clear" w:color="auto" w:fill="FFFFFF"/>
        </w:rPr>
        <w:t>whether any particular employee saw and relied on the Outline of Benefits</w:t>
      </w:r>
      <w:r w:rsidR="00E74E01" w:rsidRPr="007C68F1">
        <w:rPr>
          <w:shd w:val="clear" w:color="auto" w:fill="FFFFFF"/>
        </w:rPr>
        <w:t xml:space="preserve"> or </w:t>
      </w:r>
      <w:r w:rsidR="009D5A15" w:rsidRPr="007C68F1">
        <w:rPr>
          <w:shd w:val="clear" w:color="auto" w:fill="FFFFFF"/>
        </w:rPr>
        <w:t xml:space="preserve">some other statement </w:t>
      </w:r>
      <w:r w:rsidR="00E74E01" w:rsidRPr="007C68F1">
        <w:rPr>
          <w:shd w:val="clear" w:color="auto" w:fill="FFFFFF"/>
        </w:rPr>
        <w:t>that might be construed as a</w:t>
      </w:r>
      <w:r w:rsidR="009D5A15" w:rsidRPr="007C68F1">
        <w:rPr>
          <w:shd w:val="clear" w:color="auto" w:fill="FFFFFF"/>
        </w:rPr>
        <w:t xml:space="preserve"> contractual promise to pay the Christmas bonus</w:t>
      </w:r>
      <w:r w:rsidR="00E74E01" w:rsidRPr="007C68F1">
        <w:rPr>
          <w:shd w:val="clear" w:color="auto" w:fill="FFFFFF"/>
        </w:rPr>
        <w:t>.</w:t>
      </w:r>
      <w:r w:rsidR="00C556DD" w:rsidRPr="007C68F1">
        <w:rPr>
          <w:shd w:val="clear" w:color="auto" w:fill="FFFFFF"/>
        </w:rPr>
        <w:t xml:space="preserve">  </w:t>
      </w:r>
    </w:p>
    <w:p w14:paraId="62A3F336" w14:textId="77777777" w:rsidR="00D33640" w:rsidRPr="007C68F1" w:rsidRDefault="00D16B2E" w:rsidP="007D1009">
      <w:pPr>
        <w:spacing w:line="480" w:lineRule="auto"/>
        <w:ind w:firstLine="720"/>
        <w:rPr>
          <w:shd w:val="clear" w:color="auto" w:fill="FFFFFF"/>
        </w:rPr>
      </w:pPr>
      <w:r w:rsidRPr="007C68F1">
        <w:rPr>
          <w:shd w:val="clear" w:color="auto" w:fill="FFFFFF"/>
        </w:rPr>
        <w:t>As to the flat sum bonus, t</w:t>
      </w:r>
      <w:r w:rsidR="00E6322C" w:rsidRPr="007C68F1">
        <w:rPr>
          <w:shd w:val="clear" w:color="auto" w:fill="FFFFFF"/>
        </w:rPr>
        <w:t>he</w:t>
      </w:r>
      <w:r w:rsidR="00A73767" w:rsidRPr="007C68F1">
        <w:rPr>
          <w:shd w:val="clear" w:color="auto" w:fill="FFFFFF"/>
        </w:rPr>
        <w:t xml:space="preserve"> medical center argued that it did not use </w:t>
      </w:r>
      <w:r w:rsidRPr="007C68F1">
        <w:rPr>
          <w:shd w:val="clear" w:color="auto" w:fill="FFFFFF"/>
        </w:rPr>
        <w:t>that term</w:t>
      </w:r>
      <w:r w:rsidR="00E30B99" w:rsidRPr="007C68F1">
        <w:rPr>
          <w:shd w:val="clear" w:color="auto" w:fill="FFFFFF"/>
        </w:rPr>
        <w:t xml:space="preserve"> in the </w:t>
      </w:r>
      <w:r w:rsidR="00E41A54" w:rsidRPr="007C68F1">
        <w:rPr>
          <w:shd w:val="clear" w:color="auto" w:fill="FFFFFF"/>
        </w:rPr>
        <w:t>ordinary</w:t>
      </w:r>
      <w:r w:rsidR="00E30B99" w:rsidRPr="007C68F1">
        <w:rPr>
          <w:shd w:val="clear" w:color="auto" w:fill="FFFFFF"/>
        </w:rPr>
        <w:t xml:space="preserve"> course of business,</w:t>
      </w:r>
      <w:r w:rsidR="00A73767" w:rsidRPr="007C68F1">
        <w:rPr>
          <w:shd w:val="clear" w:color="auto" w:fill="FFFFFF"/>
        </w:rPr>
        <w:t xml:space="preserve"> </w:t>
      </w:r>
      <w:r w:rsidR="00E41A54" w:rsidRPr="007C68F1">
        <w:rPr>
          <w:shd w:val="clear" w:color="auto" w:fill="FFFFFF"/>
        </w:rPr>
        <w:t>although</w:t>
      </w:r>
      <w:r w:rsidR="00A73767" w:rsidRPr="007C68F1">
        <w:rPr>
          <w:shd w:val="clear" w:color="auto" w:fill="FFFFFF"/>
        </w:rPr>
        <w:t xml:space="preserve"> it did pay multiple different types of bonuses </w:t>
      </w:r>
      <w:r w:rsidR="00E30B99" w:rsidRPr="007C68F1">
        <w:rPr>
          <w:shd w:val="clear" w:color="auto" w:fill="FFFFFF"/>
        </w:rPr>
        <w:t>using</w:t>
      </w:r>
      <w:r w:rsidR="00A73767" w:rsidRPr="007C68F1">
        <w:rPr>
          <w:shd w:val="clear" w:color="auto" w:fill="FFFFFF"/>
        </w:rPr>
        <w:t xml:space="preserve"> different criteria.  According to Bowell’s declaration, the medical center’s payroll system used the code “BON” to refer to </w:t>
      </w:r>
      <w:r w:rsidR="0081374C" w:rsidRPr="007C68F1">
        <w:rPr>
          <w:shd w:val="clear" w:color="auto" w:fill="FFFFFF"/>
        </w:rPr>
        <w:t>many</w:t>
      </w:r>
      <w:r w:rsidR="00A73767" w:rsidRPr="007C68F1">
        <w:rPr>
          <w:shd w:val="clear" w:color="auto" w:fill="FFFFFF"/>
        </w:rPr>
        <w:t xml:space="preserve"> bonuses</w:t>
      </w:r>
      <w:r w:rsidR="008C0986" w:rsidRPr="007C68F1">
        <w:rPr>
          <w:shd w:val="clear" w:color="auto" w:fill="FFFFFF"/>
        </w:rPr>
        <w:t xml:space="preserve"> that it had paid since the beginning of the class period (June 2010)</w:t>
      </w:r>
      <w:r w:rsidR="000026A6" w:rsidRPr="007C68F1">
        <w:rPr>
          <w:shd w:val="clear" w:color="auto" w:fill="FFFFFF"/>
        </w:rPr>
        <w:t>,</w:t>
      </w:r>
      <w:r w:rsidR="0081374C" w:rsidRPr="007C68F1">
        <w:rPr>
          <w:shd w:val="clear" w:color="auto" w:fill="FFFFFF"/>
        </w:rPr>
        <w:t xml:space="preserve"> </w:t>
      </w:r>
      <w:r w:rsidR="002A0BA3" w:rsidRPr="007C68F1">
        <w:rPr>
          <w:shd w:val="clear" w:color="auto" w:fill="FFFFFF"/>
        </w:rPr>
        <w:t xml:space="preserve">but </w:t>
      </w:r>
      <w:r w:rsidR="000026A6" w:rsidRPr="007C68F1">
        <w:rPr>
          <w:shd w:val="clear" w:color="auto" w:fill="FFFFFF"/>
        </w:rPr>
        <w:t>the medical center did not treat all BON code bonuses in the same manner.</w:t>
      </w:r>
      <w:r w:rsidR="002A0BA3" w:rsidRPr="007C68F1">
        <w:rPr>
          <w:shd w:val="clear" w:color="auto" w:fill="FFFFFF"/>
        </w:rPr>
        <w:t xml:space="preserve">  Whether the medical center excluded a particular bonus from the regular rate calculation depended on the reason for the bonus and how the medical center determined the amount of </w:t>
      </w:r>
      <w:r w:rsidR="00002015" w:rsidRPr="007C68F1">
        <w:rPr>
          <w:shd w:val="clear" w:color="auto" w:fill="FFFFFF"/>
        </w:rPr>
        <w:t>the bonus</w:t>
      </w:r>
      <w:r w:rsidR="002A0BA3" w:rsidRPr="007C68F1">
        <w:rPr>
          <w:shd w:val="clear" w:color="auto" w:fill="FFFFFF"/>
        </w:rPr>
        <w:t xml:space="preserve">. </w:t>
      </w:r>
      <w:r w:rsidR="00E30B99" w:rsidRPr="007C68F1">
        <w:rPr>
          <w:shd w:val="clear" w:color="auto" w:fill="FFFFFF"/>
        </w:rPr>
        <w:t xml:space="preserve"> Bowell</w:t>
      </w:r>
      <w:r w:rsidR="002A4C1B" w:rsidRPr="007C68F1">
        <w:rPr>
          <w:shd w:val="clear" w:color="auto" w:fill="FFFFFF"/>
        </w:rPr>
        <w:t xml:space="preserve"> elaborated on </w:t>
      </w:r>
      <w:r w:rsidR="00E30B99" w:rsidRPr="007C68F1">
        <w:rPr>
          <w:shd w:val="clear" w:color="auto" w:fill="FFFFFF"/>
        </w:rPr>
        <w:t xml:space="preserve">six </w:t>
      </w:r>
      <w:r w:rsidR="00A52E2A" w:rsidRPr="007C68F1">
        <w:rPr>
          <w:shd w:val="clear" w:color="auto" w:fill="FFFFFF"/>
        </w:rPr>
        <w:t xml:space="preserve">nonexhaustive </w:t>
      </w:r>
      <w:r w:rsidR="00E30B99" w:rsidRPr="007C68F1">
        <w:rPr>
          <w:shd w:val="clear" w:color="auto" w:fill="FFFFFF"/>
        </w:rPr>
        <w:t>examples in her declaration</w:t>
      </w:r>
      <w:r w:rsidR="000932E2" w:rsidRPr="007C68F1">
        <w:rPr>
          <w:shd w:val="clear" w:color="auto" w:fill="FFFFFF"/>
        </w:rPr>
        <w:t xml:space="preserve">: </w:t>
      </w:r>
      <w:r w:rsidR="00002015" w:rsidRPr="007C68F1">
        <w:rPr>
          <w:shd w:val="clear" w:color="auto" w:fill="FFFFFF"/>
        </w:rPr>
        <w:t xml:space="preserve"> </w:t>
      </w:r>
      <w:r w:rsidR="000932E2" w:rsidRPr="007C68F1">
        <w:rPr>
          <w:shd w:val="clear" w:color="auto" w:fill="FFFFFF"/>
        </w:rPr>
        <w:t xml:space="preserve">(1) an August 2016 bonus to thank certain employees </w:t>
      </w:r>
      <w:bookmarkStart w:id="385" w:name="dabmq_168"/>
      <w:r w:rsidR="000932E2" w:rsidRPr="007C68F1">
        <w:rPr>
          <w:shd w:val="clear" w:color="auto" w:fill="FFFFFF"/>
        </w:rPr>
        <w:t>“for a job well done”</w:t>
      </w:r>
      <w:bookmarkEnd w:id="385"/>
      <w:r w:rsidR="000932E2" w:rsidRPr="007C68F1">
        <w:rPr>
          <w:shd w:val="clear" w:color="auto" w:fill="FFFFFF"/>
        </w:rPr>
        <w:t>; (2) a bonus for employees who supported another hospital when</w:t>
      </w:r>
      <w:r w:rsidR="0031243F" w:rsidRPr="007C68F1">
        <w:rPr>
          <w:shd w:val="clear" w:color="auto" w:fill="FFFFFF"/>
        </w:rPr>
        <w:t xml:space="preserve"> that hospital </w:t>
      </w:r>
      <w:r w:rsidR="000932E2" w:rsidRPr="007C68F1">
        <w:rPr>
          <w:shd w:val="clear" w:color="auto" w:fill="FFFFFF"/>
        </w:rPr>
        <w:t>implemented a new electronic medical records system; (3)</w:t>
      </w:r>
      <w:r w:rsidR="0031243F" w:rsidRPr="007C68F1">
        <w:rPr>
          <w:shd w:val="clear" w:color="auto" w:fill="FFFFFF"/>
        </w:rPr>
        <w:t xml:space="preserve"> a bonus for employees in a particular unit who agreed to perform extra job duties when a coworker was on leave; (4)</w:t>
      </w:r>
      <w:r w:rsidR="00504833">
        <w:rPr>
          <w:shd w:val="clear" w:color="auto" w:fill="FFFFFF"/>
        </w:rPr>
        <w:t xml:space="preserve"> </w:t>
      </w:r>
      <w:r w:rsidR="0031243F" w:rsidRPr="007C68F1">
        <w:rPr>
          <w:shd w:val="clear" w:color="auto" w:fill="FFFFFF"/>
        </w:rPr>
        <w:t xml:space="preserve">a “one-time performance bonus” when a particular department wanted to increase the </w:t>
      </w:r>
      <w:r w:rsidR="00E6322C" w:rsidRPr="007C68F1">
        <w:rPr>
          <w:shd w:val="clear" w:color="auto" w:fill="FFFFFF"/>
        </w:rPr>
        <w:t>regular</w:t>
      </w:r>
      <w:r w:rsidR="0031243F" w:rsidRPr="007C68F1">
        <w:rPr>
          <w:shd w:val="clear" w:color="auto" w:fill="FFFFFF"/>
        </w:rPr>
        <w:t xml:space="preserve"> pay raise </w:t>
      </w:r>
      <w:r w:rsidR="000026A6" w:rsidRPr="007C68F1">
        <w:rPr>
          <w:shd w:val="clear" w:color="auto" w:fill="FFFFFF"/>
        </w:rPr>
        <w:t xml:space="preserve">that </w:t>
      </w:r>
      <w:r w:rsidR="0031243F" w:rsidRPr="007C68F1">
        <w:rPr>
          <w:shd w:val="clear" w:color="auto" w:fill="FFFFFF"/>
        </w:rPr>
        <w:t>employe</w:t>
      </w:r>
      <w:r w:rsidR="000026A6" w:rsidRPr="007C68F1">
        <w:rPr>
          <w:shd w:val="clear" w:color="auto" w:fill="FFFFFF"/>
        </w:rPr>
        <w:t>es were</w:t>
      </w:r>
      <w:r w:rsidR="0031243F" w:rsidRPr="007C68F1">
        <w:rPr>
          <w:shd w:val="clear" w:color="auto" w:fill="FFFFFF"/>
        </w:rPr>
        <w:t xml:space="preserve"> </w:t>
      </w:r>
      <w:r w:rsidR="00E41A54" w:rsidRPr="007C68F1">
        <w:rPr>
          <w:shd w:val="clear" w:color="auto" w:fill="FFFFFF"/>
        </w:rPr>
        <w:t>receiving</w:t>
      </w:r>
      <w:r w:rsidR="0031243F" w:rsidRPr="007C68F1">
        <w:rPr>
          <w:shd w:val="clear" w:color="auto" w:fill="FFFFFF"/>
        </w:rPr>
        <w:t xml:space="preserve"> in the ordinary course of business; (5) a new hire bonus that at least one department sometimes gave new employees; and (6)</w:t>
      </w:r>
      <w:r w:rsidR="000026A6" w:rsidRPr="007C68F1">
        <w:rPr>
          <w:shd w:val="clear" w:color="auto" w:fill="FFFFFF"/>
        </w:rPr>
        <w:t xml:space="preserve"> a bonus for a case manager who worked some hours as a mobile intensive care nurse</w:t>
      </w:r>
      <w:r w:rsidR="00E30B99" w:rsidRPr="007C68F1">
        <w:rPr>
          <w:shd w:val="clear" w:color="auto" w:fill="FFFFFF"/>
        </w:rPr>
        <w:t>.</w:t>
      </w:r>
      <w:r w:rsidR="000932E2" w:rsidRPr="007C68F1">
        <w:rPr>
          <w:shd w:val="clear" w:color="auto" w:fill="FFFFFF"/>
        </w:rPr>
        <w:t xml:space="preserve"> </w:t>
      </w:r>
      <w:r w:rsidR="000026A6" w:rsidRPr="007C68F1">
        <w:rPr>
          <w:shd w:val="clear" w:color="auto" w:fill="FFFFFF"/>
        </w:rPr>
        <w:t xml:space="preserve"> Of those six</w:t>
      </w:r>
      <w:r w:rsidR="00A52E2A" w:rsidRPr="007C68F1">
        <w:rPr>
          <w:shd w:val="clear" w:color="auto" w:fill="FFFFFF"/>
        </w:rPr>
        <w:t xml:space="preserve"> examples</w:t>
      </w:r>
      <w:r w:rsidR="000026A6" w:rsidRPr="007C68F1">
        <w:rPr>
          <w:shd w:val="clear" w:color="auto" w:fill="FFFFFF"/>
        </w:rPr>
        <w:t>, the medical center excluded only the first type of bonus from the employees’ regular rate calculation.</w:t>
      </w:r>
      <w:r w:rsidR="009B544D" w:rsidRPr="007C68F1">
        <w:rPr>
          <w:shd w:val="clear" w:color="auto" w:fill="FFFFFF"/>
        </w:rPr>
        <w:t xml:space="preserve"> </w:t>
      </w:r>
      <w:r w:rsidR="00252AD8" w:rsidRPr="007C68F1">
        <w:rPr>
          <w:shd w:val="clear" w:color="auto" w:fill="FFFFFF"/>
        </w:rPr>
        <w:t xml:space="preserve"> </w:t>
      </w:r>
      <w:r w:rsidR="001F324B" w:rsidRPr="007C68F1">
        <w:rPr>
          <w:shd w:val="clear" w:color="auto" w:fill="FFFFFF"/>
        </w:rPr>
        <w:t>On the basis of Bowell’s declaration, t</w:t>
      </w:r>
      <w:r w:rsidRPr="007C68F1">
        <w:rPr>
          <w:shd w:val="clear" w:color="auto" w:fill="FFFFFF"/>
        </w:rPr>
        <w:t xml:space="preserve">he medical center argued </w:t>
      </w:r>
      <w:r w:rsidR="00252AD8" w:rsidRPr="007C68F1">
        <w:rPr>
          <w:shd w:val="clear" w:color="auto" w:fill="FFFFFF"/>
        </w:rPr>
        <w:t xml:space="preserve">that </w:t>
      </w:r>
      <w:r w:rsidR="001F324B" w:rsidRPr="007C68F1">
        <w:rPr>
          <w:shd w:val="clear" w:color="auto" w:fill="FFFFFF"/>
        </w:rPr>
        <w:t xml:space="preserve">bonus-specific evidence would be required to </w:t>
      </w:r>
      <w:r w:rsidRPr="007C68F1">
        <w:rPr>
          <w:shd w:val="clear" w:color="auto" w:fill="FFFFFF"/>
        </w:rPr>
        <w:lastRenderedPageBreak/>
        <w:t xml:space="preserve">determine </w:t>
      </w:r>
      <w:r w:rsidR="001F324B" w:rsidRPr="007C68F1">
        <w:rPr>
          <w:shd w:val="clear" w:color="auto" w:fill="FFFFFF"/>
        </w:rPr>
        <w:t xml:space="preserve">whether the medical center properly excluded </w:t>
      </w:r>
      <w:r w:rsidR="00252AD8" w:rsidRPr="007C68F1">
        <w:rPr>
          <w:shd w:val="clear" w:color="auto" w:fill="FFFFFF"/>
        </w:rPr>
        <w:t xml:space="preserve">a bonus from the regular rate calculation.  </w:t>
      </w:r>
    </w:p>
    <w:p w14:paraId="46B6595A" w14:textId="77777777" w:rsidR="00C556DD" w:rsidRPr="007C68F1" w:rsidRDefault="00D16B2E" w:rsidP="007D1009">
      <w:pPr>
        <w:spacing w:line="480" w:lineRule="auto"/>
        <w:ind w:firstLine="720"/>
        <w:rPr>
          <w:shd w:val="clear" w:color="auto" w:fill="FFFFFF"/>
        </w:rPr>
      </w:pPr>
      <w:r w:rsidRPr="007C68F1">
        <w:rPr>
          <w:shd w:val="clear" w:color="auto" w:fill="FFFFFF"/>
        </w:rPr>
        <w:t>Apart from the predominance element, the medical center also a</w:t>
      </w:r>
      <w:r w:rsidR="00624F37" w:rsidRPr="007C68F1">
        <w:rPr>
          <w:shd w:val="clear" w:color="auto" w:fill="FFFFFF"/>
        </w:rPr>
        <w:t xml:space="preserve">rgued that Woodworth was not an adequate </w:t>
      </w:r>
      <w:r w:rsidR="00E6322C" w:rsidRPr="007C68F1">
        <w:rPr>
          <w:shd w:val="clear" w:color="auto" w:fill="FFFFFF"/>
        </w:rPr>
        <w:t>representative of the Regular Rate Class</w:t>
      </w:r>
      <w:r w:rsidR="007B0ED2" w:rsidRPr="007C68F1">
        <w:rPr>
          <w:shd w:val="clear" w:color="auto" w:fill="FFFFFF"/>
        </w:rPr>
        <w:t>,</w:t>
      </w:r>
      <w:r w:rsidR="008D0D0C" w:rsidRPr="007C68F1">
        <w:rPr>
          <w:shd w:val="clear" w:color="auto" w:fill="FFFFFF"/>
        </w:rPr>
        <w:t xml:space="preserve"> because there was no evidence that she had been promised </w:t>
      </w:r>
      <w:r w:rsidR="00F65614" w:rsidRPr="007C68F1">
        <w:rPr>
          <w:shd w:val="clear" w:color="auto" w:fill="FFFFFF"/>
        </w:rPr>
        <w:t>a Christmas bonus</w:t>
      </w:r>
      <w:r w:rsidR="007B0ED2" w:rsidRPr="007C68F1">
        <w:rPr>
          <w:shd w:val="clear" w:color="auto" w:fill="FFFFFF"/>
        </w:rPr>
        <w:t>,</w:t>
      </w:r>
      <w:r w:rsidR="00BB34CC" w:rsidRPr="007C68F1">
        <w:rPr>
          <w:shd w:val="clear" w:color="auto" w:fill="FFFFFF"/>
        </w:rPr>
        <w:t xml:space="preserve"> and she never received another type of bonus</w:t>
      </w:r>
      <w:r w:rsidR="00F65614" w:rsidRPr="007C68F1">
        <w:rPr>
          <w:shd w:val="clear" w:color="auto" w:fill="FFFFFF"/>
        </w:rPr>
        <w:t>.</w:t>
      </w:r>
      <w:r w:rsidR="00FA4576" w:rsidRPr="007C68F1">
        <w:rPr>
          <w:shd w:val="clear" w:color="auto" w:fill="FFFFFF"/>
        </w:rPr>
        <w:t xml:space="preserve">  S</w:t>
      </w:r>
      <w:r w:rsidR="00E6322C" w:rsidRPr="007C68F1">
        <w:rPr>
          <w:shd w:val="clear" w:color="auto" w:fill="FFFFFF"/>
        </w:rPr>
        <w:t xml:space="preserve">he </w:t>
      </w:r>
      <w:r w:rsidR="008D0D0C" w:rsidRPr="007C68F1">
        <w:rPr>
          <w:shd w:val="clear" w:color="auto" w:fill="FFFFFF"/>
        </w:rPr>
        <w:t>testified at her deposition</w:t>
      </w:r>
      <w:r w:rsidR="00E6322C" w:rsidRPr="007C68F1">
        <w:rPr>
          <w:shd w:val="clear" w:color="auto" w:fill="FFFFFF"/>
        </w:rPr>
        <w:t xml:space="preserve"> that</w:t>
      </w:r>
      <w:r w:rsidR="008D0D0C" w:rsidRPr="007C68F1">
        <w:rPr>
          <w:shd w:val="clear" w:color="auto" w:fill="FFFFFF"/>
        </w:rPr>
        <w:t xml:space="preserve"> she did not expect to receive a Christmas bonus until a coworker told her that </w:t>
      </w:r>
      <w:r w:rsidR="00C22A22" w:rsidRPr="007C68F1">
        <w:rPr>
          <w:shd w:val="clear" w:color="auto" w:fill="FFFFFF"/>
        </w:rPr>
        <w:t>the medical center would be paying one</w:t>
      </w:r>
      <w:r w:rsidR="008D0D0C" w:rsidRPr="007C68F1">
        <w:rPr>
          <w:shd w:val="clear" w:color="auto" w:fill="FFFFFF"/>
        </w:rPr>
        <w:t>.</w:t>
      </w:r>
      <w:r w:rsidR="00FA4576" w:rsidRPr="007C68F1">
        <w:rPr>
          <w:shd w:val="clear" w:color="auto" w:fill="FFFFFF"/>
        </w:rPr>
        <w:t xml:space="preserve">  Also, she had never seen the Outline of Benefits, which the medical center published</w:t>
      </w:r>
      <w:r w:rsidR="000E75D7" w:rsidRPr="007C68F1">
        <w:rPr>
          <w:shd w:val="clear" w:color="auto" w:fill="FFFFFF"/>
        </w:rPr>
        <w:t xml:space="preserve"> in January 2015,</w:t>
      </w:r>
      <w:r w:rsidR="00FA4576" w:rsidRPr="007C68F1">
        <w:rPr>
          <w:shd w:val="clear" w:color="auto" w:fill="FFFFFF"/>
        </w:rPr>
        <w:t xml:space="preserve"> months after Woodworth </w:t>
      </w:r>
      <w:r w:rsidR="00BB34CC" w:rsidRPr="007C68F1">
        <w:rPr>
          <w:shd w:val="clear" w:color="auto" w:fill="FFFFFF"/>
        </w:rPr>
        <w:t xml:space="preserve">had </w:t>
      </w:r>
      <w:r w:rsidR="00FA4576" w:rsidRPr="007C68F1">
        <w:rPr>
          <w:shd w:val="clear" w:color="auto" w:fill="FFFFFF"/>
        </w:rPr>
        <w:t xml:space="preserve">left the medical center. </w:t>
      </w:r>
    </w:p>
    <w:p w14:paraId="5C8E9966" w14:textId="77777777" w:rsidR="00752192" w:rsidRPr="007C68F1" w:rsidRDefault="00D16B2E" w:rsidP="007D1009">
      <w:pPr>
        <w:spacing w:line="480" w:lineRule="auto"/>
        <w:ind w:firstLine="720"/>
        <w:rPr>
          <w:shd w:val="clear" w:color="auto" w:fill="FFFFFF"/>
        </w:rPr>
      </w:pPr>
      <w:r w:rsidRPr="007C68F1">
        <w:rPr>
          <w:shd w:val="clear" w:color="auto" w:fill="FFFFFF"/>
        </w:rPr>
        <w:t>In her reply brief, Woodworth argued that</w:t>
      </w:r>
      <w:r w:rsidR="00C74984" w:rsidRPr="007C68F1">
        <w:rPr>
          <w:shd w:val="clear" w:color="auto" w:fill="FFFFFF"/>
        </w:rPr>
        <w:t xml:space="preserve"> the </w:t>
      </w:r>
      <w:r w:rsidRPr="007C68F1">
        <w:rPr>
          <w:shd w:val="clear" w:color="auto" w:fill="FFFFFF"/>
        </w:rPr>
        <w:t>Christmas bonus</w:t>
      </w:r>
      <w:r w:rsidR="00C74984" w:rsidRPr="007C68F1">
        <w:rPr>
          <w:shd w:val="clear" w:color="auto" w:fill="FFFFFF"/>
        </w:rPr>
        <w:t xml:space="preserve"> issue </w:t>
      </w:r>
      <w:bookmarkStart w:id="386" w:name="dabmq_169"/>
      <w:r w:rsidR="00C74984" w:rsidRPr="007C68F1">
        <w:rPr>
          <w:shd w:val="clear" w:color="auto" w:fill="FFFFFF"/>
        </w:rPr>
        <w:t>“turn[ed] on whether the bonus was discretionary”</w:t>
      </w:r>
      <w:bookmarkEnd w:id="386"/>
      <w:r w:rsidR="00C74984" w:rsidRPr="007C68F1">
        <w:rPr>
          <w:shd w:val="clear" w:color="auto" w:fill="FFFFFF"/>
        </w:rPr>
        <w:t xml:space="preserve"> (and thus properly excluded from the regular rate) </w:t>
      </w:r>
      <w:bookmarkStart w:id="387" w:name="dabmq_170"/>
      <w:r w:rsidR="00C74984" w:rsidRPr="007C68F1">
        <w:rPr>
          <w:shd w:val="clear" w:color="auto" w:fill="FFFFFF"/>
        </w:rPr>
        <w:t>“or promised (and thus improperly excluded).”</w:t>
      </w:r>
      <w:bookmarkEnd w:id="387"/>
      <w:r w:rsidR="003474B4" w:rsidRPr="007C68F1">
        <w:rPr>
          <w:shd w:val="clear" w:color="auto" w:fill="FFFFFF"/>
        </w:rPr>
        <w:t xml:space="preserve">  She asserted that this common legal question predominated.  Similarly, she </w:t>
      </w:r>
      <w:r w:rsidR="00972F40" w:rsidRPr="007C68F1">
        <w:rPr>
          <w:shd w:val="clear" w:color="auto" w:fill="FFFFFF"/>
        </w:rPr>
        <w:t xml:space="preserve">continued to </w:t>
      </w:r>
      <w:r w:rsidR="003474B4" w:rsidRPr="007C68F1">
        <w:rPr>
          <w:shd w:val="clear" w:color="auto" w:fill="FFFFFF"/>
        </w:rPr>
        <w:t xml:space="preserve">argue that the exclusion of the flat sum </w:t>
      </w:r>
      <w:r w:rsidR="001D6701" w:rsidRPr="007C68F1">
        <w:rPr>
          <w:shd w:val="clear" w:color="auto" w:fill="FFFFFF"/>
        </w:rPr>
        <w:t xml:space="preserve">bonus </w:t>
      </w:r>
      <w:r w:rsidR="003474B4" w:rsidRPr="007C68F1">
        <w:rPr>
          <w:shd w:val="clear" w:color="auto" w:fill="FFFFFF"/>
        </w:rPr>
        <w:t xml:space="preserve">from the regular rate was a </w:t>
      </w:r>
      <w:r w:rsidR="001D6701" w:rsidRPr="007C68F1">
        <w:rPr>
          <w:shd w:val="clear" w:color="auto" w:fill="FFFFFF"/>
        </w:rPr>
        <w:t xml:space="preserve">predominant </w:t>
      </w:r>
      <w:r w:rsidR="003474B4" w:rsidRPr="007C68F1">
        <w:rPr>
          <w:shd w:val="clear" w:color="auto" w:fill="FFFFFF"/>
        </w:rPr>
        <w:t xml:space="preserve">common legal question.  </w:t>
      </w:r>
    </w:p>
    <w:p w14:paraId="659FD7BC" w14:textId="77777777" w:rsidR="002A6039" w:rsidRPr="007C68F1" w:rsidRDefault="00D16B2E" w:rsidP="007D1009">
      <w:pPr>
        <w:spacing w:line="480" w:lineRule="auto"/>
        <w:ind w:firstLine="720"/>
        <w:rPr>
          <w:shd w:val="clear" w:color="auto" w:fill="FFFFFF"/>
        </w:rPr>
      </w:pPr>
      <w:r w:rsidRPr="007C68F1">
        <w:rPr>
          <w:shd w:val="clear" w:color="auto" w:fill="FFFFFF"/>
        </w:rPr>
        <w:t xml:space="preserve">The </w:t>
      </w:r>
      <w:r w:rsidR="00A54197" w:rsidRPr="007C68F1">
        <w:rPr>
          <w:shd w:val="clear" w:color="auto" w:fill="FFFFFF"/>
        </w:rPr>
        <w:t xml:space="preserve">trial </w:t>
      </w:r>
      <w:r w:rsidRPr="007C68F1">
        <w:rPr>
          <w:shd w:val="clear" w:color="auto" w:fill="FFFFFF"/>
        </w:rPr>
        <w:t>court denied certification of the Regular Rate Class.</w:t>
      </w:r>
      <w:r w:rsidR="00C22A22" w:rsidRPr="007C68F1">
        <w:rPr>
          <w:shd w:val="clear" w:color="auto" w:fill="FFFFFF"/>
        </w:rPr>
        <w:t xml:space="preserve">  It concluded that Woodworth was not an adequate representative of the class.  In addition, it found that common questions of law or fact did not predominate, because the trier of fact would have to make individualized determinations </w:t>
      </w:r>
      <w:r w:rsidR="009D50DF" w:rsidRPr="007C68F1">
        <w:rPr>
          <w:shd w:val="clear" w:color="auto" w:fill="FFFFFF"/>
        </w:rPr>
        <w:t>about (1) which BON code bonuses were discretionary and (2) whether the medical center promised employees bonuses</w:t>
      </w:r>
      <w:r w:rsidR="00E54652" w:rsidRPr="007C68F1">
        <w:rPr>
          <w:shd w:val="clear" w:color="auto" w:fill="FFFFFF"/>
        </w:rPr>
        <w:t>.</w:t>
      </w:r>
      <w:r w:rsidR="009D50DF" w:rsidRPr="007C68F1">
        <w:rPr>
          <w:shd w:val="clear" w:color="auto" w:fill="FFFFFF"/>
        </w:rPr>
        <w:t xml:space="preserve">  </w:t>
      </w:r>
      <w:r w:rsidR="00E54652" w:rsidRPr="007C68F1">
        <w:rPr>
          <w:shd w:val="clear" w:color="auto" w:fill="FFFFFF"/>
        </w:rPr>
        <w:t xml:space="preserve">In addition, </w:t>
      </w:r>
      <w:r w:rsidR="00E5794E" w:rsidRPr="007C68F1">
        <w:rPr>
          <w:shd w:val="clear" w:color="auto" w:fill="FFFFFF"/>
        </w:rPr>
        <w:t xml:space="preserve">the court ruled that Woodworth failed to offer a </w:t>
      </w:r>
      <w:r w:rsidR="00E54652" w:rsidRPr="007C68F1">
        <w:rPr>
          <w:shd w:val="clear" w:color="auto" w:fill="FFFFFF"/>
        </w:rPr>
        <w:t>manageable trial plan</w:t>
      </w:r>
      <w:r w:rsidR="00E5794E" w:rsidRPr="007C68F1">
        <w:rPr>
          <w:shd w:val="clear" w:color="auto" w:fill="FFFFFF"/>
        </w:rPr>
        <w:t xml:space="preserve"> for determining which bonuses were discretionary</w:t>
      </w:r>
      <w:r w:rsidR="00A54197" w:rsidRPr="007C68F1">
        <w:rPr>
          <w:shd w:val="clear" w:color="auto" w:fill="FFFFFF"/>
        </w:rPr>
        <w:t xml:space="preserve"> (and thus excludable from the regular rate calculation)</w:t>
      </w:r>
      <w:r w:rsidR="00E54652" w:rsidRPr="007C68F1">
        <w:rPr>
          <w:shd w:val="clear" w:color="auto" w:fill="FFFFFF"/>
        </w:rPr>
        <w:t>.</w:t>
      </w:r>
    </w:p>
    <w:p w14:paraId="402446E6" w14:textId="77777777" w:rsidR="00D92C55" w:rsidRPr="007C68F1" w:rsidRDefault="00D16B2E" w:rsidP="007D1009">
      <w:pPr>
        <w:keepNext/>
        <w:spacing w:line="480" w:lineRule="auto"/>
        <w:ind w:firstLine="720"/>
        <w:rPr>
          <w:i/>
          <w:iCs/>
          <w:shd w:val="clear" w:color="auto" w:fill="FFFFFF"/>
        </w:rPr>
      </w:pPr>
      <w:r w:rsidRPr="007C68F1">
        <w:rPr>
          <w:shd w:val="clear" w:color="auto" w:fill="FFFFFF"/>
        </w:rPr>
        <w:lastRenderedPageBreak/>
        <w:tab/>
      </w:r>
      <w:r w:rsidRPr="007C68F1">
        <w:rPr>
          <w:shd w:val="clear" w:color="auto" w:fill="FFFFFF"/>
        </w:rPr>
        <w:tab/>
        <w:t xml:space="preserve">ii.  </w:t>
      </w:r>
      <w:r w:rsidRPr="007C68F1">
        <w:rPr>
          <w:i/>
          <w:iCs/>
          <w:shd w:val="clear" w:color="auto" w:fill="FFFFFF"/>
        </w:rPr>
        <w:t>Analysis</w:t>
      </w:r>
    </w:p>
    <w:p w14:paraId="4AC0CC35" w14:textId="77777777" w:rsidR="00D92C55" w:rsidRPr="007C68F1" w:rsidRDefault="00D16B2E" w:rsidP="007D1009">
      <w:pPr>
        <w:spacing w:line="480" w:lineRule="auto"/>
      </w:pPr>
      <w:r w:rsidRPr="007C68F1">
        <w:tab/>
      </w:r>
      <w:bookmarkStart w:id="388" w:name="dabmq_171"/>
      <w:r w:rsidRPr="007C68F1">
        <w:t>“</w:t>
      </w:r>
      <w:r w:rsidRPr="007C68F1">
        <w:rPr>
          <w:shd w:val="clear" w:color="auto" w:fill="FFFFFF"/>
        </w:rPr>
        <w:t xml:space="preserve">Under California law, employers must provide employees with overtime </w:t>
      </w:r>
      <w:r w:rsidRPr="007C68F1">
        <w:rPr>
          <w:bdr w:val="none" w:sz="0" w:space="0" w:color="auto" w:frame="1"/>
          <w:shd w:val="clear" w:color="auto" w:fill="FFFFFF"/>
        </w:rPr>
        <w:t>pay</w:t>
      </w:r>
      <w:r w:rsidRPr="007C68F1">
        <w:rPr>
          <w:shd w:val="clear" w:color="auto" w:fill="FFFFFF"/>
        </w:rPr>
        <w:t xml:space="preserve"> when employees work more than a certain amount of time.”</w:t>
      </w:r>
      <w:bookmarkEnd w:id="388"/>
      <w:r w:rsidRPr="007C68F1">
        <w:rPr>
          <w:shd w:val="clear" w:color="auto" w:fill="FFFFFF"/>
        </w:rPr>
        <w:t xml:space="preserve">  (</w:t>
      </w:r>
      <w:bookmarkStart w:id="389" w:name="dabmci_01cff4a3ab0842e08daa06a4364b6fb4"/>
      <w:r w:rsidRPr="007C68F1">
        <w:rPr>
          <w:i/>
          <w:iCs/>
          <w:bdr w:val="none" w:sz="0" w:space="0" w:color="auto" w:frame="1"/>
        </w:rPr>
        <w:t>Ferra v. Loews Hollywood Hotel, LLC</w:t>
      </w:r>
      <w:r w:rsidRPr="007C68F1">
        <w:t xml:space="preserve"> (2021) 11 Cal.5th 858, 863 (</w:t>
      </w:r>
      <w:r w:rsidRPr="007C68F1">
        <w:rPr>
          <w:i/>
          <w:iCs/>
        </w:rPr>
        <w:t>Ferra</w:t>
      </w:r>
      <w:r w:rsidRPr="007C68F1">
        <w:t>)</w:t>
      </w:r>
      <w:bookmarkEnd w:id="389"/>
      <w:r w:rsidRPr="007C68F1">
        <w:t>.)  S</w:t>
      </w:r>
      <w:r w:rsidRPr="007C68F1">
        <w:rPr>
          <w:shd w:val="clear" w:color="auto" w:fill="FFFFFF"/>
        </w:rPr>
        <w:t>ection 510, subdivision (a), requires employers t</w:t>
      </w:r>
      <w:r w:rsidRPr="007C68F1">
        <w:rPr>
          <w:shd w:val="clear" w:color="auto" w:fill="FFFFFF"/>
        </w:rPr>
        <w:t xml:space="preserve">o compensate employees for overtime at one and one-half or twice their </w:t>
      </w:r>
      <w:bookmarkStart w:id="390" w:name="dabmq_172"/>
      <w:r w:rsidRPr="007C68F1">
        <w:rPr>
          <w:bdr w:val="none" w:sz="0" w:space="0" w:color="auto" w:frame="1"/>
          <w:shd w:val="clear" w:color="auto" w:fill="FFFFFF"/>
        </w:rPr>
        <w:t>“regular rate of pay,”</w:t>
      </w:r>
      <w:bookmarkEnd w:id="390"/>
      <w:r w:rsidRPr="007C68F1">
        <w:rPr>
          <w:bdr w:val="none" w:sz="0" w:space="0" w:color="auto" w:frame="1"/>
          <w:shd w:val="clear" w:color="auto" w:fill="FFFFFF"/>
        </w:rPr>
        <w:t xml:space="preserve"> depending on the number of overtime hours.  </w:t>
      </w:r>
      <w:bookmarkStart w:id="391" w:name="dabmq_173"/>
      <w:r w:rsidRPr="007C68F1">
        <w:rPr>
          <w:bdr w:val="none" w:sz="0" w:space="0" w:color="auto" w:frame="1"/>
          <w:shd w:val="clear" w:color="auto" w:fill="FFFFFF"/>
        </w:rPr>
        <w:t>“C</w:t>
      </w:r>
      <w:r w:rsidRPr="007C68F1">
        <w:rPr>
          <w:shd w:val="clear" w:color="auto" w:fill="FFFFFF"/>
        </w:rPr>
        <w:t xml:space="preserve">alifornia law also provides for meal, rest, and recovery periods.  If an employer does not provide an employee with </w:t>
      </w:r>
      <w:r w:rsidRPr="007C68F1">
        <w:rPr>
          <w:shd w:val="clear" w:color="auto" w:fill="FFFFFF"/>
        </w:rPr>
        <w:t>a c</w:t>
      </w:r>
      <w:r w:rsidRPr="007C68F1">
        <w:rPr>
          <w:bdr w:val="none" w:sz="0" w:space="0" w:color="auto" w:frame="1"/>
          <w:shd w:val="clear" w:color="auto" w:fill="FFFFFF"/>
        </w:rPr>
        <w:t xml:space="preserve">ompliant meal, rest, or recovery period, </w:t>
      </w:r>
      <w:r w:rsidRPr="007C68F1">
        <w:rPr>
          <w:shd w:val="clear" w:color="auto" w:fill="FFFFFF"/>
        </w:rPr>
        <w:t>section 226.7, subdivision (c) . . . requires the employer to ‘</w:t>
      </w:r>
      <w:r w:rsidRPr="007C68F1">
        <w:rPr>
          <w:bdr w:val="none" w:sz="0" w:space="0" w:color="auto" w:frame="1"/>
          <w:shd w:val="clear" w:color="auto" w:fill="FFFFFF"/>
        </w:rPr>
        <w:t>pay</w:t>
      </w:r>
      <w:r w:rsidR="00504833">
        <w:rPr>
          <w:bdr w:val="none" w:sz="0" w:space="0" w:color="auto" w:frame="1"/>
          <w:shd w:val="clear" w:color="auto" w:fill="FFFFFF"/>
        </w:rPr>
        <w:t xml:space="preserve"> </w:t>
      </w:r>
      <w:r w:rsidRPr="007C68F1">
        <w:rPr>
          <w:shd w:val="clear" w:color="auto" w:fill="FFFFFF"/>
        </w:rPr>
        <w:t xml:space="preserve">the employee one additional hour of </w:t>
      </w:r>
      <w:r w:rsidRPr="007C68F1">
        <w:rPr>
          <w:bdr w:val="none" w:sz="0" w:space="0" w:color="auto" w:frame="1"/>
          <w:shd w:val="clear" w:color="auto" w:fill="FFFFFF"/>
        </w:rPr>
        <w:t>pay</w:t>
      </w:r>
      <w:r w:rsidRPr="007C68F1">
        <w:rPr>
          <w:shd w:val="clear" w:color="auto" w:fill="FFFFFF"/>
        </w:rPr>
        <w:t xml:space="preserve"> at the employee’s </w:t>
      </w:r>
      <w:r w:rsidRPr="007C68F1">
        <w:rPr>
          <w:bdr w:val="none" w:sz="0" w:space="0" w:color="auto" w:frame="1"/>
          <w:shd w:val="clear" w:color="auto" w:fill="FFFFFF"/>
        </w:rPr>
        <w:t>regular rate of compensation.’”</w:t>
      </w:r>
      <w:bookmarkEnd w:id="391"/>
      <w:r w:rsidRPr="007C68F1">
        <w:rPr>
          <w:bdr w:val="none" w:sz="0" w:space="0" w:color="auto" w:frame="1"/>
          <w:shd w:val="clear" w:color="auto" w:fill="FFFFFF"/>
        </w:rPr>
        <w:t xml:space="preserve">  (</w:t>
      </w:r>
      <w:bookmarkStart w:id="392" w:name="dabmci_188ac024158b4a7d89036051bcaa0758"/>
      <w:r w:rsidRPr="007C68F1">
        <w:rPr>
          <w:i/>
          <w:iCs/>
          <w:bdr w:val="none" w:sz="0" w:space="0" w:color="auto" w:frame="1"/>
        </w:rPr>
        <w:t>Ferra</w:t>
      </w:r>
      <w:r w:rsidRPr="007C68F1">
        <w:rPr>
          <w:bdr w:val="none" w:sz="0" w:space="0" w:color="auto" w:frame="1"/>
        </w:rPr>
        <w:t xml:space="preserve">, </w:t>
      </w:r>
      <w:r w:rsidR="00504833" w:rsidRPr="00936E15">
        <w:rPr>
          <w:i/>
          <w:iCs/>
          <w:bdr w:val="none" w:sz="0" w:space="0" w:color="auto" w:frame="1"/>
        </w:rPr>
        <w:t>supra</w:t>
      </w:r>
      <w:r w:rsidR="00504833">
        <w:rPr>
          <w:bdr w:val="none" w:sz="0" w:space="0" w:color="auto" w:frame="1"/>
        </w:rPr>
        <w:t xml:space="preserve">, </w:t>
      </w:r>
      <w:r w:rsidRPr="007C68F1">
        <w:rPr>
          <w:bdr w:val="none" w:sz="0" w:space="0" w:color="auto" w:frame="1"/>
        </w:rPr>
        <w:t>at p.</w:t>
      </w:r>
      <w:r w:rsidRPr="007C68F1">
        <w:t xml:space="preserve"> 863</w:t>
      </w:r>
      <w:bookmarkEnd w:id="392"/>
      <w:r w:rsidRPr="007C68F1">
        <w:t>.)  For purposes of calculatin</w:t>
      </w:r>
      <w:r w:rsidRPr="007C68F1">
        <w:t xml:space="preserve">g an employee’s overtime rate and </w:t>
      </w:r>
      <w:r w:rsidR="009D0B34" w:rsidRPr="007C68F1">
        <w:t>missed break premium</w:t>
      </w:r>
      <w:r w:rsidRPr="007C68F1">
        <w:t xml:space="preserve">, the terms </w:t>
      </w:r>
      <w:r w:rsidR="002149D1" w:rsidRPr="007C68F1">
        <w:t>‘</w:t>
      </w:r>
      <w:bookmarkStart w:id="393" w:name="dabmq_174"/>
      <w:r w:rsidRPr="007C68F1">
        <w:t>“regular rate of pay”</w:t>
      </w:r>
      <w:bookmarkEnd w:id="393"/>
      <w:r w:rsidR="002149D1" w:rsidRPr="007C68F1">
        <w:t>’</w:t>
      </w:r>
      <w:r w:rsidRPr="007C68F1">
        <w:t xml:space="preserve"> and </w:t>
      </w:r>
      <w:r w:rsidR="002149D1" w:rsidRPr="007C68F1">
        <w:t>‘</w:t>
      </w:r>
      <w:bookmarkStart w:id="394" w:name="dabmq_175"/>
      <w:r w:rsidRPr="007C68F1">
        <w:t>“regular rate of compensation”</w:t>
      </w:r>
      <w:bookmarkEnd w:id="394"/>
      <w:r w:rsidR="002149D1" w:rsidRPr="007C68F1">
        <w:t>’</w:t>
      </w:r>
      <w:r w:rsidRPr="007C68F1">
        <w:t xml:space="preserve"> are synonymous.  (</w:t>
      </w:r>
      <w:bookmarkStart w:id="395" w:name="dabmci_13caff6f252144fda26935ebffcd3c99"/>
      <w:r w:rsidRPr="007C68F1">
        <w:rPr>
          <w:i/>
          <w:iCs/>
        </w:rPr>
        <w:t>Ibid.</w:t>
      </w:r>
      <w:bookmarkEnd w:id="395"/>
      <w:r w:rsidRPr="007C68F1">
        <w:t xml:space="preserve">) </w:t>
      </w:r>
    </w:p>
    <w:p w14:paraId="6166E13F" w14:textId="77777777" w:rsidR="00D92C55" w:rsidRPr="007C68F1" w:rsidRDefault="00D16B2E" w:rsidP="007D1009">
      <w:pPr>
        <w:spacing w:line="480" w:lineRule="auto"/>
        <w:ind w:firstLine="720"/>
      </w:pPr>
      <w:r w:rsidRPr="007C68F1">
        <w:t xml:space="preserve">California courts construe </w:t>
      </w:r>
      <w:bookmarkStart w:id="396" w:name="dabmq_176"/>
      <w:r w:rsidRPr="007C68F1">
        <w:t>“‘</w:t>
      </w:r>
      <w:r w:rsidRPr="007C68F1">
        <w:rPr>
          <w:bdr w:val="none" w:sz="0" w:space="0" w:color="auto" w:frame="1"/>
          <w:shd w:val="clear" w:color="auto" w:fill="FFFFFF"/>
        </w:rPr>
        <w:t>regular</w:t>
      </w:r>
      <w:r w:rsidR="002149D1" w:rsidRPr="007C68F1">
        <w:rPr>
          <w:bdr w:val="none" w:sz="0" w:space="0" w:color="auto" w:frame="1"/>
          <w:shd w:val="clear" w:color="auto" w:fill="FFFFFF"/>
        </w:rPr>
        <w:t xml:space="preserve"> </w:t>
      </w:r>
      <w:r w:rsidRPr="007C68F1">
        <w:rPr>
          <w:bdr w:val="none" w:sz="0" w:space="0" w:color="auto" w:frame="1"/>
          <w:shd w:val="clear" w:color="auto" w:fill="FFFFFF"/>
        </w:rPr>
        <w:t>rate</w:t>
      </w:r>
      <w:r w:rsidR="002149D1" w:rsidRPr="007C68F1">
        <w:rPr>
          <w:bdr w:val="none" w:sz="0" w:space="0" w:color="auto" w:frame="1"/>
          <w:shd w:val="clear" w:color="auto" w:fill="FFFFFF"/>
        </w:rPr>
        <w:t xml:space="preserve"> </w:t>
      </w:r>
      <w:r w:rsidRPr="007C68F1">
        <w:rPr>
          <w:shd w:val="clear" w:color="auto" w:fill="FFFFFF"/>
        </w:rPr>
        <w:t>of</w:t>
      </w:r>
      <w:r w:rsidR="002149D1" w:rsidRPr="007C68F1">
        <w:rPr>
          <w:shd w:val="clear" w:color="auto" w:fill="FFFFFF"/>
        </w:rPr>
        <w:t xml:space="preserve"> </w:t>
      </w:r>
      <w:r w:rsidRPr="007C68F1">
        <w:rPr>
          <w:bdr w:val="none" w:sz="0" w:space="0" w:color="auto" w:frame="1"/>
          <w:shd w:val="clear" w:color="auto" w:fill="FFFFFF"/>
        </w:rPr>
        <w:t>pay</w:t>
      </w:r>
      <w:r w:rsidRPr="007C68F1">
        <w:rPr>
          <w:shd w:val="clear" w:color="auto" w:fill="FFFFFF"/>
        </w:rPr>
        <w:t>’ . . . to have the same meaning as ‘</w:t>
      </w:r>
      <w:r w:rsidRPr="007C68F1">
        <w:rPr>
          <w:bdr w:val="none" w:sz="0" w:space="0" w:color="auto" w:frame="1"/>
          <w:shd w:val="clear" w:color="auto" w:fill="FFFFFF"/>
        </w:rPr>
        <w:t>regular</w:t>
      </w:r>
      <w:r w:rsidR="002149D1" w:rsidRPr="007C68F1">
        <w:rPr>
          <w:bdr w:val="none" w:sz="0" w:space="0" w:color="auto" w:frame="1"/>
          <w:shd w:val="clear" w:color="auto" w:fill="FFFFFF"/>
        </w:rPr>
        <w:t xml:space="preserve"> </w:t>
      </w:r>
      <w:r w:rsidRPr="007C68F1">
        <w:rPr>
          <w:bdr w:val="none" w:sz="0" w:space="0" w:color="auto" w:frame="1"/>
          <w:shd w:val="clear" w:color="auto" w:fill="FFFFFF"/>
        </w:rPr>
        <w:t>rate</w:t>
      </w:r>
      <w:r w:rsidRPr="007C68F1">
        <w:rPr>
          <w:shd w:val="clear" w:color="auto" w:fill="FFFFFF"/>
        </w:rPr>
        <w:t>’”</w:t>
      </w:r>
      <w:bookmarkEnd w:id="396"/>
      <w:r w:rsidRPr="007C68F1">
        <w:rPr>
          <w:shd w:val="clear" w:color="auto" w:fill="FFFFFF"/>
        </w:rPr>
        <w:t xml:space="preserve"> in the Fair Labor Standards Act of 1938 (FLSA) (</w:t>
      </w:r>
      <w:bookmarkStart w:id="397" w:name="dabmci_d0f6d65928e94866b7f49f476f3bd93d"/>
      <w:r w:rsidRPr="007C68F1">
        <w:rPr>
          <w:shd w:val="clear" w:color="auto" w:fill="FFFFFF"/>
        </w:rPr>
        <w:t>29 U.S.C. § 201</w:t>
      </w:r>
      <w:bookmarkEnd w:id="397"/>
      <w:r w:rsidRPr="007C68F1">
        <w:rPr>
          <w:shd w:val="clear" w:color="auto" w:fill="FFFFFF"/>
        </w:rPr>
        <w:t xml:space="preserve"> et seq.).  (</w:t>
      </w:r>
      <w:bookmarkStart w:id="398" w:name="dabmci_c3fdbd822475425da6289475a8c3c0a3"/>
      <w:r w:rsidRPr="007C68F1">
        <w:rPr>
          <w:i/>
          <w:iCs/>
          <w:shd w:val="clear" w:color="auto" w:fill="FFFFFF"/>
        </w:rPr>
        <w:t>Ferra</w:t>
      </w:r>
      <w:r w:rsidRPr="007C68F1">
        <w:rPr>
          <w:shd w:val="clear" w:color="auto" w:fill="FFFFFF"/>
        </w:rPr>
        <w:t xml:space="preserve">, </w:t>
      </w:r>
      <w:r w:rsidRPr="007C68F1">
        <w:rPr>
          <w:i/>
          <w:iCs/>
          <w:shd w:val="clear" w:color="auto" w:fill="FFFFFF"/>
        </w:rPr>
        <w:t>supra</w:t>
      </w:r>
      <w:r w:rsidRPr="007C68F1">
        <w:rPr>
          <w:shd w:val="clear" w:color="auto" w:fill="FFFFFF"/>
        </w:rPr>
        <w:t xml:space="preserve">, </w:t>
      </w:r>
      <w:r w:rsidRPr="007C68F1">
        <w:t>11 Cal.5th at p. 868</w:t>
      </w:r>
      <w:bookmarkEnd w:id="398"/>
      <w:r w:rsidRPr="007C68F1">
        <w:t xml:space="preserve">; </w:t>
      </w:r>
      <w:bookmarkStart w:id="399" w:name="dabmci_a3ae612744af4267ac2538497f5456f0"/>
      <w:r w:rsidRPr="007C68F1">
        <w:rPr>
          <w:i/>
          <w:iCs/>
          <w:bdr w:val="none" w:sz="0" w:space="0" w:color="auto" w:frame="1"/>
        </w:rPr>
        <w:t>Prachasaisoradej v. Ralphs Grocery Co., Inc.</w:t>
      </w:r>
      <w:r w:rsidRPr="007C68F1">
        <w:t> (2007) 42 Cal.4th 217, 242, fn. 14</w:t>
      </w:r>
      <w:bookmarkEnd w:id="399"/>
      <w:r w:rsidRPr="007C68F1">
        <w:rPr>
          <w:shd w:val="clear" w:color="auto" w:fill="FFFFFF"/>
        </w:rPr>
        <w:t xml:space="preserve">.)  </w:t>
      </w:r>
      <w:r w:rsidRPr="007C68F1">
        <w:t xml:space="preserve">FLSA defines the regular rate as including </w:t>
      </w:r>
      <w:bookmarkStart w:id="400" w:name="dabmq_177"/>
      <w:r w:rsidRPr="007C68F1">
        <w:t xml:space="preserve">“all </w:t>
      </w:r>
      <w:r w:rsidRPr="007C68F1">
        <w:rPr>
          <w:shd w:val="clear" w:color="auto" w:fill="FFFFFF"/>
        </w:rPr>
        <w:t>remuneration</w:t>
      </w:r>
      <w:r w:rsidRPr="007C68F1">
        <w:rPr>
          <w:shd w:val="clear" w:color="auto" w:fill="FFFFFF"/>
        </w:rPr>
        <w:t xml:space="preserve"> for employment,”</w:t>
      </w:r>
      <w:bookmarkEnd w:id="400"/>
      <w:r w:rsidRPr="007C68F1">
        <w:rPr>
          <w:shd w:val="clear" w:color="auto" w:fill="FFFFFF"/>
        </w:rPr>
        <w:t xml:space="preserve"> subject to numerous exclusions.  (</w:t>
      </w:r>
      <w:bookmarkStart w:id="401" w:name="dabmci_dbe3ab44583f4f1c8739e3b9a17e723e"/>
      <w:r w:rsidRPr="007C68F1">
        <w:t>29 U.S.C. § 207(e)</w:t>
      </w:r>
      <w:bookmarkEnd w:id="401"/>
      <w:r w:rsidRPr="007C68F1">
        <w:t xml:space="preserve">; </w:t>
      </w:r>
      <w:bookmarkStart w:id="402" w:name="dabmci_981177e659e649b0a5042e7a6e7a0173"/>
      <w:r w:rsidRPr="007C68F1">
        <w:rPr>
          <w:i/>
          <w:iCs/>
          <w:bdr w:val="none" w:sz="0" w:space="0" w:color="auto" w:frame="1"/>
        </w:rPr>
        <w:t>Huntington Memorial Hospital v. Superior Court</w:t>
      </w:r>
      <w:r w:rsidRPr="007C68F1">
        <w:t xml:space="preserve"> (2005) 131 Cal.App.4th 893, 903 (</w:t>
      </w:r>
      <w:r w:rsidRPr="007C68F1">
        <w:rPr>
          <w:i/>
          <w:iCs/>
        </w:rPr>
        <w:t>Huntington Memorial</w:t>
      </w:r>
      <w:r w:rsidRPr="007C68F1">
        <w:t>)</w:t>
      </w:r>
      <w:bookmarkEnd w:id="402"/>
      <w:r w:rsidRPr="007C68F1">
        <w:t xml:space="preserve">.)  Bonuses that do not fall within one of the exclusions </w:t>
      </w:r>
      <w:bookmarkStart w:id="403" w:name="dabmq_178"/>
      <w:r w:rsidRPr="007C68F1">
        <w:t>“must be added into the to</w:t>
      </w:r>
      <w:r w:rsidRPr="007C68F1">
        <w:t>tal compensation received by the employee before his [or her] regular hourly rate of pay is determined.”</w:t>
      </w:r>
      <w:bookmarkEnd w:id="403"/>
      <w:r w:rsidRPr="007C68F1">
        <w:t xml:space="preserve">  (</w:t>
      </w:r>
      <w:bookmarkStart w:id="404" w:name="dabmci_6173532456ba41a0810bbd222d9e1bca"/>
      <w:r w:rsidRPr="007C68F1">
        <w:t>29 C.F.R. § 778.200(c)</w:t>
      </w:r>
      <w:r w:rsidR="002149D1" w:rsidRPr="007C68F1">
        <w:t xml:space="preserve"> (2022)</w:t>
      </w:r>
      <w:bookmarkEnd w:id="404"/>
      <w:r w:rsidRPr="007C68F1">
        <w:t xml:space="preserve">; </w:t>
      </w:r>
      <w:bookmarkStart w:id="405" w:name="dabmci_df2ebacc1b3e4bcca586e7048accc48e"/>
      <w:r w:rsidR="00BE7319" w:rsidRPr="007C68F1">
        <w:rPr>
          <w:i/>
          <w:iCs/>
        </w:rPr>
        <w:t>id</w:t>
      </w:r>
      <w:r w:rsidRPr="007C68F1">
        <w:t>., § 778.208</w:t>
      </w:r>
      <w:bookmarkEnd w:id="405"/>
      <w:r w:rsidRPr="007C68F1">
        <w:t xml:space="preserve">; </w:t>
      </w:r>
      <w:bookmarkStart w:id="406" w:name="dabmci_f9ad21a1b64d4e459f53aae42e9403be"/>
      <w:r w:rsidRPr="007C68F1">
        <w:rPr>
          <w:i/>
          <w:iCs/>
        </w:rPr>
        <w:t>Huntington Memorial</w:t>
      </w:r>
      <w:r w:rsidRPr="007C68F1">
        <w:t xml:space="preserve">, </w:t>
      </w:r>
      <w:r w:rsidR="002149D1" w:rsidRPr="007C68F1">
        <w:rPr>
          <w:i/>
          <w:iCs/>
        </w:rPr>
        <w:t>supra</w:t>
      </w:r>
      <w:r w:rsidR="002149D1" w:rsidRPr="007C68F1">
        <w:t xml:space="preserve">, </w:t>
      </w:r>
      <w:r w:rsidRPr="007C68F1">
        <w:t>at p. 904</w:t>
      </w:r>
      <w:bookmarkEnd w:id="406"/>
      <w:r w:rsidRPr="007C68F1">
        <w:t xml:space="preserve">.)  Thus, the employee’s </w:t>
      </w:r>
      <w:r w:rsidRPr="007C68F1">
        <w:rPr>
          <w:bdr w:val="none" w:sz="0" w:space="0" w:color="auto" w:frame="1"/>
          <w:shd w:val="clear" w:color="auto" w:fill="FFFFFF"/>
        </w:rPr>
        <w:t>regular</w:t>
      </w:r>
      <w:r w:rsidRPr="007C68F1">
        <w:rPr>
          <w:shd w:val="clear" w:color="auto" w:fill="FFFFFF"/>
        </w:rPr>
        <w:t xml:space="preserve"> </w:t>
      </w:r>
      <w:r w:rsidRPr="007C68F1">
        <w:rPr>
          <w:bdr w:val="none" w:sz="0" w:space="0" w:color="auto" w:frame="1"/>
          <w:shd w:val="clear" w:color="auto" w:fill="FFFFFF"/>
        </w:rPr>
        <w:t>rate</w:t>
      </w:r>
      <w:r w:rsidRPr="007C68F1">
        <w:rPr>
          <w:shd w:val="clear" w:color="auto" w:fill="FFFFFF"/>
        </w:rPr>
        <w:t xml:space="preserve"> of </w:t>
      </w:r>
      <w:r w:rsidRPr="007C68F1">
        <w:rPr>
          <w:bdr w:val="none" w:sz="0" w:space="0" w:color="auto" w:frame="1"/>
          <w:shd w:val="clear" w:color="auto" w:fill="FFFFFF"/>
        </w:rPr>
        <w:t>pay</w:t>
      </w:r>
      <w:r w:rsidRPr="007C68F1">
        <w:rPr>
          <w:shd w:val="clear" w:color="auto" w:fill="FFFFFF"/>
        </w:rPr>
        <w:t xml:space="preserve"> </w:t>
      </w:r>
      <w:bookmarkStart w:id="407" w:name="dabmq_179"/>
      <w:r w:rsidRPr="007C68F1">
        <w:rPr>
          <w:shd w:val="clear" w:color="auto" w:fill="FFFFFF"/>
        </w:rPr>
        <w:t xml:space="preserve">“can </w:t>
      </w:r>
      <w:r w:rsidRPr="007C68F1">
        <w:rPr>
          <w:shd w:val="clear" w:color="auto" w:fill="FFFFFF"/>
        </w:rPr>
        <w:lastRenderedPageBreak/>
        <w:t xml:space="preserve">change from </w:t>
      </w:r>
      <w:r w:rsidRPr="007C68F1">
        <w:rPr>
          <w:bdr w:val="none" w:sz="0" w:space="0" w:color="auto" w:frame="1"/>
          <w:shd w:val="clear" w:color="auto" w:fill="FFFFFF"/>
        </w:rPr>
        <w:t>pay</w:t>
      </w:r>
      <w:r w:rsidRPr="007C68F1">
        <w:rPr>
          <w:shd w:val="clear" w:color="auto" w:fill="FFFFFF"/>
        </w:rPr>
        <w:t xml:space="preserve"> period to </w:t>
      </w:r>
      <w:r w:rsidRPr="007C68F1">
        <w:rPr>
          <w:bdr w:val="none" w:sz="0" w:space="0" w:color="auto" w:frame="1"/>
          <w:shd w:val="clear" w:color="auto" w:fill="FFFFFF"/>
        </w:rPr>
        <w:t>pay</w:t>
      </w:r>
      <w:r w:rsidRPr="007C68F1">
        <w:rPr>
          <w:shd w:val="clear" w:color="auto" w:fill="FFFFFF"/>
        </w:rPr>
        <w:t xml:space="preserve"> period,”</w:t>
      </w:r>
      <w:bookmarkEnd w:id="407"/>
      <w:r w:rsidRPr="007C68F1">
        <w:rPr>
          <w:shd w:val="clear" w:color="auto" w:fill="FFFFFF"/>
        </w:rPr>
        <w:t xml:space="preserve"> depending on whether the employee received a qualifying bonus during the period.  (</w:t>
      </w:r>
      <w:bookmarkStart w:id="408" w:name="dabmci_981471d68fdc44b6ad7afa1c52727664"/>
      <w:r w:rsidRPr="007C68F1">
        <w:rPr>
          <w:i/>
          <w:iCs/>
          <w:bdr w:val="none" w:sz="0" w:space="0" w:color="auto" w:frame="1"/>
        </w:rPr>
        <w:t>Ferra</w:t>
      </w:r>
      <w:r w:rsidRPr="007C68F1">
        <w:rPr>
          <w:bdr w:val="none" w:sz="0" w:space="0" w:color="auto" w:frame="1"/>
        </w:rPr>
        <w:t xml:space="preserve">, </w:t>
      </w:r>
      <w:r w:rsidRPr="007C68F1">
        <w:t>at p. 869</w:t>
      </w:r>
      <w:bookmarkEnd w:id="408"/>
      <w:r w:rsidRPr="007C68F1">
        <w:t xml:space="preserve">.)  </w:t>
      </w:r>
    </w:p>
    <w:p w14:paraId="42DC1F7A" w14:textId="77777777" w:rsidR="00D92C55" w:rsidRPr="007C68F1" w:rsidRDefault="00D16B2E" w:rsidP="007D1009">
      <w:pPr>
        <w:spacing w:line="480" w:lineRule="auto"/>
        <w:ind w:firstLine="720"/>
        <w:rPr>
          <w:shd w:val="clear" w:color="auto" w:fill="FFFFFF"/>
        </w:rPr>
      </w:pPr>
      <w:r w:rsidRPr="007C68F1">
        <w:t xml:space="preserve">Two of the regular rate exclusions are relevant here.  First, the regular rate calculation need not include </w:t>
      </w:r>
      <w:bookmarkStart w:id="409" w:name="dabmq_180"/>
      <w:r w:rsidRPr="007C68F1">
        <w:t>“</w:t>
      </w:r>
      <w:r w:rsidRPr="007C68F1">
        <w:rPr>
          <w:shd w:val="clear" w:color="auto" w:fill="FFFFFF"/>
        </w:rPr>
        <w:t xml:space="preserve">payments in the </w:t>
      </w:r>
      <w:r w:rsidRPr="007C68F1">
        <w:rPr>
          <w:shd w:val="clear" w:color="auto" w:fill="FFFFFF"/>
        </w:rPr>
        <w:t>nature of gifts made at Christmas time or on other special occasions, as a reward for service.”</w:t>
      </w:r>
      <w:bookmarkEnd w:id="409"/>
      <w:r w:rsidRPr="007C68F1">
        <w:rPr>
          <w:shd w:val="clear" w:color="auto" w:fill="FFFFFF"/>
        </w:rPr>
        <w:t xml:space="preserve">  (</w:t>
      </w:r>
      <w:bookmarkStart w:id="410" w:name="dabmci_79d21e40075a467397054ee9bf90712a"/>
      <w:r w:rsidRPr="007C68F1">
        <w:rPr>
          <w:shd w:val="clear" w:color="auto" w:fill="FFFFFF"/>
        </w:rPr>
        <w:t>29 U.S.C. § 207(e)(1)</w:t>
      </w:r>
      <w:bookmarkEnd w:id="410"/>
      <w:r w:rsidRPr="007C68F1">
        <w:rPr>
          <w:shd w:val="clear" w:color="auto" w:fill="FFFFFF"/>
        </w:rPr>
        <w:t xml:space="preserve">; </w:t>
      </w:r>
      <w:bookmarkStart w:id="411" w:name="dabmci_503919daa702455aaa6c107aa0d7376c"/>
      <w:r w:rsidRPr="007C68F1">
        <w:rPr>
          <w:shd w:val="clear" w:color="auto" w:fill="FFFFFF"/>
        </w:rPr>
        <w:t>29 C.F.R. § 778.200(a)(1)</w:t>
      </w:r>
      <w:r w:rsidR="009A4179" w:rsidRPr="007C68F1">
        <w:rPr>
          <w:shd w:val="clear" w:color="auto" w:fill="FFFFFF"/>
        </w:rPr>
        <w:t xml:space="preserve"> (2022)</w:t>
      </w:r>
      <w:bookmarkEnd w:id="411"/>
      <w:r w:rsidRPr="007C68F1">
        <w:rPr>
          <w:shd w:val="clear" w:color="auto" w:fill="FFFFFF"/>
        </w:rPr>
        <w:t xml:space="preserve">.)  To qualify for this special occasion gift exclusion, the amount of a Christmas bonus must not be </w:t>
      </w:r>
      <w:bookmarkStart w:id="412" w:name="dabmq_181"/>
      <w:r w:rsidRPr="007C68F1">
        <w:rPr>
          <w:shd w:val="clear" w:color="auto" w:fill="FFFFFF"/>
        </w:rPr>
        <w:t>“m</w:t>
      </w:r>
      <w:r w:rsidRPr="007C68F1">
        <w:rPr>
          <w:shd w:val="clear" w:color="auto" w:fill="FFFFFF"/>
        </w:rPr>
        <w:t>easured by or dependent on hours worked, production, or efficiency.”</w:t>
      </w:r>
      <w:bookmarkEnd w:id="412"/>
      <w:r w:rsidRPr="007C68F1">
        <w:rPr>
          <w:shd w:val="clear" w:color="auto" w:fill="FFFFFF"/>
        </w:rPr>
        <w:t xml:space="preserve">  (</w:t>
      </w:r>
      <w:bookmarkStart w:id="413" w:name="dabmci_42d15f33be274dc792566681313cb414"/>
      <w:r w:rsidRPr="007C68F1">
        <w:rPr>
          <w:shd w:val="clear" w:color="auto" w:fill="FFFFFF"/>
        </w:rPr>
        <w:t>29 U.S.C. § 207(e)(1)</w:t>
      </w:r>
      <w:bookmarkEnd w:id="413"/>
      <w:r w:rsidRPr="007C68F1">
        <w:rPr>
          <w:i/>
          <w:iCs/>
          <w:shd w:val="clear" w:color="auto" w:fill="FFFFFF"/>
        </w:rPr>
        <w:t>.</w:t>
      </w:r>
      <w:r w:rsidRPr="007C68F1">
        <w:t xml:space="preserve">)  In addition, a Christmas bonus does not qualify for the exclusion if it </w:t>
      </w:r>
      <w:bookmarkStart w:id="414" w:name="dabmq_182"/>
      <w:r w:rsidRPr="007C68F1">
        <w:t>“is paid pursuant to contract (so that the employee has a legal right to the payment and</w:t>
      </w:r>
      <w:r w:rsidRPr="007C68F1">
        <w:t xml:space="preserve"> could bring suit to enforce it).”</w:t>
      </w:r>
      <w:bookmarkEnd w:id="414"/>
      <w:r w:rsidRPr="007C68F1">
        <w:t xml:space="preserve">  (</w:t>
      </w:r>
      <w:bookmarkStart w:id="415" w:name="dabmci_75b9d604a2044282bfdbbd296009177d"/>
      <w:r w:rsidRPr="007C68F1">
        <w:t>29 C.F.R. § 778.212(b)</w:t>
      </w:r>
      <w:r w:rsidR="009A4179" w:rsidRPr="007C68F1">
        <w:t xml:space="preserve"> (2022)</w:t>
      </w:r>
      <w:bookmarkEnd w:id="415"/>
      <w:r w:rsidRPr="007C68F1">
        <w:t xml:space="preserve">.)  But a Christmas bonus qualifies for the exclusion even if it is paid “to all employees” and </w:t>
      </w:r>
      <w:bookmarkStart w:id="416" w:name="dabmq_183"/>
      <w:r w:rsidRPr="007C68F1">
        <w:t>“</w:t>
      </w:r>
      <w:r w:rsidRPr="007C68F1">
        <w:rPr>
          <w:shd w:val="clear" w:color="auto" w:fill="FFFFFF"/>
        </w:rPr>
        <w:t>with regularity so that the employees are led to expect it.”</w:t>
      </w:r>
      <w:bookmarkEnd w:id="416"/>
      <w:r w:rsidRPr="007C68F1">
        <w:rPr>
          <w:shd w:val="clear" w:color="auto" w:fill="FFFFFF"/>
        </w:rPr>
        <w:t xml:space="preserve">  (</w:t>
      </w:r>
      <w:bookmarkStart w:id="417" w:name="dabmci_03b7488e9bb54d39bfec3be31b5db7d1"/>
      <w:r w:rsidRPr="007C68F1">
        <w:rPr>
          <w:i/>
          <w:iCs/>
        </w:rPr>
        <w:t>Id.</w:t>
      </w:r>
      <w:r w:rsidRPr="007C68F1">
        <w:t>, § 778.212(c)</w:t>
      </w:r>
      <w:bookmarkEnd w:id="417"/>
      <w:r w:rsidRPr="007C68F1">
        <w:t xml:space="preserve">.)  </w:t>
      </w:r>
    </w:p>
    <w:p w14:paraId="11B07340" w14:textId="77777777" w:rsidR="00D92C55" w:rsidRPr="007C68F1" w:rsidRDefault="00D16B2E" w:rsidP="007D1009">
      <w:pPr>
        <w:spacing w:line="480" w:lineRule="auto"/>
        <w:ind w:firstLine="720"/>
        <w:rPr>
          <w:shd w:val="clear" w:color="auto" w:fill="FFFFFF"/>
        </w:rPr>
      </w:pPr>
      <w:r w:rsidRPr="007C68F1">
        <w:rPr>
          <w:shd w:val="clear" w:color="auto" w:fill="FFFFFF"/>
        </w:rPr>
        <w:t xml:space="preserve">Second, </w:t>
      </w:r>
      <w:r w:rsidRPr="007C68F1">
        <w:rPr>
          <w:shd w:val="clear" w:color="auto" w:fill="FFFFFF"/>
        </w:rPr>
        <w:t>the regular rate calculation need not include discretionary bonuses.  (</w:t>
      </w:r>
      <w:bookmarkStart w:id="418" w:name="dabmci_4450ddf8ca0b42f1b32e3a44364efa65"/>
      <w:r w:rsidRPr="007C68F1">
        <w:rPr>
          <w:shd w:val="clear" w:color="auto" w:fill="FFFFFF"/>
        </w:rPr>
        <w:t>29 C.F.R. §§ 778.208, 778.211</w:t>
      </w:r>
      <w:r w:rsidR="009A4179" w:rsidRPr="007C68F1">
        <w:rPr>
          <w:shd w:val="clear" w:color="auto" w:fill="FFFFFF"/>
        </w:rPr>
        <w:t xml:space="preserve"> (2022)</w:t>
      </w:r>
      <w:bookmarkEnd w:id="418"/>
      <w:r w:rsidRPr="007C68F1">
        <w:rPr>
          <w:shd w:val="clear" w:color="auto" w:fill="FFFFFF"/>
        </w:rPr>
        <w:t xml:space="preserve">.)  Discretionary bonuses are </w:t>
      </w:r>
      <w:bookmarkStart w:id="419" w:name="dabmq_184"/>
      <w:r w:rsidRPr="007C68F1">
        <w:rPr>
          <w:shd w:val="clear" w:color="auto" w:fill="FFFFFF"/>
        </w:rPr>
        <w:t>“[s]ums paid in recognition of services performed during a given period,”</w:t>
      </w:r>
      <w:bookmarkEnd w:id="419"/>
      <w:r w:rsidRPr="007C68F1">
        <w:rPr>
          <w:shd w:val="clear" w:color="auto" w:fill="FFFFFF"/>
        </w:rPr>
        <w:t xml:space="preserve"> so long as both the fact of payment and </w:t>
      </w:r>
      <w:bookmarkStart w:id="420" w:name="dabmq_185"/>
      <w:r w:rsidRPr="007C68F1">
        <w:rPr>
          <w:shd w:val="clear" w:color="auto" w:fill="FFFFFF"/>
        </w:rPr>
        <w:t xml:space="preserve">“the </w:t>
      </w:r>
      <w:r w:rsidRPr="007C68F1">
        <w:rPr>
          <w:shd w:val="clear" w:color="auto" w:fill="FFFFFF"/>
        </w:rPr>
        <w:t>amount of the payment are determined at the sole discretion of the employer at or near the end of the period and not pursuant to any prior contract, agreement, or promise causing the employee to expect such payments regularly.”</w:t>
      </w:r>
      <w:bookmarkEnd w:id="420"/>
      <w:r w:rsidRPr="007C68F1">
        <w:rPr>
          <w:shd w:val="clear" w:color="auto" w:fill="FFFFFF"/>
        </w:rPr>
        <w:t xml:space="preserve">  (</w:t>
      </w:r>
      <w:bookmarkStart w:id="421" w:name="dabmci_55dcca481c3b4683ba33c4873659a5d2"/>
      <w:r w:rsidRPr="007C68F1">
        <w:t>29 U.S.C. § 207(e)(3)</w:t>
      </w:r>
      <w:bookmarkEnd w:id="421"/>
      <w:r w:rsidRPr="007C68F1">
        <w:t xml:space="preserve">; </w:t>
      </w:r>
      <w:bookmarkStart w:id="422" w:name="dabmci_25fc5349bcc34155b42fe00f4cf6bf10"/>
      <w:r w:rsidRPr="007C68F1">
        <w:rPr>
          <w:shd w:val="clear" w:color="auto" w:fill="FFFFFF"/>
        </w:rPr>
        <w:t xml:space="preserve">29 </w:t>
      </w:r>
      <w:r w:rsidRPr="007C68F1">
        <w:rPr>
          <w:shd w:val="clear" w:color="auto" w:fill="FFFFFF"/>
        </w:rPr>
        <w:t>C.F.R. § 778.200(a)(3)</w:t>
      </w:r>
      <w:r w:rsidR="009A4179" w:rsidRPr="007C68F1">
        <w:rPr>
          <w:shd w:val="clear" w:color="auto" w:fill="FFFFFF"/>
        </w:rPr>
        <w:t xml:space="preserve"> (2022)</w:t>
      </w:r>
      <w:bookmarkEnd w:id="422"/>
      <w:r w:rsidRPr="007C68F1">
        <w:rPr>
          <w:shd w:val="clear" w:color="auto" w:fill="FFFFFF"/>
        </w:rPr>
        <w:t xml:space="preserve">.)  </w:t>
      </w:r>
      <w:bookmarkStart w:id="423" w:name="dabmq_186"/>
      <w:r w:rsidRPr="007C68F1">
        <w:rPr>
          <w:shd w:val="clear" w:color="auto" w:fill="FFFFFF"/>
        </w:rPr>
        <w:t>“The label assigned to a bonus does not conclusively determine whether a bonus is discretionary . . . .”</w:t>
      </w:r>
      <w:bookmarkEnd w:id="423"/>
      <w:r w:rsidRPr="007C68F1">
        <w:rPr>
          <w:shd w:val="clear" w:color="auto" w:fill="FFFFFF"/>
        </w:rPr>
        <w:t xml:space="preserve">  (</w:t>
      </w:r>
      <w:bookmarkStart w:id="424" w:name="dabmci_3148c4e90f684795b7fb8081cb42e39a"/>
      <w:r w:rsidRPr="007C68F1">
        <w:t xml:space="preserve">29 C.F.R. </w:t>
      </w:r>
      <w:r w:rsidRPr="007C68F1">
        <w:lastRenderedPageBreak/>
        <w:t>§</w:t>
      </w:r>
      <w:r w:rsidR="009A4179" w:rsidRPr="007C68F1">
        <w:t> </w:t>
      </w:r>
      <w:r w:rsidRPr="007C68F1">
        <w:t>778.211(d)</w:t>
      </w:r>
      <w:r w:rsidR="009A4179" w:rsidRPr="007C68F1">
        <w:t xml:space="preserve"> (2022)</w:t>
      </w:r>
      <w:bookmarkEnd w:id="424"/>
      <w:r w:rsidRPr="007C68F1">
        <w:t xml:space="preserve">.)  </w:t>
      </w:r>
      <w:r w:rsidRPr="007C68F1">
        <w:rPr>
          <w:shd w:val="clear" w:color="auto" w:fill="FFFFFF"/>
        </w:rPr>
        <w:t xml:space="preserve">Instead, FLSA’s terms </w:t>
      </w:r>
      <w:bookmarkStart w:id="425" w:name="dabmq_187"/>
      <w:r w:rsidRPr="007C68F1">
        <w:rPr>
          <w:shd w:val="clear" w:color="auto" w:fill="FFFFFF"/>
        </w:rPr>
        <w:t>“and the facts specific to the bonus at issue determine wheth</w:t>
      </w:r>
      <w:r w:rsidRPr="007C68F1">
        <w:rPr>
          <w:shd w:val="clear" w:color="auto" w:fill="FFFFFF"/>
        </w:rPr>
        <w:t>er bonuses are excludable discretionary bonuses.”</w:t>
      </w:r>
      <w:bookmarkEnd w:id="425"/>
      <w:r w:rsidRPr="007C68F1">
        <w:rPr>
          <w:shd w:val="clear" w:color="auto" w:fill="FFFFFF"/>
        </w:rPr>
        <w:t xml:space="preserve">  (</w:t>
      </w:r>
      <w:bookmarkStart w:id="426" w:name="dabmci_24397d797e9f4fde964f6b7d112ddaf3"/>
      <w:r w:rsidRPr="007C68F1">
        <w:rPr>
          <w:i/>
          <w:iCs/>
          <w:shd w:val="clear" w:color="auto" w:fill="FFFFFF"/>
        </w:rPr>
        <w:t>Ibid</w:t>
      </w:r>
      <w:bookmarkEnd w:id="426"/>
      <w:r w:rsidRPr="007C68F1">
        <w:rPr>
          <w:i/>
          <w:iCs/>
          <w:shd w:val="clear" w:color="auto" w:fill="FFFFFF"/>
        </w:rPr>
        <w:t>.</w:t>
      </w:r>
      <w:r w:rsidRPr="007C68F1">
        <w:rPr>
          <w:shd w:val="clear" w:color="auto" w:fill="FFFFFF"/>
        </w:rPr>
        <w:t xml:space="preserve">)  </w:t>
      </w:r>
    </w:p>
    <w:p w14:paraId="39420F41" w14:textId="77777777" w:rsidR="00D92C55" w:rsidRPr="007C68F1" w:rsidRDefault="00D16B2E" w:rsidP="007D1009">
      <w:pPr>
        <w:spacing w:line="480" w:lineRule="auto"/>
        <w:ind w:firstLine="720"/>
        <w:rPr>
          <w:shd w:val="clear" w:color="auto" w:fill="FFFFFF"/>
        </w:rPr>
      </w:pPr>
      <w:r w:rsidRPr="007C68F1">
        <w:rPr>
          <w:shd w:val="clear" w:color="auto" w:fill="FFFFFF"/>
        </w:rPr>
        <w:t>In this case, substantial evidence supports the trial court’s finding that common questions did not predominate for the Regular Rate Class.  Woodworth asserted that a common legal question predom</w:t>
      </w:r>
      <w:r w:rsidRPr="007C68F1">
        <w:rPr>
          <w:shd w:val="clear" w:color="auto" w:fill="FFFFFF"/>
        </w:rPr>
        <w:t xml:space="preserve">inated:  Did the medical center properly exclude the Christmas bonus and </w:t>
      </w:r>
      <w:r w:rsidR="001571FC" w:rsidRPr="007C68F1">
        <w:rPr>
          <w:shd w:val="clear" w:color="auto" w:fill="FFFFFF"/>
        </w:rPr>
        <w:t xml:space="preserve">the </w:t>
      </w:r>
      <w:r w:rsidRPr="007C68F1">
        <w:rPr>
          <w:shd w:val="clear" w:color="auto" w:fill="FFFFFF"/>
        </w:rPr>
        <w:t>flat sum bonus from the regular rate calculation?  But as to the Christmas bonus, the precise factual and legal dispute likely to be presented was whether it qualified for the spe</w:t>
      </w:r>
      <w:r w:rsidRPr="007C68F1">
        <w:rPr>
          <w:shd w:val="clear" w:color="auto" w:fill="FFFFFF"/>
        </w:rPr>
        <w:t xml:space="preserve">cial occasion gift exclusion.  (See </w:t>
      </w:r>
      <w:bookmarkStart w:id="427" w:name="dabmci_8f2b69eb2e96465e91425bfe9d35f3eb"/>
      <w:r w:rsidRPr="007C68F1">
        <w:rPr>
          <w:i/>
          <w:iCs/>
          <w:shd w:val="clear" w:color="auto" w:fill="FFFFFF"/>
        </w:rPr>
        <w:t>Brinker</w:t>
      </w:r>
      <w:r w:rsidRPr="007C68F1">
        <w:rPr>
          <w:shd w:val="clear" w:color="auto" w:fill="FFFFFF"/>
        </w:rPr>
        <w:t xml:space="preserve">, </w:t>
      </w:r>
      <w:r w:rsidRPr="007C68F1">
        <w:rPr>
          <w:i/>
          <w:iCs/>
          <w:shd w:val="clear" w:color="auto" w:fill="FFFFFF"/>
        </w:rPr>
        <w:t>supra</w:t>
      </w:r>
      <w:r w:rsidRPr="007C68F1">
        <w:rPr>
          <w:shd w:val="clear" w:color="auto" w:fill="FFFFFF"/>
        </w:rPr>
        <w:t>, 53 Cal.4th at p.</w:t>
      </w:r>
      <w:r w:rsidR="009A4179" w:rsidRPr="007C68F1">
        <w:rPr>
          <w:shd w:val="clear" w:color="auto" w:fill="FFFFFF"/>
        </w:rPr>
        <w:t> </w:t>
      </w:r>
      <w:r w:rsidRPr="007C68F1">
        <w:rPr>
          <w:shd w:val="clear" w:color="auto" w:fill="FFFFFF"/>
        </w:rPr>
        <w:t>1025</w:t>
      </w:r>
      <w:bookmarkEnd w:id="427"/>
      <w:r w:rsidRPr="007C68F1">
        <w:rPr>
          <w:shd w:val="clear" w:color="auto" w:fill="FFFFFF"/>
        </w:rPr>
        <w:t xml:space="preserve"> [court must </w:t>
      </w:r>
      <w:bookmarkStart w:id="428" w:name="dabmq_188"/>
      <w:r w:rsidRPr="007C68F1">
        <w:rPr>
          <w:shd w:val="clear" w:color="auto" w:fill="FFFFFF"/>
        </w:rPr>
        <w:t>“assess the nature of the legal and factual disputes likely to be presented”</w:t>
      </w:r>
      <w:bookmarkEnd w:id="428"/>
      <w:r w:rsidRPr="007C68F1">
        <w:rPr>
          <w:shd w:val="clear" w:color="auto" w:fill="FFFFFF"/>
        </w:rPr>
        <w:t xml:space="preserve"> when evaluating predominance element].)  Woodworth acknowledged that whether the Christmas bo</w:t>
      </w:r>
      <w:r w:rsidRPr="007C68F1">
        <w:rPr>
          <w:shd w:val="clear" w:color="auto" w:fill="FFFFFF"/>
        </w:rPr>
        <w:t>nus was excludable turned on whether the employees had been promised the bonus</w:t>
      </w:r>
      <w:r w:rsidR="001341EC" w:rsidRPr="007C68F1">
        <w:rPr>
          <w:shd w:val="clear" w:color="auto" w:fill="FFFFFF"/>
        </w:rPr>
        <w:t>.  That might show that the bonus</w:t>
      </w:r>
      <w:r w:rsidRPr="007C68F1">
        <w:rPr>
          <w:shd w:val="clear" w:color="auto" w:fill="FFFFFF"/>
        </w:rPr>
        <w:t xml:space="preserve"> was </w:t>
      </w:r>
      <w:bookmarkStart w:id="429" w:name="dabmq_189"/>
      <w:r w:rsidRPr="007C68F1">
        <w:rPr>
          <w:shd w:val="clear" w:color="auto" w:fill="FFFFFF"/>
        </w:rPr>
        <w:t>“paid pursuant to contract.”</w:t>
      </w:r>
      <w:bookmarkEnd w:id="429"/>
      <w:r w:rsidRPr="007C68F1">
        <w:rPr>
          <w:shd w:val="clear" w:color="auto" w:fill="FFFFFF"/>
        </w:rPr>
        <w:t xml:space="preserve">  (</w:t>
      </w:r>
      <w:bookmarkStart w:id="430" w:name="dabmci_2ad9dfc76f3e4bd2bf5bb5b4b0f303f8"/>
      <w:r w:rsidRPr="007C68F1">
        <w:t>29 C.F.R. § 778.212(b)</w:t>
      </w:r>
      <w:r w:rsidR="009A4179" w:rsidRPr="007C68F1">
        <w:t xml:space="preserve"> (2022)</w:t>
      </w:r>
      <w:bookmarkEnd w:id="430"/>
      <w:r w:rsidRPr="007C68F1">
        <w:t xml:space="preserve">.)  </w:t>
      </w:r>
      <w:r w:rsidR="001341EC" w:rsidRPr="007C68F1">
        <w:rPr>
          <w:shd w:val="clear" w:color="auto" w:fill="FFFFFF"/>
        </w:rPr>
        <w:t>However, Woodworth</w:t>
      </w:r>
      <w:r w:rsidRPr="007C68F1">
        <w:rPr>
          <w:shd w:val="clear" w:color="auto" w:fill="FFFFFF"/>
        </w:rPr>
        <w:t xml:space="preserve"> did not explain how the existence of that promise would b</w:t>
      </w:r>
      <w:r w:rsidRPr="007C68F1">
        <w:rPr>
          <w:shd w:val="clear" w:color="auto" w:fill="FFFFFF"/>
        </w:rPr>
        <w:t xml:space="preserve">e subject to common proof.  On appeal, she argues that the Outline of Benefits gave rise to an implied promise that the medical center would pay the Christmas bonus, at least as </w:t>
      </w:r>
      <w:bookmarkStart w:id="431" w:name="dabmq_190"/>
      <w:r w:rsidRPr="007C68F1">
        <w:rPr>
          <w:shd w:val="clear" w:color="auto" w:fill="FFFFFF"/>
        </w:rPr>
        <w:t>“to those employees who actually saw the Outline of Benefits.”</w:t>
      </w:r>
      <w:bookmarkEnd w:id="431"/>
      <w:r w:rsidRPr="007C68F1">
        <w:rPr>
          <w:shd w:val="clear" w:color="auto" w:fill="FFFFFF"/>
        </w:rPr>
        <w:t xml:space="preserve">  That would req</w:t>
      </w:r>
      <w:r w:rsidRPr="007C68F1">
        <w:rPr>
          <w:shd w:val="clear" w:color="auto" w:fill="FFFFFF"/>
        </w:rPr>
        <w:t>uire individualized evidence regarding which employees saw the document and understood it as a promise to pay the Christmas bonus.  Moreover, Woodworth proposed a class period starting in June 2010, nearly five years before the medical center published the</w:t>
      </w:r>
      <w:r w:rsidRPr="007C68F1">
        <w:rPr>
          <w:shd w:val="clear" w:color="auto" w:fill="FFFFFF"/>
        </w:rPr>
        <w:t xml:space="preserve"> Outline of Benefits.  She does not explain what method of common proof would show promises dating back to 2010.  And the fact that the medical center might have paid the Christmas bonus regularly or to all employees who were </w:t>
      </w:r>
      <w:r w:rsidRPr="007C68F1">
        <w:rPr>
          <w:shd w:val="clear" w:color="auto" w:fill="FFFFFF"/>
        </w:rPr>
        <w:lastRenderedPageBreak/>
        <w:t xml:space="preserve">eligible did not give rise to </w:t>
      </w:r>
      <w:r w:rsidRPr="007C68F1">
        <w:rPr>
          <w:shd w:val="clear" w:color="auto" w:fill="FFFFFF"/>
        </w:rPr>
        <w:t>a promise disqualifying it from the gift exclusion.  The regulations implementing the gift exclusion expressly permit employers to exclude such a bonus.  (</w:t>
      </w:r>
      <w:bookmarkStart w:id="432" w:name="dabmci_fb0ef55c31c342f5b405e9442bf1bed2"/>
      <w:r w:rsidRPr="007C68F1">
        <w:rPr>
          <w:shd w:val="clear" w:color="auto" w:fill="FFFFFF"/>
        </w:rPr>
        <w:t>29 C.F.R. § 778.212(c)</w:t>
      </w:r>
      <w:r w:rsidR="009A4179" w:rsidRPr="007C68F1">
        <w:rPr>
          <w:shd w:val="clear" w:color="auto" w:fill="FFFFFF"/>
        </w:rPr>
        <w:t xml:space="preserve"> (2022)</w:t>
      </w:r>
      <w:bookmarkEnd w:id="432"/>
      <w:r w:rsidRPr="007C68F1">
        <w:rPr>
          <w:shd w:val="clear" w:color="auto" w:fill="FFFFFF"/>
        </w:rPr>
        <w:t>.)</w:t>
      </w:r>
    </w:p>
    <w:p w14:paraId="36500283" w14:textId="77777777" w:rsidR="00D92C55" w:rsidRPr="007C68F1" w:rsidRDefault="00D16B2E" w:rsidP="007D1009">
      <w:pPr>
        <w:spacing w:line="480" w:lineRule="auto"/>
        <w:ind w:firstLine="720"/>
        <w:rPr>
          <w:shd w:val="clear" w:color="auto" w:fill="FFFFFF"/>
        </w:rPr>
      </w:pPr>
      <w:r w:rsidRPr="007C68F1">
        <w:rPr>
          <w:shd w:val="clear" w:color="auto" w:fill="FFFFFF"/>
        </w:rPr>
        <w:t>With respect to the flat sum bonus, the medical center offered eviden</w:t>
      </w:r>
      <w:r w:rsidRPr="007C68F1">
        <w:rPr>
          <w:shd w:val="clear" w:color="auto" w:fill="FFFFFF"/>
        </w:rPr>
        <w:t>ce that there was no single type of flat sum bonus.  Rather, it paid many types of bonuses during the proposed class period, and the medical center included some of those in the regular rate calculation.  Bonus-specific evidence would be required to determ</w:t>
      </w:r>
      <w:r w:rsidRPr="007C68F1">
        <w:rPr>
          <w:shd w:val="clear" w:color="auto" w:fill="FFFFFF"/>
        </w:rPr>
        <w:t xml:space="preserve">ine whether the medical center had properly excluded a particular bonus as discretionary.  That is, </w:t>
      </w:r>
      <w:bookmarkStart w:id="433" w:name="dabmq_191"/>
      <w:r w:rsidRPr="007C68F1">
        <w:rPr>
          <w:shd w:val="clear" w:color="auto" w:fill="FFFFFF"/>
        </w:rPr>
        <w:t>“facts specific to the bonus at issue”</w:t>
      </w:r>
      <w:bookmarkEnd w:id="433"/>
      <w:r w:rsidRPr="007C68F1">
        <w:rPr>
          <w:shd w:val="clear" w:color="auto" w:fill="FFFFFF"/>
        </w:rPr>
        <w:t xml:space="preserve"> (</w:t>
      </w:r>
      <w:bookmarkStart w:id="434" w:name="dabmci_9a0d3c42f4be479ea7c37f2d33ddbd11"/>
      <w:r w:rsidRPr="007C68F1">
        <w:t>29 C.F.R. § 778.211(d)</w:t>
      </w:r>
      <w:r w:rsidR="009A4179" w:rsidRPr="007C68F1">
        <w:t xml:space="preserve"> (2022)</w:t>
      </w:r>
      <w:bookmarkEnd w:id="434"/>
      <w:r w:rsidRPr="007C68F1">
        <w:t>)</w:t>
      </w:r>
      <w:r w:rsidRPr="007C68F1">
        <w:rPr>
          <w:shd w:val="clear" w:color="auto" w:fill="FFFFFF"/>
        </w:rPr>
        <w:t xml:space="preserve"> would be necessary to determine (1) whether the bonus was </w:t>
      </w:r>
      <w:bookmarkStart w:id="435" w:name="dabmq_192"/>
      <w:r w:rsidRPr="007C68F1">
        <w:rPr>
          <w:shd w:val="clear" w:color="auto" w:fill="FFFFFF"/>
        </w:rPr>
        <w:t>“paid in recognition of ser</w:t>
      </w:r>
      <w:r w:rsidRPr="007C68F1">
        <w:rPr>
          <w:shd w:val="clear" w:color="auto" w:fill="FFFFFF"/>
        </w:rPr>
        <w:t>vices performed during a given period,”</w:t>
      </w:r>
      <w:bookmarkEnd w:id="435"/>
      <w:r w:rsidRPr="007C68F1">
        <w:rPr>
          <w:shd w:val="clear" w:color="auto" w:fill="FFFFFF"/>
        </w:rPr>
        <w:t xml:space="preserve"> (2) whether the medical center determined the fact and amount of the bonus in its sole discretion, (3) whether the medical center made those determinations </w:t>
      </w:r>
      <w:bookmarkStart w:id="436" w:name="dabmq_193"/>
      <w:r w:rsidRPr="007C68F1">
        <w:rPr>
          <w:shd w:val="clear" w:color="auto" w:fill="FFFFFF"/>
        </w:rPr>
        <w:t>“at or near the end”</w:t>
      </w:r>
      <w:bookmarkEnd w:id="436"/>
      <w:r w:rsidRPr="007C68F1">
        <w:rPr>
          <w:shd w:val="clear" w:color="auto" w:fill="FFFFFF"/>
        </w:rPr>
        <w:t xml:space="preserve"> of the relevant period, and (4) whether</w:t>
      </w:r>
      <w:r w:rsidRPr="007C68F1">
        <w:rPr>
          <w:shd w:val="clear" w:color="auto" w:fill="FFFFFF"/>
        </w:rPr>
        <w:t xml:space="preserve"> there was a </w:t>
      </w:r>
      <w:bookmarkStart w:id="437" w:name="dabmq_194"/>
      <w:r w:rsidRPr="007C68F1">
        <w:rPr>
          <w:shd w:val="clear" w:color="auto" w:fill="FFFFFF"/>
        </w:rPr>
        <w:t>“prior contract, agreement, or promise causing the employee”</w:t>
      </w:r>
      <w:bookmarkEnd w:id="437"/>
      <w:r w:rsidRPr="007C68F1">
        <w:rPr>
          <w:shd w:val="clear" w:color="auto" w:fill="FFFFFF"/>
        </w:rPr>
        <w:t xml:space="preserve"> to expect the bonus regularly.  (</w:t>
      </w:r>
      <w:bookmarkStart w:id="438" w:name="dabmci_3e22c2e55f03418f9dd00f0c76ea9ff9"/>
      <w:r w:rsidRPr="007C68F1">
        <w:rPr>
          <w:shd w:val="clear" w:color="auto" w:fill="FFFFFF"/>
        </w:rPr>
        <w:t>29 U.S.C. § 207(e)(3)</w:t>
      </w:r>
      <w:bookmarkEnd w:id="438"/>
      <w:r w:rsidRPr="007C68F1">
        <w:rPr>
          <w:shd w:val="clear" w:color="auto" w:fill="FFFFFF"/>
        </w:rPr>
        <w:t>.)  Again, Woodworth did not explain how any of those elements would be subject to common proof as to any one bonus, much less a</w:t>
      </w:r>
      <w:r w:rsidRPr="007C68F1">
        <w:rPr>
          <w:shd w:val="clear" w:color="auto" w:fill="FFFFFF"/>
        </w:rPr>
        <w:t xml:space="preserve">s to the potentially numerous bonuses at issue for 1,435 class members.  (See </w:t>
      </w:r>
      <w:bookmarkStart w:id="439" w:name="dabmci_1c4c135a3a6447c1955ae92417cd0b6e"/>
      <w:r w:rsidRPr="007C68F1">
        <w:rPr>
          <w:i/>
          <w:iCs/>
          <w:bdr w:val="none" w:sz="0" w:space="0" w:color="auto" w:frame="1"/>
        </w:rPr>
        <w:t>Lampe v. Queen of the Valley Medical Center</w:t>
      </w:r>
      <w:r w:rsidRPr="007C68F1">
        <w:t xml:space="preserve"> (2018) 19 Cal.App.5th 832, 843-844</w:t>
      </w:r>
      <w:r w:rsidR="00A25C92" w:rsidRPr="007C68F1">
        <w:t xml:space="preserve"> (</w:t>
      </w:r>
      <w:r w:rsidR="00A25C92" w:rsidRPr="007C68F1">
        <w:rPr>
          <w:i/>
          <w:iCs/>
        </w:rPr>
        <w:t>Lampe</w:t>
      </w:r>
      <w:r w:rsidR="00A25C92" w:rsidRPr="007C68F1">
        <w:t>)</w:t>
      </w:r>
      <w:bookmarkEnd w:id="439"/>
      <w:r w:rsidRPr="007C68F1">
        <w:t xml:space="preserve"> [</w:t>
      </w:r>
      <w:r w:rsidRPr="007C68F1">
        <w:rPr>
          <w:shd w:val="clear" w:color="auto" w:fill="FFFFFF"/>
        </w:rPr>
        <w:t xml:space="preserve">“‘vague assertion’” that the employer miscalculated the regular rate without any specific detail as to what bonus categories were or were not excluded was insufficient to show common issues predominated].)  </w:t>
      </w:r>
    </w:p>
    <w:p w14:paraId="367D2386" w14:textId="77777777" w:rsidR="00D92C55" w:rsidRPr="007C68F1" w:rsidRDefault="00D16B2E" w:rsidP="007D1009">
      <w:pPr>
        <w:spacing w:line="480" w:lineRule="auto"/>
        <w:ind w:firstLine="720"/>
        <w:rPr>
          <w:shd w:val="clear" w:color="auto" w:fill="FFFFFF"/>
        </w:rPr>
      </w:pPr>
      <w:r w:rsidRPr="007C68F1">
        <w:rPr>
          <w:shd w:val="clear" w:color="auto" w:fill="FFFFFF"/>
        </w:rPr>
        <w:lastRenderedPageBreak/>
        <w:t>For all of these reasons, substantial evidence s</w:t>
      </w:r>
      <w:r w:rsidRPr="007C68F1">
        <w:rPr>
          <w:shd w:val="clear" w:color="auto" w:fill="FFFFFF"/>
        </w:rPr>
        <w:t xml:space="preserve">upports the trial court’s finding that common questions of fact or law did not predominate with respect to the Regular Rate Class.  The court therefore did not abuse its discretion by denying certification of the class.  Given </w:t>
      </w:r>
      <w:r w:rsidR="00580DDE" w:rsidRPr="007C68F1">
        <w:rPr>
          <w:shd w:val="clear" w:color="auto" w:fill="FFFFFF"/>
        </w:rPr>
        <w:t xml:space="preserve">that </w:t>
      </w:r>
      <w:r w:rsidRPr="007C68F1">
        <w:rPr>
          <w:shd w:val="clear" w:color="auto" w:fill="FFFFFF"/>
        </w:rPr>
        <w:t xml:space="preserve">conclusion, we need not </w:t>
      </w:r>
      <w:r w:rsidRPr="007C68F1">
        <w:rPr>
          <w:shd w:val="clear" w:color="auto" w:fill="FFFFFF"/>
        </w:rPr>
        <w:t>reach Woodworth’s additional argument that the court erred by concluding that she was</w:t>
      </w:r>
      <w:r w:rsidR="00871F2D" w:rsidRPr="007C68F1">
        <w:rPr>
          <w:shd w:val="clear" w:color="auto" w:fill="FFFFFF"/>
        </w:rPr>
        <w:t xml:space="preserve"> an</w:t>
      </w:r>
      <w:r w:rsidRPr="007C68F1">
        <w:rPr>
          <w:shd w:val="clear" w:color="auto" w:fill="FFFFFF"/>
        </w:rPr>
        <w:t xml:space="preserve"> inadequate class representative.</w:t>
      </w:r>
      <w:r w:rsidR="00310ED2" w:rsidRPr="007C68F1">
        <w:rPr>
          <w:shd w:val="clear" w:color="auto" w:fill="FFFFFF"/>
        </w:rPr>
        <w:t xml:space="preserve">  (</w:t>
      </w:r>
      <w:bookmarkStart w:id="440" w:name="dabmci_be003b251839442b9cc3b4f82ec9b8ee"/>
      <w:r w:rsidR="00EF64FD" w:rsidRPr="007C68F1">
        <w:rPr>
          <w:i/>
          <w:iCs/>
          <w:bdr w:val="none" w:sz="0" w:space="0" w:color="auto" w:frame="1"/>
        </w:rPr>
        <w:t>Cruz</w:t>
      </w:r>
      <w:r w:rsidR="00EF64FD" w:rsidRPr="007C68F1">
        <w:rPr>
          <w:bdr w:val="none" w:sz="0" w:space="0" w:color="auto" w:frame="1"/>
        </w:rPr>
        <w:t xml:space="preserve">, </w:t>
      </w:r>
      <w:r w:rsidR="00EF64FD" w:rsidRPr="007C68F1">
        <w:rPr>
          <w:i/>
          <w:iCs/>
          <w:bdr w:val="none" w:sz="0" w:space="0" w:color="auto" w:frame="1"/>
        </w:rPr>
        <w:t>supra</w:t>
      </w:r>
      <w:r w:rsidR="00EF64FD" w:rsidRPr="007C68F1">
        <w:rPr>
          <w:bdr w:val="none" w:sz="0" w:space="0" w:color="auto" w:frame="1"/>
        </w:rPr>
        <w:t xml:space="preserve">, </w:t>
      </w:r>
      <w:r w:rsidR="00EF64FD" w:rsidRPr="007C68F1">
        <w:t>243 Cal.App.4th at p. 394</w:t>
      </w:r>
      <w:bookmarkEnd w:id="440"/>
      <w:r w:rsidR="00310ED2" w:rsidRPr="007C68F1">
        <w:t>.)</w:t>
      </w:r>
    </w:p>
    <w:p w14:paraId="79C88D8A" w14:textId="77777777" w:rsidR="004A2B39" w:rsidRPr="007C68F1" w:rsidRDefault="00D16B2E" w:rsidP="007D1009">
      <w:pPr>
        <w:keepNext/>
        <w:spacing w:line="480" w:lineRule="auto"/>
        <w:ind w:left="720" w:firstLine="720"/>
        <w:rPr>
          <w:i/>
          <w:iCs/>
          <w:shd w:val="clear" w:color="auto" w:fill="FFFFFF"/>
        </w:rPr>
      </w:pPr>
      <w:r w:rsidRPr="007C68F1">
        <w:rPr>
          <w:shd w:val="clear" w:color="auto" w:fill="FFFFFF"/>
        </w:rPr>
        <w:t>3</w:t>
      </w:r>
      <w:r w:rsidR="00684C8E" w:rsidRPr="007C68F1">
        <w:rPr>
          <w:shd w:val="clear" w:color="auto" w:fill="FFFFFF"/>
        </w:rPr>
        <w:t xml:space="preserve">.  </w:t>
      </w:r>
      <w:r w:rsidRPr="007C68F1">
        <w:rPr>
          <w:i/>
          <w:iCs/>
          <w:shd w:val="clear" w:color="auto" w:fill="FFFFFF"/>
        </w:rPr>
        <w:t xml:space="preserve">Rest </w:t>
      </w:r>
      <w:r w:rsidR="00AC1647" w:rsidRPr="007C68F1">
        <w:rPr>
          <w:i/>
          <w:iCs/>
          <w:shd w:val="clear" w:color="auto" w:fill="FFFFFF"/>
        </w:rPr>
        <w:t>Break</w:t>
      </w:r>
      <w:r w:rsidRPr="007C68F1">
        <w:rPr>
          <w:i/>
          <w:iCs/>
          <w:shd w:val="clear" w:color="auto" w:fill="FFFFFF"/>
        </w:rPr>
        <w:t xml:space="preserve"> Class</w:t>
      </w:r>
    </w:p>
    <w:p w14:paraId="1DEADA60" w14:textId="77777777" w:rsidR="007709AC" w:rsidRPr="007C68F1" w:rsidRDefault="00D16B2E" w:rsidP="007D1009">
      <w:pPr>
        <w:keepNext/>
        <w:spacing w:line="480" w:lineRule="auto"/>
        <w:rPr>
          <w:shd w:val="clear" w:color="auto" w:fill="FFFFFF"/>
        </w:rPr>
      </w:pPr>
      <w:r w:rsidRPr="007C68F1">
        <w:rPr>
          <w:shd w:val="clear" w:color="auto" w:fill="FFFFFF"/>
        </w:rPr>
        <w:tab/>
        <w:t>Woodworth argues th</w:t>
      </w:r>
      <w:r w:rsidR="006C3EE9" w:rsidRPr="007C68F1">
        <w:rPr>
          <w:shd w:val="clear" w:color="auto" w:fill="FFFFFF"/>
        </w:rPr>
        <w:t>at</w:t>
      </w:r>
      <w:r w:rsidR="00766328" w:rsidRPr="007C68F1">
        <w:rPr>
          <w:shd w:val="clear" w:color="auto" w:fill="FFFFFF"/>
        </w:rPr>
        <w:t xml:space="preserve"> </w:t>
      </w:r>
      <w:r w:rsidR="008E0C5A" w:rsidRPr="007C68F1">
        <w:rPr>
          <w:shd w:val="clear" w:color="auto" w:fill="FFFFFF"/>
        </w:rPr>
        <w:t>the court</w:t>
      </w:r>
      <w:r w:rsidR="00561CAB" w:rsidRPr="007C68F1">
        <w:rPr>
          <w:shd w:val="clear" w:color="auto" w:fill="FFFFFF"/>
        </w:rPr>
        <w:t xml:space="preserve">’s reasons for denying certification of the Rest Break Class were “unsound,” so it abused its discretion.  We conclude that </w:t>
      </w:r>
      <w:r w:rsidR="007C0802" w:rsidRPr="007C68F1">
        <w:rPr>
          <w:shd w:val="clear" w:color="auto" w:fill="FFFFFF"/>
        </w:rPr>
        <w:t>Woodworth has not shown an abuse of discretion</w:t>
      </w:r>
      <w:r w:rsidR="00561CAB" w:rsidRPr="007C68F1">
        <w:rPr>
          <w:shd w:val="clear" w:color="auto" w:fill="FFFFFF"/>
        </w:rPr>
        <w:t>.</w:t>
      </w:r>
    </w:p>
    <w:p w14:paraId="55C85670" w14:textId="77777777" w:rsidR="006C3EE9" w:rsidRPr="007C68F1" w:rsidRDefault="00D16B2E" w:rsidP="007D1009">
      <w:pPr>
        <w:keepNext/>
        <w:spacing w:line="480" w:lineRule="auto"/>
        <w:rPr>
          <w:i/>
          <w:iCs/>
          <w:shd w:val="clear" w:color="auto" w:fill="FFFFFF"/>
        </w:rPr>
      </w:pPr>
      <w:r w:rsidRPr="007C68F1">
        <w:rPr>
          <w:shd w:val="clear" w:color="auto" w:fill="FFFFFF"/>
        </w:rPr>
        <w:tab/>
      </w:r>
      <w:r w:rsidRPr="007C68F1">
        <w:rPr>
          <w:shd w:val="clear" w:color="auto" w:fill="FFFFFF"/>
        </w:rPr>
        <w:tab/>
      </w:r>
      <w:r w:rsidRPr="007C68F1">
        <w:rPr>
          <w:shd w:val="clear" w:color="auto" w:fill="FFFFFF"/>
        </w:rPr>
        <w:tab/>
        <w:t xml:space="preserve">i.  </w:t>
      </w:r>
      <w:r w:rsidRPr="007C68F1">
        <w:rPr>
          <w:i/>
          <w:iCs/>
          <w:shd w:val="clear" w:color="auto" w:fill="FFFFFF"/>
        </w:rPr>
        <w:t>Relevant Background</w:t>
      </w:r>
    </w:p>
    <w:p w14:paraId="01A8DE0F" w14:textId="77777777" w:rsidR="00FC1845" w:rsidRPr="007C68F1" w:rsidRDefault="00D16B2E" w:rsidP="007D1009">
      <w:pPr>
        <w:tabs>
          <w:tab w:val="left" w:pos="5490"/>
        </w:tabs>
        <w:spacing w:line="480" w:lineRule="auto"/>
        <w:ind w:firstLine="720"/>
        <w:rPr>
          <w:shd w:val="clear" w:color="auto" w:fill="FFFFFF"/>
        </w:rPr>
      </w:pPr>
      <w:r w:rsidRPr="007C68F1">
        <w:rPr>
          <w:shd w:val="clear" w:color="auto" w:fill="FFFFFF"/>
        </w:rPr>
        <w:t>According to Woodworth’s moving papers, the Rest Break Cl</w:t>
      </w:r>
      <w:r w:rsidRPr="007C68F1">
        <w:rPr>
          <w:shd w:val="clear" w:color="auto" w:fill="FFFFFF"/>
        </w:rPr>
        <w:t xml:space="preserve">ass consisted of </w:t>
      </w:r>
      <w:r w:rsidR="00991140" w:rsidRPr="007C68F1">
        <w:rPr>
          <w:shd w:val="clear" w:color="auto" w:fill="FFFFFF"/>
        </w:rPr>
        <w:t>7,0</w:t>
      </w:r>
      <w:r w:rsidR="009A4179" w:rsidRPr="007C68F1">
        <w:rPr>
          <w:shd w:val="clear" w:color="auto" w:fill="FFFFFF"/>
        </w:rPr>
        <w:t>83</w:t>
      </w:r>
      <w:r w:rsidR="00991140" w:rsidRPr="007C68F1">
        <w:rPr>
          <w:shd w:val="clear" w:color="auto" w:fill="FFFFFF"/>
        </w:rPr>
        <w:t xml:space="preserve"> patient care employees.</w:t>
      </w:r>
      <w:r w:rsidR="005F56EB" w:rsidRPr="007C68F1">
        <w:rPr>
          <w:shd w:val="clear" w:color="auto" w:fill="FFFFFF"/>
        </w:rPr>
        <w:t xml:space="preserve">  In support of the class certification motion, Woodworth offered the declaration of Elsie Crowninshield, a doctor of nursing practice.  Crowninshield determined </w:t>
      </w:r>
      <w:r w:rsidR="007E685A" w:rsidRPr="007C68F1">
        <w:rPr>
          <w:shd w:val="clear" w:color="auto" w:fill="FFFFFF"/>
        </w:rPr>
        <w:t>which employees were</w:t>
      </w:r>
      <w:r w:rsidR="005F56EB" w:rsidRPr="007C68F1">
        <w:rPr>
          <w:shd w:val="clear" w:color="auto" w:fill="FFFFFF"/>
        </w:rPr>
        <w:t xml:space="preserve"> patient care employees by reviewing the medical center’s </w:t>
      </w:r>
      <w:bookmarkStart w:id="441" w:name="dabmq_195"/>
      <w:r w:rsidR="00740E73" w:rsidRPr="007C68F1">
        <w:rPr>
          <w:shd w:val="clear" w:color="auto" w:fill="FFFFFF"/>
        </w:rPr>
        <w:t>“department descriptions and job titles.”</w:t>
      </w:r>
      <w:bookmarkEnd w:id="441"/>
      <w:r w:rsidR="005F56EB" w:rsidRPr="007C68F1">
        <w:rPr>
          <w:shd w:val="clear" w:color="auto" w:fill="FFFFFF"/>
        </w:rPr>
        <w:t xml:space="preserve"> </w:t>
      </w:r>
      <w:r w:rsidR="00B41322" w:rsidRPr="007C68F1">
        <w:rPr>
          <w:shd w:val="clear" w:color="auto" w:fill="FFFFFF"/>
        </w:rPr>
        <w:t xml:space="preserve"> </w:t>
      </w:r>
      <w:r w:rsidR="006F01E8" w:rsidRPr="007C68F1">
        <w:rPr>
          <w:shd w:val="clear" w:color="auto" w:fill="FFFFFF"/>
        </w:rPr>
        <w:t>The</w:t>
      </w:r>
      <w:r w:rsidR="007755CB" w:rsidRPr="007C68F1">
        <w:rPr>
          <w:shd w:val="clear" w:color="auto" w:fill="FFFFFF"/>
        </w:rPr>
        <w:t xml:space="preserve"> list of job titles represent</w:t>
      </w:r>
      <w:r w:rsidR="006F01E8" w:rsidRPr="007C68F1">
        <w:rPr>
          <w:shd w:val="clear" w:color="auto" w:fill="FFFFFF"/>
        </w:rPr>
        <w:t>ing</w:t>
      </w:r>
      <w:r w:rsidR="007755CB" w:rsidRPr="007C68F1">
        <w:rPr>
          <w:shd w:val="clear" w:color="auto" w:fill="FFFFFF"/>
        </w:rPr>
        <w:t xml:space="preserve"> those 7,0</w:t>
      </w:r>
      <w:r w:rsidR="009A4179" w:rsidRPr="007C68F1">
        <w:rPr>
          <w:shd w:val="clear" w:color="auto" w:fill="FFFFFF"/>
        </w:rPr>
        <w:t>83</w:t>
      </w:r>
      <w:r w:rsidR="007755CB" w:rsidRPr="007C68F1">
        <w:rPr>
          <w:shd w:val="clear" w:color="auto" w:fill="FFFFFF"/>
        </w:rPr>
        <w:t xml:space="preserve"> patient care employees</w:t>
      </w:r>
      <w:r w:rsidR="006F01E8" w:rsidRPr="007C68F1">
        <w:rPr>
          <w:shd w:val="clear" w:color="auto" w:fill="FFFFFF"/>
        </w:rPr>
        <w:t xml:space="preserve"> was 73 pages long</w:t>
      </w:r>
      <w:r w:rsidR="007755CB" w:rsidRPr="007C68F1">
        <w:rPr>
          <w:shd w:val="clear" w:color="auto" w:fill="FFFFFF"/>
        </w:rPr>
        <w:t xml:space="preserve">. </w:t>
      </w:r>
    </w:p>
    <w:p w14:paraId="465B90FC" w14:textId="77777777" w:rsidR="00740E73" w:rsidRPr="007C68F1" w:rsidRDefault="00D16B2E" w:rsidP="007D1009">
      <w:pPr>
        <w:spacing w:line="480" w:lineRule="auto"/>
        <w:ind w:firstLine="720"/>
        <w:rPr>
          <w:shd w:val="clear" w:color="auto" w:fill="FFFFFF"/>
        </w:rPr>
      </w:pPr>
      <w:r w:rsidRPr="007C68F1">
        <w:rPr>
          <w:shd w:val="clear" w:color="auto" w:fill="FFFFFF"/>
        </w:rPr>
        <w:t xml:space="preserve">As discussed, </w:t>
      </w:r>
      <w:r w:rsidR="00ED0A45" w:rsidRPr="007C68F1">
        <w:rPr>
          <w:shd w:val="clear" w:color="auto" w:fill="FFFFFF"/>
        </w:rPr>
        <w:t xml:space="preserve">Woodworth </w:t>
      </w:r>
      <w:r w:rsidR="007E5925" w:rsidRPr="007C68F1">
        <w:rPr>
          <w:shd w:val="clear" w:color="auto" w:fill="FFFFFF"/>
        </w:rPr>
        <w:t>proposed</w:t>
      </w:r>
      <w:r w:rsidR="00ED0A45" w:rsidRPr="007C68F1">
        <w:rPr>
          <w:shd w:val="clear" w:color="auto" w:fill="FFFFFF"/>
        </w:rPr>
        <w:t xml:space="preserve"> two </w:t>
      </w:r>
      <w:r w:rsidR="006D4114" w:rsidRPr="007C68F1">
        <w:rPr>
          <w:shd w:val="clear" w:color="auto" w:fill="FFFFFF"/>
        </w:rPr>
        <w:t>options</w:t>
      </w:r>
      <w:r w:rsidR="00ED0A45" w:rsidRPr="007C68F1">
        <w:rPr>
          <w:shd w:val="clear" w:color="auto" w:fill="FFFFFF"/>
        </w:rPr>
        <w:t xml:space="preserve"> for the Rest Break Class</w:t>
      </w:r>
      <w:r w:rsidR="00185793" w:rsidRPr="007C68F1">
        <w:rPr>
          <w:shd w:val="clear" w:color="auto" w:fill="FFFFFF"/>
        </w:rPr>
        <w:t>—</w:t>
      </w:r>
      <w:r w:rsidR="00ED0A45" w:rsidRPr="007C68F1">
        <w:rPr>
          <w:shd w:val="clear" w:color="auto" w:fill="FFFFFF"/>
        </w:rPr>
        <w:t>the on</w:t>
      </w:r>
      <w:r w:rsidR="00185793" w:rsidRPr="007C68F1">
        <w:rPr>
          <w:shd w:val="clear" w:color="auto" w:fill="FFFFFF"/>
        </w:rPr>
        <w:noBreakHyphen/>
      </w:r>
      <w:r w:rsidR="00ED0A45" w:rsidRPr="007C68F1">
        <w:rPr>
          <w:shd w:val="clear" w:color="auto" w:fill="FFFFFF"/>
        </w:rPr>
        <w:t xml:space="preserve">premises </w:t>
      </w:r>
      <w:r w:rsidR="007949D4" w:rsidRPr="007C68F1">
        <w:rPr>
          <w:shd w:val="clear" w:color="auto" w:fill="FFFFFF"/>
        </w:rPr>
        <w:t>Rest Break Class</w:t>
      </w:r>
      <w:r w:rsidR="00ED0A45" w:rsidRPr="007C68F1">
        <w:rPr>
          <w:shd w:val="clear" w:color="auto" w:fill="FFFFFF"/>
        </w:rPr>
        <w:t xml:space="preserve"> and the no-relief </w:t>
      </w:r>
      <w:r w:rsidR="007949D4" w:rsidRPr="007C68F1">
        <w:rPr>
          <w:shd w:val="clear" w:color="auto" w:fill="FFFFFF"/>
        </w:rPr>
        <w:t>Rest Break Class</w:t>
      </w:r>
      <w:r w:rsidR="00ED0A45" w:rsidRPr="007C68F1">
        <w:rPr>
          <w:shd w:val="clear" w:color="auto" w:fill="FFFFFF"/>
        </w:rPr>
        <w:t xml:space="preserve">.  </w:t>
      </w:r>
      <w:r w:rsidR="00E063A2" w:rsidRPr="007C68F1">
        <w:rPr>
          <w:shd w:val="clear" w:color="auto" w:fill="FFFFFF"/>
        </w:rPr>
        <w:t>Regarding</w:t>
      </w:r>
      <w:r w:rsidR="00ED0A45" w:rsidRPr="007C68F1">
        <w:rPr>
          <w:shd w:val="clear" w:color="auto" w:fill="FFFFFF"/>
        </w:rPr>
        <w:t xml:space="preserve"> the on</w:t>
      </w:r>
      <w:r w:rsidR="005328CB" w:rsidRPr="007C68F1">
        <w:rPr>
          <w:shd w:val="clear" w:color="auto" w:fill="FFFFFF"/>
        </w:rPr>
        <w:noBreakHyphen/>
      </w:r>
      <w:r w:rsidR="00ED0A45" w:rsidRPr="007C68F1">
        <w:rPr>
          <w:shd w:val="clear" w:color="auto" w:fill="FFFFFF"/>
        </w:rPr>
        <w:t xml:space="preserve">premises </w:t>
      </w:r>
      <w:r w:rsidR="007949D4" w:rsidRPr="007C68F1">
        <w:rPr>
          <w:shd w:val="clear" w:color="auto" w:fill="FFFFFF"/>
        </w:rPr>
        <w:t>Rest Break Class</w:t>
      </w:r>
      <w:r w:rsidR="00ED0A45" w:rsidRPr="007C68F1">
        <w:rPr>
          <w:shd w:val="clear" w:color="auto" w:fill="FFFFFF"/>
        </w:rPr>
        <w:t xml:space="preserve">, she </w:t>
      </w:r>
      <w:r w:rsidRPr="007C68F1">
        <w:rPr>
          <w:shd w:val="clear" w:color="auto" w:fill="FFFFFF"/>
        </w:rPr>
        <w:t xml:space="preserve">argued that the medical center had a facially invalid rest period policy, presenting a predominant common legal question for the </w:t>
      </w:r>
      <w:r w:rsidR="007949D4" w:rsidRPr="007C68F1">
        <w:rPr>
          <w:shd w:val="clear" w:color="auto" w:fill="FFFFFF"/>
        </w:rPr>
        <w:t>class</w:t>
      </w:r>
      <w:r w:rsidRPr="007C68F1">
        <w:rPr>
          <w:shd w:val="clear" w:color="auto" w:fill="FFFFFF"/>
        </w:rPr>
        <w:t xml:space="preserve">.  </w:t>
      </w:r>
      <w:r w:rsidR="00D70520" w:rsidRPr="007C68F1">
        <w:rPr>
          <w:shd w:val="clear" w:color="auto" w:fill="FFFFFF"/>
        </w:rPr>
        <w:t>In relevant part, t</w:t>
      </w:r>
      <w:r w:rsidRPr="007C68F1">
        <w:rPr>
          <w:shd w:val="clear" w:color="auto" w:fill="FFFFFF"/>
        </w:rPr>
        <w:t>he rest period policy</w:t>
      </w:r>
      <w:r w:rsidR="00044D2E" w:rsidRPr="007C68F1">
        <w:rPr>
          <w:shd w:val="clear" w:color="auto" w:fill="FFFFFF"/>
        </w:rPr>
        <w:t xml:space="preserve"> applied to all nonexempt employees and</w:t>
      </w:r>
      <w:r w:rsidRPr="007C68F1">
        <w:rPr>
          <w:shd w:val="clear" w:color="auto" w:fill="FFFFFF"/>
        </w:rPr>
        <w:t xml:space="preserve"> </w:t>
      </w:r>
      <w:r w:rsidR="00273890" w:rsidRPr="007C68F1">
        <w:rPr>
          <w:shd w:val="clear" w:color="auto" w:fill="FFFFFF"/>
        </w:rPr>
        <w:t xml:space="preserve">provided for </w:t>
      </w:r>
      <w:r w:rsidR="00273890" w:rsidRPr="007C68F1">
        <w:rPr>
          <w:shd w:val="clear" w:color="auto" w:fill="FFFFFF"/>
        </w:rPr>
        <w:lastRenderedPageBreak/>
        <w:t>one 10-minute rest period for each four hours worked</w:t>
      </w:r>
      <w:r w:rsidR="0097082D" w:rsidRPr="007C68F1">
        <w:rPr>
          <w:shd w:val="clear" w:color="auto" w:fill="FFFFFF"/>
        </w:rPr>
        <w:t>.  It specified that employees working between 10 and 14 hours were entitled to three rest periods</w:t>
      </w:r>
      <w:r w:rsidR="00273890" w:rsidRPr="007C68F1">
        <w:rPr>
          <w:shd w:val="clear" w:color="auto" w:fill="FFFFFF"/>
        </w:rPr>
        <w:t>.  The polic</w:t>
      </w:r>
      <w:r w:rsidR="0097082D" w:rsidRPr="007C68F1">
        <w:rPr>
          <w:shd w:val="clear" w:color="auto" w:fill="FFFFFF"/>
        </w:rPr>
        <w:t>y also</w:t>
      </w:r>
      <w:r w:rsidR="00273890" w:rsidRPr="007C68F1">
        <w:rPr>
          <w:shd w:val="clear" w:color="auto" w:fill="FFFFFF"/>
        </w:rPr>
        <w:t xml:space="preserve"> </w:t>
      </w:r>
      <w:r w:rsidRPr="007C68F1">
        <w:rPr>
          <w:shd w:val="clear" w:color="auto" w:fill="FFFFFF"/>
        </w:rPr>
        <w:t xml:space="preserve">stated:  </w:t>
      </w:r>
      <w:bookmarkStart w:id="442" w:name="dabmq_196"/>
      <w:r w:rsidRPr="007C68F1">
        <w:rPr>
          <w:shd w:val="clear" w:color="auto" w:fill="FFFFFF"/>
        </w:rPr>
        <w:t>“</w:t>
      </w:r>
      <w:r w:rsidR="00D70520" w:rsidRPr="007C68F1">
        <w:rPr>
          <w:shd w:val="clear" w:color="auto" w:fill="FFFFFF"/>
        </w:rPr>
        <w:t>It is expected that ten minute rest periods will be taken on the premises.”</w:t>
      </w:r>
      <w:bookmarkEnd w:id="442"/>
      <w:r w:rsidR="00D70520" w:rsidRPr="007C68F1">
        <w:rPr>
          <w:shd w:val="clear" w:color="auto" w:fill="FFFFFF"/>
        </w:rPr>
        <w:t xml:space="preserve">  </w:t>
      </w:r>
      <w:r w:rsidR="00A01184" w:rsidRPr="007C68F1">
        <w:rPr>
          <w:shd w:val="clear" w:color="auto" w:fill="FFFFFF"/>
        </w:rPr>
        <w:t xml:space="preserve">Woodworth contended that requiring employees to remain on premises was </w:t>
      </w:r>
      <w:r w:rsidR="00B02F23" w:rsidRPr="007C68F1">
        <w:rPr>
          <w:shd w:val="clear" w:color="auto" w:fill="FFFFFF"/>
        </w:rPr>
        <w:t>unlawful per se</w:t>
      </w:r>
      <w:r w:rsidR="00BF10B1" w:rsidRPr="007C68F1">
        <w:rPr>
          <w:shd w:val="clear" w:color="auto" w:fill="FFFFFF"/>
        </w:rPr>
        <w:t>, because the law required employers to relinquish control over employees during rest periods</w:t>
      </w:r>
      <w:r w:rsidR="00A01184" w:rsidRPr="007C68F1">
        <w:rPr>
          <w:shd w:val="clear" w:color="auto" w:fill="FFFFFF"/>
        </w:rPr>
        <w:t>.</w:t>
      </w:r>
    </w:p>
    <w:p w14:paraId="41D5DB7B" w14:textId="77777777" w:rsidR="00AF365F" w:rsidRPr="007C68F1" w:rsidRDefault="00D16B2E" w:rsidP="007D1009">
      <w:pPr>
        <w:spacing w:line="480" w:lineRule="auto"/>
        <w:ind w:firstLine="720"/>
        <w:rPr>
          <w:shd w:val="clear" w:color="auto" w:fill="FFFFFF"/>
        </w:rPr>
      </w:pPr>
      <w:r w:rsidRPr="007C68F1">
        <w:rPr>
          <w:shd w:val="clear" w:color="auto" w:fill="FFFFFF"/>
        </w:rPr>
        <w:t xml:space="preserve">As for the no-relief </w:t>
      </w:r>
      <w:r w:rsidR="00A0127E" w:rsidRPr="007C68F1">
        <w:rPr>
          <w:shd w:val="clear" w:color="auto" w:fill="FFFFFF"/>
        </w:rPr>
        <w:t>Rest Break Class</w:t>
      </w:r>
      <w:r w:rsidRPr="007C68F1">
        <w:rPr>
          <w:shd w:val="clear" w:color="auto" w:fill="FFFFFF"/>
        </w:rPr>
        <w:t>, Woodworth argued that the medical center failed to provide</w:t>
      </w:r>
      <w:r w:rsidR="00461C57" w:rsidRPr="007C68F1">
        <w:rPr>
          <w:shd w:val="clear" w:color="auto" w:fill="FFFFFF"/>
        </w:rPr>
        <w:t xml:space="preserve"> dedicated relief personnel for</w:t>
      </w:r>
      <w:r w:rsidRPr="007C68F1">
        <w:rPr>
          <w:shd w:val="clear" w:color="auto" w:fill="FFFFFF"/>
        </w:rPr>
        <w:t xml:space="preserve"> </w:t>
      </w:r>
      <w:r w:rsidR="00347585" w:rsidRPr="007C68F1">
        <w:rPr>
          <w:shd w:val="clear" w:color="auto" w:fill="FFFFFF"/>
        </w:rPr>
        <w:t xml:space="preserve">patient care </w:t>
      </w:r>
      <w:r w:rsidRPr="007C68F1">
        <w:rPr>
          <w:shd w:val="clear" w:color="auto" w:fill="FFFFFF"/>
        </w:rPr>
        <w:t xml:space="preserve">employees who worked </w:t>
      </w:r>
      <w:r w:rsidR="00275219" w:rsidRPr="007C68F1">
        <w:rPr>
          <w:shd w:val="clear" w:color="auto" w:fill="FFFFFF"/>
        </w:rPr>
        <w:t>10</w:t>
      </w:r>
      <w:r w:rsidR="000171E5" w:rsidRPr="007C68F1">
        <w:rPr>
          <w:shd w:val="clear" w:color="auto" w:fill="FFFFFF"/>
        </w:rPr>
        <w:noBreakHyphen/>
      </w:r>
      <w:r w:rsidR="00275219" w:rsidRPr="007C68F1">
        <w:rPr>
          <w:shd w:val="clear" w:color="auto" w:fill="FFFFFF"/>
        </w:rPr>
        <w:t xml:space="preserve"> and </w:t>
      </w:r>
      <w:r w:rsidR="00461C57" w:rsidRPr="007C68F1">
        <w:rPr>
          <w:shd w:val="clear" w:color="auto" w:fill="FFFFFF"/>
        </w:rPr>
        <w:t xml:space="preserve">12-hour shifts.  </w:t>
      </w:r>
      <w:r w:rsidR="003D5195" w:rsidRPr="007C68F1">
        <w:rPr>
          <w:shd w:val="clear" w:color="auto" w:fill="FFFFFF"/>
        </w:rPr>
        <w:t>Crowninshield explained in her declaration that the medical center had “staff</w:t>
      </w:r>
      <w:r w:rsidR="002511FE" w:rsidRPr="007C68F1">
        <w:rPr>
          <w:shd w:val="clear" w:color="auto" w:fill="FFFFFF"/>
        </w:rPr>
        <w:noBreakHyphen/>
      </w:r>
      <w:r w:rsidR="003D5195" w:rsidRPr="007C68F1">
        <w:rPr>
          <w:shd w:val="clear" w:color="auto" w:fill="FFFFFF"/>
        </w:rPr>
        <w:t>to</w:t>
      </w:r>
      <w:r w:rsidR="002511FE" w:rsidRPr="007C68F1">
        <w:rPr>
          <w:shd w:val="clear" w:color="auto" w:fill="FFFFFF"/>
        </w:rPr>
        <w:noBreakHyphen/>
      </w:r>
      <w:r w:rsidR="003D5195" w:rsidRPr="007C68F1">
        <w:rPr>
          <w:shd w:val="clear" w:color="auto" w:fill="FFFFFF"/>
        </w:rPr>
        <w:t>patient ratio obligations”</w:t>
      </w:r>
      <w:r w:rsidR="00A22F76" w:rsidRPr="007C68F1">
        <w:rPr>
          <w:shd w:val="clear" w:color="auto" w:fill="FFFFFF"/>
        </w:rPr>
        <w:t xml:space="preserve"> and </w:t>
      </w:r>
      <w:r w:rsidR="00C04FFF" w:rsidRPr="007C68F1">
        <w:rPr>
          <w:shd w:val="clear" w:color="auto" w:fill="FFFFFF"/>
        </w:rPr>
        <w:t xml:space="preserve">that </w:t>
      </w:r>
      <w:r w:rsidR="00A22F76" w:rsidRPr="007C68F1">
        <w:rPr>
          <w:shd w:val="clear" w:color="auto" w:fill="FFFFFF"/>
        </w:rPr>
        <w:t>certain licensed patient care employees (like nurses) had similar ethical obligations.</w:t>
      </w:r>
      <w:r w:rsidR="002511FE" w:rsidRPr="007C68F1">
        <w:rPr>
          <w:shd w:val="clear" w:color="auto" w:fill="FFFFFF"/>
        </w:rPr>
        <w:t xml:space="preserve">  She opined that </w:t>
      </w:r>
      <w:r w:rsidR="003D5195" w:rsidRPr="007C68F1">
        <w:rPr>
          <w:shd w:val="clear" w:color="auto" w:fill="FFFFFF"/>
        </w:rPr>
        <w:t>without</w:t>
      </w:r>
      <w:r w:rsidR="002511FE" w:rsidRPr="007C68F1">
        <w:rPr>
          <w:shd w:val="clear" w:color="auto" w:fill="FFFFFF"/>
        </w:rPr>
        <w:t xml:space="preserve"> adequate</w:t>
      </w:r>
      <w:r w:rsidR="003D5195" w:rsidRPr="007C68F1">
        <w:rPr>
          <w:shd w:val="clear" w:color="auto" w:fill="FFFFFF"/>
        </w:rPr>
        <w:t xml:space="preserve"> relief personnel, patient care employees</w:t>
      </w:r>
      <w:r w:rsidR="002511FE" w:rsidRPr="007C68F1">
        <w:rPr>
          <w:shd w:val="clear" w:color="auto" w:fill="FFFFFF"/>
        </w:rPr>
        <w:t xml:space="preserve"> </w:t>
      </w:r>
      <w:r w:rsidR="002214C5" w:rsidRPr="007C68F1">
        <w:rPr>
          <w:shd w:val="clear" w:color="auto" w:fill="FFFFFF"/>
        </w:rPr>
        <w:t>were prone to</w:t>
      </w:r>
      <w:r w:rsidR="002511FE" w:rsidRPr="007C68F1">
        <w:rPr>
          <w:shd w:val="clear" w:color="auto" w:fill="FFFFFF"/>
        </w:rPr>
        <w:t xml:space="preserve"> miss</w:t>
      </w:r>
      <w:r w:rsidR="002214C5" w:rsidRPr="007C68F1">
        <w:rPr>
          <w:shd w:val="clear" w:color="auto" w:fill="FFFFFF"/>
        </w:rPr>
        <w:t>ing</w:t>
      </w:r>
      <w:r w:rsidR="002511FE" w:rsidRPr="007C68F1">
        <w:rPr>
          <w:shd w:val="clear" w:color="auto" w:fill="FFFFFF"/>
        </w:rPr>
        <w:t xml:space="preserve"> breaks to ensure that they were providing appropriate care. </w:t>
      </w:r>
      <w:r w:rsidR="00C04FFF" w:rsidRPr="007C68F1">
        <w:rPr>
          <w:shd w:val="clear" w:color="auto" w:fill="FFFFFF"/>
        </w:rPr>
        <w:t xml:space="preserve"> </w:t>
      </w:r>
      <w:r w:rsidRPr="007C68F1">
        <w:rPr>
          <w:shd w:val="clear" w:color="auto" w:fill="FFFFFF"/>
        </w:rPr>
        <w:t>After reviewing certain of the medical center’s written p</w:t>
      </w:r>
      <w:r w:rsidRPr="007C68F1">
        <w:rPr>
          <w:shd w:val="clear" w:color="auto" w:fill="FFFFFF"/>
        </w:rPr>
        <w:t>olicies and deposition testimony, Crowninshield opined that the medical center had no system for providing dedicated rest period relief.</w:t>
      </w:r>
      <w:r w:rsidR="003B1900" w:rsidRPr="007C68F1">
        <w:rPr>
          <w:shd w:val="clear" w:color="auto" w:fill="FFFFFF"/>
        </w:rPr>
        <w:t xml:space="preserve">  She asserted that the medical center planned rest periods on an informal basi</w:t>
      </w:r>
      <w:r w:rsidR="006C7120" w:rsidRPr="007C68F1">
        <w:rPr>
          <w:shd w:val="clear" w:color="auto" w:fill="FFFFFF"/>
        </w:rPr>
        <w:t>s,</w:t>
      </w:r>
      <w:r w:rsidR="003B1900" w:rsidRPr="007C68F1">
        <w:rPr>
          <w:shd w:val="clear" w:color="auto" w:fill="FFFFFF"/>
        </w:rPr>
        <w:t xml:space="preserve"> </w:t>
      </w:r>
      <w:r w:rsidR="006C7120" w:rsidRPr="007C68F1">
        <w:rPr>
          <w:shd w:val="clear" w:color="auto" w:fill="FFFFFF"/>
        </w:rPr>
        <w:t xml:space="preserve">did not provide formal training on rest period coverage, had no daily log or journal showing when rest periods were scheduled or taken, had no operational plan to ensure adequate staffing for rest periods, and had an onerous and intimidating process for claiming the missed </w:t>
      </w:r>
      <w:r w:rsidR="009D0B34" w:rsidRPr="007C68F1">
        <w:rPr>
          <w:shd w:val="clear" w:color="auto" w:fill="FFFFFF"/>
        </w:rPr>
        <w:t>break</w:t>
      </w:r>
      <w:r w:rsidR="006C7120" w:rsidRPr="007C68F1">
        <w:rPr>
          <w:shd w:val="clear" w:color="auto" w:fill="FFFFFF"/>
        </w:rPr>
        <w:t xml:space="preserve"> premium.  </w:t>
      </w:r>
      <w:r w:rsidR="00347585" w:rsidRPr="007C68F1">
        <w:rPr>
          <w:shd w:val="clear" w:color="auto" w:fill="FFFFFF"/>
        </w:rPr>
        <w:t>(</w:t>
      </w:r>
      <w:r w:rsidR="003B1900" w:rsidRPr="007C68F1">
        <w:rPr>
          <w:shd w:val="clear" w:color="auto" w:fill="FFFFFF"/>
        </w:rPr>
        <w:t xml:space="preserve">While an exhibit to Crowninshield’s declaration listed the </w:t>
      </w:r>
      <w:r w:rsidR="00497C63" w:rsidRPr="007C68F1">
        <w:rPr>
          <w:shd w:val="clear" w:color="auto" w:fill="FFFFFF"/>
        </w:rPr>
        <w:t>documents and deposition testimony that she had reviewed</w:t>
      </w:r>
      <w:r w:rsidR="00347585" w:rsidRPr="007C68F1">
        <w:rPr>
          <w:shd w:val="clear" w:color="auto" w:fill="FFFFFF"/>
        </w:rPr>
        <w:t xml:space="preserve"> in forming her opinion</w:t>
      </w:r>
      <w:r w:rsidR="006F01E8" w:rsidRPr="007C68F1">
        <w:rPr>
          <w:shd w:val="clear" w:color="auto" w:fill="FFFFFF"/>
        </w:rPr>
        <w:t>s</w:t>
      </w:r>
      <w:r w:rsidR="00497C63" w:rsidRPr="007C68F1">
        <w:rPr>
          <w:shd w:val="clear" w:color="auto" w:fill="FFFFFF"/>
        </w:rPr>
        <w:t xml:space="preserve">, Woodworth </w:t>
      </w:r>
      <w:r w:rsidR="002B7EAC" w:rsidRPr="007C68F1">
        <w:rPr>
          <w:shd w:val="clear" w:color="auto" w:fill="FFFFFF"/>
        </w:rPr>
        <w:t xml:space="preserve">did not provide </w:t>
      </w:r>
      <w:r w:rsidR="006F01E8" w:rsidRPr="007C68F1">
        <w:rPr>
          <w:shd w:val="clear" w:color="auto" w:fill="FFFFFF"/>
        </w:rPr>
        <w:t>the majority of those</w:t>
      </w:r>
      <w:r w:rsidR="002B7EAC" w:rsidRPr="007C68F1">
        <w:rPr>
          <w:shd w:val="clear" w:color="auto" w:fill="FFFFFF"/>
        </w:rPr>
        <w:t xml:space="preserve"> documents with </w:t>
      </w:r>
      <w:r w:rsidR="00C84898" w:rsidRPr="007C68F1">
        <w:rPr>
          <w:shd w:val="clear" w:color="auto" w:fill="FFFFFF"/>
        </w:rPr>
        <w:t>her</w:t>
      </w:r>
      <w:r w:rsidR="002B7EAC" w:rsidRPr="007C68F1">
        <w:rPr>
          <w:shd w:val="clear" w:color="auto" w:fill="FFFFFF"/>
        </w:rPr>
        <w:t xml:space="preserve"> moving papers.</w:t>
      </w:r>
      <w:r w:rsidR="00347585" w:rsidRPr="007C68F1">
        <w:rPr>
          <w:shd w:val="clear" w:color="auto" w:fill="FFFFFF"/>
        </w:rPr>
        <w:t>)</w:t>
      </w:r>
    </w:p>
    <w:p w14:paraId="4451CB02" w14:textId="77777777" w:rsidR="007F3EE0" w:rsidRPr="007C68F1" w:rsidRDefault="00D16B2E" w:rsidP="007D1009">
      <w:pPr>
        <w:spacing w:line="480" w:lineRule="auto"/>
        <w:ind w:firstLine="720"/>
        <w:rPr>
          <w:shd w:val="clear" w:color="auto" w:fill="FFFFFF"/>
        </w:rPr>
      </w:pPr>
      <w:r w:rsidRPr="007C68F1">
        <w:rPr>
          <w:shd w:val="clear" w:color="auto" w:fill="FFFFFF"/>
        </w:rPr>
        <w:lastRenderedPageBreak/>
        <w:t xml:space="preserve">According to Woodworth’s </w:t>
      </w:r>
      <w:r w:rsidRPr="007C68F1">
        <w:rPr>
          <w:shd w:val="clear" w:color="auto" w:fill="FFFFFF"/>
        </w:rPr>
        <w:t>declaration in support</w:t>
      </w:r>
      <w:r w:rsidR="00BF4293" w:rsidRPr="007C68F1">
        <w:rPr>
          <w:shd w:val="clear" w:color="auto" w:fill="FFFFFF"/>
        </w:rPr>
        <w:t xml:space="preserve"> of her</w:t>
      </w:r>
      <w:r w:rsidRPr="007C68F1">
        <w:rPr>
          <w:shd w:val="clear" w:color="auto" w:fill="FFFFFF"/>
        </w:rPr>
        <w:t xml:space="preserve"> motion, she rarely </w:t>
      </w:r>
      <w:r w:rsidR="00D0341D" w:rsidRPr="007C68F1">
        <w:rPr>
          <w:shd w:val="clear" w:color="auto" w:fill="FFFFFF"/>
        </w:rPr>
        <w:t>took</w:t>
      </w:r>
      <w:r w:rsidRPr="007C68F1">
        <w:rPr>
          <w:shd w:val="clear" w:color="auto" w:fill="FFFFFF"/>
        </w:rPr>
        <w:t xml:space="preserve"> any of her rest </w:t>
      </w:r>
      <w:r w:rsidR="00D0341D" w:rsidRPr="007C68F1">
        <w:rPr>
          <w:shd w:val="clear" w:color="auto" w:fill="FFFFFF"/>
        </w:rPr>
        <w:t>periods</w:t>
      </w:r>
      <w:r w:rsidRPr="007C68F1">
        <w:rPr>
          <w:shd w:val="clear" w:color="auto" w:fill="FFFFFF"/>
        </w:rPr>
        <w:t xml:space="preserve"> on her 12-hour shifts.</w:t>
      </w:r>
      <w:r w:rsidR="00D0341D" w:rsidRPr="007C68F1">
        <w:rPr>
          <w:shd w:val="clear" w:color="auto" w:fill="FFFFFF"/>
        </w:rPr>
        <w:t xml:space="preserve">  She attributed that to the medical center’s failure to provide relief personnel</w:t>
      </w:r>
      <w:r w:rsidR="00253636" w:rsidRPr="007C68F1">
        <w:rPr>
          <w:shd w:val="clear" w:color="auto" w:fill="FFFFFF"/>
        </w:rPr>
        <w:t xml:space="preserve"> and stated </w:t>
      </w:r>
      <w:r w:rsidR="00D0341D" w:rsidRPr="007C68F1">
        <w:rPr>
          <w:shd w:val="clear" w:color="auto" w:fill="FFFFFF"/>
        </w:rPr>
        <w:t xml:space="preserve">that the medical center rarely provided a dedicated relief nurse.  </w:t>
      </w:r>
    </w:p>
    <w:p w14:paraId="10E5F6F4" w14:textId="77777777" w:rsidR="00273A83" w:rsidRPr="007C68F1" w:rsidRDefault="00D16B2E" w:rsidP="007D1009">
      <w:pPr>
        <w:spacing w:line="480" w:lineRule="auto"/>
        <w:ind w:firstLine="720"/>
        <w:rPr>
          <w:shd w:val="clear" w:color="auto" w:fill="FFFFFF"/>
        </w:rPr>
      </w:pPr>
      <w:r w:rsidRPr="007C68F1">
        <w:rPr>
          <w:shd w:val="clear" w:color="auto" w:fill="FFFFFF"/>
        </w:rPr>
        <w:t xml:space="preserve">In her trial plan, </w:t>
      </w:r>
      <w:r w:rsidR="00D41A46" w:rsidRPr="007C68F1">
        <w:rPr>
          <w:shd w:val="clear" w:color="auto" w:fill="FFFFFF"/>
        </w:rPr>
        <w:t xml:space="preserve">Woodworth </w:t>
      </w:r>
      <w:r w:rsidR="0077220D" w:rsidRPr="007C68F1">
        <w:rPr>
          <w:shd w:val="clear" w:color="auto" w:fill="FFFFFF"/>
        </w:rPr>
        <w:t xml:space="preserve">asserted that she would prove the failure to provide rest periods </w:t>
      </w:r>
      <w:r w:rsidR="002511FE" w:rsidRPr="007C68F1">
        <w:rPr>
          <w:shd w:val="clear" w:color="auto" w:fill="FFFFFF"/>
        </w:rPr>
        <w:t>by</w:t>
      </w:r>
      <w:r w:rsidR="0077220D" w:rsidRPr="007C68F1">
        <w:rPr>
          <w:shd w:val="clear" w:color="auto" w:fill="FFFFFF"/>
        </w:rPr>
        <w:t xml:space="preserve"> </w:t>
      </w:r>
      <w:r w:rsidR="00D41A46" w:rsidRPr="007C68F1">
        <w:rPr>
          <w:shd w:val="clear" w:color="auto" w:fill="FFFFFF"/>
        </w:rPr>
        <w:t>deposing</w:t>
      </w:r>
      <w:r w:rsidR="0077220D" w:rsidRPr="007C68F1">
        <w:rPr>
          <w:shd w:val="clear" w:color="auto" w:fill="FFFFFF"/>
        </w:rPr>
        <w:t xml:space="preserve"> a random sample of Rest Break Class members.</w:t>
      </w:r>
      <w:r w:rsidR="00D41A46" w:rsidRPr="007C68F1">
        <w:rPr>
          <w:shd w:val="clear" w:color="auto" w:fill="FFFFFF"/>
        </w:rPr>
        <w:t xml:space="preserve"> </w:t>
      </w:r>
      <w:r w:rsidR="00E714F9" w:rsidRPr="007C68F1">
        <w:rPr>
          <w:shd w:val="clear" w:color="auto" w:fill="FFFFFF"/>
        </w:rPr>
        <w:t xml:space="preserve"> </w:t>
      </w:r>
      <w:r w:rsidR="00D41A46" w:rsidRPr="007C68F1">
        <w:rPr>
          <w:shd w:val="clear" w:color="auto" w:fill="FFFFFF"/>
        </w:rPr>
        <w:t xml:space="preserve">She would ask them whether </w:t>
      </w:r>
      <w:r w:rsidR="00F74D55" w:rsidRPr="007C68F1">
        <w:rPr>
          <w:shd w:val="clear" w:color="auto" w:fill="FFFFFF"/>
        </w:rPr>
        <w:t xml:space="preserve">they were restricted to the medical center’s premises for rest periods </w:t>
      </w:r>
      <w:r w:rsidR="00E714F9" w:rsidRPr="007C68F1">
        <w:rPr>
          <w:shd w:val="clear" w:color="auto" w:fill="FFFFFF"/>
        </w:rPr>
        <w:t>and how often</w:t>
      </w:r>
      <w:r w:rsidR="00F74D55" w:rsidRPr="007C68F1">
        <w:rPr>
          <w:shd w:val="clear" w:color="auto" w:fill="FFFFFF"/>
        </w:rPr>
        <w:t>, on average, they took rest periods in which they were permitted to leave the premises.</w:t>
      </w:r>
      <w:r w:rsidR="00E714F9" w:rsidRPr="007C68F1">
        <w:rPr>
          <w:shd w:val="clear" w:color="auto" w:fill="FFFFFF"/>
        </w:rPr>
        <w:t xml:space="preserve">  In addition, she would ask them how often relief personnel </w:t>
      </w:r>
      <w:r w:rsidR="00BF48C6" w:rsidRPr="007C68F1">
        <w:rPr>
          <w:shd w:val="clear" w:color="auto" w:fill="FFFFFF"/>
        </w:rPr>
        <w:t>was</w:t>
      </w:r>
      <w:r w:rsidR="00E714F9" w:rsidRPr="007C68F1">
        <w:rPr>
          <w:shd w:val="clear" w:color="auto" w:fill="FFFFFF"/>
        </w:rPr>
        <w:t xml:space="preserve"> available.  </w:t>
      </w:r>
      <w:r w:rsidR="008F2470" w:rsidRPr="007C68F1">
        <w:rPr>
          <w:shd w:val="clear" w:color="auto" w:fill="FFFFFF"/>
        </w:rPr>
        <w:t xml:space="preserve">She would also rely on Crowninshield’s testimony, scheduling documents, and “daily assignment sheets.”  </w:t>
      </w:r>
    </w:p>
    <w:p w14:paraId="613F9F58" w14:textId="77777777" w:rsidR="00ED0A45" w:rsidRPr="007C68F1" w:rsidRDefault="00D16B2E" w:rsidP="007D1009">
      <w:pPr>
        <w:spacing w:line="480" w:lineRule="auto"/>
        <w:ind w:firstLine="720"/>
        <w:rPr>
          <w:shd w:val="clear" w:color="auto" w:fill="FFFFFF"/>
        </w:rPr>
      </w:pPr>
      <w:r w:rsidRPr="007C68F1">
        <w:rPr>
          <w:shd w:val="clear" w:color="auto" w:fill="FFFFFF"/>
        </w:rPr>
        <w:t>Regardin</w:t>
      </w:r>
      <w:r w:rsidR="00273A83" w:rsidRPr="007C68F1">
        <w:rPr>
          <w:shd w:val="clear" w:color="auto" w:fill="FFFFFF"/>
        </w:rPr>
        <w:t>g sampling</w:t>
      </w:r>
      <w:r w:rsidRPr="007C68F1">
        <w:rPr>
          <w:shd w:val="clear" w:color="auto" w:fill="FFFFFF"/>
        </w:rPr>
        <w:t xml:space="preserve">, Woodworth </w:t>
      </w:r>
      <w:r w:rsidR="00AF365F" w:rsidRPr="007C68F1">
        <w:rPr>
          <w:shd w:val="clear" w:color="auto" w:fill="FFFFFF"/>
        </w:rPr>
        <w:t>offered</w:t>
      </w:r>
      <w:r w:rsidRPr="007C68F1">
        <w:rPr>
          <w:shd w:val="clear" w:color="auto" w:fill="FFFFFF"/>
        </w:rPr>
        <w:t xml:space="preserve"> a declaration from Kriegler, the same </w:t>
      </w:r>
      <w:r w:rsidRPr="007C68F1">
        <w:t>statistician on whom she relied in connection with the motion for summary adjudica</w:t>
      </w:r>
      <w:r w:rsidRPr="007C68F1">
        <w:t>tion on the rounding claim.</w:t>
      </w:r>
      <w:r w:rsidRPr="007C68F1">
        <w:rPr>
          <w:shd w:val="clear" w:color="auto" w:fill="FFFFFF"/>
        </w:rPr>
        <w:t xml:space="preserve"> </w:t>
      </w:r>
      <w:r w:rsidR="00546F36" w:rsidRPr="007C68F1">
        <w:rPr>
          <w:shd w:val="clear" w:color="auto" w:fill="FFFFFF"/>
        </w:rPr>
        <w:t xml:space="preserve"> </w:t>
      </w:r>
      <w:r w:rsidR="005E55E3" w:rsidRPr="007C68F1">
        <w:rPr>
          <w:shd w:val="clear" w:color="auto" w:fill="FFFFFF"/>
        </w:rPr>
        <w:t xml:space="preserve">Kriegler opined that the parties could randomly select class members to depose in increments of 25.  </w:t>
      </w:r>
      <w:r w:rsidR="00785C97" w:rsidRPr="007C68F1">
        <w:rPr>
          <w:shd w:val="clear" w:color="auto" w:fill="FFFFFF"/>
        </w:rPr>
        <w:t>The parties would analyze the testimony from the first 25 Rest Break Class members</w:t>
      </w:r>
      <w:r w:rsidR="00AC0B6F" w:rsidRPr="007C68F1">
        <w:rPr>
          <w:shd w:val="clear" w:color="auto" w:fill="FFFFFF"/>
        </w:rPr>
        <w:t xml:space="preserve"> to gauge whether the</w:t>
      </w:r>
      <w:r w:rsidR="002060C9" w:rsidRPr="007C68F1">
        <w:rPr>
          <w:shd w:val="clear" w:color="auto" w:fill="FFFFFF"/>
        </w:rPr>
        <w:t xml:space="preserve"> margins of error were sufficiently small</w:t>
      </w:r>
      <w:r w:rsidR="00620223" w:rsidRPr="007C68F1">
        <w:rPr>
          <w:shd w:val="clear" w:color="auto" w:fill="FFFFFF"/>
        </w:rPr>
        <w:t>.  I</w:t>
      </w:r>
      <w:r w:rsidR="00AC0B6F" w:rsidRPr="007C68F1">
        <w:rPr>
          <w:shd w:val="clear" w:color="auto" w:fill="FFFFFF"/>
        </w:rPr>
        <w:t xml:space="preserve">f </w:t>
      </w:r>
      <w:r w:rsidR="00620223" w:rsidRPr="007C68F1">
        <w:rPr>
          <w:shd w:val="clear" w:color="auto" w:fill="FFFFFF"/>
        </w:rPr>
        <w:t>the margins</w:t>
      </w:r>
      <w:r w:rsidR="00AC0B6F" w:rsidRPr="007C68F1">
        <w:rPr>
          <w:shd w:val="clear" w:color="auto" w:fill="FFFFFF"/>
        </w:rPr>
        <w:t xml:space="preserve"> were small enough,</w:t>
      </w:r>
      <w:r w:rsidR="00785C97" w:rsidRPr="007C68F1">
        <w:rPr>
          <w:shd w:val="clear" w:color="auto" w:fill="FFFFFF"/>
        </w:rPr>
        <w:t xml:space="preserve"> there would be no need for further depositions.  </w:t>
      </w:r>
      <w:r w:rsidR="00620223" w:rsidRPr="007C68F1">
        <w:rPr>
          <w:shd w:val="clear" w:color="auto" w:fill="FFFFFF"/>
        </w:rPr>
        <w:t>If they were not sufficiently small</w:t>
      </w:r>
      <w:r w:rsidR="00785C97" w:rsidRPr="007C68F1">
        <w:rPr>
          <w:shd w:val="clear" w:color="auto" w:fill="FFFFFF"/>
        </w:rPr>
        <w:t xml:space="preserve">, </w:t>
      </w:r>
      <w:r w:rsidR="00620223" w:rsidRPr="007C68F1">
        <w:rPr>
          <w:shd w:val="clear" w:color="auto" w:fill="FFFFFF"/>
        </w:rPr>
        <w:t>the parties</w:t>
      </w:r>
      <w:r w:rsidR="00785C97" w:rsidRPr="007C68F1">
        <w:rPr>
          <w:shd w:val="clear" w:color="auto" w:fill="FFFFFF"/>
        </w:rPr>
        <w:t xml:space="preserve"> would proceed with the next batch of 25 depositions.</w:t>
      </w:r>
      <w:r w:rsidR="000C7AC1" w:rsidRPr="007C68F1">
        <w:rPr>
          <w:shd w:val="clear" w:color="auto" w:fill="FFFFFF"/>
        </w:rPr>
        <w:t xml:space="preserve">  Kriegler provided calculations </w:t>
      </w:r>
      <w:r w:rsidR="002947EC" w:rsidRPr="007C68F1">
        <w:rPr>
          <w:shd w:val="clear" w:color="auto" w:fill="FFFFFF"/>
        </w:rPr>
        <w:t>for the margin of error under various hypothetical circumstances</w:t>
      </w:r>
      <w:r w:rsidR="00450AD3" w:rsidRPr="007C68F1">
        <w:rPr>
          <w:shd w:val="clear" w:color="auto" w:fill="FFFFFF"/>
        </w:rPr>
        <w:t>, using sample sizes ranging from 20 to 200 class members</w:t>
      </w:r>
      <w:r w:rsidR="004C3C90" w:rsidRPr="007C68F1">
        <w:rPr>
          <w:shd w:val="clear" w:color="auto" w:fill="FFFFFF"/>
        </w:rPr>
        <w:t>.</w:t>
      </w:r>
    </w:p>
    <w:p w14:paraId="60D0CF5B" w14:textId="77777777" w:rsidR="00DB26C9" w:rsidRPr="007C68F1" w:rsidRDefault="00D16B2E" w:rsidP="007D1009">
      <w:pPr>
        <w:spacing w:line="480" w:lineRule="auto"/>
        <w:ind w:firstLine="720"/>
        <w:rPr>
          <w:shd w:val="clear" w:color="auto" w:fill="FFFFFF"/>
        </w:rPr>
      </w:pPr>
      <w:r w:rsidRPr="007C68F1">
        <w:rPr>
          <w:shd w:val="clear" w:color="auto" w:fill="FFFFFF"/>
        </w:rPr>
        <w:lastRenderedPageBreak/>
        <w:t>In opposition, the medical center argued that c</w:t>
      </w:r>
      <w:r w:rsidRPr="007C68F1">
        <w:rPr>
          <w:shd w:val="clear" w:color="auto" w:fill="FFFFFF"/>
        </w:rPr>
        <w:t>ommon questions of law or fact did not predominate with respect to the Rest Break Class.</w:t>
      </w:r>
      <w:r w:rsidR="00DE7BCD" w:rsidRPr="007C68F1">
        <w:rPr>
          <w:shd w:val="clear" w:color="auto" w:fill="FFFFFF"/>
        </w:rPr>
        <w:t xml:space="preserve">  </w:t>
      </w:r>
      <w:r w:rsidR="0050468A" w:rsidRPr="007C68F1">
        <w:rPr>
          <w:shd w:val="clear" w:color="auto" w:fill="FFFFFF"/>
        </w:rPr>
        <w:t>As to the on</w:t>
      </w:r>
      <w:r w:rsidR="005746EB" w:rsidRPr="007C68F1">
        <w:rPr>
          <w:shd w:val="clear" w:color="auto" w:fill="FFFFFF"/>
        </w:rPr>
        <w:noBreakHyphen/>
      </w:r>
      <w:r w:rsidR="0050468A" w:rsidRPr="007C68F1">
        <w:rPr>
          <w:shd w:val="clear" w:color="auto" w:fill="FFFFFF"/>
        </w:rPr>
        <w:t xml:space="preserve">premises </w:t>
      </w:r>
      <w:r w:rsidR="006D4114" w:rsidRPr="007C68F1">
        <w:rPr>
          <w:shd w:val="clear" w:color="auto" w:fill="FFFFFF"/>
        </w:rPr>
        <w:t>class</w:t>
      </w:r>
      <w:r w:rsidR="0050468A" w:rsidRPr="007C68F1">
        <w:rPr>
          <w:shd w:val="clear" w:color="auto" w:fill="FFFFFF"/>
        </w:rPr>
        <w:t xml:space="preserve">, the medical center argued that </w:t>
      </w:r>
      <w:r w:rsidR="00440EC1" w:rsidRPr="007C68F1">
        <w:rPr>
          <w:shd w:val="clear" w:color="auto" w:fill="FFFFFF"/>
        </w:rPr>
        <w:t xml:space="preserve">the “expect[ation]” stated in the rest period policy was not a requirement, and </w:t>
      </w:r>
      <w:r w:rsidR="0050468A" w:rsidRPr="007C68F1">
        <w:rPr>
          <w:shd w:val="clear" w:color="auto" w:fill="FFFFFF"/>
        </w:rPr>
        <w:t xml:space="preserve">the vast majority of supervisors and employees did not interpret the policy </w:t>
      </w:r>
      <w:r w:rsidR="00F82875" w:rsidRPr="007C68F1">
        <w:rPr>
          <w:shd w:val="clear" w:color="auto" w:fill="FFFFFF"/>
        </w:rPr>
        <w:t>as requiring</w:t>
      </w:r>
      <w:r w:rsidR="0050468A" w:rsidRPr="007C68F1">
        <w:rPr>
          <w:shd w:val="clear" w:color="auto" w:fill="FFFFFF"/>
        </w:rPr>
        <w:t xml:space="preserve"> them to stay on premises.</w:t>
      </w:r>
      <w:r w:rsidR="00180379" w:rsidRPr="007C68F1">
        <w:rPr>
          <w:shd w:val="clear" w:color="auto" w:fill="FFFFFF"/>
        </w:rPr>
        <w:t xml:space="preserve">  It contended that proof of liability would requir</w:t>
      </w:r>
      <w:r w:rsidR="004C1B4D" w:rsidRPr="007C68F1">
        <w:rPr>
          <w:shd w:val="clear" w:color="auto" w:fill="FFFFFF"/>
        </w:rPr>
        <w:t>e</w:t>
      </w:r>
      <w:r w:rsidR="00180379" w:rsidRPr="007C68F1">
        <w:rPr>
          <w:shd w:val="clear" w:color="auto" w:fill="FFFFFF"/>
        </w:rPr>
        <w:t xml:space="preserve"> individualized evidence</w:t>
      </w:r>
      <w:r w:rsidR="004C1B4D" w:rsidRPr="007C68F1">
        <w:rPr>
          <w:shd w:val="clear" w:color="auto" w:fill="FFFFFF"/>
        </w:rPr>
        <w:t xml:space="preserve"> as to what supervisors communicated to employees</w:t>
      </w:r>
      <w:r w:rsidR="00AB23A5" w:rsidRPr="007C68F1">
        <w:rPr>
          <w:shd w:val="clear" w:color="auto" w:fill="FFFFFF"/>
        </w:rPr>
        <w:t xml:space="preserve"> and whether employees were actually prevented from leaving the premises when they wanted</w:t>
      </w:r>
      <w:r w:rsidR="004C1B4D" w:rsidRPr="007C68F1">
        <w:rPr>
          <w:shd w:val="clear" w:color="auto" w:fill="FFFFFF"/>
        </w:rPr>
        <w:t>.</w:t>
      </w:r>
      <w:r w:rsidR="00180379" w:rsidRPr="007C68F1">
        <w:rPr>
          <w:shd w:val="clear" w:color="auto" w:fill="FFFFFF"/>
        </w:rPr>
        <w:t xml:space="preserve"> </w:t>
      </w:r>
      <w:r w:rsidR="00440EC1" w:rsidRPr="007C68F1">
        <w:rPr>
          <w:shd w:val="clear" w:color="auto" w:fill="FFFFFF"/>
        </w:rPr>
        <w:t xml:space="preserve"> </w:t>
      </w:r>
      <w:r w:rsidR="00DE7BCD" w:rsidRPr="007C68F1">
        <w:rPr>
          <w:shd w:val="clear" w:color="auto" w:fill="FFFFFF"/>
        </w:rPr>
        <w:t xml:space="preserve">The medical center </w:t>
      </w:r>
      <w:r w:rsidR="0050468A" w:rsidRPr="007C68F1">
        <w:rPr>
          <w:shd w:val="clear" w:color="auto" w:fill="FFFFFF"/>
        </w:rPr>
        <w:t xml:space="preserve">offered a declaration from the executive director of benefits and compensation, who stated that the medical center </w:t>
      </w:r>
      <w:r w:rsidR="00DE7BCD" w:rsidRPr="007C68F1">
        <w:rPr>
          <w:shd w:val="clear" w:color="auto" w:fill="FFFFFF"/>
        </w:rPr>
        <w:t>does not track whether employees remain on premises during rest periods.</w:t>
      </w:r>
      <w:r w:rsidR="0050468A" w:rsidRPr="007C68F1">
        <w:rPr>
          <w:shd w:val="clear" w:color="auto" w:fill="FFFFFF"/>
        </w:rPr>
        <w:t xml:space="preserve"> </w:t>
      </w:r>
      <w:r w:rsidR="00440EC1" w:rsidRPr="007C68F1">
        <w:rPr>
          <w:shd w:val="clear" w:color="auto" w:fill="FFFFFF"/>
        </w:rPr>
        <w:t xml:space="preserve"> In addition, </w:t>
      </w:r>
      <w:r w:rsidRPr="007C68F1">
        <w:rPr>
          <w:shd w:val="clear" w:color="auto" w:fill="FFFFFF"/>
        </w:rPr>
        <w:t xml:space="preserve">most of </w:t>
      </w:r>
      <w:r w:rsidR="005746EB" w:rsidRPr="007C68F1">
        <w:rPr>
          <w:shd w:val="clear" w:color="auto" w:fill="FFFFFF"/>
        </w:rPr>
        <w:t>the</w:t>
      </w:r>
      <w:r w:rsidRPr="007C68F1">
        <w:rPr>
          <w:shd w:val="clear" w:color="auto" w:fill="FFFFFF"/>
        </w:rPr>
        <w:t xml:space="preserve"> </w:t>
      </w:r>
      <w:r w:rsidR="00440EC1" w:rsidRPr="007C68F1">
        <w:rPr>
          <w:shd w:val="clear" w:color="auto" w:fill="FFFFFF"/>
        </w:rPr>
        <w:t>putative class member</w:t>
      </w:r>
      <w:r w:rsidR="00620223" w:rsidRPr="007C68F1">
        <w:rPr>
          <w:shd w:val="clear" w:color="auto" w:fill="FFFFFF"/>
        </w:rPr>
        <w:t xml:space="preserve"> declarants st</w:t>
      </w:r>
      <w:r w:rsidR="005746EB" w:rsidRPr="007C68F1">
        <w:rPr>
          <w:shd w:val="clear" w:color="auto" w:fill="FFFFFF"/>
        </w:rPr>
        <w:t>ated</w:t>
      </w:r>
      <w:r w:rsidR="001D6377" w:rsidRPr="007C68F1">
        <w:rPr>
          <w:shd w:val="clear" w:color="auto" w:fill="FFFFFF"/>
        </w:rPr>
        <w:t xml:space="preserve"> </w:t>
      </w:r>
      <w:r w:rsidR="00180379" w:rsidRPr="007C68F1">
        <w:rPr>
          <w:shd w:val="clear" w:color="auto" w:fill="FFFFFF"/>
        </w:rPr>
        <w:t>that no one told them</w:t>
      </w:r>
      <w:r w:rsidR="00075C2F" w:rsidRPr="007C68F1">
        <w:rPr>
          <w:shd w:val="clear" w:color="auto" w:fill="FFFFFF"/>
        </w:rPr>
        <w:t xml:space="preserve"> </w:t>
      </w:r>
      <w:r w:rsidR="00620223" w:rsidRPr="007C68F1">
        <w:rPr>
          <w:shd w:val="clear" w:color="auto" w:fill="FFFFFF"/>
        </w:rPr>
        <w:t>about an on-premises requirement</w:t>
      </w:r>
      <w:r w:rsidR="001D6377" w:rsidRPr="007C68F1">
        <w:rPr>
          <w:shd w:val="clear" w:color="auto" w:fill="FFFFFF"/>
        </w:rPr>
        <w:t xml:space="preserve">.  </w:t>
      </w:r>
      <w:r w:rsidR="00C1093E" w:rsidRPr="007C68F1">
        <w:rPr>
          <w:shd w:val="clear" w:color="auto" w:fill="FFFFFF"/>
        </w:rPr>
        <w:t>A number of</w:t>
      </w:r>
      <w:r w:rsidR="00180379" w:rsidRPr="007C68F1">
        <w:rPr>
          <w:shd w:val="clear" w:color="auto" w:fill="FFFFFF"/>
        </w:rPr>
        <w:t xml:space="preserve"> them </w:t>
      </w:r>
      <w:r w:rsidR="002017C8" w:rsidRPr="007C68F1">
        <w:rPr>
          <w:shd w:val="clear" w:color="auto" w:fill="FFFFFF"/>
        </w:rPr>
        <w:t xml:space="preserve">also said </w:t>
      </w:r>
      <w:r w:rsidR="00180379" w:rsidRPr="007C68F1">
        <w:rPr>
          <w:shd w:val="clear" w:color="auto" w:fill="FFFFFF"/>
        </w:rPr>
        <w:t xml:space="preserve">that they were free to leave </w:t>
      </w:r>
      <w:r w:rsidR="002834EB" w:rsidRPr="007C68F1">
        <w:rPr>
          <w:shd w:val="clear" w:color="auto" w:fill="FFFFFF"/>
        </w:rPr>
        <w:t xml:space="preserve">or were not, in fact, required to stay on </w:t>
      </w:r>
      <w:r w:rsidR="00180379" w:rsidRPr="007C68F1">
        <w:rPr>
          <w:shd w:val="clear" w:color="auto" w:fill="FFFFFF"/>
        </w:rPr>
        <w:t xml:space="preserve">premises.  And a </w:t>
      </w:r>
      <w:r w:rsidRPr="007C68F1">
        <w:rPr>
          <w:shd w:val="clear" w:color="auto" w:fill="FFFFFF"/>
        </w:rPr>
        <w:t>number of them stated</w:t>
      </w:r>
      <w:r w:rsidR="001D6377" w:rsidRPr="007C68F1">
        <w:rPr>
          <w:shd w:val="clear" w:color="auto" w:fill="FFFFFF"/>
        </w:rPr>
        <w:t xml:space="preserve"> that </w:t>
      </w:r>
      <w:r w:rsidR="00075C2F" w:rsidRPr="007C68F1">
        <w:rPr>
          <w:shd w:val="clear" w:color="auto" w:fill="FFFFFF"/>
        </w:rPr>
        <w:t>they</w:t>
      </w:r>
      <w:r w:rsidR="001D6377" w:rsidRPr="007C68F1">
        <w:rPr>
          <w:shd w:val="clear" w:color="auto" w:fill="FFFFFF"/>
        </w:rPr>
        <w:t xml:space="preserve"> did not leave the </w:t>
      </w:r>
      <w:r w:rsidR="00075C2F" w:rsidRPr="007C68F1">
        <w:rPr>
          <w:shd w:val="clear" w:color="auto" w:fill="FFFFFF"/>
        </w:rPr>
        <w:t xml:space="preserve">medical center </w:t>
      </w:r>
      <w:r w:rsidR="001D6377" w:rsidRPr="007C68F1">
        <w:rPr>
          <w:shd w:val="clear" w:color="auto" w:fill="FFFFFF"/>
        </w:rPr>
        <w:t xml:space="preserve">because </w:t>
      </w:r>
      <w:r w:rsidR="00075C2F" w:rsidRPr="007C68F1">
        <w:rPr>
          <w:shd w:val="clear" w:color="auto" w:fill="FFFFFF"/>
        </w:rPr>
        <w:t xml:space="preserve">they </w:t>
      </w:r>
      <w:r w:rsidR="007A5786" w:rsidRPr="007C68F1">
        <w:rPr>
          <w:shd w:val="clear" w:color="auto" w:fill="FFFFFF"/>
        </w:rPr>
        <w:t xml:space="preserve">had </w:t>
      </w:r>
      <w:r w:rsidR="00075C2F" w:rsidRPr="007C68F1">
        <w:rPr>
          <w:shd w:val="clear" w:color="auto" w:fill="FFFFFF"/>
        </w:rPr>
        <w:t>only</w:t>
      </w:r>
      <w:r w:rsidR="00CB7354" w:rsidRPr="007C68F1">
        <w:rPr>
          <w:shd w:val="clear" w:color="auto" w:fill="FFFFFF"/>
        </w:rPr>
        <w:t xml:space="preserve"> 10 minutes</w:t>
      </w:r>
      <w:r w:rsidRPr="007C68F1">
        <w:rPr>
          <w:shd w:val="clear" w:color="auto" w:fill="FFFFFF"/>
        </w:rPr>
        <w:t xml:space="preserve"> for rest periods</w:t>
      </w:r>
      <w:r w:rsidR="00C1093E" w:rsidRPr="007C68F1">
        <w:rPr>
          <w:shd w:val="clear" w:color="auto" w:fill="FFFFFF"/>
        </w:rPr>
        <w:t xml:space="preserve"> or they did not want to leave</w:t>
      </w:r>
      <w:r w:rsidR="00CB7354" w:rsidRPr="007C68F1">
        <w:rPr>
          <w:shd w:val="clear" w:color="auto" w:fill="FFFFFF"/>
        </w:rPr>
        <w:t>.</w:t>
      </w:r>
      <w:r w:rsidR="001F775F" w:rsidRPr="007C68F1">
        <w:rPr>
          <w:shd w:val="clear" w:color="auto" w:fill="FFFFFF"/>
        </w:rPr>
        <w:t xml:space="preserve">  </w:t>
      </w:r>
      <w:r w:rsidRPr="007C68F1">
        <w:rPr>
          <w:shd w:val="clear" w:color="auto" w:fill="FFFFFF"/>
        </w:rPr>
        <w:t>At least one</w:t>
      </w:r>
      <w:r w:rsidR="00393DF1" w:rsidRPr="007C68F1">
        <w:rPr>
          <w:shd w:val="clear" w:color="auto" w:fill="FFFFFF"/>
        </w:rPr>
        <w:t xml:space="preserve"> supervisor </w:t>
      </w:r>
      <w:r w:rsidRPr="007C68F1">
        <w:rPr>
          <w:shd w:val="clear" w:color="auto" w:fill="FFFFFF"/>
        </w:rPr>
        <w:t>explained</w:t>
      </w:r>
      <w:r w:rsidR="00393DF1" w:rsidRPr="007C68F1">
        <w:rPr>
          <w:shd w:val="clear" w:color="auto" w:fill="FFFFFF"/>
        </w:rPr>
        <w:t xml:space="preserve"> that he never told employees that they could not leave the premises during rest periods; they were free to do whatever they pleased, so long as they returned to work by the end of the 10-minute rest period.</w:t>
      </w:r>
      <w:r w:rsidR="00091D97" w:rsidRPr="007C68F1">
        <w:rPr>
          <w:shd w:val="clear" w:color="auto" w:fill="FFFFFF"/>
        </w:rPr>
        <w:t xml:space="preserve"> </w:t>
      </w:r>
    </w:p>
    <w:p w14:paraId="45AFAE79" w14:textId="77777777" w:rsidR="00C56E39" w:rsidRPr="007C68F1" w:rsidRDefault="00D16B2E" w:rsidP="007D1009">
      <w:pPr>
        <w:spacing w:line="480" w:lineRule="auto"/>
        <w:ind w:firstLine="720"/>
        <w:rPr>
          <w:shd w:val="clear" w:color="auto" w:fill="FFFFFF"/>
        </w:rPr>
      </w:pPr>
      <w:r w:rsidRPr="007C68F1">
        <w:rPr>
          <w:shd w:val="clear" w:color="auto" w:fill="FFFFFF"/>
        </w:rPr>
        <w:t xml:space="preserve">Regarding the no-relief </w:t>
      </w:r>
      <w:r w:rsidR="006D4114" w:rsidRPr="007C68F1">
        <w:rPr>
          <w:shd w:val="clear" w:color="auto" w:fill="FFFFFF"/>
        </w:rPr>
        <w:t>class</w:t>
      </w:r>
      <w:r w:rsidRPr="007C68F1">
        <w:rPr>
          <w:shd w:val="clear" w:color="auto" w:fill="FFFFFF"/>
        </w:rPr>
        <w:t xml:space="preserve">, the </w:t>
      </w:r>
      <w:r w:rsidRPr="007C68F1">
        <w:rPr>
          <w:shd w:val="clear" w:color="auto" w:fill="FFFFFF"/>
        </w:rPr>
        <w:t xml:space="preserve">medical center </w:t>
      </w:r>
      <w:r w:rsidR="00F82875" w:rsidRPr="007C68F1">
        <w:rPr>
          <w:shd w:val="clear" w:color="auto" w:fill="FFFFFF"/>
        </w:rPr>
        <w:t xml:space="preserve">likewise argued that </w:t>
      </w:r>
      <w:r w:rsidR="00806B2E" w:rsidRPr="007C68F1">
        <w:rPr>
          <w:shd w:val="clear" w:color="auto" w:fill="FFFFFF"/>
        </w:rPr>
        <w:t>the theory would require an individualized inquiry, because there was no uniform policy or practice of failing to provide relief or rest periods.</w:t>
      </w:r>
      <w:r w:rsidR="004A035F" w:rsidRPr="007C68F1">
        <w:rPr>
          <w:shd w:val="clear" w:color="auto" w:fill="FFFFFF"/>
        </w:rPr>
        <w:t xml:space="preserve">  It again relied on the putative class member</w:t>
      </w:r>
      <w:r w:rsidR="00EE66BB" w:rsidRPr="007C68F1">
        <w:rPr>
          <w:shd w:val="clear" w:color="auto" w:fill="FFFFFF"/>
        </w:rPr>
        <w:t>s’</w:t>
      </w:r>
      <w:r w:rsidR="004A035F" w:rsidRPr="007C68F1">
        <w:rPr>
          <w:shd w:val="clear" w:color="auto" w:fill="FFFFFF"/>
        </w:rPr>
        <w:t xml:space="preserve"> declarations.</w:t>
      </w:r>
      <w:r w:rsidR="000D2257" w:rsidRPr="007C68F1">
        <w:rPr>
          <w:shd w:val="clear" w:color="auto" w:fill="FFFFFF"/>
        </w:rPr>
        <w:t xml:space="preserve"> </w:t>
      </w:r>
      <w:r w:rsidR="000171E5" w:rsidRPr="007C68F1">
        <w:rPr>
          <w:shd w:val="clear" w:color="auto" w:fill="FFFFFF"/>
        </w:rPr>
        <w:t xml:space="preserve"> </w:t>
      </w:r>
      <w:r w:rsidR="00AE1725" w:rsidRPr="007C68F1">
        <w:rPr>
          <w:shd w:val="clear" w:color="auto" w:fill="FFFFFF"/>
        </w:rPr>
        <w:t xml:space="preserve">Many </w:t>
      </w:r>
      <w:r w:rsidR="0026242F" w:rsidRPr="007C68F1">
        <w:rPr>
          <w:shd w:val="clear" w:color="auto" w:fill="FFFFFF"/>
        </w:rPr>
        <w:t xml:space="preserve">of the </w:t>
      </w:r>
      <w:r w:rsidR="00AE1725" w:rsidRPr="007C68F1">
        <w:rPr>
          <w:shd w:val="clear" w:color="auto" w:fill="FFFFFF"/>
        </w:rPr>
        <w:t xml:space="preserve">12-hour employees said that they </w:t>
      </w:r>
      <w:r w:rsidR="008665CA" w:rsidRPr="007C68F1">
        <w:rPr>
          <w:shd w:val="clear" w:color="auto" w:fill="FFFFFF"/>
        </w:rPr>
        <w:t>could</w:t>
      </w:r>
      <w:r w:rsidR="00CB7354" w:rsidRPr="007C68F1">
        <w:rPr>
          <w:shd w:val="clear" w:color="auto" w:fill="FFFFFF"/>
        </w:rPr>
        <w:t xml:space="preserve"> take</w:t>
      </w:r>
      <w:r w:rsidR="00AE1725" w:rsidRPr="007C68F1">
        <w:rPr>
          <w:shd w:val="clear" w:color="auto" w:fill="FFFFFF"/>
        </w:rPr>
        <w:t xml:space="preserve"> three rest periods</w:t>
      </w:r>
      <w:r w:rsidR="00A26AAC" w:rsidRPr="007C68F1">
        <w:rPr>
          <w:shd w:val="clear" w:color="auto" w:fill="FFFFFF"/>
        </w:rPr>
        <w:t xml:space="preserve"> if they wanted </w:t>
      </w:r>
      <w:r w:rsidR="00333ED3" w:rsidRPr="007C68F1">
        <w:rPr>
          <w:shd w:val="clear" w:color="auto" w:fill="FFFFFF"/>
        </w:rPr>
        <w:t>to do so</w:t>
      </w:r>
      <w:r w:rsidR="00AE1725" w:rsidRPr="007C68F1">
        <w:rPr>
          <w:shd w:val="clear" w:color="auto" w:fill="FFFFFF"/>
        </w:rPr>
        <w:t xml:space="preserve">, they </w:t>
      </w:r>
      <w:r w:rsidR="004919C1" w:rsidRPr="007C68F1">
        <w:rPr>
          <w:shd w:val="clear" w:color="auto" w:fill="FFFFFF"/>
        </w:rPr>
        <w:t>had</w:t>
      </w:r>
      <w:r w:rsidR="00AE1725" w:rsidRPr="007C68F1">
        <w:rPr>
          <w:shd w:val="clear" w:color="auto" w:fill="FFFFFF"/>
        </w:rPr>
        <w:t xml:space="preserve"> someone to </w:t>
      </w:r>
      <w:r w:rsidR="008B4A1C" w:rsidRPr="007C68F1">
        <w:rPr>
          <w:shd w:val="clear" w:color="auto" w:fill="FFFFFF"/>
        </w:rPr>
        <w:t>relieve</w:t>
      </w:r>
      <w:r w:rsidR="00AE1725" w:rsidRPr="007C68F1">
        <w:rPr>
          <w:shd w:val="clear" w:color="auto" w:fill="FFFFFF"/>
        </w:rPr>
        <w:t xml:space="preserve"> them while they </w:t>
      </w:r>
      <w:r w:rsidR="004919C1" w:rsidRPr="007C68F1">
        <w:rPr>
          <w:shd w:val="clear" w:color="auto" w:fill="FFFFFF"/>
        </w:rPr>
        <w:t>took</w:t>
      </w:r>
      <w:r w:rsidR="00AE1725" w:rsidRPr="007C68F1">
        <w:rPr>
          <w:shd w:val="clear" w:color="auto" w:fill="FFFFFF"/>
        </w:rPr>
        <w:t xml:space="preserve"> their break</w:t>
      </w:r>
      <w:r w:rsidR="00CB7354" w:rsidRPr="007C68F1">
        <w:rPr>
          <w:shd w:val="clear" w:color="auto" w:fill="FFFFFF"/>
        </w:rPr>
        <w:t>s</w:t>
      </w:r>
      <w:r w:rsidR="00AE1725" w:rsidRPr="007C68F1">
        <w:rPr>
          <w:shd w:val="clear" w:color="auto" w:fill="FFFFFF"/>
        </w:rPr>
        <w:t xml:space="preserve">, </w:t>
      </w:r>
      <w:r w:rsidR="001F775F" w:rsidRPr="007C68F1">
        <w:rPr>
          <w:shd w:val="clear" w:color="auto" w:fill="FFFFFF"/>
        </w:rPr>
        <w:t>or</w:t>
      </w:r>
      <w:r w:rsidR="00AE1725" w:rsidRPr="007C68F1">
        <w:rPr>
          <w:shd w:val="clear" w:color="auto" w:fill="FFFFFF"/>
        </w:rPr>
        <w:t xml:space="preserve"> </w:t>
      </w:r>
      <w:r w:rsidR="00AE1725" w:rsidRPr="007C68F1">
        <w:rPr>
          <w:shd w:val="clear" w:color="auto" w:fill="FFFFFF"/>
        </w:rPr>
        <w:lastRenderedPageBreak/>
        <w:t xml:space="preserve">they </w:t>
      </w:r>
      <w:r w:rsidR="00937104" w:rsidRPr="007C68F1">
        <w:rPr>
          <w:shd w:val="clear" w:color="auto" w:fill="FFFFFF"/>
        </w:rPr>
        <w:t>had</w:t>
      </w:r>
      <w:r w:rsidR="00AE1725" w:rsidRPr="007C68F1">
        <w:rPr>
          <w:shd w:val="clear" w:color="auto" w:fill="FFFFFF"/>
        </w:rPr>
        <w:t xml:space="preserve"> never been denied a rest period.  </w:t>
      </w:r>
      <w:r w:rsidR="009679D1" w:rsidRPr="007C68F1">
        <w:rPr>
          <w:shd w:val="clear" w:color="auto" w:fill="FFFFFF"/>
        </w:rPr>
        <w:t>Some</w:t>
      </w:r>
      <w:r w:rsidR="000A0AC2" w:rsidRPr="007C68F1">
        <w:rPr>
          <w:shd w:val="clear" w:color="auto" w:fill="FFFFFF"/>
        </w:rPr>
        <w:t xml:space="preserve"> of them</w:t>
      </w:r>
      <w:r w:rsidR="004A035F" w:rsidRPr="007C68F1">
        <w:rPr>
          <w:shd w:val="clear" w:color="auto" w:fill="FFFFFF"/>
        </w:rPr>
        <w:t xml:space="preserve"> said that they actually did take three rest periods</w:t>
      </w:r>
      <w:r w:rsidR="000A0AC2" w:rsidRPr="007C68F1">
        <w:rPr>
          <w:shd w:val="clear" w:color="auto" w:fill="FFFFFF"/>
        </w:rPr>
        <w:t xml:space="preserve"> some or all of the time</w:t>
      </w:r>
      <w:r w:rsidR="004A035F" w:rsidRPr="007C68F1">
        <w:rPr>
          <w:shd w:val="clear" w:color="auto" w:fill="FFFFFF"/>
        </w:rPr>
        <w:t>.</w:t>
      </w:r>
      <w:r w:rsidR="00333ED3" w:rsidRPr="007C68F1">
        <w:rPr>
          <w:shd w:val="clear" w:color="auto" w:fill="FFFFFF"/>
        </w:rPr>
        <w:t xml:space="preserve">  Many</w:t>
      </w:r>
      <w:r w:rsidR="00134746" w:rsidRPr="007C68F1">
        <w:rPr>
          <w:shd w:val="clear" w:color="auto" w:fill="FFFFFF"/>
        </w:rPr>
        <w:t xml:space="preserve"> of them</w:t>
      </w:r>
      <w:r w:rsidR="00333ED3" w:rsidRPr="007C68F1">
        <w:rPr>
          <w:shd w:val="clear" w:color="auto" w:fill="FFFFFF"/>
        </w:rPr>
        <w:t xml:space="preserve"> said that they often chose to skip one or more rest periods voluntarily.  </w:t>
      </w:r>
      <w:r w:rsidR="00BF6516" w:rsidRPr="007C68F1">
        <w:rPr>
          <w:shd w:val="clear" w:color="auto" w:fill="FFFFFF"/>
        </w:rPr>
        <w:t>Some</w:t>
      </w:r>
      <w:r w:rsidR="00333ED3" w:rsidRPr="007C68F1">
        <w:rPr>
          <w:shd w:val="clear" w:color="auto" w:fill="FFFFFF"/>
        </w:rPr>
        <w:t xml:space="preserve"> putative class members</w:t>
      </w:r>
      <w:r w:rsidR="00BF6516" w:rsidRPr="007C68F1">
        <w:rPr>
          <w:shd w:val="clear" w:color="auto" w:fill="FFFFFF"/>
        </w:rPr>
        <w:t xml:space="preserve"> described how certain employees were assigned to provide relief during rest </w:t>
      </w:r>
      <w:r w:rsidR="006A0352" w:rsidRPr="007C68F1">
        <w:rPr>
          <w:shd w:val="clear" w:color="auto" w:fill="FFFFFF"/>
        </w:rPr>
        <w:t>periods</w:t>
      </w:r>
      <w:r w:rsidR="00BF6516" w:rsidRPr="007C68F1">
        <w:rPr>
          <w:shd w:val="clear" w:color="auto" w:fill="FFFFFF"/>
        </w:rPr>
        <w:t xml:space="preserve">.  </w:t>
      </w:r>
      <w:r w:rsidRPr="007C68F1">
        <w:rPr>
          <w:shd w:val="clear" w:color="auto" w:fill="FFFFFF"/>
        </w:rPr>
        <w:t>Some</w:t>
      </w:r>
      <w:r w:rsidR="00BF6516" w:rsidRPr="007C68F1">
        <w:rPr>
          <w:shd w:val="clear" w:color="auto" w:fill="FFFFFF"/>
        </w:rPr>
        <w:t xml:space="preserve"> described how their unit used a </w:t>
      </w:r>
      <w:r w:rsidR="006A0352" w:rsidRPr="007C68F1">
        <w:rPr>
          <w:shd w:val="clear" w:color="auto" w:fill="FFFFFF"/>
        </w:rPr>
        <w:t>sign-up sheet to schedule</w:t>
      </w:r>
      <w:r w:rsidR="00BF6516" w:rsidRPr="007C68F1">
        <w:rPr>
          <w:shd w:val="clear" w:color="auto" w:fill="FFFFFF"/>
        </w:rPr>
        <w:t xml:space="preserve"> rest </w:t>
      </w:r>
      <w:r w:rsidR="006A0352" w:rsidRPr="007C68F1">
        <w:rPr>
          <w:shd w:val="clear" w:color="auto" w:fill="FFFFFF"/>
        </w:rPr>
        <w:t xml:space="preserve">periods </w:t>
      </w:r>
      <w:r w:rsidRPr="007C68F1">
        <w:rPr>
          <w:shd w:val="clear" w:color="auto" w:fill="FFFFFF"/>
        </w:rPr>
        <w:t>or how a supervisor created a sch</w:t>
      </w:r>
      <w:r w:rsidR="006A0352" w:rsidRPr="007C68F1">
        <w:rPr>
          <w:shd w:val="clear" w:color="auto" w:fill="FFFFFF"/>
        </w:rPr>
        <w:t xml:space="preserve">edule </w:t>
      </w:r>
      <w:r w:rsidRPr="007C68F1">
        <w:rPr>
          <w:shd w:val="clear" w:color="auto" w:fill="FFFFFF"/>
        </w:rPr>
        <w:t xml:space="preserve">for </w:t>
      </w:r>
      <w:r w:rsidR="006A0352" w:rsidRPr="007C68F1">
        <w:rPr>
          <w:shd w:val="clear" w:color="auto" w:fill="FFFFFF"/>
        </w:rPr>
        <w:t>rest periods</w:t>
      </w:r>
      <w:r w:rsidR="007A31FC" w:rsidRPr="007C68F1">
        <w:rPr>
          <w:shd w:val="clear" w:color="auto" w:fill="FFFFFF"/>
        </w:rPr>
        <w:t>.</w:t>
      </w:r>
      <w:r w:rsidRPr="007C68F1">
        <w:rPr>
          <w:shd w:val="clear" w:color="auto" w:fill="FFFFFF"/>
        </w:rPr>
        <w:t xml:space="preserve">  Others described a more informal process in which </w:t>
      </w:r>
      <w:r w:rsidR="007A31FC" w:rsidRPr="007C68F1">
        <w:rPr>
          <w:shd w:val="clear" w:color="auto" w:fill="FFFFFF"/>
        </w:rPr>
        <w:t>employees took their rest breaks whenever they wanted, so long as they had coverage at the time</w:t>
      </w:r>
      <w:r w:rsidR="00570D30" w:rsidRPr="007C68F1">
        <w:rPr>
          <w:shd w:val="clear" w:color="auto" w:fill="FFFFFF"/>
        </w:rPr>
        <w:t xml:space="preserve"> or notified their supervisors</w:t>
      </w:r>
      <w:r w:rsidR="007A31FC" w:rsidRPr="007C68F1">
        <w:rPr>
          <w:shd w:val="clear" w:color="auto" w:fill="FFFFFF"/>
        </w:rPr>
        <w:t>.</w:t>
      </w:r>
    </w:p>
    <w:p w14:paraId="7FC53EAE" w14:textId="77777777" w:rsidR="001358DA" w:rsidRPr="007C68F1" w:rsidRDefault="00D16B2E" w:rsidP="007D1009">
      <w:pPr>
        <w:spacing w:line="480" w:lineRule="auto"/>
        <w:ind w:firstLine="720"/>
        <w:rPr>
          <w:shd w:val="clear" w:color="auto" w:fill="FFFFFF"/>
        </w:rPr>
      </w:pPr>
      <w:r w:rsidRPr="007C68F1">
        <w:rPr>
          <w:shd w:val="clear" w:color="auto" w:fill="FFFFFF"/>
        </w:rPr>
        <w:t xml:space="preserve">The medical center </w:t>
      </w:r>
      <w:r w:rsidR="00160888" w:rsidRPr="007C68F1">
        <w:rPr>
          <w:shd w:val="clear" w:color="auto" w:fill="FFFFFF"/>
        </w:rPr>
        <w:t>also</w:t>
      </w:r>
      <w:r w:rsidRPr="007C68F1">
        <w:rPr>
          <w:shd w:val="clear" w:color="auto" w:fill="FFFFFF"/>
        </w:rPr>
        <w:t xml:space="preserve"> argued that </w:t>
      </w:r>
      <w:r w:rsidR="00160888" w:rsidRPr="007C68F1">
        <w:rPr>
          <w:shd w:val="clear" w:color="auto" w:fill="FFFFFF"/>
        </w:rPr>
        <w:t>Woodworth had not shown that the Rest Break Class was ascertainable.</w:t>
      </w:r>
      <w:r w:rsidR="00347585" w:rsidRPr="007C68F1">
        <w:rPr>
          <w:shd w:val="clear" w:color="auto" w:fill="FFFFFF"/>
        </w:rPr>
        <w:t xml:space="preserve">  She defined it as all patient care employees, but</w:t>
      </w:r>
      <w:r w:rsidR="00A152E0" w:rsidRPr="007C68F1">
        <w:rPr>
          <w:shd w:val="clear" w:color="auto" w:fill="FFFFFF"/>
        </w:rPr>
        <w:t xml:space="preserve"> according to the executive director of benefits and compensation, Woodworth’s</w:t>
      </w:r>
      <w:r w:rsidR="00347585" w:rsidRPr="007C68F1">
        <w:rPr>
          <w:shd w:val="clear" w:color="auto" w:fill="FFFFFF"/>
        </w:rPr>
        <w:t xml:space="preserve"> </w:t>
      </w:r>
      <w:r w:rsidR="007755CB" w:rsidRPr="007C68F1">
        <w:rPr>
          <w:shd w:val="clear" w:color="auto" w:fill="FFFFFF"/>
        </w:rPr>
        <w:t xml:space="preserve">73-page list of patient care job titles </w:t>
      </w:r>
      <w:r w:rsidR="00A152E0" w:rsidRPr="007C68F1">
        <w:rPr>
          <w:shd w:val="clear" w:color="auto" w:fill="FFFFFF"/>
        </w:rPr>
        <w:t>did not accurately identify patient care employees.  The list included whole departments that had nothing to do with patient care</w:t>
      </w:r>
      <w:r w:rsidR="006017EE" w:rsidRPr="007C68F1">
        <w:rPr>
          <w:shd w:val="clear" w:color="auto" w:fill="FFFFFF"/>
        </w:rPr>
        <w:t>, employees who did not provide patient care, or employees who might provide patient care on some days but not others.  Overall, there were hundreds of job titles on the list</w:t>
      </w:r>
      <w:r w:rsidRPr="007C68F1">
        <w:rPr>
          <w:shd w:val="clear" w:color="auto" w:fill="FFFFFF"/>
        </w:rPr>
        <w:t xml:space="preserve"> </w:t>
      </w:r>
      <w:r w:rsidR="006017EE" w:rsidRPr="007C68F1">
        <w:rPr>
          <w:shd w:val="clear" w:color="auto" w:fill="FFFFFF"/>
        </w:rPr>
        <w:t>that did not involve patient care at all or most of the time.  There was no</w:t>
      </w:r>
      <w:r w:rsidR="003E7D52" w:rsidRPr="007C68F1">
        <w:rPr>
          <w:shd w:val="clear" w:color="auto" w:fill="FFFFFF"/>
        </w:rPr>
        <w:t xml:space="preserve"> accurate</w:t>
      </w:r>
      <w:r w:rsidR="006017EE" w:rsidRPr="007C68F1">
        <w:rPr>
          <w:shd w:val="clear" w:color="auto" w:fill="FFFFFF"/>
        </w:rPr>
        <w:t>, existing list that identified patient care positions by job title and department.</w:t>
      </w:r>
      <w:r w:rsidR="003E7D52" w:rsidRPr="007C68F1">
        <w:rPr>
          <w:shd w:val="clear" w:color="auto" w:fill="FFFFFF"/>
        </w:rPr>
        <w:t xml:space="preserve">  The medical center argued that to develop an accurate list, the court would need to hear evidence on what hundreds of employees do.</w:t>
      </w:r>
    </w:p>
    <w:p w14:paraId="4D029A89" w14:textId="77777777" w:rsidR="008D45BA" w:rsidRPr="007C68F1" w:rsidRDefault="00D16B2E" w:rsidP="007D1009">
      <w:pPr>
        <w:spacing w:line="480" w:lineRule="auto"/>
        <w:ind w:firstLine="720"/>
        <w:rPr>
          <w:shd w:val="clear" w:color="auto" w:fill="FFFFFF"/>
        </w:rPr>
      </w:pPr>
      <w:r w:rsidRPr="007C68F1">
        <w:rPr>
          <w:shd w:val="clear" w:color="auto" w:fill="FFFFFF"/>
        </w:rPr>
        <w:t>The medical center further argued that Woodworth</w:t>
      </w:r>
      <w:r w:rsidR="00D77B5C" w:rsidRPr="007C68F1">
        <w:rPr>
          <w:shd w:val="clear" w:color="auto" w:fill="FFFFFF"/>
        </w:rPr>
        <w:t xml:space="preserve"> had no manageable</w:t>
      </w:r>
      <w:r w:rsidRPr="007C68F1">
        <w:rPr>
          <w:shd w:val="clear" w:color="auto" w:fill="FFFFFF"/>
        </w:rPr>
        <w:t xml:space="preserve"> trial plan </w:t>
      </w:r>
      <w:r w:rsidR="00D77B5C" w:rsidRPr="007C68F1">
        <w:rPr>
          <w:shd w:val="clear" w:color="auto" w:fill="FFFFFF"/>
        </w:rPr>
        <w:t xml:space="preserve">for dealing with the individual issues raised by both </w:t>
      </w:r>
      <w:r w:rsidR="005D0925" w:rsidRPr="007C68F1">
        <w:rPr>
          <w:shd w:val="clear" w:color="auto" w:fill="FFFFFF"/>
        </w:rPr>
        <w:t>the on-premises and the no-relief classes</w:t>
      </w:r>
      <w:r w:rsidR="00D77B5C" w:rsidRPr="007C68F1">
        <w:rPr>
          <w:shd w:val="clear" w:color="auto" w:fill="FFFFFF"/>
        </w:rPr>
        <w:t>.</w:t>
      </w:r>
      <w:r w:rsidR="00D55578" w:rsidRPr="007C68F1">
        <w:rPr>
          <w:shd w:val="clear" w:color="auto" w:fill="FFFFFF"/>
        </w:rPr>
        <w:t xml:space="preserve">  It asserted that her plan to randomly sample class members for deposition was </w:t>
      </w:r>
      <w:r w:rsidR="00D55578" w:rsidRPr="007C68F1">
        <w:rPr>
          <w:shd w:val="clear" w:color="auto" w:fill="FFFFFF"/>
        </w:rPr>
        <w:lastRenderedPageBreak/>
        <w:t>not statistically valid.</w:t>
      </w:r>
      <w:r w:rsidR="0035205A" w:rsidRPr="007C68F1">
        <w:rPr>
          <w:shd w:val="clear" w:color="auto" w:fill="FFFFFF"/>
        </w:rPr>
        <w:t xml:space="preserve">  The medical center offered the declaration of the </w:t>
      </w:r>
      <w:r w:rsidR="0035205A" w:rsidRPr="007C68F1">
        <w:t>applied economist, Buchanan, on whom it had relied in connection with the motion for summary adjudication on the rounding claim.</w:t>
      </w:r>
      <w:r w:rsidR="004E6F86" w:rsidRPr="007C68F1">
        <w:t xml:space="preserve">  </w:t>
      </w:r>
      <w:r w:rsidR="009576C4" w:rsidRPr="007C68F1">
        <w:t xml:space="preserve">Applying a mathematical formula, </w:t>
      </w:r>
      <w:r w:rsidR="004E6F86" w:rsidRPr="007C68F1">
        <w:t xml:space="preserve">Buchanan </w:t>
      </w:r>
      <w:r w:rsidR="00146E98" w:rsidRPr="007C68F1">
        <w:t>calculated</w:t>
      </w:r>
      <w:r w:rsidR="004E6F86" w:rsidRPr="007C68F1">
        <w:t xml:space="preserve"> </w:t>
      </w:r>
      <w:r w:rsidR="001E6EEF" w:rsidRPr="007C68F1">
        <w:t xml:space="preserve">that the parties would have to depose at least 365 randomly selected class members to get a correct </w:t>
      </w:r>
      <w:r w:rsidR="004E6F86" w:rsidRPr="007C68F1">
        <w:t xml:space="preserve">sample size for a homogenous population of 7,083 </w:t>
      </w:r>
      <w:r w:rsidR="001E6EEF" w:rsidRPr="007C68F1">
        <w:t>people</w:t>
      </w:r>
      <w:r w:rsidR="004E6F86" w:rsidRPr="007C68F1">
        <w:t xml:space="preserve">, assuming a confidence level of 95 percent and </w:t>
      </w:r>
      <w:r w:rsidR="001E6EEF" w:rsidRPr="007C68F1">
        <w:t>an</w:t>
      </w:r>
      <w:r w:rsidR="004E6F86" w:rsidRPr="007C68F1">
        <w:t xml:space="preserve"> error tolerance of </w:t>
      </w:r>
      <w:r w:rsidR="00C60959" w:rsidRPr="007C68F1">
        <w:t xml:space="preserve">5 </w:t>
      </w:r>
      <w:r w:rsidR="001E6EEF" w:rsidRPr="007C68F1">
        <w:t>percent</w:t>
      </w:r>
      <w:r w:rsidR="004E6F86" w:rsidRPr="007C68F1">
        <w:t>.</w:t>
      </w:r>
      <w:r w:rsidR="00962E6C" w:rsidRPr="007C68F1">
        <w:rPr>
          <w:shd w:val="clear" w:color="auto" w:fill="FFFFFF"/>
        </w:rPr>
        <w:t xml:space="preserve">  The medical center argued that Kriegler provided no statistical basis for his claim that</w:t>
      </w:r>
      <w:r w:rsidRPr="007C68F1">
        <w:rPr>
          <w:shd w:val="clear" w:color="auto" w:fill="FFFFFF"/>
        </w:rPr>
        <w:t>,</w:t>
      </w:r>
      <w:r w:rsidR="00962E6C" w:rsidRPr="007C68F1">
        <w:rPr>
          <w:shd w:val="clear" w:color="auto" w:fill="FFFFFF"/>
        </w:rPr>
        <w:t xml:space="preserve"> at most, 200 depositions would be required</w:t>
      </w:r>
      <w:r w:rsidRPr="007C68F1">
        <w:rPr>
          <w:shd w:val="clear" w:color="auto" w:fill="FFFFFF"/>
        </w:rPr>
        <w:t>, nor had he provided a basis for starting with an initial sample size of 25</w:t>
      </w:r>
      <w:r w:rsidR="00962E6C" w:rsidRPr="007C68F1">
        <w:rPr>
          <w:shd w:val="clear" w:color="auto" w:fill="FFFFFF"/>
        </w:rPr>
        <w:t xml:space="preserve">.  Moreover, </w:t>
      </w:r>
      <w:r w:rsidR="009679D1" w:rsidRPr="007C68F1">
        <w:rPr>
          <w:shd w:val="clear" w:color="auto" w:fill="FFFFFF"/>
        </w:rPr>
        <w:t xml:space="preserve">it argued, Woodworth had offered no evidence that the Rest Break Class members </w:t>
      </w:r>
      <w:r w:rsidR="00B83326" w:rsidRPr="007C68F1">
        <w:rPr>
          <w:shd w:val="clear" w:color="auto" w:fill="FFFFFF"/>
        </w:rPr>
        <w:t>were a homogenous population</w:t>
      </w:r>
      <w:r w:rsidR="009679D1" w:rsidRPr="007C68F1">
        <w:rPr>
          <w:shd w:val="clear" w:color="auto" w:fill="FFFFFF"/>
        </w:rPr>
        <w:t xml:space="preserve">, whereas the putative class members’ declarations </w:t>
      </w:r>
      <w:r w:rsidR="002017C8" w:rsidRPr="007C68F1">
        <w:rPr>
          <w:shd w:val="clear" w:color="auto" w:fill="FFFFFF"/>
        </w:rPr>
        <w:t>suggested</w:t>
      </w:r>
      <w:r w:rsidR="009679D1" w:rsidRPr="007C68F1">
        <w:rPr>
          <w:shd w:val="clear" w:color="auto" w:fill="FFFFFF"/>
        </w:rPr>
        <w:t xml:space="preserve"> that the hundreds of different types of employees in the class would have different rest period experiences.</w:t>
      </w:r>
    </w:p>
    <w:p w14:paraId="77EF6763" w14:textId="77777777" w:rsidR="00B81814" w:rsidRPr="007C68F1" w:rsidRDefault="00D16B2E" w:rsidP="007D1009">
      <w:pPr>
        <w:spacing w:line="480" w:lineRule="auto"/>
        <w:ind w:firstLine="720"/>
        <w:rPr>
          <w:shd w:val="clear" w:color="auto" w:fill="FFFFFF"/>
        </w:rPr>
      </w:pPr>
      <w:r w:rsidRPr="007C68F1">
        <w:rPr>
          <w:shd w:val="clear" w:color="auto" w:fill="FFFFFF"/>
        </w:rPr>
        <w:t>In her reply brief, Wo</w:t>
      </w:r>
      <w:r w:rsidRPr="007C68F1">
        <w:rPr>
          <w:shd w:val="clear" w:color="auto" w:fill="FFFFFF"/>
        </w:rPr>
        <w:t xml:space="preserve">odworth narrowed the </w:t>
      </w:r>
      <w:r w:rsidR="005D0925" w:rsidRPr="007C68F1">
        <w:rPr>
          <w:shd w:val="clear" w:color="auto" w:fill="FFFFFF"/>
        </w:rPr>
        <w:t xml:space="preserve">definition of the </w:t>
      </w:r>
      <w:r w:rsidRPr="007C68F1">
        <w:rPr>
          <w:shd w:val="clear" w:color="auto" w:fill="FFFFFF"/>
        </w:rPr>
        <w:t>Rest Break Class</w:t>
      </w:r>
      <w:r w:rsidR="004E13C4" w:rsidRPr="007C68F1">
        <w:rPr>
          <w:shd w:val="clear" w:color="auto" w:fill="FFFFFF"/>
        </w:rPr>
        <w:t>, proposing two alternatives</w:t>
      </w:r>
      <w:r w:rsidR="00855964" w:rsidRPr="007C68F1">
        <w:rPr>
          <w:shd w:val="clear" w:color="auto" w:fill="FFFFFF"/>
        </w:rPr>
        <w:t>.</w:t>
      </w:r>
      <w:r w:rsidRPr="007C68F1">
        <w:rPr>
          <w:shd w:val="clear" w:color="auto" w:fill="FFFFFF"/>
        </w:rPr>
        <w:t xml:space="preserve"> </w:t>
      </w:r>
      <w:r w:rsidR="004E13C4" w:rsidRPr="007C68F1">
        <w:rPr>
          <w:shd w:val="clear" w:color="auto" w:fill="FFFFFF"/>
        </w:rPr>
        <w:t xml:space="preserve"> The first option was </w:t>
      </w:r>
      <w:r w:rsidR="00373652" w:rsidRPr="007C68F1">
        <w:rPr>
          <w:shd w:val="clear" w:color="auto" w:fill="FFFFFF"/>
        </w:rPr>
        <w:t xml:space="preserve">all </w:t>
      </w:r>
      <w:r w:rsidRPr="007C68F1">
        <w:rPr>
          <w:shd w:val="clear" w:color="auto" w:fill="FFFFFF"/>
        </w:rPr>
        <w:t>patient care employees who worked</w:t>
      </w:r>
      <w:r w:rsidR="00C60959" w:rsidRPr="007C68F1">
        <w:rPr>
          <w:shd w:val="clear" w:color="auto" w:fill="FFFFFF"/>
        </w:rPr>
        <w:t xml:space="preserve"> only</w:t>
      </w:r>
      <w:r w:rsidRPr="007C68F1">
        <w:rPr>
          <w:shd w:val="clear" w:color="auto" w:fill="FFFFFF"/>
        </w:rPr>
        <w:t xml:space="preserve"> 12-hour shifts.</w:t>
      </w:r>
      <w:r w:rsidR="000D51FA" w:rsidRPr="007C68F1">
        <w:rPr>
          <w:shd w:val="clear" w:color="auto" w:fill="FFFFFF"/>
        </w:rPr>
        <w:t xml:space="preserve">  Using her 73-page list of patient care positions, </w:t>
      </w:r>
      <w:r w:rsidR="004E13C4" w:rsidRPr="007C68F1">
        <w:rPr>
          <w:shd w:val="clear" w:color="auto" w:fill="FFFFFF"/>
        </w:rPr>
        <w:t xml:space="preserve">she narrowed the </w:t>
      </w:r>
      <w:r w:rsidR="000D51FA" w:rsidRPr="007C68F1">
        <w:rPr>
          <w:shd w:val="clear" w:color="auto" w:fill="FFFFFF"/>
        </w:rPr>
        <w:t>class down to 4,584 members fitting that description.</w:t>
      </w:r>
      <w:r w:rsidR="004E13C4" w:rsidRPr="007C68F1">
        <w:rPr>
          <w:shd w:val="clear" w:color="auto" w:fill="FFFFFF"/>
        </w:rPr>
        <w:t xml:space="preserve">  The second option was patient care employees who were registered nurses and worked </w:t>
      </w:r>
      <w:r w:rsidR="00C60959" w:rsidRPr="007C68F1">
        <w:rPr>
          <w:shd w:val="clear" w:color="auto" w:fill="FFFFFF"/>
        </w:rPr>
        <w:t xml:space="preserve">only </w:t>
      </w:r>
      <w:r w:rsidR="004E13C4" w:rsidRPr="007C68F1">
        <w:rPr>
          <w:shd w:val="clear" w:color="auto" w:fill="FFFFFF"/>
        </w:rPr>
        <w:t>12-hour shifts.  She did not specify how many people would be in that second alternative class.</w:t>
      </w:r>
      <w:r w:rsidR="00A620C9" w:rsidRPr="007C68F1">
        <w:rPr>
          <w:shd w:val="clear" w:color="auto" w:fill="FFFFFF"/>
        </w:rPr>
        <w:t xml:space="preserve">  </w:t>
      </w:r>
    </w:p>
    <w:p w14:paraId="365E3734" w14:textId="77777777" w:rsidR="00A620C9" w:rsidRPr="007C68F1" w:rsidRDefault="00D16B2E" w:rsidP="007D1009">
      <w:pPr>
        <w:spacing w:line="480" w:lineRule="auto"/>
        <w:ind w:firstLine="720"/>
        <w:rPr>
          <w:shd w:val="clear" w:color="auto" w:fill="FFFFFF"/>
        </w:rPr>
      </w:pPr>
      <w:r w:rsidRPr="007C68F1">
        <w:rPr>
          <w:shd w:val="clear" w:color="auto" w:fill="FFFFFF"/>
        </w:rPr>
        <w:t xml:space="preserve">Woodworth continued to argue that the legality of the on-premises rest break policy presented a </w:t>
      </w:r>
      <w:r w:rsidR="00373652" w:rsidRPr="007C68F1">
        <w:rPr>
          <w:shd w:val="clear" w:color="auto" w:fill="FFFFFF"/>
        </w:rPr>
        <w:t xml:space="preserve">predominant </w:t>
      </w:r>
      <w:r w:rsidRPr="007C68F1">
        <w:rPr>
          <w:shd w:val="clear" w:color="auto" w:fill="FFFFFF"/>
        </w:rPr>
        <w:t xml:space="preserve">common question </w:t>
      </w:r>
      <w:r w:rsidR="00E317DE" w:rsidRPr="007C68F1">
        <w:rPr>
          <w:shd w:val="clear" w:color="auto" w:fill="FFFFFF"/>
        </w:rPr>
        <w:t>warranting</w:t>
      </w:r>
      <w:r w:rsidRPr="007C68F1">
        <w:rPr>
          <w:shd w:val="clear" w:color="auto" w:fill="FFFFFF"/>
        </w:rPr>
        <w:t xml:space="preserve"> certification.</w:t>
      </w:r>
      <w:r w:rsidR="00094D3D" w:rsidRPr="007C68F1">
        <w:rPr>
          <w:shd w:val="clear" w:color="auto" w:fill="FFFFFF"/>
        </w:rPr>
        <w:t xml:space="preserve">  </w:t>
      </w:r>
      <w:r w:rsidRPr="007C68F1">
        <w:rPr>
          <w:shd w:val="clear" w:color="auto" w:fill="FFFFFF"/>
        </w:rPr>
        <w:t>She further argued that the medical center had a sy</w:t>
      </w:r>
      <w:r w:rsidRPr="007C68F1">
        <w:rPr>
          <w:shd w:val="clear" w:color="auto" w:fill="FFFFFF"/>
        </w:rPr>
        <w:t>stematic practice of failing to provide 12</w:t>
      </w:r>
      <w:r w:rsidR="000B1560" w:rsidRPr="007C68F1">
        <w:rPr>
          <w:shd w:val="clear" w:color="auto" w:fill="FFFFFF"/>
        </w:rPr>
        <w:t>-</w:t>
      </w:r>
      <w:r w:rsidRPr="007C68F1">
        <w:rPr>
          <w:shd w:val="clear" w:color="auto" w:fill="FFFFFF"/>
        </w:rPr>
        <w:t xml:space="preserve">hour patient care employees with relief </w:t>
      </w:r>
      <w:r w:rsidR="00094D3D" w:rsidRPr="007C68F1">
        <w:rPr>
          <w:shd w:val="clear" w:color="auto" w:fill="FFFFFF"/>
        </w:rPr>
        <w:t>personnel</w:t>
      </w:r>
      <w:r w:rsidRPr="007C68F1">
        <w:rPr>
          <w:shd w:val="clear" w:color="auto" w:fill="FFFFFF"/>
        </w:rPr>
        <w:t xml:space="preserve"> and </w:t>
      </w:r>
      <w:r w:rsidR="009576C4" w:rsidRPr="007C68F1">
        <w:rPr>
          <w:shd w:val="clear" w:color="auto" w:fill="FFFFFF"/>
        </w:rPr>
        <w:t xml:space="preserve">that </w:t>
      </w:r>
      <w:r w:rsidR="00080987" w:rsidRPr="007C68F1">
        <w:rPr>
          <w:shd w:val="clear" w:color="auto" w:fill="FFFFFF"/>
        </w:rPr>
        <w:t xml:space="preserve">damages could be resolved through </w:t>
      </w:r>
      <w:r w:rsidR="00080987" w:rsidRPr="007C68F1">
        <w:rPr>
          <w:shd w:val="clear" w:color="auto" w:fill="FFFFFF"/>
        </w:rPr>
        <w:lastRenderedPageBreak/>
        <w:t xml:space="preserve">Kriegler’s random sampling method.  </w:t>
      </w:r>
      <w:r w:rsidR="00094D3D" w:rsidRPr="007C68F1">
        <w:rPr>
          <w:shd w:val="clear" w:color="auto" w:fill="FFFFFF"/>
        </w:rPr>
        <w:t>She</w:t>
      </w:r>
      <w:r w:rsidR="00080987" w:rsidRPr="007C68F1">
        <w:rPr>
          <w:shd w:val="clear" w:color="auto" w:fill="FFFFFF"/>
        </w:rPr>
        <w:t xml:space="preserve"> submitted a reply declaration</w:t>
      </w:r>
      <w:r w:rsidR="00094D3D" w:rsidRPr="007C68F1">
        <w:rPr>
          <w:shd w:val="clear" w:color="auto" w:fill="FFFFFF"/>
        </w:rPr>
        <w:t xml:space="preserve"> from Kriegler</w:t>
      </w:r>
      <w:r w:rsidR="00C37B42" w:rsidRPr="007C68F1">
        <w:rPr>
          <w:shd w:val="clear" w:color="auto" w:fill="FFFFFF"/>
        </w:rPr>
        <w:t xml:space="preserve"> </w:t>
      </w:r>
      <w:r w:rsidR="0065003A" w:rsidRPr="007C68F1">
        <w:rPr>
          <w:shd w:val="clear" w:color="auto" w:fill="FFFFFF"/>
        </w:rPr>
        <w:t>stating that he had reviewed the putative class member</w:t>
      </w:r>
      <w:r w:rsidR="00C60959" w:rsidRPr="007C68F1">
        <w:rPr>
          <w:shd w:val="clear" w:color="auto" w:fill="FFFFFF"/>
        </w:rPr>
        <w:t>s’</w:t>
      </w:r>
      <w:r w:rsidR="0065003A" w:rsidRPr="007C68F1">
        <w:rPr>
          <w:shd w:val="clear" w:color="auto" w:fill="FFFFFF"/>
        </w:rPr>
        <w:t xml:space="preserve"> declarations and the testimony of the </w:t>
      </w:r>
      <w:r w:rsidR="00C60959" w:rsidRPr="007C68F1">
        <w:rPr>
          <w:shd w:val="clear" w:color="auto" w:fill="FFFFFF"/>
        </w:rPr>
        <w:t xml:space="preserve">10 </w:t>
      </w:r>
      <w:r w:rsidR="0065003A" w:rsidRPr="007C68F1">
        <w:rPr>
          <w:shd w:val="clear" w:color="auto" w:fill="FFFFFF"/>
        </w:rPr>
        <w:t>deponents from that group</w:t>
      </w:r>
      <w:r w:rsidR="00F00519" w:rsidRPr="007C68F1">
        <w:rPr>
          <w:shd w:val="clear" w:color="auto" w:fill="FFFFFF"/>
        </w:rPr>
        <w:t xml:space="preserve">.  On the basis of that </w:t>
      </w:r>
      <w:r w:rsidR="006C011B" w:rsidRPr="007C68F1">
        <w:rPr>
          <w:shd w:val="clear" w:color="auto" w:fill="FFFFFF"/>
        </w:rPr>
        <w:t>information</w:t>
      </w:r>
      <w:r w:rsidR="00F00519" w:rsidRPr="007C68F1">
        <w:rPr>
          <w:shd w:val="clear" w:color="auto" w:fill="FFFFFF"/>
        </w:rPr>
        <w:t>, he estimated that the class members missed their third rest period at a rate of between 60 and 80 percent.</w:t>
      </w:r>
    </w:p>
    <w:p w14:paraId="577891A4" w14:textId="77777777" w:rsidR="008C5438" w:rsidRPr="007C68F1" w:rsidRDefault="00D16B2E" w:rsidP="007D1009">
      <w:pPr>
        <w:spacing w:line="480" w:lineRule="auto"/>
        <w:rPr>
          <w:shd w:val="clear" w:color="auto" w:fill="FFFFFF"/>
        </w:rPr>
      </w:pPr>
      <w:r w:rsidRPr="007C68F1">
        <w:rPr>
          <w:shd w:val="clear" w:color="auto" w:fill="FFFFFF"/>
        </w:rPr>
        <w:tab/>
        <w:t xml:space="preserve">The court denied </w:t>
      </w:r>
      <w:r w:rsidRPr="007C68F1">
        <w:rPr>
          <w:shd w:val="clear" w:color="auto" w:fill="FFFFFF"/>
        </w:rPr>
        <w:t>certification of the Rest Break Class.</w:t>
      </w:r>
      <w:r w:rsidR="00936773" w:rsidRPr="007C68F1">
        <w:rPr>
          <w:shd w:val="clear" w:color="auto" w:fill="FFFFFF"/>
        </w:rPr>
        <w:t xml:space="preserve">  </w:t>
      </w:r>
      <w:r w:rsidR="00F74D55" w:rsidRPr="007C68F1">
        <w:rPr>
          <w:shd w:val="clear" w:color="auto" w:fill="FFFFFF"/>
        </w:rPr>
        <w:t>As to the</w:t>
      </w:r>
      <w:r w:rsidR="005D0925" w:rsidRPr="007C68F1">
        <w:rPr>
          <w:shd w:val="clear" w:color="auto" w:fill="FFFFFF"/>
        </w:rPr>
        <w:t xml:space="preserve"> proposed</w:t>
      </w:r>
      <w:r w:rsidR="00F74D55" w:rsidRPr="007C68F1">
        <w:rPr>
          <w:shd w:val="clear" w:color="auto" w:fill="FFFFFF"/>
        </w:rPr>
        <w:t xml:space="preserve"> on-premises </w:t>
      </w:r>
      <w:r w:rsidR="005D0925" w:rsidRPr="007C68F1">
        <w:rPr>
          <w:shd w:val="clear" w:color="auto" w:fill="FFFFFF"/>
        </w:rPr>
        <w:t>class</w:t>
      </w:r>
      <w:r w:rsidR="00F74D55" w:rsidRPr="007C68F1">
        <w:rPr>
          <w:shd w:val="clear" w:color="auto" w:fill="FFFFFF"/>
        </w:rPr>
        <w:t xml:space="preserve">, </w:t>
      </w:r>
      <w:r w:rsidR="0029435F" w:rsidRPr="007C68F1">
        <w:rPr>
          <w:shd w:val="clear" w:color="auto" w:fill="FFFFFF"/>
        </w:rPr>
        <w:t>t</w:t>
      </w:r>
      <w:r w:rsidR="006C011B" w:rsidRPr="007C68F1">
        <w:rPr>
          <w:shd w:val="clear" w:color="auto" w:fill="FFFFFF"/>
        </w:rPr>
        <w:t>he court</w:t>
      </w:r>
      <w:r w:rsidR="004F4E59" w:rsidRPr="007C68F1">
        <w:rPr>
          <w:shd w:val="clear" w:color="auto" w:fill="FFFFFF"/>
        </w:rPr>
        <w:t>’s order was somewhat unclear</w:t>
      </w:r>
      <w:r w:rsidR="00CD042C" w:rsidRPr="007C68F1">
        <w:rPr>
          <w:shd w:val="clear" w:color="auto" w:fill="FFFFFF"/>
        </w:rPr>
        <w:t xml:space="preserve"> on the predominance element.</w:t>
      </w:r>
      <w:r w:rsidR="004F4E59" w:rsidRPr="007C68F1">
        <w:rPr>
          <w:shd w:val="clear" w:color="auto" w:fill="FFFFFF"/>
        </w:rPr>
        <w:t xml:space="preserve">  In the section of the order addressing </w:t>
      </w:r>
      <w:r w:rsidR="00CD042C" w:rsidRPr="007C68F1">
        <w:rPr>
          <w:shd w:val="clear" w:color="auto" w:fill="FFFFFF"/>
        </w:rPr>
        <w:t>that element</w:t>
      </w:r>
      <w:r w:rsidR="004F4E59" w:rsidRPr="007C68F1">
        <w:rPr>
          <w:shd w:val="clear" w:color="auto" w:fill="FFFFFF"/>
        </w:rPr>
        <w:t xml:space="preserve">, the court noted that Woodworth based her theory </w:t>
      </w:r>
      <w:r w:rsidR="001005FD" w:rsidRPr="007C68F1">
        <w:rPr>
          <w:shd w:val="clear" w:color="auto" w:fill="FFFFFF"/>
        </w:rPr>
        <w:t xml:space="preserve">of liability </w:t>
      </w:r>
      <w:r w:rsidR="004F4E59" w:rsidRPr="007C68F1">
        <w:rPr>
          <w:shd w:val="clear" w:color="auto" w:fill="FFFFFF"/>
        </w:rPr>
        <w:t>on the on-premises policy</w:t>
      </w:r>
      <w:r w:rsidR="004B0B03" w:rsidRPr="007C68F1">
        <w:rPr>
          <w:shd w:val="clear" w:color="auto" w:fill="FFFFFF"/>
        </w:rPr>
        <w:t>.</w:t>
      </w:r>
      <w:r w:rsidR="004F4E59" w:rsidRPr="007C68F1">
        <w:rPr>
          <w:shd w:val="clear" w:color="auto" w:fill="FFFFFF"/>
        </w:rPr>
        <w:t xml:space="preserve">  </w:t>
      </w:r>
      <w:r w:rsidR="00AE29DC" w:rsidRPr="007C68F1">
        <w:rPr>
          <w:shd w:val="clear" w:color="auto" w:fill="FFFFFF"/>
        </w:rPr>
        <w:t xml:space="preserve">But </w:t>
      </w:r>
      <w:r w:rsidR="00CD042C" w:rsidRPr="007C68F1">
        <w:rPr>
          <w:shd w:val="clear" w:color="auto" w:fill="FFFFFF"/>
        </w:rPr>
        <w:t>it</w:t>
      </w:r>
      <w:r w:rsidR="00AE29DC" w:rsidRPr="007C68F1">
        <w:rPr>
          <w:shd w:val="clear" w:color="auto" w:fill="FFFFFF"/>
        </w:rPr>
        <w:t xml:space="preserve"> did not expressly decide whether common questions predominated for the on-premises class</w:t>
      </w:r>
      <w:r w:rsidR="0029435F" w:rsidRPr="007C68F1">
        <w:rPr>
          <w:shd w:val="clear" w:color="auto" w:fill="FFFFFF"/>
        </w:rPr>
        <w:t>.</w:t>
      </w:r>
      <w:r w:rsidR="005D0664" w:rsidRPr="007C68F1">
        <w:rPr>
          <w:shd w:val="clear" w:color="auto" w:fill="FFFFFF"/>
        </w:rPr>
        <w:t xml:space="preserve"> </w:t>
      </w:r>
      <w:r w:rsidR="001005FD" w:rsidRPr="007C68F1">
        <w:rPr>
          <w:shd w:val="clear" w:color="auto" w:fill="FFFFFF"/>
        </w:rPr>
        <w:t xml:space="preserve"> </w:t>
      </w:r>
      <w:r w:rsidR="00AE29DC" w:rsidRPr="007C68F1">
        <w:rPr>
          <w:shd w:val="clear" w:color="auto" w:fill="FFFFFF"/>
        </w:rPr>
        <w:t xml:space="preserve">However, in the section of the order addressing manageability, the court concluded that Woodworth had </w:t>
      </w:r>
      <w:bookmarkStart w:id="443" w:name="dabmq_197"/>
      <w:r w:rsidR="00AE29DC" w:rsidRPr="007C68F1">
        <w:rPr>
          <w:shd w:val="clear" w:color="auto" w:fill="FFFFFF"/>
        </w:rPr>
        <w:t>“failed to demonstrate manageability in her trial plan</w:t>
      </w:r>
      <w:r w:rsidR="000D1E30" w:rsidRPr="007C68F1">
        <w:rPr>
          <w:shd w:val="clear" w:color="auto" w:fill="FFFFFF"/>
        </w:rPr>
        <w:t>,</w:t>
      </w:r>
      <w:r w:rsidR="00AE29DC" w:rsidRPr="007C68F1">
        <w:rPr>
          <w:shd w:val="clear" w:color="auto" w:fill="FFFFFF"/>
        </w:rPr>
        <w:t>”</w:t>
      </w:r>
      <w:bookmarkEnd w:id="443"/>
      <w:r w:rsidR="00AE29DC" w:rsidRPr="007C68F1">
        <w:rPr>
          <w:shd w:val="clear" w:color="auto" w:fill="FFFFFF"/>
        </w:rPr>
        <w:t xml:space="preserve"> </w:t>
      </w:r>
      <w:r w:rsidR="000D1E30" w:rsidRPr="007C68F1">
        <w:rPr>
          <w:shd w:val="clear" w:color="auto" w:fill="FFFFFF"/>
        </w:rPr>
        <w:t>given that</w:t>
      </w:r>
      <w:r w:rsidR="00AE29DC" w:rsidRPr="007C68F1">
        <w:rPr>
          <w:shd w:val="clear" w:color="auto" w:fill="FFFFFF"/>
        </w:rPr>
        <w:t xml:space="preserve"> it</w:t>
      </w:r>
      <w:r w:rsidR="005D0664" w:rsidRPr="007C68F1">
        <w:rPr>
          <w:shd w:val="clear" w:color="auto" w:fill="FFFFFF"/>
        </w:rPr>
        <w:t xml:space="preserve"> would have to determine which patient care employees </w:t>
      </w:r>
      <w:bookmarkStart w:id="444" w:name="dabmq_198"/>
      <w:r w:rsidR="005D0664" w:rsidRPr="007C68F1">
        <w:rPr>
          <w:shd w:val="clear" w:color="auto" w:fill="FFFFFF"/>
        </w:rPr>
        <w:t>“missed</w:t>
      </w:r>
      <w:r w:rsidR="000D1E30" w:rsidRPr="007C68F1">
        <w:rPr>
          <w:shd w:val="clear" w:color="auto" w:fill="FFFFFF"/>
        </w:rPr>
        <w:t xml:space="preserve"> breaks </w:t>
      </w:r>
      <w:r w:rsidR="005D0664" w:rsidRPr="007C68F1">
        <w:rPr>
          <w:shd w:val="clear" w:color="auto" w:fill="FFFFFF"/>
        </w:rPr>
        <w:t>because they were required to remain on premises</w:t>
      </w:r>
      <w:r w:rsidR="00AE29DC" w:rsidRPr="007C68F1">
        <w:rPr>
          <w:shd w:val="clear" w:color="auto" w:fill="FFFFFF"/>
        </w:rPr>
        <w:t>.</w:t>
      </w:r>
      <w:r w:rsidR="000D1E30" w:rsidRPr="007C68F1">
        <w:rPr>
          <w:shd w:val="clear" w:color="auto" w:fill="FFFFFF"/>
        </w:rPr>
        <w:t>”</w:t>
      </w:r>
      <w:bookmarkEnd w:id="444"/>
      <w:r w:rsidR="0029435F" w:rsidRPr="007C68F1">
        <w:rPr>
          <w:shd w:val="clear" w:color="auto" w:fill="FFFFFF"/>
        </w:rPr>
        <w:t xml:space="preserve"> </w:t>
      </w:r>
    </w:p>
    <w:p w14:paraId="477832EB" w14:textId="77777777" w:rsidR="00536137" w:rsidRPr="007C68F1" w:rsidRDefault="00D16B2E" w:rsidP="007D1009">
      <w:pPr>
        <w:spacing w:line="480" w:lineRule="auto"/>
        <w:rPr>
          <w:shd w:val="clear" w:color="auto" w:fill="FFFFFF"/>
        </w:rPr>
      </w:pPr>
      <w:r w:rsidRPr="007C68F1">
        <w:rPr>
          <w:shd w:val="clear" w:color="auto" w:fill="FFFFFF"/>
        </w:rPr>
        <w:tab/>
        <w:t xml:space="preserve">As to the </w:t>
      </w:r>
      <w:r w:rsidR="005D0925" w:rsidRPr="007C68F1">
        <w:rPr>
          <w:shd w:val="clear" w:color="auto" w:fill="FFFFFF"/>
        </w:rPr>
        <w:t xml:space="preserve">proposed </w:t>
      </w:r>
      <w:r w:rsidRPr="007C68F1">
        <w:rPr>
          <w:shd w:val="clear" w:color="auto" w:fill="FFFFFF"/>
        </w:rPr>
        <w:t xml:space="preserve">no-relief </w:t>
      </w:r>
      <w:r w:rsidR="005D0925" w:rsidRPr="007C68F1">
        <w:rPr>
          <w:shd w:val="clear" w:color="auto" w:fill="FFFFFF"/>
        </w:rPr>
        <w:t>class</w:t>
      </w:r>
      <w:r w:rsidRPr="007C68F1">
        <w:rPr>
          <w:shd w:val="clear" w:color="auto" w:fill="FFFFFF"/>
        </w:rPr>
        <w:t xml:space="preserve">, the court </w:t>
      </w:r>
      <w:r w:rsidR="00661A0F" w:rsidRPr="007C68F1">
        <w:rPr>
          <w:shd w:val="clear" w:color="auto" w:fill="FFFFFF"/>
        </w:rPr>
        <w:t xml:space="preserve">ruled that common questions did not predominate.  It observed that </w:t>
      </w:r>
      <w:r w:rsidRPr="007C68F1">
        <w:rPr>
          <w:shd w:val="clear" w:color="auto" w:fill="FFFFFF"/>
        </w:rPr>
        <w:t>Woodworth had not produced evidence of a common</w:t>
      </w:r>
      <w:r w:rsidR="00661A0F" w:rsidRPr="007C68F1">
        <w:rPr>
          <w:shd w:val="clear" w:color="auto" w:fill="FFFFFF"/>
        </w:rPr>
        <w:t xml:space="preserve"> policy or practice of denying 12-hour employees rest periods and that individualized in</w:t>
      </w:r>
      <w:r w:rsidRPr="007C68F1">
        <w:rPr>
          <w:shd w:val="clear" w:color="auto" w:fill="FFFFFF"/>
        </w:rPr>
        <w:t xml:space="preserve">quiries </w:t>
      </w:r>
      <w:r w:rsidR="000A2C60" w:rsidRPr="007C68F1">
        <w:rPr>
          <w:shd w:val="clear" w:color="auto" w:fill="FFFFFF"/>
        </w:rPr>
        <w:t xml:space="preserve">would </w:t>
      </w:r>
      <w:r w:rsidR="00D70CA5" w:rsidRPr="007C68F1">
        <w:rPr>
          <w:shd w:val="clear" w:color="auto" w:fill="FFFFFF"/>
        </w:rPr>
        <w:t>predominate</w:t>
      </w:r>
      <w:r w:rsidRPr="007C68F1">
        <w:rPr>
          <w:shd w:val="clear" w:color="auto" w:fill="FFFFFF"/>
        </w:rPr>
        <w:t xml:space="preserve"> as to the reasons that employees did not take rest periods.</w:t>
      </w:r>
      <w:r w:rsidR="005D46B8" w:rsidRPr="007C68F1">
        <w:rPr>
          <w:shd w:val="clear" w:color="auto" w:fill="FFFFFF"/>
        </w:rPr>
        <w:t xml:space="preserve">  </w:t>
      </w:r>
      <w:r w:rsidRPr="007C68F1">
        <w:rPr>
          <w:shd w:val="clear" w:color="auto" w:fill="FFFFFF"/>
        </w:rPr>
        <w:t>The court additionally observed that the “‘patient care’ label” was “problematic,” because the medical center had shown that Woodworth’s li</w:t>
      </w:r>
      <w:r w:rsidRPr="007C68F1">
        <w:rPr>
          <w:shd w:val="clear" w:color="auto" w:fill="FFFFFF"/>
        </w:rPr>
        <w:t xml:space="preserve">st of patient care job titles included employees who did not provide patient care.  The court ruled that Woodworth had not provided </w:t>
      </w:r>
      <w:r w:rsidR="0074680A" w:rsidRPr="007C68F1">
        <w:rPr>
          <w:shd w:val="clear" w:color="auto" w:fill="FFFFFF"/>
        </w:rPr>
        <w:t xml:space="preserve">a manageable </w:t>
      </w:r>
      <w:r w:rsidR="00416B3F" w:rsidRPr="007C68F1">
        <w:rPr>
          <w:shd w:val="clear" w:color="auto" w:fill="FFFFFF"/>
        </w:rPr>
        <w:t>trial plan for determining which employees were patient care employees.</w:t>
      </w:r>
    </w:p>
    <w:p w14:paraId="69464240" w14:textId="77777777" w:rsidR="00CB6E6A" w:rsidRPr="007C68F1" w:rsidRDefault="00D16B2E" w:rsidP="007D1009">
      <w:pPr>
        <w:keepNext/>
        <w:spacing w:line="480" w:lineRule="auto"/>
        <w:rPr>
          <w:shd w:val="clear" w:color="auto" w:fill="FFFFFF"/>
        </w:rPr>
      </w:pPr>
      <w:r w:rsidRPr="007C68F1">
        <w:rPr>
          <w:shd w:val="clear" w:color="auto" w:fill="FFFFFF"/>
        </w:rPr>
        <w:lastRenderedPageBreak/>
        <w:tab/>
      </w:r>
      <w:r w:rsidRPr="007C68F1">
        <w:rPr>
          <w:shd w:val="clear" w:color="auto" w:fill="FFFFFF"/>
        </w:rPr>
        <w:tab/>
      </w:r>
      <w:r w:rsidRPr="007C68F1">
        <w:rPr>
          <w:shd w:val="clear" w:color="auto" w:fill="FFFFFF"/>
        </w:rPr>
        <w:tab/>
        <w:t xml:space="preserve">ii.  </w:t>
      </w:r>
      <w:r w:rsidRPr="007C68F1">
        <w:rPr>
          <w:i/>
          <w:iCs/>
          <w:shd w:val="clear" w:color="auto" w:fill="FFFFFF"/>
        </w:rPr>
        <w:t>Analysis</w:t>
      </w:r>
    </w:p>
    <w:p w14:paraId="47688C22" w14:textId="77777777" w:rsidR="009B7F90" w:rsidRPr="007C68F1" w:rsidRDefault="00D16B2E" w:rsidP="007D1009">
      <w:pPr>
        <w:spacing w:line="480" w:lineRule="auto"/>
      </w:pPr>
      <w:r w:rsidRPr="007C68F1">
        <w:rPr>
          <w:shd w:val="clear" w:color="auto" w:fill="FFFFFF"/>
        </w:rPr>
        <w:tab/>
      </w:r>
      <w:bookmarkStart w:id="445" w:name="dabmq_199"/>
      <w:r w:rsidR="00820211" w:rsidRPr="007C68F1">
        <w:rPr>
          <w:shd w:val="clear" w:color="auto" w:fill="FFFFFF"/>
        </w:rPr>
        <w:t>“</w:t>
      </w:r>
      <w:r w:rsidR="005974AA" w:rsidRPr="007C68F1">
        <w:rPr>
          <w:shd w:val="clear" w:color="auto" w:fill="FFFFFF"/>
        </w:rPr>
        <w:t>California law requires employers to relieve their employees of all work-related duties and employer control during 10-minute rest periods.</w:t>
      </w:r>
      <w:r w:rsidR="00820211" w:rsidRPr="007C68F1">
        <w:rPr>
          <w:shd w:val="clear" w:color="auto" w:fill="FFFFFF"/>
        </w:rPr>
        <w:t>”</w:t>
      </w:r>
      <w:bookmarkEnd w:id="445"/>
      <w:r w:rsidR="009A2F11" w:rsidRPr="007C68F1">
        <w:rPr>
          <w:shd w:val="clear" w:color="auto" w:fill="FFFFFF"/>
        </w:rPr>
        <w:t xml:space="preserve">  </w:t>
      </w:r>
      <w:r w:rsidR="0040438C" w:rsidRPr="007C68F1">
        <w:rPr>
          <w:shd w:val="clear" w:color="auto" w:fill="FFFFFF"/>
        </w:rPr>
        <w:t>(</w:t>
      </w:r>
      <w:bookmarkStart w:id="446" w:name="dabmci_640b8b7a79b640cd8000e2686ad7f5c8"/>
      <w:r w:rsidR="005974AA" w:rsidRPr="007C68F1">
        <w:rPr>
          <w:i/>
          <w:iCs/>
          <w:bdr w:val="none" w:sz="0" w:space="0" w:color="auto" w:frame="1"/>
        </w:rPr>
        <w:t>Augustus</w:t>
      </w:r>
      <w:r w:rsidR="00820211" w:rsidRPr="007C68F1">
        <w:rPr>
          <w:bdr w:val="none" w:sz="0" w:space="0" w:color="auto" w:frame="1"/>
        </w:rPr>
        <w:t xml:space="preserve">, </w:t>
      </w:r>
      <w:r w:rsidR="00820211" w:rsidRPr="007C68F1">
        <w:rPr>
          <w:i/>
          <w:iCs/>
          <w:bdr w:val="none" w:sz="0" w:space="0" w:color="auto" w:frame="1"/>
        </w:rPr>
        <w:t>supra</w:t>
      </w:r>
      <w:r w:rsidR="00820211" w:rsidRPr="007C68F1">
        <w:rPr>
          <w:bdr w:val="none" w:sz="0" w:space="0" w:color="auto" w:frame="1"/>
        </w:rPr>
        <w:t xml:space="preserve">, </w:t>
      </w:r>
      <w:r w:rsidR="005974AA" w:rsidRPr="007C68F1">
        <w:t xml:space="preserve">2 Cal.5th </w:t>
      </w:r>
      <w:r w:rsidR="00740B53" w:rsidRPr="007C68F1">
        <w:t>at p.</w:t>
      </w:r>
      <w:r w:rsidR="005974AA" w:rsidRPr="007C68F1">
        <w:t xml:space="preserve"> 272</w:t>
      </w:r>
      <w:bookmarkEnd w:id="446"/>
      <w:r w:rsidR="0040438C" w:rsidRPr="007C68F1">
        <w:t xml:space="preserve">.)  </w:t>
      </w:r>
      <w:r w:rsidR="000B151D" w:rsidRPr="007C68F1">
        <w:t>As relevant here, e</w:t>
      </w:r>
      <w:r w:rsidR="00AF4B98" w:rsidRPr="007C68F1">
        <w:t xml:space="preserve">mployees are entitled to </w:t>
      </w:r>
      <w:r w:rsidR="00A175B1" w:rsidRPr="007C68F1">
        <w:t>10 minutes of rest</w:t>
      </w:r>
      <w:r w:rsidR="00AF4B98" w:rsidRPr="007C68F1">
        <w:t xml:space="preserve"> for every four hours worked </w:t>
      </w:r>
      <w:bookmarkStart w:id="447" w:name="dabmq_200"/>
      <w:r w:rsidR="00AF4B98" w:rsidRPr="007C68F1">
        <w:t>“or major fraction thereof.”</w:t>
      </w:r>
      <w:bookmarkEnd w:id="447"/>
      <w:r w:rsidR="00AF4B98" w:rsidRPr="007C68F1">
        <w:t xml:space="preserve">  (</w:t>
      </w:r>
      <w:bookmarkStart w:id="448" w:name="dabmci_481de557159f48ab9e048c6d3398a536"/>
      <w:r w:rsidR="00AF4B98" w:rsidRPr="007C68F1">
        <w:t>Cal. Code Regs., tit. 8, § 11050, subd. 12(A)</w:t>
      </w:r>
      <w:bookmarkEnd w:id="448"/>
      <w:r w:rsidR="00AF4B98" w:rsidRPr="007C68F1">
        <w:t xml:space="preserve">.)  </w:t>
      </w:r>
      <w:r w:rsidR="005E2190" w:rsidRPr="007C68F1">
        <w:t>Accordingly</w:t>
      </w:r>
      <w:r w:rsidR="000B151D" w:rsidRPr="007C68F1">
        <w:t xml:space="preserve">, employees who work </w:t>
      </w:r>
      <w:r w:rsidR="004C060E" w:rsidRPr="007C68F1">
        <w:t>1</w:t>
      </w:r>
      <w:r w:rsidR="000B151D" w:rsidRPr="007C68F1">
        <w:t>2-hour shift</w:t>
      </w:r>
      <w:r w:rsidR="004C060E" w:rsidRPr="007C68F1">
        <w:t>s</w:t>
      </w:r>
      <w:r w:rsidR="000B151D" w:rsidRPr="007C68F1">
        <w:t xml:space="preserve"> are entitled to three 10</w:t>
      </w:r>
      <w:r w:rsidR="005E2190" w:rsidRPr="007C68F1">
        <w:noBreakHyphen/>
      </w:r>
      <w:r w:rsidR="000B151D" w:rsidRPr="007C68F1">
        <w:t>minute rest periods</w:t>
      </w:r>
      <w:r w:rsidR="002E789E" w:rsidRPr="007C68F1">
        <w:t xml:space="preserve"> </w:t>
      </w:r>
      <w:r w:rsidR="00B67785" w:rsidRPr="007C68F1">
        <w:t>during</w:t>
      </w:r>
      <w:r w:rsidR="002E789E" w:rsidRPr="007C68F1">
        <w:t xml:space="preserve"> which they are </w:t>
      </w:r>
      <w:r w:rsidR="00960BA0" w:rsidRPr="007C68F1">
        <w:t xml:space="preserve">relieved of all duties and </w:t>
      </w:r>
      <w:r w:rsidR="002E789E" w:rsidRPr="007C68F1">
        <w:t>free from employer control.</w:t>
      </w:r>
      <w:r w:rsidR="00756D71" w:rsidRPr="007C68F1">
        <w:t xml:space="preserve"> </w:t>
      </w:r>
    </w:p>
    <w:p w14:paraId="10D4C9FF" w14:textId="77777777" w:rsidR="00136659" w:rsidRPr="007C68F1" w:rsidRDefault="00D16B2E" w:rsidP="007D1009">
      <w:pPr>
        <w:spacing w:line="480" w:lineRule="auto"/>
      </w:pPr>
      <w:r w:rsidRPr="007C68F1">
        <w:tab/>
      </w:r>
      <w:r w:rsidR="006B29A5" w:rsidRPr="007C68F1">
        <w:t xml:space="preserve">In this case, </w:t>
      </w:r>
      <w:r w:rsidR="00CD042C" w:rsidRPr="007C68F1">
        <w:t xml:space="preserve">Woodworth fails to show that the court </w:t>
      </w:r>
      <w:r w:rsidR="00C03112" w:rsidRPr="007C68F1">
        <w:t>erred</w:t>
      </w:r>
      <w:r w:rsidR="00CD042C" w:rsidRPr="007C68F1">
        <w:t xml:space="preserve"> by denying certification of the on-premises Rest Break Class</w:t>
      </w:r>
      <w:r w:rsidR="006B29A5" w:rsidRPr="007C68F1">
        <w:t>.</w:t>
      </w:r>
      <w:r w:rsidR="00283F22" w:rsidRPr="007C68F1">
        <w:t xml:space="preserve">  </w:t>
      </w:r>
      <w:r w:rsidR="0019012C" w:rsidRPr="007C68F1">
        <w:t xml:space="preserve">Her theory of liability </w:t>
      </w:r>
      <w:r w:rsidR="0003561A" w:rsidRPr="007C68F1">
        <w:t>asserts that</w:t>
      </w:r>
      <w:r w:rsidR="0019012C" w:rsidRPr="007C68F1">
        <w:t xml:space="preserve"> the medical center’s written policy violated the law </w:t>
      </w:r>
      <w:r w:rsidR="009E4770" w:rsidRPr="007C68F1">
        <w:t>requiring</w:t>
      </w:r>
      <w:r w:rsidR="0019012C" w:rsidRPr="007C68F1">
        <w:t xml:space="preserve"> rest periods free</w:t>
      </w:r>
      <w:r w:rsidR="009E4770" w:rsidRPr="007C68F1">
        <w:t xml:space="preserve"> from duties and </w:t>
      </w:r>
      <w:r w:rsidR="0019012C" w:rsidRPr="007C68F1">
        <w:t>employer control.</w:t>
      </w:r>
      <w:r>
        <w:rPr>
          <w:rStyle w:val="FootnoteReference"/>
        </w:rPr>
        <w:footnoteReference w:id="9"/>
      </w:r>
      <w:r w:rsidR="0019012C" w:rsidRPr="007C68F1">
        <w:t xml:space="preserve">  The medical center </w:t>
      </w:r>
      <w:r w:rsidR="00645078" w:rsidRPr="007C68F1">
        <w:t xml:space="preserve">would defend itself by showing that regardless of its written policy, it did not actually require employees to remain on premises.  In other words, even if the policy were unlawful on its face, </w:t>
      </w:r>
      <w:r w:rsidR="00C03112" w:rsidRPr="007C68F1">
        <w:t>the medical center</w:t>
      </w:r>
      <w:r w:rsidR="00645078" w:rsidRPr="007C68F1">
        <w:t xml:space="preserve"> did not enforce the </w:t>
      </w:r>
      <w:r w:rsidR="00645078" w:rsidRPr="007C68F1">
        <w:lastRenderedPageBreak/>
        <w:t>policy.</w:t>
      </w:r>
      <w:r w:rsidR="00235986" w:rsidRPr="007C68F1">
        <w:t xml:space="preserve">  </w:t>
      </w:r>
      <w:r w:rsidR="004940D5" w:rsidRPr="007C68F1">
        <w:t>The court’s stated reason for denying certification was that Woodworth lacked a manageable trial plan for</w:t>
      </w:r>
      <w:r w:rsidR="00C03112" w:rsidRPr="007C68F1">
        <w:t xml:space="preserve"> dealing with that defense and</w:t>
      </w:r>
      <w:r w:rsidR="00645078" w:rsidRPr="007C68F1">
        <w:t xml:space="preserve"> </w:t>
      </w:r>
      <w:r w:rsidR="004940D5" w:rsidRPr="007C68F1">
        <w:t xml:space="preserve">determining </w:t>
      </w:r>
      <w:r w:rsidR="00391CAF" w:rsidRPr="007C68F1">
        <w:t>which employees were required to remain on premises.</w:t>
      </w:r>
      <w:r w:rsidR="00235986" w:rsidRPr="007C68F1">
        <w:t xml:space="preserve">  (See </w:t>
      </w:r>
      <w:bookmarkStart w:id="453" w:name="dabmci_def1ba654285495eb758ddf947bf4ad2"/>
      <w:r w:rsidR="00235986" w:rsidRPr="007C68F1">
        <w:rPr>
          <w:i/>
          <w:iCs/>
          <w:shd w:val="clear" w:color="auto" w:fill="FFFFFF"/>
        </w:rPr>
        <w:t>Duran</w:t>
      </w:r>
      <w:r w:rsidR="00235986" w:rsidRPr="007C68F1">
        <w:rPr>
          <w:shd w:val="clear" w:color="auto" w:fill="FFFFFF"/>
        </w:rPr>
        <w:t xml:space="preserve">, </w:t>
      </w:r>
      <w:r w:rsidR="00235986" w:rsidRPr="007C68F1">
        <w:rPr>
          <w:i/>
          <w:iCs/>
          <w:shd w:val="clear" w:color="auto" w:fill="FFFFFF"/>
        </w:rPr>
        <w:t>supra</w:t>
      </w:r>
      <w:r w:rsidR="00235986" w:rsidRPr="007C68F1">
        <w:rPr>
          <w:shd w:val="clear" w:color="auto" w:fill="FFFFFF"/>
        </w:rPr>
        <w:t>, 59 Cal.4th</w:t>
      </w:r>
      <w:r w:rsidR="00235986" w:rsidRPr="007C68F1">
        <w:t xml:space="preserve"> at p. 29</w:t>
      </w:r>
      <w:bookmarkEnd w:id="453"/>
      <w:r w:rsidR="00235986" w:rsidRPr="007C68F1">
        <w:t xml:space="preserve"> [when the plaintiff seeks class certification on the basis that the employer imposed a uniform policy, the plaintiff </w:t>
      </w:r>
      <w:bookmarkStart w:id="454" w:name="dabmq_201"/>
      <w:r w:rsidR="00235986" w:rsidRPr="007C68F1">
        <w:t>“</w:t>
      </w:r>
      <w:r w:rsidR="00235986" w:rsidRPr="007C68F1">
        <w:rPr>
          <w:shd w:val="clear" w:color="auto" w:fill="FFFFFF"/>
        </w:rPr>
        <w:t>must still demonstrate that the illegal effects of this conduct can be proven efficiently and manageably within a class setting”</w:t>
      </w:r>
      <w:bookmarkEnd w:id="454"/>
      <w:r w:rsidR="00235986" w:rsidRPr="007C68F1">
        <w:rPr>
          <w:shd w:val="clear" w:color="auto" w:fill="FFFFFF"/>
        </w:rPr>
        <w:t xml:space="preserve">].)  </w:t>
      </w:r>
      <w:r w:rsidR="00C03112" w:rsidRPr="007C68F1">
        <w:t xml:space="preserve">Woodworth does not </w:t>
      </w:r>
      <w:r w:rsidR="003B3A14" w:rsidRPr="007C68F1">
        <w:t xml:space="preserve">carry her burden of </w:t>
      </w:r>
      <w:r w:rsidR="0003561A" w:rsidRPr="007C68F1">
        <w:t>demonstrating</w:t>
      </w:r>
      <w:r w:rsidR="003B3A14" w:rsidRPr="007C68F1">
        <w:t xml:space="preserve"> </w:t>
      </w:r>
      <w:r w:rsidR="00C03112" w:rsidRPr="007C68F1">
        <w:t>that the manageability ruling constituted an abuse of discretion.</w:t>
      </w:r>
      <w:r w:rsidR="003B3A14" w:rsidRPr="007C68F1">
        <w:t xml:space="preserve">  (</w:t>
      </w:r>
      <w:bookmarkStart w:id="455" w:name="dabmci_486de5eae99e4734a6d0ed8d0c5c31e6"/>
      <w:r w:rsidR="003B3A14" w:rsidRPr="007C68F1">
        <w:rPr>
          <w:i/>
          <w:iCs/>
        </w:rPr>
        <w:t>Cristler v. Express Messenger Systems, Inc.</w:t>
      </w:r>
      <w:r w:rsidR="000A480B" w:rsidRPr="007C68F1">
        <w:t xml:space="preserve"> </w:t>
      </w:r>
      <w:r w:rsidR="003B3A14" w:rsidRPr="007C68F1">
        <w:t>(2009) 171 Cal.App.4th 72, 80</w:t>
      </w:r>
      <w:bookmarkEnd w:id="455"/>
      <w:r w:rsidR="009E4770" w:rsidRPr="007C68F1">
        <w:t xml:space="preserve"> [appellant bears the burden of showing</w:t>
      </w:r>
      <w:r w:rsidR="006B0147" w:rsidRPr="007C68F1">
        <w:t xml:space="preserve"> </w:t>
      </w:r>
      <w:r w:rsidR="009E4770" w:rsidRPr="007C68F1">
        <w:t xml:space="preserve">an abuse of discretion].)  </w:t>
      </w:r>
      <w:r w:rsidR="00AF1F14" w:rsidRPr="007C68F1">
        <w:t>In a conclusory fashion, s</w:t>
      </w:r>
      <w:r w:rsidR="0003561A" w:rsidRPr="007C68F1">
        <w:t xml:space="preserve">he asserts that she will depose a randomly selected group of class members </w:t>
      </w:r>
      <w:r w:rsidR="00F92A0B" w:rsidRPr="007C68F1">
        <w:t>and that random sampling can be used to determine the number of class members to testify at trial.</w:t>
      </w:r>
      <w:r w:rsidR="0003561A" w:rsidRPr="007C68F1">
        <w:t xml:space="preserve"> </w:t>
      </w:r>
      <w:r w:rsidR="00F92A0B" w:rsidRPr="007C68F1">
        <w:t xml:space="preserve"> </w:t>
      </w:r>
      <w:r w:rsidR="00F61D13" w:rsidRPr="007C68F1">
        <w:t>But s</w:t>
      </w:r>
      <w:r w:rsidR="00F92A0B" w:rsidRPr="007C68F1">
        <w:t xml:space="preserve">he does not attempt to describe Kriegler’s method in any detail, Buchanan’s criticisms of it, or why the court erred by </w:t>
      </w:r>
      <w:r w:rsidR="009F0659" w:rsidRPr="007C68F1">
        <w:t xml:space="preserve">implicitly </w:t>
      </w:r>
      <w:r w:rsidR="00F92A0B" w:rsidRPr="007C68F1">
        <w:t>crediting Buchanan over Kriegler.</w:t>
      </w:r>
      <w:r w:rsidR="00CC3E85" w:rsidRPr="007C68F1">
        <w:t xml:space="preserve">  She does not even mention Buchanan’s declaration.</w:t>
      </w:r>
      <w:r w:rsidR="004C75C6" w:rsidRPr="007C68F1">
        <w:t xml:space="preserve"> </w:t>
      </w:r>
      <w:r w:rsidR="00F92A0B" w:rsidRPr="007C68F1">
        <w:t xml:space="preserve"> Nor does she </w:t>
      </w:r>
      <w:r w:rsidR="00235986" w:rsidRPr="007C68F1">
        <w:t xml:space="preserve">apply </w:t>
      </w:r>
      <w:r w:rsidR="00CC3E85" w:rsidRPr="007C68F1">
        <w:t xml:space="preserve">the controlling case law on manageability and sampling, </w:t>
      </w:r>
      <w:r w:rsidR="00CC3E85" w:rsidRPr="007C68F1">
        <w:rPr>
          <w:i/>
          <w:iCs/>
        </w:rPr>
        <w:t>Duran</w:t>
      </w:r>
      <w:r w:rsidR="00235986" w:rsidRPr="007C68F1">
        <w:t>, to any of the experts’ disputes.</w:t>
      </w:r>
      <w:r w:rsidR="00067BAE" w:rsidRPr="007C68F1">
        <w:t xml:space="preserve">  (</w:t>
      </w:r>
      <w:bookmarkStart w:id="456" w:name="dabmci_aeab3c38278b4f4783e3678b3dd5ef3c"/>
      <w:r w:rsidR="00067BAE" w:rsidRPr="007C68F1">
        <w:rPr>
          <w:i/>
          <w:iCs/>
          <w:bdr w:val="none" w:sz="0" w:space="0" w:color="auto" w:frame="1"/>
        </w:rPr>
        <w:t>Duran</w:t>
      </w:r>
      <w:r w:rsidR="00067BAE" w:rsidRPr="007C68F1">
        <w:rPr>
          <w:bdr w:val="none" w:sz="0" w:space="0" w:color="auto" w:frame="1"/>
        </w:rPr>
        <w:t xml:space="preserve">, </w:t>
      </w:r>
      <w:r w:rsidR="00067BAE" w:rsidRPr="007C68F1">
        <w:t>at p. 31</w:t>
      </w:r>
      <w:bookmarkEnd w:id="456"/>
      <w:r w:rsidR="00067BAE" w:rsidRPr="007C68F1">
        <w:t xml:space="preserve"> [holding that while </w:t>
      </w:r>
      <w:bookmarkStart w:id="457" w:name="dabmq_202"/>
      <w:r w:rsidR="00067BAE" w:rsidRPr="007C68F1">
        <w:t>“</w:t>
      </w:r>
      <w:r w:rsidR="00067BAE" w:rsidRPr="007C68F1">
        <w:rPr>
          <w:shd w:val="clear" w:color="auto" w:fill="FFFFFF"/>
        </w:rPr>
        <w:t>it may be possible to manage individual issues through the use of surveys and statistical sampling,”</w:t>
      </w:r>
      <w:bookmarkEnd w:id="457"/>
      <w:r w:rsidR="00067BAE" w:rsidRPr="007C68F1">
        <w:rPr>
          <w:shd w:val="clear" w:color="auto" w:fill="FFFFFF"/>
        </w:rPr>
        <w:t xml:space="preserve"> any </w:t>
      </w:r>
      <w:bookmarkStart w:id="458" w:name="dabmq_203"/>
      <w:r w:rsidR="00067BAE" w:rsidRPr="007C68F1">
        <w:rPr>
          <w:shd w:val="clear" w:color="auto" w:fill="FFFFFF"/>
        </w:rPr>
        <w:t>“statistical plan for managing individual issues must be conducted with sufficient rigor”</w:t>
      </w:r>
      <w:bookmarkEnd w:id="458"/>
      <w:r w:rsidR="00067BAE" w:rsidRPr="007C68F1">
        <w:rPr>
          <w:shd w:val="clear" w:color="auto" w:fill="FFFFFF"/>
        </w:rPr>
        <w:t xml:space="preserve">].)  </w:t>
      </w:r>
      <w:r w:rsidR="00AF1F14" w:rsidRPr="007C68F1">
        <w:t xml:space="preserve">And the record is clear that the court considered both declarations—the court’s order contains a section discussing </w:t>
      </w:r>
      <w:r w:rsidR="00A71532" w:rsidRPr="007C68F1">
        <w:t>the</w:t>
      </w:r>
      <w:r w:rsidR="00AF1F14" w:rsidRPr="007C68F1">
        <w:t xml:space="preserve"> declarations and overruling the medical center’s objections to Kriegler’s declaration.</w:t>
      </w:r>
      <w:r w:rsidR="00391CAF" w:rsidRPr="007C68F1">
        <w:t xml:space="preserve"> </w:t>
      </w:r>
      <w:r w:rsidR="00EE0BB7" w:rsidRPr="007C68F1">
        <w:t xml:space="preserve"> </w:t>
      </w:r>
      <w:r w:rsidR="009F0659" w:rsidRPr="007C68F1">
        <w:t>We decline to reverse the court’s order, in the absence of</w:t>
      </w:r>
      <w:r w:rsidR="007C0802" w:rsidRPr="007C68F1">
        <w:t xml:space="preserve"> </w:t>
      </w:r>
      <w:r w:rsidR="009F0659" w:rsidRPr="007C68F1">
        <w:t xml:space="preserve">any reasoned discussion of </w:t>
      </w:r>
      <w:r w:rsidR="007C0802" w:rsidRPr="007C68F1">
        <w:t xml:space="preserve">the </w:t>
      </w:r>
      <w:r w:rsidR="007C0802" w:rsidRPr="007C68F1">
        <w:lastRenderedPageBreak/>
        <w:t>evidence</w:t>
      </w:r>
      <w:r w:rsidR="009F0659" w:rsidRPr="007C68F1">
        <w:t xml:space="preserve"> about manageability or </w:t>
      </w:r>
      <w:r w:rsidR="007C0802" w:rsidRPr="007C68F1">
        <w:t xml:space="preserve">the </w:t>
      </w:r>
      <w:r w:rsidR="009F0659" w:rsidRPr="007C68F1">
        <w:t>relevant legal authority</w:t>
      </w:r>
      <w:r w:rsidR="007C0802" w:rsidRPr="007C68F1">
        <w:t xml:space="preserve">.  </w:t>
      </w:r>
      <w:r w:rsidR="0039515C" w:rsidRPr="007C68F1">
        <w:rPr>
          <w:shd w:val="clear" w:color="auto" w:fill="FFFFFF"/>
        </w:rPr>
        <w:t>(</w:t>
      </w:r>
      <w:bookmarkStart w:id="459" w:name="dabmci_5965bd2ba658413bbd4fcd022f9bd72a"/>
      <w:r w:rsidR="0039515C" w:rsidRPr="007C68F1">
        <w:rPr>
          <w:i/>
          <w:iCs/>
        </w:rPr>
        <w:t>Cahill</w:t>
      </w:r>
      <w:r w:rsidR="0039515C" w:rsidRPr="007C68F1">
        <w:t xml:space="preserve">, </w:t>
      </w:r>
      <w:r w:rsidR="0039515C" w:rsidRPr="007C68F1">
        <w:rPr>
          <w:i/>
          <w:iCs/>
        </w:rPr>
        <w:t>supra</w:t>
      </w:r>
      <w:r w:rsidR="0039515C" w:rsidRPr="007C68F1">
        <w:t>, 194 Cal.App.4th at p. 956</w:t>
      </w:r>
      <w:bookmarkEnd w:id="459"/>
      <w:r w:rsidR="0039515C" w:rsidRPr="007C68F1">
        <w:t>.)</w:t>
      </w:r>
    </w:p>
    <w:p w14:paraId="4E5606B7" w14:textId="77777777" w:rsidR="00E47387" w:rsidRPr="007C68F1" w:rsidRDefault="00D16B2E" w:rsidP="007D1009">
      <w:pPr>
        <w:spacing w:line="480" w:lineRule="auto"/>
        <w:ind w:firstLine="720"/>
      </w:pPr>
      <w:r w:rsidRPr="007C68F1">
        <w:t xml:space="preserve">With respect to the no-relief Rest </w:t>
      </w:r>
      <w:r w:rsidRPr="007C68F1">
        <w:t>Break Class, substantial evidence supports the court’s finding that common questions did not predominate.</w:t>
      </w:r>
      <w:r w:rsidR="009E0301" w:rsidRPr="007C68F1">
        <w:t xml:space="preserve">  The evidence showed that </w:t>
      </w:r>
      <w:r w:rsidR="0097082D" w:rsidRPr="007C68F1">
        <w:t xml:space="preserve">the </w:t>
      </w:r>
      <w:r w:rsidR="006E465D" w:rsidRPr="007C68F1">
        <w:t xml:space="preserve">formal </w:t>
      </w:r>
      <w:r w:rsidR="0097082D" w:rsidRPr="007C68F1">
        <w:t>rest period policy complied with the law by providing for three rest periods when an employee worked a 12-hour shift.</w:t>
      </w:r>
      <w:r w:rsidR="006E465D" w:rsidRPr="007C68F1">
        <w:t xml:space="preserve">  Crowninshield opined that the medical center had no system for providing dedicated relief personnel, bu</w:t>
      </w:r>
      <w:r w:rsidR="00EC7E95" w:rsidRPr="007C68F1">
        <w:t xml:space="preserve">t </w:t>
      </w:r>
      <w:r w:rsidR="00D7797D" w:rsidRPr="007C68F1">
        <w:t xml:space="preserve">beyond Woodworth’s own declaration, Woodworth did not proffer any evidence that the medical center denied rest periods because relief personnel </w:t>
      </w:r>
      <w:r w:rsidR="00E76AB2" w:rsidRPr="007C68F1">
        <w:t xml:space="preserve">were </w:t>
      </w:r>
      <w:r w:rsidR="00D7797D" w:rsidRPr="007C68F1">
        <w:t xml:space="preserve">lacking.  Woodworth’s </w:t>
      </w:r>
      <w:r w:rsidR="00EF39E0" w:rsidRPr="007C68F1">
        <w:t>individual</w:t>
      </w:r>
      <w:r w:rsidR="00D7797D" w:rsidRPr="007C68F1">
        <w:t xml:space="preserve"> experience did not constitute evidence of a “uniform</w:t>
      </w:r>
      <w:r w:rsidR="00515C09" w:rsidRPr="007C68F1">
        <w:t>, companywide policy.”  (</w:t>
      </w:r>
      <w:bookmarkStart w:id="460" w:name="dabmci_f1c87b9148de405ab06176761acec75a"/>
      <w:r w:rsidR="00515C09" w:rsidRPr="007C68F1">
        <w:rPr>
          <w:i/>
          <w:iCs/>
        </w:rPr>
        <w:t>Brinker</w:t>
      </w:r>
      <w:r w:rsidR="00515C09" w:rsidRPr="007C68F1">
        <w:t xml:space="preserve">, </w:t>
      </w:r>
      <w:r w:rsidR="00515C09" w:rsidRPr="007C68F1">
        <w:rPr>
          <w:i/>
          <w:iCs/>
        </w:rPr>
        <w:t>supra</w:t>
      </w:r>
      <w:r w:rsidR="00515C09" w:rsidRPr="007C68F1">
        <w:t>, 53 Cal.4th at p. 1052</w:t>
      </w:r>
      <w:bookmarkEnd w:id="460"/>
      <w:r w:rsidR="00515C09" w:rsidRPr="007C68F1">
        <w:t xml:space="preserve">.)  </w:t>
      </w:r>
    </w:p>
    <w:p w14:paraId="554C7478" w14:textId="77777777" w:rsidR="006B29A5" w:rsidRPr="007C68F1" w:rsidRDefault="00D16B2E" w:rsidP="007D1009">
      <w:pPr>
        <w:spacing w:line="480" w:lineRule="auto"/>
        <w:ind w:firstLine="720"/>
        <w:rPr>
          <w:shd w:val="clear" w:color="auto" w:fill="FFFFFF"/>
        </w:rPr>
      </w:pPr>
      <w:r w:rsidRPr="007C68F1">
        <w:t xml:space="preserve">The medical center, on the other hand, proffered evidence that there was no </w:t>
      </w:r>
      <w:r w:rsidR="001F5044" w:rsidRPr="007C68F1">
        <w:t>uniform</w:t>
      </w:r>
      <w:r w:rsidRPr="007C68F1">
        <w:t xml:space="preserve"> practice of denying rest periods for lack of relief personne</w:t>
      </w:r>
      <w:r w:rsidR="00932543" w:rsidRPr="007C68F1">
        <w:t>l, and Woodworth does not persuasively explain how liability could be shown through common proof</w:t>
      </w:r>
      <w:r w:rsidRPr="007C68F1">
        <w:t>.</w:t>
      </w:r>
      <w:r w:rsidR="003A5370" w:rsidRPr="007C68F1">
        <w:t xml:space="preserve">  (See, e.g., </w:t>
      </w:r>
      <w:bookmarkStart w:id="461" w:name="dabmci_aa7a960216274ed2a101975f8c065aa7"/>
      <w:r w:rsidR="003A5370" w:rsidRPr="007C68F1">
        <w:rPr>
          <w:i/>
          <w:iCs/>
          <w:bdr w:val="none" w:sz="0" w:space="0" w:color="auto" w:frame="1"/>
        </w:rPr>
        <w:t>Arenas v. El Torito Restaurants, Inc.</w:t>
      </w:r>
      <w:r w:rsidR="003A5370" w:rsidRPr="007C68F1">
        <w:t xml:space="preserve"> (2010) 183 Cal.App.4th 723, 734</w:t>
      </w:r>
      <w:bookmarkEnd w:id="461"/>
      <w:r w:rsidR="003A5370" w:rsidRPr="007C68F1">
        <w:t xml:space="preserve"> [</w:t>
      </w:r>
      <w:bookmarkStart w:id="462" w:name="dabmq_204"/>
      <w:r w:rsidR="003A5370" w:rsidRPr="007C68F1">
        <w:t>“</w:t>
      </w:r>
      <w:r w:rsidR="003A5370" w:rsidRPr="007C68F1">
        <w:rPr>
          <w:shd w:val="clear" w:color="auto" w:fill="FFFFFF"/>
        </w:rPr>
        <w:t>having credited defendants’ evidence over plaintiffs’, the trial court could reasonably conclude there was insufficient evidence of widespread misclassification, hence plaintiffs’ theory of recovery was not susceptible to common proof”</w:t>
      </w:r>
      <w:bookmarkEnd w:id="462"/>
      <w:r w:rsidR="003A5370" w:rsidRPr="007C68F1">
        <w:rPr>
          <w:shd w:val="clear" w:color="auto" w:fill="FFFFFF"/>
        </w:rPr>
        <w:t>].)</w:t>
      </w:r>
      <w:r w:rsidR="00B2583C" w:rsidRPr="007C68F1">
        <w:t xml:space="preserve">  Many of the putative class member declarants took three rest periods on their 12-hour shifts.  Even if the declarants did not take all of their rest periods, </w:t>
      </w:r>
      <w:r w:rsidR="00D64554" w:rsidRPr="007C68F1">
        <w:t>some</w:t>
      </w:r>
      <w:r w:rsidR="00B2583C" w:rsidRPr="007C68F1">
        <w:t xml:space="preserve"> said that they voluntarily chose to skip rest periods and that relief was available if they wanted to take the rest periods.  And the declarations showed that the process for taking</w:t>
      </w:r>
      <w:r w:rsidR="00D64554" w:rsidRPr="007C68F1">
        <w:t xml:space="preserve"> rest periods varied</w:t>
      </w:r>
      <w:r w:rsidR="00C36681" w:rsidRPr="007C68F1">
        <w:t xml:space="preserve">.  Some supervisors scheduled rest </w:t>
      </w:r>
      <w:r w:rsidR="00C36681" w:rsidRPr="007C68F1">
        <w:lastRenderedPageBreak/>
        <w:t>periods for the employees.  Some units had employees sign up for rest periods during a shift.  And other declarants described a more informal process in which employees notified supervisors when they wanted to take a rest period.</w:t>
      </w:r>
      <w:r w:rsidR="00682EA5" w:rsidRPr="007C68F1">
        <w:t xml:space="preserve">  On this record, the court could reasonably conclude that there was no uniform policy of denying rest periods for lack of relief, and proof of liability </w:t>
      </w:r>
      <w:bookmarkStart w:id="463" w:name="dabmq_205"/>
      <w:r w:rsidR="00D21ED9" w:rsidRPr="007C68F1">
        <w:t xml:space="preserve">“would have </w:t>
      </w:r>
      <w:r w:rsidR="000B1560" w:rsidRPr="007C68F1">
        <w:t xml:space="preserve">had </w:t>
      </w:r>
      <w:r w:rsidR="00D21ED9" w:rsidRPr="007C68F1">
        <w:t>to continue in an employee-by-employee fashion,”</w:t>
      </w:r>
      <w:bookmarkEnd w:id="463"/>
      <w:r w:rsidR="00D21ED9" w:rsidRPr="007C68F1">
        <w:t xml:space="preserve"> demonstrating who did not take all of their rest periods and the reason</w:t>
      </w:r>
      <w:r w:rsidR="000B1560" w:rsidRPr="007C68F1">
        <w:t>s</w:t>
      </w:r>
      <w:r w:rsidR="00D21ED9" w:rsidRPr="007C68F1">
        <w:t xml:space="preserve"> for any failure to take them.</w:t>
      </w:r>
      <w:r w:rsidR="00283682" w:rsidRPr="007C68F1">
        <w:t xml:space="preserve">  (</w:t>
      </w:r>
      <w:bookmarkStart w:id="464" w:name="dabmci_4835c412bb7b4867b9cac212c5be6cf7"/>
      <w:r w:rsidR="00E47387" w:rsidRPr="007C68F1">
        <w:rPr>
          <w:i/>
          <w:iCs/>
        </w:rPr>
        <w:t>Brinker</w:t>
      </w:r>
      <w:r w:rsidR="00E47387" w:rsidRPr="007C68F1">
        <w:t xml:space="preserve">, </w:t>
      </w:r>
      <w:r w:rsidR="00E47387" w:rsidRPr="007C68F1">
        <w:rPr>
          <w:i/>
          <w:iCs/>
        </w:rPr>
        <w:t>supra</w:t>
      </w:r>
      <w:r w:rsidR="00E47387" w:rsidRPr="007C68F1">
        <w:t>, 53 Cal.4th at p. 1052</w:t>
      </w:r>
      <w:bookmarkEnd w:id="464"/>
      <w:r w:rsidR="00A25C92" w:rsidRPr="007C68F1">
        <w:t xml:space="preserve">; </w:t>
      </w:r>
      <w:bookmarkStart w:id="465" w:name="dabmci_c88aba496fe34223b60fe92246117495"/>
      <w:r w:rsidR="00A25C92" w:rsidRPr="007C68F1">
        <w:rPr>
          <w:i/>
          <w:iCs/>
          <w:bdr w:val="none" w:sz="0" w:space="0" w:color="auto" w:frame="1"/>
        </w:rPr>
        <w:t>Lampe</w:t>
      </w:r>
      <w:r w:rsidR="00F939D3" w:rsidRPr="007C68F1">
        <w:rPr>
          <w:bdr w:val="none" w:sz="0" w:space="0" w:color="auto" w:frame="1"/>
        </w:rPr>
        <w:t xml:space="preserve">, </w:t>
      </w:r>
      <w:r w:rsidR="00F939D3" w:rsidRPr="007C68F1">
        <w:rPr>
          <w:i/>
          <w:iCs/>
          <w:bdr w:val="none" w:sz="0" w:space="0" w:color="auto" w:frame="1"/>
        </w:rPr>
        <w:t>supra</w:t>
      </w:r>
      <w:r w:rsidR="00F939D3" w:rsidRPr="007C68F1">
        <w:rPr>
          <w:bdr w:val="none" w:sz="0" w:space="0" w:color="auto" w:frame="1"/>
        </w:rPr>
        <w:t xml:space="preserve">, </w:t>
      </w:r>
      <w:r w:rsidR="00A25C92" w:rsidRPr="007C68F1">
        <w:t xml:space="preserve">19 Cal.App.5th </w:t>
      </w:r>
      <w:r w:rsidR="00F939D3" w:rsidRPr="007C68F1">
        <w:t>at p.</w:t>
      </w:r>
      <w:r w:rsidR="00A25C92" w:rsidRPr="007C68F1">
        <w:t xml:space="preserve"> 848</w:t>
      </w:r>
      <w:bookmarkEnd w:id="465"/>
      <w:r w:rsidR="00F939D3" w:rsidRPr="007C68F1">
        <w:t xml:space="preserve"> [</w:t>
      </w:r>
      <w:r w:rsidR="00A25C92" w:rsidRPr="007C68F1">
        <w:rPr>
          <w:shd w:val="clear" w:color="auto" w:fill="FFFFFF"/>
        </w:rPr>
        <w:t xml:space="preserve">question of whether a missed meal </w:t>
      </w:r>
      <w:r w:rsidR="00F939D3" w:rsidRPr="007C68F1">
        <w:rPr>
          <w:shd w:val="clear" w:color="auto" w:fill="FFFFFF"/>
        </w:rPr>
        <w:t>period</w:t>
      </w:r>
      <w:r w:rsidR="00A25C92" w:rsidRPr="007C68F1">
        <w:rPr>
          <w:shd w:val="clear" w:color="auto" w:fill="FFFFFF"/>
        </w:rPr>
        <w:t xml:space="preserve"> </w:t>
      </w:r>
      <w:bookmarkStart w:id="466" w:name="dabmq_206"/>
      <w:r w:rsidR="00F939D3" w:rsidRPr="007C68F1">
        <w:rPr>
          <w:shd w:val="clear" w:color="auto" w:fill="FFFFFF"/>
        </w:rPr>
        <w:t>“</w:t>
      </w:r>
      <w:r w:rsidR="00A25C92" w:rsidRPr="007C68F1">
        <w:rPr>
          <w:shd w:val="clear" w:color="auto" w:fill="FFFFFF"/>
        </w:rPr>
        <w:t>was due to the employer</w:t>
      </w:r>
      <w:r w:rsidR="00F939D3" w:rsidRPr="007C68F1">
        <w:rPr>
          <w:shd w:val="clear" w:color="auto" w:fill="FFFFFF"/>
        </w:rPr>
        <w:t>’</w:t>
      </w:r>
      <w:r w:rsidR="00A25C92" w:rsidRPr="007C68F1">
        <w:rPr>
          <w:shd w:val="clear" w:color="auto" w:fill="FFFFFF"/>
        </w:rPr>
        <w:t>s failure to allow it or from the employee</w:t>
      </w:r>
      <w:r w:rsidR="00F939D3" w:rsidRPr="007C68F1">
        <w:rPr>
          <w:shd w:val="clear" w:color="auto" w:fill="FFFFFF"/>
        </w:rPr>
        <w:t>’</w:t>
      </w:r>
      <w:r w:rsidR="00A25C92" w:rsidRPr="007C68F1">
        <w:rPr>
          <w:shd w:val="clear" w:color="auto" w:fill="FFFFFF"/>
        </w:rPr>
        <w:t>s voluntary choice</w:t>
      </w:r>
      <w:r w:rsidR="00F939D3" w:rsidRPr="007C68F1">
        <w:rPr>
          <w:shd w:val="clear" w:color="auto" w:fill="FFFFFF"/>
        </w:rPr>
        <w:t>”</w:t>
      </w:r>
      <w:bookmarkEnd w:id="466"/>
      <w:r w:rsidR="00F939D3" w:rsidRPr="007C68F1">
        <w:rPr>
          <w:shd w:val="clear" w:color="auto" w:fill="FFFFFF"/>
        </w:rPr>
        <w:t xml:space="preserve"> </w:t>
      </w:r>
      <w:r w:rsidR="00A25C92" w:rsidRPr="007C68F1">
        <w:rPr>
          <w:shd w:val="clear" w:color="auto" w:fill="FFFFFF"/>
        </w:rPr>
        <w:t>require</w:t>
      </w:r>
      <w:r w:rsidR="00F939D3" w:rsidRPr="007C68F1">
        <w:rPr>
          <w:shd w:val="clear" w:color="auto" w:fill="FFFFFF"/>
        </w:rPr>
        <w:t>d</w:t>
      </w:r>
      <w:r w:rsidR="00A25C92" w:rsidRPr="007C68F1">
        <w:rPr>
          <w:shd w:val="clear" w:color="auto" w:fill="FFFFFF"/>
        </w:rPr>
        <w:t xml:space="preserve"> an individualized inquiry</w:t>
      </w:r>
      <w:r w:rsidR="008A2760" w:rsidRPr="007C68F1">
        <w:rPr>
          <w:shd w:val="clear" w:color="auto" w:fill="FFFFFF"/>
        </w:rPr>
        <w:t xml:space="preserve">, precluding class certification].)  </w:t>
      </w:r>
      <w:r w:rsidR="00A25C92" w:rsidRPr="007C68F1">
        <w:rPr>
          <w:shd w:val="clear" w:color="auto" w:fill="FFFFFF"/>
        </w:rPr>
        <w:t xml:space="preserve"> </w:t>
      </w:r>
      <w:r w:rsidR="003A5370" w:rsidRPr="007C68F1">
        <w:rPr>
          <w:shd w:val="clear" w:color="auto" w:fill="FFFFFF"/>
        </w:rPr>
        <w:t xml:space="preserve">  </w:t>
      </w:r>
    </w:p>
    <w:p w14:paraId="711CFF33" w14:textId="77777777" w:rsidR="002D0410" w:rsidRPr="007C68F1" w:rsidRDefault="00D16B2E" w:rsidP="007D1009">
      <w:pPr>
        <w:spacing w:line="480" w:lineRule="auto"/>
        <w:ind w:firstLine="720"/>
        <w:rPr>
          <w:shd w:val="clear" w:color="auto" w:fill="FFFFFF"/>
        </w:rPr>
      </w:pPr>
      <w:r w:rsidRPr="007C68F1">
        <w:rPr>
          <w:shd w:val="clear" w:color="auto" w:fill="FFFFFF"/>
        </w:rPr>
        <w:t>In sum, substantial evidence supports the trial court’s predominance finding on the no-relief Rest Break Class, so the court did not abuse its discretion by denying certification of the class.  Moreover, Woodworth has not shown that the court ab</w:t>
      </w:r>
      <w:r w:rsidRPr="007C68F1">
        <w:rPr>
          <w:shd w:val="clear" w:color="auto" w:fill="FFFFFF"/>
        </w:rPr>
        <w:t xml:space="preserve">used its discretion by denying certification of the on-premises Rest Break Class on manageability grounds.  Given </w:t>
      </w:r>
      <w:r w:rsidR="00E76AB2" w:rsidRPr="007C68F1">
        <w:rPr>
          <w:shd w:val="clear" w:color="auto" w:fill="FFFFFF"/>
        </w:rPr>
        <w:t xml:space="preserve">those </w:t>
      </w:r>
      <w:r w:rsidRPr="007C68F1">
        <w:rPr>
          <w:shd w:val="clear" w:color="auto" w:fill="FFFFFF"/>
        </w:rPr>
        <w:t xml:space="preserve">conclusions, we need not reach Woodworth’s additional argument that the court erred by </w:t>
      </w:r>
      <w:r w:rsidR="00070B0A" w:rsidRPr="007C68F1">
        <w:rPr>
          <w:shd w:val="clear" w:color="auto" w:fill="FFFFFF"/>
        </w:rPr>
        <w:t>rejecting her definition of patient care employees</w:t>
      </w:r>
      <w:r w:rsidR="00C042B1" w:rsidRPr="007C68F1">
        <w:rPr>
          <w:shd w:val="clear" w:color="auto" w:fill="FFFFFF"/>
        </w:rPr>
        <w:t xml:space="preserve"> for </w:t>
      </w:r>
      <w:r w:rsidR="00E73714" w:rsidRPr="007C68F1">
        <w:rPr>
          <w:shd w:val="clear" w:color="auto" w:fill="FFFFFF"/>
        </w:rPr>
        <w:t xml:space="preserve">the </w:t>
      </w:r>
      <w:r w:rsidR="00C042B1" w:rsidRPr="007C68F1">
        <w:rPr>
          <w:shd w:val="clear" w:color="auto" w:fill="FFFFFF"/>
        </w:rPr>
        <w:t>Rest Break Class</w:t>
      </w:r>
      <w:r w:rsidR="00070B0A" w:rsidRPr="007C68F1">
        <w:rPr>
          <w:shd w:val="clear" w:color="auto" w:fill="FFFFFF"/>
        </w:rPr>
        <w:t>.</w:t>
      </w:r>
      <w:r w:rsidRPr="007C68F1">
        <w:rPr>
          <w:shd w:val="clear" w:color="auto" w:fill="FFFFFF"/>
        </w:rPr>
        <w:t xml:space="preserve">  (</w:t>
      </w:r>
      <w:bookmarkStart w:id="467" w:name="dabmci_ba7e660d00384516942f01e269b1c464"/>
      <w:r w:rsidRPr="007C68F1">
        <w:rPr>
          <w:i/>
          <w:iCs/>
          <w:bdr w:val="none" w:sz="0" w:space="0" w:color="auto" w:frame="1"/>
        </w:rPr>
        <w:t>Cruz</w:t>
      </w:r>
      <w:r w:rsidRPr="007C68F1">
        <w:rPr>
          <w:bdr w:val="none" w:sz="0" w:space="0" w:color="auto" w:frame="1"/>
        </w:rPr>
        <w:t xml:space="preserve">, </w:t>
      </w:r>
      <w:r w:rsidRPr="007C68F1">
        <w:rPr>
          <w:i/>
          <w:iCs/>
          <w:bdr w:val="none" w:sz="0" w:space="0" w:color="auto" w:frame="1"/>
        </w:rPr>
        <w:t>supra</w:t>
      </w:r>
      <w:r w:rsidRPr="007C68F1">
        <w:rPr>
          <w:bdr w:val="none" w:sz="0" w:space="0" w:color="auto" w:frame="1"/>
        </w:rPr>
        <w:t xml:space="preserve">, </w:t>
      </w:r>
      <w:r w:rsidRPr="007C68F1">
        <w:t>243 Cal.App.4th at p. 394</w:t>
      </w:r>
      <w:bookmarkEnd w:id="467"/>
      <w:r w:rsidRPr="007C68F1">
        <w:t>.)</w:t>
      </w:r>
    </w:p>
    <w:p w14:paraId="00773F0B" w14:textId="77777777" w:rsidR="0082368C" w:rsidRPr="007C68F1" w:rsidRDefault="00D16B2E" w:rsidP="007D1009">
      <w:pPr>
        <w:keepNext/>
        <w:spacing w:line="480" w:lineRule="auto"/>
        <w:rPr>
          <w:i/>
          <w:iCs/>
        </w:rPr>
      </w:pPr>
      <w:r w:rsidRPr="007C68F1">
        <w:tab/>
      </w:r>
      <w:r w:rsidRPr="007C68F1">
        <w:tab/>
        <w:t xml:space="preserve">4.  </w:t>
      </w:r>
      <w:r w:rsidRPr="007C68F1">
        <w:rPr>
          <w:i/>
          <w:iCs/>
        </w:rPr>
        <w:t>Wage Statement Class</w:t>
      </w:r>
    </w:p>
    <w:p w14:paraId="79BA31AE" w14:textId="77777777" w:rsidR="005638FB" w:rsidRPr="007C68F1" w:rsidRDefault="00D16B2E" w:rsidP="007D1009">
      <w:pPr>
        <w:spacing w:line="480" w:lineRule="auto"/>
      </w:pPr>
      <w:r w:rsidRPr="007C68F1">
        <w:tab/>
      </w:r>
      <w:r w:rsidR="00420F17" w:rsidRPr="007C68F1">
        <w:rPr>
          <w:shd w:val="clear" w:color="auto" w:fill="FFFFFF"/>
        </w:rPr>
        <w:t>Woodworth argues that the court abused its discretion when it determined that common questions did not predominate as to</w:t>
      </w:r>
      <w:r w:rsidR="001B1084" w:rsidRPr="007C68F1">
        <w:rPr>
          <w:shd w:val="clear" w:color="auto" w:fill="FFFFFF"/>
        </w:rPr>
        <w:t xml:space="preserve"> the</w:t>
      </w:r>
      <w:r w:rsidR="00420F17" w:rsidRPr="007C68F1">
        <w:rPr>
          <w:shd w:val="clear" w:color="auto" w:fill="FFFFFF"/>
        </w:rPr>
        <w:t xml:space="preserve"> Wage Statement Class and that she was an inadequate representative.  We conclude that the court </w:t>
      </w:r>
      <w:r w:rsidR="00A861F9" w:rsidRPr="007C68F1">
        <w:rPr>
          <w:shd w:val="clear" w:color="auto" w:fill="FFFFFF"/>
        </w:rPr>
        <w:t xml:space="preserve">abused its discretion by </w:t>
      </w:r>
      <w:r w:rsidR="00A861F9" w:rsidRPr="007C68F1">
        <w:rPr>
          <w:shd w:val="clear" w:color="auto" w:fill="FFFFFF"/>
        </w:rPr>
        <w:lastRenderedPageBreak/>
        <w:t>denying certification of the stand-alone Wage Statement Class but not the derivative Wage Statement Class</w:t>
      </w:r>
      <w:r w:rsidR="00420F17" w:rsidRPr="007C68F1">
        <w:rPr>
          <w:shd w:val="clear" w:color="auto" w:fill="FFFFFF"/>
        </w:rPr>
        <w:t>.</w:t>
      </w:r>
    </w:p>
    <w:p w14:paraId="7710D240" w14:textId="77777777" w:rsidR="00781DAF" w:rsidRPr="007C68F1" w:rsidRDefault="00D16B2E" w:rsidP="007D1009">
      <w:pPr>
        <w:keepNext/>
        <w:spacing w:line="480" w:lineRule="auto"/>
      </w:pPr>
      <w:r w:rsidRPr="007C68F1">
        <w:tab/>
      </w:r>
      <w:r w:rsidRPr="007C68F1">
        <w:tab/>
      </w:r>
      <w:r w:rsidRPr="007C68F1">
        <w:tab/>
        <w:t xml:space="preserve">i.  </w:t>
      </w:r>
      <w:r w:rsidRPr="007C68F1">
        <w:rPr>
          <w:i/>
          <w:iCs/>
        </w:rPr>
        <w:t>Relevant Background</w:t>
      </w:r>
    </w:p>
    <w:p w14:paraId="5B5ED829" w14:textId="77777777" w:rsidR="005669AB" w:rsidRPr="007C68F1" w:rsidRDefault="00D16B2E" w:rsidP="007D1009">
      <w:pPr>
        <w:spacing w:line="480" w:lineRule="auto"/>
        <w:ind w:firstLine="720"/>
      </w:pPr>
      <w:r w:rsidRPr="007C68F1">
        <w:t xml:space="preserve">Under section 226, employers must </w:t>
      </w:r>
      <w:r w:rsidR="00BE0909" w:rsidRPr="007C68F1">
        <w:t>provide</w:t>
      </w:r>
      <w:r w:rsidRPr="007C68F1">
        <w:t xml:space="preserve"> employees</w:t>
      </w:r>
      <w:r w:rsidR="001C7765" w:rsidRPr="007C68F1">
        <w:t xml:space="preserve"> </w:t>
      </w:r>
      <w:r w:rsidR="00BE0909" w:rsidRPr="007C68F1">
        <w:t xml:space="preserve">with </w:t>
      </w:r>
      <w:bookmarkStart w:id="468" w:name="dabmq_207"/>
      <w:r w:rsidR="001C7765" w:rsidRPr="007C68F1">
        <w:t>“an accurate itemized statement in writing showing”</w:t>
      </w:r>
      <w:bookmarkEnd w:id="468"/>
      <w:r w:rsidR="001C7765" w:rsidRPr="007C68F1">
        <w:t xml:space="preserve"> </w:t>
      </w:r>
      <w:r w:rsidR="00B35E62" w:rsidRPr="007C68F1">
        <w:t>nine categories of</w:t>
      </w:r>
      <w:r w:rsidR="00475594" w:rsidRPr="007C68F1">
        <w:t xml:space="preserve"> information.  (§ 226, subd (a).)  For </w:t>
      </w:r>
      <w:r w:rsidR="00CE1E15" w:rsidRPr="007C68F1">
        <w:t xml:space="preserve">a </w:t>
      </w:r>
      <w:r w:rsidR="00475594" w:rsidRPr="007C68F1">
        <w:t xml:space="preserve">nonexempt employee, the wage statement must show </w:t>
      </w:r>
      <w:bookmarkStart w:id="469" w:name="dabmq_208"/>
      <w:r w:rsidR="00475594" w:rsidRPr="007C68F1">
        <w:t>“total hours worked by the employee</w:t>
      </w:r>
      <w:r w:rsidR="00262F7D" w:rsidRPr="007C68F1">
        <w:t>,”</w:t>
      </w:r>
      <w:bookmarkEnd w:id="469"/>
      <w:r w:rsidR="00262F7D" w:rsidRPr="007C68F1">
        <w:t xml:space="preserve"> gross wages earned, and net wages earned, </w:t>
      </w:r>
      <w:r w:rsidR="00400804" w:rsidRPr="007C68F1">
        <w:t xml:space="preserve">among other things.  </w:t>
      </w:r>
      <w:r w:rsidR="003B3366" w:rsidRPr="007C68F1">
        <w:t>(</w:t>
      </w:r>
      <w:r w:rsidR="004C40DB" w:rsidRPr="007C68F1">
        <w:t>§ 226, subd</w:t>
      </w:r>
      <w:r w:rsidR="00400804" w:rsidRPr="007C68F1">
        <w:t xml:space="preserve">. (a); § 226, subd. </w:t>
      </w:r>
      <w:r w:rsidR="004C40DB" w:rsidRPr="007C68F1">
        <w:t>(j).</w:t>
      </w:r>
      <w:r w:rsidR="003B3366" w:rsidRPr="007C68F1">
        <w:t>)</w:t>
      </w:r>
      <w:r w:rsidR="00475594" w:rsidRPr="007C68F1">
        <w:t xml:space="preserve">  </w:t>
      </w:r>
    </w:p>
    <w:p w14:paraId="609780EC" w14:textId="77777777" w:rsidR="003306FA" w:rsidRPr="007C68F1" w:rsidRDefault="00D16B2E" w:rsidP="007D1009">
      <w:pPr>
        <w:spacing w:line="480" w:lineRule="auto"/>
        <w:ind w:firstLine="720"/>
      </w:pPr>
      <w:r w:rsidRPr="007C68F1">
        <w:t>Woodworth sought to certify the Wage Statement Class on stand-alon</w:t>
      </w:r>
      <w:r w:rsidRPr="007C68F1">
        <w:t>e and derivative theories.</w:t>
      </w:r>
      <w:r w:rsidR="00651411" w:rsidRPr="007C68F1">
        <w:t xml:space="preserve"> </w:t>
      </w:r>
      <w:r w:rsidRPr="007C68F1">
        <w:t xml:space="preserve"> As to </w:t>
      </w:r>
      <w:r w:rsidR="00694388" w:rsidRPr="007C68F1">
        <w:t>the</w:t>
      </w:r>
      <w:r w:rsidRPr="007C68F1">
        <w:t xml:space="preserve"> stand-alone</w:t>
      </w:r>
      <w:r w:rsidR="00262F7D" w:rsidRPr="007C68F1">
        <w:t xml:space="preserve"> </w:t>
      </w:r>
      <w:r w:rsidR="00694388" w:rsidRPr="007C68F1">
        <w:t>class</w:t>
      </w:r>
      <w:r w:rsidR="00262F7D" w:rsidRPr="007C68F1">
        <w:t xml:space="preserve">, </w:t>
      </w:r>
      <w:r w:rsidR="001C7765" w:rsidRPr="007C68F1">
        <w:t xml:space="preserve">Woodworth </w:t>
      </w:r>
      <w:r w:rsidR="00651411" w:rsidRPr="007C68F1">
        <w:t>presented evidence that before June 2018, the medical center</w:t>
      </w:r>
      <w:r w:rsidR="00390107" w:rsidRPr="007C68F1">
        <w:t xml:space="preserve"> issued </w:t>
      </w:r>
      <w:r w:rsidR="00651411" w:rsidRPr="007C68F1">
        <w:t>wage statements</w:t>
      </w:r>
      <w:r w:rsidR="00390107" w:rsidRPr="007C68F1">
        <w:t xml:space="preserve"> that</w:t>
      </w:r>
      <w:r w:rsidR="00651411" w:rsidRPr="007C68F1">
        <w:t xml:space="preserve"> did not include a line item showing the total hours worked by an employee.</w:t>
      </w:r>
      <w:r w:rsidR="00380F79" w:rsidRPr="007C68F1">
        <w:t xml:space="preserve">  </w:t>
      </w:r>
      <w:r w:rsidR="005669AB" w:rsidRPr="007C68F1">
        <w:t>Beginning</w:t>
      </w:r>
      <w:r w:rsidR="00380F79" w:rsidRPr="007C68F1">
        <w:t xml:space="preserve"> in June 2018, the medical center added </w:t>
      </w:r>
      <w:r w:rsidR="00BC5582" w:rsidRPr="007C68F1">
        <w:t xml:space="preserve">a </w:t>
      </w:r>
      <w:r w:rsidR="00380F79" w:rsidRPr="007C68F1">
        <w:t xml:space="preserve">line item </w:t>
      </w:r>
      <w:r w:rsidR="00BC5582" w:rsidRPr="007C68F1">
        <w:t>setting forth “Total Worked Hours</w:t>
      </w:r>
      <w:r w:rsidR="009F3C2C" w:rsidRPr="007C68F1">
        <w:t xml:space="preserve">” (capitalization and boldface omitted), </w:t>
      </w:r>
      <w:r w:rsidRPr="007C68F1">
        <w:t>as the following example illustrates</w:t>
      </w:r>
      <w:r w:rsidR="009F3C2C" w:rsidRPr="007C68F1">
        <w:t>:</w:t>
      </w:r>
    </w:p>
    <w:p w14:paraId="2F39CA62" w14:textId="77777777" w:rsidR="003306FA" w:rsidRPr="007C68F1" w:rsidRDefault="00D16B2E" w:rsidP="007D1009">
      <w:pPr>
        <w:spacing w:line="480" w:lineRule="auto"/>
      </w:pPr>
      <w:r w:rsidRPr="007C68F1">
        <w:rPr>
          <w:noProof/>
        </w:rPr>
        <w:drawing>
          <wp:inline distT="0" distB="0" distL="0" distR="0" wp14:anchorId="53C7741F" wp14:editId="25BE9E75">
            <wp:extent cx="5943600" cy="22677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295398"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2267712"/>
                    </a:xfrm>
                    <a:prstGeom prst="rect">
                      <a:avLst/>
                    </a:prstGeom>
                    <a:noFill/>
                    <a:ln>
                      <a:noFill/>
                    </a:ln>
                  </pic:spPr>
                </pic:pic>
              </a:graphicData>
            </a:graphic>
          </wp:inline>
        </w:drawing>
      </w:r>
    </w:p>
    <w:p w14:paraId="5715D39D" w14:textId="77777777" w:rsidR="00651411" w:rsidRPr="007C68F1" w:rsidRDefault="00D16B2E" w:rsidP="007D1009">
      <w:pPr>
        <w:spacing w:line="480" w:lineRule="auto"/>
      </w:pPr>
      <w:r w:rsidRPr="007C68F1">
        <w:lastRenderedPageBreak/>
        <w:t>Woodworth</w:t>
      </w:r>
      <w:r w:rsidR="0087125B" w:rsidRPr="007C68F1">
        <w:t xml:space="preserve"> therefore</w:t>
      </w:r>
      <w:r w:rsidRPr="007C68F1">
        <w:t xml:space="preserve"> argued that the wage statements issued before June 2018 did not comply </w:t>
      </w:r>
      <w:r w:rsidR="00D8661B" w:rsidRPr="007C68F1">
        <w:t>with section 226 because they failed to show total hours worked.</w:t>
      </w:r>
      <w:r w:rsidR="005669AB" w:rsidRPr="007C68F1">
        <w:t xml:space="preserve">  </w:t>
      </w:r>
      <w:r w:rsidR="0087125B" w:rsidRPr="007C68F1">
        <w:t xml:space="preserve">She asserted that </w:t>
      </w:r>
      <w:r w:rsidR="00BF63AC" w:rsidRPr="007C68F1">
        <w:t>whether the wage statements complied</w:t>
      </w:r>
      <w:r w:rsidR="0087125B" w:rsidRPr="007C68F1">
        <w:t xml:space="preserve"> with section 226 presented a predominant </w:t>
      </w:r>
      <w:r w:rsidR="001B1084" w:rsidRPr="007C68F1">
        <w:t xml:space="preserve">legal </w:t>
      </w:r>
      <w:r w:rsidR="005669AB" w:rsidRPr="007C68F1">
        <w:t>question</w:t>
      </w:r>
      <w:r w:rsidR="0087125B" w:rsidRPr="007C68F1">
        <w:t xml:space="preserve"> common to the class</w:t>
      </w:r>
      <w:r w:rsidR="005669AB" w:rsidRPr="007C68F1">
        <w:t>.</w:t>
      </w:r>
      <w:r w:rsidR="0087125B" w:rsidRPr="007C68F1">
        <w:t xml:space="preserve">  </w:t>
      </w:r>
      <w:r w:rsidR="00AB789C" w:rsidRPr="007C68F1">
        <w:t xml:space="preserve">The class consisted of over 10,000 members who received wage statements. </w:t>
      </w:r>
    </w:p>
    <w:p w14:paraId="7B6408D8" w14:textId="77777777" w:rsidR="0087125B" w:rsidRPr="007C68F1" w:rsidRDefault="00D16B2E" w:rsidP="007D1009">
      <w:pPr>
        <w:spacing w:line="480" w:lineRule="auto"/>
        <w:ind w:firstLine="720"/>
      </w:pPr>
      <w:r w:rsidRPr="007C68F1">
        <w:t xml:space="preserve">As to </w:t>
      </w:r>
      <w:r w:rsidR="00694388" w:rsidRPr="007C68F1">
        <w:t>the</w:t>
      </w:r>
      <w:r w:rsidRPr="007C68F1">
        <w:t xml:space="preserve"> derivative </w:t>
      </w:r>
      <w:r w:rsidR="00694388" w:rsidRPr="007C68F1">
        <w:t>Wage Statement Class</w:t>
      </w:r>
      <w:r w:rsidRPr="007C68F1">
        <w:t xml:space="preserve">, </w:t>
      </w:r>
      <w:r w:rsidR="001405D1" w:rsidRPr="007C68F1">
        <w:t xml:space="preserve">Woodworth argued that </w:t>
      </w:r>
      <w:r w:rsidR="00694388" w:rsidRPr="007C68F1">
        <w:t xml:space="preserve">liability would </w:t>
      </w:r>
      <w:r w:rsidR="001405D1" w:rsidRPr="007C68F1">
        <w:t>depend on</w:t>
      </w:r>
      <w:r w:rsidR="00694388" w:rsidRPr="007C68F1">
        <w:t xml:space="preserve"> </w:t>
      </w:r>
      <w:r w:rsidR="001405D1" w:rsidRPr="007C68F1">
        <w:t>the class members’</w:t>
      </w:r>
      <w:r w:rsidR="00694388" w:rsidRPr="007C68F1">
        <w:t xml:space="preserve"> overtime </w:t>
      </w:r>
      <w:r w:rsidR="005047B1" w:rsidRPr="007C68F1">
        <w:t xml:space="preserve">and </w:t>
      </w:r>
      <w:r w:rsidR="00694388" w:rsidRPr="007C68F1">
        <w:t>regular rate claim</w:t>
      </w:r>
      <w:r w:rsidR="005047B1" w:rsidRPr="007C68F1">
        <w:t>.</w:t>
      </w:r>
      <w:r w:rsidR="00694388" w:rsidRPr="007C68F1">
        <w:t xml:space="preserve">  That is, to the extent that the medical center owed class members overtime pay</w:t>
      </w:r>
      <w:r w:rsidR="009D0B34" w:rsidRPr="007C68F1">
        <w:t xml:space="preserve"> or missed break </w:t>
      </w:r>
      <w:r w:rsidR="00694388" w:rsidRPr="007C68F1">
        <w:t xml:space="preserve">premiums, the wage statements did not accurately reflect </w:t>
      </w:r>
      <w:r w:rsidR="007650EB" w:rsidRPr="007C68F1">
        <w:t>all of their overtime</w:t>
      </w:r>
      <w:r w:rsidR="00B55C12" w:rsidRPr="007C68F1">
        <w:t xml:space="preserve"> pay</w:t>
      </w:r>
      <w:r w:rsidR="007650EB" w:rsidRPr="007C68F1">
        <w:t xml:space="preserve"> or premium</w:t>
      </w:r>
      <w:r w:rsidR="001B1084" w:rsidRPr="007C68F1">
        <w:t xml:space="preserve"> pay.</w:t>
      </w:r>
      <w:r w:rsidR="001405D1" w:rsidRPr="007C68F1">
        <w:t xml:space="preserve">  </w:t>
      </w:r>
    </w:p>
    <w:p w14:paraId="47B44C5E" w14:textId="77777777" w:rsidR="0072677A" w:rsidRPr="007C68F1" w:rsidRDefault="00D16B2E" w:rsidP="007D1009">
      <w:pPr>
        <w:spacing w:line="480" w:lineRule="auto"/>
      </w:pPr>
      <w:r w:rsidRPr="007C68F1">
        <w:tab/>
      </w:r>
      <w:r w:rsidRPr="007C68F1">
        <w:t xml:space="preserve">The medical center argued in opposition that common questions did not </w:t>
      </w:r>
      <w:r w:rsidR="00331019" w:rsidRPr="007C68F1">
        <w:t xml:space="preserve">predominate for this class.  </w:t>
      </w:r>
      <w:r w:rsidR="00217C76" w:rsidRPr="007C68F1">
        <w:t>It</w:t>
      </w:r>
      <w:r w:rsidR="00331019" w:rsidRPr="007C68F1">
        <w:t xml:space="preserve"> </w:t>
      </w:r>
      <w:r w:rsidR="00173FF5" w:rsidRPr="007C68F1">
        <w:t>contended</w:t>
      </w:r>
      <w:r w:rsidR="00331019" w:rsidRPr="007C68F1">
        <w:t xml:space="preserve"> that</w:t>
      </w:r>
      <w:r w:rsidR="00217C76" w:rsidRPr="007C68F1">
        <w:t xml:space="preserve"> </w:t>
      </w:r>
      <w:r w:rsidR="00173FF5" w:rsidRPr="007C68F1">
        <w:t xml:space="preserve">under </w:t>
      </w:r>
      <w:bookmarkStart w:id="470" w:name="dabmci_97de229726454026ba40e9f2feb6e1d3"/>
      <w:r w:rsidR="00173FF5" w:rsidRPr="007C68F1">
        <w:rPr>
          <w:i/>
          <w:iCs/>
        </w:rPr>
        <w:t>Morgan v. United Retail Inc.</w:t>
      </w:r>
      <w:r w:rsidR="00173FF5" w:rsidRPr="007C68F1">
        <w:t xml:space="preserve"> (2010) 186 Cal.App.4th 1136 (</w:t>
      </w:r>
      <w:r w:rsidR="00173FF5" w:rsidRPr="007C68F1">
        <w:rPr>
          <w:i/>
          <w:iCs/>
        </w:rPr>
        <w:t>Morgan</w:t>
      </w:r>
      <w:r w:rsidR="00173FF5" w:rsidRPr="007C68F1">
        <w:t>)</w:t>
      </w:r>
      <w:bookmarkEnd w:id="470"/>
      <w:r w:rsidR="00173FF5" w:rsidRPr="007C68F1">
        <w:t>,</w:t>
      </w:r>
      <w:r w:rsidR="00331019" w:rsidRPr="007C68F1">
        <w:t xml:space="preserve"> section 226 did not require a separate line item showing total hours worked.</w:t>
      </w:r>
      <w:r w:rsidR="008760FC" w:rsidRPr="007C68F1">
        <w:t xml:space="preserve">  </w:t>
      </w:r>
      <w:r w:rsidR="001511AB" w:rsidRPr="007C68F1">
        <w:t>According to the medical center</w:t>
      </w:r>
      <w:r w:rsidR="008760FC" w:rsidRPr="007C68F1">
        <w:t>,</w:t>
      </w:r>
      <w:r w:rsidR="00173FF5" w:rsidRPr="007C68F1">
        <w:t xml:space="preserve"> </w:t>
      </w:r>
      <w:r w:rsidR="00943E49" w:rsidRPr="007C68F1">
        <w:t xml:space="preserve">so long as </w:t>
      </w:r>
      <w:r w:rsidR="00217C76" w:rsidRPr="007C68F1">
        <w:t xml:space="preserve">the employee </w:t>
      </w:r>
      <w:r w:rsidR="001459D8" w:rsidRPr="007C68F1">
        <w:t>could</w:t>
      </w:r>
      <w:r w:rsidRPr="007C68F1">
        <w:t xml:space="preserve"> use simple arithmetic to</w:t>
      </w:r>
      <w:r w:rsidR="00943E49" w:rsidRPr="007C68F1">
        <w:t xml:space="preserve"> </w:t>
      </w:r>
      <w:bookmarkStart w:id="471" w:name="dabmq_209"/>
      <w:r w:rsidR="00943E49" w:rsidRPr="007C68F1">
        <w:t>“</w:t>
      </w:r>
      <w:r w:rsidR="00943E49" w:rsidRPr="007C68F1">
        <w:rPr>
          <w:shd w:val="clear" w:color="auto" w:fill="FFFFFF"/>
        </w:rPr>
        <w:t>determine the sum of all hours worked without referring to time records or other documents,”</w:t>
      </w:r>
      <w:bookmarkEnd w:id="471"/>
      <w:r w:rsidR="00943E49" w:rsidRPr="007C68F1">
        <w:rPr>
          <w:shd w:val="clear" w:color="auto" w:fill="FFFFFF"/>
        </w:rPr>
        <w:t xml:space="preserve"> the wage statement complied with section 226.</w:t>
      </w:r>
      <w:r w:rsidR="00E977CF" w:rsidRPr="007C68F1">
        <w:rPr>
          <w:shd w:val="clear" w:color="auto" w:fill="FFFFFF"/>
        </w:rPr>
        <w:t xml:space="preserve"> (</w:t>
      </w:r>
      <w:bookmarkStart w:id="472" w:name="dabmci_285b583cd194400faeeb25c035f5e5b8"/>
      <w:r w:rsidR="00E977CF" w:rsidRPr="007C68F1">
        <w:rPr>
          <w:i/>
          <w:iCs/>
          <w:shd w:val="clear" w:color="auto" w:fill="FFFFFF"/>
        </w:rPr>
        <w:t>Morgan</w:t>
      </w:r>
      <w:r w:rsidR="00E977CF" w:rsidRPr="007C68F1">
        <w:rPr>
          <w:shd w:val="clear" w:color="auto" w:fill="FFFFFF"/>
        </w:rPr>
        <w:t xml:space="preserve">, </w:t>
      </w:r>
      <w:r w:rsidR="00A74220" w:rsidRPr="007C68F1">
        <w:rPr>
          <w:i/>
          <w:iCs/>
          <w:shd w:val="clear" w:color="auto" w:fill="FFFFFF"/>
        </w:rPr>
        <w:t>supra</w:t>
      </w:r>
      <w:r w:rsidR="00A74220" w:rsidRPr="007C68F1">
        <w:rPr>
          <w:shd w:val="clear" w:color="auto" w:fill="FFFFFF"/>
        </w:rPr>
        <w:t xml:space="preserve">, </w:t>
      </w:r>
      <w:r w:rsidR="00E977CF" w:rsidRPr="007C68F1">
        <w:rPr>
          <w:shd w:val="clear" w:color="auto" w:fill="FFFFFF"/>
        </w:rPr>
        <w:t>at p.</w:t>
      </w:r>
      <w:r w:rsidR="00943E49" w:rsidRPr="007C68F1">
        <w:t xml:space="preserve"> 1147</w:t>
      </w:r>
      <w:bookmarkEnd w:id="472"/>
      <w:r w:rsidR="00E977CF" w:rsidRPr="007C68F1">
        <w:t>.)</w:t>
      </w:r>
      <w:r w:rsidR="00217C76" w:rsidRPr="007C68F1">
        <w:t xml:space="preserve">  </w:t>
      </w:r>
    </w:p>
    <w:p w14:paraId="6AE27C66" w14:textId="77777777" w:rsidR="00FE175C" w:rsidRPr="007C68F1" w:rsidRDefault="00D16B2E" w:rsidP="007D1009">
      <w:pPr>
        <w:spacing w:line="480" w:lineRule="auto"/>
        <w:ind w:firstLine="720"/>
      </w:pPr>
      <w:r w:rsidRPr="007C68F1">
        <w:t xml:space="preserve">The medical center </w:t>
      </w:r>
      <w:r w:rsidR="003C442E" w:rsidRPr="007C68F1">
        <w:t>contended</w:t>
      </w:r>
      <w:r w:rsidRPr="007C68F1">
        <w:t xml:space="preserve"> that common proof of liability was lac</w:t>
      </w:r>
      <w:r w:rsidR="0072677A" w:rsidRPr="007C68F1">
        <w:t xml:space="preserve">king because the employees’ wage statements </w:t>
      </w:r>
      <w:r w:rsidR="00161EC3" w:rsidRPr="007C68F1">
        <w:t>differed greatly</w:t>
      </w:r>
      <w:r w:rsidR="0072677A" w:rsidRPr="007C68F1">
        <w:t xml:space="preserve">.  </w:t>
      </w:r>
      <w:r w:rsidR="00EF4FD8" w:rsidRPr="007C68F1">
        <w:t>Even before June 2018, s</w:t>
      </w:r>
      <w:r w:rsidR="0072677A" w:rsidRPr="007C68F1">
        <w:t xml:space="preserve">ome </w:t>
      </w:r>
      <w:r w:rsidR="00EF4FD8" w:rsidRPr="007C68F1">
        <w:t xml:space="preserve">employees </w:t>
      </w:r>
      <w:r w:rsidR="0072677A" w:rsidRPr="007C68F1">
        <w:t>received simple wage statements</w:t>
      </w:r>
      <w:r w:rsidR="001459D8" w:rsidRPr="007C68F1">
        <w:t xml:space="preserve"> </w:t>
      </w:r>
      <w:r w:rsidR="0030692F" w:rsidRPr="007C68F1">
        <w:t xml:space="preserve">that did not require arithmetic at all to </w:t>
      </w:r>
      <w:r w:rsidR="0030692F" w:rsidRPr="007C68F1">
        <w:lastRenderedPageBreak/>
        <w:t xml:space="preserve">determine the total hours worked, </w:t>
      </w:r>
      <w:r w:rsidR="00161EC3" w:rsidRPr="007C68F1">
        <w:t xml:space="preserve">such as this one: </w:t>
      </w:r>
      <w:r w:rsidR="00C61509">
        <w:t xml:space="preserve"> </w:t>
      </w:r>
      <w:r w:rsidR="00161EC3" w:rsidRPr="007C68F1">
        <w:rPr>
          <w:noProof/>
        </w:rPr>
        <w:drawing>
          <wp:inline distT="0" distB="0" distL="0" distR="0" wp14:anchorId="1CD1B623" wp14:editId="34452911">
            <wp:extent cx="5330190" cy="13944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073899"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330190" cy="1394460"/>
                    </a:xfrm>
                    <a:prstGeom prst="rect">
                      <a:avLst/>
                    </a:prstGeom>
                    <a:noFill/>
                    <a:ln>
                      <a:noFill/>
                    </a:ln>
                  </pic:spPr>
                </pic:pic>
              </a:graphicData>
            </a:graphic>
          </wp:inline>
        </w:drawing>
      </w:r>
    </w:p>
    <w:p w14:paraId="0DCB557C" w14:textId="77777777" w:rsidR="008E52FE" w:rsidRPr="007C68F1" w:rsidRDefault="00D16B2E" w:rsidP="007D1009">
      <w:pPr>
        <w:spacing w:line="480" w:lineRule="auto"/>
      </w:pPr>
      <w:r w:rsidRPr="007C68F1">
        <w:t xml:space="preserve">This employee worked 80 </w:t>
      </w:r>
      <w:r w:rsidR="00BA12FF" w:rsidRPr="007C68F1">
        <w:t xml:space="preserve">regular </w:t>
      </w:r>
      <w:r w:rsidRPr="007C68F1">
        <w:t>hours during the pay period</w:t>
      </w:r>
      <w:r w:rsidR="00BA12FF" w:rsidRPr="007C68F1">
        <w:t xml:space="preserve">, and </w:t>
      </w:r>
      <w:r w:rsidR="00D2137E" w:rsidRPr="007C68F1">
        <w:t xml:space="preserve">the </w:t>
      </w:r>
      <w:r w:rsidR="00BA12FF" w:rsidRPr="007C68F1">
        <w:t xml:space="preserve">line item for the total accurately reported 80 </w:t>
      </w:r>
      <w:r w:rsidR="00D2137E" w:rsidRPr="007C68F1">
        <w:t>total hours worked</w:t>
      </w:r>
      <w:r w:rsidRPr="007C68F1">
        <w:t>.  Other</w:t>
      </w:r>
      <w:r w:rsidR="00512410" w:rsidRPr="007C68F1">
        <w:t xml:space="preserve"> employees</w:t>
      </w:r>
      <w:r w:rsidR="00BA12FF" w:rsidRPr="007C68F1">
        <w:t xml:space="preserve"> received wage statements that included regular hours and overtime hours, like this one:</w:t>
      </w:r>
      <w:r w:rsidR="00C61509">
        <w:t xml:space="preserve">  </w:t>
      </w:r>
    </w:p>
    <w:p w14:paraId="4C9B3669" w14:textId="77777777" w:rsidR="00BA12FF" w:rsidRPr="007C68F1" w:rsidRDefault="00D16B2E" w:rsidP="007D1009">
      <w:pPr>
        <w:spacing w:line="480" w:lineRule="auto"/>
      </w:pPr>
      <w:r w:rsidRPr="007C68F1">
        <w:rPr>
          <w:noProof/>
        </w:rPr>
        <w:drawing>
          <wp:inline distT="0" distB="0" distL="0" distR="0" wp14:anchorId="5C454E89" wp14:editId="69E2C40B">
            <wp:extent cx="5353050" cy="1087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5124"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53050" cy="1087755"/>
                    </a:xfrm>
                    <a:prstGeom prst="rect">
                      <a:avLst/>
                    </a:prstGeom>
                    <a:noFill/>
                    <a:ln>
                      <a:noFill/>
                    </a:ln>
                  </pic:spPr>
                </pic:pic>
              </a:graphicData>
            </a:graphic>
          </wp:inline>
        </w:drawing>
      </w:r>
    </w:p>
    <w:p w14:paraId="7983351B" w14:textId="77777777" w:rsidR="00D2137E" w:rsidRPr="007C68F1" w:rsidRDefault="00D16B2E" w:rsidP="007D1009">
      <w:pPr>
        <w:spacing w:line="480" w:lineRule="auto"/>
      </w:pPr>
      <w:r w:rsidRPr="007C68F1">
        <w:t>This</w:t>
      </w:r>
      <w:r w:rsidR="00BA12FF" w:rsidRPr="007C68F1">
        <w:t xml:space="preserve"> employee worked 79.8 regular hours and 0.8 overtime hours, and the line item for the total accurately reported 80.6 total hours worked</w:t>
      </w:r>
      <w:r w:rsidRPr="007C68F1">
        <w:t>.</w:t>
      </w:r>
    </w:p>
    <w:p w14:paraId="39993A48" w14:textId="77777777" w:rsidR="00BA12FF" w:rsidRPr="007C68F1" w:rsidRDefault="00D16B2E" w:rsidP="007D1009">
      <w:pPr>
        <w:spacing w:line="480" w:lineRule="auto"/>
        <w:ind w:firstLine="720"/>
      </w:pPr>
      <w:r w:rsidRPr="007C68F1">
        <w:t>Other</w:t>
      </w:r>
      <w:r w:rsidR="00D2137E" w:rsidRPr="007C68F1">
        <w:t xml:space="preserve"> employees received more complex wage statements, like</w:t>
      </w:r>
      <w:r w:rsidR="00512410" w:rsidRPr="007C68F1">
        <w:t xml:space="preserve"> </w:t>
      </w:r>
      <w:r w:rsidR="006F034F" w:rsidRPr="007C68F1">
        <w:t>this one</w:t>
      </w:r>
      <w:r w:rsidR="00512410" w:rsidRPr="007C68F1">
        <w:t xml:space="preserve"> that Woodworth received</w:t>
      </w:r>
      <w:r w:rsidR="00277310" w:rsidRPr="007C68F1">
        <w:t xml:space="preserve"> in April 2012</w:t>
      </w:r>
      <w:r w:rsidR="00512410" w:rsidRPr="007C68F1">
        <w:t>:</w:t>
      </w:r>
      <w:r w:rsidR="00C61509">
        <w:t xml:space="preserve">  </w:t>
      </w:r>
    </w:p>
    <w:p w14:paraId="465D9E2B" w14:textId="77777777" w:rsidR="00943E49" w:rsidRPr="007C68F1" w:rsidRDefault="00D16B2E" w:rsidP="007D1009">
      <w:pPr>
        <w:spacing w:line="480" w:lineRule="auto"/>
      </w:pPr>
      <w:r w:rsidRPr="007C68F1">
        <w:rPr>
          <w:noProof/>
        </w:rPr>
        <w:drawing>
          <wp:inline distT="0" distB="0" distL="0" distR="0" wp14:anchorId="3B87D7E0" wp14:editId="65718C35">
            <wp:extent cx="5487035" cy="18091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14299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87035" cy="1809115"/>
                    </a:xfrm>
                    <a:prstGeom prst="rect">
                      <a:avLst/>
                    </a:prstGeom>
                    <a:noFill/>
                    <a:ln>
                      <a:noFill/>
                    </a:ln>
                  </pic:spPr>
                </pic:pic>
              </a:graphicData>
            </a:graphic>
          </wp:inline>
        </w:drawing>
      </w:r>
    </w:p>
    <w:p w14:paraId="1089B270" w14:textId="77777777" w:rsidR="00F61AE0" w:rsidRPr="007C68F1" w:rsidRDefault="00D16B2E" w:rsidP="007D1009">
      <w:pPr>
        <w:spacing w:line="480" w:lineRule="auto"/>
        <w:rPr>
          <w:shd w:val="clear" w:color="auto" w:fill="FFFFFF"/>
        </w:rPr>
      </w:pPr>
      <w:r w:rsidRPr="007C68F1">
        <w:rPr>
          <w:shd w:val="clear" w:color="auto" w:fill="FFFFFF"/>
        </w:rPr>
        <w:lastRenderedPageBreak/>
        <w:t>During this two-week pay period, Woodworth worked 73 regular hours, 0.8 double time</w:t>
      </w:r>
      <w:r w:rsidRPr="007C68F1">
        <w:rPr>
          <w:shd w:val="clear" w:color="auto" w:fill="FFFFFF"/>
        </w:rPr>
        <w:t xml:space="preserve"> hours one week, and 0.3 double time hours the second week, for a total of </w:t>
      </w:r>
      <w:r w:rsidR="003F260F" w:rsidRPr="007C68F1">
        <w:rPr>
          <w:shd w:val="clear" w:color="auto" w:fill="FFFFFF"/>
        </w:rPr>
        <w:t>74.1 hours</w:t>
      </w:r>
      <w:r w:rsidRPr="007C68F1">
        <w:rPr>
          <w:shd w:val="clear" w:color="auto" w:fill="FFFFFF"/>
        </w:rPr>
        <w:t>.</w:t>
      </w:r>
      <w:r w:rsidR="003F260F" w:rsidRPr="007C68F1">
        <w:rPr>
          <w:shd w:val="clear" w:color="auto" w:fill="FFFFFF"/>
        </w:rPr>
        <w:t xml:space="preserve">  </w:t>
      </w:r>
      <w:r w:rsidR="00A70527" w:rsidRPr="007C68F1">
        <w:rPr>
          <w:shd w:val="clear" w:color="auto" w:fill="FFFFFF"/>
        </w:rPr>
        <w:t>T</w:t>
      </w:r>
      <w:r w:rsidR="003F260F" w:rsidRPr="007C68F1">
        <w:rPr>
          <w:shd w:val="clear" w:color="auto" w:fill="FFFFFF"/>
        </w:rPr>
        <w:t xml:space="preserve">he wage statement also reported that she worked 70.4 hours for which the medical center paid her a night differential.  Those night differential hours </w:t>
      </w:r>
      <w:r w:rsidR="004576B0" w:rsidRPr="007C68F1">
        <w:rPr>
          <w:shd w:val="clear" w:color="auto" w:fill="FFFFFF"/>
        </w:rPr>
        <w:t xml:space="preserve">were part of the 74.1 hours that she had worked.  But the </w:t>
      </w:r>
      <w:r w:rsidR="003F260F" w:rsidRPr="007C68F1">
        <w:rPr>
          <w:shd w:val="clear" w:color="auto" w:fill="FFFFFF"/>
        </w:rPr>
        <w:t>line item reporting the total</w:t>
      </w:r>
      <w:r w:rsidR="00A70527" w:rsidRPr="007C68F1">
        <w:rPr>
          <w:shd w:val="clear" w:color="auto" w:fill="FFFFFF"/>
        </w:rPr>
        <w:t xml:space="preserve"> hours</w:t>
      </w:r>
      <w:r w:rsidR="004576B0" w:rsidRPr="007C68F1">
        <w:rPr>
          <w:shd w:val="clear" w:color="auto" w:fill="FFFFFF"/>
        </w:rPr>
        <w:t xml:space="preserve"> added the night differential hours to the 74.1 hours she had worked, </w:t>
      </w:r>
      <w:r w:rsidR="003F260F" w:rsidRPr="007C68F1">
        <w:rPr>
          <w:shd w:val="clear" w:color="auto" w:fill="FFFFFF"/>
        </w:rPr>
        <w:t xml:space="preserve">so </w:t>
      </w:r>
      <w:r w:rsidR="00A70527" w:rsidRPr="007C68F1">
        <w:rPr>
          <w:shd w:val="clear" w:color="auto" w:fill="FFFFFF"/>
        </w:rPr>
        <w:t>the wage statement reported 144.50 total hours.</w:t>
      </w:r>
      <w:r w:rsidR="004576B0" w:rsidRPr="007C68F1">
        <w:rPr>
          <w:shd w:val="clear" w:color="auto" w:fill="FFFFFF"/>
        </w:rPr>
        <w:t xml:space="preserve">  Woodworth testified at her deposition, however, that she </w:t>
      </w:r>
      <w:r w:rsidR="00A65E8C" w:rsidRPr="007C68F1">
        <w:rPr>
          <w:shd w:val="clear" w:color="auto" w:fill="FFFFFF"/>
        </w:rPr>
        <w:t xml:space="preserve">could determine her total hours worked by adding the regular hours and the double time hours, and she could determine from this wage statement that she had worked 74.1 hours during the pay period. </w:t>
      </w:r>
    </w:p>
    <w:p w14:paraId="0D8F2BDC" w14:textId="77777777" w:rsidR="00E40255" w:rsidRPr="007C68F1" w:rsidRDefault="00D16B2E" w:rsidP="007D1009">
      <w:pPr>
        <w:spacing w:line="480" w:lineRule="auto"/>
        <w:rPr>
          <w:shd w:val="clear" w:color="auto" w:fill="FFFFFF"/>
        </w:rPr>
      </w:pPr>
      <w:r w:rsidRPr="007C68F1">
        <w:rPr>
          <w:shd w:val="clear" w:color="auto" w:fill="FFFFFF"/>
        </w:rPr>
        <w:tab/>
      </w:r>
      <w:r w:rsidRPr="007C68F1">
        <w:rPr>
          <w:shd w:val="clear" w:color="auto" w:fill="FFFFFF"/>
        </w:rPr>
        <w:t xml:space="preserve">The medical center argued that Woodworth’s theory of liability turned on the complexity of the wage statement and whether the employee could use simple arithmetic </w:t>
      </w:r>
      <w:r w:rsidR="007F45C9" w:rsidRPr="007C68F1">
        <w:rPr>
          <w:shd w:val="clear" w:color="auto" w:fill="FFFFFF"/>
        </w:rPr>
        <w:t>to determine total hours worked, which would require individual inquiries for each employee and each wage statement.</w:t>
      </w:r>
      <w:r w:rsidR="008B4DF8" w:rsidRPr="007C68F1">
        <w:rPr>
          <w:shd w:val="clear" w:color="auto" w:fill="FFFFFF"/>
        </w:rPr>
        <w:t xml:space="preserve">  </w:t>
      </w:r>
      <w:r w:rsidR="00761DE3" w:rsidRPr="007C68F1">
        <w:rPr>
          <w:shd w:val="clear" w:color="auto" w:fill="FFFFFF"/>
        </w:rPr>
        <w:t xml:space="preserve">The medical center would seek to introduce the wage statements of hundreds of employees and would call those employees to testify that they had no difficulty determining the total hours worked from their wage statements.  </w:t>
      </w:r>
      <w:r w:rsidR="007F45C9" w:rsidRPr="007C68F1">
        <w:rPr>
          <w:shd w:val="clear" w:color="auto" w:fill="FFFFFF"/>
        </w:rPr>
        <w:t>Thus, individual questions predominated</w:t>
      </w:r>
      <w:r w:rsidR="00761DE3" w:rsidRPr="007C68F1">
        <w:rPr>
          <w:shd w:val="clear" w:color="auto" w:fill="FFFFFF"/>
        </w:rPr>
        <w:t>, and Woodworth had no manageable trial plan for that</w:t>
      </w:r>
      <w:r w:rsidR="007F45C9" w:rsidRPr="007C68F1">
        <w:rPr>
          <w:shd w:val="clear" w:color="auto" w:fill="FFFFFF"/>
        </w:rPr>
        <w:t>.</w:t>
      </w:r>
      <w:r w:rsidRPr="007C68F1">
        <w:rPr>
          <w:shd w:val="clear" w:color="auto" w:fill="FFFFFF"/>
        </w:rPr>
        <w:t xml:space="preserve"> </w:t>
      </w:r>
      <w:r w:rsidR="00761DE3" w:rsidRPr="007C68F1">
        <w:rPr>
          <w:shd w:val="clear" w:color="auto" w:fill="FFFFFF"/>
        </w:rPr>
        <w:t xml:space="preserve"> </w:t>
      </w:r>
      <w:r w:rsidRPr="007C68F1">
        <w:rPr>
          <w:shd w:val="clear" w:color="auto" w:fill="FFFFFF"/>
        </w:rPr>
        <w:t xml:space="preserve">In addition, the medical center argued that Woodworth </w:t>
      </w:r>
      <w:r w:rsidR="00B35E62" w:rsidRPr="007C68F1">
        <w:rPr>
          <w:shd w:val="clear" w:color="auto" w:fill="FFFFFF"/>
        </w:rPr>
        <w:t>could not represent the class because she had admitted that she could determine her total hours worked by adding her regular hours and double time hours</w:t>
      </w:r>
      <w:r w:rsidR="008755B7" w:rsidRPr="007C68F1">
        <w:rPr>
          <w:shd w:val="clear" w:color="auto" w:fill="FFFFFF"/>
        </w:rPr>
        <w:t>.</w:t>
      </w:r>
      <w:r w:rsidR="00B35E62" w:rsidRPr="007C68F1">
        <w:rPr>
          <w:shd w:val="clear" w:color="auto" w:fill="FFFFFF"/>
        </w:rPr>
        <w:t xml:space="preserve">  </w:t>
      </w:r>
    </w:p>
    <w:p w14:paraId="4892611A" w14:textId="77777777" w:rsidR="005C4292" w:rsidRPr="007C68F1" w:rsidRDefault="00D16B2E" w:rsidP="007D1009">
      <w:pPr>
        <w:spacing w:line="480" w:lineRule="auto"/>
      </w:pPr>
      <w:r w:rsidRPr="007C68F1">
        <w:rPr>
          <w:shd w:val="clear" w:color="auto" w:fill="FFFFFF"/>
        </w:rPr>
        <w:tab/>
        <w:t xml:space="preserve">As to the derivative Wage Statement Class, the medical center argued </w:t>
      </w:r>
      <w:r w:rsidR="001F3B74" w:rsidRPr="007C68F1">
        <w:rPr>
          <w:shd w:val="clear" w:color="auto" w:fill="FFFFFF"/>
        </w:rPr>
        <w:t xml:space="preserve">that California law did not permit </w:t>
      </w:r>
      <w:r w:rsidR="00470E19" w:rsidRPr="007C68F1">
        <w:rPr>
          <w:shd w:val="clear" w:color="auto" w:fill="FFFFFF"/>
        </w:rPr>
        <w:t xml:space="preserve">derivative wage statement liability for an underlying wage </w:t>
      </w:r>
      <w:r w:rsidR="00470E19" w:rsidRPr="007C68F1">
        <w:rPr>
          <w:shd w:val="clear" w:color="auto" w:fill="FFFFFF"/>
        </w:rPr>
        <w:lastRenderedPageBreak/>
        <w:t xml:space="preserve">and hour violation.  </w:t>
      </w:r>
      <w:r w:rsidR="00D3488B" w:rsidRPr="007C68F1">
        <w:t xml:space="preserve">Even if a derivative claim were permitted, the medical center argued, certification of a derivate Wage Statement Class was not appropriate because certification of the underlying classes was not appropriate. </w:t>
      </w:r>
    </w:p>
    <w:p w14:paraId="32A3F58B" w14:textId="77777777" w:rsidR="00B35E62" w:rsidRPr="007C68F1" w:rsidRDefault="00D16B2E" w:rsidP="007D1009">
      <w:pPr>
        <w:spacing w:line="480" w:lineRule="auto"/>
      </w:pPr>
      <w:r w:rsidRPr="007C68F1">
        <w:tab/>
        <w:t xml:space="preserve">In Woodworth’s reply brief, </w:t>
      </w:r>
      <w:r w:rsidR="00214665" w:rsidRPr="007C68F1">
        <w:t xml:space="preserve">she argued that </w:t>
      </w:r>
      <w:r w:rsidR="00214665" w:rsidRPr="007C68F1">
        <w:rPr>
          <w:i/>
          <w:iCs/>
        </w:rPr>
        <w:t>Morgan</w:t>
      </w:r>
      <w:r w:rsidR="00214665" w:rsidRPr="007C68F1">
        <w:t xml:space="preserve"> did not apply because it was factually distinguishable</w:t>
      </w:r>
      <w:r w:rsidR="00E41621" w:rsidRPr="007C68F1">
        <w:t>, and in any event, whether it applied was a legal question common to the entire class</w:t>
      </w:r>
      <w:r w:rsidR="00214665" w:rsidRPr="007C68F1">
        <w:t>.</w:t>
      </w:r>
      <w:r w:rsidR="00E41621" w:rsidRPr="007C68F1">
        <w:t xml:space="preserve">  </w:t>
      </w:r>
      <w:r w:rsidR="00214665" w:rsidRPr="007C68F1">
        <w:t xml:space="preserve">She further </w:t>
      </w:r>
      <w:r w:rsidRPr="007C68F1">
        <w:t xml:space="preserve">argued that </w:t>
      </w:r>
      <w:r w:rsidR="00385B11" w:rsidRPr="007C68F1">
        <w:t xml:space="preserve">even if </w:t>
      </w:r>
      <w:r w:rsidR="00F62D2B" w:rsidRPr="007C68F1">
        <w:t xml:space="preserve">the medical center </w:t>
      </w:r>
      <w:r w:rsidR="00214665" w:rsidRPr="007C68F1">
        <w:t>were</w:t>
      </w:r>
      <w:r w:rsidR="00F62D2B" w:rsidRPr="007C68F1">
        <w:t xml:space="preserve"> not required to include </w:t>
      </w:r>
      <w:r w:rsidR="00D940D5" w:rsidRPr="007C68F1">
        <w:t>a single</w:t>
      </w:r>
      <w:r w:rsidR="00F62D2B" w:rsidRPr="007C68F1">
        <w:t xml:space="preserve"> line item accurately reporting total hours worked, there was a common predomina</w:t>
      </w:r>
      <w:r w:rsidR="005D4D62" w:rsidRPr="007C68F1">
        <w:t>nt</w:t>
      </w:r>
      <w:r w:rsidR="00F62D2B" w:rsidRPr="007C68F1">
        <w:t xml:space="preserve"> question as to whether employees could determine their total hours </w:t>
      </w:r>
      <w:r w:rsidR="003C361C" w:rsidRPr="007C68F1">
        <w:t xml:space="preserve">worked </w:t>
      </w:r>
      <w:r w:rsidR="00F62D2B" w:rsidRPr="007C68F1">
        <w:t xml:space="preserve">from the more complex wage statements.  </w:t>
      </w:r>
      <w:r w:rsidR="005D4D62" w:rsidRPr="007C68F1">
        <w:t xml:space="preserve">She used another of her </w:t>
      </w:r>
      <w:r w:rsidR="00C33B1A" w:rsidRPr="007C68F1">
        <w:t xml:space="preserve">wage </w:t>
      </w:r>
      <w:r w:rsidR="005D4D62" w:rsidRPr="007C68F1">
        <w:t>statements as an example</w:t>
      </w:r>
      <w:r w:rsidR="00BE29F2" w:rsidRPr="007C68F1">
        <w:t>, this one from October 2013</w:t>
      </w:r>
      <w:r w:rsidR="003C0CAC" w:rsidRPr="007C68F1">
        <w:t>:</w:t>
      </w:r>
      <w:r w:rsidR="005D4D62" w:rsidRPr="007C68F1">
        <w:t xml:space="preserve"> </w:t>
      </w:r>
      <w:r w:rsidR="00C61509">
        <w:t xml:space="preserve"> </w:t>
      </w:r>
    </w:p>
    <w:p w14:paraId="570F99D4" w14:textId="77777777" w:rsidR="008704EC" w:rsidRPr="00032059" w:rsidRDefault="00D16B2E" w:rsidP="007D1009">
      <w:pPr>
        <w:spacing w:line="480" w:lineRule="auto"/>
        <w:rPr>
          <w:rFonts w:ascii="Source Sans Pro" w:hAnsi="Source Sans Pro"/>
          <w:sz w:val="24"/>
          <w:szCs w:val="24"/>
          <w:shd w:val="clear" w:color="auto" w:fill="FFFFFF"/>
        </w:rPr>
      </w:pPr>
      <w:r w:rsidRPr="007C68F1">
        <w:rPr>
          <w:noProof/>
        </w:rPr>
        <w:drawing>
          <wp:inline distT="0" distB="0" distL="0" distR="0" wp14:anchorId="501CB34E" wp14:editId="7817A04F">
            <wp:extent cx="5504180" cy="2015490"/>
            <wp:effectExtent l="0" t="0" r="127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613704"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504180" cy="2015490"/>
                    </a:xfrm>
                    <a:prstGeom prst="rect">
                      <a:avLst/>
                    </a:prstGeom>
                    <a:noFill/>
                    <a:ln>
                      <a:noFill/>
                    </a:ln>
                  </pic:spPr>
                </pic:pic>
              </a:graphicData>
            </a:graphic>
          </wp:inline>
        </w:drawing>
      </w:r>
    </w:p>
    <w:p w14:paraId="0C8D4D09" w14:textId="77777777" w:rsidR="008704EC" w:rsidRPr="007C68F1" w:rsidRDefault="00D16B2E" w:rsidP="007D1009">
      <w:pPr>
        <w:spacing w:line="480" w:lineRule="auto"/>
        <w:rPr>
          <w:shd w:val="clear" w:color="auto" w:fill="FFFFFF"/>
        </w:rPr>
      </w:pPr>
      <w:r w:rsidRPr="007C68F1">
        <w:rPr>
          <w:shd w:val="clear" w:color="auto" w:fill="FFFFFF"/>
        </w:rPr>
        <w:t xml:space="preserve">The line item </w:t>
      </w:r>
      <w:r w:rsidR="003C54BF" w:rsidRPr="007C68F1">
        <w:rPr>
          <w:shd w:val="clear" w:color="auto" w:fill="FFFFFF"/>
        </w:rPr>
        <w:t xml:space="preserve">reporting total hours </w:t>
      </w:r>
      <w:r w:rsidRPr="007C68F1">
        <w:rPr>
          <w:shd w:val="clear" w:color="auto" w:fill="FFFFFF"/>
        </w:rPr>
        <w:t xml:space="preserve">did not accurately reflect her total hours worked for </w:t>
      </w:r>
      <w:r w:rsidR="003C54BF" w:rsidRPr="007C68F1">
        <w:rPr>
          <w:shd w:val="clear" w:color="auto" w:fill="FFFFFF"/>
        </w:rPr>
        <w:t>the</w:t>
      </w:r>
      <w:r w:rsidRPr="007C68F1">
        <w:rPr>
          <w:shd w:val="clear" w:color="auto" w:fill="FFFFFF"/>
        </w:rPr>
        <w:t xml:space="preserve"> period</w:t>
      </w:r>
      <w:r w:rsidR="003C54BF" w:rsidRPr="007C68F1">
        <w:rPr>
          <w:shd w:val="clear" w:color="auto" w:fill="FFFFFF"/>
        </w:rPr>
        <w:t xml:space="preserve">, because the figure included night differential hours, weekend differential hours, and paid leave hours.  </w:t>
      </w:r>
      <w:r w:rsidRPr="007C68F1">
        <w:rPr>
          <w:shd w:val="clear" w:color="auto" w:fill="FFFFFF"/>
        </w:rPr>
        <w:t xml:space="preserve">The </w:t>
      </w:r>
      <w:r w:rsidR="0032324B" w:rsidRPr="007C68F1">
        <w:rPr>
          <w:shd w:val="clear" w:color="auto" w:fill="FFFFFF"/>
        </w:rPr>
        <w:t xml:space="preserve">line item for </w:t>
      </w:r>
      <w:r w:rsidRPr="007C68F1">
        <w:rPr>
          <w:shd w:val="clear" w:color="auto" w:fill="FFFFFF"/>
        </w:rPr>
        <w:t>nig</w:t>
      </w:r>
      <w:r w:rsidRPr="007C68F1">
        <w:rPr>
          <w:shd w:val="clear" w:color="auto" w:fill="FFFFFF"/>
        </w:rPr>
        <w:t xml:space="preserve">ht differential and weekend differential hours </w:t>
      </w:r>
      <w:r w:rsidR="003C54BF" w:rsidRPr="007C68F1">
        <w:rPr>
          <w:shd w:val="clear" w:color="auto" w:fill="FFFFFF"/>
        </w:rPr>
        <w:t xml:space="preserve">merely reported extra pay </w:t>
      </w:r>
      <w:r w:rsidR="0032324B" w:rsidRPr="007C68F1">
        <w:rPr>
          <w:shd w:val="clear" w:color="auto" w:fill="FFFFFF"/>
        </w:rPr>
        <w:t xml:space="preserve">that </w:t>
      </w:r>
      <w:r w:rsidR="003C54BF" w:rsidRPr="007C68F1">
        <w:rPr>
          <w:shd w:val="clear" w:color="auto" w:fill="FFFFFF"/>
        </w:rPr>
        <w:t>she received for working night and weekend shifts, and she did not work during the paid sick leave hours.</w:t>
      </w:r>
      <w:r w:rsidR="009E7BB9" w:rsidRPr="007C68F1">
        <w:rPr>
          <w:shd w:val="clear" w:color="auto" w:fill="FFFFFF"/>
        </w:rPr>
        <w:t xml:space="preserve">  Thus, the total reported on more </w:t>
      </w:r>
      <w:r w:rsidR="009E7BB9" w:rsidRPr="007C68F1">
        <w:rPr>
          <w:shd w:val="clear" w:color="auto" w:fill="FFFFFF"/>
        </w:rPr>
        <w:lastRenderedPageBreak/>
        <w:t xml:space="preserve">complex wage statements like this one double-counted some work hours </w:t>
      </w:r>
      <w:r w:rsidR="00C33B1A" w:rsidRPr="007C68F1">
        <w:rPr>
          <w:shd w:val="clear" w:color="auto" w:fill="FFFFFF"/>
        </w:rPr>
        <w:t>and</w:t>
      </w:r>
      <w:r w:rsidR="009E7BB9" w:rsidRPr="007C68F1">
        <w:rPr>
          <w:shd w:val="clear" w:color="auto" w:fill="FFFFFF"/>
        </w:rPr>
        <w:t xml:space="preserve"> included some nonwork hours.</w:t>
      </w:r>
    </w:p>
    <w:p w14:paraId="23D0FEC7" w14:textId="77777777" w:rsidR="00F130D6" w:rsidRPr="007C68F1" w:rsidRDefault="00D16B2E" w:rsidP="007D1009">
      <w:pPr>
        <w:spacing w:line="480" w:lineRule="auto"/>
        <w:rPr>
          <w:shd w:val="clear" w:color="auto" w:fill="FFFFFF"/>
        </w:rPr>
      </w:pPr>
      <w:r w:rsidRPr="007C68F1">
        <w:rPr>
          <w:shd w:val="clear" w:color="auto" w:fill="FFFFFF"/>
        </w:rPr>
        <w:tab/>
      </w:r>
      <w:r w:rsidR="00D20036" w:rsidRPr="007C68F1">
        <w:rPr>
          <w:shd w:val="clear" w:color="auto" w:fill="FFFFFF"/>
        </w:rPr>
        <w:t xml:space="preserve">Woodworth </w:t>
      </w:r>
      <w:r w:rsidR="00907617" w:rsidRPr="007C68F1">
        <w:rPr>
          <w:shd w:val="clear" w:color="auto" w:fill="FFFFFF"/>
        </w:rPr>
        <w:t>relied again on Kriegler’s</w:t>
      </w:r>
      <w:r w:rsidR="00D20036" w:rsidRPr="007C68F1">
        <w:rPr>
          <w:shd w:val="clear" w:color="auto" w:fill="FFFFFF"/>
        </w:rPr>
        <w:t xml:space="preserve"> declaration in support of her reply brief.  He </w:t>
      </w:r>
      <w:r w:rsidR="00383D83" w:rsidRPr="007C68F1">
        <w:rPr>
          <w:shd w:val="clear" w:color="auto" w:fill="FFFFFF"/>
        </w:rPr>
        <w:t xml:space="preserve">had examined the </w:t>
      </w:r>
      <w:r w:rsidR="00E42396" w:rsidRPr="007C68F1">
        <w:rPr>
          <w:shd w:val="clear" w:color="auto" w:fill="FFFFFF"/>
        </w:rPr>
        <w:t>payroll data</w:t>
      </w:r>
      <w:r w:rsidR="00383D83" w:rsidRPr="007C68F1">
        <w:rPr>
          <w:shd w:val="clear" w:color="auto" w:fill="FFFFFF"/>
        </w:rPr>
        <w:t xml:space="preserve"> for all current and former employees from June 2013 to August 2015.  According to him, </w:t>
      </w:r>
      <w:r w:rsidR="00D20036" w:rsidRPr="007C68F1">
        <w:rPr>
          <w:shd w:val="clear" w:color="auto" w:fill="FFFFFF"/>
        </w:rPr>
        <w:t xml:space="preserve">90.4 percent of </w:t>
      </w:r>
      <w:r w:rsidR="00434AFE" w:rsidRPr="007C68F1">
        <w:rPr>
          <w:shd w:val="clear" w:color="auto" w:fill="FFFFFF"/>
        </w:rPr>
        <w:t>the</w:t>
      </w:r>
      <w:r w:rsidR="00D20036" w:rsidRPr="007C68F1">
        <w:rPr>
          <w:shd w:val="clear" w:color="auto" w:fill="FFFFFF"/>
        </w:rPr>
        <w:t xml:space="preserve"> </w:t>
      </w:r>
      <w:r w:rsidR="00434AFE" w:rsidRPr="007C68F1">
        <w:rPr>
          <w:shd w:val="clear" w:color="auto" w:fill="FFFFFF"/>
        </w:rPr>
        <w:t xml:space="preserve">pay periods </w:t>
      </w:r>
      <w:r w:rsidR="00D20036" w:rsidRPr="007C68F1">
        <w:rPr>
          <w:shd w:val="clear" w:color="auto" w:fill="FFFFFF"/>
        </w:rPr>
        <w:t>included hours for shift differentials, paid time off, and/or holiday bonus</w:t>
      </w:r>
      <w:r w:rsidR="003C361C" w:rsidRPr="007C68F1">
        <w:rPr>
          <w:shd w:val="clear" w:color="auto" w:fill="FFFFFF"/>
        </w:rPr>
        <w:t>es</w:t>
      </w:r>
      <w:r w:rsidR="00D20036" w:rsidRPr="007C68F1">
        <w:rPr>
          <w:shd w:val="clear" w:color="auto" w:fill="FFFFFF"/>
        </w:rPr>
        <w:t xml:space="preserve"> in the total </w:t>
      </w:r>
      <w:r w:rsidR="00434AFE" w:rsidRPr="007C68F1">
        <w:rPr>
          <w:shd w:val="clear" w:color="auto" w:fill="FFFFFF"/>
        </w:rPr>
        <w:t>reported</w:t>
      </w:r>
      <w:r w:rsidR="003C442E" w:rsidRPr="007C68F1">
        <w:rPr>
          <w:shd w:val="clear" w:color="auto" w:fill="FFFFFF"/>
        </w:rPr>
        <w:t xml:space="preserve"> hours</w:t>
      </w:r>
      <w:r w:rsidR="00D20036" w:rsidRPr="007C68F1">
        <w:rPr>
          <w:shd w:val="clear" w:color="auto" w:fill="FFFFFF"/>
        </w:rPr>
        <w:t xml:space="preserve">.  </w:t>
      </w:r>
      <w:r w:rsidR="00D940D5" w:rsidRPr="007C68F1">
        <w:rPr>
          <w:shd w:val="clear" w:color="auto" w:fill="FFFFFF"/>
        </w:rPr>
        <w:t>Thus, t</w:t>
      </w:r>
      <w:r w:rsidR="0079079E" w:rsidRPr="007C68F1">
        <w:rPr>
          <w:shd w:val="clear" w:color="auto" w:fill="FFFFFF"/>
        </w:rPr>
        <w:t xml:space="preserve">he total did not accurately reflect hours actually worked on 90.4 percent of </w:t>
      </w:r>
      <w:r w:rsidR="003C442E" w:rsidRPr="007C68F1">
        <w:rPr>
          <w:shd w:val="clear" w:color="auto" w:fill="FFFFFF"/>
        </w:rPr>
        <w:t xml:space="preserve">the </w:t>
      </w:r>
      <w:r w:rsidR="0079079E" w:rsidRPr="007C68F1">
        <w:rPr>
          <w:shd w:val="clear" w:color="auto" w:fill="FFFFFF"/>
        </w:rPr>
        <w:t>wage statements</w:t>
      </w:r>
      <w:r w:rsidR="003C442E" w:rsidRPr="007C68F1">
        <w:rPr>
          <w:shd w:val="clear" w:color="auto" w:fill="FFFFFF"/>
        </w:rPr>
        <w:t xml:space="preserve"> for that period</w:t>
      </w:r>
      <w:r w:rsidR="0079079E" w:rsidRPr="007C68F1">
        <w:rPr>
          <w:shd w:val="clear" w:color="auto" w:fill="FFFFFF"/>
        </w:rPr>
        <w:t xml:space="preserve">.  He identified 13 earnings codes that </w:t>
      </w:r>
      <w:r w:rsidR="0086348A" w:rsidRPr="007C68F1">
        <w:rPr>
          <w:shd w:val="clear" w:color="auto" w:fill="FFFFFF"/>
        </w:rPr>
        <w:t>he characterized as shift differentials or paid time off resulting in the discrepancy.</w:t>
      </w:r>
      <w:r w:rsidR="003C361C" w:rsidRPr="007C68F1">
        <w:rPr>
          <w:shd w:val="clear" w:color="auto" w:fill="FFFFFF"/>
        </w:rPr>
        <w:t xml:space="preserve">  Woodworth contended that whether those 90.4 percent of wage statements </w:t>
      </w:r>
      <w:r w:rsidR="00214665" w:rsidRPr="007C68F1">
        <w:rPr>
          <w:shd w:val="clear" w:color="auto" w:fill="FFFFFF"/>
        </w:rPr>
        <w:t>violated</w:t>
      </w:r>
      <w:r w:rsidR="003C361C" w:rsidRPr="007C68F1">
        <w:rPr>
          <w:shd w:val="clear" w:color="auto" w:fill="FFFFFF"/>
        </w:rPr>
        <w:t xml:space="preserve"> section 226 presented a predominant legal question common to the class.</w:t>
      </w:r>
      <w:r w:rsidR="00DD5B00" w:rsidRPr="007C68F1">
        <w:rPr>
          <w:shd w:val="clear" w:color="auto" w:fill="FFFFFF"/>
        </w:rPr>
        <w:t xml:space="preserve">  The question did not require individualized inquiries because all wage statements in the group inaccurately reported total hours worked</w:t>
      </w:r>
      <w:r w:rsidR="00D940D5" w:rsidRPr="007C68F1">
        <w:rPr>
          <w:shd w:val="clear" w:color="auto" w:fill="FFFFFF"/>
        </w:rPr>
        <w:t xml:space="preserve"> by including shift differentials and paid time off</w:t>
      </w:r>
      <w:r w:rsidR="00DD5B00" w:rsidRPr="007C68F1">
        <w:rPr>
          <w:shd w:val="clear" w:color="auto" w:fill="FFFFFF"/>
        </w:rPr>
        <w:t>.</w:t>
      </w:r>
      <w:r w:rsidR="00D940D5" w:rsidRPr="007C68F1">
        <w:rPr>
          <w:shd w:val="clear" w:color="auto" w:fill="FFFFFF"/>
        </w:rPr>
        <w:t xml:space="preserve"> </w:t>
      </w:r>
      <w:r w:rsidR="003C442E" w:rsidRPr="007C68F1">
        <w:rPr>
          <w:shd w:val="clear" w:color="auto" w:fill="FFFFFF"/>
        </w:rPr>
        <w:t xml:space="preserve"> </w:t>
      </w:r>
      <w:r w:rsidR="009B6F1A" w:rsidRPr="007C68F1">
        <w:rPr>
          <w:shd w:val="clear" w:color="auto" w:fill="FFFFFF"/>
        </w:rPr>
        <w:t xml:space="preserve">Moreover, Woodworth argued, she was an adequate representative of the class.  It did not matter that </w:t>
      </w:r>
      <w:r w:rsidRPr="007C68F1">
        <w:rPr>
          <w:shd w:val="clear" w:color="auto" w:fill="FFFFFF"/>
        </w:rPr>
        <w:t xml:space="preserve">she could determine </w:t>
      </w:r>
      <w:r w:rsidR="00295873" w:rsidRPr="007C68F1">
        <w:rPr>
          <w:shd w:val="clear" w:color="auto" w:fill="FFFFFF"/>
        </w:rPr>
        <w:t>her</w:t>
      </w:r>
      <w:r w:rsidRPr="007C68F1">
        <w:rPr>
          <w:shd w:val="clear" w:color="auto" w:fill="FFFFFF"/>
        </w:rPr>
        <w:t xml:space="preserve"> total hours worked after the medical center’s counsel “‘coached’” her through the process at her deposition.</w:t>
      </w:r>
    </w:p>
    <w:p w14:paraId="23CAEE17" w14:textId="77777777" w:rsidR="0042253D" w:rsidRPr="007C68F1" w:rsidRDefault="00D16B2E" w:rsidP="007D1009">
      <w:pPr>
        <w:spacing w:line="480" w:lineRule="auto"/>
        <w:rPr>
          <w:shd w:val="clear" w:color="auto" w:fill="FFFFFF"/>
        </w:rPr>
      </w:pPr>
      <w:r w:rsidRPr="007C68F1">
        <w:rPr>
          <w:shd w:val="clear" w:color="auto" w:fill="FFFFFF"/>
        </w:rPr>
        <w:tab/>
        <w:t xml:space="preserve">The court denied certification of the </w:t>
      </w:r>
      <w:r w:rsidR="00552225" w:rsidRPr="007C68F1">
        <w:rPr>
          <w:shd w:val="clear" w:color="auto" w:fill="FFFFFF"/>
        </w:rPr>
        <w:t xml:space="preserve">stand-alone </w:t>
      </w:r>
      <w:r w:rsidRPr="007C68F1">
        <w:rPr>
          <w:shd w:val="clear" w:color="auto" w:fill="FFFFFF"/>
        </w:rPr>
        <w:t>Wage Statement Class.</w:t>
      </w:r>
      <w:r w:rsidR="00912276" w:rsidRPr="007C68F1">
        <w:rPr>
          <w:shd w:val="clear" w:color="auto" w:fill="FFFFFF"/>
        </w:rPr>
        <w:t xml:space="preserve">  </w:t>
      </w:r>
      <w:r w:rsidR="00551DB2" w:rsidRPr="007C68F1">
        <w:rPr>
          <w:shd w:val="clear" w:color="auto" w:fill="FFFFFF"/>
        </w:rPr>
        <w:t>Citing</w:t>
      </w:r>
      <w:r w:rsidR="00912276" w:rsidRPr="007C68F1">
        <w:rPr>
          <w:shd w:val="clear" w:color="auto" w:fill="FFFFFF"/>
        </w:rPr>
        <w:t xml:space="preserve"> </w:t>
      </w:r>
      <w:r w:rsidR="00912276" w:rsidRPr="007C68F1">
        <w:rPr>
          <w:i/>
          <w:iCs/>
          <w:shd w:val="clear" w:color="auto" w:fill="FFFFFF"/>
        </w:rPr>
        <w:t>Morgan</w:t>
      </w:r>
      <w:r w:rsidR="00912276" w:rsidRPr="007C68F1">
        <w:rPr>
          <w:shd w:val="clear" w:color="auto" w:fill="FFFFFF"/>
        </w:rPr>
        <w:t xml:space="preserve">, the court </w:t>
      </w:r>
      <w:r w:rsidR="00551DB2" w:rsidRPr="007C68F1">
        <w:rPr>
          <w:shd w:val="clear" w:color="auto" w:fill="FFFFFF"/>
        </w:rPr>
        <w:t>observed</w:t>
      </w:r>
      <w:r w:rsidR="00912276" w:rsidRPr="007C68F1">
        <w:rPr>
          <w:shd w:val="clear" w:color="auto" w:fill="FFFFFF"/>
        </w:rPr>
        <w:t xml:space="preserve"> that section 226 did not require a separate line item for total hours worked.  </w:t>
      </w:r>
      <w:r w:rsidRPr="007C68F1">
        <w:rPr>
          <w:shd w:val="clear" w:color="auto" w:fill="FFFFFF"/>
        </w:rPr>
        <w:t>It further observed</w:t>
      </w:r>
      <w:r w:rsidR="00551DB2" w:rsidRPr="007C68F1">
        <w:rPr>
          <w:shd w:val="clear" w:color="auto" w:fill="FFFFFF"/>
        </w:rPr>
        <w:t xml:space="preserve"> that </w:t>
      </w:r>
      <w:r w:rsidR="00912276" w:rsidRPr="007C68F1">
        <w:rPr>
          <w:shd w:val="clear" w:color="auto" w:fill="FFFFFF"/>
        </w:rPr>
        <w:t>some employees received more complex wage statements than others</w:t>
      </w:r>
      <w:r w:rsidRPr="007C68F1">
        <w:rPr>
          <w:shd w:val="clear" w:color="auto" w:fill="FFFFFF"/>
        </w:rPr>
        <w:t xml:space="preserve">.  It concluded that </w:t>
      </w:r>
      <w:r w:rsidR="00912276" w:rsidRPr="007C68F1">
        <w:rPr>
          <w:shd w:val="clear" w:color="auto" w:fill="FFFFFF"/>
        </w:rPr>
        <w:t>determining liability would require</w:t>
      </w:r>
      <w:r w:rsidR="00DD0B92" w:rsidRPr="007C68F1">
        <w:rPr>
          <w:shd w:val="clear" w:color="auto" w:fill="FFFFFF"/>
        </w:rPr>
        <w:t xml:space="preserve"> an individualized review of the allegedly noncompliant wage statements, which </w:t>
      </w:r>
      <w:r w:rsidR="00A74220" w:rsidRPr="007C68F1">
        <w:rPr>
          <w:shd w:val="clear" w:color="auto" w:fill="FFFFFF"/>
        </w:rPr>
        <w:t>‘</w:t>
      </w:r>
      <w:bookmarkStart w:id="473" w:name="dabmq_210"/>
      <w:r w:rsidR="00DD0B92" w:rsidRPr="007C68F1">
        <w:rPr>
          <w:shd w:val="clear" w:color="auto" w:fill="FFFFFF"/>
        </w:rPr>
        <w:t xml:space="preserve">“would generate different results for different employees (and different results for different wage </w:t>
      </w:r>
      <w:r w:rsidR="00DD0B92" w:rsidRPr="007C68F1">
        <w:rPr>
          <w:shd w:val="clear" w:color="auto" w:fill="FFFFFF"/>
        </w:rPr>
        <w:lastRenderedPageBreak/>
        <w:t>statements issued to the same employee).”</w:t>
      </w:r>
      <w:bookmarkEnd w:id="473"/>
      <w:r w:rsidR="00A74220" w:rsidRPr="007C68F1">
        <w:rPr>
          <w:shd w:val="clear" w:color="auto" w:fill="FFFFFF"/>
        </w:rPr>
        <w:t>’</w:t>
      </w:r>
      <w:r w:rsidR="00DD0B92" w:rsidRPr="007C68F1">
        <w:rPr>
          <w:shd w:val="clear" w:color="auto" w:fill="FFFFFF"/>
        </w:rPr>
        <w:t xml:space="preserve"> </w:t>
      </w:r>
      <w:r w:rsidR="002D10E2" w:rsidRPr="007C68F1">
        <w:rPr>
          <w:shd w:val="clear" w:color="auto" w:fill="FFFFFF"/>
        </w:rPr>
        <w:t xml:space="preserve"> The court thus ruled that common questions did not predominate. </w:t>
      </w:r>
    </w:p>
    <w:p w14:paraId="3B1C9B02" w14:textId="77777777" w:rsidR="00214665" w:rsidRPr="007C68F1" w:rsidRDefault="00D16B2E" w:rsidP="007D1009">
      <w:pPr>
        <w:spacing w:line="480" w:lineRule="auto"/>
        <w:rPr>
          <w:shd w:val="clear" w:color="auto" w:fill="FFFFFF"/>
        </w:rPr>
      </w:pPr>
      <w:r w:rsidRPr="007C68F1">
        <w:rPr>
          <w:shd w:val="clear" w:color="auto" w:fill="FFFFFF"/>
        </w:rPr>
        <w:tab/>
      </w:r>
      <w:r w:rsidR="003C442E" w:rsidRPr="007C68F1">
        <w:rPr>
          <w:shd w:val="clear" w:color="auto" w:fill="FFFFFF"/>
        </w:rPr>
        <w:t xml:space="preserve">In addition, </w:t>
      </w:r>
      <w:r w:rsidR="00D67A4D" w:rsidRPr="007C68F1">
        <w:rPr>
          <w:shd w:val="clear" w:color="auto" w:fill="FFFFFF"/>
        </w:rPr>
        <w:t>because Woodworth</w:t>
      </w:r>
      <w:r w:rsidR="003C442E" w:rsidRPr="007C68F1">
        <w:rPr>
          <w:shd w:val="clear" w:color="auto" w:fill="FFFFFF"/>
        </w:rPr>
        <w:t xml:space="preserve"> had testified that she could add the hours on her wage statement and determine her total hours worked, </w:t>
      </w:r>
      <w:r w:rsidR="00496ABD" w:rsidRPr="007C68F1">
        <w:rPr>
          <w:shd w:val="clear" w:color="auto" w:fill="FFFFFF"/>
        </w:rPr>
        <w:t xml:space="preserve">the court ruled that </w:t>
      </w:r>
      <w:r w:rsidR="003C442E" w:rsidRPr="007C68F1">
        <w:rPr>
          <w:shd w:val="clear" w:color="auto" w:fill="FFFFFF"/>
        </w:rPr>
        <w:t xml:space="preserve">she was not an adequate representative for the class.  </w:t>
      </w:r>
      <w:r w:rsidR="00F13F45" w:rsidRPr="007C68F1">
        <w:rPr>
          <w:shd w:val="clear" w:color="auto" w:fill="FFFFFF"/>
        </w:rPr>
        <w:t xml:space="preserve">As to the derivative Wage Statement Class, the court denied certification because it was denying certification on the underlying AWS Overtime and Regular Rate Classes. </w:t>
      </w:r>
    </w:p>
    <w:p w14:paraId="53736D79" w14:textId="77777777" w:rsidR="00C43D52" w:rsidRPr="007C68F1" w:rsidRDefault="00D16B2E" w:rsidP="007D1009">
      <w:pPr>
        <w:keepNext/>
        <w:spacing w:line="480" w:lineRule="auto"/>
        <w:rPr>
          <w:shd w:val="clear" w:color="auto" w:fill="FFFFFF"/>
        </w:rPr>
      </w:pPr>
      <w:r w:rsidRPr="007C68F1">
        <w:rPr>
          <w:shd w:val="clear" w:color="auto" w:fill="FFFFFF"/>
        </w:rPr>
        <w:tab/>
      </w:r>
      <w:r w:rsidRPr="007C68F1">
        <w:rPr>
          <w:shd w:val="clear" w:color="auto" w:fill="FFFFFF"/>
        </w:rPr>
        <w:tab/>
      </w:r>
      <w:r w:rsidRPr="007C68F1">
        <w:rPr>
          <w:shd w:val="clear" w:color="auto" w:fill="FFFFFF"/>
        </w:rPr>
        <w:tab/>
        <w:t xml:space="preserve">ii.  </w:t>
      </w:r>
      <w:r w:rsidRPr="007C68F1">
        <w:rPr>
          <w:i/>
          <w:iCs/>
          <w:shd w:val="clear" w:color="auto" w:fill="FFFFFF"/>
        </w:rPr>
        <w:t>Analysis</w:t>
      </w:r>
    </w:p>
    <w:p w14:paraId="0E3B9B51" w14:textId="77777777" w:rsidR="00003623" w:rsidRPr="007C68F1" w:rsidRDefault="00D16B2E" w:rsidP="007D1009">
      <w:pPr>
        <w:spacing w:line="480" w:lineRule="auto"/>
        <w:ind w:firstLine="720"/>
      </w:pPr>
      <w:r w:rsidRPr="007C68F1">
        <w:rPr>
          <w:shd w:val="clear" w:color="auto" w:fill="FFFFFF"/>
        </w:rPr>
        <w:t xml:space="preserve">As discussed, </w:t>
      </w:r>
      <w:r w:rsidR="00804610" w:rsidRPr="007C68F1">
        <w:rPr>
          <w:shd w:val="clear" w:color="auto" w:fill="FFFFFF"/>
        </w:rPr>
        <w:t xml:space="preserve">section 226, subdivision (a), requires </w:t>
      </w:r>
      <w:r w:rsidR="00B3447A" w:rsidRPr="007C68F1">
        <w:t xml:space="preserve">employers </w:t>
      </w:r>
      <w:r w:rsidR="00804610" w:rsidRPr="007C68F1">
        <w:t>to</w:t>
      </w:r>
      <w:r w:rsidR="00B3447A" w:rsidRPr="007C68F1">
        <w:t xml:space="preserve"> furnish accurate itemized wage statements showing </w:t>
      </w:r>
      <w:bookmarkStart w:id="474" w:name="dabmq_211"/>
      <w:r w:rsidR="00B3447A" w:rsidRPr="007C68F1">
        <w:t>“total hours worked by the employee</w:t>
      </w:r>
      <w:r w:rsidR="00804610" w:rsidRPr="007C68F1">
        <w:t>.</w:t>
      </w:r>
      <w:r w:rsidR="00CE29BF" w:rsidRPr="007C68F1">
        <w:t>”</w:t>
      </w:r>
      <w:bookmarkEnd w:id="474"/>
      <w:r w:rsidR="00804610" w:rsidRPr="007C68F1">
        <w:t xml:space="preserve">  Subdivision (e) of the statute </w:t>
      </w:r>
      <w:r w:rsidR="00804610" w:rsidRPr="007C68F1">
        <w:rPr>
          <w:shd w:val="clear" w:color="auto" w:fill="FFFFFF"/>
        </w:rPr>
        <w:t xml:space="preserve">describes an employer’s liability for failing to furnish </w:t>
      </w:r>
      <w:r w:rsidR="001137B0" w:rsidRPr="007C68F1">
        <w:rPr>
          <w:shd w:val="clear" w:color="auto" w:fill="FFFFFF"/>
        </w:rPr>
        <w:t xml:space="preserve">compliant </w:t>
      </w:r>
      <w:r w:rsidR="00804610" w:rsidRPr="007C68F1">
        <w:rPr>
          <w:shd w:val="clear" w:color="auto" w:fill="FFFFFF"/>
        </w:rPr>
        <w:t>wage statements</w:t>
      </w:r>
      <w:r w:rsidR="001137B0" w:rsidRPr="007C68F1">
        <w:rPr>
          <w:shd w:val="clear" w:color="auto" w:fill="FFFFFF"/>
        </w:rPr>
        <w:t xml:space="preserve">.  </w:t>
      </w:r>
      <w:r w:rsidR="00804610" w:rsidRPr="007C68F1">
        <w:rPr>
          <w:shd w:val="clear" w:color="auto" w:fill="FFFFFF"/>
        </w:rPr>
        <w:t>(</w:t>
      </w:r>
      <w:bookmarkStart w:id="475" w:name="dabmci_ead2bfaa318846488d20c5a8faf265e1"/>
      <w:r w:rsidR="00804610" w:rsidRPr="007C68F1">
        <w:rPr>
          <w:i/>
          <w:iCs/>
          <w:shd w:val="clear" w:color="auto" w:fill="FFFFFF"/>
        </w:rPr>
        <w:t>Morgan</w:t>
      </w:r>
      <w:r w:rsidR="00804610" w:rsidRPr="007C68F1">
        <w:rPr>
          <w:shd w:val="clear" w:color="auto" w:fill="FFFFFF"/>
        </w:rPr>
        <w:t xml:space="preserve">, </w:t>
      </w:r>
      <w:r w:rsidR="00804610" w:rsidRPr="007C68F1">
        <w:rPr>
          <w:i/>
          <w:iCs/>
          <w:shd w:val="clear" w:color="auto" w:fill="FFFFFF"/>
        </w:rPr>
        <w:t>supra</w:t>
      </w:r>
      <w:r w:rsidR="00804610" w:rsidRPr="007C68F1">
        <w:rPr>
          <w:shd w:val="clear" w:color="auto" w:fill="FFFFFF"/>
        </w:rPr>
        <w:t>, 186 Cal.App.4th at p. 1143</w:t>
      </w:r>
      <w:bookmarkEnd w:id="475"/>
      <w:r w:rsidR="00804610" w:rsidRPr="007C68F1">
        <w:rPr>
          <w:shd w:val="clear" w:color="auto" w:fill="FFFFFF"/>
        </w:rPr>
        <w:t xml:space="preserve">.)  </w:t>
      </w:r>
      <w:r w:rsidR="001137B0" w:rsidRPr="007C68F1">
        <w:rPr>
          <w:shd w:val="clear" w:color="auto" w:fill="FFFFFF"/>
        </w:rPr>
        <w:t>It</w:t>
      </w:r>
      <w:r w:rsidR="00804610" w:rsidRPr="007C68F1">
        <w:rPr>
          <w:shd w:val="clear" w:color="auto" w:fill="FFFFFF"/>
        </w:rPr>
        <w:t xml:space="preserve"> provides that </w:t>
      </w:r>
      <w:bookmarkStart w:id="476" w:name="dabmq_212"/>
      <w:r w:rsidR="00804610" w:rsidRPr="007C68F1">
        <w:rPr>
          <w:shd w:val="clear" w:color="auto" w:fill="FFFFFF"/>
        </w:rPr>
        <w:t>“[a]n employee suffering injury as a result of a knowing and intentional failure by an employer to comply with subdivision (a)</w:t>
      </w:r>
      <w:r w:rsidR="009B775C" w:rsidRPr="007C68F1">
        <w:rPr>
          <w:shd w:val="clear" w:color="auto" w:fill="FFFFFF"/>
        </w:rPr>
        <w:t xml:space="preserve"> </w:t>
      </w:r>
      <w:r w:rsidR="00CE29BF" w:rsidRPr="007C68F1">
        <w:rPr>
          <w:shd w:val="clear" w:color="auto" w:fill="FFFFFF"/>
        </w:rPr>
        <w:t xml:space="preserve">is entitled to recover </w:t>
      </w:r>
      <w:r w:rsidR="009B775C" w:rsidRPr="007C68F1">
        <w:rPr>
          <w:shd w:val="clear" w:color="auto" w:fill="FFFFFF"/>
        </w:rPr>
        <w:t>the greater of all actual damages”</w:t>
      </w:r>
      <w:bookmarkEnd w:id="476"/>
      <w:r w:rsidR="009B775C" w:rsidRPr="007C68F1">
        <w:rPr>
          <w:shd w:val="clear" w:color="auto" w:fill="FFFFFF"/>
        </w:rPr>
        <w:t xml:space="preserve"> or statutory penalties.  (§ 226, subd. (e)(1).)</w:t>
      </w:r>
      <w:r w:rsidR="00D85315" w:rsidRPr="007C68F1">
        <w:rPr>
          <w:shd w:val="clear" w:color="auto" w:fill="FFFFFF"/>
        </w:rPr>
        <w:t xml:space="preserve">  An employee suffers injury for this purpose if (1) the employer fails to provide the required </w:t>
      </w:r>
      <w:bookmarkStart w:id="477" w:name="dabmq_213"/>
      <w:r w:rsidR="00D85315" w:rsidRPr="007C68F1">
        <w:rPr>
          <w:shd w:val="clear" w:color="auto" w:fill="FFFFFF"/>
        </w:rPr>
        <w:t>“accurate and complete information”</w:t>
      </w:r>
      <w:bookmarkEnd w:id="477"/>
      <w:r w:rsidR="00D85315" w:rsidRPr="007C68F1">
        <w:rPr>
          <w:shd w:val="clear" w:color="auto" w:fill="FFFFFF"/>
        </w:rPr>
        <w:t xml:space="preserve"> and (2) </w:t>
      </w:r>
      <w:bookmarkStart w:id="478" w:name="dabmq_214"/>
      <w:r w:rsidR="00D85315" w:rsidRPr="007C68F1">
        <w:rPr>
          <w:shd w:val="clear" w:color="auto" w:fill="FFFFFF"/>
        </w:rPr>
        <w:t>“the employee cannot promptly and easily determine”</w:t>
      </w:r>
      <w:bookmarkEnd w:id="478"/>
      <w:r w:rsidR="00D85315" w:rsidRPr="007C68F1">
        <w:rPr>
          <w:shd w:val="clear" w:color="auto" w:fill="FFFFFF"/>
        </w:rPr>
        <w:t xml:space="preserve"> their total hours worked </w:t>
      </w:r>
      <w:bookmarkStart w:id="479" w:name="dabmq_215"/>
      <w:r w:rsidR="00D85315" w:rsidRPr="007C68F1">
        <w:rPr>
          <w:shd w:val="clear" w:color="auto" w:fill="FFFFFF"/>
        </w:rPr>
        <w:t>“from the wage statement alone.”</w:t>
      </w:r>
      <w:bookmarkEnd w:id="479"/>
      <w:r w:rsidR="00D85315" w:rsidRPr="007C68F1">
        <w:rPr>
          <w:shd w:val="clear" w:color="auto" w:fill="FFFFFF"/>
        </w:rPr>
        <w:t xml:space="preserve">  (§ 226, subd. (e)(2)(</w:t>
      </w:r>
      <w:r w:rsidRPr="007C68F1">
        <w:rPr>
          <w:shd w:val="clear" w:color="auto" w:fill="FFFFFF"/>
        </w:rPr>
        <w:t xml:space="preserve">B), (e)(2)(B)(i).)  </w:t>
      </w:r>
      <w:bookmarkStart w:id="480" w:name="dabmq_216"/>
      <w:r w:rsidR="002A0721" w:rsidRPr="007C68F1">
        <w:rPr>
          <w:shd w:val="clear" w:color="auto" w:fill="FFFFFF"/>
        </w:rPr>
        <w:t>“‘[P]</w:t>
      </w:r>
      <w:r w:rsidRPr="007C68F1">
        <w:rPr>
          <w:shd w:val="clear" w:color="auto" w:fill="FFFFFF"/>
        </w:rPr>
        <w:t>romptly and easily determine</w:t>
      </w:r>
      <w:r w:rsidR="002A0721" w:rsidRPr="007C68F1">
        <w:rPr>
          <w:shd w:val="clear" w:color="auto" w:fill="FFFFFF"/>
        </w:rPr>
        <w:t>’</w:t>
      </w:r>
      <w:r w:rsidRPr="007C68F1">
        <w:rPr>
          <w:shd w:val="clear" w:color="auto" w:fill="FFFFFF"/>
        </w:rPr>
        <w:t xml:space="preserve"> means a reasonable person would be able to readily ascertain the information without reference to other documents or information.</w:t>
      </w:r>
      <w:r w:rsidR="002A0721" w:rsidRPr="007C68F1">
        <w:rPr>
          <w:shd w:val="clear" w:color="auto" w:fill="FFFFFF"/>
        </w:rPr>
        <w:t>”</w:t>
      </w:r>
      <w:bookmarkEnd w:id="480"/>
      <w:r w:rsidR="002A0721" w:rsidRPr="007C68F1">
        <w:rPr>
          <w:shd w:val="clear" w:color="auto" w:fill="FFFFFF"/>
        </w:rPr>
        <w:t xml:space="preserve">  (§ </w:t>
      </w:r>
      <w:r w:rsidRPr="007C68F1">
        <w:t>226</w:t>
      </w:r>
      <w:r w:rsidR="002A0721" w:rsidRPr="007C68F1">
        <w:t xml:space="preserve">, subd. (e)(2)(C).)  </w:t>
      </w:r>
    </w:p>
    <w:p w14:paraId="1FC23C88" w14:textId="77777777" w:rsidR="00725471" w:rsidRPr="007C68F1" w:rsidRDefault="00D16B2E" w:rsidP="007D1009">
      <w:pPr>
        <w:spacing w:line="480" w:lineRule="auto"/>
        <w:rPr>
          <w:shd w:val="clear" w:color="auto" w:fill="FFFFFF"/>
        </w:rPr>
      </w:pPr>
      <w:r w:rsidRPr="007C68F1">
        <w:rPr>
          <w:shd w:val="clear" w:color="auto" w:fill="FFFFFF"/>
        </w:rPr>
        <w:tab/>
        <w:t>Here,</w:t>
      </w:r>
      <w:r w:rsidRPr="007C68F1">
        <w:rPr>
          <w:shd w:val="clear" w:color="auto" w:fill="FFFFFF"/>
        </w:rPr>
        <w:t xml:space="preserve"> the </w:t>
      </w:r>
      <w:r w:rsidR="00601549" w:rsidRPr="007C68F1">
        <w:rPr>
          <w:shd w:val="clear" w:color="auto" w:fill="FFFFFF"/>
        </w:rPr>
        <w:t xml:space="preserve">record does not contain substantial evidence to support the court’s predominance finding </w:t>
      </w:r>
      <w:r w:rsidR="0042253D" w:rsidRPr="007C68F1">
        <w:rPr>
          <w:shd w:val="clear" w:color="auto" w:fill="FFFFFF"/>
        </w:rPr>
        <w:t>on</w:t>
      </w:r>
      <w:r w:rsidR="00601549" w:rsidRPr="007C68F1">
        <w:rPr>
          <w:shd w:val="clear" w:color="auto" w:fill="FFFFFF"/>
        </w:rPr>
        <w:t xml:space="preserve"> the stand-alone Wage Statement Class</w:t>
      </w:r>
      <w:r w:rsidR="00551DB2" w:rsidRPr="007C68F1">
        <w:rPr>
          <w:shd w:val="clear" w:color="auto" w:fill="FFFFFF"/>
        </w:rPr>
        <w:t>.</w:t>
      </w:r>
      <w:r w:rsidR="0043781B" w:rsidRPr="007C68F1">
        <w:rPr>
          <w:shd w:val="clear" w:color="auto" w:fill="FFFFFF"/>
        </w:rPr>
        <w:t xml:space="preserve">  </w:t>
      </w:r>
      <w:r w:rsidR="00347857" w:rsidRPr="007C68F1">
        <w:rPr>
          <w:shd w:val="clear" w:color="auto" w:fill="FFFFFF"/>
        </w:rPr>
        <w:t xml:space="preserve">The evidence showed </w:t>
      </w:r>
      <w:r w:rsidR="00347857" w:rsidRPr="007C68F1">
        <w:rPr>
          <w:shd w:val="clear" w:color="auto" w:fill="FFFFFF"/>
        </w:rPr>
        <w:lastRenderedPageBreak/>
        <w:t xml:space="preserve">that </w:t>
      </w:r>
      <w:r w:rsidR="00AD60DB" w:rsidRPr="007C68F1">
        <w:rPr>
          <w:shd w:val="clear" w:color="auto" w:fill="FFFFFF"/>
        </w:rPr>
        <w:t xml:space="preserve">the simpler wage </w:t>
      </w:r>
      <w:r w:rsidR="00EF4FD8" w:rsidRPr="007C68F1">
        <w:rPr>
          <w:shd w:val="clear" w:color="auto" w:fill="FFFFFF"/>
        </w:rPr>
        <w:t xml:space="preserve">statements </w:t>
      </w:r>
      <w:r w:rsidR="00347857" w:rsidRPr="007C68F1">
        <w:rPr>
          <w:shd w:val="clear" w:color="auto" w:fill="FFFFFF"/>
        </w:rPr>
        <w:t>reported only regular hours or regular and overtime hours, and the more complex ones like Woodworth’s reported hours for differential pay and paid time off.</w:t>
      </w:r>
      <w:r w:rsidR="00095382" w:rsidRPr="007C68F1">
        <w:rPr>
          <w:shd w:val="clear" w:color="auto" w:fill="FFFFFF"/>
        </w:rPr>
        <w:t xml:space="preserve">  But that did not mean that proof of liability would require </w:t>
      </w:r>
      <w:r w:rsidR="00E42396" w:rsidRPr="007C68F1">
        <w:rPr>
          <w:shd w:val="clear" w:color="auto" w:fill="FFFFFF"/>
        </w:rPr>
        <w:t xml:space="preserve">an </w:t>
      </w:r>
      <w:r w:rsidR="00095382" w:rsidRPr="007C68F1">
        <w:rPr>
          <w:shd w:val="clear" w:color="auto" w:fill="FFFFFF"/>
        </w:rPr>
        <w:t>individualized inquir</w:t>
      </w:r>
      <w:r w:rsidR="00E42396" w:rsidRPr="007C68F1">
        <w:rPr>
          <w:shd w:val="clear" w:color="auto" w:fill="FFFFFF"/>
        </w:rPr>
        <w:t>y</w:t>
      </w:r>
      <w:r w:rsidR="00095382" w:rsidRPr="007C68F1">
        <w:rPr>
          <w:shd w:val="clear" w:color="auto" w:fill="FFFFFF"/>
        </w:rPr>
        <w:t xml:space="preserve"> for each employee</w:t>
      </w:r>
      <w:r w:rsidR="00B00982" w:rsidRPr="007C68F1">
        <w:rPr>
          <w:shd w:val="clear" w:color="auto" w:fill="FFFFFF"/>
        </w:rPr>
        <w:t xml:space="preserve"> or wage statement</w:t>
      </w:r>
      <w:r w:rsidR="00095382" w:rsidRPr="007C68F1">
        <w:rPr>
          <w:shd w:val="clear" w:color="auto" w:fill="FFFFFF"/>
        </w:rPr>
        <w:t>.</w:t>
      </w:r>
      <w:r w:rsidR="00E42396" w:rsidRPr="007C68F1">
        <w:rPr>
          <w:shd w:val="clear" w:color="auto" w:fill="FFFFFF"/>
        </w:rPr>
        <w:t xml:space="preserve">  The wage statements </w:t>
      </w:r>
      <w:r w:rsidR="00434AFE" w:rsidRPr="007C68F1">
        <w:rPr>
          <w:shd w:val="clear" w:color="auto" w:fill="FFFFFF"/>
        </w:rPr>
        <w:t xml:space="preserve">could be grouped into two categories—those reporting regular and overtime hours only, and those reporting hours under one or more of the </w:t>
      </w:r>
      <w:r w:rsidR="001C32CD" w:rsidRPr="007C68F1">
        <w:rPr>
          <w:shd w:val="clear" w:color="auto" w:fill="FFFFFF"/>
        </w:rPr>
        <w:t xml:space="preserve">earning codes that Kriegler had identified as </w:t>
      </w:r>
      <w:r w:rsidR="00434AFE" w:rsidRPr="007C68F1">
        <w:rPr>
          <w:shd w:val="clear" w:color="auto" w:fill="FFFFFF"/>
        </w:rPr>
        <w:t>shift differential</w:t>
      </w:r>
      <w:r w:rsidR="001C32CD" w:rsidRPr="007C68F1">
        <w:rPr>
          <w:shd w:val="clear" w:color="auto" w:fill="FFFFFF"/>
        </w:rPr>
        <w:t>s</w:t>
      </w:r>
      <w:r w:rsidR="00434AFE" w:rsidRPr="007C68F1">
        <w:rPr>
          <w:shd w:val="clear" w:color="auto" w:fill="FFFFFF"/>
        </w:rPr>
        <w:t xml:space="preserve"> </w:t>
      </w:r>
      <w:r w:rsidR="001C32CD" w:rsidRPr="007C68F1">
        <w:rPr>
          <w:shd w:val="clear" w:color="auto" w:fill="FFFFFF"/>
        </w:rPr>
        <w:t>or</w:t>
      </w:r>
      <w:r w:rsidR="00434AFE" w:rsidRPr="007C68F1">
        <w:rPr>
          <w:shd w:val="clear" w:color="auto" w:fill="FFFFFF"/>
        </w:rPr>
        <w:t xml:space="preserve"> paid time off</w:t>
      </w:r>
      <w:r w:rsidR="001C32CD" w:rsidRPr="007C68F1">
        <w:rPr>
          <w:shd w:val="clear" w:color="auto" w:fill="FFFFFF"/>
        </w:rPr>
        <w:t>.</w:t>
      </w:r>
      <w:r w:rsidR="009220CB" w:rsidRPr="007C68F1">
        <w:rPr>
          <w:shd w:val="clear" w:color="auto" w:fill="FFFFFF"/>
        </w:rPr>
        <w:t xml:space="preserve">  </w:t>
      </w:r>
      <w:r w:rsidR="00B00982" w:rsidRPr="007C68F1">
        <w:rPr>
          <w:shd w:val="clear" w:color="auto" w:fill="FFFFFF"/>
        </w:rPr>
        <w:t>C</w:t>
      </w:r>
      <w:r w:rsidR="008956FB" w:rsidRPr="007C68F1">
        <w:rPr>
          <w:shd w:val="clear" w:color="auto" w:fill="FFFFFF"/>
        </w:rPr>
        <w:t>ommon questions</w:t>
      </w:r>
      <w:r w:rsidR="00B00982" w:rsidRPr="007C68F1">
        <w:rPr>
          <w:shd w:val="clear" w:color="auto" w:fill="FFFFFF"/>
        </w:rPr>
        <w:t xml:space="preserve"> apply to each of the two categories</w:t>
      </w:r>
      <w:r w:rsidR="008956FB" w:rsidRPr="007C68F1">
        <w:rPr>
          <w:shd w:val="clear" w:color="auto" w:fill="FFFFFF"/>
        </w:rPr>
        <w:t>:</w:t>
      </w:r>
      <w:r w:rsidR="009220CB" w:rsidRPr="007C68F1">
        <w:rPr>
          <w:shd w:val="clear" w:color="auto" w:fill="FFFFFF"/>
        </w:rPr>
        <w:t xml:space="preserve">  Did the </w:t>
      </w:r>
      <w:r w:rsidR="00B00982" w:rsidRPr="007C68F1">
        <w:rPr>
          <w:shd w:val="clear" w:color="auto" w:fill="FFFFFF"/>
        </w:rPr>
        <w:t>wage statement</w:t>
      </w:r>
      <w:r w:rsidR="009220CB" w:rsidRPr="007C68F1">
        <w:rPr>
          <w:shd w:val="clear" w:color="auto" w:fill="FFFFFF"/>
        </w:rPr>
        <w:t xml:space="preserve"> provide accurate and complete information about total hours worked?</w:t>
      </w:r>
      <w:r w:rsidR="003E49C2" w:rsidRPr="007C68F1">
        <w:rPr>
          <w:shd w:val="clear" w:color="auto" w:fill="FFFFFF"/>
        </w:rPr>
        <w:t xml:space="preserve">  (§ 226, subd. (e)(2)(B).)  </w:t>
      </w:r>
      <w:r w:rsidR="009220CB" w:rsidRPr="007C68F1">
        <w:rPr>
          <w:shd w:val="clear" w:color="auto" w:fill="FFFFFF"/>
        </w:rPr>
        <w:t xml:space="preserve">And </w:t>
      </w:r>
      <w:r w:rsidR="00AF7C5D" w:rsidRPr="007C68F1">
        <w:rPr>
          <w:shd w:val="clear" w:color="auto" w:fill="FFFFFF"/>
        </w:rPr>
        <w:t xml:space="preserve">could </w:t>
      </w:r>
      <w:r w:rsidR="009220CB" w:rsidRPr="007C68F1">
        <w:rPr>
          <w:shd w:val="clear" w:color="auto" w:fill="FFFFFF"/>
        </w:rPr>
        <w:t xml:space="preserve">a reasonable person readily ascertain total hours worked </w:t>
      </w:r>
      <w:r w:rsidR="006E50B8" w:rsidRPr="007C68F1">
        <w:rPr>
          <w:shd w:val="clear" w:color="auto" w:fill="FFFFFF"/>
        </w:rPr>
        <w:t xml:space="preserve">from the statement alone, </w:t>
      </w:r>
      <w:r w:rsidR="009220CB" w:rsidRPr="007C68F1">
        <w:rPr>
          <w:shd w:val="clear" w:color="auto" w:fill="FFFFFF"/>
        </w:rPr>
        <w:t>without reference to other documents or information?</w:t>
      </w:r>
      <w:r w:rsidR="003E49C2" w:rsidRPr="007C68F1">
        <w:rPr>
          <w:shd w:val="clear" w:color="auto" w:fill="FFFFFF"/>
        </w:rPr>
        <w:t xml:space="preserve">  (</w:t>
      </w:r>
      <w:bookmarkStart w:id="481" w:name="dabmci_ca1dbadd05514d95aef256514a45ea6c"/>
      <w:r w:rsidR="003E49C2" w:rsidRPr="007C68F1">
        <w:rPr>
          <w:i/>
          <w:iCs/>
          <w:shd w:val="clear" w:color="auto" w:fill="FFFFFF"/>
        </w:rPr>
        <w:t>Id.</w:t>
      </w:r>
      <w:r w:rsidR="003E49C2" w:rsidRPr="007C68F1">
        <w:rPr>
          <w:shd w:val="clear" w:color="auto" w:fill="FFFFFF"/>
        </w:rPr>
        <w:t>,</w:t>
      </w:r>
      <w:bookmarkEnd w:id="481"/>
      <w:r w:rsidR="003E49C2" w:rsidRPr="007C68F1">
        <w:rPr>
          <w:shd w:val="clear" w:color="auto" w:fill="FFFFFF"/>
        </w:rPr>
        <w:t xml:space="preserve"> subd. (e)(2)(C).)</w:t>
      </w:r>
      <w:r w:rsidR="009220CB" w:rsidRPr="007C68F1">
        <w:rPr>
          <w:shd w:val="clear" w:color="auto" w:fill="FFFFFF"/>
        </w:rPr>
        <w:t xml:space="preserve">  </w:t>
      </w:r>
      <w:r w:rsidR="006E50B8" w:rsidRPr="007C68F1">
        <w:rPr>
          <w:shd w:val="clear" w:color="auto" w:fill="FFFFFF"/>
        </w:rPr>
        <w:t xml:space="preserve">As Woodworth argues, </w:t>
      </w:r>
      <w:r w:rsidR="00331351" w:rsidRPr="007C68F1">
        <w:rPr>
          <w:shd w:val="clear" w:color="auto" w:fill="FFFFFF"/>
        </w:rPr>
        <w:t>her theory of liability</w:t>
      </w:r>
      <w:r w:rsidR="008956FB" w:rsidRPr="007C68F1">
        <w:rPr>
          <w:shd w:val="clear" w:color="auto" w:fill="FFFFFF"/>
        </w:rPr>
        <w:t xml:space="preserve"> would </w:t>
      </w:r>
      <w:r w:rsidR="00B00982" w:rsidRPr="007C68F1">
        <w:rPr>
          <w:shd w:val="clear" w:color="auto" w:fill="FFFFFF"/>
        </w:rPr>
        <w:t xml:space="preserve">require review of samples from each category but not review of each wage statement.  Moreover, it would not require </w:t>
      </w:r>
      <w:r w:rsidR="00B57D12" w:rsidRPr="007C68F1">
        <w:rPr>
          <w:shd w:val="clear" w:color="auto" w:fill="FFFFFF"/>
        </w:rPr>
        <w:t>each</w:t>
      </w:r>
      <w:r w:rsidR="00340FC0" w:rsidRPr="007C68F1">
        <w:rPr>
          <w:shd w:val="clear" w:color="auto" w:fill="FFFFFF"/>
        </w:rPr>
        <w:t xml:space="preserve"> and every </w:t>
      </w:r>
      <w:r w:rsidR="00B57D12" w:rsidRPr="007C68F1">
        <w:rPr>
          <w:shd w:val="clear" w:color="auto" w:fill="FFFFFF"/>
        </w:rPr>
        <w:t xml:space="preserve">employee to testify about whether they could determine their total hours worked from any one wage statement.  </w:t>
      </w:r>
      <w:r w:rsidR="006E50B8" w:rsidRPr="007C68F1">
        <w:rPr>
          <w:shd w:val="clear" w:color="auto" w:fill="FFFFFF"/>
        </w:rPr>
        <w:t>The statute establishes an objective “reasonable person” standard for that determination</w:t>
      </w:r>
      <w:r w:rsidR="00340FC0" w:rsidRPr="007C68F1">
        <w:rPr>
          <w:shd w:val="clear" w:color="auto" w:fill="FFFFFF"/>
        </w:rPr>
        <w:t xml:space="preserve">.  Some employees’ testimony might be </w:t>
      </w:r>
      <w:r w:rsidR="00AF7C5D" w:rsidRPr="007C68F1">
        <w:rPr>
          <w:shd w:val="clear" w:color="auto" w:fill="FFFFFF"/>
        </w:rPr>
        <w:t xml:space="preserve">probative </w:t>
      </w:r>
      <w:r w:rsidR="00340FC0" w:rsidRPr="007C68F1">
        <w:rPr>
          <w:shd w:val="clear" w:color="auto" w:fill="FFFFFF"/>
        </w:rPr>
        <w:t xml:space="preserve">to establish </w:t>
      </w:r>
      <w:r w:rsidR="00907617" w:rsidRPr="007C68F1">
        <w:rPr>
          <w:shd w:val="clear" w:color="auto" w:fill="FFFFFF"/>
        </w:rPr>
        <w:t xml:space="preserve">whether </w:t>
      </w:r>
      <w:r w:rsidR="00340FC0" w:rsidRPr="007C68F1">
        <w:rPr>
          <w:shd w:val="clear" w:color="auto" w:fill="FFFFFF"/>
        </w:rPr>
        <w:t>a reasonable person could ascertain the information, but it is not a subjective, individualized inquiry</w:t>
      </w:r>
      <w:r w:rsidR="006E50B8" w:rsidRPr="007C68F1">
        <w:rPr>
          <w:shd w:val="clear" w:color="auto" w:fill="FFFFFF"/>
        </w:rPr>
        <w:t>.</w:t>
      </w:r>
      <w:r w:rsidRPr="007C68F1">
        <w:rPr>
          <w:shd w:val="clear" w:color="auto" w:fill="FFFFFF"/>
        </w:rPr>
        <w:t xml:space="preserve">  Woodworth thus showed that </w:t>
      </w:r>
      <w:r w:rsidR="00D67A4D" w:rsidRPr="007C68F1">
        <w:rPr>
          <w:shd w:val="clear" w:color="auto" w:fill="FFFFFF"/>
        </w:rPr>
        <w:t xml:space="preserve">common proof was possible and </w:t>
      </w:r>
      <w:r w:rsidRPr="007C68F1">
        <w:rPr>
          <w:shd w:val="clear" w:color="auto" w:fill="FFFFFF"/>
        </w:rPr>
        <w:t xml:space="preserve">common questions predominated, and there </w:t>
      </w:r>
      <w:r w:rsidR="00601549" w:rsidRPr="007C68F1">
        <w:rPr>
          <w:shd w:val="clear" w:color="auto" w:fill="FFFFFF"/>
        </w:rPr>
        <w:t>is</w:t>
      </w:r>
      <w:r w:rsidRPr="007C68F1">
        <w:rPr>
          <w:shd w:val="clear" w:color="auto" w:fill="FFFFFF"/>
        </w:rPr>
        <w:t xml:space="preserve"> not substantial evidence to support </w:t>
      </w:r>
      <w:r w:rsidR="00D67A4D" w:rsidRPr="007C68F1">
        <w:rPr>
          <w:shd w:val="clear" w:color="auto" w:fill="FFFFFF"/>
        </w:rPr>
        <w:t>a</w:t>
      </w:r>
      <w:r w:rsidRPr="007C68F1">
        <w:rPr>
          <w:shd w:val="clear" w:color="auto" w:fill="FFFFFF"/>
        </w:rPr>
        <w:t xml:space="preserve"> contrary conclusion.</w:t>
      </w:r>
    </w:p>
    <w:p w14:paraId="7998F988" w14:textId="77777777" w:rsidR="00330493" w:rsidRPr="007C68F1" w:rsidRDefault="00D16B2E" w:rsidP="007D1009">
      <w:pPr>
        <w:spacing w:line="480" w:lineRule="auto"/>
        <w:rPr>
          <w:shd w:val="clear" w:color="auto" w:fill="FFFFFF"/>
        </w:rPr>
      </w:pPr>
      <w:r w:rsidRPr="007C68F1">
        <w:rPr>
          <w:shd w:val="clear" w:color="auto" w:fill="FFFFFF"/>
        </w:rPr>
        <w:tab/>
      </w:r>
      <w:r w:rsidRPr="007C68F1">
        <w:rPr>
          <w:shd w:val="clear" w:color="auto" w:fill="FFFFFF"/>
        </w:rPr>
        <w:t>More</w:t>
      </w:r>
      <w:r w:rsidR="00601549" w:rsidRPr="007C68F1">
        <w:rPr>
          <w:shd w:val="clear" w:color="auto" w:fill="FFFFFF"/>
        </w:rPr>
        <w:t>o</w:t>
      </w:r>
      <w:r w:rsidRPr="007C68F1">
        <w:rPr>
          <w:shd w:val="clear" w:color="auto" w:fill="FFFFFF"/>
        </w:rPr>
        <w:t>ver, the cour</w:t>
      </w:r>
      <w:r w:rsidR="0042253D" w:rsidRPr="007C68F1">
        <w:rPr>
          <w:shd w:val="clear" w:color="auto" w:fill="FFFFFF"/>
        </w:rPr>
        <w:t xml:space="preserve">t abused its discretion by </w:t>
      </w:r>
      <w:r w:rsidR="009F4EED" w:rsidRPr="007C68F1">
        <w:rPr>
          <w:shd w:val="clear" w:color="auto" w:fill="FFFFFF"/>
        </w:rPr>
        <w:t>concluding that Woodworth was</w:t>
      </w:r>
      <w:r w:rsidR="00F54C8F" w:rsidRPr="007C68F1">
        <w:rPr>
          <w:shd w:val="clear" w:color="auto" w:fill="FFFFFF"/>
        </w:rPr>
        <w:t xml:space="preserve"> an</w:t>
      </w:r>
      <w:r w:rsidR="009F4EED" w:rsidRPr="007C68F1">
        <w:rPr>
          <w:shd w:val="clear" w:color="auto" w:fill="FFFFFF"/>
        </w:rPr>
        <w:t xml:space="preserve"> inadequate representative of the stand-alone Wage Statement Class.</w:t>
      </w:r>
      <w:r w:rsidR="00F54C8F" w:rsidRPr="007C68F1">
        <w:rPr>
          <w:shd w:val="clear" w:color="auto" w:fill="FFFFFF"/>
        </w:rPr>
        <w:t xml:space="preserve">  The trial court may conclude that the </w:t>
      </w:r>
      <w:r w:rsidR="00D30909" w:rsidRPr="007C68F1">
        <w:rPr>
          <w:shd w:val="clear" w:color="auto" w:fill="FFFFFF"/>
        </w:rPr>
        <w:t>class representative</w:t>
      </w:r>
      <w:r w:rsidR="00F54C8F" w:rsidRPr="007C68F1">
        <w:rPr>
          <w:shd w:val="clear" w:color="auto" w:fill="FFFFFF"/>
        </w:rPr>
        <w:t xml:space="preserve"> does not satisfy the adequacy</w:t>
      </w:r>
      <w:r w:rsidR="00F54C8F" w:rsidRPr="007C68F1">
        <w:rPr>
          <w:bdr w:val="none" w:sz="0" w:space="0" w:color="auto" w:frame="1"/>
          <w:shd w:val="clear" w:color="auto" w:fill="FFFFFF"/>
        </w:rPr>
        <w:t xml:space="preserve"> requirement if the</w:t>
      </w:r>
      <w:r w:rsidR="00C61509">
        <w:rPr>
          <w:bdr w:val="none" w:sz="0" w:space="0" w:color="auto" w:frame="1"/>
          <w:shd w:val="clear" w:color="auto" w:fill="FFFFFF"/>
        </w:rPr>
        <w:t xml:space="preserve"> </w:t>
      </w:r>
      <w:r w:rsidR="00D30909" w:rsidRPr="007C68F1">
        <w:rPr>
          <w:bdr w:val="none" w:sz="0" w:space="0" w:color="auto" w:frame="1"/>
          <w:shd w:val="clear" w:color="auto" w:fill="FFFFFF"/>
        </w:rPr>
        <w:lastRenderedPageBreak/>
        <w:t>representative</w:t>
      </w:r>
      <w:r w:rsidR="00F54C8F" w:rsidRPr="007C68F1">
        <w:rPr>
          <w:bdr w:val="none" w:sz="0" w:space="0" w:color="auto" w:frame="1"/>
          <w:shd w:val="clear" w:color="auto" w:fill="FFFFFF"/>
        </w:rPr>
        <w:t xml:space="preserve"> </w:t>
      </w:r>
      <w:r w:rsidR="00A74220" w:rsidRPr="007C68F1">
        <w:rPr>
          <w:bdr w:val="none" w:sz="0" w:space="0" w:color="auto" w:frame="1"/>
          <w:shd w:val="clear" w:color="auto" w:fill="FFFFFF"/>
        </w:rPr>
        <w:t>‘</w:t>
      </w:r>
      <w:bookmarkStart w:id="482" w:name="dabmq_217"/>
      <w:r w:rsidR="00F54C8F" w:rsidRPr="007C68F1">
        <w:rPr>
          <w:bdr w:val="none" w:sz="0" w:space="0" w:color="auto" w:frame="1"/>
          <w:shd w:val="clear" w:color="auto" w:fill="FFFFFF"/>
        </w:rPr>
        <w:t>“fail[s] to raise claims reasonably expected to be raised by the members of the</w:t>
      </w:r>
      <w:r w:rsidR="00A74220" w:rsidRPr="007C68F1">
        <w:rPr>
          <w:bdr w:val="none" w:sz="0" w:space="0" w:color="auto" w:frame="1"/>
          <w:shd w:val="clear" w:color="auto" w:fill="FFFFFF"/>
        </w:rPr>
        <w:t xml:space="preserve"> </w:t>
      </w:r>
      <w:r w:rsidR="00F54C8F" w:rsidRPr="007C68F1">
        <w:rPr>
          <w:bdr w:val="none" w:sz="0" w:space="0" w:color="auto" w:frame="1"/>
          <w:shd w:val="clear" w:color="auto" w:fill="FFFFFF"/>
        </w:rPr>
        <w:t>class.”</w:t>
      </w:r>
      <w:bookmarkEnd w:id="482"/>
      <w:r w:rsidR="00A74220" w:rsidRPr="007C68F1">
        <w:rPr>
          <w:bdr w:val="none" w:sz="0" w:space="0" w:color="auto" w:frame="1"/>
          <w:shd w:val="clear" w:color="auto" w:fill="FFFFFF"/>
        </w:rPr>
        <w:t>’</w:t>
      </w:r>
      <w:r w:rsidR="001B7E0E" w:rsidRPr="007C68F1">
        <w:rPr>
          <w:bdr w:val="none" w:sz="0" w:space="0" w:color="auto" w:frame="1"/>
          <w:shd w:val="clear" w:color="auto" w:fill="FFFFFF"/>
        </w:rPr>
        <w:t xml:space="preserve">  (</w:t>
      </w:r>
      <w:bookmarkStart w:id="483" w:name="dabmci_aa0cc4c2bafd42b38e6bb5f57e4826d1"/>
      <w:r w:rsidR="00F54C8F" w:rsidRPr="007C68F1">
        <w:rPr>
          <w:i/>
          <w:iCs/>
          <w:bdr w:val="none" w:sz="0" w:space="0" w:color="auto" w:frame="1"/>
        </w:rPr>
        <w:t>Evans</w:t>
      </w:r>
      <w:r w:rsidR="00D816DA" w:rsidRPr="007C68F1">
        <w:rPr>
          <w:bdr w:val="none" w:sz="0" w:space="0" w:color="auto" w:frame="1"/>
        </w:rPr>
        <w:t xml:space="preserve">, </w:t>
      </w:r>
      <w:r w:rsidR="00D816DA" w:rsidRPr="007C68F1">
        <w:rPr>
          <w:i/>
          <w:iCs/>
          <w:bdr w:val="none" w:sz="0" w:space="0" w:color="auto" w:frame="1"/>
        </w:rPr>
        <w:t>supra</w:t>
      </w:r>
      <w:r w:rsidR="00D816DA" w:rsidRPr="007C68F1">
        <w:rPr>
          <w:bdr w:val="none" w:sz="0" w:space="0" w:color="auto" w:frame="1"/>
        </w:rPr>
        <w:t>,</w:t>
      </w:r>
      <w:r w:rsidR="00D816DA" w:rsidRPr="007C68F1">
        <w:t xml:space="preserve"> </w:t>
      </w:r>
      <w:r w:rsidR="00F54C8F" w:rsidRPr="007C68F1">
        <w:t xml:space="preserve">178 Cal.App.4th </w:t>
      </w:r>
      <w:r w:rsidR="00D816DA" w:rsidRPr="007C68F1">
        <w:t>at p.</w:t>
      </w:r>
      <w:r w:rsidR="00F54C8F" w:rsidRPr="007C68F1">
        <w:t xml:space="preserve"> 1432</w:t>
      </w:r>
      <w:bookmarkEnd w:id="483"/>
      <w:r w:rsidR="00D816DA" w:rsidRPr="007C68F1">
        <w:t>.)</w:t>
      </w:r>
      <w:r w:rsidR="00A43E8C" w:rsidRPr="007C68F1">
        <w:t xml:space="preserve">  </w:t>
      </w:r>
      <w:r w:rsidR="00D30909" w:rsidRPr="007C68F1">
        <w:t>The rule applies, for instance, when the class representative seeks only one form of available damages and would be waiving other forms of</w:t>
      </w:r>
      <w:r w:rsidR="009B50E7" w:rsidRPr="007C68F1">
        <w:t xml:space="preserve"> available</w:t>
      </w:r>
      <w:r w:rsidR="00D30909" w:rsidRPr="007C68F1">
        <w:t xml:space="preserve"> damages on behalf of all other putative class members.  (</w:t>
      </w:r>
      <w:bookmarkStart w:id="484" w:name="dabmci_4209dadd59174aee8e74a375a75cf37e"/>
      <w:r w:rsidR="00D30909" w:rsidRPr="007C68F1">
        <w:rPr>
          <w:i/>
          <w:iCs/>
        </w:rPr>
        <w:t>Id.</w:t>
      </w:r>
      <w:r w:rsidR="00D30909" w:rsidRPr="007C68F1">
        <w:t xml:space="preserve"> at pp. 1432-1433</w:t>
      </w:r>
      <w:bookmarkEnd w:id="484"/>
      <w:r w:rsidR="00D30909" w:rsidRPr="007C68F1">
        <w:t xml:space="preserve">.)  </w:t>
      </w:r>
      <w:r w:rsidR="00EE1603" w:rsidRPr="007C68F1">
        <w:t>But nothing like that was at issue here.</w:t>
      </w:r>
      <w:r w:rsidR="00274682" w:rsidRPr="007C68F1">
        <w:t xml:space="preserve">  </w:t>
      </w:r>
      <w:r w:rsidR="009B50E7" w:rsidRPr="007C68F1">
        <w:t xml:space="preserve">Woodworth </w:t>
      </w:r>
      <w:r w:rsidR="006C12AE" w:rsidRPr="007C68F1">
        <w:t>assert</w:t>
      </w:r>
      <w:r w:rsidR="000A4ABD" w:rsidRPr="007C68F1">
        <w:t>ed</w:t>
      </w:r>
      <w:r w:rsidR="00274682" w:rsidRPr="007C68F1">
        <w:t xml:space="preserve"> a wage statement claim on behalf of class members whose statements </w:t>
      </w:r>
      <w:r w:rsidR="000A4ABD" w:rsidRPr="007C68F1">
        <w:t xml:space="preserve">closely </w:t>
      </w:r>
      <w:r w:rsidR="00274682" w:rsidRPr="007C68F1">
        <w:t xml:space="preserve">resembled hers, in that </w:t>
      </w:r>
      <w:r w:rsidR="009B50E7" w:rsidRPr="007C68F1">
        <w:t>the statements</w:t>
      </w:r>
      <w:r w:rsidR="00274682" w:rsidRPr="007C68F1">
        <w:t xml:space="preserve"> included hours for shift differentials and paid time off.  </w:t>
      </w:r>
      <w:r w:rsidR="00EE1603" w:rsidRPr="007C68F1">
        <w:t xml:space="preserve">The court prejudged the merits of her claim </w:t>
      </w:r>
      <w:r w:rsidR="00274682" w:rsidRPr="007C68F1">
        <w:t>on the basis of her deposition</w:t>
      </w:r>
      <w:r w:rsidR="000A4ABD" w:rsidRPr="007C68F1">
        <w:t xml:space="preserve"> testimony</w:t>
      </w:r>
      <w:r w:rsidR="009B50E7" w:rsidRPr="007C68F1">
        <w:t xml:space="preserve">, but she </w:t>
      </w:r>
      <w:r w:rsidR="000A4ABD" w:rsidRPr="007C68F1">
        <w:t>was</w:t>
      </w:r>
      <w:r w:rsidR="009B50E7" w:rsidRPr="007C68F1">
        <w:t xml:space="preserve"> not required to </w:t>
      </w:r>
      <w:r w:rsidRPr="007C68F1">
        <w:t>show</w:t>
      </w:r>
      <w:r w:rsidR="009B50E7" w:rsidRPr="007C68F1">
        <w:t xml:space="preserve"> </w:t>
      </w:r>
      <w:r w:rsidR="000A4ABD" w:rsidRPr="007C68F1">
        <w:t xml:space="preserve">that </w:t>
      </w:r>
      <w:r w:rsidR="009B50E7" w:rsidRPr="007C68F1">
        <w:t xml:space="preserve">her claim </w:t>
      </w:r>
      <w:r w:rsidR="000A4ABD" w:rsidRPr="007C68F1">
        <w:t>has</w:t>
      </w:r>
      <w:r w:rsidR="00A51CB9" w:rsidRPr="007C68F1">
        <w:t xml:space="preserve"> merit </w:t>
      </w:r>
      <w:r w:rsidR="000A4ABD" w:rsidRPr="007C68F1">
        <w:t>to demonstrate that she was an adequate representative</w:t>
      </w:r>
      <w:r w:rsidR="005E0C43" w:rsidRPr="007C68F1">
        <w:t>.  (</w:t>
      </w:r>
      <w:r w:rsidR="000A4ABD" w:rsidRPr="007C68F1">
        <w:t xml:space="preserve">See </w:t>
      </w:r>
      <w:bookmarkStart w:id="485" w:name="dabmci_504a3e362bec4417ae29602bc8bf8287"/>
      <w:r w:rsidR="005E0C43" w:rsidRPr="007C68F1">
        <w:rPr>
          <w:i/>
          <w:iCs/>
          <w:bdr w:val="none" w:sz="0" w:space="0" w:color="auto" w:frame="1"/>
        </w:rPr>
        <w:t>Linder</w:t>
      </w:r>
      <w:r w:rsidR="005E0C43" w:rsidRPr="007C68F1">
        <w:rPr>
          <w:bdr w:val="none" w:sz="0" w:space="0" w:color="auto" w:frame="1"/>
        </w:rPr>
        <w:t xml:space="preserve">, </w:t>
      </w:r>
      <w:r w:rsidR="005E0C43" w:rsidRPr="007C68F1">
        <w:rPr>
          <w:i/>
          <w:iCs/>
          <w:bdr w:val="none" w:sz="0" w:space="0" w:color="auto" w:frame="1"/>
        </w:rPr>
        <w:t>supra</w:t>
      </w:r>
      <w:r w:rsidR="005E0C43" w:rsidRPr="007C68F1">
        <w:rPr>
          <w:bdr w:val="none" w:sz="0" w:space="0" w:color="auto" w:frame="1"/>
        </w:rPr>
        <w:t xml:space="preserve">, </w:t>
      </w:r>
      <w:r w:rsidR="005E0C43" w:rsidRPr="007C68F1">
        <w:t>23 Cal.4th at pp. 439-440</w:t>
      </w:r>
      <w:bookmarkEnd w:id="485"/>
      <w:r w:rsidR="005E0C43" w:rsidRPr="007C68F1">
        <w:t xml:space="preserve"> [</w:t>
      </w:r>
      <w:bookmarkStart w:id="486" w:name="dabmq_218"/>
      <w:r w:rsidR="005E0C43" w:rsidRPr="007C68F1">
        <w:t>“</w:t>
      </w:r>
      <w:r w:rsidR="005E0C43" w:rsidRPr="007C68F1">
        <w:rPr>
          <w:shd w:val="clear" w:color="auto" w:fill="FFFFFF"/>
        </w:rPr>
        <w:t>the question of certification [is] essentially a procedural one that does not ask whether an action is legally or</w:t>
      </w:r>
      <w:r w:rsidR="00B476B8">
        <w:rPr>
          <w:shd w:val="clear" w:color="auto" w:fill="FFFFFF"/>
        </w:rPr>
        <w:t xml:space="preserve"> </w:t>
      </w:r>
      <w:r w:rsidR="005E0C43" w:rsidRPr="007C68F1">
        <w:rPr>
          <w:shd w:val="clear" w:color="auto" w:fill="FFFFFF"/>
        </w:rPr>
        <w:t>factually meritorious”</w:t>
      </w:r>
      <w:bookmarkEnd w:id="486"/>
      <w:r w:rsidR="005E0C43" w:rsidRPr="007C68F1">
        <w:rPr>
          <w:shd w:val="clear" w:color="auto" w:fill="FFFFFF"/>
        </w:rPr>
        <w:t xml:space="preserve">].)  </w:t>
      </w:r>
      <w:r w:rsidR="009B50E7" w:rsidRPr="007C68F1">
        <w:t xml:space="preserve">The court </w:t>
      </w:r>
      <w:r w:rsidR="006C12AE" w:rsidRPr="007C68F1">
        <w:t xml:space="preserve">therefore applied improper criteria and abused its discretion when it determined that </w:t>
      </w:r>
      <w:r w:rsidR="005E0C43" w:rsidRPr="007C68F1">
        <w:t>Woodworth</w:t>
      </w:r>
      <w:r w:rsidR="006C12AE" w:rsidRPr="007C68F1">
        <w:t xml:space="preserve"> was an inadequate representative.</w:t>
      </w:r>
      <w:r w:rsidRPr="007C68F1">
        <w:t xml:space="preserve">  (</w:t>
      </w:r>
      <w:bookmarkStart w:id="487" w:name="dabmci_c66472b1ce7740e5a5e5ca00cbd86d43"/>
      <w:r w:rsidR="005E0C43" w:rsidRPr="007C68F1">
        <w:rPr>
          <w:i/>
          <w:iCs/>
          <w:bdr w:val="none" w:sz="0" w:space="0" w:color="auto" w:frame="1"/>
        </w:rPr>
        <w:t>Id.</w:t>
      </w:r>
      <w:r w:rsidRPr="007C68F1">
        <w:t xml:space="preserve"> at p. 436</w:t>
      </w:r>
      <w:bookmarkEnd w:id="487"/>
      <w:r w:rsidRPr="007C68F1">
        <w:t xml:space="preserve"> [</w:t>
      </w:r>
      <w:bookmarkStart w:id="488" w:name="dabmq_219"/>
      <w:r w:rsidRPr="007C68F1">
        <w:rPr>
          <w:shd w:val="clear" w:color="auto" w:fill="FFFFFF"/>
        </w:rPr>
        <w:t>“an order based upon improper criteria or incorrect assumptions calls for reversal”</w:t>
      </w:r>
      <w:bookmarkEnd w:id="488"/>
      <w:r w:rsidRPr="007C68F1">
        <w:rPr>
          <w:shd w:val="clear" w:color="auto" w:fill="FFFFFF"/>
        </w:rPr>
        <w:t xml:space="preserve">].)  </w:t>
      </w:r>
    </w:p>
    <w:p w14:paraId="7CA9C539" w14:textId="77777777" w:rsidR="007C61C8" w:rsidRPr="007C68F1" w:rsidRDefault="00D16B2E" w:rsidP="007D1009">
      <w:pPr>
        <w:spacing w:line="480" w:lineRule="auto"/>
        <w:rPr>
          <w:shd w:val="clear" w:color="auto" w:fill="FFFFFF"/>
        </w:rPr>
      </w:pPr>
      <w:r w:rsidRPr="007C68F1">
        <w:rPr>
          <w:shd w:val="clear" w:color="auto" w:fill="FFFFFF"/>
        </w:rPr>
        <w:tab/>
        <w:t>As to the</w:t>
      </w:r>
      <w:r w:rsidRPr="007C68F1">
        <w:rPr>
          <w:shd w:val="clear" w:color="auto" w:fill="FFFFFF"/>
        </w:rPr>
        <w:t xml:space="preserve"> derivat</w:t>
      </w:r>
      <w:r w:rsidR="00B019EA" w:rsidRPr="007C68F1">
        <w:rPr>
          <w:shd w:val="clear" w:color="auto" w:fill="FFFFFF"/>
        </w:rPr>
        <w:t>iv</w:t>
      </w:r>
      <w:r w:rsidRPr="007C68F1">
        <w:rPr>
          <w:shd w:val="clear" w:color="auto" w:fill="FFFFFF"/>
        </w:rPr>
        <w:t xml:space="preserve">e Wage Statement Class, however, </w:t>
      </w:r>
      <w:r w:rsidR="004207FE" w:rsidRPr="007C68F1">
        <w:rPr>
          <w:shd w:val="clear" w:color="auto" w:fill="FFFFFF"/>
        </w:rPr>
        <w:t>Woodworth fails to show an</w:t>
      </w:r>
      <w:r w:rsidRPr="007C68F1">
        <w:rPr>
          <w:shd w:val="clear" w:color="auto" w:fill="FFFFFF"/>
        </w:rPr>
        <w:t xml:space="preserve"> abuse </w:t>
      </w:r>
      <w:r w:rsidR="004207FE" w:rsidRPr="007C68F1">
        <w:rPr>
          <w:shd w:val="clear" w:color="auto" w:fill="FFFFFF"/>
        </w:rPr>
        <w:t>of</w:t>
      </w:r>
      <w:r w:rsidRPr="007C68F1">
        <w:rPr>
          <w:shd w:val="clear" w:color="auto" w:fill="FFFFFF"/>
        </w:rPr>
        <w:t xml:space="preserve"> disc</w:t>
      </w:r>
      <w:r w:rsidR="005E0C43" w:rsidRPr="007C68F1">
        <w:rPr>
          <w:shd w:val="clear" w:color="auto" w:fill="FFFFFF"/>
        </w:rPr>
        <w:t>retion</w:t>
      </w:r>
      <w:r w:rsidR="001E0E7D" w:rsidRPr="007C68F1">
        <w:rPr>
          <w:shd w:val="clear" w:color="auto" w:fill="FFFFFF"/>
        </w:rPr>
        <w:t xml:space="preserve">.  </w:t>
      </w:r>
      <w:r w:rsidR="00FD44E4" w:rsidRPr="007C68F1">
        <w:rPr>
          <w:shd w:val="clear" w:color="auto" w:fill="FFFFFF"/>
        </w:rPr>
        <w:t>She</w:t>
      </w:r>
      <w:r w:rsidR="00EA46D8" w:rsidRPr="007C68F1">
        <w:rPr>
          <w:shd w:val="clear" w:color="auto" w:fill="FFFFFF"/>
        </w:rPr>
        <w:t xml:space="preserve"> argues that the court erred by denying certification of the underlying AWS Overtime and Regular Rate Classes, so it necessarily erred by denying certification of the derivative class.  </w:t>
      </w:r>
      <w:r w:rsidR="003D444A" w:rsidRPr="007C68F1">
        <w:rPr>
          <w:shd w:val="clear" w:color="auto" w:fill="FFFFFF"/>
        </w:rPr>
        <w:t>But b</w:t>
      </w:r>
      <w:r w:rsidR="00EA46D8" w:rsidRPr="007C68F1">
        <w:rPr>
          <w:shd w:val="clear" w:color="auto" w:fill="FFFFFF"/>
        </w:rPr>
        <w:t xml:space="preserve">ecause </w:t>
      </w:r>
      <w:r w:rsidR="003D444A" w:rsidRPr="007C68F1">
        <w:rPr>
          <w:shd w:val="clear" w:color="auto" w:fill="FFFFFF"/>
        </w:rPr>
        <w:t>we have determined that the court properly denied certification of the underlying classes</w:t>
      </w:r>
      <w:r w:rsidR="00EA46D8" w:rsidRPr="007C68F1">
        <w:rPr>
          <w:shd w:val="clear" w:color="auto" w:fill="FFFFFF"/>
        </w:rPr>
        <w:t xml:space="preserve">, we </w:t>
      </w:r>
      <w:r w:rsidR="003D444A" w:rsidRPr="007C68F1">
        <w:rPr>
          <w:shd w:val="clear" w:color="auto" w:fill="FFFFFF"/>
        </w:rPr>
        <w:t xml:space="preserve">reject Woodworth’s argument. </w:t>
      </w:r>
    </w:p>
    <w:p w14:paraId="18000E6D" w14:textId="77777777" w:rsidR="0030231D" w:rsidRPr="007C68F1" w:rsidRDefault="00D16B2E" w:rsidP="007D1009">
      <w:pPr>
        <w:spacing w:line="480" w:lineRule="auto"/>
      </w:pPr>
      <w:r w:rsidRPr="007C68F1">
        <w:rPr>
          <w:shd w:val="clear" w:color="auto" w:fill="FFFFFF"/>
        </w:rPr>
        <w:tab/>
      </w:r>
      <w:r w:rsidR="000A4ABD" w:rsidRPr="007C68F1">
        <w:rPr>
          <w:shd w:val="clear" w:color="auto" w:fill="FFFFFF"/>
        </w:rPr>
        <w:t xml:space="preserve">In sum, </w:t>
      </w:r>
      <w:r w:rsidR="00D46C67" w:rsidRPr="007C68F1">
        <w:rPr>
          <w:shd w:val="clear" w:color="auto" w:fill="FFFFFF"/>
        </w:rPr>
        <w:t>the court abused its discretion by</w:t>
      </w:r>
      <w:r w:rsidR="000A4ABD" w:rsidRPr="007C68F1">
        <w:rPr>
          <w:shd w:val="clear" w:color="auto" w:fill="FFFFFF"/>
        </w:rPr>
        <w:t xml:space="preserve"> denying certification of the stand-alone Wage Statement Class.  The record does not contain substantial evidence to support the </w:t>
      </w:r>
      <w:r w:rsidR="000A4ABD" w:rsidRPr="007C68F1">
        <w:rPr>
          <w:shd w:val="clear" w:color="auto" w:fill="FFFFFF"/>
        </w:rPr>
        <w:lastRenderedPageBreak/>
        <w:t>predominance finding, and the</w:t>
      </w:r>
      <w:r w:rsidR="00922DDA" w:rsidRPr="007C68F1">
        <w:rPr>
          <w:shd w:val="clear" w:color="auto" w:fill="FFFFFF"/>
        </w:rPr>
        <w:t xml:space="preserve"> court applied improper criteria when it found that Woodworth was an inadequate class representative.</w:t>
      </w:r>
      <w:r w:rsidR="00CA5B04" w:rsidRPr="007C68F1">
        <w:rPr>
          <w:shd w:val="clear" w:color="auto" w:fill="FFFFFF"/>
        </w:rPr>
        <w:t xml:space="preserve">  We therefore reverse the order denying certification of the stand-alone Wage Statement Class</w:t>
      </w:r>
      <w:r w:rsidR="00C230A1" w:rsidRPr="007C68F1">
        <w:rPr>
          <w:shd w:val="clear" w:color="auto" w:fill="FFFFFF"/>
        </w:rPr>
        <w:t xml:space="preserve"> and remand for the court to consider (1) whether Woodworth carried her burden on the other elements of class certification and (2) any other arguments that the </w:t>
      </w:r>
      <w:r w:rsidR="000A2F81" w:rsidRPr="007C68F1">
        <w:rPr>
          <w:shd w:val="clear" w:color="auto" w:fill="FFFFFF"/>
        </w:rPr>
        <w:t>parties</w:t>
      </w:r>
      <w:r w:rsidR="00C230A1" w:rsidRPr="007C68F1">
        <w:rPr>
          <w:shd w:val="clear" w:color="auto" w:fill="FFFFFF"/>
        </w:rPr>
        <w:t xml:space="preserve"> made</w:t>
      </w:r>
      <w:r w:rsidR="007258FA" w:rsidRPr="007C68F1">
        <w:rPr>
          <w:shd w:val="clear" w:color="auto" w:fill="FFFFFF"/>
        </w:rPr>
        <w:t xml:space="preserve"> (or may make in light of this opinion)</w:t>
      </w:r>
      <w:r w:rsidR="00C230A1" w:rsidRPr="007C68F1">
        <w:rPr>
          <w:shd w:val="clear" w:color="auto" w:fill="FFFFFF"/>
        </w:rPr>
        <w:t xml:space="preserve"> </w:t>
      </w:r>
      <w:r w:rsidR="000A2F81" w:rsidRPr="007C68F1">
        <w:rPr>
          <w:shd w:val="clear" w:color="auto" w:fill="FFFFFF"/>
        </w:rPr>
        <w:t xml:space="preserve">concerning </w:t>
      </w:r>
      <w:r w:rsidR="00795161" w:rsidRPr="007C68F1">
        <w:rPr>
          <w:shd w:val="clear" w:color="auto" w:fill="FFFFFF"/>
        </w:rPr>
        <w:t>certification of this</w:t>
      </w:r>
      <w:r w:rsidR="00C230A1" w:rsidRPr="007C68F1">
        <w:rPr>
          <w:shd w:val="clear" w:color="auto" w:fill="FFFFFF"/>
        </w:rPr>
        <w:t xml:space="preserve"> class.</w:t>
      </w:r>
      <w:r w:rsidR="004F3DE5" w:rsidRPr="007C68F1">
        <w:rPr>
          <w:shd w:val="clear" w:color="auto" w:fill="FFFFFF"/>
        </w:rPr>
        <w:t xml:space="preserve">  (See</w:t>
      </w:r>
      <w:r w:rsidR="00AA515E" w:rsidRPr="007C68F1">
        <w:rPr>
          <w:shd w:val="clear" w:color="auto" w:fill="FFFFFF"/>
        </w:rPr>
        <w:t>,</w:t>
      </w:r>
      <w:r w:rsidR="004F3DE5" w:rsidRPr="007C68F1">
        <w:rPr>
          <w:shd w:val="clear" w:color="auto" w:fill="FFFFFF"/>
        </w:rPr>
        <w:t xml:space="preserve"> e.g., </w:t>
      </w:r>
      <w:bookmarkStart w:id="489" w:name="dabmci_e9afbd8cf0c14c89bb616ae581e30b14"/>
      <w:r w:rsidR="004F3DE5" w:rsidRPr="007C68F1">
        <w:rPr>
          <w:i/>
          <w:iCs/>
          <w:bdr w:val="none" w:sz="0" w:space="0" w:color="auto" w:frame="1"/>
        </w:rPr>
        <w:t>Linder</w:t>
      </w:r>
      <w:r w:rsidR="004F3DE5" w:rsidRPr="007C68F1">
        <w:rPr>
          <w:bdr w:val="none" w:sz="0" w:space="0" w:color="auto" w:frame="1"/>
        </w:rPr>
        <w:t xml:space="preserve">, </w:t>
      </w:r>
      <w:r w:rsidR="004F3DE5" w:rsidRPr="007C68F1">
        <w:rPr>
          <w:i/>
          <w:iCs/>
          <w:bdr w:val="none" w:sz="0" w:space="0" w:color="auto" w:frame="1"/>
        </w:rPr>
        <w:t>supra</w:t>
      </w:r>
      <w:r w:rsidR="004F3DE5" w:rsidRPr="007C68F1">
        <w:rPr>
          <w:bdr w:val="none" w:sz="0" w:space="0" w:color="auto" w:frame="1"/>
        </w:rPr>
        <w:t xml:space="preserve">, </w:t>
      </w:r>
      <w:r w:rsidR="004F3DE5" w:rsidRPr="007C68F1">
        <w:t>23 Cal.4th at pp. 448-449</w:t>
      </w:r>
      <w:bookmarkEnd w:id="489"/>
      <w:r w:rsidR="004F3DE5" w:rsidRPr="007C68F1">
        <w:t xml:space="preserve"> [</w:t>
      </w:r>
      <w:r w:rsidR="00AA515E" w:rsidRPr="007C68F1">
        <w:rPr>
          <w:shd w:val="clear" w:color="auto" w:fill="FFFFFF"/>
        </w:rPr>
        <w:t xml:space="preserve">reversing and remanding for reconsideration because the court was not </w:t>
      </w:r>
      <w:bookmarkStart w:id="490" w:name="dabmq_220"/>
      <w:r w:rsidR="00AA515E" w:rsidRPr="007C68F1">
        <w:rPr>
          <w:shd w:val="clear" w:color="auto" w:fill="FFFFFF"/>
        </w:rPr>
        <w:t>“</w:t>
      </w:r>
      <w:r w:rsidR="004F3DE5" w:rsidRPr="007C68F1">
        <w:rPr>
          <w:shd w:val="clear" w:color="auto" w:fill="FFFFFF"/>
        </w:rPr>
        <w:t>prepared to say that class treatment necessarily is proper</w:t>
      </w:r>
      <w:r w:rsidR="00AA515E" w:rsidRPr="007C68F1">
        <w:rPr>
          <w:shd w:val="clear" w:color="auto" w:fill="FFFFFF"/>
        </w:rPr>
        <w:t>,”</w:t>
      </w:r>
      <w:bookmarkEnd w:id="490"/>
      <w:r w:rsidR="00AA515E" w:rsidRPr="007C68F1">
        <w:rPr>
          <w:shd w:val="clear" w:color="auto" w:fill="FFFFFF"/>
        </w:rPr>
        <w:t xml:space="preserve"> and </w:t>
      </w:r>
      <w:bookmarkStart w:id="491" w:name="dabmq_221"/>
      <w:r w:rsidR="00AA515E" w:rsidRPr="007C68F1">
        <w:rPr>
          <w:shd w:val="clear" w:color="auto" w:fill="FFFFFF"/>
        </w:rPr>
        <w:t>“</w:t>
      </w:r>
      <w:r w:rsidR="004F3DE5" w:rsidRPr="007C68F1">
        <w:rPr>
          <w:shd w:val="clear" w:color="auto" w:fill="FFFFFF"/>
        </w:rPr>
        <w:t xml:space="preserve">upon a fresh look </w:t>
      </w:r>
      <w:r w:rsidR="00AA515E" w:rsidRPr="007C68F1">
        <w:rPr>
          <w:shd w:val="clear" w:color="auto" w:fill="FFFFFF"/>
        </w:rPr>
        <w:t>[the trial court]</w:t>
      </w:r>
      <w:r w:rsidR="004F3DE5" w:rsidRPr="007C68F1">
        <w:rPr>
          <w:shd w:val="clear" w:color="auto" w:fill="FFFFFF"/>
        </w:rPr>
        <w:t xml:space="preserve"> may discern valid reasons for denying</w:t>
      </w:r>
      <w:r w:rsidR="00AA515E" w:rsidRPr="007C68F1">
        <w:rPr>
          <w:shd w:val="clear" w:color="auto" w:fill="FFFFFF"/>
        </w:rPr>
        <w:t>”</w:t>
      </w:r>
      <w:bookmarkEnd w:id="491"/>
      <w:r w:rsidR="00AA515E" w:rsidRPr="007C68F1">
        <w:rPr>
          <w:shd w:val="clear" w:color="auto" w:fill="FFFFFF"/>
        </w:rPr>
        <w:t xml:space="preserve"> the </w:t>
      </w:r>
      <w:r w:rsidR="004F3DE5" w:rsidRPr="007C68F1">
        <w:rPr>
          <w:shd w:val="clear" w:color="auto" w:fill="FFFFFF"/>
        </w:rPr>
        <w:t>certification motion</w:t>
      </w:r>
      <w:r w:rsidR="00AA515E" w:rsidRPr="007C68F1">
        <w:rPr>
          <w:shd w:val="clear" w:color="auto" w:fill="FFFFFF"/>
        </w:rPr>
        <w:t xml:space="preserve">].)  </w:t>
      </w:r>
      <w:r w:rsidR="00CA5B04" w:rsidRPr="007C68F1">
        <w:rPr>
          <w:shd w:val="clear" w:color="auto" w:fill="FFFFFF"/>
        </w:rPr>
        <w:t xml:space="preserve">However, we do not disturb the </w:t>
      </w:r>
      <w:r w:rsidR="001D1E62" w:rsidRPr="007C68F1">
        <w:rPr>
          <w:shd w:val="clear" w:color="auto" w:fill="FFFFFF"/>
        </w:rPr>
        <w:t xml:space="preserve">portion of the </w:t>
      </w:r>
      <w:r w:rsidR="00CA5B04" w:rsidRPr="007C68F1">
        <w:rPr>
          <w:shd w:val="clear" w:color="auto" w:fill="FFFFFF"/>
        </w:rPr>
        <w:t xml:space="preserve">court’s order denying certification of </w:t>
      </w:r>
      <w:r w:rsidR="002508BB" w:rsidRPr="007C68F1">
        <w:rPr>
          <w:shd w:val="clear" w:color="auto" w:fill="FFFFFF"/>
        </w:rPr>
        <w:t xml:space="preserve">the </w:t>
      </w:r>
      <w:r w:rsidR="00CA5B04" w:rsidRPr="007C68F1">
        <w:rPr>
          <w:shd w:val="clear" w:color="auto" w:fill="FFFFFF"/>
        </w:rPr>
        <w:t>derivative Wage Statement Class.</w:t>
      </w:r>
    </w:p>
    <w:p w14:paraId="553622AB" w14:textId="77777777" w:rsidR="005A480E" w:rsidRPr="007C68F1" w:rsidRDefault="00D16B2E" w:rsidP="007D1009">
      <w:pPr>
        <w:keepNext/>
        <w:spacing w:line="480" w:lineRule="auto"/>
        <w:rPr>
          <w:i/>
          <w:iCs/>
        </w:rPr>
      </w:pPr>
      <w:r w:rsidRPr="007C68F1">
        <w:tab/>
      </w:r>
      <w:r w:rsidRPr="007C68F1">
        <w:tab/>
        <w:t xml:space="preserve">5.  </w:t>
      </w:r>
      <w:r w:rsidRPr="007C68F1">
        <w:rPr>
          <w:i/>
          <w:iCs/>
        </w:rPr>
        <w:t>Waiting Time</w:t>
      </w:r>
      <w:r w:rsidR="00300E50" w:rsidRPr="007C68F1">
        <w:rPr>
          <w:i/>
          <w:iCs/>
        </w:rPr>
        <w:t xml:space="preserve"> Penalty</w:t>
      </w:r>
      <w:r w:rsidRPr="007C68F1">
        <w:rPr>
          <w:i/>
          <w:iCs/>
        </w:rPr>
        <w:t xml:space="preserve"> Class</w:t>
      </w:r>
    </w:p>
    <w:p w14:paraId="18DCE75F" w14:textId="77777777" w:rsidR="005A480E" w:rsidRPr="007C68F1" w:rsidRDefault="00D16B2E" w:rsidP="007D1009">
      <w:pPr>
        <w:spacing w:line="480" w:lineRule="auto"/>
      </w:pPr>
      <w:r w:rsidRPr="007C68F1">
        <w:tab/>
      </w:r>
      <w:r w:rsidR="00300E50" w:rsidRPr="007C68F1">
        <w:t>Woodworth sought to certify a Waiting Time Penalty Class that was “purely derivative” of her AWS Overtime, Regular Rate, and Rest Break Classes.</w:t>
      </w:r>
      <w:r w:rsidR="00781DAF" w:rsidRPr="007C68F1">
        <w:t xml:space="preserve">  </w:t>
      </w:r>
      <w:r w:rsidR="00D57A01" w:rsidRPr="007C68F1">
        <w:t>Her moving papers addressed the Waiting Time Penalty Class in three brief sentences and did not discuss any evidence or authorities</w:t>
      </w:r>
      <w:r w:rsidR="00E72AC8" w:rsidRPr="007C68F1">
        <w:t>.</w:t>
      </w:r>
      <w:r w:rsidR="00D57A01" w:rsidRPr="007C68F1">
        <w:t xml:space="preserve"> </w:t>
      </w:r>
      <w:r w:rsidR="00E72AC8" w:rsidRPr="007C68F1">
        <w:t xml:space="preserve"> </w:t>
      </w:r>
      <w:r w:rsidR="00D57A01" w:rsidRPr="007C68F1">
        <w:t>The court denied certification of the Waiting Time Penalty Class</w:t>
      </w:r>
      <w:r w:rsidR="00E72AC8" w:rsidRPr="007C68F1">
        <w:t xml:space="preserve"> because there was </w:t>
      </w:r>
      <w:bookmarkStart w:id="492" w:name="dabmq_222"/>
      <w:r w:rsidR="00E72AC8" w:rsidRPr="007C68F1">
        <w:t>“no support in [Woodworth’s] motion for certification”</w:t>
      </w:r>
      <w:bookmarkEnd w:id="492"/>
      <w:r w:rsidR="00E72AC8" w:rsidRPr="007C68F1">
        <w:t xml:space="preserve"> of the class.  On appeal, Woodworth argues that the court abused its discretion because it should have certified the underlying classes.  </w:t>
      </w:r>
      <w:r w:rsidR="00E72AC8" w:rsidRPr="007C68F1">
        <w:rPr>
          <w:shd w:val="clear" w:color="auto" w:fill="FFFFFF"/>
        </w:rPr>
        <w:t xml:space="preserve">Because we have determined that the court properly denied certification of the underlying classes, we reject the argument. </w:t>
      </w:r>
    </w:p>
    <w:p w14:paraId="6DA4D48B" w14:textId="77777777" w:rsidR="0082368C" w:rsidRPr="007C68F1" w:rsidRDefault="00D16B2E" w:rsidP="007D1009">
      <w:pPr>
        <w:keepNext/>
        <w:spacing w:line="480" w:lineRule="auto"/>
        <w:ind w:left="360" w:hanging="360"/>
        <w:rPr>
          <w:i/>
          <w:iCs/>
        </w:rPr>
      </w:pPr>
      <w:r w:rsidRPr="007C68F1">
        <w:lastRenderedPageBreak/>
        <w:t>V.</w:t>
      </w:r>
      <w:r w:rsidR="00A671FF" w:rsidRPr="007C68F1">
        <w:t xml:space="preserve">  </w:t>
      </w:r>
      <w:r w:rsidRPr="007C68F1">
        <w:rPr>
          <w:i/>
          <w:iCs/>
        </w:rPr>
        <w:t xml:space="preserve">Motion for Summary </w:t>
      </w:r>
      <w:r w:rsidRPr="007C68F1">
        <w:rPr>
          <w:i/>
          <w:iCs/>
        </w:rPr>
        <w:t>Adjudication on the Regular Rate Claim, the Wage Statement</w:t>
      </w:r>
      <w:r w:rsidR="00A671FF" w:rsidRPr="007C68F1">
        <w:rPr>
          <w:i/>
          <w:iCs/>
        </w:rPr>
        <w:t xml:space="preserve"> </w:t>
      </w:r>
      <w:r w:rsidRPr="007C68F1">
        <w:rPr>
          <w:i/>
          <w:iCs/>
        </w:rPr>
        <w:t>Claim, and the Waiting Time Claim</w:t>
      </w:r>
    </w:p>
    <w:p w14:paraId="677AB8B4" w14:textId="77777777" w:rsidR="000D0F0B" w:rsidRPr="007C68F1" w:rsidRDefault="00D16B2E" w:rsidP="007D1009">
      <w:pPr>
        <w:keepNext/>
        <w:spacing w:line="480" w:lineRule="auto"/>
      </w:pPr>
      <w:r w:rsidRPr="007C68F1">
        <w:tab/>
        <w:t xml:space="preserve">The </w:t>
      </w:r>
      <w:r w:rsidR="0041378E" w:rsidRPr="007C68F1">
        <w:t>medical center moved for summary adjudication on Woodworth’s regular rat</w:t>
      </w:r>
      <w:r w:rsidR="00EE199F" w:rsidRPr="007C68F1">
        <w:t>e, wage statement, and waiting time claims.</w:t>
      </w:r>
      <w:r w:rsidR="006C1671" w:rsidRPr="007C68F1">
        <w:t xml:space="preserve">  (The medical center labeled the motion, </w:t>
      </w:r>
      <w:bookmarkStart w:id="493" w:name="dabmq_223"/>
      <w:r w:rsidR="006C1671" w:rsidRPr="007C68F1">
        <w:t>“Motion for Summary Adjudication No. 1”</w:t>
      </w:r>
      <w:bookmarkEnd w:id="493"/>
      <w:r w:rsidR="00E34FB6" w:rsidRPr="007C68F1">
        <w:t xml:space="preserve"> (capitalization and boldface omitted).</w:t>
      </w:r>
      <w:r w:rsidR="006C1671" w:rsidRPr="007C68F1">
        <w:t xml:space="preserve">) </w:t>
      </w:r>
      <w:r w:rsidR="00FA4AD1" w:rsidRPr="007C68F1">
        <w:t xml:space="preserve"> It sought summary adjudication of her individual claims</w:t>
      </w:r>
      <w:r w:rsidR="00A30687" w:rsidRPr="007C68F1">
        <w:t xml:space="preserve"> </w:t>
      </w:r>
      <w:r w:rsidR="00FA4AD1" w:rsidRPr="007C68F1">
        <w:t xml:space="preserve">as well as </w:t>
      </w:r>
      <w:r w:rsidR="008710EF" w:rsidRPr="007C68F1">
        <w:t>the</w:t>
      </w:r>
      <w:r w:rsidR="00FA4AD1" w:rsidRPr="007C68F1">
        <w:t xml:space="preserve"> PAGA cause of action, to the extent </w:t>
      </w:r>
      <w:r w:rsidR="00641055" w:rsidRPr="007C68F1">
        <w:t xml:space="preserve">that she based </w:t>
      </w:r>
      <w:r w:rsidR="008710EF" w:rsidRPr="007C68F1">
        <w:t>that cause</w:t>
      </w:r>
      <w:r w:rsidR="00641055" w:rsidRPr="007C68F1">
        <w:t xml:space="preserve"> of action on the regular rate, wage statement, and waiting time claims.</w:t>
      </w:r>
      <w:r w:rsidR="001F0CAF" w:rsidRPr="007C68F1">
        <w:t xml:space="preserve">  The court granted </w:t>
      </w:r>
      <w:r w:rsidR="003A5FEC" w:rsidRPr="007C68F1">
        <w:t xml:space="preserve">the </w:t>
      </w:r>
      <w:r w:rsidR="001F0CAF" w:rsidRPr="007C68F1">
        <w:t>motion in its entirety.</w:t>
      </w:r>
      <w:r w:rsidR="00C3325B" w:rsidRPr="007C68F1">
        <w:t xml:space="preserve">  We conclude that the court erred with respect to </w:t>
      </w:r>
      <w:r w:rsidR="007D1541" w:rsidRPr="007C68F1">
        <w:t xml:space="preserve">(1) </w:t>
      </w:r>
      <w:r w:rsidR="00C3325B" w:rsidRPr="007C68F1">
        <w:t>the</w:t>
      </w:r>
      <w:r w:rsidR="007D1541" w:rsidRPr="007C68F1">
        <w:t xml:space="preserve"> PAGA regular rate claim, (</w:t>
      </w:r>
      <w:r w:rsidR="003A5FEC" w:rsidRPr="007C68F1">
        <w:t>2</w:t>
      </w:r>
      <w:r w:rsidR="007D1541" w:rsidRPr="007C68F1">
        <w:t xml:space="preserve">) Woodworth’s individual </w:t>
      </w:r>
      <w:r w:rsidR="00ED254C" w:rsidRPr="007C68F1">
        <w:t>wage statement</w:t>
      </w:r>
      <w:r w:rsidR="00880061" w:rsidRPr="007C68F1">
        <w:t xml:space="preserve"> claim</w:t>
      </w:r>
      <w:r w:rsidR="007D1541" w:rsidRPr="007C68F1">
        <w:t xml:space="preserve"> and the PAGA wage statement claim, and (3) </w:t>
      </w:r>
      <w:r w:rsidR="00880061" w:rsidRPr="007C68F1">
        <w:t xml:space="preserve">the PAGA </w:t>
      </w:r>
      <w:r w:rsidR="00ED254C" w:rsidRPr="007C68F1">
        <w:t xml:space="preserve">waiting time claim.  </w:t>
      </w:r>
      <w:r w:rsidR="007D1541" w:rsidRPr="007C68F1">
        <w:t>The court properly granted summary adjudication, however, o</w:t>
      </w:r>
      <w:r w:rsidR="00EE4373" w:rsidRPr="007C68F1">
        <w:t xml:space="preserve">n </w:t>
      </w:r>
      <w:r w:rsidR="007D1541" w:rsidRPr="007C68F1">
        <w:t>Woodworth’s</w:t>
      </w:r>
      <w:r w:rsidR="00EE4373" w:rsidRPr="007C68F1">
        <w:t xml:space="preserve"> individual regular rate </w:t>
      </w:r>
      <w:r w:rsidR="007D1541" w:rsidRPr="007C68F1">
        <w:t>and waiting time claims.</w:t>
      </w:r>
    </w:p>
    <w:p w14:paraId="6A0CB3EB" w14:textId="77777777" w:rsidR="00641055" w:rsidRPr="007C68F1" w:rsidRDefault="00D16B2E" w:rsidP="007D1009">
      <w:pPr>
        <w:keepNext/>
        <w:spacing w:line="480" w:lineRule="auto"/>
        <w:rPr>
          <w:i/>
          <w:iCs/>
        </w:rPr>
      </w:pPr>
      <w:r w:rsidRPr="007C68F1">
        <w:tab/>
        <w:t xml:space="preserve">A.  </w:t>
      </w:r>
      <w:r w:rsidRPr="007C68F1">
        <w:rPr>
          <w:i/>
          <w:iCs/>
        </w:rPr>
        <w:t>Regular Rate Claim</w:t>
      </w:r>
    </w:p>
    <w:p w14:paraId="045F391C" w14:textId="77777777" w:rsidR="00641055" w:rsidRPr="007C68F1" w:rsidRDefault="00D16B2E" w:rsidP="007D1009">
      <w:pPr>
        <w:spacing w:line="480" w:lineRule="auto"/>
      </w:pPr>
      <w:r w:rsidRPr="007C68F1">
        <w:tab/>
        <w:t xml:space="preserve">Woodworth argues that the court erred </w:t>
      </w:r>
      <w:r w:rsidR="00B05BA8" w:rsidRPr="007C68F1">
        <w:t>by granting</w:t>
      </w:r>
      <w:r w:rsidR="005721C3" w:rsidRPr="007C68F1">
        <w:t xml:space="preserve"> </w:t>
      </w:r>
      <w:r w:rsidR="00B05BA8" w:rsidRPr="007C68F1">
        <w:t xml:space="preserve">summary adjudication </w:t>
      </w:r>
      <w:r w:rsidR="005721C3" w:rsidRPr="007C68F1">
        <w:t>in favor of the medical center as to</w:t>
      </w:r>
      <w:r w:rsidR="00B05BA8" w:rsidRPr="007C68F1">
        <w:t xml:space="preserve"> her individual regular rate claim and the PAGA regular rate claim</w:t>
      </w:r>
      <w:r w:rsidR="001426B7" w:rsidRPr="007C68F1">
        <w:t xml:space="preserve">. </w:t>
      </w:r>
      <w:r w:rsidR="005721C3" w:rsidRPr="007C68F1">
        <w:t xml:space="preserve"> </w:t>
      </w:r>
      <w:r w:rsidR="001426B7" w:rsidRPr="007C68F1">
        <w:t xml:space="preserve">We disagree that the court erred by granting summary adjudication on her individual claim.  But as to the PAGA regular rate claim, we agree that the court erred. </w:t>
      </w:r>
    </w:p>
    <w:p w14:paraId="541E8884" w14:textId="77777777" w:rsidR="00965358" w:rsidRPr="007C68F1" w:rsidRDefault="00D16B2E" w:rsidP="007D1009">
      <w:pPr>
        <w:keepNext/>
        <w:spacing w:line="480" w:lineRule="auto"/>
      </w:pPr>
      <w:r w:rsidRPr="007C68F1">
        <w:tab/>
      </w:r>
      <w:r w:rsidRPr="007C68F1">
        <w:tab/>
      </w:r>
      <w:r w:rsidR="00BF1D84" w:rsidRPr="007C68F1">
        <w:t>1</w:t>
      </w:r>
      <w:r w:rsidRPr="007C68F1">
        <w:t xml:space="preserve">.  </w:t>
      </w:r>
      <w:r w:rsidRPr="007C68F1">
        <w:rPr>
          <w:i/>
          <w:iCs/>
        </w:rPr>
        <w:t>Relevant Background</w:t>
      </w:r>
    </w:p>
    <w:p w14:paraId="32680346" w14:textId="77777777" w:rsidR="00834931" w:rsidRPr="007C68F1" w:rsidRDefault="00D16B2E" w:rsidP="007D1009">
      <w:pPr>
        <w:spacing w:line="480" w:lineRule="auto"/>
      </w:pPr>
      <w:r w:rsidRPr="007C68F1">
        <w:tab/>
      </w:r>
      <w:r w:rsidR="00F57AAE" w:rsidRPr="007C68F1">
        <w:t>The medical center</w:t>
      </w:r>
      <w:r w:rsidR="00A15C7F" w:rsidRPr="007C68F1">
        <w:t xml:space="preserve"> offer</w:t>
      </w:r>
      <w:r w:rsidR="00CB613A" w:rsidRPr="007C68F1">
        <w:t>ed</w:t>
      </w:r>
      <w:r w:rsidR="00A15C7F" w:rsidRPr="007C68F1">
        <w:t xml:space="preserve"> its </w:t>
      </w:r>
      <w:r w:rsidR="00F57AAE" w:rsidRPr="007C68F1">
        <w:t>written policy on the Christmas bonus</w:t>
      </w:r>
      <w:r w:rsidR="00A15C7F" w:rsidRPr="007C68F1">
        <w:t xml:space="preserve"> in support of the motion for summary adjudication.  The policy</w:t>
      </w:r>
      <w:r w:rsidR="00D473FE" w:rsidRPr="007C68F1">
        <w:t xml:space="preserve"> </w:t>
      </w:r>
      <w:r w:rsidR="00574980" w:rsidRPr="007C68F1">
        <w:t xml:space="preserve">described the bonus as a </w:t>
      </w:r>
      <w:bookmarkStart w:id="494" w:name="dabmq_224"/>
      <w:r w:rsidR="00574980" w:rsidRPr="007C68F1">
        <w:t xml:space="preserve">“discretionary bonus </w:t>
      </w:r>
      <w:r w:rsidR="005C6676" w:rsidRPr="007C68F1">
        <w:t>provided</w:t>
      </w:r>
      <w:r w:rsidR="00574980" w:rsidRPr="007C68F1">
        <w:t xml:space="preserve"> </w:t>
      </w:r>
      <w:r w:rsidR="005C6676" w:rsidRPr="007C68F1">
        <w:t>to eligible employees as a gift for their service.”</w:t>
      </w:r>
      <w:bookmarkEnd w:id="494"/>
      <w:r w:rsidR="005C6676" w:rsidRPr="007C68F1">
        <w:t xml:space="preserve">  </w:t>
      </w:r>
      <w:bookmarkStart w:id="495" w:name="dabmq_225"/>
      <w:r w:rsidR="00FB17CC" w:rsidRPr="007C68F1">
        <w:t>“</w:t>
      </w:r>
      <w:r w:rsidR="005C6676" w:rsidRPr="007C68F1">
        <w:t>The</w:t>
      </w:r>
      <w:r w:rsidR="00D473FE" w:rsidRPr="007C68F1">
        <w:t xml:space="preserve"> availability of the bonus, the amount, and the eligibility criteria </w:t>
      </w:r>
      <w:r w:rsidR="005C6676" w:rsidRPr="007C68F1">
        <w:t>[were]</w:t>
      </w:r>
      <w:r w:rsidR="00D473FE" w:rsidRPr="007C68F1">
        <w:t xml:space="preserve"> discretionary and subject to review, </w:t>
      </w:r>
      <w:r w:rsidR="00D473FE" w:rsidRPr="007C68F1">
        <w:lastRenderedPageBreak/>
        <w:t>change, and approval each year.”</w:t>
      </w:r>
      <w:bookmarkEnd w:id="495"/>
      <w:r w:rsidR="00A15C7F" w:rsidRPr="007C68F1">
        <w:t xml:space="preserve"> </w:t>
      </w:r>
      <w:r w:rsidRPr="007C68F1">
        <w:t xml:space="preserve"> </w:t>
      </w:r>
      <w:r w:rsidR="000E09DB" w:rsidRPr="007C68F1">
        <w:t>“</w:t>
      </w:r>
      <w:r w:rsidR="00A15C7F" w:rsidRPr="007C68F1">
        <w:t>Generally,</w:t>
      </w:r>
      <w:r w:rsidR="000E09DB" w:rsidRPr="007C68F1">
        <w:t>”</w:t>
      </w:r>
      <w:r w:rsidR="00A15C7F" w:rsidRPr="007C68F1">
        <w:t xml:space="preserve"> eligibility for the bonus was based on </w:t>
      </w:r>
      <w:bookmarkStart w:id="496" w:name="dabmq_226"/>
      <w:r w:rsidR="00A15C7F" w:rsidRPr="007C68F1">
        <w:t>“the average number of eligible hours paid during a specified six (6) pay periods prior to the bonus payment.”</w:t>
      </w:r>
      <w:bookmarkEnd w:id="496"/>
      <w:r w:rsidR="000E09DB" w:rsidRPr="007C68F1">
        <w:t xml:space="preserve">  If the medical center had paid the employee </w:t>
      </w:r>
      <w:r w:rsidR="00CB613A" w:rsidRPr="007C68F1">
        <w:t xml:space="preserve">for an average of 39.90 eligible hours or more, the employee generally was eligible for the bonus.  In addition, </w:t>
      </w:r>
      <w:r w:rsidRPr="007C68F1">
        <w:t xml:space="preserve">the employee had to be an active employee who had passed their “90-day introductory period” by a specified date </w:t>
      </w:r>
      <w:r w:rsidR="003A5FEC" w:rsidRPr="007C68F1">
        <w:t>before</w:t>
      </w:r>
      <w:r w:rsidRPr="007C68F1">
        <w:t xml:space="preserve"> </w:t>
      </w:r>
      <w:r w:rsidR="00313181" w:rsidRPr="007C68F1">
        <w:t xml:space="preserve">the </w:t>
      </w:r>
      <w:r w:rsidRPr="007C68F1">
        <w:t>b</w:t>
      </w:r>
      <w:r w:rsidRPr="007C68F1">
        <w:t xml:space="preserve">onus payment.  </w:t>
      </w:r>
      <w:r w:rsidR="00A15C7F" w:rsidRPr="007C68F1">
        <w:t xml:space="preserve">The policy </w:t>
      </w:r>
      <w:r w:rsidR="00AD334D" w:rsidRPr="007C68F1">
        <w:t>identified</w:t>
      </w:r>
      <w:r w:rsidR="00A15C7F" w:rsidRPr="007C68F1">
        <w:t xml:space="preserve"> </w:t>
      </w:r>
      <w:r w:rsidR="00AD334D" w:rsidRPr="007C68F1">
        <w:t>13</w:t>
      </w:r>
      <w:r w:rsidR="00A15C7F" w:rsidRPr="007C68F1">
        <w:t xml:space="preserve"> types of </w:t>
      </w:r>
      <w:r w:rsidR="00313181" w:rsidRPr="007C68F1">
        <w:t>hours</w:t>
      </w:r>
      <w:r w:rsidR="00A15C7F" w:rsidRPr="007C68F1">
        <w:t xml:space="preserve"> that would count toward an employee’s average eligible hours—for example, regular hours, overtime hours, sick leave hours, </w:t>
      </w:r>
      <w:r w:rsidR="00AD334D" w:rsidRPr="007C68F1">
        <w:t xml:space="preserve">jury duty hours, funeral leave hours, and </w:t>
      </w:r>
      <w:r w:rsidR="00A15C7F" w:rsidRPr="007C68F1">
        <w:t>voluntary time off.</w:t>
      </w:r>
      <w:r w:rsidR="000E09DB" w:rsidRPr="007C68F1">
        <w:t xml:space="preserve"> </w:t>
      </w:r>
      <w:r w:rsidR="00CB613A" w:rsidRPr="007C68F1">
        <w:t xml:space="preserve"> </w:t>
      </w:r>
      <w:r w:rsidR="000E09DB" w:rsidRPr="007C68F1">
        <w:t xml:space="preserve">The policy stated that </w:t>
      </w:r>
      <w:bookmarkStart w:id="497" w:name="dabmq_227"/>
      <w:r w:rsidR="000E09DB" w:rsidRPr="007C68F1">
        <w:t>“[g]enerally, bonus payments are paid to all eligible employees during December of each year.”</w:t>
      </w:r>
      <w:bookmarkEnd w:id="497"/>
      <w:r w:rsidR="000E09DB" w:rsidRPr="007C68F1">
        <w:t xml:space="preserve">  </w:t>
      </w:r>
    </w:p>
    <w:p w14:paraId="5B526DAB" w14:textId="77777777" w:rsidR="00773904" w:rsidRPr="007C68F1" w:rsidRDefault="00D16B2E" w:rsidP="007D1009">
      <w:pPr>
        <w:spacing w:line="480" w:lineRule="auto"/>
        <w:ind w:firstLine="720"/>
      </w:pPr>
      <w:r w:rsidRPr="007C68F1">
        <w:t>In support of th</w:t>
      </w:r>
      <w:r w:rsidR="00834931" w:rsidRPr="007C68F1">
        <w:t>e</w:t>
      </w:r>
      <w:r w:rsidRPr="007C68F1">
        <w:t xml:space="preserve"> motion, </w:t>
      </w:r>
      <w:r w:rsidR="00834931" w:rsidRPr="007C68F1">
        <w:t>the medical center</w:t>
      </w:r>
      <w:r w:rsidR="00CB613A" w:rsidRPr="007C68F1">
        <w:t xml:space="preserve"> also</w:t>
      </w:r>
      <w:r w:rsidRPr="007C68F1">
        <w:t xml:space="preserve"> offered another declaration from Bowell, the payroll manager.  According to her</w:t>
      </w:r>
      <w:r w:rsidR="00C91C77" w:rsidRPr="007C68F1">
        <w:t>, management met each fall and instructed payroll whether it would be giving Christmas bonuses that year</w:t>
      </w:r>
      <w:r w:rsidR="00313181" w:rsidRPr="007C68F1">
        <w:t xml:space="preserve"> </w:t>
      </w:r>
      <w:r w:rsidR="00C91C77" w:rsidRPr="007C68F1">
        <w:t>and</w:t>
      </w:r>
      <w:r w:rsidR="00313181" w:rsidRPr="007C68F1">
        <w:t>,</w:t>
      </w:r>
      <w:r w:rsidR="00C91C77" w:rsidRPr="007C68F1">
        <w:t xml:space="preserve"> if so, how to determine who would receive the bonus and the dollar amount.</w:t>
      </w:r>
      <w:r w:rsidRPr="007C68F1">
        <w:t xml:space="preserve">  Bowell explained that the medical center did not strictly follow the eligibility factors in the written policy.  For instance, in 2012 and 2013, the medical center gave Christmas bonuses to employees who did not qualify under the eligibility factors.  </w:t>
      </w:r>
    </w:p>
    <w:p w14:paraId="04461FC7" w14:textId="77777777" w:rsidR="008A4492" w:rsidRPr="007C68F1" w:rsidRDefault="00D16B2E" w:rsidP="007D1009">
      <w:pPr>
        <w:spacing w:line="480" w:lineRule="auto"/>
        <w:ind w:firstLine="720"/>
      </w:pPr>
      <w:r w:rsidRPr="007C68F1">
        <w:t>E</w:t>
      </w:r>
      <w:r w:rsidRPr="007C68F1">
        <w:t xml:space="preserve">ach year since 2010, the </w:t>
      </w:r>
      <w:r w:rsidR="00C91C77" w:rsidRPr="007C68F1">
        <w:t>medical center</w:t>
      </w:r>
      <w:r w:rsidRPr="007C68F1">
        <w:t xml:space="preserve"> paid Christmas bonuses of between $50 and $500.</w:t>
      </w:r>
      <w:r w:rsidR="00C91C77" w:rsidRPr="007C68F1">
        <w:t xml:space="preserve"> </w:t>
      </w:r>
      <w:r w:rsidRPr="007C68F1">
        <w:t xml:space="preserve"> It </w:t>
      </w:r>
      <w:r w:rsidR="00C91C77" w:rsidRPr="007C68F1">
        <w:t>gave Woodworth Christmas bonus</w:t>
      </w:r>
      <w:r w:rsidR="003A5FEC" w:rsidRPr="007C68F1">
        <w:t>es</w:t>
      </w:r>
      <w:r w:rsidRPr="007C68F1">
        <w:t xml:space="preserve"> in 2012 and 2013</w:t>
      </w:r>
      <w:r w:rsidR="00C91C77" w:rsidRPr="007C68F1">
        <w:t xml:space="preserve"> of $344.11 </w:t>
      </w:r>
      <w:r w:rsidRPr="007C68F1">
        <w:t xml:space="preserve">and $356.40, respectively.  </w:t>
      </w:r>
      <w:r w:rsidR="00580839" w:rsidRPr="007C68F1">
        <w:t xml:space="preserve">The medical center did not pay Woodworth any other type of bonus.  </w:t>
      </w:r>
      <w:r w:rsidR="001F1E05" w:rsidRPr="007C68F1">
        <w:t>It</w:t>
      </w:r>
      <w:r w:rsidRPr="007C68F1">
        <w:t xml:space="preserve"> did n</w:t>
      </w:r>
      <w:r w:rsidRPr="007C68F1">
        <w:t xml:space="preserve">ot base the amount of </w:t>
      </w:r>
      <w:r w:rsidR="001B051E" w:rsidRPr="007C68F1">
        <w:t>her</w:t>
      </w:r>
      <w:r w:rsidRPr="007C68F1">
        <w:t xml:space="preserve"> </w:t>
      </w:r>
      <w:r w:rsidR="00580839" w:rsidRPr="007C68F1">
        <w:t xml:space="preserve">Christmas </w:t>
      </w:r>
      <w:r w:rsidRPr="007C68F1">
        <w:t xml:space="preserve">bonuses on the number of hours she worked, her production, or her efficiency.  The medical center gave whatever dollar </w:t>
      </w:r>
      <w:r w:rsidRPr="007C68F1">
        <w:lastRenderedPageBreak/>
        <w:t xml:space="preserve">amount it decided was appropriate, and in the years it paid Woodworth the bonus, </w:t>
      </w:r>
      <w:r w:rsidR="00520D1D" w:rsidRPr="007C68F1">
        <w:t xml:space="preserve">it gave different gross amounts to </w:t>
      </w:r>
      <w:r w:rsidR="007D20BE" w:rsidRPr="007C68F1">
        <w:t>different</w:t>
      </w:r>
      <w:r w:rsidR="00D473FE" w:rsidRPr="007C68F1">
        <w:t xml:space="preserve"> </w:t>
      </w:r>
      <w:r w:rsidR="00520D1D" w:rsidRPr="007C68F1">
        <w:t xml:space="preserve">employees.  The amounts awarded to full-time employees </w:t>
      </w:r>
      <w:bookmarkStart w:id="498" w:name="dabmq_228"/>
      <w:r w:rsidR="00520D1D" w:rsidRPr="007C68F1">
        <w:t>“were much more influenced by their estimated taxes than by the factors listed in the bonus policy.”</w:t>
      </w:r>
      <w:bookmarkEnd w:id="498"/>
      <w:r w:rsidR="00520D1D" w:rsidRPr="007C68F1">
        <w:t xml:space="preserve"> </w:t>
      </w:r>
      <w:r w:rsidR="00580839" w:rsidRPr="007C68F1">
        <w:t xml:space="preserve"> </w:t>
      </w:r>
    </w:p>
    <w:p w14:paraId="113DC2ED" w14:textId="77777777" w:rsidR="00F57AAE" w:rsidRPr="007C68F1" w:rsidRDefault="00D16B2E" w:rsidP="007D1009">
      <w:pPr>
        <w:spacing w:line="480" w:lineRule="auto"/>
      </w:pPr>
      <w:r w:rsidRPr="007C68F1">
        <w:tab/>
      </w:r>
      <w:r w:rsidR="00834931" w:rsidRPr="007C68F1">
        <w:t xml:space="preserve">In </w:t>
      </w:r>
      <w:r w:rsidR="00773904" w:rsidRPr="007C68F1">
        <w:t>January 2015, the medical center published an outline of employee benefits.</w:t>
      </w:r>
      <w:r w:rsidR="00734863" w:rsidRPr="007C68F1">
        <w:t xml:space="preserve">  That outline </w:t>
      </w:r>
      <w:r w:rsidR="002C32DE" w:rsidRPr="007C68F1">
        <w:t xml:space="preserve">explained that </w:t>
      </w:r>
      <w:bookmarkStart w:id="499" w:name="dabmq_229"/>
      <w:r w:rsidR="00734863" w:rsidRPr="007C68F1">
        <w:t>“</w:t>
      </w:r>
      <w:r w:rsidR="002C32DE" w:rsidRPr="007C68F1">
        <w:rPr>
          <w:shd w:val="clear" w:color="auto" w:fill="FFFFFF"/>
        </w:rPr>
        <w:t xml:space="preserve">[a] </w:t>
      </w:r>
      <w:r w:rsidR="00734863" w:rsidRPr="007C68F1">
        <w:rPr>
          <w:shd w:val="clear" w:color="auto" w:fill="FFFFFF"/>
        </w:rPr>
        <w:t>Christmas bonus is available for full-time regular employees and part-time regular benefit eligible employees.”</w:t>
      </w:r>
      <w:bookmarkEnd w:id="499"/>
      <w:r w:rsidR="002C32DE" w:rsidRPr="007C68F1">
        <w:rPr>
          <w:shd w:val="clear" w:color="auto" w:fill="FFFFFF"/>
        </w:rPr>
        <w:t xml:space="preserve">  It also referred </w:t>
      </w:r>
      <w:r w:rsidR="002C32DE" w:rsidRPr="007C68F1">
        <w:t xml:space="preserve">employees to the full policy on Christmas bonuses. </w:t>
      </w:r>
    </w:p>
    <w:p w14:paraId="096BC954" w14:textId="77777777" w:rsidR="00AA1CB8" w:rsidRPr="007C68F1" w:rsidRDefault="00D16B2E" w:rsidP="007D1009">
      <w:pPr>
        <w:spacing w:line="480" w:lineRule="auto"/>
      </w:pPr>
      <w:r w:rsidRPr="007C68F1">
        <w:tab/>
        <w:t>According to Woodworth’s deposit</w:t>
      </w:r>
      <w:r w:rsidRPr="007C68F1">
        <w:t>ion testimony, the medical center did not promise to pay her a Christmas bonus when it hired her.</w:t>
      </w:r>
      <w:r w:rsidR="001D7FB3" w:rsidRPr="007C68F1">
        <w:t xml:space="preserve">  She did not expect a Christmas bonus until a coworker told her that they would be receiving one.</w:t>
      </w:r>
      <w:r w:rsidR="007B6E7A" w:rsidRPr="007C68F1">
        <w:t xml:space="preserve">  She had never seen the outline of employee benefits</w:t>
      </w:r>
      <w:r w:rsidR="00BA0D7E" w:rsidRPr="007C68F1">
        <w:t xml:space="preserve"> and did not rely on any of the information in it</w:t>
      </w:r>
      <w:r w:rsidR="007B6E7A" w:rsidRPr="007C68F1">
        <w:t>.</w:t>
      </w:r>
    </w:p>
    <w:p w14:paraId="07175D15" w14:textId="77777777" w:rsidR="00E20A4B" w:rsidRPr="007C68F1" w:rsidRDefault="00D16B2E" w:rsidP="007D1009">
      <w:pPr>
        <w:spacing w:line="480" w:lineRule="auto"/>
        <w:ind w:firstLine="720"/>
      </w:pPr>
      <w:r w:rsidRPr="007C68F1">
        <w:t xml:space="preserve">On the basis of the foregoing evidence, the medical </w:t>
      </w:r>
      <w:r w:rsidR="003A5FEC" w:rsidRPr="007C68F1">
        <w:t xml:space="preserve">center </w:t>
      </w:r>
      <w:r w:rsidRPr="007C68F1">
        <w:t>argued that it properly excluded the Christmas bonus from the regular rate calculation</w:t>
      </w:r>
      <w:r w:rsidR="00BA7AAF" w:rsidRPr="007C68F1">
        <w:t xml:space="preserve"> under </w:t>
      </w:r>
      <w:r w:rsidR="00B973AD" w:rsidRPr="007C68F1">
        <w:t>both</w:t>
      </w:r>
      <w:r w:rsidR="00BA7AAF" w:rsidRPr="007C68F1">
        <w:t xml:space="preserve"> the </w:t>
      </w:r>
      <w:r w:rsidR="00B973AD" w:rsidRPr="007C68F1">
        <w:t xml:space="preserve">special occasion </w:t>
      </w:r>
      <w:r w:rsidR="00BA7AAF" w:rsidRPr="007C68F1">
        <w:t xml:space="preserve">gift exclusion </w:t>
      </w:r>
      <w:r w:rsidR="007B5B3D" w:rsidRPr="007C68F1">
        <w:t>and</w:t>
      </w:r>
      <w:r w:rsidR="00BA7AAF" w:rsidRPr="007C68F1">
        <w:t xml:space="preserve"> the discretionary bonus exclusion</w:t>
      </w:r>
      <w:r w:rsidRPr="007C68F1">
        <w:t>.</w:t>
      </w:r>
      <w:r w:rsidR="00B973AD" w:rsidRPr="007C68F1">
        <w:t xml:space="preserve">  </w:t>
      </w:r>
      <w:r w:rsidR="007F6133" w:rsidRPr="007C68F1">
        <w:t>It further argued that</w:t>
      </w:r>
      <w:r w:rsidR="00B973AD" w:rsidRPr="007C68F1">
        <w:t xml:space="preserve"> Woodworth was precluded from pursuing her flat sum bonus theory</w:t>
      </w:r>
      <w:r w:rsidR="00D21A32" w:rsidRPr="007C68F1">
        <w:t xml:space="preserve">; </w:t>
      </w:r>
      <w:r w:rsidR="00B973AD" w:rsidRPr="007C68F1">
        <w:t xml:space="preserve">she did not allege it in the TAC </w:t>
      </w:r>
      <w:r w:rsidR="00D21A32" w:rsidRPr="007C68F1">
        <w:t xml:space="preserve">or disclose it in her discovery responses but raised it for the first time in her class certification motion.  In the alternative, the medical center argued that </w:t>
      </w:r>
      <w:r w:rsidR="00276E14" w:rsidRPr="007C68F1">
        <w:t>her flat sum bonus</w:t>
      </w:r>
      <w:r w:rsidR="00D21A32" w:rsidRPr="007C68F1">
        <w:t xml:space="preserve"> </w:t>
      </w:r>
      <w:r w:rsidR="00276E14" w:rsidRPr="007C68F1">
        <w:t>theory</w:t>
      </w:r>
      <w:r w:rsidR="00D21A32" w:rsidRPr="007C68F1">
        <w:t xml:space="preserve"> lacked merit because she never received a bonus </w:t>
      </w:r>
      <w:r w:rsidR="00704608" w:rsidRPr="007C68F1">
        <w:t>apart from</w:t>
      </w:r>
      <w:r w:rsidR="00D21A32" w:rsidRPr="007C68F1">
        <w:t xml:space="preserve"> the Christmas bonus.</w:t>
      </w:r>
      <w:r w:rsidR="00704608" w:rsidRPr="007C68F1">
        <w:t xml:space="preserve">  Finally, the medical center argued that it was entitled to summary adjudication on the PAGA </w:t>
      </w:r>
      <w:r w:rsidR="00C565C8" w:rsidRPr="007C68F1">
        <w:t>regular rate claim</w:t>
      </w:r>
      <w:r w:rsidR="00704608" w:rsidRPr="007C68F1">
        <w:t xml:space="preserve"> because </w:t>
      </w:r>
      <w:r w:rsidR="007B5B3D" w:rsidRPr="007C68F1">
        <w:t>Woodworth’s</w:t>
      </w:r>
      <w:r w:rsidR="00704608" w:rsidRPr="007C68F1">
        <w:t xml:space="preserve"> regular rate claim lacked merit.</w:t>
      </w:r>
    </w:p>
    <w:p w14:paraId="265A9FA2" w14:textId="77777777" w:rsidR="001E6673" w:rsidRPr="007C68F1" w:rsidRDefault="00D16B2E" w:rsidP="007D1009">
      <w:pPr>
        <w:spacing w:line="480" w:lineRule="auto"/>
        <w:ind w:firstLine="720"/>
      </w:pPr>
      <w:r w:rsidRPr="007C68F1">
        <w:lastRenderedPageBreak/>
        <w:t xml:space="preserve">In opposition to the summary adjudication motion, Woodworth argued that </w:t>
      </w:r>
      <w:r w:rsidR="00276E14" w:rsidRPr="007C68F1">
        <w:t xml:space="preserve">the medical center’s Christmas bonus policy and outline of benefits gave rise to an implied promise to pay the bonus.  Moreover, she argued </w:t>
      </w:r>
      <w:r w:rsidR="003A5FEC" w:rsidRPr="007C68F1">
        <w:t>that all</w:t>
      </w:r>
      <w:r w:rsidR="00276E14" w:rsidRPr="007C68F1">
        <w:t xml:space="preserve"> aggrieved employees</w:t>
      </w:r>
      <w:r w:rsidR="003A5FEC" w:rsidRPr="007C68F1">
        <w:t xml:space="preserve"> including herself</w:t>
      </w:r>
      <w:r w:rsidR="00276E14" w:rsidRPr="007C68F1">
        <w:t xml:space="preserve"> (for purposes of the PAGA cause of action) were entitled to the Christmas bonus because virtually all eligible employees received it every year since 2010, and the eligibility requirements were not discretionary.</w:t>
      </w:r>
      <w:r w:rsidR="00BD3E24" w:rsidRPr="007C68F1">
        <w:t xml:space="preserve">  And as to the flat sum bonus theory, Woodworth argued that she had adequately alleged the theory in her TAC</w:t>
      </w:r>
      <w:r w:rsidR="002506FD" w:rsidRPr="007C68F1">
        <w:t>.</w:t>
      </w:r>
      <w:r w:rsidR="00BD3E24" w:rsidRPr="007C68F1">
        <w:t xml:space="preserve"> </w:t>
      </w:r>
      <w:r w:rsidR="002506FD" w:rsidRPr="007C68F1">
        <w:t xml:space="preserve"> She also asserted that the medical center failed to carry its burden with respect to the aggrieved employees’ PAGA claim—</w:t>
      </w:r>
      <w:r w:rsidR="0038464A" w:rsidRPr="007C68F1">
        <w:t>the medical center’s</w:t>
      </w:r>
      <w:r w:rsidR="002506FD" w:rsidRPr="007C68F1">
        <w:t xml:space="preserve"> showing was limited to Woodworth.</w:t>
      </w:r>
    </w:p>
    <w:p w14:paraId="7DAADBBF" w14:textId="77777777" w:rsidR="00D14CED" w:rsidRPr="007C68F1" w:rsidRDefault="00D16B2E" w:rsidP="007D1009">
      <w:pPr>
        <w:spacing w:line="480" w:lineRule="auto"/>
        <w:ind w:firstLine="720"/>
      </w:pPr>
      <w:r w:rsidRPr="007C68F1">
        <w:t>The medical center submitted a</w:t>
      </w:r>
      <w:r w:rsidR="00FA72FF" w:rsidRPr="007C68F1">
        <w:t xml:space="preserve">nother </w:t>
      </w:r>
      <w:r w:rsidRPr="007C68F1">
        <w:t xml:space="preserve">declaration from Bowell with its reply papers.  Bowell explained that </w:t>
      </w:r>
      <w:r w:rsidR="00E5010E" w:rsidRPr="007C68F1">
        <w:t xml:space="preserve">in 2012 and 2013, the medical center’s administration instructed payroll to give Woodworth a bonus that would </w:t>
      </w:r>
      <w:r w:rsidR="000C37C1" w:rsidRPr="007C68F1">
        <w:t>yield</w:t>
      </w:r>
      <w:r w:rsidR="00E5010E" w:rsidRPr="007C68F1">
        <w:t xml:space="preserve"> $200 after taxes</w:t>
      </w:r>
      <w:r w:rsidR="008D049A" w:rsidRPr="007C68F1">
        <w:t xml:space="preserve"> were deducted</w:t>
      </w:r>
      <w:r w:rsidR="00E5010E" w:rsidRPr="007C68F1">
        <w:t xml:space="preserve">.  Her Christmas bonuses of $344.11 and $356.40 </w:t>
      </w:r>
      <w:r w:rsidR="000C37C1" w:rsidRPr="007C68F1">
        <w:t>yielded</w:t>
      </w:r>
      <w:r w:rsidR="00E5010E" w:rsidRPr="007C68F1">
        <w:t xml:space="preserve"> after-tax gifts of $200.</w:t>
      </w:r>
    </w:p>
    <w:p w14:paraId="1EBD1CAF" w14:textId="77777777" w:rsidR="00181D30" w:rsidRPr="007C68F1" w:rsidRDefault="00D16B2E" w:rsidP="007D1009">
      <w:pPr>
        <w:spacing w:line="480" w:lineRule="auto"/>
        <w:ind w:firstLine="720"/>
      </w:pPr>
      <w:r w:rsidRPr="007C68F1">
        <w:t xml:space="preserve">The </w:t>
      </w:r>
      <w:r w:rsidR="00833372" w:rsidRPr="007C68F1">
        <w:t xml:space="preserve">trial </w:t>
      </w:r>
      <w:r w:rsidRPr="007C68F1">
        <w:t xml:space="preserve">court granted </w:t>
      </w:r>
      <w:r w:rsidR="008701E8" w:rsidRPr="007C68F1">
        <w:t xml:space="preserve">the </w:t>
      </w:r>
      <w:r w:rsidRPr="007C68F1">
        <w:t xml:space="preserve">summary adjudication </w:t>
      </w:r>
      <w:r w:rsidR="008701E8" w:rsidRPr="007C68F1">
        <w:t xml:space="preserve">motion </w:t>
      </w:r>
      <w:r w:rsidR="000B2AFF" w:rsidRPr="007C68F1">
        <w:t>on</w:t>
      </w:r>
      <w:r w:rsidRPr="007C68F1">
        <w:t xml:space="preserve"> Woodworth’s individual regular rate claim and the PAGA regular rate claim.</w:t>
      </w:r>
      <w:r w:rsidR="00107D88" w:rsidRPr="007C68F1">
        <w:t xml:space="preserve">  The court ruled that the medical center’s evidence showed that it properly calculated the regular rate of pay, and there was no triable issue of material fact.</w:t>
      </w:r>
      <w:r w:rsidR="000005FF" w:rsidRPr="007C68F1">
        <w:t xml:space="preserve"> </w:t>
      </w:r>
      <w:r w:rsidR="00BB6C95" w:rsidRPr="007C68F1">
        <w:t xml:space="preserve"> </w:t>
      </w:r>
    </w:p>
    <w:p w14:paraId="5802276F" w14:textId="77777777" w:rsidR="00DC5D39" w:rsidRPr="007C68F1" w:rsidRDefault="00D16B2E" w:rsidP="007D1009">
      <w:pPr>
        <w:keepNext/>
        <w:spacing w:line="480" w:lineRule="auto"/>
        <w:rPr>
          <w:i/>
          <w:iCs/>
        </w:rPr>
      </w:pPr>
      <w:r w:rsidRPr="007C68F1">
        <w:tab/>
      </w:r>
      <w:r w:rsidRPr="007C68F1">
        <w:tab/>
        <w:t xml:space="preserve">2.  </w:t>
      </w:r>
      <w:r w:rsidRPr="007C68F1">
        <w:rPr>
          <w:i/>
          <w:iCs/>
        </w:rPr>
        <w:t>Analysis</w:t>
      </w:r>
    </w:p>
    <w:p w14:paraId="65AFC090" w14:textId="77777777" w:rsidR="009B66A6" w:rsidRPr="007C68F1" w:rsidRDefault="00D16B2E" w:rsidP="007D1009">
      <w:pPr>
        <w:spacing w:line="480" w:lineRule="auto"/>
        <w:ind w:firstLine="720"/>
        <w:rPr>
          <w:shd w:val="clear" w:color="auto" w:fill="FFFFFF"/>
        </w:rPr>
      </w:pPr>
      <w:r w:rsidRPr="007C68F1">
        <w:t>T</w:t>
      </w:r>
      <w:r w:rsidR="00FA7FE8" w:rsidRPr="007C68F1">
        <w:t xml:space="preserve">he medical center carried its initial burden </w:t>
      </w:r>
      <w:r w:rsidR="00725443" w:rsidRPr="007C68F1">
        <w:t xml:space="preserve">of </w:t>
      </w:r>
      <w:r w:rsidR="000A78A8" w:rsidRPr="007C68F1">
        <w:t>demonstrating</w:t>
      </w:r>
      <w:r w:rsidR="00725443" w:rsidRPr="007C68F1">
        <w:t xml:space="preserve"> that </w:t>
      </w:r>
      <w:r w:rsidR="001A04A1" w:rsidRPr="007C68F1">
        <w:t>Woodworth’s individual</w:t>
      </w:r>
      <w:r w:rsidR="00725443" w:rsidRPr="007C68F1">
        <w:t xml:space="preserve"> regular rate claim lacked merit.  The medical center’s evidence showed that the Christmas bonus qualified for the special occasion gift exclusion, and </w:t>
      </w:r>
      <w:r w:rsidR="000A78A8" w:rsidRPr="007C68F1">
        <w:t>the medical center</w:t>
      </w:r>
      <w:r w:rsidR="00725443" w:rsidRPr="007C68F1">
        <w:t xml:space="preserve"> ther</w:t>
      </w:r>
      <w:r w:rsidR="000A78A8" w:rsidRPr="007C68F1">
        <w:t xml:space="preserve">efore could exclude the bonus when calculating employees’ regular rate of </w:t>
      </w:r>
      <w:r w:rsidR="000A78A8" w:rsidRPr="007C68F1">
        <w:lastRenderedPageBreak/>
        <w:t xml:space="preserve">pay.  </w:t>
      </w:r>
      <w:r w:rsidR="001F119D" w:rsidRPr="007C68F1">
        <w:rPr>
          <w:shd w:val="clear" w:color="auto" w:fill="FFFFFF"/>
        </w:rPr>
        <w:t>(</w:t>
      </w:r>
      <w:bookmarkStart w:id="500" w:name="dabmci_a99cc579cb0b4acba310f2185189cb35"/>
      <w:r w:rsidR="001F119D" w:rsidRPr="007C68F1">
        <w:rPr>
          <w:shd w:val="clear" w:color="auto" w:fill="FFFFFF"/>
        </w:rPr>
        <w:t>29 U.S.C. § 207(e)(1)</w:t>
      </w:r>
      <w:bookmarkEnd w:id="500"/>
      <w:r w:rsidR="001F119D" w:rsidRPr="007C68F1">
        <w:rPr>
          <w:shd w:val="clear" w:color="auto" w:fill="FFFFFF"/>
        </w:rPr>
        <w:t xml:space="preserve">; </w:t>
      </w:r>
      <w:bookmarkStart w:id="501" w:name="dabmci_10518a541dad46d1bb31744282d429f0"/>
      <w:r w:rsidR="001F119D" w:rsidRPr="007C68F1">
        <w:rPr>
          <w:shd w:val="clear" w:color="auto" w:fill="FFFFFF"/>
        </w:rPr>
        <w:t>29 C.F.R. § 778.200(a)(1)</w:t>
      </w:r>
      <w:r w:rsidR="00592283" w:rsidRPr="007C68F1">
        <w:rPr>
          <w:shd w:val="clear" w:color="auto" w:fill="FFFFFF"/>
        </w:rPr>
        <w:t xml:space="preserve"> (2022)</w:t>
      </w:r>
      <w:bookmarkEnd w:id="501"/>
      <w:r w:rsidR="001F119D" w:rsidRPr="007C68F1">
        <w:rPr>
          <w:shd w:val="clear" w:color="auto" w:fill="FFFFFF"/>
        </w:rPr>
        <w:t>.)</w:t>
      </w:r>
      <w:r w:rsidR="001777CA" w:rsidRPr="007C68F1">
        <w:rPr>
          <w:shd w:val="clear" w:color="auto" w:fill="FFFFFF"/>
        </w:rPr>
        <w:t xml:space="preserve"> </w:t>
      </w:r>
      <w:r w:rsidR="00E60816" w:rsidRPr="007C68F1">
        <w:rPr>
          <w:shd w:val="clear" w:color="auto" w:fill="FFFFFF"/>
        </w:rPr>
        <w:t xml:space="preserve"> </w:t>
      </w:r>
      <w:bookmarkStart w:id="502" w:name="dabmq_230"/>
      <w:r w:rsidR="00E60816" w:rsidRPr="007C68F1">
        <w:rPr>
          <w:shd w:val="clear" w:color="auto" w:fill="FFFFFF"/>
        </w:rPr>
        <w:t>“[P]ayments in the nature of gifts made at Christmas time . . . as a reward for service”</w:t>
      </w:r>
      <w:bookmarkEnd w:id="502"/>
      <w:r w:rsidR="00E60816" w:rsidRPr="007C68F1">
        <w:rPr>
          <w:shd w:val="clear" w:color="auto" w:fill="FFFFFF"/>
        </w:rPr>
        <w:t xml:space="preserve"> qualify, so long as </w:t>
      </w:r>
      <w:bookmarkStart w:id="503" w:name="dabmq_231"/>
      <w:r w:rsidR="00E60816" w:rsidRPr="007C68F1">
        <w:rPr>
          <w:shd w:val="clear" w:color="auto" w:fill="FFFFFF"/>
        </w:rPr>
        <w:t>“the amounts . . .</w:t>
      </w:r>
      <w:r w:rsidR="006C7ECB" w:rsidRPr="007C68F1">
        <w:rPr>
          <w:shd w:val="clear" w:color="auto" w:fill="FFFFFF"/>
        </w:rPr>
        <w:t xml:space="preserve"> are not measured by or dependent on hours worked, production, or efficiency.”</w:t>
      </w:r>
      <w:bookmarkEnd w:id="503"/>
      <w:r w:rsidR="006C7ECB" w:rsidRPr="007C68F1">
        <w:rPr>
          <w:shd w:val="clear" w:color="auto" w:fill="FFFFFF"/>
        </w:rPr>
        <w:t xml:space="preserve">  (</w:t>
      </w:r>
      <w:bookmarkStart w:id="504" w:name="dabmci_2a92e0a1661b49fe9ccea924f1d87a90"/>
      <w:r w:rsidR="006C7ECB" w:rsidRPr="007C68F1">
        <w:rPr>
          <w:shd w:val="clear" w:color="auto" w:fill="FFFFFF"/>
        </w:rPr>
        <w:t>29 U.S.C. § 207(e)(1)</w:t>
      </w:r>
      <w:bookmarkEnd w:id="504"/>
      <w:r w:rsidRPr="007C68F1">
        <w:rPr>
          <w:shd w:val="clear" w:color="auto" w:fill="FFFFFF"/>
        </w:rPr>
        <w:t xml:space="preserve">; </w:t>
      </w:r>
      <w:bookmarkStart w:id="505" w:name="dabmci_59819e63065647cfbad598ef5c5f4d7d"/>
      <w:r w:rsidRPr="007C68F1">
        <w:rPr>
          <w:shd w:val="clear" w:color="auto" w:fill="FFFFFF"/>
        </w:rPr>
        <w:t>29 C.F.R. § 778.212(c)</w:t>
      </w:r>
      <w:r w:rsidR="009E79D6" w:rsidRPr="007C68F1">
        <w:rPr>
          <w:shd w:val="clear" w:color="auto" w:fill="FFFFFF"/>
        </w:rPr>
        <w:t xml:space="preserve"> (2022)</w:t>
      </w:r>
      <w:bookmarkEnd w:id="505"/>
      <w:r w:rsidR="00CC30BD" w:rsidRPr="007C68F1">
        <w:rPr>
          <w:shd w:val="clear" w:color="auto" w:fill="FFFFFF"/>
        </w:rPr>
        <w:t>.</w:t>
      </w:r>
      <w:r w:rsidR="006C7ECB" w:rsidRPr="007C68F1">
        <w:rPr>
          <w:shd w:val="clear" w:color="auto" w:fill="FFFFFF"/>
        </w:rPr>
        <w:t xml:space="preserve">)  </w:t>
      </w:r>
      <w:r w:rsidR="00D05B44" w:rsidRPr="007C68F1">
        <w:rPr>
          <w:shd w:val="clear" w:color="auto" w:fill="FFFFFF"/>
        </w:rPr>
        <w:t>The medical</w:t>
      </w:r>
      <w:r w:rsidR="006C7ECB" w:rsidRPr="007C68F1">
        <w:rPr>
          <w:shd w:val="clear" w:color="auto" w:fill="FFFFFF"/>
        </w:rPr>
        <w:t xml:space="preserve"> center</w:t>
      </w:r>
      <w:r w:rsidR="00065575" w:rsidRPr="007C68F1">
        <w:rPr>
          <w:shd w:val="clear" w:color="auto" w:fill="FFFFFF"/>
        </w:rPr>
        <w:t xml:space="preserve">’s policy showed that </w:t>
      </w:r>
      <w:r w:rsidR="005C6676" w:rsidRPr="007C68F1">
        <w:rPr>
          <w:shd w:val="clear" w:color="auto" w:fill="FFFFFF"/>
        </w:rPr>
        <w:t xml:space="preserve">the bonus was a gift for employees’ service and that it </w:t>
      </w:r>
      <w:r w:rsidR="006C7ECB" w:rsidRPr="007C68F1">
        <w:rPr>
          <w:shd w:val="clear" w:color="auto" w:fill="FFFFFF"/>
        </w:rPr>
        <w:t>generally paid the bonus in December</w:t>
      </w:r>
      <w:r w:rsidR="009254BD" w:rsidRPr="007C68F1">
        <w:rPr>
          <w:shd w:val="clear" w:color="auto" w:fill="FFFFFF"/>
        </w:rPr>
        <w:t xml:space="preserve"> (</w:t>
      </w:r>
      <w:r w:rsidR="007A33A8" w:rsidRPr="007C68F1">
        <w:rPr>
          <w:shd w:val="clear" w:color="auto" w:fill="FFFFFF"/>
        </w:rPr>
        <w:t>Christmas tim</w:t>
      </w:r>
      <w:r w:rsidR="005C6676" w:rsidRPr="007C68F1">
        <w:rPr>
          <w:shd w:val="clear" w:color="auto" w:fill="FFFFFF"/>
        </w:rPr>
        <w:t>e</w:t>
      </w:r>
      <w:r w:rsidR="009254BD" w:rsidRPr="007C68F1">
        <w:rPr>
          <w:shd w:val="clear" w:color="auto" w:fill="FFFFFF"/>
        </w:rPr>
        <w:t>).</w:t>
      </w:r>
      <w:r w:rsidR="005C6676" w:rsidRPr="007C68F1">
        <w:rPr>
          <w:shd w:val="clear" w:color="auto" w:fill="FFFFFF"/>
        </w:rPr>
        <w:t xml:space="preserve">  According</w:t>
      </w:r>
      <w:r w:rsidR="006C7ECB" w:rsidRPr="007C68F1">
        <w:rPr>
          <w:shd w:val="clear" w:color="auto" w:fill="FFFFFF"/>
        </w:rPr>
        <w:t xml:space="preserve"> to Bowell, the </w:t>
      </w:r>
      <w:r w:rsidR="00D05B44" w:rsidRPr="007C68F1">
        <w:rPr>
          <w:shd w:val="clear" w:color="auto" w:fill="FFFFFF"/>
        </w:rPr>
        <w:t xml:space="preserve">medical center did not base the </w:t>
      </w:r>
      <w:r w:rsidR="006C7ECB" w:rsidRPr="007C68F1">
        <w:rPr>
          <w:shd w:val="clear" w:color="auto" w:fill="FFFFFF"/>
        </w:rPr>
        <w:t xml:space="preserve">amount of the bonus </w:t>
      </w:r>
      <w:r w:rsidR="007A33A8" w:rsidRPr="007C68F1">
        <w:rPr>
          <w:shd w:val="clear" w:color="auto" w:fill="FFFFFF"/>
        </w:rPr>
        <w:t xml:space="preserve">on </w:t>
      </w:r>
      <w:r w:rsidR="00D05B44" w:rsidRPr="007C68F1">
        <w:rPr>
          <w:shd w:val="clear" w:color="auto" w:fill="FFFFFF"/>
        </w:rPr>
        <w:t>hours</w:t>
      </w:r>
      <w:r w:rsidR="00D05B44" w:rsidRPr="007C68F1">
        <w:t xml:space="preserve"> worked, production, or efficiency.  The medical center </w:t>
      </w:r>
      <w:r w:rsidRPr="007C68F1">
        <w:t xml:space="preserve">determined whether employees were eligible </w:t>
      </w:r>
      <w:r w:rsidRPr="007C68F1">
        <w:t>for the Christmas bonus on the basis of the</w:t>
      </w:r>
      <w:r w:rsidR="000C2B72" w:rsidRPr="007C68F1">
        <w:t xml:space="preserve"> hours for which they were paid during a specified period</w:t>
      </w:r>
      <w:r w:rsidR="007A33A8" w:rsidRPr="007C68F1">
        <w:t xml:space="preserve">.  </w:t>
      </w:r>
      <w:r w:rsidR="005C6676" w:rsidRPr="007C68F1">
        <w:t xml:space="preserve">But </w:t>
      </w:r>
      <w:r w:rsidR="009254BD" w:rsidRPr="007C68F1">
        <w:t xml:space="preserve">the eligibility </w:t>
      </w:r>
      <w:r w:rsidR="00D34F3A" w:rsidRPr="007C68F1">
        <w:t>criteria</w:t>
      </w:r>
      <w:r w:rsidR="009254BD" w:rsidRPr="007C68F1">
        <w:t xml:space="preserve"> merely established whether someone was qualified to receive the bonus at all, not the amount of the bonus.  (See </w:t>
      </w:r>
      <w:bookmarkStart w:id="506" w:name="dabmci_83742260fdb8464ebda614aec11df770"/>
      <w:r w:rsidR="009254BD" w:rsidRPr="007C68F1">
        <w:rPr>
          <w:i/>
          <w:iCs/>
          <w:bdr w:val="none" w:sz="0" w:space="0" w:color="auto" w:frame="1"/>
        </w:rPr>
        <w:t>De Vries v. Regents of University of California</w:t>
      </w:r>
      <w:r w:rsidR="009254BD" w:rsidRPr="007C68F1">
        <w:t xml:space="preserve"> (2016) 6 Cal.App.5th 574, 592</w:t>
      </w:r>
      <w:bookmarkEnd w:id="506"/>
      <w:r w:rsidR="009254BD" w:rsidRPr="007C68F1">
        <w:t xml:space="preserve"> [</w:t>
      </w:r>
      <w:bookmarkStart w:id="507" w:name="dabmq_232"/>
      <w:r w:rsidR="009254BD" w:rsidRPr="007C68F1">
        <w:t>“</w:t>
      </w:r>
      <w:r w:rsidRPr="007C68F1">
        <w:rPr>
          <w:shd w:val="clear" w:color="auto" w:fill="FFFFFF"/>
        </w:rPr>
        <w:t xml:space="preserve">the ordinary meaning of </w:t>
      </w:r>
      <w:r w:rsidR="009254BD" w:rsidRPr="007C68F1">
        <w:rPr>
          <w:shd w:val="clear" w:color="auto" w:fill="FFFFFF"/>
        </w:rPr>
        <w:t>‘</w:t>
      </w:r>
      <w:r w:rsidRPr="007C68F1">
        <w:rPr>
          <w:bdr w:val="none" w:sz="0" w:space="0" w:color="auto" w:frame="1"/>
          <w:shd w:val="clear" w:color="auto" w:fill="FFFFFF"/>
        </w:rPr>
        <w:t>eligibility</w:t>
      </w:r>
      <w:r w:rsidR="009254BD" w:rsidRPr="007C68F1">
        <w:rPr>
          <w:shd w:val="clear" w:color="auto" w:fill="FFFFFF"/>
        </w:rPr>
        <w:t>’</w:t>
      </w:r>
      <w:r w:rsidRPr="007C68F1">
        <w:rPr>
          <w:shd w:val="clear" w:color="auto" w:fill="FFFFFF"/>
        </w:rPr>
        <w:t xml:space="preserve"> connotes qualification for a benefit</w:t>
      </w:r>
      <w:r w:rsidR="009254BD" w:rsidRPr="007C68F1">
        <w:rPr>
          <w:shd w:val="clear" w:color="auto" w:fill="FFFFFF"/>
        </w:rPr>
        <w:t>”</w:t>
      </w:r>
      <w:bookmarkEnd w:id="507"/>
      <w:r w:rsidR="009254BD" w:rsidRPr="007C68F1">
        <w:rPr>
          <w:shd w:val="clear" w:color="auto" w:fill="FFFFFF"/>
        </w:rPr>
        <w:t xml:space="preserve">].)  Moreover, the medical center based eligibility on hours paid, not hours worked.  The hours </w:t>
      </w:r>
      <w:r w:rsidR="00D34F3A" w:rsidRPr="007C68F1">
        <w:rPr>
          <w:shd w:val="clear" w:color="auto" w:fill="FFFFFF"/>
        </w:rPr>
        <w:t xml:space="preserve">that counted toward eligibility </w:t>
      </w:r>
      <w:r w:rsidR="009254BD" w:rsidRPr="007C68F1">
        <w:rPr>
          <w:shd w:val="clear" w:color="auto" w:fill="FFFFFF"/>
        </w:rPr>
        <w:t xml:space="preserve">included </w:t>
      </w:r>
      <w:r w:rsidR="001C6D27" w:rsidRPr="007C68F1">
        <w:rPr>
          <w:shd w:val="clear" w:color="auto" w:fill="FFFFFF"/>
        </w:rPr>
        <w:t xml:space="preserve">numerous types of nonwork hours, like sick leave or jury duty.  </w:t>
      </w:r>
    </w:p>
    <w:p w14:paraId="227B3C17" w14:textId="77777777" w:rsidR="00A21017" w:rsidRPr="007C68F1" w:rsidRDefault="00D16B2E" w:rsidP="007D1009">
      <w:pPr>
        <w:spacing w:line="480" w:lineRule="auto"/>
        <w:ind w:firstLine="720"/>
      </w:pPr>
      <w:r w:rsidRPr="007C68F1">
        <w:rPr>
          <w:shd w:val="clear" w:color="auto" w:fill="FFFFFF"/>
        </w:rPr>
        <w:t>In response to the medical center’s showing on the Christmas bonus, Woodworth failed to show a triable issue of material fact</w:t>
      </w:r>
      <w:r w:rsidR="001A04A1" w:rsidRPr="007C68F1">
        <w:rPr>
          <w:shd w:val="clear" w:color="auto" w:fill="FFFFFF"/>
        </w:rPr>
        <w:t xml:space="preserve">.  </w:t>
      </w:r>
      <w:r w:rsidR="003118FD" w:rsidRPr="007C68F1">
        <w:rPr>
          <w:shd w:val="clear" w:color="auto" w:fill="FFFFFF"/>
        </w:rPr>
        <w:t xml:space="preserve">She argues that there was a factual dispute as to whether the Christmas bonus qualified as a discretionary bonus.  </w:t>
      </w:r>
      <w:r w:rsidR="007F6974" w:rsidRPr="007C68F1">
        <w:rPr>
          <w:shd w:val="clear" w:color="auto" w:fill="FFFFFF"/>
        </w:rPr>
        <w:t>However,</w:t>
      </w:r>
      <w:r w:rsidR="003118FD" w:rsidRPr="007C68F1">
        <w:rPr>
          <w:shd w:val="clear" w:color="auto" w:fill="FFFFFF"/>
        </w:rPr>
        <w:t xml:space="preserve"> the </w:t>
      </w:r>
      <w:r w:rsidR="00176C59" w:rsidRPr="007C68F1">
        <w:rPr>
          <w:shd w:val="clear" w:color="auto" w:fill="FFFFFF"/>
        </w:rPr>
        <w:t>discretionary bonus and the special occasion gift are independent exclusion</w:t>
      </w:r>
      <w:r w:rsidRPr="007C68F1">
        <w:rPr>
          <w:shd w:val="clear" w:color="auto" w:fill="FFFFFF"/>
        </w:rPr>
        <w:t>s.  A</w:t>
      </w:r>
      <w:r w:rsidR="00176C59" w:rsidRPr="007C68F1">
        <w:rPr>
          <w:shd w:val="clear" w:color="auto" w:fill="FFFFFF"/>
        </w:rPr>
        <w:t xml:space="preserve"> bonus need qualify for</w:t>
      </w:r>
      <w:r w:rsidR="007F6974" w:rsidRPr="007C68F1">
        <w:rPr>
          <w:shd w:val="clear" w:color="auto" w:fill="FFFFFF"/>
        </w:rPr>
        <w:t xml:space="preserve"> only</w:t>
      </w:r>
      <w:r w:rsidR="00176C59" w:rsidRPr="007C68F1">
        <w:rPr>
          <w:shd w:val="clear" w:color="auto" w:fill="FFFFFF"/>
        </w:rPr>
        <w:t xml:space="preserve"> </w:t>
      </w:r>
      <w:bookmarkStart w:id="508" w:name="dabmq_233"/>
      <w:r w:rsidRPr="007C68F1">
        <w:rPr>
          <w:shd w:val="clear" w:color="auto" w:fill="FFFFFF"/>
        </w:rPr>
        <w:t>“one of these types”</w:t>
      </w:r>
      <w:bookmarkEnd w:id="508"/>
      <w:r w:rsidRPr="007C68F1">
        <w:rPr>
          <w:shd w:val="clear" w:color="auto" w:fill="FFFFFF"/>
        </w:rPr>
        <w:t xml:space="preserve"> of exclusions to </w:t>
      </w:r>
      <w:r w:rsidR="00176C59" w:rsidRPr="007C68F1">
        <w:rPr>
          <w:shd w:val="clear" w:color="auto" w:fill="FFFFFF"/>
        </w:rPr>
        <w:t>be excluded from the regular rate calculation.</w:t>
      </w:r>
      <w:r w:rsidR="007C384B" w:rsidRPr="007C68F1">
        <w:rPr>
          <w:shd w:val="clear" w:color="auto" w:fill="FFFFFF"/>
        </w:rPr>
        <w:t xml:space="preserve">  </w:t>
      </w:r>
      <w:r w:rsidR="00DA5A5D" w:rsidRPr="007C68F1">
        <w:rPr>
          <w:shd w:val="clear" w:color="auto" w:fill="FFFFFF"/>
        </w:rPr>
        <w:t>(</w:t>
      </w:r>
      <w:bookmarkStart w:id="509" w:name="dabmci_69fa4e26b2544c279c5c379c73f0f116"/>
      <w:r w:rsidR="00DA5A5D" w:rsidRPr="007C68F1">
        <w:t>29 C.F.R. § 778.208</w:t>
      </w:r>
      <w:r w:rsidR="009E79D6" w:rsidRPr="007C68F1">
        <w:t xml:space="preserve"> (2022)</w:t>
      </w:r>
      <w:bookmarkEnd w:id="509"/>
      <w:r w:rsidR="00DA5A5D" w:rsidRPr="007C68F1">
        <w:t xml:space="preserve">.) </w:t>
      </w:r>
    </w:p>
    <w:p w14:paraId="6CBD07C8" w14:textId="77777777" w:rsidR="002A2181" w:rsidRPr="007C68F1" w:rsidRDefault="00D16B2E" w:rsidP="007D1009">
      <w:pPr>
        <w:spacing w:line="480" w:lineRule="auto"/>
        <w:ind w:firstLine="720"/>
      </w:pPr>
      <w:r w:rsidRPr="007C68F1">
        <w:rPr>
          <w:shd w:val="clear" w:color="auto" w:fill="FFFFFF"/>
        </w:rPr>
        <w:lastRenderedPageBreak/>
        <w:t xml:space="preserve">Woodworth also </w:t>
      </w:r>
      <w:r w:rsidR="00E358CA" w:rsidRPr="007C68F1">
        <w:rPr>
          <w:shd w:val="clear" w:color="auto" w:fill="FFFFFF"/>
        </w:rPr>
        <w:t>assert</w:t>
      </w:r>
      <w:r w:rsidR="00533760" w:rsidRPr="007C68F1">
        <w:rPr>
          <w:shd w:val="clear" w:color="auto" w:fill="FFFFFF"/>
        </w:rPr>
        <w:t>s</w:t>
      </w:r>
      <w:r w:rsidR="00E358CA" w:rsidRPr="007C68F1">
        <w:rPr>
          <w:shd w:val="clear" w:color="auto" w:fill="FFFFFF"/>
        </w:rPr>
        <w:t xml:space="preserve"> that virtually all employees received the </w:t>
      </w:r>
      <w:r w:rsidR="009A5FB1" w:rsidRPr="007C68F1">
        <w:rPr>
          <w:shd w:val="clear" w:color="auto" w:fill="FFFFFF"/>
        </w:rPr>
        <w:t xml:space="preserve">Christmas </w:t>
      </w:r>
      <w:r w:rsidR="00E358CA" w:rsidRPr="007C68F1">
        <w:rPr>
          <w:shd w:val="clear" w:color="auto" w:fill="FFFFFF"/>
        </w:rPr>
        <w:t>bonus every year</w:t>
      </w:r>
      <w:r w:rsidR="00533760" w:rsidRPr="007C68F1">
        <w:rPr>
          <w:shd w:val="clear" w:color="auto" w:fill="FFFFFF"/>
        </w:rPr>
        <w:t xml:space="preserve"> since 2010</w:t>
      </w:r>
      <w:r w:rsidR="00E358CA" w:rsidRPr="007C68F1">
        <w:rPr>
          <w:shd w:val="clear" w:color="auto" w:fill="FFFFFF"/>
        </w:rPr>
        <w:t xml:space="preserve">, but </w:t>
      </w:r>
      <w:r w:rsidR="005F6C02" w:rsidRPr="007C68F1">
        <w:t xml:space="preserve">a bonus qualifies for the special occasion gift exclusion even if is paid “to all employees” and </w:t>
      </w:r>
      <w:bookmarkStart w:id="510" w:name="dabmq_234"/>
      <w:r w:rsidR="005F6C02" w:rsidRPr="007C68F1">
        <w:t>“</w:t>
      </w:r>
      <w:r w:rsidR="005F6C02" w:rsidRPr="007C68F1">
        <w:rPr>
          <w:shd w:val="clear" w:color="auto" w:fill="FFFFFF"/>
        </w:rPr>
        <w:t>with regularity so that the employees are led to expect it.”</w:t>
      </w:r>
      <w:bookmarkEnd w:id="510"/>
      <w:r w:rsidR="005F6C02" w:rsidRPr="007C68F1">
        <w:rPr>
          <w:shd w:val="clear" w:color="auto" w:fill="FFFFFF"/>
        </w:rPr>
        <w:t xml:space="preserve">  (</w:t>
      </w:r>
      <w:bookmarkStart w:id="511" w:name="dabmci_4d946ed8c2df45878078981508585a7d"/>
      <w:r w:rsidR="005F6C02" w:rsidRPr="007C68F1">
        <w:rPr>
          <w:shd w:val="clear" w:color="auto" w:fill="FFFFFF"/>
        </w:rPr>
        <w:t>29 C.F.R.</w:t>
      </w:r>
      <w:r w:rsidR="005F6C02" w:rsidRPr="007C68F1">
        <w:t xml:space="preserve"> § 778.212(c)</w:t>
      </w:r>
      <w:r w:rsidR="009E79D6" w:rsidRPr="007C68F1">
        <w:t xml:space="preserve"> (2022)</w:t>
      </w:r>
      <w:bookmarkEnd w:id="511"/>
      <w:r w:rsidR="005F6C02" w:rsidRPr="007C68F1">
        <w:t xml:space="preserve">.)  </w:t>
      </w:r>
      <w:r w:rsidR="00C22AC7" w:rsidRPr="007C68F1">
        <w:t xml:space="preserve">She </w:t>
      </w:r>
      <w:r w:rsidR="009A5FB1" w:rsidRPr="007C68F1">
        <w:t>further</w:t>
      </w:r>
      <w:r w:rsidR="00C22AC7" w:rsidRPr="007C68F1">
        <w:t xml:space="preserve"> </w:t>
      </w:r>
      <w:r w:rsidR="00B52343" w:rsidRPr="007C68F1">
        <w:t>relie</w:t>
      </w:r>
      <w:r w:rsidR="003C2EE2" w:rsidRPr="007C68F1">
        <w:t>s</w:t>
      </w:r>
      <w:r w:rsidR="00B52343" w:rsidRPr="007C68F1">
        <w:t xml:space="preserve"> on the</w:t>
      </w:r>
      <w:r w:rsidR="00E358CA" w:rsidRPr="007C68F1">
        <w:t xml:space="preserve"> Christmas bonus policy and </w:t>
      </w:r>
      <w:r w:rsidR="00B9051A" w:rsidRPr="007C68F1">
        <w:t xml:space="preserve">the </w:t>
      </w:r>
      <w:r w:rsidR="00E358CA" w:rsidRPr="007C68F1">
        <w:t>outline of</w:t>
      </w:r>
      <w:r w:rsidR="00C22AC7" w:rsidRPr="007C68F1">
        <w:t xml:space="preserve"> employee</w:t>
      </w:r>
      <w:r w:rsidR="00E358CA" w:rsidRPr="007C68F1">
        <w:t xml:space="preserve"> benefits to</w:t>
      </w:r>
      <w:r w:rsidR="00B52343" w:rsidRPr="007C68F1">
        <w:t xml:space="preserve"> argue</w:t>
      </w:r>
      <w:r w:rsidR="003C2EE2" w:rsidRPr="007C68F1">
        <w:t xml:space="preserve"> that</w:t>
      </w:r>
      <w:r w:rsidR="00B52343" w:rsidRPr="007C68F1">
        <w:t xml:space="preserve"> the medical center implicitly promised to pa</w:t>
      </w:r>
      <w:r w:rsidR="00E358CA" w:rsidRPr="007C68F1">
        <w:t>y the bonus</w:t>
      </w:r>
      <w:r w:rsidR="00B52343" w:rsidRPr="007C68F1">
        <w:t xml:space="preserve">.  It is true that a bonus does not qualify for the special occasion gift exclusion if it </w:t>
      </w:r>
      <w:bookmarkStart w:id="512" w:name="dabmq_235"/>
      <w:r w:rsidR="00B52343" w:rsidRPr="007C68F1">
        <w:t>“</w:t>
      </w:r>
      <w:r w:rsidR="00B52343" w:rsidRPr="00032059">
        <w:rPr>
          <w:shd w:val="clear" w:color="auto" w:fill="FFFFFF"/>
        </w:rPr>
        <w:t>is paid pursuant to contract (so that the employee has a legal right to the payment and could bring suit to enforce it).”</w:t>
      </w:r>
      <w:bookmarkEnd w:id="512"/>
      <w:r w:rsidR="00B52343" w:rsidRPr="00032059">
        <w:rPr>
          <w:shd w:val="clear" w:color="auto" w:fill="FFFFFF"/>
        </w:rPr>
        <w:t xml:space="preserve">  (</w:t>
      </w:r>
      <w:bookmarkStart w:id="513" w:name="dabmci_4d39074931cb47dda627dc7b4b144188"/>
      <w:r w:rsidR="00B52343" w:rsidRPr="00032059">
        <w:t>29 C.F.R. § 778.212(b)</w:t>
      </w:r>
      <w:r w:rsidR="009E79D6" w:rsidRPr="00032059">
        <w:t xml:space="preserve"> (2022)</w:t>
      </w:r>
      <w:bookmarkEnd w:id="513"/>
      <w:r w:rsidR="00B52343" w:rsidRPr="00032059">
        <w:t>.)</w:t>
      </w:r>
      <w:r w:rsidR="00B52343" w:rsidRPr="007C68F1">
        <w:t xml:space="preserve">  </w:t>
      </w:r>
      <w:r w:rsidR="00B9051A" w:rsidRPr="007C68F1">
        <w:t>But t</w:t>
      </w:r>
      <w:r w:rsidR="00FB17CC" w:rsidRPr="007C68F1">
        <w:t>he policy specified that the availability and amount of the bonus were subject to review, change, and approval each year.</w:t>
      </w:r>
      <w:r w:rsidR="00905356" w:rsidRPr="007C68F1">
        <w:t xml:space="preserve">  In other words, there was no guarantee that the medical center would provide the </w:t>
      </w:r>
      <w:r w:rsidR="00AB6588" w:rsidRPr="007C68F1">
        <w:t xml:space="preserve">Christmas </w:t>
      </w:r>
      <w:r w:rsidR="00905356" w:rsidRPr="007C68F1">
        <w:t>bonus.</w:t>
      </w:r>
      <w:r w:rsidR="00FB17CC" w:rsidRPr="007C68F1">
        <w:t xml:space="preserve">  And the outline merely stated that the bonus was “available.”</w:t>
      </w:r>
      <w:r w:rsidR="00412019" w:rsidRPr="007C68F1">
        <w:t xml:space="preserve">  No</w:t>
      </w:r>
      <w:r w:rsidR="00FB17CC" w:rsidRPr="007C68F1">
        <w:t xml:space="preserve"> reasonable trier of fact would </w:t>
      </w:r>
      <w:r w:rsidR="00412019" w:rsidRPr="007C68F1">
        <w:t>find that those statements gave rise to a</w:t>
      </w:r>
      <w:r w:rsidR="00B9051A" w:rsidRPr="007C68F1">
        <w:t xml:space="preserve">n enforceable contract to pay the bonus.  Indeed, Woodworth introduced no evidence that she or any employee saw those documents and </w:t>
      </w:r>
      <w:r w:rsidR="007F6974" w:rsidRPr="007C68F1">
        <w:t xml:space="preserve">reasonably </w:t>
      </w:r>
      <w:r w:rsidR="00B9051A" w:rsidRPr="007C68F1">
        <w:t xml:space="preserve">interpreted them as a contract to pay the Christmas bonus.  Nor did she introduce evidence of any other conduct that </w:t>
      </w:r>
      <w:r w:rsidR="00FE1EA9" w:rsidRPr="007C68F1">
        <w:t>would</w:t>
      </w:r>
      <w:r w:rsidR="00B9051A" w:rsidRPr="007C68F1">
        <w:t xml:space="preserve"> give rise to an enforceable contract.</w:t>
      </w:r>
      <w:r w:rsidRPr="007C68F1">
        <w:t xml:space="preserve">  </w:t>
      </w:r>
    </w:p>
    <w:p w14:paraId="2AE08429" w14:textId="77777777" w:rsidR="0082368C" w:rsidRPr="007C68F1" w:rsidRDefault="00D16B2E" w:rsidP="007D1009">
      <w:pPr>
        <w:pStyle w:val="FootnoteText"/>
        <w:spacing w:line="480" w:lineRule="auto"/>
        <w:ind w:firstLine="720"/>
        <w:rPr>
          <w:shd w:val="clear" w:color="auto" w:fill="FFFFFF"/>
        </w:rPr>
      </w:pPr>
      <w:r w:rsidRPr="007C68F1">
        <w:t xml:space="preserve">Woodworth </w:t>
      </w:r>
      <w:r w:rsidR="00970885" w:rsidRPr="007C68F1">
        <w:t>further</w:t>
      </w:r>
      <w:r w:rsidR="009A5FB1" w:rsidRPr="007C68F1">
        <w:t xml:space="preserve"> </w:t>
      </w:r>
      <w:r w:rsidR="009B0983" w:rsidRPr="007C68F1">
        <w:t xml:space="preserve">argues that the trial court erred by </w:t>
      </w:r>
      <w:r w:rsidR="00D030A2" w:rsidRPr="007C68F1">
        <w:t xml:space="preserve">implicitly overruling her objections to </w:t>
      </w:r>
      <w:r w:rsidR="009B0983" w:rsidRPr="007C68F1">
        <w:t>Bowell’s declaration</w:t>
      </w:r>
      <w:r w:rsidR="00D030A2" w:rsidRPr="007C68F1">
        <w:t xml:space="preserve"> and relying on the declaration</w:t>
      </w:r>
      <w:r w:rsidR="009B0983" w:rsidRPr="007C68F1">
        <w:t>.</w:t>
      </w:r>
      <w:r w:rsidR="00D030A2" w:rsidRPr="007C68F1">
        <w:t xml:space="preserve">  She does not explain the basis for </w:t>
      </w:r>
      <w:r w:rsidR="00040B04" w:rsidRPr="007C68F1">
        <w:t xml:space="preserve">her </w:t>
      </w:r>
      <w:r w:rsidR="00D030A2" w:rsidRPr="007C68F1">
        <w:t>objections</w:t>
      </w:r>
      <w:r w:rsidR="00040B04" w:rsidRPr="007C68F1">
        <w:t xml:space="preserve">, </w:t>
      </w:r>
      <w:r w:rsidR="00D030A2" w:rsidRPr="007C68F1">
        <w:t xml:space="preserve">why the court erred by overruling them, and why </w:t>
      </w:r>
      <w:r w:rsidR="00040B04" w:rsidRPr="007C68F1">
        <w:t>any</w:t>
      </w:r>
      <w:r w:rsidR="00D030A2" w:rsidRPr="007C68F1">
        <w:t xml:space="preserve"> error was prejudicial.  She thus forfeited the argument.  </w:t>
      </w:r>
      <w:r w:rsidR="000276E2" w:rsidRPr="007C68F1">
        <w:t>(</w:t>
      </w:r>
      <w:bookmarkStart w:id="514" w:name="dabmci_f4a4ba165b8e4d6996e6cfbf557f752b"/>
      <w:r w:rsidR="006641CD" w:rsidRPr="007C68F1">
        <w:rPr>
          <w:i/>
          <w:iCs/>
        </w:rPr>
        <w:t>Cahill</w:t>
      </w:r>
      <w:r w:rsidR="006641CD" w:rsidRPr="007C68F1">
        <w:t xml:space="preserve">, </w:t>
      </w:r>
      <w:r w:rsidR="006641CD" w:rsidRPr="007C68F1">
        <w:rPr>
          <w:i/>
          <w:iCs/>
        </w:rPr>
        <w:t>supra</w:t>
      </w:r>
      <w:r w:rsidR="006641CD" w:rsidRPr="007C68F1">
        <w:t>, 194 Cal.App.4th at p.</w:t>
      </w:r>
      <w:r w:rsidR="00243E67">
        <w:t> </w:t>
      </w:r>
      <w:r w:rsidR="006641CD" w:rsidRPr="007C68F1">
        <w:t>956</w:t>
      </w:r>
      <w:bookmarkEnd w:id="514"/>
      <w:r w:rsidR="006641CD" w:rsidRPr="007C68F1">
        <w:t>.)</w:t>
      </w:r>
      <w:r w:rsidR="006641CD" w:rsidRPr="007C68F1">
        <w:rPr>
          <w:shd w:val="clear" w:color="auto" w:fill="FFFFFF"/>
        </w:rPr>
        <w:t xml:space="preserve"> </w:t>
      </w:r>
      <w:r w:rsidR="00832A14" w:rsidRPr="007C68F1">
        <w:rPr>
          <w:shd w:val="clear" w:color="auto" w:fill="FFFFFF"/>
        </w:rPr>
        <w:t xml:space="preserve"> </w:t>
      </w:r>
    </w:p>
    <w:p w14:paraId="023AE028" w14:textId="77777777" w:rsidR="00905352" w:rsidRPr="007C68F1" w:rsidRDefault="00D16B2E" w:rsidP="007D1009">
      <w:pPr>
        <w:pStyle w:val="FootnoteText"/>
        <w:spacing w:line="480" w:lineRule="auto"/>
        <w:ind w:firstLine="720"/>
      </w:pPr>
      <w:r w:rsidRPr="007C68F1">
        <w:rPr>
          <w:shd w:val="clear" w:color="auto" w:fill="FFFFFF"/>
        </w:rPr>
        <w:lastRenderedPageBreak/>
        <w:t xml:space="preserve">With respect to Woodworth’s flat sum bonus theory, the medical center also carried its initial burden of demonstrating that her </w:t>
      </w:r>
      <w:r w:rsidR="00AB6588" w:rsidRPr="007C68F1">
        <w:rPr>
          <w:shd w:val="clear" w:color="auto" w:fill="FFFFFF"/>
        </w:rPr>
        <w:t xml:space="preserve">individual </w:t>
      </w:r>
      <w:r w:rsidRPr="007C68F1">
        <w:rPr>
          <w:shd w:val="clear" w:color="auto" w:fill="FFFFFF"/>
        </w:rPr>
        <w:t xml:space="preserve">regular rate claim lacked merit.  The evidence showed that </w:t>
      </w:r>
      <w:r w:rsidR="00970885" w:rsidRPr="007C68F1">
        <w:rPr>
          <w:shd w:val="clear" w:color="auto" w:fill="FFFFFF"/>
        </w:rPr>
        <w:t>Woodworth</w:t>
      </w:r>
      <w:r w:rsidRPr="007C68F1">
        <w:rPr>
          <w:shd w:val="clear" w:color="auto" w:fill="FFFFFF"/>
        </w:rPr>
        <w:t xml:space="preserve"> received a Christmas bonus but no other type of </w:t>
      </w:r>
      <w:r w:rsidRPr="007C68F1">
        <w:rPr>
          <w:shd w:val="clear" w:color="auto" w:fill="FFFFFF"/>
        </w:rPr>
        <w:t xml:space="preserve">bonus, so </w:t>
      </w:r>
      <w:r w:rsidR="00775135" w:rsidRPr="007C68F1">
        <w:rPr>
          <w:shd w:val="clear" w:color="auto" w:fill="FFFFFF"/>
        </w:rPr>
        <w:t xml:space="preserve">she had no claim that the medical center improperly excluded some other bonus </w:t>
      </w:r>
      <w:r w:rsidR="00D66F8A" w:rsidRPr="007C68F1">
        <w:rPr>
          <w:shd w:val="clear" w:color="auto" w:fill="FFFFFF"/>
        </w:rPr>
        <w:t>from</w:t>
      </w:r>
      <w:r w:rsidR="00775135" w:rsidRPr="007C68F1">
        <w:rPr>
          <w:shd w:val="clear" w:color="auto" w:fill="FFFFFF"/>
        </w:rPr>
        <w:t xml:space="preserve"> her regular rate of pay.</w:t>
      </w:r>
      <w:r w:rsidR="007F6974" w:rsidRPr="007C68F1">
        <w:rPr>
          <w:shd w:val="clear" w:color="auto" w:fill="FFFFFF"/>
        </w:rPr>
        <w:t xml:space="preserve">  Woodworth did not dispute that evidence.</w:t>
      </w:r>
      <w:r w:rsidR="00970885" w:rsidRPr="007C68F1">
        <w:rPr>
          <w:shd w:val="clear" w:color="auto" w:fill="FFFFFF"/>
        </w:rPr>
        <w:t xml:space="preserve">  Accordingly, the court did not err by granting summary adjudication </w:t>
      </w:r>
      <w:r w:rsidR="00B83ED6" w:rsidRPr="007C68F1">
        <w:rPr>
          <w:shd w:val="clear" w:color="auto" w:fill="FFFFFF"/>
        </w:rPr>
        <w:t xml:space="preserve">in favor of the medical center </w:t>
      </w:r>
      <w:r w:rsidR="00970885" w:rsidRPr="007C68F1">
        <w:rPr>
          <w:shd w:val="clear" w:color="auto" w:fill="FFFFFF"/>
        </w:rPr>
        <w:t xml:space="preserve">on Woodworth’s individual regular rate claim, whether she based it on the Christmas bonus or some other type of bonus.  </w:t>
      </w:r>
    </w:p>
    <w:p w14:paraId="27B6080B" w14:textId="77777777" w:rsidR="00B339D2" w:rsidRPr="007C68F1" w:rsidRDefault="00D16B2E" w:rsidP="007D1009">
      <w:pPr>
        <w:spacing w:line="480" w:lineRule="auto"/>
        <w:ind w:firstLine="720"/>
      </w:pPr>
      <w:r w:rsidRPr="007C68F1">
        <w:t>The court’s PAGA ruling, however, is a different matter</w:t>
      </w:r>
      <w:r w:rsidR="00343B9E" w:rsidRPr="007C68F1">
        <w:t xml:space="preserve">.  </w:t>
      </w:r>
      <w:r w:rsidR="008C7E55" w:rsidRPr="007C68F1">
        <w:t xml:space="preserve">The medical center argued that </w:t>
      </w:r>
      <w:r w:rsidR="00CE15F7" w:rsidRPr="007C68F1">
        <w:t>it was entitled to summary adjudication on the PAGA regular rate claim</w:t>
      </w:r>
      <w:r w:rsidR="008C7E55" w:rsidRPr="007C68F1">
        <w:t xml:space="preserve"> because Woodworth’s individual claim lacked merit.  </w:t>
      </w:r>
      <w:r w:rsidR="005B1468" w:rsidRPr="007C68F1">
        <w:t>But</w:t>
      </w:r>
      <w:r w:rsidRPr="007C68F1">
        <w:t xml:space="preserve"> t</w:t>
      </w:r>
      <w:r w:rsidR="00C47332" w:rsidRPr="007C68F1">
        <w:t>he</w:t>
      </w:r>
      <w:r w:rsidR="0092590A" w:rsidRPr="007C68F1">
        <w:t xml:space="preserve"> </w:t>
      </w:r>
      <w:r w:rsidR="005B1468" w:rsidRPr="007C68F1">
        <w:t xml:space="preserve">regular rate claim of </w:t>
      </w:r>
      <w:r w:rsidR="00462993" w:rsidRPr="007C68F1">
        <w:t xml:space="preserve">the </w:t>
      </w:r>
      <w:r w:rsidR="005B1468" w:rsidRPr="007C68F1">
        <w:t>aggrieved employees</w:t>
      </w:r>
      <w:r w:rsidR="00216B20" w:rsidRPr="007C68F1">
        <w:t xml:space="preserve"> </w:t>
      </w:r>
      <w:r w:rsidR="0092590A" w:rsidRPr="007C68F1">
        <w:t>is</w:t>
      </w:r>
      <w:r w:rsidR="00216B20" w:rsidRPr="007C68F1">
        <w:t xml:space="preserve"> not </w:t>
      </w:r>
      <w:r w:rsidR="004E040C" w:rsidRPr="007C68F1">
        <w:t>wholly</w:t>
      </w:r>
      <w:r w:rsidR="00862E6F" w:rsidRPr="007C68F1">
        <w:t xml:space="preserve"> </w:t>
      </w:r>
      <w:r w:rsidR="00216B20" w:rsidRPr="007C68F1">
        <w:t>derivative</w:t>
      </w:r>
      <w:r w:rsidR="008546FF" w:rsidRPr="007C68F1">
        <w:t xml:space="preserve"> of Woodworth’s individual claim.</w:t>
      </w:r>
      <w:r w:rsidR="0092590A" w:rsidRPr="007C68F1">
        <w:t xml:space="preserve">  </w:t>
      </w:r>
      <w:r w:rsidR="000B67BB" w:rsidRPr="007C68F1">
        <w:t xml:space="preserve">In the TAC, Woodworth alleged that the medical center had </w:t>
      </w:r>
      <w:bookmarkStart w:id="515" w:name="dabmq_236"/>
      <w:r w:rsidR="000B67BB" w:rsidRPr="007C68F1">
        <w:t>“failed to properly include items of remuneration when determining the employees’ regular rate,”</w:t>
      </w:r>
      <w:bookmarkEnd w:id="515"/>
      <w:r w:rsidR="000B67BB" w:rsidRPr="007C68F1">
        <w:t xml:space="preserve"> including </w:t>
      </w:r>
      <w:bookmarkStart w:id="516" w:name="dabmq_237"/>
      <w:r w:rsidR="000B67BB" w:rsidRPr="007C68F1">
        <w:t>“non-discretionary bonuses paid to all eligible employees.”</w:t>
      </w:r>
      <w:bookmarkEnd w:id="516"/>
      <w:r w:rsidR="000B67BB" w:rsidRPr="007C68F1">
        <w:t xml:space="preserve">  </w:t>
      </w:r>
      <w:r w:rsidR="00C346D1" w:rsidRPr="007C68F1">
        <w:t xml:space="preserve">Similarly, in Woodworth’s prelawsuit </w:t>
      </w:r>
      <w:r w:rsidR="00AB6588" w:rsidRPr="007C68F1">
        <w:t xml:space="preserve">PAGA </w:t>
      </w:r>
      <w:r w:rsidR="00C346D1" w:rsidRPr="007C68F1">
        <w:t>notice to the LWDA and th</w:t>
      </w:r>
      <w:r w:rsidR="00A43D09" w:rsidRPr="007C68F1">
        <w:t xml:space="preserve">e medical center, she alleged that the medical center failed </w:t>
      </w:r>
      <w:bookmarkStart w:id="517" w:name="dabmq_238"/>
      <w:r w:rsidR="00A43D09" w:rsidRPr="007C68F1">
        <w:t>“to include all required remuneration (including but not limited to bonuses) when calculating the regular rate.”</w:t>
      </w:r>
      <w:bookmarkEnd w:id="517"/>
      <w:r w:rsidR="00A43D09" w:rsidRPr="007C68F1">
        <w:t xml:space="preserve">  </w:t>
      </w:r>
    </w:p>
    <w:p w14:paraId="0D5F599B" w14:textId="77777777" w:rsidR="00DE4A91" w:rsidRPr="007C68F1" w:rsidRDefault="00D16B2E" w:rsidP="007D1009">
      <w:pPr>
        <w:spacing w:line="480" w:lineRule="auto"/>
        <w:ind w:firstLine="720"/>
      </w:pPr>
      <w:r w:rsidRPr="007C68F1">
        <w:t xml:space="preserve">The medical center </w:t>
      </w:r>
      <w:r w:rsidR="000B67BB" w:rsidRPr="007C68F1">
        <w:t xml:space="preserve">offered evidence that Woodworth did not receive </w:t>
      </w:r>
      <w:r w:rsidR="004B4CB0" w:rsidRPr="007C68F1">
        <w:t>a</w:t>
      </w:r>
      <w:r w:rsidR="000B67BB" w:rsidRPr="007C68F1">
        <w:t xml:space="preserve"> bonus besides the Christmas bonus, but </w:t>
      </w:r>
      <w:r w:rsidR="00B22F9C" w:rsidRPr="007C68F1">
        <w:t>it did not offer evidence a</w:t>
      </w:r>
      <w:r w:rsidR="000B67BB" w:rsidRPr="007C68F1">
        <w:t>bout any other discretionary bonus</w:t>
      </w:r>
      <w:r w:rsidR="00B22F9C" w:rsidRPr="007C68F1">
        <w:t xml:space="preserve"> that</w:t>
      </w:r>
      <w:r w:rsidR="000B67BB" w:rsidRPr="007C68F1">
        <w:t xml:space="preserve"> it excluded from the regular rate calculation for other employees.  Nor did it claim that such bonuses do not exist.  (On appeal, the medical center acknowledges that </w:t>
      </w:r>
      <w:r w:rsidR="000B67BB" w:rsidRPr="007C68F1">
        <w:lastRenderedPageBreak/>
        <w:t>at least one such bonus exists—</w:t>
      </w:r>
      <w:bookmarkStart w:id="518" w:name="dabmq_239"/>
      <w:r w:rsidR="000B67BB" w:rsidRPr="007C68F1">
        <w:t>“a discretionary ‘thank you’ bonus.’”</w:t>
      </w:r>
      <w:bookmarkEnd w:id="518"/>
      <w:r w:rsidR="000B67BB" w:rsidRPr="007C68F1">
        <w:t xml:space="preserve">) </w:t>
      </w:r>
      <w:r w:rsidR="00B339D2" w:rsidRPr="007C68F1">
        <w:t xml:space="preserve"> </w:t>
      </w:r>
      <w:r w:rsidR="000B67BB" w:rsidRPr="007C68F1">
        <w:t xml:space="preserve">Instead, the medical center </w:t>
      </w:r>
      <w:r w:rsidR="001D299A" w:rsidRPr="007C68F1">
        <w:t xml:space="preserve">argued that Woodworth did not sufficiently allege </w:t>
      </w:r>
      <w:r w:rsidR="003E4EA4" w:rsidRPr="007C68F1">
        <w:t>a</w:t>
      </w:r>
      <w:r w:rsidR="001D299A" w:rsidRPr="007C68F1">
        <w:t xml:space="preserve"> flat sum </w:t>
      </w:r>
      <w:r w:rsidR="00547D69" w:rsidRPr="007C68F1">
        <w:t>bonus theory</w:t>
      </w:r>
      <w:r w:rsidR="003E4EA4" w:rsidRPr="007C68F1">
        <w:t xml:space="preserve"> apart from the Christmas bonus theory</w:t>
      </w:r>
      <w:r w:rsidR="00547D69" w:rsidRPr="007C68F1">
        <w:t>.</w:t>
      </w:r>
      <w:r w:rsidR="00872BC2" w:rsidRPr="007C68F1">
        <w:t xml:space="preserve">  </w:t>
      </w:r>
      <w:r w:rsidR="00FD1D7A" w:rsidRPr="007C68F1">
        <w:t>The argument lacks merit</w:t>
      </w:r>
      <w:r w:rsidR="000B67BB" w:rsidRPr="007C68F1">
        <w:t xml:space="preserve"> because</w:t>
      </w:r>
      <w:r w:rsidR="00F359ED" w:rsidRPr="007C68F1">
        <w:t xml:space="preserve"> the TAC did not limit her theory to the Christmas bonus.  Fa</w:t>
      </w:r>
      <w:r w:rsidR="00FD1D7A" w:rsidRPr="007C68F1">
        <w:t>irly read, it encompassed any bonus that the medical center excluded as a discretionary bonus</w:t>
      </w:r>
      <w:r w:rsidR="00280FB8" w:rsidRPr="007C68F1">
        <w:t>, whether it was a flat sum or not</w:t>
      </w:r>
      <w:r w:rsidR="00FD1D7A" w:rsidRPr="007C68F1">
        <w:t>.</w:t>
      </w:r>
      <w:r w:rsidR="00F359ED" w:rsidRPr="007C68F1">
        <w:t xml:space="preserve">  By failing to offer any evidence </w:t>
      </w:r>
      <w:r w:rsidR="00D872B2" w:rsidRPr="007C68F1">
        <w:t>that showed</w:t>
      </w:r>
      <w:r w:rsidR="00B22F9C" w:rsidRPr="007C68F1">
        <w:t xml:space="preserve"> it properly excluded other bonuses</w:t>
      </w:r>
      <w:r w:rsidR="001F0CAF" w:rsidRPr="007C68F1">
        <w:t xml:space="preserve"> from the regular rate calculation</w:t>
      </w:r>
      <w:r w:rsidR="00B22F9C" w:rsidRPr="007C68F1">
        <w:t xml:space="preserve">, the medical center failed to carry its </w:t>
      </w:r>
      <w:r w:rsidR="007734C2" w:rsidRPr="007C68F1">
        <w:t xml:space="preserve">initial </w:t>
      </w:r>
      <w:r w:rsidR="00B22F9C" w:rsidRPr="007C68F1">
        <w:t xml:space="preserve">burden </w:t>
      </w:r>
      <w:r w:rsidR="00D872B2" w:rsidRPr="007C68F1">
        <w:t xml:space="preserve">on </w:t>
      </w:r>
      <w:r w:rsidR="00B22F9C" w:rsidRPr="007C68F1">
        <w:t xml:space="preserve">the PAGA cause of action.  The court consequently erred by granting summary adjudication </w:t>
      </w:r>
      <w:r w:rsidR="00B83ED6" w:rsidRPr="007C68F1">
        <w:t xml:space="preserve">in favor of the medical center </w:t>
      </w:r>
      <w:r w:rsidRPr="007C68F1">
        <w:t>on the PAGA cause of action, to the extent that it was based on the regular rate claim</w:t>
      </w:r>
      <w:r w:rsidR="001F0CAF" w:rsidRPr="007C68F1">
        <w:t>.</w:t>
      </w:r>
    </w:p>
    <w:p w14:paraId="1DFD3DFE" w14:textId="77777777" w:rsidR="00D872B2" w:rsidRPr="007C68F1" w:rsidRDefault="00D16B2E" w:rsidP="007D1009">
      <w:pPr>
        <w:pStyle w:val="FootnoteText"/>
        <w:spacing w:line="480" w:lineRule="auto"/>
        <w:ind w:firstLine="720"/>
      </w:pPr>
      <w:r w:rsidRPr="007C68F1">
        <w:t>For all of these reasons, the court pr</w:t>
      </w:r>
      <w:r w:rsidR="001F0CAF" w:rsidRPr="007C68F1">
        <w:t>op</w:t>
      </w:r>
      <w:r w:rsidRPr="007C68F1">
        <w:t xml:space="preserve">erly granted </w:t>
      </w:r>
      <w:r w:rsidR="008701E8" w:rsidRPr="007C68F1">
        <w:t xml:space="preserve">the summary adjudication motion </w:t>
      </w:r>
      <w:r w:rsidR="0067733C" w:rsidRPr="007C68F1">
        <w:t>as to</w:t>
      </w:r>
      <w:r w:rsidRPr="007C68F1">
        <w:t xml:space="preserve"> Woodworth’s individual regular rate claim, but it erred by granting </w:t>
      </w:r>
      <w:r w:rsidR="008701E8" w:rsidRPr="007C68F1">
        <w:t>the motion</w:t>
      </w:r>
      <w:r w:rsidRPr="007C68F1">
        <w:t xml:space="preserve"> </w:t>
      </w:r>
      <w:r w:rsidR="0067733C" w:rsidRPr="007C68F1">
        <w:t>as to</w:t>
      </w:r>
      <w:r w:rsidRPr="007C68F1">
        <w:t xml:space="preserve"> the PAGA </w:t>
      </w:r>
      <w:r w:rsidR="00D97C64" w:rsidRPr="007C68F1">
        <w:t>regular rate claim.</w:t>
      </w:r>
    </w:p>
    <w:p w14:paraId="173FF2F9" w14:textId="77777777" w:rsidR="00C8594B" w:rsidRPr="007C68F1" w:rsidRDefault="00D16B2E" w:rsidP="007D1009">
      <w:pPr>
        <w:pStyle w:val="FootnoteText"/>
        <w:keepNext/>
        <w:spacing w:line="480" w:lineRule="auto"/>
        <w:ind w:firstLine="720"/>
      </w:pPr>
      <w:r w:rsidRPr="007C68F1">
        <w:t xml:space="preserve">B.  </w:t>
      </w:r>
      <w:r w:rsidRPr="007C68F1">
        <w:rPr>
          <w:i/>
          <w:iCs/>
        </w:rPr>
        <w:t>Wage Statement Claim</w:t>
      </w:r>
    </w:p>
    <w:p w14:paraId="0B58E8B1" w14:textId="77777777" w:rsidR="005721C3" w:rsidRPr="007C68F1" w:rsidRDefault="00D16B2E" w:rsidP="007D1009">
      <w:pPr>
        <w:pStyle w:val="FootnoteText"/>
        <w:spacing w:line="480" w:lineRule="auto"/>
        <w:ind w:firstLine="720"/>
      </w:pPr>
      <w:r w:rsidRPr="007C68F1">
        <w:t xml:space="preserve">Woodworth </w:t>
      </w:r>
      <w:r w:rsidR="00F42374" w:rsidRPr="007C68F1">
        <w:t>contends</w:t>
      </w:r>
      <w:r w:rsidRPr="007C68F1">
        <w:t xml:space="preserve"> that the court erred by granting </w:t>
      </w:r>
      <w:r w:rsidR="00467883" w:rsidRPr="007C68F1">
        <w:t xml:space="preserve">the medical center’s </w:t>
      </w:r>
      <w:r w:rsidRPr="007C68F1">
        <w:t xml:space="preserve">summary adjudication </w:t>
      </w:r>
      <w:r w:rsidR="0042180B" w:rsidRPr="007C68F1">
        <w:t xml:space="preserve">motion </w:t>
      </w:r>
      <w:r w:rsidRPr="007C68F1">
        <w:t>on her wage statement claim</w:t>
      </w:r>
      <w:r w:rsidR="007D55B7" w:rsidRPr="007C68F1">
        <w:t>.</w:t>
      </w:r>
      <w:r w:rsidR="007767D1" w:rsidRPr="007C68F1">
        <w:t xml:space="preserve">  </w:t>
      </w:r>
      <w:r w:rsidR="00F7358A" w:rsidRPr="007C68F1">
        <w:rPr>
          <w:shd w:val="clear" w:color="auto" w:fill="FFFFFF"/>
        </w:rPr>
        <w:t>We agree</w:t>
      </w:r>
      <w:r w:rsidR="00A2694C" w:rsidRPr="007C68F1">
        <w:rPr>
          <w:shd w:val="clear" w:color="auto" w:fill="FFFFFF"/>
        </w:rPr>
        <w:t xml:space="preserve">.  </w:t>
      </w:r>
      <w:r w:rsidR="001739C7" w:rsidRPr="007C68F1">
        <w:rPr>
          <w:shd w:val="clear" w:color="auto" w:fill="FFFFFF"/>
        </w:rPr>
        <w:t xml:space="preserve">Under the Supreme Court’s recent decision in </w:t>
      </w:r>
      <w:bookmarkStart w:id="519" w:name="dabmci_899326994d9a4f3b8fb5479b8c09768f"/>
      <w:r w:rsidR="001739C7" w:rsidRPr="007C68F1">
        <w:rPr>
          <w:i/>
          <w:iCs/>
          <w:shd w:val="clear" w:color="auto" w:fill="FFFFFF"/>
        </w:rPr>
        <w:t>Naranjo</w:t>
      </w:r>
      <w:bookmarkEnd w:id="519"/>
      <w:r w:rsidR="001739C7" w:rsidRPr="007C68F1">
        <w:rPr>
          <w:shd w:val="clear" w:color="auto" w:fill="FFFFFF"/>
        </w:rPr>
        <w:t>,</w:t>
      </w:r>
      <w:r w:rsidR="00BF1F27" w:rsidRPr="007C68F1">
        <w:t xml:space="preserve"> </w:t>
      </w:r>
      <w:r w:rsidR="001739C7" w:rsidRPr="007C68F1">
        <w:rPr>
          <w:shd w:val="clear" w:color="auto" w:fill="FFFFFF"/>
        </w:rPr>
        <w:t xml:space="preserve">the </w:t>
      </w:r>
      <w:r w:rsidR="00A2694C" w:rsidRPr="007C68F1">
        <w:rPr>
          <w:shd w:val="clear" w:color="auto" w:fill="FFFFFF"/>
        </w:rPr>
        <w:t>medical center was not entitled to summary adjudication on the derivative form of this claim</w:t>
      </w:r>
      <w:r w:rsidR="00E25508" w:rsidRPr="007C68F1">
        <w:rPr>
          <w:shd w:val="clear" w:color="auto" w:fill="FFFFFF"/>
        </w:rPr>
        <w:t>, i.e.,</w:t>
      </w:r>
      <w:r w:rsidR="00D24D14" w:rsidRPr="007C68F1">
        <w:rPr>
          <w:shd w:val="clear" w:color="auto" w:fill="FFFFFF"/>
        </w:rPr>
        <w:t xml:space="preserve"> the claim that the wage statements failed to </w:t>
      </w:r>
      <w:r w:rsidR="00A41B13" w:rsidRPr="007C68F1">
        <w:rPr>
          <w:shd w:val="clear" w:color="auto" w:fill="FFFFFF"/>
        </w:rPr>
        <w:t xml:space="preserve">accurately </w:t>
      </w:r>
      <w:r w:rsidR="00D24D14" w:rsidRPr="007C68F1">
        <w:rPr>
          <w:shd w:val="clear" w:color="auto" w:fill="FFFFFF"/>
        </w:rPr>
        <w:t xml:space="preserve">report </w:t>
      </w:r>
      <w:r w:rsidR="00CC0EA8" w:rsidRPr="007C68F1">
        <w:rPr>
          <w:shd w:val="clear" w:color="auto" w:fill="FFFFFF"/>
        </w:rPr>
        <w:t>premium pay for missed rest periods</w:t>
      </w:r>
      <w:r w:rsidR="00A41B13" w:rsidRPr="007C68F1">
        <w:rPr>
          <w:shd w:val="clear" w:color="auto" w:fill="FFFFFF"/>
        </w:rPr>
        <w:t xml:space="preserve"> or overtime</w:t>
      </w:r>
      <w:r w:rsidR="00397551" w:rsidRPr="007C68F1">
        <w:rPr>
          <w:shd w:val="clear" w:color="auto" w:fill="FFFFFF"/>
        </w:rPr>
        <w:t>.</w:t>
      </w:r>
      <w:r w:rsidR="00A41B13" w:rsidRPr="007C68F1">
        <w:rPr>
          <w:shd w:val="clear" w:color="auto" w:fill="FFFFFF"/>
        </w:rPr>
        <w:t xml:space="preserve">  (</w:t>
      </w:r>
      <w:bookmarkStart w:id="520" w:name="dabmci_6a1ec67920bb4f509a40e60f6c0a96b2"/>
      <w:r w:rsidR="00A41B13" w:rsidRPr="007C68F1">
        <w:rPr>
          <w:i/>
          <w:iCs/>
          <w:shd w:val="clear" w:color="auto" w:fill="FFFFFF"/>
        </w:rPr>
        <w:t>Naranjo</w:t>
      </w:r>
      <w:r w:rsidR="00A41B13" w:rsidRPr="007C68F1">
        <w:rPr>
          <w:shd w:val="clear" w:color="auto" w:fill="FFFFFF"/>
        </w:rPr>
        <w:t xml:space="preserve">, </w:t>
      </w:r>
      <w:r w:rsidR="00A41B13" w:rsidRPr="007C68F1">
        <w:rPr>
          <w:i/>
          <w:iCs/>
          <w:shd w:val="clear" w:color="auto" w:fill="FFFFFF"/>
        </w:rPr>
        <w:t>supra</w:t>
      </w:r>
      <w:r w:rsidR="00A41B13" w:rsidRPr="007C68F1">
        <w:rPr>
          <w:shd w:val="clear" w:color="auto" w:fill="FFFFFF"/>
        </w:rPr>
        <w:t>, 13 Cal.5th at p. 121</w:t>
      </w:r>
      <w:bookmarkEnd w:id="520"/>
      <w:r w:rsidR="00A41B13" w:rsidRPr="007C68F1">
        <w:rPr>
          <w:shd w:val="clear" w:color="auto" w:fill="FFFFFF"/>
        </w:rPr>
        <w:t>.)</w:t>
      </w:r>
      <w:r w:rsidR="00397551" w:rsidRPr="007C68F1">
        <w:rPr>
          <w:shd w:val="clear" w:color="auto" w:fill="FFFFFF"/>
        </w:rPr>
        <w:t xml:space="preserve">  Given that the motion did not “completely dispose[]” of the claim, the court should not have granted </w:t>
      </w:r>
      <w:r w:rsidR="00717B64" w:rsidRPr="007C68F1">
        <w:rPr>
          <w:shd w:val="clear" w:color="auto" w:fill="FFFFFF"/>
        </w:rPr>
        <w:t>it</w:t>
      </w:r>
      <w:r w:rsidR="00397551" w:rsidRPr="007C68F1">
        <w:rPr>
          <w:shd w:val="clear" w:color="auto" w:fill="FFFFFF"/>
        </w:rPr>
        <w:t>.  (</w:t>
      </w:r>
      <w:bookmarkStart w:id="521" w:name="dabmci_718c9832f22b410081789b63d18d1dcc"/>
      <w:r w:rsidR="00D82EDB" w:rsidRPr="007C68F1">
        <w:rPr>
          <w:shd w:val="clear" w:color="auto" w:fill="FFFFFF"/>
        </w:rPr>
        <w:t xml:space="preserve">Code Civ. Proc., </w:t>
      </w:r>
      <w:r w:rsidR="00397551" w:rsidRPr="007C68F1">
        <w:rPr>
          <w:shd w:val="clear" w:color="auto" w:fill="FFFFFF"/>
        </w:rPr>
        <w:t>§ 437c, subd. (f)</w:t>
      </w:r>
      <w:r w:rsidR="00D82EDB" w:rsidRPr="007C68F1">
        <w:rPr>
          <w:shd w:val="clear" w:color="auto" w:fill="FFFFFF"/>
        </w:rPr>
        <w:t>(1)</w:t>
      </w:r>
      <w:bookmarkEnd w:id="521"/>
      <w:r w:rsidR="00397551" w:rsidRPr="007C68F1">
        <w:rPr>
          <w:shd w:val="clear" w:color="auto" w:fill="FFFFFF"/>
        </w:rPr>
        <w:t xml:space="preserve">.)  </w:t>
      </w:r>
    </w:p>
    <w:p w14:paraId="6CE3848C" w14:textId="77777777" w:rsidR="00F42374" w:rsidRPr="007C68F1" w:rsidRDefault="00D16B2E" w:rsidP="007D1009">
      <w:pPr>
        <w:pStyle w:val="FootnoteText"/>
        <w:keepNext/>
        <w:spacing w:line="480" w:lineRule="auto"/>
        <w:ind w:left="720" w:firstLine="720"/>
        <w:rPr>
          <w:i/>
          <w:iCs/>
        </w:rPr>
      </w:pPr>
      <w:r w:rsidRPr="007C68F1">
        <w:lastRenderedPageBreak/>
        <w:t xml:space="preserve">1.  </w:t>
      </w:r>
      <w:r w:rsidRPr="007C68F1">
        <w:rPr>
          <w:i/>
          <w:iCs/>
        </w:rPr>
        <w:t>Relevant Background</w:t>
      </w:r>
    </w:p>
    <w:p w14:paraId="6F60DC2D" w14:textId="77777777" w:rsidR="00B93104" w:rsidRPr="007C68F1" w:rsidRDefault="00D16B2E" w:rsidP="007D1009">
      <w:pPr>
        <w:pStyle w:val="FootnoteText"/>
        <w:spacing w:line="480" w:lineRule="auto"/>
        <w:ind w:firstLine="720"/>
      </w:pPr>
      <w:r w:rsidRPr="007C68F1">
        <w:t>As</w:t>
      </w:r>
      <w:r w:rsidR="00673F4A" w:rsidRPr="007C68F1">
        <w:t xml:space="preserve"> </w:t>
      </w:r>
      <w:r w:rsidRPr="007C68F1">
        <w:t>the medical center</w:t>
      </w:r>
      <w:r w:rsidR="00673F4A" w:rsidRPr="007C68F1">
        <w:t xml:space="preserve"> </w:t>
      </w:r>
      <w:r w:rsidRPr="007C68F1">
        <w:t>argued</w:t>
      </w:r>
      <w:r w:rsidR="00673F4A" w:rsidRPr="007C68F1">
        <w:t xml:space="preserve"> in connection with the class certification motion, </w:t>
      </w:r>
      <w:r w:rsidRPr="007C68F1">
        <w:t>it again</w:t>
      </w:r>
      <w:r w:rsidR="000D65B3" w:rsidRPr="007C68F1">
        <w:t xml:space="preserve"> argued that</w:t>
      </w:r>
      <w:r w:rsidR="00673F4A" w:rsidRPr="007C68F1">
        <w:t xml:space="preserve"> under </w:t>
      </w:r>
      <w:r w:rsidR="00673F4A" w:rsidRPr="007C68F1">
        <w:rPr>
          <w:i/>
          <w:iCs/>
        </w:rPr>
        <w:t>Morgan</w:t>
      </w:r>
      <w:r w:rsidR="00673F4A" w:rsidRPr="007C68F1">
        <w:t xml:space="preserve">, section 226 does not require a separate line item showing the sum of all hours worked.  </w:t>
      </w:r>
      <w:r w:rsidRPr="007C68F1">
        <w:t>Instead, so long as the employee could add the regular hours and overtime hours shown on the statement and determine total hours worked, the statement complied with s</w:t>
      </w:r>
      <w:r w:rsidRPr="007C68F1">
        <w:t xml:space="preserve">ection 226.  </w:t>
      </w:r>
      <w:r w:rsidR="00170D86" w:rsidRPr="007C68F1">
        <w:t>The medical center further argued that California law did not permit derivative wage statement liability.</w:t>
      </w:r>
    </w:p>
    <w:p w14:paraId="71EBAB26" w14:textId="77777777" w:rsidR="008A61AE" w:rsidRPr="007C68F1" w:rsidRDefault="00D16B2E" w:rsidP="007D1009">
      <w:pPr>
        <w:pStyle w:val="FootnoteText"/>
        <w:spacing w:line="480" w:lineRule="auto"/>
        <w:ind w:firstLine="720"/>
      </w:pPr>
      <w:r w:rsidRPr="007C68F1">
        <w:t>In support of the summary adjudication motion, the medical center offered all of Woodworth’s wage statements.  It also relied on</w:t>
      </w:r>
      <w:r w:rsidR="00931CA1" w:rsidRPr="007C68F1">
        <w:t xml:space="preserve"> her deposition testimony concerning her wage statements.</w:t>
      </w:r>
      <w:r w:rsidR="00CF318C" w:rsidRPr="007C68F1">
        <w:t xml:space="preserve">  </w:t>
      </w:r>
      <w:r w:rsidR="003756C8" w:rsidRPr="007C68F1">
        <w:t>In the deposition excerpt, c</w:t>
      </w:r>
      <w:r w:rsidR="00CF318C" w:rsidRPr="007C68F1">
        <w:t>ounsel questioned Woodworth about</w:t>
      </w:r>
      <w:r w:rsidR="007A5D62" w:rsidRPr="007C68F1">
        <w:t xml:space="preserve"> six of her wage statements</w:t>
      </w:r>
      <w:r w:rsidR="00EA6450" w:rsidRPr="007C68F1">
        <w:t xml:space="preserve">, including this one </w:t>
      </w:r>
      <w:r w:rsidR="00277310" w:rsidRPr="007C68F1">
        <w:t xml:space="preserve">from April 2012 </w:t>
      </w:r>
      <w:r w:rsidR="00EA6450" w:rsidRPr="007C68F1">
        <w:t>(</w:t>
      </w:r>
      <w:r w:rsidR="00277310" w:rsidRPr="007C68F1">
        <w:t xml:space="preserve">which we </w:t>
      </w:r>
      <w:r w:rsidR="00ED0A8A" w:rsidRPr="007C68F1">
        <w:t xml:space="preserve">also </w:t>
      </w:r>
      <w:r w:rsidR="00EA6450" w:rsidRPr="007C68F1">
        <w:t xml:space="preserve">discussed in </w:t>
      </w:r>
      <w:r w:rsidR="00ED0A8A" w:rsidRPr="007C68F1">
        <w:t xml:space="preserve">the earlier </w:t>
      </w:r>
      <w:r w:rsidR="00EA6450" w:rsidRPr="007C68F1">
        <w:t>section about the class certification motion):</w:t>
      </w:r>
      <w:r w:rsidR="00FE3971" w:rsidRPr="007C68F1">
        <w:t xml:space="preserve"> </w:t>
      </w:r>
      <w:r w:rsidRPr="007C68F1">
        <w:t xml:space="preserve"> </w:t>
      </w:r>
    </w:p>
    <w:p w14:paraId="7911B3EF" w14:textId="77777777" w:rsidR="00572E59" w:rsidRPr="007C68F1" w:rsidRDefault="00D16B2E" w:rsidP="007D1009">
      <w:pPr>
        <w:pStyle w:val="FootnoteText"/>
        <w:spacing w:line="480" w:lineRule="auto"/>
      </w:pPr>
      <w:r w:rsidRPr="007C68F1">
        <w:rPr>
          <w:noProof/>
        </w:rPr>
        <w:drawing>
          <wp:inline distT="0" distB="0" distL="0" distR="0" wp14:anchorId="3D6DE2E5" wp14:editId="3BA6501F">
            <wp:extent cx="5487035" cy="18091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549147"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87035" cy="1809115"/>
                    </a:xfrm>
                    <a:prstGeom prst="rect">
                      <a:avLst/>
                    </a:prstGeom>
                    <a:noFill/>
                    <a:ln>
                      <a:noFill/>
                    </a:ln>
                  </pic:spPr>
                </pic:pic>
              </a:graphicData>
            </a:graphic>
          </wp:inline>
        </w:drawing>
      </w:r>
    </w:p>
    <w:p w14:paraId="3730BDA7" w14:textId="77777777" w:rsidR="007765FA" w:rsidRPr="007C68F1" w:rsidRDefault="00D16B2E" w:rsidP="007D1009">
      <w:pPr>
        <w:pStyle w:val="FootnoteText"/>
        <w:spacing w:line="480" w:lineRule="auto"/>
      </w:pPr>
      <w:r w:rsidRPr="007C68F1">
        <w:t xml:space="preserve">Woodworth </w:t>
      </w:r>
      <w:r w:rsidR="00277310" w:rsidRPr="007C68F1">
        <w:t xml:space="preserve">testified that she could determine her total hours worked by adding the hours for “Regular Pay” and “Double Pay” on this statement.  </w:t>
      </w:r>
      <w:r w:rsidR="00413693" w:rsidRPr="007C68F1">
        <w:t xml:space="preserve">Counsel asked if she could </w:t>
      </w:r>
      <w:bookmarkStart w:id="522" w:name="dabmq_240"/>
      <w:r w:rsidR="00413693" w:rsidRPr="007C68F1">
        <w:t>“tell from reading this wage statement”</w:t>
      </w:r>
      <w:bookmarkEnd w:id="522"/>
      <w:r w:rsidR="00413693" w:rsidRPr="007C68F1">
        <w:t xml:space="preserve"> that </w:t>
      </w:r>
      <w:bookmarkStart w:id="523" w:name="dabmq_241"/>
      <w:r w:rsidR="00413693" w:rsidRPr="007C68F1">
        <w:t xml:space="preserve">“70.40 of [her] </w:t>
      </w:r>
      <w:r w:rsidR="00A8355E" w:rsidRPr="007C68F1">
        <w:t xml:space="preserve">73 </w:t>
      </w:r>
      <w:r w:rsidR="00413693" w:rsidRPr="007C68F1">
        <w:t>regular hours [were] paid for the night differential.”</w:t>
      </w:r>
      <w:bookmarkEnd w:id="523"/>
      <w:r w:rsidR="00413693" w:rsidRPr="007C68F1">
        <w:t xml:space="preserve">  She replie</w:t>
      </w:r>
      <w:r w:rsidR="0069662F" w:rsidRPr="007C68F1">
        <w:t>d</w:t>
      </w:r>
      <w:r w:rsidR="00223B50" w:rsidRPr="007C68F1">
        <w:t xml:space="preserve"> in the affirmative.</w:t>
      </w:r>
      <w:r w:rsidR="00A8355E" w:rsidRPr="007C68F1">
        <w:t xml:space="preserve">  </w:t>
      </w:r>
      <w:r w:rsidR="007A5D62" w:rsidRPr="007C68F1">
        <w:t>At the end of the questioning</w:t>
      </w:r>
      <w:r w:rsidR="00A8355E" w:rsidRPr="007C68F1">
        <w:t xml:space="preserve"> about </w:t>
      </w:r>
      <w:r w:rsidR="00A8355E" w:rsidRPr="007C68F1">
        <w:lastRenderedPageBreak/>
        <w:t>all six wage statements</w:t>
      </w:r>
      <w:r w:rsidR="007A5D62" w:rsidRPr="007C68F1">
        <w:t xml:space="preserve">, Woodworth confirmed that she would be able to </w:t>
      </w:r>
      <w:r w:rsidR="002D5F8E" w:rsidRPr="007C68F1">
        <w:t>follow the</w:t>
      </w:r>
      <w:r w:rsidR="007A5D62" w:rsidRPr="007C68F1">
        <w:t xml:space="preserve"> same procedure</w:t>
      </w:r>
      <w:r w:rsidR="002D5F8E" w:rsidRPr="007C68F1">
        <w:t xml:space="preserve"> with her other wage statement</w:t>
      </w:r>
      <w:r w:rsidR="00A8355E" w:rsidRPr="007C68F1">
        <w:t>s</w:t>
      </w:r>
      <w:r w:rsidR="002D5F8E" w:rsidRPr="007C68F1">
        <w:t xml:space="preserve"> to figure out her total hours worked.</w:t>
      </w:r>
      <w:r w:rsidRPr="007C68F1">
        <w:t xml:space="preserve">  On the basis of Woodworth’s testimony and wage statements, the medical center argued that </w:t>
      </w:r>
      <w:r w:rsidR="00CE10C6" w:rsidRPr="007C68F1">
        <w:t xml:space="preserve">Woodworth, </w:t>
      </w:r>
      <w:bookmarkStart w:id="524" w:name="dabmq_242"/>
      <w:r w:rsidR="00CE10C6" w:rsidRPr="007C68F1">
        <w:t xml:space="preserve">“like </w:t>
      </w:r>
      <w:r w:rsidRPr="007C68F1">
        <w:t>any reasonable person</w:t>
      </w:r>
      <w:r w:rsidR="00CE10C6" w:rsidRPr="007C68F1">
        <w:t>,”</w:t>
      </w:r>
      <w:bookmarkEnd w:id="524"/>
      <w:r w:rsidRPr="007C68F1">
        <w:t xml:space="preserve"> </w:t>
      </w:r>
      <w:r w:rsidR="00223B50" w:rsidRPr="007C68F1">
        <w:t>could</w:t>
      </w:r>
      <w:r w:rsidRPr="007C68F1">
        <w:t xml:space="preserve"> </w:t>
      </w:r>
      <w:r w:rsidR="00CE10C6" w:rsidRPr="007C68F1">
        <w:t xml:space="preserve">easily </w:t>
      </w:r>
      <w:r w:rsidR="00351D19" w:rsidRPr="007C68F1">
        <w:t xml:space="preserve">determine </w:t>
      </w:r>
      <w:r w:rsidR="00CE10C6" w:rsidRPr="007C68F1">
        <w:t>her</w:t>
      </w:r>
      <w:r w:rsidR="00351D19" w:rsidRPr="007C68F1">
        <w:t xml:space="preserve"> total hours worked by adding </w:t>
      </w:r>
      <w:r w:rsidRPr="007C68F1">
        <w:t>the regular pay and double pay entries on the wage statements.</w:t>
      </w:r>
      <w:r w:rsidR="00CE10C6" w:rsidRPr="007C68F1">
        <w:t xml:space="preserve">  Accordingly, there was no basis to presume that </w:t>
      </w:r>
      <w:r w:rsidR="00DF05F5" w:rsidRPr="007C68F1">
        <w:t xml:space="preserve">she </w:t>
      </w:r>
      <w:r w:rsidR="00CE10C6" w:rsidRPr="007C68F1">
        <w:t>suffered an injury from</w:t>
      </w:r>
      <w:r w:rsidR="00BB7964" w:rsidRPr="007C68F1">
        <w:t xml:space="preserve"> her wage statements.</w:t>
      </w:r>
    </w:p>
    <w:p w14:paraId="63E883D0" w14:textId="77777777" w:rsidR="0004057F" w:rsidRPr="007C68F1" w:rsidRDefault="00D16B2E" w:rsidP="007D1009">
      <w:pPr>
        <w:pStyle w:val="FootnoteText"/>
        <w:spacing w:line="480" w:lineRule="auto"/>
        <w:rPr>
          <w:shd w:val="clear" w:color="auto" w:fill="FFFFFF"/>
        </w:rPr>
      </w:pPr>
      <w:r w:rsidRPr="007C68F1">
        <w:tab/>
        <w:t xml:space="preserve">In </w:t>
      </w:r>
      <w:r w:rsidR="0066367C" w:rsidRPr="007C68F1">
        <w:t>opposition to the medical center’s motion, Woodworth argued that</w:t>
      </w:r>
      <w:r w:rsidR="005A071A" w:rsidRPr="007C68F1">
        <w:t xml:space="preserve"> the medical </w:t>
      </w:r>
      <w:r w:rsidR="00CD1F03" w:rsidRPr="007C68F1">
        <w:t xml:space="preserve">center </w:t>
      </w:r>
      <w:r w:rsidR="00BA14CD" w:rsidRPr="007C68F1">
        <w:t xml:space="preserve">was not entitled to summary adjudication because it </w:t>
      </w:r>
      <w:r w:rsidR="005A071A" w:rsidRPr="007C68F1">
        <w:t xml:space="preserve">furnished inaccurate </w:t>
      </w:r>
      <w:r w:rsidR="00BA14CD" w:rsidRPr="007C68F1">
        <w:t xml:space="preserve">and misleading </w:t>
      </w:r>
      <w:r w:rsidR="005A071A" w:rsidRPr="007C68F1">
        <w:t>wage statement</w:t>
      </w:r>
      <w:r w:rsidR="00D2344C" w:rsidRPr="007C68F1">
        <w:t>s</w:t>
      </w:r>
      <w:r w:rsidR="005A071A" w:rsidRPr="007C68F1">
        <w:t>.  That is, the wage statements reflected an inaccurate total for hours</w:t>
      </w:r>
      <w:r w:rsidR="00C12243" w:rsidRPr="007C68F1">
        <w:t xml:space="preserve"> worked</w:t>
      </w:r>
      <w:r w:rsidR="005A071A" w:rsidRPr="007C68F1">
        <w:t xml:space="preserve">, </w:t>
      </w:r>
      <w:r w:rsidR="00BA14CD" w:rsidRPr="007C68F1">
        <w:t>given that</w:t>
      </w:r>
      <w:r w:rsidR="005A071A" w:rsidRPr="007C68F1">
        <w:t xml:space="preserve"> the total figure double counted shift differential hours and included nonwork hours</w:t>
      </w:r>
      <w:r w:rsidR="001E44A4" w:rsidRPr="007C68F1">
        <w:t>, like paid sick leave</w:t>
      </w:r>
      <w:r w:rsidR="005A071A" w:rsidRPr="007C68F1">
        <w:t>.</w:t>
      </w:r>
      <w:r w:rsidRPr="007C68F1">
        <w:t xml:space="preserve">  </w:t>
      </w:r>
      <w:r w:rsidR="003A489E" w:rsidRPr="007C68F1">
        <w:t>Woodworth contended that the wage statements did not comply with section 226 b</w:t>
      </w:r>
      <w:r w:rsidRPr="007C68F1">
        <w:t xml:space="preserve">ecause the total hours figure did not accurately reflect worked hours, and there was no other line item showing total hours worked.  </w:t>
      </w:r>
      <w:r w:rsidR="00713B73" w:rsidRPr="007C68F1">
        <w:t xml:space="preserve">Woodworth relied on the same Kriegler declaration that she had offered in connection with </w:t>
      </w:r>
      <w:r w:rsidR="00EE1F74" w:rsidRPr="007C68F1">
        <w:t xml:space="preserve">the </w:t>
      </w:r>
      <w:r w:rsidR="00713B73" w:rsidRPr="007C68F1">
        <w:t>class certification motion, in which Kriegler concluded that</w:t>
      </w:r>
      <w:r w:rsidR="009E445A" w:rsidRPr="007C68F1">
        <w:t xml:space="preserve"> </w:t>
      </w:r>
      <w:r w:rsidR="00713B73" w:rsidRPr="007C68F1">
        <w:t xml:space="preserve">90.4 percent of the wage statements from </w:t>
      </w:r>
      <w:r w:rsidR="00713B73" w:rsidRPr="007C68F1">
        <w:rPr>
          <w:shd w:val="clear" w:color="auto" w:fill="FFFFFF"/>
        </w:rPr>
        <w:t xml:space="preserve">June 2013 to August 2015 inaccurately </w:t>
      </w:r>
      <w:r w:rsidR="006D6040" w:rsidRPr="007C68F1">
        <w:rPr>
          <w:shd w:val="clear" w:color="auto" w:fill="FFFFFF"/>
        </w:rPr>
        <w:t>reflected</w:t>
      </w:r>
      <w:r w:rsidR="00713B73" w:rsidRPr="007C68F1">
        <w:rPr>
          <w:shd w:val="clear" w:color="auto" w:fill="FFFFFF"/>
        </w:rPr>
        <w:t xml:space="preserve"> total hours</w:t>
      </w:r>
      <w:r w:rsidR="006D6040" w:rsidRPr="007C68F1">
        <w:rPr>
          <w:shd w:val="clear" w:color="auto" w:fill="FFFFFF"/>
        </w:rPr>
        <w:t xml:space="preserve"> by including shift differentials, paid time off, and/or holiday bonuses</w:t>
      </w:r>
      <w:r w:rsidR="00713B73" w:rsidRPr="007C68F1">
        <w:rPr>
          <w:shd w:val="clear" w:color="auto" w:fill="FFFFFF"/>
        </w:rPr>
        <w:t>.</w:t>
      </w:r>
    </w:p>
    <w:p w14:paraId="6A159BBA" w14:textId="77777777" w:rsidR="00C25DC1" w:rsidRPr="007C68F1" w:rsidRDefault="00D16B2E" w:rsidP="007D1009">
      <w:pPr>
        <w:pStyle w:val="FootnoteText"/>
        <w:spacing w:line="480" w:lineRule="auto"/>
        <w:rPr>
          <w:shd w:val="clear" w:color="auto" w:fill="FFFFFF"/>
        </w:rPr>
      </w:pPr>
      <w:r w:rsidRPr="007C68F1">
        <w:rPr>
          <w:shd w:val="clear" w:color="auto" w:fill="FFFFFF"/>
        </w:rPr>
        <w:tab/>
      </w:r>
      <w:r w:rsidR="00F0162A" w:rsidRPr="007C68F1">
        <w:rPr>
          <w:shd w:val="clear" w:color="auto" w:fill="FFFFFF"/>
        </w:rPr>
        <w:t>R</w:t>
      </w:r>
      <w:r w:rsidRPr="007C68F1">
        <w:rPr>
          <w:shd w:val="clear" w:color="auto" w:fill="FFFFFF"/>
        </w:rPr>
        <w:t xml:space="preserve">egarding the PAGA wage statement claim, </w:t>
      </w:r>
      <w:r w:rsidR="007F6159" w:rsidRPr="007C68F1">
        <w:rPr>
          <w:shd w:val="clear" w:color="auto" w:fill="FFFFFF"/>
        </w:rPr>
        <w:t xml:space="preserve">Woodworth argued that </w:t>
      </w:r>
      <w:r w:rsidR="00F0162A" w:rsidRPr="007C68F1">
        <w:rPr>
          <w:shd w:val="clear" w:color="auto" w:fill="FFFFFF"/>
        </w:rPr>
        <w:t xml:space="preserve">there was no injury requirement, </w:t>
      </w:r>
      <w:r w:rsidR="001A11F4" w:rsidRPr="007C68F1">
        <w:rPr>
          <w:shd w:val="clear" w:color="auto" w:fill="FFFFFF"/>
        </w:rPr>
        <w:t xml:space="preserve">so </w:t>
      </w:r>
      <w:r w:rsidR="00F7358A" w:rsidRPr="007C68F1">
        <w:rPr>
          <w:shd w:val="clear" w:color="auto" w:fill="FFFFFF"/>
        </w:rPr>
        <w:t>the medical center’s</w:t>
      </w:r>
      <w:r w:rsidR="002E77E0" w:rsidRPr="007C68F1">
        <w:rPr>
          <w:shd w:val="clear" w:color="auto" w:fill="FFFFFF"/>
        </w:rPr>
        <w:t xml:space="preserve"> injury argument was irrelevant</w:t>
      </w:r>
      <w:r w:rsidR="0073568E" w:rsidRPr="007C68F1">
        <w:rPr>
          <w:shd w:val="clear" w:color="auto" w:fill="FFFFFF"/>
        </w:rPr>
        <w:t>.</w:t>
      </w:r>
      <w:r w:rsidR="00F0162A" w:rsidRPr="007C68F1">
        <w:rPr>
          <w:shd w:val="clear" w:color="auto" w:fill="FFFFFF"/>
        </w:rPr>
        <w:t xml:space="preserve">  </w:t>
      </w:r>
      <w:r w:rsidR="00EB2D62" w:rsidRPr="007C68F1">
        <w:rPr>
          <w:shd w:val="clear" w:color="auto" w:fill="FFFFFF"/>
        </w:rPr>
        <w:t xml:space="preserve">Woodworth also argued that </w:t>
      </w:r>
      <w:r w:rsidR="00F7358A" w:rsidRPr="007C68F1">
        <w:rPr>
          <w:shd w:val="clear" w:color="auto" w:fill="FFFFFF"/>
        </w:rPr>
        <w:t xml:space="preserve">she and the aggrieved employees had </w:t>
      </w:r>
      <w:r w:rsidR="00EB2D62" w:rsidRPr="007C68F1">
        <w:rPr>
          <w:shd w:val="clear" w:color="auto" w:fill="FFFFFF"/>
        </w:rPr>
        <w:t xml:space="preserve">a derivative wage statement claim </w:t>
      </w:r>
      <w:r w:rsidR="00F7358A" w:rsidRPr="007C68F1">
        <w:rPr>
          <w:shd w:val="clear" w:color="auto" w:fill="FFFFFF"/>
        </w:rPr>
        <w:t xml:space="preserve">based on the regular rate claim, the overtime claim, and the rest period claim—that is, </w:t>
      </w:r>
      <w:r w:rsidR="001409E4" w:rsidRPr="007C68F1">
        <w:rPr>
          <w:shd w:val="clear" w:color="auto" w:fill="FFFFFF"/>
        </w:rPr>
        <w:t xml:space="preserve">the </w:t>
      </w:r>
      <w:r w:rsidR="00F7358A" w:rsidRPr="007C68F1">
        <w:rPr>
          <w:shd w:val="clear" w:color="auto" w:fill="FFFFFF"/>
        </w:rPr>
        <w:t xml:space="preserve">wage statements were inaccurate </w:t>
      </w:r>
      <w:r w:rsidR="008771A7" w:rsidRPr="007C68F1">
        <w:rPr>
          <w:shd w:val="clear" w:color="auto" w:fill="FFFFFF"/>
        </w:rPr>
        <w:t>in that</w:t>
      </w:r>
      <w:r w:rsidR="00F7358A" w:rsidRPr="007C68F1">
        <w:rPr>
          <w:shd w:val="clear" w:color="auto" w:fill="FFFFFF"/>
        </w:rPr>
        <w:t xml:space="preserve"> they reflect</w:t>
      </w:r>
      <w:r w:rsidR="008771A7" w:rsidRPr="007C68F1">
        <w:rPr>
          <w:shd w:val="clear" w:color="auto" w:fill="FFFFFF"/>
        </w:rPr>
        <w:t>ed</w:t>
      </w:r>
      <w:r w:rsidR="00F7358A" w:rsidRPr="007C68F1">
        <w:rPr>
          <w:shd w:val="clear" w:color="auto" w:fill="FFFFFF"/>
        </w:rPr>
        <w:t xml:space="preserve"> an improperly cal</w:t>
      </w:r>
      <w:r w:rsidR="008771A7" w:rsidRPr="007C68F1">
        <w:rPr>
          <w:shd w:val="clear" w:color="auto" w:fill="FFFFFF"/>
        </w:rPr>
        <w:t xml:space="preserve">culated regular </w:t>
      </w:r>
      <w:r w:rsidR="008771A7" w:rsidRPr="007C68F1">
        <w:rPr>
          <w:shd w:val="clear" w:color="auto" w:fill="FFFFFF"/>
        </w:rPr>
        <w:lastRenderedPageBreak/>
        <w:t xml:space="preserve">rate, failed to reflect overtime compensation that was owing, and failed to reflect </w:t>
      </w:r>
      <w:r w:rsidR="00C17A2C" w:rsidRPr="007C68F1">
        <w:rPr>
          <w:shd w:val="clear" w:color="auto" w:fill="FFFFFF"/>
        </w:rPr>
        <w:t>missed break premiums</w:t>
      </w:r>
      <w:r w:rsidR="00F7358A" w:rsidRPr="007C68F1">
        <w:rPr>
          <w:shd w:val="clear" w:color="auto" w:fill="FFFFFF"/>
        </w:rPr>
        <w:t xml:space="preserve">.  </w:t>
      </w:r>
      <w:r w:rsidR="001409E4" w:rsidRPr="007C68F1">
        <w:rPr>
          <w:shd w:val="clear" w:color="auto" w:fill="FFFFFF"/>
        </w:rPr>
        <w:t xml:space="preserve">She asserted that the </w:t>
      </w:r>
      <w:r w:rsidR="00B548C7" w:rsidRPr="007C68F1">
        <w:rPr>
          <w:shd w:val="clear" w:color="auto" w:fill="FFFFFF"/>
        </w:rPr>
        <w:t>authority on which the medical center relied</w:t>
      </w:r>
      <w:r w:rsidR="00FC46BB" w:rsidRPr="007C68F1">
        <w:rPr>
          <w:shd w:val="clear" w:color="auto" w:fill="FFFFFF"/>
        </w:rPr>
        <w:t xml:space="preserve"> </w:t>
      </w:r>
      <w:r w:rsidR="00B548C7" w:rsidRPr="007C68F1">
        <w:rPr>
          <w:shd w:val="clear" w:color="auto" w:fill="FFFFFF"/>
        </w:rPr>
        <w:t xml:space="preserve">was distinguishable and inconsistent with other cases approving derivative </w:t>
      </w:r>
      <w:r w:rsidR="001409E4" w:rsidRPr="007C68F1">
        <w:rPr>
          <w:shd w:val="clear" w:color="auto" w:fill="FFFFFF"/>
        </w:rPr>
        <w:t xml:space="preserve">wage statement </w:t>
      </w:r>
      <w:r w:rsidR="00B548C7" w:rsidRPr="007C68F1">
        <w:rPr>
          <w:shd w:val="clear" w:color="auto" w:fill="FFFFFF"/>
        </w:rPr>
        <w:t>claims</w:t>
      </w:r>
      <w:r w:rsidRPr="007C68F1">
        <w:rPr>
          <w:shd w:val="clear" w:color="auto" w:fill="FFFFFF"/>
        </w:rPr>
        <w:t xml:space="preserve">.  </w:t>
      </w:r>
    </w:p>
    <w:p w14:paraId="5A040E41" w14:textId="77777777" w:rsidR="00EB2D62" w:rsidRPr="007C68F1" w:rsidRDefault="00D16B2E" w:rsidP="007D1009">
      <w:pPr>
        <w:pStyle w:val="FootnoteText"/>
        <w:spacing w:line="480" w:lineRule="auto"/>
        <w:rPr>
          <w:shd w:val="clear" w:color="auto" w:fill="FFFFFF"/>
        </w:rPr>
      </w:pPr>
      <w:r w:rsidRPr="007C68F1">
        <w:rPr>
          <w:shd w:val="clear" w:color="auto" w:fill="FFFFFF"/>
        </w:rPr>
        <w:tab/>
        <w:t xml:space="preserve">The court </w:t>
      </w:r>
      <w:r w:rsidR="00521109" w:rsidRPr="007C68F1">
        <w:rPr>
          <w:shd w:val="clear" w:color="auto" w:fill="FFFFFF"/>
        </w:rPr>
        <w:t xml:space="preserve">granted the </w:t>
      </w:r>
      <w:r w:rsidR="000147D5" w:rsidRPr="007C68F1">
        <w:rPr>
          <w:shd w:val="clear" w:color="auto" w:fill="FFFFFF"/>
        </w:rPr>
        <w:t xml:space="preserve">summary adjudication motion </w:t>
      </w:r>
      <w:r w:rsidR="00D37F89" w:rsidRPr="007C68F1">
        <w:rPr>
          <w:shd w:val="clear" w:color="auto" w:fill="FFFFFF"/>
        </w:rPr>
        <w:t>as to</w:t>
      </w:r>
      <w:r w:rsidR="000147D5" w:rsidRPr="007C68F1">
        <w:rPr>
          <w:shd w:val="clear" w:color="auto" w:fill="FFFFFF"/>
        </w:rPr>
        <w:t xml:space="preserve"> </w:t>
      </w:r>
      <w:r w:rsidR="00FC46BB" w:rsidRPr="007C68F1">
        <w:rPr>
          <w:shd w:val="clear" w:color="auto" w:fill="FFFFFF"/>
        </w:rPr>
        <w:t>Woodworth’s individual and PAGA</w:t>
      </w:r>
      <w:r w:rsidR="000147D5" w:rsidRPr="007C68F1">
        <w:rPr>
          <w:shd w:val="clear" w:color="auto" w:fill="FFFFFF"/>
        </w:rPr>
        <w:t xml:space="preserve"> wage statement claim</w:t>
      </w:r>
      <w:r w:rsidR="00FC46BB" w:rsidRPr="007C68F1">
        <w:rPr>
          <w:shd w:val="clear" w:color="auto" w:fill="FFFFFF"/>
        </w:rPr>
        <w:t xml:space="preserve">s.  The court ruled that </w:t>
      </w:r>
      <w:bookmarkStart w:id="525" w:name="dabmci_e4bde6369e0940a68af0f7a0b1038cd0"/>
      <w:r w:rsidR="00FC46BB" w:rsidRPr="007C68F1">
        <w:rPr>
          <w:i/>
          <w:iCs/>
          <w:shd w:val="clear" w:color="auto" w:fill="FFFFFF"/>
        </w:rPr>
        <w:t>Morgan</w:t>
      </w:r>
      <w:r w:rsidR="00FC46BB" w:rsidRPr="007C68F1">
        <w:rPr>
          <w:shd w:val="clear" w:color="auto" w:fill="FFFFFF"/>
        </w:rPr>
        <w:t xml:space="preserve">, </w:t>
      </w:r>
      <w:r w:rsidR="00FC46BB" w:rsidRPr="007C68F1">
        <w:rPr>
          <w:i/>
          <w:iCs/>
          <w:shd w:val="clear" w:color="auto" w:fill="FFFFFF"/>
        </w:rPr>
        <w:t>supra</w:t>
      </w:r>
      <w:r w:rsidR="0058148C" w:rsidRPr="007C68F1">
        <w:rPr>
          <w:shd w:val="clear" w:color="auto" w:fill="FFFFFF"/>
        </w:rPr>
        <w:t>, 186 Cal.App.4th 1136</w:t>
      </w:r>
      <w:bookmarkEnd w:id="525"/>
      <w:r w:rsidR="0058148C" w:rsidRPr="007C68F1">
        <w:rPr>
          <w:shd w:val="clear" w:color="auto" w:fill="FFFFFF"/>
        </w:rPr>
        <w:t xml:space="preserve">, rejected Woodworth’s theory that the wage statements must include </w:t>
      </w:r>
      <w:bookmarkStart w:id="526" w:name="dabmq_243"/>
      <w:r w:rsidR="0058148C" w:rsidRPr="007C68F1">
        <w:rPr>
          <w:shd w:val="clear" w:color="auto" w:fill="FFFFFF"/>
        </w:rPr>
        <w:t>“a separate line item for ‘Total Hours Worked’ and a summation of the total hours worked</w:t>
      </w:r>
      <w:r w:rsidR="00160F2E" w:rsidRPr="007C68F1">
        <w:rPr>
          <w:shd w:val="clear" w:color="auto" w:fill="FFFFFF"/>
        </w:rPr>
        <w:t xml:space="preserve">[,] as this was </w:t>
      </w:r>
      <w:r w:rsidR="0058148C" w:rsidRPr="007C68F1">
        <w:rPr>
          <w:shd w:val="clear" w:color="auto" w:fill="FFFFFF"/>
        </w:rPr>
        <w:t>easily determined from the information provided on the wage statements.”</w:t>
      </w:r>
      <w:bookmarkEnd w:id="526"/>
      <w:r w:rsidR="00C65B58" w:rsidRPr="007C68F1">
        <w:rPr>
          <w:shd w:val="clear" w:color="auto" w:fill="FFFFFF"/>
        </w:rPr>
        <w:t xml:space="preserve">  </w:t>
      </w:r>
      <w:r w:rsidR="00B90BCA" w:rsidRPr="007C68F1">
        <w:rPr>
          <w:shd w:val="clear" w:color="auto" w:fill="FFFFFF"/>
        </w:rPr>
        <w:t>The court</w:t>
      </w:r>
      <w:r w:rsidR="00C65B58" w:rsidRPr="007C68F1">
        <w:rPr>
          <w:shd w:val="clear" w:color="auto" w:fill="FFFFFF"/>
        </w:rPr>
        <w:t xml:space="preserve"> did not expressly address </w:t>
      </w:r>
      <w:r w:rsidR="002E467A" w:rsidRPr="007C68F1">
        <w:rPr>
          <w:shd w:val="clear" w:color="auto" w:fill="FFFFFF"/>
        </w:rPr>
        <w:t>the derivative form of her</w:t>
      </w:r>
      <w:r w:rsidR="00C65B58" w:rsidRPr="007C68F1">
        <w:rPr>
          <w:shd w:val="clear" w:color="auto" w:fill="FFFFFF"/>
        </w:rPr>
        <w:t xml:space="preserve"> wage statement claim</w:t>
      </w:r>
      <w:r w:rsidR="00B90BCA" w:rsidRPr="007C68F1">
        <w:rPr>
          <w:shd w:val="clear" w:color="auto" w:fill="FFFFFF"/>
        </w:rPr>
        <w:t>.</w:t>
      </w:r>
    </w:p>
    <w:p w14:paraId="68A3ABBA" w14:textId="77777777" w:rsidR="00A369A9" w:rsidRPr="007C68F1" w:rsidRDefault="00D16B2E" w:rsidP="007D1009">
      <w:pPr>
        <w:pStyle w:val="FootnoteText"/>
        <w:keepNext/>
        <w:spacing w:line="480" w:lineRule="auto"/>
        <w:rPr>
          <w:shd w:val="clear" w:color="auto" w:fill="FFFFFF"/>
        </w:rPr>
      </w:pPr>
      <w:r w:rsidRPr="007C68F1">
        <w:rPr>
          <w:shd w:val="clear" w:color="auto" w:fill="FFFFFF"/>
        </w:rPr>
        <w:tab/>
      </w:r>
      <w:r w:rsidRPr="007C68F1">
        <w:rPr>
          <w:shd w:val="clear" w:color="auto" w:fill="FFFFFF"/>
        </w:rPr>
        <w:tab/>
        <w:t xml:space="preserve">2.  </w:t>
      </w:r>
      <w:r w:rsidRPr="007C68F1">
        <w:rPr>
          <w:i/>
          <w:iCs/>
          <w:shd w:val="clear" w:color="auto" w:fill="FFFFFF"/>
        </w:rPr>
        <w:t>Analysis</w:t>
      </w:r>
    </w:p>
    <w:p w14:paraId="69FFEFC9" w14:textId="77777777" w:rsidR="000712E2" w:rsidRPr="007C68F1" w:rsidRDefault="00D16B2E" w:rsidP="007D1009">
      <w:pPr>
        <w:pStyle w:val="FootnoteText"/>
        <w:spacing w:line="480" w:lineRule="auto"/>
      </w:pPr>
      <w:r w:rsidRPr="007C68F1">
        <w:tab/>
      </w:r>
      <w:r w:rsidRPr="007C68F1">
        <w:rPr>
          <w:shd w:val="clear" w:color="auto" w:fill="FFFFFF"/>
        </w:rPr>
        <w:t xml:space="preserve">To review, </w:t>
      </w:r>
      <w:r w:rsidR="00804A19" w:rsidRPr="007C68F1">
        <w:rPr>
          <w:shd w:val="clear" w:color="auto" w:fill="FFFFFF"/>
        </w:rPr>
        <w:t xml:space="preserve">under section 226, subdivision (a), </w:t>
      </w:r>
      <w:r w:rsidR="007418A7" w:rsidRPr="007C68F1">
        <w:rPr>
          <w:shd w:val="clear" w:color="auto" w:fill="FFFFFF"/>
        </w:rPr>
        <w:t xml:space="preserve">the employer must provide accurate </w:t>
      </w:r>
      <w:r w:rsidRPr="007C68F1">
        <w:rPr>
          <w:shd w:val="clear" w:color="auto" w:fill="FFFFFF"/>
        </w:rPr>
        <w:t xml:space="preserve">wage statements </w:t>
      </w:r>
      <w:r w:rsidR="00D434FC" w:rsidRPr="007C68F1">
        <w:rPr>
          <w:shd w:val="clear" w:color="auto" w:fill="FFFFFF"/>
        </w:rPr>
        <w:t>reporting</w:t>
      </w:r>
      <w:r w:rsidR="00BE0909" w:rsidRPr="007C68F1">
        <w:rPr>
          <w:shd w:val="clear" w:color="auto" w:fill="FFFFFF"/>
        </w:rPr>
        <w:t xml:space="preserve"> nine categories of information, including</w:t>
      </w:r>
      <w:r w:rsidR="001D231D" w:rsidRPr="007C68F1">
        <w:rPr>
          <w:shd w:val="clear" w:color="auto" w:fill="FFFFFF"/>
        </w:rPr>
        <w:t xml:space="preserve"> gross wages earned, net wages earned, all relevant hourly rates in effect during the pay period, and</w:t>
      </w:r>
      <w:r w:rsidRPr="007C68F1">
        <w:rPr>
          <w:shd w:val="clear" w:color="auto" w:fill="FFFFFF"/>
        </w:rPr>
        <w:t xml:space="preserve"> </w:t>
      </w:r>
      <w:bookmarkStart w:id="527" w:name="dabmq_244"/>
      <w:r w:rsidRPr="007C68F1">
        <w:rPr>
          <w:shd w:val="clear" w:color="auto" w:fill="FFFFFF"/>
        </w:rPr>
        <w:t>“total hours worked by the employee.”</w:t>
      </w:r>
      <w:bookmarkEnd w:id="527"/>
      <w:r w:rsidRPr="007C68F1">
        <w:rPr>
          <w:shd w:val="clear" w:color="auto" w:fill="FFFFFF"/>
        </w:rPr>
        <w:t xml:space="preserve">  </w:t>
      </w:r>
      <w:r w:rsidR="00D37661" w:rsidRPr="007C68F1">
        <w:rPr>
          <w:shd w:val="clear" w:color="auto" w:fill="FFFFFF"/>
        </w:rPr>
        <w:t>Under subdivision (e) of the statute, t</w:t>
      </w:r>
      <w:r w:rsidRPr="007C68F1">
        <w:rPr>
          <w:shd w:val="clear" w:color="auto" w:fill="FFFFFF"/>
        </w:rPr>
        <w:t xml:space="preserve">o recover actual </w:t>
      </w:r>
      <w:r w:rsidR="00CA216D" w:rsidRPr="007C68F1">
        <w:rPr>
          <w:shd w:val="clear" w:color="auto" w:fill="FFFFFF"/>
        </w:rPr>
        <w:t xml:space="preserve">damages </w:t>
      </w:r>
      <w:r w:rsidRPr="007C68F1">
        <w:rPr>
          <w:shd w:val="clear" w:color="auto" w:fill="FFFFFF"/>
        </w:rPr>
        <w:t xml:space="preserve">or statutory </w:t>
      </w:r>
      <w:r w:rsidR="00CA216D" w:rsidRPr="007C68F1">
        <w:rPr>
          <w:shd w:val="clear" w:color="auto" w:fill="FFFFFF"/>
        </w:rPr>
        <w:t>penalties</w:t>
      </w:r>
      <w:r w:rsidRPr="007C68F1">
        <w:rPr>
          <w:shd w:val="clear" w:color="auto" w:fill="FFFFFF"/>
        </w:rPr>
        <w:t xml:space="preserve">, the employee must demonstrate that </w:t>
      </w:r>
      <w:r w:rsidR="00804A19" w:rsidRPr="007C68F1">
        <w:rPr>
          <w:shd w:val="clear" w:color="auto" w:fill="FFFFFF"/>
        </w:rPr>
        <w:t xml:space="preserve">(1) </w:t>
      </w:r>
      <w:r w:rsidRPr="007C68F1">
        <w:rPr>
          <w:shd w:val="clear" w:color="auto" w:fill="FFFFFF"/>
        </w:rPr>
        <w:t xml:space="preserve">the employer’s failure to </w:t>
      </w:r>
      <w:r w:rsidR="00804A19" w:rsidRPr="007C68F1">
        <w:rPr>
          <w:shd w:val="clear" w:color="auto" w:fill="FFFFFF"/>
        </w:rPr>
        <w:t>comply with subdivision (a) was</w:t>
      </w:r>
      <w:r w:rsidRPr="007C68F1">
        <w:rPr>
          <w:shd w:val="clear" w:color="auto" w:fill="FFFFFF"/>
        </w:rPr>
        <w:t xml:space="preserve"> “knowing and intentional</w:t>
      </w:r>
      <w:r w:rsidR="00804A19" w:rsidRPr="007C68F1">
        <w:rPr>
          <w:shd w:val="clear" w:color="auto" w:fill="FFFFFF"/>
        </w:rPr>
        <w:t xml:space="preserve">,” and (2) </w:t>
      </w:r>
      <w:r w:rsidRPr="007C68F1">
        <w:rPr>
          <w:shd w:val="clear" w:color="auto" w:fill="FFFFFF"/>
        </w:rPr>
        <w:t xml:space="preserve">the employee suffered injury as a result of the failure.  (§ 226, subd. (e)(1).)  An employee </w:t>
      </w:r>
      <w:bookmarkStart w:id="528" w:name="dabmq_245"/>
      <w:r w:rsidRPr="007C68F1">
        <w:rPr>
          <w:shd w:val="clear" w:color="auto" w:fill="FFFFFF"/>
        </w:rPr>
        <w:t xml:space="preserve">“is deemed to suffer injury </w:t>
      </w:r>
      <w:r w:rsidRPr="007C68F1">
        <w:rPr>
          <w:shd w:val="clear" w:color="auto" w:fill="FFFFFF"/>
        </w:rPr>
        <w:t>. . . if the employer fails to provide accurate and complete information”</w:t>
      </w:r>
      <w:bookmarkEnd w:id="528"/>
      <w:r w:rsidRPr="007C68F1">
        <w:rPr>
          <w:shd w:val="clear" w:color="auto" w:fill="FFFFFF"/>
        </w:rPr>
        <w:t xml:space="preserve"> regarding total hours worked, and </w:t>
      </w:r>
      <w:bookmarkStart w:id="529" w:name="dabmq_246"/>
      <w:r w:rsidRPr="007C68F1">
        <w:rPr>
          <w:shd w:val="clear" w:color="auto" w:fill="FFFFFF"/>
        </w:rPr>
        <w:t>“the employee cannot promptly and easily determine”</w:t>
      </w:r>
      <w:bookmarkEnd w:id="529"/>
      <w:r w:rsidRPr="007C68F1">
        <w:rPr>
          <w:shd w:val="clear" w:color="auto" w:fill="FFFFFF"/>
        </w:rPr>
        <w:t xml:space="preserve"> their total hours worked </w:t>
      </w:r>
      <w:bookmarkStart w:id="530" w:name="dabmq_247"/>
      <w:r w:rsidRPr="007C68F1">
        <w:rPr>
          <w:shd w:val="clear" w:color="auto" w:fill="FFFFFF"/>
        </w:rPr>
        <w:t>“from the wage statement alone.”</w:t>
      </w:r>
      <w:bookmarkEnd w:id="530"/>
      <w:r w:rsidRPr="007C68F1">
        <w:rPr>
          <w:shd w:val="clear" w:color="auto" w:fill="FFFFFF"/>
        </w:rPr>
        <w:t xml:space="preserve">  (§ 226, subd. (e)(2)(B)</w:t>
      </w:r>
      <w:r w:rsidR="009E79D6" w:rsidRPr="007C68F1">
        <w:rPr>
          <w:shd w:val="clear" w:color="auto" w:fill="FFFFFF"/>
        </w:rPr>
        <w:t xml:space="preserve"> &amp; (i)</w:t>
      </w:r>
      <w:r w:rsidRPr="007C68F1">
        <w:rPr>
          <w:shd w:val="clear" w:color="auto" w:fill="FFFFFF"/>
        </w:rPr>
        <w:t xml:space="preserve">.)  </w:t>
      </w:r>
      <w:bookmarkStart w:id="531" w:name="dabmq_248"/>
      <w:r w:rsidRPr="007C68F1">
        <w:rPr>
          <w:shd w:val="clear" w:color="auto" w:fill="FFFFFF"/>
        </w:rPr>
        <w:t>“‘[P</w:t>
      </w:r>
      <w:r w:rsidRPr="007C68F1">
        <w:rPr>
          <w:shd w:val="clear" w:color="auto" w:fill="FFFFFF"/>
        </w:rPr>
        <w:t xml:space="preserve">]romptly and easily determine’ means a reasonable person </w:t>
      </w:r>
      <w:r w:rsidRPr="007C68F1">
        <w:rPr>
          <w:shd w:val="clear" w:color="auto" w:fill="FFFFFF"/>
        </w:rPr>
        <w:lastRenderedPageBreak/>
        <w:t>would be able to readily ascertain the information without reference to other documents or information.”</w:t>
      </w:r>
      <w:bookmarkEnd w:id="531"/>
      <w:r w:rsidRPr="007C68F1">
        <w:rPr>
          <w:shd w:val="clear" w:color="auto" w:fill="FFFFFF"/>
        </w:rPr>
        <w:t xml:space="preserve">  (§ </w:t>
      </w:r>
      <w:r w:rsidRPr="007C68F1">
        <w:t xml:space="preserve">226, subd. (e)(2)(C).)  </w:t>
      </w:r>
    </w:p>
    <w:p w14:paraId="1A9EDD78" w14:textId="77777777" w:rsidR="006726B3" w:rsidRPr="007C68F1" w:rsidRDefault="00D16B2E" w:rsidP="007D1009">
      <w:pPr>
        <w:spacing w:line="480" w:lineRule="auto"/>
      </w:pPr>
      <w:r w:rsidRPr="007C68F1">
        <w:tab/>
      </w:r>
      <w:r w:rsidR="00B64D0E" w:rsidRPr="007C68F1">
        <w:t>Not all of the</w:t>
      </w:r>
      <w:r w:rsidR="00804A19" w:rsidRPr="007C68F1">
        <w:rPr>
          <w:shd w:val="clear" w:color="auto" w:fill="FFFFFF"/>
        </w:rPr>
        <w:t xml:space="preserve"> foregoing elements </w:t>
      </w:r>
      <w:r w:rsidR="00B64D0E" w:rsidRPr="007C68F1">
        <w:rPr>
          <w:shd w:val="clear" w:color="auto" w:fill="FFFFFF"/>
        </w:rPr>
        <w:t>a</w:t>
      </w:r>
      <w:r w:rsidR="00804A19" w:rsidRPr="007C68F1">
        <w:rPr>
          <w:shd w:val="clear" w:color="auto" w:fill="FFFFFF"/>
        </w:rPr>
        <w:t>pply to a PAGA c</w:t>
      </w:r>
      <w:r w:rsidR="003A4D55" w:rsidRPr="007C68F1">
        <w:rPr>
          <w:shd w:val="clear" w:color="auto" w:fill="FFFFFF"/>
        </w:rPr>
        <w:t>ause of action.  (</w:t>
      </w:r>
      <w:bookmarkStart w:id="532" w:name="dabmci_9c0b5e26405a453780233a8743cea1c3"/>
      <w:r w:rsidR="00E9276C" w:rsidRPr="007C68F1">
        <w:rPr>
          <w:i/>
          <w:iCs/>
          <w:bdr w:val="none" w:sz="0" w:space="0" w:color="auto" w:frame="1"/>
        </w:rPr>
        <w:t>Lopez v. Friant &amp; Associates, LLC</w:t>
      </w:r>
      <w:r w:rsidR="00E9276C" w:rsidRPr="007C68F1">
        <w:t> (2017) 15 Cal.App.5th 773, 784 (</w:t>
      </w:r>
      <w:r w:rsidR="00E9276C" w:rsidRPr="007C68F1">
        <w:rPr>
          <w:i/>
          <w:iCs/>
        </w:rPr>
        <w:t>Lopez</w:t>
      </w:r>
      <w:r w:rsidR="00E9276C" w:rsidRPr="007C68F1">
        <w:t>)</w:t>
      </w:r>
      <w:bookmarkEnd w:id="532"/>
      <w:r w:rsidR="003A4D55" w:rsidRPr="007C68F1">
        <w:t xml:space="preserve">.)  </w:t>
      </w:r>
      <w:r w:rsidR="00C55D84" w:rsidRPr="007C68F1">
        <w:rPr>
          <w:shd w:val="clear" w:color="auto" w:fill="FFFFFF"/>
        </w:rPr>
        <w:t>Specifically</w:t>
      </w:r>
      <w:r w:rsidR="003A4D55" w:rsidRPr="007C68F1">
        <w:rPr>
          <w:shd w:val="clear" w:color="auto" w:fill="FFFFFF"/>
        </w:rPr>
        <w:t xml:space="preserve">, </w:t>
      </w:r>
      <w:r w:rsidR="00A87243" w:rsidRPr="007C68F1">
        <w:rPr>
          <w:shd w:val="clear" w:color="auto" w:fill="FFFFFF"/>
        </w:rPr>
        <w:t>a</w:t>
      </w:r>
      <w:r w:rsidR="003A4D55" w:rsidRPr="007C68F1">
        <w:rPr>
          <w:shd w:val="clear" w:color="auto" w:fill="FFFFFF"/>
        </w:rPr>
        <w:t xml:space="preserve"> plaintiff seeking civil penalties under PAGA for a violation of </w:t>
      </w:r>
      <w:r w:rsidR="00A87243" w:rsidRPr="007C68F1">
        <w:rPr>
          <w:shd w:val="clear" w:color="auto" w:fill="FFFFFF"/>
        </w:rPr>
        <w:t>section 226, subdivision (a),</w:t>
      </w:r>
      <w:r w:rsidR="003A4D55" w:rsidRPr="007C68F1">
        <w:rPr>
          <w:shd w:val="clear" w:color="auto" w:fill="FFFFFF"/>
        </w:rPr>
        <w:t xml:space="preserve"> </w:t>
      </w:r>
      <w:bookmarkStart w:id="533" w:name="dabmq_249"/>
      <w:r w:rsidR="00A87243" w:rsidRPr="007C68F1">
        <w:rPr>
          <w:shd w:val="clear" w:color="auto" w:fill="FFFFFF"/>
        </w:rPr>
        <w:t>“</w:t>
      </w:r>
      <w:r w:rsidR="003A4D55" w:rsidRPr="007C68F1">
        <w:rPr>
          <w:shd w:val="clear" w:color="auto" w:fill="FFFFFF"/>
        </w:rPr>
        <w:t xml:space="preserve">does not have to satisfy the </w:t>
      </w:r>
      <w:r w:rsidR="00A87243" w:rsidRPr="007C68F1">
        <w:rPr>
          <w:shd w:val="clear" w:color="auto" w:fill="FFFFFF"/>
        </w:rPr>
        <w:t>‘</w:t>
      </w:r>
      <w:r w:rsidR="003A4D55" w:rsidRPr="007C68F1">
        <w:rPr>
          <w:shd w:val="clear" w:color="auto" w:fill="FFFFFF"/>
        </w:rPr>
        <w:t>injury</w:t>
      </w:r>
      <w:r w:rsidR="00A87243" w:rsidRPr="007C68F1">
        <w:rPr>
          <w:shd w:val="clear" w:color="auto" w:fill="FFFFFF"/>
        </w:rPr>
        <w:t xml:space="preserve">’ </w:t>
      </w:r>
      <w:r w:rsidR="003A4D55" w:rsidRPr="007C68F1">
        <w:rPr>
          <w:shd w:val="clear" w:color="auto" w:fill="FFFFFF"/>
        </w:rPr>
        <w:t xml:space="preserve">and </w:t>
      </w:r>
      <w:r w:rsidR="00A87243" w:rsidRPr="007C68F1">
        <w:rPr>
          <w:shd w:val="clear" w:color="auto" w:fill="FFFFFF"/>
        </w:rPr>
        <w:t>‘</w:t>
      </w:r>
      <w:r w:rsidR="003A4D55" w:rsidRPr="007C68F1">
        <w:rPr>
          <w:shd w:val="clear" w:color="auto" w:fill="FFFFFF"/>
        </w:rPr>
        <w:t>knowing and intentional</w:t>
      </w:r>
      <w:r w:rsidR="00A87243" w:rsidRPr="007C68F1">
        <w:rPr>
          <w:shd w:val="clear" w:color="auto" w:fill="FFFFFF"/>
        </w:rPr>
        <w:t>’</w:t>
      </w:r>
      <w:r w:rsidR="003A4D55" w:rsidRPr="007C68F1">
        <w:rPr>
          <w:shd w:val="clear" w:color="auto" w:fill="FFFFFF"/>
        </w:rPr>
        <w:t xml:space="preserve"> requirements</w:t>
      </w:r>
      <w:r w:rsidR="00A87243" w:rsidRPr="007C68F1">
        <w:rPr>
          <w:shd w:val="clear" w:color="auto" w:fill="FFFFFF"/>
        </w:rPr>
        <w:t>”</w:t>
      </w:r>
      <w:bookmarkEnd w:id="533"/>
      <w:r w:rsidR="00D37661" w:rsidRPr="007C68F1">
        <w:rPr>
          <w:shd w:val="clear" w:color="auto" w:fill="FFFFFF"/>
        </w:rPr>
        <w:t xml:space="preserve"> of subdivision (e).</w:t>
      </w:r>
      <w:r w:rsidR="00A87243" w:rsidRPr="007C68F1">
        <w:rPr>
          <w:shd w:val="clear" w:color="auto" w:fill="FFFFFF"/>
        </w:rPr>
        <w:t xml:space="preserve">  (</w:t>
      </w:r>
      <w:bookmarkStart w:id="534" w:name="dabmci_063a6e7dcb294d7cb5ccfb8344fbb1ca"/>
      <w:r w:rsidR="003A4D55" w:rsidRPr="007C68F1">
        <w:rPr>
          <w:i/>
          <w:iCs/>
          <w:bdr w:val="none" w:sz="0" w:space="0" w:color="auto" w:frame="1"/>
        </w:rPr>
        <w:t>Lopez</w:t>
      </w:r>
      <w:r w:rsidR="00E9276C" w:rsidRPr="007C68F1">
        <w:rPr>
          <w:bdr w:val="none" w:sz="0" w:space="0" w:color="auto" w:frame="1"/>
        </w:rPr>
        <w:t xml:space="preserve">, </w:t>
      </w:r>
      <w:r w:rsidR="0007507C" w:rsidRPr="007C68F1">
        <w:rPr>
          <w:i/>
          <w:iCs/>
          <w:bdr w:val="none" w:sz="0" w:space="0" w:color="auto" w:frame="1"/>
        </w:rPr>
        <w:t>supra</w:t>
      </w:r>
      <w:r w:rsidR="0007507C" w:rsidRPr="007C68F1">
        <w:rPr>
          <w:bdr w:val="none" w:sz="0" w:space="0" w:color="auto" w:frame="1"/>
        </w:rPr>
        <w:t xml:space="preserve">, </w:t>
      </w:r>
      <w:r w:rsidR="00E9276C" w:rsidRPr="007C68F1">
        <w:rPr>
          <w:bdr w:val="none" w:sz="0" w:space="0" w:color="auto" w:frame="1"/>
        </w:rPr>
        <w:t>at p.</w:t>
      </w:r>
      <w:r w:rsidR="003A4D55" w:rsidRPr="007C68F1">
        <w:t xml:space="preserve"> 788</w:t>
      </w:r>
      <w:bookmarkEnd w:id="534"/>
      <w:r w:rsidR="00500871" w:rsidRPr="007C68F1">
        <w:t xml:space="preserve">; </w:t>
      </w:r>
      <w:bookmarkStart w:id="535" w:name="dabmci_03bbe56146e444d99658e33323867e7a"/>
      <w:r w:rsidR="00500871" w:rsidRPr="007C68F1">
        <w:rPr>
          <w:i/>
          <w:iCs/>
          <w:bdr w:val="none" w:sz="0" w:space="0" w:color="auto" w:frame="1"/>
        </w:rPr>
        <w:t>Raines v. Coastal Pacific Food Distributors, Inc.</w:t>
      </w:r>
      <w:r w:rsidR="00500871" w:rsidRPr="007C68F1">
        <w:t> (2018) 23 Cal.App.5th 667, 679</w:t>
      </w:r>
      <w:bookmarkEnd w:id="535"/>
      <w:r w:rsidR="00500871" w:rsidRPr="007C68F1">
        <w:t xml:space="preserve">.)  </w:t>
      </w:r>
      <w:r w:rsidR="00A87243" w:rsidRPr="007C68F1">
        <w:t>The PAGA plaintiff need only show that the employer failed to provide a</w:t>
      </w:r>
      <w:r w:rsidR="00500871" w:rsidRPr="007C68F1">
        <w:t xml:space="preserve">n accurate </w:t>
      </w:r>
      <w:r w:rsidR="00A87243" w:rsidRPr="007C68F1">
        <w:t>wage statement</w:t>
      </w:r>
      <w:r w:rsidR="009C7526" w:rsidRPr="007C68F1">
        <w:t xml:space="preserve"> </w:t>
      </w:r>
      <w:r w:rsidR="00500871" w:rsidRPr="007C68F1">
        <w:t>under subdivision (a) of section 226</w:t>
      </w:r>
      <w:r w:rsidR="009C7526" w:rsidRPr="007C68F1">
        <w:t>.  (</w:t>
      </w:r>
      <w:bookmarkStart w:id="536" w:name="dabmci_7d0413170f18419c96c494b274ff3cdb"/>
      <w:r w:rsidR="00500871" w:rsidRPr="007C68F1">
        <w:rPr>
          <w:i/>
          <w:iCs/>
        </w:rPr>
        <w:t>Raines</w:t>
      </w:r>
      <w:r w:rsidR="00500871" w:rsidRPr="007C68F1">
        <w:t xml:space="preserve">, </w:t>
      </w:r>
      <w:r w:rsidR="0007507C" w:rsidRPr="007C68F1">
        <w:rPr>
          <w:i/>
          <w:iCs/>
        </w:rPr>
        <w:t>supra</w:t>
      </w:r>
      <w:r w:rsidR="0007507C" w:rsidRPr="007C68F1">
        <w:t xml:space="preserve">, </w:t>
      </w:r>
      <w:r w:rsidR="00500871" w:rsidRPr="007C68F1">
        <w:t>at p. 679</w:t>
      </w:r>
      <w:bookmarkEnd w:id="536"/>
      <w:r w:rsidR="00500871" w:rsidRPr="007C68F1">
        <w:t xml:space="preserve">; </w:t>
      </w:r>
      <w:bookmarkStart w:id="537" w:name="dabmci_f3952d287a0d4e95bd24959a305d6c45"/>
      <w:r w:rsidR="00500871" w:rsidRPr="007C68F1">
        <w:rPr>
          <w:i/>
          <w:iCs/>
        </w:rPr>
        <w:t>Lopez</w:t>
      </w:r>
      <w:r w:rsidR="00500871" w:rsidRPr="007C68F1">
        <w:t>, at p.</w:t>
      </w:r>
      <w:r w:rsidR="009C7526" w:rsidRPr="007C68F1">
        <w:t xml:space="preserve"> 785</w:t>
      </w:r>
      <w:bookmarkEnd w:id="537"/>
      <w:r w:rsidR="009C7526" w:rsidRPr="007C68F1">
        <w:t xml:space="preserve">.) </w:t>
      </w:r>
      <w:r w:rsidR="00B870DE" w:rsidRPr="007C68F1">
        <w:t xml:space="preserve"> </w:t>
      </w:r>
    </w:p>
    <w:p w14:paraId="5BA30A33" w14:textId="77777777" w:rsidR="00507E25" w:rsidRPr="007C68F1" w:rsidRDefault="00D16B2E" w:rsidP="007D1009">
      <w:pPr>
        <w:spacing w:line="480" w:lineRule="auto"/>
        <w:ind w:firstLine="720"/>
        <w:rPr>
          <w:bdr w:val="none" w:sz="0" w:space="0" w:color="auto" w:frame="1"/>
        </w:rPr>
      </w:pPr>
      <w:r w:rsidRPr="007C68F1">
        <w:rPr>
          <w:i/>
          <w:iCs/>
        </w:rPr>
        <w:t>Morgan</w:t>
      </w:r>
      <w:r w:rsidRPr="007C68F1">
        <w:t xml:space="preserve"> construed the requirement that wage statements show total hours worked under section 226, subdivision (a).  (</w:t>
      </w:r>
      <w:bookmarkStart w:id="538" w:name="dabmci_84b9192987a74611b16b7907a64e44a1"/>
      <w:r w:rsidRPr="007C68F1">
        <w:rPr>
          <w:i/>
          <w:iCs/>
          <w:bdr w:val="none" w:sz="0" w:space="0" w:color="auto" w:frame="1"/>
        </w:rPr>
        <w:t>Morgan</w:t>
      </w:r>
      <w:r w:rsidRPr="007C68F1">
        <w:rPr>
          <w:bdr w:val="none" w:sz="0" w:space="0" w:color="auto" w:frame="1"/>
        </w:rPr>
        <w:t xml:space="preserve">, </w:t>
      </w:r>
      <w:r w:rsidRPr="007C68F1">
        <w:rPr>
          <w:i/>
          <w:iCs/>
          <w:bdr w:val="none" w:sz="0" w:space="0" w:color="auto" w:frame="1"/>
        </w:rPr>
        <w:t>supra</w:t>
      </w:r>
      <w:r w:rsidRPr="007C68F1">
        <w:rPr>
          <w:bdr w:val="none" w:sz="0" w:space="0" w:color="auto" w:frame="1"/>
        </w:rPr>
        <w:t xml:space="preserve">, </w:t>
      </w:r>
      <w:r w:rsidRPr="007C68F1">
        <w:t>186 Cal.App.4th at pp. 1144-1149</w:t>
      </w:r>
      <w:bookmarkEnd w:id="538"/>
      <w:r w:rsidRPr="007C68F1">
        <w:t>.)  There, the employer’s wage statements accurately listed the regular hours worked and overtime h</w:t>
      </w:r>
      <w:r w:rsidRPr="007C68F1">
        <w:t>ours worked, but the statements did not include a separate line item reporting the sum of those two figures.  (</w:t>
      </w:r>
      <w:bookmarkStart w:id="539" w:name="dabmci_5f17bfa012d74aa7825df0129261c4c9"/>
      <w:r w:rsidRPr="007C68F1">
        <w:rPr>
          <w:i/>
          <w:iCs/>
        </w:rPr>
        <w:t>Id.</w:t>
      </w:r>
      <w:r w:rsidRPr="007C68F1">
        <w:t xml:space="preserve"> at pp. 1140, 1147</w:t>
      </w:r>
      <w:bookmarkEnd w:id="539"/>
      <w:r w:rsidRPr="007C68F1">
        <w:t xml:space="preserve">.) </w:t>
      </w:r>
      <w:r w:rsidR="00C4017D" w:rsidRPr="007C68F1">
        <w:t xml:space="preserve"> At her deposition, t</w:t>
      </w:r>
      <w:r w:rsidR="001C60E2" w:rsidRPr="007C68F1">
        <w:t xml:space="preserve">he employee admitted that </w:t>
      </w:r>
      <w:r w:rsidR="00C4017D" w:rsidRPr="007C68F1">
        <w:t>the wage statements “‘reflected’” her total hours worked.  (</w:t>
      </w:r>
      <w:bookmarkStart w:id="540" w:name="dabmci_7efcbc37f12040879b4c0b1d51928428"/>
      <w:r w:rsidR="00C4017D" w:rsidRPr="007C68F1">
        <w:rPr>
          <w:i/>
          <w:iCs/>
        </w:rPr>
        <w:t>Id.</w:t>
      </w:r>
      <w:r w:rsidR="00C4017D" w:rsidRPr="007C68F1">
        <w:t xml:space="preserve"> at p. 1140</w:t>
      </w:r>
      <w:bookmarkEnd w:id="540"/>
      <w:r w:rsidR="00C4017D" w:rsidRPr="007C68F1">
        <w:t>.)</w:t>
      </w:r>
      <w:r w:rsidR="001C60E2" w:rsidRPr="007C68F1">
        <w:t xml:space="preserve"> </w:t>
      </w:r>
      <w:r w:rsidRPr="007C68F1">
        <w:t xml:space="preserve"> The court held that the wage statements complied with section 226</w:t>
      </w:r>
      <w:r w:rsidR="003117AF" w:rsidRPr="007C68F1">
        <w:t>, subdivision (a)’s requirement to show total hours worked</w:t>
      </w:r>
      <w:r w:rsidRPr="007C68F1">
        <w:t>.  (</w:t>
      </w:r>
      <w:bookmarkStart w:id="541" w:name="dabmci_4ec7fd6cf9904294935f6f88d452b160"/>
      <w:r w:rsidR="0007507C" w:rsidRPr="007C68F1">
        <w:rPr>
          <w:i/>
          <w:iCs/>
        </w:rPr>
        <w:t>Morgan</w:t>
      </w:r>
      <w:r w:rsidR="0007507C" w:rsidRPr="007C68F1">
        <w:t>,</w:t>
      </w:r>
      <w:r w:rsidRPr="007C68F1">
        <w:t xml:space="preserve"> at p. 1149</w:t>
      </w:r>
      <w:r w:rsidR="003117AF" w:rsidRPr="007C68F1">
        <w:t xml:space="preserve"> &amp; fn. 9</w:t>
      </w:r>
      <w:bookmarkEnd w:id="541"/>
      <w:r w:rsidRPr="007C68F1">
        <w:t xml:space="preserve">.)  It reasoned that </w:t>
      </w:r>
      <w:bookmarkStart w:id="542" w:name="dabmq_250"/>
      <w:r w:rsidRPr="007C68F1">
        <w:t>“</w:t>
      </w:r>
      <w:r w:rsidRPr="007C68F1">
        <w:rPr>
          <w:shd w:val="clear" w:color="auto" w:fill="FFFFFF"/>
        </w:rPr>
        <w:t>nothing in the plain language of</w:t>
      </w:r>
      <w:r w:rsidR="0007507C" w:rsidRPr="007C68F1">
        <w:rPr>
          <w:shd w:val="clear" w:color="auto" w:fill="FFFFFF"/>
        </w:rPr>
        <w:t xml:space="preserve"> </w:t>
      </w:r>
      <w:r w:rsidRPr="007C68F1">
        <w:rPr>
          <w:shd w:val="clear" w:color="auto" w:fill="FFFFFF"/>
        </w:rPr>
        <w:t>section 226”</w:t>
      </w:r>
      <w:bookmarkEnd w:id="542"/>
      <w:r w:rsidRPr="007C68F1">
        <w:rPr>
          <w:shd w:val="clear" w:color="auto" w:fill="FFFFFF"/>
        </w:rPr>
        <w:t xml:space="preserve"> supported the employee’s argume</w:t>
      </w:r>
      <w:r w:rsidRPr="007C68F1">
        <w:rPr>
          <w:shd w:val="clear" w:color="auto" w:fill="FFFFFF"/>
        </w:rPr>
        <w:t xml:space="preserve">nt </w:t>
      </w:r>
      <w:bookmarkStart w:id="543" w:name="dabmq_251"/>
      <w:r w:rsidRPr="007C68F1">
        <w:rPr>
          <w:shd w:val="clear" w:color="auto" w:fill="FFFFFF"/>
        </w:rPr>
        <w:t>“that wage statements which accurately list the total regular hours and overtime hours worked during the pay period must also</w:t>
      </w:r>
      <w:r w:rsidR="0007507C" w:rsidRPr="007C68F1">
        <w:rPr>
          <w:shd w:val="clear" w:color="auto" w:fill="FFFFFF"/>
        </w:rPr>
        <w:t xml:space="preserve"> </w:t>
      </w:r>
      <w:r w:rsidRPr="007C68F1">
        <w:rPr>
          <w:shd w:val="clear" w:color="auto" w:fill="FFFFFF"/>
        </w:rPr>
        <w:t>contain a separate category with the sum of those two figures.”</w:t>
      </w:r>
      <w:bookmarkEnd w:id="543"/>
      <w:r w:rsidRPr="007C68F1">
        <w:rPr>
          <w:shd w:val="clear" w:color="auto" w:fill="FFFFFF"/>
        </w:rPr>
        <w:t xml:space="preserve">  (</w:t>
      </w:r>
      <w:bookmarkStart w:id="544" w:name="dabmci_e201c281e7e845d4a14184a99a35f366"/>
      <w:r w:rsidRPr="007C68F1">
        <w:rPr>
          <w:i/>
          <w:iCs/>
          <w:bdr w:val="none" w:sz="0" w:space="0" w:color="auto" w:frame="1"/>
        </w:rPr>
        <w:t>Id.</w:t>
      </w:r>
      <w:r w:rsidRPr="007C68F1">
        <w:t xml:space="preserve"> at p. 1147</w:t>
      </w:r>
      <w:bookmarkEnd w:id="544"/>
      <w:r w:rsidRPr="007C68F1">
        <w:t xml:space="preserve">.)  </w:t>
      </w:r>
      <w:bookmarkStart w:id="545" w:name="dabmq_252"/>
      <w:r w:rsidRPr="007C68F1">
        <w:t xml:space="preserve">“The </w:t>
      </w:r>
      <w:r w:rsidRPr="007C68F1">
        <w:rPr>
          <w:shd w:val="clear" w:color="auto" w:fill="FFFFFF"/>
        </w:rPr>
        <w:t>employee could simply add together the</w:t>
      </w:r>
      <w:r w:rsidRPr="007C68F1">
        <w:rPr>
          <w:shd w:val="clear" w:color="auto" w:fill="FFFFFF"/>
        </w:rPr>
        <w:t xml:space="preserve"> total regular </w:t>
      </w:r>
      <w:r w:rsidRPr="007C68F1">
        <w:rPr>
          <w:shd w:val="clear" w:color="auto" w:fill="FFFFFF"/>
        </w:rPr>
        <w:lastRenderedPageBreak/>
        <w:t>hours figure and the total overtime hours figure shown on the wage statement to arrive at the sum of hours worked</w:t>
      </w:r>
      <w:r w:rsidR="00217091" w:rsidRPr="007C68F1">
        <w:rPr>
          <w:shd w:val="clear" w:color="auto" w:fill="FFFFFF"/>
        </w:rPr>
        <w:t>.”</w:t>
      </w:r>
      <w:bookmarkEnd w:id="545"/>
      <w:r w:rsidRPr="007C68F1">
        <w:rPr>
          <w:shd w:val="clear" w:color="auto" w:fill="FFFFFF"/>
        </w:rPr>
        <w:t xml:space="preserve"> </w:t>
      </w:r>
      <w:r w:rsidR="00217091" w:rsidRPr="007C68F1">
        <w:rPr>
          <w:shd w:val="clear" w:color="auto" w:fill="FFFFFF"/>
        </w:rPr>
        <w:t xml:space="preserve"> </w:t>
      </w:r>
      <w:r w:rsidRPr="007C68F1">
        <w:rPr>
          <w:bdr w:val="none" w:sz="0" w:space="0" w:color="auto" w:frame="1"/>
        </w:rPr>
        <w:t>(</w:t>
      </w:r>
      <w:bookmarkStart w:id="546" w:name="dabmci_b541919315ec4d34a14c7520e5e29e1a"/>
      <w:r w:rsidRPr="007C68F1">
        <w:rPr>
          <w:i/>
          <w:iCs/>
          <w:bdr w:val="none" w:sz="0" w:space="0" w:color="auto" w:frame="1"/>
        </w:rPr>
        <w:t>Ibid.</w:t>
      </w:r>
      <w:bookmarkEnd w:id="546"/>
      <w:r w:rsidRPr="007C68F1">
        <w:rPr>
          <w:bdr w:val="none" w:sz="0" w:space="0" w:color="auto" w:frame="1"/>
        </w:rPr>
        <w:t>)</w:t>
      </w:r>
      <w:r w:rsidR="003117AF" w:rsidRPr="007C68F1">
        <w:rPr>
          <w:bdr w:val="none" w:sz="0" w:space="0" w:color="auto" w:frame="1"/>
        </w:rPr>
        <w:t xml:space="preserve">  </w:t>
      </w:r>
    </w:p>
    <w:p w14:paraId="18CB3CEB" w14:textId="77777777" w:rsidR="00B01B4D" w:rsidRPr="007C68F1" w:rsidRDefault="00D16B2E" w:rsidP="007D1009">
      <w:pPr>
        <w:spacing w:line="480" w:lineRule="auto"/>
        <w:ind w:firstLine="720"/>
      </w:pPr>
      <w:r w:rsidRPr="007C68F1">
        <w:rPr>
          <w:bdr w:val="none" w:sz="0" w:space="0" w:color="auto" w:frame="1"/>
        </w:rPr>
        <w:t xml:space="preserve">The </w:t>
      </w:r>
      <w:r w:rsidRPr="007C68F1">
        <w:rPr>
          <w:i/>
          <w:iCs/>
          <w:bdr w:val="none" w:sz="0" w:space="0" w:color="auto" w:frame="1"/>
        </w:rPr>
        <w:t>Morgan</w:t>
      </w:r>
      <w:r w:rsidRPr="007C68F1">
        <w:rPr>
          <w:bdr w:val="none" w:sz="0" w:space="0" w:color="auto" w:frame="1"/>
        </w:rPr>
        <w:t xml:space="preserve"> court </w:t>
      </w:r>
      <w:r w:rsidR="004B7F55" w:rsidRPr="007C68F1">
        <w:rPr>
          <w:bdr w:val="none" w:sz="0" w:space="0" w:color="auto" w:frame="1"/>
        </w:rPr>
        <w:t>addressed</w:t>
      </w:r>
      <w:r w:rsidRPr="007C68F1">
        <w:rPr>
          <w:bdr w:val="none" w:sz="0" w:space="0" w:color="auto" w:frame="1"/>
        </w:rPr>
        <w:t xml:space="preserve"> </w:t>
      </w:r>
      <w:r w:rsidR="007167CF" w:rsidRPr="007C68F1">
        <w:rPr>
          <w:bdr w:val="none" w:sz="0" w:space="0" w:color="auto" w:frame="1"/>
        </w:rPr>
        <w:t>a DLSE opinion letter interpreting section 226</w:t>
      </w:r>
      <w:r w:rsidR="007418A7" w:rsidRPr="007C68F1">
        <w:rPr>
          <w:bdr w:val="none" w:sz="0" w:space="0" w:color="auto" w:frame="1"/>
        </w:rPr>
        <w:t>.</w:t>
      </w:r>
      <w:r>
        <w:rPr>
          <w:rStyle w:val="FootnoteReference"/>
          <w:bdr w:val="none" w:sz="0" w:space="0" w:color="auto" w:frame="1"/>
          <w:shd w:val="clear" w:color="auto" w:fill="FFFFFF"/>
        </w:rPr>
        <w:footnoteReference w:id="10"/>
      </w:r>
      <w:r w:rsidR="007418A7" w:rsidRPr="007C68F1">
        <w:rPr>
          <w:bdr w:val="none" w:sz="0" w:space="0" w:color="auto" w:frame="1"/>
        </w:rPr>
        <w:t xml:space="preserve">  (</w:t>
      </w:r>
      <w:bookmarkStart w:id="551" w:name="dabmci_b63c16c776f142a597eff119d30ec64f"/>
      <w:r w:rsidR="007418A7" w:rsidRPr="007C68F1">
        <w:rPr>
          <w:i/>
          <w:iCs/>
          <w:bdr w:val="none" w:sz="0" w:space="0" w:color="auto" w:frame="1"/>
        </w:rPr>
        <w:t>Morgan</w:t>
      </w:r>
      <w:r w:rsidR="007418A7" w:rsidRPr="007C68F1">
        <w:rPr>
          <w:bdr w:val="none" w:sz="0" w:space="0" w:color="auto" w:frame="1"/>
        </w:rPr>
        <w:t xml:space="preserve">, </w:t>
      </w:r>
      <w:r w:rsidR="007418A7" w:rsidRPr="007C68F1">
        <w:rPr>
          <w:i/>
          <w:iCs/>
          <w:bdr w:val="none" w:sz="0" w:space="0" w:color="auto" w:frame="1"/>
        </w:rPr>
        <w:t>supra</w:t>
      </w:r>
      <w:r w:rsidR="007418A7" w:rsidRPr="007C68F1">
        <w:rPr>
          <w:bdr w:val="none" w:sz="0" w:space="0" w:color="auto" w:frame="1"/>
        </w:rPr>
        <w:t xml:space="preserve">, 186 Cal.App.4th at </w:t>
      </w:r>
      <w:r w:rsidR="00A2585A" w:rsidRPr="007C68F1">
        <w:rPr>
          <w:bdr w:val="none" w:sz="0" w:space="0" w:color="auto" w:frame="1"/>
        </w:rPr>
        <w:t>p</w:t>
      </w:r>
      <w:r w:rsidR="007418A7" w:rsidRPr="007C68F1">
        <w:rPr>
          <w:bdr w:val="none" w:sz="0" w:space="0" w:color="auto" w:frame="1"/>
        </w:rPr>
        <w:t xml:space="preserve">p. </w:t>
      </w:r>
      <w:r w:rsidR="00A2585A" w:rsidRPr="007C68F1">
        <w:rPr>
          <w:bdr w:val="none" w:sz="0" w:space="0" w:color="auto" w:frame="1"/>
        </w:rPr>
        <w:t>1144-</w:t>
      </w:r>
      <w:r w:rsidR="007418A7" w:rsidRPr="007C68F1">
        <w:t>1145</w:t>
      </w:r>
      <w:bookmarkEnd w:id="551"/>
      <w:r w:rsidR="007453CF" w:rsidRPr="007C68F1">
        <w:t xml:space="preserve"> [discussing </w:t>
      </w:r>
      <w:bookmarkStart w:id="552" w:name="dabmq_253"/>
      <w:r w:rsidR="0007507C" w:rsidRPr="007C68F1">
        <w:t>“</w:t>
      </w:r>
      <w:r w:rsidR="00A2585A" w:rsidRPr="007C68F1">
        <w:t>DLSE Opn. Letter No. 2002.05.17 (May 17, 2002)</w:t>
      </w:r>
      <w:r w:rsidR="007453CF" w:rsidRPr="007C68F1">
        <w:t>]</w:t>
      </w:r>
      <w:r w:rsidR="0007507C" w:rsidRPr="007C68F1">
        <w:t>”</w:t>
      </w:r>
      <w:bookmarkEnd w:id="552"/>
      <w:r w:rsidR="007418A7" w:rsidRPr="007C68F1">
        <w:t xml:space="preserve">.)  </w:t>
      </w:r>
      <w:r w:rsidR="00A2585A" w:rsidRPr="007C68F1">
        <w:t xml:space="preserve">The </w:t>
      </w:r>
      <w:r w:rsidR="009A2A65" w:rsidRPr="007C68F1">
        <w:t>DLSE</w:t>
      </w:r>
      <w:r w:rsidR="00A2585A" w:rsidRPr="007C68F1">
        <w:t xml:space="preserve"> was responding to a query from an employer that listed 86.67</w:t>
      </w:r>
      <w:r w:rsidR="007D577C" w:rsidRPr="007C68F1">
        <w:t xml:space="preserve"> hours worked</w:t>
      </w:r>
      <w:r w:rsidR="00A2585A" w:rsidRPr="007C68F1">
        <w:t xml:space="preserve">, </w:t>
      </w:r>
      <w:r w:rsidR="007D577C" w:rsidRPr="007C68F1">
        <w:t xml:space="preserve">which the employer calculated by </w:t>
      </w:r>
      <w:bookmarkStart w:id="553" w:name="dabmq_254"/>
      <w:r w:rsidR="007D577C" w:rsidRPr="007C68F1">
        <w:t>“dividing the total number of non-overtime hours in a year (2,080) by the number of pay periods in a year (24).”</w:t>
      </w:r>
      <w:bookmarkEnd w:id="553"/>
      <w:r w:rsidR="007D577C" w:rsidRPr="007C68F1">
        <w:t xml:space="preserve">  </w:t>
      </w:r>
      <w:r w:rsidR="00A2585A" w:rsidRPr="007C68F1">
        <w:t>(DLSE Opn. Letter No. 2002.05.17</w:t>
      </w:r>
      <w:r w:rsidR="0007507C" w:rsidRPr="007C68F1">
        <w:t xml:space="preserve"> (May 17, 2002)</w:t>
      </w:r>
      <w:r w:rsidR="00A2585A" w:rsidRPr="007C68F1">
        <w:t xml:space="preserve">, at p. </w:t>
      </w:r>
      <w:r w:rsidR="00C63716" w:rsidRPr="007C68F1">
        <w:t>1</w:t>
      </w:r>
      <w:r w:rsidR="00A2585A" w:rsidRPr="007C68F1">
        <w:t xml:space="preserve">.)  </w:t>
      </w:r>
      <w:r w:rsidR="00C63716" w:rsidRPr="007C68F1">
        <w:t xml:space="preserve">The employer acknowledged that its </w:t>
      </w:r>
      <w:bookmarkStart w:id="554" w:name="dabmq_255"/>
      <w:r w:rsidR="00C63716" w:rsidRPr="007C68F1">
        <w:t>“pay periods never consist[ed] of precisely 86.67 hours,”</w:t>
      </w:r>
      <w:bookmarkEnd w:id="554"/>
      <w:r w:rsidR="00C63716" w:rsidRPr="007C68F1">
        <w:t xml:space="preserve"> because the number of workdays and </w:t>
      </w:r>
      <w:r w:rsidR="00EF3F79" w:rsidRPr="007C68F1">
        <w:t>non-overtime work hours varied in each pay period.</w:t>
      </w:r>
      <w:r w:rsidR="00C63716" w:rsidRPr="007C68F1">
        <w:t xml:space="preserve">  (</w:t>
      </w:r>
      <w:r w:rsidR="00C63716" w:rsidRPr="007C68F1">
        <w:rPr>
          <w:i/>
        </w:rPr>
        <w:t>Id.</w:t>
      </w:r>
      <w:r w:rsidR="00C63716" w:rsidRPr="007C68F1">
        <w:rPr>
          <w:iCs/>
        </w:rPr>
        <w:t xml:space="preserve"> at p. 2.)  </w:t>
      </w:r>
      <w:r w:rsidR="007418A7" w:rsidRPr="007C68F1">
        <w:rPr>
          <w:iCs/>
        </w:rPr>
        <w:t>T</w:t>
      </w:r>
      <w:r w:rsidR="007167CF" w:rsidRPr="007C68F1">
        <w:rPr>
          <w:iCs/>
          <w:bdr w:val="none" w:sz="0" w:space="0" w:color="auto" w:frame="1"/>
        </w:rPr>
        <w:t>he</w:t>
      </w:r>
      <w:r w:rsidR="007167CF" w:rsidRPr="007C68F1">
        <w:rPr>
          <w:bdr w:val="none" w:sz="0" w:space="0" w:color="auto" w:frame="1"/>
        </w:rPr>
        <w:t xml:space="preserve"> </w:t>
      </w:r>
      <w:r w:rsidR="007C1910" w:rsidRPr="007C68F1">
        <w:rPr>
          <w:bdr w:val="none" w:sz="0" w:space="0" w:color="auto" w:frame="1"/>
        </w:rPr>
        <w:t>agency</w:t>
      </w:r>
      <w:r w:rsidR="007453CF" w:rsidRPr="007C68F1">
        <w:rPr>
          <w:bdr w:val="none" w:sz="0" w:space="0" w:color="auto" w:frame="1"/>
        </w:rPr>
        <w:t xml:space="preserve"> concluded that the employer’s practice violated section 226</w:t>
      </w:r>
      <w:r w:rsidR="009A2A65" w:rsidRPr="007C68F1">
        <w:rPr>
          <w:bdr w:val="none" w:sz="0" w:space="0" w:color="auto" w:frame="1"/>
        </w:rPr>
        <w:t>:</w:t>
      </w:r>
      <w:r w:rsidR="007453CF" w:rsidRPr="007C68F1">
        <w:rPr>
          <w:bdr w:val="none" w:sz="0" w:space="0" w:color="auto" w:frame="1"/>
        </w:rPr>
        <w:t xml:space="preserve">  </w:t>
      </w:r>
      <w:bookmarkStart w:id="555" w:name="dabmq_256"/>
      <w:r w:rsidR="007C1910" w:rsidRPr="007C68F1">
        <w:rPr>
          <w:bdr w:val="none" w:sz="0" w:space="0" w:color="auto" w:frame="1"/>
          <w:shd w:val="clear" w:color="auto" w:fill="FFFFFF"/>
        </w:rPr>
        <w:t>“</w:t>
      </w:r>
      <w:r w:rsidR="007453CF" w:rsidRPr="007C68F1">
        <w:rPr>
          <w:bdr w:val="none" w:sz="0" w:space="0" w:color="auto" w:frame="1"/>
          <w:shd w:val="clear" w:color="auto" w:fill="FFFFFF"/>
        </w:rPr>
        <w:t>[T]</w:t>
      </w:r>
      <w:r w:rsidR="007C1910" w:rsidRPr="007C68F1">
        <w:rPr>
          <w:bdr w:val="none" w:sz="0" w:space="0" w:color="auto" w:frame="1"/>
          <w:shd w:val="clear" w:color="auto" w:fill="FFFFFF"/>
        </w:rPr>
        <w:t>he obligation to list the total hours worked during the pay period can only be satisfied by listing the precise, actual number of hours worked.</w:t>
      </w:r>
      <w:r w:rsidR="00243E67">
        <w:rPr>
          <w:bdr w:val="none" w:sz="0" w:space="0" w:color="auto" w:frame="1"/>
          <w:shd w:val="clear" w:color="auto" w:fill="FFFFFF"/>
        </w:rPr>
        <w:t xml:space="preserve"> </w:t>
      </w:r>
      <w:r w:rsidR="007C1910" w:rsidRPr="007C68F1">
        <w:rPr>
          <w:bdr w:val="none" w:sz="0" w:space="0" w:color="auto" w:frame="1"/>
          <w:shd w:val="clear" w:color="auto" w:fill="FFFFFF"/>
        </w:rPr>
        <w:t> . . .</w:t>
      </w:r>
      <w:r w:rsidRPr="007C68F1">
        <w:rPr>
          <w:shd w:val="clear" w:color="auto" w:fill="FFFFFF"/>
        </w:rPr>
        <w:t xml:space="preserve"> </w:t>
      </w:r>
      <w:r w:rsidR="007C1910" w:rsidRPr="007C68F1">
        <w:rPr>
          <w:shd w:val="clear" w:color="auto" w:fill="FFFFFF"/>
        </w:rPr>
        <w:t>The reason for this requirement is simple enough—</w:t>
      </w:r>
      <w:r w:rsidR="007C1910" w:rsidRPr="007C68F1">
        <w:rPr>
          <w:bdr w:val="none" w:sz="0" w:space="0" w:color="auto" w:frame="1"/>
          <w:shd w:val="clear" w:color="auto" w:fill="FFFFFF"/>
        </w:rPr>
        <w:t>it is designed to provide the employee with a record of hours worked, and to assist the employee in determining whether he [or she] has been compensated properly for all of his or her hours worke</w:t>
      </w:r>
      <w:r w:rsidR="007C1910" w:rsidRPr="007C68F1">
        <w:rPr>
          <w:shd w:val="clear" w:color="auto" w:fill="FFFFFF"/>
        </w:rPr>
        <w:t>d.</w:t>
      </w:r>
      <w:r w:rsidR="0007507C" w:rsidRPr="007C68F1">
        <w:rPr>
          <w:shd w:val="clear" w:color="auto" w:fill="FFFFFF"/>
        </w:rPr>
        <w:t xml:space="preserve"> </w:t>
      </w:r>
      <w:r w:rsidR="007C1910" w:rsidRPr="007C68F1">
        <w:rPr>
          <w:bdr w:val="none" w:sz="0" w:space="0" w:color="auto" w:frame="1"/>
          <w:shd w:val="clear" w:color="auto" w:fill="FFFFFF"/>
        </w:rPr>
        <w:t xml:space="preserve"> The failure to list the precise number of hours worked during the pay period conflicts with the express language of the statute and stands in the way of the statutory purpose.”</w:t>
      </w:r>
      <w:bookmarkEnd w:id="555"/>
      <w:r w:rsidR="007C1910" w:rsidRPr="007C68F1">
        <w:rPr>
          <w:bdr w:val="none" w:sz="0" w:space="0" w:color="auto" w:frame="1"/>
          <w:shd w:val="clear" w:color="auto" w:fill="FFFFFF"/>
        </w:rPr>
        <w:t xml:space="preserve">  (</w:t>
      </w:r>
      <w:r w:rsidR="0007507C" w:rsidRPr="007C68F1">
        <w:rPr>
          <w:bdr w:val="none" w:sz="0" w:space="0" w:color="auto" w:frame="1"/>
          <w:shd w:val="clear" w:color="auto" w:fill="FFFFFF"/>
        </w:rPr>
        <w:t xml:space="preserve">DLSE Opn. Letter, </w:t>
      </w:r>
      <w:r w:rsidR="0007507C" w:rsidRPr="007C68F1">
        <w:rPr>
          <w:i/>
          <w:iCs/>
          <w:bdr w:val="none" w:sz="0" w:space="0" w:color="auto" w:frame="1"/>
          <w:shd w:val="clear" w:color="auto" w:fill="FFFFFF"/>
        </w:rPr>
        <w:t>supra</w:t>
      </w:r>
      <w:r w:rsidR="0007507C" w:rsidRPr="007C68F1">
        <w:rPr>
          <w:bdr w:val="none" w:sz="0" w:space="0" w:color="auto" w:frame="1"/>
          <w:shd w:val="clear" w:color="auto" w:fill="FFFFFF"/>
        </w:rPr>
        <w:t>,</w:t>
      </w:r>
      <w:r w:rsidR="009A2A65" w:rsidRPr="007C68F1">
        <w:t xml:space="preserve"> at p. 3.</w:t>
      </w:r>
      <w:r w:rsidR="007C1910" w:rsidRPr="007C68F1">
        <w:t>)</w:t>
      </w:r>
      <w:r w:rsidR="00EF3432" w:rsidRPr="007C68F1">
        <w:t xml:space="preserve">  </w:t>
      </w:r>
      <w:r w:rsidRPr="007C68F1">
        <w:t xml:space="preserve">The DLSE </w:t>
      </w:r>
      <w:r w:rsidR="00C63716" w:rsidRPr="007C68F1">
        <w:t>opined that the employer could</w:t>
      </w:r>
      <w:r w:rsidRPr="007C68F1">
        <w:t xml:space="preserve"> satisfy its obligation by attaching </w:t>
      </w:r>
      <w:r w:rsidR="005772AC" w:rsidRPr="007C68F1">
        <w:t xml:space="preserve">time records to the </w:t>
      </w:r>
      <w:r w:rsidR="005772AC" w:rsidRPr="007C68F1">
        <w:lastRenderedPageBreak/>
        <w:t xml:space="preserve">employee’s wage statement, but only if the time records “separately listed” the total hours worked and did not leave it </w:t>
      </w:r>
      <w:bookmarkStart w:id="556" w:name="dabmq_257"/>
      <w:r w:rsidR="005772AC" w:rsidRPr="007C68F1">
        <w:t>“to the employee to add up the daily hours shown on the time cards or other records.”</w:t>
      </w:r>
      <w:bookmarkEnd w:id="556"/>
      <w:r w:rsidR="005772AC" w:rsidRPr="007C68F1">
        <w:t xml:space="preserve">  (</w:t>
      </w:r>
      <w:r w:rsidR="009A2A65" w:rsidRPr="007C68F1">
        <w:rPr>
          <w:i/>
          <w:iCs/>
        </w:rPr>
        <w:t>Id</w:t>
      </w:r>
      <w:r w:rsidR="009A2A65" w:rsidRPr="007C68F1">
        <w:t>.</w:t>
      </w:r>
      <w:r w:rsidR="005772AC" w:rsidRPr="007C68F1">
        <w:t xml:space="preserve"> at p. 6.)  </w:t>
      </w:r>
    </w:p>
    <w:p w14:paraId="47ECB68C" w14:textId="77777777" w:rsidR="004B7F55" w:rsidRPr="007C68F1" w:rsidRDefault="00D16B2E" w:rsidP="007D1009">
      <w:pPr>
        <w:spacing w:line="480" w:lineRule="auto"/>
        <w:ind w:firstLine="720"/>
      </w:pPr>
      <w:r w:rsidRPr="007C68F1">
        <w:rPr>
          <w:i/>
          <w:iCs/>
        </w:rPr>
        <w:t>Morgan</w:t>
      </w:r>
      <w:r w:rsidRPr="007C68F1">
        <w:t xml:space="preserve"> reasoned that </w:t>
      </w:r>
      <w:r w:rsidR="00914BC6" w:rsidRPr="007C68F1">
        <w:t xml:space="preserve">the wage statements separately listing regular hours and overtime hours </w:t>
      </w:r>
      <w:r w:rsidR="00DA3A93" w:rsidRPr="007C68F1">
        <w:t>were consistent with the DLSE’s opinion letter.  (</w:t>
      </w:r>
      <w:bookmarkStart w:id="557" w:name="dabmci_8358133e4bf742b2a590c73069c02f1b"/>
      <w:r w:rsidR="00DA3A93" w:rsidRPr="007C68F1">
        <w:rPr>
          <w:i/>
        </w:rPr>
        <w:t>Morgan</w:t>
      </w:r>
      <w:r w:rsidR="00DA3A93" w:rsidRPr="007C68F1">
        <w:rPr>
          <w:iCs/>
        </w:rPr>
        <w:t xml:space="preserve">, </w:t>
      </w:r>
      <w:r w:rsidR="00DA3A93" w:rsidRPr="007C68F1">
        <w:rPr>
          <w:i/>
        </w:rPr>
        <w:t>supra</w:t>
      </w:r>
      <w:r w:rsidR="00DA3A93" w:rsidRPr="007C68F1">
        <w:rPr>
          <w:iCs/>
        </w:rPr>
        <w:t>, 186 Cal.App.4th at p. 1147</w:t>
      </w:r>
      <w:bookmarkEnd w:id="557"/>
      <w:r w:rsidR="00DA3A93" w:rsidRPr="007C68F1">
        <w:rPr>
          <w:iCs/>
        </w:rPr>
        <w:t xml:space="preserve">.)  </w:t>
      </w:r>
      <w:r w:rsidR="00E64283" w:rsidRPr="007C68F1">
        <w:t>The statements</w:t>
      </w:r>
      <w:r w:rsidR="00DA3A93" w:rsidRPr="007C68F1">
        <w:t xml:space="preserve"> </w:t>
      </w:r>
      <w:r w:rsidR="00914BC6" w:rsidRPr="007C68F1">
        <w:t xml:space="preserve">satisfied the obligation to list the </w:t>
      </w:r>
      <w:bookmarkStart w:id="558" w:name="dabmq_258"/>
      <w:r w:rsidR="00914BC6" w:rsidRPr="007C68F1">
        <w:t>“</w:t>
      </w:r>
      <w:r w:rsidR="00DA3A93" w:rsidRPr="007C68F1">
        <w:t>‘</w:t>
      </w:r>
      <w:r w:rsidR="00914BC6" w:rsidRPr="007C68F1">
        <w:t>precise, actual number of hours worked</w:t>
      </w:r>
      <w:r w:rsidR="00DA3A93" w:rsidRPr="007C68F1">
        <w:t>,’</w:t>
      </w:r>
      <w:r w:rsidR="00914BC6" w:rsidRPr="007C68F1">
        <w:t>”</w:t>
      </w:r>
      <w:bookmarkEnd w:id="558"/>
      <w:r w:rsidR="00DA3A93" w:rsidRPr="007C68F1">
        <w:t xml:space="preserve"> and they did not leave it to the employees to add up the daily number of hours shown on time records.  (</w:t>
      </w:r>
      <w:bookmarkStart w:id="559" w:name="dabmci_e8c5b054a41841a19c87731974250ba7"/>
      <w:r w:rsidR="00DA3A93" w:rsidRPr="007C68F1">
        <w:rPr>
          <w:i/>
          <w:iCs/>
        </w:rPr>
        <w:t>Ibid.</w:t>
      </w:r>
      <w:bookmarkEnd w:id="559"/>
      <w:r w:rsidR="00DA3A93" w:rsidRPr="007C68F1">
        <w:t>)  Moreover, the wage statements were consistent with an exemplar wage statement posted on the DLSE’s website.  (</w:t>
      </w:r>
      <w:bookmarkStart w:id="560" w:name="dabmci_54b2065ce2394d918f1bd998f92c357b"/>
      <w:r w:rsidR="00DA3A93" w:rsidRPr="007C68F1">
        <w:rPr>
          <w:i/>
          <w:iCs/>
        </w:rPr>
        <w:t>Ibid.</w:t>
      </w:r>
      <w:bookmarkEnd w:id="560"/>
      <w:r w:rsidR="00DA3A93" w:rsidRPr="007C68F1">
        <w:t xml:space="preserve">)  The exemplar statement separately listed the </w:t>
      </w:r>
      <w:r w:rsidR="002D1E4B" w:rsidRPr="007C68F1">
        <w:t xml:space="preserve">total </w:t>
      </w:r>
      <w:r w:rsidR="00DA3A93" w:rsidRPr="007C68F1">
        <w:t xml:space="preserve">regular hours worked and the </w:t>
      </w:r>
      <w:r w:rsidR="002D1E4B" w:rsidRPr="007C68F1">
        <w:t xml:space="preserve">total </w:t>
      </w:r>
      <w:r w:rsidR="00DA3A93" w:rsidRPr="007C68F1">
        <w:t>overtime hours worked</w:t>
      </w:r>
      <w:r w:rsidR="002D1E4B" w:rsidRPr="007C68F1">
        <w:t xml:space="preserve"> during the pay period, but it did not include a line </w:t>
      </w:r>
      <w:r w:rsidR="00E64283" w:rsidRPr="007C68F1">
        <w:t xml:space="preserve">item </w:t>
      </w:r>
      <w:r w:rsidR="002D1E4B" w:rsidRPr="007C68F1">
        <w:t>showing the sum of those hours.</w:t>
      </w:r>
      <w:r>
        <w:rPr>
          <w:rStyle w:val="FootnoteReference"/>
        </w:rPr>
        <w:footnoteReference w:id="11"/>
      </w:r>
      <w:r w:rsidR="002D1E4B" w:rsidRPr="007C68F1">
        <w:t xml:space="preserve">  (</w:t>
      </w:r>
      <w:bookmarkStart w:id="564" w:name="dabmci_4d2aff23db114f3fba93dbae8ebaa30d"/>
      <w:r w:rsidR="002D1E4B" w:rsidRPr="007C68F1">
        <w:rPr>
          <w:i/>
          <w:iCs/>
        </w:rPr>
        <w:t>Ibid</w:t>
      </w:r>
      <w:bookmarkEnd w:id="564"/>
      <w:r w:rsidR="002D1E4B" w:rsidRPr="007C68F1">
        <w:rPr>
          <w:i/>
          <w:iCs/>
        </w:rPr>
        <w:t>.</w:t>
      </w:r>
      <w:r w:rsidR="002D1E4B" w:rsidRPr="007C68F1">
        <w:t>)</w:t>
      </w:r>
      <w:r w:rsidR="00666A18" w:rsidRPr="007C68F1">
        <w:t xml:space="preserve">  </w:t>
      </w:r>
    </w:p>
    <w:p w14:paraId="5F23F505" w14:textId="77777777" w:rsidR="00D172BF" w:rsidRPr="007C68F1" w:rsidRDefault="00D16B2E" w:rsidP="007D1009">
      <w:pPr>
        <w:spacing w:line="480" w:lineRule="auto"/>
        <w:ind w:firstLine="720"/>
      </w:pPr>
      <w:r w:rsidRPr="007C68F1">
        <w:t>In this case</w:t>
      </w:r>
      <w:r w:rsidR="00B870DE" w:rsidRPr="007C68F1">
        <w:t xml:space="preserve">, </w:t>
      </w:r>
      <w:r w:rsidR="00BE2603" w:rsidRPr="007C68F1">
        <w:t xml:space="preserve">the court properly determined that </w:t>
      </w:r>
      <w:r w:rsidR="004B4FEE" w:rsidRPr="007C68F1">
        <w:t>the medical center had carried its burden with respect to the</w:t>
      </w:r>
      <w:r w:rsidR="00BE2603" w:rsidRPr="007C68F1">
        <w:t xml:space="preserve"> stand</w:t>
      </w:r>
      <w:r w:rsidR="004A482E" w:rsidRPr="007C68F1">
        <w:t>-</w:t>
      </w:r>
      <w:r w:rsidR="00BE2603" w:rsidRPr="007C68F1">
        <w:t>alone wage statement claim</w:t>
      </w:r>
      <w:r w:rsidR="004B4FEE" w:rsidRPr="007C68F1">
        <w:t xml:space="preserve"> of Woodworth and the aggrieved employees</w:t>
      </w:r>
      <w:r w:rsidR="00BE2603" w:rsidRPr="007C68F1">
        <w:t xml:space="preserve">.  </w:t>
      </w:r>
      <w:r w:rsidR="003B5013" w:rsidRPr="007C68F1">
        <w:t>T</w:t>
      </w:r>
      <w:r w:rsidRPr="007C68F1">
        <w:t xml:space="preserve">he medical </w:t>
      </w:r>
      <w:r w:rsidR="0019178D" w:rsidRPr="007C68F1">
        <w:t xml:space="preserve">center </w:t>
      </w:r>
      <w:r w:rsidR="004A482E" w:rsidRPr="007C68F1">
        <w:t xml:space="preserve">demonstrated that its wage statements complied with </w:t>
      </w:r>
      <w:bookmarkStart w:id="565" w:name="dabmci_432f147f02c144e68db45eca450dfd69"/>
      <w:r w:rsidR="004A482E" w:rsidRPr="007C68F1">
        <w:t>section 226</w:t>
      </w:r>
      <w:bookmarkEnd w:id="565"/>
      <w:r w:rsidR="004A482E" w:rsidRPr="007C68F1">
        <w:t xml:space="preserve"> by </w:t>
      </w:r>
      <w:r w:rsidR="008938D9" w:rsidRPr="007C68F1">
        <w:t>reporting</w:t>
      </w:r>
      <w:r w:rsidR="004A482E" w:rsidRPr="007C68F1">
        <w:t xml:space="preserve"> the total number of hours worked by an employee.  It offered evidence of</w:t>
      </w:r>
      <w:r w:rsidRPr="007C68F1">
        <w:t xml:space="preserve"> Woodworth’s wage statements</w:t>
      </w:r>
      <w:r w:rsidR="0019178D" w:rsidRPr="007C68F1">
        <w:t xml:space="preserve">, which </w:t>
      </w:r>
      <w:r w:rsidR="001C60E2" w:rsidRPr="007C68F1">
        <w:t xml:space="preserve">precisely </w:t>
      </w:r>
      <w:r w:rsidR="0019178D" w:rsidRPr="007C68F1">
        <w:t xml:space="preserve">listed her regular </w:t>
      </w:r>
      <w:r w:rsidR="00227EC2" w:rsidRPr="007C68F1">
        <w:t xml:space="preserve">pay </w:t>
      </w:r>
      <w:r w:rsidR="0019178D" w:rsidRPr="007C68F1">
        <w:t xml:space="preserve">hours and </w:t>
      </w:r>
      <w:r w:rsidR="00227EC2" w:rsidRPr="007C68F1">
        <w:t>double pay</w:t>
      </w:r>
      <w:r w:rsidR="0019178D" w:rsidRPr="007C68F1">
        <w:t xml:space="preserve"> hours for the pay period.</w:t>
      </w:r>
      <w:r w:rsidR="001F4043" w:rsidRPr="007C68F1">
        <w:t xml:space="preserve">  </w:t>
      </w:r>
      <w:r w:rsidR="001C60E2" w:rsidRPr="007C68F1">
        <w:t>Woodworth could derive</w:t>
      </w:r>
      <w:r w:rsidR="001F4043" w:rsidRPr="007C68F1">
        <w:t xml:space="preserve"> </w:t>
      </w:r>
      <w:r w:rsidR="001F4043" w:rsidRPr="007C68F1">
        <w:lastRenderedPageBreak/>
        <w:t>her total hours worked</w:t>
      </w:r>
      <w:r w:rsidR="00285F9B" w:rsidRPr="007C68F1">
        <w:t xml:space="preserve"> by adding those entrie</w:t>
      </w:r>
      <w:r w:rsidR="001C60E2" w:rsidRPr="007C68F1">
        <w:t>s.</w:t>
      </w:r>
      <w:r w:rsidR="00AC1485" w:rsidRPr="007C68F1">
        <w:t xml:space="preserve"> </w:t>
      </w:r>
      <w:r w:rsidR="00AC1485" w:rsidRPr="007C68F1">
        <w:rPr>
          <w:bdr w:val="none" w:sz="0" w:space="0" w:color="auto" w:frame="1"/>
          <w:shd w:val="clear" w:color="auto" w:fill="FFFFFF"/>
        </w:rPr>
        <w:t xml:space="preserve"> </w:t>
      </w:r>
      <w:r w:rsidR="00BD2ED0" w:rsidRPr="007C68F1">
        <w:rPr>
          <w:bdr w:val="none" w:sz="0" w:space="0" w:color="auto" w:frame="1"/>
          <w:shd w:val="clear" w:color="auto" w:fill="FFFFFF"/>
        </w:rPr>
        <w:t>And listing those hours separately, along with the applicable rates of pay,</w:t>
      </w:r>
      <w:r w:rsidR="00682705" w:rsidRPr="007C68F1">
        <w:rPr>
          <w:bdr w:val="none" w:sz="0" w:space="0" w:color="auto" w:frame="1"/>
          <w:shd w:val="clear" w:color="auto" w:fill="FFFFFF"/>
        </w:rPr>
        <w:t xml:space="preserve"> </w:t>
      </w:r>
      <w:r w:rsidR="00BD2ED0" w:rsidRPr="007C68F1">
        <w:rPr>
          <w:bdr w:val="none" w:sz="0" w:space="0" w:color="auto" w:frame="1"/>
          <w:shd w:val="clear" w:color="auto" w:fill="FFFFFF"/>
        </w:rPr>
        <w:t>permitted</w:t>
      </w:r>
      <w:r w:rsidR="00682705" w:rsidRPr="007C68F1">
        <w:rPr>
          <w:bdr w:val="none" w:sz="0" w:space="0" w:color="auto" w:frame="1"/>
          <w:shd w:val="clear" w:color="auto" w:fill="FFFFFF"/>
        </w:rPr>
        <w:t xml:space="preserve"> her to determine whether she had been compensated properly for all of her hours worked.  (</w:t>
      </w:r>
      <w:bookmarkStart w:id="566" w:name="dabmci_68641c1b76174151bf83ba603cfc4115"/>
      <w:r w:rsidR="00682705" w:rsidRPr="007C68F1">
        <w:rPr>
          <w:i/>
          <w:iCs/>
          <w:bdr w:val="none" w:sz="0" w:space="0" w:color="auto" w:frame="1"/>
          <w:shd w:val="clear" w:color="auto" w:fill="FFFFFF"/>
        </w:rPr>
        <w:t>Morgan</w:t>
      </w:r>
      <w:r w:rsidR="00682705" w:rsidRPr="007C68F1">
        <w:rPr>
          <w:bdr w:val="none" w:sz="0" w:space="0" w:color="auto" w:frame="1"/>
          <w:shd w:val="clear" w:color="auto" w:fill="FFFFFF"/>
        </w:rPr>
        <w:t xml:space="preserve">, </w:t>
      </w:r>
      <w:r w:rsidR="00682705" w:rsidRPr="007C68F1">
        <w:rPr>
          <w:i/>
          <w:iCs/>
          <w:bdr w:val="none" w:sz="0" w:space="0" w:color="auto" w:frame="1"/>
          <w:shd w:val="clear" w:color="auto" w:fill="FFFFFF"/>
        </w:rPr>
        <w:t>supra</w:t>
      </w:r>
      <w:r w:rsidR="00682705" w:rsidRPr="007C68F1">
        <w:rPr>
          <w:bdr w:val="none" w:sz="0" w:space="0" w:color="auto" w:frame="1"/>
          <w:shd w:val="clear" w:color="auto" w:fill="FFFFFF"/>
        </w:rPr>
        <w:t>, 186 Cal.App.4th at p. 1145</w:t>
      </w:r>
      <w:bookmarkEnd w:id="566"/>
      <w:r w:rsidR="00682705" w:rsidRPr="007C68F1">
        <w:rPr>
          <w:bdr w:val="none" w:sz="0" w:space="0" w:color="auto" w:frame="1"/>
          <w:shd w:val="clear" w:color="auto" w:fill="FFFFFF"/>
        </w:rPr>
        <w:t xml:space="preserve">.)  </w:t>
      </w:r>
      <w:r w:rsidR="00C4017D" w:rsidRPr="007C68F1">
        <w:t>The medical center thus showed that, c</w:t>
      </w:r>
      <w:r w:rsidR="00285F9B" w:rsidRPr="007C68F1">
        <w:t xml:space="preserve">onsistent with </w:t>
      </w:r>
      <w:r w:rsidR="00285F9B" w:rsidRPr="007C68F1">
        <w:rPr>
          <w:i/>
          <w:iCs/>
        </w:rPr>
        <w:t>Morgan</w:t>
      </w:r>
      <w:r w:rsidR="00285F9B" w:rsidRPr="007C68F1">
        <w:t xml:space="preserve">, </w:t>
      </w:r>
      <w:r w:rsidR="00C4017D" w:rsidRPr="007C68F1">
        <w:t>it</w:t>
      </w:r>
      <w:r w:rsidR="001F4043" w:rsidRPr="007C68F1">
        <w:t xml:space="preserve"> provided </w:t>
      </w:r>
      <w:r w:rsidR="0091250B" w:rsidRPr="007C68F1">
        <w:t xml:space="preserve">accurate </w:t>
      </w:r>
      <w:r w:rsidR="001F4043" w:rsidRPr="007C68F1">
        <w:t xml:space="preserve">wage statements </w:t>
      </w:r>
      <w:bookmarkStart w:id="567" w:name="dabmq_259"/>
      <w:r w:rsidR="001F4043" w:rsidRPr="007C68F1">
        <w:t>“showing</w:t>
      </w:r>
      <w:r w:rsidR="00285F9B" w:rsidRPr="007C68F1">
        <w:t xml:space="preserve"> . . . total hours </w:t>
      </w:r>
      <w:r w:rsidR="001C60E2" w:rsidRPr="007C68F1">
        <w:t>worked.”</w:t>
      </w:r>
      <w:bookmarkEnd w:id="567"/>
      <w:r w:rsidR="001C60E2" w:rsidRPr="007C68F1">
        <w:t xml:space="preserve">  (</w:t>
      </w:r>
      <w:bookmarkStart w:id="568" w:name="dabmci_5b7d509eb19f4b89a2071a33c4877ed6"/>
      <w:r w:rsidR="001C60E2" w:rsidRPr="007C68F1">
        <w:t>§ 226, subd. (a)</w:t>
      </w:r>
      <w:bookmarkEnd w:id="568"/>
      <w:r w:rsidR="001C60E2" w:rsidRPr="007C68F1">
        <w:t>.)</w:t>
      </w:r>
      <w:r w:rsidRPr="007C68F1">
        <w:t xml:space="preserve">  </w:t>
      </w:r>
      <w:r w:rsidR="00E31D4F" w:rsidRPr="007C68F1">
        <w:t xml:space="preserve">That compliance with </w:t>
      </w:r>
      <w:bookmarkStart w:id="569" w:name="dabmci_65c17c150f7e43f9b4677577728ff953"/>
      <w:r w:rsidR="00E31D4F" w:rsidRPr="007C68F1">
        <w:t>subdivision (a) of section 226</w:t>
      </w:r>
      <w:bookmarkEnd w:id="569"/>
      <w:r w:rsidR="00E31D4F" w:rsidRPr="007C68F1">
        <w:t xml:space="preserve"> </w:t>
      </w:r>
      <w:r w:rsidR="00075DC8" w:rsidRPr="007C68F1">
        <w:t>defeats</w:t>
      </w:r>
      <w:r w:rsidR="00E31D4F" w:rsidRPr="007C68F1">
        <w:t xml:space="preserve"> her individual, </w:t>
      </w:r>
      <w:bookmarkStart w:id="570" w:name="dabmq_260"/>
      <w:r w:rsidR="00BA2191" w:rsidRPr="007C68F1">
        <w:t>“</w:t>
      </w:r>
      <w:r w:rsidR="00E31D4F" w:rsidRPr="007C68F1">
        <w:t>private cause of action</w:t>
      </w:r>
      <w:r w:rsidR="00BA2191" w:rsidRPr="007C68F1">
        <w:t>”</w:t>
      </w:r>
      <w:bookmarkEnd w:id="570"/>
      <w:r w:rsidR="00E31D4F" w:rsidRPr="007C68F1">
        <w:t xml:space="preserve"> as well as the PAGA claim. </w:t>
      </w:r>
      <w:r w:rsidR="00BA2191" w:rsidRPr="007C68F1">
        <w:t xml:space="preserve"> (</w:t>
      </w:r>
      <w:bookmarkStart w:id="571" w:name="dabmci_0faeecf40541474897d49c45a021aa63"/>
      <w:r w:rsidR="00BA2191" w:rsidRPr="007C68F1">
        <w:rPr>
          <w:i/>
          <w:iCs/>
        </w:rPr>
        <w:t>Lopez</w:t>
      </w:r>
      <w:r w:rsidR="00BA2191" w:rsidRPr="007C68F1">
        <w:t xml:space="preserve">, </w:t>
      </w:r>
      <w:r w:rsidR="00BA2191" w:rsidRPr="007C68F1">
        <w:rPr>
          <w:i/>
          <w:iCs/>
        </w:rPr>
        <w:t>supra</w:t>
      </w:r>
      <w:r w:rsidR="00BA2191" w:rsidRPr="007C68F1">
        <w:t>, 15 Cal.App.</w:t>
      </w:r>
      <w:r w:rsidR="009921C3" w:rsidRPr="007C68F1">
        <w:t>5th</w:t>
      </w:r>
      <w:r w:rsidR="00BA2191" w:rsidRPr="007C68F1">
        <w:t xml:space="preserve"> at p. 784</w:t>
      </w:r>
      <w:bookmarkEnd w:id="571"/>
      <w:r w:rsidR="00BA2191" w:rsidRPr="007C68F1">
        <w:t>.</w:t>
      </w:r>
      <w:r w:rsidR="009921C3" w:rsidRPr="007C68F1">
        <w:t>)</w:t>
      </w:r>
    </w:p>
    <w:p w14:paraId="017BAAB2" w14:textId="77777777" w:rsidR="004F0617" w:rsidRPr="007C68F1" w:rsidRDefault="00D16B2E" w:rsidP="007D1009">
      <w:pPr>
        <w:spacing w:line="480" w:lineRule="auto"/>
        <w:ind w:firstLine="720"/>
      </w:pPr>
      <w:r w:rsidRPr="007C68F1">
        <w:t>W</w:t>
      </w:r>
      <w:r w:rsidR="00D172BF" w:rsidRPr="007C68F1">
        <w:t xml:space="preserve">oodworth </w:t>
      </w:r>
      <w:r w:rsidRPr="007C68F1">
        <w:t xml:space="preserve">argues that the court erred because the wage statements </w:t>
      </w:r>
      <w:bookmarkStart w:id="572" w:name="dabmq_261"/>
      <w:r w:rsidRPr="007C68F1">
        <w:t>“failed to provide ‘total hours worked.’”</w:t>
      </w:r>
      <w:bookmarkEnd w:id="572"/>
      <w:r w:rsidRPr="007C68F1">
        <w:t xml:space="preserve">  To the extent that she </w:t>
      </w:r>
      <w:r w:rsidR="00F273FE" w:rsidRPr="007C68F1">
        <w:t xml:space="preserve">means there was no line </w:t>
      </w:r>
      <w:r w:rsidR="00466666" w:rsidRPr="007C68F1">
        <w:t>reporting</w:t>
      </w:r>
      <w:r w:rsidR="00F273FE" w:rsidRPr="007C68F1">
        <w:t xml:space="preserve"> the sum of </w:t>
      </w:r>
      <w:r w:rsidR="002077D4" w:rsidRPr="007C68F1">
        <w:t xml:space="preserve">regular and overtime </w:t>
      </w:r>
      <w:r w:rsidR="00F273FE" w:rsidRPr="007C68F1">
        <w:t xml:space="preserve">hours worked, </w:t>
      </w:r>
      <w:r w:rsidR="002077D4" w:rsidRPr="007C68F1">
        <w:t>that was not required</w:t>
      </w:r>
      <w:r w:rsidR="00B018F4" w:rsidRPr="007C68F1">
        <w:t xml:space="preserve"> under </w:t>
      </w:r>
      <w:r w:rsidR="00B018F4" w:rsidRPr="007C68F1">
        <w:rPr>
          <w:i/>
          <w:iCs/>
        </w:rPr>
        <w:t>Morgan</w:t>
      </w:r>
      <w:r w:rsidR="002077D4" w:rsidRPr="007C68F1">
        <w:t>.  (</w:t>
      </w:r>
      <w:bookmarkStart w:id="573" w:name="dabmci_9b69bf2fecd34547910399c19cd344c0"/>
      <w:r w:rsidR="002077D4" w:rsidRPr="007C68F1">
        <w:rPr>
          <w:i/>
          <w:iCs/>
        </w:rPr>
        <w:t>Morgan</w:t>
      </w:r>
      <w:r w:rsidR="002077D4" w:rsidRPr="007C68F1">
        <w:t xml:space="preserve">, </w:t>
      </w:r>
      <w:r w:rsidR="002077D4" w:rsidRPr="007C68F1">
        <w:rPr>
          <w:i/>
          <w:iCs/>
        </w:rPr>
        <w:t>supra</w:t>
      </w:r>
      <w:r w:rsidR="002077D4" w:rsidRPr="007C68F1">
        <w:t>, 186 Cal.App.4th at p. 1147</w:t>
      </w:r>
      <w:bookmarkEnd w:id="573"/>
      <w:r w:rsidR="002077D4" w:rsidRPr="007C68F1">
        <w:t>.)</w:t>
      </w:r>
      <w:r w:rsidR="00B018F4" w:rsidRPr="007C68F1">
        <w:t xml:space="preserve">  She also </w:t>
      </w:r>
      <w:r w:rsidR="00704B20" w:rsidRPr="007C68F1">
        <w:t xml:space="preserve">argues that the wage statements </w:t>
      </w:r>
      <w:bookmarkStart w:id="574" w:name="dabmq_262"/>
      <w:r w:rsidR="00704B20" w:rsidRPr="007C68F1">
        <w:t>“provided an inaccurate hours total.”</w:t>
      </w:r>
      <w:bookmarkEnd w:id="574"/>
      <w:r w:rsidR="00704B20" w:rsidRPr="007C68F1">
        <w:t xml:space="preserve">  </w:t>
      </w:r>
      <w:r w:rsidR="008A2938" w:rsidRPr="007C68F1">
        <w:t>Sh</w:t>
      </w:r>
      <w:r w:rsidR="009E445A" w:rsidRPr="007C68F1">
        <w:t xml:space="preserve">e presumably refers to the </w:t>
      </w:r>
      <w:r w:rsidR="004A482E" w:rsidRPr="007C68F1">
        <w:t xml:space="preserve">fact that the </w:t>
      </w:r>
      <w:r w:rsidR="009E445A" w:rsidRPr="007C68F1">
        <w:t>“TOTAL” on the wage statements</w:t>
      </w:r>
      <w:r w:rsidR="004A482E" w:rsidRPr="007C68F1">
        <w:t xml:space="preserve"> </w:t>
      </w:r>
      <w:r w:rsidR="009E445A" w:rsidRPr="007C68F1">
        <w:t>reflect</w:t>
      </w:r>
      <w:r w:rsidR="004A482E" w:rsidRPr="007C68F1">
        <w:t>ed</w:t>
      </w:r>
      <w:r w:rsidR="009E445A" w:rsidRPr="007C68F1">
        <w:t xml:space="preserve"> the sum of regular</w:t>
      </w:r>
      <w:r w:rsidR="00BD2ED0" w:rsidRPr="007C68F1">
        <w:t xml:space="preserve"> pay</w:t>
      </w:r>
      <w:r w:rsidR="009E445A" w:rsidRPr="007C68F1">
        <w:t xml:space="preserve"> hours</w:t>
      </w:r>
      <w:r w:rsidR="00227EC2" w:rsidRPr="007C68F1">
        <w:t xml:space="preserve">, </w:t>
      </w:r>
      <w:r w:rsidR="00BD2ED0" w:rsidRPr="007C68F1">
        <w:t>double pay</w:t>
      </w:r>
      <w:r w:rsidR="009E445A" w:rsidRPr="007C68F1">
        <w:t xml:space="preserve"> hours, and other earnings codes on the wage statements (like differential pay hours or paid leave hours).  </w:t>
      </w:r>
      <w:r w:rsidR="00BD2ED0" w:rsidRPr="007C68F1">
        <w:t>But o</w:t>
      </w:r>
      <w:r w:rsidR="00A824EA" w:rsidRPr="007C68F1">
        <w:t>n its face, that total does not purport to reflect only total hours worked</w:t>
      </w:r>
      <w:r w:rsidR="00532D8B" w:rsidRPr="007C68F1">
        <w:t>, as opposed to a total of the various types of hours listed on the statement.</w:t>
      </w:r>
      <w:r w:rsidR="008A2938" w:rsidRPr="007C68F1">
        <w:t xml:space="preserve">  The fact that the medical center </w:t>
      </w:r>
      <w:r w:rsidR="008F18DB" w:rsidRPr="007C68F1">
        <w:t>reported</w:t>
      </w:r>
      <w:r w:rsidR="008A2938" w:rsidRPr="007C68F1">
        <w:t xml:space="preserve"> that</w:t>
      </w:r>
      <w:r w:rsidR="004B6275" w:rsidRPr="007C68F1">
        <w:t xml:space="preserve"> latter</w:t>
      </w:r>
      <w:r w:rsidR="008A2938" w:rsidRPr="007C68F1">
        <w:t xml:space="preserve"> total does not mean that it failed to accurately report her total hours worked.  Woodworth does not dispute the accuracy of the entries for regular pay hours and double pay hours, the sum of which show</w:t>
      </w:r>
      <w:r w:rsidR="004A482E" w:rsidRPr="007C68F1">
        <w:t>ed</w:t>
      </w:r>
      <w:r w:rsidR="008A2938" w:rsidRPr="007C68F1">
        <w:t xml:space="preserve"> total hours worked.</w:t>
      </w:r>
    </w:p>
    <w:p w14:paraId="00501508" w14:textId="77777777" w:rsidR="00E37D99" w:rsidRPr="007C68F1" w:rsidRDefault="00D16B2E" w:rsidP="007D1009">
      <w:pPr>
        <w:spacing w:line="480" w:lineRule="auto"/>
      </w:pPr>
      <w:r w:rsidRPr="007C68F1">
        <w:tab/>
      </w:r>
      <w:r w:rsidR="00321CFF" w:rsidRPr="007C68F1">
        <w:t>Notwithstanding the court’s correct ruling on the stand-alone wage statement claim, the court</w:t>
      </w:r>
      <w:r w:rsidR="006F16B4" w:rsidRPr="007C68F1">
        <w:t xml:space="preserve"> erred by </w:t>
      </w:r>
      <w:r w:rsidR="00313C56" w:rsidRPr="007C68F1">
        <w:t xml:space="preserve">implicitly </w:t>
      </w:r>
      <w:r w:rsidR="006F16B4" w:rsidRPr="007C68F1">
        <w:t xml:space="preserve">rejecting </w:t>
      </w:r>
      <w:r w:rsidR="00321CFF" w:rsidRPr="007C68F1">
        <w:t>Woodworth’s</w:t>
      </w:r>
      <w:r w:rsidR="006F16B4" w:rsidRPr="007C68F1">
        <w:t xml:space="preserve"> </w:t>
      </w:r>
      <w:r w:rsidRPr="007C68F1">
        <w:t xml:space="preserve">derivative wage statement </w:t>
      </w:r>
      <w:r w:rsidRPr="007C68F1">
        <w:lastRenderedPageBreak/>
        <w:t>claim</w:t>
      </w:r>
      <w:r w:rsidR="006F16B4" w:rsidRPr="007C68F1">
        <w:t>.</w:t>
      </w:r>
      <w:r w:rsidR="00DE21CB" w:rsidRPr="007C68F1">
        <w:t xml:space="preserve">  </w:t>
      </w:r>
      <w:r w:rsidR="00313BF7" w:rsidRPr="007C68F1">
        <w:t>The medical center argued that California law does not permit derivative wage statement claims, but o</w:t>
      </w:r>
      <w:r w:rsidR="00A40636" w:rsidRPr="007C68F1">
        <w:t xml:space="preserve">ur Supreme Court recently </w:t>
      </w:r>
      <w:r w:rsidR="00767190" w:rsidRPr="007C68F1">
        <w:t xml:space="preserve">rejected </w:t>
      </w:r>
      <w:r w:rsidR="00313BF7" w:rsidRPr="007C68F1">
        <w:t xml:space="preserve">that proposition </w:t>
      </w:r>
      <w:r w:rsidR="00A40636" w:rsidRPr="007C68F1">
        <w:t xml:space="preserve">in </w:t>
      </w:r>
      <w:bookmarkStart w:id="575" w:name="dabmci_a7b8861a7c7446dda3053888409a913c"/>
      <w:r w:rsidR="003A4C53" w:rsidRPr="007C68F1">
        <w:rPr>
          <w:i/>
        </w:rPr>
        <w:t>Naranjo</w:t>
      </w:r>
      <w:bookmarkEnd w:id="575"/>
      <w:r w:rsidR="00A40636" w:rsidRPr="007C68F1">
        <w:rPr>
          <w:iCs/>
        </w:rPr>
        <w:t xml:space="preserve">.  </w:t>
      </w:r>
      <w:r w:rsidR="001F28BB" w:rsidRPr="007C68F1">
        <w:t>That case involved an underlying claim for missed meal breaks.</w:t>
      </w:r>
      <w:r w:rsidR="00E243DE" w:rsidRPr="007C68F1">
        <w:t xml:space="preserve">  (</w:t>
      </w:r>
      <w:bookmarkStart w:id="576" w:name="dabmci_0cfe91946de746139e41f55bb712e023"/>
      <w:r w:rsidR="00E243DE" w:rsidRPr="007C68F1">
        <w:rPr>
          <w:i/>
          <w:iCs/>
        </w:rPr>
        <w:t>Naranjo</w:t>
      </w:r>
      <w:r w:rsidR="00E243DE" w:rsidRPr="007C68F1">
        <w:t xml:space="preserve">, </w:t>
      </w:r>
      <w:r w:rsidR="00E243DE" w:rsidRPr="007C68F1">
        <w:rPr>
          <w:i/>
          <w:iCs/>
        </w:rPr>
        <w:t>supra</w:t>
      </w:r>
      <w:r w:rsidR="00E243DE" w:rsidRPr="007C68F1">
        <w:t xml:space="preserve">, </w:t>
      </w:r>
      <w:r w:rsidR="00BE0F4B" w:rsidRPr="007C68F1">
        <w:t>13 Cal.5th at pp. 102-103</w:t>
      </w:r>
      <w:bookmarkEnd w:id="576"/>
      <w:r w:rsidR="00E243DE" w:rsidRPr="007C68F1">
        <w:t>.)  The plaintiff alleged that his employer unlawfully required employees to remain on duty during meal period</w:t>
      </w:r>
      <w:r w:rsidR="00A75628" w:rsidRPr="007C68F1">
        <w:t>s</w:t>
      </w:r>
      <w:r w:rsidR="00E243DE" w:rsidRPr="007C68F1">
        <w:t xml:space="preserve">, and he sought missed </w:t>
      </w:r>
      <w:r w:rsidR="002D0DF7" w:rsidRPr="007C68F1">
        <w:t>break premium</w:t>
      </w:r>
      <w:r w:rsidR="00A75628" w:rsidRPr="007C68F1">
        <w:t>s</w:t>
      </w:r>
      <w:r w:rsidR="002D0DF7" w:rsidRPr="007C68F1">
        <w:t xml:space="preserve"> under section 226.7, subdivision (c)</w:t>
      </w:r>
      <w:r w:rsidR="00767190" w:rsidRPr="007C68F1">
        <w:t>, for the on-duty meal periods</w:t>
      </w:r>
      <w:r w:rsidR="002D0DF7" w:rsidRPr="007C68F1">
        <w:t>.</w:t>
      </w:r>
      <w:r w:rsidRPr="007C68F1">
        <w:t xml:space="preserve">  (</w:t>
      </w:r>
      <w:bookmarkStart w:id="577" w:name="dabmci_34f736d2a15d451eb1e57cff99204756"/>
      <w:r w:rsidR="0007507C" w:rsidRPr="007C68F1">
        <w:rPr>
          <w:i/>
          <w:iCs/>
        </w:rPr>
        <w:t>Naranjo</w:t>
      </w:r>
      <w:r w:rsidR="0007507C" w:rsidRPr="007C68F1">
        <w:t>, at pp. 102-103</w:t>
      </w:r>
      <w:bookmarkEnd w:id="577"/>
      <w:r w:rsidRPr="007C68F1">
        <w:t xml:space="preserve">.)  He further alleged that the employer </w:t>
      </w:r>
      <w:r w:rsidR="00313BF7" w:rsidRPr="007C68F1">
        <w:t xml:space="preserve">was liable under </w:t>
      </w:r>
      <w:bookmarkStart w:id="578" w:name="dabmci_c3c2ed0dc5b34da0ac5ec39c6f583df7"/>
      <w:r w:rsidRPr="007C68F1">
        <w:t>se</w:t>
      </w:r>
      <w:r w:rsidRPr="007C68F1">
        <w:t>ction 226</w:t>
      </w:r>
      <w:bookmarkEnd w:id="578"/>
      <w:r w:rsidRPr="007C68F1">
        <w:t xml:space="preserve"> </w:t>
      </w:r>
      <w:r w:rsidR="00313BF7" w:rsidRPr="007C68F1">
        <w:t>for</w:t>
      </w:r>
      <w:r w:rsidRPr="007C68F1">
        <w:t xml:space="preserve"> failing to report </w:t>
      </w:r>
      <w:r w:rsidR="00767190" w:rsidRPr="007C68F1">
        <w:t>those</w:t>
      </w:r>
      <w:r w:rsidRPr="007C68F1">
        <w:t xml:space="preserve"> missed break premiums on </w:t>
      </w:r>
      <w:r w:rsidR="0055459B" w:rsidRPr="007C68F1">
        <w:t xml:space="preserve">the </w:t>
      </w:r>
      <w:r w:rsidRPr="007C68F1">
        <w:t>employees’ wage statements, and he sought damages</w:t>
      </w:r>
      <w:r w:rsidR="005E30F4" w:rsidRPr="007C68F1">
        <w:t xml:space="preserve"> on that basis</w:t>
      </w:r>
      <w:r w:rsidRPr="007C68F1">
        <w:t xml:space="preserve"> for inaccurate wage statements.  (</w:t>
      </w:r>
      <w:bookmarkStart w:id="579" w:name="dabmci_b17c8b027cc64becbbdcf964e7cf348a"/>
      <w:r w:rsidR="004A5DAD" w:rsidRPr="007C68F1">
        <w:rPr>
          <w:i/>
          <w:iCs/>
        </w:rPr>
        <w:t>Naranjo</w:t>
      </w:r>
      <w:r w:rsidR="004A5DAD" w:rsidRPr="007C68F1">
        <w:t xml:space="preserve">, </w:t>
      </w:r>
      <w:r w:rsidRPr="007C68F1">
        <w:t xml:space="preserve">at p. </w:t>
      </w:r>
      <w:r w:rsidR="00C21D38" w:rsidRPr="007C68F1">
        <w:t>103</w:t>
      </w:r>
      <w:bookmarkEnd w:id="579"/>
      <w:r w:rsidRPr="007C68F1">
        <w:t>.)</w:t>
      </w:r>
      <w:r w:rsidR="007653F7" w:rsidRPr="007C68F1">
        <w:t xml:space="preserve">  The high court held that the missed break premium constituted wages subject to the wage statement reporting requirements of </w:t>
      </w:r>
      <w:bookmarkStart w:id="580" w:name="dabmci_f9a73c506f724502bce62067817fec3f"/>
      <w:r w:rsidR="007653F7" w:rsidRPr="007C68F1">
        <w:t>section 226</w:t>
      </w:r>
      <w:bookmarkEnd w:id="580"/>
      <w:r w:rsidR="007653F7" w:rsidRPr="007C68F1">
        <w:t>.  (</w:t>
      </w:r>
      <w:bookmarkStart w:id="581" w:name="dabmci_85b3461ffe78431987a298f2df584d2d"/>
      <w:r w:rsidR="004A5DAD" w:rsidRPr="007C68F1">
        <w:rPr>
          <w:i/>
          <w:iCs/>
        </w:rPr>
        <w:t>Naranjo</w:t>
      </w:r>
      <w:r w:rsidR="004A5DAD" w:rsidRPr="007C68F1">
        <w:t xml:space="preserve">, </w:t>
      </w:r>
      <w:r w:rsidR="00337E39" w:rsidRPr="007C68F1">
        <w:t xml:space="preserve">at pp. </w:t>
      </w:r>
      <w:r w:rsidR="00C21D38" w:rsidRPr="007C68F1">
        <w:t>102</w:t>
      </w:r>
      <w:r w:rsidR="00337E39" w:rsidRPr="007C68F1">
        <w:t xml:space="preserve">, </w:t>
      </w:r>
      <w:r w:rsidR="00C21D38" w:rsidRPr="007C68F1">
        <w:t>117-121</w:t>
      </w:r>
      <w:r w:rsidR="00337E39" w:rsidRPr="007C68F1">
        <w:t xml:space="preserve">, </w:t>
      </w:r>
      <w:r w:rsidR="00C21D38" w:rsidRPr="007C68F1">
        <w:t>125</w:t>
      </w:r>
      <w:bookmarkEnd w:id="581"/>
      <w:r w:rsidR="00337E39" w:rsidRPr="007C68F1">
        <w:t>.</w:t>
      </w:r>
      <w:r w:rsidR="007653F7" w:rsidRPr="007C68F1">
        <w:t xml:space="preserve">)  Thus, the failure to report the missed break premium could support liability </w:t>
      </w:r>
      <w:bookmarkStart w:id="582" w:name="dabmq_263"/>
      <w:r w:rsidR="007653F7" w:rsidRPr="007C68F1">
        <w:t>“for failure to supply an accurate itemized statement reflecting an employee’s gross wages earned, net wages earned, and credited hours worked.”</w:t>
      </w:r>
      <w:bookmarkEnd w:id="582"/>
      <w:r w:rsidR="00337E39" w:rsidRPr="007C68F1">
        <w:t xml:space="preserve">  (</w:t>
      </w:r>
      <w:bookmarkStart w:id="583" w:name="dabmci_1f5369011c62417ca9e66f7a5be33120"/>
      <w:r w:rsidR="00337E39" w:rsidRPr="007C68F1">
        <w:rPr>
          <w:i/>
          <w:iCs/>
        </w:rPr>
        <w:t xml:space="preserve">Id. </w:t>
      </w:r>
      <w:r w:rsidR="00337E39" w:rsidRPr="007C68F1">
        <w:t xml:space="preserve">at p. </w:t>
      </w:r>
      <w:r w:rsidR="009648D6" w:rsidRPr="007C68F1">
        <w:t>121</w:t>
      </w:r>
      <w:bookmarkEnd w:id="583"/>
      <w:r w:rsidR="00337E39" w:rsidRPr="007C68F1">
        <w:t xml:space="preserve">.)  </w:t>
      </w:r>
    </w:p>
    <w:p w14:paraId="1B438763" w14:textId="77777777" w:rsidR="00C73DA5" w:rsidRPr="007C68F1" w:rsidRDefault="00D16B2E" w:rsidP="007D1009">
      <w:pPr>
        <w:spacing w:line="480" w:lineRule="auto"/>
        <w:rPr>
          <w:iCs/>
        </w:rPr>
      </w:pPr>
      <w:r w:rsidRPr="007C68F1">
        <w:tab/>
        <w:t xml:space="preserve">Woodworth and the aggrieved employees may pursue a derivative wage statement claim under </w:t>
      </w:r>
      <w:r w:rsidRPr="007C68F1">
        <w:rPr>
          <w:i/>
          <w:iCs/>
        </w:rPr>
        <w:t>Na</w:t>
      </w:r>
      <w:r w:rsidRPr="007C68F1">
        <w:rPr>
          <w:i/>
          <w:iCs/>
        </w:rPr>
        <w:t>ranjo</w:t>
      </w:r>
      <w:r w:rsidRPr="007C68F1">
        <w:t>.  Woodworth’s rest period claim survives, and a</w:t>
      </w:r>
      <w:r w:rsidR="00881AA3" w:rsidRPr="007C68F1">
        <w:t xml:space="preserve">s we discuss in a following subpart, the PAGA rest period claim survives as well.  </w:t>
      </w:r>
      <w:r w:rsidR="0045489A" w:rsidRPr="007C68F1">
        <w:t xml:space="preserve">To the extent that Woodworth proves the medical center unlawfully denied her and the aggrieved employees rest periods, </w:t>
      </w:r>
      <w:r w:rsidR="005C3C3A" w:rsidRPr="007C68F1">
        <w:t>the medical center owes them</w:t>
      </w:r>
      <w:r w:rsidR="0045489A" w:rsidRPr="007C68F1">
        <w:t xml:space="preserve"> missed break premium</w:t>
      </w:r>
      <w:r w:rsidR="005C3C3A" w:rsidRPr="007C68F1">
        <w:t>s</w:t>
      </w:r>
      <w:r w:rsidR="0045489A" w:rsidRPr="007C68F1">
        <w:t>.  (§ 226.7, subd. (c).)</w:t>
      </w:r>
      <w:r w:rsidR="005C3C3A" w:rsidRPr="007C68F1">
        <w:t xml:space="preserve">  And the omission of those missed break premiums from the employees’ wage statements may support liability for inaccurate wage statements.  (</w:t>
      </w:r>
      <w:bookmarkStart w:id="584" w:name="dabmci_281e59c13cce4ca3a1edb1cde6002668"/>
      <w:r w:rsidR="005C3C3A" w:rsidRPr="007C68F1">
        <w:rPr>
          <w:i/>
          <w:iCs/>
        </w:rPr>
        <w:t>Naranjo</w:t>
      </w:r>
      <w:r w:rsidR="005C3C3A" w:rsidRPr="007C68F1">
        <w:t xml:space="preserve">, </w:t>
      </w:r>
      <w:r w:rsidR="005C3C3A" w:rsidRPr="007C68F1">
        <w:rPr>
          <w:i/>
          <w:iCs/>
        </w:rPr>
        <w:t>supra</w:t>
      </w:r>
      <w:r w:rsidR="005C3C3A" w:rsidRPr="007C68F1">
        <w:t xml:space="preserve">, </w:t>
      </w:r>
      <w:r w:rsidR="000F5436" w:rsidRPr="007C68F1">
        <w:t>13 Cal.5th</w:t>
      </w:r>
      <w:r w:rsidR="005C3C3A" w:rsidRPr="007C68F1">
        <w:t xml:space="preserve"> at p. </w:t>
      </w:r>
      <w:r w:rsidR="000F5436" w:rsidRPr="007C68F1">
        <w:t>121</w:t>
      </w:r>
      <w:bookmarkEnd w:id="584"/>
      <w:r w:rsidR="005C3C3A" w:rsidRPr="007C68F1">
        <w:t xml:space="preserve">.)  Likewise, </w:t>
      </w:r>
      <w:r w:rsidR="00273028" w:rsidRPr="007C68F1">
        <w:t xml:space="preserve">the aggrieved employees’ regular rate claim survives and </w:t>
      </w:r>
      <w:r w:rsidR="00273028" w:rsidRPr="007C68F1">
        <w:lastRenderedPageBreak/>
        <w:t xml:space="preserve">may support derivative liability for inaccurate wage statements.  </w:t>
      </w:r>
      <w:r w:rsidR="00C32DC5" w:rsidRPr="007C68F1">
        <w:t>Overtime pay, like the additional hour of pay that constitutes the missed break premium, is a form of wages that the employer must accurately report on wage statements.</w:t>
      </w:r>
      <w:r w:rsidR="009E650F" w:rsidRPr="007C68F1">
        <w:t xml:space="preserve">  (</w:t>
      </w:r>
      <w:bookmarkStart w:id="585" w:name="dabmci_c890905652df403f910f2d33af6114ed"/>
      <w:r w:rsidR="009E650F" w:rsidRPr="007C68F1">
        <w:rPr>
          <w:i/>
        </w:rPr>
        <w:t>Id.</w:t>
      </w:r>
      <w:r w:rsidR="009E650F" w:rsidRPr="007C68F1">
        <w:rPr>
          <w:iCs/>
        </w:rPr>
        <w:t xml:space="preserve"> at pp. </w:t>
      </w:r>
      <w:r w:rsidR="00A94291" w:rsidRPr="007C68F1">
        <w:rPr>
          <w:iCs/>
        </w:rPr>
        <w:t>107</w:t>
      </w:r>
      <w:r w:rsidR="009E650F" w:rsidRPr="007C68F1">
        <w:rPr>
          <w:iCs/>
        </w:rPr>
        <w:t xml:space="preserve">, </w:t>
      </w:r>
      <w:r w:rsidR="00A94291" w:rsidRPr="007C68F1">
        <w:rPr>
          <w:iCs/>
        </w:rPr>
        <w:t>109</w:t>
      </w:r>
      <w:bookmarkEnd w:id="585"/>
      <w:r w:rsidR="009E650F" w:rsidRPr="007C68F1">
        <w:rPr>
          <w:iCs/>
        </w:rPr>
        <w:t xml:space="preserve">.)  To the extent that </w:t>
      </w:r>
      <w:r w:rsidR="0078305C" w:rsidRPr="007C68F1">
        <w:rPr>
          <w:iCs/>
        </w:rPr>
        <w:t>Woodworth proves the medical center miscalculated the regular rate by excluding nondiscretionary bonuses, the corresponding wage statements would not accurately reflect the employees’ overtime rate or their hourly rate for the missed break premium.</w:t>
      </w:r>
      <w:r w:rsidR="00162D9B" w:rsidRPr="007C68F1">
        <w:rPr>
          <w:iCs/>
        </w:rPr>
        <w:t xml:space="preserve">  The wage statements thus would inaccurately report overtime wages and premium pay.</w:t>
      </w:r>
      <w:r w:rsidR="0078305C" w:rsidRPr="007C68F1">
        <w:rPr>
          <w:iCs/>
        </w:rPr>
        <w:t xml:space="preserve">  </w:t>
      </w:r>
      <w:r w:rsidR="00162D9B" w:rsidRPr="007C68F1">
        <w:rPr>
          <w:iCs/>
        </w:rPr>
        <w:t>According to</w:t>
      </w:r>
      <w:r w:rsidR="0078305C" w:rsidRPr="007C68F1">
        <w:rPr>
          <w:iCs/>
        </w:rPr>
        <w:t xml:space="preserve"> </w:t>
      </w:r>
      <w:r w:rsidR="0078305C" w:rsidRPr="007C68F1">
        <w:rPr>
          <w:i/>
        </w:rPr>
        <w:t>Naranjo</w:t>
      </w:r>
      <w:r w:rsidR="0078305C" w:rsidRPr="007C68F1">
        <w:rPr>
          <w:iCs/>
        </w:rPr>
        <w:t xml:space="preserve">, those inaccuracies would support liability </w:t>
      </w:r>
      <w:r w:rsidR="00B40439" w:rsidRPr="007C68F1">
        <w:rPr>
          <w:iCs/>
        </w:rPr>
        <w:t xml:space="preserve">under </w:t>
      </w:r>
      <w:bookmarkStart w:id="586" w:name="dabmci_603c5172ad564795a863d8660e112193"/>
      <w:r w:rsidR="00B40439" w:rsidRPr="007C68F1">
        <w:rPr>
          <w:iCs/>
        </w:rPr>
        <w:t>section 226</w:t>
      </w:r>
      <w:bookmarkEnd w:id="586"/>
      <w:r w:rsidR="00B40439" w:rsidRPr="007C68F1">
        <w:rPr>
          <w:iCs/>
        </w:rPr>
        <w:t xml:space="preserve">. </w:t>
      </w:r>
    </w:p>
    <w:p w14:paraId="08AD97C7" w14:textId="77777777" w:rsidR="00082A0C" w:rsidRPr="007C68F1" w:rsidRDefault="00D16B2E" w:rsidP="007D1009">
      <w:pPr>
        <w:spacing w:line="480" w:lineRule="auto"/>
        <w:rPr>
          <w:shd w:val="clear" w:color="auto" w:fill="FFFFFF"/>
        </w:rPr>
      </w:pPr>
      <w:r w:rsidRPr="007C68F1">
        <w:rPr>
          <w:iCs/>
        </w:rPr>
        <w:tab/>
        <w:t>In sum,</w:t>
      </w:r>
      <w:r w:rsidR="001930AA" w:rsidRPr="007C68F1">
        <w:rPr>
          <w:iCs/>
        </w:rPr>
        <w:t xml:space="preserve"> the court correctly determined that the medical center </w:t>
      </w:r>
      <w:r w:rsidR="00A13557" w:rsidRPr="007C68F1">
        <w:rPr>
          <w:iCs/>
        </w:rPr>
        <w:t>was entitled to summary adjudication</w:t>
      </w:r>
      <w:r w:rsidR="001930AA" w:rsidRPr="007C68F1">
        <w:rPr>
          <w:iCs/>
        </w:rPr>
        <w:t xml:space="preserve"> </w:t>
      </w:r>
      <w:r w:rsidR="00A13557" w:rsidRPr="007C68F1">
        <w:rPr>
          <w:iCs/>
        </w:rPr>
        <w:t>on</w:t>
      </w:r>
      <w:r w:rsidR="001930AA" w:rsidRPr="007C68F1">
        <w:rPr>
          <w:iCs/>
        </w:rPr>
        <w:t xml:space="preserve"> the stand-alone wage statement claim.  But </w:t>
      </w:r>
      <w:r w:rsidR="008E0E1B" w:rsidRPr="007C68F1">
        <w:rPr>
          <w:iCs/>
        </w:rPr>
        <w:t xml:space="preserve">the medical center was not entitled </w:t>
      </w:r>
      <w:r w:rsidR="005338CD" w:rsidRPr="007C68F1">
        <w:rPr>
          <w:iCs/>
        </w:rPr>
        <w:t xml:space="preserve">to </w:t>
      </w:r>
      <w:r w:rsidR="008E0E1B" w:rsidRPr="007C68F1">
        <w:rPr>
          <w:iCs/>
        </w:rPr>
        <w:t xml:space="preserve">summary adjudication on </w:t>
      </w:r>
      <w:r w:rsidR="00397551" w:rsidRPr="007C68F1">
        <w:rPr>
          <w:iCs/>
        </w:rPr>
        <w:t>the derivative form of the wage statement claim,</w:t>
      </w:r>
      <w:r w:rsidR="005338CD" w:rsidRPr="007C68F1">
        <w:rPr>
          <w:iCs/>
        </w:rPr>
        <w:t xml:space="preserve"> so its motion did not completely dispose of the claim.  The </w:t>
      </w:r>
      <w:r w:rsidR="00397551" w:rsidRPr="007C68F1">
        <w:rPr>
          <w:iCs/>
        </w:rPr>
        <w:t xml:space="preserve">court </w:t>
      </w:r>
      <w:r w:rsidR="005338CD" w:rsidRPr="007C68F1">
        <w:rPr>
          <w:iCs/>
        </w:rPr>
        <w:t xml:space="preserve">therefore </w:t>
      </w:r>
      <w:r w:rsidR="00397551" w:rsidRPr="007C68F1">
        <w:rPr>
          <w:iCs/>
        </w:rPr>
        <w:t>erred by granting summary adjudication on the claim.</w:t>
      </w:r>
      <w:r w:rsidRPr="007C68F1">
        <w:rPr>
          <w:iCs/>
        </w:rPr>
        <w:t xml:space="preserve">  (</w:t>
      </w:r>
      <w:bookmarkStart w:id="587" w:name="dabmci_223393f899e54829b604025d25bbf8ab"/>
      <w:r w:rsidR="004A5DAD" w:rsidRPr="007C68F1">
        <w:rPr>
          <w:iCs/>
        </w:rPr>
        <w:t xml:space="preserve">Code Civ. Proc., </w:t>
      </w:r>
      <w:r w:rsidRPr="007C68F1">
        <w:rPr>
          <w:iCs/>
        </w:rPr>
        <w:t>§ 437c, subd. (f)(1)</w:t>
      </w:r>
      <w:bookmarkEnd w:id="587"/>
      <w:r w:rsidRPr="007C68F1">
        <w:rPr>
          <w:iCs/>
        </w:rPr>
        <w:t xml:space="preserve"> [</w:t>
      </w:r>
      <w:bookmarkStart w:id="588" w:name="dabmq_264"/>
      <w:r w:rsidRPr="007C68F1">
        <w:rPr>
          <w:iCs/>
        </w:rPr>
        <w:t>“</w:t>
      </w:r>
      <w:r w:rsidRPr="007C68F1">
        <w:rPr>
          <w:shd w:val="clear" w:color="auto" w:fill="FFFFFF"/>
        </w:rPr>
        <w:t>A motion for summary adjudication shall be granted only if it complet</w:t>
      </w:r>
      <w:r w:rsidRPr="007C68F1">
        <w:rPr>
          <w:shd w:val="clear" w:color="auto" w:fill="FFFFFF"/>
        </w:rPr>
        <w:t>ely disposes of a cause of action, an affirmative defense, a claim for damages, or an issue of duty”</w:t>
      </w:r>
      <w:bookmarkEnd w:id="588"/>
      <w:r w:rsidRPr="007C68F1">
        <w:rPr>
          <w:shd w:val="clear" w:color="auto" w:fill="FFFFFF"/>
        </w:rPr>
        <w:t xml:space="preserve">].)  </w:t>
      </w:r>
    </w:p>
    <w:p w14:paraId="06A45ADA" w14:textId="77777777" w:rsidR="00BF433D" w:rsidRPr="007C68F1" w:rsidRDefault="00D16B2E" w:rsidP="007D1009">
      <w:pPr>
        <w:pStyle w:val="FootnoteText"/>
        <w:keepNext/>
        <w:spacing w:line="480" w:lineRule="auto"/>
        <w:ind w:firstLine="720"/>
      </w:pPr>
      <w:r w:rsidRPr="007C68F1">
        <w:t xml:space="preserve">C.  </w:t>
      </w:r>
      <w:r w:rsidRPr="007C68F1">
        <w:rPr>
          <w:i/>
          <w:iCs/>
        </w:rPr>
        <w:t>Waiting Time Claim</w:t>
      </w:r>
    </w:p>
    <w:p w14:paraId="6A3E2174" w14:textId="77777777" w:rsidR="00BF433D" w:rsidRPr="007C68F1" w:rsidRDefault="00D16B2E" w:rsidP="007D1009">
      <w:pPr>
        <w:pStyle w:val="FootnoteText"/>
        <w:spacing w:line="480" w:lineRule="auto"/>
        <w:ind w:firstLine="720"/>
      </w:pPr>
      <w:r w:rsidRPr="007C68F1">
        <w:t xml:space="preserve">Woodworth argues that the court erred by granting the medical center’s summary adjudication motion on the waiting time claim.  </w:t>
      </w:r>
      <w:r w:rsidR="000247A1" w:rsidRPr="007C68F1">
        <w:t xml:space="preserve">We agree with respect to the PAGA claim but </w:t>
      </w:r>
      <w:r w:rsidR="008710EF" w:rsidRPr="007C68F1">
        <w:t xml:space="preserve">not </w:t>
      </w:r>
      <w:r w:rsidR="000247A1" w:rsidRPr="007C68F1">
        <w:t xml:space="preserve">as to her individual claim.  </w:t>
      </w:r>
    </w:p>
    <w:p w14:paraId="6C964B2F" w14:textId="77777777" w:rsidR="004966CF" w:rsidRPr="007C68F1" w:rsidRDefault="00D16B2E" w:rsidP="007D1009">
      <w:pPr>
        <w:pStyle w:val="FootnoteText"/>
        <w:keepNext/>
        <w:spacing w:line="480" w:lineRule="auto"/>
        <w:ind w:firstLine="720"/>
        <w:rPr>
          <w:i/>
          <w:iCs/>
        </w:rPr>
      </w:pPr>
      <w:r w:rsidRPr="007C68F1">
        <w:lastRenderedPageBreak/>
        <w:tab/>
        <w:t xml:space="preserve">1.  </w:t>
      </w:r>
      <w:r w:rsidRPr="007C68F1">
        <w:rPr>
          <w:i/>
          <w:iCs/>
        </w:rPr>
        <w:t>Relevant Background</w:t>
      </w:r>
    </w:p>
    <w:p w14:paraId="5CCF476E" w14:textId="77777777" w:rsidR="00C1614E" w:rsidRPr="007C68F1" w:rsidRDefault="00D16B2E" w:rsidP="007D1009">
      <w:pPr>
        <w:pStyle w:val="FootnoteText"/>
        <w:spacing w:line="480" w:lineRule="auto"/>
        <w:ind w:firstLine="720"/>
      </w:pPr>
      <w:r w:rsidRPr="007C68F1">
        <w:t xml:space="preserve">In support of </w:t>
      </w:r>
      <w:r w:rsidR="00084100" w:rsidRPr="007C68F1">
        <w:t>the medical center’s</w:t>
      </w:r>
      <w:r w:rsidRPr="007C68F1">
        <w:t xml:space="preserve"> arguments on this claim, </w:t>
      </w:r>
      <w:r w:rsidR="00084100" w:rsidRPr="007C68F1">
        <w:t>it</w:t>
      </w:r>
      <w:r w:rsidRPr="007C68F1">
        <w:t xml:space="preserve"> relied again on </w:t>
      </w:r>
      <w:r w:rsidR="00795F96" w:rsidRPr="007C68F1">
        <w:t xml:space="preserve">Bowell’s </w:t>
      </w:r>
      <w:r w:rsidRPr="007C68F1">
        <w:t>declaration</w:t>
      </w:r>
      <w:r w:rsidR="00084100" w:rsidRPr="007C68F1">
        <w:t>.</w:t>
      </w:r>
      <w:r w:rsidR="000C2584" w:rsidRPr="007C68F1">
        <w:t xml:space="preserve">  She declared that the medical </w:t>
      </w:r>
      <w:r w:rsidR="008C5C24" w:rsidRPr="007C68F1">
        <w:t xml:space="preserve">center </w:t>
      </w:r>
      <w:r w:rsidR="000C2584" w:rsidRPr="007C68F1">
        <w:t>had paid Woodworth for all hours that she worked, for all vacation time, and all other compensation owed to her.</w:t>
      </w:r>
      <w:r w:rsidR="001559BE" w:rsidRPr="007C68F1">
        <w:t xml:space="preserve">  </w:t>
      </w:r>
      <w:r w:rsidR="00FB22F1" w:rsidRPr="007C68F1">
        <w:t>The medical center</w:t>
      </w:r>
      <w:r w:rsidR="001559BE" w:rsidRPr="007C68F1">
        <w:t xml:space="preserve"> also </w:t>
      </w:r>
      <w:r w:rsidR="00667733" w:rsidRPr="007C68F1">
        <w:t>submitted</w:t>
      </w:r>
      <w:r w:rsidR="001559BE" w:rsidRPr="007C68F1">
        <w:t xml:space="preserve"> Woodworth’s response to an interrogatory asking her to state all facts in support of her </w:t>
      </w:r>
      <w:r w:rsidR="00C05F39" w:rsidRPr="007C68F1">
        <w:t xml:space="preserve">individual </w:t>
      </w:r>
      <w:r w:rsidR="001559BE" w:rsidRPr="007C68F1">
        <w:t xml:space="preserve">waiting time claim.  </w:t>
      </w:r>
      <w:r w:rsidR="00B37961" w:rsidRPr="007C68F1">
        <w:t>S</w:t>
      </w:r>
      <w:r w:rsidR="00F00BE6" w:rsidRPr="007C68F1">
        <w:t>he r</w:t>
      </w:r>
      <w:r w:rsidR="00FB22F1" w:rsidRPr="007C68F1">
        <w:t>espon</w:t>
      </w:r>
      <w:r w:rsidR="00F00BE6" w:rsidRPr="007C68F1">
        <w:t xml:space="preserve">ded that the medical center had not paid her all wages due because </w:t>
      </w:r>
      <w:r w:rsidR="00B37961" w:rsidRPr="007C68F1">
        <w:t xml:space="preserve">of its rounding policy, the failure to include all remuneration in her </w:t>
      </w:r>
      <w:r w:rsidR="00F00BE6" w:rsidRPr="007C68F1">
        <w:t>regular rate</w:t>
      </w:r>
      <w:r w:rsidR="00B37961" w:rsidRPr="007C68F1">
        <w:t xml:space="preserve"> calculation</w:t>
      </w:r>
      <w:r w:rsidR="00F00BE6" w:rsidRPr="007C68F1">
        <w:t xml:space="preserve">, </w:t>
      </w:r>
      <w:r w:rsidR="00B37961" w:rsidRPr="007C68F1">
        <w:t xml:space="preserve">the failure to pay her </w:t>
      </w:r>
      <w:r w:rsidR="00FB22F1" w:rsidRPr="007C68F1">
        <w:t>overtime</w:t>
      </w:r>
      <w:r w:rsidR="00B37961" w:rsidRPr="007C68F1">
        <w:t xml:space="preserve"> for shifts over </w:t>
      </w:r>
      <w:r w:rsidR="00D25453" w:rsidRPr="007C68F1">
        <w:t xml:space="preserve">eight </w:t>
      </w:r>
      <w:r w:rsidR="00B37961" w:rsidRPr="007C68F1">
        <w:t xml:space="preserve">hours, </w:t>
      </w:r>
      <w:r w:rsidR="00D25453" w:rsidRPr="007C68F1">
        <w:t xml:space="preserve">and </w:t>
      </w:r>
      <w:r w:rsidR="00B37961" w:rsidRPr="007C68F1">
        <w:t>the failure to pay her missed break premiums</w:t>
      </w:r>
      <w:r w:rsidR="00FB22F1" w:rsidRPr="007C68F1">
        <w:t>.</w:t>
      </w:r>
    </w:p>
    <w:p w14:paraId="16F41C75" w14:textId="77777777" w:rsidR="009A2348" w:rsidRPr="007C68F1" w:rsidRDefault="00D16B2E" w:rsidP="007D1009">
      <w:pPr>
        <w:pStyle w:val="FootnoteText"/>
        <w:spacing w:line="480" w:lineRule="auto"/>
        <w:ind w:firstLine="720"/>
      </w:pPr>
      <w:r w:rsidRPr="007C68F1">
        <w:t xml:space="preserve">The medical center argued that the waiting time claim failed because </w:t>
      </w:r>
      <w:r w:rsidR="00CB4EB8" w:rsidRPr="007C68F1">
        <w:t xml:space="preserve">the </w:t>
      </w:r>
      <w:r w:rsidR="003027E0" w:rsidRPr="007C68F1">
        <w:t xml:space="preserve">underlying </w:t>
      </w:r>
      <w:r w:rsidR="00CB4EB8" w:rsidRPr="007C68F1">
        <w:t>claims failed</w:t>
      </w:r>
      <w:r w:rsidR="003027E0" w:rsidRPr="007C68F1">
        <w:t>—the court had granted summary adjudication for the medical center on the rounding claim</w:t>
      </w:r>
      <w:r w:rsidR="005E406E" w:rsidRPr="007C68F1">
        <w:t xml:space="preserve"> and the claim for missed meal periods</w:t>
      </w:r>
      <w:r w:rsidR="003027E0" w:rsidRPr="007C68F1">
        <w:t xml:space="preserve">, the instant motion showed </w:t>
      </w:r>
      <w:r w:rsidR="001339A3" w:rsidRPr="007C68F1">
        <w:t>her</w:t>
      </w:r>
      <w:r w:rsidR="003027E0" w:rsidRPr="007C68F1">
        <w:t xml:space="preserve"> regular rate claim</w:t>
      </w:r>
      <w:r w:rsidR="001339A3" w:rsidRPr="007C68F1">
        <w:t xml:space="preserve"> lacked merit</w:t>
      </w:r>
      <w:r w:rsidR="003027E0" w:rsidRPr="007C68F1">
        <w:t xml:space="preserve">, and her overtime claim failed based on </w:t>
      </w:r>
      <w:r w:rsidR="001339A3" w:rsidRPr="007C68F1">
        <w:t>a</w:t>
      </w:r>
      <w:r w:rsidR="003027E0" w:rsidRPr="007C68F1">
        <w:t xml:space="preserve"> valid AWS</w:t>
      </w:r>
      <w:r w:rsidR="001339A3" w:rsidRPr="007C68F1">
        <w:t xml:space="preserve"> (which was addressed in the concurrently filed summary adjudication motion on that defense)</w:t>
      </w:r>
      <w:r w:rsidR="00CB4EB8" w:rsidRPr="007C68F1">
        <w:t>.</w:t>
      </w:r>
      <w:r w:rsidRPr="007C68F1">
        <w:t xml:space="preserve">  </w:t>
      </w:r>
      <w:r w:rsidR="001339A3" w:rsidRPr="007C68F1">
        <w:t>The medical center</w:t>
      </w:r>
      <w:r w:rsidRPr="007C68F1">
        <w:t xml:space="preserve"> </w:t>
      </w:r>
      <w:r w:rsidR="00667733" w:rsidRPr="007C68F1">
        <w:t>further</w:t>
      </w:r>
      <w:r w:rsidRPr="007C68F1">
        <w:t xml:space="preserve"> argued that even if the underlying claims had merit, </w:t>
      </w:r>
      <w:r w:rsidR="00417F2E" w:rsidRPr="007C68F1">
        <w:t>the law mandated</w:t>
      </w:r>
      <w:r w:rsidR="006C6EDD" w:rsidRPr="007C68F1">
        <w:t xml:space="preserve"> waiting time penalties </w:t>
      </w:r>
      <w:r w:rsidR="00417F2E" w:rsidRPr="007C68F1">
        <w:t>only if</w:t>
      </w:r>
      <w:r w:rsidR="00795F96" w:rsidRPr="007C68F1">
        <w:t xml:space="preserve"> the failure to pay wages was willful.</w:t>
      </w:r>
      <w:r w:rsidR="00417F2E" w:rsidRPr="007C68F1">
        <w:t xml:space="preserve">  </w:t>
      </w:r>
      <w:r w:rsidR="000D1B97" w:rsidRPr="007C68F1">
        <w:t>It</w:t>
      </w:r>
      <w:r w:rsidR="006C6EDD" w:rsidRPr="007C68F1">
        <w:t xml:space="preserve"> contended that </w:t>
      </w:r>
      <w:r w:rsidR="00667733" w:rsidRPr="007C68F1">
        <w:t xml:space="preserve">Woodworth’s interrogatory response failed to set forth any facts showing willfulness.  In addition, it argued, a good faith dispute that wages were due precluded a willfulness finding, and </w:t>
      </w:r>
      <w:r w:rsidR="00872C72" w:rsidRPr="007C68F1">
        <w:t xml:space="preserve">the </w:t>
      </w:r>
      <w:r w:rsidR="00A32DB9" w:rsidRPr="007C68F1">
        <w:t>summary adjudication motions presented a good faith dispute about whether Woodworth was due wages for the underlying claims.</w:t>
      </w:r>
    </w:p>
    <w:p w14:paraId="2DF471A6" w14:textId="77777777" w:rsidR="00061256" w:rsidRPr="007C68F1" w:rsidRDefault="00D16B2E" w:rsidP="007D1009">
      <w:pPr>
        <w:pStyle w:val="FootnoteText"/>
        <w:spacing w:line="480" w:lineRule="auto"/>
        <w:ind w:firstLine="720"/>
      </w:pPr>
      <w:r w:rsidRPr="007C68F1">
        <w:t xml:space="preserve">Woodworth argued in her opposition brief that </w:t>
      </w:r>
      <w:r w:rsidR="00DA48EB" w:rsidRPr="007C68F1">
        <w:t>the medical center</w:t>
      </w:r>
      <w:r w:rsidR="005008D5" w:rsidRPr="007C68F1">
        <w:t xml:space="preserve"> knew what it was doing and intended to pay the amounts set forth in </w:t>
      </w:r>
      <w:r w:rsidR="008C414D" w:rsidRPr="007C68F1">
        <w:t xml:space="preserve">the wage statements of </w:t>
      </w:r>
      <w:r w:rsidR="008C414D" w:rsidRPr="007C68F1">
        <w:lastRenderedPageBreak/>
        <w:t>Woodworth and the aggrieved employees</w:t>
      </w:r>
      <w:r w:rsidR="005008D5" w:rsidRPr="007C68F1">
        <w:t>.</w:t>
      </w:r>
      <w:r w:rsidR="00DA48EB" w:rsidRPr="007C68F1">
        <w:t xml:space="preserve">  She asserted that such conduct was willfu</w:t>
      </w:r>
      <w:r w:rsidR="00DC7533" w:rsidRPr="007C68F1">
        <w:t>l</w:t>
      </w:r>
      <w:r w:rsidR="008C414D" w:rsidRPr="007C68F1">
        <w:t xml:space="preserve"> and </w:t>
      </w:r>
      <w:r w:rsidR="00DC7533" w:rsidRPr="007C68F1">
        <w:t xml:space="preserve">that </w:t>
      </w:r>
      <w:r w:rsidR="008C414D" w:rsidRPr="007C68F1">
        <w:t xml:space="preserve">the medical center had offered no contrary argument.  </w:t>
      </w:r>
      <w:r w:rsidR="00A0601A" w:rsidRPr="007C68F1">
        <w:t xml:space="preserve">She additionally argued that the medical center failed to present evidence </w:t>
      </w:r>
      <w:r w:rsidR="00A71F74" w:rsidRPr="007C68F1">
        <w:t>of</w:t>
      </w:r>
      <w:r w:rsidR="00022EF4" w:rsidRPr="007C68F1">
        <w:t xml:space="preserve"> a</w:t>
      </w:r>
      <w:r w:rsidR="00A0601A" w:rsidRPr="007C68F1">
        <w:t xml:space="preserve"> good faith dispute </w:t>
      </w:r>
      <w:r w:rsidR="00022EF4" w:rsidRPr="007C68F1">
        <w:t xml:space="preserve">with respect to </w:t>
      </w:r>
      <w:r w:rsidR="00187643" w:rsidRPr="007C68F1">
        <w:t>the</w:t>
      </w:r>
      <w:r w:rsidR="00022EF4" w:rsidRPr="007C68F1">
        <w:t xml:space="preserve"> regular rate claim or the AWS defense.</w:t>
      </w:r>
      <w:r w:rsidR="007A2140" w:rsidRPr="007C68F1">
        <w:t xml:space="preserve">  And she contended that she had a </w:t>
      </w:r>
      <w:r w:rsidRPr="007C68F1">
        <w:t>stand-alone waiting time claim</w:t>
      </w:r>
      <w:r w:rsidR="007A2140" w:rsidRPr="007C68F1">
        <w:t xml:space="preserve"> based on a check issued </w:t>
      </w:r>
      <w:r w:rsidR="00DB0139" w:rsidRPr="007C68F1">
        <w:t>several</w:t>
      </w:r>
      <w:r w:rsidR="007A2140" w:rsidRPr="007C68F1">
        <w:t xml:space="preserve"> days</w:t>
      </w:r>
      <w:r w:rsidRPr="007C68F1">
        <w:t xml:space="preserve"> </w:t>
      </w:r>
      <w:r w:rsidR="007837D9" w:rsidRPr="007C68F1">
        <w:t>late.  Her evidence showed that on May 19, 2014, she</w:t>
      </w:r>
      <w:r w:rsidR="004A762A" w:rsidRPr="007C68F1">
        <w:t xml:space="preserve"> resigned and</w:t>
      </w:r>
      <w:r w:rsidR="007837D9" w:rsidRPr="007C68F1">
        <w:t xml:space="preserve"> informed the medical center that her last day of work would be June 1, 201</w:t>
      </w:r>
      <w:r w:rsidR="001065F0" w:rsidRPr="007C68F1">
        <w:t>4</w:t>
      </w:r>
      <w:r w:rsidR="007837D9" w:rsidRPr="007C68F1">
        <w:t>.</w:t>
      </w:r>
      <w:r w:rsidR="001B0A60" w:rsidRPr="007C68F1">
        <w:t xml:space="preserve">  On May 30, 2014, t</w:t>
      </w:r>
      <w:r w:rsidR="007837D9" w:rsidRPr="007C68F1">
        <w:t>he medical center issue</w:t>
      </w:r>
      <w:r w:rsidR="00E62412" w:rsidRPr="007C68F1">
        <w:t>d</w:t>
      </w:r>
      <w:r w:rsidR="007837D9" w:rsidRPr="007C68F1">
        <w:t xml:space="preserve"> her a check for </w:t>
      </w:r>
      <w:r w:rsidR="001B0A60" w:rsidRPr="007C68F1">
        <w:t xml:space="preserve">net </w:t>
      </w:r>
      <w:r w:rsidR="007837D9" w:rsidRPr="007C68F1">
        <w:t xml:space="preserve">earnings and sick pay </w:t>
      </w:r>
      <w:r w:rsidR="001B0A60" w:rsidRPr="007C68F1">
        <w:t>of over</w:t>
      </w:r>
      <w:r w:rsidR="00DB0139" w:rsidRPr="007C68F1">
        <w:t xml:space="preserve"> $1,3</w:t>
      </w:r>
      <w:r w:rsidR="001B0A60" w:rsidRPr="007C68F1">
        <w:t>00</w:t>
      </w:r>
      <w:r w:rsidR="007837D9" w:rsidRPr="007C68F1">
        <w:t>.  But on June 5, 2014, the medical center issue</w:t>
      </w:r>
      <w:r w:rsidR="00DB0139" w:rsidRPr="007C68F1">
        <w:t>d</w:t>
      </w:r>
      <w:r w:rsidR="007837D9" w:rsidRPr="007C68F1">
        <w:t xml:space="preserve"> her a second check for</w:t>
      </w:r>
      <w:r w:rsidR="001B0A60" w:rsidRPr="007C68F1">
        <w:t xml:space="preserve"> net</w:t>
      </w:r>
      <w:r w:rsidR="007837D9" w:rsidRPr="007C68F1">
        <w:t xml:space="preserve"> </w:t>
      </w:r>
      <w:r w:rsidR="004A762A" w:rsidRPr="007C68F1">
        <w:t>“Retro Pay”</w:t>
      </w:r>
      <w:r w:rsidR="007837D9" w:rsidRPr="007C68F1">
        <w:t xml:space="preserve"> of over $</w:t>
      </w:r>
      <w:r w:rsidR="001B0A60" w:rsidRPr="007C68F1">
        <w:t>3</w:t>
      </w:r>
      <w:r w:rsidR="007837D9" w:rsidRPr="007C68F1">
        <w:t>00.</w:t>
      </w:r>
    </w:p>
    <w:p w14:paraId="15B8A92D" w14:textId="77777777" w:rsidR="00DA584F" w:rsidRPr="007C68F1" w:rsidRDefault="00D16B2E" w:rsidP="007D1009">
      <w:pPr>
        <w:pStyle w:val="FootnoteText"/>
        <w:spacing w:line="480" w:lineRule="auto"/>
        <w:ind w:firstLine="720"/>
      </w:pPr>
      <w:r w:rsidRPr="007C68F1">
        <w:t xml:space="preserve">In its reply brief, the medical center </w:t>
      </w:r>
      <w:r w:rsidR="0024686C" w:rsidRPr="007C68F1">
        <w:t xml:space="preserve">generally </w:t>
      </w:r>
      <w:r w:rsidR="00C839BD" w:rsidRPr="007C68F1">
        <w:t>argued that Woodworth had offered no evidence to dispute Bowell’s declaration, and she had offered no evidence of a willful failure to pay</w:t>
      </w:r>
      <w:r w:rsidR="0072740B" w:rsidRPr="007C68F1">
        <w:t xml:space="preserve"> wages owed at the time of her separation</w:t>
      </w:r>
      <w:r w:rsidR="00C839BD" w:rsidRPr="007C68F1">
        <w:t xml:space="preserve">. </w:t>
      </w:r>
    </w:p>
    <w:p w14:paraId="683EDBD7" w14:textId="77777777" w:rsidR="00795F96" w:rsidRPr="007C68F1" w:rsidRDefault="00D16B2E" w:rsidP="007D1009">
      <w:pPr>
        <w:pStyle w:val="FootnoteText"/>
        <w:spacing w:line="480" w:lineRule="auto"/>
        <w:ind w:firstLine="720"/>
      </w:pPr>
      <w:r w:rsidRPr="007C68F1">
        <w:t xml:space="preserve">The court granted summary adjudication for the medical center on the </w:t>
      </w:r>
      <w:r w:rsidR="00D25453" w:rsidRPr="007C68F1">
        <w:t>waiting time</w:t>
      </w:r>
      <w:r w:rsidRPr="007C68F1">
        <w:t xml:space="preserve"> claim.  It ruled that Bowell’s declaration showed that the medical center had paid </w:t>
      </w:r>
      <w:r w:rsidR="00216781" w:rsidRPr="007C68F1">
        <w:t xml:space="preserve">Woodworth </w:t>
      </w:r>
      <w:r w:rsidRPr="007C68F1">
        <w:t>all wages owed.  Moreover, the court ruled, Woodworth failed to offer evidence sh</w:t>
      </w:r>
      <w:r w:rsidRPr="007C68F1">
        <w:t>owing a triable issue of fact as to the willfulness element.</w:t>
      </w:r>
    </w:p>
    <w:p w14:paraId="4E84C5A9" w14:textId="77777777" w:rsidR="00664C1A" w:rsidRPr="007C68F1" w:rsidRDefault="00D16B2E" w:rsidP="007D1009">
      <w:pPr>
        <w:pStyle w:val="FootnoteText"/>
        <w:keepNext/>
        <w:spacing w:line="480" w:lineRule="auto"/>
        <w:ind w:firstLine="720"/>
        <w:rPr>
          <w:i/>
          <w:iCs/>
        </w:rPr>
      </w:pPr>
      <w:r w:rsidRPr="007C68F1">
        <w:tab/>
        <w:t xml:space="preserve">2.  </w:t>
      </w:r>
      <w:r w:rsidRPr="007C68F1">
        <w:rPr>
          <w:i/>
          <w:iCs/>
        </w:rPr>
        <w:t>Analysis</w:t>
      </w:r>
    </w:p>
    <w:p w14:paraId="569FB637" w14:textId="77777777" w:rsidR="005A7A6C" w:rsidRPr="007C68F1" w:rsidRDefault="00D16B2E" w:rsidP="007D1009">
      <w:pPr>
        <w:pStyle w:val="FootnoteText"/>
        <w:spacing w:line="480" w:lineRule="auto"/>
        <w:ind w:firstLine="720"/>
      </w:pPr>
      <w:r w:rsidRPr="007C68F1">
        <w:t xml:space="preserve">If an employee gives </w:t>
      </w:r>
      <w:bookmarkStart w:id="589" w:name="dabmq_265"/>
      <w:r w:rsidR="001F4F55" w:rsidRPr="007C68F1">
        <w:t>“72 hours previous notice of his or her intention to quit,”</w:t>
      </w:r>
      <w:bookmarkEnd w:id="589"/>
      <w:r w:rsidR="001F4F55" w:rsidRPr="007C68F1">
        <w:t xml:space="preserve"> the </w:t>
      </w:r>
      <w:bookmarkStart w:id="590" w:name="dabmq_266"/>
      <w:r w:rsidR="001F4F55" w:rsidRPr="007C68F1">
        <w:t>“employee is entitled to his or her wages at the time of quitting.”</w:t>
      </w:r>
      <w:bookmarkEnd w:id="590"/>
      <w:r w:rsidR="001F4F55" w:rsidRPr="007C68F1">
        <w:t xml:space="preserve">  (§ 202, subd. (a).)</w:t>
      </w:r>
      <w:r w:rsidR="00FA44FF" w:rsidRPr="007C68F1">
        <w:t xml:space="preserve">  </w:t>
      </w:r>
      <w:r w:rsidR="00B714EF" w:rsidRPr="007C68F1">
        <w:t>When</w:t>
      </w:r>
      <w:r w:rsidR="00FA44FF" w:rsidRPr="007C68F1">
        <w:rPr>
          <w:shd w:val="clear" w:color="auto" w:fill="FFFFFF"/>
        </w:rPr>
        <w:t xml:space="preserve"> an employer discharges </w:t>
      </w:r>
      <w:r w:rsidR="00B714EF" w:rsidRPr="007C68F1">
        <w:rPr>
          <w:shd w:val="clear" w:color="auto" w:fill="FFFFFF"/>
        </w:rPr>
        <w:t>the</w:t>
      </w:r>
      <w:r w:rsidR="00FA44FF" w:rsidRPr="007C68F1">
        <w:rPr>
          <w:shd w:val="clear" w:color="auto" w:fill="FFFFFF"/>
        </w:rPr>
        <w:t xml:space="preserve"> employee, </w:t>
      </w:r>
      <w:bookmarkStart w:id="591" w:name="dabmq_267"/>
      <w:r w:rsidR="00B714EF" w:rsidRPr="007C68F1">
        <w:rPr>
          <w:shd w:val="clear" w:color="auto" w:fill="FFFFFF"/>
        </w:rPr>
        <w:t>“</w:t>
      </w:r>
      <w:r w:rsidR="00FA44FF" w:rsidRPr="007C68F1">
        <w:rPr>
          <w:shd w:val="clear" w:color="auto" w:fill="FFFFFF"/>
        </w:rPr>
        <w:t>the wages earned and unpaid at the time of discharge are due and payable immediately.”</w:t>
      </w:r>
      <w:bookmarkEnd w:id="591"/>
      <w:r w:rsidR="00FA44FF" w:rsidRPr="007C68F1">
        <w:rPr>
          <w:shd w:val="clear" w:color="auto" w:fill="FFFFFF"/>
        </w:rPr>
        <w:t xml:space="preserve">  (</w:t>
      </w:r>
      <w:r w:rsidR="00FA44FF" w:rsidRPr="007C68F1">
        <w:t xml:space="preserve">§ 201, subd. (a).)  The </w:t>
      </w:r>
      <w:r w:rsidR="0099452A" w:rsidRPr="007C68F1">
        <w:t xml:space="preserve">employer </w:t>
      </w:r>
      <w:r w:rsidR="001F4F55" w:rsidRPr="007C68F1">
        <w:t xml:space="preserve">must pay a penalty for </w:t>
      </w:r>
      <w:bookmarkStart w:id="592" w:name="dabmq_268"/>
      <w:r w:rsidR="0099452A" w:rsidRPr="007C68F1">
        <w:t>“willfully fail</w:t>
      </w:r>
      <w:r w:rsidR="001F4F55" w:rsidRPr="007C68F1">
        <w:t xml:space="preserve">[ing] </w:t>
      </w:r>
      <w:r w:rsidR="0099452A" w:rsidRPr="007C68F1">
        <w:t>to pay</w:t>
      </w:r>
      <w:r w:rsidR="001F4F55" w:rsidRPr="007C68F1">
        <w:t>”</w:t>
      </w:r>
      <w:bookmarkEnd w:id="592"/>
      <w:r w:rsidR="001F4F55" w:rsidRPr="007C68F1">
        <w:t xml:space="preserve"> the employee</w:t>
      </w:r>
      <w:r w:rsidR="002D222B" w:rsidRPr="007C68F1">
        <w:t xml:space="preserve">’s </w:t>
      </w:r>
      <w:r w:rsidR="001F4F55" w:rsidRPr="007C68F1">
        <w:t xml:space="preserve">wages </w:t>
      </w:r>
      <w:r w:rsidR="00FA44FF" w:rsidRPr="007C68F1">
        <w:t xml:space="preserve">in accordance with those </w:t>
      </w:r>
      <w:r w:rsidR="000879E1" w:rsidRPr="007C68F1">
        <w:lastRenderedPageBreak/>
        <w:t>deadlines</w:t>
      </w:r>
      <w:r w:rsidR="001F4F55" w:rsidRPr="007C68F1">
        <w:t xml:space="preserve">.  </w:t>
      </w:r>
      <w:r w:rsidR="0099452A" w:rsidRPr="007C68F1">
        <w:t xml:space="preserve">(§ 203, subd. (a).)  </w:t>
      </w:r>
      <w:bookmarkStart w:id="593" w:name="dabmq_269"/>
      <w:r w:rsidR="002D222B" w:rsidRPr="007C68F1">
        <w:rPr>
          <w:shd w:val="clear" w:color="auto" w:fill="FFFFFF"/>
        </w:rPr>
        <w:t>“A willful failure to pay wages</w:t>
      </w:r>
      <w:r w:rsidR="00A8609B" w:rsidRPr="007C68F1">
        <w:rPr>
          <w:shd w:val="clear" w:color="auto" w:fill="FFFFFF"/>
        </w:rPr>
        <w:t>”</w:t>
      </w:r>
      <w:bookmarkEnd w:id="593"/>
      <w:r w:rsidR="00A8609B" w:rsidRPr="007C68F1">
        <w:rPr>
          <w:shd w:val="clear" w:color="auto" w:fill="FFFFFF"/>
        </w:rPr>
        <w:t xml:space="preserve"> means that the employer intentionally failed to pay when the wages were due.  (</w:t>
      </w:r>
      <w:bookmarkStart w:id="594" w:name="dabmci_bd41ac12eef94cca855cb52c560b8fce"/>
      <w:r w:rsidR="00A8609B" w:rsidRPr="007C68F1">
        <w:rPr>
          <w:shd w:val="clear" w:color="auto" w:fill="FFFFFF"/>
        </w:rPr>
        <w:t>C</w:t>
      </w:r>
      <w:r w:rsidR="00A8609B" w:rsidRPr="007C68F1">
        <w:t>al. Code Regs., tit. 8, § 13520</w:t>
      </w:r>
      <w:bookmarkEnd w:id="594"/>
      <w:r w:rsidR="00A8609B" w:rsidRPr="007C68F1">
        <w:t>.)</w:t>
      </w:r>
      <w:r w:rsidRPr="007C68F1">
        <w:t xml:space="preserve">  </w:t>
      </w:r>
    </w:p>
    <w:p w14:paraId="481E434E" w14:textId="77777777" w:rsidR="005A7A6C" w:rsidRPr="007C68F1" w:rsidRDefault="00D16B2E" w:rsidP="007D1009">
      <w:pPr>
        <w:spacing w:line="480" w:lineRule="auto"/>
      </w:pPr>
      <w:r w:rsidRPr="007C68F1">
        <w:rPr>
          <w:shd w:val="clear" w:color="auto" w:fill="FFFFFF"/>
        </w:rPr>
        <w:t>A failure to pay that is inadvertent or a mistake is not “‘willful’” fo</w:t>
      </w:r>
      <w:r w:rsidRPr="007C68F1">
        <w:rPr>
          <w:shd w:val="clear" w:color="auto" w:fill="FFFFFF"/>
        </w:rPr>
        <w:t>r these purposes.  (</w:t>
      </w:r>
      <w:bookmarkStart w:id="595" w:name="dabmci_2706d9706fcb482181a2f47d62f2e49d"/>
      <w:r w:rsidRPr="007C68F1">
        <w:rPr>
          <w:i/>
          <w:iCs/>
          <w:bdr w:val="none" w:sz="0" w:space="0" w:color="auto" w:frame="1"/>
        </w:rPr>
        <w:t>Nishiki v. Danko Meredith, APC</w:t>
      </w:r>
      <w:r w:rsidRPr="007C68F1">
        <w:t xml:space="preserve"> (2018) 25 Cal.App.5th 883, 892</w:t>
      </w:r>
      <w:bookmarkEnd w:id="595"/>
      <w:r w:rsidRPr="007C68F1">
        <w:t xml:space="preserve">.)  </w:t>
      </w:r>
    </w:p>
    <w:p w14:paraId="4C08F3AF" w14:textId="77777777" w:rsidR="00D76142" w:rsidRPr="007C68F1" w:rsidRDefault="00D16B2E" w:rsidP="007D1009">
      <w:pPr>
        <w:spacing w:line="480" w:lineRule="auto"/>
        <w:ind w:firstLine="720"/>
      </w:pPr>
      <w:r w:rsidRPr="007C68F1">
        <w:rPr>
          <w:shd w:val="clear" w:color="auto" w:fill="FFFFFF"/>
        </w:rPr>
        <w:t xml:space="preserve">Also, </w:t>
      </w:r>
      <w:bookmarkStart w:id="596" w:name="dabmq_270"/>
      <w:r w:rsidRPr="007C68F1">
        <w:rPr>
          <w:shd w:val="clear" w:color="auto" w:fill="FFFFFF"/>
        </w:rPr>
        <w:t>“</w:t>
      </w:r>
      <w:r w:rsidR="002D222B" w:rsidRPr="007C68F1">
        <w:rPr>
          <w:shd w:val="clear" w:color="auto" w:fill="FFFFFF"/>
        </w:rPr>
        <w:t>a good faith dispute that any wages are due will preclude imposition of waiting time penalties.”</w:t>
      </w:r>
      <w:bookmarkEnd w:id="596"/>
      <w:r w:rsidR="002D222B" w:rsidRPr="007C68F1">
        <w:rPr>
          <w:shd w:val="clear" w:color="auto" w:fill="FFFFFF"/>
        </w:rPr>
        <w:t xml:space="preserve">  (</w:t>
      </w:r>
      <w:bookmarkStart w:id="597" w:name="dabmci_ec4a547210e44da9ba9edae231efcd79"/>
      <w:r w:rsidR="002D222B" w:rsidRPr="007C68F1">
        <w:rPr>
          <w:shd w:val="clear" w:color="auto" w:fill="FFFFFF"/>
        </w:rPr>
        <w:t>C</w:t>
      </w:r>
      <w:r w:rsidR="002D222B" w:rsidRPr="007C68F1">
        <w:t>al. Code Regs., tit. 8, §</w:t>
      </w:r>
      <w:r w:rsidR="00FC6AF0" w:rsidRPr="007C68F1">
        <w:t> </w:t>
      </w:r>
      <w:r w:rsidR="002D222B" w:rsidRPr="007C68F1">
        <w:t>13520</w:t>
      </w:r>
      <w:bookmarkEnd w:id="597"/>
      <w:r w:rsidR="00330EAF" w:rsidRPr="007C68F1">
        <w:t>.)</w:t>
      </w:r>
      <w:r w:rsidR="00A8609B" w:rsidRPr="007C68F1">
        <w:t xml:space="preserve">  </w:t>
      </w:r>
      <w:bookmarkStart w:id="598" w:name="dabmq_271"/>
      <w:r w:rsidR="00330EAF" w:rsidRPr="007C68F1">
        <w:rPr>
          <w:shd w:val="clear" w:color="auto" w:fill="FFFFFF"/>
        </w:rPr>
        <w:t xml:space="preserve">“A ‘good faith dispute’ that any wages are due occurs when an employer presents a defense, based in law or fact which, if successful, would preclude any recovery on the part of the employee. </w:t>
      </w:r>
      <w:r w:rsidR="00E76CCC" w:rsidRPr="007C68F1">
        <w:rPr>
          <w:shd w:val="clear" w:color="auto" w:fill="FFFFFF"/>
        </w:rPr>
        <w:t xml:space="preserve"> </w:t>
      </w:r>
      <w:r w:rsidR="00330EAF" w:rsidRPr="007C68F1">
        <w:rPr>
          <w:shd w:val="clear" w:color="auto" w:fill="FFFFFF"/>
        </w:rPr>
        <w:t xml:space="preserve">The fact that a defense is ultimately unsuccessful will not preclude a finding that a good faith dispute did exist. </w:t>
      </w:r>
      <w:r w:rsidR="00E76CCC" w:rsidRPr="007C68F1">
        <w:rPr>
          <w:shd w:val="clear" w:color="auto" w:fill="FFFFFF"/>
        </w:rPr>
        <w:t xml:space="preserve"> </w:t>
      </w:r>
      <w:r w:rsidR="00330EAF" w:rsidRPr="007C68F1">
        <w:rPr>
          <w:shd w:val="clear" w:color="auto" w:fill="FFFFFF"/>
        </w:rPr>
        <w:t>Defenses presented which, under all the circumstances, are unsupported by any evidence, are unreasonable, or are presented in bad faith, will preclude a finding of a ‘good faith dispute.’”</w:t>
      </w:r>
      <w:bookmarkEnd w:id="598"/>
      <w:r w:rsidR="00330EAF" w:rsidRPr="007C68F1">
        <w:rPr>
          <w:shd w:val="clear" w:color="auto" w:fill="FFFFFF"/>
        </w:rPr>
        <w:t xml:space="preserve">  (</w:t>
      </w:r>
      <w:bookmarkStart w:id="599" w:name="dabmci_eb95520189f24d32a59960dcbe46a28f"/>
      <w:r w:rsidR="00330EAF" w:rsidRPr="007C68F1">
        <w:rPr>
          <w:shd w:val="clear" w:color="auto" w:fill="FFFFFF"/>
        </w:rPr>
        <w:t>C</w:t>
      </w:r>
      <w:r w:rsidR="00330EAF" w:rsidRPr="007C68F1">
        <w:t>al. Code Regs., tit. 8, § 13520(a)</w:t>
      </w:r>
      <w:bookmarkEnd w:id="599"/>
      <w:r w:rsidR="00330EAF" w:rsidRPr="007C68F1">
        <w:t>.)</w:t>
      </w:r>
      <w:r w:rsidRPr="007C68F1">
        <w:t xml:space="preserve">  </w:t>
      </w:r>
      <w:r w:rsidRPr="007C68F1">
        <w:rPr>
          <w:shd w:val="clear" w:color="auto" w:fill="FFFFFF"/>
        </w:rPr>
        <w:t xml:space="preserve">Whether a good faith dispute exists is </w:t>
      </w:r>
      <w:bookmarkStart w:id="600" w:name="dabmq_272"/>
      <w:r w:rsidRPr="007C68F1">
        <w:rPr>
          <w:shd w:val="clear" w:color="auto" w:fill="FFFFFF"/>
        </w:rPr>
        <w:t>“an issue of fact.”</w:t>
      </w:r>
      <w:bookmarkEnd w:id="600"/>
      <w:r w:rsidRPr="007C68F1">
        <w:rPr>
          <w:shd w:val="clear" w:color="auto" w:fill="FFFFFF"/>
        </w:rPr>
        <w:t xml:space="preserve">  (</w:t>
      </w:r>
      <w:bookmarkStart w:id="601" w:name="dabmci_c46a705148fe4a1f8d636e1b451754b4"/>
      <w:r w:rsidRPr="007C68F1">
        <w:rPr>
          <w:i/>
          <w:iCs/>
          <w:bdr w:val="none" w:sz="0" w:space="0" w:color="auto" w:frame="1"/>
        </w:rPr>
        <w:t>Maldonado</w:t>
      </w:r>
      <w:r w:rsidRPr="007C68F1">
        <w:rPr>
          <w:bdr w:val="none" w:sz="0" w:space="0" w:color="auto" w:frame="1"/>
        </w:rPr>
        <w:t xml:space="preserve">, </w:t>
      </w:r>
      <w:r w:rsidRPr="007C68F1">
        <w:rPr>
          <w:i/>
          <w:iCs/>
          <w:bdr w:val="none" w:sz="0" w:space="0" w:color="auto" w:frame="1"/>
        </w:rPr>
        <w:t>supra</w:t>
      </w:r>
      <w:r w:rsidRPr="007C68F1">
        <w:rPr>
          <w:bdr w:val="none" w:sz="0" w:space="0" w:color="auto" w:frame="1"/>
        </w:rPr>
        <w:t xml:space="preserve">, </w:t>
      </w:r>
      <w:r w:rsidRPr="007C68F1">
        <w:t>22 Cal.App.5th at p. 1332</w:t>
      </w:r>
      <w:bookmarkEnd w:id="601"/>
      <w:r w:rsidRPr="007C68F1">
        <w:t xml:space="preserve">.)  </w:t>
      </w:r>
    </w:p>
    <w:p w14:paraId="0E794D14" w14:textId="77777777" w:rsidR="002E135D" w:rsidRPr="007C68F1" w:rsidRDefault="00D16B2E" w:rsidP="007D1009">
      <w:pPr>
        <w:spacing w:line="480" w:lineRule="auto"/>
        <w:ind w:firstLine="720"/>
      </w:pPr>
      <w:r w:rsidRPr="007C68F1">
        <w:t>Here,</w:t>
      </w:r>
      <w:r w:rsidR="003A043E" w:rsidRPr="007C68F1">
        <w:t xml:space="preserve"> </w:t>
      </w:r>
      <w:r w:rsidR="00F4668C" w:rsidRPr="007C68F1">
        <w:t>Woodworth fails to show that the court erred by granting the summary adjudication motion on her individual waiting time claim</w:t>
      </w:r>
      <w:r w:rsidR="005B6B3B" w:rsidRPr="007C68F1">
        <w:t>.</w:t>
      </w:r>
      <w:r w:rsidR="00F4668C" w:rsidRPr="007C68F1">
        <w:t xml:space="preserve">  </w:t>
      </w:r>
      <w:r w:rsidR="008B7455" w:rsidRPr="007C68F1">
        <w:t>(</w:t>
      </w:r>
      <w:bookmarkStart w:id="602" w:name="dabmci_8dfbef13bbf643fdb0999f7b7ea12262"/>
      <w:r w:rsidR="00446874" w:rsidRPr="007C68F1">
        <w:rPr>
          <w:i/>
          <w:iCs/>
          <w:bdr w:val="none" w:sz="0" w:space="0" w:color="auto" w:frame="1"/>
        </w:rPr>
        <w:t>Dinslage v. City and County of San Francisco</w:t>
      </w:r>
      <w:r w:rsidR="00446874" w:rsidRPr="007C68F1">
        <w:t> (2016) 5 Cal.App.5th 368, 379</w:t>
      </w:r>
      <w:bookmarkEnd w:id="602"/>
      <w:r w:rsidR="008B7455" w:rsidRPr="007C68F1">
        <w:t xml:space="preserve"> [</w:t>
      </w:r>
      <w:r w:rsidR="00B62917" w:rsidRPr="007C68F1">
        <w:t>appellant seeking review of an order granting summary adjudication bears the burden of affirmatively demonstrating error, as in any appeal</w:t>
      </w:r>
      <w:r w:rsidR="008B7455" w:rsidRPr="007C68F1">
        <w:t>].)</w:t>
      </w:r>
      <w:r w:rsidR="00880061" w:rsidRPr="007C68F1">
        <w:t xml:space="preserve">  </w:t>
      </w:r>
      <w:r w:rsidR="007C2D2D" w:rsidRPr="007C68F1">
        <w:t>First, s</w:t>
      </w:r>
      <w:r w:rsidR="005A458B" w:rsidRPr="007C68F1">
        <w:t xml:space="preserve">he argues </w:t>
      </w:r>
      <w:r w:rsidR="007C2D2D" w:rsidRPr="007C68F1">
        <w:t xml:space="preserve">that the court </w:t>
      </w:r>
      <w:r w:rsidR="003C08CD" w:rsidRPr="007C68F1">
        <w:t xml:space="preserve">erred </w:t>
      </w:r>
      <w:r w:rsidR="007C2D2D" w:rsidRPr="007C68F1">
        <w:t>by implicitly overruling her objections to</w:t>
      </w:r>
      <w:r w:rsidR="003C08CD" w:rsidRPr="007C68F1">
        <w:t xml:space="preserve"> the statements in Bowell’s declaration that the medical center had paid her all compensation owing.</w:t>
      </w:r>
      <w:r w:rsidR="007C2D2D" w:rsidRPr="007C68F1">
        <w:t xml:space="preserve">  But as before, Woodworth forfeited the argument.</w:t>
      </w:r>
      <w:r w:rsidR="00542BF5" w:rsidRPr="007C68F1">
        <w:t xml:space="preserve">  (</w:t>
      </w:r>
      <w:bookmarkStart w:id="603" w:name="dabmci_5c82d815fd7149f5b6b137a80a76c4cd"/>
      <w:r w:rsidR="00542BF5" w:rsidRPr="007C68F1">
        <w:rPr>
          <w:i/>
          <w:iCs/>
        </w:rPr>
        <w:t>Cahill</w:t>
      </w:r>
      <w:r w:rsidR="00542BF5" w:rsidRPr="007C68F1">
        <w:t xml:space="preserve">, </w:t>
      </w:r>
      <w:r w:rsidR="00542BF5" w:rsidRPr="007C68F1">
        <w:rPr>
          <w:i/>
          <w:iCs/>
        </w:rPr>
        <w:t>supra</w:t>
      </w:r>
      <w:r w:rsidR="00542BF5" w:rsidRPr="007C68F1">
        <w:t>, 194 Cal.App.4th at p. 956</w:t>
      </w:r>
      <w:bookmarkEnd w:id="603"/>
      <w:r w:rsidR="00542BF5" w:rsidRPr="007C68F1">
        <w:t xml:space="preserve">.)  </w:t>
      </w:r>
      <w:r w:rsidR="007C2D2D" w:rsidRPr="007C68F1">
        <w:t xml:space="preserve">She </w:t>
      </w:r>
      <w:r w:rsidR="00542BF5" w:rsidRPr="007C68F1">
        <w:t xml:space="preserve">asserts that Bowell’s statements amounted to </w:t>
      </w:r>
      <w:r w:rsidR="00542BF5" w:rsidRPr="007C68F1">
        <w:lastRenderedPageBreak/>
        <w:t xml:space="preserve">improper legal conclusions, </w:t>
      </w:r>
      <w:r w:rsidR="005F32CA" w:rsidRPr="007C68F1">
        <w:t>offering no</w:t>
      </w:r>
      <w:r w:rsidR="00542BF5" w:rsidRPr="007C68F1">
        <w:t xml:space="preserve"> further </w:t>
      </w:r>
      <w:r w:rsidR="005F32CA" w:rsidRPr="007C68F1">
        <w:t>argument</w:t>
      </w:r>
      <w:r w:rsidR="00542BF5" w:rsidRPr="007C68F1">
        <w:t xml:space="preserve"> or citation to authority.</w:t>
      </w:r>
      <w:r w:rsidR="005F32CA" w:rsidRPr="007C68F1">
        <w:t xml:space="preserve">  </w:t>
      </w:r>
      <w:r w:rsidR="00542BF5" w:rsidRPr="007C68F1">
        <w:t xml:space="preserve">That conclusory assertion does not </w:t>
      </w:r>
      <w:r w:rsidR="005F32CA" w:rsidRPr="007C68F1">
        <w:t>establish</w:t>
      </w:r>
      <w:r w:rsidR="00542BF5" w:rsidRPr="007C68F1">
        <w:t xml:space="preserve"> that the court </w:t>
      </w:r>
      <w:r w:rsidR="003C08CD" w:rsidRPr="007C68F1">
        <w:t>abused its discretion</w:t>
      </w:r>
      <w:r w:rsidR="00542BF5" w:rsidRPr="007C68F1">
        <w:t xml:space="preserve"> or</w:t>
      </w:r>
      <w:r w:rsidR="007C2D2D" w:rsidRPr="007C68F1">
        <w:t xml:space="preserve"> </w:t>
      </w:r>
      <w:r w:rsidR="005F32CA" w:rsidRPr="007C68F1">
        <w:t>that</w:t>
      </w:r>
      <w:r w:rsidR="007C2D2D" w:rsidRPr="007C68F1">
        <w:t xml:space="preserve"> any error was prejudicial.  </w:t>
      </w:r>
    </w:p>
    <w:p w14:paraId="5E8EBD33" w14:textId="77777777" w:rsidR="007B1236" w:rsidRPr="007C68F1" w:rsidRDefault="00D16B2E" w:rsidP="007D1009">
      <w:pPr>
        <w:spacing w:line="480" w:lineRule="auto"/>
        <w:ind w:firstLine="720"/>
      </w:pPr>
      <w:r w:rsidRPr="007C68F1">
        <w:t xml:space="preserve">Second, </w:t>
      </w:r>
      <w:r w:rsidR="007E313D" w:rsidRPr="007C68F1">
        <w:t>Woodworth</w:t>
      </w:r>
      <w:r w:rsidRPr="007C68F1">
        <w:t xml:space="preserve"> </w:t>
      </w:r>
      <w:r w:rsidR="008B75CE" w:rsidRPr="007C68F1">
        <w:t>contends</w:t>
      </w:r>
      <w:r w:rsidRPr="007C68F1">
        <w:t xml:space="preserve"> that</w:t>
      </w:r>
      <w:r w:rsidR="008B75CE" w:rsidRPr="007C68F1">
        <w:t xml:space="preserve"> evidence of the </w:t>
      </w:r>
      <w:r w:rsidR="000D49FC" w:rsidRPr="007C68F1">
        <w:t>“Retro Pay”</w:t>
      </w:r>
      <w:r w:rsidR="008B75CE" w:rsidRPr="007C68F1">
        <w:t xml:space="preserve"> check </w:t>
      </w:r>
      <w:r w:rsidR="005F32CA" w:rsidRPr="007C68F1">
        <w:t>(</w:t>
      </w:r>
      <w:r w:rsidR="008B75CE" w:rsidRPr="007C68F1">
        <w:t xml:space="preserve">issued </w:t>
      </w:r>
      <w:r w:rsidR="00812136" w:rsidRPr="007C68F1">
        <w:t>four</w:t>
      </w:r>
      <w:r w:rsidR="005F32CA" w:rsidRPr="007C68F1">
        <w:t xml:space="preserve"> days after she resigned) </w:t>
      </w:r>
      <w:r w:rsidR="001E1A49" w:rsidRPr="007C68F1">
        <w:t xml:space="preserve">created a triable issue of fact as to whether </w:t>
      </w:r>
      <w:r w:rsidR="00AF5B9A" w:rsidRPr="007C68F1">
        <w:t>she had a stand-alone waiting time claim</w:t>
      </w:r>
      <w:r w:rsidR="001E1A49" w:rsidRPr="007C68F1">
        <w:t>.  That argument lacks merit.</w:t>
      </w:r>
      <w:r w:rsidR="00812136" w:rsidRPr="007C68F1">
        <w:t xml:space="preserve">  The TAC did not allege that the medical center had issued her a check several days late.</w:t>
      </w:r>
      <w:r w:rsidR="000D49FC" w:rsidRPr="007C68F1">
        <w:t xml:space="preserve"> </w:t>
      </w:r>
      <w:r w:rsidR="00812136" w:rsidRPr="007C68F1">
        <w:t xml:space="preserve"> And t</w:t>
      </w:r>
      <w:r w:rsidR="000D49FC" w:rsidRPr="007C68F1">
        <w:t>he medical center</w:t>
      </w:r>
      <w:r w:rsidR="00FF288C" w:rsidRPr="007C68F1">
        <w:t xml:space="preserve"> submitted </w:t>
      </w:r>
      <w:r w:rsidR="000D49FC" w:rsidRPr="007C68F1">
        <w:t xml:space="preserve">Woodworth’s interrogatory response </w:t>
      </w:r>
      <w:r w:rsidR="005F1ACA" w:rsidRPr="007C68F1">
        <w:t>describ</w:t>
      </w:r>
      <w:r w:rsidR="003C08CD" w:rsidRPr="007C68F1">
        <w:t>ing</w:t>
      </w:r>
      <w:r w:rsidR="005F1ACA" w:rsidRPr="007C68F1">
        <w:t xml:space="preserve"> </w:t>
      </w:r>
      <w:r w:rsidR="000D49FC" w:rsidRPr="007C68F1">
        <w:t xml:space="preserve">her </w:t>
      </w:r>
      <w:r w:rsidR="0023193F" w:rsidRPr="007C68F1">
        <w:t xml:space="preserve">waiting time </w:t>
      </w:r>
      <w:r w:rsidR="000D49FC" w:rsidRPr="007C68F1">
        <w:t xml:space="preserve">claim </w:t>
      </w:r>
      <w:r w:rsidR="005F1ACA" w:rsidRPr="007C68F1">
        <w:t>as</w:t>
      </w:r>
      <w:r w:rsidR="000D49FC" w:rsidRPr="007C68F1">
        <w:t xml:space="preserve"> a derivative one based on underlying wage and hour violations.  She made no mention of a stand-alone waiting time claim.  That shifted the burden to Woodworth to show </w:t>
      </w:r>
      <w:r w:rsidR="006D47FD" w:rsidRPr="007C68F1">
        <w:t>a triable issue of material fact as to</w:t>
      </w:r>
      <w:r w:rsidR="000D49FC" w:rsidRPr="007C68F1">
        <w:t xml:space="preserve"> a stand-alone </w:t>
      </w:r>
      <w:r w:rsidR="0023193F" w:rsidRPr="007C68F1">
        <w:t xml:space="preserve">waiting time claim.  </w:t>
      </w:r>
      <w:r w:rsidR="00190F59" w:rsidRPr="007C68F1">
        <w:t>(</w:t>
      </w:r>
      <w:bookmarkStart w:id="604" w:name="dabmci_cc833456082a44e489e5680799233751"/>
      <w:r w:rsidR="00190F59" w:rsidRPr="007C68F1">
        <w:rPr>
          <w:i/>
          <w:iCs/>
        </w:rPr>
        <w:t>Silva</w:t>
      </w:r>
      <w:r w:rsidR="00190F59" w:rsidRPr="007C68F1">
        <w:t xml:space="preserve">, </w:t>
      </w:r>
      <w:r w:rsidR="00190F59" w:rsidRPr="007C68F1">
        <w:rPr>
          <w:i/>
          <w:iCs/>
        </w:rPr>
        <w:t>supra</w:t>
      </w:r>
      <w:r w:rsidR="00190F59" w:rsidRPr="007C68F1">
        <w:t xml:space="preserve">, 7 Cal.App.5th at </w:t>
      </w:r>
      <w:r w:rsidR="00FF288C" w:rsidRPr="007C68F1">
        <w:t>p</w:t>
      </w:r>
      <w:r w:rsidR="00190F59" w:rsidRPr="007C68F1">
        <w:t>p.</w:t>
      </w:r>
      <w:r w:rsidR="00371FF5">
        <w:t> </w:t>
      </w:r>
      <w:r w:rsidR="00190F59" w:rsidRPr="007C68F1">
        <w:t>259</w:t>
      </w:r>
      <w:r w:rsidR="00FF288C" w:rsidRPr="007C68F1">
        <w:t>-260</w:t>
      </w:r>
      <w:bookmarkEnd w:id="604"/>
      <w:r w:rsidR="00366280" w:rsidRPr="007C68F1">
        <w:t xml:space="preserve"> [plaintiff’s </w:t>
      </w:r>
      <w:r w:rsidR="00B179E3" w:rsidRPr="007C68F1">
        <w:t xml:space="preserve">interrogatory response was devoid of facts to support certain claims, shifting the burden to her to show a triable issue of fact on those claims]; </w:t>
      </w:r>
      <w:bookmarkStart w:id="605" w:name="dabmci_a715eae9e2e04886a96d418fd6ca4b0b"/>
      <w:r w:rsidR="00890A75" w:rsidRPr="007C68F1">
        <w:rPr>
          <w:i/>
          <w:iCs/>
          <w:bdr w:val="none" w:sz="0" w:space="0" w:color="auto" w:frame="1"/>
        </w:rPr>
        <w:t>Union Bank v. Superior Court</w:t>
      </w:r>
      <w:r w:rsidR="00ED365F" w:rsidRPr="007C68F1">
        <w:rPr>
          <w:i/>
          <w:iCs/>
          <w:bdr w:val="none" w:sz="0" w:space="0" w:color="auto" w:frame="1"/>
        </w:rPr>
        <w:t xml:space="preserve"> </w:t>
      </w:r>
      <w:r w:rsidR="00890A75" w:rsidRPr="007C68F1">
        <w:t>(1995) 31 Cal.App.4th 573, 581</w:t>
      </w:r>
      <w:bookmarkEnd w:id="605"/>
      <w:r w:rsidR="006D47FD" w:rsidRPr="007C68F1">
        <w:t xml:space="preserve">.)  </w:t>
      </w:r>
      <w:r w:rsidR="00366280" w:rsidRPr="007C68F1">
        <w:t>Ev</w:t>
      </w:r>
      <w:r w:rsidR="00AC755F" w:rsidRPr="007C68F1">
        <w:t>en</w:t>
      </w:r>
      <w:r w:rsidR="00F1043A" w:rsidRPr="007C68F1">
        <w:t xml:space="preserve"> if </w:t>
      </w:r>
      <w:r w:rsidR="00366280" w:rsidRPr="007C68F1">
        <w:t xml:space="preserve">the </w:t>
      </w:r>
      <w:r w:rsidR="00812136" w:rsidRPr="007C68F1">
        <w:t>check for “Retro Pay”</w:t>
      </w:r>
      <w:r w:rsidR="00F1043A" w:rsidRPr="007C68F1">
        <w:t xml:space="preserve"> </w:t>
      </w:r>
      <w:r w:rsidR="00AF5B9A" w:rsidRPr="007C68F1">
        <w:t>constituted wages that were due</w:t>
      </w:r>
      <w:r w:rsidR="00AC755F" w:rsidRPr="007C68F1">
        <w:t xml:space="preserve"> upon her separation</w:t>
      </w:r>
      <w:r w:rsidR="00AF5B9A" w:rsidRPr="007C68F1">
        <w:t>, s</w:t>
      </w:r>
      <w:r w:rsidR="00FA7B1E" w:rsidRPr="007C68F1">
        <w:t>he proffered no evidence that the medical center intentionally</w:t>
      </w:r>
      <w:r w:rsidR="00F1043A" w:rsidRPr="007C68F1">
        <w:t>—as opposed to inadvertently</w:t>
      </w:r>
      <w:r w:rsidR="00E0155D" w:rsidRPr="007C68F1">
        <w:t xml:space="preserve"> or mistakenly</w:t>
      </w:r>
      <w:r w:rsidR="00F1043A" w:rsidRPr="007C68F1">
        <w:t>—</w:t>
      </w:r>
      <w:r w:rsidR="00FA7B1E" w:rsidRPr="007C68F1">
        <w:t>failed to</w:t>
      </w:r>
      <w:r w:rsidR="00AF5B9A" w:rsidRPr="007C68F1">
        <w:t xml:space="preserve"> issue the </w:t>
      </w:r>
      <w:r w:rsidR="00F1043A" w:rsidRPr="007C68F1">
        <w:t>payment</w:t>
      </w:r>
      <w:r w:rsidR="00AF5B9A" w:rsidRPr="007C68F1">
        <w:t xml:space="preserve"> </w:t>
      </w:r>
      <w:r w:rsidR="003C08CD" w:rsidRPr="007C68F1">
        <w:t>four days earlier</w:t>
      </w:r>
      <w:r w:rsidR="00F1043A" w:rsidRPr="007C68F1">
        <w:t>.</w:t>
      </w:r>
      <w:r w:rsidR="00E0155D" w:rsidRPr="007C68F1">
        <w:t xml:space="preserve">  She thus did not show a triable issue of material fact on </w:t>
      </w:r>
      <w:r w:rsidR="008B7649" w:rsidRPr="007C68F1">
        <w:t>any</w:t>
      </w:r>
      <w:r w:rsidR="00E0155D" w:rsidRPr="007C68F1">
        <w:t xml:space="preserve"> stand-alone waiting time claim.</w:t>
      </w:r>
      <w:r w:rsidR="0055469F" w:rsidRPr="007C68F1">
        <w:t xml:space="preserve"> </w:t>
      </w:r>
    </w:p>
    <w:p w14:paraId="24FD2B90" w14:textId="77777777" w:rsidR="00C05F39" w:rsidRPr="007C68F1" w:rsidRDefault="00D16B2E" w:rsidP="007D1009">
      <w:pPr>
        <w:spacing w:line="480" w:lineRule="auto"/>
        <w:ind w:firstLine="720"/>
      </w:pPr>
      <w:r w:rsidRPr="007C68F1">
        <w:t xml:space="preserve">Third, Woodworth argues that </w:t>
      </w:r>
      <w:r w:rsidR="002E135D" w:rsidRPr="007C68F1">
        <w:t>the medical center failed to present evidence of a good faith dispute about the regular rate claim or the AWS defense, so her derivative waiting time claim should survive.</w:t>
      </w:r>
      <w:r w:rsidR="00A71F74" w:rsidRPr="007C68F1">
        <w:t xml:space="preserve">  </w:t>
      </w:r>
      <w:r w:rsidR="008C1398" w:rsidRPr="007C68F1">
        <w:t xml:space="preserve">We also reject that argument.  A good faith defense </w:t>
      </w:r>
      <w:r w:rsidR="00BB209B" w:rsidRPr="007C68F1">
        <w:t xml:space="preserve">based in law or fact constitutes a good faith dispute.  The medical center presented such </w:t>
      </w:r>
      <w:r w:rsidR="00BB209B" w:rsidRPr="007C68F1">
        <w:lastRenderedPageBreak/>
        <w:t>defenses.  The same motion showed that Woodworth’s regular rate claim lacked merit, and the concurrently filed motion on the AWS defense showed that the defense had merit.  (We discuss the merits of the AWS motion in a following subpart.)  The medical center therefore showed a good faith dispute precluding</w:t>
      </w:r>
      <w:r w:rsidR="006D1C63" w:rsidRPr="007C68F1">
        <w:t xml:space="preserve"> liability for waiting time penalties based on Woodworth’s individual regular rate claim and overtime claim.</w:t>
      </w:r>
      <w:r>
        <w:rPr>
          <w:rStyle w:val="FootnoteReference"/>
        </w:rPr>
        <w:footnoteReference w:id="12"/>
      </w:r>
      <w:r w:rsidR="006D1C63" w:rsidRPr="007C68F1">
        <w:t xml:space="preserve"> </w:t>
      </w:r>
      <w:bookmarkStart w:id="608" w:name="_Hlk135997533"/>
      <w:r w:rsidR="006D1C63" w:rsidRPr="007C68F1">
        <w:t xml:space="preserve"> </w:t>
      </w:r>
      <w:r w:rsidR="00F70799" w:rsidRPr="007C68F1">
        <w:t xml:space="preserve">  </w:t>
      </w:r>
    </w:p>
    <w:bookmarkEnd w:id="608"/>
    <w:p w14:paraId="1F7D0B95" w14:textId="77777777" w:rsidR="007C7818" w:rsidRPr="007C68F1" w:rsidRDefault="00D16B2E" w:rsidP="007D1009">
      <w:pPr>
        <w:pStyle w:val="FootnoteText"/>
        <w:spacing w:line="480" w:lineRule="auto"/>
        <w:ind w:firstLine="720"/>
      </w:pPr>
      <w:r w:rsidRPr="007C68F1">
        <w:t>However, as</w:t>
      </w:r>
      <w:r w:rsidR="00E11046" w:rsidRPr="007C68F1">
        <w:t xml:space="preserve"> to the waiting time claim of the aggrieved employees</w:t>
      </w:r>
      <w:r w:rsidR="00AC755F" w:rsidRPr="007C68F1">
        <w:t xml:space="preserve">, </w:t>
      </w:r>
      <w:r w:rsidR="00987F7B" w:rsidRPr="007C68F1">
        <w:t xml:space="preserve">the </w:t>
      </w:r>
      <w:r w:rsidR="007B1236" w:rsidRPr="007C68F1">
        <w:t xml:space="preserve">court </w:t>
      </w:r>
      <w:r w:rsidR="00AC755F" w:rsidRPr="007C68F1">
        <w:t>erred</w:t>
      </w:r>
      <w:r w:rsidR="00CA39D3" w:rsidRPr="007C68F1">
        <w:t xml:space="preserve"> by granting summary adjudication on </w:t>
      </w:r>
      <w:r w:rsidR="00881AA3" w:rsidRPr="007C68F1">
        <w:t>the</w:t>
      </w:r>
      <w:r w:rsidR="00CA39D3" w:rsidRPr="007C68F1">
        <w:t xml:space="preserve"> </w:t>
      </w:r>
      <w:r w:rsidR="00633C2F" w:rsidRPr="007C68F1">
        <w:t>PAGA</w:t>
      </w:r>
      <w:r w:rsidR="00CA39D3" w:rsidRPr="007C68F1">
        <w:t xml:space="preserve"> </w:t>
      </w:r>
      <w:r w:rsidR="00F669E0" w:rsidRPr="007C68F1">
        <w:t>waiting time</w:t>
      </w:r>
      <w:r w:rsidR="00CA39D3" w:rsidRPr="007C68F1">
        <w:t xml:space="preserve"> claim.</w:t>
      </w:r>
      <w:r w:rsidR="00633C2F" w:rsidRPr="007C68F1">
        <w:t xml:space="preserve">  The </w:t>
      </w:r>
      <w:r w:rsidR="006B7A30" w:rsidRPr="007C68F1">
        <w:t xml:space="preserve">medical center argued that the </w:t>
      </w:r>
      <w:r w:rsidR="00F669E0" w:rsidRPr="007C68F1">
        <w:t>waiting time</w:t>
      </w:r>
      <w:r w:rsidR="006B7A30" w:rsidRPr="007C68F1">
        <w:t xml:space="preserve"> claim lacked merit </w:t>
      </w:r>
      <w:r w:rsidR="008B7455" w:rsidRPr="007C68F1">
        <w:t>insofar as</w:t>
      </w:r>
      <w:r w:rsidR="006B7A30" w:rsidRPr="007C68F1">
        <w:t xml:space="preserve"> the </w:t>
      </w:r>
      <w:r w:rsidR="008B7455" w:rsidRPr="007C68F1">
        <w:t>regular rate claim</w:t>
      </w:r>
      <w:r w:rsidR="006B7A30" w:rsidRPr="007C68F1">
        <w:t xml:space="preserve"> lacked merit.  But we have concluded</w:t>
      </w:r>
      <w:r w:rsidR="00C04843" w:rsidRPr="007C68F1">
        <w:t xml:space="preserve"> </w:t>
      </w:r>
      <w:r w:rsidR="006B7A30" w:rsidRPr="007C68F1">
        <w:t>that the</w:t>
      </w:r>
      <w:r w:rsidR="006A0391" w:rsidRPr="007C68F1">
        <w:t xml:space="preserve"> court erred by granting summary adjudication in favor of the medical center on the PAGA regular rate claim.</w:t>
      </w:r>
      <w:r w:rsidR="00B110E3" w:rsidRPr="007C68F1">
        <w:t xml:space="preserve">  </w:t>
      </w:r>
      <w:r w:rsidR="00B714EF" w:rsidRPr="007C68F1">
        <w:t xml:space="preserve">Because </w:t>
      </w:r>
      <w:r w:rsidR="008B7455" w:rsidRPr="007C68F1">
        <w:t>that</w:t>
      </w:r>
      <w:r w:rsidR="00B714EF" w:rsidRPr="007C68F1">
        <w:t xml:space="preserve"> underlying claim survive</w:t>
      </w:r>
      <w:r w:rsidR="008B7455" w:rsidRPr="007C68F1">
        <w:t>s</w:t>
      </w:r>
      <w:r w:rsidR="00B714EF" w:rsidRPr="007C68F1">
        <w:t xml:space="preserve">, the derivative </w:t>
      </w:r>
      <w:r w:rsidR="00F669E0" w:rsidRPr="007C68F1">
        <w:t>waiting time claim</w:t>
      </w:r>
      <w:r w:rsidR="00B714EF" w:rsidRPr="007C68F1">
        <w:t xml:space="preserve"> survives.</w:t>
      </w:r>
      <w:r w:rsidR="006A0391" w:rsidRPr="007C68F1">
        <w:t xml:space="preserve"> </w:t>
      </w:r>
      <w:r w:rsidR="00B714EF" w:rsidRPr="007C68F1">
        <w:t xml:space="preserve"> </w:t>
      </w:r>
      <w:r w:rsidR="006A0391" w:rsidRPr="007C68F1">
        <w:t xml:space="preserve">Moreover, the medical center did not </w:t>
      </w:r>
      <w:r w:rsidR="00C04843" w:rsidRPr="007C68F1">
        <w:t>carry its burden of showing a good faith dispute about the PAGA regular rate claim, such that a finding of willful</w:t>
      </w:r>
      <w:r w:rsidR="004368DE" w:rsidRPr="007C68F1">
        <w:t xml:space="preserve"> failure to pay </w:t>
      </w:r>
      <w:r w:rsidR="00C04843" w:rsidRPr="007C68F1">
        <w:t xml:space="preserve">would be precluded. </w:t>
      </w:r>
      <w:r w:rsidR="00FC6AF0" w:rsidRPr="007C68F1">
        <w:t xml:space="preserve"> </w:t>
      </w:r>
      <w:r w:rsidR="00C04843" w:rsidRPr="007C68F1">
        <w:t xml:space="preserve">As discussed, the </w:t>
      </w:r>
      <w:r w:rsidR="00C04843" w:rsidRPr="007C68F1">
        <w:lastRenderedPageBreak/>
        <w:t>medical center presented no evidence whatsoever about flat sum bonuses it excluded from the regular rate calculation, except for the Christmas bonus.</w:t>
      </w:r>
      <w:r w:rsidR="008129F7" w:rsidRPr="007C68F1">
        <w:t xml:space="preserve">  </w:t>
      </w:r>
      <w:r w:rsidR="00C04843" w:rsidRPr="007C68F1">
        <w:t xml:space="preserve">A defense that </w:t>
      </w:r>
      <w:r w:rsidRPr="007C68F1">
        <w:t xml:space="preserve">is </w:t>
      </w:r>
      <w:bookmarkStart w:id="609" w:name="dabmq_273"/>
      <w:r w:rsidRPr="007C68F1">
        <w:t>“unsupported by any evidence”</w:t>
      </w:r>
      <w:bookmarkEnd w:id="609"/>
      <w:r w:rsidRPr="007C68F1">
        <w:t xml:space="preserve"> precludes a finding of a good fait</w:t>
      </w:r>
      <w:r w:rsidRPr="007C68F1">
        <w:t>h dispute.</w:t>
      </w:r>
      <w:r w:rsidR="003F1195" w:rsidRPr="007C68F1">
        <w:t xml:space="preserve">  (</w:t>
      </w:r>
      <w:bookmarkStart w:id="610" w:name="dabmci_ae92096917c74e55af0ace09e0815746"/>
      <w:r w:rsidR="003F1195" w:rsidRPr="007C68F1">
        <w:rPr>
          <w:shd w:val="clear" w:color="auto" w:fill="FFFFFF"/>
        </w:rPr>
        <w:t>C</w:t>
      </w:r>
      <w:r w:rsidR="003F1195" w:rsidRPr="007C68F1">
        <w:t>al. Code Regs., tit. 8, § 13520(a)</w:t>
      </w:r>
      <w:bookmarkEnd w:id="610"/>
      <w:r w:rsidR="00F669E0" w:rsidRPr="007C68F1">
        <w:t xml:space="preserve">; see </w:t>
      </w:r>
      <w:bookmarkStart w:id="611" w:name="dabmci_e53ddf39e3d5436583e95a43c6297e1a"/>
      <w:r w:rsidR="00F669E0" w:rsidRPr="007C68F1">
        <w:rPr>
          <w:i/>
          <w:iCs/>
        </w:rPr>
        <w:t>Maldonado</w:t>
      </w:r>
      <w:r w:rsidR="00F669E0" w:rsidRPr="007C68F1">
        <w:t xml:space="preserve">, </w:t>
      </w:r>
      <w:r w:rsidR="00F669E0" w:rsidRPr="007C68F1">
        <w:rPr>
          <w:i/>
          <w:iCs/>
          <w:bdr w:val="none" w:sz="0" w:space="0" w:color="auto" w:frame="1"/>
        </w:rPr>
        <w:t>supra</w:t>
      </w:r>
      <w:r w:rsidR="00F669E0" w:rsidRPr="007C68F1">
        <w:rPr>
          <w:bdr w:val="none" w:sz="0" w:space="0" w:color="auto" w:frame="1"/>
        </w:rPr>
        <w:t xml:space="preserve">, </w:t>
      </w:r>
      <w:r w:rsidR="00F669E0" w:rsidRPr="007C68F1">
        <w:t>22 Cal.App.5th at p. 1333</w:t>
      </w:r>
      <w:bookmarkEnd w:id="611"/>
      <w:r w:rsidR="00F669E0" w:rsidRPr="007C68F1">
        <w:t xml:space="preserve"> [affirming finding of no good faith dispute when </w:t>
      </w:r>
      <w:bookmarkStart w:id="612" w:name="dabmq_274"/>
      <w:r w:rsidR="00F669E0" w:rsidRPr="007C68F1">
        <w:t>“there was no objectively reasonable factual basis for [the employer’s] defense”</w:t>
      </w:r>
      <w:bookmarkEnd w:id="612"/>
      <w:r w:rsidR="00F669E0" w:rsidRPr="007C68F1">
        <w:t xml:space="preserve"> to overtime claim on which derivative waiting time claim was based].)</w:t>
      </w:r>
      <w:r w:rsidRPr="007C68F1">
        <w:t xml:space="preserve">  </w:t>
      </w:r>
    </w:p>
    <w:p w14:paraId="1B32058F" w14:textId="77777777" w:rsidR="00987F7B" w:rsidRPr="007C68F1" w:rsidRDefault="00D16B2E" w:rsidP="007D1009">
      <w:pPr>
        <w:spacing w:line="480" w:lineRule="auto"/>
        <w:ind w:firstLine="720"/>
      </w:pPr>
      <w:r w:rsidRPr="007C68F1">
        <w:t xml:space="preserve">In sum, we conclude that the court properly granted summary adjudication </w:t>
      </w:r>
      <w:r w:rsidR="004626F3" w:rsidRPr="007C68F1">
        <w:t xml:space="preserve">in favor of the medical center </w:t>
      </w:r>
      <w:r w:rsidRPr="007C68F1">
        <w:t>on Woodworth’s individual waiting time claim but not on the PAGA waiting time claim.</w:t>
      </w:r>
      <w:r w:rsidR="006D1C63" w:rsidRPr="007C68F1">
        <w:t xml:space="preserve">  </w:t>
      </w:r>
    </w:p>
    <w:p w14:paraId="690BFBCA" w14:textId="77777777" w:rsidR="00B44471" w:rsidRPr="007C68F1" w:rsidRDefault="00D16B2E" w:rsidP="007D1009">
      <w:pPr>
        <w:keepNext/>
        <w:spacing w:line="480" w:lineRule="auto"/>
        <w:rPr>
          <w:shd w:val="clear" w:color="auto" w:fill="FFFFFF"/>
        </w:rPr>
      </w:pPr>
      <w:r w:rsidRPr="007C68F1">
        <w:rPr>
          <w:shd w:val="clear" w:color="auto" w:fill="FFFFFF"/>
        </w:rPr>
        <w:t xml:space="preserve">VI.  </w:t>
      </w:r>
      <w:r w:rsidRPr="007C68F1">
        <w:rPr>
          <w:i/>
          <w:iCs/>
          <w:shd w:val="clear" w:color="auto" w:fill="FFFFFF"/>
        </w:rPr>
        <w:t>Motion for Summa</w:t>
      </w:r>
      <w:r w:rsidRPr="007C68F1">
        <w:rPr>
          <w:i/>
          <w:iCs/>
          <w:shd w:val="clear" w:color="auto" w:fill="FFFFFF"/>
        </w:rPr>
        <w:t xml:space="preserve">ry Adjudication </w:t>
      </w:r>
      <w:r w:rsidR="008D357F" w:rsidRPr="007C68F1">
        <w:rPr>
          <w:i/>
          <w:iCs/>
          <w:shd w:val="clear" w:color="auto" w:fill="FFFFFF"/>
        </w:rPr>
        <w:t>on</w:t>
      </w:r>
      <w:r w:rsidRPr="007C68F1">
        <w:rPr>
          <w:i/>
          <w:iCs/>
          <w:shd w:val="clear" w:color="auto" w:fill="FFFFFF"/>
        </w:rPr>
        <w:t xml:space="preserve"> the AWS Defense</w:t>
      </w:r>
    </w:p>
    <w:p w14:paraId="0BC7611B" w14:textId="77777777" w:rsidR="00B44471" w:rsidRPr="007C68F1" w:rsidRDefault="00D16B2E" w:rsidP="007D1009">
      <w:pPr>
        <w:spacing w:line="480" w:lineRule="auto"/>
      </w:pPr>
      <w:r w:rsidRPr="007C68F1">
        <w:rPr>
          <w:shd w:val="clear" w:color="auto" w:fill="FFFFFF"/>
        </w:rPr>
        <w:tab/>
        <w:t>The medical center moved for summary adjudication on its affirmative defense to the overtime claim, the AWS defense.</w:t>
      </w:r>
      <w:r w:rsidR="00C27915" w:rsidRPr="007C68F1">
        <w:rPr>
          <w:shd w:val="clear" w:color="auto" w:fill="FFFFFF"/>
        </w:rPr>
        <w:t xml:space="preserve">  </w:t>
      </w:r>
      <w:r w:rsidR="00C27915" w:rsidRPr="007C68F1">
        <w:t xml:space="preserve">(The medical center labeled the motion, </w:t>
      </w:r>
      <w:bookmarkStart w:id="613" w:name="dabmq_275"/>
      <w:r w:rsidR="00C27915" w:rsidRPr="007C68F1">
        <w:t>“Motion for Summary Adjudication No. 3”</w:t>
      </w:r>
      <w:bookmarkEnd w:id="613"/>
      <w:r w:rsidR="001951CE" w:rsidRPr="007C68F1">
        <w:t xml:space="preserve"> (capitalization and boldface omitted</w:t>
      </w:r>
      <w:r w:rsidR="000A7A9B" w:rsidRPr="007C68F1">
        <w:t>).</w:t>
      </w:r>
      <w:r w:rsidR="00C27915" w:rsidRPr="007C68F1">
        <w:t>)</w:t>
      </w:r>
      <w:r w:rsidR="00E42C76" w:rsidRPr="007C68F1">
        <w:t xml:space="preserve">  The trial court granted the motion as to Woodworth’s individual </w:t>
      </w:r>
      <w:r w:rsidR="00F62C85" w:rsidRPr="007C68F1">
        <w:t xml:space="preserve">overtime </w:t>
      </w:r>
      <w:r w:rsidR="00E42C76" w:rsidRPr="007C68F1">
        <w:t>claim and the PAGA cause of action, to the extent that she based the latter on allegedly invalid AWS’s.</w:t>
      </w:r>
      <w:r w:rsidR="00ED31B8" w:rsidRPr="007C68F1">
        <w:t xml:space="preserve">  </w:t>
      </w:r>
      <w:r w:rsidR="00D26E7F" w:rsidRPr="007C68F1">
        <w:t>We conclude that the court did not err</w:t>
      </w:r>
      <w:r w:rsidR="008D357F" w:rsidRPr="007C68F1">
        <w:t xml:space="preserve">.  </w:t>
      </w:r>
    </w:p>
    <w:p w14:paraId="7AE511C9" w14:textId="77777777" w:rsidR="007E5149" w:rsidRPr="007C68F1" w:rsidRDefault="00D16B2E" w:rsidP="007D1009">
      <w:pPr>
        <w:keepNext/>
        <w:spacing w:line="480" w:lineRule="auto"/>
        <w:rPr>
          <w:i/>
          <w:iCs/>
        </w:rPr>
      </w:pPr>
      <w:r w:rsidRPr="007C68F1">
        <w:tab/>
        <w:t xml:space="preserve">A.  </w:t>
      </w:r>
      <w:r w:rsidRPr="007C68F1">
        <w:rPr>
          <w:i/>
          <w:iCs/>
        </w:rPr>
        <w:t>Relevant Background</w:t>
      </w:r>
    </w:p>
    <w:p w14:paraId="40E84913" w14:textId="77777777" w:rsidR="008C38F0" w:rsidRPr="007C68F1" w:rsidRDefault="00D16B2E" w:rsidP="007D1009">
      <w:pPr>
        <w:tabs>
          <w:tab w:val="left" w:pos="720"/>
          <w:tab w:val="left" w:pos="1924"/>
        </w:tabs>
        <w:spacing w:line="480" w:lineRule="auto"/>
      </w:pPr>
      <w:r w:rsidRPr="007C68F1">
        <w:tab/>
      </w:r>
      <w:r w:rsidR="00DC26DF" w:rsidRPr="007C68F1">
        <w:t>The medical center offered the declaration of its vice president of human resources, Lizette Norton, in support of the motion.  Norton started working at the medical center in July 2001</w:t>
      </w:r>
      <w:r w:rsidR="006877BA" w:rsidRPr="007C68F1">
        <w:t>, left in 2010, and returned in 2016</w:t>
      </w:r>
      <w:r w:rsidR="00DC26DF" w:rsidRPr="007C68F1">
        <w:t xml:space="preserve">.  </w:t>
      </w:r>
      <w:r w:rsidR="002C1682" w:rsidRPr="007C68F1">
        <w:t>She was familiar with the medical center</w:t>
      </w:r>
      <w:r w:rsidR="002B3D8D" w:rsidRPr="007C68F1">
        <w:t>’</w:t>
      </w:r>
      <w:r w:rsidR="002C1682" w:rsidRPr="007C68F1">
        <w:t xml:space="preserve">s policies and procedures for AWS elections from 2001 to the present.  </w:t>
      </w:r>
      <w:r w:rsidR="00DC26DF" w:rsidRPr="007C68F1">
        <w:lastRenderedPageBreak/>
        <w:t xml:space="preserve">According to Norton, </w:t>
      </w:r>
      <w:r w:rsidR="00F949A5" w:rsidRPr="007C68F1">
        <w:t xml:space="preserve">Woodworth was a </w:t>
      </w:r>
      <w:r w:rsidR="0068138A" w:rsidRPr="007C68F1">
        <w:t xml:space="preserve">clinical </w:t>
      </w:r>
      <w:r w:rsidR="00F949A5" w:rsidRPr="007C68F1">
        <w:t>nurse in the cardio thoracic intensive care unit.</w:t>
      </w:r>
      <w:r w:rsidR="0068138A" w:rsidRPr="007C68F1">
        <w:t xml:space="preserve">  Before Woodworth’s time at the medical center, the clinical nurses voted to adopt an AWS—namely, a workweek consisting of three 12-hour workdays</w:t>
      </w:r>
      <w:r w:rsidR="00C62793" w:rsidRPr="007C68F1">
        <w:t xml:space="preserve"> (3/12 AWS)</w:t>
      </w:r>
      <w:r w:rsidR="0068138A" w:rsidRPr="007C68F1">
        <w:t>.</w:t>
      </w:r>
      <w:r w:rsidR="00823C37" w:rsidRPr="007C68F1">
        <w:t xml:space="preserve">  </w:t>
      </w:r>
      <w:r w:rsidR="000363B4" w:rsidRPr="007C68F1">
        <w:t xml:space="preserve">The </w:t>
      </w:r>
      <w:r w:rsidR="00545CD0" w:rsidRPr="007C68F1">
        <w:t xml:space="preserve">AWS </w:t>
      </w:r>
      <w:r w:rsidR="000363B4" w:rsidRPr="007C68F1">
        <w:t xml:space="preserve">election took place in September 2001.  </w:t>
      </w:r>
      <w:r w:rsidR="00DC26DF" w:rsidRPr="007C68F1">
        <w:t>Norton declared that t</w:t>
      </w:r>
      <w:r w:rsidR="00F9185E" w:rsidRPr="007C68F1">
        <w:t xml:space="preserve">he </w:t>
      </w:r>
      <w:r w:rsidR="00263194" w:rsidRPr="007C68F1">
        <w:t>election</w:t>
      </w:r>
      <w:r w:rsidR="00F9185E" w:rsidRPr="007C68F1">
        <w:t xml:space="preserve"> followed </w:t>
      </w:r>
      <w:r w:rsidR="00242767" w:rsidRPr="007C68F1">
        <w:t>certain</w:t>
      </w:r>
      <w:r w:rsidR="00F9185E" w:rsidRPr="007C68F1">
        <w:t xml:space="preserve"> procedures set forth </w:t>
      </w:r>
      <w:r w:rsidR="001C76F6" w:rsidRPr="007C68F1">
        <w:t>in a memorandum</w:t>
      </w:r>
      <w:r w:rsidR="00F830FE" w:rsidRPr="007C68F1">
        <w:t xml:space="preserve"> sent to employees</w:t>
      </w:r>
      <w:r w:rsidR="00F9185E" w:rsidRPr="007C68F1">
        <w:t>.</w:t>
      </w:r>
      <w:r w:rsidR="00263194" w:rsidRPr="007C68F1">
        <w:t xml:space="preserve">  </w:t>
      </w:r>
      <w:r w:rsidR="00545CD0" w:rsidRPr="007C68F1">
        <w:t xml:space="preserve">The election was by </w:t>
      </w:r>
      <w:r w:rsidR="00263194" w:rsidRPr="007C68F1">
        <w:t xml:space="preserve">secret ballot </w:t>
      </w:r>
      <w:r w:rsidR="00545CD0" w:rsidRPr="007C68F1">
        <w:t xml:space="preserve">and occurred </w:t>
      </w:r>
      <w:r w:rsidR="00263194" w:rsidRPr="007C68F1">
        <w:t>during regular work hours at the employees’ work</w:t>
      </w:r>
      <w:r w:rsidR="00A63CC9" w:rsidRPr="007C68F1">
        <w:t xml:space="preserve"> </w:t>
      </w:r>
      <w:r w:rsidR="00263194" w:rsidRPr="007C68F1">
        <w:t xml:space="preserve">site.  </w:t>
      </w:r>
      <w:r w:rsidR="009008DF" w:rsidRPr="007C68F1">
        <w:t>The</w:t>
      </w:r>
      <w:r w:rsidR="00263194" w:rsidRPr="007C68F1">
        <w:t xml:space="preserve"> medical center </w:t>
      </w:r>
      <w:r w:rsidR="00415473" w:rsidRPr="007C68F1">
        <w:t xml:space="preserve">mailed the </w:t>
      </w:r>
      <w:r w:rsidR="009008DF" w:rsidRPr="007C68F1">
        <w:t>clinical nurses</w:t>
      </w:r>
      <w:r w:rsidR="00263194" w:rsidRPr="007C68F1">
        <w:t xml:space="preserve"> a disclosure document, a proposed AWS agreement, and the secret ballot.</w:t>
      </w:r>
      <w:r w:rsidR="0002074D" w:rsidRPr="007C68F1">
        <w:t xml:space="preserve">  </w:t>
      </w:r>
      <w:r w:rsidR="006E62D9" w:rsidRPr="007C68F1">
        <w:t>In relevant part, t</w:t>
      </w:r>
      <w:r w:rsidR="000D5164" w:rsidRPr="007C68F1">
        <w:t xml:space="preserve">he disclosure document </w:t>
      </w:r>
      <w:r w:rsidRPr="007C68F1">
        <w:t>stated:</w:t>
      </w:r>
    </w:p>
    <w:p w14:paraId="2A483DE3" w14:textId="77777777" w:rsidR="006E62D9" w:rsidRPr="007C68F1" w:rsidRDefault="00D16B2E" w:rsidP="007D1009">
      <w:pPr>
        <w:pStyle w:val="ListParagraph"/>
        <w:numPr>
          <w:ilvl w:val="0"/>
          <w:numId w:val="15"/>
        </w:numPr>
        <w:tabs>
          <w:tab w:val="left" w:pos="720"/>
          <w:tab w:val="left" w:pos="1924"/>
        </w:tabs>
        <w:spacing w:line="480" w:lineRule="auto"/>
      </w:pPr>
      <w:bookmarkStart w:id="614" w:name="dabmq_276"/>
      <w:r w:rsidRPr="007C68F1">
        <w:t>“Duly noticed meetings will be held for the specific purpose of discussing”</w:t>
      </w:r>
      <w:bookmarkEnd w:id="614"/>
      <w:r w:rsidRPr="007C68F1">
        <w:t xml:space="preserve"> the effects of the AWS.</w:t>
      </w:r>
    </w:p>
    <w:p w14:paraId="307AFB18" w14:textId="77777777" w:rsidR="006E62D9" w:rsidRPr="007C68F1" w:rsidRDefault="00D16B2E" w:rsidP="007D1009">
      <w:pPr>
        <w:pStyle w:val="ListParagraph"/>
        <w:numPr>
          <w:ilvl w:val="0"/>
          <w:numId w:val="15"/>
        </w:numPr>
        <w:tabs>
          <w:tab w:val="left" w:pos="720"/>
          <w:tab w:val="left" w:pos="1924"/>
        </w:tabs>
        <w:spacing w:line="480" w:lineRule="auto"/>
      </w:pPr>
      <w:r w:rsidRPr="007C68F1">
        <w:t xml:space="preserve">The AWS </w:t>
      </w:r>
      <w:bookmarkStart w:id="615" w:name="dabmq_277"/>
      <w:r w:rsidRPr="007C68F1">
        <w:t>“</w:t>
      </w:r>
      <w:r w:rsidR="00CB14B6" w:rsidRPr="007C68F1">
        <w:t xml:space="preserve">shall </w:t>
      </w:r>
      <w:r w:rsidRPr="007C68F1">
        <w:t>consist of a regularly scheduled workweek of three workdays of 12</w:t>
      </w:r>
      <w:r w:rsidRPr="007C68F1">
        <w:t xml:space="preserve"> hours each</w:t>
      </w:r>
      <w:r w:rsidR="00CB14B6" w:rsidRPr="007C68F1">
        <w:t>,”</w:t>
      </w:r>
      <w:bookmarkEnd w:id="615"/>
      <w:r w:rsidR="00CB14B6" w:rsidRPr="007C68F1">
        <w:t xml:space="preserve"> and </w:t>
      </w:r>
      <w:bookmarkStart w:id="616" w:name="dabmq_278"/>
      <w:r w:rsidR="00CB14B6" w:rsidRPr="007C68F1">
        <w:t>“[e]</w:t>
      </w:r>
      <w:r w:rsidRPr="007C68F1">
        <w:t xml:space="preserve">mployees </w:t>
      </w:r>
      <w:r w:rsidR="00CB14B6" w:rsidRPr="007C68F1">
        <w:t xml:space="preserve">will </w:t>
      </w:r>
      <w:r w:rsidRPr="007C68F1">
        <w:t>not receive overtime pay for their regularly schedule</w:t>
      </w:r>
      <w:r w:rsidR="001F0A2F" w:rsidRPr="007C68F1">
        <w:t>d</w:t>
      </w:r>
      <w:r w:rsidRPr="007C68F1">
        <w:t xml:space="preserve"> hours.”</w:t>
      </w:r>
      <w:bookmarkEnd w:id="616"/>
    </w:p>
    <w:p w14:paraId="78FF8216" w14:textId="77777777" w:rsidR="006123CA" w:rsidRPr="007C68F1" w:rsidRDefault="00D16B2E" w:rsidP="007D1009">
      <w:pPr>
        <w:pStyle w:val="ListParagraph"/>
        <w:numPr>
          <w:ilvl w:val="0"/>
          <w:numId w:val="15"/>
        </w:numPr>
        <w:tabs>
          <w:tab w:val="left" w:pos="720"/>
          <w:tab w:val="left" w:pos="1924"/>
        </w:tabs>
        <w:spacing w:line="480" w:lineRule="auto"/>
      </w:pPr>
      <w:bookmarkStart w:id="617" w:name="dabmq_279"/>
      <w:r w:rsidRPr="007C68F1">
        <w:t>“</w:t>
      </w:r>
      <w:r w:rsidR="00CB14B6" w:rsidRPr="007C68F1">
        <w:t xml:space="preserve">Employees will </w:t>
      </w:r>
      <w:r w:rsidRPr="007C68F1">
        <w:t>be paid one and one-half times their regular rate of pay for all hours worked in excess of 40 in a workweek.”</w:t>
      </w:r>
      <w:bookmarkEnd w:id="617"/>
      <w:r w:rsidRPr="007C68F1">
        <w:t xml:space="preserve">  </w:t>
      </w:r>
      <w:r w:rsidR="001F0A2F" w:rsidRPr="007C68F1">
        <w:t>They</w:t>
      </w:r>
      <w:r w:rsidRPr="007C68F1">
        <w:t xml:space="preserve"> </w:t>
      </w:r>
      <w:bookmarkStart w:id="618" w:name="dabmq_280"/>
      <w:r w:rsidRPr="007C68F1">
        <w:t>“</w:t>
      </w:r>
      <w:r w:rsidR="00CB14B6" w:rsidRPr="007C68F1">
        <w:t xml:space="preserve">will </w:t>
      </w:r>
      <w:r w:rsidRPr="007C68F1">
        <w:t xml:space="preserve">be paid two </w:t>
      </w:r>
      <w:r w:rsidRPr="007C68F1">
        <w:t>times their regular rate of pay for all hours worked in excess of 12 in a workday.”</w:t>
      </w:r>
      <w:bookmarkEnd w:id="618"/>
      <w:r w:rsidR="001F0A2F" w:rsidRPr="007C68F1">
        <w:t xml:space="preserve">  </w:t>
      </w:r>
    </w:p>
    <w:p w14:paraId="7D2E72EF" w14:textId="77777777" w:rsidR="006123CA" w:rsidRPr="007C68F1" w:rsidRDefault="00D16B2E" w:rsidP="007D1009">
      <w:pPr>
        <w:pStyle w:val="ListParagraph"/>
        <w:numPr>
          <w:ilvl w:val="0"/>
          <w:numId w:val="15"/>
        </w:numPr>
        <w:tabs>
          <w:tab w:val="left" w:pos="720"/>
          <w:tab w:val="left" w:pos="1924"/>
        </w:tabs>
        <w:spacing w:line="480" w:lineRule="auto"/>
      </w:pPr>
      <w:bookmarkStart w:id="619" w:name="dabmq_281"/>
      <w:r w:rsidRPr="007C68F1">
        <w:t>“The amount of overtime that an employee will be required to work will be subject to the requirements of sections 3(B1)(8) and (9) of Wage Order 5-2000.”</w:t>
      </w:r>
      <w:bookmarkEnd w:id="619"/>
      <w:r w:rsidR="00D0021E" w:rsidRPr="007C68F1">
        <w:t xml:space="preserve">  </w:t>
      </w:r>
    </w:p>
    <w:p w14:paraId="79FC3F38" w14:textId="77777777" w:rsidR="00D0021E" w:rsidRPr="007C68F1" w:rsidRDefault="00D16B2E" w:rsidP="007D1009">
      <w:pPr>
        <w:pStyle w:val="ListParagraph"/>
        <w:numPr>
          <w:ilvl w:val="0"/>
          <w:numId w:val="15"/>
        </w:numPr>
        <w:tabs>
          <w:tab w:val="left" w:pos="720"/>
          <w:tab w:val="left" w:pos="1924"/>
        </w:tabs>
        <w:spacing w:line="480" w:lineRule="auto"/>
      </w:pPr>
      <w:bookmarkStart w:id="620" w:name="dabmq_282"/>
      <w:r w:rsidRPr="007C68F1">
        <w:t>“Employees who</w:t>
      </w:r>
      <w:r w:rsidRPr="007C68F1">
        <w:t xml:space="preserve"> work an </w:t>
      </w:r>
      <w:r w:rsidR="00244A6D" w:rsidRPr="007C68F1">
        <w:t>alternative work schedule</w:t>
      </w:r>
      <w:r w:rsidRPr="007C68F1">
        <w:t xml:space="preserve"> will be eligible for all Medical Center-sponsored benefits on the same basis as other employees.</w:t>
      </w:r>
      <w:r w:rsidR="007875B8" w:rsidRPr="007C68F1">
        <w:t> </w:t>
      </w:r>
      <w:r w:rsidR="00FD477E" w:rsidRPr="007C68F1">
        <w:t>. . .  Employee benefits are summarized in the Employee Handbook and the summary plan descriptions given to each employee.”</w:t>
      </w:r>
      <w:bookmarkEnd w:id="620"/>
      <w:r w:rsidR="00FD477E" w:rsidRPr="007C68F1">
        <w:t xml:space="preserve"> </w:t>
      </w:r>
    </w:p>
    <w:p w14:paraId="5D12460C" w14:textId="77777777" w:rsidR="00573F60" w:rsidRPr="007C68F1" w:rsidRDefault="00D16B2E" w:rsidP="007D1009">
      <w:pPr>
        <w:pStyle w:val="ListParagraph"/>
        <w:numPr>
          <w:ilvl w:val="0"/>
          <w:numId w:val="15"/>
        </w:numPr>
        <w:tabs>
          <w:tab w:val="left" w:pos="720"/>
          <w:tab w:val="left" w:pos="1924"/>
        </w:tabs>
        <w:spacing w:line="480" w:lineRule="auto"/>
      </w:pPr>
      <w:bookmarkStart w:id="621" w:name="dabmq_283"/>
      <w:r w:rsidRPr="007C68F1">
        <w:lastRenderedPageBreak/>
        <w:t xml:space="preserve">“The Medical Center may terminate the use of the </w:t>
      </w:r>
      <w:r w:rsidR="00244A6D" w:rsidRPr="007C68F1">
        <w:t xml:space="preserve">alternative work schedule </w:t>
      </w:r>
      <w:r w:rsidRPr="007C68F1">
        <w:t>described above upon two weeks’ advance notice.  In such an event, the Medical Center may institute and implement a different schedule, workweek or work period that is consistent w</w:t>
      </w:r>
      <w:r w:rsidRPr="007C68F1">
        <w:t>ith any applicable legal requirements.”</w:t>
      </w:r>
      <w:bookmarkEnd w:id="621"/>
    </w:p>
    <w:p w14:paraId="21161A32" w14:textId="77777777" w:rsidR="007875B8" w:rsidRPr="007C68F1" w:rsidRDefault="00D16B2E" w:rsidP="007D1009">
      <w:pPr>
        <w:tabs>
          <w:tab w:val="left" w:pos="720"/>
          <w:tab w:val="left" w:pos="1924"/>
        </w:tabs>
        <w:spacing w:line="480" w:lineRule="auto"/>
      </w:pPr>
      <w:r w:rsidRPr="007C68F1">
        <w:t xml:space="preserve">Similar to the disclosure document, the AWS agreement stated </w:t>
      </w:r>
      <w:r w:rsidR="009A3C8F" w:rsidRPr="007C68F1">
        <w:t>that the</w:t>
      </w:r>
      <w:r w:rsidRPr="007C68F1">
        <w:t xml:space="preserve"> medical center could terminate the AWS with two weeks’ advance notice to the affected employees.</w:t>
      </w:r>
    </w:p>
    <w:p w14:paraId="67F7AFDA" w14:textId="77777777" w:rsidR="00F9185E" w:rsidRPr="007C68F1" w:rsidRDefault="00D16B2E" w:rsidP="007D1009">
      <w:pPr>
        <w:tabs>
          <w:tab w:val="left" w:pos="720"/>
          <w:tab w:val="left" w:pos="1924"/>
        </w:tabs>
        <w:spacing w:line="480" w:lineRule="auto"/>
      </w:pPr>
      <w:r w:rsidRPr="007C68F1">
        <w:tab/>
      </w:r>
      <w:r w:rsidR="007F6CD8" w:rsidRPr="007C68F1">
        <w:t xml:space="preserve">The medical center </w:t>
      </w:r>
      <w:r w:rsidR="0002074D" w:rsidRPr="007C68F1">
        <w:t xml:space="preserve">posted notices to inform the employees that it would hold meetings to discuss the effects of the </w:t>
      </w:r>
      <w:r w:rsidR="003D2081" w:rsidRPr="007C68F1">
        <w:t>AWS</w:t>
      </w:r>
      <w:r w:rsidR="00870AD6" w:rsidRPr="007C68F1">
        <w:t xml:space="preserve">, and it </w:t>
      </w:r>
      <w:r w:rsidR="00DC26DF" w:rsidRPr="007C68F1">
        <w:t xml:space="preserve">held </w:t>
      </w:r>
      <w:r w:rsidR="003D2081" w:rsidRPr="007C68F1">
        <w:t xml:space="preserve">those meetings </w:t>
      </w:r>
      <w:r w:rsidR="0002074D" w:rsidRPr="007C68F1">
        <w:t>at least 14 days before the voting began.</w:t>
      </w:r>
      <w:r w:rsidR="00FD44D4" w:rsidRPr="007C68F1">
        <w:t xml:space="preserve">  </w:t>
      </w:r>
      <w:r w:rsidR="009008DF" w:rsidRPr="007C68F1">
        <w:t xml:space="preserve">It </w:t>
      </w:r>
      <w:r w:rsidR="00C44E7A" w:rsidRPr="007C68F1">
        <w:t>distributed</w:t>
      </w:r>
      <w:r w:rsidR="009008DF" w:rsidRPr="007C68F1">
        <w:t xml:space="preserve"> the disclosure document </w:t>
      </w:r>
      <w:r w:rsidR="00682859" w:rsidRPr="007C68F1">
        <w:t xml:space="preserve">again </w:t>
      </w:r>
      <w:r w:rsidR="009008DF" w:rsidRPr="007C68F1">
        <w:t>at the meetings.</w:t>
      </w:r>
      <w:r w:rsidR="00C44E7A" w:rsidRPr="007C68F1">
        <w:t xml:space="preserve">  The medical center</w:t>
      </w:r>
      <w:r w:rsidR="003D2081" w:rsidRPr="007C68F1">
        <w:t xml:space="preserve"> placed </w:t>
      </w:r>
      <w:r w:rsidR="00FD44D4" w:rsidRPr="007C68F1">
        <w:t xml:space="preserve">ballot boxes in </w:t>
      </w:r>
      <w:r w:rsidR="003D2081" w:rsidRPr="007C68F1">
        <w:t>the</w:t>
      </w:r>
      <w:r w:rsidR="00FD44D4" w:rsidRPr="007C68F1">
        <w:t xml:space="preserve"> department</w:t>
      </w:r>
      <w:r w:rsidR="003D2081" w:rsidRPr="007C68F1">
        <w:t>s</w:t>
      </w:r>
      <w:r w:rsidR="00FD44D4" w:rsidRPr="007C68F1">
        <w:t xml:space="preserve"> to collect the secret ballots.</w:t>
      </w:r>
      <w:r w:rsidR="00375969" w:rsidRPr="007C68F1">
        <w:t xml:space="preserve">  A</w:t>
      </w:r>
      <w:r w:rsidR="0002074D" w:rsidRPr="007C68F1">
        <w:t>fter a two</w:t>
      </w:r>
      <w:r w:rsidR="003D2081" w:rsidRPr="007C68F1">
        <w:noBreakHyphen/>
      </w:r>
      <w:r w:rsidR="0002074D" w:rsidRPr="007C68F1">
        <w:t>week voting period</w:t>
      </w:r>
      <w:r w:rsidR="00375969" w:rsidRPr="007C68F1">
        <w:t xml:space="preserve">, </w:t>
      </w:r>
      <w:r w:rsidR="00E92C08" w:rsidRPr="007C68F1">
        <w:t>it</w:t>
      </w:r>
      <w:r w:rsidR="00375969" w:rsidRPr="007C68F1">
        <w:t xml:space="preserve"> </w:t>
      </w:r>
      <w:r w:rsidR="0002074D" w:rsidRPr="007C68F1">
        <w:t xml:space="preserve">collected and </w:t>
      </w:r>
      <w:r w:rsidR="00375969" w:rsidRPr="007C68F1">
        <w:t>counted the ballots.</w:t>
      </w:r>
      <w:r w:rsidR="003D2081" w:rsidRPr="007C68F1">
        <w:t xml:space="preserve"> </w:t>
      </w:r>
      <w:r w:rsidR="00E27CC7" w:rsidRPr="007C68F1">
        <w:t xml:space="preserve"> Out of</w:t>
      </w:r>
      <w:r w:rsidR="003D2081" w:rsidRPr="007C68F1">
        <w:t xml:space="preserve"> 1,785 nurses eligible to vote in the election</w:t>
      </w:r>
      <w:r w:rsidR="00E27CC7" w:rsidRPr="007C68F1">
        <w:t>, 1,583 voted, and 1,545 voted in favor of the AWS.</w:t>
      </w:r>
      <w:r w:rsidR="00303134" w:rsidRPr="007C68F1">
        <w:t xml:space="preserve">  </w:t>
      </w:r>
      <w:r w:rsidR="000D5164" w:rsidRPr="007C68F1">
        <w:t>The work unit did not include</w:t>
      </w:r>
      <w:r w:rsidR="00415473" w:rsidRPr="007C68F1">
        <w:t xml:space="preserve"> </w:t>
      </w:r>
      <w:r w:rsidR="007C0FE5" w:rsidRPr="007C68F1">
        <w:t xml:space="preserve">5 </w:t>
      </w:r>
      <w:r w:rsidR="00415473" w:rsidRPr="007C68F1">
        <w:t>percent or more employees</w:t>
      </w:r>
      <w:r w:rsidR="00311245" w:rsidRPr="007C68F1">
        <w:t xml:space="preserve"> </w:t>
      </w:r>
      <w:r w:rsidR="000C6B44" w:rsidRPr="007C68F1">
        <w:t>who primarily spoke a non-English language.</w:t>
      </w:r>
      <w:r w:rsidR="000D5164" w:rsidRPr="007C68F1">
        <w:t xml:space="preserve"> </w:t>
      </w:r>
      <w:r w:rsidR="000C6B44" w:rsidRPr="007C68F1">
        <w:t xml:space="preserve"> </w:t>
      </w:r>
      <w:r w:rsidR="000749A4" w:rsidRPr="007C68F1">
        <w:t>The medical center</w:t>
      </w:r>
      <w:r w:rsidR="00303134" w:rsidRPr="007C68F1">
        <w:t xml:space="preserve"> reported </w:t>
      </w:r>
      <w:r w:rsidR="009032B4" w:rsidRPr="007C68F1">
        <w:t>the election</w:t>
      </w:r>
      <w:r w:rsidR="00303134" w:rsidRPr="007C68F1">
        <w:t xml:space="preserve"> results to the </w:t>
      </w:r>
      <w:r w:rsidR="009032B4" w:rsidRPr="007C68F1">
        <w:t>DLSR in October 2001.</w:t>
      </w:r>
      <w:r w:rsidR="00993FE7" w:rsidRPr="007C68F1">
        <w:t xml:space="preserve">  </w:t>
      </w:r>
    </w:p>
    <w:p w14:paraId="2422272C" w14:textId="77777777" w:rsidR="0068138A" w:rsidRPr="007C68F1" w:rsidRDefault="00D16B2E" w:rsidP="007D1009">
      <w:pPr>
        <w:tabs>
          <w:tab w:val="left" w:pos="720"/>
          <w:tab w:val="left" w:pos="1924"/>
        </w:tabs>
        <w:spacing w:line="480" w:lineRule="auto"/>
      </w:pPr>
      <w:r w:rsidRPr="007C68F1">
        <w:tab/>
        <w:t xml:space="preserve">When the medical center hired Woodworth, she agreed to </w:t>
      </w:r>
      <w:r w:rsidR="00744DEE" w:rsidRPr="007C68F1">
        <w:t xml:space="preserve">the </w:t>
      </w:r>
      <w:r w:rsidR="00215C3C" w:rsidRPr="007C68F1">
        <w:t xml:space="preserve">3/12 </w:t>
      </w:r>
      <w:r w:rsidR="00744DEE" w:rsidRPr="007C68F1">
        <w:t xml:space="preserve">AWS that </w:t>
      </w:r>
      <w:r w:rsidR="003D2081" w:rsidRPr="007C68F1">
        <w:t xml:space="preserve">the clinical nurses </w:t>
      </w:r>
      <w:r w:rsidR="00744DEE" w:rsidRPr="007C68F1">
        <w:t xml:space="preserve">had adopted </w:t>
      </w:r>
      <w:r w:rsidR="00993FE7" w:rsidRPr="007C68F1">
        <w:t>in 2001</w:t>
      </w:r>
      <w:r w:rsidR="00744DEE" w:rsidRPr="007C68F1">
        <w:t>.</w:t>
      </w:r>
      <w:r w:rsidR="003C79E0" w:rsidRPr="007C68F1">
        <w:t xml:space="preserve">  She executed an AWS agreement in </w:t>
      </w:r>
      <w:r w:rsidR="007F6CD8" w:rsidRPr="007C68F1">
        <w:t>December 2011</w:t>
      </w:r>
      <w:r w:rsidR="003C79E0" w:rsidRPr="007C68F1">
        <w:t>.</w:t>
      </w:r>
      <w:r w:rsidR="00744DEE" w:rsidRPr="007C68F1">
        <w:t xml:space="preserve"> </w:t>
      </w:r>
    </w:p>
    <w:p w14:paraId="4D4588D1" w14:textId="77777777" w:rsidR="00AC100B" w:rsidRPr="007C68F1" w:rsidRDefault="00D16B2E" w:rsidP="007D1009">
      <w:pPr>
        <w:tabs>
          <w:tab w:val="left" w:pos="720"/>
          <w:tab w:val="left" w:pos="1924"/>
        </w:tabs>
        <w:spacing w:line="480" w:lineRule="auto"/>
      </w:pPr>
      <w:r w:rsidRPr="007C68F1">
        <w:tab/>
      </w:r>
      <w:r w:rsidR="00CC272D" w:rsidRPr="007C68F1">
        <w:t xml:space="preserve">The 2001 AWS was in effect until 2013.  </w:t>
      </w:r>
      <w:r w:rsidR="00753789" w:rsidRPr="007C68F1">
        <w:t>The</w:t>
      </w:r>
      <w:r w:rsidRPr="007C68F1">
        <w:t xml:space="preserve"> medical center restructured </w:t>
      </w:r>
      <w:r w:rsidR="00BC71E3" w:rsidRPr="007C68F1">
        <w:t xml:space="preserve">the </w:t>
      </w:r>
      <w:r w:rsidRPr="007C68F1">
        <w:t>AWS work units</w:t>
      </w:r>
      <w:r w:rsidR="00753789" w:rsidRPr="007C68F1">
        <w:t xml:space="preserve"> </w:t>
      </w:r>
      <w:r w:rsidR="008570C3" w:rsidRPr="007C68F1">
        <w:t>that year</w:t>
      </w:r>
      <w:r w:rsidR="00D420AD" w:rsidRPr="007C68F1">
        <w:t xml:space="preserve">.  In June </w:t>
      </w:r>
      <w:r w:rsidR="008570C3" w:rsidRPr="007C68F1">
        <w:t>2013</w:t>
      </w:r>
      <w:r w:rsidR="00D420AD" w:rsidRPr="007C68F1">
        <w:t>, it</w:t>
      </w:r>
      <w:r w:rsidRPr="007C68F1">
        <w:t xml:space="preserve"> conducted an AWS election for registered nurses in various units, including </w:t>
      </w:r>
      <w:r w:rsidR="007F6CD8" w:rsidRPr="007C68F1">
        <w:t>Woodworth’s unit</w:t>
      </w:r>
      <w:r w:rsidRPr="007C68F1">
        <w:t>.</w:t>
      </w:r>
      <w:r w:rsidR="00DF0ADB" w:rsidRPr="007C68F1">
        <w:t xml:space="preserve">  </w:t>
      </w:r>
      <w:r w:rsidR="001B4E2E" w:rsidRPr="007C68F1">
        <w:t xml:space="preserve">The medical center’s policy and </w:t>
      </w:r>
      <w:r w:rsidR="001B4E2E" w:rsidRPr="007C68F1">
        <w:lastRenderedPageBreak/>
        <w:t xml:space="preserve">practice at all times was to hold AWS elections during regular working hours at the work site.  </w:t>
      </w:r>
    </w:p>
    <w:p w14:paraId="7F9E9EDA" w14:textId="77777777" w:rsidR="00FF420C" w:rsidRPr="007C68F1" w:rsidRDefault="00D16B2E" w:rsidP="007D1009">
      <w:pPr>
        <w:tabs>
          <w:tab w:val="left" w:pos="720"/>
          <w:tab w:val="left" w:pos="1924"/>
        </w:tabs>
        <w:spacing w:line="480" w:lineRule="auto"/>
      </w:pPr>
      <w:r w:rsidRPr="007C68F1">
        <w:tab/>
      </w:r>
      <w:r w:rsidR="006877BA" w:rsidRPr="007C68F1">
        <w:t>Norton was not at the medical center during the 2013 election</w:t>
      </w:r>
      <w:r w:rsidR="0028348B" w:rsidRPr="007C68F1">
        <w:t xml:space="preserve">, but she had reviewed the medical center’s records for the election, </w:t>
      </w:r>
      <w:r w:rsidR="009E739D" w:rsidRPr="007C68F1">
        <w:t xml:space="preserve">which records had </w:t>
      </w:r>
      <w:r w:rsidR="007C0FE5" w:rsidRPr="007C68F1">
        <w:t xml:space="preserve">been </w:t>
      </w:r>
      <w:r w:rsidR="009E739D" w:rsidRPr="007C68F1">
        <w:t>made at the time</w:t>
      </w:r>
      <w:r w:rsidR="002D2487" w:rsidRPr="007C68F1">
        <w:t xml:space="preserve"> </w:t>
      </w:r>
      <w:r w:rsidR="007C0FE5" w:rsidRPr="007C68F1">
        <w:t xml:space="preserve">by medical center employees </w:t>
      </w:r>
      <w:r w:rsidR="009E739D" w:rsidRPr="007C68F1">
        <w:t>in the regular course of business</w:t>
      </w:r>
      <w:r w:rsidR="0028348B" w:rsidRPr="007C68F1">
        <w:t>.</w:t>
      </w:r>
      <w:r w:rsidR="003E5BA0" w:rsidRPr="007C68F1">
        <w:t xml:space="preserve">  Those records</w:t>
      </w:r>
      <w:r w:rsidR="009E739D" w:rsidRPr="007C68F1">
        <w:t xml:space="preserve"> were attached to </w:t>
      </w:r>
      <w:r w:rsidR="007C0FE5" w:rsidRPr="007C68F1">
        <w:t xml:space="preserve">Norton’s </w:t>
      </w:r>
      <w:r w:rsidR="009E739D" w:rsidRPr="007C68F1">
        <w:t>declaration and</w:t>
      </w:r>
      <w:r w:rsidR="003E5BA0" w:rsidRPr="007C68F1">
        <w:t xml:space="preserve"> showed that i</w:t>
      </w:r>
      <w:r w:rsidR="00EC67E6" w:rsidRPr="007C68F1">
        <w:t xml:space="preserve">n April 2013, a human resources employee emailed the AWS disclosure document and a schedule for pre-election meetings to Woodworth and </w:t>
      </w:r>
      <w:r w:rsidR="002D2487" w:rsidRPr="007C68F1">
        <w:t>the</w:t>
      </w:r>
      <w:r w:rsidR="00E521CA" w:rsidRPr="007C68F1">
        <w:t xml:space="preserve"> </w:t>
      </w:r>
      <w:r w:rsidR="00EC67E6" w:rsidRPr="007C68F1">
        <w:t xml:space="preserve">other </w:t>
      </w:r>
      <w:r w:rsidR="00E521CA" w:rsidRPr="007C68F1">
        <w:t>registered nurses eligible to vote in the AWS election</w:t>
      </w:r>
      <w:r w:rsidR="00EC67E6" w:rsidRPr="007C68F1">
        <w:t xml:space="preserve">. </w:t>
      </w:r>
      <w:r w:rsidR="0040539F" w:rsidRPr="007C68F1">
        <w:t xml:space="preserve"> The medical center proposed to retain the 3/12 AWS.</w:t>
      </w:r>
      <w:r w:rsidR="00EC67E6" w:rsidRPr="007C68F1">
        <w:t xml:space="preserve"> </w:t>
      </w:r>
      <w:r w:rsidR="0040539F" w:rsidRPr="007C68F1">
        <w:t xml:space="preserve"> </w:t>
      </w:r>
      <w:r w:rsidR="00EC67E6" w:rsidRPr="007C68F1">
        <w:t xml:space="preserve">The </w:t>
      </w:r>
      <w:r w:rsidR="00A7210C" w:rsidRPr="007C68F1">
        <w:t xml:space="preserve">relevant </w:t>
      </w:r>
      <w:r w:rsidR="003E5BA0" w:rsidRPr="007C68F1">
        <w:t>disclosures in the 2013</w:t>
      </w:r>
      <w:r w:rsidR="00EC67E6" w:rsidRPr="007C68F1">
        <w:t xml:space="preserve"> document </w:t>
      </w:r>
      <w:r w:rsidR="003E5BA0" w:rsidRPr="007C68F1">
        <w:t xml:space="preserve">were </w:t>
      </w:r>
      <w:r w:rsidR="00A7210C" w:rsidRPr="007C68F1">
        <w:t xml:space="preserve">nearly identical </w:t>
      </w:r>
      <w:r w:rsidR="003E5BA0" w:rsidRPr="007C68F1">
        <w:t>to those in the 2001 disclosure document.</w:t>
      </w:r>
    </w:p>
    <w:p w14:paraId="034104BD" w14:textId="77777777" w:rsidR="007E5149" w:rsidRPr="007C68F1" w:rsidRDefault="00D16B2E" w:rsidP="007D1009">
      <w:pPr>
        <w:tabs>
          <w:tab w:val="left" w:pos="720"/>
          <w:tab w:val="left" w:pos="1924"/>
        </w:tabs>
        <w:spacing w:line="480" w:lineRule="auto"/>
      </w:pPr>
      <w:r w:rsidRPr="007C68F1">
        <w:tab/>
      </w:r>
      <w:r w:rsidR="00E521CA" w:rsidRPr="007C68F1">
        <w:t xml:space="preserve">The medical center </w:t>
      </w:r>
      <w:r w:rsidR="007A5FBA" w:rsidRPr="007C68F1">
        <w:t>held</w:t>
      </w:r>
      <w:r w:rsidR="00E521CA" w:rsidRPr="007C68F1">
        <w:t xml:space="preserve"> pre-election meetings </w:t>
      </w:r>
      <w:r w:rsidR="00283434" w:rsidRPr="007C68F1">
        <w:t>on</w:t>
      </w:r>
      <w:r w:rsidR="00E521CA" w:rsidRPr="007C68F1">
        <w:t xml:space="preserve"> various dates between May 6 and </w:t>
      </w:r>
      <w:r w:rsidR="007C0FE5" w:rsidRPr="007C68F1">
        <w:t xml:space="preserve">May </w:t>
      </w:r>
      <w:r w:rsidR="00B759B2" w:rsidRPr="007C68F1">
        <w:t>25</w:t>
      </w:r>
      <w:r w:rsidR="00E521CA" w:rsidRPr="007C68F1">
        <w:t>, 2013</w:t>
      </w:r>
      <w:r w:rsidR="0035325C" w:rsidRPr="007C68F1">
        <w:t xml:space="preserve">.  </w:t>
      </w:r>
      <w:r w:rsidRPr="007C68F1">
        <w:t xml:space="preserve">According to the medical center’s records, Woodworth attended the May </w:t>
      </w:r>
      <w:r w:rsidR="00BE300F" w:rsidRPr="007C68F1">
        <w:t>22</w:t>
      </w:r>
      <w:r w:rsidRPr="007C68F1">
        <w:t xml:space="preserve"> meeting</w:t>
      </w:r>
      <w:r w:rsidR="008845DA" w:rsidRPr="007C68F1">
        <w:t xml:space="preserve"> and voted</w:t>
      </w:r>
      <w:r w:rsidRPr="007C68F1">
        <w:t xml:space="preserve"> in the election</w:t>
      </w:r>
      <w:r w:rsidR="008845DA" w:rsidRPr="007C68F1">
        <w:t xml:space="preserve">, which took place from June 11 through </w:t>
      </w:r>
      <w:r w:rsidR="007C0FE5" w:rsidRPr="007C68F1">
        <w:t xml:space="preserve">June </w:t>
      </w:r>
      <w:r w:rsidRPr="007C68F1">
        <w:t>13.</w:t>
      </w:r>
      <w:r w:rsidR="00EE1DAF" w:rsidRPr="007C68F1">
        <w:t xml:space="preserve">  </w:t>
      </w:r>
      <w:r w:rsidR="0066049E" w:rsidRPr="007C68F1">
        <w:t xml:space="preserve">Out of 701 nurses eligible to vote in the election, </w:t>
      </w:r>
      <w:r w:rsidR="00EE1DAF" w:rsidRPr="007C68F1">
        <w:t xml:space="preserve">575 </w:t>
      </w:r>
      <w:r w:rsidR="0066049E" w:rsidRPr="007C68F1">
        <w:t>nurses voted.  They all voted in favor of the 3/12 AWS.</w:t>
      </w:r>
      <w:r w:rsidR="003B5BD2" w:rsidRPr="007C68F1">
        <w:t xml:space="preserve">  </w:t>
      </w:r>
      <w:r w:rsidR="00CF5726" w:rsidRPr="007C68F1">
        <w:t xml:space="preserve">The medical center reported </w:t>
      </w:r>
      <w:r w:rsidR="00AC100B" w:rsidRPr="007C68F1">
        <w:t>those results</w:t>
      </w:r>
      <w:r w:rsidR="00CF5726" w:rsidRPr="007C68F1">
        <w:t xml:space="preserve"> to the DLSR</w:t>
      </w:r>
      <w:r w:rsidR="00A830AE" w:rsidRPr="007C68F1">
        <w:t xml:space="preserve"> in June 2013</w:t>
      </w:r>
      <w:r w:rsidR="00CF5726" w:rsidRPr="007C68F1">
        <w:t xml:space="preserve">.  </w:t>
      </w:r>
      <w:r w:rsidR="00215C3C" w:rsidRPr="007C68F1">
        <w:t>Woodworth executed a new AWS agreement in July 2013.</w:t>
      </w:r>
      <w:r w:rsidR="005901B5" w:rsidRPr="007C68F1">
        <w:t xml:space="preserve">  Like the earlier AWS agreement, the new agreement stated that the medical center could terminate the AWS with two weeks’ notice to the affected employees.</w:t>
      </w:r>
    </w:p>
    <w:p w14:paraId="705F7DBB" w14:textId="77777777" w:rsidR="0040539F" w:rsidRPr="007C68F1" w:rsidRDefault="00D16B2E" w:rsidP="007D1009">
      <w:pPr>
        <w:tabs>
          <w:tab w:val="left" w:pos="720"/>
          <w:tab w:val="left" w:pos="1924"/>
        </w:tabs>
        <w:spacing w:line="480" w:lineRule="auto"/>
      </w:pPr>
      <w:r w:rsidRPr="007C68F1">
        <w:tab/>
        <w:t xml:space="preserve">Norton declared that the medical center required all clinical and registered nurses to be capable of reading, writing, and speaking English at a professional level.  </w:t>
      </w:r>
      <w:r w:rsidR="001F6C3C" w:rsidRPr="007C68F1">
        <w:t xml:space="preserve">That was because the medical center maintained patient records in English, and doctors’ orders and other patient care information were conveyed in English.  </w:t>
      </w:r>
      <w:r w:rsidRPr="007C68F1">
        <w:t xml:space="preserve">The nurses who were eligible </w:t>
      </w:r>
      <w:r w:rsidRPr="007C68F1">
        <w:lastRenderedPageBreak/>
        <w:t xml:space="preserve">to vote in the 2013 AWS election </w:t>
      </w:r>
      <w:r w:rsidR="002B3BD4" w:rsidRPr="007C68F1">
        <w:t xml:space="preserve">could read, write, and speak English </w:t>
      </w:r>
      <w:bookmarkStart w:id="622" w:name="dabmq_284"/>
      <w:r w:rsidR="002B3BD4" w:rsidRPr="007C68F1">
        <w:t>“with professional quality as their primary language.”</w:t>
      </w:r>
      <w:bookmarkEnd w:id="622"/>
    </w:p>
    <w:p w14:paraId="1A675C2F" w14:textId="77777777" w:rsidR="005901B5" w:rsidRPr="007C68F1" w:rsidRDefault="00D16B2E" w:rsidP="007D1009">
      <w:pPr>
        <w:tabs>
          <w:tab w:val="left" w:pos="720"/>
          <w:tab w:val="left" w:pos="1924"/>
        </w:tabs>
        <w:spacing w:line="480" w:lineRule="auto"/>
      </w:pPr>
      <w:r w:rsidRPr="007C68F1">
        <w:tab/>
      </w:r>
      <w:r w:rsidR="00D04BE0" w:rsidRPr="007C68F1">
        <w:t>Apart</w:t>
      </w:r>
      <w:r w:rsidRPr="007C68F1">
        <w:t xml:space="preserve"> from </w:t>
      </w:r>
      <w:r w:rsidR="00647CD5" w:rsidRPr="007C68F1">
        <w:t xml:space="preserve">Norton’s declaration, </w:t>
      </w:r>
      <w:r w:rsidR="00C2525C" w:rsidRPr="007C68F1">
        <w:t xml:space="preserve">the </w:t>
      </w:r>
      <w:r w:rsidR="00647CD5" w:rsidRPr="007C68F1">
        <w:t xml:space="preserve">medical center offered the declaration of Beth Cook, a registered nurse employed by the medical center from 1996 to the present.  </w:t>
      </w:r>
      <w:r w:rsidR="00C2525C" w:rsidRPr="007C68F1">
        <w:t xml:space="preserve">During the 2013 AWS election, </w:t>
      </w:r>
      <w:r w:rsidR="001940F7" w:rsidRPr="007C68F1">
        <w:t>Cook</w:t>
      </w:r>
      <w:r w:rsidR="00C2525C" w:rsidRPr="007C68F1">
        <w:t xml:space="preserve"> was director of patient care for two departments (orthopedics and transplant).  </w:t>
      </w:r>
      <w:r w:rsidR="004577A1" w:rsidRPr="007C68F1">
        <w:t>Human resources</w:t>
      </w:r>
      <w:r w:rsidR="00C2525C" w:rsidRPr="007C68F1">
        <w:t xml:space="preserve"> copied her </w:t>
      </w:r>
      <w:r w:rsidR="004577A1" w:rsidRPr="007C68F1">
        <w:t xml:space="preserve">and other directors </w:t>
      </w:r>
      <w:r w:rsidR="00C2525C" w:rsidRPr="007C68F1">
        <w:t>on the 2013 email attaching the AWS disclosures</w:t>
      </w:r>
      <w:r w:rsidR="00647CD5" w:rsidRPr="007C68F1">
        <w:t>.</w:t>
      </w:r>
      <w:r w:rsidR="004577A1" w:rsidRPr="007C68F1">
        <w:t xml:space="preserve">  According to Cook, the medical center sent that email to all registered nurses who were eligible to vote in the election.</w:t>
      </w:r>
    </w:p>
    <w:p w14:paraId="0A483B30" w14:textId="77777777" w:rsidR="00250707" w:rsidRPr="007C68F1" w:rsidRDefault="00D16B2E" w:rsidP="007D1009">
      <w:pPr>
        <w:tabs>
          <w:tab w:val="left" w:pos="720"/>
          <w:tab w:val="left" w:pos="1924"/>
        </w:tabs>
        <w:spacing w:line="480" w:lineRule="auto"/>
      </w:pPr>
      <w:r w:rsidRPr="007C68F1">
        <w:tab/>
        <w:t xml:space="preserve">The </w:t>
      </w:r>
      <w:r w:rsidR="007209F2" w:rsidRPr="007C68F1">
        <w:t xml:space="preserve">trial </w:t>
      </w:r>
      <w:r w:rsidRPr="007C68F1">
        <w:t>court granted the medical center’s motion for summary adjudication on the AWS defense in its entirety.</w:t>
      </w:r>
      <w:r w:rsidR="009A2127" w:rsidRPr="007C68F1">
        <w:t xml:space="preserve">  </w:t>
      </w:r>
      <w:r w:rsidR="007209F2" w:rsidRPr="007C68F1">
        <w:t>The court</w:t>
      </w:r>
      <w:r w:rsidR="009A2127" w:rsidRPr="007C68F1">
        <w:t xml:space="preserve"> ruled that there was no triable issue of material fact</w:t>
      </w:r>
      <w:r w:rsidR="007209F2" w:rsidRPr="007C68F1">
        <w:t xml:space="preserve"> and,</w:t>
      </w:r>
      <w:r w:rsidR="009A2127" w:rsidRPr="007C68F1">
        <w:t xml:space="preserve"> </w:t>
      </w:r>
      <w:r w:rsidR="007209F2" w:rsidRPr="007C68F1">
        <w:t>more</w:t>
      </w:r>
      <w:r w:rsidR="009A2127" w:rsidRPr="007C68F1">
        <w:t xml:space="preserve"> specifically, that the medical center’s evidence showed that it had substantially complied with the AWS election procedures.</w:t>
      </w:r>
      <w:r w:rsidR="0058656B" w:rsidRPr="007C68F1">
        <w:t xml:space="preserve">  The court </w:t>
      </w:r>
      <w:r w:rsidR="004F1083" w:rsidRPr="007C68F1">
        <w:t xml:space="preserve">thus </w:t>
      </w:r>
      <w:r w:rsidR="0058656B" w:rsidRPr="007C68F1">
        <w:t>concluded that the medical center was entitled to summary adjudication on Woodworth’s individual overtime claim as well</w:t>
      </w:r>
      <w:r w:rsidR="004F1083" w:rsidRPr="007C68F1">
        <w:t xml:space="preserve"> as</w:t>
      </w:r>
      <w:r w:rsidR="0058656B" w:rsidRPr="007C68F1">
        <w:t xml:space="preserve"> the PAGA claim, to the extent that </w:t>
      </w:r>
      <w:r w:rsidR="004F1083" w:rsidRPr="007C68F1">
        <w:t>Woodworth based the</w:t>
      </w:r>
      <w:r w:rsidR="0058656B" w:rsidRPr="007C68F1">
        <w:t xml:space="preserve"> latter on the overtime claim.</w:t>
      </w:r>
      <w:r w:rsidR="007C7CD8" w:rsidRPr="007C68F1">
        <w:t xml:space="preserve">  </w:t>
      </w:r>
      <w:r w:rsidR="007209F2" w:rsidRPr="007C68F1">
        <w:t xml:space="preserve">In addition, the court overruled </w:t>
      </w:r>
      <w:r w:rsidR="007C7CD8" w:rsidRPr="007C68F1">
        <w:t>Woodworth</w:t>
      </w:r>
      <w:r w:rsidR="007209F2" w:rsidRPr="007C68F1">
        <w:t xml:space="preserve">’s objections to Norton’s declaration.  (Woodworth </w:t>
      </w:r>
      <w:r w:rsidR="007E080F" w:rsidRPr="007C68F1">
        <w:t xml:space="preserve">had </w:t>
      </w:r>
      <w:r w:rsidR="007C7CD8" w:rsidRPr="007C68F1">
        <w:t xml:space="preserve">filed </w:t>
      </w:r>
      <w:r w:rsidR="007E080F" w:rsidRPr="007C68F1">
        <w:t>a 37-page document consisting of 59 objections to Norton’s declaration.</w:t>
      </w:r>
      <w:r w:rsidR="007209F2" w:rsidRPr="007C68F1">
        <w:t>)</w:t>
      </w:r>
      <w:r w:rsidR="0058656B" w:rsidRPr="007C68F1">
        <w:t xml:space="preserve">  </w:t>
      </w:r>
    </w:p>
    <w:p w14:paraId="10135830" w14:textId="77777777" w:rsidR="007E5149" w:rsidRPr="007C68F1" w:rsidRDefault="00D16B2E" w:rsidP="007D1009">
      <w:pPr>
        <w:keepNext/>
        <w:spacing w:line="480" w:lineRule="auto"/>
        <w:rPr>
          <w:shd w:val="clear" w:color="auto" w:fill="FFFFFF"/>
        </w:rPr>
      </w:pPr>
      <w:r w:rsidRPr="007C68F1">
        <w:tab/>
        <w:t xml:space="preserve">B.  </w:t>
      </w:r>
      <w:r w:rsidRPr="007C68F1">
        <w:rPr>
          <w:i/>
          <w:iCs/>
        </w:rPr>
        <w:t>Analysis</w:t>
      </w:r>
    </w:p>
    <w:p w14:paraId="512AE24F" w14:textId="77777777" w:rsidR="00BC3EBD" w:rsidRPr="007C68F1" w:rsidRDefault="00D16B2E" w:rsidP="007D1009">
      <w:pPr>
        <w:keepNext/>
        <w:spacing w:line="480" w:lineRule="auto"/>
        <w:ind w:firstLine="720"/>
        <w:rPr>
          <w:bdr w:val="none" w:sz="0" w:space="0" w:color="auto" w:frame="1"/>
        </w:rPr>
      </w:pPr>
      <w:r w:rsidRPr="007C68F1">
        <w:t xml:space="preserve">To </w:t>
      </w:r>
      <w:r w:rsidR="0050690A" w:rsidRPr="007C68F1">
        <w:t>recap</w:t>
      </w:r>
      <w:r w:rsidRPr="007C68F1">
        <w:t xml:space="preserve">, </w:t>
      </w:r>
      <w:r w:rsidR="00482B33" w:rsidRPr="007C68F1">
        <w:t>a</w:t>
      </w:r>
      <w:r w:rsidR="009C359B" w:rsidRPr="007C68F1">
        <w:t xml:space="preserve"> validly adopted AWS </w:t>
      </w:r>
      <w:r w:rsidR="00482B33" w:rsidRPr="007C68F1">
        <w:t>is an</w:t>
      </w:r>
      <w:r w:rsidR="009C359B" w:rsidRPr="007C68F1">
        <w:t xml:space="preserve"> exception</w:t>
      </w:r>
      <w:r w:rsidR="00482B33" w:rsidRPr="007C68F1">
        <w:t xml:space="preserve"> to the overtime rules and an </w:t>
      </w:r>
      <w:r w:rsidR="009C359B" w:rsidRPr="007C68F1">
        <w:t>affirmative defense that the employer bears the burden of proving.  (</w:t>
      </w:r>
      <w:r w:rsidR="00482B33" w:rsidRPr="007C68F1">
        <w:t xml:space="preserve">§ 510, subd. (a); </w:t>
      </w:r>
      <w:bookmarkStart w:id="623" w:name="dabmci_80e32b753e084e8e98dc3b30706b346d"/>
      <w:r w:rsidR="009C359B" w:rsidRPr="007C68F1">
        <w:rPr>
          <w:i/>
          <w:iCs/>
          <w:bdr w:val="none" w:sz="0" w:space="0" w:color="auto" w:frame="1"/>
        </w:rPr>
        <w:t>Ramire</w:t>
      </w:r>
      <w:r w:rsidR="00D3485E" w:rsidRPr="007C68F1">
        <w:rPr>
          <w:i/>
          <w:iCs/>
          <w:bdr w:val="none" w:sz="0" w:space="0" w:color="auto" w:frame="1"/>
        </w:rPr>
        <w:t>z</w:t>
      </w:r>
      <w:r w:rsidR="00D3485E" w:rsidRPr="007C68F1">
        <w:rPr>
          <w:bdr w:val="none" w:sz="0" w:space="0" w:color="auto" w:frame="1"/>
        </w:rPr>
        <w:t xml:space="preserve">, </w:t>
      </w:r>
      <w:r w:rsidR="00D3485E" w:rsidRPr="007C68F1">
        <w:rPr>
          <w:i/>
          <w:iCs/>
          <w:bdr w:val="none" w:sz="0" w:space="0" w:color="auto" w:frame="1"/>
        </w:rPr>
        <w:t>supra</w:t>
      </w:r>
      <w:r w:rsidR="00D3485E" w:rsidRPr="007C68F1">
        <w:rPr>
          <w:bdr w:val="none" w:sz="0" w:space="0" w:color="auto" w:frame="1"/>
        </w:rPr>
        <w:t>,</w:t>
      </w:r>
      <w:r w:rsidR="009C359B" w:rsidRPr="007C68F1">
        <w:t xml:space="preserve"> 20 Cal.4th </w:t>
      </w:r>
      <w:r w:rsidR="00D3485E" w:rsidRPr="007C68F1">
        <w:t>at pp.</w:t>
      </w:r>
      <w:r w:rsidR="009C359B" w:rsidRPr="007C68F1">
        <w:t xml:space="preserve"> 794-795</w:t>
      </w:r>
      <w:bookmarkEnd w:id="623"/>
      <w:r w:rsidR="009C359B" w:rsidRPr="007C68F1">
        <w:t xml:space="preserve">; </w:t>
      </w:r>
      <w:bookmarkStart w:id="624" w:name="dabmci_67d2df6f7fcd4c55aefd763b35d95fab"/>
      <w:r w:rsidR="009C359B" w:rsidRPr="007C68F1">
        <w:rPr>
          <w:i/>
          <w:iCs/>
        </w:rPr>
        <w:t>Maldonado</w:t>
      </w:r>
      <w:r w:rsidR="009C359B" w:rsidRPr="007C68F1">
        <w:t xml:space="preserve">, </w:t>
      </w:r>
      <w:r w:rsidR="009C359B" w:rsidRPr="007C68F1">
        <w:rPr>
          <w:i/>
          <w:iCs/>
        </w:rPr>
        <w:t>supra</w:t>
      </w:r>
      <w:r w:rsidR="009C359B" w:rsidRPr="007C68F1">
        <w:t>, 22 Cal.App.5th at p.</w:t>
      </w:r>
      <w:r w:rsidR="00DD32C6" w:rsidRPr="007C68F1">
        <w:t> </w:t>
      </w:r>
      <w:r w:rsidR="009C359B" w:rsidRPr="007C68F1">
        <w:t>1327</w:t>
      </w:r>
      <w:bookmarkEnd w:id="624"/>
      <w:r w:rsidR="009C359B" w:rsidRPr="007C68F1">
        <w:t>.)</w:t>
      </w:r>
      <w:r w:rsidR="00250707" w:rsidRPr="007C68F1">
        <w:t xml:space="preserve">  </w:t>
      </w:r>
      <w:r w:rsidR="009C359B" w:rsidRPr="007C68F1">
        <w:t>Wage Order 5 governs AWS’s in the health care industry.  (</w:t>
      </w:r>
      <w:bookmarkStart w:id="625" w:name="dabmci_d9c08109ffd0459e8185d0152f738e80"/>
      <w:r w:rsidR="009C359B" w:rsidRPr="007C68F1">
        <w:t xml:space="preserve">Cal. Code Regs., </w:t>
      </w:r>
      <w:r w:rsidR="009C359B" w:rsidRPr="007C68F1">
        <w:lastRenderedPageBreak/>
        <w:t>tit. 8, § 11050, subds. 1, 2(G), (J), (P)(4)</w:t>
      </w:r>
      <w:bookmarkEnd w:id="625"/>
      <w:r w:rsidR="009C359B" w:rsidRPr="007C68F1">
        <w:t xml:space="preserve">; </w:t>
      </w:r>
      <w:bookmarkStart w:id="626" w:name="dabmci_0d28426e27404dd59911a87072588ca4"/>
      <w:r w:rsidR="009C359B" w:rsidRPr="007C68F1">
        <w:rPr>
          <w:i/>
          <w:iCs/>
          <w:bdr w:val="none" w:sz="0" w:space="0" w:color="auto" w:frame="1"/>
        </w:rPr>
        <w:t>Singh</w:t>
      </w:r>
      <w:r w:rsidR="009C359B" w:rsidRPr="007C68F1">
        <w:rPr>
          <w:bdr w:val="none" w:sz="0" w:space="0" w:color="auto" w:frame="1"/>
        </w:rPr>
        <w:t xml:space="preserve">, </w:t>
      </w:r>
      <w:r w:rsidR="009C359B" w:rsidRPr="007C68F1">
        <w:rPr>
          <w:i/>
          <w:iCs/>
          <w:bdr w:val="none" w:sz="0" w:space="0" w:color="auto" w:frame="1"/>
        </w:rPr>
        <w:t>supra</w:t>
      </w:r>
      <w:r w:rsidR="009C359B" w:rsidRPr="007C68F1">
        <w:rPr>
          <w:bdr w:val="none" w:sz="0" w:space="0" w:color="auto" w:frame="1"/>
        </w:rPr>
        <w:t xml:space="preserve">, </w:t>
      </w:r>
      <w:r w:rsidR="009C359B" w:rsidRPr="007C68F1">
        <w:t>140 Cal.App.4th at pp. 397-398</w:t>
      </w:r>
      <w:bookmarkEnd w:id="626"/>
      <w:r w:rsidR="009C359B" w:rsidRPr="007C68F1">
        <w:t>.)</w:t>
      </w:r>
      <w:r w:rsidR="00EA2CDB" w:rsidRPr="007C68F1">
        <w:t xml:space="preserve">  We liberally construe the IWC’s wage orders to favor the protection of employees.  (</w:t>
      </w:r>
      <w:bookmarkStart w:id="627" w:name="dabmci_1562464024594f018d122c1493484889"/>
      <w:r w:rsidR="00EA2CDB" w:rsidRPr="007C68F1">
        <w:rPr>
          <w:i/>
          <w:iCs/>
        </w:rPr>
        <w:t>Augustus</w:t>
      </w:r>
      <w:r w:rsidR="00EA2CDB" w:rsidRPr="007C68F1">
        <w:t xml:space="preserve">, </w:t>
      </w:r>
      <w:r w:rsidR="00EA2CDB" w:rsidRPr="007C68F1">
        <w:rPr>
          <w:i/>
          <w:iCs/>
        </w:rPr>
        <w:t>supra</w:t>
      </w:r>
      <w:r w:rsidR="00EA2CDB" w:rsidRPr="007C68F1">
        <w:t xml:space="preserve">, </w:t>
      </w:r>
      <w:r w:rsidR="00FB75D0" w:rsidRPr="007C68F1">
        <w:t>2 Cal.5th at p. 262</w:t>
      </w:r>
      <w:bookmarkEnd w:id="627"/>
      <w:r w:rsidR="00FB75D0" w:rsidRPr="007C68F1">
        <w:t>.)</w:t>
      </w:r>
      <w:r w:rsidR="00EA2CDB" w:rsidRPr="007C68F1">
        <w:t xml:space="preserve">  </w:t>
      </w:r>
      <w:r w:rsidR="003625D7" w:rsidRPr="007C68F1">
        <w:t xml:space="preserve">The </w:t>
      </w:r>
      <w:bookmarkStart w:id="628" w:name="dabmq_285"/>
      <w:r w:rsidR="003625D7" w:rsidRPr="007C68F1">
        <w:t>“usual rules of statutory interpretation apply</w:t>
      </w:r>
      <w:r w:rsidR="00EA2CDB" w:rsidRPr="007C68F1">
        <w:t>.</w:t>
      </w:r>
      <w:r w:rsidR="003625D7" w:rsidRPr="007C68F1">
        <w:t>”</w:t>
      </w:r>
      <w:bookmarkEnd w:id="628"/>
      <w:r w:rsidR="00EA2CDB" w:rsidRPr="007C68F1">
        <w:t xml:space="preserve">  </w:t>
      </w:r>
      <w:r w:rsidR="00250707" w:rsidRPr="007C68F1">
        <w:rPr>
          <w:shd w:val="clear" w:color="auto" w:fill="FFFFFF"/>
        </w:rPr>
        <w:t>(</w:t>
      </w:r>
      <w:bookmarkStart w:id="629" w:name="dabmci_c00e00f7e9414b0e8c6548e92069e102"/>
      <w:r w:rsidR="00250707" w:rsidRPr="007C68F1">
        <w:rPr>
          <w:i/>
          <w:iCs/>
          <w:bdr w:val="none" w:sz="0" w:space="0" w:color="auto" w:frame="1"/>
        </w:rPr>
        <w:t>Brinker</w:t>
      </w:r>
      <w:r w:rsidR="00250707" w:rsidRPr="007C68F1">
        <w:rPr>
          <w:bdr w:val="none" w:sz="0" w:space="0" w:color="auto" w:frame="1"/>
        </w:rPr>
        <w:t xml:space="preserve">, </w:t>
      </w:r>
      <w:r w:rsidR="00250707" w:rsidRPr="007C68F1">
        <w:rPr>
          <w:i/>
          <w:iCs/>
          <w:bdr w:val="none" w:sz="0" w:space="0" w:color="auto" w:frame="1"/>
        </w:rPr>
        <w:t>supra</w:t>
      </w:r>
      <w:r w:rsidR="00250707" w:rsidRPr="007C68F1">
        <w:rPr>
          <w:bdr w:val="none" w:sz="0" w:space="0" w:color="auto" w:frame="1"/>
        </w:rPr>
        <w:t>,</w:t>
      </w:r>
      <w:r w:rsidR="00250707" w:rsidRPr="007C68F1">
        <w:t xml:space="preserve"> 53 Cal.4th at p. 1027</w:t>
      </w:r>
      <w:bookmarkEnd w:id="629"/>
      <w:r w:rsidR="00250707" w:rsidRPr="007C68F1">
        <w:t>.)</w:t>
      </w:r>
      <w:r w:rsidRPr="007C68F1">
        <w:t xml:space="preserve">  Thus, if the wage order</w:t>
      </w:r>
      <w:r w:rsidR="00EA2CDB" w:rsidRPr="007C68F1">
        <w:t xml:space="preserve"> </w:t>
      </w:r>
      <w:r w:rsidRPr="007C68F1">
        <w:t>is clear, we give effect to the ordinary, plain meaning of the language</w:t>
      </w:r>
      <w:r w:rsidR="006738EF" w:rsidRPr="007C68F1">
        <w:t>.  (</w:t>
      </w:r>
      <w:r w:rsidR="006738EF" w:rsidRPr="007C68F1">
        <w:rPr>
          <w:i/>
          <w:iCs/>
          <w:bdr w:val="none" w:sz="0" w:space="0" w:color="auto" w:frame="1"/>
        </w:rPr>
        <w:t>Singh</w:t>
      </w:r>
      <w:r w:rsidR="006738EF" w:rsidRPr="007C68F1">
        <w:rPr>
          <w:bdr w:val="none" w:sz="0" w:space="0" w:color="auto" w:frame="1"/>
        </w:rPr>
        <w:t xml:space="preserve">, </w:t>
      </w:r>
      <w:bookmarkStart w:id="630" w:name="dabmci_0264891342f443578f5b540da715dcb6"/>
      <w:r w:rsidR="006738EF" w:rsidRPr="007C68F1">
        <w:rPr>
          <w:bdr w:val="none" w:sz="0" w:space="0" w:color="auto" w:frame="1"/>
        </w:rPr>
        <w:t>at p. 392</w:t>
      </w:r>
      <w:bookmarkEnd w:id="630"/>
      <w:r w:rsidR="006738EF" w:rsidRPr="007C68F1">
        <w:rPr>
          <w:bdr w:val="none" w:sz="0" w:space="0" w:color="auto" w:frame="1"/>
        </w:rPr>
        <w:t>.)</w:t>
      </w:r>
    </w:p>
    <w:p w14:paraId="7538C55E" w14:textId="77777777" w:rsidR="00954B7D" w:rsidRPr="007C68F1" w:rsidRDefault="00D16B2E" w:rsidP="007D1009">
      <w:pPr>
        <w:spacing w:line="480" w:lineRule="auto"/>
        <w:ind w:firstLine="720"/>
      </w:pPr>
      <w:r w:rsidRPr="007C68F1">
        <w:t xml:space="preserve">Under Wage </w:t>
      </w:r>
      <w:r w:rsidRPr="007C68F1">
        <w:t>Order 5, t</w:t>
      </w:r>
      <w:r w:rsidR="006564E6" w:rsidRPr="007C68F1">
        <w:t>he employer’s proposal for an AWS shall be in the form of a written agreement.  (</w:t>
      </w:r>
      <w:bookmarkStart w:id="631" w:name="dabmci_9db9303c49974f6b894e9ef694b1aa8d"/>
      <w:r w:rsidR="004F68E1" w:rsidRPr="007C68F1">
        <w:t>Cal. Code Regs., tit. 8, § 11050, subd. 3(C)(1)</w:t>
      </w:r>
      <w:bookmarkEnd w:id="631"/>
      <w:r w:rsidR="004F68E1" w:rsidRPr="007C68F1">
        <w:t>.)</w:t>
      </w:r>
      <w:r w:rsidR="006564E6" w:rsidRPr="007C68F1">
        <w:t xml:space="preserve">  </w:t>
      </w:r>
      <w:r w:rsidR="004F68E1" w:rsidRPr="007C68F1">
        <w:t>For</w:t>
      </w:r>
      <w:r w:rsidR="003625D7" w:rsidRPr="007C68F1">
        <w:t xml:space="preserve"> an AWS to be valid, </w:t>
      </w:r>
      <w:r w:rsidR="009C359B" w:rsidRPr="007C68F1">
        <w:t>at least two-thirds of the employees in the affected work unit must vote in favor of the AWS in a secret</w:t>
      </w:r>
      <w:r w:rsidR="005824AB" w:rsidRPr="007C68F1">
        <w:t>-</w:t>
      </w:r>
      <w:r w:rsidR="009C359B" w:rsidRPr="007C68F1">
        <w:t>ballot election.  (</w:t>
      </w:r>
      <w:bookmarkStart w:id="632" w:name="dabmci_d285314118d24e2fa0fe364db533eb47"/>
      <w:r w:rsidR="00E70F42" w:rsidRPr="007C68F1">
        <w:rPr>
          <w:i/>
          <w:iCs/>
        </w:rPr>
        <w:t>Id.</w:t>
      </w:r>
      <w:r w:rsidR="00EA26AC" w:rsidRPr="007C68F1">
        <w:t xml:space="preserve">, </w:t>
      </w:r>
      <w:r w:rsidR="009C359B" w:rsidRPr="007C68F1">
        <w:t>§ 11050, subd. 3(C)(2)</w:t>
      </w:r>
      <w:bookmarkEnd w:id="632"/>
      <w:r w:rsidR="009C359B" w:rsidRPr="007C68F1">
        <w:t xml:space="preserve">.)  </w:t>
      </w:r>
      <w:r w:rsidRPr="007C68F1">
        <w:t>T</w:t>
      </w:r>
      <w:r w:rsidR="001B4E2E" w:rsidRPr="007C68F1">
        <w:t xml:space="preserve">he </w:t>
      </w:r>
      <w:r w:rsidR="00DA7772" w:rsidRPr="007C68F1">
        <w:t xml:space="preserve">employer </w:t>
      </w:r>
      <w:r w:rsidR="001B6B3F" w:rsidRPr="007C68F1">
        <w:t>shall</w:t>
      </w:r>
      <w:r w:rsidR="00DA7772" w:rsidRPr="007C68F1">
        <w:t xml:space="preserve"> hold the election during regular working hours at the employees’ work site.  (</w:t>
      </w:r>
      <w:bookmarkStart w:id="633" w:name="dabmci_7613211890954548826f2f281a0d0e9b"/>
      <w:r w:rsidR="002D2487" w:rsidRPr="007C68F1">
        <w:rPr>
          <w:i/>
          <w:iCs/>
        </w:rPr>
        <w:t>Ibid</w:t>
      </w:r>
      <w:bookmarkEnd w:id="633"/>
      <w:r w:rsidR="00DA7772" w:rsidRPr="007C68F1">
        <w:rPr>
          <w:i/>
          <w:iCs/>
        </w:rPr>
        <w:t>.</w:t>
      </w:r>
      <w:r w:rsidR="00DA7772" w:rsidRPr="007C68F1">
        <w:t xml:space="preserve">)  </w:t>
      </w:r>
    </w:p>
    <w:p w14:paraId="1DF88ABB" w14:textId="77777777" w:rsidR="00510E0E" w:rsidRPr="007C68F1" w:rsidRDefault="00D16B2E" w:rsidP="007D1009">
      <w:pPr>
        <w:spacing w:line="480" w:lineRule="auto"/>
        <w:ind w:firstLine="720"/>
        <w:rPr>
          <w:bdr w:val="none" w:sz="0" w:space="0" w:color="auto" w:frame="1"/>
          <w:shd w:val="clear" w:color="auto" w:fill="FFFFFF"/>
        </w:rPr>
      </w:pPr>
      <w:r w:rsidRPr="007C68F1">
        <w:t xml:space="preserve">Before the election, the employer must disclose in writing </w:t>
      </w:r>
      <w:bookmarkStart w:id="634" w:name="dabmq_286"/>
      <w:r w:rsidRPr="007C68F1">
        <w:t>“the effects of the proposed [AWS] on the employees’ wages, hours, and benefits.”</w:t>
      </w:r>
      <w:bookmarkEnd w:id="634"/>
      <w:r w:rsidRPr="007C68F1">
        <w:t xml:space="preserve">  (</w:t>
      </w:r>
      <w:bookmarkStart w:id="635" w:name="dabmci_e00cce08a41a43fb88d1a7c93ecaf10a"/>
      <w:r w:rsidRPr="007C68F1">
        <w:rPr>
          <w:i/>
          <w:iCs/>
        </w:rPr>
        <w:t>Id.</w:t>
      </w:r>
      <w:r w:rsidRPr="007C68F1">
        <w:t>, § 11050, subd.</w:t>
      </w:r>
      <w:r w:rsidR="00AC46D2">
        <w:t> </w:t>
      </w:r>
      <w:r w:rsidRPr="007C68F1">
        <w:t>3(C)(3)</w:t>
      </w:r>
      <w:bookmarkEnd w:id="635"/>
      <w:r w:rsidRPr="007C68F1">
        <w:t xml:space="preserve">.)  </w:t>
      </w:r>
      <w:bookmarkStart w:id="636" w:name="dabmq_287"/>
      <w:r w:rsidRPr="007C68F1">
        <w:t>“Such a disclosure shall include meeting(s), duly noticed, held at least 14 days p</w:t>
      </w:r>
      <w:r w:rsidRPr="007C68F1">
        <w:t>rior to voting, for the specific purpose of discussing the effects”</w:t>
      </w:r>
      <w:bookmarkEnd w:id="636"/>
      <w:r w:rsidRPr="007C68F1">
        <w:t xml:space="preserve"> of the AWS.  (</w:t>
      </w:r>
      <w:bookmarkStart w:id="637" w:name="dabmci_b57bb89fe5cd47479fa671261d6b899f"/>
      <w:r w:rsidRPr="007C68F1">
        <w:rPr>
          <w:i/>
          <w:iCs/>
        </w:rPr>
        <w:t>Ibid</w:t>
      </w:r>
      <w:bookmarkEnd w:id="637"/>
      <w:r w:rsidRPr="007C68F1">
        <w:rPr>
          <w:i/>
          <w:iCs/>
        </w:rPr>
        <w:t>.</w:t>
      </w:r>
      <w:r w:rsidRPr="007C68F1">
        <w:t xml:space="preserve">)  </w:t>
      </w:r>
      <w:r w:rsidR="00EA26AC" w:rsidRPr="007C68F1">
        <w:t>Further</w:t>
      </w:r>
      <w:r w:rsidR="001B6B3F" w:rsidRPr="007C68F1">
        <w:t xml:space="preserve">, the </w:t>
      </w:r>
      <w:bookmarkStart w:id="638" w:name="dabmq_288"/>
      <w:r w:rsidR="001B6B3F" w:rsidRPr="007C68F1">
        <w:t>“</w:t>
      </w:r>
      <w:r w:rsidR="001B6B3F" w:rsidRPr="007C68F1">
        <w:rPr>
          <w:shd w:val="clear" w:color="auto" w:fill="FFFFFF"/>
        </w:rPr>
        <w:t>employer shall provide that disclosure in a non-English language, as well as in English, if at least five (5) percent of the affected employees primarily speak that non-English language.</w:t>
      </w:r>
      <w:r w:rsidR="00EA26AC" w:rsidRPr="007C68F1">
        <w:rPr>
          <w:shd w:val="clear" w:color="auto" w:fill="FFFFFF"/>
        </w:rPr>
        <w:t xml:space="preserve">  </w:t>
      </w:r>
      <w:r w:rsidR="001B6B3F" w:rsidRPr="007C68F1">
        <w:rPr>
          <w:shd w:val="clear" w:color="auto" w:fill="FFFFFF"/>
        </w:rPr>
        <w:t>The employer shall mail the written disclosure to employees who do not attend the meeting.</w:t>
      </w:r>
      <w:r w:rsidR="001B6B3F" w:rsidRPr="007C68F1">
        <w:rPr>
          <w:bdr w:val="none" w:sz="0" w:space="0" w:color="auto" w:frame="1"/>
          <w:shd w:val="clear" w:color="auto" w:fill="FFFFFF"/>
        </w:rPr>
        <w:t>”</w:t>
      </w:r>
      <w:bookmarkEnd w:id="638"/>
      <w:r w:rsidR="001B6B3F" w:rsidRPr="007C68F1">
        <w:rPr>
          <w:bdr w:val="none" w:sz="0" w:space="0" w:color="auto" w:frame="1"/>
          <w:shd w:val="clear" w:color="auto" w:fill="FFFFFF"/>
        </w:rPr>
        <w:t xml:space="preserve">  (</w:t>
      </w:r>
      <w:bookmarkStart w:id="639" w:name="dabmci_3211a84e24df4e70943cee05813f189d"/>
      <w:r w:rsidR="00EA26AC" w:rsidRPr="007C68F1">
        <w:rPr>
          <w:i/>
          <w:iCs/>
          <w:bdr w:val="none" w:sz="0" w:space="0" w:color="auto" w:frame="1"/>
          <w:shd w:val="clear" w:color="auto" w:fill="FFFFFF"/>
        </w:rPr>
        <w:t>Ibid</w:t>
      </w:r>
      <w:bookmarkEnd w:id="639"/>
      <w:r w:rsidR="00EA26AC" w:rsidRPr="007C68F1">
        <w:rPr>
          <w:i/>
          <w:iCs/>
          <w:bdr w:val="none" w:sz="0" w:space="0" w:color="auto" w:frame="1"/>
          <w:shd w:val="clear" w:color="auto" w:fill="FFFFFF"/>
        </w:rPr>
        <w:t>.</w:t>
      </w:r>
      <w:r w:rsidR="00EA26AC" w:rsidRPr="007C68F1">
        <w:rPr>
          <w:bdr w:val="none" w:sz="0" w:space="0" w:color="auto" w:frame="1"/>
          <w:shd w:val="clear" w:color="auto" w:fill="FFFFFF"/>
        </w:rPr>
        <w:t xml:space="preserve">)  </w:t>
      </w:r>
      <w:r w:rsidR="00464E67" w:rsidRPr="007C68F1">
        <w:rPr>
          <w:bdr w:val="none" w:sz="0" w:space="0" w:color="auto" w:frame="1"/>
          <w:shd w:val="clear" w:color="auto" w:fill="FFFFFF"/>
        </w:rPr>
        <w:t>The</w:t>
      </w:r>
      <w:r w:rsidR="00954B7D" w:rsidRPr="007C68F1">
        <w:rPr>
          <w:bdr w:val="none" w:sz="0" w:space="0" w:color="auto" w:frame="1"/>
          <w:shd w:val="clear" w:color="auto" w:fill="FFFFFF"/>
        </w:rPr>
        <w:t xml:space="preserve"> f</w:t>
      </w:r>
      <w:r w:rsidR="001B6B3F" w:rsidRPr="007C68F1">
        <w:rPr>
          <w:bdr w:val="none" w:sz="0" w:space="0" w:color="auto" w:frame="1"/>
          <w:shd w:val="clear" w:color="auto" w:fill="FFFFFF"/>
        </w:rPr>
        <w:t xml:space="preserve">ailure to comply with </w:t>
      </w:r>
      <w:r w:rsidR="00EA26AC" w:rsidRPr="007C68F1">
        <w:rPr>
          <w:bdr w:val="none" w:sz="0" w:space="0" w:color="auto" w:frame="1"/>
          <w:shd w:val="clear" w:color="auto" w:fill="FFFFFF"/>
        </w:rPr>
        <w:t xml:space="preserve">these </w:t>
      </w:r>
      <w:r w:rsidR="00BE43BB" w:rsidRPr="007C68F1">
        <w:rPr>
          <w:bdr w:val="none" w:sz="0" w:space="0" w:color="auto" w:frame="1"/>
          <w:shd w:val="clear" w:color="auto" w:fill="FFFFFF"/>
        </w:rPr>
        <w:t xml:space="preserve">pre-election </w:t>
      </w:r>
      <w:r w:rsidR="00EA26AC" w:rsidRPr="007C68F1">
        <w:rPr>
          <w:bdr w:val="none" w:sz="0" w:space="0" w:color="auto" w:frame="1"/>
          <w:shd w:val="clear" w:color="auto" w:fill="FFFFFF"/>
        </w:rPr>
        <w:t>requirements</w:t>
      </w:r>
      <w:r w:rsidR="001B6B3F" w:rsidRPr="007C68F1">
        <w:rPr>
          <w:bdr w:val="none" w:sz="0" w:space="0" w:color="auto" w:frame="1"/>
          <w:shd w:val="clear" w:color="auto" w:fill="FFFFFF"/>
        </w:rPr>
        <w:t xml:space="preserve"> </w:t>
      </w:r>
      <w:bookmarkStart w:id="640" w:name="dabmq_289"/>
      <w:r w:rsidR="00EA26AC" w:rsidRPr="007C68F1">
        <w:rPr>
          <w:bdr w:val="none" w:sz="0" w:space="0" w:color="auto" w:frame="1"/>
          <w:shd w:val="clear" w:color="auto" w:fill="FFFFFF"/>
        </w:rPr>
        <w:t>“</w:t>
      </w:r>
      <w:r w:rsidR="001B6B3F" w:rsidRPr="007C68F1">
        <w:rPr>
          <w:bdr w:val="none" w:sz="0" w:space="0" w:color="auto" w:frame="1"/>
          <w:shd w:val="clear" w:color="auto" w:fill="FFFFFF"/>
        </w:rPr>
        <w:t>shall make the election null and v</w:t>
      </w:r>
      <w:r w:rsidR="00EA26AC" w:rsidRPr="007C68F1">
        <w:rPr>
          <w:bdr w:val="none" w:sz="0" w:space="0" w:color="auto" w:frame="1"/>
          <w:shd w:val="clear" w:color="auto" w:fill="FFFFFF"/>
        </w:rPr>
        <w:t>oid.”</w:t>
      </w:r>
      <w:bookmarkEnd w:id="640"/>
      <w:r w:rsidR="00EA26AC" w:rsidRPr="007C68F1">
        <w:rPr>
          <w:bdr w:val="none" w:sz="0" w:space="0" w:color="auto" w:frame="1"/>
          <w:shd w:val="clear" w:color="auto" w:fill="FFFFFF"/>
        </w:rPr>
        <w:t xml:space="preserve">  (</w:t>
      </w:r>
      <w:bookmarkStart w:id="641" w:name="dabmci_79bf6f4f0cda41e2a0a4e35fc4cdf606"/>
      <w:r w:rsidR="00EA26AC" w:rsidRPr="007C68F1">
        <w:rPr>
          <w:i/>
          <w:iCs/>
          <w:bdr w:val="none" w:sz="0" w:space="0" w:color="auto" w:frame="1"/>
          <w:shd w:val="clear" w:color="auto" w:fill="FFFFFF"/>
        </w:rPr>
        <w:t>Ibid</w:t>
      </w:r>
      <w:bookmarkEnd w:id="641"/>
      <w:r w:rsidR="00EA26AC" w:rsidRPr="007C68F1">
        <w:rPr>
          <w:bdr w:val="none" w:sz="0" w:space="0" w:color="auto" w:frame="1"/>
          <w:shd w:val="clear" w:color="auto" w:fill="FFFFFF"/>
        </w:rPr>
        <w:t>.)</w:t>
      </w:r>
    </w:p>
    <w:p w14:paraId="62EEEAD8" w14:textId="77777777" w:rsidR="00BC3EBD" w:rsidRPr="007C68F1" w:rsidRDefault="00D16B2E" w:rsidP="007D1009">
      <w:pPr>
        <w:spacing w:line="480" w:lineRule="auto"/>
        <w:ind w:firstLine="720"/>
      </w:pPr>
      <w:r w:rsidRPr="007C68F1">
        <w:t xml:space="preserve">Wage Order 5 also </w:t>
      </w:r>
      <w:r w:rsidR="0088359D" w:rsidRPr="007C68F1">
        <w:t xml:space="preserve">requires any AWS agreement adopted under the order to </w:t>
      </w:r>
      <w:bookmarkStart w:id="642" w:name="dabmq_290"/>
      <w:r w:rsidR="0088359D" w:rsidRPr="007C68F1">
        <w:t>“provide for not less than four (4) hours of work in any shift.”</w:t>
      </w:r>
      <w:bookmarkEnd w:id="642"/>
      <w:r w:rsidR="0088359D" w:rsidRPr="007C68F1">
        <w:t xml:space="preserve">  (</w:t>
      </w:r>
      <w:bookmarkStart w:id="643" w:name="dabmci_4e1835a7520c4c0dbb0c1326d6ba0d4c"/>
      <w:r w:rsidR="0088359D" w:rsidRPr="007C68F1">
        <w:t>Cal. Code Regs., tit. 8, § 11050, subd. 3(B)(1), (B)(8)(c)</w:t>
      </w:r>
      <w:bookmarkEnd w:id="643"/>
      <w:r w:rsidR="0088359D" w:rsidRPr="007C68F1">
        <w:t xml:space="preserve">.)  In addition, the order </w:t>
      </w:r>
      <w:r w:rsidRPr="007C68F1">
        <w:t xml:space="preserve">requires the </w:t>
      </w:r>
      <w:r w:rsidR="009C359B" w:rsidRPr="007C68F1">
        <w:t xml:space="preserve">employer </w:t>
      </w:r>
      <w:r w:rsidRPr="007C68F1">
        <w:t>to</w:t>
      </w:r>
      <w:r w:rsidR="009C359B" w:rsidRPr="007C68F1">
        <w:t xml:space="preserve"> report </w:t>
      </w:r>
      <w:r w:rsidR="009C359B" w:rsidRPr="007C68F1">
        <w:lastRenderedPageBreak/>
        <w:t xml:space="preserve">the results of the </w:t>
      </w:r>
      <w:r w:rsidRPr="007C68F1">
        <w:t xml:space="preserve">AWS </w:t>
      </w:r>
      <w:r w:rsidR="009C359B" w:rsidRPr="007C68F1">
        <w:t>election to the DLSR within 30 days.  (</w:t>
      </w:r>
      <w:bookmarkStart w:id="644" w:name="dabmci_32960dae62cf4215822d8d9f8bea8234"/>
      <w:r w:rsidR="00842D4F" w:rsidRPr="007C68F1">
        <w:rPr>
          <w:i/>
          <w:iCs/>
        </w:rPr>
        <w:t>Id.</w:t>
      </w:r>
      <w:r w:rsidR="009C359B" w:rsidRPr="007C68F1">
        <w:t>, § 11050, subd.</w:t>
      </w:r>
      <w:r w:rsidR="00AC46D2">
        <w:t> </w:t>
      </w:r>
      <w:r w:rsidR="009C359B" w:rsidRPr="007C68F1">
        <w:t>3(C)(6)</w:t>
      </w:r>
      <w:bookmarkEnd w:id="644"/>
      <w:r w:rsidR="009C359B" w:rsidRPr="007C68F1">
        <w:t>.)</w:t>
      </w:r>
      <w:r w:rsidR="00250007" w:rsidRPr="007C68F1">
        <w:t xml:space="preserve">  </w:t>
      </w:r>
    </w:p>
    <w:p w14:paraId="02B4422E" w14:textId="77777777" w:rsidR="0095364B" w:rsidRPr="007C68F1" w:rsidRDefault="00D16B2E" w:rsidP="007D1009">
      <w:pPr>
        <w:spacing w:line="480" w:lineRule="auto"/>
        <w:ind w:firstLine="720"/>
      </w:pPr>
      <w:r w:rsidRPr="007C68F1">
        <w:t>In this case, the court did not err by granting the medical center’s motion for summary adjudication.</w:t>
      </w:r>
      <w:r w:rsidR="001F6C3C" w:rsidRPr="007C68F1">
        <w:t xml:space="preserve">  </w:t>
      </w:r>
      <w:r w:rsidR="00EB4767" w:rsidRPr="007C68F1">
        <w:t xml:space="preserve">The medical center proffered evidence that it complied with the AWS </w:t>
      </w:r>
      <w:r w:rsidR="00AE5ABD" w:rsidRPr="007C68F1">
        <w:t>election</w:t>
      </w:r>
      <w:r w:rsidR="00EB4767" w:rsidRPr="007C68F1">
        <w:t xml:space="preserve"> procedures for both of the AWS’s under which Woodworth worked.</w:t>
      </w:r>
      <w:r w:rsidR="00F830FE" w:rsidRPr="007C68F1">
        <w:t xml:space="preserve">  </w:t>
      </w:r>
      <w:r w:rsidR="00943292" w:rsidRPr="007C68F1">
        <w:t xml:space="preserve">With respect to the 2001 election, </w:t>
      </w:r>
      <w:r w:rsidR="00F830FE" w:rsidRPr="007C68F1">
        <w:t>Norton</w:t>
      </w:r>
      <w:r w:rsidR="005623A0" w:rsidRPr="007C68F1">
        <w:t>’s declaration and exhibits to it</w:t>
      </w:r>
      <w:r w:rsidR="00943292" w:rsidRPr="007C68F1">
        <w:t xml:space="preserve"> established</w:t>
      </w:r>
      <w:r w:rsidR="00F830FE" w:rsidRPr="007C68F1">
        <w:t xml:space="preserve"> </w:t>
      </w:r>
      <w:r w:rsidR="005623A0" w:rsidRPr="007C68F1">
        <w:t>the following</w:t>
      </w:r>
      <w:r w:rsidR="00EE11A5" w:rsidRPr="007C68F1">
        <w:t>:</w:t>
      </w:r>
      <w:r w:rsidR="005623A0" w:rsidRPr="007C68F1">
        <w:t xml:space="preserve">  T</w:t>
      </w:r>
      <w:r w:rsidR="00F830FE" w:rsidRPr="007C68F1">
        <w:t xml:space="preserve">he medical center mailed </w:t>
      </w:r>
      <w:r w:rsidR="00B25794" w:rsidRPr="007C68F1">
        <w:t>the AWS disclosure document to the affected employee</w:t>
      </w:r>
      <w:r w:rsidR="00943292" w:rsidRPr="007C68F1">
        <w:t xml:space="preserve">s and </w:t>
      </w:r>
      <w:r w:rsidR="00682859" w:rsidRPr="007C68F1">
        <w:t>held meetings to discuss the proposed AWS at least 14 days before the election</w:t>
      </w:r>
      <w:r w:rsidR="00DF30A8" w:rsidRPr="007C68F1">
        <w:t xml:space="preserve">. </w:t>
      </w:r>
      <w:r w:rsidR="00682859" w:rsidRPr="007C68F1">
        <w:t xml:space="preserve"> The medical center provided another copy of the disclosure</w:t>
      </w:r>
      <w:r w:rsidR="00047BC1" w:rsidRPr="007C68F1">
        <w:t xml:space="preserve">s </w:t>
      </w:r>
      <w:r w:rsidR="00682859" w:rsidRPr="007C68F1">
        <w:t>to th</w:t>
      </w:r>
      <w:r w:rsidR="00943292" w:rsidRPr="007C68F1">
        <w:t xml:space="preserve">e </w:t>
      </w:r>
      <w:r w:rsidR="00682859" w:rsidRPr="007C68F1">
        <w:t>employees who attended the meetings.</w:t>
      </w:r>
      <w:r w:rsidR="00DF30A8" w:rsidRPr="007C68F1">
        <w:t xml:space="preserve">  The population of affected employees did not consist of </w:t>
      </w:r>
      <w:r w:rsidR="008211BB" w:rsidRPr="007C68F1">
        <w:t xml:space="preserve">5 </w:t>
      </w:r>
      <w:r w:rsidR="00DF30A8" w:rsidRPr="007C68F1">
        <w:t xml:space="preserve">percent or more non-English speakers, so there was no need to provide the disclosures in </w:t>
      </w:r>
      <w:r w:rsidR="008211BB" w:rsidRPr="007C68F1">
        <w:t xml:space="preserve">a language </w:t>
      </w:r>
      <w:r w:rsidR="00DF30A8" w:rsidRPr="007C68F1">
        <w:t>other than English.</w:t>
      </w:r>
      <w:r w:rsidR="00682859" w:rsidRPr="007C68F1">
        <w:t xml:space="preserve"> </w:t>
      </w:r>
      <w:r w:rsidR="00DF30A8" w:rsidRPr="007C68F1">
        <w:t xml:space="preserve"> </w:t>
      </w:r>
      <w:r w:rsidR="00682859" w:rsidRPr="007C68F1">
        <w:t>The disclosure</w:t>
      </w:r>
      <w:r w:rsidR="00DF30A8" w:rsidRPr="007C68F1">
        <w:t xml:space="preserve">s </w:t>
      </w:r>
      <w:r w:rsidR="00943292" w:rsidRPr="007C68F1">
        <w:t>informed</w:t>
      </w:r>
      <w:r w:rsidR="00682859" w:rsidRPr="007C68F1">
        <w:t xml:space="preserve"> employees</w:t>
      </w:r>
      <w:r w:rsidR="00162457" w:rsidRPr="007C68F1">
        <w:t xml:space="preserve"> about the AWS’s effect on wages and hours—</w:t>
      </w:r>
      <w:r w:rsidR="00EE11A5" w:rsidRPr="007C68F1">
        <w:t>that is</w:t>
      </w:r>
      <w:r w:rsidR="00162457" w:rsidRPr="007C68F1">
        <w:t xml:space="preserve">, </w:t>
      </w:r>
      <w:r w:rsidR="00943292" w:rsidRPr="007C68F1">
        <w:t xml:space="preserve">employees would not receive overtime pay for </w:t>
      </w:r>
      <w:r w:rsidR="00162457" w:rsidRPr="007C68F1">
        <w:t xml:space="preserve">their regularly scheduled 12-hour shifts, but they would receive overtime pay if they worked over 40 hours in the workweek or over 12 hours in </w:t>
      </w:r>
      <w:r w:rsidR="007025F4" w:rsidRPr="007C68F1">
        <w:t>the</w:t>
      </w:r>
      <w:r w:rsidR="00162457" w:rsidRPr="007C68F1">
        <w:t xml:space="preserve"> workday.  As to the AWS’s effect on benefits, the disclosures informed employees that they would be eligible for benefits on the same basis as all other employees</w:t>
      </w:r>
      <w:r w:rsidR="0061400E" w:rsidRPr="007C68F1">
        <w:t>, as summarized in the employee handbook</w:t>
      </w:r>
      <w:r w:rsidR="00F4213A" w:rsidRPr="007C68F1">
        <w:t>.</w:t>
      </w:r>
      <w:r w:rsidR="00DF30A8" w:rsidRPr="007C68F1">
        <w:t xml:space="preserve">  </w:t>
      </w:r>
      <w:r w:rsidR="00030950" w:rsidRPr="007C68F1">
        <w:t>The secret</w:t>
      </w:r>
      <w:r w:rsidR="005824AB" w:rsidRPr="007C68F1">
        <w:t>-</w:t>
      </w:r>
      <w:r w:rsidR="00030950" w:rsidRPr="007C68F1">
        <w:t>ballot election took place at the work</w:t>
      </w:r>
      <w:r w:rsidR="00A63CC9" w:rsidRPr="007C68F1">
        <w:t xml:space="preserve"> </w:t>
      </w:r>
      <w:r w:rsidR="00030950" w:rsidRPr="007C68F1">
        <w:t xml:space="preserve">site during </w:t>
      </w:r>
      <w:r w:rsidR="007025F4" w:rsidRPr="007C68F1">
        <w:t xml:space="preserve">regular </w:t>
      </w:r>
      <w:r w:rsidR="00A7210C" w:rsidRPr="007C68F1">
        <w:t>work hours</w:t>
      </w:r>
      <w:r w:rsidR="00D04BE0" w:rsidRPr="007C68F1">
        <w:t xml:space="preserve">, which was </w:t>
      </w:r>
      <w:r w:rsidR="000B4DC7" w:rsidRPr="007C68F1">
        <w:t>the medical center’s</w:t>
      </w:r>
      <w:r w:rsidR="00D04BE0" w:rsidRPr="007C68F1">
        <w:t xml:space="preserve"> policy and practice at all times. </w:t>
      </w:r>
      <w:r w:rsidR="000B4DC7" w:rsidRPr="007C68F1">
        <w:t xml:space="preserve"> </w:t>
      </w:r>
      <w:r w:rsidR="00D04BE0" w:rsidRPr="007C68F1">
        <w:t>A</w:t>
      </w:r>
      <w:r w:rsidR="00DF30A8" w:rsidRPr="007C68F1">
        <w:t>nd 1,545 out of 1,785 affected employees approved the AWS—well beyond the two-thirds vote required.</w:t>
      </w:r>
    </w:p>
    <w:p w14:paraId="585B8CCA" w14:textId="77777777" w:rsidR="00DF30A8" w:rsidRPr="007C68F1" w:rsidRDefault="00D16B2E" w:rsidP="007D1009">
      <w:pPr>
        <w:spacing w:line="480" w:lineRule="auto"/>
        <w:ind w:firstLine="720"/>
      </w:pPr>
      <w:r w:rsidRPr="007C68F1">
        <w:t>The medical center’s evidence with respect to the 2013 election was similar.  Norton’s and Cook’s declarations</w:t>
      </w:r>
      <w:r w:rsidR="000B4DC7" w:rsidRPr="007C68F1">
        <w:t>, along with their exhibits,</w:t>
      </w:r>
      <w:r w:rsidRPr="007C68F1">
        <w:t xml:space="preserve"> established that the</w:t>
      </w:r>
      <w:r w:rsidRPr="007C68F1">
        <w:t xml:space="preserve"> medical </w:t>
      </w:r>
      <w:r w:rsidRPr="007C68F1">
        <w:lastRenderedPageBreak/>
        <w:t>center emailed the AWS disclosures to the affected employees in April 2013.</w:t>
      </w:r>
      <w:r w:rsidR="00EB0B44" w:rsidRPr="007C68F1">
        <w:t xml:space="preserve">  The employees </w:t>
      </w:r>
      <w:r w:rsidR="0039053D" w:rsidRPr="007C68F1">
        <w:t xml:space="preserve">who were eligible to vote spoke English as their primary language, so they did not need the disclosures in another language. </w:t>
      </w:r>
      <w:r w:rsidRPr="007C68F1">
        <w:t xml:space="preserve"> </w:t>
      </w:r>
      <w:r w:rsidR="0039053D" w:rsidRPr="007C68F1">
        <w:t>The medical center</w:t>
      </w:r>
      <w:r w:rsidRPr="007C68F1">
        <w:t xml:space="preserve"> held meetin</w:t>
      </w:r>
      <w:r w:rsidRPr="007C68F1">
        <w:t xml:space="preserve">gs to discuss the AWS in May 2013, at least 14 days before the </w:t>
      </w:r>
      <w:r w:rsidR="00344F20" w:rsidRPr="007C68F1">
        <w:t>June election.  The medical center disclosed the same information about the AWS’s effect on wages, hours, and benefits</w:t>
      </w:r>
      <w:r w:rsidRPr="007C68F1">
        <w:t xml:space="preserve"> </w:t>
      </w:r>
      <w:r w:rsidR="00D04BE0" w:rsidRPr="007C68F1">
        <w:t>that it did in connection with the 2001 election.</w:t>
      </w:r>
      <w:r w:rsidR="00CE10FD" w:rsidRPr="007C68F1">
        <w:t xml:space="preserve">  Five hundred seventy-five </w:t>
      </w:r>
      <w:r w:rsidR="00E6108F" w:rsidRPr="007C68F1">
        <w:t xml:space="preserve">out of 701 </w:t>
      </w:r>
      <w:r w:rsidR="00CE10FD" w:rsidRPr="007C68F1">
        <w:t>employees voted in favor of the AW</w:t>
      </w:r>
      <w:r w:rsidR="00E6108F" w:rsidRPr="007C68F1">
        <w:t>S</w:t>
      </w:r>
      <w:r w:rsidR="00CE2A16" w:rsidRPr="007C68F1">
        <w:t>, more than the two-thirds required.</w:t>
      </w:r>
    </w:p>
    <w:p w14:paraId="4B35166C" w14:textId="77777777" w:rsidR="00955870" w:rsidRPr="007C68F1" w:rsidRDefault="00D16B2E" w:rsidP="007D1009">
      <w:pPr>
        <w:spacing w:line="480" w:lineRule="auto"/>
        <w:ind w:firstLine="720"/>
      </w:pPr>
      <w:r w:rsidRPr="007C68F1">
        <w:t>On the basis of the foregoing evidence, t</w:t>
      </w:r>
      <w:r w:rsidR="001F6C3C" w:rsidRPr="007C68F1">
        <w:t>he medical</w:t>
      </w:r>
      <w:r w:rsidRPr="007C68F1">
        <w:t xml:space="preserve"> </w:t>
      </w:r>
      <w:r w:rsidR="00510E0E" w:rsidRPr="007C68F1">
        <w:t xml:space="preserve">center </w:t>
      </w:r>
      <w:r w:rsidR="001F6C3C" w:rsidRPr="007C68F1">
        <w:t>carried its initial burden of showing a validly adopted AWS in 2001 and 2013.</w:t>
      </w:r>
      <w:r w:rsidR="00FB377F" w:rsidRPr="007C68F1">
        <w:t xml:space="preserve">  </w:t>
      </w:r>
      <w:r w:rsidR="00603E87" w:rsidRPr="007C68F1">
        <w:t xml:space="preserve">None of </w:t>
      </w:r>
      <w:r w:rsidR="00FB377F" w:rsidRPr="007C68F1">
        <w:t>Woodworth</w:t>
      </w:r>
      <w:r w:rsidR="00603E87" w:rsidRPr="007C68F1">
        <w:t xml:space="preserve">’s arguments </w:t>
      </w:r>
      <w:r w:rsidR="00D62355" w:rsidRPr="007C68F1">
        <w:t>persuades</w:t>
      </w:r>
      <w:r w:rsidR="0068441D" w:rsidRPr="007C68F1">
        <w:t xml:space="preserve"> us</w:t>
      </w:r>
      <w:r w:rsidR="00603E87" w:rsidRPr="007C68F1">
        <w:t xml:space="preserve"> that she raised </w:t>
      </w:r>
      <w:r w:rsidR="00FB377F" w:rsidRPr="007C68F1">
        <w:t xml:space="preserve">a triable issue of material fact </w:t>
      </w:r>
      <w:r w:rsidR="00603E87" w:rsidRPr="007C68F1">
        <w:t>or that the court otherwise erred</w:t>
      </w:r>
      <w:r w:rsidR="000B4DC7" w:rsidRPr="007C68F1">
        <w:t xml:space="preserve"> by granting the motion</w:t>
      </w:r>
      <w:r w:rsidR="00FB377F" w:rsidRPr="007C68F1">
        <w:t>.</w:t>
      </w:r>
      <w:r w:rsidR="006B36E8" w:rsidRPr="007C68F1">
        <w:t xml:space="preserve">  (</w:t>
      </w:r>
      <w:bookmarkStart w:id="645" w:name="dabmci_774894c292c64196814587e31f29f58d"/>
      <w:r w:rsidR="006B36E8" w:rsidRPr="007C68F1">
        <w:rPr>
          <w:i/>
          <w:iCs/>
          <w:bdr w:val="none" w:sz="0" w:space="0" w:color="auto" w:frame="1"/>
        </w:rPr>
        <w:t>Dinslage</w:t>
      </w:r>
      <w:r w:rsidR="002C6CD4" w:rsidRPr="007C68F1">
        <w:rPr>
          <w:bdr w:val="none" w:sz="0" w:space="0" w:color="auto" w:frame="1"/>
        </w:rPr>
        <w:t xml:space="preserve">, </w:t>
      </w:r>
      <w:r w:rsidR="002C6CD4" w:rsidRPr="007C68F1">
        <w:rPr>
          <w:i/>
          <w:iCs/>
          <w:bdr w:val="none" w:sz="0" w:space="0" w:color="auto" w:frame="1"/>
        </w:rPr>
        <w:t>supra</w:t>
      </w:r>
      <w:r w:rsidR="002C6CD4" w:rsidRPr="007C68F1">
        <w:rPr>
          <w:bdr w:val="none" w:sz="0" w:space="0" w:color="auto" w:frame="1"/>
        </w:rPr>
        <w:t xml:space="preserve">, </w:t>
      </w:r>
      <w:r w:rsidR="006B36E8" w:rsidRPr="007C68F1">
        <w:t xml:space="preserve">5 Cal.App.5th </w:t>
      </w:r>
      <w:r w:rsidR="002C6CD4" w:rsidRPr="007C68F1">
        <w:t>at p.</w:t>
      </w:r>
      <w:r w:rsidR="006B36E8" w:rsidRPr="007C68F1">
        <w:t xml:space="preserve"> 379</w:t>
      </w:r>
      <w:bookmarkEnd w:id="645"/>
      <w:r w:rsidR="006B36E8" w:rsidRPr="007C68F1">
        <w:t xml:space="preserve"> [appellant bears the burden of affirmatively demonstrating error</w:t>
      </w:r>
      <w:r w:rsidR="001E5C0C" w:rsidRPr="007C68F1">
        <w:t xml:space="preserve"> on appeal from summary adjudication order</w:t>
      </w:r>
      <w:r w:rsidR="006B36E8" w:rsidRPr="007C68F1">
        <w:t xml:space="preserve">].)  </w:t>
      </w:r>
    </w:p>
    <w:p w14:paraId="4EAA1370" w14:textId="77777777" w:rsidR="007C7CD8" w:rsidRPr="007C68F1" w:rsidRDefault="00D16B2E" w:rsidP="007D1009">
      <w:pPr>
        <w:spacing w:line="480" w:lineRule="auto"/>
        <w:ind w:firstLine="720"/>
      </w:pPr>
      <w:r w:rsidRPr="007C68F1">
        <w:t xml:space="preserve">Woodworth </w:t>
      </w:r>
      <w:r w:rsidR="008211BB" w:rsidRPr="007C68F1">
        <w:t xml:space="preserve">first </w:t>
      </w:r>
      <w:r w:rsidRPr="007C68F1">
        <w:t xml:space="preserve">argues that </w:t>
      </w:r>
      <w:r w:rsidR="00733468" w:rsidRPr="007C68F1">
        <w:t xml:space="preserve">the court </w:t>
      </w:r>
      <w:r w:rsidR="000648E6" w:rsidRPr="007C68F1">
        <w:t>erred</w:t>
      </w:r>
      <w:r w:rsidR="00733468" w:rsidRPr="007C68F1">
        <w:t xml:space="preserve"> by </w:t>
      </w:r>
      <w:r w:rsidR="00C007DE" w:rsidRPr="007C68F1">
        <w:t>overruling her objections to</w:t>
      </w:r>
      <w:r w:rsidR="00733468" w:rsidRPr="007C68F1">
        <w:t xml:space="preserve"> Norton’s declaration because Norton </w:t>
      </w:r>
      <w:r w:rsidRPr="007C68F1">
        <w:t xml:space="preserve">lacked personal knowledge of </w:t>
      </w:r>
      <w:r w:rsidR="00733468" w:rsidRPr="007C68F1">
        <w:t xml:space="preserve">(1) </w:t>
      </w:r>
      <w:r w:rsidR="007E2413" w:rsidRPr="007C68F1">
        <w:t>what occurred during</w:t>
      </w:r>
      <w:r w:rsidR="00733468" w:rsidRPr="007C68F1">
        <w:t xml:space="preserve"> the 2001 election</w:t>
      </w:r>
      <w:r w:rsidR="00C007DE" w:rsidRPr="007C68F1">
        <w:t xml:space="preserve">, (2) the email to employees </w:t>
      </w:r>
      <w:r w:rsidR="00EE7C61" w:rsidRPr="007C68F1">
        <w:t>regarding</w:t>
      </w:r>
      <w:r w:rsidR="00C007DE" w:rsidRPr="007C68F1">
        <w:t xml:space="preserve"> the 2013 election, and (3) the English language skills of the voting employees</w:t>
      </w:r>
      <w:r w:rsidR="00733468" w:rsidRPr="007C68F1">
        <w:t>.</w:t>
      </w:r>
      <w:r w:rsidR="00C71597" w:rsidRPr="007C68F1">
        <w:t xml:space="preserve">  </w:t>
      </w:r>
      <w:r w:rsidR="007E2413" w:rsidRPr="007C68F1">
        <w:t>We are not persuaded that the court committed prejudicial error</w:t>
      </w:r>
      <w:r w:rsidR="00330F87" w:rsidRPr="007C68F1">
        <w:t xml:space="preserve"> here</w:t>
      </w:r>
      <w:r w:rsidR="007E2413" w:rsidRPr="007C68F1">
        <w:t xml:space="preserve">.  Woodworth claims that Norton started working at the medical center after the 2001 election, but that is incorrect.  Norton </w:t>
      </w:r>
      <w:r w:rsidR="0028365F" w:rsidRPr="007C68F1">
        <w:t>declared that she began</w:t>
      </w:r>
      <w:r w:rsidR="007B0ED7" w:rsidRPr="007C68F1">
        <w:t xml:space="preserve"> working</w:t>
      </w:r>
      <w:r w:rsidR="007E2413" w:rsidRPr="007C68F1">
        <w:t xml:space="preserve"> there in July 2001, and the election took place in September 2001.</w:t>
      </w:r>
      <w:r w:rsidR="00313263" w:rsidRPr="007C68F1">
        <w:t xml:space="preserve">  </w:t>
      </w:r>
      <w:r w:rsidR="007E2413" w:rsidRPr="007C68F1">
        <w:t xml:space="preserve">The court </w:t>
      </w:r>
      <w:r w:rsidR="007B0ED7" w:rsidRPr="007C68F1">
        <w:t xml:space="preserve">thus </w:t>
      </w:r>
      <w:r w:rsidR="007E2413" w:rsidRPr="007C68F1">
        <w:t>could reasonably conclude that Norton had personal knowledge of the 2001 election.</w:t>
      </w:r>
      <w:r w:rsidR="00313263" w:rsidRPr="007C68F1">
        <w:t xml:space="preserve">  </w:t>
      </w:r>
      <w:r w:rsidR="00FD6423" w:rsidRPr="007C68F1">
        <w:t>Similarly</w:t>
      </w:r>
      <w:r w:rsidR="00100024" w:rsidRPr="007C68F1">
        <w:t xml:space="preserve">, the court could reasonably conclude that </w:t>
      </w:r>
      <w:r w:rsidR="007B0ED7" w:rsidRPr="007C68F1">
        <w:t xml:space="preserve">Norton, a long-time human </w:t>
      </w:r>
      <w:r w:rsidR="007B0ED7" w:rsidRPr="007C68F1">
        <w:lastRenderedPageBreak/>
        <w:t>resources employee</w:t>
      </w:r>
      <w:r w:rsidR="00EE7C61" w:rsidRPr="007C68F1">
        <w:t xml:space="preserve"> at the medical center</w:t>
      </w:r>
      <w:r w:rsidR="007B0ED7" w:rsidRPr="007C68F1">
        <w:t xml:space="preserve">, knew what language skills the medical center required for nurses.  And even though </w:t>
      </w:r>
      <w:r w:rsidR="00494C8E" w:rsidRPr="007C68F1">
        <w:t xml:space="preserve">Norton was not at the medical center for the 2013 election, </w:t>
      </w:r>
      <w:r w:rsidRPr="007C68F1">
        <w:t xml:space="preserve">Woodworth </w:t>
      </w:r>
      <w:r w:rsidR="00494C8E" w:rsidRPr="007C68F1">
        <w:t>does not challenge the</w:t>
      </w:r>
      <w:r w:rsidRPr="007C68F1">
        <w:t xml:space="preserve"> admissibility of the business records</w:t>
      </w:r>
      <w:r w:rsidR="00494C8E" w:rsidRPr="007C68F1">
        <w:t xml:space="preserve"> showing that another human resources employee emailed the 2013 disclosures to the affected employees</w:t>
      </w:r>
      <w:r w:rsidRPr="007C68F1">
        <w:t>.</w:t>
      </w:r>
      <w:r w:rsidR="00494C8E" w:rsidRPr="007C68F1">
        <w:t xml:space="preserve">  (See </w:t>
      </w:r>
      <w:bookmarkStart w:id="646" w:name="dabmci_7dbe4a160b80400a89d94a4c4ff34fca"/>
      <w:r w:rsidR="00494C8E" w:rsidRPr="007C68F1">
        <w:t>Evid. Code, § 1271</w:t>
      </w:r>
      <w:bookmarkEnd w:id="646"/>
      <w:r w:rsidR="005F7132" w:rsidRPr="007C68F1">
        <w:t xml:space="preserve"> [permitting the admission of business records to establish the truth of the matters contained therein].)</w:t>
      </w:r>
      <w:r w:rsidR="00494C8E" w:rsidRPr="007C68F1">
        <w:t xml:space="preserve">  </w:t>
      </w:r>
      <w:r w:rsidR="00AC40FA" w:rsidRPr="007C68F1">
        <w:t xml:space="preserve">Nor does </w:t>
      </w:r>
      <w:r w:rsidR="003976C9" w:rsidRPr="007C68F1">
        <w:t>Woodworth</w:t>
      </w:r>
      <w:r w:rsidR="00AC40FA" w:rsidRPr="007C68F1">
        <w:t xml:space="preserve"> challenge the declaration of Cook, who declared that she received the 2013 email and that it was sent to all nurses eligible to vote.</w:t>
      </w:r>
    </w:p>
    <w:p w14:paraId="6DB8803C" w14:textId="77777777" w:rsidR="00D44BB7" w:rsidRPr="007C68F1" w:rsidRDefault="00D16B2E" w:rsidP="007D1009">
      <w:pPr>
        <w:spacing w:line="480" w:lineRule="auto"/>
        <w:ind w:firstLine="720"/>
      </w:pPr>
      <w:r w:rsidRPr="007C68F1">
        <w:t>Besides her evidentiary challenge to Norton’s declaration,</w:t>
      </w:r>
      <w:r w:rsidR="003E0292" w:rsidRPr="007C68F1">
        <w:t xml:space="preserve"> </w:t>
      </w:r>
      <w:r w:rsidR="006C29CA" w:rsidRPr="007C68F1">
        <w:t>Woodworth</w:t>
      </w:r>
      <w:r w:rsidRPr="007C68F1">
        <w:t xml:space="preserve"> argues t</w:t>
      </w:r>
      <w:r w:rsidR="006C29CA" w:rsidRPr="007C68F1">
        <w:t xml:space="preserve">hat the medical </w:t>
      </w:r>
      <w:r w:rsidRPr="007C68F1">
        <w:t xml:space="preserve">center </w:t>
      </w:r>
      <w:r w:rsidR="00652BF8" w:rsidRPr="007C68F1">
        <w:t>did not</w:t>
      </w:r>
      <w:r w:rsidRPr="007C68F1">
        <w:t xml:space="preserve"> fully disclose th</w:t>
      </w:r>
      <w:r w:rsidRPr="007C68F1">
        <w:t>e AWS’s effects on wages, hours, and benefits, rendering the elections “null and void.”  (</w:t>
      </w:r>
      <w:bookmarkStart w:id="647" w:name="dabmci_5d53165d892e4ad7a0723a931a9b3ad8"/>
      <w:r w:rsidRPr="007C68F1">
        <w:t>Cal. Code Regs., tit. 8, § 11050, subd. 3</w:t>
      </w:r>
      <w:r w:rsidR="006527FB" w:rsidRPr="007C68F1">
        <w:t>(C)</w:t>
      </w:r>
      <w:r w:rsidRPr="007C68F1">
        <w:t>(3)</w:t>
      </w:r>
      <w:bookmarkEnd w:id="647"/>
      <w:r w:rsidRPr="007C68F1">
        <w:t>.)</w:t>
      </w:r>
      <w:r w:rsidR="007F1D64" w:rsidRPr="007C68F1">
        <w:t xml:space="preserve">  </w:t>
      </w:r>
      <w:r w:rsidR="00897E24" w:rsidRPr="007C68F1">
        <w:t>In particular, she asserts that the medical center failed to disclose the AWS’s effect on meal and rest period</w:t>
      </w:r>
      <w:r w:rsidR="00F72E9B" w:rsidRPr="007C68F1">
        <w:t xml:space="preserve">s </w:t>
      </w:r>
      <w:r w:rsidR="006B18D1" w:rsidRPr="007C68F1">
        <w:t xml:space="preserve">and </w:t>
      </w:r>
      <w:r w:rsidR="00F72E9B" w:rsidRPr="007C68F1">
        <w:t>benefits</w:t>
      </w:r>
      <w:r w:rsidR="003E7C7D" w:rsidRPr="007C68F1">
        <w:t xml:space="preserve">.  </w:t>
      </w:r>
    </w:p>
    <w:p w14:paraId="5A1C61C0" w14:textId="77777777" w:rsidR="0039053D" w:rsidRPr="007C68F1" w:rsidRDefault="00D16B2E" w:rsidP="007D1009">
      <w:pPr>
        <w:spacing w:line="480" w:lineRule="auto"/>
        <w:ind w:firstLine="720"/>
      </w:pPr>
      <w:r w:rsidRPr="007C68F1">
        <w:t xml:space="preserve">Wage Order 5 requires disclosure of the AWS’s effects, but it does not require the employer to disclose when the AWS will have no effect.  </w:t>
      </w:r>
      <w:r w:rsidR="004B6424" w:rsidRPr="007C68F1">
        <w:t>W</w:t>
      </w:r>
      <w:r w:rsidRPr="007C68F1">
        <w:t xml:space="preserve">oodworth </w:t>
      </w:r>
      <w:r w:rsidR="003E7C7D" w:rsidRPr="007C68F1">
        <w:t>does not identify what claimed effect the AWS had on meal and rest periods</w:t>
      </w:r>
      <w:r w:rsidR="004B6424" w:rsidRPr="007C68F1">
        <w:t>, so she fails to show any deficiency on that issue</w:t>
      </w:r>
      <w:r w:rsidRPr="007C68F1">
        <w:t xml:space="preserve">.  She claims that the </w:t>
      </w:r>
      <w:r w:rsidR="004B6424" w:rsidRPr="007C68F1">
        <w:t xml:space="preserve">disclosures falsely </w:t>
      </w:r>
      <w:r w:rsidR="00330F87" w:rsidRPr="007C68F1">
        <w:t>informed</w:t>
      </w:r>
      <w:r w:rsidR="004B6424" w:rsidRPr="007C68F1">
        <w:t xml:space="preserve"> the </w:t>
      </w:r>
      <w:r w:rsidR="00EE360F" w:rsidRPr="007C68F1">
        <w:t xml:space="preserve">affected </w:t>
      </w:r>
      <w:r w:rsidR="004B6424" w:rsidRPr="007C68F1">
        <w:t>employees that they would be eligible for benefits on the same basis as all other employees</w:t>
      </w:r>
      <w:r w:rsidR="00EB0B44" w:rsidRPr="007C68F1">
        <w:t xml:space="preserve">, but that argument </w:t>
      </w:r>
      <w:r w:rsidR="00DE47D8" w:rsidRPr="007C68F1">
        <w:t>also is meritless</w:t>
      </w:r>
      <w:r w:rsidR="009521F0" w:rsidRPr="007C68F1">
        <w:t xml:space="preserve">.  </w:t>
      </w:r>
      <w:r w:rsidR="00EF4E60" w:rsidRPr="007C68F1">
        <w:t>P</w:t>
      </w:r>
      <w:r w:rsidR="00DE47D8" w:rsidRPr="007C68F1">
        <w:t xml:space="preserve">aid leave hours </w:t>
      </w:r>
      <w:r w:rsidR="00BF097D" w:rsidRPr="007C68F1">
        <w:t>provide</w:t>
      </w:r>
      <w:r w:rsidR="00EF4E60" w:rsidRPr="007C68F1">
        <w:t xml:space="preserve"> an apt example</w:t>
      </w:r>
      <w:r w:rsidR="00DE47D8" w:rsidRPr="007C68F1">
        <w:t>.  A</w:t>
      </w:r>
      <w:r w:rsidR="00DE6593" w:rsidRPr="007C68F1">
        <w:t>ccording to the employee handbook, e</w:t>
      </w:r>
      <w:r w:rsidR="00CD0C1E" w:rsidRPr="007C68F1">
        <w:t>mployees accrue</w:t>
      </w:r>
      <w:r w:rsidR="00F72E9B" w:rsidRPr="007C68F1">
        <w:t>d</w:t>
      </w:r>
      <w:r w:rsidR="00CD0C1E" w:rsidRPr="007C68F1">
        <w:t xml:space="preserve"> paid leave on the basis of hours worked and paid, </w:t>
      </w:r>
      <w:bookmarkStart w:id="648" w:name="dabmq_291"/>
      <w:r w:rsidR="00CD0C1E" w:rsidRPr="007C68F1">
        <w:t>“up to 80 hours each pay period.”</w:t>
      </w:r>
      <w:bookmarkEnd w:id="648"/>
      <w:r w:rsidR="003F05F8" w:rsidRPr="007C68F1">
        <w:t xml:space="preserve">  The handbook also described the rate at which paid leave hours would accrue, which varied depending on how long the </w:t>
      </w:r>
      <w:r w:rsidR="003F05F8" w:rsidRPr="007C68F1">
        <w:lastRenderedPageBreak/>
        <w:t>employee had worked at the medical center.</w:t>
      </w:r>
      <w:r w:rsidR="00DE6593" w:rsidRPr="007C68F1">
        <w:t xml:space="preserve"> </w:t>
      </w:r>
      <w:r w:rsidR="003F05F8" w:rsidRPr="007C68F1">
        <w:t xml:space="preserve"> </w:t>
      </w:r>
      <w:r w:rsidR="004F4876" w:rsidRPr="007C68F1">
        <w:t xml:space="preserve">In other words, </w:t>
      </w:r>
      <w:r w:rsidR="00DE47D8" w:rsidRPr="007C68F1">
        <w:t xml:space="preserve">a formula determined </w:t>
      </w:r>
      <w:r w:rsidR="004F4876" w:rsidRPr="007C68F1">
        <w:t xml:space="preserve">paid leave hours—the number of hours worked and paid multiplied by the accrual rate.  </w:t>
      </w:r>
      <w:r w:rsidRPr="007C68F1">
        <w:t>Given that</w:t>
      </w:r>
      <w:r w:rsidR="00DE6593" w:rsidRPr="007C68F1">
        <w:t xml:space="preserve"> employees on a 3/12 AWS work</w:t>
      </w:r>
      <w:r w:rsidR="00DA1350" w:rsidRPr="007C68F1">
        <w:t>ed</w:t>
      </w:r>
      <w:r w:rsidR="00DE6593" w:rsidRPr="007C68F1">
        <w:t xml:space="preserve"> only 72 hours in a </w:t>
      </w:r>
      <w:r w:rsidR="00F72E9B" w:rsidRPr="007C68F1">
        <w:t xml:space="preserve">two-week </w:t>
      </w:r>
      <w:r w:rsidR="00DE6593" w:rsidRPr="007C68F1">
        <w:t>pay period</w:t>
      </w:r>
      <w:r w:rsidR="001F39D8" w:rsidRPr="007C68F1">
        <w:t>,</w:t>
      </w:r>
      <w:r w:rsidR="009521F0" w:rsidRPr="007C68F1">
        <w:t xml:space="preserve"> </w:t>
      </w:r>
      <w:r w:rsidR="001F39D8" w:rsidRPr="007C68F1">
        <w:t>they</w:t>
      </w:r>
      <w:r w:rsidR="009521F0" w:rsidRPr="007C68F1">
        <w:t xml:space="preserve"> accrue</w:t>
      </w:r>
      <w:r w:rsidR="00DA1350" w:rsidRPr="007C68F1">
        <w:t>d</w:t>
      </w:r>
      <w:r w:rsidR="009521F0" w:rsidRPr="007C68F1">
        <w:t xml:space="preserve"> fewer paid leave hours than those working 80 hours</w:t>
      </w:r>
      <w:r w:rsidR="00F72E9B" w:rsidRPr="007C68F1">
        <w:t xml:space="preserve"> during the same period</w:t>
      </w:r>
      <w:r w:rsidRPr="007C68F1">
        <w:t xml:space="preserve">.  But that </w:t>
      </w:r>
      <w:r w:rsidR="009D4FFA" w:rsidRPr="007C68F1">
        <w:t>would have been</w:t>
      </w:r>
      <w:r w:rsidRPr="007C68F1">
        <w:t xml:space="preserve"> true for any employee who worked fewer than 80 hours in a pay period,</w:t>
      </w:r>
      <w:r w:rsidR="009D4FFA" w:rsidRPr="007C68F1">
        <w:t xml:space="preserve"> regardless of </w:t>
      </w:r>
      <w:r w:rsidRPr="007C68F1">
        <w:t>whether they worked under</w:t>
      </w:r>
      <w:r w:rsidRPr="007C68F1">
        <w:t xml:space="preserve"> an AWS</w:t>
      </w:r>
      <w:r w:rsidR="009D4FFA" w:rsidRPr="007C68F1">
        <w:t xml:space="preserve">.  </w:t>
      </w:r>
      <w:r w:rsidR="00DA1350" w:rsidRPr="007C68F1">
        <w:t xml:space="preserve">Woodworth points to no evidence that </w:t>
      </w:r>
      <w:r w:rsidR="00F72E9B" w:rsidRPr="007C68F1">
        <w:t>the AWS changed the</w:t>
      </w:r>
      <w:r w:rsidR="00DA1350" w:rsidRPr="007C68F1">
        <w:t xml:space="preserve"> </w:t>
      </w:r>
      <w:r w:rsidR="004F4876" w:rsidRPr="007C68F1">
        <w:t xml:space="preserve">formula </w:t>
      </w:r>
      <w:r w:rsidR="00DE47D8" w:rsidRPr="007C68F1">
        <w:t xml:space="preserve">for </w:t>
      </w:r>
      <w:r w:rsidR="004F4876" w:rsidRPr="007C68F1">
        <w:t>determining paid leave hours or any other benefit</w:t>
      </w:r>
      <w:r w:rsidR="006B18D1" w:rsidRPr="007C68F1">
        <w:t xml:space="preserve">, so there was no effect to disclose. </w:t>
      </w:r>
    </w:p>
    <w:p w14:paraId="0DDEE895" w14:textId="77777777" w:rsidR="00EC2557" w:rsidRPr="007C68F1" w:rsidRDefault="00D16B2E" w:rsidP="007D1009">
      <w:pPr>
        <w:spacing w:line="480" w:lineRule="auto"/>
        <w:ind w:firstLine="720"/>
      </w:pPr>
      <w:r w:rsidRPr="007C68F1">
        <w:t>In a similar vein, Woodworth claims that the medical center failed to disclose that the e</w:t>
      </w:r>
      <w:r w:rsidRPr="007C68F1">
        <w:t xml:space="preserve">mployees were entitled to at least four hours of work per shift.  </w:t>
      </w:r>
      <w:r w:rsidR="00330F87" w:rsidRPr="007C68F1">
        <w:t>That</w:t>
      </w:r>
      <w:r w:rsidR="00AF422D" w:rsidRPr="007C68F1">
        <w:t xml:space="preserve"> argument also fails.  </w:t>
      </w:r>
      <w:r w:rsidRPr="007C68F1">
        <w:t>She relie</w:t>
      </w:r>
      <w:r w:rsidR="008278B9" w:rsidRPr="007C68F1">
        <w:t>s</w:t>
      </w:r>
      <w:r w:rsidRPr="007C68F1">
        <w:t xml:space="preserve"> on the </w:t>
      </w:r>
      <w:r w:rsidR="00E038D5" w:rsidRPr="007C68F1">
        <w:t>provision</w:t>
      </w:r>
      <w:r w:rsidRPr="007C68F1">
        <w:t xml:space="preserve"> of Wage Order 5</w:t>
      </w:r>
      <w:r w:rsidR="00E038D5" w:rsidRPr="007C68F1">
        <w:t xml:space="preserve"> stating that the AWS agreement </w:t>
      </w:r>
      <w:bookmarkStart w:id="649" w:name="dabmq_292"/>
      <w:r w:rsidR="00E038D5" w:rsidRPr="007C68F1">
        <w:t xml:space="preserve">“shall </w:t>
      </w:r>
      <w:r w:rsidR="00361ABA" w:rsidRPr="007C68F1">
        <w:t>provide for not less than four (4) hours of work in any shift.”</w:t>
      </w:r>
      <w:bookmarkEnd w:id="649"/>
      <w:r w:rsidR="00361ABA" w:rsidRPr="007C68F1">
        <w:t xml:space="preserve">  (</w:t>
      </w:r>
      <w:bookmarkStart w:id="650" w:name="dabmci_dbc27c97b3174adbbe5fc01c0d135d29"/>
      <w:r w:rsidR="00361ABA" w:rsidRPr="007C68F1">
        <w:t>Cal. Code Regs., tit. 8, § 11050, subd. 3(B)(8)</w:t>
      </w:r>
      <w:r w:rsidR="00CC766D" w:rsidRPr="007C68F1">
        <w:t>(c)</w:t>
      </w:r>
      <w:bookmarkEnd w:id="650"/>
      <w:r w:rsidR="00361ABA" w:rsidRPr="007C68F1">
        <w:t xml:space="preserve">.)  </w:t>
      </w:r>
      <w:r w:rsidR="00E038D5" w:rsidRPr="007C68F1">
        <w:t xml:space="preserve">Woodworth’s AWS agreements provided for shifts of </w:t>
      </w:r>
      <w:r w:rsidR="000064D0" w:rsidRPr="007C68F1">
        <w:t xml:space="preserve">four </w:t>
      </w:r>
      <w:r w:rsidR="00330F87" w:rsidRPr="007C68F1">
        <w:t>hours or more</w:t>
      </w:r>
      <w:r w:rsidR="000064D0" w:rsidRPr="007C68F1">
        <w:t xml:space="preserve">—they provided for shifts of </w:t>
      </w:r>
      <w:r w:rsidR="00E038D5" w:rsidRPr="007C68F1">
        <w:t>12 hours</w:t>
      </w:r>
      <w:r w:rsidR="000064D0" w:rsidRPr="007C68F1">
        <w:t xml:space="preserve">, thereby </w:t>
      </w:r>
      <w:r w:rsidR="00E038D5" w:rsidRPr="007C68F1">
        <w:t>compl</w:t>
      </w:r>
      <w:r w:rsidR="000064D0" w:rsidRPr="007C68F1">
        <w:t xml:space="preserve">ying </w:t>
      </w:r>
      <w:r w:rsidR="00E038D5" w:rsidRPr="007C68F1">
        <w:t xml:space="preserve">with </w:t>
      </w:r>
      <w:r w:rsidR="00CA713A" w:rsidRPr="007C68F1">
        <w:t xml:space="preserve">that </w:t>
      </w:r>
      <w:r w:rsidR="00CC766D" w:rsidRPr="007C68F1">
        <w:t xml:space="preserve">portion of the wage order.  Moreover, the disclosures informed employees </w:t>
      </w:r>
      <w:r w:rsidR="00212FE5" w:rsidRPr="007C68F1">
        <w:t xml:space="preserve">that they would be working </w:t>
      </w:r>
      <w:r w:rsidR="00330F87" w:rsidRPr="007C68F1">
        <w:t xml:space="preserve">regularly scheduled </w:t>
      </w:r>
      <w:r w:rsidR="00212FE5" w:rsidRPr="007C68F1">
        <w:t xml:space="preserve">shifts of 12 hours.  There was no </w:t>
      </w:r>
      <w:r w:rsidR="00D82242" w:rsidRPr="007C68F1">
        <w:t xml:space="preserve">other </w:t>
      </w:r>
      <w:r w:rsidR="00212FE5" w:rsidRPr="007C68F1">
        <w:t>“effect</w:t>
      </w:r>
      <w:r w:rsidR="00D82242" w:rsidRPr="007C68F1">
        <w:t>[]</w:t>
      </w:r>
      <w:r w:rsidR="00212FE5" w:rsidRPr="007C68F1">
        <w:t>” to disclose</w:t>
      </w:r>
      <w:r w:rsidR="00D82242" w:rsidRPr="007C68F1">
        <w:t>.  (</w:t>
      </w:r>
      <w:bookmarkStart w:id="651" w:name="dabmci_31c35758f8a14005a6b0c0d3c04f0327"/>
      <w:r w:rsidR="00D82242" w:rsidRPr="007C68F1">
        <w:rPr>
          <w:i/>
          <w:iCs/>
        </w:rPr>
        <w:t>Id.</w:t>
      </w:r>
      <w:r w:rsidR="00D82242" w:rsidRPr="007C68F1">
        <w:t>, § 11050, subd. 3(C)(3)</w:t>
      </w:r>
      <w:bookmarkEnd w:id="651"/>
      <w:r w:rsidR="00D82242" w:rsidRPr="007C68F1">
        <w:t xml:space="preserve">.)  </w:t>
      </w:r>
    </w:p>
    <w:p w14:paraId="3B8D49D6" w14:textId="77777777" w:rsidR="00010DDF" w:rsidRPr="007C68F1" w:rsidRDefault="00D16B2E" w:rsidP="007D1009">
      <w:pPr>
        <w:spacing w:line="480" w:lineRule="auto"/>
        <w:ind w:firstLine="720"/>
      </w:pPr>
      <w:r w:rsidRPr="007C68F1">
        <w:t xml:space="preserve">Woodworth </w:t>
      </w:r>
      <w:r w:rsidR="00DF1B6F" w:rsidRPr="007C68F1">
        <w:t xml:space="preserve">also </w:t>
      </w:r>
      <w:r w:rsidRPr="007C68F1">
        <w:t xml:space="preserve">claims </w:t>
      </w:r>
      <w:r w:rsidR="00DF1B6F" w:rsidRPr="007C68F1">
        <w:t xml:space="preserve">that </w:t>
      </w:r>
      <w:r w:rsidRPr="007C68F1">
        <w:t xml:space="preserve">the medical center failed to </w:t>
      </w:r>
      <w:r w:rsidR="00DF1B6F" w:rsidRPr="007C68F1">
        <w:t xml:space="preserve">disclose when it may </w:t>
      </w:r>
      <w:r w:rsidRPr="007C68F1">
        <w:t>require employees to work ove</w:t>
      </w:r>
      <w:r w:rsidR="00DF1B6F" w:rsidRPr="007C68F1">
        <w:t>rtime</w:t>
      </w:r>
      <w:r w:rsidRPr="007C68F1">
        <w:t>.</w:t>
      </w:r>
      <w:r w:rsidR="00DF1B6F" w:rsidRPr="007C68F1">
        <w:t xml:space="preserve">  She points to the </w:t>
      </w:r>
      <w:r w:rsidR="00AC0A04" w:rsidRPr="007C68F1">
        <w:t xml:space="preserve">2001 </w:t>
      </w:r>
      <w:r w:rsidR="00DF1B6F" w:rsidRPr="007C68F1">
        <w:t>disclosure</w:t>
      </w:r>
      <w:r w:rsidR="00513C52" w:rsidRPr="007C68F1">
        <w:t xml:space="preserve"> stating</w:t>
      </w:r>
      <w:r w:rsidR="00DF1B6F" w:rsidRPr="007C68F1">
        <w:t xml:space="preserve"> that </w:t>
      </w:r>
      <w:r w:rsidR="00AC0A04" w:rsidRPr="007C68F1">
        <w:t xml:space="preserve">the </w:t>
      </w:r>
      <w:bookmarkStart w:id="652" w:name="dabmq_293"/>
      <w:r w:rsidR="00AC0A04" w:rsidRPr="007C68F1">
        <w:t>“</w:t>
      </w:r>
      <w:r w:rsidR="00DF1B6F" w:rsidRPr="007C68F1">
        <w:t>amount of overtime that an employee will be required to work will be subject to the requirements of sections 3(B1)(8) and (9) of Wage Order 5-2000.”</w:t>
      </w:r>
      <w:bookmarkEnd w:id="652"/>
      <w:r w:rsidR="00AC0A04" w:rsidRPr="007C68F1">
        <w:t xml:space="preserve">  The cited wage order is a former version of Wage Order 5</w:t>
      </w:r>
      <w:r w:rsidR="00F04D4F" w:rsidRPr="007C68F1">
        <w:t xml:space="preserve">.  (See IWC Wage Order 5-2000, available at </w:t>
      </w:r>
      <w:r w:rsidR="00F04D4F" w:rsidRPr="007C68F1">
        <w:lastRenderedPageBreak/>
        <w:t xml:space="preserve">https://www.dir.ca.gov/iwc/wageorderindustriesprior.htm.)  </w:t>
      </w:r>
      <w:r w:rsidR="008454EB" w:rsidRPr="007C68F1">
        <w:t>The 2013 disclosures referred</w:t>
      </w:r>
      <w:r w:rsidR="005B5D9A" w:rsidRPr="007C68F1">
        <w:t xml:space="preserve"> employees</w:t>
      </w:r>
      <w:r w:rsidR="008454EB" w:rsidRPr="007C68F1">
        <w:t xml:space="preserve"> to the </w:t>
      </w:r>
      <w:r w:rsidR="005B5D9A" w:rsidRPr="007C68F1">
        <w:t>equivalent</w:t>
      </w:r>
      <w:r w:rsidR="008454EB" w:rsidRPr="007C68F1">
        <w:t xml:space="preserve"> provisions of current Wage Order 5</w:t>
      </w:r>
      <w:r w:rsidR="005B5D9A" w:rsidRPr="007C68F1">
        <w:t>.  (</w:t>
      </w:r>
      <w:bookmarkStart w:id="653" w:name="dabmci_47dcff9ad45d4fa9ab99d4cad6d6549a"/>
      <w:r w:rsidR="005B5D9A" w:rsidRPr="007C68F1">
        <w:t>Cal. Code Regs.,</w:t>
      </w:r>
      <w:r w:rsidR="002C4744" w:rsidRPr="007C68F1">
        <w:t xml:space="preserve"> tit. 8, § 11050, subd. 3(B)(9)-(11)</w:t>
      </w:r>
      <w:bookmarkEnd w:id="653"/>
      <w:r w:rsidR="002C4744" w:rsidRPr="007C68F1">
        <w:t>.)</w:t>
      </w:r>
      <w:r w:rsidRPr="007C68F1">
        <w:t xml:space="preserve">  Those provisions set forth detailed rules for when employees who work a 12-hour shift may be required to work more than 12 hours in any 24-hour period.</w:t>
      </w:r>
      <w:r>
        <w:rPr>
          <w:rStyle w:val="FootnoteReference"/>
        </w:rPr>
        <w:footnoteReference w:id="13"/>
      </w:r>
      <w:r w:rsidRPr="007C68F1">
        <w:t xml:space="preserve">  (</w:t>
      </w:r>
      <w:bookmarkStart w:id="658" w:name="dabmci_d5e0de5df245429ba11c219a1881916c"/>
      <w:r w:rsidRPr="007C68F1">
        <w:rPr>
          <w:i/>
          <w:iCs/>
        </w:rPr>
        <w:t>Ibid</w:t>
      </w:r>
      <w:bookmarkEnd w:id="658"/>
      <w:r w:rsidRPr="007C68F1">
        <w:t xml:space="preserve">.)  </w:t>
      </w:r>
      <w:r w:rsidR="00EC6435" w:rsidRPr="007C68F1">
        <w:t xml:space="preserve">  </w:t>
      </w:r>
    </w:p>
    <w:p w14:paraId="365668F0" w14:textId="77777777" w:rsidR="00CC34EA" w:rsidRPr="007C68F1" w:rsidRDefault="00D16B2E" w:rsidP="007D1009">
      <w:pPr>
        <w:spacing w:line="480" w:lineRule="auto"/>
        <w:ind w:firstLine="720"/>
      </w:pPr>
      <w:r w:rsidRPr="007C68F1">
        <w:t xml:space="preserve">Woodworth contends that </w:t>
      </w:r>
      <w:r w:rsidR="002C549E" w:rsidRPr="007C68F1">
        <w:t>even though the AWS</w:t>
      </w:r>
      <w:r w:rsidRPr="007C68F1">
        <w:t xml:space="preserve"> disclosures </w:t>
      </w:r>
      <w:r w:rsidR="004E1924" w:rsidRPr="007C68F1">
        <w:t>cited the relevant provisions of the</w:t>
      </w:r>
      <w:r w:rsidRPr="007C68F1">
        <w:t xml:space="preserve"> wage order, </w:t>
      </w:r>
      <w:r w:rsidR="002C549E" w:rsidRPr="007C68F1">
        <w:t xml:space="preserve">the </w:t>
      </w:r>
      <w:r w:rsidRPr="007C68F1">
        <w:t xml:space="preserve">medical center </w:t>
      </w:r>
      <w:r w:rsidR="002C549E" w:rsidRPr="007C68F1">
        <w:t>had to</w:t>
      </w:r>
      <w:r w:rsidRPr="007C68F1">
        <w:t xml:space="preserve"> provide a copy of </w:t>
      </w:r>
      <w:r w:rsidR="002C549E" w:rsidRPr="007C68F1">
        <w:t>Wage Order 5</w:t>
      </w:r>
      <w:r w:rsidR="00E36651" w:rsidRPr="007C68F1">
        <w:t>.</w:t>
      </w:r>
      <w:r w:rsidR="00514941" w:rsidRPr="007C68F1">
        <w:t xml:space="preserve"> </w:t>
      </w:r>
      <w:r w:rsidR="00E36651" w:rsidRPr="007C68F1">
        <w:t xml:space="preserve"> Otherwise, she argues, the medical center failed to </w:t>
      </w:r>
      <w:r w:rsidR="00514941" w:rsidRPr="007C68F1">
        <w:t>disclose the AWS’s effects on hours</w:t>
      </w:r>
      <w:r w:rsidR="00DA13CC" w:rsidRPr="007C68F1">
        <w:t xml:space="preserve">, </w:t>
      </w:r>
      <w:r w:rsidR="00E36651" w:rsidRPr="007C68F1">
        <w:t xml:space="preserve">and </w:t>
      </w:r>
      <w:r w:rsidR="00DA13CC" w:rsidRPr="007C68F1">
        <w:t>the elections were null and void.</w:t>
      </w:r>
      <w:r w:rsidR="00B91DC4" w:rsidRPr="007C68F1">
        <w:t xml:space="preserve">  We are not persuaded by that argument</w:t>
      </w:r>
      <w:r w:rsidR="00572127" w:rsidRPr="007C68F1">
        <w:t xml:space="preserve"> for two reasons</w:t>
      </w:r>
      <w:r w:rsidR="00B91DC4" w:rsidRPr="007C68F1">
        <w:t>.</w:t>
      </w:r>
      <w:r w:rsidR="00116BC0" w:rsidRPr="007C68F1">
        <w:t xml:space="preserve">  </w:t>
      </w:r>
      <w:r w:rsidR="00572127" w:rsidRPr="007C68F1">
        <w:t>First, t</w:t>
      </w:r>
      <w:r w:rsidR="00116BC0" w:rsidRPr="007C68F1">
        <w:t xml:space="preserve">he </w:t>
      </w:r>
      <w:r w:rsidRPr="007C68F1">
        <w:t>disclosures put employees on notice that</w:t>
      </w:r>
      <w:r w:rsidR="00116BC0" w:rsidRPr="007C68F1">
        <w:t xml:space="preserve"> special rules would govern overtime under Wage Order 5.  The employees were free to ask for a copy of the wage order</w:t>
      </w:r>
      <w:r w:rsidR="00393332" w:rsidRPr="007C68F1">
        <w:t xml:space="preserve"> if it was not already posted in an employee area</w:t>
      </w:r>
      <w:r w:rsidR="00116BC0" w:rsidRPr="007C68F1">
        <w:t>, and the medical center would have been obligated to provide it</w:t>
      </w:r>
      <w:r w:rsidRPr="007C68F1">
        <w:t>.  (</w:t>
      </w:r>
      <w:bookmarkStart w:id="659" w:name="dabmci_21da289db5c9419e8ced3cd1960535c5"/>
      <w:r w:rsidRPr="007C68F1">
        <w:t>Cal. Code Regs., tit. 8, § 11050, subd. 22</w:t>
      </w:r>
      <w:bookmarkEnd w:id="659"/>
      <w:r w:rsidRPr="007C68F1">
        <w:t xml:space="preserve"> [requiring employers to post the wage order except when </w:t>
      </w:r>
      <w:bookmarkStart w:id="660" w:name="dabmq_294"/>
      <w:r w:rsidRPr="007C68F1">
        <w:t>“</w:t>
      </w:r>
      <w:r w:rsidR="00B91DC4" w:rsidRPr="007C68F1">
        <w:rPr>
          <w:shd w:val="clear" w:color="auto" w:fill="FFFFFF"/>
        </w:rPr>
        <w:t>the location of work or other conditions make this impractical</w:t>
      </w:r>
      <w:r w:rsidRPr="007C68F1">
        <w:rPr>
          <w:shd w:val="clear" w:color="auto" w:fill="FFFFFF"/>
        </w:rPr>
        <w:t>,”</w:t>
      </w:r>
      <w:bookmarkEnd w:id="660"/>
      <w:r w:rsidRPr="007C68F1">
        <w:rPr>
          <w:shd w:val="clear" w:color="auto" w:fill="FFFFFF"/>
        </w:rPr>
        <w:t xml:space="preserve"> in which case employers must </w:t>
      </w:r>
      <w:bookmarkStart w:id="661" w:name="dabmq_295"/>
      <w:r w:rsidR="00B91DC4" w:rsidRPr="007C68F1">
        <w:rPr>
          <w:shd w:val="clear" w:color="auto" w:fill="FFFFFF"/>
        </w:rPr>
        <w:t xml:space="preserve">“keep a copy of [the] order and </w:t>
      </w:r>
      <w:r w:rsidR="00B91DC4" w:rsidRPr="007C68F1">
        <w:rPr>
          <w:shd w:val="clear" w:color="auto" w:fill="FFFFFF"/>
        </w:rPr>
        <w:lastRenderedPageBreak/>
        <w:t>make it available to every employee upon request</w:t>
      </w:r>
      <w:r w:rsidRPr="007C68F1">
        <w:rPr>
          <w:shd w:val="clear" w:color="auto" w:fill="FFFFFF"/>
        </w:rPr>
        <w:t>”</w:t>
      </w:r>
      <w:bookmarkEnd w:id="661"/>
      <w:r w:rsidRPr="007C68F1">
        <w:rPr>
          <w:shd w:val="clear" w:color="auto" w:fill="FFFFFF"/>
        </w:rPr>
        <w:t xml:space="preserve">].)  </w:t>
      </w:r>
      <w:r w:rsidRPr="007C68F1">
        <w:t>Woodworth proffered no</w:t>
      </w:r>
      <w:r w:rsidR="006126E4" w:rsidRPr="007C68F1">
        <w:t xml:space="preserve"> evidence that an employee requested the wage order and that the medical center failed to </w:t>
      </w:r>
      <w:r w:rsidRPr="007C68F1">
        <w:t>respond</w:t>
      </w:r>
      <w:r w:rsidR="006126E4" w:rsidRPr="007C68F1">
        <w:t xml:space="preserve">. </w:t>
      </w:r>
    </w:p>
    <w:p w14:paraId="2C04A2FE" w14:textId="77777777" w:rsidR="0023607C" w:rsidRPr="007C68F1" w:rsidRDefault="00D16B2E" w:rsidP="007D1009">
      <w:pPr>
        <w:spacing w:line="480" w:lineRule="auto"/>
        <w:ind w:firstLine="720"/>
      </w:pPr>
      <w:r w:rsidRPr="007C68F1">
        <w:t xml:space="preserve">Second, </w:t>
      </w:r>
      <w:r w:rsidR="005E13DD" w:rsidRPr="007C68F1">
        <w:t xml:space="preserve">the </w:t>
      </w:r>
      <w:r w:rsidR="003B47BB" w:rsidRPr="007C68F1">
        <w:t>omission of</w:t>
      </w:r>
      <w:r w:rsidR="003353A5" w:rsidRPr="007C68F1">
        <w:t xml:space="preserve"> </w:t>
      </w:r>
      <w:r w:rsidR="005E13DD" w:rsidRPr="007C68F1">
        <w:t>Wage Order 5’s</w:t>
      </w:r>
      <w:r w:rsidR="003353A5" w:rsidRPr="007C68F1">
        <w:t xml:space="preserve"> detailed </w:t>
      </w:r>
      <w:r w:rsidR="001650AE" w:rsidRPr="007C68F1">
        <w:t>rules</w:t>
      </w:r>
      <w:r w:rsidR="003353A5" w:rsidRPr="007C68F1">
        <w:t xml:space="preserve"> did not </w:t>
      </w:r>
      <w:r w:rsidR="006F0443" w:rsidRPr="007C68F1">
        <w:t>qualify as a</w:t>
      </w:r>
      <w:r w:rsidR="003353A5" w:rsidRPr="007C68F1">
        <w:t xml:space="preserve"> “[f]ailure to comply”</w:t>
      </w:r>
      <w:r w:rsidR="005E13DD" w:rsidRPr="007C68F1">
        <w:t xml:space="preserve"> </w:t>
      </w:r>
      <w:r w:rsidR="006F0443" w:rsidRPr="007C68F1">
        <w:t>that justified nullification of</w:t>
      </w:r>
      <w:r w:rsidR="00A70F75" w:rsidRPr="007C68F1">
        <w:t xml:space="preserve"> the elections</w:t>
      </w:r>
      <w:r w:rsidR="005E13DD" w:rsidRPr="007C68F1">
        <w:t>.</w:t>
      </w:r>
      <w:r w:rsidR="000A5B42" w:rsidRPr="007C68F1">
        <w:t xml:space="preserve">  (</w:t>
      </w:r>
      <w:bookmarkStart w:id="662" w:name="dabmci_f9df70578f684828a7b4c0c2ab04fd8f"/>
      <w:r w:rsidR="000A5B42" w:rsidRPr="007C68F1">
        <w:t>Cal. Code Regs.,</w:t>
      </w:r>
      <w:r w:rsidR="008D48DA" w:rsidRPr="007C68F1">
        <w:t xml:space="preserve"> tit. 8,</w:t>
      </w:r>
      <w:r w:rsidR="000A5B42" w:rsidRPr="007C68F1">
        <w:t xml:space="preserve"> § 11050, subd. 3(C)(3)</w:t>
      </w:r>
      <w:bookmarkEnd w:id="662"/>
      <w:r w:rsidR="000A5B42" w:rsidRPr="007C68F1">
        <w:t>.)</w:t>
      </w:r>
      <w:r w:rsidR="00A70F75" w:rsidRPr="007C68F1">
        <w:t xml:space="preserve">  </w:t>
      </w:r>
      <w:r w:rsidR="00393332" w:rsidRPr="007C68F1">
        <w:t>We hold that an employer</w:t>
      </w:r>
      <w:r w:rsidR="008D48DA" w:rsidRPr="007C68F1">
        <w:t xml:space="preserve">’s failure to </w:t>
      </w:r>
      <w:r w:rsidR="00393332" w:rsidRPr="007C68F1">
        <w:t xml:space="preserve">comply with the pre-election disclosure requirement </w:t>
      </w:r>
      <w:r w:rsidR="008D48DA" w:rsidRPr="007C68F1">
        <w:t xml:space="preserve">renders the election null and void </w:t>
      </w:r>
      <w:r w:rsidR="00393332" w:rsidRPr="007C68F1">
        <w:t xml:space="preserve">only if </w:t>
      </w:r>
      <w:r w:rsidR="009C2E66" w:rsidRPr="007C68F1">
        <w:t xml:space="preserve">the employer </w:t>
      </w:r>
      <w:r w:rsidR="00393332" w:rsidRPr="007C68F1">
        <w:t>omits material information about the proposed AWS’s effects.</w:t>
      </w:r>
      <w:r w:rsidR="00806337" w:rsidRPr="007C68F1">
        <w:t xml:space="preserve">  Materiality can be determined by the familiar prejudice standard applicable to </w:t>
      </w:r>
      <w:r w:rsidR="004D6629" w:rsidRPr="007C68F1">
        <w:t>errors</w:t>
      </w:r>
      <w:r w:rsidR="00806337" w:rsidRPr="007C68F1">
        <w:t xml:space="preserve"> of state law. </w:t>
      </w:r>
      <w:r w:rsidR="005C53EB" w:rsidRPr="007C68F1">
        <w:t xml:space="preserve"> (See </w:t>
      </w:r>
      <w:bookmarkStart w:id="663" w:name="dabmci_f2d461ac44044e2085af0d456a4d8f37"/>
      <w:r w:rsidR="005C53EB" w:rsidRPr="007C68F1">
        <w:rPr>
          <w:i/>
          <w:iCs/>
          <w:bdr w:val="none" w:sz="0" w:space="0" w:color="auto" w:frame="1"/>
        </w:rPr>
        <w:t>Cassim v. Allstate Ins. Co.</w:t>
      </w:r>
      <w:r w:rsidR="005C53EB" w:rsidRPr="007C68F1">
        <w:t> (2004) 33 Cal.4th 780, 800</w:t>
      </w:r>
      <w:bookmarkEnd w:id="663"/>
      <w:r w:rsidR="00040691" w:rsidRPr="007C68F1">
        <w:t xml:space="preserve"> [error is prejudicial if </w:t>
      </w:r>
      <w:bookmarkStart w:id="664" w:name="dabmq_296"/>
      <w:r w:rsidR="00040691" w:rsidRPr="007C68F1">
        <w:t>“‘</w:t>
      </w:r>
      <w:r w:rsidR="00040691" w:rsidRPr="007C68F1">
        <w:rPr>
          <w:shd w:val="clear" w:color="auto" w:fill="FFFFFF"/>
        </w:rPr>
        <w:t>it is reasonably probable that a result more favorable to the appealing party would have been reached in the absence of the error’”</w:t>
      </w:r>
      <w:bookmarkEnd w:id="664"/>
      <w:r w:rsidR="00040691" w:rsidRPr="007C68F1">
        <w:rPr>
          <w:shd w:val="clear" w:color="auto" w:fill="FFFFFF"/>
        </w:rPr>
        <w:t xml:space="preserve">].)  </w:t>
      </w:r>
      <w:r w:rsidR="00806337" w:rsidRPr="007C68F1">
        <w:t xml:space="preserve">That is, </w:t>
      </w:r>
      <w:r w:rsidRPr="007C68F1">
        <w:t xml:space="preserve">information is material if it is reasonably probable that disclosure </w:t>
      </w:r>
      <w:r w:rsidR="005C53EB" w:rsidRPr="007C68F1">
        <w:t xml:space="preserve">of the information </w:t>
      </w:r>
      <w:r w:rsidRPr="007C68F1">
        <w:t xml:space="preserve">would </w:t>
      </w:r>
      <w:r w:rsidR="003F509C" w:rsidRPr="007C68F1">
        <w:t xml:space="preserve">tend to </w:t>
      </w:r>
      <w:r w:rsidR="005C53EB" w:rsidRPr="007C68F1">
        <w:t xml:space="preserve">cause </w:t>
      </w:r>
      <w:r w:rsidR="00CA713A" w:rsidRPr="007C68F1">
        <w:t xml:space="preserve">more </w:t>
      </w:r>
      <w:r w:rsidR="005C53EB" w:rsidRPr="007C68F1">
        <w:t xml:space="preserve">employees to </w:t>
      </w:r>
      <w:r w:rsidR="00CA713A" w:rsidRPr="007C68F1">
        <w:t xml:space="preserve">vote against </w:t>
      </w:r>
      <w:r w:rsidR="005C53EB" w:rsidRPr="007C68F1">
        <w:t xml:space="preserve">the AWS.  </w:t>
      </w:r>
      <w:r w:rsidRPr="007C68F1">
        <w:t xml:space="preserve">  </w:t>
      </w:r>
    </w:p>
    <w:p w14:paraId="48EDC204" w14:textId="77777777" w:rsidR="004F2D45" w:rsidRPr="007C68F1" w:rsidRDefault="00D16B2E" w:rsidP="007D1009">
      <w:pPr>
        <w:spacing w:line="480" w:lineRule="auto"/>
        <w:ind w:firstLine="720"/>
      </w:pPr>
      <w:r w:rsidRPr="007C68F1">
        <w:t xml:space="preserve">That is not to say that employers may pick and choose which </w:t>
      </w:r>
      <w:bookmarkStart w:id="665" w:name="dabmq_297"/>
      <w:r w:rsidRPr="007C68F1">
        <w:t>“effects . . . on the employees’ wages, hours, and benefits”</w:t>
      </w:r>
      <w:bookmarkEnd w:id="665"/>
      <w:r w:rsidRPr="007C68F1">
        <w:t xml:space="preserve"> to disclose.  (</w:t>
      </w:r>
      <w:bookmarkStart w:id="666" w:name="dabmci_ec1ece5886244307aba77b003f25a6e3"/>
      <w:r w:rsidRPr="007C68F1">
        <w:t>Cal. Code Regs., tit. 8, § 11050, subd. 3(C)(3)</w:t>
      </w:r>
      <w:bookmarkEnd w:id="666"/>
      <w:r w:rsidRPr="007C68F1">
        <w:t>.)  Rather, employers should attempt to comply with their disclosure obligations in full and in good faith by disclosing all such effects.  In the event of a disclosure error, however, the reviewing court should assess the materiality of the omission.  And</w:t>
      </w:r>
      <w:r w:rsidRPr="007C68F1">
        <w:t xml:space="preserve"> </w:t>
      </w:r>
      <w:r w:rsidR="00E8135E" w:rsidRPr="007C68F1">
        <w:t>if there is a reasonabl</w:t>
      </w:r>
      <w:r w:rsidR="000E33B4" w:rsidRPr="007C68F1">
        <w:t>e</w:t>
      </w:r>
      <w:r w:rsidR="00E8135E" w:rsidRPr="007C68F1">
        <w:t xml:space="preserve"> probability</w:t>
      </w:r>
      <w:r w:rsidRPr="007C68F1">
        <w:t xml:space="preserve"> that disclosure of the information would tend to cause more employees to vote against the AWS, the omission renders the AWS election null and void.</w:t>
      </w:r>
    </w:p>
    <w:p w14:paraId="6438E1D4" w14:textId="77777777" w:rsidR="009C2E66" w:rsidRPr="007C68F1" w:rsidRDefault="00D16B2E" w:rsidP="007D1009">
      <w:pPr>
        <w:spacing w:line="480" w:lineRule="auto"/>
        <w:ind w:firstLine="720"/>
      </w:pPr>
      <w:r w:rsidRPr="007C68F1">
        <w:lastRenderedPageBreak/>
        <w:t xml:space="preserve">That </w:t>
      </w:r>
      <w:r w:rsidR="005C53EB" w:rsidRPr="007C68F1">
        <w:t xml:space="preserve">standard is not met </w:t>
      </w:r>
      <w:r w:rsidRPr="007C68F1">
        <w:t xml:space="preserve">here.  </w:t>
      </w:r>
      <w:r w:rsidR="005C53EB" w:rsidRPr="007C68F1">
        <w:t xml:space="preserve">Although we gave Woodworth the </w:t>
      </w:r>
      <w:r w:rsidR="00D04C9A" w:rsidRPr="007C68F1">
        <w:t xml:space="preserve">opportunity to </w:t>
      </w:r>
      <w:r w:rsidR="005C53EB" w:rsidRPr="007C68F1">
        <w:t>submit supplemental briefing on this issue</w:t>
      </w:r>
      <w:r w:rsidR="00DC159D" w:rsidRPr="007C68F1">
        <w:t xml:space="preserve"> (</w:t>
      </w:r>
      <w:bookmarkStart w:id="667" w:name="dabmci_e754378e3a5b462096e20f1b9e514786"/>
      <w:r w:rsidR="00DC159D" w:rsidRPr="007C68F1">
        <w:t>Gov. Code, § 68081</w:t>
      </w:r>
      <w:bookmarkEnd w:id="667"/>
      <w:r w:rsidR="00DC159D" w:rsidRPr="007C68F1">
        <w:t xml:space="preserve">; </w:t>
      </w:r>
      <w:bookmarkStart w:id="668" w:name="dabmci_e11be556e9fd4e46a6ec70062bf80339"/>
      <w:r w:rsidR="00DC159D" w:rsidRPr="007C68F1">
        <w:t>Code Civ. Proc. § 437c, subd. (m)(2)</w:t>
      </w:r>
      <w:bookmarkEnd w:id="668"/>
      <w:r w:rsidR="00DC159D" w:rsidRPr="007C68F1">
        <w:t>)</w:t>
      </w:r>
      <w:r w:rsidR="005C53EB" w:rsidRPr="007C68F1">
        <w:t xml:space="preserve">, </w:t>
      </w:r>
      <w:r w:rsidR="00D04C9A" w:rsidRPr="007C68F1">
        <w:t>she articulates no way in which</w:t>
      </w:r>
      <w:r w:rsidR="00342427" w:rsidRPr="007C68F1">
        <w:t xml:space="preserve"> the relevant omission </w:t>
      </w:r>
      <w:r w:rsidR="00572127" w:rsidRPr="007C68F1">
        <w:t>could have prejudiced the employees</w:t>
      </w:r>
      <w:r w:rsidR="00D04C9A" w:rsidRPr="007C68F1">
        <w:t>.</w:t>
      </w:r>
      <w:r w:rsidR="00DC159D" w:rsidRPr="007C68F1">
        <w:t xml:space="preserve">  Nor does she contend that we should remand</w:t>
      </w:r>
      <w:r w:rsidR="002E3C35" w:rsidRPr="007C68F1">
        <w:t xml:space="preserve"> to allow her to present evidence or conduct discovery on the issue.  (</w:t>
      </w:r>
      <w:bookmarkStart w:id="669" w:name="dabmci_fa51bfda167b48d08f4e5ca55c859091"/>
      <w:r w:rsidR="002E3C35" w:rsidRPr="007C68F1">
        <w:t>Code Civ. Proc., § 437</w:t>
      </w:r>
      <w:r w:rsidR="00510E0E" w:rsidRPr="007C68F1">
        <w:t>c</w:t>
      </w:r>
      <w:r w:rsidR="002E3C35" w:rsidRPr="007C68F1">
        <w:t>, subd.</w:t>
      </w:r>
      <w:r w:rsidR="00AC46D2">
        <w:t> </w:t>
      </w:r>
      <w:r w:rsidR="002E3C35" w:rsidRPr="007C68F1">
        <w:t>(m)(2)</w:t>
      </w:r>
      <w:bookmarkEnd w:id="669"/>
      <w:r w:rsidR="002E3C35" w:rsidRPr="007C68F1">
        <w:t xml:space="preserve">.)  </w:t>
      </w:r>
      <w:r w:rsidRPr="007C68F1">
        <w:t>T</w:t>
      </w:r>
      <w:r w:rsidR="00E60CB2" w:rsidRPr="007C68F1">
        <w:t>he wage order’s</w:t>
      </w:r>
      <w:r w:rsidR="00A70F75" w:rsidRPr="007C68F1">
        <w:t xml:space="preserve"> rules governing </w:t>
      </w:r>
      <w:r w:rsidR="001650AE" w:rsidRPr="007C68F1">
        <w:t>work over 12 hours are favorable to employees.  They protect employees from having to work more than 12 hours except under narrowly defined circumstances</w:t>
      </w:r>
      <w:r w:rsidR="00F41DC2" w:rsidRPr="007C68F1">
        <w:t xml:space="preserve"> (discussed in f</w:t>
      </w:r>
      <w:r w:rsidR="00510E0E" w:rsidRPr="007C68F1">
        <w:t>n.</w:t>
      </w:r>
      <w:r w:rsidR="00F41DC2" w:rsidRPr="007C68F1">
        <w:t xml:space="preserve"> </w:t>
      </w:r>
      <w:r w:rsidR="00320E5D">
        <w:t>11</w:t>
      </w:r>
      <w:r w:rsidR="00F41DC2" w:rsidRPr="007C68F1">
        <w:t xml:space="preserve">, </w:t>
      </w:r>
      <w:bookmarkStart w:id="670" w:name="dabmci_ed9d7a923334466fbda3f12ec6b6d319"/>
      <w:r w:rsidR="00F41DC2" w:rsidRPr="007C68F1">
        <w:rPr>
          <w:i/>
          <w:iCs/>
        </w:rPr>
        <w:t>ante</w:t>
      </w:r>
      <w:bookmarkEnd w:id="670"/>
      <w:r w:rsidR="00F41DC2" w:rsidRPr="007C68F1">
        <w:t>)</w:t>
      </w:r>
      <w:r w:rsidR="001650AE" w:rsidRPr="007C68F1">
        <w:t xml:space="preserve">. </w:t>
      </w:r>
      <w:r w:rsidR="00483D65" w:rsidRPr="007C68F1">
        <w:t xml:space="preserve"> </w:t>
      </w:r>
      <w:r w:rsidR="003F509C" w:rsidRPr="007C68F1">
        <w:t xml:space="preserve">Consequently, disclosure of those rules in a more explicit, detailed fashion would have persuaded an employee to vote against the AWS only if the employee preferred that the medical center be less constrained in requiring employees to work overtime.  </w:t>
      </w:r>
      <w:r w:rsidR="002E3C35" w:rsidRPr="007C68F1">
        <w:t xml:space="preserve">On this record, we see </w:t>
      </w:r>
      <w:r w:rsidR="001650AE" w:rsidRPr="007C68F1">
        <w:t xml:space="preserve">no reasonable </w:t>
      </w:r>
      <w:r w:rsidR="006F0443" w:rsidRPr="007C68F1">
        <w:t>probability</w:t>
      </w:r>
      <w:r w:rsidR="001650AE" w:rsidRPr="007C68F1">
        <w:t xml:space="preserve"> that </w:t>
      </w:r>
      <w:r w:rsidR="00CA713A" w:rsidRPr="007C68F1">
        <w:t xml:space="preserve">more </w:t>
      </w:r>
      <w:r w:rsidR="001650AE" w:rsidRPr="007C68F1">
        <w:t xml:space="preserve">employees would have </w:t>
      </w:r>
      <w:r w:rsidR="00CA713A" w:rsidRPr="007C68F1">
        <w:t xml:space="preserve">voted against </w:t>
      </w:r>
      <w:r w:rsidR="001650AE" w:rsidRPr="007C68F1">
        <w:t>the AWS if the</w:t>
      </w:r>
      <w:r w:rsidR="00DF1074" w:rsidRPr="007C68F1">
        <w:t xml:space="preserve"> medical center had set forth those rules in detail.</w:t>
      </w:r>
      <w:r w:rsidR="00342427" w:rsidRPr="007C68F1">
        <w:t xml:space="preserve">  Indeed, if anything, disclosure of </w:t>
      </w:r>
      <w:r w:rsidR="00040691" w:rsidRPr="007C68F1">
        <w:t>the</w:t>
      </w:r>
      <w:r w:rsidR="00342427" w:rsidRPr="007C68F1">
        <w:t xml:space="preserve"> details would have made the AWS more likely to pass.  The </w:t>
      </w:r>
      <w:r w:rsidR="00267896" w:rsidRPr="007C68F1">
        <w:t xml:space="preserve">omission </w:t>
      </w:r>
      <w:r w:rsidR="00342427" w:rsidRPr="007C68F1">
        <w:t xml:space="preserve">therefore </w:t>
      </w:r>
      <w:r w:rsidR="00267896" w:rsidRPr="007C68F1">
        <w:t>was not material</w:t>
      </w:r>
      <w:r w:rsidR="00572127" w:rsidRPr="007C68F1">
        <w:t xml:space="preserve">.  </w:t>
      </w:r>
      <w:r w:rsidR="00F20D36" w:rsidRPr="007C68F1">
        <w:t xml:space="preserve">Wage Order 5 does not require employers to reproduce every potentially applicable provision of the order in their AWS disclosures to protect against nullification of </w:t>
      </w:r>
      <w:r w:rsidR="00D643D2" w:rsidRPr="007C68F1">
        <w:t>the election by a reviewing court</w:t>
      </w:r>
      <w:r w:rsidR="00F20D36" w:rsidRPr="007C68F1">
        <w:t>.</w:t>
      </w:r>
    </w:p>
    <w:p w14:paraId="753C5BB4" w14:textId="77777777" w:rsidR="003816A4" w:rsidRPr="007C68F1" w:rsidRDefault="00D16B2E" w:rsidP="007D1009">
      <w:pPr>
        <w:spacing w:line="480" w:lineRule="auto"/>
        <w:ind w:firstLine="720"/>
      </w:pPr>
      <w:r w:rsidRPr="007C68F1">
        <w:t xml:space="preserve">Woodworth next argues that </w:t>
      </w:r>
      <w:r w:rsidR="008D10BA" w:rsidRPr="007C68F1">
        <w:t xml:space="preserve">(1) both </w:t>
      </w:r>
      <w:r w:rsidR="00D66CFD" w:rsidRPr="007C68F1">
        <w:t>AWS’s were invalid because</w:t>
      </w:r>
      <w:r w:rsidR="008D10BA" w:rsidRPr="007C68F1">
        <w:t xml:space="preserve"> </w:t>
      </w:r>
      <w:r w:rsidR="00D66CFD" w:rsidRPr="007C68F1">
        <w:t xml:space="preserve">the </w:t>
      </w:r>
      <w:r w:rsidRPr="007C68F1">
        <w:t xml:space="preserve">disclosures </w:t>
      </w:r>
      <w:r w:rsidR="006564E6" w:rsidRPr="007C68F1">
        <w:t>and agreements</w:t>
      </w:r>
      <w:r w:rsidR="008D10BA" w:rsidRPr="007C68F1">
        <w:t xml:space="preserve"> </w:t>
      </w:r>
      <w:r w:rsidR="00D66CFD" w:rsidRPr="007C68F1">
        <w:t>gave the medical center the right to terminate the AW</w:t>
      </w:r>
      <w:r w:rsidR="008D10BA" w:rsidRPr="007C68F1">
        <w:t xml:space="preserve">S and (2) the 2013 AWS was invalid because the employees never repealed the 2001 AWS.  We </w:t>
      </w:r>
      <w:r w:rsidR="008446E0" w:rsidRPr="007C68F1">
        <w:t xml:space="preserve">also </w:t>
      </w:r>
      <w:r w:rsidR="008D10BA" w:rsidRPr="007C68F1">
        <w:t>reject those arguments.</w:t>
      </w:r>
      <w:r w:rsidR="00A81AFD" w:rsidRPr="007C68F1">
        <w:t xml:space="preserve">  </w:t>
      </w:r>
      <w:r w:rsidR="00AD26A8" w:rsidRPr="007C68F1">
        <w:t xml:space="preserve">Wage Order 5 states that </w:t>
      </w:r>
      <w:r w:rsidR="00DE757C" w:rsidRPr="007C68F1">
        <w:t xml:space="preserve">an AWS </w:t>
      </w:r>
      <w:bookmarkStart w:id="671" w:name="dabmq_298"/>
      <w:r w:rsidR="00DE757C" w:rsidRPr="007C68F1">
        <w:t>“may be repealed by the affected employees,”</w:t>
      </w:r>
      <w:bookmarkEnd w:id="671"/>
      <w:r w:rsidR="00DE757C" w:rsidRPr="007C68F1">
        <w:t xml:space="preserve"> and </w:t>
      </w:r>
      <w:r w:rsidR="000A4639" w:rsidRPr="007C68F1">
        <w:t>the order</w:t>
      </w:r>
      <w:r w:rsidR="00DE757C" w:rsidRPr="007C68F1">
        <w:t xml:space="preserve"> sets forth how the employees may accomplish that through a </w:t>
      </w:r>
      <w:r w:rsidR="00DE757C" w:rsidRPr="007C68F1">
        <w:lastRenderedPageBreak/>
        <w:t>petition and new secret</w:t>
      </w:r>
      <w:r w:rsidR="005824AB" w:rsidRPr="007C68F1">
        <w:t>-</w:t>
      </w:r>
      <w:r w:rsidR="00DE757C" w:rsidRPr="007C68F1">
        <w:t>ballot election.  (</w:t>
      </w:r>
      <w:bookmarkStart w:id="672" w:name="dabmci_9208d3b2f10b4d54b73863a8c6b4868e"/>
      <w:bookmarkStart w:id="673" w:name="_Hlk136269904"/>
      <w:r w:rsidR="00DE757C" w:rsidRPr="007C68F1">
        <w:t>Cal. Code Regs., tit.</w:t>
      </w:r>
      <w:r w:rsidR="00510E0E" w:rsidRPr="007C68F1">
        <w:t> </w:t>
      </w:r>
      <w:r w:rsidR="00DE757C" w:rsidRPr="007C68F1">
        <w:t>8, § 11050, subd. 3(C)(5)</w:t>
      </w:r>
      <w:bookmarkEnd w:id="672"/>
      <w:r w:rsidR="00DE757C" w:rsidRPr="007C68F1">
        <w:t xml:space="preserve">.)  </w:t>
      </w:r>
      <w:bookmarkEnd w:id="673"/>
      <w:r w:rsidR="00DE757C" w:rsidRPr="007C68F1">
        <w:t xml:space="preserve">But nothing in the wage order states that the employees have the exclusive right to terminate </w:t>
      </w:r>
      <w:r w:rsidR="00E75015" w:rsidRPr="007C68F1">
        <w:t>the</w:t>
      </w:r>
      <w:r w:rsidR="00DE757C" w:rsidRPr="007C68F1">
        <w:t xml:space="preserve"> AWS, and nothing </w:t>
      </w:r>
      <w:r w:rsidR="007D4896" w:rsidRPr="007C68F1">
        <w:t xml:space="preserve">in it </w:t>
      </w:r>
      <w:r w:rsidR="00A2577A" w:rsidRPr="007C68F1">
        <w:t xml:space="preserve">states that </w:t>
      </w:r>
      <w:r w:rsidR="00E75015" w:rsidRPr="007C68F1">
        <w:t>the</w:t>
      </w:r>
      <w:r w:rsidR="00A2577A" w:rsidRPr="007C68F1">
        <w:t xml:space="preserve"> employer may not </w:t>
      </w:r>
      <w:r w:rsidR="00D516A7" w:rsidRPr="007C68F1">
        <w:t xml:space="preserve">reserve the right to </w:t>
      </w:r>
      <w:r w:rsidR="00A2577A" w:rsidRPr="007C68F1">
        <w:t xml:space="preserve">terminate </w:t>
      </w:r>
      <w:r w:rsidR="00E75015" w:rsidRPr="007C68F1">
        <w:t>the</w:t>
      </w:r>
      <w:r w:rsidR="00A2577A" w:rsidRPr="007C68F1">
        <w:t xml:space="preserve"> AWS.</w:t>
      </w:r>
      <w:r w:rsidR="00E75015" w:rsidRPr="007C68F1">
        <w:t xml:space="preserve">  Even if there were some authority to that effect, Woodworth cites no authority for the further proposition that merely reserving the right to terminate </w:t>
      </w:r>
      <w:r w:rsidRPr="007C68F1">
        <w:t>the</w:t>
      </w:r>
      <w:r w:rsidR="00E75015" w:rsidRPr="007C68F1">
        <w:t xml:space="preserve"> AWS automatically voids or invalidates the election.</w:t>
      </w:r>
      <w:r w:rsidR="00A81AFD" w:rsidRPr="007C68F1">
        <w:t xml:space="preserve">  Similarly, </w:t>
      </w:r>
      <w:r w:rsidR="00A21204" w:rsidRPr="007C68F1">
        <w:t xml:space="preserve">beyond the wage order, </w:t>
      </w:r>
      <w:r w:rsidR="00A81AFD" w:rsidRPr="007C68F1">
        <w:t xml:space="preserve">she cites no authority for the proposition that the employees had to repeal </w:t>
      </w:r>
      <w:r w:rsidR="00615022" w:rsidRPr="007C68F1">
        <w:t>an</w:t>
      </w:r>
      <w:r w:rsidR="00A81AFD" w:rsidRPr="007C68F1">
        <w:t xml:space="preserve"> old AWS before a newly constituted work unit could vote to adopt</w:t>
      </w:r>
      <w:r w:rsidR="00615022" w:rsidRPr="007C68F1">
        <w:t xml:space="preserve"> a new AWS.</w:t>
      </w:r>
      <w:r w:rsidR="00A21204" w:rsidRPr="007C68F1">
        <w:t xml:space="preserve">  Nothing in Wage Order 5 requires a vote to repeal under those circumstances. </w:t>
      </w:r>
    </w:p>
    <w:p w14:paraId="2796F27E" w14:textId="77777777" w:rsidR="007759D3" w:rsidRPr="007C68F1" w:rsidRDefault="00D16B2E" w:rsidP="007D1009">
      <w:pPr>
        <w:spacing w:line="480" w:lineRule="auto"/>
        <w:ind w:firstLine="720"/>
        <w:rPr>
          <w:shd w:val="clear" w:color="auto" w:fill="FFFFFF"/>
        </w:rPr>
      </w:pPr>
      <w:r w:rsidRPr="007C68F1">
        <w:t xml:space="preserve">Woodworth </w:t>
      </w:r>
      <w:r w:rsidR="00A31A73" w:rsidRPr="007C68F1">
        <w:t xml:space="preserve">also </w:t>
      </w:r>
      <w:r w:rsidRPr="007C68F1">
        <w:t xml:space="preserve">challenges the validity of both AWS’s because </w:t>
      </w:r>
      <w:r w:rsidR="00E14B55" w:rsidRPr="007C68F1">
        <w:t>the medical center failed to report the election results to the DLSE (in addition to the DLSR)</w:t>
      </w:r>
      <w:r w:rsidR="00A81AFD" w:rsidRPr="007C68F1">
        <w:t>.</w:t>
      </w:r>
      <w:r w:rsidR="00431F9A" w:rsidRPr="007C68F1">
        <w:t xml:space="preserve">  </w:t>
      </w:r>
      <w:r w:rsidRPr="007C68F1">
        <w:t>She</w:t>
      </w:r>
      <w:r w:rsidR="00A579CE" w:rsidRPr="007C68F1">
        <w:t xml:space="preserve"> cites section 511, subdivision (e)</w:t>
      </w:r>
      <w:r w:rsidR="0028156F" w:rsidRPr="007C68F1">
        <w:t>,</w:t>
      </w:r>
      <w:r w:rsidR="00A579CE" w:rsidRPr="007C68F1">
        <w:t xml:space="preserve"> for </w:t>
      </w:r>
      <w:r w:rsidR="00A31A73" w:rsidRPr="007C68F1">
        <w:t>the DLSE reporting</w:t>
      </w:r>
      <w:r w:rsidR="00A579CE" w:rsidRPr="007C68F1">
        <w:t xml:space="preserve"> requirement.</w:t>
      </w:r>
      <w:r w:rsidR="00AE38AA" w:rsidRPr="007C68F1">
        <w:t xml:space="preserve">  That provision does not apply here.  </w:t>
      </w:r>
      <w:r w:rsidR="0028156F" w:rsidRPr="007C68F1">
        <w:t xml:space="preserve">Section 511 authorizes </w:t>
      </w:r>
      <w:r w:rsidR="00144F8B" w:rsidRPr="007C68F1">
        <w:t>a secret</w:t>
      </w:r>
      <w:r w:rsidR="005824AB" w:rsidRPr="007C68F1">
        <w:t>-</w:t>
      </w:r>
      <w:r w:rsidR="00144F8B" w:rsidRPr="007C68F1">
        <w:t>ballot election for</w:t>
      </w:r>
      <w:r w:rsidR="0028156F" w:rsidRPr="007C68F1">
        <w:t xml:space="preserve"> AWS</w:t>
      </w:r>
      <w:r w:rsidR="00144F8B" w:rsidRPr="007C68F1">
        <w:t xml:space="preserve">’s </w:t>
      </w:r>
      <w:r w:rsidR="0028156F" w:rsidRPr="007C68F1">
        <w:t xml:space="preserve">of </w:t>
      </w:r>
      <w:bookmarkStart w:id="674" w:name="dabmq_299"/>
      <w:r w:rsidR="0028156F" w:rsidRPr="007C68F1">
        <w:t>“no longer than 10 hours per day within a 40-hour workweek without the payment to the affected employees of an overtime rate of compensation.”</w:t>
      </w:r>
      <w:bookmarkEnd w:id="674"/>
      <w:r w:rsidR="0028156F" w:rsidRPr="007C68F1">
        <w:t xml:space="preserve">  (§ 511, subd. (a).)  </w:t>
      </w:r>
      <w:r w:rsidR="00C4139F" w:rsidRPr="007C68F1">
        <w:t>It is true that an</w:t>
      </w:r>
      <w:r w:rsidR="00754C2D" w:rsidRPr="007C68F1">
        <w:t xml:space="preserve"> employer must report the results to the DLSE if it conducted the election pursuant to section 511.  (§ 511, subd. (e) [</w:t>
      </w:r>
      <w:bookmarkStart w:id="675" w:name="dabmq_300"/>
      <w:r w:rsidR="00AE38AA" w:rsidRPr="007C68F1">
        <w:t>“</w:t>
      </w:r>
      <w:r w:rsidR="00AE38AA" w:rsidRPr="007C68F1">
        <w:rPr>
          <w:shd w:val="clear" w:color="auto" w:fill="FFFFFF"/>
        </w:rPr>
        <w:t xml:space="preserve">The results of any election conducted pursuant to this section shall be reported by an employer to the </w:t>
      </w:r>
      <w:r w:rsidR="00013EA7" w:rsidRPr="007C68F1">
        <w:rPr>
          <w:shd w:val="clear" w:color="auto" w:fill="FFFFFF"/>
        </w:rPr>
        <w:t>[DLSE]</w:t>
      </w:r>
      <w:r w:rsidR="00000BE2" w:rsidRPr="007C68F1">
        <w:rPr>
          <w:shd w:val="clear" w:color="auto" w:fill="FFFFFF"/>
        </w:rPr>
        <w:t xml:space="preserve"> </w:t>
      </w:r>
      <w:r w:rsidR="00AE38AA" w:rsidRPr="007C68F1">
        <w:rPr>
          <w:shd w:val="clear" w:color="auto" w:fill="FFFFFF"/>
        </w:rPr>
        <w:t>within 30 days after the results are final</w:t>
      </w:r>
      <w:r w:rsidR="00754C2D" w:rsidRPr="007C68F1">
        <w:rPr>
          <w:shd w:val="clear" w:color="auto" w:fill="FFFFFF"/>
        </w:rPr>
        <w:t>”</w:t>
      </w:r>
      <w:bookmarkEnd w:id="675"/>
      <w:r w:rsidR="00754C2D" w:rsidRPr="007C68F1">
        <w:rPr>
          <w:shd w:val="clear" w:color="auto" w:fill="FFFFFF"/>
        </w:rPr>
        <w:t xml:space="preserve">].)  But the medical center conducted the elections here pursuant to Wage Order 5—that is the authority </w:t>
      </w:r>
      <w:r w:rsidR="00324327" w:rsidRPr="007C68F1">
        <w:rPr>
          <w:shd w:val="clear" w:color="auto" w:fill="FFFFFF"/>
        </w:rPr>
        <w:t>permitting</w:t>
      </w:r>
      <w:r w:rsidR="00D84CCD" w:rsidRPr="007C68F1">
        <w:rPr>
          <w:shd w:val="clear" w:color="auto" w:fill="FFFFFF"/>
        </w:rPr>
        <w:t xml:space="preserve"> </w:t>
      </w:r>
      <w:r w:rsidR="000648E6" w:rsidRPr="007C68F1">
        <w:rPr>
          <w:shd w:val="clear" w:color="auto" w:fill="FFFFFF"/>
        </w:rPr>
        <w:t>a</w:t>
      </w:r>
      <w:r w:rsidRPr="007C68F1">
        <w:rPr>
          <w:shd w:val="clear" w:color="auto" w:fill="FFFFFF"/>
        </w:rPr>
        <w:t xml:space="preserve"> </w:t>
      </w:r>
      <w:r w:rsidR="00D84CCD" w:rsidRPr="007C68F1">
        <w:rPr>
          <w:shd w:val="clear" w:color="auto" w:fill="FFFFFF"/>
        </w:rPr>
        <w:t>3/12 AWS</w:t>
      </w:r>
      <w:r w:rsidR="003A7C6C" w:rsidRPr="007C68F1">
        <w:rPr>
          <w:shd w:val="clear" w:color="auto" w:fill="FFFFFF"/>
        </w:rPr>
        <w:t xml:space="preserve"> </w:t>
      </w:r>
      <w:r w:rsidR="00D84CCD" w:rsidRPr="007C68F1">
        <w:rPr>
          <w:shd w:val="clear" w:color="auto" w:fill="FFFFFF"/>
        </w:rPr>
        <w:t>in the healthcare industry.</w:t>
      </w:r>
      <w:r w:rsidR="000C6A8E" w:rsidRPr="007C68F1">
        <w:rPr>
          <w:shd w:val="clear" w:color="auto" w:fill="FFFFFF"/>
        </w:rPr>
        <w:t xml:space="preserve">  (</w:t>
      </w:r>
      <w:bookmarkStart w:id="676" w:name="dabmci_8d823185601c42f091649a79924706d1"/>
      <w:r w:rsidR="000C6A8E" w:rsidRPr="007C68F1">
        <w:t>Cal. Code Regs., tit. 8, § 11050, subd. 3(B)(8)</w:t>
      </w:r>
      <w:bookmarkEnd w:id="676"/>
      <w:r w:rsidR="000C6A8E" w:rsidRPr="007C68F1">
        <w:t xml:space="preserve">; </w:t>
      </w:r>
      <w:bookmarkStart w:id="677" w:name="dabmci_e3e255be2a274fda942da3bf48cc1eea"/>
      <w:r w:rsidR="000C6A8E" w:rsidRPr="007C68F1">
        <w:rPr>
          <w:i/>
          <w:iCs/>
          <w:bdr w:val="none" w:sz="0" w:space="0" w:color="auto" w:frame="1"/>
        </w:rPr>
        <w:t>Singh</w:t>
      </w:r>
      <w:r w:rsidR="00C51CA8" w:rsidRPr="007C68F1">
        <w:rPr>
          <w:bdr w:val="none" w:sz="0" w:space="0" w:color="auto" w:frame="1"/>
        </w:rPr>
        <w:t xml:space="preserve">, </w:t>
      </w:r>
      <w:r w:rsidR="00C51CA8" w:rsidRPr="007C68F1">
        <w:rPr>
          <w:i/>
          <w:iCs/>
          <w:bdr w:val="none" w:sz="0" w:space="0" w:color="auto" w:frame="1"/>
        </w:rPr>
        <w:t>supra</w:t>
      </w:r>
      <w:r w:rsidR="00C51CA8" w:rsidRPr="007C68F1">
        <w:rPr>
          <w:bdr w:val="none" w:sz="0" w:space="0" w:color="auto" w:frame="1"/>
        </w:rPr>
        <w:t xml:space="preserve">, </w:t>
      </w:r>
      <w:r w:rsidR="000C6A8E" w:rsidRPr="007C68F1">
        <w:t xml:space="preserve">140 Cal.App.4th </w:t>
      </w:r>
      <w:r w:rsidR="00C51CA8" w:rsidRPr="007C68F1">
        <w:t xml:space="preserve">at p. </w:t>
      </w:r>
      <w:r w:rsidR="000C6A8E" w:rsidRPr="007C68F1">
        <w:t>398</w:t>
      </w:r>
      <w:bookmarkEnd w:id="677"/>
      <w:r w:rsidR="000C6A8E" w:rsidRPr="007C68F1">
        <w:t>.)</w:t>
      </w:r>
      <w:r w:rsidR="00754C2D" w:rsidRPr="007C68F1">
        <w:rPr>
          <w:shd w:val="clear" w:color="auto" w:fill="FFFFFF"/>
        </w:rPr>
        <w:t xml:space="preserve"> </w:t>
      </w:r>
      <w:r w:rsidR="00871E1B" w:rsidRPr="007C68F1">
        <w:rPr>
          <w:shd w:val="clear" w:color="auto" w:fill="FFFFFF"/>
        </w:rPr>
        <w:t xml:space="preserve"> </w:t>
      </w:r>
      <w:r w:rsidR="00290829" w:rsidRPr="007C68F1">
        <w:rPr>
          <w:shd w:val="clear" w:color="auto" w:fill="FFFFFF"/>
        </w:rPr>
        <w:t xml:space="preserve">Wage Order 5 requires reporting to the DLSR, the agency to which the medical center reported </w:t>
      </w:r>
      <w:r w:rsidR="00290829" w:rsidRPr="007C68F1">
        <w:rPr>
          <w:shd w:val="clear" w:color="auto" w:fill="FFFFFF"/>
        </w:rPr>
        <w:lastRenderedPageBreak/>
        <w:t xml:space="preserve">the results.  </w:t>
      </w:r>
      <w:r w:rsidR="00D84CCD" w:rsidRPr="007C68F1">
        <w:rPr>
          <w:shd w:val="clear" w:color="auto" w:fill="FFFFFF"/>
        </w:rPr>
        <w:t xml:space="preserve">The medical center </w:t>
      </w:r>
      <w:r w:rsidR="00871E1B" w:rsidRPr="007C68F1">
        <w:rPr>
          <w:shd w:val="clear" w:color="auto" w:fill="FFFFFF"/>
        </w:rPr>
        <w:t xml:space="preserve">could not </w:t>
      </w:r>
      <w:r w:rsidR="003A7C6C" w:rsidRPr="007C68F1">
        <w:rPr>
          <w:shd w:val="clear" w:color="auto" w:fill="FFFFFF"/>
        </w:rPr>
        <w:t xml:space="preserve">have </w:t>
      </w:r>
      <w:r w:rsidR="00871E1B" w:rsidRPr="007C68F1">
        <w:rPr>
          <w:shd w:val="clear" w:color="auto" w:fill="FFFFFF"/>
        </w:rPr>
        <w:t xml:space="preserve">conducted the election </w:t>
      </w:r>
      <w:r w:rsidR="006D73CC" w:rsidRPr="007C68F1">
        <w:rPr>
          <w:shd w:val="clear" w:color="auto" w:fill="FFFFFF"/>
        </w:rPr>
        <w:t xml:space="preserve">under section 511, which does not authorize a 3/12 AWS in which the employees </w:t>
      </w:r>
      <w:r w:rsidR="00D3312B" w:rsidRPr="007C68F1">
        <w:rPr>
          <w:shd w:val="clear" w:color="auto" w:fill="FFFFFF"/>
        </w:rPr>
        <w:t>waive</w:t>
      </w:r>
      <w:r w:rsidR="006D73CC" w:rsidRPr="007C68F1">
        <w:rPr>
          <w:shd w:val="clear" w:color="auto" w:fill="FFFFFF"/>
        </w:rPr>
        <w:t xml:space="preserve"> overtime for their 12-hour shifts.</w:t>
      </w:r>
      <w:r w:rsidR="00C4139F" w:rsidRPr="007C68F1">
        <w:rPr>
          <w:shd w:val="clear" w:color="auto" w:fill="FFFFFF"/>
        </w:rPr>
        <w:t xml:space="preserve">  (See </w:t>
      </w:r>
      <w:bookmarkStart w:id="678" w:name="dabmci_68546e816c9a4bcfb294efbe4b02fa44"/>
      <w:r w:rsidR="00C4139F" w:rsidRPr="007C68F1">
        <w:rPr>
          <w:i/>
          <w:iCs/>
          <w:bdr w:val="none" w:sz="0" w:space="0" w:color="auto" w:frame="1"/>
        </w:rPr>
        <w:t>Mitchell v. Yoplait</w:t>
      </w:r>
      <w:r w:rsidR="00C4139F" w:rsidRPr="007C68F1">
        <w:t xml:space="preserve"> (2004) 122 Cal.App.4th Supp. 8, 12</w:t>
      </w:r>
      <w:bookmarkEnd w:id="678"/>
      <w:r w:rsidR="00C4139F" w:rsidRPr="007C68F1">
        <w:t xml:space="preserve"> [</w:t>
      </w:r>
      <w:r w:rsidR="00000BE2" w:rsidRPr="007C68F1">
        <w:t>§</w:t>
      </w:r>
      <w:r w:rsidR="00C4139F" w:rsidRPr="007C68F1">
        <w:t xml:space="preserve"> 511 limits the number of hours in an AWS shift to 10 per day without triggering daily overtime].)</w:t>
      </w:r>
    </w:p>
    <w:p w14:paraId="64E1870A" w14:textId="77777777" w:rsidR="0068441D" w:rsidRPr="007C68F1" w:rsidRDefault="00D16B2E" w:rsidP="007D1009">
      <w:pPr>
        <w:spacing w:line="480" w:lineRule="auto"/>
        <w:ind w:firstLine="720"/>
      </w:pPr>
      <w:r w:rsidRPr="007C68F1">
        <w:rPr>
          <w:shd w:val="clear" w:color="auto" w:fill="FFFFFF"/>
        </w:rPr>
        <w:t xml:space="preserve">Woodworth further argues that </w:t>
      </w:r>
      <w:r w:rsidR="007320CC" w:rsidRPr="007C68F1">
        <w:rPr>
          <w:shd w:val="clear" w:color="auto" w:fill="FFFFFF"/>
        </w:rPr>
        <w:t xml:space="preserve">the </w:t>
      </w:r>
      <w:r w:rsidRPr="007C68F1">
        <w:rPr>
          <w:shd w:val="clear" w:color="auto" w:fill="FFFFFF"/>
        </w:rPr>
        <w:t>AWS</w:t>
      </w:r>
      <w:r w:rsidR="007320CC" w:rsidRPr="007C68F1">
        <w:rPr>
          <w:shd w:val="clear" w:color="auto" w:fill="FFFFFF"/>
        </w:rPr>
        <w:t>’s were</w:t>
      </w:r>
      <w:r w:rsidRPr="007C68F1">
        <w:rPr>
          <w:shd w:val="clear" w:color="auto" w:fill="FFFFFF"/>
        </w:rPr>
        <w:t xml:space="preserve"> invalid because </w:t>
      </w:r>
      <w:r w:rsidR="00290829" w:rsidRPr="007C68F1">
        <w:rPr>
          <w:shd w:val="clear" w:color="auto" w:fill="FFFFFF"/>
        </w:rPr>
        <w:t xml:space="preserve">the medical center </w:t>
      </w:r>
      <w:r w:rsidRPr="007C68F1">
        <w:rPr>
          <w:shd w:val="clear" w:color="auto" w:fill="FFFFFF"/>
        </w:rPr>
        <w:t xml:space="preserve">failed to present evidence that it executed the AWS agreements.  </w:t>
      </w:r>
      <w:r w:rsidR="007320CC" w:rsidRPr="007C68F1">
        <w:rPr>
          <w:shd w:val="clear" w:color="auto" w:fill="FFFFFF"/>
        </w:rPr>
        <w:t xml:space="preserve">As authority for the argument, she cites the provisions of Wage Order 5 dealing with meal periods.  </w:t>
      </w:r>
      <w:r w:rsidR="007320CC" w:rsidRPr="007C68F1">
        <w:t>In par</w:t>
      </w:r>
      <w:r w:rsidR="00203E24" w:rsidRPr="007C68F1">
        <w:t>ticular</w:t>
      </w:r>
      <w:r w:rsidR="007320CC" w:rsidRPr="007C68F1">
        <w:t xml:space="preserve">, the wage order permits health care employees to waive one of their two meal periods </w:t>
      </w:r>
      <w:r w:rsidR="00F32702" w:rsidRPr="007C68F1">
        <w:t>when they work shifts</w:t>
      </w:r>
      <w:r w:rsidR="007320CC" w:rsidRPr="007C68F1">
        <w:t xml:space="preserve"> longer than eight hours.  (</w:t>
      </w:r>
      <w:bookmarkStart w:id="679" w:name="dabmci_ebf2cea8b018411ca32681c02dfb52c7"/>
      <w:r w:rsidR="007320CC" w:rsidRPr="007C68F1">
        <w:t>Cal. Code Regs., tit. 8, § 11050, subd. 11(D)</w:t>
      </w:r>
      <w:bookmarkEnd w:id="679"/>
      <w:r w:rsidR="007320CC" w:rsidRPr="007C68F1">
        <w:t>.)</w:t>
      </w:r>
      <w:r w:rsidR="00195A96" w:rsidRPr="007C68F1">
        <w:t xml:space="preserve">  The parties must document that waiver in a written agreement signed by both the employer and the employee.  (</w:t>
      </w:r>
      <w:bookmarkStart w:id="680" w:name="dabmci_d9e2eef32a8043fa8517de665be8746a"/>
      <w:r w:rsidR="00195A96" w:rsidRPr="007C68F1">
        <w:rPr>
          <w:i/>
          <w:iCs/>
        </w:rPr>
        <w:t>Ibid</w:t>
      </w:r>
      <w:bookmarkEnd w:id="680"/>
      <w:r w:rsidR="00195A96" w:rsidRPr="007C68F1">
        <w:rPr>
          <w:i/>
          <w:iCs/>
        </w:rPr>
        <w:t>.</w:t>
      </w:r>
      <w:r w:rsidR="00195A96" w:rsidRPr="007C68F1">
        <w:t xml:space="preserve">)  On its face, that rule governing meal period waivers does not apply to AWS agreements.  Nothing in Wage Order 5 indicates that employers must sign AWS agreements.  </w:t>
      </w:r>
    </w:p>
    <w:p w14:paraId="3B067E79" w14:textId="77777777" w:rsidR="00EF2F1D" w:rsidRPr="007C68F1" w:rsidRDefault="00D16B2E" w:rsidP="007D1009">
      <w:pPr>
        <w:spacing w:line="480" w:lineRule="auto"/>
        <w:ind w:firstLine="720"/>
      </w:pPr>
      <w:r w:rsidRPr="007C68F1">
        <w:t xml:space="preserve">Lastly, Woodworth challenges the 2013 AWS </w:t>
      </w:r>
      <w:r w:rsidR="00E32F24" w:rsidRPr="007C68F1">
        <w:t xml:space="preserve">on the basis of two documents </w:t>
      </w:r>
      <w:r w:rsidR="00F65C2B" w:rsidRPr="007C68F1">
        <w:t>that the medical center produced in discovery—a script and a document answering frequently asked questions</w:t>
      </w:r>
      <w:r w:rsidR="006D201B" w:rsidRPr="007C68F1">
        <w:t>.</w:t>
      </w:r>
      <w:r w:rsidR="00B17A84" w:rsidRPr="007C68F1">
        <w:t xml:space="preserve">  She contends that the script erroneously informed employees that </w:t>
      </w:r>
      <w:r w:rsidR="00102AAF" w:rsidRPr="007C68F1">
        <w:t xml:space="preserve">they had to vote in favor of the AWS, but she mischaracterizes the document.  The script </w:t>
      </w:r>
      <w:r w:rsidR="008713BB" w:rsidRPr="007C68F1">
        <w:t xml:space="preserve">merely explained that two-thirds of the affected employees had to vote in favor of the AWS for it to pass—not that the employees were somehow </w:t>
      </w:r>
      <w:r w:rsidR="00D263A3" w:rsidRPr="007C68F1">
        <w:t>required</w:t>
      </w:r>
      <w:r w:rsidR="008713BB" w:rsidRPr="007C68F1">
        <w:t xml:space="preserve"> to cast a vote in favor</w:t>
      </w:r>
      <w:r w:rsidR="00D263A3" w:rsidRPr="007C68F1">
        <w:t xml:space="preserve"> of it</w:t>
      </w:r>
      <w:r w:rsidR="00BD7338" w:rsidRPr="007C68F1">
        <w:t>.</w:t>
      </w:r>
      <w:r w:rsidR="00C068AC" w:rsidRPr="007C68F1">
        <w:t xml:space="preserve">  The script contemplated that the AWS could fail to pass, and it informed the employees that they would switch to </w:t>
      </w:r>
      <w:r w:rsidR="00E91473" w:rsidRPr="007C68F1">
        <w:t>eight</w:t>
      </w:r>
      <w:r w:rsidR="00C068AC" w:rsidRPr="007C68F1">
        <w:t>-hour shifts if that occurred.  Woodworth</w:t>
      </w:r>
      <w:r w:rsidR="00D263A3" w:rsidRPr="007C68F1">
        <w:t xml:space="preserve"> further contends that the documents erroneously informed the employees that they were </w:t>
      </w:r>
      <w:r w:rsidR="00D263A3" w:rsidRPr="007C68F1">
        <w:lastRenderedPageBreak/>
        <w:t xml:space="preserve">voting to </w:t>
      </w:r>
      <w:r w:rsidR="00F47610" w:rsidRPr="007C68F1">
        <w:t>re</w:t>
      </w:r>
      <w:r w:rsidR="00D263A3" w:rsidRPr="007C68F1">
        <w:t xml:space="preserve">affirm an existing AWS.  </w:t>
      </w:r>
      <w:r w:rsidR="00CC272D" w:rsidRPr="007C68F1">
        <w:t>But</w:t>
      </w:r>
      <w:r w:rsidR="00DF0ABA" w:rsidRPr="007C68F1">
        <w:t xml:space="preserve"> </w:t>
      </w:r>
      <w:r w:rsidR="00CC272D" w:rsidRPr="007C68F1">
        <w:t xml:space="preserve">the </w:t>
      </w:r>
      <w:r w:rsidR="00322CCC" w:rsidRPr="007C68F1">
        <w:t xml:space="preserve">evidence </w:t>
      </w:r>
      <w:r w:rsidR="00DF0ABA" w:rsidRPr="007C68F1">
        <w:t xml:space="preserve">indeed </w:t>
      </w:r>
      <w:r w:rsidR="00322CCC" w:rsidRPr="007C68F1">
        <w:t xml:space="preserve">showed that the </w:t>
      </w:r>
      <w:r w:rsidR="00CC272D" w:rsidRPr="007C68F1">
        <w:t xml:space="preserve">employees were working </w:t>
      </w:r>
      <w:r w:rsidR="00322CCC" w:rsidRPr="007C68F1">
        <w:t>under the existing 2001 AWS at that point.</w:t>
      </w:r>
      <w:r w:rsidR="00F47610" w:rsidRPr="007C68F1">
        <w:t xml:space="preserve">  </w:t>
      </w:r>
      <w:r w:rsidR="00322CCC" w:rsidRPr="007C68F1">
        <w:t>There w</w:t>
      </w:r>
      <w:r w:rsidR="00DF0ABA" w:rsidRPr="007C68F1">
        <w:t xml:space="preserve">as nothing </w:t>
      </w:r>
      <w:r w:rsidR="003E02A2" w:rsidRPr="007C68F1">
        <w:t>inaccurate</w:t>
      </w:r>
      <w:r w:rsidR="00DF0ABA" w:rsidRPr="007C68F1">
        <w:t xml:space="preserve"> about that statement.  </w:t>
      </w:r>
    </w:p>
    <w:p w14:paraId="032EBAC2" w14:textId="77777777" w:rsidR="00560A71" w:rsidRDefault="00D16B2E" w:rsidP="007D1009">
      <w:pPr>
        <w:spacing w:line="480" w:lineRule="auto"/>
        <w:ind w:firstLine="720"/>
      </w:pPr>
      <w:r w:rsidRPr="007C68F1">
        <w:t>As for</w:t>
      </w:r>
      <w:r w:rsidR="009D1218" w:rsidRPr="007C68F1">
        <w:t xml:space="preserve"> the</w:t>
      </w:r>
      <w:r w:rsidR="006C29CA" w:rsidRPr="007C68F1">
        <w:t xml:space="preserve"> court’s</w:t>
      </w:r>
      <w:r w:rsidR="009D1218" w:rsidRPr="007C68F1">
        <w:t xml:space="preserve"> ruling on the PAGA claim</w:t>
      </w:r>
      <w:r w:rsidR="00B026BF" w:rsidRPr="007C68F1">
        <w:t>, t</w:t>
      </w:r>
      <w:r w:rsidR="009D1218" w:rsidRPr="007C68F1">
        <w:t xml:space="preserve">he validity of the two AWS’s </w:t>
      </w:r>
      <w:r w:rsidR="0062153B" w:rsidRPr="007C68F1">
        <w:t>is a defense to</w:t>
      </w:r>
      <w:r w:rsidR="009D1218" w:rsidRPr="007C68F1">
        <w:t xml:space="preserve"> Woodworth’s overtime claim </w:t>
      </w:r>
      <w:r w:rsidR="0062153B" w:rsidRPr="007C68F1">
        <w:t>and</w:t>
      </w:r>
      <w:r w:rsidR="00BD2F55" w:rsidRPr="007C68F1">
        <w:t xml:space="preserve"> </w:t>
      </w:r>
      <w:r w:rsidR="009D1218" w:rsidRPr="007C68F1">
        <w:t xml:space="preserve">the overtime claim of any aggrieved employees who worked under </w:t>
      </w:r>
      <w:r w:rsidR="005D4F9A" w:rsidRPr="007C68F1">
        <w:t>the same AWS’s</w:t>
      </w:r>
      <w:r w:rsidR="009D1218" w:rsidRPr="007C68F1">
        <w:t>.</w:t>
      </w:r>
      <w:r w:rsidR="00BD2F55" w:rsidRPr="007C68F1">
        <w:t xml:space="preserve">  In her opposition brief, Woodworth</w:t>
      </w:r>
      <w:r w:rsidR="009D1218" w:rsidRPr="007C68F1">
        <w:t xml:space="preserve"> did not argue that the medical center failed to carry its burden with respect to aggrieved employees outside of </w:t>
      </w:r>
      <w:r w:rsidR="00BD2F55" w:rsidRPr="007C68F1">
        <w:t>her work</w:t>
      </w:r>
      <w:r w:rsidR="009D1218" w:rsidRPr="007C68F1">
        <w:t xml:space="preserve"> unit.</w:t>
      </w:r>
      <w:r w:rsidR="005D4F9A" w:rsidRPr="007C68F1">
        <w:t xml:space="preserve">  </w:t>
      </w:r>
      <w:r w:rsidR="009D1218" w:rsidRPr="007C68F1">
        <w:t xml:space="preserve">Likewise, on appeal, she does </w:t>
      </w:r>
      <w:r w:rsidR="00D36F7E" w:rsidRPr="007C68F1">
        <w:t xml:space="preserve">not </w:t>
      </w:r>
      <w:r w:rsidR="005D4F9A" w:rsidRPr="007C68F1">
        <w:t>contend that her</w:t>
      </w:r>
      <w:r w:rsidR="00BD2F55" w:rsidRPr="007C68F1">
        <w:t xml:space="preserve"> PAGA claim extended to aggrieved employees outside of her work unit</w:t>
      </w:r>
      <w:r w:rsidR="005D4F9A" w:rsidRPr="007C68F1">
        <w:t xml:space="preserve"> or that the medical center failed to produce evidence about other AWS elections.  She </w:t>
      </w:r>
      <w:r w:rsidR="00283EE7" w:rsidRPr="007C68F1">
        <w:t>therefore</w:t>
      </w:r>
      <w:r w:rsidR="005D4F9A" w:rsidRPr="007C68F1">
        <w:t xml:space="preserve"> forfeited any </w:t>
      </w:r>
      <w:r w:rsidR="00D36F7E" w:rsidRPr="007C68F1">
        <w:t xml:space="preserve">such </w:t>
      </w:r>
      <w:r w:rsidR="005D4F9A" w:rsidRPr="007C68F1">
        <w:t>argument, and the court properly granted summary adjudication for the medical center on the PAGA overtime claim.</w:t>
      </w:r>
      <w:r w:rsidR="006313A7" w:rsidRPr="007C68F1">
        <w:t xml:space="preserve">  (</w:t>
      </w:r>
      <w:bookmarkStart w:id="681" w:name="dabmci_afa89acf5f4e4b3aa29808bcc12324f7"/>
      <w:r w:rsidR="006313A7" w:rsidRPr="00032059">
        <w:rPr>
          <w:i/>
          <w:iCs/>
          <w:bdr w:val="none" w:sz="0" w:space="0" w:color="auto" w:frame="1"/>
        </w:rPr>
        <w:t>DiCola</w:t>
      </w:r>
      <w:r w:rsidR="00B147C1">
        <w:rPr>
          <w:bdr w:val="none" w:sz="0" w:space="0" w:color="auto" w:frame="1"/>
        </w:rPr>
        <w:t xml:space="preserve">, </w:t>
      </w:r>
      <w:r w:rsidR="00B147C1">
        <w:rPr>
          <w:i/>
          <w:iCs/>
          <w:bdr w:val="none" w:sz="0" w:space="0" w:color="auto" w:frame="1"/>
        </w:rPr>
        <w:t>supra</w:t>
      </w:r>
      <w:r w:rsidR="00B147C1">
        <w:rPr>
          <w:bdr w:val="none" w:sz="0" w:space="0" w:color="auto" w:frame="1"/>
        </w:rPr>
        <w:t xml:space="preserve">, </w:t>
      </w:r>
      <w:r w:rsidR="006313A7" w:rsidRPr="007C68F1">
        <w:t xml:space="preserve">158 Cal.App.4th </w:t>
      </w:r>
      <w:r w:rsidR="00B147C1">
        <w:t>at p.</w:t>
      </w:r>
      <w:r w:rsidR="006313A7" w:rsidRPr="007C68F1">
        <w:t xml:space="preserve"> 676</w:t>
      </w:r>
      <w:bookmarkEnd w:id="681"/>
      <w:r w:rsidR="006313A7" w:rsidRPr="007C68F1">
        <w:t xml:space="preserve">; </w:t>
      </w:r>
      <w:bookmarkStart w:id="682" w:name="dabmci_d319cdc11e864b6d89883a5b6d1ee51f"/>
      <w:r w:rsidR="006313A7" w:rsidRPr="00032059">
        <w:rPr>
          <w:i/>
          <w:iCs/>
          <w:bdr w:val="none" w:sz="0" w:space="0" w:color="auto" w:frame="1"/>
        </w:rPr>
        <w:t>Reyes v. Kosha</w:t>
      </w:r>
      <w:r w:rsidR="006313A7" w:rsidRPr="007C68F1">
        <w:t xml:space="preserve"> (1998) 65 Cal.App.4th 451, 466, fn. 6</w:t>
      </w:r>
      <w:bookmarkEnd w:id="682"/>
      <w:r w:rsidR="006313A7" w:rsidRPr="007C68F1">
        <w:t>.)</w:t>
      </w:r>
    </w:p>
    <w:p w14:paraId="32BF4CF0" w14:textId="77777777" w:rsidR="00E54A01" w:rsidRPr="007C68F1" w:rsidRDefault="00D16B2E" w:rsidP="007D1009">
      <w:pPr>
        <w:spacing w:line="480" w:lineRule="auto"/>
        <w:ind w:firstLine="720"/>
      </w:pPr>
      <w:r w:rsidRPr="007C68F1">
        <w:t xml:space="preserve">For </w:t>
      </w:r>
      <w:r w:rsidR="00AA7DAD" w:rsidRPr="007C68F1">
        <w:t>the foregoing</w:t>
      </w:r>
      <w:r w:rsidRPr="007C68F1">
        <w:t xml:space="preserve"> reasons, we conclude that </w:t>
      </w:r>
      <w:r w:rsidR="00C75421" w:rsidRPr="007C68F1">
        <w:t>the court did not err by granting the medical center’s summary adjudication motion on the AWS defense.</w:t>
      </w:r>
      <w:r>
        <w:rPr>
          <w:rStyle w:val="FootnoteReference"/>
        </w:rPr>
        <w:footnoteReference w:id="14"/>
      </w:r>
      <w:r w:rsidR="0058053C" w:rsidRPr="007C68F1">
        <w:t xml:space="preserve">  </w:t>
      </w:r>
    </w:p>
    <w:p w14:paraId="6FF77053" w14:textId="77777777" w:rsidR="00854714" w:rsidRPr="007C68F1" w:rsidRDefault="00D16B2E" w:rsidP="007D1009">
      <w:pPr>
        <w:pStyle w:val="FootnoteText"/>
        <w:keepNext/>
        <w:spacing w:line="480" w:lineRule="auto"/>
        <w:rPr>
          <w:i/>
          <w:iCs/>
        </w:rPr>
      </w:pPr>
      <w:r w:rsidRPr="007C68F1">
        <w:lastRenderedPageBreak/>
        <w:t>VI</w:t>
      </w:r>
      <w:r w:rsidR="00990BD4" w:rsidRPr="007C68F1">
        <w:t>I</w:t>
      </w:r>
      <w:r w:rsidRPr="007C68F1">
        <w:t xml:space="preserve">.  </w:t>
      </w:r>
      <w:r w:rsidRPr="007C68F1">
        <w:rPr>
          <w:i/>
          <w:iCs/>
        </w:rPr>
        <w:t>Motion for Summary Adjudication o</w:t>
      </w:r>
      <w:r w:rsidR="0043198F" w:rsidRPr="007C68F1">
        <w:rPr>
          <w:i/>
          <w:iCs/>
        </w:rPr>
        <w:t>n</w:t>
      </w:r>
      <w:r w:rsidRPr="007C68F1">
        <w:rPr>
          <w:i/>
          <w:iCs/>
        </w:rPr>
        <w:t xml:space="preserve"> </w:t>
      </w:r>
      <w:r w:rsidR="00A30687" w:rsidRPr="007C68F1">
        <w:rPr>
          <w:i/>
          <w:iCs/>
        </w:rPr>
        <w:t>the PAGA Cause of Action</w:t>
      </w:r>
    </w:p>
    <w:p w14:paraId="029D0888" w14:textId="77777777" w:rsidR="00A30687" w:rsidRPr="007C68F1" w:rsidRDefault="00D16B2E" w:rsidP="007D1009">
      <w:pPr>
        <w:spacing w:line="480" w:lineRule="auto"/>
        <w:rPr>
          <w:shd w:val="clear" w:color="auto" w:fill="FFFFFF"/>
        </w:rPr>
      </w:pPr>
      <w:r w:rsidRPr="007C68F1">
        <w:rPr>
          <w:shd w:val="clear" w:color="auto" w:fill="FFFFFF"/>
        </w:rPr>
        <w:tab/>
        <w:t xml:space="preserve">The </w:t>
      </w:r>
      <w:r w:rsidR="00060C6C" w:rsidRPr="007C68F1">
        <w:rPr>
          <w:shd w:val="clear" w:color="auto" w:fill="FFFFFF"/>
        </w:rPr>
        <w:t xml:space="preserve">medical center moved for summary adjudication </w:t>
      </w:r>
      <w:r w:rsidR="00BB43A4" w:rsidRPr="007C68F1">
        <w:rPr>
          <w:shd w:val="clear" w:color="auto" w:fill="FFFFFF"/>
        </w:rPr>
        <w:t>on the PAGA cause of action for failure to exhaust administrative remedies.</w:t>
      </w:r>
      <w:r w:rsidR="00B854DE" w:rsidRPr="007C68F1">
        <w:rPr>
          <w:shd w:val="clear" w:color="auto" w:fill="FFFFFF"/>
        </w:rPr>
        <w:t xml:space="preserve">  </w:t>
      </w:r>
      <w:r w:rsidR="0011474B" w:rsidRPr="007C68F1">
        <w:rPr>
          <w:shd w:val="clear" w:color="auto" w:fill="FFFFFF"/>
        </w:rPr>
        <w:t>(</w:t>
      </w:r>
      <w:r w:rsidR="00B854DE" w:rsidRPr="007C68F1">
        <w:rPr>
          <w:shd w:val="clear" w:color="auto" w:fill="FFFFFF"/>
        </w:rPr>
        <w:t xml:space="preserve">The medical center labeled </w:t>
      </w:r>
      <w:r w:rsidR="0011474B" w:rsidRPr="007C68F1">
        <w:rPr>
          <w:shd w:val="clear" w:color="auto" w:fill="FFFFFF"/>
        </w:rPr>
        <w:t>this</w:t>
      </w:r>
      <w:r w:rsidR="00B854DE" w:rsidRPr="007C68F1">
        <w:rPr>
          <w:shd w:val="clear" w:color="auto" w:fill="FFFFFF"/>
        </w:rPr>
        <w:t xml:space="preserve"> motion, </w:t>
      </w:r>
      <w:bookmarkStart w:id="684" w:name="dabmq_301"/>
      <w:r w:rsidR="00B854DE" w:rsidRPr="007C68F1">
        <w:rPr>
          <w:shd w:val="clear" w:color="auto" w:fill="FFFFFF"/>
        </w:rPr>
        <w:t>“Motion for Summary Adjudication No. 2”</w:t>
      </w:r>
      <w:bookmarkEnd w:id="684"/>
      <w:r w:rsidR="00E34FB6" w:rsidRPr="007C68F1">
        <w:rPr>
          <w:shd w:val="clear" w:color="auto" w:fill="FFFFFF"/>
        </w:rPr>
        <w:t xml:space="preserve"> (capitalization and boldface omitted).</w:t>
      </w:r>
      <w:r w:rsidR="00B854DE" w:rsidRPr="007C68F1">
        <w:rPr>
          <w:shd w:val="clear" w:color="auto" w:fill="FFFFFF"/>
        </w:rPr>
        <w:t>)</w:t>
      </w:r>
      <w:r w:rsidR="00200AFD" w:rsidRPr="007C68F1">
        <w:rPr>
          <w:shd w:val="clear" w:color="auto" w:fill="FFFFFF"/>
        </w:rPr>
        <w:t xml:space="preserve">  </w:t>
      </w:r>
      <w:r w:rsidR="00D63374" w:rsidRPr="007C68F1">
        <w:rPr>
          <w:shd w:val="clear" w:color="auto" w:fill="FFFFFF"/>
        </w:rPr>
        <w:t xml:space="preserve">After the court’s other rulings, only the PAGA rest period claim survived.  The court granted this motion as to the rest period claim, concluding that Woodworth failed to give the LWDA proper notice of </w:t>
      </w:r>
      <w:r w:rsidR="002E55ED" w:rsidRPr="007C68F1">
        <w:rPr>
          <w:shd w:val="clear" w:color="auto" w:fill="FFFFFF"/>
        </w:rPr>
        <w:t>the</w:t>
      </w:r>
      <w:r w:rsidR="00D63374" w:rsidRPr="007C68F1">
        <w:rPr>
          <w:shd w:val="clear" w:color="auto" w:fill="FFFFFF"/>
        </w:rPr>
        <w:t xml:space="preserve"> rest period claim.  We agree with Woodworth that the court erred</w:t>
      </w:r>
      <w:r w:rsidR="00B36DBC" w:rsidRPr="007C68F1">
        <w:rPr>
          <w:shd w:val="clear" w:color="auto" w:fill="FFFFFF"/>
        </w:rPr>
        <w:t xml:space="preserve"> as to </w:t>
      </w:r>
      <w:r w:rsidR="003073EF" w:rsidRPr="007C68F1">
        <w:rPr>
          <w:shd w:val="clear" w:color="auto" w:fill="FFFFFF"/>
        </w:rPr>
        <w:t>the</w:t>
      </w:r>
      <w:r w:rsidR="00B36DBC" w:rsidRPr="007C68F1">
        <w:rPr>
          <w:shd w:val="clear" w:color="auto" w:fill="FFFFFF"/>
        </w:rPr>
        <w:t xml:space="preserve"> rest period claim</w:t>
      </w:r>
      <w:r w:rsidR="00D63374" w:rsidRPr="007C68F1">
        <w:rPr>
          <w:shd w:val="clear" w:color="auto" w:fill="FFFFFF"/>
        </w:rPr>
        <w:t>.</w:t>
      </w:r>
      <w:r w:rsidR="00B36DBC" w:rsidRPr="007C68F1">
        <w:rPr>
          <w:shd w:val="clear" w:color="auto" w:fill="FFFFFF"/>
        </w:rPr>
        <w:t xml:space="preserve">  Moreover, Woodworth gave the LWDA sufficient notice of </w:t>
      </w:r>
      <w:r w:rsidR="003073EF" w:rsidRPr="007C68F1">
        <w:rPr>
          <w:shd w:val="clear" w:color="auto" w:fill="FFFFFF"/>
        </w:rPr>
        <w:t>the</w:t>
      </w:r>
      <w:r w:rsidR="00B36DBC" w:rsidRPr="007C68F1">
        <w:rPr>
          <w:shd w:val="clear" w:color="auto" w:fill="FFFFFF"/>
        </w:rPr>
        <w:t xml:space="preserve"> regular rate</w:t>
      </w:r>
      <w:r w:rsidR="00126189" w:rsidRPr="007C68F1">
        <w:rPr>
          <w:shd w:val="clear" w:color="auto" w:fill="FFFFFF"/>
        </w:rPr>
        <w:t xml:space="preserve">, wage statement, </w:t>
      </w:r>
      <w:r w:rsidR="00B36DBC" w:rsidRPr="007C68F1">
        <w:rPr>
          <w:shd w:val="clear" w:color="auto" w:fill="FFFFFF"/>
        </w:rPr>
        <w:t>waiting time</w:t>
      </w:r>
      <w:r w:rsidR="002C76D3" w:rsidRPr="00DC4978">
        <w:rPr>
          <w:shd w:val="clear" w:color="auto" w:fill="FFFFFF"/>
        </w:rPr>
        <w:t>, and rounding</w:t>
      </w:r>
      <w:r w:rsidR="00B36DBC" w:rsidRPr="007C68F1">
        <w:rPr>
          <w:shd w:val="clear" w:color="auto" w:fill="FFFFFF"/>
        </w:rPr>
        <w:t xml:space="preserve"> claims</w:t>
      </w:r>
      <w:r w:rsidR="009F7910" w:rsidRPr="007C68F1">
        <w:rPr>
          <w:shd w:val="clear" w:color="auto" w:fill="FFFFFF"/>
        </w:rPr>
        <w:t xml:space="preserve"> under PAGA</w:t>
      </w:r>
      <w:r w:rsidR="00B36DBC" w:rsidRPr="007C68F1">
        <w:rPr>
          <w:shd w:val="clear" w:color="auto" w:fill="FFFFFF"/>
        </w:rPr>
        <w:t xml:space="preserve">, so </w:t>
      </w:r>
      <w:r w:rsidR="005B0C09" w:rsidRPr="007C68F1">
        <w:rPr>
          <w:shd w:val="clear" w:color="auto" w:fill="FFFFFF"/>
        </w:rPr>
        <w:t>those claims survive as well</w:t>
      </w:r>
      <w:r w:rsidR="009F7910" w:rsidRPr="007C68F1">
        <w:rPr>
          <w:shd w:val="clear" w:color="auto" w:fill="FFFFFF"/>
        </w:rPr>
        <w:t xml:space="preserve">. </w:t>
      </w:r>
    </w:p>
    <w:p w14:paraId="5D5CFDEE" w14:textId="77777777" w:rsidR="00EC600B" w:rsidRPr="007C68F1" w:rsidRDefault="00D16B2E" w:rsidP="007D1009">
      <w:pPr>
        <w:keepNext/>
        <w:spacing w:line="480" w:lineRule="auto"/>
        <w:rPr>
          <w:shd w:val="clear" w:color="auto" w:fill="FFFFFF"/>
        </w:rPr>
      </w:pPr>
      <w:r w:rsidRPr="007C68F1">
        <w:rPr>
          <w:shd w:val="clear" w:color="auto" w:fill="FFFFFF"/>
        </w:rPr>
        <w:tab/>
      </w:r>
      <w:r w:rsidR="00B854DE" w:rsidRPr="007C68F1">
        <w:rPr>
          <w:shd w:val="clear" w:color="auto" w:fill="FFFFFF"/>
        </w:rPr>
        <w:t xml:space="preserve">A.  </w:t>
      </w:r>
      <w:r w:rsidR="00B854DE" w:rsidRPr="007C68F1">
        <w:rPr>
          <w:i/>
          <w:iCs/>
          <w:shd w:val="clear" w:color="auto" w:fill="FFFFFF"/>
        </w:rPr>
        <w:t>Relevant Background</w:t>
      </w:r>
      <w:r w:rsidR="00200AFD" w:rsidRPr="007C68F1">
        <w:rPr>
          <w:i/>
          <w:iCs/>
          <w:shd w:val="clear" w:color="auto" w:fill="FFFFFF"/>
        </w:rPr>
        <w:t xml:space="preserve"> </w:t>
      </w:r>
    </w:p>
    <w:p w14:paraId="538679F7" w14:textId="77777777" w:rsidR="00ED0F75" w:rsidRPr="007C68F1" w:rsidRDefault="00D16B2E" w:rsidP="007D1009">
      <w:pPr>
        <w:spacing w:line="480" w:lineRule="auto"/>
        <w:rPr>
          <w:shd w:val="clear" w:color="auto" w:fill="FFFFFF"/>
        </w:rPr>
      </w:pPr>
      <w:r w:rsidRPr="007C68F1">
        <w:rPr>
          <w:shd w:val="clear" w:color="auto" w:fill="FFFFFF"/>
        </w:rPr>
        <w:tab/>
      </w:r>
      <w:r w:rsidR="008B013B" w:rsidRPr="007C68F1">
        <w:rPr>
          <w:shd w:val="clear" w:color="auto" w:fill="FFFFFF"/>
        </w:rPr>
        <w:t xml:space="preserve">Woodworth filed her original complaint in this action on </w:t>
      </w:r>
      <w:r w:rsidR="004B0E0E" w:rsidRPr="007C68F1">
        <w:rPr>
          <w:shd w:val="clear" w:color="auto" w:fill="FFFFFF"/>
        </w:rPr>
        <w:t xml:space="preserve">June 11, 2014.  </w:t>
      </w:r>
      <w:r w:rsidR="0053554C" w:rsidRPr="007C68F1">
        <w:rPr>
          <w:shd w:val="clear" w:color="auto" w:fill="FFFFFF"/>
        </w:rPr>
        <w:t xml:space="preserve">The complaint did not include a PAGA cause of action.  </w:t>
      </w:r>
      <w:r w:rsidR="000A4301" w:rsidRPr="007C68F1">
        <w:rPr>
          <w:shd w:val="clear" w:color="auto" w:fill="FFFFFF"/>
        </w:rPr>
        <w:t>On June 18, 2014, she sent a letter to the LWDA and the medical center, advising them of alleged Labor Code violations</w:t>
      </w:r>
      <w:r w:rsidR="00E5471B" w:rsidRPr="007C68F1">
        <w:rPr>
          <w:shd w:val="clear" w:color="auto" w:fill="FFFFFF"/>
        </w:rPr>
        <w:t xml:space="preserve"> by the medical center (the PAGA </w:t>
      </w:r>
      <w:r w:rsidR="004C6D77" w:rsidRPr="007C68F1">
        <w:rPr>
          <w:shd w:val="clear" w:color="auto" w:fill="FFFFFF"/>
        </w:rPr>
        <w:t>letter</w:t>
      </w:r>
      <w:r w:rsidR="00E5471B" w:rsidRPr="007C68F1">
        <w:rPr>
          <w:shd w:val="clear" w:color="auto" w:fill="FFFFFF"/>
        </w:rPr>
        <w:t>).</w:t>
      </w:r>
      <w:r w:rsidR="006C22A0" w:rsidRPr="007C68F1">
        <w:rPr>
          <w:shd w:val="clear" w:color="auto" w:fill="FFFFFF"/>
        </w:rPr>
        <w:t xml:space="preserve">  </w:t>
      </w:r>
      <w:r w:rsidR="004E6A18" w:rsidRPr="007C68F1">
        <w:rPr>
          <w:shd w:val="clear" w:color="auto" w:fill="FFFFFF"/>
        </w:rPr>
        <w:t>As relevant here</w:t>
      </w:r>
      <w:r w:rsidR="006C22A0" w:rsidRPr="007C68F1">
        <w:rPr>
          <w:shd w:val="clear" w:color="auto" w:fill="FFFFFF"/>
        </w:rPr>
        <w:t xml:space="preserve">, the PAGA </w:t>
      </w:r>
      <w:r w:rsidR="004C6D77" w:rsidRPr="007C68F1">
        <w:rPr>
          <w:shd w:val="clear" w:color="auto" w:fill="FFFFFF"/>
        </w:rPr>
        <w:t>letter</w:t>
      </w:r>
      <w:r w:rsidR="006C22A0" w:rsidRPr="007C68F1">
        <w:rPr>
          <w:shd w:val="clear" w:color="auto" w:fill="FFFFFF"/>
        </w:rPr>
        <w:t xml:space="preserve"> alleged as follows:</w:t>
      </w:r>
    </w:p>
    <w:p w14:paraId="6901D5CA" w14:textId="77777777" w:rsidR="00DE3E0F" w:rsidRDefault="00D16B2E" w:rsidP="007D1009">
      <w:pPr>
        <w:pStyle w:val="ListParagraph"/>
        <w:numPr>
          <w:ilvl w:val="0"/>
          <w:numId w:val="11"/>
        </w:numPr>
        <w:spacing w:line="480" w:lineRule="auto"/>
        <w:rPr>
          <w:shd w:val="clear" w:color="auto" w:fill="FFFFFF"/>
        </w:rPr>
      </w:pPr>
      <w:r w:rsidRPr="007C68F1">
        <w:rPr>
          <w:shd w:val="clear" w:color="auto" w:fill="FFFFFF"/>
        </w:rPr>
        <w:t xml:space="preserve">The medical center </w:t>
      </w:r>
      <w:bookmarkStart w:id="685" w:name="dabmq_302"/>
      <w:r w:rsidRPr="007C68F1">
        <w:rPr>
          <w:shd w:val="clear" w:color="auto" w:fill="FFFFFF"/>
        </w:rPr>
        <w:t>“</w:t>
      </w:r>
      <w:r w:rsidR="006C22A0" w:rsidRPr="007C68F1">
        <w:rPr>
          <w:shd w:val="clear" w:color="auto" w:fill="FFFFFF"/>
        </w:rPr>
        <w:t xml:space="preserve">failed to properly </w:t>
      </w:r>
      <w:r w:rsidR="00767B6D" w:rsidRPr="007C68F1">
        <w:rPr>
          <w:shd w:val="clear" w:color="auto" w:fill="FFFFFF"/>
        </w:rPr>
        <w:t>compensate its non</w:t>
      </w:r>
      <w:r w:rsidR="00000BE2" w:rsidRPr="007C68F1">
        <w:rPr>
          <w:shd w:val="clear" w:color="auto" w:fill="FFFFFF"/>
        </w:rPr>
        <w:t>-</w:t>
      </w:r>
      <w:r w:rsidR="00767B6D" w:rsidRPr="007C68F1">
        <w:rPr>
          <w:shd w:val="clear" w:color="auto" w:fill="FFFFFF"/>
        </w:rPr>
        <w:t xml:space="preserve">exempt work force the proper amount of </w:t>
      </w:r>
      <w:r w:rsidRPr="007C68F1">
        <w:rPr>
          <w:shd w:val="clear" w:color="auto" w:fill="FFFFFF"/>
        </w:rPr>
        <w:t xml:space="preserve">straight time and overtime </w:t>
      </w:r>
      <w:r w:rsidR="00000BE2" w:rsidRPr="007C68F1">
        <w:rPr>
          <w:shd w:val="clear" w:color="auto" w:fill="FFFFFF"/>
        </w:rPr>
        <w:t>wages</w:t>
      </w:r>
      <w:r w:rsidRPr="007C68F1">
        <w:rPr>
          <w:shd w:val="clear" w:color="auto" w:fill="FFFFFF"/>
        </w:rPr>
        <w:t xml:space="preserve"> as a result of, but not limited to, its </w:t>
      </w:r>
      <w:r w:rsidR="002C76D3" w:rsidRPr="00DC4978">
        <w:rPr>
          <w:shd w:val="clear" w:color="auto" w:fill="FFFFFF"/>
        </w:rPr>
        <w:t>unlawful rounding policies and</w:t>
      </w:r>
      <w:r w:rsidR="002C76D3">
        <w:rPr>
          <w:shd w:val="clear" w:color="auto" w:fill="FFFFFF"/>
        </w:rPr>
        <w:t xml:space="preserve"> </w:t>
      </w:r>
      <w:r w:rsidRPr="007C68F1">
        <w:rPr>
          <w:shd w:val="clear" w:color="auto" w:fill="FFFFFF"/>
        </w:rPr>
        <w:t>failure to include all required remunerat</w:t>
      </w:r>
      <w:r w:rsidRPr="007C68F1">
        <w:rPr>
          <w:shd w:val="clear" w:color="auto" w:fill="FFFFFF"/>
        </w:rPr>
        <w:t>ion (including but not limited to bonuses) when calculating the regular rate for overtime purposes.”</w:t>
      </w:r>
      <w:bookmarkEnd w:id="685"/>
      <w:r w:rsidR="00A174B5" w:rsidRPr="007C68F1">
        <w:rPr>
          <w:shd w:val="clear" w:color="auto" w:fill="FFFFFF"/>
        </w:rPr>
        <w:t xml:space="preserve">  </w:t>
      </w:r>
    </w:p>
    <w:p w14:paraId="06739727" w14:textId="77777777" w:rsidR="002C76D3" w:rsidRPr="00DC4978" w:rsidRDefault="00D16B2E" w:rsidP="007D1009">
      <w:pPr>
        <w:pStyle w:val="ListParagraph"/>
        <w:numPr>
          <w:ilvl w:val="0"/>
          <w:numId w:val="11"/>
        </w:numPr>
        <w:spacing w:line="480" w:lineRule="auto"/>
        <w:rPr>
          <w:shd w:val="clear" w:color="auto" w:fill="FFFFFF"/>
        </w:rPr>
      </w:pPr>
      <w:r w:rsidRPr="00DC4978">
        <w:rPr>
          <w:shd w:val="clear" w:color="auto" w:fill="FFFFFF"/>
        </w:rPr>
        <w:lastRenderedPageBreak/>
        <w:t>The medical center’s “rounding policy is set up such that it systematically underpays California based non-exempt employees for all hours worked.”</w:t>
      </w:r>
    </w:p>
    <w:p w14:paraId="1B7A74CF" w14:textId="77777777" w:rsidR="00CB1B7B" w:rsidRPr="007C68F1" w:rsidRDefault="00D16B2E" w:rsidP="007D1009">
      <w:pPr>
        <w:pStyle w:val="ListParagraph"/>
        <w:numPr>
          <w:ilvl w:val="0"/>
          <w:numId w:val="11"/>
        </w:numPr>
        <w:spacing w:line="480" w:lineRule="auto"/>
        <w:rPr>
          <w:shd w:val="clear" w:color="auto" w:fill="FFFFFF"/>
        </w:rPr>
      </w:pPr>
      <w:r w:rsidRPr="007C68F1">
        <w:rPr>
          <w:shd w:val="clear" w:color="auto" w:fill="FFFFFF"/>
        </w:rPr>
        <w:t xml:space="preserve">The medical center did </w:t>
      </w:r>
      <w:bookmarkStart w:id="686" w:name="dabmq_303"/>
      <w:r w:rsidRPr="007C68F1">
        <w:rPr>
          <w:shd w:val="clear" w:color="auto" w:fill="FFFFFF"/>
        </w:rPr>
        <w:t>“not provide the requisite number of rest periods for a 12 hour shift, such that only two (2) rest periods are provided to the non-exempt hourly employees.”</w:t>
      </w:r>
      <w:bookmarkEnd w:id="686"/>
      <w:r w:rsidRPr="007C68F1">
        <w:rPr>
          <w:shd w:val="clear" w:color="auto" w:fill="FFFFFF"/>
        </w:rPr>
        <w:t xml:space="preserve">  </w:t>
      </w:r>
      <w:r w:rsidR="00A174B5" w:rsidRPr="007C68F1">
        <w:rPr>
          <w:shd w:val="clear" w:color="auto" w:fill="FFFFFF"/>
        </w:rPr>
        <w:t xml:space="preserve">Further, Woodworth was </w:t>
      </w:r>
      <w:bookmarkStart w:id="687" w:name="dabmq_304"/>
      <w:r w:rsidR="00A174B5" w:rsidRPr="007C68F1">
        <w:rPr>
          <w:shd w:val="clear" w:color="auto" w:fill="FFFFFF"/>
        </w:rPr>
        <w:t>“denied . . . rest periods . . . and thus entitled to an extra hour of pay at the regular rate of pay.”</w:t>
      </w:r>
      <w:bookmarkEnd w:id="687"/>
    </w:p>
    <w:p w14:paraId="43DFE12C" w14:textId="77777777" w:rsidR="00C849CC" w:rsidRPr="007C68F1" w:rsidRDefault="00D16B2E" w:rsidP="007D1009">
      <w:pPr>
        <w:pStyle w:val="ListParagraph"/>
        <w:numPr>
          <w:ilvl w:val="0"/>
          <w:numId w:val="11"/>
        </w:numPr>
        <w:spacing w:line="480" w:lineRule="auto"/>
        <w:rPr>
          <w:shd w:val="clear" w:color="auto" w:fill="FFFFFF"/>
        </w:rPr>
      </w:pPr>
      <w:bookmarkStart w:id="688" w:name="dabmq_305"/>
      <w:r w:rsidRPr="007C68F1">
        <w:rPr>
          <w:shd w:val="clear" w:color="auto" w:fill="FFFFFF"/>
        </w:rPr>
        <w:t xml:space="preserve">“[E]ach non-exempt employee that is no longer employed with </w:t>
      </w:r>
      <w:r w:rsidR="00000BE2" w:rsidRPr="007C68F1">
        <w:rPr>
          <w:shd w:val="clear" w:color="auto" w:fill="FFFFFF"/>
        </w:rPr>
        <w:t>[the medical center]</w:t>
      </w:r>
      <w:r w:rsidRPr="007C68F1">
        <w:rPr>
          <w:shd w:val="clear" w:color="auto" w:fill="FFFFFF"/>
        </w:rPr>
        <w:t>, [who] was subjected to the . . . improper regular rate calculation, was not paid all earned wages at termination.”</w:t>
      </w:r>
      <w:bookmarkEnd w:id="688"/>
      <w:r w:rsidRPr="007C68F1">
        <w:rPr>
          <w:shd w:val="clear" w:color="auto" w:fill="FFFFFF"/>
        </w:rPr>
        <w:t xml:space="preserve"> </w:t>
      </w:r>
      <w:r w:rsidR="007614FF" w:rsidRPr="007C68F1">
        <w:rPr>
          <w:shd w:val="clear" w:color="auto" w:fill="FFFFFF"/>
        </w:rPr>
        <w:t xml:space="preserve"> Similarly, Woodworth </w:t>
      </w:r>
      <w:bookmarkStart w:id="689" w:name="dabmq_306"/>
      <w:r w:rsidR="007614FF" w:rsidRPr="007C68F1">
        <w:rPr>
          <w:shd w:val="clear" w:color="auto" w:fill="FFFFFF"/>
        </w:rPr>
        <w:t>“and the aggrieved employees were not paid all their wages at the time of termination,”</w:t>
      </w:r>
      <w:bookmarkEnd w:id="689"/>
      <w:r w:rsidR="007614FF" w:rsidRPr="007C68F1">
        <w:rPr>
          <w:shd w:val="clear" w:color="auto" w:fill="FFFFFF"/>
        </w:rPr>
        <w:t xml:space="preserve"> so they were </w:t>
      </w:r>
      <w:bookmarkStart w:id="690" w:name="dabmq_307"/>
      <w:r w:rsidR="007614FF" w:rsidRPr="007C68F1">
        <w:rPr>
          <w:shd w:val="clear" w:color="auto" w:fill="FFFFFF"/>
        </w:rPr>
        <w:t>“entitled to recover back wages”</w:t>
      </w:r>
      <w:bookmarkEnd w:id="690"/>
      <w:r w:rsidR="007614FF" w:rsidRPr="007C68F1">
        <w:rPr>
          <w:shd w:val="clear" w:color="auto" w:fill="FFFFFF"/>
        </w:rPr>
        <w:t xml:space="preserve"> and waiting time </w:t>
      </w:r>
      <w:bookmarkStart w:id="691" w:name="dabmq_308"/>
      <w:r w:rsidR="00824EC9" w:rsidRPr="007C68F1">
        <w:rPr>
          <w:shd w:val="clear" w:color="auto" w:fill="FFFFFF"/>
        </w:rPr>
        <w:t>“</w:t>
      </w:r>
      <w:r w:rsidR="007614FF" w:rsidRPr="007C68F1">
        <w:rPr>
          <w:shd w:val="clear" w:color="auto" w:fill="FFFFFF"/>
        </w:rPr>
        <w:t>penalties</w:t>
      </w:r>
      <w:r w:rsidR="00824EC9" w:rsidRPr="007C68F1">
        <w:rPr>
          <w:shd w:val="clear" w:color="auto" w:fill="FFFFFF"/>
        </w:rPr>
        <w:t xml:space="preserve"> under </w:t>
      </w:r>
      <w:r w:rsidR="00000BE2" w:rsidRPr="007C68F1">
        <w:rPr>
          <w:shd w:val="clear" w:color="auto" w:fill="FFFFFF"/>
        </w:rPr>
        <w:t xml:space="preserve">[section] </w:t>
      </w:r>
      <w:r w:rsidR="00824EC9" w:rsidRPr="007C68F1">
        <w:rPr>
          <w:shd w:val="clear" w:color="auto" w:fill="FFFFFF"/>
        </w:rPr>
        <w:t>203</w:t>
      </w:r>
      <w:r w:rsidR="007614FF" w:rsidRPr="007C68F1">
        <w:rPr>
          <w:shd w:val="clear" w:color="auto" w:fill="FFFFFF"/>
        </w:rPr>
        <w:t>.</w:t>
      </w:r>
      <w:r w:rsidR="00824EC9" w:rsidRPr="007C68F1">
        <w:rPr>
          <w:shd w:val="clear" w:color="auto" w:fill="FFFFFF"/>
        </w:rPr>
        <w:t>”</w:t>
      </w:r>
      <w:bookmarkEnd w:id="691"/>
      <w:r w:rsidR="007614FF" w:rsidRPr="007C68F1">
        <w:rPr>
          <w:shd w:val="clear" w:color="auto" w:fill="FFFFFF"/>
        </w:rPr>
        <w:t xml:space="preserve"> </w:t>
      </w:r>
    </w:p>
    <w:p w14:paraId="7ECE22C2" w14:textId="77777777" w:rsidR="00C849CC" w:rsidRPr="007C68F1" w:rsidRDefault="00D16B2E" w:rsidP="007D1009">
      <w:pPr>
        <w:pStyle w:val="ListParagraph"/>
        <w:numPr>
          <w:ilvl w:val="0"/>
          <w:numId w:val="11"/>
        </w:numPr>
        <w:spacing w:line="480" w:lineRule="auto"/>
        <w:rPr>
          <w:shd w:val="clear" w:color="auto" w:fill="FFFFFF"/>
        </w:rPr>
      </w:pPr>
      <w:r w:rsidRPr="007C68F1">
        <w:rPr>
          <w:shd w:val="clear" w:color="auto" w:fill="FFFFFF"/>
        </w:rPr>
        <w:t xml:space="preserve">The medical center </w:t>
      </w:r>
      <w:bookmarkStart w:id="692" w:name="dabmq_309"/>
      <w:r w:rsidRPr="007C68F1">
        <w:rPr>
          <w:shd w:val="clear" w:color="auto" w:fill="FFFFFF"/>
        </w:rPr>
        <w:t xml:space="preserve">“failed to provide accurate itemized </w:t>
      </w:r>
      <w:r w:rsidRPr="007C68F1">
        <w:rPr>
          <w:shd w:val="clear" w:color="auto" w:fill="FFFFFF"/>
        </w:rPr>
        <w:t>wage statements based on the underlying wage and hour violations</w:t>
      </w:r>
      <w:r w:rsidR="00F61B2A" w:rsidRPr="007C68F1">
        <w:rPr>
          <w:shd w:val="clear" w:color="auto" w:fill="FFFFFF"/>
        </w:rPr>
        <w:t>.”</w:t>
      </w:r>
      <w:bookmarkEnd w:id="692"/>
      <w:r w:rsidR="00F61B2A" w:rsidRPr="007C68F1">
        <w:rPr>
          <w:shd w:val="clear" w:color="auto" w:fill="FFFFFF"/>
        </w:rPr>
        <w:t xml:space="preserve">  Similarly, </w:t>
      </w:r>
      <w:bookmarkStart w:id="693" w:name="dabmq_310"/>
      <w:r w:rsidR="00F61B2A" w:rsidRPr="007C68F1">
        <w:rPr>
          <w:shd w:val="clear" w:color="auto" w:fill="FFFFFF"/>
        </w:rPr>
        <w:t xml:space="preserve">“the pay stubs issued by the [medical center] did not comply with the provisions of </w:t>
      </w:r>
      <w:r w:rsidR="00000BE2" w:rsidRPr="007C68F1">
        <w:rPr>
          <w:shd w:val="clear" w:color="auto" w:fill="FFFFFF"/>
        </w:rPr>
        <w:t xml:space="preserve">[section] </w:t>
      </w:r>
      <w:r w:rsidR="00F61B2A" w:rsidRPr="007C68F1">
        <w:rPr>
          <w:shd w:val="clear" w:color="auto" w:fill="FFFFFF"/>
        </w:rPr>
        <w:t>226.</w:t>
      </w:r>
      <w:r w:rsidR="00185E19" w:rsidRPr="007C68F1">
        <w:rPr>
          <w:shd w:val="clear" w:color="auto" w:fill="FFFFFF"/>
        </w:rPr>
        <w:t>”</w:t>
      </w:r>
      <w:bookmarkEnd w:id="693"/>
    </w:p>
    <w:p w14:paraId="45185B25" w14:textId="77777777" w:rsidR="00F85FAF" w:rsidRPr="007C68F1" w:rsidRDefault="00D16B2E" w:rsidP="007D1009">
      <w:pPr>
        <w:spacing w:line="480" w:lineRule="auto"/>
        <w:rPr>
          <w:shd w:val="clear" w:color="auto" w:fill="FFFFFF"/>
        </w:rPr>
      </w:pPr>
      <w:r w:rsidRPr="007C68F1">
        <w:rPr>
          <w:shd w:val="clear" w:color="auto" w:fill="FFFFFF"/>
        </w:rPr>
        <w:t xml:space="preserve">The PAGA </w:t>
      </w:r>
      <w:r w:rsidR="004C6D77" w:rsidRPr="007C68F1">
        <w:rPr>
          <w:shd w:val="clear" w:color="auto" w:fill="FFFFFF"/>
        </w:rPr>
        <w:t>letter</w:t>
      </w:r>
      <w:r w:rsidRPr="007C68F1">
        <w:rPr>
          <w:shd w:val="clear" w:color="auto" w:fill="FFFFFF"/>
        </w:rPr>
        <w:t xml:space="preserve"> </w:t>
      </w:r>
      <w:r w:rsidR="0077232E" w:rsidRPr="007C68F1">
        <w:rPr>
          <w:shd w:val="clear" w:color="auto" w:fill="FFFFFF"/>
        </w:rPr>
        <w:t xml:space="preserve">elsewhere </w:t>
      </w:r>
      <w:r w:rsidRPr="007C68F1">
        <w:rPr>
          <w:shd w:val="clear" w:color="auto" w:fill="FFFFFF"/>
        </w:rPr>
        <w:t xml:space="preserve">alleged that the medical center had violated </w:t>
      </w:r>
      <w:r w:rsidR="007614FF" w:rsidRPr="007C68F1">
        <w:rPr>
          <w:shd w:val="clear" w:color="auto" w:fill="FFFFFF"/>
        </w:rPr>
        <w:t xml:space="preserve">numerous Labor Code </w:t>
      </w:r>
      <w:r w:rsidRPr="007C68F1">
        <w:rPr>
          <w:shd w:val="clear" w:color="auto" w:fill="FFFFFF"/>
        </w:rPr>
        <w:t>sections</w:t>
      </w:r>
      <w:r w:rsidR="007614FF" w:rsidRPr="007C68F1">
        <w:rPr>
          <w:shd w:val="clear" w:color="auto" w:fill="FFFFFF"/>
        </w:rPr>
        <w:t xml:space="preserve">, including sections </w:t>
      </w:r>
      <w:r w:rsidRPr="007C68F1">
        <w:rPr>
          <w:shd w:val="clear" w:color="auto" w:fill="FFFFFF"/>
        </w:rPr>
        <w:t xml:space="preserve">203, </w:t>
      </w:r>
      <w:r w:rsidR="00F61B2A" w:rsidRPr="007C68F1">
        <w:rPr>
          <w:shd w:val="clear" w:color="auto" w:fill="FFFFFF"/>
        </w:rPr>
        <w:t xml:space="preserve">226, </w:t>
      </w:r>
      <w:r w:rsidRPr="007C68F1">
        <w:rPr>
          <w:shd w:val="clear" w:color="auto" w:fill="FFFFFF"/>
        </w:rPr>
        <w:t xml:space="preserve">226.7, </w:t>
      </w:r>
      <w:r w:rsidR="007956A7" w:rsidRPr="007C68F1">
        <w:rPr>
          <w:shd w:val="clear" w:color="auto" w:fill="FFFFFF"/>
        </w:rPr>
        <w:t xml:space="preserve">and </w:t>
      </w:r>
      <w:r w:rsidR="00A174B5" w:rsidRPr="007C68F1">
        <w:rPr>
          <w:shd w:val="clear" w:color="auto" w:fill="FFFFFF"/>
        </w:rPr>
        <w:t>510</w:t>
      </w:r>
      <w:r w:rsidR="007956A7" w:rsidRPr="007C68F1">
        <w:rPr>
          <w:shd w:val="clear" w:color="auto" w:fill="FFFFFF"/>
        </w:rPr>
        <w:t>.</w:t>
      </w:r>
      <w:r w:rsidR="00BD142C" w:rsidRPr="007C68F1">
        <w:rPr>
          <w:shd w:val="clear" w:color="auto" w:fill="FFFFFF"/>
        </w:rPr>
        <w:t xml:space="preserve">  </w:t>
      </w:r>
    </w:p>
    <w:p w14:paraId="526D7F38" w14:textId="77777777" w:rsidR="00B723AE" w:rsidRPr="007C68F1" w:rsidRDefault="00D16B2E" w:rsidP="007D1009">
      <w:pPr>
        <w:spacing w:line="480" w:lineRule="auto"/>
        <w:ind w:firstLine="720"/>
        <w:rPr>
          <w:shd w:val="clear" w:color="auto" w:fill="FFFFFF"/>
        </w:rPr>
      </w:pPr>
      <w:r w:rsidRPr="007C68F1">
        <w:rPr>
          <w:shd w:val="clear" w:color="auto" w:fill="FFFFFF"/>
        </w:rPr>
        <w:t xml:space="preserve">Woodworth </w:t>
      </w:r>
      <w:r w:rsidR="00F85FAF" w:rsidRPr="007C68F1">
        <w:rPr>
          <w:shd w:val="clear" w:color="auto" w:fill="FFFFFF"/>
        </w:rPr>
        <w:t xml:space="preserve">offered </w:t>
      </w:r>
      <w:r w:rsidR="00185E19" w:rsidRPr="007C68F1">
        <w:rPr>
          <w:shd w:val="clear" w:color="auto" w:fill="FFFFFF"/>
        </w:rPr>
        <w:t>her counsel’s declaration to show</w:t>
      </w:r>
      <w:r w:rsidR="00F85FAF" w:rsidRPr="007C68F1">
        <w:rPr>
          <w:shd w:val="clear" w:color="auto" w:fill="FFFFFF"/>
        </w:rPr>
        <w:t xml:space="preserve"> that she </w:t>
      </w:r>
      <w:r w:rsidRPr="007C68F1">
        <w:rPr>
          <w:shd w:val="clear" w:color="auto" w:fill="FFFFFF"/>
        </w:rPr>
        <w:t xml:space="preserve">attached </w:t>
      </w:r>
      <w:r w:rsidR="0011474B" w:rsidRPr="007C68F1">
        <w:rPr>
          <w:shd w:val="clear" w:color="auto" w:fill="FFFFFF"/>
        </w:rPr>
        <w:t>her</w:t>
      </w:r>
      <w:r w:rsidRPr="007C68F1">
        <w:rPr>
          <w:shd w:val="clear" w:color="auto" w:fill="FFFFFF"/>
        </w:rPr>
        <w:t xml:space="preserve"> original complaint to the PAGA </w:t>
      </w:r>
      <w:r w:rsidR="004C6D77" w:rsidRPr="007C68F1">
        <w:rPr>
          <w:shd w:val="clear" w:color="auto" w:fill="FFFFFF"/>
        </w:rPr>
        <w:t>lette</w:t>
      </w:r>
      <w:r w:rsidR="00163625" w:rsidRPr="007C68F1">
        <w:rPr>
          <w:shd w:val="clear" w:color="auto" w:fill="FFFFFF"/>
        </w:rPr>
        <w:t>r.  The lette</w:t>
      </w:r>
      <w:r w:rsidR="00F85FAF" w:rsidRPr="007C68F1">
        <w:rPr>
          <w:shd w:val="clear" w:color="auto" w:fill="FFFFFF"/>
        </w:rPr>
        <w:t xml:space="preserve">r stated that the complaint was attached, and it </w:t>
      </w:r>
      <w:r w:rsidR="00163625" w:rsidRPr="007C68F1">
        <w:rPr>
          <w:shd w:val="clear" w:color="auto" w:fill="FFFFFF"/>
        </w:rPr>
        <w:t>referenced the complaint several times.  For instance, at the beginning of the letter, it stated that it was from W</w:t>
      </w:r>
      <w:r w:rsidR="003A4791" w:rsidRPr="007C68F1">
        <w:rPr>
          <w:shd w:val="clear" w:color="auto" w:fill="FFFFFF"/>
        </w:rPr>
        <w:t xml:space="preserve">oodworth </w:t>
      </w:r>
      <w:bookmarkStart w:id="694" w:name="dabmq_311"/>
      <w:r w:rsidR="003A4791" w:rsidRPr="007C68F1">
        <w:rPr>
          <w:shd w:val="clear" w:color="auto" w:fill="FFFFFF"/>
        </w:rPr>
        <w:t>“on behalf of herself and all aggrieved employees who were subject to the employer’s wage and hour policies as set forth below and in the attached Complaint.”</w:t>
      </w:r>
      <w:bookmarkEnd w:id="694"/>
      <w:r w:rsidR="003A4791" w:rsidRPr="007C68F1">
        <w:rPr>
          <w:shd w:val="clear" w:color="auto" w:fill="FFFFFF"/>
        </w:rPr>
        <w:t xml:space="preserve">  </w:t>
      </w:r>
    </w:p>
    <w:p w14:paraId="4DB66CF2" w14:textId="77777777" w:rsidR="009B2EC7" w:rsidRPr="007C68F1" w:rsidRDefault="00D16B2E" w:rsidP="007D1009">
      <w:pPr>
        <w:spacing w:line="480" w:lineRule="auto"/>
        <w:ind w:firstLine="720"/>
        <w:rPr>
          <w:shd w:val="clear" w:color="auto" w:fill="FFFFFF"/>
        </w:rPr>
      </w:pPr>
      <w:r w:rsidRPr="007C68F1">
        <w:rPr>
          <w:shd w:val="clear" w:color="auto" w:fill="FFFFFF"/>
        </w:rPr>
        <w:lastRenderedPageBreak/>
        <w:t xml:space="preserve">In relevant part, the </w:t>
      </w:r>
      <w:r w:rsidR="00FE51FA" w:rsidRPr="007C68F1">
        <w:rPr>
          <w:shd w:val="clear" w:color="auto" w:fill="FFFFFF"/>
        </w:rPr>
        <w:t xml:space="preserve">complaint alleged that the medical center </w:t>
      </w:r>
      <w:bookmarkStart w:id="695" w:name="dabmq_312"/>
      <w:r w:rsidR="00FE51FA" w:rsidRPr="007C68F1">
        <w:rPr>
          <w:shd w:val="clear" w:color="auto" w:fill="FFFFFF"/>
        </w:rPr>
        <w:t xml:space="preserve">“failed </w:t>
      </w:r>
      <w:r w:rsidR="002B60C2" w:rsidRPr="007C68F1">
        <w:rPr>
          <w:shd w:val="clear" w:color="auto" w:fill="FFFFFF"/>
        </w:rPr>
        <w:t xml:space="preserve">. . . </w:t>
      </w:r>
      <w:r w:rsidR="00B8235C" w:rsidRPr="007C68F1">
        <w:rPr>
          <w:shd w:val="clear" w:color="auto" w:fill="FFFFFF"/>
        </w:rPr>
        <w:t xml:space="preserve">or </w:t>
      </w:r>
      <w:r w:rsidR="00FE51FA" w:rsidRPr="007C68F1">
        <w:rPr>
          <w:shd w:val="clear" w:color="auto" w:fill="FFFFFF"/>
        </w:rPr>
        <w:t>refused to implement a relief system by which [Woodworth] and aggrieved employees could receive rest breaks and/or work free rest breaks for every four hours worked, or major fraction thereof.”</w:t>
      </w:r>
      <w:bookmarkEnd w:id="695"/>
      <w:r w:rsidRPr="007C68F1">
        <w:rPr>
          <w:shd w:val="clear" w:color="auto" w:fill="FFFFFF"/>
        </w:rPr>
        <w:t xml:space="preserve">  </w:t>
      </w:r>
      <w:r w:rsidR="0060556B" w:rsidRPr="007C68F1">
        <w:rPr>
          <w:shd w:val="clear" w:color="auto" w:fill="FFFFFF"/>
        </w:rPr>
        <w:t xml:space="preserve">It also alleged that the medical center </w:t>
      </w:r>
      <w:r w:rsidR="00EE6F91" w:rsidRPr="007C68F1">
        <w:rPr>
          <w:shd w:val="clear" w:color="auto" w:fill="FFFFFF"/>
        </w:rPr>
        <w:t xml:space="preserve">had </w:t>
      </w:r>
      <w:bookmarkStart w:id="696" w:name="dabmq_313"/>
      <w:r w:rsidR="00EE6F91" w:rsidRPr="007C68F1">
        <w:rPr>
          <w:shd w:val="clear" w:color="auto" w:fill="FFFFFF"/>
        </w:rPr>
        <w:t>“failed to properly include items of remuneration when determining the employees’ regular rate,”</w:t>
      </w:r>
      <w:bookmarkEnd w:id="696"/>
      <w:r w:rsidR="00EE6F91" w:rsidRPr="007C68F1">
        <w:rPr>
          <w:shd w:val="clear" w:color="auto" w:fill="FFFFFF"/>
        </w:rPr>
        <w:t xml:space="preserve"> including </w:t>
      </w:r>
      <w:bookmarkStart w:id="697" w:name="dabmq_314"/>
      <w:r w:rsidR="00EE6F91" w:rsidRPr="007C68F1">
        <w:rPr>
          <w:shd w:val="clear" w:color="auto" w:fill="FFFFFF"/>
        </w:rPr>
        <w:t xml:space="preserve">“non-discretionary bonuses paid to all </w:t>
      </w:r>
      <w:r w:rsidR="00B8235C" w:rsidRPr="007C68F1">
        <w:rPr>
          <w:shd w:val="clear" w:color="auto" w:fill="FFFFFF"/>
        </w:rPr>
        <w:t xml:space="preserve">eligible </w:t>
      </w:r>
      <w:r w:rsidR="00EE6F91" w:rsidRPr="007C68F1">
        <w:rPr>
          <w:shd w:val="clear" w:color="auto" w:fill="FFFFFF"/>
        </w:rPr>
        <w:t>employees.”</w:t>
      </w:r>
      <w:bookmarkEnd w:id="697"/>
      <w:r w:rsidR="00BF06AD" w:rsidRPr="007C68F1">
        <w:rPr>
          <w:shd w:val="clear" w:color="auto" w:fill="FFFFFF"/>
        </w:rPr>
        <w:t xml:space="preserve"> </w:t>
      </w:r>
      <w:r w:rsidR="00E034FB" w:rsidRPr="007C68F1">
        <w:rPr>
          <w:shd w:val="clear" w:color="auto" w:fill="FFFFFF"/>
        </w:rPr>
        <w:t xml:space="preserve"> Additionally, </w:t>
      </w:r>
      <w:r w:rsidR="007D6CC4" w:rsidRPr="007C68F1">
        <w:rPr>
          <w:shd w:val="clear" w:color="auto" w:fill="FFFFFF"/>
        </w:rPr>
        <w:t>the complaint</w:t>
      </w:r>
      <w:r w:rsidR="00E034FB" w:rsidRPr="007C68F1">
        <w:rPr>
          <w:shd w:val="clear" w:color="auto" w:fill="FFFFFF"/>
        </w:rPr>
        <w:t xml:space="preserve"> alleged that the medical center failed to provide </w:t>
      </w:r>
      <w:bookmarkStart w:id="698" w:name="dabmq_315"/>
      <w:r w:rsidR="00E034FB" w:rsidRPr="007C68F1">
        <w:rPr>
          <w:shd w:val="clear" w:color="auto" w:fill="FFFFFF"/>
        </w:rPr>
        <w:t>“accurate wage and hour statements showing gross wages earned, total hours worked, . . . net wages earned,</w:t>
      </w:r>
      <w:r w:rsidR="007D6CC4" w:rsidRPr="007C68F1">
        <w:rPr>
          <w:shd w:val="clear" w:color="auto" w:fill="FFFFFF"/>
        </w:rPr>
        <w:t xml:space="preserve"> . . . and all applicable hourly rates in effect during each pay period.”</w:t>
      </w:r>
      <w:bookmarkEnd w:id="698"/>
      <w:r w:rsidR="007D6CC4" w:rsidRPr="007C68F1">
        <w:rPr>
          <w:shd w:val="clear" w:color="auto" w:fill="FFFFFF"/>
        </w:rPr>
        <w:t xml:space="preserve">  </w:t>
      </w:r>
      <w:r w:rsidR="00913BF9" w:rsidRPr="00DC4978">
        <w:rPr>
          <w:shd w:val="clear" w:color="auto" w:fill="FFFFFF"/>
        </w:rPr>
        <w:t>And it alleged that the medical center had “[r]ounded the actual time worked and recorded by” employees such that they “were paid far less than they would have been paid had they been paid for actual recorded time rather than ‘rounded’ time.”  Finally,</w:t>
      </w:r>
      <w:r w:rsidR="00913BF9">
        <w:rPr>
          <w:shd w:val="clear" w:color="auto" w:fill="FFFFFF"/>
        </w:rPr>
        <w:t xml:space="preserve"> </w:t>
      </w:r>
      <w:r w:rsidRPr="007C68F1">
        <w:rPr>
          <w:shd w:val="clear" w:color="auto" w:fill="FFFFFF"/>
        </w:rPr>
        <w:t xml:space="preserve">it alleged that the medical center had violated sections 201, 202, </w:t>
      </w:r>
      <w:r w:rsidR="00E034FB" w:rsidRPr="007C68F1">
        <w:rPr>
          <w:shd w:val="clear" w:color="auto" w:fill="FFFFFF"/>
        </w:rPr>
        <w:t xml:space="preserve">226, </w:t>
      </w:r>
      <w:r w:rsidRPr="007C68F1">
        <w:rPr>
          <w:shd w:val="clear" w:color="auto" w:fill="FFFFFF"/>
        </w:rPr>
        <w:t>226.7, and 510, among other sections</w:t>
      </w:r>
      <w:r w:rsidR="00315206">
        <w:rPr>
          <w:shd w:val="clear" w:color="auto" w:fill="FFFFFF"/>
        </w:rPr>
        <w:t xml:space="preserve">, </w:t>
      </w:r>
      <w:r w:rsidR="00315206" w:rsidRPr="00DC4978">
        <w:rPr>
          <w:shd w:val="clear" w:color="auto" w:fill="FFFFFF"/>
        </w:rPr>
        <w:t>as well as a wage order provision (Cal. Code Regs., tit. 8, § 11050, subd. 4(A))</w:t>
      </w:r>
      <w:r w:rsidRPr="00DC4978">
        <w:rPr>
          <w:shd w:val="clear" w:color="auto" w:fill="FFFFFF"/>
        </w:rPr>
        <w:t>.</w:t>
      </w:r>
      <w:r w:rsidR="0060556B" w:rsidRPr="007C68F1">
        <w:rPr>
          <w:shd w:val="clear" w:color="auto" w:fill="FFFFFF"/>
        </w:rPr>
        <w:t xml:space="preserve"> </w:t>
      </w:r>
    </w:p>
    <w:p w14:paraId="6A7E6571" w14:textId="77777777" w:rsidR="007956A7" w:rsidRPr="007C68F1" w:rsidRDefault="00D16B2E" w:rsidP="007D1009">
      <w:pPr>
        <w:spacing w:line="480" w:lineRule="auto"/>
        <w:ind w:firstLine="720"/>
        <w:rPr>
          <w:shd w:val="clear" w:color="auto" w:fill="FFFFFF"/>
        </w:rPr>
      </w:pPr>
      <w:r w:rsidRPr="007C68F1">
        <w:rPr>
          <w:shd w:val="clear" w:color="auto" w:fill="FFFFFF"/>
        </w:rPr>
        <w:t xml:space="preserve">On June 23, 2014, </w:t>
      </w:r>
      <w:r w:rsidR="004966CD" w:rsidRPr="007C68F1">
        <w:rPr>
          <w:shd w:val="clear" w:color="auto" w:fill="FFFFFF"/>
        </w:rPr>
        <w:t>Woodworth filed her first amended complaint</w:t>
      </w:r>
      <w:r w:rsidRPr="007C68F1">
        <w:rPr>
          <w:shd w:val="clear" w:color="auto" w:fill="FFFFFF"/>
        </w:rPr>
        <w:t>, which added the PAGA cause of action.</w:t>
      </w:r>
      <w:r w:rsidR="009B2EC7" w:rsidRPr="007C68F1">
        <w:rPr>
          <w:shd w:val="clear" w:color="auto" w:fill="FFFFFF"/>
        </w:rPr>
        <w:t xml:space="preserve">  </w:t>
      </w:r>
      <w:r w:rsidR="008C5B70" w:rsidRPr="007C68F1">
        <w:rPr>
          <w:shd w:val="clear" w:color="auto" w:fill="FFFFFF"/>
        </w:rPr>
        <w:t>The LWDA responded to Woodworth</w:t>
      </w:r>
      <w:r w:rsidR="009B2EC7" w:rsidRPr="007C68F1">
        <w:rPr>
          <w:shd w:val="clear" w:color="auto" w:fill="FFFFFF"/>
        </w:rPr>
        <w:t xml:space="preserve">’s PAGA </w:t>
      </w:r>
      <w:r w:rsidR="004C6D77" w:rsidRPr="007C68F1">
        <w:rPr>
          <w:shd w:val="clear" w:color="auto" w:fill="FFFFFF"/>
        </w:rPr>
        <w:t>letter</w:t>
      </w:r>
      <w:r w:rsidR="008C5B70" w:rsidRPr="007C68F1">
        <w:rPr>
          <w:shd w:val="clear" w:color="auto" w:fill="FFFFFF"/>
        </w:rPr>
        <w:t xml:space="preserve"> on July 21, 2014. </w:t>
      </w:r>
      <w:r w:rsidR="00B744EC" w:rsidRPr="007C68F1">
        <w:rPr>
          <w:shd w:val="clear" w:color="auto" w:fill="FFFFFF"/>
        </w:rPr>
        <w:t xml:space="preserve"> It stated that it did not intend to investigate her allegations.</w:t>
      </w:r>
    </w:p>
    <w:p w14:paraId="0E067E9D" w14:textId="77777777" w:rsidR="004966CD" w:rsidRPr="007C68F1" w:rsidRDefault="00D16B2E" w:rsidP="007D1009">
      <w:pPr>
        <w:spacing w:line="480" w:lineRule="auto"/>
        <w:rPr>
          <w:shd w:val="clear" w:color="auto" w:fill="FFFFFF"/>
        </w:rPr>
      </w:pPr>
      <w:r w:rsidRPr="007C68F1">
        <w:rPr>
          <w:shd w:val="clear" w:color="auto" w:fill="FFFFFF"/>
        </w:rPr>
        <w:tab/>
        <w:t xml:space="preserve">The medical center argued in its moving papers that </w:t>
      </w:r>
      <w:r w:rsidR="00CA7AA3" w:rsidRPr="007C68F1">
        <w:rPr>
          <w:shd w:val="clear" w:color="auto" w:fill="FFFFFF"/>
        </w:rPr>
        <w:t xml:space="preserve">Woodworth had failed to exhaust her administrative remedies </w:t>
      </w:r>
      <w:r w:rsidR="004C6D77" w:rsidRPr="007C68F1">
        <w:rPr>
          <w:shd w:val="clear" w:color="auto" w:fill="FFFFFF"/>
        </w:rPr>
        <w:t>under PAGA.  More specifically, it argued that</w:t>
      </w:r>
      <w:r w:rsidR="00CA7AA3" w:rsidRPr="007C68F1">
        <w:rPr>
          <w:shd w:val="clear" w:color="auto" w:fill="FFFFFF"/>
        </w:rPr>
        <w:t xml:space="preserve"> </w:t>
      </w:r>
      <w:r w:rsidR="0011474B" w:rsidRPr="007C68F1">
        <w:rPr>
          <w:shd w:val="clear" w:color="auto" w:fill="FFFFFF"/>
        </w:rPr>
        <w:t>the</w:t>
      </w:r>
      <w:r w:rsidR="00CA7AA3" w:rsidRPr="007C68F1">
        <w:rPr>
          <w:shd w:val="clear" w:color="auto" w:fill="FFFFFF"/>
        </w:rPr>
        <w:t xml:space="preserve"> PAGA </w:t>
      </w:r>
      <w:r w:rsidR="004C6D77" w:rsidRPr="007C68F1">
        <w:rPr>
          <w:shd w:val="clear" w:color="auto" w:fill="FFFFFF"/>
        </w:rPr>
        <w:t>letter</w:t>
      </w:r>
      <w:r w:rsidR="00CA7AA3" w:rsidRPr="007C68F1">
        <w:rPr>
          <w:shd w:val="clear" w:color="auto" w:fill="FFFFFF"/>
        </w:rPr>
        <w:t xml:space="preserve"> was a string of legal conclusions </w:t>
      </w:r>
      <w:r w:rsidR="004C6D77" w:rsidRPr="007C68F1">
        <w:rPr>
          <w:shd w:val="clear" w:color="auto" w:fill="FFFFFF"/>
        </w:rPr>
        <w:t>without</w:t>
      </w:r>
      <w:r w:rsidR="00CA7AA3" w:rsidRPr="007C68F1">
        <w:rPr>
          <w:shd w:val="clear" w:color="auto" w:fill="FFFFFF"/>
        </w:rPr>
        <w:t xml:space="preserve"> any supporting facts and theories,</w:t>
      </w:r>
      <w:r w:rsidR="004C6D77" w:rsidRPr="007C68F1">
        <w:rPr>
          <w:shd w:val="clear" w:color="auto" w:fill="FFFFFF"/>
        </w:rPr>
        <w:t xml:space="preserve"> and the letter therefore failed to giv</w:t>
      </w:r>
      <w:r w:rsidR="00D97AE8" w:rsidRPr="007C68F1">
        <w:rPr>
          <w:shd w:val="clear" w:color="auto" w:fill="FFFFFF"/>
        </w:rPr>
        <w:t>e t</w:t>
      </w:r>
      <w:r w:rsidR="004C6D77" w:rsidRPr="007C68F1">
        <w:rPr>
          <w:shd w:val="clear" w:color="auto" w:fill="FFFFFF"/>
        </w:rPr>
        <w:t>he LWDA and the medical center</w:t>
      </w:r>
      <w:r w:rsidR="00D97AE8" w:rsidRPr="007C68F1">
        <w:rPr>
          <w:shd w:val="clear" w:color="auto" w:fill="FFFFFF"/>
        </w:rPr>
        <w:t xml:space="preserve"> proper notice of any of Woodworth’s claims.</w:t>
      </w:r>
      <w:r w:rsidR="00862303" w:rsidRPr="007C68F1">
        <w:rPr>
          <w:shd w:val="clear" w:color="auto" w:fill="FFFFFF"/>
        </w:rPr>
        <w:t xml:space="preserve">  </w:t>
      </w:r>
      <w:r w:rsidR="004C6D77" w:rsidRPr="007C68F1">
        <w:rPr>
          <w:shd w:val="clear" w:color="auto" w:fill="FFFFFF"/>
        </w:rPr>
        <w:t xml:space="preserve">It additionally argued that Woodworth had brought her </w:t>
      </w:r>
      <w:r w:rsidR="004C6D77" w:rsidRPr="007C68F1">
        <w:rPr>
          <w:shd w:val="clear" w:color="auto" w:fill="FFFFFF"/>
        </w:rPr>
        <w:lastRenderedPageBreak/>
        <w:t>PAGA cause of action prematurely, because</w:t>
      </w:r>
      <w:r w:rsidR="00C41890" w:rsidRPr="007C68F1">
        <w:rPr>
          <w:shd w:val="clear" w:color="auto" w:fill="FFFFFF"/>
        </w:rPr>
        <w:t xml:space="preserve"> she did not wait the requisite 33 days for the LWDA to respond.  The medical center contended that the court should dismiss the PAGA cause of action in its entirety.</w:t>
      </w:r>
      <w:r w:rsidR="005168C0" w:rsidRPr="007C68F1">
        <w:rPr>
          <w:shd w:val="clear" w:color="auto" w:fill="FFFFFF"/>
        </w:rPr>
        <w:t xml:space="preserve">  </w:t>
      </w:r>
    </w:p>
    <w:p w14:paraId="2A34095B" w14:textId="77777777" w:rsidR="00ED4F5F" w:rsidRPr="007C68F1" w:rsidRDefault="00D16B2E" w:rsidP="007D1009">
      <w:pPr>
        <w:spacing w:line="480" w:lineRule="auto"/>
        <w:rPr>
          <w:shd w:val="clear" w:color="auto" w:fill="FFFFFF"/>
        </w:rPr>
      </w:pPr>
      <w:r w:rsidRPr="007C68F1">
        <w:rPr>
          <w:shd w:val="clear" w:color="auto" w:fill="FFFFFF"/>
        </w:rPr>
        <w:tab/>
        <w:t xml:space="preserve">Woodworth opposed the motion, arguing that her PAGA letter and the </w:t>
      </w:r>
      <w:r w:rsidRPr="007C68F1">
        <w:rPr>
          <w:shd w:val="clear" w:color="auto" w:fill="FFFFFF"/>
        </w:rPr>
        <w:t>attached complaint sufficiently set forth the facts and theories underlying her PAGA cause of action.</w:t>
      </w:r>
      <w:r w:rsidR="00122A52" w:rsidRPr="007C68F1">
        <w:rPr>
          <w:shd w:val="clear" w:color="auto" w:fill="FFFFFF"/>
        </w:rPr>
        <w:t xml:space="preserve">  </w:t>
      </w:r>
      <w:r w:rsidR="00F26831" w:rsidRPr="007C68F1">
        <w:rPr>
          <w:shd w:val="clear" w:color="auto" w:fill="FFFFFF"/>
        </w:rPr>
        <w:t>She further</w:t>
      </w:r>
      <w:r w:rsidR="00122A52" w:rsidRPr="007C68F1">
        <w:rPr>
          <w:shd w:val="clear" w:color="auto" w:fill="FFFFFF"/>
        </w:rPr>
        <w:t xml:space="preserve"> contended that her prematurely filed </w:t>
      </w:r>
      <w:r w:rsidR="0011474B" w:rsidRPr="007C68F1">
        <w:rPr>
          <w:shd w:val="clear" w:color="auto" w:fill="FFFFFF"/>
        </w:rPr>
        <w:t xml:space="preserve">first amended </w:t>
      </w:r>
      <w:r w:rsidR="00122A52" w:rsidRPr="007C68F1">
        <w:rPr>
          <w:shd w:val="clear" w:color="auto" w:fill="FFFFFF"/>
        </w:rPr>
        <w:t xml:space="preserve">complaint did not mandate </w:t>
      </w:r>
      <w:r w:rsidR="003C26ED" w:rsidRPr="007C68F1">
        <w:rPr>
          <w:shd w:val="clear" w:color="auto" w:fill="FFFFFF"/>
        </w:rPr>
        <w:t>dismissal of the PAGA cause of action, because the LWDA’s later response cured any problem.</w:t>
      </w:r>
      <w:r w:rsidR="00951C7A" w:rsidRPr="007C68F1">
        <w:rPr>
          <w:shd w:val="clear" w:color="auto" w:fill="FFFFFF"/>
        </w:rPr>
        <w:t xml:space="preserve">  </w:t>
      </w:r>
    </w:p>
    <w:p w14:paraId="2957A401" w14:textId="77777777" w:rsidR="00B854DE" w:rsidRPr="007C68F1" w:rsidRDefault="00D16B2E" w:rsidP="007D1009">
      <w:pPr>
        <w:spacing w:line="480" w:lineRule="auto"/>
        <w:ind w:firstLine="720"/>
        <w:rPr>
          <w:shd w:val="clear" w:color="auto" w:fill="FFFFFF"/>
        </w:rPr>
      </w:pPr>
      <w:r w:rsidRPr="007C68F1">
        <w:rPr>
          <w:shd w:val="clear" w:color="auto" w:fill="FFFFFF"/>
        </w:rPr>
        <w:t>The court granted the medical center’s motion</w:t>
      </w:r>
      <w:r w:rsidR="001B08D1" w:rsidRPr="007C68F1">
        <w:rPr>
          <w:shd w:val="clear" w:color="auto" w:fill="FFFFFF"/>
        </w:rPr>
        <w:t xml:space="preserve"> </w:t>
      </w:r>
      <w:bookmarkStart w:id="699" w:name="dabmq_316"/>
      <w:r w:rsidRPr="007C68F1">
        <w:rPr>
          <w:shd w:val="clear" w:color="auto" w:fill="FFFFFF"/>
        </w:rPr>
        <w:t>“as to all claims alleged in the [PAGA cause of action] not otherwise summarily adjudicated in favor”</w:t>
      </w:r>
      <w:bookmarkEnd w:id="699"/>
      <w:r w:rsidRPr="007C68F1">
        <w:rPr>
          <w:shd w:val="clear" w:color="auto" w:fill="FFFFFF"/>
        </w:rPr>
        <w:t xml:space="preserve"> of the medical center</w:t>
      </w:r>
      <w:r w:rsidR="00D20376" w:rsidRPr="007C68F1">
        <w:rPr>
          <w:shd w:val="clear" w:color="auto" w:fill="FFFFFF"/>
        </w:rPr>
        <w:t>—</w:t>
      </w:r>
      <w:r w:rsidR="00CE1388" w:rsidRPr="007C68F1">
        <w:rPr>
          <w:shd w:val="clear" w:color="auto" w:fill="FFFFFF"/>
        </w:rPr>
        <w:t>namely, the PAGA rest period claim</w:t>
      </w:r>
      <w:r w:rsidRPr="007C68F1">
        <w:rPr>
          <w:shd w:val="clear" w:color="auto" w:fill="FFFFFF"/>
        </w:rPr>
        <w:t>.</w:t>
      </w:r>
      <w:r w:rsidR="00CE1388" w:rsidRPr="007C68F1">
        <w:rPr>
          <w:shd w:val="clear" w:color="auto" w:fill="FFFFFF"/>
        </w:rPr>
        <w:t xml:space="preserve">  The court concluded that Woodworth had two </w:t>
      </w:r>
      <w:r w:rsidR="00760F7C" w:rsidRPr="007C68F1">
        <w:rPr>
          <w:shd w:val="clear" w:color="auto" w:fill="FFFFFF"/>
        </w:rPr>
        <w:t xml:space="preserve">rest period </w:t>
      </w:r>
      <w:r w:rsidR="00CE1388" w:rsidRPr="007C68F1">
        <w:rPr>
          <w:shd w:val="clear" w:color="auto" w:fill="FFFFFF"/>
        </w:rPr>
        <w:t xml:space="preserve">theories: </w:t>
      </w:r>
      <w:r w:rsidR="00E4276C" w:rsidRPr="007C68F1">
        <w:rPr>
          <w:shd w:val="clear" w:color="auto" w:fill="FFFFFF"/>
        </w:rPr>
        <w:t xml:space="preserve"> </w:t>
      </w:r>
      <w:r w:rsidR="00760F7C" w:rsidRPr="007C68F1">
        <w:rPr>
          <w:shd w:val="clear" w:color="auto" w:fill="FFFFFF"/>
        </w:rPr>
        <w:t xml:space="preserve">(1) the medical center’s written policy unlawfully required employees to stay on premises during rest periods; and (2) the medical center </w:t>
      </w:r>
      <w:r w:rsidR="001B08D1" w:rsidRPr="007C68F1">
        <w:rPr>
          <w:shd w:val="clear" w:color="auto" w:fill="FFFFFF"/>
        </w:rPr>
        <w:t>failed to provide sufficient relief personnel so that nurses who work 12</w:t>
      </w:r>
      <w:r w:rsidR="001B08D1" w:rsidRPr="007C68F1">
        <w:rPr>
          <w:shd w:val="clear" w:color="auto" w:fill="FFFFFF"/>
        </w:rPr>
        <w:noBreakHyphen/>
        <w:t>hour shifts could take a third rest period.</w:t>
      </w:r>
      <w:r w:rsidR="00D20376" w:rsidRPr="007C68F1">
        <w:rPr>
          <w:shd w:val="clear" w:color="auto" w:fill="FFFFFF"/>
        </w:rPr>
        <w:t xml:space="preserve">  </w:t>
      </w:r>
      <w:r w:rsidR="001B08D1" w:rsidRPr="007C68F1">
        <w:rPr>
          <w:shd w:val="clear" w:color="auto" w:fill="FFFFFF"/>
        </w:rPr>
        <w:t xml:space="preserve">The court </w:t>
      </w:r>
      <w:r w:rsidR="0011474B" w:rsidRPr="007C68F1">
        <w:rPr>
          <w:shd w:val="clear" w:color="auto" w:fill="FFFFFF"/>
        </w:rPr>
        <w:t>ruled</w:t>
      </w:r>
      <w:r w:rsidR="001B08D1" w:rsidRPr="007C68F1">
        <w:rPr>
          <w:shd w:val="clear" w:color="auto" w:fill="FFFFFF"/>
        </w:rPr>
        <w:t xml:space="preserve"> that the PAGA notice and </w:t>
      </w:r>
      <w:r w:rsidR="00D20376" w:rsidRPr="007C68F1">
        <w:rPr>
          <w:shd w:val="clear" w:color="auto" w:fill="FFFFFF"/>
        </w:rPr>
        <w:t xml:space="preserve">attached </w:t>
      </w:r>
      <w:r w:rsidR="001B08D1" w:rsidRPr="007C68F1">
        <w:rPr>
          <w:shd w:val="clear" w:color="auto" w:fill="FFFFFF"/>
        </w:rPr>
        <w:t xml:space="preserve">complaint did not provide sufficient notice of </w:t>
      </w:r>
      <w:r w:rsidR="005B0C09" w:rsidRPr="007C68F1">
        <w:rPr>
          <w:shd w:val="clear" w:color="auto" w:fill="FFFFFF"/>
        </w:rPr>
        <w:t>either theory of liability</w:t>
      </w:r>
      <w:r w:rsidR="001B08D1" w:rsidRPr="007C68F1">
        <w:rPr>
          <w:shd w:val="clear" w:color="auto" w:fill="FFFFFF"/>
        </w:rPr>
        <w:t>.</w:t>
      </w:r>
    </w:p>
    <w:p w14:paraId="223B79D4" w14:textId="77777777" w:rsidR="001974AF" w:rsidRPr="007C68F1" w:rsidRDefault="00D16B2E" w:rsidP="007D1009">
      <w:pPr>
        <w:keepNext/>
        <w:spacing w:line="480" w:lineRule="auto"/>
        <w:ind w:firstLine="720"/>
        <w:rPr>
          <w:shd w:val="clear" w:color="auto" w:fill="FFFFFF"/>
        </w:rPr>
      </w:pPr>
      <w:r w:rsidRPr="007C68F1">
        <w:rPr>
          <w:shd w:val="clear" w:color="auto" w:fill="FFFFFF"/>
        </w:rPr>
        <w:t xml:space="preserve">B.  </w:t>
      </w:r>
      <w:r w:rsidRPr="007C68F1">
        <w:rPr>
          <w:i/>
          <w:iCs/>
          <w:shd w:val="clear" w:color="auto" w:fill="FFFFFF"/>
        </w:rPr>
        <w:t>Analysis</w:t>
      </w:r>
    </w:p>
    <w:p w14:paraId="5EBD8E15" w14:textId="77777777" w:rsidR="00334171" w:rsidRPr="007C68F1" w:rsidRDefault="00D16B2E" w:rsidP="007D1009">
      <w:pPr>
        <w:spacing w:line="480" w:lineRule="auto"/>
        <w:ind w:firstLine="720"/>
      </w:pPr>
      <w:r w:rsidRPr="007C68F1">
        <w:rPr>
          <w:shd w:val="clear" w:color="auto" w:fill="FFFFFF"/>
        </w:rPr>
        <w:t xml:space="preserve">Under PAGA, </w:t>
      </w:r>
      <w:bookmarkStart w:id="700" w:name="dabmq_317"/>
      <w:r w:rsidRPr="007C68F1">
        <w:rPr>
          <w:shd w:val="clear" w:color="auto" w:fill="FFFFFF"/>
        </w:rPr>
        <w:t xml:space="preserve">“an ‘aggrieved employee’ may bring a civil </w:t>
      </w:r>
      <w:r w:rsidRPr="007C68F1">
        <w:rPr>
          <w:shd w:val="clear" w:color="auto" w:fill="FFFFFF"/>
        </w:rPr>
        <w:t>action personally and on behalf of other current or former employees to recover civil penalties for Labor Code violations.  [Citation.]  Of the civil penalties recovered, 75 percent goes to the [LWDA], leaving the remaining 25 percent for the ‘aggrieved em</w:t>
      </w:r>
      <w:r w:rsidRPr="007C68F1">
        <w:rPr>
          <w:shd w:val="clear" w:color="auto" w:fill="FFFFFF"/>
        </w:rPr>
        <w:t>ployees.’”</w:t>
      </w:r>
      <w:bookmarkEnd w:id="700"/>
      <w:r w:rsidRPr="007C68F1">
        <w:rPr>
          <w:shd w:val="clear" w:color="auto" w:fill="FFFFFF"/>
        </w:rPr>
        <w:t xml:space="preserve">  (</w:t>
      </w:r>
      <w:bookmarkStart w:id="701" w:name="dabmci_568fb428c1cd46ae9501b2bcaa9802dd"/>
      <w:r w:rsidRPr="007C68F1">
        <w:rPr>
          <w:i/>
          <w:iCs/>
          <w:bdr w:val="none" w:sz="0" w:space="0" w:color="auto" w:frame="1"/>
        </w:rPr>
        <w:t>Arias v. Superior Court</w:t>
      </w:r>
      <w:r w:rsidRPr="007C68F1">
        <w:t xml:space="preserve"> (2009) 46 Cal.4th 969, 980-981 (</w:t>
      </w:r>
      <w:r w:rsidRPr="007C68F1">
        <w:rPr>
          <w:i/>
          <w:iCs/>
        </w:rPr>
        <w:t>Arias</w:t>
      </w:r>
      <w:r w:rsidRPr="007C68F1">
        <w:t>)</w:t>
      </w:r>
      <w:bookmarkEnd w:id="701"/>
      <w:r w:rsidR="00933B93" w:rsidRPr="007C68F1">
        <w:t>, fn. omitted</w:t>
      </w:r>
      <w:r w:rsidR="002B60C2" w:rsidRPr="007C68F1">
        <w:t>.</w:t>
      </w:r>
      <w:r w:rsidRPr="007C68F1">
        <w:t xml:space="preserve">)  </w:t>
      </w:r>
      <w:bookmarkStart w:id="702" w:name="dabmq_318"/>
      <w:r w:rsidR="00F9787A" w:rsidRPr="007C68F1">
        <w:t>“</w:t>
      </w:r>
      <w:r w:rsidR="00F9787A" w:rsidRPr="007C68F1">
        <w:rPr>
          <w:shd w:val="clear" w:color="auto" w:fill="FFFFFF"/>
        </w:rPr>
        <w:t>PAGA created a type of</w:t>
      </w:r>
      <w:r w:rsidR="00795944">
        <w:rPr>
          <w:shd w:val="clear" w:color="auto" w:fill="FFFFFF"/>
        </w:rPr>
        <w:t xml:space="preserve"> </w:t>
      </w:r>
      <w:r w:rsidR="00F9787A" w:rsidRPr="007C68F1">
        <w:rPr>
          <w:i/>
          <w:iCs/>
          <w:bdr w:val="none" w:sz="0" w:space="0" w:color="auto" w:frame="1"/>
        </w:rPr>
        <w:t xml:space="preserve">qui </w:t>
      </w:r>
      <w:r w:rsidR="00F9787A" w:rsidRPr="007C68F1">
        <w:rPr>
          <w:i/>
          <w:iCs/>
          <w:bdr w:val="none" w:sz="0" w:space="0" w:color="auto" w:frame="1"/>
        </w:rPr>
        <w:lastRenderedPageBreak/>
        <w:t>tam</w:t>
      </w:r>
      <w:r w:rsidR="00795944">
        <w:rPr>
          <w:i/>
          <w:iCs/>
          <w:bdr w:val="none" w:sz="0" w:space="0" w:color="auto" w:frame="1"/>
        </w:rPr>
        <w:t xml:space="preserve"> </w:t>
      </w:r>
      <w:r w:rsidR="00F9787A" w:rsidRPr="007C68F1">
        <w:rPr>
          <w:shd w:val="clear" w:color="auto" w:fill="FFFFFF"/>
        </w:rPr>
        <w:t xml:space="preserve">action . . . .  </w:t>
      </w:r>
      <w:r w:rsidRPr="007C68F1">
        <w:rPr>
          <w:shd w:val="clear" w:color="auto" w:fill="FFFFFF"/>
        </w:rPr>
        <w:t xml:space="preserve">When an employee brings a representative action under PAGA, he or she does so </w:t>
      </w:r>
      <w:r w:rsidR="00F9787A" w:rsidRPr="007C68F1">
        <w:rPr>
          <w:shd w:val="clear" w:color="auto" w:fill="FFFFFF"/>
        </w:rPr>
        <w:t>‘</w:t>
      </w:r>
      <w:r w:rsidRPr="007C68F1">
        <w:rPr>
          <w:shd w:val="clear" w:color="auto" w:fill="FFFFFF"/>
        </w:rPr>
        <w:t>as the proxy or agent of the state</w:t>
      </w:r>
      <w:r w:rsidR="00F9787A" w:rsidRPr="007C68F1">
        <w:rPr>
          <w:shd w:val="clear" w:color="auto" w:fill="FFFFFF"/>
        </w:rPr>
        <w:t>’</w:t>
      </w:r>
      <w:r w:rsidRPr="007C68F1">
        <w:rPr>
          <w:shd w:val="clear" w:color="auto" w:fill="FFFFFF"/>
        </w:rPr>
        <w:t xml:space="preserve">s </w:t>
      </w:r>
      <w:r w:rsidRPr="007C68F1">
        <w:rPr>
          <w:shd w:val="clear" w:color="auto" w:fill="FFFFFF"/>
        </w:rPr>
        <w:t>labor law enforcement agencies, not other employees.</w:t>
      </w:r>
      <w:r w:rsidR="00F9787A" w:rsidRPr="007C68F1">
        <w:rPr>
          <w:shd w:val="clear" w:color="auto" w:fill="FFFFFF"/>
        </w:rPr>
        <w:t>’”</w:t>
      </w:r>
      <w:bookmarkEnd w:id="702"/>
      <w:r w:rsidR="00F9787A" w:rsidRPr="007C68F1">
        <w:rPr>
          <w:shd w:val="clear" w:color="auto" w:fill="FFFFFF"/>
        </w:rPr>
        <w:t xml:space="preserve">  (</w:t>
      </w:r>
      <w:bookmarkStart w:id="703" w:name="dabmci_61518cbe5f0c4ec1845cd2f95768bc67"/>
      <w:r w:rsidR="00C47332" w:rsidRPr="007C68F1">
        <w:rPr>
          <w:i/>
          <w:iCs/>
          <w:bdr w:val="none" w:sz="0" w:space="0" w:color="auto" w:frame="1"/>
        </w:rPr>
        <w:t>Huff v. Securitas Security Services USA, Inc.</w:t>
      </w:r>
      <w:r w:rsidR="00C47332" w:rsidRPr="007C68F1">
        <w:t xml:space="preserve"> (2018) 23 Cal.App.5th 745, 753 (</w:t>
      </w:r>
      <w:r w:rsidR="00C47332" w:rsidRPr="007C68F1">
        <w:rPr>
          <w:i/>
          <w:iCs/>
        </w:rPr>
        <w:t>Huff</w:t>
      </w:r>
      <w:r w:rsidR="00C47332" w:rsidRPr="007C68F1">
        <w:t>)</w:t>
      </w:r>
      <w:bookmarkEnd w:id="703"/>
      <w:r w:rsidR="00F9787A" w:rsidRPr="007C68F1">
        <w:t xml:space="preserve">.)  </w:t>
      </w:r>
    </w:p>
    <w:p w14:paraId="2900B431" w14:textId="77777777" w:rsidR="00CE1388" w:rsidRPr="007C68F1" w:rsidRDefault="00D16B2E" w:rsidP="007D1009">
      <w:pPr>
        <w:spacing w:line="480" w:lineRule="auto"/>
        <w:ind w:firstLine="720"/>
      </w:pPr>
      <w:r w:rsidRPr="007C68F1">
        <w:t xml:space="preserve">Because a PAGA action </w:t>
      </w:r>
      <w:bookmarkStart w:id="704" w:name="dabmq_319"/>
      <w:r w:rsidRPr="007C68F1">
        <w:t>“i</w:t>
      </w:r>
      <w:r w:rsidR="000611C8" w:rsidRPr="007C68F1">
        <w:rPr>
          <w:shd w:val="clear" w:color="auto" w:fill="FFFFFF"/>
        </w:rPr>
        <w:t>s fundamentally a law enforcement action, a plaintiff must first allow the appropriate state authorities to investigate the alleged Labor Code violations</w:t>
      </w:r>
      <w:r w:rsidR="00E806EE" w:rsidRPr="007C68F1">
        <w:rPr>
          <w:shd w:val="clear" w:color="auto" w:fill="FFFFFF"/>
        </w:rPr>
        <w:t>.”</w:t>
      </w:r>
      <w:bookmarkEnd w:id="704"/>
      <w:r w:rsidR="00E806EE" w:rsidRPr="007C68F1">
        <w:rPr>
          <w:shd w:val="clear" w:color="auto" w:fill="FFFFFF"/>
        </w:rPr>
        <w:t xml:space="preserve">  </w:t>
      </w:r>
      <w:r w:rsidR="008A2927" w:rsidRPr="007C68F1">
        <w:rPr>
          <w:shd w:val="clear" w:color="auto" w:fill="FFFFFF"/>
        </w:rPr>
        <w:t>(</w:t>
      </w:r>
      <w:bookmarkStart w:id="705" w:name="dabmci_b9fb2aecc9e44a19b549dc1dcca3f6ed"/>
      <w:r w:rsidR="000611C8" w:rsidRPr="007C68F1">
        <w:rPr>
          <w:i/>
          <w:iCs/>
          <w:bdr w:val="none" w:sz="0" w:space="0" w:color="auto" w:frame="1"/>
        </w:rPr>
        <w:t>Huff</w:t>
      </w:r>
      <w:r w:rsidR="008A2927" w:rsidRPr="007C68F1">
        <w:rPr>
          <w:bdr w:val="none" w:sz="0" w:space="0" w:color="auto" w:frame="1"/>
        </w:rPr>
        <w:t xml:space="preserve">, </w:t>
      </w:r>
      <w:r w:rsidR="008A2927" w:rsidRPr="007C68F1">
        <w:rPr>
          <w:i/>
          <w:iCs/>
          <w:bdr w:val="none" w:sz="0" w:space="0" w:color="auto" w:frame="1"/>
        </w:rPr>
        <w:t>supra</w:t>
      </w:r>
      <w:r w:rsidR="008A2927" w:rsidRPr="007C68F1">
        <w:rPr>
          <w:bdr w:val="none" w:sz="0" w:space="0" w:color="auto" w:frame="1"/>
        </w:rPr>
        <w:t xml:space="preserve">, </w:t>
      </w:r>
      <w:r w:rsidR="000611C8" w:rsidRPr="007C68F1">
        <w:t xml:space="preserve">23 Cal.App.5th </w:t>
      </w:r>
      <w:r w:rsidR="008A2927" w:rsidRPr="007C68F1">
        <w:t xml:space="preserve">at p. </w:t>
      </w:r>
      <w:r w:rsidR="000611C8" w:rsidRPr="007C68F1">
        <w:t>753</w:t>
      </w:r>
      <w:bookmarkEnd w:id="705"/>
      <w:r w:rsidR="008A2927" w:rsidRPr="007C68F1">
        <w:t>.)</w:t>
      </w:r>
      <w:r w:rsidR="00021285" w:rsidRPr="007C68F1">
        <w:t xml:space="preserve">  Thus, PAGA requires </w:t>
      </w:r>
      <w:r w:rsidR="0009754F" w:rsidRPr="007C68F1">
        <w:t xml:space="preserve">that the aggrieved employee “give written notice” to the LWDA and the employer </w:t>
      </w:r>
      <w:bookmarkStart w:id="706" w:name="dabmq_320"/>
      <w:r w:rsidR="0009754F" w:rsidRPr="007C68F1">
        <w:t>“of the specific provisions of [the Labor Code] alleged to have been violated, including the facts and theories to support the alleged violation.”</w:t>
      </w:r>
      <w:bookmarkEnd w:id="706"/>
      <w:r w:rsidR="0009754F" w:rsidRPr="007C68F1">
        <w:t xml:space="preserve">  (§ 2699.3, subd. (a)(1)(A).)  </w:t>
      </w:r>
      <w:r w:rsidR="00E806EE" w:rsidRPr="007C68F1">
        <w:t>If the LWDA decides not to investigate or fails to respond to the aggrieved employee’s notice within a specified time</w:t>
      </w:r>
      <w:r w:rsidR="004217F5" w:rsidRPr="007C68F1">
        <w:t xml:space="preserve"> frame</w:t>
      </w:r>
      <w:r w:rsidR="00E806EE" w:rsidRPr="007C68F1">
        <w:t xml:space="preserve">, the employee may bring the PAGA action as an agent of the state.  </w:t>
      </w:r>
      <w:r w:rsidR="004217F5" w:rsidRPr="007C68F1">
        <w:t xml:space="preserve">(§ 2699.3, subd. (a)(2)(A).)  </w:t>
      </w:r>
      <w:r w:rsidR="0027081A" w:rsidRPr="007C68F1">
        <w:t>When</w:t>
      </w:r>
      <w:r w:rsidR="004217F5" w:rsidRPr="007C68F1">
        <w:t xml:space="preserve"> Woodworth sent the PAGA letter in 2014, </w:t>
      </w:r>
      <w:r w:rsidR="002B3EF7" w:rsidRPr="007C68F1">
        <w:t xml:space="preserve">PAGA gave the LWDA 30 calendar days </w:t>
      </w:r>
      <w:r w:rsidR="00867C0F" w:rsidRPr="007C68F1">
        <w:t xml:space="preserve">to notify her </w:t>
      </w:r>
      <w:r w:rsidR="002B3EF7" w:rsidRPr="007C68F1">
        <w:t>that it</w:t>
      </w:r>
      <w:r w:rsidR="00867C0F" w:rsidRPr="007C68F1">
        <w:t xml:space="preserve"> did not intend to investigate</w:t>
      </w:r>
      <w:r w:rsidR="008B1B7D" w:rsidRPr="007C68F1">
        <w:t xml:space="preserve"> her allegations.  (Former § 2699.3, subd. (a)(2)(A), </w:t>
      </w:r>
      <w:r w:rsidR="005064EE" w:rsidRPr="007C68F1">
        <w:t xml:space="preserve">added by </w:t>
      </w:r>
      <w:r w:rsidR="008B1B7D" w:rsidRPr="007C68F1">
        <w:t xml:space="preserve">Stats. </w:t>
      </w:r>
      <w:r w:rsidR="005064EE" w:rsidRPr="007C68F1">
        <w:t xml:space="preserve">2004, ch. 221, </w:t>
      </w:r>
      <w:r w:rsidR="008B1B7D" w:rsidRPr="007C68F1">
        <w:t xml:space="preserve">§ 4.)  </w:t>
      </w:r>
      <w:r w:rsidR="002A624C" w:rsidRPr="007C68F1">
        <w:t xml:space="preserve">Upon receipt of the </w:t>
      </w:r>
      <w:r w:rsidR="00D8436D" w:rsidRPr="007C68F1">
        <w:t>agency’s</w:t>
      </w:r>
      <w:r w:rsidR="002A624C" w:rsidRPr="007C68F1">
        <w:t xml:space="preserve"> notice, or i</w:t>
      </w:r>
      <w:r w:rsidR="008B1B7D" w:rsidRPr="007C68F1">
        <w:t xml:space="preserve">f the agency did not respond within 33 calendar days, she could commence the PAGA action.  </w:t>
      </w:r>
      <w:r w:rsidR="00867C0F" w:rsidRPr="007C68F1">
        <w:t>(</w:t>
      </w:r>
      <w:bookmarkStart w:id="707" w:name="dabmci_519e9c3799c84b709aea80a41decb084"/>
      <w:r w:rsidR="008B1B7D" w:rsidRPr="007C68F1">
        <w:rPr>
          <w:i/>
          <w:iCs/>
        </w:rPr>
        <w:t>Ibid</w:t>
      </w:r>
      <w:r w:rsidR="008B1B7D" w:rsidRPr="007C68F1">
        <w:t>.</w:t>
      </w:r>
      <w:bookmarkEnd w:id="707"/>
      <w:r w:rsidR="008B1B7D" w:rsidRPr="007C68F1">
        <w:t>)</w:t>
      </w:r>
      <w:r w:rsidR="005064EE" w:rsidRPr="007C68F1">
        <w:t xml:space="preserve"> </w:t>
      </w:r>
    </w:p>
    <w:p w14:paraId="1B0D793F" w14:textId="77777777" w:rsidR="00452559" w:rsidRPr="007C68F1" w:rsidRDefault="00D16B2E" w:rsidP="007D1009">
      <w:pPr>
        <w:spacing w:line="480" w:lineRule="auto"/>
        <w:ind w:firstLine="720"/>
      </w:pPr>
      <w:bookmarkStart w:id="708" w:name="dabmq_321"/>
      <w:r w:rsidRPr="007C68F1">
        <w:rPr>
          <w:shd w:val="clear" w:color="auto" w:fill="FFFFFF"/>
        </w:rPr>
        <w:t xml:space="preserve">“The evident purpose of the notice requirement is to afford the relevant state agency, the </w:t>
      </w:r>
      <w:r w:rsidR="0096296B" w:rsidRPr="007C68F1">
        <w:rPr>
          <w:shd w:val="clear" w:color="auto" w:fill="FFFFFF"/>
        </w:rPr>
        <w:t>[LWDA]</w:t>
      </w:r>
      <w:r w:rsidRPr="007C68F1">
        <w:rPr>
          <w:shd w:val="clear" w:color="auto" w:fill="FFFFFF"/>
        </w:rPr>
        <w:t>, the opportunity to decide whether to allocate scarce resources to an investigation, a decision better made with knowledge of the allegations an aggrieved emp</w:t>
      </w:r>
      <w:r w:rsidRPr="007C68F1">
        <w:rPr>
          <w:shd w:val="clear" w:color="auto" w:fill="FFFFFF"/>
        </w:rPr>
        <w:t>loyee is making and any basis for those allegations.</w:t>
      </w:r>
      <w:r w:rsidR="0096296B" w:rsidRPr="007C68F1">
        <w:rPr>
          <w:shd w:val="clear" w:color="auto" w:fill="FFFFFF"/>
        </w:rPr>
        <w:t xml:space="preserve"> </w:t>
      </w:r>
      <w:r w:rsidRPr="007C68F1">
        <w:rPr>
          <w:shd w:val="clear" w:color="auto" w:fill="FFFFFF"/>
        </w:rPr>
        <w:t xml:space="preserve"> Notice to the employer serves the purpose of allowing the employer to submit a response to the agency </w:t>
      </w:r>
      <w:r w:rsidR="0096296B" w:rsidRPr="007C68F1">
        <w:rPr>
          <w:shd w:val="clear" w:color="auto" w:fill="FFFFFF"/>
        </w:rPr>
        <w:t>[citation]</w:t>
      </w:r>
      <w:r w:rsidRPr="007C68F1">
        <w:rPr>
          <w:shd w:val="clear" w:color="auto" w:fill="FFFFFF"/>
        </w:rPr>
        <w:t xml:space="preserve">, again </w:t>
      </w:r>
      <w:r w:rsidRPr="007C68F1">
        <w:rPr>
          <w:shd w:val="clear" w:color="auto" w:fill="FFFFFF"/>
        </w:rPr>
        <w:lastRenderedPageBreak/>
        <w:t xml:space="preserve">thereby promoting an informed agency decision as to whether to allocate resources </w:t>
      </w:r>
      <w:r w:rsidRPr="007C68F1">
        <w:rPr>
          <w:shd w:val="clear" w:color="auto" w:fill="FFFFFF"/>
        </w:rPr>
        <w:t>toward an investigation</w:t>
      </w:r>
      <w:r w:rsidR="0096296B" w:rsidRPr="007C68F1">
        <w:rPr>
          <w:shd w:val="clear" w:color="auto" w:fill="FFFFFF"/>
        </w:rPr>
        <w:t>.”</w:t>
      </w:r>
      <w:bookmarkEnd w:id="708"/>
      <w:r w:rsidR="0096296B" w:rsidRPr="007C68F1">
        <w:rPr>
          <w:shd w:val="clear" w:color="auto" w:fill="FFFFFF"/>
        </w:rPr>
        <w:t xml:space="preserve">  (</w:t>
      </w:r>
      <w:bookmarkStart w:id="709" w:name="dabmci_ff9ad4b8079a4d3f8b3fe5083c998be8"/>
      <w:r w:rsidRPr="007C68F1">
        <w:rPr>
          <w:i/>
          <w:iCs/>
          <w:bdr w:val="none" w:sz="0" w:space="0" w:color="auto" w:frame="1"/>
        </w:rPr>
        <w:t>Williams v. Superior Court</w:t>
      </w:r>
      <w:r w:rsidR="00A03738" w:rsidRPr="007C68F1">
        <w:t xml:space="preserve"> </w:t>
      </w:r>
      <w:r w:rsidRPr="007C68F1">
        <w:t>(2017) 3 Cal.5th 531, 54</w:t>
      </w:r>
      <w:r w:rsidR="0096296B" w:rsidRPr="007C68F1">
        <w:t>5-546</w:t>
      </w:r>
      <w:bookmarkEnd w:id="709"/>
      <w:r w:rsidR="0096296B" w:rsidRPr="007C68F1">
        <w:t xml:space="preserve">.)  </w:t>
      </w:r>
    </w:p>
    <w:p w14:paraId="6EF11743" w14:textId="77777777" w:rsidR="00D76499" w:rsidRPr="007C68F1" w:rsidRDefault="00D16B2E" w:rsidP="007D1009">
      <w:pPr>
        <w:spacing w:line="480" w:lineRule="auto"/>
        <w:ind w:firstLine="720"/>
      </w:pPr>
      <w:r w:rsidRPr="007C68F1">
        <w:rPr>
          <w:shd w:val="clear" w:color="auto" w:fill="FFFFFF"/>
        </w:rPr>
        <w:t xml:space="preserve">A </w:t>
      </w:r>
      <w:bookmarkStart w:id="710" w:name="dabmq_322"/>
      <w:r w:rsidR="00493C1F" w:rsidRPr="007C68F1">
        <w:rPr>
          <w:shd w:val="clear" w:color="auto" w:fill="FFFFFF"/>
        </w:rPr>
        <w:t>“‘“</w:t>
      </w:r>
      <w:r w:rsidRPr="007C68F1">
        <w:rPr>
          <w:shd w:val="clear" w:color="auto" w:fill="FFFFFF"/>
        </w:rPr>
        <w:t>PAGA notice must be specific enough such that the LWDA and the defendant can glean the underlying factual basis for the alleged violations.</w:t>
      </w:r>
      <w:r w:rsidR="00493C1F" w:rsidRPr="007C68F1">
        <w:rPr>
          <w:shd w:val="clear" w:color="auto" w:fill="FFFFFF"/>
        </w:rPr>
        <w:t>”</w:t>
      </w:r>
      <w:bookmarkEnd w:id="710"/>
      <w:r w:rsidRPr="007C68F1">
        <w:rPr>
          <w:shd w:val="clear" w:color="auto" w:fill="FFFFFF"/>
        </w:rPr>
        <w:t xml:space="preserve"> </w:t>
      </w:r>
      <w:r w:rsidR="00493C1F" w:rsidRPr="007C68F1">
        <w:rPr>
          <w:shd w:val="clear" w:color="auto" w:fill="FFFFFF"/>
        </w:rPr>
        <w:t xml:space="preserve"> </w:t>
      </w:r>
      <w:r w:rsidRPr="007C68F1">
        <w:rPr>
          <w:shd w:val="clear" w:color="auto" w:fill="FFFFFF"/>
        </w:rPr>
        <w:t xml:space="preserve">[Citation.] </w:t>
      </w:r>
      <w:r w:rsidR="00493C1F" w:rsidRPr="007C68F1">
        <w:rPr>
          <w:shd w:val="clear" w:color="auto" w:fill="FFFFFF"/>
        </w:rPr>
        <w:t xml:space="preserve"> </w:t>
      </w:r>
      <w:r w:rsidRPr="007C68F1">
        <w:rPr>
          <w:shd w:val="clear" w:color="auto" w:fill="FFFFFF"/>
        </w:rPr>
        <w:t>Convers</w:t>
      </w:r>
      <w:r w:rsidRPr="007C68F1">
        <w:rPr>
          <w:shd w:val="clear" w:color="auto" w:fill="FFFFFF"/>
        </w:rPr>
        <w:t xml:space="preserve">ely, </w:t>
      </w:r>
      <w:bookmarkStart w:id="711" w:name="dabmq_323"/>
      <w:r w:rsidR="00493C1F" w:rsidRPr="007C68F1">
        <w:rPr>
          <w:shd w:val="clear" w:color="auto" w:fill="FFFFFF"/>
        </w:rPr>
        <w:t>“</w:t>
      </w:r>
      <w:r w:rsidRPr="007C68F1">
        <w:rPr>
          <w:shd w:val="clear" w:color="auto" w:fill="FFFFFF"/>
        </w:rPr>
        <w:t xml:space="preserve">a string of legal conclusions with no factual allegations or theories of liability to support them </w:t>
      </w:r>
      <w:r w:rsidR="00493C1F" w:rsidRPr="007C68F1">
        <w:rPr>
          <w:shd w:val="clear" w:color="auto" w:fill="FFFFFF"/>
        </w:rPr>
        <w:t>. . .</w:t>
      </w:r>
      <w:r w:rsidRPr="007C68F1">
        <w:rPr>
          <w:shd w:val="clear" w:color="auto" w:fill="FFFFFF"/>
        </w:rPr>
        <w:t xml:space="preserve"> is insufficient to allow the [LWDA] to intelligently assess the seriousness of the alleged violations.</w:t>
      </w:r>
      <w:r w:rsidR="00493C1F" w:rsidRPr="007C68F1">
        <w:rPr>
          <w:shd w:val="clear" w:color="auto" w:fill="FFFFFF"/>
        </w:rPr>
        <w:t>”</w:t>
      </w:r>
      <w:bookmarkEnd w:id="711"/>
      <w:r w:rsidR="00493C1F" w:rsidRPr="007C68F1">
        <w:rPr>
          <w:shd w:val="clear" w:color="auto" w:fill="FFFFFF"/>
        </w:rPr>
        <w:t xml:space="preserve"> </w:t>
      </w:r>
      <w:r w:rsidRPr="007C68F1">
        <w:rPr>
          <w:shd w:val="clear" w:color="auto" w:fill="FFFFFF"/>
        </w:rPr>
        <w:t xml:space="preserve"> [Citations.] </w:t>
      </w:r>
      <w:r w:rsidR="00493C1F" w:rsidRPr="007C68F1">
        <w:rPr>
          <w:shd w:val="clear" w:color="auto" w:fill="FFFFFF"/>
        </w:rPr>
        <w:t xml:space="preserve"> </w:t>
      </w:r>
      <w:r w:rsidRPr="007C68F1">
        <w:rPr>
          <w:shd w:val="clear" w:color="auto" w:fill="FFFFFF"/>
        </w:rPr>
        <w:t>Plaintiff, however, need n</w:t>
      </w:r>
      <w:r w:rsidRPr="007C68F1">
        <w:rPr>
          <w:shd w:val="clear" w:color="auto" w:fill="FFFFFF"/>
        </w:rPr>
        <w:t xml:space="preserve">ot set forth </w:t>
      </w:r>
      <w:bookmarkStart w:id="712" w:name="dabmq_324"/>
      <w:r w:rsidR="00493C1F" w:rsidRPr="007C68F1">
        <w:rPr>
          <w:shd w:val="clear" w:color="auto" w:fill="FFFFFF"/>
        </w:rPr>
        <w:t>“</w:t>
      </w:r>
      <w:r w:rsidRPr="007C68F1">
        <w:rPr>
          <w:shd w:val="clear" w:color="auto" w:fill="FFFFFF"/>
        </w:rPr>
        <w:t>every potential fact or every future theory.</w:t>
      </w:r>
      <w:r w:rsidR="00493C1F" w:rsidRPr="007C68F1">
        <w:rPr>
          <w:shd w:val="clear" w:color="auto" w:fill="FFFFFF"/>
        </w:rPr>
        <w:t>”</w:t>
      </w:r>
      <w:bookmarkEnd w:id="712"/>
      <w:r w:rsidRPr="007C68F1">
        <w:rPr>
          <w:shd w:val="clear" w:color="auto" w:fill="FFFFFF"/>
        </w:rPr>
        <w:t xml:space="preserve"> </w:t>
      </w:r>
      <w:r w:rsidR="00493C1F" w:rsidRPr="007C68F1">
        <w:rPr>
          <w:shd w:val="clear" w:color="auto" w:fill="FFFFFF"/>
        </w:rPr>
        <w:t xml:space="preserve"> </w:t>
      </w:r>
      <w:r w:rsidRPr="007C68F1">
        <w:rPr>
          <w:shd w:val="clear" w:color="auto" w:fill="FFFFFF"/>
        </w:rPr>
        <w:t>[Citations.]</w:t>
      </w:r>
      <w:r w:rsidR="00493C1F" w:rsidRPr="007C68F1">
        <w:rPr>
          <w:shd w:val="clear" w:color="auto" w:fill="FFFFFF"/>
        </w:rPr>
        <w:t xml:space="preserve"> </w:t>
      </w:r>
      <w:r w:rsidRPr="007C68F1">
        <w:rPr>
          <w:shd w:val="clear" w:color="auto" w:fill="FFFFFF"/>
        </w:rPr>
        <w:t xml:space="preserve"> </w:t>
      </w:r>
      <w:bookmarkStart w:id="713" w:name="dabmq_325"/>
      <w:r w:rsidR="00493C1F" w:rsidRPr="007C68F1">
        <w:rPr>
          <w:shd w:val="clear" w:color="auto" w:fill="FFFFFF"/>
        </w:rPr>
        <w:t>“</w:t>
      </w:r>
      <w:r w:rsidRPr="007C68F1">
        <w:rPr>
          <w:shd w:val="clear" w:color="auto" w:fill="FFFFFF"/>
        </w:rPr>
        <w:t>Under California</w:t>
      </w:r>
      <w:r w:rsidR="00493C1F" w:rsidRPr="007C68F1">
        <w:rPr>
          <w:shd w:val="clear" w:color="auto" w:fill="FFFFFF"/>
        </w:rPr>
        <w:t>’</w:t>
      </w:r>
      <w:r w:rsidRPr="007C68F1">
        <w:rPr>
          <w:shd w:val="clear" w:color="auto" w:fill="FFFFFF"/>
        </w:rPr>
        <w:t>s Labor Code, a written notice is sufficient so long as it contains some basic facts about the violations, such as which provision was allegedly violated and who w</w:t>
      </w:r>
      <w:r w:rsidRPr="007C68F1">
        <w:rPr>
          <w:shd w:val="clear" w:color="auto" w:fill="FFFFFF"/>
        </w:rPr>
        <w:t>as allegedly harmed.</w:t>
      </w:r>
      <w:r w:rsidR="00493C1F" w:rsidRPr="007C68F1">
        <w:rPr>
          <w:shd w:val="clear" w:color="auto" w:fill="FFFFFF"/>
        </w:rPr>
        <w:t>”</w:t>
      </w:r>
      <w:bookmarkEnd w:id="713"/>
      <w:r w:rsidR="00493C1F" w:rsidRPr="007C68F1">
        <w:rPr>
          <w:shd w:val="clear" w:color="auto" w:fill="FFFFFF"/>
        </w:rPr>
        <w:t>’</w:t>
      </w:r>
      <w:r w:rsidRPr="007C68F1">
        <w:rPr>
          <w:shd w:val="clear" w:color="auto" w:fill="FFFFFF"/>
        </w:rPr>
        <w:t xml:space="preserve">”  </w:t>
      </w:r>
      <w:r w:rsidR="00493C1F" w:rsidRPr="007C68F1">
        <w:rPr>
          <w:shd w:val="clear" w:color="auto" w:fill="FFFFFF"/>
        </w:rPr>
        <w:t>(</w:t>
      </w:r>
      <w:bookmarkStart w:id="714" w:name="dabmci_d0eab537c8b8455f903af14b09d44e4d"/>
      <w:r w:rsidRPr="007C68F1">
        <w:rPr>
          <w:i/>
          <w:iCs/>
          <w:bdr w:val="none" w:sz="0" w:space="0" w:color="auto" w:frame="1"/>
        </w:rPr>
        <w:t>Gunther v. Alaska Airlines, Inc.</w:t>
      </w:r>
      <w:r w:rsidRPr="007C68F1">
        <w:t xml:space="preserve"> (2021) 72 Cal.App.5th 334, 350</w:t>
      </w:r>
      <w:r w:rsidR="00B0003A" w:rsidRPr="007C68F1">
        <w:t xml:space="preserve"> (</w:t>
      </w:r>
      <w:r w:rsidR="00B0003A" w:rsidRPr="007C68F1">
        <w:rPr>
          <w:i/>
          <w:iCs/>
        </w:rPr>
        <w:t>Gunther</w:t>
      </w:r>
      <w:r w:rsidR="00B0003A" w:rsidRPr="007C68F1">
        <w:t>)</w:t>
      </w:r>
      <w:bookmarkEnd w:id="714"/>
      <w:r w:rsidR="00493C1F" w:rsidRPr="007C68F1">
        <w:t xml:space="preserve">.) </w:t>
      </w:r>
    </w:p>
    <w:p w14:paraId="32165A14" w14:textId="77777777" w:rsidR="006D5D68" w:rsidRPr="007C68F1" w:rsidRDefault="00D16B2E" w:rsidP="007D1009">
      <w:pPr>
        <w:spacing w:line="480" w:lineRule="auto"/>
        <w:ind w:firstLine="720"/>
        <w:rPr>
          <w:shd w:val="clear" w:color="auto" w:fill="FFFFFF"/>
        </w:rPr>
      </w:pPr>
      <w:r w:rsidRPr="007C68F1">
        <w:t>Here, the t</w:t>
      </w:r>
      <w:r w:rsidR="00F26CC0" w:rsidRPr="007C68F1">
        <w:t xml:space="preserve">rial court erred </w:t>
      </w:r>
      <w:r w:rsidR="00AC0220" w:rsidRPr="007C68F1">
        <w:t>by concluding that the PAGA letter</w:t>
      </w:r>
      <w:r w:rsidR="00D40426" w:rsidRPr="007C68F1">
        <w:t xml:space="preserve"> and attached complaint</w:t>
      </w:r>
      <w:r w:rsidR="00AC0220" w:rsidRPr="007C68F1">
        <w:t xml:space="preserve"> </w:t>
      </w:r>
      <w:r w:rsidR="00F26CC0" w:rsidRPr="007C68F1">
        <w:t xml:space="preserve">did not give sufficient notice of </w:t>
      </w:r>
      <w:r w:rsidRPr="007C68F1">
        <w:t>Woodworth’s rest period claim.</w:t>
      </w:r>
      <w:r w:rsidR="003A4791" w:rsidRPr="007C68F1">
        <w:t xml:space="preserve">  The PAGA letter identified the specific Labor Code violation at issue—</w:t>
      </w:r>
      <w:r w:rsidR="00D645B0" w:rsidRPr="007C68F1">
        <w:t xml:space="preserve">a violation of </w:t>
      </w:r>
      <w:r w:rsidR="003A4791" w:rsidRPr="007C68F1">
        <w:t xml:space="preserve">section 226.7, </w:t>
      </w:r>
      <w:r w:rsidR="00D645B0" w:rsidRPr="007C68F1">
        <w:t>which prohibits</w:t>
      </w:r>
      <w:r w:rsidR="0089760F" w:rsidRPr="007C68F1">
        <w:t xml:space="preserve"> </w:t>
      </w:r>
      <w:r w:rsidR="00D645B0" w:rsidRPr="007C68F1">
        <w:t>requiring an employee to work through a mandated rest period</w:t>
      </w:r>
      <w:r w:rsidR="00C235B3" w:rsidRPr="007C68F1">
        <w:t xml:space="preserve"> and </w:t>
      </w:r>
      <w:r w:rsidR="0020430F" w:rsidRPr="007C68F1">
        <w:t>requires</w:t>
      </w:r>
      <w:r w:rsidR="0089760F" w:rsidRPr="007C68F1">
        <w:t xml:space="preserve"> </w:t>
      </w:r>
      <w:r w:rsidR="005E3410" w:rsidRPr="007C68F1">
        <w:t>the missed break premium</w:t>
      </w:r>
      <w:r w:rsidR="0089760F" w:rsidRPr="007C68F1">
        <w:t xml:space="preserve">.  (§ 226.7, subds. (b), (c).)  Moreover, the </w:t>
      </w:r>
      <w:r w:rsidR="0020430F" w:rsidRPr="007C68F1">
        <w:t>PAGA letter set forth some basic facts to support Woodworth’s no</w:t>
      </w:r>
      <w:r w:rsidR="00F2628F" w:rsidRPr="007C68F1">
        <w:t>-</w:t>
      </w:r>
      <w:r w:rsidR="0020430F" w:rsidRPr="007C68F1">
        <w:t xml:space="preserve">relief theory of liability.  It stated that the medical center provided only two rest periods during 12-hour shifts.  The attached complaint provided even more detail.  It stated </w:t>
      </w:r>
      <w:r w:rsidR="0020430F" w:rsidRPr="007C68F1">
        <w:rPr>
          <w:shd w:val="clear" w:color="auto" w:fill="FFFFFF"/>
        </w:rPr>
        <w:t xml:space="preserve">that the medical center failed to implement a relief system </w:t>
      </w:r>
      <w:r w:rsidR="00F2628F" w:rsidRPr="007C68F1">
        <w:rPr>
          <w:shd w:val="clear" w:color="auto" w:fill="FFFFFF"/>
        </w:rPr>
        <w:t xml:space="preserve">so that employees could take the rest periods to which they were entitled.  </w:t>
      </w:r>
      <w:r w:rsidR="00B0003A" w:rsidRPr="007C68F1">
        <w:rPr>
          <w:shd w:val="clear" w:color="auto" w:fill="FFFFFF"/>
        </w:rPr>
        <w:t>The allegations of the PAGA letter and complaint were not merely legal conclusions,</w:t>
      </w:r>
      <w:r w:rsidR="00B4191E" w:rsidRPr="007C68F1">
        <w:rPr>
          <w:shd w:val="clear" w:color="auto" w:fill="FFFFFF"/>
        </w:rPr>
        <w:t xml:space="preserve"> and they </w:t>
      </w:r>
      <w:r w:rsidR="00C108ED" w:rsidRPr="007C68F1">
        <w:rPr>
          <w:shd w:val="clear" w:color="auto" w:fill="FFFFFF"/>
        </w:rPr>
        <w:t>did more than</w:t>
      </w:r>
      <w:r w:rsidR="00B4191E" w:rsidRPr="007C68F1">
        <w:rPr>
          <w:shd w:val="clear" w:color="auto" w:fill="FFFFFF"/>
        </w:rPr>
        <w:t xml:space="preserve"> </w:t>
      </w:r>
      <w:bookmarkStart w:id="715" w:name="dabmq_326"/>
      <w:r w:rsidR="008A7FE3" w:rsidRPr="007C68F1">
        <w:rPr>
          <w:shd w:val="clear" w:color="auto" w:fill="FFFFFF"/>
        </w:rPr>
        <w:t xml:space="preserve">“parrot[] the allegedly violated Labor Code </w:t>
      </w:r>
      <w:r w:rsidR="008A7FE3" w:rsidRPr="007C68F1">
        <w:rPr>
          <w:shd w:val="clear" w:color="auto" w:fill="FFFFFF"/>
        </w:rPr>
        <w:lastRenderedPageBreak/>
        <w:t>provisions.”</w:t>
      </w:r>
      <w:bookmarkEnd w:id="715"/>
      <w:r w:rsidR="008A7FE3" w:rsidRPr="007C68F1">
        <w:rPr>
          <w:shd w:val="clear" w:color="auto" w:fill="FFFFFF"/>
        </w:rPr>
        <w:t xml:space="preserve">  (</w:t>
      </w:r>
      <w:bookmarkStart w:id="716" w:name="dabmci_e898575a4aeb4b0baae14d15887d77ea"/>
      <w:r w:rsidR="00B4191E" w:rsidRPr="007C68F1">
        <w:rPr>
          <w:i/>
          <w:iCs/>
          <w:bdr w:val="none" w:sz="0" w:space="0" w:color="auto" w:frame="1"/>
        </w:rPr>
        <w:t>Brown v. Ralphs Grocery Co.</w:t>
      </w:r>
      <w:r w:rsidR="00B4191E" w:rsidRPr="007C68F1">
        <w:t> (2018) 28 Cal.App.5th 824, 837</w:t>
      </w:r>
      <w:r w:rsidR="000B3666" w:rsidRPr="007C68F1">
        <w:t xml:space="preserve"> (</w:t>
      </w:r>
      <w:r w:rsidR="000B3666" w:rsidRPr="007C68F1">
        <w:rPr>
          <w:i/>
          <w:iCs/>
        </w:rPr>
        <w:t>Brown</w:t>
      </w:r>
      <w:r w:rsidR="000B3666" w:rsidRPr="007C68F1">
        <w:t>)</w:t>
      </w:r>
      <w:bookmarkEnd w:id="716"/>
      <w:r w:rsidR="008A7FE3" w:rsidRPr="007C68F1">
        <w:t xml:space="preserve">.)  </w:t>
      </w:r>
      <w:r w:rsidR="00B4191E" w:rsidRPr="007C68F1">
        <w:rPr>
          <w:shd w:val="clear" w:color="auto" w:fill="FFFFFF"/>
        </w:rPr>
        <w:t xml:space="preserve">Rather, </w:t>
      </w:r>
      <w:r w:rsidR="00B0003A" w:rsidRPr="007C68F1">
        <w:rPr>
          <w:shd w:val="clear" w:color="auto" w:fill="FFFFFF"/>
        </w:rPr>
        <w:t xml:space="preserve">the documents </w:t>
      </w:r>
      <w:r w:rsidR="008A7FE3" w:rsidRPr="007C68F1">
        <w:rPr>
          <w:shd w:val="clear" w:color="auto" w:fill="FFFFFF"/>
        </w:rPr>
        <w:t xml:space="preserve">alleged the factual basis for her </w:t>
      </w:r>
      <w:r w:rsidR="00033303" w:rsidRPr="007C68F1">
        <w:rPr>
          <w:shd w:val="clear" w:color="auto" w:fill="FFFFFF"/>
        </w:rPr>
        <w:t xml:space="preserve">no-relief </w:t>
      </w:r>
      <w:r w:rsidR="008A7FE3" w:rsidRPr="007C68F1">
        <w:rPr>
          <w:shd w:val="clear" w:color="auto" w:fill="FFFFFF"/>
        </w:rPr>
        <w:t xml:space="preserve">theory of liability, putting </w:t>
      </w:r>
      <w:r w:rsidR="00B0003A" w:rsidRPr="007C68F1">
        <w:rPr>
          <w:shd w:val="clear" w:color="auto" w:fill="FFFFFF"/>
        </w:rPr>
        <w:t xml:space="preserve">the LWDA and the medical center </w:t>
      </w:r>
      <w:bookmarkStart w:id="717" w:name="dabmq_327"/>
      <w:r w:rsidR="00B0003A" w:rsidRPr="007C68F1">
        <w:rPr>
          <w:shd w:val="clear" w:color="auto" w:fill="FFFFFF"/>
        </w:rPr>
        <w:t>“on notice for potential investigation.”</w:t>
      </w:r>
      <w:bookmarkEnd w:id="717"/>
      <w:r w:rsidR="00B0003A" w:rsidRPr="007C68F1">
        <w:rPr>
          <w:shd w:val="clear" w:color="auto" w:fill="FFFFFF"/>
        </w:rPr>
        <w:t xml:space="preserve">  (</w:t>
      </w:r>
      <w:bookmarkStart w:id="718" w:name="dabmci_9f96710f98224a3bb8ede1caf34010b7"/>
      <w:r w:rsidR="00B0003A" w:rsidRPr="007C68F1">
        <w:rPr>
          <w:i/>
          <w:iCs/>
          <w:bdr w:val="none" w:sz="0" w:space="0" w:color="auto" w:frame="1"/>
        </w:rPr>
        <w:t>Gunther</w:t>
      </w:r>
      <w:r w:rsidR="00B0003A" w:rsidRPr="007C68F1">
        <w:rPr>
          <w:bdr w:val="none" w:sz="0" w:space="0" w:color="auto" w:frame="1"/>
        </w:rPr>
        <w:t xml:space="preserve">, </w:t>
      </w:r>
      <w:r w:rsidR="00B0003A" w:rsidRPr="007C68F1">
        <w:rPr>
          <w:i/>
          <w:iCs/>
          <w:bdr w:val="none" w:sz="0" w:space="0" w:color="auto" w:frame="1"/>
        </w:rPr>
        <w:t>supra</w:t>
      </w:r>
      <w:r w:rsidR="00B0003A" w:rsidRPr="007C68F1">
        <w:rPr>
          <w:bdr w:val="none" w:sz="0" w:space="0" w:color="auto" w:frame="1"/>
        </w:rPr>
        <w:t>,</w:t>
      </w:r>
      <w:r w:rsidR="00B0003A" w:rsidRPr="007C68F1">
        <w:t xml:space="preserve"> 72 Cal.App.5th at p. 35</w:t>
      </w:r>
      <w:r w:rsidR="00B4191E" w:rsidRPr="007C68F1">
        <w:t>1</w:t>
      </w:r>
      <w:bookmarkEnd w:id="718"/>
      <w:r w:rsidR="00B0003A" w:rsidRPr="007C68F1">
        <w:t>.)</w:t>
      </w:r>
      <w:r w:rsidR="00B0003A" w:rsidRPr="007C68F1">
        <w:rPr>
          <w:shd w:val="clear" w:color="auto" w:fill="FFFFFF"/>
        </w:rPr>
        <w:t xml:space="preserve">  </w:t>
      </w:r>
    </w:p>
    <w:p w14:paraId="1E8A8B1B" w14:textId="77777777" w:rsidR="003A4791" w:rsidRPr="007C68F1" w:rsidRDefault="00D16B2E" w:rsidP="007D1009">
      <w:pPr>
        <w:spacing w:line="480" w:lineRule="auto"/>
        <w:ind w:firstLine="720"/>
        <w:rPr>
          <w:shd w:val="clear" w:color="auto" w:fill="FFFFFF"/>
        </w:rPr>
      </w:pPr>
      <w:r w:rsidRPr="007C68F1">
        <w:rPr>
          <w:shd w:val="clear" w:color="auto" w:fill="FFFFFF"/>
        </w:rPr>
        <w:t>At the same time, n</w:t>
      </w:r>
      <w:r w:rsidR="00F2628F" w:rsidRPr="007C68F1">
        <w:rPr>
          <w:shd w:val="clear" w:color="auto" w:fill="FFFFFF"/>
        </w:rPr>
        <w:t xml:space="preserve">o facts </w:t>
      </w:r>
      <w:r w:rsidR="00E352A4" w:rsidRPr="007C68F1">
        <w:rPr>
          <w:shd w:val="clear" w:color="auto" w:fill="FFFFFF"/>
        </w:rPr>
        <w:t xml:space="preserve">alleged </w:t>
      </w:r>
      <w:r w:rsidR="00F2628F" w:rsidRPr="007C68F1">
        <w:rPr>
          <w:shd w:val="clear" w:color="auto" w:fill="FFFFFF"/>
        </w:rPr>
        <w:t>in the PAGA letter or complaint addressed Woodworth’s alternative theory that the on-premises rest period policy was unlawful on its face.</w:t>
      </w:r>
      <w:r w:rsidR="00E352A4" w:rsidRPr="007C68F1">
        <w:rPr>
          <w:shd w:val="clear" w:color="auto" w:fill="FFFFFF"/>
        </w:rPr>
        <w:t xml:space="preserve">  </w:t>
      </w:r>
      <w:r w:rsidR="00F2628F" w:rsidRPr="007C68F1">
        <w:rPr>
          <w:shd w:val="clear" w:color="auto" w:fill="FFFFFF"/>
        </w:rPr>
        <w:t>To that extent, the court properly conclude</w:t>
      </w:r>
      <w:r w:rsidR="00301817" w:rsidRPr="007C68F1">
        <w:rPr>
          <w:shd w:val="clear" w:color="auto" w:fill="FFFFFF"/>
        </w:rPr>
        <w:t>d</w:t>
      </w:r>
      <w:r w:rsidR="00F2628F" w:rsidRPr="007C68F1">
        <w:rPr>
          <w:shd w:val="clear" w:color="auto" w:fill="FFFFFF"/>
        </w:rPr>
        <w:t xml:space="preserve"> that the PAGA letter did not </w:t>
      </w:r>
      <w:r w:rsidR="00301817" w:rsidRPr="007C68F1">
        <w:rPr>
          <w:shd w:val="clear" w:color="auto" w:fill="FFFFFF"/>
        </w:rPr>
        <w:t>comply with the notice requirement.</w:t>
      </w:r>
      <w:r w:rsidR="00E352A4" w:rsidRPr="007C68F1">
        <w:rPr>
          <w:shd w:val="clear" w:color="auto" w:fill="FFFFFF"/>
        </w:rPr>
        <w:t xml:space="preserve">  </w:t>
      </w:r>
      <w:r w:rsidR="009A6F8C" w:rsidRPr="007C68F1">
        <w:rPr>
          <w:shd w:val="clear" w:color="auto" w:fill="FFFFFF"/>
        </w:rPr>
        <w:t>Still, the medical center was not entitled to summary adjudication on the</w:t>
      </w:r>
      <w:r w:rsidR="004D2311" w:rsidRPr="007C68F1">
        <w:rPr>
          <w:shd w:val="clear" w:color="auto" w:fill="FFFFFF"/>
        </w:rPr>
        <w:t xml:space="preserve"> PAGA</w:t>
      </w:r>
      <w:r w:rsidR="009A6F8C" w:rsidRPr="007C68F1">
        <w:rPr>
          <w:shd w:val="clear" w:color="auto" w:fill="FFFFFF"/>
        </w:rPr>
        <w:t xml:space="preserve"> rest period claim, given that the motion did not completely dispose of the claim.  (See </w:t>
      </w:r>
      <w:bookmarkStart w:id="719" w:name="dabmci_6e352ff1070949c78a0a606fe4e5da6b"/>
      <w:r w:rsidR="009A6F8C" w:rsidRPr="007C68F1">
        <w:rPr>
          <w:i/>
          <w:iCs/>
          <w:bdr w:val="none" w:sz="0" w:space="0" w:color="auto" w:frame="1"/>
        </w:rPr>
        <w:t>Rojas-Cifuentes v. Superior Court</w:t>
      </w:r>
      <w:r w:rsidR="009A6F8C" w:rsidRPr="007C68F1">
        <w:t xml:space="preserve"> (2020) 58 Cal.App.5th 1051, 1058</w:t>
      </w:r>
      <w:r w:rsidR="00362A71" w:rsidRPr="007C68F1">
        <w:t xml:space="preserve"> (</w:t>
      </w:r>
      <w:r w:rsidR="00362A71" w:rsidRPr="007C68F1">
        <w:rPr>
          <w:i/>
          <w:iCs/>
          <w:bdr w:val="none" w:sz="0" w:space="0" w:color="auto" w:frame="1"/>
        </w:rPr>
        <w:t>Rojas-Cifuentes</w:t>
      </w:r>
      <w:r w:rsidR="00346B81" w:rsidRPr="007C68F1">
        <w:rPr>
          <w:bdr w:val="none" w:sz="0" w:space="0" w:color="auto" w:frame="1"/>
        </w:rPr>
        <w:t>)</w:t>
      </w:r>
      <w:bookmarkEnd w:id="719"/>
      <w:r w:rsidR="009A6F8C" w:rsidRPr="007C68F1">
        <w:t xml:space="preserve"> [</w:t>
      </w:r>
      <w:bookmarkStart w:id="720" w:name="dabmq_328"/>
      <w:r w:rsidR="009A6F8C" w:rsidRPr="007C68F1">
        <w:rPr>
          <w:shd w:val="clear" w:color="auto" w:fill="FFFFFF"/>
        </w:rPr>
        <w:t>“PAGA notice supplied sufficient ‘facts and theories’ to support at least some of the violations”</w:t>
      </w:r>
      <w:bookmarkEnd w:id="720"/>
      <w:r w:rsidR="009A6F8C" w:rsidRPr="007C68F1">
        <w:rPr>
          <w:shd w:val="clear" w:color="auto" w:fill="FFFFFF"/>
        </w:rPr>
        <w:t xml:space="preserve"> alleged, so court should have denied motion seeking summary adjudication of entire cause of action].)</w:t>
      </w:r>
    </w:p>
    <w:p w14:paraId="44075C7B" w14:textId="77777777" w:rsidR="00F77630" w:rsidRPr="007C68F1" w:rsidRDefault="00D16B2E" w:rsidP="007D1009">
      <w:pPr>
        <w:spacing w:line="480" w:lineRule="auto"/>
        <w:ind w:firstLine="720"/>
        <w:rPr>
          <w:shd w:val="clear" w:color="auto" w:fill="FFFFFF"/>
        </w:rPr>
      </w:pPr>
      <w:r w:rsidRPr="007C68F1">
        <w:rPr>
          <w:shd w:val="clear" w:color="auto" w:fill="FFFFFF"/>
        </w:rPr>
        <w:t>Because we conclude that the court improperly granted summary adjudication on the PAGA</w:t>
      </w:r>
      <w:r w:rsidRPr="007C68F1">
        <w:rPr>
          <w:shd w:val="clear" w:color="auto" w:fill="FFFFFF"/>
        </w:rPr>
        <w:t xml:space="preserve"> regular rate</w:t>
      </w:r>
      <w:r w:rsidR="004D2311" w:rsidRPr="007C68F1">
        <w:rPr>
          <w:shd w:val="clear" w:color="auto" w:fill="FFFFFF"/>
        </w:rPr>
        <w:t xml:space="preserve">, wage statement, </w:t>
      </w:r>
      <w:r w:rsidR="00315206">
        <w:rPr>
          <w:shd w:val="clear" w:color="auto" w:fill="FFFFFF"/>
        </w:rPr>
        <w:t>w</w:t>
      </w:r>
      <w:r w:rsidRPr="007C68F1">
        <w:rPr>
          <w:shd w:val="clear" w:color="auto" w:fill="FFFFFF"/>
        </w:rPr>
        <w:t>aiting time</w:t>
      </w:r>
      <w:r w:rsidR="00315206">
        <w:rPr>
          <w:shd w:val="clear" w:color="auto" w:fill="FFFFFF"/>
        </w:rPr>
        <w:t xml:space="preserve">, </w:t>
      </w:r>
      <w:r w:rsidR="00315206" w:rsidRPr="00DC4978">
        <w:rPr>
          <w:shd w:val="clear" w:color="auto" w:fill="FFFFFF"/>
        </w:rPr>
        <w:t>and rounding</w:t>
      </w:r>
      <w:r w:rsidRPr="007C68F1">
        <w:rPr>
          <w:shd w:val="clear" w:color="auto" w:fill="FFFFFF"/>
        </w:rPr>
        <w:t xml:space="preserve"> claims, we also examine whether the PAGA letter </w:t>
      </w:r>
      <w:r w:rsidR="00D40426" w:rsidRPr="007C68F1">
        <w:rPr>
          <w:shd w:val="clear" w:color="auto" w:fill="FFFFFF"/>
        </w:rPr>
        <w:t xml:space="preserve">and attached complaint </w:t>
      </w:r>
      <w:r w:rsidRPr="007C68F1">
        <w:rPr>
          <w:shd w:val="clear" w:color="auto" w:fill="FFFFFF"/>
        </w:rPr>
        <w:t xml:space="preserve">gave sufficient notice of those claims.  We conclude that </w:t>
      </w:r>
      <w:r w:rsidR="00D40426" w:rsidRPr="007C68F1">
        <w:rPr>
          <w:shd w:val="clear" w:color="auto" w:fill="FFFFFF"/>
        </w:rPr>
        <w:t>they</w:t>
      </w:r>
      <w:r w:rsidRPr="007C68F1">
        <w:rPr>
          <w:shd w:val="clear" w:color="auto" w:fill="FFFFFF"/>
        </w:rPr>
        <w:t xml:space="preserve"> did.  (We need not address whether </w:t>
      </w:r>
      <w:r w:rsidR="008B604C" w:rsidRPr="007C68F1">
        <w:rPr>
          <w:shd w:val="clear" w:color="auto" w:fill="FFFFFF"/>
        </w:rPr>
        <w:t>Woodworth</w:t>
      </w:r>
      <w:r w:rsidRPr="007C68F1">
        <w:rPr>
          <w:shd w:val="clear" w:color="auto" w:fill="FFFFFF"/>
        </w:rPr>
        <w:t xml:space="preserve"> gave sufficient notice of </w:t>
      </w:r>
      <w:r w:rsidR="004D2311" w:rsidRPr="007C68F1">
        <w:rPr>
          <w:shd w:val="clear" w:color="auto" w:fill="FFFFFF"/>
        </w:rPr>
        <w:t>the</w:t>
      </w:r>
      <w:r w:rsidRPr="007C68F1">
        <w:rPr>
          <w:shd w:val="clear" w:color="auto" w:fill="FFFFFF"/>
        </w:rPr>
        <w:t xml:space="preserve"> overtime </w:t>
      </w:r>
      <w:r w:rsidR="004D2311" w:rsidRPr="00DC4978">
        <w:rPr>
          <w:shd w:val="clear" w:color="auto" w:fill="FFFFFF"/>
        </w:rPr>
        <w:t>claim</w:t>
      </w:r>
      <w:r w:rsidR="004D2311" w:rsidRPr="007C68F1">
        <w:rPr>
          <w:shd w:val="clear" w:color="auto" w:fill="FFFFFF"/>
        </w:rPr>
        <w:t xml:space="preserve"> </w:t>
      </w:r>
      <w:r w:rsidRPr="007C68F1">
        <w:rPr>
          <w:shd w:val="clear" w:color="auto" w:fill="FFFFFF"/>
        </w:rPr>
        <w:t xml:space="preserve">because, as discussed in </w:t>
      </w:r>
      <w:r w:rsidR="00315206" w:rsidRPr="00DC4978">
        <w:rPr>
          <w:shd w:val="clear" w:color="auto" w:fill="FFFFFF"/>
        </w:rPr>
        <w:t xml:space="preserve">another </w:t>
      </w:r>
      <w:r w:rsidRPr="00DC4978">
        <w:rPr>
          <w:shd w:val="clear" w:color="auto" w:fill="FFFFFF"/>
        </w:rPr>
        <w:t>part</w:t>
      </w:r>
      <w:r w:rsidRPr="007C68F1">
        <w:rPr>
          <w:shd w:val="clear" w:color="auto" w:fill="FFFFFF"/>
        </w:rPr>
        <w:t xml:space="preserve"> of this opinion, </w:t>
      </w:r>
      <w:r w:rsidR="00315206" w:rsidRPr="00DC4978">
        <w:rPr>
          <w:shd w:val="clear" w:color="auto" w:fill="FFFFFF"/>
        </w:rPr>
        <w:t>that</w:t>
      </w:r>
      <w:r w:rsidRPr="007C68F1">
        <w:rPr>
          <w:shd w:val="clear" w:color="auto" w:fill="FFFFFF"/>
        </w:rPr>
        <w:t xml:space="preserve"> </w:t>
      </w:r>
      <w:r w:rsidR="00601649" w:rsidRPr="007C68F1">
        <w:rPr>
          <w:shd w:val="clear" w:color="auto" w:fill="FFFFFF"/>
        </w:rPr>
        <w:t xml:space="preserve">PAGA </w:t>
      </w:r>
      <w:r w:rsidRPr="00DC4978">
        <w:rPr>
          <w:shd w:val="clear" w:color="auto" w:fill="FFFFFF"/>
        </w:rPr>
        <w:t>claim fail</w:t>
      </w:r>
      <w:r w:rsidR="00315206" w:rsidRPr="00DC4978">
        <w:rPr>
          <w:shd w:val="clear" w:color="auto" w:fill="FFFFFF"/>
        </w:rPr>
        <w:t>s</w:t>
      </w:r>
      <w:r w:rsidRPr="007C68F1">
        <w:rPr>
          <w:shd w:val="clear" w:color="auto" w:fill="FFFFFF"/>
        </w:rPr>
        <w:t xml:space="preserve"> for </w:t>
      </w:r>
      <w:r w:rsidR="0033379F" w:rsidRPr="007C68F1">
        <w:rPr>
          <w:shd w:val="clear" w:color="auto" w:fill="FFFFFF"/>
        </w:rPr>
        <w:t>different</w:t>
      </w:r>
      <w:r w:rsidRPr="007C68F1">
        <w:rPr>
          <w:shd w:val="clear" w:color="auto" w:fill="FFFFFF"/>
        </w:rPr>
        <w:t xml:space="preserve"> reasons.)  </w:t>
      </w:r>
    </w:p>
    <w:p w14:paraId="6973B412" w14:textId="77777777" w:rsidR="00046319" w:rsidRPr="007C68F1" w:rsidRDefault="00D16B2E" w:rsidP="007D1009">
      <w:pPr>
        <w:spacing w:line="480" w:lineRule="auto"/>
        <w:ind w:firstLine="720"/>
        <w:rPr>
          <w:shd w:val="clear" w:color="auto" w:fill="FFFFFF"/>
        </w:rPr>
      </w:pPr>
      <w:r w:rsidRPr="007C68F1">
        <w:rPr>
          <w:shd w:val="clear" w:color="auto" w:fill="FFFFFF"/>
        </w:rPr>
        <w:t xml:space="preserve">The </w:t>
      </w:r>
      <w:r w:rsidR="00F77630" w:rsidRPr="007C68F1">
        <w:rPr>
          <w:shd w:val="clear" w:color="auto" w:fill="FFFFFF"/>
        </w:rPr>
        <w:t xml:space="preserve">PAGA </w:t>
      </w:r>
      <w:r w:rsidRPr="007C68F1">
        <w:rPr>
          <w:shd w:val="clear" w:color="auto" w:fill="FFFFFF"/>
        </w:rPr>
        <w:t xml:space="preserve">letter identified the </w:t>
      </w:r>
      <w:r w:rsidR="00553038" w:rsidRPr="007C68F1">
        <w:rPr>
          <w:shd w:val="clear" w:color="auto" w:fill="FFFFFF"/>
        </w:rPr>
        <w:t>sections of the Labor Code that the medical center had allegedly violated in connection with the regular rate claim</w:t>
      </w:r>
      <w:r w:rsidRPr="007C68F1">
        <w:rPr>
          <w:shd w:val="clear" w:color="auto" w:fill="FFFFFF"/>
        </w:rPr>
        <w:t>—</w:t>
      </w:r>
      <w:r w:rsidR="00553038" w:rsidRPr="007C68F1">
        <w:rPr>
          <w:shd w:val="clear" w:color="auto" w:fill="FFFFFF"/>
        </w:rPr>
        <w:t>sections 226.7 and 510.  (§</w:t>
      </w:r>
      <w:r w:rsidR="008356EF" w:rsidRPr="007C68F1">
        <w:rPr>
          <w:shd w:val="clear" w:color="auto" w:fill="FFFFFF"/>
        </w:rPr>
        <w:t>§</w:t>
      </w:r>
      <w:r w:rsidR="00553038" w:rsidRPr="007C68F1">
        <w:rPr>
          <w:shd w:val="clear" w:color="auto" w:fill="FFFFFF"/>
        </w:rPr>
        <w:t xml:space="preserve"> 226.7, subd. </w:t>
      </w:r>
      <w:r w:rsidR="008356EF" w:rsidRPr="007C68F1">
        <w:rPr>
          <w:shd w:val="clear" w:color="auto" w:fill="FFFFFF"/>
        </w:rPr>
        <w:t xml:space="preserve">(c) [requiring the employer to pay </w:t>
      </w:r>
      <w:bookmarkStart w:id="721" w:name="dabmq_329"/>
      <w:r w:rsidR="008356EF" w:rsidRPr="007C68F1">
        <w:rPr>
          <w:shd w:val="clear" w:color="auto" w:fill="FFFFFF"/>
        </w:rPr>
        <w:t xml:space="preserve">“one additional hour of pay at the </w:t>
      </w:r>
      <w:r w:rsidR="008356EF" w:rsidRPr="007C68F1">
        <w:rPr>
          <w:shd w:val="clear" w:color="auto" w:fill="FFFFFF"/>
        </w:rPr>
        <w:lastRenderedPageBreak/>
        <w:t>employee’s regular rate of compensation”</w:t>
      </w:r>
      <w:bookmarkEnd w:id="721"/>
      <w:r w:rsidR="008356EF" w:rsidRPr="007C68F1">
        <w:rPr>
          <w:shd w:val="clear" w:color="auto" w:fill="FFFFFF"/>
        </w:rPr>
        <w:t xml:space="preserve"> for missed rest periods], 510, subd. (a) [requiring the employer to compensate overtime hours at one and one-half or two times the employee’s </w:t>
      </w:r>
      <w:bookmarkStart w:id="722" w:name="dabmq_330"/>
      <w:r w:rsidR="008356EF" w:rsidRPr="007C68F1">
        <w:rPr>
          <w:shd w:val="clear" w:color="auto" w:fill="FFFFFF"/>
        </w:rPr>
        <w:t>“regular rate of pay”</w:t>
      </w:r>
      <w:bookmarkEnd w:id="722"/>
      <w:r w:rsidR="008356EF" w:rsidRPr="007C68F1">
        <w:rPr>
          <w:shd w:val="clear" w:color="auto" w:fill="FFFFFF"/>
        </w:rPr>
        <w:t>].)</w:t>
      </w:r>
      <w:r w:rsidRPr="007C68F1">
        <w:rPr>
          <w:shd w:val="clear" w:color="auto" w:fill="FFFFFF"/>
        </w:rPr>
        <w:t xml:space="preserve">  The letter also alleged that the medical center failed to compensate employees properly by excluding bonuses when calculating the regular rate.  The co</w:t>
      </w:r>
      <w:r w:rsidRPr="007C68F1">
        <w:rPr>
          <w:shd w:val="clear" w:color="auto" w:fill="FFFFFF"/>
        </w:rPr>
        <w:t xml:space="preserve">mplaint further </w:t>
      </w:r>
      <w:r w:rsidR="00CD74ED" w:rsidRPr="007C68F1">
        <w:rPr>
          <w:shd w:val="clear" w:color="auto" w:fill="FFFFFF"/>
        </w:rPr>
        <w:t>alleged</w:t>
      </w:r>
      <w:r w:rsidRPr="007C68F1">
        <w:rPr>
          <w:shd w:val="clear" w:color="auto" w:fill="FFFFFF"/>
        </w:rPr>
        <w:t xml:space="preserve"> that the medical center excluded </w:t>
      </w:r>
      <w:r w:rsidR="00CD74ED" w:rsidRPr="007C68F1">
        <w:rPr>
          <w:shd w:val="clear" w:color="auto" w:fill="FFFFFF"/>
        </w:rPr>
        <w:t xml:space="preserve">nondiscretionary bonuses when determining the regular rate.  Those basic facts and theories </w:t>
      </w:r>
      <w:bookmarkStart w:id="723" w:name="dabmq_331"/>
      <w:r w:rsidR="00CD74ED" w:rsidRPr="007C68F1">
        <w:rPr>
          <w:shd w:val="clear" w:color="auto" w:fill="FFFFFF"/>
        </w:rPr>
        <w:t>“satisfied PAGA’s minimal notice requirements”</w:t>
      </w:r>
      <w:bookmarkEnd w:id="723"/>
      <w:r w:rsidR="00F6706F" w:rsidRPr="007C68F1">
        <w:rPr>
          <w:shd w:val="clear" w:color="auto" w:fill="FFFFFF"/>
        </w:rPr>
        <w:t xml:space="preserve"> for the regular rate claim.</w:t>
      </w:r>
      <w:r w:rsidR="00CD74ED" w:rsidRPr="007C68F1">
        <w:rPr>
          <w:shd w:val="clear" w:color="auto" w:fill="FFFFFF"/>
        </w:rPr>
        <w:t xml:space="preserve">  (</w:t>
      </w:r>
      <w:bookmarkStart w:id="724" w:name="dabmci_6f30c6fefe4c404bab61ed7e37187fb8"/>
      <w:r w:rsidR="00CD74ED" w:rsidRPr="007C68F1">
        <w:rPr>
          <w:i/>
          <w:iCs/>
          <w:shd w:val="clear" w:color="auto" w:fill="FFFFFF"/>
        </w:rPr>
        <w:t>Gunther</w:t>
      </w:r>
      <w:r w:rsidR="00CD74ED" w:rsidRPr="007C68F1">
        <w:rPr>
          <w:shd w:val="clear" w:color="auto" w:fill="FFFFFF"/>
        </w:rPr>
        <w:t xml:space="preserve">, </w:t>
      </w:r>
      <w:r w:rsidR="00F6706F" w:rsidRPr="007C68F1">
        <w:rPr>
          <w:i/>
          <w:iCs/>
          <w:shd w:val="clear" w:color="auto" w:fill="FFFFFF"/>
        </w:rPr>
        <w:t>supra</w:t>
      </w:r>
      <w:r w:rsidR="00F6706F" w:rsidRPr="007C68F1">
        <w:rPr>
          <w:shd w:val="clear" w:color="auto" w:fill="FFFFFF"/>
        </w:rPr>
        <w:t xml:space="preserve">, </w:t>
      </w:r>
      <w:r w:rsidR="00F6706F" w:rsidRPr="007C68F1">
        <w:t>72 Cal.App.5th at p. 351</w:t>
      </w:r>
      <w:bookmarkEnd w:id="724"/>
      <w:r w:rsidR="00F6706F" w:rsidRPr="007C68F1">
        <w:t xml:space="preserve">.)  </w:t>
      </w:r>
    </w:p>
    <w:p w14:paraId="16D00B21" w14:textId="77777777" w:rsidR="006F5B89" w:rsidRPr="007C68F1" w:rsidRDefault="00D16B2E" w:rsidP="007D1009">
      <w:pPr>
        <w:spacing w:line="480" w:lineRule="auto"/>
        <w:ind w:firstLine="720"/>
        <w:rPr>
          <w:shd w:val="clear" w:color="auto" w:fill="FFFFFF"/>
        </w:rPr>
      </w:pPr>
      <w:r w:rsidRPr="007C68F1">
        <w:rPr>
          <w:shd w:val="clear" w:color="auto" w:fill="FFFFFF"/>
        </w:rPr>
        <w:t xml:space="preserve">We reach the same conclusion </w:t>
      </w:r>
      <w:r w:rsidR="00B32D50" w:rsidRPr="007C68F1">
        <w:rPr>
          <w:shd w:val="clear" w:color="auto" w:fill="FFFFFF"/>
        </w:rPr>
        <w:t xml:space="preserve">with respect </w:t>
      </w:r>
      <w:r w:rsidRPr="007C68F1">
        <w:rPr>
          <w:shd w:val="clear" w:color="auto" w:fill="FFFFFF"/>
        </w:rPr>
        <w:t xml:space="preserve">to the wage statement claim.  The PAGA letter </w:t>
      </w:r>
      <w:r w:rsidR="00D434FC" w:rsidRPr="007C68F1">
        <w:rPr>
          <w:shd w:val="clear" w:color="auto" w:fill="FFFFFF"/>
        </w:rPr>
        <w:t xml:space="preserve">identified the </w:t>
      </w:r>
      <w:r w:rsidR="00726609" w:rsidRPr="007C68F1">
        <w:rPr>
          <w:shd w:val="clear" w:color="auto" w:fill="FFFFFF"/>
        </w:rPr>
        <w:t>specific provision of the Labor Code allegedly violated</w:t>
      </w:r>
      <w:r w:rsidR="00D434FC" w:rsidRPr="007C68F1">
        <w:rPr>
          <w:shd w:val="clear" w:color="auto" w:fill="FFFFFF"/>
        </w:rPr>
        <w:t xml:space="preserve"> (§ 226)</w:t>
      </w:r>
      <w:r w:rsidR="00726609" w:rsidRPr="007C68F1">
        <w:rPr>
          <w:shd w:val="clear" w:color="auto" w:fill="FFFFFF"/>
        </w:rPr>
        <w:t>,</w:t>
      </w:r>
      <w:r w:rsidR="00D434FC" w:rsidRPr="007C68F1">
        <w:rPr>
          <w:shd w:val="clear" w:color="auto" w:fill="FFFFFF"/>
        </w:rPr>
        <w:t xml:space="preserve"> and </w:t>
      </w:r>
      <w:r w:rsidR="00726609" w:rsidRPr="007C68F1">
        <w:rPr>
          <w:shd w:val="clear" w:color="auto" w:fill="FFFFFF"/>
        </w:rPr>
        <w:t xml:space="preserve">it </w:t>
      </w:r>
      <w:r w:rsidRPr="007C68F1">
        <w:rPr>
          <w:shd w:val="clear" w:color="auto" w:fill="FFFFFF"/>
        </w:rPr>
        <w:t>identified the claim as a derivative one based on</w:t>
      </w:r>
      <w:r w:rsidR="00E45483" w:rsidRPr="007C68F1">
        <w:rPr>
          <w:shd w:val="clear" w:color="auto" w:fill="FFFFFF"/>
        </w:rPr>
        <w:t xml:space="preserve"> the</w:t>
      </w:r>
      <w:r w:rsidRPr="007C68F1">
        <w:rPr>
          <w:shd w:val="clear" w:color="auto" w:fill="FFFFFF"/>
        </w:rPr>
        <w:t xml:space="preserve"> u</w:t>
      </w:r>
      <w:r w:rsidRPr="007C68F1">
        <w:rPr>
          <w:shd w:val="clear" w:color="auto" w:fill="FFFFFF"/>
        </w:rPr>
        <w:t>nderlying wage and hour violations</w:t>
      </w:r>
      <w:r w:rsidR="00D434FC" w:rsidRPr="007C68F1">
        <w:rPr>
          <w:shd w:val="clear" w:color="auto" w:fill="FFFFFF"/>
        </w:rPr>
        <w:t>.</w:t>
      </w:r>
      <w:r w:rsidR="00A226C6" w:rsidRPr="007C68F1">
        <w:rPr>
          <w:shd w:val="clear" w:color="auto" w:fill="FFFFFF"/>
        </w:rPr>
        <w:t xml:space="preserve">  The letter elsewhere explained the underlying regular rate and </w:t>
      </w:r>
      <w:r w:rsidR="00A46C62" w:rsidRPr="007C68F1">
        <w:rPr>
          <w:shd w:val="clear" w:color="auto" w:fill="FFFFFF"/>
        </w:rPr>
        <w:t>rest period claims, as discussed.  Moreover, t</w:t>
      </w:r>
      <w:r w:rsidR="00D434FC" w:rsidRPr="007C68F1">
        <w:rPr>
          <w:shd w:val="clear" w:color="auto" w:fill="FFFFFF"/>
        </w:rPr>
        <w:t xml:space="preserve">he complaint alleged that </w:t>
      </w:r>
      <w:r w:rsidR="00726609" w:rsidRPr="007C68F1">
        <w:rPr>
          <w:shd w:val="clear" w:color="auto" w:fill="FFFFFF"/>
        </w:rPr>
        <w:t xml:space="preserve">the wage statements did not accurately report gross wages earned, net wages earned, and all applicable hourly rates in effect during the pay period.  </w:t>
      </w:r>
      <w:r w:rsidR="00A46C62" w:rsidRPr="007C68F1">
        <w:rPr>
          <w:shd w:val="clear" w:color="auto" w:fill="FFFFFF"/>
        </w:rPr>
        <w:t xml:space="preserve">Those were the portions of the wage statements affected by the underlying wage and hour violations alleged.  </w:t>
      </w:r>
      <w:r w:rsidR="000B3666" w:rsidRPr="007C68F1">
        <w:rPr>
          <w:shd w:val="clear" w:color="auto" w:fill="FFFFFF"/>
        </w:rPr>
        <w:t>The combined allegations were sufficient to give notice of the derivative wage statement claim.  (</w:t>
      </w:r>
      <w:bookmarkStart w:id="725" w:name="dabmci_6a91ca1b58b9400b8250af7c829aea96"/>
      <w:r w:rsidR="00880979" w:rsidRPr="007C68F1">
        <w:rPr>
          <w:i/>
          <w:iCs/>
          <w:bdr w:val="none" w:sz="0" w:space="0" w:color="auto" w:frame="1"/>
        </w:rPr>
        <w:t>Brown</w:t>
      </w:r>
      <w:r w:rsidR="00880979" w:rsidRPr="007C68F1">
        <w:rPr>
          <w:bdr w:val="none" w:sz="0" w:space="0" w:color="auto" w:frame="1"/>
        </w:rPr>
        <w:t xml:space="preserve">, </w:t>
      </w:r>
      <w:r w:rsidR="00880979" w:rsidRPr="007C68F1">
        <w:rPr>
          <w:i/>
          <w:iCs/>
          <w:bdr w:val="none" w:sz="0" w:space="0" w:color="auto" w:frame="1"/>
        </w:rPr>
        <w:t>supra</w:t>
      </w:r>
      <w:r w:rsidR="00880979" w:rsidRPr="007C68F1">
        <w:rPr>
          <w:bdr w:val="none" w:sz="0" w:space="0" w:color="auto" w:frame="1"/>
        </w:rPr>
        <w:t xml:space="preserve">, </w:t>
      </w:r>
      <w:r w:rsidR="00880979" w:rsidRPr="007C68F1">
        <w:t>28 Cal.App.5th at p</w:t>
      </w:r>
      <w:r w:rsidR="00E45483" w:rsidRPr="007C68F1">
        <w:t>p</w:t>
      </w:r>
      <w:r w:rsidR="00880979" w:rsidRPr="007C68F1">
        <w:t xml:space="preserve">. </w:t>
      </w:r>
      <w:r w:rsidR="00E45483" w:rsidRPr="007C68F1">
        <w:t>837-838</w:t>
      </w:r>
      <w:bookmarkEnd w:id="725"/>
      <w:r w:rsidR="00E45483" w:rsidRPr="007C68F1">
        <w:t xml:space="preserve"> [employee </w:t>
      </w:r>
      <w:r w:rsidR="00A226C6" w:rsidRPr="007C68F1">
        <w:t xml:space="preserve">gave sufficient notice of alleged wage statement violation by identifying the category of information missing from wage statements].)   </w:t>
      </w:r>
    </w:p>
    <w:p w14:paraId="4647BCBE" w14:textId="77777777" w:rsidR="00933B93" w:rsidRPr="007C68F1" w:rsidRDefault="00D16B2E" w:rsidP="007D1009">
      <w:pPr>
        <w:spacing w:line="480" w:lineRule="auto"/>
        <w:ind w:firstLine="720"/>
        <w:rPr>
          <w:shd w:val="clear" w:color="auto" w:fill="FFFFFF"/>
        </w:rPr>
      </w:pPr>
      <w:r w:rsidRPr="00DC4978">
        <w:rPr>
          <w:shd w:val="clear" w:color="auto" w:fill="FFFFFF"/>
        </w:rPr>
        <w:t>T</w:t>
      </w:r>
      <w:r w:rsidR="00393F0D" w:rsidRPr="00DC4978">
        <w:rPr>
          <w:shd w:val="clear" w:color="auto" w:fill="FFFFFF"/>
        </w:rPr>
        <w:t>he</w:t>
      </w:r>
      <w:r w:rsidR="00393F0D" w:rsidRPr="007C68F1">
        <w:rPr>
          <w:shd w:val="clear" w:color="auto" w:fill="FFFFFF"/>
        </w:rPr>
        <w:t xml:space="preserve"> PAGA letter </w:t>
      </w:r>
      <w:r w:rsidRPr="00DC4978">
        <w:rPr>
          <w:shd w:val="clear" w:color="auto" w:fill="FFFFFF"/>
        </w:rPr>
        <w:t>also</w:t>
      </w:r>
      <w:r>
        <w:rPr>
          <w:shd w:val="clear" w:color="auto" w:fill="FFFFFF"/>
        </w:rPr>
        <w:t xml:space="preserve"> </w:t>
      </w:r>
      <w:r w:rsidR="00393F0D" w:rsidRPr="007C68F1">
        <w:rPr>
          <w:shd w:val="clear" w:color="auto" w:fill="FFFFFF"/>
        </w:rPr>
        <w:t xml:space="preserve">gave sufficient notice of the waiting time claim.  </w:t>
      </w:r>
      <w:r w:rsidR="00B32D50" w:rsidRPr="007C68F1">
        <w:rPr>
          <w:shd w:val="clear" w:color="auto" w:fill="FFFFFF"/>
        </w:rPr>
        <w:t>The letter a</w:t>
      </w:r>
      <w:r w:rsidR="00D40426" w:rsidRPr="007C68F1">
        <w:rPr>
          <w:shd w:val="clear" w:color="auto" w:fill="FFFFFF"/>
        </w:rPr>
        <w:t xml:space="preserve">lleged that the aggrieved employees were entitled to waiting time penalties under section 203, and the complaint alleged that </w:t>
      </w:r>
      <w:r w:rsidR="00D334F5" w:rsidRPr="007C68F1">
        <w:rPr>
          <w:shd w:val="clear" w:color="auto" w:fill="FFFFFF"/>
        </w:rPr>
        <w:t xml:space="preserve">the medical center had violated </w:t>
      </w:r>
      <w:r w:rsidR="00F271EC" w:rsidRPr="007C68F1">
        <w:rPr>
          <w:shd w:val="clear" w:color="auto" w:fill="FFFFFF"/>
        </w:rPr>
        <w:t>section</w:t>
      </w:r>
      <w:r w:rsidR="00D334F5" w:rsidRPr="007C68F1">
        <w:rPr>
          <w:shd w:val="clear" w:color="auto" w:fill="FFFFFF"/>
        </w:rPr>
        <w:t>s</w:t>
      </w:r>
      <w:r w:rsidR="00F271EC" w:rsidRPr="007C68F1">
        <w:rPr>
          <w:shd w:val="clear" w:color="auto" w:fill="FFFFFF"/>
        </w:rPr>
        <w:t xml:space="preserve"> </w:t>
      </w:r>
      <w:r w:rsidR="00D40426" w:rsidRPr="007C68F1">
        <w:rPr>
          <w:shd w:val="clear" w:color="auto" w:fill="FFFFFF"/>
        </w:rPr>
        <w:t>201</w:t>
      </w:r>
      <w:r w:rsidR="00D334F5" w:rsidRPr="007C68F1">
        <w:rPr>
          <w:shd w:val="clear" w:color="auto" w:fill="FFFFFF"/>
        </w:rPr>
        <w:t xml:space="preserve"> and 202 </w:t>
      </w:r>
      <w:r w:rsidR="00D334F5" w:rsidRPr="007C68F1">
        <w:rPr>
          <w:shd w:val="clear" w:color="auto" w:fill="FFFFFF"/>
        </w:rPr>
        <w:lastRenderedPageBreak/>
        <w:t>(</w:t>
      </w:r>
      <w:r w:rsidR="007D698D" w:rsidRPr="007C68F1">
        <w:rPr>
          <w:shd w:val="clear" w:color="auto" w:fill="FFFFFF"/>
        </w:rPr>
        <w:t>which set forth the time</w:t>
      </w:r>
      <w:r w:rsidR="00046319" w:rsidRPr="007C68F1">
        <w:rPr>
          <w:shd w:val="clear" w:color="auto" w:fill="FFFFFF"/>
        </w:rPr>
        <w:t>lines</w:t>
      </w:r>
      <w:r w:rsidR="007D698D" w:rsidRPr="007C68F1">
        <w:rPr>
          <w:shd w:val="clear" w:color="auto" w:fill="FFFFFF"/>
        </w:rPr>
        <w:t xml:space="preserve"> for paying wages </w:t>
      </w:r>
      <w:r w:rsidR="00046319" w:rsidRPr="007C68F1">
        <w:rPr>
          <w:shd w:val="clear" w:color="auto" w:fill="FFFFFF"/>
        </w:rPr>
        <w:t>owed</w:t>
      </w:r>
      <w:r w:rsidR="007D698D" w:rsidRPr="007C68F1">
        <w:rPr>
          <w:shd w:val="clear" w:color="auto" w:fill="FFFFFF"/>
        </w:rPr>
        <w:t xml:space="preserve"> when an employee </w:t>
      </w:r>
      <w:r w:rsidR="00B32D50" w:rsidRPr="007C68F1">
        <w:rPr>
          <w:shd w:val="clear" w:color="auto" w:fill="FFFFFF"/>
        </w:rPr>
        <w:t>quits</w:t>
      </w:r>
      <w:r w:rsidR="007D698D" w:rsidRPr="007C68F1">
        <w:rPr>
          <w:shd w:val="clear" w:color="auto" w:fill="FFFFFF"/>
        </w:rPr>
        <w:t xml:space="preserve"> or is discharged).</w:t>
      </w:r>
      <w:r w:rsidR="00046319" w:rsidRPr="007C68F1">
        <w:rPr>
          <w:shd w:val="clear" w:color="auto" w:fill="FFFFFF"/>
        </w:rPr>
        <w:t xml:space="preserve">  </w:t>
      </w:r>
      <w:r w:rsidR="00546A76" w:rsidRPr="007C68F1">
        <w:rPr>
          <w:shd w:val="clear" w:color="auto" w:fill="FFFFFF"/>
        </w:rPr>
        <w:t>The</w:t>
      </w:r>
      <w:r w:rsidR="00046319" w:rsidRPr="007C68F1">
        <w:rPr>
          <w:shd w:val="clear" w:color="auto" w:fill="FFFFFF"/>
        </w:rPr>
        <w:t xml:space="preserve"> PAGA letter </w:t>
      </w:r>
      <w:r w:rsidR="008356EF" w:rsidRPr="007C68F1">
        <w:rPr>
          <w:shd w:val="clear" w:color="auto" w:fill="FFFFFF"/>
        </w:rPr>
        <w:t xml:space="preserve">set forth </w:t>
      </w:r>
      <w:r w:rsidR="00F271EC" w:rsidRPr="007C68F1">
        <w:rPr>
          <w:shd w:val="clear" w:color="auto" w:fill="FFFFFF"/>
        </w:rPr>
        <w:t xml:space="preserve">some </w:t>
      </w:r>
      <w:r w:rsidR="006D69D1" w:rsidRPr="007C68F1">
        <w:rPr>
          <w:shd w:val="clear" w:color="auto" w:fill="FFFFFF"/>
        </w:rPr>
        <w:t xml:space="preserve">basic </w:t>
      </w:r>
      <w:r w:rsidR="00F271EC" w:rsidRPr="007C68F1">
        <w:rPr>
          <w:shd w:val="clear" w:color="auto" w:fill="FFFFFF"/>
        </w:rPr>
        <w:t>facts to support the alleged violations</w:t>
      </w:r>
      <w:r w:rsidR="00B32D50" w:rsidRPr="007C68F1">
        <w:rPr>
          <w:shd w:val="clear" w:color="auto" w:fill="FFFFFF"/>
        </w:rPr>
        <w:t>.</w:t>
      </w:r>
      <w:r w:rsidR="00F271EC" w:rsidRPr="007C68F1">
        <w:rPr>
          <w:shd w:val="clear" w:color="auto" w:fill="FFFFFF"/>
        </w:rPr>
        <w:t xml:space="preserve">  </w:t>
      </w:r>
      <w:r w:rsidR="00046319" w:rsidRPr="007C68F1">
        <w:rPr>
          <w:shd w:val="clear" w:color="auto" w:fill="FFFFFF"/>
        </w:rPr>
        <w:t xml:space="preserve">It alleged that </w:t>
      </w:r>
      <w:r w:rsidR="00546A76" w:rsidRPr="007C68F1">
        <w:rPr>
          <w:shd w:val="clear" w:color="auto" w:fill="FFFFFF"/>
        </w:rPr>
        <w:t>the employees</w:t>
      </w:r>
      <w:r w:rsidR="00B32D50" w:rsidRPr="007C68F1">
        <w:rPr>
          <w:shd w:val="clear" w:color="auto" w:fill="FFFFFF"/>
        </w:rPr>
        <w:t xml:space="preserve"> who </w:t>
      </w:r>
      <w:r w:rsidR="00546A76" w:rsidRPr="007C68F1">
        <w:rPr>
          <w:shd w:val="clear" w:color="auto" w:fill="FFFFFF"/>
        </w:rPr>
        <w:t>were</w:t>
      </w:r>
      <w:r w:rsidR="00B32D50" w:rsidRPr="007C68F1">
        <w:rPr>
          <w:shd w:val="clear" w:color="auto" w:fill="FFFFFF"/>
        </w:rPr>
        <w:t xml:space="preserve"> no longer employed </w:t>
      </w:r>
      <w:r w:rsidR="00546A76" w:rsidRPr="007C68F1">
        <w:rPr>
          <w:shd w:val="clear" w:color="auto" w:fill="FFFFFF"/>
        </w:rPr>
        <w:t>by</w:t>
      </w:r>
      <w:r w:rsidR="00B32D50" w:rsidRPr="007C68F1">
        <w:rPr>
          <w:shd w:val="clear" w:color="auto" w:fill="FFFFFF"/>
        </w:rPr>
        <w:t xml:space="preserve"> the medical center and who</w:t>
      </w:r>
      <w:r w:rsidR="00546A76" w:rsidRPr="007C68F1">
        <w:rPr>
          <w:shd w:val="clear" w:color="auto" w:fill="FFFFFF"/>
        </w:rPr>
        <w:t xml:space="preserve"> were</w:t>
      </w:r>
      <w:r w:rsidR="00B32D50" w:rsidRPr="007C68F1">
        <w:rPr>
          <w:shd w:val="clear" w:color="auto" w:fill="FFFFFF"/>
        </w:rPr>
        <w:t xml:space="preserve"> subjected to an improper regular rate calculation </w:t>
      </w:r>
      <w:r w:rsidR="00546A76" w:rsidRPr="007C68F1">
        <w:rPr>
          <w:shd w:val="clear" w:color="auto" w:fill="FFFFFF"/>
        </w:rPr>
        <w:t>were</w:t>
      </w:r>
      <w:r w:rsidR="00B32D50" w:rsidRPr="007C68F1">
        <w:rPr>
          <w:shd w:val="clear" w:color="auto" w:fill="FFFFFF"/>
        </w:rPr>
        <w:t xml:space="preserve"> not paid all wages earned, entitling them to recover waiting time penalties.</w:t>
      </w:r>
      <w:r w:rsidR="00A17E4A" w:rsidRPr="007C68F1">
        <w:rPr>
          <w:shd w:val="clear" w:color="auto" w:fill="FFFFFF"/>
        </w:rPr>
        <w:t xml:space="preserve">  </w:t>
      </w:r>
      <w:r w:rsidR="00DD1938" w:rsidRPr="007C68F1">
        <w:rPr>
          <w:shd w:val="clear" w:color="auto" w:fill="FFFFFF"/>
        </w:rPr>
        <w:t>The</w:t>
      </w:r>
      <w:r w:rsidR="00A17E4A" w:rsidRPr="007C68F1">
        <w:rPr>
          <w:shd w:val="clear" w:color="auto" w:fill="FFFFFF"/>
        </w:rPr>
        <w:t xml:space="preserve"> allegations </w:t>
      </w:r>
      <w:r w:rsidR="00DD1938" w:rsidRPr="007C68F1">
        <w:rPr>
          <w:shd w:val="clear" w:color="auto" w:fill="FFFFFF"/>
        </w:rPr>
        <w:t>provided</w:t>
      </w:r>
      <w:r w:rsidR="00A17E4A" w:rsidRPr="007C68F1">
        <w:rPr>
          <w:shd w:val="clear" w:color="auto" w:fill="FFFFFF"/>
        </w:rPr>
        <w:t xml:space="preserve"> sufficient notice of the facts and theories on which Woodworth based the waiting time claim.</w:t>
      </w:r>
      <w:r w:rsidR="002F0E15" w:rsidRPr="007C68F1">
        <w:rPr>
          <w:shd w:val="clear" w:color="auto" w:fill="FFFFFF"/>
        </w:rPr>
        <w:t xml:space="preserve">  (</w:t>
      </w:r>
      <w:r w:rsidR="00407EB6" w:rsidRPr="007C68F1">
        <w:rPr>
          <w:shd w:val="clear" w:color="auto" w:fill="FFFFFF"/>
        </w:rPr>
        <w:t xml:space="preserve">See </w:t>
      </w:r>
      <w:bookmarkStart w:id="726" w:name="dabmci_9b90bb62f1b74f31a6ee463a1e1a24bf"/>
      <w:r w:rsidR="004111FA" w:rsidRPr="007C68F1">
        <w:rPr>
          <w:i/>
          <w:iCs/>
          <w:bdr w:val="none" w:sz="0" w:space="0" w:color="auto" w:frame="1"/>
        </w:rPr>
        <w:t>Rojas-Cifuentes</w:t>
      </w:r>
      <w:r w:rsidR="00346B81" w:rsidRPr="007C68F1">
        <w:rPr>
          <w:bdr w:val="none" w:sz="0" w:space="0" w:color="auto" w:frame="1"/>
        </w:rPr>
        <w:t xml:space="preserve">, </w:t>
      </w:r>
      <w:r w:rsidR="00346B81" w:rsidRPr="007C68F1">
        <w:rPr>
          <w:i/>
          <w:iCs/>
          <w:bdr w:val="none" w:sz="0" w:space="0" w:color="auto" w:frame="1"/>
        </w:rPr>
        <w:t>supra</w:t>
      </w:r>
      <w:r w:rsidR="00346B81" w:rsidRPr="007C68F1">
        <w:rPr>
          <w:bdr w:val="none" w:sz="0" w:space="0" w:color="auto" w:frame="1"/>
        </w:rPr>
        <w:t xml:space="preserve">, </w:t>
      </w:r>
      <w:r w:rsidR="004111FA" w:rsidRPr="007C68F1">
        <w:t xml:space="preserve">58 Cal.App.5th </w:t>
      </w:r>
      <w:r w:rsidR="00346B81" w:rsidRPr="007C68F1">
        <w:t xml:space="preserve">at p. </w:t>
      </w:r>
      <w:r w:rsidR="004111FA" w:rsidRPr="007C68F1">
        <w:t>1059</w:t>
      </w:r>
      <w:bookmarkEnd w:id="726"/>
      <w:r w:rsidR="004111FA" w:rsidRPr="007C68F1">
        <w:t xml:space="preserve"> [PAGA notice that did not “</w:t>
      </w:r>
      <w:r w:rsidR="004111FA" w:rsidRPr="007C68F1">
        <w:rPr>
          <w:shd w:val="clear" w:color="auto" w:fill="FFFFFF"/>
        </w:rPr>
        <w:t xml:space="preserve">exhaustively explain” why wage statements were inadequate but gave “general basis” for the claim was sufficient].)  </w:t>
      </w:r>
    </w:p>
    <w:p w14:paraId="49209100" w14:textId="77777777" w:rsidR="00315206" w:rsidRDefault="00D16B2E" w:rsidP="007D1009">
      <w:pPr>
        <w:spacing w:line="480" w:lineRule="auto"/>
        <w:ind w:firstLine="720"/>
      </w:pPr>
      <w:r w:rsidRPr="00DC4978">
        <w:rPr>
          <w:shd w:val="clear" w:color="auto" w:fill="FFFFFF"/>
        </w:rPr>
        <w:t xml:space="preserve">Finally, the PAGA letter gave sufficient notice of the rounding claim.  The letter alleged that the medical center’s rounding policy systematically underpaid employees.  The attached complaint alleged that the medical center rounded </w:t>
      </w:r>
      <w:r w:rsidRPr="00DC4978">
        <w:rPr>
          <w:rFonts w:eastAsiaTheme="minorHAnsi"/>
        </w:rPr>
        <w:t>the employees’ actual t</w:t>
      </w:r>
      <w:r w:rsidRPr="00DC4978">
        <w:rPr>
          <w:rFonts w:eastAsiaTheme="minorHAnsi"/>
        </w:rPr>
        <w:t>ime worked and paid them less than they would have received if their worktime had not been rounded.  And the letter and complaint identified the wage order provision and statute that the rounding policy allegedly violated—subdivision 4(A) of Wage Order 5 (</w:t>
      </w:r>
      <w:r w:rsidRPr="00DC4978">
        <w:t>Cal. Code Regs., tit. 8, § 11050, subd. 4(A) [</w:t>
      </w:r>
      <w:r w:rsidRPr="00DC4978">
        <w:rPr>
          <w:rFonts w:eastAsiaTheme="minorHAnsi"/>
        </w:rPr>
        <w:t xml:space="preserve">requiring employers to pay at least the minimum wage “for all hours worked”]) and section 510 (requiring employers to pay a premium for “[a]ny work” that constitutes overtime).  Woodworth therefore gave notice </w:t>
      </w:r>
      <w:r w:rsidRPr="00DC4978">
        <w:t>of the specific provisions allegedly violated by the rounding policy and the facts and theories to support the alleged violation</w:t>
      </w:r>
      <w:r>
        <w:t>.</w:t>
      </w:r>
    </w:p>
    <w:p w14:paraId="01678DE3" w14:textId="77777777" w:rsidR="007C0CD1" w:rsidRPr="007C68F1" w:rsidRDefault="00D16B2E" w:rsidP="007D1009">
      <w:pPr>
        <w:spacing w:line="480" w:lineRule="auto"/>
        <w:ind w:firstLine="720"/>
        <w:rPr>
          <w:sz w:val="24"/>
          <w:szCs w:val="24"/>
        </w:rPr>
      </w:pPr>
      <w:r w:rsidRPr="007C68F1">
        <w:rPr>
          <w:shd w:val="clear" w:color="auto" w:fill="FFFFFF"/>
        </w:rPr>
        <w:t xml:space="preserve">The </w:t>
      </w:r>
      <w:r w:rsidR="00C108ED" w:rsidRPr="007C68F1">
        <w:rPr>
          <w:shd w:val="clear" w:color="auto" w:fill="FFFFFF"/>
        </w:rPr>
        <w:t>medical center argues that</w:t>
      </w:r>
      <w:r w:rsidR="00D8436D" w:rsidRPr="007C68F1">
        <w:rPr>
          <w:shd w:val="clear" w:color="auto" w:fill="FFFFFF"/>
        </w:rPr>
        <w:t xml:space="preserve"> </w:t>
      </w:r>
      <w:r w:rsidR="00C108ED" w:rsidRPr="007C68F1">
        <w:rPr>
          <w:shd w:val="clear" w:color="auto" w:fill="FFFFFF"/>
        </w:rPr>
        <w:t>Woodworth failed to submit admissible evidence that she attached a copy of her complaint to the PAGA letter.</w:t>
      </w:r>
      <w:r w:rsidR="00602A17" w:rsidRPr="007C68F1">
        <w:rPr>
          <w:shd w:val="clear" w:color="auto" w:fill="FFFFFF"/>
        </w:rPr>
        <w:t xml:space="preserve">  </w:t>
      </w:r>
      <w:r w:rsidR="001830DF" w:rsidRPr="007C68F1">
        <w:rPr>
          <w:shd w:val="clear" w:color="auto" w:fill="FFFFFF"/>
        </w:rPr>
        <w:t xml:space="preserve">The medical center </w:t>
      </w:r>
      <w:r w:rsidR="00602A17" w:rsidRPr="007C68F1">
        <w:rPr>
          <w:shd w:val="clear" w:color="auto" w:fill="FFFFFF"/>
        </w:rPr>
        <w:t xml:space="preserve">points </w:t>
      </w:r>
      <w:r w:rsidR="00602A17" w:rsidRPr="007C68F1">
        <w:rPr>
          <w:shd w:val="clear" w:color="auto" w:fill="FFFFFF"/>
        </w:rPr>
        <w:lastRenderedPageBreak/>
        <w:t>out that the copy of the PAGA letter submitted as</w:t>
      </w:r>
      <w:r w:rsidR="00456D73" w:rsidRPr="007C68F1">
        <w:rPr>
          <w:shd w:val="clear" w:color="auto" w:fill="FFFFFF"/>
        </w:rPr>
        <w:t xml:space="preserve"> an exhibit to the TAC does not include any attachments. </w:t>
      </w:r>
      <w:r w:rsidR="008D5A35" w:rsidRPr="007C68F1">
        <w:rPr>
          <w:shd w:val="clear" w:color="auto" w:fill="FFFFFF"/>
        </w:rPr>
        <w:t xml:space="preserve"> The argument</w:t>
      </w:r>
      <w:r w:rsidR="00602A17" w:rsidRPr="007C68F1">
        <w:rPr>
          <w:shd w:val="clear" w:color="auto" w:fill="FFFFFF"/>
        </w:rPr>
        <w:t xml:space="preserve"> does not persuade us to disregard the complaint</w:t>
      </w:r>
      <w:r w:rsidR="00793BD7" w:rsidRPr="007C68F1">
        <w:rPr>
          <w:shd w:val="clear" w:color="auto" w:fill="FFFFFF"/>
        </w:rPr>
        <w:t xml:space="preserve">.  </w:t>
      </w:r>
      <w:r w:rsidR="00456D73" w:rsidRPr="007C68F1">
        <w:rPr>
          <w:shd w:val="clear" w:color="auto" w:fill="FFFFFF"/>
        </w:rPr>
        <w:t>Woodworth’s counsel</w:t>
      </w:r>
      <w:r w:rsidR="00F85FAF" w:rsidRPr="007C68F1">
        <w:rPr>
          <w:shd w:val="clear" w:color="auto" w:fill="FFFFFF"/>
        </w:rPr>
        <w:t xml:space="preserve"> </w:t>
      </w:r>
      <w:r w:rsidR="00456D73" w:rsidRPr="007C68F1">
        <w:rPr>
          <w:shd w:val="clear" w:color="auto" w:fill="FFFFFF"/>
        </w:rPr>
        <w:t>filed a declaration in support of her opposition brief</w:t>
      </w:r>
      <w:r w:rsidR="00FE463B" w:rsidRPr="007C68F1">
        <w:rPr>
          <w:shd w:val="clear" w:color="auto" w:fill="FFFFFF"/>
        </w:rPr>
        <w:t>; he stated that his office had sent the PAGA letter to the LWDA and had attached the complaint.</w:t>
      </w:r>
      <w:r w:rsidR="00456D73" w:rsidRPr="007C68F1">
        <w:rPr>
          <w:shd w:val="clear" w:color="auto" w:fill="FFFFFF"/>
        </w:rPr>
        <w:t xml:space="preserve">  </w:t>
      </w:r>
      <w:r w:rsidR="00FE463B" w:rsidRPr="007C68F1">
        <w:rPr>
          <w:shd w:val="clear" w:color="auto" w:fill="FFFFFF"/>
        </w:rPr>
        <w:t xml:space="preserve">The medical center does not explain why counsel’s declaration </w:t>
      </w:r>
      <w:r w:rsidR="002F0E15" w:rsidRPr="007C68F1">
        <w:rPr>
          <w:shd w:val="clear" w:color="auto" w:fill="FFFFFF"/>
        </w:rPr>
        <w:t>was</w:t>
      </w:r>
      <w:r w:rsidRPr="007C68F1">
        <w:rPr>
          <w:shd w:val="clear" w:color="auto" w:fill="FFFFFF"/>
        </w:rPr>
        <w:t xml:space="preserve"> inadmissible to show what his office sent to t</w:t>
      </w:r>
      <w:r w:rsidRPr="007C68F1">
        <w:rPr>
          <w:shd w:val="clear" w:color="auto" w:fill="FFFFFF"/>
        </w:rPr>
        <w:t xml:space="preserve">he LWDA.  </w:t>
      </w:r>
    </w:p>
    <w:p w14:paraId="7CBAEB9E" w14:textId="77777777" w:rsidR="009C78A7" w:rsidRPr="007C68F1" w:rsidRDefault="00D16B2E" w:rsidP="007D1009">
      <w:pPr>
        <w:spacing w:line="480" w:lineRule="auto"/>
        <w:ind w:firstLine="720"/>
        <w:rPr>
          <w:shd w:val="clear" w:color="auto" w:fill="FFFFFF"/>
        </w:rPr>
      </w:pPr>
      <w:r w:rsidRPr="007C68F1">
        <w:rPr>
          <w:shd w:val="clear" w:color="auto" w:fill="FFFFFF"/>
        </w:rPr>
        <w:t>The</w:t>
      </w:r>
      <w:r w:rsidR="007C0CD1" w:rsidRPr="007C68F1">
        <w:rPr>
          <w:shd w:val="clear" w:color="auto" w:fill="FFFFFF"/>
        </w:rPr>
        <w:t xml:space="preserve"> medical center also argues that </w:t>
      </w:r>
      <w:r w:rsidRPr="007C68F1">
        <w:rPr>
          <w:shd w:val="clear" w:color="auto" w:fill="FFFFFF"/>
        </w:rPr>
        <w:t>the court properly granted its motion because Woodworth filed her PAGA cause of action prematurely.</w:t>
      </w:r>
      <w:r w:rsidR="000061CC" w:rsidRPr="007C68F1">
        <w:rPr>
          <w:shd w:val="clear" w:color="auto" w:fill="FFFFFF"/>
        </w:rPr>
        <w:t xml:space="preserve">  </w:t>
      </w:r>
      <w:r w:rsidR="002A624C" w:rsidRPr="007C68F1">
        <w:rPr>
          <w:shd w:val="clear" w:color="auto" w:fill="FFFFFF"/>
        </w:rPr>
        <w:t xml:space="preserve">We </w:t>
      </w:r>
      <w:r w:rsidR="00C00210" w:rsidRPr="007C68F1">
        <w:rPr>
          <w:shd w:val="clear" w:color="auto" w:fill="FFFFFF"/>
        </w:rPr>
        <w:t xml:space="preserve">also </w:t>
      </w:r>
      <w:r w:rsidR="002A624C" w:rsidRPr="007C68F1">
        <w:rPr>
          <w:shd w:val="clear" w:color="auto" w:fill="FFFFFF"/>
        </w:rPr>
        <w:t xml:space="preserve">reject </w:t>
      </w:r>
      <w:r w:rsidR="00D8436D" w:rsidRPr="007C68F1">
        <w:rPr>
          <w:shd w:val="clear" w:color="auto" w:fill="FFFFFF"/>
        </w:rPr>
        <w:t>that</w:t>
      </w:r>
      <w:r w:rsidR="002A624C" w:rsidRPr="007C68F1">
        <w:rPr>
          <w:shd w:val="clear" w:color="auto" w:fill="FFFFFF"/>
        </w:rPr>
        <w:t xml:space="preserve"> argument. </w:t>
      </w:r>
      <w:r w:rsidR="000061CC" w:rsidRPr="007C68F1">
        <w:rPr>
          <w:shd w:val="clear" w:color="auto" w:fill="FFFFFF"/>
        </w:rPr>
        <w:t xml:space="preserve"> </w:t>
      </w:r>
      <w:r w:rsidR="002D6499" w:rsidRPr="007C68F1">
        <w:rPr>
          <w:shd w:val="clear" w:color="auto" w:fill="FFFFFF"/>
        </w:rPr>
        <w:t>PAGA</w:t>
      </w:r>
      <w:r w:rsidR="002A624C" w:rsidRPr="007C68F1">
        <w:rPr>
          <w:shd w:val="clear" w:color="auto" w:fill="FFFFFF"/>
        </w:rPr>
        <w:t xml:space="preserve"> </w:t>
      </w:r>
      <w:r w:rsidR="00D8436D" w:rsidRPr="007C68F1">
        <w:rPr>
          <w:shd w:val="clear" w:color="auto" w:fill="FFFFFF"/>
        </w:rPr>
        <w:t>provide</w:t>
      </w:r>
      <w:r w:rsidR="00FE7998" w:rsidRPr="007C68F1">
        <w:rPr>
          <w:shd w:val="clear" w:color="auto" w:fill="FFFFFF"/>
        </w:rPr>
        <w:t>s</w:t>
      </w:r>
      <w:r w:rsidR="002A624C" w:rsidRPr="007C68F1">
        <w:rPr>
          <w:shd w:val="clear" w:color="auto" w:fill="FFFFFF"/>
        </w:rPr>
        <w:t xml:space="preserve"> that the aggrieved employee’s action </w:t>
      </w:r>
      <w:bookmarkStart w:id="727" w:name="dabmq_332"/>
      <w:r w:rsidR="002A624C" w:rsidRPr="007C68F1">
        <w:rPr>
          <w:shd w:val="clear" w:color="auto" w:fill="FFFFFF"/>
        </w:rPr>
        <w:t>“shall commence only after”</w:t>
      </w:r>
      <w:bookmarkEnd w:id="727"/>
      <w:r w:rsidR="002A624C" w:rsidRPr="007C68F1">
        <w:rPr>
          <w:shd w:val="clear" w:color="auto" w:fill="FFFFFF"/>
        </w:rPr>
        <w:t xml:space="preserve"> the prelawsuit requirements have been met, including the notice and waiting period requirements.  (</w:t>
      </w:r>
      <w:r w:rsidR="00D8436D" w:rsidRPr="007C68F1">
        <w:rPr>
          <w:shd w:val="clear" w:color="auto" w:fill="FFFFFF"/>
        </w:rPr>
        <w:t>§ 2699.3, subd. (a).)</w:t>
      </w:r>
      <w:r w:rsidR="002A624C" w:rsidRPr="007C68F1">
        <w:rPr>
          <w:shd w:val="clear" w:color="auto" w:fill="FFFFFF"/>
        </w:rPr>
        <w:t xml:space="preserve">  And it is true that </w:t>
      </w:r>
      <w:r w:rsidR="000061CC" w:rsidRPr="007C68F1">
        <w:rPr>
          <w:shd w:val="clear" w:color="auto" w:fill="FFFFFF"/>
        </w:rPr>
        <w:t xml:space="preserve">Woodworth added the PAGA cause of action </w:t>
      </w:r>
      <w:r w:rsidR="001243EA" w:rsidRPr="007C68F1">
        <w:rPr>
          <w:shd w:val="clear" w:color="auto" w:fill="FFFFFF"/>
        </w:rPr>
        <w:t>to</w:t>
      </w:r>
      <w:r w:rsidR="00DC1F46" w:rsidRPr="007C68F1">
        <w:rPr>
          <w:shd w:val="clear" w:color="auto" w:fill="FFFFFF"/>
        </w:rPr>
        <w:t xml:space="preserve"> the</w:t>
      </w:r>
      <w:r w:rsidR="000061CC" w:rsidRPr="007C68F1">
        <w:rPr>
          <w:shd w:val="clear" w:color="auto" w:fill="FFFFFF"/>
        </w:rPr>
        <w:t xml:space="preserve"> first amended complaint before </w:t>
      </w:r>
      <w:r w:rsidR="002F0E15" w:rsidRPr="007C68F1">
        <w:rPr>
          <w:shd w:val="clear" w:color="auto" w:fill="FFFFFF"/>
        </w:rPr>
        <w:t xml:space="preserve">the LWDA had responded and before </w:t>
      </w:r>
      <w:r w:rsidR="000061CC" w:rsidRPr="007C68F1">
        <w:rPr>
          <w:shd w:val="clear" w:color="auto" w:fill="FFFFFF"/>
        </w:rPr>
        <w:t xml:space="preserve">the 33-day waiting period had expired.  </w:t>
      </w:r>
      <w:r w:rsidR="001C5DED" w:rsidRPr="007C68F1">
        <w:rPr>
          <w:shd w:val="clear" w:color="auto" w:fill="FFFFFF"/>
        </w:rPr>
        <w:t>But we agree with her that the</w:t>
      </w:r>
      <w:r w:rsidR="00FF0546" w:rsidRPr="007C68F1">
        <w:rPr>
          <w:shd w:val="clear" w:color="auto" w:fill="FFFFFF"/>
        </w:rPr>
        <w:t xml:space="preserve"> subsequent response of the LWDA cured her violation</w:t>
      </w:r>
      <w:r w:rsidR="001C5DED" w:rsidRPr="007C68F1">
        <w:rPr>
          <w:shd w:val="clear" w:color="auto" w:fill="FFFFFF"/>
        </w:rPr>
        <w:t>.</w:t>
      </w:r>
      <w:r w:rsidR="002D6499" w:rsidRPr="007C68F1">
        <w:rPr>
          <w:shd w:val="clear" w:color="auto" w:fill="FFFFFF"/>
        </w:rPr>
        <w:t xml:space="preserve">  The medical center has not identified any case law—either in the trial court or on appeal—disposing of a PAGA action because the plaintiff filed it before the waiting period had expired</w:t>
      </w:r>
      <w:r w:rsidR="0074660B" w:rsidRPr="007C68F1">
        <w:rPr>
          <w:shd w:val="clear" w:color="auto" w:fill="FFFFFF"/>
        </w:rPr>
        <w:t xml:space="preserve"> or before the LWDA’s response</w:t>
      </w:r>
      <w:r w:rsidR="002D6499" w:rsidRPr="007C68F1">
        <w:rPr>
          <w:shd w:val="clear" w:color="auto" w:fill="FFFFFF"/>
        </w:rPr>
        <w:t>.  Nor are we aware of any</w:t>
      </w:r>
      <w:r w:rsidR="002A624C" w:rsidRPr="007C68F1">
        <w:rPr>
          <w:shd w:val="clear" w:color="auto" w:fill="FFFFFF"/>
        </w:rPr>
        <w:t xml:space="preserve"> such cases</w:t>
      </w:r>
      <w:r w:rsidR="002D6499" w:rsidRPr="007C68F1">
        <w:rPr>
          <w:shd w:val="clear" w:color="auto" w:fill="FFFFFF"/>
        </w:rPr>
        <w:t>.  On the other hand,</w:t>
      </w:r>
      <w:r w:rsidR="008D6EB9" w:rsidRPr="007C68F1">
        <w:rPr>
          <w:shd w:val="clear" w:color="auto" w:fill="FFFFFF"/>
        </w:rPr>
        <w:t xml:space="preserve"> a number of</w:t>
      </w:r>
      <w:r w:rsidR="002D6499" w:rsidRPr="007C68F1">
        <w:rPr>
          <w:shd w:val="clear" w:color="auto" w:fill="FFFFFF"/>
        </w:rPr>
        <w:t xml:space="preserve"> federal</w:t>
      </w:r>
      <w:r w:rsidR="008D6EB9" w:rsidRPr="007C68F1">
        <w:rPr>
          <w:shd w:val="clear" w:color="auto" w:fill="FFFFFF"/>
        </w:rPr>
        <w:t xml:space="preserve"> district</w:t>
      </w:r>
      <w:r w:rsidR="002D6499" w:rsidRPr="007C68F1">
        <w:rPr>
          <w:shd w:val="clear" w:color="auto" w:fill="FFFFFF"/>
        </w:rPr>
        <w:t xml:space="preserve"> courts in this state </w:t>
      </w:r>
      <w:r w:rsidR="0041530B" w:rsidRPr="007C68F1">
        <w:rPr>
          <w:shd w:val="clear" w:color="auto" w:fill="FFFFFF"/>
        </w:rPr>
        <w:t>have concluded that a violation of the waiting</w:t>
      </w:r>
      <w:r w:rsidR="00B0040D" w:rsidRPr="007C68F1">
        <w:rPr>
          <w:shd w:val="clear" w:color="auto" w:fill="FFFFFF"/>
        </w:rPr>
        <w:t xml:space="preserve"> </w:t>
      </w:r>
      <w:r w:rsidR="0041530B" w:rsidRPr="007C68F1">
        <w:rPr>
          <w:shd w:val="clear" w:color="auto" w:fill="FFFFFF"/>
        </w:rPr>
        <w:t>period requirement was cured by the LWDA’s subsequent response or the subsequent expiration of the waiting period.  (</w:t>
      </w:r>
      <w:bookmarkStart w:id="728" w:name="dabmci_bcf3845af23646378648ad66f1d5c9d7"/>
      <w:r w:rsidR="00311001" w:rsidRPr="007C68F1">
        <w:rPr>
          <w:i/>
          <w:iCs/>
          <w:bdr w:val="none" w:sz="0" w:space="0" w:color="auto" w:frame="1"/>
        </w:rPr>
        <w:t>Magadia v. Wal-Mart Associates, Inc.</w:t>
      </w:r>
      <w:r w:rsidR="008249BB" w:rsidRPr="007C68F1">
        <w:t xml:space="preserve"> </w:t>
      </w:r>
      <w:r w:rsidR="00311001" w:rsidRPr="007C68F1">
        <w:t xml:space="preserve">(N.D.Cal. 2018) 319 F.Supp.3d 1180, </w:t>
      </w:r>
      <w:r w:rsidR="004F1ED3" w:rsidRPr="007C68F1">
        <w:t>1188-</w:t>
      </w:r>
      <w:r w:rsidR="00311001" w:rsidRPr="007C68F1">
        <w:t>1189</w:t>
      </w:r>
      <w:r w:rsidR="008D6EB9" w:rsidRPr="007C68F1">
        <w:t xml:space="preserve"> (</w:t>
      </w:r>
      <w:r w:rsidR="008D6EB9" w:rsidRPr="007C68F1">
        <w:rPr>
          <w:i/>
          <w:iCs/>
        </w:rPr>
        <w:t>Magadia</w:t>
      </w:r>
      <w:r w:rsidR="008D6EB9" w:rsidRPr="007C68F1">
        <w:t>)</w:t>
      </w:r>
      <w:bookmarkEnd w:id="728"/>
      <w:r w:rsidR="005B2920" w:rsidRPr="007C68F1">
        <w:t xml:space="preserve">; </w:t>
      </w:r>
      <w:r w:rsidR="008249BB" w:rsidRPr="007C68F1">
        <w:rPr>
          <w:i/>
          <w:iCs/>
          <w:bdr w:val="none" w:sz="0" w:space="0" w:color="auto" w:frame="1"/>
        </w:rPr>
        <w:t>Bradescu v. Hillstone Rest. Group, Inc.</w:t>
      </w:r>
      <w:r w:rsidR="008249BB" w:rsidRPr="007C68F1">
        <w:t xml:space="preserve"> (C.D.Cal. Sep</w:t>
      </w:r>
      <w:r w:rsidR="00933B93" w:rsidRPr="007C68F1">
        <w:t>t</w:t>
      </w:r>
      <w:r w:rsidR="008249BB" w:rsidRPr="007C68F1">
        <w:t xml:space="preserve">. </w:t>
      </w:r>
      <w:bookmarkStart w:id="729" w:name="dabmci_8de5affd80174c309c15753e3c683421"/>
      <w:r w:rsidR="008249BB" w:rsidRPr="007C68F1">
        <w:t>18, 2014</w:t>
      </w:r>
      <w:r w:rsidR="00893125" w:rsidRPr="007C68F1">
        <w:t>, No. SACV 13-1289-GW(RZx)</w:t>
      </w:r>
      <w:r w:rsidR="008249BB" w:rsidRPr="007C68F1">
        <w:t>) 2014 U.S.Dist. L</w:t>
      </w:r>
      <w:r w:rsidR="00893125" w:rsidRPr="007C68F1">
        <w:t>exis</w:t>
      </w:r>
      <w:r w:rsidR="008249BB" w:rsidRPr="007C68F1">
        <w:t xml:space="preserve"> 150978, at </w:t>
      </w:r>
      <w:r w:rsidR="003E3F31" w:rsidRPr="007C68F1">
        <w:t>p</w:t>
      </w:r>
      <w:r w:rsidR="008249BB" w:rsidRPr="007C68F1">
        <w:t>p. *</w:t>
      </w:r>
      <w:r w:rsidR="003E3F31" w:rsidRPr="007C68F1">
        <w:t>30</w:t>
      </w:r>
      <w:r w:rsidR="002E1A3C" w:rsidRPr="007C68F1">
        <w:t>-</w:t>
      </w:r>
      <w:r w:rsidR="008249BB" w:rsidRPr="007C68F1">
        <w:t>3</w:t>
      </w:r>
      <w:r w:rsidR="003E3F31" w:rsidRPr="007C68F1">
        <w:t>1</w:t>
      </w:r>
      <w:bookmarkEnd w:id="729"/>
      <w:r w:rsidR="00AF3C59" w:rsidRPr="007C68F1">
        <w:t xml:space="preserve">; </w:t>
      </w:r>
      <w:bookmarkStart w:id="730" w:name="dabmci_a0851804e7414076b0d5343726775b2b"/>
      <w:r w:rsidR="009B5CFF" w:rsidRPr="007C68F1">
        <w:rPr>
          <w:i/>
          <w:iCs/>
          <w:bdr w:val="none" w:sz="0" w:space="0" w:color="auto" w:frame="1"/>
        </w:rPr>
        <w:t xml:space="preserve">Harris v. </w:t>
      </w:r>
      <w:r w:rsidR="009B5CFF" w:rsidRPr="007C68F1">
        <w:rPr>
          <w:i/>
          <w:iCs/>
          <w:bdr w:val="none" w:sz="0" w:space="0" w:color="auto" w:frame="1"/>
        </w:rPr>
        <w:lastRenderedPageBreak/>
        <w:t>Vector Mktg. Corp.</w:t>
      </w:r>
      <w:r w:rsidR="00AC4EDD" w:rsidRPr="007C68F1">
        <w:rPr>
          <w:bdr w:val="none" w:sz="0" w:space="0" w:color="auto" w:frame="1"/>
        </w:rPr>
        <w:t xml:space="preserve"> </w:t>
      </w:r>
      <w:r w:rsidR="009B5CFF" w:rsidRPr="007C68F1">
        <w:t>(N.D.Cal. Jan.</w:t>
      </w:r>
      <w:r w:rsidR="00E5232E" w:rsidRPr="007C68F1">
        <w:t> </w:t>
      </w:r>
      <w:r w:rsidR="009B5CFF" w:rsidRPr="007C68F1">
        <w:t>5, 2010</w:t>
      </w:r>
      <w:r w:rsidR="00893125" w:rsidRPr="007C68F1">
        <w:t>, No. C-08</w:t>
      </w:r>
      <w:r w:rsidR="0085229E" w:rsidRPr="007C68F1">
        <w:t>-</w:t>
      </w:r>
      <w:r w:rsidR="00893125" w:rsidRPr="007C68F1">
        <w:t>5198</w:t>
      </w:r>
      <w:r w:rsidR="0085229E" w:rsidRPr="007C68F1">
        <w:t xml:space="preserve"> </w:t>
      </w:r>
      <w:r w:rsidR="00893125" w:rsidRPr="007C68F1">
        <w:t>EMC</w:t>
      </w:r>
      <w:r w:rsidR="009B5CFF" w:rsidRPr="007C68F1">
        <w:t>) 2010 U.S.Dist. L</w:t>
      </w:r>
      <w:r w:rsidR="00893125" w:rsidRPr="007C68F1">
        <w:t>exis</w:t>
      </w:r>
      <w:r w:rsidR="009B5CFF" w:rsidRPr="007C68F1">
        <w:t xml:space="preserve"> 5659, at pp. *7-8</w:t>
      </w:r>
      <w:bookmarkEnd w:id="730"/>
      <w:r w:rsidR="0045470A" w:rsidRPr="007C68F1">
        <w:t xml:space="preserve">; </w:t>
      </w:r>
      <w:bookmarkStart w:id="731" w:name="dabmci_37ffcff3867547e98444077997028c32"/>
      <w:r w:rsidR="002A0898" w:rsidRPr="007C68F1">
        <w:rPr>
          <w:i/>
          <w:iCs/>
          <w:bdr w:val="none" w:sz="0" w:space="0" w:color="auto" w:frame="1"/>
        </w:rPr>
        <w:t>Hoang v. Vinh Phat Supermarket, Inc.</w:t>
      </w:r>
      <w:r w:rsidR="002A0898" w:rsidRPr="007C68F1">
        <w:t xml:space="preserve"> (E.D.Cal. Aug. 12, 2013</w:t>
      </w:r>
      <w:r w:rsidR="0085229E" w:rsidRPr="007C68F1">
        <w:t>, No. Civ. 2:13-00724 WBS GGH</w:t>
      </w:r>
      <w:r w:rsidR="002A0898" w:rsidRPr="007C68F1">
        <w:t>) 2013 U.S.Dist. L</w:t>
      </w:r>
      <w:r w:rsidR="0085229E" w:rsidRPr="007C68F1">
        <w:t>exis</w:t>
      </w:r>
      <w:r w:rsidR="002A0898" w:rsidRPr="007C68F1">
        <w:t xml:space="preserve"> 114475, at pp. *12, </w:t>
      </w:r>
      <w:r w:rsidR="003818E3" w:rsidRPr="007C68F1">
        <w:t>*</w:t>
      </w:r>
      <w:r w:rsidR="002A0898" w:rsidRPr="007C68F1">
        <w:t>20-21</w:t>
      </w:r>
      <w:bookmarkEnd w:id="731"/>
      <w:r w:rsidR="002A0898" w:rsidRPr="007C68F1">
        <w:t>.)</w:t>
      </w:r>
      <w:r w:rsidR="008D6EB9" w:rsidRPr="007C68F1">
        <w:t xml:space="preserve">  Like those courts, we see no reason to punish Woodworth for “‘acting to</w:t>
      </w:r>
      <w:r w:rsidR="00D355B4" w:rsidRPr="007C68F1">
        <w:t>o</w:t>
      </w:r>
      <w:r w:rsidR="008D6EB9" w:rsidRPr="007C68F1">
        <w:t xml:space="preserve"> quickly,’” given that exhaustion of her administrative remedy “subsequently occurred”</w:t>
      </w:r>
      <w:r w:rsidR="001243EA" w:rsidRPr="007C68F1">
        <w:t xml:space="preserve"> when the LWDA responded.</w:t>
      </w:r>
      <w:r w:rsidR="008D6EB9" w:rsidRPr="007C68F1">
        <w:t xml:space="preserve">  (</w:t>
      </w:r>
      <w:bookmarkStart w:id="732" w:name="dabmci_da3fd40cd3914d7088a9ac1403bfd605"/>
      <w:r w:rsidR="008D6EB9" w:rsidRPr="007C68F1">
        <w:rPr>
          <w:i/>
          <w:iCs/>
        </w:rPr>
        <w:t>Magadia</w:t>
      </w:r>
      <w:r w:rsidR="008D6EB9" w:rsidRPr="007C68F1">
        <w:t xml:space="preserve">, </w:t>
      </w:r>
      <w:r w:rsidR="0085229E" w:rsidRPr="007C68F1">
        <w:rPr>
          <w:i/>
          <w:iCs/>
        </w:rPr>
        <w:t>supra</w:t>
      </w:r>
      <w:r w:rsidR="0085229E" w:rsidRPr="007C68F1">
        <w:t xml:space="preserve">, 319 F.Supp.3d </w:t>
      </w:r>
      <w:r w:rsidR="008D6EB9" w:rsidRPr="007C68F1">
        <w:t>at p. 1189</w:t>
      </w:r>
      <w:bookmarkEnd w:id="732"/>
      <w:r w:rsidR="008D6EB9" w:rsidRPr="007C68F1">
        <w:t xml:space="preserve">.)  </w:t>
      </w:r>
    </w:p>
    <w:p w14:paraId="29EE0868" w14:textId="77777777" w:rsidR="00C108ED" w:rsidRPr="007C68F1" w:rsidRDefault="00D16B2E" w:rsidP="007D1009">
      <w:pPr>
        <w:spacing w:line="480" w:lineRule="auto"/>
        <w:ind w:firstLine="720"/>
      </w:pPr>
      <w:r w:rsidRPr="007C68F1">
        <w:rPr>
          <w:shd w:val="clear" w:color="auto" w:fill="FFFFFF"/>
        </w:rPr>
        <w:t>In sum, the court erred</w:t>
      </w:r>
      <w:r w:rsidRPr="007C68F1">
        <w:rPr>
          <w:shd w:val="clear" w:color="auto" w:fill="FFFFFF"/>
        </w:rPr>
        <w:t xml:space="preserve"> by granting the medical center’s motion for summary adjudication on the PAGA cause of action.</w:t>
      </w:r>
      <w:r w:rsidR="008F0AD4" w:rsidRPr="007C68F1">
        <w:rPr>
          <w:shd w:val="clear" w:color="auto" w:fill="FFFFFF"/>
        </w:rPr>
        <w:t xml:space="preserve">  </w:t>
      </w:r>
      <w:r w:rsidR="00E71AA6" w:rsidRPr="007C68F1">
        <w:rPr>
          <w:shd w:val="clear" w:color="auto" w:fill="FFFFFF"/>
        </w:rPr>
        <w:t xml:space="preserve">Woodworth gave sufficient notice of at least one theory of liability underlying </w:t>
      </w:r>
      <w:r w:rsidR="002E55ED" w:rsidRPr="007C68F1">
        <w:rPr>
          <w:shd w:val="clear" w:color="auto" w:fill="FFFFFF"/>
        </w:rPr>
        <w:t>the</w:t>
      </w:r>
      <w:r w:rsidR="00E71AA6" w:rsidRPr="007C68F1">
        <w:rPr>
          <w:shd w:val="clear" w:color="auto" w:fill="FFFFFF"/>
        </w:rPr>
        <w:t xml:space="preserve"> rest period claim.  </w:t>
      </w:r>
      <w:r w:rsidR="00F64C47" w:rsidRPr="007C68F1">
        <w:rPr>
          <w:shd w:val="clear" w:color="auto" w:fill="FFFFFF"/>
        </w:rPr>
        <w:t xml:space="preserve">Also, her PAGA </w:t>
      </w:r>
      <w:r w:rsidR="00F77630" w:rsidRPr="007C68F1">
        <w:rPr>
          <w:shd w:val="clear" w:color="auto" w:fill="FFFFFF"/>
        </w:rPr>
        <w:t>regular rate claim</w:t>
      </w:r>
      <w:r w:rsidR="001D7F9F" w:rsidRPr="007C68F1">
        <w:rPr>
          <w:shd w:val="clear" w:color="auto" w:fill="FFFFFF"/>
        </w:rPr>
        <w:t xml:space="preserve">, PAGA wage statement claim, </w:t>
      </w:r>
      <w:r w:rsidR="00F64C47" w:rsidRPr="007C68F1">
        <w:rPr>
          <w:shd w:val="clear" w:color="auto" w:fill="FFFFFF"/>
        </w:rPr>
        <w:t xml:space="preserve">PAGA </w:t>
      </w:r>
      <w:r w:rsidR="00F77630" w:rsidRPr="007C68F1">
        <w:rPr>
          <w:shd w:val="clear" w:color="auto" w:fill="FFFFFF"/>
        </w:rPr>
        <w:t>waiting time claim</w:t>
      </w:r>
      <w:r w:rsidR="00E62E56">
        <w:rPr>
          <w:shd w:val="clear" w:color="auto" w:fill="FFFFFF"/>
        </w:rPr>
        <w:t xml:space="preserve">, and </w:t>
      </w:r>
      <w:r w:rsidR="00E62E56" w:rsidRPr="00DC4978">
        <w:rPr>
          <w:shd w:val="clear" w:color="auto" w:fill="FFFFFF"/>
        </w:rPr>
        <w:t>PAGA rounding claim</w:t>
      </w:r>
      <w:r w:rsidR="00F64C47" w:rsidRPr="007C68F1">
        <w:rPr>
          <w:shd w:val="clear" w:color="auto" w:fill="FFFFFF"/>
        </w:rPr>
        <w:t xml:space="preserve"> remain viable,</w:t>
      </w:r>
      <w:r w:rsidR="00F77630" w:rsidRPr="007C68F1">
        <w:rPr>
          <w:shd w:val="clear" w:color="auto" w:fill="FFFFFF"/>
        </w:rPr>
        <w:t xml:space="preserve"> and </w:t>
      </w:r>
      <w:r w:rsidR="00F64C47" w:rsidRPr="007C68F1">
        <w:rPr>
          <w:shd w:val="clear" w:color="auto" w:fill="FFFFFF"/>
        </w:rPr>
        <w:t>she gave sufficient notice of those claims</w:t>
      </w:r>
      <w:r w:rsidR="00F77630" w:rsidRPr="007C68F1">
        <w:rPr>
          <w:shd w:val="clear" w:color="auto" w:fill="FFFFFF"/>
        </w:rPr>
        <w:t>.</w:t>
      </w:r>
      <w:r w:rsidR="00F64C47" w:rsidRPr="007C68F1">
        <w:rPr>
          <w:shd w:val="clear" w:color="auto" w:fill="FFFFFF"/>
        </w:rPr>
        <w:t xml:space="preserve">  Moreover, the premature filing of her first amended complaint did not defeat her PAGA cause of action.</w:t>
      </w:r>
      <w:r w:rsidR="004907A6" w:rsidRPr="007C68F1">
        <w:rPr>
          <w:shd w:val="clear" w:color="auto" w:fill="FFFFFF"/>
        </w:rPr>
        <w:t xml:space="preserve">  </w:t>
      </w:r>
      <w:r w:rsidR="00F64C47" w:rsidRPr="007C68F1">
        <w:rPr>
          <w:shd w:val="clear" w:color="auto" w:fill="FFFFFF"/>
        </w:rPr>
        <w:t xml:space="preserve">The medical center therefore was not entitled to summary adjudication on the </w:t>
      </w:r>
      <w:r w:rsidR="00581947" w:rsidRPr="007C68F1">
        <w:rPr>
          <w:shd w:val="clear" w:color="auto" w:fill="FFFFFF"/>
        </w:rPr>
        <w:t xml:space="preserve">PAGA </w:t>
      </w:r>
      <w:r w:rsidR="00F64C47" w:rsidRPr="007C68F1">
        <w:rPr>
          <w:shd w:val="clear" w:color="auto" w:fill="FFFFFF"/>
        </w:rPr>
        <w:t>cause of action</w:t>
      </w:r>
      <w:r w:rsidR="00081778" w:rsidRPr="007C68F1">
        <w:rPr>
          <w:shd w:val="clear" w:color="auto" w:fill="FFFFFF"/>
        </w:rPr>
        <w:t>.</w:t>
      </w:r>
      <w:r w:rsidR="00E71AA6" w:rsidRPr="007C68F1">
        <w:rPr>
          <w:shd w:val="clear" w:color="auto" w:fill="FFFFFF"/>
        </w:rPr>
        <w:t xml:space="preserve"> </w:t>
      </w:r>
    </w:p>
    <w:p w14:paraId="2BC5547A" w14:textId="77777777" w:rsidR="0083299E" w:rsidRPr="007C68F1" w:rsidRDefault="00D16B2E" w:rsidP="007D1009">
      <w:pPr>
        <w:keepNext/>
        <w:spacing w:line="480" w:lineRule="auto"/>
        <w:rPr>
          <w:i/>
          <w:iCs/>
          <w:shd w:val="clear" w:color="auto" w:fill="FFFFFF"/>
        </w:rPr>
      </w:pPr>
      <w:r w:rsidRPr="007C68F1">
        <w:rPr>
          <w:shd w:val="clear" w:color="auto" w:fill="FFFFFF"/>
        </w:rPr>
        <w:t xml:space="preserve">VIII.  </w:t>
      </w:r>
      <w:r w:rsidRPr="007C68F1">
        <w:rPr>
          <w:i/>
          <w:iCs/>
          <w:shd w:val="clear" w:color="auto" w:fill="FFFFFF"/>
        </w:rPr>
        <w:t xml:space="preserve">Motion to Strike the PAGA </w:t>
      </w:r>
      <w:r w:rsidR="00AC2362" w:rsidRPr="007C68F1">
        <w:rPr>
          <w:i/>
          <w:iCs/>
          <w:shd w:val="clear" w:color="auto" w:fill="FFFFFF"/>
        </w:rPr>
        <w:t>Allegations</w:t>
      </w:r>
    </w:p>
    <w:p w14:paraId="4C4685DD" w14:textId="77777777" w:rsidR="00EE3C7A" w:rsidRPr="007C68F1" w:rsidRDefault="00D16B2E" w:rsidP="007D1009">
      <w:pPr>
        <w:spacing w:line="480" w:lineRule="auto"/>
        <w:rPr>
          <w:shd w:val="clear" w:color="auto" w:fill="FFFFFF"/>
        </w:rPr>
      </w:pPr>
      <w:r w:rsidRPr="007C68F1">
        <w:rPr>
          <w:shd w:val="clear" w:color="auto" w:fill="FFFFFF"/>
        </w:rPr>
        <w:tab/>
        <w:t xml:space="preserve">The </w:t>
      </w:r>
      <w:r w:rsidR="00981058" w:rsidRPr="007C68F1">
        <w:rPr>
          <w:shd w:val="clear" w:color="auto" w:fill="FFFFFF"/>
        </w:rPr>
        <w:t xml:space="preserve">medical center moved to </w:t>
      </w:r>
      <w:r w:rsidR="00AC2362" w:rsidRPr="007C68F1">
        <w:rPr>
          <w:shd w:val="clear" w:color="auto" w:fill="FFFFFF"/>
        </w:rPr>
        <w:t>strike all of the PAGA allegations from the TAC</w:t>
      </w:r>
      <w:r w:rsidR="00FD4D35" w:rsidRPr="007C68F1">
        <w:rPr>
          <w:shd w:val="clear" w:color="auto" w:fill="FFFFFF"/>
        </w:rPr>
        <w:t xml:space="preserve">, arguing </w:t>
      </w:r>
      <w:r w:rsidR="00ED5E1B" w:rsidRPr="007C68F1">
        <w:rPr>
          <w:shd w:val="clear" w:color="auto" w:fill="FFFFFF"/>
        </w:rPr>
        <w:t>that the PAGA cause of action was unmanageable</w:t>
      </w:r>
      <w:r w:rsidR="000833AD" w:rsidRPr="007C68F1">
        <w:rPr>
          <w:shd w:val="clear" w:color="auto" w:fill="FFFFFF"/>
        </w:rPr>
        <w:t xml:space="preserve"> and could not be tried without violating </w:t>
      </w:r>
      <w:r w:rsidR="00FD4D35" w:rsidRPr="007C68F1">
        <w:rPr>
          <w:shd w:val="clear" w:color="auto" w:fill="FFFFFF"/>
        </w:rPr>
        <w:t>the medical center’s</w:t>
      </w:r>
      <w:r w:rsidR="000833AD" w:rsidRPr="007C68F1">
        <w:rPr>
          <w:shd w:val="clear" w:color="auto" w:fill="FFFFFF"/>
        </w:rPr>
        <w:t xml:space="preserve"> due process rights</w:t>
      </w:r>
      <w:r w:rsidR="00ED5E1B" w:rsidRPr="007C68F1">
        <w:rPr>
          <w:shd w:val="clear" w:color="auto" w:fill="FFFFFF"/>
        </w:rPr>
        <w:t>.</w:t>
      </w:r>
      <w:r w:rsidR="002A5AC0" w:rsidRPr="007C68F1">
        <w:rPr>
          <w:shd w:val="clear" w:color="auto" w:fill="FFFFFF"/>
        </w:rPr>
        <w:t xml:space="preserve">  </w:t>
      </w:r>
      <w:r w:rsidR="00EB0A3A" w:rsidRPr="007C68F1">
        <w:rPr>
          <w:shd w:val="clear" w:color="auto" w:fill="FFFFFF"/>
        </w:rPr>
        <w:t>At the time, there was no published California decision</w:t>
      </w:r>
      <w:r w:rsidR="008953FA" w:rsidRPr="007C68F1">
        <w:rPr>
          <w:shd w:val="clear" w:color="auto" w:fill="FFFFFF"/>
        </w:rPr>
        <w:t xml:space="preserve"> </w:t>
      </w:r>
      <w:r w:rsidR="001A1209" w:rsidRPr="007C68F1">
        <w:rPr>
          <w:shd w:val="clear" w:color="auto" w:fill="FFFFFF"/>
        </w:rPr>
        <w:t xml:space="preserve">addressing </w:t>
      </w:r>
      <w:r w:rsidR="008953FA" w:rsidRPr="007C68F1">
        <w:rPr>
          <w:shd w:val="clear" w:color="auto" w:fill="FFFFFF"/>
        </w:rPr>
        <w:t xml:space="preserve">whether PAGA actions </w:t>
      </w:r>
      <w:r w:rsidR="001A1209" w:rsidRPr="007C68F1">
        <w:rPr>
          <w:shd w:val="clear" w:color="auto" w:fill="FFFFFF"/>
        </w:rPr>
        <w:t xml:space="preserve">are </w:t>
      </w:r>
      <w:r w:rsidR="008953FA" w:rsidRPr="007C68F1">
        <w:rPr>
          <w:shd w:val="clear" w:color="auto" w:fill="FFFFFF"/>
        </w:rPr>
        <w:t xml:space="preserve">subject to a manageability requirement.  </w:t>
      </w:r>
      <w:r w:rsidR="004E1EBD" w:rsidRPr="007C68F1">
        <w:rPr>
          <w:shd w:val="clear" w:color="auto" w:fill="FFFFFF"/>
        </w:rPr>
        <w:t>The court denied the motion</w:t>
      </w:r>
      <w:r w:rsidR="00AB0E8D" w:rsidRPr="007C68F1">
        <w:rPr>
          <w:shd w:val="clear" w:color="auto" w:fill="FFFFFF"/>
        </w:rPr>
        <w:t xml:space="preserve">, reasoning </w:t>
      </w:r>
      <w:r w:rsidR="008A7AD0" w:rsidRPr="007C68F1">
        <w:rPr>
          <w:shd w:val="clear" w:color="auto" w:fill="FFFFFF"/>
        </w:rPr>
        <w:t xml:space="preserve">that although it had discretion to grant the motion, it </w:t>
      </w:r>
      <w:r w:rsidR="00AB0E8D" w:rsidRPr="007C68F1">
        <w:rPr>
          <w:shd w:val="clear" w:color="auto" w:fill="FFFFFF"/>
        </w:rPr>
        <w:t>would not</w:t>
      </w:r>
      <w:r w:rsidR="008A7AD0" w:rsidRPr="007C68F1">
        <w:rPr>
          <w:shd w:val="clear" w:color="auto" w:fill="FFFFFF"/>
        </w:rPr>
        <w:t xml:space="preserve"> do so </w:t>
      </w:r>
      <w:bookmarkStart w:id="733" w:name="dabmq_333"/>
      <w:r w:rsidR="008A7AD0" w:rsidRPr="007C68F1">
        <w:rPr>
          <w:shd w:val="clear" w:color="auto" w:fill="FFFFFF"/>
        </w:rPr>
        <w:t>“in the absence of controlling California authority</w:t>
      </w:r>
      <w:r w:rsidR="006111AC" w:rsidRPr="007C68F1">
        <w:rPr>
          <w:shd w:val="clear" w:color="auto" w:fill="FFFFFF"/>
        </w:rPr>
        <w:t xml:space="preserve"> </w:t>
      </w:r>
      <w:r w:rsidR="006111AC" w:rsidRPr="007C68F1">
        <w:rPr>
          <w:shd w:val="clear" w:color="auto" w:fill="FFFFFF"/>
        </w:rPr>
        <w:lastRenderedPageBreak/>
        <w:t>and conflicting [federal] district court authority.”</w:t>
      </w:r>
      <w:bookmarkEnd w:id="733"/>
      <w:r w:rsidR="006111AC" w:rsidRPr="007C68F1">
        <w:rPr>
          <w:shd w:val="clear" w:color="auto" w:fill="FFFFFF"/>
        </w:rPr>
        <w:t xml:space="preserve">  It further ruled that the motion was moot, in light of its other rulings disposing of the PAGA claims.</w:t>
      </w:r>
    </w:p>
    <w:p w14:paraId="488A5C4E" w14:textId="77777777" w:rsidR="007A690C" w:rsidRPr="007C68F1" w:rsidRDefault="00D16B2E" w:rsidP="007D1009">
      <w:pPr>
        <w:spacing w:line="480" w:lineRule="auto"/>
        <w:ind w:firstLine="720"/>
        <w:rPr>
          <w:shd w:val="clear" w:color="auto" w:fill="FFFFFF"/>
        </w:rPr>
      </w:pPr>
      <w:r w:rsidRPr="007C68F1">
        <w:rPr>
          <w:shd w:val="clear" w:color="auto" w:fill="FFFFFF"/>
        </w:rPr>
        <w:t xml:space="preserve">In </w:t>
      </w:r>
      <w:r w:rsidR="00EE3C7A" w:rsidRPr="007C68F1">
        <w:rPr>
          <w:shd w:val="clear" w:color="auto" w:fill="FFFFFF"/>
        </w:rPr>
        <w:t>the medical center’s</w:t>
      </w:r>
      <w:r w:rsidRPr="007C68F1">
        <w:rPr>
          <w:shd w:val="clear" w:color="auto" w:fill="FFFFFF"/>
        </w:rPr>
        <w:t xml:space="preserve"> cross-appeal, </w:t>
      </w:r>
      <w:r w:rsidR="00EE3C7A" w:rsidRPr="007C68F1">
        <w:rPr>
          <w:shd w:val="clear" w:color="auto" w:fill="FFFFFF"/>
        </w:rPr>
        <w:t>it</w:t>
      </w:r>
      <w:r w:rsidRPr="007C68F1">
        <w:rPr>
          <w:shd w:val="clear" w:color="auto" w:fill="FFFFFF"/>
        </w:rPr>
        <w:t xml:space="preserve"> argues tha</w:t>
      </w:r>
      <w:r w:rsidR="00F6769B" w:rsidRPr="007C68F1">
        <w:rPr>
          <w:shd w:val="clear" w:color="auto" w:fill="FFFFFF"/>
        </w:rPr>
        <w:t>t</w:t>
      </w:r>
      <w:r w:rsidR="009B20FE" w:rsidRPr="007C68F1">
        <w:rPr>
          <w:shd w:val="clear" w:color="auto" w:fill="FFFFFF"/>
        </w:rPr>
        <w:t xml:space="preserve"> (1)</w:t>
      </w:r>
      <w:r w:rsidR="00F6769B" w:rsidRPr="007C68F1">
        <w:rPr>
          <w:shd w:val="clear" w:color="auto" w:fill="FFFFFF"/>
        </w:rPr>
        <w:t xml:space="preserve"> we should impose a manageability requirement </w:t>
      </w:r>
      <w:r w:rsidR="00BC3667" w:rsidRPr="007C68F1">
        <w:rPr>
          <w:shd w:val="clear" w:color="auto" w:fill="FFFFFF"/>
        </w:rPr>
        <w:t>for PAGA claims</w:t>
      </w:r>
      <w:r w:rsidR="00F6769B" w:rsidRPr="007C68F1">
        <w:rPr>
          <w:shd w:val="clear" w:color="auto" w:fill="FFFFFF"/>
        </w:rPr>
        <w:t xml:space="preserve"> and</w:t>
      </w:r>
      <w:r w:rsidR="00330839" w:rsidRPr="007C68F1">
        <w:rPr>
          <w:shd w:val="clear" w:color="auto" w:fill="FFFFFF"/>
        </w:rPr>
        <w:t xml:space="preserve"> </w:t>
      </w:r>
      <w:r w:rsidR="009B20FE" w:rsidRPr="007C68F1">
        <w:rPr>
          <w:shd w:val="clear" w:color="auto" w:fill="FFFFFF"/>
        </w:rPr>
        <w:t>(2)</w:t>
      </w:r>
      <w:r w:rsidR="008E3ABF" w:rsidRPr="007C68F1">
        <w:rPr>
          <w:shd w:val="clear" w:color="auto" w:fill="FFFFFF"/>
        </w:rPr>
        <w:t xml:space="preserve"> Woodworth failed to demonstrate the PAGA cause of action was manageable</w:t>
      </w:r>
      <w:r w:rsidR="004E1EBD" w:rsidRPr="007C68F1">
        <w:rPr>
          <w:shd w:val="clear" w:color="auto" w:fill="FFFFFF"/>
        </w:rPr>
        <w:t>.</w:t>
      </w:r>
      <w:r w:rsidRPr="007C68F1">
        <w:rPr>
          <w:shd w:val="clear" w:color="auto" w:fill="FFFFFF"/>
        </w:rPr>
        <w:t xml:space="preserve">  Although we grant Woodworth’s motion to </w:t>
      </w:r>
      <w:r w:rsidR="004061CE" w:rsidRPr="007C68F1">
        <w:rPr>
          <w:shd w:val="clear" w:color="auto" w:fill="FFFFFF"/>
        </w:rPr>
        <w:t>dismiss the cross-appeal</w:t>
      </w:r>
      <w:r w:rsidR="00517B0E" w:rsidRPr="007C68F1">
        <w:rPr>
          <w:shd w:val="clear" w:color="auto" w:fill="FFFFFF"/>
        </w:rPr>
        <w:t>, we consider the medical center’</w:t>
      </w:r>
      <w:r w:rsidR="009B20FE" w:rsidRPr="007C68F1">
        <w:rPr>
          <w:shd w:val="clear" w:color="auto" w:fill="FFFFFF"/>
        </w:rPr>
        <w:t>s arguments</w:t>
      </w:r>
      <w:r w:rsidR="008E3ABF" w:rsidRPr="007C68F1">
        <w:rPr>
          <w:shd w:val="clear" w:color="auto" w:fill="FFFFFF"/>
        </w:rPr>
        <w:t xml:space="preserve">.  If </w:t>
      </w:r>
      <w:r w:rsidR="0035467A" w:rsidRPr="007C68F1">
        <w:rPr>
          <w:shd w:val="clear" w:color="auto" w:fill="FFFFFF"/>
        </w:rPr>
        <w:t>they</w:t>
      </w:r>
      <w:r w:rsidR="00F2280B" w:rsidRPr="007C68F1">
        <w:rPr>
          <w:shd w:val="clear" w:color="auto" w:fill="FFFFFF"/>
        </w:rPr>
        <w:t xml:space="preserve"> are </w:t>
      </w:r>
      <w:r w:rsidR="0035467A" w:rsidRPr="007C68F1">
        <w:rPr>
          <w:shd w:val="clear" w:color="auto" w:fill="FFFFFF"/>
        </w:rPr>
        <w:t>meritorious</w:t>
      </w:r>
      <w:r w:rsidR="009B20FE" w:rsidRPr="007C68F1">
        <w:rPr>
          <w:shd w:val="clear" w:color="auto" w:fill="FFFFFF"/>
        </w:rPr>
        <w:t xml:space="preserve">, </w:t>
      </w:r>
      <w:r w:rsidR="005E5E70" w:rsidRPr="007C68F1">
        <w:rPr>
          <w:shd w:val="clear" w:color="auto" w:fill="FFFFFF"/>
        </w:rPr>
        <w:t>they</w:t>
      </w:r>
      <w:r w:rsidR="009B20FE" w:rsidRPr="007C68F1">
        <w:rPr>
          <w:shd w:val="clear" w:color="auto" w:fill="FFFFFF"/>
        </w:rPr>
        <w:t xml:space="preserve"> </w:t>
      </w:r>
      <w:r w:rsidR="0035467A" w:rsidRPr="007C68F1">
        <w:rPr>
          <w:shd w:val="clear" w:color="auto" w:fill="FFFFFF"/>
        </w:rPr>
        <w:t xml:space="preserve">would </w:t>
      </w:r>
      <w:r w:rsidR="009B20FE" w:rsidRPr="007C68F1">
        <w:rPr>
          <w:shd w:val="clear" w:color="auto" w:fill="FFFFFF"/>
        </w:rPr>
        <w:t xml:space="preserve">provide alternative grounds to affirm the erroneous rulings disposing of the PAGA claims.  </w:t>
      </w:r>
      <w:r w:rsidR="00517B0E" w:rsidRPr="007C68F1">
        <w:rPr>
          <w:shd w:val="clear" w:color="auto" w:fill="FFFFFF"/>
        </w:rPr>
        <w:t>(</w:t>
      </w:r>
      <w:r w:rsidR="008E3ABF" w:rsidRPr="007C68F1">
        <w:rPr>
          <w:shd w:val="clear" w:color="auto" w:fill="FFFFFF"/>
        </w:rPr>
        <w:t>S</w:t>
      </w:r>
      <w:r w:rsidR="00517B0E" w:rsidRPr="007C68F1">
        <w:rPr>
          <w:shd w:val="clear" w:color="auto" w:fill="FFFFFF"/>
        </w:rPr>
        <w:t xml:space="preserve">ee part I.B. of the discussion, </w:t>
      </w:r>
      <w:bookmarkStart w:id="734" w:name="dabmci_bdd6cf8a60694c3a93fbbdc0b9a30519"/>
      <w:r w:rsidR="00517B0E" w:rsidRPr="007C68F1">
        <w:rPr>
          <w:i/>
          <w:iCs/>
          <w:shd w:val="clear" w:color="auto" w:fill="FFFFFF"/>
        </w:rPr>
        <w:t>ante</w:t>
      </w:r>
      <w:r w:rsidR="00517B0E" w:rsidRPr="007C68F1">
        <w:rPr>
          <w:shd w:val="clear" w:color="auto" w:fill="FFFFFF"/>
        </w:rPr>
        <w:t>.</w:t>
      </w:r>
      <w:bookmarkEnd w:id="734"/>
      <w:r w:rsidR="00517B0E" w:rsidRPr="007C68F1">
        <w:rPr>
          <w:shd w:val="clear" w:color="auto" w:fill="FFFFFF"/>
        </w:rPr>
        <w:t>)</w:t>
      </w:r>
      <w:r w:rsidR="009B20FE" w:rsidRPr="007C68F1">
        <w:rPr>
          <w:shd w:val="clear" w:color="auto" w:fill="FFFFFF"/>
        </w:rPr>
        <w:t xml:space="preserve">  We conclude, however, that </w:t>
      </w:r>
      <w:r w:rsidR="005E5E70" w:rsidRPr="007C68F1">
        <w:rPr>
          <w:shd w:val="clear" w:color="auto" w:fill="FFFFFF"/>
        </w:rPr>
        <w:t>the arguments lack merit</w:t>
      </w:r>
      <w:r w:rsidR="009B20FE" w:rsidRPr="007C68F1">
        <w:rPr>
          <w:shd w:val="clear" w:color="auto" w:fill="FFFFFF"/>
        </w:rPr>
        <w:t>.</w:t>
      </w:r>
    </w:p>
    <w:p w14:paraId="7F040130" w14:textId="77777777" w:rsidR="003B5143" w:rsidRPr="007C68F1" w:rsidRDefault="00D16B2E" w:rsidP="007D1009">
      <w:pPr>
        <w:spacing w:line="480" w:lineRule="auto"/>
        <w:ind w:firstLine="720"/>
      </w:pPr>
      <w:r w:rsidRPr="007C68F1">
        <w:rPr>
          <w:shd w:val="clear" w:color="auto" w:fill="FFFFFF"/>
        </w:rPr>
        <w:t xml:space="preserve">Since the trial court’s ruling, two appellate </w:t>
      </w:r>
      <w:r w:rsidR="0092463D" w:rsidRPr="007C68F1">
        <w:rPr>
          <w:shd w:val="clear" w:color="auto" w:fill="FFFFFF"/>
        </w:rPr>
        <w:t>decisions</w:t>
      </w:r>
      <w:r w:rsidRPr="007C68F1">
        <w:rPr>
          <w:shd w:val="clear" w:color="auto" w:fill="FFFFFF"/>
        </w:rPr>
        <w:t xml:space="preserve"> </w:t>
      </w:r>
      <w:r w:rsidR="00EB56D4" w:rsidRPr="007C68F1">
        <w:rPr>
          <w:shd w:val="clear" w:color="auto" w:fill="FFFFFF"/>
        </w:rPr>
        <w:t>have addressed the</w:t>
      </w:r>
      <w:r w:rsidR="005C107F" w:rsidRPr="007C68F1">
        <w:rPr>
          <w:shd w:val="clear" w:color="auto" w:fill="FFFFFF"/>
        </w:rPr>
        <w:t xml:space="preserve"> manageability of PAGA claims</w:t>
      </w:r>
      <w:r w:rsidR="00EB56D4" w:rsidRPr="007C68F1">
        <w:rPr>
          <w:shd w:val="clear" w:color="auto" w:fill="FFFFFF"/>
        </w:rPr>
        <w:t xml:space="preserve">:  </w:t>
      </w:r>
      <w:bookmarkStart w:id="735" w:name="dabmci_37aa0c2214b94a22a1bd876be5c08281"/>
      <w:r w:rsidR="00EB56D4" w:rsidRPr="007C68F1">
        <w:rPr>
          <w:i/>
          <w:iCs/>
          <w:bdr w:val="none" w:sz="0" w:space="0" w:color="auto" w:frame="1"/>
        </w:rPr>
        <w:t>Wesson</w:t>
      </w:r>
      <w:r w:rsidR="009357D3" w:rsidRPr="007C68F1">
        <w:t xml:space="preserve">, </w:t>
      </w:r>
      <w:r w:rsidR="009357D3" w:rsidRPr="007C68F1">
        <w:rPr>
          <w:i/>
          <w:iCs/>
        </w:rPr>
        <w:t>supra</w:t>
      </w:r>
      <w:r w:rsidR="009357D3" w:rsidRPr="007C68F1">
        <w:t xml:space="preserve">, </w:t>
      </w:r>
      <w:r w:rsidR="00EB56D4" w:rsidRPr="007C68F1">
        <w:t>68 Cal.App.5th 746</w:t>
      </w:r>
      <w:bookmarkEnd w:id="735"/>
      <w:r w:rsidR="009357D3" w:rsidRPr="007C68F1">
        <w:t>,</w:t>
      </w:r>
      <w:r w:rsidR="00EB56D4" w:rsidRPr="007C68F1">
        <w:t xml:space="preserve"> and </w:t>
      </w:r>
      <w:bookmarkStart w:id="736" w:name="dabmci_a3e02cab9ec34d03b3950681741916e5"/>
      <w:r w:rsidR="00EB56D4" w:rsidRPr="007C68F1">
        <w:rPr>
          <w:i/>
          <w:iCs/>
          <w:bdr w:val="none" w:sz="0" w:space="0" w:color="auto" w:frame="1"/>
        </w:rPr>
        <w:t>Estrada</w:t>
      </w:r>
      <w:r w:rsidR="009357D3" w:rsidRPr="007C68F1">
        <w:t xml:space="preserve">, </w:t>
      </w:r>
      <w:r w:rsidR="009357D3" w:rsidRPr="007C68F1">
        <w:rPr>
          <w:i/>
          <w:iCs/>
        </w:rPr>
        <w:t>supra</w:t>
      </w:r>
      <w:r w:rsidR="009357D3" w:rsidRPr="007C68F1">
        <w:t xml:space="preserve">, </w:t>
      </w:r>
      <w:r w:rsidR="00EB56D4" w:rsidRPr="007C68F1">
        <w:t>76 Cal.App.5th</w:t>
      </w:r>
      <w:r w:rsidR="009357D3" w:rsidRPr="007C68F1">
        <w:t xml:space="preserve"> </w:t>
      </w:r>
      <w:r w:rsidR="00EB56D4" w:rsidRPr="007C68F1">
        <w:t>685</w:t>
      </w:r>
      <w:bookmarkEnd w:id="736"/>
      <w:r w:rsidR="0092463D" w:rsidRPr="007C68F1">
        <w:t>.</w:t>
      </w:r>
      <w:r w:rsidR="007139B9" w:rsidRPr="007C68F1">
        <w:t xml:space="preserve">  </w:t>
      </w:r>
      <w:r w:rsidR="0092463D" w:rsidRPr="007C68F1">
        <w:rPr>
          <w:i/>
          <w:iCs/>
        </w:rPr>
        <w:t xml:space="preserve">Wesson </w:t>
      </w:r>
      <w:r w:rsidR="0092463D" w:rsidRPr="007C68F1">
        <w:t xml:space="preserve">held that </w:t>
      </w:r>
      <w:bookmarkStart w:id="737" w:name="dabmq_334"/>
      <w:r w:rsidR="0092463D" w:rsidRPr="007C68F1">
        <w:t>“courts have inherent authority to ensure that PAGA claims can be fairly and efficiently tried and, if necessary, may strike claims that cannot be rendered manageable.”</w:t>
      </w:r>
      <w:bookmarkEnd w:id="737"/>
      <w:r w:rsidR="0092463D" w:rsidRPr="007C68F1">
        <w:t xml:space="preserve">  (</w:t>
      </w:r>
      <w:bookmarkStart w:id="738" w:name="dabmci_9b050a91071b48f6b60d561e145817d5"/>
      <w:r w:rsidR="0092463D" w:rsidRPr="007C68F1">
        <w:rPr>
          <w:i/>
          <w:iCs/>
        </w:rPr>
        <w:t>Wesson</w:t>
      </w:r>
      <w:r w:rsidR="0092463D" w:rsidRPr="007C68F1">
        <w:t>, at p. 756</w:t>
      </w:r>
      <w:bookmarkEnd w:id="738"/>
      <w:r w:rsidR="0092463D" w:rsidRPr="007C68F1">
        <w:t xml:space="preserve">.)  </w:t>
      </w:r>
      <w:r w:rsidR="0092463D" w:rsidRPr="007C68F1">
        <w:rPr>
          <w:i/>
          <w:iCs/>
        </w:rPr>
        <w:t xml:space="preserve">Estrada </w:t>
      </w:r>
      <w:r w:rsidR="0092463D" w:rsidRPr="007C68F1">
        <w:t>came to the opposite conclusion.</w:t>
      </w:r>
      <w:r w:rsidR="00FD3CDE" w:rsidRPr="007C68F1">
        <w:t xml:space="preserve">  (</w:t>
      </w:r>
      <w:bookmarkStart w:id="739" w:name="dabmci_2bb5d68bed6f4279851963616868fd31"/>
      <w:r w:rsidR="00FD3CDE" w:rsidRPr="007C68F1">
        <w:rPr>
          <w:i/>
          <w:iCs/>
        </w:rPr>
        <w:t>Estrada</w:t>
      </w:r>
      <w:r w:rsidR="00FD3CDE" w:rsidRPr="007C68F1">
        <w:t>, at p. 697</w:t>
      </w:r>
      <w:bookmarkEnd w:id="739"/>
      <w:r w:rsidR="00FD3CDE" w:rsidRPr="007C68F1">
        <w:t>.)</w:t>
      </w:r>
      <w:r w:rsidR="0092463D" w:rsidRPr="007C68F1">
        <w:t xml:space="preserve">  It held that courts </w:t>
      </w:r>
      <w:bookmarkStart w:id="740" w:name="dabmq_335"/>
      <w:r w:rsidR="0092463D" w:rsidRPr="007C68F1">
        <w:t>“cannot strike a PAGA claim based on manageability,”</w:t>
      </w:r>
      <w:bookmarkEnd w:id="740"/>
      <w:r w:rsidR="0092463D" w:rsidRPr="007C68F1">
        <w:t xml:space="preserve"> </w:t>
      </w:r>
      <w:r w:rsidR="006E1D17" w:rsidRPr="007C68F1">
        <w:t>but</w:t>
      </w:r>
      <w:r w:rsidR="0092463D" w:rsidRPr="007C68F1">
        <w:t xml:space="preserve"> they </w:t>
      </w:r>
      <w:bookmarkStart w:id="741" w:name="dabmq_336"/>
      <w:r w:rsidR="0092463D" w:rsidRPr="007C68F1">
        <w:t>“may still, where appropriate and within reason, limit the amount of evidence PAGA plaintiffs may introduce at trial.”</w:t>
      </w:r>
      <w:bookmarkEnd w:id="741"/>
      <w:r w:rsidR="0092463D" w:rsidRPr="007C68F1">
        <w:t xml:space="preserve">  (</w:t>
      </w:r>
      <w:bookmarkStart w:id="742" w:name="dabmci_1b5bace6329c4d20b52922e3071ac5df"/>
      <w:r w:rsidR="00FD3CDE" w:rsidRPr="007C68F1">
        <w:rPr>
          <w:i/>
          <w:iCs/>
        </w:rPr>
        <w:t>Ibid.</w:t>
      </w:r>
      <w:bookmarkEnd w:id="742"/>
      <w:r w:rsidR="00FD3CDE" w:rsidRPr="007C68F1">
        <w:t>)</w:t>
      </w:r>
      <w:r w:rsidR="006E1D17" w:rsidRPr="007C68F1">
        <w:t xml:space="preserve">  </w:t>
      </w:r>
    </w:p>
    <w:p w14:paraId="57AE7B02" w14:textId="77777777" w:rsidR="000A1520" w:rsidRPr="007C68F1" w:rsidRDefault="00D16B2E" w:rsidP="007D1009">
      <w:pPr>
        <w:spacing w:line="480" w:lineRule="auto"/>
        <w:ind w:firstLine="720"/>
      </w:pPr>
      <w:r w:rsidRPr="007C68F1">
        <w:t>Our Supreme Court is reviewing the issue and will resolve the split.  In the meantime, w</w:t>
      </w:r>
      <w:r w:rsidR="00DD4F33" w:rsidRPr="007C68F1">
        <w:t xml:space="preserve">e agree with </w:t>
      </w:r>
      <w:r w:rsidR="00DD4F33" w:rsidRPr="007C68F1">
        <w:rPr>
          <w:i/>
          <w:iCs/>
        </w:rPr>
        <w:t>Estrada</w:t>
      </w:r>
      <w:r w:rsidR="00DD4F33" w:rsidRPr="007C68F1">
        <w:t>.</w:t>
      </w:r>
      <w:r w:rsidR="003B5143" w:rsidRPr="007C68F1">
        <w:t xml:space="preserve">  Trial courts may not strike a PAGA claim for lack of manageability.</w:t>
      </w:r>
      <w:r w:rsidR="00AB71FC" w:rsidRPr="007C68F1">
        <w:t xml:space="preserve">  </w:t>
      </w:r>
      <w:r w:rsidR="003B5143" w:rsidRPr="007C68F1">
        <w:t>They may limit</w:t>
      </w:r>
      <w:r w:rsidR="00AB71FC" w:rsidRPr="007C68F1">
        <w:t xml:space="preserve"> the evidence to be presented at trial or otherwise limit the scope of the PAGA claim, but they may not strike the claim altogether.  </w:t>
      </w:r>
    </w:p>
    <w:p w14:paraId="5BB1DD35" w14:textId="77777777" w:rsidR="00B83E24" w:rsidRPr="007C68F1" w:rsidRDefault="00D16B2E" w:rsidP="007D1009">
      <w:pPr>
        <w:spacing w:line="480" w:lineRule="auto"/>
        <w:ind w:firstLine="720"/>
        <w:rPr>
          <w:bdr w:val="none" w:sz="0" w:space="0" w:color="auto" w:frame="1"/>
        </w:rPr>
      </w:pPr>
      <w:r w:rsidRPr="007C68F1">
        <w:rPr>
          <w:i/>
          <w:iCs/>
        </w:rPr>
        <w:lastRenderedPageBreak/>
        <w:t>Wesson</w:t>
      </w:r>
      <w:r w:rsidRPr="007C68F1">
        <w:t xml:space="preserve"> </w:t>
      </w:r>
      <w:r w:rsidR="001C12E1" w:rsidRPr="007C68F1">
        <w:t>observed</w:t>
      </w:r>
      <w:r w:rsidR="00AB71FC" w:rsidRPr="007C68F1">
        <w:t xml:space="preserve"> that courts have inherent power under the </w:t>
      </w:r>
      <w:r w:rsidR="00C056E4" w:rsidRPr="007C68F1">
        <w:t>state</w:t>
      </w:r>
      <w:r w:rsidR="00AB71FC" w:rsidRPr="007C68F1">
        <w:t xml:space="preserve"> </w:t>
      </w:r>
      <w:r w:rsidR="00C056E4" w:rsidRPr="007C68F1">
        <w:t>C</w:t>
      </w:r>
      <w:r w:rsidR="00AB71FC" w:rsidRPr="007C68F1">
        <w:t xml:space="preserve">onstitution </w:t>
      </w:r>
      <w:r w:rsidR="0046418F" w:rsidRPr="007C68F1">
        <w:t xml:space="preserve">to </w:t>
      </w:r>
      <w:r w:rsidR="00C056E4" w:rsidRPr="007C68F1">
        <w:t>control and manage</w:t>
      </w:r>
      <w:r w:rsidR="0046418F" w:rsidRPr="007C68F1">
        <w:t xml:space="preserve"> litigation</w:t>
      </w:r>
      <w:r w:rsidR="00062580" w:rsidRPr="007C68F1">
        <w:t xml:space="preserve">, as the courts have </w:t>
      </w:r>
      <w:r w:rsidR="009E1075" w:rsidRPr="007C68F1">
        <w:t>done</w:t>
      </w:r>
      <w:r w:rsidR="00062580" w:rsidRPr="007C68F1">
        <w:t xml:space="preserve"> </w:t>
      </w:r>
      <w:r w:rsidR="009E1075" w:rsidRPr="007C68F1">
        <w:t>with respect to class actions</w:t>
      </w:r>
      <w:r w:rsidR="00D378CC" w:rsidRPr="007C68F1">
        <w:t>.</w:t>
      </w:r>
      <w:r w:rsidR="00062580" w:rsidRPr="007C68F1">
        <w:t xml:space="preserve">  (</w:t>
      </w:r>
      <w:bookmarkStart w:id="743" w:name="dabmci_2fdd6916ffa349fe9cfefb46b83f4469"/>
      <w:r w:rsidR="00062580" w:rsidRPr="007C68F1">
        <w:rPr>
          <w:i/>
          <w:iCs/>
        </w:rPr>
        <w:t>Wesson</w:t>
      </w:r>
      <w:r w:rsidR="00062580" w:rsidRPr="007C68F1">
        <w:t xml:space="preserve">, </w:t>
      </w:r>
      <w:r w:rsidR="00062580" w:rsidRPr="007C68F1">
        <w:rPr>
          <w:i/>
          <w:iCs/>
        </w:rPr>
        <w:t>supra</w:t>
      </w:r>
      <w:r w:rsidR="00062580" w:rsidRPr="007C68F1">
        <w:t>, 68 Cal.App.5th at pp. 763-764</w:t>
      </w:r>
      <w:bookmarkEnd w:id="743"/>
      <w:r w:rsidR="00062580" w:rsidRPr="007C68F1">
        <w:t xml:space="preserve">.)  </w:t>
      </w:r>
      <w:r w:rsidR="00CF3582" w:rsidRPr="007C68F1">
        <w:t xml:space="preserve">Specifically, </w:t>
      </w:r>
      <w:bookmarkStart w:id="744" w:name="dabmq_337"/>
      <w:r w:rsidR="00866DDD" w:rsidRPr="007C68F1">
        <w:t>“</w:t>
      </w:r>
      <w:r w:rsidR="00CF3582" w:rsidRPr="007C68F1">
        <w:rPr>
          <w:shd w:val="clear" w:color="auto" w:fill="FFFFFF"/>
        </w:rPr>
        <w:t>[i]</w:t>
      </w:r>
      <w:r w:rsidR="006969F1" w:rsidRPr="007C68F1">
        <w:rPr>
          <w:shd w:val="clear" w:color="auto" w:fill="FFFFFF"/>
        </w:rPr>
        <w:t xml:space="preserve">n the class action context, the courts have required class action proponents to demonstrate that </w:t>
      </w:r>
      <w:r w:rsidR="00866DDD" w:rsidRPr="007C68F1">
        <w:rPr>
          <w:shd w:val="clear" w:color="auto" w:fill="FFFFFF"/>
        </w:rPr>
        <w:t>‘</w:t>
      </w:r>
      <w:r w:rsidR="006969F1" w:rsidRPr="007C68F1">
        <w:rPr>
          <w:shd w:val="clear" w:color="auto" w:fill="FFFFFF"/>
        </w:rPr>
        <w:t>litigation of individual issues, including those arising from affirmative defenses, can be managed fairly and efficiently.</w:t>
      </w:r>
      <w:r w:rsidR="00866DDD" w:rsidRPr="007C68F1">
        <w:rPr>
          <w:shd w:val="clear" w:color="auto" w:fill="FFFFFF"/>
        </w:rPr>
        <w:t>’</w:t>
      </w:r>
      <w:r w:rsidR="006969F1" w:rsidRPr="007C68F1">
        <w:rPr>
          <w:shd w:val="clear" w:color="auto" w:fill="FFFFFF"/>
        </w:rPr>
        <w:t>”</w:t>
      </w:r>
      <w:bookmarkEnd w:id="744"/>
      <w:r w:rsidR="00866DDD" w:rsidRPr="007C68F1">
        <w:rPr>
          <w:shd w:val="clear" w:color="auto" w:fill="FFFFFF"/>
        </w:rPr>
        <w:t xml:space="preserve">  (</w:t>
      </w:r>
      <w:bookmarkStart w:id="745" w:name="dabmci_a13313fb0dcb489396b9b45bf011992a"/>
      <w:r w:rsidR="00866DDD" w:rsidRPr="007C68F1">
        <w:rPr>
          <w:i/>
          <w:iCs/>
          <w:shd w:val="clear" w:color="auto" w:fill="FFFFFF"/>
        </w:rPr>
        <w:t>Id.</w:t>
      </w:r>
      <w:r w:rsidR="00866DDD" w:rsidRPr="007C68F1">
        <w:rPr>
          <w:shd w:val="clear" w:color="auto" w:fill="FFFFFF"/>
        </w:rPr>
        <w:t xml:space="preserve"> at p. </w:t>
      </w:r>
      <w:r w:rsidR="006969F1" w:rsidRPr="007C68F1">
        <w:t>764</w:t>
      </w:r>
      <w:bookmarkEnd w:id="745"/>
      <w:r w:rsidR="00866DDD" w:rsidRPr="007C68F1">
        <w:t xml:space="preserve">, quoting </w:t>
      </w:r>
      <w:bookmarkStart w:id="746" w:name="dabmci_2bc836eae7ea4830a201986918fedce3"/>
      <w:r w:rsidR="00866DDD" w:rsidRPr="007C68F1">
        <w:rPr>
          <w:i/>
          <w:iCs/>
        </w:rPr>
        <w:t>Duran</w:t>
      </w:r>
      <w:r w:rsidR="00866DDD" w:rsidRPr="007C68F1">
        <w:t xml:space="preserve">, </w:t>
      </w:r>
      <w:r w:rsidR="00866DDD" w:rsidRPr="007C68F1">
        <w:rPr>
          <w:i/>
          <w:iCs/>
        </w:rPr>
        <w:t>supra</w:t>
      </w:r>
      <w:r w:rsidR="00866DDD" w:rsidRPr="007C68F1">
        <w:t>, 59 Cal.4th at p</w:t>
      </w:r>
      <w:r w:rsidR="001C12E1" w:rsidRPr="007C68F1">
        <w:t>p</w:t>
      </w:r>
      <w:r w:rsidR="00866DDD" w:rsidRPr="007C68F1">
        <w:t>. 28-29</w:t>
      </w:r>
      <w:bookmarkEnd w:id="746"/>
      <w:r w:rsidR="00866DDD" w:rsidRPr="007C68F1">
        <w:t>.)</w:t>
      </w:r>
      <w:r w:rsidRPr="007C68F1">
        <w:t xml:space="preserve">  The </w:t>
      </w:r>
      <w:r w:rsidR="00103C97" w:rsidRPr="007C68F1">
        <w:rPr>
          <w:i/>
          <w:iCs/>
        </w:rPr>
        <w:t>Wesson</w:t>
      </w:r>
      <w:r w:rsidR="00103C97" w:rsidRPr="007C68F1">
        <w:t xml:space="preserve"> </w:t>
      </w:r>
      <w:r w:rsidRPr="007C68F1">
        <w:t xml:space="preserve">court </w:t>
      </w:r>
      <w:r w:rsidR="00103C97" w:rsidRPr="007C68F1">
        <w:t>also relied on a UCL case</w:t>
      </w:r>
      <w:r w:rsidR="00F40423" w:rsidRPr="007C68F1">
        <w:t xml:space="preserve">, which it characterized as </w:t>
      </w:r>
      <w:bookmarkStart w:id="747" w:name="dabmq_338"/>
      <w:r w:rsidR="00F40423" w:rsidRPr="007C68F1">
        <w:t>“approv[ing] a trial court’s use of its inherent authority to bar a representative</w:t>
      </w:r>
      <w:r w:rsidR="007A57FA" w:rsidRPr="007C68F1">
        <w:t xml:space="preserve"> . . . </w:t>
      </w:r>
      <w:r w:rsidR="00F40423" w:rsidRPr="007C68F1">
        <w:t>UCL claim as unmanageable.”</w:t>
      </w:r>
      <w:bookmarkEnd w:id="747"/>
      <w:r w:rsidR="00F40423" w:rsidRPr="007C68F1">
        <w:t xml:space="preserve">  (</w:t>
      </w:r>
      <w:bookmarkStart w:id="748" w:name="dabmci_18b5be3f0fdf4d37b0542b8a6f3d7145"/>
      <w:r w:rsidR="00581947" w:rsidRPr="007C68F1">
        <w:rPr>
          <w:i/>
          <w:iCs/>
        </w:rPr>
        <w:t>Wesson</w:t>
      </w:r>
      <w:r w:rsidR="00581947" w:rsidRPr="007C68F1">
        <w:t xml:space="preserve">, </w:t>
      </w:r>
      <w:r w:rsidR="00F40423" w:rsidRPr="007C68F1">
        <w:t>at p. 764</w:t>
      </w:r>
      <w:bookmarkEnd w:id="748"/>
      <w:r w:rsidR="00F40423" w:rsidRPr="007C68F1">
        <w:t xml:space="preserve">, citing </w:t>
      </w:r>
      <w:bookmarkStart w:id="749" w:name="dabmci_5efbd2bdf8f04d44a7fd26f51291e1bd"/>
      <w:r w:rsidR="00F40423" w:rsidRPr="007C68F1">
        <w:rPr>
          <w:i/>
          <w:iCs/>
          <w:bdr w:val="none" w:sz="0" w:space="0" w:color="auto" w:frame="1"/>
        </w:rPr>
        <w:t>South Bay Chevrolet v. General Motors Acceptance Corp.</w:t>
      </w:r>
      <w:r w:rsidR="00F40423" w:rsidRPr="007C68F1">
        <w:t xml:space="preserve"> (1999) 72 Cal.App.4th 861</w:t>
      </w:r>
      <w:r w:rsidR="00A9596C" w:rsidRPr="007C68F1">
        <w:t xml:space="preserve"> (</w:t>
      </w:r>
      <w:r w:rsidR="00A9596C" w:rsidRPr="007C68F1">
        <w:rPr>
          <w:i/>
          <w:iCs/>
          <w:bdr w:val="none" w:sz="0" w:space="0" w:color="auto" w:frame="1"/>
        </w:rPr>
        <w:t>South Bay Chevrolet</w:t>
      </w:r>
      <w:r w:rsidR="00A9596C" w:rsidRPr="007C68F1">
        <w:rPr>
          <w:bdr w:val="none" w:sz="0" w:space="0" w:color="auto" w:frame="1"/>
        </w:rPr>
        <w:t>)</w:t>
      </w:r>
      <w:bookmarkEnd w:id="749"/>
      <w:r w:rsidR="00F40423" w:rsidRPr="007C68F1">
        <w:t>.)</w:t>
      </w:r>
      <w:r>
        <w:rPr>
          <w:rStyle w:val="FootnoteReference"/>
        </w:rPr>
        <w:footnoteReference w:id="15"/>
      </w:r>
      <w:r w:rsidR="007A57FA" w:rsidRPr="007C68F1">
        <w:t xml:space="preserve">  </w:t>
      </w:r>
      <w:r w:rsidR="00871B29" w:rsidRPr="007C68F1">
        <w:rPr>
          <w:i/>
          <w:iCs/>
        </w:rPr>
        <w:t xml:space="preserve">Wesson </w:t>
      </w:r>
      <w:r w:rsidR="00871B29" w:rsidRPr="007C68F1">
        <w:t xml:space="preserve">reasoned that </w:t>
      </w:r>
      <w:bookmarkStart w:id="759" w:name="dabmq_339"/>
      <w:r w:rsidR="00871B29" w:rsidRPr="007C68F1">
        <w:t>“</w:t>
      </w:r>
      <w:r w:rsidR="00581947" w:rsidRPr="007C68F1">
        <w:t>[</w:t>
      </w:r>
      <w:r w:rsidR="00871B29" w:rsidRPr="007C68F1">
        <w:t>t</w:t>
      </w:r>
      <w:r w:rsidR="00581947" w:rsidRPr="007C68F1">
        <w:t>]</w:t>
      </w:r>
      <w:r w:rsidR="00871B29" w:rsidRPr="007C68F1">
        <w:t xml:space="preserve">he same concerns </w:t>
      </w:r>
      <w:r w:rsidR="00871B29" w:rsidRPr="007C68F1">
        <w:rPr>
          <w:shd w:val="clear" w:color="auto" w:fill="FFFFFF"/>
        </w:rPr>
        <w:t>attendant to the fair and efficient trial of representative claims apply in the context of PAGA actions</w:t>
      </w:r>
      <w:r w:rsidR="00C7709D" w:rsidRPr="007C68F1">
        <w:rPr>
          <w:shd w:val="clear" w:color="auto" w:fill="FFFFFF"/>
        </w:rPr>
        <w:t>.</w:t>
      </w:r>
      <w:r w:rsidR="00C90716">
        <w:rPr>
          <w:shd w:val="clear" w:color="auto" w:fill="FFFFFF"/>
        </w:rPr>
        <w:t xml:space="preserve"> </w:t>
      </w:r>
      <w:r w:rsidR="00C876A1" w:rsidRPr="007C68F1">
        <w:rPr>
          <w:shd w:val="clear" w:color="auto" w:fill="FFFFFF"/>
        </w:rPr>
        <w:t> . . .</w:t>
      </w:r>
      <w:r w:rsidR="00581947" w:rsidRPr="007C68F1">
        <w:rPr>
          <w:shd w:val="clear" w:color="auto" w:fill="FFFFFF"/>
        </w:rPr>
        <w:t xml:space="preserve"> [Citation.]</w:t>
      </w:r>
      <w:r w:rsidR="00C876A1" w:rsidRPr="007C68F1">
        <w:rPr>
          <w:shd w:val="clear" w:color="auto" w:fill="FFFFFF"/>
        </w:rPr>
        <w:t xml:space="preserve">  A PAGA action may . . . cover a vast number of employees, each of whom may have markedly different experiences relevant to the alleged violations.  Under those circumstances, determining whether the employer committed Labor Code violations with respect to each </w:t>
      </w:r>
      <w:r w:rsidR="00C876A1" w:rsidRPr="007C68F1">
        <w:rPr>
          <w:shd w:val="clear" w:color="auto" w:fill="FFFFFF"/>
        </w:rPr>
        <w:lastRenderedPageBreak/>
        <w:t>employee may raise practical difficulties and may prove to be unmanageable.”</w:t>
      </w:r>
      <w:bookmarkEnd w:id="759"/>
      <w:r w:rsidR="00C876A1" w:rsidRPr="007C68F1">
        <w:rPr>
          <w:shd w:val="clear" w:color="auto" w:fill="FFFFFF"/>
        </w:rPr>
        <w:t xml:space="preserve">  (</w:t>
      </w:r>
      <w:bookmarkStart w:id="760" w:name="dabmci_e7472e19ef034ffcb69f67961b88c676"/>
      <w:r w:rsidR="00581947" w:rsidRPr="007C68F1">
        <w:rPr>
          <w:i/>
          <w:iCs/>
          <w:shd w:val="clear" w:color="auto" w:fill="FFFFFF"/>
        </w:rPr>
        <w:t>Wesson</w:t>
      </w:r>
      <w:r w:rsidR="00581947" w:rsidRPr="007C68F1">
        <w:rPr>
          <w:shd w:val="clear" w:color="auto" w:fill="FFFFFF"/>
        </w:rPr>
        <w:t xml:space="preserve">, </w:t>
      </w:r>
      <w:r w:rsidR="00C7709D" w:rsidRPr="007C68F1">
        <w:rPr>
          <w:shd w:val="clear" w:color="auto" w:fill="FFFFFF"/>
        </w:rPr>
        <w:t xml:space="preserve">at </w:t>
      </w:r>
      <w:r w:rsidR="00C876A1" w:rsidRPr="007C68F1">
        <w:rPr>
          <w:shd w:val="clear" w:color="auto" w:fill="FFFFFF"/>
        </w:rPr>
        <w:t>p</w:t>
      </w:r>
      <w:r w:rsidR="00C7709D" w:rsidRPr="007C68F1">
        <w:rPr>
          <w:shd w:val="clear" w:color="auto" w:fill="FFFFFF"/>
        </w:rPr>
        <w:t>p.</w:t>
      </w:r>
      <w:r w:rsidR="00581947" w:rsidRPr="007C68F1">
        <w:rPr>
          <w:shd w:val="clear" w:color="auto" w:fill="FFFFFF"/>
        </w:rPr>
        <w:t> </w:t>
      </w:r>
      <w:r w:rsidR="00C7709D" w:rsidRPr="007C68F1">
        <w:rPr>
          <w:shd w:val="clear" w:color="auto" w:fill="FFFFFF"/>
        </w:rPr>
        <w:t>765</w:t>
      </w:r>
      <w:r w:rsidR="00C876A1" w:rsidRPr="007C68F1">
        <w:rPr>
          <w:shd w:val="clear" w:color="auto" w:fill="FFFFFF"/>
        </w:rPr>
        <w:t>-766</w:t>
      </w:r>
      <w:bookmarkEnd w:id="760"/>
      <w:r w:rsidR="00C7709D" w:rsidRPr="007C68F1">
        <w:rPr>
          <w:shd w:val="clear" w:color="auto" w:fill="FFFFFF"/>
        </w:rPr>
        <w:t xml:space="preserve">.)  The court therefore concluded </w:t>
      </w:r>
      <w:bookmarkStart w:id="761" w:name="dabmq_340"/>
      <w:r w:rsidR="00C7709D" w:rsidRPr="007C68F1">
        <w:rPr>
          <w:shd w:val="clear" w:color="auto" w:fill="FFFFFF"/>
        </w:rPr>
        <w:t>“</w:t>
      </w:r>
      <w:r w:rsidRPr="007C68F1">
        <w:rPr>
          <w:shd w:val="clear" w:color="auto" w:fill="FFFFFF"/>
        </w:rPr>
        <w:t>that courts have inherent authority to ensure that PAGA claims can be fairly and efficiently tried and, if necessary, may strike a claim that cannot be rendered manageable</w:t>
      </w:r>
      <w:r w:rsidR="00C7709D" w:rsidRPr="007C68F1">
        <w:rPr>
          <w:shd w:val="clear" w:color="auto" w:fill="FFFFFF"/>
        </w:rPr>
        <w:t>.”</w:t>
      </w:r>
      <w:bookmarkEnd w:id="761"/>
      <w:r w:rsidR="00C7709D" w:rsidRPr="007C68F1">
        <w:rPr>
          <w:shd w:val="clear" w:color="auto" w:fill="FFFFFF"/>
        </w:rPr>
        <w:t xml:space="preserve">  (</w:t>
      </w:r>
      <w:bookmarkStart w:id="762" w:name="dabmci_5958fa49bb1f485ebad0f67f1285a40e"/>
      <w:r w:rsidR="00C876A1" w:rsidRPr="007C68F1">
        <w:rPr>
          <w:i/>
          <w:iCs/>
          <w:bdr w:val="none" w:sz="0" w:space="0" w:color="auto" w:frame="1"/>
        </w:rPr>
        <w:t>Id</w:t>
      </w:r>
      <w:r w:rsidR="00C7709D" w:rsidRPr="007C68F1">
        <w:rPr>
          <w:i/>
          <w:iCs/>
          <w:bdr w:val="none" w:sz="0" w:space="0" w:color="auto" w:frame="1"/>
        </w:rPr>
        <w:t>.</w:t>
      </w:r>
      <w:r w:rsidR="00C876A1" w:rsidRPr="007C68F1">
        <w:rPr>
          <w:bdr w:val="none" w:sz="0" w:space="0" w:color="auto" w:frame="1"/>
        </w:rPr>
        <w:t xml:space="preserve"> at p. 765</w:t>
      </w:r>
      <w:bookmarkEnd w:id="762"/>
      <w:r w:rsidR="00C876A1" w:rsidRPr="007C68F1">
        <w:rPr>
          <w:bdr w:val="none" w:sz="0" w:space="0" w:color="auto" w:frame="1"/>
        </w:rPr>
        <w:t>.</w:t>
      </w:r>
      <w:r w:rsidR="00C7709D" w:rsidRPr="007C68F1">
        <w:rPr>
          <w:bdr w:val="none" w:sz="0" w:space="0" w:color="auto" w:frame="1"/>
        </w:rPr>
        <w:t xml:space="preserve">) </w:t>
      </w:r>
    </w:p>
    <w:p w14:paraId="51802028" w14:textId="77777777" w:rsidR="00C7709D" w:rsidRPr="007C68F1" w:rsidRDefault="00D16B2E" w:rsidP="007D1009">
      <w:pPr>
        <w:spacing w:line="480" w:lineRule="auto"/>
        <w:ind w:firstLine="720"/>
        <w:rPr>
          <w:bdr w:val="none" w:sz="0" w:space="0" w:color="auto" w:frame="1"/>
        </w:rPr>
      </w:pPr>
      <w:r w:rsidRPr="007C68F1">
        <w:rPr>
          <w:i/>
          <w:iCs/>
          <w:bdr w:val="none" w:sz="0" w:space="0" w:color="auto" w:frame="1"/>
        </w:rPr>
        <w:t xml:space="preserve">Estrada </w:t>
      </w:r>
      <w:r w:rsidRPr="007C68F1">
        <w:rPr>
          <w:bdr w:val="none" w:sz="0" w:space="0" w:color="auto" w:frame="1"/>
        </w:rPr>
        <w:t>disagreed</w:t>
      </w:r>
      <w:r w:rsidR="00E9172A" w:rsidRPr="007C68F1">
        <w:rPr>
          <w:bdr w:val="none" w:sz="0" w:space="0" w:color="auto" w:frame="1"/>
        </w:rPr>
        <w:t xml:space="preserve"> </w:t>
      </w:r>
      <w:r w:rsidR="00F15A3E" w:rsidRPr="007C68F1">
        <w:rPr>
          <w:bdr w:val="none" w:sz="0" w:space="0" w:color="auto" w:frame="1"/>
        </w:rPr>
        <w:t xml:space="preserve">with </w:t>
      </w:r>
      <w:r w:rsidR="00F15A3E" w:rsidRPr="007C68F1">
        <w:rPr>
          <w:i/>
          <w:iCs/>
          <w:bdr w:val="none" w:sz="0" w:space="0" w:color="auto" w:frame="1"/>
        </w:rPr>
        <w:t>Wesson</w:t>
      </w:r>
      <w:r w:rsidR="00F15A3E" w:rsidRPr="007C68F1">
        <w:rPr>
          <w:bdr w:val="none" w:sz="0" w:space="0" w:color="auto" w:frame="1"/>
        </w:rPr>
        <w:t xml:space="preserve"> </w:t>
      </w:r>
      <w:r w:rsidR="00E9172A" w:rsidRPr="007C68F1">
        <w:rPr>
          <w:bdr w:val="none" w:sz="0" w:space="0" w:color="auto" w:frame="1"/>
        </w:rPr>
        <w:t xml:space="preserve">for reasons that we find persuasive.  </w:t>
      </w:r>
      <w:r w:rsidR="00613E9D" w:rsidRPr="007C68F1">
        <w:rPr>
          <w:bdr w:val="none" w:sz="0" w:space="0" w:color="auto" w:frame="1"/>
        </w:rPr>
        <w:t xml:space="preserve">First, </w:t>
      </w:r>
      <w:r w:rsidR="000E797F" w:rsidRPr="007C68F1">
        <w:rPr>
          <w:bdr w:val="none" w:sz="0" w:space="0" w:color="auto" w:frame="1"/>
        </w:rPr>
        <w:t>our Supreme Court</w:t>
      </w:r>
      <w:r w:rsidR="00EE3237" w:rsidRPr="007C68F1">
        <w:rPr>
          <w:bdr w:val="none" w:sz="0" w:space="0" w:color="auto" w:frame="1"/>
        </w:rPr>
        <w:t xml:space="preserve"> held in </w:t>
      </w:r>
      <w:bookmarkStart w:id="763" w:name="dabmci_e2665535026041c7ba624c353b071a2e"/>
      <w:r w:rsidR="00EE3237" w:rsidRPr="007C68F1">
        <w:rPr>
          <w:i/>
          <w:iCs/>
          <w:bdr w:val="none" w:sz="0" w:space="0" w:color="auto" w:frame="1"/>
        </w:rPr>
        <w:t>Arias</w:t>
      </w:r>
      <w:bookmarkEnd w:id="763"/>
      <w:r w:rsidR="00EE3237" w:rsidRPr="007C68F1">
        <w:rPr>
          <w:bdr w:val="none" w:sz="0" w:space="0" w:color="auto" w:frame="1"/>
        </w:rPr>
        <w:t xml:space="preserve"> that an aggrieved employee bringing a representative PAGA action need not satisfy class </w:t>
      </w:r>
      <w:r w:rsidR="00D72A70" w:rsidRPr="007C68F1">
        <w:rPr>
          <w:bdr w:val="none" w:sz="0" w:space="0" w:color="auto" w:frame="1"/>
        </w:rPr>
        <w:t>action requirements.  (</w:t>
      </w:r>
      <w:bookmarkStart w:id="764" w:name="dabmci_e0414e494ff547359df41ed5aba5202b"/>
      <w:r w:rsidR="00D72A70" w:rsidRPr="007C68F1">
        <w:rPr>
          <w:i/>
          <w:iCs/>
          <w:bdr w:val="none" w:sz="0" w:space="0" w:color="auto" w:frame="1"/>
        </w:rPr>
        <w:t>Arias</w:t>
      </w:r>
      <w:r w:rsidR="00D72A70" w:rsidRPr="007C68F1">
        <w:rPr>
          <w:bdr w:val="none" w:sz="0" w:space="0" w:color="auto" w:frame="1"/>
        </w:rPr>
        <w:t xml:space="preserve">, </w:t>
      </w:r>
      <w:r w:rsidR="00D72A70" w:rsidRPr="007C68F1">
        <w:rPr>
          <w:i/>
          <w:iCs/>
          <w:bdr w:val="none" w:sz="0" w:space="0" w:color="auto" w:frame="1"/>
        </w:rPr>
        <w:t>supra</w:t>
      </w:r>
      <w:r w:rsidR="00D72A70" w:rsidRPr="007C68F1">
        <w:rPr>
          <w:bdr w:val="none" w:sz="0" w:space="0" w:color="auto" w:frame="1"/>
        </w:rPr>
        <w:t>, 46 Cal.4th at p. 975</w:t>
      </w:r>
      <w:bookmarkEnd w:id="764"/>
      <w:r w:rsidR="00D72A70" w:rsidRPr="007C68F1">
        <w:rPr>
          <w:bdr w:val="none" w:sz="0" w:space="0" w:color="auto" w:frame="1"/>
        </w:rPr>
        <w:t xml:space="preserve">; </w:t>
      </w:r>
      <w:bookmarkStart w:id="765" w:name="dabmci_0b0a35487cc64a53a1d65702c112b382"/>
      <w:r w:rsidR="00D72A70" w:rsidRPr="007C68F1">
        <w:rPr>
          <w:i/>
          <w:iCs/>
          <w:bdr w:val="none" w:sz="0" w:space="0" w:color="auto" w:frame="1"/>
        </w:rPr>
        <w:t>Estrada</w:t>
      </w:r>
      <w:r w:rsidR="00D72A70" w:rsidRPr="007C68F1">
        <w:rPr>
          <w:bdr w:val="none" w:sz="0" w:space="0" w:color="auto" w:frame="1"/>
        </w:rPr>
        <w:t xml:space="preserve">, </w:t>
      </w:r>
      <w:r w:rsidR="00D72A70" w:rsidRPr="007C68F1">
        <w:rPr>
          <w:i/>
          <w:iCs/>
          <w:bdr w:val="none" w:sz="0" w:space="0" w:color="auto" w:frame="1"/>
        </w:rPr>
        <w:t>supra</w:t>
      </w:r>
      <w:r w:rsidR="00D72A70" w:rsidRPr="007C68F1">
        <w:rPr>
          <w:bdr w:val="none" w:sz="0" w:space="0" w:color="auto" w:frame="1"/>
        </w:rPr>
        <w:t>, 76 Cal.App.5th at p</w:t>
      </w:r>
      <w:r w:rsidR="00B33540" w:rsidRPr="007C68F1">
        <w:rPr>
          <w:bdr w:val="none" w:sz="0" w:space="0" w:color="auto" w:frame="1"/>
        </w:rPr>
        <w:t>p</w:t>
      </w:r>
      <w:r w:rsidR="00D72A70" w:rsidRPr="007C68F1">
        <w:rPr>
          <w:bdr w:val="none" w:sz="0" w:space="0" w:color="auto" w:frame="1"/>
        </w:rPr>
        <w:t>. 711-712</w:t>
      </w:r>
      <w:bookmarkEnd w:id="765"/>
      <w:r w:rsidR="00D72A70" w:rsidRPr="007C68F1">
        <w:rPr>
          <w:bdr w:val="none" w:sz="0" w:space="0" w:color="auto" w:frame="1"/>
        </w:rPr>
        <w:t>.)</w:t>
      </w:r>
      <w:r w:rsidR="00B33540" w:rsidRPr="007C68F1">
        <w:rPr>
          <w:bdr w:val="none" w:sz="0" w:space="0" w:color="auto" w:frame="1"/>
        </w:rPr>
        <w:t xml:space="preserve">  The </w:t>
      </w:r>
      <w:r w:rsidR="00DA7AE4" w:rsidRPr="007C68F1">
        <w:rPr>
          <w:bdr w:val="none" w:sz="0" w:space="0" w:color="auto" w:frame="1"/>
        </w:rPr>
        <w:t xml:space="preserve">high </w:t>
      </w:r>
      <w:r w:rsidR="00B33540" w:rsidRPr="007C68F1">
        <w:rPr>
          <w:bdr w:val="none" w:sz="0" w:space="0" w:color="auto" w:frame="1"/>
        </w:rPr>
        <w:t>court has</w:t>
      </w:r>
      <w:r w:rsidR="00820AA1" w:rsidRPr="007C68F1">
        <w:rPr>
          <w:bdr w:val="none" w:sz="0" w:space="0" w:color="auto" w:frame="1"/>
        </w:rPr>
        <w:t xml:space="preserve"> emphasized </w:t>
      </w:r>
      <w:r w:rsidR="00B33540" w:rsidRPr="007C68F1">
        <w:rPr>
          <w:bdr w:val="none" w:sz="0" w:space="0" w:color="auto" w:frame="1"/>
        </w:rPr>
        <w:t>that</w:t>
      </w:r>
      <w:r w:rsidR="00A04E87" w:rsidRPr="007C68F1">
        <w:rPr>
          <w:bdr w:val="none" w:sz="0" w:space="0" w:color="auto" w:frame="1"/>
        </w:rPr>
        <w:t xml:space="preserve"> a PAGA action</w:t>
      </w:r>
      <w:r w:rsidR="00017A61" w:rsidRPr="007C68F1">
        <w:rPr>
          <w:bdr w:val="none" w:sz="0" w:space="0" w:color="auto" w:frame="1"/>
        </w:rPr>
        <w:t xml:space="preserve"> is </w:t>
      </w:r>
      <w:r w:rsidR="00A04E87" w:rsidRPr="007C68F1">
        <w:rPr>
          <w:bdr w:val="none" w:sz="0" w:space="0" w:color="auto" w:frame="1"/>
        </w:rPr>
        <w:t>a law enforcement action on behalf of the stat</w:t>
      </w:r>
      <w:r w:rsidR="00017A61" w:rsidRPr="007C68F1">
        <w:rPr>
          <w:bdr w:val="none" w:sz="0" w:space="0" w:color="auto" w:frame="1"/>
        </w:rPr>
        <w:t xml:space="preserve">e and </w:t>
      </w:r>
      <w:bookmarkStart w:id="766" w:name="dabmq_341"/>
      <w:r w:rsidR="00A04E87" w:rsidRPr="007C68F1">
        <w:rPr>
          <w:bdr w:val="none" w:sz="0" w:space="0" w:color="auto" w:frame="1"/>
        </w:rPr>
        <w:t>“is different from a class action</w:t>
      </w:r>
      <w:r w:rsidR="00820AA1" w:rsidRPr="007C68F1">
        <w:rPr>
          <w:bdr w:val="none" w:sz="0" w:space="0" w:color="auto" w:frame="1"/>
        </w:rPr>
        <w:t>.”</w:t>
      </w:r>
      <w:bookmarkEnd w:id="766"/>
      <w:r w:rsidR="00A04E87" w:rsidRPr="007C68F1">
        <w:rPr>
          <w:bdr w:val="none" w:sz="0" w:space="0" w:color="auto" w:frame="1"/>
        </w:rPr>
        <w:t xml:space="preserve">  (</w:t>
      </w:r>
      <w:bookmarkStart w:id="767" w:name="dabmci_1e6d586e7199471cbedd688761c3e48a"/>
      <w:r w:rsidR="00C47332" w:rsidRPr="007C68F1">
        <w:rPr>
          <w:i/>
          <w:iCs/>
          <w:bdr w:val="none" w:sz="0" w:space="0" w:color="auto" w:frame="1"/>
        </w:rPr>
        <w:t>Kim v. Reins International California, Inc.</w:t>
      </w:r>
      <w:r w:rsidR="00C47332" w:rsidRPr="007C68F1">
        <w:t xml:space="preserve"> (2020) 9 Cal.5th 73, 86</w:t>
      </w:r>
      <w:bookmarkEnd w:id="767"/>
      <w:r w:rsidR="00A04E87" w:rsidRPr="007C68F1">
        <w:rPr>
          <w:bdr w:val="none" w:sz="0" w:space="0" w:color="auto" w:frame="1"/>
        </w:rPr>
        <w:t xml:space="preserve">; </w:t>
      </w:r>
      <w:bookmarkStart w:id="768" w:name="dabmci_62ae148970cd42f19e5fb7574c3d79d7"/>
      <w:r w:rsidR="00A04E87" w:rsidRPr="007C68F1">
        <w:rPr>
          <w:i/>
          <w:iCs/>
          <w:bdr w:val="none" w:sz="0" w:space="0" w:color="auto" w:frame="1"/>
        </w:rPr>
        <w:t>Estrada</w:t>
      </w:r>
      <w:r w:rsidR="00A04E87" w:rsidRPr="007C68F1">
        <w:rPr>
          <w:bdr w:val="none" w:sz="0" w:space="0" w:color="auto" w:frame="1"/>
        </w:rPr>
        <w:t>, at p. 711</w:t>
      </w:r>
      <w:bookmarkEnd w:id="768"/>
      <w:r w:rsidR="00A04E87" w:rsidRPr="007C68F1">
        <w:rPr>
          <w:bdr w:val="none" w:sz="0" w:space="0" w:color="auto" w:frame="1"/>
        </w:rPr>
        <w:t>.)</w:t>
      </w:r>
      <w:r w:rsidR="00820AA1" w:rsidRPr="007C68F1">
        <w:rPr>
          <w:bdr w:val="none" w:sz="0" w:space="0" w:color="auto" w:frame="1"/>
        </w:rPr>
        <w:t xml:space="preserve">  </w:t>
      </w:r>
      <w:r w:rsidR="000576AF" w:rsidRPr="007C68F1">
        <w:t xml:space="preserve">The manageability requirement in the class action context permits courts to </w:t>
      </w:r>
      <w:r w:rsidR="002734BA" w:rsidRPr="007C68F1">
        <w:t>deny class certification</w:t>
      </w:r>
      <w:r w:rsidR="000576AF" w:rsidRPr="007C68F1">
        <w:t>, in effect dismissing the class claims from the action.  P</w:t>
      </w:r>
      <w:r w:rsidR="00820AA1" w:rsidRPr="007C68F1">
        <w:rPr>
          <w:bdr w:val="none" w:sz="0" w:space="0" w:color="auto" w:frame="1"/>
        </w:rPr>
        <w:t>ermitting</w:t>
      </w:r>
      <w:r w:rsidR="00DA7AE4" w:rsidRPr="007C68F1">
        <w:rPr>
          <w:bdr w:val="none" w:sz="0" w:space="0" w:color="auto" w:frame="1"/>
        </w:rPr>
        <w:t xml:space="preserve"> courts to strike or otherwise dismiss</w:t>
      </w:r>
      <w:r w:rsidR="00820AA1" w:rsidRPr="007C68F1">
        <w:rPr>
          <w:bdr w:val="none" w:sz="0" w:space="0" w:color="auto" w:frame="1"/>
        </w:rPr>
        <w:t xml:space="preserve"> PAGA claims</w:t>
      </w:r>
      <w:r w:rsidR="000576AF" w:rsidRPr="007C68F1">
        <w:rPr>
          <w:bdr w:val="none" w:sz="0" w:space="0" w:color="auto" w:frame="1"/>
        </w:rPr>
        <w:t xml:space="preserve"> </w:t>
      </w:r>
      <w:r w:rsidR="00820AA1" w:rsidRPr="007C68F1">
        <w:rPr>
          <w:bdr w:val="none" w:sz="0" w:space="0" w:color="auto" w:frame="1"/>
        </w:rPr>
        <w:t xml:space="preserve">on manageability grounds </w:t>
      </w:r>
      <w:bookmarkStart w:id="769" w:name="dabmq_342"/>
      <w:r w:rsidR="00820AA1" w:rsidRPr="007C68F1">
        <w:rPr>
          <w:bdr w:val="none" w:sz="0" w:space="0" w:color="auto" w:frame="1"/>
        </w:rPr>
        <w:t>“would effectively graft a class action requirement onto PAGA claims, undermining”</w:t>
      </w:r>
      <w:bookmarkEnd w:id="769"/>
      <w:r w:rsidR="00820AA1" w:rsidRPr="007C68F1">
        <w:rPr>
          <w:bdr w:val="none" w:sz="0" w:space="0" w:color="auto" w:frame="1"/>
        </w:rPr>
        <w:t xml:space="preserve"> </w:t>
      </w:r>
      <w:r w:rsidR="00252655" w:rsidRPr="007C68F1">
        <w:rPr>
          <w:i/>
          <w:iCs/>
          <w:bdr w:val="none" w:sz="0" w:space="0" w:color="auto" w:frame="1"/>
        </w:rPr>
        <w:t>Arias</w:t>
      </w:r>
      <w:r w:rsidR="00252655" w:rsidRPr="007C68F1">
        <w:rPr>
          <w:bdr w:val="none" w:sz="0" w:space="0" w:color="auto" w:frame="1"/>
        </w:rPr>
        <w:t>’s</w:t>
      </w:r>
      <w:r w:rsidR="000576AF" w:rsidRPr="007C68F1">
        <w:rPr>
          <w:bdr w:val="none" w:sz="0" w:space="0" w:color="auto" w:frame="1"/>
        </w:rPr>
        <w:t xml:space="preserve"> holding that PAGA </w:t>
      </w:r>
      <w:r w:rsidR="00CA715F" w:rsidRPr="007C68F1">
        <w:rPr>
          <w:bdr w:val="none" w:sz="0" w:space="0" w:color="auto" w:frame="1"/>
        </w:rPr>
        <w:t>plaintiffs need not satisfy class action requirements.  (</w:t>
      </w:r>
      <w:bookmarkStart w:id="770" w:name="dabmci_f2f87af5c3a44cdb8c1c8767275e88f6"/>
      <w:r w:rsidR="00CA715F" w:rsidRPr="007C68F1">
        <w:rPr>
          <w:i/>
          <w:iCs/>
          <w:bdr w:val="none" w:sz="0" w:space="0" w:color="auto" w:frame="1"/>
        </w:rPr>
        <w:t>Estrada</w:t>
      </w:r>
      <w:r w:rsidR="00CA715F" w:rsidRPr="007C68F1">
        <w:rPr>
          <w:bdr w:val="none" w:sz="0" w:space="0" w:color="auto" w:frame="1"/>
        </w:rPr>
        <w:t>, at p. 697</w:t>
      </w:r>
      <w:bookmarkEnd w:id="770"/>
      <w:r w:rsidR="00CA715F" w:rsidRPr="007C68F1">
        <w:rPr>
          <w:bdr w:val="none" w:sz="0" w:space="0" w:color="auto" w:frame="1"/>
        </w:rPr>
        <w:t>.)</w:t>
      </w:r>
      <w:r w:rsidR="00AD2364" w:rsidRPr="007C68F1">
        <w:rPr>
          <w:bdr w:val="none" w:sz="0" w:space="0" w:color="auto" w:frame="1"/>
        </w:rPr>
        <w:t xml:space="preserve">  </w:t>
      </w:r>
    </w:p>
    <w:p w14:paraId="3B5E7992" w14:textId="77777777" w:rsidR="002744C9" w:rsidRPr="007C68F1" w:rsidRDefault="00D16B2E" w:rsidP="007D1009">
      <w:pPr>
        <w:spacing w:line="480" w:lineRule="auto"/>
        <w:ind w:firstLine="720"/>
      </w:pPr>
      <w:r w:rsidRPr="007C68F1">
        <w:rPr>
          <w:bdr w:val="none" w:sz="0" w:space="0" w:color="auto" w:frame="1"/>
        </w:rPr>
        <w:t xml:space="preserve">Second, </w:t>
      </w:r>
      <w:r w:rsidR="00636C2E" w:rsidRPr="007C68F1">
        <w:rPr>
          <w:bdr w:val="none" w:sz="0" w:space="0" w:color="auto" w:frame="1"/>
        </w:rPr>
        <w:t xml:space="preserve">permitting courts to strike or dismiss PAGA claims on the basis of </w:t>
      </w:r>
      <w:bookmarkStart w:id="771" w:name="dabmq_343"/>
      <w:r w:rsidR="00636C2E" w:rsidRPr="007C68F1">
        <w:rPr>
          <w:bdr w:val="none" w:sz="0" w:space="0" w:color="auto" w:frame="1"/>
        </w:rPr>
        <w:t>“m</w:t>
      </w:r>
      <w:r w:rsidR="00017A61" w:rsidRPr="007C68F1">
        <w:rPr>
          <w:bdr w:val="none" w:sz="0" w:space="0" w:color="auto" w:frame="1"/>
          <w:shd w:val="clear" w:color="auto" w:fill="FFFFFF"/>
        </w:rPr>
        <w:t>anageability would interfere with PAGA</w:t>
      </w:r>
      <w:r w:rsidR="00636C2E" w:rsidRPr="007C68F1">
        <w:rPr>
          <w:bdr w:val="none" w:sz="0" w:space="0" w:color="auto" w:frame="1"/>
          <w:shd w:val="clear" w:color="auto" w:fill="FFFFFF"/>
        </w:rPr>
        <w:t>’</w:t>
      </w:r>
      <w:r w:rsidR="00017A61" w:rsidRPr="007C68F1">
        <w:rPr>
          <w:bdr w:val="none" w:sz="0" w:space="0" w:color="auto" w:frame="1"/>
          <w:shd w:val="clear" w:color="auto" w:fill="FFFFFF"/>
        </w:rPr>
        <w:t>s express design as a law enforcement mechanism.</w:t>
      </w:r>
      <w:r w:rsidR="00501049" w:rsidRPr="007C68F1">
        <w:rPr>
          <w:bdr w:val="none" w:sz="0" w:space="0" w:color="auto" w:frame="1"/>
          <w:shd w:val="clear" w:color="auto" w:fill="FFFFFF"/>
        </w:rPr>
        <w:t>”</w:t>
      </w:r>
      <w:bookmarkEnd w:id="771"/>
      <w:r w:rsidR="00501049" w:rsidRPr="007C68F1">
        <w:rPr>
          <w:bdr w:val="none" w:sz="0" w:space="0" w:color="auto" w:frame="1"/>
          <w:shd w:val="clear" w:color="auto" w:fill="FFFFFF"/>
        </w:rPr>
        <w:t xml:space="preserve">  (</w:t>
      </w:r>
      <w:bookmarkStart w:id="772" w:name="dabmci_365bd85232f540039053fe42dc4ba649"/>
      <w:r w:rsidR="00017A61" w:rsidRPr="007C68F1">
        <w:rPr>
          <w:i/>
          <w:iCs/>
          <w:bdr w:val="none" w:sz="0" w:space="0" w:color="auto" w:frame="1"/>
        </w:rPr>
        <w:t>Estrada</w:t>
      </w:r>
      <w:r w:rsidR="00BD476C" w:rsidRPr="007C68F1">
        <w:rPr>
          <w:bdr w:val="none" w:sz="0" w:space="0" w:color="auto" w:frame="1"/>
        </w:rPr>
        <w:t xml:space="preserve">, </w:t>
      </w:r>
      <w:r w:rsidR="00BD476C" w:rsidRPr="007C68F1">
        <w:rPr>
          <w:i/>
          <w:iCs/>
          <w:bdr w:val="none" w:sz="0" w:space="0" w:color="auto" w:frame="1"/>
        </w:rPr>
        <w:t>supra</w:t>
      </w:r>
      <w:r w:rsidR="00BD476C" w:rsidRPr="007C68F1">
        <w:rPr>
          <w:bdr w:val="none" w:sz="0" w:space="0" w:color="auto" w:frame="1"/>
        </w:rPr>
        <w:t>,</w:t>
      </w:r>
      <w:r w:rsidR="00017A61" w:rsidRPr="007C68F1">
        <w:t xml:space="preserve"> 76 Cal.App.5th </w:t>
      </w:r>
      <w:r w:rsidR="00BD476C" w:rsidRPr="007C68F1">
        <w:t xml:space="preserve">at p. </w:t>
      </w:r>
      <w:r w:rsidR="00017A61" w:rsidRPr="007C68F1">
        <w:t>712</w:t>
      </w:r>
      <w:bookmarkEnd w:id="772"/>
      <w:r w:rsidR="00501049" w:rsidRPr="007C68F1">
        <w:t>.)  The Legislature enacted PAGA to incentivize private parties to recover civil penalties on behalf of the overburdened state agency.</w:t>
      </w:r>
      <w:r w:rsidR="004C3ED1" w:rsidRPr="007C68F1">
        <w:t xml:space="preserve">  (</w:t>
      </w:r>
      <w:bookmarkStart w:id="773" w:name="dabmci_d0685aad27344ab9a7c1b8c792b76ec1"/>
      <w:r w:rsidR="004C3ED1" w:rsidRPr="007C68F1">
        <w:rPr>
          <w:i/>
          <w:iCs/>
        </w:rPr>
        <w:t>Arias</w:t>
      </w:r>
      <w:r w:rsidR="004C3ED1" w:rsidRPr="007C68F1">
        <w:t xml:space="preserve">, </w:t>
      </w:r>
      <w:r w:rsidR="004C3ED1" w:rsidRPr="007C68F1">
        <w:rPr>
          <w:i/>
          <w:iCs/>
        </w:rPr>
        <w:t>supra</w:t>
      </w:r>
      <w:r w:rsidR="004C3ED1" w:rsidRPr="007C68F1">
        <w:t>, 46 Cal.4th at p. 986</w:t>
      </w:r>
      <w:bookmarkEnd w:id="773"/>
      <w:r w:rsidR="004C3ED1" w:rsidRPr="007C68F1">
        <w:t xml:space="preserve"> [Legislature’s declared purpose in enacting PAGA was </w:t>
      </w:r>
      <w:bookmarkStart w:id="774" w:name="dabmq_344"/>
      <w:r w:rsidR="004C3ED1" w:rsidRPr="007C68F1">
        <w:t>“</w:t>
      </w:r>
      <w:r w:rsidR="004C3ED1" w:rsidRPr="007C68F1">
        <w:rPr>
          <w:shd w:val="clear" w:color="auto" w:fill="FFFFFF"/>
        </w:rPr>
        <w:t xml:space="preserve">to supplement enforcement actions by public agencies, </w:t>
      </w:r>
      <w:r w:rsidR="004C3ED1" w:rsidRPr="007C68F1">
        <w:rPr>
          <w:shd w:val="clear" w:color="auto" w:fill="FFFFFF"/>
        </w:rPr>
        <w:lastRenderedPageBreak/>
        <w:t>which lack adequate resources to bring all such actions themselves”</w:t>
      </w:r>
      <w:bookmarkEnd w:id="774"/>
      <w:r w:rsidR="004C3ED1" w:rsidRPr="007C68F1">
        <w:rPr>
          <w:shd w:val="clear" w:color="auto" w:fill="FFFFFF"/>
        </w:rPr>
        <w:t>]</w:t>
      </w:r>
      <w:r w:rsidR="009B03E0" w:rsidRPr="007C68F1">
        <w:rPr>
          <w:shd w:val="clear" w:color="auto" w:fill="FFFFFF"/>
        </w:rPr>
        <w:t xml:space="preserve">; § 2699, subd. (i) [75 percent of the penalties recovered </w:t>
      </w:r>
      <w:r w:rsidR="00F15A3E" w:rsidRPr="007C68F1">
        <w:rPr>
          <w:shd w:val="clear" w:color="auto" w:fill="FFFFFF"/>
        </w:rPr>
        <w:t>in a</w:t>
      </w:r>
      <w:r w:rsidR="009B03E0" w:rsidRPr="007C68F1">
        <w:rPr>
          <w:shd w:val="clear" w:color="auto" w:fill="FFFFFF"/>
        </w:rPr>
        <w:t xml:space="preserve"> PAGA </w:t>
      </w:r>
      <w:r w:rsidR="00F15A3E" w:rsidRPr="007C68F1">
        <w:rPr>
          <w:shd w:val="clear" w:color="auto" w:fill="FFFFFF"/>
        </w:rPr>
        <w:t xml:space="preserve">action </w:t>
      </w:r>
      <w:r w:rsidR="009B03E0" w:rsidRPr="007C68F1">
        <w:rPr>
          <w:shd w:val="clear" w:color="auto" w:fill="FFFFFF"/>
        </w:rPr>
        <w:t>go to the LWDA, and 25 percent go to the aggrieved employees]</w:t>
      </w:r>
      <w:r w:rsidR="004C3ED1" w:rsidRPr="007C68F1">
        <w:rPr>
          <w:shd w:val="clear" w:color="auto" w:fill="FFFFFF"/>
        </w:rPr>
        <w:t xml:space="preserve">.)  </w:t>
      </w:r>
      <w:r w:rsidR="00BD476C" w:rsidRPr="007C68F1">
        <w:rPr>
          <w:bdr w:val="none" w:sz="0" w:space="0" w:color="auto" w:frame="1"/>
          <w:shd w:val="clear" w:color="auto" w:fill="FFFFFF"/>
        </w:rPr>
        <w:t xml:space="preserve">The LWDA </w:t>
      </w:r>
      <w:bookmarkStart w:id="775" w:name="dabmq_345"/>
      <w:r w:rsidR="00581947" w:rsidRPr="007C68F1">
        <w:rPr>
          <w:bdr w:val="none" w:sz="0" w:space="0" w:color="auto" w:frame="1"/>
          <w:shd w:val="clear" w:color="auto" w:fill="FFFFFF"/>
        </w:rPr>
        <w:t>“</w:t>
      </w:r>
      <w:r w:rsidR="00BD476C" w:rsidRPr="007C68F1">
        <w:rPr>
          <w:bdr w:val="none" w:sz="0" w:space="0" w:color="auto" w:frame="1"/>
          <w:shd w:val="clear" w:color="auto" w:fill="FFFFFF"/>
        </w:rPr>
        <w:t>is not subject to a manageability requirement when it investigates Labor Code violations and assesses fines internally.”</w:t>
      </w:r>
      <w:bookmarkEnd w:id="775"/>
      <w:r w:rsidR="00BD476C" w:rsidRPr="007C68F1">
        <w:rPr>
          <w:bdr w:val="none" w:sz="0" w:space="0" w:color="auto" w:frame="1"/>
          <w:shd w:val="clear" w:color="auto" w:fill="FFFFFF"/>
        </w:rPr>
        <w:t xml:space="preserve">  (</w:t>
      </w:r>
      <w:bookmarkStart w:id="776" w:name="dabmci_444e84e2484f43d3b3d3e5bd1abac184"/>
      <w:r w:rsidR="00BD476C" w:rsidRPr="007C68F1">
        <w:rPr>
          <w:i/>
          <w:iCs/>
          <w:bdr w:val="none" w:sz="0" w:space="0" w:color="auto" w:frame="1"/>
          <w:shd w:val="clear" w:color="auto" w:fill="FFFFFF"/>
        </w:rPr>
        <w:t>Estrada</w:t>
      </w:r>
      <w:r w:rsidR="00BD476C" w:rsidRPr="007C68F1">
        <w:rPr>
          <w:bdr w:val="none" w:sz="0" w:space="0" w:color="auto" w:frame="1"/>
          <w:shd w:val="clear" w:color="auto" w:fill="FFFFFF"/>
        </w:rPr>
        <w:t>, at p. 712</w:t>
      </w:r>
      <w:bookmarkEnd w:id="776"/>
      <w:r w:rsidR="00BD476C" w:rsidRPr="007C68F1">
        <w:rPr>
          <w:bdr w:val="none" w:sz="0" w:space="0" w:color="auto" w:frame="1"/>
          <w:shd w:val="clear" w:color="auto" w:fill="FFFFFF"/>
        </w:rPr>
        <w:t>.)</w:t>
      </w:r>
      <w:r w:rsidR="00BD476C" w:rsidRPr="007C68F1">
        <w:t xml:space="preserve">  </w:t>
      </w:r>
      <w:r w:rsidR="00501049" w:rsidRPr="007C68F1">
        <w:t xml:space="preserve">Allowing courts to dismiss PAGA claims for unmanageability </w:t>
      </w:r>
      <w:r w:rsidR="00BD476C" w:rsidRPr="007C68F1">
        <w:t xml:space="preserve">places a burden on PAGA plaintiffs that does not </w:t>
      </w:r>
      <w:r w:rsidR="00C47DEF" w:rsidRPr="007C68F1">
        <w:t>fall on</w:t>
      </w:r>
      <w:r w:rsidR="00BD476C" w:rsidRPr="007C68F1">
        <w:t xml:space="preserve"> the LWDA in its own enforcement proceedings, thus undermining PAGA’s purpose and the Legislature’s objectives.</w:t>
      </w:r>
      <w:r w:rsidR="004C3ED1" w:rsidRPr="007C68F1">
        <w:t xml:space="preserve">  (</w:t>
      </w:r>
      <w:bookmarkStart w:id="777" w:name="dabmci_f194973682f94bc4b77224d287f36a0f"/>
      <w:r w:rsidR="004C3ED1" w:rsidRPr="007C68F1">
        <w:rPr>
          <w:i/>
          <w:iCs/>
        </w:rPr>
        <w:t>Ibid.</w:t>
      </w:r>
      <w:bookmarkEnd w:id="777"/>
      <w:r w:rsidR="004C3ED1" w:rsidRPr="007C68F1">
        <w:t>)</w:t>
      </w:r>
      <w:r w:rsidR="00F15A3E" w:rsidRPr="007C68F1">
        <w:t xml:space="preserve"> </w:t>
      </w:r>
    </w:p>
    <w:p w14:paraId="326AA41E" w14:textId="77777777" w:rsidR="004C1937" w:rsidRPr="007C68F1" w:rsidRDefault="00D16B2E" w:rsidP="007D1009">
      <w:pPr>
        <w:spacing w:line="480" w:lineRule="auto"/>
        <w:ind w:firstLine="720"/>
        <w:rPr>
          <w:bdr w:val="none" w:sz="0" w:space="0" w:color="auto" w:frame="1"/>
          <w:shd w:val="clear" w:color="auto" w:fill="FFFFFF"/>
        </w:rPr>
      </w:pPr>
      <w:r w:rsidRPr="007C68F1">
        <w:t xml:space="preserve">While </w:t>
      </w:r>
      <w:r w:rsidR="00F15A3E" w:rsidRPr="007C68F1">
        <w:rPr>
          <w:i/>
          <w:iCs/>
        </w:rPr>
        <w:t>Estrada</w:t>
      </w:r>
      <w:r w:rsidR="00F15A3E" w:rsidRPr="007C68F1">
        <w:t xml:space="preserve"> </w:t>
      </w:r>
      <w:r w:rsidR="00883B5D" w:rsidRPr="007C68F1">
        <w:t xml:space="preserve">held that trial courts may not strike or dismiss PAGA claims on the basis of manageability, it also held that </w:t>
      </w:r>
      <w:bookmarkStart w:id="778" w:name="dabmq_346"/>
      <w:r w:rsidR="00883B5D" w:rsidRPr="007C68F1">
        <w:t xml:space="preserve">“courts are not powerless when </w:t>
      </w:r>
      <w:r w:rsidR="009F0CB7" w:rsidRPr="007C68F1">
        <w:t>facing</w:t>
      </w:r>
      <w:r w:rsidR="00883B5D" w:rsidRPr="007C68F1">
        <w:t xml:space="preserve"> unwieldy PAGA claims.”</w:t>
      </w:r>
      <w:bookmarkEnd w:id="778"/>
      <w:r w:rsidR="00883B5D" w:rsidRPr="007C68F1">
        <w:t xml:space="preserve">  (</w:t>
      </w:r>
      <w:bookmarkStart w:id="779" w:name="dabmci_a32f727718994d258f1e180c48417e52"/>
      <w:r w:rsidR="00883B5D" w:rsidRPr="007C68F1">
        <w:rPr>
          <w:i/>
          <w:iCs/>
        </w:rPr>
        <w:t>Estrada</w:t>
      </w:r>
      <w:r w:rsidR="00883B5D" w:rsidRPr="007C68F1">
        <w:t xml:space="preserve">, </w:t>
      </w:r>
      <w:r w:rsidR="00883B5D" w:rsidRPr="007C68F1">
        <w:rPr>
          <w:i/>
          <w:iCs/>
        </w:rPr>
        <w:t>supra</w:t>
      </w:r>
      <w:r w:rsidR="00883B5D" w:rsidRPr="007C68F1">
        <w:t>, 76 Cal.App.5th at p.</w:t>
      </w:r>
      <w:r w:rsidR="002B60C2" w:rsidRPr="007C68F1">
        <w:t> </w:t>
      </w:r>
      <w:r w:rsidR="00883B5D" w:rsidRPr="007C68F1">
        <w:t>697</w:t>
      </w:r>
      <w:bookmarkEnd w:id="779"/>
      <w:r w:rsidR="00883B5D" w:rsidRPr="007C68F1">
        <w:t xml:space="preserve">.)  </w:t>
      </w:r>
      <w:r w:rsidRPr="007C68F1">
        <w:t xml:space="preserve">We agree </w:t>
      </w:r>
      <w:r w:rsidR="003523FB" w:rsidRPr="007C68F1">
        <w:t xml:space="preserve">with </w:t>
      </w:r>
      <w:r w:rsidR="003523FB" w:rsidRPr="007C68F1">
        <w:rPr>
          <w:i/>
          <w:iCs/>
        </w:rPr>
        <w:t xml:space="preserve">Estrada </w:t>
      </w:r>
      <w:r w:rsidR="003523FB" w:rsidRPr="007C68F1">
        <w:t xml:space="preserve">on that point as well. </w:t>
      </w:r>
      <w:r w:rsidR="00877DD4" w:rsidRPr="007C68F1">
        <w:t xml:space="preserve"> </w:t>
      </w:r>
      <w:bookmarkStart w:id="780" w:name="dabmq_347"/>
      <w:r w:rsidR="00877DD4" w:rsidRPr="007C68F1">
        <w:t>“[C]</w:t>
      </w:r>
      <w:r w:rsidR="00877DD4" w:rsidRPr="007C68F1">
        <w:rPr>
          <w:shd w:val="clear" w:color="auto" w:fill="FFFFFF"/>
        </w:rPr>
        <w:t>ourts may, where appropriate and within reason, limit witness testimony and other forms of evidence when determining the number of violations that occurred and the amount of penalties to assess.</w:t>
      </w:r>
      <w:r w:rsidR="00B6175B" w:rsidRPr="007C68F1">
        <w:rPr>
          <w:shd w:val="clear" w:color="auto" w:fill="FFFFFF"/>
        </w:rPr>
        <w:t xml:space="preserve">  [Citations.]  </w:t>
      </w:r>
      <w:r w:rsidR="00877DD4" w:rsidRPr="007C68F1">
        <w:rPr>
          <w:bdr w:val="none" w:sz="0" w:space="0" w:color="auto" w:frame="1"/>
          <w:shd w:val="clear" w:color="auto" w:fill="FFFFFF"/>
        </w:rPr>
        <w:t>Consequently, in cases with individualized circumstances and vast numbers of alleged aggrieved employees, PAGA plaintiffs may have difficulty proving purported violations suffered by other employees.”</w:t>
      </w:r>
      <w:bookmarkEnd w:id="780"/>
      <w:r w:rsidR="00877DD4" w:rsidRPr="007C68F1">
        <w:rPr>
          <w:bdr w:val="none" w:sz="0" w:space="0" w:color="auto" w:frame="1"/>
          <w:shd w:val="clear" w:color="auto" w:fill="FFFFFF"/>
        </w:rPr>
        <w:t xml:space="preserve">  (</w:t>
      </w:r>
      <w:bookmarkStart w:id="781" w:name="dabmci_5c6e556c5853487288287c90e180250b"/>
      <w:r w:rsidR="00877DD4" w:rsidRPr="007C68F1">
        <w:rPr>
          <w:i/>
          <w:iCs/>
          <w:bdr w:val="none" w:sz="0" w:space="0" w:color="auto" w:frame="1"/>
          <w:shd w:val="clear" w:color="auto" w:fill="FFFFFF"/>
        </w:rPr>
        <w:t>Id.</w:t>
      </w:r>
      <w:r w:rsidR="00877DD4" w:rsidRPr="007C68F1">
        <w:rPr>
          <w:bdr w:val="none" w:sz="0" w:space="0" w:color="auto" w:frame="1"/>
          <w:shd w:val="clear" w:color="auto" w:fill="FFFFFF"/>
        </w:rPr>
        <w:t xml:space="preserve"> at p. 713</w:t>
      </w:r>
      <w:bookmarkEnd w:id="781"/>
      <w:r w:rsidR="00877DD4" w:rsidRPr="007C68F1">
        <w:rPr>
          <w:bdr w:val="none" w:sz="0" w:space="0" w:color="auto" w:frame="1"/>
          <w:shd w:val="clear" w:color="auto" w:fill="FFFFFF"/>
        </w:rPr>
        <w:t>.)</w:t>
      </w:r>
      <w:r w:rsidR="00B6175B" w:rsidRPr="007C68F1">
        <w:rPr>
          <w:bdr w:val="none" w:sz="0" w:space="0" w:color="auto" w:frame="1"/>
          <w:shd w:val="clear" w:color="auto" w:fill="FFFFFF"/>
        </w:rPr>
        <w:t xml:space="preserve"> </w:t>
      </w:r>
      <w:r w:rsidR="00BE1682" w:rsidRPr="007C68F1">
        <w:rPr>
          <w:bdr w:val="none" w:sz="0" w:space="0" w:color="auto" w:frame="1"/>
          <w:shd w:val="clear" w:color="auto" w:fill="FFFFFF"/>
        </w:rPr>
        <w:t xml:space="preserve"> Like the</w:t>
      </w:r>
      <w:r w:rsidR="008965BD" w:rsidRPr="007C68F1">
        <w:rPr>
          <w:bdr w:val="none" w:sz="0" w:space="0" w:color="auto" w:frame="1"/>
          <w:shd w:val="clear" w:color="auto" w:fill="FFFFFF"/>
        </w:rPr>
        <w:t xml:space="preserve"> court in</w:t>
      </w:r>
      <w:r w:rsidR="00BE1682" w:rsidRPr="007C68F1">
        <w:rPr>
          <w:bdr w:val="none" w:sz="0" w:space="0" w:color="auto" w:frame="1"/>
          <w:shd w:val="clear" w:color="auto" w:fill="FFFFFF"/>
        </w:rPr>
        <w:t xml:space="preserve"> </w:t>
      </w:r>
      <w:bookmarkStart w:id="782" w:name="dabmci_bae9db6371dc4040ac6239152e8a4aa8"/>
      <w:r w:rsidR="00BE1682" w:rsidRPr="007C68F1">
        <w:rPr>
          <w:i/>
          <w:iCs/>
          <w:bdr w:val="none" w:sz="0" w:space="0" w:color="auto" w:frame="1"/>
          <w:shd w:val="clear" w:color="auto" w:fill="FFFFFF"/>
        </w:rPr>
        <w:t>Estrada</w:t>
      </w:r>
      <w:bookmarkEnd w:id="782"/>
      <w:r w:rsidR="00BE1682" w:rsidRPr="007C68F1">
        <w:rPr>
          <w:bdr w:val="none" w:sz="0" w:space="0" w:color="auto" w:frame="1"/>
          <w:shd w:val="clear" w:color="auto" w:fill="FFFFFF"/>
        </w:rPr>
        <w:t>, we encourage</w:t>
      </w:r>
      <w:r w:rsidR="00B6175B" w:rsidRPr="007C68F1">
        <w:rPr>
          <w:bdr w:val="none" w:sz="0" w:space="0" w:color="auto" w:frame="1"/>
          <w:shd w:val="clear" w:color="auto" w:fill="FFFFFF"/>
        </w:rPr>
        <w:t xml:space="preserve"> the parties </w:t>
      </w:r>
      <w:r w:rsidR="00BE1682" w:rsidRPr="007C68F1">
        <w:rPr>
          <w:bdr w:val="none" w:sz="0" w:space="0" w:color="auto" w:frame="1"/>
          <w:shd w:val="clear" w:color="auto" w:fill="FFFFFF"/>
        </w:rPr>
        <w:t>to</w:t>
      </w:r>
      <w:r w:rsidR="00B6175B" w:rsidRPr="007C68F1">
        <w:rPr>
          <w:bdr w:val="none" w:sz="0" w:space="0" w:color="auto" w:frame="1"/>
          <w:shd w:val="clear" w:color="auto" w:fill="FFFFFF"/>
        </w:rPr>
        <w:t xml:space="preserve"> </w:t>
      </w:r>
      <w:r w:rsidR="00BE1682" w:rsidRPr="007C68F1">
        <w:rPr>
          <w:bdr w:val="none" w:sz="0" w:space="0" w:color="auto" w:frame="1"/>
          <w:shd w:val="clear" w:color="auto" w:fill="FFFFFF"/>
        </w:rPr>
        <w:t xml:space="preserve">try to overcome any difficulties by </w:t>
      </w:r>
      <w:bookmarkStart w:id="783" w:name="dabmq_348"/>
      <w:r w:rsidR="00B6175B" w:rsidRPr="007C68F1">
        <w:rPr>
          <w:bdr w:val="none" w:sz="0" w:space="0" w:color="auto" w:frame="1"/>
          <w:shd w:val="clear" w:color="auto" w:fill="FFFFFF"/>
        </w:rPr>
        <w:t>“work</w:t>
      </w:r>
      <w:r w:rsidR="00BE1682" w:rsidRPr="007C68F1">
        <w:rPr>
          <w:bdr w:val="none" w:sz="0" w:space="0" w:color="auto" w:frame="1"/>
          <w:shd w:val="clear" w:color="auto" w:fill="FFFFFF"/>
        </w:rPr>
        <w:t>[ing]</w:t>
      </w:r>
      <w:r w:rsidR="00B6175B" w:rsidRPr="007C68F1">
        <w:rPr>
          <w:bdr w:val="none" w:sz="0" w:space="0" w:color="auto" w:frame="1"/>
          <w:shd w:val="clear" w:color="auto" w:fill="FFFFFF"/>
        </w:rPr>
        <w:t xml:space="preserve"> with the trial court</w:t>
      </w:r>
      <w:r w:rsidR="009F0CB7" w:rsidRPr="007C68F1">
        <w:rPr>
          <w:bdr w:val="none" w:sz="0" w:space="0" w:color="auto" w:frame="1"/>
          <w:shd w:val="clear" w:color="auto" w:fill="FFFFFF"/>
        </w:rPr>
        <w:t>s</w:t>
      </w:r>
      <w:r w:rsidR="00B6175B" w:rsidRPr="007C68F1">
        <w:rPr>
          <w:bdr w:val="none" w:sz="0" w:space="0" w:color="auto" w:frame="1"/>
          <w:shd w:val="clear" w:color="auto" w:fill="FFFFFF"/>
        </w:rPr>
        <w:t xml:space="preserve"> </w:t>
      </w:r>
      <w:r w:rsidR="00BE1682" w:rsidRPr="007C68F1">
        <w:rPr>
          <w:bdr w:val="none" w:sz="0" w:space="0" w:color="auto" w:frame="1"/>
          <w:shd w:val="clear" w:color="auto" w:fill="FFFFFF"/>
        </w:rPr>
        <w:t>. . .</w:t>
      </w:r>
      <w:r w:rsidR="00B6175B" w:rsidRPr="007C68F1">
        <w:rPr>
          <w:bdr w:val="none" w:sz="0" w:space="0" w:color="auto" w:frame="1"/>
          <w:shd w:val="clear" w:color="auto" w:fill="FFFFFF"/>
        </w:rPr>
        <w:t xml:space="preserve"> to define a workable group or groups of aggrieved employees for which violations can more easily be shown.”</w:t>
      </w:r>
      <w:bookmarkEnd w:id="783"/>
      <w:r w:rsidR="00B6175B" w:rsidRPr="007C68F1">
        <w:rPr>
          <w:bdr w:val="none" w:sz="0" w:space="0" w:color="auto" w:frame="1"/>
          <w:shd w:val="clear" w:color="auto" w:fill="FFFFFF"/>
        </w:rPr>
        <w:t xml:space="preserve">  (</w:t>
      </w:r>
      <w:bookmarkStart w:id="784" w:name="dabmci_94212177c3d7412dbd2bc068672b06de"/>
      <w:r w:rsidR="00B6175B" w:rsidRPr="007C68F1">
        <w:rPr>
          <w:i/>
          <w:iCs/>
          <w:bdr w:val="none" w:sz="0" w:space="0" w:color="auto" w:frame="1"/>
          <w:shd w:val="clear" w:color="auto" w:fill="FFFFFF"/>
        </w:rPr>
        <w:t>Ibid.</w:t>
      </w:r>
      <w:bookmarkEnd w:id="784"/>
      <w:r w:rsidR="00B6175B" w:rsidRPr="007C68F1">
        <w:rPr>
          <w:bdr w:val="none" w:sz="0" w:space="0" w:color="auto" w:frame="1"/>
          <w:shd w:val="clear" w:color="auto" w:fill="FFFFFF"/>
        </w:rPr>
        <w:t xml:space="preserve">)  </w:t>
      </w:r>
      <w:r w:rsidR="00571BAA" w:rsidRPr="007C68F1">
        <w:rPr>
          <w:bdr w:val="none" w:sz="0" w:space="0" w:color="auto" w:frame="1"/>
          <w:shd w:val="clear" w:color="auto" w:fill="FFFFFF"/>
        </w:rPr>
        <w:t xml:space="preserve">For instance, </w:t>
      </w:r>
      <w:r w:rsidR="00665028" w:rsidRPr="007C68F1">
        <w:rPr>
          <w:bdr w:val="none" w:sz="0" w:space="0" w:color="auto" w:frame="1"/>
          <w:shd w:val="clear" w:color="auto" w:fill="FFFFFF"/>
        </w:rPr>
        <w:t>the parties</w:t>
      </w:r>
      <w:r w:rsidR="00571BAA" w:rsidRPr="007C68F1">
        <w:rPr>
          <w:bdr w:val="none" w:sz="0" w:space="0" w:color="auto" w:frame="1"/>
          <w:shd w:val="clear" w:color="auto" w:fill="FFFFFF"/>
        </w:rPr>
        <w:t xml:space="preserve"> could </w:t>
      </w:r>
      <w:r w:rsidR="00B70725" w:rsidRPr="007C68F1">
        <w:rPr>
          <w:bdr w:val="none" w:sz="0" w:space="0" w:color="auto" w:frame="1"/>
          <w:shd w:val="clear" w:color="auto" w:fill="FFFFFF"/>
        </w:rPr>
        <w:t xml:space="preserve">agree to </w:t>
      </w:r>
      <w:r w:rsidR="009C416F" w:rsidRPr="007C68F1">
        <w:rPr>
          <w:bdr w:val="none" w:sz="0" w:space="0" w:color="auto" w:frame="1"/>
          <w:shd w:val="clear" w:color="auto" w:fill="FFFFFF"/>
        </w:rPr>
        <w:t xml:space="preserve">limit </w:t>
      </w:r>
      <w:r w:rsidR="00957AA9" w:rsidRPr="007C68F1">
        <w:rPr>
          <w:bdr w:val="none" w:sz="0" w:space="0" w:color="auto" w:frame="1"/>
          <w:shd w:val="clear" w:color="auto" w:fill="FFFFFF"/>
        </w:rPr>
        <w:t xml:space="preserve">the </w:t>
      </w:r>
      <w:r w:rsidR="009C416F" w:rsidRPr="007C68F1">
        <w:rPr>
          <w:bdr w:val="none" w:sz="0" w:space="0" w:color="auto" w:frame="1"/>
          <w:shd w:val="clear" w:color="auto" w:fill="FFFFFF"/>
        </w:rPr>
        <w:t xml:space="preserve">scope of the PAGA claim by </w:t>
      </w:r>
      <w:r w:rsidR="00957AA9" w:rsidRPr="007C68F1">
        <w:rPr>
          <w:bdr w:val="none" w:sz="0" w:space="0" w:color="auto" w:frame="1"/>
          <w:shd w:val="clear" w:color="auto" w:fill="FFFFFF"/>
        </w:rPr>
        <w:t>defining</w:t>
      </w:r>
      <w:r w:rsidR="00571BAA" w:rsidRPr="007C68F1">
        <w:rPr>
          <w:bdr w:val="none" w:sz="0" w:space="0" w:color="auto" w:frame="1"/>
          <w:shd w:val="clear" w:color="auto" w:fill="FFFFFF"/>
        </w:rPr>
        <w:t xml:space="preserve"> the aggrieved employees </w:t>
      </w:r>
      <w:r w:rsidR="00957AA9" w:rsidRPr="007C68F1">
        <w:rPr>
          <w:bdr w:val="none" w:sz="0" w:space="0" w:color="auto" w:frame="1"/>
          <w:shd w:val="clear" w:color="auto" w:fill="FFFFFF"/>
        </w:rPr>
        <w:t>as</w:t>
      </w:r>
      <w:r w:rsidR="00571BAA" w:rsidRPr="007C68F1">
        <w:rPr>
          <w:bdr w:val="none" w:sz="0" w:space="0" w:color="auto" w:frame="1"/>
          <w:shd w:val="clear" w:color="auto" w:fill="FFFFFF"/>
        </w:rPr>
        <w:t xml:space="preserve"> those in a single department or at a single location.  (</w:t>
      </w:r>
      <w:bookmarkStart w:id="785" w:name="dabmci_3d73da5b6f6f45cab9b78ba289440d45"/>
      <w:r w:rsidR="00571BAA" w:rsidRPr="007C68F1">
        <w:rPr>
          <w:i/>
          <w:iCs/>
          <w:bdr w:val="none" w:sz="0" w:space="0" w:color="auto" w:frame="1"/>
          <w:shd w:val="clear" w:color="auto" w:fill="FFFFFF"/>
        </w:rPr>
        <w:t>Id</w:t>
      </w:r>
      <w:r w:rsidR="00571BAA" w:rsidRPr="007C68F1">
        <w:rPr>
          <w:bdr w:val="none" w:sz="0" w:space="0" w:color="auto" w:frame="1"/>
          <w:shd w:val="clear" w:color="auto" w:fill="FFFFFF"/>
        </w:rPr>
        <w:t>. at p.</w:t>
      </w:r>
      <w:r w:rsidR="00802F96">
        <w:rPr>
          <w:bdr w:val="none" w:sz="0" w:space="0" w:color="auto" w:frame="1"/>
          <w:shd w:val="clear" w:color="auto" w:fill="FFFFFF"/>
        </w:rPr>
        <w:t> </w:t>
      </w:r>
      <w:r w:rsidR="00571BAA" w:rsidRPr="007C68F1">
        <w:rPr>
          <w:bdr w:val="none" w:sz="0" w:space="0" w:color="auto" w:frame="1"/>
          <w:shd w:val="clear" w:color="auto" w:fill="FFFFFF"/>
        </w:rPr>
        <w:t>713, fn. 8</w:t>
      </w:r>
      <w:bookmarkEnd w:id="785"/>
      <w:r w:rsidR="00571BAA" w:rsidRPr="007C68F1">
        <w:rPr>
          <w:bdr w:val="none" w:sz="0" w:space="0" w:color="auto" w:frame="1"/>
          <w:shd w:val="clear" w:color="auto" w:fill="FFFFFF"/>
        </w:rPr>
        <w:t xml:space="preserve">.)  </w:t>
      </w:r>
    </w:p>
    <w:p w14:paraId="4026D0B7" w14:textId="77777777" w:rsidR="002A5AC0" w:rsidRPr="007C68F1" w:rsidRDefault="00D16B2E" w:rsidP="007D1009">
      <w:pPr>
        <w:spacing w:line="480" w:lineRule="auto"/>
        <w:ind w:firstLine="720"/>
        <w:rPr>
          <w:bdr w:val="none" w:sz="0" w:space="0" w:color="auto" w:frame="1"/>
        </w:rPr>
      </w:pPr>
      <w:r w:rsidRPr="007C68F1">
        <w:rPr>
          <w:i/>
          <w:iCs/>
          <w:bdr w:val="none" w:sz="0" w:space="0" w:color="auto" w:frame="1"/>
        </w:rPr>
        <w:lastRenderedPageBreak/>
        <w:t>Estrada</w:t>
      </w:r>
      <w:r w:rsidRPr="007C68F1">
        <w:rPr>
          <w:bdr w:val="none" w:sz="0" w:space="0" w:color="auto" w:frame="1"/>
        </w:rPr>
        <w:t xml:space="preserve">’s approach to PAGA claims has the virtue of incentivizing the parties to cooperate </w:t>
      </w:r>
      <w:r w:rsidR="00FB0430" w:rsidRPr="007C68F1">
        <w:rPr>
          <w:bdr w:val="none" w:sz="0" w:space="0" w:color="auto" w:frame="1"/>
        </w:rPr>
        <w:t xml:space="preserve">in devising </w:t>
      </w:r>
      <w:r w:rsidR="004C1937" w:rsidRPr="007C68F1">
        <w:rPr>
          <w:bdr w:val="none" w:sz="0" w:space="0" w:color="auto" w:frame="1"/>
        </w:rPr>
        <w:t>a plan that</w:t>
      </w:r>
      <w:r w:rsidR="00FB0430" w:rsidRPr="007C68F1">
        <w:rPr>
          <w:bdr w:val="none" w:sz="0" w:space="0" w:color="auto" w:frame="1"/>
        </w:rPr>
        <w:t xml:space="preserve"> works for trial.  </w:t>
      </w:r>
      <w:r w:rsidR="00FB0430" w:rsidRPr="007C68F1">
        <w:rPr>
          <w:i/>
          <w:iCs/>
          <w:bdr w:val="none" w:sz="0" w:space="0" w:color="auto" w:frame="1"/>
        </w:rPr>
        <w:t>Wesson</w:t>
      </w:r>
      <w:r w:rsidR="00FB0430" w:rsidRPr="007C68F1">
        <w:rPr>
          <w:bdr w:val="none" w:sz="0" w:space="0" w:color="auto" w:frame="1"/>
        </w:rPr>
        <w:t>’s approach, however, disincentivizes cooperation and instead incentivizes employers to portray PAGA claims as hopelessly unmanageable.</w:t>
      </w:r>
      <w:r w:rsidR="004C1937" w:rsidRPr="007C68F1">
        <w:rPr>
          <w:bdr w:val="none" w:sz="0" w:space="0" w:color="auto" w:frame="1"/>
        </w:rPr>
        <w:t xml:space="preserve">  </w:t>
      </w:r>
      <w:r w:rsidR="0004187E" w:rsidRPr="007C68F1">
        <w:rPr>
          <w:bdr w:val="none" w:sz="0" w:space="0" w:color="auto" w:frame="1"/>
          <w:shd w:val="clear" w:color="auto" w:fill="FFFFFF"/>
        </w:rPr>
        <w:t>Ultimately, PAGA plaintiff</w:t>
      </w:r>
      <w:r w:rsidR="00665028" w:rsidRPr="007C68F1">
        <w:rPr>
          <w:bdr w:val="none" w:sz="0" w:space="0" w:color="auto" w:frame="1"/>
          <w:shd w:val="clear" w:color="auto" w:fill="FFFFFF"/>
        </w:rPr>
        <w:t>s</w:t>
      </w:r>
      <w:r w:rsidR="0004187E" w:rsidRPr="007C68F1">
        <w:rPr>
          <w:bdr w:val="none" w:sz="0" w:space="0" w:color="auto" w:frame="1"/>
          <w:shd w:val="clear" w:color="auto" w:fill="FFFFFF"/>
        </w:rPr>
        <w:t xml:space="preserve"> m</w:t>
      </w:r>
      <w:r w:rsidR="00877DD4" w:rsidRPr="007C68F1">
        <w:rPr>
          <w:bdr w:val="none" w:sz="0" w:space="0" w:color="auto" w:frame="1"/>
          <w:shd w:val="clear" w:color="auto" w:fill="FFFFFF"/>
        </w:rPr>
        <w:t>ay prove that the employer violated the Labor Code with respect to all of the aggrieved employees, some of them, or none at all.  (</w:t>
      </w:r>
      <w:bookmarkStart w:id="786" w:name="dabmci_cae44106cde44a9dad6f47341da44b95"/>
      <w:r w:rsidR="009E0A2E" w:rsidRPr="007C68F1">
        <w:rPr>
          <w:i/>
          <w:iCs/>
        </w:rPr>
        <w:t>Estrada</w:t>
      </w:r>
      <w:r w:rsidR="009E0A2E" w:rsidRPr="007C68F1">
        <w:t xml:space="preserve">, </w:t>
      </w:r>
      <w:r w:rsidR="009E0A2E" w:rsidRPr="007C68F1">
        <w:rPr>
          <w:i/>
          <w:iCs/>
        </w:rPr>
        <w:t>supra</w:t>
      </w:r>
      <w:r w:rsidR="009E0A2E" w:rsidRPr="007C68F1">
        <w:t xml:space="preserve">, 76 Cal.App.5th at </w:t>
      </w:r>
      <w:r w:rsidR="00665028" w:rsidRPr="007C68F1">
        <w:t>p. 713</w:t>
      </w:r>
      <w:bookmarkEnd w:id="786"/>
      <w:r w:rsidR="00665028" w:rsidRPr="007C68F1">
        <w:t>.</w:t>
      </w:r>
      <w:r w:rsidR="00877DD4" w:rsidRPr="007C68F1">
        <w:rPr>
          <w:bdr w:val="none" w:sz="0" w:space="0" w:color="auto" w:frame="1"/>
          <w:shd w:val="clear" w:color="auto" w:fill="FFFFFF"/>
        </w:rPr>
        <w:t>)</w:t>
      </w:r>
      <w:r w:rsidR="009C7E56" w:rsidRPr="007C68F1">
        <w:t xml:space="preserve"> </w:t>
      </w:r>
      <w:r w:rsidR="005C09C7" w:rsidRPr="007C68F1">
        <w:t xml:space="preserve"> </w:t>
      </w:r>
      <w:r w:rsidR="00BE1682" w:rsidRPr="007C68F1">
        <w:rPr>
          <w:bdr w:val="none" w:sz="0" w:space="0" w:color="auto" w:frame="1"/>
          <w:shd w:val="clear" w:color="auto" w:fill="FFFFFF"/>
        </w:rPr>
        <w:t xml:space="preserve">But </w:t>
      </w:r>
      <w:r w:rsidR="00665028" w:rsidRPr="007C68F1">
        <w:rPr>
          <w:bdr w:val="none" w:sz="0" w:space="0" w:color="auto" w:frame="1"/>
          <w:shd w:val="clear" w:color="auto" w:fill="FFFFFF"/>
        </w:rPr>
        <w:t xml:space="preserve">even if </w:t>
      </w:r>
      <w:r w:rsidR="009C416F" w:rsidRPr="007C68F1">
        <w:rPr>
          <w:bdr w:val="none" w:sz="0" w:space="0" w:color="auto" w:frame="1"/>
          <w:shd w:val="clear" w:color="auto" w:fill="FFFFFF"/>
        </w:rPr>
        <w:t>a PAGA</w:t>
      </w:r>
      <w:r w:rsidR="00665028" w:rsidRPr="007C68F1">
        <w:rPr>
          <w:bdr w:val="none" w:sz="0" w:space="0" w:color="auto" w:frame="1"/>
          <w:shd w:val="clear" w:color="auto" w:fill="FFFFFF"/>
        </w:rPr>
        <w:t xml:space="preserve"> claim is somewhat burdensome </w:t>
      </w:r>
      <w:r w:rsidR="0028472D" w:rsidRPr="007C68F1">
        <w:rPr>
          <w:bdr w:val="none" w:sz="0" w:space="0" w:color="auto" w:frame="1"/>
          <w:shd w:val="clear" w:color="auto" w:fill="FFFFFF"/>
        </w:rPr>
        <w:t>to try</w:t>
      </w:r>
      <w:r w:rsidR="00665028" w:rsidRPr="007C68F1">
        <w:rPr>
          <w:bdr w:val="none" w:sz="0" w:space="0" w:color="auto" w:frame="1"/>
          <w:shd w:val="clear" w:color="auto" w:fill="FFFFFF"/>
        </w:rPr>
        <w:t xml:space="preserve">, it </w:t>
      </w:r>
      <w:r w:rsidR="009E0A2E" w:rsidRPr="007C68F1">
        <w:rPr>
          <w:bdr w:val="none" w:sz="0" w:space="0" w:color="auto" w:frame="1"/>
          <w:shd w:val="clear" w:color="auto" w:fill="FFFFFF"/>
        </w:rPr>
        <w:t xml:space="preserve">should </w:t>
      </w:r>
      <w:bookmarkStart w:id="787" w:name="dabmq_349"/>
      <w:r w:rsidR="009E0A2E" w:rsidRPr="007C68F1">
        <w:rPr>
          <w:bdr w:val="none" w:sz="0" w:space="0" w:color="auto" w:frame="1"/>
          <w:shd w:val="clear" w:color="auto" w:fill="FFFFFF"/>
        </w:rPr>
        <w:t>“</w:t>
      </w:r>
      <w:r w:rsidR="0028472D" w:rsidRPr="007C68F1">
        <w:rPr>
          <w:bdr w:val="none" w:sz="0" w:space="0" w:color="auto" w:frame="1"/>
          <w:shd w:val="clear" w:color="auto" w:fill="FFFFFF"/>
        </w:rPr>
        <w:t>‘</w:t>
      </w:r>
      <w:r w:rsidR="00877DD4" w:rsidRPr="007C68F1">
        <w:rPr>
          <w:bdr w:val="none" w:sz="0" w:space="0" w:color="auto" w:frame="1"/>
          <w:shd w:val="clear" w:color="auto" w:fill="FFFFFF"/>
        </w:rPr>
        <w:t xml:space="preserve">not mean that </w:t>
      </w:r>
      <w:r w:rsidR="00665028" w:rsidRPr="007C68F1">
        <w:rPr>
          <w:bdr w:val="none" w:sz="0" w:space="0" w:color="auto" w:frame="1"/>
          <w:shd w:val="clear" w:color="auto" w:fill="FFFFFF"/>
        </w:rPr>
        <w:t>[the plaintiff]</w:t>
      </w:r>
      <w:r w:rsidR="00877DD4" w:rsidRPr="007C68F1">
        <w:rPr>
          <w:bdr w:val="none" w:sz="0" w:space="0" w:color="auto" w:frame="1"/>
          <w:shd w:val="clear" w:color="auto" w:fill="FFFFFF"/>
        </w:rPr>
        <w:t xml:space="preserve"> cannot bring it at all.</w:t>
      </w:r>
      <w:r w:rsidR="00665028" w:rsidRPr="007C68F1">
        <w:rPr>
          <w:bdr w:val="none" w:sz="0" w:space="0" w:color="auto" w:frame="1"/>
          <w:shd w:val="clear" w:color="auto" w:fill="FFFFFF"/>
        </w:rPr>
        <w:t>’</w:t>
      </w:r>
      <w:r w:rsidR="00877DD4" w:rsidRPr="007C68F1">
        <w:rPr>
          <w:bdr w:val="none" w:sz="0" w:space="0" w:color="auto" w:frame="1"/>
          <w:shd w:val="clear" w:color="auto" w:fill="FFFFFF"/>
        </w:rPr>
        <w:t>”</w:t>
      </w:r>
      <w:bookmarkEnd w:id="787"/>
      <w:r w:rsidR="009F0CB7" w:rsidRPr="007C68F1">
        <w:rPr>
          <w:bdr w:val="none" w:sz="0" w:space="0" w:color="auto" w:frame="1"/>
          <w:shd w:val="clear" w:color="auto" w:fill="FFFFFF"/>
        </w:rPr>
        <w:t xml:space="preserve"> </w:t>
      </w:r>
      <w:r w:rsidR="00DB10EC" w:rsidRPr="007C68F1">
        <w:rPr>
          <w:shd w:val="clear" w:color="auto" w:fill="FFFFFF"/>
        </w:rPr>
        <w:t xml:space="preserve"> </w:t>
      </w:r>
      <w:r w:rsidR="00877DD4" w:rsidRPr="007C68F1">
        <w:rPr>
          <w:shd w:val="clear" w:color="auto" w:fill="FFFFFF"/>
        </w:rPr>
        <w:t>(</w:t>
      </w:r>
      <w:bookmarkStart w:id="788" w:name="dabmci_6ab17d5bc3a34bfb908dea182e4b2424"/>
      <w:r w:rsidR="00665028" w:rsidRPr="007C68F1">
        <w:rPr>
          <w:i/>
          <w:iCs/>
          <w:bdr w:val="none" w:sz="0" w:space="0" w:color="auto" w:frame="1"/>
        </w:rPr>
        <w:t>Ibid</w:t>
      </w:r>
      <w:r w:rsidR="00665028" w:rsidRPr="007C68F1">
        <w:rPr>
          <w:bdr w:val="none" w:sz="0" w:space="0" w:color="auto" w:frame="1"/>
        </w:rPr>
        <w:t>.</w:t>
      </w:r>
      <w:bookmarkEnd w:id="788"/>
      <w:r w:rsidR="00665028" w:rsidRPr="007C68F1">
        <w:rPr>
          <w:bdr w:val="none" w:sz="0" w:space="0" w:color="auto" w:frame="1"/>
        </w:rPr>
        <w:t>)</w:t>
      </w:r>
    </w:p>
    <w:p w14:paraId="2C21D0B4" w14:textId="77777777" w:rsidR="00BA1D35" w:rsidRDefault="00D16B2E" w:rsidP="007D1009">
      <w:pPr>
        <w:spacing w:line="480" w:lineRule="auto"/>
        <w:ind w:firstLine="720"/>
      </w:pPr>
      <w:r w:rsidRPr="007C68F1">
        <w:rPr>
          <w:bdr w:val="none" w:sz="0" w:space="0" w:color="auto" w:frame="1"/>
        </w:rPr>
        <w:t xml:space="preserve">For </w:t>
      </w:r>
      <w:r w:rsidR="00400AE6" w:rsidRPr="007C68F1">
        <w:rPr>
          <w:bdr w:val="none" w:sz="0" w:space="0" w:color="auto" w:frame="1"/>
        </w:rPr>
        <w:t xml:space="preserve">all of </w:t>
      </w:r>
      <w:r w:rsidRPr="007C68F1">
        <w:rPr>
          <w:bdr w:val="none" w:sz="0" w:space="0" w:color="auto" w:frame="1"/>
        </w:rPr>
        <w:t xml:space="preserve">these reasons, we </w:t>
      </w:r>
      <w:r w:rsidR="005C09C7" w:rsidRPr="007C68F1">
        <w:rPr>
          <w:bdr w:val="none" w:sz="0" w:space="0" w:color="auto" w:frame="1"/>
        </w:rPr>
        <w:t>conclude that tr</w:t>
      </w:r>
      <w:r w:rsidR="005C09C7" w:rsidRPr="007C68F1">
        <w:t xml:space="preserve">ial courts may not strike or dismiss a PAGA claim for lack of manageability.  When faced with unwieldy PAGA claims, the courts may limit the scope of the claims or the evidence to be presented at trial, but they may not </w:t>
      </w:r>
      <w:r w:rsidR="00400AE6" w:rsidRPr="007C68F1">
        <w:t>prohibit</w:t>
      </w:r>
      <w:r w:rsidR="005C09C7" w:rsidRPr="007C68F1">
        <w:t xml:space="preserve"> PAGA plaintiffs from presenting their claims entirely.  </w:t>
      </w:r>
      <w:r w:rsidR="00A603F1" w:rsidRPr="007C68F1">
        <w:t xml:space="preserve">Accordingly, the medical center’s argument that the PAGA cause of action should have been stricken as unmanageable does not provide an alternative ground to affirm the </w:t>
      </w:r>
      <w:r w:rsidR="00F2280B" w:rsidRPr="007C68F1">
        <w:t xml:space="preserve">erroneous </w:t>
      </w:r>
      <w:r w:rsidR="00A603F1" w:rsidRPr="007C68F1">
        <w:t>orders terminating the PAGA claims.</w:t>
      </w:r>
    </w:p>
    <w:p w14:paraId="2850432A" w14:textId="77777777" w:rsidR="00E266FF" w:rsidRDefault="00D16B2E">
      <w:pPr>
        <w:spacing w:after="160" w:line="259" w:lineRule="auto"/>
      </w:pPr>
      <w:r>
        <w:br w:type="page"/>
      </w:r>
    </w:p>
    <w:p w14:paraId="2A2D5775" w14:textId="77777777" w:rsidR="00876386" w:rsidRPr="007C68F1" w:rsidRDefault="00D16B2E" w:rsidP="007D1009">
      <w:pPr>
        <w:keepNext/>
        <w:spacing w:line="480" w:lineRule="auto"/>
        <w:jc w:val="center"/>
      </w:pPr>
      <w:r w:rsidRPr="007C68F1">
        <w:lastRenderedPageBreak/>
        <w:t>DISPOSITION</w:t>
      </w:r>
    </w:p>
    <w:p w14:paraId="2880FBFF" w14:textId="77777777" w:rsidR="003D12A2" w:rsidRPr="007C68F1" w:rsidRDefault="00D16B2E" w:rsidP="007D1009">
      <w:pPr>
        <w:spacing w:line="480" w:lineRule="auto"/>
        <w:ind w:firstLine="720"/>
      </w:pPr>
      <w:r w:rsidRPr="007C68F1">
        <w:t>The medical center’s</w:t>
      </w:r>
      <w:r w:rsidR="00295306" w:rsidRPr="007C68F1">
        <w:t xml:space="preserve"> motion for partial dismissal of the appeal is denied.</w:t>
      </w:r>
      <w:r w:rsidRPr="007C68F1">
        <w:t xml:space="preserve">  Woodworth’s motion to dismiss the cross-appeal is </w:t>
      </w:r>
      <w:r w:rsidR="00846512" w:rsidRPr="007C68F1">
        <w:t>granted</w:t>
      </w:r>
      <w:r w:rsidRPr="007C68F1">
        <w:t>.</w:t>
      </w:r>
      <w:r w:rsidR="00F75817" w:rsidRPr="007C68F1">
        <w:t xml:space="preserve">  The November 2018 order granting the medical center’s motion for summary adjudication on the rounding claim is </w:t>
      </w:r>
      <w:r w:rsidR="0051521F" w:rsidRPr="007C68F1">
        <w:t>reversed</w:t>
      </w:r>
      <w:r w:rsidR="00F75817" w:rsidRPr="007C68F1">
        <w:t>.</w:t>
      </w:r>
      <w:r w:rsidR="0051521F" w:rsidRPr="007C68F1">
        <w:t xml:space="preserve">  On remand, the </w:t>
      </w:r>
      <w:r w:rsidR="00A97B06" w:rsidRPr="007C68F1">
        <w:t xml:space="preserve">trial </w:t>
      </w:r>
      <w:r w:rsidR="0051521F" w:rsidRPr="007C68F1">
        <w:t>court shall enter a new order denying the motion for summary adjudication on the rounding claim.</w:t>
      </w:r>
      <w:r w:rsidR="00443B42" w:rsidRPr="007C68F1">
        <w:t xml:space="preserve">  </w:t>
      </w:r>
    </w:p>
    <w:p w14:paraId="77502CF7" w14:textId="77777777" w:rsidR="00AF5BC1" w:rsidRPr="007C68F1" w:rsidRDefault="00D16B2E" w:rsidP="007D1009">
      <w:pPr>
        <w:spacing w:line="480" w:lineRule="auto"/>
        <w:ind w:firstLine="720"/>
      </w:pPr>
      <w:r w:rsidRPr="007C68F1">
        <w:t xml:space="preserve">The March 2019 order </w:t>
      </w:r>
      <w:r w:rsidR="003D12A2" w:rsidRPr="007C68F1">
        <w:t xml:space="preserve">denying Woodworth’s motion for class certification and </w:t>
      </w:r>
      <w:r w:rsidRPr="007C68F1">
        <w:t xml:space="preserve">denying </w:t>
      </w:r>
      <w:r w:rsidR="003D12A2" w:rsidRPr="007C68F1">
        <w:t>her</w:t>
      </w:r>
      <w:r w:rsidRPr="007C68F1">
        <w:t xml:space="preserve"> motion to strike the putative class member</w:t>
      </w:r>
      <w:r w:rsidR="0009635F" w:rsidRPr="007C68F1">
        <w:t>s’</w:t>
      </w:r>
      <w:r w:rsidRPr="007C68F1">
        <w:t xml:space="preserve"> declarations is affirmed</w:t>
      </w:r>
      <w:r w:rsidR="003D12A2" w:rsidRPr="007C68F1">
        <w:t xml:space="preserve"> in part and reversed in part.  To the extent that the order denied the motion to strike the putative class members</w:t>
      </w:r>
      <w:r w:rsidR="00846512" w:rsidRPr="007C68F1">
        <w:t>’</w:t>
      </w:r>
      <w:r w:rsidR="003D12A2" w:rsidRPr="007C68F1">
        <w:t xml:space="preserve"> declarations, it is affirmed.  To the extent that the order </w:t>
      </w:r>
      <w:r w:rsidR="00B16F09" w:rsidRPr="007C68F1">
        <w:t xml:space="preserve">denied certification of the stand-alone Wage Statement Class, it is reversed and </w:t>
      </w:r>
      <w:r w:rsidR="007A25AE" w:rsidRPr="007C68F1">
        <w:t xml:space="preserve">the matter is remanded for the court to reconsider the </w:t>
      </w:r>
      <w:r w:rsidR="00D36069" w:rsidRPr="007C68F1">
        <w:t>certification motion</w:t>
      </w:r>
      <w:r w:rsidR="007A25AE" w:rsidRPr="007C68F1">
        <w:t xml:space="preserve"> as to </w:t>
      </w:r>
      <w:r w:rsidR="00846512" w:rsidRPr="007C68F1">
        <w:t xml:space="preserve">that </w:t>
      </w:r>
      <w:r w:rsidR="007A25AE" w:rsidRPr="007C68F1">
        <w:t>class</w:t>
      </w:r>
      <w:r w:rsidR="00C1358C" w:rsidRPr="007C68F1">
        <w:t>, consistent with this opinion</w:t>
      </w:r>
      <w:r w:rsidR="007A25AE" w:rsidRPr="007C68F1">
        <w:t>.</w:t>
      </w:r>
      <w:r w:rsidR="00D243E0" w:rsidRPr="007C68F1">
        <w:t xml:space="preserve">  </w:t>
      </w:r>
      <w:r w:rsidR="00851962" w:rsidRPr="007C68F1">
        <w:t>The order denying the class certification motion is otherwise affirmed</w:t>
      </w:r>
      <w:r w:rsidR="00D243E0" w:rsidRPr="007C68F1">
        <w:t>.</w:t>
      </w:r>
    </w:p>
    <w:p w14:paraId="59D9FCEF" w14:textId="77777777" w:rsidR="002A5AC0" w:rsidRDefault="00D16B2E" w:rsidP="007D1009">
      <w:pPr>
        <w:spacing w:line="480" w:lineRule="auto"/>
        <w:ind w:firstLine="720"/>
      </w:pPr>
      <w:r w:rsidRPr="007C68F1">
        <w:t>The May 2019 order granting the medical center’s motions for summary adjudication is</w:t>
      </w:r>
      <w:r w:rsidR="00CE37BA" w:rsidRPr="007C68F1">
        <w:t xml:space="preserve"> </w:t>
      </w:r>
      <w:r w:rsidR="00DC6D04" w:rsidRPr="007C68F1">
        <w:t>reversed</w:t>
      </w:r>
      <w:r w:rsidR="00CE37BA" w:rsidRPr="007C68F1">
        <w:t>.</w:t>
      </w:r>
      <w:r w:rsidR="00DC6D04" w:rsidRPr="007C68F1">
        <w:t xml:space="preserve">  On remand, the trial court shall enter a new order</w:t>
      </w:r>
      <w:r w:rsidR="006C1671" w:rsidRPr="007C68F1">
        <w:t>:</w:t>
      </w:r>
      <w:r w:rsidR="00DC6D04" w:rsidRPr="007C68F1">
        <w:t xml:space="preserve"> </w:t>
      </w:r>
      <w:r w:rsidR="00846512" w:rsidRPr="007C68F1">
        <w:t xml:space="preserve"> </w:t>
      </w:r>
      <w:r w:rsidR="00DC6D04" w:rsidRPr="007C68F1">
        <w:t>(1)</w:t>
      </w:r>
      <w:r w:rsidR="009F0CB7" w:rsidRPr="007C68F1">
        <w:t xml:space="preserve"> </w:t>
      </w:r>
      <w:r w:rsidR="00DC6D04" w:rsidRPr="007C68F1">
        <w:t xml:space="preserve">denying the medical center’s </w:t>
      </w:r>
      <w:r w:rsidR="00D51B66" w:rsidRPr="007C68F1">
        <w:t>m</w:t>
      </w:r>
      <w:r w:rsidR="006C1671" w:rsidRPr="007C68F1">
        <w:t xml:space="preserve">otion for </w:t>
      </w:r>
      <w:r w:rsidR="00D51B66" w:rsidRPr="007C68F1">
        <w:t>s</w:t>
      </w:r>
      <w:r w:rsidR="006C1671" w:rsidRPr="007C68F1">
        <w:t xml:space="preserve">ummary </w:t>
      </w:r>
      <w:r w:rsidR="00D51B66" w:rsidRPr="007C68F1">
        <w:t>a</w:t>
      </w:r>
      <w:r w:rsidR="006C1671" w:rsidRPr="007C68F1">
        <w:t xml:space="preserve">djudication </w:t>
      </w:r>
      <w:r w:rsidR="00D51B66" w:rsidRPr="007C68F1">
        <w:t>n</w:t>
      </w:r>
      <w:r w:rsidR="006C1671" w:rsidRPr="007C68F1">
        <w:t>o. 1</w:t>
      </w:r>
      <w:r w:rsidR="008F521F" w:rsidRPr="007C68F1">
        <w:t xml:space="preserve"> </w:t>
      </w:r>
      <w:r w:rsidR="00C326D8" w:rsidRPr="007C68F1">
        <w:t>as to</w:t>
      </w:r>
      <w:r w:rsidR="006C1671" w:rsidRPr="007C68F1">
        <w:t xml:space="preserve"> the</w:t>
      </w:r>
      <w:r w:rsidR="00DC6D04" w:rsidRPr="007C68F1">
        <w:t xml:space="preserve"> PAGA regular rate claim</w:t>
      </w:r>
      <w:r w:rsidR="00C326D8" w:rsidRPr="007C68F1">
        <w:t xml:space="preserve">, the PAGA wage statement claim, Woodworth’s individual wage statement claim, </w:t>
      </w:r>
      <w:r w:rsidR="003073EF" w:rsidRPr="007C68F1">
        <w:t xml:space="preserve">and </w:t>
      </w:r>
      <w:r w:rsidR="005F489F" w:rsidRPr="007C68F1">
        <w:t>the PAGA waiting time claim</w:t>
      </w:r>
      <w:r w:rsidR="00C326D8" w:rsidRPr="007C68F1">
        <w:t xml:space="preserve">, </w:t>
      </w:r>
      <w:r w:rsidR="00DC6D04" w:rsidRPr="007C68F1">
        <w:t xml:space="preserve">but granting the </w:t>
      </w:r>
      <w:r w:rsidR="006C1671" w:rsidRPr="007C68F1">
        <w:t>motion</w:t>
      </w:r>
      <w:r w:rsidR="00C326D8" w:rsidRPr="007C68F1">
        <w:t xml:space="preserve"> as to Woodworth’s individual regular rate </w:t>
      </w:r>
      <w:r w:rsidR="003073EF" w:rsidRPr="007C68F1">
        <w:t>and waiting time claims</w:t>
      </w:r>
      <w:r w:rsidR="006C1671" w:rsidRPr="007C68F1">
        <w:t>;</w:t>
      </w:r>
      <w:r w:rsidR="008F521F" w:rsidRPr="007C68F1">
        <w:t xml:space="preserve"> </w:t>
      </w:r>
      <w:r w:rsidR="006C1671" w:rsidRPr="007C68F1">
        <w:t>(2)</w:t>
      </w:r>
      <w:r w:rsidR="009F0CB7" w:rsidRPr="007C68F1">
        <w:t xml:space="preserve"> </w:t>
      </w:r>
      <w:r w:rsidR="004C3949" w:rsidRPr="007C68F1">
        <w:t>denying</w:t>
      </w:r>
      <w:r w:rsidR="006C1671" w:rsidRPr="007C68F1">
        <w:t xml:space="preserve"> the </w:t>
      </w:r>
      <w:r w:rsidR="004C3949" w:rsidRPr="007C68F1">
        <w:t xml:space="preserve">medical center’s </w:t>
      </w:r>
      <w:r w:rsidR="00D51B66" w:rsidRPr="007C68F1">
        <w:t>m</w:t>
      </w:r>
      <w:r w:rsidR="006C1671" w:rsidRPr="007C68F1">
        <w:t xml:space="preserve">otion for </w:t>
      </w:r>
      <w:r w:rsidR="00D51B66" w:rsidRPr="007C68F1">
        <w:t>s</w:t>
      </w:r>
      <w:r w:rsidR="006C1671" w:rsidRPr="007C68F1">
        <w:t xml:space="preserve">ummary </w:t>
      </w:r>
      <w:r w:rsidR="00D51B66" w:rsidRPr="007C68F1">
        <w:t>ad</w:t>
      </w:r>
      <w:r w:rsidR="006C1671" w:rsidRPr="007C68F1">
        <w:t xml:space="preserve">judication </w:t>
      </w:r>
      <w:r w:rsidR="00D51B66" w:rsidRPr="007C68F1">
        <w:t>n</w:t>
      </w:r>
      <w:r w:rsidR="006C1671" w:rsidRPr="007C68F1">
        <w:t xml:space="preserve">o. </w:t>
      </w:r>
      <w:r w:rsidR="00E34FB6" w:rsidRPr="007C68F1">
        <w:t>2</w:t>
      </w:r>
      <w:r w:rsidR="00131DF6" w:rsidRPr="007C68F1">
        <w:t xml:space="preserve"> </w:t>
      </w:r>
      <w:r w:rsidR="00901313" w:rsidRPr="007C68F1">
        <w:t>on the PAGA cause of action</w:t>
      </w:r>
      <w:r w:rsidR="00FF0B81" w:rsidRPr="007C68F1">
        <w:t xml:space="preserve">; </w:t>
      </w:r>
      <w:r w:rsidR="00705E5F" w:rsidRPr="007C68F1">
        <w:t xml:space="preserve">and </w:t>
      </w:r>
      <w:r w:rsidR="00FF0B81" w:rsidRPr="007C68F1">
        <w:t>(3)</w:t>
      </w:r>
      <w:r w:rsidR="009F0CB7" w:rsidRPr="007C68F1">
        <w:t xml:space="preserve"> </w:t>
      </w:r>
      <w:r w:rsidR="00F51328" w:rsidRPr="007C68F1">
        <w:t xml:space="preserve">granting </w:t>
      </w:r>
      <w:r w:rsidR="00FF0B81" w:rsidRPr="007C68F1">
        <w:t>the</w:t>
      </w:r>
      <w:r w:rsidR="006626A5" w:rsidRPr="007C68F1">
        <w:t xml:space="preserve"> medical center’s</w:t>
      </w:r>
      <w:r w:rsidR="00FF0B81" w:rsidRPr="007C68F1">
        <w:t xml:space="preserve"> </w:t>
      </w:r>
      <w:r w:rsidR="00D51B66" w:rsidRPr="007C68F1">
        <w:t>m</w:t>
      </w:r>
      <w:r w:rsidR="00FF0B81" w:rsidRPr="007C68F1">
        <w:t xml:space="preserve">otion for </w:t>
      </w:r>
      <w:r w:rsidR="00D51B66" w:rsidRPr="007C68F1">
        <w:t>s</w:t>
      </w:r>
      <w:r w:rsidR="00FF0B81" w:rsidRPr="007C68F1">
        <w:t xml:space="preserve">ummary </w:t>
      </w:r>
      <w:r w:rsidR="00D51B66" w:rsidRPr="007C68F1">
        <w:t>a</w:t>
      </w:r>
      <w:r w:rsidR="00FF0B81" w:rsidRPr="007C68F1">
        <w:t xml:space="preserve">djudication </w:t>
      </w:r>
      <w:r w:rsidR="00D51B66" w:rsidRPr="007C68F1">
        <w:t>n</w:t>
      </w:r>
      <w:r w:rsidR="00FF0B81" w:rsidRPr="007C68F1">
        <w:t>o. 3</w:t>
      </w:r>
      <w:r w:rsidR="00B0040D" w:rsidRPr="007C68F1">
        <w:t xml:space="preserve"> </w:t>
      </w:r>
      <w:r w:rsidR="00901313" w:rsidRPr="007C68F1">
        <w:t>on the AWS defense</w:t>
      </w:r>
      <w:r w:rsidR="00B0040D" w:rsidRPr="007C68F1">
        <w:t>.</w:t>
      </w:r>
    </w:p>
    <w:p w14:paraId="1AC94ABF" w14:textId="77777777" w:rsidR="00CA035C" w:rsidRPr="007C68F1" w:rsidRDefault="00D16B2E" w:rsidP="007D1009">
      <w:pPr>
        <w:spacing w:line="480" w:lineRule="auto"/>
        <w:ind w:firstLine="720"/>
      </w:pPr>
      <w:r w:rsidRPr="007C68F1">
        <w:lastRenderedPageBreak/>
        <w:t>The parties shall bear their own costs of</w:t>
      </w:r>
      <w:r w:rsidR="007C545D" w:rsidRPr="007C68F1">
        <w:t xml:space="preserve"> appeal.</w:t>
      </w:r>
      <w:r w:rsidR="00A1685F" w:rsidRPr="007C68F1">
        <w:t xml:space="preserve">  (</w:t>
      </w:r>
      <w:bookmarkStart w:id="789" w:name="dabmci_05ffdb1164b243d5a9e13703696180cb"/>
      <w:r w:rsidR="00A1685F" w:rsidRPr="007C68F1">
        <w:t>Cal. Rules of Court, rule 8.278(a)(</w:t>
      </w:r>
      <w:r w:rsidR="00AB634E" w:rsidRPr="007C68F1">
        <w:t>3</w:t>
      </w:r>
      <w:r w:rsidR="00A1685F" w:rsidRPr="007C68F1">
        <w:t>)</w:t>
      </w:r>
      <w:bookmarkEnd w:id="789"/>
      <w:r w:rsidR="00A1685F" w:rsidRPr="007C68F1">
        <w:t>.)</w:t>
      </w:r>
      <w:r w:rsidR="001973CA" w:rsidRPr="007C68F1">
        <w:t xml:space="preserve"> </w:t>
      </w:r>
      <w:r w:rsidR="0055417B" w:rsidRPr="007C68F1">
        <w:t xml:space="preserve"> </w:t>
      </w:r>
    </w:p>
    <w:p w14:paraId="374546C5" w14:textId="77777777" w:rsidR="009F0CB7" w:rsidRPr="007C68F1" w:rsidRDefault="00D16B2E" w:rsidP="007D1009">
      <w:pPr>
        <w:spacing w:line="480" w:lineRule="auto"/>
        <w:ind w:firstLine="720"/>
      </w:pPr>
      <w:r>
        <w:t xml:space="preserve">CERTIFIED FOR PARTIAL </w:t>
      </w:r>
      <w:r w:rsidR="00A5714A" w:rsidRPr="007C68F1">
        <w:t>PUBLICATION</w:t>
      </w:r>
    </w:p>
    <w:p w14:paraId="77B8D50C" w14:textId="77777777" w:rsidR="009F0CB7" w:rsidRDefault="00D16B2E" w:rsidP="00802F96">
      <w:pPr>
        <w:pStyle w:val="SigPage1"/>
        <w:jc w:val="right"/>
      </w:pPr>
      <w:r>
        <w:rPr>
          <w:u w:val="single"/>
        </w:rPr>
        <w:t>MENETREZ</w:t>
      </w:r>
      <w:r w:rsidR="00802F96">
        <w:rPr>
          <w:u w:val="single"/>
        </w:rPr>
        <w:tab/>
      </w:r>
    </w:p>
    <w:p w14:paraId="08D21344" w14:textId="77777777" w:rsidR="00802F96" w:rsidRDefault="00D16B2E" w:rsidP="00802F96">
      <w:pPr>
        <w:pStyle w:val="SigPage1"/>
        <w:jc w:val="right"/>
      </w:pPr>
      <w:r>
        <w:tab/>
        <w:t>J.</w:t>
      </w:r>
    </w:p>
    <w:p w14:paraId="7E39CC60" w14:textId="77777777" w:rsidR="00802F96" w:rsidRDefault="00802F96" w:rsidP="00802F96">
      <w:pPr>
        <w:pStyle w:val="SigPage2"/>
      </w:pPr>
    </w:p>
    <w:p w14:paraId="0A627351" w14:textId="77777777" w:rsidR="00802F96" w:rsidRDefault="00D16B2E" w:rsidP="00802F96">
      <w:pPr>
        <w:pStyle w:val="SigPage2"/>
      </w:pPr>
      <w:r>
        <w:t>We concur:</w:t>
      </w:r>
    </w:p>
    <w:p w14:paraId="7DEEA863" w14:textId="77777777" w:rsidR="00802F96" w:rsidRDefault="00802F96" w:rsidP="00802F96">
      <w:pPr>
        <w:pStyle w:val="SigPage2"/>
      </w:pPr>
    </w:p>
    <w:p w14:paraId="47BEE67C" w14:textId="77777777" w:rsidR="00802F96" w:rsidRDefault="00D16B2E" w:rsidP="00802F96">
      <w:pPr>
        <w:pStyle w:val="SigPage2"/>
      </w:pPr>
      <w:r>
        <w:rPr>
          <w:u w:val="single"/>
        </w:rPr>
        <w:t>MILLER</w:t>
      </w:r>
      <w:r>
        <w:rPr>
          <w:u w:val="single"/>
        </w:rPr>
        <w:tab/>
      </w:r>
    </w:p>
    <w:p w14:paraId="019CFB17" w14:textId="77777777" w:rsidR="00802F96" w:rsidRDefault="00D16B2E" w:rsidP="00802F96">
      <w:pPr>
        <w:pStyle w:val="SigPage2"/>
      </w:pPr>
      <w:r>
        <w:tab/>
      </w:r>
      <w:r w:rsidR="00E56F8F">
        <w:t xml:space="preserve">Acting P. </w:t>
      </w:r>
      <w:r>
        <w:t>J.</w:t>
      </w:r>
    </w:p>
    <w:p w14:paraId="7E59653D" w14:textId="77777777" w:rsidR="00802F96" w:rsidRDefault="00D16B2E" w:rsidP="00802F96">
      <w:pPr>
        <w:pStyle w:val="SigPage2"/>
      </w:pPr>
      <w:r>
        <w:rPr>
          <w:u w:val="single"/>
        </w:rPr>
        <w:t>FIELDS</w:t>
      </w:r>
      <w:r>
        <w:rPr>
          <w:u w:val="single"/>
        </w:rPr>
        <w:tab/>
      </w:r>
    </w:p>
    <w:p w14:paraId="468DC4BB" w14:textId="77777777" w:rsidR="00802F96" w:rsidRDefault="00D16B2E" w:rsidP="00802F96">
      <w:pPr>
        <w:pStyle w:val="SigPage2"/>
      </w:pPr>
      <w:r>
        <w:tab/>
        <w:t>J.</w:t>
      </w:r>
    </w:p>
    <w:p w14:paraId="47C10AC8" w14:textId="77777777" w:rsidR="00802F96" w:rsidRPr="00802F96" w:rsidRDefault="00802F96" w:rsidP="00802F96"/>
    <w:sectPr w:rsidR="00802F96" w:rsidRPr="00802F96" w:rsidSect="00EC5E8A">
      <w:footerReference w:type="even" r:id="rId13"/>
      <w:footerReference w:type="default" r:id="rId14"/>
      <w:footerReference w:type="first" r:id="rId15"/>
      <w:pgSz w:w="12240" w:h="15840"/>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FEFF" w14:textId="77777777" w:rsidR="00000000" w:rsidRDefault="00D16B2E">
      <w:r>
        <w:separator/>
      </w:r>
    </w:p>
  </w:endnote>
  <w:endnote w:type="continuationSeparator" w:id="0">
    <w:p w14:paraId="345F5A10" w14:textId="77777777" w:rsidR="00000000" w:rsidRDefault="00D1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4660" w14:textId="77777777" w:rsidR="00B908C7" w:rsidRDefault="00D16B2E" w:rsidP="00EC5E8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C5E8A">
      <w:rPr>
        <w:rStyle w:val="PageNumber"/>
        <w:noProof/>
      </w:rPr>
      <w:t>1</w:t>
    </w:r>
    <w:r>
      <w:rPr>
        <w:rStyle w:val="PageNumber"/>
      </w:rPr>
      <w:fldChar w:fldCharType="end"/>
    </w:r>
  </w:p>
  <w:p w14:paraId="2E5AB0DC" w14:textId="77777777" w:rsidR="00B908C7" w:rsidRDefault="00B90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74439"/>
      <w:docPartObj>
        <w:docPartGallery w:val="Page Numbers (Bottom of Page)"/>
        <w:docPartUnique/>
      </w:docPartObj>
    </w:sdtPr>
    <w:sdtEndPr>
      <w:rPr>
        <w:noProof/>
      </w:rPr>
    </w:sdtEndPr>
    <w:sdtContent>
      <w:p w14:paraId="6F249C97" w14:textId="77777777" w:rsidR="00EC5E8A" w:rsidRDefault="00D16B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4B81" w14:textId="77777777" w:rsidR="0011189D" w:rsidRDefault="00D16B2E" w:rsidP="0011189D">
    <w:pPr>
      <w:pStyle w:val="Footer"/>
      <w:jc w:val="right"/>
    </w:pPr>
    <w:r>
      <w:t>December Calendar</w:t>
    </w:r>
  </w:p>
  <w:p w14:paraId="0CD3927F" w14:textId="77777777" w:rsidR="00735A13" w:rsidRDefault="00D16B2E" w:rsidP="0011189D">
    <w:pPr>
      <w:pStyle w:val="Footer"/>
      <w:jc w:val="right"/>
    </w:pPr>
    <w:r>
      <w:t>Menetrez/Kim</w:t>
    </w:r>
  </w:p>
  <w:p w14:paraId="2BA7C4B7" w14:textId="77777777" w:rsidR="00735A13" w:rsidRDefault="00D16B2E" w:rsidP="0011189D">
    <w:pPr>
      <w:pStyle w:val="Footer"/>
      <w:jc w:val="right"/>
    </w:pPr>
    <w:r>
      <w:t>Miller</w:t>
    </w:r>
  </w:p>
  <w:p w14:paraId="5E326B42" w14:textId="77777777" w:rsidR="00735A13" w:rsidRDefault="00D16B2E" w:rsidP="0011189D">
    <w:pPr>
      <w:pStyle w:val="Footer"/>
      <w:jc w:val="right"/>
    </w:pPr>
    <w:r>
      <w:t>Fields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826F" w14:textId="77777777" w:rsidR="00AA4FFF" w:rsidRDefault="00D16B2E" w:rsidP="00876386">
      <w:r>
        <w:separator/>
      </w:r>
    </w:p>
  </w:footnote>
  <w:footnote w:type="continuationSeparator" w:id="0">
    <w:p w14:paraId="141132D8" w14:textId="77777777" w:rsidR="00AA4FFF" w:rsidRDefault="00D16B2E" w:rsidP="00876386">
      <w:r>
        <w:continuationSeparator/>
      </w:r>
    </w:p>
  </w:footnote>
  <w:footnote w:type="continuationNotice" w:id="1">
    <w:p w14:paraId="6DD0D574" w14:textId="77777777" w:rsidR="00AA4FFF" w:rsidRPr="00F8287F" w:rsidRDefault="00AA4FFF" w:rsidP="00F8287F">
      <w:pPr>
        <w:pStyle w:val="Footer"/>
      </w:pPr>
    </w:p>
  </w:footnote>
  <w:footnote w:id="2">
    <w:p w14:paraId="2F64B672" w14:textId="77777777" w:rsidR="00EC5E8A" w:rsidRDefault="00D16B2E">
      <w:pPr>
        <w:pStyle w:val="FootnoteText"/>
      </w:pPr>
      <w:r>
        <w:rPr>
          <w:rStyle w:val="FootnoteReference"/>
        </w:rPr>
        <w:t>*</w:t>
      </w:r>
      <w:r>
        <w:t xml:space="preserve"> Pursuant to </w:t>
      </w:r>
      <w:bookmarkStart w:id="0" w:name="dabmci_3c536f8ff6c74aa29418cc3066c1f93f"/>
      <w:r>
        <w:t>California Rules of Court, rules 8.1105(b) and 8.1110</w:t>
      </w:r>
      <w:bookmarkEnd w:id="0"/>
      <w:r>
        <w:t xml:space="preserve">, this opinion is certified for publication with the exception of parts I, III, IV, V, and VII of the Discussion. </w:t>
      </w:r>
    </w:p>
  </w:footnote>
  <w:footnote w:id="3">
    <w:p w14:paraId="45B8107A" w14:textId="77777777" w:rsidR="00D77180" w:rsidRDefault="00D16B2E">
      <w:pPr>
        <w:pStyle w:val="FootnoteText"/>
      </w:pPr>
      <w:r>
        <w:rPr>
          <w:rStyle w:val="FootnoteReference"/>
        </w:rPr>
        <w:footnoteRef/>
      </w:r>
      <w:r>
        <w:tab/>
      </w:r>
      <w:r w:rsidR="006D04D0">
        <w:t xml:space="preserve">Kriegler explained his weighted hours analysis </w:t>
      </w:r>
      <w:r w:rsidR="00844887">
        <w:t>as follows</w:t>
      </w:r>
      <w:r w:rsidR="006D04D0">
        <w:t xml:space="preserve">:  </w:t>
      </w:r>
      <w:bookmarkStart w:id="71" w:name="dabmq_350"/>
      <w:r w:rsidR="006D04D0">
        <w:t xml:space="preserve">“[O]ne way to think about how employees are paid is in terms of the equivalent number of straight time hours:  [¶] 1.0 x Straight Time Hours + 1.5 x Overtime Hours + 2.0 </w:t>
      </w:r>
      <w:r w:rsidR="0045196A">
        <w:t xml:space="preserve">x </w:t>
      </w:r>
      <w:r w:rsidR="006D04D0">
        <w:t>Double Time Hours.  [¶] . . . [C]onsider an 8-hour shift employee who works 12.5 hours in a day and is paid $25 per hour.  This employee’s Weighted Hours are 1.0</w:t>
      </w:r>
      <w:r w:rsidR="00844887">
        <w:t xml:space="preserve"> x 8 + 1.5 x 4 + 2.0 x 0.5 = 15 Weighted Hours.  This employee’s earnings are 15 x $25/hour = $375.”</w:t>
      </w:r>
      <w:bookmarkEnd w:id="71"/>
      <w:r w:rsidR="00844887">
        <w:t xml:space="preserve">  </w:t>
      </w:r>
    </w:p>
  </w:footnote>
  <w:footnote w:id="4">
    <w:p w14:paraId="415CE2B9" w14:textId="77777777" w:rsidR="00C70622" w:rsidRPr="00C70622" w:rsidRDefault="00D16B2E" w:rsidP="00C70622">
      <w:pPr>
        <w:rPr>
          <w:iCs/>
        </w:rPr>
      </w:pPr>
      <w:r>
        <w:rPr>
          <w:rStyle w:val="FootnoteReference"/>
        </w:rPr>
        <w:footnoteRef/>
      </w:r>
      <w:r>
        <w:tab/>
      </w:r>
      <w:r>
        <w:rPr>
          <w:i/>
          <w:iCs/>
        </w:rPr>
        <w:t>Don</w:t>
      </w:r>
      <w:r w:rsidR="00AA3F07">
        <w:rPr>
          <w:i/>
          <w:iCs/>
        </w:rPr>
        <w:t>o</w:t>
      </w:r>
      <w:r>
        <w:rPr>
          <w:i/>
          <w:iCs/>
        </w:rPr>
        <w:t>hue</w:t>
      </w:r>
      <w:r>
        <w:t xml:space="preserve"> held that rounding is unlawful in the meal period context but stopped short of deciding the </w:t>
      </w:r>
      <w:r>
        <w:t xml:space="preserve">validity of the </w:t>
      </w:r>
      <w:r>
        <w:rPr>
          <w:i/>
          <w:iCs/>
        </w:rPr>
        <w:t xml:space="preserve">See’s Candy </w:t>
      </w:r>
      <w:r>
        <w:t>rounding standard.  (</w:t>
      </w:r>
      <w:bookmarkStart w:id="125" w:name="dabmci_9746ef9dbc9a4d878a2dee46b04bb958"/>
      <w:r>
        <w:rPr>
          <w:i/>
          <w:iCs/>
        </w:rPr>
        <w:t>Don</w:t>
      </w:r>
      <w:r w:rsidR="00AA3F07">
        <w:rPr>
          <w:i/>
          <w:iCs/>
        </w:rPr>
        <w:t>o</w:t>
      </w:r>
      <w:r>
        <w:rPr>
          <w:i/>
          <w:iCs/>
        </w:rPr>
        <w:t>hue</w:t>
      </w:r>
      <w:r>
        <w:t xml:space="preserve">, </w:t>
      </w:r>
      <w:r>
        <w:rPr>
          <w:i/>
          <w:iCs/>
        </w:rPr>
        <w:t>supra</w:t>
      </w:r>
      <w:r>
        <w:t>, 11 Cal.5th at p. 72</w:t>
      </w:r>
      <w:bookmarkEnd w:id="125"/>
      <w:r>
        <w:t>.)  The court noted that it had not been asked to decide that issue.  (</w:t>
      </w:r>
      <w:bookmarkStart w:id="126" w:name="dabmci_d93338082037415690b9d34ec1a15e8e"/>
      <w:r>
        <w:rPr>
          <w:i/>
          <w:iCs/>
        </w:rPr>
        <w:t>Ibid.</w:t>
      </w:r>
      <w:bookmarkEnd w:id="126"/>
      <w:r>
        <w:t xml:space="preserve">)  It instead </w:t>
      </w:r>
      <w:r w:rsidR="002514E8">
        <w:t>assumed</w:t>
      </w:r>
      <w:r>
        <w:t xml:space="preserve"> the validity of </w:t>
      </w:r>
      <w:r>
        <w:rPr>
          <w:i/>
          <w:iCs/>
        </w:rPr>
        <w:t>See’s Candy</w:t>
      </w:r>
      <w:r w:rsidR="002514E8">
        <w:t xml:space="preserve"> and determined that</w:t>
      </w:r>
      <w:r>
        <w:t xml:space="preserve"> rounding in the meal perio</w:t>
      </w:r>
      <w:r>
        <w:t xml:space="preserve">d context did not comport with the </w:t>
      </w:r>
      <w:r w:rsidRPr="00C70622">
        <w:rPr>
          <w:i/>
          <w:iCs/>
        </w:rPr>
        <w:t>See’s Candy</w:t>
      </w:r>
      <w:r>
        <w:t xml:space="preserve"> neutrality standard.  (</w:t>
      </w:r>
      <w:r w:rsidR="00C15941" w:rsidRPr="00936E15">
        <w:rPr>
          <w:i/>
          <w:iCs/>
        </w:rPr>
        <w:t>Donohue</w:t>
      </w:r>
      <w:r w:rsidR="00C15941">
        <w:t>, at p.</w:t>
      </w:r>
      <w:r w:rsidR="00936E15">
        <w:t> </w:t>
      </w:r>
      <w:r w:rsidR="00C15941">
        <w:t>72</w:t>
      </w:r>
      <w:r>
        <w:rPr>
          <w:i/>
        </w:rPr>
        <w:t>.</w:t>
      </w:r>
      <w:r>
        <w:rPr>
          <w:iCs/>
        </w:rPr>
        <w:t>)</w:t>
      </w:r>
    </w:p>
    <w:p w14:paraId="2372BB36" w14:textId="77777777" w:rsidR="00C70622" w:rsidRDefault="00C70622" w:rsidP="00C70622"/>
  </w:footnote>
  <w:footnote w:id="5">
    <w:p w14:paraId="0384BE98" w14:textId="77777777" w:rsidR="004F55C2" w:rsidRPr="00BA3DB0" w:rsidRDefault="00D16B2E" w:rsidP="00BA3DB0">
      <w:r>
        <w:rPr>
          <w:rStyle w:val="FootnoteReference"/>
        </w:rPr>
        <w:footnoteRef/>
      </w:r>
      <w:r>
        <w:tab/>
        <w:t xml:space="preserve">The Industrial Welfare Commission (IWC) has adopted wage orders that are </w:t>
      </w:r>
      <w:bookmarkStart w:id="128" w:name="dabmq_351"/>
      <w:r>
        <w:t>“</w:t>
      </w:r>
      <w:r w:rsidR="00BA3DB0">
        <w:t>‘accorded the same dignity as statutes’</w:t>
      </w:r>
      <w:r>
        <w:t>”</w:t>
      </w:r>
      <w:bookmarkEnd w:id="128"/>
      <w:r>
        <w:t xml:space="preserve"> and that </w:t>
      </w:r>
      <w:bookmarkStart w:id="129" w:name="dabmq_352"/>
      <w:r>
        <w:t xml:space="preserve">“take </w:t>
      </w:r>
      <w:r w:rsidRPr="004F55C2">
        <w:t xml:space="preserve">precedence over the common law </w:t>
      </w:r>
      <w:r w:rsidRPr="004F55C2">
        <w:t>to the extent they conflict.</w:t>
      </w:r>
      <w:r>
        <w:t>”</w:t>
      </w:r>
      <w:bookmarkEnd w:id="129"/>
      <w:r>
        <w:t xml:space="preserve">  (</w:t>
      </w:r>
      <w:bookmarkStart w:id="130" w:name="dabmci_ef55c426aa7549f586ee61e5792a7e02"/>
      <w:r w:rsidRPr="004F55C2">
        <w:rPr>
          <w:i/>
          <w:iCs/>
          <w:bdr w:val="none" w:sz="0" w:space="0" w:color="auto" w:frame="1"/>
        </w:rPr>
        <w:t>Troester</w:t>
      </w:r>
      <w:r>
        <w:rPr>
          <w:bdr w:val="none" w:sz="0" w:space="0" w:color="auto" w:frame="1"/>
        </w:rPr>
        <w:t xml:space="preserve">, </w:t>
      </w:r>
      <w:r w:rsidRPr="004F55C2">
        <w:rPr>
          <w:i/>
          <w:iCs/>
          <w:bdr w:val="none" w:sz="0" w:space="0" w:color="auto" w:frame="1"/>
        </w:rPr>
        <w:t>supra</w:t>
      </w:r>
      <w:r>
        <w:rPr>
          <w:bdr w:val="none" w:sz="0" w:space="0" w:color="auto" w:frame="1"/>
        </w:rPr>
        <w:t xml:space="preserve">, </w:t>
      </w:r>
      <w:r w:rsidRPr="004F55C2">
        <w:t>5 Cal.5th</w:t>
      </w:r>
      <w:r>
        <w:t xml:space="preserve"> at p. </w:t>
      </w:r>
      <w:r w:rsidRPr="004F55C2">
        <w:t>839</w:t>
      </w:r>
      <w:bookmarkEnd w:id="130"/>
      <w:r>
        <w:t>.)</w:t>
      </w:r>
    </w:p>
  </w:footnote>
  <w:footnote w:id="6">
    <w:p w14:paraId="169074A2" w14:textId="77777777" w:rsidR="00F906EA" w:rsidRDefault="00D16B2E" w:rsidP="00F906EA">
      <w:pPr>
        <w:pStyle w:val="FootnoteText"/>
      </w:pPr>
      <w:r>
        <w:rPr>
          <w:rStyle w:val="FootnoteReference"/>
        </w:rPr>
        <w:footnoteRef/>
      </w:r>
      <w:r>
        <w:tab/>
        <w:t xml:space="preserve">Woodworth argues that the trial court should have disregarded Lee’s declaration because Lee improperly summarized 43 interviews and drew </w:t>
      </w:r>
      <w:bookmarkStart w:id="231" w:name="dabmq_353"/>
      <w:r>
        <w:t>“numerous improper legal conclusions.”</w:t>
      </w:r>
      <w:bookmarkEnd w:id="231"/>
      <w:r>
        <w:t xml:space="preserve">  Woodwo</w:t>
      </w:r>
      <w:r>
        <w:t>rth has forfeited the argument for two reasons.  First, she did not object to Lee’s declaration in the trial court.  (</w:t>
      </w:r>
      <w:bookmarkStart w:id="232" w:name="dabmci_08ca06c15c7b47ddb2003ee300c7d0d6"/>
      <w:r>
        <w:t>Evid. Code, § 353, subd. (a)</w:t>
      </w:r>
      <w:bookmarkEnd w:id="232"/>
      <w:r>
        <w:t xml:space="preserve">; </w:t>
      </w:r>
      <w:bookmarkStart w:id="233" w:name="dabmci_408112a6084f47eda122d339165fff86"/>
      <w:r w:rsidRPr="00C0078F">
        <w:rPr>
          <w:i/>
          <w:iCs/>
          <w:bdr w:val="none" w:sz="0" w:space="0" w:color="auto" w:frame="1"/>
        </w:rPr>
        <w:t>Seibert v. City of San Jose</w:t>
      </w:r>
      <w:r>
        <w:t xml:space="preserve"> </w:t>
      </w:r>
      <w:r w:rsidRPr="00C0078F">
        <w:t>(2016) 247 Cal.App.4th 1027, 1057</w:t>
      </w:r>
      <w:bookmarkEnd w:id="233"/>
      <w:r>
        <w:t>.)  Second, the argument consists of a concluso</w:t>
      </w:r>
      <w:r>
        <w:t>ry assertion with no citation to legal authority and no identification of which statements amounted to improper legal conclusions.  (</w:t>
      </w:r>
      <w:bookmarkStart w:id="234" w:name="dabmci_688e628456da43869ff74030788bec30"/>
      <w:r w:rsidRPr="00DA2090">
        <w:rPr>
          <w:i/>
          <w:iCs/>
          <w:bdr w:val="none" w:sz="0" w:space="0" w:color="auto" w:frame="1"/>
        </w:rPr>
        <w:t>Sporn v. Home Depot USA, Inc.</w:t>
      </w:r>
      <w:r>
        <w:t xml:space="preserve"> </w:t>
      </w:r>
      <w:r w:rsidRPr="00DA2090">
        <w:t>(2005) 126 Cal.App.4th 1294, 1303</w:t>
      </w:r>
      <w:bookmarkEnd w:id="234"/>
      <w:r>
        <w:t xml:space="preserve">.) </w:t>
      </w:r>
    </w:p>
  </w:footnote>
  <w:footnote w:id="7">
    <w:p w14:paraId="3ED73328" w14:textId="77777777" w:rsidR="00326DC4" w:rsidRDefault="00D16B2E" w:rsidP="00326DC4">
      <w:r>
        <w:rPr>
          <w:rStyle w:val="FootnoteReference"/>
        </w:rPr>
        <w:footnoteRef/>
      </w:r>
      <w:r>
        <w:tab/>
      </w:r>
      <w:r w:rsidR="007167CF">
        <w:t>California c</w:t>
      </w:r>
      <w:r w:rsidR="00683824">
        <w:t xml:space="preserve">ourts and the DLSE </w:t>
      </w:r>
      <w:r w:rsidR="000B10A8">
        <w:t xml:space="preserve">use the term </w:t>
      </w:r>
      <w:r w:rsidR="008036EE">
        <w:t>“‘flat sum’ bonuses”</w:t>
      </w:r>
      <w:r w:rsidR="000B10A8">
        <w:t xml:space="preserve"> to distinguish </w:t>
      </w:r>
      <w:r>
        <w:t xml:space="preserve">bonuses that are a flat amount </w:t>
      </w:r>
      <w:r w:rsidR="00FD7142">
        <w:t>from</w:t>
      </w:r>
      <w:r>
        <w:t xml:space="preserve"> </w:t>
      </w:r>
      <w:bookmarkStart w:id="335" w:name="dabmq_354"/>
      <w:r w:rsidR="000B10A8">
        <w:t>“</w:t>
      </w:r>
      <w:r w:rsidR="000B10A8" w:rsidRPr="000B10A8">
        <w:rPr>
          <w:shd w:val="clear" w:color="auto" w:fill="FFFFFF"/>
        </w:rPr>
        <w:t xml:space="preserve">bonuses </w:t>
      </w:r>
      <w:r w:rsidR="000B10A8">
        <w:rPr>
          <w:shd w:val="clear" w:color="auto" w:fill="FFFFFF"/>
        </w:rPr>
        <w:t>‘</w:t>
      </w:r>
      <w:r w:rsidR="000B10A8" w:rsidRPr="000B10A8">
        <w:rPr>
          <w:shd w:val="clear" w:color="auto" w:fill="FFFFFF"/>
        </w:rPr>
        <w:t>based on a percentage of production or some formula other than a flat amount</w:t>
      </w:r>
      <w:r w:rsidR="000B10A8">
        <w:rPr>
          <w:shd w:val="clear" w:color="auto" w:fill="FFFFFF"/>
        </w:rPr>
        <w:t>.’”</w:t>
      </w:r>
      <w:bookmarkEnd w:id="335"/>
      <w:r w:rsidR="000B10A8" w:rsidRPr="000B10A8">
        <w:rPr>
          <w:shd w:val="clear" w:color="auto" w:fill="FFFFFF"/>
        </w:rPr>
        <w:t xml:space="preserve"> </w:t>
      </w:r>
      <w:r>
        <w:rPr>
          <w:shd w:val="clear" w:color="auto" w:fill="FFFFFF"/>
        </w:rPr>
        <w:t xml:space="preserve"> (</w:t>
      </w:r>
      <w:bookmarkStart w:id="336" w:name="dabmci_331badda40d3443ba12f2b2ab23b90a5"/>
      <w:r w:rsidR="000B10A8" w:rsidRPr="00630CA0">
        <w:rPr>
          <w:i/>
          <w:iCs/>
          <w:bdr w:val="none" w:sz="0" w:space="0" w:color="auto" w:frame="1"/>
        </w:rPr>
        <w:t>Marin v. Costco Wholesale Corp.</w:t>
      </w:r>
      <w:r w:rsidR="000B10A8" w:rsidRPr="00630CA0">
        <w:t> (2008) 169 Cal.App.4th 804, 809</w:t>
      </w:r>
      <w:bookmarkEnd w:id="336"/>
      <w:r w:rsidRPr="00630CA0">
        <w:t xml:space="preserve">; </w:t>
      </w:r>
      <w:bookmarkStart w:id="337" w:name="dabmci_ef3f2716b2bf4138b33ebc4fb42c62e5"/>
      <w:r w:rsidRPr="00630CA0">
        <w:rPr>
          <w:i/>
          <w:iCs/>
          <w:bdr w:val="none" w:sz="0" w:space="0" w:color="auto" w:frame="1"/>
        </w:rPr>
        <w:t xml:space="preserve">Alvarado v. Dart Container Corp. of </w:t>
      </w:r>
      <w:r w:rsidRPr="00630CA0">
        <w:rPr>
          <w:i/>
          <w:iCs/>
          <w:bdr w:val="none" w:sz="0" w:space="0" w:color="auto" w:frame="1"/>
        </w:rPr>
        <w:t>California</w:t>
      </w:r>
      <w:r w:rsidR="00FD7142" w:rsidRPr="00630CA0">
        <w:t xml:space="preserve"> </w:t>
      </w:r>
      <w:r w:rsidRPr="00630CA0">
        <w:t>(2018) 4 Cal.5th 542, 561</w:t>
      </w:r>
      <w:r w:rsidR="008036EE" w:rsidRPr="00630CA0">
        <w:t>, fn. 6</w:t>
      </w:r>
      <w:bookmarkEnd w:id="337"/>
      <w:r>
        <w:t xml:space="preserve"> [</w:t>
      </w:r>
      <w:r w:rsidR="00FD7142">
        <w:t xml:space="preserve">distinguishing a </w:t>
      </w:r>
      <w:r w:rsidR="00630CA0">
        <w:t>f</w:t>
      </w:r>
      <w:r w:rsidR="00FD7142">
        <w:t>lat sum</w:t>
      </w:r>
      <w:r w:rsidR="00630CA0">
        <w:t xml:space="preserve"> </w:t>
      </w:r>
      <w:r w:rsidR="00FD7142">
        <w:t xml:space="preserve">bonus from </w:t>
      </w:r>
      <w:bookmarkStart w:id="338" w:name="dabmq_355"/>
      <w:r w:rsidR="00FD7142">
        <w:rPr>
          <w:shd w:val="clear" w:color="auto" w:fill="FFFFFF"/>
        </w:rPr>
        <w:t>“</w:t>
      </w:r>
      <w:r w:rsidRPr="00326DC4">
        <w:rPr>
          <w:shd w:val="clear" w:color="auto" w:fill="FFFFFF"/>
        </w:rPr>
        <w:t>a production or piecework bonus or a commission</w:t>
      </w:r>
      <w:r w:rsidR="00FD7142">
        <w:rPr>
          <w:shd w:val="clear" w:color="auto" w:fill="FFFFFF"/>
        </w:rPr>
        <w:t>”</w:t>
      </w:r>
      <w:bookmarkEnd w:id="338"/>
      <w:r w:rsidR="00FD7142">
        <w:rPr>
          <w:shd w:val="clear" w:color="auto" w:fill="FFFFFF"/>
        </w:rPr>
        <w:t>].)</w:t>
      </w:r>
    </w:p>
  </w:footnote>
  <w:footnote w:id="8">
    <w:p w14:paraId="60D26A3C" w14:textId="77777777" w:rsidR="004041CC" w:rsidRDefault="00D16B2E">
      <w:pPr>
        <w:pStyle w:val="FootnoteText"/>
      </w:pPr>
      <w:r>
        <w:rPr>
          <w:rStyle w:val="FootnoteReference"/>
        </w:rPr>
        <w:footnoteRef/>
      </w:r>
      <w:r>
        <w:t xml:space="preserve"> </w:t>
      </w:r>
      <w:r>
        <w:tab/>
        <w:t xml:space="preserve">The medical center filed two </w:t>
      </w:r>
      <w:r w:rsidR="00AD0E0B">
        <w:t>motions for summary adjudication on the AWS defense</w:t>
      </w:r>
      <w:r w:rsidR="000619A7">
        <w:t xml:space="preserve">.  The court denied the first one without prejudice in November 2018, before Woodworth had </w:t>
      </w:r>
      <w:r w:rsidR="003C3946">
        <w:t>moved</w:t>
      </w:r>
      <w:r w:rsidR="000619A7">
        <w:t xml:space="preserve"> for class certification.</w:t>
      </w:r>
      <w:r w:rsidR="004721F8">
        <w:t xml:space="preserve">  The medical center filed its second AWS summary adjudication motion in February </w:t>
      </w:r>
      <w:r w:rsidR="004721F8" w:rsidRPr="003C3946">
        <w:t>2019,</w:t>
      </w:r>
      <w:r w:rsidR="004721F8">
        <w:t xml:space="preserve"> after Woodworth had moved for class certification.</w:t>
      </w:r>
      <w:r w:rsidR="003C3946">
        <w:t xml:space="preserve">  We address that second motion in a later part. </w:t>
      </w:r>
    </w:p>
  </w:footnote>
  <w:footnote w:id="9">
    <w:p w14:paraId="03425E6F" w14:textId="77777777" w:rsidR="003B3A14" w:rsidRDefault="00D16B2E" w:rsidP="003B3A14">
      <w:pPr>
        <w:rPr>
          <w:shd w:val="clear" w:color="auto" w:fill="FFFFFF"/>
        </w:rPr>
      </w:pPr>
      <w:r>
        <w:rPr>
          <w:rStyle w:val="FootnoteReference"/>
        </w:rPr>
        <w:footnoteRef/>
      </w:r>
      <w:r>
        <w:t xml:space="preserve"> </w:t>
      </w:r>
      <w:r>
        <w:tab/>
      </w:r>
      <w:r>
        <w:rPr>
          <w:shd w:val="clear" w:color="auto" w:fill="FFFFFF"/>
        </w:rPr>
        <w:t xml:space="preserve">In </w:t>
      </w:r>
      <w:bookmarkStart w:id="449" w:name="dabmci_0fdfb4a9052d49498e5d2d30d26112d8"/>
      <w:r w:rsidRPr="009B7F90">
        <w:rPr>
          <w:i/>
          <w:shd w:val="clear" w:color="auto" w:fill="FFFFFF"/>
        </w:rPr>
        <w:t>Augustus</w:t>
      </w:r>
      <w:bookmarkEnd w:id="449"/>
      <w:r>
        <w:rPr>
          <w:shd w:val="clear" w:color="auto" w:fill="FFFFFF"/>
        </w:rPr>
        <w:t xml:space="preserve">, our Supreme Court reasoned that </w:t>
      </w:r>
      <w:bookmarkStart w:id="450" w:name="dabmq_356"/>
      <w:r>
        <w:rPr>
          <w:shd w:val="clear" w:color="auto" w:fill="FFFFFF"/>
        </w:rPr>
        <w:t>“</w:t>
      </w:r>
      <w:r w:rsidR="000B1560">
        <w:rPr>
          <w:shd w:val="clear" w:color="auto" w:fill="FFFFFF"/>
        </w:rPr>
        <w:t>[</w:t>
      </w:r>
      <w:r>
        <w:rPr>
          <w:shd w:val="clear" w:color="auto" w:fill="FFFFFF"/>
        </w:rPr>
        <w:t>b</w:t>
      </w:r>
      <w:r w:rsidR="000B1560">
        <w:rPr>
          <w:shd w:val="clear" w:color="auto" w:fill="FFFFFF"/>
        </w:rPr>
        <w:t>]</w:t>
      </w:r>
      <w:r w:rsidRPr="002E789E">
        <w:rPr>
          <w:shd w:val="clear" w:color="auto" w:fill="FFFFFF"/>
        </w:rPr>
        <w:t>ecause rest periods are 10 minutes in length</w:t>
      </w:r>
      <w:r>
        <w:rPr>
          <w:shd w:val="clear" w:color="auto" w:fill="FFFFFF"/>
        </w:rPr>
        <w:t xml:space="preserve"> [citation]</w:t>
      </w:r>
      <w:r w:rsidRPr="002E789E">
        <w:rPr>
          <w:shd w:val="clear" w:color="auto" w:fill="FFFFFF"/>
        </w:rPr>
        <w:t>, they impose practical limitations on an employee</w:t>
      </w:r>
      <w:r>
        <w:rPr>
          <w:shd w:val="clear" w:color="auto" w:fill="FFFFFF"/>
        </w:rPr>
        <w:t>’</w:t>
      </w:r>
      <w:r w:rsidRPr="002E789E">
        <w:rPr>
          <w:shd w:val="clear" w:color="auto" w:fill="FFFFFF"/>
        </w:rPr>
        <w:t xml:space="preserve">s movement. </w:t>
      </w:r>
      <w:r>
        <w:rPr>
          <w:shd w:val="clear" w:color="auto" w:fill="FFFFFF"/>
        </w:rPr>
        <w:t xml:space="preserve"> </w:t>
      </w:r>
      <w:r w:rsidRPr="002E789E">
        <w:rPr>
          <w:shd w:val="clear" w:color="auto" w:fill="FFFFFF"/>
        </w:rPr>
        <w:t xml:space="preserve">That is, during a rest period an employee generally can travel at most five minutes from a work post before returning to make it back on time. </w:t>
      </w:r>
      <w:r>
        <w:rPr>
          <w:shd w:val="clear" w:color="auto" w:fill="FFFFFF"/>
        </w:rPr>
        <w:t xml:space="preserve"> </w:t>
      </w:r>
      <w:r w:rsidRPr="002E789E">
        <w:rPr>
          <w:shd w:val="clear" w:color="auto" w:fill="FFFFFF"/>
        </w:rPr>
        <w:t xml:space="preserve">Thus, one would expect that employees will ordinarily have to remain on site or nearby. </w:t>
      </w:r>
      <w:r>
        <w:rPr>
          <w:shd w:val="clear" w:color="auto" w:fill="FFFFFF"/>
        </w:rPr>
        <w:t xml:space="preserve"> </w:t>
      </w:r>
      <w:r w:rsidRPr="002E789E">
        <w:rPr>
          <w:shd w:val="clear" w:color="auto" w:fill="FFFFFF"/>
        </w:rPr>
        <w:t xml:space="preserve">This constraint, which </w:t>
      </w:r>
      <w:r w:rsidRPr="002E789E">
        <w:rPr>
          <w:shd w:val="clear" w:color="auto" w:fill="FFFFFF"/>
        </w:rPr>
        <w:t>is of course common to all rest periods, is not sufficient to establish employer control</w:t>
      </w:r>
      <w:r>
        <w:rPr>
          <w:shd w:val="clear" w:color="auto" w:fill="FFFFFF"/>
        </w:rPr>
        <w:t>.”</w:t>
      </w:r>
      <w:bookmarkEnd w:id="450"/>
      <w:r>
        <w:rPr>
          <w:shd w:val="clear" w:color="auto" w:fill="FFFFFF"/>
        </w:rPr>
        <w:t xml:space="preserve">  (</w:t>
      </w:r>
      <w:bookmarkStart w:id="451" w:name="dabmci_a088a7d0453c4f43b50bc9f06cbced8c"/>
      <w:r>
        <w:rPr>
          <w:i/>
          <w:iCs/>
          <w:shd w:val="clear" w:color="auto" w:fill="FFFFFF"/>
        </w:rPr>
        <w:t>Augustus</w:t>
      </w:r>
      <w:r>
        <w:rPr>
          <w:shd w:val="clear" w:color="auto" w:fill="FFFFFF"/>
        </w:rPr>
        <w:t xml:space="preserve">, </w:t>
      </w:r>
      <w:r>
        <w:rPr>
          <w:i/>
          <w:iCs/>
          <w:shd w:val="clear" w:color="auto" w:fill="FFFFFF"/>
        </w:rPr>
        <w:t>supra</w:t>
      </w:r>
      <w:r>
        <w:rPr>
          <w:shd w:val="clear" w:color="auto" w:fill="FFFFFF"/>
        </w:rPr>
        <w:t>, 2 Cal.5th at p. 270</w:t>
      </w:r>
      <w:bookmarkEnd w:id="451"/>
      <w:r>
        <w:rPr>
          <w:shd w:val="clear" w:color="auto" w:fill="FFFFFF"/>
        </w:rPr>
        <w:t xml:space="preserve">.)  </w:t>
      </w:r>
    </w:p>
    <w:p w14:paraId="242D8B9D" w14:textId="77777777" w:rsidR="003B3A14" w:rsidRDefault="003B3A14" w:rsidP="003B3A14">
      <w:pPr>
        <w:rPr>
          <w:shd w:val="clear" w:color="auto" w:fill="FFFFFF"/>
        </w:rPr>
      </w:pPr>
    </w:p>
    <w:p w14:paraId="0251BDDD" w14:textId="77777777" w:rsidR="003B3A14" w:rsidRDefault="00D16B2E" w:rsidP="003B3A14">
      <w:pPr>
        <w:ind w:firstLine="720"/>
      </w:pPr>
      <w:r>
        <w:t xml:space="preserve">The medical center argues that the trial court properly denied certification because the on-premises rest </w:t>
      </w:r>
      <w:r w:rsidR="00EE0BB7">
        <w:t>period</w:t>
      </w:r>
      <w:r>
        <w:t xml:space="preserve"> policy w</w:t>
      </w:r>
      <w:r>
        <w:t>as facially valid under</w:t>
      </w:r>
      <w:r w:rsidRPr="009B7F90">
        <w:rPr>
          <w:i/>
        </w:rPr>
        <w:t xml:space="preserve"> Augustus</w:t>
      </w:r>
      <w:r>
        <w:t>.  It does not explain why the facial validity of the policy means that class treatment is inappropriate.  In any event, the medical center did not make this argument in the trial court, and the court did not base its decisi</w:t>
      </w:r>
      <w:r>
        <w:t>on on any determination about the merits of Woodworth’s on</w:t>
      </w:r>
      <w:r>
        <w:noBreakHyphen/>
        <w:t xml:space="preserve">premises theory.  </w:t>
      </w:r>
      <w:r w:rsidR="006B0147">
        <w:t>Given that we must review the court’s actual reasons for granting or denying certification, w</w:t>
      </w:r>
      <w:r>
        <w:t>e decline to affirm the order on grounds not relied on by the court.  (</w:t>
      </w:r>
      <w:bookmarkStart w:id="452" w:name="dabmci_8097d6bc64df4bea88adddd8c21746d4"/>
      <w:r w:rsidRPr="009F4408">
        <w:rPr>
          <w:i/>
          <w:iCs/>
          <w:bdr w:val="none" w:sz="0" w:space="0" w:color="auto" w:frame="1"/>
        </w:rPr>
        <w:t>Ayala</w:t>
      </w:r>
      <w:r>
        <w:rPr>
          <w:bdr w:val="none" w:sz="0" w:space="0" w:color="auto" w:frame="1"/>
        </w:rPr>
        <w:t xml:space="preserve">, </w:t>
      </w:r>
      <w:r>
        <w:rPr>
          <w:i/>
          <w:iCs/>
          <w:bdr w:val="none" w:sz="0" w:space="0" w:color="auto" w:frame="1"/>
        </w:rPr>
        <w:t>supra</w:t>
      </w:r>
      <w:r>
        <w:rPr>
          <w:bdr w:val="none" w:sz="0" w:space="0" w:color="auto" w:frame="1"/>
        </w:rPr>
        <w:t>,</w:t>
      </w:r>
      <w:r w:rsidRPr="009F4408">
        <w:t xml:space="preserve"> 5</w:t>
      </w:r>
      <w:r w:rsidRPr="009F4408">
        <w:t xml:space="preserve">9 Cal.4th </w:t>
      </w:r>
      <w:r>
        <w:t>at p.</w:t>
      </w:r>
      <w:r w:rsidRPr="009F4408">
        <w:t xml:space="preserve"> 53</w:t>
      </w:r>
      <w:r w:rsidR="006B0147">
        <w:t>0</w:t>
      </w:r>
      <w:bookmarkEnd w:id="452"/>
      <w:r w:rsidR="006B0147">
        <w:t>.)</w:t>
      </w:r>
    </w:p>
  </w:footnote>
  <w:footnote w:id="10">
    <w:p w14:paraId="14ED77C4" w14:textId="77777777" w:rsidR="007453CF" w:rsidRDefault="00D16B2E" w:rsidP="007453CF">
      <w:r>
        <w:rPr>
          <w:rStyle w:val="FootnoteReference"/>
        </w:rPr>
        <w:footnoteRef/>
      </w:r>
      <w:r>
        <w:tab/>
      </w:r>
      <w:bookmarkStart w:id="547" w:name="dabmq_357"/>
      <w:r>
        <w:t>“</w:t>
      </w:r>
      <w:r w:rsidRPr="001B5048">
        <w:t>The DLSE is the state agency authorized to interpret and enforce California wage and hour laws.</w:t>
      </w:r>
      <w:r>
        <w:t>”</w:t>
      </w:r>
      <w:bookmarkEnd w:id="547"/>
      <w:r>
        <w:t xml:space="preserve">  (</w:t>
      </w:r>
      <w:bookmarkStart w:id="548" w:name="dabmci_8217a465e833469a9b47704a6fe0db83"/>
      <w:r>
        <w:rPr>
          <w:i/>
          <w:iCs/>
        </w:rPr>
        <w:t>M</w:t>
      </w:r>
      <w:r w:rsidRPr="001B5048">
        <w:rPr>
          <w:i/>
          <w:iCs/>
          <w:bdr w:val="none" w:sz="0" w:space="0" w:color="auto" w:frame="1"/>
        </w:rPr>
        <w:t>organ</w:t>
      </w:r>
      <w:r>
        <w:rPr>
          <w:bdr w:val="none" w:sz="0" w:space="0" w:color="auto" w:frame="1"/>
        </w:rPr>
        <w:t xml:space="preserve">, </w:t>
      </w:r>
      <w:r>
        <w:rPr>
          <w:i/>
          <w:iCs/>
          <w:bdr w:val="none" w:sz="0" w:space="0" w:color="auto" w:frame="1"/>
        </w:rPr>
        <w:t>supra</w:t>
      </w:r>
      <w:r>
        <w:rPr>
          <w:bdr w:val="none" w:sz="0" w:space="0" w:color="auto" w:frame="1"/>
        </w:rPr>
        <w:t>,</w:t>
      </w:r>
      <w:r w:rsidRPr="001B5048">
        <w:t xml:space="preserve"> 186 Cal.App.4th </w:t>
      </w:r>
      <w:r>
        <w:t xml:space="preserve">at p. </w:t>
      </w:r>
      <w:r w:rsidRPr="001B5048">
        <w:t>114</w:t>
      </w:r>
      <w:r w:rsidR="0007507C">
        <w:t>4</w:t>
      </w:r>
      <w:r>
        <w:t>, fn. 5</w:t>
      </w:r>
      <w:bookmarkEnd w:id="548"/>
      <w:r>
        <w:t xml:space="preserve">.)  </w:t>
      </w:r>
      <w:bookmarkStart w:id="549" w:name="dabmq_358"/>
      <w:r>
        <w:t>“</w:t>
      </w:r>
      <w:r w:rsidRPr="00D712BC">
        <w:rPr>
          <w:shd w:val="clear" w:color="auto" w:fill="FFFFFF"/>
        </w:rPr>
        <w:t>While the DLSE</w:t>
      </w:r>
      <w:r>
        <w:rPr>
          <w:shd w:val="clear" w:color="auto" w:fill="FFFFFF"/>
        </w:rPr>
        <w:t>’</w:t>
      </w:r>
      <w:r w:rsidRPr="00D712BC">
        <w:rPr>
          <w:shd w:val="clear" w:color="auto" w:fill="FFFFFF"/>
        </w:rPr>
        <w:t xml:space="preserve">s construction of a statute is entitled to </w:t>
      </w:r>
      <w:r w:rsidRPr="00D712BC">
        <w:rPr>
          <w:shd w:val="clear" w:color="auto" w:fill="FFFFFF"/>
        </w:rPr>
        <w:t>consideration and respect, it is not binding</w:t>
      </w:r>
      <w:r>
        <w:rPr>
          <w:shd w:val="clear" w:color="auto" w:fill="FFFFFF"/>
        </w:rPr>
        <w:t>”</w:t>
      </w:r>
      <w:bookmarkEnd w:id="549"/>
      <w:r>
        <w:rPr>
          <w:shd w:val="clear" w:color="auto" w:fill="FFFFFF"/>
        </w:rPr>
        <w:t xml:space="preserve"> on the courts.</w:t>
      </w:r>
      <w:r w:rsidRPr="00763C12">
        <w:rPr>
          <w:shd w:val="clear" w:color="auto" w:fill="FFFFFF"/>
        </w:rPr>
        <w:t xml:space="preserve"> </w:t>
      </w:r>
      <w:r>
        <w:rPr>
          <w:shd w:val="clear" w:color="auto" w:fill="FFFFFF"/>
        </w:rPr>
        <w:t xml:space="preserve"> </w:t>
      </w:r>
      <w:r w:rsidRPr="00763C12">
        <w:rPr>
          <w:shd w:val="clear" w:color="auto" w:fill="FFFFFF"/>
        </w:rPr>
        <w:t>(</w:t>
      </w:r>
      <w:bookmarkStart w:id="550" w:name="dabmci_0c1209405f9c41709e9999249c0082da"/>
      <w:r w:rsidRPr="00763C12">
        <w:rPr>
          <w:i/>
          <w:iCs/>
          <w:bdr w:val="none" w:sz="0" w:space="0" w:color="auto" w:frame="1"/>
        </w:rPr>
        <w:t>Murphy v. Kenneth Cole Productions, Inc.</w:t>
      </w:r>
      <w:r w:rsidRPr="00763C12">
        <w:rPr>
          <w:shd w:val="clear" w:color="auto" w:fill="FFFFFF"/>
        </w:rPr>
        <w:t> (2007) 40 Cal.4th 1094, 1105, fn. 7</w:t>
      </w:r>
      <w:bookmarkEnd w:id="550"/>
      <w:r>
        <w:rPr>
          <w:shd w:val="clear" w:color="auto" w:fill="FFFFFF"/>
        </w:rPr>
        <w:t>.)</w:t>
      </w:r>
    </w:p>
  </w:footnote>
  <w:footnote w:id="11">
    <w:p w14:paraId="751861AF" w14:textId="77777777" w:rsidR="00666A18" w:rsidRDefault="00D16B2E">
      <w:pPr>
        <w:pStyle w:val="FootnoteText"/>
      </w:pPr>
      <w:r>
        <w:rPr>
          <w:rStyle w:val="FootnoteReference"/>
        </w:rPr>
        <w:footnoteRef/>
      </w:r>
      <w:r w:rsidR="007D0BFF">
        <w:tab/>
      </w:r>
      <w:r w:rsidR="00EF3F79">
        <w:t>For the exemplar statement described in</w:t>
      </w:r>
      <w:r w:rsidR="005348DC">
        <w:t xml:space="preserve"> </w:t>
      </w:r>
      <w:bookmarkStart w:id="561" w:name="dabmci_2dc7c9932442420cbf5342d5c2a007ae"/>
      <w:r w:rsidR="005348DC">
        <w:rPr>
          <w:i/>
          <w:iCs/>
        </w:rPr>
        <w:t>Morgan</w:t>
      </w:r>
      <w:bookmarkEnd w:id="561"/>
      <w:r w:rsidR="00EF3F79">
        <w:t>, s</w:t>
      </w:r>
      <w:r>
        <w:t>ee</w:t>
      </w:r>
      <w:r w:rsidR="00EF3F79">
        <w:t xml:space="preserve"> </w:t>
      </w:r>
      <w:r w:rsidRPr="00666A18">
        <w:t>https://www.dir.ca.gov/dlse/faq_paydays.htm</w:t>
      </w:r>
      <w:r>
        <w:t xml:space="preserve"> </w:t>
      </w:r>
      <w:r w:rsidR="00EF3F79">
        <w:t>(</w:t>
      </w:r>
      <w:r>
        <w:t xml:space="preserve">directing </w:t>
      </w:r>
      <w:r w:rsidR="00E31D4F">
        <w:t>readers</w:t>
      </w:r>
      <w:r>
        <w:t xml:space="preserve"> to click a link </w:t>
      </w:r>
      <w:r w:rsidRPr="00666A18">
        <w:t xml:space="preserve">for </w:t>
      </w:r>
      <w:bookmarkStart w:id="562" w:name="dabmq_359"/>
      <w:r w:rsidR="004A5DAD">
        <w:t>“</w:t>
      </w:r>
      <w:r w:rsidRPr="00666A18">
        <w:t>an example of an itemized wage statement (pay stub) as required by</w:t>
      </w:r>
      <w:r w:rsidR="0007507C">
        <w:t xml:space="preserve"> </w:t>
      </w:r>
      <w:bookmarkStart w:id="563" w:name="dabmci_1ae0e09e57294f4db185d8ba83077455"/>
      <w:r w:rsidRPr="00666A18">
        <w:t>Labor Code Section 226</w:t>
      </w:r>
      <w:bookmarkEnd w:id="563"/>
      <w:r w:rsidR="0007507C">
        <w:t xml:space="preserve"> </w:t>
      </w:r>
      <w:r w:rsidRPr="00666A18">
        <w:t>for an employee paid an hourly wage”</w:t>
      </w:r>
      <w:bookmarkEnd w:id="562"/>
      <w:r w:rsidR="00EF3F79">
        <w:t xml:space="preserve">), and </w:t>
      </w:r>
      <w:r w:rsidR="005348DC" w:rsidRPr="005348DC">
        <w:t>https://www.dir.ca.gov/dlse/PayStub.pdf</w:t>
      </w:r>
      <w:r w:rsidR="005348DC">
        <w:t xml:space="preserve"> </w:t>
      </w:r>
      <w:r w:rsidR="00EF3F79">
        <w:t>(</w:t>
      </w:r>
      <w:r w:rsidR="005348DC">
        <w:t>linked exemplar statement</w:t>
      </w:r>
      <w:r w:rsidR="00EF3F79">
        <w:t xml:space="preserve">).  </w:t>
      </w:r>
    </w:p>
  </w:footnote>
  <w:footnote w:id="12">
    <w:p w14:paraId="4368725B" w14:textId="77777777" w:rsidR="00897D3B" w:rsidRPr="00897D3B" w:rsidRDefault="00D16B2E" w:rsidP="004009B9">
      <w:pPr>
        <w:rPr>
          <w:color w:val="000000"/>
        </w:rPr>
      </w:pPr>
      <w:r>
        <w:rPr>
          <w:rStyle w:val="FootnoteReference"/>
        </w:rPr>
        <w:footnoteRef/>
      </w:r>
      <w:r>
        <w:t xml:space="preserve"> </w:t>
      </w:r>
      <w:r>
        <w:tab/>
        <w:t xml:space="preserve">At oral argument in this </w:t>
      </w:r>
      <w:r>
        <w:t>matter, Woodworth argued that her derivative waiting time claim survives on the basis of her</w:t>
      </w:r>
      <w:r w:rsidR="00B40B80">
        <w:t xml:space="preserve"> surviving</w:t>
      </w:r>
      <w:r>
        <w:t xml:space="preserve"> rest period claim</w:t>
      </w:r>
      <w:r w:rsidR="00B40B80">
        <w:t xml:space="preserve">, and the medical center did not show a good faith dispute </w:t>
      </w:r>
      <w:r w:rsidR="009217C2">
        <w:t>regarding</w:t>
      </w:r>
      <w:r w:rsidR="00B40B80">
        <w:t xml:space="preserve"> </w:t>
      </w:r>
      <w:r w:rsidR="009217C2">
        <w:t>her rest period claim.</w:t>
      </w:r>
      <w:r w:rsidR="00B40B80">
        <w:t xml:space="preserve">  </w:t>
      </w:r>
      <w:r w:rsidR="00D12ACB">
        <w:t xml:space="preserve">But Woodworth forfeited the argument that the medical center was not entitled to summary adjudication </w:t>
      </w:r>
      <w:r w:rsidR="007E0328">
        <w:t>on that ground</w:t>
      </w:r>
      <w:r w:rsidR="00D12ACB">
        <w:t>.  Her brief opposing the summary adjudication motion did not argue that she had a derivative waiting time claim on the basis of the</w:t>
      </w:r>
      <w:r w:rsidR="007E0328">
        <w:t xml:space="preserve"> surviving</w:t>
      </w:r>
      <w:r w:rsidR="00D12ACB">
        <w:t xml:space="preserve"> rest period claim.</w:t>
      </w:r>
      <w:r w:rsidR="004A0D9C">
        <w:t xml:space="preserve">  Similarly, </w:t>
      </w:r>
      <w:r w:rsidR="00EC3F6B">
        <w:t xml:space="preserve">neither her opening nor her reply brief on appeal </w:t>
      </w:r>
      <w:r w:rsidR="00E91F9F">
        <w:t>made that argument.</w:t>
      </w:r>
      <w:r w:rsidR="00E55669">
        <w:t xml:space="preserve"> </w:t>
      </w:r>
      <w:r w:rsidR="003027F7">
        <w:t xml:space="preserve"> </w:t>
      </w:r>
      <w:r w:rsidR="004009B9">
        <w:t>Woodworth’s failure to preserve the argument in the trial court and failure to raise it in her appellate briefing forfeited the argument.  (</w:t>
      </w:r>
      <w:bookmarkStart w:id="606" w:name="dabmci_362181eff52444b78cc289fb31e41825"/>
      <w:r w:rsidR="004009B9" w:rsidRPr="00897D3B">
        <w:rPr>
          <w:i/>
          <w:iCs/>
          <w:bdr w:val="none" w:sz="0" w:space="0" w:color="auto" w:frame="1"/>
        </w:rPr>
        <w:t>Animal Protection &amp; Rescue League v. City of San Diego</w:t>
      </w:r>
      <w:r w:rsidR="004009B9" w:rsidRPr="00897D3B">
        <w:t xml:space="preserve"> (2015) 237 Cal.App.4th 99, 107</w:t>
      </w:r>
      <w:r w:rsidR="008425C0" w:rsidRPr="00897D3B">
        <w:t>, fn. 5</w:t>
      </w:r>
      <w:bookmarkEnd w:id="606"/>
      <w:r w:rsidR="008425C0" w:rsidRPr="00897D3B">
        <w:t xml:space="preserve"> [declining to consider an argument raised for the first time at oral argument on appeal]; </w:t>
      </w:r>
      <w:bookmarkStart w:id="607" w:name="dabmci_c59acfc67de745a0b5756b21dab296e3"/>
      <w:r w:rsidRPr="00897D3B">
        <w:rPr>
          <w:i/>
          <w:iCs/>
          <w:bdr w:val="none" w:sz="0" w:space="0" w:color="auto" w:frame="1"/>
        </w:rPr>
        <w:t>Saville v. Sierra College</w:t>
      </w:r>
      <w:r>
        <w:t xml:space="preserve"> </w:t>
      </w:r>
      <w:r w:rsidRPr="00897D3B">
        <w:t>(2005) 133 Cal.App.4th 857, 872</w:t>
      </w:r>
      <w:r w:rsidR="00A5667C">
        <w:t>-873</w:t>
      </w:r>
      <w:bookmarkEnd w:id="607"/>
      <w:r>
        <w:t xml:space="preserve"> [</w:t>
      </w:r>
      <w:r w:rsidR="00A5667C">
        <w:t>appellant’s failure to make an argument in opposition to the summary judgment motion forfeited the argument on appeal].)</w:t>
      </w:r>
      <w:r w:rsidR="003027F7">
        <w:t xml:space="preserve">  By contrast, her briefing </w:t>
      </w:r>
      <w:r w:rsidR="00C42E61">
        <w:t xml:space="preserve">both </w:t>
      </w:r>
      <w:r w:rsidR="003027F7">
        <w:t>in the trial court and on appeal argued that she had a derivative wage statement claim on the basis of her rest period claim, so she did not forfeit that argument.</w:t>
      </w:r>
    </w:p>
  </w:footnote>
  <w:footnote w:id="13">
    <w:p w14:paraId="18F7E999" w14:textId="77777777" w:rsidR="004E1924" w:rsidRDefault="00D16B2E">
      <w:pPr>
        <w:pStyle w:val="FootnoteText"/>
      </w:pPr>
      <w:r>
        <w:rPr>
          <w:rStyle w:val="FootnoteReference"/>
        </w:rPr>
        <w:footnoteRef/>
      </w:r>
      <w:r>
        <w:tab/>
        <w:t>In particular, the employer may require a 12-hour employee to work up to 13 hours if the employee scheduled to relieve them does not report for duty and does not provide more than two hours’ advance notice.  (</w:t>
      </w:r>
      <w:bookmarkStart w:id="654" w:name="dabmci_22a06866de8e4951b5b4daae7a375b97"/>
      <w:r w:rsidR="00D163CA">
        <w:t>Cal. Code Regs., tit. 8</w:t>
      </w:r>
      <w:r>
        <w:t>, § 11050, subd. 3(B</w:t>
      </w:r>
      <w:r>
        <w:t>)(11)</w:t>
      </w:r>
      <w:bookmarkEnd w:id="654"/>
      <w:r>
        <w:t xml:space="preserve">.)  In addition, the 12-hour employee may be required to work up to 16 hours if an authorized executive declares that (1) a healthcare emergency exists, (2) the employer has taken reasonable steps to provide required staffing, and (3) </w:t>
      </w:r>
      <w:bookmarkStart w:id="655" w:name="dabmq_360"/>
      <w:r>
        <w:t>“[c]onsidering o</w:t>
      </w:r>
      <w:r>
        <w:t>verall operational status needs, continued overtime is necessary to provide required staffing.”</w:t>
      </w:r>
      <w:bookmarkEnd w:id="655"/>
      <w:r>
        <w:t xml:space="preserve">  (</w:t>
      </w:r>
      <w:bookmarkStart w:id="656" w:name="dabmci_b49b41b0af1746de87db3e79171ae7e3"/>
      <w:r>
        <w:rPr>
          <w:i/>
          <w:iCs/>
        </w:rPr>
        <w:t>Id.</w:t>
      </w:r>
      <w:r>
        <w:t>, § 11050, subd. 3(B)(9)(a)-(c)</w:t>
      </w:r>
      <w:bookmarkEnd w:id="656"/>
      <w:r>
        <w:t xml:space="preserve">.)  Beyond that, the 12-hour employee must voluntarily agree to work more than 16 hours, and they may not work more than 24 </w:t>
      </w:r>
      <w:r>
        <w:t>consecutive hours unless they have at least eight consecutive hours off duty immediately following the 24 hours of work.  (</w:t>
      </w:r>
      <w:bookmarkStart w:id="657" w:name="dabmci_79f02ff0511e4dab937d3bc7e898e831"/>
      <w:r>
        <w:rPr>
          <w:i/>
          <w:iCs/>
        </w:rPr>
        <w:t>Id.</w:t>
      </w:r>
      <w:r>
        <w:t>, § 11050, subd. 3(B)(10)</w:t>
      </w:r>
      <w:bookmarkEnd w:id="657"/>
      <w:r>
        <w:t>.)</w:t>
      </w:r>
    </w:p>
  </w:footnote>
  <w:footnote w:id="14">
    <w:p w14:paraId="79C95291" w14:textId="77777777" w:rsidR="00424E53" w:rsidRDefault="00D16B2E" w:rsidP="00424E53">
      <w:pPr>
        <w:pStyle w:val="FootnoteText"/>
      </w:pPr>
      <w:r>
        <w:rPr>
          <w:rStyle w:val="FootnoteReference"/>
        </w:rPr>
        <w:footnoteRef/>
      </w:r>
      <w:r>
        <w:tab/>
        <w:t>The</w:t>
      </w:r>
      <w:r w:rsidR="00ED3A8C">
        <w:t xml:space="preserve"> medical center requests that we take judicial notice of </w:t>
      </w:r>
      <w:r w:rsidR="00BF5831">
        <w:t xml:space="preserve">a DLSE opinion letter and </w:t>
      </w:r>
      <w:r w:rsidR="00ED3A8C">
        <w:t xml:space="preserve">documents representing legislative history of section 511.  Woodworth </w:t>
      </w:r>
      <w:r w:rsidR="00BF5831">
        <w:t>r</w:t>
      </w:r>
      <w:r w:rsidR="00ED3A8C">
        <w:t xml:space="preserve">equests that we take judicial </w:t>
      </w:r>
      <w:r w:rsidR="00BF5831">
        <w:t>notice of a document disseminated by the IWC in connection with Wage Order 5 and other wage orders.  Additionally, a</w:t>
      </w:r>
      <w:r>
        <w:t>micus curiae California Hospital Association requests</w:t>
      </w:r>
      <w:r w:rsidR="004679B4">
        <w:t xml:space="preserve"> that we take</w:t>
      </w:r>
      <w:r>
        <w:t xml:space="preserve"> judicial notice of various </w:t>
      </w:r>
      <w:r w:rsidR="00ED3A8C">
        <w:t xml:space="preserve">IWC </w:t>
      </w:r>
      <w:r>
        <w:t xml:space="preserve">documents relating to the current and former versions of Wage Order 5.  We deny all of the requests for judicial notice because they are unnecessary to our resolution of this appeal.  </w:t>
      </w:r>
      <w:r w:rsidRPr="00424E53">
        <w:rPr>
          <w:shd w:val="clear" w:color="auto" w:fill="FFFFFF"/>
        </w:rPr>
        <w:t>(</w:t>
      </w:r>
      <w:bookmarkStart w:id="683" w:name="dabmci_7a127f6442874c958114907bf583727c"/>
      <w:r w:rsidRPr="00424E53">
        <w:rPr>
          <w:i/>
          <w:iCs/>
          <w:bdr w:val="none" w:sz="0" w:space="0" w:color="auto" w:frame="1"/>
        </w:rPr>
        <w:t>County of San Diego v. Sta</w:t>
      </w:r>
      <w:r w:rsidRPr="00424E53">
        <w:rPr>
          <w:i/>
          <w:iCs/>
          <w:bdr w:val="none" w:sz="0" w:space="0" w:color="auto" w:frame="1"/>
        </w:rPr>
        <w:t>te of California</w:t>
      </w:r>
      <w:r w:rsidR="00FF2F88">
        <w:rPr>
          <w:shd w:val="clear" w:color="auto" w:fill="FFFFFF"/>
        </w:rPr>
        <w:t xml:space="preserve"> </w:t>
      </w:r>
      <w:r w:rsidRPr="00424E53">
        <w:rPr>
          <w:shd w:val="clear" w:color="auto" w:fill="FFFFFF"/>
        </w:rPr>
        <w:t>(2008) 164 Cal.App.4th 580, 613, fn. 29</w:t>
      </w:r>
      <w:bookmarkEnd w:id="683"/>
      <w:r w:rsidRPr="00424E53">
        <w:rPr>
          <w:shd w:val="clear" w:color="auto" w:fill="FFFFFF"/>
        </w:rPr>
        <w:t>.)</w:t>
      </w:r>
    </w:p>
  </w:footnote>
  <w:footnote w:id="15">
    <w:p w14:paraId="3B718986" w14:textId="77777777" w:rsidR="007A57FA" w:rsidRPr="00BB66E6" w:rsidRDefault="00D16B2E" w:rsidP="007A57FA">
      <w:r>
        <w:rPr>
          <w:rStyle w:val="FootnoteReference"/>
        </w:rPr>
        <w:footnoteRef/>
      </w:r>
      <w:r>
        <w:tab/>
      </w:r>
      <w:r>
        <w:rPr>
          <w:bdr w:val="none" w:sz="0" w:space="0" w:color="auto" w:frame="1"/>
          <w:shd w:val="clear" w:color="auto" w:fill="FFFFFF"/>
        </w:rPr>
        <w:t xml:space="preserve">The trial court in </w:t>
      </w:r>
      <w:bookmarkStart w:id="750" w:name="dabmci_140875ad6f334f58984a26396818de88"/>
      <w:r>
        <w:rPr>
          <w:i/>
          <w:iCs/>
          <w:bdr w:val="none" w:sz="0" w:space="0" w:color="auto" w:frame="1"/>
          <w:shd w:val="clear" w:color="auto" w:fill="FFFFFF"/>
        </w:rPr>
        <w:t>South Bay Chevrolet</w:t>
      </w:r>
      <w:bookmarkEnd w:id="750"/>
      <w:r>
        <w:rPr>
          <w:bdr w:val="none" w:sz="0" w:space="0" w:color="auto" w:frame="1"/>
          <w:shd w:val="clear" w:color="auto" w:fill="FFFFFF"/>
        </w:rPr>
        <w:t xml:space="preserve"> did not dismiss the representative UCL claim as unmanageable</w:t>
      </w:r>
      <w:r w:rsidR="00BB66E6">
        <w:rPr>
          <w:bdr w:val="none" w:sz="0" w:space="0" w:color="auto" w:frame="1"/>
          <w:shd w:val="clear" w:color="auto" w:fill="FFFFFF"/>
        </w:rPr>
        <w:t xml:space="preserve"> before trial</w:t>
      </w:r>
      <w:r>
        <w:rPr>
          <w:bdr w:val="none" w:sz="0" w:space="0" w:color="auto" w:frame="1"/>
          <w:shd w:val="clear" w:color="auto" w:fill="FFFFFF"/>
        </w:rPr>
        <w:t xml:space="preserve"> or rely on the inherent authority to manage litigation.  Rather, after a bench trial, the court granted the defendant’s motion for judgment under </w:t>
      </w:r>
      <w:bookmarkStart w:id="751" w:name="dabmci_7d90f5ca78eb48ba992a1268ec14d39f"/>
      <w:r>
        <w:rPr>
          <w:bdr w:val="none" w:sz="0" w:space="0" w:color="auto" w:frame="1"/>
          <w:shd w:val="clear" w:color="auto" w:fill="FFFFFF"/>
        </w:rPr>
        <w:t>Code of Civil Procedure section 631.8</w:t>
      </w:r>
      <w:bookmarkEnd w:id="751"/>
      <w:r>
        <w:rPr>
          <w:bdr w:val="none" w:sz="0" w:space="0" w:color="auto" w:frame="1"/>
          <w:shd w:val="clear" w:color="auto" w:fill="FFFFFF"/>
        </w:rPr>
        <w:t>.  (</w:t>
      </w:r>
      <w:bookmarkStart w:id="752" w:name="dabmci_507b9d35e73847f8adeff80a4b53441f"/>
      <w:r>
        <w:rPr>
          <w:i/>
          <w:iCs/>
          <w:bdr w:val="none" w:sz="0" w:space="0" w:color="auto" w:frame="1"/>
          <w:shd w:val="clear" w:color="auto" w:fill="FFFFFF"/>
        </w:rPr>
        <w:t>South Bay Chevrolet</w:t>
      </w:r>
      <w:r>
        <w:rPr>
          <w:bdr w:val="none" w:sz="0" w:space="0" w:color="auto" w:frame="1"/>
          <w:shd w:val="clear" w:color="auto" w:fill="FFFFFF"/>
        </w:rPr>
        <w:t xml:space="preserve">, </w:t>
      </w:r>
      <w:r w:rsidRPr="007A57FA">
        <w:rPr>
          <w:i/>
          <w:iCs/>
          <w:bdr w:val="none" w:sz="0" w:space="0" w:color="auto" w:frame="1"/>
          <w:shd w:val="clear" w:color="auto" w:fill="FFFFFF"/>
        </w:rPr>
        <w:t>supra</w:t>
      </w:r>
      <w:r>
        <w:rPr>
          <w:bdr w:val="none" w:sz="0" w:space="0" w:color="auto" w:frame="1"/>
          <w:shd w:val="clear" w:color="auto" w:fill="FFFFFF"/>
        </w:rPr>
        <w:t xml:space="preserve">, </w:t>
      </w:r>
      <w:r w:rsidRPr="007A57FA">
        <w:t>72</w:t>
      </w:r>
      <w:r w:rsidRPr="00F40423">
        <w:t xml:space="preserve"> Cal.App.4th </w:t>
      </w:r>
      <w:r>
        <w:rPr>
          <w:bdr w:val="none" w:sz="0" w:space="0" w:color="auto" w:frame="1"/>
          <w:shd w:val="clear" w:color="auto" w:fill="FFFFFF"/>
        </w:rPr>
        <w:t>at pp. 869, 875</w:t>
      </w:r>
      <w:bookmarkEnd w:id="752"/>
      <w:r>
        <w:rPr>
          <w:bdr w:val="none" w:sz="0" w:space="0" w:color="auto" w:frame="1"/>
          <w:shd w:val="clear" w:color="auto" w:fill="FFFFFF"/>
        </w:rPr>
        <w:t>.)  The tr</w:t>
      </w:r>
      <w:r>
        <w:rPr>
          <w:bdr w:val="none" w:sz="0" w:space="0" w:color="auto" w:frame="1"/>
          <w:shd w:val="clear" w:color="auto" w:fill="FFFFFF"/>
        </w:rPr>
        <w:t>ial court determined that the plaintiff</w:t>
      </w:r>
      <w:r w:rsidR="008965BD">
        <w:rPr>
          <w:bdr w:val="none" w:sz="0" w:space="0" w:color="auto" w:frame="1"/>
          <w:shd w:val="clear" w:color="auto" w:fill="FFFFFF"/>
        </w:rPr>
        <w:t xml:space="preserve"> (a car dealership)</w:t>
      </w:r>
      <w:r>
        <w:rPr>
          <w:bdr w:val="none" w:sz="0" w:space="0" w:color="auto" w:frame="1"/>
          <w:shd w:val="clear" w:color="auto" w:fill="FFFFFF"/>
        </w:rPr>
        <w:t xml:space="preserve"> </w:t>
      </w:r>
      <w:bookmarkStart w:id="753" w:name="dabmq_361"/>
      <w:r>
        <w:rPr>
          <w:bdr w:val="none" w:sz="0" w:space="0" w:color="auto" w:frame="1"/>
          <w:shd w:val="clear" w:color="auto" w:fill="FFFFFF"/>
        </w:rPr>
        <w:t>“f</w:t>
      </w:r>
      <w:r w:rsidRPr="00254B1C">
        <w:rPr>
          <w:shd w:val="clear" w:color="auto" w:fill="FFFFFF"/>
        </w:rPr>
        <w:t>ailed to meet its evidentiary burden to show that its</w:t>
      </w:r>
      <w:r w:rsidR="00581947">
        <w:rPr>
          <w:shd w:val="clear" w:color="auto" w:fill="FFFFFF"/>
        </w:rPr>
        <w:t xml:space="preserve"> </w:t>
      </w:r>
      <w:r w:rsidRPr="00254B1C">
        <w:rPr>
          <w:bdr w:val="none" w:sz="0" w:space="0" w:color="auto" w:frame="1"/>
          <w:shd w:val="clear" w:color="auto" w:fill="FFFFFF"/>
        </w:rPr>
        <w:t>individual claim should be afforded private attorney general statu</w:t>
      </w:r>
      <w:r w:rsidRPr="00254B1C">
        <w:rPr>
          <w:shd w:val="clear" w:color="auto" w:fill="FFFFFF"/>
        </w:rPr>
        <w:t>s</w:t>
      </w:r>
      <w:r>
        <w:rPr>
          <w:shd w:val="clear" w:color="auto" w:fill="FFFFFF"/>
        </w:rPr>
        <w:t>.”</w:t>
      </w:r>
      <w:bookmarkEnd w:id="753"/>
      <w:r>
        <w:rPr>
          <w:shd w:val="clear" w:color="auto" w:fill="FFFFFF"/>
        </w:rPr>
        <w:t xml:space="preserve">  (</w:t>
      </w:r>
      <w:bookmarkStart w:id="754" w:name="dabmci_4d6ce5709ec34f758112cf85180fa622"/>
      <w:r>
        <w:rPr>
          <w:i/>
          <w:iCs/>
          <w:shd w:val="clear" w:color="auto" w:fill="FFFFFF"/>
        </w:rPr>
        <w:t>Id.</w:t>
      </w:r>
      <w:r>
        <w:t xml:space="preserve"> at p. 891</w:t>
      </w:r>
      <w:bookmarkEnd w:id="754"/>
      <w:r>
        <w:t xml:space="preserve">.)  </w:t>
      </w:r>
      <w:r w:rsidR="00BB66E6">
        <w:t>The court</w:t>
      </w:r>
      <w:r>
        <w:t xml:space="preserve"> based that determination on a lack of evid</w:t>
      </w:r>
      <w:r>
        <w:t xml:space="preserve">ence that any </w:t>
      </w:r>
      <w:r w:rsidR="002573DD">
        <w:t xml:space="preserve">car </w:t>
      </w:r>
      <w:r>
        <w:t xml:space="preserve">dealership was likely to be deceived by the defendant’s practices or that dealerships </w:t>
      </w:r>
      <w:bookmarkStart w:id="755" w:name="dabmq_362"/>
      <w:r>
        <w:t>“were similarly situated as to their likelihood of deception.”</w:t>
      </w:r>
      <w:bookmarkEnd w:id="755"/>
      <w:r w:rsidR="00BB66E6">
        <w:t xml:space="preserve">  (</w:t>
      </w:r>
      <w:bookmarkStart w:id="756" w:name="dabmci_426cefcc6fc343f0b7f021c80bb1082d"/>
      <w:r w:rsidR="00BB66E6">
        <w:rPr>
          <w:i/>
        </w:rPr>
        <w:t>Ibid.</w:t>
      </w:r>
      <w:bookmarkEnd w:id="756"/>
      <w:r w:rsidR="00BB66E6">
        <w:rPr>
          <w:iCs/>
        </w:rPr>
        <w:t xml:space="preserve">)  The appellate court held that the ruling was supported by substantial evidence, </w:t>
      </w:r>
      <w:r w:rsidR="00BB66E6" w:rsidRPr="00BB66E6">
        <w:t xml:space="preserve">so the trial </w:t>
      </w:r>
      <w:bookmarkStart w:id="757" w:name="dabmq_363"/>
      <w:r w:rsidR="00BB66E6" w:rsidRPr="00BB66E6">
        <w:t>“court properly determined it could not make any determination that [the defendant] was liable statewide.”</w:t>
      </w:r>
      <w:bookmarkEnd w:id="757"/>
      <w:r w:rsidR="00BB66E6" w:rsidRPr="00BB66E6">
        <w:t xml:space="preserve">  (</w:t>
      </w:r>
      <w:bookmarkStart w:id="758" w:name="dabmci_60af0b7ac96946c3b7bb0e2cb5515bc0"/>
      <w:r w:rsidR="00BB66E6">
        <w:rPr>
          <w:i/>
          <w:iCs/>
        </w:rPr>
        <w:t>Id.</w:t>
      </w:r>
      <w:r w:rsidR="00BB66E6">
        <w:t xml:space="preserve"> at p.</w:t>
      </w:r>
      <w:r w:rsidR="00BB66E6" w:rsidRPr="00BB66E6">
        <w:t xml:space="preserve"> 895</w:t>
      </w:r>
      <w:bookmarkEnd w:id="758"/>
      <w:r w:rsidR="00BB66E6" w:rsidRPr="00BB66E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80F6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ED0FBA"/>
    <w:multiLevelType w:val="hybridMultilevel"/>
    <w:tmpl w:val="63BCA60C"/>
    <w:lvl w:ilvl="0" w:tplc="40DA37EE">
      <w:start w:val="1"/>
      <w:numFmt w:val="upperRoman"/>
      <w:lvlText w:val="%1."/>
      <w:lvlJc w:val="left"/>
      <w:pPr>
        <w:ind w:left="1080" w:hanging="720"/>
      </w:pPr>
      <w:rPr>
        <w:rFonts w:hint="default"/>
      </w:rPr>
    </w:lvl>
    <w:lvl w:ilvl="1" w:tplc="F18C2A1E" w:tentative="1">
      <w:start w:val="1"/>
      <w:numFmt w:val="lowerLetter"/>
      <w:lvlText w:val="%2."/>
      <w:lvlJc w:val="left"/>
      <w:pPr>
        <w:ind w:left="1440" w:hanging="360"/>
      </w:pPr>
    </w:lvl>
    <w:lvl w:ilvl="2" w:tplc="1228EA96" w:tentative="1">
      <w:start w:val="1"/>
      <w:numFmt w:val="lowerRoman"/>
      <w:lvlText w:val="%3."/>
      <w:lvlJc w:val="right"/>
      <w:pPr>
        <w:ind w:left="2160" w:hanging="180"/>
      </w:pPr>
    </w:lvl>
    <w:lvl w:ilvl="3" w:tplc="3DC876FC" w:tentative="1">
      <w:start w:val="1"/>
      <w:numFmt w:val="decimal"/>
      <w:lvlText w:val="%4."/>
      <w:lvlJc w:val="left"/>
      <w:pPr>
        <w:ind w:left="2880" w:hanging="360"/>
      </w:pPr>
    </w:lvl>
    <w:lvl w:ilvl="4" w:tplc="2A5A3D9A" w:tentative="1">
      <w:start w:val="1"/>
      <w:numFmt w:val="lowerLetter"/>
      <w:lvlText w:val="%5."/>
      <w:lvlJc w:val="left"/>
      <w:pPr>
        <w:ind w:left="3600" w:hanging="360"/>
      </w:pPr>
    </w:lvl>
    <w:lvl w:ilvl="5" w:tplc="D024AEFE" w:tentative="1">
      <w:start w:val="1"/>
      <w:numFmt w:val="lowerRoman"/>
      <w:lvlText w:val="%6."/>
      <w:lvlJc w:val="right"/>
      <w:pPr>
        <w:ind w:left="4320" w:hanging="180"/>
      </w:pPr>
    </w:lvl>
    <w:lvl w:ilvl="6" w:tplc="CDE0A32A" w:tentative="1">
      <w:start w:val="1"/>
      <w:numFmt w:val="decimal"/>
      <w:lvlText w:val="%7."/>
      <w:lvlJc w:val="left"/>
      <w:pPr>
        <w:ind w:left="5040" w:hanging="360"/>
      </w:pPr>
    </w:lvl>
    <w:lvl w:ilvl="7" w:tplc="0010C080" w:tentative="1">
      <w:start w:val="1"/>
      <w:numFmt w:val="lowerLetter"/>
      <w:lvlText w:val="%8."/>
      <w:lvlJc w:val="left"/>
      <w:pPr>
        <w:ind w:left="5760" w:hanging="360"/>
      </w:pPr>
    </w:lvl>
    <w:lvl w:ilvl="8" w:tplc="961E90D4" w:tentative="1">
      <w:start w:val="1"/>
      <w:numFmt w:val="lowerRoman"/>
      <w:lvlText w:val="%9."/>
      <w:lvlJc w:val="right"/>
      <w:pPr>
        <w:ind w:left="6480" w:hanging="180"/>
      </w:pPr>
    </w:lvl>
  </w:abstractNum>
  <w:abstractNum w:abstractNumId="2" w15:restartNumberingAfterBreak="0">
    <w:nsid w:val="14A06EED"/>
    <w:multiLevelType w:val="hybridMultilevel"/>
    <w:tmpl w:val="6F408782"/>
    <w:lvl w:ilvl="0" w:tplc="F00A6D3A">
      <w:start w:val="1"/>
      <w:numFmt w:val="bullet"/>
      <w:lvlText w:val=""/>
      <w:lvlJc w:val="left"/>
      <w:pPr>
        <w:ind w:left="720" w:hanging="360"/>
      </w:pPr>
      <w:rPr>
        <w:rFonts w:ascii="Symbol" w:hAnsi="Symbol" w:hint="default"/>
      </w:rPr>
    </w:lvl>
    <w:lvl w:ilvl="1" w:tplc="B824F314" w:tentative="1">
      <w:start w:val="1"/>
      <w:numFmt w:val="bullet"/>
      <w:lvlText w:val="o"/>
      <w:lvlJc w:val="left"/>
      <w:pPr>
        <w:ind w:left="1440" w:hanging="360"/>
      </w:pPr>
      <w:rPr>
        <w:rFonts w:ascii="Courier New" w:hAnsi="Courier New" w:cs="Courier New" w:hint="default"/>
      </w:rPr>
    </w:lvl>
    <w:lvl w:ilvl="2" w:tplc="EC004EB6" w:tentative="1">
      <w:start w:val="1"/>
      <w:numFmt w:val="bullet"/>
      <w:lvlText w:val=""/>
      <w:lvlJc w:val="left"/>
      <w:pPr>
        <w:ind w:left="2160" w:hanging="360"/>
      </w:pPr>
      <w:rPr>
        <w:rFonts w:ascii="Wingdings" w:hAnsi="Wingdings" w:hint="default"/>
      </w:rPr>
    </w:lvl>
    <w:lvl w:ilvl="3" w:tplc="34A036D2" w:tentative="1">
      <w:start w:val="1"/>
      <w:numFmt w:val="bullet"/>
      <w:lvlText w:val=""/>
      <w:lvlJc w:val="left"/>
      <w:pPr>
        <w:ind w:left="2880" w:hanging="360"/>
      </w:pPr>
      <w:rPr>
        <w:rFonts w:ascii="Symbol" w:hAnsi="Symbol" w:hint="default"/>
      </w:rPr>
    </w:lvl>
    <w:lvl w:ilvl="4" w:tplc="81E816CE" w:tentative="1">
      <w:start w:val="1"/>
      <w:numFmt w:val="bullet"/>
      <w:lvlText w:val="o"/>
      <w:lvlJc w:val="left"/>
      <w:pPr>
        <w:ind w:left="3600" w:hanging="360"/>
      </w:pPr>
      <w:rPr>
        <w:rFonts w:ascii="Courier New" w:hAnsi="Courier New" w:cs="Courier New" w:hint="default"/>
      </w:rPr>
    </w:lvl>
    <w:lvl w:ilvl="5" w:tplc="2F308B98" w:tentative="1">
      <w:start w:val="1"/>
      <w:numFmt w:val="bullet"/>
      <w:lvlText w:val=""/>
      <w:lvlJc w:val="left"/>
      <w:pPr>
        <w:ind w:left="4320" w:hanging="360"/>
      </w:pPr>
      <w:rPr>
        <w:rFonts w:ascii="Wingdings" w:hAnsi="Wingdings" w:hint="default"/>
      </w:rPr>
    </w:lvl>
    <w:lvl w:ilvl="6" w:tplc="CB56540C" w:tentative="1">
      <w:start w:val="1"/>
      <w:numFmt w:val="bullet"/>
      <w:lvlText w:val=""/>
      <w:lvlJc w:val="left"/>
      <w:pPr>
        <w:ind w:left="5040" w:hanging="360"/>
      </w:pPr>
      <w:rPr>
        <w:rFonts w:ascii="Symbol" w:hAnsi="Symbol" w:hint="default"/>
      </w:rPr>
    </w:lvl>
    <w:lvl w:ilvl="7" w:tplc="C8B2DE3A" w:tentative="1">
      <w:start w:val="1"/>
      <w:numFmt w:val="bullet"/>
      <w:lvlText w:val="o"/>
      <w:lvlJc w:val="left"/>
      <w:pPr>
        <w:ind w:left="5760" w:hanging="360"/>
      </w:pPr>
      <w:rPr>
        <w:rFonts w:ascii="Courier New" w:hAnsi="Courier New" w:cs="Courier New" w:hint="default"/>
      </w:rPr>
    </w:lvl>
    <w:lvl w:ilvl="8" w:tplc="ECD43F84" w:tentative="1">
      <w:start w:val="1"/>
      <w:numFmt w:val="bullet"/>
      <w:lvlText w:val=""/>
      <w:lvlJc w:val="left"/>
      <w:pPr>
        <w:ind w:left="6480" w:hanging="360"/>
      </w:pPr>
      <w:rPr>
        <w:rFonts w:ascii="Wingdings" w:hAnsi="Wingdings" w:hint="default"/>
      </w:rPr>
    </w:lvl>
  </w:abstractNum>
  <w:abstractNum w:abstractNumId="3" w15:restartNumberingAfterBreak="0">
    <w:nsid w:val="1E293441"/>
    <w:multiLevelType w:val="hybridMultilevel"/>
    <w:tmpl w:val="467C5ED0"/>
    <w:lvl w:ilvl="0" w:tplc="60B6C2D8">
      <w:start w:val="510"/>
      <w:numFmt w:val="decimal"/>
      <w:lvlText w:val="%1."/>
      <w:lvlJc w:val="left"/>
      <w:pPr>
        <w:ind w:left="1800" w:hanging="360"/>
      </w:pPr>
      <w:rPr>
        <w:rFonts w:hint="default"/>
      </w:rPr>
    </w:lvl>
    <w:lvl w:ilvl="1" w:tplc="80B4DF1E" w:tentative="1">
      <w:start w:val="1"/>
      <w:numFmt w:val="lowerLetter"/>
      <w:lvlText w:val="%2."/>
      <w:lvlJc w:val="left"/>
      <w:pPr>
        <w:ind w:left="2520" w:hanging="360"/>
      </w:pPr>
    </w:lvl>
    <w:lvl w:ilvl="2" w:tplc="1FA2EF0E" w:tentative="1">
      <w:start w:val="1"/>
      <w:numFmt w:val="lowerRoman"/>
      <w:lvlText w:val="%3."/>
      <w:lvlJc w:val="right"/>
      <w:pPr>
        <w:ind w:left="3240" w:hanging="180"/>
      </w:pPr>
    </w:lvl>
    <w:lvl w:ilvl="3" w:tplc="B02E4F4E" w:tentative="1">
      <w:start w:val="1"/>
      <w:numFmt w:val="decimal"/>
      <w:lvlText w:val="%4."/>
      <w:lvlJc w:val="left"/>
      <w:pPr>
        <w:ind w:left="3960" w:hanging="360"/>
      </w:pPr>
    </w:lvl>
    <w:lvl w:ilvl="4" w:tplc="F800CF56" w:tentative="1">
      <w:start w:val="1"/>
      <w:numFmt w:val="lowerLetter"/>
      <w:lvlText w:val="%5."/>
      <w:lvlJc w:val="left"/>
      <w:pPr>
        <w:ind w:left="4680" w:hanging="360"/>
      </w:pPr>
    </w:lvl>
    <w:lvl w:ilvl="5" w:tplc="901AD8D0" w:tentative="1">
      <w:start w:val="1"/>
      <w:numFmt w:val="lowerRoman"/>
      <w:lvlText w:val="%6."/>
      <w:lvlJc w:val="right"/>
      <w:pPr>
        <w:ind w:left="5400" w:hanging="180"/>
      </w:pPr>
    </w:lvl>
    <w:lvl w:ilvl="6" w:tplc="1AAECEDA" w:tentative="1">
      <w:start w:val="1"/>
      <w:numFmt w:val="decimal"/>
      <w:lvlText w:val="%7."/>
      <w:lvlJc w:val="left"/>
      <w:pPr>
        <w:ind w:left="6120" w:hanging="360"/>
      </w:pPr>
    </w:lvl>
    <w:lvl w:ilvl="7" w:tplc="25CECBF2" w:tentative="1">
      <w:start w:val="1"/>
      <w:numFmt w:val="lowerLetter"/>
      <w:lvlText w:val="%8."/>
      <w:lvlJc w:val="left"/>
      <w:pPr>
        <w:ind w:left="6840" w:hanging="360"/>
      </w:pPr>
    </w:lvl>
    <w:lvl w:ilvl="8" w:tplc="829AAF44" w:tentative="1">
      <w:start w:val="1"/>
      <w:numFmt w:val="lowerRoman"/>
      <w:lvlText w:val="%9."/>
      <w:lvlJc w:val="right"/>
      <w:pPr>
        <w:ind w:left="7560" w:hanging="180"/>
      </w:pPr>
    </w:lvl>
  </w:abstractNum>
  <w:abstractNum w:abstractNumId="4" w15:restartNumberingAfterBreak="0">
    <w:nsid w:val="213E0F7A"/>
    <w:multiLevelType w:val="hybridMultilevel"/>
    <w:tmpl w:val="C3B46FEE"/>
    <w:lvl w:ilvl="0" w:tplc="87D2E574">
      <w:start w:val="510"/>
      <w:numFmt w:val="decimal"/>
      <w:lvlText w:val="%1."/>
      <w:lvlJc w:val="left"/>
      <w:pPr>
        <w:ind w:left="1800" w:hanging="360"/>
      </w:pPr>
      <w:rPr>
        <w:rFonts w:hint="default"/>
      </w:rPr>
    </w:lvl>
    <w:lvl w:ilvl="1" w:tplc="16B8F298" w:tentative="1">
      <w:start w:val="1"/>
      <w:numFmt w:val="lowerLetter"/>
      <w:lvlText w:val="%2."/>
      <w:lvlJc w:val="left"/>
      <w:pPr>
        <w:ind w:left="2520" w:hanging="360"/>
      </w:pPr>
    </w:lvl>
    <w:lvl w:ilvl="2" w:tplc="38B605C8" w:tentative="1">
      <w:start w:val="1"/>
      <w:numFmt w:val="lowerRoman"/>
      <w:lvlText w:val="%3."/>
      <w:lvlJc w:val="right"/>
      <w:pPr>
        <w:ind w:left="3240" w:hanging="180"/>
      </w:pPr>
    </w:lvl>
    <w:lvl w:ilvl="3" w:tplc="35C8CA86" w:tentative="1">
      <w:start w:val="1"/>
      <w:numFmt w:val="decimal"/>
      <w:lvlText w:val="%4."/>
      <w:lvlJc w:val="left"/>
      <w:pPr>
        <w:ind w:left="3960" w:hanging="360"/>
      </w:pPr>
    </w:lvl>
    <w:lvl w:ilvl="4" w:tplc="1B201276" w:tentative="1">
      <w:start w:val="1"/>
      <w:numFmt w:val="lowerLetter"/>
      <w:lvlText w:val="%5."/>
      <w:lvlJc w:val="left"/>
      <w:pPr>
        <w:ind w:left="4680" w:hanging="360"/>
      </w:pPr>
    </w:lvl>
    <w:lvl w:ilvl="5" w:tplc="A2D8BED4" w:tentative="1">
      <w:start w:val="1"/>
      <w:numFmt w:val="lowerRoman"/>
      <w:lvlText w:val="%6."/>
      <w:lvlJc w:val="right"/>
      <w:pPr>
        <w:ind w:left="5400" w:hanging="180"/>
      </w:pPr>
    </w:lvl>
    <w:lvl w:ilvl="6" w:tplc="703C2436" w:tentative="1">
      <w:start w:val="1"/>
      <w:numFmt w:val="decimal"/>
      <w:lvlText w:val="%7."/>
      <w:lvlJc w:val="left"/>
      <w:pPr>
        <w:ind w:left="6120" w:hanging="360"/>
      </w:pPr>
    </w:lvl>
    <w:lvl w:ilvl="7" w:tplc="7B64429E" w:tentative="1">
      <w:start w:val="1"/>
      <w:numFmt w:val="lowerLetter"/>
      <w:lvlText w:val="%8."/>
      <w:lvlJc w:val="left"/>
      <w:pPr>
        <w:ind w:left="6840" w:hanging="360"/>
      </w:pPr>
    </w:lvl>
    <w:lvl w:ilvl="8" w:tplc="08260184" w:tentative="1">
      <w:start w:val="1"/>
      <w:numFmt w:val="lowerRoman"/>
      <w:lvlText w:val="%9."/>
      <w:lvlJc w:val="right"/>
      <w:pPr>
        <w:ind w:left="7560" w:hanging="180"/>
      </w:pPr>
    </w:lvl>
  </w:abstractNum>
  <w:abstractNum w:abstractNumId="5" w15:restartNumberingAfterBreak="0">
    <w:nsid w:val="24191279"/>
    <w:multiLevelType w:val="hybridMultilevel"/>
    <w:tmpl w:val="DA126DBE"/>
    <w:lvl w:ilvl="0" w:tplc="C7268712">
      <w:start w:val="1"/>
      <w:numFmt w:val="upperLetter"/>
      <w:lvlText w:val="%1."/>
      <w:lvlJc w:val="left"/>
      <w:pPr>
        <w:ind w:left="1080" w:hanging="360"/>
      </w:pPr>
      <w:rPr>
        <w:rFonts w:hint="default"/>
      </w:rPr>
    </w:lvl>
    <w:lvl w:ilvl="1" w:tplc="3FD6514C" w:tentative="1">
      <w:start w:val="1"/>
      <w:numFmt w:val="lowerLetter"/>
      <w:lvlText w:val="%2."/>
      <w:lvlJc w:val="left"/>
      <w:pPr>
        <w:ind w:left="1800" w:hanging="360"/>
      </w:pPr>
    </w:lvl>
    <w:lvl w:ilvl="2" w:tplc="2C565BBA" w:tentative="1">
      <w:start w:val="1"/>
      <w:numFmt w:val="lowerRoman"/>
      <w:lvlText w:val="%3."/>
      <w:lvlJc w:val="right"/>
      <w:pPr>
        <w:ind w:left="2520" w:hanging="180"/>
      </w:pPr>
    </w:lvl>
    <w:lvl w:ilvl="3" w:tplc="5F0E2354" w:tentative="1">
      <w:start w:val="1"/>
      <w:numFmt w:val="decimal"/>
      <w:lvlText w:val="%4."/>
      <w:lvlJc w:val="left"/>
      <w:pPr>
        <w:ind w:left="3240" w:hanging="360"/>
      </w:pPr>
    </w:lvl>
    <w:lvl w:ilvl="4" w:tplc="9A983506" w:tentative="1">
      <w:start w:val="1"/>
      <w:numFmt w:val="lowerLetter"/>
      <w:lvlText w:val="%5."/>
      <w:lvlJc w:val="left"/>
      <w:pPr>
        <w:ind w:left="3960" w:hanging="360"/>
      </w:pPr>
    </w:lvl>
    <w:lvl w:ilvl="5" w:tplc="84FC4510" w:tentative="1">
      <w:start w:val="1"/>
      <w:numFmt w:val="lowerRoman"/>
      <w:lvlText w:val="%6."/>
      <w:lvlJc w:val="right"/>
      <w:pPr>
        <w:ind w:left="4680" w:hanging="180"/>
      </w:pPr>
    </w:lvl>
    <w:lvl w:ilvl="6" w:tplc="D4485602" w:tentative="1">
      <w:start w:val="1"/>
      <w:numFmt w:val="decimal"/>
      <w:lvlText w:val="%7."/>
      <w:lvlJc w:val="left"/>
      <w:pPr>
        <w:ind w:left="5400" w:hanging="360"/>
      </w:pPr>
    </w:lvl>
    <w:lvl w:ilvl="7" w:tplc="EF808428" w:tentative="1">
      <w:start w:val="1"/>
      <w:numFmt w:val="lowerLetter"/>
      <w:lvlText w:val="%8."/>
      <w:lvlJc w:val="left"/>
      <w:pPr>
        <w:ind w:left="6120" w:hanging="360"/>
      </w:pPr>
    </w:lvl>
    <w:lvl w:ilvl="8" w:tplc="5C020FC4" w:tentative="1">
      <w:start w:val="1"/>
      <w:numFmt w:val="lowerRoman"/>
      <w:lvlText w:val="%9."/>
      <w:lvlJc w:val="right"/>
      <w:pPr>
        <w:ind w:left="6840" w:hanging="180"/>
      </w:pPr>
    </w:lvl>
  </w:abstractNum>
  <w:abstractNum w:abstractNumId="6" w15:restartNumberingAfterBreak="0">
    <w:nsid w:val="2A2D383B"/>
    <w:multiLevelType w:val="hybridMultilevel"/>
    <w:tmpl w:val="F06AB0E2"/>
    <w:lvl w:ilvl="0" w:tplc="4FD2A9EE">
      <w:start w:val="1"/>
      <w:numFmt w:val="decimal"/>
      <w:lvlText w:val="%1."/>
      <w:lvlJc w:val="left"/>
      <w:pPr>
        <w:ind w:left="1706" w:hanging="360"/>
      </w:pPr>
    </w:lvl>
    <w:lvl w:ilvl="1" w:tplc="88CCA20A">
      <w:start w:val="1"/>
      <w:numFmt w:val="lowerLetter"/>
      <w:lvlText w:val="%2."/>
      <w:lvlJc w:val="left"/>
      <w:pPr>
        <w:ind w:left="2426" w:hanging="360"/>
      </w:pPr>
    </w:lvl>
    <w:lvl w:ilvl="2" w:tplc="DD546B32" w:tentative="1">
      <w:start w:val="1"/>
      <w:numFmt w:val="lowerRoman"/>
      <w:lvlText w:val="%3."/>
      <w:lvlJc w:val="right"/>
      <w:pPr>
        <w:ind w:left="3146" w:hanging="180"/>
      </w:pPr>
    </w:lvl>
    <w:lvl w:ilvl="3" w:tplc="CB0C38CC" w:tentative="1">
      <w:start w:val="1"/>
      <w:numFmt w:val="decimal"/>
      <w:lvlText w:val="%4."/>
      <w:lvlJc w:val="left"/>
      <w:pPr>
        <w:ind w:left="3866" w:hanging="360"/>
      </w:pPr>
    </w:lvl>
    <w:lvl w:ilvl="4" w:tplc="4C12CB6C" w:tentative="1">
      <w:start w:val="1"/>
      <w:numFmt w:val="lowerLetter"/>
      <w:lvlText w:val="%5."/>
      <w:lvlJc w:val="left"/>
      <w:pPr>
        <w:ind w:left="4586" w:hanging="360"/>
      </w:pPr>
    </w:lvl>
    <w:lvl w:ilvl="5" w:tplc="86BED0B2" w:tentative="1">
      <w:start w:val="1"/>
      <w:numFmt w:val="lowerRoman"/>
      <w:lvlText w:val="%6."/>
      <w:lvlJc w:val="right"/>
      <w:pPr>
        <w:ind w:left="5306" w:hanging="180"/>
      </w:pPr>
    </w:lvl>
    <w:lvl w:ilvl="6" w:tplc="C9240B48" w:tentative="1">
      <w:start w:val="1"/>
      <w:numFmt w:val="decimal"/>
      <w:lvlText w:val="%7."/>
      <w:lvlJc w:val="left"/>
      <w:pPr>
        <w:ind w:left="6026" w:hanging="360"/>
      </w:pPr>
    </w:lvl>
    <w:lvl w:ilvl="7" w:tplc="06E03A44" w:tentative="1">
      <w:start w:val="1"/>
      <w:numFmt w:val="lowerLetter"/>
      <w:lvlText w:val="%8."/>
      <w:lvlJc w:val="left"/>
      <w:pPr>
        <w:ind w:left="6746" w:hanging="360"/>
      </w:pPr>
    </w:lvl>
    <w:lvl w:ilvl="8" w:tplc="9CDAF01C" w:tentative="1">
      <w:start w:val="1"/>
      <w:numFmt w:val="lowerRoman"/>
      <w:lvlText w:val="%9."/>
      <w:lvlJc w:val="right"/>
      <w:pPr>
        <w:ind w:left="7466" w:hanging="180"/>
      </w:pPr>
    </w:lvl>
  </w:abstractNum>
  <w:abstractNum w:abstractNumId="7" w15:restartNumberingAfterBreak="0">
    <w:nsid w:val="31EF5F7B"/>
    <w:multiLevelType w:val="hybridMultilevel"/>
    <w:tmpl w:val="21E6D246"/>
    <w:lvl w:ilvl="0" w:tplc="97A2CFF2">
      <w:start w:val="1"/>
      <w:numFmt w:val="upperLetter"/>
      <w:lvlText w:val="%1."/>
      <w:lvlJc w:val="left"/>
      <w:pPr>
        <w:ind w:left="1080" w:hanging="360"/>
      </w:pPr>
      <w:rPr>
        <w:rFonts w:ascii="Times New Roman" w:eastAsia="Times New Roman" w:hAnsi="Times New Roman" w:cs="Times New Roman"/>
      </w:rPr>
    </w:lvl>
    <w:lvl w:ilvl="1" w:tplc="1592DA90" w:tentative="1">
      <w:start w:val="1"/>
      <w:numFmt w:val="lowerLetter"/>
      <w:lvlText w:val="%2."/>
      <w:lvlJc w:val="left"/>
      <w:pPr>
        <w:ind w:left="1800" w:hanging="360"/>
      </w:pPr>
    </w:lvl>
    <w:lvl w:ilvl="2" w:tplc="59DCE4DC" w:tentative="1">
      <w:start w:val="1"/>
      <w:numFmt w:val="lowerRoman"/>
      <w:lvlText w:val="%3."/>
      <w:lvlJc w:val="right"/>
      <w:pPr>
        <w:ind w:left="2520" w:hanging="180"/>
      </w:pPr>
    </w:lvl>
    <w:lvl w:ilvl="3" w:tplc="47A600A6" w:tentative="1">
      <w:start w:val="1"/>
      <w:numFmt w:val="decimal"/>
      <w:lvlText w:val="%4."/>
      <w:lvlJc w:val="left"/>
      <w:pPr>
        <w:ind w:left="3240" w:hanging="360"/>
      </w:pPr>
    </w:lvl>
    <w:lvl w:ilvl="4" w:tplc="3A1A7E72" w:tentative="1">
      <w:start w:val="1"/>
      <w:numFmt w:val="lowerLetter"/>
      <w:lvlText w:val="%5."/>
      <w:lvlJc w:val="left"/>
      <w:pPr>
        <w:ind w:left="3960" w:hanging="360"/>
      </w:pPr>
    </w:lvl>
    <w:lvl w:ilvl="5" w:tplc="525E51FC" w:tentative="1">
      <w:start w:val="1"/>
      <w:numFmt w:val="lowerRoman"/>
      <w:lvlText w:val="%6."/>
      <w:lvlJc w:val="right"/>
      <w:pPr>
        <w:ind w:left="4680" w:hanging="180"/>
      </w:pPr>
    </w:lvl>
    <w:lvl w:ilvl="6" w:tplc="990ABF44" w:tentative="1">
      <w:start w:val="1"/>
      <w:numFmt w:val="decimal"/>
      <w:lvlText w:val="%7."/>
      <w:lvlJc w:val="left"/>
      <w:pPr>
        <w:ind w:left="5400" w:hanging="360"/>
      </w:pPr>
    </w:lvl>
    <w:lvl w:ilvl="7" w:tplc="126C2B6A" w:tentative="1">
      <w:start w:val="1"/>
      <w:numFmt w:val="lowerLetter"/>
      <w:lvlText w:val="%8."/>
      <w:lvlJc w:val="left"/>
      <w:pPr>
        <w:ind w:left="6120" w:hanging="360"/>
      </w:pPr>
    </w:lvl>
    <w:lvl w:ilvl="8" w:tplc="DEB8D4E6" w:tentative="1">
      <w:start w:val="1"/>
      <w:numFmt w:val="lowerRoman"/>
      <w:lvlText w:val="%9."/>
      <w:lvlJc w:val="right"/>
      <w:pPr>
        <w:ind w:left="6840" w:hanging="180"/>
      </w:pPr>
    </w:lvl>
  </w:abstractNum>
  <w:abstractNum w:abstractNumId="8" w15:restartNumberingAfterBreak="0">
    <w:nsid w:val="36BB75AD"/>
    <w:multiLevelType w:val="multilevel"/>
    <w:tmpl w:val="8DEA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44503"/>
    <w:multiLevelType w:val="hybridMultilevel"/>
    <w:tmpl w:val="A44EB1C8"/>
    <w:lvl w:ilvl="0" w:tplc="7FF2EAD4">
      <w:start w:val="1"/>
      <w:numFmt w:val="decimal"/>
      <w:lvlText w:val="%1."/>
      <w:lvlJc w:val="left"/>
      <w:pPr>
        <w:ind w:left="720" w:hanging="360"/>
      </w:pPr>
    </w:lvl>
    <w:lvl w:ilvl="1" w:tplc="81A2A43E" w:tentative="1">
      <w:start w:val="1"/>
      <w:numFmt w:val="lowerLetter"/>
      <w:lvlText w:val="%2."/>
      <w:lvlJc w:val="left"/>
      <w:pPr>
        <w:ind w:left="1440" w:hanging="360"/>
      </w:pPr>
    </w:lvl>
    <w:lvl w:ilvl="2" w:tplc="867A578C" w:tentative="1">
      <w:start w:val="1"/>
      <w:numFmt w:val="lowerRoman"/>
      <w:lvlText w:val="%3."/>
      <w:lvlJc w:val="right"/>
      <w:pPr>
        <w:ind w:left="2160" w:hanging="180"/>
      </w:pPr>
    </w:lvl>
    <w:lvl w:ilvl="3" w:tplc="329A9EFC" w:tentative="1">
      <w:start w:val="1"/>
      <w:numFmt w:val="decimal"/>
      <w:lvlText w:val="%4."/>
      <w:lvlJc w:val="left"/>
      <w:pPr>
        <w:ind w:left="2880" w:hanging="360"/>
      </w:pPr>
    </w:lvl>
    <w:lvl w:ilvl="4" w:tplc="A4562038" w:tentative="1">
      <w:start w:val="1"/>
      <w:numFmt w:val="lowerLetter"/>
      <w:lvlText w:val="%5."/>
      <w:lvlJc w:val="left"/>
      <w:pPr>
        <w:ind w:left="3600" w:hanging="360"/>
      </w:pPr>
    </w:lvl>
    <w:lvl w:ilvl="5" w:tplc="4A028976" w:tentative="1">
      <w:start w:val="1"/>
      <w:numFmt w:val="lowerRoman"/>
      <w:lvlText w:val="%6."/>
      <w:lvlJc w:val="right"/>
      <w:pPr>
        <w:ind w:left="4320" w:hanging="180"/>
      </w:pPr>
    </w:lvl>
    <w:lvl w:ilvl="6" w:tplc="1B96C1F0" w:tentative="1">
      <w:start w:val="1"/>
      <w:numFmt w:val="decimal"/>
      <w:lvlText w:val="%7."/>
      <w:lvlJc w:val="left"/>
      <w:pPr>
        <w:ind w:left="5040" w:hanging="360"/>
      </w:pPr>
    </w:lvl>
    <w:lvl w:ilvl="7" w:tplc="C4AEED1C" w:tentative="1">
      <w:start w:val="1"/>
      <w:numFmt w:val="lowerLetter"/>
      <w:lvlText w:val="%8."/>
      <w:lvlJc w:val="left"/>
      <w:pPr>
        <w:ind w:left="5760" w:hanging="360"/>
      </w:pPr>
    </w:lvl>
    <w:lvl w:ilvl="8" w:tplc="D04EDD62" w:tentative="1">
      <w:start w:val="1"/>
      <w:numFmt w:val="lowerRoman"/>
      <w:lvlText w:val="%9."/>
      <w:lvlJc w:val="right"/>
      <w:pPr>
        <w:ind w:left="6480" w:hanging="180"/>
      </w:pPr>
    </w:lvl>
  </w:abstractNum>
  <w:abstractNum w:abstractNumId="10" w15:restartNumberingAfterBreak="0">
    <w:nsid w:val="485C480B"/>
    <w:multiLevelType w:val="hybridMultilevel"/>
    <w:tmpl w:val="0F84AE9E"/>
    <w:lvl w:ilvl="0" w:tplc="EDE63FC4">
      <w:start w:val="1"/>
      <w:numFmt w:val="bullet"/>
      <w:lvlText w:val=""/>
      <w:lvlJc w:val="left"/>
      <w:pPr>
        <w:ind w:left="1440" w:hanging="360"/>
      </w:pPr>
      <w:rPr>
        <w:rFonts w:ascii="Symbol" w:hAnsi="Symbol" w:hint="default"/>
      </w:rPr>
    </w:lvl>
    <w:lvl w:ilvl="1" w:tplc="A816E2FE">
      <w:start w:val="1"/>
      <w:numFmt w:val="bullet"/>
      <w:lvlText w:val="o"/>
      <w:lvlJc w:val="left"/>
      <w:pPr>
        <w:ind w:left="2160" w:hanging="360"/>
      </w:pPr>
      <w:rPr>
        <w:rFonts w:ascii="Courier New" w:hAnsi="Courier New" w:cs="Courier New" w:hint="default"/>
      </w:rPr>
    </w:lvl>
    <w:lvl w:ilvl="2" w:tplc="A762E076" w:tentative="1">
      <w:start w:val="1"/>
      <w:numFmt w:val="bullet"/>
      <w:lvlText w:val=""/>
      <w:lvlJc w:val="left"/>
      <w:pPr>
        <w:ind w:left="2880" w:hanging="360"/>
      </w:pPr>
      <w:rPr>
        <w:rFonts w:ascii="Wingdings" w:hAnsi="Wingdings" w:hint="default"/>
      </w:rPr>
    </w:lvl>
    <w:lvl w:ilvl="3" w:tplc="B7D86360" w:tentative="1">
      <w:start w:val="1"/>
      <w:numFmt w:val="bullet"/>
      <w:lvlText w:val=""/>
      <w:lvlJc w:val="left"/>
      <w:pPr>
        <w:ind w:left="3600" w:hanging="360"/>
      </w:pPr>
      <w:rPr>
        <w:rFonts w:ascii="Symbol" w:hAnsi="Symbol" w:hint="default"/>
      </w:rPr>
    </w:lvl>
    <w:lvl w:ilvl="4" w:tplc="E1DC5F8E" w:tentative="1">
      <w:start w:val="1"/>
      <w:numFmt w:val="bullet"/>
      <w:lvlText w:val="o"/>
      <w:lvlJc w:val="left"/>
      <w:pPr>
        <w:ind w:left="4320" w:hanging="360"/>
      </w:pPr>
      <w:rPr>
        <w:rFonts w:ascii="Courier New" w:hAnsi="Courier New" w:cs="Courier New" w:hint="default"/>
      </w:rPr>
    </w:lvl>
    <w:lvl w:ilvl="5" w:tplc="4A4A8FBE" w:tentative="1">
      <w:start w:val="1"/>
      <w:numFmt w:val="bullet"/>
      <w:lvlText w:val=""/>
      <w:lvlJc w:val="left"/>
      <w:pPr>
        <w:ind w:left="5040" w:hanging="360"/>
      </w:pPr>
      <w:rPr>
        <w:rFonts w:ascii="Wingdings" w:hAnsi="Wingdings" w:hint="default"/>
      </w:rPr>
    </w:lvl>
    <w:lvl w:ilvl="6" w:tplc="CEF2C532" w:tentative="1">
      <w:start w:val="1"/>
      <w:numFmt w:val="bullet"/>
      <w:lvlText w:val=""/>
      <w:lvlJc w:val="left"/>
      <w:pPr>
        <w:ind w:left="5760" w:hanging="360"/>
      </w:pPr>
      <w:rPr>
        <w:rFonts w:ascii="Symbol" w:hAnsi="Symbol" w:hint="default"/>
      </w:rPr>
    </w:lvl>
    <w:lvl w:ilvl="7" w:tplc="B3DC8548" w:tentative="1">
      <w:start w:val="1"/>
      <w:numFmt w:val="bullet"/>
      <w:lvlText w:val="o"/>
      <w:lvlJc w:val="left"/>
      <w:pPr>
        <w:ind w:left="6480" w:hanging="360"/>
      </w:pPr>
      <w:rPr>
        <w:rFonts w:ascii="Courier New" w:hAnsi="Courier New" w:cs="Courier New" w:hint="default"/>
      </w:rPr>
    </w:lvl>
    <w:lvl w:ilvl="8" w:tplc="93D255E0" w:tentative="1">
      <w:start w:val="1"/>
      <w:numFmt w:val="bullet"/>
      <w:lvlText w:val=""/>
      <w:lvlJc w:val="left"/>
      <w:pPr>
        <w:ind w:left="7200" w:hanging="360"/>
      </w:pPr>
      <w:rPr>
        <w:rFonts w:ascii="Wingdings" w:hAnsi="Wingdings" w:hint="default"/>
      </w:rPr>
    </w:lvl>
  </w:abstractNum>
  <w:abstractNum w:abstractNumId="11" w15:restartNumberingAfterBreak="0">
    <w:nsid w:val="4B4E2E53"/>
    <w:multiLevelType w:val="hybridMultilevel"/>
    <w:tmpl w:val="D50483B6"/>
    <w:lvl w:ilvl="0" w:tplc="3814E5D0">
      <w:start w:val="510"/>
      <w:numFmt w:val="decimal"/>
      <w:lvlText w:val="%1."/>
      <w:lvlJc w:val="left"/>
      <w:pPr>
        <w:ind w:left="1104" w:hanging="384"/>
      </w:pPr>
      <w:rPr>
        <w:rFonts w:hint="default"/>
      </w:rPr>
    </w:lvl>
    <w:lvl w:ilvl="1" w:tplc="188284DE" w:tentative="1">
      <w:start w:val="1"/>
      <w:numFmt w:val="lowerLetter"/>
      <w:lvlText w:val="%2."/>
      <w:lvlJc w:val="left"/>
      <w:pPr>
        <w:ind w:left="1800" w:hanging="360"/>
      </w:pPr>
    </w:lvl>
    <w:lvl w:ilvl="2" w:tplc="9E0CAEAE" w:tentative="1">
      <w:start w:val="1"/>
      <w:numFmt w:val="lowerRoman"/>
      <w:lvlText w:val="%3."/>
      <w:lvlJc w:val="right"/>
      <w:pPr>
        <w:ind w:left="2520" w:hanging="180"/>
      </w:pPr>
    </w:lvl>
    <w:lvl w:ilvl="3" w:tplc="CAB03EB8" w:tentative="1">
      <w:start w:val="1"/>
      <w:numFmt w:val="decimal"/>
      <w:lvlText w:val="%4."/>
      <w:lvlJc w:val="left"/>
      <w:pPr>
        <w:ind w:left="3240" w:hanging="360"/>
      </w:pPr>
    </w:lvl>
    <w:lvl w:ilvl="4" w:tplc="74ECEBEA" w:tentative="1">
      <w:start w:val="1"/>
      <w:numFmt w:val="lowerLetter"/>
      <w:lvlText w:val="%5."/>
      <w:lvlJc w:val="left"/>
      <w:pPr>
        <w:ind w:left="3960" w:hanging="360"/>
      </w:pPr>
    </w:lvl>
    <w:lvl w:ilvl="5" w:tplc="F30EEE2E" w:tentative="1">
      <w:start w:val="1"/>
      <w:numFmt w:val="lowerRoman"/>
      <w:lvlText w:val="%6."/>
      <w:lvlJc w:val="right"/>
      <w:pPr>
        <w:ind w:left="4680" w:hanging="180"/>
      </w:pPr>
    </w:lvl>
    <w:lvl w:ilvl="6" w:tplc="11BCA88A" w:tentative="1">
      <w:start w:val="1"/>
      <w:numFmt w:val="decimal"/>
      <w:lvlText w:val="%7."/>
      <w:lvlJc w:val="left"/>
      <w:pPr>
        <w:ind w:left="5400" w:hanging="360"/>
      </w:pPr>
    </w:lvl>
    <w:lvl w:ilvl="7" w:tplc="1FDA59E6" w:tentative="1">
      <w:start w:val="1"/>
      <w:numFmt w:val="lowerLetter"/>
      <w:lvlText w:val="%8."/>
      <w:lvlJc w:val="left"/>
      <w:pPr>
        <w:ind w:left="6120" w:hanging="360"/>
      </w:pPr>
    </w:lvl>
    <w:lvl w:ilvl="8" w:tplc="463E04C4" w:tentative="1">
      <w:start w:val="1"/>
      <w:numFmt w:val="lowerRoman"/>
      <w:lvlText w:val="%9."/>
      <w:lvlJc w:val="right"/>
      <w:pPr>
        <w:ind w:left="6840" w:hanging="180"/>
      </w:pPr>
    </w:lvl>
  </w:abstractNum>
  <w:abstractNum w:abstractNumId="12" w15:restartNumberingAfterBreak="0">
    <w:nsid w:val="53AB0952"/>
    <w:multiLevelType w:val="hybridMultilevel"/>
    <w:tmpl w:val="8CF62ADC"/>
    <w:lvl w:ilvl="0" w:tplc="6A64F16E">
      <w:start w:val="1"/>
      <w:numFmt w:val="bullet"/>
      <w:lvlText w:val=""/>
      <w:lvlJc w:val="left"/>
      <w:pPr>
        <w:ind w:left="720" w:hanging="360"/>
      </w:pPr>
      <w:rPr>
        <w:rFonts w:ascii="Symbol" w:hAnsi="Symbol" w:hint="default"/>
      </w:rPr>
    </w:lvl>
    <w:lvl w:ilvl="1" w:tplc="910C0B4C" w:tentative="1">
      <w:start w:val="1"/>
      <w:numFmt w:val="bullet"/>
      <w:lvlText w:val="o"/>
      <w:lvlJc w:val="left"/>
      <w:pPr>
        <w:ind w:left="1440" w:hanging="360"/>
      </w:pPr>
      <w:rPr>
        <w:rFonts w:ascii="Courier New" w:hAnsi="Courier New" w:cs="Courier New" w:hint="default"/>
      </w:rPr>
    </w:lvl>
    <w:lvl w:ilvl="2" w:tplc="C506FD24" w:tentative="1">
      <w:start w:val="1"/>
      <w:numFmt w:val="bullet"/>
      <w:lvlText w:val=""/>
      <w:lvlJc w:val="left"/>
      <w:pPr>
        <w:ind w:left="2160" w:hanging="360"/>
      </w:pPr>
      <w:rPr>
        <w:rFonts w:ascii="Wingdings" w:hAnsi="Wingdings" w:hint="default"/>
      </w:rPr>
    </w:lvl>
    <w:lvl w:ilvl="3" w:tplc="D840865E" w:tentative="1">
      <w:start w:val="1"/>
      <w:numFmt w:val="bullet"/>
      <w:lvlText w:val=""/>
      <w:lvlJc w:val="left"/>
      <w:pPr>
        <w:ind w:left="2880" w:hanging="360"/>
      </w:pPr>
      <w:rPr>
        <w:rFonts w:ascii="Symbol" w:hAnsi="Symbol" w:hint="default"/>
      </w:rPr>
    </w:lvl>
    <w:lvl w:ilvl="4" w:tplc="277C3850" w:tentative="1">
      <w:start w:val="1"/>
      <w:numFmt w:val="bullet"/>
      <w:lvlText w:val="o"/>
      <w:lvlJc w:val="left"/>
      <w:pPr>
        <w:ind w:left="3600" w:hanging="360"/>
      </w:pPr>
      <w:rPr>
        <w:rFonts w:ascii="Courier New" w:hAnsi="Courier New" w:cs="Courier New" w:hint="default"/>
      </w:rPr>
    </w:lvl>
    <w:lvl w:ilvl="5" w:tplc="E06E7ACE" w:tentative="1">
      <w:start w:val="1"/>
      <w:numFmt w:val="bullet"/>
      <w:lvlText w:val=""/>
      <w:lvlJc w:val="left"/>
      <w:pPr>
        <w:ind w:left="4320" w:hanging="360"/>
      </w:pPr>
      <w:rPr>
        <w:rFonts w:ascii="Wingdings" w:hAnsi="Wingdings" w:hint="default"/>
      </w:rPr>
    </w:lvl>
    <w:lvl w:ilvl="6" w:tplc="B32AF036" w:tentative="1">
      <w:start w:val="1"/>
      <w:numFmt w:val="bullet"/>
      <w:lvlText w:val=""/>
      <w:lvlJc w:val="left"/>
      <w:pPr>
        <w:ind w:left="5040" w:hanging="360"/>
      </w:pPr>
      <w:rPr>
        <w:rFonts w:ascii="Symbol" w:hAnsi="Symbol" w:hint="default"/>
      </w:rPr>
    </w:lvl>
    <w:lvl w:ilvl="7" w:tplc="033A2A92" w:tentative="1">
      <w:start w:val="1"/>
      <w:numFmt w:val="bullet"/>
      <w:lvlText w:val="o"/>
      <w:lvlJc w:val="left"/>
      <w:pPr>
        <w:ind w:left="5760" w:hanging="360"/>
      </w:pPr>
      <w:rPr>
        <w:rFonts w:ascii="Courier New" w:hAnsi="Courier New" w:cs="Courier New" w:hint="default"/>
      </w:rPr>
    </w:lvl>
    <w:lvl w:ilvl="8" w:tplc="98D8FA78" w:tentative="1">
      <w:start w:val="1"/>
      <w:numFmt w:val="bullet"/>
      <w:lvlText w:val=""/>
      <w:lvlJc w:val="left"/>
      <w:pPr>
        <w:ind w:left="6480" w:hanging="360"/>
      </w:pPr>
      <w:rPr>
        <w:rFonts w:ascii="Wingdings" w:hAnsi="Wingdings" w:hint="default"/>
      </w:rPr>
    </w:lvl>
  </w:abstractNum>
  <w:abstractNum w:abstractNumId="13" w15:restartNumberingAfterBreak="0">
    <w:nsid w:val="554A40DC"/>
    <w:multiLevelType w:val="hybridMultilevel"/>
    <w:tmpl w:val="D682CF28"/>
    <w:lvl w:ilvl="0" w:tplc="23C253B8">
      <w:start w:val="510"/>
      <w:numFmt w:val="decimal"/>
      <w:lvlText w:val="%1."/>
      <w:lvlJc w:val="left"/>
      <w:pPr>
        <w:ind w:left="2520" w:hanging="360"/>
      </w:pPr>
      <w:rPr>
        <w:rFonts w:hint="default"/>
      </w:rPr>
    </w:lvl>
    <w:lvl w:ilvl="1" w:tplc="18D610FC" w:tentative="1">
      <w:start w:val="1"/>
      <w:numFmt w:val="lowerLetter"/>
      <w:lvlText w:val="%2."/>
      <w:lvlJc w:val="left"/>
      <w:pPr>
        <w:ind w:left="3240" w:hanging="360"/>
      </w:pPr>
    </w:lvl>
    <w:lvl w:ilvl="2" w:tplc="EF7278F2" w:tentative="1">
      <w:start w:val="1"/>
      <w:numFmt w:val="lowerRoman"/>
      <w:lvlText w:val="%3."/>
      <w:lvlJc w:val="right"/>
      <w:pPr>
        <w:ind w:left="3960" w:hanging="180"/>
      </w:pPr>
    </w:lvl>
    <w:lvl w:ilvl="3" w:tplc="657E2FA2" w:tentative="1">
      <w:start w:val="1"/>
      <w:numFmt w:val="decimal"/>
      <w:lvlText w:val="%4."/>
      <w:lvlJc w:val="left"/>
      <w:pPr>
        <w:ind w:left="4680" w:hanging="360"/>
      </w:pPr>
    </w:lvl>
    <w:lvl w:ilvl="4" w:tplc="B97AEFD0" w:tentative="1">
      <w:start w:val="1"/>
      <w:numFmt w:val="lowerLetter"/>
      <w:lvlText w:val="%5."/>
      <w:lvlJc w:val="left"/>
      <w:pPr>
        <w:ind w:left="5400" w:hanging="360"/>
      </w:pPr>
    </w:lvl>
    <w:lvl w:ilvl="5" w:tplc="C1C081F6" w:tentative="1">
      <w:start w:val="1"/>
      <w:numFmt w:val="lowerRoman"/>
      <w:lvlText w:val="%6."/>
      <w:lvlJc w:val="right"/>
      <w:pPr>
        <w:ind w:left="6120" w:hanging="180"/>
      </w:pPr>
    </w:lvl>
    <w:lvl w:ilvl="6" w:tplc="637AC0F4" w:tentative="1">
      <w:start w:val="1"/>
      <w:numFmt w:val="decimal"/>
      <w:lvlText w:val="%7."/>
      <w:lvlJc w:val="left"/>
      <w:pPr>
        <w:ind w:left="6840" w:hanging="360"/>
      </w:pPr>
    </w:lvl>
    <w:lvl w:ilvl="7" w:tplc="0638CE00" w:tentative="1">
      <w:start w:val="1"/>
      <w:numFmt w:val="lowerLetter"/>
      <w:lvlText w:val="%8."/>
      <w:lvlJc w:val="left"/>
      <w:pPr>
        <w:ind w:left="7560" w:hanging="360"/>
      </w:pPr>
    </w:lvl>
    <w:lvl w:ilvl="8" w:tplc="6F9E91E6" w:tentative="1">
      <w:start w:val="1"/>
      <w:numFmt w:val="lowerRoman"/>
      <w:lvlText w:val="%9."/>
      <w:lvlJc w:val="right"/>
      <w:pPr>
        <w:ind w:left="8280" w:hanging="180"/>
      </w:pPr>
    </w:lvl>
  </w:abstractNum>
  <w:abstractNum w:abstractNumId="14" w15:restartNumberingAfterBreak="0">
    <w:nsid w:val="572D246B"/>
    <w:multiLevelType w:val="hybridMultilevel"/>
    <w:tmpl w:val="4F446E6C"/>
    <w:lvl w:ilvl="0" w:tplc="469E6BCC">
      <w:start w:val="1"/>
      <w:numFmt w:val="bullet"/>
      <w:lvlText w:val=""/>
      <w:lvlJc w:val="left"/>
      <w:pPr>
        <w:ind w:left="720" w:hanging="360"/>
      </w:pPr>
      <w:rPr>
        <w:rFonts w:ascii="Symbol" w:hAnsi="Symbol" w:hint="default"/>
      </w:rPr>
    </w:lvl>
    <w:lvl w:ilvl="1" w:tplc="D090CC20">
      <w:start w:val="1"/>
      <w:numFmt w:val="bullet"/>
      <w:lvlText w:val="o"/>
      <w:lvlJc w:val="left"/>
      <w:pPr>
        <w:ind w:left="1440" w:hanging="360"/>
      </w:pPr>
      <w:rPr>
        <w:rFonts w:ascii="Courier New" w:hAnsi="Courier New" w:cs="Courier New" w:hint="default"/>
      </w:rPr>
    </w:lvl>
    <w:lvl w:ilvl="2" w:tplc="8FC4F66E">
      <w:start w:val="1"/>
      <w:numFmt w:val="bullet"/>
      <w:lvlText w:val=""/>
      <w:lvlJc w:val="left"/>
      <w:pPr>
        <w:ind w:left="2160" w:hanging="360"/>
      </w:pPr>
      <w:rPr>
        <w:rFonts w:ascii="Wingdings" w:hAnsi="Wingdings" w:hint="default"/>
      </w:rPr>
    </w:lvl>
    <w:lvl w:ilvl="3" w:tplc="8F2ACA8E" w:tentative="1">
      <w:start w:val="1"/>
      <w:numFmt w:val="bullet"/>
      <w:lvlText w:val=""/>
      <w:lvlJc w:val="left"/>
      <w:pPr>
        <w:ind w:left="2880" w:hanging="360"/>
      </w:pPr>
      <w:rPr>
        <w:rFonts w:ascii="Symbol" w:hAnsi="Symbol" w:hint="default"/>
      </w:rPr>
    </w:lvl>
    <w:lvl w:ilvl="4" w:tplc="32AAF3EE" w:tentative="1">
      <w:start w:val="1"/>
      <w:numFmt w:val="bullet"/>
      <w:lvlText w:val="o"/>
      <w:lvlJc w:val="left"/>
      <w:pPr>
        <w:ind w:left="3600" w:hanging="360"/>
      </w:pPr>
      <w:rPr>
        <w:rFonts w:ascii="Courier New" w:hAnsi="Courier New" w:cs="Courier New" w:hint="default"/>
      </w:rPr>
    </w:lvl>
    <w:lvl w:ilvl="5" w:tplc="8F843468" w:tentative="1">
      <w:start w:val="1"/>
      <w:numFmt w:val="bullet"/>
      <w:lvlText w:val=""/>
      <w:lvlJc w:val="left"/>
      <w:pPr>
        <w:ind w:left="4320" w:hanging="360"/>
      </w:pPr>
      <w:rPr>
        <w:rFonts w:ascii="Wingdings" w:hAnsi="Wingdings" w:hint="default"/>
      </w:rPr>
    </w:lvl>
    <w:lvl w:ilvl="6" w:tplc="F350DD26" w:tentative="1">
      <w:start w:val="1"/>
      <w:numFmt w:val="bullet"/>
      <w:lvlText w:val=""/>
      <w:lvlJc w:val="left"/>
      <w:pPr>
        <w:ind w:left="5040" w:hanging="360"/>
      </w:pPr>
      <w:rPr>
        <w:rFonts w:ascii="Symbol" w:hAnsi="Symbol" w:hint="default"/>
      </w:rPr>
    </w:lvl>
    <w:lvl w:ilvl="7" w:tplc="79705CF2" w:tentative="1">
      <w:start w:val="1"/>
      <w:numFmt w:val="bullet"/>
      <w:lvlText w:val="o"/>
      <w:lvlJc w:val="left"/>
      <w:pPr>
        <w:ind w:left="5760" w:hanging="360"/>
      </w:pPr>
      <w:rPr>
        <w:rFonts w:ascii="Courier New" w:hAnsi="Courier New" w:cs="Courier New" w:hint="default"/>
      </w:rPr>
    </w:lvl>
    <w:lvl w:ilvl="8" w:tplc="4E1E613A" w:tentative="1">
      <w:start w:val="1"/>
      <w:numFmt w:val="bullet"/>
      <w:lvlText w:val=""/>
      <w:lvlJc w:val="left"/>
      <w:pPr>
        <w:ind w:left="6480" w:hanging="360"/>
      </w:pPr>
      <w:rPr>
        <w:rFonts w:ascii="Wingdings" w:hAnsi="Wingdings" w:hint="default"/>
      </w:rPr>
    </w:lvl>
  </w:abstractNum>
  <w:abstractNum w:abstractNumId="15" w15:restartNumberingAfterBreak="0">
    <w:nsid w:val="5FF32660"/>
    <w:multiLevelType w:val="hybridMultilevel"/>
    <w:tmpl w:val="EA0C96D0"/>
    <w:lvl w:ilvl="0" w:tplc="56DA4664">
      <w:start w:val="1"/>
      <w:numFmt w:val="bullet"/>
      <w:lvlText w:val=""/>
      <w:lvlJc w:val="left"/>
      <w:pPr>
        <w:ind w:left="1440" w:hanging="360"/>
      </w:pPr>
      <w:rPr>
        <w:rFonts w:ascii="Symbol" w:hAnsi="Symbol" w:hint="default"/>
      </w:rPr>
    </w:lvl>
    <w:lvl w:ilvl="1" w:tplc="BB90FC4C" w:tentative="1">
      <w:start w:val="1"/>
      <w:numFmt w:val="bullet"/>
      <w:lvlText w:val="o"/>
      <w:lvlJc w:val="left"/>
      <w:pPr>
        <w:ind w:left="2160" w:hanging="360"/>
      </w:pPr>
      <w:rPr>
        <w:rFonts w:ascii="Courier New" w:hAnsi="Courier New" w:cs="Courier New" w:hint="default"/>
      </w:rPr>
    </w:lvl>
    <w:lvl w:ilvl="2" w:tplc="7A36E9D2" w:tentative="1">
      <w:start w:val="1"/>
      <w:numFmt w:val="bullet"/>
      <w:lvlText w:val=""/>
      <w:lvlJc w:val="left"/>
      <w:pPr>
        <w:ind w:left="2880" w:hanging="360"/>
      </w:pPr>
      <w:rPr>
        <w:rFonts w:ascii="Wingdings" w:hAnsi="Wingdings" w:hint="default"/>
      </w:rPr>
    </w:lvl>
    <w:lvl w:ilvl="3" w:tplc="D6449FC8" w:tentative="1">
      <w:start w:val="1"/>
      <w:numFmt w:val="bullet"/>
      <w:lvlText w:val=""/>
      <w:lvlJc w:val="left"/>
      <w:pPr>
        <w:ind w:left="3600" w:hanging="360"/>
      </w:pPr>
      <w:rPr>
        <w:rFonts w:ascii="Symbol" w:hAnsi="Symbol" w:hint="default"/>
      </w:rPr>
    </w:lvl>
    <w:lvl w:ilvl="4" w:tplc="6C62452C" w:tentative="1">
      <w:start w:val="1"/>
      <w:numFmt w:val="bullet"/>
      <w:lvlText w:val="o"/>
      <w:lvlJc w:val="left"/>
      <w:pPr>
        <w:ind w:left="4320" w:hanging="360"/>
      </w:pPr>
      <w:rPr>
        <w:rFonts w:ascii="Courier New" w:hAnsi="Courier New" w:cs="Courier New" w:hint="default"/>
      </w:rPr>
    </w:lvl>
    <w:lvl w:ilvl="5" w:tplc="0C8A4F50" w:tentative="1">
      <w:start w:val="1"/>
      <w:numFmt w:val="bullet"/>
      <w:lvlText w:val=""/>
      <w:lvlJc w:val="left"/>
      <w:pPr>
        <w:ind w:left="5040" w:hanging="360"/>
      </w:pPr>
      <w:rPr>
        <w:rFonts w:ascii="Wingdings" w:hAnsi="Wingdings" w:hint="default"/>
      </w:rPr>
    </w:lvl>
    <w:lvl w:ilvl="6" w:tplc="40E875E0" w:tentative="1">
      <w:start w:val="1"/>
      <w:numFmt w:val="bullet"/>
      <w:lvlText w:val=""/>
      <w:lvlJc w:val="left"/>
      <w:pPr>
        <w:ind w:left="5760" w:hanging="360"/>
      </w:pPr>
      <w:rPr>
        <w:rFonts w:ascii="Symbol" w:hAnsi="Symbol" w:hint="default"/>
      </w:rPr>
    </w:lvl>
    <w:lvl w:ilvl="7" w:tplc="AF30452E" w:tentative="1">
      <w:start w:val="1"/>
      <w:numFmt w:val="bullet"/>
      <w:lvlText w:val="o"/>
      <w:lvlJc w:val="left"/>
      <w:pPr>
        <w:ind w:left="6480" w:hanging="360"/>
      </w:pPr>
      <w:rPr>
        <w:rFonts w:ascii="Courier New" w:hAnsi="Courier New" w:cs="Courier New" w:hint="default"/>
      </w:rPr>
    </w:lvl>
    <w:lvl w:ilvl="8" w:tplc="53F65B1A" w:tentative="1">
      <w:start w:val="1"/>
      <w:numFmt w:val="bullet"/>
      <w:lvlText w:val=""/>
      <w:lvlJc w:val="left"/>
      <w:pPr>
        <w:ind w:left="7200" w:hanging="360"/>
      </w:pPr>
      <w:rPr>
        <w:rFonts w:ascii="Wingdings" w:hAnsi="Wingdings" w:hint="default"/>
      </w:rPr>
    </w:lvl>
  </w:abstractNum>
  <w:abstractNum w:abstractNumId="16" w15:restartNumberingAfterBreak="0">
    <w:nsid w:val="61B06BF8"/>
    <w:multiLevelType w:val="hybridMultilevel"/>
    <w:tmpl w:val="89260494"/>
    <w:lvl w:ilvl="0" w:tplc="D0F4D9B6">
      <w:start w:val="1"/>
      <w:numFmt w:val="upperLetter"/>
      <w:lvlText w:val="%1."/>
      <w:lvlJc w:val="left"/>
      <w:pPr>
        <w:ind w:left="1080" w:hanging="360"/>
      </w:pPr>
      <w:rPr>
        <w:rFonts w:ascii="Times New Roman" w:eastAsia="Times New Roman" w:hAnsi="Times New Roman" w:cs="Times New Roman"/>
      </w:rPr>
    </w:lvl>
    <w:lvl w:ilvl="1" w:tplc="A1F49710" w:tentative="1">
      <w:start w:val="1"/>
      <w:numFmt w:val="lowerLetter"/>
      <w:lvlText w:val="%2."/>
      <w:lvlJc w:val="left"/>
      <w:pPr>
        <w:ind w:left="1800" w:hanging="360"/>
      </w:pPr>
    </w:lvl>
    <w:lvl w:ilvl="2" w:tplc="DAE29C6C" w:tentative="1">
      <w:start w:val="1"/>
      <w:numFmt w:val="lowerRoman"/>
      <w:lvlText w:val="%3."/>
      <w:lvlJc w:val="right"/>
      <w:pPr>
        <w:ind w:left="2520" w:hanging="180"/>
      </w:pPr>
    </w:lvl>
    <w:lvl w:ilvl="3" w:tplc="5B264CB2" w:tentative="1">
      <w:start w:val="1"/>
      <w:numFmt w:val="decimal"/>
      <w:lvlText w:val="%4."/>
      <w:lvlJc w:val="left"/>
      <w:pPr>
        <w:ind w:left="3240" w:hanging="360"/>
      </w:pPr>
    </w:lvl>
    <w:lvl w:ilvl="4" w:tplc="DD0E1B8A" w:tentative="1">
      <w:start w:val="1"/>
      <w:numFmt w:val="lowerLetter"/>
      <w:lvlText w:val="%5."/>
      <w:lvlJc w:val="left"/>
      <w:pPr>
        <w:ind w:left="3960" w:hanging="360"/>
      </w:pPr>
    </w:lvl>
    <w:lvl w:ilvl="5" w:tplc="BC7A339E" w:tentative="1">
      <w:start w:val="1"/>
      <w:numFmt w:val="lowerRoman"/>
      <w:lvlText w:val="%6."/>
      <w:lvlJc w:val="right"/>
      <w:pPr>
        <w:ind w:left="4680" w:hanging="180"/>
      </w:pPr>
    </w:lvl>
    <w:lvl w:ilvl="6" w:tplc="88B8800A" w:tentative="1">
      <w:start w:val="1"/>
      <w:numFmt w:val="decimal"/>
      <w:lvlText w:val="%7."/>
      <w:lvlJc w:val="left"/>
      <w:pPr>
        <w:ind w:left="5400" w:hanging="360"/>
      </w:pPr>
    </w:lvl>
    <w:lvl w:ilvl="7" w:tplc="A3B62926" w:tentative="1">
      <w:start w:val="1"/>
      <w:numFmt w:val="lowerLetter"/>
      <w:lvlText w:val="%8."/>
      <w:lvlJc w:val="left"/>
      <w:pPr>
        <w:ind w:left="6120" w:hanging="360"/>
      </w:pPr>
    </w:lvl>
    <w:lvl w:ilvl="8" w:tplc="FCC25BC0" w:tentative="1">
      <w:start w:val="1"/>
      <w:numFmt w:val="lowerRoman"/>
      <w:lvlText w:val="%9."/>
      <w:lvlJc w:val="right"/>
      <w:pPr>
        <w:ind w:left="6840" w:hanging="180"/>
      </w:pPr>
    </w:lvl>
  </w:abstractNum>
  <w:abstractNum w:abstractNumId="17" w15:restartNumberingAfterBreak="0">
    <w:nsid w:val="62D723B6"/>
    <w:multiLevelType w:val="hybridMultilevel"/>
    <w:tmpl w:val="D1EE1AF8"/>
    <w:lvl w:ilvl="0" w:tplc="61461700">
      <w:start w:val="510"/>
      <w:numFmt w:val="decimal"/>
      <w:lvlText w:val="%1."/>
      <w:lvlJc w:val="left"/>
      <w:pPr>
        <w:ind w:left="1104" w:hanging="384"/>
      </w:pPr>
      <w:rPr>
        <w:rFonts w:hint="default"/>
        <w:i w:val="0"/>
      </w:rPr>
    </w:lvl>
    <w:lvl w:ilvl="1" w:tplc="C2A4C5E4" w:tentative="1">
      <w:start w:val="1"/>
      <w:numFmt w:val="lowerLetter"/>
      <w:lvlText w:val="%2."/>
      <w:lvlJc w:val="left"/>
      <w:pPr>
        <w:ind w:left="1800" w:hanging="360"/>
      </w:pPr>
    </w:lvl>
    <w:lvl w:ilvl="2" w:tplc="79E4AD68" w:tentative="1">
      <w:start w:val="1"/>
      <w:numFmt w:val="lowerRoman"/>
      <w:lvlText w:val="%3."/>
      <w:lvlJc w:val="right"/>
      <w:pPr>
        <w:ind w:left="2520" w:hanging="180"/>
      </w:pPr>
    </w:lvl>
    <w:lvl w:ilvl="3" w:tplc="19C28504" w:tentative="1">
      <w:start w:val="1"/>
      <w:numFmt w:val="decimal"/>
      <w:lvlText w:val="%4."/>
      <w:lvlJc w:val="left"/>
      <w:pPr>
        <w:ind w:left="3240" w:hanging="360"/>
      </w:pPr>
    </w:lvl>
    <w:lvl w:ilvl="4" w:tplc="6A40B944" w:tentative="1">
      <w:start w:val="1"/>
      <w:numFmt w:val="lowerLetter"/>
      <w:lvlText w:val="%5."/>
      <w:lvlJc w:val="left"/>
      <w:pPr>
        <w:ind w:left="3960" w:hanging="360"/>
      </w:pPr>
    </w:lvl>
    <w:lvl w:ilvl="5" w:tplc="D884BD4A" w:tentative="1">
      <w:start w:val="1"/>
      <w:numFmt w:val="lowerRoman"/>
      <w:lvlText w:val="%6."/>
      <w:lvlJc w:val="right"/>
      <w:pPr>
        <w:ind w:left="4680" w:hanging="180"/>
      </w:pPr>
    </w:lvl>
    <w:lvl w:ilvl="6" w:tplc="3D00B692" w:tentative="1">
      <w:start w:val="1"/>
      <w:numFmt w:val="decimal"/>
      <w:lvlText w:val="%7."/>
      <w:lvlJc w:val="left"/>
      <w:pPr>
        <w:ind w:left="5400" w:hanging="360"/>
      </w:pPr>
    </w:lvl>
    <w:lvl w:ilvl="7" w:tplc="AFB43494" w:tentative="1">
      <w:start w:val="1"/>
      <w:numFmt w:val="lowerLetter"/>
      <w:lvlText w:val="%8."/>
      <w:lvlJc w:val="left"/>
      <w:pPr>
        <w:ind w:left="6120" w:hanging="360"/>
      </w:pPr>
    </w:lvl>
    <w:lvl w:ilvl="8" w:tplc="78561FA6" w:tentative="1">
      <w:start w:val="1"/>
      <w:numFmt w:val="lowerRoman"/>
      <w:lvlText w:val="%9."/>
      <w:lvlJc w:val="right"/>
      <w:pPr>
        <w:ind w:left="6840" w:hanging="180"/>
      </w:pPr>
    </w:lvl>
  </w:abstractNum>
  <w:abstractNum w:abstractNumId="18" w15:restartNumberingAfterBreak="0">
    <w:nsid w:val="6DD136E4"/>
    <w:multiLevelType w:val="hybridMultilevel"/>
    <w:tmpl w:val="EB7A5BB6"/>
    <w:lvl w:ilvl="0" w:tplc="543CE2BA">
      <w:start w:val="1"/>
      <w:numFmt w:val="bullet"/>
      <w:lvlText w:val=""/>
      <w:lvlJc w:val="left"/>
      <w:pPr>
        <w:ind w:left="630" w:hanging="360"/>
      </w:pPr>
      <w:rPr>
        <w:rFonts w:ascii="Symbol" w:hAnsi="Symbol" w:hint="default"/>
      </w:rPr>
    </w:lvl>
    <w:lvl w:ilvl="1" w:tplc="7DE438EE" w:tentative="1">
      <w:start w:val="1"/>
      <w:numFmt w:val="bullet"/>
      <w:lvlText w:val="o"/>
      <w:lvlJc w:val="left"/>
      <w:pPr>
        <w:ind w:left="1440" w:hanging="360"/>
      </w:pPr>
      <w:rPr>
        <w:rFonts w:ascii="Courier New" w:hAnsi="Courier New" w:cs="Courier New" w:hint="default"/>
      </w:rPr>
    </w:lvl>
    <w:lvl w:ilvl="2" w:tplc="64C669F4" w:tentative="1">
      <w:start w:val="1"/>
      <w:numFmt w:val="bullet"/>
      <w:lvlText w:val=""/>
      <w:lvlJc w:val="left"/>
      <w:pPr>
        <w:ind w:left="2160" w:hanging="360"/>
      </w:pPr>
      <w:rPr>
        <w:rFonts w:ascii="Wingdings" w:hAnsi="Wingdings" w:hint="default"/>
      </w:rPr>
    </w:lvl>
    <w:lvl w:ilvl="3" w:tplc="1E8E773E" w:tentative="1">
      <w:start w:val="1"/>
      <w:numFmt w:val="bullet"/>
      <w:lvlText w:val=""/>
      <w:lvlJc w:val="left"/>
      <w:pPr>
        <w:ind w:left="2880" w:hanging="360"/>
      </w:pPr>
      <w:rPr>
        <w:rFonts w:ascii="Symbol" w:hAnsi="Symbol" w:hint="default"/>
      </w:rPr>
    </w:lvl>
    <w:lvl w:ilvl="4" w:tplc="EF5A0E92" w:tentative="1">
      <w:start w:val="1"/>
      <w:numFmt w:val="bullet"/>
      <w:lvlText w:val="o"/>
      <w:lvlJc w:val="left"/>
      <w:pPr>
        <w:ind w:left="3600" w:hanging="360"/>
      </w:pPr>
      <w:rPr>
        <w:rFonts w:ascii="Courier New" w:hAnsi="Courier New" w:cs="Courier New" w:hint="default"/>
      </w:rPr>
    </w:lvl>
    <w:lvl w:ilvl="5" w:tplc="6E0A1762" w:tentative="1">
      <w:start w:val="1"/>
      <w:numFmt w:val="bullet"/>
      <w:lvlText w:val=""/>
      <w:lvlJc w:val="left"/>
      <w:pPr>
        <w:ind w:left="4320" w:hanging="360"/>
      </w:pPr>
      <w:rPr>
        <w:rFonts w:ascii="Wingdings" w:hAnsi="Wingdings" w:hint="default"/>
      </w:rPr>
    </w:lvl>
    <w:lvl w:ilvl="6" w:tplc="483C7522" w:tentative="1">
      <w:start w:val="1"/>
      <w:numFmt w:val="bullet"/>
      <w:lvlText w:val=""/>
      <w:lvlJc w:val="left"/>
      <w:pPr>
        <w:ind w:left="5040" w:hanging="360"/>
      </w:pPr>
      <w:rPr>
        <w:rFonts w:ascii="Symbol" w:hAnsi="Symbol" w:hint="default"/>
      </w:rPr>
    </w:lvl>
    <w:lvl w:ilvl="7" w:tplc="040EF06A" w:tentative="1">
      <w:start w:val="1"/>
      <w:numFmt w:val="bullet"/>
      <w:lvlText w:val="o"/>
      <w:lvlJc w:val="left"/>
      <w:pPr>
        <w:ind w:left="5760" w:hanging="360"/>
      </w:pPr>
      <w:rPr>
        <w:rFonts w:ascii="Courier New" w:hAnsi="Courier New" w:cs="Courier New" w:hint="default"/>
      </w:rPr>
    </w:lvl>
    <w:lvl w:ilvl="8" w:tplc="CC78D2C4" w:tentative="1">
      <w:start w:val="1"/>
      <w:numFmt w:val="bullet"/>
      <w:lvlText w:val=""/>
      <w:lvlJc w:val="left"/>
      <w:pPr>
        <w:ind w:left="6480" w:hanging="360"/>
      </w:pPr>
      <w:rPr>
        <w:rFonts w:ascii="Wingdings" w:hAnsi="Wingdings" w:hint="default"/>
      </w:rPr>
    </w:lvl>
  </w:abstractNum>
  <w:abstractNum w:abstractNumId="19" w15:restartNumberingAfterBreak="0">
    <w:nsid w:val="75A75E6D"/>
    <w:multiLevelType w:val="hybridMultilevel"/>
    <w:tmpl w:val="9ED04216"/>
    <w:lvl w:ilvl="0" w:tplc="6D64372E">
      <w:start w:val="1"/>
      <w:numFmt w:val="decimal"/>
      <w:lvlText w:val="%1."/>
      <w:lvlJc w:val="left"/>
      <w:pPr>
        <w:ind w:left="1706" w:hanging="360"/>
      </w:pPr>
    </w:lvl>
    <w:lvl w:ilvl="1" w:tplc="3594C8FC" w:tentative="1">
      <w:start w:val="1"/>
      <w:numFmt w:val="lowerLetter"/>
      <w:lvlText w:val="%2."/>
      <w:lvlJc w:val="left"/>
      <w:pPr>
        <w:ind w:left="2426" w:hanging="360"/>
      </w:pPr>
    </w:lvl>
    <w:lvl w:ilvl="2" w:tplc="F0885282" w:tentative="1">
      <w:start w:val="1"/>
      <w:numFmt w:val="lowerRoman"/>
      <w:lvlText w:val="%3."/>
      <w:lvlJc w:val="right"/>
      <w:pPr>
        <w:ind w:left="3146" w:hanging="180"/>
      </w:pPr>
    </w:lvl>
    <w:lvl w:ilvl="3" w:tplc="C6FC348E" w:tentative="1">
      <w:start w:val="1"/>
      <w:numFmt w:val="decimal"/>
      <w:lvlText w:val="%4."/>
      <w:lvlJc w:val="left"/>
      <w:pPr>
        <w:ind w:left="3866" w:hanging="360"/>
      </w:pPr>
    </w:lvl>
    <w:lvl w:ilvl="4" w:tplc="A2705240" w:tentative="1">
      <w:start w:val="1"/>
      <w:numFmt w:val="lowerLetter"/>
      <w:lvlText w:val="%5."/>
      <w:lvlJc w:val="left"/>
      <w:pPr>
        <w:ind w:left="4586" w:hanging="360"/>
      </w:pPr>
    </w:lvl>
    <w:lvl w:ilvl="5" w:tplc="EA4C145C" w:tentative="1">
      <w:start w:val="1"/>
      <w:numFmt w:val="lowerRoman"/>
      <w:lvlText w:val="%6."/>
      <w:lvlJc w:val="right"/>
      <w:pPr>
        <w:ind w:left="5306" w:hanging="180"/>
      </w:pPr>
    </w:lvl>
    <w:lvl w:ilvl="6" w:tplc="90BCFBB8" w:tentative="1">
      <w:start w:val="1"/>
      <w:numFmt w:val="decimal"/>
      <w:lvlText w:val="%7."/>
      <w:lvlJc w:val="left"/>
      <w:pPr>
        <w:ind w:left="6026" w:hanging="360"/>
      </w:pPr>
    </w:lvl>
    <w:lvl w:ilvl="7" w:tplc="6750D8F6" w:tentative="1">
      <w:start w:val="1"/>
      <w:numFmt w:val="lowerLetter"/>
      <w:lvlText w:val="%8."/>
      <w:lvlJc w:val="left"/>
      <w:pPr>
        <w:ind w:left="6746" w:hanging="360"/>
      </w:pPr>
    </w:lvl>
    <w:lvl w:ilvl="8" w:tplc="FCC8521E" w:tentative="1">
      <w:start w:val="1"/>
      <w:numFmt w:val="lowerRoman"/>
      <w:lvlText w:val="%9."/>
      <w:lvlJc w:val="right"/>
      <w:pPr>
        <w:ind w:left="7466" w:hanging="180"/>
      </w:pPr>
    </w:lvl>
  </w:abstractNum>
  <w:num w:numId="1" w16cid:durableId="603726094">
    <w:abstractNumId w:val="19"/>
  </w:num>
  <w:num w:numId="2" w16cid:durableId="1628006218">
    <w:abstractNumId w:val="6"/>
  </w:num>
  <w:num w:numId="3" w16cid:durableId="239103132">
    <w:abstractNumId w:val="1"/>
  </w:num>
  <w:num w:numId="4" w16cid:durableId="224684409">
    <w:abstractNumId w:val="5"/>
  </w:num>
  <w:num w:numId="5" w16cid:durableId="203059429">
    <w:abstractNumId w:val="16"/>
  </w:num>
  <w:num w:numId="6" w16cid:durableId="847989599">
    <w:abstractNumId w:val="7"/>
  </w:num>
  <w:num w:numId="7" w16cid:durableId="1495143385">
    <w:abstractNumId w:val="14"/>
  </w:num>
  <w:num w:numId="8" w16cid:durableId="500583998">
    <w:abstractNumId w:val="9"/>
  </w:num>
  <w:num w:numId="9" w16cid:durableId="1853570231">
    <w:abstractNumId w:val="8"/>
  </w:num>
  <w:num w:numId="10" w16cid:durableId="636762353">
    <w:abstractNumId w:val="0"/>
  </w:num>
  <w:num w:numId="11" w16cid:durableId="1417241552">
    <w:abstractNumId w:val="18"/>
  </w:num>
  <w:num w:numId="12" w16cid:durableId="1506019242">
    <w:abstractNumId w:val="10"/>
  </w:num>
  <w:num w:numId="13" w16cid:durableId="1155612705">
    <w:abstractNumId w:val="12"/>
  </w:num>
  <w:num w:numId="14" w16cid:durableId="1278559996">
    <w:abstractNumId w:val="15"/>
  </w:num>
  <w:num w:numId="15" w16cid:durableId="1798985168">
    <w:abstractNumId w:val="2"/>
  </w:num>
  <w:num w:numId="16" w16cid:durableId="1459837775">
    <w:abstractNumId w:val="17"/>
  </w:num>
  <w:num w:numId="17" w16cid:durableId="1585526896">
    <w:abstractNumId w:val="4"/>
  </w:num>
  <w:num w:numId="18" w16cid:durableId="1684165111">
    <w:abstractNumId w:val="11"/>
  </w:num>
  <w:num w:numId="19" w16cid:durableId="1592816949">
    <w:abstractNumId w:val="3"/>
  </w:num>
  <w:num w:numId="20" w16cid:durableId="6673648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8E"/>
    <w:rsid w:val="000005FF"/>
    <w:rsid w:val="00000BE2"/>
    <w:rsid w:val="00000C05"/>
    <w:rsid w:val="00000D22"/>
    <w:rsid w:val="00000F39"/>
    <w:rsid w:val="00000FE1"/>
    <w:rsid w:val="0000166F"/>
    <w:rsid w:val="00001804"/>
    <w:rsid w:val="00001F57"/>
    <w:rsid w:val="00002015"/>
    <w:rsid w:val="000026A6"/>
    <w:rsid w:val="0000318E"/>
    <w:rsid w:val="00003623"/>
    <w:rsid w:val="00004EF6"/>
    <w:rsid w:val="00005660"/>
    <w:rsid w:val="00005AFA"/>
    <w:rsid w:val="00005D5A"/>
    <w:rsid w:val="000061CC"/>
    <w:rsid w:val="0000640C"/>
    <w:rsid w:val="000064D0"/>
    <w:rsid w:val="000065B6"/>
    <w:rsid w:val="000078C4"/>
    <w:rsid w:val="000100FF"/>
    <w:rsid w:val="00010154"/>
    <w:rsid w:val="000102E8"/>
    <w:rsid w:val="00010C29"/>
    <w:rsid w:val="00010D01"/>
    <w:rsid w:val="00010DDF"/>
    <w:rsid w:val="00011B6E"/>
    <w:rsid w:val="00011F73"/>
    <w:rsid w:val="00012153"/>
    <w:rsid w:val="0001287D"/>
    <w:rsid w:val="00012A15"/>
    <w:rsid w:val="00013053"/>
    <w:rsid w:val="00013167"/>
    <w:rsid w:val="000135CD"/>
    <w:rsid w:val="00013A05"/>
    <w:rsid w:val="00013C90"/>
    <w:rsid w:val="00013EA7"/>
    <w:rsid w:val="000147D5"/>
    <w:rsid w:val="0001561B"/>
    <w:rsid w:val="00016C9B"/>
    <w:rsid w:val="00016CAD"/>
    <w:rsid w:val="000171E5"/>
    <w:rsid w:val="0001735D"/>
    <w:rsid w:val="000173CD"/>
    <w:rsid w:val="00017A61"/>
    <w:rsid w:val="0002074D"/>
    <w:rsid w:val="00020B7C"/>
    <w:rsid w:val="00020EC5"/>
    <w:rsid w:val="0002125D"/>
    <w:rsid w:val="00021275"/>
    <w:rsid w:val="00021285"/>
    <w:rsid w:val="00021735"/>
    <w:rsid w:val="00021B58"/>
    <w:rsid w:val="00021D06"/>
    <w:rsid w:val="00021D4E"/>
    <w:rsid w:val="00022154"/>
    <w:rsid w:val="0002245A"/>
    <w:rsid w:val="00022865"/>
    <w:rsid w:val="000228EA"/>
    <w:rsid w:val="00022EF4"/>
    <w:rsid w:val="0002440D"/>
    <w:rsid w:val="000247A1"/>
    <w:rsid w:val="00024B06"/>
    <w:rsid w:val="00025049"/>
    <w:rsid w:val="00025D77"/>
    <w:rsid w:val="00025EAA"/>
    <w:rsid w:val="0002699D"/>
    <w:rsid w:val="00026A86"/>
    <w:rsid w:val="00026E74"/>
    <w:rsid w:val="00027657"/>
    <w:rsid w:val="000276E2"/>
    <w:rsid w:val="00030588"/>
    <w:rsid w:val="00030950"/>
    <w:rsid w:val="00030978"/>
    <w:rsid w:val="00030F5E"/>
    <w:rsid w:val="0003101A"/>
    <w:rsid w:val="00031714"/>
    <w:rsid w:val="0003178E"/>
    <w:rsid w:val="00031ACF"/>
    <w:rsid w:val="00031F32"/>
    <w:rsid w:val="00032059"/>
    <w:rsid w:val="00033303"/>
    <w:rsid w:val="000333F4"/>
    <w:rsid w:val="0003342C"/>
    <w:rsid w:val="00033932"/>
    <w:rsid w:val="00033C94"/>
    <w:rsid w:val="00033E99"/>
    <w:rsid w:val="0003539B"/>
    <w:rsid w:val="0003561A"/>
    <w:rsid w:val="000363B4"/>
    <w:rsid w:val="00036D65"/>
    <w:rsid w:val="00036E21"/>
    <w:rsid w:val="000376A9"/>
    <w:rsid w:val="00037A78"/>
    <w:rsid w:val="00037BC6"/>
    <w:rsid w:val="00037E83"/>
    <w:rsid w:val="00037F8B"/>
    <w:rsid w:val="0004057F"/>
    <w:rsid w:val="00040691"/>
    <w:rsid w:val="00040B04"/>
    <w:rsid w:val="000410C5"/>
    <w:rsid w:val="0004187E"/>
    <w:rsid w:val="00041B4E"/>
    <w:rsid w:val="00041B8B"/>
    <w:rsid w:val="00042092"/>
    <w:rsid w:val="00042E74"/>
    <w:rsid w:val="00043C8D"/>
    <w:rsid w:val="00044870"/>
    <w:rsid w:val="00044933"/>
    <w:rsid w:val="00044A83"/>
    <w:rsid w:val="00044CD4"/>
    <w:rsid w:val="00044D2E"/>
    <w:rsid w:val="00044EED"/>
    <w:rsid w:val="00044F28"/>
    <w:rsid w:val="00045029"/>
    <w:rsid w:val="00045579"/>
    <w:rsid w:val="00045CD6"/>
    <w:rsid w:val="00045CEF"/>
    <w:rsid w:val="00046319"/>
    <w:rsid w:val="00046D82"/>
    <w:rsid w:val="00046F15"/>
    <w:rsid w:val="000476B7"/>
    <w:rsid w:val="00047913"/>
    <w:rsid w:val="00047BC1"/>
    <w:rsid w:val="00047F4B"/>
    <w:rsid w:val="00050140"/>
    <w:rsid w:val="00050C92"/>
    <w:rsid w:val="00051008"/>
    <w:rsid w:val="00051834"/>
    <w:rsid w:val="000524B3"/>
    <w:rsid w:val="00052BA9"/>
    <w:rsid w:val="000531BD"/>
    <w:rsid w:val="00053310"/>
    <w:rsid w:val="00053DD6"/>
    <w:rsid w:val="00054295"/>
    <w:rsid w:val="00054434"/>
    <w:rsid w:val="00054802"/>
    <w:rsid w:val="00054C60"/>
    <w:rsid w:val="00054C6B"/>
    <w:rsid w:val="00054D2B"/>
    <w:rsid w:val="00055F39"/>
    <w:rsid w:val="00055F77"/>
    <w:rsid w:val="00055FFA"/>
    <w:rsid w:val="00056069"/>
    <w:rsid w:val="000563C6"/>
    <w:rsid w:val="000566DC"/>
    <w:rsid w:val="000576AF"/>
    <w:rsid w:val="00057B4D"/>
    <w:rsid w:val="00060C13"/>
    <w:rsid w:val="00060C6C"/>
    <w:rsid w:val="00060D6D"/>
    <w:rsid w:val="000611C8"/>
    <w:rsid w:val="00061256"/>
    <w:rsid w:val="000619A7"/>
    <w:rsid w:val="00061A2C"/>
    <w:rsid w:val="00061BC8"/>
    <w:rsid w:val="00062580"/>
    <w:rsid w:val="00062D34"/>
    <w:rsid w:val="00063029"/>
    <w:rsid w:val="00063C1D"/>
    <w:rsid w:val="00063FF7"/>
    <w:rsid w:val="0006433E"/>
    <w:rsid w:val="00064472"/>
    <w:rsid w:val="000648E6"/>
    <w:rsid w:val="00064C7A"/>
    <w:rsid w:val="00064F79"/>
    <w:rsid w:val="00065575"/>
    <w:rsid w:val="00065A48"/>
    <w:rsid w:val="00065CD4"/>
    <w:rsid w:val="00065DCB"/>
    <w:rsid w:val="00067BAE"/>
    <w:rsid w:val="000700E3"/>
    <w:rsid w:val="00070B0A"/>
    <w:rsid w:val="00070EFD"/>
    <w:rsid w:val="000712E2"/>
    <w:rsid w:val="000713E1"/>
    <w:rsid w:val="00071467"/>
    <w:rsid w:val="00071F11"/>
    <w:rsid w:val="00072463"/>
    <w:rsid w:val="0007290A"/>
    <w:rsid w:val="00072D08"/>
    <w:rsid w:val="0007313B"/>
    <w:rsid w:val="00074592"/>
    <w:rsid w:val="000749A4"/>
    <w:rsid w:val="00074DE7"/>
    <w:rsid w:val="0007507C"/>
    <w:rsid w:val="00075734"/>
    <w:rsid w:val="00075C2F"/>
    <w:rsid w:val="00075DC8"/>
    <w:rsid w:val="0007682C"/>
    <w:rsid w:val="000778C0"/>
    <w:rsid w:val="00077D75"/>
    <w:rsid w:val="00080987"/>
    <w:rsid w:val="00080BD0"/>
    <w:rsid w:val="00080EF9"/>
    <w:rsid w:val="000810E5"/>
    <w:rsid w:val="000810F2"/>
    <w:rsid w:val="000816C7"/>
    <w:rsid w:val="00081778"/>
    <w:rsid w:val="00081AD1"/>
    <w:rsid w:val="00081D7B"/>
    <w:rsid w:val="00081E24"/>
    <w:rsid w:val="0008228A"/>
    <w:rsid w:val="00082921"/>
    <w:rsid w:val="00082A0C"/>
    <w:rsid w:val="0008312B"/>
    <w:rsid w:val="000833AD"/>
    <w:rsid w:val="000839A0"/>
    <w:rsid w:val="00083C17"/>
    <w:rsid w:val="00083E99"/>
    <w:rsid w:val="00084100"/>
    <w:rsid w:val="00084191"/>
    <w:rsid w:val="00084460"/>
    <w:rsid w:val="000860C4"/>
    <w:rsid w:val="00087206"/>
    <w:rsid w:val="000873D3"/>
    <w:rsid w:val="00087966"/>
    <w:rsid w:val="000879E1"/>
    <w:rsid w:val="00087A93"/>
    <w:rsid w:val="00087FE9"/>
    <w:rsid w:val="00090107"/>
    <w:rsid w:val="00090694"/>
    <w:rsid w:val="00090A1E"/>
    <w:rsid w:val="00090C0D"/>
    <w:rsid w:val="00090C75"/>
    <w:rsid w:val="00090CD6"/>
    <w:rsid w:val="000911D5"/>
    <w:rsid w:val="00091835"/>
    <w:rsid w:val="00091D97"/>
    <w:rsid w:val="00091F8B"/>
    <w:rsid w:val="000921C5"/>
    <w:rsid w:val="0009222A"/>
    <w:rsid w:val="00092B7B"/>
    <w:rsid w:val="00092DA3"/>
    <w:rsid w:val="000932E2"/>
    <w:rsid w:val="00093AD0"/>
    <w:rsid w:val="00094388"/>
    <w:rsid w:val="00094D3D"/>
    <w:rsid w:val="00095382"/>
    <w:rsid w:val="00095C8B"/>
    <w:rsid w:val="00095FD8"/>
    <w:rsid w:val="0009635F"/>
    <w:rsid w:val="00096883"/>
    <w:rsid w:val="00096CC0"/>
    <w:rsid w:val="00096D44"/>
    <w:rsid w:val="00096D54"/>
    <w:rsid w:val="0009754F"/>
    <w:rsid w:val="00097772"/>
    <w:rsid w:val="000A0767"/>
    <w:rsid w:val="000A0AC2"/>
    <w:rsid w:val="000A0B30"/>
    <w:rsid w:val="000A0DCD"/>
    <w:rsid w:val="000A1101"/>
    <w:rsid w:val="000A1494"/>
    <w:rsid w:val="000A1520"/>
    <w:rsid w:val="000A15DF"/>
    <w:rsid w:val="000A1768"/>
    <w:rsid w:val="000A1828"/>
    <w:rsid w:val="000A1B24"/>
    <w:rsid w:val="000A1F2B"/>
    <w:rsid w:val="000A2418"/>
    <w:rsid w:val="000A25C1"/>
    <w:rsid w:val="000A2C60"/>
    <w:rsid w:val="000A2F81"/>
    <w:rsid w:val="000A31E9"/>
    <w:rsid w:val="000A4141"/>
    <w:rsid w:val="000A4301"/>
    <w:rsid w:val="000A4639"/>
    <w:rsid w:val="000A47A7"/>
    <w:rsid w:val="000A480B"/>
    <w:rsid w:val="000A4ABD"/>
    <w:rsid w:val="000A4B08"/>
    <w:rsid w:val="000A4E4F"/>
    <w:rsid w:val="000A5242"/>
    <w:rsid w:val="000A5273"/>
    <w:rsid w:val="000A5481"/>
    <w:rsid w:val="000A58A1"/>
    <w:rsid w:val="000A5B42"/>
    <w:rsid w:val="000A5E57"/>
    <w:rsid w:val="000A73AA"/>
    <w:rsid w:val="000A74EF"/>
    <w:rsid w:val="000A78A8"/>
    <w:rsid w:val="000A7A9B"/>
    <w:rsid w:val="000A7B0E"/>
    <w:rsid w:val="000B0125"/>
    <w:rsid w:val="000B02E5"/>
    <w:rsid w:val="000B0640"/>
    <w:rsid w:val="000B0761"/>
    <w:rsid w:val="000B0823"/>
    <w:rsid w:val="000B0841"/>
    <w:rsid w:val="000B0C8B"/>
    <w:rsid w:val="000B10A8"/>
    <w:rsid w:val="000B151D"/>
    <w:rsid w:val="000B1560"/>
    <w:rsid w:val="000B1752"/>
    <w:rsid w:val="000B188C"/>
    <w:rsid w:val="000B1D74"/>
    <w:rsid w:val="000B297B"/>
    <w:rsid w:val="000B2AFF"/>
    <w:rsid w:val="000B2F8C"/>
    <w:rsid w:val="000B3666"/>
    <w:rsid w:val="000B39F9"/>
    <w:rsid w:val="000B4B6A"/>
    <w:rsid w:val="000B4C74"/>
    <w:rsid w:val="000B4DC7"/>
    <w:rsid w:val="000B4E23"/>
    <w:rsid w:val="000B5034"/>
    <w:rsid w:val="000B54FF"/>
    <w:rsid w:val="000B56A5"/>
    <w:rsid w:val="000B5AE8"/>
    <w:rsid w:val="000B5B80"/>
    <w:rsid w:val="000B6077"/>
    <w:rsid w:val="000B6552"/>
    <w:rsid w:val="000B67BB"/>
    <w:rsid w:val="000B68F3"/>
    <w:rsid w:val="000C0A45"/>
    <w:rsid w:val="000C0D52"/>
    <w:rsid w:val="000C117C"/>
    <w:rsid w:val="000C1548"/>
    <w:rsid w:val="000C2584"/>
    <w:rsid w:val="000C2742"/>
    <w:rsid w:val="000C2B72"/>
    <w:rsid w:val="000C2DBB"/>
    <w:rsid w:val="000C2FE6"/>
    <w:rsid w:val="000C356D"/>
    <w:rsid w:val="000C37C1"/>
    <w:rsid w:val="000C3D78"/>
    <w:rsid w:val="000C3FDA"/>
    <w:rsid w:val="000C5D13"/>
    <w:rsid w:val="000C628F"/>
    <w:rsid w:val="000C69FC"/>
    <w:rsid w:val="000C6A8E"/>
    <w:rsid w:val="000C6B44"/>
    <w:rsid w:val="000C6BFC"/>
    <w:rsid w:val="000C75AD"/>
    <w:rsid w:val="000C7AC1"/>
    <w:rsid w:val="000D076A"/>
    <w:rsid w:val="000D0A01"/>
    <w:rsid w:val="000D0E0E"/>
    <w:rsid w:val="000D0F0B"/>
    <w:rsid w:val="000D137D"/>
    <w:rsid w:val="000D1B97"/>
    <w:rsid w:val="000D1BA7"/>
    <w:rsid w:val="000D1D6C"/>
    <w:rsid w:val="000D1DD3"/>
    <w:rsid w:val="000D1E30"/>
    <w:rsid w:val="000D2257"/>
    <w:rsid w:val="000D37A9"/>
    <w:rsid w:val="000D41D5"/>
    <w:rsid w:val="000D4365"/>
    <w:rsid w:val="000D49FC"/>
    <w:rsid w:val="000D4BFF"/>
    <w:rsid w:val="000D5164"/>
    <w:rsid w:val="000D51FA"/>
    <w:rsid w:val="000D5470"/>
    <w:rsid w:val="000D587A"/>
    <w:rsid w:val="000D5A28"/>
    <w:rsid w:val="000D65B3"/>
    <w:rsid w:val="000D6680"/>
    <w:rsid w:val="000D6739"/>
    <w:rsid w:val="000D6894"/>
    <w:rsid w:val="000D7141"/>
    <w:rsid w:val="000D758E"/>
    <w:rsid w:val="000D786C"/>
    <w:rsid w:val="000D78F9"/>
    <w:rsid w:val="000D7F55"/>
    <w:rsid w:val="000E0104"/>
    <w:rsid w:val="000E06BB"/>
    <w:rsid w:val="000E0788"/>
    <w:rsid w:val="000E09DB"/>
    <w:rsid w:val="000E125D"/>
    <w:rsid w:val="000E1590"/>
    <w:rsid w:val="000E21E7"/>
    <w:rsid w:val="000E2C4D"/>
    <w:rsid w:val="000E2FBD"/>
    <w:rsid w:val="000E32CD"/>
    <w:rsid w:val="000E33B4"/>
    <w:rsid w:val="000E3569"/>
    <w:rsid w:val="000E393A"/>
    <w:rsid w:val="000E497F"/>
    <w:rsid w:val="000E4B47"/>
    <w:rsid w:val="000E53F8"/>
    <w:rsid w:val="000E549B"/>
    <w:rsid w:val="000E563E"/>
    <w:rsid w:val="000E57A5"/>
    <w:rsid w:val="000E674A"/>
    <w:rsid w:val="000E69A0"/>
    <w:rsid w:val="000E6BDB"/>
    <w:rsid w:val="000E71B2"/>
    <w:rsid w:val="000E75D7"/>
    <w:rsid w:val="000E77A4"/>
    <w:rsid w:val="000E797F"/>
    <w:rsid w:val="000E7A2B"/>
    <w:rsid w:val="000E7B7E"/>
    <w:rsid w:val="000E7C6B"/>
    <w:rsid w:val="000E7EE7"/>
    <w:rsid w:val="000F0175"/>
    <w:rsid w:val="000F16B3"/>
    <w:rsid w:val="000F1994"/>
    <w:rsid w:val="000F1B2B"/>
    <w:rsid w:val="000F2F0C"/>
    <w:rsid w:val="000F30E7"/>
    <w:rsid w:val="000F3159"/>
    <w:rsid w:val="000F31E8"/>
    <w:rsid w:val="000F3C2C"/>
    <w:rsid w:val="000F3C42"/>
    <w:rsid w:val="000F430D"/>
    <w:rsid w:val="000F5436"/>
    <w:rsid w:val="000F565F"/>
    <w:rsid w:val="000F5A39"/>
    <w:rsid w:val="000F5B1F"/>
    <w:rsid w:val="000F5BAB"/>
    <w:rsid w:val="00100024"/>
    <w:rsid w:val="00100144"/>
    <w:rsid w:val="001005FD"/>
    <w:rsid w:val="00100FA0"/>
    <w:rsid w:val="0010136D"/>
    <w:rsid w:val="00101B3B"/>
    <w:rsid w:val="00101CE6"/>
    <w:rsid w:val="00102286"/>
    <w:rsid w:val="001026D5"/>
    <w:rsid w:val="00102A82"/>
    <w:rsid w:val="00102AAF"/>
    <w:rsid w:val="00102CDA"/>
    <w:rsid w:val="001032C4"/>
    <w:rsid w:val="00103C97"/>
    <w:rsid w:val="00103EBC"/>
    <w:rsid w:val="00104DF5"/>
    <w:rsid w:val="001052B5"/>
    <w:rsid w:val="001055CA"/>
    <w:rsid w:val="00105737"/>
    <w:rsid w:val="0010594D"/>
    <w:rsid w:val="00106457"/>
    <w:rsid w:val="001065F0"/>
    <w:rsid w:val="00106ADD"/>
    <w:rsid w:val="00106BEC"/>
    <w:rsid w:val="00106DC6"/>
    <w:rsid w:val="00107756"/>
    <w:rsid w:val="00107D88"/>
    <w:rsid w:val="00107E31"/>
    <w:rsid w:val="00110F7E"/>
    <w:rsid w:val="00111494"/>
    <w:rsid w:val="00111566"/>
    <w:rsid w:val="0011189D"/>
    <w:rsid w:val="00111D23"/>
    <w:rsid w:val="001125F8"/>
    <w:rsid w:val="001129A3"/>
    <w:rsid w:val="00112F0A"/>
    <w:rsid w:val="00113777"/>
    <w:rsid w:val="001137B0"/>
    <w:rsid w:val="00113981"/>
    <w:rsid w:val="00113D78"/>
    <w:rsid w:val="0011474B"/>
    <w:rsid w:val="00115880"/>
    <w:rsid w:val="00116183"/>
    <w:rsid w:val="0011637E"/>
    <w:rsid w:val="001163A4"/>
    <w:rsid w:val="00116BC0"/>
    <w:rsid w:val="00120D85"/>
    <w:rsid w:val="00120EB2"/>
    <w:rsid w:val="00122A52"/>
    <w:rsid w:val="00122A78"/>
    <w:rsid w:val="00122EE3"/>
    <w:rsid w:val="001236B4"/>
    <w:rsid w:val="0012392B"/>
    <w:rsid w:val="00123A78"/>
    <w:rsid w:val="001243EA"/>
    <w:rsid w:val="0012469A"/>
    <w:rsid w:val="00124A77"/>
    <w:rsid w:val="00124ED5"/>
    <w:rsid w:val="00126189"/>
    <w:rsid w:val="00127E96"/>
    <w:rsid w:val="00130782"/>
    <w:rsid w:val="00130F0A"/>
    <w:rsid w:val="00130F8F"/>
    <w:rsid w:val="00131554"/>
    <w:rsid w:val="00131B24"/>
    <w:rsid w:val="00131DF6"/>
    <w:rsid w:val="001328D7"/>
    <w:rsid w:val="00132BB3"/>
    <w:rsid w:val="0013301A"/>
    <w:rsid w:val="00133438"/>
    <w:rsid w:val="001339A3"/>
    <w:rsid w:val="00133E97"/>
    <w:rsid w:val="00133F44"/>
    <w:rsid w:val="00133FC9"/>
    <w:rsid w:val="00134020"/>
    <w:rsid w:val="001341EC"/>
    <w:rsid w:val="00134746"/>
    <w:rsid w:val="00134941"/>
    <w:rsid w:val="00134E67"/>
    <w:rsid w:val="001350F7"/>
    <w:rsid w:val="001358DA"/>
    <w:rsid w:val="00135FCC"/>
    <w:rsid w:val="0013604A"/>
    <w:rsid w:val="00136659"/>
    <w:rsid w:val="00136C57"/>
    <w:rsid w:val="00137106"/>
    <w:rsid w:val="00137CE9"/>
    <w:rsid w:val="00140194"/>
    <w:rsid w:val="001402F9"/>
    <w:rsid w:val="001405D1"/>
    <w:rsid w:val="001409E4"/>
    <w:rsid w:val="00140D43"/>
    <w:rsid w:val="00141A85"/>
    <w:rsid w:val="001421E5"/>
    <w:rsid w:val="001426B7"/>
    <w:rsid w:val="00142842"/>
    <w:rsid w:val="00142DD6"/>
    <w:rsid w:val="00143386"/>
    <w:rsid w:val="00143A8E"/>
    <w:rsid w:val="00143AE9"/>
    <w:rsid w:val="00144F8B"/>
    <w:rsid w:val="001457A4"/>
    <w:rsid w:val="001459D8"/>
    <w:rsid w:val="00146E98"/>
    <w:rsid w:val="001475A4"/>
    <w:rsid w:val="0014764F"/>
    <w:rsid w:val="00147698"/>
    <w:rsid w:val="00147925"/>
    <w:rsid w:val="00147972"/>
    <w:rsid w:val="001511AB"/>
    <w:rsid w:val="0015172E"/>
    <w:rsid w:val="0015177A"/>
    <w:rsid w:val="00151AAA"/>
    <w:rsid w:val="00151B77"/>
    <w:rsid w:val="001522F0"/>
    <w:rsid w:val="001525F5"/>
    <w:rsid w:val="00152D1B"/>
    <w:rsid w:val="0015307D"/>
    <w:rsid w:val="0015342D"/>
    <w:rsid w:val="00153669"/>
    <w:rsid w:val="00153AFE"/>
    <w:rsid w:val="00153CE9"/>
    <w:rsid w:val="00153F1C"/>
    <w:rsid w:val="00153F76"/>
    <w:rsid w:val="00154205"/>
    <w:rsid w:val="00154A7F"/>
    <w:rsid w:val="00154F0E"/>
    <w:rsid w:val="00154F9F"/>
    <w:rsid w:val="001553E6"/>
    <w:rsid w:val="00155420"/>
    <w:rsid w:val="001557CE"/>
    <w:rsid w:val="0015581C"/>
    <w:rsid w:val="001558FA"/>
    <w:rsid w:val="001559BE"/>
    <w:rsid w:val="00155B3D"/>
    <w:rsid w:val="00155ED8"/>
    <w:rsid w:val="001564F7"/>
    <w:rsid w:val="0015658F"/>
    <w:rsid w:val="00156E4D"/>
    <w:rsid w:val="001571FC"/>
    <w:rsid w:val="001572B6"/>
    <w:rsid w:val="001572E3"/>
    <w:rsid w:val="00157450"/>
    <w:rsid w:val="00157AB4"/>
    <w:rsid w:val="00157D7E"/>
    <w:rsid w:val="00160464"/>
    <w:rsid w:val="00160876"/>
    <w:rsid w:val="00160888"/>
    <w:rsid w:val="00160A15"/>
    <w:rsid w:val="00160AA8"/>
    <w:rsid w:val="00160C4F"/>
    <w:rsid w:val="00160F2E"/>
    <w:rsid w:val="00160F32"/>
    <w:rsid w:val="00161AF4"/>
    <w:rsid w:val="00161EC3"/>
    <w:rsid w:val="00162457"/>
    <w:rsid w:val="001624AC"/>
    <w:rsid w:val="001625EE"/>
    <w:rsid w:val="00162B1B"/>
    <w:rsid w:val="00162D9B"/>
    <w:rsid w:val="00162F47"/>
    <w:rsid w:val="00163625"/>
    <w:rsid w:val="0016368E"/>
    <w:rsid w:val="00163752"/>
    <w:rsid w:val="001638C8"/>
    <w:rsid w:val="00163A8B"/>
    <w:rsid w:val="00163EF3"/>
    <w:rsid w:val="00164500"/>
    <w:rsid w:val="00164E43"/>
    <w:rsid w:val="00165034"/>
    <w:rsid w:val="001650AE"/>
    <w:rsid w:val="001651EE"/>
    <w:rsid w:val="001657DA"/>
    <w:rsid w:val="00165E90"/>
    <w:rsid w:val="001664EB"/>
    <w:rsid w:val="001665B5"/>
    <w:rsid w:val="001667F6"/>
    <w:rsid w:val="0016716A"/>
    <w:rsid w:val="0017034C"/>
    <w:rsid w:val="00170CDA"/>
    <w:rsid w:val="00170D86"/>
    <w:rsid w:val="0017253B"/>
    <w:rsid w:val="001728E0"/>
    <w:rsid w:val="00172F69"/>
    <w:rsid w:val="001739C7"/>
    <w:rsid w:val="00173FF5"/>
    <w:rsid w:val="00174144"/>
    <w:rsid w:val="001743BB"/>
    <w:rsid w:val="001751C0"/>
    <w:rsid w:val="0017656C"/>
    <w:rsid w:val="00176C59"/>
    <w:rsid w:val="00176C6A"/>
    <w:rsid w:val="001770FB"/>
    <w:rsid w:val="001777CA"/>
    <w:rsid w:val="00177E6F"/>
    <w:rsid w:val="00180379"/>
    <w:rsid w:val="0018091B"/>
    <w:rsid w:val="00181D30"/>
    <w:rsid w:val="00181E9C"/>
    <w:rsid w:val="00182714"/>
    <w:rsid w:val="001829B2"/>
    <w:rsid w:val="00182E59"/>
    <w:rsid w:val="001830DF"/>
    <w:rsid w:val="00183929"/>
    <w:rsid w:val="001839C1"/>
    <w:rsid w:val="00183CC9"/>
    <w:rsid w:val="00184D6D"/>
    <w:rsid w:val="00185544"/>
    <w:rsid w:val="00185793"/>
    <w:rsid w:val="00185E19"/>
    <w:rsid w:val="00185E1B"/>
    <w:rsid w:val="0018611C"/>
    <w:rsid w:val="00186503"/>
    <w:rsid w:val="00186C8F"/>
    <w:rsid w:val="001870F0"/>
    <w:rsid w:val="00187643"/>
    <w:rsid w:val="001879AE"/>
    <w:rsid w:val="0019012C"/>
    <w:rsid w:val="001907A1"/>
    <w:rsid w:val="00190E86"/>
    <w:rsid w:val="00190F59"/>
    <w:rsid w:val="00191664"/>
    <w:rsid w:val="001916AA"/>
    <w:rsid w:val="0019178D"/>
    <w:rsid w:val="00192562"/>
    <w:rsid w:val="001930AA"/>
    <w:rsid w:val="001940F7"/>
    <w:rsid w:val="0019411A"/>
    <w:rsid w:val="001943BE"/>
    <w:rsid w:val="001949F2"/>
    <w:rsid w:val="001951CE"/>
    <w:rsid w:val="00195A96"/>
    <w:rsid w:val="00195D56"/>
    <w:rsid w:val="0019600F"/>
    <w:rsid w:val="00196A2C"/>
    <w:rsid w:val="00197128"/>
    <w:rsid w:val="0019728E"/>
    <w:rsid w:val="001973CA"/>
    <w:rsid w:val="001974AF"/>
    <w:rsid w:val="00197544"/>
    <w:rsid w:val="001A04A1"/>
    <w:rsid w:val="001A0778"/>
    <w:rsid w:val="001A0C4D"/>
    <w:rsid w:val="001A11F4"/>
    <w:rsid w:val="001A1209"/>
    <w:rsid w:val="001A1778"/>
    <w:rsid w:val="001A1F84"/>
    <w:rsid w:val="001A2200"/>
    <w:rsid w:val="001A22AD"/>
    <w:rsid w:val="001A2356"/>
    <w:rsid w:val="001A2CC1"/>
    <w:rsid w:val="001A2EF9"/>
    <w:rsid w:val="001A3891"/>
    <w:rsid w:val="001A3FF8"/>
    <w:rsid w:val="001A4757"/>
    <w:rsid w:val="001A52AB"/>
    <w:rsid w:val="001A5665"/>
    <w:rsid w:val="001A57AF"/>
    <w:rsid w:val="001A5FE5"/>
    <w:rsid w:val="001A640B"/>
    <w:rsid w:val="001A6F86"/>
    <w:rsid w:val="001A7475"/>
    <w:rsid w:val="001A7793"/>
    <w:rsid w:val="001A78F3"/>
    <w:rsid w:val="001A7CF6"/>
    <w:rsid w:val="001A7E25"/>
    <w:rsid w:val="001B051E"/>
    <w:rsid w:val="001B08D1"/>
    <w:rsid w:val="001B0A60"/>
    <w:rsid w:val="001B0EB7"/>
    <w:rsid w:val="001B1084"/>
    <w:rsid w:val="001B11D3"/>
    <w:rsid w:val="001B15C6"/>
    <w:rsid w:val="001B1828"/>
    <w:rsid w:val="001B20DC"/>
    <w:rsid w:val="001B2952"/>
    <w:rsid w:val="001B299F"/>
    <w:rsid w:val="001B3BA0"/>
    <w:rsid w:val="001B3BAD"/>
    <w:rsid w:val="001B41D7"/>
    <w:rsid w:val="001B4E2E"/>
    <w:rsid w:val="001B5048"/>
    <w:rsid w:val="001B5388"/>
    <w:rsid w:val="001B55F4"/>
    <w:rsid w:val="001B6B3F"/>
    <w:rsid w:val="001B6B82"/>
    <w:rsid w:val="001B6D70"/>
    <w:rsid w:val="001B6F77"/>
    <w:rsid w:val="001B7AA9"/>
    <w:rsid w:val="001B7E0E"/>
    <w:rsid w:val="001C00CC"/>
    <w:rsid w:val="001C04E8"/>
    <w:rsid w:val="001C0A7A"/>
    <w:rsid w:val="001C0E5A"/>
    <w:rsid w:val="001C12E1"/>
    <w:rsid w:val="001C1FC2"/>
    <w:rsid w:val="001C2763"/>
    <w:rsid w:val="001C312A"/>
    <w:rsid w:val="001C31ED"/>
    <w:rsid w:val="001C32CD"/>
    <w:rsid w:val="001C3F9F"/>
    <w:rsid w:val="001C47E8"/>
    <w:rsid w:val="001C489B"/>
    <w:rsid w:val="001C4B8B"/>
    <w:rsid w:val="001C5474"/>
    <w:rsid w:val="001C563B"/>
    <w:rsid w:val="001C56AB"/>
    <w:rsid w:val="001C5C06"/>
    <w:rsid w:val="001C5DED"/>
    <w:rsid w:val="001C60E2"/>
    <w:rsid w:val="001C631E"/>
    <w:rsid w:val="001C669F"/>
    <w:rsid w:val="001C6BCB"/>
    <w:rsid w:val="001C6D27"/>
    <w:rsid w:val="001C76F6"/>
    <w:rsid w:val="001C7731"/>
    <w:rsid w:val="001C7765"/>
    <w:rsid w:val="001D0925"/>
    <w:rsid w:val="001D126E"/>
    <w:rsid w:val="001D13EC"/>
    <w:rsid w:val="001D142D"/>
    <w:rsid w:val="001D1B8B"/>
    <w:rsid w:val="001D1D47"/>
    <w:rsid w:val="001D1E62"/>
    <w:rsid w:val="001D1EC6"/>
    <w:rsid w:val="001D231D"/>
    <w:rsid w:val="001D26F7"/>
    <w:rsid w:val="001D2778"/>
    <w:rsid w:val="001D299A"/>
    <w:rsid w:val="001D2FD4"/>
    <w:rsid w:val="001D380F"/>
    <w:rsid w:val="001D3A93"/>
    <w:rsid w:val="001D3AC8"/>
    <w:rsid w:val="001D42F4"/>
    <w:rsid w:val="001D4943"/>
    <w:rsid w:val="001D4D83"/>
    <w:rsid w:val="001D5ADB"/>
    <w:rsid w:val="001D6377"/>
    <w:rsid w:val="001D6687"/>
    <w:rsid w:val="001D6701"/>
    <w:rsid w:val="001D6721"/>
    <w:rsid w:val="001D70F5"/>
    <w:rsid w:val="001D756B"/>
    <w:rsid w:val="001D77AA"/>
    <w:rsid w:val="001D7F9F"/>
    <w:rsid w:val="001D7FB3"/>
    <w:rsid w:val="001E01EE"/>
    <w:rsid w:val="001E02E5"/>
    <w:rsid w:val="001E0629"/>
    <w:rsid w:val="001E0A08"/>
    <w:rsid w:val="001E0E7D"/>
    <w:rsid w:val="001E1A49"/>
    <w:rsid w:val="001E2405"/>
    <w:rsid w:val="001E2A9A"/>
    <w:rsid w:val="001E2C78"/>
    <w:rsid w:val="001E2F09"/>
    <w:rsid w:val="001E3F3F"/>
    <w:rsid w:val="001E44A4"/>
    <w:rsid w:val="001E57E9"/>
    <w:rsid w:val="001E59AC"/>
    <w:rsid w:val="001E5C0C"/>
    <w:rsid w:val="001E6673"/>
    <w:rsid w:val="001E6BB2"/>
    <w:rsid w:val="001E6DED"/>
    <w:rsid w:val="001E6E54"/>
    <w:rsid w:val="001E6EEF"/>
    <w:rsid w:val="001E7224"/>
    <w:rsid w:val="001E7466"/>
    <w:rsid w:val="001E7661"/>
    <w:rsid w:val="001E7762"/>
    <w:rsid w:val="001F0A2F"/>
    <w:rsid w:val="001F0BCB"/>
    <w:rsid w:val="001F0CAF"/>
    <w:rsid w:val="001F0FC3"/>
    <w:rsid w:val="001F119D"/>
    <w:rsid w:val="001F1864"/>
    <w:rsid w:val="001F1E05"/>
    <w:rsid w:val="001F23F2"/>
    <w:rsid w:val="001F28BB"/>
    <w:rsid w:val="001F2B92"/>
    <w:rsid w:val="001F324B"/>
    <w:rsid w:val="001F344C"/>
    <w:rsid w:val="001F39D8"/>
    <w:rsid w:val="001F3B07"/>
    <w:rsid w:val="001F3B74"/>
    <w:rsid w:val="001F3BC8"/>
    <w:rsid w:val="001F4043"/>
    <w:rsid w:val="001F415C"/>
    <w:rsid w:val="001F44E8"/>
    <w:rsid w:val="001F474D"/>
    <w:rsid w:val="001F480D"/>
    <w:rsid w:val="001F4D0A"/>
    <w:rsid w:val="001F4F55"/>
    <w:rsid w:val="001F5044"/>
    <w:rsid w:val="001F519B"/>
    <w:rsid w:val="001F57A9"/>
    <w:rsid w:val="001F57B9"/>
    <w:rsid w:val="001F5956"/>
    <w:rsid w:val="001F5D3D"/>
    <w:rsid w:val="001F6147"/>
    <w:rsid w:val="001F6260"/>
    <w:rsid w:val="001F6276"/>
    <w:rsid w:val="001F6346"/>
    <w:rsid w:val="001F6C3C"/>
    <w:rsid w:val="001F6E46"/>
    <w:rsid w:val="001F6EAB"/>
    <w:rsid w:val="001F7562"/>
    <w:rsid w:val="001F775F"/>
    <w:rsid w:val="001F7AB9"/>
    <w:rsid w:val="00200005"/>
    <w:rsid w:val="00200069"/>
    <w:rsid w:val="0020065F"/>
    <w:rsid w:val="002007E4"/>
    <w:rsid w:val="002008DF"/>
    <w:rsid w:val="00200AFD"/>
    <w:rsid w:val="00200B4B"/>
    <w:rsid w:val="00200F21"/>
    <w:rsid w:val="002011C4"/>
    <w:rsid w:val="002017C8"/>
    <w:rsid w:val="0020185A"/>
    <w:rsid w:val="002019E6"/>
    <w:rsid w:val="00201C4E"/>
    <w:rsid w:val="00201E72"/>
    <w:rsid w:val="00201EA6"/>
    <w:rsid w:val="00202A6F"/>
    <w:rsid w:val="00202BB9"/>
    <w:rsid w:val="00202BE8"/>
    <w:rsid w:val="00202CB3"/>
    <w:rsid w:val="002035F7"/>
    <w:rsid w:val="00203B4F"/>
    <w:rsid w:val="00203E24"/>
    <w:rsid w:val="0020430F"/>
    <w:rsid w:val="0020475F"/>
    <w:rsid w:val="00204819"/>
    <w:rsid w:val="00204DE8"/>
    <w:rsid w:val="00205087"/>
    <w:rsid w:val="00205257"/>
    <w:rsid w:val="00205688"/>
    <w:rsid w:val="00205983"/>
    <w:rsid w:val="0020603F"/>
    <w:rsid w:val="002060C9"/>
    <w:rsid w:val="00206C2D"/>
    <w:rsid w:val="00207297"/>
    <w:rsid w:val="002077D4"/>
    <w:rsid w:val="00207FC8"/>
    <w:rsid w:val="00210627"/>
    <w:rsid w:val="002113A9"/>
    <w:rsid w:val="00211CDC"/>
    <w:rsid w:val="00212676"/>
    <w:rsid w:val="00212FE5"/>
    <w:rsid w:val="0021343C"/>
    <w:rsid w:val="00213B04"/>
    <w:rsid w:val="00213DBD"/>
    <w:rsid w:val="00214582"/>
    <w:rsid w:val="00214665"/>
    <w:rsid w:val="002149D1"/>
    <w:rsid w:val="00214D83"/>
    <w:rsid w:val="00214DC4"/>
    <w:rsid w:val="002153BE"/>
    <w:rsid w:val="0021545B"/>
    <w:rsid w:val="0021599F"/>
    <w:rsid w:val="00215ACF"/>
    <w:rsid w:val="00215C3C"/>
    <w:rsid w:val="002160EF"/>
    <w:rsid w:val="00216781"/>
    <w:rsid w:val="00216B20"/>
    <w:rsid w:val="00216F20"/>
    <w:rsid w:val="00217091"/>
    <w:rsid w:val="00217120"/>
    <w:rsid w:val="00217C76"/>
    <w:rsid w:val="00220D25"/>
    <w:rsid w:val="002212CB"/>
    <w:rsid w:val="002212FE"/>
    <w:rsid w:val="00221397"/>
    <w:rsid w:val="002214C5"/>
    <w:rsid w:val="00221B3A"/>
    <w:rsid w:val="00221BC4"/>
    <w:rsid w:val="002225A0"/>
    <w:rsid w:val="00222A0B"/>
    <w:rsid w:val="00222E1B"/>
    <w:rsid w:val="0022335F"/>
    <w:rsid w:val="002236B9"/>
    <w:rsid w:val="0022371B"/>
    <w:rsid w:val="00223A09"/>
    <w:rsid w:val="00223B50"/>
    <w:rsid w:val="00224B98"/>
    <w:rsid w:val="00225054"/>
    <w:rsid w:val="00225700"/>
    <w:rsid w:val="002260B2"/>
    <w:rsid w:val="00226470"/>
    <w:rsid w:val="002264FE"/>
    <w:rsid w:val="002266E4"/>
    <w:rsid w:val="00226959"/>
    <w:rsid w:val="002272AD"/>
    <w:rsid w:val="00227427"/>
    <w:rsid w:val="00227446"/>
    <w:rsid w:val="00227581"/>
    <w:rsid w:val="00227EC2"/>
    <w:rsid w:val="002303E2"/>
    <w:rsid w:val="00230881"/>
    <w:rsid w:val="002308C1"/>
    <w:rsid w:val="00230CBA"/>
    <w:rsid w:val="0023193F"/>
    <w:rsid w:val="00231D11"/>
    <w:rsid w:val="002324CB"/>
    <w:rsid w:val="00233185"/>
    <w:rsid w:val="00233757"/>
    <w:rsid w:val="002337E8"/>
    <w:rsid w:val="00233DAD"/>
    <w:rsid w:val="0023427D"/>
    <w:rsid w:val="002354AD"/>
    <w:rsid w:val="00235986"/>
    <w:rsid w:val="00235A6C"/>
    <w:rsid w:val="00235B3D"/>
    <w:rsid w:val="00235D5F"/>
    <w:rsid w:val="00235F9B"/>
    <w:rsid w:val="0023607C"/>
    <w:rsid w:val="002367EF"/>
    <w:rsid w:val="00236EB2"/>
    <w:rsid w:val="00237D4A"/>
    <w:rsid w:val="00237E11"/>
    <w:rsid w:val="0024015C"/>
    <w:rsid w:val="00240261"/>
    <w:rsid w:val="002403F5"/>
    <w:rsid w:val="00240A78"/>
    <w:rsid w:val="00241DB8"/>
    <w:rsid w:val="00241F38"/>
    <w:rsid w:val="00242767"/>
    <w:rsid w:val="00243053"/>
    <w:rsid w:val="00243602"/>
    <w:rsid w:val="00243E67"/>
    <w:rsid w:val="0024423E"/>
    <w:rsid w:val="0024437A"/>
    <w:rsid w:val="00244799"/>
    <w:rsid w:val="00244809"/>
    <w:rsid w:val="00244A6D"/>
    <w:rsid w:val="00244F06"/>
    <w:rsid w:val="00244FB9"/>
    <w:rsid w:val="002457C7"/>
    <w:rsid w:val="002460EB"/>
    <w:rsid w:val="0024629C"/>
    <w:rsid w:val="002466B0"/>
    <w:rsid w:val="0024686C"/>
    <w:rsid w:val="0024697D"/>
    <w:rsid w:val="00246AEB"/>
    <w:rsid w:val="00247AD5"/>
    <w:rsid w:val="00247CD9"/>
    <w:rsid w:val="00247E88"/>
    <w:rsid w:val="00250007"/>
    <w:rsid w:val="0025033C"/>
    <w:rsid w:val="002506FD"/>
    <w:rsid w:val="00250707"/>
    <w:rsid w:val="002508BB"/>
    <w:rsid w:val="00250E6C"/>
    <w:rsid w:val="0025112D"/>
    <w:rsid w:val="002511FE"/>
    <w:rsid w:val="0025141D"/>
    <w:rsid w:val="002514E8"/>
    <w:rsid w:val="00251745"/>
    <w:rsid w:val="0025185A"/>
    <w:rsid w:val="00252655"/>
    <w:rsid w:val="00252AD8"/>
    <w:rsid w:val="00253636"/>
    <w:rsid w:val="00253678"/>
    <w:rsid w:val="002539C4"/>
    <w:rsid w:val="00253F76"/>
    <w:rsid w:val="00254719"/>
    <w:rsid w:val="00254B1C"/>
    <w:rsid w:val="00254F4A"/>
    <w:rsid w:val="00255040"/>
    <w:rsid w:val="00255F1E"/>
    <w:rsid w:val="0025618D"/>
    <w:rsid w:val="0025636C"/>
    <w:rsid w:val="0025654C"/>
    <w:rsid w:val="00256A3A"/>
    <w:rsid w:val="00256D7B"/>
    <w:rsid w:val="002573DD"/>
    <w:rsid w:val="00257516"/>
    <w:rsid w:val="0026042C"/>
    <w:rsid w:val="00260BB5"/>
    <w:rsid w:val="00260BD6"/>
    <w:rsid w:val="0026147F"/>
    <w:rsid w:val="0026150E"/>
    <w:rsid w:val="0026205D"/>
    <w:rsid w:val="0026242F"/>
    <w:rsid w:val="002626A8"/>
    <w:rsid w:val="00262F7D"/>
    <w:rsid w:val="00263194"/>
    <w:rsid w:val="0026363D"/>
    <w:rsid w:val="00263A8B"/>
    <w:rsid w:val="00263C67"/>
    <w:rsid w:val="00263D35"/>
    <w:rsid w:val="00264002"/>
    <w:rsid w:val="0026438A"/>
    <w:rsid w:val="00264910"/>
    <w:rsid w:val="00264E03"/>
    <w:rsid w:val="00266E26"/>
    <w:rsid w:val="002673FA"/>
    <w:rsid w:val="00267436"/>
    <w:rsid w:val="00267779"/>
    <w:rsid w:val="00267896"/>
    <w:rsid w:val="0027061B"/>
    <w:rsid w:val="002706ED"/>
    <w:rsid w:val="0027081A"/>
    <w:rsid w:val="00270895"/>
    <w:rsid w:val="00270DCC"/>
    <w:rsid w:val="00270E7B"/>
    <w:rsid w:val="002713F0"/>
    <w:rsid w:val="0027197D"/>
    <w:rsid w:val="00272D02"/>
    <w:rsid w:val="00273028"/>
    <w:rsid w:val="00273107"/>
    <w:rsid w:val="002731BC"/>
    <w:rsid w:val="0027332D"/>
    <w:rsid w:val="002734BA"/>
    <w:rsid w:val="00273890"/>
    <w:rsid w:val="00273A83"/>
    <w:rsid w:val="002744C9"/>
    <w:rsid w:val="0027467F"/>
    <w:rsid w:val="00274682"/>
    <w:rsid w:val="0027482D"/>
    <w:rsid w:val="002749D9"/>
    <w:rsid w:val="00274D75"/>
    <w:rsid w:val="00275219"/>
    <w:rsid w:val="00276819"/>
    <w:rsid w:val="00276CA7"/>
    <w:rsid w:val="00276E14"/>
    <w:rsid w:val="00276E53"/>
    <w:rsid w:val="00277062"/>
    <w:rsid w:val="00277310"/>
    <w:rsid w:val="00277623"/>
    <w:rsid w:val="002776D7"/>
    <w:rsid w:val="0028030E"/>
    <w:rsid w:val="00280501"/>
    <w:rsid w:val="00280FB8"/>
    <w:rsid w:val="0028156F"/>
    <w:rsid w:val="00281613"/>
    <w:rsid w:val="00281E12"/>
    <w:rsid w:val="00282A5E"/>
    <w:rsid w:val="00283434"/>
    <w:rsid w:val="0028348B"/>
    <w:rsid w:val="002834EB"/>
    <w:rsid w:val="0028365F"/>
    <w:rsid w:val="00283682"/>
    <w:rsid w:val="0028387C"/>
    <w:rsid w:val="00283EE7"/>
    <w:rsid w:val="00283F22"/>
    <w:rsid w:val="0028402E"/>
    <w:rsid w:val="0028472D"/>
    <w:rsid w:val="002848F6"/>
    <w:rsid w:val="00284954"/>
    <w:rsid w:val="00284E34"/>
    <w:rsid w:val="00284F16"/>
    <w:rsid w:val="00285F9B"/>
    <w:rsid w:val="00286E5B"/>
    <w:rsid w:val="002875C1"/>
    <w:rsid w:val="0028779F"/>
    <w:rsid w:val="002906EB"/>
    <w:rsid w:val="002907AC"/>
    <w:rsid w:val="00290829"/>
    <w:rsid w:val="00291C55"/>
    <w:rsid w:val="0029200A"/>
    <w:rsid w:val="00292D1B"/>
    <w:rsid w:val="00292ED1"/>
    <w:rsid w:val="00293256"/>
    <w:rsid w:val="00293995"/>
    <w:rsid w:val="00294285"/>
    <w:rsid w:val="0029435F"/>
    <w:rsid w:val="00294551"/>
    <w:rsid w:val="002947B7"/>
    <w:rsid w:val="002947EC"/>
    <w:rsid w:val="002952C9"/>
    <w:rsid w:val="00295306"/>
    <w:rsid w:val="00295873"/>
    <w:rsid w:val="00295C84"/>
    <w:rsid w:val="0029638F"/>
    <w:rsid w:val="0029659F"/>
    <w:rsid w:val="00297668"/>
    <w:rsid w:val="00297776"/>
    <w:rsid w:val="00297D31"/>
    <w:rsid w:val="002A06EB"/>
    <w:rsid w:val="002A0721"/>
    <w:rsid w:val="002A0898"/>
    <w:rsid w:val="002A0BA3"/>
    <w:rsid w:val="002A0E11"/>
    <w:rsid w:val="002A0FC6"/>
    <w:rsid w:val="002A18D0"/>
    <w:rsid w:val="002A2181"/>
    <w:rsid w:val="002A2C0C"/>
    <w:rsid w:val="002A4092"/>
    <w:rsid w:val="002A4343"/>
    <w:rsid w:val="002A47BF"/>
    <w:rsid w:val="002A48AC"/>
    <w:rsid w:val="002A4B34"/>
    <w:rsid w:val="002A4C1B"/>
    <w:rsid w:val="002A573E"/>
    <w:rsid w:val="002A584F"/>
    <w:rsid w:val="002A5AC0"/>
    <w:rsid w:val="002A5D84"/>
    <w:rsid w:val="002A6039"/>
    <w:rsid w:val="002A611C"/>
    <w:rsid w:val="002A61A9"/>
    <w:rsid w:val="002A624C"/>
    <w:rsid w:val="002A62F5"/>
    <w:rsid w:val="002A7247"/>
    <w:rsid w:val="002A7A3F"/>
    <w:rsid w:val="002A7A48"/>
    <w:rsid w:val="002A7B04"/>
    <w:rsid w:val="002B0243"/>
    <w:rsid w:val="002B0391"/>
    <w:rsid w:val="002B079A"/>
    <w:rsid w:val="002B0C0F"/>
    <w:rsid w:val="002B0E7D"/>
    <w:rsid w:val="002B110D"/>
    <w:rsid w:val="002B1514"/>
    <w:rsid w:val="002B187B"/>
    <w:rsid w:val="002B1DCF"/>
    <w:rsid w:val="002B2405"/>
    <w:rsid w:val="002B29CD"/>
    <w:rsid w:val="002B3379"/>
    <w:rsid w:val="002B3BD4"/>
    <w:rsid w:val="002B3D8D"/>
    <w:rsid w:val="002B3EF7"/>
    <w:rsid w:val="002B4070"/>
    <w:rsid w:val="002B4586"/>
    <w:rsid w:val="002B475F"/>
    <w:rsid w:val="002B4C6F"/>
    <w:rsid w:val="002B5138"/>
    <w:rsid w:val="002B52D2"/>
    <w:rsid w:val="002B540E"/>
    <w:rsid w:val="002B5D90"/>
    <w:rsid w:val="002B60C2"/>
    <w:rsid w:val="002B77FC"/>
    <w:rsid w:val="002B7986"/>
    <w:rsid w:val="002B7EAC"/>
    <w:rsid w:val="002B7F83"/>
    <w:rsid w:val="002C135D"/>
    <w:rsid w:val="002C1682"/>
    <w:rsid w:val="002C22D0"/>
    <w:rsid w:val="002C32DE"/>
    <w:rsid w:val="002C351A"/>
    <w:rsid w:val="002C3560"/>
    <w:rsid w:val="002C40D9"/>
    <w:rsid w:val="002C46D7"/>
    <w:rsid w:val="002C4744"/>
    <w:rsid w:val="002C48CF"/>
    <w:rsid w:val="002C4C9E"/>
    <w:rsid w:val="002C549E"/>
    <w:rsid w:val="002C5A34"/>
    <w:rsid w:val="002C5A86"/>
    <w:rsid w:val="002C62F3"/>
    <w:rsid w:val="002C6525"/>
    <w:rsid w:val="002C6CD4"/>
    <w:rsid w:val="002C74F4"/>
    <w:rsid w:val="002C75A7"/>
    <w:rsid w:val="002C76D3"/>
    <w:rsid w:val="002C7DF6"/>
    <w:rsid w:val="002C7E7C"/>
    <w:rsid w:val="002D02C4"/>
    <w:rsid w:val="002D02D9"/>
    <w:rsid w:val="002D0410"/>
    <w:rsid w:val="002D05EF"/>
    <w:rsid w:val="002D0DF7"/>
    <w:rsid w:val="002D10E2"/>
    <w:rsid w:val="002D1157"/>
    <w:rsid w:val="002D1E4B"/>
    <w:rsid w:val="002D212F"/>
    <w:rsid w:val="002D222B"/>
    <w:rsid w:val="002D23CA"/>
    <w:rsid w:val="002D2487"/>
    <w:rsid w:val="002D250F"/>
    <w:rsid w:val="002D274A"/>
    <w:rsid w:val="002D2B70"/>
    <w:rsid w:val="002D36F6"/>
    <w:rsid w:val="002D3910"/>
    <w:rsid w:val="002D392D"/>
    <w:rsid w:val="002D45AC"/>
    <w:rsid w:val="002D5223"/>
    <w:rsid w:val="002D5485"/>
    <w:rsid w:val="002D5960"/>
    <w:rsid w:val="002D5F8E"/>
    <w:rsid w:val="002D6499"/>
    <w:rsid w:val="002D6E65"/>
    <w:rsid w:val="002D7448"/>
    <w:rsid w:val="002D7CAB"/>
    <w:rsid w:val="002D7D41"/>
    <w:rsid w:val="002D7F7D"/>
    <w:rsid w:val="002E080A"/>
    <w:rsid w:val="002E0D93"/>
    <w:rsid w:val="002E135D"/>
    <w:rsid w:val="002E1A3C"/>
    <w:rsid w:val="002E2114"/>
    <w:rsid w:val="002E2379"/>
    <w:rsid w:val="002E274C"/>
    <w:rsid w:val="002E2A6D"/>
    <w:rsid w:val="002E2BAA"/>
    <w:rsid w:val="002E3C35"/>
    <w:rsid w:val="002E3C9B"/>
    <w:rsid w:val="002E3EAD"/>
    <w:rsid w:val="002E42AC"/>
    <w:rsid w:val="002E467A"/>
    <w:rsid w:val="002E480A"/>
    <w:rsid w:val="002E4863"/>
    <w:rsid w:val="002E4996"/>
    <w:rsid w:val="002E4A27"/>
    <w:rsid w:val="002E4DE2"/>
    <w:rsid w:val="002E529F"/>
    <w:rsid w:val="002E53A9"/>
    <w:rsid w:val="002E5532"/>
    <w:rsid w:val="002E55ED"/>
    <w:rsid w:val="002E6830"/>
    <w:rsid w:val="002E6A1A"/>
    <w:rsid w:val="002E6E48"/>
    <w:rsid w:val="002E716A"/>
    <w:rsid w:val="002E77E0"/>
    <w:rsid w:val="002E789E"/>
    <w:rsid w:val="002F0059"/>
    <w:rsid w:val="002F008A"/>
    <w:rsid w:val="002F023C"/>
    <w:rsid w:val="002F09AC"/>
    <w:rsid w:val="002F0E15"/>
    <w:rsid w:val="002F0E64"/>
    <w:rsid w:val="002F108C"/>
    <w:rsid w:val="002F22C3"/>
    <w:rsid w:val="002F27EA"/>
    <w:rsid w:val="002F2989"/>
    <w:rsid w:val="002F29C0"/>
    <w:rsid w:val="002F2D85"/>
    <w:rsid w:val="002F2D9A"/>
    <w:rsid w:val="002F3403"/>
    <w:rsid w:val="002F378C"/>
    <w:rsid w:val="002F40EF"/>
    <w:rsid w:val="002F4897"/>
    <w:rsid w:val="002F49BD"/>
    <w:rsid w:val="002F5533"/>
    <w:rsid w:val="002F5B13"/>
    <w:rsid w:val="002F713C"/>
    <w:rsid w:val="00300E50"/>
    <w:rsid w:val="00301591"/>
    <w:rsid w:val="00301817"/>
    <w:rsid w:val="00301CBE"/>
    <w:rsid w:val="00302194"/>
    <w:rsid w:val="0030231D"/>
    <w:rsid w:val="0030277E"/>
    <w:rsid w:val="003027E0"/>
    <w:rsid w:val="003027F7"/>
    <w:rsid w:val="003028D6"/>
    <w:rsid w:val="00302ACA"/>
    <w:rsid w:val="00303134"/>
    <w:rsid w:val="00303C1F"/>
    <w:rsid w:val="00303C98"/>
    <w:rsid w:val="00303C9D"/>
    <w:rsid w:val="00304279"/>
    <w:rsid w:val="00304612"/>
    <w:rsid w:val="00304CA2"/>
    <w:rsid w:val="003066BE"/>
    <w:rsid w:val="003066E4"/>
    <w:rsid w:val="0030692F"/>
    <w:rsid w:val="003071B3"/>
    <w:rsid w:val="003073EF"/>
    <w:rsid w:val="00307545"/>
    <w:rsid w:val="003078AC"/>
    <w:rsid w:val="00307A01"/>
    <w:rsid w:val="00307EBC"/>
    <w:rsid w:val="00310B78"/>
    <w:rsid w:val="00310ED2"/>
    <w:rsid w:val="00311001"/>
    <w:rsid w:val="003111CE"/>
    <w:rsid w:val="00311245"/>
    <w:rsid w:val="0031149D"/>
    <w:rsid w:val="003117AF"/>
    <w:rsid w:val="003118FD"/>
    <w:rsid w:val="00311949"/>
    <w:rsid w:val="00311A00"/>
    <w:rsid w:val="00311BBB"/>
    <w:rsid w:val="00311F70"/>
    <w:rsid w:val="003123D1"/>
    <w:rsid w:val="0031243F"/>
    <w:rsid w:val="00312461"/>
    <w:rsid w:val="00312B78"/>
    <w:rsid w:val="00313181"/>
    <w:rsid w:val="003131FA"/>
    <w:rsid w:val="00313263"/>
    <w:rsid w:val="0031345C"/>
    <w:rsid w:val="00313BF7"/>
    <w:rsid w:val="00313C56"/>
    <w:rsid w:val="00314641"/>
    <w:rsid w:val="00314778"/>
    <w:rsid w:val="00314BF2"/>
    <w:rsid w:val="00315206"/>
    <w:rsid w:val="00315353"/>
    <w:rsid w:val="00315424"/>
    <w:rsid w:val="00315BF5"/>
    <w:rsid w:val="0031686A"/>
    <w:rsid w:val="00316D4D"/>
    <w:rsid w:val="0031767A"/>
    <w:rsid w:val="00317D42"/>
    <w:rsid w:val="003200B8"/>
    <w:rsid w:val="0032011E"/>
    <w:rsid w:val="00320E5D"/>
    <w:rsid w:val="00321CFF"/>
    <w:rsid w:val="00322CCC"/>
    <w:rsid w:val="0032324B"/>
    <w:rsid w:val="00323FEA"/>
    <w:rsid w:val="00324180"/>
    <w:rsid w:val="00324327"/>
    <w:rsid w:val="0032447C"/>
    <w:rsid w:val="003249FA"/>
    <w:rsid w:val="00325152"/>
    <w:rsid w:val="00325A89"/>
    <w:rsid w:val="00325B69"/>
    <w:rsid w:val="0032615C"/>
    <w:rsid w:val="00326DC4"/>
    <w:rsid w:val="00326F07"/>
    <w:rsid w:val="003270C9"/>
    <w:rsid w:val="00327978"/>
    <w:rsid w:val="00327DAC"/>
    <w:rsid w:val="00330493"/>
    <w:rsid w:val="0033050F"/>
    <w:rsid w:val="003306FA"/>
    <w:rsid w:val="00330759"/>
    <w:rsid w:val="00330839"/>
    <w:rsid w:val="00330A9C"/>
    <w:rsid w:val="00330AC4"/>
    <w:rsid w:val="00330B02"/>
    <w:rsid w:val="00330EAF"/>
    <w:rsid w:val="00330F87"/>
    <w:rsid w:val="00331019"/>
    <w:rsid w:val="00331351"/>
    <w:rsid w:val="00331500"/>
    <w:rsid w:val="00331748"/>
    <w:rsid w:val="003317A5"/>
    <w:rsid w:val="00331B47"/>
    <w:rsid w:val="00332BB4"/>
    <w:rsid w:val="003332E4"/>
    <w:rsid w:val="0033379F"/>
    <w:rsid w:val="00333ED3"/>
    <w:rsid w:val="00334171"/>
    <w:rsid w:val="00334330"/>
    <w:rsid w:val="003345AD"/>
    <w:rsid w:val="003348D4"/>
    <w:rsid w:val="00334A12"/>
    <w:rsid w:val="003353A5"/>
    <w:rsid w:val="00336075"/>
    <w:rsid w:val="0033652C"/>
    <w:rsid w:val="00336F78"/>
    <w:rsid w:val="00336FFD"/>
    <w:rsid w:val="00337119"/>
    <w:rsid w:val="00337E39"/>
    <w:rsid w:val="0034066C"/>
    <w:rsid w:val="00340AA3"/>
    <w:rsid w:val="00340B27"/>
    <w:rsid w:val="00340FC0"/>
    <w:rsid w:val="003417C3"/>
    <w:rsid w:val="00341901"/>
    <w:rsid w:val="00341C6B"/>
    <w:rsid w:val="00342427"/>
    <w:rsid w:val="00342A01"/>
    <w:rsid w:val="0034361A"/>
    <w:rsid w:val="00343B9E"/>
    <w:rsid w:val="00344002"/>
    <w:rsid w:val="003444EC"/>
    <w:rsid w:val="00344A40"/>
    <w:rsid w:val="00344ED8"/>
    <w:rsid w:val="00344F20"/>
    <w:rsid w:val="00345266"/>
    <w:rsid w:val="003456BF"/>
    <w:rsid w:val="00346B81"/>
    <w:rsid w:val="00347346"/>
    <w:rsid w:val="003474B4"/>
    <w:rsid w:val="00347585"/>
    <w:rsid w:val="003475B0"/>
    <w:rsid w:val="00347857"/>
    <w:rsid w:val="003478E8"/>
    <w:rsid w:val="00347F87"/>
    <w:rsid w:val="003507B8"/>
    <w:rsid w:val="00350818"/>
    <w:rsid w:val="00350B26"/>
    <w:rsid w:val="00350BEA"/>
    <w:rsid w:val="00350DEC"/>
    <w:rsid w:val="003517F3"/>
    <w:rsid w:val="00351CEA"/>
    <w:rsid w:val="00351D19"/>
    <w:rsid w:val="0035205A"/>
    <w:rsid w:val="003523FB"/>
    <w:rsid w:val="00352536"/>
    <w:rsid w:val="00352E0A"/>
    <w:rsid w:val="0035317C"/>
    <w:rsid w:val="0035325C"/>
    <w:rsid w:val="00353A39"/>
    <w:rsid w:val="00353B83"/>
    <w:rsid w:val="00354527"/>
    <w:rsid w:val="0035467A"/>
    <w:rsid w:val="0035488D"/>
    <w:rsid w:val="0035506D"/>
    <w:rsid w:val="00355B65"/>
    <w:rsid w:val="00355F3B"/>
    <w:rsid w:val="00356208"/>
    <w:rsid w:val="003569C8"/>
    <w:rsid w:val="00356DA0"/>
    <w:rsid w:val="0035740D"/>
    <w:rsid w:val="00357A67"/>
    <w:rsid w:val="0036099F"/>
    <w:rsid w:val="00361ABA"/>
    <w:rsid w:val="00361DE6"/>
    <w:rsid w:val="0036202E"/>
    <w:rsid w:val="003624C5"/>
    <w:rsid w:val="003625D7"/>
    <w:rsid w:val="0036291E"/>
    <w:rsid w:val="00362A71"/>
    <w:rsid w:val="00362E12"/>
    <w:rsid w:val="00362F41"/>
    <w:rsid w:val="00362FC2"/>
    <w:rsid w:val="00363452"/>
    <w:rsid w:val="00363DE7"/>
    <w:rsid w:val="00364BE7"/>
    <w:rsid w:val="003650BA"/>
    <w:rsid w:val="003653A0"/>
    <w:rsid w:val="00366280"/>
    <w:rsid w:val="00366469"/>
    <w:rsid w:val="00366A1E"/>
    <w:rsid w:val="00366B33"/>
    <w:rsid w:val="00367D0B"/>
    <w:rsid w:val="003707E5"/>
    <w:rsid w:val="00371666"/>
    <w:rsid w:val="00371691"/>
    <w:rsid w:val="00371BAD"/>
    <w:rsid w:val="00371FF5"/>
    <w:rsid w:val="0037211E"/>
    <w:rsid w:val="00372247"/>
    <w:rsid w:val="00372851"/>
    <w:rsid w:val="00372C44"/>
    <w:rsid w:val="0037345B"/>
    <w:rsid w:val="00373652"/>
    <w:rsid w:val="00373953"/>
    <w:rsid w:val="00373B8D"/>
    <w:rsid w:val="00374C90"/>
    <w:rsid w:val="003756C8"/>
    <w:rsid w:val="00375969"/>
    <w:rsid w:val="00375F6D"/>
    <w:rsid w:val="00376270"/>
    <w:rsid w:val="003771A7"/>
    <w:rsid w:val="00377324"/>
    <w:rsid w:val="003773D7"/>
    <w:rsid w:val="003773F0"/>
    <w:rsid w:val="00377AEA"/>
    <w:rsid w:val="0038005C"/>
    <w:rsid w:val="00380A56"/>
    <w:rsid w:val="00380F79"/>
    <w:rsid w:val="00381268"/>
    <w:rsid w:val="003816A4"/>
    <w:rsid w:val="003818E3"/>
    <w:rsid w:val="00383883"/>
    <w:rsid w:val="00383D83"/>
    <w:rsid w:val="00384008"/>
    <w:rsid w:val="003841FF"/>
    <w:rsid w:val="003843FF"/>
    <w:rsid w:val="0038464A"/>
    <w:rsid w:val="003858FE"/>
    <w:rsid w:val="00385B11"/>
    <w:rsid w:val="00385B68"/>
    <w:rsid w:val="00385C1B"/>
    <w:rsid w:val="00385F66"/>
    <w:rsid w:val="00386832"/>
    <w:rsid w:val="00386C30"/>
    <w:rsid w:val="00387BE3"/>
    <w:rsid w:val="00387E5B"/>
    <w:rsid w:val="00390107"/>
    <w:rsid w:val="0039053D"/>
    <w:rsid w:val="0039095B"/>
    <w:rsid w:val="00390CF7"/>
    <w:rsid w:val="00391B40"/>
    <w:rsid w:val="00391CAF"/>
    <w:rsid w:val="003925AC"/>
    <w:rsid w:val="00393332"/>
    <w:rsid w:val="0039392A"/>
    <w:rsid w:val="00393A0A"/>
    <w:rsid w:val="00393DF1"/>
    <w:rsid w:val="00393F0D"/>
    <w:rsid w:val="00394B0A"/>
    <w:rsid w:val="0039515C"/>
    <w:rsid w:val="0039617F"/>
    <w:rsid w:val="00396BED"/>
    <w:rsid w:val="00396CF3"/>
    <w:rsid w:val="00397551"/>
    <w:rsid w:val="00397667"/>
    <w:rsid w:val="003976C9"/>
    <w:rsid w:val="00397EF5"/>
    <w:rsid w:val="003A003D"/>
    <w:rsid w:val="003A043E"/>
    <w:rsid w:val="003A195B"/>
    <w:rsid w:val="003A1BD2"/>
    <w:rsid w:val="003A23D5"/>
    <w:rsid w:val="003A24E2"/>
    <w:rsid w:val="003A2DB0"/>
    <w:rsid w:val="003A2FD2"/>
    <w:rsid w:val="003A3047"/>
    <w:rsid w:val="003A3701"/>
    <w:rsid w:val="003A3FCA"/>
    <w:rsid w:val="003A408F"/>
    <w:rsid w:val="003A42AB"/>
    <w:rsid w:val="003A4791"/>
    <w:rsid w:val="003A489E"/>
    <w:rsid w:val="003A49EE"/>
    <w:rsid w:val="003A4BA8"/>
    <w:rsid w:val="003A4C53"/>
    <w:rsid w:val="003A4D55"/>
    <w:rsid w:val="003A4EEF"/>
    <w:rsid w:val="003A5370"/>
    <w:rsid w:val="003A5FEC"/>
    <w:rsid w:val="003A656E"/>
    <w:rsid w:val="003A6972"/>
    <w:rsid w:val="003A7C6C"/>
    <w:rsid w:val="003B0A41"/>
    <w:rsid w:val="003B107E"/>
    <w:rsid w:val="003B121E"/>
    <w:rsid w:val="003B14EA"/>
    <w:rsid w:val="003B1900"/>
    <w:rsid w:val="003B1901"/>
    <w:rsid w:val="003B19C4"/>
    <w:rsid w:val="003B1BEE"/>
    <w:rsid w:val="003B23DD"/>
    <w:rsid w:val="003B3366"/>
    <w:rsid w:val="003B357C"/>
    <w:rsid w:val="003B377F"/>
    <w:rsid w:val="003B3A14"/>
    <w:rsid w:val="003B3CED"/>
    <w:rsid w:val="003B47BB"/>
    <w:rsid w:val="003B4D72"/>
    <w:rsid w:val="003B5013"/>
    <w:rsid w:val="003B5143"/>
    <w:rsid w:val="003B5BD2"/>
    <w:rsid w:val="003B6067"/>
    <w:rsid w:val="003B6AE2"/>
    <w:rsid w:val="003B6D2C"/>
    <w:rsid w:val="003B6F05"/>
    <w:rsid w:val="003B7662"/>
    <w:rsid w:val="003B79F7"/>
    <w:rsid w:val="003B7BAC"/>
    <w:rsid w:val="003C037C"/>
    <w:rsid w:val="003C08CD"/>
    <w:rsid w:val="003C0CAC"/>
    <w:rsid w:val="003C0E7A"/>
    <w:rsid w:val="003C11FA"/>
    <w:rsid w:val="003C17DB"/>
    <w:rsid w:val="003C19F2"/>
    <w:rsid w:val="003C26ED"/>
    <w:rsid w:val="003C283C"/>
    <w:rsid w:val="003C2A59"/>
    <w:rsid w:val="003C2EE2"/>
    <w:rsid w:val="003C335E"/>
    <w:rsid w:val="003C33C5"/>
    <w:rsid w:val="003C361C"/>
    <w:rsid w:val="003C3946"/>
    <w:rsid w:val="003C3C37"/>
    <w:rsid w:val="003C3D0F"/>
    <w:rsid w:val="003C3DCA"/>
    <w:rsid w:val="003C442E"/>
    <w:rsid w:val="003C44E8"/>
    <w:rsid w:val="003C451E"/>
    <w:rsid w:val="003C4757"/>
    <w:rsid w:val="003C483B"/>
    <w:rsid w:val="003C4C69"/>
    <w:rsid w:val="003C5085"/>
    <w:rsid w:val="003C50CD"/>
    <w:rsid w:val="003C54BF"/>
    <w:rsid w:val="003C55B1"/>
    <w:rsid w:val="003C580C"/>
    <w:rsid w:val="003C58AE"/>
    <w:rsid w:val="003C740C"/>
    <w:rsid w:val="003C79E0"/>
    <w:rsid w:val="003D0024"/>
    <w:rsid w:val="003D05F9"/>
    <w:rsid w:val="003D12A2"/>
    <w:rsid w:val="003D1ACE"/>
    <w:rsid w:val="003D1BF5"/>
    <w:rsid w:val="003D1EE5"/>
    <w:rsid w:val="003D2081"/>
    <w:rsid w:val="003D27D3"/>
    <w:rsid w:val="003D2CF2"/>
    <w:rsid w:val="003D2DB2"/>
    <w:rsid w:val="003D3796"/>
    <w:rsid w:val="003D3C5A"/>
    <w:rsid w:val="003D444A"/>
    <w:rsid w:val="003D466C"/>
    <w:rsid w:val="003D4D1E"/>
    <w:rsid w:val="003D50CE"/>
    <w:rsid w:val="003D5195"/>
    <w:rsid w:val="003D59A6"/>
    <w:rsid w:val="003D627F"/>
    <w:rsid w:val="003D6DBC"/>
    <w:rsid w:val="003E0098"/>
    <w:rsid w:val="003E024A"/>
    <w:rsid w:val="003E0292"/>
    <w:rsid w:val="003E02A2"/>
    <w:rsid w:val="003E187F"/>
    <w:rsid w:val="003E2615"/>
    <w:rsid w:val="003E2FC8"/>
    <w:rsid w:val="003E345C"/>
    <w:rsid w:val="003E3F31"/>
    <w:rsid w:val="003E44CA"/>
    <w:rsid w:val="003E49C2"/>
    <w:rsid w:val="003E4EA4"/>
    <w:rsid w:val="003E4FA8"/>
    <w:rsid w:val="003E58AC"/>
    <w:rsid w:val="003E59F0"/>
    <w:rsid w:val="003E5BA0"/>
    <w:rsid w:val="003E603D"/>
    <w:rsid w:val="003E6369"/>
    <w:rsid w:val="003E650C"/>
    <w:rsid w:val="003E6589"/>
    <w:rsid w:val="003E66A7"/>
    <w:rsid w:val="003E677D"/>
    <w:rsid w:val="003E683C"/>
    <w:rsid w:val="003E6A36"/>
    <w:rsid w:val="003E70D7"/>
    <w:rsid w:val="003E72BB"/>
    <w:rsid w:val="003E74C5"/>
    <w:rsid w:val="003E74E0"/>
    <w:rsid w:val="003E7C7D"/>
    <w:rsid w:val="003E7D52"/>
    <w:rsid w:val="003F0333"/>
    <w:rsid w:val="003F038B"/>
    <w:rsid w:val="003F05F8"/>
    <w:rsid w:val="003F1195"/>
    <w:rsid w:val="003F17D1"/>
    <w:rsid w:val="003F1E40"/>
    <w:rsid w:val="003F2088"/>
    <w:rsid w:val="003F2279"/>
    <w:rsid w:val="003F2582"/>
    <w:rsid w:val="003F260F"/>
    <w:rsid w:val="003F2A3A"/>
    <w:rsid w:val="003F2F5F"/>
    <w:rsid w:val="003F3148"/>
    <w:rsid w:val="003F352A"/>
    <w:rsid w:val="003F38AF"/>
    <w:rsid w:val="003F3C08"/>
    <w:rsid w:val="003F3CCC"/>
    <w:rsid w:val="003F40D5"/>
    <w:rsid w:val="003F42BC"/>
    <w:rsid w:val="003F465E"/>
    <w:rsid w:val="003F48EB"/>
    <w:rsid w:val="003F4BAE"/>
    <w:rsid w:val="003F4CD1"/>
    <w:rsid w:val="003F509C"/>
    <w:rsid w:val="003F5347"/>
    <w:rsid w:val="003F5705"/>
    <w:rsid w:val="003F5AC4"/>
    <w:rsid w:val="003F5B1A"/>
    <w:rsid w:val="003F5FB6"/>
    <w:rsid w:val="003F6375"/>
    <w:rsid w:val="003F6772"/>
    <w:rsid w:val="003F6B1F"/>
    <w:rsid w:val="003F7D52"/>
    <w:rsid w:val="0040017F"/>
    <w:rsid w:val="00400804"/>
    <w:rsid w:val="004009B9"/>
    <w:rsid w:val="00400AE6"/>
    <w:rsid w:val="00400C5C"/>
    <w:rsid w:val="004012DF"/>
    <w:rsid w:val="0040148B"/>
    <w:rsid w:val="00401CA1"/>
    <w:rsid w:val="00401DE2"/>
    <w:rsid w:val="00401EC2"/>
    <w:rsid w:val="00401FCB"/>
    <w:rsid w:val="00402D3B"/>
    <w:rsid w:val="004039AE"/>
    <w:rsid w:val="004040BE"/>
    <w:rsid w:val="004041CC"/>
    <w:rsid w:val="0040438C"/>
    <w:rsid w:val="00404427"/>
    <w:rsid w:val="00404666"/>
    <w:rsid w:val="00404E25"/>
    <w:rsid w:val="00404F34"/>
    <w:rsid w:val="00405171"/>
    <w:rsid w:val="0040539F"/>
    <w:rsid w:val="0040570C"/>
    <w:rsid w:val="00405946"/>
    <w:rsid w:val="00405A08"/>
    <w:rsid w:val="00405B5B"/>
    <w:rsid w:val="004061CE"/>
    <w:rsid w:val="00407197"/>
    <w:rsid w:val="0040749D"/>
    <w:rsid w:val="00407EB6"/>
    <w:rsid w:val="004102E2"/>
    <w:rsid w:val="00410698"/>
    <w:rsid w:val="004110D8"/>
    <w:rsid w:val="00411106"/>
    <w:rsid w:val="004111FA"/>
    <w:rsid w:val="00411280"/>
    <w:rsid w:val="004117EF"/>
    <w:rsid w:val="00411EC5"/>
    <w:rsid w:val="00412019"/>
    <w:rsid w:val="00412084"/>
    <w:rsid w:val="00412C1B"/>
    <w:rsid w:val="0041312A"/>
    <w:rsid w:val="00413151"/>
    <w:rsid w:val="0041328F"/>
    <w:rsid w:val="00413693"/>
    <w:rsid w:val="0041378E"/>
    <w:rsid w:val="00414FA2"/>
    <w:rsid w:val="0041530B"/>
    <w:rsid w:val="00415473"/>
    <w:rsid w:val="0041667D"/>
    <w:rsid w:val="00416A5B"/>
    <w:rsid w:val="00416B3F"/>
    <w:rsid w:val="00416F35"/>
    <w:rsid w:val="0041777E"/>
    <w:rsid w:val="004179FE"/>
    <w:rsid w:val="00417A40"/>
    <w:rsid w:val="00417F2E"/>
    <w:rsid w:val="004202F9"/>
    <w:rsid w:val="0042043E"/>
    <w:rsid w:val="004207FE"/>
    <w:rsid w:val="00420F17"/>
    <w:rsid w:val="00421286"/>
    <w:rsid w:val="004217F5"/>
    <w:rsid w:val="0042180B"/>
    <w:rsid w:val="004219B4"/>
    <w:rsid w:val="00421C7A"/>
    <w:rsid w:val="00421D38"/>
    <w:rsid w:val="00422010"/>
    <w:rsid w:val="0042253D"/>
    <w:rsid w:val="004236A4"/>
    <w:rsid w:val="004248D9"/>
    <w:rsid w:val="00424BDA"/>
    <w:rsid w:val="00424E53"/>
    <w:rsid w:val="00424EE1"/>
    <w:rsid w:val="00425EB4"/>
    <w:rsid w:val="00427054"/>
    <w:rsid w:val="00427811"/>
    <w:rsid w:val="00430D69"/>
    <w:rsid w:val="00430FE8"/>
    <w:rsid w:val="00431559"/>
    <w:rsid w:val="0043169E"/>
    <w:rsid w:val="004318E5"/>
    <w:rsid w:val="0043198F"/>
    <w:rsid w:val="00431F9A"/>
    <w:rsid w:val="004324A3"/>
    <w:rsid w:val="004326A6"/>
    <w:rsid w:val="00433EEB"/>
    <w:rsid w:val="00434458"/>
    <w:rsid w:val="0043486B"/>
    <w:rsid w:val="00434AFE"/>
    <w:rsid w:val="00435194"/>
    <w:rsid w:val="0043540A"/>
    <w:rsid w:val="00435560"/>
    <w:rsid w:val="00435610"/>
    <w:rsid w:val="004361EE"/>
    <w:rsid w:val="004368DE"/>
    <w:rsid w:val="00436AE4"/>
    <w:rsid w:val="0043781B"/>
    <w:rsid w:val="00440116"/>
    <w:rsid w:val="00440176"/>
    <w:rsid w:val="0044074C"/>
    <w:rsid w:val="00440EC1"/>
    <w:rsid w:val="00441084"/>
    <w:rsid w:val="00441629"/>
    <w:rsid w:val="00441740"/>
    <w:rsid w:val="0044180A"/>
    <w:rsid w:val="00443225"/>
    <w:rsid w:val="00443B42"/>
    <w:rsid w:val="004443F6"/>
    <w:rsid w:val="0044484B"/>
    <w:rsid w:val="00444A5F"/>
    <w:rsid w:val="00444C60"/>
    <w:rsid w:val="004454B2"/>
    <w:rsid w:val="00445F1E"/>
    <w:rsid w:val="004466F5"/>
    <w:rsid w:val="00446874"/>
    <w:rsid w:val="004506A7"/>
    <w:rsid w:val="0045098D"/>
    <w:rsid w:val="00450AD3"/>
    <w:rsid w:val="00450E9F"/>
    <w:rsid w:val="0045173D"/>
    <w:rsid w:val="0045182F"/>
    <w:rsid w:val="0045196A"/>
    <w:rsid w:val="004523CC"/>
    <w:rsid w:val="004524FC"/>
    <w:rsid w:val="00452559"/>
    <w:rsid w:val="00452D3C"/>
    <w:rsid w:val="0045343C"/>
    <w:rsid w:val="00453504"/>
    <w:rsid w:val="00453B58"/>
    <w:rsid w:val="0045470A"/>
    <w:rsid w:val="00454782"/>
    <w:rsid w:val="0045489A"/>
    <w:rsid w:val="00455DC7"/>
    <w:rsid w:val="00456348"/>
    <w:rsid w:val="00456A15"/>
    <w:rsid w:val="00456D73"/>
    <w:rsid w:val="004576B0"/>
    <w:rsid w:val="00457711"/>
    <w:rsid w:val="004577A1"/>
    <w:rsid w:val="00460260"/>
    <w:rsid w:val="00460F23"/>
    <w:rsid w:val="004619B8"/>
    <w:rsid w:val="00461C57"/>
    <w:rsid w:val="00461F7B"/>
    <w:rsid w:val="0046256F"/>
    <w:rsid w:val="004626F3"/>
    <w:rsid w:val="004628BC"/>
    <w:rsid w:val="00462993"/>
    <w:rsid w:val="00462E9F"/>
    <w:rsid w:val="0046418F"/>
    <w:rsid w:val="0046452F"/>
    <w:rsid w:val="00464625"/>
    <w:rsid w:val="00464654"/>
    <w:rsid w:val="00464869"/>
    <w:rsid w:val="00464E67"/>
    <w:rsid w:val="0046608F"/>
    <w:rsid w:val="00466233"/>
    <w:rsid w:val="00466326"/>
    <w:rsid w:val="00466666"/>
    <w:rsid w:val="00466BC5"/>
    <w:rsid w:val="00466D45"/>
    <w:rsid w:val="00466EEC"/>
    <w:rsid w:val="00467630"/>
    <w:rsid w:val="00467808"/>
    <w:rsid w:val="00467883"/>
    <w:rsid w:val="004679B4"/>
    <w:rsid w:val="00470C94"/>
    <w:rsid w:val="00470CEF"/>
    <w:rsid w:val="00470E19"/>
    <w:rsid w:val="00470E3A"/>
    <w:rsid w:val="0047134B"/>
    <w:rsid w:val="0047164B"/>
    <w:rsid w:val="00471962"/>
    <w:rsid w:val="00471BA4"/>
    <w:rsid w:val="00472082"/>
    <w:rsid w:val="004721F8"/>
    <w:rsid w:val="0047260C"/>
    <w:rsid w:val="004726E6"/>
    <w:rsid w:val="00473AF9"/>
    <w:rsid w:val="00474267"/>
    <w:rsid w:val="004745D7"/>
    <w:rsid w:val="00475496"/>
    <w:rsid w:val="00475594"/>
    <w:rsid w:val="0047688D"/>
    <w:rsid w:val="00477257"/>
    <w:rsid w:val="004776B7"/>
    <w:rsid w:val="004779FA"/>
    <w:rsid w:val="00477A75"/>
    <w:rsid w:val="00480054"/>
    <w:rsid w:val="004801D3"/>
    <w:rsid w:val="00480513"/>
    <w:rsid w:val="0048052C"/>
    <w:rsid w:val="0048097C"/>
    <w:rsid w:val="00481ED6"/>
    <w:rsid w:val="00482805"/>
    <w:rsid w:val="00482B33"/>
    <w:rsid w:val="00483AEA"/>
    <w:rsid w:val="00483D65"/>
    <w:rsid w:val="00484682"/>
    <w:rsid w:val="004857D6"/>
    <w:rsid w:val="00486270"/>
    <w:rsid w:val="004876FB"/>
    <w:rsid w:val="004878A1"/>
    <w:rsid w:val="00487A6B"/>
    <w:rsid w:val="00490243"/>
    <w:rsid w:val="004907A6"/>
    <w:rsid w:val="00491245"/>
    <w:rsid w:val="004919C1"/>
    <w:rsid w:val="00491A51"/>
    <w:rsid w:val="00491D70"/>
    <w:rsid w:val="0049287B"/>
    <w:rsid w:val="00492EB3"/>
    <w:rsid w:val="00493580"/>
    <w:rsid w:val="00493C1F"/>
    <w:rsid w:val="004940D5"/>
    <w:rsid w:val="004946D1"/>
    <w:rsid w:val="004949A1"/>
    <w:rsid w:val="00494C8E"/>
    <w:rsid w:val="004953E2"/>
    <w:rsid w:val="00495598"/>
    <w:rsid w:val="00495D81"/>
    <w:rsid w:val="00495F3E"/>
    <w:rsid w:val="004961CE"/>
    <w:rsid w:val="0049649D"/>
    <w:rsid w:val="0049656A"/>
    <w:rsid w:val="004966CD"/>
    <w:rsid w:val="004966CF"/>
    <w:rsid w:val="00496908"/>
    <w:rsid w:val="00496ABD"/>
    <w:rsid w:val="00496DF2"/>
    <w:rsid w:val="00496E6C"/>
    <w:rsid w:val="0049783A"/>
    <w:rsid w:val="00497B3F"/>
    <w:rsid w:val="00497C63"/>
    <w:rsid w:val="00497D22"/>
    <w:rsid w:val="004A035F"/>
    <w:rsid w:val="004A0A59"/>
    <w:rsid w:val="004A0D9C"/>
    <w:rsid w:val="004A1866"/>
    <w:rsid w:val="004A1F36"/>
    <w:rsid w:val="004A2085"/>
    <w:rsid w:val="004A215D"/>
    <w:rsid w:val="004A25D3"/>
    <w:rsid w:val="004A2B39"/>
    <w:rsid w:val="004A2EEE"/>
    <w:rsid w:val="004A3006"/>
    <w:rsid w:val="004A3A72"/>
    <w:rsid w:val="004A408A"/>
    <w:rsid w:val="004A46C8"/>
    <w:rsid w:val="004A482E"/>
    <w:rsid w:val="004A5084"/>
    <w:rsid w:val="004A5280"/>
    <w:rsid w:val="004A5AC1"/>
    <w:rsid w:val="004A5DAD"/>
    <w:rsid w:val="004A6179"/>
    <w:rsid w:val="004A69CC"/>
    <w:rsid w:val="004A6FF2"/>
    <w:rsid w:val="004A70B9"/>
    <w:rsid w:val="004A721B"/>
    <w:rsid w:val="004A762A"/>
    <w:rsid w:val="004A78F8"/>
    <w:rsid w:val="004A7DB2"/>
    <w:rsid w:val="004B0B03"/>
    <w:rsid w:val="004B0E0E"/>
    <w:rsid w:val="004B258C"/>
    <w:rsid w:val="004B25FA"/>
    <w:rsid w:val="004B2848"/>
    <w:rsid w:val="004B3342"/>
    <w:rsid w:val="004B35D2"/>
    <w:rsid w:val="004B377A"/>
    <w:rsid w:val="004B3C46"/>
    <w:rsid w:val="004B412D"/>
    <w:rsid w:val="004B42F7"/>
    <w:rsid w:val="004B4314"/>
    <w:rsid w:val="004B4CB0"/>
    <w:rsid w:val="004B4FEE"/>
    <w:rsid w:val="004B50AA"/>
    <w:rsid w:val="004B5765"/>
    <w:rsid w:val="004B5B27"/>
    <w:rsid w:val="004B6275"/>
    <w:rsid w:val="004B63E3"/>
    <w:rsid w:val="004B6424"/>
    <w:rsid w:val="004B64AD"/>
    <w:rsid w:val="004B6686"/>
    <w:rsid w:val="004B6809"/>
    <w:rsid w:val="004B69EA"/>
    <w:rsid w:val="004B6D35"/>
    <w:rsid w:val="004B77C8"/>
    <w:rsid w:val="004B7F55"/>
    <w:rsid w:val="004C060E"/>
    <w:rsid w:val="004C071A"/>
    <w:rsid w:val="004C0E2D"/>
    <w:rsid w:val="004C0ECD"/>
    <w:rsid w:val="004C10F7"/>
    <w:rsid w:val="004C1803"/>
    <w:rsid w:val="004C1937"/>
    <w:rsid w:val="004C1B4D"/>
    <w:rsid w:val="004C1C0B"/>
    <w:rsid w:val="004C2007"/>
    <w:rsid w:val="004C24D0"/>
    <w:rsid w:val="004C2FD2"/>
    <w:rsid w:val="004C37EF"/>
    <w:rsid w:val="004C3949"/>
    <w:rsid w:val="004C3C90"/>
    <w:rsid w:val="004C3CCE"/>
    <w:rsid w:val="004C3DD3"/>
    <w:rsid w:val="004C3ED1"/>
    <w:rsid w:val="004C40DB"/>
    <w:rsid w:val="004C475B"/>
    <w:rsid w:val="004C5461"/>
    <w:rsid w:val="004C6A94"/>
    <w:rsid w:val="004C6BEB"/>
    <w:rsid w:val="004C6D1F"/>
    <w:rsid w:val="004C6D77"/>
    <w:rsid w:val="004C6DD4"/>
    <w:rsid w:val="004C6DEF"/>
    <w:rsid w:val="004C744A"/>
    <w:rsid w:val="004C75C6"/>
    <w:rsid w:val="004D0FF9"/>
    <w:rsid w:val="004D2194"/>
    <w:rsid w:val="004D2311"/>
    <w:rsid w:val="004D2849"/>
    <w:rsid w:val="004D28B6"/>
    <w:rsid w:val="004D2F6C"/>
    <w:rsid w:val="004D37FD"/>
    <w:rsid w:val="004D3A04"/>
    <w:rsid w:val="004D3E61"/>
    <w:rsid w:val="004D4B97"/>
    <w:rsid w:val="004D6051"/>
    <w:rsid w:val="004D63F3"/>
    <w:rsid w:val="004D6629"/>
    <w:rsid w:val="004D66D7"/>
    <w:rsid w:val="004D7448"/>
    <w:rsid w:val="004D74B3"/>
    <w:rsid w:val="004D789C"/>
    <w:rsid w:val="004D78D7"/>
    <w:rsid w:val="004D7C7F"/>
    <w:rsid w:val="004E040C"/>
    <w:rsid w:val="004E0AF6"/>
    <w:rsid w:val="004E0C5C"/>
    <w:rsid w:val="004E13C4"/>
    <w:rsid w:val="004E1924"/>
    <w:rsid w:val="004E1DAD"/>
    <w:rsid w:val="004E1DCE"/>
    <w:rsid w:val="004E1EBD"/>
    <w:rsid w:val="004E2CFE"/>
    <w:rsid w:val="004E391A"/>
    <w:rsid w:val="004E397A"/>
    <w:rsid w:val="004E3A11"/>
    <w:rsid w:val="004E4361"/>
    <w:rsid w:val="004E5318"/>
    <w:rsid w:val="004E542A"/>
    <w:rsid w:val="004E56E2"/>
    <w:rsid w:val="004E6A18"/>
    <w:rsid w:val="004E6AFA"/>
    <w:rsid w:val="004E6F86"/>
    <w:rsid w:val="004F0556"/>
    <w:rsid w:val="004F05F3"/>
    <w:rsid w:val="004F0617"/>
    <w:rsid w:val="004F0B65"/>
    <w:rsid w:val="004F1076"/>
    <w:rsid w:val="004F1083"/>
    <w:rsid w:val="004F165A"/>
    <w:rsid w:val="004F1850"/>
    <w:rsid w:val="004F1931"/>
    <w:rsid w:val="004F1ED3"/>
    <w:rsid w:val="004F2920"/>
    <w:rsid w:val="004F2CFA"/>
    <w:rsid w:val="004F2D45"/>
    <w:rsid w:val="004F2D68"/>
    <w:rsid w:val="004F3061"/>
    <w:rsid w:val="004F30EE"/>
    <w:rsid w:val="004F3445"/>
    <w:rsid w:val="004F34BF"/>
    <w:rsid w:val="004F3DE5"/>
    <w:rsid w:val="004F4876"/>
    <w:rsid w:val="004F4E59"/>
    <w:rsid w:val="004F50B0"/>
    <w:rsid w:val="004F50C6"/>
    <w:rsid w:val="004F550E"/>
    <w:rsid w:val="004F55C2"/>
    <w:rsid w:val="004F6040"/>
    <w:rsid w:val="004F66B8"/>
    <w:rsid w:val="004F68E1"/>
    <w:rsid w:val="004F6AF1"/>
    <w:rsid w:val="004F7D5F"/>
    <w:rsid w:val="004F7ED1"/>
    <w:rsid w:val="00500871"/>
    <w:rsid w:val="0050089D"/>
    <w:rsid w:val="005008D5"/>
    <w:rsid w:val="005009CE"/>
    <w:rsid w:val="00501049"/>
    <w:rsid w:val="00501261"/>
    <w:rsid w:val="00501341"/>
    <w:rsid w:val="0050174F"/>
    <w:rsid w:val="00501945"/>
    <w:rsid w:val="00501B6A"/>
    <w:rsid w:val="00501B84"/>
    <w:rsid w:val="00502498"/>
    <w:rsid w:val="0050272E"/>
    <w:rsid w:val="00502896"/>
    <w:rsid w:val="00503093"/>
    <w:rsid w:val="005031AE"/>
    <w:rsid w:val="00503477"/>
    <w:rsid w:val="00503837"/>
    <w:rsid w:val="00503CF5"/>
    <w:rsid w:val="005041DF"/>
    <w:rsid w:val="005043D6"/>
    <w:rsid w:val="0050468A"/>
    <w:rsid w:val="005047B1"/>
    <w:rsid w:val="00504833"/>
    <w:rsid w:val="00505457"/>
    <w:rsid w:val="00505795"/>
    <w:rsid w:val="00505B9A"/>
    <w:rsid w:val="00505C30"/>
    <w:rsid w:val="00505E09"/>
    <w:rsid w:val="00506046"/>
    <w:rsid w:val="00506119"/>
    <w:rsid w:val="005061AC"/>
    <w:rsid w:val="005064EE"/>
    <w:rsid w:val="0050690A"/>
    <w:rsid w:val="00507B4C"/>
    <w:rsid w:val="00507C5D"/>
    <w:rsid w:val="00507E25"/>
    <w:rsid w:val="00510928"/>
    <w:rsid w:val="00510E0E"/>
    <w:rsid w:val="00512410"/>
    <w:rsid w:val="00512C06"/>
    <w:rsid w:val="00512CEF"/>
    <w:rsid w:val="00513C52"/>
    <w:rsid w:val="0051408A"/>
    <w:rsid w:val="005148EE"/>
    <w:rsid w:val="00514941"/>
    <w:rsid w:val="00515083"/>
    <w:rsid w:val="0051521F"/>
    <w:rsid w:val="00515C09"/>
    <w:rsid w:val="00515C3B"/>
    <w:rsid w:val="00515E82"/>
    <w:rsid w:val="005168C0"/>
    <w:rsid w:val="00517B0E"/>
    <w:rsid w:val="00517C70"/>
    <w:rsid w:val="00520058"/>
    <w:rsid w:val="0052028A"/>
    <w:rsid w:val="00520905"/>
    <w:rsid w:val="00520D1D"/>
    <w:rsid w:val="00521005"/>
    <w:rsid w:val="0052101A"/>
    <w:rsid w:val="00521109"/>
    <w:rsid w:val="00521125"/>
    <w:rsid w:val="00521558"/>
    <w:rsid w:val="005217B6"/>
    <w:rsid w:val="0052211F"/>
    <w:rsid w:val="00522394"/>
    <w:rsid w:val="00522803"/>
    <w:rsid w:val="00522D2B"/>
    <w:rsid w:val="0052440D"/>
    <w:rsid w:val="0052477F"/>
    <w:rsid w:val="00525273"/>
    <w:rsid w:val="005253E7"/>
    <w:rsid w:val="00525574"/>
    <w:rsid w:val="005255E0"/>
    <w:rsid w:val="00526076"/>
    <w:rsid w:val="00526245"/>
    <w:rsid w:val="0052638D"/>
    <w:rsid w:val="005273A4"/>
    <w:rsid w:val="00530241"/>
    <w:rsid w:val="005308DD"/>
    <w:rsid w:val="00530E1C"/>
    <w:rsid w:val="0053115D"/>
    <w:rsid w:val="00531634"/>
    <w:rsid w:val="005325C2"/>
    <w:rsid w:val="005328CB"/>
    <w:rsid w:val="00532D8B"/>
    <w:rsid w:val="00532DCB"/>
    <w:rsid w:val="0053368A"/>
    <w:rsid w:val="00533760"/>
    <w:rsid w:val="005338CD"/>
    <w:rsid w:val="00533A19"/>
    <w:rsid w:val="00534471"/>
    <w:rsid w:val="005348DC"/>
    <w:rsid w:val="00534AEF"/>
    <w:rsid w:val="00534D25"/>
    <w:rsid w:val="0053554C"/>
    <w:rsid w:val="00535E7C"/>
    <w:rsid w:val="00536137"/>
    <w:rsid w:val="005362E6"/>
    <w:rsid w:val="0053646C"/>
    <w:rsid w:val="005365B8"/>
    <w:rsid w:val="00536738"/>
    <w:rsid w:val="0053675D"/>
    <w:rsid w:val="00536B1C"/>
    <w:rsid w:val="00536DA1"/>
    <w:rsid w:val="0053731F"/>
    <w:rsid w:val="00537692"/>
    <w:rsid w:val="0053784C"/>
    <w:rsid w:val="00541322"/>
    <w:rsid w:val="00542489"/>
    <w:rsid w:val="0054283A"/>
    <w:rsid w:val="005429E6"/>
    <w:rsid w:val="00542BF5"/>
    <w:rsid w:val="00542D5C"/>
    <w:rsid w:val="00542ED8"/>
    <w:rsid w:val="0054347B"/>
    <w:rsid w:val="005434FA"/>
    <w:rsid w:val="0054369D"/>
    <w:rsid w:val="00543930"/>
    <w:rsid w:val="00544C6A"/>
    <w:rsid w:val="00545C58"/>
    <w:rsid w:val="00545CD0"/>
    <w:rsid w:val="005465DD"/>
    <w:rsid w:val="00546A76"/>
    <w:rsid w:val="00546F36"/>
    <w:rsid w:val="00546FE3"/>
    <w:rsid w:val="005473F6"/>
    <w:rsid w:val="005474AB"/>
    <w:rsid w:val="0054782D"/>
    <w:rsid w:val="00547D69"/>
    <w:rsid w:val="005501BA"/>
    <w:rsid w:val="005506E6"/>
    <w:rsid w:val="005513F1"/>
    <w:rsid w:val="00551AB3"/>
    <w:rsid w:val="00551DB2"/>
    <w:rsid w:val="00552176"/>
    <w:rsid w:val="00552225"/>
    <w:rsid w:val="00553038"/>
    <w:rsid w:val="0055317D"/>
    <w:rsid w:val="0055417B"/>
    <w:rsid w:val="0055459B"/>
    <w:rsid w:val="0055469F"/>
    <w:rsid w:val="00554AD4"/>
    <w:rsid w:val="005553CC"/>
    <w:rsid w:val="00555F9C"/>
    <w:rsid w:val="00555F9F"/>
    <w:rsid w:val="00556AA3"/>
    <w:rsid w:val="00557587"/>
    <w:rsid w:val="00557A4C"/>
    <w:rsid w:val="00557AF5"/>
    <w:rsid w:val="00557D33"/>
    <w:rsid w:val="00557FA6"/>
    <w:rsid w:val="005605E9"/>
    <w:rsid w:val="00560A71"/>
    <w:rsid w:val="005615A3"/>
    <w:rsid w:val="005615EC"/>
    <w:rsid w:val="00561C0D"/>
    <w:rsid w:val="00561CAB"/>
    <w:rsid w:val="005623A0"/>
    <w:rsid w:val="005625CC"/>
    <w:rsid w:val="00562D11"/>
    <w:rsid w:val="005634BD"/>
    <w:rsid w:val="005634D4"/>
    <w:rsid w:val="005634EF"/>
    <w:rsid w:val="005634F5"/>
    <w:rsid w:val="005638FB"/>
    <w:rsid w:val="00564A13"/>
    <w:rsid w:val="00564EF9"/>
    <w:rsid w:val="00565527"/>
    <w:rsid w:val="00565D92"/>
    <w:rsid w:val="00566206"/>
    <w:rsid w:val="0056646E"/>
    <w:rsid w:val="00566882"/>
    <w:rsid w:val="005669AB"/>
    <w:rsid w:val="00567006"/>
    <w:rsid w:val="00567053"/>
    <w:rsid w:val="005673CB"/>
    <w:rsid w:val="00567CE8"/>
    <w:rsid w:val="00567D4F"/>
    <w:rsid w:val="00570188"/>
    <w:rsid w:val="005706B5"/>
    <w:rsid w:val="00570BF1"/>
    <w:rsid w:val="00570D30"/>
    <w:rsid w:val="005711B4"/>
    <w:rsid w:val="005714AC"/>
    <w:rsid w:val="005714C3"/>
    <w:rsid w:val="00571BAA"/>
    <w:rsid w:val="00572127"/>
    <w:rsid w:val="005721C3"/>
    <w:rsid w:val="0057240A"/>
    <w:rsid w:val="00572634"/>
    <w:rsid w:val="00572A80"/>
    <w:rsid w:val="00572E59"/>
    <w:rsid w:val="00572E64"/>
    <w:rsid w:val="00573787"/>
    <w:rsid w:val="00573F60"/>
    <w:rsid w:val="005746EB"/>
    <w:rsid w:val="005747EC"/>
    <w:rsid w:val="00574980"/>
    <w:rsid w:val="0057500F"/>
    <w:rsid w:val="005751C8"/>
    <w:rsid w:val="005759E6"/>
    <w:rsid w:val="00575ED8"/>
    <w:rsid w:val="005763B1"/>
    <w:rsid w:val="0057674B"/>
    <w:rsid w:val="00576FA2"/>
    <w:rsid w:val="005772AC"/>
    <w:rsid w:val="0057770B"/>
    <w:rsid w:val="005778E2"/>
    <w:rsid w:val="00577AD2"/>
    <w:rsid w:val="00577D0E"/>
    <w:rsid w:val="005804BD"/>
    <w:rsid w:val="0058053C"/>
    <w:rsid w:val="00580642"/>
    <w:rsid w:val="00580839"/>
    <w:rsid w:val="0058084D"/>
    <w:rsid w:val="0058088A"/>
    <w:rsid w:val="0058098C"/>
    <w:rsid w:val="00580DDE"/>
    <w:rsid w:val="00580F34"/>
    <w:rsid w:val="0058148C"/>
    <w:rsid w:val="005816DF"/>
    <w:rsid w:val="00581947"/>
    <w:rsid w:val="00581D0B"/>
    <w:rsid w:val="005824AB"/>
    <w:rsid w:val="005828DC"/>
    <w:rsid w:val="00582E6E"/>
    <w:rsid w:val="00583A37"/>
    <w:rsid w:val="00583D75"/>
    <w:rsid w:val="005842FD"/>
    <w:rsid w:val="0058656B"/>
    <w:rsid w:val="00586E00"/>
    <w:rsid w:val="00587C98"/>
    <w:rsid w:val="00590009"/>
    <w:rsid w:val="00590178"/>
    <w:rsid w:val="005901B5"/>
    <w:rsid w:val="00591149"/>
    <w:rsid w:val="00591461"/>
    <w:rsid w:val="00591537"/>
    <w:rsid w:val="00592283"/>
    <w:rsid w:val="0059276C"/>
    <w:rsid w:val="00592DE5"/>
    <w:rsid w:val="005940C2"/>
    <w:rsid w:val="005941EA"/>
    <w:rsid w:val="00594A9F"/>
    <w:rsid w:val="00595220"/>
    <w:rsid w:val="00596F9A"/>
    <w:rsid w:val="005974AA"/>
    <w:rsid w:val="005976B0"/>
    <w:rsid w:val="00597854"/>
    <w:rsid w:val="00597E98"/>
    <w:rsid w:val="005A02B1"/>
    <w:rsid w:val="005A02BC"/>
    <w:rsid w:val="005A071A"/>
    <w:rsid w:val="005A0AB0"/>
    <w:rsid w:val="005A147F"/>
    <w:rsid w:val="005A1E23"/>
    <w:rsid w:val="005A1F2E"/>
    <w:rsid w:val="005A2082"/>
    <w:rsid w:val="005A2253"/>
    <w:rsid w:val="005A295A"/>
    <w:rsid w:val="005A3275"/>
    <w:rsid w:val="005A328A"/>
    <w:rsid w:val="005A328D"/>
    <w:rsid w:val="005A3834"/>
    <w:rsid w:val="005A3837"/>
    <w:rsid w:val="005A3B26"/>
    <w:rsid w:val="005A3E1F"/>
    <w:rsid w:val="005A3F1C"/>
    <w:rsid w:val="005A4396"/>
    <w:rsid w:val="005A458B"/>
    <w:rsid w:val="005A480E"/>
    <w:rsid w:val="005A49D1"/>
    <w:rsid w:val="005A4ABA"/>
    <w:rsid w:val="005A4CC5"/>
    <w:rsid w:val="005A4DAB"/>
    <w:rsid w:val="005A57F6"/>
    <w:rsid w:val="005A5FBD"/>
    <w:rsid w:val="005A61F0"/>
    <w:rsid w:val="005A62BD"/>
    <w:rsid w:val="005A6CA1"/>
    <w:rsid w:val="005A6FBC"/>
    <w:rsid w:val="005A7398"/>
    <w:rsid w:val="005A7475"/>
    <w:rsid w:val="005A76E4"/>
    <w:rsid w:val="005A77C0"/>
    <w:rsid w:val="005A79B0"/>
    <w:rsid w:val="005A7A6C"/>
    <w:rsid w:val="005B0061"/>
    <w:rsid w:val="005B03E6"/>
    <w:rsid w:val="005B0C09"/>
    <w:rsid w:val="005B1468"/>
    <w:rsid w:val="005B160D"/>
    <w:rsid w:val="005B2920"/>
    <w:rsid w:val="005B29E1"/>
    <w:rsid w:val="005B2A16"/>
    <w:rsid w:val="005B2B02"/>
    <w:rsid w:val="005B3252"/>
    <w:rsid w:val="005B3943"/>
    <w:rsid w:val="005B3A45"/>
    <w:rsid w:val="005B435E"/>
    <w:rsid w:val="005B45CA"/>
    <w:rsid w:val="005B46CE"/>
    <w:rsid w:val="005B4F3D"/>
    <w:rsid w:val="005B536A"/>
    <w:rsid w:val="005B5523"/>
    <w:rsid w:val="005B5C79"/>
    <w:rsid w:val="005B5D9A"/>
    <w:rsid w:val="005B6942"/>
    <w:rsid w:val="005B6952"/>
    <w:rsid w:val="005B6B3B"/>
    <w:rsid w:val="005B6D52"/>
    <w:rsid w:val="005B6E45"/>
    <w:rsid w:val="005B78EB"/>
    <w:rsid w:val="005B7CB8"/>
    <w:rsid w:val="005C08DE"/>
    <w:rsid w:val="005C09C7"/>
    <w:rsid w:val="005C0CAD"/>
    <w:rsid w:val="005C107F"/>
    <w:rsid w:val="005C1553"/>
    <w:rsid w:val="005C1591"/>
    <w:rsid w:val="005C1E58"/>
    <w:rsid w:val="005C1F92"/>
    <w:rsid w:val="005C2047"/>
    <w:rsid w:val="005C26EF"/>
    <w:rsid w:val="005C2B4A"/>
    <w:rsid w:val="005C2D7A"/>
    <w:rsid w:val="005C2DD9"/>
    <w:rsid w:val="005C381D"/>
    <w:rsid w:val="005C3998"/>
    <w:rsid w:val="005C3C3A"/>
    <w:rsid w:val="005C3C86"/>
    <w:rsid w:val="005C4292"/>
    <w:rsid w:val="005C42F1"/>
    <w:rsid w:val="005C4C22"/>
    <w:rsid w:val="005C4CFC"/>
    <w:rsid w:val="005C5335"/>
    <w:rsid w:val="005C53EB"/>
    <w:rsid w:val="005C54B4"/>
    <w:rsid w:val="005C5BDF"/>
    <w:rsid w:val="005C5E88"/>
    <w:rsid w:val="005C6676"/>
    <w:rsid w:val="005C6F0C"/>
    <w:rsid w:val="005C73FA"/>
    <w:rsid w:val="005C74FB"/>
    <w:rsid w:val="005C7538"/>
    <w:rsid w:val="005C76FF"/>
    <w:rsid w:val="005C799D"/>
    <w:rsid w:val="005D0664"/>
    <w:rsid w:val="005D0925"/>
    <w:rsid w:val="005D1D0C"/>
    <w:rsid w:val="005D2289"/>
    <w:rsid w:val="005D37E3"/>
    <w:rsid w:val="005D3B43"/>
    <w:rsid w:val="005D3BBF"/>
    <w:rsid w:val="005D4012"/>
    <w:rsid w:val="005D44C9"/>
    <w:rsid w:val="005D46B8"/>
    <w:rsid w:val="005D4730"/>
    <w:rsid w:val="005D4D62"/>
    <w:rsid w:val="005D4F9A"/>
    <w:rsid w:val="005D55CD"/>
    <w:rsid w:val="005D5C94"/>
    <w:rsid w:val="005D61A6"/>
    <w:rsid w:val="005D620E"/>
    <w:rsid w:val="005D624E"/>
    <w:rsid w:val="005D66E1"/>
    <w:rsid w:val="005D6860"/>
    <w:rsid w:val="005D6C9C"/>
    <w:rsid w:val="005E0C43"/>
    <w:rsid w:val="005E13DD"/>
    <w:rsid w:val="005E1658"/>
    <w:rsid w:val="005E1989"/>
    <w:rsid w:val="005E1B3C"/>
    <w:rsid w:val="005E2190"/>
    <w:rsid w:val="005E248D"/>
    <w:rsid w:val="005E2A81"/>
    <w:rsid w:val="005E2B7B"/>
    <w:rsid w:val="005E30F4"/>
    <w:rsid w:val="005E33D7"/>
    <w:rsid w:val="005E3410"/>
    <w:rsid w:val="005E38E4"/>
    <w:rsid w:val="005E406E"/>
    <w:rsid w:val="005E408F"/>
    <w:rsid w:val="005E46A7"/>
    <w:rsid w:val="005E5444"/>
    <w:rsid w:val="005E55E3"/>
    <w:rsid w:val="005E5E70"/>
    <w:rsid w:val="005E62E1"/>
    <w:rsid w:val="005E63F8"/>
    <w:rsid w:val="005E64BE"/>
    <w:rsid w:val="005E6678"/>
    <w:rsid w:val="005E6AB8"/>
    <w:rsid w:val="005E705B"/>
    <w:rsid w:val="005E7A58"/>
    <w:rsid w:val="005E7CDD"/>
    <w:rsid w:val="005E7F3C"/>
    <w:rsid w:val="005F1100"/>
    <w:rsid w:val="005F172F"/>
    <w:rsid w:val="005F1ACA"/>
    <w:rsid w:val="005F1DF3"/>
    <w:rsid w:val="005F2B1B"/>
    <w:rsid w:val="005F2DAC"/>
    <w:rsid w:val="005F321B"/>
    <w:rsid w:val="005F32CA"/>
    <w:rsid w:val="005F3445"/>
    <w:rsid w:val="005F47C2"/>
    <w:rsid w:val="005F489F"/>
    <w:rsid w:val="005F4943"/>
    <w:rsid w:val="005F49D2"/>
    <w:rsid w:val="005F56EB"/>
    <w:rsid w:val="005F5786"/>
    <w:rsid w:val="005F5A59"/>
    <w:rsid w:val="005F5EC3"/>
    <w:rsid w:val="005F5F30"/>
    <w:rsid w:val="005F612E"/>
    <w:rsid w:val="005F6C02"/>
    <w:rsid w:val="005F7132"/>
    <w:rsid w:val="005F722A"/>
    <w:rsid w:val="005F7F55"/>
    <w:rsid w:val="005F7FAD"/>
    <w:rsid w:val="006004C6"/>
    <w:rsid w:val="0060083F"/>
    <w:rsid w:val="00601549"/>
    <w:rsid w:val="00601649"/>
    <w:rsid w:val="006017EE"/>
    <w:rsid w:val="006019A3"/>
    <w:rsid w:val="006020E8"/>
    <w:rsid w:val="00602113"/>
    <w:rsid w:val="006023AC"/>
    <w:rsid w:val="00602645"/>
    <w:rsid w:val="006026FE"/>
    <w:rsid w:val="006027ED"/>
    <w:rsid w:val="00602A17"/>
    <w:rsid w:val="006033CD"/>
    <w:rsid w:val="00603E87"/>
    <w:rsid w:val="006041DA"/>
    <w:rsid w:val="00604773"/>
    <w:rsid w:val="0060492D"/>
    <w:rsid w:val="00605294"/>
    <w:rsid w:val="0060556B"/>
    <w:rsid w:val="006057EA"/>
    <w:rsid w:val="00605B98"/>
    <w:rsid w:val="00606FA1"/>
    <w:rsid w:val="0060741C"/>
    <w:rsid w:val="00610616"/>
    <w:rsid w:val="00610913"/>
    <w:rsid w:val="006110CE"/>
    <w:rsid w:val="006111AC"/>
    <w:rsid w:val="00611279"/>
    <w:rsid w:val="006116E4"/>
    <w:rsid w:val="00611BDC"/>
    <w:rsid w:val="006123CA"/>
    <w:rsid w:val="006126E4"/>
    <w:rsid w:val="00612835"/>
    <w:rsid w:val="006130F3"/>
    <w:rsid w:val="006131C5"/>
    <w:rsid w:val="00613E9D"/>
    <w:rsid w:val="0061400E"/>
    <w:rsid w:val="00614D1F"/>
    <w:rsid w:val="00614FBC"/>
    <w:rsid w:val="00615022"/>
    <w:rsid w:val="00615369"/>
    <w:rsid w:val="0061564E"/>
    <w:rsid w:val="00615796"/>
    <w:rsid w:val="00615946"/>
    <w:rsid w:val="006163A5"/>
    <w:rsid w:val="00616BDD"/>
    <w:rsid w:val="00616F6D"/>
    <w:rsid w:val="00620184"/>
    <w:rsid w:val="00620223"/>
    <w:rsid w:val="0062076D"/>
    <w:rsid w:val="00620B96"/>
    <w:rsid w:val="00620C5C"/>
    <w:rsid w:val="00620EC5"/>
    <w:rsid w:val="00621079"/>
    <w:rsid w:val="0062141A"/>
    <w:rsid w:val="0062153B"/>
    <w:rsid w:val="0062159C"/>
    <w:rsid w:val="00621625"/>
    <w:rsid w:val="00621A3F"/>
    <w:rsid w:val="00622BDC"/>
    <w:rsid w:val="00622EE7"/>
    <w:rsid w:val="00623C36"/>
    <w:rsid w:val="0062419B"/>
    <w:rsid w:val="006242D4"/>
    <w:rsid w:val="00624772"/>
    <w:rsid w:val="00624960"/>
    <w:rsid w:val="00624F37"/>
    <w:rsid w:val="00624F78"/>
    <w:rsid w:val="006250CB"/>
    <w:rsid w:val="00625DBB"/>
    <w:rsid w:val="006263A2"/>
    <w:rsid w:val="00626ECE"/>
    <w:rsid w:val="00627054"/>
    <w:rsid w:val="006276E9"/>
    <w:rsid w:val="006278B3"/>
    <w:rsid w:val="00627BB9"/>
    <w:rsid w:val="00627E76"/>
    <w:rsid w:val="00627FF2"/>
    <w:rsid w:val="006302F3"/>
    <w:rsid w:val="00630AE8"/>
    <w:rsid w:val="00630CA0"/>
    <w:rsid w:val="006313A7"/>
    <w:rsid w:val="00631DA8"/>
    <w:rsid w:val="00631F96"/>
    <w:rsid w:val="00632138"/>
    <w:rsid w:val="006321AC"/>
    <w:rsid w:val="006324FB"/>
    <w:rsid w:val="00632653"/>
    <w:rsid w:val="006328D5"/>
    <w:rsid w:val="006332C7"/>
    <w:rsid w:val="00633945"/>
    <w:rsid w:val="00633C2F"/>
    <w:rsid w:val="00634A8F"/>
    <w:rsid w:val="0063558C"/>
    <w:rsid w:val="006357D8"/>
    <w:rsid w:val="00635AB0"/>
    <w:rsid w:val="006361CE"/>
    <w:rsid w:val="0063627D"/>
    <w:rsid w:val="0063644C"/>
    <w:rsid w:val="00636C2E"/>
    <w:rsid w:val="00636D88"/>
    <w:rsid w:val="00637156"/>
    <w:rsid w:val="006374FE"/>
    <w:rsid w:val="00640447"/>
    <w:rsid w:val="00640DE9"/>
    <w:rsid w:val="00641055"/>
    <w:rsid w:val="00641DB4"/>
    <w:rsid w:val="00643DDD"/>
    <w:rsid w:val="00644F01"/>
    <w:rsid w:val="00645078"/>
    <w:rsid w:val="006458B9"/>
    <w:rsid w:val="006467B2"/>
    <w:rsid w:val="00646828"/>
    <w:rsid w:val="0064715B"/>
    <w:rsid w:val="00647B0A"/>
    <w:rsid w:val="00647CD5"/>
    <w:rsid w:val="0065003A"/>
    <w:rsid w:val="00650417"/>
    <w:rsid w:val="00650537"/>
    <w:rsid w:val="0065089D"/>
    <w:rsid w:val="0065130C"/>
    <w:rsid w:val="00651411"/>
    <w:rsid w:val="00651DA8"/>
    <w:rsid w:val="00652649"/>
    <w:rsid w:val="006527FB"/>
    <w:rsid w:val="00652A1E"/>
    <w:rsid w:val="00652BF8"/>
    <w:rsid w:val="006539F3"/>
    <w:rsid w:val="00653F7F"/>
    <w:rsid w:val="0065407F"/>
    <w:rsid w:val="006543E4"/>
    <w:rsid w:val="00654660"/>
    <w:rsid w:val="006556D8"/>
    <w:rsid w:val="00656125"/>
    <w:rsid w:val="00656384"/>
    <w:rsid w:val="006564E6"/>
    <w:rsid w:val="00657D81"/>
    <w:rsid w:val="00660191"/>
    <w:rsid w:val="00660485"/>
    <w:rsid w:val="0066049E"/>
    <w:rsid w:val="00661868"/>
    <w:rsid w:val="00661A0F"/>
    <w:rsid w:val="00661B4E"/>
    <w:rsid w:val="00661EA8"/>
    <w:rsid w:val="00662298"/>
    <w:rsid w:val="006626A5"/>
    <w:rsid w:val="00662B20"/>
    <w:rsid w:val="00663495"/>
    <w:rsid w:val="006634C4"/>
    <w:rsid w:val="0066367C"/>
    <w:rsid w:val="006641CD"/>
    <w:rsid w:val="006644E0"/>
    <w:rsid w:val="00664A1B"/>
    <w:rsid w:val="00664ABB"/>
    <w:rsid w:val="00664C1A"/>
    <w:rsid w:val="00665028"/>
    <w:rsid w:val="00665D22"/>
    <w:rsid w:val="006662CA"/>
    <w:rsid w:val="00666687"/>
    <w:rsid w:val="00666A18"/>
    <w:rsid w:val="00666A9D"/>
    <w:rsid w:val="006672E4"/>
    <w:rsid w:val="00667733"/>
    <w:rsid w:val="00667978"/>
    <w:rsid w:val="006709D6"/>
    <w:rsid w:val="00670A8E"/>
    <w:rsid w:val="00670D0C"/>
    <w:rsid w:val="00671301"/>
    <w:rsid w:val="00671506"/>
    <w:rsid w:val="00671816"/>
    <w:rsid w:val="00671E1A"/>
    <w:rsid w:val="006726B3"/>
    <w:rsid w:val="006727CD"/>
    <w:rsid w:val="006733A0"/>
    <w:rsid w:val="006738EF"/>
    <w:rsid w:val="00673F4A"/>
    <w:rsid w:val="006746E7"/>
    <w:rsid w:val="00674803"/>
    <w:rsid w:val="0067499C"/>
    <w:rsid w:val="00675949"/>
    <w:rsid w:val="0067594A"/>
    <w:rsid w:val="00676679"/>
    <w:rsid w:val="00676BE6"/>
    <w:rsid w:val="00676C85"/>
    <w:rsid w:val="0067733C"/>
    <w:rsid w:val="00677406"/>
    <w:rsid w:val="00677483"/>
    <w:rsid w:val="00677BB4"/>
    <w:rsid w:val="00677D64"/>
    <w:rsid w:val="006800EB"/>
    <w:rsid w:val="0068138A"/>
    <w:rsid w:val="00682458"/>
    <w:rsid w:val="00682705"/>
    <w:rsid w:val="00682859"/>
    <w:rsid w:val="00682EA5"/>
    <w:rsid w:val="00683824"/>
    <w:rsid w:val="00683DE3"/>
    <w:rsid w:val="00684242"/>
    <w:rsid w:val="0068441D"/>
    <w:rsid w:val="00684B2E"/>
    <w:rsid w:val="00684C8E"/>
    <w:rsid w:val="00684EE7"/>
    <w:rsid w:val="00684F4D"/>
    <w:rsid w:val="0068558E"/>
    <w:rsid w:val="00685674"/>
    <w:rsid w:val="006859FD"/>
    <w:rsid w:val="00685AF4"/>
    <w:rsid w:val="00686A82"/>
    <w:rsid w:val="00686EFD"/>
    <w:rsid w:val="006877BA"/>
    <w:rsid w:val="0069018A"/>
    <w:rsid w:val="006902A6"/>
    <w:rsid w:val="0069089A"/>
    <w:rsid w:val="00690BCA"/>
    <w:rsid w:val="00691032"/>
    <w:rsid w:val="00691269"/>
    <w:rsid w:val="00691A89"/>
    <w:rsid w:val="00691C5B"/>
    <w:rsid w:val="00692889"/>
    <w:rsid w:val="00693047"/>
    <w:rsid w:val="006931F2"/>
    <w:rsid w:val="00693224"/>
    <w:rsid w:val="00693B9F"/>
    <w:rsid w:val="00694388"/>
    <w:rsid w:val="0069447F"/>
    <w:rsid w:val="00694A4C"/>
    <w:rsid w:val="00694B35"/>
    <w:rsid w:val="00694BA8"/>
    <w:rsid w:val="0069662F"/>
    <w:rsid w:val="00696633"/>
    <w:rsid w:val="00696690"/>
    <w:rsid w:val="006967D1"/>
    <w:rsid w:val="006969F1"/>
    <w:rsid w:val="00696C57"/>
    <w:rsid w:val="006970C0"/>
    <w:rsid w:val="00697369"/>
    <w:rsid w:val="006A00E4"/>
    <w:rsid w:val="006A0352"/>
    <w:rsid w:val="006A0391"/>
    <w:rsid w:val="006A068A"/>
    <w:rsid w:val="006A179D"/>
    <w:rsid w:val="006A1EF2"/>
    <w:rsid w:val="006A25F8"/>
    <w:rsid w:val="006A2759"/>
    <w:rsid w:val="006A2976"/>
    <w:rsid w:val="006A2A97"/>
    <w:rsid w:val="006A2BAD"/>
    <w:rsid w:val="006A3225"/>
    <w:rsid w:val="006A36B6"/>
    <w:rsid w:val="006A398F"/>
    <w:rsid w:val="006A439B"/>
    <w:rsid w:val="006A49BF"/>
    <w:rsid w:val="006A4E2E"/>
    <w:rsid w:val="006A5402"/>
    <w:rsid w:val="006A5AAD"/>
    <w:rsid w:val="006A5DEE"/>
    <w:rsid w:val="006A5E1F"/>
    <w:rsid w:val="006A60B8"/>
    <w:rsid w:val="006A6D8A"/>
    <w:rsid w:val="006B0147"/>
    <w:rsid w:val="006B0FD2"/>
    <w:rsid w:val="006B18D1"/>
    <w:rsid w:val="006B1AD2"/>
    <w:rsid w:val="006B221F"/>
    <w:rsid w:val="006B2336"/>
    <w:rsid w:val="006B265E"/>
    <w:rsid w:val="006B28BD"/>
    <w:rsid w:val="006B29A5"/>
    <w:rsid w:val="006B2D95"/>
    <w:rsid w:val="006B36E8"/>
    <w:rsid w:val="006B4A34"/>
    <w:rsid w:val="006B4C70"/>
    <w:rsid w:val="006B562C"/>
    <w:rsid w:val="006B59BB"/>
    <w:rsid w:val="006B6756"/>
    <w:rsid w:val="006B6884"/>
    <w:rsid w:val="006B7226"/>
    <w:rsid w:val="006B767B"/>
    <w:rsid w:val="006B77CF"/>
    <w:rsid w:val="006B7A30"/>
    <w:rsid w:val="006C011B"/>
    <w:rsid w:val="006C01AB"/>
    <w:rsid w:val="006C0609"/>
    <w:rsid w:val="006C06EA"/>
    <w:rsid w:val="006C0989"/>
    <w:rsid w:val="006C0C6A"/>
    <w:rsid w:val="006C0D68"/>
    <w:rsid w:val="006C12AE"/>
    <w:rsid w:val="006C1671"/>
    <w:rsid w:val="006C1776"/>
    <w:rsid w:val="006C22A0"/>
    <w:rsid w:val="006C29CA"/>
    <w:rsid w:val="006C3EE9"/>
    <w:rsid w:val="006C509C"/>
    <w:rsid w:val="006C5535"/>
    <w:rsid w:val="006C5A21"/>
    <w:rsid w:val="006C5B81"/>
    <w:rsid w:val="006C6C58"/>
    <w:rsid w:val="006C6EDD"/>
    <w:rsid w:val="006C7120"/>
    <w:rsid w:val="006C775F"/>
    <w:rsid w:val="006C7B50"/>
    <w:rsid w:val="006C7ECB"/>
    <w:rsid w:val="006D02B3"/>
    <w:rsid w:val="006D04D0"/>
    <w:rsid w:val="006D0548"/>
    <w:rsid w:val="006D05E3"/>
    <w:rsid w:val="006D062F"/>
    <w:rsid w:val="006D06ED"/>
    <w:rsid w:val="006D0F81"/>
    <w:rsid w:val="006D1C63"/>
    <w:rsid w:val="006D1F7C"/>
    <w:rsid w:val="006D201B"/>
    <w:rsid w:val="006D2161"/>
    <w:rsid w:val="006D2759"/>
    <w:rsid w:val="006D2CC8"/>
    <w:rsid w:val="006D4114"/>
    <w:rsid w:val="006D47FD"/>
    <w:rsid w:val="006D51D7"/>
    <w:rsid w:val="006D5D68"/>
    <w:rsid w:val="006D6040"/>
    <w:rsid w:val="006D64DE"/>
    <w:rsid w:val="006D69D1"/>
    <w:rsid w:val="006D6CF1"/>
    <w:rsid w:val="006D6F16"/>
    <w:rsid w:val="006D73CC"/>
    <w:rsid w:val="006D7653"/>
    <w:rsid w:val="006D7DA9"/>
    <w:rsid w:val="006E1494"/>
    <w:rsid w:val="006E1D17"/>
    <w:rsid w:val="006E2FC1"/>
    <w:rsid w:val="006E465D"/>
    <w:rsid w:val="006E46B8"/>
    <w:rsid w:val="006E4A71"/>
    <w:rsid w:val="006E4A92"/>
    <w:rsid w:val="006E4CA0"/>
    <w:rsid w:val="006E4F76"/>
    <w:rsid w:val="006E50B8"/>
    <w:rsid w:val="006E531B"/>
    <w:rsid w:val="006E5536"/>
    <w:rsid w:val="006E5B95"/>
    <w:rsid w:val="006E5E1E"/>
    <w:rsid w:val="006E5E4E"/>
    <w:rsid w:val="006E62D9"/>
    <w:rsid w:val="006E653A"/>
    <w:rsid w:val="006E7441"/>
    <w:rsid w:val="006E762E"/>
    <w:rsid w:val="006E79E1"/>
    <w:rsid w:val="006E7C77"/>
    <w:rsid w:val="006F01E8"/>
    <w:rsid w:val="006F034F"/>
    <w:rsid w:val="006F0443"/>
    <w:rsid w:val="006F0676"/>
    <w:rsid w:val="006F0714"/>
    <w:rsid w:val="006F0EE1"/>
    <w:rsid w:val="006F1433"/>
    <w:rsid w:val="006F16B4"/>
    <w:rsid w:val="006F1AC6"/>
    <w:rsid w:val="006F2179"/>
    <w:rsid w:val="006F277F"/>
    <w:rsid w:val="006F29EF"/>
    <w:rsid w:val="006F3007"/>
    <w:rsid w:val="006F35A3"/>
    <w:rsid w:val="006F41F1"/>
    <w:rsid w:val="006F523A"/>
    <w:rsid w:val="006F564F"/>
    <w:rsid w:val="006F5B89"/>
    <w:rsid w:val="006F6946"/>
    <w:rsid w:val="006F71E1"/>
    <w:rsid w:val="006F78AB"/>
    <w:rsid w:val="006F7968"/>
    <w:rsid w:val="006F7B7E"/>
    <w:rsid w:val="007001EE"/>
    <w:rsid w:val="00701B33"/>
    <w:rsid w:val="00701C76"/>
    <w:rsid w:val="0070201C"/>
    <w:rsid w:val="0070229F"/>
    <w:rsid w:val="007025F4"/>
    <w:rsid w:val="00702AE6"/>
    <w:rsid w:val="007033E6"/>
    <w:rsid w:val="00703AB0"/>
    <w:rsid w:val="00704116"/>
    <w:rsid w:val="00704608"/>
    <w:rsid w:val="00704B20"/>
    <w:rsid w:val="00704C0F"/>
    <w:rsid w:val="00704D8A"/>
    <w:rsid w:val="007058A9"/>
    <w:rsid w:val="00705ACF"/>
    <w:rsid w:val="00705E5F"/>
    <w:rsid w:val="0070613C"/>
    <w:rsid w:val="00706545"/>
    <w:rsid w:val="00706E7B"/>
    <w:rsid w:val="00706ED5"/>
    <w:rsid w:val="007071BE"/>
    <w:rsid w:val="00707E8C"/>
    <w:rsid w:val="00707FD7"/>
    <w:rsid w:val="00710BAB"/>
    <w:rsid w:val="00711085"/>
    <w:rsid w:val="007123AC"/>
    <w:rsid w:val="00712441"/>
    <w:rsid w:val="00712A0D"/>
    <w:rsid w:val="00712F72"/>
    <w:rsid w:val="0071351C"/>
    <w:rsid w:val="00713914"/>
    <w:rsid w:val="007139B9"/>
    <w:rsid w:val="00713B73"/>
    <w:rsid w:val="00713E0C"/>
    <w:rsid w:val="0071507B"/>
    <w:rsid w:val="00715276"/>
    <w:rsid w:val="007155F5"/>
    <w:rsid w:val="0071663C"/>
    <w:rsid w:val="007167CF"/>
    <w:rsid w:val="007173A7"/>
    <w:rsid w:val="00717B64"/>
    <w:rsid w:val="00717CBD"/>
    <w:rsid w:val="0072040E"/>
    <w:rsid w:val="00720724"/>
    <w:rsid w:val="007209F2"/>
    <w:rsid w:val="00720E60"/>
    <w:rsid w:val="0072100A"/>
    <w:rsid w:val="00721168"/>
    <w:rsid w:val="007212CD"/>
    <w:rsid w:val="007216AF"/>
    <w:rsid w:val="00721BE4"/>
    <w:rsid w:val="00721E62"/>
    <w:rsid w:val="00721E7B"/>
    <w:rsid w:val="00721E94"/>
    <w:rsid w:val="007220F1"/>
    <w:rsid w:val="0072245B"/>
    <w:rsid w:val="00722D6A"/>
    <w:rsid w:val="007232C3"/>
    <w:rsid w:val="007235D3"/>
    <w:rsid w:val="007239F5"/>
    <w:rsid w:val="00724028"/>
    <w:rsid w:val="00724469"/>
    <w:rsid w:val="00724485"/>
    <w:rsid w:val="007246AB"/>
    <w:rsid w:val="00724B3F"/>
    <w:rsid w:val="00724D79"/>
    <w:rsid w:val="007252D9"/>
    <w:rsid w:val="00725443"/>
    <w:rsid w:val="00725471"/>
    <w:rsid w:val="007258FA"/>
    <w:rsid w:val="007258FE"/>
    <w:rsid w:val="00725A3B"/>
    <w:rsid w:val="00726609"/>
    <w:rsid w:val="0072677A"/>
    <w:rsid w:val="00726B20"/>
    <w:rsid w:val="00726D2A"/>
    <w:rsid w:val="00727336"/>
    <w:rsid w:val="0072740B"/>
    <w:rsid w:val="00730CCE"/>
    <w:rsid w:val="0073112E"/>
    <w:rsid w:val="007320CC"/>
    <w:rsid w:val="00732467"/>
    <w:rsid w:val="00732993"/>
    <w:rsid w:val="00732AAE"/>
    <w:rsid w:val="00733468"/>
    <w:rsid w:val="007336BB"/>
    <w:rsid w:val="0073396F"/>
    <w:rsid w:val="00733C15"/>
    <w:rsid w:val="007340FD"/>
    <w:rsid w:val="00734233"/>
    <w:rsid w:val="00734863"/>
    <w:rsid w:val="00734A21"/>
    <w:rsid w:val="007350B5"/>
    <w:rsid w:val="0073568E"/>
    <w:rsid w:val="00735A13"/>
    <w:rsid w:val="00735E6E"/>
    <w:rsid w:val="0073604D"/>
    <w:rsid w:val="00736395"/>
    <w:rsid w:val="0073720E"/>
    <w:rsid w:val="0073779D"/>
    <w:rsid w:val="0073784F"/>
    <w:rsid w:val="007402B6"/>
    <w:rsid w:val="007403F0"/>
    <w:rsid w:val="00740B4B"/>
    <w:rsid w:val="00740B53"/>
    <w:rsid w:val="00740E73"/>
    <w:rsid w:val="007413A2"/>
    <w:rsid w:val="007417CE"/>
    <w:rsid w:val="007418A7"/>
    <w:rsid w:val="00741C56"/>
    <w:rsid w:val="00741E01"/>
    <w:rsid w:val="007442C0"/>
    <w:rsid w:val="0074467A"/>
    <w:rsid w:val="00744DEE"/>
    <w:rsid w:val="00744E9F"/>
    <w:rsid w:val="007453CF"/>
    <w:rsid w:val="0074660B"/>
    <w:rsid w:val="007466F3"/>
    <w:rsid w:val="0074680A"/>
    <w:rsid w:val="00746A3A"/>
    <w:rsid w:val="0074748D"/>
    <w:rsid w:val="00747C48"/>
    <w:rsid w:val="00747E76"/>
    <w:rsid w:val="00750428"/>
    <w:rsid w:val="00750A98"/>
    <w:rsid w:val="007511C5"/>
    <w:rsid w:val="00751835"/>
    <w:rsid w:val="00751C52"/>
    <w:rsid w:val="00751D46"/>
    <w:rsid w:val="00751DCF"/>
    <w:rsid w:val="00752192"/>
    <w:rsid w:val="0075224B"/>
    <w:rsid w:val="007522F3"/>
    <w:rsid w:val="00752B57"/>
    <w:rsid w:val="00753318"/>
    <w:rsid w:val="00753606"/>
    <w:rsid w:val="00753789"/>
    <w:rsid w:val="00753C79"/>
    <w:rsid w:val="00754C2D"/>
    <w:rsid w:val="007553DB"/>
    <w:rsid w:val="00755BF1"/>
    <w:rsid w:val="00755F2E"/>
    <w:rsid w:val="007564EF"/>
    <w:rsid w:val="00756B9E"/>
    <w:rsid w:val="00756D71"/>
    <w:rsid w:val="00756E76"/>
    <w:rsid w:val="00757A64"/>
    <w:rsid w:val="00757B3B"/>
    <w:rsid w:val="007602E7"/>
    <w:rsid w:val="00760A1E"/>
    <w:rsid w:val="00760F7C"/>
    <w:rsid w:val="0076142F"/>
    <w:rsid w:val="007614FF"/>
    <w:rsid w:val="00761A11"/>
    <w:rsid w:val="00761DE3"/>
    <w:rsid w:val="00761F33"/>
    <w:rsid w:val="00762927"/>
    <w:rsid w:val="00762E5C"/>
    <w:rsid w:val="00762E6A"/>
    <w:rsid w:val="007637E0"/>
    <w:rsid w:val="007637ED"/>
    <w:rsid w:val="00763B3B"/>
    <w:rsid w:val="00763C12"/>
    <w:rsid w:val="00763DFF"/>
    <w:rsid w:val="007640BD"/>
    <w:rsid w:val="007644E4"/>
    <w:rsid w:val="00764CC9"/>
    <w:rsid w:val="007650EB"/>
    <w:rsid w:val="0076510A"/>
    <w:rsid w:val="00765111"/>
    <w:rsid w:val="007653D9"/>
    <w:rsid w:val="007653F7"/>
    <w:rsid w:val="00765D5D"/>
    <w:rsid w:val="00765E9A"/>
    <w:rsid w:val="00766328"/>
    <w:rsid w:val="007669D4"/>
    <w:rsid w:val="00766AA7"/>
    <w:rsid w:val="00766C49"/>
    <w:rsid w:val="00767190"/>
    <w:rsid w:val="0076798A"/>
    <w:rsid w:val="00767B6D"/>
    <w:rsid w:val="00770416"/>
    <w:rsid w:val="007709A2"/>
    <w:rsid w:val="007709AC"/>
    <w:rsid w:val="00770A8F"/>
    <w:rsid w:val="007712AB"/>
    <w:rsid w:val="00772036"/>
    <w:rsid w:val="00772072"/>
    <w:rsid w:val="0077220D"/>
    <w:rsid w:val="0077232E"/>
    <w:rsid w:val="00772EC3"/>
    <w:rsid w:val="007734C2"/>
    <w:rsid w:val="00773562"/>
    <w:rsid w:val="00773837"/>
    <w:rsid w:val="00773904"/>
    <w:rsid w:val="00774208"/>
    <w:rsid w:val="00774951"/>
    <w:rsid w:val="00774C82"/>
    <w:rsid w:val="00774CFA"/>
    <w:rsid w:val="00774D9A"/>
    <w:rsid w:val="00774DDF"/>
    <w:rsid w:val="00775135"/>
    <w:rsid w:val="007753F7"/>
    <w:rsid w:val="007755CB"/>
    <w:rsid w:val="007759D3"/>
    <w:rsid w:val="00775F4E"/>
    <w:rsid w:val="00776493"/>
    <w:rsid w:val="007765FA"/>
    <w:rsid w:val="007767D1"/>
    <w:rsid w:val="0077718F"/>
    <w:rsid w:val="00777259"/>
    <w:rsid w:val="00777463"/>
    <w:rsid w:val="007779DF"/>
    <w:rsid w:val="00780228"/>
    <w:rsid w:val="00780749"/>
    <w:rsid w:val="00780C9A"/>
    <w:rsid w:val="007812C0"/>
    <w:rsid w:val="007813B1"/>
    <w:rsid w:val="007818A0"/>
    <w:rsid w:val="00781960"/>
    <w:rsid w:val="00781DAF"/>
    <w:rsid w:val="00781EAF"/>
    <w:rsid w:val="00782F4B"/>
    <w:rsid w:val="0078305C"/>
    <w:rsid w:val="007831A6"/>
    <w:rsid w:val="007834DE"/>
    <w:rsid w:val="007837D9"/>
    <w:rsid w:val="007837DD"/>
    <w:rsid w:val="00783A33"/>
    <w:rsid w:val="00785C97"/>
    <w:rsid w:val="0078600F"/>
    <w:rsid w:val="00786190"/>
    <w:rsid w:val="00786FF6"/>
    <w:rsid w:val="007871BE"/>
    <w:rsid w:val="00787506"/>
    <w:rsid w:val="007875B8"/>
    <w:rsid w:val="007879BB"/>
    <w:rsid w:val="0079022F"/>
    <w:rsid w:val="0079079E"/>
    <w:rsid w:val="007908B3"/>
    <w:rsid w:val="007915B9"/>
    <w:rsid w:val="00791C49"/>
    <w:rsid w:val="00791DA2"/>
    <w:rsid w:val="00791F90"/>
    <w:rsid w:val="007926D7"/>
    <w:rsid w:val="00792D0F"/>
    <w:rsid w:val="00793872"/>
    <w:rsid w:val="007938C6"/>
    <w:rsid w:val="00793BD7"/>
    <w:rsid w:val="00793CD7"/>
    <w:rsid w:val="00794748"/>
    <w:rsid w:val="007949D4"/>
    <w:rsid w:val="00795161"/>
    <w:rsid w:val="007956A7"/>
    <w:rsid w:val="0079579E"/>
    <w:rsid w:val="00795944"/>
    <w:rsid w:val="00795A8F"/>
    <w:rsid w:val="00795F55"/>
    <w:rsid w:val="00795F96"/>
    <w:rsid w:val="0079698B"/>
    <w:rsid w:val="00797978"/>
    <w:rsid w:val="00797E30"/>
    <w:rsid w:val="00797F35"/>
    <w:rsid w:val="007A0356"/>
    <w:rsid w:val="007A0BC3"/>
    <w:rsid w:val="007A1163"/>
    <w:rsid w:val="007A1862"/>
    <w:rsid w:val="007A1C60"/>
    <w:rsid w:val="007A1E05"/>
    <w:rsid w:val="007A2140"/>
    <w:rsid w:val="007A21BC"/>
    <w:rsid w:val="007A24F5"/>
    <w:rsid w:val="007A25AE"/>
    <w:rsid w:val="007A30AE"/>
    <w:rsid w:val="007A31FC"/>
    <w:rsid w:val="007A332C"/>
    <w:rsid w:val="007A33A8"/>
    <w:rsid w:val="007A3555"/>
    <w:rsid w:val="007A35AF"/>
    <w:rsid w:val="007A3607"/>
    <w:rsid w:val="007A3A92"/>
    <w:rsid w:val="007A493B"/>
    <w:rsid w:val="007A51A0"/>
    <w:rsid w:val="007A5574"/>
    <w:rsid w:val="007A5786"/>
    <w:rsid w:val="007A57FA"/>
    <w:rsid w:val="007A5959"/>
    <w:rsid w:val="007A5B12"/>
    <w:rsid w:val="007A5D62"/>
    <w:rsid w:val="007A5FBA"/>
    <w:rsid w:val="007A67A6"/>
    <w:rsid w:val="007A684A"/>
    <w:rsid w:val="007A690C"/>
    <w:rsid w:val="007A75E1"/>
    <w:rsid w:val="007A76A9"/>
    <w:rsid w:val="007B09B4"/>
    <w:rsid w:val="007B0A02"/>
    <w:rsid w:val="007B0C0A"/>
    <w:rsid w:val="007B0ED2"/>
    <w:rsid w:val="007B0ED7"/>
    <w:rsid w:val="007B1236"/>
    <w:rsid w:val="007B145F"/>
    <w:rsid w:val="007B17BE"/>
    <w:rsid w:val="007B17C0"/>
    <w:rsid w:val="007B1930"/>
    <w:rsid w:val="007B1D8E"/>
    <w:rsid w:val="007B2159"/>
    <w:rsid w:val="007B21F5"/>
    <w:rsid w:val="007B311B"/>
    <w:rsid w:val="007B3A15"/>
    <w:rsid w:val="007B3B67"/>
    <w:rsid w:val="007B3C4F"/>
    <w:rsid w:val="007B437B"/>
    <w:rsid w:val="007B4A07"/>
    <w:rsid w:val="007B4D0D"/>
    <w:rsid w:val="007B521C"/>
    <w:rsid w:val="007B52CC"/>
    <w:rsid w:val="007B59BE"/>
    <w:rsid w:val="007B5A95"/>
    <w:rsid w:val="007B5AFB"/>
    <w:rsid w:val="007B5B3D"/>
    <w:rsid w:val="007B5F1C"/>
    <w:rsid w:val="007B5F32"/>
    <w:rsid w:val="007B6107"/>
    <w:rsid w:val="007B62B1"/>
    <w:rsid w:val="007B6382"/>
    <w:rsid w:val="007B64F3"/>
    <w:rsid w:val="007B6E7A"/>
    <w:rsid w:val="007B6FD8"/>
    <w:rsid w:val="007B724A"/>
    <w:rsid w:val="007B7712"/>
    <w:rsid w:val="007B793F"/>
    <w:rsid w:val="007B7EE3"/>
    <w:rsid w:val="007C05BB"/>
    <w:rsid w:val="007C0665"/>
    <w:rsid w:val="007C0802"/>
    <w:rsid w:val="007C0CD1"/>
    <w:rsid w:val="007C0FE5"/>
    <w:rsid w:val="007C1119"/>
    <w:rsid w:val="007C116B"/>
    <w:rsid w:val="007C14E4"/>
    <w:rsid w:val="007C15DF"/>
    <w:rsid w:val="007C17F1"/>
    <w:rsid w:val="007C1910"/>
    <w:rsid w:val="007C2D2D"/>
    <w:rsid w:val="007C32E6"/>
    <w:rsid w:val="007C384B"/>
    <w:rsid w:val="007C3FAA"/>
    <w:rsid w:val="007C44E8"/>
    <w:rsid w:val="007C454A"/>
    <w:rsid w:val="007C45CA"/>
    <w:rsid w:val="007C4BF7"/>
    <w:rsid w:val="007C545D"/>
    <w:rsid w:val="007C5762"/>
    <w:rsid w:val="007C5CA3"/>
    <w:rsid w:val="007C613F"/>
    <w:rsid w:val="007C61C8"/>
    <w:rsid w:val="007C6357"/>
    <w:rsid w:val="007C667A"/>
    <w:rsid w:val="007C67FD"/>
    <w:rsid w:val="007C68F1"/>
    <w:rsid w:val="007C7818"/>
    <w:rsid w:val="007C7CD8"/>
    <w:rsid w:val="007C7DC6"/>
    <w:rsid w:val="007C7E53"/>
    <w:rsid w:val="007C7EA0"/>
    <w:rsid w:val="007C7F12"/>
    <w:rsid w:val="007D08EB"/>
    <w:rsid w:val="007D0970"/>
    <w:rsid w:val="007D0BFF"/>
    <w:rsid w:val="007D0EFA"/>
    <w:rsid w:val="007D1009"/>
    <w:rsid w:val="007D1310"/>
    <w:rsid w:val="007D13E7"/>
    <w:rsid w:val="007D1541"/>
    <w:rsid w:val="007D1758"/>
    <w:rsid w:val="007D1885"/>
    <w:rsid w:val="007D20BE"/>
    <w:rsid w:val="007D264F"/>
    <w:rsid w:val="007D3005"/>
    <w:rsid w:val="007D3E46"/>
    <w:rsid w:val="007D42F1"/>
    <w:rsid w:val="007D4466"/>
    <w:rsid w:val="007D480D"/>
    <w:rsid w:val="007D4896"/>
    <w:rsid w:val="007D4EA5"/>
    <w:rsid w:val="007D5237"/>
    <w:rsid w:val="007D537E"/>
    <w:rsid w:val="007D55B7"/>
    <w:rsid w:val="007D577C"/>
    <w:rsid w:val="007D57E0"/>
    <w:rsid w:val="007D59E4"/>
    <w:rsid w:val="007D5C09"/>
    <w:rsid w:val="007D5E0F"/>
    <w:rsid w:val="007D698D"/>
    <w:rsid w:val="007D6CC4"/>
    <w:rsid w:val="007D70DD"/>
    <w:rsid w:val="007D7A9D"/>
    <w:rsid w:val="007D7BCF"/>
    <w:rsid w:val="007E0328"/>
    <w:rsid w:val="007E066D"/>
    <w:rsid w:val="007E080F"/>
    <w:rsid w:val="007E2413"/>
    <w:rsid w:val="007E313D"/>
    <w:rsid w:val="007E41A4"/>
    <w:rsid w:val="007E5149"/>
    <w:rsid w:val="007E5925"/>
    <w:rsid w:val="007E5952"/>
    <w:rsid w:val="007E5F07"/>
    <w:rsid w:val="007E685A"/>
    <w:rsid w:val="007E6DDF"/>
    <w:rsid w:val="007E7043"/>
    <w:rsid w:val="007F0522"/>
    <w:rsid w:val="007F0F10"/>
    <w:rsid w:val="007F1231"/>
    <w:rsid w:val="007F12E9"/>
    <w:rsid w:val="007F169A"/>
    <w:rsid w:val="007F1D64"/>
    <w:rsid w:val="007F35EF"/>
    <w:rsid w:val="007F3EE0"/>
    <w:rsid w:val="007F3FEA"/>
    <w:rsid w:val="007F44BF"/>
    <w:rsid w:val="007F45C9"/>
    <w:rsid w:val="007F4A8A"/>
    <w:rsid w:val="007F4D20"/>
    <w:rsid w:val="007F4E62"/>
    <w:rsid w:val="007F4F0D"/>
    <w:rsid w:val="007F5A74"/>
    <w:rsid w:val="007F5CD1"/>
    <w:rsid w:val="007F6133"/>
    <w:rsid w:val="007F6159"/>
    <w:rsid w:val="007F64B9"/>
    <w:rsid w:val="007F6838"/>
    <w:rsid w:val="007F683A"/>
    <w:rsid w:val="007F6974"/>
    <w:rsid w:val="007F6CD8"/>
    <w:rsid w:val="007F6EF8"/>
    <w:rsid w:val="007F792E"/>
    <w:rsid w:val="007F7DA0"/>
    <w:rsid w:val="00800276"/>
    <w:rsid w:val="00800741"/>
    <w:rsid w:val="00801441"/>
    <w:rsid w:val="0080166B"/>
    <w:rsid w:val="008016A4"/>
    <w:rsid w:val="008016C7"/>
    <w:rsid w:val="00801923"/>
    <w:rsid w:val="008021A1"/>
    <w:rsid w:val="0080224A"/>
    <w:rsid w:val="00802632"/>
    <w:rsid w:val="00802B6F"/>
    <w:rsid w:val="00802F14"/>
    <w:rsid w:val="00802F96"/>
    <w:rsid w:val="008031B6"/>
    <w:rsid w:val="008035A5"/>
    <w:rsid w:val="008036EE"/>
    <w:rsid w:val="00804610"/>
    <w:rsid w:val="00804A19"/>
    <w:rsid w:val="008052F6"/>
    <w:rsid w:val="008057AE"/>
    <w:rsid w:val="00805967"/>
    <w:rsid w:val="00805A2A"/>
    <w:rsid w:val="00805E97"/>
    <w:rsid w:val="00806337"/>
    <w:rsid w:val="00806367"/>
    <w:rsid w:val="0080657A"/>
    <w:rsid w:val="0080690B"/>
    <w:rsid w:val="00806B2E"/>
    <w:rsid w:val="00806BA9"/>
    <w:rsid w:val="00806DED"/>
    <w:rsid w:val="00806FF2"/>
    <w:rsid w:val="00807292"/>
    <w:rsid w:val="008072B3"/>
    <w:rsid w:val="0080756C"/>
    <w:rsid w:val="008079DD"/>
    <w:rsid w:val="00807DB6"/>
    <w:rsid w:val="00807E4B"/>
    <w:rsid w:val="008105D3"/>
    <w:rsid w:val="00811060"/>
    <w:rsid w:val="008110E3"/>
    <w:rsid w:val="00812136"/>
    <w:rsid w:val="0081234D"/>
    <w:rsid w:val="008129F7"/>
    <w:rsid w:val="0081374C"/>
    <w:rsid w:val="008137EC"/>
    <w:rsid w:val="00813EC9"/>
    <w:rsid w:val="00813F08"/>
    <w:rsid w:val="008142ED"/>
    <w:rsid w:val="008146A9"/>
    <w:rsid w:val="0081520C"/>
    <w:rsid w:val="00815583"/>
    <w:rsid w:val="00815D1E"/>
    <w:rsid w:val="00815FA4"/>
    <w:rsid w:val="00816D4E"/>
    <w:rsid w:val="008173D8"/>
    <w:rsid w:val="00817794"/>
    <w:rsid w:val="008177A0"/>
    <w:rsid w:val="00817B75"/>
    <w:rsid w:val="00817BBE"/>
    <w:rsid w:val="00820211"/>
    <w:rsid w:val="00820457"/>
    <w:rsid w:val="00820601"/>
    <w:rsid w:val="00820AA1"/>
    <w:rsid w:val="00820CD1"/>
    <w:rsid w:val="008210BE"/>
    <w:rsid w:val="008211BB"/>
    <w:rsid w:val="008211E0"/>
    <w:rsid w:val="008215E1"/>
    <w:rsid w:val="00821672"/>
    <w:rsid w:val="00821B38"/>
    <w:rsid w:val="008222D3"/>
    <w:rsid w:val="008222D5"/>
    <w:rsid w:val="008227CE"/>
    <w:rsid w:val="00822BF8"/>
    <w:rsid w:val="0082368C"/>
    <w:rsid w:val="0082380C"/>
    <w:rsid w:val="00823AC9"/>
    <w:rsid w:val="00823C37"/>
    <w:rsid w:val="008240C2"/>
    <w:rsid w:val="00824430"/>
    <w:rsid w:val="008249BB"/>
    <w:rsid w:val="00824EC9"/>
    <w:rsid w:val="008252A3"/>
    <w:rsid w:val="008253D7"/>
    <w:rsid w:val="008254B6"/>
    <w:rsid w:val="00825F14"/>
    <w:rsid w:val="00826FAC"/>
    <w:rsid w:val="008278B9"/>
    <w:rsid w:val="00827F35"/>
    <w:rsid w:val="0083040D"/>
    <w:rsid w:val="0083054B"/>
    <w:rsid w:val="008307B1"/>
    <w:rsid w:val="008307DF"/>
    <w:rsid w:val="008308AD"/>
    <w:rsid w:val="00830B95"/>
    <w:rsid w:val="008313BC"/>
    <w:rsid w:val="00831A0D"/>
    <w:rsid w:val="0083299E"/>
    <w:rsid w:val="00832A14"/>
    <w:rsid w:val="00833372"/>
    <w:rsid w:val="00833632"/>
    <w:rsid w:val="00834120"/>
    <w:rsid w:val="00834931"/>
    <w:rsid w:val="00834A89"/>
    <w:rsid w:val="008356EF"/>
    <w:rsid w:val="00835ACB"/>
    <w:rsid w:val="00835DCB"/>
    <w:rsid w:val="008360C9"/>
    <w:rsid w:val="0083622F"/>
    <w:rsid w:val="0083643A"/>
    <w:rsid w:val="00836AD1"/>
    <w:rsid w:val="00837BDC"/>
    <w:rsid w:val="00840750"/>
    <w:rsid w:val="00840AC3"/>
    <w:rsid w:val="00841569"/>
    <w:rsid w:val="008425C0"/>
    <w:rsid w:val="00842C55"/>
    <w:rsid w:val="00842D4F"/>
    <w:rsid w:val="0084372E"/>
    <w:rsid w:val="008444F4"/>
    <w:rsid w:val="008446E0"/>
    <w:rsid w:val="00844801"/>
    <w:rsid w:val="00844887"/>
    <w:rsid w:val="00845396"/>
    <w:rsid w:val="008454EB"/>
    <w:rsid w:val="00845998"/>
    <w:rsid w:val="00846255"/>
    <w:rsid w:val="00846512"/>
    <w:rsid w:val="00847433"/>
    <w:rsid w:val="008475CA"/>
    <w:rsid w:val="008502DA"/>
    <w:rsid w:val="00850928"/>
    <w:rsid w:val="00850A4F"/>
    <w:rsid w:val="00850FC5"/>
    <w:rsid w:val="00851049"/>
    <w:rsid w:val="008514E8"/>
    <w:rsid w:val="00851962"/>
    <w:rsid w:val="0085229E"/>
    <w:rsid w:val="00852B50"/>
    <w:rsid w:val="00852E4B"/>
    <w:rsid w:val="00853507"/>
    <w:rsid w:val="008536C0"/>
    <w:rsid w:val="00853944"/>
    <w:rsid w:val="00853F7D"/>
    <w:rsid w:val="008546FF"/>
    <w:rsid w:val="00854714"/>
    <w:rsid w:val="008558EA"/>
    <w:rsid w:val="00855964"/>
    <w:rsid w:val="00856B6C"/>
    <w:rsid w:val="008570C3"/>
    <w:rsid w:val="00857345"/>
    <w:rsid w:val="0086023B"/>
    <w:rsid w:val="008607EA"/>
    <w:rsid w:val="008619E3"/>
    <w:rsid w:val="00862303"/>
    <w:rsid w:val="00862D9E"/>
    <w:rsid w:val="00862E6F"/>
    <w:rsid w:val="0086348A"/>
    <w:rsid w:val="00863759"/>
    <w:rsid w:val="008647CF"/>
    <w:rsid w:val="0086507B"/>
    <w:rsid w:val="008652AC"/>
    <w:rsid w:val="0086591D"/>
    <w:rsid w:val="008665CA"/>
    <w:rsid w:val="00866690"/>
    <w:rsid w:val="00866A0D"/>
    <w:rsid w:val="00866DDD"/>
    <w:rsid w:val="00866F7E"/>
    <w:rsid w:val="00866FAD"/>
    <w:rsid w:val="00867864"/>
    <w:rsid w:val="00867C0F"/>
    <w:rsid w:val="00867E4E"/>
    <w:rsid w:val="0087001E"/>
    <w:rsid w:val="008701E8"/>
    <w:rsid w:val="008704EC"/>
    <w:rsid w:val="008706EE"/>
    <w:rsid w:val="00870AD6"/>
    <w:rsid w:val="00870B80"/>
    <w:rsid w:val="008710EF"/>
    <w:rsid w:val="0087125B"/>
    <w:rsid w:val="008713BB"/>
    <w:rsid w:val="00871B29"/>
    <w:rsid w:val="00871C81"/>
    <w:rsid w:val="00871E1B"/>
    <w:rsid w:val="00871E4C"/>
    <w:rsid w:val="00871F2D"/>
    <w:rsid w:val="00872BC2"/>
    <w:rsid w:val="00872C72"/>
    <w:rsid w:val="00873174"/>
    <w:rsid w:val="00873537"/>
    <w:rsid w:val="00873690"/>
    <w:rsid w:val="008739AA"/>
    <w:rsid w:val="008741A4"/>
    <w:rsid w:val="00874931"/>
    <w:rsid w:val="00874E1D"/>
    <w:rsid w:val="008755B7"/>
    <w:rsid w:val="00875CC7"/>
    <w:rsid w:val="008760FC"/>
    <w:rsid w:val="00876185"/>
    <w:rsid w:val="00876386"/>
    <w:rsid w:val="00876DD2"/>
    <w:rsid w:val="008771A7"/>
    <w:rsid w:val="00877408"/>
    <w:rsid w:val="0087769A"/>
    <w:rsid w:val="00877881"/>
    <w:rsid w:val="00877947"/>
    <w:rsid w:val="00877BC9"/>
    <w:rsid w:val="00877C41"/>
    <w:rsid w:val="00877DD4"/>
    <w:rsid w:val="00877F87"/>
    <w:rsid w:val="00880061"/>
    <w:rsid w:val="00880979"/>
    <w:rsid w:val="00881755"/>
    <w:rsid w:val="00881AA3"/>
    <w:rsid w:val="00881C9F"/>
    <w:rsid w:val="00881CB7"/>
    <w:rsid w:val="00881EDE"/>
    <w:rsid w:val="00882514"/>
    <w:rsid w:val="0088276E"/>
    <w:rsid w:val="00882B43"/>
    <w:rsid w:val="00883114"/>
    <w:rsid w:val="0088359D"/>
    <w:rsid w:val="00883B5D"/>
    <w:rsid w:val="00883BD3"/>
    <w:rsid w:val="00883C11"/>
    <w:rsid w:val="008845DA"/>
    <w:rsid w:val="00884D77"/>
    <w:rsid w:val="00884E2E"/>
    <w:rsid w:val="0088501E"/>
    <w:rsid w:val="0088518D"/>
    <w:rsid w:val="008853C4"/>
    <w:rsid w:val="0088574D"/>
    <w:rsid w:val="00885813"/>
    <w:rsid w:val="00885867"/>
    <w:rsid w:val="00885F04"/>
    <w:rsid w:val="00887350"/>
    <w:rsid w:val="008874A7"/>
    <w:rsid w:val="0088764E"/>
    <w:rsid w:val="00887A63"/>
    <w:rsid w:val="0089033D"/>
    <w:rsid w:val="00890791"/>
    <w:rsid w:val="008908FE"/>
    <w:rsid w:val="00890A75"/>
    <w:rsid w:val="00891B5D"/>
    <w:rsid w:val="00892495"/>
    <w:rsid w:val="0089295F"/>
    <w:rsid w:val="00892961"/>
    <w:rsid w:val="00892AC5"/>
    <w:rsid w:val="00893125"/>
    <w:rsid w:val="008938D9"/>
    <w:rsid w:val="0089396E"/>
    <w:rsid w:val="00893BCC"/>
    <w:rsid w:val="00894073"/>
    <w:rsid w:val="00894C16"/>
    <w:rsid w:val="008953FA"/>
    <w:rsid w:val="008956FB"/>
    <w:rsid w:val="00895C6D"/>
    <w:rsid w:val="00895F7A"/>
    <w:rsid w:val="008961DC"/>
    <w:rsid w:val="00896440"/>
    <w:rsid w:val="008965BD"/>
    <w:rsid w:val="008967CB"/>
    <w:rsid w:val="00897283"/>
    <w:rsid w:val="008972F0"/>
    <w:rsid w:val="0089760F"/>
    <w:rsid w:val="00897D3B"/>
    <w:rsid w:val="00897E24"/>
    <w:rsid w:val="008A1562"/>
    <w:rsid w:val="008A1714"/>
    <w:rsid w:val="008A1738"/>
    <w:rsid w:val="008A1B06"/>
    <w:rsid w:val="008A1B8B"/>
    <w:rsid w:val="008A1C74"/>
    <w:rsid w:val="008A21C2"/>
    <w:rsid w:val="008A2432"/>
    <w:rsid w:val="008A24E2"/>
    <w:rsid w:val="008A26C7"/>
    <w:rsid w:val="008A2760"/>
    <w:rsid w:val="008A2927"/>
    <w:rsid w:val="008A2938"/>
    <w:rsid w:val="008A303E"/>
    <w:rsid w:val="008A30FB"/>
    <w:rsid w:val="008A446A"/>
    <w:rsid w:val="008A4492"/>
    <w:rsid w:val="008A4A8E"/>
    <w:rsid w:val="008A4EE1"/>
    <w:rsid w:val="008A5AA1"/>
    <w:rsid w:val="008A5B90"/>
    <w:rsid w:val="008A61AE"/>
    <w:rsid w:val="008A64A2"/>
    <w:rsid w:val="008A7238"/>
    <w:rsid w:val="008A7AD0"/>
    <w:rsid w:val="008A7F11"/>
    <w:rsid w:val="008A7FB4"/>
    <w:rsid w:val="008A7FE3"/>
    <w:rsid w:val="008B013B"/>
    <w:rsid w:val="008B0742"/>
    <w:rsid w:val="008B0FCA"/>
    <w:rsid w:val="008B1B1D"/>
    <w:rsid w:val="008B1B7D"/>
    <w:rsid w:val="008B1F88"/>
    <w:rsid w:val="008B2060"/>
    <w:rsid w:val="008B2C6C"/>
    <w:rsid w:val="008B3014"/>
    <w:rsid w:val="008B31EE"/>
    <w:rsid w:val="008B33DE"/>
    <w:rsid w:val="008B3E1A"/>
    <w:rsid w:val="008B4373"/>
    <w:rsid w:val="008B4A1C"/>
    <w:rsid w:val="008B4CCF"/>
    <w:rsid w:val="008B4DF8"/>
    <w:rsid w:val="008B604C"/>
    <w:rsid w:val="008B632C"/>
    <w:rsid w:val="008B71D4"/>
    <w:rsid w:val="008B739C"/>
    <w:rsid w:val="008B7455"/>
    <w:rsid w:val="008B75CE"/>
    <w:rsid w:val="008B7649"/>
    <w:rsid w:val="008C0978"/>
    <w:rsid w:val="008C0986"/>
    <w:rsid w:val="008C0A11"/>
    <w:rsid w:val="008C1398"/>
    <w:rsid w:val="008C148C"/>
    <w:rsid w:val="008C14CD"/>
    <w:rsid w:val="008C1696"/>
    <w:rsid w:val="008C22AA"/>
    <w:rsid w:val="008C2433"/>
    <w:rsid w:val="008C2639"/>
    <w:rsid w:val="008C2AA0"/>
    <w:rsid w:val="008C375D"/>
    <w:rsid w:val="008C38F0"/>
    <w:rsid w:val="008C414D"/>
    <w:rsid w:val="008C4533"/>
    <w:rsid w:val="008C4BDB"/>
    <w:rsid w:val="008C4F38"/>
    <w:rsid w:val="008C5438"/>
    <w:rsid w:val="008C55BF"/>
    <w:rsid w:val="008C5A4F"/>
    <w:rsid w:val="008C5B70"/>
    <w:rsid w:val="008C5C24"/>
    <w:rsid w:val="008C5E47"/>
    <w:rsid w:val="008C6529"/>
    <w:rsid w:val="008C68D2"/>
    <w:rsid w:val="008C6CCB"/>
    <w:rsid w:val="008C77C9"/>
    <w:rsid w:val="008C7E55"/>
    <w:rsid w:val="008D0132"/>
    <w:rsid w:val="008D049A"/>
    <w:rsid w:val="008D0548"/>
    <w:rsid w:val="008D0CA6"/>
    <w:rsid w:val="008D0CD9"/>
    <w:rsid w:val="008D0D0C"/>
    <w:rsid w:val="008D1041"/>
    <w:rsid w:val="008D10BA"/>
    <w:rsid w:val="008D1173"/>
    <w:rsid w:val="008D180F"/>
    <w:rsid w:val="008D1FBD"/>
    <w:rsid w:val="008D2055"/>
    <w:rsid w:val="008D26C1"/>
    <w:rsid w:val="008D2AFC"/>
    <w:rsid w:val="008D2EA7"/>
    <w:rsid w:val="008D357F"/>
    <w:rsid w:val="008D39B1"/>
    <w:rsid w:val="008D4525"/>
    <w:rsid w:val="008D45BA"/>
    <w:rsid w:val="008D48DA"/>
    <w:rsid w:val="008D492F"/>
    <w:rsid w:val="008D4A2C"/>
    <w:rsid w:val="008D4CA3"/>
    <w:rsid w:val="008D5580"/>
    <w:rsid w:val="008D5A13"/>
    <w:rsid w:val="008D5A35"/>
    <w:rsid w:val="008D62C3"/>
    <w:rsid w:val="008D6336"/>
    <w:rsid w:val="008D6EB9"/>
    <w:rsid w:val="008D6F74"/>
    <w:rsid w:val="008D72FF"/>
    <w:rsid w:val="008D79AF"/>
    <w:rsid w:val="008E0058"/>
    <w:rsid w:val="008E03D3"/>
    <w:rsid w:val="008E0C5A"/>
    <w:rsid w:val="008E0D35"/>
    <w:rsid w:val="008E0E1B"/>
    <w:rsid w:val="008E1104"/>
    <w:rsid w:val="008E1D24"/>
    <w:rsid w:val="008E1D46"/>
    <w:rsid w:val="008E262E"/>
    <w:rsid w:val="008E2667"/>
    <w:rsid w:val="008E281A"/>
    <w:rsid w:val="008E3593"/>
    <w:rsid w:val="008E3655"/>
    <w:rsid w:val="008E36C2"/>
    <w:rsid w:val="008E387D"/>
    <w:rsid w:val="008E3ABF"/>
    <w:rsid w:val="008E3BAF"/>
    <w:rsid w:val="008E4787"/>
    <w:rsid w:val="008E4801"/>
    <w:rsid w:val="008E4854"/>
    <w:rsid w:val="008E48E1"/>
    <w:rsid w:val="008E52FE"/>
    <w:rsid w:val="008E5808"/>
    <w:rsid w:val="008E5954"/>
    <w:rsid w:val="008E5BCB"/>
    <w:rsid w:val="008E657C"/>
    <w:rsid w:val="008E65E2"/>
    <w:rsid w:val="008E7DF0"/>
    <w:rsid w:val="008F0357"/>
    <w:rsid w:val="008F055A"/>
    <w:rsid w:val="008F075C"/>
    <w:rsid w:val="008F0AD4"/>
    <w:rsid w:val="008F18DB"/>
    <w:rsid w:val="008F2470"/>
    <w:rsid w:val="008F2A19"/>
    <w:rsid w:val="008F355F"/>
    <w:rsid w:val="008F3915"/>
    <w:rsid w:val="008F43FE"/>
    <w:rsid w:val="008F440C"/>
    <w:rsid w:val="008F44FD"/>
    <w:rsid w:val="008F4CB4"/>
    <w:rsid w:val="008F521F"/>
    <w:rsid w:val="008F60E6"/>
    <w:rsid w:val="008F677D"/>
    <w:rsid w:val="008F6CFD"/>
    <w:rsid w:val="008F707A"/>
    <w:rsid w:val="008F7E54"/>
    <w:rsid w:val="008F7F09"/>
    <w:rsid w:val="009008DF"/>
    <w:rsid w:val="00900BF9"/>
    <w:rsid w:val="00900FEE"/>
    <w:rsid w:val="00901313"/>
    <w:rsid w:val="00901A41"/>
    <w:rsid w:val="00902BC5"/>
    <w:rsid w:val="0090302C"/>
    <w:rsid w:val="009032B4"/>
    <w:rsid w:val="00903CE6"/>
    <w:rsid w:val="00904387"/>
    <w:rsid w:val="00905352"/>
    <w:rsid w:val="00905356"/>
    <w:rsid w:val="00905DBB"/>
    <w:rsid w:val="00905F28"/>
    <w:rsid w:val="00906CED"/>
    <w:rsid w:val="00907617"/>
    <w:rsid w:val="00907719"/>
    <w:rsid w:val="009078CD"/>
    <w:rsid w:val="00907CC2"/>
    <w:rsid w:val="0091044F"/>
    <w:rsid w:val="00910820"/>
    <w:rsid w:val="00910C15"/>
    <w:rsid w:val="0091147E"/>
    <w:rsid w:val="00911D8E"/>
    <w:rsid w:val="00911DF8"/>
    <w:rsid w:val="00911F30"/>
    <w:rsid w:val="00912138"/>
    <w:rsid w:val="00912276"/>
    <w:rsid w:val="0091250B"/>
    <w:rsid w:val="00912682"/>
    <w:rsid w:val="00912D65"/>
    <w:rsid w:val="00912D9B"/>
    <w:rsid w:val="00912FBF"/>
    <w:rsid w:val="009131AB"/>
    <w:rsid w:val="00913568"/>
    <w:rsid w:val="00913B23"/>
    <w:rsid w:val="00913BF9"/>
    <w:rsid w:val="00913D2D"/>
    <w:rsid w:val="00913E0C"/>
    <w:rsid w:val="00914185"/>
    <w:rsid w:val="009146C7"/>
    <w:rsid w:val="00914BC6"/>
    <w:rsid w:val="00914C27"/>
    <w:rsid w:val="00914CD3"/>
    <w:rsid w:val="009152F1"/>
    <w:rsid w:val="00915A33"/>
    <w:rsid w:val="00915ABB"/>
    <w:rsid w:val="00915E86"/>
    <w:rsid w:val="00916A51"/>
    <w:rsid w:val="00916B43"/>
    <w:rsid w:val="00916DB5"/>
    <w:rsid w:val="009172EC"/>
    <w:rsid w:val="009202D9"/>
    <w:rsid w:val="0092115F"/>
    <w:rsid w:val="0092149A"/>
    <w:rsid w:val="009217C2"/>
    <w:rsid w:val="00921DCE"/>
    <w:rsid w:val="0092200C"/>
    <w:rsid w:val="009220CB"/>
    <w:rsid w:val="00922B11"/>
    <w:rsid w:val="00922DDA"/>
    <w:rsid w:val="00922E49"/>
    <w:rsid w:val="00923C05"/>
    <w:rsid w:val="00924117"/>
    <w:rsid w:val="0092444F"/>
    <w:rsid w:val="0092448C"/>
    <w:rsid w:val="0092463D"/>
    <w:rsid w:val="00924940"/>
    <w:rsid w:val="00925246"/>
    <w:rsid w:val="009254BD"/>
    <w:rsid w:val="009255EF"/>
    <w:rsid w:val="00925685"/>
    <w:rsid w:val="0092569D"/>
    <w:rsid w:val="0092590A"/>
    <w:rsid w:val="00925CCC"/>
    <w:rsid w:val="00926265"/>
    <w:rsid w:val="009265F4"/>
    <w:rsid w:val="00926685"/>
    <w:rsid w:val="00926C6C"/>
    <w:rsid w:val="00926EEB"/>
    <w:rsid w:val="00927299"/>
    <w:rsid w:val="009272C4"/>
    <w:rsid w:val="00927F35"/>
    <w:rsid w:val="009304C7"/>
    <w:rsid w:val="00931119"/>
    <w:rsid w:val="0093122A"/>
    <w:rsid w:val="00931CA1"/>
    <w:rsid w:val="00932195"/>
    <w:rsid w:val="0093234A"/>
    <w:rsid w:val="00932538"/>
    <w:rsid w:val="00932543"/>
    <w:rsid w:val="00932777"/>
    <w:rsid w:val="00932890"/>
    <w:rsid w:val="0093290C"/>
    <w:rsid w:val="00932CB4"/>
    <w:rsid w:val="009332EB"/>
    <w:rsid w:val="009333A1"/>
    <w:rsid w:val="0093369F"/>
    <w:rsid w:val="009336C0"/>
    <w:rsid w:val="00933B93"/>
    <w:rsid w:val="00933D08"/>
    <w:rsid w:val="009345A1"/>
    <w:rsid w:val="00934C0A"/>
    <w:rsid w:val="0093517C"/>
    <w:rsid w:val="0093564D"/>
    <w:rsid w:val="009356FB"/>
    <w:rsid w:val="009357AF"/>
    <w:rsid w:val="009357D3"/>
    <w:rsid w:val="00935A75"/>
    <w:rsid w:val="009360CF"/>
    <w:rsid w:val="00936215"/>
    <w:rsid w:val="00936773"/>
    <w:rsid w:val="00936E15"/>
    <w:rsid w:val="00936EFE"/>
    <w:rsid w:val="00937104"/>
    <w:rsid w:val="009373C4"/>
    <w:rsid w:val="00937451"/>
    <w:rsid w:val="0094055D"/>
    <w:rsid w:val="00940E15"/>
    <w:rsid w:val="009419E2"/>
    <w:rsid w:val="00941E32"/>
    <w:rsid w:val="00941FB9"/>
    <w:rsid w:val="00943292"/>
    <w:rsid w:val="00943A0B"/>
    <w:rsid w:val="00943E49"/>
    <w:rsid w:val="00944277"/>
    <w:rsid w:val="00944A99"/>
    <w:rsid w:val="00944D91"/>
    <w:rsid w:val="00944DEF"/>
    <w:rsid w:val="009450FD"/>
    <w:rsid w:val="009452E6"/>
    <w:rsid w:val="009454F4"/>
    <w:rsid w:val="00945AD7"/>
    <w:rsid w:val="00945DCA"/>
    <w:rsid w:val="00945E61"/>
    <w:rsid w:val="00945EE6"/>
    <w:rsid w:val="0094646F"/>
    <w:rsid w:val="00946621"/>
    <w:rsid w:val="00946B81"/>
    <w:rsid w:val="00946BB1"/>
    <w:rsid w:val="00946CC0"/>
    <w:rsid w:val="00946EE1"/>
    <w:rsid w:val="00946F3B"/>
    <w:rsid w:val="00946F59"/>
    <w:rsid w:val="009507E8"/>
    <w:rsid w:val="00950917"/>
    <w:rsid w:val="009509CB"/>
    <w:rsid w:val="00951C7A"/>
    <w:rsid w:val="009521F0"/>
    <w:rsid w:val="009521F4"/>
    <w:rsid w:val="00952455"/>
    <w:rsid w:val="00952D62"/>
    <w:rsid w:val="0095364B"/>
    <w:rsid w:val="009539F7"/>
    <w:rsid w:val="009546EF"/>
    <w:rsid w:val="00954B7D"/>
    <w:rsid w:val="00954F88"/>
    <w:rsid w:val="00955025"/>
    <w:rsid w:val="00955783"/>
    <w:rsid w:val="009557E9"/>
    <w:rsid w:val="00955870"/>
    <w:rsid w:val="009558D4"/>
    <w:rsid w:val="00955CEC"/>
    <w:rsid w:val="0095650E"/>
    <w:rsid w:val="00956D92"/>
    <w:rsid w:val="00956DCB"/>
    <w:rsid w:val="00956E82"/>
    <w:rsid w:val="00957175"/>
    <w:rsid w:val="0095727A"/>
    <w:rsid w:val="0095751B"/>
    <w:rsid w:val="009576C4"/>
    <w:rsid w:val="009577BC"/>
    <w:rsid w:val="0095795E"/>
    <w:rsid w:val="00957AA9"/>
    <w:rsid w:val="009606B9"/>
    <w:rsid w:val="009609A3"/>
    <w:rsid w:val="00960BA0"/>
    <w:rsid w:val="00961A79"/>
    <w:rsid w:val="00961AE6"/>
    <w:rsid w:val="00961B6B"/>
    <w:rsid w:val="00961C1D"/>
    <w:rsid w:val="00961CA7"/>
    <w:rsid w:val="00961D09"/>
    <w:rsid w:val="00961D74"/>
    <w:rsid w:val="0096296B"/>
    <w:rsid w:val="00962B32"/>
    <w:rsid w:val="00962E6C"/>
    <w:rsid w:val="009635A5"/>
    <w:rsid w:val="009638E6"/>
    <w:rsid w:val="00963B62"/>
    <w:rsid w:val="00964746"/>
    <w:rsid w:val="009648D6"/>
    <w:rsid w:val="00965358"/>
    <w:rsid w:val="009653FF"/>
    <w:rsid w:val="00965A2C"/>
    <w:rsid w:val="00965A4E"/>
    <w:rsid w:val="00965C6C"/>
    <w:rsid w:val="00966510"/>
    <w:rsid w:val="009666B2"/>
    <w:rsid w:val="00966973"/>
    <w:rsid w:val="0096700C"/>
    <w:rsid w:val="00967459"/>
    <w:rsid w:val="009679D1"/>
    <w:rsid w:val="00967C38"/>
    <w:rsid w:val="00967C64"/>
    <w:rsid w:val="0097030C"/>
    <w:rsid w:val="0097052A"/>
    <w:rsid w:val="0097082D"/>
    <w:rsid w:val="00970885"/>
    <w:rsid w:val="0097143E"/>
    <w:rsid w:val="00971745"/>
    <w:rsid w:val="0097229A"/>
    <w:rsid w:val="00972356"/>
    <w:rsid w:val="00972718"/>
    <w:rsid w:val="00972F40"/>
    <w:rsid w:val="0097351A"/>
    <w:rsid w:val="00973650"/>
    <w:rsid w:val="00973A2A"/>
    <w:rsid w:val="00973AEC"/>
    <w:rsid w:val="009765F8"/>
    <w:rsid w:val="00977136"/>
    <w:rsid w:val="00977141"/>
    <w:rsid w:val="009805D9"/>
    <w:rsid w:val="009809A0"/>
    <w:rsid w:val="00980F7F"/>
    <w:rsid w:val="00981058"/>
    <w:rsid w:val="00981311"/>
    <w:rsid w:val="009820C5"/>
    <w:rsid w:val="00982D2F"/>
    <w:rsid w:val="00983D1A"/>
    <w:rsid w:val="00984BB3"/>
    <w:rsid w:val="00985360"/>
    <w:rsid w:val="0098569F"/>
    <w:rsid w:val="00986040"/>
    <w:rsid w:val="00986043"/>
    <w:rsid w:val="00986253"/>
    <w:rsid w:val="00986C41"/>
    <w:rsid w:val="009872AC"/>
    <w:rsid w:val="00987F7B"/>
    <w:rsid w:val="009902A6"/>
    <w:rsid w:val="009907A6"/>
    <w:rsid w:val="00990BD4"/>
    <w:rsid w:val="00990E85"/>
    <w:rsid w:val="00991140"/>
    <w:rsid w:val="009911AE"/>
    <w:rsid w:val="009914BD"/>
    <w:rsid w:val="00991857"/>
    <w:rsid w:val="00991CAE"/>
    <w:rsid w:val="00991ED0"/>
    <w:rsid w:val="009921C3"/>
    <w:rsid w:val="00992A8E"/>
    <w:rsid w:val="00993C95"/>
    <w:rsid w:val="00993FE7"/>
    <w:rsid w:val="0099452A"/>
    <w:rsid w:val="009946BC"/>
    <w:rsid w:val="00994B7C"/>
    <w:rsid w:val="00996146"/>
    <w:rsid w:val="00996D74"/>
    <w:rsid w:val="00996DC3"/>
    <w:rsid w:val="00997DF3"/>
    <w:rsid w:val="009A008B"/>
    <w:rsid w:val="009A0862"/>
    <w:rsid w:val="009A1FBD"/>
    <w:rsid w:val="009A2127"/>
    <w:rsid w:val="009A2348"/>
    <w:rsid w:val="009A2A65"/>
    <w:rsid w:val="009A2D89"/>
    <w:rsid w:val="009A2ED7"/>
    <w:rsid w:val="009A2F11"/>
    <w:rsid w:val="009A339F"/>
    <w:rsid w:val="009A3541"/>
    <w:rsid w:val="009A3C8F"/>
    <w:rsid w:val="009A4179"/>
    <w:rsid w:val="009A41D1"/>
    <w:rsid w:val="009A4746"/>
    <w:rsid w:val="009A4F0C"/>
    <w:rsid w:val="009A5144"/>
    <w:rsid w:val="009A5184"/>
    <w:rsid w:val="009A5592"/>
    <w:rsid w:val="009A5C72"/>
    <w:rsid w:val="009A5FB1"/>
    <w:rsid w:val="009A6242"/>
    <w:rsid w:val="009A6F8C"/>
    <w:rsid w:val="009A70C8"/>
    <w:rsid w:val="009A73C8"/>
    <w:rsid w:val="009A741B"/>
    <w:rsid w:val="009A758F"/>
    <w:rsid w:val="009A7830"/>
    <w:rsid w:val="009B0273"/>
    <w:rsid w:val="009B03E0"/>
    <w:rsid w:val="009B0983"/>
    <w:rsid w:val="009B0CD9"/>
    <w:rsid w:val="009B20FE"/>
    <w:rsid w:val="009B2183"/>
    <w:rsid w:val="009B23DB"/>
    <w:rsid w:val="009B2EC7"/>
    <w:rsid w:val="009B36DF"/>
    <w:rsid w:val="009B452E"/>
    <w:rsid w:val="009B470F"/>
    <w:rsid w:val="009B50E7"/>
    <w:rsid w:val="009B523B"/>
    <w:rsid w:val="009B544D"/>
    <w:rsid w:val="009B566A"/>
    <w:rsid w:val="009B5C24"/>
    <w:rsid w:val="009B5CFF"/>
    <w:rsid w:val="009B5D9D"/>
    <w:rsid w:val="009B6244"/>
    <w:rsid w:val="009B66A6"/>
    <w:rsid w:val="009B679E"/>
    <w:rsid w:val="009B6864"/>
    <w:rsid w:val="009B6F1A"/>
    <w:rsid w:val="009B739C"/>
    <w:rsid w:val="009B747E"/>
    <w:rsid w:val="009B775C"/>
    <w:rsid w:val="009B7A79"/>
    <w:rsid w:val="009B7F90"/>
    <w:rsid w:val="009C0201"/>
    <w:rsid w:val="009C07A7"/>
    <w:rsid w:val="009C14C1"/>
    <w:rsid w:val="009C14FD"/>
    <w:rsid w:val="009C19DB"/>
    <w:rsid w:val="009C1D3F"/>
    <w:rsid w:val="009C23E3"/>
    <w:rsid w:val="009C2A12"/>
    <w:rsid w:val="009C2D44"/>
    <w:rsid w:val="009C2E66"/>
    <w:rsid w:val="009C2F69"/>
    <w:rsid w:val="009C359B"/>
    <w:rsid w:val="009C38C7"/>
    <w:rsid w:val="009C3A89"/>
    <w:rsid w:val="009C3AF3"/>
    <w:rsid w:val="009C416F"/>
    <w:rsid w:val="009C4316"/>
    <w:rsid w:val="009C4441"/>
    <w:rsid w:val="009C4442"/>
    <w:rsid w:val="009C4A16"/>
    <w:rsid w:val="009C4B0E"/>
    <w:rsid w:val="009C4DC9"/>
    <w:rsid w:val="009C4FFC"/>
    <w:rsid w:val="009C5493"/>
    <w:rsid w:val="009C5A8D"/>
    <w:rsid w:val="009C7526"/>
    <w:rsid w:val="009C7756"/>
    <w:rsid w:val="009C78A7"/>
    <w:rsid w:val="009C7E56"/>
    <w:rsid w:val="009D06CB"/>
    <w:rsid w:val="009D0B34"/>
    <w:rsid w:val="009D1218"/>
    <w:rsid w:val="009D1A15"/>
    <w:rsid w:val="009D1FF3"/>
    <w:rsid w:val="009D2124"/>
    <w:rsid w:val="009D229A"/>
    <w:rsid w:val="009D289F"/>
    <w:rsid w:val="009D2B18"/>
    <w:rsid w:val="009D2DC5"/>
    <w:rsid w:val="009D3C84"/>
    <w:rsid w:val="009D3EDC"/>
    <w:rsid w:val="009D4F14"/>
    <w:rsid w:val="009D4FFA"/>
    <w:rsid w:val="009D50DF"/>
    <w:rsid w:val="009D544C"/>
    <w:rsid w:val="009D593C"/>
    <w:rsid w:val="009D5A15"/>
    <w:rsid w:val="009D5BB7"/>
    <w:rsid w:val="009D5C13"/>
    <w:rsid w:val="009D5F8F"/>
    <w:rsid w:val="009D6036"/>
    <w:rsid w:val="009D65D3"/>
    <w:rsid w:val="009D6EEC"/>
    <w:rsid w:val="009D7305"/>
    <w:rsid w:val="009D793F"/>
    <w:rsid w:val="009E025B"/>
    <w:rsid w:val="009E0301"/>
    <w:rsid w:val="009E0A2E"/>
    <w:rsid w:val="009E1075"/>
    <w:rsid w:val="009E1124"/>
    <w:rsid w:val="009E12F3"/>
    <w:rsid w:val="009E139C"/>
    <w:rsid w:val="009E287A"/>
    <w:rsid w:val="009E2FF6"/>
    <w:rsid w:val="009E310A"/>
    <w:rsid w:val="009E3736"/>
    <w:rsid w:val="009E38C5"/>
    <w:rsid w:val="009E3E4A"/>
    <w:rsid w:val="009E445A"/>
    <w:rsid w:val="009E4770"/>
    <w:rsid w:val="009E48E4"/>
    <w:rsid w:val="009E4B93"/>
    <w:rsid w:val="009E4ED7"/>
    <w:rsid w:val="009E5209"/>
    <w:rsid w:val="009E5338"/>
    <w:rsid w:val="009E53D3"/>
    <w:rsid w:val="009E55E0"/>
    <w:rsid w:val="009E56F0"/>
    <w:rsid w:val="009E5B29"/>
    <w:rsid w:val="009E6058"/>
    <w:rsid w:val="009E650F"/>
    <w:rsid w:val="009E6C95"/>
    <w:rsid w:val="009E6CC9"/>
    <w:rsid w:val="009E6EC8"/>
    <w:rsid w:val="009E6F50"/>
    <w:rsid w:val="009E739D"/>
    <w:rsid w:val="009E79D6"/>
    <w:rsid w:val="009E7BB9"/>
    <w:rsid w:val="009F0659"/>
    <w:rsid w:val="009F0772"/>
    <w:rsid w:val="009F0CB7"/>
    <w:rsid w:val="009F22C8"/>
    <w:rsid w:val="009F3C2C"/>
    <w:rsid w:val="009F3FDB"/>
    <w:rsid w:val="009F43D6"/>
    <w:rsid w:val="009F4408"/>
    <w:rsid w:val="009F4634"/>
    <w:rsid w:val="009F4EED"/>
    <w:rsid w:val="009F4EF3"/>
    <w:rsid w:val="009F59D5"/>
    <w:rsid w:val="009F6598"/>
    <w:rsid w:val="009F6981"/>
    <w:rsid w:val="009F6990"/>
    <w:rsid w:val="009F6BFE"/>
    <w:rsid w:val="009F6CBC"/>
    <w:rsid w:val="009F721B"/>
    <w:rsid w:val="009F724B"/>
    <w:rsid w:val="009F776E"/>
    <w:rsid w:val="009F779A"/>
    <w:rsid w:val="009F7910"/>
    <w:rsid w:val="009F7A82"/>
    <w:rsid w:val="009F7AF3"/>
    <w:rsid w:val="00A0071D"/>
    <w:rsid w:val="00A01184"/>
    <w:rsid w:val="00A0127E"/>
    <w:rsid w:val="00A01370"/>
    <w:rsid w:val="00A016C2"/>
    <w:rsid w:val="00A023EA"/>
    <w:rsid w:val="00A02A85"/>
    <w:rsid w:val="00A03738"/>
    <w:rsid w:val="00A03DB7"/>
    <w:rsid w:val="00A03F74"/>
    <w:rsid w:val="00A04E38"/>
    <w:rsid w:val="00A04E87"/>
    <w:rsid w:val="00A051A8"/>
    <w:rsid w:val="00A05834"/>
    <w:rsid w:val="00A05D32"/>
    <w:rsid w:val="00A0601A"/>
    <w:rsid w:val="00A06995"/>
    <w:rsid w:val="00A07978"/>
    <w:rsid w:val="00A1017C"/>
    <w:rsid w:val="00A10888"/>
    <w:rsid w:val="00A11157"/>
    <w:rsid w:val="00A11262"/>
    <w:rsid w:val="00A11EAE"/>
    <w:rsid w:val="00A1211A"/>
    <w:rsid w:val="00A12481"/>
    <w:rsid w:val="00A12648"/>
    <w:rsid w:val="00A128B5"/>
    <w:rsid w:val="00A1329F"/>
    <w:rsid w:val="00A133BC"/>
    <w:rsid w:val="00A13557"/>
    <w:rsid w:val="00A143D4"/>
    <w:rsid w:val="00A14465"/>
    <w:rsid w:val="00A144F5"/>
    <w:rsid w:val="00A14708"/>
    <w:rsid w:val="00A14F24"/>
    <w:rsid w:val="00A152E0"/>
    <w:rsid w:val="00A15C7F"/>
    <w:rsid w:val="00A15F2D"/>
    <w:rsid w:val="00A15FEE"/>
    <w:rsid w:val="00A16728"/>
    <w:rsid w:val="00A1685F"/>
    <w:rsid w:val="00A17458"/>
    <w:rsid w:val="00A174B5"/>
    <w:rsid w:val="00A175B1"/>
    <w:rsid w:val="00A17E4A"/>
    <w:rsid w:val="00A20151"/>
    <w:rsid w:val="00A21017"/>
    <w:rsid w:val="00A21186"/>
    <w:rsid w:val="00A21204"/>
    <w:rsid w:val="00A21515"/>
    <w:rsid w:val="00A21FE5"/>
    <w:rsid w:val="00A225F7"/>
    <w:rsid w:val="00A226C6"/>
    <w:rsid w:val="00A226DD"/>
    <w:rsid w:val="00A226E6"/>
    <w:rsid w:val="00A22EDB"/>
    <w:rsid w:val="00A22F76"/>
    <w:rsid w:val="00A23045"/>
    <w:rsid w:val="00A233EF"/>
    <w:rsid w:val="00A2381B"/>
    <w:rsid w:val="00A2443F"/>
    <w:rsid w:val="00A250D5"/>
    <w:rsid w:val="00A2554C"/>
    <w:rsid w:val="00A2577A"/>
    <w:rsid w:val="00A2585A"/>
    <w:rsid w:val="00A25C92"/>
    <w:rsid w:val="00A25F56"/>
    <w:rsid w:val="00A26597"/>
    <w:rsid w:val="00A2694C"/>
    <w:rsid w:val="00A26AAC"/>
    <w:rsid w:val="00A27D16"/>
    <w:rsid w:val="00A30687"/>
    <w:rsid w:val="00A31907"/>
    <w:rsid w:val="00A319A2"/>
    <w:rsid w:val="00A31A73"/>
    <w:rsid w:val="00A32250"/>
    <w:rsid w:val="00A327E2"/>
    <w:rsid w:val="00A327F0"/>
    <w:rsid w:val="00A32BB3"/>
    <w:rsid w:val="00A32C0D"/>
    <w:rsid w:val="00A32C49"/>
    <w:rsid w:val="00A32DB9"/>
    <w:rsid w:val="00A331CA"/>
    <w:rsid w:val="00A351F9"/>
    <w:rsid w:val="00A35373"/>
    <w:rsid w:val="00A3538A"/>
    <w:rsid w:val="00A35F4F"/>
    <w:rsid w:val="00A36097"/>
    <w:rsid w:val="00A36553"/>
    <w:rsid w:val="00A367E5"/>
    <w:rsid w:val="00A368F0"/>
    <w:rsid w:val="00A369A9"/>
    <w:rsid w:val="00A4007B"/>
    <w:rsid w:val="00A4025B"/>
    <w:rsid w:val="00A40372"/>
    <w:rsid w:val="00A40636"/>
    <w:rsid w:val="00A4134F"/>
    <w:rsid w:val="00A416ED"/>
    <w:rsid w:val="00A41B13"/>
    <w:rsid w:val="00A4211A"/>
    <w:rsid w:val="00A43703"/>
    <w:rsid w:val="00A43B3C"/>
    <w:rsid w:val="00A43D09"/>
    <w:rsid w:val="00A43E63"/>
    <w:rsid w:val="00A43E8C"/>
    <w:rsid w:val="00A44309"/>
    <w:rsid w:val="00A44451"/>
    <w:rsid w:val="00A44452"/>
    <w:rsid w:val="00A44808"/>
    <w:rsid w:val="00A44821"/>
    <w:rsid w:val="00A44CCF"/>
    <w:rsid w:val="00A4513E"/>
    <w:rsid w:val="00A4549A"/>
    <w:rsid w:val="00A46438"/>
    <w:rsid w:val="00A468D0"/>
    <w:rsid w:val="00A468F2"/>
    <w:rsid w:val="00A46C62"/>
    <w:rsid w:val="00A46CFF"/>
    <w:rsid w:val="00A47ED0"/>
    <w:rsid w:val="00A5111F"/>
    <w:rsid w:val="00A51CB9"/>
    <w:rsid w:val="00A51D62"/>
    <w:rsid w:val="00A51EC5"/>
    <w:rsid w:val="00A52AC7"/>
    <w:rsid w:val="00A52B1E"/>
    <w:rsid w:val="00A52E2A"/>
    <w:rsid w:val="00A52ED3"/>
    <w:rsid w:val="00A52F1D"/>
    <w:rsid w:val="00A53170"/>
    <w:rsid w:val="00A531BD"/>
    <w:rsid w:val="00A5384F"/>
    <w:rsid w:val="00A53B5E"/>
    <w:rsid w:val="00A54197"/>
    <w:rsid w:val="00A543FD"/>
    <w:rsid w:val="00A5459E"/>
    <w:rsid w:val="00A54B11"/>
    <w:rsid w:val="00A54E79"/>
    <w:rsid w:val="00A55D98"/>
    <w:rsid w:val="00A565B2"/>
    <w:rsid w:val="00A5667C"/>
    <w:rsid w:val="00A567EB"/>
    <w:rsid w:val="00A568DD"/>
    <w:rsid w:val="00A56A99"/>
    <w:rsid w:val="00A570D3"/>
    <w:rsid w:val="00A5714A"/>
    <w:rsid w:val="00A579CE"/>
    <w:rsid w:val="00A57A23"/>
    <w:rsid w:val="00A60149"/>
    <w:rsid w:val="00A60153"/>
    <w:rsid w:val="00A603F1"/>
    <w:rsid w:val="00A605DF"/>
    <w:rsid w:val="00A60931"/>
    <w:rsid w:val="00A6130C"/>
    <w:rsid w:val="00A613EB"/>
    <w:rsid w:val="00A61927"/>
    <w:rsid w:val="00A61BCB"/>
    <w:rsid w:val="00A61CD3"/>
    <w:rsid w:val="00A61D8F"/>
    <w:rsid w:val="00A620C9"/>
    <w:rsid w:val="00A6244E"/>
    <w:rsid w:val="00A627A3"/>
    <w:rsid w:val="00A63599"/>
    <w:rsid w:val="00A63C99"/>
    <w:rsid w:val="00A63CC9"/>
    <w:rsid w:val="00A63EF4"/>
    <w:rsid w:val="00A645AE"/>
    <w:rsid w:val="00A6492B"/>
    <w:rsid w:val="00A64CC7"/>
    <w:rsid w:val="00A652B5"/>
    <w:rsid w:val="00A6592B"/>
    <w:rsid w:val="00A659F4"/>
    <w:rsid w:val="00A65A19"/>
    <w:rsid w:val="00A65B5C"/>
    <w:rsid w:val="00A65E8C"/>
    <w:rsid w:val="00A671FF"/>
    <w:rsid w:val="00A67650"/>
    <w:rsid w:val="00A67761"/>
    <w:rsid w:val="00A6785A"/>
    <w:rsid w:val="00A70215"/>
    <w:rsid w:val="00A70527"/>
    <w:rsid w:val="00A706BD"/>
    <w:rsid w:val="00A70C5B"/>
    <w:rsid w:val="00A70F75"/>
    <w:rsid w:val="00A7138B"/>
    <w:rsid w:val="00A71532"/>
    <w:rsid w:val="00A71819"/>
    <w:rsid w:val="00A71F74"/>
    <w:rsid w:val="00A7210C"/>
    <w:rsid w:val="00A72ADC"/>
    <w:rsid w:val="00A735B0"/>
    <w:rsid w:val="00A73767"/>
    <w:rsid w:val="00A73A08"/>
    <w:rsid w:val="00A73AD8"/>
    <w:rsid w:val="00A73F0B"/>
    <w:rsid w:val="00A74220"/>
    <w:rsid w:val="00A74AB6"/>
    <w:rsid w:val="00A74FC0"/>
    <w:rsid w:val="00A75628"/>
    <w:rsid w:val="00A760CA"/>
    <w:rsid w:val="00A76446"/>
    <w:rsid w:val="00A76659"/>
    <w:rsid w:val="00A76BDA"/>
    <w:rsid w:val="00A77173"/>
    <w:rsid w:val="00A77654"/>
    <w:rsid w:val="00A7776D"/>
    <w:rsid w:val="00A77E82"/>
    <w:rsid w:val="00A80227"/>
    <w:rsid w:val="00A803FA"/>
    <w:rsid w:val="00A81471"/>
    <w:rsid w:val="00A81AFD"/>
    <w:rsid w:val="00A81FCA"/>
    <w:rsid w:val="00A8230B"/>
    <w:rsid w:val="00A824EA"/>
    <w:rsid w:val="00A830AE"/>
    <w:rsid w:val="00A830EA"/>
    <w:rsid w:val="00A83144"/>
    <w:rsid w:val="00A8328F"/>
    <w:rsid w:val="00A8355E"/>
    <w:rsid w:val="00A839BF"/>
    <w:rsid w:val="00A83B12"/>
    <w:rsid w:val="00A83E10"/>
    <w:rsid w:val="00A845BB"/>
    <w:rsid w:val="00A8550C"/>
    <w:rsid w:val="00A8609B"/>
    <w:rsid w:val="00A861F9"/>
    <w:rsid w:val="00A86A14"/>
    <w:rsid w:val="00A86D9B"/>
    <w:rsid w:val="00A87099"/>
    <w:rsid w:val="00A8711D"/>
    <w:rsid w:val="00A87243"/>
    <w:rsid w:val="00A876DB"/>
    <w:rsid w:val="00A87C68"/>
    <w:rsid w:val="00A90E83"/>
    <w:rsid w:val="00A91099"/>
    <w:rsid w:val="00A912AF"/>
    <w:rsid w:val="00A917D8"/>
    <w:rsid w:val="00A92565"/>
    <w:rsid w:val="00A92746"/>
    <w:rsid w:val="00A92E41"/>
    <w:rsid w:val="00A931EF"/>
    <w:rsid w:val="00A934F8"/>
    <w:rsid w:val="00A94291"/>
    <w:rsid w:val="00A942A8"/>
    <w:rsid w:val="00A94CCF"/>
    <w:rsid w:val="00A951DF"/>
    <w:rsid w:val="00A9585C"/>
    <w:rsid w:val="00A95903"/>
    <w:rsid w:val="00A95957"/>
    <w:rsid w:val="00A9596C"/>
    <w:rsid w:val="00A960BC"/>
    <w:rsid w:val="00A97203"/>
    <w:rsid w:val="00A979F8"/>
    <w:rsid w:val="00A97B06"/>
    <w:rsid w:val="00AA007D"/>
    <w:rsid w:val="00AA03FF"/>
    <w:rsid w:val="00AA06E1"/>
    <w:rsid w:val="00AA079A"/>
    <w:rsid w:val="00AA0980"/>
    <w:rsid w:val="00AA0BD7"/>
    <w:rsid w:val="00AA0CA6"/>
    <w:rsid w:val="00AA1380"/>
    <w:rsid w:val="00AA177B"/>
    <w:rsid w:val="00AA1CB8"/>
    <w:rsid w:val="00AA1EA2"/>
    <w:rsid w:val="00AA21BF"/>
    <w:rsid w:val="00AA2391"/>
    <w:rsid w:val="00AA2494"/>
    <w:rsid w:val="00AA254D"/>
    <w:rsid w:val="00AA26ED"/>
    <w:rsid w:val="00AA2DF0"/>
    <w:rsid w:val="00AA349E"/>
    <w:rsid w:val="00AA3F07"/>
    <w:rsid w:val="00AA4679"/>
    <w:rsid w:val="00AA4695"/>
    <w:rsid w:val="00AA4710"/>
    <w:rsid w:val="00AA4954"/>
    <w:rsid w:val="00AA4E14"/>
    <w:rsid w:val="00AA4E98"/>
    <w:rsid w:val="00AA4FFF"/>
    <w:rsid w:val="00AA5080"/>
    <w:rsid w:val="00AA515E"/>
    <w:rsid w:val="00AA5826"/>
    <w:rsid w:val="00AA587E"/>
    <w:rsid w:val="00AA5C28"/>
    <w:rsid w:val="00AA63B6"/>
    <w:rsid w:val="00AA65E9"/>
    <w:rsid w:val="00AA75AC"/>
    <w:rsid w:val="00AA7DAD"/>
    <w:rsid w:val="00AA7F3B"/>
    <w:rsid w:val="00AB029E"/>
    <w:rsid w:val="00AB067E"/>
    <w:rsid w:val="00AB0E8D"/>
    <w:rsid w:val="00AB1C6B"/>
    <w:rsid w:val="00AB1CA9"/>
    <w:rsid w:val="00AB1F31"/>
    <w:rsid w:val="00AB233A"/>
    <w:rsid w:val="00AB23A5"/>
    <w:rsid w:val="00AB3159"/>
    <w:rsid w:val="00AB3168"/>
    <w:rsid w:val="00AB32AB"/>
    <w:rsid w:val="00AB3517"/>
    <w:rsid w:val="00AB39BD"/>
    <w:rsid w:val="00AB46ED"/>
    <w:rsid w:val="00AB4F1B"/>
    <w:rsid w:val="00AB5A13"/>
    <w:rsid w:val="00AB5A8C"/>
    <w:rsid w:val="00AB634E"/>
    <w:rsid w:val="00AB6588"/>
    <w:rsid w:val="00AB71FC"/>
    <w:rsid w:val="00AB7624"/>
    <w:rsid w:val="00AB789C"/>
    <w:rsid w:val="00AB7DF4"/>
    <w:rsid w:val="00AC0093"/>
    <w:rsid w:val="00AC0220"/>
    <w:rsid w:val="00AC02F3"/>
    <w:rsid w:val="00AC0414"/>
    <w:rsid w:val="00AC073E"/>
    <w:rsid w:val="00AC0A04"/>
    <w:rsid w:val="00AC0B6F"/>
    <w:rsid w:val="00AC100B"/>
    <w:rsid w:val="00AC10A7"/>
    <w:rsid w:val="00AC1485"/>
    <w:rsid w:val="00AC1647"/>
    <w:rsid w:val="00AC165C"/>
    <w:rsid w:val="00AC1706"/>
    <w:rsid w:val="00AC2362"/>
    <w:rsid w:val="00AC2489"/>
    <w:rsid w:val="00AC2B06"/>
    <w:rsid w:val="00AC31E5"/>
    <w:rsid w:val="00AC34F5"/>
    <w:rsid w:val="00AC36DE"/>
    <w:rsid w:val="00AC40FA"/>
    <w:rsid w:val="00AC4117"/>
    <w:rsid w:val="00AC4255"/>
    <w:rsid w:val="00AC4535"/>
    <w:rsid w:val="00AC457A"/>
    <w:rsid w:val="00AC46D2"/>
    <w:rsid w:val="00AC4964"/>
    <w:rsid w:val="00AC4EDD"/>
    <w:rsid w:val="00AC5104"/>
    <w:rsid w:val="00AC5121"/>
    <w:rsid w:val="00AC575E"/>
    <w:rsid w:val="00AC58D5"/>
    <w:rsid w:val="00AC59CE"/>
    <w:rsid w:val="00AC5FEC"/>
    <w:rsid w:val="00AC74B6"/>
    <w:rsid w:val="00AC755F"/>
    <w:rsid w:val="00AC7614"/>
    <w:rsid w:val="00AC7EAA"/>
    <w:rsid w:val="00AD023A"/>
    <w:rsid w:val="00AD0D94"/>
    <w:rsid w:val="00AD0DF2"/>
    <w:rsid w:val="00AD0E0B"/>
    <w:rsid w:val="00AD21FC"/>
    <w:rsid w:val="00AD2364"/>
    <w:rsid w:val="00AD25E4"/>
    <w:rsid w:val="00AD26A8"/>
    <w:rsid w:val="00AD2E69"/>
    <w:rsid w:val="00AD2F9A"/>
    <w:rsid w:val="00AD2FE7"/>
    <w:rsid w:val="00AD334D"/>
    <w:rsid w:val="00AD3EE6"/>
    <w:rsid w:val="00AD3EFC"/>
    <w:rsid w:val="00AD461C"/>
    <w:rsid w:val="00AD4A36"/>
    <w:rsid w:val="00AD4A6A"/>
    <w:rsid w:val="00AD4F21"/>
    <w:rsid w:val="00AD5449"/>
    <w:rsid w:val="00AD60DB"/>
    <w:rsid w:val="00AD62EC"/>
    <w:rsid w:val="00AD6769"/>
    <w:rsid w:val="00AD6AE2"/>
    <w:rsid w:val="00AD6B8D"/>
    <w:rsid w:val="00AD72F3"/>
    <w:rsid w:val="00AD75F2"/>
    <w:rsid w:val="00AE0260"/>
    <w:rsid w:val="00AE07C3"/>
    <w:rsid w:val="00AE0805"/>
    <w:rsid w:val="00AE1578"/>
    <w:rsid w:val="00AE1725"/>
    <w:rsid w:val="00AE19C6"/>
    <w:rsid w:val="00AE1ECE"/>
    <w:rsid w:val="00AE29DC"/>
    <w:rsid w:val="00AE2A5B"/>
    <w:rsid w:val="00AE2B7C"/>
    <w:rsid w:val="00AE3053"/>
    <w:rsid w:val="00AE38AA"/>
    <w:rsid w:val="00AE39BC"/>
    <w:rsid w:val="00AE4478"/>
    <w:rsid w:val="00AE564A"/>
    <w:rsid w:val="00AE5ABD"/>
    <w:rsid w:val="00AE6361"/>
    <w:rsid w:val="00AE6518"/>
    <w:rsid w:val="00AE6C29"/>
    <w:rsid w:val="00AE6D67"/>
    <w:rsid w:val="00AE7243"/>
    <w:rsid w:val="00AE73B4"/>
    <w:rsid w:val="00AF1F14"/>
    <w:rsid w:val="00AF1F2E"/>
    <w:rsid w:val="00AF27E4"/>
    <w:rsid w:val="00AF292D"/>
    <w:rsid w:val="00AF2E89"/>
    <w:rsid w:val="00AF33AB"/>
    <w:rsid w:val="00AF356E"/>
    <w:rsid w:val="00AF365F"/>
    <w:rsid w:val="00AF3C59"/>
    <w:rsid w:val="00AF422D"/>
    <w:rsid w:val="00AF42D2"/>
    <w:rsid w:val="00AF45D4"/>
    <w:rsid w:val="00AF48BF"/>
    <w:rsid w:val="00AF4951"/>
    <w:rsid w:val="00AF4B98"/>
    <w:rsid w:val="00AF4D85"/>
    <w:rsid w:val="00AF5372"/>
    <w:rsid w:val="00AF5402"/>
    <w:rsid w:val="00AF54BC"/>
    <w:rsid w:val="00AF57CB"/>
    <w:rsid w:val="00AF592A"/>
    <w:rsid w:val="00AF5B21"/>
    <w:rsid w:val="00AF5B9A"/>
    <w:rsid w:val="00AF5BC1"/>
    <w:rsid w:val="00AF6258"/>
    <w:rsid w:val="00AF6FE3"/>
    <w:rsid w:val="00AF715D"/>
    <w:rsid w:val="00AF72A3"/>
    <w:rsid w:val="00AF7646"/>
    <w:rsid w:val="00AF7C5D"/>
    <w:rsid w:val="00AF7F54"/>
    <w:rsid w:val="00B0003A"/>
    <w:rsid w:val="00B0005F"/>
    <w:rsid w:val="00B002B9"/>
    <w:rsid w:val="00B0040D"/>
    <w:rsid w:val="00B00532"/>
    <w:rsid w:val="00B0056C"/>
    <w:rsid w:val="00B0070E"/>
    <w:rsid w:val="00B0095B"/>
    <w:rsid w:val="00B00982"/>
    <w:rsid w:val="00B018F4"/>
    <w:rsid w:val="00B019EA"/>
    <w:rsid w:val="00B01B4D"/>
    <w:rsid w:val="00B01D8F"/>
    <w:rsid w:val="00B01F91"/>
    <w:rsid w:val="00B026BF"/>
    <w:rsid w:val="00B02870"/>
    <w:rsid w:val="00B029AE"/>
    <w:rsid w:val="00B02E7E"/>
    <w:rsid w:val="00B02F23"/>
    <w:rsid w:val="00B03118"/>
    <w:rsid w:val="00B035D4"/>
    <w:rsid w:val="00B037B5"/>
    <w:rsid w:val="00B0420D"/>
    <w:rsid w:val="00B047FD"/>
    <w:rsid w:val="00B048F0"/>
    <w:rsid w:val="00B04F8F"/>
    <w:rsid w:val="00B05A3C"/>
    <w:rsid w:val="00B05BA8"/>
    <w:rsid w:val="00B05BDE"/>
    <w:rsid w:val="00B064AC"/>
    <w:rsid w:val="00B07981"/>
    <w:rsid w:val="00B107BB"/>
    <w:rsid w:val="00B10C32"/>
    <w:rsid w:val="00B10D60"/>
    <w:rsid w:val="00B10F31"/>
    <w:rsid w:val="00B10F50"/>
    <w:rsid w:val="00B110E3"/>
    <w:rsid w:val="00B11173"/>
    <w:rsid w:val="00B11589"/>
    <w:rsid w:val="00B117D4"/>
    <w:rsid w:val="00B118D4"/>
    <w:rsid w:val="00B12297"/>
    <w:rsid w:val="00B123EE"/>
    <w:rsid w:val="00B12454"/>
    <w:rsid w:val="00B127C5"/>
    <w:rsid w:val="00B128D2"/>
    <w:rsid w:val="00B12931"/>
    <w:rsid w:val="00B12B5C"/>
    <w:rsid w:val="00B13637"/>
    <w:rsid w:val="00B13923"/>
    <w:rsid w:val="00B147C1"/>
    <w:rsid w:val="00B14801"/>
    <w:rsid w:val="00B14813"/>
    <w:rsid w:val="00B1487E"/>
    <w:rsid w:val="00B14DAA"/>
    <w:rsid w:val="00B154C7"/>
    <w:rsid w:val="00B1596E"/>
    <w:rsid w:val="00B16470"/>
    <w:rsid w:val="00B16F09"/>
    <w:rsid w:val="00B17022"/>
    <w:rsid w:val="00B1711B"/>
    <w:rsid w:val="00B17737"/>
    <w:rsid w:val="00B177D7"/>
    <w:rsid w:val="00B179E3"/>
    <w:rsid w:val="00B17A84"/>
    <w:rsid w:val="00B2052B"/>
    <w:rsid w:val="00B20830"/>
    <w:rsid w:val="00B20A23"/>
    <w:rsid w:val="00B20C10"/>
    <w:rsid w:val="00B20C78"/>
    <w:rsid w:val="00B21FA7"/>
    <w:rsid w:val="00B22252"/>
    <w:rsid w:val="00B22872"/>
    <w:rsid w:val="00B22F9C"/>
    <w:rsid w:val="00B23696"/>
    <w:rsid w:val="00B24536"/>
    <w:rsid w:val="00B24A6B"/>
    <w:rsid w:val="00B24AF3"/>
    <w:rsid w:val="00B25241"/>
    <w:rsid w:val="00B25794"/>
    <w:rsid w:val="00B2583C"/>
    <w:rsid w:val="00B2588E"/>
    <w:rsid w:val="00B258E2"/>
    <w:rsid w:val="00B25A2F"/>
    <w:rsid w:val="00B25B84"/>
    <w:rsid w:val="00B25EFD"/>
    <w:rsid w:val="00B30A8D"/>
    <w:rsid w:val="00B3121B"/>
    <w:rsid w:val="00B31325"/>
    <w:rsid w:val="00B3142E"/>
    <w:rsid w:val="00B316D8"/>
    <w:rsid w:val="00B31AAC"/>
    <w:rsid w:val="00B3282D"/>
    <w:rsid w:val="00B32ABF"/>
    <w:rsid w:val="00B32ACB"/>
    <w:rsid w:val="00B32D50"/>
    <w:rsid w:val="00B33540"/>
    <w:rsid w:val="00B336F9"/>
    <w:rsid w:val="00B33941"/>
    <w:rsid w:val="00B339D2"/>
    <w:rsid w:val="00B33C81"/>
    <w:rsid w:val="00B3447A"/>
    <w:rsid w:val="00B34C50"/>
    <w:rsid w:val="00B354B9"/>
    <w:rsid w:val="00B355E6"/>
    <w:rsid w:val="00B35859"/>
    <w:rsid w:val="00B35B89"/>
    <w:rsid w:val="00B35BA1"/>
    <w:rsid w:val="00B35D13"/>
    <w:rsid w:val="00B35E62"/>
    <w:rsid w:val="00B362E4"/>
    <w:rsid w:val="00B36C87"/>
    <w:rsid w:val="00B36CC7"/>
    <w:rsid w:val="00B36DBC"/>
    <w:rsid w:val="00B37701"/>
    <w:rsid w:val="00B37961"/>
    <w:rsid w:val="00B400AE"/>
    <w:rsid w:val="00B40439"/>
    <w:rsid w:val="00B40B80"/>
    <w:rsid w:val="00B40D12"/>
    <w:rsid w:val="00B41322"/>
    <w:rsid w:val="00B4191E"/>
    <w:rsid w:val="00B420C4"/>
    <w:rsid w:val="00B428A0"/>
    <w:rsid w:val="00B43932"/>
    <w:rsid w:val="00B43E01"/>
    <w:rsid w:val="00B43E9C"/>
    <w:rsid w:val="00B44471"/>
    <w:rsid w:val="00B4565D"/>
    <w:rsid w:val="00B45B1B"/>
    <w:rsid w:val="00B45F2A"/>
    <w:rsid w:val="00B46672"/>
    <w:rsid w:val="00B46944"/>
    <w:rsid w:val="00B476B8"/>
    <w:rsid w:val="00B47C94"/>
    <w:rsid w:val="00B47E4C"/>
    <w:rsid w:val="00B47FAF"/>
    <w:rsid w:val="00B50DC1"/>
    <w:rsid w:val="00B52343"/>
    <w:rsid w:val="00B52B77"/>
    <w:rsid w:val="00B52C9C"/>
    <w:rsid w:val="00B5325A"/>
    <w:rsid w:val="00B53729"/>
    <w:rsid w:val="00B54316"/>
    <w:rsid w:val="00B54843"/>
    <w:rsid w:val="00B548C7"/>
    <w:rsid w:val="00B54E03"/>
    <w:rsid w:val="00B55C12"/>
    <w:rsid w:val="00B5673F"/>
    <w:rsid w:val="00B56A3B"/>
    <w:rsid w:val="00B57454"/>
    <w:rsid w:val="00B57634"/>
    <w:rsid w:val="00B57BE2"/>
    <w:rsid w:val="00B57D12"/>
    <w:rsid w:val="00B60A7B"/>
    <w:rsid w:val="00B6175B"/>
    <w:rsid w:val="00B61F4C"/>
    <w:rsid w:val="00B6216C"/>
    <w:rsid w:val="00B62909"/>
    <w:rsid w:val="00B62917"/>
    <w:rsid w:val="00B6322B"/>
    <w:rsid w:val="00B63519"/>
    <w:rsid w:val="00B646C3"/>
    <w:rsid w:val="00B64D0E"/>
    <w:rsid w:val="00B6531A"/>
    <w:rsid w:val="00B65A20"/>
    <w:rsid w:val="00B65B84"/>
    <w:rsid w:val="00B65BCC"/>
    <w:rsid w:val="00B65F16"/>
    <w:rsid w:val="00B6602E"/>
    <w:rsid w:val="00B66493"/>
    <w:rsid w:val="00B66894"/>
    <w:rsid w:val="00B66E2E"/>
    <w:rsid w:val="00B66F22"/>
    <w:rsid w:val="00B672D2"/>
    <w:rsid w:val="00B67785"/>
    <w:rsid w:val="00B67DCB"/>
    <w:rsid w:val="00B70424"/>
    <w:rsid w:val="00B70725"/>
    <w:rsid w:val="00B70FAF"/>
    <w:rsid w:val="00B714EF"/>
    <w:rsid w:val="00B71A97"/>
    <w:rsid w:val="00B723AE"/>
    <w:rsid w:val="00B72949"/>
    <w:rsid w:val="00B72AD0"/>
    <w:rsid w:val="00B72F0E"/>
    <w:rsid w:val="00B72FA4"/>
    <w:rsid w:val="00B7311F"/>
    <w:rsid w:val="00B73B02"/>
    <w:rsid w:val="00B73DE5"/>
    <w:rsid w:val="00B744EC"/>
    <w:rsid w:val="00B74BA5"/>
    <w:rsid w:val="00B74F80"/>
    <w:rsid w:val="00B75092"/>
    <w:rsid w:val="00B75567"/>
    <w:rsid w:val="00B75822"/>
    <w:rsid w:val="00B759B2"/>
    <w:rsid w:val="00B76189"/>
    <w:rsid w:val="00B7675F"/>
    <w:rsid w:val="00B76FF7"/>
    <w:rsid w:val="00B771B2"/>
    <w:rsid w:val="00B775DD"/>
    <w:rsid w:val="00B80D6C"/>
    <w:rsid w:val="00B81189"/>
    <w:rsid w:val="00B81814"/>
    <w:rsid w:val="00B81D84"/>
    <w:rsid w:val="00B8235C"/>
    <w:rsid w:val="00B82F11"/>
    <w:rsid w:val="00B82F52"/>
    <w:rsid w:val="00B83326"/>
    <w:rsid w:val="00B83CD9"/>
    <w:rsid w:val="00B83E24"/>
    <w:rsid w:val="00B83ED6"/>
    <w:rsid w:val="00B847A8"/>
    <w:rsid w:val="00B84B29"/>
    <w:rsid w:val="00B84FA3"/>
    <w:rsid w:val="00B84FFA"/>
    <w:rsid w:val="00B8544A"/>
    <w:rsid w:val="00B854DE"/>
    <w:rsid w:val="00B8553C"/>
    <w:rsid w:val="00B8596B"/>
    <w:rsid w:val="00B85FFD"/>
    <w:rsid w:val="00B860D7"/>
    <w:rsid w:val="00B86266"/>
    <w:rsid w:val="00B86E15"/>
    <w:rsid w:val="00B870DE"/>
    <w:rsid w:val="00B873B3"/>
    <w:rsid w:val="00B87427"/>
    <w:rsid w:val="00B90107"/>
    <w:rsid w:val="00B9051A"/>
    <w:rsid w:val="00B9073D"/>
    <w:rsid w:val="00B908C7"/>
    <w:rsid w:val="00B90BCA"/>
    <w:rsid w:val="00B912EC"/>
    <w:rsid w:val="00B9146F"/>
    <w:rsid w:val="00B914B4"/>
    <w:rsid w:val="00B91DC4"/>
    <w:rsid w:val="00B9212E"/>
    <w:rsid w:val="00B9242A"/>
    <w:rsid w:val="00B9283F"/>
    <w:rsid w:val="00B92DAA"/>
    <w:rsid w:val="00B93104"/>
    <w:rsid w:val="00B9314F"/>
    <w:rsid w:val="00B94412"/>
    <w:rsid w:val="00B94933"/>
    <w:rsid w:val="00B94B16"/>
    <w:rsid w:val="00B94E91"/>
    <w:rsid w:val="00B95B2C"/>
    <w:rsid w:val="00B95C15"/>
    <w:rsid w:val="00B960A2"/>
    <w:rsid w:val="00B96256"/>
    <w:rsid w:val="00B963AB"/>
    <w:rsid w:val="00B973AD"/>
    <w:rsid w:val="00B97AB8"/>
    <w:rsid w:val="00B97B8C"/>
    <w:rsid w:val="00BA0A42"/>
    <w:rsid w:val="00BA0D7E"/>
    <w:rsid w:val="00BA0DCD"/>
    <w:rsid w:val="00BA12FF"/>
    <w:rsid w:val="00BA1481"/>
    <w:rsid w:val="00BA14CD"/>
    <w:rsid w:val="00BA1A57"/>
    <w:rsid w:val="00BA1D35"/>
    <w:rsid w:val="00BA1EA9"/>
    <w:rsid w:val="00BA20C4"/>
    <w:rsid w:val="00BA2191"/>
    <w:rsid w:val="00BA2315"/>
    <w:rsid w:val="00BA24D8"/>
    <w:rsid w:val="00BA2881"/>
    <w:rsid w:val="00BA2AB1"/>
    <w:rsid w:val="00BA303F"/>
    <w:rsid w:val="00BA308B"/>
    <w:rsid w:val="00BA37D8"/>
    <w:rsid w:val="00BA3DB0"/>
    <w:rsid w:val="00BA4017"/>
    <w:rsid w:val="00BA4C97"/>
    <w:rsid w:val="00BA505A"/>
    <w:rsid w:val="00BA50DE"/>
    <w:rsid w:val="00BA52FE"/>
    <w:rsid w:val="00BA5DD6"/>
    <w:rsid w:val="00BA61AE"/>
    <w:rsid w:val="00BA6537"/>
    <w:rsid w:val="00BA6761"/>
    <w:rsid w:val="00BA6FC4"/>
    <w:rsid w:val="00BA7050"/>
    <w:rsid w:val="00BA7660"/>
    <w:rsid w:val="00BA7A31"/>
    <w:rsid w:val="00BA7AAF"/>
    <w:rsid w:val="00BB00A3"/>
    <w:rsid w:val="00BB0213"/>
    <w:rsid w:val="00BB0395"/>
    <w:rsid w:val="00BB0A2A"/>
    <w:rsid w:val="00BB0D98"/>
    <w:rsid w:val="00BB0EFD"/>
    <w:rsid w:val="00BB0F09"/>
    <w:rsid w:val="00BB1B41"/>
    <w:rsid w:val="00BB209B"/>
    <w:rsid w:val="00BB2AE9"/>
    <w:rsid w:val="00BB32FA"/>
    <w:rsid w:val="00BB33C7"/>
    <w:rsid w:val="00BB344E"/>
    <w:rsid w:val="00BB34CC"/>
    <w:rsid w:val="00BB4329"/>
    <w:rsid w:val="00BB43A4"/>
    <w:rsid w:val="00BB556E"/>
    <w:rsid w:val="00BB5779"/>
    <w:rsid w:val="00BB5A7E"/>
    <w:rsid w:val="00BB5F53"/>
    <w:rsid w:val="00BB5FB3"/>
    <w:rsid w:val="00BB66E6"/>
    <w:rsid w:val="00BB6C95"/>
    <w:rsid w:val="00BB76D6"/>
    <w:rsid w:val="00BB7964"/>
    <w:rsid w:val="00BB7BC2"/>
    <w:rsid w:val="00BC0046"/>
    <w:rsid w:val="00BC0D52"/>
    <w:rsid w:val="00BC0F3D"/>
    <w:rsid w:val="00BC0F99"/>
    <w:rsid w:val="00BC0FA3"/>
    <w:rsid w:val="00BC1188"/>
    <w:rsid w:val="00BC12D3"/>
    <w:rsid w:val="00BC163B"/>
    <w:rsid w:val="00BC1CAA"/>
    <w:rsid w:val="00BC2631"/>
    <w:rsid w:val="00BC317E"/>
    <w:rsid w:val="00BC3667"/>
    <w:rsid w:val="00BC3AC0"/>
    <w:rsid w:val="00BC3EBD"/>
    <w:rsid w:val="00BC47FD"/>
    <w:rsid w:val="00BC5582"/>
    <w:rsid w:val="00BC5905"/>
    <w:rsid w:val="00BC5CBE"/>
    <w:rsid w:val="00BC6255"/>
    <w:rsid w:val="00BC6B6C"/>
    <w:rsid w:val="00BC6B76"/>
    <w:rsid w:val="00BC6CC6"/>
    <w:rsid w:val="00BC71E3"/>
    <w:rsid w:val="00BC7B4C"/>
    <w:rsid w:val="00BD0268"/>
    <w:rsid w:val="00BD09DE"/>
    <w:rsid w:val="00BD142C"/>
    <w:rsid w:val="00BD15FD"/>
    <w:rsid w:val="00BD1F10"/>
    <w:rsid w:val="00BD1F57"/>
    <w:rsid w:val="00BD250C"/>
    <w:rsid w:val="00BD2ED0"/>
    <w:rsid w:val="00BD2F55"/>
    <w:rsid w:val="00BD326B"/>
    <w:rsid w:val="00BD3864"/>
    <w:rsid w:val="00BD3867"/>
    <w:rsid w:val="00BD3E24"/>
    <w:rsid w:val="00BD44C5"/>
    <w:rsid w:val="00BD476C"/>
    <w:rsid w:val="00BD4801"/>
    <w:rsid w:val="00BD4AEE"/>
    <w:rsid w:val="00BD595E"/>
    <w:rsid w:val="00BD5AD4"/>
    <w:rsid w:val="00BD7338"/>
    <w:rsid w:val="00BD7B4D"/>
    <w:rsid w:val="00BE00A3"/>
    <w:rsid w:val="00BE0303"/>
    <w:rsid w:val="00BE08B7"/>
    <w:rsid w:val="00BE0909"/>
    <w:rsid w:val="00BE0C95"/>
    <w:rsid w:val="00BE0F4B"/>
    <w:rsid w:val="00BE1169"/>
    <w:rsid w:val="00BE1539"/>
    <w:rsid w:val="00BE1682"/>
    <w:rsid w:val="00BE25DF"/>
    <w:rsid w:val="00BE2603"/>
    <w:rsid w:val="00BE29F2"/>
    <w:rsid w:val="00BE2EA8"/>
    <w:rsid w:val="00BE300F"/>
    <w:rsid w:val="00BE3966"/>
    <w:rsid w:val="00BE3977"/>
    <w:rsid w:val="00BE398A"/>
    <w:rsid w:val="00BE3BFE"/>
    <w:rsid w:val="00BE3D22"/>
    <w:rsid w:val="00BE43BB"/>
    <w:rsid w:val="00BE4684"/>
    <w:rsid w:val="00BE4E65"/>
    <w:rsid w:val="00BE523A"/>
    <w:rsid w:val="00BE587C"/>
    <w:rsid w:val="00BE6681"/>
    <w:rsid w:val="00BE7319"/>
    <w:rsid w:val="00BF0037"/>
    <w:rsid w:val="00BF00E1"/>
    <w:rsid w:val="00BF06AD"/>
    <w:rsid w:val="00BF097D"/>
    <w:rsid w:val="00BF09AD"/>
    <w:rsid w:val="00BF0DBC"/>
    <w:rsid w:val="00BF10B1"/>
    <w:rsid w:val="00BF110F"/>
    <w:rsid w:val="00BF1ACC"/>
    <w:rsid w:val="00BF1D84"/>
    <w:rsid w:val="00BF1F27"/>
    <w:rsid w:val="00BF231A"/>
    <w:rsid w:val="00BF236F"/>
    <w:rsid w:val="00BF2D5C"/>
    <w:rsid w:val="00BF2E3F"/>
    <w:rsid w:val="00BF2F09"/>
    <w:rsid w:val="00BF31A2"/>
    <w:rsid w:val="00BF3BC1"/>
    <w:rsid w:val="00BF3BF5"/>
    <w:rsid w:val="00BF3D36"/>
    <w:rsid w:val="00BF4293"/>
    <w:rsid w:val="00BF42BA"/>
    <w:rsid w:val="00BF433D"/>
    <w:rsid w:val="00BF4596"/>
    <w:rsid w:val="00BF461C"/>
    <w:rsid w:val="00BF48C6"/>
    <w:rsid w:val="00BF4A12"/>
    <w:rsid w:val="00BF5831"/>
    <w:rsid w:val="00BF5981"/>
    <w:rsid w:val="00BF5E26"/>
    <w:rsid w:val="00BF5F12"/>
    <w:rsid w:val="00BF6041"/>
    <w:rsid w:val="00BF63AC"/>
    <w:rsid w:val="00BF646A"/>
    <w:rsid w:val="00BF6516"/>
    <w:rsid w:val="00BF671B"/>
    <w:rsid w:val="00BF7680"/>
    <w:rsid w:val="00BF77CC"/>
    <w:rsid w:val="00BF7A51"/>
    <w:rsid w:val="00BF7E75"/>
    <w:rsid w:val="00C00170"/>
    <w:rsid w:val="00C00210"/>
    <w:rsid w:val="00C0078F"/>
    <w:rsid w:val="00C007DE"/>
    <w:rsid w:val="00C0126F"/>
    <w:rsid w:val="00C01CAB"/>
    <w:rsid w:val="00C020D0"/>
    <w:rsid w:val="00C02490"/>
    <w:rsid w:val="00C02564"/>
    <w:rsid w:val="00C027E2"/>
    <w:rsid w:val="00C02F4F"/>
    <w:rsid w:val="00C03112"/>
    <w:rsid w:val="00C0319C"/>
    <w:rsid w:val="00C042B1"/>
    <w:rsid w:val="00C04606"/>
    <w:rsid w:val="00C04843"/>
    <w:rsid w:val="00C04E41"/>
    <w:rsid w:val="00C04FFF"/>
    <w:rsid w:val="00C0521F"/>
    <w:rsid w:val="00C05269"/>
    <w:rsid w:val="00C056E4"/>
    <w:rsid w:val="00C05F39"/>
    <w:rsid w:val="00C06881"/>
    <w:rsid w:val="00C068AC"/>
    <w:rsid w:val="00C06F35"/>
    <w:rsid w:val="00C070DF"/>
    <w:rsid w:val="00C07762"/>
    <w:rsid w:val="00C108ED"/>
    <w:rsid w:val="00C1093E"/>
    <w:rsid w:val="00C11377"/>
    <w:rsid w:val="00C11AC0"/>
    <w:rsid w:val="00C11CF6"/>
    <w:rsid w:val="00C12243"/>
    <w:rsid w:val="00C12C10"/>
    <w:rsid w:val="00C12D73"/>
    <w:rsid w:val="00C1358C"/>
    <w:rsid w:val="00C136B3"/>
    <w:rsid w:val="00C1386B"/>
    <w:rsid w:val="00C13927"/>
    <w:rsid w:val="00C13DD2"/>
    <w:rsid w:val="00C14855"/>
    <w:rsid w:val="00C14B6E"/>
    <w:rsid w:val="00C14F95"/>
    <w:rsid w:val="00C1534A"/>
    <w:rsid w:val="00C15941"/>
    <w:rsid w:val="00C159E2"/>
    <w:rsid w:val="00C15F70"/>
    <w:rsid w:val="00C16020"/>
    <w:rsid w:val="00C1614E"/>
    <w:rsid w:val="00C16198"/>
    <w:rsid w:val="00C16210"/>
    <w:rsid w:val="00C16653"/>
    <w:rsid w:val="00C1669C"/>
    <w:rsid w:val="00C16744"/>
    <w:rsid w:val="00C17108"/>
    <w:rsid w:val="00C1771C"/>
    <w:rsid w:val="00C17A2C"/>
    <w:rsid w:val="00C20785"/>
    <w:rsid w:val="00C2170F"/>
    <w:rsid w:val="00C21D38"/>
    <w:rsid w:val="00C21D8E"/>
    <w:rsid w:val="00C227E9"/>
    <w:rsid w:val="00C22A22"/>
    <w:rsid w:val="00C22A7B"/>
    <w:rsid w:val="00C22AC7"/>
    <w:rsid w:val="00C22EBB"/>
    <w:rsid w:val="00C230A1"/>
    <w:rsid w:val="00C235B3"/>
    <w:rsid w:val="00C23AF9"/>
    <w:rsid w:val="00C23D18"/>
    <w:rsid w:val="00C23FF3"/>
    <w:rsid w:val="00C242A5"/>
    <w:rsid w:val="00C24F29"/>
    <w:rsid w:val="00C24F67"/>
    <w:rsid w:val="00C2525C"/>
    <w:rsid w:val="00C255A3"/>
    <w:rsid w:val="00C25691"/>
    <w:rsid w:val="00C256FA"/>
    <w:rsid w:val="00C25DC1"/>
    <w:rsid w:val="00C25EFD"/>
    <w:rsid w:val="00C26836"/>
    <w:rsid w:val="00C26BE1"/>
    <w:rsid w:val="00C27716"/>
    <w:rsid w:val="00C278AA"/>
    <w:rsid w:val="00C27915"/>
    <w:rsid w:val="00C300AF"/>
    <w:rsid w:val="00C3019E"/>
    <w:rsid w:val="00C30A4B"/>
    <w:rsid w:val="00C30D3C"/>
    <w:rsid w:val="00C31445"/>
    <w:rsid w:val="00C316EA"/>
    <w:rsid w:val="00C3219B"/>
    <w:rsid w:val="00C321DA"/>
    <w:rsid w:val="00C326D8"/>
    <w:rsid w:val="00C32DC5"/>
    <w:rsid w:val="00C3325B"/>
    <w:rsid w:val="00C33945"/>
    <w:rsid w:val="00C33A06"/>
    <w:rsid w:val="00C33B1A"/>
    <w:rsid w:val="00C33B7C"/>
    <w:rsid w:val="00C346D1"/>
    <w:rsid w:val="00C349C3"/>
    <w:rsid w:val="00C34B4C"/>
    <w:rsid w:val="00C35008"/>
    <w:rsid w:val="00C356EE"/>
    <w:rsid w:val="00C3585D"/>
    <w:rsid w:val="00C362A0"/>
    <w:rsid w:val="00C36681"/>
    <w:rsid w:val="00C36FA9"/>
    <w:rsid w:val="00C378F3"/>
    <w:rsid w:val="00C37B42"/>
    <w:rsid w:val="00C40019"/>
    <w:rsid w:val="00C4017D"/>
    <w:rsid w:val="00C40777"/>
    <w:rsid w:val="00C40E61"/>
    <w:rsid w:val="00C4139F"/>
    <w:rsid w:val="00C41414"/>
    <w:rsid w:val="00C41890"/>
    <w:rsid w:val="00C41B1A"/>
    <w:rsid w:val="00C41F08"/>
    <w:rsid w:val="00C42E61"/>
    <w:rsid w:val="00C4305E"/>
    <w:rsid w:val="00C43D52"/>
    <w:rsid w:val="00C43ECD"/>
    <w:rsid w:val="00C43EFB"/>
    <w:rsid w:val="00C443BF"/>
    <w:rsid w:val="00C44AAE"/>
    <w:rsid w:val="00C44B43"/>
    <w:rsid w:val="00C44C15"/>
    <w:rsid w:val="00C44E7A"/>
    <w:rsid w:val="00C454A0"/>
    <w:rsid w:val="00C45FD3"/>
    <w:rsid w:val="00C46163"/>
    <w:rsid w:val="00C46687"/>
    <w:rsid w:val="00C46D0E"/>
    <w:rsid w:val="00C46D1D"/>
    <w:rsid w:val="00C47332"/>
    <w:rsid w:val="00C473FA"/>
    <w:rsid w:val="00C4740E"/>
    <w:rsid w:val="00C476B5"/>
    <w:rsid w:val="00C47C39"/>
    <w:rsid w:val="00C47DEF"/>
    <w:rsid w:val="00C47FFB"/>
    <w:rsid w:val="00C50558"/>
    <w:rsid w:val="00C50F4D"/>
    <w:rsid w:val="00C51856"/>
    <w:rsid w:val="00C51CA8"/>
    <w:rsid w:val="00C52244"/>
    <w:rsid w:val="00C52432"/>
    <w:rsid w:val="00C5243D"/>
    <w:rsid w:val="00C52840"/>
    <w:rsid w:val="00C52A16"/>
    <w:rsid w:val="00C52FC7"/>
    <w:rsid w:val="00C53317"/>
    <w:rsid w:val="00C53381"/>
    <w:rsid w:val="00C535F4"/>
    <w:rsid w:val="00C53DEE"/>
    <w:rsid w:val="00C554A1"/>
    <w:rsid w:val="00C556DD"/>
    <w:rsid w:val="00C55D84"/>
    <w:rsid w:val="00C565C8"/>
    <w:rsid w:val="00C56B30"/>
    <w:rsid w:val="00C56D4C"/>
    <w:rsid w:val="00C56E39"/>
    <w:rsid w:val="00C57568"/>
    <w:rsid w:val="00C577E4"/>
    <w:rsid w:val="00C57AFB"/>
    <w:rsid w:val="00C57E19"/>
    <w:rsid w:val="00C57FCA"/>
    <w:rsid w:val="00C606B0"/>
    <w:rsid w:val="00C60717"/>
    <w:rsid w:val="00C60959"/>
    <w:rsid w:val="00C61158"/>
    <w:rsid w:val="00C61324"/>
    <w:rsid w:val="00C61509"/>
    <w:rsid w:val="00C61EB9"/>
    <w:rsid w:val="00C620EC"/>
    <w:rsid w:val="00C622D9"/>
    <w:rsid w:val="00C62793"/>
    <w:rsid w:val="00C63062"/>
    <w:rsid w:val="00C63103"/>
    <w:rsid w:val="00C6343E"/>
    <w:rsid w:val="00C63716"/>
    <w:rsid w:val="00C63B48"/>
    <w:rsid w:val="00C63F6D"/>
    <w:rsid w:val="00C6445C"/>
    <w:rsid w:val="00C6486E"/>
    <w:rsid w:val="00C64ADB"/>
    <w:rsid w:val="00C64C23"/>
    <w:rsid w:val="00C65417"/>
    <w:rsid w:val="00C656A3"/>
    <w:rsid w:val="00C65A01"/>
    <w:rsid w:val="00C65AED"/>
    <w:rsid w:val="00C65B58"/>
    <w:rsid w:val="00C66A7A"/>
    <w:rsid w:val="00C679B2"/>
    <w:rsid w:val="00C67EB5"/>
    <w:rsid w:val="00C703E5"/>
    <w:rsid w:val="00C70622"/>
    <w:rsid w:val="00C70EFA"/>
    <w:rsid w:val="00C710DB"/>
    <w:rsid w:val="00C71597"/>
    <w:rsid w:val="00C71878"/>
    <w:rsid w:val="00C724A4"/>
    <w:rsid w:val="00C7265F"/>
    <w:rsid w:val="00C727C4"/>
    <w:rsid w:val="00C72EFA"/>
    <w:rsid w:val="00C7301E"/>
    <w:rsid w:val="00C736FB"/>
    <w:rsid w:val="00C73762"/>
    <w:rsid w:val="00C73DA5"/>
    <w:rsid w:val="00C7423B"/>
    <w:rsid w:val="00C74984"/>
    <w:rsid w:val="00C74CE7"/>
    <w:rsid w:val="00C75421"/>
    <w:rsid w:val="00C754CE"/>
    <w:rsid w:val="00C76CFB"/>
    <w:rsid w:val="00C7709D"/>
    <w:rsid w:val="00C7720A"/>
    <w:rsid w:val="00C7794D"/>
    <w:rsid w:val="00C77950"/>
    <w:rsid w:val="00C77C88"/>
    <w:rsid w:val="00C80719"/>
    <w:rsid w:val="00C80814"/>
    <w:rsid w:val="00C8082A"/>
    <w:rsid w:val="00C80A52"/>
    <w:rsid w:val="00C80D48"/>
    <w:rsid w:val="00C81055"/>
    <w:rsid w:val="00C8140A"/>
    <w:rsid w:val="00C81954"/>
    <w:rsid w:val="00C81F96"/>
    <w:rsid w:val="00C8218C"/>
    <w:rsid w:val="00C82430"/>
    <w:rsid w:val="00C827E1"/>
    <w:rsid w:val="00C831A5"/>
    <w:rsid w:val="00C83403"/>
    <w:rsid w:val="00C839BD"/>
    <w:rsid w:val="00C83ACF"/>
    <w:rsid w:val="00C84898"/>
    <w:rsid w:val="00C849CC"/>
    <w:rsid w:val="00C8594B"/>
    <w:rsid w:val="00C85D23"/>
    <w:rsid w:val="00C86388"/>
    <w:rsid w:val="00C876A1"/>
    <w:rsid w:val="00C87B74"/>
    <w:rsid w:val="00C87E9B"/>
    <w:rsid w:val="00C90716"/>
    <w:rsid w:val="00C91035"/>
    <w:rsid w:val="00C9156E"/>
    <w:rsid w:val="00C91BC8"/>
    <w:rsid w:val="00C91C77"/>
    <w:rsid w:val="00C9216E"/>
    <w:rsid w:val="00C921AA"/>
    <w:rsid w:val="00C9226E"/>
    <w:rsid w:val="00C92447"/>
    <w:rsid w:val="00C92945"/>
    <w:rsid w:val="00C9298B"/>
    <w:rsid w:val="00C92ED2"/>
    <w:rsid w:val="00C94E81"/>
    <w:rsid w:val="00C95B09"/>
    <w:rsid w:val="00C96FE0"/>
    <w:rsid w:val="00C9739B"/>
    <w:rsid w:val="00C9757E"/>
    <w:rsid w:val="00C97584"/>
    <w:rsid w:val="00C97886"/>
    <w:rsid w:val="00C97D4E"/>
    <w:rsid w:val="00C97D56"/>
    <w:rsid w:val="00CA035C"/>
    <w:rsid w:val="00CA0D8A"/>
    <w:rsid w:val="00CA19C1"/>
    <w:rsid w:val="00CA216D"/>
    <w:rsid w:val="00CA2492"/>
    <w:rsid w:val="00CA2528"/>
    <w:rsid w:val="00CA305A"/>
    <w:rsid w:val="00CA3105"/>
    <w:rsid w:val="00CA3482"/>
    <w:rsid w:val="00CA362B"/>
    <w:rsid w:val="00CA36CB"/>
    <w:rsid w:val="00CA399F"/>
    <w:rsid w:val="00CA39D3"/>
    <w:rsid w:val="00CA3A3C"/>
    <w:rsid w:val="00CA3CA1"/>
    <w:rsid w:val="00CA4094"/>
    <w:rsid w:val="00CA4AB5"/>
    <w:rsid w:val="00CA4F5B"/>
    <w:rsid w:val="00CA4FF4"/>
    <w:rsid w:val="00CA5965"/>
    <w:rsid w:val="00CA5B04"/>
    <w:rsid w:val="00CA5BD1"/>
    <w:rsid w:val="00CA5FD8"/>
    <w:rsid w:val="00CA6CEE"/>
    <w:rsid w:val="00CA6D41"/>
    <w:rsid w:val="00CA713A"/>
    <w:rsid w:val="00CA715F"/>
    <w:rsid w:val="00CA78B3"/>
    <w:rsid w:val="00CA7AA3"/>
    <w:rsid w:val="00CA7E67"/>
    <w:rsid w:val="00CB14B6"/>
    <w:rsid w:val="00CB15E3"/>
    <w:rsid w:val="00CB1AD9"/>
    <w:rsid w:val="00CB1B7B"/>
    <w:rsid w:val="00CB1FAD"/>
    <w:rsid w:val="00CB2F59"/>
    <w:rsid w:val="00CB332D"/>
    <w:rsid w:val="00CB408E"/>
    <w:rsid w:val="00CB4134"/>
    <w:rsid w:val="00CB45B3"/>
    <w:rsid w:val="00CB4920"/>
    <w:rsid w:val="00CB4DF4"/>
    <w:rsid w:val="00CB4E19"/>
    <w:rsid w:val="00CB4EB8"/>
    <w:rsid w:val="00CB51A4"/>
    <w:rsid w:val="00CB5221"/>
    <w:rsid w:val="00CB55F6"/>
    <w:rsid w:val="00CB613A"/>
    <w:rsid w:val="00CB6435"/>
    <w:rsid w:val="00CB64DD"/>
    <w:rsid w:val="00CB6823"/>
    <w:rsid w:val="00CB68EE"/>
    <w:rsid w:val="00CB6D14"/>
    <w:rsid w:val="00CB6E6A"/>
    <w:rsid w:val="00CB71C5"/>
    <w:rsid w:val="00CB7354"/>
    <w:rsid w:val="00CB78A2"/>
    <w:rsid w:val="00CB7950"/>
    <w:rsid w:val="00CC0019"/>
    <w:rsid w:val="00CC02B2"/>
    <w:rsid w:val="00CC0CE9"/>
    <w:rsid w:val="00CC0EA8"/>
    <w:rsid w:val="00CC12B3"/>
    <w:rsid w:val="00CC1DC5"/>
    <w:rsid w:val="00CC272D"/>
    <w:rsid w:val="00CC30BD"/>
    <w:rsid w:val="00CC34EA"/>
    <w:rsid w:val="00CC36FA"/>
    <w:rsid w:val="00CC3E85"/>
    <w:rsid w:val="00CC3EFD"/>
    <w:rsid w:val="00CC4F59"/>
    <w:rsid w:val="00CC50FA"/>
    <w:rsid w:val="00CC54B2"/>
    <w:rsid w:val="00CC5DB0"/>
    <w:rsid w:val="00CC5FBD"/>
    <w:rsid w:val="00CC65D3"/>
    <w:rsid w:val="00CC6EC3"/>
    <w:rsid w:val="00CC7133"/>
    <w:rsid w:val="00CC766D"/>
    <w:rsid w:val="00CC7D12"/>
    <w:rsid w:val="00CC7D37"/>
    <w:rsid w:val="00CC7E6E"/>
    <w:rsid w:val="00CD0003"/>
    <w:rsid w:val="00CD0335"/>
    <w:rsid w:val="00CD042C"/>
    <w:rsid w:val="00CD049B"/>
    <w:rsid w:val="00CD0C1E"/>
    <w:rsid w:val="00CD1031"/>
    <w:rsid w:val="00CD19F0"/>
    <w:rsid w:val="00CD1F03"/>
    <w:rsid w:val="00CD224E"/>
    <w:rsid w:val="00CD2667"/>
    <w:rsid w:val="00CD2DFE"/>
    <w:rsid w:val="00CD2E75"/>
    <w:rsid w:val="00CD3961"/>
    <w:rsid w:val="00CD4DE3"/>
    <w:rsid w:val="00CD50DF"/>
    <w:rsid w:val="00CD530E"/>
    <w:rsid w:val="00CD5F28"/>
    <w:rsid w:val="00CD6429"/>
    <w:rsid w:val="00CD74ED"/>
    <w:rsid w:val="00CD7CF1"/>
    <w:rsid w:val="00CE0A21"/>
    <w:rsid w:val="00CE0A9B"/>
    <w:rsid w:val="00CE0C1E"/>
    <w:rsid w:val="00CE0CFA"/>
    <w:rsid w:val="00CE10C6"/>
    <w:rsid w:val="00CE10FD"/>
    <w:rsid w:val="00CE1326"/>
    <w:rsid w:val="00CE1388"/>
    <w:rsid w:val="00CE15F7"/>
    <w:rsid w:val="00CE1B69"/>
    <w:rsid w:val="00CE1E15"/>
    <w:rsid w:val="00CE20B0"/>
    <w:rsid w:val="00CE234D"/>
    <w:rsid w:val="00CE23F2"/>
    <w:rsid w:val="00CE2687"/>
    <w:rsid w:val="00CE269D"/>
    <w:rsid w:val="00CE29BF"/>
    <w:rsid w:val="00CE2A16"/>
    <w:rsid w:val="00CE2CB3"/>
    <w:rsid w:val="00CE31C6"/>
    <w:rsid w:val="00CE3506"/>
    <w:rsid w:val="00CE3723"/>
    <w:rsid w:val="00CE37BA"/>
    <w:rsid w:val="00CE3D9A"/>
    <w:rsid w:val="00CE41A9"/>
    <w:rsid w:val="00CE438B"/>
    <w:rsid w:val="00CE474A"/>
    <w:rsid w:val="00CE4772"/>
    <w:rsid w:val="00CE47B0"/>
    <w:rsid w:val="00CE4EF3"/>
    <w:rsid w:val="00CE5224"/>
    <w:rsid w:val="00CE52AA"/>
    <w:rsid w:val="00CE5873"/>
    <w:rsid w:val="00CE6C5D"/>
    <w:rsid w:val="00CE6C73"/>
    <w:rsid w:val="00CE753F"/>
    <w:rsid w:val="00CE7AEE"/>
    <w:rsid w:val="00CF0907"/>
    <w:rsid w:val="00CF13F7"/>
    <w:rsid w:val="00CF1D4B"/>
    <w:rsid w:val="00CF233A"/>
    <w:rsid w:val="00CF2721"/>
    <w:rsid w:val="00CF2DCD"/>
    <w:rsid w:val="00CF318C"/>
    <w:rsid w:val="00CF3582"/>
    <w:rsid w:val="00CF401D"/>
    <w:rsid w:val="00CF4BF7"/>
    <w:rsid w:val="00CF5726"/>
    <w:rsid w:val="00CF5868"/>
    <w:rsid w:val="00CF6EEE"/>
    <w:rsid w:val="00CF6F04"/>
    <w:rsid w:val="00CF7277"/>
    <w:rsid w:val="00CF76B7"/>
    <w:rsid w:val="00CF79B8"/>
    <w:rsid w:val="00D00048"/>
    <w:rsid w:val="00D0021E"/>
    <w:rsid w:val="00D00878"/>
    <w:rsid w:val="00D01668"/>
    <w:rsid w:val="00D0248C"/>
    <w:rsid w:val="00D02FFF"/>
    <w:rsid w:val="00D030A2"/>
    <w:rsid w:val="00D03221"/>
    <w:rsid w:val="00D0341D"/>
    <w:rsid w:val="00D03D7D"/>
    <w:rsid w:val="00D04451"/>
    <w:rsid w:val="00D0449E"/>
    <w:rsid w:val="00D047AF"/>
    <w:rsid w:val="00D04BE0"/>
    <w:rsid w:val="00D04C9A"/>
    <w:rsid w:val="00D05B44"/>
    <w:rsid w:val="00D07105"/>
    <w:rsid w:val="00D07C85"/>
    <w:rsid w:val="00D1025F"/>
    <w:rsid w:val="00D10456"/>
    <w:rsid w:val="00D10562"/>
    <w:rsid w:val="00D105B6"/>
    <w:rsid w:val="00D10806"/>
    <w:rsid w:val="00D1157D"/>
    <w:rsid w:val="00D1182C"/>
    <w:rsid w:val="00D11AE2"/>
    <w:rsid w:val="00D120E9"/>
    <w:rsid w:val="00D128EC"/>
    <w:rsid w:val="00D129E9"/>
    <w:rsid w:val="00D12ACB"/>
    <w:rsid w:val="00D12E85"/>
    <w:rsid w:val="00D132DE"/>
    <w:rsid w:val="00D13510"/>
    <w:rsid w:val="00D13CCB"/>
    <w:rsid w:val="00D1451F"/>
    <w:rsid w:val="00D14786"/>
    <w:rsid w:val="00D14CED"/>
    <w:rsid w:val="00D1501F"/>
    <w:rsid w:val="00D15623"/>
    <w:rsid w:val="00D15CF3"/>
    <w:rsid w:val="00D15F2A"/>
    <w:rsid w:val="00D163CA"/>
    <w:rsid w:val="00D164BF"/>
    <w:rsid w:val="00D16B2E"/>
    <w:rsid w:val="00D172BF"/>
    <w:rsid w:val="00D17383"/>
    <w:rsid w:val="00D17DBA"/>
    <w:rsid w:val="00D20036"/>
    <w:rsid w:val="00D20376"/>
    <w:rsid w:val="00D2054A"/>
    <w:rsid w:val="00D20D76"/>
    <w:rsid w:val="00D20DFD"/>
    <w:rsid w:val="00D2137E"/>
    <w:rsid w:val="00D21A32"/>
    <w:rsid w:val="00D21ED9"/>
    <w:rsid w:val="00D22963"/>
    <w:rsid w:val="00D2344C"/>
    <w:rsid w:val="00D2360F"/>
    <w:rsid w:val="00D23965"/>
    <w:rsid w:val="00D2404A"/>
    <w:rsid w:val="00D243E0"/>
    <w:rsid w:val="00D244F0"/>
    <w:rsid w:val="00D245C3"/>
    <w:rsid w:val="00D247E2"/>
    <w:rsid w:val="00D249C6"/>
    <w:rsid w:val="00D24A27"/>
    <w:rsid w:val="00D24D14"/>
    <w:rsid w:val="00D25453"/>
    <w:rsid w:val="00D255CE"/>
    <w:rsid w:val="00D25803"/>
    <w:rsid w:val="00D261B3"/>
    <w:rsid w:val="00D263A3"/>
    <w:rsid w:val="00D26E7F"/>
    <w:rsid w:val="00D271F4"/>
    <w:rsid w:val="00D27D7A"/>
    <w:rsid w:val="00D305F6"/>
    <w:rsid w:val="00D30909"/>
    <w:rsid w:val="00D30ADD"/>
    <w:rsid w:val="00D30B6D"/>
    <w:rsid w:val="00D30C54"/>
    <w:rsid w:val="00D311D2"/>
    <w:rsid w:val="00D316AB"/>
    <w:rsid w:val="00D318EE"/>
    <w:rsid w:val="00D32582"/>
    <w:rsid w:val="00D32656"/>
    <w:rsid w:val="00D326FB"/>
    <w:rsid w:val="00D32AA4"/>
    <w:rsid w:val="00D32B33"/>
    <w:rsid w:val="00D3312B"/>
    <w:rsid w:val="00D3329A"/>
    <w:rsid w:val="00D33494"/>
    <w:rsid w:val="00D334F5"/>
    <w:rsid w:val="00D33623"/>
    <w:rsid w:val="00D33640"/>
    <w:rsid w:val="00D33655"/>
    <w:rsid w:val="00D341BA"/>
    <w:rsid w:val="00D346A3"/>
    <w:rsid w:val="00D3485E"/>
    <w:rsid w:val="00D3488B"/>
    <w:rsid w:val="00D349CF"/>
    <w:rsid w:val="00D34EFE"/>
    <w:rsid w:val="00D34F3A"/>
    <w:rsid w:val="00D35173"/>
    <w:rsid w:val="00D35347"/>
    <w:rsid w:val="00D355B4"/>
    <w:rsid w:val="00D35796"/>
    <w:rsid w:val="00D36069"/>
    <w:rsid w:val="00D36361"/>
    <w:rsid w:val="00D36526"/>
    <w:rsid w:val="00D367C0"/>
    <w:rsid w:val="00D369A3"/>
    <w:rsid w:val="00D36C79"/>
    <w:rsid w:val="00D36F7E"/>
    <w:rsid w:val="00D37661"/>
    <w:rsid w:val="00D378CC"/>
    <w:rsid w:val="00D37E2D"/>
    <w:rsid w:val="00D37F89"/>
    <w:rsid w:val="00D40058"/>
    <w:rsid w:val="00D4028F"/>
    <w:rsid w:val="00D40426"/>
    <w:rsid w:val="00D41440"/>
    <w:rsid w:val="00D41641"/>
    <w:rsid w:val="00D41A46"/>
    <w:rsid w:val="00D41F5A"/>
    <w:rsid w:val="00D420AD"/>
    <w:rsid w:val="00D4243A"/>
    <w:rsid w:val="00D434FC"/>
    <w:rsid w:val="00D43583"/>
    <w:rsid w:val="00D43AAC"/>
    <w:rsid w:val="00D443AB"/>
    <w:rsid w:val="00D446B5"/>
    <w:rsid w:val="00D44B15"/>
    <w:rsid w:val="00D44BA8"/>
    <w:rsid w:val="00D44BB7"/>
    <w:rsid w:val="00D4590C"/>
    <w:rsid w:val="00D4596A"/>
    <w:rsid w:val="00D46B0C"/>
    <w:rsid w:val="00D46B73"/>
    <w:rsid w:val="00D46C33"/>
    <w:rsid w:val="00D46C67"/>
    <w:rsid w:val="00D473FE"/>
    <w:rsid w:val="00D476EE"/>
    <w:rsid w:val="00D5014F"/>
    <w:rsid w:val="00D5023B"/>
    <w:rsid w:val="00D502C9"/>
    <w:rsid w:val="00D5051B"/>
    <w:rsid w:val="00D516A7"/>
    <w:rsid w:val="00D516F0"/>
    <w:rsid w:val="00D51B66"/>
    <w:rsid w:val="00D52081"/>
    <w:rsid w:val="00D52475"/>
    <w:rsid w:val="00D524D2"/>
    <w:rsid w:val="00D52564"/>
    <w:rsid w:val="00D530FF"/>
    <w:rsid w:val="00D533D2"/>
    <w:rsid w:val="00D536BA"/>
    <w:rsid w:val="00D5410D"/>
    <w:rsid w:val="00D548ED"/>
    <w:rsid w:val="00D54B6E"/>
    <w:rsid w:val="00D54F84"/>
    <w:rsid w:val="00D55578"/>
    <w:rsid w:val="00D55723"/>
    <w:rsid w:val="00D55A6B"/>
    <w:rsid w:val="00D56631"/>
    <w:rsid w:val="00D577FF"/>
    <w:rsid w:val="00D57A01"/>
    <w:rsid w:val="00D57B85"/>
    <w:rsid w:val="00D57EEF"/>
    <w:rsid w:val="00D57FB2"/>
    <w:rsid w:val="00D57FB4"/>
    <w:rsid w:val="00D603BB"/>
    <w:rsid w:val="00D61823"/>
    <w:rsid w:val="00D619D4"/>
    <w:rsid w:val="00D61F84"/>
    <w:rsid w:val="00D62355"/>
    <w:rsid w:val="00D62800"/>
    <w:rsid w:val="00D62C3E"/>
    <w:rsid w:val="00D62DE9"/>
    <w:rsid w:val="00D63374"/>
    <w:rsid w:val="00D643D2"/>
    <w:rsid w:val="00D64554"/>
    <w:rsid w:val="00D645B0"/>
    <w:rsid w:val="00D64695"/>
    <w:rsid w:val="00D65193"/>
    <w:rsid w:val="00D65AF5"/>
    <w:rsid w:val="00D65BB8"/>
    <w:rsid w:val="00D660DE"/>
    <w:rsid w:val="00D668A4"/>
    <w:rsid w:val="00D668F1"/>
    <w:rsid w:val="00D66CFD"/>
    <w:rsid w:val="00D66F8A"/>
    <w:rsid w:val="00D674A6"/>
    <w:rsid w:val="00D67609"/>
    <w:rsid w:val="00D6773F"/>
    <w:rsid w:val="00D67A4D"/>
    <w:rsid w:val="00D70520"/>
    <w:rsid w:val="00D70CA5"/>
    <w:rsid w:val="00D712BC"/>
    <w:rsid w:val="00D716AD"/>
    <w:rsid w:val="00D72020"/>
    <w:rsid w:val="00D72A70"/>
    <w:rsid w:val="00D72CC4"/>
    <w:rsid w:val="00D72F1D"/>
    <w:rsid w:val="00D73AE1"/>
    <w:rsid w:val="00D73C28"/>
    <w:rsid w:val="00D73E5E"/>
    <w:rsid w:val="00D74DA1"/>
    <w:rsid w:val="00D74E06"/>
    <w:rsid w:val="00D74F6B"/>
    <w:rsid w:val="00D75235"/>
    <w:rsid w:val="00D7542C"/>
    <w:rsid w:val="00D75456"/>
    <w:rsid w:val="00D755FE"/>
    <w:rsid w:val="00D75612"/>
    <w:rsid w:val="00D75696"/>
    <w:rsid w:val="00D75EA1"/>
    <w:rsid w:val="00D76142"/>
    <w:rsid w:val="00D76499"/>
    <w:rsid w:val="00D76A64"/>
    <w:rsid w:val="00D77180"/>
    <w:rsid w:val="00D7797D"/>
    <w:rsid w:val="00D77B5C"/>
    <w:rsid w:val="00D80878"/>
    <w:rsid w:val="00D81176"/>
    <w:rsid w:val="00D816DA"/>
    <w:rsid w:val="00D81B91"/>
    <w:rsid w:val="00D81E4E"/>
    <w:rsid w:val="00D82242"/>
    <w:rsid w:val="00D82373"/>
    <w:rsid w:val="00D8260A"/>
    <w:rsid w:val="00D828AC"/>
    <w:rsid w:val="00D829E2"/>
    <w:rsid w:val="00D82CD9"/>
    <w:rsid w:val="00D82EDB"/>
    <w:rsid w:val="00D832F5"/>
    <w:rsid w:val="00D837DF"/>
    <w:rsid w:val="00D83A3A"/>
    <w:rsid w:val="00D8436D"/>
    <w:rsid w:val="00D845C1"/>
    <w:rsid w:val="00D84905"/>
    <w:rsid w:val="00D84A61"/>
    <w:rsid w:val="00D84CCD"/>
    <w:rsid w:val="00D84D2E"/>
    <w:rsid w:val="00D85315"/>
    <w:rsid w:val="00D85B74"/>
    <w:rsid w:val="00D864D1"/>
    <w:rsid w:val="00D86572"/>
    <w:rsid w:val="00D8661B"/>
    <w:rsid w:val="00D871B6"/>
    <w:rsid w:val="00D872B2"/>
    <w:rsid w:val="00D87323"/>
    <w:rsid w:val="00D87EB6"/>
    <w:rsid w:val="00D90AB8"/>
    <w:rsid w:val="00D90C56"/>
    <w:rsid w:val="00D91843"/>
    <w:rsid w:val="00D91847"/>
    <w:rsid w:val="00D918A7"/>
    <w:rsid w:val="00D9236F"/>
    <w:rsid w:val="00D92608"/>
    <w:rsid w:val="00D92C55"/>
    <w:rsid w:val="00D92EAA"/>
    <w:rsid w:val="00D93B03"/>
    <w:rsid w:val="00D940D5"/>
    <w:rsid w:val="00D9431A"/>
    <w:rsid w:val="00D950F4"/>
    <w:rsid w:val="00D95899"/>
    <w:rsid w:val="00D95D76"/>
    <w:rsid w:val="00D97AE8"/>
    <w:rsid w:val="00D97C64"/>
    <w:rsid w:val="00D97E90"/>
    <w:rsid w:val="00DA05FF"/>
    <w:rsid w:val="00DA085F"/>
    <w:rsid w:val="00DA0AB6"/>
    <w:rsid w:val="00DA1316"/>
    <w:rsid w:val="00DA1350"/>
    <w:rsid w:val="00DA13CC"/>
    <w:rsid w:val="00DA1A7C"/>
    <w:rsid w:val="00DA1B0A"/>
    <w:rsid w:val="00DA2030"/>
    <w:rsid w:val="00DA2090"/>
    <w:rsid w:val="00DA24C9"/>
    <w:rsid w:val="00DA24F1"/>
    <w:rsid w:val="00DA2550"/>
    <w:rsid w:val="00DA2900"/>
    <w:rsid w:val="00DA2998"/>
    <w:rsid w:val="00DA2FB5"/>
    <w:rsid w:val="00DA2FFB"/>
    <w:rsid w:val="00DA3A93"/>
    <w:rsid w:val="00DA48EB"/>
    <w:rsid w:val="00DA4DEA"/>
    <w:rsid w:val="00DA565A"/>
    <w:rsid w:val="00DA584F"/>
    <w:rsid w:val="00DA5A5D"/>
    <w:rsid w:val="00DA6774"/>
    <w:rsid w:val="00DA7170"/>
    <w:rsid w:val="00DA742A"/>
    <w:rsid w:val="00DA7772"/>
    <w:rsid w:val="00DA7AE4"/>
    <w:rsid w:val="00DA7D66"/>
    <w:rsid w:val="00DB0139"/>
    <w:rsid w:val="00DB048C"/>
    <w:rsid w:val="00DB0592"/>
    <w:rsid w:val="00DB08FB"/>
    <w:rsid w:val="00DB10EC"/>
    <w:rsid w:val="00DB1470"/>
    <w:rsid w:val="00DB187F"/>
    <w:rsid w:val="00DB1A33"/>
    <w:rsid w:val="00DB1AFE"/>
    <w:rsid w:val="00DB1C80"/>
    <w:rsid w:val="00DB26C9"/>
    <w:rsid w:val="00DB3020"/>
    <w:rsid w:val="00DB4A90"/>
    <w:rsid w:val="00DB5984"/>
    <w:rsid w:val="00DB5D04"/>
    <w:rsid w:val="00DB5D9F"/>
    <w:rsid w:val="00DB60BC"/>
    <w:rsid w:val="00DB620A"/>
    <w:rsid w:val="00DB6557"/>
    <w:rsid w:val="00DB6C7F"/>
    <w:rsid w:val="00DB6FA3"/>
    <w:rsid w:val="00DB7C38"/>
    <w:rsid w:val="00DB7C58"/>
    <w:rsid w:val="00DC05FF"/>
    <w:rsid w:val="00DC0647"/>
    <w:rsid w:val="00DC0B1C"/>
    <w:rsid w:val="00DC0E22"/>
    <w:rsid w:val="00DC159D"/>
    <w:rsid w:val="00DC1D64"/>
    <w:rsid w:val="00DC1F46"/>
    <w:rsid w:val="00DC2504"/>
    <w:rsid w:val="00DC26DF"/>
    <w:rsid w:val="00DC2D9F"/>
    <w:rsid w:val="00DC2F9B"/>
    <w:rsid w:val="00DC36B3"/>
    <w:rsid w:val="00DC3EAF"/>
    <w:rsid w:val="00DC4335"/>
    <w:rsid w:val="00DC47E5"/>
    <w:rsid w:val="00DC4978"/>
    <w:rsid w:val="00DC51CF"/>
    <w:rsid w:val="00DC5D34"/>
    <w:rsid w:val="00DC5D39"/>
    <w:rsid w:val="00DC6011"/>
    <w:rsid w:val="00DC60C1"/>
    <w:rsid w:val="00DC666F"/>
    <w:rsid w:val="00DC6D04"/>
    <w:rsid w:val="00DC72BD"/>
    <w:rsid w:val="00DC7533"/>
    <w:rsid w:val="00DC788B"/>
    <w:rsid w:val="00DC78B4"/>
    <w:rsid w:val="00DC7971"/>
    <w:rsid w:val="00DC7DF3"/>
    <w:rsid w:val="00DC7EDA"/>
    <w:rsid w:val="00DC7F5A"/>
    <w:rsid w:val="00DD0270"/>
    <w:rsid w:val="00DD02DF"/>
    <w:rsid w:val="00DD02E2"/>
    <w:rsid w:val="00DD09D3"/>
    <w:rsid w:val="00DD0B92"/>
    <w:rsid w:val="00DD15A7"/>
    <w:rsid w:val="00DD170E"/>
    <w:rsid w:val="00DD1938"/>
    <w:rsid w:val="00DD235B"/>
    <w:rsid w:val="00DD25D9"/>
    <w:rsid w:val="00DD273C"/>
    <w:rsid w:val="00DD2D29"/>
    <w:rsid w:val="00DD32C6"/>
    <w:rsid w:val="00DD345F"/>
    <w:rsid w:val="00DD3DC8"/>
    <w:rsid w:val="00DD4250"/>
    <w:rsid w:val="00DD4678"/>
    <w:rsid w:val="00DD4781"/>
    <w:rsid w:val="00DD4F33"/>
    <w:rsid w:val="00DD53C5"/>
    <w:rsid w:val="00DD5B00"/>
    <w:rsid w:val="00DD5FFF"/>
    <w:rsid w:val="00DD609C"/>
    <w:rsid w:val="00DD6130"/>
    <w:rsid w:val="00DD637B"/>
    <w:rsid w:val="00DD64F6"/>
    <w:rsid w:val="00DD67DB"/>
    <w:rsid w:val="00DD680E"/>
    <w:rsid w:val="00DD6A1D"/>
    <w:rsid w:val="00DD6EBE"/>
    <w:rsid w:val="00DD760B"/>
    <w:rsid w:val="00DD78B8"/>
    <w:rsid w:val="00DE017F"/>
    <w:rsid w:val="00DE0789"/>
    <w:rsid w:val="00DE211D"/>
    <w:rsid w:val="00DE21CB"/>
    <w:rsid w:val="00DE2EC3"/>
    <w:rsid w:val="00DE2EE5"/>
    <w:rsid w:val="00DE3622"/>
    <w:rsid w:val="00DE38C5"/>
    <w:rsid w:val="00DE3E0F"/>
    <w:rsid w:val="00DE42BE"/>
    <w:rsid w:val="00DE4446"/>
    <w:rsid w:val="00DE47D8"/>
    <w:rsid w:val="00DE48CE"/>
    <w:rsid w:val="00DE4A91"/>
    <w:rsid w:val="00DE4AE6"/>
    <w:rsid w:val="00DE5269"/>
    <w:rsid w:val="00DE6593"/>
    <w:rsid w:val="00DE664F"/>
    <w:rsid w:val="00DE7132"/>
    <w:rsid w:val="00DE757C"/>
    <w:rsid w:val="00DE76CF"/>
    <w:rsid w:val="00DE7BCD"/>
    <w:rsid w:val="00DE7C04"/>
    <w:rsid w:val="00DF05F5"/>
    <w:rsid w:val="00DF0619"/>
    <w:rsid w:val="00DF0681"/>
    <w:rsid w:val="00DF0695"/>
    <w:rsid w:val="00DF0ABA"/>
    <w:rsid w:val="00DF0ADB"/>
    <w:rsid w:val="00DF0D70"/>
    <w:rsid w:val="00DF1074"/>
    <w:rsid w:val="00DF15C2"/>
    <w:rsid w:val="00DF1600"/>
    <w:rsid w:val="00DF1B6F"/>
    <w:rsid w:val="00DF1D4D"/>
    <w:rsid w:val="00DF2065"/>
    <w:rsid w:val="00DF22CC"/>
    <w:rsid w:val="00DF30A8"/>
    <w:rsid w:val="00DF3370"/>
    <w:rsid w:val="00DF3744"/>
    <w:rsid w:val="00DF3E6B"/>
    <w:rsid w:val="00DF422A"/>
    <w:rsid w:val="00DF496A"/>
    <w:rsid w:val="00DF49BE"/>
    <w:rsid w:val="00DF4B6F"/>
    <w:rsid w:val="00DF4B73"/>
    <w:rsid w:val="00DF4C61"/>
    <w:rsid w:val="00DF553C"/>
    <w:rsid w:val="00DF563D"/>
    <w:rsid w:val="00DF56F9"/>
    <w:rsid w:val="00DF5A90"/>
    <w:rsid w:val="00DF6976"/>
    <w:rsid w:val="00DF6AC8"/>
    <w:rsid w:val="00DF7999"/>
    <w:rsid w:val="00E0001F"/>
    <w:rsid w:val="00E00553"/>
    <w:rsid w:val="00E0155D"/>
    <w:rsid w:val="00E01890"/>
    <w:rsid w:val="00E02495"/>
    <w:rsid w:val="00E02CB5"/>
    <w:rsid w:val="00E034FB"/>
    <w:rsid w:val="00E03564"/>
    <w:rsid w:val="00E038D5"/>
    <w:rsid w:val="00E03B12"/>
    <w:rsid w:val="00E03D9C"/>
    <w:rsid w:val="00E05020"/>
    <w:rsid w:val="00E05193"/>
    <w:rsid w:val="00E063A2"/>
    <w:rsid w:val="00E063E4"/>
    <w:rsid w:val="00E06B9C"/>
    <w:rsid w:val="00E07386"/>
    <w:rsid w:val="00E078F4"/>
    <w:rsid w:val="00E07DC0"/>
    <w:rsid w:val="00E10760"/>
    <w:rsid w:val="00E107C2"/>
    <w:rsid w:val="00E11046"/>
    <w:rsid w:val="00E11392"/>
    <w:rsid w:val="00E12A31"/>
    <w:rsid w:val="00E12C46"/>
    <w:rsid w:val="00E13BCC"/>
    <w:rsid w:val="00E1442C"/>
    <w:rsid w:val="00E14AAB"/>
    <w:rsid w:val="00E14B55"/>
    <w:rsid w:val="00E15A18"/>
    <w:rsid w:val="00E15D6E"/>
    <w:rsid w:val="00E168D3"/>
    <w:rsid w:val="00E1704A"/>
    <w:rsid w:val="00E17B73"/>
    <w:rsid w:val="00E17DC3"/>
    <w:rsid w:val="00E17F45"/>
    <w:rsid w:val="00E204A1"/>
    <w:rsid w:val="00E2076C"/>
    <w:rsid w:val="00E208EB"/>
    <w:rsid w:val="00E20A4B"/>
    <w:rsid w:val="00E20F1C"/>
    <w:rsid w:val="00E21300"/>
    <w:rsid w:val="00E217C8"/>
    <w:rsid w:val="00E220EA"/>
    <w:rsid w:val="00E23149"/>
    <w:rsid w:val="00E23270"/>
    <w:rsid w:val="00E2380E"/>
    <w:rsid w:val="00E243DC"/>
    <w:rsid w:val="00E243DE"/>
    <w:rsid w:val="00E2452E"/>
    <w:rsid w:val="00E24A09"/>
    <w:rsid w:val="00E24C00"/>
    <w:rsid w:val="00E24FF3"/>
    <w:rsid w:val="00E2510C"/>
    <w:rsid w:val="00E25508"/>
    <w:rsid w:val="00E25620"/>
    <w:rsid w:val="00E25972"/>
    <w:rsid w:val="00E266FF"/>
    <w:rsid w:val="00E2691E"/>
    <w:rsid w:val="00E2720B"/>
    <w:rsid w:val="00E2732E"/>
    <w:rsid w:val="00E27CC7"/>
    <w:rsid w:val="00E27D1A"/>
    <w:rsid w:val="00E303A9"/>
    <w:rsid w:val="00E30B99"/>
    <w:rsid w:val="00E30C50"/>
    <w:rsid w:val="00E30CD3"/>
    <w:rsid w:val="00E30D6F"/>
    <w:rsid w:val="00E30F30"/>
    <w:rsid w:val="00E313F8"/>
    <w:rsid w:val="00E317DE"/>
    <w:rsid w:val="00E31D4F"/>
    <w:rsid w:val="00E32C3B"/>
    <w:rsid w:val="00E32F24"/>
    <w:rsid w:val="00E32F2E"/>
    <w:rsid w:val="00E332BF"/>
    <w:rsid w:val="00E33944"/>
    <w:rsid w:val="00E34AAA"/>
    <w:rsid w:val="00E34F9A"/>
    <w:rsid w:val="00E34FB6"/>
    <w:rsid w:val="00E352A4"/>
    <w:rsid w:val="00E357CF"/>
    <w:rsid w:val="00E358CA"/>
    <w:rsid w:val="00E35998"/>
    <w:rsid w:val="00E35F9C"/>
    <w:rsid w:val="00E364E2"/>
    <w:rsid w:val="00E364FB"/>
    <w:rsid w:val="00E36651"/>
    <w:rsid w:val="00E37707"/>
    <w:rsid w:val="00E37AD1"/>
    <w:rsid w:val="00E37D99"/>
    <w:rsid w:val="00E40255"/>
    <w:rsid w:val="00E402AF"/>
    <w:rsid w:val="00E403FD"/>
    <w:rsid w:val="00E4082F"/>
    <w:rsid w:val="00E41621"/>
    <w:rsid w:val="00E418E7"/>
    <w:rsid w:val="00E41A1D"/>
    <w:rsid w:val="00E41A54"/>
    <w:rsid w:val="00E42396"/>
    <w:rsid w:val="00E4276C"/>
    <w:rsid w:val="00E42C76"/>
    <w:rsid w:val="00E43966"/>
    <w:rsid w:val="00E4489D"/>
    <w:rsid w:val="00E44CA6"/>
    <w:rsid w:val="00E45483"/>
    <w:rsid w:val="00E455B9"/>
    <w:rsid w:val="00E455C5"/>
    <w:rsid w:val="00E4658E"/>
    <w:rsid w:val="00E46B57"/>
    <w:rsid w:val="00E46E9D"/>
    <w:rsid w:val="00E46F63"/>
    <w:rsid w:val="00E47387"/>
    <w:rsid w:val="00E47B47"/>
    <w:rsid w:val="00E5010E"/>
    <w:rsid w:val="00E50AD0"/>
    <w:rsid w:val="00E515C0"/>
    <w:rsid w:val="00E518EE"/>
    <w:rsid w:val="00E51A1D"/>
    <w:rsid w:val="00E520D1"/>
    <w:rsid w:val="00E521CA"/>
    <w:rsid w:val="00E5232E"/>
    <w:rsid w:val="00E53DAE"/>
    <w:rsid w:val="00E53FD1"/>
    <w:rsid w:val="00E54297"/>
    <w:rsid w:val="00E54652"/>
    <w:rsid w:val="00E5471B"/>
    <w:rsid w:val="00E54A01"/>
    <w:rsid w:val="00E54C33"/>
    <w:rsid w:val="00E54D73"/>
    <w:rsid w:val="00E55558"/>
    <w:rsid w:val="00E55669"/>
    <w:rsid w:val="00E559E7"/>
    <w:rsid w:val="00E565D5"/>
    <w:rsid w:val="00E56AF8"/>
    <w:rsid w:val="00E56F8F"/>
    <w:rsid w:val="00E5794E"/>
    <w:rsid w:val="00E5799A"/>
    <w:rsid w:val="00E60816"/>
    <w:rsid w:val="00E608AA"/>
    <w:rsid w:val="00E60A98"/>
    <w:rsid w:val="00E60CB2"/>
    <w:rsid w:val="00E6108F"/>
    <w:rsid w:val="00E615E7"/>
    <w:rsid w:val="00E61918"/>
    <w:rsid w:val="00E61CFB"/>
    <w:rsid w:val="00E62050"/>
    <w:rsid w:val="00E620CB"/>
    <w:rsid w:val="00E622C9"/>
    <w:rsid w:val="00E62412"/>
    <w:rsid w:val="00E6297F"/>
    <w:rsid w:val="00E629F9"/>
    <w:rsid w:val="00E62E56"/>
    <w:rsid w:val="00E631DD"/>
    <w:rsid w:val="00E6322C"/>
    <w:rsid w:val="00E64283"/>
    <w:rsid w:val="00E64507"/>
    <w:rsid w:val="00E6581A"/>
    <w:rsid w:val="00E65D3C"/>
    <w:rsid w:val="00E672CD"/>
    <w:rsid w:val="00E6786A"/>
    <w:rsid w:val="00E67F72"/>
    <w:rsid w:val="00E70F42"/>
    <w:rsid w:val="00E71493"/>
    <w:rsid w:val="00E714F9"/>
    <w:rsid w:val="00E71842"/>
    <w:rsid w:val="00E71AA6"/>
    <w:rsid w:val="00E71B6A"/>
    <w:rsid w:val="00E72AC8"/>
    <w:rsid w:val="00E7344E"/>
    <w:rsid w:val="00E735FF"/>
    <w:rsid w:val="00E73714"/>
    <w:rsid w:val="00E73CED"/>
    <w:rsid w:val="00E74075"/>
    <w:rsid w:val="00E74CFA"/>
    <w:rsid w:val="00E74E01"/>
    <w:rsid w:val="00E75015"/>
    <w:rsid w:val="00E7570F"/>
    <w:rsid w:val="00E75A8C"/>
    <w:rsid w:val="00E75C25"/>
    <w:rsid w:val="00E76AB2"/>
    <w:rsid w:val="00E76CCC"/>
    <w:rsid w:val="00E77983"/>
    <w:rsid w:val="00E77B6C"/>
    <w:rsid w:val="00E77F9B"/>
    <w:rsid w:val="00E806EE"/>
    <w:rsid w:val="00E80982"/>
    <w:rsid w:val="00E80DAC"/>
    <w:rsid w:val="00E8135E"/>
    <w:rsid w:val="00E813E8"/>
    <w:rsid w:val="00E822A8"/>
    <w:rsid w:val="00E826DC"/>
    <w:rsid w:val="00E82E09"/>
    <w:rsid w:val="00E82EAE"/>
    <w:rsid w:val="00E83325"/>
    <w:rsid w:val="00E83DF5"/>
    <w:rsid w:val="00E84535"/>
    <w:rsid w:val="00E84540"/>
    <w:rsid w:val="00E84CF5"/>
    <w:rsid w:val="00E84DCB"/>
    <w:rsid w:val="00E84F21"/>
    <w:rsid w:val="00E84F78"/>
    <w:rsid w:val="00E8540A"/>
    <w:rsid w:val="00E855B3"/>
    <w:rsid w:val="00E858C3"/>
    <w:rsid w:val="00E86614"/>
    <w:rsid w:val="00E8735A"/>
    <w:rsid w:val="00E87A6A"/>
    <w:rsid w:val="00E90DFD"/>
    <w:rsid w:val="00E90EAE"/>
    <w:rsid w:val="00E90F29"/>
    <w:rsid w:val="00E91294"/>
    <w:rsid w:val="00E91473"/>
    <w:rsid w:val="00E916A9"/>
    <w:rsid w:val="00E9172A"/>
    <w:rsid w:val="00E91F9F"/>
    <w:rsid w:val="00E9276C"/>
    <w:rsid w:val="00E92A84"/>
    <w:rsid w:val="00E92C08"/>
    <w:rsid w:val="00E92FEB"/>
    <w:rsid w:val="00E93B07"/>
    <w:rsid w:val="00E93E0A"/>
    <w:rsid w:val="00E957B0"/>
    <w:rsid w:val="00E961F6"/>
    <w:rsid w:val="00E973A3"/>
    <w:rsid w:val="00E974CF"/>
    <w:rsid w:val="00E977CF"/>
    <w:rsid w:val="00EA08E0"/>
    <w:rsid w:val="00EA0B32"/>
    <w:rsid w:val="00EA0E59"/>
    <w:rsid w:val="00EA2379"/>
    <w:rsid w:val="00EA26AC"/>
    <w:rsid w:val="00EA2CDB"/>
    <w:rsid w:val="00EA2E0C"/>
    <w:rsid w:val="00EA2F45"/>
    <w:rsid w:val="00EA3136"/>
    <w:rsid w:val="00EA32ED"/>
    <w:rsid w:val="00EA3509"/>
    <w:rsid w:val="00EA378F"/>
    <w:rsid w:val="00EA458B"/>
    <w:rsid w:val="00EA46D8"/>
    <w:rsid w:val="00EA46E9"/>
    <w:rsid w:val="00EA4BC5"/>
    <w:rsid w:val="00EA54D5"/>
    <w:rsid w:val="00EA59DF"/>
    <w:rsid w:val="00EA5BA4"/>
    <w:rsid w:val="00EA604C"/>
    <w:rsid w:val="00EA6450"/>
    <w:rsid w:val="00EA6649"/>
    <w:rsid w:val="00EA6998"/>
    <w:rsid w:val="00EA6A9A"/>
    <w:rsid w:val="00EA6FE2"/>
    <w:rsid w:val="00EA7195"/>
    <w:rsid w:val="00EA7536"/>
    <w:rsid w:val="00EA75D8"/>
    <w:rsid w:val="00EA7944"/>
    <w:rsid w:val="00EB0231"/>
    <w:rsid w:val="00EB0A3A"/>
    <w:rsid w:val="00EB0B44"/>
    <w:rsid w:val="00EB0EED"/>
    <w:rsid w:val="00EB11C1"/>
    <w:rsid w:val="00EB1941"/>
    <w:rsid w:val="00EB1AB4"/>
    <w:rsid w:val="00EB1C35"/>
    <w:rsid w:val="00EB280E"/>
    <w:rsid w:val="00EB2D62"/>
    <w:rsid w:val="00EB340D"/>
    <w:rsid w:val="00EB34B0"/>
    <w:rsid w:val="00EB3746"/>
    <w:rsid w:val="00EB39DC"/>
    <w:rsid w:val="00EB4316"/>
    <w:rsid w:val="00EB4767"/>
    <w:rsid w:val="00EB477F"/>
    <w:rsid w:val="00EB4BCC"/>
    <w:rsid w:val="00EB5089"/>
    <w:rsid w:val="00EB5239"/>
    <w:rsid w:val="00EB551A"/>
    <w:rsid w:val="00EB56D4"/>
    <w:rsid w:val="00EB6597"/>
    <w:rsid w:val="00EB7579"/>
    <w:rsid w:val="00EB75A4"/>
    <w:rsid w:val="00EC0935"/>
    <w:rsid w:val="00EC0A96"/>
    <w:rsid w:val="00EC1A06"/>
    <w:rsid w:val="00EC1D9B"/>
    <w:rsid w:val="00EC1E8A"/>
    <w:rsid w:val="00EC1FBE"/>
    <w:rsid w:val="00EC2075"/>
    <w:rsid w:val="00EC2557"/>
    <w:rsid w:val="00EC255B"/>
    <w:rsid w:val="00EC3055"/>
    <w:rsid w:val="00EC36B6"/>
    <w:rsid w:val="00EC39CF"/>
    <w:rsid w:val="00EC3D56"/>
    <w:rsid w:val="00EC3F6B"/>
    <w:rsid w:val="00EC4BA0"/>
    <w:rsid w:val="00EC5E8A"/>
    <w:rsid w:val="00EC600B"/>
    <w:rsid w:val="00EC6435"/>
    <w:rsid w:val="00EC6448"/>
    <w:rsid w:val="00EC6649"/>
    <w:rsid w:val="00EC67E6"/>
    <w:rsid w:val="00EC7184"/>
    <w:rsid w:val="00EC7532"/>
    <w:rsid w:val="00EC7556"/>
    <w:rsid w:val="00EC766D"/>
    <w:rsid w:val="00EC7E95"/>
    <w:rsid w:val="00EC7F47"/>
    <w:rsid w:val="00ED03CE"/>
    <w:rsid w:val="00ED0A45"/>
    <w:rsid w:val="00ED0A8A"/>
    <w:rsid w:val="00ED0E5F"/>
    <w:rsid w:val="00ED0F75"/>
    <w:rsid w:val="00ED174C"/>
    <w:rsid w:val="00ED254C"/>
    <w:rsid w:val="00ED283D"/>
    <w:rsid w:val="00ED2D83"/>
    <w:rsid w:val="00ED31B8"/>
    <w:rsid w:val="00ED326A"/>
    <w:rsid w:val="00ED32B5"/>
    <w:rsid w:val="00ED365F"/>
    <w:rsid w:val="00ED3A8C"/>
    <w:rsid w:val="00ED40D4"/>
    <w:rsid w:val="00ED4371"/>
    <w:rsid w:val="00ED45AE"/>
    <w:rsid w:val="00ED46C5"/>
    <w:rsid w:val="00ED48E8"/>
    <w:rsid w:val="00ED4F5F"/>
    <w:rsid w:val="00ED592E"/>
    <w:rsid w:val="00ED5E1B"/>
    <w:rsid w:val="00ED6BDC"/>
    <w:rsid w:val="00ED712A"/>
    <w:rsid w:val="00ED75F0"/>
    <w:rsid w:val="00ED763A"/>
    <w:rsid w:val="00ED774C"/>
    <w:rsid w:val="00EE0AB1"/>
    <w:rsid w:val="00EE0BB7"/>
    <w:rsid w:val="00EE0EC1"/>
    <w:rsid w:val="00EE11A5"/>
    <w:rsid w:val="00EE11BB"/>
    <w:rsid w:val="00EE12FB"/>
    <w:rsid w:val="00EE1603"/>
    <w:rsid w:val="00EE199F"/>
    <w:rsid w:val="00EE1DAF"/>
    <w:rsid w:val="00EE1F74"/>
    <w:rsid w:val="00EE2459"/>
    <w:rsid w:val="00EE2C56"/>
    <w:rsid w:val="00EE2E8B"/>
    <w:rsid w:val="00EE3237"/>
    <w:rsid w:val="00EE360F"/>
    <w:rsid w:val="00EE3935"/>
    <w:rsid w:val="00EE3BC9"/>
    <w:rsid w:val="00EE3C2C"/>
    <w:rsid w:val="00EE3C7A"/>
    <w:rsid w:val="00EE4373"/>
    <w:rsid w:val="00EE4FF0"/>
    <w:rsid w:val="00EE5491"/>
    <w:rsid w:val="00EE650D"/>
    <w:rsid w:val="00EE66BB"/>
    <w:rsid w:val="00EE6894"/>
    <w:rsid w:val="00EE6F91"/>
    <w:rsid w:val="00EE795E"/>
    <w:rsid w:val="00EE7C61"/>
    <w:rsid w:val="00EE7E54"/>
    <w:rsid w:val="00EF00CA"/>
    <w:rsid w:val="00EF0199"/>
    <w:rsid w:val="00EF01A2"/>
    <w:rsid w:val="00EF0539"/>
    <w:rsid w:val="00EF0808"/>
    <w:rsid w:val="00EF0F01"/>
    <w:rsid w:val="00EF1694"/>
    <w:rsid w:val="00EF29C3"/>
    <w:rsid w:val="00EF2D90"/>
    <w:rsid w:val="00EF2F1D"/>
    <w:rsid w:val="00EF32D5"/>
    <w:rsid w:val="00EF3432"/>
    <w:rsid w:val="00EF3731"/>
    <w:rsid w:val="00EF38A0"/>
    <w:rsid w:val="00EF39E0"/>
    <w:rsid w:val="00EF3F79"/>
    <w:rsid w:val="00EF419E"/>
    <w:rsid w:val="00EF454A"/>
    <w:rsid w:val="00EF47EA"/>
    <w:rsid w:val="00EF4B7C"/>
    <w:rsid w:val="00EF4DC8"/>
    <w:rsid w:val="00EF4E60"/>
    <w:rsid w:val="00EF4FD8"/>
    <w:rsid w:val="00EF5C1F"/>
    <w:rsid w:val="00EF5C85"/>
    <w:rsid w:val="00EF5DD6"/>
    <w:rsid w:val="00EF63B7"/>
    <w:rsid w:val="00EF64FD"/>
    <w:rsid w:val="00EF65E2"/>
    <w:rsid w:val="00EF68F9"/>
    <w:rsid w:val="00EF74A5"/>
    <w:rsid w:val="00EF7D46"/>
    <w:rsid w:val="00F001D0"/>
    <w:rsid w:val="00F00519"/>
    <w:rsid w:val="00F007DF"/>
    <w:rsid w:val="00F00BE6"/>
    <w:rsid w:val="00F01070"/>
    <w:rsid w:val="00F015D8"/>
    <w:rsid w:val="00F0162A"/>
    <w:rsid w:val="00F0235A"/>
    <w:rsid w:val="00F0252C"/>
    <w:rsid w:val="00F02B30"/>
    <w:rsid w:val="00F02E23"/>
    <w:rsid w:val="00F02E8E"/>
    <w:rsid w:val="00F03416"/>
    <w:rsid w:val="00F035E9"/>
    <w:rsid w:val="00F04C94"/>
    <w:rsid w:val="00F04D4F"/>
    <w:rsid w:val="00F04D9D"/>
    <w:rsid w:val="00F056E1"/>
    <w:rsid w:val="00F05824"/>
    <w:rsid w:val="00F06A65"/>
    <w:rsid w:val="00F06D99"/>
    <w:rsid w:val="00F07372"/>
    <w:rsid w:val="00F0785A"/>
    <w:rsid w:val="00F1042A"/>
    <w:rsid w:val="00F1043A"/>
    <w:rsid w:val="00F1087C"/>
    <w:rsid w:val="00F10B00"/>
    <w:rsid w:val="00F10CDD"/>
    <w:rsid w:val="00F10CE2"/>
    <w:rsid w:val="00F11A94"/>
    <w:rsid w:val="00F11BEB"/>
    <w:rsid w:val="00F11D6A"/>
    <w:rsid w:val="00F125CE"/>
    <w:rsid w:val="00F130D6"/>
    <w:rsid w:val="00F1319C"/>
    <w:rsid w:val="00F13817"/>
    <w:rsid w:val="00F13F1A"/>
    <w:rsid w:val="00F13F45"/>
    <w:rsid w:val="00F13F76"/>
    <w:rsid w:val="00F14961"/>
    <w:rsid w:val="00F14BCF"/>
    <w:rsid w:val="00F15A3E"/>
    <w:rsid w:val="00F15BB2"/>
    <w:rsid w:val="00F15BB7"/>
    <w:rsid w:val="00F170E1"/>
    <w:rsid w:val="00F173F5"/>
    <w:rsid w:val="00F177D2"/>
    <w:rsid w:val="00F17AAC"/>
    <w:rsid w:val="00F204A0"/>
    <w:rsid w:val="00F20D36"/>
    <w:rsid w:val="00F213A3"/>
    <w:rsid w:val="00F21CA8"/>
    <w:rsid w:val="00F2205E"/>
    <w:rsid w:val="00F2280B"/>
    <w:rsid w:val="00F22D41"/>
    <w:rsid w:val="00F23158"/>
    <w:rsid w:val="00F23C33"/>
    <w:rsid w:val="00F244B8"/>
    <w:rsid w:val="00F254D0"/>
    <w:rsid w:val="00F259FE"/>
    <w:rsid w:val="00F25BCA"/>
    <w:rsid w:val="00F25C81"/>
    <w:rsid w:val="00F25C94"/>
    <w:rsid w:val="00F25F83"/>
    <w:rsid w:val="00F2620F"/>
    <w:rsid w:val="00F2628F"/>
    <w:rsid w:val="00F26407"/>
    <w:rsid w:val="00F26831"/>
    <w:rsid w:val="00F26CC0"/>
    <w:rsid w:val="00F26CFE"/>
    <w:rsid w:val="00F26E58"/>
    <w:rsid w:val="00F26EA5"/>
    <w:rsid w:val="00F26F05"/>
    <w:rsid w:val="00F271DB"/>
    <w:rsid w:val="00F271EC"/>
    <w:rsid w:val="00F273FE"/>
    <w:rsid w:val="00F27ABF"/>
    <w:rsid w:val="00F309D7"/>
    <w:rsid w:val="00F309E6"/>
    <w:rsid w:val="00F3138D"/>
    <w:rsid w:val="00F3191D"/>
    <w:rsid w:val="00F32360"/>
    <w:rsid w:val="00F32702"/>
    <w:rsid w:val="00F32901"/>
    <w:rsid w:val="00F32986"/>
    <w:rsid w:val="00F33748"/>
    <w:rsid w:val="00F33A58"/>
    <w:rsid w:val="00F33A94"/>
    <w:rsid w:val="00F34538"/>
    <w:rsid w:val="00F34EBA"/>
    <w:rsid w:val="00F34FF4"/>
    <w:rsid w:val="00F350C7"/>
    <w:rsid w:val="00F35485"/>
    <w:rsid w:val="00F35612"/>
    <w:rsid w:val="00F359ED"/>
    <w:rsid w:val="00F36286"/>
    <w:rsid w:val="00F36481"/>
    <w:rsid w:val="00F3779E"/>
    <w:rsid w:val="00F37C77"/>
    <w:rsid w:val="00F40353"/>
    <w:rsid w:val="00F40423"/>
    <w:rsid w:val="00F4073F"/>
    <w:rsid w:val="00F40CD7"/>
    <w:rsid w:val="00F40E47"/>
    <w:rsid w:val="00F4144C"/>
    <w:rsid w:val="00F4185C"/>
    <w:rsid w:val="00F41DC2"/>
    <w:rsid w:val="00F4213A"/>
    <w:rsid w:val="00F42374"/>
    <w:rsid w:val="00F423AD"/>
    <w:rsid w:val="00F4252C"/>
    <w:rsid w:val="00F42727"/>
    <w:rsid w:val="00F436A4"/>
    <w:rsid w:val="00F43C82"/>
    <w:rsid w:val="00F44309"/>
    <w:rsid w:val="00F44B69"/>
    <w:rsid w:val="00F45058"/>
    <w:rsid w:val="00F4582F"/>
    <w:rsid w:val="00F4641A"/>
    <w:rsid w:val="00F4668C"/>
    <w:rsid w:val="00F466BC"/>
    <w:rsid w:val="00F46B23"/>
    <w:rsid w:val="00F46B65"/>
    <w:rsid w:val="00F471EB"/>
    <w:rsid w:val="00F47610"/>
    <w:rsid w:val="00F47641"/>
    <w:rsid w:val="00F47C72"/>
    <w:rsid w:val="00F47EA5"/>
    <w:rsid w:val="00F51328"/>
    <w:rsid w:val="00F51548"/>
    <w:rsid w:val="00F52164"/>
    <w:rsid w:val="00F524AF"/>
    <w:rsid w:val="00F525BE"/>
    <w:rsid w:val="00F52696"/>
    <w:rsid w:val="00F528D3"/>
    <w:rsid w:val="00F528ED"/>
    <w:rsid w:val="00F5366F"/>
    <w:rsid w:val="00F53D48"/>
    <w:rsid w:val="00F53FFE"/>
    <w:rsid w:val="00F543CA"/>
    <w:rsid w:val="00F54762"/>
    <w:rsid w:val="00F5491F"/>
    <w:rsid w:val="00F54C8F"/>
    <w:rsid w:val="00F54EF1"/>
    <w:rsid w:val="00F551F1"/>
    <w:rsid w:val="00F55252"/>
    <w:rsid w:val="00F55ED1"/>
    <w:rsid w:val="00F56365"/>
    <w:rsid w:val="00F56493"/>
    <w:rsid w:val="00F56822"/>
    <w:rsid w:val="00F56C64"/>
    <w:rsid w:val="00F56E4F"/>
    <w:rsid w:val="00F57AAE"/>
    <w:rsid w:val="00F57EEA"/>
    <w:rsid w:val="00F60587"/>
    <w:rsid w:val="00F60634"/>
    <w:rsid w:val="00F606A5"/>
    <w:rsid w:val="00F61263"/>
    <w:rsid w:val="00F613F5"/>
    <w:rsid w:val="00F61AE0"/>
    <w:rsid w:val="00F61B2A"/>
    <w:rsid w:val="00F61D13"/>
    <w:rsid w:val="00F62C85"/>
    <w:rsid w:val="00F62D2B"/>
    <w:rsid w:val="00F63DEE"/>
    <w:rsid w:val="00F64167"/>
    <w:rsid w:val="00F64C47"/>
    <w:rsid w:val="00F6550C"/>
    <w:rsid w:val="00F65614"/>
    <w:rsid w:val="00F656C8"/>
    <w:rsid w:val="00F6590B"/>
    <w:rsid w:val="00F65B87"/>
    <w:rsid w:val="00F65C2B"/>
    <w:rsid w:val="00F6679A"/>
    <w:rsid w:val="00F669E0"/>
    <w:rsid w:val="00F66CDD"/>
    <w:rsid w:val="00F6706F"/>
    <w:rsid w:val="00F6712C"/>
    <w:rsid w:val="00F6739B"/>
    <w:rsid w:val="00F6769B"/>
    <w:rsid w:val="00F679FF"/>
    <w:rsid w:val="00F70179"/>
    <w:rsid w:val="00F70799"/>
    <w:rsid w:val="00F70923"/>
    <w:rsid w:val="00F70974"/>
    <w:rsid w:val="00F70CAD"/>
    <w:rsid w:val="00F71B62"/>
    <w:rsid w:val="00F72E9B"/>
    <w:rsid w:val="00F733C1"/>
    <w:rsid w:val="00F7358A"/>
    <w:rsid w:val="00F74158"/>
    <w:rsid w:val="00F747E0"/>
    <w:rsid w:val="00F74D55"/>
    <w:rsid w:val="00F7509A"/>
    <w:rsid w:val="00F75817"/>
    <w:rsid w:val="00F767EA"/>
    <w:rsid w:val="00F76AD4"/>
    <w:rsid w:val="00F77630"/>
    <w:rsid w:val="00F7776E"/>
    <w:rsid w:val="00F809B4"/>
    <w:rsid w:val="00F80DEA"/>
    <w:rsid w:val="00F818FC"/>
    <w:rsid w:val="00F81A74"/>
    <w:rsid w:val="00F82165"/>
    <w:rsid w:val="00F825F6"/>
    <w:rsid w:val="00F82875"/>
    <w:rsid w:val="00F8287F"/>
    <w:rsid w:val="00F82996"/>
    <w:rsid w:val="00F830FE"/>
    <w:rsid w:val="00F831CE"/>
    <w:rsid w:val="00F85FAF"/>
    <w:rsid w:val="00F860E3"/>
    <w:rsid w:val="00F86C11"/>
    <w:rsid w:val="00F87462"/>
    <w:rsid w:val="00F87552"/>
    <w:rsid w:val="00F8772A"/>
    <w:rsid w:val="00F87914"/>
    <w:rsid w:val="00F87CAA"/>
    <w:rsid w:val="00F906EA"/>
    <w:rsid w:val="00F9096B"/>
    <w:rsid w:val="00F90F67"/>
    <w:rsid w:val="00F9185E"/>
    <w:rsid w:val="00F919CE"/>
    <w:rsid w:val="00F91EF8"/>
    <w:rsid w:val="00F92A0B"/>
    <w:rsid w:val="00F92D78"/>
    <w:rsid w:val="00F92DB0"/>
    <w:rsid w:val="00F92DBD"/>
    <w:rsid w:val="00F931F6"/>
    <w:rsid w:val="00F93401"/>
    <w:rsid w:val="00F939D3"/>
    <w:rsid w:val="00F94274"/>
    <w:rsid w:val="00F94293"/>
    <w:rsid w:val="00F94799"/>
    <w:rsid w:val="00F949A5"/>
    <w:rsid w:val="00F95105"/>
    <w:rsid w:val="00F952BF"/>
    <w:rsid w:val="00F9535A"/>
    <w:rsid w:val="00F9583A"/>
    <w:rsid w:val="00F95C75"/>
    <w:rsid w:val="00F95CB5"/>
    <w:rsid w:val="00F96346"/>
    <w:rsid w:val="00F96854"/>
    <w:rsid w:val="00F96B00"/>
    <w:rsid w:val="00F97064"/>
    <w:rsid w:val="00F977AA"/>
    <w:rsid w:val="00F977E0"/>
    <w:rsid w:val="00F9787A"/>
    <w:rsid w:val="00F97B43"/>
    <w:rsid w:val="00F97DFD"/>
    <w:rsid w:val="00FA2889"/>
    <w:rsid w:val="00FA2FFF"/>
    <w:rsid w:val="00FA3352"/>
    <w:rsid w:val="00FA38B6"/>
    <w:rsid w:val="00FA39FB"/>
    <w:rsid w:val="00FA44FF"/>
    <w:rsid w:val="00FA4576"/>
    <w:rsid w:val="00FA4AD1"/>
    <w:rsid w:val="00FA4CB5"/>
    <w:rsid w:val="00FA595B"/>
    <w:rsid w:val="00FA6017"/>
    <w:rsid w:val="00FA6103"/>
    <w:rsid w:val="00FA6AD9"/>
    <w:rsid w:val="00FA6E4B"/>
    <w:rsid w:val="00FA72FF"/>
    <w:rsid w:val="00FA73B0"/>
    <w:rsid w:val="00FA74B5"/>
    <w:rsid w:val="00FA7653"/>
    <w:rsid w:val="00FA7796"/>
    <w:rsid w:val="00FA77CA"/>
    <w:rsid w:val="00FA7B1E"/>
    <w:rsid w:val="00FA7D43"/>
    <w:rsid w:val="00FA7FE8"/>
    <w:rsid w:val="00FB0430"/>
    <w:rsid w:val="00FB0544"/>
    <w:rsid w:val="00FB0AD3"/>
    <w:rsid w:val="00FB137A"/>
    <w:rsid w:val="00FB13EE"/>
    <w:rsid w:val="00FB17CC"/>
    <w:rsid w:val="00FB17FF"/>
    <w:rsid w:val="00FB1F3F"/>
    <w:rsid w:val="00FB22F1"/>
    <w:rsid w:val="00FB3011"/>
    <w:rsid w:val="00FB318D"/>
    <w:rsid w:val="00FB377F"/>
    <w:rsid w:val="00FB3CAE"/>
    <w:rsid w:val="00FB40B8"/>
    <w:rsid w:val="00FB420C"/>
    <w:rsid w:val="00FB539C"/>
    <w:rsid w:val="00FB55CE"/>
    <w:rsid w:val="00FB5694"/>
    <w:rsid w:val="00FB5D59"/>
    <w:rsid w:val="00FB75D0"/>
    <w:rsid w:val="00FB7ADB"/>
    <w:rsid w:val="00FB7FDC"/>
    <w:rsid w:val="00FC00AB"/>
    <w:rsid w:val="00FC021F"/>
    <w:rsid w:val="00FC0421"/>
    <w:rsid w:val="00FC072A"/>
    <w:rsid w:val="00FC09B7"/>
    <w:rsid w:val="00FC0DA3"/>
    <w:rsid w:val="00FC13C2"/>
    <w:rsid w:val="00FC1845"/>
    <w:rsid w:val="00FC18EC"/>
    <w:rsid w:val="00FC3D60"/>
    <w:rsid w:val="00FC46BB"/>
    <w:rsid w:val="00FC4FA9"/>
    <w:rsid w:val="00FC5294"/>
    <w:rsid w:val="00FC6001"/>
    <w:rsid w:val="00FC6290"/>
    <w:rsid w:val="00FC65AB"/>
    <w:rsid w:val="00FC686C"/>
    <w:rsid w:val="00FC6948"/>
    <w:rsid w:val="00FC6AF0"/>
    <w:rsid w:val="00FD04AF"/>
    <w:rsid w:val="00FD114D"/>
    <w:rsid w:val="00FD137E"/>
    <w:rsid w:val="00FD1D7A"/>
    <w:rsid w:val="00FD1DD9"/>
    <w:rsid w:val="00FD2275"/>
    <w:rsid w:val="00FD2C6B"/>
    <w:rsid w:val="00FD3715"/>
    <w:rsid w:val="00FD386D"/>
    <w:rsid w:val="00FD3CDE"/>
    <w:rsid w:val="00FD40EF"/>
    <w:rsid w:val="00FD44D4"/>
    <w:rsid w:val="00FD44E4"/>
    <w:rsid w:val="00FD470F"/>
    <w:rsid w:val="00FD474B"/>
    <w:rsid w:val="00FD477E"/>
    <w:rsid w:val="00FD4C5F"/>
    <w:rsid w:val="00FD4D35"/>
    <w:rsid w:val="00FD53C9"/>
    <w:rsid w:val="00FD5456"/>
    <w:rsid w:val="00FD5A16"/>
    <w:rsid w:val="00FD5EFF"/>
    <w:rsid w:val="00FD6423"/>
    <w:rsid w:val="00FD6683"/>
    <w:rsid w:val="00FD7142"/>
    <w:rsid w:val="00FD7943"/>
    <w:rsid w:val="00FD7C69"/>
    <w:rsid w:val="00FD7F1D"/>
    <w:rsid w:val="00FE017D"/>
    <w:rsid w:val="00FE01AC"/>
    <w:rsid w:val="00FE0AC0"/>
    <w:rsid w:val="00FE156D"/>
    <w:rsid w:val="00FE175C"/>
    <w:rsid w:val="00FE19CF"/>
    <w:rsid w:val="00FE1EA9"/>
    <w:rsid w:val="00FE1EC4"/>
    <w:rsid w:val="00FE26E5"/>
    <w:rsid w:val="00FE2C00"/>
    <w:rsid w:val="00FE2FEC"/>
    <w:rsid w:val="00FE312B"/>
    <w:rsid w:val="00FE33A1"/>
    <w:rsid w:val="00FE3971"/>
    <w:rsid w:val="00FE3ACD"/>
    <w:rsid w:val="00FE3AF4"/>
    <w:rsid w:val="00FE3B07"/>
    <w:rsid w:val="00FE3F2B"/>
    <w:rsid w:val="00FE40F4"/>
    <w:rsid w:val="00FE41B1"/>
    <w:rsid w:val="00FE42EB"/>
    <w:rsid w:val="00FE43C6"/>
    <w:rsid w:val="00FE463B"/>
    <w:rsid w:val="00FE4D91"/>
    <w:rsid w:val="00FE51FA"/>
    <w:rsid w:val="00FE55B6"/>
    <w:rsid w:val="00FE580E"/>
    <w:rsid w:val="00FE591C"/>
    <w:rsid w:val="00FE6186"/>
    <w:rsid w:val="00FE669D"/>
    <w:rsid w:val="00FE682D"/>
    <w:rsid w:val="00FE6B1B"/>
    <w:rsid w:val="00FE6C3E"/>
    <w:rsid w:val="00FE6E56"/>
    <w:rsid w:val="00FE7115"/>
    <w:rsid w:val="00FE72DD"/>
    <w:rsid w:val="00FE7998"/>
    <w:rsid w:val="00FE7B58"/>
    <w:rsid w:val="00FF0304"/>
    <w:rsid w:val="00FF0546"/>
    <w:rsid w:val="00FF0722"/>
    <w:rsid w:val="00FF0A46"/>
    <w:rsid w:val="00FF0A4D"/>
    <w:rsid w:val="00FF0B81"/>
    <w:rsid w:val="00FF0F19"/>
    <w:rsid w:val="00FF1AE8"/>
    <w:rsid w:val="00FF1B03"/>
    <w:rsid w:val="00FF2544"/>
    <w:rsid w:val="00FF288C"/>
    <w:rsid w:val="00FF29F8"/>
    <w:rsid w:val="00FF2A0B"/>
    <w:rsid w:val="00FF2F88"/>
    <w:rsid w:val="00FF2FCF"/>
    <w:rsid w:val="00FF3264"/>
    <w:rsid w:val="00FF3DEC"/>
    <w:rsid w:val="00FF420C"/>
    <w:rsid w:val="00FF6164"/>
    <w:rsid w:val="00FF6473"/>
    <w:rsid w:val="00FF6530"/>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72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86"/>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6386"/>
    <w:rPr>
      <w:szCs w:val="20"/>
    </w:rPr>
  </w:style>
  <w:style w:type="character" w:customStyle="1" w:styleId="FootnoteTextChar">
    <w:name w:val="Footnote Text Char"/>
    <w:basedOn w:val="DefaultParagraphFont"/>
    <w:link w:val="FootnoteText"/>
    <w:uiPriority w:val="99"/>
    <w:rsid w:val="00876386"/>
    <w:rPr>
      <w:rFonts w:ascii="Times New Roman" w:eastAsia="Times New Roman" w:hAnsi="Times New Roman" w:cs="Times New Roman"/>
      <w:sz w:val="26"/>
      <w:szCs w:val="20"/>
    </w:rPr>
  </w:style>
  <w:style w:type="character" w:styleId="FootnoteReference">
    <w:name w:val="footnote reference"/>
    <w:basedOn w:val="DefaultParagraphFont"/>
    <w:uiPriority w:val="99"/>
    <w:semiHidden/>
    <w:unhideWhenUsed/>
    <w:rsid w:val="00876386"/>
    <w:rPr>
      <w:b/>
      <w:position w:val="8"/>
      <w:sz w:val="20"/>
      <w:vertAlign w:val="baseline"/>
    </w:rPr>
  </w:style>
  <w:style w:type="paragraph" w:styleId="Header">
    <w:name w:val="header"/>
    <w:basedOn w:val="Normal"/>
    <w:link w:val="HeaderChar"/>
    <w:unhideWhenUsed/>
    <w:rsid w:val="00876386"/>
    <w:pPr>
      <w:tabs>
        <w:tab w:val="center" w:pos="4680"/>
        <w:tab w:val="right" w:pos="9360"/>
      </w:tabs>
    </w:pPr>
  </w:style>
  <w:style w:type="character" w:customStyle="1" w:styleId="HeaderChar">
    <w:name w:val="Header Char"/>
    <w:basedOn w:val="DefaultParagraphFont"/>
    <w:link w:val="Header"/>
    <w:rsid w:val="00876386"/>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876386"/>
    <w:pPr>
      <w:tabs>
        <w:tab w:val="center" w:pos="4680"/>
        <w:tab w:val="right" w:pos="9360"/>
      </w:tabs>
    </w:pPr>
  </w:style>
  <w:style w:type="character" w:customStyle="1" w:styleId="FooterChar">
    <w:name w:val="Footer Char"/>
    <w:basedOn w:val="DefaultParagraphFont"/>
    <w:link w:val="Footer"/>
    <w:uiPriority w:val="99"/>
    <w:rsid w:val="00876386"/>
    <w:rPr>
      <w:rFonts w:ascii="Times New Roman" w:eastAsia="Times New Roman" w:hAnsi="Times New Roman" w:cs="Times New Roman"/>
      <w:sz w:val="26"/>
      <w:szCs w:val="26"/>
    </w:rPr>
  </w:style>
  <w:style w:type="character" w:styleId="PageNumber">
    <w:name w:val="page number"/>
    <w:basedOn w:val="DefaultParagraphFont"/>
    <w:semiHidden/>
    <w:unhideWhenUsed/>
    <w:rsid w:val="00876386"/>
  </w:style>
  <w:style w:type="paragraph" w:styleId="BalloonText">
    <w:name w:val="Balloon Text"/>
    <w:basedOn w:val="Normal"/>
    <w:link w:val="BalloonTextChar"/>
    <w:uiPriority w:val="99"/>
    <w:semiHidden/>
    <w:unhideWhenUsed/>
    <w:rsid w:val="002A7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B04"/>
    <w:rPr>
      <w:rFonts w:ascii="Segoe UI" w:eastAsia="Times New Roman" w:hAnsi="Segoe UI" w:cs="Segoe UI"/>
      <w:sz w:val="18"/>
      <w:szCs w:val="18"/>
    </w:rPr>
  </w:style>
  <w:style w:type="paragraph" w:styleId="ListParagraph">
    <w:name w:val="List Paragraph"/>
    <w:basedOn w:val="Normal"/>
    <w:uiPriority w:val="34"/>
    <w:qFormat/>
    <w:rsid w:val="00F10CE2"/>
    <w:pPr>
      <w:ind w:left="720"/>
      <w:contextualSpacing/>
    </w:pPr>
  </w:style>
  <w:style w:type="character" w:customStyle="1" w:styleId="coconcept1321">
    <w:name w:val="co_concept_13_21"/>
    <w:basedOn w:val="DefaultParagraphFont"/>
    <w:rsid w:val="00835DCB"/>
  </w:style>
  <w:style w:type="character" w:customStyle="1" w:styleId="costarpage">
    <w:name w:val="co_starpage"/>
    <w:basedOn w:val="DefaultParagraphFont"/>
    <w:rsid w:val="00E54C33"/>
  </w:style>
  <w:style w:type="character" w:styleId="Emphasis">
    <w:name w:val="Emphasis"/>
    <w:basedOn w:val="DefaultParagraphFont"/>
    <w:uiPriority w:val="20"/>
    <w:qFormat/>
    <w:rsid w:val="0027482D"/>
    <w:rPr>
      <w:i/>
      <w:iCs/>
    </w:rPr>
  </w:style>
  <w:style w:type="character" w:customStyle="1" w:styleId="coconcept18">
    <w:name w:val="co_concept_1_8"/>
    <w:basedOn w:val="DefaultParagraphFont"/>
    <w:rsid w:val="00AC58D5"/>
  </w:style>
  <w:style w:type="character" w:customStyle="1" w:styleId="coconcept2024">
    <w:name w:val="co_concept_20_24"/>
    <w:basedOn w:val="DefaultParagraphFont"/>
    <w:rsid w:val="00AC58D5"/>
  </w:style>
  <w:style w:type="character" w:customStyle="1" w:styleId="coconcept2637">
    <w:name w:val="co_concept_26_37"/>
    <w:basedOn w:val="DefaultParagraphFont"/>
    <w:rsid w:val="00AC58D5"/>
  </w:style>
  <w:style w:type="character" w:customStyle="1" w:styleId="coconcept1318">
    <w:name w:val="co_concept_13_18"/>
    <w:basedOn w:val="DefaultParagraphFont"/>
    <w:rsid w:val="00AC58D5"/>
  </w:style>
  <w:style w:type="character" w:styleId="Hyperlink">
    <w:name w:val="Hyperlink"/>
    <w:basedOn w:val="DefaultParagraphFont"/>
    <w:uiPriority w:val="99"/>
    <w:unhideWhenUsed/>
    <w:rsid w:val="00F70974"/>
    <w:rPr>
      <w:color w:val="0563C1" w:themeColor="hyperlink"/>
      <w:u w:val="single"/>
    </w:rPr>
  </w:style>
  <w:style w:type="character" w:customStyle="1" w:styleId="UnresolvedMention1">
    <w:name w:val="Unresolved Mention1"/>
    <w:basedOn w:val="DefaultParagraphFont"/>
    <w:uiPriority w:val="99"/>
    <w:semiHidden/>
    <w:unhideWhenUsed/>
    <w:rsid w:val="00F70974"/>
    <w:rPr>
      <w:color w:val="605E5C"/>
      <w:shd w:val="clear" w:color="auto" w:fill="E1DFDD"/>
    </w:rPr>
  </w:style>
  <w:style w:type="character" w:customStyle="1" w:styleId="coconcept110">
    <w:name w:val="co_concept_1_10"/>
    <w:basedOn w:val="DefaultParagraphFont"/>
    <w:rsid w:val="00CA3CA1"/>
  </w:style>
  <w:style w:type="character" w:customStyle="1" w:styleId="coconcept1217">
    <w:name w:val="co_concept_12_17"/>
    <w:basedOn w:val="DefaultParagraphFont"/>
    <w:rsid w:val="00CA3CA1"/>
  </w:style>
  <w:style w:type="character" w:customStyle="1" w:styleId="copinpointicon">
    <w:name w:val="co_pinpointicon"/>
    <w:basedOn w:val="DefaultParagraphFont"/>
    <w:rsid w:val="008C68D2"/>
  </w:style>
  <w:style w:type="character" w:customStyle="1" w:styleId="coconcept48">
    <w:name w:val="co_concept_4_8"/>
    <w:basedOn w:val="DefaultParagraphFont"/>
    <w:rsid w:val="00B32ABF"/>
  </w:style>
  <w:style w:type="character" w:customStyle="1" w:styleId="coconcept411">
    <w:name w:val="co_concept_4_11"/>
    <w:basedOn w:val="DefaultParagraphFont"/>
    <w:rsid w:val="00B32ABF"/>
  </w:style>
  <w:style w:type="character" w:customStyle="1" w:styleId="coconcept1323">
    <w:name w:val="co_concept_13_23"/>
    <w:basedOn w:val="DefaultParagraphFont"/>
    <w:rsid w:val="00B32ABF"/>
  </w:style>
  <w:style w:type="character" w:customStyle="1" w:styleId="coconcept3843">
    <w:name w:val="co_concept_38_43"/>
    <w:basedOn w:val="DefaultParagraphFont"/>
    <w:rsid w:val="00B32ABF"/>
  </w:style>
  <w:style w:type="character" w:customStyle="1" w:styleId="coconcept4551">
    <w:name w:val="co_concept_45_51"/>
    <w:basedOn w:val="DefaultParagraphFont"/>
    <w:rsid w:val="00B32ABF"/>
  </w:style>
  <w:style w:type="character" w:customStyle="1" w:styleId="coconcept5360">
    <w:name w:val="co_concept_53_60"/>
    <w:basedOn w:val="DefaultParagraphFont"/>
    <w:rsid w:val="00B32ABF"/>
  </w:style>
  <w:style w:type="character" w:customStyle="1" w:styleId="coconcept2836">
    <w:name w:val="co_concept_28_36"/>
    <w:basedOn w:val="DefaultParagraphFont"/>
    <w:rsid w:val="00B32ABF"/>
  </w:style>
  <w:style w:type="character" w:customStyle="1" w:styleId="cohl">
    <w:name w:val="co_hl"/>
    <w:basedOn w:val="DefaultParagraphFont"/>
    <w:rsid w:val="00627FF2"/>
  </w:style>
  <w:style w:type="character" w:customStyle="1" w:styleId="coconcept1320">
    <w:name w:val="co_concept_13_20"/>
    <w:basedOn w:val="DefaultParagraphFont"/>
    <w:rsid w:val="00A22EDB"/>
  </w:style>
  <w:style w:type="character" w:customStyle="1" w:styleId="coconcept2233">
    <w:name w:val="co_concept_22_33"/>
    <w:basedOn w:val="DefaultParagraphFont"/>
    <w:rsid w:val="00A22EDB"/>
  </w:style>
  <w:style w:type="character" w:customStyle="1" w:styleId="coconcept13">
    <w:name w:val="co_concept_1_3"/>
    <w:basedOn w:val="DefaultParagraphFont"/>
    <w:rsid w:val="00A22EDB"/>
  </w:style>
  <w:style w:type="character" w:customStyle="1" w:styleId="coconcept16">
    <w:name w:val="co_concept_1_6"/>
    <w:basedOn w:val="DefaultParagraphFont"/>
    <w:rsid w:val="00967C64"/>
  </w:style>
  <w:style w:type="character" w:customStyle="1" w:styleId="coconcept17">
    <w:name w:val="co_concept_1_7"/>
    <w:basedOn w:val="DefaultParagraphFont"/>
    <w:rsid w:val="00797E30"/>
  </w:style>
  <w:style w:type="character" w:customStyle="1" w:styleId="coconcept918">
    <w:name w:val="co_concept_9_18"/>
    <w:basedOn w:val="DefaultParagraphFont"/>
    <w:rsid w:val="00797E30"/>
  </w:style>
  <w:style w:type="character" w:customStyle="1" w:styleId="coconcept2022">
    <w:name w:val="co_concept_20_22"/>
    <w:basedOn w:val="DefaultParagraphFont"/>
    <w:rsid w:val="00797E30"/>
  </w:style>
  <w:style w:type="character" w:customStyle="1" w:styleId="coconcept2431">
    <w:name w:val="co_concept_24_31"/>
    <w:basedOn w:val="DefaultParagraphFont"/>
    <w:rsid w:val="00797E30"/>
  </w:style>
  <w:style w:type="paragraph" w:styleId="NormalWeb">
    <w:name w:val="Normal (Web)"/>
    <w:basedOn w:val="Normal"/>
    <w:uiPriority w:val="99"/>
    <w:semiHidden/>
    <w:unhideWhenUsed/>
    <w:rsid w:val="00EC7556"/>
    <w:pPr>
      <w:spacing w:before="100" w:beforeAutospacing="1" w:after="100" w:afterAutospacing="1"/>
    </w:pPr>
    <w:rPr>
      <w:sz w:val="24"/>
      <w:szCs w:val="24"/>
    </w:rPr>
  </w:style>
  <w:style w:type="character" w:customStyle="1" w:styleId="coconcept2949">
    <w:name w:val="co_concept_29_49"/>
    <w:basedOn w:val="DefaultParagraphFont"/>
    <w:rsid w:val="00A4025B"/>
  </w:style>
  <w:style w:type="character" w:customStyle="1" w:styleId="coconcept14">
    <w:name w:val="co_concept_1_4"/>
    <w:basedOn w:val="DefaultParagraphFont"/>
    <w:rsid w:val="0054283A"/>
  </w:style>
  <w:style w:type="character" w:customStyle="1" w:styleId="coconcept5159">
    <w:name w:val="co_concept_51_59"/>
    <w:basedOn w:val="DefaultParagraphFont"/>
    <w:rsid w:val="0054283A"/>
  </w:style>
  <w:style w:type="character" w:customStyle="1" w:styleId="coconcept2839">
    <w:name w:val="co_concept_28_39"/>
    <w:basedOn w:val="DefaultParagraphFont"/>
    <w:rsid w:val="0054283A"/>
  </w:style>
  <w:style w:type="character" w:customStyle="1" w:styleId="coconcept3136">
    <w:name w:val="co_concept_31_36"/>
    <w:basedOn w:val="DefaultParagraphFont"/>
    <w:rsid w:val="0054283A"/>
  </w:style>
  <w:style w:type="character" w:customStyle="1" w:styleId="coconcept4149">
    <w:name w:val="co_concept_41_49"/>
    <w:basedOn w:val="DefaultParagraphFont"/>
    <w:rsid w:val="0054283A"/>
  </w:style>
  <w:style w:type="character" w:customStyle="1" w:styleId="coconcept3143">
    <w:name w:val="co_concept_31_43"/>
    <w:basedOn w:val="DefaultParagraphFont"/>
    <w:rsid w:val="00821672"/>
  </w:style>
  <w:style w:type="character" w:customStyle="1" w:styleId="coconcept2529">
    <w:name w:val="co_concept_25_29"/>
    <w:basedOn w:val="DefaultParagraphFont"/>
    <w:rsid w:val="00F0252C"/>
  </w:style>
  <w:style w:type="character" w:customStyle="1" w:styleId="coconcept5457">
    <w:name w:val="co_concept_54_57"/>
    <w:basedOn w:val="DefaultParagraphFont"/>
    <w:rsid w:val="00F0252C"/>
  </w:style>
  <w:style w:type="character" w:customStyle="1" w:styleId="coconcept1427">
    <w:name w:val="co_concept_14_27"/>
    <w:basedOn w:val="DefaultParagraphFont"/>
    <w:rsid w:val="007712AB"/>
  </w:style>
  <w:style w:type="character" w:styleId="Strong">
    <w:name w:val="Strong"/>
    <w:basedOn w:val="DefaultParagraphFont"/>
    <w:uiPriority w:val="22"/>
    <w:qFormat/>
    <w:rsid w:val="007712AB"/>
    <w:rPr>
      <w:b/>
      <w:bCs/>
    </w:rPr>
  </w:style>
  <w:style w:type="character" w:customStyle="1" w:styleId="coconcept15">
    <w:name w:val="co_concept_1_5"/>
    <w:basedOn w:val="DefaultParagraphFont"/>
    <w:rsid w:val="007712AB"/>
  </w:style>
  <w:style w:type="character" w:customStyle="1" w:styleId="coconcept1021">
    <w:name w:val="co_concept_10_21"/>
    <w:basedOn w:val="DefaultParagraphFont"/>
    <w:rsid w:val="007712AB"/>
  </w:style>
  <w:style w:type="character" w:customStyle="1" w:styleId="coconcept2329">
    <w:name w:val="co_concept_23_29"/>
    <w:basedOn w:val="DefaultParagraphFont"/>
    <w:rsid w:val="007712AB"/>
  </w:style>
  <w:style w:type="character" w:customStyle="1" w:styleId="coconcept3134">
    <w:name w:val="co_concept_31_34"/>
    <w:basedOn w:val="DefaultParagraphFont"/>
    <w:rsid w:val="007712AB"/>
  </w:style>
  <w:style w:type="character" w:customStyle="1" w:styleId="coconcept4549">
    <w:name w:val="co_concept_45_49"/>
    <w:basedOn w:val="DefaultParagraphFont"/>
    <w:rsid w:val="007712AB"/>
  </w:style>
  <w:style w:type="character" w:customStyle="1" w:styleId="coconcept2326">
    <w:name w:val="co_concept_23_26"/>
    <w:basedOn w:val="DefaultParagraphFont"/>
    <w:rsid w:val="00C07762"/>
  </w:style>
  <w:style w:type="paragraph" w:styleId="Title">
    <w:name w:val="Title"/>
    <w:basedOn w:val="Normal"/>
    <w:next w:val="Normal"/>
    <w:link w:val="TitleChar"/>
    <w:uiPriority w:val="10"/>
    <w:qFormat/>
    <w:rsid w:val="00C077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762"/>
    <w:rPr>
      <w:rFonts w:asciiTheme="majorHAnsi" w:eastAsiaTheme="majorEastAsia" w:hAnsiTheme="majorHAnsi" w:cstheme="majorBidi"/>
      <w:spacing w:val="-10"/>
      <w:kern w:val="28"/>
      <w:sz w:val="56"/>
      <w:szCs w:val="56"/>
    </w:rPr>
  </w:style>
  <w:style w:type="character" w:customStyle="1" w:styleId="coconcept58">
    <w:name w:val="co_concept_5_8"/>
    <w:basedOn w:val="DefaultParagraphFont"/>
    <w:rsid w:val="00772036"/>
  </w:style>
  <w:style w:type="character" w:customStyle="1" w:styleId="coconcept1015">
    <w:name w:val="co_concept_10_15"/>
    <w:basedOn w:val="DefaultParagraphFont"/>
    <w:rsid w:val="00772036"/>
  </w:style>
  <w:style w:type="character" w:customStyle="1" w:styleId="coconcept1725">
    <w:name w:val="co_concept_17_25"/>
    <w:basedOn w:val="DefaultParagraphFont"/>
    <w:rsid w:val="00772036"/>
  </w:style>
  <w:style w:type="character" w:customStyle="1" w:styleId="coconcept1421">
    <w:name w:val="co_concept_14_21"/>
    <w:basedOn w:val="DefaultParagraphFont"/>
    <w:rsid w:val="00F55ED1"/>
  </w:style>
  <w:style w:type="character" w:customStyle="1" w:styleId="coconcept2838">
    <w:name w:val="co_concept_28_38"/>
    <w:basedOn w:val="DefaultParagraphFont"/>
    <w:rsid w:val="00F55ED1"/>
  </w:style>
  <w:style w:type="character" w:customStyle="1" w:styleId="coconcept4046">
    <w:name w:val="co_concept_40_46"/>
    <w:basedOn w:val="DefaultParagraphFont"/>
    <w:rsid w:val="00F55ED1"/>
  </w:style>
  <w:style w:type="character" w:customStyle="1" w:styleId="coconcept1719">
    <w:name w:val="co_concept_17_19"/>
    <w:basedOn w:val="DefaultParagraphFont"/>
    <w:rsid w:val="00CF79B8"/>
  </w:style>
  <w:style w:type="character" w:customStyle="1" w:styleId="coconcept3748">
    <w:name w:val="co_concept_37_48"/>
    <w:basedOn w:val="DefaultParagraphFont"/>
    <w:rsid w:val="00CF79B8"/>
  </w:style>
  <w:style w:type="character" w:customStyle="1" w:styleId="coconcept2127">
    <w:name w:val="co_concept_21_27"/>
    <w:basedOn w:val="DefaultParagraphFont"/>
    <w:rsid w:val="00F11A94"/>
  </w:style>
  <w:style w:type="character" w:customStyle="1" w:styleId="coconcept2932">
    <w:name w:val="co_concept_29_32"/>
    <w:basedOn w:val="DefaultParagraphFont"/>
    <w:rsid w:val="00F11A94"/>
  </w:style>
  <w:style w:type="character" w:customStyle="1" w:styleId="coconcept1012">
    <w:name w:val="co_concept_10_12"/>
    <w:basedOn w:val="DefaultParagraphFont"/>
    <w:rsid w:val="00D33623"/>
  </w:style>
  <w:style w:type="character" w:customStyle="1" w:styleId="coconcept5062">
    <w:name w:val="co_concept_50_62"/>
    <w:basedOn w:val="DefaultParagraphFont"/>
    <w:rsid w:val="001A5665"/>
  </w:style>
  <w:style w:type="character" w:customStyle="1" w:styleId="coconcept2530">
    <w:name w:val="co_concept_25_30"/>
    <w:basedOn w:val="DefaultParagraphFont"/>
    <w:rsid w:val="0070229F"/>
  </w:style>
  <w:style w:type="character" w:customStyle="1" w:styleId="coconcept3236">
    <w:name w:val="co_concept_32_36"/>
    <w:basedOn w:val="DefaultParagraphFont"/>
    <w:rsid w:val="0070229F"/>
  </w:style>
  <w:style w:type="character" w:customStyle="1" w:styleId="coconcept3850">
    <w:name w:val="co_concept_38_50"/>
    <w:basedOn w:val="DefaultParagraphFont"/>
    <w:rsid w:val="0070229F"/>
  </w:style>
  <w:style w:type="character" w:customStyle="1" w:styleId="coconcept1520">
    <w:name w:val="co_concept_15_20"/>
    <w:basedOn w:val="DefaultParagraphFont"/>
    <w:rsid w:val="007058A9"/>
  </w:style>
  <w:style w:type="character" w:customStyle="1" w:styleId="coconcept2128">
    <w:name w:val="co_concept_21_28"/>
    <w:basedOn w:val="DefaultParagraphFont"/>
    <w:rsid w:val="005D2289"/>
  </w:style>
  <w:style w:type="character" w:customStyle="1" w:styleId="coconcept3944">
    <w:name w:val="co_concept_39_44"/>
    <w:basedOn w:val="DefaultParagraphFont"/>
    <w:rsid w:val="005D2289"/>
  </w:style>
  <w:style w:type="character" w:customStyle="1" w:styleId="coconcept3037">
    <w:name w:val="co_concept_30_37"/>
    <w:basedOn w:val="DefaultParagraphFont"/>
    <w:rsid w:val="002E4A27"/>
  </w:style>
  <w:style w:type="character" w:customStyle="1" w:styleId="coconcept719">
    <w:name w:val="co_concept_7_19"/>
    <w:basedOn w:val="DefaultParagraphFont"/>
    <w:rsid w:val="002E4A27"/>
  </w:style>
  <w:style w:type="character" w:customStyle="1" w:styleId="coconcept1014">
    <w:name w:val="co_concept_10_14"/>
    <w:basedOn w:val="DefaultParagraphFont"/>
    <w:rsid w:val="00D30909"/>
  </w:style>
  <w:style w:type="character" w:customStyle="1" w:styleId="coconcept116">
    <w:name w:val="co_concept_1_16"/>
    <w:basedOn w:val="DefaultParagraphFont"/>
    <w:rsid w:val="00A73A08"/>
  </w:style>
  <w:style w:type="character" w:customStyle="1" w:styleId="cohighlightpoints">
    <w:name w:val="co_highlightpoints"/>
    <w:basedOn w:val="DefaultParagraphFont"/>
    <w:rsid w:val="00303C1F"/>
  </w:style>
  <w:style w:type="paragraph" w:styleId="ListBullet">
    <w:name w:val="List Bullet"/>
    <w:basedOn w:val="Normal"/>
    <w:uiPriority w:val="99"/>
    <w:unhideWhenUsed/>
    <w:rsid w:val="00500871"/>
    <w:pPr>
      <w:numPr>
        <w:numId w:val="10"/>
      </w:numPr>
      <w:contextualSpacing/>
    </w:pPr>
  </w:style>
  <w:style w:type="character" w:styleId="FollowedHyperlink">
    <w:name w:val="FollowedHyperlink"/>
    <w:basedOn w:val="DefaultParagraphFont"/>
    <w:uiPriority w:val="99"/>
    <w:semiHidden/>
    <w:unhideWhenUsed/>
    <w:rsid w:val="00666A18"/>
    <w:rPr>
      <w:color w:val="954F72" w:themeColor="followedHyperlink"/>
      <w:u w:val="single"/>
    </w:rPr>
  </w:style>
  <w:style w:type="character" w:customStyle="1" w:styleId="ssit">
    <w:name w:val="ss_it"/>
    <w:basedOn w:val="DefaultParagraphFont"/>
    <w:rsid w:val="00774CFA"/>
  </w:style>
  <w:style w:type="character" w:customStyle="1" w:styleId="ssheadnotelink">
    <w:name w:val="ss_headnotelink"/>
    <w:basedOn w:val="DefaultParagraphFont"/>
    <w:rsid w:val="007653F7"/>
  </w:style>
  <w:style w:type="character" w:customStyle="1" w:styleId="highlighted">
    <w:name w:val="highlighted"/>
    <w:basedOn w:val="DefaultParagraphFont"/>
    <w:rsid w:val="007653F7"/>
  </w:style>
  <w:style w:type="paragraph" w:styleId="Revision">
    <w:name w:val="Revision"/>
    <w:hidden/>
    <w:uiPriority w:val="99"/>
    <w:semiHidden/>
    <w:rsid w:val="00596F9A"/>
    <w:pPr>
      <w:spacing w:after="0" w:line="240" w:lineRule="auto"/>
    </w:pPr>
    <w:rPr>
      <w:rFonts w:ascii="Times New Roman" w:eastAsia="Times New Roman" w:hAnsi="Times New Roman" w:cs="Times New Roman"/>
      <w:sz w:val="26"/>
      <w:szCs w:val="26"/>
    </w:rPr>
  </w:style>
  <w:style w:type="table" w:styleId="TableGrid">
    <w:name w:val="Table Grid"/>
    <w:basedOn w:val="TableNormal"/>
    <w:uiPriority w:val="39"/>
    <w:rsid w:val="00B7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Page1">
    <w:name w:val="Sig.Page.1"/>
    <w:basedOn w:val="Normal"/>
    <w:link w:val="SigPage1Char"/>
    <w:rsid w:val="00802F96"/>
    <w:pPr>
      <w:tabs>
        <w:tab w:val="left" w:pos="2880"/>
      </w:tabs>
    </w:pPr>
  </w:style>
  <w:style w:type="character" w:customStyle="1" w:styleId="SigPage1Char">
    <w:name w:val="Sig.Page.1 Char"/>
    <w:basedOn w:val="DefaultParagraphFont"/>
    <w:link w:val="SigPage1"/>
    <w:rsid w:val="00802F96"/>
    <w:rPr>
      <w:rFonts w:ascii="Times New Roman" w:eastAsia="Times New Roman" w:hAnsi="Times New Roman" w:cs="Times New Roman"/>
      <w:sz w:val="26"/>
      <w:szCs w:val="26"/>
    </w:rPr>
  </w:style>
  <w:style w:type="paragraph" w:customStyle="1" w:styleId="SigPage2">
    <w:name w:val="Sig.Page.2"/>
    <w:basedOn w:val="Normal"/>
    <w:link w:val="SigPage2Char"/>
    <w:rsid w:val="00802F96"/>
    <w:pPr>
      <w:tabs>
        <w:tab w:val="right" w:pos="2880"/>
      </w:tabs>
    </w:pPr>
  </w:style>
  <w:style w:type="character" w:customStyle="1" w:styleId="SigPage2Char">
    <w:name w:val="Sig.Page.2 Char"/>
    <w:basedOn w:val="DefaultParagraphFont"/>
    <w:link w:val="SigPage2"/>
    <w:rsid w:val="00802F96"/>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8D33E8-B6B2-495E-8259-4EEC6A2B404F}">
  <we:reference id="wa104380121" version="2.0.0.0" store="en-US" storeType="OMEX"/>
  <we:alternateReferences>
    <we:reference id="WA104380121"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8F420-1E27-4FA9-A95B-C50945D4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38773</Words>
  <Characters>221007</Characters>
  <Application>Microsoft Office Word</Application>
  <DocSecurity>0</DocSecurity>
  <Lines>1841</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2023-11-08T00:38:00Z</dcterms:created>
  <dcterms:modified xsi:type="dcterms:W3CDTF">2023-11-08T00:38:00Z</dcterms:modified>
</cp:coreProperties>
</file>