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2530" w14:textId="564A37C9" w:rsidR="00821AEC" w:rsidRPr="000153C9" w:rsidRDefault="00482C0A" w:rsidP="00482C0A">
      <w:pPr>
        <w:spacing w:line="240" w:lineRule="auto"/>
        <w:jc w:val="center"/>
        <w:rPr>
          <w:rFonts w:cs="Times New Roman"/>
          <w:bCs/>
          <w:sz w:val="20"/>
          <w:szCs w:val="26"/>
        </w:rPr>
      </w:pPr>
      <w:r w:rsidRPr="000153C9">
        <w:rPr>
          <w:rFonts w:cs="Times New Roman"/>
          <w:bCs/>
          <w:sz w:val="20"/>
          <w:szCs w:val="26"/>
        </w:rPr>
        <w:t>Filed 8/14/23</w:t>
      </w:r>
      <w:r w:rsidRPr="00482C0A">
        <w:rPr>
          <w:rFonts w:cs="Times New Roman"/>
          <w:bCs/>
          <w:sz w:val="20"/>
          <w:szCs w:val="26"/>
        </w:rPr>
        <w:t>; REVIEW GRANTED.  See Cal. Rules of Court, rules 8.1105 and 8.1115 (and corresponding Comment, par. 2, concerning rule 8.1115(e)(3)).</w:t>
      </w:r>
    </w:p>
    <w:p w14:paraId="0D725B63" w14:textId="3EB07C8E" w:rsidR="00323EC1" w:rsidRPr="002371ED" w:rsidRDefault="00482C0A" w:rsidP="000C6DE0">
      <w:pPr>
        <w:spacing w:line="240" w:lineRule="auto"/>
        <w:jc w:val="center"/>
        <w:rPr>
          <w:rFonts w:cs="Times New Roman"/>
          <w:b/>
          <w:szCs w:val="26"/>
        </w:rPr>
      </w:pPr>
      <w:r w:rsidRPr="002371ED">
        <w:rPr>
          <w:rFonts w:cs="Times New Roman"/>
          <w:b/>
          <w:szCs w:val="26"/>
        </w:rPr>
        <w:t>CERTIFIED FOR PUBLICATION</w:t>
      </w:r>
    </w:p>
    <w:p w14:paraId="69D75AFC" w14:textId="05CA6C2A" w:rsidR="000C6DE0" w:rsidRPr="002371ED" w:rsidRDefault="000C6DE0" w:rsidP="009516E9">
      <w:pPr>
        <w:spacing w:line="240" w:lineRule="auto"/>
        <w:jc w:val="center"/>
        <w:rPr>
          <w:rFonts w:cs="Times New Roman"/>
          <w:szCs w:val="26"/>
        </w:rPr>
      </w:pPr>
    </w:p>
    <w:p w14:paraId="41A428FA" w14:textId="06376E66" w:rsidR="000C6DE0" w:rsidRPr="002371ED" w:rsidRDefault="00482C0A" w:rsidP="000C6DE0">
      <w:pPr>
        <w:spacing w:line="240" w:lineRule="auto"/>
        <w:jc w:val="center"/>
        <w:rPr>
          <w:rFonts w:cs="Times New Roman"/>
          <w:b/>
          <w:szCs w:val="26"/>
        </w:rPr>
      </w:pPr>
      <w:r w:rsidRPr="002371ED">
        <w:rPr>
          <w:rFonts w:cs="Times New Roman"/>
          <w:b/>
          <w:szCs w:val="26"/>
        </w:rPr>
        <w:t>IN THE COURT OF APPEAL OF THE STATE OF CALIFORNIA</w:t>
      </w:r>
    </w:p>
    <w:p w14:paraId="17930138" w14:textId="7DA283BA" w:rsidR="000C6DE0" w:rsidRPr="002371ED" w:rsidRDefault="000C6DE0" w:rsidP="000C6DE0">
      <w:pPr>
        <w:spacing w:line="240" w:lineRule="auto"/>
        <w:jc w:val="center"/>
        <w:rPr>
          <w:rFonts w:cs="Times New Roman"/>
          <w:b/>
          <w:szCs w:val="26"/>
        </w:rPr>
      </w:pPr>
    </w:p>
    <w:p w14:paraId="5EA47439" w14:textId="6708CBEC" w:rsidR="000C6DE0" w:rsidRPr="002371ED" w:rsidRDefault="00482C0A" w:rsidP="000C6DE0">
      <w:pPr>
        <w:spacing w:line="240" w:lineRule="auto"/>
        <w:jc w:val="center"/>
        <w:rPr>
          <w:rFonts w:cs="Times New Roman"/>
          <w:b/>
          <w:szCs w:val="26"/>
        </w:rPr>
      </w:pPr>
      <w:r w:rsidRPr="002371ED">
        <w:rPr>
          <w:rFonts w:cs="Times New Roman"/>
          <w:b/>
          <w:szCs w:val="26"/>
        </w:rPr>
        <w:t>FOURTH APPELLATE DISTRICT</w:t>
      </w:r>
    </w:p>
    <w:p w14:paraId="57840076" w14:textId="7E12A600" w:rsidR="000C6DE0" w:rsidRPr="002371ED" w:rsidRDefault="000C6DE0" w:rsidP="000C6DE0">
      <w:pPr>
        <w:spacing w:line="240" w:lineRule="auto"/>
        <w:jc w:val="center"/>
        <w:rPr>
          <w:rFonts w:cs="Times New Roman"/>
          <w:b/>
          <w:szCs w:val="26"/>
        </w:rPr>
      </w:pPr>
    </w:p>
    <w:p w14:paraId="798618A2" w14:textId="77777777" w:rsidR="000C6DE0" w:rsidRPr="002371ED" w:rsidRDefault="00482C0A" w:rsidP="000C6DE0">
      <w:pPr>
        <w:spacing w:line="240" w:lineRule="auto"/>
        <w:jc w:val="center"/>
        <w:rPr>
          <w:rFonts w:cs="Times New Roman"/>
          <w:b/>
          <w:szCs w:val="26"/>
        </w:rPr>
      </w:pPr>
      <w:r w:rsidRPr="002371ED">
        <w:rPr>
          <w:rFonts w:cs="Times New Roman"/>
          <w:b/>
          <w:szCs w:val="26"/>
        </w:rPr>
        <w:t>DIVISION TWO</w:t>
      </w:r>
    </w:p>
    <w:p w14:paraId="5013A5A1" w14:textId="1CC5E8DB" w:rsidR="000C6DE0" w:rsidRPr="002371ED" w:rsidRDefault="000C6DE0" w:rsidP="00482C0A">
      <w:pPr>
        <w:spacing w:line="240" w:lineRule="auto"/>
        <w:rPr>
          <w:rFonts w:cs="Times New Roman"/>
          <w:szCs w:val="26"/>
        </w:rPr>
      </w:pPr>
    </w:p>
    <w:p w14:paraId="6F82EB74" w14:textId="0C8FAF70" w:rsidR="000C6DE0" w:rsidRPr="002371ED" w:rsidRDefault="000C6DE0" w:rsidP="000C6DE0">
      <w:pPr>
        <w:spacing w:line="240" w:lineRule="auto"/>
        <w:jc w:val="center"/>
        <w:rPr>
          <w:rFonts w:cs="Times New Roman"/>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C5600" w14:paraId="67A1DFA3" w14:textId="77777777" w:rsidTr="000C6DE0">
        <w:tc>
          <w:tcPr>
            <w:tcW w:w="4675" w:type="dxa"/>
            <w:tcBorders>
              <w:bottom w:val="single" w:sz="4" w:space="0" w:color="auto"/>
              <w:right w:val="single" w:sz="4" w:space="0" w:color="auto"/>
            </w:tcBorders>
            <w:shd w:val="clear" w:color="auto" w:fill="auto"/>
          </w:tcPr>
          <w:p w14:paraId="3FAD5A65" w14:textId="055240C9" w:rsidR="000C6DE0" w:rsidRPr="002371ED" w:rsidRDefault="00482C0A" w:rsidP="000C6DE0">
            <w:pPr>
              <w:rPr>
                <w:rFonts w:cs="Times New Roman"/>
                <w:szCs w:val="26"/>
              </w:rPr>
            </w:pPr>
            <w:r w:rsidRPr="002371ED">
              <w:rPr>
                <w:rFonts w:cs="Times New Roman"/>
                <w:szCs w:val="26"/>
              </w:rPr>
              <w:t xml:space="preserve">CALIFORNIA DEPARTMENT OF CORRECTIONS AND </w:t>
            </w:r>
            <w:r w:rsidR="009038AD" w:rsidRPr="002371ED">
              <w:rPr>
                <w:rFonts w:cs="Times New Roman"/>
                <w:szCs w:val="26"/>
              </w:rPr>
              <w:t>REHABILITATION</w:t>
            </w:r>
            <w:r w:rsidRPr="002371ED">
              <w:rPr>
                <w:rFonts w:cs="Times New Roman"/>
                <w:szCs w:val="26"/>
              </w:rPr>
              <w:t>,</w:t>
            </w:r>
          </w:p>
          <w:p w14:paraId="3D891A56" w14:textId="77777777" w:rsidR="000C6DE0" w:rsidRPr="002371ED" w:rsidRDefault="000C6DE0" w:rsidP="000C6DE0">
            <w:pPr>
              <w:rPr>
                <w:rFonts w:cs="Times New Roman"/>
                <w:szCs w:val="26"/>
              </w:rPr>
            </w:pPr>
          </w:p>
          <w:p w14:paraId="7AFC6BCB" w14:textId="77777777" w:rsidR="000C6DE0" w:rsidRPr="002371ED" w:rsidRDefault="00482C0A" w:rsidP="000C6DE0">
            <w:pPr>
              <w:rPr>
                <w:rFonts w:cs="Times New Roman"/>
                <w:szCs w:val="26"/>
              </w:rPr>
            </w:pPr>
            <w:r w:rsidRPr="002371ED">
              <w:rPr>
                <w:rFonts w:cs="Times New Roman"/>
                <w:szCs w:val="26"/>
              </w:rPr>
              <w:tab/>
              <w:t>Petitioner,</w:t>
            </w:r>
          </w:p>
          <w:p w14:paraId="28A12523" w14:textId="77777777" w:rsidR="000C6DE0" w:rsidRPr="002371ED" w:rsidRDefault="000C6DE0" w:rsidP="000C6DE0">
            <w:pPr>
              <w:rPr>
                <w:rFonts w:cs="Times New Roman"/>
                <w:szCs w:val="26"/>
              </w:rPr>
            </w:pPr>
          </w:p>
          <w:p w14:paraId="22FA5B48" w14:textId="77777777" w:rsidR="000C6DE0" w:rsidRPr="002371ED" w:rsidRDefault="00482C0A" w:rsidP="000C6DE0">
            <w:pPr>
              <w:rPr>
                <w:rFonts w:cs="Times New Roman"/>
                <w:szCs w:val="26"/>
              </w:rPr>
            </w:pPr>
            <w:r w:rsidRPr="002371ED">
              <w:rPr>
                <w:rFonts w:cs="Times New Roman"/>
                <w:szCs w:val="26"/>
              </w:rPr>
              <w:t>v.</w:t>
            </w:r>
          </w:p>
          <w:p w14:paraId="222F5B2D" w14:textId="77777777" w:rsidR="000C6DE0" w:rsidRPr="002371ED" w:rsidRDefault="000C6DE0" w:rsidP="000C6DE0">
            <w:pPr>
              <w:rPr>
                <w:rFonts w:cs="Times New Roman"/>
                <w:szCs w:val="26"/>
              </w:rPr>
            </w:pPr>
          </w:p>
          <w:p w14:paraId="6D9A050F" w14:textId="594E6259" w:rsidR="000C6DE0" w:rsidRPr="002371ED" w:rsidRDefault="00482C0A" w:rsidP="000C6DE0">
            <w:pPr>
              <w:rPr>
                <w:rFonts w:cs="Times New Roman"/>
                <w:szCs w:val="26"/>
              </w:rPr>
            </w:pPr>
            <w:r w:rsidRPr="002371ED">
              <w:rPr>
                <w:rFonts w:cs="Times New Roman"/>
                <w:szCs w:val="26"/>
              </w:rPr>
              <w:t>WORKERS</w:t>
            </w:r>
            <w:r w:rsidR="00FD68D2" w:rsidRPr="002371ED">
              <w:rPr>
                <w:rFonts w:cs="Times New Roman"/>
                <w:szCs w:val="26"/>
              </w:rPr>
              <w:t>’</w:t>
            </w:r>
            <w:r w:rsidRPr="002371ED">
              <w:rPr>
                <w:rFonts w:cs="Times New Roman"/>
                <w:szCs w:val="26"/>
              </w:rPr>
              <w:t xml:space="preserve"> COMPENSATION APPEALS BOARD and MICHAEL AYALA,</w:t>
            </w:r>
          </w:p>
          <w:p w14:paraId="2E1F3114" w14:textId="77777777" w:rsidR="000C6DE0" w:rsidRPr="002371ED" w:rsidRDefault="000C6DE0" w:rsidP="000C6DE0">
            <w:pPr>
              <w:rPr>
                <w:rFonts w:cs="Times New Roman"/>
                <w:szCs w:val="26"/>
              </w:rPr>
            </w:pPr>
          </w:p>
          <w:p w14:paraId="23038FF4" w14:textId="77777777" w:rsidR="000C6DE0" w:rsidRPr="002371ED" w:rsidRDefault="00482C0A" w:rsidP="000C6DE0">
            <w:pPr>
              <w:rPr>
                <w:rFonts w:cs="Times New Roman"/>
                <w:szCs w:val="26"/>
              </w:rPr>
            </w:pPr>
            <w:r w:rsidRPr="002371ED">
              <w:rPr>
                <w:rFonts w:cs="Times New Roman"/>
                <w:szCs w:val="26"/>
              </w:rPr>
              <w:tab/>
              <w:t>Respondents.</w:t>
            </w:r>
          </w:p>
          <w:p w14:paraId="57CF047C" w14:textId="1C1D16E2" w:rsidR="000C6DE0" w:rsidRPr="002371ED" w:rsidRDefault="000C6DE0" w:rsidP="000C6DE0">
            <w:pPr>
              <w:rPr>
                <w:rFonts w:cs="Times New Roman"/>
                <w:szCs w:val="26"/>
              </w:rPr>
            </w:pPr>
          </w:p>
        </w:tc>
        <w:tc>
          <w:tcPr>
            <w:tcW w:w="4675" w:type="dxa"/>
            <w:tcBorders>
              <w:left w:val="single" w:sz="4" w:space="0" w:color="auto"/>
            </w:tcBorders>
            <w:shd w:val="clear" w:color="auto" w:fill="auto"/>
          </w:tcPr>
          <w:p w14:paraId="1F6C9D88" w14:textId="77777777" w:rsidR="000C6DE0" w:rsidRPr="002371ED" w:rsidRDefault="000C6DE0" w:rsidP="000C6DE0">
            <w:pPr>
              <w:rPr>
                <w:rFonts w:cs="Times New Roman"/>
                <w:szCs w:val="26"/>
              </w:rPr>
            </w:pPr>
          </w:p>
          <w:p w14:paraId="62A5475E" w14:textId="77777777" w:rsidR="000C6DE0" w:rsidRPr="002371ED" w:rsidRDefault="000C6DE0" w:rsidP="000C6DE0">
            <w:pPr>
              <w:rPr>
                <w:rFonts w:cs="Times New Roman"/>
                <w:szCs w:val="26"/>
              </w:rPr>
            </w:pPr>
          </w:p>
          <w:p w14:paraId="47D80150" w14:textId="77777777" w:rsidR="000C6DE0" w:rsidRPr="002371ED" w:rsidRDefault="00482C0A" w:rsidP="000C6DE0">
            <w:pPr>
              <w:rPr>
                <w:rFonts w:cs="Times New Roman"/>
                <w:szCs w:val="26"/>
              </w:rPr>
            </w:pPr>
            <w:r w:rsidRPr="002371ED">
              <w:rPr>
                <w:rFonts w:cs="Times New Roman"/>
                <w:szCs w:val="26"/>
              </w:rPr>
              <w:tab/>
            </w:r>
            <w:bookmarkStart w:id="0" w:name="_Hlk142905617"/>
            <w:r w:rsidRPr="002371ED">
              <w:rPr>
                <w:rFonts w:cs="Times New Roman"/>
                <w:szCs w:val="26"/>
              </w:rPr>
              <w:t>E079076</w:t>
            </w:r>
            <w:bookmarkEnd w:id="0"/>
          </w:p>
          <w:p w14:paraId="425201F8" w14:textId="77777777" w:rsidR="000C6DE0" w:rsidRPr="002371ED" w:rsidRDefault="000C6DE0" w:rsidP="000C6DE0">
            <w:pPr>
              <w:rPr>
                <w:rFonts w:cs="Times New Roman"/>
                <w:szCs w:val="26"/>
              </w:rPr>
            </w:pPr>
          </w:p>
          <w:p w14:paraId="40DD96D1" w14:textId="65485B1E" w:rsidR="000C6DE0" w:rsidRPr="002371ED" w:rsidRDefault="00482C0A" w:rsidP="000C6DE0">
            <w:pPr>
              <w:rPr>
                <w:rFonts w:cs="Times New Roman"/>
                <w:szCs w:val="26"/>
              </w:rPr>
            </w:pPr>
            <w:r w:rsidRPr="002371ED">
              <w:rPr>
                <w:rFonts w:cs="Times New Roman"/>
                <w:szCs w:val="26"/>
              </w:rPr>
              <w:tab/>
              <w:t>(WCAB No. ADJ1360597)</w:t>
            </w:r>
          </w:p>
          <w:p w14:paraId="77C3BC35" w14:textId="77777777" w:rsidR="000C6DE0" w:rsidRPr="002371ED" w:rsidRDefault="000C6DE0" w:rsidP="000C6DE0">
            <w:pPr>
              <w:rPr>
                <w:rFonts w:cs="Times New Roman"/>
                <w:szCs w:val="26"/>
              </w:rPr>
            </w:pPr>
          </w:p>
          <w:p w14:paraId="46028AA2" w14:textId="06A64BFC" w:rsidR="000C6DE0" w:rsidRPr="002371ED" w:rsidRDefault="00482C0A" w:rsidP="000C6DE0">
            <w:pPr>
              <w:rPr>
                <w:rFonts w:cs="Times New Roman"/>
                <w:szCs w:val="26"/>
              </w:rPr>
            </w:pPr>
            <w:r w:rsidRPr="002371ED">
              <w:rPr>
                <w:rFonts w:cs="Times New Roman"/>
                <w:szCs w:val="26"/>
              </w:rPr>
              <w:tab/>
              <w:t>OPINION</w:t>
            </w:r>
          </w:p>
          <w:p w14:paraId="3BEBFEFC" w14:textId="5D6D527E" w:rsidR="000C6DE0" w:rsidRPr="002371ED" w:rsidRDefault="000C6DE0" w:rsidP="000C6DE0">
            <w:pPr>
              <w:rPr>
                <w:rFonts w:cs="Times New Roman"/>
                <w:szCs w:val="26"/>
              </w:rPr>
            </w:pPr>
          </w:p>
        </w:tc>
      </w:tr>
    </w:tbl>
    <w:p w14:paraId="480514D1" w14:textId="41EC3832" w:rsidR="000C6DE0" w:rsidRPr="002371ED" w:rsidRDefault="00482C0A" w:rsidP="009516E9">
      <w:pPr>
        <w:rPr>
          <w:rFonts w:cs="Times New Roman"/>
          <w:szCs w:val="26"/>
        </w:rPr>
      </w:pPr>
      <w:r w:rsidRPr="002371ED">
        <w:rPr>
          <w:rFonts w:cs="Times New Roman"/>
          <w:szCs w:val="26"/>
        </w:rPr>
        <w:tab/>
      </w:r>
      <w:r w:rsidR="009A4D0F" w:rsidRPr="002371ED">
        <w:rPr>
          <w:rFonts w:cs="Times New Roman"/>
          <w:szCs w:val="26"/>
        </w:rPr>
        <w:t>ORIGINAL PROCEEDINGS; petition for writ of review</w:t>
      </w:r>
      <w:r w:rsidRPr="002371ED">
        <w:rPr>
          <w:rFonts w:cs="Times New Roman"/>
          <w:szCs w:val="26"/>
        </w:rPr>
        <w:t>.</w:t>
      </w:r>
      <w:r w:rsidR="00F03A62">
        <w:rPr>
          <w:rFonts w:cs="Times New Roman"/>
          <w:szCs w:val="26"/>
        </w:rPr>
        <w:t xml:space="preserve"> Annulled and remanded.</w:t>
      </w:r>
    </w:p>
    <w:p w14:paraId="6D646BF3" w14:textId="569489D5" w:rsidR="00C3473C" w:rsidRPr="002371ED" w:rsidRDefault="00482C0A" w:rsidP="00F10783">
      <w:pPr>
        <w:ind w:firstLine="720"/>
        <w:rPr>
          <w:rFonts w:cs="Times New Roman"/>
          <w:szCs w:val="26"/>
        </w:rPr>
      </w:pPr>
      <w:r w:rsidRPr="002371ED">
        <w:rPr>
          <w:rFonts w:cs="Times New Roman"/>
          <w:szCs w:val="26"/>
        </w:rPr>
        <w:t xml:space="preserve">Carla R. </w:t>
      </w:r>
      <w:proofErr w:type="spellStart"/>
      <w:r w:rsidRPr="002371ED">
        <w:rPr>
          <w:rFonts w:cs="Times New Roman"/>
          <w:szCs w:val="26"/>
        </w:rPr>
        <w:t>Anene</w:t>
      </w:r>
      <w:proofErr w:type="spellEnd"/>
      <w:r w:rsidRPr="002371ED">
        <w:rPr>
          <w:rFonts w:cs="Times New Roman"/>
          <w:szCs w:val="26"/>
        </w:rPr>
        <w:t xml:space="preserve">, Mark Beatty, Mary R. </w:t>
      </w:r>
      <w:proofErr w:type="spellStart"/>
      <w:r w:rsidRPr="002371ED">
        <w:rPr>
          <w:rFonts w:cs="Times New Roman"/>
          <w:szCs w:val="26"/>
        </w:rPr>
        <w:t>Huckabaa</w:t>
      </w:r>
      <w:proofErr w:type="spellEnd"/>
      <w:r w:rsidRPr="002371ED">
        <w:rPr>
          <w:rFonts w:cs="Times New Roman"/>
          <w:szCs w:val="26"/>
        </w:rPr>
        <w:t xml:space="preserve">, A. Gina </w:t>
      </w:r>
      <w:proofErr w:type="spellStart"/>
      <w:r w:rsidRPr="002371ED">
        <w:rPr>
          <w:rFonts w:cs="Times New Roman"/>
          <w:szCs w:val="26"/>
        </w:rPr>
        <w:t>Hogtanian</w:t>
      </w:r>
      <w:proofErr w:type="spellEnd"/>
      <w:r w:rsidRPr="002371ED">
        <w:rPr>
          <w:rFonts w:cs="Times New Roman"/>
          <w:szCs w:val="26"/>
        </w:rPr>
        <w:t xml:space="preserve">, and Tariq </w:t>
      </w:r>
      <w:proofErr w:type="spellStart"/>
      <w:r w:rsidRPr="002371ED">
        <w:rPr>
          <w:rFonts w:cs="Times New Roman"/>
          <w:szCs w:val="26"/>
        </w:rPr>
        <w:t>Ashrati</w:t>
      </w:r>
      <w:proofErr w:type="spellEnd"/>
      <w:r w:rsidR="00D46C21" w:rsidRPr="002371ED">
        <w:rPr>
          <w:rFonts w:cs="Times New Roman"/>
          <w:szCs w:val="26"/>
        </w:rPr>
        <w:t>, for Petitioner.</w:t>
      </w:r>
    </w:p>
    <w:p w14:paraId="1B789A54" w14:textId="7F3FAB99" w:rsidR="00D46C21" w:rsidRPr="002371ED" w:rsidRDefault="00482C0A" w:rsidP="009516E9">
      <w:pPr>
        <w:rPr>
          <w:rFonts w:cs="Times New Roman"/>
          <w:szCs w:val="26"/>
        </w:rPr>
      </w:pPr>
      <w:r w:rsidRPr="002371ED">
        <w:rPr>
          <w:rFonts w:cs="Times New Roman"/>
          <w:szCs w:val="26"/>
        </w:rPr>
        <w:tab/>
        <w:t>Allison J. Fairchild for Respondent, Workers’ Compensation Appeals Board.</w:t>
      </w:r>
    </w:p>
    <w:p w14:paraId="48A6F721" w14:textId="344A68CB" w:rsidR="00D46C21" w:rsidRPr="002371ED" w:rsidRDefault="00482C0A" w:rsidP="009516E9">
      <w:pPr>
        <w:rPr>
          <w:rFonts w:cs="Times New Roman"/>
          <w:szCs w:val="26"/>
        </w:rPr>
      </w:pPr>
      <w:r w:rsidRPr="002371ED">
        <w:rPr>
          <w:rFonts w:cs="Times New Roman"/>
          <w:szCs w:val="26"/>
        </w:rPr>
        <w:tab/>
      </w:r>
      <w:r w:rsidR="00F10783" w:rsidRPr="002371ED">
        <w:rPr>
          <w:rFonts w:cs="Times New Roman"/>
          <w:szCs w:val="26"/>
        </w:rPr>
        <w:t>Adams, Ferrone, Ferrone and Michael T. Bannon for Respondent, Michael Ayala.</w:t>
      </w:r>
    </w:p>
    <w:p w14:paraId="47EBB76A" w14:textId="3029D813" w:rsidR="000C6DE0" w:rsidRPr="002371ED" w:rsidRDefault="00482C0A" w:rsidP="009516E9">
      <w:pPr>
        <w:pStyle w:val="NoSpacing"/>
        <w:spacing w:line="600" w:lineRule="exact"/>
      </w:pPr>
      <w:r w:rsidRPr="002371ED">
        <w:t>In</w:t>
      </w:r>
      <w:r w:rsidR="004140EA" w:rsidRPr="002371ED">
        <w:t xml:space="preserve"> workers’ compensation law</w:t>
      </w:r>
      <w:r w:rsidR="00F46BC7" w:rsidRPr="002371ED">
        <w:t xml:space="preserve">, </w:t>
      </w:r>
      <w:r w:rsidR="005351C5" w:rsidRPr="002371ED">
        <w:t xml:space="preserve">if a worker is injured because of the employer’s </w:t>
      </w:r>
      <w:r w:rsidR="00262568" w:rsidRPr="002371ED">
        <w:t xml:space="preserve">serious and willful misconduct, the “compensation” the worker is entitled to increases by one half.  </w:t>
      </w:r>
      <w:r w:rsidR="00B80BB4" w:rsidRPr="002371ED">
        <w:t>The statute defining</w:t>
      </w:r>
      <w:r w:rsidR="00D166F2" w:rsidRPr="002371ED">
        <w:t xml:space="preserve"> “compensation” </w:t>
      </w:r>
      <w:r w:rsidR="00537C3D" w:rsidRPr="002371ED">
        <w:t xml:space="preserve">limits the term to benefits or payments </w:t>
      </w:r>
      <w:r w:rsidR="00537C3D" w:rsidRPr="002371ED">
        <w:lastRenderedPageBreak/>
        <w:t>provided by</w:t>
      </w:r>
      <w:r w:rsidR="00C16C4A" w:rsidRPr="002371ED">
        <w:t xml:space="preserve"> Division 4 of the Labor Code.</w:t>
      </w:r>
      <w:r w:rsidR="00A4646F" w:rsidRPr="002371ED">
        <w:t xml:space="preserve">  In this writ proceeding, we find that</w:t>
      </w:r>
      <w:r w:rsidR="00C46DEB" w:rsidRPr="002371ED">
        <w:t xml:space="preserve"> “compensation”</w:t>
      </w:r>
      <w:r w:rsidR="008871E9" w:rsidRPr="002371ED">
        <w:t xml:space="preserve"> does not include industrial disability leave</w:t>
      </w:r>
      <w:r w:rsidR="00241850" w:rsidRPr="002371ED">
        <w:t>, which is provided by the Government Code, and therefore</w:t>
      </w:r>
      <w:r w:rsidR="00A93C02" w:rsidRPr="002371ED">
        <w:t xml:space="preserve"> cannot be increased by one half</w:t>
      </w:r>
      <w:r w:rsidR="008911D2" w:rsidRPr="002371ED">
        <w:t xml:space="preserve"> in cases of serious and willful employer misconduct.</w:t>
      </w:r>
      <w:r>
        <w:rPr>
          <w:rStyle w:val="FootnoteReference"/>
          <w:sz w:val="26"/>
          <w:szCs w:val="26"/>
          <w:vertAlign w:val="superscript"/>
        </w:rPr>
        <w:footnoteReference w:id="2"/>
      </w:r>
    </w:p>
    <w:p w14:paraId="483B71A5" w14:textId="19CD4E7F" w:rsidR="000C6DE0" w:rsidRPr="002371ED" w:rsidRDefault="00482C0A" w:rsidP="009516E9">
      <w:pPr>
        <w:pStyle w:val="NoSpacing"/>
        <w:keepNext/>
        <w:spacing w:line="600" w:lineRule="exact"/>
        <w:ind w:firstLine="0"/>
        <w:jc w:val="center"/>
      </w:pPr>
      <w:r w:rsidRPr="002371ED">
        <w:t>BACKGROUND</w:t>
      </w:r>
    </w:p>
    <w:p w14:paraId="741DA5EE" w14:textId="73F88C9A" w:rsidR="000C6DE0" w:rsidRPr="002371ED" w:rsidRDefault="00482C0A" w:rsidP="009516E9">
      <w:pPr>
        <w:pStyle w:val="NoSpacing"/>
        <w:spacing w:line="600" w:lineRule="exact"/>
      </w:pPr>
      <w:r w:rsidRPr="002371ED">
        <w:t xml:space="preserve">While at his job as a correctional officer at the Lancaster State Prison in August 2002, respondent Michael Ayala was </w:t>
      </w:r>
      <w:r w:rsidR="004218DE" w:rsidRPr="002371ED">
        <w:t xml:space="preserve">severely </w:t>
      </w:r>
      <w:r w:rsidR="00C57ED6" w:rsidRPr="002371ED">
        <w:t>injured</w:t>
      </w:r>
      <w:r w:rsidR="0093725F" w:rsidRPr="002371ED">
        <w:t xml:space="preserve"> in a preplanned attack by inmates</w:t>
      </w:r>
      <w:r w:rsidRPr="002371ED">
        <w:t xml:space="preserve">.  </w:t>
      </w:r>
      <w:r w:rsidR="004925A3" w:rsidRPr="002371ED">
        <w:t>He filed a workers’ compensation claim</w:t>
      </w:r>
      <w:r w:rsidR="00EA78E4" w:rsidRPr="002371ED">
        <w:t xml:space="preserve"> </w:t>
      </w:r>
      <w:r w:rsidR="00AF6C42" w:rsidRPr="002371ED">
        <w:t>and alleged that</w:t>
      </w:r>
      <w:r w:rsidR="00CD51CC" w:rsidRPr="002371ED">
        <w:t xml:space="preserve"> </w:t>
      </w:r>
      <w:r w:rsidR="001D24F7" w:rsidRPr="002371ED">
        <w:t xml:space="preserve">the injury was caused by </w:t>
      </w:r>
      <w:r w:rsidR="00B5311D" w:rsidRPr="002371ED">
        <w:t xml:space="preserve">the </w:t>
      </w:r>
      <w:r w:rsidR="00CD51CC" w:rsidRPr="002371ED">
        <w:t>serious and willful misconduct</w:t>
      </w:r>
      <w:r w:rsidR="00B5311D" w:rsidRPr="002371ED">
        <w:t xml:space="preserve"> of his employer, petitioner California Department of Corrections and Rehabilitation (</w:t>
      </w:r>
      <w:proofErr w:type="spellStart"/>
      <w:r w:rsidR="00B5311D" w:rsidRPr="002371ED">
        <w:t>CDCR</w:t>
      </w:r>
      <w:proofErr w:type="spellEnd"/>
      <w:r w:rsidR="00B5311D" w:rsidRPr="002371ED">
        <w:t>)</w:t>
      </w:r>
      <w:r w:rsidR="00EA78E4" w:rsidRPr="002371ED">
        <w:t>.</w:t>
      </w:r>
      <w:r w:rsidR="00D55043" w:rsidRPr="002371ED">
        <w:t xml:space="preserve">  </w:t>
      </w:r>
      <w:r w:rsidR="000F6DC4" w:rsidRPr="002371ED">
        <w:t>Such an allegation is significant because s</w:t>
      </w:r>
      <w:r w:rsidR="00842773" w:rsidRPr="002371ED">
        <w:t>ection 4553</w:t>
      </w:r>
      <w:r w:rsidR="00A5258B" w:rsidRPr="002371ED">
        <w:t xml:space="preserve"> provides that “[t]</w:t>
      </w:r>
      <w:proofErr w:type="gramStart"/>
      <w:r w:rsidR="00A5258B" w:rsidRPr="002371ED">
        <w:t>he</w:t>
      </w:r>
      <w:proofErr w:type="gramEnd"/>
      <w:r w:rsidR="00A5258B" w:rsidRPr="002371ED">
        <w:t xml:space="preserve"> amount of compensation otherwise recoverable shall be increased one-half</w:t>
      </w:r>
      <w:r w:rsidR="001B79BD" w:rsidRPr="002371ED">
        <w:t xml:space="preserve"> . . . </w:t>
      </w:r>
      <w:r w:rsidR="00E86262" w:rsidRPr="002371ED">
        <w:t xml:space="preserve">where the employee is injured by reason of serious and willful </w:t>
      </w:r>
      <w:r w:rsidR="00BA515C" w:rsidRPr="002371ED">
        <w:t>mis</w:t>
      </w:r>
      <w:r w:rsidR="00E86262" w:rsidRPr="002371ED">
        <w:t xml:space="preserve">conduct” by the employer. </w:t>
      </w:r>
      <w:r w:rsidR="007029F8" w:rsidRPr="002371ED">
        <w:t xml:space="preserve"> </w:t>
      </w:r>
      <w:r w:rsidR="0056646E" w:rsidRPr="002371ED">
        <w:t xml:space="preserve">Ayala and </w:t>
      </w:r>
      <w:proofErr w:type="spellStart"/>
      <w:r w:rsidR="0056646E" w:rsidRPr="002371ED">
        <w:t>CDCR</w:t>
      </w:r>
      <w:proofErr w:type="spellEnd"/>
      <w:r w:rsidR="0056646E" w:rsidRPr="002371ED">
        <w:t xml:space="preserve"> agreed that the injury</w:t>
      </w:r>
      <w:r w:rsidR="00C14510" w:rsidRPr="002371ED">
        <w:t xml:space="preserve"> caused Ayala 85</w:t>
      </w:r>
      <w:r w:rsidR="00BA515C" w:rsidRPr="002371ED">
        <w:t xml:space="preserve"> percent</w:t>
      </w:r>
      <w:r w:rsidR="00C14510" w:rsidRPr="002371ED">
        <w:t xml:space="preserve"> permanent disability</w:t>
      </w:r>
      <w:r w:rsidR="00E164DA" w:rsidRPr="002371ED">
        <w:t>,</w:t>
      </w:r>
      <w:r w:rsidR="00C14510" w:rsidRPr="002371ED">
        <w:t xml:space="preserve"> but</w:t>
      </w:r>
      <w:r w:rsidR="00C20380" w:rsidRPr="002371ED">
        <w:t xml:space="preserve"> </w:t>
      </w:r>
      <w:r w:rsidR="00E164DA" w:rsidRPr="002371ED">
        <w:t xml:space="preserve">they </w:t>
      </w:r>
      <w:r w:rsidR="00C20380" w:rsidRPr="002371ED">
        <w:t xml:space="preserve">could not agree </w:t>
      </w:r>
      <w:r w:rsidR="00141D3E" w:rsidRPr="002371ED">
        <w:t xml:space="preserve">whether </w:t>
      </w:r>
      <w:proofErr w:type="spellStart"/>
      <w:r w:rsidR="00514EA4" w:rsidRPr="002371ED">
        <w:t>CDCR</w:t>
      </w:r>
      <w:proofErr w:type="spellEnd"/>
      <w:r w:rsidR="00514EA4" w:rsidRPr="002371ED">
        <w:t xml:space="preserve"> engaged in serious and willful misconduct</w:t>
      </w:r>
      <w:r w:rsidR="008F2285" w:rsidRPr="002371ED">
        <w:t>.</w:t>
      </w:r>
    </w:p>
    <w:p w14:paraId="728A6F43" w14:textId="4251FAA4" w:rsidR="004F27A2" w:rsidRPr="002371ED" w:rsidRDefault="00482C0A" w:rsidP="009516E9">
      <w:pPr>
        <w:pStyle w:val="NoSpacing"/>
        <w:spacing w:line="600" w:lineRule="exact"/>
      </w:pPr>
      <w:r w:rsidRPr="002371ED">
        <w:t>Nearly two decades</w:t>
      </w:r>
      <w:r w:rsidR="00BF7559" w:rsidRPr="002371ED">
        <w:t xml:space="preserve"> later</w:t>
      </w:r>
      <w:r w:rsidRPr="002371ED">
        <w:t>—</w:t>
      </w:r>
      <w:r w:rsidR="00514EA4" w:rsidRPr="002371ED">
        <w:t>the record does not</w:t>
      </w:r>
      <w:r w:rsidR="00951820" w:rsidRPr="002371ED">
        <w:t xml:space="preserve"> </w:t>
      </w:r>
      <w:r w:rsidR="000F6DC4" w:rsidRPr="002371ED">
        <w:t xml:space="preserve">show </w:t>
      </w:r>
      <w:r w:rsidR="00987CF0" w:rsidRPr="002371ED">
        <w:t>the</w:t>
      </w:r>
      <w:r w:rsidR="00182200" w:rsidRPr="002371ED">
        <w:t xml:space="preserve"> reasons for delay</w:t>
      </w:r>
      <w:r w:rsidR="00951820" w:rsidRPr="002371ED">
        <w:t>—</w:t>
      </w:r>
      <w:r w:rsidRPr="002371ED">
        <w:t xml:space="preserve">a workers’ compensation judge </w:t>
      </w:r>
      <w:r w:rsidR="009B5F04" w:rsidRPr="002371ED">
        <w:t xml:space="preserve">found that </w:t>
      </w:r>
      <w:proofErr w:type="spellStart"/>
      <w:r w:rsidR="009B5F04" w:rsidRPr="002371ED">
        <w:t>CDCR</w:t>
      </w:r>
      <w:proofErr w:type="spellEnd"/>
      <w:r w:rsidR="009B5F04" w:rsidRPr="002371ED">
        <w:t xml:space="preserve"> did not engage in serious and willful misconduct.</w:t>
      </w:r>
      <w:r w:rsidR="00C87231" w:rsidRPr="002371ED">
        <w:t xml:space="preserve">  </w:t>
      </w:r>
      <w:r w:rsidR="00F277EC" w:rsidRPr="002371ED">
        <w:t>However, o</w:t>
      </w:r>
      <w:r w:rsidR="00C87231" w:rsidRPr="002371ED">
        <w:t>n</w:t>
      </w:r>
      <w:r w:rsidR="00E31489" w:rsidRPr="002371ED">
        <w:t xml:space="preserve"> reconsideration, respondent Workers’ Compensation Appeals Board</w:t>
      </w:r>
      <w:r w:rsidR="007A21D7" w:rsidRPr="002371ED">
        <w:t xml:space="preserve"> </w:t>
      </w:r>
      <w:r w:rsidR="00173290" w:rsidRPr="002371ED">
        <w:t xml:space="preserve">(the Board) </w:t>
      </w:r>
      <w:r w:rsidR="007A21D7" w:rsidRPr="002371ED">
        <w:t xml:space="preserve">rescinded the </w:t>
      </w:r>
      <w:r w:rsidR="008B1AF8" w:rsidRPr="002371ED">
        <w:t>workers’ compensation judge’s</w:t>
      </w:r>
      <w:r w:rsidR="007A21D7" w:rsidRPr="002371ED">
        <w:t xml:space="preserve"> decision and </w:t>
      </w:r>
      <w:r w:rsidR="00827D8E" w:rsidRPr="002371ED">
        <w:t>reversed, finding</w:t>
      </w:r>
      <w:r w:rsidR="007A21D7" w:rsidRPr="002371ED">
        <w:t xml:space="preserve"> that</w:t>
      </w:r>
      <w:r w:rsidR="00BF7AFF" w:rsidRPr="002371ED">
        <w:t xml:space="preserve"> </w:t>
      </w:r>
      <w:proofErr w:type="spellStart"/>
      <w:r w:rsidR="00BF7AFF" w:rsidRPr="002371ED">
        <w:t>CDCR</w:t>
      </w:r>
      <w:proofErr w:type="spellEnd"/>
      <w:r w:rsidR="00BF7AFF" w:rsidRPr="002371ED">
        <w:t xml:space="preserve"> had engaged in serious and willful misconduct.</w:t>
      </w:r>
      <w:r w:rsidR="00E8227B" w:rsidRPr="002371ED">
        <w:t xml:space="preserve">  (See </w:t>
      </w:r>
      <w:r w:rsidR="00E8227B" w:rsidRPr="002371ED">
        <w:rPr>
          <w:i/>
          <w:iCs/>
        </w:rPr>
        <w:t xml:space="preserve">Argonaut Ins. </w:t>
      </w:r>
      <w:r w:rsidR="00E8227B" w:rsidRPr="002371ED">
        <w:rPr>
          <w:i/>
          <w:iCs/>
        </w:rPr>
        <w:lastRenderedPageBreak/>
        <w:t>Co. v. Workmen’s Comp</w:t>
      </w:r>
      <w:r w:rsidR="004F23E2" w:rsidRPr="002371ED">
        <w:rPr>
          <w:i/>
          <w:iCs/>
        </w:rPr>
        <w:t>.</w:t>
      </w:r>
      <w:r w:rsidR="00E8227B" w:rsidRPr="002371ED">
        <w:rPr>
          <w:i/>
          <w:iCs/>
        </w:rPr>
        <w:t xml:space="preserve"> Appeals Bd.</w:t>
      </w:r>
      <w:r w:rsidR="00E8227B" w:rsidRPr="002371ED">
        <w:t xml:space="preserve"> (1967) 247 Cal.App.2d </w:t>
      </w:r>
      <w:r w:rsidR="00541D3A" w:rsidRPr="002371ED">
        <w:t xml:space="preserve">669, 673 [“Reconsideration is, in effect, an appeal to the </w:t>
      </w:r>
      <w:r w:rsidR="00B9654F" w:rsidRPr="002371ED">
        <w:t>Board</w:t>
      </w:r>
      <w:r w:rsidR="00541D3A" w:rsidRPr="002371ED">
        <w:t>”].)</w:t>
      </w:r>
      <w:r w:rsidR="00626E02" w:rsidRPr="002371ED">
        <w:t xml:space="preserve">  Over a dissent, a </w:t>
      </w:r>
      <w:r w:rsidR="00151C7F" w:rsidRPr="002371ED">
        <w:t xml:space="preserve">Board </w:t>
      </w:r>
      <w:r w:rsidR="00626E02" w:rsidRPr="002371ED">
        <w:t xml:space="preserve">majority </w:t>
      </w:r>
      <w:r w:rsidR="001D0F47" w:rsidRPr="002371ED">
        <w:t xml:space="preserve">found that </w:t>
      </w:r>
      <w:proofErr w:type="spellStart"/>
      <w:r w:rsidR="001D0F47" w:rsidRPr="002371ED">
        <w:t>CDCR</w:t>
      </w:r>
      <w:proofErr w:type="spellEnd"/>
      <w:r w:rsidR="00051136" w:rsidRPr="002371ED">
        <w:t xml:space="preserve"> “failed to act on a credible threat of inmate violence that was specifically reported to be planned for the day of the attack and took the facility off lockdown despite this threat even though it possessed additional information . . . that this had long been planned.”</w:t>
      </w:r>
    </w:p>
    <w:p w14:paraId="7D7549E1" w14:textId="566D32D0" w:rsidR="00F12EFC" w:rsidRPr="002371ED" w:rsidRDefault="00482C0A" w:rsidP="009516E9">
      <w:pPr>
        <w:pStyle w:val="NoSpacing"/>
        <w:spacing w:line="600" w:lineRule="exact"/>
      </w:pPr>
      <w:r w:rsidRPr="002371ED">
        <w:t>T</w:t>
      </w:r>
      <w:r w:rsidR="000D574E" w:rsidRPr="002371ED">
        <w:t>he Board</w:t>
      </w:r>
      <w:r w:rsidRPr="002371ED">
        <w:t>’s determination established</w:t>
      </w:r>
      <w:r w:rsidR="00832513" w:rsidRPr="002371ED">
        <w:t xml:space="preserve"> </w:t>
      </w:r>
      <w:r w:rsidR="004B2C41" w:rsidRPr="002371ED">
        <w:t>Ayala</w:t>
      </w:r>
      <w:r w:rsidR="007B7661" w:rsidRPr="002371ED">
        <w:t>’s</w:t>
      </w:r>
      <w:r w:rsidRPr="002371ED">
        <w:t xml:space="preserve"> entitle</w:t>
      </w:r>
      <w:r w:rsidR="00FE261C" w:rsidRPr="002371ED">
        <w:t>ment</w:t>
      </w:r>
      <w:r w:rsidRPr="002371ED">
        <w:t xml:space="preserve"> to an additional</w:t>
      </w:r>
      <w:r w:rsidR="00AB0F77" w:rsidRPr="002371ED">
        <w:t xml:space="preserve"> 50</w:t>
      </w:r>
      <w:r w:rsidR="00BA515C" w:rsidRPr="002371ED">
        <w:t xml:space="preserve"> percent</w:t>
      </w:r>
      <w:r w:rsidR="00AB0F77" w:rsidRPr="002371ED">
        <w:t xml:space="preserve"> </w:t>
      </w:r>
      <w:r w:rsidR="000F6DC4" w:rsidRPr="002371ED">
        <w:t xml:space="preserve">of </w:t>
      </w:r>
      <w:r w:rsidRPr="002371ED">
        <w:t>“</w:t>
      </w:r>
      <w:r w:rsidR="000F6DC4" w:rsidRPr="002371ED">
        <w:t>compensation</w:t>
      </w:r>
      <w:r w:rsidRPr="002371ED">
        <w:t xml:space="preserve"> otherwise recoverable”</w:t>
      </w:r>
      <w:r w:rsidR="000F6DC4" w:rsidRPr="002371ED">
        <w:t xml:space="preserve"> </w:t>
      </w:r>
      <w:r w:rsidRPr="002371ED">
        <w:t>per</w:t>
      </w:r>
      <w:r w:rsidR="00AB0F77" w:rsidRPr="002371ED">
        <w:t xml:space="preserve"> section 4553</w:t>
      </w:r>
      <w:r w:rsidRPr="002371ED">
        <w:t>.</w:t>
      </w:r>
      <w:r w:rsidR="00AB0F77" w:rsidRPr="002371ED">
        <w:t xml:space="preserve"> </w:t>
      </w:r>
      <w:r w:rsidRPr="002371ED">
        <w:t xml:space="preserve"> </w:t>
      </w:r>
      <w:r w:rsidR="002277A8" w:rsidRPr="002371ED">
        <w:t xml:space="preserve">Ayala and </w:t>
      </w:r>
      <w:proofErr w:type="spellStart"/>
      <w:r w:rsidR="002277A8" w:rsidRPr="002371ED">
        <w:t>CDCR</w:t>
      </w:r>
      <w:proofErr w:type="spellEnd"/>
      <w:r w:rsidRPr="002371ED">
        <w:t xml:space="preserve"> </w:t>
      </w:r>
      <w:r w:rsidR="007E56D7" w:rsidRPr="002371ED">
        <w:t>disagree</w:t>
      </w:r>
      <w:r w:rsidR="002D2AD7" w:rsidRPr="002371ED">
        <w:t>d</w:t>
      </w:r>
      <w:r w:rsidRPr="002371ED">
        <w:t>, however, about</w:t>
      </w:r>
      <w:r w:rsidR="005A7A4B" w:rsidRPr="002371ED">
        <w:t xml:space="preserve"> what </w:t>
      </w:r>
      <w:r w:rsidR="0094501C" w:rsidRPr="002371ED">
        <w:t>constituted the “amount of compensation otherwise recoverable”</w:t>
      </w:r>
      <w:r w:rsidRPr="002371ED">
        <w:t xml:space="preserve"> under </w:t>
      </w:r>
      <w:r w:rsidR="00743761" w:rsidRPr="002371ED">
        <w:t xml:space="preserve">that </w:t>
      </w:r>
      <w:r w:rsidRPr="002371ED">
        <w:t>section</w:t>
      </w:r>
      <w:r w:rsidR="00743761" w:rsidRPr="002371ED">
        <w:t>.</w:t>
      </w:r>
      <w:r w:rsidRPr="002371ED">
        <w:t xml:space="preserve"> </w:t>
      </w:r>
      <w:r w:rsidR="00743761" w:rsidRPr="002371ED">
        <w:t xml:space="preserve"> W</w:t>
      </w:r>
      <w:r w:rsidR="00B2676E" w:rsidRPr="002371ED">
        <w:t xml:space="preserve">e will </w:t>
      </w:r>
      <w:r w:rsidR="007B04EC">
        <w:t xml:space="preserve">sometimes </w:t>
      </w:r>
      <w:r w:rsidR="00B2676E" w:rsidRPr="002371ED">
        <w:t xml:space="preserve">refer to </w:t>
      </w:r>
      <w:r w:rsidR="00F547E8" w:rsidRPr="002371ED">
        <w:t xml:space="preserve">this amount </w:t>
      </w:r>
      <w:r w:rsidR="00B2676E" w:rsidRPr="002371ED">
        <w:t xml:space="preserve">as the </w:t>
      </w:r>
      <w:r w:rsidR="007B7661" w:rsidRPr="002371ED">
        <w:t>“</w:t>
      </w:r>
      <w:r w:rsidR="00B2676E" w:rsidRPr="002371ED">
        <w:t xml:space="preserve">base </w:t>
      </w:r>
      <w:r w:rsidR="004C3EE2" w:rsidRPr="002371ED">
        <w:t>compensation</w:t>
      </w:r>
      <w:r w:rsidR="00B2676E" w:rsidRPr="002371ED">
        <w:t>.</w:t>
      </w:r>
      <w:r w:rsidR="007B7661" w:rsidRPr="002371ED">
        <w:t>”</w:t>
      </w:r>
      <w:r w:rsidR="000E4D11" w:rsidRPr="002371ED">
        <w:t xml:space="preserve">  </w:t>
      </w:r>
    </w:p>
    <w:p w14:paraId="0D881992" w14:textId="220C91FB" w:rsidR="006A4726" w:rsidRPr="002371ED" w:rsidRDefault="00482C0A" w:rsidP="009516E9">
      <w:pPr>
        <w:pStyle w:val="NoSpacing"/>
        <w:spacing w:line="600" w:lineRule="exact"/>
      </w:pPr>
      <w:r w:rsidRPr="002371ED">
        <w:t>Ay</w:t>
      </w:r>
      <w:r w:rsidRPr="002371ED">
        <w:t>ala contended that</w:t>
      </w:r>
      <w:r w:rsidR="00730527" w:rsidRPr="002371ED">
        <w:t xml:space="preserve">, for the </w:t>
      </w:r>
      <w:r w:rsidR="0079498D" w:rsidRPr="002371ED">
        <w:t xml:space="preserve">period </w:t>
      </w:r>
      <w:r w:rsidR="002D2AD7" w:rsidRPr="002371ED">
        <w:t>before his</w:t>
      </w:r>
      <w:r w:rsidR="0079498D" w:rsidRPr="002371ED">
        <w:t xml:space="preserve"> permanent disability,</w:t>
      </w:r>
      <w:r w:rsidR="00BF6F26" w:rsidRPr="002371ED">
        <w:t xml:space="preserve"> </w:t>
      </w:r>
      <w:r w:rsidR="00D53500" w:rsidRPr="002371ED">
        <w:t>his</w:t>
      </w:r>
      <w:r w:rsidR="00B2676E" w:rsidRPr="002371ED">
        <w:t xml:space="preserve"> base </w:t>
      </w:r>
      <w:r w:rsidR="004C3EE2" w:rsidRPr="002371ED">
        <w:t>compensation</w:t>
      </w:r>
      <w:r w:rsidR="00B2676E" w:rsidRPr="002371ED">
        <w:t xml:space="preserve"> was</w:t>
      </w:r>
      <w:r w:rsidR="000E017F" w:rsidRPr="002371ED">
        <w:t xml:space="preserve"> his full salary</w:t>
      </w:r>
      <w:r w:rsidR="00F12EFC" w:rsidRPr="002371ED">
        <w:t>.  He was paid his full salary because he was on</w:t>
      </w:r>
      <w:r w:rsidR="00293AD7" w:rsidRPr="002371ED">
        <w:t xml:space="preserve"> </w:t>
      </w:r>
      <w:r w:rsidR="00FE7808" w:rsidRPr="002371ED">
        <w:t xml:space="preserve">industrial disability leave and </w:t>
      </w:r>
      <w:r w:rsidR="006B50EC" w:rsidRPr="002371ED">
        <w:t>enhanced industrial disability leave</w:t>
      </w:r>
      <w:r w:rsidR="000F7C5C" w:rsidRPr="002371ED">
        <w:t xml:space="preserve">, </w:t>
      </w:r>
      <w:r w:rsidR="00117D0C" w:rsidRPr="002371ED">
        <w:t xml:space="preserve">which, as we describe below, </w:t>
      </w:r>
      <w:r w:rsidR="00FE7808" w:rsidRPr="002371ED">
        <w:t>are alternatives</w:t>
      </w:r>
      <w:r w:rsidR="00117D0C" w:rsidRPr="002371ED">
        <w:t xml:space="preserve"> to temporary disability</w:t>
      </w:r>
      <w:r w:rsidR="000F7C5C" w:rsidRPr="002371ED">
        <w:t>.</w:t>
      </w:r>
      <w:r w:rsidR="00CA623D" w:rsidRPr="002371ED">
        <w:t xml:space="preserve">  </w:t>
      </w:r>
      <w:proofErr w:type="spellStart"/>
      <w:r w:rsidR="00CA623D" w:rsidRPr="002371ED">
        <w:t>CDCR</w:t>
      </w:r>
      <w:proofErr w:type="spellEnd"/>
      <w:r w:rsidR="00CA623D" w:rsidRPr="002371ED">
        <w:t xml:space="preserve">, on the other hand, </w:t>
      </w:r>
      <w:r w:rsidR="002B5979" w:rsidRPr="002371ED">
        <w:t xml:space="preserve">contended that </w:t>
      </w:r>
      <w:r w:rsidR="0031352D" w:rsidRPr="002371ED">
        <w:t xml:space="preserve">industrial disability </w:t>
      </w:r>
      <w:proofErr w:type="gramStart"/>
      <w:r w:rsidR="0031352D" w:rsidRPr="002371ED">
        <w:t>leave</w:t>
      </w:r>
      <w:proofErr w:type="gramEnd"/>
      <w:r w:rsidR="002B5979" w:rsidRPr="002371ED">
        <w:t xml:space="preserve"> benefits</w:t>
      </w:r>
      <w:r w:rsidR="00B24C19" w:rsidRPr="002371ED">
        <w:t xml:space="preserve">, </w:t>
      </w:r>
      <w:r w:rsidR="0031352D" w:rsidRPr="002371ED">
        <w:t>enhanced or not</w:t>
      </w:r>
      <w:r w:rsidR="00B24C19" w:rsidRPr="002371ED">
        <w:t>,</w:t>
      </w:r>
      <w:r w:rsidR="0031352D" w:rsidRPr="002371ED">
        <w:t xml:space="preserve"> </w:t>
      </w:r>
      <w:r w:rsidR="002B5979" w:rsidRPr="002371ED">
        <w:t>are not “compensation</w:t>
      </w:r>
      <w:r w:rsidR="00333E2C" w:rsidRPr="002371ED">
        <w:t>”</w:t>
      </w:r>
      <w:r w:rsidR="003C7AA9" w:rsidRPr="002371ED">
        <w:t xml:space="preserve"> as </w:t>
      </w:r>
      <w:r w:rsidR="00072F47" w:rsidRPr="002371ED">
        <w:t>the term is statutorily defined</w:t>
      </w:r>
      <w:r w:rsidR="00F12EFC" w:rsidRPr="002371ED">
        <w:t>.  T</w:t>
      </w:r>
      <w:r w:rsidR="00333E2C" w:rsidRPr="002371ED">
        <w:t>hus</w:t>
      </w:r>
      <w:r w:rsidR="00F12EFC" w:rsidRPr="002371ED">
        <w:t xml:space="preserve">, in </w:t>
      </w:r>
      <w:proofErr w:type="spellStart"/>
      <w:r w:rsidR="00F12EFC" w:rsidRPr="002371ED">
        <w:t>CDCR’s</w:t>
      </w:r>
      <w:proofErr w:type="spellEnd"/>
      <w:r w:rsidR="00F12EFC" w:rsidRPr="002371ED">
        <w:t xml:space="preserve"> view,</w:t>
      </w:r>
      <w:r w:rsidR="00333E2C" w:rsidRPr="002371ED">
        <w:t xml:space="preserve"> the base </w:t>
      </w:r>
      <w:r w:rsidR="004C3EE2" w:rsidRPr="002371ED">
        <w:t>compensation</w:t>
      </w:r>
      <w:r w:rsidR="00333E2C" w:rsidRPr="002371ED">
        <w:t xml:space="preserve"> was only</w:t>
      </w:r>
      <w:r w:rsidR="00B350F7" w:rsidRPr="002371ED">
        <w:t xml:space="preserve"> what Ayala would have been entitled to on temporary disability</w:t>
      </w:r>
      <w:r w:rsidR="00D0551A" w:rsidRPr="002371ED">
        <w:t>.</w:t>
      </w:r>
      <w:r w:rsidR="00B72F4F" w:rsidRPr="002371ED">
        <w:t xml:space="preserve">  </w:t>
      </w:r>
      <w:r w:rsidR="003E7B48" w:rsidRPr="002371ED">
        <w:t xml:space="preserve">Assuming that Ayala would have been </w:t>
      </w:r>
      <w:r w:rsidR="008E5491" w:rsidRPr="002371ED">
        <w:t>entitled to temporary total disability</w:t>
      </w:r>
      <w:r w:rsidR="00C57329" w:rsidRPr="002371ED">
        <w:t>,</w:t>
      </w:r>
      <w:r w:rsidR="00695DD9" w:rsidRPr="002371ED">
        <w:t xml:space="preserve"> the base </w:t>
      </w:r>
      <w:r w:rsidR="006C7AEB" w:rsidRPr="002371ED">
        <w:t>compensation</w:t>
      </w:r>
      <w:r w:rsidR="00695DD9" w:rsidRPr="002371ED">
        <w:t xml:space="preserve"> would </w:t>
      </w:r>
      <w:r w:rsidR="00FD6C66" w:rsidRPr="002371ED">
        <w:t>have been</w:t>
      </w:r>
      <w:r w:rsidR="00695DD9" w:rsidRPr="002371ED">
        <w:t xml:space="preserve"> two-thirds of his salary</w:t>
      </w:r>
      <w:r w:rsidR="00C56E02" w:rsidRPr="002371ED">
        <w:t xml:space="preserve">, subject to </w:t>
      </w:r>
      <w:r w:rsidR="00966624" w:rsidRPr="002371ED">
        <w:t>statutory limits</w:t>
      </w:r>
      <w:r w:rsidR="00695DD9" w:rsidRPr="002371ED">
        <w:t xml:space="preserve">.  (See </w:t>
      </w:r>
      <w:r w:rsidR="00966624" w:rsidRPr="002371ED">
        <w:t>§</w:t>
      </w:r>
      <w:r w:rsidR="00695DD9" w:rsidRPr="002371ED">
        <w:t>§ </w:t>
      </w:r>
      <w:r w:rsidR="005C7706" w:rsidRPr="002371ED">
        <w:t>4453</w:t>
      </w:r>
      <w:r w:rsidR="00966624" w:rsidRPr="002371ED">
        <w:t xml:space="preserve">, </w:t>
      </w:r>
      <w:r w:rsidR="00695DD9" w:rsidRPr="002371ED">
        <w:t>4653.)</w:t>
      </w:r>
    </w:p>
    <w:p w14:paraId="086B8038" w14:textId="25FE90A8" w:rsidR="00462DC8" w:rsidRPr="002371ED" w:rsidRDefault="00482C0A" w:rsidP="009516E9">
      <w:pPr>
        <w:pStyle w:val="NoSpacing"/>
        <w:spacing w:line="600" w:lineRule="exact"/>
      </w:pPr>
      <w:r w:rsidRPr="002371ED">
        <w:lastRenderedPageBreak/>
        <w:t xml:space="preserve">The </w:t>
      </w:r>
      <w:r w:rsidR="00F4605D" w:rsidRPr="002371ED">
        <w:t xml:space="preserve">workers’ compensation judge agreed with </w:t>
      </w:r>
      <w:proofErr w:type="spellStart"/>
      <w:r w:rsidR="00F4605D" w:rsidRPr="002371ED">
        <w:t>CDCR</w:t>
      </w:r>
      <w:proofErr w:type="spellEnd"/>
      <w:r w:rsidR="00F4605D" w:rsidRPr="002371ED">
        <w:t xml:space="preserve"> and found that the</w:t>
      </w:r>
      <w:r w:rsidR="001F5A9E" w:rsidRPr="002371ED">
        <w:t xml:space="preserve"> base </w:t>
      </w:r>
      <w:r w:rsidR="00E66E02" w:rsidRPr="002371ED">
        <w:t>compensation</w:t>
      </w:r>
      <w:r w:rsidR="001F5A9E" w:rsidRPr="002371ED">
        <w:t xml:space="preserve"> was what Ayala would have been paid in temporary disability</w:t>
      </w:r>
      <w:r w:rsidR="007F1685" w:rsidRPr="002371ED">
        <w:t>.</w:t>
      </w:r>
      <w:r w:rsidR="000C0C6E" w:rsidRPr="002371ED">
        <w:t xml:space="preserve">  But on reconsideration, the Board</w:t>
      </w:r>
      <w:r w:rsidR="00C72863" w:rsidRPr="002371ED">
        <w:t xml:space="preserve"> again </w:t>
      </w:r>
      <w:r w:rsidR="00920101" w:rsidRPr="002371ED">
        <w:t>rescinded</w:t>
      </w:r>
      <w:r w:rsidR="00BA0D36" w:rsidRPr="002371ED">
        <w:t xml:space="preserve"> and reversed</w:t>
      </w:r>
      <w:r w:rsidR="00920101" w:rsidRPr="002371ED">
        <w:t xml:space="preserve"> </w:t>
      </w:r>
      <w:r w:rsidR="00C72863" w:rsidRPr="002371ED">
        <w:t>the workers’ compensation judge’s decision, this time finding that</w:t>
      </w:r>
      <w:r w:rsidR="008711BA" w:rsidRPr="002371ED">
        <w:t xml:space="preserve"> the base </w:t>
      </w:r>
      <w:r w:rsidR="00E66E02" w:rsidRPr="002371ED">
        <w:t>compensation</w:t>
      </w:r>
      <w:r w:rsidR="008711BA" w:rsidRPr="002371ED">
        <w:t xml:space="preserve"> was what Ayala was paid</w:t>
      </w:r>
      <w:r w:rsidR="008A48BE" w:rsidRPr="002371ED">
        <w:t xml:space="preserve"> on </w:t>
      </w:r>
      <w:r w:rsidR="003B5A8F" w:rsidRPr="002371ED">
        <w:t>industrial disability leave and enhanced industrial disability leave</w:t>
      </w:r>
      <w:r w:rsidR="008A48BE" w:rsidRPr="002371ED">
        <w:t>.</w:t>
      </w:r>
    </w:p>
    <w:p w14:paraId="71D0FA76" w14:textId="320035C1" w:rsidR="007F7182" w:rsidRPr="002371ED" w:rsidRDefault="00482C0A" w:rsidP="009516E9">
      <w:pPr>
        <w:pStyle w:val="NoSpacing"/>
        <w:spacing w:line="600" w:lineRule="exact"/>
      </w:pPr>
      <w:r w:rsidRPr="002371ED">
        <w:t>We granted</w:t>
      </w:r>
      <w:r w:rsidR="00215000" w:rsidRPr="002371ED">
        <w:t xml:space="preserve"> </w:t>
      </w:r>
      <w:proofErr w:type="spellStart"/>
      <w:r w:rsidR="00215000" w:rsidRPr="002371ED">
        <w:t>CDCR’s</w:t>
      </w:r>
      <w:proofErr w:type="spellEnd"/>
      <w:r w:rsidR="00215000" w:rsidRPr="002371ED">
        <w:t xml:space="preserve"> petition for </w:t>
      </w:r>
      <w:r w:rsidR="00F02B58">
        <w:t xml:space="preserve">a </w:t>
      </w:r>
      <w:r w:rsidR="00215000" w:rsidRPr="002371ED">
        <w:t>writ of review</w:t>
      </w:r>
      <w:r w:rsidR="00B42089">
        <w:t xml:space="preserve"> pursuant to section 5950</w:t>
      </w:r>
      <w:r w:rsidR="00215000" w:rsidRPr="002371ED">
        <w:t>.</w:t>
      </w:r>
      <w:r w:rsidR="0000787D" w:rsidRPr="002371ED">
        <w:t xml:space="preserve">  We now </w:t>
      </w:r>
      <w:r w:rsidR="000F0A19" w:rsidRPr="002371ED">
        <w:t xml:space="preserve">hold that </w:t>
      </w:r>
      <w:r w:rsidR="00C631D6" w:rsidRPr="002371ED">
        <w:t xml:space="preserve">industrial disability leave </w:t>
      </w:r>
      <w:r w:rsidR="00F12EFC" w:rsidRPr="002371ED">
        <w:t>and</w:t>
      </w:r>
      <w:r w:rsidR="00C631D6" w:rsidRPr="002371ED">
        <w:t xml:space="preserve"> enhanced industrial disability leave</w:t>
      </w:r>
      <w:r w:rsidR="00F12EFC" w:rsidRPr="002371ED">
        <w:t xml:space="preserve"> are not “compensation” as that term is used in section 4553</w:t>
      </w:r>
      <w:r w:rsidR="008561AE" w:rsidRPr="002371ED">
        <w:t xml:space="preserve"> and </w:t>
      </w:r>
      <w:r w:rsidR="00B56475" w:rsidRPr="002371ED">
        <w:t>annul the Board’s contrary decision</w:t>
      </w:r>
      <w:r w:rsidR="008561AE" w:rsidRPr="002371ED">
        <w:t>.</w:t>
      </w:r>
    </w:p>
    <w:p w14:paraId="75D05A87" w14:textId="46BF70F9" w:rsidR="00A7111C" w:rsidRPr="002371ED" w:rsidRDefault="00482C0A" w:rsidP="009516E9">
      <w:pPr>
        <w:pStyle w:val="NoSpacing"/>
        <w:keepNext/>
        <w:spacing w:line="600" w:lineRule="exact"/>
        <w:ind w:firstLine="0"/>
        <w:jc w:val="center"/>
      </w:pPr>
      <w:r w:rsidRPr="002371ED">
        <w:t>DISCUSSION</w:t>
      </w:r>
    </w:p>
    <w:p w14:paraId="5DC83D7F" w14:textId="5E61B8E2" w:rsidR="00A7111C" w:rsidRPr="002371ED" w:rsidRDefault="00482C0A" w:rsidP="009516E9">
      <w:pPr>
        <w:pStyle w:val="NoSpacing"/>
        <w:spacing w:line="600" w:lineRule="exact"/>
      </w:pPr>
      <w:r w:rsidRPr="002371ED">
        <w:t>We start with section 4553 its</w:t>
      </w:r>
      <w:r w:rsidRPr="002371ED">
        <w:t>elf.  In full, it states that</w:t>
      </w:r>
      <w:r w:rsidR="00C910D0" w:rsidRPr="002371ED">
        <w:t xml:space="preserve"> “[t]he amount of compensation otherwise recoverable shall be increased one-half, together with costs and expenses not to exceed two hundred fifty dollars ($250), where the employee is injured by reason of the serious and willful misconduct of any of the following</w:t>
      </w:r>
      <w:proofErr w:type="gramStart"/>
      <w:r w:rsidR="00C910D0" w:rsidRPr="002371ED">
        <w:t>:  [</w:t>
      </w:r>
      <w:proofErr w:type="gramEnd"/>
      <w:r w:rsidR="00C910D0" w:rsidRPr="002371ED">
        <w:t>¶]  (a) The employer, or his managing representative.  [</w:t>
      </w:r>
      <w:proofErr w:type="gramStart"/>
      <w:r w:rsidR="00C910D0" w:rsidRPr="002371ED">
        <w:t>¶]  (</w:t>
      </w:r>
      <w:proofErr w:type="gramEnd"/>
      <w:r w:rsidR="00C910D0" w:rsidRPr="002371ED">
        <w:t>b) If the employer is a partnership, on the part of one of the partners or a managing representative or general superintendent thereof.  [</w:t>
      </w:r>
      <w:proofErr w:type="gramStart"/>
      <w:r w:rsidR="00C910D0" w:rsidRPr="002371ED">
        <w:t>¶]  (</w:t>
      </w:r>
      <w:proofErr w:type="gramEnd"/>
      <w:r w:rsidR="00C910D0" w:rsidRPr="002371ED">
        <w:t>c) If the employer is a corporation, on the part of an executive, managing officer, or general superintendent thereof.”</w:t>
      </w:r>
      <w:r w:rsidR="00697CE4" w:rsidRPr="002371ED">
        <w:t xml:space="preserve">  </w:t>
      </w:r>
      <w:r w:rsidR="00FB69A8" w:rsidRPr="002371ED">
        <w:t xml:space="preserve">As </w:t>
      </w:r>
      <w:r w:rsidR="00814294" w:rsidRPr="002371ED">
        <w:t xml:space="preserve">this litigation </w:t>
      </w:r>
      <w:r w:rsidR="00294877" w:rsidRPr="002371ED">
        <w:t xml:space="preserve">established </w:t>
      </w:r>
      <w:r w:rsidR="00814294" w:rsidRPr="002371ED">
        <w:t>that</w:t>
      </w:r>
      <w:r w:rsidR="00577E2C" w:rsidRPr="002371ED">
        <w:t xml:space="preserve"> </w:t>
      </w:r>
      <w:proofErr w:type="spellStart"/>
      <w:r w:rsidR="00577E2C" w:rsidRPr="002371ED">
        <w:t>CDCR</w:t>
      </w:r>
      <w:proofErr w:type="spellEnd"/>
      <w:r w:rsidR="00577E2C" w:rsidRPr="002371ED">
        <w:t xml:space="preserve"> committed serious and willful misconduct</w:t>
      </w:r>
      <w:r w:rsidR="00B8423B" w:rsidRPr="002371ED">
        <w:t xml:space="preserve">, </w:t>
      </w:r>
      <w:r w:rsidR="00B56475" w:rsidRPr="002371ED">
        <w:t>our focus is on</w:t>
      </w:r>
      <w:r w:rsidR="003A66EF" w:rsidRPr="002371ED">
        <w:t xml:space="preserve"> what</w:t>
      </w:r>
      <w:r w:rsidR="004835CA" w:rsidRPr="002371ED">
        <w:t xml:space="preserve"> the phrase “compensation otherwise recoverable” includes.</w:t>
      </w:r>
      <w:r w:rsidR="00823122" w:rsidRPr="002371ED">
        <w:t xml:space="preserve"> </w:t>
      </w:r>
    </w:p>
    <w:p w14:paraId="7FC97111" w14:textId="44BCD004" w:rsidR="00A355AD" w:rsidRPr="002371ED" w:rsidRDefault="00482C0A" w:rsidP="009516E9">
      <w:pPr>
        <w:pStyle w:val="NoSpacing"/>
        <w:spacing w:line="600" w:lineRule="exact"/>
      </w:pPr>
      <w:r w:rsidRPr="002371ED">
        <w:lastRenderedPageBreak/>
        <w:t>Section 4553 is part of Division 4 of the Labor Code</w:t>
      </w:r>
      <w:r w:rsidR="009C4877" w:rsidRPr="002371ED">
        <w:t>, which begins at section 3200</w:t>
      </w:r>
      <w:r w:rsidR="00E45F36" w:rsidRPr="002371ED">
        <w:t xml:space="preserve"> and ends at section 6002</w:t>
      </w:r>
      <w:r w:rsidR="009C4877" w:rsidRPr="002371ED">
        <w:t>.  Section 3207</w:t>
      </w:r>
      <w:r w:rsidR="00C319C6" w:rsidRPr="002371ED">
        <w:t>, entitled “Compensation,” states that “‘[c]</w:t>
      </w:r>
      <w:proofErr w:type="spellStart"/>
      <w:r w:rsidR="00C319C6" w:rsidRPr="002371ED">
        <w:t>ompensation</w:t>
      </w:r>
      <w:proofErr w:type="spellEnd"/>
      <w:r w:rsidR="00C319C6" w:rsidRPr="002371ED">
        <w:t>’ means compensation under this division and includes</w:t>
      </w:r>
      <w:r w:rsidR="004E4A25" w:rsidRPr="002371ED">
        <w:t xml:space="preserve"> every benefit or payment </w:t>
      </w:r>
      <w:r w:rsidR="00BA515C" w:rsidRPr="002371ED">
        <w:t xml:space="preserve">conferred </w:t>
      </w:r>
      <w:r w:rsidR="004E4A25" w:rsidRPr="002371ED">
        <w:t>by this division upon an injured employee, or in the event of his or her death, upon his or her dependents, without regard to negligence.”</w:t>
      </w:r>
    </w:p>
    <w:p w14:paraId="2C196CD0" w14:textId="08A2A192" w:rsidR="00C26217" w:rsidRPr="002371ED" w:rsidRDefault="00482C0A" w:rsidP="009516E9">
      <w:pPr>
        <w:pStyle w:val="NoSpacing"/>
        <w:spacing w:line="600" w:lineRule="exact"/>
      </w:pPr>
      <w:r w:rsidRPr="002371ED">
        <w:t xml:space="preserve">The definition is as capacious as it is circular.  </w:t>
      </w:r>
      <w:r w:rsidR="00846BB0">
        <w:t xml:space="preserve">It defines “compensation” </w:t>
      </w:r>
      <w:r w:rsidR="00A75406">
        <w:t>as</w:t>
      </w:r>
      <w:r w:rsidR="00846BB0">
        <w:t xml:space="preserve"> “compensation” and makes clear that</w:t>
      </w:r>
      <w:r w:rsidR="00260D82">
        <w:t xml:space="preserve"> </w:t>
      </w:r>
      <w:r w:rsidR="001A3C31">
        <w:t>the term includes every</w:t>
      </w:r>
      <w:r w:rsidR="00260D82">
        <w:t xml:space="preserve"> </w:t>
      </w:r>
      <w:r w:rsidR="00260D82" w:rsidRPr="00C47262">
        <w:rPr>
          <w:i/>
          <w:iCs/>
        </w:rPr>
        <w:t>type</w:t>
      </w:r>
      <w:r w:rsidR="00260D82">
        <w:t xml:space="preserve"> of payment</w:t>
      </w:r>
      <w:r w:rsidR="003718B8">
        <w:t xml:space="preserve"> to the employee</w:t>
      </w:r>
      <w:r w:rsidR="001A3C31">
        <w:t>.</w:t>
      </w:r>
      <w:r>
        <w:rPr>
          <w:rStyle w:val="FootnoteReference"/>
        </w:rPr>
        <w:footnoteReference w:id="3"/>
      </w:r>
      <w:r w:rsidR="001A3C31">
        <w:t xml:space="preserve">  </w:t>
      </w:r>
      <w:r w:rsidRPr="002371ED">
        <w:t xml:space="preserve">But </w:t>
      </w:r>
      <w:r w:rsidR="00CA3ADF">
        <w:t xml:space="preserve">the definition contains an express limitation.  </w:t>
      </w:r>
      <w:r w:rsidR="00102196" w:rsidRPr="002371ED">
        <w:t>“</w:t>
      </w:r>
      <w:r w:rsidR="008056E2">
        <w:t>C</w:t>
      </w:r>
      <w:r w:rsidR="00102196" w:rsidRPr="002371ED">
        <w:t xml:space="preserve">ompensation” </w:t>
      </w:r>
      <w:r w:rsidR="008056E2">
        <w:t>under</w:t>
      </w:r>
      <w:r w:rsidR="00102196" w:rsidRPr="002371ED">
        <w:t xml:space="preserve"> section 3207 </w:t>
      </w:r>
      <w:r w:rsidR="008056E2">
        <w:t>must</w:t>
      </w:r>
      <w:r w:rsidR="00A91120" w:rsidRPr="002371ED">
        <w:t xml:space="preserve"> be provided</w:t>
      </w:r>
      <w:r w:rsidR="008E3C2B" w:rsidRPr="002371ED">
        <w:t xml:space="preserve"> pursuant to Division 4 of the Labor Code.</w:t>
      </w:r>
      <w:r w:rsidR="00A71CBD" w:rsidRPr="002371ED">
        <w:t xml:space="preserve">  </w:t>
      </w:r>
      <w:r w:rsidR="009561DB" w:rsidRPr="002371ED">
        <w:t>I</w:t>
      </w:r>
      <w:r w:rsidR="00A71CBD" w:rsidRPr="002371ED">
        <w:t xml:space="preserve">n </w:t>
      </w:r>
      <w:r w:rsidR="008A0A71" w:rsidRPr="002371ED">
        <w:t xml:space="preserve">its </w:t>
      </w:r>
      <w:r w:rsidR="00A71CBD" w:rsidRPr="002371ED">
        <w:t xml:space="preserve">one sentence, </w:t>
      </w:r>
      <w:r w:rsidR="009561DB" w:rsidRPr="002371ED">
        <w:t xml:space="preserve">the definition </w:t>
      </w:r>
      <w:r w:rsidR="00A71CBD" w:rsidRPr="002371ED">
        <w:t>says this twice:</w:t>
      </w:r>
      <w:r w:rsidR="008E7A97" w:rsidRPr="002371ED">
        <w:t xml:space="preserve">  compensation is “compensation </w:t>
      </w:r>
      <w:r w:rsidR="008E7A97" w:rsidRPr="002371ED">
        <w:rPr>
          <w:i/>
          <w:iCs/>
        </w:rPr>
        <w:t>under this division</w:t>
      </w:r>
      <w:r w:rsidR="004C3FE0" w:rsidRPr="002371ED">
        <w:t>,” and it “includes every benefit or payment</w:t>
      </w:r>
      <w:r w:rsidR="00BA515C" w:rsidRPr="002371ED">
        <w:t xml:space="preserve"> conferred</w:t>
      </w:r>
      <w:r w:rsidR="004C3FE0" w:rsidRPr="002371ED">
        <w:t xml:space="preserve"> </w:t>
      </w:r>
      <w:r w:rsidR="004C3FE0" w:rsidRPr="002371ED">
        <w:rPr>
          <w:i/>
          <w:iCs/>
        </w:rPr>
        <w:t>by this division</w:t>
      </w:r>
      <w:r w:rsidR="004C3FE0" w:rsidRPr="002371ED">
        <w:t>.”</w:t>
      </w:r>
      <w:r w:rsidR="00271D42" w:rsidRPr="002371ED">
        <w:t xml:space="preserve">  </w:t>
      </w:r>
      <w:r w:rsidR="00C23A9E" w:rsidRPr="002371ED">
        <w:t>Thus</w:t>
      </w:r>
      <w:r w:rsidR="00105729" w:rsidRPr="002371ED">
        <w:t xml:space="preserve">, temporary disability payments </w:t>
      </w:r>
      <w:r w:rsidR="002B72FE" w:rsidRPr="002371ED">
        <w:t>are</w:t>
      </w:r>
      <w:r w:rsidR="00105729" w:rsidRPr="002371ED">
        <w:t xml:space="preserve"> </w:t>
      </w:r>
      <w:r w:rsidR="007C35AD" w:rsidRPr="002371ED">
        <w:t xml:space="preserve">unambiguously </w:t>
      </w:r>
      <w:r w:rsidR="00105729" w:rsidRPr="002371ED">
        <w:t xml:space="preserve">“compensation.”  </w:t>
      </w:r>
      <w:r w:rsidR="00D47BB2" w:rsidRPr="002371ED">
        <w:t xml:space="preserve">They are provided by Division 4 of the Labor Code.  </w:t>
      </w:r>
      <w:r w:rsidR="00105729" w:rsidRPr="002371ED">
        <w:t>(§§ 4653-4654.)</w:t>
      </w:r>
    </w:p>
    <w:p w14:paraId="6CD2D6C2" w14:textId="0319CC47" w:rsidR="007C35AD" w:rsidRPr="002371ED" w:rsidRDefault="00482C0A" w:rsidP="009516E9">
      <w:pPr>
        <w:pStyle w:val="NoSpacing"/>
        <w:spacing w:line="600" w:lineRule="exact"/>
      </w:pPr>
      <w:r w:rsidRPr="002371ED">
        <w:lastRenderedPageBreak/>
        <w:t>Equally unambiguous</w:t>
      </w:r>
      <w:r w:rsidR="004F5F47" w:rsidRPr="002371ED">
        <w:t>, th</w:t>
      </w:r>
      <w:r w:rsidR="00AF3846">
        <w:t>ough</w:t>
      </w:r>
      <w:r w:rsidR="004F5F47" w:rsidRPr="002371ED">
        <w:t>,</w:t>
      </w:r>
      <w:r w:rsidRPr="002371ED">
        <w:t xml:space="preserve"> </w:t>
      </w:r>
      <w:r w:rsidR="009A0B5C" w:rsidRPr="002371ED">
        <w:t xml:space="preserve">is that </w:t>
      </w:r>
      <w:r w:rsidR="00C47F58" w:rsidRPr="002371ED">
        <w:t>industrial disability leave</w:t>
      </w:r>
      <w:r w:rsidR="009A0B5C" w:rsidRPr="002371ED">
        <w:t xml:space="preserve"> benefits</w:t>
      </w:r>
      <w:r w:rsidR="00BA7668" w:rsidRPr="002371ED">
        <w:t xml:space="preserve"> are not “compensation,” as such benefits are </w:t>
      </w:r>
      <w:r w:rsidR="00A5516C" w:rsidRPr="002371ED">
        <w:t xml:space="preserve">not </w:t>
      </w:r>
      <w:r w:rsidR="00BA7668" w:rsidRPr="002371ED">
        <w:t xml:space="preserve">provided </w:t>
      </w:r>
      <w:r w:rsidR="00A5516C" w:rsidRPr="002371ED">
        <w:t>by</w:t>
      </w:r>
      <w:r w:rsidR="00BA7668" w:rsidRPr="002371ED">
        <w:t xml:space="preserve"> Division 4 of the Labor Code</w:t>
      </w:r>
      <w:r w:rsidR="00A5516C" w:rsidRPr="002371ED">
        <w:t>.  They in fact are provided</w:t>
      </w:r>
      <w:r w:rsidR="00BA7668" w:rsidRPr="002371ED">
        <w:t xml:space="preserve"> outside of the Labor Code altogether.</w:t>
      </w:r>
      <w:r w:rsidR="00B600EC" w:rsidRPr="002371ED">
        <w:t xml:space="preserve">  </w:t>
      </w:r>
      <w:r w:rsidR="00FA65D9">
        <w:t>Supplied</w:t>
      </w:r>
      <w:r w:rsidR="00B600EC" w:rsidRPr="002371ED">
        <w:t xml:space="preserve"> by </w:t>
      </w:r>
      <w:r w:rsidR="002713C6" w:rsidRPr="002371ED">
        <w:t xml:space="preserve">section 19871 of </w:t>
      </w:r>
      <w:r w:rsidR="00B600EC" w:rsidRPr="002371ED">
        <w:t>the Government Code,</w:t>
      </w:r>
      <w:r w:rsidR="003739FC" w:rsidRPr="002371ED">
        <w:t xml:space="preserve"> </w:t>
      </w:r>
      <w:r w:rsidR="00C47F58" w:rsidRPr="002371ED">
        <w:t>industrial disability leave</w:t>
      </w:r>
      <w:r w:rsidR="003739FC" w:rsidRPr="002371ED">
        <w:t xml:space="preserve"> </w:t>
      </w:r>
      <w:r w:rsidR="00284409" w:rsidRPr="002371ED">
        <w:t>is an alternative to temporary disability</w:t>
      </w:r>
      <w:r w:rsidR="00E950EF" w:rsidRPr="002371ED">
        <w:t xml:space="preserve"> and is </w:t>
      </w:r>
      <w:r w:rsidR="00E00E71" w:rsidRPr="002371ED">
        <w:t>available</w:t>
      </w:r>
      <w:r w:rsidR="00E950EF" w:rsidRPr="002371ED">
        <w:t xml:space="preserve"> to certain state</w:t>
      </w:r>
      <w:r w:rsidR="0012153D" w:rsidRPr="002371ED">
        <w:t xml:space="preserve"> officers and employees</w:t>
      </w:r>
      <w:r w:rsidR="00C546A1" w:rsidRPr="002371ED">
        <w:t xml:space="preserve">, such </w:t>
      </w:r>
      <w:r w:rsidR="00835C14" w:rsidRPr="002371ED">
        <w:t>as those who are members of the Public Employees’ Retirement System</w:t>
      </w:r>
      <w:r w:rsidR="00B23C8B" w:rsidRPr="002371ED">
        <w:t xml:space="preserve"> (Gov. Code, § 19869)</w:t>
      </w:r>
      <w:r w:rsidR="00DB0DAF" w:rsidRPr="002371ED">
        <w:t>.</w:t>
      </w:r>
      <w:r>
        <w:rPr>
          <w:rStyle w:val="FootnoteReference"/>
          <w:sz w:val="26"/>
          <w:szCs w:val="26"/>
          <w:vertAlign w:val="superscript"/>
        </w:rPr>
        <w:footnoteReference w:id="4"/>
      </w:r>
    </w:p>
    <w:p w14:paraId="793F96F7" w14:textId="52418A9D" w:rsidR="00415CF1" w:rsidRPr="002371ED" w:rsidRDefault="00482C0A" w:rsidP="009516E9">
      <w:pPr>
        <w:pStyle w:val="NoSpacing"/>
        <w:spacing w:line="600" w:lineRule="exact"/>
      </w:pPr>
      <w:r w:rsidRPr="002371ED">
        <w:t xml:space="preserve">Industrial disability leave </w:t>
      </w:r>
      <w:r w:rsidR="00DB22F0" w:rsidRPr="002371ED">
        <w:t xml:space="preserve">provides an employee his or her full </w:t>
      </w:r>
      <w:r w:rsidR="00025F72" w:rsidRPr="002371ED">
        <w:t>salary</w:t>
      </w:r>
      <w:r w:rsidR="00574D84" w:rsidRPr="002371ED">
        <w:t xml:space="preserve"> (net of certain taxes)</w:t>
      </w:r>
      <w:r w:rsidR="000A31C0" w:rsidRPr="002371ED">
        <w:t>, but only for 22 days; after 22 days, the pay becomes</w:t>
      </w:r>
      <w:r w:rsidR="00C44AA4" w:rsidRPr="002371ED">
        <w:t xml:space="preserve"> two-thirds</w:t>
      </w:r>
      <w:r w:rsidR="00477BC2" w:rsidRPr="002371ED">
        <w:t xml:space="preserve"> of full pay</w:t>
      </w:r>
      <w:r w:rsidR="00C44AA4" w:rsidRPr="002371ED">
        <w:t xml:space="preserve">.  (Gov. Code, § 19871, subd. (a).)  However, </w:t>
      </w:r>
      <w:r w:rsidR="00791E8E" w:rsidRPr="002371ED">
        <w:t xml:space="preserve">a </w:t>
      </w:r>
      <w:r w:rsidR="000D1833" w:rsidRPr="002371ED">
        <w:t xml:space="preserve">subset of </w:t>
      </w:r>
      <w:r w:rsidR="00022E41" w:rsidRPr="002371ED">
        <w:t>eligible workers</w:t>
      </w:r>
      <w:r w:rsidR="00292EFE" w:rsidRPr="002371ED">
        <w:t xml:space="preserve">, defined in the </w:t>
      </w:r>
      <w:r w:rsidR="00222C02" w:rsidRPr="002371ED">
        <w:t>Government Code</w:t>
      </w:r>
      <w:r w:rsidR="00292EFE" w:rsidRPr="002371ED">
        <w:t xml:space="preserve"> as “excluded employees,”</w:t>
      </w:r>
      <w:r w:rsidR="000D1833" w:rsidRPr="002371ED">
        <w:t xml:space="preserve"> are entitled to receive enhanced industrial disability leave.  </w:t>
      </w:r>
      <w:r w:rsidR="003D3E35" w:rsidRPr="002371ED">
        <w:t>(Gov. Code, §§</w:t>
      </w:r>
      <w:r w:rsidR="009B6F48" w:rsidRPr="002371ED">
        <w:t> 19871.2, 3527, subd. (b)</w:t>
      </w:r>
      <w:r w:rsidR="005849E5" w:rsidRPr="002371ED">
        <w:t xml:space="preserve">; </w:t>
      </w:r>
      <w:r w:rsidR="00A07346" w:rsidRPr="002371ED">
        <w:t>Cal. Code Regs., tit. 2,</w:t>
      </w:r>
      <w:r w:rsidR="005849E5" w:rsidRPr="002371ED">
        <w:t xml:space="preserve"> §</w:t>
      </w:r>
      <w:r w:rsidR="00076FD5" w:rsidRPr="002371ED">
        <w:t> 599.769</w:t>
      </w:r>
      <w:r w:rsidR="003B3545" w:rsidRPr="002371ED">
        <w:t>.)</w:t>
      </w:r>
      <w:r w:rsidR="00BE5D59" w:rsidRPr="002371ED">
        <w:t xml:space="preserve">  </w:t>
      </w:r>
      <w:r w:rsidR="00706E74" w:rsidRPr="002371ED">
        <w:t>E</w:t>
      </w:r>
      <w:r w:rsidR="00BE5D59" w:rsidRPr="002371ED">
        <w:t>nhanced industrial disability leave</w:t>
      </w:r>
      <w:r w:rsidR="00706E74" w:rsidRPr="002371ED">
        <w:t xml:space="preserve"> extends the </w:t>
      </w:r>
      <w:r w:rsidR="00F95912" w:rsidRPr="002371ED">
        <w:t>period of full pay from 22 days</w:t>
      </w:r>
      <w:r w:rsidR="00706E74" w:rsidRPr="002371ED">
        <w:t xml:space="preserve"> to</w:t>
      </w:r>
      <w:r w:rsidR="003A5F80" w:rsidRPr="002371ED">
        <w:t xml:space="preserve"> one year.  (Gov. Code, § 19871.2.)</w:t>
      </w:r>
      <w:r w:rsidR="009A4A03" w:rsidRPr="002371ED">
        <w:t xml:space="preserve">  If </w:t>
      </w:r>
      <w:r w:rsidR="00256A5C" w:rsidRPr="002371ED">
        <w:t>a worker</w:t>
      </w:r>
      <w:r w:rsidR="009A4A03" w:rsidRPr="002371ED">
        <w:t xml:space="preserve"> continues to be temporarily disabled after</w:t>
      </w:r>
      <w:r w:rsidR="00135DC7" w:rsidRPr="002371ED">
        <w:t xml:space="preserve"> industrial disability leave and enhanced industrial disability leave benefits terminate,</w:t>
      </w:r>
      <w:r w:rsidR="00256A5C" w:rsidRPr="002371ED">
        <w:t xml:space="preserve"> then</w:t>
      </w:r>
      <w:r w:rsidR="00002CEF" w:rsidRPr="002371ED">
        <w:t xml:space="preserve"> temporary disability payments begin.  (Gov. Code, § 19874, subd. (a).)</w:t>
      </w:r>
      <w:r>
        <w:rPr>
          <w:rStyle w:val="FootnoteReference"/>
          <w:sz w:val="26"/>
          <w:szCs w:val="26"/>
          <w:vertAlign w:val="superscript"/>
        </w:rPr>
        <w:footnoteReference w:id="5"/>
      </w:r>
    </w:p>
    <w:p w14:paraId="74A38BBC" w14:textId="0890A2EF" w:rsidR="004B642A" w:rsidRPr="002371ED" w:rsidRDefault="00482C0A" w:rsidP="009516E9">
      <w:pPr>
        <w:pStyle w:val="NoSpacing"/>
        <w:spacing w:line="600" w:lineRule="exact"/>
      </w:pPr>
      <w:r w:rsidRPr="002371ED">
        <w:lastRenderedPageBreak/>
        <w:t>“Our fundamenta</w:t>
      </w:r>
      <w:r w:rsidR="003E30F2" w:rsidRPr="002371ED">
        <w:t>l task in construing a statute is to ascertain the intent of the lawmakers so as to effectuate the purpose of the statute</w:t>
      </w:r>
      <w:r w:rsidR="00D10828" w:rsidRPr="002371ED">
        <w:t>.”  (</w:t>
      </w:r>
      <w:r w:rsidR="00D10828" w:rsidRPr="002371ED">
        <w:rPr>
          <w:i/>
          <w:iCs/>
        </w:rPr>
        <w:t>Day v. City of Fontana</w:t>
      </w:r>
      <w:r w:rsidR="00D10828" w:rsidRPr="002371ED">
        <w:t xml:space="preserve"> (2001) 25 Cal.4th 268, 272.)  “As in all problems of statutory interpretation, it is appropriate to begin with the words of the provision to be construed, as these words are</w:t>
      </w:r>
      <w:r w:rsidR="00321F1D" w:rsidRPr="002371ED">
        <w:t xml:space="preserve"> generally ‘the best indicator of legislative intent.’”  (</w:t>
      </w:r>
      <w:proofErr w:type="spellStart"/>
      <w:r w:rsidR="00321F1D" w:rsidRPr="002371ED">
        <w:rPr>
          <w:i/>
          <w:iCs/>
        </w:rPr>
        <w:t>Rhiner</w:t>
      </w:r>
      <w:proofErr w:type="spellEnd"/>
      <w:r w:rsidR="00321F1D" w:rsidRPr="002371ED">
        <w:rPr>
          <w:i/>
          <w:iCs/>
        </w:rPr>
        <w:t xml:space="preserve"> v. Workers’ Comp. Appeals Bd.</w:t>
      </w:r>
      <w:r w:rsidR="00321F1D" w:rsidRPr="002371ED">
        <w:t xml:space="preserve"> (1993) 4 Cal.4th 1213, 1217.)</w:t>
      </w:r>
      <w:r w:rsidR="003E30F2" w:rsidRPr="002371ED">
        <w:t xml:space="preserve">  </w:t>
      </w:r>
      <w:r w:rsidR="00321F1D" w:rsidRPr="002371ED">
        <w:t>“</w:t>
      </w:r>
      <w:r w:rsidR="003E30F2" w:rsidRPr="002371ED">
        <w:t>If there is no ambiguity, then we presume the lawmakers meant what the</w:t>
      </w:r>
      <w:r w:rsidR="00922C8B" w:rsidRPr="002371ED">
        <w:t>y</w:t>
      </w:r>
      <w:r w:rsidR="003E30F2" w:rsidRPr="002371ED">
        <w:t xml:space="preserve"> said, and the plain meaning of the language governs.”</w:t>
      </w:r>
      <w:r w:rsidR="001372FF" w:rsidRPr="002371ED">
        <w:t xml:space="preserve">  (</w:t>
      </w:r>
      <w:r w:rsidR="001372FF" w:rsidRPr="002371ED">
        <w:rPr>
          <w:i/>
          <w:iCs/>
        </w:rPr>
        <w:t>Day v. City of Fontan</w:t>
      </w:r>
      <w:r w:rsidR="00321F1D" w:rsidRPr="002371ED">
        <w:rPr>
          <w:i/>
          <w:iCs/>
        </w:rPr>
        <w:t>a</w:t>
      </w:r>
      <w:r w:rsidR="00321F1D" w:rsidRPr="002371ED">
        <w:t xml:space="preserve">, </w:t>
      </w:r>
      <w:r w:rsidR="00321F1D" w:rsidRPr="002371ED">
        <w:rPr>
          <w:i/>
          <w:iCs/>
        </w:rPr>
        <w:t>supra</w:t>
      </w:r>
      <w:r w:rsidR="00321F1D" w:rsidRPr="002371ED">
        <w:t>, at p.</w:t>
      </w:r>
      <w:r w:rsidR="001372FF" w:rsidRPr="002371ED">
        <w:t xml:space="preserve"> 272.)</w:t>
      </w:r>
    </w:p>
    <w:p w14:paraId="7326265E" w14:textId="157DB646" w:rsidR="002E15EA" w:rsidRPr="002371ED" w:rsidRDefault="00482C0A" w:rsidP="009516E9">
      <w:pPr>
        <w:pStyle w:val="NoSpacing"/>
        <w:spacing w:line="600" w:lineRule="exact"/>
      </w:pPr>
      <w:r w:rsidRPr="002371ED">
        <w:t>There is</w:t>
      </w:r>
      <w:r w:rsidR="00110149" w:rsidRPr="002371ED">
        <w:t xml:space="preserve"> no ambiguity here.  “Compensation</w:t>
      </w:r>
      <w:r w:rsidR="00CB5ECB" w:rsidRPr="002371ED">
        <w:t>,</w:t>
      </w:r>
      <w:r w:rsidR="00110149" w:rsidRPr="002371ED">
        <w:t>”</w:t>
      </w:r>
      <w:r w:rsidR="00CB5ECB" w:rsidRPr="002371ED">
        <w:t xml:space="preserve"> as the term is used in section 4553, </w:t>
      </w:r>
      <w:r w:rsidR="00717042">
        <w:t>includes only</w:t>
      </w:r>
      <w:r w:rsidR="00110149" w:rsidRPr="002371ED">
        <w:t xml:space="preserve"> </w:t>
      </w:r>
      <w:r w:rsidR="00717042">
        <w:t>items</w:t>
      </w:r>
      <w:r w:rsidR="00110149" w:rsidRPr="002371ED">
        <w:t xml:space="preserve"> provided by Division 4 of the Labor Code, but</w:t>
      </w:r>
      <w:r w:rsidR="00F40408" w:rsidRPr="002371ED">
        <w:t xml:space="preserve"> industrial disability leave</w:t>
      </w:r>
      <w:r>
        <w:rPr>
          <w:rStyle w:val="FootnoteReference"/>
          <w:sz w:val="26"/>
          <w:szCs w:val="26"/>
          <w:vertAlign w:val="superscript"/>
        </w:rPr>
        <w:footnoteReference w:id="6"/>
      </w:r>
      <w:r w:rsidR="00F40408" w:rsidRPr="002371ED">
        <w:t xml:space="preserve"> </w:t>
      </w:r>
      <w:r w:rsidR="0023768D" w:rsidRPr="002371ED">
        <w:t>is</w:t>
      </w:r>
      <w:r w:rsidR="00F40408" w:rsidRPr="002371ED">
        <w:t xml:space="preserve"> provided by the Government Code.  Accordingly,</w:t>
      </w:r>
      <w:r w:rsidR="00B95F51" w:rsidRPr="002371ED">
        <w:t xml:space="preserve"> the “amount of compensation otherwise recoverable” under section 4553 does not include</w:t>
      </w:r>
      <w:r w:rsidR="006C2D07" w:rsidRPr="002371ED">
        <w:t xml:space="preserve"> industrial disability leave.</w:t>
      </w:r>
    </w:p>
    <w:p w14:paraId="50A75EFF" w14:textId="4D1AF3D8" w:rsidR="005B34EE" w:rsidRPr="00CA6F98" w:rsidRDefault="00482C0A" w:rsidP="009516E9">
      <w:pPr>
        <w:pStyle w:val="NoSpacing"/>
        <w:spacing w:line="600" w:lineRule="exact"/>
      </w:pPr>
      <w:r w:rsidRPr="002371ED">
        <w:t xml:space="preserve">If the legal slate were </w:t>
      </w:r>
      <w:r w:rsidR="00CC0A47" w:rsidRPr="002371ED">
        <w:t>blank, we wou</w:t>
      </w:r>
      <w:r w:rsidR="002626E7" w:rsidRPr="002371ED">
        <w:t xml:space="preserve">ld </w:t>
      </w:r>
      <w:r w:rsidR="00CB5ECB" w:rsidRPr="002371ED">
        <w:t>end our discussion</w:t>
      </w:r>
      <w:r w:rsidR="002626E7" w:rsidRPr="002371ED">
        <w:t xml:space="preserve"> here</w:t>
      </w:r>
      <w:r w:rsidR="00131764" w:rsidRPr="002371ED">
        <w:t>.</w:t>
      </w:r>
      <w:r w:rsidR="0037644B" w:rsidRPr="002371ED">
        <w:t xml:space="preserve">  However, </w:t>
      </w:r>
      <w:r w:rsidR="007E2A33" w:rsidRPr="002371ED">
        <w:t xml:space="preserve">the Board concluded </w:t>
      </w:r>
      <w:r w:rsidR="00BD5817" w:rsidRPr="002371ED">
        <w:t xml:space="preserve">that section 4553 base compensation includes industrial </w:t>
      </w:r>
      <w:r w:rsidR="0023768D" w:rsidRPr="002371ED">
        <w:t>disability leave</w:t>
      </w:r>
      <w:r w:rsidR="00C500F4" w:rsidRPr="002371ED">
        <w:t xml:space="preserve">, </w:t>
      </w:r>
      <w:r w:rsidR="00BB6C16" w:rsidRPr="002371ED">
        <w:t>mainly relying</w:t>
      </w:r>
      <w:r w:rsidR="00C500F4" w:rsidRPr="002371ED">
        <w:t xml:space="preserve"> on</w:t>
      </w:r>
      <w:r w:rsidR="00130984" w:rsidRPr="002371ED">
        <w:t xml:space="preserve"> </w:t>
      </w:r>
      <w:r w:rsidR="00290875" w:rsidRPr="002371ED">
        <w:rPr>
          <w:i/>
          <w:iCs/>
        </w:rPr>
        <w:t>Brooks v. Workers’ Comp. Appeals Bd.</w:t>
      </w:r>
      <w:r w:rsidR="00290875" w:rsidRPr="002371ED">
        <w:t xml:space="preserve"> (2008) 161 Cal.App.4th 1522 </w:t>
      </w:r>
      <w:r w:rsidR="00290875" w:rsidRPr="002371ED">
        <w:lastRenderedPageBreak/>
        <w:t>(</w:t>
      </w:r>
      <w:r w:rsidR="00290875" w:rsidRPr="002371ED">
        <w:rPr>
          <w:i/>
          <w:iCs/>
        </w:rPr>
        <w:t>Brooks</w:t>
      </w:r>
      <w:r w:rsidR="00290875" w:rsidRPr="002371ED">
        <w:t>)</w:t>
      </w:r>
      <w:r w:rsidR="003B4052" w:rsidRPr="002371ED">
        <w:t>.</w:t>
      </w:r>
      <w:r w:rsidR="00630548">
        <w:t xml:space="preserve">  As we will discuss, </w:t>
      </w:r>
      <w:r w:rsidR="003E5090">
        <w:t xml:space="preserve">although </w:t>
      </w:r>
      <w:r w:rsidR="00CA6F98">
        <w:rPr>
          <w:i/>
          <w:iCs/>
        </w:rPr>
        <w:t>Brooks</w:t>
      </w:r>
      <w:r w:rsidR="00CA6F98">
        <w:t xml:space="preserve"> construed a different statute</w:t>
      </w:r>
      <w:r w:rsidR="00D068C7">
        <w:t xml:space="preserve">, </w:t>
      </w:r>
      <w:r w:rsidR="005D5A01">
        <w:t>its reasoning could support</w:t>
      </w:r>
      <w:r w:rsidR="001E5BE8">
        <w:t xml:space="preserve"> a conclusion that base compensation includes industrial </w:t>
      </w:r>
      <w:r w:rsidR="00677CFF">
        <w:t>disability leave</w:t>
      </w:r>
      <w:r w:rsidR="00390A8E">
        <w:t>.</w:t>
      </w:r>
    </w:p>
    <w:p w14:paraId="79D52D10" w14:textId="6412578E" w:rsidR="00DE70D2" w:rsidRPr="002371ED" w:rsidRDefault="00482C0A" w:rsidP="009516E9">
      <w:pPr>
        <w:pStyle w:val="NoSpacing"/>
        <w:spacing w:line="600" w:lineRule="exact"/>
      </w:pPr>
      <w:r w:rsidRPr="002371ED">
        <w:rPr>
          <w:i/>
          <w:iCs/>
        </w:rPr>
        <w:t>Brooks</w:t>
      </w:r>
      <w:r w:rsidRPr="002371ED">
        <w:t xml:space="preserve"> </w:t>
      </w:r>
      <w:r w:rsidR="00790261" w:rsidRPr="002371ED">
        <w:t>addressed</w:t>
      </w:r>
      <w:r w:rsidRPr="002371ED">
        <w:t xml:space="preserve"> section 4656, subdivision (c)(1), which states that </w:t>
      </w:r>
      <w:r w:rsidR="005B34EE" w:rsidRPr="002371ED">
        <w:t>“[a]</w:t>
      </w:r>
      <w:proofErr w:type="spellStart"/>
      <w:r w:rsidR="005B34EE" w:rsidRPr="002371ED">
        <w:t>ggregate</w:t>
      </w:r>
      <w:proofErr w:type="spellEnd"/>
      <w:r w:rsidR="005B34EE" w:rsidRPr="002371ED">
        <w:t xml:space="preserve"> disability payments for a single injury occurring on or after April 19, 2004, causing temporary disability shall not extend for more than 104 </w:t>
      </w:r>
      <w:r w:rsidR="00395E4C" w:rsidRPr="002371ED">
        <w:t xml:space="preserve">compensable </w:t>
      </w:r>
      <w:r w:rsidR="005B34EE" w:rsidRPr="002371ED">
        <w:t>weeks within a period of two years from the date of commencement of temporary disability payment.”</w:t>
      </w:r>
      <w:r w:rsidR="00071FDD" w:rsidRPr="002371ED">
        <w:t xml:space="preserve">  At issue was whether</w:t>
      </w:r>
      <w:r w:rsidR="008324FA" w:rsidRPr="002371ED">
        <w:t xml:space="preserve"> the year of industrial disability leave payments the worker received</w:t>
      </w:r>
      <w:r w:rsidR="00C3624C" w:rsidRPr="002371ED">
        <w:t xml:space="preserve"> counted toward </w:t>
      </w:r>
      <w:r w:rsidR="00CF2A18" w:rsidRPr="002371ED">
        <w:t>the statute’s</w:t>
      </w:r>
      <w:r w:rsidR="00C3624C" w:rsidRPr="002371ED">
        <w:t xml:space="preserve"> two-year limitation </w:t>
      </w:r>
      <w:r w:rsidR="00BB6C16" w:rsidRPr="002371ED">
        <w:t>or whether</w:t>
      </w:r>
      <w:r w:rsidR="00A45CF3" w:rsidRPr="002371ED">
        <w:t xml:space="preserve"> the</w:t>
      </w:r>
      <w:r w:rsidR="00376346" w:rsidRPr="002371ED">
        <w:t xml:space="preserve"> limitation period started only when</w:t>
      </w:r>
      <w:r w:rsidRPr="002371ED">
        <w:t xml:space="preserve"> </w:t>
      </w:r>
      <w:r w:rsidR="009C4FE4" w:rsidRPr="002371ED">
        <w:t xml:space="preserve">industrial disability leave </w:t>
      </w:r>
      <w:proofErr w:type="gramStart"/>
      <w:r w:rsidR="009C4FE4" w:rsidRPr="002371ED">
        <w:t>stopped</w:t>
      </w:r>
      <w:proofErr w:type="gramEnd"/>
      <w:r w:rsidR="009C4FE4" w:rsidRPr="002371ED">
        <w:t xml:space="preserve"> and </w:t>
      </w:r>
      <w:r w:rsidRPr="002371ED">
        <w:t>temporary disability payments began</w:t>
      </w:r>
      <w:r w:rsidRPr="002371ED">
        <w:rPr>
          <w:i/>
          <w:iCs/>
        </w:rPr>
        <w:t>.</w:t>
      </w:r>
      <w:r w:rsidR="00E52FD6" w:rsidRPr="002371ED">
        <w:t xml:space="preserve">  </w:t>
      </w:r>
      <w:r w:rsidR="00C913FB" w:rsidRPr="002371ED">
        <w:rPr>
          <w:i/>
          <w:iCs/>
        </w:rPr>
        <w:t>Brooks</w:t>
      </w:r>
      <w:r w:rsidR="00E52FD6" w:rsidRPr="002371ED">
        <w:t xml:space="preserve"> held that</w:t>
      </w:r>
      <w:r w:rsidR="00E17BED" w:rsidRPr="002371ED">
        <w:t xml:space="preserve"> </w:t>
      </w:r>
      <w:r w:rsidR="00A978CC" w:rsidRPr="002371ED">
        <w:t xml:space="preserve">the </w:t>
      </w:r>
      <w:r w:rsidR="00BA618D" w:rsidRPr="002371ED">
        <w:t>two-year limitation period began</w:t>
      </w:r>
      <w:r w:rsidR="009C4FE4" w:rsidRPr="002371ED">
        <w:t xml:space="preserve"> when industrial disability leave started</w:t>
      </w:r>
      <w:r w:rsidR="00E17BED" w:rsidRPr="002371ED">
        <w:t>.  (</w:t>
      </w:r>
      <w:r w:rsidR="00E17BED" w:rsidRPr="002371ED">
        <w:rPr>
          <w:i/>
          <w:iCs/>
        </w:rPr>
        <w:t>Brooks</w:t>
      </w:r>
      <w:r w:rsidR="00E17BED" w:rsidRPr="002371ED">
        <w:t xml:space="preserve">, </w:t>
      </w:r>
      <w:r w:rsidR="00E17BED" w:rsidRPr="002371ED">
        <w:rPr>
          <w:i/>
          <w:iCs/>
        </w:rPr>
        <w:t>supra</w:t>
      </w:r>
      <w:r w:rsidR="00E17BED" w:rsidRPr="002371ED">
        <w:t>, 161 Cal.App.4th at p. 1526.)</w:t>
      </w:r>
    </w:p>
    <w:p w14:paraId="771080D3" w14:textId="70741659" w:rsidR="00294036" w:rsidRPr="002371ED" w:rsidRDefault="00482C0A" w:rsidP="009516E9">
      <w:pPr>
        <w:pStyle w:val="NoSpacing"/>
        <w:spacing w:line="600" w:lineRule="exact"/>
      </w:pPr>
      <w:r w:rsidRPr="002371ED">
        <w:rPr>
          <w:i/>
          <w:iCs/>
        </w:rPr>
        <w:t>Brooks</w:t>
      </w:r>
      <w:r w:rsidRPr="002371ED">
        <w:t xml:space="preserve"> </w:t>
      </w:r>
      <w:r w:rsidR="00B21826" w:rsidRPr="002371ED">
        <w:t>largely relied</w:t>
      </w:r>
      <w:r w:rsidR="00461E64" w:rsidRPr="002371ED">
        <w:t xml:space="preserve"> on two rationales.  First, </w:t>
      </w:r>
      <w:r w:rsidR="00E36DA8" w:rsidRPr="002371ED">
        <w:t>it took the view that industrial disability leave equated to leave provided by the Labor Code.  I</w:t>
      </w:r>
      <w:r w:rsidR="00461E64" w:rsidRPr="002371ED">
        <w:t xml:space="preserve">t </w:t>
      </w:r>
      <w:r w:rsidR="00E9432D" w:rsidRPr="002371ED">
        <w:t>observed that Government Code section 19870, subdivision (a) provides</w:t>
      </w:r>
      <w:proofErr w:type="gramStart"/>
      <w:r w:rsidR="00E9432D" w:rsidRPr="002371ED">
        <w:t>:  “</w:t>
      </w:r>
      <w:proofErr w:type="gramEnd"/>
      <w:r w:rsidR="00E9432D" w:rsidRPr="002371ED">
        <w:t>‘Industrial disability leave’ means temporary disability as defined in Divisions 4 . . . and 4.5 . . . of the Labor Code.”  (</w:t>
      </w:r>
      <w:r w:rsidR="00E9432D" w:rsidRPr="002371ED">
        <w:rPr>
          <w:i/>
          <w:iCs/>
        </w:rPr>
        <w:t>Brooks</w:t>
      </w:r>
      <w:r w:rsidR="00E9432D" w:rsidRPr="002371ED">
        <w:t xml:space="preserve">, </w:t>
      </w:r>
      <w:r w:rsidR="00E9432D" w:rsidRPr="002371ED">
        <w:rPr>
          <w:i/>
          <w:iCs/>
        </w:rPr>
        <w:t>supra</w:t>
      </w:r>
      <w:r w:rsidR="00E9432D" w:rsidRPr="002371ED">
        <w:t xml:space="preserve">, </w:t>
      </w:r>
      <w:r w:rsidR="003348C2" w:rsidRPr="002371ED">
        <w:t>161 Cal.App.4th at</w:t>
      </w:r>
      <w:r w:rsidR="00E9432D" w:rsidRPr="002371ED">
        <w:t xml:space="preserve"> p. 1532.)  It then stated</w:t>
      </w:r>
      <w:proofErr w:type="gramStart"/>
      <w:r w:rsidR="00E9432D" w:rsidRPr="002371ED">
        <w:t>:  “</w:t>
      </w:r>
      <w:proofErr w:type="gramEnd"/>
      <w:r w:rsidR="00E9432D" w:rsidRPr="002371ED">
        <w:t>Because [industrial disability leave] is statutorily defined as the equivalent of [temporary disability], then the two-year limitation under section 4656, subdivision (c)(1), necessarily must apply to both [industrial disability leave] and [temporary disability].”  (</w:t>
      </w:r>
      <w:r w:rsidR="00E9432D" w:rsidRPr="002371ED">
        <w:rPr>
          <w:i/>
          <w:iCs/>
        </w:rPr>
        <w:t>Brooks</w:t>
      </w:r>
      <w:r w:rsidR="00E9432D" w:rsidRPr="002371ED">
        <w:t xml:space="preserve">, </w:t>
      </w:r>
      <w:r w:rsidR="00E9432D" w:rsidRPr="002371ED">
        <w:rPr>
          <w:i/>
          <w:iCs/>
        </w:rPr>
        <w:t>supra</w:t>
      </w:r>
      <w:r w:rsidR="00E9432D" w:rsidRPr="002371ED">
        <w:t>, at p. 1532.)  Second</w:t>
      </w:r>
      <w:r w:rsidR="00D82DED" w:rsidRPr="002371ED">
        <w:t>, it noted that</w:t>
      </w:r>
      <w:r w:rsidR="00E9432D" w:rsidRPr="002371ED">
        <w:t xml:space="preserve"> “the two-year limitation does not restrict itself only to [temporary </w:t>
      </w:r>
      <w:r w:rsidR="00E9432D" w:rsidRPr="002371ED">
        <w:lastRenderedPageBreak/>
        <w:t>disability] benefits payable under the Workers’ Compensation Act or the Labor Code, as it more broadly applies to ‘</w:t>
      </w:r>
      <w:r w:rsidR="00E9432D" w:rsidRPr="002371ED">
        <w:rPr>
          <w:i/>
          <w:iCs/>
        </w:rPr>
        <w:t>Aggregate</w:t>
      </w:r>
      <w:r w:rsidR="00E9432D" w:rsidRPr="002371ED">
        <w:t xml:space="preserve"> disability payments for a single injury.’”  (</w:t>
      </w:r>
      <w:r w:rsidR="00E9432D" w:rsidRPr="002371ED">
        <w:rPr>
          <w:i/>
          <w:iCs/>
        </w:rPr>
        <w:t>Ibid.</w:t>
      </w:r>
      <w:r w:rsidR="00E9432D" w:rsidRPr="002371ED">
        <w:t>)</w:t>
      </w:r>
    </w:p>
    <w:p w14:paraId="3F72AA7D" w14:textId="1E09914B" w:rsidR="00966E03" w:rsidRPr="002371ED" w:rsidRDefault="00482C0A" w:rsidP="009516E9">
      <w:pPr>
        <w:pStyle w:val="NoSpacing"/>
        <w:spacing w:line="600" w:lineRule="exact"/>
      </w:pPr>
      <w:r w:rsidRPr="002371ED">
        <w:t>H</w:t>
      </w:r>
      <w:r w:rsidR="00B20480" w:rsidRPr="002371ED">
        <w:t xml:space="preserve">ere, the Board </w:t>
      </w:r>
      <w:r w:rsidR="00143C98" w:rsidRPr="002371ED">
        <w:t xml:space="preserve">applied the first </w:t>
      </w:r>
      <w:r w:rsidRPr="002371ED">
        <w:rPr>
          <w:i/>
          <w:iCs/>
        </w:rPr>
        <w:t>Brooks</w:t>
      </w:r>
      <w:r w:rsidRPr="002371ED">
        <w:t xml:space="preserve"> </w:t>
      </w:r>
      <w:r w:rsidR="00B766C5" w:rsidRPr="002371ED">
        <w:t xml:space="preserve">rationale </w:t>
      </w:r>
      <w:r w:rsidR="00533686" w:rsidRPr="002371ED">
        <w:t xml:space="preserve">to </w:t>
      </w:r>
      <w:r w:rsidR="00593455" w:rsidRPr="002371ED">
        <w:t xml:space="preserve">find that Ayala’s base compensation included industrial disability leave.  </w:t>
      </w:r>
      <w:r w:rsidR="00DC69F9" w:rsidRPr="002371ED">
        <w:t>As the Board stated in its decision</w:t>
      </w:r>
      <w:proofErr w:type="gramStart"/>
      <w:r w:rsidR="00593455" w:rsidRPr="002371ED">
        <w:t>:  “</w:t>
      </w:r>
      <w:proofErr w:type="gramEnd"/>
      <w:r w:rsidR="00593455" w:rsidRPr="002371ED">
        <w:t xml:space="preserve">The inclusion of [industrial disability leave] to calculate aggregate disability payments in </w:t>
      </w:r>
      <w:r w:rsidR="00593455" w:rsidRPr="002371ED">
        <w:rPr>
          <w:i/>
          <w:iCs/>
        </w:rPr>
        <w:t>Brooks</w:t>
      </w:r>
      <w:r w:rsidR="00593455" w:rsidRPr="002371ED">
        <w:t xml:space="preserve"> indicates that</w:t>
      </w:r>
      <w:r w:rsidR="004F1074" w:rsidRPr="002371ED">
        <w:t xml:space="preserve"> applicant’s [industrial disability leave] payments must also be considered compensation for purposes of the serious and willful award because [industrial disability leave] is statutorily defined and treated as identical to temporary disability, a benefit provided as part of compensation.”</w:t>
      </w:r>
    </w:p>
    <w:p w14:paraId="044F6331" w14:textId="1DE1FE67" w:rsidR="00FE21B1" w:rsidRPr="002371ED" w:rsidRDefault="00482C0A" w:rsidP="009516E9">
      <w:pPr>
        <w:pStyle w:val="NoSpacing"/>
        <w:spacing w:line="600" w:lineRule="exact"/>
      </w:pPr>
      <w:r w:rsidRPr="002371ED">
        <w:t xml:space="preserve">Our case does not implicate the two-year limitation at issue in </w:t>
      </w:r>
      <w:r w:rsidRPr="002371ED">
        <w:rPr>
          <w:i/>
          <w:iCs/>
        </w:rPr>
        <w:t>Brooks</w:t>
      </w:r>
      <w:r w:rsidRPr="002371ED">
        <w:t xml:space="preserve">, </w:t>
      </w:r>
      <w:r w:rsidR="003C6CD3" w:rsidRPr="002371ED">
        <w:t>so</w:t>
      </w:r>
      <w:r w:rsidRPr="002371ED">
        <w:t xml:space="preserve"> we express no </w:t>
      </w:r>
      <w:r w:rsidR="0005051F" w:rsidRPr="002371ED">
        <w:t>view about</w:t>
      </w:r>
      <w:r w:rsidRPr="002371ED">
        <w:t xml:space="preserve"> its</w:t>
      </w:r>
      <w:r w:rsidRPr="002371ED">
        <w:t xml:space="preserve"> holding.  However, t</w:t>
      </w:r>
      <w:r w:rsidR="00B656A1" w:rsidRPr="002371ED">
        <w:t xml:space="preserve">o the extent that </w:t>
      </w:r>
      <w:r w:rsidR="00B656A1" w:rsidRPr="002371ED">
        <w:rPr>
          <w:i/>
          <w:iCs/>
        </w:rPr>
        <w:t>Brooks</w:t>
      </w:r>
      <w:r w:rsidR="00B656A1" w:rsidRPr="002371ED">
        <w:t xml:space="preserve"> </w:t>
      </w:r>
      <w:r w:rsidRPr="002371ED">
        <w:t>could be read as support</w:t>
      </w:r>
      <w:r w:rsidR="00B656A1" w:rsidRPr="002371ED">
        <w:t xml:space="preserve"> for the proposition that any features of or limitations on temporary disability necessarily must apply to industrial disability leave because of the way industrial disability leave is defined (see </w:t>
      </w:r>
      <w:r w:rsidR="00B656A1" w:rsidRPr="002371ED">
        <w:rPr>
          <w:i/>
          <w:iCs/>
        </w:rPr>
        <w:t>Brooks</w:t>
      </w:r>
      <w:r w:rsidR="00B656A1" w:rsidRPr="002371ED">
        <w:t xml:space="preserve">, </w:t>
      </w:r>
      <w:r w:rsidR="00B656A1" w:rsidRPr="002371ED">
        <w:rPr>
          <w:i/>
          <w:iCs/>
        </w:rPr>
        <w:t>supra</w:t>
      </w:r>
      <w:r w:rsidR="00B656A1" w:rsidRPr="002371ED">
        <w:t>, 161 Cal.App.4th at p. 1532</w:t>
      </w:r>
      <w:r w:rsidR="0017369A" w:rsidRPr="002371ED">
        <w:t xml:space="preserve">), </w:t>
      </w:r>
      <w:r w:rsidR="00B656A1" w:rsidRPr="002371ED">
        <w:t>we respectfully disagree.</w:t>
      </w:r>
    </w:p>
    <w:p w14:paraId="29126B84" w14:textId="5C7C732D" w:rsidR="00353633" w:rsidRPr="002371ED" w:rsidRDefault="00482C0A" w:rsidP="009516E9">
      <w:pPr>
        <w:pStyle w:val="NoSpacing"/>
        <w:spacing w:line="600" w:lineRule="exact"/>
      </w:pPr>
      <w:r w:rsidRPr="002371ED">
        <w:t xml:space="preserve">As a logical matter, </w:t>
      </w:r>
      <w:r w:rsidR="007F0051" w:rsidRPr="002371ED">
        <w:t xml:space="preserve">incorporating a definition from </w:t>
      </w:r>
      <w:r w:rsidRPr="002371ED">
        <w:t xml:space="preserve">one </w:t>
      </w:r>
      <w:r w:rsidR="008B2F01" w:rsidRPr="002371ED">
        <w:t>statutory</w:t>
      </w:r>
      <w:r w:rsidR="00A75BEC" w:rsidRPr="002371ED">
        <w:t xml:space="preserve"> scheme</w:t>
      </w:r>
      <w:r w:rsidR="008B2F01" w:rsidRPr="002371ED">
        <w:t xml:space="preserve"> </w:t>
      </w:r>
      <w:r w:rsidRPr="002371ED">
        <w:t xml:space="preserve">into a second </w:t>
      </w:r>
      <w:r w:rsidR="00224ADC">
        <w:t>one</w:t>
      </w:r>
      <w:r w:rsidRPr="002371ED">
        <w:t xml:space="preserve"> </w:t>
      </w:r>
      <w:r w:rsidR="008B2F01" w:rsidRPr="002371ED">
        <w:t>does not</w:t>
      </w:r>
      <w:r w:rsidR="00F57C44" w:rsidRPr="002371ED">
        <w:t xml:space="preserve"> alone</w:t>
      </w:r>
      <w:r w:rsidR="008B2F01" w:rsidRPr="002371ED">
        <w:t xml:space="preserve"> expand</w:t>
      </w:r>
      <w:r w:rsidR="008944C6" w:rsidRPr="002371ED">
        <w:t xml:space="preserve"> </w:t>
      </w:r>
      <w:r w:rsidRPr="002371ED">
        <w:t>the scope of the first</w:t>
      </w:r>
      <w:r w:rsidR="007C0669" w:rsidRPr="002371ED">
        <w:t xml:space="preserve"> </w:t>
      </w:r>
      <w:r w:rsidR="008944C6" w:rsidRPr="002371ED">
        <w:t>statutory scheme.</w:t>
      </w:r>
      <w:r w:rsidR="00894309" w:rsidRPr="002371ED">
        <w:t xml:space="preserve">  For example,</w:t>
      </w:r>
      <w:r w:rsidR="00F109BA" w:rsidRPr="002371ED">
        <w:t xml:space="preserve"> in</w:t>
      </w:r>
      <w:r w:rsidR="00A8759C" w:rsidRPr="002371ED">
        <w:t xml:space="preserve"> </w:t>
      </w:r>
      <w:r w:rsidR="00EE626E" w:rsidRPr="002371ED">
        <w:t>defining “</w:t>
      </w:r>
      <w:r w:rsidR="00A8759C" w:rsidRPr="002371ED">
        <w:t>gross income” for purposes of the</w:t>
      </w:r>
      <w:r w:rsidR="002E4648" w:rsidRPr="002371ED">
        <w:t xml:space="preserve"> state income tax, the Revenue and Taxation Code </w:t>
      </w:r>
      <w:r w:rsidR="00954BE4" w:rsidRPr="002371ED">
        <w:t xml:space="preserve">incorporates the federal definition from the Internal Revenue Code.  </w:t>
      </w:r>
      <w:r w:rsidR="00B63829" w:rsidRPr="002371ED">
        <w:t xml:space="preserve">Entitled “Gross income,” section </w:t>
      </w:r>
      <w:r w:rsidR="00395E4C" w:rsidRPr="002371ED">
        <w:t xml:space="preserve">17071 </w:t>
      </w:r>
      <w:r w:rsidR="00B63829" w:rsidRPr="002371ED">
        <w:t xml:space="preserve">of the Revenue and Taxation Code </w:t>
      </w:r>
      <w:r w:rsidR="009E4FA4" w:rsidRPr="002371ED">
        <w:t>provides</w:t>
      </w:r>
      <w:proofErr w:type="gramStart"/>
      <w:r w:rsidR="009E4FA4" w:rsidRPr="002371ED">
        <w:t>:  “</w:t>
      </w:r>
      <w:proofErr w:type="gramEnd"/>
      <w:r w:rsidR="009E4FA4" w:rsidRPr="002371ED">
        <w:t xml:space="preserve">Section 61 of the Internal Revenue Code, relating to gross income defined, shall apply, </w:t>
      </w:r>
      <w:r w:rsidR="009E4FA4" w:rsidRPr="002371ED">
        <w:lastRenderedPageBreak/>
        <w:t>except as otherwise provided.”</w:t>
      </w:r>
      <w:r w:rsidR="00AA5A86" w:rsidRPr="002371ED">
        <w:t xml:space="preserve">  No one </w:t>
      </w:r>
      <w:r w:rsidR="00F42A69" w:rsidRPr="002371ED">
        <w:t>would take</w:t>
      </w:r>
      <w:r w:rsidR="00AA5A86" w:rsidRPr="002371ED">
        <w:t xml:space="preserve"> this to</w:t>
      </w:r>
      <w:r w:rsidR="00D37761" w:rsidRPr="002371ED">
        <w:t xml:space="preserve"> conclude, however, that the federal definition has now been expanded to include items it did not already include before.</w:t>
      </w:r>
      <w:r w:rsidR="00C77F35" w:rsidRPr="002371ED">
        <w:t xml:space="preserve">  From the federal government’s point of view, nothing has changed</w:t>
      </w:r>
      <w:r w:rsidR="00586DC5" w:rsidRPr="002371ED">
        <w:t xml:space="preserve">: </w:t>
      </w:r>
      <w:r w:rsidR="00FF191C" w:rsidRPr="002371ED">
        <w:t xml:space="preserve"> </w:t>
      </w:r>
      <w:r w:rsidR="004F094E" w:rsidRPr="002371ED">
        <w:t xml:space="preserve">if something counted as </w:t>
      </w:r>
      <w:r w:rsidR="000E6ED6" w:rsidRPr="002371ED">
        <w:t>gross income for federal tax purposes before, it still does, and if something was excluded, it still is.  T</w:t>
      </w:r>
      <w:r w:rsidR="00FF191C" w:rsidRPr="002371ED">
        <w:t>hat a state has chosen to incorporate a federal definition as part of a state’s defined term</w:t>
      </w:r>
      <w:r w:rsidR="001B724F" w:rsidRPr="002371ED">
        <w:t xml:space="preserve"> does not </w:t>
      </w:r>
      <w:r w:rsidR="00586DC5" w:rsidRPr="002371ED">
        <w:t>alter</w:t>
      </w:r>
      <w:r w:rsidR="001B724F" w:rsidRPr="002371ED">
        <w:t xml:space="preserve"> the federal definition.  Similarly</w:t>
      </w:r>
      <w:r w:rsidR="00586DC5" w:rsidRPr="002371ED">
        <w:t>,</w:t>
      </w:r>
      <w:r w:rsidR="00F36B0A" w:rsidRPr="002371ED">
        <w:t xml:space="preserve"> although our Legislature has the power to amend </w:t>
      </w:r>
      <w:r w:rsidR="00224ADC">
        <w:t>both the Government Code and the Labor Code</w:t>
      </w:r>
      <w:r w:rsidR="00F36B0A" w:rsidRPr="002371ED">
        <w:t>,</w:t>
      </w:r>
      <w:r w:rsidR="00586DC5" w:rsidRPr="002371ED">
        <w:t xml:space="preserve"> the fact that</w:t>
      </w:r>
      <w:r w:rsidR="002E5EA4" w:rsidRPr="002371ED">
        <w:t xml:space="preserve"> </w:t>
      </w:r>
      <w:r w:rsidR="00C7498A" w:rsidRPr="002371ED">
        <w:t>part of the Government Code incorporates the Labor Code’s definition of “temporary disability”</w:t>
      </w:r>
      <w:r w:rsidR="004F45B1" w:rsidRPr="002371ED">
        <w:t xml:space="preserve"> does not</w:t>
      </w:r>
      <w:r w:rsidR="005369BB" w:rsidRPr="002371ED">
        <w:t>, by itself,</w:t>
      </w:r>
      <w:r w:rsidR="004F45B1" w:rsidRPr="002371ED">
        <w:t xml:space="preserve"> mean that</w:t>
      </w:r>
      <w:r w:rsidR="007F6E44" w:rsidRPr="002371ED">
        <w:t xml:space="preserve"> the definition of “compensation” </w:t>
      </w:r>
      <w:r w:rsidR="005369BB" w:rsidRPr="002371ED">
        <w:t xml:space="preserve">under the Labor Code </w:t>
      </w:r>
      <w:r w:rsidR="007F6E44" w:rsidRPr="002371ED">
        <w:t xml:space="preserve">has expanded </w:t>
      </w:r>
      <w:r w:rsidR="005369BB" w:rsidRPr="002371ED">
        <w:t>in any way.</w:t>
      </w:r>
      <w:r w:rsidR="00F718FE" w:rsidRPr="002371ED">
        <w:t xml:space="preserve">  “Compensation” under section 3207 still requires that it be provided by Division 4 of the Labor Code, just as it always has.</w:t>
      </w:r>
      <w:r w:rsidR="00633136" w:rsidRPr="002371ED">
        <w:t xml:space="preserve">  </w:t>
      </w:r>
      <w:r w:rsidR="0037305A" w:rsidRPr="002371ED">
        <w:t>That is, even</w:t>
      </w:r>
      <w:r w:rsidR="00ED74F1" w:rsidRPr="002371ED">
        <w:t xml:space="preserve"> though the definition of industrial disability leave </w:t>
      </w:r>
      <w:r w:rsidR="00A00611" w:rsidRPr="002371ED">
        <w:t xml:space="preserve">incorporates the definition of temporary disability, </w:t>
      </w:r>
      <w:r w:rsidR="00633136" w:rsidRPr="002371ED">
        <w:t>the “compensation otherwise recoverable” under section 4553</w:t>
      </w:r>
      <w:r w:rsidR="00BE362F" w:rsidRPr="002371ED">
        <w:t xml:space="preserve"> for serious and willful misconduct </w:t>
      </w:r>
      <w:r w:rsidR="00201E02" w:rsidRPr="002371ED">
        <w:t>still does not</w:t>
      </w:r>
      <w:r w:rsidR="00B356F5" w:rsidRPr="002371ED">
        <w:t xml:space="preserve"> include</w:t>
      </w:r>
      <w:r w:rsidR="00BE362F" w:rsidRPr="002371ED">
        <w:t xml:space="preserve"> industrial disability leave.</w:t>
      </w:r>
      <w:r>
        <w:rPr>
          <w:rStyle w:val="FootnoteReference"/>
          <w:sz w:val="26"/>
          <w:szCs w:val="26"/>
          <w:vertAlign w:val="superscript"/>
        </w:rPr>
        <w:footnoteReference w:id="7"/>
      </w:r>
    </w:p>
    <w:p w14:paraId="31BF9164" w14:textId="2D5B7D89" w:rsidR="00A209D7" w:rsidRPr="00690EC6" w:rsidRDefault="00482C0A" w:rsidP="009516E9">
      <w:pPr>
        <w:pStyle w:val="NoSpacing"/>
        <w:spacing w:line="600" w:lineRule="exact"/>
      </w:pPr>
      <w:r w:rsidRPr="002371ED">
        <w:lastRenderedPageBreak/>
        <w:t>To support its</w:t>
      </w:r>
      <w:r w:rsidR="001646E6" w:rsidRPr="002371ED">
        <w:t xml:space="preserve"> rationale</w:t>
      </w:r>
      <w:r w:rsidRPr="002371ED">
        <w:t>,</w:t>
      </w:r>
      <w:r w:rsidR="009B3D97" w:rsidRPr="002371ED">
        <w:t xml:space="preserve"> </w:t>
      </w:r>
      <w:r w:rsidR="009B3D97" w:rsidRPr="002371ED">
        <w:rPr>
          <w:i/>
          <w:iCs/>
        </w:rPr>
        <w:t>Brooks</w:t>
      </w:r>
      <w:r w:rsidR="007D3F3A" w:rsidRPr="002371ED">
        <w:t xml:space="preserve"> cited</w:t>
      </w:r>
      <w:r w:rsidR="00C84E0C" w:rsidRPr="002371ED">
        <w:t xml:space="preserve"> </w:t>
      </w:r>
      <w:r w:rsidR="00E84F2E" w:rsidRPr="002371ED">
        <w:t>a Court of Appeal case and a Board opinion</w:t>
      </w:r>
      <w:r w:rsidR="00C84E0C" w:rsidRPr="002371ED">
        <w:t xml:space="preserve"> </w:t>
      </w:r>
      <w:r w:rsidR="0075582A" w:rsidRPr="002371ED">
        <w:t xml:space="preserve">that </w:t>
      </w:r>
      <w:r w:rsidR="00DE3868" w:rsidRPr="002371ED">
        <w:t>recognized some level of equivalency between industrial</w:t>
      </w:r>
      <w:r w:rsidR="007869A1" w:rsidRPr="002371ED">
        <w:t xml:space="preserve"> disability</w:t>
      </w:r>
      <w:r w:rsidR="00DE3868" w:rsidRPr="002371ED">
        <w:t xml:space="preserve"> leave benefits and temporary disability leave benefits in two different contexts</w:t>
      </w:r>
      <w:r w:rsidR="0075582A" w:rsidRPr="002371ED">
        <w:t>.  First</w:t>
      </w:r>
      <w:r w:rsidR="00E84F2E" w:rsidRPr="002371ED">
        <w:t>, in</w:t>
      </w:r>
      <w:r w:rsidR="007D3F3A" w:rsidRPr="002371ED">
        <w:t xml:space="preserve"> </w:t>
      </w:r>
      <w:r w:rsidR="007D3F3A" w:rsidRPr="002371ED">
        <w:rPr>
          <w:i/>
          <w:iCs/>
        </w:rPr>
        <w:t>State of California v. Workers’ Comp. Appeals Bd.</w:t>
      </w:r>
      <w:r w:rsidR="007D3F3A" w:rsidRPr="002371ED">
        <w:t xml:space="preserve"> (1996) 44 Cal.App.4th 128, 144 (</w:t>
      </w:r>
      <w:r w:rsidR="007D3F3A" w:rsidRPr="002371ED">
        <w:rPr>
          <w:i/>
          <w:iCs/>
        </w:rPr>
        <w:t>Ellison</w:t>
      </w:r>
      <w:r w:rsidR="007D3F3A" w:rsidRPr="002371ED">
        <w:t>)</w:t>
      </w:r>
      <w:r w:rsidR="004C44EC" w:rsidRPr="002371ED">
        <w:t xml:space="preserve">, the court </w:t>
      </w:r>
      <w:r w:rsidR="00CC0C43" w:rsidRPr="002371ED">
        <w:t>affirmed</w:t>
      </w:r>
      <w:r w:rsidR="000E5E29" w:rsidRPr="002371ED">
        <w:t xml:space="preserve"> a Board order awarding a</w:t>
      </w:r>
      <w:r w:rsidR="00116E0F" w:rsidRPr="002371ED">
        <w:t xml:space="preserve"> 10</w:t>
      </w:r>
      <w:r w:rsidR="00BA515C" w:rsidRPr="002371ED">
        <w:t xml:space="preserve"> percent</w:t>
      </w:r>
      <w:r w:rsidR="00116E0F" w:rsidRPr="002371ED">
        <w:t xml:space="preserve"> unreasonable delay penalty </w:t>
      </w:r>
      <w:r w:rsidR="00B83515" w:rsidRPr="002371ED">
        <w:t>that was</w:t>
      </w:r>
      <w:r w:rsidR="001E5D41" w:rsidRPr="002371ED">
        <w:t xml:space="preserve"> calculated </w:t>
      </w:r>
      <w:r w:rsidR="009A0F8F" w:rsidRPr="002371ED">
        <w:t>based on</w:t>
      </w:r>
      <w:r w:rsidR="00B83515" w:rsidRPr="002371ED">
        <w:t xml:space="preserve"> what the worker would have received in temporary disability</w:t>
      </w:r>
      <w:r w:rsidR="00ED01E2" w:rsidRPr="002371ED">
        <w:t>, even though the worker</w:t>
      </w:r>
      <w:r w:rsidR="00AD1324" w:rsidRPr="002371ED">
        <w:t xml:space="preserve"> received industrial disability leave.</w:t>
      </w:r>
      <w:r w:rsidR="00575174" w:rsidRPr="002371ED">
        <w:t xml:space="preserve">  (</w:t>
      </w:r>
      <w:r w:rsidR="001E4092" w:rsidRPr="002371ED">
        <w:rPr>
          <w:i/>
          <w:iCs/>
        </w:rPr>
        <w:t>Id.</w:t>
      </w:r>
      <w:r w:rsidR="001E4092" w:rsidRPr="002371ED">
        <w:t xml:space="preserve"> at p. 130</w:t>
      </w:r>
      <w:r w:rsidR="00D21551" w:rsidRPr="002371ED">
        <w:t xml:space="preserve">; see </w:t>
      </w:r>
      <w:r w:rsidR="00D21551" w:rsidRPr="002371ED">
        <w:rPr>
          <w:i/>
          <w:iCs/>
        </w:rPr>
        <w:t>Brooks</w:t>
      </w:r>
      <w:r w:rsidR="00D21551" w:rsidRPr="002371ED">
        <w:t xml:space="preserve">, </w:t>
      </w:r>
      <w:r w:rsidR="00D21551" w:rsidRPr="002371ED">
        <w:rPr>
          <w:i/>
          <w:iCs/>
        </w:rPr>
        <w:t>supra</w:t>
      </w:r>
      <w:r w:rsidR="00D21551" w:rsidRPr="002371ED">
        <w:t>, 161 Cal.App.4th at pp. 1532-1533</w:t>
      </w:r>
      <w:r w:rsidR="001E4092" w:rsidRPr="002371ED">
        <w:t>.)</w:t>
      </w:r>
      <w:r w:rsidR="00E06FBA" w:rsidRPr="002371ED">
        <w:rPr>
          <w:i/>
          <w:iCs/>
        </w:rPr>
        <w:t xml:space="preserve">  </w:t>
      </w:r>
      <w:r>
        <w:t>However</w:t>
      </w:r>
      <w:r w:rsidR="00A14AEE">
        <w:t xml:space="preserve">, </w:t>
      </w:r>
      <w:r w:rsidR="00A14AEE">
        <w:rPr>
          <w:i/>
          <w:iCs/>
        </w:rPr>
        <w:t>Ellison</w:t>
      </w:r>
      <w:r w:rsidR="00A14AEE">
        <w:t xml:space="preserve">, like </w:t>
      </w:r>
      <w:r w:rsidR="00A14AEE">
        <w:rPr>
          <w:i/>
          <w:iCs/>
        </w:rPr>
        <w:t>Brooks</w:t>
      </w:r>
      <w:r w:rsidR="00A14AEE">
        <w:t>, does not</w:t>
      </w:r>
      <w:r w:rsidR="001D55B4">
        <w:t xml:space="preserve"> involve the scope of the statutory term “compensation</w:t>
      </w:r>
      <w:r w:rsidR="003E688D">
        <w:t xml:space="preserve">,” as the unreasonable delay penalty at issue in </w:t>
      </w:r>
      <w:r w:rsidR="003E688D">
        <w:rPr>
          <w:i/>
          <w:iCs/>
        </w:rPr>
        <w:t>Ellison</w:t>
      </w:r>
      <w:r w:rsidR="003E688D">
        <w:t xml:space="preserve"> requi</w:t>
      </w:r>
      <w:r w:rsidR="00275195">
        <w:t>re</w:t>
      </w:r>
      <w:r w:rsidR="003C0182">
        <w:t>d</w:t>
      </w:r>
      <w:r w:rsidR="00275195">
        <w:t xml:space="preserve"> a 10 percent increase in “the full amount of the order, decision or award” when </w:t>
      </w:r>
      <w:r w:rsidR="003C0182">
        <w:t>it applied</w:t>
      </w:r>
      <w:r w:rsidR="00275195">
        <w:t>.  (See former § </w:t>
      </w:r>
      <w:r w:rsidR="004C6386">
        <w:t>5814</w:t>
      </w:r>
      <w:r w:rsidR="00275195">
        <w:t xml:space="preserve">, cited in </w:t>
      </w:r>
      <w:r w:rsidR="00275195">
        <w:rPr>
          <w:i/>
          <w:iCs/>
        </w:rPr>
        <w:t>Ellison</w:t>
      </w:r>
      <w:r w:rsidR="00275195">
        <w:t xml:space="preserve">, </w:t>
      </w:r>
      <w:r w:rsidR="00275195">
        <w:rPr>
          <w:i/>
          <w:iCs/>
        </w:rPr>
        <w:t>supra</w:t>
      </w:r>
      <w:r w:rsidR="00275195">
        <w:t>, at p. 138.)</w:t>
      </w:r>
      <w:r w:rsidR="0097128C">
        <w:t xml:space="preserve">  And although </w:t>
      </w:r>
      <w:r w:rsidR="0097128C">
        <w:rPr>
          <w:i/>
          <w:iCs/>
        </w:rPr>
        <w:t>Ellison</w:t>
      </w:r>
      <w:r w:rsidR="00F36D64">
        <w:t>’s rationale partly relied</w:t>
      </w:r>
      <w:r w:rsidR="00A93AE4">
        <w:t xml:space="preserve"> on its view that the definition of industrial disability </w:t>
      </w:r>
      <w:proofErr w:type="gramStart"/>
      <w:r w:rsidR="00A93AE4">
        <w:t>leave</w:t>
      </w:r>
      <w:proofErr w:type="gramEnd"/>
      <w:r w:rsidR="00A93AE4">
        <w:t xml:space="preserve"> as temporary disability “evidence[d] an intent to grant state workers the benefits of” the temporary disability provisions</w:t>
      </w:r>
      <w:r w:rsidR="00690EC6">
        <w:t xml:space="preserve"> (</w:t>
      </w:r>
      <w:r w:rsidR="00690EC6">
        <w:rPr>
          <w:i/>
          <w:iCs/>
        </w:rPr>
        <w:t>Ellison</w:t>
      </w:r>
      <w:r w:rsidR="00690EC6">
        <w:t xml:space="preserve">, </w:t>
      </w:r>
      <w:r w:rsidR="00690EC6">
        <w:rPr>
          <w:i/>
          <w:iCs/>
        </w:rPr>
        <w:t>supra</w:t>
      </w:r>
      <w:r w:rsidR="00690EC6">
        <w:t xml:space="preserve">, at p. 146), </w:t>
      </w:r>
      <w:r w:rsidR="0023449E">
        <w:t xml:space="preserve">we </w:t>
      </w:r>
      <w:r w:rsidR="00627D58">
        <w:t>discern no</w:t>
      </w:r>
      <w:r w:rsidR="00C55F3C">
        <w:t xml:space="preserve"> similar intent to expand the scope of a statutory term</w:t>
      </w:r>
      <w:r w:rsidR="007E3329">
        <w:t xml:space="preserve"> such as “compensation” where the Legislature does not</w:t>
      </w:r>
      <w:r w:rsidR="009B1BF8">
        <w:t xml:space="preserve"> expressly so provide.</w:t>
      </w:r>
      <w:r w:rsidR="00825FC5">
        <w:t xml:space="preserve">  </w:t>
      </w:r>
      <w:r w:rsidR="00B3708E">
        <w:t xml:space="preserve">We therefore </w:t>
      </w:r>
      <w:r w:rsidR="00674FA3">
        <w:t xml:space="preserve">do not view </w:t>
      </w:r>
      <w:r w:rsidR="00674FA3">
        <w:rPr>
          <w:i/>
          <w:iCs/>
        </w:rPr>
        <w:t>Ellison</w:t>
      </w:r>
      <w:r w:rsidR="00674FA3">
        <w:t xml:space="preserve"> as dispositive here, although</w:t>
      </w:r>
      <w:r w:rsidR="00F079AF">
        <w:t xml:space="preserve"> we note that its holding</w:t>
      </w:r>
      <w:r w:rsidR="00F079AF" w:rsidRPr="002371ED">
        <w:t xml:space="preserve">—that the Board can award a percentage penalty based on what a worker would have received on temporary disability (instead of what the worker </w:t>
      </w:r>
      <w:proofErr w:type="gramStart"/>
      <w:r w:rsidR="00F079AF" w:rsidRPr="002371ED">
        <w:t>actually received</w:t>
      </w:r>
      <w:proofErr w:type="gramEnd"/>
      <w:r w:rsidR="00F079AF" w:rsidRPr="002371ED">
        <w:t xml:space="preserve"> in industrial disability leave)—is broadly consistent with our own.  (</w:t>
      </w:r>
      <w:r w:rsidR="00F079AF" w:rsidRPr="002371ED">
        <w:rPr>
          <w:i/>
          <w:iCs/>
        </w:rPr>
        <w:t>Ellison</w:t>
      </w:r>
      <w:r w:rsidR="00F079AF" w:rsidRPr="002371ED">
        <w:t xml:space="preserve">, </w:t>
      </w:r>
      <w:r w:rsidR="00F079AF" w:rsidRPr="002371ED">
        <w:rPr>
          <w:i/>
          <w:iCs/>
        </w:rPr>
        <w:t>supra</w:t>
      </w:r>
      <w:r w:rsidR="00F079AF" w:rsidRPr="002371ED">
        <w:t>, 44 Cal.App.4th at p. 130.)</w:t>
      </w:r>
    </w:p>
    <w:p w14:paraId="6B898257" w14:textId="7015DBFD" w:rsidR="00986FB8" w:rsidRPr="002371ED" w:rsidRDefault="00482C0A" w:rsidP="009516E9">
      <w:pPr>
        <w:pStyle w:val="NoSpacing"/>
        <w:spacing w:line="600" w:lineRule="exact"/>
      </w:pPr>
      <w:r w:rsidRPr="002371ED">
        <w:lastRenderedPageBreak/>
        <w:t>Second,</w:t>
      </w:r>
      <w:r w:rsidR="00031C6F" w:rsidRPr="002371ED">
        <w:t xml:space="preserve"> </w:t>
      </w:r>
      <w:r w:rsidR="00EF1037" w:rsidRPr="002371ED">
        <w:t xml:space="preserve">in </w:t>
      </w:r>
      <w:r w:rsidR="00EF1037" w:rsidRPr="002371ED">
        <w:rPr>
          <w:i/>
          <w:iCs/>
        </w:rPr>
        <w:t>Salmon v. Workers’ Comp. Appeals Bd.</w:t>
      </w:r>
      <w:r w:rsidR="00EF1037" w:rsidRPr="002371ED">
        <w:t xml:space="preserve"> (2007) 72 </w:t>
      </w:r>
      <w:proofErr w:type="spellStart"/>
      <w:proofErr w:type="gramStart"/>
      <w:r w:rsidR="00EF1037" w:rsidRPr="002371ED">
        <w:t>Cal.Comp.Cases</w:t>
      </w:r>
      <w:proofErr w:type="spellEnd"/>
      <w:proofErr w:type="gramEnd"/>
      <w:r w:rsidR="00EF1037" w:rsidRPr="002371ED">
        <w:t xml:space="preserve"> 1042 (writ den.)</w:t>
      </w:r>
      <w:r w:rsidR="009B59FE" w:rsidRPr="002371ED">
        <w:t xml:space="preserve"> (</w:t>
      </w:r>
      <w:r w:rsidR="009B59FE" w:rsidRPr="002371ED">
        <w:rPr>
          <w:i/>
          <w:iCs/>
        </w:rPr>
        <w:t>Salmon</w:t>
      </w:r>
      <w:r w:rsidR="009B59FE" w:rsidRPr="002371ED">
        <w:t>)</w:t>
      </w:r>
      <w:r w:rsidR="006C3FC3" w:rsidRPr="002371ED">
        <w:t xml:space="preserve">, </w:t>
      </w:r>
      <w:r w:rsidR="004B6CBB" w:rsidRPr="002371ED">
        <w:t xml:space="preserve">the Board (in </w:t>
      </w:r>
      <w:r w:rsidR="009038AD" w:rsidRPr="002371ED">
        <w:rPr>
          <w:i/>
          <w:iCs/>
        </w:rPr>
        <w:t>Brooks</w:t>
      </w:r>
      <w:r w:rsidR="009038AD" w:rsidRPr="002371ED">
        <w:t>’</w:t>
      </w:r>
      <w:r w:rsidR="004B6CBB" w:rsidRPr="002371ED">
        <w:t xml:space="preserve"> words) </w:t>
      </w:r>
      <w:r w:rsidR="006C3FC3" w:rsidRPr="002371ED">
        <w:t>“effectively agreed</w:t>
      </w:r>
      <w:r w:rsidR="000A10DC" w:rsidRPr="002371ED">
        <w:t xml:space="preserve"> . . . </w:t>
      </w:r>
      <w:r w:rsidR="006C3FC3" w:rsidRPr="002371ED">
        <w:t>that [industrial disability leave] benefits are the same as [temporary disability] for purposes of applying the two-year limitation set forth in section 4656, subdivision (c)(1).”</w:t>
      </w:r>
      <w:r w:rsidR="00B366F2" w:rsidRPr="002371ED">
        <w:t xml:space="preserve">  (</w:t>
      </w:r>
      <w:r w:rsidR="00B366F2" w:rsidRPr="002371ED">
        <w:rPr>
          <w:i/>
          <w:iCs/>
        </w:rPr>
        <w:t>Brooks</w:t>
      </w:r>
      <w:r w:rsidR="00B366F2" w:rsidRPr="002371ED">
        <w:t xml:space="preserve">, </w:t>
      </w:r>
      <w:r w:rsidR="00B366F2" w:rsidRPr="002371ED">
        <w:rPr>
          <w:i/>
          <w:iCs/>
        </w:rPr>
        <w:t>supra</w:t>
      </w:r>
      <w:r w:rsidR="00B366F2" w:rsidRPr="002371ED">
        <w:t>,</w:t>
      </w:r>
      <w:r w:rsidR="00CC4E59" w:rsidRPr="002371ED">
        <w:t xml:space="preserve"> 161 Cal.App.4th at p. 1534.)</w:t>
      </w:r>
      <w:r w:rsidR="00B64705" w:rsidRPr="002371ED">
        <w:t xml:space="preserve">  </w:t>
      </w:r>
      <w:r w:rsidR="00966E03" w:rsidRPr="002371ED">
        <w:t xml:space="preserve">At first glance, this </w:t>
      </w:r>
      <w:r w:rsidR="00037E38" w:rsidRPr="002371ED">
        <w:t>might</w:t>
      </w:r>
      <w:r w:rsidR="00966E03" w:rsidRPr="002371ED">
        <w:t xml:space="preserve"> show that, </w:t>
      </w:r>
      <w:r w:rsidR="00037E38" w:rsidRPr="002371ED">
        <w:t>before</w:t>
      </w:r>
      <w:r w:rsidR="00966E03" w:rsidRPr="002371ED">
        <w:t xml:space="preserve"> </w:t>
      </w:r>
      <w:r w:rsidR="00966E03" w:rsidRPr="002371ED">
        <w:rPr>
          <w:i/>
          <w:iCs/>
        </w:rPr>
        <w:t>Brooks</w:t>
      </w:r>
      <w:r w:rsidR="00966E03" w:rsidRPr="002371ED">
        <w:t>, the Board believed that the two programs should be seen as synonymous, at least for purposes of section 4656’s time limitations.  This is more significant given that the Board’s “interpretation of statutes in the area of workers’ compensation” must be “accord[ed] ‘“significant respect,”’</w:t>
      </w:r>
      <w:r w:rsidR="00862C87" w:rsidRPr="002371ED">
        <w:t>”</w:t>
      </w:r>
      <w:r w:rsidR="00966E03" w:rsidRPr="002371ED">
        <w:t xml:space="preserve"> even though our review is de novo.  (</w:t>
      </w:r>
      <w:r w:rsidR="00966E03" w:rsidRPr="002371ED">
        <w:rPr>
          <w:i/>
          <w:iCs/>
        </w:rPr>
        <w:t>Department of Rehabilitation v. Workers’ Comp. Appeals Bd.</w:t>
      </w:r>
      <w:r w:rsidR="00966E03" w:rsidRPr="002371ED">
        <w:t xml:space="preserve"> (2003) 30 Cal.4th 1281, 1290.)  However, i</w:t>
      </w:r>
      <w:r w:rsidR="008071A1" w:rsidRPr="002371ED">
        <w:t xml:space="preserve">n </w:t>
      </w:r>
      <w:r w:rsidR="008071A1" w:rsidRPr="002371ED">
        <w:rPr>
          <w:i/>
          <w:iCs/>
        </w:rPr>
        <w:t>Salmon</w:t>
      </w:r>
      <w:r w:rsidR="008071A1" w:rsidRPr="002371ED">
        <w:t>, the</w:t>
      </w:r>
      <w:r w:rsidR="00960DDC" w:rsidRPr="002371ED">
        <w:t xml:space="preserve"> worker and the employer had stipulated</w:t>
      </w:r>
      <w:r w:rsidR="009E5499" w:rsidRPr="002371ED">
        <w:t xml:space="preserve"> that </w:t>
      </w:r>
      <w:r w:rsidR="00C12A28" w:rsidRPr="002371ED">
        <w:t>“[t]</w:t>
      </w:r>
      <w:proofErr w:type="spellStart"/>
      <w:r w:rsidR="00C12A28" w:rsidRPr="002371ED">
        <w:t>emporary</w:t>
      </w:r>
      <w:proofErr w:type="spellEnd"/>
      <w:r w:rsidR="00C12A28" w:rsidRPr="002371ED">
        <w:t xml:space="preserve"> disability payments commenced 4/26/04” and that the employer “paid benefits at the [industrial disability leave] rate for a total of 365 days</w:t>
      </w:r>
      <w:r w:rsidR="00BD797D" w:rsidRPr="002371ED">
        <w:t xml:space="preserve"> [starting] 4/26/04</w:t>
      </w:r>
      <w:r w:rsidR="001D520A" w:rsidRPr="002371ED">
        <w:t>.”  (</w:t>
      </w:r>
      <w:r w:rsidR="001D520A" w:rsidRPr="002371ED">
        <w:rPr>
          <w:i/>
          <w:iCs/>
        </w:rPr>
        <w:t>Salmon v. State</w:t>
      </w:r>
      <w:r w:rsidR="00C14EB2" w:rsidRPr="002371ED">
        <w:t xml:space="preserve">, 2006 Cal. </w:t>
      </w:r>
      <w:proofErr w:type="spellStart"/>
      <w:r w:rsidR="00C14EB2" w:rsidRPr="002371ED">
        <w:t>Wrk</w:t>
      </w:r>
      <w:proofErr w:type="spellEnd"/>
      <w:r w:rsidR="00C14EB2" w:rsidRPr="002371ED">
        <w:t xml:space="preserve">. Comp. P.D. LEXIS 41, </w:t>
      </w:r>
      <w:r w:rsidR="0061497C" w:rsidRPr="002371ED">
        <w:t>*4-5 (Cal. Workers’ Comp. App. Bd. September 14, 2006</w:t>
      </w:r>
      <w:r w:rsidR="00FB61A4" w:rsidRPr="002371ED">
        <w:t xml:space="preserve">, cited in </w:t>
      </w:r>
      <w:r w:rsidR="00FB61A4" w:rsidRPr="002371ED">
        <w:rPr>
          <w:i/>
          <w:iCs/>
        </w:rPr>
        <w:t>Salmon</w:t>
      </w:r>
      <w:r w:rsidR="00FB61A4" w:rsidRPr="002371ED">
        <w:t xml:space="preserve">, </w:t>
      </w:r>
      <w:r w:rsidR="00862C87" w:rsidRPr="002371ED">
        <w:rPr>
          <w:i/>
          <w:iCs/>
        </w:rPr>
        <w:t>supra</w:t>
      </w:r>
      <w:r w:rsidR="00862C87" w:rsidRPr="002371ED">
        <w:t xml:space="preserve">, </w:t>
      </w:r>
      <w:r w:rsidR="00FB61A4" w:rsidRPr="002371ED">
        <w:t xml:space="preserve">72 </w:t>
      </w:r>
      <w:proofErr w:type="spellStart"/>
      <w:proofErr w:type="gramStart"/>
      <w:r w:rsidR="00FB61A4" w:rsidRPr="002371ED">
        <w:t>Cal.Comp.Cases</w:t>
      </w:r>
      <w:proofErr w:type="spellEnd"/>
      <w:proofErr w:type="gramEnd"/>
      <w:r w:rsidR="00E64C3B" w:rsidRPr="002371ED">
        <w:t xml:space="preserve"> at p. 1043.)</w:t>
      </w:r>
      <w:r w:rsidR="007A1111" w:rsidRPr="002371ED">
        <w:t xml:space="preserve">  </w:t>
      </w:r>
      <w:r w:rsidR="007A1111" w:rsidRPr="002371ED">
        <w:rPr>
          <w:i/>
          <w:iCs/>
        </w:rPr>
        <w:t>Salmon</w:t>
      </w:r>
      <w:r w:rsidR="007A1111" w:rsidRPr="002371ED">
        <w:t xml:space="preserve"> </w:t>
      </w:r>
      <w:r w:rsidR="00966E03" w:rsidRPr="002371ED">
        <w:t xml:space="preserve">thus </w:t>
      </w:r>
      <w:r w:rsidR="007A1111" w:rsidRPr="002371ED">
        <w:t>reflects the parties’ stipulations, not the Board’s considered interpretation of the relevant statutes.</w:t>
      </w:r>
      <w:r w:rsidR="00CC65AD" w:rsidRPr="002371ED">
        <w:t xml:space="preserve">  </w:t>
      </w:r>
      <w:r w:rsidR="00966E03" w:rsidRPr="002371ED">
        <w:t>Accordingly, we</w:t>
      </w:r>
      <w:r w:rsidR="00F25188" w:rsidRPr="002371ED">
        <w:t xml:space="preserve"> do</w:t>
      </w:r>
      <w:r w:rsidR="00FC47EF" w:rsidRPr="002371ED">
        <w:t xml:space="preserve"> not view </w:t>
      </w:r>
      <w:r w:rsidR="00FC47EF" w:rsidRPr="002371ED">
        <w:rPr>
          <w:i/>
          <w:iCs/>
        </w:rPr>
        <w:t>Salmon</w:t>
      </w:r>
      <w:r w:rsidR="00FC47EF" w:rsidRPr="002371ED">
        <w:t xml:space="preserve"> as persuasive</w:t>
      </w:r>
      <w:r w:rsidR="007A1111" w:rsidRPr="002371ED">
        <w:t xml:space="preserve"> authority here</w:t>
      </w:r>
      <w:r w:rsidR="00D66048" w:rsidRPr="002371ED">
        <w:t>.</w:t>
      </w:r>
      <w:r>
        <w:rPr>
          <w:rStyle w:val="FootnoteReference"/>
          <w:sz w:val="26"/>
          <w:szCs w:val="26"/>
          <w:vertAlign w:val="superscript"/>
        </w:rPr>
        <w:footnoteReference w:id="8"/>
      </w:r>
    </w:p>
    <w:p w14:paraId="0D3831B3" w14:textId="74FE397F" w:rsidR="00616A3F" w:rsidRPr="002371ED" w:rsidRDefault="00482C0A" w:rsidP="009516E9">
      <w:pPr>
        <w:pStyle w:val="NoSpacing"/>
        <w:spacing w:line="600" w:lineRule="exact"/>
      </w:pPr>
      <w:r w:rsidRPr="002371ED">
        <w:lastRenderedPageBreak/>
        <w:t>A</w:t>
      </w:r>
      <w:r w:rsidR="00CC50B5" w:rsidRPr="002371ED">
        <w:t>ll these</w:t>
      </w:r>
      <w:r w:rsidR="00AF5B38" w:rsidRPr="002371ED">
        <w:t xml:space="preserve"> authorities </w:t>
      </w:r>
      <w:r w:rsidRPr="002371ED">
        <w:t xml:space="preserve">at most </w:t>
      </w:r>
      <w:r w:rsidR="00B7009C" w:rsidRPr="002371ED">
        <w:t xml:space="preserve">can be used to </w:t>
      </w:r>
      <w:r w:rsidRPr="002371ED">
        <w:t>indicate</w:t>
      </w:r>
      <w:r w:rsidR="00B7009C" w:rsidRPr="002371ED">
        <w:t xml:space="preserve"> </w:t>
      </w:r>
      <w:r w:rsidR="00AF5B38" w:rsidRPr="002371ED">
        <w:t xml:space="preserve">that because </w:t>
      </w:r>
      <w:r w:rsidR="00B7009C" w:rsidRPr="002371ED">
        <w:t xml:space="preserve">the Government Code defines </w:t>
      </w:r>
      <w:r w:rsidR="00AF5B38" w:rsidRPr="002371ED">
        <w:t>industrial disability</w:t>
      </w:r>
      <w:r w:rsidR="00B47AE6" w:rsidRPr="002371ED">
        <w:t xml:space="preserve"> leave</w:t>
      </w:r>
      <w:r w:rsidR="00AF5B38" w:rsidRPr="002371ED">
        <w:t xml:space="preserve"> as</w:t>
      </w:r>
      <w:r w:rsidR="00EB159E" w:rsidRPr="002371ED">
        <w:t xml:space="preserve"> temporary disability, </w:t>
      </w:r>
      <w:r w:rsidR="00D4310C" w:rsidRPr="002371ED">
        <w:t>temporary disability</w:t>
      </w:r>
      <w:r w:rsidR="00254D6D" w:rsidRPr="002371ED">
        <w:t xml:space="preserve"> (</w:t>
      </w:r>
      <w:r w:rsidR="00101110" w:rsidRPr="002371ED">
        <w:t>and therefore</w:t>
      </w:r>
      <w:r w:rsidR="00254D6D" w:rsidRPr="002371ED">
        <w:t xml:space="preserve"> compensation) must be expanded to include industrial disability leave.</w:t>
      </w:r>
      <w:r w:rsidR="006E5D75" w:rsidRPr="002371ED">
        <w:t xml:space="preserve">  </w:t>
      </w:r>
      <w:r w:rsidR="00A11D07" w:rsidRPr="002371ED">
        <w:t xml:space="preserve">Because </w:t>
      </w:r>
      <w:r w:rsidR="00E33551" w:rsidRPr="002371ED">
        <w:t>we do not believe that to be the case, we</w:t>
      </w:r>
      <w:r w:rsidR="00952257" w:rsidRPr="002371ED">
        <w:t xml:space="preserve"> </w:t>
      </w:r>
      <w:r w:rsidR="0014081B" w:rsidRPr="002371ED">
        <w:t>d</w:t>
      </w:r>
      <w:r w:rsidR="00847D56" w:rsidRPr="002371ED">
        <w:t xml:space="preserve">o not </w:t>
      </w:r>
      <w:r w:rsidR="00A54DDC">
        <w:t>follow those authorities</w:t>
      </w:r>
      <w:r w:rsidR="00864A6B" w:rsidRPr="002371ED">
        <w:t xml:space="preserve"> here.</w:t>
      </w:r>
    </w:p>
    <w:p w14:paraId="30837A7E" w14:textId="573B1AA9" w:rsidR="005A60E3" w:rsidRPr="002371ED" w:rsidRDefault="00482C0A" w:rsidP="009516E9">
      <w:pPr>
        <w:pStyle w:val="NoSpacing"/>
        <w:spacing w:line="600" w:lineRule="exact"/>
      </w:pPr>
      <w:r w:rsidRPr="002371ED">
        <w:t xml:space="preserve">Ayala’s other arguments </w:t>
      </w:r>
      <w:r w:rsidR="0077686F" w:rsidRPr="002371ED">
        <w:t xml:space="preserve">are </w:t>
      </w:r>
      <w:r w:rsidR="00334B29" w:rsidRPr="002371ED">
        <w:t xml:space="preserve">also </w:t>
      </w:r>
      <w:r w:rsidR="0077686F" w:rsidRPr="002371ED">
        <w:t>unavailing</w:t>
      </w:r>
      <w:r w:rsidR="002679B8" w:rsidRPr="002371ED">
        <w:t>.</w:t>
      </w:r>
      <w:r w:rsidR="0077686F" w:rsidRPr="002371ED">
        <w:t xml:space="preserve"> </w:t>
      </w:r>
      <w:r w:rsidR="00D0100F" w:rsidRPr="002371ED">
        <w:t xml:space="preserve"> </w:t>
      </w:r>
      <w:r w:rsidR="00144898" w:rsidRPr="002371ED">
        <w:t>Ayala</w:t>
      </w:r>
      <w:r w:rsidR="00BC4F03" w:rsidRPr="002371ED">
        <w:t xml:space="preserve"> contends that the base compensation </w:t>
      </w:r>
      <w:r w:rsidR="002A5FF7" w:rsidRPr="002371ED">
        <w:t>includes</w:t>
      </w:r>
      <w:r w:rsidR="00BC4F03" w:rsidRPr="002371ED">
        <w:t xml:space="preserve"> industrial disability leave because</w:t>
      </w:r>
      <w:r w:rsidR="00A4598B" w:rsidRPr="002371ED">
        <w:t xml:space="preserve"> the phrase “</w:t>
      </w:r>
      <w:r w:rsidR="00055DC1" w:rsidRPr="002371ED">
        <w:t xml:space="preserve">compensation </w:t>
      </w:r>
      <w:r w:rsidR="00A4598B" w:rsidRPr="002371ED">
        <w:t>otherwise recoverable” in section 4553 expands</w:t>
      </w:r>
      <w:r w:rsidR="0037057E" w:rsidRPr="002371ED">
        <w:t xml:space="preserve"> the definition of “compensation” in section 3207.</w:t>
      </w:r>
      <w:r w:rsidR="00A4598B" w:rsidRPr="002371ED">
        <w:t xml:space="preserve"> </w:t>
      </w:r>
      <w:r w:rsidR="000622A4" w:rsidRPr="002371ED">
        <w:t xml:space="preserve"> In Ayala’s view,</w:t>
      </w:r>
      <w:r w:rsidR="00F90482" w:rsidRPr="002371ED">
        <w:t xml:space="preserve"> had the Legislature truly meant to say that the</w:t>
      </w:r>
      <w:r w:rsidR="00E35547" w:rsidRPr="002371ED">
        <w:t xml:space="preserve"> 50</w:t>
      </w:r>
      <w:r w:rsidR="00BA515C" w:rsidRPr="002371ED">
        <w:t xml:space="preserve"> percent</w:t>
      </w:r>
      <w:r w:rsidR="00E35547" w:rsidRPr="002371ED">
        <w:t xml:space="preserve"> increase applied </w:t>
      </w:r>
      <w:r w:rsidR="007A1111" w:rsidRPr="002371ED">
        <w:t xml:space="preserve">only </w:t>
      </w:r>
      <w:r w:rsidR="00E35547" w:rsidRPr="002371ED">
        <w:t>to compensation, “there would be no need to include the phrase ‘otherwise recoverable.’</w:t>
      </w:r>
      <w:r w:rsidR="00862C87" w:rsidRPr="002371ED">
        <w:t>”</w:t>
      </w:r>
      <w:r w:rsidR="00C56D29" w:rsidRPr="002371ED">
        <w:t xml:space="preserve">  We disagree.</w:t>
      </w:r>
    </w:p>
    <w:p w14:paraId="73B757BB" w14:textId="0322C2C4" w:rsidR="00501EA3" w:rsidRPr="002371ED" w:rsidRDefault="00482C0A" w:rsidP="009516E9">
      <w:pPr>
        <w:pStyle w:val="NoSpacing"/>
        <w:spacing w:line="600" w:lineRule="exact"/>
      </w:pPr>
      <w:r w:rsidRPr="002371ED">
        <w:t>T</w:t>
      </w:r>
      <w:r w:rsidR="001951DC" w:rsidRPr="002371ED">
        <w:t>he phrase “</w:t>
      </w:r>
      <w:r w:rsidR="00D36A4A" w:rsidRPr="002371ED">
        <w:t xml:space="preserve">otherwise recoverable” </w:t>
      </w:r>
      <w:r w:rsidR="00962192" w:rsidRPr="002371ED">
        <w:t xml:space="preserve">in section 4553 </w:t>
      </w:r>
      <w:r w:rsidR="00D36A4A" w:rsidRPr="002371ED">
        <w:t>modifies the subject “compensation</w:t>
      </w:r>
      <w:r w:rsidR="00C333D7" w:rsidRPr="002371ED">
        <w:t xml:space="preserve">” and, like many modifiers, </w:t>
      </w:r>
      <w:r w:rsidR="007A3366" w:rsidRPr="002371ED">
        <w:t xml:space="preserve">limits </w:t>
      </w:r>
      <w:r w:rsidR="004323C0" w:rsidRPr="002371ED">
        <w:t>its subject’s scope</w:t>
      </w:r>
      <w:r w:rsidR="00785F69" w:rsidRPr="002371ED">
        <w:t xml:space="preserve">.  </w:t>
      </w:r>
      <w:r w:rsidR="00CD24EF" w:rsidRPr="002371ED">
        <w:t>Here</w:t>
      </w:r>
      <w:r w:rsidR="00785F69" w:rsidRPr="002371ED">
        <w:t xml:space="preserve">, </w:t>
      </w:r>
      <w:r w:rsidR="007E21BA" w:rsidRPr="002371ED">
        <w:t>rather than expanding</w:t>
      </w:r>
      <w:r w:rsidR="00307B31" w:rsidRPr="002371ED">
        <w:t xml:space="preserve"> the scope of “compensation,” the phrase “otherwise recoverable”</w:t>
      </w:r>
      <w:r w:rsidR="00F318BB" w:rsidRPr="002371ED">
        <w:t xml:space="preserve"> restricts </w:t>
      </w:r>
      <w:r w:rsidR="007A1111" w:rsidRPr="002371ED">
        <w:t>“compensation”</w:t>
      </w:r>
      <w:r w:rsidR="006A2D34" w:rsidRPr="002371ED">
        <w:t xml:space="preserve"> </w:t>
      </w:r>
      <w:r w:rsidR="007A1111" w:rsidRPr="002371ED">
        <w:t>by excluding</w:t>
      </w:r>
      <w:r w:rsidR="00555FFB" w:rsidRPr="002371ED">
        <w:t xml:space="preserve"> the 50</w:t>
      </w:r>
      <w:r w:rsidR="00BA515C" w:rsidRPr="002371ED">
        <w:t xml:space="preserve"> percent</w:t>
      </w:r>
      <w:r w:rsidR="00555FFB" w:rsidRPr="002371ED">
        <w:t xml:space="preserve"> increase</w:t>
      </w:r>
      <w:r w:rsidR="00A47A73" w:rsidRPr="002371ED">
        <w:t xml:space="preserve"> </w:t>
      </w:r>
      <w:r w:rsidR="0020259D" w:rsidRPr="002371ED">
        <w:t xml:space="preserve">provided by </w:t>
      </w:r>
      <w:r w:rsidR="003343F9" w:rsidRPr="002371ED">
        <w:t>section 4553</w:t>
      </w:r>
      <w:r w:rsidR="007A1111" w:rsidRPr="002371ED">
        <w:t xml:space="preserve"> itself, avoiding</w:t>
      </w:r>
      <w:r w:rsidR="00567759" w:rsidRPr="002371ED">
        <w:t xml:space="preserve"> a </w:t>
      </w:r>
      <w:r w:rsidR="00B656A1" w:rsidRPr="002371ED">
        <w:t xml:space="preserve">potential </w:t>
      </w:r>
      <w:r w:rsidR="00567759" w:rsidRPr="002371ED">
        <w:t>recursive loop</w:t>
      </w:r>
      <w:r w:rsidR="00B26358" w:rsidRPr="002371ED">
        <w:t>.</w:t>
      </w:r>
      <w:r w:rsidR="00ED0F57" w:rsidRPr="002371ED">
        <w:t xml:space="preserve">  </w:t>
      </w:r>
      <w:r w:rsidR="007A1111" w:rsidRPr="002371ED">
        <w:t>Generally</w:t>
      </w:r>
      <w:r w:rsidR="00741DBE" w:rsidRPr="002371ED">
        <w:t xml:space="preserve">, </w:t>
      </w:r>
      <w:r w:rsidR="000404A5" w:rsidRPr="002371ED">
        <w:t>“</w:t>
      </w:r>
      <w:r w:rsidR="00741DBE" w:rsidRPr="002371ED">
        <w:t>s</w:t>
      </w:r>
      <w:r w:rsidR="000404A5" w:rsidRPr="002371ED">
        <w:t xml:space="preserve">ection 3207’s definition is to be taken literally:  every payment conferred by division 4 is to be considered compensation.”  </w:t>
      </w:r>
      <w:r w:rsidR="00B26358" w:rsidRPr="002371ED">
        <w:t>(</w:t>
      </w:r>
      <w:r w:rsidR="00B26358" w:rsidRPr="002371ED">
        <w:rPr>
          <w:i/>
          <w:iCs/>
        </w:rPr>
        <w:t>State Compensation Ins. Fund v. Workers’ Comp. Appeals Bd.</w:t>
      </w:r>
      <w:r w:rsidR="00B26358" w:rsidRPr="002371ED">
        <w:t xml:space="preserve"> (1982) 130 Cal.App.3d 933, 941.)</w:t>
      </w:r>
      <w:r w:rsidR="00741DBE" w:rsidRPr="002371ED">
        <w:t xml:space="preserve">  </w:t>
      </w:r>
      <w:r w:rsidR="004D3ADD" w:rsidRPr="002371ED">
        <w:t xml:space="preserve">Without </w:t>
      </w:r>
      <w:r w:rsidR="006A0B8F" w:rsidRPr="002371ED">
        <w:t xml:space="preserve">a </w:t>
      </w:r>
      <w:r w:rsidR="007A1111" w:rsidRPr="002371ED">
        <w:t>limitation</w:t>
      </w:r>
      <w:r w:rsidR="006A0B8F" w:rsidRPr="002371ED">
        <w:t>, t</w:t>
      </w:r>
      <w:r w:rsidR="00831373" w:rsidRPr="002371ED">
        <w:t xml:space="preserve">his would </w:t>
      </w:r>
      <w:r w:rsidR="00334B29" w:rsidRPr="002371ED">
        <w:t xml:space="preserve">also </w:t>
      </w:r>
      <w:r w:rsidR="00831373" w:rsidRPr="002371ED">
        <w:t xml:space="preserve">include the </w:t>
      </w:r>
      <w:r w:rsidR="006B20C8" w:rsidRPr="002371ED">
        <w:t>one</w:t>
      </w:r>
      <w:r w:rsidR="003B27F5" w:rsidRPr="002371ED">
        <w:t>-</w:t>
      </w:r>
      <w:r w:rsidR="006B20C8" w:rsidRPr="002371ED">
        <w:t>half</w:t>
      </w:r>
      <w:r w:rsidR="00831373" w:rsidRPr="002371ED">
        <w:t xml:space="preserve"> increase provided by section 4553</w:t>
      </w:r>
      <w:r w:rsidR="004C59FD" w:rsidRPr="002371ED">
        <w:t xml:space="preserve">, because section 4553 falls within Division 4 of the Labor Code. </w:t>
      </w:r>
      <w:r w:rsidR="004A7ED9" w:rsidRPr="002371ED">
        <w:t xml:space="preserve"> </w:t>
      </w:r>
      <w:r w:rsidR="00741DBE" w:rsidRPr="002371ED">
        <w:t xml:space="preserve">Thus, to </w:t>
      </w:r>
      <w:r w:rsidR="001E4C93" w:rsidRPr="002371ED">
        <w:t xml:space="preserve">forestall </w:t>
      </w:r>
      <w:r w:rsidR="008122B2" w:rsidRPr="002371ED">
        <w:t>a</w:t>
      </w:r>
      <w:r w:rsidR="004A7ED9" w:rsidRPr="002371ED">
        <w:t>ny</w:t>
      </w:r>
      <w:r w:rsidR="008122B2" w:rsidRPr="002371ED">
        <w:t xml:space="preserve"> claim that </w:t>
      </w:r>
      <w:r w:rsidR="008B52E3" w:rsidRPr="002371ED">
        <w:t>the 50</w:t>
      </w:r>
      <w:r w:rsidR="00BA515C" w:rsidRPr="002371ED">
        <w:t xml:space="preserve"> percent</w:t>
      </w:r>
      <w:r w:rsidR="008B52E3" w:rsidRPr="002371ED">
        <w:t xml:space="preserve"> increase itself</w:t>
      </w:r>
      <w:r w:rsidR="00CE3A69" w:rsidRPr="002371ED">
        <w:t xml:space="preserve"> needs to be increased</w:t>
      </w:r>
      <w:r w:rsidR="006958C6" w:rsidRPr="002371ED">
        <w:t xml:space="preserve"> because it</w:t>
      </w:r>
      <w:r w:rsidR="00276DFD" w:rsidRPr="002371ED">
        <w:t xml:space="preserve"> is </w:t>
      </w:r>
      <w:r w:rsidR="00276DFD" w:rsidRPr="002371ED">
        <w:lastRenderedPageBreak/>
        <w:t>“compensation,” the Legislature</w:t>
      </w:r>
      <w:r w:rsidR="00A97625" w:rsidRPr="002371ED">
        <w:t xml:space="preserve"> specified that the 50</w:t>
      </w:r>
      <w:r w:rsidR="00BA515C" w:rsidRPr="002371ED">
        <w:t xml:space="preserve"> percent</w:t>
      </w:r>
      <w:r w:rsidR="00A97625" w:rsidRPr="002371ED">
        <w:t xml:space="preserve"> increase applie</w:t>
      </w:r>
      <w:r w:rsidR="00334B29" w:rsidRPr="002371ED">
        <w:t>s</w:t>
      </w:r>
      <w:r w:rsidR="006434A0" w:rsidRPr="002371ED">
        <w:t xml:space="preserve"> t</w:t>
      </w:r>
      <w:r w:rsidR="00772B35" w:rsidRPr="002371ED">
        <w:t xml:space="preserve">o items that constitute “compensation” </w:t>
      </w:r>
      <w:r w:rsidR="00BF678A" w:rsidRPr="002371ED">
        <w:rPr>
          <w:i/>
          <w:iCs/>
        </w:rPr>
        <w:t>except</w:t>
      </w:r>
      <w:r w:rsidR="00BF678A" w:rsidRPr="002371ED">
        <w:t xml:space="preserve"> </w:t>
      </w:r>
      <w:r w:rsidR="00BC4095" w:rsidRPr="002371ED">
        <w:t xml:space="preserve">those made so </w:t>
      </w:r>
      <w:r w:rsidR="003B27F5" w:rsidRPr="002371ED">
        <w:t>by section</w:t>
      </w:r>
      <w:r w:rsidR="00BF678A" w:rsidRPr="002371ED">
        <w:t xml:space="preserve"> 4553 itself.</w:t>
      </w:r>
    </w:p>
    <w:p w14:paraId="5141E438" w14:textId="3DD5242E" w:rsidR="00CE3B91" w:rsidRDefault="00482C0A" w:rsidP="009516E9">
      <w:pPr>
        <w:pStyle w:val="NoSpacing"/>
        <w:spacing w:line="600" w:lineRule="exact"/>
      </w:pPr>
      <w:r>
        <w:t xml:space="preserve">Ayala </w:t>
      </w:r>
      <w:r w:rsidR="00FA3233">
        <w:t>also argues that our</w:t>
      </w:r>
      <w:r w:rsidR="00194FEB">
        <w:t xml:space="preserve"> </w:t>
      </w:r>
      <w:r w:rsidR="00343C42">
        <w:t>holding</w:t>
      </w:r>
      <w:r w:rsidR="00FB663F">
        <w:t xml:space="preserve"> violates the mandate that</w:t>
      </w:r>
      <w:r w:rsidR="002554D6">
        <w:t xml:space="preserve"> workers’ compensation statutes </w:t>
      </w:r>
      <w:r w:rsidR="00B509D4">
        <w:t>are to be liberally construed to protect injured workers</w:t>
      </w:r>
      <w:r w:rsidR="006E41B1">
        <w:t xml:space="preserve">. </w:t>
      </w:r>
      <w:r w:rsidR="00B509D4">
        <w:t xml:space="preserve"> (</w:t>
      </w:r>
      <w:r w:rsidR="004D248F">
        <w:t>§ 3202</w:t>
      </w:r>
      <w:r w:rsidR="00FC6C71">
        <w:t xml:space="preserve">; see </w:t>
      </w:r>
      <w:r w:rsidR="00FC6C71">
        <w:rPr>
          <w:i/>
          <w:iCs/>
        </w:rPr>
        <w:t>Smith v. Workers’ Comp. Appeals Bd.</w:t>
      </w:r>
      <w:r w:rsidR="00FC6C71">
        <w:t xml:space="preserve"> (2009) 46 Cal.4th 272</w:t>
      </w:r>
      <w:r w:rsidR="003612A8">
        <w:t>, 277</w:t>
      </w:r>
      <w:r w:rsidR="00732347">
        <w:t>.</w:t>
      </w:r>
      <w:r w:rsidR="003612A8">
        <w:t>)</w:t>
      </w:r>
      <w:r w:rsidR="00732347">
        <w:t xml:space="preserve">  </w:t>
      </w:r>
      <w:r w:rsidR="008B38D9">
        <w:t>Certainly,</w:t>
      </w:r>
      <w:r w:rsidR="00732347">
        <w:t xml:space="preserve"> </w:t>
      </w:r>
      <w:r w:rsidR="000A28E3">
        <w:t>our holding</w:t>
      </w:r>
      <w:r w:rsidR="000A3FFD">
        <w:t xml:space="preserve"> </w:t>
      </w:r>
      <w:r w:rsidR="00772C8E">
        <w:t xml:space="preserve">applying the limitation in the statutory definition of “compensation” </w:t>
      </w:r>
      <w:r w:rsidR="000A3FFD">
        <w:t>does not</w:t>
      </w:r>
      <w:r w:rsidR="008E1ED2">
        <w:t xml:space="preserve"> benefit Ayala</w:t>
      </w:r>
      <w:r w:rsidR="008B38D9">
        <w:t xml:space="preserve">.  However, </w:t>
      </w:r>
      <w:r w:rsidR="00EC760A">
        <w:t>in other contexts,</w:t>
      </w:r>
      <w:r w:rsidR="000959C3">
        <w:t xml:space="preserve"> it would favor the injured worker.  For instance, </w:t>
      </w:r>
      <w:r w:rsidR="00D466D4">
        <w:t>had Ayala’s injuries</w:t>
      </w:r>
      <w:r w:rsidR="00A86331">
        <w:t xml:space="preserve"> been caused by his own serious and willful misconduct,</w:t>
      </w:r>
      <w:r w:rsidR="0083255A">
        <w:t xml:space="preserve"> his industrial disability leave</w:t>
      </w:r>
      <w:r w:rsidR="0097202A">
        <w:t xml:space="preserve"> would not have been </w:t>
      </w:r>
      <w:r w:rsidR="0097202A">
        <w:rPr>
          <w:i/>
          <w:iCs/>
        </w:rPr>
        <w:t>reduced</w:t>
      </w:r>
      <w:r w:rsidR="0097202A">
        <w:t xml:space="preserve"> by one half</w:t>
      </w:r>
      <w:r w:rsidR="005F259D">
        <w:t xml:space="preserve"> for the very same reason it does not increase by one half here</w:t>
      </w:r>
      <w:r w:rsidR="006D128C">
        <w:t>.  (</w:t>
      </w:r>
      <w:r w:rsidR="005F259D">
        <w:t xml:space="preserve">See </w:t>
      </w:r>
      <w:r w:rsidR="006D128C">
        <w:t>§ 4551</w:t>
      </w:r>
      <w:r w:rsidR="003439E3">
        <w:t xml:space="preserve"> [subject to certain exceptions, “[w]here the injury is caused by the serious and willful misconduct of the injured employee, the compensation otherwise recoverable therefor shall be reduced one-half”].)</w:t>
      </w:r>
      <w:r w:rsidR="007E5A1E">
        <w:t xml:space="preserve"> </w:t>
      </w:r>
      <w:r w:rsidR="009A7B69">
        <w:t xml:space="preserve"> </w:t>
      </w:r>
      <w:r w:rsidR="00AB519B">
        <w:t>And</w:t>
      </w:r>
      <w:r w:rsidR="009A7B69">
        <w:t xml:space="preserve"> </w:t>
      </w:r>
      <w:r w:rsidR="00F22864">
        <w:t>had</w:t>
      </w:r>
      <w:r w:rsidR="00E5236F">
        <w:t xml:space="preserve"> </w:t>
      </w:r>
      <w:r w:rsidR="00E5236F">
        <w:rPr>
          <w:i/>
          <w:iCs/>
        </w:rPr>
        <w:t>Brooks</w:t>
      </w:r>
      <w:r w:rsidR="00E5236F">
        <w:t xml:space="preserve"> taken </w:t>
      </w:r>
      <w:r w:rsidR="000E05C1">
        <w:t xml:space="preserve">a view of the </w:t>
      </w:r>
      <w:r w:rsidR="0007641D">
        <w:t>relevant statutes that was</w:t>
      </w:r>
      <w:r w:rsidR="0054600D">
        <w:t xml:space="preserve"> more consistent with our own, the employee there would have been more likely to prevail</w:t>
      </w:r>
      <w:r w:rsidR="00E940C3">
        <w:t xml:space="preserve"> and receive </w:t>
      </w:r>
      <w:r w:rsidR="00811A33">
        <w:t>an additional year of aggregate disability payments.</w:t>
      </w:r>
    </w:p>
    <w:p w14:paraId="2CD8E340" w14:textId="57F0AC67" w:rsidR="000F47B4" w:rsidRPr="00E5236F" w:rsidRDefault="00482C0A" w:rsidP="009516E9">
      <w:pPr>
        <w:pStyle w:val="NoSpacing"/>
        <w:spacing w:line="600" w:lineRule="exact"/>
      </w:pPr>
      <w:r>
        <w:t xml:space="preserve">Rather than </w:t>
      </w:r>
      <w:r w:rsidR="0096421E">
        <w:t>construe</w:t>
      </w:r>
      <w:r w:rsidR="0049040D">
        <w:t xml:space="preserve"> </w:t>
      </w:r>
      <w:r w:rsidR="00DD7C7F">
        <w:t xml:space="preserve">the workers’ compensation statutes so that it benefits this </w:t>
      </w:r>
      <w:proofErr w:type="gramStart"/>
      <w:r w:rsidR="00DD7C7F">
        <w:t xml:space="preserve">particular </w:t>
      </w:r>
      <w:r w:rsidR="00505A45">
        <w:t>injured</w:t>
      </w:r>
      <w:proofErr w:type="gramEnd"/>
      <w:r w:rsidR="00505A45">
        <w:t xml:space="preserve"> </w:t>
      </w:r>
      <w:r w:rsidR="00DD7C7F">
        <w:t xml:space="preserve">worker in this particular circumstance, we </w:t>
      </w:r>
      <w:r w:rsidR="00351497">
        <w:t xml:space="preserve">remind </w:t>
      </w:r>
      <w:r w:rsidR="00303F84">
        <w:t>ourselves that compensation</w:t>
      </w:r>
      <w:r w:rsidR="008529A3">
        <w:t xml:space="preserve"> under section 3207 is a “technical” term</w:t>
      </w:r>
      <w:r w:rsidR="00DD3673">
        <w:t xml:space="preserve"> that</w:t>
      </w:r>
      <w:r w:rsidR="00896A74">
        <w:t xml:space="preserve"> affects</w:t>
      </w:r>
      <w:r w:rsidR="003D1C0F">
        <w:t xml:space="preserve"> cases in</w:t>
      </w:r>
      <w:r w:rsidR="005B4C6F">
        <w:t xml:space="preserve"> various contexts</w:t>
      </w:r>
      <w:r w:rsidR="007D4483">
        <w:t>.  (</w:t>
      </w:r>
      <w:proofErr w:type="spellStart"/>
      <w:r w:rsidR="00574028" w:rsidRPr="00574028">
        <w:rPr>
          <w:rFonts w:eastAsia="Calibri" w:cs="Times New Roman"/>
          <w:i/>
          <w:iCs/>
        </w:rPr>
        <w:t>Burnelle</w:t>
      </w:r>
      <w:proofErr w:type="spellEnd"/>
      <w:r w:rsidR="00574028" w:rsidRPr="00574028">
        <w:rPr>
          <w:rFonts w:eastAsia="Calibri" w:cs="Times New Roman"/>
          <w:i/>
          <w:iCs/>
        </w:rPr>
        <w:t xml:space="preserve"> v. Continental Can Co</w:t>
      </w:r>
      <w:r w:rsidR="00574028" w:rsidRPr="00574028">
        <w:rPr>
          <w:rFonts w:eastAsia="Calibri" w:cs="Times New Roman"/>
        </w:rPr>
        <w:t>. (1987) 193 Cal.App.3d 315, 320</w:t>
      </w:r>
      <w:r w:rsidR="005B4C6F">
        <w:rPr>
          <w:rFonts w:eastAsia="Calibri" w:cs="Times New Roman"/>
        </w:rPr>
        <w:t xml:space="preserve">; see, e.g., </w:t>
      </w:r>
      <w:r w:rsidR="005B4C6F" w:rsidRPr="00574028">
        <w:rPr>
          <w:rFonts w:eastAsia="Calibri" w:cs="Times New Roman"/>
          <w:i/>
          <w:iCs/>
        </w:rPr>
        <w:t>People v. Hamilton</w:t>
      </w:r>
      <w:r w:rsidR="005B4C6F" w:rsidRPr="00574028">
        <w:rPr>
          <w:rFonts w:eastAsia="Calibri" w:cs="Times New Roman"/>
        </w:rPr>
        <w:t xml:space="preserve"> (2018) 30 Cal.App.5th 673, 683-684 [insufficient evidence supported conviction for false statements for the purpose of obtaining compensation, because the </w:t>
      </w:r>
      <w:r w:rsidR="005B4C6F" w:rsidRPr="00574028">
        <w:rPr>
          <w:rFonts w:eastAsia="Calibri" w:cs="Times New Roman"/>
        </w:rPr>
        <w:lastRenderedPageBreak/>
        <w:t xml:space="preserve">statements were directed at benefits that did not fall within Division 4 of the Labor Code]; </w:t>
      </w:r>
      <w:r w:rsidR="005B4C6F" w:rsidRPr="00574028">
        <w:rPr>
          <w:rFonts w:eastAsia="Calibri" w:cs="Times New Roman"/>
          <w:i/>
          <w:iCs/>
        </w:rPr>
        <w:t>Duncan v. Wal-Mart Stores, Inc</w:t>
      </w:r>
      <w:r w:rsidR="005B4C6F" w:rsidRPr="00574028">
        <w:rPr>
          <w:rFonts w:eastAsia="Calibri" w:cs="Times New Roman"/>
        </w:rPr>
        <w:t>. (2017) 18 Cal.App.5th 460, 470 [indicating that employer’s lien on worker’s recovery against tortfeasor is limited to amounts defined as compensation under section 3207]</w:t>
      </w:r>
      <w:r w:rsidR="00574028" w:rsidRPr="00574028">
        <w:rPr>
          <w:rFonts w:eastAsia="Calibri" w:cs="Times New Roman"/>
        </w:rPr>
        <w:t xml:space="preserve">.)  </w:t>
      </w:r>
      <w:r w:rsidR="006130B3">
        <w:rPr>
          <w:rFonts w:eastAsia="Calibri" w:cs="Times New Roman"/>
        </w:rPr>
        <w:t>I</w:t>
      </w:r>
      <w:r w:rsidR="00574028" w:rsidRPr="00574028">
        <w:rPr>
          <w:rFonts w:eastAsia="Calibri" w:cs="Times New Roman"/>
        </w:rPr>
        <w:t>t is</w:t>
      </w:r>
      <w:r w:rsidR="006130B3">
        <w:rPr>
          <w:rFonts w:eastAsia="Calibri" w:cs="Times New Roman"/>
        </w:rPr>
        <w:t xml:space="preserve"> therefore</w:t>
      </w:r>
      <w:r w:rsidR="00574028" w:rsidRPr="00574028">
        <w:rPr>
          <w:rFonts w:eastAsia="Calibri" w:cs="Times New Roman"/>
        </w:rPr>
        <w:t xml:space="preserve"> important that we apply the term in the technical way that the </w:t>
      </w:r>
      <w:r w:rsidR="00FF23F6">
        <w:rPr>
          <w:rFonts w:eastAsia="Calibri" w:cs="Times New Roman"/>
        </w:rPr>
        <w:t>L</w:t>
      </w:r>
      <w:r w:rsidR="00574028" w:rsidRPr="00574028">
        <w:rPr>
          <w:rFonts w:eastAsia="Calibri" w:cs="Times New Roman"/>
        </w:rPr>
        <w:t>egislature defined it</w:t>
      </w:r>
      <w:r w:rsidR="007C060D">
        <w:rPr>
          <w:rFonts w:eastAsia="Calibri" w:cs="Times New Roman"/>
        </w:rPr>
        <w:t>.</w:t>
      </w:r>
      <w:r w:rsidR="00574028" w:rsidRPr="00574028">
        <w:rPr>
          <w:rFonts w:eastAsia="Calibri" w:cs="Times New Roman"/>
        </w:rPr>
        <w:t> </w:t>
      </w:r>
      <w:r w:rsidR="00FF23F6">
        <w:rPr>
          <w:rFonts w:eastAsia="Calibri" w:cs="Times New Roman"/>
        </w:rPr>
        <w:t xml:space="preserve"> </w:t>
      </w:r>
      <w:r w:rsidR="00C74141">
        <w:rPr>
          <w:rFonts w:eastAsia="Calibri" w:cs="Times New Roman"/>
        </w:rPr>
        <w:t>(</w:t>
      </w:r>
      <w:r w:rsidR="006010EE">
        <w:rPr>
          <w:rFonts w:eastAsia="Calibri" w:cs="Times New Roman"/>
        </w:rPr>
        <w:t xml:space="preserve">See </w:t>
      </w:r>
      <w:r w:rsidR="006010EE">
        <w:rPr>
          <w:rFonts w:eastAsia="Calibri" w:cs="Times New Roman"/>
          <w:i/>
          <w:iCs/>
        </w:rPr>
        <w:t xml:space="preserve">Ruiz v. </w:t>
      </w:r>
      <w:proofErr w:type="spellStart"/>
      <w:r w:rsidR="006010EE">
        <w:rPr>
          <w:rFonts w:eastAsia="Calibri" w:cs="Times New Roman"/>
          <w:i/>
          <w:iCs/>
        </w:rPr>
        <w:t>Podolsky</w:t>
      </w:r>
      <w:proofErr w:type="spellEnd"/>
      <w:r w:rsidR="006010EE">
        <w:rPr>
          <w:rFonts w:eastAsia="Calibri" w:cs="Times New Roman"/>
        </w:rPr>
        <w:t xml:space="preserve"> (2010) 50 Cal.4th 838, 850, fn. 3 [</w:t>
      </w:r>
      <w:r w:rsidR="009813CA">
        <w:rPr>
          <w:rFonts w:eastAsia="Calibri" w:cs="Times New Roman"/>
        </w:rPr>
        <w:t>“‘[W]hen the Legislature uses a term of art, a court construing that use must assume that the Legislature was aware of the ramifications of its choice of language’”].)</w:t>
      </w:r>
      <w:r w:rsidR="00C74141">
        <w:rPr>
          <w:rFonts w:eastAsia="Calibri" w:cs="Times New Roman"/>
        </w:rPr>
        <w:t xml:space="preserve">  </w:t>
      </w:r>
      <w:r w:rsidR="00505A45">
        <w:rPr>
          <w:rFonts w:eastAsia="Calibri" w:cs="Times New Roman"/>
        </w:rPr>
        <w:t>Of course, i</w:t>
      </w:r>
      <w:r w:rsidR="00FF23F6">
        <w:rPr>
          <w:rFonts w:eastAsia="Calibri" w:cs="Times New Roman"/>
        </w:rPr>
        <w:t xml:space="preserve">f the Legislature </w:t>
      </w:r>
      <w:r w:rsidR="00505A45">
        <w:rPr>
          <w:rFonts w:eastAsia="Calibri" w:cs="Times New Roman"/>
        </w:rPr>
        <w:t>wants compensation to include industrial disability leave</w:t>
      </w:r>
      <w:r w:rsidR="00180797">
        <w:rPr>
          <w:rFonts w:eastAsia="Calibri" w:cs="Times New Roman"/>
        </w:rPr>
        <w:t xml:space="preserve">, </w:t>
      </w:r>
      <w:r w:rsidR="00033FE8">
        <w:rPr>
          <w:rFonts w:eastAsia="Calibri" w:cs="Times New Roman"/>
        </w:rPr>
        <w:t>or otherwise</w:t>
      </w:r>
      <w:r w:rsidR="001160AD">
        <w:rPr>
          <w:rFonts w:eastAsia="Calibri" w:cs="Times New Roman"/>
        </w:rPr>
        <w:t xml:space="preserve"> allow workers in Ayala’s position to receive additional </w:t>
      </w:r>
      <w:r w:rsidR="004B30C1">
        <w:rPr>
          <w:rFonts w:eastAsia="Calibri" w:cs="Times New Roman"/>
        </w:rPr>
        <w:t>payments</w:t>
      </w:r>
      <w:r w:rsidR="00505A45">
        <w:rPr>
          <w:rFonts w:eastAsia="Calibri" w:cs="Times New Roman"/>
        </w:rPr>
        <w:t>, it can say so.</w:t>
      </w:r>
    </w:p>
    <w:p w14:paraId="4796CB27" w14:textId="0A7BF895" w:rsidR="00203BC8" w:rsidRPr="002371ED" w:rsidRDefault="00482C0A" w:rsidP="009516E9">
      <w:pPr>
        <w:pStyle w:val="NoSpacing"/>
        <w:spacing w:line="600" w:lineRule="exact"/>
      </w:pPr>
      <w:r>
        <w:t xml:space="preserve">Lastly, </w:t>
      </w:r>
      <w:r w:rsidR="00C04C3F" w:rsidRPr="002371ED">
        <w:t xml:space="preserve">Ayala </w:t>
      </w:r>
      <w:r w:rsidR="005E79F9" w:rsidRPr="002371ED">
        <w:t>contends that because</w:t>
      </w:r>
      <w:r w:rsidR="00C04C3F" w:rsidRPr="002371ED">
        <w:t xml:space="preserve"> the Board found that </w:t>
      </w:r>
      <w:proofErr w:type="spellStart"/>
      <w:r w:rsidR="00C04C3F" w:rsidRPr="002371ED">
        <w:t>CDCR</w:t>
      </w:r>
      <w:proofErr w:type="spellEnd"/>
      <w:r w:rsidR="00C04C3F" w:rsidRPr="002371ED">
        <w:t xml:space="preserve"> engaged in serious and willful misconduct</w:t>
      </w:r>
      <w:r w:rsidR="00382689" w:rsidRPr="002371ED">
        <w:t xml:space="preserve"> (</w:t>
      </w:r>
      <w:r w:rsidR="004B1A3B" w:rsidRPr="002371ED">
        <w:t xml:space="preserve">so </w:t>
      </w:r>
      <w:r w:rsidR="00382689" w:rsidRPr="002371ED">
        <w:t>was not merely negligent)</w:t>
      </w:r>
      <w:r w:rsidR="00C04C3F" w:rsidRPr="002371ED">
        <w:t>,</w:t>
      </w:r>
      <w:r w:rsidR="0031445B" w:rsidRPr="002371ED">
        <w:t xml:space="preserve"> </w:t>
      </w:r>
      <w:r w:rsidR="008319F2" w:rsidRPr="002371ED">
        <w:t xml:space="preserve">the </w:t>
      </w:r>
      <w:r w:rsidRPr="002371ED">
        <w:t>“standard” rules no longer apply</w:t>
      </w:r>
      <w:r w:rsidR="0031445B" w:rsidRPr="002371ED">
        <w:t>.</w:t>
      </w:r>
      <w:r w:rsidR="00F748AA" w:rsidRPr="002371ED">
        <w:t xml:space="preserve">  He states, for example, that “when an employer has acted in violation of section 4553, the case is no longer within the standard realm where compensation is considered ‘without regard to negligence.’”  </w:t>
      </w:r>
      <w:r w:rsidR="00451C23" w:rsidRPr="002371ED">
        <w:t>(See §</w:t>
      </w:r>
      <w:r w:rsidR="00A55E80" w:rsidRPr="002371ED">
        <w:t>§</w:t>
      </w:r>
      <w:r w:rsidR="00451C23" w:rsidRPr="002371ED">
        <w:t> 3207</w:t>
      </w:r>
      <w:r w:rsidR="002353E8" w:rsidRPr="002371ED">
        <w:t xml:space="preserve"> [</w:t>
      </w:r>
      <w:r w:rsidR="008B417C" w:rsidRPr="002371ED">
        <w:t xml:space="preserve">compensation </w:t>
      </w:r>
      <w:r w:rsidR="00227788" w:rsidRPr="002371ED">
        <w:t>defined as benefits and payments paid “without regard to negligence”</w:t>
      </w:r>
      <w:r w:rsidR="00A55E80" w:rsidRPr="002371ED">
        <w:t>], 3600</w:t>
      </w:r>
      <w:r w:rsidR="00F41CFB" w:rsidRPr="002371ED">
        <w:t>, subd. (a)</w:t>
      </w:r>
      <w:r w:rsidR="00A55E80" w:rsidRPr="002371ED">
        <w:t xml:space="preserve"> [</w:t>
      </w:r>
      <w:r w:rsidR="00831C91" w:rsidRPr="002371ED">
        <w:t>employer is liable for workers’ compensation benefits “without regard to negligence”].</w:t>
      </w:r>
      <w:r w:rsidR="00451C23" w:rsidRPr="002371ED">
        <w:t xml:space="preserve">)  </w:t>
      </w:r>
      <w:r w:rsidR="00887A3E" w:rsidRPr="002371ED">
        <w:t>In a similar vein, he contends that “an award of increased benefits pursuant to [section</w:t>
      </w:r>
      <w:r w:rsidR="000B728B" w:rsidRPr="002371ED">
        <w:t>]</w:t>
      </w:r>
      <w:r w:rsidR="00887A3E" w:rsidRPr="002371ED">
        <w:t xml:space="preserve"> 4553 is tantamount to an award of benefits above the standard ‘grand bargain’ wherein injuries are contemplated without regard to negligence.”</w:t>
      </w:r>
      <w:r w:rsidR="00C56D29" w:rsidRPr="002371ED">
        <w:t xml:space="preserve">  </w:t>
      </w:r>
      <w:r w:rsidR="002C3015" w:rsidRPr="002371ED">
        <w:t>Again, we disagree</w:t>
      </w:r>
      <w:r w:rsidR="004A23B0" w:rsidRPr="002371ED">
        <w:t>.</w:t>
      </w:r>
    </w:p>
    <w:p w14:paraId="025B8096" w14:textId="1B237092" w:rsidR="00FC4D65" w:rsidRPr="002371ED" w:rsidRDefault="00482C0A" w:rsidP="009516E9">
      <w:pPr>
        <w:pStyle w:val="NoSpacing"/>
        <w:spacing w:line="600" w:lineRule="exact"/>
      </w:pPr>
      <w:r w:rsidRPr="002371ED">
        <w:lastRenderedPageBreak/>
        <w:t>It is true that</w:t>
      </w:r>
      <w:r w:rsidR="00E03645" w:rsidRPr="002371ED">
        <w:t xml:space="preserve"> section 4553 will not apply in </w:t>
      </w:r>
      <w:r w:rsidR="00C815D5" w:rsidRPr="002371ED">
        <w:t>“standard”</w:t>
      </w:r>
      <w:r w:rsidR="00B3250C" w:rsidRPr="002371ED">
        <w:t xml:space="preserve"> or everyday cases.</w:t>
      </w:r>
      <w:r w:rsidR="00E25822" w:rsidRPr="002371ED">
        <w:t xml:space="preserve">  (See </w:t>
      </w:r>
      <w:r w:rsidR="00E25822" w:rsidRPr="002371ED">
        <w:rPr>
          <w:i/>
          <w:iCs/>
        </w:rPr>
        <w:t>Ferguson v. Workers’ Comp. Appeals Bd.</w:t>
      </w:r>
      <w:r w:rsidR="00142149" w:rsidRPr="002371ED">
        <w:t xml:space="preserve"> (1995)</w:t>
      </w:r>
      <w:r w:rsidR="00E91030" w:rsidRPr="002371ED">
        <w:t xml:space="preserve"> </w:t>
      </w:r>
      <w:r w:rsidR="00E25822" w:rsidRPr="002371ED">
        <w:t xml:space="preserve">33 Cal.App.4th </w:t>
      </w:r>
      <w:r w:rsidR="00142149" w:rsidRPr="002371ED">
        <w:t>1613,</w:t>
      </w:r>
      <w:r w:rsidR="00E25822" w:rsidRPr="002371ED">
        <w:t xml:space="preserve"> 162</w:t>
      </w:r>
      <w:r w:rsidR="00073AB8" w:rsidRPr="002371ED">
        <w:t>2</w:t>
      </w:r>
      <w:r w:rsidR="00E25822" w:rsidRPr="002371ED">
        <w:t xml:space="preserve"> [</w:t>
      </w:r>
      <w:r w:rsidR="00F65C32" w:rsidRPr="002371ED">
        <w:t xml:space="preserve">section 4553 </w:t>
      </w:r>
      <w:r w:rsidR="00073AB8" w:rsidRPr="002371ED">
        <w:t>requires</w:t>
      </w:r>
      <w:r w:rsidR="00CB4FB6" w:rsidRPr="002371ED">
        <w:t xml:space="preserve"> “an exceptionally high degree of employer fault”</w:t>
      </w:r>
      <w:r w:rsidR="00F65C32" w:rsidRPr="002371ED">
        <w:t>].)</w:t>
      </w:r>
      <w:r w:rsidR="00B3250C" w:rsidRPr="002371ED">
        <w:t xml:space="preserve">  But it does not follow</w:t>
      </w:r>
      <w:r w:rsidR="009C68C5" w:rsidRPr="002371ED">
        <w:t xml:space="preserve"> that when section 4553 appl</w:t>
      </w:r>
      <w:r w:rsidR="00A91B0F" w:rsidRPr="002371ED">
        <w:t>ies</w:t>
      </w:r>
      <w:r w:rsidR="009C68C5" w:rsidRPr="002371ED">
        <w:t xml:space="preserve">, </w:t>
      </w:r>
      <w:r w:rsidR="00A055A4" w:rsidRPr="002371ED">
        <w:t xml:space="preserve">the definition of “compensation” </w:t>
      </w:r>
      <w:r w:rsidR="00774E45" w:rsidRPr="002371ED">
        <w:t>change</w:t>
      </w:r>
      <w:r w:rsidR="00A91B0F" w:rsidRPr="002371ED">
        <w:t>s</w:t>
      </w:r>
      <w:r w:rsidR="00A055A4" w:rsidRPr="002371ED">
        <w:t xml:space="preserve">. </w:t>
      </w:r>
      <w:r w:rsidR="008441DC" w:rsidRPr="002371ED">
        <w:t xml:space="preserve"> </w:t>
      </w:r>
      <w:r w:rsidR="00B31C10" w:rsidRPr="002371ED">
        <w:t>The</w:t>
      </w:r>
      <w:r w:rsidR="008D2B73" w:rsidRPr="002371ED">
        <w:t xml:space="preserve"> statute</w:t>
      </w:r>
      <w:r w:rsidR="00A91B0F" w:rsidRPr="002371ED">
        <w:t xml:space="preserve">s </w:t>
      </w:r>
      <w:r w:rsidR="008D2B73" w:rsidRPr="002371ED">
        <w:t xml:space="preserve">provide </w:t>
      </w:r>
      <w:r w:rsidR="00A91B0F" w:rsidRPr="002371ED">
        <w:t>no</w:t>
      </w:r>
      <w:r w:rsidR="008D2B73" w:rsidRPr="002371ED">
        <w:t xml:space="preserve"> different definition of “compensation” in cases </w:t>
      </w:r>
      <w:r w:rsidR="00C815D5" w:rsidRPr="002371ED">
        <w:t>involving</w:t>
      </w:r>
      <w:r w:rsidR="006125BD" w:rsidRPr="002371ED">
        <w:t xml:space="preserve"> serious and willful employer misconduct</w:t>
      </w:r>
      <w:r w:rsidR="008D2B73" w:rsidRPr="002371ED">
        <w:t xml:space="preserve">.  </w:t>
      </w:r>
      <w:r w:rsidR="00952A6C" w:rsidRPr="002371ED">
        <w:t>Instead,</w:t>
      </w:r>
      <w:r w:rsidR="009D2FDF" w:rsidRPr="002371ED">
        <w:t xml:space="preserve"> where</w:t>
      </w:r>
      <w:r w:rsidR="00952A6C" w:rsidRPr="002371ED">
        <w:t xml:space="preserve"> </w:t>
      </w:r>
      <w:r w:rsidR="007D2AA3" w:rsidRPr="002371ED">
        <w:t xml:space="preserve">section 4553 </w:t>
      </w:r>
      <w:r w:rsidR="009D2FDF" w:rsidRPr="002371ED">
        <w:t>applies</w:t>
      </w:r>
      <w:r w:rsidR="007D2AA3" w:rsidRPr="002371ED">
        <w:t xml:space="preserve">, </w:t>
      </w:r>
      <w:r w:rsidR="009D2FDF" w:rsidRPr="002371ED">
        <w:t>a</w:t>
      </w:r>
      <w:r w:rsidR="00E05141" w:rsidRPr="002371ED">
        <w:t xml:space="preserve"> worker is entitled to</w:t>
      </w:r>
      <w:r w:rsidR="00F96544" w:rsidRPr="002371ED">
        <w:t xml:space="preserve"> “compensation”</w:t>
      </w:r>
      <w:r w:rsidR="00C24AB0" w:rsidRPr="002371ED">
        <w:t xml:space="preserve"> as otherwise, but</w:t>
      </w:r>
      <w:r w:rsidR="00F96544" w:rsidRPr="002371ED">
        <w:t xml:space="preserve"> just more of it.</w:t>
      </w:r>
      <w:r w:rsidR="00304761" w:rsidRPr="002371ED">
        <w:t xml:space="preserve">  </w:t>
      </w:r>
      <w:r w:rsidR="00B93548" w:rsidRPr="002371ED">
        <w:t xml:space="preserve">Moreover, if </w:t>
      </w:r>
      <w:r w:rsidR="009D0E56" w:rsidRPr="002371ED">
        <w:t xml:space="preserve">this were </w:t>
      </w:r>
      <w:r w:rsidR="007A6C02" w:rsidRPr="002371ED">
        <w:t>a case in which</w:t>
      </w:r>
      <w:r w:rsidR="009D0E56" w:rsidRPr="002371ED">
        <w:t xml:space="preserve"> the</w:t>
      </w:r>
      <w:r w:rsidR="0072418C" w:rsidRPr="002371ED">
        <w:t xml:space="preserve"> “bargain” between worker and employer has been broken, then Ayala’s recourse would not lie with</w:t>
      </w:r>
      <w:r w:rsidR="008213E9" w:rsidRPr="002371ED">
        <w:t xml:space="preserve"> extra compensation under section 4553, but</w:t>
      </w:r>
      <w:r w:rsidR="00501AA4" w:rsidRPr="002371ED">
        <w:t xml:space="preserve"> with</w:t>
      </w:r>
      <w:r w:rsidR="008213E9" w:rsidRPr="002371ED">
        <w:t xml:space="preserve"> a civil suit for damages.  (See </w:t>
      </w:r>
      <w:proofErr w:type="spellStart"/>
      <w:r w:rsidR="008213E9" w:rsidRPr="002371ED">
        <w:rPr>
          <w:i/>
          <w:iCs/>
        </w:rPr>
        <w:t>Fermino</w:t>
      </w:r>
      <w:proofErr w:type="spellEnd"/>
      <w:r w:rsidR="008213E9" w:rsidRPr="002371ED">
        <w:rPr>
          <w:i/>
          <w:iCs/>
        </w:rPr>
        <w:t xml:space="preserve"> v. </w:t>
      </w:r>
      <w:proofErr w:type="spellStart"/>
      <w:r w:rsidR="008213E9" w:rsidRPr="002371ED">
        <w:rPr>
          <w:i/>
          <w:iCs/>
        </w:rPr>
        <w:t>Fedco</w:t>
      </w:r>
      <w:proofErr w:type="spellEnd"/>
      <w:r w:rsidR="008213E9" w:rsidRPr="002371ED">
        <w:rPr>
          <w:i/>
          <w:iCs/>
        </w:rPr>
        <w:t>, Inc.</w:t>
      </w:r>
      <w:r w:rsidR="008213E9" w:rsidRPr="002371ED">
        <w:t xml:space="preserve"> (1994) 7 Cal.4th 701, 714 [“there are certain types of intentional employer conduct which bring the employer beyond the boundaries of the compensation bargain, for which a civil action may be brought”]</w:t>
      </w:r>
      <w:r w:rsidR="00D914EC" w:rsidRPr="002371ED">
        <w:t xml:space="preserve">; </w:t>
      </w:r>
      <w:r w:rsidR="00D914EC" w:rsidRPr="002371ED">
        <w:rPr>
          <w:i/>
          <w:iCs/>
        </w:rPr>
        <w:t>id.</w:t>
      </w:r>
      <w:r w:rsidR="00D914EC" w:rsidRPr="002371ED">
        <w:t xml:space="preserve"> at pp. 713-714 [</w:t>
      </w:r>
      <w:r w:rsidR="00C53E4E" w:rsidRPr="002371ED">
        <w:t>section</w:t>
      </w:r>
      <w:r w:rsidR="00C457BD" w:rsidRPr="002371ED">
        <w:t xml:space="preserve"> 4553 fall</w:t>
      </w:r>
      <w:r w:rsidR="00C53E4E" w:rsidRPr="002371ED">
        <w:t>s</w:t>
      </w:r>
      <w:r w:rsidR="00C457BD" w:rsidRPr="002371ED">
        <w:t xml:space="preserve"> between “</w:t>
      </w:r>
      <w:proofErr w:type="spellStart"/>
      <w:r w:rsidR="00C457BD" w:rsidRPr="002371ED">
        <w:t>compensat</w:t>
      </w:r>
      <w:proofErr w:type="spellEnd"/>
      <w:r w:rsidR="00C457BD" w:rsidRPr="002371ED">
        <w:t>[ion] at the normal rate”</w:t>
      </w:r>
      <w:r w:rsidR="00C53E4E" w:rsidRPr="002371ED">
        <w:t xml:space="preserve"> and</w:t>
      </w:r>
      <w:r w:rsidR="0054078A" w:rsidRPr="002371ED">
        <w:t xml:space="preserve"> a civil action]</w:t>
      </w:r>
      <w:r w:rsidR="008213E9" w:rsidRPr="002371ED">
        <w:t>.)</w:t>
      </w:r>
      <w:r w:rsidR="00334B29" w:rsidRPr="002371ED">
        <w:t xml:space="preserve">  </w:t>
      </w:r>
      <w:r w:rsidR="00BB1A86" w:rsidRPr="002371ED">
        <w:t>In sum,</w:t>
      </w:r>
      <w:r w:rsidR="008E3794" w:rsidRPr="002371ED">
        <w:t xml:space="preserve"> even though</w:t>
      </w:r>
      <w:r w:rsidR="0002567B" w:rsidRPr="002371ED">
        <w:t xml:space="preserve"> </w:t>
      </w:r>
      <w:r w:rsidR="001F3F86" w:rsidRPr="002371ED">
        <w:t xml:space="preserve">section 4553 will </w:t>
      </w:r>
      <w:r w:rsidR="00621BD2" w:rsidRPr="002371ED">
        <w:t xml:space="preserve">apply </w:t>
      </w:r>
      <w:r w:rsidR="00B64B1C" w:rsidRPr="002371ED">
        <w:t xml:space="preserve">only </w:t>
      </w:r>
      <w:r w:rsidR="000114D1" w:rsidRPr="002371ED">
        <w:t>in unusual cases</w:t>
      </w:r>
      <w:r w:rsidR="00B714ED" w:rsidRPr="002371ED">
        <w:t xml:space="preserve">, </w:t>
      </w:r>
      <w:r w:rsidR="00556DCD" w:rsidRPr="002371ED">
        <w:t xml:space="preserve">figuring out the </w:t>
      </w:r>
      <w:r w:rsidR="001C3E80" w:rsidRPr="002371ED">
        <w:t>additional compensation</w:t>
      </w:r>
      <w:r w:rsidR="00556DCD" w:rsidRPr="002371ED">
        <w:t xml:space="preserve"> in </w:t>
      </w:r>
      <w:r w:rsidR="001F3F86" w:rsidRPr="002371ED">
        <w:t>those cases</w:t>
      </w:r>
      <w:r w:rsidR="00D43535" w:rsidRPr="002371ED">
        <w:t xml:space="preserve"> </w:t>
      </w:r>
      <w:r w:rsidR="000114D1" w:rsidRPr="002371ED">
        <w:t xml:space="preserve">calls for </w:t>
      </w:r>
      <w:r w:rsidR="00F13C8B" w:rsidRPr="002371ED">
        <w:t>simply</w:t>
      </w:r>
      <w:r w:rsidR="00D43535" w:rsidRPr="002371ED">
        <w:t xml:space="preserve"> a</w:t>
      </w:r>
      <w:r w:rsidR="00EE27EA" w:rsidRPr="002371ED">
        <w:t xml:space="preserve"> straightforward application of the statute’s </w:t>
      </w:r>
      <w:r w:rsidR="0054078A" w:rsidRPr="002371ED">
        <w:t>terms</w:t>
      </w:r>
      <w:r w:rsidR="00004945" w:rsidRPr="002371ED">
        <w:t>.</w:t>
      </w:r>
    </w:p>
    <w:p w14:paraId="5FE7606E" w14:textId="75D20267" w:rsidR="00916B56" w:rsidRPr="002371ED" w:rsidRDefault="00482C0A" w:rsidP="00F22001">
      <w:pPr>
        <w:pStyle w:val="NoSpacing"/>
        <w:keepNext/>
        <w:keepLines/>
        <w:spacing w:line="600" w:lineRule="exact"/>
        <w:ind w:firstLine="0"/>
        <w:jc w:val="center"/>
      </w:pPr>
      <w:r w:rsidRPr="002371ED">
        <w:lastRenderedPageBreak/>
        <w:t>DISPOSITION</w:t>
      </w:r>
    </w:p>
    <w:p w14:paraId="121D110B" w14:textId="6FBB1288" w:rsidR="000C6DE0" w:rsidRPr="002371ED" w:rsidRDefault="00482C0A" w:rsidP="00F22001">
      <w:pPr>
        <w:pStyle w:val="NoSpacing"/>
        <w:keepNext/>
        <w:keepLines/>
        <w:spacing w:line="600" w:lineRule="exact"/>
      </w:pPr>
      <w:r w:rsidRPr="002371ED">
        <w:t xml:space="preserve">The </w:t>
      </w:r>
      <w:r w:rsidR="00037B9D" w:rsidRPr="002371ED">
        <w:t>decision of the Board</w:t>
      </w:r>
      <w:r w:rsidRPr="002371ED">
        <w:t xml:space="preserve"> is </w:t>
      </w:r>
      <w:r w:rsidR="00625890" w:rsidRPr="002371ED">
        <w:t>annulled</w:t>
      </w:r>
      <w:r w:rsidRPr="002371ED">
        <w:t xml:space="preserve">, and the matter is remanded to the Board for </w:t>
      </w:r>
      <w:r w:rsidR="00FC5B11" w:rsidRPr="002371ED">
        <w:t xml:space="preserve">further </w:t>
      </w:r>
      <w:r w:rsidR="00A62E0C" w:rsidRPr="002371ED">
        <w:t xml:space="preserve">proceedings </w:t>
      </w:r>
      <w:r w:rsidR="00D509CB" w:rsidRPr="002371ED">
        <w:t>consistent</w:t>
      </w:r>
      <w:r w:rsidR="00A62E0C" w:rsidRPr="002371ED">
        <w:t xml:space="preserve"> with this opinion.</w:t>
      </w:r>
      <w:r w:rsidR="00284FEF" w:rsidRPr="002371ED">
        <w:t xml:space="preserve">  </w:t>
      </w:r>
      <w:r w:rsidR="0040286C">
        <w:t>Each side to bear its own costs on appeal</w:t>
      </w:r>
      <w:r w:rsidR="00284FEF" w:rsidRPr="002371ED">
        <w:t>.</w:t>
      </w:r>
    </w:p>
    <w:p w14:paraId="3AE0892A" w14:textId="50FC1C3B" w:rsidR="009516E9" w:rsidRDefault="00482C0A" w:rsidP="00F22001">
      <w:pPr>
        <w:pStyle w:val="NoSpacing"/>
        <w:keepNext/>
        <w:keepLines/>
        <w:spacing w:line="600" w:lineRule="exact"/>
      </w:pPr>
      <w:r w:rsidRPr="002371ED">
        <w:t>CERTIFIED FOR PUBLICATION</w:t>
      </w:r>
    </w:p>
    <w:p w14:paraId="72D3F4CC" w14:textId="621B9AA0" w:rsidR="009B5C95" w:rsidRDefault="00482C0A" w:rsidP="00F22001">
      <w:pPr>
        <w:pStyle w:val="SigPage1"/>
        <w:keepNext/>
        <w:keepLines/>
        <w:jc w:val="right"/>
      </w:pPr>
      <w:r>
        <w:rPr>
          <w:u w:val="single"/>
        </w:rPr>
        <w:t>RAPHAEL</w:t>
      </w:r>
      <w:r>
        <w:rPr>
          <w:u w:val="single"/>
        </w:rPr>
        <w:tab/>
      </w:r>
    </w:p>
    <w:p w14:paraId="45D061EA" w14:textId="1FB59F91" w:rsidR="009B5C95" w:rsidRDefault="00482C0A" w:rsidP="00F22001">
      <w:pPr>
        <w:pStyle w:val="SigPage1"/>
        <w:keepNext/>
        <w:keepLines/>
        <w:jc w:val="right"/>
      </w:pPr>
      <w:r>
        <w:tab/>
        <w:t>J.</w:t>
      </w:r>
    </w:p>
    <w:p w14:paraId="15B73F9E" w14:textId="32103DE2" w:rsidR="009B5C95" w:rsidRDefault="009B5C95" w:rsidP="00F22001">
      <w:pPr>
        <w:pStyle w:val="SigPage2"/>
        <w:keepNext/>
        <w:keepLines/>
      </w:pPr>
    </w:p>
    <w:p w14:paraId="6F4C7EC0" w14:textId="0A8E62F1" w:rsidR="009B5C95" w:rsidRDefault="00482C0A" w:rsidP="00F22001">
      <w:pPr>
        <w:pStyle w:val="SigPage2"/>
        <w:keepNext/>
        <w:keepLines/>
      </w:pPr>
      <w:r>
        <w:t>We concur:</w:t>
      </w:r>
    </w:p>
    <w:p w14:paraId="13767CA3" w14:textId="43983ED3" w:rsidR="009B5C95" w:rsidRDefault="009B5C95" w:rsidP="00F22001">
      <w:pPr>
        <w:pStyle w:val="SigPage2"/>
        <w:keepNext/>
        <w:keepLines/>
      </w:pPr>
    </w:p>
    <w:p w14:paraId="42AEF4AD" w14:textId="7A1B7F55" w:rsidR="009B5C95" w:rsidRDefault="00482C0A" w:rsidP="00F22001">
      <w:pPr>
        <w:pStyle w:val="SigPage2"/>
        <w:keepNext/>
        <w:keepLines/>
      </w:pPr>
      <w:r>
        <w:rPr>
          <w:u w:val="single"/>
        </w:rPr>
        <w:t>RAMIREZ</w:t>
      </w:r>
      <w:r>
        <w:rPr>
          <w:u w:val="single"/>
        </w:rPr>
        <w:tab/>
      </w:r>
    </w:p>
    <w:p w14:paraId="5437997F" w14:textId="413899B5" w:rsidR="009B5C95" w:rsidRDefault="00482C0A" w:rsidP="00F22001">
      <w:pPr>
        <w:pStyle w:val="SigPage2"/>
        <w:keepNext/>
        <w:keepLines/>
      </w:pPr>
      <w:r>
        <w:tab/>
        <w:t>P. J.</w:t>
      </w:r>
    </w:p>
    <w:p w14:paraId="4991D519" w14:textId="77777777" w:rsidR="009B5C95" w:rsidRDefault="009B5C95" w:rsidP="00F22001">
      <w:pPr>
        <w:pStyle w:val="SigPage2"/>
        <w:keepNext/>
        <w:keepLines/>
      </w:pPr>
    </w:p>
    <w:p w14:paraId="0187EE65" w14:textId="1B8E5E0E" w:rsidR="009B5C95" w:rsidRDefault="00482C0A" w:rsidP="00F22001">
      <w:pPr>
        <w:pStyle w:val="SigPage2"/>
        <w:keepNext/>
        <w:keepLines/>
      </w:pPr>
      <w:r>
        <w:rPr>
          <w:u w:val="single"/>
        </w:rPr>
        <w:t>CODRINGTON</w:t>
      </w:r>
      <w:r>
        <w:rPr>
          <w:u w:val="single"/>
        </w:rPr>
        <w:tab/>
      </w:r>
    </w:p>
    <w:p w14:paraId="2A682197" w14:textId="0277452E" w:rsidR="009B5C95" w:rsidRDefault="00482C0A" w:rsidP="00F22001">
      <w:pPr>
        <w:pStyle w:val="SigPage2"/>
        <w:keepNext/>
        <w:keepLines/>
      </w:pPr>
      <w:r>
        <w:tab/>
        <w:t>J.</w:t>
      </w:r>
    </w:p>
    <w:p w14:paraId="34A5B8C6" w14:textId="77777777" w:rsidR="009B5C95" w:rsidRPr="009B5C95" w:rsidRDefault="009B5C95" w:rsidP="00F22001">
      <w:pPr>
        <w:pStyle w:val="NoSpacing"/>
        <w:keepNext/>
        <w:keepLines/>
      </w:pPr>
    </w:p>
    <w:sectPr w:rsidR="009B5C95" w:rsidRPr="009B5C95" w:rsidSect="000C6DE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6A96" w14:textId="77777777" w:rsidR="00000000" w:rsidRDefault="00482C0A">
      <w:pPr>
        <w:spacing w:line="240" w:lineRule="auto"/>
      </w:pPr>
      <w:r>
        <w:separator/>
      </w:r>
    </w:p>
  </w:endnote>
  <w:endnote w:type="continuationSeparator" w:id="0">
    <w:p w14:paraId="6CB0C174" w14:textId="77777777" w:rsidR="00000000" w:rsidRDefault="00482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1C2D" w14:textId="77777777" w:rsidR="000C6DE0" w:rsidRDefault="00482C0A" w:rsidP="00ED1C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57D1F9E3" w14:textId="77777777" w:rsidR="000C6DE0" w:rsidRDefault="000C6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C862" w14:textId="11633071" w:rsidR="000C6DE0" w:rsidRDefault="00482C0A" w:rsidP="00ED1C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230236" w14:textId="77777777" w:rsidR="000C6DE0" w:rsidRDefault="000C6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759F" w14:textId="77777777" w:rsidR="00DE03A2" w:rsidRDefault="00482C0A" w:rsidP="000C6DE0">
      <w:pPr>
        <w:spacing w:line="240" w:lineRule="auto"/>
      </w:pPr>
      <w:r>
        <w:separator/>
      </w:r>
    </w:p>
  </w:footnote>
  <w:footnote w:type="continuationSeparator" w:id="0">
    <w:p w14:paraId="4A646394" w14:textId="77777777" w:rsidR="00DE03A2" w:rsidRDefault="00482C0A" w:rsidP="000C6DE0">
      <w:pPr>
        <w:spacing w:line="240" w:lineRule="auto"/>
      </w:pPr>
      <w:r>
        <w:continuationSeparator/>
      </w:r>
    </w:p>
    <w:p w14:paraId="084D05A7" w14:textId="77777777" w:rsidR="00DE03A2" w:rsidRPr="000C6DE0" w:rsidRDefault="00482C0A" w:rsidP="000C6DE0">
      <w:pPr>
        <w:spacing w:line="240" w:lineRule="auto"/>
        <w:rPr>
          <w:rFonts w:cs="Times New Roman"/>
          <w:i/>
          <w:sz w:val="20"/>
        </w:rPr>
      </w:pPr>
      <w:r>
        <w:rPr>
          <w:rFonts w:cs="Times New Roman"/>
          <w:i/>
          <w:sz w:val="20"/>
        </w:rPr>
        <w:t>[footnote continued from previous page]</w:t>
      </w:r>
    </w:p>
    <w:p w14:paraId="0DDE85D4" w14:textId="77777777" w:rsidR="00DE03A2" w:rsidRPr="000C6DE0" w:rsidRDefault="00482C0A" w:rsidP="000C6DE0">
      <w:pPr>
        <w:spacing w:line="240" w:lineRule="auto"/>
        <w:rPr>
          <w:rFonts w:cs="Times New Roman"/>
          <w:i/>
          <w:sz w:val="20"/>
        </w:rPr>
      </w:pPr>
      <w:r>
        <w:rPr>
          <w:rFonts w:cs="Times New Roman"/>
          <w:i/>
          <w:sz w:val="20"/>
        </w:rPr>
        <w:t>[footnote continued from previous page]</w:t>
      </w:r>
    </w:p>
  </w:footnote>
  <w:footnote w:type="continuationNotice" w:id="1">
    <w:p w14:paraId="7A5DBFAF" w14:textId="77777777" w:rsidR="00DE03A2" w:rsidRPr="000C6DE0" w:rsidRDefault="00482C0A" w:rsidP="000C6DE0">
      <w:pPr>
        <w:pStyle w:val="Footer"/>
        <w:jc w:val="right"/>
        <w:rPr>
          <w:rFonts w:cs="Times New Roman"/>
          <w:i/>
          <w:sz w:val="20"/>
        </w:rPr>
      </w:pPr>
      <w:r>
        <w:rPr>
          <w:rFonts w:cs="Times New Roman"/>
          <w:i/>
          <w:sz w:val="20"/>
        </w:rPr>
        <w:t xml:space="preserve">[footnote </w:t>
      </w:r>
      <w:proofErr w:type="gramStart"/>
      <w:r>
        <w:rPr>
          <w:rFonts w:cs="Times New Roman"/>
          <w:i/>
          <w:sz w:val="20"/>
        </w:rPr>
        <w:t>continued on</w:t>
      </w:r>
      <w:proofErr w:type="gramEnd"/>
      <w:r>
        <w:rPr>
          <w:rFonts w:cs="Times New Roman"/>
          <w:i/>
          <w:sz w:val="20"/>
        </w:rPr>
        <w:t xml:space="preserve"> next page]</w:t>
      </w:r>
    </w:p>
  </w:footnote>
  <w:footnote w:id="2">
    <w:p w14:paraId="67A45FF0" w14:textId="467A2356" w:rsidR="00EE7CA6" w:rsidRDefault="00482C0A">
      <w:pPr>
        <w:pStyle w:val="FootnoteText"/>
      </w:pPr>
      <w:r>
        <w:tab/>
      </w:r>
      <w:r w:rsidRPr="009516E9">
        <w:rPr>
          <w:rStyle w:val="FootnoteReference"/>
          <w:sz w:val="26"/>
          <w:szCs w:val="26"/>
          <w:vertAlign w:val="superscript"/>
        </w:rPr>
        <w:footnoteRef/>
      </w:r>
      <w:r>
        <w:t xml:space="preserve">  Undesignated statutory references are to the Labor Code.</w:t>
      </w:r>
    </w:p>
  </w:footnote>
  <w:footnote w:id="3">
    <w:p w14:paraId="2859E9AC" w14:textId="2E73D5D1" w:rsidR="00587E41" w:rsidRPr="008B7A0F" w:rsidRDefault="00482C0A" w:rsidP="00587E41">
      <w:pPr>
        <w:pStyle w:val="FootnoteText"/>
      </w:pPr>
      <w:r>
        <w:tab/>
      </w:r>
      <w:r>
        <w:rPr>
          <w:rStyle w:val="FootnoteReference"/>
        </w:rPr>
        <w:footnoteRef/>
      </w:r>
      <w:r>
        <w:t xml:space="preserve">  </w:t>
      </w:r>
      <w:r w:rsidRPr="007722B5">
        <w:t xml:space="preserve">The definition dates to California’s </w:t>
      </w:r>
      <w:r>
        <w:t xml:space="preserve">first compulsory worker’s compensation law, the </w:t>
      </w:r>
      <w:r w:rsidRPr="007722B5">
        <w:t>1913 Boynton Act</w:t>
      </w:r>
      <w:r>
        <w:t>.</w:t>
      </w:r>
      <w:r w:rsidRPr="007722B5">
        <w:t xml:space="preserve">  (Stats. 1913, </w:t>
      </w:r>
      <w:proofErr w:type="spellStart"/>
      <w:r w:rsidRPr="007722B5">
        <w:t>ch.</w:t>
      </w:r>
      <w:proofErr w:type="spellEnd"/>
      <w:r w:rsidRPr="007722B5">
        <w:t xml:space="preserve"> 176, §</w:t>
      </w:r>
      <w:r w:rsidR="00080D64">
        <w:t> </w:t>
      </w:r>
      <w:r w:rsidRPr="007722B5">
        <w:t>2</w:t>
      </w:r>
      <w:r w:rsidR="00446DF1">
        <w:t>(3) [“The term ‘compensation’ means compensation under this act and includes every benefit or payment conferred by sections twelve to thirty-six, inclusive, of this act upon an injured employee, or in the event of his death, upon his dependents, without regard to negligence”]</w:t>
      </w:r>
      <w:r w:rsidRPr="007722B5">
        <w:t xml:space="preserve">; see </w:t>
      </w:r>
      <w:r w:rsidRPr="007722B5">
        <w:rPr>
          <w:i/>
          <w:iCs/>
        </w:rPr>
        <w:t>Mathews v. Workmen’s Compensation Appeals Board</w:t>
      </w:r>
      <w:r w:rsidRPr="007722B5">
        <w:t xml:space="preserve"> (1972) 6 Cal.3d 719, </w:t>
      </w:r>
      <w:r w:rsidR="004C6386">
        <w:t>729</w:t>
      </w:r>
      <w:r w:rsidRPr="007722B5">
        <w:t xml:space="preserve">-730 [describing early </w:t>
      </w:r>
      <w:r w:rsidRPr="007722B5">
        <w:t>history of California’s compensation law].)  The definition’s origin appears to be to have ensured that workers</w:t>
      </w:r>
      <w:r w:rsidR="00F353CA">
        <w:t>’</w:t>
      </w:r>
      <w:r w:rsidRPr="007722B5">
        <w:t xml:space="preserve"> compensation was limited to the compensation defined under the workers</w:t>
      </w:r>
      <w:r w:rsidR="00712CAA">
        <w:t>’</w:t>
      </w:r>
      <w:r w:rsidRPr="007722B5">
        <w:t xml:space="preserve"> compensation laws, rather than by some other source.</w:t>
      </w:r>
      <w:r w:rsidR="00080D64">
        <w:t xml:space="preserve">  (See Stats. 1913, </w:t>
      </w:r>
      <w:proofErr w:type="spellStart"/>
      <w:r w:rsidR="00080D64">
        <w:t>ch.</w:t>
      </w:r>
      <w:proofErr w:type="spellEnd"/>
      <w:r w:rsidR="00080D64">
        <w:t xml:space="preserve"> 176, § </w:t>
      </w:r>
      <w:r w:rsidR="004B6D30">
        <w:t>12, subd. (a) [“Liability for the compensation provided by this act, in lieu of any other liability whatsoever, shall, without regard to negligence, exist against an employer for any personal injury sustained by his employees by accident arising out of and in the course of the employment”].)</w:t>
      </w:r>
      <w:r w:rsidR="00F73894">
        <w:t xml:space="preserve">  That is, </w:t>
      </w:r>
      <w:r w:rsidR="00AE1B25">
        <w:t>the definition appears to expressly acknowledge that it is to be understood as a term of art</w:t>
      </w:r>
      <w:r w:rsidR="001929E3">
        <w:t xml:space="preserve">, </w:t>
      </w:r>
      <w:r w:rsidR="008B7A0F">
        <w:t xml:space="preserve">a phrase “‘having specific, precise meaning </w:t>
      </w:r>
      <w:proofErr w:type="gramStart"/>
      <w:r w:rsidR="008B7A0F">
        <w:t>in a given</w:t>
      </w:r>
      <w:proofErr w:type="gramEnd"/>
      <w:r w:rsidR="008B7A0F">
        <w:t xml:space="preserve"> specialty’” (</w:t>
      </w:r>
      <w:r w:rsidR="008B7A0F">
        <w:rPr>
          <w:i/>
          <w:iCs/>
        </w:rPr>
        <w:t>People v. Gonzales</w:t>
      </w:r>
      <w:r w:rsidR="008B7A0F">
        <w:t xml:space="preserve"> (2017) 2 Cal.5th 858, </w:t>
      </w:r>
      <w:r w:rsidR="00D45EC8">
        <w:t xml:space="preserve">871, </w:t>
      </w:r>
      <w:r w:rsidR="008B7A0F">
        <w:t>fn. 12).</w:t>
      </w:r>
    </w:p>
  </w:footnote>
  <w:footnote w:id="4">
    <w:p w14:paraId="0C2E9C77" w14:textId="545280C3" w:rsidR="00837247" w:rsidRDefault="00482C0A">
      <w:pPr>
        <w:pStyle w:val="FootnoteText"/>
      </w:pPr>
      <w:r>
        <w:tab/>
      </w:r>
      <w:r w:rsidRPr="009516E9">
        <w:rPr>
          <w:rStyle w:val="FootnoteReference"/>
          <w:sz w:val="26"/>
          <w:szCs w:val="26"/>
          <w:vertAlign w:val="superscript"/>
        </w:rPr>
        <w:footnoteRef/>
      </w:r>
      <w:r>
        <w:t xml:space="preserve"> </w:t>
      </w:r>
      <w:r w:rsidR="009B5378">
        <w:t xml:space="preserve"> </w:t>
      </w:r>
      <w:r w:rsidR="007540BC">
        <w:t xml:space="preserve">A substantially similar industrial disability leave program is </w:t>
      </w:r>
      <w:r w:rsidR="002D1CFC">
        <w:t>available to</w:t>
      </w:r>
      <w:r w:rsidR="00A8539D">
        <w:t xml:space="preserve"> certain California State University employees.</w:t>
      </w:r>
      <w:r w:rsidR="00CB70AC">
        <w:t xml:space="preserve">  (Ed. Code, §§ 89529-89529.11</w:t>
      </w:r>
      <w:r w:rsidR="00123F35">
        <w:t>.)</w:t>
      </w:r>
    </w:p>
    <w:p w14:paraId="7C22A183" w14:textId="77777777" w:rsidR="00C47262" w:rsidRDefault="00C47262">
      <w:pPr>
        <w:pStyle w:val="FootnoteText"/>
      </w:pPr>
    </w:p>
  </w:footnote>
  <w:footnote w:id="5">
    <w:p w14:paraId="53DECB83" w14:textId="137219FA" w:rsidR="008016FA" w:rsidRDefault="00482C0A">
      <w:pPr>
        <w:pStyle w:val="FootnoteText"/>
      </w:pPr>
      <w:r>
        <w:tab/>
      </w:r>
      <w:r w:rsidRPr="009516E9">
        <w:rPr>
          <w:rStyle w:val="FootnoteReference"/>
          <w:sz w:val="26"/>
          <w:szCs w:val="26"/>
          <w:vertAlign w:val="superscript"/>
        </w:rPr>
        <w:footnoteRef/>
      </w:r>
      <w:r>
        <w:t xml:space="preserve"> </w:t>
      </w:r>
      <w:r w:rsidR="00E666D2">
        <w:t xml:space="preserve"> </w:t>
      </w:r>
      <w:r w:rsidR="0094360B">
        <w:t xml:space="preserve">Although industrial disability </w:t>
      </w:r>
      <w:proofErr w:type="gramStart"/>
      <w:r w:rsidR="0094360B">
        <w:t>leave</w:t>
      </w:r>
      <w:proofErr w:type="gramEnd"/>
      <w:r w:rsidR="0094360B">
        <w:t xml:space="preserve"> benefits “may be superseded by a negotiated labor agreement as set forth in a legislatively adopted memorandum of understanding” (</w:t>
      </w:r>
      <w:r w:rsidR="0094360B">
        <w:rPr>
          <w:i/>
          <w:iCs/>
        </w:rPr>
        <w:t>Brooks v. Workers’ Comp. Appeals Bd.</w:t>
      </w:r>
      <w:r w:rsidR="0094360B">
        <w:t xml:space="preserve"> (2008) 161 Cal.App.4th 1522, 1528, fn. 2</w:t>
      </w:r>
      <w:r w:rsidR="00E753D5">
        <w:t>; see, e.g., Gov. Code, § 19871, subd. (b)</w:t>
      </w:r>
      <w:r w:rsidR="0094360B">
        <w:t>)</w:t>
      </w:r>
      <w:r w:rsidR="00B51CF1">
        <w:t xml:space="preserve">, </w:t>
      </w:r>
      <w:r w:rsidR="00D34A35">
        <w:t>the record show</w:t>
      </w:r>
      <w:r w:rsidR="00305F57">
        <w:t>s</w:t>
      </w:r>
      <w:r w:rsidR="00D34A35">
        <w:t xml:space="preserve"> </w:t>
      </w:r>
      <w:r w:rsidR="00305F57">
        <w:t>no</w:t>
      </w:r>
      <w:r w:rsidR="00380685">
        <w:t xml:space="preserve"> such memorandum of understanding appli</w:t>
      </w:r>
      <w:r w:rsidR="009B6523">
        <w:t>cable</w:t>
      </w:r>
      <w:r w:rsidR="00380685">
        <w:t xml:space="preserve"> here. </w:t>
      </w:r>
      <w:r w:rsidR="0094360B">
        <w:t xml:space="preserve"> </w:t>
      </w:r>
      <w:r w:rsidR="008150E5">
        <w:t>The</w:t>
      </w:r>
      <w:r w:rsidR="00E666D2">
        <w:t xml:space="preserve"> parties do not dispute that Ayala was an employee entitled to </w:t>
      </w:r>
      <w:r w:rsidR="00865C8C">
        <w:t xml:space="preserve">both industrial </w:t>
      </w:r>
      <w:proofErr w:type="gramStart"/>
      <w:r w:rsidR="00865C8C">
        <w:t>disability</w:t>
      </w:r>
      <w:proofErr w:type="gramEnd"/>
      <w:r w:rsidR="00865C8C">
        <w:t xml:space="preserve"> leave and </w:t>
      </w:r>
      <w:r w:rsidR="00E666D2">
        <w:t>enhanced industrial disability leave</w:t>
      </w:r>
      <w:r w:rsidR="00430666">
        <w:t>.</w:t>
      </w:r>
    </w:p>
    <w:p w14:paraId="4C83A0D7" w14:textId="2AA5DFEE" w:rsidR="003B3545" w:rsidRDefault="00482C0A" w:rsidP="008016FA">
      <w:pPr>
        <w:pStyle w:val="FootnoteText"/>
        <w:ind w:firstLine="720"/>
      </w:pPr>
      <w:r>
        <w:t>We note that</w:t>
      </w:r>
      <w:r w:rsidR="00F20300">
        <w:t xml:space="preserve"> several types of law enforcement personnel</w:t>
      </w:r>
      <w:r w:rsidR="00DA4CF4">
        <w:t xml:space="preserve"> have</w:t>
      </w:r>
      <w:r w:rsidR="000C50C0">
        <w:t xml:space="preserve"> alternative</w:t>
      </w:r>
      <w:r w:rsidR="00AA6CD2">
        <w:t xml:space="preserve"> </w:t>
      </w:r>
      <w:r w:rsidR="002C3A56">
        <w:t xml:space="preserve">disability </w:t>
      </w:r>
      <w:r w:rsidR="00AA6CD2">
        <w:t>leave benefits that are provided by Division 4 of the Labor Code</w:t>
      </w:r>
      <w:r w:rsidR="00BD1D62">
        <w:t xml:space="preserve"> and that appear</w:t>
      </w:r>
      <w:r w:rsidR="00EF43B7">
        <w:t xml:space="preserve"> </w:t>
      </w:r>
      <w:proofErr w:type="gramStart"/>
      <w:r w:rsidR="00BD1D62">
        <w:t>similar to</w:t>
      </w:r>
      <w:proofErr w:type="gramEnd"/>
      <w:r w:rsidR="00BD1D62">
        <w:t xml:space="preserve"> what enhanced industrial disability leave provides</w:t>
      </w:r>
      <w:r w:rsidR="00AA6CD2">
        <w:t>.  (</w:t>
      </w:r>
      <w:r w:rsidR="00FA5836">
        <w:t>E</w:t>
      </w:r>
      <w:r w:rsidR="00AA6CD2">
        <w:t>.g., §§ </w:t>
      </w:r>
      <w:r w:rsidR="00FB409D">
        <w:t xml:space="preserve">4800, 4800.5, 4806, </w:t>
      </w:r>
      <w:r w:rsidR="00AA6CD2">
        <w:t>4850, subd. (b)</w:t>
      </w:r>
      <w:r w:rsidR="00FA5836">
        <w:t xml:space="preserve">; see also Gov. Code, § 19869 [industrial disability </w:t>
      </w:r>
      <w:proofErr w:type="gramStart"/>
      <w:r w:rsidR="00FA5836">
        <w:t>leave</w:t>
      </w:r>
      <w:proofErr w:type="gramEnd"/>
      <w:r w:rsidR="00FA5836">
        <w:t xml:space="preserve"> rules do “not apply to state officers and employees who are included in the provisions of Article 6 (commencing with Section 4800) of Chapter 2 of Part 2 of Division 4 of the Labor Code”]</w:t>
      </w:r>
      <w:r w:rsidR="00CD773C">
        <w:t>.)</w:t>
      </w:r>
      <w:r w:rsidR="00CE6A15">
        <w:t xml:space="preserve">  This case does not </w:t>
      </w:r>
      <w:r w:rsidR="002E6EE3">
        <w:t>address</w:t>
      </w:r>
      <w:r w:rsidR="00027540">
        <w:t xml:space="preserve"> </w:t>
      </w:r>
      <w:r w:rsidR="007A7BFC">
        <w:t>the benefits provided under those provisions.</w:t>
      </w:r>
    </w:p>
    <w:p w14:paraId="388C78C4" w14:textId="77777777" w:rsidR="00554431" w:rsidRDefault="00554431" w:rsidP="008016FA">
      <w:pPr>
        <w:pStyle w:val="FootnoteText"/>
        <w:ind w:firstLine="720"/>
      </w:pPr>
    </w:p>
  </w:footnote>
  <w:footnote w:id="6">
    <w:p w14:paraId="6802ED28" w14:textId="77777777" w:rsidR="006C2D07" w:rsidRDefault="00482C0A" w:rsidP="006C2D07">
      <w:pPr>
        <w:pStyle w:val="FootnoteText"/>
      </w:pPr>
      <w:r>
        <w:tab/>
      </w:r>
      <w:r w:rsidRPr="009516E9">
        <w:rPr>
          <w:rStyle w:val="FootnoteReference"/>
          <w:sz w:val="26"/>
          <w:szCs w:val="26"/>
          <w:vertAlign w:val="superscript"/>
        </w:rPr>
        <w:footnoteRef/>
      </w:r>
      <w:r>
        <w:t xml:space="preserve">  For clarity, we hereinafter use the term “industrial disability leave” to refer to both industrial </w:t>
      </w:r>
      <w:proofErr w:type="gramStart"/>
      <w:r>
        <w:t>disability</w:t>
      </w:r>
      <w:proofErr w:type="gramEnd"/>
      <w:r>
        <w:t xml:space="preserve"> leave and enhanced industrial disability leave, as the distinctions between the two do not affect our analysis.</w:t>
      </w:r>
    </w:p>
  </w:footnote>
  <w:footnote w:id="7">
    <w:p w14:paraId="6EDB97B2" w14:textId="0762CD8F" w:rsidR="009221AE" w:rsidRDefault="00482C0A">
      <w:pPr>
        <w:pStyle w:val="FootnoteText"/>
      </w:pPr>
      <w:r>
        <w:tab/>
      </w:r>
      <w:r w:rsidRPr="009516E9">
        <w:rPr>
          <w:rStyle w:val="FootnoteReference"/>
          <w:sz w:val="26"/>
          <w:szCs w:val="26"/>
          <w:vertAlign w:val="superscript"/>
        </w:rPr>
        <w:footnoteRef/>
      </w:r>
      <w:r>
        <w:t xml:space="preserve"> </w:t>
      </w:r>
      <w:r w:rsidR="004D07CB">
        <w:t xml:space="preserve"> Notably, although Government Code section 19870, subdivision (a) defines industrial disability leave to “</w:t>
      </w:r>
      <w:proofErr w:type="gramStart"/>
      <w:r w:rsidR="004D07CB">
        <w:t>mean[</w:t>
      </w:r>
      <w:proofErr w:type="gramEnd"/>
      <w:r w:rsidR="004D07CB">
        <w:t>] temporary disability as defined in Divisions 4 (commencing with Section 3201) and 4.5 (commencing with Section 6100) of the Labor Code,”</w:t>
      </w:r>
      <w:r w:rsidR="00B36C86">
        <w:t xml:space="preserve"> nothing in those referenced provisions define “temporary disability.”</w:t>
      </w:r>
      <w:r w:rsidR="009D39F4">
        <w:t xml:space="preserve">  (</w:t>
      </w:r>
      <w:r w:rsidR="00BB3CC6">
        <w:t xml:space="preserve">See Hanna, </w:t>
      </w:r>
      <w:r w:rsidR="00AD0B51">
        <w:t>Cal</w:t>
      </w:r>
      <w:r w:rsidR="00395E4C">
        <w:t>.</w:t>
      </w:r>
      <w:r w:rsidR="00AD0B51">
        <w:t xml:space="preserve"> Law of Employee Injuries and Workers’ Comp</w:t>
      </w:r>
      <w:r w:rsidR="00395E4C">
        <w:t>.</w:t>
      </w:r>
      <w:r w:rsidR="00AD0B51">
        <w:t>,</w:t>
      </w:r>
      <w:r w:rsidR="00395E4C">
        <w:t xml:space="preserve"> (2023)</w:t>
      </w:r>
      <w:r w:rsidR="00D6052F">
        <w:t xml:space="preserve"> § 7.01 [“</w:t>
      </w:r>
      <w:r w:rsidR="00F54138" w:rsidRPr="00F54138">
        <w:t>There is no statutory definition of temporary disability, and thus case law, over time, has defined the condition</w:t>
      </w:r>
      <w:r w:rsidR="00F54138">
        <w:t>”]</w:t>
      </w:r>
      <w:r w:rsidR="00267920">
        <w:t xml:space="preserve">; </w:t>
      </w:r>
      <w:r w:rsidR="00267920">
        <w:rPr>
          <w:i/>
          <w:iCs/>
        </w:rPr>
        <w:t>Brooks</w:t>
      </w:r>
      <w:r w:rsidR="00267920">
        <w:t xml:space="preserve">, </w:t>
      </w:r>
      <w:r w:rsidR="00267920">
        <w:rPr>
          <w:i/>
          <w:iCs/>
        </w:rPr>
        <w:t>supra</w:t>
      </w:r>
      <w:r w:rsidR="00267920">
        <w:t>, 161 Cal.App.4th at p. 1537 [noting “a lack of statutory definition of temporary disability in the Labor Code”]</w:t>
      </w:r>
      <w:r w:rsidR="00F54138">
        <w:t>.)</w:t>
      </w:r>
      <w:r w:rsidR="000C413D">
        <w:t xml:space="preserve"> </w:t>
      </w:r>
      <w:r w:rsidR="0061368A">
        <w:t xml:space="preserve">Whatever the </w:t>
      </w:r>
      <w:proofErr w:type="gramStart"/>
      <w:r w:rsidR="0061368A">
        <w:t>manner in which</w:t>
      </w:r>
      <w:proofErr w:type="gramEnd"/>
      <w:r w:rsidR="000C413D">
        <w:t xml:space="preserve"> </w:t>
      </w:r>
      <w:r w:rsidR="000472F6">
        <w:t xml:space="preserve">the term “temporary disability” is defined in the Labor Code, </w:t>
      </w:r>
      <w:r w:rsidR="008E648C">
        <w:t>the Govern</w:t>
      </w:r>
      <w:r w:rsidR="00934D52">
        <w:t>ment Code</w:t>
      </w:r>
      <w:r w:rsidR="001C289D">
        <w:t>’s</w:t>
      </w:r>
      <w:r w:rsidR="00934D52">
        <w:t xml:space="preserve"> </w:t>
      </w:r>
      <w:r w:rsidR="009038AD">
        <w:t>incorporation</w:t>
      </w:r>
      <w:r w:rsidR="001C289D">
        <w:t xml:space="preserve"> of</w:t>
      </w:r>
      <w:r w:rsidR="00934D52">
        <w:t xml:space="preserve"> that definition does not</w:t>
      </w:r>
      <w:r w:rsidR="00B541F6">
        <w:t xml:space="preserve"> itself </w:t>
      </w:r>
      <w:r w:rsidR="00934D52">
        <w:t xml:space="preserve">alter the </w:t>
      </w:r>
      <w:r w:rsidR="000837A4">
        <w:t>definition’s scope.</w:t>
      </w:r>
    </w:p>
  </w:footnote>
  <w:footnote w:id="8">
    <w:p w14:paraId="24B59C22" w14:textId="046D72E0" w:rsidR="00E16B73" w:rsidRDefault="00482C0A">
      <w:pPr>
        <w:pStyle w:val="FootnoteText"/>
      </w:pPr>
      <w:r>
        <w:tab/>
      </w:r>
      <w:r w:rsidRPr="009516E9">
        <w:rPr>
          <w:rStyle w:val="FootnoteReference"/>
          <w:sz w:val="26"/>
          <w:szCs w:val="26"/>
          <w:vertAlign w:val="superscript"/>
        </w:rPr>
        <w:footnoteRef/>
      </w:r>
      <w:r>
        <w:t xml:space="preserve">  Although </w:t>
      </w:r>
      <w:r>
        <w:rPr>
          <w:i/>
          <w:iCs/>
        </w:rPr>
        <w:t>Brooks</w:t>
      </w:r>
      <w:r>
        <w:t xml:space="preserve"> also discussed another Board opinion, that opinion appears to rely on the same definition-based rationale as </w:t>
      </w:r>
      <w:r>
        <w:rPr>
          <w:i/>
          <w:iCs/>
        </w:rPr>
        <w:t>Brooks</w:t>
      </w:r>
      <w:r>
        <w:t xml:space="preserve"> itself does.  (See </w:t>
      </w:r>
      <w:r>
        <w:rPr>
          <w:i/>
          <w:iCs/>
        </w:rPr>
        <w:t>Brooks</w:t>
      </w:r>
      <w:r>
        <w:t xml:space="preserve">, </w:t>
      </w:r>
      <w:r>
        <w:rPr>
          <w:i/>
          <w:iCs/>
        </w:rPr>
        <w:t>supra</w:t>
      </w:r>
      <w:r>
        <w:t>,</w:t>
      </w:r>
      <w:r w:rsidR="00862C87">
        <w:t xml:space="preserve"> 161 Cal.App.4th</w:t>
      </w:r>
      <w:r>
        <w:t xml:space="preserve"> at p. 1537 [noting Board’s opinion, which stated that “‘the Government Code expressly defines [industrial disability leave] as temporary disability’”].)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8CE"/>
    <w:multiLevelType w:val="multilevel"/>
    <w:tmpl w:val="55D2BA5A"/>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1440" w:hanging="720"/>
      </w:pPr>
      <w:rPr>
        <w:rFonts w:hint="default"/>
        <w:i w:val="0"/>
      </w:rPr>
    </w:lvl>
    <w:lvl w:ilvl="2">
      <w:start w:val="1"/>
      <w:numFmt w:val="decimal"/>
      <w:pStyle w:val="Heading3"/>
      <w:suff w:val="nothing"/>
      <w:lvlText w:val="%3.  "/>
      <w:lvlJc w:val="left"/>
      <w:pPr>
        <w:ind w:left="2160" w:hanging="720"/>
      </w:pPr>
      <w:rPr>
        <w:rFonts w:hint="default"/>
      </w:rPr>
    </w:lvl>
    <w:lvl w:ilvl="3">
      <w:start w:val="1"/>
      <w:numFmt w:val="lowerLetter"/>
      <w:pStyle w:val="Heading4"/>
      <w:lvlText w:val="%4.  "/>
      <w:lvlJc w:val="left"/>
      <w:pPr>
        <w:tabs>
          <w:tab w:val="num" w:pos="2160"/>
        </w:tabs>
        <w:ind w:left="2880" w:hanging="720"/>
      </w:pPr>
      <w:rPr>
        <w:rFonts w:hint="default"/>
      </w:rPr>
    </w:lvl>
    <w:lvl w:ilvl="4">
      <w:start w:val="1"/>
      <w:numFmt w:val="lowerRoman"/>
      <w:pStyle w:val="Heading5"/>
      <w:lvlText w:val="(%5)  "/>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89662948">
    <w:abstractNumId w:val="0"/>
  </w:num>
  <w:num w:numId="2" w16cid:durableId="828014037">
    <w:abstractNumId w:val="0"/>
  </w:num>
  <w:num w:numId="3" w16cid:durableId="1984574744">
    <w:abstractNumId w:val="0"/>
  </w:num>
  <w:num w:numId="4" w16cid:durableId="2120292565">
    <w:abstractNumId w:val="0"/>
  </w:num>
  <w:num w:numId="5" w16cid:durableId="405105126">
    <w:abstractNumId w:val="0"/>
  </w:num>
  <w:num w:numId="6" w16cid:durableId="434130998">
    <w:abstractNumId w:val="0"/>
  </w:num>
  <w:num w:numId="7" w16cid:durableId="150409772">
    <w:abstractNumId w:val="0"/>
  </w:num>
  <w:num w:numId="8" w16cid:durableId="831915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E0"/>
    <w:rsid w:val="00000BB1"/>
    <w:rsid w:val="00001C52"/>
    <w:rsid w:val="00002CEF"/>
    <w:rsid w:val="000048CD"/>
    <w:rsid w:val="00004945"/>
    <w:rsid w:val="00004C61"/>
    <w:rsid w:val="0000787D"/>
    <w:rsid w:val="00007C0F"/>
    <w:rsid w:val="00010A4C"/>
    <w:rsid w:val="00010ADE"/>
    <w:rsid w:val="000114D1"/>
    <w:rsid w:val="0001510D"/>
    <w:rsid w:val="000153C9"/>
    <w:rsid w:val="00015508"/>
    <w:rsid w:val="00015DF9"/>
    <w:rsid w:val="000171C2"/>
    <w:rsid w:val="00020026"/>
    <w:rsid w:val="00022E41"/>
    <w:rsid w:val="00023243"/>
    <w:rsid w:val="0002567B"/>
    <w:rsid w:val="00025F72"/>
    <w:rsid w:val="00027540"/>
    <w:rsid w:val="00031C6F"/>
    <w:rsid w:val="0003204F"/>
    <w:rsid w:val="0003365D"/>
    <w:rsid w:val="00033FE8"/>
    <w:rsid w:val="00034278"/>
    <w:rsid w:val="00037B9D"/>
    <w:rsid w:val="00037E38"/>
    <w:rsid w:val="000404A5"/>
    <w:rsid w:val="0004116E"/>
    <w:rsid w:val="00043D05"/>
    <w:rsid w:val="000472F6"/>
    <w:rsid w:val="00050169"/>
    <w:rsid w:val="0005051F"/>
    <w:rsid w:val="00051136"/>
    <w:rsid w:val="00055DC1"/>
    <w:rsid w:val="00061F91"/>
    <w:rsid w:val="000622A4"/>
    <w:rsid w:val="00063C91"/>
    <w:rsid w:val="00063E7C"/>
    <w:rsid w:val="00065097"/>
    <w:rsid w:val="00070ABF"/>
    <w:rsid w:val="00071FDD"/>
    <w:rsid w:val="00072F47"/>
    <w:rsid w:val="00073976"/>
    <w:rsid w:val="00073AB8"/>
    <w:rsid w:val="0007641D"/>
    <w:rsid w:val="00076FD5"/>
    <w:rsid w:val="00080D64"/>
    <w:rsid w:val="00080FB9"/>
    <w:rsid w:val="0008160A"/>
    <w:rsid w:val="000837A4"/>
    <w:rsid w:val="00083E90"/>
    <w:rsid w:val="00084AFC"/>
    <w:rsid w:val="00092BB9"/>
    <w:rsid w:val="000940B0"/>
    <w:rsid w:val="000945ED"/>
    <w:rsid w:val="00095869"/>
    <w:rsid w:val="000959C3"/>
    <w:rsid w:val="000A10DC"/>
    <w:rsid w:val="000A28E3"/>
    <w:rsid w:val="000A31C0"/>
    <w:rsid w:val="000A3FFD"/>
    <w:rsid w:val="000A59F4"/>
    <w:rsid w:val="000B2624"/>
    <w:rsid w:val="000B3BE0"/>
    <w:rsid w:val="000B5FA3"/>
    <w:rsid w:val="000B728B"/>
    <w:rsid w:val="000B7668"/>
    <w:rsid w:val="000B772C"/>
    <w:rsid w:val="000C0C6E"/>
    <w:rsid w:val="000C413D"/>
    <w:rsid w:val="000C50C0"/>
    <w:rsid w:val="000C6DE0"/>
    <w:rsid w:val="000D1833"/>
    <w:rsid w:val="000D574E"/>
    <w:rsid w:val="000E017F"/>
    <w:rsid w:val="000E05C1"/>
    <w:rsid w:val="000E192F"/>
    <w:rsid w:val="000E4D11"/>
    <w:rsid w:val="000E5C6F"/>
    <w:rsid w:val="000E5E29"/>
    <w:rsid w:val="000E6ED6"/>
    <w:rsid w:val="000F0A19"/>
    <w:rsid w:val="000F317F"/>
    <w:rsid w:val="000F3D65"/>
    <w:rsid w:val="000F3DB0"/>
    <w:rsid w:val="000F47B4"/>
    <w:rsid w:val="000F6DC4"/>
    <w:rsid w:val="000F7C5C"/>
    <w:rsid w:val="00101110"/>
    <w:rsid w:val="00102196"/>
    <w:rsid w:val="00103602"/>
    <w:rsid w:val="00104046"/>
    <w:rsid w:val="00105729"/>
    <w:rsid w:val="00110149"/>
    <w:rsid w:val="001115D8"/>
    <w:rsid w:val="001160AD"/>
    <w:rsid w:val="00116E0F"/>
    <w:rsid w:val="00117D0C"/>
    <w:rsid w:val="0012153D"/>
    <w:rsid w:val="001233B6"/>
    <w:rsid w:val="00123F35"/>
    <w:rsid w:val="0012749A"/>
    <w:rsid w:val="00130984"/>
    <w:rsid w:val="001315FF"/>
    <w:rsid w:val="00131764"/>
    <w:rsid w:val="00134364"/>
    <w:rsid w:val="00134FAD"/>
    <w:rsid w:val="00135DC7"/>
    <w:rsid w:val="001372FF"/>
    <w:rsid w:val="0014081B"/>
    <w:rsid w:val="001412C3"/>
    <w:rsid w:val="00141892"/>
    <w:rsid w:val="00141D3E"/>
    <w:rsid w:val="00142149"/>
    <w:rsid w:val="001432E8"/>
    <w:rsid w:val="00143C98"/>
    <w:rsid w:val="00144898"/>
    <w:rsid w:val="00147C7F"/>
    <w:rsid w:val="00151B22"/>
    <w:rsid w:val="00151C43"/>
    <w:rsid w:val="00151C7F"/>
    <w:rsid w:val="00152301"/>
    <w:rsid w:val="00152F76"/>
    <w:rsid w:val="00156295"/>
    <w:rsid w:val="001600C9"/>
    <w:rsid w:val="001646E6"/>
    <w:rsid w:val="00165207"/>
    <w:rsid w:val="001700C8"/>
    <w:rsid w:val="001716C2"/>
    <w:rsid w:val="00172717"/>
    <w:rsid w:val="00173290"/>
    <w:rsid w:val="0017369A"/>
    <w:rsid w:val="00175CBE"/>
    <w:rsid w:val="00175DEE"/>
    <w:rsid w:val="0017738F"/>
    <w:rsid w:val="00177ABE"/>
    <w:rsid w:val="0018073E"/>
    <w:rsid w:val="00180797"/>
    <w:rsid w:val="00182200"/>
    <w:rsid w:val="001839FB"/>
    <w:rsid w:val="00185B90"/>
    <w:rsid w:val="001929E3"/>
    <w:rsid w:val="00194FEB"/>
    <w:rsid w:val="001951DC"/>
    <w:rsid w:val="00195F7B"/>
    <w:rsid w:val="001971A5"/>
    <w:rsid w:val="00197B93"/>
    <w:rsid w:val="001A107D"/>
    <w:rsid w:val="001A3C31"/>
    <w:rsid w:val="001B1C8A"/>
    <w:rsid w:val="001B724F"/>
    <w:rsid w:val="001B770E"/>
    <w:rsid w:val="001B79BD"/>
    <w:rsid w:val="001C0458"/>
    <w:rsid w:val="001C0CE6"/>
    <w:rsid w:val="001C289D"/>
    <w:rsid w:val="001C37E7"/>
    <w:rsid w:val="001C3E80"/>
    <w:rsid w:val="001C64C1"/>
    <w:rsid w:val="001C76F4"/>
    <w:rsid w:val="001D0F47"/>
    <w:rsid w:val="001D1BD2"/>
    <w:rsid w:val="001D24F7"/>
    <w:rsid w:val="001D520A"/>
    <w:rsid w:val="001D55B4"/>
    <w:rsid w:val="001E1412"/>
    <w:rsid w:val="001E167F"/>
    <w:rsid w:val="001E4092"/>
    <w:rsid w:val="001E4C93"/>
    <w:rsid w:val="001E52B4"/>
    <w:rsid w:val="001E5BE8"/>
    <w:rsid w:val="001E5D41"/>
    <w:rsid w:val="001E5E57"/>
    <w:rsid w:val="001F3F86"/>
    <w:rsid w:val="001F5A9E"/>
    <w:rsid w:val="001F5BA2"/>
    <w:rsid w:val="00200FD6"/>
    <w:rsid w:val="00201E02"/>
    <w:rsid w:val="0020259D"/>
    <w:rsid w:val="00203BC8"/>
    <w:rsid w:val="00206E5E"/>
    <w:rsid w:val="00213BD3"/>
    <w:rsid w:val="00215000"/>
    <w:rsid w:val="00216C97"/>
    <w:rsid w:val="00220BC5"/>
    <w:rsid w:val="00222019"/>
    <w:rsid w:val="002229CF"/>
    <w:rsid w:val="00222C02"/>
    <w:rsid w:val="00224ADC"/>
    <w:rsid w:val="00227788"/>
    <w:rsid w:val="002277A8"/>
    <w:rsid w:val="00227AD2"/>
    <w:rsid w:val="00230BC6"/>
    <w:rsid w:val="0023263A"/>
    <w:rsid w:val="0023449E"/>
    <w:rsid w:val="002353E8"/>
    <w:rsid w:val="002371ED"/>
    <w:rsid w:val="0023768D"/>
    <w:rsid w:val="00240DAC"/>
    <w:rsid w:val="00241850"/>
    <w:rsid w:val="002437D6"/>
    <w:rsid w:val="00246271"/>
    <w:rsid w:val="002514BF"/>
    <w:rsid w:val="00252765"/>
    <w:rsid w:val="00253D1A"/>
    <w:rsid w:val="00254D6D"/>
    <w:rsid w:val="002554D6"/>
    <w:rsid w:val="00256A5C"/>
    <w:rsid w:val="00260D82"/>
    <w:rsid w:val="0026153F"/>
    <w:rsid w:val="00262568"/>
    <w:rsid w:val="0026263B"/>
    <w:rsid w:val="002626E7"/>
    <w:rsid w:val="00267920"/>
    <w:rsid w:val="002679B8"/>
    <w:rsid w:val="002713C6"/>
    <w:rsid w:val="00271D42"/>
    <w:rsid w:val="00273377"/>
    <w:rsid w:val="00274171"/>
    <w:rsid w:val="00275195"/>
    <w:rsid w:val="00276DFD"/>
    <w:rsid w:val="00281A07"/>
    <w:rsid w:val="00281B9C"/>
    <w:rsid w:val="00284409"/>
    <w:rsid w:val="00284FAF"/>
    <w:rsid w:val="00284FEF"/>
    <w:rsid w:val="002854F5"/>
    <w:rsid w:val="0028634C"/>
    <w:rsid w:val="00290875"/>
    <w:rsid w:val="00292EFE"/>
    <w:rsid w:val="00293AD7"/>
    <w:rsid w:val="00294036"/>
    <w:rsid w:val="00294877"/>
    <w:rsid w:val="002A2E43"/>
    <w:rsid w:val="002A51A7"/>
    <w:rsid w:val="002A5FF7"/>
    <w:rsid w:val="002A72E5"/>
    <w:rsid w:val="002B19AC"/>
    <w:rsid w:val="002B303A"/>
    <w:rsid w:val="002B3C97"/>
    <w:rsid w:val="002B5979"/>
    <w:rsid w:val="002B72FE"/>
    <w:rsid w:val="002C1E4A"/>
    <w:rsid w:val="002C3015"/>
    <w:rsid w:val="002C3A56"/>
    <w:rsid w:val="002C3D34"/>
    <w:rsid w:val="002C3F7C"/>
    <w:rsid w:val="002D1CFC"/>
    <w:rsid w:val="002D2AD7"/>
    <w:rsid w:val="002D2CE1"/>
    <w:rsid w:val="002D7CEA"/>
    <w:rsid w:val="002E15EA"/>
    <w:rsid w:val="002E4648"/>
    <w:rsid w:val="002E5EA4"/>
    <w:rsid w:val="002E6EE3"/>
    <w:rsid w:val="002F16B2"/>
    <w:rsid w:val="002F2B40"/>
    <w:rsid w:val="002F4F7B"/>
    <w:rsid w:val="002F5786"/>
    <w:rsid w:val="002F6779"/>
    <w:rsid w:val="002F6C06"/>
    <w:rsid w:val="003005BC"/>
    <w:rsid w:val="00303F84"/>
    <w:rsid w:val="00304761"/>
    <w:rsid w:val="0030496E"/>
    <w:rsid w:val="00305F57"/>
    <w:rsid w:val="003065BB"/>
    <w:rsid w:val="0030747D"/>
    <w:rsid w:val="00307B06"/>
    <w:rsid w:val="00307B31"/>
    <w:rsid w:val="0031352D"/>
    <w:rsid w:val="0031445B"/>
    <w:rsid w:val="00315EF6"/>
    <w:rsid w:val="00315FC1"/>
    <w:rsid w:val="00321976"/>
    <w:rsid w:val="00321F1D"/>
    <w:rsid w:val="003224F1"/>
    <w:rsid w:val="00323EC1"/>
    <w:rsid w:val="00324706"/>
    <w:rsid w:val="00325CCE"/>
    <w:rsid w:val="003277B6"/>
    <w:rsid w:val="00333E2C"/>
    <w:rsid w:val="003343F9"/>
    <w:rsid w:val="003348C2"/>
    <w:rsid w:val="00334B29"/>
    <w:rsid w:val="003439E3"/>
    <w:rsid w:val="00343C42"/>
    <w:rsid w:val="0034663F"/>
    <w:rsid w:val="00351497"/>
    <w:rsid w:val="00351A6A"/>
    <w:rsid w:val="00352D53"/>
    <w:rsid w:val="00353633"/>
    <w:rsid w:val="00355E72"/>
    <w:rsid w:val="003612A8"/>
    <w:rsid w:val="00361C5D"/>
    <w:rsid w:val="00365182"/>
    <w:rsid w:val="0037057E"/>
    <w:rsid w:val="00370C14"/>
    <w:rsid w:val="003715AC"/>
    <w:rsid w:val="003718B8"/>
    <w:rsid w:val="0037305A"/>
    <w:rsid w:val="003739FC"/>
    <w:rsid w:val="0037427D"/>
    <w:rsid w:val="00375FB0"/>
    <w:rsid w:val="00376346"/>
    <w:rsid w:val="0037644B"/>
    <w:rsid w:val="00377796"/>
    <w:rsid w:val="00380685"/>
    <w:rsid w:val="0038108E"/>
    <w:rsid w:val="003814C6"/>
    <w:rsid w:val="00382689"/>
    <w:rsid w:val="00382890"/>
    <w:rsid w:val="0038289B"/>
    <w:rsid w:val="00382CF1"/>
    <w:rsid w:val="003861F4"/>
    <w:rsid w:val="003862CB"/>
    <w:rsid w:val="0038683A"/>
    <w:rsid w:val="00390A8E"/>
    <w:rsid w:val="003914EA"/>
    <w:rsid w:val="00394821"/>
    <w:rsid w:val="00395E4C"/>
    <w:rsid w:val="003975E3"/>
    <w:rsid w:val="003977EE"/>
    <w:rsid w:val="00397BA9"/>
    <w:rsid w:val="003A2A2F"/>
    <w:rsid w:val="003A348B"/>
    <w:rsid w:val="003A4A68"/>
    <w:rsid w:val="003A5F80"/>
    <w:rsid w:val="003A66EF"/>
    <w:rsid w:val="003A6B91"/>
    <w:rsid w:val="003B07FF"/>
    <w:rsid w:val="003B27F5"/>
    <w:rsid w:val="003B3545"/>
    <w:rsid w:val="003B4052"/>
    <w:rsid w:val="003B5A8F"/>
    <w:rsid w:val="003C0182"/>
    <w:rsid w:val="003C3BE0"/>
    <w:rsid w:val="003C52CB"/>
    <w:rsid w:val="003C5600"/>
    <w:rsid w:val="003C69CD"/>
    <w:rsid w:val="003C6CD3"/>
    <w:rsid w:val="003C7AA9"/>
    <w:rsid w:val="003D1029"/>
    <w:rsid w:val="003D1545"/>
    <w:rsid w:val="003D1C0F"/>
    <w:rsid w:val="003D3E35"/>
    <w:rsid w:val="003D4500"/>
    <w:rsid w:val="003D4569"/>
    <w:rsid w:val="003D621B"/>
    <w:rsid w:val="003E057B"/>
    <w:rsid w:val="003E30F2"/>
    <w:rsid w:val="003E3833"/>
    <w:rsid w:val="003E4140"/>
    <w:rsid w:val="003E473B"/>
    <w:rsid w:val="003E4D4D"/>
    <w:rsid w:val="003E5090"/>
    <w:rsid w:val="003E688D"/>
    <w:rsid w:val="003E7B48"/>
    <w:rsid w:val="003F6677"/>
    <w:rsid w:val="003F7947"/>
    <w:rsid w:val="004005F4"/>
    <w:rsid w:val="00400749"/>
    <w:rsid w:val="004023AD"/>
    <w:rsid w:val="0040286C"/>
    <w:rsid w:val="0040359F"/>
    <w:rsid w:val="0040647F"/>
    <w:rsid w:val="004140EA"/>
    <w:rsid w:val="004151AD"/>
    <w:rsid w:val="00415CF1"/>
    <w:rsid w:val="00421819"/>
    <w:rsid w:val="004218DE"/>
    <w:rsid w:val="00424619"/>
    <w:rsid w:val="004260AA"/>
    <w:rsid w:val="00430666"/>
    <w:rsid w:val="004323C0"/>
    <w:rsid w:val="00433DAB"/>
    <w:rsid w:val="00435546"/>
    <w:rsid w:val="004369D4"/>
    <w:rsid w:val="004420ED"/>
    <w:rsid w:val="00446DF1"/>
    <w:rsid w:val="00451C23"/>
    <w:rsid w:val="00452D6F"/>
    <w:rsid w:val="004574CC"/>
    <w:rsid w:val="00461E64"/>
    <w:rsid w:val="00462DC8"/>
    <w:rsid w:val="004710CC"/>
    <w:rsid w:val="00472E86"/>
    <w:rsid w:val="00473577"/>
    <w:rsid w:val="004759F6"/>
    <w:rsid w:val="004774E8"/>
    <w:rsid w:val="00477BC2"/>
    <w:rsid w:val="00480CF6"/>
    <w:rsid w:val="00482C0A"/>
    <w:rsid w:val="004835CA"/>
    <w:rsid w:val="00484D61"/>
    <w:rsid w:val="00485891"/>
    <w:rsid w:val="0049040D"/>
    <w:rsid w:val="004925A3"/>
    <w:rsid w:val="00492CA4"/>
    <w:rsid w:val="004942FF"/>
    <w:rsid w:val="0049633F"/>
    <w:rsid w:val="004A1127"/>
    <w:rsid w:val="004A23B0"/>
    <w:rsid w:val="004A4CA7"/>
    <w:rsid w:val="004A7ED9"/>
    <w:rsid w:val="004B0479"/>
    <w:rsid w:val="004B1A3B"/>
    <w:rsid w:val="004B2C41"/>
    <w:rsid w:val="004B30C1"/>
    <w:rsid w:val="004B62FD"/>
    <w:rsid w:val="004B642A"/>
    <w:rsid w:val="004B6CBB"/>
    <w:rsid w:val="004B6D30"/>
    <w:rsid w:val="004C1B11"/>
    <w:rsid w:val="004C20FF"/>
    <w:rsid w:val="004C3EE2"/>
    <w:rsid w:val="004C3FE0"/>
    <w:rsid w:val="004C44EC"/>
    <w:rsid w:val="004C59FD"/>
    <w:rsid w:val="004C6386"/>
    <w:rsid w:val="004C6FD2"/>
    <w:rsid w:val="004C7A27"/>
    <w:rsid w:val="004D07CB"/>
    <w:rsid w:val="004D1CF9"/>
    <w:rsid w:val="004D248F"/>
    <w:rsid w:val="004D35E3"/>
    <w:rsid w:val="004D3ADD"/>
    <w:rsid w:val="004D57B1"/>
    <w:rsid w:val="004D603B"/>
    <w:rsid w:val="004D62FB"/>
    <w:rsid w:val="004E1486"/>
    <w:rsid w:val="004E17C7"/>
    <w:rsid w:val="004E3387"/>
    <w:rsid w:val="004E37D9"/>
    <w:rsid w:val="004E4386"/>
    <w:rsid w:val="004E4A25"/>
    <w:rsid w:val="004F0192"/>
    <w:rsid w:val="004F094E"/>
    <w:rsid w:val="004F1074"/>
    <w:rsid w:val="004F23E2"/>
    <w:rsid w:val="004F27A2"/>
    <w:rsid w:val="004F45B1"/>
    <w:rsid w:val="004F46EA"/>
    <w:rsid w:val="004F5F47"/>
    <w:rsid w:val="0050141E"/>
    <w:rsid w:val="00501AA4"/>
    <w:rsid w:val="00501EA3"/>
    <w:rsid w:val="005035FA"/>
    <w:rsid w:val="00505A45"/>
    <w:rsid w:val="00506898"/>
    <w:rsid w:val="0051003C"/>
    <w:rsid w:val="00510873"/>
    <w:rsid w:val="005138D9"/>
    <w:rsid w:val="00514E02"/>
    <w:rsid w:val="00514EA4"/>
    <w:rsid w:val="00515CDC"/>
    <w:rsid w:val="00526382"/>
    <w:rsid w:val="00533686"/>
    <w:rsid w:val="00534797"/>
    <w:rsid w:val="005351C5"/>
    <w:rsid w:val="005369BB"/>
    <w:rsid w:val="00536B15"/>
    <w:rsid w:val="00537C3D"/>
    <w:rsid w:val="0054078A"/>
    <w:rsid w:val="00541D3A"/>
    <w:rsid w:val="00543D50"/>
    <w:rsid w:val="0054600D"/>
    <w:rsid w:val="00547C74"/>
    <w:rsid w:val="005528CE"/>
    <w:rsid w:val="00554431"/>
    <w:rsid w:val="00555FFB"/>
    <w:rsid w:val="00556DCD"/>
    <w:rsid w:val="00560722"/>
    <w:rsid w:val="00563D6A"/>
    <w:rsid w:val="00564F3F"/>
    <w:rsid w:val="0056646E"/>
    <w:rsid w:val="00567759"/>
    <w:rsid w:val="00572FFE"/>
    <w:rsid w:val="00574028"/>
    <w:rsid w:val="00574D84"/>
    <w:rsid w:val="00575174"/>
    <w:rsid w:val="00577E2C"/>
    <w:rsid w:val="005849E5"/>
    <w:rsid w:val="00586312"/>
    <w:rsid w:val="00586DC5"/>
    <w:rsid w:val="00587595"/>
    <w:rsid w:val="00587E41"/>
    <w:rsid w:val="005920AA"/>
    <w:rsid w:val="00593455"/>
    <w:rsid w:val="00595929"/>
    <w:rsid w:val="00595BAC"/>
    <w:rsid w:val="005A0212"/>
    <w:rsid w:val="005A60E3"/>
    <w:rsid w:val="005A64D4"/>
    <w:rsid w:val="005A6BF9"/>
    <w:rsid w:val="005A7A4B"/>
    <w:rsid w:val="005B1424"/>
    <w:rsid w:val="005B34EE"/>
    <w:rsid w:val="005B3B31"/>
    <w:rsid w:val="005B4C6F"/>
    <w:rsid w:val="005C06D0"/>
    <w:rsid w:val="005C17D1"/>
    <w:rsid w:val="005C73C8"/>
    <w:rsid w:val="005C75A2"/>
    <w:rsid w:val="005C7706"/>
    <w:rsid w:val="005D4EA9"/>
    <w:rsid w:val="005D5A01"/>
    <w:rsid w:val="005E0C19"/>
    <w:rsid w:val="005E5E06"/>
    <w:rsid w:val="005E6905"/>
    <w:rsid w:val="005E79F9"/>
    <w:rsid w:val="005F0352"/>
    <w:rsid w:val="005F259D"/>
    <w:rsid w:val="005F7A40"/>
    <w:rsid w:val="006010EE"/>
    <w:rsid w:val="00603583"/>
    <w:rsid w:val="006055E6"/>
    <w:rsid w:val="00607945"/>
    <w:rsid w:val="00612334"/>
    <w:rsid w:val="006125BD"/>
    <w:rsid w:val="006130B3"/>
    <w:rsid w:val="0061368A"/>
    <w:rsid w:val="0061497C"/>
    <w:rsid w:val="00616A3F"/>
    <w:rsid w:val="00617AEB"/>
    <w:rsid w:val="00621BD2"/>
    <w:rsid w:val="00625890"/>
    <w:rsid w:val="00626E02"/>
    <w:rsid w:val="00627D58"/>
    <w:rsid w:val="00630548"/>
    <w:rsid w:val="0063096B"/>
    <w:rsid w:val="006317B3"/>
    <w:rsid w:val="006324EA"/>
    <w:rsid w:val="00633136"/>
    <w:rsid w:val="00637266"/>
    <w:rsid w:val="00640624"/>
    <w:rsid w:val="006414F0"/>
    <w:rsid w:val="0064275C"/>
    <w:rsid w:val="006434A0"/>
    <w:rsid w:val="00643BC4"/>
    <w:rsid w:val="00644577"/>
    <w:rsid w:val="00647DCC"/>
    <w:rsid w:val="00650ED9"/>
    <w:rsid w:val="006519A6"/>
    <w:rsid w:val="00654C3E"/>
    <w:rsid w:val="0065717B"/>
    <w:rsid w:val="00657855"/>
    <w:rsid w:val="00657D57"/>
    <w:rsid w:val="00657FF8"/>
    <w:rsid w:val="0066139B"/>
    <w:rsid w:val="0067002A"/>
    <w:rsid w:val="00674FA3"/>
    <w:rsid w:val="00677CFF"/>
    <w:rsid w:val="00684C4E"/>
    <w:rsid w:val="00684D7F"/>
    <w:rsid w:val="00684F56"/>
    <w:rsid w:val="00685AE5"/>
    <w:rsid w:val="00687F85"/>
    <w:rsid w:val="00687FD2"/>
    <w:rsid w:val="00690EC6"/>
    <w:rsid w:val="006928B4"/>
    <w:rsid w:val="006950FC"/>
    <w:rsid w:val="006958C6"/>
    <w:rsid w:val="00695DD9"/>
    <w:rsid w:val="00696CB1"/>
    <w:rsid w:val="00697CE4"/>
    <w:rsid w:val="006A0B8F"/>
    <w:rsid w:val="006A1622"/>
    <w:rsid w:val="006A2D34"/>
    <w:rsid w:val="006A4726"/>
    <w:rsid w:val="006A59AE"/>
    <w:rsid w:val="006A62F5"/>
    <w:rsid w:val="006A796E"/>
    <w:rsid w:val="006B0DC5"/>
    <w:rsid w:val="006B20C8"/>
    <w:rsid w:val="006B34B7"/>
    <w:rsid w:val="006B50EC"/>
    <w:rsid w:val="006B54E2"/>
    <w:rsid w:val="006C2D07"/>
    <w:rsid w:val="006C3FC3"/>
    <w:rsid w:val="006C626E"/>
    <w:rsid w:val="006C75D4"/>
    <w:rsid w:val="006C7AEB"/>
    <w:rsid w:val="006D128C"/>
    <w:rsid w:val="006D40CA"/>
    <w:rsid w:val="006D4F29"/>
    <w:rsid w:val="006D649E"/>
    <w:rsid w:val="006D6DEC"/>
    <w:rsid w:val="006D71F4"/>
    <w:rsid w:val="006E2FEC"/>
    <w:rsid w:val="006E3D24"/>
    <w:rsid w:val="006E4052"/>
    <w:rsid w:val="006E41B1"/>
    <w:rsid w:val="006E5D75"/>
    <w:rsid w:val="006E6329"/>
    <w:rsid w:val="006E7462"/>
    <w:rsid w:val="006F1032"/>
    <w:rsid w:val="006F2FF5"/>
    <w:rsid w:val="00701743"/>
    <w:rsid w:val="00702094"/>
    <w:rsid w:val="007029ED"/>
    <w:rsid w:val="007029F8"/>
    <w:rsid w:val="00706E74"/>
    <w:rsid w:val="00711E82"/>
    <w:rsid w:val="007123CF"/>
    <w:rsid w:val="00712CAA"/>
    <w:rsid w:val="00714295"/>
    <w:rsid w:val="00717042"/>
    <w:rsid w:val="0072272D"/>
    <w:rsid w:val="0072418C"/>
    <w:rsid w:val="00726178"/>
    <w:rsid w:val="00730527"/>
    <w:rsid w:val="00732347"/>
    <w:rsid w:val="00734F63"/>
    <w:rsid w:val="007359B8"/>
    <w:rsid w:val="00735DC6"/>
    <w:rsid w:val="00736115"/>
    <w:rsid w:val="00736BF6"/>
    <w:rsid w:val="007370FD"/>
    <w:rsid w:val="00741DBE"/>
    <w:rsid w:val="00743761"/>
    <w:rsid w:val="00745928"/>
    <w:rsid w:val="00750FC9"/>
    <w:rsid w:val="007540BC"/>
    <w:rsid w:val="0075582A"/>
    <w:rsid w:val="00756622"/>
    <w:rsid w:val="007641B9"/>
    <w:rsid w:val="0076768E"/>
    <w:rsid w:val="00770D69"/>
    <w:rsid w:val="007722B5"/>
    <w:rsid w:val="00772B35"/>
    <w:rsid w:val="00772C8E"/>
    <w:rsid w:val="00774E45"/>
    <w:rsid w:val="00775424"/>
    <w:rsid w:val="0077686F"/>
    <w:rsid w:val="007773C6"/>
    <w:rsid w:val="00777F32"/>
    <w:rsid w:val="007812F9"/>
    <w:rsid w:val="0078414E"/>
    <w:rsid w:val="0078467A"/>
    <w:rsid w:val="00785F69"/>
    <w:rsid w:val="007869A1"/>
    <w:rsid w:val="00790261"/>
    <w:rsid w:val="007902E0"/>
    <w:rsid w:val="00791E8E"/>
    <w:rsid w:val="00793C6D"/>
    <w:rsid w:val="0079498D"/>
    <w:rsid w:val="00795350"/>
    <w:rsid w:val="007973DE"/>
    <w:rsid w:val="007975EF"/>
    <w:rsid w:val="007A1111"/>
    <w:rsid w:val="007A1C53"/>
    <w:rsid w:val="007A21D7"/>
    <w:rsid w:val="007A3366"/>
    <w:rsid w:val="007A6C02"/>
    <w:rsid w:val="007A7BFC"/>
    <w:rsid w:val="007A7CBB"/>
    <w:rsid w:val="007B04EC"/>
    <w:rsid w:val="007B2F9A"/>
    <w:rsid w:val="007B3B2B"/>
    <w:rsid w:val="007B4223"/>
    <w:rsid w:val="007B44D6"/>
    <w:rsid w:val="007B7661"/>
    <w:rsid w:val="007C060D"/>
    <w:rsid w:val="007C0669"/>
    <w:rsid w:val="007C2214"/>
    <w:rsid w:val="007C2A64"/>
    <w:rsid w:val="007C35AD"/>
    <w:rsid w:val="007C422D"/>
    <w:rsid w:val="007D13A3"/>
    <w:rsid w:val="007D14F7"/>
    <w:rsid w:val="007D2AA3"/>
    <w:rsid w:val="007D3F3A"/>
    <w:rsid w:val="007D4483"/>
    <w:rsid w:val="007E1E30"/>
    <w:rsid w:val="007E21BA"/>
    <w:rsid w:val="007E2A33"/>
    <w:rsid w:val="007E3329"/>
    <w:rsid w:val="007E56D7"/>
    <w:rsid w:val="007E5A1E"/>
    <w:rsid w:val="007E7616"/>
    <w:rsid w:val="007F0051"/>
    <w:rsid w:val="007F1685"/>
    <w:rsid w:val="007F2724"/>
    <w:rsid w:val="007F6E44"/>
    <w:rsid w:val="007F6EBC"/>
    <w:rsid w:val="007F7182"/>
    <w:rsid w:val="008016FA"/>
    <w:rsid w:val="00801FD7"/>
    <w:rsid w:val="008056E2"/>
    <w:rsid w:val="008071A1"/>
    <w:rsid w:val="00811A33"/>
    <w:rsid w:val="008122B2"/>
    <w:rsid w:val="00814294"/>
    <w:rsid w:val="008150E5"/>
    <w:rsid w:val="008213E9"/>
    <w:rsid w:val="00821AEC"/>
    <w:rsid w:val="00823122"/>
    <w:rsid w:val="008256A2"/>
    <w:rsid w:val="008257FF"/>
    <w:rsid w:val="00825CE3"/>
    <w:rsid w:val="00825FC5"/>
    <w:rsid w:val="008269CE"/>
    <w:rsid w:val="00827D8E"/>
    <w:rsid w:val="00831373"/>
    <w:rsid w:val="008319F2"/>
    <w:rsid w:val="00831C91"/>
    <w:rsid w:val="008324FA"/>
    <w:rsid w:val="00832513"/>
    <w:rsid w:val="0083255A"/>
    <w:rsid w:val="0083592F"/>
    <w:rsid w:val="00835B16"/>
    <w:rsid w:val="00835C14"/>
    <w:rsid w:val="00837247"/>
    <w:rsid w:val="00840E9F"/>
    <w:rsid w:val="00842773"/>
    <w:rsid w:val="008441DC"/>
    <w:rsid w:val="00846BB0"/>
    <w:rsid w:val="00847D56"/>
    <w:rsid w:val="00851120"/>
    <w:rsid w:val="0085231F"/>
    <w:rsid w:val="008529A3"/>
    <w:rsid w:val="008561AE"/>
    <w:rsid w:val="008576C6"/>
    <w:rsid w:val="00857714"/>
    <w:rsid w:val="00860F21"/>
    <w:rsid w:val="0086293A"/>
    <w:rsid w:val="00862C87"/>
    <w:rsid w:val="00864A6B"/>
    <w:rsid w:val="00865C8C"/>
    <w:rsid w:val="008711BA"/>
    <w:rsid w:val="00871C96"/>
    <w:rsid w:val="00872004"/>
    <w:rsid w:val="008771D1"/>
    <w:rsid w:val="008841A7"/>
    <w:rsid w:val="008845CF"/>
    <w:rsid w:val="008849B6"/>
    <w:rsid w:val="008871E9"/>
    <w:rsid w:val="00887A3E"/>
    <w:rsid w:val="008911D2"/>
    <w:rsid w:val="00894309"/>
    <w:rsid w:val="008944C6"/>
    <w:rsid w:val="00895730"/>
    <w:rsid w:val="008961AB"/>
    <w:rsid w:val="00896A74"/>
    <w:rsid w:val="008A0A71"/>
    <w:rsid w:val="008A48BE"/>
    <w:rsid w:val="008B1AF8"/>
    <w:rsid w:val="008B2F01"/>
    <w:rsid w:val="008B38D9"/>
    <w:rsid w:val="008B417C"/>
    <w:rsid w:val="008B52E3"/>
    <w:rsid w:val="008B764E"/>
    <w:rsid w:val="008B7A0F"/>
    <w:rsid w:val="008C222C"/>
    <w:rsid w:val="008C6AF3"/>
    <w:rsid w:val="008D1472"/>
    <w:rsid w:val="008D2B73"/>
    <w:rsid w:val="008D5763"/>
    <w:rsid w:val="008E02BE"/>
    <w:rsid w:val="008E1ED2"/>
    <w:rsid w:val="008E328F"/>
    <w:rsid w:val="008E3794"/>
    <w:rsid w:val="008E3C2B"/>
    <w:rsid w:val="008E5491"/>
    <w:rsid w:val="008E648C"/>
    <w:rsid w:val="008E7A97"/>
    <w:rsid w:val="008F110C"/>
    <w:rsid w:val="008F2285"/>
    <w:rsid w:val="00901B27"/>
    <w:rsid w:val="009038AD"/>
    <w:rsid w:val="00903B71"/>
    <w:rsid w:val="009064B7"/>
    <w:rsid w:val="00913885"/>
    <w:rsid w:val="0091662C"/>
    <w:rsid w:val="00916B56"/>
    <w:rsid w:val="00920101"/>
    <w:rsid w:val="0092032C"/>
    <w:rsid w:val="00921C26"/>
    <w:rsid w:val="009221AE"/>
    <w:rsid w:val="00922C8B"/>
    <w:rsid w:val="00925413"/>
    <w:rsid w:val="00931991"/>
    <w:rsid w:val="0093299D"/>
    <w:rsid w:val="00934D52"/>
    <w:rsid w:val="0093725F"/>
    <w:rsid w:val="00940304"/>
    <w:rsid w:val="0094360B"/>
    <w:rsid w:val="00943F43"/>
    <w:rsid w:val="00944E07"/>
    <w:rsid w:val="0094501C"/>
    <w:rsid w:val="00945AAB"/>
    <w:rsid w:val="00950B02"/>
    <w:rsid w:val="00950CFE"/>
    <w:rsid w:val="009516E9"/>
    <w:rsid w:val="00951820"/>
    <w:rsid w:val="00952257"/>
    <w:rsid w:val="00952A6C"/>
    <w:rsid w:val="009539C2"/>
    <w:rsid w:val="00954BE4"/>
    <w:rsid w:val="0095588D"/>
    <w:rsid w:val="009561DB"/>
    <w:rsid w:val="00957E11"/>
    <w:rsid w:val="00960DDC"/>
    <w:rsid w:val="00962192"/>
    <w:rsid w:val="009637DB"/>
    <w:rsid w:val="0096421E"/>
    <w:rsid w:val="00964CF6"/>
    <w:rsid w:val="009656AE"/>
    <w:rsid w:val="00966624"/>
    <w:rsid w:val="00966E03"/>
    <w:rsid w:val="009677EE"/>
    <w:rsid w:val="0097128C"/>
    <w:rsid w:val="0097202A"/>
    <w:rsid w:val="0097300E"/>
    <w:rsid w:val="00973B46"/>
    <w:rsid w:val="00981127"/>
    <w:rsid w:val="009813CA"/>
    <w:rsid w:val="00983CE9"/>
    <w:rsid w:val="00983D05"/>
    <w:rsid w:val="00985650"/>
    <w:rsid w:val="00986FB8"/>
    <w:rsid w:val="00987CF0"/>
    <w:rsid w:val="0099220D"/>
    <w:rsid w:val="009952AF"/>
    <w:rsid w:val="00995B25"/>
    <w:rsid w:val="009A0B5C"/>
    <w:rsid w:val="009A0F8F"/>
    <w:rsid w:val="009A164D"/>
    <w:rsid w:val="009A4A03"/>
    <w:rsid w:val="009A4D0F"/>
    <w:rsid w:val="009A528B"/>
    <w:rsid w:val="009A7B69"/>
    <w:rsid w:val="009B13A7"/>
    <w:rsid w:val="009B1BF8"/>
    <w:rsid w:val="009B3D97"/>
    <w:rsid w:val="009B5378"/>
    <w:rsid w:val="009B59FE"/>
    <w:rsid w:val="009B5C95"/>
    <w:rsid w:val="009B5F04"/>
    <w:rsid w:val="009B6523"/>
    <w:rsid w:val="009B6F48"/>
    <w:rsid w:val="009B7E9C"/>
    <w:rsid w:val="009C4877"/>
    <w:rsid w:val="009C4FE4"/>
    <w:rsid w:val="009C5C44"/>
    <w:rsid w:val="009C68C5"/>
    <w:rsid w:val="009C7FCF"/>
    <w:rsid w:val="009D0E56"/>
    <w:rsid w:val="009D2FDF"/>
    <w:rsid w:val="009D3306"/>
    <w:rsid w:val="009D39F4"/>
    <w:rsid w:val="009D3D1E"/>
    <w:rsid w:val="009D4254"/>
    <w:rsid w:val="009E1750"/>
    <w:rsid w:val="009E4D54"/>
    <w:rsid w:val="009E4FA4"/>
    <w:rsid w:val="009E5499"/>
    <w:rsid w:val="009E7B49"/>
    <w:rsid w:val="009F08A1"/>
    <w:rsid w:val="009F57F5"/>
    <w:rsid w:val="00A00611"/>
    <w:rsid w:val="00A055A4"/>
    <w:rsid w:val="00A06774"/>
    <w:rsid w:val="00A069CC"/>
    <w:rsid w:val="00A07346"/>
    <w:rsid w:val="00A108E5"/>
    <w:rsid w:val="00A11908"/>
    <w:rsid w:val="00A11D07"/>
    <w:rsid w:val="00A134DD"/>
    <w:rsid w:val="00A14AEE"/>
    <w:rsid w:val="00A209D7"/>
    <w:rsid w:val="00A26225"/>
    <w:rsid w:val="00A34710"/>
    <w:rsid w:val="00A355AD"/>
    <w:rsid w:val="00A3623E"/>
    <w:rsid w:val="00A37748"/>
    <w:rsid w:val="00A40E38"/>
    <w:rsid w:val="00A44A2E"/>
    <w:rsid w:val="00A4598B"/>
    <w:rsid w:val="00A45CF3"/>
    <w:rsid w:val="00A4646F"/>
    <w:rsid w:val="00A46DF0"/>
    <w:rsid w:val="00A477C0"/>
    <w:rsid w:val="00A47A73"/>
    <w:rsid w:val="00A50ABC"/>
    <w:rsid w:val="00A5258B"/>
    <w:rsid w:val="00A54DDC"/>
    <w:rsid w:val="00A5516C"/>
    <w:rsid w:val="00A55E80"/>
    <w:rsid w:val="00A6028A"/>
    <w:rsid w:val="00A60FBC"/>
    <w:rsid w:val="00A62E0C"/>
    <w:rsid w:val="00A70024"/>
    <w:rsid w:val="00A70F4A"/>
    <w:rsid w:val="00A7111C"/>
    <w:rsid w:val="00A71CBD"/>
    <w:rsid w:val="00A732B4"/>
    <w:rsid w:val="00A74427"/>
    <w:rsid w:val="00A75406"/>
    <w:rsid w:val="00A75BEC"/>
    <w:rsid w:val="00A7704A"/>
    <w:rsid w:val="00A8539D"/>
    <w:rsid w:val="00A86331"/>
    <w:rsid w:val="00A8759C"/>
    <w:rsid w:val="00A91120"/>
    <w:rsid w:val="00A91B0F"/>
    <w:rsid w:val="00A92074"/>
    <w:rsid w:val="00A93AE4"/>
    <w:rsid w:val="00A93C02"/>
    <w:rsid w:val="00A9705E"/>
    <w:rsid w:val="00A97625"/>
    <w:rsid w:val="00A978CC"/>
    <w:rsid w:val="00AA1275"/>
    <w:rsid w:val="00AA2EF4"/>
    <w:rsid w:val="00AA59C7"/>
    <w:rsid w:val="00AA5A86"/>
    <w:rsid w:val="00AA6CD2"/>
    <w:rsid w:val="00AB0F3A"/>
    <w:rsid w:val="00AB0F77"/>
    <w:rsid w:val="00AB4BA9"/>
    <w:rsid w:val="00AB519B"/>
    <w:rsid w:val="00AB5BA4"/>
    <w:rsid w:val="00AC0845"/>
    <w:rsid w:val="00AC14C1"/>
    <w:rsid w:val="00AC27E1"/>
    <w:rsid w:val="00AC646E"/>
    <w:rsid w:val="00AD01ED"/>
    <w:rsid w:val="00AD0B51"/>
    <w:rsid w:val="00AD1324"/>
    <w:rsid w:val="00AD14F1"/>
    <w:rsid w:val="00AD29FC"/>
    <w:rsid w:val="00AD7DBE"/>
    <w:rsid w:val="00AE1B25"/>
    <w:rsid w:val="00AE3431"/>
    <w:rsid w:val="00AE3DE7"/>
    <w:rsid w:val="00AE6511"/>
    <w:rsid w:val="00AF0864"/>
    <w:rsid w:val="00AF3846"/>
    <w:rsid w:val="00AF5B38"/>
    <w:rsid w:val="00AF6C42"/>
    <w:rsid w:val="00AF74FE"/>
    <w:rsid w:val="00B033C2"/>
    <w:rsid w:val="00B06CAF"/>
    <w:rsid w:val="00B07DD6"/>
    <w:rsid w:val="00B100C2"/>
    <w:rsid w:val="00B13F1C"/>
    <w:rsid w:val="00B17150"/>
    <w:rsid w:val="00B17B68"/>
    <w:rsid w:val="00B20480"/>
    <w:rsid w:val="00B206C5"/>
    <w:rsid w:val="00B20E4C"/>
    <w:rsid w:val="00B21826"/>
    <w:rsid w:val="00B23C8B"/>
    <w:rsid w:val="00B24C19"/>
    <w:rsid w:val="00B26358"/>
    <w:rsid w:val="00B2676E"/>
    <w:rsid w:val="00B3016C"/>
    <w:rsid w:val="00B31C10"/>
    <w:rsid w:val="00B3250C"/>
    <w:rsid w:val="00B3349C"/>
    <w:rsid w:val="00B350F7"/>
    <w:rsid w:val="00B356F5"/>
    <w:rsid w:val="00B366F2"/>
    <w:rsid w:val="00B36C86"/>
    <w:rsid w:val="00B3708E"/>
    <w:rsid w:val="00B37A60"/>
    <w:rsid w:val="00B40197"/>
    <w:rsid w:val="00B42089"/>
    <w:rsid w:val="00B44295"/>
    <w:rsid w:val="00B47AE6"/>
    <w:rsid w:val="00B509D4"/>
    <w:rsid w:val="00B51CF1"/>
    <w:rsid w:val="00B52396"/>
    <w:rsid w:val="00B52CD1"/>
    <w:rsid w:val="00B5311D"/>
    <w:rsid w:val="00B5350A"/>
    <w:rsid w:val="00B541F6"/>
    <w:rsid w:val="00B55DF9"/>
    <w:rsid w:val="00B56475"/>
    <w:rsid w:val="00B600EC"/>
    <w:rsid w:val="00B60947"/>
    <w:rsid w:val="00B63829"/>
    <w:rsid w:val="00B639ED"/>
    <w:rsid w:val="00B64705"/>
    <w:rsid w:val="00B64B1C"/>
    <w:rsid w:val="00B656A1"/>
    <w:rsid w:val="00B65B2F"/>
    <w:rsid w:val="00B6750F"/>
    <w:rsid w:val="00B7009C"/>
    <w:rsid w:val="00B714ED"/>
    <w:rsid w:val="00B717D2"/>
    <w:rsid w:val="00B72F4F"/>
    <w:rsid w:val="00B74D55"/>
    <w:rsid w:val="00B766C5"/>
    <w:rsid w:val="00B80BB4"/>
    <w:rsid w:val="00B82602"/>
    <w:rsid w:val="00B831B5"/>
    <w:rsid w:val="00B83515"/>
    <w:rsid w:val="00B8423B"/>
    <w:rsid w:val="00B84308"/>
    <w:rsid w:val="00B900CA"/>
    <w:rsid w:val="00B93548"/>
    <w:rsid w:val="00B944D6"/>
    <w:rsid w:val="00B95A61"/>
    <w:rsid w:val="00B95F51"/>
    <w:rsid w:val="00B9654F"/>
    <w:rsid w:val="00BA0865"/>
    <w:rsid w:val="00BA0D36"/>
    <w:rsid w:val="00BA515C"/>
    <w:rsid w:val="00BA618D"/>
    <w:rsid w:val="00BA7668"/>
    <w:rsid w:val="00BB1A86"/>
    <w:rsid w:val="00BB208A"/>
    <w:rsid w:val="00BB23EA"/>
    <w:rsid w:val="00BB3AA7"/>
    <w:rsid w:val="00BB3CC6"/>
    <w:rsid w:val="00BB6C16"/>
    <w:rsid w:val="00BC1CEC"/>
    <w:rsid w:val="00BC1E36"/>
    <w:rsid w:val="00BC4095"/>
    <w:rsid w:val="00BC4D9F"/>
    <w:rsid w:val="00BC4F03"/>
    <w:rsid w:val="00BC6C68"/>
    <w:rsid w:val="00BD1D62"/>
    <w:rsid w:val="00BD5817"/>
    <w:rsid w:val="00BD797D"/>
    <w:rsid w:val="00BE1933"/>
    <w:rsid w:val="00BE19EF"/>
    <w:rsid w:val="00BE3027"/>
    <w:rsid w:val="00BE362F"/>
    <w:rsid w:val="00BE5D59"/>
    <w:rsid w:val="00BF678A"/>
    <w:rsid w:val="00BF6F26"/>
    <w:rsid w:val="00BF7559"/>
    <w:rsid w:val="00BF7AFF"/>
    <w:rsid w:val="00C04C3F"/>
    <w:rsid w:val="00C07ECF"/>
    <w:rsid w:val="00C1105D"/>
    <w:rsid w:val="00C12A28"/>
    <w:rsid w:val="00C12B7A"/>
    <w:rsid w:val="00C13787"/>
    <w:rsid w:val="00C14510"/>
    <w:rsid w:val="00C14EB2"/>
    <w:rsid w:val="00C150BB"/>
    <w:rsid w:val="00C15F1B"/>
    <w:rsid w:val="00C16C4A"/>
    <w:rsid w:val="00C20380"/>
    <w:rsid w:val="00C212C9"/>
    <w:rsid w:val="00C23A9E"/>
    <w:rsid w:val="00C24AB0"/>
    <w:rsid w:val="00C26217"/>
    <w:rsid w:val="00C264F7"/>
    <w:rsid w:val="00C30ABD"/>
    <w:rsid w:val="00C319C6"/>
    <w:rsid w:val="00C33094"/>
    <w:rsid w:val="00C333D7"/>
    <w:rsid w:val="00C33431"/>
    <w:rsid w:val="00C339EE"/>
    <w:rsid w:val="00C3473C"/>
    <w:rsid w:val="00C358F2"/>
    <w:rsid w:val="00C3624C"/>
    <w:rsid w:val="00C37192"/>
    <w:rsid w:val="00C411C6"/>
    <w:rsid w:val="00C41283"/>
    <w:rsid w:val="00C41E23"/>
    <w:rsid w:val="00C44AA4"/>
    <w:rsid w:val="00C457BD"/>
    <w:rsid w:val="00C46DEB"/>
    <w:rsid w:val="00C47262"/>
    <w:rsid w:val="00C47F58"/>
    <w:rsid w:val="00C5000F"/>
    <w:rsid w:val="00C500F4"/>
    <w:rsid w:val="00C50420"/>
    <w:rsid w:val="00C52431"/>
    <w:rsid w:val="00C53E4E"/>
    <w:rsid w:val="00C546A1"/>
    <w:rsid w:val="00C54DE5"/>
    <w:rsid w:val="00C55F3C"/>
    <w:rsid w:val="00C56D29"/>
    <w:rsid w:val="00C56E02"/>
    <w:rsid w:val="00C57329"/>
    <w:rsid w:val="00C57ED6"/>
    <w:rsid w:val="00C631D6"/>
    <w:rsid w:val="00C72863"/>
    <w:rsid w:val="00C74117"/>
    <w:rsid w:val="00C74141"/>
    <w:rsid w:val="00C7498A"/>
    <w:rsid w:val="00C7642C"/>
    <w:rsid w:val="00C77F35"/>
    <w:rsid w:val="00C81448"/>
    <w:rsid w:val="00C815D5"/>
    <w:rsid w:val="00C83B2C"/>
    <w:rsid w:val="00C84E0C"/>
    <w:rsid w:val="00C853C9"/>
    <w:rsid w:val="00C87231"/>
    <w:rsid w:val="00C910D0"/>
    <w:rsid w:val="00C913FB"/>
    <w:rsid w:val="00C92FA5"/>
    <w:rsid w:val="00C92FE2"/>
    <w:rsid w:val="00C93BB8"/>
    <w:rsid w:val="00CA3ADF"/>
    <w:rsid w:val="00CA623D"/>
    <w:rsid w:val="00CA63E4"/>
    <w:rsid w:val="00CA6F98"/>
    <w:rsid w:val="00CB4FB6"/>
    <w:rsid w:val="00CB5ECB"/>
    <w:rsid w:val="00CB6A40"/>
    <w:rsid w:val="00CB70AC"/>
    <w:rsid w:val="00CC0A47"/>
    <w:rsid w:val="00CC0C43"/>
    <w:rsid w:val="00CC1C45"/>
    <w:rsid w:val="00CC20A0"/>
    <w:rsid w:val="00CC4E59"/>
    <w:rsid w:val="00CC50B5"/>
    <w:rsid w:val="00CC65AD"/>
    <w:rsid w:val="00CD24EF"/>
    <w:rsid w:val="00CD24F8"/>
    <w:rsid w:val="00CD51CC"/>
    <w:rsid w:val="00CD76DC"/>
    <w:rsid w:val="00CD773C"/>
    <w:rsid w:val="00CE0852"/>
    <w:rsid w:val="00CE3A69"/>
    <w:rsid w:val="00CE3B91"/>
    <w:rsid w:val="00CE4204"/>
    <w:rsid w:val="00CE541F"/>
    <w:rsid w:val="00CE574B"/>
    <w:rsid w:val="00CE6A15"/>
    <w:rsid w:val="00CF0961"/>
    <w:rsid w:val="00CF28D3"/>
    <w:rsid w:val="00CF2A18"/>
    <w:rsid w:val="00CF3200"/>
    <w:rsid w:val="00CF3E2E"/>
    <w:rsid w:val="00CF6D29"/>
    <w:rsid w:val="00D0100F"/>
    <w:rsid w:val="00D01664"/>
    <w:rsid w:val="00D029F4"/>
    <w:rsid w:val="00D0551A"/>
    <w:rsid w:val="00D05B8C"/>
    <w:rsid w:val="00D067BA"/>
    <w:rsid w:val="00D068C7"/>
    <w:rsid w:val="00D10828"/>
    <w:rsid w:val="00D166F2"/>
    <w:rsid w:val="00D17F3E"/>
    <w:rsid w:val="00D201D0"/>
    <w:rsid w:val="00D21551"/>
    <w:rsid w:val="00D23AC6"/>
    <w:rsid w:val="00D24B02"/>
    <w:rsid w:val="00D25F99"/>
    <w:rsid w:val="00D27A48"/>
    <w:rsid w:val="00D310D2"/>
    <w:rsid w:val="00D31DB3"/>
    <w:rsid w:val="00D34A35"/>
    <w:rsid w:val="00D34D82"/>
    <w:rsid w:val="00D36A4A"/>
    <w:rsid w:val="00D36AA6"/>
    <w:rsid w:val="00D37761"/>
    <w:rsid w:val="00D40039"/>
    <w:rsid w:val="00D4265F"/>
    <w:rsid w:val="00D4310C"/>
    <w:rsid w:val="00D43535"/>
    <w:rsid w:val="00D44120"/>
    <w:rsid w:val="00D45EC8"/>
    <w:rsid w:val="00D466D4"/>
    <w:rsid w:val="00D46C21"/>
    <w:rsid w:val="00D47BB2"/>
    <w:rsid w:val="00D509CB"/>
    <w:rsid w:val="00D53448"/>
    <w:rsid w:val="00D53500"/>
    <w:rsid w:val="00D55043"/>
    <w:rsid w:val="00D552F7"/>
    <w:rsid w:val="00D555AC"/>
    <w:rsid w:val="00D557A4"/>
    <w:rsid w:val="00D55BF4"/>
    <w:rsid w:val="00D56229"/>
    <w:rsid w:val="00D564D4"/>
    <w:rsid w:val="00D6052F"/>
    <w:rsid w:val="00D60C95"/>
    <w:rsid w:val="00D61309"/>
    <w:rsid w:val="00D65B63"/>
    <w:rsid w:val="00D66048"/>
    <w:rsid w:val="00D671C1"/>
    <w:rsid w:val="00D7747F"/>
    <w:rsid w:val="00D8049E"/>
    <w:rsid w:val="00D82DED"/>
    <w:rsid w:val="00D8376D"/>
    <w:rsid w:val="00D84793"/>
    <w:rsid w:val="00D85445"/>
    <w:rsid w:val="00D8797B"/>
    <w:rsid w:val="00D87C09"/>
    <w:rsid w:val="00D90F52"/>
    <w:rsid w:val="00D914EC"/>
    <w:rsid w:val="00D934B3"/>
    <w:rsid w:val="00D94AA1"/>
    <w:rsid w:val="00D9582E"/>
    <w:rsid w:val="00DA4333"/>
    <w:rsid w:val="00DA45F4"/>
    <w:rsid w:val="00DA4CF4"/>
    <w:rsid w:val="00DA4F58"/>
    <w:rsid w:val="00DA4F9F"/>
    <w:rsid w:val="00DA7590"/>
    <w:rsid w:val="00DA785C"/>
    <w:rsid w:val="00DB0DAF"/>
    <w:rsid w:val="00DB22F0"/>
    <w:rsid w:val="00DB4F4B"/>
    <w:rsid w:val="00DB584B"/>
    <w:rsid w:val="00DC16B4"/>
    <w:rsid w:val="00DC2933"/>
    <w:rsid w:val="00DC4AFA"/>
    <w:rsid w:val="00DC642B"/>
    <w:rsid w:val="00DC69F9"/>
    <w:rsid w:val="00DD27E0"/>
    <w:rsid w:val="00DD2822"/>
    <w:rsid w:val="00DD3673"/>
    <w:rsid w:val="00DD65CC"/>
    <w:rsid w:val="00DD7895"/>
    <w:rsid w:val="00DD79B3"/>
    <w:rsid w:val="00DD7C7F"/>
    <w:rsid w:val="00DE03A2"/>
    <w:rsid w:val="00DE0F4C"/>
    <w:rsid w:val="00DE3868"/>
    <w:rsid w:val="00DE397B"/>
    <w:rsid w:val="00DE70D2"/>
    <w:rsid w:val="00DF3389"/>
    <w:rsid w:val="00DF3FB1"/>
    <w:rsid w:val="00DF40AF"/>
    <w:rsid w:val="00E00E71"/>
    <w:rsid w:val="00E03645"/>
    <w:rsid w:val="00E05141"/>
    <w:rsid w:val="00E06FBA"/>
    <w:rsid w:val="00E1027A"/>
    <w:rsid w:val="00E164DA"/>
    <w:rsid w:val="00E16B73"/>
    <w:rsid w:val="00E1723C"/>
    <w:rsid w:val="00E17BED"/>
    <w:rsid w:val="00E25822"/>
    <w:rsid w:val="00E30CAE"/>
    <w:rsid w:val="00E31489"/>
    <w:rsid w:val="00E33551"/>
    <w:rsid w:val="00E34018"/>
    <w:rsid w:val="00E35547"/>
    <w:rsid w:val="00E35C10"/>
    <w:rsid w:val="00E36376"/>
    <w:rsid w:val="00E36DA8"/>
    <w:rsid w:val="00E40C07"/>
    <w:rsid w:val="00E4588B"/>
    <w:rsid w:val="00E45F36"/>
    <w:rsid w:val="00E47E28"/>
    <w:rsid w:val="00E5007F"/>
    <w:rsid w:val="00E504FA"/>
    <w:rsid w:val="00E5236F"/>
    <w:rsid w:val="00E524BC"/>
    <w:rsid w:val="00E52E1F"/>
    <w:rsid w:val="00E52FD6"/>
    <w:rsid w:val="00E5643C"/>
    <w:rsid w:val="00E615D3"/>
    <w:rsid w:val="00E62355"/>
    <w:rsid w:val="00E64C3B"/>
    <w:rsid w:val="00E666D2"/>
    <w:rsid w:val="00E66E02"/>
    <w:rsid w:val="00E72852"/>
    <w:rsid w:val="00E753D5"/>
    <w:rsid w:val="00E8146C"/>
    <w:rsid w:val="00E81CEE"/>
    <w:rsid w:val="00E8227B"/>
    <w:rsid w:val="00E83167"/>
    <w:rsid w:val="00E84D20"/>
    <w:rsid w:val="00E84F2E"/>
    <w:rsid w:val="00E86262"/>
    <w:rsid w:val="00E8638E"/>
    <w:rsid w:val="00E863DB"/>
    <w:rsid w:val="00E870D4"/>
    <w:rsid w:val="00E91030"/>
    <w:rsid w:val="00E940C3"/>
    <w:rsid w:val="00E9432D"/>
    <w:rsid w:val="00E950EF"/>
    <w:rsid w:val="00E95EA9"/>
    <w:rsid w:val="00E97D04"/>
    <w:rsid w:val="00E97FAA"/>
    <w:rsid w:val="00EA4D9C"/>
    <w:rsid w:val="00EA78E4"/>
    <w:rsid w:val="00EB159E"/>
    <w:rsid w:val="00EB5647"/>
    <w:rsid w:val="00EB5700"/>
    <w:rsid w:val="00EC5680"/>
    <w:rsid w:val="00EC671B"/>
    <w:rsid w:val="00EC760A"/>
    <w:rsid w:val="00ED01E2"/>
    <w:rsid w:val="00ED0414"/>
    <w:rsid w:val="00ED0F57"/>
    <w:rsid w:val="00ED1CEC"/>
    <w:rsid w:val="00ED74F1"/>
    <w:rsid w:val="00EE1661"/>
    <w:rsid w:val="00EE27EA"/>
    <w:rsid w:val="00EE5A97"/>
    <w:rsid w:val="00EE626E"/>
    <w:rsid w:val="00EE7CA6"/>
    <w:rsid w:val="00EF1037"/>
    <w:rsid w:val="00EF147E"/>
    <w:rsid w:val="00EF3D54"/>
    <w:rsid w:val="00EF43B7"/>
    <w:rsid w:val="00F004FC"/>
    <w:rsid w:val="00F01B2C"/>
    <w:rsid w:val="00F01D66"/>
    <w:rsid w:val="00F02B58"/>
    <w:rsid w:val="00F03A62"/>
    <w:rsid w:val="00F079AF"/>
    <w:rsid w:val="00F10783"/>
    <w:rsid w:val="00F109BA"/>
    <w:rsid w:val="00F10F01"/>
    <w:rsid w:val="00F12EFC"/>
    <w:rsid w:val="00F1366D"/>
    <w:rsid w:val="00F13C8B"/>
    <w:rsid w:val="00F146DC"/>
    <w:rsid w:val="00F17ABD"/>
    <w:rsid w:val="00F20300"/>
    <w:rsid w:val="00F20C19"/>
    <w:rsid w:val="00F22001"/>
    <w:rsid w:val="00F22864"/>
    <w:rsid w:val="00F246A0"/>
    <w:rsid w:val="00F25188"/>
    <w:rsid w:val="00F25C08"/>
    <w:rsid w:val="00F26F42"/>
    <w:rsid w:val="00F277EC"/>
    <w:rsid w:val="00F31383"/>
    <w:rsid w:val="00F318BB"/>
    <w:rsid w:val="00F353CA"/>
    <w:rsid w:val="00F36413"/>
    <w:rsid w:val="00F36B0A"/>
    <w:rsid w:val="00F36D64"/>
    <w:rsid w:val="00F371CA"/>
    <w:rsid w:val="00F40408"/>
    <w:rsid w:val="00F41CFB"/>
    <w:rsid w:val="00F42A69"/>
    <w:rsid w:val="00F4512E"/>
    <w:rsid w:val="00F46051"/>
    <w:rsid w:val="00F4605D"/>
    <w:rsid w:val="00F46208"/>
    <w:rsid w:val="00F46BC7"/>
    <w:rsid w:val="00F47449"/>
    <w:rsid w:val="00F51C3C"/>
    <w:rsid w:val="00F52005"/>
    <w:rsid w:val="00F54138"/>
    <w:rsid w:val="00F547E8"/>
    <w:rsid w:val="00F54F71"/>
    <w:rsid w:val="00F55A00"/>
    <w:rsid w:val="00F5681E"/>
    <w:rsid w:val="00F578B8"/>
    <w:rsid w:val="00F57C44"/>
    <w:rsid w:val="00F65C32"/>
    <w:rsid w:val="00F6727B"/>
    <w:rsid w:val="00F67AB2"/>
    <w:rsid w:val="00F718FE"/>
    <w:rsid w:val="00F73894"/>
    <w:rsid w:val="00F748AA"/>
    <w:rsid w:val="00F77100"/>
    <w:rsid w:val="00F774AB"/>
    <w:rsid w:val="00F83010"/>
    <w:rsid w:val="00F851AD"/>
    <w:rsid w:val="00F85D15"/>
    <w:rsid w:val="00F86A20"/>
    <w:rsid w:val="00F90482"/>
    <w:rsid w:val="00F939F6"/>
    <w:rsid w:val="00F95912"/>
    <w:rsid w:val="00F96544"/>
    <w:rsid w:val="00F97C33"/>
    <w:rsid w:val="00FA13A2"/>
    <w:rsid w:val="00FA1B65"/>
    <w:rsid w:val="00FA3233"/>
    <w:rsid w:val="00FA36CD"/>
    <w:rsid w:val="00FA3A60"/>
    <w:rsid w:val="00FA5836"/>
    <w:rsid w:val="00FA65D9"/>
    <w:rsid w:val="00FB1FDC"/>
    <w:rsid w:val="00FB3CDF"/>
    <w:rsid w:val="00FB409D"/>
    <w:rsid w:val="00FB4140"/>
    <w:rsid w:val="00FB4E5F"/>
    <w:rsid w:val="00FB61A4"/>
    <w:rsid w:val="00FB663F"/>
    <w:rsid w:val="00FB69A8"/>
    <w:rsid w:val="00FC3F19"/>
    <w:rsid w:val="00FC47EF"/>
    <w:rsid w:val="00FC4D65"/>
    <w:rsid w:val="00FC5B11"/>
    <w:rsid w:val="00FC6C71"/>
    <w:rsid w:val="00FD55A5"/>
    <w:rsid w:val="00FD68D2"/>
    <w:rsid w:val="00FD6C66"/>
    <w:rsid w:val="00FE12A2"/>
    <w:rsid w:val="00FE21B1"/>
    <w:rsid w:val="00FE2264"/>
    <w:rsid w:val="00FE261C"/>
    <w:rsid w:val="00FE287D"/>
    <w:rsid w:val="00FE2FCF"/>
    <w:rsid w:val="00FE7808"/>
    <w:rsid w:val="00FF191C"/>
    <w:rsid w:val="00FF23F6"/>
    <w:rsid w:val="00FF2963"/>
    <w:rsid w:val="00FF2F49"/>
    <w:rsid w:val="00FF319F"/>
    <w:rsid w:val="00FF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0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6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57B"/>
    <w:rPr>
      <w:rFonts w:ascii="Times New Roman" w:hAnsi="Times New Roman"/>
      <w:sz w:val="26"/>
    </w:rPr>
  </w:style>
  <w:style w:type="paragraph" w:styleId="Heading1">
    <w:name w:val="heading 1"/>
    <w:basedOn w:val="Normal"/>
    <w:next w:val="Normal"/>
    <w:link w:val="Heading1Char"/>
    <w:uiPriority w:val="9"/>
    <w:qFormat/>
    <w:rsid w:val="00DD79B3"/>
    <w:pPr>
      <w:keepNext/>
      <w:keepLines/>
      <w:numPr>
        <w:numId w:val="8"/>
      </w:numPr>
      <w:spacing w:line="480" w:lineRule="auto"/>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D79B3"/>
    <w:pPr>
      <w:keepNext/>
      <w:keepLines/>
      <w:numPr>
        <w:ilvl w:val="1"/>
        <w:numId w:val="8"/>
      </w:numPr>
      <w:spacing w:line="480" w:lineRule="auto"/>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DD79B3"/>
    <w:pPr>
      <w:keepNext/>
      <w:keepLines/>
      <w:numPr>
        <w:ilvl w:val="2"/>
        <w:numId w:val="6"/>
      </w:numPr>
      <w:spacing w:line="480" w:lineRule="auto"/>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DD79B3"/>
    <w:pPr>
      <w:keepNext/>
      <w:keepLines/>
      <w:numPr>
        <w:ilvl w:val="3"/>
        <w:numId w:val="8"/>
      </w:numPr>
      <w:spacing w:line="480" w:lineRule="auto"/>
      <w:outlineLvl w:val="3"/>
    </w:pPr>
    <w:rPr>
      <w:rFonts w:eastAsiaTheme="majorEastAsia" w:cstheme="majorBidi"/>
      <w:iCs/>
    </w:rPr>
  </w:style>
  <w:style w:type="paragraph" w:styleId="Heading5">
    <w:name w:val="heading 5"/>
    <w:basedOn w:val="Normal"/>
    <w:next w:val="Normal"/>
    <w:link w:val="Heading5Char"/>
    <w:uiPriority w:val="9"/>
    <w:unhideWhenUsed/>
    <w:qFormat/>
    <w:rsid w:val="00DD79B3"/>
    <w:pPr>
      <w:keepNext/>
      <w:keepLines/>
      <w:numPr>
        <w:ilvl w:val="4"/>
        <w:numId w:val="8"/>
      </w:numPr>
      <w:spacing w:line="480" w:lineRule="auto"/>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bed"/>
    <w:link w:val="NoSpacingChar"/>
    <w:uiPriority w:val="1"/>
    <w:qFormat/>
    <w:rsid w:val="00851120"/>
    <w:pPr>
      <w:spacing w:line="480" w:lineRule="auto"/>
      <w:ind w:firstLine="720"/>
    </w:pPr>
    <w:rPr>
      <w:rFonts w:ascii="Times New Roman" w:hAnsi="Times New Roman"/>
      <w:sz w:val="26"/>
    </w:rPr>
  </w:style>
  <w:style w:type="character" w:customStyle="1" w:styleId="Heading1Char">
    <w:name w:val="Heading 1 Char"/>
    <w:basedOn w:val="DefaultParagraphFont"/>
    <w:link w:val="Heading1"/>
    <w:uiPriority w:val="9"/>
    <w:rsid w:val="00851120"/>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rsid w:val="00DD79B3"/>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DD79B3"/>
    <w:rPr>
      <w:rFonts w:ascii="Times New Roman" w:eastAsiaTheme="majorEastAsia" w:hAnsi="Times New Roman" w:cstheme="majorBidi"/>
      <w:sz w:val="26"/>
      <w:szCs w:val="24"/>
    </w:rPr>
  </w:style>
  <w:style w:type="character" w:customStyle="1" w:styleId="Heading4Char">
    <w:name w:val="Heading 4 Char"/>
    <w:basedOn w:val="DefaultParagraphFont"/>
    <w:link w:val="Heading4"/>
    <w:uiPriority w:val="9"/>
    <w:rsid w:val="00851120"/>
    <w:rPr>
      <w:rFonts w:ascii="Times New Roman" w:eastAsiaTheme="majorEastAsia" w:hAnsi="Times New Roman" w:cstheme="majorBidi"/>
      <w:iCs/>
      <w:sz w:val="26"/>
    </w:rPr>
  </w:style>
  <w:style w:type="character" w:customStyle="1" w:styleId="Heading5Char">
    <w:name w:val="Heading 5 Char"/>
    <w:basedOn w:val="DefaultParagraphFont"/>
    <w:link w:val="Heading5"/>
    <w:uiPriority w:val="9"/>
    <w:rsid w:val="00851120"/>
    <w:rPr>
      <w:rFonts w:ascii="Times New Roman" w:eastAsiaTheme="majorEastAsia" w:hAnsi="Times New Roman" w:cstheme="majorBidi"/>
      <w:sz w:val="26"/>
    </w:rPr>
  </w:style>
  <w:style w:type="paragraph" w:customStyle="1" w:styleId="Draft">
    <w:name w:val="Draft"/>
    <w:basedOn w:val="NoSpacing"/>
    <w:qFormat/>
    <w:rsid w:val="00D201D0"/>
    <w:pPr>
      <w:spacing w:after="260" w:line="240" w:lineRule="auto"/>
    </w:pPr>
  </w:style>
  <w:style w:type="paragraph" w:styleId="FootnoteText">
    <w:name w:val="footnote text"/>
    <w:basedOn w:val="Normal"/>
    <w:link w:val="FootnoteTextChar"/>
    <w:uiPriority w:val="99"/>
    <w:semiHidden/>
    <w:unhideWhenUsed/>
    <w:rsid w:val="000C6DE0"/>
    <w:pPr>
      <w:spacing w:line="240" w:lineRule="auto"/>
    </w:pPr>
    <w:rPr>
      <w:rFonts w:cs="Times New Roman"/>
      <w:szCs w:val="20"/>
    </w:rPr>
  </w:style>
  <w:style w:type="character" w:customStyle="1" w:styleId="FootnoteTextChar">
    <w:name w:val="Footnote Text Char"/>
    <w:basedOn w:val="DefaultParagraphFont"/>
    <w:link w:val="FootnoteText"/>
    <w:uiPriority w:val="99"/>
    <w:semiHidden/>
    <w:rsid w:val="000C6DE0"/>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0C6DE0"/>
    <w:rPr>
      <w:b/>
      <w:position w:val="8"/>
      <w:sz w:val="20"/>
      <w:vertAlign w:val="baseline"/>
    </w:rPr>
  </w:style>
  <w:style w:type="paragraph" w:styleId="Header">
    <w:name w:val="header"/>
    <w:basedOn w:val="Normal"/>
    <w:link w:val="HeaderChar"/>
    <w:uiPriority w:val="99"/>
    <w:unhideWhenUsed/>
    <w:rsid w:val="000C6DE0"/>
    <w:pPr>
      <w:tabs>
        <w:tab w:val="center" w:pos="4680"/>
        <w:tab w:val="right" w:pos="9360"/>
      </w:tabs>
      <w:spacing w:line="240" w:lineRule="auto"/>
    </w:pPr>
  </w:style>
  <w:style w:type="character" w:customStyle="1" w:styleId="HeaderChar">
    <w:name w:val="Header Char"/>
    <w:basedOn w:val="DefaultParagraphFont"/>
    <w:link w:val="Header"/>
    <w:uiPriority w:val="99"/>
    <w:rsid w:val="000C6DE0"/>
    <w:rPr>
      <w:rFonts w:ascii="Times New Roman" w:hAnsi="Times New Roman"/>
      <w:sz w:val="26"/>
    </w:rPr>
  </w:style>
  <w:style w:type="paragraph" w:styleId="Footer">
    <w:name w:val="footer"/>
    <w:basedOn w:val="Normal"/>
    <w:link w:val="FooterChar"/>
    <w:uiPriority w:val="99"/>
    <w:unhideWhenUsed/>
    <w:rsid w:val="000C6DE0"/>
    <w:pPr>
      <w:tabs>
        <w:tab w:val="center" w:pos="4680"/>
        <w:tab w:val="right" w:pos="9360"/>
      </w:tabs>
      <w:spacing w:line="240" w:lineRule="auto"/>
    </w:pPr>
  </w:style>
  <w:style w:type="character" w:customStyle="1" w:styleId="FooterChar">
    <w:name w:val="Footer Char"/>
    <w:basedOn w:val="DefaultParagraphFont"/>
    <w:link w:val="Footer"/>
    <w:uiPriority w:val="99"/>
    <w:rsid w:val="000C6DE0"/>
    <w:rPr>
      <w:rFonts w:ascii="Times New Roman" w:hAnsi="Times New Roman"/>
      <w:sz w:val="26"/>
    </w:rPr>
  </w:style>
  <w:style w:type="character" w:styleId="PageNumber">
    <w:name w:val="page number"/>
    <w:basedOn w:val="DefaultParagraphFont"/>
    <w:uiPriority w:val="99"/>
    <w:semiHidden/>
    <w:unhideWhenUsed/>
    <w:rsid w:val="000C6DE0"/>
  </w:style>
  <w:style w:type="table" w:styleId="TableGrid">
    <w:name w:val="Table Grid"/>
    <w:basedOn w:val="TableNormal"/>
    <w:uiPriority w:val="39"/>
    <w:rsid w:val="000C6D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6DC4"/>
    <w:pPr>
      <w:spacing w:line="240" w:lineRule="auto"/>
    </w:pPr>
    <w:rPr>
      <w:rFonts w:ascii="Times New Roman" w:hAnsi="Times New Roman"/>
      <w:sz w:val="26"/>
    </w:rPr>
  </w:style>
  <w:style w:type="character" w:styleId="CommentReference">
    <w:name w:val="annotation reference"/>
    <w:basedOn w:val="DefaultParagraphFont"/>
    <w:uiPriority w:val="99"/>
    <w:semiHidden/>
    <w:unhideWhenUsed/>
    <w:rsid w:val="008F110C"/>
    <w:rPr>
      <w:sz w:val="16"/>
      <w:szCs w:val="16"/>
    </w:rPr>
  </w:style>
  <w:style w:type="paragraph" w:styleId="CommentText">
    <w:name w:val="annotation text"/>
    <w:basedOn w:val="Normal"/>
    <w:link w:val="CommentTextChar"/>
    <w:uiPriority w:val="99"/>
    <w:semiHidden/>
    <w:unhideWhenUsed/>
    <w:rsid w:val="008F110C"/>
    <w:pPr>
      <w:spacing w:line="240" w:lineRule="auto"/>
    </w:pPr>
    <w:rPr>
      <w:sz w:val="20"/>
      <w:szCs w:val="20"/>
    </w:rPr>
  </w:style>
  <w:style w:type="character" w:customStyle="1" w:styleId="CommentTextChar">
    <w:name w:val="Comment Text Char"/>
    <w:basedOn w:val="DefaultParagraphFont"/>
    <w:link w:val="CommentText"/>
    <w:uiPriority w:val="99"/>
    <w:semiHidden/>
    <w:rsid w:val="008F11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F110C"/>
    <w:rPr>
      <w:b/>
      <w:bCs/>
    </w:rPr>
  </w:style>
  <w:style w:type="character" w:customStyle="1" w:styleId="CommentSubjectChar">
    <w:name w:val="Comment Subject Char"/>
    <w:basedOn w:val="CommentTextChar"/>
    <w:link w:val="CommentSubject"/>
    <w:uiPriority w:val="99"/>
    <w:semiHidden/>
    <w:rsid w:val="008F110C"/>
    <w:rPr>
      <w:rFonts w:ascii="Times New Roman" w:hAnsi="Times New Roman"/>
      <w:b/>
      <w:bCs/>
      <w:sz w:val="20"/>
      <w:szCs w:val="20"/>
    </w:rPr>
  </w:style>
  <w:style w:type="paragraph" w:customStyle="1" w:styleId="SigPage1">
    <w:name w:val="Sig.Page.1"/>
    <w:basedOn w:val="NoSpacing"/>
    <w:link w:val="SigPage1Char"/>
    <w:rsid w:val="009B5C95"/>
    <w:pPr>
      <w:tabs>
        <w:tab w:val="left" w:pos="2880"/>
      </w:tabs>
      <w:spacing w:line="240" w:lineRule="auto"/>
    </w:pPr>
  </w:style>
  <w:style w:type="character" w:customStyle="1" w:styleId="NoSpacingChar">
    <w:name w:val="No Spacing Char"/>
    <w:aliases w:val="Tabbed Char"/>
    <w:basedOn w:val="DefaultParagraphFont"/>
    <w:link w:val="NoSpacing"/>
    <w:uiPriority w:val="1"/>
    <w:rsid w:val="009B5C95"/>
    <w:rPr>
      <w:rFonts w:ascii="Times New Roman" w:hAnsi="Times New Roman"/>
      <w:sz w:val="26"/>
    </w:rPr>
  </w:style>
  <w:style w:type="character" w:customStyle="1" w:styleId="SigPage1Char">
    <w:name w:val="Sig.Page.1 Char"/>
    <w:basedOn w:val="NoSpacingChar"/>
    <w:link w:val="SigPage1"/>
    <w:rsid w:val="009B5C95"/>
    <w:rPr>
      <w:rFonts w:ascii="Times New Roman" w:hAnsi="Times New Roman"/>
      <w:sz w:val="26"/>
    </w:rPr>
  </w:style>
  <w:style w:type="paragraph" w:customStyle="1" w:styleId="SigPage2">
    <w:name w:val="Sig.Page.2"/>
    <w:basedOn w:val="NoSpacing"/>
    <w:link w:val="SigPage2Char"/>
    <w:rsid w:val="009B5C95"/>
    <w:pPr>
      <w:tabs>
        <w:tab w:val="right" w:pos="2880"/>
      </w:tabs>
      <w:spacing w:line="240" w:lineRule="auto"/>
    </w:pPr>
    <w:rPr>
      <w:rFonts w:cs="Times New Roman"/>
      <w:szCs w:val="26"/>
    </w:rPr>
  </w:style>
  <w:style w:type="character" w:customStyle="1" w:styleId="SigPage2Char">
    <w:name w:val="Sig.Page.2 Char"/>
    <w:basedOn w:val="NoSpacingChar"/>
    <w:link w:val="SigPage2"/>
    <w:rsid w:val="009B5C9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6EFBA7-E440-46FC-B6D0-A66CA47EE7ED}">
  <we:reference id="wa200003725" version="3.1.4.0" store="en-US" storeType="OMEX"/>
  <we:alternateReferences>
    <we:reference id="WA200003725" version="3.1.4.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1B2D2-3BA3-4650-B228-18CEEEEB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2023-12-15T22:12:00Z</dcterms:created>
  <dcterms:modified xsi:type="dcterms:W3CDTF">2023-12-15T22:12:00Z</dcterms:modified>
</cp:coreProperties>
</file>