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4AD4" w14:textId="7B51C679" w:rsidR="00FD4D0D" w:rsidRPr="00223085" w:rsidRDefault="007C02D3" w:rsidP="007C02D3">
      <w:pPr>
        <w:spacing w:after="0" w:line="240" w:lineRule="auto"/>
        <w:jc w:val="center"/>
        <w:rPr>
          <w:sz w:val="20"/>
          <w:szCs w:val="20"/>
        </w:rPr>
      </w:pPr>
      <w:r w:rsidRPr="00223085">
        <w:rPr>
          <w:sz w:val="20"/>
          <w:szCs w:val="20"/>
        </w:rPr>
        <w:t xml:space="preserve">Filed </w:t>
      </w:r>
      <w:r w:rsidR="002E1B58" w:rsidRPr="00223085">
        <w:rPr>
          <w:sz w:val="20"/>
          <w:szCs w:val="20"/>
        </w:rPr>
        <w:t>5/17/23</w:t>
      </w:r>
      <w:r w:rsidRPr="007C02D3">
        <w:rPr>
          <w:sz w:val="20"/>
          <w:szCs w:val="20"/>
        </w:rPr>
        <w:t>; REVIEW GRANTED.  See Cal. Rules of Court, rules 8.1105 and 8.1115 (and corresponding Comment, par. 2, concerning rule 8.1115(e)(3)).</w:t>
      </w:r>
    </w:p>
    <w:p w14:paraId="344BFCE5" w14:textId="77777777" w:rsidR="00FD4D0D" w:rsidRDefault="00FD4D0D" w:rsidP="009B3C2D">
      <w:pPr>
        <w:spacing w:after="0" w:line="240" w:lineRule="auto"/>
      </w:pPr>
    </w:p>
    <w:p w14:paraId="14603968" w14:textId="77777777" w:rsidR="009B3C2D" w:rsidRDefault="007C02D3" w:rsidP="009B3C2D">
      <w:pPr>
        <w:spacing w:after="0" w:line="240" w:lineRule="auto"/>
        <w:jc w:val="center"/>
        <w:rPr>
          <w:b/>
        </w:rPr>
      </w:pPr>
      <w:r>
        <w:rPr>
          <w:b/>
        </w:rPr>
        <w:t>CERTIFIED FOR PUBLICATION</w:t>
      </w:r>
    </w:p>
    <w:p w14:paraId="4A871483" w14:textId="77777777" w:rsidR="009B3C2D" w:rsidRDefault="009B3C2D" w:rsidP="009B3C2D">
      <w:pPr>
        <w:spacing w:after="0" w:line="240" w:lineRule="auto"/>
        <w:jc w:val="center"/>
      </w:pPr>
    </w:p>
    <w:p w14:paraId="3B2AB53D" w14:textId="77777777" w:rsidR="009B3C2D" w:rsidRDefault="009B3C2D" w:rsidP="009B3C2D">
      <w:pPr>
        <w:spacing w:after="0" w:line="240" w:lineRule="auto"/>
        <w:jc w:val="center"/>
      </w:pPr>
    </w:p>
    <w:p w14:paraId="7077C238" w14:textId="77777777" w:rsidR="009B3C2D" w:rsidRDefault="009B3C2D" w:rsidP="009B3C2D">
      <w:pPr>
        <w:spacing w:after="0" w:line="240" w:lineRule="auto"/>
        <w:jc w:val="center"/>
      </w:pPr>
    </w:p>
    <w:p w14:paraId="3D62CF1C" w14:textId="77777777" w:rsidR="009B3C2D" w:rsidRDefault="009B3C2D" w:rsidP="009B3C2D">
      <w:pPr>
        <w:spacing w:after="0" w:line="240" w:lineRule="auto"/>
        <w:jc w:val="center"/>
      </w:pPr>
    </w:p>
    <w:p w14:paraId="4518FFF4" w14:textId="6661685D" w:rsidR="001E6F7A" w:rsidRDefault="007C02D3" w:rsidP="009B3C2D">
      <w:pPr>
        <w:spacing w:after="0" w:line="240" w:lineRule="auto"/>
        <w:jc w:val="center"/>
        <w:rPr>
          <w:rFonts w:cs="Times New Roman"/>
          <w:b/>
        </w:rPr>
      </w:pPr>
      <w:r>
        <w:rPr>
          <w:rFonts w:cs="Times New Roman"/>
          <w:b/>
        </w:rPr>
        <w:t>IN THE COURT OF APPEAL OF THE STATE OF CALIFORNIA</w:t>
      </w:r>
    </w:p>
    <w:p w14:paraId="41EDB5E4" w14:textId="77777777" w:rsidR="009B3C2D" w:rsidRDefault="009B3C2D" w:rsidP="009B3C2D">
      <w:pPr>
        <w:spacing w:after="0" w:line="240" w:lineRule="auto"/>
        <w:jc w:val="center"/>
        <w:rPr>
          <w:rFonts w:cs="Times New Roman"/>
          <w:b/>
        </w:rPr>
      </w:pPr>
    </w:p>
    <w:p w14:paraId="640E5899" w14:textId="5767BA34" w:rsidR="001E6F7A" w:rsidRDefault="007C02D3" w:rsidP="009B3C2D">
      <w:pPr>
        <w:spacing w:after="0" w:line="240" w:lineRule="auto"/>
        <w:jc w:val="center"/>
        <w:rPr>
          <w:rFonts w:cs="Times New Roman"/>
          <w:b/>
        </w:rPr>
      </w:pPr>
      <w:r>
        <w:rPr>
          <w:rFonts w:cs="Times New Roman"/>
          <w:b/>
        </w:rPr>
        <w:t>FOURTH APPELLATE DISTRICT</w:t>
      </w:r>
    </w:p>
    <w:p w14:paraId="415F3694" w14:textId="77777777" w:rsidR="009B3C2D" w:rsidRDefault="009B3C2D" w:rsidP="009B3C2D">
      <w:pPr>
        <w:spacing w:after="0" w:line="240" w:lineRule="auto"/>
        <w:jc w:val="center"/>
        <w:rPr>
          <w:rFonts w:cs="Times New Roman"/>
          <w:b/>
        </w:rPr>
      </w:pPr>
    </w:p>
    <w:p w14:paraId="36D750EA" w14:textId="7CBDB5DC" w:rsidR="001E6F7A" w:rsidRDefault="007C02D3" w:rsidP="009B3C2D">
      <w:pPr>
        <w:spacing w:after="0" w:line="240" w:lineRule="auto"/>
        <w:jc w:val="center"/>
        <w:rPr>
          <w:rFonts w:cs="Times New Roman"/>
          <w:b/>
        </w:rPr>
      </w:pPr>
      <w:r>
        <w:rPr>
          <w:rFonts w:cs="Times New Roman"/>
          <w:b/>
        </w:rPr>
        <w:t>DIVISION TWO</w:t>
      </w:r>
    </w:p>
    <w:p w14:paraId="14F6C0EB" w14:textId="77777777" w:rsidR="009B3C2D" w:rsidRDefault="009B3C2D" w:rsidP="009B3C2D">
      <w:pPr>
        <w:spacing w:after="0" w:line="240" w:lineRule="auto"/>
        <w:jc w:val="center"/>
        <w:rPr>
          <w:rFonts w:cs="Times New Roman"/>
          <w:b/>
        </w:rPr>
      </w:pPr>
    </w:p>
    <w:p w14:paraId="4A196EEA" w14:textId="4CC0DCCD" w:rsidR="001E6F7A" w:rsidRDefault="001E6F7A" w:rsidP="009B3C2D">
      <w:pPr>
        <w:spacing w:after="0" w:line="240" w:lineRule="auto"/>
        <w:jc w:val="center"/>
        <w:rPr>
          <w:rFonts w:cs="Times New Roman"/>
        </w:rPr>
      </w:pPr>
    </w:p>
    <w:p w14:paraId="1DE37D7D" w14:textId="3B51F628" w:rsidR="001E6F7A" w:rsidRDefault="001E6F7A" w:rsidP="009B3C2D">
      <w:pPr>
        <w:spacing w:after="0" w:line="240" w:lineRule="auto"/>
        <w:jc w:val="cente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007B" w14:paraId="3FE7CBD1" w14:textId="77777777" w:rsidTr="001E6F7A">
        <w:tc>
          <w:tcPr>
            <w:tcW w:w="4675" w:type="dxa"/>
            <w:tcBorders>
              <w:bottom w:val="single" w:sz="4" w:space="0" w:color="auto"/>
              <w:right w:val="single" w:sz="4" w:space="0" w:color="auto"/>
            </w:tcBorders>
            <w:shd w:val="clear" w:color="auto" w:fill="auto"/>
          </w:tcPr>
          <w:p w14:paraId="27B5C519" w14:textId="6EFE4024" w:rsidR="001E6F7A" w:rsidRDefault="007C02D3" w:rsidP="001E6F7A">
            <w:pPr>
              <w:rPr>
                <w:rFonts w:cs="Times New Roman"/>
              </w:rPr>
            </w:pPr>
            <w:bookmarkStart w:id="0" w:name="_Hlk135224310"/>
            <w:r>
              <w:rPr>
                <w:rFonts w:cs="Times New Roman"/>
              </w:rPr>
              <w:t xml:space="preserve">In re </w:t>
            </w:r>
            <w:proofErr w:type="spellStart"/>
            <w:r>
              <w:rPr>
                <w:rFonts w:cs="Times New Roman"/>
              </w:rPr>
              <w:t>J</w:t>
            </w:r>
            <w:r w:rsidR="009B769D">
              <w:rPr>
                <w:rFonts w:cs="Times New Roman"/>
              </w:rPr>
              <w:t>a</w:t>
            </w:r>
            <w:r>
              <w:rPr>
                <w:rFonts w:cs="Times New Roman"/>
              </w:rPr>
              <w:t>.O</w:t>
            </w:r>
            <w:proofErr w:type="spellEnd"/>
            <w:r>
              <w:rPr>
                <w:rFonts w:cs="Times New Roman"/>
              </w:rPr>
              <w:t>.</w:t>
            </w:r>
            <w:r w:rsidR="00FD4D0D">
              <w:rPr>
                <w:rFonts w:cs="Times New Roman"/>
              </w:rPr>
              <w:t xml:space="preserve"> et al.,</w:t>
            </w:r>
            <w:r>
              <w:rPr>
                <w:rFonts w:cs="Times New Roman"/>
              </w:rPr>
              <w:t xml:space="preserve"> Person</w:t>
            </w:r>
            <w:r w:rsidR="00FD4D0D">
              <w:rPr>
                <w:rFonts w:cs="Times New Roman"/>
              </w:rPr>
              <w:t>s</w:t>
            </w:r>
            <w:r>
              <w:rPr>
                <w:rFonts w:cs="Times New Roman"/>
              </w:rPr>
              <w:t xml:space="preserve"> Coming Under the Juvenile Court Law.</w:t>
            </w:r>
          </w:p>
        </w:tc>
        <w:tc>
          <w:tcPr>
            <w:tcW w:w="4675" w:type="dxa"/>
            <w:tcBorders>
              <w:left w:val="single" w:sz="4" w:space="0" w:color="auto"/>
            </w:tcBorders>
            <w:shd w:val="clear" w:color="auto" w:fill="auto"/>
          </w:tcPr>
          <w:p w14:paraId="03571C5D" w14:textId="77777777" w:rsidR="001E6F7A" w:rsidRDefault="001E6F7A" w:rsidP="001E6F7A">
            <w:pPr>
              <w:rPr>
                <w:rFonts w:cs="Times New Roman"/>
              </w:rPr>
            </w:pPr>
          </w:p>
        </w:tc>
      </w:tr>
      <w:tr w:rsidR="00D3007B" w14:paraId="004E5ADD" w14:textId="77777777" w:rsidTr="001E6F7A">
        <w:tc>
          <w:tcPr>
            <w:tcW w:w="4675" w:type="dxa"/>
            <w:tcBorders>
              <w:bottom w:val="single" w:sz="4" w:space="0" w:color="auto"/>
              <w:right w:val="single" w:sz="4" w:space="0" w:color="auto"/>
            </w:tcBorders>
            <w:shd w:val="clear" w:color="auto" w:fill="auto"/>
          </w:tcPr>
          <w:p w14:paraId="0601F38A" w14:textId="77777777" w:rsidR="001E6F7A" w:rsidRDefault="001E6F7A" w:rsidP="001E6F7A">
            <w:pPr>
              <w:rPr>
                <w:rFonts w:cs="Times New Roman"/>
              </w:rPr>
            </w:pPr>
          </w:p>
          <w:p w14:paraId="4BD11912" w14:textId="77777777" w:rsidR="001E6F7A" w:rsidRDefault="007C02D3" w:rsidP="001E6F7A">
            <w:pPr>
              <w:rPr>
                <w:rFonts w:cs="Times New Roman"/>
              </w:rPr>
            </w:pPr>
            <w:r>
              <w:rPr>
                <w:rFonts w:cs="Times New Roman"/>
              </w:rPr>
              <w:t xml:space="preserve">SAN BERNARDINO COUNTY CHILDREN AND FAMILY </w:t>
            </w:r>
            <w:r>
              <w:rPr>
                <w:rFonts w:cs="Times New Roman"/>
              </w:rPr>
              <w:t>SERVICES,</w:t>
            </w:r>
          </w:p>
          <w:p w14:paraId="4CD47048" w14:textId="77777777" w:rsidR="001E6F7A" w:rsidRDefault="001E6F7A" w:rsidP="001E6F7A">
            <w:pPr>
              <w:rPr>
                <w:rFonts w:cs="Times New Roman"/>
              </w:rPr>
            </w:pPr>
          </w:p>
          <w:p w14:paraId="1222B8AA" w14:textId="77777777" w:rsidR="001E6F7A" w:rsidRDefault="007C02D3" w:rsidP="001E6F7A">
            <w:pPr>
              <w:rPr>
                <w:rFonts w:cs="Times New Roman"/>
              </w:rPr>
            </w:pPr>
            <w:r>
              <w:rPr>
                <w:rFonts w:cs="Times New Roman"/>
              </w:rPr>
              <w:tab/>
              <w:t>Plaintiff and Respondent,</w:t>
            </w:r>
          </w:p>
          <w:p w14:paraId="4971E3D5" w14:textId="77777777" w:rsidR="001E6F7A" w:rsidRDefault="001E6F7A" w:rsidP="001E6F7A">
            <w:pPr>
              <w:rPr>
                <w:rFonts w:cs="Times New Roman"/>
              </w:rPr>
            </w:pPr>
          </w:p>
          <w:p w14:paraId="3920D917" w14:textId="77777777" w:rsidR="001E6F7A" w:rsidRDefault="007C02D3" w:rsidP="001E6F7A">
            <w:pPr>
              <w:rPr>
                <w:rFonts w:cs="Times New Roman"/>
              </w:rPr>
            </w:pPr>
            <w:r>
              <w:rPr>
                <w:rFonts w:cs="Times New Roman"/>
              </w:rPr>
              <w:t>v.</w:t>
            </w:r>
          </w:p>
          <w:p w14:paraId="5AFFC716" w14:textId="77777777" w:rsidR="001E6F7A" w:rsidRDefault="001E6F7A" w:rsidP="001E6F7A">
            <w:pPr>
              <w:rPr>
                <w:rFonts w:cs="Times New Roman"/>
              </w:rPr>
            </w:pPr>
          </w:p>
          <w:p w14:paraId="55C4BE9C" w14:textId="77777777" w:rsidR="001E6F7A" w:rsidRDefault="007C02D3" w:rsidP="001E6F7A">
            <w:pPr>
              <w:rPr>
                <w:rFonts w:cs="Times New Roman"/>
              </w:rPr>
            </w:pPr>
            <w:r>
              <w:rPr>
                <w:rFonts w:cs="Times New Roman"/>
              </w:rPr>
              <w:t>A.C.,</w:t>
            </w:r>
          </w:p>
          <w:p w14:paraId="358186C6" w14:textId="77777777" w:rsidR="001E6F7A" w:rsidRDefault="001E6F7A" w:rsidP="001E6F7A">
            <w:pPr>
              <w:rPr>
                <w:rFonts w:cs="Times New Roman"/>
              </w:rPr>
            </w:pPr>
          </w:p>
          <w:p w14:paraId="61816A80" w14:textId="77777777" w:rsidR="001E6F7A" w:rsidRDefault="007C02D3" w:rsidP="001E6F7A">
            <w:pPr>
              <w:rPr>
                <w:rFonts w:cs="Times New Roman"/>
              </w:rPr>
            </w:pPr>
            <w:r>
              <w:rPr>
                <w:rFonts w:cs="Times New Roman"/>
              </w:rPr>
              <w:tab/>
              <w:t>Defendant and Appellant.</w:t>
            </w:r>
          </w:p>
          <w:p w14:paraId="35F12EAF" w14:textId="01ACE95E" w:rsidR="001E6F7A" w:rsidRDefault="001E6F7A" w:rsidP="001E6F7A">
            <w:pPr>
              <w:rPr>
                <w:rFonts w:cs="Times New Roman"/>
              </w:rPr>
            </w:pPr>
          </w:p>
        </w:tc>
        <w:tc>
          <w:tcPr>
            <w:tcW w:w="4675" w:type="dxa"/>
            <w:tcBorders>
              <w:left w:val="single" w:sz="4" w:space="0" w:color="auto"/>
            </w:tcBorders>
            <w:shd w:val="clear" w:color="auto" w:fill="auto"/>
          </w:tcPr>
          <w:p w14:paraId="6B5FDF83" w14:textId="77777777" w:rsidR="001E6F7A" w:rsidRDefault="001E6F7A" w:rsidP="001E6F7A">
            <w:pPr>
              <w:rPr>
                <w:rFonts w:cs="Times New Roman"/>
              </w:rPr>
            </w:pPr>
          </w:p>
          <w:p w14:paraId="4464B676" w14:textId="77777777" w:rsidR="001E6F7A" w:rsidRDefault="001E6F7A" w:rsidP="001E6F7A">
            <w:pPr>
              <w:rPr>
                <w:rFonts w:cs="Times New Roman"/>
              </w:rPr>
            </w:pPr>
          </w:p>
          <w:p w14:paraId="6CF5B609" w14:textId="77777777" w:rsidR="001E6F7A" w:rsidRDefault="007C02D3" w:rsidP="001E6F7A">
            <w:pPr>
              <w:rPr>
                <w:rFonts w:cs="Times New Roman"/>
              </w:rPr>
            </w:pPr>
            <w:r>
              <w:rPr>
                <w:rFonts w:cs="Times New Roman"/>
              </w:rPr>
              <w:tab/>
              <w:t>E079651</w:t>
            </w:r>
          </w:p>
          <w:p w14:paraId="4C73CA1F" w14:textId="77777777" w:rsidR="001E6F7A" w:rsidRDefault="001E6F7A" w:rsidP="001E6F7A">
            <w:pPr>
              <w:rPr>
                <w:rFonts w:cs="Times New Roman"/>
              </w:rPr>
            </w:pPr>
          </w:p>
          <w:p w14:paraId="4BE67D75" w14:textId="78375FE9" w:rsidR="001E6F7A" w:rsidRDefault="007C02D3" w:rsidP="001E6F7A">
            <w:pPr>
              <w:rPr>
                <w:rFonts w:cs="Times New Roman"/>
              </w:rPr>
            </w:pPr>
            <w:r>
              <w:rPr>
                <w:rFonts w:cs="Times New Roman"/>
              </w:rPr>
              <w:tab/>
              <w:t>(</w:t>
            </w:r>
            <w:proofErr w:type="spellStart"/>
            <w:r>
              <w:rPr>
                <w:rFonts w:cs="Times New Roman"/>
              </w:rPr>
              <w:t>Super.Ct.No</w:t>
            </w:r>
            <w:r w:rsidR="00FD4D0D">
              <w:rPr>
                <w:rFonts w:cs="Times New Roman"/>
              </w:rPr>
              <w:t>s</w:t>
            </w:r>
            <w:proofErr w:type="spellEnd"/>
            <w:r>
              <w:rPr>
                <w:rFonts w:cs="Times New Roman"/>
              </w:rPr>
              <w:t>. J291031</w:t>
            </w:r>
            <w:r w:rsidR="00223085">
              <w:rPr>
                <w:rFonts w:cs="Times New Roman"/>
              </w:rPr>
              <w:t xml:space="preserve">, J291032, J291033, J291034, </w:t>
            </w:r>
            <w:r w:rsidR="00FD4D0D">
              <w:rPr>
                <w:rFonts w:cs="Times New Roman"/>
              </w:rPr>
              <w:t>J2910</w:t>
            </w:r>
            <w:r>
              <w:rPr>
                <w:rFonts w:cs="Times New Roman"/>
              </w:rPr>
              <w:t>35)</w:t>
            </w:r>
          </w:p>
          <w:p w14:paraId="7F522538" w14:textId="77777777" w:rsidR="001E6F7A" w:rsidRDefault="001E6F7A" w:rsidP="001E6F7A">
            <w:pPr>
              <w:rPr>
                <w:rFonts w:cs="Times New Roman"/>
              </w:rPr>
            </w:pPr>
          </w:p>
          <w:p w14:paraId="3016F3A4" w14:textId="54669B42" w:rsidR="001E6F7A" w:rsidRDefault="007C02D3" w:rsidP="001E6F7A">
            <w:pPr>
              <w:rPr>
                <w:rFonts w:cs="Times New Roman"/>
              </w:rPr>
            </w:pPr>
            <w:r>
              <w:rPr>
                <w:rFonts w:cs="Times New Roman"/>
              </w:rPr>
              <w:tab/>
              <w:t>OPINION</w:t>
            </w:r>
          </w:p>
          <w:p w14:paraId="0098C872" w14:textId="57CB5F61" w:rsidR="001E6F7A" w:rsidRDefault="001E6F7A" w:rsidP="001E6F7A">
            <w:pPr>
              <w:rPr>
                <w:rFonts w:cs="Times New Roman"/>
              </w:rPr>
            </w:pPr>
          </w:p>
        </w:tc>
      </w:tr>
    </w:tbl>
    <w:bookmarkEnd w:id="0"/>
    <w:p w14:paraId="0460D4CA" w14:textId="4E9CA506" w:rsidR="001E6F7A" w:rsidRDefault="007C02D3" w:rsidP="001E6F7A">
      <w:pPr>
        <w:spacing w:after="0" w:line="600" w:lineRule="exact"/>
        <w:rPr>
          <w:rFonts w:cs="Times New Roman"/>
        </w:rPr>
      </w:pPr>
      <w:r>
        <w:rPr>
          <w:rFonts w:cs="Times New Roman"/>
        </w:rPr>
        <w:tab/>
      </w:r>
      <w:r>
        <w:rPr>
          <w:rFonts w:cs="Times New Roman"/>
        </w:rPr>
        <w:t xml:space="preserve">APPEAL from the Superior Court of San Bernardino County.  Steven </w:t>
      </w:r>
      <w:r w:rsidR="00FD4D0D">
        <w:rPr>
          <w:rFonts w:cs="Times New Roman"/>
        </w:rPr>
        <w:t xml:space="preserve">A. </w:t>
      </w:r>
      <w:r>
        <w:rPr>
          <w:rFonts w:cs="Times New Roman"/>
        </w:rPr>
        <w:t xml:space="preserve">Mapes, Judge.  </w:t>
      </w:r>
      <w:r w:rsidR="007E0CCC">
        <w:rPr>
          <w:rFonts w:cs="Times New Roman"/>
        </w:rPr>
        <w:t>Affirmed</w:t>
      </w:r>
      <w:r>
        <w:rPr>
          <w:rFonts w:cs="Times New Roman"/>
        </w:rPr>
        <w:t>.</w:t>
      </w:r>
    </w:p>
    <w:p w14:paraId="4FB158EB" w14:textId="03A7EA3B" w:rsidR="001E6F7A" w:rsidRDefault="007C02D3" w:rsidP="001E6F7A">
      <w:pPr>
        <w:spacing w:after="0" w:line="600" w:lineRule="exact"/>
        <w:ind w:firstLine="720"/>
        <w:rPr>
          <w:rFonts w:cs="Times New Roman"/>
        </w:rPr>
      </w:pPr>
      <w:r>
        <w:rPr>
          <w:rFonts w:cs="Times New Roman"/>
        </w:rPr>
        <w:t>Janelle B. Price, under appointment by the Court of Appeal, for Defendant and Appellant.</w:t>
      </w:r>
    </w:p>
    <w:p w14:paraId="59B75434" w14:textId="6A73A507" w:rsidR="001E6F7A" w:rsidRDefault="007C02D3" w:rsidP="001E6F7A">
      <w:pPr>
        <w:spacing w:after="0" w:line="600" w:lineRule="exact"/>
        <w:ind w:firstLine="720"/>
        <w:rPr>
          <w:rFonts w:cs="Times New Roman"/>
        </w:rPr>
      </w:pPr>
      <w:r>
        <w:rPr>
          <w:rFonts w:cs="Times New Roman"/>
        </w:rPr>
        <w:t>Tom Bunton, County Counsel</w:t>
      </w:r>
      <w:r w:rsidR="00FD4D0D">
        <w:rPr>
          <w:rFonts w:cs="Times New Roman"/>
        </w:rPr>
        <w:t>,</w:t>
      </w:r>
      <w:r>
        <w:rPr>
          <w:rFonts w:cs="Times New Roman"/>
        </w:rPr>
        <w:t xml:space="preserve"> and Dawn M. Martin, Deputy County Counsel, for</w:t>
      </w:r>
      <w:r>
        <w:rPr>
          <w:rFonts w:cs="Times New Roman"/>
        </w:rPr>
        <w:t xml:space="preserve"> Plaintiff and Respondent.</w:t>
      </w:r>
    </w:p>
    <w:p w14:paraId="25EBF144" w14:textId="31870DAF" w:rsidR="00BD442C" w:rsidRDefault="007C02D3" w:rsidP="00243A49">
      <w:pPr>
        <w:spacing w:after="0" w:line="600" w:lineRule="exact"/>
        <w:ind w:firstLine="720"/>
        <w:rPr>
          <w:rFonts w:cs="Times New Roman"/>
        </w:rPr>
      </w:pPr>
      <w:r>
        <w:rPr>
          <w:rFonts w:cs="Times New Roman"/>
        </w:rPr>
        <w:lastRenderedPageBreak/>
        <w:t>A.C. (Mother)</w:t>
      </w:r>
      <w:r w:rsidR="00F6279C">
        <w:rPr>
          <w:rFonts w:cs="Times New Roman"/>
        </w:rPr>
        <w:t xml:space="preserve"> challenges the juvenile court’s </w:t>
      </w:r>
      <w:r w:rsidR="00D9248E">
        <w:rPr>
          <w:rFonts w:cs="Times New Roman"/>
        </w:rPr>
        <w:t xml:space="preserve">dispositional </w:t>
      </w:r>
      <w:r w:rsidR="00F6279C">
        <w:rPr>
          <w:rFonts w:cs="Times New Roman"/>
        </w:rPr>
        <w:t>finding</w:t>
      </w:r>
      <w:r w:rsidR="00D9248E">
        <w:rPr>
          <w:rFonts w:cs="Times New Roman"/>
        </w:rPr>
        <w:t xml:space="preserve"> that the Indian Child Welfare Act of 1978 (</w:t>
      </w:r>
      <w:r w:rsidR="00D9248E" w:rsidRPr="00D50BEF">
        <w:rPr>
          <w:rFonts w:cs="Times New Roman"/>
        </w:rPr>
        <w:t xml:space="preserve">25 U.S.C. </w:t>
      </w:r>
      <w:r w:rsidR="00D9248E">
        <w:rPr>
          <w:rFonts w:cs="Times New Roman"/>
        </w:rPr>
        <w:t>§ </w:t>
      </w:r>
      <w:r w:rsidR="00D9248E" w:rsidRPr="00D50BEF">
        <w:rPr>
          <w:rFonts w:cs="Times New Roman"/>
        </w:rPr>
        <w:t>1901 et seq.</w:t>
      </w:r>
      <w:r w:rsidR="00D9248E">
        <w:rPr>
          <w:rFonts w:cs="Times New Roman"/>
        </w:rPr>
        <w:t xml:space="preserve"> (ICWA)</w:t>
      </w:r>
      <w:r w:rsidR="00D9248E" w:rsidRPr="00D50BEF">
        <w:rPr>
          <w:rFonts w:cs="Times New Roman"/>
        </w:rPr>
        <w:t>)</w:t>
      </w:r>
      <w:r w:rsidR="00D9248E">
        <w:rPr>
          <w:rFonts w:cs="Times New Roman"/>
        </w:rPr>
        <w:t xml:space="preserve"> does not apply</w:t>
      </w:r>
      <w:r w:rsidR="00866E87">
        <w:rPr>
          <w:rFonts w:cs="Times New Roman"/>
        </w:rPr>
        <w:t xml:space="preserve"> to the dependency proceedings as to her five children</w:t>
      </w:r>
      <w:r w:rsidR="00D9248E">
        <w:rPr>
          <w:rFonts w:cs="Times New Roman"/>
        </w:rPr>
        <w:t>.  Mother contends that</w:t>
      </w:r>
      <w:r w:rsidR="00F6279C">
        <w:rPr>
          <w:rFonts w:cs="Times New Roman"/>
        </w:rPr>
        <w:t xml:space="preserve"> San Bernardino County Children and Family Services (CFS) failed to discharge its duty of initial inquiry under Welfare and Institutions Code section</w:t>
      </w:r>
      <w:r w:rsidR="00612A7D">
        <w:rPr>
          <w:rFonts w:cs="Times New Roman"/>
        </w:rPr>
        <w:t> </w:t>
      </w:r>
      <w:r w:rsidR="00F6279C">
        <w:rPr>
          <w:rFonts w:cs="Times New Roman"/>
        </w:rPr>
        <w:t>224.2, subdivision (b)</w:t>
      </w:r>
      <w:r>
        <w:rPr>
          <w:rFonts w:cs="Times New Roman"/>
        </w:rPr>
        <w:t xml:space="preserve">.  </w:t>
      </w:r>
      <w:r w:rsidR="00F57E32">
        <w:rPr>
          <w:rFonts w:cs="Times New Roman"/>
        </w:rPr>
        <w:t xml:space="preserve">(Unlabeled statutory citations refer to this code.)  </w:t>
      </w:r>
      <w:r>
        <w:rPr>
          <w:rFonts w:cs="Times New Roman"/>
        </w:rPr>
        <w:t xml:space="preserve">We </w:t>
      </w:r>
      <w:r w:rsidR="00F57E32">
        <w:rPr>
          <w:rFonts w:cs="Times New Roman"/>
        </w:rPr>
        <w:t>conclude that Mother’s argument lacks merit and ther</w:t>
      </w:r>
      <w:r w:rsidR="007F5FEA">
        <w:rPr>
          <w:rFonts w:cs="Times New Roman"/>
        </w:rPr>
        <w:t>e</w:t>
      </w:r>
      <w:r w:rsidR="00F57E32">
        <w:rPr>
          <w:rFonts w:cs="Times New Roman"/>
        </w:rPr>
        <w:t xml:space="preserve">fore </w:t>
      </w:r>
      <w:r>
        <w:rPr>
          <w:rFonts w:cs="Times New Roman"/>
        </w:rPr>
        <w:t>affirm.</w:t>
      </w:r>
    </w:p>
    <w:p w14:paraId="53AD86C5" w14:textId="77E23D28" w:rsidR="001E6F7A" w:rsidRDefault="007C02D3" w:rsidP="00EF6801">
      <w:pPr>
        <w:spacing w:after="0" w:line="600" w:lineRule="exact"/>
        <w:jc w:val="center"/>
        <w:rPr>
          <w:rFonts w:cs="Times New Roman"/>
        </w:rPr>
      </w:pPr>
      <w:r>
        <w:rPr>
          <w:rFonts w:cs="Times New Roman"/>
        </w:rPr>
        <w:t>BACKGROUND</w:t>
      </w:r>
    </w:p>
    <w:p w14:paraId="048D6B49" w14:textId="2524B603" w:rsidR="0033336C" w:rsidRDefault="007C02D3" w:rsidP="007C760E">
      <w:pPr>
        <w:spacing w:after="0" w:line="600" w:lineRule="exact"/>
        <w:ind w:firstLine="720"/>
        <w:rPr>
          <w:rFonts w:cs="Times New Roman"/>
        </w:rPr>
      </w:pPr>
      <w:r>
        <w:rPr>
          <w:rFonts w:cs="Times New Roman"/>
        </w:rPr>
        <w:t>Mother has five children:  A.</w:t>
      </w:r>
      <w:r w:rsidR="00434597">
        <w:rPr>
          <w:rFonts w:cs="Times New Roman"/>
        </w:rPr>
        <w:t>C</w:t>
      </w:r>
      <w:r>
        <w:rPr>
          <w:rFonts w:cs="Times New Roman"/>
        </w:rPr>
        <w:t>. (age 1</w:t>
      </w:r>
      <w:r w:rsidR="00631F88">
        <w:rPr>
          <w:rFonts w:cs="Times New Roman"/>
        </w:rPr>
        <w:t>4</w:t>
      </w:r>
      <w:r>
        <w:rPr>
          <w:rFonts w:cs="Times New Roman"/>
        </w:rPr>
        <w:t>), K.</w:t>
      </w:r>
      <w:r w:rsidR="00434597">
        <w:rPr>
          <w:rFonts w:cs="Times New Roman"/>
        </w:rPr>
        <w:t>C</w:t>
      </w:r>
      <w:r>
        <w:rPr>
          <w:rFonts w:cs="Times New Roman"/>
        </w:rPr>
        <w:t>. (age 1</w:t>
      </w:r>
      <w:r w:rsidR="00631F88">
        <w:rPr>
          <w:rFonts w:cs="Times New Roman"/>
        </w:rPr>
        <w:t>2</w:t>
      </w:r>
      <w:r>
        <w:rPr>
          <w:rFonts w:cs="Times New Roman"/>
        </w:rPr>
        <w:t>), J.</w:t>
      </w:r>
      <w:r w:rsidR="00434597">
        <w:rPr>
          <w:rFonts w:cs="Times New Roman"/>
        </w:rPr>
        <w:t>C</w:t>
      </w:r>
      <w:r>
        <w:rPr>
          <w:rFonts w:cs="Times New Roman"/>
        </w:rPr>
        <w:t>. (age 1</w:t>
      </w:r>
      <w:r w:rsidR="00631F88">
        <w:rPr>
          <w:rFonts w:cs="Times New Roman"/>
        </w:rPr>
        <w:t>2</w:t>
      </w:r>
      <w:r>
        <w:rPr>
          <w:rFonts w:cs="Times New Roman"/>
        </w:rPr>
        <w:t xml:space="preserve">), </w:t>
      </w:r>
      <w:proofErr w:type="spellStart"/>
      <w:r>
        <w:rPr>
          <w:rFonts w:cs="Times New Roman"/>
        </w:rPr>
        <w:t>J</w:t>
      </w:r>
      <w:r w:rsidR="00434597">
        <w:rPr>
          <w:rFonts w:cs="Times New Roman"/>
        </w:rPr>
        <w:t>e</w:t>
      </w:r>
      <w:r>
        <w:rPr>
          <w:rFonts w:cs="Times New Roman"/>
        </w:rPr>
        <w:t>.</w:t>
      </w:r>
      <w:r w:rsidR="00434597">
        <w:rPr>
          <w:rFonts w:cs="Times New Roman"/>
        </w:rPr>
        <w:t>O</w:t>
      </w:r>
      <w:proofErr w:type="spellEnd"/>
      <w:r>
        <w:rPr>
          <w:rFonts w:cs="Times New Roman"/>
        </w:rPr>
        <w:t xml:space="preserve">. (age </w:t>
      </w:r>
      <w:r w:rsidR="00631F88">
        <w:rPr>
          <w:rFonts w:cs="Times New Roman"/>
        </w:rPr>
        <w:t>8</w:t>
      </w:r>
      <w:r>
        <w:rPr>
          <w:rFonts w:cs="Times New Roman"/>
        </w:rPr>
        <w:t xml:space="preserve">), and </w:t>
      </w:r>
      <w:proofErr w:type="spellStart"/>
      <w:r>
        <w:rPr>
          <w:rFonts w:cs="Times New Roman"/>
        </w:rPr>
        <w:t>J</w:t>
      </w:r>
      <w:r w:rsidR="00434597">
        <w:rPr>
          <w:rFonts w:cs="Times New Roman"/>
        </w:rPr>
        <w:t>a</w:t>
      </w:r>
      <w:r>
        <w:rPr>
          <w:rFonts w:cs="Times New Roman"/>
        </w:rPr>
        <w:t>.</w:t>
      </w:r>
      <w:r w:rsidR="00434597">
        <w:rPr>
          <w:rFonts w:cs="Times New Roman"/>
        </w:rPr>
        <w:t>O</w:t>
      </w:r>
      <w:proofErr w:type="spellEnd"/>
      <w:r>
        <w:rPr>
          <w:rFonts w:cs="Times New Roman"/>
        </w:rPr>
        <w:t>.</w:t>
      </w:r>
      <w:r w:rsidR="00D77F01">
        <w:rPr>
          <w:rFonts w:cs="Times New Roman"/>
        </w:rPr>
        <w:t xml:space="preserve"> (age 6).</w:t>
      </w:r>
      <w:r w:rsidR="00631F88">
        <w:rPr>
          <w:rFonts w:cs="Times New Roman"/>
        </w:rPr>
        <w:t xml:space="preserve">  </w:t>
      </w:r>
    </w:p>
    <w:p w14:paraId="218A8A9B" w14:textId="70446324" w:rsidR="005B3337" w:rsidRDefault="007C02D3" w:rsidP="00EF6801">
      <w:pPr>
        <w:spacing w:after="0" w:line="600" w:lineRule="exact"/>
        <w:ind w:firstLine="720"/>
        <w:rPr>
          <w:rFonts w:cs="Times New Roman"/>
        </w:rPr>
      </w:pPr>
      <w:r>
        <w:rPr>
          <w:rFonts w:cs="Times New Roman"/>
        </w:rPr>
        <w:t xml:space="preserve">On October 20, 2021, CFS received an immediate response referral from law </w:t>
      </w:r>
      <w:r>
        <w:rPr>
          <w:rFonts w:cs="Times New Roman"/>
        </w:rPr>
        <w:t>enforcement as to all five children.</w:t>
      </w:r>
      <w:r w:rsidR="00E86BCA">
        <w:rPr>
          <w:rFonts w:cs="Times New Roman"/>
        </w:rPr>
        <w:t xml:space="preserve">  On October 21, 2021, </w:t>
      </w:r>
      <w:r w:rsidR="00D05B4B">
        <w:rPr>
          <w:rFonts w:cs="Times New Roman"/>
        </w:rPr>
        <w:t>CFS detained all five children pursuant to</w:t>
      </w:r>
      <w:r w:rsidR="00743084">
        <w:rPr>
          <w:rFonts w:cs="Times New Roman"/>
        </w:rPr>
        <w:t xml:space="preserve"> </w:t>
      </w:r>
      <w:r w:rsidR="00D05B4B">
        <w:rPr>
          <w:rFonts w:cs="Times New Roman"/>
        </w:rPr>
        <w:t>a detention warrant.</w:t>
      </w:r>
      <w:r>
        <w:rPr>
          <w:rFonts w:cs="Times New Roman"/>
        </w:rPr>
        <w:t xml:space="preserve">  </w:t>
      </w:r>
      <w:r w:rsidR="009B769D">
        <w:rPr>
          <w:rFonts w:cs="Times New Roman"/>
        </w:rPr>
        <w:t>K.C.</w:t>
      </w:r>
      <w:r w:rsidR="00E86BCA">
        <w:rPr>
          <w:rFonts w:cs="Times New Roman"/>
        </w:rPr>
        <w:t xml:space="preserve"> and </w:t>
      </w:r>
      <w:r w:rsidR="009B769D">
        <w:rPr>
          <w:rFonts w:cs="Times New Roman"/>
        </w:rPr>
        <w:t>J.C.</w:t>
      </w:r>
      <w:r w:rsidR="00E86BCA">
        <w:rPr>
          <w:rFonts w:cs="Times New Roman"/>
        </w:rPr>
        <w:t xml:space="preserve"> were placed </w:t>
      </w:r>
      <w:r>
        <w:rPr>
          <w:rFonts w:cs="Times New Roman"/>
        </w:rPr>
        <w:t xml:space="preserve">on an emergency basis </w:t>
      </w:r>
      <w:r w:rsidR="00E86BCA">
        <w:rPr>
          <w:rFonts w:cs="Times New Roman"/>
        </w:rPr>
        <w:t xml:space="preserve">in the foster home of their stepmother, Susan.  </w:t>
      </w:r>
      <w:r w:rsidR="009B769D">
        <w:rPr>
          <w:rFonts w:cs="Times New Roman"/>
        </w:rPr>
        <w:t>A.C.</w:t>
      </w:r>
      <w:r w:rsidR="00E86BCA">
        <w:rPr>
          <w:rFonts w:cs="Times New Roman"/>
        </w:rPr>
        <w:t xml:space="preserve">, </w:t>
      </w:r>
      <w:proofErr w:type="spellStart"/>
      <w:r w:rsidR="009B769D">
        <w:rPr>
          <w:rFonts w:cs="Times New Roman"/>
        </w:rPr>
        <w:t>Je.O</w:t>
      </w:r>
      <w:proofErr w:type="spellEnd"/>
      <w:r w:rsidR="009B769D">
        <w:rPr>
          <w:rFonts w:cs="Times New Roman"/>
        </w:rPr>
        <w:t>.</w:t>
      </w:r>
      <w:r w:rsidR="00E86BCA">
        <w:rPr>
          <w:rFonts w:cs="Times New Roman"/>
        </w:rPr>
        <w:t xml:space="preserve">, and </w:t>
      </w:r>
      <w:proofErr w:type="spellStart"/>
      <w:r w:rsidR="009B769D">
        <w:rPr>
          <w:rFonts w:cs="Times New Roman"/>
        </w:rPr>
        <w:t>Ja.O</w:t>
      </w:r>
      <w:proofErr w:type="spellEnd"/>
      <w:r w:rsidR="009B769D">
        <w:rPr>
          <w:rFonts w:cs="Times New Roman"/>
        </w:rPr>
        <w:t>.</w:t>
      </w:r>
      <w:r w:rsidR="00E86BCA">
        <w:rPr>
          <w:rFonts w:cs="Times New Roman"/>
        </w:rPr>
        <w:t xml:space="preserve"> were placed</w:t>
      </w:r>
      <w:r>
        <w:rPr>
          <w:rFonts w:cs="Times New Roman"/>
        </w:rPr>
        <w:t xml:space="preserve"> o</w:t>
      </w:r>
      <w:r>
        <w:rPr>
          <w:rFonts w:cs="Times New Roman"/>
        </w:rPr>
        <w:t xml:space="preserve">n an emergency basis in the foster home of nonrelative extended family members Sara and Devin.  </w:t>
      </w:r>
    </w:p>
    <w:p w14:paraId="7594FB0B" w14:textId="569E601B" w:rsidR="00321BDC" w:rsidRDefault="007C02D3" w:rsidP="00EF6801">
      <w:pPr>
        <w:spacing w:after="0" w:line="600" w:lineRule="exact"/>
        <w:ind w:firstLine="720"/>
        <w:rPr>
          <w:rFonts w:cs="Times New Roman"/>
        </w:rPr>
      </w:pPr>
      <w:r>
        <w:rPr>
          <w:rFonts w:cs="Times New Roman"/>
        </w:rPr>
        <w:t>On October 25, 2021, section 300 petitions were filed for all five children</w:t>
      </w:r>
      <w:r w:rsidR="00434AD9">
        <w:rPr>
          <w:rFonts w:cs="Times New Roman"/>
        </w:rPr>
        <w:t>, containing allegations of sexual abuse, physical abuse, domestic violence, and substance abuse</w:t>
      </w:r>
      <w:r w:rsidR="00D727BB">
        <w:rPr>
          <w:rFonts w:cs="Times New Roman"/>
        </w:rPr>
        <w:t xml:space="preserve">.  </w:t>
      </w:r>
      <w:r w:rsidR="00FD51F6">
        <w:rPr>
          <w:rFonts w:cs="Times New Roman"/>
        </w:rPr>
        <w:t xml:space="preserve">Attached to each petition is a </w:t>
      </w:r>
      <w:r w:rsidR="00612A7D">
        <w:rPr>
          <w:rFonts w:cs="Times New Roman"/>
        </w:rPr>
        <w:t xml:space="preserve">Judicial Council </w:t>
      </w:r>
      <w:r w:rsidR="00FD51F6">
        <w:rPr>
          <w:rFonts w:cs="Times New Roman"/>
        </w:rPr>
        <w:t>fo</w:t>
      </w:r>
      <w:r w:rsidR="00D727BB">
        <w:rPr>
          <w:rFonts w:cs="Times New Roman"/>
        </w:rPr>
        <w:t xml:space="preserve">rm ICWA-010(A) </w:t>
      </w:r>
      <w:r w:rsidR="00FD51F6">
        <w:rPr>
          <w:rFonts w:cs="Times New Roman"/>
        </w:rPr>
        <w:t>stating that Mother</w:t>
      </w:r>
      <w:r w:rsidR="007C3363">
        <w:rPr>
          <w:rFonts w:cs="Times New Roman"/>
        </w:rPr>
        <w:t xml:space="preserve"> was asked by a CFS social worker about the child’s Indian status on October 20, </w:t>
      </w:r>
      <w:r w:rsidR="007C3363">
        <w:rPr>
          <w:rFonts w:cs="Times New Roman"/>
        </w:rPr>
        <w:lastRenderedPageBreak/>
        <w:t>2021, and provided no reason to believe the child is or may be an Indian child.</w:t>
      </w:r>
      <w:r>
        <w:rPr>
          <w:rStyle w:val="FootnoteReference"/>
        </w:rPr>
        <w:footnoteReference w:id="2"/>
      </w:r>
      <w:r w:rsidR="007C3363">
        <w:rPr>
          <w:rFonts w:cs="Times New Roman"/>
        </w:rPr>
        <w:t xml:space="preserve">  </w:t>
      </w:r>
      <w:r w:rsidR="00D17721">
        <w:rPr>
          <w:rFonts w:cs="Times New Roman"/>
        </w:rPr>
        <w:t xml:space="preserve">Also </w:t>
      </w:r>
      <w:r w:rsidR="00434AD9">
        <w:rPr>
          <w:rFonts w:cs="Times New Roman"/>
        </w:rPr>
        <w:t>a</w:t>
      </w:r>
      <w:r w:rsidR="00D17721">
        <w:rPr>
          <w:rFonts w:cs="Times New Roman"/>
        </w:rPr>
        <w:t>ttached to the petitions for</w:t>
      </w:r>
      <w:r w:rsidR="00D727BB">
        <w:rPr>
          <w:rFonts w:cs="Times New Roman"/>
        </w:rPr>
        <w:t xml:space="preserve"> </w:t>
      </w:r>
      <w:proofErr w:type="spellStart"/>
      <w:r w:rsidR="009B769D">
        <w:rPr>
          <w:rFonts w:cs="Times New Roman"/>
        </w:rPr>
        <w:t>Je.O</w:t>
      </w:r>
      <w:proofErr w:type="spellEnd"/>
      <w:r w:rsidR="009B769D">
        <w:rPr>
          <w:rFonts w:cs="Times New Roman"/>
        </w:rPr>
        <w:t>.</w:t>
      </w:r>
      <w:r w:rsidR="00D727BB">
        <w:rPr>
          <w:rFonts w:cs="Times New Roman"/>
        </w:rPr>
        <w:t xml:space="preserve"> and </w:t>
      </w:r>
      <w:proofErr w:type="spellStart"/>
      <w:r w:rsidR="009B769D">
        <w:rPr>
          <w:rFonts w:cs="Times New Roman"/>
        </w:rPr>
        <w:t>Ja.O</w:t>
      </w:r>
      <w:proofErr w:type="spellEnd"/>
      <w:r w:rsidR="009B769D">
        <w:rPr>
          <w:rFonts w:cs="Times New Roman"/>
        </w:rPr>
        <w:t>.</w:t>
      </w:r>
      <w:r w:rsidR="00D727BB">
        <w:rPr>
          <w:rFonts w:cs="Times New Roman"/>
        </w:rPr>
        <w:t xml:space="preserve"> </w:t>
      </w:r>
      <w:r w:rsidR="00D17721">
        <w:rPr>
          <w:rFonts w:cs="Times New Roman"/>
        </w:rPr>
        <w:t xml:space="preserve">were </w:t>
      </w:r>
      <w:r w:rsidR="007C3363">
        <w:rPr>
          <w:rFonts w:cs="Times New Roman"/>
        </w:rPr>
        <w:t xml:space="preserve">forms </w:t>
      </w:r>
      <w:r w:rsidR="00D17721">
        <w:rPr>
          <w:rFonts w:cs="Times New Roman"/>
        </w:rPr>
        <w:t xml:space="preserve">stating that their father, </w:t>
      </w:r>
      <w:proofErr w:type="spellStart"/>
      <w:r w:rsidR="007F3A9F">
        <w:rPr>
          <w:rFonts w:cs="Times New Roman"/>
        </w:rPr>
        <w:t>R.O</w:t>
      </w:r>
      <w:proofErr w:type="spellEnd"/>
      <w:r w:rsidR="007F3A9F">
        <w:rPr>
          <w:rFonts w:cs="Times New Roman"/>
        </w:rPr>
        <w:t>.</w:t>
      </w:r>
      <w:r w:rsidR="007C3363">
        <w:rPr>
          <w:rFonts w:cs="Times New Roman"/>
        </w:rPr>
        <w:t>, when asked on that same day, provided no reason to believe the child is or may be an Indian child.</w:t>
      </w:r>
      <w:r w:rsidR="00D727BB">
        <w:rPr>
          <w:rFonts w:cs="Times New Roman"/>
        </w:rPr>
        <w:t xml:space="preserve">  </w:t>
      </w:r>
    </w:p>
    <w:p w14:paraId="729C53D7" w14:textId="411D6CB2" w:rsidR="00321BDC" w:rsidRDefault="007C02D3" w:rsidP="00EF6801">
      <w:pPr>
        <w:spacing w:after="0" w:line="600" w:lineRule="exact"/>
        <w:ind w:firstLine="720"/>
        <w:rPr>
          <w:rFonts w:cs="Times New Roman"/>
        </w:rPr>
      </w:pPr>
      <w:r>
        <w:rPr>
          <w:rFonts w:cs="Times New Roman"/>
        </w:rPr>
        <w:t>The detention hearing was held October 2</w:t>
      </w:r>
      <w:r w:rsidR="00FD4D0D">
        <w:rPr>
          <w:rFonts w:cs="Times New Roman"/>
        </w:rPr>
        <w:t>6</w:t>
      </w:r>
      <w:r>
        <w:rPr>
          <w:rFonts w:cs="Times New Roman"/>
        </w:rPr>
        <w:t xml:space="preserve">, 2021.  Mother and </w:t>
      </w:r>
      <w:proofErr w:type="spellStart"/>
      <w:r w:rsidR="007F3A9F">
        <w:rPr>
          <w:rFonts w:cs="Times New Roman"/>
        </w:rPr>
        <w:t>R.O</w:t>
      </w:r>
      <w:proofErr w:type="spellEnd"/>
      <w:r w:rsidR="007F3A9F">
        <w:rPr>
          <w:rFonts w:cs="Times New Roman"/>
        </w:rPr>
        <w:t>.</w:t>
      </w:r>
      <w:r>
        <w:rPr>
          <w:rFonts w:cs="Times New Roman"/>
        </w:rPr>
        <w:t xml:space="preserve"> were both present in court </w:t>
      </w:r>
      <w:r w:rsidR="00DA15DB">
        <w:rPr>
          <w:rFonts w:cs="Times New Roman"/>
        </w:rPr>
        <w:t>and</w:t>
      </w:r>
      <w:r>
        <w:rPr>
          <w:rFonts w:cs="Times New Roman"/>
        </w:rPr>
        <w:t xml:space="preserve"> appointed counsel.  Both Mother and </w:t>
      </w:r>
      <w:proofErr w:type="spellStart"/>
      <w:r w:rsidR="007F3A9F">
        <w:rPr>
          <w:rFonts w:cs="Times New Roman"/>
        </w:rPr>
        <w:t>R.O</w:t>
      </w:r>
      <w:proofErr w:type="spellEnd"/>
      <w:r w:rsidR="007F3A9F">
        <w:rPr>
          <w:rFonts w:cs="Times New Roman"/>
        </w:rPr>
        <w:t>.</w:t>
      </w:r>
      <w:r>
        <w:rPr>
          <w:rFonts w:cs="Times New Roman"/>
        </w:rPr>
        <w:t xml:space="preserve"> </w:t>
      </w:r>
      <w:r w:rsidR="00D727BB">
        <w:rPr>
          <w:rFonts w:cs="Times New Roman"/>
        </w:rPr>
        <w:t xml:space="preserve">denied Indian ancestry when questioned by the juvenile court and </w:t>
      </w:r>
      <w:r>
        <w:rPr>
          <w:rFonts w:cs="Times New Roman"/>
        </w:rPr>
        <w:t xml:space="preserve">on </w:t>
      </w:r>
      <w:r w:rsidR="00D727BB">
        <w:rPr>
          <w:rFonts w:cs="Times New Roman"/>
        </w:rPr>
        <w:t xml:space="preserve">their Parent: </w:t>
      </w:r>
      <w:r w:rsidR="00D17721">
        <w:rPr>
          <w:rFonts w:cs="Times New Roman"/>
        </w:rPr>
        <w:t xml:space="preserve"> </w:t>
      </w:r>
      <w:r w:rsidR="00D727BB">
        <w:rPr>
          <w:rFonts w:cs="Times New Roman"/>
        </w:rPr>
        <w:t>Family Find and ICWA Inquiry forms</w:t>
      </w:r>
      <w:r>
        <w:rPr>
          <w:rFonts w:cs="Times New Roman"/>
        </w:rPr>
        <w:t>.  Mother also completed, signed, and file</w:t>
      </w:r>
      <w:r>
        <w:rPr>
          <w:rFonts w:cs="Times New Roman"/>
        </w:rPr>
        <w:t xml:space="preserve">d a Parental Notification of Indian Status </w:t>
      </w:r>
      <w:r w:rsidR="00D17721">
        <w:rPr>
          <w:rFonts w:cs="Times New Roman"/>
        </w:rPr>
        <w:t xml:space="preserve">form </w:t>
      </w:r>
      <w:r>
        <w:rPr>
          <w:rFonts w:cs="Times New Roman"/>
        </w:rPr>
        <w:t xml:space="preserve">(ICWA-020) denying any tribal affiliation or Indian ancestry.  </w:t>
      </w:r>
      <w:proofErr w:type="spellStart"/>
      <w:r w:rsidR="007F3A9F">
        <w:rPr>
          <w:rFonts w:cs="Times New Roman"/>
        </w:rPr>
        <w:t>R.O</w:t>
      </w:r>
      <w:proofErr w:type="spellEnd"/>
      <w:r w:rsidR="007F3A9F">
        <w:rPr>
          <w:rFonts w:cs="Times New Roman"/>
        </w:rPr>
        <w:t>.</w:t>
      </w:r>
      <w:r>
        <w:rPr>
          <w:rFonts w:cs="Times New Roman"/>
        </w:rPr>
        <w:t xml:space="preserve"> checked box </w:t>
      </w:r>
      <w:r w:rsidR="00D17721">
        <w:rPr>
          <w:rFonts w:cs="Times New Roman"/>
        </w:rPr>
        <w:t>(</w:t>
      </w:r>
      <w:r w:rsidR="00966B30">
        <w:rPr>
          <w:rFonts w:cs="Times New Roman"/>
        </w:rPr>
        <w:t>e</w:t>
      </w:r>
      <w:r w:rsidR="00D17721">
        <w:rPr>
          <w:rFonts w:cs="Times New Roman"/>
        </w:rPr>
        <w:t>)</w:t>
      </w:r>
      <w:r w:rsidR="00966B30">
        <w:rPr>
          <w:rFonts w:cs="Times New Roman"/>
        </w:rPr>
        <w:t xml:space="preserve"> under question </w:t>
      </w:r>
      <w:r w:rsidR="00D17721">
        <w:rPr>
          <w:rFonts w:cs="Times New Roman"/>
        </w:rPr>
        <w:t>(</w:t>
      </w:r>
      <w:r w:rsidR="00966B30">
        <w:rPr>
          <w:rFonts w:cs="Times New Roman"/>
        </w:rPr>
        <w:t>3</w:t>
      </w:r>
      <w:r w:rsidR="00D17721">
        <w:rPr>
          <w:rFonts w:cs="Times New Roman"/>
        </w:rPr>
        <w:t>)</w:t>
      </w:r>
      <w:r w:rsidR="00966B30">
        <w:rPr>
          <w:rFonts w:cs="Times New Roman"/>
        </w:rPr>
        <w:t xml:space="preserve"> </w:t>
      </w:r>
      <w:r>
        <w:rPr>
          <w:rFonts w:cs="Times New Roman"/>
        </w:rPr>
        <w:t>on his ICWA-020 indicating</w:t>
      </w:r>
      <w:r w:rsidR="00AD0627">
        <w:rPr>
          <w:rFonts w:cs="Times New Roman"/>
        </w:rPr>
        <w:t xml:space="preserve"> </w:t>
      </w:r>
      <w:r>
        <w:rPr>
          <w:rFonts w:cs="Times New Roman"/>
        </w:rPr>
        <w:t>“</w:t>
      </w:r>
      <w:r w:rsidR="00AD0627">
        <w:rPr>
          <w:rFonts w:cs="Times New Roman"/>
        </w:rPr>
        <w:t>[o]</w:t>
      </w:r>
      <w:proofErr w:type="spellStart"/>
      <w:r w:rsidRPr="00321BDC">
        <w:rPr>
          <w:rFonts w:cs="Times New Roman"/>
        </w:rPr>
        <w:t>ne</w:t>
      </w:r>
      <w:proofErr w:type="spellEnd"/>
      <w:r w:rsidRPr="00321BDC">
        <w:rPr>
          <w:rFonts w:cs="Times New Roman"/>
        </w:rPr>
        <w:t xml:space="preserve"> or more of my parents, grandparents, or other lineal ancestors is or wa</w:t>
      </w:r>
      <w:r w:rsidRPr="00321BDC">
        <w:rPr>
          <w:rFonts w:cs="Times New Roman"/>
        </w:rPr>
        <w:t>s a member of a federally recognized tribe</w:t>
      </w:r>
      <w:r>
        <w:rPr>
          <w:rFonts w:cs="Times New Roman"/>
        </w:rPr>
        <w:t xml:space="preserve">,” but he left blank the spaces provided to identify the tribe, band, </w:t>
      </w:r>
      <w:r w:rsidR="00AD0627">
        <w:rPr>
          <w:rFonts w:cs="Times New Roman"/>
        </w:rPr>
        <w:t xml:space="preserve">and </w:t>
      </w:r>
      <w:r>
        <w:rPr>
          <w:rFonts w:cs="Times New Roman"/>
        </w:rPr>
        <w:t xml:space="preserve">name </w:t>
      </w:r>
      <w:r w:rsidR="00AD0627">
        <w:rPr>
          <w:rFonts w:cs="Times New Roman"/>
        </w:rPr>
        <w:t xml:space="preserve">and relationship </w:t>
      </w:r>
      <w:r>
        <w:rPr>
          <w:rFonts w:cs="Times New Roman"/>
        </w:rPr>
        <w:t xml:space="preserve">of </w:t>
      </w:r>
      <w:r w:rsidR="00F572F7">
        <w:rPr>
          <w:rFonts w:cs="Times New Roman"/>
        </w:rPr>
        <w:t xml:space="preserve">the </w:t>
      </w:r>
      <w:r>
        <w:rPr>
          <w:rFonts w:cs="Times New Roman"/>
        </w:rPr>
        <w:t>ancestor</w:t>
      </w:r>
      <w:r w:rsidRPr="00321BDC">
        <w:rPr>
          <w:rFonts w:cs="Times New Roman"/>
        </w:rPr>
        <w:t>.</w:t>
      </w:r>
      <w:r>
        <w:rPr>
          <w:rFonts w:cs="Times New Roman"/>
        </w:rPr>
        <w:t xml:space="preserve">  </w:t>
      </w:r>
      <w:r w:rsidR="00D727BB">
        <w:rPr>
          <w:rFonts w:cs="Times New Roman"/>
        </w:rPr>
        <w:t>Maternal aunt Jennifer, who was also present at the hearing, denied Indian ancestry when questioned by the court and on</w:t>
      </w:r>
      <w:r>
        <w:rPr>
          <w:rFonts w:cs="Times New Roman"/>
        </w:rPr>
        <w:t xml:space="preserve"> her Relative:</w:t>
      </w:r>
      <w:r w:rsidR="00D17721">
        <w:rPr>
          <w:rFonts w:cs="Times New Roman"/>
        </w:rPr>
        <w:t xml:space="preserve"> </w:t>
      </w:r>
      <w:r>
        <w:rPr>
          <w:rFonts w:cs="Times New Roman"/>
        </w:rPr>
        <w:t xml:space="preserve"> Family Find and ICWA Inquiry form.</w:t>
      </w:r>
    </w:p>
    <w:p w14:paraId="619FE1DD" w14:textId="20DFC7D3" w:rsidR="005D7FF1" w:rsidRDefault="007C02D3" w:rsidP="00EF6801">
      <w:pPr>
        <w:spacing w:after="0" w:line="600" w:lineRule="exact"/>
        <w:ind w:firstLine="720"/>
        <w:rPr>
          <w:rFonts w:cs="Times New Roman"/>
        </w:rPr>
      </w:pPr>
      <w:r>
        <w:rPr>
          <w:rFonts w:cs="Times New Roman"/>
        </w:rPr>
        <w:t xml:space="preserve">Mother and </w:t>
      </w:r>
      <w:proofErr w:type="spellStart"/>
      <w:r w:rsidR="007F3A9F">
        <w:rPr>
          <w:rFonts w:cs="Times New Roman"/>
        </w:rPr>
        <w:t>R.O</w:t>
      </w:r>
      <w:proofErr w:type="spellEnd"/>
      <w:r w:rsidR="007F3A9F">
        <w:rPr>
          <w:rFonts w:cs="Times New Roman"/>
        </w:rPr>
        <w:t>.</w:t>
      </w:r>
      <w:r>
        <w:rPr>
          <w:rFonts w:cs="Times New Roman"/>
        </w:rPr>
        <w:t xml:space="preserve"> </w:t>
      </w:r>
      <w:r w:rsidR="00263D8B">
        <w:rPr>
          <w:rFonts w:cs="Times New Roman"/>
        </w:rPr>
        <w:t xml:space="preserve">again </w:t>
      </w:r>
      <w:r>
        <w:rPr>
          <w:rFonts w:cs="Times New Roman"/>
        </w:rPr>
        <w:t xml:space="preserve">denied Indian ancestry when interviewed by a social worker on November 9, 2021.  </w:t>
      </w:r>
    </w:p>
    <w:p w14:paraId="19E79191" w14:textId="7D7FBC36" w:rsidR="00321BDC" w:rsidRDefault="007C02D3" w:rsidP="00EF6801">
      <w:pPr>
        <w:spacing w:after="0" w:line="600" w:lineRule="exact"/>
        <w:ind w:firstLine="720"/>
        <w:rPr>
          <w:rFonts w:cs="Times New Roman"/>
        </w:rPr>
      </w:pPr>
      <w:r>
        <w:rPr>
          <w:rFonts w:cs="Times New Roman"/>
        </w:rPr>
        <w:t xml:space="preserve">On November 16, 2021, </w:t>
      </w:r>
      <w:r w:rsidR="009B769D">
        <w:rPr>
          <w:rFonts w:cs="Times New Roman"/>
        </w:rPr>
        <w:t>J.</w:t>
      </w:r>
      <w:r w:rsidR="00BE63BC">
        <w:rPr>
          <w:rFonts w:cs="Times New Roman"/>
        </w:rPr>
        <w:t>T</w:t>
      </w:r>
      <w:r w:rsidR="00007CF9">
        <w:rPr>
          <w:rFonts w:cs="Times New Roman"/>
        </w:rPr>
        <w:t>.</w:t>
      </w:r>
      <w:r w:rsidR="00263D8B">
        <w:rPr>
          <w:rFonts w:cs="Times New Roman"/>
        </w:rPr>
        <w:t xml:space="preserve">, the alleged father of </w:t>
      </w:r>
      <w:r w:rsidR="009B769D">
        <w:rPr>
          <w:rFonts w:cs="Times New Roman"/>
        </w:rPr>
        <w:t>A.C.</w:t>
      </w:r>
      <w:r w:rsidR="00263D8B">
        <w:rPr>
          <w:rFonts w:cs="Times New Roman"/>
        </w:rPr>
        <w:t>,</w:t>
      </w:r>
      <w:r>
        <w:rPr>
          <w:rFonts w:cs="Times New Roman"/>
        </w:rPr>
        <w:t xml:space="preserve"> filed a Statement Regarding Parentage </w:t>
      </w:r>
      <w:r w:rsidR="00CC5205">
        <w:rPr>
          <w:rFonts w:cs="Times New Roman"/>
        </w:rPr>
        <w:t xml:space="preserve">form </w:t>
      </w:r>
      <w:r>
        <w:rPr>
          <w:rFonts w:cs="Times New Roman"/>
        </w:rPr>
        <w:t xml:space="preserve">(JV-505) requesting paternity testing.  </w:t>
      </w:r>
      <w:r w:rsidR="00CC5205">
        <w:rPr>
          <w:rFonts w:cs="Times New Roman"/>
        </w:rPr>
        <w:t xml:space="preserve">J.T. </w:t>
      </w:r>
      <w:r w:rsidR="00263D8B">
        <w:rPr>
          <w:rFonts w:cs="Times New Roman"/>
        </w:rPr>
        <w:t xml:space="preserve">appeared by </w:t>
      </w:r>
      <w:r w:rsidR="00263D8B">
        <w:rPr>
          <w:rFonts w:cs="Times New Roman"/>
        </w:rPr>
        <w:lastRenderedPageBreak/>
        <w:t>telephone at th</w:t>
      </w:r>
      <w:r w:rsidR="00F54AF9">
        <w:rPr>
          <w:rFonts w:cs="Times New Roman"/>
        </w:rPr>
        <w:t xml:space="preserve">at day’s </w:t>
      </w:r>
      <w:r w:rsidR="00263D8B">
        <w:rPr>
          <w:rFonts w:cs="Times New Roman"/>
        </w:rPr>
        <w:t xml:space="preserve">hearing, was appointed counsel, and </w:t>
      </w:r>
      <w:r w:rsidR="00114659">
        <w:rPr>
          <w:rFonts w:cs="Times New Roman"/>
        </w:rPr>
        <w:t>denied Indian ancestry when questioned by the court.</w:t>
      </w:r>
      <w:r>
        <w:rPr>
          <w:rFonts w:cs="Times New Roman"/>
        </w:rPr>
        <w:t xml:space="preserve">  The court ordered paternity testing, but </w:t>
      </w:r>
      <w:r w:rsidR="00CC5205">
        <w:rPr>
          <w:rFonts w:cs="Times New Roman"/>
        </w:rPr>
        <w:t>J.T. never provided a DNA sample</w:t>
      </w:r>
      <w:r>
        <w:rPr>
          <w:rFonts w:cs="Times New Roman"/>
        </w:rPr>
        <w:t xml:space="preserve">.  The court also ordered </w:t>
      </w:r>
      <w:r w:rsidR="00CC5205">
        <w:rPr>
          <w:rFonts w:cs="Times New Roman"/>
        </w:rPr>
        <w:t xml:space="preserve">J.T. </w:t>
      </w:r>
      <w:r>
        <w:rPr>
          <w:rFonts w:cs="Times New Roman"/>
        </w:rPr>
        <w:t xml:space="preserve">to complete </w:t>
      </w:r>
      <w:r w:rsidR="00593F3D">
        <w:rPr>
          <w:rFonts w:cs="Times New Roman"/>
        </w:rPr>
        <w:t>the</w:t>
      </w:r>
      <w:r>
        <w:rPr>
          <w:rFonts w:cs="Times New Roman"/>
        </w:rPr>
        <w:t xml:space="preserve"> ICWA-020, but no completed form appears in the record.</w:t>
      </w:r>
    </w:p>
    <w:p w14:paraId="684BF50C" w14:textId="0169EBA0" w:rsidR="00AD0627" w:rsidRDefault="007C02D3" w:rsidP="00EF6801">
      <w:pPr>
        <w:spacing w:after="0" w:line="600" w:lineRule="exact"/>
        <w:ind w:firstLine="720"/>
        <w:rPr>
          <w:rFonts w:cs="Times New Roman"/>
        </w:rPr>
      </w:pPr>
      <w:r>
        <w:rPr>
          <w:rFonts w:cs="Times New Roman"/>
        </w:rPr>
        <w:t>A</w:t>
      </w:r>
      <w:r w:rsidR="00AD7009">
        <w:rPr>
          <w:rFonts w:cs="Times New Roman"/>
        </w:rPr>
        <w:t xml:space="preserve"> </w:t>
      </w:r>
      <w:r>
        <w:rPr>
          <w:rFonts w:cs="Times New Roman"/>
        </w:rPr>
        <w:t>January 2022 m</w:t>
      </w:r>
      <w:r w:rsidR="0030696A">
        <w:rPr>
          <w:rFonts w:cs="Times New Roman"/>
        </w:rPr>
        <w:t xml:space="preserve">ediation </w:t>
      </w:r>
      <w:r>
        <w:rPr>
          <w:rFonts w:cs="Times New Roman"/>
        </w:rPr>
        <w:t>resulted in a partial agreement</w:t>
      </w:r>
      <w:r w:rsidR="00280662">
        <w:rPr>
          <w:rFonts w:cs="Times New Roman"/>
        </w:rPr>
        <w:t xml:space="preserve">, </w:t>
      </w:r>
      <w:r w:rsidR="00AD7009">
        <w:rPr>
          <w:rFonts w:cs="Times New Roman"/>
        </w:rPr>
        <w:t xml:space="preserve">and </w:t>
      </w:r>
      <w:r w:rsidR="00280662">
        <w:rPr>
          <w:rFonts w:cs="Times New Roman"/>
        </w:rPr>
        <w:t xml:space="preserve">the remaining unresolved jurisdictional and dispositional issues were set for contest.  </w:t>
      </w:r>
      <w:r w:rsidR="00CC5205">
        <w:rPr>
          <w:rFonts w:cs="Times New Roman"/>
        </w:rPr>
        <w:t>The</w:t>
      </w:r>
      <w:r w:rsidR="00280662">
        <w:rPr>
          <w:rFonts w:cs="Times New Roman"/>
        </w:rPr>
        <w:t xml:space="preserve"> </w:t>
      </w:r>
      <w:r w:rsidR="00E27BDB">
        <w:rPr>
          <w:rFonts w:cs="Times New Roman"/>
        </w:rPr>
        <w:t xml:space="preserve">contested </w:t>
      </w:r>
      <w:r w:rsidR="00280662">
        <w:rPr>
          <w:rFonts w:cs="Times New Roman"/>
        </w:rPr>
        <w:t>jurisdiction and disposition hearing was held on August 2, 2022.</w:t>
      </w:r>
      <w:r w:rsidR="00AD7009">
        <w:rPr>
          <w:rFonts w:cs="Times New Roman"/>
        </w:rPr>
        <w:t xml:space="preserve">  </w:t>
      </w:r>
      <w:r w:rsidR="006243D9">
        <w:rPr>
          <w:rFonts w:cs="Times New Roman"/>
        </w:rPr>
        <w:t xml:space="preserve">The </w:t>
      </w:r>
      <w:r w:rsidR="00E27BDB">
        <w:rPr>
          <w:rFonts w:cs="Times New Roman"/>
        </w:rPr>
        <w:t xml:space="preserve">court </w:t>
      </w:r>
      <w:r w:rsidR="00CB39FE">
        <w:rPr>
          <w:rFonts w:cs="Times New Roman"/>
        </w:rPr>
        <w:t xml:space="preserve">sustained </w:t>
      </w:r>
      <w:r w:rsidR="00E27BDB">
        <w:rPr>
          <w:rFonts w:cs="Times New Roman"/>
        </w:rPr>
        <w:t xml:space="preserve">the </w:t>
      </w:r>
      <w:r w:rsidR="00434597">
        <w:rPr>
          <w:rFonts w:cs="Times New Roman"/>
        </w:rPr>
        <w:t xml:space="preserve">domestic violence and substance abuse </w:t>
      </w:r>
      <w:r w:rsidR="00E27BDB">
        <w:rPr>
          <w:rFonts w:cs="Times New Roman"/>
        </w:rPr>
        <w:t xml:space="preserve">allegations as </w:t>
      </w:r>
      <w:r w:rsidR="00CB39FE">
        <w:rPr>
          <w:rFonts w:cs="Times New Roman"/>
        </w:rPr>
        <w:t>amended in accordance with the mediation agreement.</w:t>
      </w:r>
      <w:r w:rsidR="00E27BDB">
        <w:rPr>
          <w:rFonts w:cs="Times New Roman"/>
        </w:rPr>
        <w:t xml:space="preserve">  The court sustained the remaining allegations </w:t>
      </w:r>
      <w:r w:rsidR="00434597">
        <w:rPr>
          <w:rFonts w:cs="Times New Roman"/>
        </w:rPr>
        <w:t>concerning</w:t>
      </w:r>
      <w:r w:rsidR="00E27BDB">
        <w:rPr>
          <w:rFonts w:cs="Times New Roman"/>
        </w:rPr>
        <w:t xml:space="preserve"> </w:t>
      </w:r>
      <w:proofErr w:type="spellStart"/>
      <w:r w:rsidR="007F3A9F">
        <w:rPr>
          <w:rFonts w:cs="Times New Roman"/>
        </w:rPr>
        <w:t>R.O.</w:t>
      </w:r>
      <w:r w:rsidR="00E27BDB">
        <w:rPr>
          <w:rFonts w:cs="Times New Roman"/>
        </w:rPr>
        <w:t>’s</w:t>
      </w:r>
      <w:proofErr w:type="spellEnd"/>
      <w:r w:rsidR="00E27BDB">
        <w:rPr>
          <w:rFonts w:cs="Times New Roman"/>
        </w:rPr>
        <w:t xml:space="preserve"> sexual abuse of K.</w:t>
      </w:r>
      <w:r w:rsidR="00407BF2">
        <w:rPr>
          <w:rFonts w:cs="Times New Roman"/>
        </w:rPr>
        <w:t>C.</w:t>
      </w:r>
      <w:r w:rsidR="00E27BDB">
        <w:rPr>
          <w:rFonts w:cs="Times New Roman"/>
        </w:rPr>
        <w:t xml:space="preserve">, Mother’s failure to protect the children from that abuse, and Mother’s excessive use of corporal punishment.  </w:t>
      </w:r>
      <w:r w:rsidR="00CB39FE">
        <w:rPr>
          <w:rFonts w:cs="Times New Roman"/>
        </w:rPr>
        <w:t xml:space="preserve">In addition, the court sustained </w:t>
      </w:r>
      <w:r w:rsidR="006243D9">
        <w:rPr>
          <w:rFonts w:cs="Times New Roman"/>
        </w:rPr>
        <w:t xml:space="preserve">the allegation that the whereabouts of </w:t>
      </w:r>
      <w:proofErr w:type="spellStart"/>
      <w:r w:rsidR="009B769D">
        <w:rPr>
          <w:rFonts w:cs="Times New Roman"/>
        </w:rPr>
        <w:t>A.C.</w:t>
      </w:r>
      <w:r w:rsidR="006243D9">
        <w:rPr>
          <w:rFonts w:cs="Times New Roman"/>
        </w:rPr>
        <w:t>’s</w:t>
      </w:r>
      <w:proofErr w:type="spellEnd"/>
      <w:r w:rsidR="006243D9">
        <w:rPr>
          <w:rFonts w:cs="Times New Roman"/>
        </w:rPr>
        <w:t xml:space="preserve"> father, </w:t>
      </w:r>
      <w:r w:rsidR="00434597">
        <w:rPr>
          <w:rFonts w:cs="Times New Roman"/>
        </w:rPr>
        <w:t>J.T.</w:t>
      </w:r>
      <w:r w:rsidR="006243D9">
        <w:rPr>
          <w:rFonts w:cs="Times New Roman"/>
        </w:rPr>
        <w:t>, were unknown</w:t>
      </w:r>
      <w:r w:rsidR="00E27BDB">
        <w:rPr>
          <w:rFonts w:cs="Times New Roman"/>
        </w:rPr>
        <w:t xml:space="preserve">.  </w:t>
      </w:r>
      <w:r w:rsidR="00CB39FE">
        <w:rPr>
          <w:rFonts w:cs="Times New Roman"/>
        </w:rPr>
        <w:t xml:space="preserve">The court </w:t>
      </w:r>
      <w:r w:rsidR="00F57E32">
        <w:rPr>
          <w:rFonts w:cs="Times New Roman"/>
        </w:rPr>
        <w:t xml:space="preserve">found that ICWA does not apply, </w:t>
      </w:r>
      <w:r w:rsidR="00CB39FE">
        <w:rPr>
          <w:rFonts w:cs="Times New Roman"/>
        </w:rPr>
        <w:t xml:space="preserve">ordered the children removed from the custody of their parents, ordered family reunification services for Mother, and bypassed services for </w:t>
      </w:r>
      <w:proofErr w:type="spellStart"/>
      <w:r w:rsidR="007F3A9F">
        <w:rPr>
          <w:rFonts w:cs="Times New Roman"/>
        </w:rPr>
        <w:t>R.O</w:t>
      </w:r>
      <w:proofErr w:type="spellEnd"/>
      <w:r w:rsidR="007F3A9F">
        <w:rPr>
          <w:rFonts w:cs="Times New Roman"/>
        </w:rPr>
        <w:t>.</w:t>
      </w:r>
      <w:r w:rsidR="00CB39FE">
        <w:rPr>
          <w:rFonts w:cs="Times New Roman"/>
        </w:rPr>
        <w:t>, who is not a party to this appeal.</w:t>
      </w:r>
    </w:p>
    <w:p w14:paraId="18852607" w14:textId="77777777" w:rsidR="00CB39FE" w:rsidRDefault="007C02D3" w:rsidP="007C760E">
      <w:pPr>
        <w:keepNext/>
        <w:spacing w:after="0"/>
        <w:jc w:val="center"/>
      </w:pPr>
      <w:r>
        <w:t>D</w:t>
      </w:r>
      <w:r>
        <w:t>ISCUSSION</w:t>
      </w:r>
    </w:p>
    <w:p w14:paraId="4505318E" w14:textId="318164C9" w:rsidR="00223D55" w:rsidRDefault="007C02D3" w:rsidP="007C760E">
      <w:pPr>
        <w:spacing w:after="0" w:line="600" w:lineRule="exact"/>
        <w:ind w:firstLine="720"/>
        <w:rPr>
          <w:rFonts w:cs="Times New Roman"/>
        </w:rPr>
      </w:pPr>
      <w:r>
        <w:rPr>
          <w:rFonts w:cs="Times New Roman"/>
        </w:rPr>
        <w:t xml:space="preserve">Mother argues that </w:t>
      </w:r>
      <w:r w:rsidR="00FD51F6">
        <w:rPr>
          <w:rFonts w:cs="Times New Roman"/>
        </w:rPr>
        <w:t xml:space="preserve">CFS is required by </w:t>
      </w:r>
      <w:r w:rsidR="00F57E32">
        <w:rPr>
          <w:rFonts w:cs="Times New Roman"/>
        </w:rPr>
        <w:t xml:space="preserve">subdivision (b) of section 224.2 to ask extended family members and others </w:t>
      </w:r>
      <w:r w:rsidR="00FD51F6">
        <w:rPr>
          <w:rFonts w:cs="Times New Roman"/>
        </w:rPr>
        <w:t xml:space="preserve">who </w:t>
      </w:r>
      <w:r w:rsidR="00F57E32">
        <w:rPr>
          <w:rFonts w:cs="Times New Roman"/>
        </w:rPr>
        <w:t>hav</w:t>
      </w:r>
      <w:r w:rsidR="00FD51F6">
        <w:rPr>
          <w:rFonts w:cs="Times New Roman"/>
        </w:rPr>
        <w:t>e</w:t>
      </w:r>
      <w:r w:rsidR="00F57E32">
        <w:rPr>
          <w:rFonts w:cs="Times New Roman"/>
        </w:rPr>
        <w:t xml:space="preserve"> an interest in the children about the </w:t>
      </w:r>
      <w:r w:rsidR="00FD51F6">
        <w:rPr>
          <w:rFonts w:cs="Times New Roman"/>
        </w:rPr>
        <w:t>children’s possible Indian status.  Mother contends that</w:t>
      </w:r>
      <w:r w:rsidR="00F57E32">
        <w:rPr>
          <w:rFonts w:cs="Times New Roman"/>
        </w:rPr>
        <w:t xml:space="preserve"> </w:t>
      </w:r>
      <w:r w:rsidR="00FD51F6">
        <w:rPr>
          <w:rFonts w:cs="Times New Roman"/>
        </w:rPr>
        <w:t xml:space="preserve">CFS erred by failing to </w:t>
      </w:r>
      <w:r w:rsidR="007C3363">
        <w:rPr>
          <w:rFonts w:cs="Times New Roman"/>
        </w:rPr>
        <w:t xml:space="preserve">make any such inquiry of </w:t>
      </w:r>
      <w:r w:rsidR="00FD4D0D">
        <w:rPr>
          <w:rFonts w:cs="Times New Roman"/>
        </w:rPr>
        <w:t>“</w:t>
      </w:r>
      <w:r>
        <w:rPr>
          <w:rFonts w:cs="Times New Roman"/>
        </w:rPr>
        <w:t xml:space="preserve">various </w:t>
      </w:r>
      <w:r w:rsidR="00F57E32" w:rsidRPr="00F57E32">
        <w:rPr>
          <w:rFonts w:cs="Times New Roman"/>
        </w:rPr>
        <w:t>relatives and close family friends</w:t>
      </w:r>
      <w:r w:rsidR="00F57E32">
        <w:rPr>
          <w:rFonts w:cs="Times New Roman"/>
        </w:rPr>
        <w:t>”</w:t>
      </w:r>
      <w:r w:rsidR="007C3363">
        <w:rPr>
          <w:rFonts w:cs="Times New Roman"/>
        </w:rPr>
        <w:t xml:space="preserve"> who were readily available, including </w:t>
      </w:r>
      <w:r w:rsidR="002E0229">
        <w:rPr>
          <w:rFonts w:cs="Times New Roman"/>
        </w:rPr>
        <w:t xml:space="preserve">maternal aunt Jennifer, paternal grandparents of </w:t>
      </w:r>
      <w:r w:rsidR="009B769D">
        <w:rPr>
          <w:rFonts w:cs="Times New Roman"/>
        </w:rPr>
        <w:t>K.C.</w:t>
      </w:r>
      <w:r w:rsidR="002E0229">
        <w:rPr>
          <w:rFonts w:cs="Times New Roman"/>
        </w:rPr>
        <w:t xml:space="preserve"> and </w:t>
      </w:r>
      <w:r w:rsidR="009B769D">
        <w:rPr>
          <w:rFonts w:cs="Times New Roman"/>
        </w:rPr>
        <w:t>J.C</w:t>
      </w:r>
      <w:r w:rsidR="002E0229">
        <w:rPr>
          <w:rFonts w:cs="Times New Roman"/>
        </w:rPr>
        <w:t xml:space="preserve">., </w:t>
      </w:r>
      <w:r w:rsidR="009E7DDB">
        <w:rPr>
          <w:rFonts w:cs="Times New Roman"/>
        </w:rPr>
        <w:t>a</w:t>
      </w:r>
      <w:r w:rsidR="002E0229">
        <w:rPr>
          <w:rFonts w:cs="Times New Roman"/>
        </w:rPr>
        <w:t xml:space="preserve">nd </w:t>
      </w:r>
      <w:r w:rsidR="001C57A3">
        <w:rPr>
          <w:rFonts w:cs="Times New Roman"/>
        </w:rPr>
        <w:t xml:space="preserve">the godfather of </w:t>
      </w:r>
      <w:proofErr w:type="spellStart"/>
      <w:r w:rsidR="009B769D">
        <w:rPr>
          <w:rFonts w:cs="Times New Roman"/>
        </w:rPr>
        <w:t>Je.O</w:t>
      </w:r>
      <w:proofErr w:type="spellEnd"/>
      <w:r w:rsidR="009B769D">
        <w:rPr>
          <w:rFonts w:cs="Times New Roman"/>
        </w:rPr>
        <w:t>.</w:t>
      </w:r>
      <w:r w:rsidR="001C57A3">
        <w:rPr>
          <w:rFonts w:cs="Times New Roman"/>
        </w:rPr>
        <w:t xml:space="preserve"> and </w:t>
      </w:r>
      <w:proofErr w:type="spellStart"/>
      <w:r w:rsidR="009B769D">
        <w:rPr>
          <w:rFonts w:cs="Times New Roman"/>
        </w:rPr>
        <w:t>Ja.O</w:t>
      </w:r>
      <w:proofErr w:type="spellEnd"/>
      <w:r w:rsidR="009B769D">
        <w:rPr>
          <w:rFonts w:cs="Times New Roman"/>
        </w:rPr>
        <w:t>.</w:t>
      </w:r>
      <w:r w:rsidR="001C57A3">
        <w:rPr>
          <w:rFonts w:cs="Times New Roman"/>
        </w:rPr>
        <w:t xml:space="preserve">  Mother </w:t>
      </w:r>
      <w:r w:rsidR="00E606D0">
        <w:rPr>
          <w:rFonts w:cs="Times New Roman"/>
        </w:rPr>
        <w:t xml:space="preserve">argues that we should vacate the court’s finding that </w:t>
      </w:r>
      <w:r w:rsidR="00E606D0">
        <w:rPr>
          <w:rFonts w:cs="Times New Roman"/>
        </w:rPr>
        <w:lastRenderedPageBreak/>
        <w:t>ICWA does not apply and remand for CFS to conduct a proper initial inquiry of extended family members and “family friend</w:t>
      </w:r>
      <w:r w:rsidR="00F63454">
        <w:rPr>
          <w:rFonts w:cs="Times New Roman"/>
        </w:rPr>
        <w:t>s.</w:t>
      </w:r>
      <w:r w:rsidR="00E606D0">
        <w:rPr>
          <w:rFonts w:cs="Times New Roman"/>
        </w:rPr>
        <w:t xml:space="preserve">” </w:t>
      </w:r>
    </w:p>
    <w:p w14:paraId="7F47FD4A" w14:textId="0588F988" w:rsidR="00223D55" w:rsidRPr="00223D55" w:rsidRDefault="007C02D3" w:rsidP="00223D55">
      <w:pPr>
        <w:spacing w:after="0" w:line="600" w:lineRule="exact"/>
        <w:ind w:firstLine="720"/>
        <w:rPr>
          <w:rFonts w:cs="Times New Roman"/>
        </w:rPr>
      </w:pPr>
      <w:r w:rsidRPr="00223D55">
        <w:rPr>
          <w:rFonts w:cs="Times New Roman"/>
        </w:rPr>
        <w:t xml:space="preserve">We disagree with </w:t>
      </w:r>
      <w:r>
        <w:rPr>
          <w:rFonts w:cs="Times New Roman"/>
        </w:rPr>
        <w:t>Mother’s</w:t>
      </w:r>
      <w:r w:rsidRPr="00223D55">
        <w:rPr>
          <w:rFonts w:cs="Times New Roman"/>
        </w:rPr>
        <w:t xml:space="preserve"> premise that subdivision (b) of section 224.2 requires </w:t>
      </w:r>
      <w:r>
        <w:rPr>
          <w:rFonts w:cs="Times New Roman"/>
        </w:rPr>
        <w:t>CFS</w:t>
      </w:r>
      <w:r w:rsidRPr="00223D55">
        <w:rPr>
          <w:rFonts w:cs="Times New Roman"/>
        </w:rPr>
        <w:t>, as part of its duty of initial inqu</w:t>
      </w:r>
      <w:r w:rsidRPr="00223D55">
        <w:rPr>
          <w:rFonts w:cs="Times New Roman"/>
        </w:rPr>
        <w:t xml:space="preserve">iry, to ask extended family members </w:t>
      </w:r>
      <w:r>
        <w:rPr>
          <w:rFonts w:cs="Times New Roman"/>
        </w:rPr>
        <w:t xml:space="preserve">and others who have an interest in the child </w:t>
      </w:r>
      <w:r w:rsidRPr="00223D55">
        <w:rPr>
          <w:rFonts w:cs="Times New Roman"/>
        </w:rPr>
        <w:t xml:space="preserve">about the possible Indian status of every child who is or may be the subject of a section 300 petition.  (Cf. § 224.2, </w:t>
      </w:r>
      <w:proofErr w:type="spellStart"/>
      <w:r w:rsidRPr="00223D55">
        <w:rPr>
          <w:rFonts w:cs="Times New Roman"/>
        </w:rPr>
        <w:t>subd</w:t>
      </w:r>
      <w:proofErr w:type="spellEnd"/>
      <w:r w:rsidRPr="00223D55">
        <w:rPr>
          <w:rFonts w:cs="Times New Roman"/>
        </w:rPr>
        <w:t xml:space="preserve">. (a).)  By its terms, subdivision (b) of </w:t>
      </w:r>
      <w:r w:rsidRPr="00223D55">
        <w:rPr>
          <w:rFonts w:cs="Times New Roman"/>
        </w:rPr>
        <w:t>section 224.2 applies only “[</w:t>
      </w:r>
      <w:proofErr w:type="spellStart"/>
      <w:r w:rsidRPr="00223D55">
        <w:rPr>
          <w:rFonts w:cs="Times New Roman"/>
        </w:rPr>
        <w:t>i</w:t>
      </w:r>
      <w:proofErr w:type="spellEnd"/>
      <w:r w:rsidRPr="00223D55">
        <w:rPr>
          <w:rFonts w:cs="Times New Roman"/>
        </w:rPr>
        <w:t>]f a child is placed in</w:t>
      </w:r>
      <w:r w:rsidR="00FD4D0D">
        <w:rPr>
          <w:rFonts w:cs="Times New Roman"/>
        </w:rPr>
        <w:t>to</w:t>
      </w:r>
      <w:r w:rsidRPr="00223D55">
        <w:rPr>
          <w:rFonts w:cs="Times New Roman"/>
        </w:rPr>
        <w:t xml:space="preserve"> the temporary custody of [</w:t>
      </w:r>
      <w:r>
        <w:rPr>
          <w:rFonts w:cs="Times New Roman"/>
        </w:rPr>
        <w:t>CFS</w:t>
      </w:r>
      <w:r w:rsidRPr="00223D55">
        <w:rPr>
          <w:rFonts w:cs="Times New Roman"/>
        </w:rPr>
        <w:t>] pursuant to [s]</w:t>
      </w:r>
      <w:proofErr w:type="spellStart"/>
      <w:r w:rsidRPr="00223D55">
        <w:rPr>
          <w:rFonts w:cs="Times New Roman"/>
        </w:rPr>
        <w:t>ection</w:t>
      </w:r>
      <w:proofErr w:type="spellEnd"/>
      <w:r w:rsidRPr="00223D55">
        <w:rPr>
          <w:rFonts w:cs="Times New Roman"/>
        </w:rPr>
        <w:t xml:space="preserve"> 306</w:t>
      </w:r>
      <w:r w:rsidR="002E0345">
        <w:rPr>
          <w:rFonts w:cs="Times New Roman"/>
        </w:rPr>
        <w:t xml:space="preserve"> </w:t>
      </w:r>
      <w:r w:rsidR="002E0345" w:rsidRPr="00330AF2">
        <w:rPr>
          <w:shd w:val="clear" w:color="auto" w:fill="FFFFFF"/>
        </w:rPr>
        <w:t xml:space="preserve">or county probation department pursuant to </w:t>
      </w:r>
      <w:r w:rsidR="00D75C68">
        <w:rPr>
          <w:shd w:val="clear" w:color="auto" w:fill="FFFFFF"/>
        </w:rPr>
        <w:t>[s]</w:t>
      </w:r>
      <w:proofErr w:type="spellStart"/>
      <w:r w:rsidR="002E0345" w:rsidRPr="00330AF2">
        <w:rPr>
          <w:shd w:val="clear" w:color="auto" w:fill="FFFFFF"/>
        </w:rPr>
        <w:t>ection</w:t>
      </w:r>
      <w:proofErr w:type="spellEnd"/>
      <w:r w:rsidR="002E0345" w:rsidRPr="00330AF2">
        <w:rPr>
          <w:shd w:val="clear" w:color="auto" w:fill="FFFFFF"/>
        </w:rPr>
        <w:t xml:space="preserve"> 307</w:t>
      </w:r>
      <w:r w:rsidRPr="00223D55">
        <w:rPr>
          <w:rFonts w:cs="Times New Roman"/>
        </w:rPr>
        <w:t>.”</w:t>
      </w:r>
      <w:r>
        <w:rPr>
          <w:rFonts w:cs="Times New Roman"/>
          <w:b/>
          <w:vertAlign w:val="superscript"/>
        </w:rPr>
        <w:footnoteReference w:id="3"/>
      </w:r>
      <w:r w:rsidRPr="00223D55">
        <w:rPr>
          <w:rFonts w:cs="Times New Roman"/>
        </w:rPr>
        <w:t xml:space="preserve">  (§ 224.2, </w:t>
      </w:r>
      <w:proofErr w:type="spellStart"/>
      <w:r w:rsidRPr="00223D55">
        <w:rPr>
          <w:rFonts w:cs="Times New Roman"/>
        </w:rPr>
        <w:t>subd</w:t>
      </w:r>
      <w:proofErr w:type="spellEnd"/>
      <w:r w:rsidRPr="00223D55">
        <w:rPr>
          <w:rFonts w:cs="Times New Roman"/>
        </w:rPr>
        <w:t xml:space="preserve">. (b).)  Thus, </w:t>
      </w:r>
      <w:r w:rsidR="0085167A">
        <w:rPr>
          <w:rFonts w:cs="Times New Roman"/>
        </w:rPr>
        <w:t>CFS</w:t>
      </w:r>
      <w:r w:rsidR="0085167A" w:rsidRPr="00223D55">
        <w:rPr>
          <w:rFonts w:cs="Times New Roman"/>
        </w:rPr>
        <w:t xml:space="preserve"> </w:t>
      </w:r>
      <w:r w:rsidRPr="00223D55">
        <w:rPr>
          <w:rFonts w:cs="Times New Roman"/>
        </w:rPr>
        <w:t xml:space="preserve">must ask extended family members </w:t>
      </w:r>
      <w:r>
        <w:rPr>
          <w:rFonts w:cs="Times New Roman"/>
        </w:rPr>
        <w:t xml:space="preserve">and others who </w:t>
      </w:r>
      <w:r>
        <w:rPr>
          <w:rFonts w:cs="Times New Roman"/>
        </w:rPr>
        <w:t xml:space="preserve">have an interest in the child </w:t>
      </w:r>
      <w:r w:rsidRPr="00223D55">
        <w:rPr>
          <w:rFonts w:cs="Times New Roman"/>
        </w:rPr>
        <w:t xml:space="preserve">about the possible Indian status of a child only if that child has been placed into </w:t>
      </w:r>
      <w:proofErr w:type="spellStart"/>
      <w:r>
        <w:rPr>
          <w:rFonts w:cs="Times New Roman"/>
        </w:rPr>
        <w:t>CFS</w:t>
      </w:r>
      <w:r w:rsidRPr="00223D55">
        <w:rPr>
          <w:rFonts w:cs="Times New Roman"/>
        </w:rPr>
        <w:t>’s</w:t>
      </w:r>
      <w:proofErr w:type="spellEnd"/>
      <w:r w:rsidRPr="00223D55">
        <w:rPr>
          <w:rFonts w:cs="Times New Roman"/>
        </w:rPr>
        <w:t xml:space="preserve"> temporary custody pursuant to section 306.  (</w:t>
      </w:r>
      <w:r w:rsidR="008B734D">
        <w:rPr>
          <w:i/>
          <w:iCs/>
          <w:color w:val="222222"/>
        </w:rPr>
        <w:t xml:space="preserve">In re Robert F. </w:t>
      </w:r>
      <w:r w:rsidR="008B734D">
        <w:rPr>
          <w:color w:val="222222"/>
        </w:rPr>
        <w:t xml:space="preserve">(2023) </w:t>
      </w:r>
      <w:r w:rsidR="00060C51">
        <w:rPr>
          <w:color w:val="222222"/>
        </w:rPr>
        <w:t>90</w:t>
      </w:r>
      <w:r w:rsidR="008B734D">
        <w:rPr>
          <w:color w:val="222222"/>
        </w:rPr>
        <w:t xml:space="preserve"> Cal.App.5th </w:t>
      </w:r>
      <w:r w:rsidR="00060C51">
        <w:rPr>
          <w:color w:val="222222"/>
        </w:rPr>
        <w:t>492, 497</w:t>
      </w:r>
      <w:r w:rsidR="008B734D">
        <w:rPr>
          <w:color w:val="222222"/>
        </w:rPr>
        <w:t xml:space="preserve"> (</w:t>
      </w:r>
      <w:r w:rsidR="008B734D">
        <w:rPr>
          <w:i/>
          <w:iCs/>
          <w:color w:val="222222"/>
        </w:rPr>
        <w:t>Robert F.</w:t>
      </w:r>
      <w:r w:rsidR="008B734D">
        <w:rPr>
          <w:color w:val="222222"/>
        </w:rPr>
        <w:t xml:space="preserve">); </w:t>
      </w:r>
      <w:r w:rsidRPr="00223D55">
        <w:rPr>
          <w:rFonts w:cs="Times New Roman"/>
          <w:i/>
          <w:iCs/>
        </w:rPr>
        <w:t>In re Adrian L.</w:t>
      </w:r>
      <w:r w:rsidRPr="00223D55">
        <w:rPr>
          <w:rFonts w:cs="Times New Roman"/>
        </w:rPr>
        <w:t xml:space="preserve"> (2022) 86 Cal.A</w:t>
      </w:r>
      <w:r w:rsidRPr="00223D55">
        <w:rPr>
          <w:rFonts w:cs="Times New Roman"/>
        </w:rPr>
        <w:t xml:space="preserve">pp.5th 342, 357-358 </w:t>
      </w:r>
      <w:r w:rsidR="00D75741">
        <w:rPr>
          <w:rFonts w:cs="Times New Roman"/>
        </w:rPr>
        <w:t>(</w:t>
      </w:r>
      <w:r w:rsidR="00D75741">
        <w:rPr>
          <w:rFonts w:cs="Times New Roman"/>
          <w:i/>
          <w:iCs/>
        </w:rPr>
        <w:t>Adrian L</w:t>
      </w:r>
      <w:r w:rsidR="00D75741">
        <w:rPr>
          <w:rFonts w:cs="Times New Roman"/>
        </w:rPr>
        <w:t xml:space="preserve">.) </w:t>
      </w:r>
      <w:r w:rsidRPr="00223D55">
        <w:rPr>
          <w:rFonts w:cs="Times New Roman"/>
        </w:rPr>
        <w:t xml:space="preserve">(conc. </w:t>
      </w:r>
      <w:proofErr w:type="spellStart"/>
      <w:r w:rsidRPr="00223D55">
        <w:rPr>
          <w:rFonts w:cs="Times New Roman"/>
        </w:rPr>
        <w:t>opn</w:t>
      </w:r>
      <w:proofErr w:type="spellEnd"/>
      <w:r w:rsidRPr="00223D55">
        <w:rPr>
          <w:rFonts w:cs="Times New Roman"/>
        </w:rPr>
        <w:t xml:space="preserve">. </w:t>
      </w:r>
      <w:r w:rsidR="00D120DA">
        <w:rPr>
          <w:rFonts w:cs="Times New Roman"/>
        </w:rPr>
        <w:t>o</w:t>
      </w:r>
      <w:r w:rsidRPr="00223D55">
        <w:rPr>
          <w:rFonts w:cs="Times New Roman"/>
        </w:rPr>
        <w:t>f Kelley, J.).)  None of the f</w:t>
      </w:r>
      <w:r>
        <w:rPr>
          <w:rFonts w:cs="Times New Roman"/>
        </w:rPr>
        <w:t>ive</w:t>
      </w:r>
      <w:r w:rsidRPr="00223D55">
        <w:rPr>
          <w:rFonts w:cs="Times New Roman"/>
        </w:rPr>
        <w:t xml:space="preserve"> children here </w:t>
      </w:r>
      <w:r w:rsidR="0085167A">
        <w:rPr>
          <w:rFonts w:cs="Times New Roman"/>
        </w:rPr>
        <w:t>was</w:t>
      </w:r>
      <w:r w:rsidR="0085167A" w:rsidRPr="00223D55">
        <w:rPr>
          <w:rFonts w:cs="Times New Roman"/>
        </w:rPr>
        <w:t xml:space="preserve"> </w:t>
      </w:r>
      <w:r w:rsidRPr="00223D55">
        <w:rPr>
          <w:rFonts w:cs="Times New Roman"/>
        </w:rPr>
        <w:t xml:space="preserve">placed into the temporary custody of </w:t>
      </w:r>
      <w:r>
        <w:rPr>
          <w:rFonts w:cs="Times New Roman"/>
        </w:rPr>
        <w:t>CFS</w:t>
      </w:r>
      <w:r w:rsidRPr="00223D55">
        <w:rPr>
          <w:rFonts w:cs="Times New Roman"/>
        </w:rPr>
        <w:t xml:space="preserve"> pursuant to section 306, so subdivision (b) of section 224.2 did not require </w:t>
      </w:r>
      <w:r>
        <w:rPr>
          <w:rFonts w:cs="Times New Roman"/>
        </w:rPr>
        <w:t>CFS</w:t>
      </w:r>
      <w:r w:rsidRPr="00223D55">
        <w:rPr>
          <w:rFonts w:cs="Times New Roman"/>
        </w:rPr>
        <w:t xml:space="preserve"> to ask the children’s extended family</w:t>
      </w:r>
      <w:r w:rsidRPr="00223D55">
        <w:rPr>
          <w:rFonts w:cs="Times New Roman"/>
        </w:rPr>
        <w:t xml:space="preserve"> members if they are or may be Indian children.</w:t>
      </w:r>
    </w:p>
    <w:p w14:paraId="2150FF38" w14:textId="31BDD8B6" w:rsidR="00D75741" w:rsidRDefault="007C02D3" w:rsidP="00526DC2">
      <w:pPr>
        <w:spacing w:after="0" w:line="600" w:lineRule="exact"/>
        <w:ind w:firstLine="720"/>
      </w:pPr>
      <w:r w:rsidRPr="00223D55">
        <w:rPr>
          <w:rFonts w:cs="Times New Roman"/>
        </w:rPr>
        <w:lastRenderedPageBreak/>
        <w:t xml:space="preserve">Section 306 permits a social worker to take a child into </w:t>
      </w:r>
      <w:r w:rsidR="00971722">
        <w:rPr>
          <w:rFonts w:cs="Times New Roman"/>
        </w:rPr>
        <w:t>“</w:t>
      </w:r>
      <w:r w:rsidRPr="00223D55">
        <w:rPr>
          <w:rFonts w:cs="Times New Roman"/>
        </w:rPr>
        <w:t>temporary custody</w:t>
      </w:r>
      <w:r w:rsidR="003C1B20">
        <w:rPr>
          <w:rFonts w:cs="Times New Roman"/>
        </w:rPr>
        <w:t> </w:t>
      </w:r>
      <w:r w:rsidR="00971722">
        <w:rPr>
          <w:rFonts w:cs="Times New Roman"/>
        </w:rPr>
        <w:t>. . .</w:t>
      </w:r>
      <w:r w:rsidR="003C1B20">
        <w:rPr>
          <w:rFonts w:cs="Times New Roman"/>
        </w:rPr>
        <w:t> </w:t>
      </w:r>
      <w:r w:rsidRPr="00223D55">
        <w:rPr>
          <w:rFonts w:cs="Times New Roman"/>
        </w:rPr>
        <w:t>without a warrant” in emergency situations—namely, when “the social worker has reasonable cause to believe that the</w:t>
      </w:r>
      <w:r w:rsidR="003C1B20">
        <w:rPr>
          <w:rFonts w:cs="Times New Roman"/>
        </w:rPr>
        <w:t xml:space="preserve"> </w:t>
      </w:r>
      <w:r w:rsidRPr="00223D55">
        <w:rPr>
          <w:rFonts w:cs="Times New Roman"/>
        </w:rPr>
        <w:t>child</w:t>
      </w:r>
      <w:r w:rsidR="003C1B20">
        <w:rPr>
          <w:rFonts w:cs="Times New Roman"/>
        </w:rPr>
        <w:t xml:space="preserve"> </w:t>
      </w:r>
      <w:r w:rsidRPr="00223D55">
        <w:rPr>
          <w:rFonts w:cs="Times New Roman"/>
        </w:rPr>
        <w:t xml:space="preserve">has an immediate need for medical care or is in immediate danger of physical or sexual abuse or the physical environment poses an immediate threat to the child’s health or safety.”  (§ 306, </w:t>
      </w:r>
      <w:proofErr w:type="spellStart"/>
      <w:r w:rsidRPr="00223D55">
        <w:rPr>
          <w:rFonts w:cs="Times New Roman"/>
        </w:rPr>
        <w:t>subd</w:t>
      </w:r>
      <w:proofErr w:type="spellEnd"/>
      <w:r w:rsidRPr="00223D55">
        <w:rPr>
          <w:rFonts w:cs="Times New Roman"/>
        </w:rPr>
        <w:t xml:space="preserve">. (a)(2).)  </w:t>
      </w:r>
      <w:r w:rsidRPr="005D3FA4">
        <w:rPr>
          <w:rFonts w:cs="Times New Roman"/>
        </w:rPr>
        <w:t xml:space="preserve">Peace officers may also take children into </w:t>
      </w:r>
      <w:r w:rsidR="00971722">
        <w:rPr>
          <w:rFonts w:cs="Times New Roman"/>
        </w:rPr>
        <w:t>“</w:t>
      </w:r>
      <w:r w:rsidRPr="005D3FA4">
        <w:rPr>
          <w:rFonts w:cs="Times New Roman"/>
        </w:rPr>
        <w:t>tempor</w:t>
      </w:r>
      <w:r w:rsidRPr="005D3FA4">
        <w:rPr>
          <w:rFonts w:cs="Times New Roman"/>
        </w:rPr>
        <w:t>ary custody</w:t>
      </w:r>
      <w:r w:rsidR="00971722">
        <w:rPr>
          <w:rFonts w:cs="Times New Roman"/>
        </w:rPr>
        <w:t>”</w:t>
      </w:r>
      <w:r w:rsidRPr="005D3FA4">
        <w:rPr>
          <w:rFonts w:cs="Times New Roman"/>
        </w:rPr>
        <w:t xml:space="preserve"> without a warrant when similar exigent circumstances exist (§§ 305, 305.6, </w:t>
      </w:r>
      <w:proofErr w:type="spellStart"/>
      <w:r w:rsidRPr="005D3FA4">
        <w:rPr>
          <w:rFonts w:cs="Times New Roman"/>
        </w:rPr>
        <w:t>subd</w:t>
      </w:r>
      <w:proofErr w:type="spellEnd"/>
      <w:r w:rsidRPr="005D3FA4">
        <w:rPr>
          <w:rFonts w:cs="Times New Roman"/>
        </w:rPr>
        <w:t>. (a))</w:t>
      </w:r>
      <w:r w:rsidR="007F3A68">
        <w:rPr>
          <w:rFonts w:cs="Times New Roman"/>
        </w:rPr>
        <w:t xml:space="preserve">, </w:t>
      </w:r>
      <w:r w:rsidR="007F3A68" w:rsidRPr="007F3A68">
        <w:rPr>
          <w:bdr w:val="none" w:sz="0" w:space="0" w:color="auto" w:frame="1"/>
        </w:rPr>
        <w:t xml:space="preserve">and section 306 also permits the social worker to take </w:t>
      </w:r>
      <w:r w:rsidR="005F46DB">
        <w:rPr>
          <w:bdr w:val="none" w:sz="0" w:space="0" w:color="auto" w:frame="1"/>
        </w:rPr>
        <w:t>“</w:t>
      </w:r>
      <w:r w:rsidR="007F3A68" w:rsidRPr="007F3A68">
        <w:rPr>
          <w:bdr w:val="none" w:sz="0" w:space="0" w:color="auto" w:frame="1"/>
        </w:rPr>
        <w:t>temporary custody</w:t>
      </w:r>
      <w:r w:rsidR="005F46DB">
        <w:rPr>
          <w:bdr w:val="none" w:sz="0" w:space="0" w:color="auto" w:frame="1"/>
        </w:rPr>
        <w:t>”</w:t>
      </w:r>
      <w:r w:rsidR="007F3A68" w:rsidRPr="007F3A68">
        <w:rPr>
          <w:bdr w:val="none" w:sz="0" w:space="0" w:color="auto" w:frame="1"/>
        </w:rPr>
        <w:t xml:space="preserve"> of a child “who has been delivered by a peace officer.” </w:t>
      </w:r>
      <w:r w:rsidR="007F3A68">
        <w:rPr>
          <w:bdr w:val="none" w:sz="0" w:space="0" w:color="auto" w:frame="1"/>
        </w:rPr>
        <w:t xml:space="preserve"> </w:t>
      </w:r>
      <w:r w:rsidR="007F3A68" w:rsidRPr="007F3A68">
        <w:t xml:space="preserve">(§ 306, </w:t>
      </w:r>
      <w:proofErr w:type="spellStart"/>
      <w:r w:rsidR="007F3A68" w:rsidRPr="007F3A68">
        <w:t>subd</w:t>
      </w:r>
      <w:proofErr w:type="spellEnd"/>
      <w:r w:rsidR="007F3A68" w:rsidRPr="007F3A68">
        <w:t>. (a)(1).)</w:t>
      </w:r>
      <w:r w:rsidRPr="00223D55">
        <w:rPr>
          <w:rFonts w:cs="Times New Roman"/>
        </w:rPr>
        <w:t xml:space="preserve">  </w:t>
      </w:r>
      <w:r w:rsidR="00DD0F02">
        <w:rPr>
          <w:rFonts w:cs="Times New Roman"/>
        </w:rPr>
        <w:t xml:space="preserve">Section 307 </w:t>
      </w:r>
      <w:r w:rsidR="00C162D7">
        <w:rPr>
          <w:rFonts w:cs="Times New Roman"/>
        </w:rPr>
        <w:t>likewise</w:t>
      </w:r>
      <w:r w:rsidR="00DD0F02">
        <w:rPr>
          <w:rFonts w:cs="Times New Roman"/>
        </w:rPr>
        <w:t xml:space="preserve"> </w:t>
      </w:r>
      <w:r w:rsidR="00C162D7">
        <w:rPr>
          <w:rFonts w:cs="Times New Roman"/>
        </w:rPr>
        <w:t xml:space="preserve">concerns </w:t>
      </w:r>
      <w:r w:rsidR="00DD0F02">
        <w:rPr>
          <w:rFonts w:cs="Times New Roman"/>
        </w:rPr>
        <w:t>warrantless detentions</w:t>
      </w:r>
      <w:r w:rsidR="00C162D7">
        <w:rPr>
          <w:rFonts w:cs="Times New Roman"/>
        </w:rPr>
        <w:t>.</w:t>
      </w:r>
      <w:r w:rsidR="00DD0F02">
        <w:rPr>
          <w:rFonts w:cs="Times New Roman"/>
        </w:rPr>
        <w:t xml:space="preserve"> </w:t>
      </w:r>
      <w:r w:rsidR="00C162D7">
        <w:rPr>
          <w:rFonts w:cs="Times New Roman"/>
        </w:rPr>
        <w:t xml:space="preserve"> </w:t>
      </w:r>
      <w:r w:rsidR="00DD0F02">
        <w:rPr>
          <w:rFonts w:cs="Times New Roman"/>
        </w:rPr>
        <w:t xml:space="preserve">It </w:t>
      </w:r>
      <w:r w:rsidR="00C162D7">
        <w:rPr>
          <w:rFonts w:cs="Times New Roman"/>
        </w:rPr>
        <w:t>applies</w:t>
      </w:r>
      <w:r w:rsidR="00DD0F02">
        <w:rPr>
          <w:rFonts w:cs="Times New Roman"/>
        </w:rPr>
        <w:t xml:space="preserve"> when the probation department </w:t>
      </w:r>
      <w:r w:rsidR="00C162D7">
        <w:rPr>
          <w:rFonts w:cs="Times New Roman"/>
        </w:rPr>
        <w:t xml:space="preserve">takes </w:t>
      </w:r>
      <w:r w:rsidR="00DD0F02">
        <w:rPr>
          <w:rFonts w:cs="Times New Roman"/>
        </w:rPr>
        <w:t>custody from a</w:t>
      </w:r>
      <w:r w:rsidR="00C162D7">
        <w:rPr>
          <w:rFonts w:cs="Times New Roman"/>
        </w:rPr>
        <w:t xml:space="preserve">n </w:t>
      </w:r>
      <w:r w:rsidR="00DD0F02">
        <w:rPr>
          <w:rFonts w:cs="Times New Roman"/>
        </w:rPr>
        <w:t xml:space="preserve">officer who </w:t>
      </w:r>
      <w:r w:rsidR="00C162D7">
        <w:rPr>
          <w:rFonts w:cs="Times New Roman"/>
        </w:rPr>
        <w:t>detained</w:t>
      </w:r>
      <w:r w:rsidR="00DD0F02">
        <w:rPr>
          <w:rFonts w:cs="Times New Roman"/>
        </w:rPr>
        <w:t xml:space="preserve"> the child without a warrant.  (§ 307</w:t>
      </w:r>
      <w:r w:rsidR="00C162D7">
        <w:rPr>
          <w:rFonts w:cs="Times New Roman"/>
        </w:rPr>
        <w:t xml:space="preserve"> [referring to section 305, which authorizes warrantless detentions by a peace officer].)  </w:t>
      </w:r>
      <w:r w:rsidR="00420F41">
        <w:rPr>
          <w:rFonts w:cs="Times New Roman"/>
        </w:rPr>
        <w:t xml:space="preserve">The sections that </w:t>
      </w:r>
      <w:r w:rsidR="00971722">
        <w:rPr>
          <w:rFonts w:cs="Times New Roman"/>
        </w:rPr>
        <w:t xml:space="preserve">authorize officers and social workers to take warrantless temporary custody of children </w:t>
      </w:r>
      <w:r>
        <w:rPr>
          <w:rFonts w:cs="Times New Roman"/>
        </w:rPr>
        <w:t>are</w:t>
      </w:r>
      <w:r w:rsidR="00420F41">
        <w:rPr>
          <w:rFonts w:cs="Times New Roman"/>
        </w:rPr>
        <w:t xml:space="preserve"> </w:t>
      </w:r>
      <w:r>
        <w:rPr>
          <w:rFonts w:cs="Times New Roman"/>
        </w:rPr>
        <w:t xml:space="preserve">in </w:t>
      </w:r>
      <w:r w:rsidR="003C1B20">
        <w:rPr>
          <w:rFonts w:cs="Times New Roman"/>
        </w:rPr>
        <w:t>a</w:t>
      </w:r>
      <w:r>
        <w:rPr>
          <w:rFonts w:cs="Times New Roman"/>
        </w:rPr>
        <w:t>rticle</w:t>
      </w:r>
      <w:r w:rsidR="00971722">
        <w:rPr>
          <w:rFonts w:cs="Times New Roman"/>
        </w:rPr>
        <w:t xml:space="preserve"> 7 of the juvenile court law,</w:t>
      </w:r>
      <w:r>
        <w:rPr>
          <w:rFonts w:cs="Times New Roman"/>
        </w:rPr>
        <w:t xml:space="preserve"> entitled</w:t>
      </w:r>
      <w:r w:rsidR="00971722">
        <w:rPr>
          <w:rFonts w:cs="Times New Roman"/>
        </w:rPr>
        <w:t xml:space="preserve"> </w:t>
      </w:r>
      <w:r>
        <w:rPr>
          <w:rFonts w:cs="Times New Roman"/>
        </w:rPr>
        <w:t>“Dependent Children—Temporary Custody and Detention”</w:t>
      </w:r>
      <w:r w:rsidR="00A26A30">
        <w:rPr>
          <w:rFonts w:cs="Times New Roman"/>
        </w:rPr>
        <w:t xml:space="preserve"> (Article 7).</w:t>
      </w:r>
      <w:r>
        <w:rPr>
          <w:rFonts w:cs="Times New Roman"/>
        </w:rPr>
        <w:t xml:space="preserve">  (</w:t>
      </w:r>
      <w:proofErr w:type="spellStart"/>
      <w:r w:rsidR="00DC11A7">
        <w:rPr>
          <w:rFonts w:cs="Times New Roman"/>
        </w:rPr>
        <w:t>Welf</w:t>
      </w:r>
      <w:proofErr w:type="spellEnd"/>
      <w:r w:rsidR="00DC11A7">
        <w:rPr>
          <w:rFonts w:cs="Times New Roman"/>
        </w:rPr>
        <w:t xml:space="preserve">. &amp; Inst. Code, </w:t>
      </w:r>
      <w:r w:rsidR="00971722">
        <w:rPr>
          <w:rFonts w:cs="Times New Roman"/>
        </w:rPr>
        <w:t>d</w:t>
      </w:r>
      <w:r w:rsidR="00DC11A7">
        <w:rPr>
          <w:rFonts w:cs="Times New Roman"/>
        </w:rPr>
        <w:t xml:space="preserve">iv. 2, </w:t>
      </w:r>
      <w:r w:rsidR="00971722">
        <w:rPr>
          <w:rFonts w:cs="Times New Roman"/>
        </w:rPr>
        <w:t>p</w:t>
      </w:r>
      <w:r w:rsidR="00DC11A7">
        <w:rPr>
          <w:rFonts w:cs="Times New Roman"/>
        </w:rPr>
        <w:t xml:space="preserve">art 1, </w:t>
      </w:r>
      <w:proofErr w:type="spellStart"/>
      <w:r w:rsidR="00971722">
        <w:rPr>
          <w:rFonts w:cs="Times New Roman"/>
        </w:rPr>
        <w:t>c</w:t>
      </w:r>
      <w:r w:rsidR="00DC11A7">
        <w:rPr>
          <w:rFonts w:cs="Times New Roman"/>
        </w:rPr>
        <w:t>h.</w:t>
      </w:r>
      <w:proofErr w:type="spellEnd"/>
      <w:r w:rsidR="00DC11A7">
        <w:rPr>
          <w:rFonts w:cs="Times New Roman"/>
        </w:rPr>
        <w:t xml:space="preserve"> 2, </w:t>
      </w:r>
      <w:r w:rsidR="00971722">
        <w:rPr>
          <w:rFonts w:cs="Times New Roman"/>
        </w:rPr>
        <w:t>a</w:t>
      </w:r>
      <w:r w:rsidR="00DC11A7">
        <w:rPr>
          <w:rFonts w:cs="Times New Roman"/>
        </w:rPr>
        <w:t xml:space="preserve">rt. 7; </w:t>
      </w:r>
      <w:r w:rsidRPr="00D75741">
        <w:rPr>
          <w:i/>
          <w:iCs/>
          <w:color w:val="3D3D3D"/>
          <w:bdr w:val="none" w:sz="0" w:space="0" w:color="auto" w:frame="1"/>
        </w:rPr>
        <w:t>Adrian L.</w:t>
      </w:r>
      <w:r w:rsidR="0022748B">
        <w:t xml:space="preserve">, </w:t>
      </w:r>
      <w:r w:rsidR="0022748B" w:rsidRPr="0022748B">
        <w:rPr>
          <w:i/>
          <w:iCs/>
        </w:rPr>
        <w:t>supra</w:t>
      </w:r>
      <w:r w:rsidR="0022748B">
        <w:t xml:space="preserve">, </w:t>
      </w:r>
      <w:r w:rsidRPr="0022748B">
        <w:t>86</w:t>
      </w:r>
      <w:r w:rsidRPr="00D75741">
        <w:t xml:space="preserve"> Cal.App.5th </w:t>
      </w:r>
      <w:r w:rsidR="0022748B">
        <w:t xml:space="preserve">at p. </w:t>
      </w:r>
      <w:r w:rsidRPr="00D75741">
        <w:t>357</w:t>
      </w:r>
      <w:r w:rsidR="0022748B">
        <w:t>, fn. 7. (</w:t>
      </w:r>
      <w:r w:rsidR="0022748B" w:rsidRPr="00223D55">
        <w:rPr>
          <w:rFonts w:cs="Times New Roman"/>
        </w:rPr>
        <w:t xml:space="preserve">conc. </w:t>
      </w:r>
      <w:proofErr w:type="spellStart"/>
      <w:r w:rsidR="0022748B" w:rsidRPr="00223D55">
        <w:rPr>
          <w:rFonts w:cs="Times New Roman"/>
        </w:rPr>
        <w:t>opn</w:t>
      </w:r>
      <w:proofErr w:type="spellEnd"/>
      <w:r w:rsidR="0022748B" w:rsidRPr="00223D55">
        <w:rPr>
          <w:rFonts w:cs="Times New Roman"/>
        </w:rPr>
        <w:t xml:space="preserve">. </w:t>
      </w:r>
      <w:r w:rsidR="0022748B">
        <w:rPr>
          <w:rFonts w:cs="Times New Roman"/>
        </w:rPr>
        <w:t>o</w:t>
      </w:r>
      <w:r w:rsidR="0022748B" w:rsidRPr="00223D55">
        <w:rPr>
          <w:rFonts w:cs="Times New Roman"/>
        </w:rPr>
        <w:t>f Kelley, J.).)</w:t>
      </w:r>
      <w:r w:rsidR="00526DC2">
        <w:rPr>
          <w:rFonts w:cs="Times New Roman"/>
        </w:rPr>
        <w:t xml:space="preserve"> </w:t>
      </w:r>
    </w:p>
    <w:p w14:paraId="668A27BE" w14:textId="49287591" w:rsidR="00D73019" w:rsidRDefault="007C02D3" w:rsidP="00D04156">
      <w:pPr>
        <w:spacing w:after="0" w:line="600" w:lineRule="exact"/>
        <w:ind w:firstLine="720"/>
        <w:rPr>
          <w:rFonts w:cs="Times New Roman"/>
        </w:rPr>
      </w:pPr>
      <w:r w:rsidRPr="00223D55">
        <w:rPr>
          <w:rFonts w:cs="Times New Roman"/>
        </w:rPr>
        <w:t>By contrast, s</w:t>
      </w:r>
      <w:r w:rsidR="000C51B3">
        <w:rPr>
          <w:rFonts w:cs="Times New Roman"/>
        </w:rPr>
        <w:t xml:space="preserve">ubdivision (b) of section </w:t>
      </w:r>
      <w:r w:rsidRPr="00223D55">
        <w:rPr>
          <w:rFonts w:cs="Times New Roman"/>
        </w:rPr>
        <w:t xml:space="preserve">340 provides for the issuance of </w:t>
      </w:r>
      <w:r w:rsidR="007F3A68">
        <w:rPr>
          <w:rFonts w:cs="Times New Roman"/>
        </w:rPr>
        <w:t>“</w:t>
      </w:r>
      <w:r w:rsidRPr="00223D55">
        <w:rPr>
          <w:rFonts w:cs="Times New Roman"/>
        </w:rPr>
        <w:t>protective custody</w:t>
      </w:r>
      <w:r w:rsidR="007F3A68">
        <w:rPr>
          <w:rFonts w:cs="Times New Roman"/>
        </w:rPr>
        <w:t>”</w:t>
      </w:r>
      <w:r w:rsidRPr="00223D55">
        <w:rPr>
          <w:rFonts w:cs="Times New Roman"/>
        </w:rPr>
        <w:t xml:space="preserve"> warrants, and on a weaker showing than is required for a warrantless detention under section 306.  (§ 340, </w:t>
      </w:r>
      <w:proofErr w:type="spellStart"/>
      <w:r w:rsidRPr="00223D55">
        <w:rPr>
          <w:rFonts w:cs="Times New Roman"/>
        </w:rPr>
        <w:t>subd</w:t>
      </w:r>
      <w:proofErr w:type="spellEnd"/>
      <w:r w:rsidRPr="00223D55">
        <w:rPr>
          <w:rFonts w:cs="Times New Roman"/>
        </w:rPr>
        <w:t xml:space="preserve">. (b)(2); </w:t>
      </w:r>
      <w:r w:rsidR="00570667">
        <w:rPr>
          <w:rFonts w:cs="Times New Roman"/>
          <w:i/>
          <w:iCs/>
        </w:rPr>
        <w:t>Robert F.</w:t>
      </w:r>
      <w:r w:rsidR="00570667">
        <w:rPr>
          <w:rFonts w:cs="Times New Roman"/>
        </w:rPr>
        <w:t xml:space="preserve">, </w:t>
      </w:r>
      <w:r w:rsidR="00570667" w:rsidRPr="00570667">
        <w:rPr>
          <w:rFonts w:cs="Times New Roman"/>
          <w:i/>
          <w:iCs/>
        </w:rPr>
        <w:t>supra</w:t>
      </w:r>
      <w:r w:rsidR="00570667">
        <w:rPr>
          <w:rFonts w:cs="Times New Roman"/>
        </w:rPr>
        <w:t xml:space="preserve">, </w:t>
      </w:r>
      <w:r w:rsidR="00060C51">
        <w:rPr>
          <w:rFonts w:cs="Times New Roman"/>
        </w:rPr>
        <w:t>90 Cal.App</w:t>
      </w:r>
      <w:r w:rsidR="004A6E57">
        <w:rPr>
          <w:rFonts w:cs="Times New Roman"/>
        </w:rPr>
        <w:t>.</w:t>
      </w:r>
      <w:r w:rsidR="00060C51">
        <w:rPr>
          <w:rFonts w:cs="Times New Roman"/>
        </w:rPr>
        <w:t xml:space="preserve">5th at p. </w:t>
      </w:r>
      <w:r w:rsidR="004A6E57">
        <w:rPr>
          <w:rFonts w:cs="Times New Roman"/>
        </w:rPr>
        <w:t>501</w:t>
      </w:r>
      <w:r w:rsidRPr="00223D55">
        <w:rPr>
          <w:rFonts w:cs="Times New Roman"/>
        </w:rPr>
        <w:t>.)</w:t>
      </w:r>
      <w:r w:rsidR="008E259F">
        <w:rPr>
          <w:rFonts w:cs="Times New Roman"/>
        </w:rPr>
        <w:t xml:space="preserve">  The statute does not require the danger to the child to be immediate, nor does it require the </w:t>
      </w:r>
      <w:r w:rsidR="008E259F">
        <w:rPr>
          <w:rFonts w:cs="Times New Roman"/>
        </w:rPr>
        <w:lastRenderedPageBreak/>
        <w:t>threat of physical harm, as opposed to emotional harm.  (</w:t>
      </w:r>
      <w:r w:rsidR="008E259F">
        <w:rPr>
          <w:rFonts w:cs="Times New Roman"/>
          <w:i/>
          <w:iCs/>
        </w:rPr>
        <w:t>Robert F.</w:t>
      </w:r>
      <w:r w:rsidR="008E259F">
        <w:rPr>
          <w:rFonts w:cs="Times New Roman"/>
        </w:rPr>
        <w:t xml:space="preserve">, at </w:t>
      </w:r>
      <w:r w:rsidR="004A6E57">
        <w:rPr>
          <w:rFonts w:cs="Times New Roman"/>
        </w:rPr>
        <w:t>p. 501</w:t>
      </w:r>
      <w:r w:rsidR="008E259F">
        <w:rPr>
          <w:rFonts w:cs="Times New Roman"/>
        </w:rPr>
        <w:t>.)</w:t>
      </w:r>
      <w:r>
        <w:rPr>
          <w:rStyle w:val="FootnoteReference"/>
          <w:rFonts w:cs="Times New Roman"/>
        </w:rPr>
        <w:footnoteReference w:id="4"/>
      </w:r>
      <w:r w:rsidR="008E259F">
        <w:rPr>
          <w:rFonts w:cs="Times New Roman"/>
        </w:rPr>
        <w:t xml:space="preserve">  </w:t>
      </w:r>
      <w:r w:rsidR="00971722">
        <w:rPr>
          <w:rFonts w:cs="Times New Roman"/>
        </w:rPr>
        <w:t>Further, s</w:t>
      </w:r>
      <w:r w:rsidR="008E259F">
        <w:rPr>
          <w:rFonts w:cs="Times New Roman"/>
        </w:rPr>
        <w:t xml:space="preserve">ection 340 </w:t>
      </w:r>
      <w:r w:rsidR="00971722">
        <w:rPr>
          <w:rFonts w:cs="Times New Roman"/>
        </w:rPr>
        <w:t xml:space="preserve">is not in </w:t>
      </w:r>
      <w:r w:rsidR="00A26A30">
        <w:rPr>
          <w:rFonts w:cs="Times New Roman"/>
        </w:rPr>
        <w:t>A</w:t>
      </w:r>
      <w:r w:rsidR="00971722">
        <w:rPr>
          <w:rFonts w:cs="Times New Roman"/>
        </w:rPr>
        <w:t>rticle 7.  It is in the following article, entitled “Dependent Children—Commencement of Proceedings.”  (</w:t>
      </w:r>
      <w:proofErr w:type="spellStart"/>
      <w:r w:rsidR="00971722">
        <w:rPr>
          <w:rFonts w:cs="Times New Roman"/>
        </w:rPr>
        <w:t>Welf</w:t>
      </w:r>
      <w:proofErr w:type="spellEnd"/>
      <w:r w:rsidR="00971722">
        <w:rPr>
          <w:rFonts w:cs="Times New Roman"/>
        </w:rPr>
        <w:t xml:space="preserve">. &amp; Inst. Code, div. 2, part 1, </w:t>
      </w:r>
      <w:proofErr w:type="spellStart"/>
      <w:r w:rsidR="00971722">
        <w:rPr>
          <w:rFonts w:cs="Times New Roman"/>
        </w:rPr>
        <w:t>ch.</w:t>
      </w:r>
      <w:proofErr w:type="spellEnd"/>
      <w:r w:rsidR="00971722">
        <w:rPr>
          <w:rFonts w:cs="Times New Roman"/>
        </w:rPr>
        <w:t xml:space="preserve"> 2, art. 8; </w:t>
      </w:r>
      <w:r w:rsidR="00971722" w:rsidRPr="00D75741">
        <w:rPr>
          <w:i/>
          <w:iCs/>
          <w:color w:val="3D3D3D"/>
          <w:bdr w:val="none" w:sz="0" w:space="0" w:color="auto" w:frame="1"/>
        </w:rPr>
        <w:t>Adrian L.</w:t>
      </w:r>
      <w:r w:rsidR="00971722">
        <w:t xml:space="preserve">, </w:t>
      </w:r>
      <w:r w:rsidR="00971722" w:rsidRPr="0022748B">
        <w:rPr>
          <w:i/>
          <w:iCs/>
        </w:rPr>
        <w:t>supra</w:t>
      </w:r>
      <w:r w:rsidR="00971722">
        <w:t xml:space="preserve">, </w:t>
      </w:r>
      <w:r w:rsidR="00971722" w:rsidRPr="0022748B">
        <w:t>86</w:t>
      </w:r>
      <w:r w:rsidR="00971722" w:rsidRPr="00D75741">
        <w:t xml:space="preserve"> Cal.App.5th </w:t>
      </w:r>
      <w:r w:rsidR="00971722">
        <w:t xml:space="preserve">at p. </w:t>
      </w:r>
      <w:r w:rsidR="00971722" w:rsidRPr="00D75741">
        <w:t>357</w:t>
      </w:r>
      <w:r w:rsidR="00971722">
        <w:t>, fn. 7. (</w:t>
      </w:r>
      <w:r w:rsidR="00971722" w:rsidRPr="00223D55">
        <w:rPr>
          <w:rFonts w:cs="Times New Roman"/>
        </w:rPr>
        <w:t xml:space="preserve">conc. </w:t>
      </w:r>
      <w:proofErr w:type="spellStart"/>
      <w:r w:rsidR="00971722" w:rsidRPr="00223D55">
        <w:rPr>
          <w:rFonts w:cs="Times New Roman"/>
        </w:rPr>
        <w:t>opn</w:t>
      </w:r>
      <w:proofErr w:type="spellEnd"/>
      <w:r w:rsidR="00971722" w:rsidRPr="00223D55">
        <w:rPr>
          <w:rFonts w:cs="Times New Roman"/>
        </w:rPr>
        <w:t xml:space="preserve">. </w:t>
      </w:r>
      <w:r w:rsidR="00971722">
        <w:rPr>
          <w:rFonts w:cs="Times New Roman"/>
        </w:rPr>
        <w:t>o</w:t>
      </w:r>
      <w:r w:rsidR="00971722" w:rsidRPr="00223D55">
        <w:rPr>
          <w:rFonts w:cs="Times New Roman"/>
        </w:rPr>
        <w:t>f Kelley, J.).</w:t>
      </w:r>
      <w:r w:rsidR="00971722">
        <w:rPr>
          <w:rFonts w:cs="Times New Roman"/>
        </w:rPr>
        <w:t xml:space="preserve">) </w:t>
      </w:r>
    </w:p>
    <w:p w14:paraId="394F7F67" w14:textId="6F73240D" w:rsidR="00341AEC" w:rsidRPr="007F3A68" w:rsidRDefault="007C02D3" w:rsidP="007F3A68">
      <w:pPr>
        <w:spacing w:after="0" w:line="600" w:lineRule="exact"/>
        <w:ind w:firstLine="720"/>
      </w:pPr>
      <w:r>
        <w:rPr>
          <w:rFonts w:cs="Times New Roman"/>
        </w:rPr>
        <w:t xml:space="preserve">The </w:t>
      </w:r>
      <w:r w:rsidR="00853784">
        <w:rPr>
          <w:rFonts w:cs="Times New Roman"/>
        </w:rPr>
        <w:t>statutes authorizing</w:t>
      </w:r>
      <w:r>
        <w:rPr>
          <w:rFonts w:cs="Times New Roman"/>
        </w:rPr>
        <w:t xml:space="preserve"> temporary custody without a warrant and protective custody </w:t>
      </w:r>
      <w:r w:rsidR="001E11FD">
        <w:rPr>
          <w:rFonts w:cs="Times New Roman"/>
        </w:rPr>
        <w:t xml:space="preserve">pursuant to a warrant </w:t>
      </w:r>
      <w:r w:rsidR="00D43A84">
        <w:rPr>
          <w:rFonts w:cs="Times New Roman"/>
        </w:rPr>
        <w:t>conform to</w:t>
      </w:r>
      <w:r w:rsidR="00853784">
        <w:rPr>
          <w:rFonts w:cs="Times New Roman"/>
        </w:rPr>
        <w:t xml:space="preserve"> federal case law applying Fourth and Fourteenth Amendment protections to child welfare investigations.</w:t>
      </w:r>
      <w:r w:rsidR="001C0600">
        <w:rPr>
          <w:rFonts w:cs="Times New Roman"/>
        </w:rPr>
        <w:t xml:space="preserve">  (</w:t>
      </w:r>
      <w:r w:rsidR="00F44867">
        <w:rPr>
          <w:rFonts w:cs="Times New Roman"/>
        </w:rPr>
        <w:t xml:space="preserve">See, e.g., </w:t>
      </w:r>
      <w:r w:rsidR="001C0600">
        <w:rPr>
          <w:rFonts w:cs="Times New Roman"/>
          <w:i/>
          <w:iCs/>
        </w:rPr>
        <w:t xml:space="preserve">Wallis v. Spencer </w:t>
      </w:r>
      <w:r w:rsidR="001C0600">
        <w:rPr>
          <w:rFonts w:cs="Times New Roman"/>
        </w:rPr>
        <w:t>(9th Cir. 2000) 202 F.3d 1126, 1137, fn. 8.)</w:t>
      </w:r>
      <w:r w:rsidR="00853784">
        <w:rPr>
          <w:rFonts w:cs="Times New Roman"/>
        </w:rPr>
        <w:t xml:space="preserve">  Under federal law,</w:t>
      </w:r>
      <w:r w:rsidR="001C0600">
        <w:rPr>
          <w:rFonts w:cs="Times New Roman"/>
        </w:rPr>
        <w:t xml:space="preserve"> officials may remove a child from their parents’ custody </w:t>
      </w:r>
      <w:r w:rsidR="00B3486D">
        <w:rPr>
          <w:rFonts w:cs="Times New Roman"/>
        </w:rPr>
        <w:t>with</w:t>
      </w:r>
      <w:r w:rsidR="00402BD9">
        <w:rPr>
          <w:rFonts w:cs="Times New Roman"/>
        </w:rPr>
        <w:t xml:space="preserve"> parental consent</w:t>
      </w:r>
      <w:r w:rsidR="00B3486D">
        <w:rPr>
          <w:rFonts w:cs="Times New Roman"/>
        </w:rPr>
        <w:t>, pursuant to a court order</w:t>
      </w:r>
      <w:r w:rsidR="00402BD9">
        <w:rPr>
          <w:rFonts w:cs="Times New Roman"/>
        </w:rPr>
        <w:t xml:space="preserve">, or </w:t>
      </w:r>
      <w:r w:rsidR="00B3486D">
        <w:rPr>
          <w:rFonts w:cs="Times New Roman"/>
        </w:rPr>
        <w:t>if exigent circumstances exist.  (</w:t>
      </w:r>
      <w:r w:rsidR="00402BD9">
        <w:rPr>
          <w:i/>
          <w:iCs/>
          <w:color w:val="3D3D3D"/>
          <w:bdr w:val="none" w:sz="0" w:space="0" w:color="auto" w:frame="1"/>
        </w:rPr>
        <w:t>Id.</w:t>
      </w:r>
      <w:r w:rsidR="00402BD9">
        <w:rPr>
          <w:color w:val="3D3D3D"/>
          <w:bdr w:val="none" w:sz="0" w:space="0" w:color="auto" w:frame="1"/>
        </w:rPr>
        <w:t xml:space="preserve"> at p.</w:t>
      </w:r>
      <w:r w:rsidR="00402BD9" w:rsidRPr="00402BD9">
        <w:t xml:space="preserve"> 1138</w:t>
      </w:r>
      <w:r w:rsidR="00B3486D">
        <w:t xml:space="preserve">; </w:t>
      </w:r>
      <w:r w:rsidR="00B3486D" w:rsidRPr="00B3486D">
        <w:rPr>
          <w:rFonts w:cs="Times New Roman"/>
          <w:i/>
          <w:iCs/>
          <w:bdr w:val="none" w:sz="0" w:space="0" w:color="auto" w:frame="1"/>
          <w:shd w:val="clear" w:color="auto" w:fill="FFFFFF"/>
        </w:rPr>
        <w:t xml:space="preserve">Keates v. </w:t>
      </w:r>
      <w:proofErr w:type="spellStart"/>
      <w:r w:rsidR="00B3486D" w:rsidRPr="00B3486D">
        <w:rPr>
          <w:rFonts w:cs="Times New Roman"/>
          <w:i/>
          <w:iCs/>
          <w:bdr w:val="none" w:sz="0" w:space="0" w:color="auto" w:frame="1"/>
          <w:shd w:val="clear" w:color="auto" w:fill="FFFFFF"/>
        </w:rPr>
        <w:t>Koile</w:t>
      </w:r>
      <w:proofErr w:type="spellEnd"/>
      <w:r w:rsidR="00B3486D" w:rsidRPr="00B3486D">
        <w:rPr>
          <w:rFonts w:cs="Times New Roman"/>
          <w:bdr w:val="none" w:sz="0" w:space="0" w:color="auto" w:frame="1"/>
          <w:shd w:val="clear" w:color="auto" w:fill="FFFFFF"/>
        </w:rPr>
        <w:t> (9th Cir. 2018) 883 F.3d 1228, 1237</w:t>
      </w:r>
      <w:r w:rsidR="00B3486D">
        <w:rPr>
          <w:rFonts w:cs="Times New Roman"/>
          <w:bdr w:val="none" w:sz="0" w:space="0" w:color="auto" w:frame="1"/>
          <w:shd w:val="clear" w:color="auto" w:fill="FFFFFF"/>
        </w:rPr>
        <w:t>.)  The Ninth Circuit has defined exigency for these purposes as “</w:t>
      </w:r>
      <w:r w:rsidR="00B3486D" w:rsidRPr="00B3486D">
        <w:t>reasonable cause to believe that the child is in imminent danger of serious bodily injury and that the scope of the intrusion is reasonably necessary to avert that specific injury.</w:t>
      </w:r>
      <w:r w:rsidR="00B3486D">
        <w:t>”  (</w:t>
      </w:r>
      <w:r w:rsidR="00B3486D" w:rsidRPr="00B3486D">
        <w:rPr>
          <w:i/>
          <w:iCs/>
          <w:color w:val="3D3D3D"/>
          <w:bdr w:val="none" w:sz="0" w:space="0" w:color="auto" w:frame="1"/>
        </w:rPr>
        <w:t>Wallis v. Spencer</w:t>
      </w:r>
      <w:r w:rsidR="00B3486D">
        <w:t xml:space="preserve">, at p. </w:t>
      </w:r>
      <w:r w:rsidR="00B3486D" w:rsidRPr="00B3486D">
        <w:t>1138</w:t>
      </w:r>
      <w:r w:rsidR="00B3486D">
        <w:t>.)</w:t>
      </w:r>
      <w:r w:rsidR="00F075DA">
        <w:t xml:space="preserve">  The provisions of</w:t>
      </w:r>
      <w:r w:rsidR="00A26A30">
        <w:t xml:space="preserve"> A</w:t>
      </w:r>
      <w:r w:rsidR="00932DC2">
        <w:t>rticle 7 (e.g., §§ </w:t>
      </w:r>
      <w:r w:rsidR="00F075DA">
        <w:t>305</w:t>
      </w:r>
      <w:r w:rsidR="00932DC2">
        <w:t xml:space="preserve">, </w:t>
      </w:r>
      <w:r w:rsidR="00F075DA">
        <w:t>306</w:t>
      </w:r>
      <w:r w:rsidR="00932DC2">
        <w:t>)</w:t>
      </w:r>
      <w:r w:rsidR="00F075DA">
        <w:t xml:space="preserve"> authorizing officers and social workers to take temporary custody </w:t>
      </w:r>
      <w:r w:rsidR="00F44867">
        <w:t>track that definition of</w:t>
      </w:r>
      <w:r w:rsidR="00F075DA">
        <w:t xml:space="preserve"> exigent circumstances</w:t>
      </w:r>
      <w:r w:rsidR="00ED22C9">
        <w:t>.</w:t>
      </w:r>
      <w:r w:rsidR="00F44867">
        <w:t xml:space="preserve">  (See </w:t>
      </w:r>
      <w:proofErr w:type="spellStart"/>
      <w:r w:rsidR="00375202">
        <w:t>Seiser</w:t>
      </w:r>
      <w:proofErr w:type="spellEnd"/>
      <w:r w:rsidR="00375202">
        <w:t xml:space="preserve"> &amp; </w:t>
      </w:r>
      <w:proofErr w:type="spellStart"/>
      <w:r w:rsidR="00375202">
        <w:t>Kumli</w:t>
      </w:r>
      <w:proofErr w:type="spellEnd"/>
      <w:r w:rsidR="00375202">
        <w:t xml:space="preserve">, 1 </w:t>
      </w:r>
      <w:r w:rsidR="00375202" w:rsidRPr="00375202">
        <w:rPr>
          <w:bdr w:val="none" w:sz="0" w:space="0" w:color="auto" w:frame="1"/>
          <w:shd w:val="clear" w:color="auto" w:fill="FFFFFF"/>
        </w:rPr>
        <w:t>Cal</w:t>
      </w:r>
      <w:r w:rsidR="00375202">
        <w:rPr>
          <w:bdr w:val="none" w:sz="0" w:space="0" w:color="auto" w:frame="1"/>
          <w:shd w:val="clear" w:color="auto" w:fill="FFFFFF"/>
        </w:rPr>
        <w:t>.</w:t>
      </w:r>
      <w:r w:rsidR="00375202" w:rsidRPr="00375202">
        <w:rPr>
          <w:bdr w:val="none" w:sz="0" w:space="0" w:color="auto" w:frame="1"/>
          <w:shd w:val="clear" w:color="auto" w:fill="FFFFFF"/>
        </w:rPr>
        <w:t xml:space="preserve"> Juvenile Courts Practice </w:t>
      </w:r>
      <w:r w:rsidR="00375202">
        <w:rPr>
          <w:bdr w:val="none" w:sz="0" w:space="0" w:color="auto" w:frame="1"/>
          <w:shd w:val="clear" w:color="auto" w:fill="FFFFFF"/>
        </w:rPr>
        <w:t>&amp;</w:t>
      </w:r>
      <w:r w:rsidR="00375202" w:rsidRPr="00375202">
        <w:rPr>
          <w:bdr w:val="none" w:sz="0" w:space="0" w:color="auto" w:frame="1"/>
          <w:shd w:val="clear" w:color="auto" w:fill="FFFFFF"/>
        </w:rPr>
        <w:t xml:space="preserve"> </w:t>
      </w:r>
      <w:r w:rsidR="00375202" w:rsidRPr="00375202">
        <w:rPr>
          <w:bdr w:val="none" w:sz="0" w:space="0" w:color="auto" w:frame="1"/>
          <w:shd w:val="clear" w:color="auto" w:fill="FFFFFF"/>
        </w:rPr>
        <w:lastRenderedPageBreak/>
        <w:t>Procedure §</w:t>
      </w:r>
      <w:r w:rsidR="00375202">
        <w:rPr>
          <w:bdr w:val="none" w:sz="0" w:space="0" w:color="auto" w:frame="1"/>
          <w:shd w:val="clear" w:color="auto" w:fill="FFFFFF"/>
        </w:rPr>
        <w:t> </w:t>
      </w:r>
      <w:r w:rsidR="00375202" w:rsidRPr="00375202">
        <w:rPr>
          <w:bdr w:val="none" w:sz="0" w:space="0" w:color="auto" w:frame="1"/>
          <w:shd w:val="clear" w:color="auto" w:fill="FFFFFF"/>
        </w:rPr>
        <w:t>2.30 (2023)</w:t>
      </w:r>
      <w:r w:rsidR="00375202">
        <w:t xml:space="preserve"> [“</w:t>
      </w:r>
      <w:r w:rsidR="00375202" w:rsidRPr="00375202">
        <w:t xml:space="preserve">The Ninth Circuit’s exigency standard is essentially codified in </w:t>
      </w:r>
      <w:proofErr w:type="spellStart"/>
      <w:r w:rsidR="00375202" w:rsidRPr="00375202">
        <w:t>Welf</w:t>
      </w:r>
      <w:proofErr w:type="spellEnd"/>
      <w:r w:rsidR="00375202" w:rsidRPr="00375202">
        <w:t>. &amp; Inst. Code § 305 [law enforcement] and § 306 [social workers], which empower government officials to take a child into temporary custody under certain circumstances, without a warrant, if the child is in immediate danger of serious physical harm</w:t>
      </w:r>
      <w:r w:rsidR="00375202">
        <w:t xml:space="preserve">”].)  </w:t>
      </w:r>
      <w:r w:rsidR="007F3A68">
        <w:t xml:space="preserve">Section 340 </w:t>
      </w:r>
      <w:r w:rsidR="00D43A84">
        <w:t>authorizes</w:t>
      </w:r>
      <w:r w:rsidR="007F3A68">
        <w:t xml:space="preserve"> removal by court orde</w:t>
      </w:r>
      <w:r w:rsidR="00932DC2">
        <w:t xml:space="preserve">r (a </w:t>
      </w:r>
      <w:r w:rsidR="00ED22C9">
        <w:t>warrant</w:t>
      </w:r>
      <w:r w:rsidR="00932DC2">
        <w:t>)</w:t>
      </w:r>
      <w:r w:rsidR="00ED22C9">
        <w:t>.</w:t>
      </w:r>
    </w:p>
    <w:p w14:paraId="03A7E835" w14:textId="50A5AEC2" w:rsidR="00235190" w:rsidRDefault="007C02D3" w:rsidP="00223D55">
      <w:pPr>
        <w:spacing w:after="0" w:line="600" w:lineRule="exact"/>
        <w:ind w:firstLine="720"/>
        <w:rPr>
          <w:rFonts w:cs="Times New Roman"/>
        </w:rPr>
      </w:pPr>
      <w:proofErr w:type="gramStart"/>
      <w:r w:rsidRPr="00223D55">
        <w:rPr>
          <w:rFonts w:cs="Times New Roman"/>
        </w:rPr>
        <w:t>All of</w:t>
      </w:r>
      <w:proofErr w:type="gramEnd"/>
      <w:r w:rsidRPr="00223D55">
        <w:rPr>
          <w:rFonts w:cs="Times New Roman"/>
        </w:rPr>
        <w:t xml:space="preserve"> the children in this case were taken into protective custody pursuant to </w:t>
      </w:r>
      <w:r w:rsidR="00E81B91">
        <w:rPr>
          <w:rFonts w:cs="Times New Roman"/>
        </w:rPr>
        <w:t xml:space="preserve">a </w:t>
      </w:r>
      <w:r w:rsidRPr="00223D55">
        <w:rPr>
          <w:rFonts w:cs="Times New Roman"/>
        </w:rPr>
        <w:t>warrant</w:t>
      </w:r>
      <w:r w:rsidR="00E81B91">
        <w:rPr>
          <w:rFonts w:cs="Times New Roman"/>
        </w:rPr>
        <w:t xml:space="preserve"> under section 340, subdivision (b)</w:t>
      </w:r>
      <w:r w:rsidRPr="00223D55">
        <w:rPr>
          <w:rFonts w:cs="Times New Roman"/>
        </w:rPr>
        <w:t xml:space="preserve">.  They therefore were not taken into temporary custody </w:t>
      </w:r>
      <w:r w:rsidR="00C162D7">
        <w:rPr>
          <w:rFonts w:cs="Times New Roman"/>
        </w:rPr>
        <w:t xml:space="preserve">by CFS </w:t>
      </w:r>
      <w:r w:rsidRPr="00223D55">
        <w:rPr>
          <w:rFonts w:cs="Times New Roman"/>
        </w:rPr>
        <w:t xml:space="preserve">pursuant to section 306.  </w:t>
      </w:r>
      <w:r w:rsidR="00DD0F02">
        <w:rPr>
          <w:rFonts w:cs="Times New Roman"/>
        </w:rPr>
        <w:t xml:space="preserve">Nor were they taken into temporary custody by the probation department pursuant to section 307.  </w:t>
      </w:r>
      <w:r w:rsidRPr="00223D55">
        <w:rPr>
          <w:rFonts w:cs="Times New Roman"/>
        </w:rPr>
        <w:t xml:space="preserve">The expanded duty of initial inquiry under </w:t>
      </w:r>
      <w:r w:rsidRPr="00223D55">
        <w:rPr>
          <w:rFonts w:cs="Times New Roman"/>
        </w:rPr>
        <w:t>subdivision (b) of section 224.2 consequently does not apply.  (</w:t>
      </w:r>
      <w:r w:rsidR="00D120DA">
        <w:rPr>
          <w:rFonts w:cs="Times New Roman"/>
          <w:i/>
          <w:iCs/>
        </w:rPr>
        <w:t>Robert F.</w:t>
      </w:r>
      <w:r w:rsidR="00D120DA">
        <w:rPr>
          <w:rFonts w:cs="Times New Roman"/>
        </w:rPr>
        <w:t xml:space="preserve">, </w:t>
      </w:r>
      <w:r w:rsidR="00D120DA" w:rsidRPr="00570667">
        <w:rPr>
          <w:rFonts w:cs="Times New Roman"/>
          <w:i/>
          <w:iCs/>
        </w:rPr>
        <w:t>supra</w:t>
      </w:r>
      <w:r w:rsidR="00D120DA">
        <w:rPr>
          <w:rFonts w:cs="Times New Roman"/>
        </w:rPr>
        <w:t xml:space="preserve">, </w:t>
      </w:r>
      <w:r w:rsidR="00941E24">
        <w:rPr>
          <w:rFonts w:cs="Times New Roman"/>
        </w:rPr>
        <w:t>90 Cal.App.5th at pp. 497-498, 500, 504</w:t>
      </w:r>
      <w:r w:rsidRPr="00223D55">
        <w:rPr>
          <w:rFonts w:cs="Times New Roman"/>
        </w:rPr>
        <w:t>.)  As a result,</w:t>
      </w:r>
      <w:r w:rsidR="00D73019">
        <w:rPr>
          <w:rFonts w:cs="Times New Roman"/>
        </w:rPr>
        <w:t xml:space="preserve"> Mother’s</w:t>
      </w:r>
      <w:r w:rsidRPr="00223D55">
        <w:rPr>
          <w:rFonts w:cs="Times New Roman"/>
        </w:rPr>
        <w:t xml:space="preserve"> argument that </w:t>
      </w:r>
      <w:r w:rsidR="004C527C">
        <w:rPr>
          <w:rFonts w:cs="Times New Roman"/>
        </w:rPr>
        <w:t>CFS</w:t>
      </w:r>
      <w:r w:rsidR="004C527C" w:rsidRPr="00223D55">
        <w:rPr>
          <w:rFonts w:cs="Times New Roman"/>
        </w:rPr>
        <w:t xml:space="preserve"> </w:t>
      </w:r>
      <w:r w:rsidRPr="00223D55">
        <w:rPr>
          <w:rFonts w:cs="Times New Roman"/>
        </w:rPr>
        <w:t>violated its duty of initial inquiry under subdivision (b) of section 224.2 lacks merit.</w:t>
      </w:r>
      <w:r w:rsidR="00D73019">
        <w:rPr>
          <w:rFonts w:cs="Times New Roman"/>
        </w:rPr>
        <w:t xml:space="preserve"> </w:t>
      </w:r>
    </w:p>
    <w:p w14:paraId="77450882" w14:textId="584B1087" w:rsidR="00BB6A0B" w:rsidRDefault="007C02D3" w:rsidP="00223D55">
      <w:pPr>
        <w:spacing w:after="0" w:line="600" w:lineRule="exact"/>
        <w:ind w:firstLine="720"/>
        <w:rPr>
          <w:rFonts w:cs="Times New Roman"/>
        </w:rPr>
      </w:pPr>
      <w:r>
        <w:rPr>
          <w:rFonts w:cs="Times New Roman"/>
        </w:rPr>
        <w:t>A</w:t>
      </w:r>
      <w:r>
        <w:rPr>
          <w:rFonts w:cs="Times New Roman"/>
        </w:rPr>
        <w:t xml:space="preserve">fter providing our tentative opinion to the parties, we allowed them to file supplemental briefs concerning the foregoing analysis.  In her supplemental brief, Mother </w:t>
      </w:r>
      <w:r w:rsidR="00492BAF">
        <w:rPr>
          <w:rFonts w:cs="Times New Roman"/>
        </w:rPr>
        <w:t xml:space="preserve">first </w:t>
      </w:r>
      <w:r>
        <w:rPr>
          <w:rFonts w:cs="Times New Roman"/>
        </w:rPr>
        <w:t>argues that the analysis “</w:t>
      </w:r>
      <w:r w:rsidRPr="00235190">
        <w:rPr>
          <w:rFonts w:cs="Times New Roman"/>
        </w:rPr>
        <w:t>rests on the erroneous assumption that removal by law enf</w:t>
      </w:r>
      <w:r w:rsidRPr="00235190">
        <w:rPr>
          <w:rFonts w:cs="Times New Roman"/>
        </w:rPr>
        <w:t>orcement under section 340 is an alternative to the child welfare agency taking a child into protective custody under section 306</w:t>
      </w:r>
      <w:r>
        <w:rPr>
          <w:rFonts w:cs="Times New Roman"/>
        </w:rPr>
        <w:t xml:space="preserve">.”  </w:t>
      </w:r>
      <w:r w:rsidR="00D613D0">
        <w:rPr>
          <w:rFonts w:cs="Times New Roman"/>
        </w:rPr>
        <w:t>More precisely, Mother appears to argue that because subdivision (a)(1) of section 306 authorizes a social worker to take a child “</w:t>
      </w:r>
      <w:r w:rsidR="00D613D0" w:rsidRPr="00D613D0">
        <w:rPr>
          <w:rFonts w:cs="Times New Roman"/>
        </w:rPr>
        <w:t>who has been delivered by a peace officer</w:t>
      </w:r>
      <w:r w:rsidR="00D613D0">
        <w:rPr>
          <w:rFonts w:cs="Times New Roman"/>
        </w:rPr>
        <w:t xml:space="preserve">” into temporary custody, it follows that </w:t>
      </w:r>
      <w:r>
        <w:rPr>
          <w:rFonts w:cs="Times New Roman"/>
        </w:rPr>
        <w:t>whenever</w:t>
      </w:r>
      <w:r w:rsidR="00D613D0">
        <w:rPr>
          <w:rFonts w:cs="Times New Roman"/>
        </w:rPr>
        <w:t xml:space="preserve"> a </w:t>
      </w:r>
      <w:bookmarkStart w:id="1" w:name="_Hlk134694160"/>
      <w:r w:rsidR="00D613D0">
        <w:rPr>
          <w:rFonts w:cs="Times New Roman"/>
        </w:rPr>
        <w:t xml:space="preserve">peace officer takes a child into protective custody pursuant to a warrant and then delivers </w:t>
      </w:r>
      <w:r w:rsidR="00D613D0">
        <w:rPr>
          <w:rFonts w:cs="Times New Roman"/>
        </w:rPr>
        <w:lastRenderedPageBreak/>
        <w:t>the child to a social worker, the child is thereby taken into temporary custody pursuant to section 306</w:t>
      </w:r>
      <w:bookmarkEnd w:id="1"/>
      <w:r>
        <w:rPr>
          <w:rFonts w:cs="Times New Roman"/>
        </w:rPr>
        <w:t>.</w:t>
      </w:r>
    </w:p>
    <w:p w14:paraId="45FF8688" w14:textId="7F2E2C81" w:rsidR="00366855" w:rsidRDefault="007C02D3" w:rsidP="000C282D">
      <w:pPr>
        <w:spacing w:after="0" w:line="600" w:lineRule="exact"/>
        <w:ind w:firstLine="720"/>
        <w:rPr>
          <w:rFonts w:cs="Times New Roman"/>
        </w:rPr>
      </w:pPr>
      <w:r>
        <w:rPr>
          <w:rFonts w:cs="Times New Roman"/>
        </w:rPr>
        <w:t xml:space="preserve">We </w:t>
      </w:r>
      <w:r w:rsidR="00D613D0">
        <w:rPr>
          <w:rFonts w:cs="Times New Roman"/>
        </w:rPr>
        <w:t xml:space="preserve">disagree.  Subdivisions (a) and (b) of section 340 provide for the issuance of protective custody warrants.  Subdivision (c) </w:t>
      </w:r>
      <w:r w:rsidR="00BB6A0B">
        <w:rPr>
          <w:rFonts w:cs="Times New Roman"/>
        </w:rPr>
        <w:t xml:space="preserve">of section 340 </w:t>
      </w:r>
      <w:r w:rsidR="00D613D0">
        <w:rPr>
          <w:rFonts w:cs="Times New Roman"/>
        </w:rPr>
        <w:t>requires that “[a]</w:t>
      </w:r>
      <w:proofErr w:type="spellStart"/>
      <w:r w:rsidR="00D613D0" w:rsidRPr="00D613D0">
        <w:rPr>
          <w:rFonts w:cs="Times New Roman"/>
        </w:rPr>
        <w:t>ny</w:t>
      </w:r>
      <w:proofErr w:type="spellEnd"/>
      <w:r w:rsidR="00D613D0" w:rsidRPr="00D613D0">
        <w:rPr>
          <w:rFonts w:cs="Times New Roman"/>
        </w:rPr>
        <w:t xml:space="preserve"> child taken into protective custody pursuant to this section shall immediately be delivered to the social worker</w:t>
      </w:r>
      <w:r w:rsidR="00ED3A3B">
        <w:rPr>
          <w:rFonts w:cs="Times New Roman"/>
        </w:rPr>
        <w:t>,</w:t>
      </w:r>
      <w:r w:rsidR="00D613D0">
        <w:rPr>
          <w:rFonts w:cs="Times New Roman"/>
        </w:rPr>
        <w:t>”</w:t>
      </w:r>
      <w:r w:rsidR="00ED3A3B">
        <w:rPr>
          <w:rFonts w:cs="Times New Roman"/>
        </w:rPr>
        <w:t xml:space="preserve"> who must then </w:t>
      </w:r>
      <w:proofErr w:type="gramStart"/>
      <w:r w:rsidR="00ED3A3B">
        <w:rPr>
          <w:rFonts w:cs="Times New Roman"/>
        </w:rPr>
        <w:t>conduct an investigation</w:t>
      </w:r>
      <w:proofErr w:type="gramEnd"/>
      <w:r w:rsidR="00ED3A3B">
        <w:rPr>
          <w:rFonts w:cs="Times New Roman"/>
        </w:rPr>
        <w:t xml:space="preserve"> “pursuant to [s]</w:t>
      </w:r>
      <w:proofErr w:type="spellStart"/>
      <w:r w:rsidR="00ED3A3B">
        <w:rPr>
          <w:rFonts w:cs="Times New Roman"/>
        </w:rPr>
        <w:t>ection</w:t>
      </w:r>
      <w:proofErr w:type="spellEnd"/>
      <w:r w:rsidR="00ED3A3B">
        <w:rPr>
          <w:rFonts w:cs="Times New Roman"/>
        </w:rPr>
        <w:t xml:space="preserve"> 309.”</w:t>
      </w:r>
      <w:r w:rsidR="00D613D0">
        <w:rPr>
          <w:rFonts w:cs="Times New Roman"/>
        </w:rPr>
        <w:t xml:space="preserve">  Thus, when a peace officer takes a child into protective custody pursuant to a warrant and then complies with the statutory obligation to deliver the child to the social worker, the social worker is taking custody of the child pursuant to section</w:t>
      </w:r>
      <w:r w:rsidR="00A64B5F">
        <w:rPr>
          <w:rFonts w:cs="Times New Roman"/>
        </w:rPr>
        <w:t> </w:t>
      </w:r>
      <w:r w:rsidR="00D613D0">
        <w:rPr>
          <w:rFonts w:cs="Times New Roman"/>
        </w:rPr>
        <w:t>340, subdivision (c).</w:t>
      </w:r>
      <w:r w:rsidR="00114C8C">
        <w:rPr>
          <w:rFonts w:cs="Times New Roman"/>
        </w:rPr>
        <w:t xml:space="preserve">  </w:t>
      </w:r>
    </w:p>
    <w:p w14:paraId="2EBED8B7" w14:textId="4EC264F1" w:rsidR="00B944BA" w:rsidRDefault="007C02D3" w:rsidP="000C282D">
      <w:pPr>
        <w:spacing w:after="0" w:line="600" w:lineRule="exact"/>
        <w:ind w:firstLine="720"/>
        <w:rPr>
          <w:rFonts w:cs="Times New Roman"/>
        </w:rPr>
      </w:pPr>
      <w:r>
        <w:rPr>
          <w:rFonts w:cs="Times New Roman"/>
        </w:rPr>
        <w:t xml:space="preserve">But </w:t>
      </w:r>
      <w:bookmarkStart w:id="2" w:name="_Hlk134094123"/>
      <w:r>
        <w:rPr>
          <w:rFonts w:cs="Times New Roman"/>
        </w:rPr>
        <w:t>s</w:t>
      </w:r>
      <w:r w:rsidR="00BB6A0B">
        <w:rPr>
          <w:rFonts w:cs="Times New Roman"/>
        </w:rPr>
        <w:t xml:space="preserve">ubdivision (a)(1) of section 306 </w:t>
      </w:r>
      <w:bookmarkEnd w:id="2"/>
      <w:r w:rsidR="00F572F7">
        <w:rPr>
          <w:rFonts w:cs="Times New Roman"/>
        </w:rPr>
        <w:t xml:space="preserve">has no application </w:t>
      </w:r>
      <w:r>
        <w:rPr>
          <w:rFonts w:cs="Times New Roman"/>
        </w:rPr>
        <w:t>when children are detained pursuant to a warrant under section 340, subdivision (b)</w:t>
      </w:r>
      <w:r w:rsidR="00F572F7">
        <w:rPr>
          <w:rFonts w:cs="Times New Roman"/>
        </w:rPr>
        <w:t xml:space="preserve">.  </w:t>
      </w:r>
      <w:r w:rsidR="00420F41">
        <w:rPr>
          <w:rFonts w:cs="Times New Roman"/>
        </w:rPr>
        <w:t xml:space="preserve">Section 306 </w:t>
      </w:r>
      <w:r w:rsidR="00406378">
        <w:rPr>
          <w:rFonts w:cs="Times New Roman"/>
        </w:rPr>
        <w:t xml:space="preserve">expressly </w:t>
      </w:r>
      <w:r w:rsidR="00376E92">
        <w:rPr>
          <w:rFonts w:cs="Times New Roman"/>
        </w:rPr>
        <w:t>involves</w:t>
      </w:r>
      <w:r w:rsidR="00406378">
        <w:rPr>
          <w:rFonts w:cs="Times New Roman"/>
        </w:rPr>
        <w:t xml:space="preserve"> “temporary custody,</w:t>
      </w:r>
      <w:r w:rsidR="00376E92">
        <w:rPr>
          <w:rFonts w:cs="Times New Roman"/>
        </w:rPr>
        <w:t xml:space="preserve">” which </w:t>
      </w:r>
      <w:r w:rsidR="00A26A30">
        <w:rPr>
          <w:rFonts w:cs="Times New Roman"/>
        </w:rPr>
        <w:t>A</w:t>
      </w:r>
      <w:r w:rsidR="00376E92">
        <w:rPr>
          <w:rFonts w:cs="Times New Roman"/>
        </w:rPr>
        <w:t>rticle 7</w:t>
      </w:r>
      <w:r w:rsidR="00932DC2">
        <w:rPr>
          <w:rFonts w:cs="Times New Roman"/>
        </w:rPr>
        <w:t xml:space="preserve"> defines</w:t>
      </w:r>
      <w:r w:rsidR="00376E92">
        <w:rPr>
          <w:rFonts w:cs="Times New Roman"/>
        </w:rPr>
        <w:t>,</w:t>
      </w:r>
      <w:r w:rsidR="00406378">
        <w:rPr>
          <w:rFonts w:cs="Times New Roman"/>
        </w:rPr>
        <w:t xml:space="preserve"> not </w:t>
      </w:r>
      <w:r w:rsidR="00376E92">
        <w:rPr>
          <w:rFonts w:cs="Times New Roman"/>
        </w:rPr>
        <w:t>“</w:t>
      </w:r>
      <w:r w:rsidR="00406378">
        <w:rPr>
          <w:rFonts w:cs="Times New Roman"/>
        </w:rPr>
        <w:t>protective custody</w:t>
      </w:r>
      <w:r w:rsidR="00376E92">
        <w:rPr>
          <w:rFonts w:cs="Times New Roman"/>
        </w:rPr>
        <w:t>”</w:t>
      </w:r>
      <w:r w:rsidR="00406378">
        <w:rPr>
          <w:rFonts w:cs="Times New Roman"/>
        </w:rPr>
        <w:t xml:space="preserve"> </w:t>
      </w:r>
      <w:r w:rsidR="00D43A84">
        <w:rPr>
          <w:rFonts w:cs="Times New Roman"/>
        </w:rPr>
        <w:t>under</w:t>
      </w:r>
      <w:r w:rsidR="00406378">
        <w:rPr>
          <w:rFonts w:cs="Times New Roman"/>
        </w:rPr>
        <w:t xml:space="preserve"> section 340.</w:t>
      </w:r>
      <w:r w:rsidR="00376E92">
        <w:rPr>
          <w:rFonts w:cs="Times New Roman"/>
        </w:rPr>
        <w:t xml:space="preserve">  Subdivision (a)(1) of section 306 thus applies to situations in which an officer </w:t>
      </w:r>
      <w:r w:rsidR="00932DC2">
        <w:rPr>
          <w:rFonts w:cs="Times New Roman"/>
        </w:rPr>
        <w:t>detain</w:t>
      </w:r>
      <w:r w:rsidR="00D43A84">
        <w:rPr>
          <w:rFonts w:cs="Times New Roman"/>
        </w:rPr>
        <w:t>s</w:t>
      </w:r>
      <w:r w:rsidR="00376E92">
        <w:rPr>
          <w:rFonts w:cs="Times New Roman"/>
        </w:rPr>
        <w:t xml:space="preserve"> </w:t>
      </w:r>
      <w:r w:rsidR="00932DC2">
        <w:rPr>
          <w:rFonts w:cs="Times New Roman"/>
        </w:rPr>
        <w:t xml:space="preserve">a </w:t>
      </w:r>
      <w:r w:rsidR="00376E92">
        <w:rPr>
          <w:rFonts w:cs="Times New Roman"/>
        </w:rPr>
        <w:t xml:space="preserve">child pursuant to one of the sections in </w:t>
      </w:r>
      <w:r w:rsidR="00A26A30">
        <w:rPr>
          <w:rFonts w:cs="Times New Roman"/>
        </w:rPr>
        <w:t>A</w:t>
      </w:r>
      <w:r w:rsidR="00376E92">
        <w:rPr>
          <w:rFonts w:cs="Times New Roman"/>
        </w:rPr>
        <w:t xml:space="preserve">rticle 7 and the officer </w:t>
      </w:r>
      <w:r w:rsidR="00932DC2">
        <w:rPr>
          <w:rFonts w:cs="Times New Roman"/>
        </w:rPr>
        <w:t>then delivers the child to the social worker.</w:t>
      </w:r>
      <w:r>
        <w:rPr>
          <w:rFonts w:cs="Times New Roman"/>
        </w:rPr>
        <w:t xml:space="preserve">  </w:t>
      </w:r>
    </w:p>
    <w:p w14:paraId="10CC6D92" w14:textId="56CC0BA8" w:rsidR="00492BAF" w:rsidRDefault="007C02D3" w:rsidP="00DD0F02">
      <w:pPr>
        <w:spacing w:after="0" w:line="600" w:lineRule="exact"/>
        <w:ind w:firstLine="720"/>
        <w:rPr>
          <w:rFonts w:cs="Times New Roman"/>
        </w:rPr>
      </w:pPr>
      <w:r>
        <w:rPr>
          <w:rFonts w:cs="Times New Roman"/>
        </w:rPr>
        <w:t>Moreover, i</w:t>
      </w:r>
      <w:r w:rsidR="00B944BA">
        <w:rPr>
          <w:rFonts w:cs="Times New Roman"/>
        </w:rPr>
        <w:t xml:space="preserve">f Mother’s interpretation of sections 306 and 340 were correct, </w:t>
      </w:r>
      <w:r w:rsidR="00F51C9C">
        <w:rPr>
          <w:rFonts w:cs="Times New Roman"/>
        </w:rPr>
        <w:t xml:space="preserve">then most of </w:t>
      </w:r>
      <w:r w:rsidR="00B944BA">
        <w:rPr>
          <w:rFonts w:cs="Times New Roman"/>
        </w:rPr>
        <w:t>subdivision (c) of section 340 would be surplusage.</w:t>
      </w:r>
      <w:r w:rsidR="00ED3A3B">
        <w:rPr>
          <w:rFonts w:cs="Times New Roman"/>
        </w:rPr>
        <w:t xml:space="preserve">  As discussed, that provision requires the social worker to </w:t>
      </w:r>
      <w:proofErr w:type="gramStart"/>
      <w:r w:rsidR="00A26A30">
        <w:rPr>
          <w:rFonts w:cs="Times New Roman"/>
        </w:rPr>
        <w:t xml:space="preserve">conduct an </w:t>
      </w:r>
      <w:r w:rsidR="00ED3A3B">
        <w:rPr>
          <w:rFonts w:cs="Times New Roman"/>
        </w:rPr>
        <w:t>investigat</w:t>
      </w:r>
      <w:r w:rsidR="00A26A30">
        <w:rPr>
          <w:rFonts w:cs="Times New Roman"/>
        </w:rPr>
        <w:t>ion</w:t>
      </w:r>
      <w:proofErr w:type="gramEnd"/>
      <w:r w:rsidR="00ED3A3B">
        <w:rPr>
          <w:rFonts w:cs="Times New Roman"/>
        </w:rPr>
        <w:t xml:space="preserve"> pursuant to section 309</w:t>
      </w:r>
      <w:r w:rsidR="00A26A30">
        <w:rPr>
          <w:rFonts w:cs="Times New Roman"/>
        </w:rPr>
        <w:t xml:space="preserve"> when</w:t>
      </w:r>
      <w:r w:rsidR="00ED3A3B">
        <w:rPr>
          <w:rFonts w:cs="Times New Roman"/>
        </w:rPr>
        <w:t xml:space="preserve"> a child has been delivered to </w:t>
      </w:r>
      <w:r w:rsidR="00A26A30">
        <w:rPr>
          <w:rFonts w:cs="Times New Roman"/>
        </w:rPr>
        <w:t>the social worker</w:t>
      </w:r>
      <w:r w:rsidR="00ED3A3B">
        <w:rPr>
          <w:rFonts w:cs="Times New Roman"/>
        </w:rPr>
        <w:t>.</w:t>
      </w:r>
      <w:r w:rsidR="00A26A30">
        <w:rPr>
          <w:rFonts w:cs="Times New Roman"/>
        </w:rPr>
        <w:t xml:space="preserve">  (§ 340, </w:t>
      </w:r>
      <w:proofErr w:type="spellStart"/>
      <w:r w:rsidR="00A26A30">
        <w:rPr>
          <w:rFonts w:cs="Times New Roman"/>
        </w:rPr>
        <w:t>subd</w:t>
      </w:r>
      <w:proofErr w:type="spellEnd"/>
      <w:r w:rsidR="00A26A30">
        <w:rPr>
          <w:rFonts w:cs="Times New Roman"/>
        </w:rPr>
        <w:t>. (c).)  Section 309 is in Article</w:t>
      </w:r>
      <w:r w:rsidR="00A067A4">
        <w:rPr>
          <w:rFonts w:cs="Times New Roman"/>
        </w:rPr>
        <w:t> </w:t>
      </w:r>
      <w:r w:rsidR="00A26A30">
        <w:rPr>
          <w:rFonts w:cs="Times New Roman"/>
        </w:rPr>
        <w:t xml:space="preserve">7 and describes the investigation that the worker must conduct when a child “has been taken into temporary custody under this article.”  (§ 309, </w:t>
      </w:r>
      <w:proofErr w:type="spellStart"/>
      <w:r w:rsidR="00A26A30">
        <w:rPr>
          <w:rFonts w:cs="Times New Roman"/>
        </w:rPr>
        <w:t>subd</w:t>
      </w:r>
      <w:proofErr w:type="spellEnd"/>
      <w:r w:rsidR="00A26A30">
        <w:rPr>
          <w:rFonts w:cs="Times New Roman"/>
        </w:rPr>
        <w:t>. (a).)  If</w:t>
      </w:r>
      <w:r>
        <w:rPr>
          <w:rFonts w:cs="Times New Roman"/>
        </w:rPr>
        <w:t xml:space="preserve"> </w:t>
      </w:r>
      <w:r w:rsidR="00A26A30">
        <w:rPr>
          <w:rFonts w:cs="Times New Roman"/>
        </w:rPr>
        <w:lastRenderedPageBreak/>
        <w:t>subdivision</w:t>
      </w:r>
      <w:r w:rsidR="00A067A4">
        <w:rPr>
          <w:rFonts w:cs="Times New Roman"/>
        </w:rPr>
        <w:t> </w:t>
      </w:r>
      <w:r w:rsidR="00A26A30">
        <w:rPr>
          <w:rFonts w:cs="Times New Roman"/>
        </w:rPr>
        <w:t xml:space="preserve">(a)(1) of section 306 referred to </w:t>
      </w:r>
      <w:r>
        <w:rPr>
          <w:rFonts w:cs="Times New Roman"/>
        </w:rPr>
        <w:t xml:space="preserve">a child taken into protective custody under section 340, then there would be no need to specify that the social worker conduct a section 309 </w:t>
      </w:r>
      <w:r>
        <w:rPr>
          <w:rFonts w:cs="Times New Roman"/>
        </w:rPr>
        <w:t>investigation.  Section 309 would already apply, because the child would have been taken into temporary custody under Article 7.  We should avoid statutory interpretations that</w:t>
      </w:r>
      <w:r w:rsidR="002E0345">
        <w:rPr>
          <w:rFonts w:cs="Times New Roman"/>
        </w:rPr>
        <w:t xml:space="preserve"> “render any word or provision surplusage.”  (</w:t>
      </w:r>
      <w:r w:rsidR="002E0345">
        <w:rPr>
          <w:rFonts w:cs="Times New Roman"/>
          <w:i/>
          <w:iCs/>
        </w:rPr>
        <w:t>Tuolumne Jobs &amp; Small Business Alliance v. Superior Court</w:t>
      </w:r>
      <w:r w:rsidR="002E0345">
        <w:rPr>
          <w:rFonts w:cs="Times New Roman"/>
        </w:rPr>
        <w:t xml:space="preserve"> (2014) 59 Cal.4th 1029, 1038.)</w:t>
      </w:r>
    </w:p>
    <w:p w14:paraId="42F7A5BF" w14:textId="52C5FDE8" w:rsidR="00D73019" w:rsidRDefault="007C02D3" w:rsidP="00223D55">
      <w:pPr>
        <w:spacing w:after="0" w:line="600" w:lineRule="exact"/>
        <w:ind w:firstLine="720"/>
        <w:rPr>
          <w:rFonts w:cs="Times New Roman"/>
        </w:rPr>
      </w:pPr>
      <w:r>
        <w:rPr>
          <w:rFonts w:cs="Times New Roman"/>
        </w:rPr>
        <w:t xml:space="preserve">Second, Mother argues that </w:t>
      </w:r>
      <w:r w:rsidR="008810C1">
        <w:rPr>
          <w:rFonts w:cs="Times New Roman"/>
        </w:rPr>
        <w:t xml:space="preserve">it would be “absurd” for the scope of the initial inquiry duty to be determined by whether the child was taken into custody pursuant to a warrant, and </w:t>
      </w:r>
      <w:r w:rsidR="00FF280F">
        <w:rPr>
          <w:rFonts w:cs="Times New Roman"/>
        </w:rPr>
        <w:t>she asserts that such an interpretation</w:t>
      </w:r>
      <w:r w:rsidR="008810C1">
        <w:rPr>
          <w:rFonts w:cs="Times New Roman"/>
        </w:rPr>
        <w:t xml:space="preserve"> would conflict with the Legislature’s intent to conform California law to relevant federal </w:t>
      </w:r>
      <w:r w:rsidR="00CA3470">
        <w:rPr>
          <w:rFonts w:cs="Times New Roman"/>
        </w:rPr>
        <w:t>guidelines</w:t>
      </w:r>
      <w:r w:rsidR="008810C1">
        <w:rPr>
          <w:rFonts w:cs="Times New Roman"/>
        </w:rPr>
        <w:t xml:space="preserve">.  We disagree.  By imposing an expanded duty of initial inquiry for children taken into custody without a warrant, the Legislature was following the recommendation in the federal guidelines.  </w:t>
      </w:r>
      <w:r w:rsidR="00FF280F" w:rsidRPr="00FF280F">
        <w:rPr>
          <w:rFonts w:cs="Times New Roman"/>
        </w:rPr>
        <w:t>(</w:t>
      </w:r>
      <w:r w:rsidR="00031989">
        <w:rPr>
          <w:rFonts w:cs="Times New Roman"/>
          <w:i/>
          <w:iCs/>
        </w:rPr>
        <w:t>Robert F.</w:t>
      </w:r>
      <w:r w:rsidR="00031989">
        <w:rPr>
          <w:rFonts w:cs="Times New Roman"/>
        </w:rPr>
        <w:t xml:space="preserve">, </w:t>
      </w:r>
      <w:r w:rsidR="00031989" w:rsidRPr="00570667">
        <w:rPr>
          <w:rFonts w:cs="Times New Roman"/>
          <w:i/>
          <w:iCs/>
        </w:rPr>
        <w:t>supra</w:t>
      </w:r>
      <w:r w:rsidR="00031989">
        <w:rPr>
          <w:rFonts w:cs="Times New Roman"/>
        </w:rPr>
        <w:t xml:space="preserve">, </w:t>
      </w:r>
      <w:r w:rsidR="00941E24">
        <w:rPr>
          <w:rFonts w:cs="Times New Roman"/>
        </w:rPr>
        <w:t>90 Cal.App.5th at pp. 502-503</w:t>
      </w:r>
      <w:r w:rsidR="00031989">
        <w:rPr>
          <w:rFonts w:cs="Times New Roman"/>
        </w:rPr>
        <w:t>.)</w:t>
      </w:r>
      <w:r w:rsidR="00FF280F">
        <w:rPr>
          <w:rFonts w:cs="Times New Roman"/>
        </w:rPr>
        <w:t xml:space="preserve">  </w:t>
      </w:r>
      <w:r w:rsidR="00283F1B">
        <w:rPr>
          <w:rFonts w:cs="Times New Roman"/>
        </w:rPr>
        <w:t xml:space="preserve">The </w:t>
      </w:r>
      <w:r w:rsidR="003F27C8">
        <w:rPr>
          <w:rFonts w:cs="Times New Roman"/>
        </w:rPr>
        <w:t xml:space="preserve">Legislature’s decision to follow the </w:t>
      </w:r>
      <w:r w:rsidR="00283F1B">
        <w:rPr>
          <w:rFonts w:cs="Times New Roman"/>
        </w:rPr>
        <w:t xml:space="preserve">federal guidelines’ recommendation is not absurd.  Rather, because warrantless detentions trigger various time-sensitive ICWA-related requirements that are otherwise inapplicable (§ 306, </w:t>
      </w:r>
      <w:proofErr w:type="spellStart"/>
      <w:r w:rsidR="00283F1B">
        <w:rPr>
          <w:rFonts w:cs="Times New Roman"/>
        </w:rPr>
        <w:t>subd</w:t>
      </w:r>
      <w:proofErr w:type="spellEnd"/>
      <w:r w:rsidR="00F423DF">
        <w:rPr>
          <w:rFonts w:cs="Times New Roman"/>
        </w:rPr>
        <w:t>. (d)</w:t>
      </w:r>
      <w:r w:rsidR="00283F1B">
        <w:rPr>
          <w:rFonts w:cs="Times New Roman"/>
        </w:rPr>
        <w:t>), it makes sense in such cases to expand the duty of initial inquiry—confirming whether the child in such a case is an Indian child is particularly urgent.</w:t>
      </w:r>
      <w:r w:rsidR="00CA3470">
        <w:rPr>
          <w:rFonts w:cs="Times New Roman"/>
        </w:rPr>
        <w:t xml:space="preserve">  </w:t>
      </w:r>
      <w:r w:rsidR="00CA3470" w:rsidRPr="00FF280F">
        <w:rPr>
          <w:rFonts w:cs="Times New Roman"/>
        </w:rPr>
        <w:t>(</w:t>
      </w:r>
      <w:r w:rsidR="00F423DF">
        <w:rPr>
          <w:rFonts w:cs="Times New Roman"/>
          <w:i/>
          <w:iCs/>
        </w:rPr>
        <w:t>Robert F.</w:t>
      </w:r>
      <w:r w:rsidR="00F423DF">
        <w:rPr>
          <w:rFonts w:cs="Times New Roman"/>
        </w:rPr>
        <w:t xml:space="preserve">, </w:t>
      </w:r>
      <w:r w:rsidR="00941E24">
        <w:rPr>
          <w:rFonts w:cs="Times New Roman"/>
        </w:rPr>
        <w:t>at pp. 501-502</w:t>
      </w:r>
      <w:r w:rsidR="00754181">
        <w:rPr>
          <w:rFonts w:cs="Times New Roman"/>
        </w:rPr>
        <w:t>.</w:t>
      </w:r>
      <w:r w:rsidR="00F423DF">
        <w:rPr>
          <w:rFonts w:cs="Times New Roman"/>
        </w:rPr>
        <w:t>)</w:t>
      </w:r>
      <w:r w:rsidR="00DD0F02">
        <w:rPr>
          <w:rFonts w:cs="Times New Roman"/>
        </w:rPr>
        <w:t xml:space="preserve">  </w:t>
      </w:r>
    </w:p>
    <w:p w14:paraId="593CA909" w14:textId="7BAC43CC" w:rsidR="004C527C" w:rsidRDefault="007C02D3" w:rsidP="00223D55">
      <w:pPr>
        <w:spacing w:after="0" w:line="600" w:lineRule="exact"/>
        <w:ind w:firstLine="720"/>
        <w:rPr>
          <w:rFonts w:cs="Times New Roman"/>
        </w:rPr>
      </w:pPr>
      <w:r>
        <w:rPr>
          <w:rFonts w:cs="Times New Roman"/>
        </w:rPr>
        <w:t xml:space="preserve">The only other issue raised by Mother is that </w:t>
      </w:r>
      <w:proofErr w:type="spellStart"/>
      <w:r>
        <w:rPr>
          <w:rFonts w:cs="Times New Roman"/>
        </w:rPr>
        <w:t>R.O</w:t>
      </w:r>
      <w:proofErr w:type="spellEnd"/>
      <w:r>
        <w:rPr>
          <w:rFonts w:cs="Times New Roman"/>
        </w:rPr>
        <w:t>. checked the box indicating Indian ancestry on the ICWA-020 that he filed at the detention hearing.  Mother argues that “[t]his discrepancy was never addressed</w:t>
      </w:r>
      <w:r w:rsidR="008256CE">
        <w:rPr>
          <w:rFonts w:cs="Times New Roman"/>
        </w:rPr>
        <w:t>,</w:t>
      </w:r>
      <w:r>
        <w:rPr>
          <w:rFonts w:cs="Times New Roman"/>
        </w:rPr>
        <w:t xml:space="preserve">” </w:t>
      </w:r>
      <w:r w:rsidR="00E63F98">
        <w:rPr>
          <w:rFonts w:cs="Times New Roman"/>
        </w:rPr>
        <w:t>and i</w:t>
      </w:r>
      <w:r>
        <w:rPr>
          <w:rFonts w:cs="Times New Roman"/>
        </w:rPr>
        <w:t xml:space="preserve">n her </w:t>
      </w:r>
      <w:r>
        <w:rPr>
          <w:rFonts w:cs="Times New Roman"/>
        </w:rPr>
        <w:t xml:space="preserve">argument concerning prejudice </w:t>
      </w:r>
      <w:r>
        <w:rPr>
          <w:rFonts w:cs="Times New Roman"/>
        </w:rPr>
        <w:lastRenderedPageBreak/>
        <w:t>Mother adds that “[n]</w:t>
      </w:r>
      <w:r w:rsidRPr="004C527C">
        <w:rPr>
          <w:rFonts w:cs="Times New Roman"/>
        </w:rPr>
        <w:t>o attempt was made at all to clarify this apparent discrepancy</w:t>
      </w:r>
      <w:r>
        <w:rPr>
          <w:rFonts w:cs="Times New Roman"/>
        </w:rPr>
        <w:t>.”</w:t>
      </w:r>
      <w:r w:rsidR="00E63F98">
        <w:rPr>
          <w:rFonts w:cs="Times New Roman"/>
        </w:rPr>
        <w:t xml:space="preserve">  The argument lacks merit because it does not show that CFS or the juvenile court erred.</w:t>
      </w:r>
    </w:p>
    <w:p w14:paraId="7973F44F" w14:textId="3BB3DCB9" w:rsidR="00733CB5" w:rsidRDefault="007C02D3" w:rsidP="007C760E">
      <w:pPr>
        <w:spacing w:after="0" w:line="600" w:lineRule="exact"/>
        <w:ind w:firstLine="720"/>
        <w:rPr>
          <w:rFonts w:cs="Times New Roman"/>
        </w:rPr>
      </w:pPr>
      <w:proofErr w:type="spellStart"/>
      <w:r>
        <w:rPr>
          <w:rFonts w:cs="Times New Roman"/>
        </w:rPr>
        <w:t>R.O</w:t>
      </w:r>
      <w:proofErr w:type="spellEnd"/>
      <w:r>
        <w:rPr>
          <w:rFonts w:cs="Times New Roman"/>
        </w:rPr>
        <w:t>. denied Indian ancestry before the detention he</w:t>
      </w:r>
      <w:r>
        <w:rPr>
          <w:rFonts w:cs="Times New Roman"/>
        </w:rPr>
        <w:t xml:space="preserve">aring, orally on the record at the detention hearing, and when interviewed after the detention hearing.  </w:t>
      </w:r>
      <w:r w:rsidR="00E63F98">
        <w:rPr>
          <w:rFonts w:cs="Times New Roman"/>
        </w:rPr>
        <w:t xml:space="preserve">There was </w:t>
      </w:r>
      <w:r>
        <w:rPr>
          <w:rFonts w:cs="Times New Roman"/>
        </w:rPr>
        <w:t xml:space="preserve">consequently </w:t>
      </w:r>
      <w:r w:rsidR="00E63F98">
        <w:rPr>
          <w:rFonts w:cs="Times New Roman"/>
        </w:rPr>
        <w:t xml:space="preserve">no failure of initial inquiry as to </w:t>
      </w:r>
      <w:proofErr w:type="spellStart"/>
      <w:r w:rsidR="00E63F98">
        <w:rPr>
          <w:rFonts w:cs="Times New Roman"/>
        </w:rPr>
        <w:t>R.O</w:t>
      </w:r>
      <w:proofErr w:type="spellEnd"/>
      <w:r w:rsidR="00E63F98">
        <w:rPr>
          <w:rFonts w:cs="Times New Roman"/>
        </w:rPr>
        <w:t xml:space="preserve">., who was asked about Indian ancestry before, during, and after the detention hearing.  </w:t>
      </w:r>
      <w:r w:rsidR="00CF4A50">
        <w:rPr>
          <w:rFonts w:cs="Times New Roman"/>
        </w:rPr>
        <w:t xml:space="preserve">There was also no violation of the “affirmative and continuing duty to inquire” (§ 224.2, </w:t>
      </w:r>
      <w:proofErr w:type="spellStart"/>
      <w:r w:rsidR="00CF4A50">
        <w:rPr>
          <w:rFonts w:cs="Times New Roman"/>
        </w:rPr>
        <w:t>subd</w:t>
      </w:r>
      <w:proofErr w:type="spellEnd"/>
      <w:r w:rsidR="00CF4A50">
        <w:rPr>
          <w:rFonts w:cs="Times New Roman"/>
        </w:rPr>
        <w:t>.</w:t>
      </w:r>
      <w:r w:rsidR="00A64B5F">
        <w:rPr>
          <w:rFonts w:cs="Times New Roman"/>
        </w:rPr>
        <w:t> </w:t>
      </w:r>
      <w:r w:rsidR="00CF4A50">
        <w:rPr>
          <w:rFonts w:cs="Times New Roman"/>
        </w:rPr>
        <w:t xml:space="preserve">(a)), given that CFS </w:t>
      </w:r>
      <w:r w:rsidR="00452183">
        <w:rPr>
          <w:rFonts w:cs="Times New Roman"/>
        </w:rPr>
        <w:t xml:space="preserve">followed up with </w:t>
      </w:r>
      <w:proofErr w:type="spellStart"/>
      <w:r w:rsidR="00452183">
        <w:rPr>
          <w:rFonts w:cs="Times New Roman"/>
        </w:rPr>
        <w:t>R</w:t>
      </w:r>
      <w:r w:rsidR="00CF4A50">
        <w:rPr>
          <w:rFonts w:cs="Times New Roman"/>
        </w:rPr>
        <w:t>.O</w:t>
      </w:r>
      <w:proofErr w:type="spellEnd"/>
      <w:r w:rsidR="00CF4A50">
        <w:rPr>
          <w:rFonts w:cs="Times New Roman"/>
        </w:rPr>
        <w:t xml:space="preserve">. </w:t>
      </w:r>
      <w:r w:rsidR="00452183">
        <w:rPr>
          <w:rFonts w:cs="Times New Roman"/>
        </w:rPr>
        <w:t xml:space="preserve">about Indian ancestry </w:t>
      </w:r>
      <w:r w:rsidR="00CF4A50">
        <w:rPr>
          <w:rFonts w:cs="Times New Roman"/>
        </w:rPr>
        <w:t>after he filed his ICWA-020</w:t>
      </w:r>
      <w:r w:rsidR="00452183">
        <w:rPr>
          <w:rFonts w:cs="Times New Roman"/>
        </w:rPr>
        <w:t>.</w:t>
      </w:r>
      <w:r w:rsidR="00CF4A50">
        <w:rPr>
          <w:rFonts w:cs="Times New Roman"/>
        </w:rPr>
        <w:t xml:space="preserve"> </w:t>
      </w:r>
      <w:r w:rsidR="00452183">
        <w:rPr>
          <w:rFonts w:cs="Times New Roman"/>
        </w:rPr>
        <w:t xml:space="preserve"> And g</w:t>
      </w:r>
      <w:r w:rsidR="00E63F98">
        <w:rPr>
          <w:rFonts w:cs="Times New Roman"/>
        </w:rPr>
        <w:t xml:space="preserve">iven </w:t>
      </w:r>
      <w:proofErr w:type="spellStart"/>
      <w:r w:rsidR="00E63F98">
        <w:rPr>
          <w:rFonts w:cs="Times New Roman"/>
        </w:rPr>
        <w:t>R.O.’s</w:t>
      </w:r>
      <w:proofErr w:type="spellEnd"/>
      <w:r w:rsidR="00E63F98">
        <w:rPr>
          <w:rFonts w:cs="Times New Roman"/>
        </w:rPr>
        <w:t xml:space="preserve"> repeated denials, his ICWA-020 does not create reason to believe or reason to know that any of his children are Indian children, so the duties of further inquiry and notice were not triggered.  (</w:t>
      </w:r>
      <w:r w:rsidRPr="00966B30">
        <w:rPr>
          <w:rFonts w:cs="Times New Roman"/>
        </w:rPr>
        <w:t>§</w:t>
      </w:r>
      <w:r>
        <w:rPr>
          <w:rFonts w:cs="Times New Roman"/>
        </w:rPr>
        <w:t xml:space="preserve"> 224.2, </w:t>
      </w:r>
      <w:proofErr w:type="spellStart"/>
      <w:r>
        <w:rPr>
          <w:rFonts w:cs="Times New Roman"/>
        </w:rPr>
        <w:t>subds</w:t>
      </w:r>
      <w:proofErr w:type="spellEnd"/>
      <w:r>
        <w:rPr>
          <w:rFonts w:cs="Times New Roman"/>
        </w:rPr>
        <w:t>. (e), (f).)  Mother</w:t>
      </w:r>
      <w:r w:rsidR="00672684">
        <w:rPr>
          <w:rFonts w:cs="Times New Roman"/>
        </w:rPr>
        <w:t xml:space="preserve"> does not argue to the contrary, and she</w:t>
      </w:r>
      <w:r>
        <w:rPr>
          <w:rFonts w:cs="Times New Roman"/>
        </w:rPr>
        <w:t xml:space="preserve"> does not identify any other </w:t>
      </w:r>
      <w:r w:rsidR="00F63454">
        <w:rPr>
          <w:rFonts w:cs="Times New Roman"/>
        </w:rPr>
        <w:t xml:space="preserve">potential </w:t>
      </w:r>
      <w:r>
        <w:rPr>
          <w:rFonts w:cs="Times New Roman"/>
        </w:rPr>
        <w:t xml:space="preserve">error in connection with </w:t>
      </w:r>
      <w:proofErr w:type="spellStart"/>
      <w:r>
        <w:rPr>
          <w:rFonts w:cs="Times New Roman"/>
        </w:rPr>
        <w:t>R.O.’s</w:t>
      </w:r>
      <w:proofErr w:type="spellEnd"/>
      <w:r>
        <w:rPr>
          <w:rFonts w:cs="Times New Roman"/>
        </w:rPr>
        <w:t xml:space="preserve"> ICWA-020</w:t>
      </w:r>
      <w:r w:rsidR="00672684">
        <w:rPr>
          <w:rFonts w:cs="Times New Roman"/>
        </w:rPr>
        <w:t>.  H</w:t>
      </w:r>
      <w:r>
        <w:rPr>
          <w:rFonts w:cs="Times New Roman"/>
        </w:rPr>
        <w:t xml:space="preserve">er argument </w:t>
      </w:r>
      <w:r w:rsidR="00672684">
        <w:rPr>
          <w:rFonts w:cs="Times New Roman"/>
        </w:rPr>
        <w:t xml:space="preserve">therefore </w:t>
      </w:r>
      <w:r>
        <w:rPr>
          <w:rFonts w:cs="Times New Roman"/>
        </w:rPr>
        <w:t>fails.</w:t>
      </w:r>
    </w:p>
    <w:p w14:paraId="0106FAE9" w14:textId="0D458B81" w:rsidR="00CF0114" w:rsidRPr="002C34D7" w:rsidRDefault="007C02D3" w:rsidP="0079028C">
      <w:pPr>
        <w:spacing w:after="0" w:line="600" w:lineRule="exact"/>
        <w:ind w:firstLine="720"/>
        <w:rPr>
          <w:rFonts w:eastAsia="Times New Roman" w:cs="Times New Roman"/>
          <w:color w:val="000000"/>
          <w:szCs w:val="26"/>
        </w:rPr>
      </w:pPr>
      <w:r w:rsidRPr="0079028C">
        <w:rPr>
          <w:rFonts w:cs="Times New Roman"/>
          <w:szCs w:val="26"/>
        </w:rPr>
        <w:t xml:space="preserve">Nothing in this opinion is intended to limit </w:t>
      </w:r>
      <w:proofErr w:type="spellStart"/>
      <w:r w:rsidRPr="0079028C">
        <w:rPr>
          <w:rFonts w:cs="Times New Roman"/>
          <w:szCs w:val="26"/>
        </w:rPr>
        <w:t>CFS’s</w:t>
      </w:r>
      <w:proofErr w:type="spellEnd"/>
      <w:r w:rsidRPr="0079028C">
        <w:rPr>
          <w:rFonts w:cs="Times New Roman"/>
          <w:szCs w:val="26"/>
        </w:rPr>
        <w:t xml:space="preserve"> or the court’s </w:t>
      </w:r>
      <w:r>
        <w:rPr>
          <w:rFonts w:cs="Times New Roman"/>
          <w:szCs w:val="26"/>
        </w:rPr>
        <w:t>“d</w:t>
      </w:r>
      <w:r w:rsidRPr="0079028C">
        <w:rPr>
          <w:rFonts w:eastAsia="Times New Roman" w:cs="Times New Roman"/>
          <w:color w:val="000000"/>
          <w:szCs w:val="26"/>
        </w:rPr>
        <w:t>uty of inquiry prescribed by subdivisions (a) and (c) of section 224.2</w:t>
      </w:r>
      <w:proofErr w:type="gramStart"/>
      <w:r w:rsidRPr="0079028C">
        <w:rPr>
          <w:rFonts w:eastAsia="Times New Roman" w:cs="Times New Roman"/>
          <w:color w:val="000000"/>
          <w:szCs w:val="26"/>
        </w:rPr>
        <w:t>.</w:t>
      </w:r>
      <w:r>
        <w:rPr>
          <w:rFonts w:eastAsia="Times New Roman" w:cs="Times New Roman"/>
          <w:color w:val="000000"/>
          <w:szCs w:val="26"/>
        </w:rPr>
        <w:t> . . .</w:t>
      </w:r>
      <w:proofErr w:type="gramEnd"/>
      <w:r w:rsidRPr="0079028C">
        <w:rPr>
          <w:rFonts w:eastAsia="Times New Roman" w:cs="Times New Roman"/>
          <w:color w:val="000000"/>
          <w:szCs w:val="26"/>
        </w:rPr>
        <w:t xml:space="preserve"> </w:t>
      </w:r>
      <w:r>
        <w:rPr>
          <w:rFonts w:eastAsia="Times New Roman" w:cs="Times New Roman"/>
          <w:color w:val="000000"/>
          <w:szCs w:val="26"/>
        </w:rPr>
        <w:t xml:space="preserve"> [T]</w:t>
      </w:r>
      <w:r w:rsidRPr="0079028C">
        <w:rPr>
          <w:rFonts w:eastAsia="Times New Roman" w:cs="Times New Roman"/>
          <w:color w:val="000000"/>
          <w:szCs w:val="26"/>
        </w:rPr>
        <w:t>hose subdivisions describe th</w:t>
      </w:r>
      <w:r w:rsidRPr="0079028C">
        <w:rPr>
          <w:rFonts w:eastAsia="Times New Roman" w:cs="Times New Roman"/>
          <w:color w:val="000000"/>
          <w:szCs w:val="26"/>
        </w:rPr>
        <w:t xml:space="preserve">e duty of inquiry that arises in every dependency case. </w:t>
      </w:r>
      <w:r>
        <w:rPr>
          <w:rFonts w:eastAsia="Times New Roman" w:cs="Times New Roman"/>
          <w:color w:val="000000"/>
          <w:szCs w:val="26"/>
        </w:rPr>
        <w:t xml:space="preserve"> </w:t>
      </w:r>
      <w:r w:rsidRPr="0079028C">
        <w:rPr>
          <w:rFonts w:eastAsia="Times New Roman" w:cs="Times New Roman"/>
          <w:color w:val="000000"/>
          <w:szCs w:val="26"/>
        </w:rPr>
        <w:t>But the plain language of those subdivisions does not require the county welfare department or the court to question extended family members as part of the initial inquiry in every case.</w:t>
      </w:r>
      <w:r>
        <w:rPr>
          <w:rFonts w:eastAsia="Times New Roman" w:cs="Times New Roman"/>
          <w:color w:val="000000"/>
          <w:szCs w:val="26"/>
        </w:rPr>
        <w:t>”  (</w:t>
      </w:r>
      <w:r>
        <w:rPr>
          <w:rFonts w:eastAsia="Times New Roman" w:cs="Times New Roman"/>
          <w:i/>
          <w:iCs/>
          <w:color w:val="000000"/>
          <w:szCs w:val="26"/>
        </w:rPr>
        <w:t>Robert F.</w:t>
      </w:r>
      <w:r>
        <w:rPr>
          <w:rFonts w:eastAsia="Times New Roman" w:cs="Times New Roman"/>
          <w:color w:val="000000"/>
          <w:szCs w:val="26"/>
        </w:rPr>
        <w:t xml:space="preserve">, </w:t>
      </w:r>
      <w:r w:rsidR="00DD3BF3" w:rsidRPr="00DD3BF3">
        <w:rPr>
          <w:rFonts w:eastAsia="Times New Roman" w:cs="Times New Roman"/>
          <w:i/>
          <w:iCs/>
          <w:color w:val="000000"/>
          <w:szCs w:val="26"/>
        </w:rPr>
        <w:t>supra</w:t>
      </w:r>
      <w:r w:rsidR="00DD3BF3">
        <w:rPr>
          <w:rFonts w:eastAsia="Times New Roman" w:cs="Times New Roman"/>
          <w:color w:val="000000"/>
          <w:szCs w:val="26"/>
        </w:rPr>
        <w:t xml:space="preserve">, </w:t>
      </w:r>
      <w:r w:rsidR="00D75C68">
        <w:rPr>
          <w:rFonts w:eastAsia="Times New Roman" w:cs="Times New Roman"/>
          <w:color w:val="000000"/>
          <w:szCs w:val="26"/>
        </w:rPr>
        <w:t>90 Cal.App.5th at pp. 503-504</w:t>
      </w:r>
      <w:r w:rsidR="002C34D7">
        <w:rPr>
          <w:rFonts w:cs="Times New Roman"/>
        </w:rPr>
        <w:t>.)</w:t>
      </w:r>
      <w:r>
        <w:rPr>
          <w:rFonts w:eastAsia="Times New Roman" w:cs="Times New Roman"/>
          <w:color w:val="000000"/>
          <w:szCs w:val="26"/>
        </w:rPr>
        <w:t xml:space="preserve">  </w:t>
      </w:r>
      <w:r w:rsidR="00676FD9">
        <w:rPr>
          <w:rFonts w:eastAsia="Times New Roman" w:cs="Times New Roman"/>
          <w:color w:val="000000"/>
          <w:szCs w:val="26"/>
        </w:rPr>
        <w:t>In some cases, the</w:t>
      </w:r>
      <w:r w:rsidRPr="0079028C">
        <w:rPr>
          <w:rFonts w:eastAsia="Times New Roman" w:cs="Times New Roman"/>
          <w:color w:val="000000"/>
          <w:szCs w:val="26"/>
        </w:rPr>
        <w:t xml:space="preserve"> circumstances may require the department to interview extended family members </w:t>
      </w:r>
      <w:r w:rsidR="00676FD9">
        <w:rPr>
          <w:rFonts w:eastAsia="Times New Roman" w:cs="Times New Roman"/>
          <w:color w:val="000000"/>
          <w:szCs w:val="26"/>
        </w:rPr>
        <w:t xml:space="preserve">under </w:t>
      </w:r>
      <w:r w:rsidR="00676FD9" w:rsidRPr="0079028C">
        <w:rPr>
          <w:rFonts w:eastAsia="Times New Roman" w:cs="Times New Roman"/>
          <w:color w:val="000000"/>
          <w:szCs w:val="26"/>
        </w:rPr>
        <w:t xml:space="preserve">subdivision (a) </w:t>
      </w:r>
      <w:r w:rsidR="00676FD9">
        <w:rPr>
          <w:rFonts w:eastAsia="Times New Roman" w:cs="Times New Roman"/>
          <w:color w:val="000000"/>
          <w:szCs w:val="26"/>
        </w:rPr>
        <w:t>or</w:t>
      </w:r>
      <w:r w:rsidR="00676FD9" w:rsidRPr="0079028C">
        <w:rPr>
          <w:rFonts w:eastAsia="Times New Roman" w:cs="Times New Roman"/>
          <w:color w:val="000000"/>
          <w:szCs w:val="26"/>
        </w:rPr>
        <w:t xml:space="preserve"> (c) of section</w:t>
      </w:r>
      <w:r w:rsidR="00DD3BF3">
        <w:rPr>
          <w:rFonts w:eastAsia="Times New Roman" w:cs="Times New Roman"/>
          <w:color w:val="000000"/>
          <w:szCs w:val="26"/>
        </w:rPr>
        <w:t> </w:t>
      </w:r>
      <w:r w:rsidR="00676FD9" w:rsidRPr="0079028C">
        <w:rPr>
          <w:rFonts w:eastAsia="Times New Roman" w:cs="Times New Roman"/>
          <w:color w:val="000000"/>
          <w:szCs w:val="26"/>
        </w:rPr>
        <w:t>224.2.</w:t>
      </w:r>
      <w:r w:rsidR="00676FD9">
        <w:rPr>
          <w:rFonts w:eastAsia="Times New Roman" w:cs="Times New Roman"/>
          <w:color w:val="000000"/>
          <w:szCs w:val="26"/>
        </w:rPr>
        <w:t xml:space="preserve">  </w:t>
      </w:r>
      <w:r w:rsidR="002C34D7">
        <w:rPr>
          <w:rFonts w:eastAsia="Times New Roman" w:cs="Times New Roman"/>
          <w:color w:val="000000"/>
          <w:szCs w:val="26"/>
        </w:rPr>
        <w:t>(</w:t>
      </w:r>
      <w:r w:rsidR="002C34D7">
        <w:rPr>
          <w:rFonts w:eastAsia="Times New Roman" w:cs="Times New Roman"/>
          <w:i/>
          <w:iCs/>
          <w:color w:val="000000"/>
          <w:szCs w:val="26"/>
        </w:rPr>
        <w:t>Id.</w:t>
      </w:r>
      <w:r w:rsidR="005B1319">
        <w:rPr>
          <w:rFonts w:eastAsia="Times New Roman" w:cs="Times New Roman"/>
          <w:color w:val="000000"/>
          <w:szCs w:val="26"/>
        </w:rPr>
        <w:t xml:space="preserve"> at p. </w:t>
      </w:r>
      <w:r w:rsidR="00A067A4">
        <w:rPr>
          <w:rFonts w:eastAsia="Times New Roman" w:cs="Times New Roman"/>
          <w:color w:val="000000"/>
          <w:szCs w:val="26"/>
        </w:rPr>
        <w:t>50</w:t>
      </w:r>
      <w:r w:rsidR="005B1319">
        <w:rPr>
          <w:rFonts w:eastAsia="Times New Roman" w:cs="Times New Roman"/>
          <w:color w:val="000000"/>
          <w:szCs w:val="26"/>
        </w:rPr>
        <w:t>4.</w:t>
      </w:r>
      <w:r w:rsidR="002C34D7">
        <w:rPr>
          <w:rFonts w:eastAsia="Times New Roman" w:cs="Times New Roman"/>
          <w:color w:val="000000"/>
          <w:szCs w:val="26"/>
        </w:rPr>
        <w:t>)</w:t>
      </w:r>
      <w:r>
        <w:rPr>
          <w:rFonts w:eastAsia="Times New Roman" w:cs="Times New Roman"/>
          <w:color w:val="000000"/>
          <w:szCs w:val="26"/>
        </w:rPr>
        <w:t xml:space="preserve"> </w:t>
      </w:r>
      <w:r w:rsidR="002C34D7">
        <w:rPr>
          <w:rFonts w:eastAsia="Times New Roman" w:cs="Times New Roman"/>
          <w:color w:val="000000"/>
          <w:szCs w:val="26"/>
        </w:rPr>
        <w:t xml:space="preserve"> </w:t>
      </w:r>
      <w:r w:rsidRPr="002C34D7">
        <w:rPr>
          <w:rFonts w:eastAsia="Times New Roman" w:cs="Times New Roman"/>
          <w:color w:val="000000"/>
          <w:szCs w:val="26"/>
        </w:rPr>
        <w:t>“For instance, if the parents deny any Indian ances</w:t>
      </w:r>
      <w:r w:rsidRPr="002C34D7">
        <w:rPr>
          <w:rFonts w:eastAsia="Times New Roman" w:cs="Times New Roman"/>
          <w:color w:val="000000"/>
          <w:szCs w:val="26"/>
        </w:rPr>
        <w:t xml:space="preserve">try, but </w:t>
      </w:r>
      <w:r w:rsidRPr="002C34D7">
        <w:rPr>
          <w:rFonts w:eastAsia="Times New Roman" w:cs="Times New Roman"/>
          <w:color w:val="000000"/>
          <w:szCs w:val="26"/>
        </w:rPr>
        <w:lastRenderedPageBreak/>
        <w:t xml:space="preserve">a family member later contacts the social worker and volunteers that the family has Indian ancestry, then the department cannot ignore that claim. </w:t>
      </w:r>
      <w:r w:rsidR="002C34D7">
        <w:rPr>
          <w:rFonts w:eastAsia="Times New Roman" w:cs="Times New Roman"/>
          <w:color w:val="000000"/>
          <w:szCs w:val="26"/>
        </w:rPr>
        <w:t xml:space="preserve"> </w:t>
      </w:r>
      <w:r w:rsidRPr="002C34D7">
        <w:rPr>
          <w:rFonts w:eastAsia="Times New Roman" w:cs="Times New Roman"/>
          <w:color w:val="000000"/>
          <w:szCs w:val="26"/>
        </w:rPr>
        <w:t xml:space="preserve">It has a duty to follow up on the information as part of its </w:t>
      </w:r>
      <w:r w:rsidR="002C34D7">
        <w:rPr>
          <w:rFonts w:eastAsia="Times New Roman" w:cs="Times New Roman"/>
          <w:color w:val="000000"/>
          <w:szCs w:val="26"/>
        </w:rPr>
        <w:t>‘</w:t>
      </w:r>
      <w:r w:rsidRPr="002C34D7">
        <w:rPr>
          <w:rFonts w:eastAsia="Times New Roman" w:cs="Times New Roman"/>
          <w:color w:val="000000"/>
          <w:szCs w:val="26"/>
        </w:rPr>
        <w:t>affirmative and continuing duty to inquire.</w:t>
      </w:r>
      <w:r w:rsidR="002C34D7">
        <w:rPr>
          <w:rFonts w:eastAsia="Times New Roman" w:cs="Times New Roman"/>
          <w:color w:val="000000"/>
          <w:szCs w:val="26"/>
        </w:rPr>
        <w:t>’</w:t>
      </w:r>
      <w:r w:rsidRPr="002C34D7">
        <w:rPr>
          <w:rFonts w:eastAsia="Times New Roman" w:cs="Times New Roman"/>
          <w:color w:val="000000"/>
          <w:szCs w:val="26"/>
        </w:rPr>
        <w:t>”</w:t>
      </w:r>
      <w:r w:rsidR="005B1319">
        <w:rPr>
          <w:rFonts w:eastAsia="Times New Roman" w:cs="Times New Roman"/>
          <w:color w:val="000000"/>
          <w:szCs w:val="26"/>
        </w:rPr>
        <w:t xml:space="preserve">  (</w:t>
      </w:r>
      <w:r w:rsidR="005B1319">
        <w:rPr>
          <w:rFonts w:eastAsia="Times New Roman" w:cs="Times New Roman"/>
          <w:i/>
          <w:iCs/>
          <w:color w:val="000000"/>
          <w:szCs w:val="26"/>
        </w:rPr>
        <w:t>Ibid.</w:t>
      </w:r>
      <w:r w:rsidR="005B1319">
        <w:rPr>
          <w:rFonts w:eastAsia="Times New Roman" w:cs="Times New Roman"/>
          <w:color w:val="000000"/>
          <w:szCs w:val="26"/>
        </w:rPr>
        <w:t>)</w:t>
      </w:r>
      <w:r w:rsidRPr="002C34D7">
        <w:rPr>
          <w:rFonts w:eastAsia="Times New Roman" w:cs="Times New Roman"/>
          <w:color w:val="000000"/>
          <w:szCs w:val="26"/>
        </w:rPr>
        <w:t xml:space="preserve">  But Mother has not identified any such circumstances here.</w:t>
      </w:r>
    </w:p>
    <w:p w14:paraId="616A84FD" w14:textId="77777777" w:rsidR="00C76AD1" w:rsidRPr="00C76AD1" w:rsidRDefault="007C02D3" w:rsidP="00C76AD1">
      <w:pPr>
        <w:spacing w:after="0" w:line="600" w:lineRule="exact"/>
        <w:jc w:val="center"/>
        <w:rPr>
          <w:rFonts w:cs="Times New Roman"/>
        </w:rPr>
      </w:pPr>
      <w:r w:rsidRPr="00C76AD1">
        <w:rPr>
          <w:rFonts w:cs="Times New Roman"/>
        </w:rPr>
        <w:t>DISPOSITION</w:t>
      </w:r>
    </w:p>
    <w:p w14:paraId="1C83C7BB" w14:textId="41D12CB2" w:rsidR="001E6F7A" w:rsidRDefault="007C02D3" w:rsidP="003B2B8C">
      <w:pPr>
        <w:spacing w:after="0" w:line="600" w:lineRule="exact"/>
        <w:ind w:firstLine="720"/>
        <w:rPr>
          <w:rFonts w:cs="Times New Roman"/>
        </w:rPr>
      </w:pPr>
      <w:r w:rsidRPr="00C76AD1">
        <w:rPr>
          <w:rFonts w:cs="Times New Roman"/>
        </w:rPr>
        <w:t>The juvenile court’s findings and orders are affirmed.</w:t>
      </w:r>
    </w:p>
    <w:p w14:paraId="7E5B4E3A" w14:textId="461D6744" w:rsidR="009B3C2D" w:rsidRDefault="007C02D3" w:rsidP="00612A7D">
      <w:pPr>
        <w:keepNext/>
        <w:keepLines/>
        <w:suppressAutoHyphens/>
        <w:overflowPunct w:val="0"/>
        <w:autoSpaceDE w:val="0"/>
        <w:autoSpaceDN w:val="0"/>
        <w:adjustRightInd w:val="0"/>
        <w:spacing w:after="0" w:line="600" w:lineRule="exact"/>
        <w:ind w:firstLine="720"/>
        <w:textAlignment w:val="baseline"/>
        <w:rPr>
          <w:szCs w:val="26"/>
        </w:rPr>
      </w:pPr>
      <w:r>
        <w:rPr>
          <w:szCs w:val="26"/>
        </w:rPr>
        <w:t>CERTIFIED FO</w:t>
      </w:r>
      <w:r>
        <w:rPr>
          <w:szCs w:val="26"/>
        </w:rPr>
        <w:t>R PUBLICATION</w:t>
      </w:r>
    </w:p>
    <w:p w14:paraId="33AA19FB" w14:textId="77777777" w:rsidR="009B3C2D" w:rsidRPr="009B3C2D" w:rsidRDefault="009B3C2D" w:rsidP="009B3C2D">
      <w:pPr>
        <w:keepNext/>
        <w:keepLines/>
        <w:tabs>
          <w:tab w:val="left" w:pos="2880"/>
        </w:tabs>
        <w:overflowPunct w:val="0"/>
        <w:autoSpaceDE w:val="0"/>
        <w:autoSpaceDN w:val="0"/>
        <w:adjustRightInd w:val="0"/>
        <w:spacing w:after="0" w:line="240" w:lineRule="auto"/>
        <w:jc w:val="right"/>
        <w:rPr>
          <w:rFonts w:eastAsia="Times New Roman" w:cs="Times New Roman"/>
          <w:szCs w:val="26"/>
          <w:u w:val="single"/>
        </w:rPr>
      </w:pPr>
    </w:p>
    <w:p w14:paraId="1FB3922B" w14:textId="5865ACE6" w:rsidR="009B3C2D" w:rsidRPr="009B3C2D" w:rsidRDefault="007C02D3" w:rsidP="009B3C2D">
      <w:pPr>
        <w:keepNext/>
        <w:keepLines/>
        <w:tabs>
          <w:tab w:val="left" w:pos="2880"/>
        </w:tabs>
        <w:overflowPunct w:val="0"/>
        <w:autoSpaceDE w:val="0"/>
        <w:autoSpaceDN w:val="0"/>
        <w:adjustRightInd w:val="0"/>
        <w:spacing w:after="0" w:line="240" w:lineRule="auto"/>
        <w:jc w:val="right"/>
        <w:rPr>
          <w:rFonts w:eastAsia="Times New Roman" w:cs="Times New Roman"/>
          <w:szCs w:val="26"/>
        </w:rPr>
      </w:pPr>
      <w:proofErr w:type="spellStart"/>
      <w:r>
        <w:rPr>
          <w:rFonts w:eastAsia="Times New Roman" w:cs="Times New Roman"/>
          <w:szCs w:val="26"/>
          <w:u w:val="single"/>
        </w:rPr>
        <w:t>MENETREZ</w:t>
      </w:r>
      <w:proofErr w:type="spellEnd"/>
      <w:r w:rsidRPr="009B3C2D">
        <w:rPr>
          <w:rFonts w:eastAsia="Times New Roman" w:cs="Times New Roman"/>
          <w:szCs w:val="26"/>
          <w:u w:val="single"/>
        </w:rPr>
        <w:tab/>
      </w:r>
    </w:p>
    <w:p w14:paraId="46FB493F" w14:textId="77777777" w:rsidR="009B3C2D" w:rsidRPr="009B3C2D" w:rsidRDefault="007C02D3" w:rsidP="009B3C2D">
      <w:pPr>
        <w:keepNext/>
        <w:keepLines/>
        <w:tabs>
          <w:tab w:val="left" w:pos="2880"/>
        </w:tabs>
        <w:overflowPunct w:val="0"/>
        <w:autoSpaceDE w:val="0"/>
        <w:autoSpaceDN w:val="0"/>
        <w:adjustRightInd w:val="0"/>
        <w:spacing w:after="0" w:line="240" w:lineRule="auto"/>
        <w:jc w:val="right"/>
        <w:rPr>
          <w:rFonts w:eastAsia="Times New Roman" w:cs="Times New Roman"/>
          <w:szCs w:val="26"/>
        </w:rPr>
      </w:pPr>
      <w:r w:rsidRPr="009B3C2D">
        <w:rPr>
          <w:rFonts w:eastAsia="Times New Roman" w:cs="Times New Roman"/>
          <w:szCs w:val="26"/>
        </w:rPr>
        <w:tab/>
        <w:t>J.</w:t>
      </w:r>
    </w:p>
    <w:p w14:paraId="3135D69F" w14:textId="77777777" w:rsidR="009B3C2D" w:rsidRPr="009B3C2D" w:rsidRDefault="007C02D3" w:rsidP="009B3C2D">
      <w:pPr>
        <w:tabs>
          <w:tab w:val="right" w:pos="2880"/>
        </w:tabs>
        <w:overflowPunct w:val="0"/>
        <w:autoSpaceDE w:val="0"/>
        <w:autoSpaceDN w:val="0"/>
        <w:adjustRightInd w:val="0"/>
        <w:spacing w:after="0" w:line="240" w:lineRule="auto"/>
        <w:rPr>
          <w:rFonts w:eastAsia="Times New Roman" w:cs="Times New Roman"/>
          <w:szCs w:val="26"/>
        </w:rPr>
      </w:pPr>
      <w:r w:rsidRPr="009B3C2D">
        <w:rPr>
          <w:rFonts w:eastAsia="Times New Roman" w:cs="Times New Roman"/>
          <w:szCs w:val="26"/>
        </w:rPr>
        <w:t>We concur:</w:t>
      </w:r>
    </w:p>
    <w:p w14:paraId="79775857" w14:textId="7DEE083D" w:rsidR="009B3C2D" w:rsidRDefault="009B3C2D" w:rsidP="009B3C2D">
      <w:pPr>
        <w:tabs>
          <w:tab w:val="right" w:pos="2880"/>
        </w:tabs>
        <w:overflowPunct w:val="0"/>
        <w:autoSpaceDE w:val="0"/>
        <w:autoSpaceDN w:val="0"/>
        <w:adjustRightInd w:val="0"/>
        <w:spacing w:after="0" w:line="240" w:lineRule="auto"/>
        <w:rPr>
          <w:rFonts w:eastAsia="Times New Roman" w:cs="Times New Roman"/>
          <w:szCs w:val="26"/>
        </w:rPr>
      </w:pPr>
    </w:p>
    <w:p w14:paraId="2FBF04DF" w14:textId="77777777" w:rsidR="009B3C2D" w:rsidRPr="009B3C2D" w:rsidRDefault="009B3C2D" w:rsidP="009B3C2D">
      <w:pPr>
        <w:tabs>
          <w:tab w:val="right" w:pos="2880"/>
        </w:tabs>
        <w:overflowPunct w:val="0"/>
        <w:autoSpaceDE w:val="0"/>
        <w:autoSpaceDN w:val="0"/>
        <w:adjustRightInd w:val="0"/>
        <w:spacing w:after="0" w:line="240" w:lineRule="auto"/>
        <w:rPr>
          <w:rFonts w:eastAsia="Times New Roman" w:cs="Times New Roman"/>
          <w:szCs w:val="26"/>
        </w:rPr>
      </w:pPr>
    </w:p>
    <w:p w14:paraId="728505DA" w14:textId="7090CBF9" w:rsidR="009B3C2D" w:rsidRPr="009B3C2D" w:rsidRDefault="007C02D3" w:rsidP="009B3C2D">
      <w:pPr>
        <w:tabs>
          <w:tab w:val="right" w:pos="2880"/>
        </w:tabs>
        <w:overflowPunct w:val="0"/>
        <w:autoSpaceDE w:val="0"/>
        <w:autoSpaceDN w:val="0"/>
        <w:adjustRightInd w:val="0"/>
        <w:spacing w:after="0" w:line="240" w:lineRule="auto"/>
        <w:rPr>
          <w:rFonts w:eastAsia="Times New Roman" w:cs="Times New Roman"/>
          <w:szCs w:val="26"/>
        </w:rPr>
      </w:pPr>
      <w:r>
        <w:rPr>
          <w:rFonts w:eastAsia="Times New Roman" w:cs="Times New Roman"/>
          <w:szCs w:val="26"/>
          <w:u w:val="single"/>
        </w:rPr>
        <w:t>CODRINGTON</w:t>
      </w:r>
      <w:r w:rsidRPr="009B3C2D">
        <w:rPr>
          <w:rFonts w:eastAsia="Times New Roman" w:cs="Times New Roman"/>
          <w:szCs w:val="26"/>
          <w:u w:val="single"/>
        </w:rPr>
        <w:tab/>
      </w:r>
    </w:p>
    <w:p w14:paraId="743E6CF6" w14:textId="77777777" w:rsidR="009B3C2D" w:rsidRPr="009B3C2D" w:rsidRDefault="007C02D3" w:rsidP="009B3C2D">
      <w:pPr>
        <w:tabs>
          <w:tab w:val="right" w:pos="2880"/>
        </w:tabs>
        <w:overflowPunct w:val="0"/>
        <w:autoSpaceDE w:val="0"/>
        <w:autoSpaceDN w:val="0"/>
        <w:adjustRightInd w:val="0"/>
        <w:spacing w:after="0" w:line="240" w:lineRule="auto"/>
        <w:rPr>
          <w:rFonts w:eastAsia="Times New Roman" w:cs="Times New Roman"/>
          <w:szCs w:val="26"/>
        </w:rPr>
      </w:pPr>
      <w:r w:rsidRPr="009B3C2D">
        <w:rPr>
          <w:rFonts w:eastAsia="Times New Roman" w:cs="Times New Roman"/>
          <w:szCs w:val="26"/>
        </w:rPr>
        <w:tab/>
        <w:t xml:space="preserve"> Acting P. J.</w:t>
      </w:r>
    </w:p>
    <w:p w14:paraId="19E70172" w14:textId="4E2AAA77" w:rsidR="009B3C2D" w:rsidRDefault="009B3C2D" w:rsidP="009B3C2D">
      <w:pPr>
        <w:tabs>
          <w:tab w:val="right" w:pos="2880"/>
        </w:tabs>
        <w:overflowPunct w:val="0"/>
        <w:autoSpaceDE w:val="0"/>
        <w:autoSpaceDN w:val="0"/>
        <w:adjustRightInd w:val="0"/>
        <w:spacing w:after="0" w:line="240" w:lineRule="auto"/>
        <w:rPr>
          <w:rFonts w:eastAsia="Times New Roman" w:cs="Times New Roman"/>
          <w:szCs w:val="26"/>
          <w:u w:val="single"/>
        </w:rPr>
      </w:pPr>
    </w:p>
    <w:p w14:paraId="55DA6DB2" w14:textId="77777777" w:rsidR="009B3C2D" w:rsidRPr="009B3C2D" w:rsidRDefault="009B3C2D" w:rsidP="009B3C2D">
      <w:pPr>
        <w:tabs>
          <w:tab w:val="right" w:pos="2880"/>
        </w:tabs>
        <w:overflowPunct w:val="0"/>
        <w:autoSpaceDE w:val="0"/>
        <w:autoSpaceDN w:val="0"/>
        <w:adjustRightInd w:val="0"/>
        <w:spacing w:after="0" w:line="240" w:lineRule="auto"/>
        <w:rPr>
          <w:rFonts w:eastAsia="Times New Roman" w:cs="Times New Roman"/>
          <w:szCs w:val="26"/>
          <w:u w:val="single"/>
        </w:rPr>
      </w:pPr>
    </w:p>
    <w:p w14:paraId="4E2F316E" w14:textId="77777777" w:rsidR="009B3C2D" w:rsidRPr="009B3C2D" w:rsidRDefault="007C02D3" w:rsidP="009B3C2D">
      <w:pPr>
        <w:tabs>
          <w:tab w:val="right" w:pos="2880"/>
        </w:tabs>
        <w:overflowPunct w:val="0"/>
        <w:autoSpaceDE w:val="0"/>
        <w:autoSpaceDN w:val="0"/>
        <w:adjustRightInd w:val="0"/>
        <w:spacing w:after="0" w:line="240" w:lineRule="auto"/>
        <w:rPr>
          <w:rFonts w:eastAsia="Times New Roman" w:cs="Times New Roman"/>
          <w:szCs w:val="26"/>
        </w:rPr>
      </w:pPr>
      <w:r w:rsidRPr="009B3C2D">
        <w:rPr>
          <w:rFonts w:eastAsia="Times New Roman" w:cs="Times New Roman"/>
          <w:szCs w:val="26"/>
          <w:u w:val="single"/>
        </w:rPr>
        <w:t>FIELDS</w:t>
      </w:r>
      <w:r w:rsidRPr="009B3C2D">
        <w:rPr>
          <w:rFonts w:eastAsia="Times New Roman" w:cs="Times New Roman"/>
          <w:szCs w:val="26"/>
          <w:u w:val="single"/>
        </w:rPr>
        <w:tab/>
      </w:r>
    </w:p>
    <w:p w14:paraId="710F6D39" w14:textId="785288A9" w:rsidR="009B3C2D" w:rsidRPr="00612A7D" w:rsidRDefault="007C02D3" w:rsidP="009B3C2D">
      <w:pPr>
        <w:tabs>
          <w:tab w:val="right" w:pos="2880"/>
        </w:tabs>
        <w:overflowPunct w:val="0"/>
        <w:autoSpaceDE w:val="0"/>
        <w:autoSpaceDN w:val="0"/>
        <w:adjustRightInd w:val="0"/>
        <w:spacing w:after="0" w:line="240" w:lineRule="auto"/>
        <w:rPr>
          <w:rFonts w:eastAsia="Times New Roman" w:cs="Times New Roman"/>
          <w:szCs w:val="26"/>
        </w:rPr>
      </w:pPr>
      <w:r w:rsidRPr="009B3C2D">
        <w:rPr>
          <w:rFonts w:eastAsia="Times New Roman" w:cs="Times New Roman"/>
          <w:szCs w:val="26"/>
        </w:rPr>
        <w:tab/>
        <w:t>J.</w:t>
      </w:r>
    </w:p>
    <w:p w14:paraId="08221874" w14:textId="77777777" w:rsidR="001E6F7A" w:rsidRDefault="001E6F7A" w:rsidP="001E6F7A">
      <w:pPr>
        <w:spacing w:line="40" w:lineRule="exact"/>
      </w:pPr>
    </w:p>
    <w:sectPr w:rsidR="001E6F7A" w:rsidSect="001E6F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CB38" w14:textId="77777777" w:rsidR="00000000" w:rsidRDefault="007C02D3">
      <w:pPr>
        <w:spacing w:after="0" w:line="240" w:lineRule="auto"/>
      </w:pPr>
      <w:r>
        <w:separator/>
      </w:r>
    </w:p>
  </w:endnote>
  <w:endnote w:type="continuationSeparator" w:id="0">
    <w:p w14:paraId="38140C73" w14:textId="77777777" w:rsidR="00000000" w:rsidRDefault="007C0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F8FC" w14:textId="3F22A255" w:rsidR="001E6F7A" w:rsidRDefault="007C02D3" w:rsidP="009C07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028C">
      <w:rPr>
        <w:rStyle w:val="PageNumber"/>
        <w:noProof/>
      </w:rPr>
      <w:t>1</w:t>
    </w:r>
    <w:r>
      <w:rPr>
        <w:rStyle w:val="PageNumber"/>
      </w:rPr>
      <w:fldChar w:fldCharType="end"/>
    </w:r>
  </w:p>
  <w:p w14:paraId="42AA54C1" w14:textId="77777777" w:rsidR="001E6F7A" w:rsidRDefault="001E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A979" w14:textId="695049FD" w:rsidR="001E6F7A" w:rsidRDefault="007C02D3" w:rsidP="009C07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A92CCC" w14:textId="77777777" w:rsidR="001E6F7A" w:rsidRDefault="001E6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AD96" w14:textId="77777777" w:rsidR="00071035" w:rsidRDefault="0007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607D7" w14:textId="77777777" w:rsidR="00DD205D" w:rsidRDefault="007C02D3" w:rsidP="001E6F7A">
      <w:pPr>
        <w:spacing w:after="0" w:line="240" w:lineRule="auto"/>
      </w:pPr>
      <w:r>
        <w:separator/>
      </w:r>
    </w:p>
  </w:footnote>
  <w:footnote w:type="continuationSeparator" w:id="0">
    <w:p w14:paraId="003400DF" w14:textId="77777777" w:rsidR="00DD205D" w:rsidRDefault="007C02D3" w:rsidP="001E6F7A">
      <w:pPr>
        <w:spacing w:after="0" w:line="240" w:lineRule="auto"/>
      </w:pPr>
      <w:r>
        <w:continuationSeparator/>
      </w:r>
    </w:p>
    <w:p w14:paraId="66121738" w14:textId="77777777" w:rsidR="00DD205D" w:rsidRPr="001E6F7A" w:rsidRDefault="007C02D3" w:rsidP="001E6F7A">
      <w:pPr>
        <w:spacing w:after="0" w:line="240" w:lineRule="auto"/>
        <w:rPr>
          <w:rFonts w:cs="Times New Roman"/>
          <w:i/>
          <w:sz w:val="20"/>
        </w:rPr>
      </w:pPr>
      <w:r>
        <w:rPr>
          <w:rFonts w:cs="Times New Roman"/>
          <w:i/>
          <w:sz w:val="20"/>
        </w:rPr>
        <w:t>[footnote continued from previous page]</w:t>
      </w:r>
    </w:p>
    <w:p w14:paraId="5F119FA0" w14:textId="77777777" w:rsidR="00DD205D" w:rsidRPr="001E6F7A" w:rsidRDefault="007C02D3" w:rsidP="001E6F7A">
      <w:pPr>
        <w:spacing w:after="0" w:line="240" w:lineRule="auto"/>
        <w:rPr>
          <w:rFonts w:cs="Times New Roman"/>
          <w:i/>
          <w:sz w:val="20"/>
        </w:rPr>
      </w:pPr>
      <w:r>
        <w:rPr>
          <w:rFonts w:cs="Times New Roman"/>
          <w:i/>
          <w:sz w:val="20"/>
        </w:rPr>
        <w:t>[footnote continued from previous page]</w:t>
      </w:r>
    </w:p>
  </w:footnote>
  <w:footnote w:type="continuationNotice" w:id="1">
    <w:p w14:paraId="3B9DFF8B" w14:textId="77777777" w:rsidR="00DD205D" w:rsidRPr="001E6F7A" w:rsidRDefault="007C02D3" w:rsidP="001E6F7A">
      <w:pPr>
        <w:pStyle w:val="Footer"/>
        <w:jc w:val="right"/>
        <w:rPr>
          <w:rFonts w:cs="Times New Roman"/>
          <w:i/>
          <w:sz w:val="20"/>
        </w:rPr>
      </w:pPr>
      <w:r>
        <w:rPr>
          <w:rFonts w:cs="Times New Roman"/>
          <w:i/>
          <w:sz w:val="20"/>
        </w:rPr>
        <w:t xml:space="preserve">[footnote </w:t>
      </w:r>
      <w:proofErr w:type="gramStart"/>
      <w:r>
        <w:rPr>
          <w:rFonts w:cs="Times New Roman"/>
          <w:i/>
          <w:sz w:val="20"/>
        </w:rPr>
        <w:t>continued on</w:t>
      </w:r>
      <w:proofErr w:type="gramEnd"/>
      <w:r>
        <w:rPr>
          <w:rFonts w:cs="Times New Roman"/>
          <w:i/>
          <w:sz w:val="20"/>
        </w:rPr>
        <w:t xml:space="preserve"> next </w:t>
      </w:r>
      <w:r>
        <w:rPr>
          <w:rFonts w:cs="Times New Roman"/>
          <w:i/>
          <w:sz w:val="20"/>
        </w:rPr>
        <w:t>page]</w:t>
      </w:r>
    </w:p>
  </w:footnote>
  <w:footnote w:id="2">
    <w:p w14:paraId="09F854DD" w14:textId="34DA0CA7" w:rsidR="007C3363" w:rsidRDefault="007C02D3" w:rsidP="007C3363">
      <w:pPr>
        <w:pStyle w:val="FootnoteText"/>
      </w:pPr>
      <w:r>
        <w:rPr>
          <w:rStyle w:val="FootnoteReference"/>
        </w:rPr>
        <w:footnoteRef/>
      </w:r>
      <w:r>
        <w:t xml:space="preserve"> </w:t>
      </w:r>
      <w:r>
        <w:tab/>
        <w:t>“[B]</w:t>
      </w:r>
      <w:r w:rsidRPr="008A6CEB">
        <w:t xml:space="preserve">ecause ICWA uses the term </w:t>
      </w:r>
      <w:r>
        <w:t>‘</w:t>
      </w:r>
      <w:r w:rsidRPr="008A6CEB">
        <w:t>Indian,</w:t>
      </w:r>
      <w:r>
        <w:t>’</w:t>
      </w:r>
      <w:r w:rsidRPr="008A6CEB">
        <w:t xml:space="preserve"> we do the same for consistency, even though we recognize that other terms, such as </w:t>
      </w:r>
      <w:r>
        <w:t>‘</w:t>
      </w:r>
      <w:r w:rsidRPr="008A6CEB">
        <w:t>Native American</w:t>
      </w:r>
      <w:r>
        <w:t>’</w:t>
      </w:r>
      <w:r w:rsidRPr="008A6CEB">
        <w:t xml:space="preserve"> or </w:t>
      </w:r>
      <w:r>
        <w:t>‘</w:t>
      </w:r>
      <w:r w:rsidRPr="008A6CEB">
        <w:t>indigenous,</w:t>
      </w:r>
      <w:r>
        <w:t>’</w:t>
      </w:r>
      <w:r w:rsidRPr="008A6CEB">
        <w:t xml:space="preserve"> are preferred by many</w:t>
      </w:r>
      <w:r>
        <w:t>.”  (</w:t>
      </w:r>
      <w:r w:rsidRPr="003329E9">
        <w:rPr>
          <w:i/>
          <w:iCs/>
        </w:rPr>
        <w:t>In re Benjamin M.</w:t>
      </w:r>
      <w:r w:rsidRPr="008A6CEB">
        <w:t xml:space="preserve"> (2021) 70 Cal.App.5th 735</w:t>
      </w:r>
      <w:r>
        <w:t>, 739</w:t>
      </w:r>
      <w:r w:rsidR="00612A7D">
        <w:t>, fn. 1</w:t>
      </w:r>
      <w:r>
        <w:t>.)</w:t>
      </w:r>
    </w:p>
  </w:footnote>
  <w:footnote w:id="3">
    <w:p w14:paraId="64F058A9" w14:textId="17B85B2C" w:rsidR="00223D55" w:rsidRDefault="007C02D3" w:rsidP="00223D55">
      <w:pPr>
        <w:pStyle w:val="FootnoteText"/>
      </w:pPr>
      <w:r>
        <w:rPr>
          <w:rStyle w:val="FootnoteReference"/>
        </w:rPr>
        <w:footnoteRef/>
      </w:r>
      <w:r>
        <w:t xml:space="preserve"> </w:t>
      </w:r>
      <w:r>
        <w:tab/>
        <w:t>The provision states in full:  “</w:t>
      </w:r>
      <w:r w:rsidRPr="00330AF2">
        <w:rPr>
          <w:shd w:val="clear" w:color="auto" w:fill="FFFFFF"/>
        </w:rPr>
        <w:t xml:space="preserve">If a child is placed into the temporary custody of a county welfare department pursuant to </w:t>
      </w:r>
      <w:r w:rsidR="00A067A4">
        <w:rPr>
          <w:shd w:val="clear" w:color="auto" w:fill="FFFFFF"/>
        </w:rPr>
        <w:t>[s]</w:t>
      </w:r>
      <w:r w:rsidRPr="00330AF2">
        <w:rPr>
          <w:shd w:val="clear" w:color="auto" w:fill="FFFFFF"/>
        </w:rPr>
        <w:t xml:space="preserve">ection 306 or county probation department pursuant to </w:t>
      </w:r>
      <w:r w:rsidR="00A067A4">
        <w:rPr>
          <w:shd w:val="clear" w:color="auto" w:fill="FFFFFF"/>
        </w:rPr>
        <w:t>[s]</w:t>
      </w:r>
      <w:r w:rsidRPr="00330AF2">
        <w:rPr>
          <w:shd w:val="clear" w:color="auto" w:fill="FFFFFF"/>
        </w:rPr>
        <w:t>ection 307, the county welfare department or county probation department has a duty to inquire whether th</w:t>
      </w:r>
      <w:r w:rsidRPr="00330AF2">
        <w:rPr>
          <w:shd w:val="clear" w:color="auto" w:fill="FFFFFF"/>
        </w:rPr>
        <w:t xml:space="preserve">at child is an Indian child. </w:t>
      </w:r>
      <w:r>
        <w:rPr>
          <w:shd w:val="clear" w:color="auto" w:fill="FFFFFF"/>
        </w:rPr>
        <w:t xml:space="preserve"> </w:t>
      </w:r>
      <w:r w:rsidRPr="00330AF2">
        <w:rPr>
          <w:shd w:val="clear" w:color="auto" w:fill="FFFFFF"/>
        </w:rPr>
        <w:t>Inquiry includes, but is not limited to, asking the child, parents, legal guardian, Indian custodian, extended family members, others who have an interest in the child, and the party reporting child abuse or neglect, whether t</w:t>
      </w:r>
      <w:r w:rsidRPr="00330AF2">
        <w:rPr>
          <w:shd w:val="clear" w:color="auto" w:fill="FFFFFF"/>
        </w:rPr>
        <w:t>he child is, or may be, an Indian child and where the child, the parents, or Indian custodian is domiciled.</w:t>
      </w:r>
      <w:r>
        <w:t>”  (§ 224.2, subd. (b).)</w:t>
      </w:r>
    </w:p>
  </w:footnote>
  <w:footnote w:id="4">
    <w:p w14:paraId="6F8047BC" w14:textId="49A67D8A" w:rsidR="00E63F98" w:rsidRDefault="007C02D3">
      <w:pPr>
        <w:pStyle w:val="FootnoteText"/>
      </w:pPr>
      <w:r>
        <w:rPr>
          <w:rStyle w:val="FootnoteReference"/>
        </w:rPr>
        <w:footnoteRef/>
      </w:r>
      <w:r>
        <w:t xml:space="preserve"> </w:t>
      </w:r>
      <w:r>
        <w:tab/>
      </w:r>
      <w:r w:rsidR="00E0443A">
        <w:t>Subdivision (b) of section 340 requires the court to find probable cause to support that (1) the child is described by section 300, (2) there is a substantial danger to the child’s safety or physical or emotional health, and (3) there are no reasonable means to protect the child’s safety or physical health absent removal.  The court in this case made those findings when it issued the warrant.  But the warrant identified Penal Code section</w:t>
      </w:r>
      <w:r w:rsidR="003C1B20">
        <w:t> </w:t>
      </w:r>
      <w:r w:rsidR="00E0443A">
        <w:t>1524, rather than Welfare and Institutions Code section 340, as the statutory basis for the warrant.  Penal Code section 1524 concerns search warrants and does not require any of the findings that the court made in this case.  Regardless of the warrant’s citation to Penal Code section 1524, the court’s findings show that the statutory basis for the warrant is Welfare and Institutions Code section 340.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56EF" w14:textId="77777777" w:rsidR="00071035" w:rsidRDefault="00071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20136" w14:textId="77777777" w:rsidR="00071035" w:rsidRDefault="00071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F23" w14:textId="77777777" w:rsidR="00071035" w:rsidRDefault="00071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7A"/>
    <w:rsid w:val="0000207A"/>
    <w:rsid w:val="00007CF9"/>
    <w:rsid w:val="00031989"/>
    <w:rsid w:val="00044F2A"/>
    <w:rsid w:val="00060C51"/>
    <w:rsid w:val="00060CFA"/>
    <w:rsid w:val="00071035"/>
    <w:rsid w:val="00074EF6"/>
    <w:rsid w:val="00084868"/>
    <w:rsid w:val="000C282D"/>
    <w:rsid w:val="000C51B3"/>
    <w:rsid w:val="000E3605"/>
    <w:rsid w:val="00114659"/>
    <w:rsid w:val="00114C8C"/>
    <w:rsid w:val="00185598"/>
    <w:rsid w:val="0019065F"/>
    <w:rsid w:val="001C0600"/>
    <w:rsid w:val="001C53A1"/>
    <w:rsid w:val="001C57A3"/>
    <w:rsid w:val="001E11FD"/>
    <w:rsid w:val="001E6F7A"/>
    <w:rsid w:val="002157C1"/>
    <w:rsid w:val="0021625A"/>
    <w:rsid w:val="00216445"/>
    <w:rsid w:val="00223085"/>
    <w:rsid w:val="00223D55"/>
    <w:rsid w:val="002253F8"/>
    <w:rsid w:val="00227250"/>
    <w:rsid w:val="0022748B"/>
    <w:rsid w:val="00235190"/>
    <w:rsid w:val="00242062"/>
    <w:rsid w:val="00243A49"/>
    <w:rsid w:val="0025595E"/>
    <w:rsid w:val="00263D8B"/>
    <w:rsid w:val="00280662"/>
    <w:rsid w:val="00283F1B"/>
    <w:rsid w:val="00287A25"/>
    <w:rsid w:val="002A08B2"/>
    <w:rsid w:val="002B4DCD"/>
    <w:rsid w:val="002C34D7"/>
    <w:rsid w:val="002E0229"/>
    <w:rsid w:val="002E0345"/>
    <w:rsid w:val="002E1B58"/>
    <w:rsid w:val="002F5D31"/>
    <w:rsid w:val="00301598"/>
    <w:rsid w:val="0030696A"/>
    <w:rsid w:val="00317F71"/>
    <w:rsid w:val="00321BDC"/>
    <w:rsid w:val="00330AF2"/>
    <w:rsid w:val="003329E9"/>
    <w:rsid w:val="0033336C"/>
    <w:rsid w:val="00341AEC"/>
    <w:rsid w:val="00361D82"/>
    <w:rsid w:val="0036395E"/>
    <w:rsid w:val="00366855"/>
    <w:rsid w:val="00375202"/>
    <w:rsid w:val="00376E92"/>
    <w:rsid w:val="003B2B8C"/>
    <w:rsid w:val="003B7AB5"/>
    <w:rsid w:val="003C1B20"/>
    <w:rsid w:val="003D3AEC"/>
    <w:rsid w:val="003E7205"/>
    <w:rsid w:val="003F27C8"/>
    <w:rsid w:val="00402BD9"/>
    <w:rsid w:val="00406378"/>
    <w:rsid w:val="00407BF2"/>
    <w:rsid w:val="004170B8"/>
    <w:rsid w:val="00420F41"/>
    <w:rsid w:val="00432242"/>
    <w:rsid w:val="00434597"/>
    <w:rsid w:val="00434AD9"/>
    <w:rsid w:val="00442E96"/>
    <w:rsid w:val="00452183"/>
    <w:rsid w:val="004651BC"/>
    <w:rsid w:val="00466A05"/>
    <w:rsid w:val="00467587"/>
    <w:rsid w:val="0046795B"/>
    <w:rsid w:val="00471034"/>
    <w:rsid w:val="00492BAF"/>
    <w:rsid w:val="00495D21"/>
    <w:rsid w:val="004A6E57"/>
    <w:rsid w:val="004C527C"/>
    <w:rsid w:val="004D1391"/>
    <w:rsid w:val="00501EC1"/>
    <w:rsid w:val="00517F81"/>
    <w:rsid w:val="00526DC2"/>
    <w:rsid w:val="00530C09"/>
    <w:rsid w:val="005537E2"/>
    <w:rsid w:val="00570667"/>
    <w:rsid w:val="00593F3D"/>
    <w:rsid w:val="005A07D6"/>
    <w:rsid w:val="005B1319"/>
    <w:rsid w:val="005B3337"/>
    <w:rsid w:val="005C270E"/>
    <w:rsid w:val="005D3FA4"/>
    <w:rsid w:val="005D7FF1"/>
    <w:rsid w:val="005F46DB"/>
    <w:rsid w:val="00612A7D"/>
    <w:rsid w:val="00612CB8"/>
    <w:rsid w:val="006243D9"/>
    <w:rsid w:val="006307DC"/>
    <w:rsid w:val="00631F88"/>
    <w:rsid w:val="00672684"/>
    <w:rsid w:val="00676E71"/>
    <w:rsid w:val="00676FD9"/>
    <w:rsid w:val="00695C96"/>
    <w:rsid w:val="006E706E"/>
    <w:rsid w:val="00701D72"/>
    <w:rsid w:val="00707A89"/>
    <w:rsid w:val="0072742C"/>
    <w:rsid w:val="0073317B"/>
    <w:rsid w:val="00733CB5"/>
    <w:rsid w:val="00735D8C"/>
    <w:rsid w:val="00743084"/>
    <w:rsid w:val="0074680C"/>
    <w:rsid w:val="00754181"/>
    <w:rsid w:val="00767539"/>
    <w:rsid w:val="0079028C"/>
    <w:rsid w:val="007972F4"/>
    <w:rsid w:val="007B2DE9"/>
    <w:rsid w:val="007B60F9"/>
    <w:rsid w:val="007C02D3"/>
    <w:rsid w:val="007C3363"/>
    <w:rsid w:val="007C760E"/>
    <w:rsid w:val="007D0CDE"/>
    <w:rsid w:val="007E0CCC"/>
    <w:rsid w:val="007F3A68"/>
    <w:rsid w:val="007F3A9F"/>
    <w:rsid w:val="007F5FEA"/>
    <w:rsid w:val="0082059A"/>
    <w:rsid w:val="008256CE"/>
    <w:rsid w:val="008361AE"/>
    <w:rsid w:val="0085167A"/>
    <w:rsid w:val="00853784"/>
    <w:rsid w:val="0085476B"/>
    <w:rsid w:val="0086247E"/>
    <w:rsid w:val="00866E87"/>
    <w:rsid w:val="0088013D"/>
    <w:rsid w:val="008810C1"/>
    <w:rsid w:val="00887868"/>
    <w:rsid w:val="0089288D"/>
    <w:rsid w:val="00896E8D"/>
    <w:rsid w:val="008A6CEB"/>
    <w:rsid w:val="008B3606"/>
    <w:rsid w:val="008B6236"/>
    <w:rsid w:val="008B734D"/>
    <w:rsid w:val="008C29E8"/>
    <w:rsid w:val="008E259F"/>
    <w:rsid w:val="00932DC2"/>
    <w:rsid w:val="00941E24"/>
    <w:rsid w:val="00966B30"/>
    <w:rsid w:val="00971722"/>
    <w:rsid w:val="00971DB5"/>
    <w:rsid w:val="0098025D"/>
    <w:rsid w:val="00985EB8"/>
    <w:rsid w:val="009A4B02"/>
    <w:rsid w:val="009A4FA6"/>
    <w:rsid w:val="009B3C2D"/>
    <w:rsid w:val="009B769D"/>
    <w:rsid w:val="009C0741"/>
    <w:rsid w:val="009C21D1"/>
    <w:rsid w:val="009C35BB"/>
    <w:rsid w:val="009C3A8F"/>
    <w:rsid w:val="009E7DDB"/>
    <w:rsid w:val="00A05A7E"/>
    <w:rsid w:val="00A067A4"/>
    <w:rsid w:val="00A25C42"/>
    <w:rsid w:val="00A26A30"/>
    <w:rsid w:val="00A319A0"/>
    <w:rsid w:val="00A5315C"/>
    <w:rsid w:val="00A64B5F"/>
    <w:rsid w:val="00A76F56"/>
    <w:rsid w:val="00AA2AEB"/>
    <w:rsid w:val="00AA4A9B"/>
    <w:rsid w:val="00AA5A4E"/>
    <w:rsid w:val="00AD0627"/>
    <w:rsid w:val="00AD5F68"/>
    <w:rsid w:val="00AD7009"/>
    <w:rsid w:val="00AE51CF"/>
    <w:rsid w:val="00B076B1"/>
    <w:rsid w:val="00B3486D"/>
    <w:rsid w:val="00B455A3"/>
    <w:rsid w:val="00B57E12"/>
    <w:rsid w:val="00B62B14"/>
    <w:rsid w:val="00B734BB"/>
    <w:rsid w:val="00B775BE"/>
    <w:rsid w:val="00B87908"/>
    <w:rsid w:val="00B944BA"/>
    <w:rsid w:val="00BB6A0B"/>
    <w:rsid w:val="00BC6083"/>
    <w:rsid w:val="00BD442C"/>
    <w:rsid w:val="00BE358E"/>
    <w:rsid w:val="00BE63BC"/>
    <w:rsid w:val="00BE6F0F"/>
    <w:rsid w:val="00C067CA"/>
    <w:rsid w:val="00C07ACC"/>
    <w:rsid w:val="00C162D7"/>
    <w:rsid w:val="00C52E37"/>
    <w:rsid w:val="00C62D36"/>
    <w:rsid w:val="00C66427"/>
    <w:rsid w:val="00C67BC6"/>
    <w:rsid w:val="00C76AD1"/>
    <w:rsid w:val="00C8198B"/>
    <w:rsid w:val="00C8449A"/>
    <w:rsid w:val="00C93794"/>
    <w:rsid w:val="00CA3470"/>
    <w:rsid w:val="00CB39FE"/>
    <w:rsid w:val="00CC5205"/>
    <w:rsid w:val="00CF0114"/>
    <w:rsid w:val="00CF1A1D"/>
    <w:rsid w:val="00CF4A50"/>
    <w:rsid w:val="00CF4FEF"/>
    <w:rsid w:val="00D04156"/>
    <w:rsid w:val="00D05B4B"/>
    <w:rsid w:val="00D120DA"/>
    <w:rsid w:val="00D17721"/>
    <w:rsid w:val="00D3007B"/>
    <w:rsid w:val="00D43A84"/>
    <w:rsid w:val="00D50BEF"/>
    <w:rsid w:val="00D613D0"/>
    <w:rsid w:val="00D727BB"/>
    <w:rsid w:val="00D73019"/>
    <w:rsid w:val="00D75741"/>
    <w:rsid w:val="00D75C68"/>
    <w:rsid w:val="00D77F01"/>
    <w:rsid w:val="00D9248E"/>
    <w:rsid w:val="00DA00FF"/>
    <w:rsid w:val="00DA15DB"/>
    <w:rsid w:val="00DB014E"/>
    <w:rsid w:val="00DB2AA9"/>
    <w:rsid w:val="00DC11A7"/>
    <w:rsid w:val="00DD0F02"/>
    <w:rsid w:val="00DD205D"/>
    <w:rsid w:val="00DD3BF3"/>
    <w:rsid w:val="00E0443A"/>
    <w:rsid w:val="00E27BDB"/>
    <w:rsid w:val="00E54B7A"/>
    <w:rsid w:val="00E606D0"/>
    <w:rsid w:val="00E63F98"/>
    <w:rsid w:val="00E75413"/>
    <w:rsid w:val="00E807A2"/>
    <w:rsid w:val="00E81B91"/>
    <w:rsid w:val="00E85B2B"/>
    <w:rsid w:val="00E86BCA"/>
    <w:rsid w:val="00EA0647"/>
    <w:rsid w:val="00EC423E"/>
    <w:rsid w:val="00EC7FD5"/>
    <w:rsid w:val="00ED1B6A"/>
    <w:rsid w:val="00ED22C9"/>
    <w:rsid w:val="00ED3A3B"/>
    <w:rsid w:val="00ED5F5E"/>
    <w:rsid w:val="00EF6801"/>
    <w:rsid w:val="00F075DA"/>
    <w:rsid w:val="00F2603F"/>
    <w:rsid w:val="00F423DF"/>
    <w:rsid w:val="00F44867"/>
    <w:rsid w:val="00F51C9C"/>
    <w:rsid w:val="00F54AF9"/>
    <w:rsid w:val="00F572F7"/>
    <w:rsid w:val="00F57E32"/>
    <w:rsid w:val="00F6279C"/>
    <w:rsid w:val="00F63454"/>
    <w:rsid w:val="00F6684C"/>
    <w:rsid w:val="00FA0029"/>
    <w:rsid w:val="00FC3372"/>
    <w:rsid w:val="00FD4D0D"/>
    <w:rsid w:val="00FD51F6"/>
    <w:rsid w:val="00FD6859"/>
    <w:rsid w:val="00FE3BA3"/>
    <w:rsid w:val="00FE4725"/>
    <w:rsid w:val="00FF280F"/>
    <w:rsid w:val="00FF4215"/>
    <w:rsid w:val="00FF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8E"/>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6F7A"/>
    <w:pPr>
      <w:spacing w:after="0" w:line="240" w:lineRule="auto"/>
    </w:pPr>
    <w:rPr>
      <w:rFonts w:cs="Times New Roman"/>
      <w:szCs w:val="20"/>
    </w:rPr>
  </w:style>
  <w:style w:type="character" w:customStyle="1" w:styleId="FootnoteTextChar">
    <w:name w:val="Footnote Text Char"/>
    <w:basedOn w:val="DefaultParagraphFont"/>
    <w:link w:val="FootnoteText"/>
    <w:uiPriority w:val="99"/>
    <w:semiHidden/>
    <w:rsid w:val="001E6F7A"/>
    <w:rPr>
      <w:rFonts w:ascii="Times New Roman" w:hAnsi="Times New Roman" w:cs="Times New Roman"/>
      <w:sz w:val="26"/>
      <w:szCs w:val="20"/>
    </w:rPr>
  </w:style>
  <w:style w:type="character" w:styleId="FootnoteReference">
    <w:name w:val="footnote reference"/>
    <w:basedOn w:val="DefaultParagraphFont"/>
    <w:uiPriority w:val="99"/>
    <w:semiHidden/>
    <w:unhideWhenUsed/>
    <w:rsid w:val="001E6F7A"/>
    <w:rPr>
      <w:b/>
      <w:position w:val="8"/>
      <w:sz w:val="20"/>
      <w:vertAlign w:val="baseline"/>
    </w:rPr>
  </w:style>
  <w:style w:type="paragraph" w:styleId="Header">
    <w:name w:val="header"/>
    <w:basedOn w:val="Normal"/>
    <w:link w:val="HeaderChar"/>
    <w:uiPriority w:val="99"/>
    <w:unhideWhenUsed/>
    <w:rsid w:val="001E6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F7A"/>
    <w:rPr>
      <w:rFonts w:ascii="Times New Roman" w:hAnsi="Times New Roman"/>
      <w:sz w:val="26"/>
    </w:rPr>
  </w:style>
  <w:style w:type="paragraph" w:styleId="Footer">
    <w:name w:val="footer"/>
    <w:basedOn w:val="Normal"/>
    <w:link w:val="FooterChar"/>
    <w:uiPriority w:val="99"/>
    <w:unhideWhenUsed/>
    <w:rsid w:val="001E6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F7A"/>
    <w:rPr>
      <w:rFonts w:ascii="Times New Roman" w:hAnsi="Times New Roman"/>
      <w:sz w:val="26"/>
    </w:rPr>
  </w:style>
  <w:style w:type="character" w:styleId="PageNumber">
    <w:name w:val="page number"/>
    <w:basedOn w:val="DefaultParagraphFont"/>
    <w:uiPriority w:val="99"/>
    <w:semiHidden/>
    <w:unhideWhenUsed/>
    <w:rsid w:val="001E6F7A"/>
  </w:style>
  <w:style w:type="table" w:styleId="TableGrid">
    <w:name w:val="Table Grid"/>
    <w:basedOn w:val="TableNormal"/>
    <w:uiPriority w:val="39"/>
    <w:rsid w:val="001E6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1D72"/>
    <w:pPr>
      <w:spacing w:after="0" w:line="240" w:lineRule="auto"/>
    </w:pPr>
    <w:rPr>
      <w:rFonts w:ascii="Times New Roman" w:hAnsi="Times New Roman"/>
      <w:sz w:val="26"/>
    </w:rPr>
  </w:style>
  <w:style w:type="paragraph" w:styleId="NormalWeb">
    <w:name w:val="Normal (Web)"/>
    <w:basedOn w:val="Normal"/>
    <w:uiPriority w:val="99"/>
    <w:semiHidden/>
    <w:unhideWhenUsed/>
    <w:rsid w:val="00CF0114"/>
    <w:pPr>
      <w:spacing w:before="100" w:beforeAutospacing="1" w:after="100" w:afterAutospacing="1" w:line="240" w:lineRule="auto"/>
    </w:pPr>
    <w:rPr>
      <w:rFonts w:eastAsia="Times New Roman" w:cs="Times New Roman"/>
      <w:sz w:val="24"/>
      <w:szCs w:val="24"/>
    </w:rPr>
  </w:style>
  <w:style w:type="character" w:customStyle="1" w:styleId="acb">
    <w:name w:val="acb"/>
    <w:basedOn w:val="DefaultParagraphFont"/>
    <w:rsid w:val="00CF0114"/>
  </w:style>
  <w:style w:type="character" w:customStyle="1" w:styleId="acy">
    <w:name w:val="acy"/>
    <w:basedOn w:val="DefaultParagraphFont"/>
    <w:rsid w:val="0037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CB83-B18F-4B47-887F-B205DBE7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2734</Words>
  <Characters>14440</Characters>
  <Application>Microsoft Office Word</Application>
  <DocSecurity>0</DocSecurity>
  <Lines>240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2023-07-31T19:48:00Z</dcterms:created>
  <dcterms:modified xsi:type="dcterms:W3CDTF">2023-07-31T19:48:00Z</dcterms:modified>
</cp:coreProperties>
</file>