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4948" w14:textId="349A81AE" w:rsidR="00AB3F33" w:rsidRDefault="00CB33D8" w:rsidP="00E23A5A">
      <w:pPr>
        <w:spacing w:line="240" w:lineRule="auto"/>
        <w:jc w:val="center"/>
        <w:rPr>
          <w:sz w:val="20"/>
        </w:rPr>
      </w:pPr>
      <w:r>
        <w:rPr>
          <w:sz w:val="20"/>
        </w:rPr>
        <w:t>Filed 11/13/23</w:t>
      </w:r>
      <w:r w:rsidR="00E23A5A" w:rsidRPr="00E23A5A">
        <w:rPr>
          <w:sz w:val="20"/>
        </w:rPr>
        <w:t>; REVIEW GRANTED.  See Cal. Rules of Court, rules 8.1105 and 8.1115 (and corresponding Comment, par. 2, concerning rule 8.1115(e)(3)).</w:t>
      </w:r>
    </w:p>
    <w:p w14:paraId="66FC18DC" w14:textId="77777777" w:rsidR="002C7449" w:rsidRPr="002C7449" w:rsidRDefault="002C7449" w:rsidP="00AB3F33">
      <w:pPr>
        <w:spacing w:line="240" w:lineRule="auto"/>
        <w:rPr>
          <w:sz w:val="20"/>
        </w:rPr>
      </w:pPr>
    </w:p>
    <w:p w14:paraId="4065523F" w14:textId="77777777" w:rsidR="00071E75" w:rsidRDefault="00071E75" w:rsidP="00AB3F33">
      <w:pPr>
        <w:spacing w:line="240" w:lineRule="auto"/>
      </w:pPr>
    </w:p>
    <w:p w14:paraId="437D4B85" w14:textId="0822EAC0" w:rsidR="00AB3F33" w:rsidRDefault="00CB33D8" w:rsidP="00AB3F33">
      <w:pPr>
        <w:spacing w:line="240" w:lineRule="auto"/>
        <w:jc w:val="center"/>
        <w:rPr>
          <w:b/>
        </w:rPr>
      </w:pPr>
      <w:r>
        <w:rPr>
          <w:b/>
        </w:rPr>
        <w:t>CERTIFIED FOR</w:t>
      </w:r>
      <w:r w:rsidR="00981C53">
        <w:rPr>
          <w:b/>
        </w:rPr>
        <w:t xml:space="preserve"> PUBLICATION</w:t>
      </w:r>
    </w:p>
    <w:p w14:paraId="13D6E373" w14:textId="35E05C11" w:rsidR="00981C53" w:rsidRDefault="00981C53" w:rsidP="00AB3F33">
      <w:pPr>
        <w:spacing w:line="240" w:lineRule="auto"/>
        <w:jc w:val="center"/>
        <w:rPr>
          <w:b/>
        </w:rPr>
      </w:pPr>
    </w:p>
    <w:p w14:paraId="7B38BA5F" w14:textId="77777777" w:rsidR="00981C53" w:rsidRDefault="00981C53" w:rsidP="00AB3F33">
      <w:pPr>
        <w:spacing w:line="240" w:lineRule="auto"/>
        <w:jc w:val="center"/>
        <w:rPr>
          <w:rFonts w:cs="Times New Roman"/>
        </w:rPr>
      </w:pPr>
    </w:p>
    <w:p w14:paraId="46A9985C" w14:textId="7E2E83D7" w:rsidR="00AB3F33" w:rsidRDefault="00CB33D8" w:rsidP="00AB3F33">
      <w:pPr>
        <w:spacing w:line="240" w:lineRule="auto"/>
        <w:jc w:val="center"/>
        <w:rPr>
          <w:rFonts w:cs="Times New Roman"/>
          <w:b/>
        </w:rPr>
      </w:pPr>
      <w:r>
        <w:rPr>
          <w:rFonts w:cs="Times New Roman"/>
          <w:b/>
        </w:rPr>
        <w:t>IN THE COURT OF APPEAL OF THE STATE OF CALIFORNIA</w:t>
      </w:r>
    </w:p>
    <w:p w14:paraId="5984C09F" w14:textId="54DE74CB" w:rsidR="00AB3F33" w:rsidRDefault="00AB3F33" w:rsidP="00AB3F33">
      <w:pPr>
        <w:spacing w:line="240" w:lineRule="auto"/>
        <w:jc w:val="center"/>
        <w:rPr>
          <w:rFonts w:cs="Times New Roman"/>
          <w:b/>
        </w:rPr>
      </w:pPr>
    </w:p>
    <w:p w14:paraId="75337233" w14:textId="0EB1C327" w:rsidR="00AB3F33" w:rsidRDefault="00CB33D8" w:rsidP="00AB3F33">
      <w:pPr>
        <w:spacing w:line="240" w:lineRule="auto"/>
        <w:jc w:val="center"/>
        <w:rPr>
          <w:rFonts w:cs="Times New Roman"/>
          <w:b/>
        </w:rPr>
      </w:pPr>
      <w:r>
        <w:rPr>
          <w:rFonts w:cs="Times New Roman"/>
          <w:b/>
        </w:rPr>
        <w:t>FOURTH APPELLATE DISTRICT</w:t>
      </w:r>
    </w:p>
    <w:p w14:paraId="549862B8" w14:textId="7510057B" w:rsidR="00AB3F33" w:rsidRDefault="00AB3F33" w:rsidP="00AB3F33">
      <w:pPr>
        <w:spacing w:line="240" w:lineRule="auto"/>
        <w:jc w:val="center"/>
        <w:rPr>
          <w:rFonts w:cs="Times New Roman"/>
          <w:b/>
        </w:rPr>
      </w:pPr>
    </w:p>
    <w:p w14:paraId="2CF9A173" w14:textId="77777777" w:rsidR="00AB3F33" w:rsidRDefault="00CB33D8" w:rsidP="00AB3F33">
      <w:pPr>
        <w:spacing w:line="240" w:lineRule="auto"/>
        <w:jc w:val="center"/>
        <w:rPr>
          <w:rFonts w:cs="Times New Roman"/>
          <w:b/>
        </w:rPr>
      </w:pPr>
      <w:r>
        <w:rPr>
          <w:rFonts w:cs="Times New Roman"/>
          <w:b/>
        </w:rPr>
        <w:t>DIVISION TWO</w:t>
      </w:r>
    </w:p>
    <w:p w14:paraId="02AF3B52" w14:textId="7FB39336" w:rsidR="00AB3F33" w:rsidRDefault="00AB3F33" w:rsidP="00AB3F33">
      <w:pPr>
        <w:spacing w:line="240" w:lineRule="auto"/>
        <w:jc w:val="center"/>
        <w:rPr>
          <w:rFonts w:cs="Times New Roman"/>
        </w:rPr>
      </w:pPr>
    </w:p>
    <w:p w14:paraId="2723880A" w14:textId="1926A035" w:rsidR="00AB3F33" w:rsidRDefault="00AB3F33" w:rsidP="00AB3F33">
      <w:pPr>
        <w:spacing w:line="240" w:lineRule="auto"/>
        <w:jc w:val="center"/>
        <w:rPr>
          <w:rFonts w:cs="Times New Roman"/>
        </w:rPr>
      </w:pPr>
    </w:p>
    <w:p w14:paraId="79DCCA0C" w14:textId="2640226D" w:rsidR="00AB3F33" w:rsidRDefault="00AB3F33" w:rsidP="00AB3F33">
      <w:pPr>
        <w:spacing w:line="240" w:lineRule="auto"/>
        <w:jc w:val="cente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0A54" w14:paraId="64013E31" w14:textId="77777777" w:rsidTr="00AB3F33">
        <w:tc>
          <w:tcPr>
            <w:tcW w:w="4675" w:type="dxa"/>
            <w:tcBorders>
              <w:bottom w:val="single" w:sz="4" w:space="0" w:color="auto"/>
              <w:right w:val="single" w:sz="4" w:space="0" w:color="auto"/>
            </w:tcBorders>
            <w:shd w:val="clear" w:color="auto" w:fill="auto"/>
          </w:tcPr>
          <w:p w14:paraId="5A9011C5" w14:textId="77777777" w:rsidR="00AB3F33" w:rsidRDefault="00CB33D8" w:rsidP="00AB3F33">
            <w:pPr>
              <w:rPr>
                <w:rFonts w:cs="Times New Roman"/>
              </w:rPr>
            </w:pPr>
            <w:r>
              <w:rPr>
                <w:rFonts w:cs="Times New Roman"/>
              </w:rPr>
              <w:t>THE PEOPLE,</w:t>
            </w:r>
          </w:p>
          <w:p w14:paraId="6A6AA1C5" w14:textId="77777777" w:rsidR="00AB3F33" w:rsidRDefault="00AB3F33" w:rsidP="00AB3F33">
            <w:pPr>
              <w:rPr>
                <w:rFonts w:cs="Times New Roman"/>
              </w:rPr>
            </w:pPr>
          </w:p>
          <w:p w14:paraId="4355B767" w14:textId="77777777" w:rsidR="00AB3F33" w:rsidRDefault="00CB33D8" w:rsidP="00AB3F33">
            <w:pPr>
              <w:rPr>
                <w:rFonts w:cs="Times New Roman"/>
              </w:rPr>
            </w:pPr>
            <w:r>
              <w:rPr>
                <w:rFonts w:cs="Times New Roman"/>
              </w:rPr>
              <w:tab/>
              <w:t>Plaintiff and Respondent,</w:t>
            </w:r>
          </w:p>
          <w:p w14:paraId="54A10069" w14:textId="77777777" w:rsidR="00AB3F33" w:rsidRDefault="00AB3F33" w:rsidP="00AB3F33">
            <w:pPr>
              <w:rPr>
                <w:rFonts w:cs="Times New Roman"/>
              </w:rPr>
            </w:pPr>
          </w:p>
          <w:p w14:paraId="395005A3" w14:textId="77777777" w:rsidR="00AB3F33" w:rsidRDefault="00CB33D8" w:rsidP="00AB3F33">
            <w:pPr>
              <w:rPr>
                <w:rFonts w:cs="Times New Roman"/>
              </w:rPr>
            </w:pPr>
            <w:r>
              <w:rPr>
                <w:rFonts w:cs="Times New Roman"/>
              </w:rPr>
              <w:t>v.</w:t>
            </w:r>
          </w:p>
          <w:p w14:paraId="4FA2C2F8" w14:textId="77777777" w:rsidR="00AB3F33" w:rsidRDefault="00AB3F33" w:rsidP="00AB3F33">
            <w:pPr>
              <w:rPr>
                <w:rFonts w:cs="Times New Roman"/>
              </w:rPr>
            </w:pPr>
          </w:p>
          <w:p w14:paraId="741FB440" w14:textId="77777777" w:rsidR="00AB3F33" w:rsidRDefault="00CB33D8" w:rsidP="00AB3F33">
            <w:pPr>
              <w:rPr>
                <w:rFonts w:cs="Times New Roman"/>
              </w:rPr>
            </w:pPr>
            <w:r>
              <w:rPr>
                <w:rFonts w:cs="Times New Roman"/>
              </w:rPr>
              <w:t xml:space="preserve">ANDREW CHRISTIAN </w:t>
            </w:r>
            <w:proofErr w:type="spellStart"/>
            <w:r>
              <w:rPr>
                <w:rFonts w:cs="Times New Roman"/>
              </w:rPr>
              <w:t>RHODIUS</w:t>
            </w:r>
            <w:proofErr w:type="spellEnd"/>
            <w:r>
              <w:rPr>
                <w:rFonts w:cs="Times New Roman"/>
              </w:rPr>
              <w:t>,</w:t>
            </w:r>
          </w:p>
          <w:p w14:paraId="2CBF0BE3" w14:textId="77777777" w:rsidR="00AB3F33" w:rsidRDefault="00AB3F33" w:rsidP="00AB3F33">
            <w:pPr>
              <w:rPr>
                <w:rFonts w:cs="Times New Roman"/>
              </w:rPr>
            </w:pPr>
          </w:p>
          <w:p w14:paraId="17ADE5CB" w14:textId="77777777" w:rsidR="00AB3F33" w:rsidRDefault="00CB33D8" w:rsidP="00AB3F33">
            <w:pPr>
              <w:rPr>
                <w:rFonts w:cs="Times New Roman"/>
              </w:rPr>
            </w:pPr>
            <w:r>
              <w:rPr>
                <w:rFonts w:cs="Times New Roman"/>
              </w:rPr>
              <w:tab/>
              <w:t>Defendant and Appellant.</w:t>
            </w:r>
          </w:p>
          <w:p w14:paraId="18FA48B0" w14:textId="2A44423D" w:rsidR="00AB3F33" w:rsidRDefault="00AB3F33" w:rsidP="00AB3F33">
            <w:pPr>
              <w:rPr>
                <w:rFonts w:cs="Times New Roman"/>
              </w:rPr>
            </w:pPr>
          </w:p>
        </w:tc>
        <w:tc>
          <w:tcPr>
            <w:tcW w:w="4675" w:type="dxa"/>
            <w:tcBorders>
              <w:left w:val="single" w:sz="4" w:space="0" w:color="auto"/>
            </w:tcBorders>
            <w:shd w:val="clear" w:color="auto" w:fill="auto"/>
          </w:tcPr>
          <w:p w14:paraId="38ADC172" w14:textId="77777777" w:rsidR="00AB3F33" w:rsidRDefault="00AB3F33" w:rsidP="00AB3F33">
            <w:pPr>
              <w:rPr>
                <w:rFonts w:cs="Times New Roman"/>
              </w:rPr>
            </w:pPr>
          </w:p>
          <w:p w14:paraId="29775809" w14:textId="77777777" w:rsidR="00AB3F33" w:rsidRDefault="00AB3F33" w:rsidP="00AB3F33">
            <w:pPr>
              <w:rPr>
                <w:rFonts w:cs="Times New Roman"/>
              </w:rPr>
            </w:pPr>
          </w:p>
          <w:p w14:paraId="3ADC6118" w14:textId="77777777" w:rsidR="00AB3F33" w:rsidRDefault="00CB33D8" w:rsidP="00AB3F33">
            <w:pPr>
              <w:rPr>
                <w:rFonts w:cs="Times New Roman"/>
              </w:rPr>
            </w:pPr>
            <w:r>
              <w:rPr>
                <w:rFonts w:cs="Times New Roman"/>
              </w:rPr>
              <w:tab/>
              <w:t>E080064</w:t>
            </w:r>
          </w:p>
          <w:p w14:paraId="27AD5527" w14:textId="77777777" w:rsidR="00AB3F33" w:rsidRDefault="00AB3F33" w:rsidP="00AB3F33">
            <w:pPr>
              <w:rPr>
                <w:rFonts w:cs="Times New Roman"/>
              </w:rPr>
            </w:pPr>
          </w:p>
          <w:p w14:paraId="31BA8BEC" w14:textId="04B084A7" w:rsidR="00AB3F33" w:rsidRDefault="00CB33D8" w:rsidP="00AB3F33">
            <w:pPr>
              <w:rPr>
                <w:rFonts w:cs="Times New Roman"/>
              </w:rPr>
            </w:pPr>
            <w:r>
              <w:rPr>
                <w:rFonts w:cs="Times New Roman"/>
              </w:rPr>
              <w:tab/>
              <w:t>(</w:t>
            </w:r>
            <w:proofErr w:type="spellStart"/>
            <w:r>
              <w:rPr>
                <w:rFonts w:cs="Times New Roman"/>
              </w:rPr>
              <w:t>Super.Ct.No</w:t>
            </w:r>
            <w:proofErr w:type="spellEnd"/>
            <w:r>
              <w:rPr>
                <w:rFonts w:cs="Times New Roman"/>
              </w:rPr>
              <w:t>. RIF1502535)</w:t>
            </w:r>
          </w:p>
          <w:p w14:paraId="1D2BF3F9" w14:textId="77777777" w:rsidR="00AB3F33" w:rsidRDefault="00AB3F33" w:rsidP="00AB3F33">
            <w:pPr>
              <w:rPr>
                <w:rFonts w:cs="Times New Roman"/>
              </w:rPr>
            </w:pPr>
          </w:p>
          <w:p w14:paraId="5DC8B290" w14:textId="3E947B9A" w:rsidR="00AB3F33" w:rsidRDefault="00CB33D8" w:rsidP="00AB3F33">
            <w:pPr>
              <w:rPr>
                <w:rFonts w:cs="Times New Roman"/>
              </w:rPr>
            </w:pPr>
            <w:r>
              <w:rPr>
                <w:rFonts w:cs="Times New Roman"/>
              </w:rPr>
              <w:tab/>
              <w:t>OPINION</w:t>
            </w:r>
          </w:p>
          <w:p w14:paraId="54C350D7" w14:textId="12122957" w:rsidR="00AB3F33" w:rsidRDefault="00AB3F33" w:rsidP="00AB3F33">
            <w:pPr>
              <w:rPr>
                <w:rFonts w:cs="Times New Roman"/>
              </w:rPr>
            </w:pPr>
          </w:p>
        </w:tc>
      </w:tr>
    </w:tbl>
    <w:p w14:paraId="05757104" w14:textId="777734D9" w:rsidR="00AB3F33" w:rsidRDefault="00AB3F33" w:rsidP="00AB3F33">
      <w:pPr>
        <w:rPr>
          <w:rFonts w:cs="Times New Roman"/>
        </w:rPr>
      </w:pPr>
    </w:p>
    <w:p w14:paraId="3333504F" w14:textId="6839492A" w:rsidR="00AB3F33" w:rsidRDefault="00CB33D8" w:rsidP="00AB3F33">
      <w:pPr>
        <w:rPr>
          <w:rFonts w:cs="Times New Roman"/>
        </w:rPr>
      </w:pPr>
      <w:r>
        <w:rPr>
          <w:rFonts w:cs="Times New Roman"/>
        </w:rPr>
        <w:tab/>
        <w:t>APPEAL from the Superior Court of Riverside County.  John D. Molloy, Judge.  Affirmed.</w:t>
      </w:r>
    </w:p>
    <w:p w14:paraId="352A0C0C" w14:textId="632F0C42" w:rsidR="00AB3F33" w:rsidRDefault="00CB33D8" w:rsidP="00AB3F33">
      <w:pPr>
        <w:ind w:firstLine="720"/>
        <w:rPr>
          <w:rFonts w:eastAsia="Times New Roman" w:cs="Times New Roman"/>
          <w:szCs w:val="20"/>
        </w:rPr>
      </w:pPr>
      <w:r>
        <w:rPr>
          <w:rFonts w:eastAsia="Times New Roman" w:cs="Times New Roman"/>
          <w:szCs w:val="20"/>
        </w:rPr>
        <w:t>Matthew A</w:t>
      </w:r>
      <w:r w:rsidR="00A05ED5">
        <w:rPr>
          <w:rFonts w:eastAsia="Times New Roman" w:cs="Times New Roman"/>
          <w:szCs w:val="20"/>
        </w:rPr>
        <w:t>aron</w:t>
      </w:r>
      <w:r>
        <w:rPr>
          <w:rFonts w:eastAsia="Times New Roman" w:cs="Times New Roman"/>
          <w:szCs w:val="20"/>
        </w:rPr>
        <w:t xml:space="preserve"> </w:t>
      </w:r>
      <w:proofErr w:type="spellStart"/>
      <w:r>
        <w:rPr>
          <w:rFonts w:eastAsia="Times New Roman" w:cs="Times New Roman"/>
          <w:szCs w:val="20"/>
        </w:rPr>
        <w:t>Lopas</w:t>
      </w:r>
      <w:proofErr w:type="spellEnd"/>
      <w:r w:rsidRPr="009C7707">
        <w:rPr>
          <w:rFonts w:eastAsia="Times New Roman" w:cs="Times New Roman"/>
          <w:szCs w:val="20"/>
        </w:rPr>
        <w:t>, under appointment by the Court of Appeal, for Defendant and Appellant.</w:t>
      </w:r>
    </w:p>
    <w:p w14:paraId="291CE8A6" w14:textId="4C1897F5" w:rsidR="00AB3F33" w:rsidRDefault="00CB33D8" w:rsidP="00AB3F33">
      <w:pPr>
        <w:ind w:firstLine="720"/>
        <w:rPr>
          <w:rFonts w:eastAsia="Times New Roman" w:cs="Times New Roman"/>
          <w:szCs w:val="20"/>
        </w:rPr>
      </w:pPr>
      <w:r w:rsidRPr="009C7707">
        <w:rPr>
          <w:rFonts w:eastAsia="Times New Roman" w:cs="Times New Roman"/>
          <w:szCs w:val="20"/>
        </w:rPr>
        <w:t xml:space="preserve">Rob Bonta, Attorney General, Lance E. Winters, Chief Assistant Attorney General, Charles C. Ragland, Assistant Attorney General, </w:t>
      </w:r>
      <w:r>
        <w:rPr>
          <w:rFonts w:eastAsia="Times New Roman" w:cs="Times New Roman"/>
          <w:szCs w:val="20"/>
        </w:rPr>
        <w:t>and Robin Urbanski, Paige</w:t>
      </w:r>
      <w:r w:rsidR="00071E75">
        <w:rPr>
          <w:rFonts w:eastAsia="Times New Roman" w:cs="Times New Roman"/>
          <w:szCs w:val="20"/>
        </w:rPr>
        <w:t> </w:t>
      </w:r>
      <w:r>
        <w:rPr>
          <w:rFonts w:eastAsia="Times New Roman" w:cs="Times New Roman"/>
          <w:szCs w:val="20"/>
        </w:rPr>
        <w:t>Hazard, and Minh U. Le,</w:t>
      </w:r>
      <w:r w:rsidRPr="009C7707">
        <w:rPr>
          <w:rFonts w:eastAsia="Times New Roman" w:cs="Times New Roman"/>
          <w:szCs w:val="20"/>
        </w:rPr>
        <w:t xml:space="preserve"> Deputy Attorneys General, for Plaintiff and Respondent.</w:t>
      </w:r>
    </w:p>
    <w:p w14:paraId="33DCC3D5" w14:textId="77777777" w:rsidR="00AB3F33" w:rsidRPr="00AB3F33" w:rsidRDefault="00CB33D8" w:rsidP="00AB3F33">
      <w:pPr>
        <w:keepNext/>
        <w:keepLines/>
        <w:jc w:val="center"/>
        <w:rPr>
          <w:rFonts w:eastAsia="Times New Roman" w:cs="Times New Roman"/>
          <w:szCs w:val="20"/>
          <w:u w:val="single"/>
        </w:rPr>
      </w:pPr>
      <w:bookmarkStart w:id="0" w:name="_Hlk142918525"/>
      <w:r w:rsidRPr="00AB3F33">
        <w:rPr>
          <w:rFonts w:eastAsia="Times New Roman" w:cs="Times New Roman"/>
          <w:szCs w:val="20"/>
          <w:u w:val="single"/>
        </w:rPr>
        <w:lastRenderedPageBreak/>
        <w:t>INTRODUCTION</w:t>
      </w:r>
    </w:p>
    <w:p w14:paraId="3751813F" w14:textId="294F9525" w:rsidR="00AB3F33" w:rsidRPr="00AB3F33" w:rsidRDefault="00CB33D8" w:rsidP="00AB3F33">
      <w:pPr>
        <w:rPr>
          <w:rFonts w:eastAsia="Times New Roman" w:cs="Times New Roman"/>
          <w:szCs w:val="20"/>
        </w:rPr>
      </w:pPr>
      <w:r w:rsidRPr="00AB3F33">
        <w:rPr>
          <w:rFonts w:eastAsia="Times New Roman" w:cs="Times New Roman"/>
          <w:szCs w:val="20"/>
        </w:rPr>
        <w:tab/>
        <w:t xml:space="preserve">Defendant, Andrew Christian </w:t>
      </w:r>
      <w:proofErr w:type="spellStart"/>
      <w:r w:rsidRPr="00AB3F33">
        <w:rPr>
          <w:rFonts w:eastAsia="Times New Roman" w:cs="Times New Roman"/>
          <w:szCs w:val="20"/>
        </w:rPr>
        <w:t>Rhodius</w:t>
      </w:r>
      <w:proofErr w:type="spellEnd"/>
      <w:r w:rsidRPr="00AB3F33">
        <w:rPr>
          <w:rFonts w:eastAsia="Times New Roman" w:cs="Times New Roman"/>
          <w:szCs w:val="20"/>
        </w:rPr>
        <w:t>, appeals the trial court’s denial of a full resentencing hearing under Penal Code section 1172.75</w:t>
      </w:r>
      <w:r>
        <w:rPr>
          <w:rFonts w:eastAsia="Times New Roman" w:cs="Times New Roman"/>
          <w:b/>
          <w:position w:val="8"/>
          <w:sz w:val="20"/>
          <w:szCs w:val="20"/>
        </w:rPr>
        <w:footnoteReference w:id="2"/>
      </w:r>
      <w:r w:rsidRPr="00AB3F33">
        <w:rPr>
          <w:rFonts w:eastAsia="Times New Roman" w:cs="Times New Roman"/>
          <w:szCs w:val="20"/>
        </w:rPr>
        <w:t xml:space="preserve">.  Defendant contends the trial court erred in denying defendant a full resentencing hearing on the basis that defendant’s prison priors were imposed and stayed, not </w:t>
      </w:r>
      <w:proofErr w:type="gramStart"/>
      <w:r w:rsidRPr="00AB3F33">
        <w:rPr>
          <w:rFonts w:eastAsia="Times New Roman" w:cs="Times New Roman"/>
          <w:szCs w:val="20"/>
        </w:rPr>
        <w:t>imposed</w:t>
      </w:r>
      <w:proofErr w:type="gramEnd"/>
      <w:r w:rsidRPr="00AB3F33">
        <w:rPr>
          <w:rFonts w:eastAsia="Times New Roman" w:cs="Times New Roman"/>
          <w:szCs w:val="20"/>
        </w:rPr>
        <w:t xml:space="preserve"> and executed. </w:t>
      </w:r>
      <w:r w:rsidR="0056403C">
        <w:rPr>
          <w:rFonts w:eastAsia="Times New Roman" w:cs="Times New Roman"/>
          <w:szCs w:val="20"/>
        </w:rPr>
        <w:t xml:space="preserve"> </w:t>
      </w:r>
      <w:r w:rsidRPr="00AB3F33">
        <w:rPr>
          <w:rFonts w:eastAsia="Times New Roman" w:cs="Times New Roman"/>
          <w:szCs w:val="20"/>
        </w:rPr>
        <w:t xml:space="preserve">We affirm. </w:t>
      </w:r>
    </w:p>
    <w:p w14:paraId="1800A435" w14:textId="77777777" w:rsidR="00AB3F33" w:rsidRPr="00AB3F33" w:rsidRDefault="00CB33D8" w:rsidP="00AB3F33">
      <w:pPr>
        <w:jc w:val="center"/>
        <w:rPr>
          <w:rFonts w:eastAsia="Times New Roman" w:cs="Times New Roman"/>
          <w:szCs w:val="20"/>
          <w:u w:val="single"/>
        </w:rPr>
      </w:pPr>
      <w:r w:rsidRPr="00AB3F33">
        <w:rPr>
          <w:rFonts w:eastAsia="Times New Roman" w:cs="Times New Roman"/>
          <w:szCs w:val="20"/>
          <w:u w:val="single"/>
        </w:rPr>
        <w:t>PROCEDURAL BACKGROUND</w:t>
      </w:r>
      <w:r>
        <w:rPr>
          <w:rFonts w:eastAsia="Times New Roman" w:cs="Times New Roman"/>
          <w:b/>
          <w:position w:val="8"/>
          <w:sz w:val="20"/>
          <w:szCs w:val="20"/>
          <w:u w:val="single"/>
        </w:rPr>
        <w:footnoteReference w:id="3"/>
      </w:r>
    </w:p>
    <w:p w14:paraId="6BA83FB2" w14:textId="4DAA3394" w:rsidR="00AB3F33" w:rsidRPr="00AB3F33" w:rsidRDefault="00CB33D8" w:rsidP="0056403C">
      <w:pPr>
        <w:ind w:firstLine="720"/>
        <w:rPr>
          <w:rFonts w:eastAsia="Times New Roman" w:cs="Times New Roman"/>
          <w:szCs w:val="20"/>
        </w:rPr>
      </w:pPr>
      <w:r w:rsidRPr="00AB3F33">
        <w:rPr>
          <w:rFonts w:eastAsia="Times New Roman" w:cs="Times New Roman"/>
          <w:szCs w:val="20"/>
        </w:rPr>
        <w:t>An information was filed on July 28, 2016, charging defendant with three felony counts (</w:t>
      </w:r>
      <w:r w:rsidR="0056403C">
        <w:rPr>
          <w:rFonts w:eastAsia="Times New Roman" w:cs="Times New Roman"/>
          <w:szCs w:val="20"/>
        </w:rPr>
        <w:t xml:space="preserve">Pen. Code, </w:t>
      </w:r>
      <w:r w:rsidRPr="00AB3F33">
        <w:rPr>
          <w:rFonts w:eastAsia="Times New Roman" w:cs="Times New Roman"/>
          <w:szCs w:val="20"/>
        </w:rPr>
        <w:t>§</w:t>
      </w:r>
      <w:r w:rsidR="0056403C">
        <w:rPr>
          <w:rFonts w:eastAsia="Times New Roman" w:cs="Times New Roman"/>
          <w:szCs w:val="20"/>
        </w:rPr>
        <w:t xml:space="preserve"> </w:t>
      </w:r>
      <w:r w:rsidRPr="00AB3F33">
        <w:rPr>
          <w:rFonts w:eastAsia="Times New Roman" w:cs="Times New Roman"/>
          <w:szCs w:val="20"/>
        </w:rPr>
        <w:t>29800</w:t>
      </w:r>
      <w:r w:rsidR="0056403C">
        <w:rPr>
          <w:rFonts w:eastAsia="Times New Roman" w:cs="Times New Roman"/>
          <w:szCs w:val="20"/>
        </w:rPr>
        <w:t xml:space="preserve">, subd. </w:t>
      </w:r>
      <w:r w:rsidRPr="00AB3F33">
        <w:rPr>
          <w:rFonts w:eastAsia="Times New Roman" w:cs="Times New Roman"/>
          <w:szCs w:val="20"/>
        </w:rPr>
        <w:t xml:space="preserve">(a); Health </w:t>
      </w:r>
      <w:r w:rsidR="0056403C">
        <w:rPr>
          <w:rFonts w:eastAsia="Times New Roman" w:cs="Times New Roman"/>
          <w:szCs w:val="20"/>
        </w:rPr>
        <w:t>&amp;</w:t>
      </w:r>
      <w:r w:rsidRPr="00AB3F33">
        <w:rPr>
          <w:rFonts w:eastAsia="Times New Roman" w:cs="Times New Roman"/>
          <w:szCs w:val="20"/>
        </w:rPr>
        <w:t xml:space="preserve"> </w:t>
      </w:r>
      <w:proofErr w:type="spellStart"/>
      <w:r w:rsidRPr="00AB3F33">
        <w:rPr>
          <w:rFonts w:eastAsia="Times New Roman" w:cs="Times New Roman"/>
          <w:szCs w:val="20"/>
        </w:rPr>
        <w:t>Saf</w:t>
      </w:r>
      <w:proofErr w:type="spellEnd"/>
      <w:r w:rsidRPr="00AB3F33">
        <w:rPr>
          <w:rFonts w:eastAsia="Times New Roman" w:cs="Times New Roman"/>
          <w:szCs w:val="20"/>
        </w:rPr>
        <w:t>. Code</w:t>
      </w:r>
      <w:r w:rsidR="0056403C">
        <w:rPr>
          <w:rFonts w:eastAsia="Times New Roman" w:cs="Times New Roman"/>
          <w:szCs w:val="20"/>
        </w:rPr>
        <w:t>,</w:t>
      </w:r>
      <w:r w:rsidRPr="00AB3F33">
        <w:rPr>
          <w:rFonts w:eastAsia="Times New Roman" w:cs="Times New Roman"/>
          <w:szCs w:val="20"/>
        </w:rPr>
        <w:t xml:space="preserve"> </w:t>
      </w:r>
      <w:r w:rsidR="0056403C">
        <w:rPr>
          <w:rFonts w:eastAsia="Times New Roman" w:cs="Times New Roman"/>
          <w:szCs w:val="20"/>
        </w:rPr>
        <w:t>§</w:t>
      </w:r>
      <w:r w:rsidRPr="00AB3F33">
        <w:rPr>
          <w:rFonts w:eastAsia="Times New Roman" w:cs="Times New Roman"/>
          <w:szCs w:val="20"/>
        </w:rPr>
        <w:t>§</w:t>
      </w:r>
      <w:r w:rsidR="0056403C">
        <w:rPr>
          <w:rFonts w:eastAsia="Times New Roman" w:cs="Times New Roman"/>
          <w:szCs w:val="20"/>
        </w:rPr>
        <w:t xml:space="preserve"> </w:t>
      </w:r>
      <w:r w:rsidRPr="00AB3F33">
        <w:rPr>
          <w:rFonts w:eastAsia="Times New Roman" w:cs="Times New Roman"/>
          <w:szCs w:val="20"/>
        </w:rPr>
        <w:t>11378</w:t>
      </w:r>
      <w:r w:rsidR="0056403C">
        <w:rPr>
          <w:rFonts w:eastAsia="Times New Roman" w:cs="Times New Roman"/>
          <w:szCs w:val="20"/>
        </w:rPr>
        <w:t xml:space="preserve"> &amp; </w:t>
      </w:r>
      <w:r w:rsidRPr="00AB3F33">
        <w:rPr>
          <w:rFonts w:eastAsia="Times New Roman" w:cs="Times New Roman"/>
          <w:szCs w:val="20"/>
        </w:rPr>
        <w:t>11370.1), one misdemeanor count (</w:t>
      </w:r>
      <w:r w:rsidR="0056403C">
        <w:rPr>
          <w:rFonts w:eastAsia="Times New Roman" w:cs="Times New Roman"/>
          <w:szCs w:val="20"/>
        </w:rPr>
        <w:t xml:space="preserve">Pen. Code, </w:t>
      </w:r>
      <w:r w:rsidRPr="00AB3F33">
        <w:rPr>
          <w:rFonts w:eastAsia="Times New Roman" w:cs="Times New Roman"/>
          <w:szCs w:val="20"/>
        </w:rPr>
        <w:t>§</w:t>
      </w:r>
      <w:r w:rsidR="0056403C">
        <w:rPr>
          <w:rFonts w:eastAsia="Times New Roman" w:cs="Times New Roman"/>
          <w:szCs w:val="20"/>
        </w:rPr>
        <w:t xml:space="preserve"> </w:t>
      </w:r>
      <w:r w:rsidRPr="00AB3F33">
        <w:rPr>
          <w:rFonts w:eastAsia="Times New Roman" w:cs="Times New Roman"/>
          <w:szCs w:val="20"/>
        </w:rPr>
        <w:t>148</w:t>
      </w:r>
      <w:r w:rsidR="0056403C">
        <w:rPr>
          <w:rFonts w:eastAsia="Times New Roman" w:cs="Times New Roman"/>
          <w:szCs w:val="20"/>
        </w:rPr>
        <w:t xml:space="preserve">, subd. </w:t>
      </w:r>
      <w:r w:rsidRPr="00AB3F33">
        <w:rPr>
          <w:rFonts w:eastAsia="Times New Roman" w:cs="Times New Roman"/>
          <w:szCs w:val="20"/>
        </w:rPr>
        <w:t>(a)(1)), two prison priors (</w:t>
      </w:r>
      <w:r w:rsidR="0056403C">
        <w:rPr>
          <w:rFonts w:eastAsia="Times New Roman" w:cs="Times New Roman"/>
          <w:szCs w:val="20"/>
        </w:rPr>
        <w:t xml:space="preserve">Pen. Code, </w:t>
      </w:r>
      <w:r w:rsidRPr="00AB3F33">
        <w:rPr>
          <w:rFonts w:eastAsia="Times New Roman" w:cs="Times New Roman"/>
          <w:szCs w:val="20"/>
        </w:rPr>
        <w:t>§</w:t>
      </w:r>
      <w:r w:rsidR="00890769">
        <w:rPr>
          <w:rFonts w:eastAsia="Times New Roman" w:cs="Times New Roman"/>
          <w:szCs w:val="20"/>
        </w:rPr>
        <w:t> </w:t>
      </w:r>
      <w:r w:rsidRPr="00AB3F33">
        <w:rPr>
          <w:rFonts w:eastAsia="Times New Roman" w:cs="Times New Roman"/>
          <w:szCs w:val="20"/>
        </w:rPr>
        <w:t>667.5</w:t>
      </w:r>
      <w:r w:rsidR="0056403C">
        <w:rPr>
          <w:rFonts w:eastAsia="Times New Roman" w:cs="Times New Roman"/>
          <w:szCs w:val="20"/>
        </w:rPr>
        <w:t xml:space="preserve">, subd. </w:t>
      </w:r>
      <w:r w:rsidRPr="00AB3F33">
        <w:rPr>
          <w:rFonts w:eastAsia="Times New Roman" w:cs="Times New Roman"/>
          <w:szCs w:val="20"/>
        </w:rPr>
        <w:t>(b)</w:t>
      </w:r>
      <w:r w:rsidR="00890769">
        <w:rPr>
          <w:rFonts w:eastAsia="Times New Roman" w:cs="Times New Roman"/>
          <w:szCs w:val="20"/>
        </w:rPr>
        <w:t xml:space="preserve"> (</w:t>
      </w:r>
      <w:bookmarkStart w:id="1" w:name="_Hlk143249882"/>
      <w:r w:rsidR="00890769">
        <w:rPr>
          <w:rFonts w:eastAsia="Times New Roman" w:cs="Times New Roman"/>
          <w:szCs w:val="20"/>
        </w:rPr>
        <w:t>section 667.5(b)</w:t>
      </w:r>
      <w:bookmarkEnd w:id="1"/>
      <w:r w:rsidRPr="00AB3F33">
        <w:rPr>
          <w:rFonts w:eastAsia="Times New Roman" w:cs="Times New Roman"/>
          <w:szCs w:val="20"/>
        </w:rPr>
        <w:t>), one serious felony prior (</w:t>
      </w:r>
      <w:r w:rsidR="0056403C">
        <w:rPr>
          <w:rFonts w:eastAsia="Times New Roman" w:cs="Times New Roman"/>
          <w:szCs w:val="20"/>
        </w:rPr>
        <w:t xml:space="preserve">Pen. Code, </w:t>
      </w:r>
      <w:r w:rsidRPr="00AB3F33">
        <w:rPr>
          <w:rFonts w:eastAsia="Times New Roman" w:cs="Times New Roman"/>
          <w:szCs w:val="20"/>
        </w:rPr>
        <w:t>§ 667</w:t>
      </w:r>
      <w:r w:rsidR="0056403C">
        <w:rPr>
          <w:rFonts w:eastAsia="Times New Roman" w:cs="Times New Roman"/>
          <w:szCs w:val="20"/>
        </w:rPr>
        <w:t>, subd.</w:t>
      </w:r>
      <w:r w:rsidR="00890769">
        <w:rPr>
          <w:rFonts w:eastAsia="Times New Roman" w:cs="Times New Roman"/>
          <w:szCs w:val="20"/>
        </w:rPr>
        <w:t> </w:t>
      </w:r>
      <w:r w:rsidRPr="00AB3F33">
        <w:rPr>
          <w:rFonts w:eastAsia="Times New Roman" w:cs="Times New Roman"/>
          <w:szCs w:val="20"/>
        </w:rPr>
        <w:t>(a)), and one strike prior (</w:t>
      </w:r>
      <w:r w:rsidR="0056403C">
        <w:rPr>
          <w:rFonts w:eastAsia="Times New Roman" w:cs="Times New Roman"/>
          <w:szCs w:val="20"/>
        </w:rPr>
        <w:t>Pen. Code, §</w:t>
      </w:r>
      <w:r w:rsidRPr="00AB3F33">
        <w:rPr>
          <w:rFonts w:eastAsia="Times New Roman" w:cs="Times New Roman"/>
          <w:szCs w:val="20"/>
        </w:rPr>
        <w:t>§</w:t>
      </w:r>
      <w:r w:rsidR="0056403C">
        <w:rPr>
          <w:rFonts w:eastAsia="Times New Roman" w:cs="Times New Roman"/>
          <w:szCs w:val="20"/>
        </w:rPr>
        <w:t xml:space="preserve"> </w:t>
      </w:r>
      <w:r w:rsidRPr="00AB3F33">
        <w:rPr>
          <w:rFonts w:eastAsia="Times New Roman" w:cs="Times New Roman"/>
          <w:szCs w:val="20"/>
        </w:rPr>
        <w:t>667</w:t>
      </w:r>
      <w:r w:rsidR="0056403C">
        <w:rPr>
          <w:rFonts w:eastAsia="Times New Roman" w:cs="Times New Roman"/>
          <w:szCs w:val="20"/>
        </w:rPr>
        <w:t xml:space="preserve">, subd. </w:t>
      </w:r>
      <w:r w:rsidRPr="00AB3F33">
        <w:rPr>
          <w:rFonts w:eastAsia="Times New Roman" w:cs="Times New Roman"/>
          <w:szCs w:val="20"/>
        </w:rPr>
        <w:t>(c</w:t>
      </w:r>
      <w:r w:rsidR="00071E75">
        <w:rPr>
          <w:rFonts w:eastAsia="Times New Roman" w:cs="Times New Roman"/>
          <w:szCs w:val="20"/>
        </w:rPr>
        <w:t>), (e)(1)</w:t>
      </w:r>
      <w:r w:rsidRPr="00AB3F33">
        <w:rPr>
          <w:rFonts w:eastAsia="Times New Roman" w:cs="Times New Roman"/>
          <w:szCs w:val="20"/>
        </w:rPr>
        <w:t xml:space="preserve">, </w:t>
      </w:r>
      <w:r w:rsidR="00071E75">
        <w:rPr>
          <w:rFonts w:eastAsia="Times New Roman" w:cs="Times New Roman"/>
          <w:szCs w:val="20"/>
        </w:rPr>
        <w:t>&amp;</w:t>
      </w:r>
      <w:r w:rsidR="0056403C">
        <w:rPr>
          <w:rFonts w:eastAsia="Times New Roman" w:cs="Times New Roman"/>
          <w:szCs w:val="20"/>
        </w:rPr>
        <w:t xml:space="preserve"> </w:t>
      </w:r>
      <w:r w:rsidRPr="00AB3F33">
        <w:rPr>
          <w:rFonts w:eastAsia="Times New Roman" w:cs="Times New Roman"/>
          <w:szCs w:val="20"/>
        </w:rPr>
        <w:t>1170.12</w:t>
      </w:r>
      <w:r w:rsidR="0056403C">
        <w:rPr>
          <w:rFonts w:eastAsia="Times New Roman" w:cs="Times New Roman"/>
          <w:szCs w:val="20"/>
        </w:rPr>
        <w:t>, subd.</w:t>
      </w:r>
      <w:r w:rsidR="00071E75">
        <w:rPr>
          <w:rFonts w:eastAsia="Times New Roman" w:cs="Times New Roman"/>
          <w:szCs w:val="20"/>
        </w:rPr>
        <w:t> </w:t>
      </w:r>
      <w:r w:rsidRPr="00AB3F33">
        <w:rPr>
          <w:rFonts w:eastAsia="Times New Roman" w:cs="Times New Roman"/>
          <w:szCs w:val="20"/>
        </w:rPr>
        <w:t>(c)(1).)</w:t>
      </w:r>
      <w:r w:rsidR="0056403C">
        <w:rPr>
          <w:rFonts w:eastAsia="Times New Roman" w:cs="Times New Roman"/>
          <w:szCs w:val="20"/>
        </w:rPr>
        <w:t xml:space="preserve"> </w:t>
      </w:r>
      <w:r w:rsidRPr="00AB3F33">
        <w:rPr>
          <w:rFonts w:eastAsia="Times New Roman" w:cs="Times New Roman"/>
          <w:szCs w:val="20"/>
        </w:rPr>
        <w:t xml:space="preserve"> On December 23, 2016, a jury found defendant guilty on all charges except for count </w:t>
      </w:r>
      <w:r w:rsidR="0056403C">
        <w:rPr>
          <w:rFonts w:eastAsia="Times New Roman" w:cs="Times New Roman"/>
          <w:szCs w:val="20"/>
        </w:rPr>
        <w:t>2</w:t>
      </w:r>
      <w:r w:rsidRPr="00AB3F33">
        <w:rPr>
          <w:rFonts w:eastAsia="Times New Roman" w:cs="Times New Roman"/>
          <w:szCs w:val="20"/>
        </w:rPr>
        <w:t xml:space="preserve"> (Health </w:t>
      </w:r>
      <w:r w:rsidR="0056403C">
        <w:rPr>
          <w:rFonts w:eastAsia="Times New Roman" w:cs="Times New Roman"/>
          <w:szCs w:val="20"/>
        </w:rPr>
        <w:t xml:space="preserve">&amp; </w:t>
      </w:r>
      <w:proofErr w:type="spellStart"/>
      <w:r w:rsidRPr="00AB3F33">
        <w:rPr>
          <w:rFonts w:eastAsia="Times New Roman" w:cs="Times New Roman"/>
          <w:szCs w:val="20"/>
        </w:rPr>
        <w:t>Saf</w:t>
      </w:r>
      <w:proofErr w:type="spellEnd"/>
      <w:r w:rsidRPr="00AB3F33">
        <w:rPr>
          <w:rFonts w:eastAsia="Times New Roman" w:cs="Times New Roman"/>
          <w:szCs w:val="20"/>
        </w:rPr>
        <w:t>. Code</w:t>
      </w:r>
      <w:r w:rsidR="0056403C">
        <w:rPr>
          <w:rFonts w:eastAsia="Times New Roman" w:cs="Times New Roman"/>
          <w:szCs w:val="20"/>
        </w:rPr>
        <w:t xml:space="preserve">, </w:t>
      </w:r>
      <w:r w:rsidRPr="00AB3F33">
        <w:rPr>
          <w:rFonts w:eastAsia="Times New Roman" w:cs="Times New Roman"/>
          <w:szCs w:val="20"/>
        </w:rPr>
        <w:t>§</w:t>
      </w:r>
      <w:r w:rsidR="0056403C">
        <w:rPr>
          <w:rFonts w:eastAsia="Times New Roman" w:cs="Times New Roman"/>
          <w:szCs w:val="20"/>
        </w:rPr>
        <w:t xml:space="preserve"> </w:t>
      </w:r>
      <w:r w:rsidRPr="00AB3F33">
        <w:rPr>
          <w:rFonts w:eastAsia="Times New Roman" w:cs="Times New Roman"/>
          <w:szCs w:val="20"/>
        </w:rPr>
        <w:t>11378.)</w:t>
      </w:r>
      <w:r w:rsidR="0056403C">
        <w:rPr>
          <w:rFonts w:eastAsia="Times New Roman" w:cs="Times New Roman"/>
          <w:szCs w:val="20"/>
        </w:rPr>
        <w:t xml:space="preserve"> </w:t>
      </w:r>
      <w:r w:rsidRPr="00AB3F33">
        <w:rPr>
          <w:rFonts w:eastAsia="Times New Roman" w:cs="Times New Roman"/>
          <w:szCs w:val="20"/>
        </w:rPr>
        <w:t xml:space="preserve"> On February</w:t>
      </w:r>
      <w:r w:rsidR="00071E75">
        <w:rPr>
          <w:rFonts w:eastAsia="Times New Roman" w:cs="Times New Roman"/>
          <w:szCs w:val="20"/>
        </w:rPr>
        <w:t> </w:t>
      </w:r>
      <w:r w:rsidRPr="00AB3F33">
        <w:rPr>
          <w:rFonts w:eastAsia="Times New Roman" w:cs="Times New Roman"/>
          <w:szCs w:val="20"/>
        </w:rPr>
        <w:t xml:space="preserve">15, 2017, in exchange for a stipulated sentence of </w:t>
      </w:r>
      <w:r w:rsidR="0056403C">
        <w:rPr>
          <w:rFonts w:eastAsia="Times New Roman" w:cs="Times New Roman"/>
          <w:szCs w:val="20"/>
        </w:rPr>
        <w:t>11</w:t>
      </w:r>
      <w:r w:rsidRPr="00AB3F33">
        <w:rPr>
          <w:rFonts w:eastAsia="Times New Roman" w:cs="Times New Roman"/>
          <w:szCs w:val="20"/>
        </w:rPr>
        <w:t xml:space="preserve"> years, defendant pled guilty to count </w:t>
      </w:r>
      <w:r w:rsidR="0056403C">
        <w:rPr>
          <w:rFonts w:eastAsia="Times New Roman" w:cs="Times New Roman"/>
          <w:szCs w:val="20"/>
        </w:rPr>
        <w:t>2</w:t>
      </w:r>
      <w:r w:rsidRPr="00AB3F33">
        <w:rPr>
          <w:rFonts w:eastAsia="Times New Roman" w:cs="Times New Roman"/>
          <w:szCs w:val="20"/>
        </w:rPr>
        <w:t xml:space="preserve"> and admitted both prison priors, his serious felony prior, and his strike prior. </w:t>
      </w:r>
      <w:r w:rsidR="0056403C">
        <w:rPr>
          <w:rFonts w:eastAsia="Times New Roman" w:cs="Times New Roman"/>
          <w:szCs w:val="20"/>
        </w:rPr>
        <w:t xml:space="preserve"> </w:t>
      </w:r>
      <w:r w:rsidRPr="00AB3F33">
        <w:rPr>
          <w:rFonts w:eastAsia="Times New Roman" w:cs="Times New Roman"/>
          <w:szCs w:val="20"/>
        </w:rPr>
        <w:t>Defendant was then sentenced on all counts and allegations</w:t>
      </w:r>
      <w:r w:rsidR="00006EF7">
        <w:rPr>
          <w:rFonts w:eastAsia="Times New Roman" w:cs="Times New Roman"/>
          <w:szCs w:val="20"/>
        </w:rPr>
        <w:t>.</w:t>
      </w:r>
      <w:r>
        <w:rPr>
          <w:rFonts w:eastAsia="Times New Roman" w:cs="Times New Roman"/>
          <w:b/>
          <w:position w:val="8"/>
          <w:sz w:val="20"/>
          <w:szCs w:val="20"/>
        </w:rPr>
        <w:footnoteReference w:id="4"/>
      </w:r>
      <w:r w:rsidRPr="00AB3F33">
        <w:rPr>
          <w:rFonts w:eastAsia="Times New Roman" w:cs="Times New Roman"/>
          <w:szCs w:val="20"/>
        </w:rPr>
        <w:t xml:space="preserve"> </w:t>
      </w:r>
      <w:r w:rsidR="0056403C">
        <w:rPr>
          <w:rFonts w:eastAsia="Times New Roman" w:cs="Times New Roman"/>
          <w:szCs w:val="20"/>
        </w:rPr>
        <w:t xml:space="preserve"> </w:t>
      </w:r>
      <w:r w:rsidRPr="00AB3F33">
        <w:rPr>
          <w:rFonts w:eastAsia="Times New Roman" w:cs="Times New Roman"/>
          <w:szCs w:val="20"/>
        </w:rPr>
        <w:t>Of relevance, for each prison prior (</w:t>
      </w:r>
      <w:r w:rsidR="002C5FCD">
        <w:rPr>
          <w:rFonts w:eastAsia="Times New Roman" w:cs="Times New Roman"/>
          <w:szCs w:val="20"/>
        </w:rPr>
        <w:t>section 667.5(b)</w:t>
      </w:r>
      <w:r w:rsidRPr="00AB3F33">
        <w:rPr>
          <w:rFonts w:eastAsia="Times New Roman" w:cs="Times New Roman"/>
          <w:szCs w:val="20"/>
        </w:rPr>
        <w:t xml:space="preserve">), the trial court imposed one year and then stayed the punishment. </w:t>
      </w:r>
    </w:p>
    <w:p w14:paraId="18E49E9B" w14:textId="15898458" w:rsidR="00AB3F33" w:rsidRPr="00AB3F33" w:rsidRDefault="00CB33D8" w:rsidP="0056403C">
      <w:pPr>
        <w:ind w:firstLine="720"/>
        <w:rPr>
          <w:rFonts w:eastAsia="Times New Roman" w:cs="Times New Roman"/>
          <w:szCs w:val="20"/>
        </w:rPr>
      </w:pPr>
      <w:r w:rsidRPr="00AB3F33">
        <w:rPr>
          <w:rFonts w:eastAsia="Times New Roman" w:cs="Times New Roman"/>
          <w:szCs w:val="20"/>
        </w:rPr>
        <w:lastRenderedPageBreak/>
        <w:t>On June 16, 2022</w:t>
      </w:r>
      <w:r w:rsidR="00006EF7">
        <w:rPr>
          <w:rFonts w:eastAsia="Times New Roman" w:cs="Times New Roman"/>
          <w:szCs w:val="20"/>
        </w:rPr>
        <w:t>,</w:t>
      </w:r>
      <w:r w:rsidRPr="00AB3F33">
        <w:rPr>
          <w:rFonts w:eastAsia="Times New Roman" w:cs="Times New Roman"/>
          <w:szCs w:val="20"/>
        </w:rPr>
        <w:t xml:space="preserve"> the </w:t>
      </w:r>
      <w:r w:rsidR="00890769">
        <w:rPr>
          <w:rFonts w:eastAsia="Times New Roman" w:cs="Times New Roman"/>
          <w:szCs w:val="20"/>
        </w:rPr>
        <w:t xml:space="preserve">California </w:t>
      </w:r>
      <w:r w:rsidRPr="00AB3F33">
        <w:rPr>
          <w:rFonts w:eastAsia="Times New Roman" w:cs="Times New Roman"/>
          <w:szCs w:val="20"/>
        </w:rPr>
        <w:t>Department of Corrections</w:t>
      </w:r>
      <w:r w:rsidR="00890769">
        <w:rPr>
          <w:rFonts w:eastAsia="Times New Roman" w:cs="Times New Roman"/>
          <w:szCs w:val="20"/>
        </w:rPr>
        <w:t xml:space="preserve"> and Rehabilitation (</w:t>
      </w:r>
      <w:proofErr w:type="spellStart"/>
      <w:r w:rsidR="00890769">
        <w:rPr>
          <w:rFonts w:eastAsia="Times New Roman" w:cs="Times New Roman"/>
          <w:szCs w:val="20"/>
        </w:rPr>
        <w:t>CDCR</w:t>
      </w:r>
      <w:proofErr w:type="spellEnd"/>
      <w:r w:rsidR="00890769">
        <w:rPr>
          <w:rFonts w:eastAsia="Times New Roman" w:cs="Times New Roman"/>
          <w:szCs w:val="20"/>
        </w:rPr>
        <w:t>)</w:t>
      </w:r>
      <w:r w:rsidRPr="00AB3F33">
        <w:rPr>
          <w:rFonts w:eastAsia="Times New Roman" w:cs="Times New Roman"/>
          <w:szCs w:val="20"/>
        </w:rPr>
        <w:t xml:space="preserve"> identified defendant as an inmate who was serving a sentence containing a </w:t>
      </w:r>
      <w:r w:rsidR="002C5FCD">
        <w:rPr>
          <w:rFonts w:eastAsia="Times New Roman" w:cs="Times New Roman"/>
          <w:szCs w:val="20"/>
        </w:rPr>
        <w:t>section 667.5(b)</w:t>
      </w:r>
      <w:r w:rsidRPr="00AB3F33">
        <w:rPr>
          <w:rFonts w:eastAsia="Times New Roman" w:cs="Times New Roman"/>
          <w:szCs w:val="20"/>
        </w:rPr>
        <w:t xml:space="preserve"> prior. </w:t>
      </w:r>
      <w:r w:rsidR="0056403C">
        <w:rPr>
          <w:rFonts w:eastAsia="Times New Roman" w:cs="Times New Roman"/>
          <w:szCs w:val="20"/>
        </w:rPr>
        <w:t xml:space="preserve"> </w:t>
      </w:r>
      <w:r w:rsidRPr="00AB3F33">
        <w:rPr>
          <w:rFonts w:eastAsia="Times New Roman" w:cs="Times New Roman"/>
          <w:szCs w:val="20"/>
        </w:rPr>
        <w:t xml:space="preserve">The </w:t>
      </w:r>
      <w:proofErr w:type="spellStart"/>
      <w:r w:rsidR="00890769">
        <w:rPr>
          <w:rFonts w:eastAsia="Times New Roman" w:cs="Times New Roman"/>
          <w:szCs w:val="20"/>
        </w:rPr>
        <w:t>CDCR</w:t>
      </w:r>
      <w:proofErr w:type="spellEnd"/>
      <w:r w:rsidRPr="00AB3F33">
        <w:rPr>
          <w:rFonts w:eastAsia="Times New Roman" w:cs="Times New Roman"/>
          <w:szCs w:val="20"/>
        </w:rPr>
        <w:t xml:space="preserve"> notified the trial court</w:t>
      </w:r>
      <w:r w:rsidR="0056403C">
        <w:rPr>
          <w:rFonts w:eastAsia="Times New Roman" w:cs="Times New Roman"/>
          <w:szCs w:val="20"/>
        </w:rPr>
        <w:t>,</w:t>
      </w:r>
      <w:r w:rsidRPr="00AB3F33">
        <w:rPr>
          <w:rFonts w:eastAsia="Times New Roman" w:cs="Times New Roman"/>
          <w:szCs w:val="20"/>
        </w:rPr>
        <w:t xml:space="preserve"> and a hearing to recall and resentence defendant pursuant to </w:t>
      </w:r>
      <w:r w:rsidR="0056403C">
        <w:rPr>
          <w:rFonts w:eastAsia="Times New Roman" w:cs="Times New Roman"/>
          <w:szCs w:val="20"/>
        </w:rPr>
        <w:t xml:space="preserve">section </w:t>
      </w:r>
      <w:r w:rsidRPr="00AB3F33">
        <w:rPr>
          <w:rFonts w:eastAsia="Times New Roman" w:cs="Times New Roman"/>
          <w:szCs w:val="20"/>
        </w:rPr>
        <w:t>1172.75</w:t>
      </w:r>
      <w:r w:rsidR="00890769">
        <w:rPr>
          <w:rFonts w:eastAsia="Times New Roman" w:cs="Times New Roman"/>
          <w:szCs w:val="20"/>
        </w:rPr>
        <w:t>,</w:t>
      </w:r>
      <w:r w:rsidRPr="00AB3F33">
        <w:rPr>
          <w:rFonts w:eastAsia="Times New Roman" w:cs="Times New Roman"/>
          <w:szCs w:val="20"/>
        </w:rPr>
        <w:t xml:space="preserve"> subd</w:t>
      </w:r>
      <w:r w:rsidR="0056403C">
        <w:rPr>
          <w:rFonts w:eastAsia="Times New Roman" w:cs="Times New Roman"/>
          <w:szCs w:val="20"/>
        </w:rPr>
        <w:t>ivision</w:t>
      </w:r>
      <w:r w:rsidRPr="00AB3F33">
        <w:rPr>
          <w:rFonts w:eastAsia="Times New Roman" w:cs="Times New Roman"/>
          <w:szCs w:val="20"/>
        </w:rPr>
        <w:t xml:space="preserve"> (a)</w:t>
      </w:r>
      <w:r w:rsidR="00890769">
        <w:rPr>
          <w:rFonts w:eastAsia="Times New Roman" w:cs="Times New Roman"/>
          <w:szCs w:val="20"/>
        </w:rPr>
        <w:t>,</w:t>
      </w:r>
      <w:r w:rsidRPr="00AB3F33">
        <w:rPr>
          <w:rFonts w:eastAsia="Times New Roman" w:cs="Times New Roman"/>
          <w:szCs w:val="20"/>
        </w:rPr>
        <w:t xml:space="preserve"> occurred on August</w:t>
      </w:r>
      <w:r w:rsidR="00890769">
        <w:rPr>
          <w:rFonts w:eastAsia="Times New Roman" w:cs="Times New Roman"/>
          <w:szCs w:val="20"/>
        </w:rPr>
        <w:t> </w:t>
      </w:r>
      <w:r w:rsidRPr="00AB3F33">
        <w:rPr>
          <w:rFonts w:eastAsia="Times New Roman" w:cs="Times New Roman"/>
          <w:szCs w:val="20"/>
        </w:rPr>
        <w:t xml:space="preserve">22, 2022. </w:t>
      </w:r>
      <w:r w:rsidR="00890769">
        <w:rPr>
          <w:rFonts w:eastAsia="Times New Roman" w:cs="Times New Roman"/>
          <w:szCs w:val="20"/>
        </w:rPr>
        <w:t xml:space="preserve"> </w:t>
      </w:r>
      <w:r w:rsidRPr="00AB3F33">
        <w:rPr>
          <w:rFonts w:eastAsia="Times New Roman" w:cs="Times New Roman"/>
          <w:szCs w:val="20"/>
        </w:rPr>
        <w:t xml:space="preserve">At the resentencing, the trial court vacated the sentence for defendant’s two </w:t>
      </w:r>
      <w:r w:rsidR="002C5FCD">
        <w:rPr>
          <w:rFonts w:eastAsia="Times New Roman" w:cs="Times New Roman"/>
          <w:szCs w:val="20"/>
        </w:rPr>
        <w:t xml:space="preserve">section 667.5(b) </w:t>
      </w:r>
      <w:r w:rsidRPr="00AB3F33">
        <w:rPr>
          <w:rFonts w:eastAsia="Times New Roman" w:cs="Times New Roman"/>
          <w:szCs w:val="20"/>
        </w:rPr>
        <w:t>priors and ordered them stricken.</w:t>
      </w:r>
      <w:r w:rsidR="00890769">
        <w:rPr>
          <w:rFonts w:eastAsia="Times New Roman" w:cs="Times New Roman"/>
          <w:szCs w:val="20"/>
        </w:rPr>
        <w:t xml:space="preserve"> </w:t>
      </w:r>
      <w:r w:rsidRPr="00AB3F33">
        <w:rPr>
          <w:rFonts w:eastAsia="Times New Roman" w:cs="Times New Roman"/>
          <w:szCs w:val="20"/>
        </w:rPr>
        <w:t xml:space="preserve"> Defendant argued for a full resentencing hearing going beyond striking his two priors.</w:t>
      </w:r>
      <w:r w:rsidR="00890769">
        <w:rPr>
          <w:rFonts w:eastAsia="Times New Roman" w:cs="Times New Roman"/>
          <w:szCs w:val="20"/>
        </w:rPr>
        <w:t xml:space="preserve"> </w:t>
      </w:r>
      <w:r w:rsidRPr="00AB3F33">
        <w:rPr>
          <w:rFonts w:eastAsia="Times New Roman" w:cs="Times New Roman"/>
          <w:szCs w:val="20"/>
        </w:rPr>
        <w:t xml:space="preserve"> Defendant provided documentation detailing positive changes he had made in the time since his conviction. </w:t>
      </w:r>
      <w:r w:rsidR="00890769">
        <w:rPr>
          <w:rFonts w:eastAsia="Times New Roman" w:cs="Times New Roman"/>
          <w:szCs w:val="20"/>
        </w:rPr>
        <w:t xml:space="preserve"> </w:t>
      </w:r>
      <w:r w:rsidRPr="00AB3F33">
        <w:rPr>
          <w:rFonts w:eastAsia="Times New Roman" w:cs="Times New Roman"/>
          <w:szCs w:val="20"/>
        </w:rPr>
        <w:t xml:space="preserve">The trial court reserved ruling allowing the parties to provide further briefing on the issue of resentencing. </w:t>
      </w:r>
    </w:p>
    <w:p w14:paraId="07128394" w14:textId="3614488E" w:rsidR="00AB3F33" w:rsidRPr="00AB3F33" w:rsidRDefault="00CB33D8" w:rsidP="00890769">
      <w:pPr>
        <w:ind w:firstLine="720"/>
        <w:rPr>
          <w:rFonts w:eastAsia="Times New Roman" w:cs="Times New Roman"/>
          <w:szCs w:val="20"/>
        </w:rPr>
      </w:pPr>
      <w:r w:rsidRPr="00AB3F33">
        <w:rPr>
          <w:rFonts w:eastAsia="Times New Roman" w:cs="Times New Roman"/>
          <w:szCs w:val="20"/>
        </w:rPr>
        <w:t xml:space="preserve">Defendant filed a brief arguing he is entitled to a full resentencing hearing. </w:t>
      </w:r>
      <w:r w:rsidR="00890769">
        <w:rPr>
          <w:rFonts w:eastAsia="Times New Roman" w:cs="Times New Roman"/>
          <w:szCs w:val="20"/>
        </w:rPr>
        <w:t xml:space="preserve"> </w:t>
      </w:r>
      <w:r w:rsidRPr="00AB3F33">
        <w:rPr>
          <w:rFonts w:eastAsia="Times New Roman" w:cs="Times New Roman"/>
          <w:szCs w:val="20"/>
        </w:rPr>
        <w:t xml:space="preserve">Defendant reasoned that to deny a full resentencing hearing because his </w:t>
      </w:r>
      <w:r w:rsidR="002C5FCD">
        <w:rPr>
          <w:rFonts w:eastAsia="Times New Roman" w:cs="Times New Roman"/>
          <w:szCs w:val="20"/>
        </w:rPr>
        <w:t xml:space="preserve">section 667.5(b) </w:t>
      </w:r>
      <w:r w:rsidRPr="00AB3F33">
        <w:rPr>
          <w:rFonts w:eastAsia="Times New Roman" w:cs="Times New Roman"/>
          <w:szCs w:val="20"/>
        </w:rPr>
        <w:t xml:space="preserve">priors were stayed is contrary to the plain language of the statute and the legislative intent. </w:t>
      </w:r>
      <w:r w:rsidR="00890769">
        <w:rPr>
          <w:rFonts w:eastAsia="Times New Roman" w:cs="Times New Roman"/>
          <w:szCs w:val="20"/>
        </w:rPr>
        <w:t xml:space="preserve"> </w:t>
      </w:r>
      <w:r w:rsidRPr="00AB3F33">
        <w:rPr>
          <w:rFonts w:eastAsia="Times New Roman" w:cs="Times New Roman"/>
          <w:szCs w:val="20"/>
        </w:rPr>
        <w:t xml:space="preserve">Defendant also cited specifically how his sentence could and should be modified. </w:t>
      </w:r>
      <w:r w:rsidR="00890769">
        <w:rPr>
          <w:rFonts w:eastAsia="Times New Roman" w:cs="Times New Roman"/>
          <w:szCs w:val="20"/>
        </w:rPr>
        <w:t xml:space="preserve"> </w:t>
      </w:r>
      <w:r w:rsidRPr="00AB3F33">
        <w:rPr>
          <w:rFonts w:eastAsia="Times New Roman" w:cs="Times New Roman"/>
          <w:szCs w:val="20"/>
        </w:rPr>
        <w:t>The People filed an opposition arguing defendant is not entitled to a full resentencing hearing because the plain language of the statute demonstrates relief under section</w:t>
      </w:r>
      <w:r w:rsidR="00006EF7">
        <w:rPr>
          <w:rFonts w:eastAsia="Times New Roman" w:cs="Times New Roman"/>
          <w:szCs w:val="20"/>
        </w:rPr>
        <w:t> </w:t>
      </w:r>
      <w:r w:rsidRPr="00AB3F33">
        <w:rPr>
          <w:rFonts w:eastAsia="Times New Roman" w:cs="Times New Roman"/>
          <w:szCs w:val="20"/>
        </w:rPr>
        <w:t xml:space="preserve">1172.75 is reserved for persons whose sentence was increased by the imposition of </w:t>
      </w:r>
      <w:r w:rsidR="002C5FCD">
        <w:rPr>
          <w:rFonts w:eastAsia="Times New Roman" w:cs="Times New Roman"/>
          <w:szCs w:val="20"/>
        </w:rPr>
        <w:t xml:space="preserve">section 667.5(b) </w:t>
      </w:r>
      <w:r w:rsidRPr="00AB3F33">
        <w:rPr>
          <w:rFonts w:eastAsia="Times New Roman" w:cs="Times New Roman"/>
          <w:szCs w:val="20"/>
        </w:rPr>
        <w:t xml:space="preserve">priors. </w:t>
      </w:r>
      <w:r w:rsidR="00890769">
        <w:rPr>
          <w:rFonts w:eastAsia="Times New Roman" w:cs="Times New Roman"/>
          <w:szCs w:val="20"/>
        </w:rPr>
        <w:t xml:space="preserve"> </w:t>
      </w:r>
      <w:r w:rsidRPr="00AB3F33">
        <w:rPr>
          <w:rFonts w:eastAsia="Times New Roman" w:cs="Times New Roman"/>
          <w:szCs w:val="20"/>
        </w:rPr>
        <w:t>The People also argued that even if the language of the statute is ambiguous, the legislative history shows that the intended benefit was only for those defendants whose sentence was increased by the enhancements.</w:t>
      </w:r>
      <w:r w:rsidR="00890769">
        <w:rPr>
          <w:rFonts w:eastAsia="Times New Roman" w:cs="Times New Roman"/>
          <w:szCs w:val="20"/>
        </w:rPr>
        <w:t xml:space="preserve"> </w:t>
      </w:r>
      <w:r w:rsidRPr="00AB3F33">
        <w:rPr>
          <w:rFonts w:eastAsia="Times New Roman" w:cs="Times New Roman"/>
          <w:szCs w:val="20"/>
        </w:rPr>
        <w:t xml:space="preserve"> Defendant filed a reply to the People’s </w:t>
      </w:r>
      <w:r w:rsidR="00890769">
        <w:rPr>
          <w:rFonts w:eastAsia="Times New Roman" w:cs="Times New Roman"/>
          <w:szCs w:val="20"/>
        </w:rPr>
        <w:t>o</w:t>
      </w:r>
      <w:r w:rsidRPr="00AB3F33">
        <w:rPr>
          <w:rFonts w:eastAsia="Times New Roman" w:cs="Times New Roman"/>
          <w:szCs w:val="20"/>
        </w:rPr>
        <w:t xml:space="preserve">pposition brief, arguing that a stayed prison prior is still an imposed </w:t>
      </w:r>
      <w:r w:rsidRPr="00AB3F33">
        <w:rPr>
          <w:rFonts w:eastAsia="Times New Roman" w:cs="Times New Roman"/>
          <w:szCs w:val="20"/>
        </w:rPr>
        <w:lastRenderedPageBreak/>
        <w:t xml:space="preserve">prison prior for the purposes of </w:t>
      </w:r>
      <w:r w:rsidR="00890769">
        <w:rPr>
          <w:rFonts w:eastAsia="Times New Roman" w:cs="Times New Roman"/>
          <w:szCs w:val="20"/>
        </w:rPr>
        <w:t xml:space="preserve">section </w:t>
      </w:r>
      <w:r w:rsidRPr="00AB3F33">
        <w:rPr>
          <w:rFonts w:eastAsia="Times New Roman" w:cs="Times New Roman"/>
          <w:szCs w:val="20"/>
        </w:rPr>
        <w:t xml:space="preserve">1172.75. </w:t>
      </w:r>
      <w:r w:rsidR="00890769">
        <w:rPr>
          <w:rFonts w:eastAsia="Times New Roman" w:cs="Times New Roman"/>
          <w:szCs w:val="20"/>
        </w:rPr>
        <w:t xml:space="preserve"> </w:t>
      </w:r>
      <w:r w:rsidRPr="00AB3F33">
        <w:rPr>
          <w:rFonts w:eastAsia="Times New Roman" w:cs="Times New Roman"/>
          <w:szCs w:val="20"/>
        </w:rPr>
        <w:t xml:space="preserve">Defendant also argued in his reply that the absence of express language in the statute distinguishing stayed priors from executed priors demonstrates the </w:t>
      </w:r>
      <w:r w:rsidR="00890769">
        <w:rPr>
          <w:rFonts w:eastAsia="Times New Roman" w:cs="Times New Roman"/>
          <w:szCs w:val="20"/>
        </w:rPr>
        <w:t>L</w:t>
      </w:r>
      <w:r w:rsidRPr="00AB3F33">
        <w:rPr>
          <w:rFonts w:eastAsia="Times New Roman" w:cs="Times New Roman"/>
          <w:szCs w:val="20"/>
        </w:rPr>
        <w:t>egislature’s intent to treat the two situations the same.</w:t>
      </w:r>
    </w:p>
    <w:p w14:paraId="17AA283E" w14:textId="60900D81" w:rsidR="00AB3F33" w:rsidRPr="00AB3F33" w:rsidRDefault="00CB33D8" w:rsidP="00890769">
      <w:pPr>
        <w:ind w:firstLine="720"/>
        <w:rPr>
          <w:rFonts w:eastAsia="Times New Roman" w:cs="Times New Roman"/>
          <w:szCs w:val="20"/>
        </w:rPr>
      </w:pPr>
      <w:r w:rsidRPr="00AB3F33">
        <w:rPr>
          <w:rFonts w:eastAsia="Times New Roman" w:cs="Times New Roman"/>
          <w:szCs w:val="20"/>
        </w:rPr>
        <w:t xml:space="preserve">A second resentencing hearing occurred on October 25, 2022. </w:t>
      </w:r>
      <w:r w:rsidR="00890769">
        <w:rPr>
          <w:rFonts w:eastAsia="Times New Roman" w:cs="Times New Roman"/>
          <w:szCs w:val="20"/>
        </w:rPr>
        <w:t xml:space="preserve"> </w:t>
      </w:r>
      <w:r w:rsidRPr="00AB3F33">
        <w:rPr>
          <w:rFonts w:eastAsia="Times New Roman" w:cs="Times New Roman"/>
          <w:szCs w:val="20"/>
        </w:rPr>
        <w:t>Following briefing and argument by both parties, the trial court denied defendant’s request for a full resentencing hearing.</w:t>
      </w:r>
      <w:r w:rsidR="00890769">
        <w:rPr>
          <w:rFonts w:eastAsia="Times New Roman" w:cs="Times New Roman"/>
          <w:szCs w:val="20"/>
        </w:rPr>
        <w:t xml:space="preserve"> </w:t>
      </w:r>
      <w:r w:rsidRPr="00AB3F33">
        <w:rPr>
          <w:rFonts w:eastAsia="Times New Roman" w:cs="Times New Roman"/>
          <w:szCs w:val="20"/>
        </w:rPr>
        <w:t xml:space="preserve"> The trial court filed a written ruling reasoning that defendant is not entitled to resentencing because his </w:t>
      </w:r>
      <w:r w:rsidR="002C5FCD">
        <w:rPr>
          <w:rFonts w:eastAsia="Times New Roman" w:cs="Times New Roman"/>
          <w:szCs w:val="20"/>
        </w:rPr>
        <w:t xml:space="preserve">section 667.5(b) </w:t>
      </w:r>
      <w:r w:rsidRPr="00AB3F33">
        <w:rPr>
          <w:rFonts w:eastAsia="Times New Roman" w:cs="Times New Roman"/>
          <w:szCs w:val="20"/>
        </w:rPr>
        <w:t>priors were imposed and stayed instead of imposed and executed.</w:t>
      </w:r>
    </w:p>
    <w:p w14:paraId="458E5541" w14:textId="1162F591" w:rsidR="00AB3F33" w:rsidRPr="00AB3F33" w:rsidRDefault="00CB33D8" w:rsidP="00890769">
      <w:pPr>
        <w:ind w:firstLine="720"/>
        <w:rPr>
          <w:rFonts w:eastAsia="Times New Roman" w:cs="Times New Roman"/>
          <w:szCs w:val="20"/>
        </w:rPr>
      </w:pPr>
      <w:r w:rsidRPr="00AB3F33">
        <w:rPr>
          <w:rFonts w:eastAsia="Times New Roman" w:cs="Times New Roman"/>
          <w:szCs w:val="20"/>
        </w:rPr>
        <w:t>Defendant filed a timely notice of appeal on October 26, 2022.</w:t>
      </w:r>
    </w:p>
    <w:bookmarkEnd w:id="0"/>
    <w:p w14:paraId="3F027983" w14:textId="77777777" w:rsidR="00AB3F33" w:rsidRPr="00AB3F33" w:rsidRDefault="00CB33D8" w:rsidP="00AB3F33">
      <w:pPr>
        <w:jc w:val="center"/>
        <w:rPr>
          <w:rFonts w:eastAsia="Times New Roman" w:cs="Times New Roman"/>
          <w:szCs w:val="20"/>
          <w:u w:val="single"/>
        </w:rPr>
      </w:pPr>
      <w:r w:rsidRPr="00AB3F33">
        <w:rPr>
          <w:rFonts w:eastAsia="Times New Roman" w:cs="Times New Roman"/>
          <w:szCs w:val="20"/>
          <w:u w:val="single"/>
        </w:rPr>
        <w:t>DISCUSSION</w:t>
      </w:r>
    </w:p>
    <w:p w14:paraId="5AA5E6D0" w14:textId="77777777" w:rsidR="00AB3F33" w:rsidRPr="00AB3F33" w:rsidRDefault="00CB33D8" w:rsidP="00AB3F33">
      <w:pPr>
        <w:numPr>
          <w:ilvl w:val="0"/>
          <w:numId w:val="1"/>
        </w:numPr>
        <w:ind w:left="0" w:firstLine="0"/>
        <w:contextualSpacing/>
        <w:rPr>
          <w:rFonts w:eastAsia="Times New Roman" w:cs="Times New Roman"/>
          <w:i/>
          <w:iCs/>
          <w:szCs w:val="20"/>
        </w:rPr>
      </w:pPr>
      <w:r w:rsidRPr="00AB3F33">
        <w:rPr>
          <w:rFonts w:eastAsia="Times New Roman" w:cs="Times New Roman"/>
          <w:i/>
          <w:iCs/>
          <w:szCs w:val="20"/>
        </w:rPr>
        <w:t>Section 1172.75 Statutory Analysis</w:t>
      </w:r>
    </w:p>
    <w:p w14:paraId="47711F5A" w14:textId="314596CA" w:rsidR="00AB3F33" w:rsidRPr="00AB3F33" w:rsidRDefault="00CB33D8" w:rsidP="00890769">
      <w:pPr>
        <w:ind w:firstLine="720"/>
        <w:rPr>
          <w:rFonts w:eastAsia="Times New Roman" w:cs="Times New Roman"/>
          <w:szCs w:val="20"/>
        </w:rPr>
      </w:pPr>
      <w:r w:rsidRPr="00AB3F33">
        <w:rPr>
          <w:rFonts w:eastAsia="Times New Roman" w:cs="Times New Roman"/>
          <w:szCs w:val="20"/>
        </w:rPr>
        <w:t xml:space="preserve">Senate Bill No. 483 </w:t>
      </w:r>
      <w:r w:rsidR="00912079">
        <w:rPr>
          <w:rFonts w:eastAsia="Times New Roman" w:cs="Times New Roman"/>
          <w:szCs w:val="20"/>
        </w:rPr>
        <w:t xml:space="preserve">(Senate Bill 483) </w:t>
      </w:r>
      <w:r w:rsidR="008B0000">
        <w:rPr>
          <w:rFonts w:eastAsia="Times New Roman" w:cs="Times New Roman"/>
          <w:szCs w:val="20"/>
        </w:rPr>
        <w:t xml:space="preserve">(2021-2022 Reg. Sess.) </w:t>
      </w:r>
      <w:r w:rsidRPr="00AB3F33">
        <w:rPr>
          <w:rFonts w:eastAsia="Times New Roman" w:cs="Times New Roman"/>
          <w:szCs w:val="20"/>
        </w:rPr>
        <w:t>added section</w:t>
      </w:r>
      <w:r w:rsidR="008B0000">
        <w:rPr>
          <w:rFonts w:eastAsia="Times New Roman" w:cs="Times New Roman"/>
          <w:szCs w:val="20"/>
        </w:rPr>
        <w:t> </w:t>
      </w:r>
      <w:r w:rsidRPr="00AB3F33">
        <w:rPr>
          <w:rFonts w:eastAsia="Times New Roman" w:cs="Times New Roman"/>
          <w:szCs w:val="20"/>
        </w:rPr>
        <w:t>1171.1</w:t>
      </w:r>
      <w:r>
        <w:rPr>
          <w:rStyle w:val="FootnoteReference"/>
          <w:rFonts w:eastAsia="Times New Roman" w:cs="Times New Roman"/>
          <w:szCs w:val="20"/>
        </w:rPr>
        <w:footnoteReference w:id="5"/>
      </w:r>
      <w:r w:rsidRPr="00AB3F33">
        <w:rPr>
          <w:rFonts w:eastAsia="Times New Roman" w:cs="Times New Roman"/>
          <w:szCs w:val="20"/>
        </w:rPr>
        <w:t xml:space="preserve"> to the Penal Code (Stats. 2021, </w:t>
      </w:r>
      <w:proofErr w:type="spellStart"/>
      <w:r w:rsidRPr="00AB3F33">
        <w:rPr>
          <w:rFonts w:eastAsia="Times New Roman" w:cs="Times New Roman"/>
          <w:szCs w:val="20"/>
        </w:rPr>
        <w:t>ch.</w:t>
      </w:r>
      <w:proofErr w:type="spellEnd"/>
      <w:r w:rsidR="00890769">
        <w:rPr>
          <w:rFonts w:eastAsia="Times New Roman" w:cs="Times New Roman"/>
          <w:szCs w:val="20"/>
        </w:rPr>
        <w:t> </w:t>
      </w:r>
      <w:r w:rsidRPr="00AB3F33">
        <w:rPr>
          <w:rFonts w:eastAsia="Times New Roman" w:cs="Times New Roman"/>
          <w:szCs w:val="20"/>
        </w:rPr>
        <w:t>728)</w:t>
      </w:r>
      <w:r w:rsidR="00890769">
        <w:rPr>
          <w:rFonts w:eastAsia="Times New Roman" w:cs="Times New Roman"/>
          <w:szCs w:val="20"/>
        </w:rPr>
        <w:t xml:space="preserve">. </w:t>
      </w:r>
      <w:r w:rsidRPr="00AB3F33">
        <w:rPr>
          <w:rFonts w:eastAsia="Times New Roman" w:cs="Times New Roman"/>
          <w:szCs w:val="20"/>
        </w:rPr>
        <w:t xml:space="preserve"> Section 1172.75, subdivision</w:t>
      </w:r>
      <w:r w:rsidR="008B0000">
        <w:rPr>
          <w:rFonts w:eastAsia="Times New Roman" w:cs="Times New Roman"/>
          <w:szCs w:val="20"/>
        </w:rPr>
        <w:t> </w:t>
      </w:r>
      <w:r w:rsidRPr="00AB3F33">
        <w:rPr>
          <w:rFonts w:eastAsia="Times New Roman" w:cs="Times New Roman"/>
          <w:szCs w:val="20"/>
        </w:rPr>
        <w:t>(a)</w:t>
      </w:r>
      <w:r w:rsidR="00890769">
        <w:rPr>
          <w:rFonts w:eastAsia="Times New Roman" w:cs="Times New Roman"/>
          <w:szCs w:val="20"/>
        </w:rPr>
        <w:t>,</w:t>
      </w:r>
      <w:r w:rsidRPr="00AB3F33">
        <w:rPr>
          <w:rFonts w:eastAsia="Times New Roman" w:cs="Times New Roman"/>
          <w:szCs w:val="20"/>
        </w:rPr>
        <w:t xml:space="preserve"> states that “[a]</w:t>
      </w:r>
      <w:proofErr w:type="spellStart"/>
      <w:r w:rsidRPr="00AB3F33">
        <w:rPr>
          <w:rFonts w:eastAsia="Times New Roman" w:cs="Times New Roman"/>
          <w:szCs w:val="20"/>
        </w:rPr>
        <w:t>ny</w:t>
      </w:r>
      <w:proofErr w:type="spellEnd"/>
      <w:r w:rsidRPr="00AB3F33">
        <w:rPr>
          <w:rFonts w:eastAsia="Times New Roman" w:cs="Times New Roman"/>
          <w:szCs w:val="20"/>
        </w:rPr>
        <w:t xml:space="preserve"> sentence enhancement that was imposed prior to January 1, 2020, pursuant to subdivision (b) of Section 667.5, except for any enhancement imposed for a prior conviction for a sexually violent offense</w:t>
      </w:r>
      <w:r w:rsidR="00890769">
        <w:rPr>
          <w:rFonts w:eastAsia="Times New Roman" w:cs="Times New Roman"/>
          <w:szCs w:val="20"/>
        </w:rPr>
        <w:t xml:space="preserve"> . . . </w:t>
      </w:r>
      <w:r w:rsidRPr="00AB3F33">
        <w:rPr>
          <w:rFonts w:eastAsia="Times New Roman" w:cs="Times New Roman"/>
          <w:szCs w:val="20"/>
        </w:rPr>
        <w:t xml:space="preserve">is legally invalid.” </w:t>
      </w:r>
      <w:r w:rsidR="00890769">
        <w:rPr>
          <w:rFonts w:eastAsia="Times New Roman" w:cs="Times New Roman"/>
          <w:szCs w:val="20"/>
        </w:rPr>
        <w:t xml:space="preserve"> </w:t>
      </w:r>
      <w:r w:rsidRPr="00AB3F33">
        <w:rPr>
          <w:rFonts w:eastAsia="Times New Roman" w:cs="Times New Roman"/>
          <w:szCs w:val="20"/>
        </w:rPr>
        <w:t xml:space="preserve">(§ 1172.75, subd. (a).) </w:t>
      </w:r>
      <w:r w:rsidR="00890769">
        <w:rPr>
          <w:rFonts w:eastAsia="Times New Roman" w:cs="Times New Roman"/>
          <w:szCs w:val="20"/>
        </w:rPr>
        <w:t xml:space="preserve"> </w:t>
      </w:r>
      <w:r w:rsidRPr="00AB3F33">
        <w:rPr>
          <w:rFonts w:eastAsia="Times New Roman" w:cs="Times New Roman"/>
          <w:szCs w:val="20"/>
        </w:rPr>
        <w:t xml:space="preserve">Section 1172.75 instructs the </w:t>
      </w:r>
      <w:proofErr w:type="spellStart"/>
      <w:r w:rsidR="00890769">
        <w:rPr>
          <w:rFonts w:eastAsia="Times New Roman" w:cs="Times New Roman"/>
          <w:szCs w:val="20"/>
        </w:rPr>
        <w:t>CDCR</w:t>
      </w:r>
      <w:proofErr w:type="spellEnd"/>
      <w:r w:rsidRPr="00AB3F33">
        <w:rPr>
          <w:rFonts w:eastAsia="Times New Roman" w:cs="Times New Roman"/>
          <w:szCs w:val="20"/>
        </w:rPr>
        <w:t xml:space="preserve"> to identify those persons in their custody currently serving a term for a judgment that includes an enhancement under </w:t>
      </w:r>
      <w:r w:rsidR="002C5FCD">
        <w:rPr>
          <w:rFonts w:eastAsia="Times New Roman" w:cs="Times New Roman"/>
          <w:szCs w:val="20"/>
        </w:rPr>
        <w:t>section 667.5(b)</w:t>
      </w:r>
      <w:r w:rsidR="002C5FCD" w:rsidRPr="00AB3F33">
        <w:rPr>
          <w:rFonts w:eastAsia="Times New Roman" w:cs="Times New Roman"/>
          <w:szCs w:val="20"/>
        </w:rPr>
        <w:t xml:space="preserve"> </w:t>
      </w:r>
      <w:r w:rsidRPr="00AB3F33">
        <w:rPr>
          <w:rFonts w:eastAsia="Times New Roman" w:cs="Times New Roman"/>
          <w:szCs w:val="20"/>
        </w:rPr>
        <w:t xml:space="preserve">(excluding sexually violent offenses) and provide such information to the sentencing court that imposed the enhancement. </w:t>
      </w:r>
      <w:r w:rsidR="002C5FCD">
        <w:rPr>
          <w:rFonts w:eastAsia="Times New Roman" w:cs="Times New Roman"/>
          <w:szCs w:val="20"/>
        </w:rPr>
        <w:t xml:space="preserve"> </w:t>
      </w:r>
      <w:r w:rsidRPr="00AB3F33">
        <w:rPr>
          <w:rFonts w:eastAsia="Times New Roman" w:cs="Times New Roman"/>
          <w:szCs w:val="20"/>
        </w:rPr>
        <w:t>(§ 1172.75</w:t>
      </w:r>
      <w:r w:rsidR="00071E75">
        <w:rPr>
          <w:rFonts w:eastAsia="Times New Roman" w:cs="Times New Roman"/>
          <w:szCs w:val="20"/>
        </w:rPr>
        <w:t>,</w:t>
      </w:r>
      <w:r w:rsidRPr="00AB3F33">
        <w:rPr>
          <w:rFonts w:eastAsia="Times New Roman" w:cs="Times New Roman"/>
          <w:szCs w:val="20"/>
        </w:rPr>
        <w:t xml:space="preserve"> </w:t>
      </w:r>
      <w:r w:rsidRPr="00AB3F33">
        <w:rPr>
          <w:rFonts w:eastAsia="Times New Roman" w:cs="Times New Roman"/>
          <w:szCs w:val="20"/>
        </w:rPr>
        <w:lastRenderedPageBreak/>
        <w:t xml:space="preserve">subd. (b).) </w:t>
      </w:r>
      <w:r w:rsidR="002C5FCD">
        <w:rPr>
          <w:rFonts w:eastAsia="Times New Roman" w:cs="Times New Roman"/>
          <w:szCs w:val="20"/>
        </w:rPr>
        <w:t xml:space="preserve"> </w:t>
      </w:r>
      <w:r w:rsidRPr="00AB3F33">
        <w:rPr>
          <w:rFonts w:eastAsia="Times New Roman" w:cs="Times New Roman"/>
          <w:szCs w:val="20"/>
        </w:rPr>
        <w:t xml:space="preserve">Subsequently, the sentencing court “shall review the judgment and verify that the current judgment includes a sentencing enhancement described in subdivision (a).” </w:t>
      </w:r>
      <w:r w:rsidR="002C5FCD">
        <w:rPr>
          <w:rFonts w:eastAsia="Times New Roman" w:cs="Times New Roman"/>
          <w:szCs w:val="20"/>
        </w:rPr>
        <w:t xml:space="preserve"> </w:t>
      </w:r>
      <w:r w:rsidRPr="00AB3F33">
        <w:rPr>
          <w:rFonts w:eastAsia="Times New Roman" w:cs="Times New Roman"/>
          <w:szCs w:val="20"/>
        </w:rPr>
        <w:t>(§</w:t>
      </w:r>
      <w:r w:rsidR="002C5FCD">
        <w:rPr>
          <w:rFonts w:eastAsia="Times New Roman" w:cs="Times New Roman"/>
          <w:szCs w:val="20"/>
        </w:rPr>
        <w:t xml:space="preserve"> </w:t>
      </w:r>
      <w:r w:rsidRPr="00AB3F33">
        <w:rPr>
          <w:rFonts w:eastAsia="Times New Roman" w:cs="Times New Roman"/>
          <w:szCs w:val="20"/>
        </w:rPr>
        <w:t>1172.75</w:t>
      </w:r>
      <w:r w:rsidR="00071E75">
        <w:rPr>
          <w:rFonts w:eastAsia="Times New Roman" w:cs="Times New Roman"/>
          <w:szCs w:val="20"/>
        </w:rPr>
        <w:t>,</w:t>
      </w:r>
      <w:r w:rsidRPr="00AB3F33">
        <w:rPr>
          <w:rFonts w:eastAsia="Times New Roman" w:cs="Times New Roman"/>
          <w:szCs w:val="20"/>
        </w:rPr>
        <w:t xml:space="preserve"> subd. (c).)  “If the court determines that the current judgment includes an enhancement described in subdivision (a), the court shall recall the sentence and resentence the defendant.” </w:t>
      </w:r>
      <w:r w:rsidR="009C095C">
        <w:rPr>
          <w:rFonts w:eastAsia="Times New Roman" w:cs="Times New Roman"/>
          <w:szCs w:val="20"/>
        </w:rPr>
        <w:t xml:space="preserve"> </w:t>
      </w:r>
      <w:r w:rsidRPr="00AB3F33">
        <w:rPr>
          <w:rFonts w:eastAsia="Times New Roman" w:cs="Times New Roman"/>
          <w:szCs w:val="20"/>
        </w:rPr>
        <w:t>(§</w:t>
      </w:r>
      <w:r w:rsidR="002C5FCD">
        <w:rPr>
          <w:rFonts w:eastAsia="Times New Roman" w:cs="Times New Roman"/>
          <w:szCs w:val="20"/>
        </w:rPr>
        <w:t xml:space="preserve"> </w:t>
      </w:r>
      <w:r w:rsidRPr="00AB3F33">
        <w:rPr>
          <w:rFonts w:eastAsia="Times New Roman" w:cs="Times New Roman"/>
          <w:szCs w:val="20"/>
        </w:rPr>
        <w:t>1172.75</w:t>
      </w:r>
      <w:r w:rsidR="00071E75">
        <w:rPr>
          <w:rFonts w:eastAsia="Times New Roman" w:cs="Times New Roman"/>
          <w:szCs w:val="20"/>
        </w:rPr>
        <w:t>,</w:t>
      </w:r>
      <w:r w:rsidRPr="00AB3F33">
        <w:rPr>
          <w:rFonts w:eastAsia="Times New Roman" w:cs="Times New Roman"/>
          <w:szCs w:val="20"/>
        </w:rPr>
        <w:t xml:space="preserve"> subd. (c).)</w:t>
      </w:r>
    </w:p>
    <w:p w14:paraId="1A08447C" w14:textId="49438B43" w:rsidR="00AB3F33" w:rsidRPr="00AB3F33" w:rsidRDefault="00CB33D8" w:rsidP="002C5FCD">
      <w:pPr>
        <w:ind w:firstLine="720"/>
        <w:rPr>
          <w:rFonts w:eastAsia="Times New Roman" w:cs="Times New Roman"/>
          <w:szCs w:val="20"/>
        </w:rPr>
      </w:pPr>
      <w:bookmarkStart w:id="2" w:name="_Hlk143163822"/>
      <w:r w:rsidRPr="00AB3F33">
        <w:rPr>
          <w:rFonts w:eastAsia="Times New Roman" w:cs="Times New Roman"/>
          <w:szCs w:val="20"/>
        </w:rPr>
        <w:t xml:space="preserve">Section 1172.75 sets out specific instructions for resentencing. </w:t>
      </w:r>
      <w:r w:rsidR="002C5FCD">
        <w:rPr>
          <w:rFonts w:eastAsia="Times New Roman" w:cs="Times New Roman"/>
          <w:szCs w:val="20"/>
        </w:rPr>
        <w:t xml:space="preserve"> </w:t>
      </w:r>
      <w:r w:rsidRPr="00AB3F33">
        <w:rPr>
          <w:rFonts w:eastAsia="Times New Roman" w:cs="Times New Roman"/>
          <w:szCs w:val="20"/>
        </w:rPr>
        <w:t>(§</w:t>
      </w:r>
      <w:r w:rsidR="002C5FCD">
        <w:rPr>
          <w:rFonts w:eastAsia="Times New Roman" w:cs="Times New Roman"/>
          <w:szCs w:val="20"/>
        </w:rPr>
        <w:t xml:space="preserve"> </w:t>
      </w:r>
      <w:r w:rsidRPr="00AB3F33">
        <w:rPr>
          <w:rFonts w:eastAsia="Times New Roman" w:cs="Times New Roman"/>
          <w:szCs w:val="20"/>
        </w:rPr>
        <w:t>1172.5</w:t>
      </w:r>
      <w:r w:rsidR="00071E75">
        <w:rPr>
          <w:rFonts w:eastAsia="Times New Roman" w:cs="Times New Roman"/>
          <w:szCs w:val="20"/>
        </w:rPr>
        <w:t>,</w:t>
      </w:r>
      <w:r w:rsidRPr="00AB3F33">
        <w:rPr>
          <w:rFonts w:eastAsia="Times New Roman" w:cs="Times New Roman"/>
          <w:szCs w:val="20"/>
        </w:rPr>
        <w:t xml:space="preserve"> subd.</w:t>
      </w:r>
      <w:r w:rsidR="002C5FCD">
        <w:rPr>
          <w:rFonts w:eastAsia="Times New Roman" w:cs="Times New Roman"/>
          <w:szCs w:val="20"/>
        </w:rPr>
        <w:t> </w:t>
      </w:r>
      <w:r w:rsidRPr="00AB3F33">
        <w:rPr>
          <w:rFonts w:eastAsia="Times New Roman" w:cs="Times New Roman"/>
          <w:szCs w:val="20"/>
        </w:rPr>
        <w:t>(d)(1)-(5).)  Section 1172.75, subdivision (d)(1)</w:t>
      </w:r>
      <w:r w:rsidR="002C5FCD">
        <w:rPr>
          <w:rFonts w:eastAsia="Times New Roman" w:cs="Times New Roman"/>
          <w:szCs w:val="20"/>
        </w:rPr>
        <w:t>,</w:t>
      </w:r>
      <w:r w:rsidRPr="00AB3F33">
        <w:rPr>
          <w:rFonts w:eastAsia="Times New Roman" w:cs="Times New Roman"/>
          <w:szCs w:val="20"/>
        </w:rPr>
        <w:t xml:space="preserve"> provides in part, “Resentencing pursuant to this section shall result in a lesser sentence than the one originally imposed as a result of the repealed enhancement, unless the court finds by clear and convincing evidence that imposing a lesser sentence would endanger public safety</w:t>
      </w:r>
      <w:proofErr w:type="gramStart"/>
      <w:r w:rsidR="002C5FCD">
        <w:rPr>
          <w:rFonts w:eastAsia="Times New Roman" w:cs="Times New Roman"/>
          <w:szCs w:val="20"/>
        </w:rPr>
        <w:t>. . . .</w:t>
      </w:r>
      <w:proofErr w:type="gramEnd"/>
      <w:r w:rsidRPr="00AB3F33">
        <w:rPr>
          <w:rFonts w:eastAsia="Times New Roman" w:cs="Times New Roman"/>
          <w:szCs w:val="20"/>
        </w:rPr>
        <w:t xml:space="preserve">” </w:t>
      </w:r>
      <w:r w:rsidR="002C5FCD">
        <w:rPr>
          <w:rFonts w:eastAsia="Times New Roman" w:cs="Times New Roman"/>
          <w:szCs w:val="20"/>
        </w:rPr>
        <w:t xml:space="preserve"> </w:t>
      </w:r>
      <w:r w:rsidRPr="00AB3F33">
        <w:rPr>
          <w:rFonts w:eastAsia="Times New Roman" w:cs="Times New Roman"/>
          <w:szCs w:val="20"/>
        </w:rPr>
        <w:t>(§</w:t>
      </w:r>
      <w:r w:rsidR="002C5FCD">
        <w:rPr>
          <w:rFonts w:eastAsia="Times New Roman" w:cs="Times New Roman"/>
          <w:szCs w:val="20"/>
        </w:rPr>
        <w:t xml:space="preserve"> </w:t>
      </w:r>
      <w:r w:rsidRPr="00AB3F33">
        <w:rPr>
          <w:rFonts w:eastAsia="Times New Roman" w:cs="Times New Roman"/>
          <w:szCs w:val="20"/>
        </w:rPr>
        <w:t>1172.75</w:t>
      </w:r>
      <w:r w:rsidR="002C5FCD">
        <w:rPr>
          <w:rFonts w:eastAsia="Times New Roman" w:cs="Times New Roman"/>
          <w:szCs w:val="20"/>
        </w:rPr>
        <w:t>,</w:t>
      </w:r>
      <w:r w:rsidRPr="00AB3F33">
        <w:rPr>
          <w:rFonts w:eastAsia="Times New Roman" w:cs="Times New Roman"/>
          <w:szCs w:val="20"/>
        </w:rPr>
        <w:t xml:space="preserve"> subd. (d)(1).)</w:t>
      </w:r>
    </w:p>
    <w:bookmarkEnd w:id="2"/>
    <w:p w14:paraId="64FE62E3" w14:textId="3160EFF1" w:rsidR="00AB3F33" w:rsidRPr="00AB3F33" w:rsidRDefault="00CB33D8" w:rsidP="00AB3F33">
      <w:pPr>
        <w:rPr>
          <w:rFonts w:eastAsia="Times New Roman" w:cs="Times New Roman"/>
          <w:szCs w:val="20"/>
        </w:rPr>
      </w:pPr>
      <w:r w:rsidRPr="00AB3F33">
        <w:rPr>
          <w:rFonts w:eastAsia="Times New Roman" w:cs="Times New Roman"/>
          <w:szCs w:val="20"/>
        </w:rPr>
        <w:tab/>
      </w:r>
      <w:proofErr w:type="gramStart"/>
      <w:r w:rsidRPr="00AB3F33">
        <w:rPr>
          <w:rFonts w:eastAsia="Times New Roman" w:cs="Times New Roman"/>
          <w:szCs w:val="20"/>
        </w:rPr>
        <w:t>“</w:t>
      </w:r>
      <w:r w:rsidR="00417F3E">
        <w:rPr>
          <w:rFonts w:eastAsia="Times New Roman" w:cs="Times New Roman"/>
          <w:szCs w:val="20"/>
        </w:rPr>
        <w:t xml:space="preserve"> ‘</w:t>
      </w:r>
      <w:proofErr w:type="gramEnd"/>
      <w:r w:rsidR="00417F3E">
        <w:rPr>
          <w:rFonts w:eastAsia="Times New Roman" w:cs="Times New Roman"/>
          <w:szCs w:val="20"/>
        </w:rPr>
        <w:t xml:space="preserve"> “ ‘ “</w:t>
      </w:r>
      <w:r w:rsidRPr="00AB3F33">
        <w:rPr>
          <w:rFonts w:eastAsia="Times New Roman" w:cs="Times New Roman"/>
          <w:szCs w:val="20"/>
        </w:rPr>
        <w:t xml:space="preserve">As in any case involving statutory interpretation, our fundamental task here is to determine the Legislature’s intent so as to effectuate the law’s purpose. </w:t>
      </w:r>
      <w:r w:rsidR="002C5FCD">
        <w:rPr>
          <w:rFonts w:eastAsia="Times New Roman" w:cs="Times New Roman"/>
          <w:szCs w:val="20"/>
        </w:rPr>
        <w:t xml:space="preserve"> </w:t>
      </w:r>
      <w:r w:rsidRPr="00AB3F33">
        <w:rPr>
          <w:rFonts w:eastAsia="Times New Roman" w:cs="Times New Roman"/>
          <w:szCs w:val="20"/>
        </w:rPr>
        <w:t xml:space="preserve">[Citation.] </w:t>
      </w:r>
      <w:r w:rsidR="002C5FCD">
        <w:rPr>
          <w:rFonts w:eastAsia="Times New Roman" w:cs="Times New Roman"/>
          <w:szCs w:val="20"/>
        </w:rPr>
        <w:t xml:space="preserve"> </w:t>
      </w:r>
      <w:r w:rsidRPr="00AB3F33">
        <w:rPr>
          <w:rFonts w:eastAsia="Times New Roman" w:cs="Times New Roman"/>
          <w:szCs w:val="20"/>
        </w:rPr>
        <w:t>We</w:t>
      </w:r>
      <w:r w:rsidR="002C5FCD">
        <w:rPr>
          <w:rFonts w:eastAsia="Times New Roman" w:cs="Times New Roman"/>
          <w:szCs w:val="20"/>
        </w:rPr>
        <w:t> </w:t>
      </w:r>
      <w:r w:rsidRPr="00AB3F33">
        <w:rPr>
          <w:rFonts w:eastAsia="Times New Roman" w:cs="Times New Roman"/>
          <w:szCs w:val="20"/>
        </w:rPr>
        <w:t>begin by examining the statute’s words, giving them a plain and common sense meaning.</w:t>
      </w:r>
      <w:proofErr w:type="gramStart"/>
      <w:r w:rsidR="00417F3E">
        <w:rPr>
          <w:rFonts w:eastAsia="Times New Roman" w:cs="Times New Roman"/>
          <w:szCs w:val="20"/>
        </w:rPr>
        <w:t>” ’</w:t>
      </w:r>
      <w:proofErr w:type="gramEnd"/>
      <w:r w:rsidR="00417F3E">
        <w:rPr>
          <w:rFonts w:eastAsia="Times New Roman" w:cs="Times New Roman"/>
          <w:szCs w:val="20"/>
        </w:rPr>
        <w:t xml:space="preserve"> ” ’</w:t>
      </w:r>
      <w:r w:rsidR="002C5FCD">
        <w:rPr>
          <w:rFonts w:eastAsia="Times New Roman" w:cs="Times New Roman"/>
          <w:szCs w:val="20"/>
        </w:rPr>
        <w:t xml:space="preserve"> </w:t>
      </w:r>
      <w:r w:rsidRPr="00AB3F33">
        <w:rPr>
          <w:rFonts w:eastAsia="Times New Roman" w:cs="Times New Roman"/>
          <w:szCs w:val="20"/>
        </w:rPr>
        <w:t xml:space="preserve"> [Citation.] </w:t>
      </w:r>
      <w:r w:rsidR="002C5FCD">
        <w:rPr>
          <w:rFonts w:eastAsia="Times New Roman" w:cs="Times New Roman"/>
          <w:szCs w:val="20"/>
        </w:rPr>
        <w:t xml:space="preserve"> </w:t>
      </w:r>
      <w:proofErr w:type="gramStart"/>
      <w:r w:rsidR="00417F3E">
        <w:rPr>
          <w:rFonts w:eastAsia="Times New Roman" w:cs="Times New Roman"/>
          <w:szCs w:val="20"/>
        </w:rPr>
        <w:t>‘ “</w:t>
      </w:r>
      <w:proofErr w:type="gramEnd"/>
      <w:r w:rsidRPr="00AB3F33">
        <w:rPr>
          <w:rFonts w:eastAsia="Times New Roman" w:cs="Times New Roman"/>
          <w:szCs w:val="20"/>
        </w:rPr>
        <w:t xml:space="preserve">[W]e look to </w:t>
      </w:r>
      <w:r w:rsidR="00071E75">
        <w:rPr>
          <w:rFonts w:eastAsia="Times New Roman" w:cs="Times New Roman"/>
          <w:szCs w:val="20"/>
        </w:rPr>
        <w:t>‘</w:t>
      </w:r>
      <w:r w:rsidRPr="00AB3F33">
        <w:rPr>
          <w:rFonts w:eastAsia="Times New Roman" w:cs="Times New Roman"/>
          <w:szCs w:val="20"/>
        </w:rPr>
        <w:t>the entire substance of the statute</w:t>
      </w:r>
      <w:r w:rsidR="002C5FCD">
        <w:rPr>
          <w:rFonts w:eastAsia="Times New Roman" w:cs="Times New Roman"/>
          <w:szCs w:val="20"/>
        </w:rPr>
        <w:t xml:space="preserve"> . . . </w:t>
      </w:r>
      <w:r w:rsidRPr="00AB3F33">
        <w:rPr>
          <w:rFonts w:eastAsia="Times New Roman" w:cs="Times New Roman"/>
          <w:szCs w:val="20"/>
        </w:rPr>
        <w:t>in order to determine the scope and purpose of the provision</w:t>
      </w:r>
      <w:r w:rsidR="002C5FCD">
        <w:rPr>
          <w:rFonts w:eastAsia="Times New Roman" w:cs="Times New Roman"/>
          <w:szCs w:val="20"/>
        </w:rPr>
        <w:t xml:space="preserve"> . . . . </w:t>
      </w:r>
      <w:r w:rsidRPr="00AB3F33">
        <w:rPr>
          <w:rFonts w:eastAsia="Times New Roman" w:cs="Times New Roman"/>
          <w:szCs w:val="20"/>
        </w:rPr>
        <w:t xml:space="preserve"> [Citations.]</w:t>
      </w:r>
      <w:r w:rsidR="00071E75">
        <w:rPr>
          <w:rFonts w:eastAsia="Times New Roman" w:cs="Times New Roman"/>
          <w:szCs w:val="20"/>
        </w:rPr>
        <w:t>’  [Citation.]</w:t>
      </w:r>
      <w:r w:rsidRPr="00AB3F33">
        <w:rPr>
          <w:rFonts w:eastAsia="Times New Roman" w:cs="Times New Roman"/>
          <w:szCs w:val="20"/>
        </w:rPr>
        <w:t xml:space="preserve"> </w:t>
      </w:r>
      <w:r w:rsidR="002C5FCD">
        <w:rPr>
          <w:rFonts w:eastAsia="Times New Roman" w:cs="Times New Roman"/>
          <w:szCs w:val="20"/>
        </w:rPr>
        <w:t xml:space="preserve"> </w:t>
      </w:r>
      <w:r w:rsidRPr="00AB3F33">
        <w:rPr>
          <w:rFonts w:eastAsia="Times New Roman" w:cs="Times New Roman"/>
          <w:szCs w:val="20"/>
        </w:rPr>
        <w:t xml:space="preserve">That is, we construe the words in question </w:t>
      </w:r>
      <w:proofErr w:type="gramStart"/>
      <w:r w:rsidR="00417F3E">
        <w:rPr>
          <w:rFonts w:eastAsia="Times New Roman" w:cs="Times New Roman"/>
          <w:szCs w:val="20"/>
        </w:rPr>
        <w:t>‘ “</w:t>
      </w:r>
      <w:proofErr w:type="gramEnd"/>
      <w:r w:rsidRPr="00AB3F33">
        <w:rPr>
          <w:rFonts w:eastAsia="Times New Roman" w:cs="Times New Roman"/>
          <w:szCs w:val="20"/>
        </w:rPr>
        <w:t>in context, keeping in mind the nature and obvious purpose of the</w:t>
      </w:r>
      <w:r w:rsidR="002C5FCD">
        <w:rPr>
          <w:rFonts w:eastAsia="Times New Roman" w:cs="Times New Roman"/>
          <w:szCs w:val="20"/>
        </w:rPr>
        <w:t> </w:t>
      </w:r>
      <w:r w:rsidRPr="00AB3F33">
        <w:rPr>
          <w:rFonts w:eastAsia="Times New Roman" w:cs="Times New Roman"/>
          <w:szCs w:val="20"/>
        </w:rPr>
        <w:t>statute</w:t>
      </w:r>
      <w:r w:rsidR="002C5FCD">
        <w:rPr>
          <w:rFonts w:eastAsia="Times New Roman" w:cs="Times New Roman"/>
          <w:szCs w:val="20"/>
        </w:rPr>
        <w:t xml:space="preserve"> . . . .</w:t>
      </w:r>
      <w:r w:rsidR="00417F3E">
        <w:rPr>
          <w:rFonts w:eastAsia="Times New Roman" w:cs="Times New Roman"/>
          <w:szCs w:val="20"/>
        </w:rPr>
        <w:t>”</w:t>
      </w:r>
      <w:r w:rsidR="002C5FCD">
        <w:rPr>
          <w:rFonts w:eastAsia="Times New Roman" w:cs="Times New Roman"/>
          <w:szCs w:val="20"/>
        </w:rPr>
        <w:t xml:space="preserve"> </w:t>
      </w:r>
      <w:r w:rsidRPr="00AB3F33">
        <w:rPr>
          <w:rFonts w:eastAsia="Times New Roman" w:cs="Times New Roman"/>
          <w:szCs w:val="20"/>
        </w:rPr>
        <w:t xml:space="preserve"> [Citations.]</w:t>
      </w:r>
      <w:r w:rsidR="00417F3E">
        <w:rPr>
          <w:rFonts w:eastAsia="Times New Roman" w:cs="Times New Roman"/>
          <w:szCs w:val="20"/>
        </w:rPr>
        <w:t>’  [Citation.]</w:t>
      </w:r>
      <w:r w:rsidRPr="00AB3F33">
        <w:rPr>
          <w:rFonts w:eastAsia="Times New Roman" w:cs="Times New Roman"/>
          <w:szCs w:val="20"/>
        </w:rPr>
        <w:t xml:space="preserve"> </w:t>
      </w:r>
      <w:r w:rsidR="002C5FCD">
        <w:rPr>
          <w:rFonts w:eastAsia="Times New Roman" w:cs="Times New Roman"/>
          <w:szCs w:val="20"/>
        </w:rPr>
        <w:t xml:space="preserve"> </w:t>
      </w:r>
      <w:r w:rsidRPr="00AB3F33">
        <w:rPr>
          <w:rFonts w:eastAsia="Times New Roman" w:cs="Times New Roman"/>
          <w:szCs w:val="20"/>
        </w:rPr>
        <w:t xml:space="preserve">We must harmonize </w:t>
      </w:r>
      <w:r w:rsidR="00417F3E">
        <w:rPr>
          <w:rFonts w:eastAsia="Times New Roman" w:cs="Times New Roman"/>
          <w:szCs w:val="20"/>
        </w:rPr>
        <w:t>‘</w:t>
      </w:r>
      <w:r w:rsidRPr="00AB3F33">
        <w:rPr>
          <w:rFonts w:eastAsia="Times New Roman" w:cs="Times New Roman"/>
          <w:szCs w:val="20"/>
        </w:rPr>
        <w:t>the various parts of a statutory enactment</w:t>
      </w:r>
      <w:r w:rsidR="002C5FCD">
        <w:rPr>
          <w:rFonts w:eastAsia="Times New Roman" w:cs="Times New Roman"/>
          <w:szCs w:val="20"/>
        </w:rPr>
        <w:t xml:space="preserve"> . . . </w:t>
      </w:r>
      <w:r w:rsidRPr="00AB3F33">
        <w:rPr>
          <w:rFonts w:eastAsia="Times New Roman" w:cs="Times New Roman"/>
          <w:szCs w:val="20"/>
        </w:rPr>
        <w:t>by considering the particular clause or section in the context of the statutory framework as a whole.</w:t>
      </w:r>
      <w:proofErr w:type="gramStart"/>
      <w:r w:rsidR="00417F3E">
        <w:rPr>
          <w:rFonts w:eastAsia="Times New Roman" w:cs="Times New Roman"/>
          <w:szCs w:val="20"/>
        </w:rPr>
        <w:t>’ ”</w:t>
      </w:r>
      <w:proofErr w:type="gramEnd"/>
      <w:r w:rsidR="00417F3E">
        <w:rPr>
          <w:rFonts w:eastAsia="Times New Roman" w:cs="Times New Roman"/>
          <w:szCs w:val="20"/>
        </w:rPr>
        <w:t xml:space="preserve"> ’</w:t>
      </w:r>
      <w:r w:rsidRPr="00AB3F33">
        <w:rPr>
          <w:rFonts w:eastAsia="Times New Roman" w:cs="Times New Roman"/>
          <w:szCs w:val="20"/>
        </w:rPr>
        <w:t xml:space="preserve"> </w:t>
      </w:r>
      <w:r w:rsidR="002C5FCD">
        <w:rPr>
          <w:rFonts w:eastAsia="Times New Roman" w:cs="Times New Roman"/>
          <w:szCs w:val="20"/>
        </w:rPr>
        <w:t xml:space="preserve"> </w:t>
      </w:r>
      <w:r w:rsidRPr="00AB3F33">
        <w:rPr>
          <w:rFonts w:eastAsia="Times New Roman" w:cs="Times New Roman"/>
          <w:szCs w:val="20"/>
        </w:rPr>
        <w:t>[Citation.]”</w:t>
      </w:r>
      <w:r w:rsidR="002C5FCD">
        <w:rPr>
          <w:rFonts w:eastAsia="Times New Roman" w:cs="Times New Roman"/>
          <w:szCs w:val="20"/>
        </w:rPr>
        <w:t xml:space="preserve"> </w:t>
      </w:r>
      <w:r w:rsidRPr="00AB3F33">
        <w:rPr>
          <w:rFonts w:eastAsia="Times New Roman" w:cs="Times New Roman"/>
          <w:szCs w:val="20"/>
        </w:rPr>
        <w:t xml:space="preserve"> (</w:t>
      </w:r>
      <w:r w:rsidRPr="00AB3F33">
        <w:rPr>
          <w:rFonts w:eastAsia="Times New Roman" w:cs="Times New Roman"/>
          <w:i/>
          <w:iCs/>
          <w:szCs w:val="20"/>
        </w:rPr>
        <w:t xml:space="preserve">People v. Lewis </w:t>
      </w:r>
      <w:r w:rsidRPr="00AB3F33">
        <w:rPr>
          <w:rFonts w:eastAsia="Times New Roman" w:cs="Times New Roman"/>
          <w:szCs w:val="20"/>
        </w:rPr>
        <w:t>(2021) 11 Cal.5th</w:t>
      </w:r>
      <w:r w:rsidRPr="00AB3F33">
        <w:rPr>
          <w:rFonts w:eastAsia="Times New Roman" w:cs="Times New Roman"/>
          <w:szCs w:val="20"/>
          <w:vertAlign w:val="superscript"/>
        </w:rPr>
        <w:t xml:space="preserve"> </w:t>
      </w:r>
      <w:r w:rsidRPr="00AB3F33">
        <w:rPr>
          <w:rFonts w:eastAsia="Times New Roman" w:cs="Times New Roman"/>
          <w:szCs w:val="20"/>
        </w:rPr>
        <w:t>952, 961.)</w:t>
      </w:r>
    </w:p>
    <w:p w14:paraId="2B66D4A2" w14:textId="05B5D1C1" w:rsidR="00AB3F33" w:rsidRPr="00AB3F33" w:rsidRDefault="00CB33D8" w:rsidP="00417F3E">
      <w:pPr>
        <w:ind w:firstLine="720"/>
        <w:contextualSpacing/>
        <w:rPr>
          <w:rFonts w:eastAsia="Times New Roman" w:cs="Times New Roman"/>
          <w:szCs w:val="20"/>
        </w:rPr>
      </w:pPr>
      <w:r w:rsidRPr="00AB3F33">
        <w:rPr>
          <w:rFonts w:eastAsia="Times New Roman" w:cs="Times New Roman"/>
          <w:szCs w:val="20"/>
        </w:rPr>
        <w:lastRenderedPageBreak/>
        <w:t xml:space="preserve">In </w:t>
      </w:r>
      <w:r w:rsidRPr="00AB3F33">
        <w:rPr>
          <w:rFonts w:eastAsia="Times New Roman" w:cs="Times New Roman"/>
          <w:i/>
          <w:iCs/>
          <w:szCs w:val="20"/>
        </w:rPr>
        <w:t>People v. Gonzalez</w:t>
      </w:r>
      <w:r w:rsidR="00417F3E">
        <w:rPr>
          <w:rFonts w:eastAsia="Times New Roman" w:cs="Times New Roman"/>
          <w:szCs w:val="20"/>
        </w:rPr>
        <w:t>,</w:t>
      </w:r>
      <w:r w:rsidRPr="00AB3F33">
        <w:rPr>
          <w:rFonts w:eastAsia="Times New Roman" w:cs="Times New Roman"/>
          <w:szCs w:val="20"/>
        </w:rPr>
        <w:t xml:space="preserve"> the California Supreme Court addressed the meaning of the word “impose” as it applied to </w:t>
      </w:r>
      <w:r w:rsidR="00417F3E">
        <w:rPr>
          <w:rFonts w:eastAsia="Times New Roman" w:cs="Times New Roman"/>
          <w:szCs w:val="20"/>
        </w:rPr>
        <w:t xml:space="preserve">section </w:t>
      </w:r>
      <w:r w:rsidRPr="00AB3F33">
        <w:rPr>
          <w:rFonts w:eastAsia="Times New Roman" w:cs="Times New Roman"/>
          <w:szCs w:val="20"/>
        </w:rPr>
        <w:t xml:space="preserve">12022.53. </w:t>
      </w:r>
      <w:r w:rsidR="00417F3E">
        <w:rPr>
          <w:rFonts w:eastAsia="Times New Roman" w:cs="Times New Roman"/>
          <w:szCs w:val="20"/>
        </w:rPr>
        <w:t xml:space="preserve"> </w:t>
      </w:r>
      <w:r w:rsidRPr="00AB3F33">
        <w:rPr>
          <w:rFonts w:eastAsia="Times New Roman" w:cs="Times New Roman"/>
          <w:szCs w:val="20"/>
        </w:rPr>
        <w:t>(</w:t>
      </w:r>
      <w:r w:rsidR="00417F3E" w:rsidRPr="00417F3E">
        <w:rPr>
          <w:rFonts w:eastAsia="Times New Roman" w:cs="Times New Roman"/>
          <w:i/>
          <w:iCs/>
          <w:szCs w:val="20"/>
        </w:rPr>
        <w:t>People v. Gonzalez</w:t>
      </w:r>
      <w:r w:rsidR="00417F3E">
        <w:rPr>
          <w:rFonts w:eastAsia="Times New Roman" w:cs="Times New Roman"/>
          <w:i/>
          <w:iCs/>
          <w:szCs w:val="20"/>
        </w:rPr>
        <w:t xml:space="preserve"> </w:t>
      </w:r>
      <w:r w:rsidR="00417F3E" w:rsidRPr="00AB3F33">
        <w:rPr>
          <w:rFonts w:eastAsia="Times New Roman" w:cs="Times New Roman"/>
          <w:szCs w:val="20"/>
        </w:rPr>
        <w:t>(2008) 43 Cal.4th 1118</w:t>
      </w:r>
      <w:r w:rsidR="00417F3E">
        <w:rPr>
          <w:rFonts w:eastAsia="Times New Roman" w:cs="Times New Roman"/>
          <w:szCs w:val="20"/>
        </w:rPr>
        <w:t xml:space="preserve"> (</w:t>
      </w:r>
      <w:r w:rsidR="00417F3E" w:rsidRPr="00417F3E">
        <w:rPr>
          <w:rFonts w:eastAsia="Times New Roman" w:cs="Times New Roman"/>
          <w:i/>
          <w:iCs/>
          <w:szCs w:val="20"/>
        </w:rPr>
        <w:t>Gonzalez</w:t>
      </w:r>
      <w:r w:rsidR="00417F3E">
        <w:rPr>
          <w:rFonts w:eastAsia="Times New Roman" w:cs="Times New Roman"/>
          <w:szCs w:val="20"/>
        </w:rPr>
        <w:t>).</w:t>
      </w:r>
      <w:r w:rsidRPr="00AB3F33">
        <w:rPr>
          <w:rFonts w:eastAsia="Times New Roman" w:cs="Times New Roman"/>
          <w:szCs w:val="20"/>
        </w:rPr>
        <w:t xml:space="preserve">) </w:t>
      </w:r>
      <w:r w:rsidR="00417F3E">
        <w:rPr>
          <w:rFonts w:eastAsia="Times New Roman" w:cs="Times New Roman"/>
          <w:szCs w:val="20"/>
        </w:rPr>
        <w:t xml:space="preserve"> </w:t>
      </w:r>
      <w:r w:rsidRPr="00AB3F33">
        <w:rPr>
          <w:rFonts w:eastAsia="Times New Roman" w:cs="Times New Roman"/>
          <w:szCs w:val="20"/>
        </w:rPr>
        <w:t xml:space="preserve">The court in </w:t>
      </w:r>
      <w:r w:rsidRPr="00AB3F33">
        <w:rPr>
          <w:rFonts w:eastAsia="Times New Roman" w:cs="Times New Roman"/>
          <w:i/>
          <w:iCs/>
          <w:szCs w:val="20"/>
        </w:rPr>
        <w:t xml:space="preserve">Gonzalez </w:t>
      </w:r>
      <w:r w:rsidRPr="00AB3F33">
        <w:rPr>
          <w:rFonts w:eastAsia="Times New Roman" w:cs="Times New Roman"/>
          <w:szCs w:val="20"/>
        </w:rPr>
        <w:t>analyzed whether the section 12022.5 enhancement must be stricken or if it could be imposed and stayed.</w:t>
      </w:r>
      <w:r w:rsidR="00417F3E">
        <w:rPr>
          <w:rFonts w:eastAsia="Times New Roman" w:cs="Times New Roman"/>
          <w:szCs w:val="20"/>
        </w:rPr>
        <w:t xml:space="preserve"> </w:t>
      </w:r>
      <w:r w:rsidRPr="00AB3F33">
        <w:rPr>
          <w:rFonts w:eastAsia="Times New Roman" w:cs="Times New Roman"/>
          <w:szCs w:val="20"/>
        </w:rPr>
        <w:t xml:space="preserve"> (</w:t>
      </w:r>
      <w:r w:rsidRPr="00AB3F33">
        <w:rPr>
          <w:rFonts w:eastAsia="Times New Roman" w:cs="Times New Roman"/>
          <w:i/>
          <w:iCs/>
          <w:szCs w:val="20"/>
        </w:rPr>
        <w:t xml:space="preserve">Id. </w:t>
      </w:r>
      <w:r w:rsidRPr="00AB3F33">
        <w:rPr>
          <w:rFonts w:eastAsia="Times New Roman" w:cs="Times New Roman"/>
          <w:szCs w:val="20"/>
        </w:rPr>
        <w:t>at p</w:t>
      </w:r>
      <w:r w:rsidR="00071E75">
        <w:rPr>
          <w:rFonts w:eastAsia="Times New Roman" w:cs="Times New Roman"/>
          <w:szCs w:val="20"/>
        </w:rPr>
        <w:t>p</w:t>
      </w:r>
      <w:r w:rsidRPr="00AB3F33">
        <w:rPr>
          <w:rFonts w:eastAsia="Times New Roman" w:cs="Times New Roman"/>
          <w:szCs w:val="20"/>
        </w:rPr>
        <w:t>. 1122</w:t>
      </w:r>
      <w:r w:rsidR="00071E75">
        <w:rPr>
          <w:rFonts w:eastAsia="Times New Roman" w:cs="Times New Roman"/>
          <w:szCs w:val="20"/>
        </w:rPr>
        <w:t>-1123</w:t>
      </w:r>
      <w:r w:rsidRPr="00AB3F33">
        <w:rPr>
          <w:rFonts w:eastAsia="Times New Roman" w:cs="Times New Roman"/>
          <w:szCs w:val="20"/>
        </w:rPr>
        <w:t xml:space="preserve">.)  The issue arose out of the Legislature’s use of the term </w:t>
      </w:r>
      <w:proofErr w:type="gramStart"/>
      <w:r w:rsidRPr="00AB3F33">
        <w:rPr>
          <w:rFonts w:eastAsia="Times New Roman" w:cs="Times New Roman"/>
          <w:szCs w:val="20"/>
        </w:rPr>
        <w:t>“</w:t>
      </w:r>
      <w:r w:rsidR="00071E75">
        <w:rPr>
          <w:rFonts w:eastAsia="Times New Roman" w:cs="Times New Roman"/>
          <w:szCs w:val="20"/>
        </w:rPr>
        <w:t xml:space="preserve"> ‘</w:t>
      </w:r>
      <w:proofErr w:type="gramEnd"/>
      <w:r w:rsidRPr="00AB3F33">
        <w:rPr>
          <w:rFonts w:eastAsia="Times New Roman" w:cs="Times New Roman"/>
          <w:szCs w:val="20"/>
        </w:rPr>
        <w:t>imposed.</w:t>
      </w:r>
      <w:r w:rsidR="00071E75">
        <w:rPr>
          <w:rFonts w:eastAsia="Times New Roman" w:cs="Times New Roman"/>
          <w:szCs w:val="20"/>
        </w:rPr>
        <w:t xml:space="preserve">’ </w:t>
      </w:r>
      <w:r w:rsidRPr="00AB3F33">
        <w:rPr>
          <w:rFonts w:eastAsia="Times New Roman" w:cs="Times New Roman"/>
          <w:szCs w:val="20"/>
        </w:rPr>
        <w:t xml:space="preserve">” </w:t>
      </w:r>
      <w:r w:rsidR="00417F3E">
        <w:rPr>
          <w:rFonts w:eastAsia="Times New Roman" w:cs="Times New Roman"/>
          <w:szCs w:val="20"/>
        </w:rPr>
        <w:t xml:space="preserve"> </w:t>
      </w:r>
      <w:r w:rsidRPr="00AB3F33">
        <w:rPr>
          <w:rFonts w:eastAsia="Times New Roman" w:cs="Times New Roman"/>
          <w:szCs w:val="20"/>
        </w:rPr>
        <w:t>(</w:t>
      </w:r>
      <w:r w:rsidRPr="00AB3F33">
        <w:rPr>
          <w:rFonts w:eastAsia="Times New Roman" w:cs="Times New Roman"/>
          <w:i/>
          <w:iCs/>
          <w:szCs w:val="20"/>
        </w:rPr>
        <w:t xml:space="preserve">Id. </w:t>
      </w:r>
      <w:r w:rsidRPr="00AB3F33">
        <w:rPr>
          <w:rFonts w:eastAsia="Times New Roman" w:cs="Times New Roman"/>
          <w:szCs w:val="20"/>
        </w:rPr>
        <w:t>at p.</w:t>
      </w:r>
      <w:r w:rsidR="00071E75">
        <w:rPr>
          <w:rFonts w:eastAsia="Times New Roman" w:cs="Times New Roman"/>
          <w:szCs w:val="20"/>
        </w:rPr>
        <w:t> </w:t>
      </w:r>
      <w:r w:rsidRPr="00AB3F33">
        <w:rPr>
          <w:rFonts w:eastAsia="Times New Roman" w:cs="Times New Roman"/>
          <w:szCs w:val="20"/>
        </w:rPr>
        <w:t xml:space="preserve">1125.)  The court concluded that in order for the statute at issue to “make sense” the use of the term </w:t>
      </w:r>
      <w:proofErr w:type="gramStart"/>
      <w:r w:rsidRPr="00AB3F33">
        <w:rPr>
          <w:rFonts w:eastAsia="Times New Roman" w:cs="Times New Roman"/>
          <w:szCs w:val="20"/>
        </w:rPr>
        <w:t>“</w:t>
      </w:r>
      <w:r w:rsidR="00071E75">
        <w:rPr>
          <w:rFonts w:eastAsia="Times New Roman" w:cs="Times New Roman"/>
          <w:szCs w:val="20"/>
        </w:rPr>
        <w:t xml:space="preserve"> ‘</w:t>
      </w:r>
      <w:proofErr w:type="gramEnd"/>
      <w:r w:rsidRPr="00AB3F33">
        <w:rPr>
          <w:rFonts w:eastAsia="Times New Roman" w:cs="Times New Roman"/>
          <w:szCs w:val="20"/>
        </w:rPr>
        <w:t>impose</w:t>
      </w:r>
      <w:r w:rsidR="00071E75">
        <w:rPr>
          <w:rFonts w:eastAsia="Times New Roman" w:cs="Times New Roman"/>
          <w:szCs w:val="20"/>
        </w:rPr>
        <w:t xml:space="preserve">’ </w:t>
      </w:r>
      <w:r w:rsidRPr="00AB3F33">
        <w:rPr>
          <w:rFonts w:eastAsia="Times New Roman" w:cs="Times New Roman"/>
          <w:szCs w:val="20"/>
        </w:rPr>
        <w:t xml:space="preserve">” </w:t>
      </w:r>
      <w:r w:rsidR="00071E75">
        <w:rPr>
          <w:rFonts w:eastAsia="Times New Roman" w:cs="Times New Roman"/>
          <w:szCs w:val="20"/>
        </w:rPr>
        <w:t>“</w:t>
      </w:r>
      <w:r w:rsidRPr="00AB3F33">
        <w:rPr>
          <w:rFonts w:eastAsia="Times New Roman" w:cs="Times New Roman"/>
          <w:szCs w:val="20"/>
        </w:rPr>
        <w:t xml:space="preserve">must be interpreted as shorthand for </w:t>
      </w:r>
      <w:r w:rsidR="00071E75">
        <w:rPr>
          <w:rFonts w:eastAsia="Times New Roman" w:cs="Times New Roman"/>
          <w:szCs w:val="20"/>
        </w:rPr>
        <w:t>‘</w:t>
      </w:r>
      <w:r w:rsidRPr="00AB3F33">
        <w:rPr>
          <w:rFonts w:eastAsia="Times New Roman" w:cs="Times New Roman"/>
          <w:szCs w:val="20"/>
        </w:rPr>
        <w:t>impose and execute.</w:t>
      </w:r>
      <w:r w:rsidR="00071E75">
        <w:rPr>
          <w:rFonts w:eastAsia="Times New Roman" w:cs="Times New Roman"/>
          <w:szCs w:val="20"/>
        </w:rPr>
        <w:t>’ </w:t>
      </w:r>
      <w:r w:rsidRPr="00AB3F33">
        <w:rPr>
          <w:rFonts w:eastAsia="Times New Roman" w:cs="Times New Roman"/>
          <w:szCs w:val="20"/>
        </w:rPr>
        <w:t>”</w:t>
      </w:r>
      <w:r w:rsidR="00417F3E">
        <w:rPr>
          <w:rFonts w:eastAsia="Times New Roman" w:cs="Times New Roman"/>
          <w:szCs w:val="20"/>
        </w:rPr>
        <w:t xml:space="preserve"> </w:t>
      </w:r>
      <w:r w:rsidRPr="00AB3F33">
        <w:rPr>
          <w:rFonts w:eastAsia="Times New Roman" w:cs="Times New Roman"/>
          <w:szCs w:val="20"/>
        </w:rPr>
        <w:t xml:space="preserve"> (</w:t>
      </w:r>
      <w:r w:rsidRPr="00AB3F33">
        <w:rPr>
          <w:rFonts w:eastAsia="Times New Roman" w:cs="Times New Roman"/>
          <w:i/>
          <w:iCs/>
          <w:szCs w:val="20"/>
        </w:rPr>
        <w:t xml:space="preserve">Id. </w:t>
      </w:r>
      <w:r w:rsidRPr="00AB3F33">
        <w:rPr>
          <w:rFonts w:eastAsia="Times New Roman" w:cs="Times New Roman"/>
          <w:szCs w:val="20"/>
        </w:rPr>
        <w:t xml:space="preserve">at p. 1127.) </w:t>
      </w:r>
      <w:r w:rsidR="00417F3E">
        <w:rPr>
          <w:rFonts w:eastAsia="Times New Roman" w:cs="Times New Roman"/>
          <w:szCs w:val="20"/>
        </w:rPr>
        <w:t xml:space="preserve"> </w:t>
      </w:r>
      <w:r w:rsidRPr="00AB3F33">
        <w:rPr>
          <w:rFonts w:eastAsia="Times New Roman" w:cs="Times New Roman"/>
          <w:szCs w:val="20"/>
        </w:rPr>
        <w:t xml:space="preserve">The court in </w:t>
      </w:r>
      <w:r w:rsidRPr="00AB3F33">
        <w:rPr>
          <w:rFonts w:eastAsia="Times New Roman" w:cs="Times New Roman"/>
          <w:i/>
          <w:iCs/>
          <w:szCs w:val="20"/>
        </w:rPr>
        <w:t>Gonzalez</w:t>
      </w:r>
      <w:r w:rsidRPr="00AB3F33">
        <w:rPr>
          <w:rFonts w:eastAsia="Times New Roman" w:cs="Times New Roman"/>
          <w:szCs w:val="20"/>
        </w:rPr>
        <w:t xml:space="preserve"> stressed the need to </w:t>
      </w:r>
      <w:r w:rsidR="00071E75">
        <w:rPr>
          <w:rFonts w:eastAsia="Times New Roman" w:cs="Times New Roman"/>
          <w:szCs w:val="20"/>
        </w:rPr>
        <w:t>“</w:t>
      </w:r>
      <w:r w:rsidRPr="00AB3F33">
        <w:rPr>
          <w:rFonts w:eastAsia="Times New Roman" w:cs="Times New Roman"/>
          <w:szCs w:val="20"/>
        </w:rPr>
        <w:t>harmonize the statute internally.</w:t>
      </w:r>
      <w:r w:rsidR="00071E75">
        <w:rPr>
          <w:rFonts w:eastAsia="Times New Roman" w:cs="Times New Roman"/>
          <w:szCs w:val="20"/>
        </w:rPr>
        <w:t>”</w:t>
      </w:r>
      <w:r w:rsidRPr="00AB3F33">
        <w:rPr>
          <w:rFonts w:eastAsia="Times New Roman" w:cs="Times New Roman"/>
          <w:szCs w:val="20"/>
        </w:rPr>
        <w:t xml:space="preserve"> </w:t>
      </w:r>
      <w:r w:rsidR="00417F3E">
        <w:rPr>
          <w:rFonts w:eastAsia="Times New Roman" w:cs="Times New Roman"/>
          <w:szCs w:val="20"/>
        </w:rPr>
        <w:t xml:space="preserve"> </w:t>
      </w:r>
      <w:r w:rsidRPr="00AB3F33">
        <w:rPr>
          <w:rFonts w:eastAsia="Times New Roman" w:cs="Times New Roman"/>
          <w:szCs w:val="20"/>
        </w:rPr>
        <w:t>(</w:t>
      </w:r>
      <w:r w:rsidRPr="00AB3F33">
        <w:rPr>
          <w:rFonts w:eastAsia="Times New Roman" w:cs="Times New Roman"/>
          <w:i/>
          <w:iCs/>
          <w:szCs w:val="20"/>
        </w:rPr>
        <w:t xml:space="preserve">Id. </w:t>
      </w:r>
      <w:r w:rsidRPr="00AB3F33">
        <w:rPr>
          <w:rFonts w:eastAsia="Times New Roman" w:cs="Times New Roman"/>
          <w:szCs w:val="20"/>
        </w:rPr>
        <w:t>at p.</w:t>
      </w:r>
      <w:r w:rsidR="00417F3E">
        <w:rPr>
          <w:rFonts w:eastAsia="Times New Roman" w:cs="Times New Roman"/>
          <w:szCs w:val="20"/>
        </w:rPr>
        <w:t> </w:t>
      </w:r>
      <w:r w:rsidRPr="00AB3F33">
        <w:rPr>
          <w:rFonts w:eastAsia="Times New Roman" w:cs="Times New Roman"/>
          <w:szCs w:val="20"/>
        </w:rPr>
        <w:t xml:space="preserve">1126.) </w:t>
      </w:r>
      <w:r w:rsidR="00417F3E">
        <w:rPr>
          <w:rFonts w:eastAsia="Times New Roman" w:cs="Times New Roman"/>
          <w:szCs w:val="20"/>
        </w:rPr>
        <w:t xml:space="preserve"> </w:t>
      </w:r>
      <w:r w:rsidRPr="00AB3F33">
        <w:rPr>
          <w:rFonts w:eastAsia="Times New Roman" w:cs="Times New Roman"/>
          <w:szCs w:val="20"/>
        </w:rPr>
        <w:t xml:space="preserve">Specifically, the court compared and analyzed the language in subdivision (f) and subdivision (j) </w:t>
      </w:r>
      <w:r w:rsidR="00417F3E">
        <w:rPr>
          <w:rFonts w:eastAsia="Times New Roman" w:cs="Times New Roman"/>
          <w:szCs w:val="20"/>
        </w:rPr>
        <w:t xml:space="preserve">of section 12022.53 </w:t>
      </w:r>
      <w:r w:rsidRPr="00AB3F33">
        <w:rPr>
          <w:rFonts w:eastAsia="Times New Roman" w:cs="Times New Roman"/>
          <w:szCs w:val="20"/>
        </w:rPr>
        <w:t>in finding “[</w:t>
      </w:r>
      <w:proofErr w:type="spellStart"/>
      <w:r w:rsidRPr="00AB3F33">
        <w:rPr>
          <w:rFonts w:eastAsia="Times New Roman" w:cs="Times New Roman"/>
          <w:szCs w:val="20"/>
        </w:rPr>
        <w:t>i</w:t>
      </w:r>
      <w:proofErr w:type="spellEnd"/>
      <w:r w:rsidRPr="00AB3F33">
        <w:rPr>
          <w:rFonts w:eastAsia="Times New Roman" w:cs="Times New Roman"/>
          <w:szCs w:val="20"/>
        </w:rPr>
        <w:t xml:space="preserve">]n both instances, the word ‘impose’ ensures that the statute’s punishment and legislative intent will be carried out only if it is interpreted as shorthand for </w:t>
      </w:r>
      <w:r w:rsidR="00417F3E">
        <w:rPr>
          <w:rFonts w:eastAsia="Times New Roman" w:cs="Times New Roman"/>
          <w:szCs w:val="20"/>
        </w:rPr>
        <w:t>‘</w:t>
      </w:r>
      <w:r w:rsidRPr="00AB3F33">
        <w:rPr>
          <w:rFonts w:eastAsia="Times New Roman" w:cs="Times New Roman"/>
          <w:szCs w:val="20"/>
        </w:rPr>
        <w:t xml:space="preserve">impose and </w:t>
      </w:r>
      <w:r w:rsidR="00071E75">
        <w:rPr>
          <w:rFonts w:eastAsia="Times New Roman" w:cs="Times New Roman"/>
          <w:szCs w:val="20"/>
        </w:rPr>
        <w:t xml:space="preserve">then </w:t>
      </w:r>
      <w:r w:rsidRPr="00AB3F33">
        <w:rPr>
          <w:rFonts w:eastAsia="Times New Roman" w:cs="Times New Roman"/>
          <w:i/>
          <w:iCs/>
          <w:szCs w:val="20"/>
        </w:rPr>
        <w:t>execute</w:t>
      </w:r>
      <w:r w:rsidRPr="00AB3F33">
        <w:rPr>
          <w:rFonts w:eastAsia="Times New Roman" w:cs="Times New Roman"/>
          <w:szCs w:val="20"/>
        </w:rPr>
        <w:t>.</w:t>
      </w:r>
      <w:proofErr w:type="gramStart"/>
      <w:r w:rsidR="00417F3E">
        <w:rPr>
          <w:rFonts w:eastAsia="Times New Roman" w:cs="Times New Roman"/>
          <w:szCs w:val="20"/>
        </w:rPr>
        <w:t xml:space="preserve">’ </w:t>
      </w:r>
      <w:r w:rsidRPr="00AB3F33">
        <w:rPr>
          <w:rFonts w:eastAsia="Times New Roman" w:cs="Times New Roman"/>
          <w:szCs w:val="20"/>
        </w:rPr>
        <w:t>”</w:t>
      </w:r>
      <w:proofErr w:type="gramEnd"/>
      <w:r w:rsidRPr="00AB3F33">
        <w:rPr>
          <w:rFonts w:eastAsia="Times New Roman" w:cs="Times New Roman"/>
          <w:szCs w:val="20"/>
        </w:rPr>
        <w:t xml:space="preserve"> </w:t>
      </w:r>
      <w:r w:rsidR="00417F3E">
        <w:rPr>
          <w:rFonts w:eastAsia="Times New Roman" w:cs="Times New Roman"/>
          <w:szCs w:val="20"/>
        </w:rPr>
        <w:t xml:space="preserve"> </w:t>
      </w:r>
      <w:r w:rsidRPr="00AB3F33">
        <w:rPr>
          <w:rFonts w:eastAsia="Times New Roman" w:cs="Times New Roman"/>
          <w:szCs w:val="20"/>
        </w:rPr>
        <w:t>(</w:t>
      </w:r>
      <w:r w:rsidRPr="00AB3F33">
        <w:rPr>
          <w:rFonts w:eastAsia="Times New Roman" w:cs="Times New Roman"/>
          <w:i/>
          <w:iCs/>
          <w:szCs w:val="20"/>
        </w:rPr>
        <w:t>Id</w:t>
      </w:r>
      <w:r w:rsidRPr="00AB3F33">
        <w:rPr>
          <w:rFonts w:eastAsia="Times New Roman" w:cs="Times New Roman"/>
          <w:szCs w:val="20"/>
        </w:rPr>
        <w:t xml:space="preserve">. at p. 1127.) </w:t>
      </w:r>
      <w:r w:rsidR="00417F3E">
        <w:rPr>
          <w:rFonts w:eastAsia="Times New Roman" w:cs="Times New Roman"/>
          <w:szCs w:val="20"/>
        </w:rPr>
        <w:t xml:space="preserve"> </w:t>
      </w:r>
      <w:r w:rsidRPr="00AB3F33">
        <w:rPr>
          <w:rFonts w:eastAsia="Times New Roman" w:cs="Times New Roman"/>
          <w:szCs w:val="20"/>
        </w:rPr>
        <w:t>“The principle that a word</w:t>
      </w:r>
      <w:r w:rsidR="00417F3E">
        <w:rPr>
          <w:rFonts w:eastAsia="Times New Roman" w:cs="Times New Roman"/>
          <w:szCs w:val="20"/>
        </w:rPr>
        <w:t>’</w:t>
      </w:r>
      <w:r w:rsidRPr="00AB3F33">
        <w:rPr>
          <w:rFonts w:eastAsia="Times New Roman" w:cs="Times New Roman"/>
          <w:szCs w:val="20"/>
        </w:rPr>
        <w:t xml:space="preserve">s meaning may be determined by reference to the rest of the statute allows us to extend this interpretation to the use of </w:t>
      </w:r>
      <w:r w:rsidR="00417F3E">
        <w:rPr>
          <w:rFonts w:eastAsia="Times New Roman" w:cs="Times New Roman"/>
          <w:szCs w:val="20"/>
        </w:rPr>
        <w:t>‘</w:t>
      </w:r>
      <w:r w:rsidRPr="00AB3F33">
        <w:rPr>
          <w:rFonts w:eastAsia="Times New Roman" w:cs="Times New Roman"/>
          <w:szCs w:val="20"/>
        </w:rPr>
        <w:t>impose</w:t>
      </w:r>
      <w:r w:rsidR="00417F3E">
        <w:rPr>
          <w:rFonts w:eastAsia="Times New Roman" w:cs="Times New Roman"/>
          <w:szCs w:val="20"/>
        </w:rPr>
        <w:t>’</w:t>
      </w:r>
      <w:r w:rsidRPr="00AB3F33">
        <w:rPr>
          <w:rFonts w:eastAsia="Times New Roman" w:cs="Times New Roman"/>
          <w:szCs w:val="20"/>
        </w:rPr>
        <w:t xml:space="preserve"> throughout section 12022.53</w:t>
      </w:r>
      <w:r w:rsidR="00417F3E">
        <w:rPr>
          <w:rFonts w:eastAsia="Times New Roman" w:cs="Times New Roman"/>
          <w:szCs w:val="20"/>
        </w:rPr>
        <w:t>[, subdivision</w:t>
      </w:r>
      <w:r w:rsidR="00992655">
        <w:rPr>
          <w:rFonts w:eastAsia="Times New Roman" w:cs="Times New Roman"/>
          <w:szCs w:val="20"/>
        </w:rPr>
        <w:t xml:space="preserve">] </w:t>
      </w:r>
      <w:r w:rsidRPr="00AB3F33">
        <w:rPr>
          <w:rFonts w:eastAsia="Times New Roman" w:cs="Times New Roman"/>
          <w:szCs w:val="20"/>
        </w:rPr>
        <w:t>(f).”</w:t>
      </w:r>
      <w:r w:rsidR="00071E75">
        <w:rPr>
          <w:rFonts w:eastAsia="Times New Roman" w:cs="Times New Roman"/>
          <w:szCs w:val="20"/>
        </w:rPr>
        <w:t xml:space="preserve"> </w:t>
      </w:r>
      <w:r w:rsidRPr="00AB3F33">
        <w:rPr>
          <w:rFonts w:eastAsia="Times New Roman" w:cs="Times New Roman"/>
          <w:szCs w:val="20"/>
        </w:rPr>
        <w:t xml:space="preserve"> (</w:t>
      </w:r>
      <w:r w:rsidRPr="00AB3F33">
        <w:rPr>
          <w:rFonts w:eastAsia="Times New Roman" w:cs="Times New Roman"/>
          <w:i/>
          <w:iCs/>
          <w:szCs w:val="20"/>
        </w:rPr>
        <w:t>I</w:t>
      </w:r>
      <w:r w:rsidR="00071E75">
        <w:rPr>
          <w:rFonts w:eastAsia="Times New Roman" w:cs="Times New Roman"/>
          <w:i/>
          <w:iCs/>
          <w:szCs w:val="20"/>
        </w:rPr>
        <w:t>bi</w:t>
      </w:r>
      <w:r w:rsidRPr="00AB3F33">
        <w:rPr>
          <w:rFonts w:eastAsia="Times New Roman" w:cs="Times New Roman"/>
          <w:i/>
          <w:iCs/>
          <w:szCs w:val="20"/>
        </w:rPr>
        <w:t>d</w:t>
      </w:r>
      <w:r w:rsidRPr="00AB3F33">
        <w:rPr>
          <w:rFonts w:eastAsia="Times New Roman" w:cs="Times New Roman"/>
          <w:szCs w:val="20"/>
        </w:rPr>
        <w:t xml:space="preserve">.) </w:t>
      </w:r>
    </w:p>
    <w:p w14:paraId="24510FBA" w14:textId="0C488A48" w:rsidR="00AB3F33" w:rsidRPr="00AB3F33" w:rsidRDefault="00CB33D8" w:rsidP="00992655">
      <w:pPr>
        <w:ind w:firstLine="720"/>
        <w:contextualSpacing/>
        <w:rPr>
          <w:rFonts w:eastAsia="Times New Roman" w:cs="Times New Roman"/>
          <w:szCs w:val="20"/>
        </w:rPr>
      </w:pPr>
      <w:r w:rsidRPr="00AB3F33">
        <w:rPr>
          <w:rFonts w:eastAsia="Times New Roman" w:cs="Times New Roman"/>
          <w:szCs w:val="20"/>
        </w:rPr>
        <w:t xml:space="preserve">Here, it is necessary to look at the statute </w:t>
      </w:r>
      <w:proofErr w:type="gramStart"/>
      <w:r w:rsidRPr="00AB3F33">
        <w:rPr>
          <w:rFonts w:eastAsia="Times New Roman" w:cs="Times New Roman"/>
          <w:szCs w:val="20"/>
        </w:rPr>
        <w:t>as a whole to</w:t>
      </w:r>
      <w:proofErr w:type="gramEnd"/>
      <w:r w:rsidRPr="00AB3F33">
        <w:rPr>
          <w:rFonts w:eastAsia="Times New Roman" w:cs="Times New Roman"/>
          <w:szCs w:val="20"/>
        </w:rPr>
        <w:t xml:space="preserve"> interpret the meaning of term “impose.” </w:t>
      </w:r>
      <w:r w:rsidR="00992655">
        <w:rPr>
          <w:rFonts w:eastAsia="Times New Roman" w:cs="Times New Roman"/>
          <w:szCs w:val="20"/>
        </w:rPr>
        <w:t xml:space="preserve"> </w:t>
      </w:r>
      <w:r w:rsidRPr="00AB3F33">
        <w:rPr>
          <w:rFonts w:eastAsia="Times New Roman" w:cs="Times New Roman"/>
          <w:szCs w:val="20"/>
        </w:rPr>
        <w:t>Section 1172.75</w:t>
      </w:r>
      <w:r w:rsidR="00992655">
        <w:rPr>
          <w:rFonts w:eastAsia="Times New Roman" w:cs="Times New Roman"/>
          <w:szCs w:val="20"/>
        </w:rPr>
        <w:t xml:space="preserve">, subdivision </w:t>
      </w:r>
      <w:r w:rsidRPr="00AB3F33">
        <w:rPr>
          <w:rFonts w:eastAsia="Times New Roman" w:cs="Times New Roman"/>
          <w:szCs w:val="20"/>
        </w:rPr>
        <w:t>(d)(1)</w:t>
      </w:r>
      <w:r w:rsidR="00992655">
        <w:rPr>
          <w:rFonts w:eastAsia="Times New Roman" w:cs="Times New Roman"/>
          <w:szCs w:val="20"/>
        </w:rPr>
        <w:t>,</w:t>
      </w:r>
      <w:r w:rsidRPr="00AB3F33">
        <w:rPr>
          <w:rFonts w:eastAsia="Times New Roman" w:cs="Times New Roman"/>
          <w:szCs w:val="20"/>
        </w:rPr>
        <w:t xml:space="preserve"> is particularly relevant in this analysis.</w:t>
      </w:r>
      <w:r w:rsidR="00992655">
        <w:rPr>
          <w:rFonts w:eastAsia="Times New Roman" w:cs="Times New Roman"/>
          <w:szCs w:val="20"/>
        </w:rPr>
        <w:t xml:space="preserve"> </w:t>
      </w:r>
      <w:r w:rsidRPr="00AB3F33">
        <w:rPr>
          <w:rFonts w:eastAsia="Times New Roman" w:cs="Times New Roman"/>
          <w:szCs w:val="20"/>
        </w:rPr>
        <w:t xml:space="preserve"> (§</w:t>
      </w:r>
      <w:r w:rsidR="00992655">
        <w:rPr>
          <w:rFonts w:eastAsia="Times New Roman" w:cs="Times New Roman"/>
          <w:szCs w:val="20"/>
        </w:rPr>
        <w:t xml:space="preserve"> </w:t>
      </w:r>
      <w:r w:rsidRPr="00AB3F33">
        <w:rPr>
          <w:rFonts w:eastAsia="Times New Roman" w:cs="Times New Roman"/>
          <w:szCs w:val="20"/>
        </w:rPr>
        <w:t>1172.75</w:t>
      </w:r>
      <w:r w:rsidR="00992655">
        <w:rPr>
          <w:rFonts w:eastAsia="Times New Roman" w:cs="Times New Roman"/>
          <w:szCs w:val="20"/>
        </w:rPr>
        <w:t>,</w:t>
      </w:r>
      <w:r w:rsidRPr="00AB3F33">
        <w:rPr>
          <w:rFonts w:eastAsia="Times New Roman" w:cs="Times New Roman"/>
          <w:szCs w:val="20"/>
        </w:rPr>
        <w:t xml:space="preserve"> subd. (d)(1) [“Resentencing pursuant to this section </w:t>
      </w:r>
      <w:r w:rsidRPr="00AB3F33">
        <w:rPr>
          <w:rFonts w:eastAsia="Times New Roman" w:cs="Times New Roman"/>
          <w:i/>
          <w:iCs/>
          <w:szCs w:val="20"/>
        </w:rPr>
        <w:t>shall result in a lesser sentence than the one originally imposed as a result of the elimination of the repealed enhancement</w:t>
      </w:r>
      <w:r w:rsidRPr="00AB3F33">
        <w:rPr>
          <w:rFonts w:eastAsia="Times New Roman" w:cs="Times New Roman"/>
          <w:szCs w:val="20"/>
        </w:rPr>
        <w:t>, unless the court finds by clear and convincing evidence that imposing a lesser sentence would endanger public safety”</w:t>
      </w:r>
      <w:r w:rsidR="00D65C9F">
        <w:rPr>
          <w:rFonts w:eastAsia="Times New Roman" w:cs="Times New Roman"/>
          <w:szCs w:val="20"/>
        </w:rPr>
        <w:t>],</w:t>
      </w:r>
      <w:r w:rsidRPr="00AB3F33">
        <w:rPr>
          <w:rFonts w:eastAsia="Times New Roman" w:cs="Times New Roman"/>
          <w:szCs w:val="20"/>
        </w:rPr>
        <w:t xml:space="preserve"> italics added.) </w:t>
      </w:r>
      <w:r w:rsidR="00992655">
        <w:rPr>
          <w:rFonts w:eastAsia="Times New Roman" w:cs="Times New Roman"/>
          <w:szCs w:val="20"/>
        </w:rPr>
        <w:t xml:space="preserve"> </w:t>
      </w:r>
      <w:r w:rsidRPr="00AB3F33">
        <w:rPr>
          <w:rFonts w:eastAsia="Times New Roman" w:cs="Times New Roman"/>
          <w:szCs w:val="20"/>
        </w:rPr>
        <w:lastRenderedPageBreak/>
        <w:t>Section</w:t>
      </w:r>
      <w:r w:rsidR="00D65C9F">
        <w:rPr>
          <w:rFonts w:eastAsia="Times New Roman" w:cs="Times New Roman"/>
          <w:szCs w:val="20"/>
        </w:rPr>
        <w:t> </w:t>
      </w:r>
      <w:r w:rsidRPr="00AB3F33">
        <w:rPr>
          <w:rFonts w:eastAsia="Times New Roman" w:cs="Times New Roman"/>
          <w:szCs w:val="20"/>
        </w:rPr>
        <w:t>1172.75 subdivision (d)(1)’s requirement that the resentencing shall result in a lesser sentence than the one originally imposed necessitates the conclusion that the repealed enhancement increased the length of the sentence.  The only way for the repealed enhancement to have increased the length of a sentence is for the enhancement to have been imposed and executed.  If the repealed enhancement was imposed and stayed, the sentence would not have been increased, as was the case here.  To interpret “imposed” as used in section 1172.75</w:t>
      </w:r>
      <w:r w:rsidR="00DE7BA4">
        <w:rPr>
          <w:rFonts w:eastAsia="Times New Roman" w:cs="Times New Roman"/>
          <w:szCs w:val="20"/>
        </w:rPr>
        <w:t>,</w:t>
      </w:r>
      <w:r w:rsidRPr="00AB3F33">
        <w:rPr>
          <w:rFonts w:eastAsia="Times New Roman" w:cs="Times New Roman"/>
          <w:szCs w:val="20"/>
        </w:rPr>
        <w:t xml:space="preserve"> subdivision (a)</w:t>
      </w:r>
      <w:r w:rsidR="00D65C9F">
        <w:rPr>
          <w:rFonts w:eastAsia="Times New Roman" w:cs="Times New Roman"/>
          <w:szCs w:val="20"/>
        </w:rPr>
        <w:t>,</w:t>
      </w:r>
      <w:r w:rsidRPr="00AB3F33">
        <w:rPr>
          <w:rFonts w:eastAsia="Times New Roman" w:cs="Times New Roman"/>
          <w:szCs w:val="20"/>
        </w:rPr>
        <w:t xml:space="preserve"> to include when a sentence was “imposed and stayed” would require any sentencing court faced with an “imposed and stayed” enhancement to arbitrarily lower a sentence simply because the judgment contained a stayed enhancement. </w:t>
      </w:r>
    </w:p>
    <w:p w14:paraId="25C05495" w14:textId="0B11D5AF" w:rsidR="00AB3F33" w:rsidRPr="00AB3F33" w:rsidRDefault="00CB33D8" w:rsidP="00AB3F33">
      <w:pPr>
        <w:rPr>
          <w:rFonts w:eastAsia="Times New Roman" w:cs="Times New Roman"/>
          <w:szCs w:val="20"/>
        </w:rPr>
      </w:pPr>
      <w:r w:rsidRPr="00AB3F33">
        <w:rPr>
          <w:rFonts w:eastAsia="Times New Roman" w:cs="Times New Roman"/>
          <w:szCs w:val="20"/>
        </w:rPr>
        <w:tab/>
        <w:t xml:space="preserve">Defendant argues the analysis and holding of </w:t>
      </w:r>
      <w:r w:rsidRPr="00AB3F33">
        <w:rPr>
          <w:rFonts w:eastAsia="Times New Roman" w:cs="Times New Roman"/>
          <w:i/>
          <w:iCs/>
          <w:szCs w:val="20"/>
        </w:rPr>
        <w:t>Gonzalez</w:t>
      </w:r>
      <w:r w:rsidRPr="00AB3F33">
        <w:rPr>
          <w:rFonts w:eastAsia="Times New Roman" w:cs="Times New Roman"/>
          <w:szCs w:val="20"/>
        </w:rPr>
        <w:t xml:space="preserve"> are distinguishable from the statute and facts before this court.</w:t>
      </w:r>
      <w:r w:rsidR="00D65C9F">
        <w:rPr>
          <w:rFonts w:eastAsia="Times New Roman" w:cs="Times New Roman"/>
          <w:szCs w:val="20"/>
        </w:rPr>
        <w:t xml:space="preserve"> </w:t>
      </w:r>
      <w:r w:rsidRPr="00AB3F33">
        <w:rPr>
          <w:rFonts w:eastAsia="Times New Roman" w:cs="Times New Roman"/>
          <w:szCs w:val="20"/>
        </w:rPr>
        <w:t xml:space="preserve"> Defendant draws a distinction citing the term “impose” being used twice in section 12022.53</w:t>
      </w:r>
      <w:r w:rsidR="00D65C9F">
        <w:rPr>
          <w:rFonts w:eastAsia="Times New Roman" w:cs="Times New Roman"/>
          <w:szCs w:val="20"/>
        </w:rPr>
        <w:t xml:space="preserve">, subdivision </w:t>
      </w:r>
      <w:r w:rsidRPr="00AB3F33">
        <w:rPr>
          <w:rFonts w:eastAsia="Times New Roman" w:cs="Times New Roman"/>
          <w:szCs w:val="20"/>
        </w:rPr>
        <w:t xml:space="preserve">(f), whereas here, the term “impose” is only used once. </w:t>
      </w:r>
      <w:r w:rsidR="00D65C9F">
        <w:rPr>
          <w:rFonts w:eastAsia="Times New Roman" w:cs="Times New Roman"/>
          <w:szCs w:val="20"/>
        </w:rPr>
        <w:t xml:space="preserve"> </w:t>
      </w:r>
      <w:r w:rsidRPr="00AB3F33">
        <w:rPr>
          <w:rFonts w:eastAsia="Times New Roman" w:cs="Times New Roman"/>
          <w:szCs w:val="20"/>
        </w:rPr>
        <w:t xml:space="preserve">Defendant suggests because the term “impose” only appears once in section 1172.75 subdivision (a), it does not result in internal inconsistency. </w:t>
      </w:r>
      <w:r w:rsidR="00D65C9F">
        <w:rPr>
          <w:rFonts w:eastAsia="Times New Roman" w:cs="Times New Roman"/>
          <w:szCs w:val="20"/>
        </w:rPr>
        <w:t xml:space="preserve"> </w:t>
      </w:r>
      <w:r w:rsidRPr="00AB3F33">
        <w:rPr>
          <w:rFonts w:eastAsia="Times New Roman" w:cs="Times New Roman"/>
          <w:szCs w:val="20"/>
        </w:rPr>
        <w:t xml:space="preserve">However, the number of times a term is used within a subdivision is not dispositive as to internal consistency or lack thereof.  As discussed in </w:t>
      </w:r>
      <w:r w:rsidRPr="00AB3F33">
        <w:rPr>
          <w:rFonts w:eastAsia="Times New Roman" w:cs="Times New Roman"/>
          <w:i/>
          <w:iCs/>
          <w:szCs w:val="20"/>
        </w:rPr>
        <w:t>Gonzalez</w:t>
      </w:r>
      <w:r w:rsidRPr="00AB3F33">
        <w:rPr>
          <w:rFonts w:eastAsia="Times New Roman" w:cs="Times New Roman"/>
          <w:szCs w:val="20"/>
        </w:rPr>
        <w:t xml:space="preserve">, the court examined the interplay between subdivision (f) and the other subdivisions within section 12022.53 in concluding that “imposed and executed” was the only interpretation that harmonized the </w:t>
      </w:r>
      <w:proofErr w:type="gramStart"/>
      <w:r w:rsidRPr="00AB3F33">
        <w:rPr>
          <w:rFonts w:eastAsia="Times New Roman" w:cs="Times New Roman"/>
          <w:szCs w:val="20"/>
        </w:rPr>
        <w:t>statute as a whole</w:t>
      </w:r>
      <w:proofErr w:type="gramEnd"/>
      <w:r w:rsidRPr="00AB3F33">
        <w:rPr>
          <w:rFonts w:eastAsia="Times New Roman" w:cs="Times New Roman"/>
          <w:szCs w:val="20"/>
        </w:rPr>
        <w:t xml:space="preserve">. </w:t>
      </w:r>
      <w:r w:rsidR="00D65C9F">
        <w:rPr>
          <w:rFonts w:eastAsia="Times New Roman" w:cs="Times New Roman"/>
          <w:szCs w:val="20"/>
        </w:rPr>
        <w:t xml:space="preserve"> </w:t>
      </w:r>
      <w:r w:rsidRPr="00AB3F33">
        <w:rPr>
          <w:rFonts w:eastAsia="Times New Roman" w:cs="Times New Roman"/>
          <w:szCs w:val="20"/>
        </w:rPr>
        <w:t>(</w:t>
      </w:r>
      <w:r w:rsidRPr="00AB3F33">
        <w:rPr>
          <w:rFonts w:eastAsia="Times New Roman" w:cs="Times New Roman"/>
          <w:i/>
          <w:iCs/>
          <w:szCs w:val="20"/>
        </w:rPr>
        <w:t>Gonzalez</w:t>
      </w:r>
      <w:r w:rsidRPr="00D65C9F">
        <w:rPr>
          <w:rFonts w:eastAsia="Times New Roman" w:cs="Times New Roman"/>
          <w:szCs w:val="20"/>
        </w:rPr>
        <w:t>,</w:t>
      </w:r>
      <w:r w:rsidRPr="00AB3F33">
        <w:rPr>
          <w:rFonts w:eastAsia="Times New Roman" w:cs="Times New Roman"/>
          <w:i/>
          <w:iCs/>
          <w:szCs w:val="20"/>
        </w:rPr>
        <w:t xml:space="preserve"> supra</w:t>
      </w:r>
      <w:r w:rsidRPr="00D65C9F">
        <w:rPr>
          <w:rFonts w:eastAsia="Times New Roman" w:cs="Times New Roman"/>
          <w:szCs w:val="20"/>
        </w:rPr>
        <w:t xml:space="preserve">, </w:t>
      </w:r>
      <w:r w:rsidRPr="00AB3F33">
        <w:rPr>
          <w:rFonts w:eastAsia="Times New Roman" w:cs="Times New Roman"/>
          <w:szCs w:val="20"/>
        </w:rPr>
        <w:t>43 Cal.4th</w:t>
      </w:r>
      <w:r w:rsidR="00D65C9F">
        <w:rPr>
          <w:rFonts w:eastAsia="Times New Roman" w:cs="Times New Roman"/>
          <w:szCs w:val="20"/>
        </w:rPr>
        <w:t xml:space="preserve"> at pp. </w:t>
      </w:r>
      <w:r w:rsidRPr="00AB3F33">
        <w:rPr>
          <w:rFonts w:eastAsia="Times New Roman" w:cs="Times New Roman"/>
          <w:szCs w:val="20"/>
        </w:rPr>
        <w:t xml:space="preserve">1127-1128 [analyzing the interaction between </w:t>
      </w:r>
      <w:r w:rsidR="00D65C9F">
        <w:rPr>
          <w:rFonts w:eastAsia="Times New Roman" w:cs="Times New Roman"/>
          <w:szCs w:val="20"/>
        </w:rPr>
        <w:t xml:space="preserve">§ 12022.53, </w:t>
      </w:r>
      <w:r w:rsidRPr="00AB3F33">
        <w:rPr>
          <w:rFonts w:eastAsia="Times New Roman" w:cs="Times New Roman"/>
          <w:szCs w:val="20"/>
        </w:rPr>
        <w:t>subd</w:t>
      </w:r>
      <w:r w:rsidR="00D65C9F">
        <w:rPr>
          <w:rFonts w:eastAsia="Times New Roman" w:cs="Times New Roman"/>
          <w:szCs w:val="20"/>
        </w:rPr>
        <w:t>.</w:t>
      </w:r>
      <w:r w:rsidRPr="00AB3F33">
        <w:rPr>
          <w:rFonts w:eastAsia="Times New Roman" w:cs="Times New Roman"/>
          <w:szCs w:val="20"/>
        </w:rPr>
        <w:t xml:space="preserve"> (f), (g), (h), </w:t>
      </w:r>
      <w:r w:rsidR="00D65C9F">
        <w:rPr>
          <w:rFonts w:eastAsia="Times New Roman" w:cs="Times New Roman"/>
          <w:szCs w:val="20"/>
        </w:rPr>
        <w:t>&amp;</w:t>
      </w:r>
      <w:r w:rsidRPr="00AB3F33">
        <w:rPr>
          <w:rFonts w:eastAsia="Times New Roman" w:cs="Times New Roman"/>
          <w:szCs w:val="20"/>
        </w:rPr>
        <w:t xml:space="preserve"> (</w:t>
      </w:r>
      <w:proofErr w:type="spellStart"/>
      <w:r w:rsidRPr="00AB3F33">
        <w:rPr>
          <w:rFonts w:eastAsia="Times New Roman" w:cs="Times New Roman"/>
          <w:szCs w:val="20"/>
        </w:rPr>
        <w:t>i</w:t>
      </w:r>
      <w:proofErr w:type="spellEnd"/>
      <w:r w:rsidRPr="00AB3F33">
        <w:rPr>
          <w:rFonts w:eastAsia="Times New Roman" w:cs="Times New Roman"/>
          <w:szCs w:val="20"/>
        </w:rPr>
        <w:t>)])</w:t>
      </w:r>
      <w:r w:rsidR="00DE7BA4">
        <w:rPr>
          <w:rFonts w:eastAsia="Times New Roman" w:cs="Times New Roman"/>
          <w:szCs w:val="20"/>
        </w:rPr>
        <w:t>.</w:t>
      </w:r>
      <w:r w:rsidRPr="00AB3F33">
        <w:rPr>
          <w:rFonts w:eastAsia="Times New Roman" w:cs="Times New Roman"/>
          <w:szCs w:val="20"/>
        </w:rPr>
        <w:t xml:space="preserve"> </w:t>
      </w:r>
      <w:r w:rsidR="00D65C9F">
        <w:rPr>
          <w:rFonts w:eastAsia="Times New Roman" w:cs="Times New Roman"/>
          <w:szCs w:val="20"/>
        </w:rPr>
        <w:t xml:space="preserve"> </w:t>
      </w:r>
      <w:r w:rsidRPr="00AB3F33">
        <w:rPr>
          <w:rFonts w:eastAsia="Times New Roman" w:cs="Times New Roman"/>
          <w:szCs w:val="20"/>
        </w:rPr>
        <w:t xml:space="preserve">The same is true for </w:t>
      </w:r>
      <w:r w:rsidRPr="00AB3F33">
        <w:rPr>
          <w:rFonts w:eastAsia="Times New Roman" w:cs="Times New Roman"/>
          <w:szCs w:val="20"/>
        </w:rPr>
        <w:lastRenderedPageBreak/>
        <w:t>section</w:t>
      </w:r>
      <w:r w:rsidR="00006EF7">
        <w:rPr>
          <w:rFonts w:eastAsia="Times New Roman" w:cs="Times New Roman"/>
          <w:szCs w:val="20"/>
        </w:rPr>
        <w:t> </w:t>
      </w:r>
      <w:r w:rsidRPr="00AB3F33">
        <w:rPr>
          <w:rFonts w:eastAsia="Times New Roman" w:cs="Times New Roman"/>
          <w:szCs w:val="20"/>
        </w:rPr>
        <w:t xml:space="preserve">1172.75.  </w:t>
      </w:r>
      <w:proofErr w:type="gramStart"/>
      <w:r w:rsidRPr="00AB3F33">
        <w:rPr>
          <w:rFonts w:eastAsia="Times New Roman" w:cs="Times New Roman"/>
          <w:szCs w:val="20"/>
        </w:rPr>
        <w:t>In order to</w:t>
      </w:r>
      <w:proofErr w:type="gramEnd"/>
      <w:r w:rsidRPr="00AB3F33">
        <w:rPr>
          <w:rFonts w:eastAsia="Times New Roman" w:cs="Times New Roman"/>
          <w:szCs w:val="20"/>
        </w:rPr>
        <w:t xml:space="preserve"> harmonize subdivision (d)(1)’s requirement with subdivision</w:t>
      </w:r>
      <w:r w:rsidR="00006EF7">
        <w:rPr>
          <w:rFonts w:eastAsia="Times New Roman" w:cs="Times New Roman"/>
          <w:szCs w:val="20"/>
        </w:rPr>
        <w:t> </w:t>
      </w:r>
      <w:r w:rsidRPr="00AB3F33">
        <w:rPr>
          <w:rFonts w:eastAsia="Times New Roman" w:cs="Times New Roman"/>
          <w:szCs w:val="20"/>
        </w:rPr>
        <w:t>(a), the meaning of “impose” must be interpreted to mean “imposed and executed.”  Any other interpretation would cause disharmony between subdivision (a) and subdivision (d)(1)</w:t>
      </w:r>
      <w:r w:rsidR="00D65C9F">
        <w:rPr>
          <w:rFonts w:eastAsia="Times New Roman" w:cs="Times New Roman"/>
          <w:szCs w:val="20"/>
        </w:rPr>
        <w:t xml:space="preserve"> of section 1172.75</w:t>
      </w:r>
      <w:r w:rsidRPr="00AB3F33">
        <w:rPr>
          <w:rFonts w:eastAsia="Times New Roman" w:cs="Times New Roman"/>
          <w:szCs w:val="20"/>
        </w:rPr>
        <w:t>.</w:t>
      </w:r>
    </w:p>
    <w:p w14:paraId="7C573827" w14:textId="1A530057" w:rsidR="00AB3F33" w:rsidRPr="00AB3F33" w:rsidRDefault="00CB33D8" w:rsidP="00AB3F33">
      <w:pPr>
        <w:rPr>
          <w:rFonts w:eastAsia="Times New Roman" w:cs="Times New Roman"/>
          <w:szCs w:val="20"/>
        </w:rPr>
      </w:pPr>
      <w:r w:rsidRPr="00AB3F33">
        <w:rPr>
          <w:rFonts w:eastAsia="Times New Roman" w:cs="Times New Roman"/>
          <w:szCs w:val="20"/>
        </w:rPr>
        <w:tab/>
        <w:t>In support of his argument of the meaning of “impose</w:t>
      </w:r>
      <w:r w:rsidR="00D65C9F">
        <w:rPr>
          <w:rFonts w:eastAsia="Times New Roman" w:cs="Times New Roman"/>
          <w:szCs w:val="20"/>
        </w:rPr>
        <w:t>,</w:t>
      </w:r>
      <w:r w:rsidRPr="00AB3F33">
        <w:rPr>
          <w:rFonts w:eastAsia="Times New Roman" w:cs="Times New Roman"/>
          <w:szCs w:val="20"/>
        </w:rPr>
        <w:t xml:space="preserve">” </w:t>
      </w:r>
      <w:r w:rsidR="00D65C9F">
        <w:rPr>
          <w:rFonts w:eastAsia="Times New Roman" w:cs="Times New Roman"/>
          <w:szCs w:val="20"/>
        </w:rPr>
        <w:t>d</w:t>
      </w:r>
      <w:r w:rsidRPr="00AB3F33">
        <w:rPr>
          <w:rFonts w:eastAsia="Times New Roman" w:cs="Times New Roman"/>
          <w:szCs w:val="20"/>
        </w:rPr>
        <w:t xml:space="preserve">efendant argues that the </w:t>
      </w:r>
      <w:r w:rsidRPr="00AB3F33">
        <w:rPr>
          <w:rFonts w:eastAsia="Times New Roman" w:cs="Times New Roman"/>
          <w:i/>
          <w:iCs/>
          <w:szCs w:val="20"/>
        </w:rPr>
        <w:t>Gonzalez</w:t>
      </w:r>
      <w:r w:rsidRPr="00AB3F33">
        <w:rPr>
          <w:rFonts w:eastAsia="Times New Roman" w:cs="Times New Roman"/>
          <w:szCs w:val="20"/>
        </w:rPr>
        <w:t xml:space="preserve"> decision put the Legislature on notice of the potential for ambiguity in using the term “impose” without further clarification.</w:t>
      </w:r>
      <w:r w:rsidR="00D65C9F">
        <w:rPr>
          <w:rFonts w:eastAsia="Times New Roman" w:cs="Times New Roman"/>
          <w:szCs w:val="20"/>
        </w:rPr>
        <w:t xml:space="preserve"> </w:t>
      </w:r>
      <w:r w:rsidRPr="00AB3F33">
        <w:rPr>
          <w:rFonts w:eastAsia="Times New Roman" w:cs="Times New Roman"/>
          <w:szCs w:val="20"/>
        </w:rPr>
        <w:t xml:space="preserve"> Defendant concludes the Legislature’s failure to qualify the term demonstrates the Legislature’s intent for both usages (“imposed and stayed” and “imposed and executed”) to be operative under section</w:t>
      </w:r>
      <w:r w:rsidR="00D65C9F">
        <w:rPr>
          <w:rFonts w:eastAsia="Times New Roman" w:cs="Times New Roman"/>
          <w:szCs w:val="20"/>
        </w:rPr>
        <w:t> </w:t>
      </w:r>
      <w:r w:rsidRPr="00AB3F33">
        <w:rPr>
          <w:rFonts w:eastAsia="Times New Roman" w:cs="Times New Roman"/>
          <w:szCs w:val="20"/>
        </w:rPr>
        <w:t>1172.75.</w:t>
      </w:r>
      <w:r w:rsidR="00D65C9F">
        <w:rPr>
          <w:rFonts w:eastAsia="Times New Roman" w:cs="Times New Roman"/>
          <w:szCs w:val="20"/>
        </w:rPr>
        <w:t xml:space="preserve"> </w:t>
      </w:r>
      <w:r w:rsidRPr="00AB3F33">
        <w:rPr>
          <w:rFonts w:eastAsia="Times New Roman" w:cs="Times New Roman"/>
          <w:szCs w:val="20"/>
        </w:rPr>
        <w:t xml:space="preserve"> However, an equally plausible conclusion could be drawn from the same facts.  It could be argued the Legislature was aware of the holding in </w:t>
      </w:r>
      <w:r w:rsidRPr="00AB3F33">
        <w:rPr>
          <w:rFonts w:eastAsia="Times New Roman" w:cs="Times New Roman"/>
          <w:i/>
          <w:iCs/>
          <w:szCs w:val="20"/>
        </w:rPr>
        <w:t>Gonzalez</w:t>
      </w:r>
      <w:r w:rsidRPr="00AB3F33">
        <w:rPr>
          <w:rFonts w:eastAsia="Times New Roman" w:cs="Times New Roman"/>
          <w:szCs w:val="20"/>
        </w:rPr>
        <w:t xml:space="preserve"> finding that “imposed” meant “imposed and executed” and used the term “imposed” in accordance with the holding in </w:t>
      </w:r>
      <w:r w:rsidRPr="00AB3F33">
        <w:rPr>
          <w:rFonts w:eastAsia="Times New Roman" w:cs="Times New Roman"/>
          <w:i/>
          <w:iCs/>
          <w:szCs w:val="20"/>
        </w:rPr>
        <w:t>Gonzalez</w:t>
      </w:r>
      <w:r w:rsidRPr="00AB3F33">
        <w:rPr>
          <w:rFonts w:eastAsia="Times New Roman" w:cs="Times New Roman"/>
          <w:szCs w:val="20"/>
        </w:rPr>
        <w:t xml:space="preserve">.  Ultimately, it is the term’s use within the context of the statute </w:t>
      </w:r>
      <w:proofErr w:type="gramStart"/>
      <w:r w:rsidRPr="00AB3F33">
        <w:rPr>
          <w:rFonts w:eastAsia="Times New Roman" w:cs="Times New Roman"/>
          <w:szCs w:val="20"/>
        </w:rPr>
        <w:t>as a whole that</w:t>
      </w:r>
      <w:proofErr w:type="gramEnd"/>
      <w:r w:rsidRPr="00AB3F33">
        <w:rPr>
          <w:rFonts w:eastAsia="Times New Roman" w:cs="Times New Roman"/>
          <w:szCs w:val="20"/>
        </w:rPr>
        <w:t xml:space="preserve"> guides the definition, not the exact terminology used or omitted. </w:t>
      </w:r>
      <w:r w:rsidR="00D65C9F">
        <w:rPr>
          <w:rFonts w:eastAsia="Times New Roman" w:cs="Times New Roman"/>
          <w:szCs w:val="20"/>
        </w:rPr>
        <w:t xml:space="preserve"> </w:t>
      </w:r>
      <w:r w:rsidRPr="00AB3F33">
        <w:rPr>
          <w:rFonts w:eastAsia="Times New Roman" w:cs="Times New Roman"/>
          <w:szCs w:val="20"/>
        </w:rPr>
        <w:t>(</w:t>
      </w:r>
      <w:r w:rsidRPr="00AB3F33">
        <w:rPr>
          <w:rFonts w:eastAsia="Times New Roman" w:cs="Times New Roman"/>
          <w:i/>
          <w:iCs/>
          <w:szCs w:val="20"/>
        </w:rPr>
        <w:t>Gonzalez</w:t>
      </w:r>
      <w:r w:rsidRPr="00D65C9F">
        <w:rPr>
          <w:rFonts w:eastAsia="Times New Roman" w:cs="Times New Roman"/>
          <w:szCs w:val="20"/>
        </w:rPr>
        <w:t xml:space="preserve">, </w:t>
      </w:r>
      <w:r w:rsidRPr="00AB3F33">
        <w:rPr>
          <w:rFonts w:eastAsia="Times New Roman" w:cs="Times New Roman"/>
          <w:i/>
          <w:iCs/>
          <w:szCs w:val="20"/>
        </w:rPr>
        <w:t>supra</w:t>
      </w:r>
      <w:r w:rsidRPr="00D65C9F">
        <w:rPr>
          <w:rFonts w:eastAsia="Times New Roman" w:cs="Times New Roman"/>
          <w:szCs w:val="20"/>
        </w:rPr>
        <w:t xml:space="preserve">, </w:t>
      </w:r>
      <w:r w:rsidRPr="00AB3F33">
        <w:rPr>
          <w:rFonts w:eastAsia="Times New Roman" w:cs="Times New Roman"/>
          <w:szCs w:val="20"/>
        </w:rPr>
        <w:t xml:space="preserve">43 Cal.4th </w:t>
      </w:r>
      <w:r w:rsidR="00D65C9F">
        <w:rPr>
          <w:rFonts w:eastAsia="Times New Roman" w:cs="Times New Roman"/>
          <w:szCs w:val="20"/>
        </w:rPr>
        <w:t>at pp.</w:t>
      </w:r>
      <w:r w:rsidRPr="00AB3F33">
        <w:rPr>
          <w:rFonts w:eastAsia="Times New Roman" w:cs="Times New Roman"/>
          <w:szCs w:val="20"/>
        </w:rPr>
        <w:t xml:space="preserve"> 1126-1128.)</w:t>
      </w:r>
    </w:p>
    <w:p w14:paraId="08862D78" w14:textId="25F1F2DB" w:rsidR="00AB3F33" w:rsidRPr="00AB3F33" w:rsidRDefault="00CB33D8" w:rsidP="00D65C9F">
      <w:pPr>
        <w:ind w:firstLine="720"/>
        <w:rPr>
          <w:rFonts w:eastAsia="Times New Roman" w:cs="Times New Roman"/>
          <w:szCs w:val="20"/>
        </w:rPr>
      </w:pPr>
      <w:r w:rsidRPr="00AB3F33">
        <w:rPr>
          <w:rFonts w:eastAsia="Times New Roman" w:cs="Times New Roman"/>
          <w:szCs w:val="20"/>
        </w:rPr>
        <w:t xml:space="preserve">When reviewing the </w:t>
      </w:r>
      <w:proofErr w:type="gramStart"/>
      <w:r w:rsidRPr="00AB3F33">
        <w:rPr>
          <w:rFonts w:eastAsia="Times New Roman" w:cs="Times New Roman"/>
          <w:szCs w:val="20"/>
        </w:rPr>
        <w:t>statute as a whole, the</w:t>
      </w:r>
      <w:proofErr w:type="gramEnd"/>
      <w:r w:rsidRPr="00AB3F33">
        <w:rPr>
          <w:rFonts w:eastAsia="Times New Roman" w:cs="Times New Roman"/>
          <w:szCs w:val="20"/>
        </w:rPr>
        <w:t xml:space="preserve"> statutory construction that harmonizes the instructions and provisions contained within the statute is one that defines “imposed” as meaning “imposed and executed.”  As such, the principles of statutory construction dictate that the term “imposed” as used in section 1172.75, applies only to sentences that are “imposed and executed.”</w:t>
      </w:r>
    </w:p>
    <w:p w14:paraId="564B9183" w14:textId="77777777" w:rsidR="00AB3F33" w:rsidRPr="00AB3F33" w:rsidRDefault="00CB33D8" w:rsidP="00006EF7">
      <w:pPr>
        <w:keepNext/>
        <w:keepLines/>
        <w:numPr>
          <w:ilvl w:val="0"/>
          <w:numId w:val="1"/>
        </w:numPr>
        <w:ind w:left="0" w:firstLine="0"/>
        <w:contextualSpacing/>
        <w:rPr>
          <w:rFonts w:eastAsia="Times New Roman" w:cs="Times New Roman"/>
          <w:i/>
          <w:iCs/>
          <w:szCs w:val="20"/>
        </w:rPr>
      </w:pPr>
      <w:r w:rsidRPr="00AB3F33">
        <w:rPr>
          <w:rFonts w:eastAsia="Times New Roman" w:cs="Times New Roman"/>
          <w:i/>
          <w:iCs/>
          <w:szCs w:val="20"/>
        </w:rPr>
        <w:lastRenderedPageBreak/>
        <w:t>Legislative History</w:t>
      </w:r>
    </w:p>
    <w:p w14:paraId="04CF9BA4" w14:textId="1173B85E" w:rsidR="00AB3F33" w:rsidRPr="00AB3F33" w:rsidRDefault="00CB33D8" w:rsidP="00D65C9F">
      <w:pPr>
        <w:numPr>
          <w:ilvl w:val="0"/>
          <w:numId w:val="2"/>
        </w:numPr>
        <w:ind w:left="720" w:firstLine="0"/>
        <w:contextualSpacing/>
        <w:rPr>
          <w:rFonts w:eastAsia="Times New Roman" w:cs="Times New Roman"/>
          <w:i/>
          <w:iCs/>
          <w:szCs w:val="20"/>
        </w:rPr>
      </w:pPr>
      <w:r w:rsidRPr="00AB3F33">
        <w:rPr>
          <w:rFonts w:eastAsia="Times New Roman" w:cs="Times New Roman"/>
          <w:i/>
          <w:iCs/>
          <w:szCs w:val="20"/>
        </w:rPr>
        <w:t xml:space="preserve">Senate Bill </w:t>
      </w:r>
      <w:r w:rsidR="00190832">
        <w:rPr>
          <w:rFonts w:eastAsia="Times New Roman" w:cs="Times New Roman"/>
          <w:i/>
          <w:iCs/>
          <w:szCs w:val="20"/>
        </w:rPr>
        <w:t xml:space="preserve">No. </w:t>
      </w:r>
      <w:r w:rsidRPr="00AB3F33">
        <w:rPr>
          <w:rFonts w:eastAsia="Times New Roman" w:cs="Times New Roman"/>
          <w:i/>
          <w:iCs/>
          <w:szCs w:val="20"/>
        </w:rPr>
        <w:t>136</w:t>
      </w:r>
    </w:p>
    <w:p w14:paraId="33DAEE81" w14:textId="4B639D3D" w:rsidR="00AB3F33" w:rsidRPr="00AB3F33" w:rsidRDefault="00CB33D8" w:rsidP="00D65C9F">
      <w:pPr>
        <w:ind w:firstLine="720"/>
        <w:contextualSpacing/>
        <w:rPr>
          <w:rFonts w:eastAsia="Times New Roman" w:cs="Times New Roman"/>
          <w:szCs w:val="20"/>
        </w:rPr>
      </w:pPr>
      <w:bookmarkStart w:id="3" w:name="_Hlk142986365"/>
      <w:r w:rsidRPr="00AB3F33">
        <w:rPr>
          <w:rFonts w:eastAsia="Times New Roman" w:cs="Times New Roman"/>
          <w:szCs w:val="20"/>
        </w:rPr>
        <w:t xml:space="preserve">Governor Gavin Newsom signed Senate Bill </w:t>
      </w:r>
      <w:r w:rsidR="00190832">
        <w:rPr>
          <w:rFonts w:eastAsia="Times New Roman" w:cs="Times New Roman"/>
          <w:szCs w:val="20"/>
        </w:rPr>
        <w:t xml:space="preserve">No. </w:t>
      </w:r>
      <w:r w:rsidRPr="00AB3F33">
        <w:rPr>
          <w:rFonts w:eastAsia="Times New Roman" w:cs="Times New Roman"/>
          <w:szCs w:val="20"/>
        </w:rPr>
        <w:t xml:space="preserve">136 </w:t>
      </w:r>
      <w:r w:rsidR="00190832">
        <w:rPr>
          <w:rFonts w:eastAsia="Times New Roman" w:cs="Times New Roman"/>
          <w:szCs w:val="20"/>
        </w:rPr>
        <w:t xml:space="preserve">(Senate Bill 136) (2019-2020 Reg. Sess.) </w:t>
      </w:r>
      <w:r w:rsidRPr="00AB3F33">
        <w:rPr>
          <w:rFonts w:eastAsia="Times New Roman" w:cs="Times New Roman"/>
          <w:szCs w:val="20"/>
        </w:rPr>
        <w:t xml:space="preserve">on October 8, 2019. </w:t>
      </w:r>
      <w:r w:rsidR="00D65C9F">
        <w:rPr>
          <w:rFonts w:eastAsia="Times New Roman" w:cs="Times New Roman"/>
          <w:szCs w:val="20"/>
        </w:rPr>
        <w:t xml:space="preserve"> </w:t>
      </w:r>
      <w:r w:rsidRPr="00AB3F33">
        <w:rPr>
          <w:rFonts w:eastAsia="Times New Roman" w:cs="Times New Roman"/>
          <w:szCs w:val="20"/>
        </w:rPr>
        <w:t xml:space="preserve">Senate Bill 136 is intended to </w:t>
      </w:r>
      <w:proofErr w:type="gramStart"/>
      <w:r w:rsidRPr="00AB3F33">
        <w:rPr>
          <w:rFonts w:eastAsia="Times New Roman" w:cs="Times New Roman"/>
          <w:szCs w:val="20"/>
        </w:rPr>
        <w:t>“</w:t>
      </w:r>
      <w:r w:rsidR="00190832">
        <w:rPr>
          <w:rFonts w:eastAsia="Times New Roman" w:cs="Times New Roman"/>
          <w:szCs w:val="20"/>
        </w:rPr>
        <w:t xml:space="preserve"> ‘</w:t>
      </w:r>
      <w:proofErr w:type="gramEnd"/>
      <w:r w:rsidRPr="00AB3F33">
        <w:rPr>
          <w:rFonts w:eastAsia="Times New Roman" w:cs="Times New Roman"/>
          <w:szCs w:val="20"/>
        </w:rPr>
        <w:t>repeal[] a common and costly one-year enhancement that applies for each prior felony prison term or felony county jail term an individual has served.</w:t>
      </w:r>
      <w:r w:rsidR="00190832">
        <w:rPr>
          <w:rFonts w:eastAsia="Times New Roman" w:cs="Times New Roman"/>
          <w:szCs w:val="20"/>
        </w:rPr>
        <w:t xml:space="preserve">’ </w:t>
      </w:r>
      <w:r w:rsidRPr="00AB3F33">
        <w:rPr>
          <w:rFonts w:eastAsia="Times New Roman" w:cs="Times New Roman"/>
          <w:szCs w:val="20"/>
        </w:rPr>
        <w:t xml:space="preserve">” </w:t>
      </w:r>
      <w:r w:rsidR="00D65C9F">
        <w:rPr>
          <w:rFonts w:eastAsia="Times New Roman" w:cs="Times New Roman"/>
          <w:szCs w:val="20"/>
        </w:rPr>
        <w:t xml:space="preserve"> </w:t>
      </w:r>
      <w:r w:rsidRPr="00AB3F33">
        <w:rPr>
          <w:rFonts w:eastAsia="Times New Roman" w:cs="Times New Roman"/>
          <w:szCs w:val="20"/>
        </w:rPr>
        <w:t>(</w:t>
      </w:r>
      <w:r w:rsidR="00190832">
        <w:rPr>
          <w:rFonts w:eastAsia="Times New Roman" w:cs="Times New Roman"/>
          <w:szCs w:val="20"/>
        </w:rPr>
        <w:t>Sen. Bill</w:t>
      </w:r>
      <w:r w:rsidRPr="00AB3F33">
        <w:rPr>
          <w:rFonts w:eastAsia="Times New Roman" w:cs="Times New Roman"/>
          <w:szCs w:val="20"/>
        </w:rPr>
        <w:t xml:space="preserve"> 136,</w:t>
      </w:r>
      <w:r w:rsidR="00190832">
        <w:rPr>
          <w:rFonts w:eastAsia="Times New Roman" w:cs="Times New Roman"/>
          <w:szCs w:val="20"/>
        </w:rPr>
        <w:t xml:space="preserve"> </w:t>
      </w:r>
      <w:r w:rsidR="007C34A5">
        <w:rPr>
          <w:rFonts w:eastAsia="Times New Roman" w:cs="Times New Roman"/>
          <w:szCs w:val="20"/>
        </w:rPr>
        <w:t xml:space="preserve">Assembly Floor Analysis, </w:t>
      </w:r>
      <w:r w:rsidR="00190832">
        <w:rPr>
          <w:rFonts w:eastAsia="Times New Roman" w:cs="Times New Roman"/>
          <w:szCs w:val="20"/>
        </w:rPr>
        <w:t>3d reading, as amended</w:t>
      </w:r>
      <w:r w:rsidRPr="00AB3F33">
        <w:rPr>
          <w:rFonts w:eastAsia="Times New Roman" w:cs="Times New Roman"/>
          <w:szCs w:val="20"/>
        </w:rPr>
        <w:t xml:space="preserve"> Sept</w:t>
      </w:r>
      <w:r w:rsidR="00190832">
        <w:rPr>
          <w:rFonts w:eastAsia="Times New Roman" w:cs="Times New Roman"/>
          <w:szCs w:val="20"/>
        </w:rPr>
        <w:t>.</w:t>
      </w:r>
      <w:r w:rsidRPr="00AB3F33">
        <w:rPr>
          <w:rFonts w:eastAsia="Times New Roman" w:cs="Times New Roman"/>
          <w:szCs w:val="20"/>
        </w:rPr>
        <w:t xml:space="preserve"> </w:t>
      </w:r>
      <w:r w:rsidR="00190832">
        <w:rPr>
          <w:rFonts w:eastAsia="Times New Roman" w:cs="Times New Roman"/>
          <w:szCs w:val="20"/>
        </w:rPr>
        <w:t>3</w:t>
      </w:r>
      <w:r w:rsidRPr="00AB3F33">
        <w:rPr>
          <w:rFonts w:eastAsia="Times New Roman" w:cs="Times New Roman"/>
          <w:szCs w:val="20"/>
        </w:rPr>
        <w:t xml:space="preserve">, 2019.) </w:t>
      </w:r>
      <w:r w:rsidR="00D65C9F">
        <w:rPr>
          <w:rFonts w:eastAsia="Times New Roman" w:cs="Times New Roman"/>
          <w:szCs w:val="20"/>
        </w:rPr>
        <w:t xml:space="preserve"> </w:t>
      </w:r>
      <w:r w:rsidRPr="00AB3F33">
        <w:rPr>
          <w:rFonts w:eastAsia="Times New Roman" w:cs="Times New Roman"/>
          <w:szCs w:val="20"/>
        </w:rPr>
        <w:t xml:space="preserve">“The imposition of this enhancement is ineffective in protecting public safety, is wasteful of public resources, and is damaging to the families and communities that disproportionately suffer from these long sentences.” </w:t>
      </w:r>
      <w:r w:rsidR="00D65C9F">
        <w:rPr>
          <w:rFonts w:eastAsia="Times New Roman" w:cs="Times New Roman"/>
          <w:szCs w:val="20"/>
        </w:rPr>
        <w:t xml:space="preserve"> </w:t>
      </w:r>
      <w:r w:rsidRPr="00AB3F33">
        <w:rPr>
          <w:rFonts w:eastAsia="Times New Roman" w:cs="Times New Roman"/>
          <w:szCs w:val="20"/>
        </w:rPr>
        <w:t xml:space="preserve">(Sen. Com. </w:t>
      </w:r>
      <w:r w:rsidR="00D65C9F">
        <w:rPr>
          <w:rFonts w:eastAsia="Times New Roman" w:cs="Times New Roman"/>
          <w:szCs w:val="20"/>
        </w:rPr>
        <w:t>o</w:t>
      </w:r>
      <w:r w:rsidRPr="00AB3F33">
        <w:rPr>
          <w:rFonts w:eastAsia="Times New Roman" w:cs="Times New Roman"/>
          <w:szCs w:val="20"/>
        </w:rPr>
        <w:t xml:space="preserve">n Pub. Safety, </w:t>
      </w:r>
      <w:bookmarkStart w:id="4" w:name="_Hlk144887946"/>
      <w:r w:rsidR="007C34A5">
        <w:rPr>
          <w:rFonts w:eastAsia="Times New Roman" w:cs="Times New Roman"/>
          <w:szCs w:val="20"/>
        </w:rPr>
        <w:t xml:space="preserve">Analysis of </w:t>
      </w:r>
      <w:r w:rsidR="00357CE7">
        <w:rPr>
          <w:rFonts w:eastAsia="Times New Roman" w:cs="Times New Roman"/>
          <w:szCs w:val="20"/>
        </w:rPr>
        <w:t>Sen</w:t>
      </w:r>
      <w:r w:rsidR="007C34A5">
        <w:rPr>
          <w:rFonts w:eastAsia="Times New Roman" w:cs="Times New Roman"/>
          <w:szCs w:val="20"/>
        </w:rPr>
        <w:t xml:space="preserve">. Bill No. 136 (2019-2020 Reg. Sess.) </w:t>
      </w:r>
      <w:r w:rsidR="002B3046">
        <w:rPr>
          <w:rFonts w:eastAsia="Times New Roman" w:cs="Times New Roman"/>
          <w:szCs w:val="20"/>
        </w:rPr>
        <w:t xml:space="preserve">as amended </w:t>
      </w:r>
      <w:r w:rsidR="007C34A5">
        <w:rPr>
          <w:rFonts w:eastAsia="Times New Roman" w:cs="Times New Roman"/>
          <w:szCs w:val="20"/>
        </w:rPr>
        <w:t>January</w:t>
      </w:r>
      <w:r w:rsidR="001B2BA1">
        <w:rPr>
          <w:rFonts w:eastAsia="Times New Roman" w:cs="Times New Roman"/>
          <w:szCs w:val="20"/>
        </w:rPr>
        <w:t> </w:t>
      </w:r>
      <w:r w:rsidR="007C34A5">
        <w:rPr>
          <w:rFonts w:eastAsia="Times New Roman" w:cs="Times New Roman"/>
          <w:szCs w:val="20"/>
        </w:rPr>
        <w:t>15</w:t>
      </w:r>
      <w:r w:rsidRPr="00AB3F33">
        <w:rPr>
          <w:rFonts w:eastAsia="Times New Roman" w:cs="Times New Roman"/>
          <w:szCs w:val="20"/>
        </w:rPr>
        <w:t xml:space="preserve">, 2019, at p. </w:t>
      </w:r>
      <w:bookmarkEnd w:id="4"/>
      <w:r w:rsidRPr="00AB3F33">
        <w:rPr>
          <w:rFonts w:eastAsia="Times New Roman" w:cs="Times New Roman"/>
          <w:szCs w:val="20"/>
        </w:rPr>
        <w:t xml:space="preserve">2.) </w:t>
      </w:r>
      <w:r w:rsidR="00D65C9F">
        <w:rPr>
          <w:rFonts w:eastAsia="Times New Roman" w:cs="Times New Roman"/>
          <w:szCs w:val="20"/>
        </w:rPr>
        <w:t xml:space="preserve"> </w:t>
      </w:r>
      <w:r w:rsidRPr="00AB3F33">
        <w:rPr>
          <w:rFonts w:eastAsia="Times New Roman" w:cs="Times New Roman"/>
          <w:szCs w:val="20"/>
        </w:rPr>
        <w:t>Senate Bill 136’s author argued, “[t]his single enhancement, applied wholesale and scattershot, is a massive driver of prison and jail populations and associated costs to taxpayers and to the families of incarcerated Californians.”</w:t>
      </w:r>
      <w:r w:rsidR="00D65C9F">
        <w:rPr>
          <w:rFonts w:eastAsia="Times New Roman" w:cs="Times New Roman"/>
          <w:szCs w:val="20"/>
        </w:rPr>
        <w:t xml:space="preserve"> </w:t>
      </w:r>
      <w:r w:rsidRPr="00AB3F33">
        <w:rPr>
          <w:rFonts w:eastAsia="Times New Roman" w:cs="Times New Roman"/>
          <w:szCs w:val="20"/>
        </w:rPr>
        <w:t xml:space="preserve"> (Sen. Com. </w:t>
      </w:r>
      <w:r w:rsidR="00D65C9F">
        <w:rPr>
          <w:rFonts w:eastAsia="Times New Roman" w:cs="Times New Roman"/>
          <w:szCs w:val="20"/>
        </w:rPr>
        <w:t>o</w:t>
      </w:r>
      <w:r w:rsidRPr="00AB3F33">
        <w:rPr>
          <w:rFonts w:eastAsia="Times New Roman" w:cs="Times New Roman"/>
          <w:szCs w:val="20"/>
        </w:rPr>
        <w:t xml:space="preserve">n Pub. Safety, </w:t>
      </w:r>
      <w:r w:rsidR="007C34A5">
        <w:rPr>
          <w:rFonts w:eastAsia="Times New Roman" w:cs="Times New Roman"/>
          <w:szCs w:val="20"/>
        </w:rPr>
        <w:t xml:space="preserve">Analysis of </w:t>
      </w:r>
      <w:r w:rsidR="00357CE7">
        <w:rPr>
          <w:rFonts w:eastAsia="Times New Roman" w:cs="Times New Roman"/>
          <w:szCs w:val="20"/>
        </w:rPr>
        <w:t>Sen</w:t>
      </w:r>
      <w:r w:rsidR="007C34A5">
        <w:rPr>
          <w:rFonts w:eastAsia="Times New Roman" w:cs="Times New Roman"/>
          <w:szCs w:val="20"/>
        </w:rPr>
        <w:t xml:space="preserve">. Bill No. 136 (2019-2020 Reg. Sess.) </w:t>
      </w:r>
      <w:r w:rsidR="002B3046">
        <w:rPr>
          <w:rFonts w:eastAsia="Times New Roman" w:cs="Times New Roman"/>
          <w:szCs w:val="20"/>
        </w:rPr>
        <w:t xml:space="preserve">as amended </w:t>
      </w:r>
      <w:r w:rsidR="007C34A5">
        <w:rPr>
          <w:rFonts w:eastAsia="Times New Roman" w:cs="Times New Roman"/>
          <w:szCs w:val="20"/>
        </w:rPr>
        <w:t>January 15</w:t>
      </w:r>
      <w:r w:rsidR="007C34A5" w:rsidRPr="00AB3F33">
        <w:rPr>
          <w:rFonts w:eastAsia="Times New Roman" w:cs="Times New Roman"/>
          <w:szCs w:val="20"/>
        </w:rPr>
        <w:t xml:space="preserve">, 2019, at p. </w:t>
      </w:r>
      <w:r w:rsidRPr="00AB3F33">
        <w:rPr>
          <w:rFonts w:eastAsia="Times New Roman" w:cs="Times New Roman"/>
          <w:szCs w:val="20"/>
        </w:rPr>
        <w:t xml:space="preserve">3.) </w:t>
      </w:r>
      <w:r w:rsidR="00D65C9F">
        <w:rPr>
          <w:rFonts w:eastAsia="Times New Roman" w:cs="Times New Roman"/>
          <w:szCs w:val="20"/>
        </w:rPr>
        <w:t xml:space="preserve"> </w:t>
      </w:r>
      <w:r w:rsidRPr="00AB3F33">
        <w:rPr>
          <w:rFonts w:eastAsia="Times New Roman" w:cs="Times New Roman"/>
          <w:szCs w:val="20"/>
        </w:rPr>
        <w:t>In discussing the potential benefits of enactment, Senate Bill 136’s author offered that “[r]</w:t>
      </w:r>
      <w:proofErr w:type="spellStart"/>
      <w:r w:rsidRPr="00AB3F33">
        <w:rPr>
          <w:rFonts w:eastAsia="Times New Roman" w:cs="Times New Roman"/>
          <w:szCs w:val="20"/>
        </w:rPr>
        <w:t>epealing</w:t>
      </w:r>
      <w:proofErr w:type="spellEnd"/>
      <w:r w:rsidRPr="00AB3F33">
        <w:rPr>
          <w:rFonts w:eastAsia="Times New Roman" w:cs="Times New Roman"/>
          <w:szCs w:val="20"/>
        </w:rPr>
        <w:t xml:space="preserve"> ineffective sentencing enhancements will save hundreds of millions of dollars, reduce prison and jail populations, mitigate racial and gender disparities in incarceration, and end the double punishment for prior convictions.”</w:t>
      </w:r>
      <w:r w:rsidR="00D65C9F">
        <w:rPr>
          <w:rFonts w:eastAsia="Times New Roman" w:cs="Times New Roman"/>
          <w:szCs w:val="20"/>
        </w:rPr>
        <w:t xml:space="preserve"> </w:t>
      </w:r>
      <w:r w:rsidRPr="00AB3F33">
        <w:rPr>
          <w:rFonts w:eastAsia="Times New Roman" w:cs="Times New Roman"/>
          <w:szCs w:val="20"/>
        </w:rPr>
        <w:t xml:space="preserve"> (Sen. Com. </w:t>
      </w:r>
      <w:r w:rsidR="00D65C9F">
        <w:rPr>
          <w:rFonts w:eastAsia="Times New Roman" w:cs="Times New Roman"/>
          <w:szCs w:val="20"/>
        </w:rPr>
        <w:t>o</w:t>
      </w:r>
      <w:r w:rsidRPr="00AB3F33">
        <w:rPr>
          <w:rFonts w:eastAsia="Times New Roman" w:cs="Times New Roman"/>
          <w:szCs w:val="20"/>
        </w:rPr>
        <w:t xml:space="preserve">n Pub. Safety, </w:t>
      </w:r>
      <w:r w:rsidR="007C34A5">
        <w:rPr>
          <w:rFonts w:eastAsia="Times New Roman" w:cs="Times New Roman"/>
          <w:szCs w:val="20"/>
        </w:rPr>
        <w:t xml:space="preserve">Analysis of </w:t>
      </w:r>
      <w:r w:rsidR="00357CE7">
        <w:rPr>
          <w:rFonts w:eastAsia="Times New Roman" w:cs="Times New Roman"/>
          <w:szCs w:val="20"/>
        </w:rPr>
        <w:t>Sen</w:t>
      </w:r>
      <w:r w:rsidR="007C34A5">
        <w:rPr>
          <w:rFonts w:eastAsia="Times New Roman" w:cs="Times New Roman"/>
          <w:szCs w:val="20"/>
        </w:rPr>
        <w:t>. Bill No.</w:t>
      </w:r>
      <w:r w:rsidR="002B3046">
        <w:rPr>
          <w:rFonts w:eastAsia="Times New Roman" w:cs="Times New Roman"/>
          <w:szCs w:val="20"/>
        </w:rPr>
        <w:t> </w:t>
      </w:r>
      <w:r w:rsidR="007C34A5">
        <w:rPr>
          <w:rFonts w:eastAsia="Times New Roman" w:cs="Times New Roman"/>
          <w:szCs w:val="20"/>
        </w:rPr>
        <w:t xml:space="preserve">136 (2019-2020 Reg. Sess.) </w:t>
      </w:r>
      <w:r w:rsidR="002B3046">
        <w:rPr>
          <w:rFonts w:eastAsia="Times New Roman" w:cs="Times New Roman"/>
          <w:szCs w:val="20"/>
        </w:rPr>
        <w:t xml:space="preserve">as amended </w:t>
      </w:r>
      <w:r w:rsidR="007C34A5">
        <w:rPr>
          <w:rFonts w:eastAsia="Times New Roman" w:cs="Times New Roman"/>
          <w:szCs w:val="20"/>
        </w:rPr>
        <w:t>January 15</w:t>
      </w:r>
      <w:r w:rsidR="007C34A5" w:rsidRPr="00AB3F33">
        <w:rPr>
          <w:rFonts w:eastAsia="Times New Roman" w:cs="Times New Roman"/>
          <w:szCs w:val="20"/>
        </w:rPr>
        <w:t xml:space="preserve">, 2019, at p. </w:t>
      </w:r>
      <w:r w:rsidRPr="00AB3F33">
        <w:rPr>
          <w:rFonts w:eastAsia="Times New Roman" w:cs="Times New Roman"/>
          <w:szCs w:val="20"/>
        </w:rPr>
        <w:t xml:space="preserve">3.) </w:t>
      </w:r>
    </w:p>
    <w:bookmarkEnd w:id="3"/>
    <w:p w14:paraId="2852B309" w14:textId="77777777" w:rsidR="00AB3F33" w:rsidRPr="00AB3F33" w:rsidRDefault="00CB33D8" w:rsidP="00006EF7">
      <w:pPr>
        <w:keepNext/>
        <w:keepLines/>
        <w:numPr>
          <w:ilvl w:val="0"/>
          <w:numId w:val="2"/>
        </w:numPr>
        <w:ind w:left="720" w:firstLine="0"/>
        <w:contextualSpacing/>
        <w:rPr>
          <w:rFonts w:eastAsia="Times New Roman" w:cs="Times New Roman"/>
          <w:i/>
          <w:iCs/>
          <w:szCs w:val="20"/>
        </w:rPr>
      </w:pPr>
      <w:r w:rsidRPr="00AB3F33">
        <w:rPr>
          <w:rFonts w:eastAsia="Times New Roman" w:cs="Times New Roman"/>
          <w:i/>
          <w:iCs/>
          <w:szCs w:val="20"/>
        </w:rPr>
        <w:lastRenderedPageBreak/>
        <w:t>Senate Bill 483</w:t>
      </w:r>
    </w:p>
    <w:p w14:paraId="4EE115D8" w14:textId="012C7015" w:rsidR="00AB3F33" w:rsidRPr="00AB3F33" w:rsidRDefault="00CB33D8" w:rsidP="00D65C9F">
      <w:pPr>
        <w:ind w:firstLine="720"/>
        <w:rPr>
          <w:rFonts w:eastAsia="Times New Roman" w:cs="Times New Roman"/>
          <w:szCs w:val="20"/>
        </w:rPr>
      </w:pPr>
      <w:r w:rsidRPr="00AB3F33">
        <w:rPr>
          <w:rFonts w:eastAsia="Times New Roman" w:cs="Times New Roman"/>
          <w:szCs w:val="20"/>
        </w:rPr>
        <w:t xml:space="preserve">Senate Bill 483 is intended to “apply retroactively the repeal of sentence enhancements for prior prison or county jail felony terms and for prior convictions of specified crimes related to controlled substances.” </w:t>
      </w:r>
      <w:r w:rsidR="00D65C9F">
        <w:rPr>
          <w:rFonts w:eastAsia="Times New Roman" w:cs="Times New Roman"/>
          <w:szCs w:val="20"/>
        </w:rPr>
        <w:t xml:space="preserve"> </w:t>
      </w:r>
      <w:r w:rsidRPr="00AB3F33">
        <w:rPr>
          <w:rFonts w:eastAsia="Times New Roman" w:cs="Times New Roman"/>
          <w:szCs w:val="20"/>
        </w:rPr>
        <w:t xml:space="preserve">(Sen. Com. </w:t>
      </w:r>
      <w:r w:rsidR="00D65C9F">
        <w:rPr>
          <w:rFonts w:eastAsia="Times New Roman" w:cs="Times New Roman"/>
          <w:szCs w:val="20"/>
        </w:rPr>
        <w:t xml:space="preserve">on </w:t>
      </w:r>
      <w:r w:rsidRPr="00AB3F33">
        <w:rPr>
          <w:rFonts w:eastAsia="Times New Roman" w:cs="Times New Roman"/>
          <w:szCs w:val="20"/>
        </w:rPr>
        <w:t>Pub. Safety</w:t>
      </w:r>
      <w:bookmarkStart w:id="5" w:name="_Hlk144888688"/>
      <w:r w:rsidRPr="00AB3F33">
        <w:rPr>
          <w:rFonts w:eastAsia="Times New Roman" w:cs="Times New Roman"/>
          <w:szCs w:val="20"/>
        </w:rPr>
        <w:t xml:space="preserve">, </w:t>
      </w:r>
      <w:r w:rsidR="007C34A5">
        <w:rPr>
          <w:rFonts w:eastAsia="Times New Roman" w:cs="Times New Roman"/>
          <w:szCs w:val="20"/>
        </w:rPr>
        <w:t>Analysis</w:t>
      </w:r>
      <w:r w:rsidR="003C2B7B">
        <w:rPr>
          <w:rFonts w:eastAsia="Times New Roman" w:cs="Times New Roman"/>
          <w:szCs w:val="20"/>
        </w:rPr>
        <w:t xml:space="preserve"> of </w:t>
      </w:r>
      <w:r w:rsidR="00357CE7">
        <w:rPr>
          <w:rFonts w:eastAsia="Times New Roman" w:cs="Times New Roman"/>
          <w:szCs w:val="20"/>
        </w:rPr>
        <w:t>Sen</w:t>
      </w:r>
      <w:r w:rsidR="003C2B7B">
        <w:rPr>
          <w:rFonts w:eastAsia="Times New Roman" w:cs="Times New Roman"/>
          <w:szCs w:val="20"/>
        </w:rPr>
        <w:t xml:space="preserve">. Bill No. 483 (2021-2022 Reg. Sess.) </w:t>
      </w:r>
      <w:r w:rsidR="002B3046">
        <w:rPr>
          <w:rFonts w:eastAsia="Times New Roman" w:cs="Times New Roman"/>
          <w:szCs w:val="20"/>
        </w:rPr>
        <w:t xml:space="preserve">as amended </w:t>
      </w:r>
      <w:r w:rsidR="003C2B7B">
        <w:rPr>
          <w:rFonts w:eastAsia="Times New Roman" w:cs="Times New Roman"/>
          <w:szCs w:val="20"/>
        </w:rPr>
        <w:t xml:space="preserve">March 3, 2021, </w:t>
      </w:r>
      <w:r w:rsidRPr="00AB3F33">
        <w:rPr>
          <w:rFonts w:eastAsia="Times New Roman" w:cs="Times New Roman"/>
          <w:szCs w:val="20"/>
        </w:rPr>
        <w:t xml:space="preserve">at p. </w:t>
      </w:r>
      <w:bookmarkEnd w:id="5"/>
      <w:r w:rsidRPr="00AB3F33">
        <w:rPr>
          <w:rFonts w:eastAsia="Times New Roman" w:cs="Times New Roman"/>
          <w:szCs w:val="20"/>
        </w:rPr>
        <w:t>1</w:t>
      </w:r>
      <w:r w:rsidR="00190832">
        <w:rPr>
          <w:rFonts w:eastAsia="Times New Roman" w:cs="Times New Roman"/>
          <w:szCs w:val="20"/>
        </w:rPr>
        <w:t>, italics omitted</w:t>
      </w:r>
      <w:r w:rsidRPr="00AB3F33">
        <w:rPr>
          <w:rFonts w:eastAsia="Times New Roman" w:cs="Times New Roman"/>
          <w:szCs w:val="20"/>
        </w:rPr>
        <w:t xml:space="preserve">.) </w:t>
      </w:r>
      <w:r w:rsidR="00D65C9F">
        <w:rPr>
          <w:rFonts w:eastAsia="Times New Roman" w:cs="Times New Roman"/>
          <w:szCs w:val="20"/>
        </w:rPr>
        <w:t xml:space="preserve"> </w:t>
      </w:r>
      <w:r w:rsidRPr="00AB3F33">
        <w:rPr>
          <w:rFonts w:eastAsia="Times New Roman" w:cs="Times New Roman"/>
          <w:szCs w:val="20"/>
        </w:rPr>
        <w:t>Noting that “[e]</w:t>
      </w:r>
      <w:proofErr w:type="spellStart"/>
      <w:r w:rsidRPr="00AB3F33">
        <w:rPr>
          <w:rFonts w:eastAsia="Times New Roman" w:cs="Times New Roman"/>
          <w:szCs w:val="20"/>
        </w:rPr>
        <w:t>nhancements</w:t>
      </w:r>
      <w:proofErr w:type="spellEnd"/>
      <w:r w:rsidRPr="00AB3F33">
        <w:rPr>
          <w:rFonts w:eastAsia="Times New Roman" w:cs="Times New Roman"/>
          <w:szCs w:val="20"/>
        </w:rPr>
        <w:t xml:space="preserve"> add time to a person’s sentence</w:t>
      </w:r>
      <w:r w:rsidR="00D65C9F">
        <w:rPr>
          <w:rFonts w:eastAsia="Times New Roman" w:cs="Times New Roman"/>
          <w:szCs w:val="20"/>
        </w:rPr>
        <w:t xml:space="preserve"> </w:t>
      </w:r>
      <w:proofErr w:type="gramStart"/>
      <w:r w:rsidR="00D65C9F">
        <w:rPr>
          <w:rFonts w:eastAsia="Times New Roman" w:cs="Times New Roman"/>
          <w:szCs w:val="20"/>
        </w:rPr>
        <w:t>. . . ,</w:t>
      </w:r>
      <w:proofErr w:type="gramEnd"/>
      <w:r w:rsidRPr="00AB3F33">
        <w:rPr>
          <w:rFonts w:eastAsia="Times New Roman" w:cs="Times New Roman"/>
          <w:szCs w:val="20"/>
        </w:rPr>
        <w:t xml:space="preserve">” the Committee on Revision of the Penal Code recommended retroactively applying the elimination of </w:t>
      </w:r>
      <w:r w:rsidR="002C5FCD">
        <w:rPr>
          <w:rFonts w:eastAsia="Times New Roman" w:cs="Times New Roman"/>
          <w:szCs w:val="20"/>
        </w:rPr>
        <w:t xml:space="preserve">section 667.5(b) </w:t>
      </w:r>
      <w:r w:rsidRPr="00AB3F33">
        <w:rPr>
          <w:rFonts w:eastAsia="Times New Roman" w:cs="Times New Roman"/>
          <w:szCs w:val="20"/>
        </w:rPr>
        <w:t xml:space="preserve">enhancements to people currently held in prisons and jails, “ensuring that no one is serving time based on outdated rules.” </w:t>
      </w:r>
      <w:r w:rsidR="00D65C9F">
        <w:rPr>
          <w:rFonts w:eastAsia="Times New Roman" w:cs="Times New Roman"/>
          <w:szCs w:val="20"/>
        </w:rPr>
        <w:t xml:space="preserve"> </w:t>
      </w:r>
      <w:r w:rsidRPr="00AB3F33">
        <w:rPr>
          <w:rFonts w:eastAsia="Times New Roman" w:cs="Times New Roman"/>
          <w:szCs w:val="20"/>
        </w:rPr>
        <w:t xml:space="preserve">(Sen. Com. </w:t>
      </w:r>
      <w:r w:rsidR="00D65C9F">
        <w:rPr>
          <w:rFonts w:eastAsia="Times New Roman" w:cs="Times New Roman"/>
          <w:szCs w:val="20"/>
        </w:rPr>
        <w:t xml:space="preserve">on </w:t>
      </w:r>
      <w:r w:rsidRPr="00AB3F33">
        <w:rPr>
          <w:rFonts w:eastAsia="Times New Roman" w:cs="Times New Roman"/>
          <w:szCs w:val="20"/>
        </w:rPr>
        <w:t>Pub. Safety</w:t>
      </w:r>
      <w:r w:rsidR="003C2B7B" w:rsidRPr="00AB3F33">
        <w:rPr>
          <w:rFonts w:eastAsia="Times New Roman" w:cs="Times New Roman"/>
          <w:szCs w:val="20"/>
        </w:rPr>
        <w:t xml:space="preserve">, </w:t>
      </w:r>
      <w:r w:rsidR="003C2B7B">
        <w:rPr>
          <w:rFonts w:eastAsia="Times New Roman" w:cs="Times New Roman"/>
          <w:szCs w:val="20"/>
        </w:rPr>
        <w:t xml:space="preserve">Analysis of </w:t>
      </w:r>
      <w:r w:rsidR="001B2BA1">
        <w:rPr>
          <w:rFonts w:eastAsia="Times New Roman" w:cs="Times New Roman"/>
          <w:szCs w:val="20"/>
        </w:rPr>
        <w:t>Sen</w:t>
      </w:r>
      <w:r w:rsidR="003C2B7B">
        <w:rPr>
          <w:rFonts w:eastAsia="Times New Roman" w:cs="Times New Roman"/>
          <w:szCs w:val="20"/>
        </w:rPr>
        <w:t xml:space="preserve">. Bill No. 483 (2021-2022 Reg. Sess.) </w:t>
      </w:r>
      <w:r w:rsidR="002B3046">
        <w:rPr>
          <w:rFonts w:eastAsia="Times New Roman" w:cs="Times New Roman"/>
          <w:szCs w:val="20"/>
        </w:rPr>
        <w:t xml:space="preserve">as amended </w:t>
      </w:r>
      <w:r w:rsidR="003C2B7B">
        <w:rPr>
          <w:rFonts w:eastAsia="Times New Roman" w:cs="Times New Roman"/>
          <w:szCs w:val="20"/>
        </w:rPr>
        <w:t xml:space="preserve">March 3, 2021, </w:t>
      </w:r>
      <w:r w:rsidR="003C2B7B" w:rsidRPr="00AB3F33">
        <w:rPr>
          <w:rFonts w:eastAsia="Times New Roman" w:cs="Times New Roman"/>
          <w:szCs w:val="20"/>
        </w:rPr>
        <w:t xml:space="preserve">at </w:t>
      </w:r>
      <w:r w:rsidR="001B2BA1">
        <w:rPr>
          <w:rFonts w:eastAsia="Times New Roman" w:cs="Times New Roman"/>
          <w:szCs w:val="20"/>
        </w:rPr>
        <w:t>p</w:t>
      </w:r>
      <w:r w:rsidR="003C2B7B" w:rsidRPr="00AB3F33">
        <w:rPr>
          <w:rFonts w:eastAsia="Times New Roman" w:cs="Times New Roman"/>
          <w:szCs w:val="20"/>
        </w:rPr>
        <w:t>p.</w:t>
      </w:r>
      <w:r w:rsidR="002B3046">
        <w:rPr>
          <w:rFonts w:eastAsia="Times New Roman" w:cs="Times New Roman"/>
          <w:szCs w:val="20"/>
        </w:rPr>
        <w:t> </w:t>
      </w:r>
      <w:r w:rsidRPr="00AB3F33">
        <w:rPr>
          <w:rFonts w:eastAsia="Times New Roman" w:cs="Times New Roman"/>
          <w:szCs w:val="20"/>
        </w:rPr>
        <w:t>1-3.)</w:t>
      </w:r>
      <w:r w:rsidR="00D65C9F">
        <w:rPr>
          <w:rFonts w:eastAsia="Times New Roman" w:cs="Times New Roman"/>
          <w:szCs w:val="20"/>
        </w:rPr>
        <w:t xml:space="preserve"> </w:t>
      </w:r>
      <w:r w:rsidRPr="00AB3F33">
        <w:rPr>
          <w:rFonts w:eastAsia="Times New Roman" w:cs="Times New Roman"/>
          <w:szCs w:val="20"/>
        </w:rPr>
        <w:t xml:space="preserve"> </w:t>
      </w:r>
      <w:r w:rsidR="00D65C9F">
        <w:rPr>
          <w:rFonts w:eastAsia="Times New Roman" w:cs="Times New Roman"/>
          <w:szCs w:val="20"/>
        </w:rPr>
        <w:t>“</w:t>
      </w:r>
      <w:r w:rsidRPr="00AB3F33">
        <w:rPr>
          <w:rFonts w:eastAsia="Times New Roman" w:cs="Times New Roman"/>
          <w:szCs w:val="20"/>
        </w:rPr>
        <w:t>The retroactive RISE Act is another step forward in sustaining legislative momentum to eliminate unjust sentence enhancements and end wasteful incarceration spending in favor of community reinvestment.</w:t>
      </w:r>
      <w:r w:rsidR="00D65C9F">
        <w:rPr>
          <w:rFonts w:eastAsia="Times New Roman" w:cs="Times New Roman"/>
          <w:szCs w:val="20"/>
        </w:rPr>
        <w:t>”</w:t>
      </w:r>
      <w:r w:rsidRPr="00AB3F33">
        <w:rPr>
          <w:rFonts w:eastAsia="Times New Roman" w:cs="Times New Roman"/>
          <w:szCs w:val="20"/>
        </w:rPr>
        <w:t xml:space="preserve"> </w:t>
      </w:r>
      <w:r w:rsidR="00D65C9F">
        <w:rPr>
          <w:rFonts w:eastAsia="Times New Roman" w:cs="Times New Roman"/>
          <w:szCs w:val="20"/>
        </w:rPr>
        <w:t xml:space="preserve"> </w:t>
      </w:r>
      <w:r w:rsidRPr="00AB3F33">
        <w:rPr>
          <w:rFonts w:eastAsia="Times New Roman" w:cs="Times New Roman"/>
          <w:szCs w:val="20"/>
        </w:rPr>
        <w:t xml:space="preserve">(Sen. Com. </w:t>
      </w:r>
      <w:r w:rsidR="00D65C9F">
        <w:rPr>
          <w:rFonts w:eastAsia="Times New Roman" w:cs="Times New Roman"/>
          <w:szCs w:val="20"/>
        </w:rPr>
        <w:t xml:space="preserve">on </w:t>
      </w:r>
      <w:r w:rsidRPr="00AB3F33">
        <w:rPr>
          <w:rFonts w:eastAsia="Times New Roman" w:cs="Times New Roman"/>
          <w:szCs w:val="20"/>
        </w:rPr>
        <w:t>Pub. Safety</w:t>
      </w:r>
      <w:r w:rsidR="003C2B7B" w:rsidRPr="00AB3F33">
        <w:rPr>
          <w:rFonts w:eastAsia="Times New Roman" w:cs="Times New Roman"/>
          <w:szCs w:val="20"/>
        </w:rPr>
        <w:t xml:space="preserve">, </w:t>
      </w:r>
      <w:r w:rsidR="003C2B7B">
        <w:rPr>
          <w:rFonts w:eastAsia="Times New Roman" w:cs="Times New Roman"/>
          <w:szCs w:val="20"/>
        </w:rPr>
        <w:t xml:space="preserve">Analysis of </w:t>
      </w:r>
      <w:r w:rsidR="001B2BA1">
        <w:rPr>
          <w:rFonts w:eastAsia="Times New Roman" w:cs="Times New Roman"/>
          <w:szCs w:val="20"/>
        </w:rPr>
        <w:t>Sen</w:t>
      </w:r>
      <w:r w:rsidR="003C2B7B">
        <w:rPr>
          <w:rFonts w:eastAsia="Times New Roman" w:cs="Times New Roman"/>
          <w:szCs w:val="20"/>
        </w:rPr>
        <w:t xml:space="preserve">. Bill No. 483 (2021-2022 Reg. Sess.) </w:t>
      </w:r>
      <w:r w:rsidR="002B3046">
        <w:rPr>
          <w:rFonts w:eastAsia="Times New Roman" w:cs="Times New Roman"/>
          <w:szCs w:val="20"/>
        </w:rPr>
        <w:t xml:space="preserve">as amended </w:t>
      </w:r>
      <w:r w:rsidR="003C2B7B">
        <w:rPr>
          <w:rFonts w:eastAsia="Times New Roman" w:cs="Times New Roman"/>
          <w:szCs w:val="20"/>
        </w:rPr>
        <w:t xml:space="preserve">March 3, 2021, </w:t>
      </w:r>
      <w:r w:rsidR="003C2B7B" w:rsidRPr="00AB3F33">
        <w:rPr>
          <w:rFonts w:eastAsia="Times New Roman" w:cs="Times New Roman"/>
          <w:szCs w:val="20"/>
        </w:rPr>
        <w:t xml:space="preserve">at p. </w:t>
      </w:r>
      <w:r w:rsidRPr="00AB3F33">
        <w:rPr>
          <w:rFonts w:eastAsia="Times New Roman" w:cs="Times New Roman"/>
          <w:szCs w:val="20"/>
        </w:rPr>
        <w:t>6.)</w:t>
      </w:r>
    </w:p>
    <w:p w14:paraId="76FF3E25" w14:textId="3671ECDF" w:rsidR="00AB3F33" w:rsidRPr="00AB3F33" w:rsidRDefault="00CB33D8" w:rsidP="008B0000">
      <w:pPr>
        <w:keepNext/>
        <w:keepLines/>
        <w:numPr>
          <w:ilvl w:val="0"/>
          <w:numId w:val="1"/>
        </w:numPr>
        <w:ind w:left="0" w:firstLine="0"/>
        <w:contextualSpacing/>
        <w:rPr>
          <w:rFonts w:eastAsia="Times New Roman" w:cs="Times New Roman"/>
          <w:i/>
          <w:iCs/>
          <w:szCs w:val="20"/>
        </w:rPr>
      </w:pPr>
      <w:r w:rsidRPr="00AB3F33">
        <w:rPr>
          <w:rFonts w:eastAsia="Times New Roman" w:cs="Times New Roman"/>
          <w:i/>
          <w:iCs/>
          <w:szCs w:val="20"/>
        </w:rPr>
        <w:t>The Legislative History of Senate Bills 136 and 483 Illustrates Section 1172.75 was Intended to Apply to Sentences Imposed and Executed</w:t>
      </w:r>
    </w:p>
    <w:p w14:paraId="50955100" w14:textId="394DC9C4" w:rsidR="00AB3F33" w:rsidRPr="00AB3F33" w:rsidRDefault="00CB33D8" w:rsidP="00527512">
      <w:pPr>
        <w:ind w:firstLine="720"/>
        <w:contextualSpacing/>
        <w:rPr>
          <w:rFonts w:eastAsia="Times New Roman" w:cs="Times New Roman"/>
          <w:szCs w:val="20"/>
        </w:rPr>
      </w:pPr>
      <w:r w:rsidRPr="00AB3F33">
        <w:rPr>
          <w:rFonts w:eastAsia="Times New Roman" w:cs="Times New Roman"/>
          <w:szCs w:val="20"/>
        </w:rPr>
        <w:t>If a statute is ambiguous, extrinsic aids, including legislative history may be considered in resolving the ambiguity.</w:t>
      </w:r>
      <w:r w:rsidR="00527512">
        <w:rPr>
          <w:rFonts w:eastAsia="Times New Roman" w:cs="Times New Roman"/>
          <w:szCs w:val="20"/>
        </w:rPr>
        <w:t xml:space="preserve"> </w:t>
      </w:r>
      <w:r w:rsidRPr="00AB3F33">
        <w:rPr>
          <w:rFonts w:eastAsia="Times New Roman" w:cs="Times New Roman"/>
          <w:szCs w:val="20"/>
        </w:rPr>
        <w:t xml:space="preserve"> (</w:t>
      </w:r>
      <w:r w:rsidRPr="00AB3F33">
        <w:rPr>
          <w:rFonts w:eastAsia="Times New Roman" w:cs="Times New Roman"/>
          <w:i/>
          <w:iCs/>
          <w:szCs w:val="20"/>
        </w:rPr>
        <w:t>Gonzalez</w:t>
      </w:r>
      <w:r w:rsidRPr="00527512">
        <w:rPr>
          <w:rFonts w:eastAsia="Times New Roman" w:cs="Times New Roman"/>
          <w:szCs w:val="20"/>
        </w:rPr>
        <w:t>,</w:t>
      </w:r>
      <w:r w:rsidRPr="00AB3F33">
        <w:rPr>
          <w:rFonts w:eastAsia="Times New Roman" w:cs="Times New Roman"/>
          <w:i/>
          <w:iCs/>
          <w:szCs w:val="20"/>
        </w:rPr>
        <w:t xml:space="preserve"> supra</w:t>
      </w:r>
      <w:r w:rsidRPr="00527512">
        <w:rPr>
          <w:rFonts w:eastAsia="Times New Roman" w:cs="Times New Roman"/>
          <w:szCs w:val="20"/>
        </w:rPr>
        <w:t>,</w:t>
      </w:r>
      <w:r w:rsidRPr="00AB3F33">
        <w:rPr>
          <w:rFonts w:eastAsia="Times New Roman" w:cs="Times New Roman"/>
          <w:i/>
          <w:iCs/>
          <w:szCs w:val="20"/>
        </w:rPr>
        <w:t xml:space="preserve"> </w:t>
      </w:r>
      <w:r w:rsidRPr="00AB3F33">
        <w:rPr>
          <w:rFonts w:eastAsia="Times New Roman" w:cs="Times New Roman"/>
          <w:szCs w:val="20"/>
        </w:rPr>
        <w:t>43 Cal.4th</w:t>
      </w:r>
      <w:r w:rsidR="00527512">
        <w:rPr>
          <w:rFonts w:eastAsia="Times New Roman" w:cs="Times New Roman"/>
          <w:szCs w:val="20"/>
        </w:rPr>
        <w:t xml:space="preserve"> at p.</w:t>
      </w:r>
      <w:r w:rsidRPr="00AB3F33">
        <w:rPr>
          <w:rFonts w:eastAsia="Times New Roman" w:cs="Times New Roman"/>
          <w:szCs w:val="20"/>
        </w:rPr>
        <w:t xml:space="preserve"> 1126.) </w:t>
      </w:r>
      <w:r w:rsidR="00527512">
        <w:rPr>
          <w:rFonts w:eastAsia="Times New Roman" w:cs="Times New Roman"/>
          <w:szCs w:val="20"/>
        </w:rPr>
        <w:t xml:space="preserve"> </w:t>
      </w:r>
      <w:proofErr w:type="gramStart"/>
      <w:r w:rsidRPr="00AB3F33">
        <w:rPr>
          <w:rFonts w:eastAsia="Times New Roman" w:cs="Times New Roman"/>
          <w:szCs w:val="20"/>
        </w:rPr>
        <w:t>“</w:t>
      </w:r>
      <w:r w:rsidR="00527512">
        <w:rPr>
          <w:rFonts w:eastAsia="Times New Roman" w:cs="Times New Roman"/>
          <w:szCs w:val="20"/>
        </w:rPr>
        <w:t> </w:t>
      </w:r>
      <w:r w:rsidRPr="00AB3F33">
        <w:rPr>
          <w:rFonts w:eastAsia="Times New Roman" w:cs="Times New Roman"/>
          <w:szCs w:val="20"/>
        </w:rPr>
        <w:t>‘</w:t>
      </w:r>
      <w:proofErr w:type="gramEnd"/>
      <w:r w:rsidR="00190832">
        <w:rPr>
          <w:rFonts w:eastAsia="Times New Roman" w:cs="Times New Roman"/>
          <w:szCs w:val="20"/>
        </w:rPr>
        <w:t> “</w:t>
      </w:r>
      <w:r w:rsidRPr="00AB3F33">
        <w:rPr>
          <w:rFonts w:eastAsia="Times New Roman" w:cs="Times New Roman"/>
          <w:szCs w:val="20"/>
        </w:rPr>
        <w:t>Literal construction should not prevail if it is contrary to the legislative intent apparent in the statute</w:t>
      </w:r>
      <w:r w:rsidR="00527512">
        <w:rPr>
          <w:rFonts w:eastAsia="Times New Roman" w:cs="Times New Roman"/>
          <w:szCs w:val="20"/>
        </w:rPr>
        <w:t xml:space="preserve"> . . . </w:t>
      </w:r>
      <w:r w:rsidRPr="00AB3F33">
        <w:rPr>
          <w:rFonts w:eastAsia="Times New Roman" w:cs="Times New Roman"/>
          <w:szCs w:val="20"/>
        </w:rPr>
        <w:t>; and if a statute is amenable to two alternative interpretations, the one that leads to the more reasonable result will be followed [citation].</w:t>
      </w:r>
      <w:r w:rsidR="00190832">
        <w:rPr>
          <w:rFonts w:eastAsia="Times New Roman" w:cs="Times New Roman"/>
          <w:szCs w:val="20"/>
        </w:rPr>
        <w:t>”</w:t>
      </w:r>
      <w:r w:rsidR="00527512">
        <w:rPr>
          <w:rFonts w:eastAsia="Times New Roman" w:cs="Times New Roman"/>
          <w:szCs w:val="20"/>
        </w:rPr>
        <w:t xml:space="preserve"> </w:t>
      </w:r>
      <w:r w:rsidRPr="00AB3F33">
        <w:rPr>
          <w:rFonts w:eastAsia="Times New Roman" w:cs="Times New Roman"/>
          <w:szCs w:val="20"/>
        </w:rPr>
        <w:t xml:space="preserve"> </w:t>
      </w:r>
      <w:r w:rsidRPr="00AB3F33">
        <w:rPr>
          <w:rFonts w:eastAsia="Times New Roman" w:cs="Times New Roman"/>
          <w:szCs w:val="20"/>
        </w:rPr>
        <w:lastRenderedPageBreak/>
        <w:t>[Citations.]</w:t>
      </w:r>
      <w:proofErr w:type="gramStart"/>
      <w:r w:rsidR="00190832">
        <w:rPr>
          <w:rFonts w:eastAsia="Times New Roman" w:cs="Times New Roman"/>
          <w:szCs w:val="20"/>
        </w:rPr>
        <w:t>’ </w:t>
      </w:r>
      <w:r w:rsidRPr="00AB3F33">
        <w:rPr>
          <w:rFonts w:eastAsia="Times New Roman" w:cs="Times New Roman"/>
          <w:szCs w:val="20"/>
        </w:rPr>
        <w:t>”</w:t>
      </w:r>
      <w:proofErr w:type="gramEnd"/>
      <w:r w:rsidR="00527512">
        <w:rPr>
          <w:rFonts w:eastAsia="Times New Roman" w:cs="Times New Roman"/>
          <w:szCs w:val="20"/>
        </w:rPr>
        <w:t xml:space="preserve"> </w:t>
      </w:r>
      <w:r w:rsidRPr="00AB3F33">
        <w:rPr>
          <w:rFonts w:eastAsia="Times New Roman" w:cs="Times New Roman"/>
          <w:i/>
          <w:iCs/>
          <w:szCs w:val="20"/>
        </w:rPr>
        <w:t xml:space="preserve"> </w:t>
      </w:r>
      <w:r w:rsidRPr="00AB3F33">
        <w:rPr>
          <w:rFonts w:eastAsia="Times New Roman" w:cs="Times New Roman"/>
          <w:szCs w:val="20"/>
        </w:rPr>
        <w:t>(</w:t>
      </w:r>
      <w:r w:rsidRPr="00AB3F33">
        <w:rPr>
          <w:rFonts w:eastAsia="Times New Roman" w:cs="Times New Roman"/>
          <w:i/>
          <w:iCs/>
          <w:szCs w:val="20"/>
        </w:rPr>
        <w:t>Gonzalez</w:t>
      </w:r>
      <w:r w:rsidRPr="00527512">
        <w:rPr>
          <w:rFonts w:eastAsia="Times New Roman" w:cs="Times New Roman"/>
          <w:szCs w:val="20"/>
        </w:rPr>
        <w:t xml:space="preserve">, </w:t>
      </w:r>
      <w:r w:rsidR="00527512" w:rsidRPr="00527512">
        <w:rPr>
          <w:rFonts w:eastAsia="Times New Roman" w:cs="Times New Roman"/>
          <w:szCs w:val="20"/>
        </w:rPr>
        <w:t>at p.</w:t>
      </w:r>
      <w:r w:rsidRPr="00AB3F33">
        <w:rPr>
          <w:rFonts w:eastAsia="Times New Roman" w:cs="Times New Roman"/>
          <w:szCs w:val="20"/>
        </w:rPr>
        <w:t xml:space="preserve"> 1126 quoting </w:t>
      </w:r>
      <w:r w:rsidRPr="00AB3F33">
        <w:rPr>
          <w:rFonts w:eastAsia="Times New Roman" w:cs="Times New Roman"/>
          <w:i/>
          <w:iCs/>
          <w:szCs w:val="20"/>
        </w:rPr>
        <w:t xml:space="preserve">People v. Shabazz </w:t>
      </w:r>
      <w:r w:rsidRPr="00AB3F33">
        <w:rPr>
          <w:rFonts w:eastAsia="Times New Roman" w:cs="Times New Roman"/>
          <w:szCs w:val="20"/>
        </w:rPr>
        <w:t xml:space="preserve">(2006) </w:t>
      </w:r>
      <w:r w:rsidR="00190832">
        <w:rPr>
          <w:rFonts w:eastAsia="Times New Roman" w:cs="Times New Roman"/>
          <w:szCs w:val="20"/>
        </w:rPr>
        <w:t>3</w:t>
      </w:r>
      <w:r w:rsidRPr="00AB3F33">
        <w:rPr>
          <w:rFonts w:eastAsia="Times New Roman" w:cs="Times New Roman"/>
          <w:szCs w:val="20"/>
        </w:rPr>
        <w:t>8 Cal.4th 55, 67-68.)</w:t>
      </w:r>
    </w:p>
    <w:p w14:paraId="4A30FF98" w14:textId="34C3626F" w:rsidR="00AB3F33" w:rsidRPr="00AB3F33" w:rsidRDefault="00CB33D8" w:rsidP="00527512">
      <w:pPr>
        <w:ind w:firstLine="720"/>
        <w:rPr>
          <w:rFonts w:eastAsia="Times New Roman" w:cs="Times New Roman"/>
          <w:szCs w:val="20"/>
        </w:rPr>
      </w:pPr>
      <w:r w:rsidRPr="00AB3F33">
        <w:rPr>
          <w:rFonts w:eastAsia="Times New Roman" w:cs="Times New Roman"/>
          <w:szCs w:val="20"/>
        </w:rPr>
        <w:t xml:space="preserve">Here, it is relevant to review the legislative history of both Senate Bill 136 and 483 as Senate Bill 483 provided retroactive relief for the repeal executed in Senate Bill 136. </w:t>
      </w:r>
      <w:r w:rsidR="00527512">
        <w:rPr>
          <w:rFonts w:eastAsia="Times New Roman" w:cs="Times New Roman"/>
          <w:szCs w:val="20"/>
        </w:rPr>
        <w:t xml:space="preserve"> </w:t>
      </w:r>
      <w:r w:rsidRPr="00AB3F33">
        <w:rPr>
          <w:rFonts w:eastAsia="Times New Roman" w:cs="Times New Roman"/>
          <w:szCs w:val="20"/>
        </w:rPr>
        <w:t>(Sen. Com.</w:t>
      </w:r>
      <w:r w:rsidR="00527512">
        <w:rPr>
          <w:rFonts w:eastAsia="Times New Roman" w:cs="Times New Roman"/>
          <w:szCs w:val="20"/>
        </w:rPr>
        <w:t xml:space="preserve"> on</w:t>
      </w:r>
      <w:r w:rsidRPr="00AB3F33">
        <w:rPr>
          <w:rFonts w:eastAsia="Times New Roman" w:cs="Times New Roman"/>
          <w:szCs w:val="20"/>
        </w:rPr>
        <w:t xml:space="preserve"> Pub. Safety</w:t>
      </w:r>
      <w:r w:rsidR="003C2B7B" w:rsidRPr="00AB3F33">
        <w:rPr>
          <w:rFonts w:eastAsia="Times New Roman" w:cs="Times New Roman"/>
          <w:szCs w:val="20"/>
        </w:rPr>
        <w:t xml:space="preserve">, </w:t>
      </w:r>
      <w:r w:rsidR="003C2B7B">
        <w:rPr>
          <w:rFonts w:eastAsia="Times New Roman" w:cs="Times New Roman"/>
          <w:szCs w:val="20"/>
        </w:rPr>
        <w:t xml:space="preserve">Analysis of </w:t>
      </w:r>
      <w:r w:rsidR="001B2BA1">
        <w:rPr>
          <w:rFonts w:eastAsia="Times New Roman" w:cs="Times New Roman"/>
          <w:szCs w:val="20"/>
        </w:rPr>
        <w:t>Sen</w:t>
      </w:r>
      <w:r w:rsidR="003C2B7B">
        <w:rPr>
          <w:rFonts w:eastAsia="Times New Roman" w:cs="Times New Roman"/>
          <w:szCs w:val="20"/>
        </w:rPr>
        <w:t xml:space="preserve">. Bill No. 483 (2021-2022 Reg. Sess.) </w:t>
      </w:r>
      <w:r w:rsidR="002B3046">
        <w:rPr>
          <w:rFonts w:eastAsia="Times New Roman" w:cs="Times New Roman"/>
          <w:szCs w:val="20"/>
        </w:rPr>
        <w:t xml:space="preserve">as amended </w:t>
      </w:r>
      <w:r w:rsidR="003C2B7B">
        <w:rPr>
          <w:rFonts w:eastAsia="Times New Roman" w:cs="Times New Roman"/>
          <w:szCs w:val="20"/>
        </w:rPr>
        <w:t>March</w:t>
      </w:r>
      <w:r w:rsidR="001B2BA1">
        <w:rPr>
          <w:rFonts w:eastAsia="Times New Roman" w:cs="Times New Roman"/>
          <w:szCs w:val="20"/>
        </w:rPr>
        <w:t> </w:t>
      </w:r>
      <w:r w:rsidR="003C2B7B">
        <w:rPr>
          <w:rFonts w:eastAsia="Times New Roman" w:cs="Times New Roman"/>
          <w:szCs w:val="20"/>
        </w:rPr>
        <w:t xml:space="preserve">3, 2021, </w:t>
      </w:r>
      <w:r w:rsidR="003C2B7B" w:rsidRPr="00AB3F33">
        <w:rPr>
          <w:rFonts w:eastAsia="Times New Roman" w:cs="Times New Roman"/>
          <w:szCs w:val="20"/>
        </w:rPr>
        <w:t xml:space="preserve">at p. </w:t>
      </w:r>
      <w:r w:rsidRPr="00AB3F33">
        <w:rPr>
          <w:rFonts w:eastAsia="Times New Roman" w:cs="Times New Roman"/>
          <w:szCs w:val="20"/>
        </w:rPr>
        <w:t xml:space="preserve">2.) </w:t>
      </w:r>
      <w:r w:rsidR="00527512">
        <w:rPr>
          <w:rFonts w:eastAsia="Times New Roman" w:cs="Times New Roman"/>
          <w:szCs w:val="20"/>
        </w:rPr>
        <w:t xml:space="preserve"> </w:t>
      </w:r>
      <w:bookmarkStart w:id="6" w:name="_Hlk144743473"/>
      <w:r w:rsidRPr="00AB3F33">
        <w:rPr>
          <w:rFonts w:eastAsia="Times New Roman" w:cs="Times New Roman"/>
          <w:szCs w:val="20"/>
        </w:rPr>
        <w:t>The legislative history of Senate Bill</w:t>
      </w:r>
      <w:r w:rsidR="00190832">
        <w:rPr>
          <w:rFonts w:eastAsia="Times New Roman" w:cs="Times New Roman"/>
          <w:szCs w:val="20"/>
        </w:rPr>
        <w:t> </w:t>
      </w:r>
      <w:r w:rsidRPr="00AB3F33">
        <w:rPr>
          <w:rFonts w:eastAsia="Times New Roman" w:cs="Times New Roman"/>
          <w:szCs w:val="20"/>
        </w:rPr>
        <w:t>136 illustrates three primary motivations for the enactment of the bill</w:t>
      </w:r>
      <w:proofErr w:type="gramStart"/>
      <w:r w:rsidRPr="00AB3F33">
        <w:rPr>
          <w:rFonts w:eastAsia="Times New Roman" w:cs="Times New Roman"/>
          <w:szCs w:val="20"/>
        </w:rPr>
        <w:t xml:space="preserve">: </w:t>
      </w:r>
      <w:r w:rsidR="00527512">
        <w:rPr>
          <w:rFonts w:eastAsia="Times New Roman" w:cs="Times New Roman"/>
          <w:szCs w:val="20"/>
        </w:rPr>
        <w:t xml:space="preserve"> </w:t>
      </w:r>
      <w:r w:rsidRPr="00AB3F33">
        <w:rPr>
          <w:rFonts w:eastAsia="Times New Roman" w:cs="Times New Roman"/>
          <w:szCs w:val="20"/>
        </w:rPr>
        <w:t>(</w:t>
      </w:r>
      <w:proofErr w:type="gramEnd"/>
      <w:r w:rsidRPr="00AB3F33">
        <w:rPr>
          <w:rFonts w:eastAsia="Times New Roman" w:cs="Times New Roman"/>
          <w:szCs w:val="20"/>
        </w:rPr>
        <w:t>1)</w:t>
      </w:r>
      <w:r w:rsidR="00190832">
        <w:rPr>
          <w:rFonts w:eastAsia="Times New Roman" w:cs="Times New Roman"/>
          <w:szCs w:val="20"/>
        </w:rPr>
        <w:t> </w:t>
      </w:r>
      <w:r w:rsidRPr="00AB3F33">
        <w:rPr>
          <w:rFonts w:eastAsia="Times New Roman" w:cs="Times New Roman"/>
          <w:szCs w:val="20"/>
        </w:rPr>
        <w:t>sentencing enhancements are</w:t>
      </w:r>
      <w:r w:rsidR="002B3046">
        <w:rPr>
          <w:rFonts w:eastAsia="Times New Roman" w:cs="Times New Roman"/>
          <w:szCs w:val="20"/>
        </w:rPr>
        <w:t> </w:t>
      </w:r>
      <w:r w:rsidRPr="00AB3F33">
        <w:rPr>
          <w:rFonts w:eastAsia="Times New Roman" w:cs="Times New Roman"/>
          <w:szCs w:val="20"/>
        </w:rPr>
        <w:t xml:space="preserve">ineffective and disproportionately subject the </w:t>
      </w:r>
      <w:r w:rsidR="00190832">
        <w:rPr>
          <w:rFonts w:eastAsia="Times New Roman" w:cs="Times New Roman"/>
          <w:szCs w:val="20"/>
        </w:rPr>
        <w:t>“</w:t>
      </w:r>
      <w:r w:rsidRPr="00AB3F33">
        <w:rPr>
          <w:rFonts w:eastAsia="Times New Roman" w:cs="Times New Roman"/>
          <w:szCs w:val="20"/>
        </w:rPr>
        <w:t>Black and Latino</w:t>
      </w:r>
      <w:r w:rsidR="00190832">
        <w:rPr>
          <w:rFonts w:eastAsia="Times New Roman" w:cs="Times New Roman"/>
          <w:szCs w:val="20"/>
        </w:rPr>
        <w:t>”</w:t>
      </w:r>
      <w:r w:rsidRPr="00AB3F33">
        <w:rPr>
          <w:rFonts w:eastAsia="Times New Roman" w:cs="Times New Roman"/>
          <w:szCs w:val="20"/>
        </w:rPr>
        <w:t xml:space="preserve"> communities to longer periods of incarceration; (2) ending double punishment for prior convictions; (3)</w:t>
      </w:r>
      <w:r w:rsidR="002B3046">
        <w:rPr>
          <w:rFonts w:eastAsia="Times New Roman" w:cs="Times New Roman"/>
          <w:szCs w:val="20"/>
        </w:rPr>
        <w:t> </w:t>
      </w:r>
      <w:r w:rsidRPr="00AB3F33">
        <w:rPr>
          <w:rFonts w:eastAsia="Times New Roman" w:cs="Times New Roman"/>
          <w:szCs w:val="20"/>
        </w:rPr>
        <w:t xml:space="preserve">reallocating </w:t>
      </w:r>
      <w:r w:rsidR="00190832">
        <w:rPr>
          <w:rFonts w:eastAsia="Times New Roman" w:cs="Times New Roman"/>
          <w:szCs w:val="20"/>
        </w:rPr>
        <w:t>“</w:t>
      </w:r>
      <w:r w:rsidRPr="00AB3F33">
        <w:rPr>
          <w:rFonts w:eastAsia="Times New Roman" w:cs="Times New Roman"/>
          <w:szCs w:val="20"/>
        </w:rPr>
        <w:t>wasteful</w:t>
      </w:r>
      <w:r w:rsidR="00190832">
        <w:rPr>
          <w:rFonts w:eastAsia="Times New Roman" w:cs="Times New Roman"/>
          <w:szCs w:val="20"/>
        </w:rPr>
        <w:t>”</w:t>
      </w:r>
      <w:r w:rsidRPr="00AB3F33">
        <w:rPr>
          <w:rFonts w:eastAsia="Times New Roman" w:cs="Times New Roman"/>
          <w:szCs w:val="20"/>
        </w:rPr>
        <w:t xml:space="preserve"> spending from imprisonment to community-based services. </w:t>
      </w:r>
      <w:r w:rsidR="00527512">
        <w:rPr>
          <w:rFonts w:eastAsia="Times New Roman" w:cs="Times New Roman"/>
          <w:szCs w:val="20"/>
        </w:rPr>
        <w:t xml:space="preserve"> </w:t>
      </w:r>
      <w:r w:rsidRPr="00AB3F33">
        <w:rPr>
          <w:rFonts w:eastAsia="Times New Roman" w:cs="Times New Roman"/>
          <w:szCs w:val="20"/>
        </w:rPr>
        <w:t xml:space="preserve">(Sen. Com. </w:t>
      </w:r>
      <w:r w:rsidR="00527512">
        <w:rPr>
          <w:rFonts w:eastAsia="Times New Roman" w:cs="Times New Roman"/>
          <w:szCs w:val="20"/>
        </w:rPr>
        <w:t>o</w:t>
      </w:r>
      <w:r w:rsidRPr="00AB3F33">
        <w:rPr>
          <w:rFonts w:eastAsia="Times New Roman" w:cs="Times New Roman"/>
          <w:szCs w:val="20"/>
        </w:rPr>
        <w:t xml:space="preserve">n Pub. Safety, </w:t>
      </w:r>
      <w:r w:rsidR="001B2BA1">
        <w:rPr>
          <w:rFonts w:eastAsia="Times New Roman" w:cs="Times New Roman"/>
          <w:szCs w:val="20"/>
        </w:rPr>
        <w:t>Analysis of Sen. Bill No. 136 (2019-2020 Reg. Sess.) as amended January 15, 2019, p</w:t>
      </w:r>
      <w:r w:rsidRPr="00AB3F33">
        <w:rPr>
          <w:rFonts w:eastAsia="Times New Roman" w:cs="Times New Roman"/>
          <w:szCs w:val="20"/>
        </w:rPr>
        <w:t xml:space="preserve">p. 1-5.) </w:t>
      </w:r>
    </w:p>
    <w:p w14:paraId="6E0F2BB7" w14:textId="38452D2A" w:rsidR="00AB3F33" w:rsidRPr="00AB3F33" w:rsidRDefault="00CB33D8" w:rsidP="00527512">
      <w:pPr>
        <w:ind w:firstLine="720"/>
        <w:rPr>
          <w:rFonts w:eastAsia="Times New Roman" w:cs="Times New Roman"/>
          <w:szCs w:val="20"/>
        </w:rPr>
      </w:pPr>
      <w:bookmarkStart w:id="7" w:name="_Hlk142987907"/>
      <w:bookmarkEnd w:id="6"/>
      <w:r w:rsidRPr="00AB3F33">
        <w:rPr>
          <w:rFonts w:eastAsia="Times New Roman" w:cs="Times New Roman"/>
          <w:szCs w:val="20"/>
        </w:rPr>
        <w:t>The legislative history of Senate Bill 483 is also instructive regarding the motivation for its enactment.  Senate Bill 483 intended to provide relief for “[p]</w:t>
      </w:r>
      <w:proofErr w:type="spellStart"/>
      <w:r w:rsidRPr="00AB3F33">
        <w:rPr>
          <w:rFonts w:eastAsia="Times New Roman" w:cs="Times New Roman"/>
          <w:szCs w:val="20"/>
        </w:rPr>
        <w:t>eople</w:t>
      </w:r>
      <w:proofErr w:type="spellEnd"/>
      <w:r w:rsidRPr="00AB3F33">
        <w:rPr>
          <w:rFonts w:eastAsia="Times New Roman" w:cs="Times New Roman"/>
          <w:szCs w:val="20"/>
        </w:rPr>
        <w:t xml:space="preserve"> in California jails and prison who were convicted prior to the RISE acts [and] are still burdened by mandatory enhancements.”</w:t>
      </w:r>
      <w:r w:rsidR="00527512">
        <w:rPr>
          <w:rFonts w:eastAsia="Times New Roman" w:cs="Times New Roman"/>
          <w:szCs w:val="20"/>
        </w:rPr>
        <w:t xml:space="preserve"> </w:t>
      </w:r>
      <w:r w:rsidRPr="00AB3F33">
        <w:rPr>
          <w:rFonts w:eastAsia="Times New Roman" w:cs="Times New Roman"/>
          <w:szCs w:val="20"/>
        </w:rPr>
        <w:t xml:space="preserve"> (Sen. Com. </w:t>
      </w:r>
      <w:r w:rsidR="00527512">
        <w:rPr>
          <w:rFonts w:eastAsia="Times New Roman" w:cs="Times New Roman"/>
          <w:szCs w:val="20"/>
        </w:rPr>
        <w:t xml:space="preserve">on </w:t>
      </w:r>
      <w:r w:rsidRPr="00AB3F33">
        <w:rPr>
          <w:rFonts w:eastAsia="Times New Roman" w:cs="Times New Roman"/>
          <w:szCs w:val="20"/>
        </w:rPr>
        <w:t>Pub. Safety</w:t>
      </w:r>
      <w:r w:rsidR="003C2B7B" w:rsidRPr="00AB3F33">
        <w:rPr>
          <w:rFonts w:eastAsia="Times New Roman" w:cs="Times New Roman"/>
          <w:szCs w:val="20"/>
        </w:rPr>
        <w:t xml:space="preserve">, </w:t>
      </w:r>
      <w:r w:rsidR="003C2B7B">
        <w:rPr>
          <w:rFonts w:eastAsia="Times New Roman" w:cs="Times New Roman"/>
          <w:szCs w:val="20"/>
        </w:rPr>
        <w:t xml:space="preserve">Analysis of </w:t>
      </w:r>
      <w:r w:rsidR="001B2BA1">
        <w:rPr>
          <w:rFonts w:eastAsia="Times New Roman" w:cs="Times New Roman"/>
          <w:szCs w:val="20"/>
        </w:rPr>
        <w:t>Sen</w:t>
      </w:r>
      <w:r w:rsidR="003C2B7B">
        <w:rPr>
          <w:rFonts w:eastAsia="Times New Roman" w:cs="Times New Roman"/>
          <w:szCs w:val="20"/>
        </w:rPr>
        <w:t>.</w:t>
      </w:r>
      <w:r w:rsidR="002B3046">
        <w:rPr>
          <w:rFonts w:eastAsia="Times New Roman" w:cs="Times New Roman"/>
          <w:szCs w:val="20"/>
        </w:rPr>
        <w:t> </w:t>
      </w:r>
      <w:r w:rsidR="003C2B7B">
        <w:rPr>
          <w:rFonts w:eastAsia="Times New Roman" w:cs="Times New Roman"/>
          <w:szCs w:val="20"/>
        </w:rPr>
        <w:t xml:space="preserve">Bill No. 483 (2021-2022 Reg. Sess.) </w:t>
      </w:r>
      <w:r w:rsidR="002B3046">
        <w:rPr>
          <w:rFonts w:eastAsia="Times New Roman" w:cs="Times New Roman"/>
          <w:szCs w:val="20"/>
        </w:rPr>
        <w:t xml:space="preserve">as amended </w:t>
      </w:r>
      <w:r w:rsidR="003C2B7B">
        <w:rPr>
          <w:rFonts w:eastAsia="Times New Roman" w:cs="Times New Roman"/>
          <w:szCs w:val="20"/>
        </w:rPr>
        <w:t xml:space="preserve">March 3, 2021, </w:t>
      </w:r>
      <w:r w:rsidR="003C2B7B" w:rsidRPr="00AB3F33">
        <w:rPr>
          <w:rFonts w:eastAsia="Times New Roman" w:cs="Times New Roman"/>
          <w:szCs w:val="20"/>
        </w:rPr>
        <w:t>at p.</w:t>
      </w:r>
      <w:r w:rsidR="003C2B7B">
        <w:rPr>
          <w:rFonts w:eastAsia="Times New Roman" w:cs="Times New Roman"/>
          <w:szCs w:val="20"/>
        </w:rPr>
        <w:t xml:space="preserve"> 3</w:t>
      </w:r>
      <w:r w:rsidRPr="00AB3F33">
        <w:rPr>
          <w:rFonts w:eastAsia="Times New Roman" w:cs="Times New Roman"/>
          <w:szCs w:val="20"/>
        </w:rPr>
        <w:t>.)</w:t>
      </w:r>
      <w:r w:rsidR="00527512">
        <w:rPr>
          <w:rFonts w:eastAsia="Times New Roman" w:cs="Times New Roman"/>
          <w:szCs w:val="20"/>
        </w:rPr>
        <w:t xml:space="preserve"> </w:t>
      </w:r>
      <w:r w:rsidRPr="00AB3F33">
        <w:rPr>
          <w:rFonts w:eastAsia="Times New Roman" w:cs="Times New Roman"/>
          <w:szCs w:val="20"/>
        </w:rPr>
        <w:t xml:space="preserve"> “</w:t>
      </w:r>
      <w:proofErr w:type="gramStart"/>
      <w:r w:rsidRPr="00AB3F33">
        <w:rPr>
          <w:rFonts w:eastAsia="Times New Roman" w:cs="Times New Roman"/>
          <w:szCs w:val="20"/>
        </w:rPr>
        <w:t>S</w:t>
      </w:r>
      <w:r w:rsidR="00527512">
        <w:rPr>
          <w:rFonts w:eastAsia="Times New Roman" w:cs="Times New Roman"/>
          <w:szCs w:val="20"/>
        </w:rPr>
        <w:t>[</w:t>
      </w:r>
      <w:proofErr w:type="spellStart"/>
      <w:proofErr w:type="gramEnd"/>
      <w:r w:rsidR="00527512">
        <w:rPr>
          <w:rFonts w:eastAsia="Times New Roman" w:cs="Times New Roman"/>
          <w:szCs w:val="20"/>
        </w:rPr>
        <w:t>enate</w:t>
      </w:r>
      <w:proofErr w:type="spellEnd"/>
      <w:r w:rsidR="00527512">
        <w:rPr>
          <w:rFonts w:eastAsia="Times New Roman" w:cs="Times New Roman"/>
          <w:szCs w:val="20"/>
        </w:rPr>
        <w:t xml:space="preserve"> Bill]</w:t>
      </w:r>
      <w:r w:rsidRPr="00AB3F33">
        <w:rPr>
          <w:rFonts w:eastAsia="Times New Roman" w:cs="Times New Roman"/>
          <w:szCs w:val="20"/>
        </w:rPr>
        <w:t xml:space="preserve"> 483 would ensure the retroactive repeal of these sentence enhancements, ensuring that no one is serving time based on rulings that California has already deemed unfair and ineffective.” </w:t>
      </w:r>
      <w:r w:rsidR="00527512">
        <w:rPr>
          <w:rFonts w:eastAsia="Times New Roman" w:cs="Times New Roman"/>
          <w:szCs w:val="20"/>
        </w:rPr>
        <w:t xml:space="preserve"> </w:t>
      </w:r>
      <w:r w:rsidRPr="00AB3F33">
        <w:rPr>
          <w:rFonts w:eastAsia="Times New Roman" w:cs="Times New Roman"/>
          <w:szCs w:val="20"/>
        </w:rPr>
        <w:t xml:space="preserve">(Sen. Com. </w:t>
      </w:r>
      <w:r w:rsidR="00527512">
        <w:rPr>
          <w:rFonts w:eastAsia="Times New Roman" w:cs="Times New Roman"/>
          <w:szCs w:val="20"/>
        </w:rPr>
        <w:t xml:space="preserve">on </w:t>
      </w:r>
      <w:r w:rsidRPr="00AB3F33">
        <w:rPr>
          <w:rFonts w:eastAsia="Times New Roman" w:cs="Times New Roman"/>
          <w:szCs w:val="20"/>
        </w:rPr>
        <w:t>Pub. Safety</w:t>
      </w:r>
      <w:r w:rsidR="003C2B7B" w:rsidRPr="00AB3F33">
        <w:rPr>
          <w:rFonts w:eastAsia="Times New Roman" w:cs="Times New Roman"/>
          <w:szCs w:val="20"/>
        </w:rPr>
        <w:t xml:space="preserve">, </w:t>
      </w:r>
      <w:r w:rsidR="003C2B7B">
        <w:rPr>
          <w:rFonts w:eastAsia="Times New Roman" w:cs="Times New Roman"/>
          <w:szCs w:val="20"/>
        </w:rPr>
        <w:t xml:space="preserve">Analysis of </w:t>
      </w:r>
      <w:r w:rsidR="001B2BA1">
        <w:rPr>
          <w:rFonts w:eastAsia="Times New Roman" w:cs="Times New Roman"/>
          <w:szCs w:val="20"/>
        </w:rPr>
        <w:t>Sen</w:t>
      </w:r>
      <w:r w:rsidR="003C2B7B">
        <w:rPr>
          <w:rFonts w:eastAsia="Times New Roman" w:cs="Times New Roman"/>
          <w:szCs w:val="20"/>
        </w:rPr>
        <w:t>. Bill No. 483 (2021-2022 Reg.</w:t>
      </w:r>
      <w:r w:rsidR="002B3046">
        <w:rPr>
          <w:rFonts w:eastAsia="Times New Roman" w:cs="Times New Roman"/>
          <w:szCs w:val="20"/>
        </w:rPr>
        <w:t> </w:t>
      </w:r>
      <w:r w:rsidR="003C2B7B">
        <w:rPr>
          <w:rFonts w:eastAsia="Times New Roman" w:cs="Times New Roman"/>
          <w:szCs w:val="20"/>
        </w:rPr>
        <w:t xml:space="preserve">Sess.) </w:t>
      </w:r>
      <w:r w:rsidR="002B3046">
        <w:rPr>
          <w:rFonts w:eastAsia="Times New Roman" w:cs="Times New Roman"/>
          <w:szCs w:val="20"/>
        </w:rPr>
        <w:t xml:space="preserve">as amended </w:t>
      </w:r>
      <w:r w:rsidR="003C2B7B">
        <w:rPr>
          <w:rFonts w:eastAsia="Times New Roman" w:cs="Times New Roman"/>
          <w:szCs w:val="20"/>
        </w:rPr>
        <w:t>March</w:t>
      </w:r>
      <w:r w:rsidR="001B2BA1">
        <w:rPr>
          <w:rFonts w:eastAsia="Times New Roman" w:cs="Times New Roman"/>
          <w:szCs w:val="20"/>
        </w:rPr>
        <w:t> </w:t>
      </w:r>
      <w:r w:rsidR="003C2B7B">
        <w:rPr>
          <w:rFonts w:eastAsia="Times New Roman" w:cs="Times New Roman"/>
          <w:szCs w:val="20"/>
        </w:rPr>
        <w:t xml:space="preserve">3, 2021, </w:t>
      </w:r>
      <w:r w:rsidR="003C2B7B" w:rsidRPr="00AB3F33">
        <w:rPr>
          <w:rFonts w:eastAsia="Times New Roman" w:cs="Times New Roman"/>
          <w:szCs w:val="20"/>
        </w:rPr>
        <w:t xml:space="preserve">at p. </w:t>
      </w:r>
      <w:r w:rsidRPr="00AB3F33">
        <w:rPr>
          <w:rFonts w:eastAsia="Times New Roman" w:cs="Times New Roman"/>
          <w:szCs w:val="20"/>
        </w:rPr>
        <w:t xml:space="preserve">5.) </w:t>
      </w:r>
      <w:r w:rsidR="00527512">
        <w:rPr>
          <w:rFonts w:eastAsia="Times New Roman" w:cs="Times New Roman"/>
          <w:szCs w:val="20"/>
        </w:rPr>
        <w:t xml:space="preserve"> </w:t>
      </w:r>
      <w:r w:rsidRPr="00AB3F33">
        <w:rPr>
          <w:rFonts w:eastAsia="Times New Roman" w:cs="Times New Roman"/>
          <w:szCs w:val="20"/>
        </w:rPr>
        <w:t xml:space="preserve">Senate Bill 483 is intended to provide </w:t>
      </w:r>
      <w:r w:rsidRPr="00AB3F33">
        <w:rPr>
          <w:rFonts w:eastAsia="Times New Roman" w:cs="Times New Roman"/>
          <w:szCs w:val="20"/>
        </w:rPr>
        <w:lastRenderedPageBreak/>
        <w:t xml:space="preserve">relief for “[t]hose who were convicted prior to their enactment [and] continue to be separated from their families and communities.” </w:t>
      </w:r>
      <w:r w:rsidR="00527512">
        <w:rPr>
          <w:rFonts w:eastAsia="Times New Roman" w:cs="Times New Roman"/>
          <w:szCs w:val="20"/>
        </w:rPr>
        <w:t xml:space="preserve"> </w:t>
      </w:r>
      <w:r w:rsidRPr="00AB3F33">
        <w:rPr>
          <w:rFonts w:eastAsia="Times New Roman" w:cs="Times New Roman"/>
          <w:szCs w:val="20"/>
        </w:rPr>
        <w:t>(Sen. Com.</w:t>
      </w:r>
      <w:r w:rsidR="00527512">
        <w:rPr>
          <w:rFonts w:eastAsia="Times New Roman" w:cs="Times New Roman"/>
          <w:szCs w:val="20"/>
        </w:rPr>
        <w:t xml:space="preserve"> on</w:t>
      </w:r>
      <w:r w:rsidRPr="00AB3F33">
        <w:rPr>
          <w:rFonts w:eastAsia="Times New Roman" w:cs="Times New Roman"/>
          <w:szCs w:val="20"/>
        </w:rPr>
        <w:t xml:space="preserve"> Pub. Safety</w:t>
      </w:r>
      <w:r w:rsidR="003C2B7B" w:rsidRPr="00AB3F33">
        <w:rPr>
          <w:rFonts w:eastAsia="Times New Roman" w:cs="Times New Roman"/>
          <w:szCs w:val="20"/>
        </w:rPr>
        <w:t xml:space="preserve">, </w:t>
      </w:r>
      <w:r w:rsidR="003C2B7B">
        <w:rPr>
          <w:rFonts w:eastAsia="Times New Roman" w:cs="Times New Roman"/>
          <w:szCs w:val="20"/>
        </w:rPr>
        <w:t xml:space="preserve">Analysis of </w:t>
      </w:r>
      <w:r w:rsidR="001B2BA1">
        <w:rPr>
          <w:rFonts w:eastAsia="Times New Roman" w:cs="Times New Roman"/>
          <w:szCs w:val="20"/>
        </w:rPr>
        <w:t>Sen</w:t>
      </w:r>
      <w:r w:rsidR="003C2B7B">
        <w:rPr>
          <w:rFonts w:eastAsia="Times New Roman" w:cs="Times New Roman"/>
          <w:szCs w:val="20"/>
        </w:rPr>
        <w:t>. Bill</w:t>
      </w:r>
      <w:r w:rsidR="002B3046">
        <w:rPr>
          <w:rFonts w:eastAsia="Times New Roman" w:cs="Times New Roman"/>
          <w:szCs w:val="20"/>
        </w:rPr>
        <w:t> </w:t>
      </w:r>
      <w:r w:rsidR="003C2B7B">
        <w:rPr>
          <w:rFonts w:eastAsia="Times New Roman" w:cs="Times New Roman"/>
          <w:szCs w:val="20"/>
        </w:rPr>
        <w:t xml:space="preserve">No. 483 (2021-2022 Reg. Sess.) </w:t>
      </w:r>
      <w:r w:rsidR="002B3046">
        <w:rPr>
          <w:rFonts w:eastAsia="Times New Roman" w:cs="Times New Roman"/>
          <w:szCs w:val="20"/>
        </w:rPr>
        <w:t xml:space="preserve">as amended </w:t>
      </w:r>
      <w:r w:rsidR="003C2B7B">
        <w:rPr>
          <w:rFonts w:eastAsia="Times New Roman" w:cs="Times New Roman"/>
          <w:szCs w:val="20"/>
        </w:rPr>
        <w:t xml:space="preserve">March 3, 2021, </w:t>
      </w:r>
      <w:r w:rsidR="003C2B7B" w:rsidRPr="00AB3F33">
        <w:rPr>
          <w:rFonts w:eastAsia="Times New Roman" w:cs="Times New Roman"/>
          <w:szCs w:val="20"/>
        </w:rPr>
        <w:t xml:space="preserve">at p. </w:t>
      </w:r>
      <w:r w:rsidRPr="00AB3F33">
        <w:rPr>
          <w:rFonts w:eastAsia="Times New Roman" w:cs="Times New Roman"/>
          <w:szCs w:val="20"/>
        </w:rPr>
        <w:t xml:space="preserve">5.) </w:t>
      </w:r>
      <w:r w:rsidR="00527512">
        <w:rPr>
          <w:rFonts w:eastAsia="Times New Roman" w:cs="Times New Roman"/>
          <w:szCs w:val="20"/>
        </w:rPr>
        <w:t xml:space="preserve"> </w:t>
      </w:r>
      <w:r w:rsidRPr="00AB3F33">
        <w:rPr>
          <w:rFonts w:eastAsia="Times New Roman" w:cs="Times New Roman"/>
          <w:szCs w:val="20"/>
        </w:rPr>
        <w:t>In discussing the financial benefits of retroactive application, the legislature found, “[s]</w:t>
      </w:r>
      <w:proofErr w:type="spellStart"/>
      <w:r w:rsidRPr="00AB3F33">
        <w:rPr>
          <w:rFonts w:eastAsia="Times New Roman" w:cs="Times New Roman"/>
          <w:szCs w:val="20"/>
        </w:rPr>
        <w:t>entencing</w:t>
      </w:r>
      <w:proofErr w:type="spellEnd"/>
      <w:r w:rsidRPr="00AB3F33">
        <w:rPr>
          <w:rFonts w:eastAsia="Times New Roman" w:cs="Times New Roman"/>
          <w:szCs w:val="20"/>
        </w:rPr>
        <w:t xml:space="preserve"> enhancements</w:t>
      </w:r>
      <w:r w:rsidR="00527512">
        <w:rPr>
          <w:rFonts w:eastAsia="Times New Roman" w:cs="Times New Roman"/>
          <w:szCs w:val="20"/>
        </w:rPr>
        <w:t xml:space="preserve"> . . .</w:t>
      </w:r>
      <w:r w:rsidRPr="00AB3F33">
        <w:rPr>
          <w:rFonts w:eastAsia="Times New Roman" w:cs="Times New Roman"/>
          <w:szCs w:val="20"/>
        </w:rPr>
        <w:t xml:space="preserve"> put significant financial burdens on taxpayers and families statewide—each additional year in prison costs over $112,600 per person.” </w:t>
      </w:r>
      <w:r w:rsidR="00527512">
        <w:rPr>
          <w:rFonts w:eastAsia="Times New Roman" w:cs="Times New Roman"/>
          <w:szCs w:val="20"/>
        </w:rPr>
        <w:t xml:space="preserve"> </w:t>
      </w:r>
      <w:r w:rsidRPr="00AB3F33">
        <w:rPr>
          <w:rFonts w:eastAsia="Times New Roman" w:cs="Times New Roman"/>
          <w:szCs w:val="20"/>
        </w:rPr>
        <w:t>(Sen. Com.</w:t>
      </w:r>
      <w:r w:rsidR="00527512">
        <w:rPr>
          <w:rFonts w:eastAsia="Times New Roman" w:cs="Times New Roman"/>
          <w:szCs w:val="20"/>
        </w:rPr>
        <w:t xml:space="preserve"> on </w:t>
      </w:r>
      <w:r w:rsidRPr="00AB3F33">
        <w:rPr>
          <w:rFonts w:eastAsia="Times New Roman" w:cs="Times New Roman"/>
          <w:szCs w:val="20"/>
        </w:rPr>
        <w:t>Pub. Safety</w:t>
      </w:r>
      <w:r w:rsidR="003C2B7B" w:rsidRPr="00AB3F33">
        <w:rPr>
          <w:rFonts w:eastAsia="Times New Roman" w:cs="Times New Roman"/>
          <w:szCs w:val="20"/>
        </w:rPr>
        <w:t xml:space="preserve">, </w:t>
      </w:r>
      <w:r w:rsidR="003C2B7B">
        <w:rPr>
          <w:rFonts w:eastAsia="Times New Roman" w:cs="Times New Roman"/>
          <w:szCs w:val="20"/>
        </w:rPr>
        <w:t xml:space="preserve">Analysis of </w:t>
      </w:r>
      <w:r w:rsidR="001B2BA1">
        <w:rPr>
          <w:rFonts w:eastAsia="Times New Roman" w:cs="Times New Roman"/>
          <w:szCs w:val="20"/>
        </w:rPr>
        <w:t>Sen</w:t>
      </w:r>
      <w:r w:rsidR="003C2B7B">
        <w:rPr>
          <w:rFonts w:eastAsia="Times New Roman" w:cs="Times New Roman"/>
          <w:szCs w:val="20"/>
        </w:rPr>
        <w:t>. Bill No.</w:t>
      </w:r>
      <w:r w:rsidR="001B2BA1">
        <w:rPr>
          <w:rFonts w:eastAsia="Times New Roman" w:cs="Times New Roman"/>
          <w:szCs w:val="20"/>
        </w:rPr>
        <w:t> </w:t>
      </w:r>
      <w:r w:rsidR="003C2B7B">
        <w:rPr>
          <w:rFonts w:eastAsia="Times New Roman" w:cs="Times New Roman"/>
          <w:szCs w:val="20"/>
        </w:rPr>
        <w:t xml:space="preserve">483 (2021-2022 Reg. Sess.) </w:t>
      </w:r>
      <w:r w:rsidR="002B3046">
        <w:rPr>
          <w:rFonts w:eastAsia="Times New Roman" w:cs="Times New Roman"/>
          <w:szCs w:val="20"/>
        </w:rPr>
        <w:t xml:space="preserve">as amended </w:t>
      </w:r>
      <w:r w:rsidR="003C2B7B">
        <w:rPr>
          <w:rFonts w:eastAsia="Times New Roman" w:cs="Times New Roman"/>
          <w:szCs w:val="20"/>
        </w:rPr>
        <w:t xml:space="preserve">March 3, 2021, </w:t>
      </w:r>
      <w:r w:rsidR="003C2B7B" w:rsidRPr="00AB3F33">
        <w:rPr>
          <w:rFonts w:eastAsia="Times New Roman" w:cs="Times New Roman"/>
          <w:szCs w:val="20"/>
        </w:rPr>
        <w:t xml:space="preserve">at p. </w:t>
      </w:r>
      <w:r w:rsidRPr="00AB3F33">
        <w:rPr>
          <w:rFonts w:eastAsia="Times New Roman" w:cs="Times New Roman"/>
          <w:szCs w:val="20"/>
        </w:rPr>
        <w:t>5.)</w:t>
      </w:r>
    </w:p>
    <w:bookmarkEnd w:id="7"/>
    <w:p w14:paraId="27754DB4" w14:textId="7F1037BE" w:rsidR="00AB3F33" w:rsidRPr="00AB3F33" w:rsidRDefault="00CB33D8" w:rsidP="00527512">
      <w:pPr>
        <w:ind w:firstLine="720"/>
        <w:rPr>
          <w:rFonts w:eastAsia="Times New Roman" w:cs="Times New Roman"/>
          <w:szCs w:val="20"/>
        </w:rPr>
      </w:pPr>
      <w:r w:rsidRPr="00AB3F33">
        <w:rPr>
          <w:rFonts w:eastAsia="Times New Roman" w:cs="Times New Roman"/>
          <w:szCs w:val="20"/>
        </w:rPr>
        <w:t xml:space="preserve">The legislative histories of both Senate Bill 136 and 483 contain a clear presupposition by the Legislature of an imposed and executed sentence.  Senate Bill 136 intended to ameliorate the disproportionate impact sentencing enhancements have on the </w:t>
      </w:r>
      <w:r w:rsidR="00357CE7">
        <w:rPr>
          <w:rFonts w:eastAsia="Times New Roman" w:cs="Times New Roman"/>
          <w:szCs w:val="20"/>
        </w:rPr>
        <w:t>“</w:t>
      </w:r>
      <w:r w:rsidRPr="00AB3F33">
        <w:rPr>
          <w:rFonts w:eastAsia="Times New Roman" w:cs="Times New Roman"/>
          <w:szCs w:val="20"/>
        </w:rPr>
        <w:t>Black and Latino</w:t>
      </w:r>
      <w:r w:rsidR="00357CE7">
        <w:rPr>
          <w:rFonts w:eastAsia="Times New Roman" w:cs="Times New Roman"/>
          <w:szCs w:val="20"/>
        </w:rPr>
        <w:t>”</w:t>
      </w:r>
      <w:r w:rsidRPr="00AB3F33">
        <w:rPr>
          <w:rFonts w:eastAsia="Times New Roman" w:cs="Times New Roman"/>
          <w:szCs w:val="20"/>
        </w:rPr>
        <w:t xml:space="preserve"> communities.</w:t>
      </w:r>
      <w:r w:rsidR="00527512">
        <w:rPr>
          <w:rFonts w:eastAsia="Times New Roman" w:cs="Times New Roman"/>
          <w:szCs w:val="20"/>
        </w:rPr>
        <w:t xml:space="preserve"> </w:t>
      </w:r>
      <w:r w:rsidRPr="00AB3F33">
        <w:rPr>
          <w:rFonts w:eastAsia="Times New Roman" w:cs="Times New Roman"/>
          <w:szCs w:val="20"/>
        </w:rPr>
        <w:t xml:space="preserve"> The Legislature found that sentencing enhancements subject the members of these communities to longer periods of incarceration.</w:t>
      </w:r>
      <w:r w:rsidR="00527512">
        <w:rPr>
          <w:rFonts w:eastAsia="Times New Roman" w:cs="Times New Roman"/>
          <w:szCs w:val="20"/>
        </w:rPr>
        <w:t xml:space="preserve"> </w:t>
      </w:r>
      <w:r w:rsidRPr="00AB3F33">
        <w:rPr>
          <w:rFonts w:eastAsia="Times New Roman" w:cs="Times New Roman"/>
          <w:szCs w:val="20"/>
        </w:rPr>
        <w:t xml:space="preserve"> (Sen. Com. </w:t>
      </w:r>
      <w:r w:rsidR="008E1665">
        <w:rPr>
          <w:rFonts w:eastAsia="Times New Roman" w:cs="Times New Roman"/>
          <w:szCs w:val="20"/>
        </w:rPr>
        <w:t>o</w:t>
      </w:r>
      <w:r w:rsidRPr="00AB3F33">
        <w:rPr>
          <w:rFonts w:eastAsia="Times New Roman" w:cs="Times New Roman"/>
          <w:szCs w:val="20"/>
        </w:rPr>
        <w:t xml:space="preserve">n Pub. Safety, </w:t>
      </w:r>
      <w:bookmarkStart w:id="8" w:name="_Hlk144888980"/>
      <w:r w:rsidR="00357CE7">
        <w:rPr>
          <w:rFonts w:eastAsia="Times New Roman" w:cs="Times New Roman"/>
          <w:szCs w:val="20"/>
        </w:rPr>
        <w:t>Analysis of Sen. Bill No. 136 (2019-2020 Reg. Sess.) as amended January 15, 2019,</w:t>
      </w:r>
      <w:r w:rsidRPr="00AB3F33">
        <w:rPr>
          <w:rFonts w:eastAsia="Times New Roman" w:cs="Times New Roman"/>
          <w:szCs w:val="20"/>
        </w:rPr>
        <w:t xml:space="preserve"> </w:t>
      </w:r>
      <w:bookmarkEnd w:id="8"/>
      <w:r w:rsidRPr="00AB3F33">
        <w:rPr>
          <w:rFonts w:eastAsia="Times New Roman" w:cs="Times New Roman"/>
          <w:szCs w:val="20"/>
        </w:rPr>
        <w:t xml:space="preserve">p. 2.) </w:t>
      </w:r>
      <w:r w:rsidR="00527512">
        <w:rPr>
          <w:rFonts w:eastAsia="Times New Roman" w:cs="Times New Roman"/>
          <w:szCs w:val="20"/>
        </w:rPr>
        <w:t xml:space="preserve"> </w:t>
      </w:r>
      <w:r w:rsidRPr="00AB3F33">
        <w:rPr>
          <w:rFonts w:eastAsia="Times New Roman" w:cs="Times New Roman"/>
          <w:szCs w:val="20"/>
        </w:rPr>
        <w:t xml:space="preserve">This intent presupposes that the sentencing enhancements are, in fact, creating longer periods of incarceration.  That is not so if the sentencing enhancement is stayed. </w:t>
      </w:r>
      <w:r w:rsidR="00527512">
        <w:rPr>
          <w:rFonts w:eastAsia="Times New Roman" w:cs="Times New Roman"/>
          <w:szCs w:val="20"/>
        </w:rPr>
        <w:t xml:space="preserve"> </w:t>
      </w:r>
      <w:r w:rsidRPr="00AB3F33">
        <w:rPr>
          <w:rFonts w:eastAsia="Times New Roman" w:cs="Times New Roman"/>
          <w:szCs w:val="20"/>
        </w:rPr>
        <w:t>Senate Bill 136 is also intended to reallocate spending necessary for incarceration to fund community-based services.</w:t>
      </w:r>
      <w:r w:rsidR="00527512">
        <w:rPr>
          <w:rFonts w:eastAsia="Times New Roman" w:cs="Times New Roman"/>
          <w:szCs w:val="20"/>
        </w:rPr>
        <w:t xml:space="preserve"> </w:t>
      </w:r>
      <w:r w:rsidRPr="00AB3F33">
        <w:rPr>
          <w:rFonts w:eastAsia="Times New Roman" w:cs="Times New Roman"/>
          <w:szCs w:val="20"/>
        </w:rPr>
        <w:t xml:space="preserve"> (Sen. Com. </w:t>
      </w:r>
      <w:r w:rsidR="00527512">
        <w:rPr>
          <w:rFonts w:eastAsia="Times New Roman" w:cs="Times New Roman"/>
          <w:szCs w:val="20"/>
        </w:rPr>
        <w:t>o</w:t>
      </w:r>
      <w:r w:rsidRPr="00AB3F33">
        <w:rPr>
          <w:rFonts w:eastAsia="Times New Roman" w:cs="Times New Roman"/>
          <w:szCs w:val="20"/>
        </w:rPr>
        <w:t xml:space="preserve">n Pub. Safety, </w:t>
      </w:r>
      <w:r w:rsidR="00357CE7">
        <w:rPr>
          <w:rFonts w:eastAsia="Times New Roman" w:cs="Times New Roman"/>
          <w:szCs w:val="20"/>
        </w:rPr>
        <w:t>Analysis of Sen. Bill No. 136 (2019-2020 Reg. Sess.) as amended January 15, 2019,</w:t>
      </w:r>
      <w:r w:rsidR="00357CE7" w:rsidRPr="00AB3F33">
        <w:rPr>
          <w:rFonts w:eastAsia="Times New Roman" w:cs="Times New Roman"/>
          <w:szCs w:val="20"/>
        </w:rPr>
        <w:t xml:space="preserve"> </w:t>
      </w:r>
      <w:r w:rsidRPr="00AB3F33">
        <w:rPr>
          <w:rFonts w:eastAsia="Times New Roman" w:cs="Times New Roman"/>
          <w:szCs w:val="20"/>
        </w:rPr>
        <w:t>p.</w:t>
      </w:r>
      <w:r w:rsidR="00357CE7">
        <w:rPr>
          <w:rFonts w:eastAsia="Times New Roman" w:cs="Times New Roman"/>
          <w:szCs w:val="20"/>
        </w:rPr>
        <w:t> </w:t>
      </w:r>
      <w:r w:rsidRPr="00AB3F33">
        <w:rPr>
          <w:rFonts w:eastAsia="Times New Roman" w:cs="Times New Roman"/>
          <w:szCs w:val="20"/>
        </w:rPr>
        <w:t xml:space="preserve">4.) </w:t>
      </w:r>
      <w:r w:rsidR="00527512">
        <w:rPr>
          <w:rFonts w:eastAsia="Times New Roman" w:cs="Times New Roman"/>
          <w:szCs w:val="20"/>
        </w:rPr>
        <w:t xml:space="preserve"> </w:t>
      </w:r>
      <w:r w:rsidRPr="00AB3F33">
        <w:rPr>
          <w:rFonts w:eastAsia="Times New Roman" w:cs="Times New Roman"/>
          <w:szCs w:val="20"/>
        </w:rPr>
        <w:t xml:space="preserve">The freeing of funds through the repeal of sentencing enhancements presupposes the affected inmates will spend less time incarcerated. </w:t>
      </w:r>
      <w:r w:rsidR="00527512">
        <w:rPr>
          <w:rFonts w:eastAsia="Times New Roman" w:cs="Times New Roman"/>
          <w:szCs w:val="20"/>
        </w:rPr>
        <w:t xml:space="preserve"> </w:t>
      </w:r>
      <w:r w:rsidRPr="00AB3F33">
        <w:rPr>
          <w:rFonts w:eastAsia="Times New Roman" w:cs="Times New Roman"/>
          <w:szCs w:val="20"/>
        </w:rPr>
        <w:t xml:space="preserve">This is not the case in situations </w:t>
      </w:r>
      <w:r w:rsidRPr="00AB3F33">
        <w:rPr>
          <w:rFonts w:eastAsia="Times New Roman" w:cs="Times New Roman"/>
          <w:szCs w:val="20"/>
        </w:rPr>
        <w:lastRenderedPageBreak/>
        <w:t xml:space="preserve">where a defendant’s enhancement added no additional period of incarceration.  Senate Bill 136 also sought to end double punishment for prior convictions.  The primary punishment for </w:t>
      </w:r>
      <w:r w:rsidR="002C5FCD">
        <w:rPr>
          <w:rFonts w:eastAsia="Times New Roman" w:cs="Times New Roman"/>
          <w:szCs w:val="20"/>
        </w:rPr>
        <w:t xml:space="preserve">section 667.5(b) </w:t>
      </w:r>
      <w:r w:rsidRPr="00AB3F33">
        <w:rPr>
          <w:rFonts w:eastAsia="Times New Roman" w:cs="Times New Roman"/>
          <w:szCs w:val="20"/>
        </w:rPr>
        <w:t xml:space="preserve">enhancements is one additional year of incarceration.  A defendant whose sentence was imposed and stayed does not suffer the same “double punishment” anticipated by the Legislature.  As such, the Legislature’s intent in enacting Senate Bill 136 would not be served in situations where a defendant’s sentence was imposed and stayed. </w:t>
      </w:r>
    </w:p>
    <w:p w14:paraId="67F77A71" w14:textId="1BEA10CF" w:rsidR="00AB3F33" w:rsidRPr="00AB3F33" w:rsidRDefault="00CB33D8" w:rsidP="00527512">
      <w:pPr>
        <w:ind w:firstLine="720"/>
        <w:rPr>
          <w:rFonts w:eastAsia="Times New Roman" w:cs="Times New Roman"/>
          <w:szCs w:val="20"/>
        </w:rPr>
      </w:pPr>
      <w:r w:rsidRPr="00AB3F33">
        <w:rPr>
          <w:rFonts w:eastAsia="Times New Roman" w:cs="Times New Roman"/>
          <w:szCs w:val="20"/>
        </w:rPr>
        <w:t xml:space="preserve">Senate Bill 483’s legislative history cites similar motivations and concerns. </w:t>
      </w:r>
      <w:r w:rsidR="00527512">
        <w:rPr>
          <w:rFonts w:eastAsia="Times New Roman" w:cs="Times New Roman"/>
          <w:szCs w:val="20"/>
        </w:rPr>
        <w:t xml:space="preserve"> </w:t>
      </w:r>
      <w:r w:rsidRPr="00AB3F33">
        <w:rPr>
          <w:rFonts w:eastAsia="Times New Roman" w:cs="Times New Roman"/>
          <w:szCs w:val="20"/>
        </w:rPr>
        <w:t>(Sen. Com.</w:t>
      </w:r>
      <w:r w:rsidR="00527512">
        <w:rPr>
          <w:rFonts w:eastAsia="Times New Roman" w:cs="Times New Roman"/>
          <w:szCs w:val="20"/>
        </w:rPr>
        <w:t xml:space="preserve"> on</w:t>
      </w:r>
      <w:r w:rsidRPr="00AB3F33">
        <w:rPr>
          <w:rFonts w:eastAsia="Times New Roman" w:cs="Times New Roman"/>
          <w:szCs w:val="20"/>
        </w:rPr>
        <w:t xml:space="preserve"> Pub. Safety, </w:t>
      </w:r>
      <w:r w:rsidR="00357CE7">
        <w:rPr>
          <w:rFonts w:eastAsia="Times New Roman" w:cs="Times New Roman"/>
          <w:szCs w:val="20"/>
        </w:rPr>
        <w:t>Analysis of Sen. Bill No. 483 (2021-2022 Reg. Sess.) as amended March 3, 2021,</w:t>
      </w:r>
      <w:r w:rsidRPr="00AB3F33">
        <w:rPr>
          <w:rFonts w:eastAsia="Times New Roman" w:cs="Times New Roman"/>
          <w:szCs w:val="20"/>
        </w:rPr>
        <w:t xml:space="preserve"> p</w:t>
      </w:r>
      <w:r w:rsidR="00527512">
        <w:rPr>
          <w:rFonts w:eastAsia="Times New Roman" w:cs="Times New Roman"/>
          <w:szCs w:val="20"/>
        </w:rPr>
        <w:t>p</w:t>
      </w:r>
      <w:r w:rsidRPr="00AB3F33">
        <w:rPr>
          <w:rFonts w:eastAsia="Times New Roman" w:cs="Times New Roman"/>
          <w:szCs w:val="20"/>
        </w:rPr>
        <w:t xml:space="preserve">. 1-5.) </w:t>
      </w:r>
      <w:r w:rsidR="00527512">
        <w:rPr>
          <w:rFonts w:eastAsia="Times New Roman" w:cs="Times New Roman"/>
          <w:szCs w:val="20"/>
        </w:rPr>
        <w:t xml:space="preserve"> </w:t>
      </w:r>
      <w:r w:rsidRPr="00AB3F33">
        <w:rPr>
          <w:rFonts w:eastAsia="Times New Roman" w:cs="Times New Roman"/>
          <w:szCs w:val="20"/>
        </w:rPr>
        <w:t xml:space="preserve">Senate Bill 483 intended to provide relief to inmates who had been convicted and sentenced prior to the enactment of Senate Bill 136 and are “serving time based on rulings that California has already deemed unfair and ineffective.” </w:t>
      </w:r>
      <w:r w:rsidR="00527512">
        <w:rPr>
          <w:rFonts w:eastAsia="Times New Roman" w:cs="Times New Roman"/>
          <w:szCs w:val="20"/>
        </w:rPr>
        <w:t xml:space="preserve"> </w:t>
      </w:r>
      <w:r w:rsidRPr="00AB3F33">
        <w:rPr>
          <w:rFonts w:eastAsia="Times New Roman" w:cs="Times New Roman"/>
          <w:szCs w:val="20"/>
        </w:rPr>
        <w:t xml:space="preserve">(Sen. Com. </w:t>
      </w:r>
      <w:r w:rsidR="00527512">
        <w:rPr>
          <w:rFonts w:eastAsia="Times New Roman" w:cs="Times New Roman"/>
          <w:szCs w:val="20"/>
        </w:rPr>
        <w:t xml:space="preserve">on </w:t>
      </w:r>
      <w:r w:rsidRPr="00AB3F33">
        <w:rPr>
          <w:rFonts w:eastAsia="Times New Roman" w:cs="Times New Roman"/>
          <w:szCs w:val="20"/>
        </w:rPr>
        <w:t xml:space="preserve">Pub. Safety, </w:t>
      </w:r>
      <w:r w:rsidR="00357CE7">
        <w:rPr>
          <w:rFonts w:eastAsia="Times New Roman" w:cs="Times New Roman"/>
          <w:szCs w:val="20"/>
        </w:rPr>
        <w:t xml:space="preserve">Analysis of Sen. Bill No. 483 (2021-2022 Reg. Sess.) as amended March 3, 2021, </w:t>
      </w:r>
      <w:r w:rsidRPr="00AB3F33">
        <w:rPr>
          <w:rFonts w:eastAsia="Times New Roman" w:cs="Times New Roman"/>
          <w:szCs w:val="20"/>
        </w:rPr>
        <w:t xml:space="preserve">p. 5.) </w:t>
      </w:r>
      <w:r w:rsidR="00527512">
        <w:rPr>
          <w:rFonts w:eastAsia="Times New Roman" w:cs="Times New Roman"/>
          <w:szCs w:val="20"/>
        </w:rPr>
        <w:t xml:space="preserve"> </w:t>
      </w:r>
      <w:r w:rsidRPr="00AB3F33">
        <w:rPr>
          <w:rFonts w:eastAsia="Times New Roman" w:cs="Times New Roman"/>
          <w:szCs w:val="20"/>
        </w:rPr>
        <w:t xml:space="preserve">Senate Bill 483 expressed concern about those convicted prior to Senate Bill 136’s enactment continuing to be separated from their families and communities because Senate Bill 136 had not been applied retroactively. </w:t>
      </w:r>
      <w:r w:rsidR="00527512">
        <w:rPr>
          <w:rFonts w:eastAsia="Times New Roman" w:cs="Times New Roman"/>
          <w:szCs w:val="20"/>
        </w:rPr>
        <w:t xml:space="preserve"> </w:t>
      </w:r>
      <w:r w:rsidRPr="00AB3F33">
        <w:rPr>
          <w:rFonts w:eastAsia="Times New Roman" w:cs="Times New Roman"/>
          <w:szCs w:val="20"/>
        </w:rPr>
        <w:t>(Sen. Com.</w:t>
      </w:r>
      <w:r w:rsidR="00527512">
        <w:rPr>
          <w:rFonts w:eastAsia="Times New Roman" w:cs="Times New Roman"/>
          <w:szCs w:val="20"/>
        </w:rPr>
        <w:t xml:space="preserve"> on</w:t>
      </w:r>
      <w:r w:rsidRPr="00AB3F33">
        <w:rPr>
          <w:rFonts w:eastAsia="Times New Roman" w:cs="Times New Roman"/>
          <w:szCs w:val="20"/>
        </w:rPr>
        <w:t xml:space="preserve"> Pub. Safety, </w:t>
      </w:r>
      <w:r w:rsidR="00357CE7">
        <w:rPr>
          <w:rFonts w:eastAsia="Times New Roman" w:cs="Times New Roman"/>
          <w:szCs w:val="20"/>
        </w:rPr>
        <w:t xml:space="preserve">Analysis of Sen. Bill No. 483 (2021-2022 Reg. Sess.) as amended March 3, 2021, </w:t>
      </w:r>
      <w:r w:rsidRPr="00AB3F33">
        <w:rPr>
          <w:rFonts w:eastAsia="Times New Roman" w:cs="Times New Roman"/>
          <w:szCs w:val="20"/>
        </w:rPr>
        <w:t xml:space="preserve">p. 5.) </w:t>
      </w:r>
      <w:r w:rsidR="00527512">
        <w:rPr>
          <w:rFonts w:eastAsia="Times New Roman" w:cs="Times New Roman"/>
          <w:szCs w:val="20"/>
        </w:rPr>
        <w:t xml:space="preserve"> </w:t>
      </w:r>
      <w:r w:rsidRPr="00AB3F33">
        <w:rPr>
          <w:rFonts w:eastAsia="Times New Roman" w:cs="Times New Roman"/>
          <w:szCs w:val="20"/>
        </w:rPr>
        <w:t xml:space="preserve">These concerns presuppose a defendant is serving time specifically based on the imposition of additional incarceration </w:t>
      </w:r>
      <w:proofErr w:type="gramStart"/>
      <w:r w:rsidRPr="00AB3F33">
        <w:rPr>
          <w:rFonts w:eastAsia="Times New Roman" w:cs="Times New Roman"/>
          <w:szCs w:val="20"/>
        </w:rPr>
        <w:t>as a result of</w:t>
      </w:r>
      <w:proofErr w:type="gramEnd"/>
      <w:r w:rsidRPr="00AB3F33">
        <w:rPr>
          <w:rFonts w:eastAsia="Times New Roman" w:cs="Times New Roman"/>
          <w:szCs w:val="20"/>
        </w:rPr>
        <w:t xml:space="preserve"> a </w:t>
      </w:r>
      <w:r w:rsidR="002C5FCD">
        <w:rPr>
          <w:rFonts w:eastAsia="Times New Roman" w:cs="Times New Roman"/>
          <w:szCs w:val="20"/>
        </w:rPr>
        <w:t xml:space="preserve">section 667.5(b) </w:t>
      </w:r>
      <w:r w:rsidRPr="00AB3F33">
        <w:rPr>
          <w:rFonts w:eastAsia="Times New Roman" w:cs="Times New Roman"/>
          <w:szCs w:val="20"/>
        </w:rPr>
        <w:t xml:space="preserve">prior.  An inmate whose sentence was imposed and stayed is not actually serving any time based on a repealed statute, nor are they separated from their families because Senate Bill 136 has </w:t>
      </w:r>
      <w:r w:rsidRPr="00AB3F33">
        <w:rPr>
          <w:rFonts w:eastAsia="Times New Roman" w:cs="Times New Roman"/>
          <w:szCs w:val="20"/>
        </w:rPr>
        <w:lastRenderedPageBreak/>
        <w:t xml:space="preserve">not been applied retroactively.  Senate Bill 483’s reference to each additional year of imprisonment costing $112,600 per person also contemplates the execution of the sentence.  This cost to taxpayers would be irrelevant for defendants whose sentence was imposed and stayed.  Funding would not be saved and available for reallocation because a defendant’s sentence would not be reduced </w:t>
      </w:r>
      <w:proofErr w:type="gramStart"/>
      <w:r w:rsidRPr="00AB3F33">
        <w:rPr>
          <w:rFonts w:eastAsia="Times New Roman" w:cs="Times New Roman"/>
          <w:szCs w:val="20"/>
        </w:rPr>
        <w:t>as a result of</w:t>
      </w:r>
      <w:proofErr w:type="gramEnd"/>
      <w:r w:rsidRPr="00AB3F33">
        <w:rPr>
          <w:rFonts w:eastAsia="Times New Roman" w:cs="Times New Roman"/>
          <w:szCs w:val="20"/>
        </w:rPr>
        <w:t xml:space="preserve"> the retroactive application of Senate Bill 136.</w:t>
      </w:r>
    </w:p>
    <w:p w14:paraId="412A9F4C" w14:textId="63B634F8" w:rsidR="00AB3F33" w:rsidRPr="00AB3F33" w:rsidRDefault="00CB33D8" w:rsidP="00527512">
      <w:pPr>
        <w:ind w:firstLine="720"/>
        <w:rPr>
          <w:rFonts w:eastAsia="Times New Roman" w:cs="Times New Roman"/>
          <w:szCs w:val="20"/>
        </w:rPr>
      </w:pPr>
      <w:r w:rsidRPr="00AB3F33">
        <w:rPr>
          <w:rFonts w:eastAsia="Times New Roman" w:cs="Times New Roman"/>
          <w:szCs w:val="20"/>
        </w:rPr>
        <w:t xml:space="preserve">Defendant argues that section 1172.75’s purpose is to reduce as many sentences as possible and suggests the proper outcome is to allow every defendant with a prison prior to have a full resentencing hearing. </w:t>
      </w:r>
      <w:r w:rsidR="00527512">
        <w:rPr>
          <w:rFonts w:eastAsia="Times New Roman" w:cs="Times New Roman"/>
          <w:szCs w:val="20"/>
        </w:rPr>
        <w:t xml:space="preserve"> </w:t>
      </w:r>
      <w:r w:rsidRPr="00AB3F33">
        <w:rPr>
          <w:rFonts w:eastAsia="Times New Roman" w:cs="Times New Roman"/>
          <w:szCs w:val="20"/>
        </w:rPr>
        <w:t>Defendant also argues the implementation of section</w:t>
      </w:r>
      <w:r w:rsidR="00C909E3">
        <w:rPr>
          <w:rFonts w:eastAsia="Times New Roman" w:cs="Times New Roman"/>
          <w:szCs w:val="20"/>
        </w:rPr>
        <w:t> </w:t>
      </w:r>
      <w:r w:rsidRPr="00AB3F33">
        <w:rPr>
          <w:rFonts w:eastAsia="Times New Roman" w:cs="Times New Roman"/>
          <w:szCs w:val="20"/>
        </w:rPr>
        <w:t xml:space="preserve">1172.75 was designed to fix the racial disparities in charging, bail availability, and plea bargaining. </w:t>
      </w:r>
      <w:r w:rsidR="00527512">
        <w:rPr>
          <w:rFonts w:eastAsia="Times New Roman" w:cs="Times New Roman"/>
          <w:szCs w:val="20"/>
        </w:rPr>
        <w:t xml:space="preserve"> </w:t>
      </w:r>
      <w:r w:rsidRPr="00AB3F33">
        <w:rPr>
          <w:rFonts w:eastAsia="Times New Roman" w:cs="Times New Roman"/>
          <w:szCs w:val="20"/>
        </w:rPr>
        <w:t xml:space="preserve">However, notably, in arguing the purpose of section 1172.75, defendant cites Assembly Bill </w:t>
      </w:r>
      <w:r w:rsidR="008E1665">
        <w:rPr>
          <w:rFonts w:eastAsia="Times New Roman" w:cs="Times New Roman"/>
          <w:szCs w:val="20"/>
        </w:rPr>
        <w:t xml:space="preserve">Nos. </w:t>
      </w:r>
      <w:r w:rsidRPr="00AB3F33">
        <w:rPr>
          <w:rFonts w:eastAsia="Times New Roman" w:cs="Times New Roman"/>
          <w:szCs w:val="20"/>
        </w:rPr>
        <w:t xml:space="preserve">2542 and 256, neither of which are directly related to the enactment of section 1172.75. </w:t>
      </w:r>
    </w:p>
    <w:p w14:paraId="4D8F3C10" w14:textId="51B00D3D" w:rsidR="00AB3F33" w:rsidRPr="00AB3F33" w:rsidRDefault="00CB33D8" w:rsidP="00527512">
      <w:pPr>
        <w:ind w:firstLine="720"/>
        <w:rPr>
          <w:rFonts w:eastAsia="Times New Roman" w:cs="Times New Roman"/>
          <w:szCs w:val="20"/>
        </w:rPr>
      </w:pPr>
      <w:r w:rsidRPr="00AB3F33">
        <w:rPr>
          <w:rFonts w:eastAsia="Times New Roman" w:cs="Times New Roman"/>
          <w:szCs w:val="20"/>
        </w:rPr>
        <w:t xml:space="preserve">The purpose of Assembly Bill </w:t>
      </w:r>
      <w:r w:rsidR="008E1665">
        <w:rPr>
          <w:rFonts w:eastAsia="Times New Roman" w:cs="Times New Roman"/>
          <w:szCs w:val="20"/>
        </w:rPr>
        <w:t xml:space="preserve">No. </w:t>
      </w:r>
      <w:r w:rsidRPr="00AB3F33">
        <w:rPr>
          <w:rFonts w:eastAsia="Times New Roman" w:cs="Times New Roman"/>
          <w:szCs w:val="20"/>
        </w:rPr>
        <w:t xml:space="preserve">2542 </w:t>
      </w:r>
      <w:r w:rsidR="008E1665">
        <w:rPr>
          <w:rFonts w:eastAsia="Times New Roman" w:cs="Times New Roman"/>
          <w:szCs w:val="20"/>
        </w:rPr>
        <w:t xml:space="preserve">(Assembly Bill 2542) </w:t>
      </w:r>
      <w:r w:rsidRPr="00AB3F33">
        <w:rPr>
          <w:rFonts w:eastAsia="Times New Roman" w:cs="Times New Roman"/>
          <w:szCs w:val="20"/>
        </w:rPr>
        <w:t xml:space="preserve">was “to prohibit the state from seeking or upholding a conviction or sentence that is discriminatory based on race, ethnicity, or national origin as specified.” </w:t>
      </w:r>
      <w:r w:rsidR="00527512">
        <w:rPr>
          <w:rFonts w:eastAsia="Times New Roman" w:cs="Times New Roman"/>
          <w:szCs w:val="20"/>
        </w:rPr>
        <w:t xml:space="preserve"> </w:t>
      </w:r>
      <w:r w:rsidRPr="00AB3F33">
        <w:rPr>
          <w:rFonts w:eastAsia="Times New Roman" w:cs="Times New Roman"/>
          <w:szCs w:val="20"/>
        </w:rPr>
        <w:t xml:space="preserve">(Sen. Com. </w:t>
      </w:r>
      <w:r w:rsidR="00527512">
        <w:rPr>
          <w:rFonts w:eastAsia="Times New Roman" w:cs="Times New Roman"/>
          <w:szCs w:val="20"/>
        </w:rPr>
        <w:t xml:space="preserve">on </w:t>
      </w:r>
      <w:r w:rsidRPr="00AB3F33">
        <w:rPr>
          <w:rFonts w:eastAsia="Times New Roman" w:cs="Times New Roman"/>
          <w:szCs w:val="20"/>
        </w:rPr>
        <w:t xml:space="preserve">Pub. Safety, </w:t>
      </w:r>
      <w:r w:rsidR="000F5777">
        <w:rPr>
          <w:rFonts w:eastAsia="Times New Roman" w:cs="Times New Roman"/>
          <w:szCs w:val="20"/>
        </w:rPr>
        <w:t xml:space="preserve">Analysis of </w:t>
      </w:r>
      <w:proofErr w:type="spellStart"/>
      <w:r w:rsidR="000F5777">
        <w:rPr>
          <w:rFonts w:eastAsia="Times New Roman" w:cs="Times New Roman"/>
          <w:szCs w:val="20"/>
        </w:rPr>
        <w:t>Assem</w:t>
      </w:r>
      <w:proofErr w:type="spellEnd"/>
      <w:r w:rsidR="000F5777">
        <w:rPr>
          <w:rFonts w:eastAsia="Times New Roman" w:cs="Times New Roman"/>
          <w:szCs w:val="20"/>
        </w:rPr>
        <w:t xml:space="preserve">. Bill No. 2542 (2019-2020 Reg. Sess.) as amended </w:t>
      </w:r>
      <w:r w:rsidRPr="00AB3F33">
        <w:rPr>
          <w:rFonts w:eastAsia="Times New Roman" w:cs="Times New Roman"/>
          <w:szCs w:val="20"/>
        </w:rPr>
        <w:t>Aug</w:t>
      </w:r>
      <w:r w:rsidR="008E1665">
        <w:rPr>
          <w:rFonts w:eastAsia="Times New Roman" w:cs="Times New Roman"/>
          <w:szCs w:val="20"/>
        </w:rPr>
        <w:t>.</w:t>
      </w:r>
      <w:r w:rsidRPr="00AB3F33">
        <w:rPr>
          <w:rFonts w:eastAsia="Times New Roman" w:cs="Times New Roman"/>
          <w:szCs w:val="20"/>
        </w:rPr>
        <w:t xml:space="preserve"> </w:t>
      </w:r>
      <w:r w:rsidR="000F5777">
        <w:rPr>
          <w:rFonts w:eastAsia="Times New Roman" w:cs="Times New Roman"/>
          <w:szCs w:val="20"/>
        </w:rPr>
        <w:t>1</w:t>
      </w:r>
      <w:r w:rsidRPr="00AB3F33">
        <w:rPr>
          <w:rFonts w:eastAsia="Times New Roman" w:cs="Times New Roman"/>
          <w:szCs w:val="20"/>
        </w:rPr>
        <w:t>, 2020, p. 2</w:t>
      </w:r>
      <w:r w:rsidR="000F5777">
        <w:rPr>
          <w:rFonts w:eastAsia="Times New Roman" w:cs="Times New Roman"/>
          <w:szCs w:val="20"/>
        </w:rPr>
        <w:t>, italics omitted</w:t>
      </w:r>
      <w:r w:rsidRPr="00AB3F33">
        <w:rPr>
          <w:rFonts w:eastAsia="Times New Roman" w:cs="Times New Roman"/>
          <w:szCs w:val="20"/>
        </w:rPr>
        <w:t xml:space="preserve">.) </w:t>
      </w:r>
      <w:r w:rsidR="00527512">
        <w:rPr>
          <w:rFonts w:eastAsia="Times New Roman" w:cs="Times New Roman"/>
          <w:szCs w:val="20"/>
        </w:rPr>
        <w:t xml:space="preserve"> </w:t>
      </w:r>
      <w:r w:rsidRPr="00AB3F33">
        <w:rPr>
          <w:rFonts w:eastAsia="Times New Roman" w:cs="Times New Roman"/>
          <w:szCs w:val="20"/>
        </w:rPr>
        <w:t>Assembly Bill 2542 amended sections 1473 and 1473.7 and added section 745.</w:t>
      </w:r>
      <w:r w:rsidR="00527512">
        <w:rPr>
          <w:rFonts w:eastAsia="Times New Roman" w:cs="Times New Roman"/>
          <w:szCs w:val="20"/>
        </w:rPr>
        <w:t xml:space="preserve"> </w:t>
      </w:r>
      <w:r w:rsidRPr="00AB3F33">
        <w:rPr>
          <w:rFonts w:eastAsia="Times New Roman" w:cs="Times New Roman"/>
          <w:szCs w:val="20"/>
        </w:rPr>
        <w:t xml:space="preserve"> </w:t>
      </w:r>
      <w:r w:rsidR="008E1665">
        <w:rPr>
          <w:rFonts w:eastAsia="Times New Roman" w:cs="Times New Roman"/>
          <w:szCs w:val="20"/>
        </w:rPr>
        <w:t xml:space="preserve">(Stats. 2020, </w:t>
      </w:r>
      <w:proofErr w:type="spellStart"/>
      <w:r w:rsidR="008E1665">
        <w:rPr>
          <w:rFonts w:eastAsia="Times New Roman" w:cs="Times New Roman"/>
          <w:szCs w:val="20"/>
        </w:rPr>
        <w:t>ch.</w:t>
      </w:r>
      <w:proofErr w:type="spellEnd"/>
      <w:r w:rsidR="008E1665">
        <w:rPr>
          <w:rFonts w:eastAsia="Times New Roman" w:cs="Times New Roman"/>
          <w:szCs w:val="20"/>
        </w:rPr>
        <w:t xml:space="preserve"> 317</w:t>
      </w:r>
      <w:r w:rsidR="00527512">
        <w:rPr>
          <w:rFonts w:eastAsia="Times New Roman" w:cs="Times New Roman"/>
          <w:szCs w:val="20"/>
        </w:rPr>
        <w:t>.</w:t>
      </w:r>
      <w:r w:rsidRPr="00AB3F33">
        <w:rPr>
          <w:rFonts w:eastAsia="Times New Roman" w:cs="Times New Roman"/>
          <w:szCs w:val="20"/>
        </w:rPr>
        <w:t xml:space="preserve">) </w:t>
      </w:r>
      <w:r w:rsidR="00527512">
        <w:rPr>
          <w:rFonts w:eastAsia="Times New Roman" w:cs="Times New Roman"/>
          <w:szCs w:val="20"/>
        </w:rPr>
        <w:t xml:space="preserve"> </w:t>
      </w:r>
      <w:r w:rsidRPr="00AB3F33">
        <w:rPr>
          <w:rFonts w:eastAsia="Times New Roman" w:cs="Times New Roman"/>
          <w:szCs w:val="20"/>
        </w:rPr>
        <w:t xml:space="preserve">The purpose of Assembly Bill </w:t>
      </w:r>
      <w:r w:rsidR="008E1665">
        <w:rPr>
          <w:rFonts w:eastAsia="Times New Roman" w:cs="Times New Roman"/>
          <w:szCs w:val="20"/>
        </w:rPr>
        <w:t>No. </w:t>
      </w:r>
      <w:r w:rsidRPr="00AB3F33">
        <w:rPr>
          <w:rFonts w:eastAsia="Times New Roman" w:cs="Times New Roman"/>
          <w:szCs w:val="20"/>
        </w:rPr>
        <w:t xml:space="preserve">256 </w:t>
      </w:r>
      <w:r w:rsidR="008E1665" w:rsidRPr="00AB3F33">
        <w:rPr>
          <w:rFonts w:eastAsia="Times New Roman" w:cs="Times New Roman"/>
          <w:szCs w:val="20"/>
        </w:rPr>
        <w:t>(Assem</w:t>
      </w:r>
      <w:r w:rsidR="008E1665">
        <w:rPr>
          <w:rFonts w:eastAsia="Times New Roman" w:cs="Times New Roman"/>
          <w:szCs w:val="20"/>
        </w:rPr>
        <w:t>bly</w:t>
      </w:r>
      <w:r w:rsidR="008E1665" w:rsidRPr="00AB3F33">
        <w:rPr>
          <w:rFonts w:eastAsia="Times New Roman" w:cs="Times New Roman"/>
          <w:szCs w:val="20"/>
        </w:rPr>
        <w:t xml:space="preserve"> Bill 256</w:t>
      </w:r>
      <w:r w:rsidR="008E1665">
        <w:rPr>
          <w:rFonts w:eastAsia="Times New Roman" w:cs="Times New Roman"/>
          <w:szCs w:val="20"/>
        </w:rPr>
        <w:t>)</w:t>
      </w:r>
      <w:r w:rsidR="008E1665" w:rsidRPr="00AB3F33">
        <w:rPr>
          <w:rFonts w:eastAsia="Times New Roman" w:cs="Times New Roman"/>
          <w:szCs w:val="20"/>
        </w:rPr>
        <w:t xml:space="preserve"> </w:t>
      </w:r>
      <w:r w:rsidRPr="00AB3F33">
        <w:rPr>
          <w:rFonts w:eastAsia="Times New Roman" w:cs="Times New Roman"/>
          <w:szCs w:val="20"/>
        </w:rPr>
        <w:t>was to “make the California Racial Justice Act of 2020 (</w:t>
      </w:r>
      <w:proofErr w:type="spellStart"/>
      <w:r w:rsidRPr="00AB3F33">
        <w:rPr>
          <w:rFonts w:eastAsia="Times New Roman" w:cs="Times New Roman"/>
          <w:szCs w:val="20"/>
        </w:rPr>
        <w:t>CRJA</w:t>
      </w:r>
      <w:proofErr w:type="spellEnd"/>
      <w:r w:rsidRPr="00AB3F33">
        <w:rPr>
          <w:rFonts w:eastAsia="Times New Roman" w:cs="Times New Roman"/>
          <w:szCs w:val="20"/>
        </w:rPr>
        <w:t xml:space="preserve">), which prohibits the state from seeking or obtaining a conviction or sentence on the basis of race, ethnicity, or </w:t>
      </w:r>
      <w:r w:rsidRPr="00AB3F33">
        <w:rPr>
          <w:rFonts w:eastAsia="Times New Roman" w:cs="Times New Roman"/>
          <w:szCs w:val="20"/>
        </w:rPr>
        <w:lastRenderedPageBreak/>
        <w:t xml:space="preserve">national origin, apply retroactively and to make other clarifying changes.” </w:t>
      </w:r>
      <w:r w:rsidR="00527512">
        <w:rPr>
          <w:rFonts w:eastAsia="Times New Roman" w:cs="Times New Roman"/>
          <w:szCs w:val="20"/>
        </w:rPr>
        <w:t xml:space="preserve"> </w:t>
      </w:r>
      <w:r w:rsidRPr="00AB3F33">
        <w:rPr>
          <w:rFonts w:eastAsia="Times New Roman" w:cs="Times New Roman"/>
          <w:szCs w:val="20"/>
        </w:rPr>
        <w:t>(Sen. Com.</w:t>
      </w:r>
      <w:r w:rsidR="00527512">
        <w:rPr>
          <w:rFonts w:eastAsia="Times New Roman" w:cs="Times New Roman"/>
          <w:szCs w:val="20"/>
        </w:rPr>
        <w:t xml:space="preserve"> on</w:t>
      </w:r>
      <w:r w:rsidRPr="00AB3F33">
        <w:rPr>
          <w:rFonts w:eastAsia="Times New Roman" w:cs="Times New Roman"/>
          <w:szCs w:val="20"/>
        </w:rPr>
        <w:t xml:space="preserve"> Pub. Safety, </w:t>
      </w:r>
      <w:r w:rsidR="000F5777">
        <w:rPr>
          <w:rFonts w:eastAsia="Times New Roman" w:cs="Times New Roman"/>
          <w:szCs w:val="20"/>
        </w:rPr>
        <w:t xml:space="preserve">Analysis of </w:t>
      </w:r>
      <w:proofErr w:type="spellStart"/>
      <w:r w:rsidR="000F5777">
        <w:rPr>
          <w:rFonts w:eastAsia="Times New Roman" w:cs="Times New Roman"/>
          <w:szCs w:val="20"/>
        </w:rPr>
        <w:t>Assem</w:t>
      </w:r>
      <w:proofErr w:type="spellEnd"/>
      <w:r w:rsidR="000F5777">
        <w:rPr>
          <w:rFonts w:eastAsia="Times New Roman" w:cs="Times New Roman"/>
          <w:szCs w:val="20"/>
        </w:rPr>
        <w:t>. Bill No. 256 (2021-2022 Reg. Sess.) as amended May</w:t>
      </w:r>
      <w:r w:rsidR="001B2BA1">
        <w:rPr>
          <w:rFonts w:eastAsia="Times New Roman" w:cs="Times New Roman"/>
          <w:szCs w:val="20"/>
        </w:rPr>
        <w:t> </w:t>
      </w:r>
      <w:r w:rsidR="000F5777">
        <w:rPr>
          <w:rFonts w:eastAsia="Times New Roman" w:cs="Times New Roman"/>
          <w:szCs w:val="20"/>
        </w:rPr>
        <w:t>24, 2021, p. 2, italics omitted</w:t>
      </w:r>
      <w:r w:rsidRPr="00AB3F33">
        <w:rPr>
          <w:rFonts w:eastAsia="Times New Roman" w:cs="Times New Roman"/>
          <w:szCs w:val="20"/>
        </w:rPr>
        <w:t xml:space="preserve">.) </w:t>
      </w:r>
      <w:r w:rsidR="00527512">
        <w:rPr>
          <w:rFonts w:eastAsia="Times New Roman" w:cs="Times New Roman"/>
          <w:szCs w:val="20"/>
        </w:rPr>
        <w:t xml:space="preserve"> </w:t>
      </w:r>
      <w:r w:rsidRPr="00AB3F33">
        <w:rPr>
          <w:rFonts w:eastAsia="Times New Roman" w:cs="Times New Roman"/>
          <w:szCs w:val="20"/>
        </w:rPr>
        <w:t xml:space="preserve">Assembly Bill 256 acted to amend sections 745 and 1473. </w:t>
      </w:r>
      <w:r w:rsidR="008E1665">
        <w:rPr>
          <w:rFonts w:eastAsia="Times New Roman" w:cs="Times New Roman"/>
          <w:szCs w:val="20"/>
        </w:rPr>
        <w:t xml:space="preserve"> </w:t>
      </w:r>
      <w:r w:rsidRPr="00AB3F33">
        <w:rPr>
          <w:rFonts w:eastAsia="Times New Roman" w:cs="Times New Roman"/>
          <w:szCs w:val="20"/>
        </w:rPr>
        <w:t>While Assembly Bill 2542 and Assembly Bill 256 have certain overall policies in common with Senate Bill 483, the purpose and goals of these bills is separate and apart from the specific legislative intent in enacting Senate Bill 483.  To attribute the intent of other bills to Senate Bill 483 based on their common policy views is misplaced.</w:t>
      </w:r>
    </w:p>
    <w:p w14:paraId="1C86AEF0" w14:textId="2D948E6E" w:rsidR="00AB3F33" w:rsidRPr="00AB3F33" w:rsidRDefault="00CB33D8" w:rsidP="00527512">
      <w:pPr>
        <w:ind w:firstLine="720"/>
        <w:rPr>
          <w:rFonts w:eastAsia="Times New Roman" w:cs="Times New Roman"/>
          <w:szCs w:val="20"/>
        </w:rPr>
      </w:pPr>
      <w:r w:rsidRPr="00AB3F33">
        <w:rPr>
          <w:rFonts w:eastAsia="Times New Roman" w:cs="Times New Roman"/>
          <w:szCs w:val="20"/>
        </w:rPr>
        <w:t xml:space="preserve">The findings, costs, and ramifications of Senate Bill 136 and Senate Bill 483 cited during the legislative sessions presuppose inmates who are serving additional time </w:t>
      </w:r>
      <w:proofErr w:type="gramStart"/>
      <w:r w:rsidRPr="00AB3F33">
        <w:rPr>
          <w:rFonts w:eastAsia="Times New Roman" w:cs="Times New Roman"/>
          <w:szCs w:val="20"/>
        </w:rPr>
        <w:t>as a result of</w:t>
      </w:r>
      <w:proofErr w:type="gramEnd"/>
      <w:r w:rsidRPr="00AB3F33">
        <w:rPr>
          <w:rFonts w:eastAsia="Times New Roman" w:cs="Times New Roman"/>
          <w:szCs w:val="20"/>
        </w:rPr>
        <w:t xml:space="preserve"> the sentencing enhancement under </w:t>
      </w:r>
      <w:r w:rsidR="002C5FCD">
        <w:rPr>
          <w:rFonts w:eastAsia="Times New Roman" w:cs="Times New Roman"/>
          <w:szCs w:val="20"/>
        </w:rPr>
        <w:t>section 667.5(b)</w:t>
      </w:r>
      <w:r w:rsidRPr="00AB3F33">
        <w:rPr>
          <w:rFonts w:eastAsia="Times New Roman" w:cs="Times New Roman"/>
          <w:szCs w:val="20"/>
        </w:rPr>
        <w:t xml:space="preserve">.  The references to financial and familial burdens do not logically follow if a defendant is not actually serving additional time as the result of an imposed and executed sentence associated with a </w:t>
      </w:r>
      <w:r w:rsidR="002C5FCD">
        <w:rPr>
          <w:rFonts w:eastAsia="Times New Roman" w:cs="Times New Roman"/>
          <w:szCs w:val="20"/>
        </w:rPr>
        <w:t xml:space="preserve">section 667.5(b) </w:t>
      </w:r>
      <w:r w:rsidRPr="00AB3F33">
        <w:rPr>
          <w:rFonts w:eastAsia="Times New Roman" w:cs="Times New Roman"/>
          <w:szCs w:val="20"/>
        </w:rPr>
        <w:t xml:space="preserve">prior.  As such, to interpret the statute to include enhancements that were imposed and stayed would be contrary to the legislative intent and the plain language of the statute. </w:t>
      </w:r>
    </w:p>
    <w:p w14:paraId="5B4D4B0A" w14:textId="77777777" w:rsidR="00AB3F33" w:rsidRPr="00AB3F33" w:rsidRDefault="00CB33D8" w:rsidP="00E85680">
      <w:pPr>
        <w:keepNext/>
        <w:keepLines/>
        <w:jc w:val="center"/>
        <w:rPr>
          <w:rFonts w:eastAsia="Times New Roman" w:cs="Times New Roman"/>
          <w:szCs w:val="20"/>
          <w:u w:val="single"/>
        </w:rPr>
      </w:pPr>
      <w:r w:rsidRPr="00AB3F33">
        <w:rPr>
          <w:rFonts w:eastAsia="Times New Roman" w:cs="Times New Roman"/>
          <w:szCs w:val="20"/>
          <w:u w:val="single"/>
        </w:rPr>
        <w:lastRenderedPageBreak/>
        <w:t>DISPOSITION</w:t>
      </w:r>
    </w:p>
    <w:p w14:paraId="3F44B219" w14:textId="320EF868" w:rsidR="00AB3F33" w:rsidRDefault="00CB33D8" w:rsidP="00E85680">
      <w:pPr>
        <w:keepNext/>
        <w:keepLines/>
        <w:ind w:firstLine="720"/>
        <w:rPr>
          <w:rFonts w:eastAsia="Times New Roman" w:cs="Times New Roman"/>
          <w:szCs w:val="20"/>
        </w:rPr>
      </w:pPr>
      <w:r w:rsidRPr="00AB3F33">
        <w:rPr>
          <w:rFonts w:eastAsia="Times New Roman" w:cs="Times New Roman"/>
          <w:szCs w:val="20"/>
        </w:rPr>
        <w:t xml:space="preserve">We affirm.  </w:t>
      </w:r>
    </w:p>
    <w:p w14:paraId="6E09980B" w14:textId="5055AC7B" w:rsidR="00A05ED5" w:rsidRPr="00A05ED5" w:rsidRDefault="00CB33D8" w:rsidP="00E85680">
      <w:pPr>
        <w:keepNext/>
        <w:keepLines/>
        <w:ind w:firstLine="720"/>
        <w:rPr>
          <w:rFonts w:eastAsia="Times New Roman" w:cs="Times New Roman"/>
          <w:szCs w:val="20"/>
        </w:rPr>
      </w:pPr>
      <w:r>
        <w:rPr>
          <w:rFonts w:eastAsia="Times New Roman" w:cs="Times New Roman"/>
          <w:szCs w:val="20"/>
        </w:rPr>
        <w:t>CERTIFIED FOR</w:t>
      </w:r>
      <w:r w:rsidR="00F02FFB">
        <w:rPr>
          <w:rFonts w:eastAsia="Times New Roman" w:cs="Times New Roman"/>
          <w:szCs w:val="20"/>
        </w:rPr>
        <w:t xml:space="preserve"> PUBLICATION</w:t>
      </w:r>
    </w:p>
    <w:p w14:paraId="011ADD87" w14:textId="60D05BB9" w:rsidR="00A05ED5" w:rsidRPr="00A05ED5" w:rsidRDefault="00CB33D8" w:rsidP="00E85680">
      <w:pPr>
        <w:keepNext/>
        <w:keepLines/>
        <w:tabs>
          <w:tab w:val="left" w:pos="2880"/>
        </w:tabs>
        <w:overflowPunct w:val="0"/>
        <w:autoSpaceDE w:val="0"/>
        <w:autoSpaceDN w:val="0"/>
        <w:adjustRightInd w:val="0"/>
        <w:spacing w:line="240" w:lineRule="auto"/>
        <w:jc w:val="right"/>
        <w:rPr>
          <w:rFonts w:eastAsia="Times New Roman" w:cs="Times New Roman"/>
          <w:szCs w:val="26"/>
        </w:rPr>
      </w:pPr>
      <w:proofErr w:type="spellStart"/>
      <w:r>
        <w:rPr>
          <w:rFonts w:eastAsia="Times New Roman" w:cs="Times New Roman"/>
          <w:szCs w:val="26"/>
          <w:u w:val="single"/>
        </w:rPr>
        <w:t>McKINSTER</w:t>
      </w:r>
      <w:proofErr w:type="spellEnd"/>
      <w:r w:rsidRPr="00A05ED5">
        <w:rPr>
          <w:rFonts w:eastAsia="Times New Roman" w:cs="Times New Roman"/>
          <w:szCs w:val="26"/>
          <w:u w:val="single"/>
        </w:rPr>
        <w:tab/>
      </w:r>
    </w:p>
    <w:p w14:paraId="7EB13D82" w14:textId="457B3A0F" w:rsidR="00A05ED5" w:rsidRPr="00A05ED5" w:rsidRDefault="00CB33D8" w:rsidP="00E85680">
      <w:pPr>
        <w:keepNext/>
        <w:keepLines/>
        <w:tabs>
          <w:tab w:val="left" w:pos="2880"/>
        </w:tabs>
        <w:overflowPunct w:val="0"/>
        <w:autoSpaceDE w:val="0"/>
        <w:autoSpaceDN w:val="0"/>
        <w:adjustRightInd w:val="0"/>
        <w:spacing w:line="240" w:lineRule="auto"/>
        <w:jc w:val="right"/>
        <w:rPr>
          <w:rFonts w:eastAsia="Times New Roman" w:cs="Times New Roman"/>
          <w:szCs w:val="26"/>
        </w:rPr>
      </w:pPr>
      <w:r w:rsidRPr="00A05ED5">
        <w:rPr>
          <w:rFonts w:eastAsia="Times New Roman" w:cs="Times New Roman"/>
          <w:szCs w:val="26"/>
        </w:rPr>
        <w:tab/>
      </w:r>
      <w:r>
        <w:rPr>
          <w:rFonts w:eastAsia="Times New Roman" w:cs="Times New Roman"/>
          <w:szCs w:val="26"/>
        </w:rPr>
        <w:t xml:space="preserve">Acting P. </w:t>
      </w:r>
      <w:r w:rsidRPr="00A05ED5">
        <w:rPr>
          <w:rFonts w:eastAsia="Times New Roman" w:cs="Times New Roman"/>
          <w:szCs w:val="26"/>
        </w:rPr>
        <w:t>J.</w:t>
      </w:r>
    </w:p>
    <w:p w14:paraId="7091B0A4" w14:textId="77777777" w:rsidR="00A05ED5" w:rsidRPr="00A05ED5" w:rsidRDefault="00CB33D8" w:rsidP="00E85680">
      <w:pPr>
        <w:keepNext/>
        <w:keepLines/>
        <w:tabs>
          <w:tab w:val="right" w:pos="2880"/>
        </w:tabs>
        <w:overflowPunct w:val="0"/>
        <w:autoSpaceDE w:val="0"/>
        <w:autoSpaceDN w:val="0"/>
        <w:adjustRightInd w:val="0"/>
        <w:spacing w:line="240" w:lineRule="auto"/>
        <w:rPr>
          <w:rFonts w:eastAsia="Times New Roman" w:cs="Times New Roman"/>
          <w:szCs w:val="26"/>
        </w:rPr>
      </w:pPr>
      <w:r w:rsidRPr="00A05ED5">
        <w:rPr>
          <w:rFonts w:eastAsia="Times New Roman" w:cs="Times New Roman"/>
          <w:szCs w:val="26"/>
        </w:rPr>
        <w:t>We concur:</w:t>
      </w:r>
    </w:p>
    <w:p w14:paraId="20327818" w14:textId="434D953E" w:rsidR="00A05ED5" w:rsidRDefault="00A05ED5" w:rsidP="00E85680">
      <w:pPr>
        <w:keepNext/>
        <w:keepLines/>
        <w:tabs>
          <w:tab w:val="right" w:pos="2880"/>
        </w:tabs>
        <w:overflowPunct w:val="0"/>
        <w:autoSpaceDE w:val="0"/>
        <w:autoSpaceDN w:val="0"/>
        <w:adjustRightInd w:val="0"/>
        <w:spacing w:line="240" w:lineRule="auto"/>
        <w:rPr>
          <w:rFonts w:eastAsia="Times New Roman" w:cs="Times New Roman"/>
          <w:szCs w:val="26"/>
        </w:rPr>
      </w:pPr>
    </w:p>
    <w:p w14:paraId="1263484A" w14:textId="77777777" w:rsidR="00E85680" w:rsidRPr="00A05ED5" w:rsidRDefault="00E85680" w:rsidP="00E85680">
      <w:pPr>
        <w:keepNext/>
        <w:keepLines/>
        <w:tabs>
          <w:tab w:val="right" w:pos="2880"/>
        </w:tabs>
        <w:overflowPunct w:val="0"/>
        <w:autoSpaceDE w:val="0"/>
        <w:autoSpaceDN w:val="0"/>
        <w:adjustRightInd w:val="0"/>
        <w:spacing w:line="240" w:lineRule="auto"/>
        <w:rPr>
          <w:rFonts w:eastAsia="Times New Roman" w:cs="Times New Roman"/>
          <w:szCs w:val="26"/>
        </w:rPr>
      </w:pPr>
    </w:p>
    <w:p w14:paraId="4B35F594" w14:textId="46E3CC01" w:rsidR="00A05ED5" w:rsidRPr="00A05ED5" w:rsidRDefault="00CB33D8" w:rsidP="00E85680">
      <w:pPr>
        <w:keepNext/>
        <w:keepLines/>
        <w:tabs>
          <w:tab w:val="right" w:pos="2880"/>
        </w:tabs>
        <w:overflowPunct w:val="0"/>
        <w:autoSpaceDE w:val="0"/>
        <w:autoSpaceDN w:val="0"/>
        <w:adjustRightInd w:val="0"/>
        <w:spacing w:line="240" w:lineRule="auto"/>
        <w:rPr>
          <w:rFonts w:eastAsia="Times New Roman" w:cs="Times New Roman"/>
          <w:szCs w:val="26"/>
        </w:rPr>
      </w:pPr>
      <w:r>
        <w:rPr>
          <w:rFonts w:eastAsia="Times New Roman" w:cs="Times New Roman"/>
          <w:szCs w:val="26"/>
          <w:u w:val="single"/>
        </w:rPr>
        <w:t>MILLER</w:t>
      </w:r>
      <w:r w:rsidRPr="00A05ED5">
        <w:rPr>
          <w:rFonts w:eastAsia="Times New Roman" w:cs="Times New Roman"/>
          <w:szCs w:val="26"/>
          <w:u w:val="single"/>
        </w:rPr>
        <w:tab/>
      </w:r>
    </w:p>
    <w:p w14:paraId="701B05D4" w14:textId="619AB230" w:rsidR="00A05ED5" w:rsidRPr="00A05ED5" w:rsidRDefault="00CB33D8" w:rsidP="00E85680">
      <w:pPr>
        <w:keepNext/>
        <w:keepLines/>
        <w:tabs>
          <w:tab w:val="right" w:pos="2880"/>
        </w:tabs>
        <w:overflowPunct w:val="0"/>
        <w:autoSpaceDE w:val="0"/>
        <w:autoSpaceDN w:val="0"/>
        <w:adjustRightInd w:val="0"/>
        <w:spacing w:line="240" w:lineRule="auto"/>
        <w:rPr>
          <w:rFonts w:eastAsia="Times New Roman" w:cs="Times New Roman"/>
          <w:szCs w:val="26"/>
        </w:rPr>
      </w:pPr>
      <w:r w:rsidRPr="00A05ED5">
        <w:rPr>
          <w:rFonts w:eastAsia="Times New Roman" w:cs="Times New Roman"/>
          <w:szCs w:val="26"/>
        </w:rPr>
        <w:tab/>
        <w:t xml:space="preserve"> J.</w:t>
      </w:r>
    </w:p>
    <w:p w14:paraId="57BB98C4" w14:textId="05D8ED6B" w:rsidR="00A05ED5" w:rsidRDefault="00A05ED5" w:rsidP="00E85680">
      <w:pPr>
        <w:keepNext/>
        <w:keepLines/>
        <w:tabs>
          <w:tab w:val="right" w:pos="2880"/>
        </w:tabs>
        <w:overflowPunct w:val="0"/>
        <w:autoSpaceDE w:val="0"/>
        <w:autoSpaceDN w:val="0"/>
        <w:adjustRightInd w:val="0"/>
        <w:spacing w:line="240" w:lineRule="auto"/>
        <w:rPr>
          <w:rFonts w:eastAsia="Times New Roman" w:cs="Times New Roman"/>
          <w:szCs w:val="26"/>
          <w:u w:val="single"/>
        </w:rPr>
      </w:pPr>
    </w:p>
    <w:p w14:paraId="6E18CDA0" w14:textId="77777777" w:rsidR="00E85680" w:rsidRPr="00A05ED5" w:rsidRDefault="00E85680" w:rsidP="00E85680">
      <w:pPr>
        <w:keepNext/>
        <w:keepLines/>
        <w:tabs>
          <w:tab w:val="right" w:pos="2880"/>
        </w:tabs>
        <w:overflowPunct w:val="0"/>
        <w:autoSpaceDE w:val="0"/>
        <w:autoSpaceDN w:val="0"/>
        <w:adjustRightInd w:val="0"/>
        <w:spacing w:line="240" w:lineRule="auto"/>
        <w:rPr>
          <w:rFonts w:eastAsia="Times New Roman" w:cs="Times New Roman"/>
          <w:szCs w:val="26"/>
          <w:u w:val="single"/>
        </w:rPr>
      </w:pPr>
    </w:p>
    <w:p w14:paraId="52E06FB1" w14:textId="08CF23C6" w:rsidR="00A05ED5" w:rsidRPr="00A05ED5" w:rsidRDefault="00CB33D8" w:rsidP="00A05ED5">
      <w:pPr>
        <w:tabs>
          <w:tab w:val="right" w:pos="2880"/>
        </w:tabs>
        <w:overflowPunct w:val="0"/>
        <w:autoSpaceDE w:val="0"/>
        <w:autoSpaceDN w:val="0"/>
        <w:adjustRightInd w:val="0"/>
        <w:spacing w:line="240" w:lineRule="auto"/>
        <w:rPr>
          <w:rFonts w:eastAsia="Times New Roman" w:cs="Times New Roman"/>
          <w:szCs w:val="26"/>
        </w:rPr>
      </w:pPr>
      <w:r>
        <w:rPr>
          <w:rFonts w:eastAsia="Times New Roman" w:cs="Times New Roman"/>
          <w:szCs w:val="26"/>
          <w:u w:val="single"/>
        </w:rPr>
        <w:t>CODRINGTON</w:t>
      </w:r>
      <w:r w:rsidRPr="00A05ED5">
        <w:rPr>
          <w:rFonts w:eastAsia="Times New Roman" w:cs="Times New Roman"/>
          <w:szCs w:val="26"/>
          <w:u w:val="single"/>
        </w:rPr>
        <w:tab/>
      </w:r>
    </w:p>
    <w:p w14:paraId="169D853B" w14:textId="0D9C101D" w:rsidR="00A05ED5" w:rsidRDefault="00CB33D8" w:rsidP="00A05ED5">
      <w:pPr>
        <w:tabs>
          <w:tab w:val="right" w:pos="2880"/>
        </w:tabs>
        <w:overflowPunct w:val="0"/>
        <w:autoSpaceDE w:val="0"/>
        <w:autoSpaceDN w:val="0"/>
        <w:adjustRightInd w:val="0"/>
        <w:spacing w:line="240" w:lineRule="auto"/>
        <w:rPr>
          <w:rFonts w:eastAsia="Times New Roman" w:cs="Times New Roman"/>
          <w:szCs w:val="20"/>
        </w:rPr>
      </w:pPr>
      <w:r w:rsidRPr="00A05ED5">
        <w:rPr>
          <w:rFonts w:eastAsia="Times New Roman" w:cs="Times New Roman"/>
          <w:szCs w:val="26"/>
        </w:rPr>
        <w:tab/>
        <w:t>J.</w:t>
      </w:r>
    </w:p>
    <w:p w14:paraId="59F2BD40" w14:textId="0E1AB7EF" w:rsidR="00AB3F33" w:rsidRDefault="00AB3F33" w:rsidP="00AB3F33">
      <w:pPr>
        <w:spacing w:line="40" w:lineRule="exact"/>
      </w:pPr>
    </w:p>
    <w:sectPr w:rsidR="00AB3F33" w:rsidSect="00AB3F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CF52" w14:textId="77777777" w:rsidR="00CB33D8" w:rsidRDefault="00CB33D8">
      <w:pPr>
        <w:spacing w:line="240" w:lineRule="auto"/>
      </w:pPr>
      <w:r>
        <w:separator/>
      </w:r>
    </w:p>
  </w:endnote>
  <w:endnote w:type="continuationSeparator" w:id="0">
    <w:p w14:paraId="3C1BE329" w14:textId="77777777" w:rsidR="00CB33D8" w:rsidRDefault="00CB33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8FCF" w14:textId="77777777" w:rsidR="00AB3F33" w:rsidRDefault="00CB33D8" w:rsidP="00AB23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E23A5A">
      <w:rPr>
        <w:rStyle w:val="PageNumber"/>
      </w:rPr>
      <w:fldChar w:fldCharType="separate"/>
    </w:r>
    <w:r>
      <w:rPr>
        <w:rStyle w:val="PageNumber"/>
      </w:rPr>
      <w:fldChar w:fldCharType="end"/>
    </w:r>
  </w:p>
  <w:p w14:paraId="61F6CA07" w14:textId="77777777" w:rsidR="00AB3F33" w:rsidRDefault="00AB3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A89A" w14:textId="4E1B1B30" w:rsidR="00AB3F33" w:rsidRDefault="00CB33D8" w:rsidP="00AB23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F8D4D7" w14:textId="77777777" w:rsidR="00AB3F33" w:rsidRDefault="00AB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C467" w14:textId="77777777" w:rsidR="00AB3F33" w:rsidRDefault="00CB33D8" w:rsidP="00AB3F33">
      <w:pPr>
        <w:spacing w:line="240" w:lineRule="auto"/>
      </w:pPr>
      <w:r>
        <w:separator/>
      </w:r>
    </w:p>
  </w:footnote>
  <w:footnote w:type="continuationSeparator" w:id="0">
    <w:p w14:paraId="4B1D9CA7" w14:textId="5EC046FB" w:rsidR="00AB3F33" w:rsidRDefault="00CB33D8" w:rsidP="00AB3F33">
      <w:pPr>
        <w:spacing w:line="240" w:lineRule="auto"/>
      </w:pPr>
      <w:r>
        <w:continuationSeparator/>
      </w:r>
    </w:p>
    <w:p w14:paraId="116FFAFB" w14:textId="0FFC2E6D" w:rsidR="00AB3F33" w:rsidRPr="00AB3F33" w:rsidRDefault="00CB33D8" w:rsidP="00AB3F33">
      <w:pPr>
        <w:spacing w:line="240" w:lineRule="auto"/>
        <w:rPr>
          <w:rFonts w:cs="Times New Roman"/>
          <w:i/>
          <w:sz w:val="20"/>
        </w:rPr>
      </w:pPr>
      <w:r>
        <w:rPr>
          <w:rFonts w:cs="Times New Roman"/>
          <w:i/>
          <w:sz w:val="20"/>
        </w:rPr>
        <w:t>[footnote continued from previous page]</w:t>
      </w:r>
    </w:p>
    <w:p w14:paraId="6045B790" w14:textId="6D9FE793" w:rsidR="00AB3F33" w:rsidRPr="00AB3F33" w:rsidRDefault="00CB33D8" w:rsidP="00AB3F33">
      <w:pPr>
        <w:spacing w:line="240" w:lineRule="auto"/>
        <w:rPr>
          <w:rFonts w:cs="Times New Roman"/>
          <w:i/>
          <w:sz w:val="20"/>
        </w:rPr>
      </w:pPr>
      <w:r>
        <w:rPr>
          <w:rFonts w:cs="Times New Roman"/>
          <w:i/>
          <w:sz w:val="20"/>
        </w:rPr>
        <w:t>[footnote continued from previous page]</w:t>
      </w:r>
    </w:p>
  </w:footnote>
  <w:footnote w:type="continuationNotice" w:id="1">
    <w:p w14:paraId="5C510FAE" w14:textId="006FDEBA" w:rsidR="00AB3F33" w:rsidRPr="00AB3F33" w:rsidRDefault="00CB33D8" w:rsidP="00AB3F33">
      <w:pPr>
        <w:pStyle w:val="Footer"/>
        <w:jc w:val="right"/>
        <w:rPr>
          <w:rFonts w:cs="Times New Roman"/>
          <w:i/>
          <w:sz w:val="20"/>
        </w:rPr>
      </w:pPr>
      <w:r>
        <w:rPr>
          <w:rFonts w:cs="Times New Roman"/>
          <w:i/>
          <w:sz w:val="20"/>
        </w:rPr>
        <w:t xml:space="preserve">[footnote </w:t>
      </w:r>
      <w:proofErr w:type="gramStart"/>
      <w:r>
        <w:rPr>
          <w:rFonts w:cs="Times New Roman"/>
          <w:i/>
          <w:sz w:val="20"/>
        </w:rPr>
        <w:t>continued on</w:t>
      </w:r>
      <w:proofErr w:type="gramEnd"/>
      <w:r>
        <w:rPr>
          <w:rFonts w:cs="Times New Roman"/>
          <w:i/>
          <w:sz w:val="20"/>
        </w:rPr>
        <w:t xml:space="preserve"> next page]</w:t>
      </w:r>
    </w:p>
  </w:footnote>
  <w:footnote w:id="2">
    <w:p w14:paraId="6950E34F" w14:textId="5AC704B3" w:rsidR="00AB3F33" w:rsidRDefault="00CB33D8" w:rsidP="0056403C">
      <w:pPr>
        <w:pStyle w:val="FootnoteText"/>
        <w:ind w:firstLine="720"/>
      </w:pPr>
      <w:r>
        <w:rPr>
          <w:rStyle w:val="FootnoteReference"/>
        </w:rPr>
        <w:footnoteRef/>
      </w:r>
      <w:r>
        <w:t xml:space="preserve"> </w:t>
      </w:r>
      <w:r w:rsidR="0056403C">
        <w:t xml:space="preserve"> </w:t>
      </w:r>
      <w:r>
        <w:t>All further unlabeled statutory references are to the Penal Code.</w:t>
      </w:r>
    </w:p>
    <w:p w14:paraId="0F6B0B2C" w14:textId="77777777" w:rsidR="0056403C" w:rsidRDefault="0056403C" w:rsidP="0056403C">
      <w:pPr>
        <w:pStyle w:val="FootnoteText"/>
        <w:ind w:firstLine="720"/>
      </w:pPr>
    </w:p>
  </w:footnote>
  <w:footnote w:id="3">
    <w:p w14:paraId="5F2D30AE" w14:textId="563C1A3A" w:rsidR="00AB3F33" w:rsidRDefault="00CB33D8" w:rsidP="0056403C">
      <w:pPr>
        <w:pStyle w:val="FootnoteText"/>
        <w:ind w:firstLine="720"/>
      </w:pPr>
      <w:r>
        <w:rPr>
          <w:rStyle w:val="FootnoteReference"/>
        </w:rPr>
        <w:footnoteRef/>
      </w:r>
      <w:r>
        <w:t xml:space="preserve"> </w:t>
      </w:r>
      <w:r w:rsidR="0056403C">
        <w:t xml:space="preserve"> </w:t>
      </w:r>
      <w:r>
        <w:t>This court omits a recitation of the facts underlying the convictions because it is not relevant to the issue on appeal.</w:t>
      </w:r>
    </w:p>
    <w:p w14:paraId="251CE62A" w14:textId="77777777" w:rsidR="0056403C" w:rsidRDefault="0056403C" w:rsidP="0056403C">
      <w:pPr>
        <w:pStyle w:val="FootnoteText"/>
        <w:ind w:firstLine="720"/>
      </w:pPr>
    </w:p>
  </w:footnote>
  <w:footnote w:id="4">
    <w:p w14:paraId="63B15B06" w14:textId="60B68C95" w:rsidR="00AB3F33" w:rsidRDefault="00CB33D8" w:rsidP="0056403C">
      <w:pPr>
        <w:pStyle w:val="FootnoteText"/>
        <w:ind w:firstLine="720"/>
      </w:pPr>
      <w:r>
        <w:rPr>
          <w:rStyle w:val="FootnoteReference"/>
        </w:rPr>
        <w:footnoteRef/>
      </w:r>
      <w:r>
        <w:t xml:space="preserve"> </w:t>
      </w:r>
      <w:r w:rsidR="0056403C">
        <w:t xml:space="preserve"> </w:t>
      </w:r>
      <w:r>
        <w:t xml:space="preserve">This court omits a detailed recitation of the trial court’s sentence as it is irrelevant to the issue on appeal. </w:t>
      </w:r>
    </w:p>
  </w:footnote>
  <w:footnote w:id="5">
    <w:p w14:paraId="6430AEAE" w14:textId="2A10DE09" w:rsidR="00890769" w:rsidRDefault="00CB33D8">
      <w:pPr>
        <w:pStyle w:val="FootnoteText"/>
      </w:pPr>
      <w:r>
        <w:tab/>
      </w:r>
      <w:r>
        <w:rPr>
          <w:rStyle w:val="FootnoteReference"/>
        </w:rPr>
        <w:footnoteRef/>
      </w:r>
      <w:r>
        <w:t xml:space="preserve">  S</w:t>
      </w:r>
      <w:r w:rsidRPr="00AB3F33">
        <w:rPr>
          <w:rFonts w:eastAsia="Times New Roman"/>
        </w:rPr>
        <w:t xml:space="preserve">ubsequently renumbered without substantive change as section 1172.75. </w:t>
      </w:r>
      <w:r>
        <w:rPr>
          <w:rFonts w:eastAsia="Times New Roman"/>
        </w:rPr>
        <w:t xml:space="preserve"> </w:t>
      </w:r>
      <w:r w:rsidRPr="00AB3F33">
        <w:rPr>
          <w:rFonts w:eastAsia="Times New Roman"/>
        </w:rPr>
        <w:t>(Stats</w:t>
      </w:r>
      <w:r w:rsidR="002C5FCD">
        <w:rPr>
          <w:rFonts w:eastAsia="Times New Roman"/>
        </w:rPr>
        <w:t> </w:t>
      </w:r>
      <w:r w:rsidRPr="00AB3F33">
        <w:rPr>
          <w:rFonts w:eastAsia="Times New Roman"/>
        </w:rPr>
        <w:t xml:space="preserve">2022, </w:t>
      </w:r>
      <w:proofErr w:type="spellStart"/>
      <w:r w:rsidRPr="00AB3F33">
        <w:rPr>
          <w:rFonts w:eastAsia="Times New Roman"/>
        </w:rPr>
        <w:t>ch.</w:t>
      </w:r>
      <w:proofErr w:type="spellEnd"/>
      <w:r w:rsidRPr="00AB3F33">
        <w:rPr>
          <w:rFonts w:eastAsia="Times New Roman"/>
        </w:rPr>
        <w:t xml:space="preserve"> 58</w:t>
      </w:r>
      <w:r>
        <w:rPr>
          <w:rFonts w:eastAsia="Times New Roman"/>
        </w:rPr>
        <w:t>,</w:t>
      </w:r>
      <w:r w:rsidRPr="00AB3F33">
        <w:rPr>
          <w:rFonts w:eastAsia="Times New Roman"/>
        </w:rPr>
        <w:t xml:space="preserve"> §12</w:t>
      </w:r>
      <w:r>
        <w:rPr>
          <w:rFonts w:eastAsia="Times New Roman"/>
        </w:rPr>
        <w:t>,</w:t>
      </w:r>
      <w:r w:rsidRPr="00AB3F33">
        <w:rPr>
          <w:rFonts w:eastAsia="Times New Roman"/>
        </w:rPr>
        <w:t xml:space="preserve"> eff. June 30,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323E4"/>
    <w:multiLevelType w:val="hybridMultilevel"/>
    <w:tmpl w:val="1C94DC84"/>
    <w:lvl w:ilvl="0" w:tplc="08CCE5A4">
      <w:start w:val="1"/>
      <w:numFmt w:val="decimal"/>
      <w:lvlText w:val="%1."/>
      <w:lvlJc w:val="left"/>
      <w:pPr>
        <w:ind w:left="780" w:hanging="360"/>
      </w:pPr>
      <w:rPr>
        <w:rFonts w:hint="default"/>
      </w:rPr>
    </w:lvl>
    <w:lvl w:ilvl="1" w:tplc="4ECC459C" w:tentative="1">
      <w:start w:val="1"/>
      <w:numFmt w:val="lowerLetter"/>
      <w:lvlText w:val="%2."/>
      <w:lvlJc w:val="left"/>
      <w:pPr>
        <w:ind w:left="1500" w:hanging="360"/>
      </w:pPr>
    </w:lvl>
    <w:lvl w:ilvl="2" w:tplc="EF843522" w:tentative="1">
      <w:start w:val="1"/>
      <w:numFmt w:val="lowerRoman"/>
      <w:lvlText w:val="%3."/>
      <w:lvlJc w:val="right"/>
      <w:pPr>
        <w:ind w:left="2220" w:hanging="180"/>
      </w:pPr>
    </w:lvl>
    <w:lvl w:ilvl="3" w:tplc="C2F61038" w:tentative="1">
      <w:start w:val="1"/>
      <w:numFmt w:val="decimal"/>
      <w:lvlText w:val="%4."/>
      <w:lvlJc w:val="left"/>
      <w:pPr>
        <w:ind w:left="2940" w:hanging="360"/>
      </w:pPr>
    </w:lvl>
    <w:lvl w:ilvl="4" w:tplc="B220017A" w:tentative="1">
      <w:start w:val="1"/>
      <w:numFmt w:val="lowerLetter"/>
      <w:lvlText w:val="%5."/>
      <w:lvlJc w:val="left"/>
      <w:pPr>
        <w:ind w:left="3660" w:hanging="360"/>
      </w:pPr>
    </w:lvl>
    <w:lvl w:ilvl="5" w:tplc="E8FA8750" w:tentative="1">
      <w:start w:val="1"/>
      <w:numFmt w:val="lowerRoman"/>
      <w:lvlText w:val="%6."/>
      <w:lvlJc w:val="right"/>
      <w:pPr>
        <w:ind w:left="4380" w:hanging="180"/>
      </w:pPr>
    </w:lvl>
    <w:lvl w:ilvl="6" w:tplc="88688D10" w:tentative="1">
      <w:start w:val="1"/>
      <w:numFmt w:val="decimal"/>
      <w:lvlText w:val="%7."/>
      <w:lvlJc w:val="left"/>
      <w:pPr>
        <w:ind w:left="5100" w:hanging="360"/>
      </w:pPr>
    </w:lvl>
    <w:lvl w:ilvl="7" w:tplc="32C056FA" w:tentative="1">
      <w:start w:val="1"/>
      <w:numFmt w:val="lowerLetter"/>
      <w:lvlText w:val="%8."/>
      <w:lvlJc w:val="left"/>
      <w:pPr>
        <w:ind w:left="5820" w:hanging="360"/>
      </w:pPr>
    </w:lvl>
    <w:lvl w:ilvl="8" w:tplc="3D9E4B54" w:tentative="1">
      <w:start w:val="1"/>
      <w:numFmt w:val="lowerRoman"/>
      <w:lvlText w:val="%9."/>
      <w:lvlJc w:val="right"/>
      <w:pPr>
        <w:ind w:left="6540" w:hanging="180"/>
      </w:pPr>
    </w:lvl>
  </w:abstractNum>
  <w:abstractNum w:abstractNumId="1" w15:restartNumberingAfterBreak="0">
    <w:nsid w:val="6D983B5C"/>
    <w:multiLevelType w:val="hybridMultilevel"/>
    <w:tmpl w:val="D8721D2E"/>
    <w:lvl w:ilvl="0" w:tplc="21FAC868">
      <w:start w:val="1"/>
      <w:numFmt w:val="upperLetter"/>
      <w:lvlText w:val="%1."/>
      <w:lvlJc w:val="left"/>
      <w:pPr>
        <w:ind w:left="420" w:hanging="360"/>
      </w:pPr>
      <w:rPr>
        <w:rFonts w:hint="default"/>
      </w:rPr>
    </w:lvl>
    <w:lvl w:ilvl="1" w:tplc="E2F8ECE2" w:tentative="1">
      <w:start w:val="1"/>
      <w:numFmt w:val="lowerLetter"/>
      <w:lvlText w:val="%2."/>
      <w:lvlJc w:val="left"/>
      <w:pPr>
        <w:ind w:left="1140" w:hanging="360"/>
      </w:pPr>
    </w:lvl>
    <w:lvl w:ilvl="2" w:tplc="1B6C4C1A" w:tentative="1">
      <w:start w:val="1"/>
      <w:numFmt w:val="lowerRoman"/>
      <w:lvlText w:val="%3."/>
      <w:lvlJc w:val="right"/>
      <w:pPr>
        <w:ind w:left="1860" w:hanging="180"/>
      </w:pPr>
    </w:lvl>
    <w:lvl w:ilvl="3" w:tplc="ECE8FE16" w:tentative="1">
      <w:start w:val="1"/>
      <w:numFmt w:val="decimal"/>
      <w:lvlText w:val="%4."/>
      <w:lvlJc w:val="left"/>
      <w:pPr>
        <w:ind w:left="2580" w:hanging="360"/>
      </w:pPr>
    </w:lvl>
    <w:lvl w:ilvl="4" w:tplc="1AB4BA04" w:tentative="1">
      <w:start w:val="1"/>
      <w:numFmt w:val="lowerLetter"/>
      <w:lvlText w:val="%5."/>
      <w:lvlJc w:val="left"/>
      <w:pPr>
        <w:ind w:left="3300" w:hanging="360"/>
      </w:pPr>
    </w:lvl>
    <w:lvl w:ilvl="5" w:tplc="DF208270" w:tentative="1">
      <w:start w:val="1"/>
      <w:numFmt w:val="lowerRoman"/>
      <w:lvlText w:val="%6."/>
      <w:lvlJc w:val="right"/>
      <w:pPr>
        <w:ind w:left="4020" w:hanging="180"/>
      </w:pPr>
    </w:lvl>
    <w:lvl w:ilvl="6" w:tplc="97B20986" w:tentative="1">
      <w:start w:val="1"/>
      <w:numFmt w:val="decimal"/>
      <w:lvlText w:val="%7."/>
      <w:lvlJc w:val="left"/>
      <w:pPr>
        <w:ind w:left="4740" w:hanging="360"/>
      </w:pPr>
    </w:lvl>
    <w:lvl w:ilvl="7" w:tplc="B77A6262" w:tentative="1">
      <w:start w:val="1"/>
      <w:numFmt w:val="lowerLetter"/>
      <w:lvlText w:val="%8."/>
      <w:lvlJc w:val="left"/>
      <w:pPr>
        <w:ind w:left="5460" w:hanging="360"/>
      </w:pPr>
    </w:lvl>
    <w:lvl w:ilvl="8" w:tplc="DD406D86" w:tentative="1">
      <w:start w:val="1"/>
      <w:numFmt w:val="lowerRoman"/>
      <w:lvlText w:val="%9."/>
      <w:lvlJc w:val="right"/>
      <w:pPr>
        <w:ind w:left="6180" w:hanging="180"/>
      </w:pPr>
    </w:lvl>
  </w:abstractNum>
  <w:num w:numId="1" w16cid:durableId="590890590">
    <w:abstractNumId w:val="1"/>
  </w:num>
  <w:num w:numId="2" w16cid:durableId="74483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33"/>
    <w:rsid w:val="00006EF7"/>
    <w:rsid w:val="00071E75"/>
    <w:rsid w:val="000F5777"/>
    <w:rsid w:val="00190832"/>
    <w:rsid w:val="001B2BA1"/>
    <w:rsid w:val="001C3327"/>
    <w:rsid w:val="00220A54"/>
    <w:rsid w:val="002B3046"/>
    <w:rsid w:val="002C5FCD"/>
    <w:rsid w:val="002C7449"/>
    <w:rsid w:val="002F09E7"/>
    <w:rsid w:val="00357CE7"/>
    <w:rsid w:val="003A7DC0"/>
    <w:rsid w:val="003C2B7B"/>
    <w:rsid w:val="00417F3E"/>
    <w:rsid w:val="00527512"/>
    <w:rsid w:val="0056403C"/>
    <w:rsid w:val="00671DFF"/>
    <w:rsid w:val="007C34A5"/>
    <w:rsid w:val="007E4745"/>
    <w:rsid w:val="00890769"/>
    <w:rsid w:val="00893380"/>
    <w:rsid w:val="008B0000"/>
    <w:rsid w:val="008D27B0"/>
    <w:rsid w:val="008E1665"/>
    <w:rsid w:val="00912079"/>
    <w:rsid w:val="00981C53"/>
    <w:rsid w:val="00992655"/>
    <w:rsid w:val="009C095C"/>
    <w:rsid w:val="009C7707"/>
    <w:rsid w:val="00A05ED5"/>
    <w:rsid w:val="00A613A5"/>
    <w:rsid w:val="00AB237D"/>
    <w:rsid w:val="00AB3F33"/>
    <w:rsid w:val="00C909E3"/>
    <w:rsid w:val="00CB33D8"/>
    <w:rsid w:val="00D1271E"/>
    <w:rsid w:val="00D65C9F"/>
    <w:rsid w:val="00DE7BA4"/>
    <w:rsid w:val="00E04C0C"/>
    <w:rsid w:val="00E23A5A"/>
    <w:rsid w:val="00E85680"/>
    <w:rsid w:val="00F0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F33"/>
    <w:pPr>
      <w:spacing w:line="240" w:lineRule="auto"/>
    </w:pPr>
    <w:rPr>
      <w:rFonts w:cs="Times New Roman"/>
      <w:szCs w:val="20"/>
    </w:rPr>
  </w:style>
  <w:style w:type="character" w:customStyle="1" w:styleId="FootnoteTextChar">
    <w:name w:val="Footnote Text Char"/>
    <w:basedOn w:val="DefaultParagraphFont"/>
    <w:link w:val="FootnoteText"/>
    <w:uiPriority w:val="99"/>
    <w:semiHidden/>
    <w:rsid w:val="00AB3F33"/>
    <w:rPr>
      <w:rFonts w:cs="Times New Roman"/>
      <w:szCs w:val="20"/>
    </w:rPr>
  </w:style>
  <w:style w:type="character" w:styleId="FootnoteReference">
    <w:name w:val="footnote reference"/>
    <w:basedOn w:val="DefaultParagraphFont"/>
    <w:unhideWhenUsed/>
    <w:rsid w:val="00AB3F33"/>
    <w:rPr>
      <w:b/>
      <w:position w:val="8"/>
      <w:sz w:val="20"/>
      <w:vertAlign w:val="baseline"/>
    </w:rPr>
  </w:style>
  <w:style w:type="paragraph" w:styleId="Header">
    <w:name w:val="header"/>
    <w:basedOn w:val="Normal"/>
    <w:link w:val="HeaderChar"/>
    <w:uiPriority w:val="99"/>
    <w:unhideWhenUsed/>
    <w:rsid w:val="00AB3F33"/>
    <w:pPr>
      <w:tabs>
        <w:tab w:val="center" w:pos="4680"/>
        <w:tab w:val="right" w:pos="9360"/>
      </w:tabs>
      <w:spacing w:line="240" w:lineRule="auto"/>
    </w:pPr>
  </w:style>
  <w:style w:type="character" w:customStyle="1" w:styleId="HeaderChar">
    <w:name w:val="Header Char"/>
    <w:basedOn w:val="DefaultParagraphFont"/>
    <w:link w:val="Header"/>
    <w:uiPriority w:val="99"/>
    <w:rsid w:val="00AB3F33"/>
  </w:style>
  <w:style w:type="paragraph" w:styleId="Footer">
    <w:name w:val="footer"/>
    <w:basedOn w:val="Normal"/>
    <w:link w:val="FooterChar"/>
    <w:uiPriority w:val="99"/>
    <w:unhideWhenUsed/>
    <w:rsid w:val="00AB3F33"/>
    <w:pPr>
      <w:tabs>
        <w:tab w:val="center" w:pos="4680"/>
        <w:tab w:val="right" w:pos="9360"/>
      </w:tabs>
      <w:spacing w:line="240" w:lineRule="auto"/>
    </w:pPr>
  </w:style>
  <w:style w:type="character" w:customStyle="1" w:styleId="FooterChar">
    <w:name w:val="Footer Char"/>
    <w:basedOn w:val="DefaultParagraphFont"/>
    <w:link w:val="Footer"/>
    <w:uiPriority w:val="99"/>
    <w:rsid w:val="00AB3F33"/>
  </w:style>
  <w:style w:type="character" w:styleId="PageNumber">
    <w:name w:val="page number"/>
    <w:basedOn w:val="DefaultParagraphFont"/>
    <w:uiPriority w:val="99"/>
    <w:semiHidden/>
    <w:unhideWhenUsed/>
    <w:rsid w:val="00AB3F33"/>
  </w:style>
  <w:style w:type="table" w:styleId="TableGrid">
    <w:name w:val="Table Grid"/>
    <w:basedOn w:val="TableNormal"/>
    <w:uiPriority w:val="39"/>
    <w:rsid w:val="00AB3F3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3748</Words>
  <Characters>19832</Characters>
  <Application>Microsoft Office Word</Application>
  <DocSecurity>0</DocSecurity>
  <Lines>450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2024-02-24T00:23:00Z</dcterms:created>
  <dcterms:modified xsi:type="dcterms:W3CDTF">2024-02-24T00:23:00Z</dcterms:modified>
</cp:coreProperties>
</file>